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83A2" w14:textId="397A8D15" w:rsidR="0034177C" w:rsidRPr="00DA0AAC" w:rsidRDefault="009F59C2" w:rsidP="00B16E7A">
      <w:pPr>
        <w:spacing w:line="276" w:lineRule="auto"/>
        <w:jc w:val="right"/>
        <w:rPr>
          <w:rFonts w:ascii="Arial" w:hAnsi="Arial" w:cs="Arial"/>
          <w:b/>
          <w:color w:val="000000" w:themeColor="text1"/>
          <w:sz w:val="16"/>
          <w:szCs w:val="16"/>
          <w:lang w:eastAsia="es-ES"/>
        </w:rPr>
      </w:pPr>
      <w:bookmarkStart w:id="0" w:name="_Hlk28946138"/>
      <w:bookmarkStart w:id="1" w:name="_Hlk29548183"/>
      <w:r w:rsidRPr="00946115">
        <w:rPr>
          <w:rFonts w:ascii="Arial" w:hAnsi="Arial" w:cs="Arial"/>
          <w:b/>
          <w:color w:val="000000" w:themeColor="text1"/>
          <w:sz w:val="16"/>
          <w:szCs w:val="16"/>
          <w:lang w:eastAsia="es-ES"/>
        </w:rPr>
        <w:tab/>
      </w:r>
      <w:r w:rsidR="00DE482E" w:rsidRPr="00DA0AAC">
        <w:rPr>
          <w:rFonts w:ascii="Arial" w:hAnsi="Arial" w:cs="Arial"/>
          <w:b/>
          <w:color w:val="000000" w:themeColor="text1"/>
          <w:sz w:val="16"/>
          <w:szCs w:val="16"/>
          <w:lang w:eastAsia="es-ES"/>
        </w:rPr>
        <w:t>CCE-DES-FM-17</w:t>
      </w:r>
    </w:p>
    <w:bookmarkEnd w:id="0"/>
    <w:bookmarkEnd w:id="1"/>
    <w:p w14:paraId="67CC399A" w14:textId="77777777" w:rsidR="000A5886" w:rsidRPr="00DA0AAC" w:rsidRDefault="000A5886" w:rsidP="00B16E7A">
      <w:pPr>
        <w:pStyle w:val="Textoindependiente"/>
        <w:ind w:left="284"/>
        <w:rPr>
          <w:color w:val="000000" w:themeColor="text1"/>
          <w:sz w:val="16"/>
          <w:szCs w:val="16"/>
        </w:rPr>
      </w:pPr>
    </w:p>
    <w:p w14:paraId="1D79D527" w14:textId="452076AA" w:rsidR="000A5886" w:rsidRPr="00DA0AAC" w:rsidRDefault="000A5886" w:rsidP="00B16E7A">
      <w:pPr>
        <w:ind w:right="49"/>
        <w:jc w:val="both"/>
        <w:rPr>
          <w:rFonts w:ascii="Arial" w:eastAsia="Calibri" w:hAnsi="Arial" w:cs="Arial"/>
          <w:b/>
          <w:bCs/>
          <w:color w:val="000000" w:themeColor="text1"/>
          <w:sz w:val="22"/>
        </w:rPr>
      </w:pPr>
      <w:r w:rsidRPr="35117DE8">
        <w:rPr>
          <w:rFonts w:ascii="Arial" w:eastAsia="Calibri" w:hAnsi="Arial" w:cs="Arial"/>
          <w:b/>
          <w:bCs/>
          <w:color w:val="000000" w:themeColor="text1"/>
          <w:sz w:val="22"/>
        </w:rPr>
        <w:t xml:space="preserve">EXPERIENCIA PROFESIONAL </w:t>
      </w:r>
      <w:r w:rsidR="002952BE" w:rsidRPr="35117DE8">
        <w:rPr>
          <w:rFonts w:ascii="Arial" w:eastAsia="Calibri" w:hAnsi="Arial" w:cs="Arial"/>
          <w:b/>
          <w:bCs/>
          <w:color w:val="000000" w:themeColor="text1"/>
          <w:sz w:val="22"/>
        </w:rPr>
        <w:t>–</w:t>
      </w:r>
      <w:r w:rsidRPr="35117DE8">
        <w:rPr>
          <w:rFonts w:ascii="Arial" w:eastAsia="Calibri" w:hAnsi="Arial" w:cs="Arial"/>
          <w:b/>
          <w:bCs/>
          <w:color w:val="000000" w:themeColor="text1"/>
          <w:sz w:val="22"/>
        </w:rPr>
        <w:t xml:space="preserve"> </w:t>
      </w:r>
      <w:r w:rsidR="00BB6F52" w:rsidRPr="35117DE8">
        <w:rPr>
          <w:rFonts w:ascii="Arial" w:eastAsia="Calibri" w:hAnsi="Arial" w:cs="Arial"/>
          <w:b/>
          <w:bCs/>
          <w:color w:val="000000" w:themeColor="text1"/>
          <w:sz w:val="22"/>
        </w:rPr>
        <w:t>C</w:t>
      </w:r>
      <w:r w:rsidR="38D7463A" w:rsidRPr="35117DE8">
        <w:rPr>
          <w:rFonts w:ascii="Arial" w:eastAsia="Calibri" w:hAnsi="Arial" w:cs="Arial"/>
          <w:b/>
          <w:bCs/>
          <w:color w:val="000000" w:themeColor="text1"/>
          <w:sz w:val="22"/>
        </w:rPr>
        <w:t>ó</w:t>
      </w:r>
      <w:r w:rsidR="00BB6F52" w:rsidRPr="35117DE8">
        <w:rPr>
          <w:rFonts w:ascii="Arial" w:eastAsia="Calibri" w:hAnsi="Arial" w:cs="Arial"/>
          <w:b/>
          <w:bCs/>
          <w:color w:val="000000" w:themeColor="text1"/>
          <w:sz w:val="22"/>
        </w:rPr>
        <w:t xml:space="preserve">mputo – </w:t>
      </w:r>
      <w:r w:rsidRPr="35117DE8">
        <w:rPr>
          <w:rFonts w:ascii="Arial" w:eastAsia="Calibri" w:hAnsi="Arial" w:cs="Arial"/>
          <w:b/>
          <w:bCs/>
          <w:color w:val="000000" w:themeColor="text1"/>
          <w:sz w:val="22"/>
        </w:rPr>
        <w:t xml:space="preserve">Régimen jurídico aplicable </w:t>
      </w:r>
    </w:p>
    <w:p w14:paraId="65F3006C" w14:textId="77777777" w:rsidR="000A5886" w:rsidRPr="00DA0AAC" w:rsidRDefault="000A5886" w:rsidP="00DA0AAC">
      <w:pPr>
        <w:ind w:right="49"/>
        <w:jc w:val="both"/>
        <w:rPr>
          <w:rFonts w:ascii="Arial" w:eastAsia="Calibri" w:hAnsi="Arial" w:cs="Arial"/>
          <w:color w:val="000000" w:themeColor="text1"/>
          <w:sz w:val="20"/>
          <w:szCs w:val="20"/>
        </w:rPr>
      </w:pPr>
    </w:p>
    <w:p w14:paraId="0B15A9C8" w14:textId="77777777" w:rsidR="0082786B" w:rsidRPr="00DA0AAC" w:rsidRDefault="000A5886" w:rsidP="00DA0AAC">
      <w:pPr>
        <w:spacing w:after="120"/>
        <w:ind w:right="51"/>
        <w:jc w:val="both"/>
        <w:rPr>
          <w:rFonts w:ascii="Arial" w:eastAsia="Calibri" w:hAnsi="Arial" w:cs="Arial"/>
          <w:color w:val="000000" w:themeColor="text1"/>
          <w:sz w:val="20"/>
          <w:szCs w:val="20"/>
        </w:rPr>
      </w:pPr>
      <w:r w:rsidRPr="00DA0AAC">
        <w:rPr>
          <w:rFonts w:ascii="Arial" w:eastAsia="Calibri" w:hAnsi="Arial" w:cs="Arial"/>
          <w:color w:val="000000" w:themeColor="text1"/>
          <w:sz w:val="20"/>
          <w:szCs w:val="20"/>
        </w:rPr>
        <w:t xml:space="preserve">La experiencia profesional se debe verificar de acuerdo con lo regulado en el artículo 229 del Decreto 019 de 2012. En virtud de esta norma, el ejercicio de las diferentes profesiones acreditadas por el Ministerio de Educación Nacional se apreciará a partir de la terminación y aprobación del pensum académico de educación superior, salvo para las profesiones relacionadas con el sistema de seguridad social en salud, en las cuales la experiencia profesional se computará a partir de la inscripción o registro </w:t>
      </w:r>
      <w:r w:rsidR="00184ADB" w:rsidRPr="00DA0AAC">
        <w:rPr>
          <w:rFonts w:ascii="Arial" w:eastAsia="Calibri" w:hAnsi="Arial" w:cs="Arial"/>
          <w:color w:val="000000" w:themeColor="text1"/>
          <w:sz w:val="20"/>
          <w:szCs w:val="20"/>
        </w:rPr>
        <w:t>profesional</w:t>
      </w:r>
      <w:r w:rsidRPr="00DA0AAC">
        <w:rPr>
          <w:rFonts w:ascii="Arial" w:eastAsia="Calibri" w:hAnsi="Arial" w:cs="Arial"/>
          <w:color w:val="000000" w:themeColor="text1"/>
          <w:sz w:val="20"/>
          <w:szCs w:val="20"/>
        </w:rPr>
        <w:t>.</w:t>
      </w:r>
    </w:p>
    <w:p w14:paraId="36642579" w14:textId="11D23F7E" w:rsidR="000A5886" w:rsidRPr="00DA0AAC" w:rsidRDefault="000A5886" w:rsidP="00DA0AAC">
      <w:pPr>
        <w:ind w:right="49"/>
        <w:jc w:val="both"/>
        <w:rPr>
          <w:rFonts w:ascii="Arial" w:eastAsia="Calibri" w:hAnsi="Arial" w:cs="Arial"/>
          <w:color w:val="000000" w:themeColor="text1"/>
          <w:sz w:val="20"/>
          <w:szCs w:val="20"/>
        </w:rPr>
      </w:pPr>
      <w:r w:rsidRPr="00DA0AAC">
        <w:rPr>
          <w:rFonts w:ascii="Arial" w:eastAsia="Calibri" w:hAnsi="Arial" w:cs="Arial"/>
          <w:color w:val="000000" w:themeColor="text1"/>
          <w:sz w:val="20"/>
          <w:szCs w:val="20"/>
        </w:rPr>
        <w:t>Conforme a lo anterior, el cómputo de la experiencia profesional, por regla general, será a partir de la terminación y aprobación del pénsum académico de educación superior, y siempre que el profesional acredite que trabajó. Frente a las profesiones relacionadas con temas de salud, la experiencia profesional se cuenta desde la inscripción o registro</w:t>
      </w:r>
      <w:r w:rsidR="00B971E5">
        <w:rPr>
          <w:rFonts w:ascii="Arial" w:eastAsia="Calibri" w:hAnsi="Arial" w:cs="Arial"/>
          <w:color w:val="000000" w:themeColor="text1"/>
          <w:sz w:val="20"/>
          <w:szCs w:val="20"/>
        </w:rPr>
        <w:t xml:space="preserve"> […]</w:t>
      </w:r>
      <w:r w:rsidRPr="00DA0AAC">
        <w:rPr>
          <w:rFonts w:ascii="Arial" w:eastAsia="Calibri" w:hAnsi="Arial" w:cs="Arial"/>
          <w:color w:val="000000" w:themeColor="text1"/>
          <w:sz w:val="20"/>
          <w:szCs w:val="20"/>
        </w:rPr>
        <w:t xml:space="preserve">. </w:t>
      </w:r>
    </w:p>
    <w:p w14:paraId="3AFE5E8F" w14:textId="77777777" w:rsidR="000A5886" w:rsidRPr="00DA0AAC" w:rsidRDefault="000A5886" w:rsidP="00DA0AAC">
      <w:pPr>
        <w:ind w:right="49"/>
        <w:jc w:val="both"/>
        <w:rPr>
          <w:rFonts w:ascii="Arial" w:eastAsia="Calibri" w:hAnsi="Arial" w:cs="Arial"/>
          <w:color w:val="000000" w:themeColor="text1"/>
          <w:sz w:val="20"/>
          <w:szCs w:val="20"/>
        </w:rPr>
      </w:pPr>
    </w:p>
    <w:p w14:paraId="4B7E785A" w14:textId="7D6616CD" w:rsidR="000A5886" w:rsidRPr="00DA0AAC" w:rsidRDefault="004E0676" w:rsidP="00DA0AAC">
      <w:pPr>
        <w:ind w:right="49"/>
        <w:jc w:val="both"/>
        <w:rPr>
          <w:rFonts w:ascii="Arial" w:eastAsia="Calibri" w:hAnsi="Arial" w:cs="Arial"/>
          <w:b/>
          <w:bCs/>
          <w:color w:val="000000" w:themeColor="text1"/>
          <w:sz w:val="22"/>
        </w:rPr>
      </w:pPr>
      <w:r w:rsidRPr="00DA0AAC">
        <w:rPr>
          <w:rFonts w:ascii="Arial" w:eastAsia="Calibri" w:hAnsi="Arial" w:cs="Arial"/>
          <w:b/>
          <w:bCs/>
          <w:color w:val="000000" w:themeColor="text1"/>
          <w:sz w:val="22"/>
        </w:rPr>
        <w:t>PRÁ</w:t>
      </w:r>
      <w:r w:rsidR="000A5886" w:rsidRPr="00DA0AAC">
        <w:rPr>
          <w:rFonts w:ascii="Arial" w:eastAsia="Calibri" w:hAnsi="Arial" w:cs="Arial"/>
          <w:b/>
          <w:bCs/>
          <w:color w:val="000000" w:themeColor="text1"/>
          <w:sz w:val="22"/>
        </w:rPr>
        <w:t xml:space="preserve">CTICA LABORAL </w:t>
      </w:r>
      <w:r w:rsidR="002952BE" w:rsidRPr="00DA0AAC">
        <w:rPr>
          <w:rFonts w:ascii="Arial" w:eastAsia="Calibri" w:hAnsi="Arial" w:cs="Arial"/>
          <w:b/>
          <w:bCs/>
          <w:color w:val="000000" w:themeColor="text1"/>
          <w:sz w:val="22"/>
        </w:rPr>
        <w:t>–</w:t>
      </w:r>
      <w:r w:rsidR="000A5886" w:rsidRPr="00DA0AAC">
        <w:rPr>
          <w:rFonts w:ascii="Arial" w:eastAsia="Calibri" w:hAnsi="Arial" w:cs="Arial"/>
          <w:b/>
          <w:bCs/>
          <w:color w:val="000000" w:themeColor="text1"/>
          <w:sz w:val="22"/>
        </w:rPr>
        <w:t xml:space="preserve"> Régimen jurídico aplicable </w:t>
      </w:r>
      <w:r w:rsidR="002952BE" w:rsidRPr="00DA0AAC">
        <w:rPr>
          <w:rFonts w:ascii="Arial" w:eastAsia="Calibri" w:hAnsi="Arial" w:cs="Arial"/>
          <w:b/>
          <w:bCs/>
          <w:color w:val="000000" w:themeColor="text1"/>
          <w:sz w:val="22"/>
        </w:rPr>
        <w:t>–</w:t>
      </w:r>
      <w:r w:rsidR="000A5886" w:rsidRPr="00DA0AAC">
        <w:rPr>
          <w:rFonts w:ascii="Arial" w:eastAsia="Calibri" w:hAnsi="Arial" w:cs="Arial"/>
          <w:b/>
          <w:bCs/>
          <w:color w:val="000000" w:themeColor="text1"/>
          <w:sz w:val="22"/>
        </w:rPr>
        <w:t xml:space="preserve"> Concepto </w:t>
      </w:r>
    </w:p>
    <w:p w14:paraId="4DDBFDD2" w14:textId="77777777" w:rsidR="000A5886" w:rsidRPr="00DA0AAC" w:rsidRDefault="000A5886" w:rsidP="00DA0AAC">
      <w:pPr>
        <w:ind w:right="49"/>
        <w:jc w:val="both"/>
        <w:rPr>
          <w:rFonts w:ascii="Arial" w:eastAsia="Calibri" w:hAnsi="Arial" w:cs="Arial"/>
          <w:color w:val="000000" w:themeColor="text1"/>
          <w:sz w:val="22"/>
        </w:rPr>
      </w:pPr>
      <w:r w:rsidRPr="00DA0AAC">
        <w:rPr>
          <w:rFonts w:ascii="Arial" w:eastAsia="Calibri" w:hAnsi="Arial" w:cs="Arial"/>
          <w:color w:val="000000" w:themeColor="text1"/>
          <w:sz w:val="22"/>
        </w:rPr>
        <w:tab/>
      </w:r>
    </w:p>
    <w:p w14:paraId="0BA53510" w14:textId="77777777" w:rsidR="000A5886" w:rsidRPr="00DA0AAC" w:rsidRDefault="000A5886" w:rsidP="00DA0AAC">
      <w:pPr>
        <w:ind w:right="49"/>
        <w:jc w:val="both"/>
        <w:rPr>
          <w:rFonts w:ascii="Arial" w:eastAsia="Calibri" w:hAnsi="Arial" w:cs="Arial"/>
          <w:color w:val="000000" w:themeColor="text1"/>
          <w:sz w:val="20"/>
          <w:szCs w:val="20"/>
        </w:rPr>
      </w:pPr>
      <w:r w:rsidRPr="00DA0AAC">
        <w:rPr>
          <w:rFonts w:ascii="Arial" w:eastAsia="Calibri" w:hAnsi="Arial" w:cs="Arial"/>
          <w:color w:val="000000" w:themeColor="text1"/>
          <w:sz w:val="20"/>
          <w:szCs w:val="20"/>
        </w:rPr>
        <w:t>Por otro lado, a partir de la Ley 1955 de 2019, se permite contar como experiencia profesional las prácticas laborales realizadas por estudiantes para obtener el título de grado. De acuerdo con el artículo 15 de la Ley 1780 de 2016,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relacionadas con su área de estudio o desempeño.</w:t>
      </w:r>
    </w:p>
    <w:p w14:paraId="5BF15D22" w14:textId="77777777" w:rsidR="000A5886" w:rsidRPr="00DA0AAC" w:rsidRDefault="000A5886" w:rsidP="00DA0AAC">
      <w:pPr>
        <w:ind w:right="49"/>
        <w:jc w:val="both"/>
        <w:rPr>
          <w:rFonts w:ascii="Arial" w:eastAsia="Calibri" w:hAnsi="Arial" w:cs="Arial"/>
          <w:b/>
          <w:bCs/>
          <w:color w:val="000000" w:themeColor="text1"/>
          <w:sz w:val="20"/>
          <w:szCs w:val="20"/>
        </w:rPr>
      </w:pPr>
    </w:p>
    <w:p w14:paraId="558ED5A4" w14:textId="57CA576C" w:rsidR="000A5886" w:rsidRPr="00DA0AAC" w:rsidRDefault="000A5886" w:rsidP="35117DE8">
      <w:pPr>
        <w:ind w:right="49"/>
        <w:jc w:val="both"/>
        <w:rPr>
          <w:rFonts w:ascii="Arial" w:eastAsia="Calibri" w:hAnsi="Arial" w:cs="Arial"/>
          <w:b/>
          <w:bCs/>
          <w:color w:val="000000" w:themeColor="text1"/>
          <w:sz w:val="22"/>
        </w:rPr>
      </w:pPr>
      <w:r w:rsidRPr="35117DE8">
        <w:rPr>
          <w:rFonts w:ascii="Arial" w:eastAsia="Calibri" w:hAnsi="Arial" w:cs="Arial"/>
          <w:b/>
          <w:bCs/>
          <w:color w:val="000000" w:themeColor="text1"/>
          <w:sz w:val="22"/>
        </w:rPr>
        <w:t xml:space="preserve">EXPERIENCIA PROFESIONAL </w:t>
      </w:r>
      <w:r w:rsidR="002952BE" w:rsidRPr="35117DE8">
        <w:rPr>
          <w:rFonts w:ascii="Arial" w:eastAsia="Calibri" w:hAnsi="Arial" w:cs="Arial"/>
          <w:b/>
          <w:bCs/>
          <w:color w:val="000000" w:themeColor="text1"/>
          <w:sz w:val="22"/>
        </w:rPr>
        <w:t>–</w:t>
      </w:r>
      <w:r w:rsidRPr="35117DE8">
        <w:rPr>
          <w:rFonts w:ascii="Arial" w:eastAsia="Calibri" w:hAnsi="Arial" w:cs="Arial"/>
          <w:b/>
          <w:bCs/>
          <w:color w:val="000000" w:themeColor="text1"/>
          <w:sz w:val="22"/>
        </w:rPr>
        <w:t xml:space="preserve"> </w:t>
      </w:r>
      <w:r w:rsidR="00BB6F52" w:rsidRPr="35117DE8">
        <w:rPr>
          <w:rFonts w:ascii="Arial" w:eastAsia="Calibri" w:hAnsi="Arial" w:cs="Arial"/>
          <w:b/>
          <w:bCs/>
          <w:color w:val="000000" w:themeColor="text1"/>
          <w:sz w:val="22"/>
        </w:rPr>
        <w:t>C</w:t>
      </w:r>
      <w:r w:rsidR="15447FAE" w:rsidRPr="35117DE8">
        <w:rPr>
          <w:rFonts w:ascii="Arial" w:eastAsia="Calibri" w:hAnsi="Arial" w:cs="Arial"/>
          <w:b/>
          <w:bCs/>
          <w:color w:val="000000" w:themeColor="text1"/>
          <w:sz w:val="22"/>
        </w:rPr>
        <w:t>ó</w:t>
      </w:r>
      <w:r w:rsidR="00BB6F52" w:rsidRPr="35117DE8">
        <w:rPr>
          <w:rFonts w:ascii="Arial" w:eastAsia="Calibri" w:hAnsi="Arial" w:cs="Arial"/>
          <w:b/>
          <w:bCs/>
          <w:color w:val="000000" w:themeColor="text1"/>
          <w:sz w:val="22"/>
        </w:rPr>
        <w:t xml:space="preserve">mputo – </w:t>
      </w:r>
      <w:r w:rsidRPr="35117DE8">
        <w:rPr>
          <w:rFonts w:ascii="Arial" w:eastAsia="Calibri" w:hAnsi="Arial" w:cs="Arial"/>
          <w:b/>
          <w:bCs/>
          <w:color w:val="000000" w:themeColor="text1"/>
          <w:sz w:val="22"/>
        </w:rPr>
        <w:t xml:space="preserve">Incluye práctica laboral </w:t>
      </w:r>
    </w:p>
    <w:p w14:paraId="63A6CAD2" w14:textId="77777777" w:rsidR="000A5886" w:rsidRPr="00DA0AAC" w:rsidRDefault="000A5886" w:rsidP="00DA0AAC">
      <w:pPr>
        <w:ind w:right="49"/>
        <w:jc w:val="both"/>
        <w:rPr>
          <w:rFonts w:ascii="Arial" w:eastAsia="Calibri" w:hAnsi="Arial" w:cs="Arial"/>
          <w:b/>
          <w:bCs/>
          <w:color w:val="000000" w:themeColor="text1"/>
          <w:sz w:val="22"/>
        </w:rPr>
      </w:pPr>
      <w:r w:rsidRPr="00DA0AAC">
        <w:rPr>
          <w:rFonts w:ascii="Arial" w:eastAsia="Calibri" w:hAnsi="Arial" w:cs="Arial"/>
          <w:b/>
          <w:bCs/>
          <w:color w:val="000000" w:themeColor="text1"/>
          <w:sz w:val="22"/>
        </w:rPr>
        <w:tab/>
      </w:r>
    </w:p>
    <w:p w14:paraId="1EBDBE6B" w14:textId="77777777" w:rsidR="000E0449" w:rsidRPr="00DA0AAC" w:rsidRDefault="000A5886" w:rsidP="00DA0AAC">
      <w:pPr>
        <w:spacing w:after="120"/>
        <w:ind w:right="51"/>
        <w:jc w:val="both"/>
        <w:rPr>
          <w:rFonts w:ascii="Arial" w:eastAsia="Calibri" w:hAnsi="Arial" w:cs="Arial"/>
          <w:color w:val="000000" w:themeColor="text1"/>
          <w:sz w:val="20"/>
          <w:szCs w:val="20"/>
        </w:rPr>
      </w:pPr>
      <w:r w:rsidRPr="00DA0AAC">
        <w:rPr>
          <w:rFonts w:ascii="Arial" w:eastAsia="Calibri" w:hAnsi="Arial" w:cs="Arial"/>
          <w:color w:val="000000" w:themeColor="text1"/>
          <w:sz w:val="20"/>
          <w:szCs w:val="20"/>
        </w:rPr>
        <w:t>El artículo 192 de la Ley 1955 de 2019 indica que el tiempo de la práctica laboral que el estudiante realice para optar a su título profesional, tecnológico o técnico</w:t>
      </w:r>
      <w:r w:rsidR="009D005C" w:rsidRPr="00DA0AAC">
        <w:rPr>
          <w:rFonts w:ascii="Arial" w:eastAsia="Calibri" w:hAnsi="Arial" w:cs="Arial"/>
          <w:color w:val="000000" w:themeColor="text1"/>
          <w:sz w:val="20"/>
          <w:szCs w:val="20"/>
        </w:rPr>
        <w:t>,</w:t>
      </w:r>
      <w:r w:rsidRPr="00DA0AAC">
        <w:rPr>
          <w:rFonts w:ascii="Arial" w:eastAsia="Calibri" w:hAnsi="Arial" w:cs="Arial"/>
          <w:color w:val="000000" w:themeColor="text1"/>
          <w:sz w:val="20"/>
          <w:szCs w:val="20"/>
        </w:rPr>
        <w:t xml:space="preserve"> cuenta como experiencia laboral. Sin embargo, el parágrafo 2º del precepto mencionado indica que, sólo se tendrán por válidas las prácticas laborales realizadas durante los veinticuatro (24) meses anteriores y las que se realizan con posterioridad a la entrada en vigencia de la citada ley, </w:t>
      </w:r>
      <w:proofErr w:type="gramStart"/>
      <w:r w:rsidRPr="00DA0AAC">
        <w:rPr>
          <w:rFonts w:ascii="Arial" w:eastAsia="Calibri" w:hAnsi="Arial" w:cs="Arial"/>
          <w:color w:val="000000" w:themeColor="text1"/>
          <w:sz w:val="20"/>
          <w:szCs w:val="20"/>
        </w:rPr>
        <w:t>y</w:t>
      </w:r>
      <w:proofErr w:type="gramEnd"/>
      <w:r w:rsidRPr="00DA0AAC">
        <w:rPr>
          <w:rFonts w:ascii="Arial" w:eastAsia="Calibri" w:hAnsi="Arial" w:cs="Arial"/>
          <w:color w:val="000000" w:themeColor="text1"/>
          <w:sz w:val="20"/>
          <w:szCs w:val="20"/>
        </w:rPr>
        <w:t xml:space="preserve"> por último, en el parágrafo 3º se exceptúa de lo dispuesto en ese artículo a los estudiantes de posgrado del sector salud.</w:t>
      </w:r>
    </w:p>
    <w:p w14:paraId="10BFB6C1" w14:textId="31A9BF80" w:rsidR="000A5886" w:rsidRPr="00DA0AAC" w:rsidRDefault="000A5886" w:rsidP="00DA0AAC">
      <w:pPr>
        <w:ind w:right="49"/>
        <w:jc w:val="both"/>
        <w:rPr>
          <w:rFonts w:ascii="Arial" w:eastAsia="Calibri" w:hAnsi="Arial" w:cs="Arial"/>
          <w:color w:val="000000" w:themeColor="text1"/>
          <w:sz w:val="20"/>
          <w:szCs w:val="20"/>
        </w:rPr>
      </w:pPr>
      <w:r w:rsidRPr="00DA0AAC">
        <w:rPr>
          <w:rFonts w:ascii="Arial" w:eastAsia="Calibri" w:hAnsi="Arial" w:cs="Arial"/>
          <w:color w:val="000000" w:themeColor="text1"/>
          <w:sz w:val="20"/>
          <w:szCs w:val="20"/>
        </w:rPr>
        <w:t>A partir de esta norma, las entidades estatales deberán tener en cuenta las prácticas laborales como experiencia profesional, aun cuando se hayan realizado antes de la terminación de materias. No obstante, s</w:t>
      </w:r>
      <w:r w:rsidR="009D005C" w:rsidRPr="00DA0AAC">
        <w:rPr>
          <w:rFonts w:ascii="Arial" w:eastAsia="Calibri" w:hAnsi="Arial" w:cs="Arial"/>
          <w:color w:val="000000" w:themeColor="text1"/>
          <w:sz w:val="20"/>
          <w:szCs w:val="20"/>
        </w:rPr>
        <w:t>o</w:t>
      </w:r>
      <w:r w:rsidRPr="00DA0AAC">
        <w:rPr>
          <w:rFonts w:ascii="Arial" w:eastAsia="Calibri" w:hAnsi="Arial" w:cs="Arial"/>
          <w:color w:val="000000" w:themeColor="text1"/>
          <w:sz w:val="20"/>
          <w:szCs w:val="20"/>
        </w:rPr>
        <w:t xml:space="preserve">lo se tendrán en cuenta: i) las prácticas laborales que fueron realizadas durante los veinticuatro meses anteriores a la entrada en vigor de la ley 1955 de 2019 y las que se realicen a partir de la promulgación de </w:t>
      </w:r>
      <w:proofErr w:type="gramStart"/>
      <w:r w:rsidRPr="00DA0AAC">
        <w:rPr>
          <w:rFonts w:ascii="Arial" w:eastAsia="Calibri" w:hAnsi="Arial" w:cs="Arial"/>
          <w:color w:val="000000" w:themeColor="text1"/>
          <w:sz w:val="20"/>
          <w:szCs w:val="20"/>
        </w:rPr>
        <w:t>la misma</w:t>
      </w:r>
      <w:proofErr w:type="gramEnd"/>
      <w:r w:rsidRPr="00DA0AAC">
        <w:rPr>
          <w:rFonts w:ascii="Arial" w:eastAsia="Calibri" w:hAnsi="Arial" w:cs="Arial"/>
          <w:color w:val="000000" w:themeColor="text1"/>
          <w:sz w:val="20"/>
          <w:szCs w:val="20"/>
        </w:rPr>
        <w:t xml:space="preserve">, y </w:t>
      </w:r>
      <w:proofErr w:type="spellStart"/>
      <w:r w:rsidRPr="00DA0AAC">
        <w:rPr>
          <w:rFonts w:ascii="Arial" w:eastAsia="Calibri" w:hAnsi="Arial" w:cs="Arial"/>
          <w:color w:val="000000" w:themeColor="text1"/>
          <w:sz w:val="20"/>
          <w:szCs w:val="20"/>
        </w:rPr>
        <w:t>ii</w:t>
      </w:r>
      <w:proofErr w:type="spellEnd"/>
      <w:r w:rsidRPr="00DA0AAC">
        <w:rPr>
          <w:rFonts w:ascii="Arial" w:eastAsia="Calibri" w:hAnsi="Arial" w:cs="Arial"/>
          <w:color w:val="000000" w:themeColor="text1"/>
          <w:sz w:val="20"/>
          <w:szCs w:val="20"/>
        </w:rPr>
        <w:t xml:space="preserve">) las que realice cualquier estudiante, que no sea de posgrado del sector salud. </w:t>
      </w:r>
    </w:p>
    <w:p w14:paraId="25D2C323" w14:textId="77777777" w:rsidR="000A5886" w:rsidRPr="00DA0AAC" w:rsidRDefault="000A5886" w:rsidP="00DA0AAC">
      <w:pPr>
        <w:ind w:right="49"/>
        <w:jc w:val="both"/>
        <w:rPr>
          <w:rFonts w:ascii="Arial" w:eastAsia="Calibri" w:hAnsi="Arial" w:cs="Arial"/>
          <w:color w:val="000000" w:themeColor="text1"/>
          <w:sz w:val="20"/>
          <w:szCs w:val="20"/>
        </w:rPr>
      </w:pPr>
    </w:p>
    <w:p w14:paraId="2194D1F6" w14:textId="52549371" w:rsidR="000A5886" w:rsidRPr="00DA0AAC" w:rsidRDefault="000A5886" w:rsidP="00DA0AAC">
      <w:pPr>
        <w:ind w:right="49"/>
        <w:jc w:val="both"/>
        <w:rPr>
          <w:rFonts w:ascii="Arial" w:eastAsia="Calibri" w:hAnsi="Arial" w:cs="Arial"/>
          <w:b/>
          <w:bCs/>
          <w:color w:val="000000" w:themeColor="text1"/>
          <w:sz w:val="22"/>
        </w:rPr>
      </w:pPr>
      <w:r w:rsidRPr="00DA0AAC">
        <w:rPr>
          <w:rFonts w:ascii="Arial" w:eastAsia="Calibri" w:hAnsi="Arial" w:cs="Arial"/>
          <w:b/>
          <w:bCs/>
          <w:color w:val="000000" w:themeColor="text1"/>
          <w:sz w:val="22"/>
        </w:rPr>
        <w:t xml:space="preserve">EXPERIENCIA PROFESIONAL </w:t>
      </w:r>
      <w:r w:rsidR="002952BE" w:rsidRPr="00DA0AAC">
        <w:rPr>
          <w:rFonts w:ascii="Arial" w:eastAsia="Calibri" w:hAnsi="Arial" w:cs="Arial"/>
          <w:b/>
          <w:bCs/>
          <w:color w:val="000000" w:themeColor="text1"/>
          <w:sz w:val="22"/>
        </w:rPr>
        <w:t>–</w:t>
      </w:r>
      <w:r w:rsidRPr="00DA0AAC">
        <w:rPr>
          <w:rFonts w:ascii="Arial" w:eastAsia="Calibri" w:hAnsi="Arial" w:cs="Arial"/>
          <w:b/>
          <w:bCs/>
          <w:color w:val="000000" w:themeColor="text1"/>
          <w:sz w:val="22"/>
        </w:rPr>
        <w:t xml:space="preserve"> </w:t>
      </w:r>
      <w:r w:rsidR="00BB6F52">
        <w:rPr>
          <w:rFonts w:ascii="Arial" w:eastAsia="Calibri" w:hAnsi="Arial" w:cs="Arial"/>
          <w:b/>
          <w:bCs/>
          <w:color w:val="000000" w:themeColor="text1"/>
          <w:sz w:val="22"/>
        </w:rPr>
        <w:t xml:space="preserve">Normas </w:t>
      </w:r>
      <w:r w:rsidR="00BB6F52" w:rsidRPr="00DA0AAC">
        <w:rPr>
          <w:rFonts w:ascii="Arial" w:eastAsia="Calibri" w:hAnsi="Arial" w:cs="Arial"/>
          <w:b/>
          <w:bCs/>
          <w:color w:val="000000" w:themeColor="text1"/>
          <w:sz w:val="22"/>
        </w:rPr>
        <w:t>–</w:t>
      </w:r>
      <w:r w:rsidR="00BB6F52">
        <w:rPr>
          <w:rFonts w:ascii="Arial" w:eastAsia="Calibri" w:hAnsi="Arial" w:cs="Arial"/>
          <w:b/>
          <w:bCs/>
          <w:color w:val="000000" w:themeColor="text1"/>
          <w:sz w:val="22"/>
        </w:rPr>
        <w:t xml:space="preserve"> </w:t>
      </w:r>
      <w:r w:rsidRPr="00DA0AAC">
        <w:rPr>
          <w:rFonts w:ascii="Arial" w:eastAsia="Calibri" w:hAnsi="Arial" w:cs="Arial"/>
          <w:b/>
          <w:bCs/>
          <w:color w:val="000000" w:themeColor="text1"/>
          <w:sz w:val="22"/>
        </w:rPr>
        <w:t>Vigencia</w:t>
      </w:r>
    </w:p>
    <w:p w14:paraId="65477F57" w14:textId="77777777" w:rsidR="000A5886" w:rsidRPr="00DA0AAC" w:rsidRDefault="000A5886" w:rsidP="00DA0AAC">
      <w:pPr>
        <w:ind w:right="49"/>
        <w:jc w:val="both"/>
        <w:rPr>
          <w:rFonts w:ascii="Arial" w:eastAsia="Calibri" w:hAnsi="Arial" w:cs="Arial"/>
          <w:color w:val="000000" w:themeColor="text1"/>
          <w:sz w:val="20"/>
          <w:szCs w:val="20"/>
        </w:rPr>
      </w:pPr>
    </w:p>
    <w:p w14:paraId="02ED168F" w14:textId="77777777" w:rsidR="000A5886" w:rsidRPr="00DA0AAC" w:rsidRDefault="000A5886" w:rsidP="00DA0AAC">
      <w:pPr>
        <w:ind w:right="49"/>
        <w:jc w:val="both"/>
        <w:rPr>
          <w:rFonts w:ascii="Arial" w:eastAsia="Calibri" w:hAnsi="Arial" w:cs="Arial"/>
          <w:color w:val="000000" w:themeColor="text1"/>
          <w:sz w:val="20"/>
          <w:szCs w:val="20"/>
        </w:rPr>
      </w:pPr>
      <w:r w:rsidRPr="00DA0AAC">
        <w:rPr>
          <w:rFonts w:ascii="Arial" w:eastAsia="Calibri" w:hAnsi="Arial" w:cs="Arial"/>
          <w:color w:val="000000" w:themeColor="text1"/>
          <w:sz w:val="20"/>
          <w:szCs w:val="20"/>
        </w:rPr>
        <w:t xml:space="preserve">No obstante, se debe entender que el artículo 229 del Decreto 019 de 2012 es la regla general para contar el término de la experiencia profesional, y por lo tanto se hará después de terminadas las materias, y el caso previsto por el artículo 192 de la Ley 1955 de 2019 es la excepción a esta regla general, pues si el estudiante que opta por un título realiza una práctica laboral antes de terminar las materias, se le debe contar esta experiencia como profesional, a pesar de que no sea adquirida con posterioridad a la terminación de materias; en los demás casos, es decir, cuando no se realizó ninguna práctica laboral, la experiencia se adquiere después de terminadas las materias. </w:t>
      </w:r>
    </w:p>
    <w:p w14:paraId="7EE4DE6C" w14:textId="77777777" w:rsidR="000A5886" w:rsidRPr="00DA0AAC" w:rsidRDefault="000A5886" w:rsidP="00DA0AAC">
      <w:pPr>
        <w:ind w:right="49"/>
        <w:jc w:val="both"/>
        <w:rPr>
          <w:rFonts w:ascii="Arial" w:eastAsia="Calibri" w:hAnsi="Arial" w:cs="Arial"/>
          <w:color w:val="000000" w:themeColor="text1"/>
          <w:sz w:val="22"/>
        </w:rPr>
      </w:pPr>
    </w:p>
    <w:p w14:paraId="2D35C867" w14:textId="49AE3A49" w:rsidR="000A5886" w:rsidRPr="00F45922" w:rsidRDefault="000A5886" w:rsidP="00DA0AAC">
      <w:pPr>
        <w:ind w:right="49"/>
        <w:jc w:val="both"/>
        <w:rPr>
          <w:rFonts w:ascii="Arial" w:eastAsia="Calibri" w:hAnsi="Arial" w:cs="Arial"/>
          <w:b/>
          <w:bCs/>
          <w:color w:val="000000" w:themeColor="text1"/>
          <w:sz w:val="22"/>
        </w:rPr>
      </w:pPr>
      <w:r w:rsidRPr="00F45922">
        <w:rPr>
          <w:rFonts w:ascii="Arial" w:eastAsia="Calibri" w:hAnsi="Arial" w:cs="Arial"/>
          <w:b/>
          <w:bCs/>
          <w:color w:val="000000" w:themeColor="text1"/>
          <w:sz w:val="22"/>
        </w:rPr>
        <w:lastRenderedPageBreak/>
        <w:t xml:space="preserve">CONTRATO DE PRESTACIÓN DE SERVICIOS PROFESIONALES </w:t>
      </w:r>
      <w:r w:rsidR="002952BE" w:rsidRPr="00F45922">
        <w:rPr>
          <w:rFonts w:ascii="Arial" w:eastAsia="Calibri" w:hAnsi="Arial" w:cs="Arial"/>
          <w:b/>
          <w:bCs/>
          <w:color w:val="000000" w:themeColor="text1"/>
          <w:sz w:val="22"/>
        </w:rPr>
        <w:t>–</w:t>
      </w:r>
      <w:r w:rsidRPr="00F45922">
        <w:rPr>
          <w:rFonts w:ascii="Arial" w:eastAsia="Calibri" w:hAnsi="Arial" w:cs="Arial"/>
          <w:b/>
          <w:bCs/>
          <w:color w:val="000000" w:themeColor="text1"/>
          <w:sz w:val="22"/>
        </w:rPr>
        <w:t xml:space="preserve"> Régimen Jurídico</w:t>
      </w:r>
    </w:p>
    <w:p w14:paraId="0355D1F1" w14:textId="77777777" w:rsidR="000A5886" w:rsidRPr="00DA0AAC" w:rsidRDefault="000A5886" w:rsidP="00DA0AAC">
      <w:pPr>
        <w:ind w:right="49"/>
        <w:jc w:val="both"/>
        <w:rPr>
          <w:rFonts w:ascii="Arial" w:eastAsia="Calibri" w:hAnsi="Arial" w:cs="Arial"/>
          <w:color w:val="000000" w:themeColor="text1"/>
          <w:sz w:val="22"/>
        </w:rPr>
      </w:pPr>
    </w:p>
    <w:p w14:paraId="0E63B8B6" w14:textId="1B4899EF" w:rsidR="000A5886" w:rsidRPr="00F45922" w:rsidRDefault="001F642D" w:rsidP="00DA0AAC">
      <w:pPr>
        <w:ind w:right="49"/>
        <w:jc w:val="both"/>
        <w:rPr>
          <w:rFonts w:ascii="Arial" w:eastAsia="Calibri" w:hAnsi="Arial" w:cs="Arial"/>
          <w:color w:val="000000" w:themeColor="text1"/>
          <w:sz w:val="20"/>
          <w:szCs w:val="20"/>
        </w:rPr>
      </w:pPr>
      <w:r w:rsidRPr="3050F7E9">
        <w:rPr>
          <w:rFonts w:ascii="Arial" w:eastAsia="Calibri" w:hAnsi="Arial" w:cs="Arial"/>
          <w:color w:val="000000" w:themeColor="text1"/>
          <w:sz w:val="20"/>
          <w:szCs w:val="20"/>
        </w:rPr>
        <w:t xml:space="preserve">[…] </w:t>
      </w:r>
      <w:r w:rsidR="31FCBD23" w:rsidRPr="3050F7E9">
        <w:rPr>
          <w:rFonts w:ascii="Arial" w:eastAsia="Calibri" w:hAnsi="Arial" w:cs="Arial"/>
          <w:color w:val="000000" w:themeColor="text1"/>
          <w:sz w:val="20"/>
          <w:szCs w:val="20"/>
        </w:rPr>
        <w:t>e</w:t>
      </w:r>
      <w:r w:rsidR="000A5886" w:rsidRPr="3050F7E9">
        <w:rPr>
          <w:rFonts w:ascii="Arial" w:eastAsia="Calibri" w:hAnsi="Arial" w:cs="Arial"/>
          <w:color w:val="000000" w:themeColor="text1"/>
          <w:sz w:val="20"/>
          <w:szCs w:val="20"/>
        </w:rPr>
        <w:t>s importante señalar que el Decreto 1082 de 2015, en el artículo 2.2.1.2.1.4.9,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Por lo tanto, la entidad estatal debe verificar la idoneidad y la experiencia requerida para ejecutar el objeto del contrato de prestación de servicios.</w:t>
      </w:r>
    </w:p>
    <w:p w14:paraId="1A218D23" w14:textId="77777777" w:rsidR="000A5886" w:rsidRPr="00F45922" w:rsidRDefault="000A5886" w:rsidP="00DA0AAC">
      <w:pPr>
        <w:ind w:right="49"/>
        <w:jc w:val="both"/>
        <w:rPr>
          <w:rFonts w:ascii="Arial" w:eastAsia="Calibri" w:hAnsi="Arial" w:cs="Arial"/>
          <w:color w:val="000000" w:themeColor="text1"/>
          <w:sz w:val="20"/>
          <w:szCs w:val="20"/>
        </w:rPr>
      </w:pPr>
    </w:p>
    <w:p w14:paraId="14302B58" w14:textId="378525B7" w:rsidR="000A5886" w:rsidRPr="00F45922" w:rsidRDefault="000A5886" w:rsidP="00DA0AAC">
      <w:pPr>
        <w:ind w:right="49"/>
        <w:jc w:val="both"/>
        <w:rPr>
          <w:rFonts w:ascii="Arial" w:eastAsia="Calibri" w:hAnsi="Arial" w:cs="Arial"/>
          <w:b/>
          <w:bCs/>
          <w:color w:val="000000" w:themeColor="text1"/>
          <w:sz w:val="22"/>
        </w:rPr>
      </w:pPr>
      <w:r w:rsidRPr="00F45922">
        <w:rPr>
          <w:rFonts w:ascii="Arial" w:eastAsia="Calibri" w:hAnsi="Arial" w:cs="Arial"/>
          <w:b/>
          <w:bCs/>
          <w:color w:val="000000" w:themeColor="text1"/>
          <w:sz w:val="22"/>
        </w:rPr>
        <w:t xml:space="preserve">TÍTULO DE IDONEIDAD </w:t>
      </w:r>
      <w:r w:rsidR="002952BE" w:rsidRPr="00F45922">
        <w:rPr>
          <w:rFonts w:ascii="Arial" w:eastAsia="Calibri" w:hAnsi="Arial" w:cs="Arial"/>
          <w:b/>
          <w:bCs/>
          <w:color w:val="000000" w:themeColor="text1"/>
          <w:sz w:val="22"/>
        </w:rPr>
        <w:t>–</w:t>
      </w:r>
      <w:r w:rsidRPr="00F45922">
        <w:rPr>
          <w:rFonts w:ascii="Arial" w:eastAsia="Calibri" w:hAnsi="Arial" w:cs="Arial"/>
          <w:b/>
          <w:bCs/>
          <w:color w:val="000000" w:themeColor="text1"/>
          <w:sz w:val="22"/>
        </w:rPr>
        <w:t xml:space="preserve"> Régimen constitucional </w:t>
      </w:r>
    </w:p>
    <w:p w14:paraId="16FB8838" w14:textId="77777777" w:rsidR="000A5886" w:rsidRPr="00F45922" w:rsidRDefault="000A5886" w:rsidP="00DA0AAC">
      <w:pPr>
        <w:ind w:right="49"/>
        <w:jc w:val="both"/>
        <w:rPr>
          <w:rFonts w:ascii="Arial" w:eastAsia="Calibri" w:hAnsi="Arial" w:cs="Arial"/>
          <w:color w:val="000000" w:themeColor="text1"/>
          <w:sz w:val="20"/>
          <w:szCs w:val="20"/>
        </w:rPr>
      </w:pPr>
    </w:p>
    <w:p w14:paraId="4AA57721" w14:textId="5E485645" w:rsidR="000A5886" w:rsidRPr="00F45922" w:rsidRDefault="000A5886" w:rsidP="00DA0AAC">
      <w:pPr>
        <w:ind w:right="49"/>
        <w:jc w:val="both"/>
        <w:rPr>
          <w:rFonts w:ascii="Arial" w:eastAsia="Calibri" w:hAnsi="Arial" w:cs="Arial"/>
          <w:color w:val="000000" w:themeColor="text1"/>
          <w:sz w:val="20"/>
          <w:szCs w:val="20"/>
        </w:rPr>
      </w:pPr>
      <w:r w:rsidRPr="00F45922">
        <w:rPr>
          <w:rFonts w:ascii="Arial" w:eastAsia="Calibri" w:hAnsi="Arial" w:cs="Arial"/>
          <w:color w:val="000000" w:themeColor="text1"/>
          <w:sz w:val="20"/>
          <w:szCs w:val="20"/>
        </w:rPr>
        <w:t>En relación con la exigencia de la tarjeta profesional para celebrar el contrato de prestación de servicios, el artículo 26 de la Constitución Política indica que: «La Ley podrá exigir títulos de idoneidad». La Corte Constitucional, en la sentencia C</w:t>
      </w:r>
      <w:r w:rsidR="009B365E" w:rsidRPr="00F45922">
        <w:rPr>
          <w:rFonts w:ascii="Arial" w:eastAsia="Calibri" w:hAnsi="Arial" w:cs="Arial"/>
          <w:color w:val="000000" w:themeColor="text1"/>
          <w:sz w:val="20"/>
          <w:szCs w:val="20"/>
        </w:rPr>
        <w:t xml:space="preserve"> ─ </w:t>
      </w:r>
      <w:r w:rsidRPr="00F45922">
        <w:rPr>
          <w:rFonts w:ascii="Arial" w:eastAsia="Calibri" w:hAnsi="Arial" w:cs="Arial"/>
          <w:color w:val="000000" w:themeColor="text1"/>
          <w:sz w:val="20"/>
          <w:szCs w:val="20"/>
        </w:rPr>
        <w:t xml:space="preserve">697 de 2000, explicó que la Constitución Política autorizó al legislador para exigir determinados títulos de idoneidad a quienes quieren desempeñar actividades que impliquen riesgo social, con el objetivo de demostrar la adecuada aptitud del aspirante. En este sentido, la Ley, frente a determinadas profesiones, que impliquen riesgo social </w:t>
      </w:r>
      <w:r w:rsidR="00124067" w:rsidRPr="00F45922">
        <w:rPr>
          <w:rFonts w:ascii="Arial" w:eastAsia="Calibri" w:hAnsi="Arial" w:cs="Arial"/>
          <w:color w:val="000000" w:themeColor="text1"/>
          <w:sz w:val="20"/>
          <w:szCs w:val="20"/>
        </w:rPr>
        <w:t xml:space="preserve">exige el requisito de tarjeta profesional, </w:t>
      </w:r>
      <w:r w:rsidRPr="00F45922">
        <w:rPr>
          <w:rFonts w:ascii="Arial" w:eastAsia="Calibri" w:hAnsi="Arial" w:cs="Arial"/>
          <w:color w:val="000000" w:themeColor="text1"/>
          <w:sz w:val="20"/>
          <w:szCs w:val="20"/>
        </w:rPr>
        <w:t>para garantizar la aptitud del aspirante.</w:t>
      </w:r>
    </w:p>
    <w:p w14:paraId="48D7FBF6" w14:textId="77777777" w:rsidR="000A5886" w:rsidRPr="00F45922" w:rsidRDefault="000A5886" w:rsidP="00DA0AAC">
      <w:pPr>
        <w:ind w:right="49"/>
        <w:jc w:val="both"/>
        <w:rPr>
          <w:rFonts w:ascii="Arial" w:eastAsia="Calibri" w:hAnsi="Arial" w:cs="Arial"/>
          <w:color w:val="000000" w:themeColor="text1"/>
          <w:sz w:val="20"/>
          <w:szCs w:val="20"/>
        </w:rPr>
      </w:pPr>
    </w:p>
    <w:p w14:paraId="20E9F771" w14:textId="65890508" w:rsidR="000A5886" w:rsidRPr="00F45922" w:rsidRDefault="1D7A34D5" w:rsidP="35117DE8">
      <w:pPr>
        <w:ind w:right="49"/>
        <w:jc w:val="both"/>
        <w:rPr>
          <w:rFonts w:ascii="Arial" w:eastAsia="Calibri" w:hAnsi="Arial" w:cs="Arial"/>
          <w:b/>
          <w:bCs/>
          <w:color w:val="000000" w:themeColor="text1"/>
          <w:sz w:val="22"/>
        </w:rPr>
      </w:pPr>
      <w:r w:rsidRPr="35117DE8">
        <w:rPr>
          <w:rFonts w:ascii="Arial" w:eastAsia="Calibri" w:hAnsi="Arial" w:cs="Arial"/>
          <w:b/>
          <w:bCs/>
          <w:color w:val="000000" w:themeColor="text1"/>
          <w:sz w:val="22"/>
        </w:rPr>
        <w:t>PROFESIÓN DE INGENIERÍA – Ejercicio</w:t>
      </w:r>
      <w:r w:rsidR="000A5886" w:rsidRPr="35117DE8">
        <w:rPr>
          <w:rFonts w:ascii="Arial" w:eastAsia="Calibri" w:hAnsi="Arial" w:cs="Arial"/>
          <w:b/>
          <w:bCs/>
          <w:color w:val="000000" w:themeColor="text1"/>
          <w:sz w:val="22"/>
        </w:rPr>
        <w:t xml:space="preserve"> </w:t>
      </w:r>
      <w:r w:rsidR="002952BE" w:rsidRPr="35117DE8">
        <w:rPr>
          <w:rFonts w:ascii="Arial" w:eastAsia="Calibri" w:hAnsi="Arial" w:cs="Arial"/>
          <w:b/>
          <w:bCs/>
          <w:color w:val="000000" w:themeColor="text1"/>
          <w:sz w:val="22"/>
        </w:rPr>
        <w:t>–</w:t>
      </w:r>
      <w:r w:rsidR="000A5886" w:rsidRPr="35117DE8">
        <w:rPr>
          <w:rFonts w:ascii="Arial" w:eastAsia="Calibri" w:hAnsi="Arial" w:cs="Arial"/>
          <w:b/>
          <w:bCs/>
          <w:color w:val="000000" w:themeColor="text1"/>
          <w:sz w:val="22"/>
        </w:rPr>
        <w:t xml:space="preserve"> Régimen jurídico aplicable</w:t>
      </w:r>
    </w:p>
    <w:p w14:paraId="4AC6732E" w14:textId="77777777" w:rsidR="000A5886" w:rsidRPr="00F45922" w:rsidRDefault="000A5886" w:rsidP="00DA0AAC">
      <w:pPr>
        <w:ind w:right="49"/>
        <w:jc w:val="both"/>
        <w:rPr>
          <w:rFonts w:ascii="Arial" w:eastAsia="Calibri" w:hAnsi="Arial" w:cs="Arial"/>
          <w:b/>
          <w:bCs/>
          <w:color w:val="000000" w:themeColor="text1"/>
          <w:sz w:val="20"/>
          <w:szCs w:val="20"/>
        </w:rPr>
      </w:pPr>
    </w:p>
    <w:p w14:paraId="3A3D9057" w14:textId="6ED5362D" w:rsidR="000A5886" w:rsidRPr="00F45922" w:rsidRDefault="00D92DA9" w:rsidP="00DA0AAC">
      <w:pPr>
        <w:ind w:right="49"/>
        <w:jc w:val="both"/>
        <w:rPr>
          <w:rFonts w:ascii="Arial" w:eastAsia="Calibri" w:hAnsi="Arial" w:cs="Arial"/>
          <w:color w:val="000000" w:themeColor="text1"/>
          <w:sz w:val="20"/>
          <w:szCs w:val="20"/>
        </w:rPr>
      </w:pPr>
      <w:r w:rsidRPr="3050F7E9">
        <w:rPr>
          <w:rFonts w:ascii="Arial" w:eastAsia="Calibri" w:hAnsi="Arial" w:cs="Arial"/>
          <w:color w:val="000000" w:themeColor="text1"/>
          <w:sz w:val="20"/>
          <w:szCs w:val="20"/>
        </w:rPr>
        <w:t xml:space="preserve">[…] </w:t>
      </w:r>
      <w:r w:rsidR="2023700A" w:rsidRPr="3050F7E9">
        <w:rPr>
          <w:rFonts w:ascii="Arial" w:eastAsia="Calibri" w:hAnsi="Arial" w:cs="Arial"/>
          <w:color w:val="000000" w:themeColor="text1"/>
          <w:sz w:val="20"/>
          <w:szCs w:val="20"/>
        </w:rPr>
        <w:t>l</w:t>
      </w:r>
      <w:r w:rsidR="000A5886" w:rsidRPr="3050F7E9">
        <w:rPr>
          <w:rFonts w:ascii="Arial" w:eastAsia="Calibri" w:hAnsi="Arial" w:cs="Arial"/>
          <w:color w:val="000000" w:themeColor="text1"/>
          <w:sz w:val="20"/>
          <w:szCs w:val="20"/>
        </w:rPr>
        <w:t xml:space="preserve">a Ley 842 de 2003, normativa que regula el ejercicio de la ingeniería, establece en el artículo 6 </w:t>
      </w:r>
      <w:proofErr w:type="gramStart"/>
      <w:r w:rsidR="000A5886" w:rsidRPr="3050F7E9">
        <w:rPr>
          <w:rFonts w:ascii="Arial" w:eastAsia="Calibri" w:hAnsi="Arial" w:cs="Arial"/>
          <w:color w:val="000000" w:themeColor="text1"/>
          <w:sz w:val="20"/>
          <w:szCs w:val="20"/>
        </w:rPr>
        <w:t>que</w:t>
      </w:r>
      <w:proofErr w:type="gramEnd"/>
      <w:r w:rsidR="000A5886" w:rsidRPr="3050F7E9">
        <w:rPr>
          <w:rFonts w:ascii="Arial" w:eastAsia="Calibri" w:hAnsi="Arial" w:cs="Arial"/>
          <w:color w:val="000000" w:themeColor="text1"/>
          <w:sz w:val="20"/>
          <w:szCs w:val="20"/>
        </w:rPr>
        <w:t xml:space="preserve"> para ejercer la ingeniería, sus profesiones afines o sus profesiones auxiliares en el territorio nacional, se requiere estar matriculado o inscrito en el Registro Profesional respectivo, que seguirá llevando el </w:t>
      </w:r>
      <w:proofErr w:type="spellStart"/>
      <w:r w:rsidR="000A5886" w:rsidRPr="3050F7E9">
        <w:rPr>
          <w:rFonts w:ascii="Arial" w:eastAsia="Calibri" w:hAnsi="Arial" w:cs="Arial"/>
          <w:color w:val="000000" w:themeColor="text1"/>
          <w:sz w:val="20"/>
          <w:szCs w:val="20"/>
        </w:rPr>
        <w:t>Copnia</w:t>
      </w:r>
      <w:proofErr w:type="spellEnd"/>
      <w:r w:rsidR="000A5886" w:rsidRPr="3050F7E9">
        <w:rPr>
          <w:rFonts w:ascii="Arial" w:eastAsia="Calibri" w:hAnsi="Arial" w:cs="Arial"/>
          <w:color w:val="000000" w:themeColor="text1"/>
          <w:sz w:val="20"/>
          <w:szCs w:val="20"/>
        </w:rPr>
        <w:t xml:space="preserve">, lo cual se acreditará con la presentación de la tarjeta o documento adoptado por este para tal fin. En este caso, para el ejercicio de la profesión de ingeniería se requiere estar matriculado en el </w:t>
      </w:r>
      <w:r w:rsidR="00A84C08" w:rsidRPr="3050F7E9">
        <w:rPr>
          <w:rFonts w:ascii="Arial" w:eastAsia="Calibri" w:hAnsi="Arial" w:cs="Arial"/>
          <w:color w:val="000000" w:themeColor="text1"/>
          <w:sz w:val="20"/>
          <w:szCs w:val="20"/>
        </w:rPr>
        <w:t>r</w:t>
      </w:r>
      <w:r w:rsidR="000A5886" w:rsidRPr="3050F7E9">
        <w:rPr>
          <w:rFonts w:ascii="Arial" w:eastAsia="Calibri" w:hAnsi="Arial" w:cs="Arial"/>
          <w:color w:val="000000" w:themeColor="text1"/>
          <w:sz w:val="20"/>
          <w:szCs w:val="20"/>
        </w:rPr>
        <w:t xml:space="preserve">egistro </w:t>
      </w:r>
      <w:r w:rsidR="00A84C08" w:rsidRPr="3050F7E9">
        <w:rPr>
          <w:rFonts w:ascii="Arial" w:eastAsia="Calibri" w:hAnsi="Arial" w:cs="Arial"/>
          <w:color w:val="000000" w:themeColor="text1"/>
          <w:sz w:val="20"/>
          <w:szCs w:val="20"/>
        </w:rPr>
        <w:t>p</w:t>
      </w:r>
      <w:r w:rsidR="000A5886" w:rsidRPr="3050F7E9">
        <w:rPr>
          <w:rFonts w:ascii="Arial" w:eastAsia="Calibri" w:hAnsi="Arial" w:cs="Arial"/>
          <w:color w:val="000000" w:themeColor="text1"/>
          <w:sz w:val="20"/>
          <w:szCs w:val="20"/>
        </w:rPr>
        <w:t>rofesional, lo cual se acreditará con la presentación de la tarjeta profesional</w:t>
      </w:r>
      <w:r w:rsidR="00A84C08" w:rsidRPr="3050F7E9">
        <w:rPr>
          <w:rFonts w:ascii="Arial" w:eastAsia="Calibri" w:hAnsi="Arial" w:cs="Arial"/>
          <w:color w:val="000000" w:themeColor="text1"/>
          <w:sz w:val="20"/>
          <w:szCs w:val="20"/>
        </w:rPr>
        <w:t>.</w:t>
      </w:r>
      <w:r w:rsidR="000A5886" w:rsidRPr="3050F7E9">
        <w:rPr>
          <w:rFonts w:ascii="Arial" w:eastAsia="Calibri" w:hAnsi="Arial" w:cs="Arial"/>
          <w:color w:val="000000" w:themeColor="text1"/>
          <w:sz w:val="20"/>
          <w:szCs w:val="20"/>
        </w:rPr>
        <w:t xml:space="preserve"> </w:t>
      </w:r>
      <w:r w:rsidR="00A84C08" w:rsidRPr="3050F7E9">
        <w:rPr>
          <w:rFonts w:ascii="Arial" w:eastAsia="Calibri" w:hAnsi="Arial" w:cs="Arial"/>
          <w:color w:val="000000" w:themeColor="text1"/>
          <w:sz w:val="20"/>
          <w:szCs w:val="20"/>
        </w:rPr>
        <w:t>P</w:t>
      </w:r>
      <w:r w:rsidR="000A5886" w:rsidRPr="3050F7E9">
        <w:rPr>
          <w:rFonts w:ascii="Arial" w:eastAsia="Calibri" w:hAnsi="Arial" w:cs="Arial"/>
          <w:color w:val="000000" w:themeColor="text1"/>
          <w:sz w:val="20"/>
          <w:szCs w:val="20"/>
        </w:rPr>
        <w:t>or lo tanto, la entidad estatal deberá verificar que se aporte la tarjeta profesional para la celebración del contrato estatal.</w:t>
      </w:r>
    </w:p>
    <w:p w14:paraId="66D73145" w14:textId="77777777" w:rsidR="000A5886" w:rsidRPr="00F45922" w:rsidRDefault="000A5886" w:rsidP="00DA0AAC">
      <w:pPr>
        <w:ind w:right="49"/>
        <w:jc w:val="both"/>
        <w:rPr>
          <w:rFonts w:ascii="Arial" w:eastAsia="Calibri" w:hAnsi="Arial" w:cs="Arial"/>
          <w:color w:val="000000" w:themeColor="text1"/>
          <w:sz w:val="20"/>
          <w:szCs w:val="20"/>
        </w:rPr>
      </w:pPr>
    </w:p>
    <w:p w14:paraId="688A11D6" w14:textId="6C1564E0" w:rsidR="000A5886" w:rsidRPr="00F45922" w:rsidRDefault="27A42971" w:rsidP="35117DE8">
      <w:pPr>
        <w:ind w:right="49"/>
        <w:jc w:val="both"/>
        <w:rPr>
          <w:rFonts w:ascii="Arial" w:eastAsia="Calibri" w:hAnsi="Arial" w:cs="Arial"/>
          <w:b/>
          <w:bCs/>
          <w:color w:val="000000" w:themeColor="text1"/>
          <w:sz w:val="22"/>
        </w:rPr>
      </w:pPr>
      <w:r w:rsidRPr="35117DE8">
        <w:rPr>
          <w:rFonts w:ascii="Arial" w:eastAsia="Calibri" w:hAnsi="Arial" w:cs="Arial"/>
          <w:b/>
          <w:bCs/>
          <w:color w:val="000000" w:themeColor="text1"/>
          <w:sz w:val="22"/>
        </w:rPr>
        <w:t xml:space="preserve">PROFESIÓN DE </w:t>
      </w:r>
      <w:r w:rsidR="00E612B9" w:rsidRPr="35117DE8">
        <w:rPr>
          <w:rFonts w:ascii="Arial" w:eastAsia="Calibri" w:hAnsi="Arial" w:cs="Arial"/>
          <w:b/>
          <w:bCs/>
          <w:color w:val="000000" w:themeColor="text1"/>
          <w:sz w:val="22"/>
        </w:rPr>
        <w:t>INGENIERÍA</w:t>
      </w:r>
      <w:r w:rsidR="000A5886" w:rsidRPr="35117DE8">
        <w:rPr>
          <w:rFonts w:ascii="Arial" w:eastAsia="Calibri" w:hAnsi="Arial" w:cs="Arial"/>
          <w:b/>
          <w:bCs/>
          <w:color w:val="000000" w:themeColor="text1"/>
          <w:sz w:val="22"/>
        </w:rPr>
        <w:t xml:space="preserve"> </w:t>
      </w:r>
      <w:bookmarkStart w:id="2" w:name="_Hlk39676694"/>
      <w:r w:rsidR="002952BE" w:rsidRPr="35117DE8">
        <w:rPr>
          <w:rFonts w:ascii="Arial" w:eastAsia="Calibri" w:hAnsi="Arial" w:cs="Arial"/>
          <w:b/>
          <w:bCs/>
          <w:color w:val="000000" w:themeColor="text1"/>
          <w:sz w:val="22"/>
        </w:rPr>
        <w:t>–</w:t>
      </w:r>
      <w:r w:rsidR="5ABEEED4" w:rsidRPr="35117DE8">
        <w:rPr>
          <w:rFonts w:ascii="Arial" w:eastAsia="Calibri" w:hAnsi="Arial" w:cs="Arial"/>
          <w:b/>
          <w:bCs/>
          <w:color w:val="000000" w:themeColor="text1"/>
          <w:sz w:val="22"/>
        </w:rPr>
        <w:t xml:space="preserve"> Experiencia </w:t>
      </w:r>
      <w:bookmarkEnd w:id="2"/>
      <w:r w:rsidR="5ABEEED4" w:rsidRPr="35117DE8">
        <w:rPr>
          <w:rFonts w:ascii="Arial" w:eastAsia="Calibri" w:hAnsi="Arial" w:cs="Arial"/>
          <w:b/>
          <w:bCs/>
          <w:color w:val="000000" w:themeColor="text1"/>
          <w:sz w:val="22"/>
        </w:rPr>
        <w:t>–</w:t>
      </w:r>
      <w:r w:rsidR="000A5886" w:rsidRPr="35117DE8">
        <w:rPr>
          <w:rFonts w:ascii="Arial" w:eastAsia="Calibri" w:hAnsi="Arial" w:cs="Arial"/>
          <w:b/>
          <w:bCs/>
          <w:color w:val="000000" w:themeColor="text1"/>
          <w:sz w:val="22"/>
        </w:rPr>
        <w:t xml:space="preserve"> Cómputo</w:t>
      </w:r>
    </w:p>
    <w:p w14:paraId="13DB1C8E" w14:textId="77777777" w:rsidR="000A5886" w:rsidRPr="00F45922" w:rsidRDefault="000A5886" w:rsidP="00DA0AAC">
      <w:pPr>
        <w:ind w:right="49"/>
        <w:jc w:val="both"/>
        <w:rPr>
          <w:rFonts w:ascii="Arial" w:eastAsia="Calibri" w:hAnsi="Arial" w:cs="Arial"/>
          <w:b/>
          <w:bCs/>
          <w:color w:val="000000" w:themeColor="text1"/>
          <w:sz w:val="20"/>
          <w:szCs w:val="20"/>
        </w:rPr>
      </w:pPr>
    </w:p>
    <w:p w14:paraId="4D60FFEC" w14:textId="3688D1F7" w:rsidR="000A5886" w:rsidRPr="00F45922" w:rsidRDefault="00DA0AAC" w:rsidP="00DA0AAC">
      <w:pPr>
        <w:ind w:right="49"/>
        <w:jc w:val="both"/>
        <w:rPr>
          <w:rFonts w:ascii="Arial" w:hAnsi="Arial" w:cs="Arial"/>
          <w:color w:val="000000" w:themeColor="text1"/>
          <w:sz w:val="20"/>
          <w:szCs w:val="20"/>
        </w:rPr>
      </w:pPr>
      <w:r w:rsidRPr="3050F7E9">
        <w:rPr>
          <w:rFonts w:ascii="Arial" w:eastAsia="Calibri" w:hAnsi="Arial" w:cs="Arial"/>
          <w:color w:val="000000" w:themeColor="text1"/>
          <w:sz w:val="20"/>
          <w:szCs w:val="20"/>
        </w:rPr>
        <w:t xml:space="preserve">[…] </w:t>
      </w:r>
      <w:r w:rsidR="385A8040" w:rsidRPr="3050F7E9">
        <w:rPr>
          <w:rFonts w:ascii="Arial" w:eastAsia="Calibri" w:hAnsi="Arial" w:cs="Arial"/>
          <w:color w:val="000000" w:themeColor="text1"/>
          <w:sz w:val="20"/>
          <w:szCs w:val="20"/>
        </w:rPr>
        <w:t>e</w:t>
      </w:r>
      <w:r w:rsidR="00BB7F22" w:rsidRPr="3050F7E9">
        <w:rPr>
          <w:rFonts w:ascii="Arial" w:eastAsia="Calibri" w:hAnsi="Arial" w:cs="Arial"/>
          <w:color w:val="000000" w:themeColor="text1"/>
          <w:sz w:val="20"/>
          <w:szCs w:val="20"/>
        </w:rPr>
        <w:t xml:space="preserve">n relación con el conteo de la experiencia profesional de ingeniería previsto en el </w:t>
      </w:r>
      <w:r w:rsidR="00A84C08" w:rsidRPr="3050F7E9">
        <w:rPr>
          <w:rFonts w:ascii="Arial" w:eastAsia="Calibri" w:hAnsi="Arial" w:cs="Arial"/>
          <w:color w:val="000000" w:themeColor="text1"/>
          <w:sz w:val="20"/>
          <w:szCs w:val="20"/>
        </w:rPr>
        <w:t xml:space="preserve">inciso </w:t>
      </w:r>
      <w:r w:rsidR="00BB7F22" w:rsidRPr="3050F7E9">
        <w:rPr>
          <w:rFonts w:ascii="Arial" w:eastAsia="Calibri" w:hAnsi="Arial" w:cs="Arial"/>
          <w:color w:val="000000" w:themeColor="text1"/>
          <w:sz w:val="20"/>
          <w:szCs w:val="20"/>
        </w:rPr>
        <w:t>segundo del numeral citado es claro que, la Circular fijó esta subregla sin que permita colegir que este evento es una contradicción o contraposición a la regla rectora del Decreto 019 de 2012, pues lo que establece es que siempre que exista una norma especial que regule esta materia deberá remitirse a ella</w:t>
      </w:r>
      <w:r w:rsidR="00155B65" w:rsidRPr="3050F7E9">
        <w:rPr>
          <w:rFonts w:ascii="Arial" w:eastAsia="Calibri" w:hAnsi="Arial" w:cs="Arial"/>
          <w:color w:val="000000" w:themeColor="text1"/>
          <w:sz w:val="20"/>
          <w:szCs w:val="20"/>
        </w:rPr>
        <w:t>.</w:t>
      </w:r>
      <w:r w:rsidR="00BB7F22" w:rsidRPr="3050F7E9">
        <w:rPr>
          <w:rFonts w:ascii="Arial" w:eastAsia="Calibri" w:hAnsi="Arial" w:cs="Arial"/>
          <w:color w:val="000000" w:themeColor="text1"/>
          <w:sz w:val="20"/>
          <w:szCs w:val="20"/>
        </w:rPr>
        <w:t xml:space="preserve"> </w:t>
      </w:r>
      <w:r w:rsidR="00155B65" w:rsidRPr="3050F7E9">
        <w:rPr>
          <w:rFonts w:ascii="Arial" w:eastAsia="Calibri" w:hAnsi="Arial" w:cs="Arial"/>
          <w:color w:val="000000" w:themeColor="text1"/>
          <w:sz w:val="20"/>
          <w:szCs w:val="20"/>
        </w:rPr>
        <w:t>S</w:t>
      </w:r>
      <w:r w:rsidR="00BB7F22" w:rsidRPr="3050F7E9">
        <w:rPr>
          <w:rFonts w:ascii="Arial" w:eastAsia="Calibri" w:hAnsi="Arial" w:cs="Arial"/>
          <w:color w:val="000000" w:themeColor="text1"/>
          <w:sz w:val="20"/>
          <w:szCs w:val="20"/>
        </w:rPr>
        <w:t>in embargo, como la norma de la Ley 84</w:t>
      </w:r>
      <w:r w:rsidR="003824C9" w:rsidRPr="3050F7E9">
        <w:rPr>
          <w:rFonts w:ascii="Arial" w:eastAsia="Calibri" w:hAnsi="Arial" w:cs="Arial"/>
          <w:color w:val="000000" w:themeColor="text1"/>
          <w:sz w:val="20"/>
          <w:szCs w:val="20"/>
        </w:rPr>
        <w:t>2</w:t>
      </w:r>
      <w:r w:rsidR="00BB7F22" w:rsidRPr="3050F7E9">
        <w:rPr>
          <w:rFonts w:ascii="Arial" w:eastAsia="Calibri" w:hAnsi="Arial" w:cs="Arial"/>
          <w:color w:val="000000" w:themeColor="text1"/>
          <w:sz w:val="20"/>
          <w:szCs w:val="20"/>
        </w:rPr>
        <w:t xml:space="preserve"> de 2003 fue derogada tácitamente por el Decreto Ley 019 de 2012, en este momento no existe en el ordenamiento una norma jurídica especial en materia de acreditación de experiencia de profesionales de ingeniería, que ofrezca parámetros distintos a los consagrados en el Decreto 019 de 2012, para el cómputo de la experiencia profesional</w:t>
      </w:r>
      <w:r w:rsidR="00BB7F22" w:rsidRPr="3050F7E9">
        <w:rPr>
          <w:rFonts w:ascii="Arial" w:hAnsi="Arial" w:cs="Arial"/>
          <w:color w:val="000000" w:themeColor="text1"/>
          <w:sz w:val="20"/>
          <w:szCs w:val="20"/>
        </w:rPr>
        <w:t>.</w:t>
      </w:r>
    </w:p>
    <w:p w14:paraId="03CCBD86" w14:textId="581F2903" w:rsidR="006003D6" w:rsidRDefault="006003D6" w:rsidP="006003D6">
      <w:pPr>
        <w:autoSpaceDE w:val="0"/>
        <w:autoSpaceDN w:val="0"/>
        <w:adjustRightInd w:val="0"/>
        <w:rPr>
          <w:rFonts w:ascii="Arial" w:hAnsi="Arial" w:cs="Arial"/>
          <w:color w:val="000000" w:themeColor="text1"/>
          <w:sz w:val="20"/>
          <w:szCs w:val="20"/>
          <w:lang w:val="es-CO"/>
        </w:rPr>
      </w:pPr>
    </w:p>
    <w:p w14:paraId="3E753321" w14:textId="77777777" w:rsidR="00B16E7A" w:rsidRDefault="00B16E7A" w:rsidP="006003D6">
      <w:pPr>
        <w:autoSpaceDE w:val="0"/>
        <w:autoSpaceDN w:val="0"/>
        <w:adjustRightInd w:val="0"/>
        <w:rPr>
          <w:rFonts w:ascii="Arial" w:hAnsi="Arial" w:cs="Arial"/>
          <w:color w:val="000000" w:themeColor="text1"/>
          <w:sz w:val="20"/>
          <w:szCs w:val="20"/>
          <w:lang w:val="es-CO"/>
        </w:rPr>
      </w:pPr>
    </w:p>
    <w:p w14:paraId="608F8323" w14:textId="6B477205" w:rsidR="006003D6" w:rsidRPr="006003D6" w:rsidRDefault="006003D6" w:rsidP="006003D6">
      <w:pPr>
        <w:autoSpaceDE w:val="0"/>
        <w:autoSpaceDN w:val="0"/>
        <w:adjustRightInd w:val="0"/>
        <w:rPr>
          <w:rFonts w:ascii="Arial" w:hAnsi="Arial" w:cs="Arial"/>
          <w:color w:val="000000" w:themeColor="text1"/>
          <w:sz w:val="22"/>
          <w:lang w:val="es-CO"/>
        </w:rPr>
      </w:pPr>
      <w:r w:rsidRPr="006003D6">
        <w:rPr>
          <w:rFonts w:ascii="Arial" w:hAnsi="Arial" w:cs="Arial"/>
          <w:color w:val="000000" w:themeColor="text1"/>
          <w:sz w:val="22"/>
          <w:lang w:val="es-CO"/>
        </w:rPr>
        <w:t xml:space="preserve">Bogotá D.C., </w:t>
      </w:r>
      <w:r w:rsidRPr="006003D6">
        <w:rPr>
          <w:rFonts w:ascii="Arial" w:hAnsi="Arial" w:cs="Arial"/>
          <w:b/>
          <w:bCs/>
          <w:color w:val="000000" w:themeColor="text1"/>
          <w:sz w:val="22"/>
          <w:lang w:val="es-CO"/>
        </w:rPr>
        <w:t xml:space="preserve">14/04/2020 Hora 10:17:38s </w:t>
      </w:r>
    </w:p>
    <w:p w14:paraId="045592DF" w14:textId="7CA6BE29" w:rsidR="000A5886" w:rsidRPr="00946115" w:rsidRDefault="006003D6" w:rsidP="006003D6">
      <w:pPr>
        <w:pStyle w:val="Textoindependiente"/>
        <w:spacing w:before="93"/>
        <w:ind w:left="284"/>
        <w:jc w:val="right"/>
        <w:rPr>
          <w:b/>
          <w:color w:val="000000" w:themeColor="text1"/>
        </w:rPr>
      </w:pPr>
      <w:proofErr w:type="spellStart"/>
      <w:r w:rsidRPr="00946115">
        <w:rPr>
          <w:rFonts w:eastAsiaTheme="minorHAnsi"/>
          <w:b/>
          <w:bCs/>
          <w:color w:val="000000" w:themeColor="text1"/>
          <w:lang w:val="es-CO"/>
        </w:rPr>
        <w:t>N°</w:t>
      </w:r>
      <w:proofErr w:type="spellEnd"/>
      <w:r w:rsidRPr="00946115">
        <w:rPr>
          <w:rFonts w:eastAsiaTheme="minorHAnsi"/>
          <w:b/>
          <w:bCs/>
          <w:color w:val="000000" w:themeColor="text1"/>
          <w:lang w:val="es-CO"/>
        </w:rPr>
        <w:t xml:space="preserve"> Radicado: 2202013000002648</w:t>
      </w:r>
    </w:p>
    <w:p w14:paraId="566D8826" w14:textId="77777777" w:rsidR="000A5886" w:rsidRPr="00946115" w:rsidRDefault="000A5886" w:rsidP="000A5886">
      <w:pPr>
        <w:pStyle w:val="Textoindependiente"/>
        <w:spacing w:before="93"/>
        <w:rPr>
          <w:color w:val="000000" w:themeColor="text1"/>
        </w:rPr>
      </w:pPr>
      <w:r w:rsidRPr="00946115">
        <w:rPr>
          <w:color w:val="000000" w:themeColor="text1"/>
        </w:rPr>
        <w:t>Señora</w:t>
      </w:r>
    </w:p>
    <w:p w14:paraId="430CFD16" w14:textId="77777777" w:rsidR="000A5886" w:rsidRPr="00946115" w:rsidRDefault="000A5886" w:rsidP="000A5886">
      <w:pPr>
        <w:pStyle w:val="Ttulo1"/>
        <w:spacing w:line="253" w:lineRule="exact"/>
        <w:ind w:left="0" w:firstLine="0"/>
        <w:rPr>
          <w:color w:val="000000" w:themeColor="text1"/>
        </w:rPr>
      </w:pPr>
      <w:r w:rsidRPr="00946115">
        <w:rPr>
          <w:color w:val="000000" w:themeColor="text1"/>
        </w:rPr>
        <w:t xml:space="preserve">Jenny Velandia Martínez </w:t>
      </w:r>
    </w:p>
    <w:p w14:paraId="64560251" w14:textId="77777777" w:rsidR="000A5886" w:rsidRPr="00946115" w:rsidRDefault="000A5886" w:rsidP="000A5886">
      <w:pPr>
        <w:pStyle w:val="Textoindependiente"/>
        <w:rPr>
          <w:color w:val="000000" w:themeColor="text1"/>
        </w:rPr>
      </w:pPr>
      <w:r w:rsidRPr="00946115">
        <w:rPr>
          <w:color w:val="000000" w:themeColor="text1"/>
        </w:rPr>
        <w:t>Ciudad</w:t>
      </w:r>
    </w:p>
    <w:p w14:paraId="52A3C8A6" w14:textId="7970AC61" w:rsidR="000A5886" w:rsidRDefault="000A5886" w:rsidP="000A5886">
      <w:pPr>
        <w:pStyle w:val="Textoindependiente"/>
        <w:ind w:left="284"/>
        <w:rPr>
          <w:color w:val="000000" w:themeColor="text1"/>
        </w:rPr>
      </w:pPr>
    </w:p>
    <w:p w14:paraId="72921134" w14:textId="2F10D8DC" w:rsidR="00981F4F" w:rsidRDefault="00981F4F" w:rsidP="000A5886">
      <w:pPr>
        <w:pStyle w:val="Textoindependiente"/>
        <w:ind w:left="284"/>
        <w:rPr>
          <w:color w:val="000000" w:themeColor="text1"/>
        </w:rPr>
      </w:pPr>
    </w:p>
    <w:p w14:paraId="345C2DF7" w14:textId="77777777" w:rsidR="006B3266" w:rsidRPr="00946115" w:rsidRDefault="006B3266" w:rsidP="000A5886">
      <w:pPr>
        <w:pStyle w:val="Textoindependiente"/>
        <w:ind w:left="284"/>
        <w:rPr>
          <w:color w:val="000000" w:themeColor="text1"/>
        </w:rPr>
      </w:pPr>
    </w:p>
    <w:p w14:paraId="70555F5E" w14:textId="2FC63A6D" w:rsidR="000A5886" w:rsidRPr="00946115" w:rsidRDefault="000A5886" w:rsidP="000A5886">
      <w:pPr>
        <w:spacing w:before="120" w:after="120" w:line="276" w:lineRule="auto"/>
        <w:jc w:val="center"/>
        <w:rPr>
          <w:rFonts w:ascii="Arial" w:eastAsia="Calibri" w:hAnsi="Arial" w:cs="Arial"/>
          <w:b/>
          <w:color w:val="000000" w:themeColor="text1"/>
          <w:sz w:val="22"/>
        </w:rPr>
      </w:pPr>
      <w:r w:rsidRPr="00946115">
        <w:rPr>
          <w:rFonts w:ascii="Arial" w:eastAsia="Calibri" w:hAnsi="Arial" w:cs="Arial"/>
          <w:b/>
          <w:color w:val="000000" w:themeColor="text1"/>
          <w:sz w:val="22"/>
        </w:rPr>
        <w:t>Concepto C ─</w:t>
      </w:r>
      <w:r w:rsidR="00F949BD" w:rsidRPr="00946115">
        <w:rPr>
          <w:rFonts w:ascii="Arial" w:eastAsia="Calibri" w:hAnsi="Arial" w:cs="Arial"/>
          <w:b/>
          <w:color w:val="000000" w:themeColor="text1"/>
          <w:sz w:val="22"/>
        </w:rPr>
        <w:t xml:space="preserve"> 212 </w:t>
      </w:r>
      <w:r w:rsidRPr="00946115">
        <w:rPr>
          <w:rFonts w:ascii="Arial" w:eastAsia="Calibri" w:hAnsi="Arial" w:cs="Arial"/>
          <w:b/>
          <w:color w:val="000000" w:themeColor="text1"/>
          <w:sz w:val="22"/>
        </w:rPr>
        <w:t>de 2020</w:t>
      </w:r>
    </w:p>
    <w:p w14:paraId="16389BE7" w14:textId="09175962" w:rsidR="000A5886" w:rsidRDefault="000A5886" w:rsidP="000A5886">
      <w:pPr>
        <w:spacing w:before="120" w:after="120" w:line="276" w:lineRule="auto"/>
        <w:rPr>
          <w:rFonts w:ascii="Arial" w:eastAsia="Calibri" w:hAnsi="Arial" w:cs="Arial"/>
          <w:color w:val="000000" w:themeColor="text1"/>
          <w:sz w:val="22"/>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946115" w:rsidRPr="00946115" w14:paraId="39C1BFAA" w14:textId="77777777" w:rsidTr="00754E57">
        <w:tc>
          <w:tcPr>
            <w:tcW w:w="2689" w:type="dxa"/>
            <w:hideMark/>
          </w:tcPr>
          <w:p w14:paraId="14C19F0C" w14:textId="77777777" w:rsidR="000A5886" w:rsidRPr="00946115" w:rsidRDefault="000A5886" w:rsidP="00B971E5">
            <w:pPr>
              <w:spacing w:line="276" w:lineRule="auto"/>
              <w:rPr>
                <w:rFonts w:ascii="Arial" w:eastAsia="Calibri" w:hAnsi="Arial" w:cs="Arial"/>
                <w:color w:val="000000" w:themeColor="text1"/>
                <w:sz w:val="22"/>
              </w:rPr>
            </w:pPr>
            <w:r w:rsidRPr="00946115">
              <w:rPr>
                <w:rFonts w:ascii="Arial" w:eastAsia="Calibri" w:hAnsi="Arial" w:cs="Arial"/>
                <w:b/>
                <w:color w:val="000000" w:themeColor="text1"/>
                <w:sz w:val="22"/>
              </w:rPr>
              <w:t>Temas:</w:t>
            </w:r>
            <w:r w:rsidRPr="00946115">
              <w:rPr>
                <w:rFonts w:ascii="Arial" w:eastAsia="Calibri" w:hAnsi="Arial" w:cs="Arial"/>
                <w:color w:val="000000" w:themeColor="text1"/>
                <w:sz w:val="22"/>
              </w:rPr>
              <w:t xml:space="preserve">           </w:t>
            </w:r>
          </w:p>
          <w:p w14:paraId="62FF56B0" w14:textId="77777777" w:rsidR="000A5886" w:rsidRPr="00946115" w:rsidRDefault="000A5886" w:rsidP="00754E57">
            <w:pPr>
              <w:spacing w:before="120" w:after="120" w:line="276" w:lineRule="auto"/>
              <w:rPr>
                <w:rFonts w:ascii="Arial" w:eastAsia="Calibri" w:hAnsi="Arial" w:cs="Arial"/>
                <w:color w:val="000000" w:themeColor="text1"/>
                <w:sz w:val="22"/>
              </w:rPr>
            </w:pPr>
            <w:r w:rsidRPr="00946115">
              <w:rPr>
                <w:rFonts w:ascii="Arial" w:eastAsia="Calibri" w:hAnsi="Arial" w:cs="Arial"/>
                <w:color w:val="000000" w:themeColor="text1"/>
                <w:sz w:val="22"/>
              </w:rPr>
              <w:t xml:space="preserve">                           </w:t>
            </w:r>
          </w:p>
        </w:tc>
        <w:tc>
          <w:tcPr>
            <w:tcW w:w="6383" w:type="dxa"/>
            <w:hideMark/>
          </w:tcPr>
          <w:p w14:paraId="78AD9B24" w14:textId="4DC078A7" w:rsidR="000A5886" w:rsidRPr="00946115" w:rsidRDefault="000A5886" w:rsidP="00754E57">
            <w:pPr>
              <w:ind w:left="284"/>
              <w:jc w:val="both"/>
              <w:rPr>
                <w:rFonts w:ascii="Arial" w:eastAsia="Calibri" w:hAnsi="Arial" w:cs="Arial"/>
                <w:color w:val="000000" w:themeColor="text1"/>
              </w:rPr>
            </w:pPr>
            <w:r w:rsidRPr="00946115">
              <w:rPr>
                <w:rFonts w:ascii="Arial" w:eastAsia="Calibri" w:hAnsi="Arial" w:cs="Arial"/>
                <w:color w:val="000000" w:themeColor="text1"/>
              </w:rPr>
              <w:t xml:space="preserve">EXPERIENCIA PROFESIONAL – </w:t>
            </w:r>
            <w:r w:rsidR="00521564">
              <w:rPr>
                <w:rFonts w:ascii="Arial" w:eastAsia="Calibri" w:hAnsi="Arial" w:cs="Arial"/>
                <w:color w:val="000000" w:themeColor="text1"/>
              </w:rPr>
              <w:t xml:space="preserve">Computo </w:t>
            </w:r>
            <w:r w:rsidR="00521564" w:rsidRPr="00DA0AAC">
              <w:rPr>
                <w:rFonts w:ascii="Arial" w:eastAsia="Calibri" w:hAnsi="Arial" w:cs="Arial"/>
                <w:b/>
                <w:bCs/>
                <w:color w:val="000000" w:themeColor="text1"/>
                <w:sz w:val="22"/>
              </w:rPr>
              <w:t>–</w:t>
            </w:r>
            <w:r w:rsidR="00521564">
              <w:rPr>
                <w:rFonts w:ascii="Arial" w:eastAsia="Calibri" w:hAnsi="Arial" w:cs="Arial"/>
                <w:b/>
                <w:bCs/>
                <w:color w:val="000000" w:themeColor="text1"/>
                <w:sz w:val="22"/>
              </w:rPr>
              <w:t xml:space="preserve"> </w:t>
            </w:r>
            <w:r w:rsidRPr="00946115">
              <w:rPr>
                <w:rFonts w:ascii="Arial" w:eastAsia="Calibri" w:hAnsi="Arial" w:cs="Arial"/>
                <w:color w:val="000000" w:themeColor="text1"/>
              </w:rPr>
              <w:t xml:space="preserve">Régimen jurídico aplicable / PRÀCTICA LABORAL – Régimen jurídico aplicable – Concepto / EXPERIENCIA PROFESIONAL – </w:t>
            </w:r>
            <w:r w:rsidR="00521564">
              <w:rPr>
                <w:rFonts w:ascii="Arial" w:eastAsia="Calibri" w:hAnsi="Arial" w:cs="Arial"/>
                <w:color w:val="000000" w:themeColor="text1"/>
              </w:rPr>
              <w:t xml:space="preserve">Computo </w:t>
            </w:r>
            <w:r w:rsidR="00521564" w:rsidRPr="00DA0AAC">
              <w:rPr>
                <w:rFonts w:ascii="Arial" w:eastAsia="Calibri" w:hAnsi="Arial" w:cs="Arial"/>
                <w:b/>
                <w:bCs/>
                <w:color w:val="000000" w:themeColor="text1"/>
                <w:sz w:val="22"/>
              </w:rPr>
              <w:t>–</w:t>
            </w:r>
            <w:r w:rsidR="00521564">
              <w:rPr>
                <w:rFonts w:ascii="Arial" w:eastAsia="Calibri" w:hAnsi="Arial" w:cs="Arial"/>
                <w:b/>
                <w:bCs/>
                <w:color w:val="000000" w:themeColor="text1"/>
                <w:sz w:val="22"/>
              </w:rPr>
              <w:t xml:space="preserve"> </w:t>
            </w:r>
            <w:r w:rsidR="00521564">
              <w:rPr>
                <w:rFonts w:ascii="Arial" w:eastAsia="Calibri" w:hAnsi="Arial" w:cs="Arial"/>
                <w:color w:val="000000" w:themeColor="text1"/>
              </w:rPr>
              <w:t>Inclusión de</w:t>
            </w:r>
            <w:r w:rsidRPr="00946115">
              <w:rPr>
                <w:rFonts w:ascii="Arial" w:eastAsia="Calibri" w:hAnsi="Arial" w:cs="Arial"/>
                <w:color w:val="000000" w:themeColor="text1"/>
              </w:rPr>
              <w:t xml:space="preserve"> práctica laboral /</w:t>
            </w:r>
            <w:r w:rsidR="00521564">
              <w:rPr>
                <w:rFonts w:ascii="Arial" w:eastAsia="Calibri" w:hAnsi="Arial" w:cs="Arial"/>
                <w:color w:val="000000" w:themeColor="text1"/>
              </w:rPr>
              <w:t xml:space="preserve"> </w:t>
            </w:r>
            <w:r w:rsidRPr="00946115">
              <w:rPr>
                <w:rFonts w:ascii="Arial" w:eastAsia="Calibri" w:hAnsi="Arial" w:cs="Arial"/>
                <w:color w:val="000000" w:themeColor="text1"/>
              </w:rPr>
              <w:t xml:space="preserve">EXPERIENCIA PROFESIONAL – </w:t>
            </w:r>
            <w:r w:rsidR="00521564">
              <w:rPr>
                <w:rFonts w:ascii="Arial" w:eastAsia="Calibri" w:hAnsi="Arial" w:cs="Arial"/>
                <w:color w:val="000000" w:themeColor="text1"/>
              </w:rPr>
              <w:t xml:space="preserve">Normas </w:t>
            </w:r>
            <w:r w:rsidR="00521564" w:rsidRPr="00DA0AAC">
              <w:rPr>
                <w:rFonts w:ascii="Arial" w:eastAsia="Calibri" w:hAnsi="Arial" w:cs="Arial"/>
                <w:b/>
                <w:bCs/>
                <w:color w:val="000000" w:themeColor="text1"/>
                <w:sz w:val="22"/>
              </w:rPr>
              <w:t>–</w:t>
            </w:r>
            <w:r w:rsidR="00521564">
              <w:rPr>
                <w:rFonts w:ascii="Arial" w:eastAsia="Calibri" w:hAnsi="Arial" w:cs="Arial"/>
                <w:b/>
                <w:bCs/>
                <w:color w:val="000000" w:themeColor="text1"/>
                <w:sz w:val="22"/>
              </w:rPr>
              <w:t xml:space="preserve"> </w:t>
            </w:r>
            <w:r w:rsidRPr="00946115">
              <w:rPr>
                <w:rFonts w:ascii="Arial" w:eastAsia="Calibri" w:hAnsi="Arial" w:cs="Arial"/>
                <w:color w:val="000000" w:themeColor="text1"/>
              </w:rPr>
              <w:t xml:space="preserve">Vigencia / CONTRATO DE PRESTACIÓN DE SERVICIOS PROFESIONALES – Régimen Jurídico / TÍTULO DE IDONEIDAD – Régimen constitucional / </w:t>
            </w:r>
            <w:r w:rsidRPr="00946115">
              <w:rPr>
                <w:rFonts w:ascii="Arial" w:hAnsi="Arial" w:cs="Arial"/>
                <w:color w:val="000000" w:themeColor="text1"/>
              </w:rPr>
              <w:t xml:space="preserve">EJERCICIO DE LA PROFESIÓN DE INGENIERO – Régimen jurídico aplicable / EXPERIENCIA PROFESIONAL </w:t>
            </w:r>
            <w:r w:rsidR="00E612B9" w:rsidRPr="00946115">
              <w:rPr>
                <w:rFonts w:ascii="Arial" w:hAnsi="Arial" w:cs="Arial"/>
                <w:color w:val="000000" w:themeColor="text1"/>
              </w:rPr>
              <w:t>INGENIERÍA</w:t>
            </w:r>
            <w:r w:rsidRPr="00946115">
              <w:rPr>
                <w:rFonts w:ascii="Arial" w:hAnsi="Arial" w:cs="Arial"/>
                <w:color w:val="000000" w:themeColor="text1"/>
              </w:rPr>
              <w:t xml:space="preserve"> – Cómputo</w:t>
            </w:r>
          </w:p>
          <w:p w14:paraId="3725A1ED" w14:textId="77777777" w:rsidR="000A5886" w:rsidRPr="00946115" w:rsidRDefault="000A5886" w:rsidP="00754E57">
            <w:pPr>
              <w:jc w:val="both"/>
              <w:rPr>
                <w:rFonts w:ascii="Arial" w:hAnsi="Arial" w:cs="Arial"/>
                <w:color w:val="000000" w:themeColor="text1"/>
                <w:sz w:val="22"/>
              </w:rPr>
            </w:pPr>
          </w:p>
        </w:tc>
      </w:tr>
      <w:tr w:rsidR="000A5886" w:rsidRPr="00946115" w14:paraId="6D4FF87A" w14:textId="77777777" w:rsidTr="00754E57">
        <w:tc>
          <w:tcPr>
            <w:tcW w:w="2689" w:type="dxa"/>
          </w:tcPr>
          <w:p w14:paraId="58E2A9EF" w14:textId="77777777" w:rsidR="000A5886" w:rsidRPr="00946115" w:rsidRDefault="000A5886" w:rsidP="005D4893">
            <w:pPr>
              <w:spacing w:line="276" w:lineRule="auto"/>
              <w:ind w:right="49"/>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Radicación:                              </w:t>
            </w:r>
          </w:p>
        </w:tc>
        <w:tc>
          <w:tcPr>
            <w:tcW w:w="6383" w:type="dxa"/>
          </w:tcPr>
          <w:p w14:paraId="0A9E131D" w14:textId="3BEBA0A5" w:rsidR="000A5886" w:rsidRPr="00946115" w:rsidRDefault="000A5886" w:rsidP="005D4893">
            <w:pPr>
              <w:spacing w:line="276" w:lineRule="auto"/>
              <w:ind w:right="49"/>
              <w:jc w:val="both"/>
              <w:rPr>
                <w:rFonts w:ascii="Arial" w:eastAsia="Calibri" w:hAnsi="Arial" w:cs="Arial"/>
                <w:color w:val="000000" w:themeColor="text1"/>
                <w:sz w:val="22"/>
              </w:rPr>
            </w:pPr>
            <w:r w:rsidRPr="00946115">
              <w:rPr>
                <w:rFonts w:ascii="Arial" w:eastAsia="Calibri" w:hAnsi="Arial" w:cs="Arial"/>
                <w:color w:val="000000" w:themeColor="text1"/>
                <w:sz w:val="22"/>
              </w:rPr>
              <w:t>Respuesta a consulta #420201</w:t>
            </w:r>
            <w:r w:rsidR="007F3EF8" w:rsidRPr="00946115">
              <w:rPr>
                <w:rFonts w:ascii="Arial" w:eastAsia="Calibri" w:hAnsi="Arial" w:cs="Arial"/>
                <w:color w:val="000000" w:themeColor="text1"/>
                <w:sz w:val="22"/>
              </w:rPr>
              <w:t>3000001697</w:t>
            </w:r>
          </w:p>
        </w:tc>
      </w:tr>
    </w:tbl>
    <w:p w14:paraId="2FFC6252" w14:textId="43CC84BB" w:rsidR="000A5886" w:rsidRDefault="000A5886" w:rsidP="005D4893">
      <w:pPr>
        <w:spacing w:line="276" w:lineRule="auto"/>
        <w:ind w:right="49"/>
        <w:jc w:val="both"/>
        <w:rPr>
          <w:rFonts w:ascii="Arial" w:eastAsia="Calibri" w:hAnsi="Arial" w:cs="Arial"/>
          <w:color w:val="000000" w:themeColor="text1"/>
          <w:sz w:val="22"/>
        </w:rPr>
      </w:pPr>
    </w:p>
    <w:p w14:paraId="2909D658" w14:textId="77777777" w:rsidR="00981F4F" w:rsidRPr="00946115" w:rsidRDefault="00981F4F" w:rsidP="005D4893">
      <w:pPr>
        <w:spacing w:line="276" w:lineRule="auto"/>
        <w:ind w:right="49"/>
        <w:jc w:val="both"/>
        <w:rPr>
          <w:rFonts w:ascii="Arial" w:eastAsia="Calibri" w:hAnsi="Arial" w:cs="Arial"/>
          <w:color w:val="000000" w:themeColor="text1"/>
          <w:sz w:val="22"/>
        </w:rPr>
      </w:pPr>
    </w:p>
    <w:p w14:paraId="0054C354" w14:textId="4580A155" w:rsidR="000A5886" w:rsidRDefault="000A5886" w:rsidP="00B971E5">
      <w:pPr>
        <w:spacing w:line="276" w:lineRule="auto"/>
        <w:ind w:right="51"/>
        <w:jc w:val="both"/>
        <w:rPr>
          <w:rFonts w:ascii="Arial" w:eastAsia="Calibri" w:hAnsi="Arial" w:cs="Arial"/>
          <w:color w:val="000000" w:themeColor="text1"/>
          <w:sz w:val="22"/>
        </w:rPr>
      </w:pPr>
      <w:r w:rsidRPr="00946115">
        <w:rPr>
          <w:rFonts w:ascii="Arial" w:eastAsia="Calibri" w:hAnsi="Arial" w:cs="Arial"/>
          <w:color w:val="000000" w:themeColor="text1"/>
          <w:sz w:val="22"/>
        </w:rPr>
        <w:t>Estimada señora Velandia:</w:t>
      </w:r>
    </w:p>
    <w:p w14:paraId="72BA082D" w14:textId="77777777" w:rsidR="006B3266" w:rsidRPr="00946115" w:rsidRDefault="006B3266" w:rsidP="00B971E5">
      <w:pPr>
        <w:spacing w:line="276" w:lineRule="auto"/>
        <w:ind w:right="51"/>
        <w:jc w:val="both"/>
        <w:rPr>
          <w:rFonts w:ascii="Arial" w:eastAsia="Calibri" w:hAnsi="Arial" w:cs="Arial"/>
          <w:color w:val="000000" w:themeColor="text1"/>
          <w:sz w:val="22"/>
        </w:rPr>
      </w:pPr>
    </w:p>
    <w:p w14:paraId="0563BCFB" w14:textId="6BD25C30" w:rsidR="000A5886" w:rsidRPr="00946115" w:rsidRDefault="000A5886" w:rsidP="00B971E5">
      <w:pPr>
        <w:spacing w:line="276" w:lineRule="auto"/>
        <w:ind w:right="51"/>
        <w:jc w:val="both"/>
        <w:rPr>
          <w:rFonts w:ascii="Arial" w:eastAsia="Calibri" w:hAnsi="Arial" w:cs="Arial"/>
          <w:color w:val="000000" w:themeColor="text1"/>
          <w:sz w:val="22"/>
        </w:rPr>
      </w:pPr>
      <w:r w:rsidRPr="00946115">
        <w:rPr>
          <w:rFonts w:ascii="Arial" w:eastAsia="Calibri" w:hAnsi="Arial" w:cs="Arial"/>
          <w:color w:val="000000" w:themeColor="text1"/>
          <w:sz w:val="22"/>
        </w:rPr>
        <w:t>La Agencia N</w:t>
      </w:r>
      <w:r w:rsidR="009B365E" w:rsidRPr="00946115">
        <w:rPr>
          <w:rFonts w:ascii="Arial" w:eastAsia="Calibri" w:hAnsi="Arial" w:cs="Arial"/>
          <w:color w:val="000000" w:themeColor="text1"/>
          <w:sz w:val="22"/>
        </w:rPr>
        <w:t>acional de Contratación Pública ─</w:t>
      </w:r>
      <w:r w:rsidRPr="00946115">
        <w:rPr>
          <w:rFonts w:ascii="Arial" w:eastAsia="Calibri" w:hAnsi="Arial" w:cs="Arial"/>
          <w:color w:val="000000" w:themeColor="text1"/>
          <w:sz w:val="22"/>
        </w:rPr>
        <w:t>Colombia Compra Eficiente</w:t>
      </w:r>
      <w:proofErr w:type="gramStart"/>
      <w:r w:rsidR="009B365E" w:rsidRPr="00946115">
        <w:rPr>
          <w:rFonts w:ascii="Arial" w:eastAsia="Calibri" w:hAnsi="Arial" w:cs="Arial"/>
          <w:color w:val="000000" w:themeColor="text1"/>
          <w:sz w:val="22"/>
        </w:rPr>
        <w:t xml:space="preserve">─ </w:t>
      </w:r>
      <w:r w:rsidR="007F3EF8" w:rsidRPr="00946115">
        <w:rPr>
          <w:rFonts w:ascii="Arial" w:eastAsia="Calibri" w:hAnsi="Arial" w:cs="Arial"/>
          <w:color w:val="000000" w:themeColor="text1"/>
          <w:sz w:val="22"/>
        </w:rPr>
        <w:t>,</w:t>
      </w:r>
      <w:proofErr w:type="gramEnd"/>
      <w:r w:rsidR="007F3EF8" w:rsidRPr="00946115">
        <w:rPr>
          <w:rFonts w:ascii="Arial" w:eastAsia="Calibri" w:hAnsi="Arial" w:cs="Arial"/>
          <w:color w:val="000000" w:themeColor="text1"/>
          <w:sz w:val="22"/>
        </w:rPr>
        <w:t xml:space="preserve"> responde su consulta del 5</w:t>
      </w:r>
      <w:r w:rsidRPr="00946115">
        <w:rPr>
          <w:rFonts w:ascii="Arial" w:eastAsia="Calibri" w:hAnsi="Arial" w:cs="Arial"/>
          <w:color w:val="000000" w:themeColor="text1"/>
          <w:sz w:val="22"/>
        </w:rPr>
        <w:t xml:space="preserve"> de marzo de 2020, en ejercicio de la competencia otorgada por el numeral 8 del artículo 11 y el numeral 5 del artículo 3 del Decreto Ley 4170 de 2011.</w:t>
      </w:r>
    </w:p>
    <w:p w14:paraId="5E55958A" w14:textId="77777777" w:rsidR="000A5886" w:rsidRPr="00946115" w:rsidRDefault="000A5886" w:rsidP="005D4893">
      <w:pPr>
        <w:spacing w:line="276" w:lineRule="auto"/>
        <w:ind w:right="49"/>
        <w:jc w:val="both"/>
        <w:rPr>
          <w:rFonts w:ascii="Arial" w:eastAsia="Calibri" w:hAnsi="Arial" w:cs="Arial"/>
          <w:color w:val="000000" w:themeColor="text1"/>
          <w:sz w:val="22"/>
        </w:rPr>
      </w:pPr>
    </w:p>
    <w:p w14:paraId="1456BD5B" w14:textId="16A75A91" w:rsidR="000A5886" w:rsidRPr="00946115" w:rsidRDefault="000A5886" w:rsidP="005D4893">
      <w:pPr>
        <w:spacing w:line="276" w:lineRule="auto"/>
        <w:ind w:right="49"/>
        <w:jc w:val="both"/>
        <w:rPr>
          <w:rFonts w:ascii="Arial" w:eastAsia="Calibri" w:hAnsi="Arial" w:cs="Arial"/>
          <w:b/>
          <w:color w:val="000000" w:themeColor="text1"/>
          <w:sz w:val="22"/>
        </w:rPr>
      </w:pPr>
      <w:r w:rsidRPr="00946115">
        <w:rPr>
          <w:rFonts w:ascii="Arial" w:eastAsia="Calibri" w:hAnsi="Arial" w:cs="Arial"/>
          <w:b/>
          <w:color w:val="000000" w:themeColor="text1"/>
          <w:sz w:val="22"/>
        </w:rPr>
        <w:t>1. Problema</w:t>
      </w:r>
      <w:r w:rsidR="005D4893" w:rsidRPr="00946115">
        <w:rPr>
          <w:rFonts w:ascii="Arial" w:eastAsia="Calibri" w:hAnsi="Arial" w:cs="Arial"/>
          <w:b/>
          <w:color w:val="000000" w:themeColor="text1"/>
          <w:sz w:val="22"/>
        </w:rPr>
        <w:t>s</w:t>
      </w:r>
      <w:r w:rsidRPr="00946115">
        <w:rPr>
          <w:rFonts w:ascii="Arial" w:eastAsia="Calibri" w:hAnsi="Arial" w:cs="Arial"/>
          <w:b/>
          <w:color w:val="000000" w:themeColor="text1"/>
          <w:sz w:val="22"/>
        </w:rPr>
        <w:t xml:space="preserve"> planteado</w:t>
      </w:r>
      <w:r w:rsidR="005D4893" w:rsidRPr="00946115">
        <w:rPr>
          <w:rFonts w:ascii="Arial" w:eastAsia="Calibri" w:hAnsi="Arial" w:cs="Arial"/>
          <w:b/>
          <w:color w:val="000000" w:themeColor="text1"/>
          <w:sz w:val="22"/>
        </w:rPr>
        <w:t>s</w:t>
      </w:r>
    </w:p>
    <w:p w14:paraId="5EAB06F3" w14:textId="77777777" w:rsidR="000A5886" w:rsidRPr="00946115" w:rsidRDefault="000A5886" w:rsidP="005D4893">
      <w:pPr>
        <w:spacing w:line="276" w:lineRule="auto"/>
        <w:ind w:right="49"/>
        <w:jc w:val="both"/>
        <w:rPr>
          <w:rFonts w:ascii="Arial" w:eastAsia="Calibri" w:hAnsi="Arial" w:cs="Arial"/>
          <w:color w:val="000000" w:themeColor="text1"/>
          <w:sz w:val="22"/>
        </w:rPr>
      </w:pPr>
    </w:p>
    <w:p w14:paraId="62368FA3" w14:textId="17884630" w:rsidR="000A5886" w:rsidRPr="00946115" w:rsidRDefault="000A5886" w:rsidP="005D4893">
      <w:pPr>
        <w:spacing w:line="276" w:lineRule="auto"/>
        <w:ind w:right="49"/>
        <w:jc w:val="both"/>
        <w:rPr>
          <w:rFonts w:ascii="Arial" w:eastAsia="Calibri" w:hAnsi="Arial" w:cs="Arial"/>
          <w:color w:val="000000" w:themeColor="text1"/>
          <w:sz w:val="22"/>
        </w:rPr>
      </w:pPr>
      <w:r w:rsidRPr="00946115">
        <w:rPr>
          <w:rFonts w:ascii="Arial" w:eastAsia="Calibri" w:hAnsi="Arial" w:cs="Arial"/>
          <w:color w:val="000000" w:themeColor="text1"/>
          <w:sz w:val="22"/>
        </w:rPr>
        <w:t>En relación con la cómputo de la experiencia de profesionales en ingeniería</w:t>
      </w:r>
      <w:r w:rsidR="00CB6014" w:rsidRPr="00946115">
        <w:rPr>
          <w:rFonts w:ascii="Arial" w:eastAsia="Calibri" w:hAnsi="Arial" w:cs="Arial"/>
          <w:color w:val="000000" w:themeColor="text1"/>
          <w:sz w:val="22"/>
        </w:rPr>
        <w:t>,</w:t>
      </w:r>
      <w:r w:rsidRPr="00946115">
        <w:rPr>
          <w:rFonts w:ascii="Arial" w:eastAsia="Calibri" w:hAnsi="Arial" w:cs="Arial"/>
          <w:color w:val="000000" w:themeColor="text1"/>
          <w:sz w:val="22"/>
        </w:rPr>
        <w:t xml:space="preserve"> usted formuló las siguientes preguntas: i) «</w:t>
      </w:r>
      <w:r w:rsidR="005D4893" w:rsidRPr="00946115">
        <w:rPr>
          <w:rFonts w:ascii="Arial" w:eastAsia="Calibri" w:hAnsi="Arial" w:cs="Arial"/>
          <w:color w:val="000000" w:themeColor="text1"/>
          <w:sz w:val="22"/>
        </w:rPr>
        <w:t>¿cuál</w:t>
      </w:r>
      <w:r w:rsidRPr="00946115">
        <w:rPr>
          <w:rFonts w:ascii="Arial" w:eastAsia="Calibri" w:hAnsi="Arial" w:cs="Arial"/>
          <w:color w:val="000000" w:themeColor="text1"/>
          <w:sz w:val="22"/>
        </w:rPr>
        <w:t xml:space="preserve"> es la normativa aplicable, para contabilizar el término de la experiencia profesional para los ingenieros, el artículo 12 de la Ley 842 de 2003 o el artículo 229 del Decreto 019 de 2012 que establece que sea a partir de la terminación y aprobación del pénsum académico» </w:t>
      </w:r>
      <w:proofErr w:type="spellStart"/>
      <w:r w:rsidRPr="00946115">
        <w:rPr>
          <w:rFonts w:ascii="Arial" w:eastAsia="Calibri" w:hAnsi="Arial" w:cs="Arial"/>
          <w:color w:val="000000" w:themeColor="text1"/>
          <w:sz w:val="22"/>
        </w:rPr>
        <w:t>ii</w:t>
      </w:r>
      <w:proofErr w:type="spellEnd"/>
      <w:r w:rsidRPr="00946115">
        <w:rPr>
          <w:rFonts w:ascii="Arial" w:eastAsia="Calibri" w:hAnsi="Arial" w:cs="Arial"/>
          <w:color w:val="000000" w:themeColor="text1"/>
          <w:sz w:val="22"/>
        </w:rPr>
        <w:t xml:space="preserve">) «¿Al ser el Decreto 019 de 20 12 posterior a la Ley 842 de 2003 se deroga parcialmente lo previsto en ésta?»; y </w:t>
      </w:r>
      <w:proofErr w:type="spellStart"/>
      <w:r w:rsidRPr="00946115">
        <w:rPr>
          <w:rFonts w:ascii="Arial" w:eastAsia="Calibri" w:hAnsi="Arial" w:cs="Arial"/>
          <w:color w:val="000000" w:themeColor="text1"/>
          <w:sz w:val="22"/>
        </w:rPr>
        <w:t>iii</w:t>
      </w:r>
      <w:proofErr w:type="spellEnd"/>
      <w:r w:rsidRPr="00946115">
        <w:rPr>
          <w:rFonts w:ascii="Arial" w:eastAsia="Calibri" w:hAnsi="Arial" w:cs="Arial"/>
          <w:color w:val="000000" w:themeColor="text1"/>
          <w:sz w:val="22"/>
        </w:rPr>
        <w:t xml:space="preserve">) «¿Al aplicarse lo previsto en el artículo 229 del Decreto 019 de 2012 pierde carácter obligatorio lo dispuesto en el numeral 9.2. “Cómputo de la experiencia profesional” de la Circular Externa única expedida por Colombia Compra Eficiente?». </w:t>
      </w:r>
    </w:p>
    <w:p w14:paraId="54925613" w14:textId="77777777" w:rsidR="000A5886" w:rsidRPr="00946115" w:rsidRDefault="000A5886" w:rsidP="005D4893">
      <w:pPr>
        <w:spacing w:line="276" w:lineRule="auto"/>
        <w:ind w:right="49"/>
        <w:jc w:val="both"/>
        <w:rPr>
          <w:rFonts w:ascii="Arial" w:eastAsia="Calibri" w:hAnsi="Arial" w:cs="Arial"/>
          <w:color w:val="000000" w:themeColor="text1"/>
          <w:sz w:val="22"/>
        </w:rPr>
      </w:pPr>
    </w:p>
    <w:p w14:paraId="0CFD0294" w14:textId="2D4A2121" w:rsidR="000A5886" w:rsidRPr="00946115" w:rsidRDefault="005D4893" w:rsidP="005D4893">
      <w:pPr>
        <w:spacing w:line="276" w:lineRule="auto"/>
        <w:ind w:right="49"/>
        <w:jc w:val="both"/>
        <w:rPr>
          <w:rFonts w:ascii="Arial" w:eastAsia="Calibri" w:hAnsi="Arial" w:cs="Arial"/>
          <w:b/>
          <w:color w:val="000000" w:themeColor="text1"/>
          <w:sz w:val="22"/>
        </w:rPr>
      </w:pPr>
      <w:r w:rsidRPr="00946115">
        <w:rPr>
          <w:rFonts w:ascii="Arial" w:eastAsia="Calibri" w:hAnsi="Arial" w:cs="Arial"/>
          <w:b/>
          <w:color w:val="000000" w:themeColor="text1"/>
          <w:sz w:val="22"/>
        </w:rPr>
        <w:t xml:space="preserve">2. </w:t>
      </w:r>
      <w:r w:rsidR="000A5886" w:rsidRPr="00946115">
        <w:rPr>
          <w:rFonts w:ascii="Arial" w:eastAsia="Calibri" w:hAnsi="Arial" w:cs="Arial"/>
          <w:b/>
          <w:color w:val="000000" w:themeColor="text1"/>
          <w:sz w:val="22"/>
        </w:rPr>
        <w:t>Consideraciones</w:t>
      </w:r>
    </w:p>
    <w:p w14:paraId="61589BEA" w14:textId="77777777" w:rsidR="000A5886" w:rsidRPr="00946115" w:rsidRDefault="000A5886" w:rsidP="005D4893">
      <w:pPr>
        <w:spacing w:line="276" w:lineRule="auto"/>
        <w:ind w:right="49"/>
        <w:jc w:val="both"/>
        <w:rPr>
          <w:rFonts w:ascii="Arial" w:eastAsia="Calibri" w:hAnsi="Arial" w:cs="Arial"/>
          <w:color w:val="000000" w:themeColor="text1"/>
          <w:sz w:val="22"/>
        </w:rPr>
      </w:pPr>
    </w:p>
    <w:p w14:paraId="382EEF9F" w14:textId="593CD3BC" w:rsidR="003B095D" w:rsidRPr="00946115" w:rsidRDefault="003B095D" w:rsidP="00334134">
      <w:pPr>
        <w:spacing w:line="276" w:lineRule="auto"/>
        <w:jc w:val="both"/>
        <w:rPr>
          <w:rFonts w:ascii="Arial" w:hAnsi="Arial" w:cs="Arial"/>
          <w:color w:val="000000" w:themeColor="text1"/>
          <w:sz w:val="22"/>
        </w:rPr>
      </w:pPr>
      <w:r w:rsidRPr="00946115">
        <w:rPr>
          <w:rFonts w:ascii="Arial" w:hAnsi="Arial" w:cs="Arial"/>
          <w:color w:val="000000" w:themeColor="text1"/>
          <w:sz w:val="22"/>
        </w:rPr>
        <w:lastRenderedPageBreak/>
        <w:t xml:space="preserve">La Agencia Nacional de Contratación Pública – Colombia Compra Eficiente se pronunció en el concepto identificado con radicado </w:t>
      </w:r>
      <w:r w:rsidR="00A3136F" w:rsidRPr="00946115">
        <w:rPr>
          <w:rFonts w:ascii="Arial" w:hAnsi="Arial" w:cs="Arial"/>
          <w:color w:val="000000" w:themeColor="text1"/>
          <w:sz w:val="22"/>
        </w:rPr>
        <w:t>N</w:t>
      </w:r>
      <w:r w:rsidRPr="00946115">
        <w:rPr>
          <w:rFonts w:ascii="Arial" w:hAnsi="Arial" w:cs="Arial"/>
          <w:color w:val="000000" w:themeColor="text1"/>
          <w:sz w:val="22"/>
        </w:rPr>
        <w:t xml:space="preserve">o. 4201912000005915 del 29 de agosto de 2019, sobre el cómputo de la experiencia en profesionales de la ingeniería. La tesis desarrollada se expone a continuación. </w:t>
      </w:r>
    </w:p>
    <w:p w14:paraId="242A133F" w14:textId="77777777" w:rsidR="00334134" w:rsidRPr="00946115" w:rsidRDefault="00334134" w:rsidP="00E612B9">
      <w:pPr>
        <w:spacing w:line="276" w:lineRule="auto"/>
        <w:jc w:val="both"/>
        <w:rPr>
          <w:rFonts w:ascii="Arial" w:hAnsi="Arial" w:cs="Arial"/>
          <w:color w:val="000000" w:themeColor="text1"/>
          <w:sz w:val="22"/>
        </w:rPr>
      </w:pPr>
    </w:p>
    <w:p w14:paraId="7D312D87" w14:textId="329EB89F" w:rsidR="00334134" w:rsidRPr="00946115" w:rsidRDefault="00334134" w:rsidP="00E612B9">
      <w:pPr>
        <w:spacing w:line="276" w:lineRule="auto"/>
        <w:jc w:val="both"/>
        <w:rPr>
          <w:rFonts w:ascii="Arial" w:hAnsi="Arial" w:cs="Arial"/>
          <w:b/>
          <w:color w:val="000000" w:themeColor="text1"/>
          <w:sz w:val="22"/>
        </w:rPr>
      </w:pPr>
      <w:r w:rsidRPr="00946115">
        <w:rPr>
          <w:rFonts w:ascii="Arial" w:hAnsi="Arial" w:cs="Arial"/>
          <w:b/>
          <w:color w:val="000000" w:themeColor="text1"/>
          <w:sz w:val="22"/>
        </w:rPr>
        <w:t xml:space="preserve">2.1. Acreditación de la experiencia profesional </w:t>
      </w:r>
    </w:p>
    <w:p w14:paraId="0F89C030" w14:textId="77777777" w:rsidR="00334134" w:rsidRPr="00946115" w:rsidRDefault="00334134" w:rsidP="00E612B9">
      <w:pPr>
        <w:spacing w:line="276" w:lineRule="auto"/>
        <w:jc w:val="both"/>
        <w:rPr>
          <w:rFonts w:ascii="Arial" w:hAnsi="Arial" w:cs="Arial"/>
          <w:b/>
          <w:color w:val="000000" w:themeColor="text1"/>
          <w:sz w:val="22"/>
        </w:rPr>
      </w:pPr>
    </w:p>
    <w:p w14:paraId="1F624A09" w14:textId="7609C203" w:rsidR="000A5886" w:rsidRPr="00946115" w:rsidRDefault="000A5886" w:rsidP="00E612B9">
      <w:pPr>
        <w:spacing w:line="276" w:lineRule="auto"/>
        <w:ind w:right="51"/>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La experiencia profesional se debe verificar de acuerdo con lo regulado en el artículo 229 del Decreto 019 de 2012. En virtud de esta norma, el ejercicio de las diferentes profesiones acreditadas por el Ministerio de Educación Nacional se apreciará a partir de la terminación y aprobación del pensum académico de educación superior, salvo para las profesiones relacionadas con el sistema de seguridad social en salud, en las cuales la experiencia profesional se computará a partir de la inscripción o registro </w:t>
      </w:r>
      <w:r w:rsidR="00A3136F" w:rsidRPr="00946115">
        <w:rPr>
          <w:rFonts w:ascii="Arial" w:eastAsia="Calibri" w:hAnsi="Arial" w:cs="Arial"/>
          <w:color w:val="000000" w:themeColor="text1"/>
          <w:sz w:val="22"/>
        </w:rPr>
        <w:t>profesional</w:t>
      </w:r>
      <w:r w:rsidR="005D4893" w:rsidRPr="00946115">
        <w:rPr>
          <w:rStyle w:val="Refdenotaalpie"/>
          <w:rFonts w:ascii="Arial" w:eastAsia="Calibri" w:hAnsi="Arial" w:cs="Arial"/>
          <w:color w:val="000000" w:themeColor="text1"/>
          <w:sz w:val="22"/>
        </w:rPr>
        <w:footnoteReference w:id="1"/>
      </w:r>
      <w:r w:rsidRPr="00946115">
        <w:rPr>
          <w:rFonts w:ascii="Arial" w:eastAsia="Calibri" w:hAnsi="Arial" w:cs="Arial"/>
          <w:color w:val="000000" w:themeColor="text1"/>
          <w:sz w:val="22"/>
        </w:rPr>
        <w:t>.</w:t>
      </w:r>
    </w:p>
    <w:p w14:paraId="27250065" w14:textId="50941A46" w:rsidR="005D4893" w:rsidRPr="00946115" w:rsidRDefault="000A5886" w:rsidP="005D4893">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Conforme a lo anterior, el cómputo de la experiencia profesional, por regla general, será a partir de la terminación y aprobación del pénsum académico de educación superior, y siempre que el profesional acredite que trabajó. Frente a las profesiones relacionadas con temas de salud</w:t>
      </w:r>
      <w:r w:rsidR="00834E0F" w:rsidRPr="00946115">
        <w:rPr>
          <w:rFonts w:ascii="Arial" w:eastAsia="Calibri" w:hAnsi="Arial" w:cs="Arial"/>
          <w:color w:val="000000" w:themeColor="text1"/>
          <w:sz w:val="22"/>
        </w:rPr>
        <w:t>,</w:t>
      </w:r>
      <w:r w:rsidRPr="00946115">
        <w:rPr>
          <w:rFonts w:ascii="Arial" w:eastAsia="Calibri" w:hAnsi="Arial" w:cs="Arial"/>
          <w:color w:val="000000" w:themeColor="text1"/>
          <w:sz w:val="22"/>
        </w:rPr>
        <w:t xml:space="preserve"> la experiencia profesional se cuenta desde la inscripción o registro, es decir, a partir de la expedición de la tarjeta profesional. En este sentido, las entidades no tienen la facultad de solicitar la tarjeta profesional para contar la experiencia profesional, salvo para las profesiones relacionadas con temas de </w:t>
      </w:r>
      <w:r w:rsidR="005D4893" w:rsidRPr="00946115">
        <w:rPr>
          <w:rFonts w:ascii="Arial" w:eastAsia="Calibri" w:hAnsi="Arial" w:cs="Arial"/>
          <w:color w:val="000000" w:themeColor="text1"/>
          <w:sz w:val="22"/>
        </w:rPr>
        <w:t xml:space="preserve">salud. </w:t>
      </w:r>
    </w:p>
    <w:p w14:paraId="299D1684" w14:textId="5CBC73BF" w:rsidR="005D4893" w:rsidRPr="00946115" w:rsidRDefault="000A5886" w:rsidP="005D4893">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Por otro lado, es importante señalar que a partir de la Ley 1955 de 2019 se permite contar como experiencia profesional las prácticas laborales realizadas por estudiantes para obtener el título de grado. De acuerdo con el artículo 15 de la Ley 1780 de 2016</w:t>
      </w:r>
      <w:r w:rsidR="005D4893" w:rsidRPr="00946115">
        <w:rPr>
          <w:rStyle w:val="Refdenotaalpie"/>
          <w:rFonts w:ascii="Arial" w:eastAsia="Calibri" w:hAnsi="Arial" w:cs="Arial"/>
          <w:color w:val="000000" w:themeColor="text1"/>
          <w:sz w:val="22"/>
        </w:rPr>
        <w:footnoteReference w:id="2"/>
      </w:r>
      <w:r w:rsidRPr="00946115">
        <w:rPr>
          <w:rFonts w:ascii="Arial" w:eastAsia="Calibri" w:hAnsi="Arial" w:cs="Arial"/>
          <w:color w:val="000000" w:themeColor="text1"/>
          <w:sz w:val="22"/>
        </w:rPr>
        <w:t>, la práctica laboral es una actividad formativa desarrollada por un estudiante de programas de formación complementaria ofrecidos por las escuelas norma</w:t>
      </w:r>
      <w:r w:rsidR="001D2DCF" w:rsidRPr="00946115">
        <w:rPr>
          <w:rFonts w:ascii="Arial" w:eastAsia="Calibri" w:hAnsi="Arial" w:cs="Arial"/>
          <w:color w:val="000000" w:themeColor="text1"/>
          <w:sz w:val="22"/>
        </w:rPr>
        <w:t>le</w:t>
      </w:r>
      <w:r w:rsidRPr="00946115">
        <w:rPr>
          <w:rFonts w:ascii="Arial" w:eastAsia="Calibri" w:hAnsi="Arial" w:cs="Arial"/>
          <w:color w:val="000000" w:themeColor="text1"/>
          <w:sz w:val="22"/>
        </w:rPr>
        <w:t xml:space="preserve">s superiores y educación </w:t>
      </w:r>
      <w:r w:rsidRPr="00946115">
        <w:rPr>
          <w:rFonts w:ascii="Arial" w:eastAsia="Calibri" w:hAnsi="Arial" w:cs="Arial"/>
          <w:color w:val="000000" w:themeColor="text1"/>
          <w:sz w:val="22"/>
        </w:rPr>
        <w:lastRenderedPageBreak/>
        <w:t>superior de pregrado, durante un tiempo determinado, en un ambiente laboral real, con supervisión y sobre asuntos relacionad</w:t>
      </w:r>
      <w:r w:rsidR="001D2DCF" w:rsidRPr="00946115">
        <w:rPr>
          <w:rFonts w:ascii="Arial" w:eastAsia="Calibri" w:hAnsi="Arial" w:cs="Arial"/>
          <w:color w:val="000000" w:themeColor="text1"/>
          <w:sz w:val="22"/>
        </w:rPr>
        <w:t>o</w:t>
      </w:r>
      <w:r w:rsidRPr="00946115">
        <w:rPr>
          <w:rFonts w:ascii="Arial" w:eastAsia="Calibri" w:hAnsi="Arial" w:cs="Arial"/>
          <w:color w:val="000000" w:themeColor="text1"/>
          <w:sz w:val="22"/>
        </w:rPr>
        <w:t>s con su área de estudio o desempeño.</w:t>
      </w:r>
    </w:p>
    <w:p w14:paraId="370F0C5F" w14:textId="6080B127" w:rsidR="003B095D" w:rsidRPr="00946115" w:rsidRDefault="000A5886" w:rsidP="003B095D">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El artículo 192 de la Ley 1955 de 2019</w:t>
      </w:r>
      <w:r w:rsidR="003B095D" w:rsidRPr="00946115">
        <w:rPr>
          <w:rStyle w:val="Refdenotaalpie"/>
          <w:rFonts w:ascii="Arial" w:eastAsia="Calibri" w:hAnsi="Arial" w:cs="Arial"/>
          <w:color w:val="000000" w:themeColor="text1"/>
          <w:sz w:val="22"/>
        </w:rPr>
        <w:footnoteReference w:id="3"/>
      </w:r>
      <w:r w:rsidRPr="00946115">
        <w:rPr>
          <w:rFonts w:ascii="Arial" w:eastAsia="Calibri" w:hAnsi="Arial" w:cs="Arial"/>
          <w:color w:val="000000" w:themeColor="text1"/>
          <w:sz w:val="22"/>
        </w:rPr>
        <w:t xml:space="preserve"> indica que el tiempo de la práctica laboral que el estudiante realice para optar a su título profesional, tecnológico o técnico cuenta como experiencia laboral. Sin embargo, s</w:t>
      </w:r>
      <w:r w:rsidR="001C60A9" w:rsidRPr="00946115">
        <w:rPr>
          <w:rFonts w:ascii="Arial" w:eastAsia="Calibri" w:hAnsi="Arial" w:cs="Arial"/>
          <w:color w:val="000000" w:themeColor="text1"/>
          <w:sz w:val="22"/>
        </w:rPr>
        <w:t>o</w:t>
      </w:r>
      <w:r w:rsidRPr="00946115">
        <w:rPr>
          <w:rFonts w:ascii="Arial" w:eastAsia="Calibri" w:hAnsi="Arial" w:cs="Arial"/>
          <w:color w:val="000000" w:themeColor="text1"/>
          <w:sz w:val="22"/>
        </w:rPr>
        <w:t xml:space="preserve">lo se </w:t>
      </w:r>
      <w:r w:rsidR="001C60A9" w:rsidRPr="00946115">
        <w:rPr>
          <w:rFonts w:ascii="Arial" w:eastAsia="Calibri" w:hAnsi="Arial" w:cs="Arial"/>
          <w:color w:val="000000" w:themeColor="text1"/>
          <w:sz w:val="22"/>
        </w:rPr>
        <w:t>computarán como experiencia</w:t>
      </w:r>
      <w:r w:rsidRPr="00946115">
        <w:rPr>
          <w:rFonts w:ascii="Arial" w:eastAsia="Calibri" w:hAnsi="Arial" w:cs="Arial"/>
          <w:color w:val="000000" w:themeColor="text1"/>
          <w:sz w:val="22"/>
        </w:rPr>
        <w:t xml:space="preserve"> las prácticas laborales realizadas durante los veinticuatro (24) meses anteriores y las que se realizan con posterioridad a la entrada en vigor de la presente ley</w:t>
      </w:r>
      <w:r w:rsidR="001C60A9" w:rsidRPr="00946115">
        <w:rPr>
          <w:rFonts w:ascii="Arial" w:eastAsia="Calibri" w:hAnsi="Arial" w:cs="Arial"/>
          <w:color w:val="000000" w:themeColor="text1"/>
          <w:sz w:val="22"/>
        </w:rPr>
        <w:t>;</w:t>
      </w:r>
      <w:r w:rsidRPr="00946115">
        <w:rPr>
          <w:rFonts w:ascii="Arial" w:eastAsia="Calibri" w:hAnsi="Arial" w:cs="Arial"/>
          <w:color w:val="000000" w:themeColor="text1"/>
          <w:sz w:val="22"/>
        </w:rPr>
        <w:t xml:space="preserve"> y, por último, exceptúa de lo dispuesto en este artículo a los estudiantes de posgrado del sector salud.</w:t>
      </w:r>
    </w:p>
    <w:p w14:paraId="6D666A86" w14:textId="1F937E3C" w:rsidR="003B095D" w:rsidRPr="00946115" w:rsidRDefault="000A5886" w:rsidP="003B095D">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A partir de esta norma, las entidades estatales deberán tener en cuenta las prácticas laborales como experiencia profesional aun cuando </w:t>
      </w:r>
      <w:r w:rsidR="002A0AA3" w:rsidRPr="00946115">
        <w:rPr>
          <w:rFonts w:ascii="Arial" w:eastAsia="Calibri" w:hAnsi="Arial" w:cs="Arial"/>
          <w:color w:val="000000" w:themeColor="text1"/>
          <w:sz w:val="22"/>
        </w:rPr>
        <w:t>e</w:t>
      </w:r>
      <w:r w:rsidRPr="00946115">
        <w:rPr>
          <w:rFonts w:ascii="Arial" w:eastAsia="Calibri" w:hAnsi="Arial" w:cs="Arial"/>
          <w:color w:val="000000" w:themeColor="text1"/>
          <w:sz w:val="22"/>
        </w:rPr>
        <w:t>stas se hayan realizado antes de la terminación de materias. No obstante, s</w:t>
      </w:r>
      <w:r w:rsidR="002A0AA3" w:rsidRPr="00946115">
        <w:rPr>
          <w:rFonts w:ascii="Arial" w:eastAsia="Calibri" w:hAnsi="Arial" w:cs="Arial"/>
          <w:color w:val="000000" w:themeColor="text1"/>
          <w:sz w:val="22"/>
        </w:rPr>
        <w:t>o</w:t>
      </w:r>
      <w:r w:rsidRPr="00946115">
        <w:rPr>
          <w:rFonts w:ascii="Arial" w:eastAsia="Calibri" w:hAnsi="Arial" w:cs="Arial"/>
          <w:color w:val="000000" w:themeColor="text1"/>
          <w:sz w:val="22"/>
        </w:rPr>
        <w:t xml:space="preserve">lo se tendrán en cuenta i) las prácticas laborales que fueron realizadas durante los veinticuatro meses anteriores a la entrada en vigor de la presente ley y las que se realicen a partir de la promulgación de </w:t>
      </w:r>
      <w:proofErr w:type="gramStart"/>
      <w:r w:rsidRPr="00946115">
        <w:rPr>
          <w:rFonts w:ascii="Arial" w:eastAsia="Calibri" w:hAnsi="Arial" w:cs="Arial"/>
          <w:color w:val="000000" w:themeColor="text1"/>
          <w:sz w:val="22"/>
        </w:rPr>
        <w:t xml:space="preserve">la </w:t>
      </w:r>
      <w:r w:rsidR="002A0AA3" w:rsidRPr="00946115">
        <w:rPr>
          <w:rFonts w:ascii="Arial" w:eastAsia="Calibri" w:hAnsi="Arial" w:cs="Arial"/>
          <w:color w:val="000000" w:themeColor="text1"/>
          <w:sz w:val="22"/>
        </w:rPr>
        <w:t>misma</w:t>
      </w:r>
      <w:proofErr w:type="gramEnd"/>
      <w:r w:rsidRPr="00946115">
        <w:rPr>
          <w:rFonts w:ascii="Arial" w:eastAsia="Calibri" w:hAnsi="Arial" w:cs="Arial"/>
          <w:color w:val="000000" w:themeColor="text1"/>
          <w:sz w:val="22"/>
        </w:rPr>
        <w:t xml:space="preserve">, y </w:t>
      </w:r>
      <w:proofErr w:type="spellStart"/>
      <w:r w:rsidRPr="00946115">
        <w:rPr>
          <w:rFonts w:ascii="Arial" w:eastAsia="Calibri" w:hAnsi="Arial" w:cs="Arial"/>
          <w:color w:val="000000" w:themeColor="text1"/>
          <w:sz w:val="22"/>
        </w:rPr>
        <w:t>ii</w:t>
      </w:r>
      <w:proofErr w:type="spellEnd"/>
      <w:r w:rsidRPr="00946115">
        <w:rPr>
          <w:rFonts w:ascii="Arial" w:eastAsia="Calibri" w:hAnsi="Arial" w:cs="Arial"/>
          <w:color w:val="000000" w:themeColor="text1"/>
          <w:sz w:val="22"/>
        </w:rPr>
        <w:t>) las que realice cualquier estudiante que no sea de posgrado del sector salud.</w:t>
      </w:r>
    </w:p>
    <w:p w14:paraId="3B6A4844" w14:textId="785E8DF9" w:rsidR="003B095D" w:rsidRPr="00946115" w:rsidRDefault="000A5886" w:rsidP="003B095D">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En virtud de esta norma, surge la siguiente pregunta: ¿al ser la Ley 1955 de 2019 posterior al Decreto 019 de 2012 se deroga lo previsto en el Decreto, o se aplican las dos normas</w:t>
      </w:r>
      <w:r w:rsidR="002A0AA3" w:rsidRPr="00946115">
        <w:rPr>
          <w:rFonts w:ascii="Arial" w:eastAsia="Calibri" w:hAnsi="Arial" w:cs="Arial"/>
          <w:color w:val="000000" w:themeColor="text1"/>
          <w:sz w:val="22"/>
        </w:rPr>
        <w:t>,</w:t>
      </w:r>
      <w:r w:rsidRPr="00946115">
        <w:rPr>
          <w:rFonts w:ascii="Arial" w:eastAsia="Calibri" w:hAnsi="Arial" w:cs="Arial"/>
          <w:color w:val="000000" w:themeColor="text1"/>
          <w:sz w:val="22"/>
        </w:rPr>
        <w:t xml:space="preserve"> dependiendo de cada caso en concreto?</w:t>
      </w:r>
    </w:p>
    <w:p w14:paraId="2A9C6184" w14:textId="60998EC4" w:rsidR="000A5886" w:rsidRPr="00946115" w:rsidRDefault="000A5886" w:rsidP="003B095D">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La Corte Constitucional</w:t>
      </w:r>
      <w:r w:rsidR="003B095D" w:rsidRPr="00946115">
        <w:rPr>
          <w:rStyle w:val="Refdenotaalpie"/>
          <w:rFonts w:ascii="Arial" w:eastAsia="Calibri" w:hAnsi="Arial" w:cs="Arial"/>
          <w:color w:val="000000" w:themeColor="text1"/>
          <w:sz w:val="22"/>
        </w:rPr>
        <w:footnoteReference w:id="4"/>
      </w:r>
      <w:r w:rsidR="003B095D" w:rsidRPr="00946115">
        <w:rPr>
          <w:rFonts w:ascii="Arial" w:eastAsia="Calibri" w:hAnsi="Arial" w:cs="Arial"/>
          <w:color w:val="000000" w:themeColor="text1"/>
          <w:sz w:val="22"/>
        </w:rPr>
        <w:t xml:space="preserve"> explica que en estos </w:t>
      </w:r>
      <w:r w:rsidRPr="00946115">
        <w:rPr>
          <w:rFonts w:ascii="Arial" w:eastAsia="Calibri" w:hAnsi="Arial" w:cs="Arial"/>
          <w:color w:val="000000" w:themeColor="text1"/>
          <w:sz w:val="22"/>
        </w:rPr>
        <w:t>eventos procede la derogatoria de las normas y la distinción entre derogatoria expresa y tácita, en los siguientes términos:</w:t>
      </w:r>
    </w:p>
    <w:p w14:paraId="4C55CB76" w14:textId="77777777" w:rsidR="000A5886" w:rsidRPr="00946115" w:rsidRDefault="000A5886" w:rsidP="00334134">
      <w:pPr>
        <w:ind w:left="709" w:right="709"/>
        <w:jc w:val="both"/>
        <w:rPr>
          <w:rFonts w:ascii="Arial" w:eastAsia="Calibri" w:hAnsi="Arial" w:cs="Arial"/>
          <w:color w:val="000000" w:themeColor="text1"/>
          <w:sz w:val="21"/>
          <w:szCs w:val="21"/>
        </w:rPr>
      </w:pPr>
    </w:p>
    <w:p w14:paraId="05661AED" w14:textId="7E1E29E8" w:rsidR="000A5886" w:rsidRPr="00946115" w:rsidRDefault="000A5886" w:rsidP="00334134">
      <w:pPr>
        <w:ind w:left="709" w:right="709"/>
        <w:jc w:val="both"/>
        <w:rPr>
          <w:rFonts w:ascii="Arial" w:eastAsia="Calibri" w:hAnsi="Arial" w:cs="Arial"/>
          <w:color w:val="000000" w:themeColor="text1"/>
          <w:sz w:val="21"/>
          <w:szCs w:val="21"/>
        </w:rPr>
      </w:pPr>
      <w:r w:rsidRPr="00946115">
        <w:rPr>
          <w:rFonts w:ascii="Arial" w:eastAsia="Calibri" w:hAnsi="Arial" w:cs="Arial"/>
          <w:color w:val="000000" w:themeColor="text1"/>
          <w:sz w:val="21"/>
          <w:szCs w:val="21"/>
        </w:rPr>
        <w:t>La derogatoria es aquel efecto de una ley, determinante de la pérdida de vigencia de otra ley anterior, la cual puede ser expresa o tácita. Este último evento tiene lugar al menos en dos hipótesis: (i) cuando una norma jurídica posterior resulta incompatible con una anterior, o (</w:t>
      </w:r>
      <w:proofErr w:type="spellStart"/>
      <w:r w:rsidRPr="00946115">
        <w:rPr>
          <w:rFonts w:ascii="Arial" w:eastAsia="Calibri" w:hAnsi="Arial" w:cs="Arial"/>
          <w:color w:val="000000" w:themeColor="text1"/>
          <w:sz w:val="21"/>
          <w:szCs w:val="21"/>
        </w:rPr>
        <w:t>ii</w:t>
      </w:r>
      <w:proofErr w:type="spellEnd"/>
      <w:r w:rsidRPr="00946115">
        <w:rPr>
          <w:rFonts w:ascii="Arial" w:eastAsia="Calibri" w:hAnsi="Arial" w:cs="Arial"/>
          <w:color w:val="000000" w:themeColor="text1"/>
          <w:sz w:val="21"/>
          <w:szCs w:val="21"/>
        </w:rPr>
        <w:t xml:space="preserve">) cuando se produce una nueva regulación integral de la materia. Así lo ha entendido la jurisprudencia de esta Corporación </w:t>
      </w:r>
      <w:r w:rsidRPr="00946115">
        <w:rPr>
          <w:rFonts w:ascii="Arial" w:eastAsia="Calibri" w:hAnsi="Arial" w:cs="Arial"/>
          <w:color w:val="000000" w:themeColor="text1"/>
          <w:sz w:val="21"/>
          <w:szCs w:val="21"/>
        </w:rPr>
        <w:lastRenderedPageBreak/>
        <w:t>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p>
    <w:p w14:paraId="297AAF13" w14:textId="77777777" w:rsidR="000A5886" w:rsidRPr="00946115" w:rsidRDefault="000A5886" w:rsidP="005D4893">
      <w:pPr>
        <w:spacing w:line="276" w:lineRule="auto"/>
        <w:ind w:right="49"/>
        <w:jc w:val="both"/>
        <w:rPr>
          <w:rFonts w:ascii="Arial" w:eastAsia="Calibri" w:hAnsi="Arial" w:cs="Arial"/>
          <w:color w:val="000000" w:themeColor="text1"/>
          <w:sz w:val="22"/>
        </w:rPr>
      </w:pPr>
    </w:p>
    <w:p w14:paraId="7717BAFD" w14:textId="5E7982EA" w:rsidR="000A5886" w:rsidRPr="00946115" w:rsidRDefault="000A5886" w:rsidP="00334134">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De conformidad con lo anterior, la derogatoria de una norma procede cuando </w:t>
      </w:r>
      <w:r w:rsidR="00E27FF1" w:rsidRPr="00946115">
        <w:rPr>
          <w:rFonts w:ascii="Arial" w:eastAsia="Calibri" w:hAnsi="Arial" w:cs="Arial"/>
          <w:color w:val="000000" w:themeColor="text1"/>
          <w:sz w:val="22"/>
        </w:rPr>
        <w:t>e</w:t>
      </w:r>
      <w:r w:rsidRPr="00946115">
        <w:rPr>
          <w:rFonts w:ascii="Arial" w:eastAsia="Calibri" w:hAnsi="Arial" w:cs="Arial"/>
          <w:color w:val="000000" w:themeColor="text1"/>
          <w:sz w:val="22"/>
        </w:rPr>
        <w:t>sta pierde vigencia en el ordenamiento jurídico, ya sea, por medio de una derogatoria expresa o una derogatoria tácita. En este caso, la Ley 1955 de 2019, en el artículo 336, no derogó de forma expresa el artículo 229 del Decreto 019 de 2012, y de esta forma, se deberá analizar si el artículo 192 de la Ley 1955 de 2019 derogó tácitamente el artículo 299 del Decreto 019 de 2012.</w:t>
      </w:r>
    </w:p>
    <w:p w14:paraId="2BFAE448" w14:textId="77777777" w:rsidR="00334134" w:rsidRPr="00946115" w:rsidRDefault="000A5886" w:rsidP="00334134">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La Corte Constitucional señala que la derogatoria tácita supone la existencia de una norma posterior que contiene disposiciones incompatibles o contrarias a la ley antigua. En este caso, en un principio, se evidencia una incompatibilidad entre el artículo 192 de la Ley 1955 de 2019 y el artículo 299 del Decreto 019 de 2012; ya que la nueva ley señala que se cuenta como experiencia profesional la que realice el estudiante como práctica laboral sin importar si es antes o después de terminadas las materias, y el Decreto prevé que la experiencia profesional se contará a partir de la terminación de</w:t>
      </w:r>
      <w:r w:rsidR="00334134" w:rsidRPr="00946115">
        <w:rPr>
          <w:rFonts w:ascii="Arial" w:eastAsia="Calibri" w:hAnsi="Arial" w:cs="Arial"/>
          <w:color w:val="000000" w:themeColor="text1"/>
          <w:sz w:val="22"/>
        </w:rPr>
        <w:t xml:space="preserve"> materias o el pénsum académico.</w:t>
      </w:r>
    </w:p>
    <w:p w14:paraId="337DE202" w14:textId="47B8E8A5" w:rsidR="00334134" w:rsidRPr="00946115" w:rsidRDefault="000A5886" w:rsidP="00334134">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No obstante, se deberá entender que el artículo 299 del Decreto 019 de 2012 es la regla general para contar el término de la experiencia profesional y, por lo tanto, </w:t>
      </w:r>
      <w:r w:rsidR="000010C5" w:rsidRPr="00946115">
        <w:rPr>
          <w:rFonts w:ascii="Arial" w:eastAsia="Calibri" w:hAnsi="Arial" w:cs="Arial"/>
          <w:color w:val="000000" w:themeColor="text1"/>
          <w:sz w:val="22"/>
        </w:rPr>
        <w:t xml:space="preserve">el cómputo, en principio, se debe efectuar </w:t>
      </w:r>
      <w:r w:rsidRPr="00946115">
        <w:rPr>
          <w:rFonts w:ascii="Arial" w:eastAsia="Calibri" w:hAnsi="Arial" w:cs="Arial"/>
          <w:color w:val="000000" w:themeColor="text1"/>
          <w:sz w:val="22"/>
        </w:rPr>
        <w:t>después de terminadas las materias</w:t>
      </w:r>
      <w:r w:rsidR="000010C5" w:rsidRPr="00946115">
        <w:rPr>
          <w:rFonts w:ascii="Arial" w:eastAsia="Calibri" w:hAnsi="Arial" w:cs="Arial"/>
          <w:color w:val="000000" w:themeColor="text1"/>
          <w:sz w:val="22"/>
        </w:rPr>
        <w:t>;</w:t>
      </w:r>
      <w:r w:rsidRPr="00946115">
        <w:rPr>
          <w:rFonts w:ascii="Arial" w:eastAsia="Calibri" w:hAnsi="Arial" w:cs="Arial"/>
          <w:color w:val="000000" w:themeColor="text1"/>
          <w:sz w:val="22"/>
        </w:rPr>
        <w:t xml:space="preserve"> </w:t>
      </w:r>
      <w:r w:rsidR="000010C5" w:rsidRPr="00946115">
        <w:rPr>
          <w:rFonts w:ascii="Arial" w:eastAsia="Calibri" w:hAnsi="Arial" w:cs="Arial"/>
          <w:color w:val="000000" w:themeColor="text1"/>
          <w:sz w:val="22"/>
        </w:rPr>
        <w:t xml:space="preserve">pero </w:t>
      </w:r>
      <w:r w:rsidRPr="00946115">
        <w:rPr>
          <w:rFonts w:ascii="Arial" w:eastAsia="Calibri" w:hAnsi="Arial" w:cs="Arial"/>
          <w:color w:val="000000" w:themeColor="text1"/>
          <w:sz w:val="22"/>
        </w:rPr>
        <w:t xml:space="preserve">el caso previsto </w:t>
      </w:r>
      <w:r w:rsidR="000010C5" w:rsidRPr="00946115">
        <w:rPr>
          <w:rFonts w:ascii="Arial" w:eastAsia="Calibri" w:hAnsi="Arial" w:cs="Arial"/>
          <w:color w:val="000000" w:themeColor="text1"/>
          <w:sz w:val="22"/>
        </w:rPr>
        <w:t>en</w:t>
      </w:r>
      <w:r w:rsidRPr="00946115">
        <w:rPr>
          <w:rFonts w:ascii="Arial" w:eastAsia="Calibri" w:hAnsi="Arial" w:cs="Arial"/>
          <w:color w:val="000000" w:themeColor="text1"/>
          <w:sz w:val="22"/>
        </w:rPr>
        <w:t xml:space="preserve"> el artículo 192 de la Ley 1955 de 2019 será la excepción a esta regla general. </w:t>
      </w:r>
      <w:r w:rsidR="000010C5" w:rsidRPr="00946115">
        <w:rPr>
          <w:rFonts w:ascii="Arial" w:eastAsia="Calibri" w:hAnsi="Arial" w:cs="Arial"/>
          <w:color w:val="000000" w:themeColor="text1"/>
          <w:sz w:val="22"/>
        </w:rPr>
        <w:t>En efecto</w:t>
      </w:r>
      <w:r w:rsidRPr="00946115">
        <w:rPr>
          <w:rFonts w:ascii="Arial" w:eastAsia="Calibri" w:hAnsi="Arial" w:cs="Arial"/>
          <w:color w:val="000000" w:themeColor="text1"/>
          <w:sz w:val="22"/>
        </w:rPr>
        <w:t>, si el estudiante que opta por un título realiza la práctica laboral antes de terminadas las materias</w:t>
      </w:r>
      <w:r w:rsidR="007030C3" w:rsidRPr="00946115">
        <w:rPr>
          <w:rFonts w:ascii="Arial" w:eastAsia="Calibri" w:hAnsi="Arial" w:cs="Arial"/>
          <w:color w:val="000000" w:themeColor="text1"/>
          <w:sz w:val="22"/>
        </w:rPr>
        <w:t>,</w:t>
      </w:r>
      <w:r w:rsidRPr="00946115">
        <w:rPr>
          <w:rFonts w:ascii="Arial" w:eastAsia="Calibri" w:hAnsi="Arial" w:cs="Arial"/>
          <w:color w:val="000000" w:themeColor="text1"/>
          <w:sz w:val="22"/>
        </w:rPr>
        <w:t xml:space="preserve"> se deberá contar esta experiencia como profesional a pesar de que sea una experiencia que no fue adquirida con posterioridad a la terminación de materias</w:t>
      </w:r>
      <w:r w:rsidR="007030C3" w:rsidRPr="00946115">
        <w:rPr>
          <w:rFonts w:ascii="Arial" w:eastAsia="Calibri" w:hAnsi="Arial" w:cs="Arial"/>
          <w:color w:val="000000" w:themeColor="text1"/>
          <w:sz w:val="22"/>
        </w:rPr>
        <w:t>.</w:t>
      </w:r>
      <w:r w:rsidRPr="00946115">
        <w:rPr>
          <w:rFonts w:ascii="Arial" w:eastAsia="Calibri" w:hAnsi="Arial" w:cs="Arial"/>
          <w:color w:val="000000" w:themeColor="text1"/>
          <w:sz w:val="22"/>
        </w:rPr>
        <w:t xml:space="preserve"> </w:t>
      </w:r>
      <w:r w:rsidR="007030C3" w:rsidRPr="00946115">
        <w:rPr>
          <w:rFonts w:ascii="Arial" w:eastAsia="Calibri" w:hAnsi="Arial" w:cs="Arial"/>
          <w:color w:val="000000" w:themeColor="text1"/>
          <w:sz w:val="22"/>
        </w:rPr>
        <w:t>E</w:t>
      </w:r>
      <w:r w:rsidRPr="00946115">
        <w:rPr>
          <w:rFonts w:ascii="Arial" w:eastAsia="Calibri" w:hAnsi="Arial" w:cs="Arial"/>
          <w:color w:val="000000" w:themeColor="text1"/>
          <w:sz w:val="22"/>
        </w:rPr>
        <w:t>n los demás casos, es decir, cuando no se realizó ninguna práctica laboral</w:t>
      </w:r>
      <w:r w:rsidR="007030C3" w:rsidRPr="00946115">
        <w:rPr>
          <w:rFonts w:ascii="Arial" w:eastAsia="Calibri" w:hAnsi="Arial" w:cs="Arial"/>
          <w:color w:val="000000" w:themeColor="text1"/>
          <w:sz w:val="22"/>
        </w:rPr>
        <w:t xml:space="preserve"> antes de la finalización del pensum,</w:t>
      </w:r>
      <w:r w:rsidRPr="00946115">
        <w:rPr>
          <w:rFonts w:ascii="Arial" w:eastAsia="Calibri" w:hAnsi="Arial" w:cs="Arial"/>
          <w:color w:val="000000" w:themeColor="text1"/>
          <w:sz w:val="22"/>
        </w:rPr>
        <w:t xml:space="preserve"> el conteo de la experiencia será después de terminadas las materias.</w:t>
      </w:r>
    </w:p>
    <w:p w14:paraId="41249821" w14:textId="5C636E61" w:rsidR="00334134" w:rsidRPr="00946115" w:rsidRDefault="000A5886" w:rsidP="00334134">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Para mayor claridad, el artículo 192 de la Ley 1955 de 2019 únicamente aplica en los casos </w:t>
      </w:r>
      <w:r w:rsidR="006453FF" w:rsidRPr="00946115">
        <w:rPr>
          <w:rFonts w:ascii="Arial" w:eastAsia="Calibri" w:hAnsi="Arial" w:cs="Arial"/>
          <w:color w:val="000000" w:themeColor="text1"/>
          <w:sz w:val="22"/>
        </w:rPr>
        <w:t xml:space="preserve">en los </w:t>
      </w:r>
      <w:r w:rsidRPr="00946115">
        <w:rPr>
          <w:rFonts w:ascii="Arial" w:eastAsia="Calibri" w:hAnsi="Arial" w:cs="Arial"/>
          <w:color w:val="000000" w:themeColor="text1"/>
          <w:sz w:val="22"/>
        </w:rPr>
        <w:t>que el estudiante haya realizado prácticas laborales</w:t>
      </w:r>
      <w:r w:rsidR="006453FF" w:rsidRPr="00946115">
        <w:rPr>
          <w:rFonts w:ascii="Arial" w:eastAsia="Calibri" w:hAnsi="Arial" w:cs="Arial"/>
          <w:color w:val="000000" w:themeColor="text1"/>
          <w:sz w:val="22"/>
        </w:rPr>
        <w:t>.</w:t>
      </w:r>
      <w:r w:rsidRPr="00946115">
        <w:rPr>
          <w:rFonts w:ascii="Arial" w:eastAsia="Calibri" w:hAnsi="Arial" w:cs="Arial"/>
          <w:color w:val="000000" w:themeColor="text1"/>
          <w:sz w:val="22"/>
        </w:rPr>
        <w:t xml:space="preserve"> </w:t>
      </w:r>
      <w:r w:rsidR="006453FF" w:rsidRPr="00946115">
        <w:rPr>
          <w:rFonts w:ascii="Arial" w:eastAsia="Calibri" w:hAnsi="Arial" w:cs="Arial"/>
          <w:color w:val="000000" w:themeColor="text1"/>
          <w:sz w:val="22"/>
        </w:rPr>
        <w:t>P</w:t>
      </w:r>
      <w:r w:rsidRPr="00946115">
        <w:rPr>
          <w:rFonts w:ascii="Arial" w:eastAsia="Calibri" w:hAnsi="Arial" w:cs="Arial"/>
          <w:color w:val="000000" w:themeColor="text1"/>
          <w:sz w:val="22"/>
        </w:rPr>
        <w:t xml:space="preserve">or lo tanto, en estos </w:t>
      </w:r>
      <w:proofErr w:type="spellStart"/>
      <w:r w:rsidR="006453FF" w:rsidRPr="00946115">
        <w:rPr>
          <w:rFonts w:ascii="Arial" w:eastAsia="Calibri" w:hAnsi="Arial" w:cs="Arial"/>
          <w:color w:val="000000" w:themeColor="text1"/>
          <w:sz w:val="22"/>
        </w:rPr>
        <w:t>entos</w:t>
      </w:r>
      <w:proofErr w:type="spellEnd"/>
      <w:r w:rsidR="006453FF" w:rsidRPr="00946115">
        <w:rPr>
          <w:rFonts w:ascii="Arial" w:eastAsia="Calibri" w:hAnsi="Arial" w:cs="Arial"/>
          <w:color w:val="000000" w:themeColor="text1"/>
          <w:sz w:val="22"/>
        </w:rPr>
        <w:t xml:space="preserve"> </w:t>
      </w:r>
      <w:r w:rsidRPr="00946115">
        <w:rPr>
          <w:rFonts w:ascii="Arial" w:eastAsia="Calibri" w:hAnsi="Arial" w:cs="Arial"/>
          <w:color w:val="000000" w:themeColor="text1"/>
          <w:sz w:val="22"/>
        </w:rPr>
        <w:t xml:space="preserve">regirá esta Ley y se tendrá por válida la experiencia profesional realizada antes de la terminación de materias o después de terminadas las </w:t>
      </w:r>
      <w:r w:rsidR="006453FF" w:rsidRPr="00946115">
        <w:rPr>
          <w:rFonts w:ascii="Arial" w:eastAsia="Calibri" w:hAnsi="Arial" w:cs="Arial"/>
          <w:color w:val="000000" w:themeColor="text1"/>
          <w:sz w:val="22"/>
        </w:rPr>
        <w:t>mismas</w:t>
      </w:r>
      <w:r w:rsidRPr="00946115">
        <w:rPr>
          <w:rFonts w:ascii="Arial" w:eastAsia="Calibri" w:hAnsi="Arial" w:cs="Arial"/>
          <w:color w:val="000000" w:themeColor="text1"/>
          <w:sz w:val="22"/>
        </w:rPr>
        <w:t xml:space="preserve">. Ahora, si el estudiante no realiza ninguna práctica laboral para obtener un título, en los términos del artículo 15 de la Ley 1780 de 2016, se deberá aplicar el Decreto 019 de 2012, y, por lo tanto, se contabilizará la experiencia profesional a partir de la terminación de </w:t>
      </w:r>
      <w:r w:rsidR="006453FF" w:rsidRPr="00946115">
        <w:rPr>
          <w:rFonts w:ascii="Arial" w:eastAsia="Calibri" w:hAnsi="Arial" w:cs="Arial"/>
          <w:color w:val="000000" w:themeColor="text1"/>
          <w:sz w:val="22"/>
        </w:rPr>
        <w:t xml:space="preserve">las </w:t>
      </w:r>
      <w:r w:rsidRPr="00946115">
        <w:rPr>
          <w:rFonts w:ascii="Arial" w:eastAsia="Calibri" w:hAnsi="Arial" w:cs="Arial"/>
          <w:color w:val="000000" w:themeColor="text1"/>
          <w:sz w:val="22"/>
        </w:rPr>
        <w:t>materias.</w:t>
      </w:r>
    </w:p>
    <w:p w14:paraId="637A97B1" w14:textId="6D8E62E4" w:rsidR="00334134" w:rsidRPr="00946115" w:rsidRDefault="003A5E18" w:rsidP="00334134">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lastRenderedPageBreak/>
        <w:t>Ahora bien</w:t>
      </w:r>
      <w:r w:rsidR="000A5886" w:rsidRPr="00946115">
        <w:rPr>
          <w:rFonts w:ascii="Arial" w:eastAsia="Calibri" w:hAnsi="Arial" w:cs="Arial"/>
          <w:color w:val="000000" w:themeColor="text1"/>
          <w:sz w:val="22"/>
        </w:rPr>
        <w:t>, es importante señalar que el Decreto 1082 de 2015, en el artículo 2.2.1.2.1.4.9</w:t>
      </w:r>
      <w:r w:rsidR="00334134" w:rsidRPr="00946115">
        <w:rPr>
          <w:rStyle w:val="Refdenotaalpie"/>
          <w:rFonts w:ascii="Arial" w:eastAsia="Calibri" w:hAnsi="Arial" w:cs="Arial"/>
          <w:color w:val="000000" w:themeColor="text1"/>
          <w:sz w:val="22"/>
        </w:rPr>
        <w:footnoteReference w:id="5"/>
      </w:r>
      <w:r w:rsidR="00334134" w:rsidRPr="00946115">
        <w:rPr>
          <w:rFonts w:ascii="Arial" w:eastAsia="Calibri" w:hAnsi="Arial" w:cs="Arial"/>
          <w:color w:val="000000" w:themeColor="text1"/>
          <w:sz w:val="22"/>
        </w:rPr>
        <w:t xml:space="preserve">, establece que </w:t>
      </w:r>
      <w:r w:rsidR="00334134" w:rsidRPr="00946115">
        <w:rPr>
          <w:rFonts w:ascii="Castellar" w:eastAsia="Calibri" w:hAnsi="Castellar" w:cs="Arial"/>
          <w:color w:val="000000" w:themeColor="text1"/>
          <w:sz w:val="22"/>
        </w:rPr>
        <w:t>«</w:t>
      </w:r>
      <w:r w:rsidR="000A5886" w:rsidRPr="00946115">
        <w:rPr>
          <w:rFonts w:ascii="Arial" w:eastAsia="Calibri" w:hAnsi="Arial" w:cs="Arial"/>
          <w:color w:val="000000" w:themeColor="text1"/>
          <w:sz w:val="22"/>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w:t>
      </w:r>
      <w:r w:rsidR="00334134" w:rsidRPr="00946115">
        <w:rPr>
          <w:rFonts w:ascii="Arial" w:eastAsia="Calibri" w:hAnsi="Arial" w:cs="Arial"/>
          <w:color w:val="000000" w:themeColor="text1"/>
          <w:sz w:val="22"/>
        </w:rPr>
        <w:t>ada con el área de que se trate»</w:t>
      </w:r>
      <w:r w:rsidR="000A5886" w:rsidRPr="00946115">
        <w:rPr>
          <w:rFonts w:ascii="Arial" w:eastAsia="Calibri" w:hAnsi="Arial" w:cs="Arial"/>
          <w:color w:val="000000" w:themeColor="text1"/>
          <w:sz w:val="22"/>
        </w:rPr>
        <w:t>. Por lo tanto, la entidad estatal debe verificar la idoneidad y la experiencia requerida para ejecutar el objeto del contrato de prestación de servicios.</w:t>
      </w:r>
    </w:p>
    <w:p w14:paraId="0D19B6E6" w14:textId="2E8A541F" w:rsidR="00DD0647" w:rsidRPr="00946115" w:rsidRDefault="000A5886" w:rsidP="00DD0647">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t>La Ley 190 de 1995, en el artículo 1</w:t>
      </w:r>
      <w:r w:rsidR="00757654" w:rsidRPr="00946115">
        <w:rPr>
          <w:rStyle w:val="Refdenotaalpie"/>
          <w:rFonts w:ascii="Arial" w:eastAsia="Calibri" w:hAnsi="Arial" w:cs="Arial"/>
          <w:color w:val="000000" w:themeColor="text1"/>
          <w:sz w:val="22"/>
        </w:rPr>
        <w:footnoteReference w:id="6"/>
      </w:r>
      <w:r w:rsidRPr="00946115">
        <w:rPr>
          <w:rFonts w:ascii="Arial" w:eastAsia="Calibri" w:hAnsi="Arial" w:cs="Arial"/>
          <w:color w:val="000000" w:themeColor="text1"/>
          <w:sz w:val="22"/>
        </w:rPr>
        <w:t>, establece que todo aspirante a celebrar un contrato de prestación de servicios deberá presentar el formato único de hoja de vida, donde consigne la información completa que se solicita, como la formación académica, experiencia laboral, declarar la inexistencia de cualquier hecho o circunstancia que implique una inhabilidad o incompatibilidad.</w:t>
      </w:r>
    </w:p>
    <w:p w14:paraId="427B0D0F" w14:textId="02C7A979" w:rsidR="00FC5C48" w:rsidRPr="00946115" w:rsidRDefault="000A5886" w:rsidP="0087132D">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t>En relación con la exigencia de la tarjeta profesional para celebrar el contrato de prestación de servicios, el artículo 26 de la Co</w:t>
      </w:r>
      <w:r w:rsidR="00757654" w:rsidRPr="00946115">
        <w:rPr>
          <w:rFonts w:ascii="Arial" w:eastAsia="Calibri" w:hAnsi="Arial" w:cs="Arial"/>
          <w:color w:val="000000" w:themeColor="text1"/>
          <w:sz w:val="22"/>
        </w:rPr>
        <w:t xml:space="preserve">nstitución Política indica que: </w:t>
      </w:r>
      <w:r w:rsidR="00757654" w:rsidRPr="00946115">
        <w:rPr>
          <w:rFonts w:ascii="Castellar" w:eastAsia="Calibri" w:hAnsi="Castellar" w:cs="Arial"/>
          <w:color w:val="000000" w:themeColor="text1"/>
          <w:sz w:val="22"/>
        </w:rPr>
        <w:t>«</w:t>
      </w:r>
      <w:r w:rsidRPr="00946115">
        <w:rPr>
          <w:rFonts w:ascii="Arial" w:eastAsia="Calibri" w:hAnsi="Arial" w:cs="Arial"/>
          <w:color w:val="000000" w:themeColor="text1"/>
          <w:sz w:val="22"/>
        </w:rPr>
        <w:t>La Ley po</w:t>
      </w:r>
      <w:r w:rsidR="00757654" w:rsidRPr="00946115">
        <w:rPr>
          <w:rFonts w:ascii="Arial" w:eastAsia="Calibri" w:hAnsi="Arial" w:cs="Arial"/>
          <w:color w:val="000000" w:themeColor="text1"/>
          <w:sz w:val="22"/>
        </w:rPr>
        <w:t>drá exigir títulos de idoneidad»</w:t>
      </w:r>
      <w:r w:rsidRPr="00946115">
        <w:rPr>
          <w:rFonts w:ascii="Arial" w:eastAsia="Calibri" w:hAnsi="Arial" w:cs="Arial"/>
          <w:color w:val="000000" w:themeColor="text1"/>
          <w:sz w:val="22"/>
        </w:rPr>
        <w:t>. La Corte Constitucional</w:t>
      </w:r>
      <w:r w:rsidR="00757654" w:rsidRPr="00946115">
        <w:rPr>
          <w:rFonts w:ascii="Arial" w:eastAsia="Calibri" w:hAnsi="Arial" w:cs="Arial"/>
          <w:color w:val="000000" w:themeColor="text1"/>
          <w:sz w:val="22"/>
        </w:rPr>
        <w:t xml:space="preserve"> </w:t>
      </w:r>
      <w:r w:rsidRPr="00946115">
        <w:rPr>
          <w:rFonts w:ascii="Arial" w:eastAsia="Calibri" w:hAnsi="Arial" w:cs="Arial"/>
          <w:color w:val="000000" w:themeColor="text1"/>
          <w:sz w:val="22"/>
        </w:rPr>
        <w:t xml:space="preserve">explicó que la Constitución Política </w:t>
      </w:r>
      <w:r w:rsidRPr="00946115">
        <w:rPr>
          <w:rFonts w:ascii="Arial" w:eastAsia="Calibri" w:hAnsi="Arial" w:cs="Arial"/>
          <w:color w:val="000000" w:themeColor="text1"/>
          <w:sz w:val="22"/>
        </w:rPr>
        <w:lastRenderedPageBreak/>
        <w:t>autorizó al legislador para exigir determinados títulos de idoneidad a quienes quieren desempeñar actividades que impliquen riesgo social, con el objetivo de demostrar la adecuada aptitud del aspirante</w:t>
      </w:r>
      <w:r w:rsidR="00757654" w:rsidRPr="00946115">
        <w:rPr>
          <w:rStyle w:val="Refdenotaalpie"/>
          <w:rFonts w:ascii="Arial" w:eastAsia="Calibri" w:hAnsi="Arial" w:cs="Arial"/>
          <w:color w:val="000000" w:themeColor="text1"/>
          <w:sz w:val="22"/>
        </w:rPr>
        <w:footnoteReference w:id="7"/>
      </w:r>
      <w:r w:rsidRPr="00946115">
        <w:rPr>
          <w:rFonts w:ascii="Arial" w:eastAsia="Calibri" w:hAnsi="Arial" w:cs="Arial"/>
          <w:color w:val="000000" w:themeColor="text1"/>
          <w:sz w:val="22"/>
        </w:rPr>
        <w:t>. En este sentido, la Ley, frente a personal de la correspondiente entidad, o ante determinadas profesiones</w:t>
      </w:r>
      <w:r w:rsidR="00AB681A" w:rsidRPr="00946115">
        <w:rPr>
          <w:rFonts w:ascii="Arial" w:eastAsia="Calibri" w:hAnsi="Arial" w:cs="Arial"/>
          <w:color w:val="000000" w:themeColor="text1"/>
          <w:sz w:val="22"/>
        </w:rPr>
        <w:t xml:space="preserve"> que impliquen riesgo social</w:t>
      </w:r>
      <w:r w:rsidRPr="00946115">
        <w:rPr>
          <w:rFonts w:ascii="Arial" w:eastAsia="Calibri" w:hAnsi="Arial" w:cs="Arial"/>
          <w:color w:val="000000" w:themeColor="text1"/>
          <w:sz w:val="22"/>
        </w:rPr>
        <w:t xml:space="preserve">, </w:t>
      </w:r>
      <w:r w:rsidR="00AB681A" w:rsidRPr="00946115">
        <w:rPr>
          <w:rFonts w:ascii="Arial" w:eastAsia="Calibri" w:hAnsi="Arial" w:cs="Arial"/>
          <w:color w:val="000000" w:themeColor="text1"/>
          <w:sz w:val="22"/>
        </w:rPr>
        <w:t xml:space="preserve">puede exigir </w:t>
      </w:r>
      <w:r w:rsidRPr="00946115">
        <w:rPr>
          <w:rFonts w:ascii="Arial" w:eastAsia="Calibri" w:hAnsi="Arial" w:cs="Arial"/>
          <w:color w:val="000000" w:themeColor="text1"/>
          <w:sz w:val="22"/>
        </w:rPr>
        <w:t>el requisito de tarjeta profesional para garantizar la aptitud del aspirante.</w:t>
      </w:r>
    </w:p>
    <w:p w14:paraId="28B0FB25" w14:textId="7E732C8F" w:rsidR="009B365E" w:rsidRPr="00946115" w:rsidRDefault="0084090E" w:rsidP="009B365E">
      <w:pPr>
        <w:spacing w:before="120" w:after="120"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A una similar</w:t>
      </w:r>
      <w:r w:rsidR="00B40467" w:rsidRPr="00946115">
        <w:rPr>
          <w:rFonts w:ascii="Arial" w:eastAsia="Calibri" w:hAnsi="Arial" w:cs="Arial"/>
          <w:color w:val="000000" w:themeColor="text1"/>
          <w:sz w:val="22"/>
        </w:rPr>
        <w:t xml:space="preserve"> conclusión</w:t>
      </w:r>
      <w:r w:rsidRPr="00946115">
        <w:rPr>
          <w:rFonts w:ascii="Arial" w:eastAsia="Calibri" w:hAnsi="Arial" w:cs="Arial"/>
          <w:color w:val="000000" w:themeColor="text1"/>
          <w:sz w:val="22"/>
        </w:rPr>
        <w:t xml:space="preserve"> se</w:t>
      </w:r>
      <w:r w:rsidR="00B40467" w:rsidRPr="00946115">
        <w:rPr>
          <w:rFonts w:ascii="Arial" w:eastAsia="Calibri" w:hAnsi="Arial" w:cs="Arial"/>
          <w:color w:val="000000" w:themeColor="text1"/>
          <w:sz w:val="22"/>
        </w:rPr>
        <w:t xml:space="preserve"> </w:t>
      </w:r>
      <w:r w:rsidRPr="00946115">
        <w:rPr>
          <w:rFonts w:ascii="Arial" w:eastAsia="Calibri" w:hAnsi="Arial" w:cs="Arial"/>
          <w:color w:val="000000" w:themeColor="text1"/>
          <w:sz w:val="22"/>
        </w:rPr>
        <w:t>llega</w:t>
      </w:r>
      <w:r w:rsidR="00B40467" w:rsidRPr="00946115">
        <w:rPr>
          <w:rFonts w:ascii="Arial" w:eastAsia="Calibri" w:hAnsi="Arial" w:cs="Arial"/>
          <w:color w:val="000000" w:themeColor="text1"/>
          <w:sz w:val="22"/>
        </w:rPr>
        <w:t xml:space="preserve"> </w:t>
      </w:r>
      <w:r w:rsidR="003824C9" w:rsidRPr="00946115">
        <w:rPr>
          <w:rFonts w:ascii="Arial" w:eastAsia="Calibri" w:hAnsi="Arial" w:cs="Arial"/>
          <w:color w:val="000000" w:themeColor="text1"/>
          <w:sz w:val="22"/>
        </w:rPr>
        <w:t>respecto de</w:t>
      </w:r>
      <w:r w:rsidR="00B40467" w:rsidRPr="00946115">
        <w:rPr>
          <w:rFonts w:ascii="Arial" w:eastAsia="Calibri" w:hAnsi="Arial" w:cs="Arial"/>
          <w:color w:val="000000" w:themeColor="text1"/>
          <w:sz w:val="22"/>
        </w:rPr>
        <w:t xml:space="preserve"> </w:t>
      </w:r>
      <w:r w:rsidR="000A5886" w:rsidRPr="00946115">
        <w:rPr>
          <w:rFonts w:ascii="Arial" w:eastAsia="Calibri" w:hAnsi="Arial" w:cs="Arial"/>
          <w:color w:val="000000" w:themeColor="text1"/>
          <w:sz w:val="22"/>
        </w:rPr>
        <w:t>la Ley 842 de 2003</w:t>
      </w:r>
      <w:r w:rsidR="00B32321" w:rsidRPr="00946115">
        <w:rPr>
          <w:rFonts w:ascii="Arial" w:eastAsia="Calibri" w:hAnsi="Arial" w:cs="Arial"/>
          <w:color w:val="000000" w:themeColor="text1"/>
          <w:sz w:val="22"/>
        </w:rPr>
        <w:t xml:space="preserve"> –</w:t>
      </w:r>
      <w:r w:rsidR="000A5886" w:rsidRPr="00946115">
        <w:rPr>
          <w:rFonts w:ascii="Arial" w:eastAsia="Calibri" w:hAnsi="Arial" w:cs="Arial"/>
          <w:color w:val="000000" w:themeColor="text1"/>
          <w:sz w:val="22"/>
        </w:rPr>
        <w:t>normativa que regula el ejercicio de la ingeniería</w:t>
      </w:r>
      <w:r w:rsidR="00B32321" w:rsidRPr="00946115">
        <w:rPr>
          <w:rFonts w:ascii="Arial" w:eastAsia="Calibri" w:hAnsi="Arial" w:cs="Arial"/>
          <w:color w:val="000000" w:themeColor="text1"/>
          <w:sz w:val="22"/>
        </w:rPr>
        <w:t>–</w:t>
      </w:r>
      <w:r w:rsidR="000A5886" w:rsidRPr="00946115">
        <w:rPr>
          <w:rFonts w:ascii="Arial" w:eastAsia="Calibri" w:hAnsi="Arial" w:cs="Arial"/>
          <w:color w:val="000000" w:themeColor="text1"/>
          <w:sz w:val="22"/>
        </w:rPr>
        <w:t xml:space="preserve">, </w:t>
      </w:r>
      <w:r w:rsidR="00B32321" w:rsidRPr="00946115">
        <w:rPr>
          <w:rFonts w:ascii="Arial" w:eastAsia="Calibri" w:hAnsi="Arial" w:cs="Arial"/>
          <w:color w:val="000000" w:themeColor="text1"/>
          <w:sz w:val="22"/>
        </w:rPr>
        <w:t xml:space="preserve">la cual </w:t>
      </w:r>
      <w:r w:rsidR="000A5886" w:rsidRPr="00946115">
        <w:rPr>
          <w:rFonts w:ascii="Arial" w:eastAsia="Calibri" w:hAnsi="Arial" w:cs="Arial"/>
          <w:color w:val="000000" w:themeColor="text1"/>
          <w:sz w:val="22"/>
        </w:rPr>
        <w:t>establece en el artículo 6</w:t>
      </w:r>
      <w:r w:rsidR="00FC5C48" w:rsidRPr="00946115">
        <w:rPr>
          <w:rStyle w:val="Refdenotaalpie"/>
          <w:rFonts w:ascii="Arial" w:eastAsia="Calibri" w:hAnsi="Arial" w:cs="Arial"/>
          <w:color w:val="000000" w:themeColor="text1"/>
          <w:sz w:val="22"/>
        </w:rPr>
        <w:footnoteReference w:id="8"/>
      </w:r>
      <w:r w:rsidR="000A5886" w:rsidRPr="00946115">
        <w:rPr>
          <w:rFonts w:ascii="Arial" w:eastAsia="Calibri" w:hAnsi="Arial" w:cs="Arial"/>
          <w:color w:val="000000" w:themeColor="text1"/>
          <w:sz w:val="22"/>
        </w:rPr>
        <w:t xml:space="preserve"> </w:t>
      </w:r>
      <w:proofErr w:type="gramStart"/>
      <w:r w:rsidR="000A5886" w:rsidRPr="00946115">
        <w:rPr>
          <w:rFonts w:ascii="Arial" w:eastAsia="Calibri" w:hAnsi="Arial" w:cs="Arial"/>
          <w:color w:val="000000" w:themeColor="text1"/>
          <w:sz w:val="22"/>
        </w:rPr>
        <w:t>que</w:t>
      </w:r>
      <w:proofErr w:type="gramEnd"/>
      <w:r w:rsidR="000A5886" w:rsidRPr="00946115">
        <w:rPr>
          <w:rFonts w:ascii="Arial" w:eastAsia="Calibri" w:hAnsi="Arial" w:cs="Arial"/>
          <w:color w:val="000000" w:themeColor="text1"/>
          <w:sz w:val="22"/>
        </w:rPr>
        <w:t xml:space="preserve"> para ejercer la ingeniería, sus profesiones afines o sus profesiones auxiliares en el territorio nacional, se requiere estar matriculado o inscrito en el </w:t>
      </w:r>
      <w:r w:rsidR="00515BDC" w:rsidRPr="00946115">
        <w:rPr>
          <w:rFonts w:ascii="Arial" w:eastAsia="Calibri" w:hAnsi="Arial" w:cs="Arial"/>
          <w:color w:val="000000" w:themeColor="text1"/>
          <w:sz w:val="22"/>
        </w:rPr>
        <w:t>r</w:t>
      </w:r>
      <w:r w:rsidR="000A5886" w:rsidRPr="00946115">
        <w:rPr>
          <w:rFonts w:ascii="Arial" w:eastAsia="Calibri" w:hAnsi="Arial" w:cs="Arial"/>
          <w:color w:val="000000" w:themeColor="text1"/>
          <w:sz w:val="22"/>
        </w:rPr>
        <w:t xml:space="preserve">egistro </w:t>
      </w:r>
      <w:r w:rsidR="00515BDC" w:rsidRPr="00946115">
        <w:rPr>
          <w:rFonts w:ascii="Arial" w:eastAsia="Calibri" w:hAnsi="Arial" w:cs="Arial"/>
          <w:color w:val="000000" w:themeColor="text1"/>
          <w:sz w:val="22"/>
        </w:rPr>
        <w:t>p</w:t>
      </w:r>
      <w:r w:rsidR="000A5886" w:rsidRPr="00946115">
        <w:rPr>
          <w:rFonts w:ascii="Arial" w:eastAsia="Calibri" w:hAnsi="Arial" w:cs="Arial"/>
          <w:color w:val="000000" w:themeColor="text1"/>
          <w:sz w:val="22"/>
        </w:rPr>
        <w:t xml:space="preserve">rofesional respectivo, que seguirá llevando el </w:t>
      </w:r>
      <w:proofErr w:type="spellStart"/>
      <w:r w:rsidR="000A5886" w:rsidRPr="00946115">
        <w:rPr>
          <w:rFonts w:ascii="Arial" w:eastAsia="Calibri" w:hAnsi="Arial" w:cs="Arial"/>
          <w:color w:val="000000" w:themeColor="text1"/>
          <w:sz w:val="22"/>
        </w:rPr>
        <w:t>Copnia</w:t>
      </w:r>
      <w:proofErr w:type="spellEnd"/>
      <w:r w:rsidR="000A5886" w:rsidRPr="00946115">
        <w:rPr>
          <w:rFonts w:ascii="Arial" w:eastAsia="Calibri" w:hAnsi="Arial" w:cs="Arial"/>
          <w:color w:val="000000" w:themeColor="text1"/>
          <w:sz w:val="22"/>
        </w:rPr>
        <w:t xml:space="preserve">, lo cual se acreditará con la presentación de la tarjeta o documento adoptado por este para tal fin. En este caso, para el ejercicio de la profesión de ingeniería se requiere estar matriculado en el </w:t>
      </w:r>
      <w:r w:rsidR="00515BDC" w:rsidRPr="00946115">
        <w:rPr>
          <w:rFonts w:ascii="Arial" w:eastAsia="Calibri" w:hAnsi="Arial" w:cs="Arial"/>
          <w:color w:val="000000" w:themeColor="text1"/>
          <w:sz w:val="22"/>
        </w:rPr>
        <w:t>r</w:t>
      </w:r>
      <w:r w:rsidR="000A5886" w:rsidRPr="00946115">
        <w:rPr>
          <w:rFonts w:ascii="Arial" w:eastAsia="Calibri" w:hAnsi="Arial" w:cs="Arial"/>
          <w:color w:val="000000" w:themeColor="text1"/>
          <w:sz w:val="22"/>
        </w:rPr>
        <w:t xml:space="preserve">egistro </w:t>
      </w:r>
      <w:r w:rsidR="00515BDC" w:rsidRPr="00946115">
        <w:rPr>
          <w:rFonts w:ascii="Arial" w:eastAsia="Calibri" w:hAnsi="Arial" w:cs="Arial"/>
          <w:color w:val="000000" w:themeColor="text1"/>
          <w:sz w:val="22"/>
        </w:rPr>
        <w:t>p</w:t>
      </w:r>
      <w:r w:rsidR="000A5886" w:rsidRPr="00946115">
        <w:rPr>
          <w:rFonts w:ascii="Arial" w:eastAsia="Calibri" w:hAnsi="Arial" w:cs="Arial"/>
          <w:color w:val="000000" w:themeColor="text1"/>
          <w:sz w:val="22"/>
        </w:rPr>
        <w:t>rofesional, lo cual se acreditará con la presentación de la tarjeta profesional</w:t>
      </w:r>
      <w:r w:rsidR="00515BDC" w:rsidRPr="00946115">
        <w:rPr>
          <w:rFonts w:ascii="Arial" w:eastAsia="Calibri" w:hAnsi="Arial" w:cs="Arial"/>
          <w:color w:val="000000" w:themeColor="text1"/>
          <w:sz w:val="22"/>
        </w:rPr>
        <w:t>.</w:t>
      </w:r>
      <w:r w:rsidR="000A5886" w:rsidRPr="00946115">
        <w:rPr>
          <w:rFonts w:ascii="Arial" w:eastAsia="Calibri" w:hAnsi="Arial" w:cs="Arial"/>
          <w:color w:val="000000" w:themeColor="text1"/>
          <w:sz w:val="22"/>
        </w:rPr>
        <w:t xml:space="preserve"> </w:t>
      </w:r>
      <w:r w:rsidR="00515BDC" w:rsidRPr="00946115">
        <w:rPr>
          <w:rFonts w:ascii="Arial" w:eastAsia="Calibri" w:hAnsi="Arial" w:cs="Arial"/>
          <w:color w:val="000000" w:themeColor="text1"/>
          <w:sz w:val="22"/>
        </w:rPr>
        <w:t>P</w:t>
      </w:r>
      <w:r w:rsidR="000A5886" w:rsidRPr="00946115">
        <w:rPr>
          <w:rFonts w:ascii="Arial" w:eastAsia="Calibri" w:hAnsi="Arial" w:cs="Arial"/>
          <w:color w:val="000000" w:themeColor="text1"/>
          <w:sz w:val="22"/>
        </w:rPr>
        <w:t>or lo tanto, la entidad estatal deberá verificar que se aporte la tarjeta profesional para la celebración del contrato estatal.</w:t>
      </w:r>
    </w:p>
    <w:p w14:paraId="62A1B5ED" w14:textId="24483653" w:rsidR="001576F3" w:rsidRPr="00946115" w:rsidRDefault="001576F3" w:rsidP="001576F3">
      <w:pPr>
        <w:spacing w:line="276" w:lineRule="auto"/>
        <w:ind w:right="51" w:firstLine="708"/>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Si bien la entidad </w:t>
      </w:r>
      <w:r w:rsidR="00AE1A33" w:rsidRPr="00946115">
        <w:rPr>
          <w:rFonts w:ascii="Arial" w:eastAsia="Calibri" w:hAnsi="Arial" w:cs="Arial"/>
          <w:color w:val="000000" w:themeColor="text1"/>
          <w:sz w:val="22"/>
        </w:rPr>
        <w:t xml:space="preserve">debe </w:t>
      </w:r>
      <w:r w:rsidR="005158AA" w:rsidRPr="00946115">
        <w:rPr>
          <w:rFonts w:ascii="Arial" w:eastAsia="Calibri" w:hAnsi="Arial" w:cs="Arial"/>
          <w:color w:val="000000" w:themeColor="text1"/>
          <w:sz w:val="22"/>
        </w:rPr>
        <w:t>solicitar</w:t>
      </w:r>
      <w:r w:rsidR="00AE1A33" w:rsidRPr="00946115">
        <w:rPr>
          <w:rFonts w:ascii="Arial" w:eastAsia="Calibri" w:hAnsi="Arial" w:cs="Arial"/>
          <w:color w:val="000000" w:themeColor="text1"/>
          <w:sz w:val="22"/>
        </w:rPr>
        <w:t xml:space="preserve"> </w:t>
      </w:r>
      <w:r w:rsidRPr="00946115">
        <w:rPr>
          <w:rFonts w:ascii="Arial" w:eastAsia="Calibri" w:hAnsi="Arial" w:cs="Arial"/>
          <w:color w:val="000000" w:themeColor="text1"/>
          <w:sz w:val="22"/>
        </w:rPr>
        <w:t>la tarjeta profesional para la celebración del contrato de prestación de servicios con un ingeniero, para el c</w:t>
      </w:r>
      <w:r w:rsidR="005158AA" w:rsidRPr="00946115">
        <w:rPr>
          <w:rFonts w:ascii="Arial" w:eastAsia="Calibri" w:hAnsi="Arial" w:cs="Arial"/>
          <w:color w:val="000000" w:themeColor="text1"/>
          <w:sz w:val="22"/>
        </w:rPr>
        <w:t>ómputo</w:t>
      </w:r>
      <w:r w:rsidRPr="00946115">
        <w:rPr>
          <w:rFonts w:ascii="Arial" w:eastAsia="Calibri" w:hAnsi="Arial" w:cs="Arial"/>
          <w:color w:val="000000" w:themeColor="text1"/>
          <w:sz w:val="22"/>
        </w:rPr>
        <w:t xml:space="preserve"> de la experiencia de estos profesionales no se requiere la presentación de la tarjeta profesional, pues conforme lo establecido con el Decreto Ley 019 de 2012, el cómputo de aquella se realiza a partir de la terminación y aprobación del pensum académico de educación superior</w:t>
      </w:r>
      <w:r w:rsidR="005158AA" w:rsidRPr="00946115">
        <w:rPr>
          <w:rFonts w:ascii="Arial" w:eastAsia="Calibri" w:hAnsi="Arial" w:cs="Arial"/>
          <w:color w:val="000000" w:themeColor="text1"/>
          <w:sz w:val="22"/>
        </w:rPr>
        <w:t>, sin perjuicio de lo establecido en el artículo 192 de la Ley 1955 de 2019, tal como se explicó.</w:t>
      </w:r>
    </w:p>
    <w:p w14:paraId="3DC9BEE3" w14:textId="44631396" w:rsidR="00A7164E" w:rsidRPr="00946115" w:rsidRDefault="009B365E" w:rsidP="001576F3">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lastRenderedPageBreak/>
        <w:t>Lo anterior</w:t>
      </w:r>
      <w:r w:rsidR="008D0B62" w:rsidRPr="00946115">
        <w:rPr>
          <w:rFonts w:ascii="Arial" w:eastAsia="Calibri" w:hAnsi="Arial" w:cs="Arial"/>
          <w:color w:val="000000" w:themeColor="text1"/>
          <w:sz w:val="22"/>
        </w:rPr>
        <w:t xml:space="preserve">, </w:t>
      </w:r>
      <w:r w:rsidRPr="00946115">
        <w:rPr>
          <w:rFonts w:ascii="Arial" w:eastAsia="Calibri" w:hAnsi="Arial" w:cs="Arial"/>
          <w:color w:val="000000" w:themeColor="text1"/>
          <w:sz w:val="22"/>
        </w:rPr>
        <w:t xml:space="preserve">no contradice lo establecido en la Circular </w:t>
      </w:r>
      <w:r w:rsidR="00B04514" w:rsidRPr="00946115">
        <w:rPr>
          <w:rFonts w:ascii="Arial" w:eastAsia="Calibri" w:hAnsi="Arial" w:cs="Arial"/>
          <w:color w:val="000000" w:themeColor="text1"/>
          <w:sz w:val="22"/>
        </w:rPr>
        <w:t xml:space="preserve">Externa </w:t>
      </w:r>
      <w:r w:rsidRPr="00946115">
        <w:rPr>
          <w:rFonts w:ascii="Arial" w:eastAsia="Calibri" w:hAnsi="Arial" w:cs="Arial"/>
          <w:color w:val="000000" w:themeColor="text1"/>
          <w:sz w:val="22"/>
        </w:rPr>
        <w:t xml:space="preserve">Única de la Agencia Nacional de Contratación Pública </w:t>
      </w:r>
      <w:r w:rsidRPr="00946115">
        <w:rPr>
          <w:rFonts w:ascii="Arial" w:eastAsia="Calibri" w:hAnsi="Arial" w:cs="Arial"/>
          <w:b/>
          <w:color w:val="000000" w:themeColor="text1"/>
          <w:sz w:val="22"/>
        </w:rPr>
        <w:t>─</w:t>
      </w:r>
      <w:r w:rsidRPr="00946115">
        <w:rPr>
          <w:rFonts w:ascii="Arial" w:eastAsia="Calibri" w:hAnsi="Arial" w:cs="Arial"/>
          <w:color w:val="000000" w:themeColor="text1"/>
          <w:sz w:val="22"/>
        </w:rPr>
        <w:t>Colombia Compra Eficiente</w:t>
      </w:r>
      <w:r w:rsidRPr="00946115">
        <w:rPr>
          <w:rFonts w:ascii="Arial" w:eastAsia="Calibri" w:hAnsi="Arial" w:cs="Arial"/>
          <w:b/>
          <w:color w:val="000000" w:themeColor="text1"/>
          <w:sz w:val="22"/>
        </w:rPr>
        <w:t xml:space="preserve"> ─</w:t>
      </w:r>
      <w:r w:rsidR="00AB1598" w:rsidRPr="00946115">
        <w:rPr>
          <w:rFonts w:ascii="Arial" w:eastAsia="Calibri" w:hAnsi="Arial" w:cs="Arial"/>
          <w:b/>
          <w:color w:val="000000" w:themeColor="text1"/>
          <w:sz w:val="22"/>
        </w:rPr>
        <w:t>,</w:t>
      </w:r>
      <w:r w:rsidRPr="00946115">
        <w:rPr>
          <w:rFonts w:ascii="Arial" w:eastAsia="Calibri" w:hAnsi="Arial" w:cs="Arial"/>
          <w:b/>
          <w:color w:val="000000" w:themeColor="text1"/>
          <w:sz w:val="22"/>
        </w:rPr>
        <w:t xml:space="preserve"> </w:t>
      </w:r>
      <w:r w:rsidR="008D0B62" w:rsidRPr="00946115">
        <w:rPr>
          <w:rFonts w:ascii="Arial" w:eastAsia="Calibri" w:hAnsi="Arial" w:cs="Arial"/>
          <w:color w:val="000000" w:themeColor="text1"/>
          <w:sz w:val="22"/>
        </w:rPr>
        <w:t>en relación con el cómputo de la experi</w:t>
      </w:r>
      <w:r w:rsidR="00E00FC9" w:rsidRPr="00946115">
        <w:rPr>
          <w:rFonts w:ascii="Arial" w:eastAsia="Calibri" w:hAnsi="Arial" w:cs="Arial"/>
          <w:color w:val="000000" w:themeColor="text1"/>
          <w:sz w:val="22"/>
        </w:rPr>
        <w:t>en</w:t>
      </w:r>
      <w:r w:rsidR="008D0B62" w:rsidRPr="00946115">
        <w:rPr>
          <w:rFonts w:ascii="Arial" w:eastAsia="Calibri" w:hAnsi="Arial" w:cs="Arial"/>
          <w:color w:val="000000" w:themeColor="text1"/>
          <w:sz w:val="22"/>
        </w:rPr>
        <w:t>cia profesional de ingenieros</w:t>
      </w:r>
      <w:r w:rsidR="00AB1598" w:rsidRPr="00946115">
        <w:rPr>
          <w:rFonts w:ascii="Arial" w:eastAsia="Calibri" w:hAnsi="Arial" w:cs="Arial"/>
          <w:color w:val="000000" w:themeColor="text1"/>
          <w:sz w:val="22"/>
        </w:rPr>
        <w:t>,</w:t>
      </w:r>
      <w:r w:rsidR="00A7164E" w:rsidRPr="00946115">
        <w:rPr>
          <w:rFonts w:ascii="Arial" w:eastAsia="Calibri" w:hAnsi="Arial" w:cs="Arial"/>
          <w:color w:val="000000" w:themeColor="text1"/>
          <w:sz w:val="22"/>
        </w:rPr>
        <w:t xml:space="preserve"> por dos razones principales: la primera, </w:t>
      </w:r>
      <w:r w:rsidR="008D0B62" w:rsidRPr="00946115">
        <w:rPr>
          <w:rFonts w:ascii="Arial" w:eastAsia="Calibri" w:hAnsi="Arial" w:cs="Arial"/>
          <w:color w:val="000000" w:themeColor="text1"/>
          <w:sz w:val="22"/>
        </w:rPr>
        <w:t xml:space="preserve">porque el </w:t>
      </w:r>
      <w:r w:rsidR="001D4068" w:rsidRPr="00946115">
        <w:rPr>
          <w:rFonts w:ascii="Arial" w:eastAsia="Calibri" w:hAnsi="Arial" w:cs="Arial"/>
          <w:color w:val="000000" w:themeColor="text1"/>
          <w:sz w:val="22"/>
        </w:rPr>
        <w:t>párrafo</w:t>
      </w:r>
      <w:r w:rsidR="008D0B62" w:rsidRPr="00946115">
        <w:rPr>
          <w:rFonts w:ascii="Arial" w:eastAsia="Calibri" w:hAnsi="Arial" w:cs="Arial"/>
          <w:color w:val="000000" w:themeColor="text1"/>
          <w:sz w:val="22"/>
        </w:rPr>
        <w:t xml:space="preserve"> primero</w:t>
      </w:r>
      <w:r w:rsidR="001D4068" w:rsidRPr="00946115">
        <w:rPr>
          <w:rFonts w:ascii="Arial" w:eastAsia="Calibri" w:hAnsi="Arial" w:cs="Arial"/>
          <w:color w:val="000000" w:themeColor="text1"/>
          <w:sz w:val="22"/>
        </w:rPr>
        <w:t xml:space="preserve"> del numeral 9.2</w:t>
      </w:r>
      <w:r w:rsidR="001D4068" w:rsidRPr="00946115">
        <w:rPr>
          <w:rStyle w:val="Refdenotaalpie"/>
          <w:rFonts w:ascii="Arial" w:eastAsia="Calibri" w:hAnsi="Arial" w:cs="Arial"/>
          <w:color w:val="000000" w:themeColor="text1"/>
          <w:sz w:val="22"/>
        </w:rPr>
        <w:footnoteReference w:id="9"/>
      </w:r>
      <w:r w:rsidR="001D4068" w:rsidRPr="00946115">
        <w:rPr>
          <w:rFonts w:ascii="Arial" w:eastAsia="Calibri" w:hAnsi="Arial" w:cs="Arial"/>
          <w:color w:val="000000" w:themeColor="text1"/>
          <w:sz w:val="22"/>
        </w:rPr>
        <w:t xml:space="preserve"> </w:t>
      </w:r>
      <w:r w:rsidR="008D0B62" w:rsidRPr="00946115">
        <w:rPr>
          <w:rFonts w:ascii="Arial" w:eastAsia="Calibri" w:hAnsi="Arial" w:cs="Arial"/>
          <w:color w:val="000000" w:themeColor="text1"/>
          <w:sz w:val="22"/>
        </w:rPr>
        <w:t xml:space="preserve">estableció </w:t>
      </w:r>
      <w:r w:rsidR="001D4068" w:rsidRPr="00946115">
        <w:rPr>
          <w:rFonts w:ascii="Arial" w:eastAsia="Calibri" w:hAnsi="Arial" w:cs="Arial"/>
          <w:color w:val="000000" w:themeColor="text1"/>
          <w:sz w:val="22"/>
        </w:rPr>
        <w:t xml:space="preserve">como norma rectora del cómputo de la experiencia profesional </w:t>
      </w:r>
      <w:r w:rsidR="008D0B62" w:rsidRPr="00946115">
        <w:rPr>
          <w:rFonts w:ascii="Arial" w:eastAsia="Calibri" w:hAnsi="Arial" w:cs="Arial"/>
          <w:color w:val="000000" w:themeColor="text1"/>
          <w:sz w:val="22"/>
        </w:rPr>
        <w:t>el</w:t>
      </w:r>
      <w:r w:rsidR="001D4068" w:rsidRPr="00946115">
        <w:rPr>
          <w:rFonts w:ascii="Arial" w:eastAsia="Calibri" w:hAnsi="Arial" w:cs="Arial"/>
          <w:color w:val="000000" w:themeColor="text1"/>
          <w:sz w:val="22"/>
        </w:rPr>
        <w:t xml:space="preserve"> artículo 229 del Decreto 019 de 2012</w:t>
      </w:r>
      <w:r w:rsidR="00A7164E" w:rsidRPr="00946115">
        <w:rPr>
          <w:rFonts w:ascii="Arial" w:eastAsia="Calibri" w:hAnsi="Arial" w:cs="Arial"/>
          <w:color w:val="000000" w:themeColor="text1"/>
          <w:sz w:val="22"/>
        </w:rPr>
        <w:t>, de modo que esta es la regla general</w:t>
      </w:r>
      <w:r w:rsidR="00E00FC9" w:rsidRPr="00946115">
        <w:rPr>
          <w:rFonts w:ascii="Arial" w:eastAsia="Calibri" w:hAnsi="Arial" w:cs="Arial"/>
          <w:color w:val="000000" w:themeColor="text1"/>
          <w:sz w:val="22"/>
        </w:rPr>
        <w:t xml:space="preserve"> para contabilizar la experiencia profesional</w:t>
      </w:r>
      <w:r w:rsidR="000270AA" w:rsidRPr="00946115">
        <w:rPr>
          <w:rFonts w:ascii="Arial" w:eastAsia="Calibri" w:hAnsi="Arial" w:cs="Arial"/>
          <w:color w:val="000000" w:themeColor="text1"/>
          <w:sz w:val="22"/>
        </w:rPr>
        <w:t>,</w:t>
      </w:r>
      <w:r w:rsidR="00A7164E" w:rsidRPr="00946115">
        <w:rPr>
          <w:rFonts w:ascii="Arial" w:eastAsia="Calibri" w:hAnsi="Arial" w:cs="Arial"/>
          <w:color w:val="000000" w:themeColor="text1"/>
          <w:sz w:val="22"/>
        </w:rPr>
        <w:t xml:space="preserve"> salvo lo </w:t>
      </w:r>
      <w:r w:rsidR="00E00FC9" w:rsidRPr="00946115">
        <w:rPr>
          <w:rFonts w:ascii="Arial" w:eastAsia="Calibri" w:hAnsi="Arial" w:cs="Arial"/>
          <w:color w:val="000000" w:themeColor="text1"/>
          <w:sz w:val="22"/>
        </w:rPr>
        <w:t>dispuesto</w:t>
      </w:r>
      <w:r w:rsidR="00A7164E" w:rsidRPr="00946115">
        <w:rPr>
          <w:rFonts w:ascii="Arial" w:eastAsia="Calibri" w:hAnsi="Arial" w:cs="Arial"/>
          <w:color w:val="000000" w:themeColor="text1"/>
          <w:sz w:val="22"/>
        </w:rPr>
        <w:t xml:space="preserve"> para las áreas de l</w:t>
      </w:r>
      <w:r w:rsidR="00E00FC9" w:rsidRPr="00946115">
        <w:rPr>
          <w:rFonts w:ascii="Arial" w:eastAsia="Calibri" w:hAnsi="Arial" w:cs="Arial"/>
          <w:color w:val="000000" w:themeColor="text1"/>
          <w:sz w:val="22"/>
        </w:rPr>
        <w:t>a salud</w:t>
      </w:r>
      <w:r w:rsidR="00A7164E" w:rsidRPr="00946115">
        <w:rPr>
          <w:rFonts w:ascii="Arial" w:eastAsia="Calibri" w:hAnsi="Arial" w:cs="Arial"/>
          <w:color w:val="000000" w:themeColor="text1"/>
          <w:sz w:val="22"/>
        </w:rPr>
        <w:t xml:space="preserve">. </w:t>
      </w:r>
    </w:p>
    <w:p w14:paraId="67CDAE74" w14:textId="4A0AB647" w:rsidR="00BB7F22" w:rsidRPr="00946115" w:rsidRDefault="00BB7F22" w:rsidP="00BB7F22">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Segundo, porque en </w:t>
      </w:r>
      <w:r w:rsidRPr="00946115">
        <w:rPr>
          <w:rFonts w:ascii="Arial" w:hAnsi="Arial" w:cs="Arial"/>
          <w:color w:val="000000" w:themeColor="text1"/>
          <w:sz w:val="22"/>
        </w:rPr>
        <w:t>relación con el conteo de la experiencia profesional de ingeniería previsto en el párrafo segundo del numeral citado</w:t>
      </w:r>
      <w:r w:rsidRPr="00946115">
        <w:rPr>
          <w:rStyle w:val="Refdenotaalpie"/>
          <w:rFonts w:ascii="Arial" w:eastAsia="Calibri" w:hAnsi="Arial" w:cs="Arial"/>
          <w:color w:val="000000" w:themeColor="text1"/>
          <w:sz w:val="22"/>
        </w:rPr>
        <w:footnoteReference w:id="10"/>
      </w:r>
      <w:r w:rsidR="00122E42" w:rsidRPr="00946115">
        <w:rPr>
          <w:rFonts w:ascii="Arial" w:hAnsi="Arial" w:cs="Arial"/>
          <w:color w:val="000000" w:themeColor="text1"/>
          <w:sz w:val="22"/>
        </w:rPr>
        <w:t>,</w:t>
      </w:r>
      <w:r w:rsidRPr="00946115">
        <w:rPr>
          <w:rFonts w:ascii="Arial" w:hAnsi="Arial" w:cs="Arial"/>
          <w:color w:val="000000" w:themeColor="text1"/>
          <w:sz w:val="22"/>
        </w:rPr>
        <w:t xml:space="preserve"> es claro que, la Circular fijó esta subregla sin que permita colegir que este evento es una contradicción o contraposición a la regla rectora del Decreto 019 de 2012, pues lo que establece es que siempre que exista una norma especial que regule esta materia deberá remitirse a ella</w:t>
      </w:r>
      <w:r w:rsidR="00122E42" w:rsidRPr="00946115">
        <w:rPr>
          <w:rFonts w:ascii="Arial" w:hAnsi="Arial" w:cs="Arial"/>
          <w:color w:val="000000" w:themeColor="text1"/>
          <w:sz w:val="22"/>
        </w:rPr>
        <w:t>.</w:t>
      </w:r>
      <w:r w:rsidRPr="00946115">
        <w:rPr>
          <w:rFonts w:ascii="Arial" w:hAnsi="Arial" w:cs="Arial"/>
          <w:color w:val="000000" w:themeColor="text1"/>
          <w:sz w:val="22"/>
        </w:rPr>
        <w:t xml:space="preserve"> </w:t>
      </w:r>
      <w:r w:rsidR="00122E42" w:rsidRPr="00946115">
        <w:rPr>
          <w:rFonts w:ascii="Arial" w:hAnsi="Arial" w:cs="Arial"/>
          <w:color w:val="000000" w:themeColor="text1"/>
          <w:sz w:val="22"/>
        </w:rPr>
        <w:t>S</w:t>
      </w:r>
      <w:r w:rsidRPr="00946115">
        <w:rPr>
          <w:rFonts w:ascii="Arial" w:hAnsi="Arial" w:cs="Arial"/>
          <w:color w:val="000000" w:themeColor="text1"/>
          <w:sz w:val="22"/>
        </w:rPr>
        <w:t>in embargo, como la norma de la Ley 84</w:t>
      </w:r>
      <w:r w:rsidR="003824C9" w:rsidRPr="00946115">
        <w:rPr>
          <w:rFonts w:ascii="Arial" w:hAnsi="Arial" w:cs="Arial"/>
          <w:color w:val="000000" w:themeColor="text1"/>
          <w:sz w:val="22"/>
        </w:rPr>
        <w:t>2</w:t>
      </w:r>
      <w:r w:rsidRPr="00946115">
        <w:rPr>
          <w:rFonts w:ascii="Arial" w:hAnsi="Arial" w:cs="Arial"/>
          <w:color w:val="000000" w:themeColor="text1"/>
          <w:sz w:val="22"/>
        </w:rPr>
        <w:t xml:space="preserve"> de 2003 fue derogada tácitamente por el Decreto Ley 019 de 2012, en este momento no existe en el ordenamiento una norma jurídica especial en materia de acreditación de experiencia de profesionales de ingeniería, que ofrezca parámetros distintos a los consagrados en el Decreto 019 de 2012, para el cómputo de la experiencia profesional.</w:t>
      </w:r>
    </w:p>
    <w:p w14:paraId="7170591D" w14:textId="4F5C1F7E" w:rsidR="000A5886" w:rsidRDefault="000A5886" w:rsidP="00FC5C48">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t>Por lo tanto, la exigencia de la tarjeta profesional por parte de las entidades estatales no se requiere para contar la experiencia profesional, salv</w:t>
      </w:r>
      <w:r w:rsidR="00BB7F22" w:rsidRPr="00946115">
        <w:rPr>
          <w:rFonts w:ascii="Arial" w:eastAsia="Calibri" w:hAnsi="Arial" w:cs="Arial"/>
          <w:color w:val="000000" w:themeColor="text1"/>
          <w:sz w:val="22"/>
        </w:rPr>
        <w:t>o para las profesiones de salud y para aquellas profesiones o disciplinas que tengan vigente regulación espec</w:t>
      </w:r>
      <w:r w:rsidR="009C5155" w:rsidRPr="00946115">
        <w:rPr>
          <w:rFonts w:ascii="Arial" w:eastAsia="Calibri" w:hAnsi="Arial" w:cs="Arial"/>
          <w:color w:val="000000" w:themeColor="text1"/>
          <w:sz w:val="22"/>
        </w:rPr>
        <w:t>í</w:t>
      </w:r>
      <w:r w:rsidR="00BB7F22" w:rsidRPr="00946115">
        <w:rPr>
          <w:rFonts w:ascii="Arial" w:eastAsia="Calibri" w:hAnsi="Arial" w:cs="Arial"/>
          <w:color w:val="000000" w:themeColor="text1"/>
          <w:sz w:val="22"/>
        </w:rPr>
        <w:t>fica en materia de acreditación de experiencia</w:t>
      </w:r>
      <w:r w:rsidR="00CB5456" w:rsidRPr="00946115">
        <w:rPr>
          <w:rFonts w:ascii="Arial" w:eastAsia="Calibri" w:hAnsi="Arial" w:cs="Arial"/>
          <w:color w:val="000000" w:themeColor="text1"/>
          <w:sz w:val="22"/>
        </w:rPr>
        <w:t>,</w:t>
      </w:r>
      <w:r w:rsidR="00F938A3" w:rsidRPr="00946115">
        <w:rPr>
          <w:rFonts w:ascii="Arial" w:eastAsia="Calibri" w:hAnsi="Arial" w:cs="Arial"/>
          <w:color w:val="000000" w:themeColor="text1"/>
          <w:sz w:val="22"/>
        </w:rPr>
        <w:t xml:space="preserve"> que sea posterior al Decreto 019 de 2012.</w:t>
      </w:r>
      <w:r w:rsidRPr="00946115">
        <w:rPr>
          <w:rFonts w:ascii="Arial" w:eastAsia="Calibri" w:hAnsi="Arial" w:cs="Arial"/>
          <w:color w:val="000000" w:themeColor="text1"/>
          <w:sz w:val="22"/>
        </w:rPr>
        <w:t xml:space="preserve"> </w:t>
      </w:r>
    </w:p>
    <w:p w14:paraId="1C30F88C" w14:textId="77777777" w:rsidR="006B3266" w:rsidRPr="00946115" w:rsidRDefault="006B3266" w:rsidP="00FC5C48">
      <w:pPr>
        <w:spacing w:before="120" w:after="120" w:line="276" w:lineRule="auto"/>
        <w:ind w:right="51" w:firstLine="709"/>
        <w:jc w:val="both"/>
        <w:rPr>
          <w:rFonts w:ascii="Arial" w:eastAsia="Calibri" w:hAnsi="Arial" w:cs="Arial"/>
          <w:color w:val="000000" w:themeColor="text1"/>
          <w:sz w:val="22"/>
        </w:rPr>
      </w:pPr>
    </w:p>
    <w:p w14:paraId="69CAC783" w14:textId="5F6EB71A" w:rsidR="000A5886" w:rsidRPr="00946115" w:rsidRDefault="00FC5C48" w:rsidP="00FC5C48">
      <w:pPr>
        <w:spacing w:line="276" w:lineRule="auto"/>
        <w:jc w:val="both"/>
        <w:rPr>
          <w:rFonts w:ascii="Arial" w:eastAsia="Calibri" w:hAnsi="Arial" w:cs="Arial"/>
          <w:color w:val="000000" w:themeColor="text1"/>
          <w:sz w:val="22"/>
        </w:rPr>
      </w:pPr>
      <w:r w:rsidRPr="00946115">
        <w:rPr>
          <w:rFonts w:ascii="Arial" w:eastAsia="Calibri" w:hAnsi="Arial" w:cs="Arial"/>
          <w:b/>
          <w:color w:val="000000" w:themeColor="text1"/>
          <w:sz w:val="22"/>
        </w:rPr>
        <w:t xml:space="preserve">3. </w:t>
      </w:r>
      <w:r w:rsidR="000A5886" w:rsidRPr="00946115">
        <w:rPr>
          <w:rFonts w:ascii="Arial" w:eastAsia="Calibri" w:hAnsi="Arial" w:cs="Arial"/>
          <w:b/>
          <w:color w:val="000000" w:themeColor="text1"/>
          <w:sz w:val="22"/>
        </w:rPr>
        <w:t>Respuesta</w:t>
      </w:r>
      <w:r w:rsidRPr="00946115">
        <w:rPr>
          <w:rFonts w:ascii="Arial" w:eastAsia="Calibri" w:hAnsi="Arial" w:cs="Arial"/>
          <w:b/>
          <w:color w:val="000000" w:themeColor="text1"/>
          <w:sz w:val="22"/>
        </w:rPr>
        <w:t>s</w:t>
      </w:r>
    </w:p>
    <w:p w14:paraId="2354D09F" w14:textId="77777777" w:rsidR="000A5886" w:rsidRPr="00946115" w:rsidRDefault="000A5886" w:rsidP="005D4893">
      <w:pPr>
        <w:spacing w:line="276" w:lineRule="auto"/>
        <w:ind w:right="49"/>
        <w:jc w:val="both"/>
        <w:rPr>
          <w:rFonts w:ascii="Arial" w:eastAsia="Calibri" w:hAnsi="Arial" w:cs="Arial"/>
          <w:color w:val="000000" w:themeColor="text1"/>
          <w:sz w:val="22"/>
        </w:rPr>
      </w:pPr>
    </w:p>
    <w:p w14:paraId="6BB9C5F4" w14:textId="0C6A3245" w:rsidR="0089200B" w:rsidRPr="00946115" w:rsidRDefault="00FC5C48" w:rsidP="00AB25D5">
      <w:pPr>
        <w:spacing w:line="276" w:lineRule="auto"/>
        <w:ind w:left="709" w:right="709"/>
        <w:jc w:val="both"/>
        <w:rPr>
          <w:rFonts w:ascii="Arial" w:eastAsia="Calibri" w:hAnsi="Arial" w:cs="Arial"/>
          <w:color w:val="000000" w:themeColor="text1"/>
          <w:sz w:val="22"/>
        </w:rPr>
      </w:pPr>
      <w:r w:rsidRPr="00946115">
        <w:rPr>
          <w:rFonts w:ascii="Arial" w:eastAsia="Calibri" w:hAnsi="Arial" w:cs="Arial"/>
          <w:color w:val="000000" w:themeColor="text1"/>
          <w:sz w:val="22"/>
        </w:rPr>
        <w:t>i) «¿</w:t>
      </w:r>
      <w:r w:rsidR="0089200B" w:rsidRPr="00946115">
        <w:rPr>
          <w:rFonts w:ascii="Arial" w:eastAsia="Calibri" w:hAnsi="Arial" w:cs="Arial"/>
          <w:color w:val="000000" w:themeColor="text1"/>
          <w:sz w:val="22"/>
        </w:rPr>
        <w:t>C</w:t>
      </w:r>
      <w:r w:rsidRPr="00946115">
        <w:rPr>
          <w:rFonts w:ascii="Arial" w:eastAsia="Calibri" w:hAnsi="Arial" w:cs="Arial"/>
          <w:color w:val="000000" w:themeColor="text1"/>
          <w:sz w:val="22"/>
        </w:rPr>
        <w:t xml:space="preserve">uál es la normativa aplicable, para contabilizar el término de la experiencia profesional para los ingenieros, el artículo 12 de la Ley 842 de </w:t>
      </w:r>
      <w:r w:rsidRPr="00946115">
        <w:rPr>
          <w:rFonts w:ascii="Arial" w:eastAsia="Calibri" w:hAnsi="Arial" w:cs="Arial"/>
          <w:color w:val="000000" w:themeColor="text1"/>
          <w:sz w:val="22"/>
        </w:rPr>
        <w:lastRenderedPageBreak/>
        <w:t>2003 o el artículo 229 del Decreto 019 de 2012 que establece que sea a partir de la terminación y aprobación del pénsum académico»</w:t>
      </w:r>
    </w:p>
    <w:p w14:paraId="483C7312" w14:textId="77777777" w:rsidR="00BB7F22" w:rsidRPr="00946115" w:rsidRDefault="00BB7F22" w:rsidP="00BB7F22">
      <w:pPr>
        <w:spacing w:line="276" w:lineRule="auto"/>
        <w:ind w:right="51"/>
        <w:jc w:val="both"/>
        <w:rPr>
          <w:rFonts w:ascii="Arial" w:eastAsia="Calibri" w:hAnsi="Arial" w:cs="Arial"/>
          <w:color w:val="000000" w:themeColor="text1"/>
          <w:sz w:val="22"/>
        </w:rPr>
      </w:pPr>
    </w:p>
    <w:p w14:paraId="00256616" w14:textId="271C13A8" w:rsidR="00BB7F22" w:rsidRPr="00946115" w:rsidRDefault="00613B16" w:rsidP="00BB7F22">
      <w:pPr>
        <w:spacing w:line="276" w:lineRule="auto"/>
        <w:ind w:right="51"/>
        <w:jc w:val="both"/>
        <w:rPr>
          <w:rFonts w:ascii="Arial" w:eastAsia="Calibri" w:hAnsi="Arial" w:cs="Arial"/>
          <w:color w:val="000000" w:themeColor="text1"/>
          <w:sz w:val="22"/>
        </w:rPr>
      </w:pPr>
      <w:r w:rsidRPr="00946115">
        <w:rPr>
          <w:rFonts w:ascii="Arial" w:eastAsia="Calibri" w:hAnsi="Arial" w:cs="Arial"/>
          <w:color w:val="000000" w:themeColor="text1"/>
          <w:sz w:val="22"/>
        </w:rPr>
        <w:t>La norma aplicable es el artículo 229 del Decreto 019 de 2012, el cual establece que la experiencia profesional comienza a contarse a partir de la terminación y aprobación del pensum académico. Lo anterior, sin perjuicio de lo dispuesto en el artículo 19</w:t>
      </w:r>
      <w:r w:rsidR="00F1706A" w:rsidRPr="00946115">
        <w:rPr>
          <w:rFonts w:ascii="Arial" w:eastAsia="Calibri" w:hAnsi="Arial" w:cs="Arial"/>
          <w:color w:val="000000" w:themeColor="text1"/>
          <w:sz w:val="22"/>
        </w:rPr>
        <w:t>2</w:t>
      </w:r>
      <w:r w:rsidRPr="00946115">
        <w:rPr>
          <w:rFonts w:ascii="Arial" w:eastAsia="Calibri" w:hAnsi="Arial" w:cs="Arial"/>
          <w:color w:val="000000" w:themeColor="text1"/>
          <w:sz w:val="22"/>
        </w:rPr>
        <w:t xml:space="preserve"> de la Ley 1955 de 2019</w:t>
      </w:r>
      <w:r w:rsidR="00F1706A" w:rsidRPr="00946115">
        <w:rPr>
          <w:rFonts w:ascii="Arial" w:eastAsia="Calibri" w:hAnsi="Arial" w:cs="Arial"/>
          <w:color w:val="000000" w:themeColor="text1"/>
          <w:sz w:val="22"/>
        </w:rPr>
        <w:t>, que dispone que «la práctica laboral que el estudiante realice para optar a su título de profesional, tecnológico o técnico cuenta como experiencia laboral»</w:t>
      </w:r>
      <w:r w:rsidR="00BB7F22" w:rsidRPr="00946115">
        <w:rPr>
          <w:rFonts w:ascii="Arial" w:eastAsia="Calibri" w:hAnsi="Arial" w:cs="Arial"/>
          <w:color w:val="000000" w:themeColor="text1"/>
          <w:sz w:val="22"/>
        </w:rPr>
        <w:t>.</w:t>
      </w:r>
    </w:p>
    <w:p w14:paraId="0B9638FE" w14:textId="77777777" w:rsidR="00BB7F22" w:rsidRPr="00946115" w:rsidRDefault="00BB7F22" w:rsidP="00BB7F22">
      <w:pPr>
        <w:spacing w:line="276" w:lineRule="auto"/>
        <w:ind w:right="709"/>
        <w:jc w:val="both"/>
        <w:rPr>
          <w:rFonts w:ascii="Arial" w:eastAsia="Calibri" w:hAnsi="Arial" w:cs="Arial"/>
          <w:color w:val="000000" w:themeColor="text1"/>
          <w:sz w:val="22"/>
        </w:rPr>
      </w:pPr>
    </w:p>
    <w:p w14:paraId="02D65A54" w14:textId="58EA4FF5" w:rsidR="0089200B" w:rsidRPr="00946115" w:rsidRDefault="00FC5C48" w:rsidP="00AB25D5">
      <w:pPr>
        <w:spacing w:line="276" w:lineRule="auto"/>
        <w:ind w:left="709" w:right="709"/>
        <w:jc w:val="both"/>
        <w:rPr>
          <w:rFonts w:ascii="Arial" w:eastAsia="Calibri" w:hAnsi="Arial" w:cs="Arial"/>
          <w:color w:val="000000" w:themeColor="text1"/>
          <w:sz w:val="22"/>
        </w:rPr>
      </w:pPr>
      <w:proofErr w:type="spellStart"/>
      <w:r w:rsidRPr="00946115">
        <w:rPr>
          <w:rFonts w:ascii="Arial" w:eastAsia="Calibri" w:hAnsi="Arial" w:cs="Arial"/>
          <w:color w:val="000000" w:themeColor="text1"/>
          <w:sz w:val="22"/>
        </w:rPr>
        <w:t>ii</w:t>
      </w:r>
      <w:proofErr w:type="spellEnd"/>
      <w:r w:rsidRPr="00946115">
        <w:rPr>
          <w:rFonts w:ascii="Arial" w:eastAsia="Calibri" w:hAnsi="Arial" w:cs="Arial"/>
          <w:color w:val="000000" w:themeColor="text1"/>
          <w:sz w:val="22"/>
        </w:rPr>
        <w:t>) «</w:t>
      </w:r>
      <w:r w:rsidR="0089200B" w:rsidRPr="00946115">
        <w:rPr>
          <w:rFonts w:ascii="Arial" w:eastAsia="Calibri" w:hAnsi="Arial" w:cs="Arial"/>
          <w:color w:val="000000" w:themeColor="text1"/>
          <w:sz w:val="22"/>
        </w:rPr>
        <w:t>¿</w:t>
      </w:r>
      <w:r w:rsidRPr="00946115">
        <w:rPr>
          <w:rFonts w:ascii="Arial" w:eastAsia="Calibri" w:hAnsi="Arial" w:cs="Arial"/>
          <w:color w:val="000000" w:themeColor="text1"/>
          <w:sz w:val="22"/>
        </w:rPr>
        <w:t>Al ser el Decreto 019 de 2012 posterior a la Ley 842 de 2003 se deroga parcialmente lo previsto en ésta?»</w:t>
      </w:r>
    </w:p>
    <w:p w14:paraId="647BAED5" w14:textId="77777777" w:rsidR="00E612B9" w:rsidRPr="00946115" w:rsidRDefault="00E612B9" w:rsidP="00AB25D5">
      <w:pPr>
        <w:spacing w:line="276" w:lineRule="auto"/>
        <w:ind w:left="709" w:right="709"/>
        <w:jc w:val="both"/>
        <w:rPr>
          <w:rFonts w:ascii="Arial" w:eastAsia="Calibri" w:hAnsi="Arial" w:cs="Arial"/>
          <w:color w:val="000000" w:themeColor="text1"/>
          <w:sz w:val="22"/>
        </w:rPr>
      </w:pPr>
    </w:p>
    <w:p w14:paraId="645701F5" w14:textId="7B2AD2F8" w:rsidR="00FC5C48" w:rsidRPr="00946115" w:rsidRDefault="00FC5C48" w:rsidP="00AB25D5">
      <w:pPr>
        <w:spacing w:line="276" w:lineRule="auto"/>
        <w:ind w:left="709" w:right="709"/>
        <w:jc w:val="both"/>
        <w:rPr>
          <w:rFonts w:ascii="Arial" w:eastAsia="Calibri" w:hAnsi="Arial" w:cs="Arial"/>
          <w:color w:val="000000" w:themeColor="text1"/>
          <w:sz w:val="22"/>
        </w:rPr>
      </w:pPr>
      <w:proofErr w:type="spellStart"/>
      <w:r w:rsidRPr="00946115">
        <w:rPr>
          <w:rFonts w:ascii="Arial" w:eastAsia="Calibri" w:hAnsi="Arial" w:cs="Arial"/>
          <w:color w:val="000000" w:themeColor="text1"/>
          <w:sz w:val="22"/>
        </w:rPr>
        <w:t>iii</w:t>
      </w:r>
      <w:proofErr w:type="spellEnd"/>
      <w:r w:rsidRPr="00946115">
        <w:rPr>
          <w:rFonts w:ascii="Arial" w:eastAsia="Calibri" w:hAnsi="Arial" w:cs="Arial"/>
          <w:color w:val="000000" w:themeColor="text1"/>
          <w:sz w:val="22"/>
        </w:rPr>
        <w:t>) «</w:t>
      </w:r>
      <w:proofErr w:type="gramStart"/>
      <w:r w:rsidRPr="00946115">
        <w:rPr>
          <w:rFonts w:ascii="Arial" w:eastAsia="Calibri" w:hAnsi="Arial" w:cs="Arial"/>
          <w:color w:val="000000" w:themeColor="text1"/>
          <w:sz w:val="22"/>
        </w:rPr>
        <w:t>¿Al aplicarse lo previsto en el artículo 229 del Decreto 019 de 2012 pierde carácter obligatorio lo dispuesto en el numeral 9.</w:t>
      </w:r>
      <w:proofErr w:type="gramEnd"/>
      <w:r w:rsidRPr="00946115">
        <w:rPr>
          <w:rFonts w:ascii="Arial" w:eastAsia="Calibri" w:hAnsi="Arial" w:cs="Arial"/>
          <w:color w:val="000000" w:themeColor="text1"/>
          <w:sz w:val="22"/>
        </w:rPr>
        <w:t xml:space="preserve">2. “Cómputo de la experiencia profesional” de la Circular Externa única expedida por Colombia Compra Eficiente?». </w:t>
      </w:r>
    </w:p>
    <w:p w14:paraId="3BAD17A5" w14:textId="2D63D9EC" w:rsidR="0054717D" w:rsidRPr="00946115" w:rsidRDefault="0054717D" w:rsidP="00BB7F22">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t>En efecto,</w:t>
      </w:r>
      <w:r w:rsidR="001E55BF" w:rsidRPr="00946115">
        <w:rPr>
          <w:rFonts w:ascii="Arial" w:eastAsia="Calibri" w:hAnsi="Arial" w:cs="Arial"/>
          <w:color w:val="000000" w:themeColor="text1"/>
          <w:sz w:val="22"/>
        </w:rPr>
        <w:t xml:space="preserve"> el artículo 229 del Decreto 019 de 2012 –al ser una norma posterior en el tiempo– derogó tácitamente el artículo </w:t>
      </w:r>
      <w:r w:rsidR="00E13067" w:rsidRPr="00946115">
        <w:rPr>
          <w:rFonts w:ascii="Arial" w:eastAsia="Calibri" w:hAnsi="Arial" w:cs="Arial"/>
          <w:color w:val="000000" w:themeColor="text1"/>
          <w:sz w:val="22"/>
        </w:rPr>
        <w:t>12 de la Ley 842 de 2003</w:t>
      </w:r>
      <w:r w:rsidR="008C68DA" w:rsidRPr="00946115">
        <w:rPr>
          <w:rFonts w:ascii="Arial" w:eastAsia="Calibri" w:hAnsi="Arial" w:cs="Arial"/>
          <w:color w:val="000000" w:themeColor="text1"/>
          <w:sz w:val="22"/>
        </w:rPr>
        <w:t>, en lo que respecta al punto desde el cual comienza el cómputo de la experiencia profesional</w:t>
      </w:r>
      <w:r w:rsidR="00E13067" w:rsidRPr="00946115">
        <w:rPr>
          <w:rFonts w:ascii="Arial" w:eastAsia="Calibri" w:hAnsi="Arial" w:cs="Arial"/>
          <w:color w:val="000000" w:themeColor="text1"/>
          <w:sz w:val="22"/>
        </w:rPr>
        <w:t>.</w:t>
      </w:r>
      <w:r w:rsidR="001E55BF" w:rsidRPr="00946115">
        <w:rPr>
          <w:rFonts w:ascii="Arial" w:eastAsia="Calibri" w:hAnsi="Arial" w:cs="Arial"/>
          <w:color w:val="000000" w:themeColor="text1"/>
          <w:sz w:val="22"/>
        </w:rPr>
        <w:t xml:space="preserve"> </w:t>
      </w:r>
    </w:p>
    <w:p w14:paraId="06724EE1" w14:textId="70969197" w:rsidR="00BB7F22" w:rsidRPr="00946115" w:rsidRDefault="0054717D" w:rsidP="00436987">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t>Ahora bien, l</w:t>
      </w:r>
      <w:r w:rsidR="00BB7F22" w:rsidRPr="00946115">
        <w:rPr>
          <w:rFonts w:ascii="Arial" w:eastAsia="Calibri" w:hAnsi="Arial" w:cs="Arial"/>
          <w:color w:val="000000" w:themeColor="text1"/>
          <w:sz w:val="22"/>
        </w:rPr>
        <w:t xml:space="preserve">o anterior,  no contradice lo establecido en la Circular </w:t>
      </w:r>
      <w:r w:rsidR="008C68DA" w:rsidRPr="00946115">
        <w:rPr>
          <w:rFonts w:ascii="Arial" w:eastAsia="Calibri" w:hAnsi="Arial" w:cs="Arial"/>
          <w:color w:val="000000" w:themeColor="text1"/>
          <w:sz w:val="22"/>
        </w:rPr>
        <w:t xml:space="preserve">Externa </w:t>
      </w:r>
      <w:r w:rsidR="00BB7F22" w:rsidRPr="00946115">
        <w:rPr>
          <w:rFonts w:ascii="Arial" w:eastAsia="Calibri" w:hAnsi="Arial" w:cs="Arial"/>
          <w:color w:val="000000" w:themeColor="text1"/>
          <w:sz w:val="22"/>
        </w:rPr>
        <w:t xml:space="preserve">Única de la Agencia Nacional de Contratación Pública </w:t>
      </w:r>
      <w:r w:rsidR="00BB7F22" w:rsidRPr="00946115">
        <w:rPr>
          <w:rFonts w:ascii="Arial" w:eastAsia="Calibri" w:hAnsi="Arial" w:cs="Arial"/>
          <w:b/>
          <w:color w:val="000000" w:themeColor="text1"/>
          <w:sz w:val="22"/>
        </w:rPr>
        <w:t>─</w:t>
      </w:r>
      <w:r w:rsidR="00BB7F22" w:rsidRPr="00946115">
        <w:rPr>
          <w:rFonts w:ascii="Arial" w:eastAsia="Calibri" w:hAnsi="Arial" w:cs="Arial"/>
          <w:color w:val="000000" w:themeColor="text1"/>
          <w:sz w:val="22"/>
        </w:rPr>
        <w:t>Colombia Compra Eficiente</w:t>
      </w:r>
      <w:r w:rsidR="00BB7F22" w:rsidRPr="00946115">
        <w:rPr>
          <w:rFonts w:ascii="Arial" w:eastAsia="Calibri" w:hAnsi="Arial" w:cs="Arial"/>
          <w:b/>
          <w:color w:val="000000" w:themeColor="text1"/>
          <w:sz w:val="22"/>
        </w:rPr>
        <w:t xml:space="preserve">─ </w:t>
      </w:r>
      <w:r w:rsidR="00BB7F22" w:rsidRPr="00946115">
        <w:rPr>
          <w:rFonts w:ascii="Arial" w:eastAsia="Calibri" w:hAnsi="Arial" w:cs="Arial"/>
          <w:color w:val="000000" w:themeColor="text1"/>
          <w:sz w:val="22"/>
        </w:rPr>
        <w:t xml:space="preserve">en relación con el cómputo de la experiencia profesional de </w:t>
      </w:r>
      <w:r w:rsidR="00573745" w:rsidRPr="00946115">
        <w:rPr>
          <w:rFonts w:ascii="Arial" w:eastAsia="Calibri" w:hAnsi="Arial" w:cs="Arial"/>
          <w:color w:val="000000" w:themeColor="text1"/>
          <w:sz w:val="22"/>
        </w:rPr>
        <w:t xml:space="preserve">los </w:t>
      </w:r>
      <w:r w:rsidR="00BB7F22" w:rsidRPr="00946115">
        <w:rPr>
          <w:rFonts w:ascii="Arial" w:eastAsia="Calibri" w:hAnsi="Arial" w:cs="Arial"/>
          <w:color w:val="000000" w:themeColor="text1"/>
          <w:sz w:val="22"/>
        </w:rPr>
        <w:t>ingenieros</w:t>
      </w:r>
      <w:r w:rsidR="00573745" w:rsidRPr="00946115">
        <w:rPr>
          <w:rFonts w:ascii="Arial" w:eastAsia="Calibri" w:hAnsi="Arial" w:cs="Arial"/>
          <w:color w:val="000000" w:themeColor="text1"/>
          <w:sz w:val="22"/>
        </w:rPr>
        <w:t>,</w:t>
      </w:r>
      <w:r w:rsidR="00BB7F22" w:rsidRPr="00946115">
        <w:rPr>
          <w:rFonts w:ascii="Arial" w:eastAsia="Calibri" w:hAnsi="Arial" w:cs="Arial"/>
          <w:color w:val="000000" w:themeColor="text1"/>
          <w:sz w:val="22"/>
        </w:rPr>
        <w:t xml:space="preserve"> por dos razones principales: </w:t>
      </w:r>
      <w:r w:rsidR="00436987" w:rsidRPr="00946115">
        <w:rPr>
          <w:rFonts w:ascii="Arial" w:eastAsia="Calibri" w:hAnsi="Arial" w:cs="Arial"/>
          <w:color w:val="000000" w:themeColor="text1"/>
          <w:sz w:val="22"/>
        </w:rPr>
        <w:t>primero</w:t>
      </w:r>
      <w:r w:rsidR="00BB7F22" w:rsidRPr="00946115">
        <w:rPr>
          <w:rFonts w:ascii="Arial" w:eastAsia="Calibri" w:hAnsi="Arial" w:cs="Arial"/>
          <w:color w:val="000000" w:themeColor="text1"/>
          <w:sz w:val="22"/>
        </w:rPr>
        <w:t>, porque el párrafo primero del numeral 9.2</w:t>
      </w:r>
      <w:r w:rsidR="00436987" w:rsidRPr="00946115">
        <w:rPr>
          <w:rFonts w:ascii="Arial" w:eastAsia="Calibri" w:hAnsi="Arial" w:cs="Arial"/>
          <w:color w:val="000000" w:themeColor="text1"/>
          <w:sz w:val="22"/>
        </w:rPr>
        <w:t xml:space="preserve"> </w:t>
      </w:r>
      <w:r w:rsidR="00BB7F22" w:rsidRPr="00946115">
        <w:rPr>
          <w:rFonts w:ascii="Arial" w:eastAsia="Calibri" w:hAnsi="Arial" w:cs="Arial"/>
          <w:color w:val="000000" w:themeColor="text1"/>
          <w:sz w:val="22"/>
        </w:rPr>
        <w:t>estableció como norma rectora del cómputo de la experiencia profesional el artículo 229 del Decreto 019 de 2012, de modo que esta es la regla general para contabilizar la experiencia profesional salvo lo dispuesto para las áreas de la salud. Segundo, porque</w:t>
      </w:r>
      <w:r w:rsidR="00436987" w:rsidRPr="00946115">
        <w:rPr>
          <w:rFonts w:ascii="Arial" w:eastAsia="Calibri" w:hAnsi="Arial" w:cs="Arial"/>
          <w:color w:val="000000" w:themeColor="text1"/>
          <w:sz w:val="22"/>
        </w:rPr>
        <w:t>,</w:t>
      </w:r>
      <w:r w:rsidR="00BB7F22" w:rsidRPr="00946115">
        <w:rPr>
          <w:rFonts w:ascii="Arial" w:eastAsia="Calibri" w:hAnsi="Arial" w:cs="Arial"/>
          <w:color w:val="000000" w:themeColor="text1"/>
          <w:sz w:val="22"/>
        </w:rPr>
        <w:t xml:space="preserve"> en </w:t>
      </w:r>
      <w:r w:rsidR="00BB7F22" w:rsidRPr="00946115">
        <w:rPr>
          <w:rFonts w:ascii="Arial" w:hAnsi="Arial" w:cs="Arial"/>
          <w:color w:val="000000" w:themeColor="text1"/>
          <w:sz w:val="22"/>
        </w:rPr>
        <w:t>relación con el c</w:t>
      </w:r>
      <w:r w:rsidR="00436987" w:rsidRPr="00946115">
        <w:rPr>
          <w:rFonts w:ascii="Arial" w:hAnsi="Arial" w:cs="Arial"/>
          <w:color w:val="000000" w:themeColor="text1"/>
          <w:sz w:val="22"/>
        </w:rPr>
        <w:t>ómputo</w:t>
      </w:r>
      <w:r w:rsidR="00BB7F22" w:rsidRPr="00946115">
        <w:rPr>
          <w:rFonts w:ascii="Arial" w:hAnsi="Arial" w:cs="Arial"/>
          <w:color w:val="000000" w:themeColor="text1"/>
          <w:sz w:val="22"/>
        </w:rPr>
        <w:t xml:space="preserve"> de la experiencia profesional de ingeniería previsto en el párrafo segundo del numeral citado</w:t>
      </w:r>
      <w:r w:rsidR="00436987" w:rsidRPr="00946115">
        <w:rPr>
          <w:rFonts w:ascii="Arial" w:hAnsi="Arial" w:cs="Arial"/>
          <w:color w:val="000000" w:themeColor="text1"/>
          <w:sz w:val="22"/>
        </w:rPr>
        <w:t>,</w:t>
      </w:r>
      <w:r w:rsidR="00BB7F22" w:rsidRPr="00946115">
        <w:rPr>
          <w:rFonts w:ascii="Arial" w:hAnsi="Arial" w:cs="Arial"/>
          <w:color w:val="000000" w:themeColor="text1"/>
          <w:sz w:val="22"/>
        </w:rPr>
        <w:t xml:space="preserve"> es claro que, la Circular fijó esta subregla</w:t>
      </w:r>
      <w:r w:rsidR="00436987" w:rsidRPr="00946115">
        <w:rPr>
          <w:rFonts w:ascii="Arial" w:hAnsi="Arial" w:cs="Arial"/>
          <w:color w:val="000000" w:themeColor="text1"/>
          <w:sz w:val="22"/>
        </w:rPr>
        <w:t>,</w:t>
      </w:r>
      <w:r w:rsidR="00BB7F22" w:rsidRPr="00946115">
        <w:rPr>
          <w:rFonts w:ascii="Arial" w:hAnsi="Arial" w:cs="Arial"/>
          <w:color w:val="000000" w:themeColor="text1"/>
          <w:sz w:val="22"/>
        </w:rPr>
        <w:t xml:space="preserve"> sin que </w:t>
      </w:r>
      <w:r w:rsidR="00436987" w:rsidRPr="00946115">
        <w:rPr>
          <w:rFonts w:ascii="Arial" w:hAnsi="Arial" w:cs="Arial"/>
          <w:color w:val="000000" w:themeColor="text1"/>
          <w:sz w:val="22"/>
        </w:rPr>
        <w:t>pueda colegirse</w:t>
      </w:r>
      <w:r w:rsidR="00BB7F22" w:rsidRPr="00946115">
        <w:rPr>
          <w:rFonts w:ascii="Arial" w:hAnsi="Arial" w:cs="Arial"/>
          <w:color w:val="000000" w:themeColor="text1"/>
          <w:sz w:val="22"/>
        </w:rPr>
        <w:t xml:space="preserve"> que este evento </w:t>
      </w:r>
      <w:r w:rsidR="009B4AAF" w:rsidRPr="00946115">
        <w:rPr>
          <w:rFonts w:ascii="Arial" w:hAnsi="Arial" w:cs="Arial"/>
          <w:color w:val="000000" w:themeColor="text1"/>
          <w:sz w:val="22"/>
        </w:rPr>
        <w:t xml:space="preserve">implica </w:t>
      </w:r>
      <w:r w:rsidR="00BB7F22" w:rsidRPr="00946115">
        <w:rPr>
          <w:rFonts w:ascii="Arial" w:hAnsi="Arial" w:cs="Arial"/>
          <w:color w:val="000000" w:themeColor="text1"/>
          <w:sz w:val="22"/>
        </w:rPr>
        <w:t xml:space="preserve">una contradicción o contraposición </w:t>
      </w:r>
      <w:r w:rsidR="009B4AAF" w:rsidRPr="00946115">
        <w:rPr>
          <w:rFonts w:ascii="Arial" w:hAnsi="Arial" w:cs="Arial"/>
          <w:color w:val="000000" w:themeColor="text1"/>
          <w:sz w:val="22"/>
        </w:rPr>
        <w:t xml:space="preserve">con </w:t>
      </w:r>
      <w:r w:rsidR="00BB7F22" w:rsidRPr="00946115">
        <w:rPr>
          <w:rFonts w:ascii="Arial" w:hAnsi="Arial" w:cs="Arial"/>
          <w:color w:val="000000" w:themeColor="text1"/>
          <w:sz w:val="22"/>
        </w:rPr>
        <w:t xml:space="preserve">la regla rectora del Decreto 019 de 2012, pues lo que establece es que siempre que exista una norma especial que regule esta materia deberá </w:t>
      </w:r>
      <w:r w:rsidR="009B4AAF" w:rsidRPr="00946115">
        <w:rPr>
          <w:rFonts w:ascii="Arial" w:hAnsi="Arial" w:cs="Arial"/>
          <w:color w:val="000000" w:themeColor="text1"/>
          <w:sz w:val="22"/>
        </w:rPr>
        <w:t xml:space="preserve">efectuarse la remisión </w:t>
      </w:r>
      <w:r w:rsidR="00BB7F22" w:rsidRPr="00946115">
        <w:rPr>
          <w:rFonts w:ascii="Arial" w:hAnsi="Arial" w:cs="Arial"/>
          <w:color w:val="000000" w:themeColor="text1"/>
          <w:sz w:val="22"/>
        </w:rPr>
        <w:t>a ella</w:t>
      </w:r>
      <w:r w:rsidR="009B4AAF" w:rsidRPr="00946115">
        <w:rPr>
          <w:rFonts w:ascii="Arial" w:hAnsi="Arial" w:cs="Arial"/>
          <w:color w:val="000000" w:themeColor="text1"/>
          <w:sz w:val="22"/>
        </w:rPr>
        <w:t>.</w:t>
      </w:r>
      <w:r w:rsidR="00BB7F22" w:rsidRPr="00946115">
        <w:rPr>
          <w:rFonts w:ascii="Arial" w:hAnsi="Arial" w:cs="Arial"/>
          <w:color w:val="000000" w:themeColor="text1"/>
          <w:sz w:val="22"/>
        </w:rPr>
        <w:t xml:space="preserve"> </w:t>
      </w:r>
      <w:r w:rsidR="009B4AAF" w:rsidRPr="00946115">
        <w:rPr>
          <w:rFonts w:ascii="Arial" w:hAnsi="Arial" w:cs="Arial"/>
          <w:color w:val="000000" w:themeColor="text1"/>
          <w:sz w:val="22"/>
        </w:rPr>
        <w:t>S</w:t>
      </w:r>
      <w:r w:rsidR="00BB7F22" w:rsidRPr="00946115">
        <w:rPr>
          <w:rFonts w:ascii="Arial" w:hAnsi="Arial" w:cs="Arial"/>
          <w:color w:val="000000" w:themeColor="text1"/>
          <w:sz w:val="22"/>
        </w:rPr>
        <w:t xml:space="preserve">in embargo, como la norma de la Ley 843 de 2003 fue derogada tácitamente por el Decreto Ley 019 de 2012, en este momento no existe en el ordenamiento una norma jurídica especial en materia de acreditación de experiencia de </w:t>
      </w:r>
      <w:r w:rsidR="009B4AAF" w:rsidRPr="00946115">
        <w:rPr>
          <w:rFonts w:ascii="Arial" w:hAnsi="Arial" w:cs="Arial"/>
          <w:color w:val="000000" w:themeColor="text1"/>
          <w:sz w:val="22"/>
        </w:rPr>
        <w:t xml:space="preserve">los </w:t>
      </w:r>
      <w:r w:rsidR="00BB7F22" w:rsidRPr="00946115">
        <w:rPr>
          <w:rFonts w:ascii="Arial" w:hAnsi="Arial" w:cs="Arial"/>
          <w:color w:val="000000" w:themeColor="text1"/>
          <w:sz w:val="22"/>
        </w:rPr>
        <w:t>profesionales de ingeniería, que ofrezca parámetros distintos a los consagrados en el Decreto 019 de 2012, para el cómputo de la experiencia profesional.</w:t>
      </w:r>
    </w:p>
    <w:p w14:paraId="66E63083" w14:textId="5B5C4511" w:rsidR="00BB7F22" w:rsidRPr="00946115" w:rsidRDefault="00BB7F22" w:rsidP="00BB7F22">
      <w:pPr>
        <w:spacing w:before="120" w:after="120" w:line="276" w:lineRule="auto"/>
        <w:ind w:right="51" w:firstLine="709"/>
        <w:jc w:val="both"/>
        <w:rPr>
          <w:rFonts w:ascii="Arial" w:eastAsia="Calibri" w:hAnsi="Arial" w:cs="Arial"/>
          <w:color w:val="000000" w:themeColor="text1"/>
          <w:sz w:val="22"/>
        </w:rPr>
      </w:pPr>
      <w:r w:rsidRPr="00946115">
        <w:rPr>
          <w:rFonts w:ascii="Arial" w:eastAsia="Calibri" w:hAnsi="Arial" w:cs="Arial"/>
          <w:color w:val="000000" w:themeColor="text1"/>
          <w:sz w:val="22"/>
        </w:rPr>
        <w:t xml:space="preserve">Por lo tanto, la exigencia de la tarjeta profesional por parte de las entidades estatales no se requiere para </w:t>
      </w:r>
      <w:r w:rsidR="00CB5456" w:rsidRPr="00946115">
        <w:rPr>
          <w:rFonts w:ascii="Arial" w:eastAsia="Calibri" w:hAnsi="Arial" w:cs="Arial"/>
          <w:color w:val="000000" w:themeColor="text1"/>
          <w:sz w:val="22"/>
        </w:rPr>
        <w:t xml:space="preserve">el cómputo de </w:t>
      </w:r>
      <w:r w:rsidRPr="00946115">
        <w:rPr>
          <w:rFonts w:ascii="Arial" w:eastAsia="Calibri" w:hAnsi="Arial" w:cs="Arial"/>
          <w:color w:val="000000" w:themeColor="text1"/>
          <w:sz w:val="22"/>
        </w:rPr>
        <w:t xml:space="preserve">la experiencia profesional, salvo para las profesiones de salud y para aquellas profesiones o disciplinas que tengan vigente </w:t>
      </w:r>
      <w:r w:rsidRPr="00946115">
        <w:rPr>
          <w:rFonts w:ascii="Arial" w:eastAsia="Calibri" w:hAnsi="Arial" w:cs="Arial"/>
          <w:color w:val="000000" w:themeColor="text1"/>
          <w:sz w:val="22"/>
        </w:rPr>
        <w:lastRenderedPageBreak/>
        <w:t>regulación específica en materia de acreditación de experiencia</w:t>
      </w:r>
      <w:r w:rsidR="00CB5456" w:rsidRPr="00946115">
        <w:rPr>
          <w:rFonts w:ascii="Arial" w:eastAsia="Calibri" w:hAnsi="Arial" w:cs="Arial"/>
          <w:color w:val="000000" w:themeColor="text1"/>
          <w:sz w:val="22"/>
        </w:rPr>
        <w:t xml:space="preserve">, que sea posterior al Decreto 019 de </w:t>
      </w:r>
      <w:proofErr w:type="gramStart"/>
      <w:r w:rsidR="00CB5456" w:rsidRPr="00946115">
        <w:rPr>
          <w:rFonts w:ascii="Arial" w:eastAsia="Calibri" w:hAnsi="Arial" w:cs="Arial"/>
          <w:color w:val="000000" w:themeColor="text1"/>
          <w:sz w:val="22"/>
        </w:rPr>
        <w:t>2012.</w:t>
      </w:r>
      <w:r w:rsidRPr="00946115">
        <w:rPr>
          <w:rFonts w:ascii="Arial" w:eastAsia="Calibri" w:hAnsi="Arial" w:cs="Arial"/>
          <w:color w:val="000000" w:themeColor="text1"/>
          <w:sz w:val="22"/>
        </w:rPr>
        <w:t>.</w:t>
      </w:r>
      <w:proofErr w:type="gramEnd"/>
      <w:r w:rsidRPr="00946115">
        <w:rPr>
          <w:rFonts w:ascii="Arial" w:eastAsia="Calibri" w:hAnsi="Arial" w:cs="Arial"/>
          <w:color w:val="000000" w:themeColor="text1"/>
          <w:sz w:val="22"/>
        </w:rPr>
        <w:t xml:space="preserve"> </w:t>
      </w:r>
    </w:p>
    <w:p w14:paraId="269C0F87" w14:textId="77777777" w:rsidR="000A5886" w:rsidRPr="00946115" w:rsidRDefault="000A5886" w:rsidP="005D4893">
      <w:pPr>
        <w:spacing w:line="276" w:lineRule="auto"/>
        <w:ind w:right="49"/>
        <w:jc w:val="both"/>
        <w:rPr>
          <w:rFonts w:ascii="Arial" w:eastAsia="Calibri" w:hAnsi="Arial" w:cs="Arial"/>
          <w:color w:val="000000" w:themeColor="text1"/>
          <w:sz w:val="22"/>
        </w:rPr>
      </w:pPr>
    </w:p>
    <w:p w14:paraId="4C0C8436" w14:textId="77777777" w:rsidR="000A5886" w:rsidRPr="00946115" w:rsidRDefault="000A5886" w:rsidP="005D4893">
      <w:pPr>
        <w:spacing w:line="276" w:lineRule="auto"/>
        <w:ind w:right="49"/>
        <w:jc w:val="both"/>
        <w:rPr>
          <w:rFonts w:ascii="Arial" w:eastAsia="Calibri" w:hAnsi="Arial" w:cs="Arial"/>
          <w:color w:val="000000" w:themeColor="text1"/>
          <w:sz w:val="22"/>
        </w:rPr>
      </w:pPr>
      <w:r w:rsidRPr="00946115">
        <w:rPr>
          <w:rFonts w:ascii="Arial" w:eastAsia="Calibri" w:hAnsi="Arial" w:cs="Arial"/>
          <w:color w:val="000000" w:themeColor="text1"/>
          <w:sz w:val="22"/>
        </w:rPr>
        <w:t>Este concepto tiene el alcance previsto en el artículo 28 del Código de Procedimiento Administrativo y de lo Contencioso Administrativo.</w:t>
      </w:r>
    </w:p>
    <w:p w14:paraId="1738E11D" w14:textId="77777777" w:rsidR="000A5886" w:rsidRPr="00946115" w:rsidRDefault="000A5886" w:rsidP="005D4893">
      <w:pPr>
        <w:spacing w:line="276" w:lineRule="auto"/>
        <w:ind w:right="49"/>
        <w:jc w:val="both"/>
        <w:rPr>
          <w:rFonts w:ascii="Arial" w:eastAsia="Calibri" w:hAnsi="Arial" w:cs="Arial"/>
          <w:color w:val="000000" w:themeColor="text1"/>
          <w:sz w:val="22"/>
        </w:rPr>
      </w:pPr>
      <w:r w:rsidRPr="00946115">
        <w:rPr>
          <w:rFonts w:ascii="Arial" w:eastAsia="Calibri" w:hAnsi="Arial" w:cs="Arial"/>
          <w:noProof/>
          <w:color w:val="000000" w:themeColor="text1"/>
          <w:sz w:val="22"/>
          <w:lang w:val="en-US"/>
        </w:rPr>
        <mc:AlternateContent>
          <mc:Choice Requires="wps">
            <w:drawing>
              <wp:anchor distT="0" distB="0" distL="0" distR="0" simplePos="0" relativeHeight="251663360" behindDoc="1" locked="0" layoutInCell="1" allowOverlap="1" wp14:anchorId="382AF030" wp14:editId="624D3954">
                <wp:simplePos x="0" y="0"/>
                <wp:positionH relativeFrom="page">
                  <wp:posOffset>1514475</wp:posOffset>
                </wp:positionH>
                <wp:positionV relativeFrom="paragraph">
                  <wp:posOffset>194945</wp:posOffset>
                </wp:positionV>
                <wp:extent cx="46863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2" style="position:absolute;margin-left:119.25pt;margin-top:15.35pt;width:36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nt+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" w14:anchorId="1BC14295">
                <v:path arrowok="t" o:connecttype="custom" o:connectlocs="0,0;4686300,0" o:connectangles="0,0"/>
                <w10:wrap type="topAndBottom" anchorx="page"/>
              </v:shape>
            </w:pict>
          </mc:Fallback>
        </mc:AlternateContent>
      </w:r>
    </w:p>
    <w:p w14:paraId="7C20D2AC" w14:textId="77777777" w:rsidR="000A5886" w:rsidRPr="00946115" w:rsidRDefault="000A5886" w:rsidP="005D4893">
      <w:pPr>
        <w:spacing w:line="276" w:lineRule="auto"/>
        <w:ind w:right="49"/>
        <w:jc w:val="both"/>
        <w:rPr>
          <w:rFonts w:ascii="Arial" w:eastAsia="Calibri" w:hAnsi="Arial" w:cs="Arial"/>
          <w:color w:val="000000" w:themeColor="text1"/>
          <w:sz w:val="22"/>
        </w:rPr>
      </w:pPr>
      <w:r w:rsidRPr="00946115">
        <w:rPr>
          <w:rFonts w:ascii="Arial" w:eastAsia="Calibri" w:hAnsi="Arial" w:cs="Arial"/>
          <w:color w:val="000000" w:themeColor="text1"/>
          <w:sz w:val="22"/>
        </w:rPr>
        <w:t>Atentamente,</w:t>
      </w:r>
    </w:p>
    <w:p w14:paraId="0AF888F0" w14:textId="67F29A78" w:rsidR="008138A0" w:rsidRPr="00946115" w:rsidRDefault="00B8421C" w:rsidP="008138A0">
      <w:pPr>
        <w:jc w:val="center"/>
        <w:rPr>
          <w:rFonts w:ascii="Arial" w:eastAsia="Times New Roman" w:hAnsi="Arial" w:cs="Arial"/>
          <w:color w:val="000000" w:themeColor="text1"/>
          <w:sz w:val="18"/>
          <w:szCs w:val="20"/>
          <w:lang w:eastAsia="es-CO"/>
        </w:rPr>
      </w:pPr>
      <w:r>
        <w:rPr>
          <w:noProof/>
        </w:rPr>
        <w:drawing>
          <wp:inline distT="0" distB="0" distL="0" distR="0" wp14:anchorId="611CE8A0" wp14:editId="01B45F77">
            <wp:extent cx="2773045" cy="988695"/>
            <wp:effectExtent l="0" t="0" r="0" b="0"/>
            <wp:docPr id="1305004205"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580AE46" w14:textId="2E39B211" w:rsidR="008217B7" w:rsidRPr="00946115" w:rsidRDefault="008217B7" w:rsidP="00D0176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46115" w:rsidRPr="00946115" w14:paraId="29396663" w14:textId="77777777" w:rsidTr="00FE42ED">
        <w:trPr>
          <w:trHeight w:val="315"/>
        </w:trPr>
        <w:tc>
          <w:tcPr>
            <w:tcW w:w="812" w:type="dxa"/>
            <w:vAlign w:val="center"/>
          </w:tcPr>
          <w:p w14:paraId="6F0CAE6B" w14:textId="77777777" w:rsidR="00FE42ED" w:rsidRPr="00946115" w:rsidRDefault="00FE42ED" w:rsidP="00D01760">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2EC30B65" w:rsidR="00FE42ED" w:rsidRPr="00946115" w:rsidRDefault="00C67D55" w:rsidP="00D01760">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 xml:space="preserve">Nina María Padrón Ballestas </w:t>
            </w:r>
          </w:p>
          <w:p w14:paraId="2103C8C1" w14:textId="01D6293B" w:rsidR="00FE42ED" w:rsidRPr="00946115" w:rsidRDefault="00AA3342" w:rsidP="00D01760">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Contratista</w:t>
            </w:r>
            <w:r w:rsidR="00C67D55" w:rsidRPr="00946115">
              <w:rPr>
                <w:rFonts w:ascii="Arial" w:eastAsia="Times New Roman" w:hAnsi="Arial" w:cs="Arial"/>
                <w:color w:val="000000" w:themeColor="text1"/>
                <w:sz w:val="16"/>
                <w:szCs w:val="16"/>
                <w:lang w:eastAsia="es-ES"/>
              </w:rPr>
              <w:t xml:space="preserve"> Subdirección de Gestión Contractual </w:t>
            </w:r>
          </w:p>
        </w:tc>
      </w:tr>
      <w:tr w:rsidR="00946115" w:rsidRPr="00946115" w14:paraId="5E7F46A1" w14:textId="77777777" w:rsidTr="00FE42ED">
        <w:trPr>
          <w:trHeight w:val="330"/>
        </w:trPr>
        <w:tc>
          <w:tcPr>
            <w:tcW w:w="812" w:type="dxa"/>
            <w:vAlign w:val="center"/>
          </w:tcPr>
          <w:p w14:paraId="1A19A861" w14:textId="77777777" w:rsidR="00FE42ED" w:rsidRPr="00946115" w:rsidRDefault="00FE42ED" w:rsidP="00D01760">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1C370F10" w14:textId="0E2126A5" w:rsidR="00C67D55" w:rsidRPr="00946115" w:rsidRDefault="00AA0AFD" w:rsidP="00C67D55">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Cristian Andrés Díaz Díez</w:t>
            </w:r>
          </w:p>
          <w:p w14:paraId="45335CE3" w14:textId="28D44B9A" w:rsidR="00226747" w:rsidRPr="00946115" w:rsidRDefault="00AA0AFD" w:rsidP="00C67D55">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 xml:space="preserve">Contratista Subdirección </w:t>
            </w:r>
            <w:r w:rsidR="00C67D55" w:rsidRPr="00946115">
              <w:rPr>
                <w:rFonts w:ascii="Arial" w:eastAsia="Times New Roman" w:hAnsi="Arial" w:cs="Arial"/>
                <w:color w:val="000000" w:themeColor="text1"/>
                <w:sz w:val="16"/>
                <w:szCs w:val="16"/>
                <w:lang w:eastAsia="es-ES"/>
              </w:rPr>
              <w:t>de Gestión Contractual</w:t>
            </w:r>
          </w:p>
        </w:tc>
      </w:tr>
      <w:tr w:rsidR="00F204AF" w:rsidRPr="00946115" w14:paraId="791C214B" w14:textId="77777777" w:rsidTr="00FE42ED">
        <w:trPr>
          <w:trHeight w:val="300"/>
        </w:trPr>
        <w:tc>
          <w:tcPr>
            <w:tcW w:w="812" w:type="dxa"/>
            <w:vAlign w:val="center"/>
          </w:tcPr>
          <w:p w14:paraId="53C58A58" w14:textId="77777777" w:rsidR="00FE42ED" w:rsidRPr="00946115" w:rsidRDefault="00FE42ED" w:rsidP="00D01760">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946115" w:rsidRDefault="00FE42ED" w:rsidP="00D01760">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Fabián Gonzalo Marín Cortés</w:t>
            </w:r>
          </w:p>
          <w:p w14:paraId="65654530" w14:textId="12CFE913" w:rsidR="00FE42ED" w:rsidRPr="00946115" w:rsidRDefault="00FE42ED" w:rsidP="00D01760">
            <w:pPr>
              <w:rPr>
                <w:rFonts w:ascii="Arial" w:eastAsia="Times New Roman" w:hAnsi="Arial" w:cs="Arial"/>
                <w:color w:val="000000" w:themeColor="text1"/>
                <w:sz w:val="16"/>
                <w:szCs w:val="16"/>
                <w:lang w:eastAsia="es-ES"/>
              </w:rPr>
            </w:pPr>
            <w:r w:rsidRPr="00946115">
              <w:rPr>
                <w:rFonts w:ascii="Arial" w:eastAsia="Times New Roman" w:hAnsi="Arial" w:cs="Arial"/>
                <w:color w:val="000000" w:themeColor="text1"/>
                <w:sz w:val="16"/>
                <w:szCs w:val="16"/>
                <w:lang w:eastAsia="es-ES"/>
              </w:rPr>
              <w:t>Subdirector de Gestión Contractual</w:t>
            </w:r>
          </w:p>
        </w:tc>
      </w:tr>
    </w:tbl>
    <w:p w14:paraId="7EBF297E" w14:textId="5790A9B7" w:rsidR="007B0854" w:rsidRPr="00946115" w:rsidRDefault="007B0854" w:rsidP="00D01760">
      <w:pPr>
        <w:spacing w:line="276" w:lineRule="auto"/>
        <w:jc w:val="both"/>
        <w:rPr>
          <w:rFonts w:ascii="Arial" w:eastAsia="Times New Roman" w:hAnsi="Arial" w:cs="Arial"/>
          <w:color w:val="000000" w:themeColor="text1"/>
          <w:sz w:val="18"/>
          <w:szCs w:val="18"/>
          <w:lang w:val="es-ES_tradnl" w:eastAsia="es-CO"/>
        </w:rPr>
      </w:pPr>
    </w:p>
    <w:sectPr w:rsidR="007B0854" w:rsidRPr="0094611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D12D5" w14:textId="77777777" w:rsidR="009D03FC" w:rsidRDefault="009D03FC">
      <w:r>
        <w:separator/>
      </w:r>
    </w:p>
  </w:endnote>
  <w:endnote w:type="continuationSeparator" w:id="0">
    <w:p w14:paraId="3BC52C7E" w14:textId="77777777" w:rsidR="009D03FC" w:rsidRDefault="009D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B3064" w14:textId="375E344F" w:rsidR="00320DE3" w:rsidRDefault="00320DE3" w:rsidP="00320DE3">
    <w:pPr>
      <w:pStyle w:val="Sinespaciado"/>
      <w:jc w:val="center"/>
      <w:rPr>
        <w:rFonts w:ascii="Arial" w:hAnsi="Arial" w:cs="Arial"/>
        <w:sz w:val="18"/>
        <w:szCs w:val="18"/>
      </w:rPr>
    </w:pPr>
  </w:p>
  <w:p w14:paraId="34097E5C" w14:textId="6B416A15" w:rsidR="006B3266" w:rsidRDefault="006B3266" w:rsidP="00320DE3">
    <w:pPr>
      <w:pStyle w:val="Sinespaciado"/>
      <w:jc w:val="center"/>
      <w:rPr>
        <w:rFonts w:ascii="Arial" w:hAnsi="Arial" w:cs="Arial"/>
        <w:sz w:val="18"/>
        <w:szCs w:val="18"/>
      </w:rPr>
    </w:pPr>
  </w:p>
  <w:p w14:paraId="7A3785F3" w14:textId="157ABF5C"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521564">
      <w:rPr>
        <w:rFonts w:ascii="Arial" w:hAnsi="Arial" w:cs="Arial"/>
        <w:b/>
        <w:bCs/>
        <w:noProof/>
        <w:color w:val="7F7F7F" w:themeColor="text1" w:themeTint="80"/>
        <w:sz w:val="16"/>
        <w:szCs w:val="16"/>
      </w:rPr>
      <w:t>3</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521564">
      <w:rPr>
        <w:rFonts w:ascii="Arial" w:hAnsi="Arial" w:cs="Arial"/>
        <w:b/>
        <w:bCs/>
        <w:noProof/>
        <w:color w:val="7F7F7F" w:themeColor="text1" w:themeTint="80"/>
        <w:sz w:val="16"/>
        <w:szCs w:val="16"/>
      </w:rPr>
      <w:t>11</w:t>
    </w:r>
    <w:r w:rsidR="00FE42ED" w:rsidRPr="00084B97">
      <w:rPr>
        <w:rFonts w:ascii="Arial" w:hAnsi="Arial" w:cs="Arial"/>
        <w:b/>
        <w:bCs/>
        <w:color w:val="7F7F7F" w:themeColor="text1" w:themeTint="80"/>
        <w:sz w:val="16"/>
        <w:szCs w:val="16"/>
      </w:rPr>
      <w:fldChar w:fldCharType="end"/>
    </w:r>
  </w:p>
  <w:p w14:paraId="48FC6A04" w14:textId="5FD1A7C9" w:rsidR="009047C5" w:rsidRDefault="35117DE8" w:rsidP="00322937">
    <w:pPr>
      <w:pStyle w:val="Piedepgina"/>
      <w:jc w:val="center"/>
      <w:rPr>
        <w:lang w:val="es-ES"/>
      </w:rPr>
    </w:pPr>
    <w:r>
      <w:rPr>
        <w:noProof/>
      </w:rPr>
      <w:drawing>
        <wp:inline distT="0" distB="0" distL="0" distR="0" wp14:anchorId="608B196D" wp14:editId="092A36BE">
          <wp:extent cx="3700130" cy="519139"/>
          <wp:effectExtent l="0" t="0" r="0" b="0"/>
          <wp:docPr id="13561925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6DB2BFF" w14:textId="77777777" w:rsidR="00320DE3" w:rsidRDefault="00320DE3" w:rsidP="00320DE3">
    <w:pPr>
      <w:pStyle w:val="Sinespaciado"/>
      <w:jc w:val="center"/>
      <w:rPr>
        <w:rFonts w:ascii="Arial" w:hAnsi="Arial" w:cs="Arial"/>
        <w:sz w:val="18"/>
        <w:szCs w:val="18"/>
      </w:rPr>
    </w:pPr>
  </w:p>
  <w:p w14:paraId="1133ADFB" w14:textId="77777777" w:rsidR="00320DE3" w:rsidRDefault="00320DE3"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A62C5" w14:textId="77777777" w:rsidR="009D03FC" w:rsidRDefault="009D03FC">
      <w:r>
        <w:separator/>
      </w:r>
    </w:p>
  </w:footnote>
  <w:footnote w:type="continuationSeparator" w:id="0">
    <w:p w14:paraId="62BC6F8A" w14:textId="77777777" w:rsidR="009D03FC" w:rsidRDefault="009D03FC">
      <w:r>
        <w:continuationSeparator/>
      </w:r>
    </w:p>
  </w:footnote>
  <w:footnote w:id="1">
    <w:p w14:paraId="522824C5" w14:textId="44A4A397" w:rsidR="005D4893" w:rsidRPr="00946115" w:rsidRDefault="005D4893" w:rsidP="00757654">
      <w:pPr>
        <w:ind w:right="51" w:firstLine="708"/>
        <w:jc w:val="both"/>
        <w:rPr>
          <w:rFonts w:ascii="Arial" w:eastAsia="Calibri" w:hAnsi="Arial" w:cs="Arial"/>
          <w:color w:val="000000" w:themeColor="text1"/>
          <w:sz w:val="19"/>
          <w:szCs w:val="19"/>
        </w:rPr>
      </w:pPr>
      <w:r w:rsidRPr="00946115">
        <w:rPr>
          <w:rStyle w:val="Refdenotaalpie"/>
          <w:rFonts w:ascii="Arial" w:hAnsi="Arial" w:cs="Arial"/>
          <w:color w:val="000000" w:themeColor="text1"/>
          <w:sz w:val="19"/>
          <w:szCs w:val="19"/>
        </w:rPr>
        <w:footnoteRef/>
      </w:r>
      <w:r w:rsidRPr="00946115">
        <w:rPr>
          <w:rFonts w:ascii="Arial" w:hAnsi="Arial" w:cs="Arial"/>
          <w:color w:val="000000" w:themeColor="text1"/>
          <w:sz w:val="19"/>
          <w:szCs w:val="19"/>
        </w:rPr>
        <w:t xml:space="preserve"> «</w:t>
      </w:r>
      <w:r w:rsidRPr="00946115">
        <w:rPr>
          <w:rFonts w:ascii="Arial" w:eastAsia="Calibri" w:hAnsi="Arial" w:cs="Arial"/>
          <w:color w:val="000000" w:themeColor="text1"/>
          <w:sz w:val="19"/>
          <w:szCs w:val="19"/>
        </w:rPr>
        <w:t>Decreto 019 de 2012: “Artículo 229. Experiencia profesional. Para el ejercicio de las diferentes profesiones acreditadas por el Ministerio de Educación Nacional, la experiencia profesional se computará a partir de la terminación y aprobación del pensum académico de educación superior.</w:t>
      </w:r>
    </w:p>
    <w:p w14:paraId="5E081C85" w14:textId="7B10206C" w:rsidR="005D4893" w:rsidRPr="00946115" w:rsidRDefault="005D4893" w:rsidP="00757654">
      <w:pPr>
        <w:ind w:right="51" w:firstLine="708"/>
        <w:jc w:val="both"/>
        <w:rPr>
          <w:rFonts w:ascii="Arial" w:eastAsia="Calibri" w:hAnsi="Arial" w:cs="Arial"/>
          <w:color w:val="000000" w:themeColor="text1"/>
          <w:sz w:val="19"/>
          <w:szCs w:val="19"/>
        </w:rPr>
      </w:pPr>
      <w:r w:rsidRPr="00946115">
        <w:rPr>
          <w:rFonts w:ascii="Arial" w:eastAsia="Calibri" w:hAnsi="Arial" w:cs="Arial"/>
          <w:color w:val="000000" w:themeColor="text1"/>
          <w:sz w:val="19"/>
          <w:szCs w:val="19"/>
        </w:rPr>
        <w:t>»Se exceptúan de esta condición las profesiones relacionadas con el sistema de seguridad social en salud en las cuales la experiencia profesional se computará a partir de la inscripción o registro profesional».</w:t>
      </w:r>
    </w:p>
    <w:p w14:paraId="0A5CD835" w14:textId="7CC78A28" w:rsidR="005D4893" w:rsidRPr="00946115" w:rsidRDefault="005D4893" w:rsidP="00757654">
      <w:pPr>
        <w:pStyle w:val="Textonotapie"/>
        <w:ind w:firstLine="708"/>
        <w:jc w:val="both"/>
        <w:rPr>
          <w:rFonts w:ascii="Arial" w:hAnsi="Arial" w:cs="Arial"/>
          <w:color w:val="000000" w:themeColor="text1"/>
          <w:sz w:val="19"/>
          <w:szCs w:val="19"/>
          <w:lang w:val="es-CO"/>
        </w:rPr>
      </w:pPr>
    </w:p>
  </w:footnote>
  <w:footnote w:id="2">
    <w:p w14:paraId="59C9D176" w14:textId="77777777" w:rsidR="005D4893" w:rsidRPr="00946115" w:rsidRDefault="005D4893" w:rsidP="00757654">
      <w:pPr>
        <w:ind w:firstLine="709"/>
        <w:jc w:val="both"/>
        <w:rPr>
          <w:rFonts w:ascii="Arial" w:eastAsia="Calibri" w:hAnsi="Arial" w:cs="Arial"/>
          <w:color w:val="000000" w:themeColor="text1"/>
          <w:sz w:val="19"/>
          <w:szCs w:val="19"/>
        </w:rPr>
      </w:pPr>
      <w:r w:rsidRPr="00946115">
        <w:rPr>
          <w:rStyle w:val="Refdenotaalpie"/>
          <w:rFonts w:ascii="Arial" w:hAnsi="Arial" w:cs="Arial"/>
          <w:color w:val="000000" w:themeColor="text1"/>
          <w:sz w:val="19"/>
          <w:szCs w:val="19"/>
        </w:rPr>
        <w:footnoteRef/>
      </w:r>
      <w:r w:rsidRPr="00946115">
        <w:rPr>
          <w:rFonts w:ascii="Arial" w:hAnsi="Arial" w:cs="Arial"/>
          <w:color w:val="000000" w:themeColor="text1"/>
          <w:sz w:val="19"/>
          <w:szCs w:val="19"/>
        </w:rPr>
        <w:t xml:space="preserve"> </w:t>
      </w:r>
      <w:r w:rsidRPr="00946115">
        <w:rPr>
          <w:rFonts w:ascii="Arial" w:eastAsia="Calibri" w:hAnsi="Arial" w:cs="Arial"/>
          <w:color w:val="000000" w:themeColor="text1"/>
          <w:sz w:val="19"/>
          <w:szCs w:val="19"/>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4043A8DE" w14:textId="6983B71D" w:rsidR="005D4893" w:rsidRPr="00946115" w:rsidRDefault="005D4893" w:rsidP="00757654">
      <w:pPr>
        <w:ind w:firstLine="709"/>
        <w:jc w:val="both"/>
        <w:rPr>
          <w:rFonts w:ascii="Arial" w:eastAsia="Calibri" w:hAnsi="Arial" w:cs="Arial"/>
          <w:color w:val="000000" w:themeColor="text1"/>
          <w:sz w:val="19"/>
          <w:szCs w:val="19"/>
        </w:rPr>
      </w:pPr>
      <w:r w:rsidRPr="00946115">
        <w:rPr>
          <w:rFonts w:ascii="Arial" w:eastAsia="Calibri" w:hAnsi="Arial" w:cs="Arial"/>
          <w:color w:val="000000" w:themeColor="text1"/>
          <w:sz w:val="19"/>
          <w:szCs w:val="19"/>
        </w:rPr>
        <w:t>»Por tratarse de una actividad formativa, la práctica laboral no constituye relación de trabajo».</w:t>
      </w:r>
    </w:p>
    <w:p w14:paraId="26E05EF2" w14:textId="586A13C9" w:rsidR="005D4893" w:rsidRPr="00946115" w:rsidRDefault="005D4893" w:rsidP="00757654">
      <w:pPr>
        <w:pStyle w:val="Textonotapie"/>
        <w:ind w:firstLine="708"/>
        <w:jc w:val="both"/>
        <w:rPr>
          <w:rFonts w:ascii="Arial" w:hAnsi="Arial" w:cs="Arial"/>
          <w:color w:val="000000" w:themeColor="text1"/>
          <w:sz w:val="19"/>
          <w:szCs w:val="19"/>
          <w:lang w:val="es-CO"/>
        </w:rPr>
      </w:pPr>
    </w:p>
  </w:footnote>
  <w:footnote w:id="3">
    <w:p w14:paraId="62A083A8" w14:textId="46F09B39" w:rsidR="003B095D" w:rsidRPr="00946115" w:rsidRDefault="003B095D" w:rsidP="00757654">
      <w:pPr>
        <w:pStyle w:val="NormalWeb"/>
        <w:spacing w:before="0" w:beforeAutospacing="0" w:after="0" w:afterAutospacing="0"/>
        <w:ind w:firstLine="709"/>
        <w:jc w:val="both"/>
        <w:rPr>
          <w:rFonts w:ascii="Arial" w:hAnsi="Arial" w:cs="Arial"/>
          <w:color w:val="000000" w:themeColor="text1"/>
          <w:sz w:val="19"/>
          <w:szCs w:val="19"/>
        </w:rPr>
      </w:pPr>
      <w:r w:rsidRPr="00946115">
        <w:rPr>
          <w:rStyle w:val="Refdenotaalpie"/>
          <w:rFonts w:ascii="Arial" w:hAnsi="Arial" w:cs="Arial"/>
          <w:color w:val="000000" w:themeColor="text1"/>
          <w:sz w:val="19"/>
          <w:szCs w:val="19"/>
        </w:rPr>
        <w:footnoteRef/>
      </w:r>
      <w:bookmarkStart w:id="3" w:name="192"/>
      <w:r w:rsidRPr="00946115">
        <w:rPr>
          <w:rFonts w:ascii="Arial" w:hAnsi="Arial" w:cs="Arial"/>
          <w:bCs/>
          <w:color w:val="000000" w:themeColor="text1"/>
          <w:sz w:val="19"/>
          <w:szCs w:val="19"/>
        </w:rPr>
        <w:t xml:space="preserve"> «ARTÍCULO 192. PRÁCTICAS LABORALES.</w:t>
      </w:r>
      <w:bookmarkEnd w:id="3"/>
      <w:r w:rsidRPr="00946115">
        <w:rPr>
          <w:rFonts w:ascii="Arial" w:hAnsi="Arial" w:cs="Arial"/>
          <w:color w:val="000000" w:themeColor="text1"/>
          <w:sz w:val="19"/>
          <w:szCs w:val="19"/>
        </w:rPr>
        <w:t> Además de lo previsto en el artículo </w:t>
      </w:r>
      <w:hyperlink r:id="rId1" w:anchor="15" w:history="1">
        <w:r w:rsidRPr="00946115">
          <w:rPr>
            <w:rStyle w:val="Hipervnculo"/>
            <w:rFonts w:ascii="Arial" w:hAnsi="Arial" w:cs="Arial"/>
            <w:color w:val="000000" w:themeColor="text1"/>
            <w:sz w:val="19"/>
            <w:szCs w:val="19"/>
          </w:rPr>
          <w:t>15</w:t>
        </w:r>
      </w:hyperlink>
      <w:r w:rsidRPr="00946115">
        <w:rPr>
          <w:rFonts w:ascii="Arial" w:hAnsi="Arial" w:cs="Arial"/>
          <w:color w:val="000000" w:themeColor="text1"/>
          <w:sz w:val="19"/>
          <w:szCs w:val="19"/>
        </w:rPr>
        <w:t xml:space="preserve">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14:paraId="04F83596" w14:textId="5ECE1134" w:rsidR="003B095D" w:rsidRPr="00946115" w:rsidRDefault="003B095D" w:rsidP="00757654">
      <w:pPr>
        <w:pStyle w:val="NormalWeb"/>
        <w:spacing w:before="0" w:beforeAutospacing="0" w:after="0" w:afterAutospacing="0"/>
        <w:ind w:firstLine="709"/>
        <w:jc w:val="both"/>
        <w:rPr>
          <w:rFonts w:ascii="Arial" w:hAnsi="Arial" w:cs="Arial"/>
          <w:color w:val="000000" w:themeColor="text1"/>
          <w:sz w:val="19"/>
          <w:szCs w:val="19"/>
        </w:rPr>
      </w:pPr>
      <w:r w:rsidRPr="00946115">
        <w:rPr>
          <w:rStyle w:val="baj"/>
          <w:rFonts w:ascii="Arial" w:hAnsi="Arial" w:cs="Arial"/>
          <w:bCs/>
          <w:color w:val="000000" w:themeColor="text1"/>
          <w:sz w:val="19"/>
          <w:szCs w:val="19"/>
        </w:rPr>
        <w:t>»PARÁGRAFO 1o.</w:t>
      </w:r>
      <w:r w:rsidRPr="00946115">
        <w:rPr>
          <w:rFonts w:ascii="Arial" w:hAnsi="Arial" w:cs="Arial"/>
          <w:color w:val="000000" w:themeColor="text1"/>
          <w:sz w:val="19"/>
          <w:szCs w:val="19"/>
        </w:rPr>
        <w:t> El tiempo de la práctica laboral que el estudiante realice para optar a su título de profesional, tecnológico o técnico cuenta como experiencia laboral, sin perjuicio de las disposiciones vigentes en la materia.</w:t>
      </w:r>
    </w:p>
    <w:p w14:paraId="0F4F1531" w14:textId="77777777" w:rsidR="003B095D" w:rsidRPr="00946115" w:rsidRDefault="003B095D" w:rsidP="00757654">
      <w:pPr>
        <w:pStyle w:val="NormalWeb"/>
        <w:spacing w:before="0" w:beforeAutospacing="0" w:after="0" w:afterAutospacing="0"/>
        <w:ind w:firstLine="709"/>
        <w:jc w:val="both"/>
        <w:rPr>
          <w:rFonts w:ascii="Arial" w:hAnsi="Arial" w:cs="Arial"/>
          <w:color w:val="000000" w:themeColor="text1"/>
          <w:sz w:val="19"/>
          <w:szCs w:val="19"/>
        </w:rPr>
      </w:pPr>
      <w:r w:rsidRPr="00946115">
        <w:rPr>
          <w:rFonts w:ascii="Arial" w:hAnsi="Arial" w:cs="Arial"/>
          <w:color w:val="000000" w:themeColor="text1"/>
          <w:sz w:val="19"/>
          <w:szCs w:val="19"/>
        </w:rPr>
        <w:t>»</w:t>
      </w:r>
      <w:r w:rsidRPr="00946115">
        <w:rPr>
          <w:rStyle w:val="baj"/>
          <w:rFonts w:ascii="Arial" w:hAnsi="Arial" w:cs="Arial"/>
          <w:bCs/>
          <w:color w:val="000000" w:themeColor="text1"/>
          <w:sz w:val="19"/>
          <w:szCs w:val="19"/>
        </w:rPr>
        <w:t>PARÁGRAFO 2o.</w:t>
      </w:r>
      <w:r w:rsidRPr="00946115">
        <w:rPr>
          <w:rFonts w:ascii="Arial" w:hAnsi="Arial" w:cs="Arial"/>
          <w:color w:val="000000" w:themeColor="text1"/>
          <w:sz w:val="19"/>
          <w:szCs w:val="19"/>
        </w:rPr>
        <w:t xml:space="preserve"> Las prácticas laborales realizadas durante los veinticuatro (24) meses anteriores a la entrada en vigencia de la presente Ley, serán tenidas en cuenta al momento de contabilizar el tiempo de experiencia laboral. </w:t>
      </w:r>
    </w:p>
    <w:p w14:paraId="3B69861E" w14:textId="77777777" w:rsidR="003B095D" w:rsidRPr="00946115" w:rsidRDefault="003B095D" w:rsidP="00757654">
      <w:pPr>
        <w:pStyle w:val="NormalWeb"/>
        <w:spacing w:before="0" w:beforeAutospacing="0" w:after="0" w:afterAutospacing="0"/>
        <w:ind w:firstLine="709"/>
        <w:jc w:val="both"/>
        <w:rPr>
          <w:rFonts w:ascii="Arial" w:hAnsi="Arial" w:cs="Arial"/>
          <w:color w:val="000000" w:themeColor="text1"/>
          <w:sz w:val="19"/>
          <w:szCs w:val="19"/>
        </w:rPr>
      </w:pPr>
      <w:r w:rsidRPr="00946115">
        <w:rPr>
          <w:rStyle w:val="baj"/>
          <w:rFonts w:ascii="Arial" w:hAnsi="Arial" w:cs="Arial"/>
          <w:bCs/>
          <w:color w:val="000000" w:themeColor="text1"/>
          <w:sz w:val="19"/>
          <w:szCs w:val="19"/>
        </w:rPr>
        <w:t>»PARÁGRAFO 3o.</w:t>
      </w:r>
      <w:r w:rsidRPr="00946115">
        <w:rPr>
          <w:rFonts w:ascii="Arial" w:hAnsi="Arial" w:cs="Arial"/>
          <w:color w:val="000000" w:themeColor="text1"/>
          <w:sz w:val="19"/>
          <w:szCs w:val="19"/>
        </w:rPr>
        <w:t> Se exceptúan de lo dispuesto en el presente artículo, los estudiantes de posgrado del sector salud.</w:t>
      </w:r>
    </w:p>
    <w:p w14:paraId="7E632497" w14:textId="4CC436FB" w:rsidR="003B095D" w:rsidRPr="00946115" w:rsidRDefault="003B095D" w:rsidP="00757654">
      <w:pPr>
        <w:pStyle w:val="NormalWeb"/>
        <w:spacing w:before="0" w:beforeAutospacing="0" w:after="0" w:afterAutospacing="0"/>
        <w:ind w:firstLine="709"/>
        <w:jc w:val="both"/>
        <w:rPr>
          <w:rFonts w:ascii="Arial" w:hAnsi="Arial" w:cs="Arial"/>
          <w:color w:val="000000" w:themeColor="text1"/>
          <w:sz w:val="19"/>
          <w:szCs w:val="19"/>
        </w:rPr>
      </w:pPr>
      <w:r w:rsidRPr="00946115">
        <w:rPr>
          <w:rFonts w:ascii="Arial" w:hAnsi="Arial" w:cs="Arial"/>
          <w:color w:val="000000" w:themeColor="text1"/>
          <w:sz w:val="19"/>
          <w:szCs w:val="19"/>
        </w:rPr>
        <w:t>»</w:t>
      </w:r>
      <w:r w:rsidRPr="00946115">
        <w:rPr>
          <w:rStyle w:val="baj"/>
          <w:rFonts w:ascii="Arial" w:hAnsi="Arial" w:cs="Arial"/>
          <w:bCs/>
          <w:color w:val="000000" w:themeColor="text1"/>
          <w:sz w:val="19"/>
          <w:szCs w:val="19"/>
        </w:rPr>
        <w:t>PARÁGRAFO 4o</w:t>
      </w:r>
      <w:r w:rsidRPr="00946115">
        <w:rPr>
          <w:rStyle w:val="baj"/>
          <w:rFonts w:ascii="Arial" w:hAnsi="Arial" w:cs="Arial"/>
          <w:b/>
          <w:bCs/>
          <w:color w:val="000000" w:themeColor="text1"/>
          <w:sz w:val="19"/>
          <w:szCs w:val="19"/>
        </w:rPr>
        <w:t>.</w:t>
      </w:r>
      <w:r w:rsidRPr="00946115">
        <w:rPr>
          <w:rFonts w:ascii="Arial" w:hAnsi="Arial" w:cs="Arial"/>
          <w:color w:val="000000" w:themeColor="text1"/>
          <w:sz w:val="19"/>
          <w:szCs w:val="19"/>
        </w:rPr>
        <w:t> En el sector público se generarán oportunidades de prácticas laborales para estudiantes de administración pública».</w:t>
      </w:r>
    </w:p>
    <w:p w14:paraId="651463A8" w14:textId="4CC436FB" w:rsidR="003B095D" w:rsidRPr="00946115" w:rsidRDefault="003B095D" w:rsidP="00757654">
      <w:pPr>
        <w:pStyle w:val="Textonotapie"/>
        <w:ind w:firstLine="709"/>
        <w:jc w:val="both"/>
        <w:rPr>
          <w:rFonts w:ascii="Arial" w:hAnsi="Arial" w:cs="Arial"/>
          <w:color w:val="000000" w:themeColor="text1"/>
          <w:sz w:val="19"/>
          <w:szCs w:val="19"/>
          <w:lang w:val="es-CO"/>
        </w:rPr>
      </w:pPr>
      <w:r w:rsidRPr="00946115">
        <w:rPr>
          <w:rFonts w:ascii="Arial" w:hAnsi="Arial" w:cs="Arial"/>
          <w:color w:val="000000" w:themeColor="text1"/>
          <w:sz w:val="19"/>
          <w:szCs w:val="19"/>
        </w:rPr>
        <w:t xml:space="preserve"> </w:t>
      </w:r>
    </w:p>
  </w:footnote>
  <w:footnote w:id="4">
    <w:p w14:paraId="7E06E1C5" w14:textId="172770CF" w:rsidR="003B095D" w:rsidRPr="00946115" w:rsidRDefault="003B095D" w:rsidP="00757654">
      <w:pPr>
        <w:pStyle w:val="Textonotapie"/>
        <w:ind w:firstLine="709"/>
        <w:jc w:val="both"/>
        <w:rPr>
          <w:rFonts w:ascii="Arial" w:hAnsi="Arial" w:cs="Arial"/>
          <w:color w:val="000000" w:themeColor="text1"/>
          <w:sz w:val="19"/>
          <w:szCs w:val="19"/>
          <w:lang w:val="es-CO"/>
        </w:rPr>
      </w:pPr>
      <w:r w:rsidRPr="00946115">
        <w:rPr>
          <w:rStyle w:val="Refdenotaalpie"/>
          <w:rFonts w:ascii="Arial" w:hAnsi="Arial" w:cs="Arial"/>
          <w:color w:val="000000" w:themeColor="text1"/>
          <w:sz w:val="19"/>
          <w:szCs w:val="19"/>
        </w:rPr>
        <w:footnoteRef/>
      </w:r>
      <w:r w:rsidRPr="00946115">
        <w:rPr>
          <w:rFonts w:ascii="Arial" w:eastAsia="Calibri" w:hAnsi="Arial" w:cs="Arial"/>
          <w:color w:val="000000" w:themeColor="text1"/>
          <w:sz w:val="19"/>
          <w:szCs w:val="19"/>
        </w:rPr>
        <w:t xml:space="preserve"> Corte Constitucional. Sentencia C-688 del 10 de septiembre de 2014. M.P. Luis Guillermo Guerrero Pérez</w:t>
      </w:r>
      <w:r w:rsidRPr="00946115">
        <w:rPr>
          <w:rFonts w:ascii="Arial" w:hAnsi="Arial" w:cs="Arial"/>
          <w:color w:val="000000" w:themeColor="text1"/>
          <w:sz w:val="19"/>
          <w:szCs w:val="19"/>
        </w:rPr>
        <w:t xml:space="preserve"> </w:t>
      </w:r>
    </w:p>
  </w:footnote>
  <w:footnote w:id="5">
    <w:p w14:paraId="71ADCD3B" w14:textId="60F497CD" w:rsidR="00334134" w:rsidRPr="00946115" w:rsidRDefault="00334134" w:rsidP="00757654">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946115">
        <w:rPr>
          <w:rStyle w:val="Refdenotaalpie"/>
          <w:rFonts w:ascii="Arial" w:hAnsi="Arial" w:cs="Arial"/>
          <w:color w:val="000000" w:themeColor="text1"/>
          <w:sz w:val="19"/>
          <w:szCs w:val="19"/>
        </w:rPr>
        <w:footnoteRef/>
      </w:r>
      <w:r w:rsidRPr="00946115">
        <w:rPr>
          <w:rStyle w:val="Textoennegrita"/>
          <w:rFonts w:ascii="Arial" w:hAnsi="Arial" w:cs="Arial"/>
          <w:b w:val="0"/>
          <w:color w:val="000000" w:themeColor="text1"/>
          <w:sz w:val="19"/>
          <w:szCs w:val="19"/>
        </w:rPr>
        <w:t xml:space="preserve"> «Artículo 2.2.1.2.1.4.9.</w:t>
      </w:r>
      <w:r w:rsidRPr="00946115">
        <w:rPr>
          <w:rStyle w:val="Textoennegrita"/>
          <w:rFonts w:ascii="Arial" w:hAnsi="Arial" w:cs="Arial"/>
          <w:color w:val="000000" w:themeColor="text1"/>
          <w:sz w:val="19"/>
          <w:szCs w:val="19"/>
        </w:rPr>
        <w:t> </w:t>
      </w:r>
      <w:r w:rsidRPr="00946115">
        <w:rPr>
          <w:rStyle w:val="nfasis"/>
          <w:rFonts w:ascii="Arial" w:hAnsi="Arial" w:cs="Arial"/>
          <w:bCs/>
          <w:i w:val="0"/>
          <w:color w:val="000000" w:themeColor="text1"/>
          <w:sz w:val="19"/>
          <w:szCs w:val="19"/>
        </w:rPr>
        <w:t>Contratos de prestación de servicios profesionales y de apoyo a la gestión, o para la ejecución de trabajos artísticos que solo pueden encomendarse a determinadas personas naturales</w:t>
      </w:r>
      <w:r w:rsidRPr="00946115">
        <w:rPr>
          <w:rStyle w:val="nfasis"/>
          <w:rFonts w:ascii="Arial" w:hAnsi="Arial" w:cs="Arial"/>
          <w:bCs/>
          <w:color w:val="000000" w:themeColor="text1"/>
          <w:sz w:val="19"/>
          <w:szCs w:val="19"/>
        </w:rPr>
        <w:t>.</w:t>
      </w:r>
      <w:r w:rsidRPr="00946115">
        <w:rPr>
          <w:rStyle w:val="nfasis"/>
          <w:rFonts w:ascii="Arial" w:hAnsi="Arial" w:cs="Arial"/>
          <w:color w:val="000000" w:themeColor="text1"/>
          <w:sz w:val="19"/>
          <w:szCs w:val="19"/>
        </w:rPr>
        <w:t> </w:t>
      </w:r>
      <w:r w:rsidRPr="00946115">
        <w:rPr>
          <w:rFonts w:ascii="Arial" w:hAnsi="Arial" w:cs="Arial"/>
          <w:color w:val="000000" w:themeColor="text1"/>
          <w:sz w:val="19"/>
          <w:szCs w:val="19"/>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33A74CBE" w14:textId="7685FF1E" w:rsidR="00334134" w:rsidRPr="00946115" w:rsidRDefault="00334134" w:rsidP="00757654">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946115">
        <w:rPr>
          <w:rFonts w:ascii="Arial" w:hAnsi="Arial" w:cs="Arial"/>
          <w:color w:val="000000" w:themeColor="text1"/>
          <w:sz w:val="19"/>
          <w:szCs w:val="19"/>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3437D5B0" w14:textId="17C268BF" w:rsidR="00334134" w:rsidRPr="00946115" w:rsidRDefault="00334134" w:rsidP="00757654">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946115">
        <w:rPr>
          <w:rFonts w:ascii="Arial" w:hAnsi="Arial" w:cs="Arial"/>
          <w:color w:val="000000" w:themeColor="text1"/>
          <w:sz w:val="19"/>
          <w:szCs w:val="19"/>
        </w:rPr>
        <w:t>»La Entidad Estatal, para la contratación de trabajos artísticos que solamente puedan encomendarse a determinadas personas naturales, debe justificar esta situación en los estudios y documentos previos».</w:t>
      </w:r>
    </w:p>
    <w:p w14:paraId="608CF4AA" w14:textId="1562010A" w:rsidR="00334134" w:rsidRPr="00946115" w:rsidRDefault="00334134" w:rsidP="00757654">
      <w:pPr>
        <w:pStyle w:val="Textonotapie"/>
        <w:ind w:firstLine="708"/>
        <w:jc w:val="both"/>
        <w:rPr>
          <w:rFonts w:ascii="Arial" w:hAnsi="Arial" w:cs="Arial"/>
          <w:color w:val="000000" w:themeColor="text1"/>
          <w:sz w:val="19"/>
          <w:szCs w:val="19"/>
          <w:lang w:val="es-CO"/>
        </w:rPr>
      </w:pPr>
      <w:r w:rsidRPr="00946115">
        <w:rPr>
          <w:rFonts w:ascii="Arial" w:hAnsi="Arial" w:cs="Arial"/>
          <w:color w:val="000000" w:themeColor="text1"/>
          <w:sz w:val="19"/>
          <w:szCs w:val="19"/>
        </w:rPr>
        <w:t xml:space="preserve"> </w:t>
      </w:r>
    </w:p>
  </w:footnote>
  <w:footnote w:id="6">
    <w:p w14:paraId="781DA4F5" w14:textId="5307E658" w:rsidR="00757654" w:rsidRPr="00946115" w:rsidRDefault="00757654" w:rsidP="00757654">
      <w:pPr>
        <w:pStyle w:val="Textonotapie"/>
        <w:ind w:firstLine="708"/>
        <w:jc w:val="both"/>
        <w:rPr>
          <w:rFonts w:ascii="Arial" w:hAnsi="Arial" w:cs="Arial"/>
          <w:color w:val="000000" w:themeColor="text1"/>
          <w:sz w:val="19"/>
          <w:szCs w:val="19"/>
        </w:rPr>
      </w:pPr>
      <w:r w:rsidRPr="00946115">
        <w:rPr>
          <w:rStyle w:val="Refdenotaalpie"/>
          <w:rFonts w:ascii="Arial" w:hAnsi="Arial" w:cs="Arial"/>
          <w:color w:val="000000" w:themeColor="text1"/>
          <w:sz w:val="19"/>
          <w:szCs w:val="19"/>
        </w:rPr>
        <w:footnoteRef/>
      </w:r>
      <w:r w:rsidRPr="00946115">
        <w:rPr>
          <w:rFonts w:ascii="Arial" w:hAnsi="Arial" w:cs="Arial"/>
          <w:color w:val="000000" w:themeColor="text1"/>
          <w:sz w:val="19"/>
          <w:szCs w:val="19"/>
        </w:rPr>
        <w:t xml:space="preserve"> «ARTÍCULO 1o. Todo aspirante a ocupar un cargo o empleo público, o a celebrar un contrato de prestación de servicios con la administración deberá presentar ante la unidad de personal de la correspondiente entidad, o ante la dependencia que haga sus veces, el formato único de hoja de vida debidamente diligenciado en el cual consignará la información completa que en ella se solicita:</w:t>
      </w:r>
    </w:p>
    <w:p w14:paraId="096E2854" w14:textId="4CCC41DF" w:rsidR="00757654" w:rsidRPr="00946115" w:rsidRDefault="00757654" w:rsidP="00757654">
      <w:pPr>
        <w:pStyle w:val="Textonotapie"/>
        <w:ind w:firstLine="708"/>
        <w:jc w:val="both"/>
        <w:rPr>
          <w:rFonts w:ascii="Arial" w:hAnsi="Arial" w:cs="Arial"/>
          <w:color w:val="000000" w:themeColor="text1"/>
          <w:sz w:val="19"/>
          <w:szCs w:val="19"/>
        </w:rPr>
      </w:pPr>
      <w:r w:rsidRPr="00946115">
        <w:rPr>
          <w:rFonts w:ascii="Arial" w:hAnsi="Arial" w:cs="Arial"/>
          <w:color w:val="000000" w:themeColor="text1"/>
          <w:sz w:val="19"/>
          <w:szCs w:val="19"/>
        </w:rPr>
        <w:t>»1. Su formación académica, indicando los años de estudio cursados en los distintos niveles de educación y los títulos y certificados obtenidos.</w:t>
      </w:r>
    </w:p>
    <w:p w14:paraId="499F3387" w14:textId="16B5856C" w:rsidR="00757654" w:rsidRPr="00946115" w:rsidRDefault="00757654" w:rsidP="00757654">
      <w:pPr>
        <w:pStyle w:val="Textonotapie"/>
        <w:ind w:firstLine="708"/>
        <w:jc w:val="both"/>
        <w:rPr>
          <w:rFonts w:ascii="Arial" w:hAnsi="Arial" w:cs="Arial"/>
          <w:color w:val="000000" w:themeColor="text1"/>
          <w:sz w:val="19"/>
          <w:szCs w:val="19"/>
        </w:rPr>
      </w:pPr>
      <w:r w:rsidRPr="00946115">
        <w:rPr>
          <w:rFonts w:ascii="Arial" w:hAnsi="Arial" w:cs="Arial"/>
          <w:color w:val="000000" w:themeColor="text1"/>
          <w:sz w:val="19"/>
          <w:szCs w:val="19"/>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3229522E" w14:textId="2C716ED4" w:rsidR="00757654" w:rsidRPr="00946115" w:rsidRDefault="00757654" w:rsidP="00757654">
      <w:pPr>
        <w:pStyle w:val="Textonotapie"/>
        <w:ind w:firstLine="708"/>
        <w:jc w:val="both"/>
        <w:rPr>
          <w:rFonts w:ascii="Arial" w:hAnsi="Arial" w:cs="Arial"/>
          <w:color w:val="000000" w:themeColor="text1"/>
          <w:sz w:val="19"/>
          <w:szCs w:val="19"/>
        </w:rPr>
      </w:pPr>
      <w:r w:rsidRPr="00946115">
        <w:rPr>
          <w:rFonts w:ascii="Arial" w:hAnsi="Arial" w:cs="Arial"/>
          <w:color w:val="000000" w:themeColor="text1"/>
          <w:sz w:val="19"/>
          <w:szCs w:val="19"/>
        </w:rPr>
        <w:t>»3. Inexistencia de cualquier hecho o circunstancia que implique una inhabilidad o incompatibilidad del orden constitucional o legal para ocupar el empleo o cargo al que se aspira o para celebrar contrato de prestación de servicios con la administración.</w:t>
      </w:r>
    </w:p>
    <w:p w14:paraId="3727BC31" w14:textId="4CE2FCA4" w:rsidR="00757654" w:rsidRPr="00946115" w:rsidRDefault="00757654" w:rsidP="00757654">
      <w:pPr>
        <w:pStyle w:val="Textonotapie"/>
        <w:ind w:firstLine="708"/>
        <w:jc w:val="both"/>
        <w:rPr>
          <w:rFonts w:ascii="Arial" w:hAnsi="Arial" w:cs="Arial"/>
          <w:color w:val="000000" w:themeColor="text1"/>
          <w:sz w:val="19"/>
          <w:szCs w:val="19"/>
        </w:rPr>
      </w:pPr>
      <w:r w:rsidRPr="00946115">
        <w:rPr>
          <w:rFonts w:ascii="Arial" w:hAnsi="Arial" w:cs="Arial"/>
          <w:color w:val="000000" w:themeColor="text1"/>
          <w:sz w:val="19"/>
          <w:szCs w:val="19"/>
        </w:rPr>
        <w:t>»4. En caso de personas jurídicas, el correspondiente certificado que acredite la representación legal.»</w:t>
      </w:r>
    </w:p>
  </w:footnote>
  <w:footnote w:id="7">
    <w:p w14:paraId="3D50B1D5" w14:textId="77777777" w:rsidR="00757654" w:rsidRPr="00946115" w:rsidRDefault="00757654" w:rsidP="00757654">
      <w:pPr>
        <w:pStyle w:val="Textonotapie"/>
        <w:ind w:firstLine="708"/>
        <w:jc w:val="both"/>
        <w:rPr>
          <w:rFonts w:ascii="Arial" w:hAnsi="Arial" w:cs="Arial"/>
          <w:color w:val="000000" w:themeColor="text1"/>
          <w:sz w:val="19"/>
          <w:szCs w:val="19"/>
        </w:rPr>
      </w:pPr>
    </w:p>
    <w:p w14:paraId="1B43F940" w14:textId="348EADE7" w:rsidR="00757654" w:rsidRPr="00946115" w:rsidRDefault="00757654" w:rsidP="00757654">
      <w:pPr>
        <w:pStyle w:val="Textonotapie"/>
        <w:ind w:firstLine="708"/>
        <w:jc w:val="both"/>
        <w:rPr>
          <w:rFonts w:ascii="Arial" w:eastAsia="Calibri" w:hAnsi="Arial" w:cs="Arial"/>
          <w:color w:val="000000" w:themeColor="text1"/>
          <w:sz w:val="19"/>
          <w:szCs w:val="19"/>
        </w:rPr>
      </w:pPr>
      <w:r w:rsidRPr="00946115">
        <w:rPr>
          <w:rStyle w:val="Refdenotaalpie"/>
          <w:rFonts w:ascii="Arial" w:hAnsi="Arial" w:cs="Arial"/>
          <w:color w:val="000000" w:themeColor="text1"/>
          <w:sz w:val="19"/>
          <w:szCs w:val="19"/>
        </w:rPr>
        <w:footnoteRef/>
      </w:r>
      <w:r w:rsidRPr="00946115">
        <w:rPr>
          <w:rFonts w:ascii="Arial" w:hAnsi="Arial" w:cs="Arial"/>
          <w:color w:val="000000" w:themeColor="text1"/>
          <w:sz w:val="19"/>
          <w:szCs w:val="19"/>
        </w:rPr>
        <w:t xml:space="preserve"> Corte Constitucional. Sentencia </w:t>
      </w:r>
      <w:r w:rsidRPr="00946115">
        <w:rPr>
          <w:rFonts w:ascii="Arial" w:eastAsia="Calibri" w:hAnsi="Arial" w:cs="Arial"/>
          <w:color w:val="000000" w:themeColor="text1"/>
          <w:sz w:val="19"/>
          <w:szCs w:val="19"/>
        </w:rPr>
        <w:t>C-697 de 2000. M.P. Eduardo Cifuentes Muñoz:  «El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2293102A" w14:textId="7717E33E" w:rsidR="00757654" w:rsidRPr="00946115" w:rsidRDefault="00757654" w:rsidP="00757654">
      <w:pPr>
        <w:pStyle w:val="Textonotapie"/>
        <w:ind w:firstLine="708"/>
        <w:jc w:val="both"/>
        <w:rPr>
          <w:rFonts w:ascii="Arial" w:eastAsia="Calibri" w:hAnsi="Arial" w:cs="Arial"/>
          <w:color w:val="000000" w:themeColor="text1"/>
          <w:sz w:val="19"/>
          <w:szCs w:val="19"/>
        </w:rPr>
      </w:pPr>
      <w:r w:rsidRPr="00946115">
        <w:rPr>
          <w:rFonts w:ascii="Arial" w:eastAsia="Calibri" w:hAnsi="Arial" w:cs="Arial"/>
          <w:color w:val="000000" w:themeColor="text1"/>
          <w:sz w:val="19"/>
          <w:szCs w:val="19"/>
        </w:rPr>
        <w:t>[…]</w:t>
      </w:r>
    </w:p>
    <w:p w14:paraId="66147614" w14:textId="313F0FA8" w:rsidR="00757654" w:rsidRPr="00946115" w:rsidRDefault="00757654" w:rsidP="00757654">
      <w:pPr>
        <w:pStyle w:val="Textonotapie"/>
        <w:ind w:firstLine="708"/>
        <w:jc w:val="both"/>
        <w:rPr>
          <w:rFonts w:ascii="Arial" w:hAnsi="Arial" w:cs="Arial"/>
          <w:color w:val="000000" w:themeColor="text1"/>
          <w:sz w:val="19"/>
          <w:szCs w:val="19"/>
        </w:rPr>
      </w:pPr>
      <w:r w:rsidRPr="00946115">
        <w:rPr>
          <w:rFonts w:ascii="Arial" w:eastAsia="Calibri" w:hAnsi="Arial" w:cs="Arial"/>
          <w:color w:val="000000" w:themeColor="text1"/>
          <w:sz w:val="19"/>
          <w:szCs w:val="19"/>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p>
    <w:p w14:paraId="3566A18F" w14:textId="77777777" w:rsidR="00757654" w:rsidRPr="00946115" w:rsidRDefault="00757654" w:rsidP="00757654">
      <w:pPr>
        <w:pStyle w:val="Textonotapie"/>
        <w:ind w:firstLine="708"/>
        <w:jc w:val="both"/>
        <w:rPr>
          <w:rFonts w:ascii="Arial" w:hAnsi="Arial" w:cs="Arial"/>
          <w:color w:val="000000" w:themeColor="text1"/>
          <w:sz w:val="19"/>
          <w:szCs w:val="19"/>
          <w:lang w:val="es-CO"/>
        </w:rPr>
      </w:pPr>
    </w:p>
  </w:footnote>
  <w:footnote w:id="8">
    <w:p w14:paraId="54082D46" w14:textId="18393743" w:rsidR="00FC5C48" w:rsidRPr="00946115" w:rsidRDefault="00FC5C48" w:rsidP="00FC5C48">
      <w:pPr>
        <w:pStyle w:val="Textonotapie"/>
        <w:ind w:firstLine="709"/>
        <w:jc w:val="both"/>
        <w:rPr>
          <w:rFonts w:ascii="Arial" w:hAnsi="Arial" w:cs="Arial"/>
          <w:color w:val="000000" w:themeColor="text1"/>
          <w:sz w:val="19"/>
          <w:szCs w:val="19"/>
        </w:rPr>
      </w:pPr>
      <w:r w:rsidRPr="00946115">
        <w:rPr>
          <w:rStyle w:val="Refdenotaalpie"/>
          <w:rFonts w:ascii="Arial" w:hAnsi="Arial" w:cs="Arial"/>
          <w:color w:val="000000" w:themeColor="text1"/>
        </w:rPr>
        <w:footnoteRef/>
      </w:r>
      <w:r w:rsidR="00F6070C" w:rsidRPr="00946115">
        <w:rPr>
          <w:rFonts w:ascii="Arial" w:hAnsi="Arial" w:cs="Arial"/>
          <w:color w:val="000000" w:themeColor="text1"/>
        </w:rPr>
        <w:t xml:space="preserve"> </w:t>
      </w:r>
      <w:r w:rsidRPr="00946115">
        <w:rPr>
          <w:rFonts w:ascii="Arial" w:hAnsi="Arial" w:cs="Arial"/>
          <w:color w:val="000000" w:themeColor="text1"/>
          <w:sz w:val="19"/>
          <w:szCs w:val="19"/>
        </w:rPr>
        <w:t xml:space="preserve">Ley 842 de 2003. «Artículo 6. </w:t>
      </w:r>
      <w:r w:rsidR="001D4068" w:rsidRPr="00946115">
        <w:rPr>
          <w:rFonts w:ascii="Arial" w:hAnsi="Arial" w:cs="Arial"/>
          <w:color w:val="000000" w:themeColor="text1"/>
          <w:sz w:val="19"/>
          <w:szCs w:val="19"/>
        </w:rPr>
        <w:t>Requisitos para ejercer la profesión</w:t>
      </w:r>
      <w:r w:rsidRPr="00946115">
        <w:rPr>
          <w:rFonts w:ascii="Arial" w:hAnsi="Arial" w:cs="Arial"/>
          <w:color w:val="000000" w:themeColor="text1"/>
          <w:sz w:val="19"/>
          <w:szCs w:val="19"/>
        </w:rPr>
        <w:t>.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1DB89663" w14:textId="74450FD4" w:rsidR="00FC5C48" w:rsidRPr="00946115" w:rsidRDefault="00FC5C48" w:rsidP="00FC5C48">
      <w:pPr>
        <w:pStyle w:val="Textonotapie"/>
        <w:ind w:firstLine="709"/>
        <w:jc w:val="both"/>
        <w:rPr>
          <w:rFonts w:ascii="Arial" w:hAnsi="Arial" w:cs="Arial"/>
          <w:color w:val="000000" w:themeColor="text1"/>
          <w:lang w:val="es-CO"/>
        </w:rPr>
      </w:pPr>
      <w:r w:rsidRPr="00946115">
        <w:rPr>
          <w:rFonts w:ascii="Arial" w:hAnsi="Arial" w:cs="Arial"/>
          <w:color w:val="000000" w:themeColor="text1"/>
          <w:sz w:val="19"/>
          <w:szCs w:val="19"/>
        </w:rPr>
        <w:t>»</w:t>
      </w:r>
      <w:r w:rsidR="00A7164E" w:rsidRPr="00946115">
        <w:rPr>
          <w:rFonts w:ascii="Arial" w:hAnsi="Arial" w:cs="Arial"/>
          <w:color w:val="000000" w:themeColor="text1"/>
          <w:sz w:val="19"/>
          <w:szCs w:val="19"/>
        </w:rPr>
        <w:t>Parágrafo</w:t>
      </w:r>
      <w:r w:rsidRPr="00946115">
        <w:rPr>
          <w:rFonts w:ascii="Arial" w:hAnsi="Arial" w:cs="Arial"/>
          <w:color w:val="000000" w:themeColor="text1"/>
          <w:sz w:val="19"/>
          <w:szCs w:val="19"/>
        </w:rPr>
        <w:t>.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Copnia la expedición del respectivo certificado de vigencia».</w:t>
      </w:r>
    </w:p>
  </w:footnote>
  <w:footnote w:id="9">
    <w:p w14:paraId="3DA2E0D8" w14:textId="77777777" w:rsidR="001D4068" w:rsidRPr="00946115" w:rsidRDefault="001D4068" w:rsidP="001D4068">
      <w:pPr>
        <w:pStyle w:val="Textonotapie"/>
        <w:jc w:val="both"/>
        <w:rPr>
          <w:rFonts w:ascii="Arial" w:hAnsi="Arial" w:cs="Arial"/>
          <w:color w:val="000000" w:themeColor="text1"/>
          <w:sz w:val="19"/>
          <w:szCs w:val="19"/>
        </w:rPr>
      </w:pPr>
    </w:p>
    <w:p w14:paraId="3EAC607F" w14:textId="6609D0F1" w:rsidR="00CE55F1" w:rsidRPr="00946115" w:rsidRDefault="001D4068" w:rsidP="001D4068">
      <w:pPr>
        <w:pStyle w:val="Textonotapie"/>
        <w:ind w:firstLine="708"/>
        <w:jc w:val="both"/>
        <w:rPr>
          <w:rFonts w:ascii="Arial" w:hAnsi="Arial" w:cs="Arial"/>
          <w:color w:val="000000" w:themeColor="text1"/>
          <w:sz w:val="19"/>
          <w:szCs w:val="19"/>
        </w:rPr>
      </w:pPr>
      <w:r w:rsidRPr="00946115">
        <w:rPr>
          <w:rStyle w:val="Refdenotaalpie"/>
          <w:rFonts w:ascii="Arial" w:hAnsi="Arial" w:cs="Arial"/>
          <w:color w:val="000000" w:themeColor="text1"/>
          <w:sz w:val="19"/>
          <w:szCs w:val="19"/>
        </w:rPr>
        <w:footnoteRef/>
      </w:r>
      <w:r w:rsidRPr="00946115">
        <w:rPr>
          <w:rFonts w:ascii="Arial" w:hAnsi="Arial" w:cs="Arial"/>
          <w:color w:val="000000" w:themeColor="text1"/>
          <w:sz w:val="19"/>
          <w:szCs w:val="19"/>
        </w:rPr>
        <w:t xml:space="preserve"> Circular </w:t>
      </w:r>
      <w:r w:rsidR="000270AA" w:rsidRPr="00946115">
        <w:rPr>
          <w:rFonts w:ascii="Arial" w:hAnsi="Arial" w:cs="Arial"/>
          <w:color w:val="000000" w:themeColor="text1"/>
          <w:sz w:val="19"/>
          <w:szCs w:val="19"/>
        </w:rPr>
        <w:t xml:space="preserve">Externa </w:t>
      </w:r>
      <w:r w:rsidRPr="00946115">
        <w:rPr>
          <w:rFonts w:ascii="Arial" w:hAnsi="Arial" w:cs="Arial"/>
          <w:color w:val="000000" w:themeColor="text1"/>
          <w:sz w:val="19"/>
          <w:szCs w:val="19"/>
        </w:rPr>
        <w:t>Única de Colombia Compra Eficiente. Abril de 2019. P. 44 señala: 9.2 «Acreditación de la experiencia profesional:  «El Decreto – Ley 019 de 2012, establece que, para el ejercicio de diferentes profesiones acreditadas por el Ministerio de Educación Nacional, la experiencia profesional se computará a partir de la terminación y aprobación del pensum académico de educación superior; exceptuando de esta condición las profesiones relacionadas con el sistema de seguridad social en salud en las cuales la experiencia profesional se computa a partir de la inscripción o registro profesional</w:t>
      </w:r>
    </w:p>
    <w:p w14:paraId="2C98850D" w14:textId="0CBD26AD" w:rsidR="001D4068" w:rsidRPr="00946115" w:rsidRDefault="00CE55F1" w:rsidP="001D4068">
      <w:pPr>
        <w:pStyle w:val="Textonotapie"/>
        <w:ind w:firstLine="708"/>
        <w:jc w:val="both"/>
        <w:rPr>
          <w:rFonts w:ascii="Arial" w:hAnsi="Arial" w:cs="Arial"/>
          <w:color w:val="000000" w:themeColor="text1"/>
          <w:sz w:val="19"/>
          <w:szCs w:val="19"/>
        </w:rPr>
      </w:pPr>
      <w:r w:rsidRPr="00946115">
        <w:rPr>
          <w:rFonts w:ascii="Arial" w:hAnsi="Arial" w:cs="Arial"/>
          <w:color w:val="000000" w:themeColor="text1"/>
          <w:sz w:val="19"/>
          <w:szCs w:val="19"/>
        </w:rPr>
        <w:t>[…]»</w:t>
      </w:r>
      <w:r w:rsidR="001D4068" w:rsidRPr="00946115">
        <w:rPr>
          <w:rFonts w:ascii="Arial" w:hAnsi="Arial" w:cs="Arial"/>
          <w:color w:val="000000" w:themeColor="text1"/>
          <w:sz w:val="19"/>
          <w:szCs w:val="19"/>
        </w:rPr>
        <w:t xml:space="preserve">. </w:t>
      </w:r>
    </w:p>
    <w:p w14:paraId="7235219B" w14:textId="2F17CACB" w:rsidR="001D4068" w:rsidRPr="00946115" w:rsidRDefault="001D4068" w:rsidP="001D4068">
      <w:pPr>
        <w:pStyle w:val="Textonotapie"/>
        <w:ind w:firstLine="708"/>
        <w:jc w:val="both"/>
        <w:rPr>
          <w:rFonts w:ascii="Arial" w:hAnsi="Arial" w:cs="Arial"/>
          <w:color w:val="000000" w:themeColor="text1"/>
          <w:lang w:val="es-CO"/>
        </w:rPr>
      </w:pPr>
    </w:p>
  </w:footnote>
  <w:footnote w:id="10">
    <w:p w14:paraId="58AA87C8" w14:textId="21A191F5" w:rsidR="00BB7F22" w:rsidRPr="00946115" w:rsidRDefault="00BB7F22" w:rsidP="00BB7F22">
      <w:pPr>
        <w:pStyle w:val="Textonotapie"/>
        <w:ind w:firstLine="708"/>
        <w:jc w:val="both"/>
        <w:rPr>
          <w:color w:val="000000" w:themeColor="text1"/>
          <w:lang w:val="es-CO"/>
        </w:rPr>
      </w:pPr>
      <w:r w:rsidRPr="00946115">
        <w:rPr>
          <w:rStyle w:val="Refdenotaalpie"/>
          <w:color w:val="000000" w:themeColor="text1"/>
        </w:rPr>
        <w:footnoteRef/>
      </w:r>
      <w:r w:rsidRPr="00946115">
        <w:rPr>
          <w:color w:val="000000" w:themeColor="text1"/>
        </w:rPr>
        <w:t xml:space="preserve"> </w:t>
      </w:r>
      <w:r w:rsidRPr="00946115">
        <w:rPr>
          <w:rFonts w:ascii="Castellar" w:hAnsi="Castellar"/>
          <w:color w:val="000000" w:themeColor="text1"/>
        </w:rPr>
        <w:t>«</w:t>
      </w:r>
      <w:r w:rsidRPr="00946115">
        <w:rPr>
          <w:rFonts w:ascii="Arial" w:hAnsi="Arial" w:cs="Arial"/>
          <w:color w:val="000000" w:themeColor="text1"/>
          <w:sz w:val="19"/>
          <w:szCs w:val="19"/>
        </w:rPr>
        <w:t>[…] Sin perjuicio de lo anterior, en los casos en los que el objeto del contrato requiera el ejercicio de profesiones sujetas a regulación especial en razón a la alta responsabilidad y riesgo social que implica su ejercicio para la sociedad, como es el caso de las profesiones relacionadas con la ingeniería o de alguna de sus profesiones afines o auxiliares, la Entidad Estatal debe remitirse a lo establecido en la regulación específica acerca del cómputo de la experiencia».</w:t>
      </w:r>
      <w:r w:rsidRPr="00946115">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C401D4"/>
    <w:multiLevelType w:val="hybridMultilevel"/>
    <w:tmpl w:val="C172D000"/>
    <w:lvl w:ilvl="0" w:tplc="44A6263C">
      <w:start w:val="1"/>
      <w:numFmt w:val="decimal"/>
      <w:lvlText w:val="%1."/>
      <w:lvlJc w:val="left"/>
      <w:pPr>
        <w:ind w:left="660" w:hanging="360"/>
      </w:pPr>
      <w:rPr>
        <w:rFonts w:ascii="Arial" w:eastAsia="Arial" w:hAnsi="Arial" w:cs="Arial" w:hint="default"/>
        <w:b/>
        <w:bCs/>
        <w:color w:val="4D4D4D"/>
        <w:spacing w:val="-8"/>
        <w:w w:val="100"/>
        <w:sz w:val="22"/>
        <w:szCs w:val="22"/>
        <w:lang w:val="es-ES" w:eastAsia="en-US" w:bidi="ar-SA"/>
      </w:rPr>
    </w:lvl>
    <w:lvl w:ilvl="1" w:tplc="2840ADA8">
      <w:numFmt w:val="bullet"/>
      <w:lvlText w:val="•"/>
      <w:lvlJc w:val="left"/>
      <w:pPr>
        <w:ind w:left="1528" w:hanging="360"/>
      </w:pPr>
      <w:rPr>
        <w:rFonts w:hint="default"/>
        <w:lang w:val="es-ES" w:eastAsia="en-US" w:bidi="ar-SA"/>
      </w:rPr>
    </w:lvl>
    <w:lvl w:ilvl="2" w:tplc="8FC6393C">
      <w:numFmt w:val="bullet"/>
      <w:lvlText w:val="•"/>
      <w:lvlJc w:val="left"/>
      <w:pPr>
        <w:ind w:left="2396" w:hanging="360"/>
      </w:pPr>
      <w:rPr>
        <w:rFonts w:hint="default"/>
        <w:lang w:val="es-ES" w:eastAsia="en-US" w:bidi="ar-SA"/>
      </w:rPr>
    </w:lvl>
    <w:lvl w:ilvl="3" w:tplc="33EAF904">
      <w:numFmt w:val="bullet"/>
      <w:lvlText w:val="•"/>
      <w:lvlJc w:val="left"/>
      <w:pPr>
        <w:ind w:left="3264" w:hanging="360"/>
      </w:pPr>
      <w:rPr>
        <w:rFonts w:hint="default"/>
        <w:lang w:val="es-ES" w:eastAsia="en-US" w:bidi="ar-SA"/>
      </w:rPr>
    </w:lvl>
    <w:lvl w:ilvl="4" w:tplc="B8D2C624">
      <w:numFmt w:val="bullet"/>
      <w:lvlText w:val="•"/>
      <w:lvlJc w:val="left"/>
      <w:pPr>
        <w:ind w:left="4132" w:hanging="360"/>
      </w:pPr>
      <w:rPr>
        <w:rFonts w:hint="default"/>
        <w:lang w:val="es-ES" w:eastAsia="en-US" w:bidi="ar-SA"/>
      </w:rPr>
    </w:lvl>
    <w:lvl w:ilvl="5" w:tplc="FF783ABA">
      <w:numFmt w:val="bullet"/>
      <w:lvlText w:val="•"/>
      <w:lvlJc w:val="left"/>
      <w:pPr>
        <w:ind w:left="5000" w:hanging="360"/>
      </w:pPr>
      <w:rPr>
        <w:rFonts w:hint="default"/>
        <w:lang w:val="es-ES" w:eastAsia="en-US" w:bidi="ar-SA"/>
      </w:rPr>
    </w:lvl>
    <w:lvl w:ilvl="6" w:tplc="7FB26FF2">
      <w:numFmt w:val="bullet"/>
      <w:lvlText w:val="•"/>
      <w:lvlJc w:val="left"/>
      <w:pPr>
        <w:ind w:left="5868" w:hanging="360"/>
      </w:pPr>
      <w:rPr>
        <w:rFonts w:hint="default"/>
        <w:lang w:val="es-ES" w:eastAsia="en-US" w:bidi="ar-SA"/>
      </w:rPr>
    </w:lvl>
    <w:lvl w:ilvl="7" w:tplc="27EC06FC">
      <w:numFmt w:val="bullet"/>
      <w:lvlText w:val="•"/>
      <w:lvlJc w:val="left"/>
      <w:pPr>
        <w:ind w:left="6736" w:hanging="360"/>
      </w:pPr>
      <w:rPr>
        <w:rFonts w:hint="default"/>
        <w:lang w:val="es-ES" w:eastAsia="en-US" w:bidi="ar-SA"/>
      </w:rPr>
    </w:lvl>
    <w:lvl w:ilvl="8" w:tplc="65A84FAC">
      <w:numFmt w:val="bullet"/>
      <w:lvlText w:val="•"/>
      <w:lvlJc w:val="left"/>
      <w:pPr>
        <w:ind w:left="7604" w:hanging="360"/>
      </w:pPr>
      <w:rPr>
        <w:rFonts w:hint="default"/>
        <w:lang w:val="es-ES" w:eastAsia="en-US" w:bidi="ar-SA"/>
      </w:r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5A378A"/>
    <w:multiLevelType w:val="hybridMultilevel"/>
    <w:tmpl w:val="E806E2B4"/>
    <w:lvl w:ilvl="0" w:tplc="20281026">
      <w:start w:val="2"/>
      <w:numFmt w:val="decimal"/>
      <w:lvlText w:val="%1."/>
      <w:lvlJc w:val="left"/>
      <w:pPr>
        <w:ind w:left="660" w:hanging="360"/>
      </w:pPr>
      <w:rPr>
        <w:rFonts w:hint="default"/>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5"/>
  </w:num>
  <w:num w:numId="2">
    <w:abstractNumId w:val="4"/>
  </w:num>
  <w:num w:numId="3">
    <w:abstractNumId w:val="8"/>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2"/>
  </w:num>
  <w:num w:numId="11">
    <w:abstractNumId w:val="13"/>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10C5"/>
    <w:rsid w:val="00010175"/>
    <w:rsid w:val="00026B8F"/>
    <w:rsid w:val="000270AA"/>
    <w:rsid w:val="00044CF2"/>
    <w:rsid w:val="0005532C"/>
    <w:rsid w:val="000812D8"/>
    <w:rsid w:val="0008280E"/>
    <w:rsid w:val="00084B97"/>
    <w:rsid w:val="000942EB"/>
    <w:rsid w:val="000A013A"/>
    <w:rsid w:val="000A553D"/>
    <w:rsid w:val="000A5886"/>
    <w:rsid w:val="000B103F"/>
    <w:rsid w:val="000B6260"/>
    <w:rsid w:val="000C0BF4"/>
    <w:rsid w:val="000D52B9"/>
    <w:rsid w:val="000E0449"/>
    <w:rsid w:val="000F100E"/>
    <w:rsid w:val="000F14E8"/>
    <w:rsid w:val="00103915"/>
    <w:rsid w:val="0010460F"/>
    <w:rsid w:val="00111000"/>
    <w:rsid w:val="001134BE"/>
    <w:rsid w:val="00122B23"/>
    <w:rsid w:val="00122E42"/>
    <w:rsid w:val="00124067"/>
    <w:rsid w:val="001365AA"/>
    <w:rsid w:val="00137FFA"/>
    <w:rsid w:val="00141F1D"/>
    <w:rsid w:val="00155B65"/>
    <w:rsid w:val="001576F3"/>
    <w:rsid w:val="00157A9B"/>
    <w:rsid w:val="00176066"/>
    <w:rsid w:val="00184ADB"/>
    <w:rsid w:val="00185116"/>
    <w:rsid w:val="00196633"/>
    <w:rsid w:val="001B0444"/>
    <w:rsid w:val="001B09B2"/>
    <w:rsid w:val="001B1B06"/>
    <w:rsid w:val="001C60A9"/>
    <w:rsid w:val="001D021D"/>
    <w:rsid w:val="001D195A"/>
    <w:rsid w:val="001D2DCF"/>
    <w:rsid w:val="001D4068"/>
    <w:rsid w:val="001D5FDD"/>
    <w:rsid w:val="001E55BF"/>
    <w:rsid w:val="001F642D"/>
    <w:rsid w:val="00205456"/>
    <w:rsid w:val="0020632A"/>
    <w:rsid w:val="002063DE"/>
    <w:rsid w:val="002068E9"/>
    <w:rsid w:val="002110EB"/>
    <w:rsid w:val="00211338"/>
    <w:rsid w:val="00216359"/>
    <w:rsid w:val="002216A0"/>
    <w:rsid w:val="002235E6"/>
    <w:rsid w:val="00225605"/>
    <w:rsid w:val="00226747"/>
    <w:rsid w:val="00227E05"/>
    <w:rsid w:val="00234B84"/>
    <w:rsid w:val="00236805"/>
    <w:rsid w:val="00240D8B"/>
    <w:rsid w:val="00251946"/>
    <w:rsid w:val="00251F97"/>
    <w:rsid w:val="002525BA"/>
    <w:rsid w:val="00261ED7"/>
    <w:rsid w:val="00261F87"/>
    <w:rsid w:val="002647DD"/>
    <w:rsid w:val="00265F3B"/>
    <w:rsid w:val="00266151"/>
    <w:rsid w:val="002952BE"/>
    <w:rsid w:val="00296F4D"/>
    <w:rsid w:val="002A0AA3"/>
    <w:rsid w:val="002C440B"/>
    <w:rsid w:val="002C4C0C"/>
    <w:rsid w:val="002D3714"/>
    <w:rsid w:val="002D4A29"/>
    <w:rsid w:val="002E040C"/>
    <w:rsid w:val="002E69ED"/>
    <w:rsid w:val="003033BA"/>
    <w:rsid w:val="00304F97"/>
    <w:rsid w:val="00320DE3"/>
    <w:rsid w:val="00320FE1"/>
    <w:rsid w:val="00322937"/>
    <w:rsid w:val="003302E7"/>
    <w:rsid w:val="00334134"/>
    <w:rsid w:val="0034177C"/>
    <w:rsid w:val="0034680A"/>
    <w:rsid w:val="00346D4F"/>
    <w:rsid w:val="0035354C"/>
    <w:rsid w:val="00353DD5"/>
    <w:rsid w:val="003556D9"/>
    <w:rsid w:val="00360FB2"/>
    <w:rsid w:val="00373BC2"/>
    <w:rsid w:val="003824C9"/>
    <w:rsid w:val="003849D1"/>
    <w:rsid w:val="00386456"/>
    <w:rsid w:val="00391097"/>
    <w:rsid w:val="00392EFD"/>
    <w:rsid w:val="003A0878"/>
    <w:rsid w:val="003A1B4E"/>
    <w:rsid w:val="003A581E"/>
    <w:rsid w:val="003A5E18"/>
    <w:rsid w:val="003B06F2"/>
    <w:rsid w:val="003B095D"/>
    <w:rsid w:val="003D2279"/>
    <w:rsid w:val="003D5740"/>
    <w:rsid w:val="003D6181"/>
    <w:rsid w:val="003F2F8A"/>
    <w:rsid w:val="003F5277"/>
    <w:rsid w:val="003F5990"/>
    <w:rsid w:val="00403AD1"/>
    <w:rsid w:val="004116BA"/>
    <w:rsid w:val="00423F9F"/>
    <w:rsid w:val="00436987"/>
    <w:rsid w:val="00437F4B"/>
    <w:rsid w:val="0044197C"/>
    <w:rsid w:val="004422D6"/>
    <w:rsid w:val="0046600C"/>
    <w:rsid w:val="00473F3A"/>
    <w:rsid w:val="00474E1B"/>
    <w:rsid w:val="00476FB3"/>
    <w:rsid w:val="00480571"/>
    <w:rsid w:val="0048068E"/>
    <w:rsid w:val="004810AE"/>
    <w:rsid w:val="0049241A"/>
    <w:rsid w:val="004A34D2"/>
    <w:rsid w:val="004A39F5"/>
    <w:rsid w:val="004A7360"/>
    <w:rsid w:val="004B0E6E"/>
    <w:rsid w:val="004B0F88"/>
    <w:rsid w:val="004C2980"/>
    <w:rsid w:val="004D1EDC"/>
    <w:rsid w:val="004D5E56"/>
    <w:rsid w:val="004E0676"/>
    <w:rsid w:val="004E155F"/>
    <w:rsid w:val="004F0E77"/>
    <w:rsid w:val="004F51F1"/>
    <w:rsid w:val="0050201F"/>
    <w:rsid w:val="00505884"/>
    <w:rsid w:val="0051074C"/>
    <w:rsid w:val="00513AF2"/>
    <w:rsid w:val="005158AA"/>
    <w:rsid w:val="00515BDC"/>
    <w:rsid w:val="00521564"/>
    <w:rsid w:val="005242F5"/>
    <w:rsid w:val="00524CD8"/>
    <w:rsid w:val="00531F3C"/>
    <w:rsid w:val="0054413A"/>
    <w:rsid w:val="0054717D"/>
    <w:rsid w:val="005524EE"/>
    <w:rsid w:val="005564CA"/>
    <w:rsid w:val="0055654C"/>
    <w:rsid w:val="0056182B"/>
    <w:rsid w:val="00570E49"/>
    <w:rsid w:val="00573745"/>
    <w:rsid w:val="005756AA"/>
    <w:rsid w:val="0058447F"/>
    <w:rsid w:val="005962C7"/>
    <w:rsid w:val="005B27BE"/>
    <w:rsid w:val="005D4893"/>
    <w:rsid w:val="005D51FA"/>
    <w:rsid w:val="005D791B"/>
    <w:rsid w:val="005E2FA7"/>
    <w:rsid w:val="005F4906"/>
    <w:rsid w:val="005F611B"/>
    <w:rsid w:val="006003D6"/>
    <w:rsid w:val="006057EE"/>
    <w:rsid w:val="00607D9A"/>
    <w:rsid w:val="00611AB4"/>
    <w:rsid w:val="00613B16"/>
    <w:rsid w:val="006146EA"/>
    <w:rsid w:val="00614817"/>
    <w:rsid w:val="00631682"/>
    <w:rsid w:val="00633DBF"/>
    <w:rsid w:val="006453FF"/>
    <w:rsid w:val="00655371"/>
    <w:rsid w:val="00660F20"/>
    <w:rsid w:val="0067015F"/>
    <w:rsid w:val="00680FAB"/>
    <w:rsid w:val="00697665"/>
    <w:rsid w:val="0069781D"/>
    <w:rsid w:val="00697EDA"/>
    <w:rsid w:val="006A0E30"/>
    <w:rsid w:val="006A234D"/>
    <w:rsid w:val="006A3577"/>
    <w:rsid w:val="006A367D"/>
    <w:rsid w:val="006A4683"/>
    <w:rsid w:val="006A7CB5"/>
    <w:rsid w:val="006A7FD0"/>
    <w:rsid w:val="006B3266"/>
    <w:rsid w:val="006C04A6"/>
    <w:rsid w:val="006D7687"/>
    <w:rsid w:val="006E0572"/>
    <w:rsid w:val="007012D4"/>
    <w:rsid w:val="007030C3"/>
    <w:rsid w:val="007051A9"/>
    <w:rsid w:val="00705631"/>
    <w:rsid w:val="00710CDA"/>
    <w:rsid w:val="00710E01"/>
    <w:rsid w:val="00715EAA"/>
    <w:rsid w:val="00725507"/>
    <w:rsid w:val="007362E0"/>
    <w:rsid w:val="007408BC"/>
    <w:rsid w:val="00742DD2"/>
    <w:rsid w:val="00747C96"/>
    <w:rsid w:val="0075094E"/>
    <w:rsid w:val="007522E8"/>
    <w:rsid w:val="007547F1"/>
    <w:rsid w:val="0075634F"/>
    <w:rsid w:val="0075647A"/>
    <w:rsid w:val="00757654"/>
    <w:rsid w:val="007634AD"/>
    <w:rsid w:val="00773A32"/>
    <w:rsid w:val="00775632"/>
    <w:rsid w:val="00780517"/>
    <w:rsid w:val="0078122E"/>
    <w:rsid w:val="007831FF"/>
    <w:rsid w:val="00790F46"/>
    <w:rsid w:val="00795647"/>
    <w:rsid w:val="007A056E"/>
    <w:rsid w:val="007B0854"/>
    <w:rsid w:val="007B2E4A"/>
    <w:rsid w:val="007B396F"/>
    <w:rsid w:val="007F1AC5"/>
    <w:rsid w:val="007F3EF8"/>
    <w:rsid w:val="007F6B46"/>
    <w:rsid w:val="007F72CB"/>
    <w:rsid w:val="008138A0"/>
    <w:rsid w:val="008217B7"/>
    <w:rsid w:val="0082786B"/>
    <w:rsid w:val="0083119B"/>
    <w:rsid w:val="00834D4D"/>
    <w:rsid w:val="00834E0F"/>
    <w:rsid w:val="00836EAB"/>
    <w:rsid w:val="0084090E"/>
    <w:rsid w:val="00843A9B"/>
    <w:rsid w:val="0085092D"/>
    <w:rsid w:val="00850F79"/>
    <w:rsid w:val="00853A7E"/>
    <w:rsid w:val="00861244"/>
    <w:rsid w:val="008657ED"/>
    <w:rsid w:val="0087132D"/>
    <w:rsid w:val="00891045"/>
    <w:rsid w:val="0089200B"/>
    <w:rsid w:val="0089774F"/>
    <w:rsid w:val="008B4420"/>
    <w:rsid w:val="008B5493"/>
    <w:rsid w:val="008B5AFD"/>
    <w:rsid w:val="008C68DA"/>
    <w:rsid w:val="008D0B62"/>
    <w:rsid w:val="008E1C15"/>
    <w:rsid w:val="008E580B"/>
    <w:rsid w:val="008E62E9"/>
    <w:rsid w:val="008F538E"/>
    <w:rsid w:val="0090301F"/>
    <w:rsid w:val="0090345B"/>
    <w:rsid w:val="009047C5"/>
    <w:rsid w:val="009056C7"/>
    <w:rsid w:val="00911926"/>
    <w:rsid w:val="009140E7"/>
    <w:rsid w:val="00914A8A"/>
    <w:rsid w:val="00916D98"/>
    <w:rsid w:val="00927878"/>
    <w:rsid w:val="00934C1C"/>
    <w:rsid w:val="00936478"/>
    <w:rsid w:val="00942C37"/>
    <w:rsid w:val="00946115"/>
    <w:rsid w:val="0095385A"/>
    <w:rsid w:val="00964B34"/>
    <w:rsid w:val="009739D8"/>
    <w:rsid w:val="00981CB1"/>
    <w:rsid w:val="00981F4F"/>
    <w:rsid w:val="009A51B0"/>
    <w:rsid w:val="009B365E"/>
    <w:rsid w:val="009B4797"/>
    <w:rsid w:val="009B4AAF"/>
    <w:rsid w:val="009C5155"/>
    <w:rsid w:val="009D005C"/>
    <w:rsid w:val="009D03FC"/>
    <w:rsid w:val="009D475B"/>
    <w:rsid w:val="009E3619"/>
    <w:rsid w:val="009F59C2"/>
    <w:rsid w:val="00A03447"/>
    <w:rsid w:val="00A05EEE"/>
    <w:rsid w:val="00A11D70"/>
    <w:rsid w:val="00A23EB2"/>
    <w:rsid w:val="00A24560"/>
    <w:rsid w:val="00A3136F"/>
    <w:rsid w:val="00A337D3"/>
    <w:rsid w:val="00A34365"/>
    <w:rsid w:val="00A34521"/>
    <w:rsid w:val="00A34538"/>
    <w:rsid w:val="00A35C49"/>
    <w:rsid w:val="00A37FB6"/>
    <w:rsid w:val="00A63ECE"/>
    <w:rsid w:val="00A7164E"/>
    <w:rsid w:val="00A84C08"/>
    <w:rsid w:val="00AA08E7"/>
    <w:rsid w:val="00AA0AFD"/>
    <w:rsid w:val="00AA3342"/>
    <w:rsid w:val="00AA442B"/>
    <w:rsid w:val="00AA669D"/>
    <w:rsid w:val="00AB0EE5"/>
    <w:rsid w:val="00AB1598"/>
    <w:rsid w:val="00AB25D5"/>
    <w:rsid w:val="00AB681A"/>
    <w:rsid w:val="00AC3ED6"/>
    <w:rsid w:val="00AC66F8"/>
    <w:rsid w:val="00AD0F8D"/>
    <w:rsid w:val="00AD5387"/>
    <w:rsid w:val="00AE1A33"/>
    <w:rsid w:val="00AF4448"/>
    <w:rsid w:val="00AF6B54"/>
    <w:rsid w:val="00B01112"/>
    <w:rsid w:val="00B04514"/>
    <w:rsid w:val="00B13EC0"/>
    <w:rsid w:val="00B16E7A"/>
    <w:rsid w:val="00B20A61"/>
    <w:rsid w:val="00B22E22"/>
    <w:rsid w:val="00B32321"/>
    <w:rsid w:val="00B34A68"/>
    <w:rsid w:val="00B35DC6"/>
    <w:rsid w:val="00B40467"/>
    <w:rsid w:val="00B50303"/>
    <w:rsid w:val="00B525CB"/>
    <w:rsid w:val="00B54733"/>
    <w:rsid w:val="00B632B5"/>
    <w:rsid w:val="00B63872"/>
    <w:rsid w:val="00B63CB2"/>
    <w:rsid w:val="00B64EDB"/>
    <w:rsid w:val="00B8421C"/>
    <w:rsid w:val="00B91B8E"/>
    <w:rsid w:val="00B92E70"/>
    <w:rsid w:val="00B9337B"/>
    <w:rsid w:val="00B971E5"/>
    <w:rsid w:val="00BB403F"/>
    <w:rsid w:val="00BB6F52"/>
    <w:rsid w:val="00BB702E"/>
    <w:rsid w:val="00BB7F22"/>
    <w:rsid w:val="00BC2A36"/>
    <w:rsid w:val="00BC6790"/>
    <w:rsid w:val="00BD3751"/>
    <w:rsid w:val="00BD78FE"/>
    <w:rsid w:val="00BE37A4"/>
    <w:rsid w:val="00BF5C56"/>
    <w:rsid w:val="00C0714C"/>
    <w:rsid w:val="00C13AAD"/>
    <w:rsid w:val="00C14D4E"/>
    <w:rsid w:val="00C27B1D"/>
    <w:rsid w:val="00C559E5"/>
    <w:rsid w:val="00C61DDC"/>
    <w:rsid w:val="00C6486F"/>
    <w:rsid w:val="00C67D55"/>
    <w:rsid w:val="00C75CCC"/>
    <w:rsid w:val="00C90631"/>
    <w:rsid w:val="00C94C34"/>
    <w:rsid w:val="00C9589B"/>
    <w:rsid w:val="00CA13FF"/>
    <w:rsid w:val="00CB1FEE"/>
    <w:rsid w:val="00CB5456"/>
    <w:rsid w:val="00CB6014"/>
    <w:rsid w:val="00CC00CD"/>
    <w:rsid w:val="00CE2D35"/>
    <w:rsid w:val="00CE399E"/>
    <w:rsid w:val="00CE55F1"/>
    <w:rsid w:val="00CE67A7"/>
    <w:rsid w:val="00D01760"/>
    <w:rsid w:val="00D1065C"/>
    <w:rsid w:val="00D14352"/>
    <w:rsid w:val="00D16E39"/>
    <w:rsid w:val="00D223B6"/>
    <w:rsid w:val="00D316F2"/>
    <w:rsid w:val="00D60327"/>
    <w:rsid w:val="00D72E9D"/>
    <w:rsid w:val="00D8010E"/>
    <w:rsid w:val="00D82CE5"/>
    <w:rsid w:val="00D8799F"/>
    <w:rsid w:val="00D91CE8"/>
    <w:rsid w:val="00D920A3"/>
    <w:rsid w:val="00D92DA9"/>
    <w:rsid w:val="00DA0AAC"/>
    <w:rsid w:val="00DA153B"/>
    <w:rsid w:val="00DA5AB1"/>
    <w:rsid w:val="00DB3253"/>
    <w:rsid w:val="00DC62E5"/>
    <w:rsid w:val="00DD0647"/>
    <w:rsid w:val="00DD32E5"/>
    <w:rsid w:val="00DD735D"/>
    <w:rsid w:val="00DE3119"/>
    <w:rsid w:val="00DE482E"/>
    <w:rsid w:val="00DE6035"/>
    <w:rsid w:val="00DF231B"/>
    <w:rsid w:val="00DF236B"/>
    <w:rsid w:val="00DF3C4C"/>
    <w:rsid w:val="00E00FC9"/>
    <w:rsid w:val="00E0384A"/>
    <w:rsid w:val="00E126F4"/>
    <w:rsid w:val="00E13067"/>
    <w:rsid w:val="00E13A73"/>
    <w:rsid w:val="00E13AB8"/>
    <w:rsid w:val="00E16C1A"/>
    <w:rsid w:val="00E2173C"/>
    <w:rsid w:val="00E25CB3"/>
    <w:rsid w:val="00E25DB9"/>
    <w:rsid w:val="00E25E87"/>
    <w:rsid w:val="00E273FB"/>
    <w:rsid w:val="00E27FF1"/>
    <w:rsid w:val="00E33B62"/>
    <w:rsid w:val="00E4143A"/>
    <w:rsid w:val="00E41AB5"/>
    <w:rsid w:val="00E5054C"/>
    <w:rsid w:val="00E612B9"/>
    <w:rsid w:val="00E7732B"/>
    <w:rsid w:val="00EC15C7"/>
    <w:rsid w:val="00EC56BD"/>
    <w:rsid w:val="00EC59A1"/>
    <w:rsid w:val="00ED003C"/>
    <w:rsid w:val="00ED4297"/>
    <w:rsid w:val="00EE2167"/>
    <w:rsid w:val="00EE59B5"/>
    <w:rsid w:val="00F13DFC"/>
    <w:rsid w:val="00F1706A"/>
    <w:rsid w:val="00F204AF"/>
    <w:rsid w:val="00F2317D"/>
    <w:rsid w:val="00F31B03"/>
    <w:rsid w:val="00F33500"/>
    <w:rsid w:val="00F45922"/>
    <w:rsid w:val="00F45D17"/>
    <w:rsid w:val="00F53968"/>
    <w:rsid w:val="00F5424F"/>
    <w:rsid w:val="00F6070C"/>
    <w:rsid w:val="00F60C66"/>
    <w:rsid w:val="00F73738"/>
    <w:rsid w:val="00F821CC"/>
    <w:rsid w:val="00F84899"/>
    <w:rsid w:val="00F859F0"/>
    <w:rsid w:val="00F913F2"/>
    <w:rsid w:val="00F938A3"/>
    <w:rsid w:val="00F949BD"/>
    <w:rsid w:val="00FC5C48"/>
    <w:rsid w:val="00FD5740"/>
    <w:rsid w:val="00FD57E1"/>
    <w:rsid w:val="00FE141E"/>
    <w:rsid w:val="00FE42ED"/>
    <w:rsid w:val="00FE6CFF"/>
    <w:rsid w:val="00FF2CDA"/>
    <w:rsid w:val="00FF5E30"/>
    <w:rsid w:val="15447FAE"/>
    <w:rsid w:val="1D7A34D5"/>
    <w:rsid w:val="2023700A"/>
    <w:rsid w:val="27A42971"/>
    <w:rsid w:val="2B8BF5AC"/>
    <w:rsid w:val="3050F7E9"/>
    <w:rsid w:val="31FCBD23"/>
    <w:rsid w:val="35117DE8"/>
    <w:rsid w:val="385A8040"/>
    <w:rsid w:val="38D7463A"/>
    <w:rsid w:val="5ABEEED4"/>
    <w:rsid w:val="7B6039F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0A5886"/>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1"/>
    <w:rsid w:val="000A5886"/>
    <w:rPr>
      <w:rFonts w:ascii="Arial" w:eastAsia="Arial" w:hAnsi="Arial" w:cs="Arial"/>
      <w:b/>
      <w:bCs/>
      <w:lang w:val="es-ES"/>
    </w:rPr>
  </w:style>
  <w:style w:type="paragraph" w:styleId="Textoindependiente">
    <w:name w:val="Body Text"/>
    <w:basedOn w:val="Normal"/>
    <w:link w:val="TextoindependienteCar"/>
    <w:uiPriority w:val="1"/>
    <w:qFormat/>
    <w:rsid w:val="000A5886"/>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0A5886"/>
    <w:rPr>
      <w:rFonts w:ascii="Arial" w:eastAsia="Arial" w:hAnsi="Arial" w:cs="Arial"/>
      <w:lang w:val="es-ES"/>
    </w:rPr>
  </w:style>
  <w:style w:type="character" w:customStyle="1" w:styleId="baj">
    <w:name w:val="b_aj"/>
    <w:basedOn w:val="Fuentedeprrafopredeter"/>
    <w:rsid w:val="003B095D"/>
  </w:style>
  <w:style w:type="character" w:styleId="Textoennegrita">
    <w:name w:val="Strong"/>
    <w:basedOn w:val="Fuentedeprrafopredeter"/>
    <w:uiPriority w:val="22"/>
    <w:qFormat/>
    <w:rsid w:val="00334134"/>
    <w:rPr>
      <w:b/>
      <w:bCs/>
    </w:rPr>
  </w:style>
  <w:style w:type="character" w:styleId="nfasis">
    <w:name w:val="Emphasis"/>
    <w:basedOn w:val="Fuentedeprrafopredeter"/>
    <w:uiPriority w:val="20"/>
    <w:qFormat/>
    <w:rsid w:val="003341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03844646">
      <w:bodyDiv w:val="1"/>
      <w:marLeft w:val="0"/>
      <w:marRight w:val="0"/>
      <w:marTop w:val="0"/>
      <w:marBottom w:val="0"/>
      <w:divBdr>
        <w:top w:val="none" w:sz="0" w:space="0" w:color="auto"/>
        <w:left w:val="none" w:sz="0" w:space="0" w:color="auto"/>
        <w:bottom w:val="none" w:sz="0" w:space="0" w:color="auto"/>
        <w:right w:val="none" w:sz="0" w:space="0" w:color="auto"/>
      </w:divBdr>
    </w:div>
    <w:div w:id="448817492">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716507805">
      <w:bodyDiv w:val="1"/>
      <w:marLeft w:val="0"/>
      <w:marRight w:val="0"/>
      <w:marTop w:val="0"/>
      <w:marBottom w:val="0"/>
      <w:divBdr>
        <w:top w:val="none" w:sz="0" w:space="0" w:color="auto"/>
        <w:left w:val="none" w:sz="0" w:space="0" w:color="auto"/>
        <w:bottom w:val="none" w:sz="0" w:space="0" w:color="auto"/>
        <w:right w:val="none" w:sz="0" w:space="0" w:color="auto"/>
      </w:divBdr>
    </w:div>
    <w:div w:id="111348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780_201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1D4C8-9ECE-439C-85FD-FB7F3A93B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41E10-7E0D-4E02-B4B9-60AB2E72C08F}">
  <ds:schemaRefs>
    <ds:schemaRef ds:uri="http://schemas.openxmlformats.org/officeDocument/2006/bibliography"/>
  </ds:schemaRefs>
</ds:datastoreItem>
</file>

<file path=customXml/itemProps3.xml><?xml version="1.0" encoding="utf-8"?>
<ds:datastoreItem xmlns:ds="http://schemas.openxmlformats.org/officeDocument/2006/customXml" ds:itemID="{9C33A503-F3A9-409D-9042-0BE0F8105AD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d85dbaf-23eb-4e57-a637-93dcacc8b1a1"/>
    <ds:schemaRef ds:uri="a6cb9e4b-f1d1-4245-83ec-6cad768d538a"/>
    <ds:schemaRef ds:uri="http://www.w3.org/XML/1998/namespace"/>
    <ds:schemaRef ds:uri="http://purl.org/dc/dcmitype/"/>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3616</Words>
  <Characters>19893</Characters>
  <Application>Microsoft Office Word</Application>
  <DocSecurity>0</DocSecurity>
  <Lines>165</Lines>
  <Paragraphs>46</Paragraphs>
  <ScaleCrop>false</ScaleCrop>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25</cp:revision>
  <cp:lastPrinted>2020-02-10T17:15:00Z</cp:lastPrinted>
  <dcterms:created xsi:type="dcterms:W3CDTF">2020-04-14T14:10:00Z</dcterms:created>
  <dcterms:modified xsi:type="dcterms:W3CDTF">2020-08-03T11:44:00Z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