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9C1C" w14:textId="77777777" w:rsidR="00E011A6" w:rsidRPr="00F90F8B" w:rsidRDefault="00E011A6" w:rsidP="00E011A6">
      <w:pPr>
        <w:spacing w:line="276" w:lineRule="auto"/>
        <w:jc w:val="right"/>
        <w:rPr>
          <w:rFonts w:ascii="Arial" w:eastAsia="Calibri" w:hAnsi="Arial" w:cs="Arial"/>
          <w:b/>
          <w:bCs/>
          <w:noProof/>
          <w:color w:val="000000" w:themeColor="text1"/>
          <w:sz w:val="22"/>
          <w:lang w:val="es-ES"/>
        </w:rPr>
      </w:pPr>
      <w:r w:rsidRPr="00F90F8B">
        <w:rPr>
          <w:rFonts w:ascii="Arial" w:eastAsia="Times New Roman" w:hAnsi="Arial" w:cs="Arial"/>
          <w:b/>
          <w:bCs/>
          <w:noProof/>
          <w:color w:val="000000" w:themeColor="text1"/>
          <w:sz w:val="16"/>
          <w:szCs w:val="16"/>
          <w:lang w:val="es-ES" w:eastAsia="es-ES"/>
        </w:rPr>
        <w:t>CCE-DES-FM-17</w:t>
      </w:r>
    </w:p>
    <w:p w14:paraId="114CBCBD" w14:textId="77777777" w:rsidR="00E011A6" w:rsidRPr="00F90F8B" w:rsidRDefault="00E011A6" w:rsidP="00E011A6">
      <w:pPr>
        <w:spacing w:line="276" w:lineRule="auto"/>
        <w:jc w:val="both"/>
        <w:rPr>
          <w:rFonts w:ascii="Arial" w:eastAsia="Calibri" w:hAnsi="Arial" w:cs="Arial"/>
          <w:b/>
          <w:noProof/>
          <w:color w:val="000000" w:themeColor="text1"/>
          <w:sz w:val="16"/>
          <w:szCs w:val="16"/>
          <w:lang w:val="es-ES"/>
        </w:rPr>
      </w:pPr>
    </w:p>
    <w:p w14:paraId="47F14B9E" w14:textId="553DC7DE" w:rsidR="00E011A6" w:rsidRPr="00F90F8B" w:rsidRDefault="00E011A6" w:rsidP="00F90F8B">
      <w:pPr>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 xml:space="preserve">DECRETO 092 DE 2017 </w:t>
      </w:r>
      <w:bookmarkStart w:id="0" w:name="_Hlk39666823"/>
      <w:r w:rsidR="007A1B75" w:rsidRPr="006C15D5">
        <w:rPr>
          <w:rFonts w:ascii="Arial" w:eastAsia="Calibri" w:hAnsi="Arial" w:cs="Arial"/>
          <w:b/>
          <w:color w:val="000000" w:themeColor="text1"/>
          <w:sz w:val="22"/>
        </w:rPr>
        <w:t>–</w:t>
      </w:r>
      <w:bookmarkEnd w:id="0"/>
      <w:r w:rsidRPr="00F90F8B">
        <w:rPr>
          <w:rFonts w:ascii="Arial" w:eastAsia="Calibri" w:hAnsi="Arial" w:cs="Arial"/>
          <w:b/>
          <w:noProof/>
          <w:color w:val="000000" w:themeColor="text1"/>
          <w:sz w:val="22"/>
          <w:lang w:val="es-ES"/>
        </w:rPr>
        <w:t xml:space="preserve"> Contrato de colaboración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lang w:val="es-ES"/>
        </w:rPr>
        <w:t xml:space="preserve"> Definición</w:t>
      </w:r>
    </w:p>
    <w:p w14:paraId="0EEEC5A4" w14:textId="77777777" w:rsidR="00E011A6" w:rsidRPr="00F90F8B" w:rsidRDefault="00E011A6" w:rsidP="00F90F8B">
      <w:pPr>
        <w:jc w:val="both"/>
        <w:rPr>
          <w:rFonts w:ascii="Arial" w:hAnsi="Arial" w:cs="Arial"/>
          <w:noProof/>
          <w:color w:val="000000" w:themeColor="text1"/>
          <w:sz w:val="20"/>
          <w:szCs w:val="20"/>
          <w:lang w:val="es-ES"/>
        </w:rPr>
      </w:pPr>
    </w:p>
    <w:p w14:paraId="7920E4DD" w14:textId="34281155" w:rsidR="00E011A6" w:rsidRPr="00F90F8B" w:rsidRDefault="00E011A6" w:rsidP="00F90F8B">
      <w:pPr>
        <w:jc w:val="both"/>
        <w:rPr>
          <w:rFonts w:ascii="Arial" w:eastAsia="Calibri" w:hAnsi="Arial" w:cs="Arial"/>
          <w:noProof/>
          <w:color w:val="000000" w:themeColor="text1"/>
          <w:sz w:val="20"/>
          <w:lang w:val="es-ES"/>
        </w:rPr>
      </w:pPr>
      <w:r w:rsidRPr="00F90F8B">
        <w:rPr>
          <w:rFonts w:ascii="Arial" w:eastAsia="Calibri" w:hAnsi="Arial" w:cs="Arial"/>
          <w:noProof/>
          <w:color w:val="000000" w:themeColor="text1"/>
          <w:sz w:val="20"/>
          <w:lang w:val="es-ES"/>
        </w:rPr>
        <w:t>Los contratos del artículo 2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 la Ley 80 de 1993. Solo cuando se reúnan estas condiciones será procedente la celebración de estos contratos, de lo contrario se deben aplicar las normas del estatuto de contratación pública, adicionalmente se requiere de autorización previa y expresa del representante legal de la entidad estatal.</w:t>
      </w:r>
    </w:p>
    <w:p w14:paraId="7DF8ECA4" w14:textId="77777777" w:rsidR="00E011A6" w:rsidRPr="00F90F8B" w:rsidRDefault="00E011A6" w:rsidP="00F90F8B">
      <w:pPr>
        <w:pStyle w:val="Prrafodelista"/>
        <w:ind w:left="0"/>
        <w:jc w:val="both"/>
        <w:rPr>
          <w:rFonts w:ascii="Arial" w:eastAsia="Calibri" w:hAnsi="Arial" w:cs="Arial"/>
          <w:noProof/>
          <w:color w:val="000000" w:themeColor="text1"/>
          <w:sz w:val="20"/>
          <w:szCs w:val="20"/>
          <w:lang w:val="es-ES"/>
        </w:rPr>
      </w:pPr>
    </w:p>
    <w:p w14:paraId="519B413E" w14:textId="70CCDC2E" w:rsidR="00E011A6" w:rsidRPr="00F90F8B" w:rsidRDefault="00E011A6" w:rsidP="00F90F8B">
      <w:pPr>
        <w:pStyle w:val="Prrafodelista"/>
        <w:ind w:left="0"/>
        <w:jc w:val="both"/>
        <w:rPr>
          <w:rFonts w:ascii="Arial" w:eastAsia="Calibri" w:hAnsi="Arial" w:cs="Arial"/>
          <w:b/>
          <w:noProof/>
          <w:color w:val="000000" w:themeColor="text1"/>
          <w:sz w:val="22"/>
          <w:szCs w:val="20"/>
          <w:lang w:val="es-ES"/>
        </w:rPr>
      </w:pPr>
      <w:r w:rsidRPr="00F90F8B">
        <w:rPr>
          <w:rFonts w:ascii="Arial" w:eastAsia="Calibri" w:hAnsi="Arial" w:cs="Arial"/>
          <w:b/>
          <w:noProof/>
          <w:color w:val="000000" w:themeColor="text1"/>
          <w:sz w:val="22"/>
          <w:szCs w:val="20"/>
          <w:lang w:val="es-ES"/>
        </w:rPr>
        <w:t xml:space="preserve">DECRETO 092 DE 2017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szCs w:val="20"/>
          <w:lang w:val="es-ES"/>
        </w:rPr>
        <w:t xml:space="preserve"> Convenio de asociación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lang w:val="es-ES"/>
        </w:rPr>
        <w:t xml:space="preserve"> Definición</w:t>
      </w:r>
    </w:p>
    <w:p w14:paraId="4C22D67E" w14:textId="77777777" w:rsidR="00E011A6" w:rsidRPr="00F90F8B" w:rsidRDefault="00E011A6" w:rsidP="00F90F8B">
      <w:pPr>
        <w:pStyle w:val="Prrafodelista"/>
        <w:ind w:left="0"/>
        <w:jc w:val="both"/>
        <w:rPr>
          <w:rFonts w:ascii="Arial" w:eastAsia="Calibri" w:hAnsi="Arial" w:cs="Arial"/>
          <w:noProof/>
          <w:color w:val="000000" w:themeColor="text1"/>
          <w:sz w:val="20"/>
          <w:szCs w:val="20"/>
          <w:lang w:val="es-ES"/>
        </w:rPr>
      </w:pPr>
    </w:p>
    <w:p w14:paraId="6F8B79FC" w14:textId="5CAF4588" w:rsidR="00E011A6" w:rsidRPr="00F90F8B" w:rsidRDefault="00E011A6" w:rsidP="00F90F8B">
      <w:pPr>
        <w:jc w:val="both"/>
        <w:rPr>
          <w:rFonts w:ascii="Arial" w:eastAsia="Calibri" w:hAnsi="Arial" w:cs="Arial"/>
          <w:noProof/>
          <w:color w:val="000000" w:themeColor="text1"/>
          <w:sz w:val="20"/>
          <w:lang w:val="es-ES"/>
        </w:rPr>
      </w:pPr>
      <w:r w:rsidRPr="00F90F8B">
        <w:rPr>
          <w:rFonts w:ascii="Arial" w:eastAsia="Calibri" w:hAnsi="Arial" w:cs="Arial"/>
          <w:noProof/>
          <w:color w:val="000000" w:themeColor="text1"/>
          <w:sz w:val="20"/>
          <w:lang w:val="es-ES"/>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14:paraId="54D3AD0F" w14:textId="77777777" w:rsidR="00E011A6" w:rsidRPr="00F90F8B" w:rsidRDefault="00E011A6" w:rsidP="00F90F8B">
      <w:pPr>
        <w:jc w:val="both"/>
        <w:rPr>
          <w:rFonts w:ascii="Arial" w:eastAsia="Calibri" w:hAnsi="Arial" w:cs="Arial"/>
          <w:b/>
          <w:noProof/>
          <w:color w:val="000000" w:themeColor="text1"/>
          <w:sz w:val="20"/>
          <w:szCs w:val="20"/>
          <w:highlight w:val="yellow"/>
          <w:lang w:val="es-ES"/>
        </w:rPr>
      </w:pPr>
    </w:p>
    <w:p w14:paraId="57A303AC" w14:textId="7950F53D" w:rsidR="00E011A6" w:rsidRPr="00F90F8B" w:rsidRDefault="00E011A6" w:rsidP="00F90F8B">
      <w:pPr>
        <w:pStyle w:val="Prrafodelista"/>
        <w:ind w:left="0"/>
        <w:jc w:val="both"/>
        <w:rPr>
          <w:rFonts w:ascii="Arial" w:eastAsia="Calibri" w:hAnsi="Arial" w:cs="Arial"/>
          <w:b/>
          <w:noProof/>
          <w:color w:val="000000" w:themeColor="text1"/>
          <w:sz w:val="22"/>
          <w:szCs w:val="20"/>
          <w:lang w:val="es-ES"/>
        </w:rPr>
      </w:pPr>
      <w:r w:rsidRPr="00F90F8B">
        <w:rPr>
          <w:rFonts w:ascii="Arial" w:eastAsia="Calibri" w:hAnsi="Arial" w:cs="Arial"/>
          <w:b/>
          <w:noProof/>
          <w:color w:val="000000" w:themeColor="text1"/>
          <w:sz w:val="22"/>
          <w:szCs w:val="20"/>
          <w:lang w:val="es-ES"/>
        </w:rPr>
        <w:t xml:space="preserve">DECRETO 092 DE 2017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szCs w:val="20"/>
          <w:lang w:val="es-ES"/>
        </w:rPr>
        <w:t xml:space="preserve"> Aplicación </w:t>
      </w:r>
      <w:r w:rsidRPr="00F90F8B">
        <w:rPr>
          <w:rFonts w:ascii="Arial" w:eastAsia="Calibri" w:hAnsi="Arial" w:cs="Arial"/>
          <w:b/>
          <w:noProof/>
          <w:color w:val="000000" w:themeColor="text1"/>
          <w:sz w:val="22"/>
          <w:lang w:val="es-ES"/>
        </w:rPr>
        <w:t xml:space="preserve">– Concepto «Gobierno»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lang w:val="es-ES"/>
        </w:rPr>
        <w:t xml:space="preserve"> Norma particular</w:t>
      </w:r>
    </w:p>
    <w:p w14:paraId="23D0B48E" w14:textId="77777777" w:rsidR="00E011A6" w:rsidRPr="00F90F8B" w:rsidRDefault="00E011A6" w:rsidP="00F90F8B">
      <w:pPr>
        <w:jc w:val="both"/>
        <w:rPr>
          <w:rFonts w:ascii="Arial" w:hAnsi="Arial" w:cs="Arial"/>
          <w:noProof/>
          <w:color w:val="000000" w:themeColor="text1"/>
          <w:sz w:val="20"/>
          <w:szCs w:val="20"/>
          <w:highlight w:val="yellow"/>
          <w:lang w:val="es-ES"/>
        </w:rPr>
      </w:pPr>
    </w:p>
    <w:p w14:paraId="18AB619D" w14:textId="7BC842EA" w:rsidR="00E011A6" w:rsidRPr="00F90F8B" w:rsidRDefault="00E011A6" w:rsidP="00F90F8B">
      <w:pPr>
        <w:jc w:val="both"/>
        <w:rPr>
          <w:rFonts w:ascii="Arial" w:eastAsia="Calibri" w:hAnsi="Arial" w:cs="Arial"/>
          <w:noProof/>
          <w:color w:val="000000" w:themeColor="text1"/>
          <w:sz w:val="20"/>
          <w:lang w:val="es-ES"/>
        </w:rPr>
      </w:pPr>
      <w:r w:rsidRPr="00F90F8B">
        <w:rPr>
          <w:rFonts w:ascii="Arial" w:eastAsia="Calibri" w:hAnsi="Arial" w:cs="Arial"/>
          <w:noProof/>
          <w:color w:val="000000" w:themeColor="text1"/>
          <w:sz w:val="20"/>
          <w:lang w:val="es-ES"/>
        </w:rPr>
        <w:t>En conclusión, atendiendo a una interpretación amplia del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de aplicación no se encuentran incluidas las demás ramas del poder público, ni los entes autónomos, por lo que no pueden acudir a este régimen de contratación las ramas legislativa y judicial, ni los órganos de control y electoral. Eso fue lo que se quiso decir en el concepto del 12 de diciembre de 2019, dictado en el radicado No. 2201913000009196.</w:t>
      </w:r>
    </w:p>
    <w:p w14:paraId="01CC7617" w14:textId="77777777" w:rsidR="00E011A6" w:rsidRPr="00F90F8B" w:rsidRDefault="00E011A6" w:rsidP="00F90F8B">
      <w:pPr>
        <w:jc w:val="both"/>
        <w:rPr>
          <w:rFonts w:ascii="Arial" w:eastAsia="Calibri" w:hAnsi="Arial" w:cs="Arial"/>
          <w:noProof/>
          <w:color w:val="000000" w:themeColor="text1"/>
          <w:sz w:val="20"/>
          <w:lang w:val="es-ES"/>
        </w:rPr>
      </w:pPr>
    </w:p>
    <w:p w14:paraId="1BDB10B9" w14:textId="684A239B" w:rsidR="00E011A6" w:rsidRPr="00F90F8B" w:rsidRDefault="00E011A6" w:rsidP="00F90F8B">
      <w:pPr>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 xml:space="preserve">LEY 2005 DE 2019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lang w:val="es-ES"/>
        </w:rPr>
        <w:t xml:space="preserve"> </w:t>
      </w:r>
      <w:r w:rsidR="00DF68BD">
        <w:rPr>
          <w:rFonts w:ascii="Arial" w:eastAsia="Calibri" w:hAnsi="Arial" w:cs="Arial"/>
          <w:b/>
          <w:noProof/>
          <w:color w:val="000000" w:themeColor="text1"/>
          <w:sz w:val="22"/>
          <w:lang w:val="es-ES"/>
        </w:rPr>
        <w:t xml:space="preserve">Industria panelera </w:t>
      </w:r>
      <w:r w:rsidR="00DF68BD" w:rsidRPr="006C15D5">
        <w:rPr>
          <w:rFonts w:ascii="Arial" w:eastAsia="Calibri" w:hAnsi="Arial" w:cs="Arial"/>
          <w:b/>
          <w:color w:val="000000" w:themeColor="text1"/>
          <w:sz w:val="22"/>
        </w:rPr>
        <w:t>–</w:t>
      </w:r>
      <w:r w:rsidR="00DF68BD">
        <w:rPr>
          <w:rFonts w:ascii="Arial" w:eastAsia="Calibri" w:hAnsi="Arial" w:cs="Arial"/>
          <w:b/>
          <w:color w:val="000000" w:themeColor="text1"/>
          <w:sz w:val="22"/>
        </w:rPr>
        <w:t xml:space="preserve"> </w:t>
      </w:r>
      <w:r w:rsidRPr="00F90F8B">
        <w:rPr>
          <w:rFonts w:ascii="Arial" w:eastAsia="Calibri" w:hAnsi="Arial" w:cs="Arial"/>
          <w:b/>
          <w:noProof/>
          <w:color w:val="000000" w:themeColor="text1"/>
          <w:sz w:val="22"/>
          <w:lang w:val="es-ES"/>
        </w:rPr>
        <w:t>Regulación</w:t>
      </w:r>
    </w:p>
    <w:p w14:paraId="3E1D3DCF" w14:textId="77777777" w:rsidR="00E011A6" w:rsidRPr="00F90F8B" w:rsidRDefault="00E011A6" w:rsidP="00F90F8B">
      <w:pPr>
        <w:jc w:val="both"/>
        <w:rPr>
          <w:rFonts w:ascii="Arial" w:hAnsi="Arial" w:cs="Arial"/>
          <w:noProof/>
          <w:color w:val="000000" w:themeColor="text1"/>
          <w:sz w:val="20"/>
          <w:szCs w:val="20"/>
          <w:highlight w:val="yellow"/>
          <w:lang w:val="es-ES"/>
        </w:rPr>
      </w:pPr>
    </w:p>
    <w:p w14:paraId="5BBA11EF" w14:textId="7D39668C" w:rsidR="00E011A6" w:rsidRPr="00F90F8B" w:rsidRDefault="00E011A6" w:rsidP="00F90F8B">
      <w:pPr>
        <w:jc w:val="both"/>
        <w:rPr>
          <w:rFonts w:ascii="Arial" w:eastAsia="Calibri" w:hAnsi="Arial" w:cs="Arial"/>
          <w:noProof/>
          <w:color w:val="000000" w:themeColor="text1"/>
          <w:sz w:val="20"/>
          <w:lang w:val="es-ES"/>
        </w:rPr>
      </w:pPr>
      <w:r w:rsidRPr="00F90F8B">
        <w:rPr>
          <w:rFonts w:ascii="Arial" w:eastAsia="Calibri" w:hAnsi="Arial" w:cs="Arial"/>
          <w:noProof/>
          <w:color w:val="000000" w:themeColor="text1"/>
          <w:sz w:val="20"/>
          <w:lang w:val="es-ES"/>
        </w:rPr>
        <w:t>La Ley 2005 de 2019 se expidió para promover la industria panelera y sus componentes, como la producción, distribución, comercialización, insumos, entre otros . La norma se refiere a diversos aspectos relacionados con la panela y su producción, esto es, el trapiche y los descuentos tributarios que se deben aplicar para incentivar el mercado y el consumo de este producto. A su vez, otorga beneficios a los campesinos, artesanos y emprendedores respecto de los costos y también facilidades en el registro sanitario; y dispone que el Gobierno dará apoyo a los pequeños productores, así como la inclusión de la panela en los servicios de cafetería o restaurante de sus entidades. Finalmente, las entidades territoriales deben promover la industria de la panela, con esquemas asociativos locales o regionales para generar economías de escala que permitan la reducción de costos y mayor comercialización.</w:t>
      </w:r>
    </w:p>
    <w:p w14:paraId="1E200FF5" w14:textId="77777777" w:rsidR="00E011A6" w:rsidRPr="00F90F8B" w:rsidRDefault="00E011A6" w:rsidP="00F90F8B">
      <w:pPr>
        <w:jc w:val="both"/>
        <w:rPr>
          <w:noProof/>
          <w:color w:val="000000" w:themeColor="text1"/>
          <w:lang w:val="es-ES"/>
        </w:rPr>
      </w:pPr>
    </w:p>
    <w:p w14:paraId="0C4ED280" w14:textId="60ABE8D5" w:rsidR="00E011A6" w:rsidRPr="00F90F8B" w:rsidRDefault="00E011A6" w:rsidP="00F90F8B">
      <w:pPr>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lastRenderedPageBreak/>
        <w:t xml:space="preserve">LEY 2005 DE 2019 </w:t>
      </w:r>
      <w:r w:rsidR="007A1B75" w:rsidRPr="006C15D5">
        <w:rPr>
          <w:rFonts w:ascii="Arial" w:eastAsia="Calibri" w:hAnsi="Arial" w:cs="Arial"/>
          <w:b/>
          <w:color w:val="000000" w:themeColor="text1"/>
          <w:sz w:val="22"/>
        </w:rPr>
        <w:t>–</w:t>
      </w:r>
      <w:r w:rsidRPr="00F90F8B">
        <w:rPr>
          <w:rFonts w:ascii="Arial" w:eastAsia="Calibri" w:hAnsi="Arial" w:cs="Arial"/>
          <w:b/>
          <w:noProof/>
          <w:color w:val="000000" w:themeColor="text1"/>
          <w:sz w:val="22"/>
          <w:lang w:val="es-ES"/>
        </w:rPr>
        <w:t xml:space="preserve"> </w:t>
      </w:r>
      <w:r w:rsidR="00DF68BD">
        <w:rPr>
          <w:rFonts w:ascii="Arial" w:eastAsia="Calibri" w:hAnsi="Arial" w:cs="Arial"/>
          <w:b/>
          <w:noProof/>
          <w:color w:val="000000" w:themeColor="text1"/>
          <w:sz w:val="22"/>
          <w:lang w:val="es-ES"/>
        </w:rPr>
        <w:t xml:space="preserve">Industria Panelera </w:t>
      </w:r>
      <w:r w:rsidR="00DF68BD" w:rsidRPr="006C15D5">
        <w:rPr>
          <w:rFonts w:ascii="Arial" w:eastAsia="Calibri" w:hAnsi="Arial" w:cs="Arial"/>
          <w:b/>
          <w:color w:val="000000" w:themeColor="text1"/>
          <w:sz w:val="22"/>
        </w:rPr>
        <w:t>–</w:t>
      </w:r>
      <w:r w:rsidR="00DF68BD">
        <w:rPr>
          <w:rFonts w:ascii="Arial" w:eastAsia="Calibri" w:hAnsi="Arial" w:cs="Arial"/>
          <w:b/>
          <w:color w:val="000000" w:themeColor="text1"/>
          <w:sz w:val="22"/>
        </w:rPr>
        <w:t xml:space="preserve"> Actividades </w:t>
      </w:r>
      <w:r w:rsidR="00DF68BD" w:rsidRPr="006C15D5">
        <w:rPr>
          <w:rFonts w:ascii="Arial" w:eastAsia="Calibri" w:hAnsi="Arial" w:cs="Arial"/>
          <w:b/>
          <w:color w:val="000000" w:themeColor="text1"/>
          <w:sz w:val="22"/>
        </w:rPr>
        <w:t>–</w:t>
      </w:r>
      <w:r w:rsidR="00DF68BD">
        <w:rPr>
          <w:rFonts w:ascii="Arial" w:eastAsia="Calibri" w:hAnsi="Arial" w:cs="Arial"/>
          <w:b/>
          <w:color w:val="000000" w:themeColor="text1"/>
          <w:sz w:val="22"/>
        </w:rPr>
        <w:t xml:space="preserve"> Plan de desarrollo </w:t>
      </w:r>
      <w:r w:rsidR="00DF68BD" w:rsidRPr="006C15D5">
        <w:rPr>
          <w:rFonts w:ascii="Arial" w:eastAsia="Calibri" w:hAnsi="Arial" w:cs="Arial"/>
          <w:b/>
          <w:color w:val="000000" w:themeColor="text1"/>
          <w:sz w:val="22"/>
        </w:rPr>
        <w:t>–</w:t>
      </w:r>
      <w:r w:rsidR="00DF68BD">
        <w:rPr>
          <w:rFonts w:ascii="Arial" w:eastAsia="Calibri" w:hAnsi="Arial" w:cs="Arial"/>
          <w:b/>
          <w:color w:val="000000" w:themeColor="text1"/>
          <w:sz w:val="22"/>
        </w:rPr>
        <w:t xml:space="preserve"> </w:t>
      </w:r>
      <w:r w:rsidRPr="00F90F8B">
        <w:rPr>
          <w:rFonts w:ascii="Arial" w:eastAsia="Calibri" w:hAnsi="Arial" w:cs="Arial"/>
          <w:b/>
          <w:noProof/>
          <w:color w:val="000000" w:themeColor="text1"/>
          <w:sz w:val="22"/>
          <w:lang w:val="es-ES"/>
        </w:rPr>
        <w:t>Decreto 092 de 2017</w:t>
      </w:r>
    </w:p>
    <w:p w14:paraId="211EF92F" w14:textId="77777777" w:rsidR="00046E3E" w:rsidRPr="00F90F8B" w:rsidRDefault="00046E3E" w:rsidP="00F90F8B">
      <w:pPr>
        <w:jc w:val="both"/>
        <w:rPr>
          <w:rFonts w:ascii="Arial" w:eastAsia="Calibri" w:hAnsi="Arial" w:cs="Arial"/>
          <w:b/>
          <w:noProof/>
          <w:color w:val="000000" w:themeColor="text1"/>
          <w:sz w:val="20"/>
          <w:szCs w:val="20"/>
          <w:lang w:val="es-ES"/>
        </w:rPr>
      </w:pPr>
    </w:p>
    <w:p w14:paraId="46EE265B" w14:textId="23E0DAFF" w:rsidR="00E011A6" w:rsidRPr="00F90F8B" w:rsidRDefault="00046E3E" w:rsidP="00F90F8B">
      <w:pPr>
        <w:jc w:val="both"/>
        <w:rPr>
          <w:rFonts w:ascii="Arial" w:eastAsia="Calibri" w:hAnsi="Arial" w:cs="Arial"/>
          <w:noProof/>
          <w:color w:val="000000" w:themeColor="text1"/>
          <w:sz w:val="20"/>
          <w:lang w:val="es-ES"/>
        </w:rPr>
      </w:pPr>
      <w:r w:rsidRPr="00F90F8B">
        <w:rPr>
          <w:rFonts w:ascii="Arial" w:eastAsia="Calibri" w:hAnsi="Arial" w:cs="Arial"/>
          <w:noProof/>
          <w:color w:val="000000" w:themeColor="text1"/>
          <w:sz w:val="20"/>
          <w:lang w:val="es-ES"/>
        </w:rPr>
        <w:t>Por consiguiente, si las actividades incluidas en el plan de desarrollo de los municipios y departamentos para la promoción de la actividad panelera, particularmente los contratos para dar en comodato terrenos, construir plantas y crear fondos de emprendimiento, están relacionadas con las funciones de los municipios y departamentos, de acuerdo con el artículo 5 del Decreto 092 de 2017; y si las asociaciones de productores de trapiches de economía campesina y/o con federaciones de productores de panela tienen la calidad de entidad sin ánimo de lucro y de reconocida idoneidad; entonces las entidades tendrían varias alternativas para contratarlas: i) directamente, según el artículo 13 de la Ley 2005 de 2019 y de acuerdo con la modalidad de contratación directa del numeral 4, artículo 2 de la Ley 1150 de 2007, o ii) celebrar un convenio para ejecutar esas actividades para la promoción de la panela, regido por el Decreto 092 de 2017, el cual regula procedimientos competitivos y no competitivos para la celebración.</w:t>
      </w:r>
    </w:p>
    <w:p w14:paraId="1E9E2814" w14:textId="77777777" w:rsidR="00E011A6" w:rsidRPr="00F90F8B" w:rsidRDefault="00E011A6" w:rsidP="00E011A6">
      <w:pPr>
        <w:jc w:val="both"/>
        <w:rPr>
          <w:rFonts w:ascii="Arial" w:eastAsia="Calibri" w:hAnsi="Arial" w:cs="Arial"/>
          <w:noProof/>
          <w:color w:val="000000" w:themeColor="text1"/>
          <w:sz w:val="20"/>
          <w:lang w:val="es-ES"/>
        </w:rPr>
      </w:pPr>
    </w:p>
    <w:p w14:paraId="00D511AC" w14:textId="77777777" w:rsidR="00F90F8B" w:rsidRPr="00A54D8D" w:rsidRDefault="00F90F8B" w:rsidP="00F90F8B">
      <w:pPr>
        <w:pStyle w:val="Default"/>
        <w:rPr>
          <w:color w:val="000000" w:themeColor="text1"/>
          <w:sz w:val="20"/>
          <w:szCs w:val="20"/>
        </w:rPr>
      </w:pPr>
    </w:p>
    <w:p w14:paraId="0913ABE9" w14:textId="0D590307" w:rsidR="00F90F8B" w:rsidRPr="00F90F8B" w:rsidRDefault="00F90F8B" w:rsidP="00F90F8B">
      <w:pPr>
        <w:pStyle w:val="Default"/>
        <w:rPr>
          <w:color w:val="000000" w:themeColor="text1"/>
          <w:sz w:val="22"/>
          <w:szCs w:val="22"/>
        </w:rPr>
      </w:pPr>
      <w:r w:rsidRPr="00F90F8B">
        <w:rPr>
          <w:color w:val="000000" w:themeColor="text1"/>
          <w:sz w:val="22"/>
          <w:szCs w:val="22"/>
        </w:rPr>
        <w:t xml:space="preserve">Bogotá D.C., </w:t>
      </w:r>
      <w:r w:rsidRPr="00F90F8B">
        <w:rPr>
          <w:b/>
          <w:bCs/>
          <w:color w:val="000000" w:themeColor="text1"/>
          <w:sz w:val="22"/>
          <w:szCs w:val="22"/>
        </w:rPr>
        <w:t xml:space="preserve">31/03/2020 Hora 17:8:44s </w:t>
      </w:r>
    </w:p>
    <w:p w14:paraId="5E768EFD" w14:textId="7B475CDA" w:rsidR="00E011A6" w:rsidRPr="00A54D8D" w:rsidRDefault="00F90F8B" w:rsidP="00F90F8B">
      <w:pPr>
        <w:tabs>
          <w:tab w:val="left" w:pos="3374"/>
        </w:tabs>
        <w:jc w:val="right"/>
        <w:rPr>
          <w:rFonts w:ascii="Arial" w:eastAsia="Calibri" w:hAnsi="Arial" w:cs="Arial"/>
          <w:noProof/>
          <w:color w:val="000000" w:themeColor="text1"/>
          <w:sz w:val="22"/>
          <w:lang w:val="es-ES"/>
        </w:rPr>
      </w:pPr>
      <w:proofErr w:type="spellStart"/>
      <w:r w:rsidRPr="00A54D8D">
        <w:rPr>
          <w:rFonts w:ascii="Arial" w:hAnsi="Arial" w:cs="Arial"/>
          <w:b/>
          <w:bCs/>
          <w:color w:val="000000" w:themeColor="text1"/>
          <w:sz w:val="22"/>
        </w:rPr>
        <w:t>N°</w:t>
      </w:r>
      <w:proofErr w:type="spellEnd"/>
      <w:r w:rsidRPr="00A54D8D">
        <w:rPr>
          <w:rFonts w:ascii="Arial" w:hAnsi="Arial" w:cs="Arial"/>
          <w:b/>
          <w:bCs/>
          <w:color w:val="000000" w:themeColor="text1"/>
          <w:sz w:val="22"/>
        </w:rPr>
        <w:t xml:space="preserve"> Radicado: 2202013000002341</w:t>
      </w:r>
      <w:r w:rsidR="00E011A6" w:rsidRPr="00A54D8D">
        <w:rPr>
          <w:rFonts w:ascii="Arial" w:eastAsia="Calibri" w:hAnsi="Arial" w:cs="Arial"/>
          <w:noProof/>
          <w:color w:val="000000" w:themeColor="text1"/>
          <w:sz w:val="22"/>
          <w:lang w:val="es-ES"/>
        </w:rPr>
        <w:tab/>
      </w:r>
    </w:p>
    <w:p w14:paraId="22984886" w14:textId="26ED5F76" w:rsidR="00EC6E6B" w:rsidRDefault="00EC6E6B" w:rsidP="00F90F8B">
      <w:pPr>
        <w:tabs>
          <w:tab w:val="left" w:pos="3374"/>
        </w:tabs>
        <w:jc w:val="right"/>
        <w:rPr>
          <w:rFonts w:ascii="Arial" w:eastAsia="Calibri" w:hAnsi="Arial" w:cs="Arial"/>
          <w:noProof/>
          <w:color w:val="000000" w:themeColor="text1"/>
          <w:sz w:val="22"/>
          <w:lang w:val="es-ES"/>
        </w:rPr>
      </w:pPr>
    </w:p>
    <w:p w14:paraId="05586990" w14:textId="77777777" w:rsidR="00E011A6" w:rsidRPr="00F90F8B" w:rsidRDefault="00E011A6" w:rsidP="00E011A6">
      <w:pPr>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Señor</w:t>
      </w:r>
    </w:p>
    <w:p w14:paraId="2BD67123" w14:textId="77777777" w:rsidR="00E011A6" w:rsidRPr="00F90F8B" w:rsidRDefault="00E011A6" w:rsidP="00E011A6">
      <w:pPr>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 xml:space="preserve">Carlos Fernando Mayorga Morales </w:t>
      </w:r>
    </w:p>
    <w:p w14:paraId="5CBF0B8D" w14:textId="4722F194" w:rsidR="00E011A6" w:rsidRDefault="00E011A6" w:rsidP="00E011A6">
      <w:pPr>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Ciudad</w:t>
      </w:r>
    </w:p>
    <w:p w14:paraId="151D203D" w14:textId="77777777" w:rsidR="00EC6E6B" w:rsidRPr="00F90F8B" w:rsidRDefault="00EC6E6B" w:rsidP="00E011A6">
      <w:pPr>
        <w:rPr>
          <w:rFonts w:ascii="Arial" w:eastAsia="Calibri" w:hAnsi="Arial" w:cs="Arial"/>
          <w:noProof/>
          <w:color w:val="000000" w:themeColor="text1"/>
          <w:sz w:val="22"/>
          <w:lang w:val="es-ES"/>
        </w:rPr>
      </w:pPr>
    </w:p>
    <w:p w14:paraId="282B1723" w14:textId="196A735E" w:rsidR="00E011A6" w:rsidRDefault="00E011A6" w:rsidP="00E011A6">
      <w:pPr>
        <w:jc w:val="center"/>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Concepto C ─ 215 de 2020</w:t>
      </w:r>
    </w:p>
    <w:p w14:paraId="1823574F" w14:textId="77777777" w:rsidR="00E011A6" w:rsidRPr="00F90F8B" w:rsidRDefault="00E011A6" w:rsidP="00E011A6">
      <w:pPr>
        <w:rPr>
          <w:rFonts w:ascii="Arial" w:eastAsia="Calibri" w:hAnsi="Arial" w:cs="Arial"/>
          <w:noProof/>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90F8B" w:rsidRPr="00F90F8B" w14:paraId="5EA69D84" w14:textId="77777777" w:rsidTr="00A12492">
        <w:tc>
          <w:tcPr>
            <w:tcW w:w="2689" w:type="dxa"/>
            <w:hideMark/>
          </w:tcPr>
          <w:p w14:paraId="1ED93104" w14:textId="77777777" w:rsidR="00E011A6" w:rsidRPr="00F90F8B" w:rsidRDefault="00E011A6" w:rsidP="00A12492">
            <w:pPr>
              <w:rPr>
                <w:rFonts w:ascii="Arial" w:eastAsia="Calibri" w:hAnsi="Arial" w:cs="Arial"/>
                <w:noProof/>
                <w:color w:val="000000" w:themeColor="text1"/>
                <w:sz w:val="22"/>
                <w:lang w:val="es-ES"/>
              </w:rPr>
            </w:pPr>
            <w:r w:rsidRPr="00F90F8B">
              <w:rPr>
                <w:rFonts w:ascii="Arial" w:eastAsia="Calibri" w:hAnsi="Arial" w:cs="Arial"/>
                <w:b/>
                <w:noProof/>
                <w:color w:val="000000" w:themeColor="text1"/>
                <w:sz w:val="22"/>
                <w:lang w:val="es-ES"/>
              </w:rPr>
              <w:t>Temas:</w:t>
            </w:r>
            <w:r w:rsidRPr="00F90F8B">
              <w:rPr>
                <w:rFonts w:ascii="Arial" w:eastAsia="Calibri" w:hAnsi="Arial" w:cs="Arial"/>
                <w:noProof/>
                <w:color w:val="000000" w:themeColor="text1"/>
                <w:sz w:val="22"/>
                <w:lang w:val="es-ES"/>
              </w:rPr>
              <w:t xml:space="preserve">           </w:t>
            </w:r>
          </w:p>
          <w:p w14:paraId="0D3A2C97" w14:textId="77777777" w:rsidR="00E011A6" w:rsidRPr="00F90F8B" w:rsidRDefault="00E011A6" w:rsidP="00A12492">
            <w:pPr>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                           </w:t>
            </w:r>
          </w:p>
        </w:tc>
        <w:tc>
          <w:tcPr>
            <w:tcW w:w="6237" w:type="dxa"/>
            <w:hideMark/>
          </w:tcPr>
          <w:p w14:paraId="0BCD50EF" w14:textId="142B0B96" w:rsidR="00E011A6" w:rsidRPr="00F90F8B" w:rsidRDefault="00E011A6" w:rsidP="00B0781D">
            <w:pPr>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DECRETO 092 DE 2017 – Contrato de colaboración</w:t>
            </w:r>
            <w:r w:rsidR="00B0781D">
              <w:rPr>
                <w:rFonts w:ascii="Arial" w:eastAsia="Calibri" w:hAnsi="Arial" w:cs="Arial"/>
                <w:noProof/>
                <w:color w:val="000000" w:themeColor="text1"/>
                <w:sz w:val="22"/>
                <w:lang w:val="es-ES"/>
              </w:rPr>
              <w:t xml:space="preserve"> / DECRETO 092 DE 2017</w:t>
            </w:r>
            <w:r w:rsidRPr="00F90F8B">
              <w:rPr>
                <w:rFonts w:ascii="Arial" w:eastAsia="Calibri" w:hAnsi="Arial" w:cs="Arial"/>
                <w:noProof/>
                <w:color w:val="000000" w:themeColor="text1"/>
                <w:sz w:val="22"/>
                <w:lang w:val="es-ES"/>
              </w:rPr>
              <w:t xml:space="preserve"> – Convenio de asociación – Definición – Aplicación – Concepto «Gobierno» – Norma particular / </w:t>
            </w:r>
            <w:r w:rsidR="00B0781D" w:rsidRPr="00B0781D">
              <w:rPr>
                <w:rFonts w:ascii="Arial" w:eastAsia="Calibri" w:hAnsi="Arial" w:cs="Arial"/>
                <w:noProof/>
                <w:color w:val="000000" w:themeColor="text1"/>
                <w:sz w:val="22"/>
                <w:lang w:val="es-ES"/>
              </w:rPr>
              <w:t>LEY 2005 DE 2019 – Industria panelera – Regulación / LEY 2005 DE 2019 – Industria Panelera – Actividades – Plan de desarrollo – Decreto 092 de 2017</w:t>
            </w:r>
          </w:p>
        </w:tc>
      </w:tr>
      <w:tr w:rsidR="00E011A6" w:rsidRPr="00F90F8B" w14:paraId="406BD20B" w14:textId="77777777" w:rsidTr="00A12492">
        <w:tc>
          <w:tcPr>
            <w:tcW w:w="2689" w:type="dxa"/>
          </w:tcPr>
          <w:p w14:paraId="38F5AFBD" w14:textId="77777777" w:rsidR="00E011A6" w:rsidRPr="00F90F8B" w:rsidRDefault="00E011A6" w:rsidP="00A12492">
            <w:pPr>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Radicación:</w:t>
            </w:r>
            <w:r w:rsidRPr="00F90F8B">
              <w:rPr>
                <w:rFonts w:ascii="Arial" w:eastAsia="Calibri" w:hAnsi="Arial" w:cs="Arial"/>
                <w:noProof/>
                <w:color w:val="000000" w:themeColor="text1"/>
                <w:sz w:val="22"/>
                <w:lang w:val="es-ES"/>
              </w:rPr>
              <w:t xml:space="preserve">                              </w:t>
            </w:r>
          </w:p>
        </w:tc>
        <w:tc>
          <w:tcPr>
            <w:tcW w:w="6237" w:type="dxa"/>
          </w:tcPr>
          <w:p w14:paraId="4463B6E2" w14:textId="77777777" w:rsidR="00E011A6" w:rsidRPr="00F90F8B" w:rsidRDefault="00E011A6" w:rsidP="00A12492">
            <w:pPr>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Respuesta a consulta # 4202013000001061</w:t>
            </w:r>
          </w:p>
        </w:tc>
      </w:tr>
    </w:tbl>
    <w:p w14:paraId="0365D6F4" w14:textId="2C374FD8" w:rsidR="00E011A6" w:rsidRDefault="00E011A6" w:rsidP="00E011A6">
      <w:pPr>
        <w:jc w:val="both"/>
        <w:rPr>
          <w:rFonts w:ascii="Arial" w:eastAsia="Calibri" w:hAnsi="Arial" w:cs="Arial"/>
          <w:noProof/>
          <w:color w:val="000000" w:themeColor="text1"/>
          <w:sz w:val="22"/>
          <w:lang w:val="es-ES"/>
        </w:rPr>
      </w:pPr>
    </w:p>
    <w:p w14:paraId="74F3F1C7" w14:textId="77777777" w:rsidR="00E011A6" w:rsidRPr="00F90F8B" w:rsidRDefault="00E011A6" w:rsidP="00E011A6">
      <w:pPr>
        <w:rPr>
          <w:rFonts w:ascii="Arial" w:eastAsia="Calibri" w:hAnsi="Arial" w:cs="Arial"/>
          <w:noProof/>
          <w:color w:val="000000" w:themeColor="text1"/>
          <w:sz w:val="22"/>
          <w:lang w:val="es-ES"/>
        </w:rPr>
      </w:pPr>
    </w:p>
    <w:p w14:paraId="4D8F66C3" w14:textId="77777777" w:rsidR="00E011A6" w:rsidRPr="00F90F8B" w:rsidRDefault="00E011A6" w:rsidP="00E011A6">
      <w:pPr>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Estimado señor Mayorga,</w:t>
      </w:r>
    </w:p>
    <w:p w14:paraId="11663044" w14:textId="77777777" w:rsidR="00E011A6" w:rsidRPr="00F90F8B" w:rsidRDefault="00E011A6" w:rsidP="00E011A6">
      <w:pPr>
        <w:rPr>
          <w:rFonts w:ascii="Arial" w:eastAsia="Calibri" w:hAnsi="Arial" w:cs="Arial"/>
          <w:noProof/>
          <w:color w:val="000000" w:themeColor="text1"/>
          <w:sz w:val="22"/>
          <w:lang w:val="es-ES"/>
        </w:rPr>
      </w:pPr>
    </w:p>
    <w:p w14:paraId="185669FC" w14:textId="77777777" w:rsidR="00E011A6" w:rsidRPr="00F90F8B" w:rsidRDefault="00E011A6" w:rsidP="00E011A6">
      <w:pPr>
        <w:spacing w:line="276" w:lineRule="auto"/>
        <w:ind w:right="4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La Agencia Nacional de Contratación Pública - Colombia Compra Eficiente responde su consulta del 14 de febrero de 2020, en ejercicio de la competencia otorgada por el numeral 8 del artículo 11 y el numeral 5 del artículo 3 del Decreto Ley 4170 de 2011. </w:t>
      </w:r>
    </w:p>
    <w:p w14:paraId="0099CA2A" w14:textId="77777777" w:rsidR="00EC6E6B" w:rsidRPr="00F90F8B" w:rsidRDefault="00EC6E6B" w:rsidP="00E011A6">
      <w:pPr>
        <w:spacing w:line="276" w:lineRule="auto"/>
        <w:jc w:val="both"/>
        <w:rPr>
          <w:rFonts w:ascii="Arial" w:eastAsia="Calibri" w:hAnsi="Arial" w:cs="Arial"/>
          <w:noProof/>
          <w:color w:val="000000" w:themeColor="text1"/>
          <w:sz w:val="22"/>
          <w:lang w:val="es-ES"/>
        </w:rPr>
      </w:pPr>
    </w:p>
    <w:p w14:paraId="0B49FB82" w14:textId="77777777" w:rsidR="00E011A6" w:rsidRPr="00F90F8B" w:rsidRDefault="00E011A6" w:rsidP="00E011A6">
      <w:pPr>
        <w:pStyle w:val="Prrafodelista"/>
        <w:tabs>
          <w:tab w:val="left" w:pos="284"/>
        </w:tabs>
        <w:spacing w:line="276" w:lineRule="auto"/>
        <w:ind w:left="0"/>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1. Problema planteado</w:t>
      </w:r>
    </w:p>
    <w:p w14:paraId="30425AA2" w14:textId="77777777" w:rsidR="00E011A6" w:rsidRPr="00F90F8B" w:rsidRDefault="00E011A6" w:rsidP="00E011A6">
      <w:pPr>
        <w:tabs>
          <w:tab w:val="left" w:pos="426"/>
        </w:tabs>
        <w:spacing w:line="276" w:lineRule="auto"/>
        <w:jc w:val="both"/>
        <w:rPr>
          <w:rFonts w:ascii="Arial" w:eastAsia="Calibri" w:hAnsi="Arial" w:cs="Arial"/>
          <w:b/>
          <w:noProof/>
          <w:color w:val="000000" w:themeColor="text1"/>
          <w:sz w:val="22"/>
          <w:lang w:val="es-ES"/>
        </w:rPr>
      </w:pPr>
    </w:p>
    <w:p w14:paraId="7C9BB95D" w14:textId="77777777" w:rsidR="00E011A6" w:rsidRPr="00F90F8B" w:rsidRDefault="00E011A6" w:rsidP="00E011A6">
      <w:pPr>
        <w:tabs>
          <w:tab w:val="left" w:pos="426"/>
        </w:tabs>
        <w:spacing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Usted realiza la siguiente pregunta: ¿El Decreto 092 de 2017 es aplicable a los convenios celebrados directamente en virtud del artículo 13 de la Ley 2005 de 2019?</w:t>
      </w:r>
    </w:p>
    <w:p w14:paraId="7D230DAE" w14:textId="77777777" w:rsidR="00E011A6" w:rsidRPr="00F90F8B" w:rsidRDefault="00E011A6" w:rsidP="00E011A6">
      <w:pPr>
        <w:tabs>
          <w:tab w:val="left" w:pos="426"/>
        </w:tabs>
        <w:spacing w:line="276" w:lineRule="auto"/>
        <w:jc w:val="both"/>
        <w:rPr>
          <w:rFonts w:ascii="Arial" w:eastAsia="Calibri" w:hAnsi="Arial" w:cs="Arial"/>
          <w:noProof/>
          <w:color w:val="000000" w:themeColor="text1"/>
          <w:sz w:val="22"/>
          <w:lang w:val="es-ES"/>
        </w:rPr>
      </w:pPr>
    </w:p>
    <w:p w14:paraId="44D0D7CD" w14:textId="77777777" w:rsidR="00E011A6" w:rsidRPr="00F90F8B" w:rsidRDefault="00E011A6" w:rsidP="00E011A6">
      <w:pPr>
        <w:tabs>
          <w:tab w:val="left" w:pos="426"/>
        </w:tabs>
        <w:spacing w:line="276" w:lineRule="auto"/>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2. Consideraciones</w:t>
      </w:r>
    </w:p>
    <w:p w14:paraId="1AF3BC9A"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13970D5B" w14:textId="77777777" w:rsidR="00E011A6" w:rsidRPr="00F90F8B" w:rsidRDefault="00E011A6" w:rsidP="00E011A6">
      <w:pPr>
        <w:pStyle w:val="Sinespaciado"/>
        <w:tabs>
          <w:tab w:val="left" w:pos="426"/>
        </w:tabs>
        <w:spacing w:line="276" w:lineRule="auto"/>
        <w:jc w:val="both"/>
        <w:rPr>
          <w:rFonts w:ascii="Arial" w:hAnsi="Arial" w:cs="Arial"/>
          <w:b/>
          <w:bCs/>
          <w:noProof/>
          <w:color w:val="000000" w:themeColor="text1"/>
          <w:sz w:val="22"/>
          <w:lang w:val="es-ES"/>
        </w:rPr>
      </w:pPr>
      <w:r w:rsidRPr="00F90F8B">
        <w:rPr>
          <w:rFonts w:ascii="Arial" w:hAnsi="Arial" w:cs="Arial"/>
          <w:b/>
          <w:bCs/>
          <w:noProof/>
          <w:color w:val="000000" w:themeColor="text1"/>
          <w:sz w:val="22"/>
          <w:lang w:val="es-ES"/>
        </w:rPr>
        <w:lastRenderedPageBreak/>
        <w:t>2.1.</w:t>
      </w:r>
      <w:r w:rsidRPr="00F90F8B">
        <w:rPr>
          <w:rFonts w:ascii="Arial" w:hAnsi="Arial" w:cs="Arial"/>
          <w:b/>
          <w:bCs/>
          <w:noProof/>
          <w:color w:val="000000" w:themeColor="text1"/>
          <w:sz w:val="22"/>
          <w:lang w:val="es-ES"/>
        </w:rPr>
        <w:tab/>
        <w:t>Los artículos 355 de la Constitución Política y 96 de la Ley 489 de 1998</w:t>
      </w:r>
    </w:p>
    <w:p w14:paraId="24E81262" w14:textId="77777777" w:rsidR="00E011A6" w:rsidRPr="00F90F8B" w:rsidRDefault="00E011A6" w:rsidP="00E011A6">
      <w:pPr>
        <w:pStyle w:val="Sinespaciado"/>
        <w:tabs>
          <w:tab w:val="left" w:pos="426"/>
        </w:tabs>
        <w:spacing w:line="276" w:lineRule="auto"/>
        <w:jc w:val="both"/>
        <w:rPr>
          <w:rFonts w:ascii="Arial" w:hAnsi="Arial" w:cs="Arial"/>
          <w:b/>
          <w:bCs/>
          <w:i/>
          <w:iCs/>
          <w:noProof/>
          <w:color w:val="000000" w:themeColor="text1"/>
          <w:sz w:val="22"/>
          <w:lang w:val="es-ES"/>
        </w:rPr>
      </w:pPr>
    </w:p>
    <w:p w14:paraId="76160786"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r w:rsidRPr="00F90F8B">
        <w:rPr>
          <w:rFonts w:ascii="Arial" w:hAnsi="Arial" w:cs="Arial"/>
          <w:noProof/>
          <w:color w:val="000000" w:themeColor="text1"/>
          <w:sz w:val="22"/>
          <w:lang w:val="es-ES"/>
        </w:rPr>
        <w:t xml:space="preserve">La Agencia Nacional de Contratación Pública - Colombia Compra Eficiente, </w:t>
      </w:r>
      <w:r w:rsidRPr="00F90F8B">
        <w:rPr>
          <w:rFonts w:ascii="Arial" w:eastAsia="Calibri" w:hAnsi="Arial" w:cs="Arial"/>
          <w:noProof/>
          <w:color w:val="000000" w:themeColor="text1"/>
          <w:sz w:val="22"/>
          <w:lang w:val="es-ES"/>
        </w:rPr>
        <w:t xml:space="preserve">en el concepto con radicado No. C - 070 de 2020, reiterado y desarrollado en los conceptos identificados con radicado No. C - 081 y C - 094 de 2020, estudió la aplicación del Decreto 092 de 2017. La tesis desarrollada se expone a continuación. </w:t>
      </w:r>
    </w:p>
    <w:p w14:paraId="462B9C49" w14:textId="77777777" w:rsidR="00E011A6" w:rsidRPr="00F90F8B" w:rsidRDefault="00E011A6" w:rsidP="00E011A6">
      <w:pPr>
        <w:pStyle w:val="Sinespaciado"/>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90F8B">
        <w:rPr>
          <w:rStyle w:val="Refdenotaalpie"/>
          <w:rFonts w:ascii="Arial" w:hAnsi="Arial" w:cs="Arial"/>
          <w:noProof/>
          <w:color w:val="000000" w:themeColor="text1"/>
          <w:sz w:val="22"/>
          <w:lang w:val="es-ES"/>
        </w:rPr>
        <w:footnoteReference w:id="1"/>
      </w:r>
      <w:r w:rsidRPr="00F90F8B">
        <w:rPr>
          <w:rFonts w:ascii="Arial" w:hAnsi="Arial" w:cs="Arial"/>
          <w:noProof/>
          <w:color w:val="000000" w:themeColor="text1"/>
          <w:sz w:val="22"/>
          <w:lang w:val="es-ES"/>
        </w:rPr>
        <w:t>.</w:t>
      </w:r>
    </w:p>
    <w:p w14:paraId="1217790F" w14:textId="77777777" w:rsidR="00E011A6" w:rsidRPr="00F90F8B" w:rsidRDefault="00E011A6" w:rsidP="00E011A6">
      <w:pPr>
        <w:spacing w:before="120"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Por otra parte, la Ley 489 de 1998, en el artículo 96</w:t>
      </w:r>
      <w:r w:rsidRPr="00F90F8B">
        <w:rPr>
          <w:rStyle w:val="Refdenotaalpie"/>
          <w:rFonts w:ascii="Arial" w:eastAsia="Calibri" w:hAnsi="Arial" w:cs="Arial"/>
          <w:noProof/>
          <w:color w:val="000000" w:themeColor="text1"/>
          <w:sz w:val="22"/>
          <w:lang w:val="es-ES"/>
        </w:rPr>
        <w:footnoteReference w:id="2"/>
      </w:r>
      <w:r w:rsidRPr="00F90F8B">
        <w:rPr>
          <w:rFonts w:ascii="Arial" w:eastAsia="Calibri" w:hAnsi="Arial" w:cs="Arial"/>
          <w:noProof/>
          <w:color w:val="000000" w:themeColor="text1"/>
          <w:sz w:val="22"/>
          <w:lang w:val="es-ES"/>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298BF471" w14:textId="77777777" w:rsidR="00E011A6" w:rsidRPr="00F90F8B" w:rsidRDefault="00E011A6" w:rsidP="00E011A6">
      <w:pPr>
        <w:spacing w:before="120" w:line="276" w:lineRule="auto"/>
        <w:ind w:firstLine="708"/>
        <w:jc w:val="both"/>
        <w:rPr>
          <w:rFonts w:ascii="Arial" w:eastAsia="Calibri" w:hAnsi="Arial" w:cs="Arial"/>
          <w:noProof/>
          <w:color w:val="000000" w:themeColor="text1"/>
          <w:sz w:val="22"/>
          <w:lang w:val="es-ES"/>
        </w:rPr>
      </w:pPr>
      <w:r w:rsidRPr="00F90F8B">
        <w:rPr>
          <w:rFonts w:ascii="Arial" w:hAnsi="Arial" w:cs="Arial"/>
          <w:noProof/>
          <w:color w:val="000000" w:themeColor="text1"/>
          <w:sz w:val="22"/>
          <w:lang w:val="es-ES"/>
        </w:rPr>
        <w:t>El Gobierno nacional, en desarrollo del artículo 355 de la Constitución, expidió el Decreto 092 de 2017, q</w:t>
      </w:r>
      <w:r w:rsidRPr="00F90F8B">
        <w:rPr>
          <w:rFonts w:ascii="Arial" w:eastAsia="Calibri" w:hAnsi="Arial" w:cs="Arial"/>
          <w:noProof/>
          <w:color w:val="000000" w:themeColor="text1"/>
          <w:sz w:val="22"/>
          <w:lang w:val="es-ES"/>
        </w:rPr>
        <w:t xml:space="preserve">ue dispone las reglas para las contrataciones que realicen las entidades con las ESAL. El Decreto regula dos eventos: i) los contratos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2º del Decreto 092 de 2017, mientras que los segundos en los artículos 5, 6, 7 y 8 </w:t>
      </w:r>
      <w:r w:rsidRPr="00F90F8B">
        <w:rPr>
          <w:rFonts w:ascii="Arial" w:eastAsia="Calibri" w:hAnsi="Arial" w:cs="Arial"/>
          <w:i/>
          <w:iCs/>
          <w:noProof/>
          <w:color w:val="000000" w:themeColor="text1"/>
          <w:sz w:val="22"/>
          <w:lang w:val="es-ES"/>
        </w:rPr>
        <w:t>ibidem</w:t>
      </w:r>
      <w:r w:rsidRPr="00F90F8B">
        <w:rPr>
          <w:rFonts w:ascii="Arial" w:eastAsia="Calibri" w:hAnsi="Arial" w:cs="Arial"/>
          <w:noProof/>
          <w:color w:val="000000" w:themeColor="text1"/>
          <w:sz w:val="22"/>
          <w:lang w:val="es-ES"/>
        </w:rPr>
        <w:t xml:space="preserve">. Es </w:t>
      </w:r>
      <w:r w:rsidRPr="00F90F8B">
        <w:rPr>
          <w:rFonts w:ascii="Arial" w:eastAsia="Calibri" w:hAnsi="Arial" w:cs="Arial"/>
          <w:noProof/>
          <w:color w:val="000000" w:themeColor="text1"/>
          <w:sz w:val="22"/>
          <w:lang w:val="es-ES"/>
        </w:rPr>
        <w:lastRenderedPageBreak/>
        <w:t xml:space="preserve">posible diferenciar, pues, los </w:t>
      </w:r>
      <w:r w:rsidRPr="00F90F8B">
        <w:rPr>
          <w:rFonts w:ascii="Arial" w:eastAsia="Calibri" w:hAnsi="Arial" w:cs="Arial"/>
          <w:i/>
          <w:iCs/>
          <w:noProof/>
          <w:color w:val="000000" w:themeColor="text1"/>
          <w:sz w:val="22"/>
          <w:lang w:val="es-ES"/>
        </w:rPr>
        <w:t>convenios de asociación</w:t>
      </w:r>
      <w:r w:rsidRPr="00F90F8B">
        <w:rPr>
          <w:rFonts w:ascii="Arial" w:eastAsia="Calibri" w:hAnsi="Arial" w:cs="Arial"/>
          <w:noProof/>
          <w:color w:val="000000" w:themeColor="text1"/>
          <w:sz w:val="22"/>
          <w:lang w:val="es-ES"/>
        </w:rPr>
        <w:t xml:space="preserve">, regulados en el artículo 5, de los </w:t>
      </w:r>
      <w:r w:rsidRPr="00F90F8B">
        <w:rPr>
          <w:rFonts w:ascii="Arial" w:eastAsia="Calibri" w:hAnsi="Arial" w:cs="Arial"/>
          <w:i/>
          <w:iCs/>
          <w:noProof/>
          <w:color w:val="000000" w:themeColor="text1"/>
          <w:sz w:val="22"/>
          <w:lang w:val="es-ES"/>
        </w:rPr>
        <w:t xml:space="preserve">contratos </w:t>
      </w:r>
      <w:r w:rsidRPr="00F90F8B">
        <w:rPr>
          <w:rFonts w:ascii="Arial" w:eastAsia="Calibri" w:hAnsi="Arial" w:cs="Arial"/>
          <w:noProof/>
          <w:color w:val="000000" w:themeColor="text1"/>
          <w:sz w:val="22"/>
          <w:lang w:val="es-ES"/>
        </w:rPr>
        <w:t>establecidos en el artículo 2 del Decreto 092 de 2017</w:t>
      </w:r>
      <w:r w:rsidRPr="00F90F8B">
        <w:rPr>
          <w:rStyle w:val="Refdenotaalpie"/>
          <w:rFonts w:ascii="Arial" w:eastAsia="Calibri" w:hAnsi="Arial" w:cs="Arial"/>
          <w:noProof/>
          <w:color w:val="000000" w:themeColor="text1"/>
          <w:sz w:val="22"/>
          <w:lang w:val="es-ES"/>
        </w:rPr>
        <w:footnoteReference w:id="3"/>
      </w:r>
      <w:r w:rsidRPr="00F90F8B">
        <w:rPr>
          <w:rFonts w:ascii="Arial" w:eastAsia="Calibri" w:hAnsi="Arial" w:cs="Arial"/>
          <w:noProof/>
          <w:color w:val="000000" w:themeColor="text1"/>
          <w:sz w:val="22"/>
          <w:lang w:val="es-ES"/>
        </w:rPr>
        <w:t xml:space="preserve">. </w:t>
      </w:r>
    </w:p>
    <w:p w14:paraId="792D4B2B" w14:textId="77777777" w:rsidR="00E011A6" w:rsidRPr="00F90F8B" w:rsidRDefault="00E011A6" w:rsidP="00E011A6">
      <w:pPr>
        <w:spacing w:before="120"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Los </w:t>
      </w:r>
      <w:r w:rsidRPr="00F90F8B">
        <w:rPr>
          <w:rFonts w:ascii="Arial" w:eastAsia="Calibri" w:hAnsi="Arial" w:cs="Arial"/>
          <w:i/>
          <w:iCs/>
          <w:noProof/>
          <w:color w:val="000000" w:themeColor="text1"/>
          <w:sz w:val="22"/>
          <w:lang w:val="es-ES"/>
        </w:rPr>
        <w:t xml:space="preserve">contratos del artículo 2 </w:t>
      </w:r>
      <w:r w:rsidRPr="00F90F8B">
        <w:rPr>
          <w:rFonts w:ascii="Arial" w:eastAsia="Calibri" w:hAnsi="Arial" w:cs="Arial"/>
          <w:noProof/>
          <w:color w:val="000000" w:themeColor="text1"/>
          <w:sz w:val="22"/>
          <w:lang w:val="es-ES"/>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 la Ley 80 de 1993. Solo cuando se reúnan estas condiciones será procedente la celebración de estos contratos, de lo contrario se deben aplicar las normas del estatuto de contratación pública, adicionalmente se requiere de autorización previa y expresa del representante legal de la entidad estatal.</w:t>
      </w:r>
    </w:p>
    <w:p w14:paraId="59A9B2B2" w14:textId="77777777" w:rsidR="00E011A6" w:rsidRPr="00F90F8B" w:rsidRDefault="00E011A6" w:rsidP="00E011A6">
      <w:pPr>
        <w:pStyle w:val="Sinespaciado"/>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De otro lado, los </w:t>
      </w:r>
      <w:r w:rsidRPr="00F90F8B">
        <w:rPr>
          <w:rFonts w:ascii="Arial" w:hAnsi="Arial" w:cs="Arial"/>
          <w:i/>
          <w:iCs/>
          <w:noProof/>
          <w:color w:val="000000" w:themeColor="text1"/>
          <w:sz w:val="22"/>
          <w:lang w:val="es-ES"/>
        </w:rPr>
        <w:t>convenios de asociación</w:t>
      </w:r>
      <w:r w:rsidRPr="00F90F8B">
        <w:rPr>
          <w:rFonts w:ascii="Arial" w:hAnsi="Arial" w:cs="Arial"/>
          <w:noProof/>
          <w:color w:val="000000" w:themeColor="text1"/>
          <w:sz w:val="22"/>
          <w:lang w:val="es-E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90F8B">
        <w:rPr>
          <w:rStyle w:val="Refdenotaalpie"/>
          <w:rFonts w:ascii="Arial" w:hAnsi="Arial" w:cs="Arial"/>
          <w:noProof/>
          <w:color w:val="000000" w:themeColor="text1"/>
          <w:sz w:val="22"/>
          <w:lang w:val="es-ES"/>
        </w:rPr>
        <w:footnoteReference w:id="4"/>
      </w:r>
      <w:r w:rsidRPr="00F90F8B">
        <w:rPr>
          <w:rFonts w:ascii="Arial" w:hAnsi="Arial" w:cs="Arial"/>
          <w:noProof/>
          <w:color w:val="000000" w:themeColor="text1"/>
          <w:sz w:val="22"/>
          <w:lang w:val="es-ES"/>
        </w:rPr>
        <w:t>.</w:t>
      </w:r>
    </w:p>
    <w:p w14:paraId="5E393D17" w14:textId="77777777" w:rsidR="00E011A6" w:rsidRPr="00F90F8B" w:rsidRDefault="00E011A6" w:rsidP="00E011A6">
      <w:pPr>
        <w:pStyle w:val="Sinespaciado"/>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54E980CF" w14:textId="77777777" w:rsidR="00E011A6" w:rsidRPr="00F90F8B" w:rsidRDefault="00E011A6" w:rsidP="00E011A6">
      <w:pPr>
        <w:pStyle w:val="Sinespaciado"/>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lastRenderedPageBreak/>
        <w:t>El convenio de asociación no es conmutativo, y por tanto, la entidad no instruye al contratista para desarrollar los programas o actividades previstas, sino que se asocia con él para el cumplimiento de objetivos comunes</w:t>
      </w:r>
      <w:r w:rsidRPr="00F90F8B">
        <w:rPr>
          <w:rStyle w:val="Refdenotaalpie"/>
          <w:rFonts w:ascii="Arial" w:hAnsi="Arial" w:cs="Arial"/>
          <w:noProof/>
          <w:color w:val="000000" w:themeColor="text1"/>
          <w:sz w:val="22"/>
          <w:lang w:val="es-ES"/>
        </w:rPr>
        <w:footnoteReference w:id="5"/>
      </w:r>
      <w:r w:rsidRPr="00F90F8B">
        <w:rPr>
          <w:rFonts w:ascii="Arial" w:hAnsi="Arial" w:cs="Arial"/>
          <w:noProof/>
          <w:color w:val="000000" w:themeColor="text1"/>
          <w:sz w:val="22"/>
          <w:lang w:val="es-ES"/>
        </w:rPr>
        <w:t>.</w:t>
      </w:r>
    </w:p>
    <w:p w14:paraId="1CFF5CCB" w14:textId="77777777" w:rsidR="00E011A6" w:rsidRPr="00F90F8B" w:rsidRDefault="00E011A6" w:rsidP="00E011A6">
      <w:pPr>
        <w:pStyle w:val="Sinespaciado"/>
        <w:spacing w:before="120" w:line="276" w:lineRule="auto"/>
        <w:ind w:firstLine="708"/>
        <w:jc w:val="both"/>
        <w:rPr>
          <w:rFonts w:ascii="Arial" w:eastAsia="Calibri" w:hAnsi="Arial" w:cs="Arial"/>
          <w:noProof/>
          <w:color w:val="000000" w:themeColor="text1"/>
          <w:sz w:val="22"/>
          <w:lang w:val="es-ES"/>
        </w:rPr>
      </w:pPr>
      <w:r w:rsidRPr="00F90F8B">
        <w:rPr>
          <w:rFonts w:ascii="Arial" w:hAnsi="Arial" w:cs="Arial"/>
          <w:noProof/>
          <w:color w:val="000000" w:themeColor="text1"/>
          <w:sz w:val="22"/>
          <w:lang w:val="es-ES"/>
        </w:rPr>
        <w:t>L</w:t>
      </w:r>
      <w:r w:rsidRPr="00F90F8B">
        <w:rPr>
          <w:rFonts w:ascii="Arial" w:eastAsia="Calibri" w:hAnsi="Arial" w:cs="Arial"/>
          <w:noProof/>
          <w:color w:val="000000" w:themeColor="text1"/>
          <w:sz w:val="22"/>
          <w:lang w:val="es-ES"/>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F90F8B">
        <w:rPr>
          <w:rStyle w:val="Refdenotaalpie"/>
          <w:rFonts w:ascii="Arial" w:eastAsia="Calibri" w:hAnsi="Arial" w:cs="Arial"/>
          <w:noProof/>
          <w:color w:val="000000" w:themeColor="text1"/>
          <w:sz w:val="22"/>
          <w:lang w:val="es-ES"/>
        </w:rPr>
        <w:footnoteReference w:id="6"/>
      </w:r>
      <w:r w:rsidRPr="00F90F8B">
        <w:rPr>
          <w:rFonts w:ascii="Arial" w:eastAsia="Calibri" w:hAnsi="Arial" w:cs="Arial"/>
          <w:noProof/>
          <w:color w:val="000000" w:themeColor="text1"/>
          <w:sz w:val="22"/>
          <w:lang w:val="es-ES"/>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90F8B">
        <w:rPr>
          <w:rStyle w:val="Refdenotaalpie"/>
          <w:rFonts w:ascii="Arial" w:eastAsia="Calibri" w:hAnsi="Arial" w:cs="Arial"/>
          <w:noProof/>
          <w:color w:val="000000" w:themeColor="text1"/>
          <w:sz w:val="22"/>
          <w:lang w:val="es-ES"/>
        </w:rPr>
        <w:footnoteReference w:id="7"/>
      </w:r>
      <w:r w:rsidRPr="00F90F8B">
        <w:rPr>
          <w:rFonts w:ascii="Arial" w:eastAsia="Calibri" w:hAnsi="Arial" w:cs="Arial"/>
          <w:noProof/>
          <w:color w:val="000000" w:themeColor="text1"/>
          <w:sz w:val="22"/>
          <w:lang w:val="es-ES"/>
        </w:rPr>
        <w:t>.</w:t>
      </w:r>
    </w:p>
    <w:p w14:paraId="0B979830" w14:textId="77777777" w:rsidR="00E011A6" w:rsidRPr="00F90F8B" w:rsidRDefault="00E011A6" w:rsidP="00E011A6">
      <w:pPr>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La noción «seleccionar de forma objetiva», contenida en la disposición </w:t>
      </w:r>
      <w:r w:rsidRPr="00F90F8B">
        <w:rPr>
          <w:rFonts w:ascii="Arial" w:hAnsi="Arial" w:cs="Arial"/>
          <w:i/>
          <w:iCs/>
          <w:noProof/>
          <w:color w:val="000000" w:themeColor="text1"/>
          <w:sz w:val="22"/>
          <w:lang w:val="es-ES"/>
        </w:rPr>
        <w:t xml:space="preserve">sub examine </w:t>
      </w:r>
      <w:r w:rsidRPr="00F90F8B">
        <w:rPr>
          <w:rFonts w:ascii="Arial" w:hAnsi="Arial" w:cs="Arial"/>
          <w:noProof/>
          <w:color w:val="000000" w:themeColor="text1"/>
          <w:sz w:val="22"/>
          <w:lang w:val="es-E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w:t>
      </w:r>
      <w:r w:rsidRPr="00F90F8B">
        <w:rPr>
          <w:rFonts w:ascii="Arial" w:hAnsi="Arial" w:cs="Arial"/>
          <w:noProof/>
          <w:color w:val="000000" w:themeColor="text1"/>
          <w:sz w:val="22"/>
          <w:lang w:val="es-ES"/>
        </w:rPr>
        <w:lastRenderedPageBreak/>
        <w:t>Idoneidad», elaborada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092 de 2017.</w:t>
      </w:r>
    </w:p>
    <w:p w14:paraId="51B62501" w14:textId="77777777" w:rsidR="00E011A6" w:rsidRPr="00F90F8B" w:rsidRDefault="00E011A6" w:rsidP="00E011A6">
      <w:pPr>
        <w:spacing w:before="120" w:after="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53B680B6" w14:textId="77777777" w:rsidR="00E011A6" w:rsidRPr="00F90F8B" w:rsidRDefault="00E011A6" w:rsidP="00E011A6">
      <w:pPr>
        <w:pStyle w:val="Sinespaciado"/>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F90F8B">
        <w:rPr>
          <w:rStyle w:val="Refdenotaalpie"/>
          <w:rFonts w:ascii="Arial" w:hAnsi="Arial" w:cs="Arial"/>
          <w:noProof/>
          <w:color w:val="000000" w:themeColor="text1"/>
          <w:sz w:val="22"/>
          <w:lang w:val="es-ES"/>
        </w:rPr>
        <w:footnoteReference w:id="8"/>
      </w:r>
      <w:r w:rsidRPr="00F90F8B">
        <w:rPr>
          <w:rFonts w:ascii="Arial" w:hAnsi="Arial" w:cs="Arial"/>
          <w:noProof/>
          <w:color w:val="000000" w:themeColor="text1"/>
          <w:sz w:val="22"/>
          <w:lang w:val="es-ES"/>
        </w:rPr>
        <w:t>. Así lo consideró el Consejo de Estado</w:t>
      </w:r>
      <w:r w:rsidRPr="00F90F8B">
        <w:rPr>
          <w:rStyle w:val="Refdenotaalpie"/>
          <w:rFonts w:ascii="Arial" w:hAnsi="Arial" w:cs="Arial"/>
          <w:noProof/>
          <w:color w:val="000000" w:themeColor="text1"/>
          <w:sz w:val="22"/>
          <w:lang w:val="es-ES"/>
        </w:rPr>
        <w:footnoteReference w:id="9"/>
      </w:r>
      <w:r w:rsidRPr="00F90F8B">
        <w:rPr>
          <w:rFonts w:ascii="Arial" w:hAnsi="Arial" w:cs="Arial"/>
          <w:noProof/>
          <w:color w:val="000000" w:themeColor="text1"/>
          <w:sz w:val="22"/>
          <w:lang w:val="es-ES"/>
        </w:rPr>
        <w:t>:</w:t>
      </w:r>
    </w:p>
    <w:p w14:paraId="1B74AECB" w14:textId="77777777" w:rsidR="00E011A6" w:rsidRPr="00F90F8B" w:rsidRDefault="00E011A6" w:rsidP="00E011A6">
      <w:pPr>
        <w:pStyle w:val="Sinespaciado"/>
        <w:spacing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b/>
      </w:r>
    </w:p>
    <w:p w14:paraId="66627211"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69BEEB96"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p>
    <w:p w14:paraId="5C60CB88"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w:t>
      </w:r>
      <w:r w:rsidRPr="00F90F8B">
        <w:rPr>
          <w:rFonts w:ascii="Arial" w:eastAsia="Calibri" w:hAnsi="Arial" w:cs="Arial"/>
          <w:noProof/>
          <w:color w:val="000000" w:themeColor="text1"/>
          <w:sz w:val="21"/>
          <w:szCs w:val="21"/>
          <w:lang w:val="es-ES"/>
        </w:rPr>
        <w:lastRenderedPageBreak/>
        <w:t>disposiciones contractuales vigentes, como sería por ejemplo, contratos de prestación de servicios o de obra pública.</w:t>
      </w:r>
    </w:p>
    <w:p w14:paraId="086D0BC8"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5A69B64C" w14:textId="77777777" w:rsidR="00E011A6" w:rsidRPr="00F90F8B" w:rsidRDefault="00E011A6" w:rsidP="00E011A6">
      <w:pPr>
        <w:spacing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De acuerdo con lo anterior, no todas las actividades que las entidades deben desarrollar para alcanzar sus objetivos misionales deben ejecutarse a través de la celebración de contratos de colaboración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donde sostuvo lo siguiente:</w:t>
      </w:r>
    </w:p>
    <w:p w14:paraId="248355C1" w14:textId="77777777" w:rsidR="00E011A6" w:rsidRPr="00F90F8B" w:rsidRDefault="00E011A6" w:rsidP="00E011A6">
      <w:pPr>
        <w:spacing w:line="276" w:lineRule="auto"/>
        <w:ind w:firstLine="708"/>
        <w:jc w:val="both"/>
        <w:rPr>
          <w:rFonts w:ascii="Arial" w:eastAsia="Calibri" w:hAnsi="Arial" w:cs="Arial"/>
          <w:noProof/>
          <w:color w:val="000000" w:themeColor="text1"/>
          <w:sz w:val="22"/>
          <w:lang w:val="es-ES"/>
        </w:rPr>
      </w:pPr>
    </w:p>
    <w:p w14:paraId="5D7DA647" w14:textId="77777777" w:rsidR="00E011A6" w:rsidRPr="00F90F8B" w:rsidRDefault="00E011A6" w:rsidP="00E011A6">
      <w:pPr>
        <w:ind w:left="709"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3860D17A" w14:textId="77777777" w:rsidR="00E011A6" w:rsidRPr="00F90F8B" w:rsidRDefault="00E011A6" w:rsidP="00E011A6">
      <w:pPr>
        <w:ind w:left="709" w:right="709"/>
        <w:jc w:val="both"/>
        <w:rPr>
          <w:rFonts w:ascii="Arial" w:eastAsia="Calibri" w:hAnsi="Arial" w:cs="Arial"/>
          <w:noProof/>
          <w:color w:val="000000" w:themeColor="text1"/>
          <w:sz w:val="21"/>
          <w:szCs w:val="21"/>
          <w:lang w:val="es-ES"/>
        </w:rPr>
      </w:pPr>
    </w:p>
    <w:p w14:paraId="75510D6F" w14:textId="77777777" w:rsidR="00E011A6" w:rsidRPr="00F90F8B" w:rsidRDefault="00E011A6" w:rsidP="00E011A6">
      <w:pPr>
        <w:ind w:left="709" w:right="709"/>
        <w:jc w:val="both"/>
        <w:rPr>
          <w:rFonts w:ascii="Arial" w:eastAsia="Calibri" w:hAnsi="Arial" w:cs="Arial"/>
          <w:noProof/>
          <w:color w:val="000000" w:themeColor="text1"/>
          <w:sz w:val="21"/>
          <w:szCs w:val="21"/>
          <w:lang w:val="es-ES"/>
        </w:rPr>
      </w:pPr>
      <w:r w:rsidRPr="00F90F8B">
        <w:rPr>
          <w:rFonts w:ascii="Arial" w:eastAsia="Calibri" w:hAnsi="Arial" w:cs="Arial"/>
          <w:i/>
          <w:iCs/>
          <w:noProof/>
          <w:color w:val="000000" w:themeColor="text1"/>
          <w:sz w:val="21"/>
          <w:szCs w:val="21"/>
          <w:lang w:val="es-ES"/>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F90F8B">
        <w:rPr>
          <w:rFonts w:ascii="Arial" w:eastAsia="Calibri" w:hAnsi="Arial" w:cs="Arial"/>
          <w:noProof/>
          <w:color w:val="000000" w:themeColor="text1"/>
          <w:sz w:val="21"/>
          <w:szCs w:val="21"/>
          <w:lang w:val="es-ES"/>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Pr="00F90F8B">
        <w:rPr>
          <w:rStyle w:val="Refdenotaalpie"/>
          <w:rFonts w:ascii="Arial" w:eastAsia="Calibri" w:hAnsi="Arial" w:cs="Arial"/>
          <w:noProof/>
          <w:color w:val="000000" w:themeColor="text1"/>
          <w:sz w:val="21"/>
          <w:szCs w:val="21"/>
          <w:lang w:val="es-ES"/>
        </w:rPr>
        <w:footnoteReference w:id="10"/>
      </w:r>
      <w:r w:rsidRPr="00F90F8B">
        <w:rPr>
          <w:rFonts w:ascii="Arial" w:eastAsia="Calibri" w:hAnsi="Arial" w:cs="Arial"/>
          <w:noProof/>
          <w:color w:val="000000" w:themeColor="text1"/>
          <w:sz w:val="21"/>
          <w:szCs w:val="21"/>
          <w:lang w:val="es-ES"/>
        </w:rPr>
        <w:t>. (Cursivas propias)</w:t>
      </w:r>
    </w:p>
    <w:p w14:paraId="417D4C8B"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7EEE35A7"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14:paraId="138D3A9C"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Los convenios de asociación no procuran utilidades para la ESAL, pues en dicho caso se trataría de un contrato en el que se debe remunerar al contratista por los servicios prestados, el cual, por eso mismo, tiene un régimen legal distinto.</w:t>
      </w:r>
    </w:p>
    <w:p w14:paraId="2C0E3EBA" w14:textId="77777777" w:rsidR="00E011A6" w:rsidRPr="00F90F8B" w:rsidRDefault="00E011A6" w:rsidP="00E011A6">
      <w:pPr>
        <w:spacing w:line="276" w:lineRule="auto"/>
        <w:ind w:firstLine="708"/>
        <w:jc w:val="both"/>
        <w:rPr>
          <w:rFonts w:ascii="Arial" w:hAnsi="Arial" w:cs="Arial"/>
          <w:noProof/>
          <w:color w:val="000000" w:themeColor="text1"/>
          <w:sz w:val="22"/>
          <w:lang w:val="es-ES"/>
        </w:rPr>
      </w:pPr>
    </w:p>
    <w:p w14:paraId="3989270F" w14:textId="77777777" w:rsidR="00E011A6" w:rsidRPr="00F90F8B" w:rsidRDefault="00E011A6" w:rsidP="00E011A6">
      <w:pPr>
        <w:spacing w:line="276" w:lineRule="auto"/>
        <w:ind w:firstLine="708"/>
        <w:jc w:val="both"/>
        <w:rPr>
          <w:rFonts w:ascii="Arial" w:hAnsi="Arial" w:cs="Arial"/>
          <w:noProof/>
          <w:color w:val="000000" w:themeColor="text1"/>
          <w:sz w:val="22"/>
          <w:lang w:val="es-ES"/>
        </w:rPr>
      </w:pPr>
    </w:p>
    <w:p w14:paraId="5DAC3AD9" w14:textId="77777777" w:rsidR="00E011A6" w:rsidRPr="00F90F8B" w:rsidRDefault="00E011A6" w:rsidP="00E011A6">
      <w:pPr>
        <w:tabs>
          <w:tab w:val="left" w:pos="426"/>
        </w:tabs>
        <w:spacing w:line="276" w:lineRule="auto"/>
        <w:jc w:val="both"/>
        <w:rPr>
          <w:rFonts w:ascii="Arial" w:hAnsi="Arial" w:cs="Arial"/>
          <w:b/>
          <w:bCs/>
          <w:noProof/>
          <w:color w:val="000000" w:themeColor="text1"/>
          <w:sz w:val="22"/>
          <w:lang w:val="es-ES"/>
        </w:rPr>
      </w:pPr>
      <w:r w:rsidRPr="00F90F8B">
        <w:rPr>
          <w:rFonts w:ascii="Arial" w:hAnsi="Arial" w:cs="Arial"/>
          <w:b/>
          <w:bCs/>
          <w:noProof/>
          <w:color w:val="000000" w:themeColor="text1"/>
          <w:sz w:val="22"/>
          <w:lang w:val="es-ES"/>
        </w:rPr>
        <w:t>2.2.</w:t>
      </w:r>
      <w:r w:rsidRPr="00F90F8B">
        <w:rPr>
          <w:rFonts w:ascii="Arial" w:hAnsi="Arial" w:cs="Arial"/>
          <w:b/>
          <w:bCs/>
          <w:noProof/>
          <w:color w:val="000000" w:themeColor="text1"/>
          <w:sz w:val="22"/>
          <w:lang w:val="es-ES"/>
        </w:rPr>
        <w:tab/>
        <w:t>Ámbito de aplicación del Decreto 092 de 2017</w:t>
      </w:r>
    </w:p>
    <w:p w14:paraId="335A6CDA" w14:textId="77777777" w:rsidR="00E011A6" w:rsidRPr="00F90F8B" w:rsidRDefault="00E011A6" w:rsidP="00E011A6">
      <w:pPr>
        <w:spacing w:line="276" w:lineRule="auto"/>
        <w:jc w:val="both"/>
        <w:rPr>
          <w:rFonts w:ascii="Arial" w:hAnsi="Arial" w:cs="Arial"/>
          <w:b/>
          <w:bCs/>
          <w:noProof/>
          <w:color w:val="000000" w:themeColor="text1"/>
          <w:sz w:val="22"/>
          <w:lang w:val="es-ES"/>
        </w:rPr>
      </w:pPr>
    </w:p>
    <w:p w14:paraId="2F0EAEC1" w14:textId="77777777" w:rsidR="00E011A6" w:rsidRPr="00F90F8B" w:rsidRDefault="00E011A6" w:rsidP="00E011A6">
      <w:pPr>
        <w:spacing w:after="120"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La Agencia Nacional de Contratación Pública―Colombia Compra Eficiente se pronunció sobre el ámbito de aplicación del Decreto 092 de 2017, en el concepto del 12 de diciembre de 2019 ─Radicado No. 2201913000009196─, por lo que en esta ocasión se reiteran dichas consideraciones.</w:t>
      </w:r>
    </w:p>
    <w:p w14:paraId="6152E77F" w14:textId="77777777" w:rsidR="00E011A6" w:rsidRPr="00F90F8B" w:rsidRDefault="00E011A6" w:rsidP="00E011A6">
      <w:pPr>
        <w:spacing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En los antecedentes del Decreto 092 de 2017 se señala que, «[d]e acuerdo con el inciso segundo del artículo 355 de la Constitución Política, el “Gobierno”, en los niveles nacional, departamental, distrital y municipal, podrá, con recursos de los respectivos presupuestos, celebrar contratos con [ESAL] y de reconocida idoneidad con el fin de impulsar programas y actividades de interés público acordes con el Plan Nacional y los planes seccionales de Desarrollo. Con todo, la expresión «Gobierno» no permite establecer cuáles son las entidades habilitadas para celebrar los negocios jurídicos que regula el Decreto 092 de 2017, en la medida en que no es claro si se hace referencia exclusiva al «Gobierno Nacional» o a las entidades que conforman la Rama Ejecutiva, así como tampoco es claro si se hace referencia a las entidades territoriales o a las entidades descentralizadas de este orden. Por esta razón, es necesario analizar el alcance de dicha expresión y, con fundamento en esto, responder la inquietud objeto del presente concepto. </w:t>
      </w:r>
    </w:p>
    <w:p w14:paraId="4487D49E"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La reflexión conduce a examinar, en conjunto, el articulado de la Constitución Política. El artículo 115 ofrece una definición, de conformidad con la cual: «[…] [e]l Gobierno Nacional está formado por el Presidente de la República, los ministros del despacho y los directores de departamentos administrativos. El Presidente y el Ministro o Director de Departamento correspondientes, en cada negocio particular, constituyen el Gobierno […]». Se trata de un concepto especial que no equivale al de «Administración Pública», pues los sujetos que conforman una y otro son diferentes, al punto que la mayoría de las entidades que integran a la «Administración Pública» no pertenecen al «Gobierno Nacional». </w:t>
      </w:r>
    </w:p>
    <w:p w14:paraId="29F4974D"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De admitirse el anterior sentido, esto es que la expresión «Gobierno» del Decreto 092 de 2017 significa «Gobierno Nacional», la suscripción de los negocios jurídicos referidos en el artículo 355 de la Constitución se limitaría a quienes forman parte del Gobierno Nacional, esto es al Presidente, sus ministros y los directores de departamento administrativo. Por lo tanto, ninguna otra entidad de la «Administración Pública», por ejemplo, una descentralizada del nivel central, o una territorial y sus descentralizadas, podría celebrar negocios jurídicos con ESAL, pues, se insiste, los únicos autorizados serían los referidos funcionarios, pero, además, solo podrían hacerlo en forma conjunta, no individualmente, pues es reunidos que forman el «Gobierno Nacional».</w:t>
      </w:r>
    </w:p>
    <w:p w14:paraId="275D4003"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La Corte Constitucional estudió la constitucionalidad del artículo 38, numeral 2, literal f –parcial–, de la Ley 489 de 1998. Para tales fines, distinguió entre «Gobierno» y «Administración Pública», señalando que el primero es la autoridad máxima de la </w:t>
      </w:r>
      <w:r w:rsidRPr="00F90F8B">
        <w:rPr>
          <w:rFonts w:ascii="Arial" w:hAnsi="Arial" w:cs="Arial"/>
          <w:noProof/>
          <w:color w:val="000000" w:themeColor="text1"/>
          <w:sz w:val="22"/>
          <w:lang w:val="es-ES"/>
        </w:rPr>
        <w:lastRenderedPageBreak/>
        <w:t xml:space="preserve">Administración Pública, y reiterando lo dicho, en el sentido de que no todas las entidades que hacen parte de esta conforman el «Gobierno»: </w:t>
      </w:r>
    </w:p>
    <w:p w14:paraId="3F6D812A"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67010C6F" w14:textId="77777777" w:rsidR="00E011A6" w:rsidRPr="00F90F8B" w:rsidRDefault="00E011A6" w:rsidP="00E011A6">
      <w:pPr>
        <w:ind w:left="708" w:right="758"/>
        <w:jc w:val="both"/>
        <w:rPr>
          <w:rFonts w:ascii="Arial" w:hAnsi="Arial" w:cs="Arial"/>
          <w:noProof/>
          <w:color w:val="000000" w:themeColor="text1"/>
          <w:sz w:val="21"/>
          <w:szCs w:val="21"/>
          <w:lang w:val="es-ES"/>
        </w:rPr>
      </w:pPr>
      <w:r w:rsidRPr="00F90F8B">
        <w:rPr>
          <w:rFonts w:ascii="Arial" w:hAnsi="Arial" w:cs="Arial"/>
          <w:noProof/>
          <w:color w:val="000000" w:themeColor="text1"/>
          <w:sz w:val="21"/>
          <w:szCs w:val="21"/>
          <w:lang w:val="es-ES"/>
        </w:rPr>
        <w:t>Este plexo de normas superiores exige a la Corte estudiar si es posible entender que la Constitución distingue entre los conceptos de Rama Ejecutiva, Gobierno y Administración Pública. Sobre el particular encuentra lo siguiente:</w:t>
      </w:r>
    </w:p>
    <w:p w14:paraId="2E46F8E9" w14:textId="77777777" w:rsidR="00E011A6" w:rsidRPr="00F90F8B" w:rsidRDefault="00E011A6" w:rsidP="00E011A6">
      <w:pPr>
        <w:ind w:left="708" w:right="758"/>
        <w:jc w:val="both"/>
        <w:rPr>
          <w:rFonts w:ascii="Arial" w:hAnsi="Arial" w:cs="Arial"/>
          <w:noProof/>
          <w:color w:val="000000" w:themeColor="text1"/>
          <w:sz w:val="21"/>
          <w:szCs w:val="21"/>
          <w:lang w:val="es-ES"/>
        </w:rPr>
      </w:pPr>
    </w:p>
    <w:p w14:paraId="73C7BC69" w14:textId="77777777" w:rsidR="00E011A6" w:rsidRPr="00F90F8B" w:rsidRDefault="00E011A6" w:rsidP="00E011A6">
      <w:pPr>
        <w:ind w:left="708" w:right="758"/>
        <w:jc w:val="both"/>
        <w:rPr>
          <w:rFonts w:ascii="Arial" w:hAnsi="Arial" w:cs="Arial"/>
          <w:noProof/>
          <w:color w:val="000000" w:themeColor="text1"/>
          <w:sz w:val="21"/>
          <w:szCs w:val="21"/>
          <w:lang w:val="es-ES"/>
        </w:rPr>
      </w:pPr>
      <w:r w:rsidRPr="00F90F8B">
        <w:rPr>
          <w:rFonts w:ascii="Arial" w:hAnsi="Arial" w:cs="Arial"/>
          <w:noProof/>
          <w:color w:val="000000" w:themeColor="text1"/>
          <w:sz w:val="21"/>
          <w:szCs w:val="21"/>
          <w:lang w:val="es-ES"/>
        </w:rPr>
        <w:t>Del artículo 115 puede inferirse que Gobierno es la cabeza de la Rama Ejecutiva y está conformado de manera general por el Presidente de la República, los ministros del despacho y los directores de departamentos administrativos; no obstante, para «cada negocio particular», el Presidente y el Ministro o Director de Departamento correspondientes constituyen el Gobierno. De esta manera, puede afirmarse que el Gobierno forma parte de la Rama Ejecutiva, como su cabeza, pero que no toda la Rama Ejecutiva conforma el Gobierno.</w:t>
      </w:r>
    </w:p>
    <w:p w14:paraId="50940A12" w14:textId="77777777" w:rsidR="00E011A6" w:rsidRPr="00F90F8B" w:rsidRDefault="00E011A6" w:rsidP="00E011A6">
      <w:pPr>
        <w:ind w:left="708" w:right="758"/>
        <w:jc w:val="both"/>
        <w:rPr>
          <w:rFonts w:ascii="Arial" w:hAnsi="Arial" w:cs="Arial"/>
          <w:noProof/>
          <w:color w:val="000000" w:themeColor="text1"/>
          <w:sz w:val="21"/>
          <w:szCs w:val="21"/>
          <w:lang w:val="es-ES"/>
        </w:rPr>
      </w:pPr>
    </w:p>
    <w:p w14:paraId="5A532D2E" w14:textId="77777777" w:rsidR="00E011A6" w:rsidRPr="00F90F8B" w:rsidRDefault="00E011A6" w:rsidP="00E011A6">
      <w:pPr>
        <w:ind w:left="708" w:right="758"/>
        <w:jc w:val="both"/>
        <w:rPr>
          <w:rFonts w:ascii="Arial" w:hAnsi="Arial" w:cs="Arial"/>
          <w:noProof/>
          <w:color w:val="000000" w:themeColor="text1"/>
          <w:sz w:val="21"/>
          <w:szCs w:val="21"/>
          <w:lang w:val="es-ES"/>
        </w:rPr>
      </w:pPr>
      <w:r w:rsidRPr="00F90F8B">
        <w:rPr>
          <w:rFonts w:ascii="Arial" w:hAnsi="Arial" w:cs="Arial"/>
          <w:noProof/>
          <w:color w:val="000000" w:themeColor="text1"/>
          <w:sz w:val="21"/>
          <w:szCs w:val="21"/>
          <w:lang w:val="es-ES"/>
        </w:rPr>
        <w:t>El concepto de «Gobierno» y su distinción frente a las nociones de «Rama Ejecutiva» o de «Administración Pública» obedece a la índole política de la función propiamente gubernamental; en esta esfera de funciones, el Gobierno ejerce la dirección u orientación de toda la Rama Ejecutiva o de la Administración Pública, es decir, traza los rumbos y las metas hacia los cuales debe dirigirse su actividad. En cambio, las funciones no gubernamentales sino simplemente ejecutivas o administrativas carecen de este acento político. Así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 Administración</w:t>
      </w:r>
      <w:r w:rsidRPr="00F90F8B">
        <w:rPr>
          <w:rStyle w:val="Refdenotaalpie"/>
          <w:rFonts w:ascii="Arial" w:hAnsi="Arial" w:cs="Arial"/>
          <w:noProof/>
          <w:color w:val="000000" w:themeColor="text1"/>
          <w:sz w:val="21"/>
          <w:szCs w:val="21"/>
          <w:lang w:val="es-ES"/>
        </w:rPr>
        <w:footnoteReference w:id="11"/>
      </w:r>
      <w:r w:rsidRPr="00F90F8B">
        <w:rPr>
          <w:rFonts w:ascii="Arial" w:hAnsi="Arial" w:cs="Arial"/>
          <w:noProof/>
          <w:color w:val="000000" w:themeColor="text1"/>
          <w:sz w:val="21"/>
          <w:szCs w:val="21"/>
          <w:lang w:val="es-ES"/>
        </w:rPr>
        <w:t>.</w:t>
      </w:r>
    </w:p>
    <w:p w14:paraId="43F912FB"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 </w:t>
      </w:r>
    </w:p>
    <w:p w14:paraId="4559F5C9" w14:textId="77777777" w:rsidR="00E011A6" w:rsidRPr="00F90F8B" w:rsidRDefault="00E011A6" w:rsidP="00E011A6">
      <w:pPr>
        <w:spacing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Según esta providencia, el concepto «Gobierno» hace referencia al órgano que tiene a cargo la dirección de la «Administración Pública». Sin embargo, el «Gobierno Nacional» solo está conformado por el Presidente de la República, los ministros del despacho y los directores de departamento administrativo, en el ramo respectivo. En ese sentido, las demás entidades de la «Administración Pública», entre ellas las del sector descentralizado, hacen parte de la Rama Ejecutiva pero no del «Gobierno Nacional».</w:t>
      </w:r>
    </w:p>
    <w:p w14:paraId="2736E841"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Esta hipótesis interpretativa, sin embargo, debe descartarse al leer el artículo 1º del Decreto 092 de 2017, pues esta norma establece que las personas que pueden celebrar los negocios jurídicos </w:t>
      </w:r>
      <w:r w:rsidRPr="00F90F8B">
        <w:rPr>
          <w:rFonts w:ascii="Arial" w:hAnsi="Arial" w:cs="Arial"/>
          <w:i/>
          <w:iCs/>
          <w:noProof/>
          <w:color w:val="000000" w:themeColor="text1"/>
          <w:sz w:val="22"/>
          <w:lang w:val="es-ES"/>
        </w:rPr>
        <w:t>sub examine</w:t>
      </w:r>
      <w:r w:rsidRPr="00F90F8B">
        <w:rPr>
          <w:rFonts w:ascii="Arial" w:hAnsi="Arial" w:cs="Arial"/>
          <w:noProof/>
          <w:color w:val="000000" w:themeColor="text1"/>
          <w:sz w:val="22"/>
          <w:lang w:val="es-ES"/>
        </w:rPr>
        <w:t xml:space="preserve"> son todas las que conforman la Rama Ejecutiva, en el entendido que establece que: «[e]l objeto del […] decreto es reglamentar la forma como </w:t>
      </w:r>
      <w:r w:rsidRPr="00F90F8B">
        <w:rPr>
          <w:rFonts w:ascii="Arial" w:hAnsi="Arial" w:cs="Arial"/>
          <w:i/>
          <w:iCs/>
          <w:noProof/>
          <w:color w:val="000000" w:themeColor="text1"/>
          <w:sz w:val="22"/>
          <w:lang w:val="es-ES"/>
        </w:rPr>
        <w:t>el Gobierno nacional, departamental, distrital y municipal</w:t>
      </w:r>
      <w:r w:rsidRPr="00F90F8B">
        <w:rPr>
          <w:rFonts w:ascii="Arial" w:hAnsi="Arial" w:cs="Arial"/>
          <w:noProof/>
          <w:color w:val="000000" w:themeColor="text1"/>
          <w:sz w:val="22"/>
          <w:lang w:val="es-ES"/>
        </w:rPr>
        <w:t xml:space="preserve"> contrata con entidades privadas sin ánimo de lucro y de reconocida idoneidad […]» (cursivas propias). </w:t>
      </w:r>
      <w:r w:rsidRPr="00F90F8B">
        <w:rPr>
          <w:rFonts w:ascii="Arial" w:hAnsi="Arial" w:cs="Arial"/>
          <w:noProof/>
          <w:color w:val="000000" w:themeColor="text1"/>
          <w:sz w:val="22"/>
          <w:lang w:val="es-ES"/>
        </w:rPr>
        <w:lastRenderedPageBreak/>
        <w:t xml:space="preserve">Esto quiere decir que los negocios jurídicos a los que se refiere el artículo 355 de la Constitución pueden ser suscritos, en general, por las entidades que conforman la «Administración Pública», incluidos ─pero no solo─ las que forman el «Gobierno Nacional». </w:t>
      </w:r>
    </w:p>
    <w:p w14:paraId="0078BCFD"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Una razón para considerar que la expresión «Gobierno» no debe asimilarse a la noción «Gobierno Nacional», en los términos del artículo 115 de la Constitución Política, es que dicha interpretación desconoce el texto y la finalidad del artículo 355 </w:t>
      </w:r>
      <w:r w:rsidRPr="00F90F8B">
        <w:rPr>
          <w:rFonts w:ascii="Arial" w:hAnsi="Arial" w:cs="Arial"/>
          <w:i/>
          <w:iCs/>
          <w:noProof/>
          <w:color w:val="000000" w:themeColor="text1"/>
          <w:sz w:val="22"/>
          <w:lang w:val="es-ES"/>
        </w:rPr>
        <w:t>ibidem</w:t>
      </w:r>
      <w:r w:rsidRPr="00F90F8B">
        <w:rPr>
          <w:rFonts w:ascii="Arial" w:hAnsi="Arial" w:cs="Arial"/>
          <w:noProof/>
          <w:color w:val="000000" w:themeColor="text1"/>
          <w:sz w:val="22"/>
          <w:lang w:val="es-ES"/>
        </w:rPr>
        <w:t xml:space="preserve">, pues esta última disposición, al referirse al «Gobierno», menciona los niveles nacional, departamental, distrital y municipal. Dicha lectura, entonces, restaría el ámbito de aplicación del artículo constitucional que permite celebrar negocios con las ESAL. Además, si la intención del constituyente fuera restringir estos negocios al «Gobierno Nacional», hubiera hecho referencia expresa a este, tal y como lo hizo en el último aparte del segundo inciso del artículo 355 </w:t>
      </w:r>
      <w:r w:rsidRPr="00F90F8B">
        <w:rPr>
          <w:rFonts w:ascii="Arial" w:hAnsi="Arial" w:cs="Arial"/>
          <w:i/>
          <w:iCs/>
          <w:noProof/>
          <w:color w:val="000000" w:themeColor="text1"/>
          <w:sz w:val="22"/>
          <w:lang w:val="es-ES"/>
        </w:rPr>
        <w:t>ejusdem</w:t>
      </w:r>
      <w:r w:rsidRPr="00F90F8B">
        <w:rPr>
          <w:rFonts w:ascii="Arial" w:hAnsi="Arial" w:cs="Arial"/>
          <w:noProof/>
          <w:color w:val="000000" w:themeColor="text1"/>
          <w:sz w:val="22"/>
          <w:lang w:val="es-ES"/>
        </w:rPr>
        <w:t xml:space="preserve">, en el que dispuso expresa y puntualmente que: «[e]l </w:t>
      </w:r>
      <w:r w:rsidRPr="00F90F8B">
        <w:rPr>
          <w:rFonts w:ascii="Arial" w:hAnsi="Arial" w:cs="Arial"/>
          <w:i/>
          <w:iCs/>
          <w:noProof/>
          <w:color w:val="000000" w:themeColor="text1"/>
          <w:sz w:val="22"/>
          <w:lang w:val="es-ES"/>
        </w:rPr>
        <w:t>Gobierno Nacional</w:t>
      </w:r>
      <w:r w:rsidRPr="00F90F8B">
        <w:rPr>
          <w:rFonts w:ascii="Arial" w:hAnsi="Arial" w:cs="Arial"/>
          <w:noProof/>
          <w:color w:val="000000" w:themeColor="text1"/>
          <w:sz w:val="22"/>
          <w:lang w:val="es-ES"/>
        </w:rPr>
        <w:t xml:space="preserve"> reglamentará la materia» (Cursivas propias).</w:t>
      </w:r>
    </w:p>
    <w:p w14:paraId="32F6F24E"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Tampoco es posible entender que la expresión «Gobierno Nacional» se aplique por analogía al nivel territorial, para concluir que el alcalde y el gobernador junto con el Secretario de Despacho respectivo, constituyan ese órgano. Definitivamente no existe un equivalente semejante a nivel territorial. Sin embargo, si en gracia de discusión lo hubiera, tampoco sería adecuado aplicarlo para efectos de interpretar el artículo 355 de la Constitución porque, se insiste, ello desconocería su texto y su finalidad.</w:t>
      </w:r>
    </w:p>
    <w:p w14:paraId="46BA5D3F"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La Corte Constitucional, en la sentencia C-011 de 1994, expresó que la interpretación de las normas jurídicas le impone al operador jurídico evitar seguir el entendimiento que conduzca al absurdo o a ideas contrarias a su finalidad, sino que se debe buscar «el sentido razonable de la disposición dentro de un contexto global del ordenamiento jurídico-constitucional conforme a una interpretación sistemática- finalística». En ese contexto,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 según las limitaciones y exigencias legales analizadas en el numeral 2.1. </w:t>
      </w:r>
      <w:r w:rsidRPr="00F90F8B">
        <w:rPr>
          <w:rFonts w:ascii="Arial" w:hAnsi="Arial" w:cs="Arial"/>
          <w:i/>
          <w:iCs/>
          <w:noProof/>
          <w:color w:val="000000" w:themeColor="text1"/>
          <w:sz w:val="22"/>
          <w:lang w:val="es-ES"/>
        </w:rPr>
        <w:t>supra</w:t>
      </w:r>
      <w:r w:rsidRPr="00F90F8B">
        <w:rPr>
          <w:rFonts w:ascii="Arial" w:hAnsi="Arial" w:cs="Arial"/>
          <w:noProof/>
          <w:color w:val="000000" w:themeColor="text1"/>
          <w:sz w:val="22"/>
          <w:lang w:val="es-ES"/>
        </w:rPr>
        <w:t xml:space="preserve">.  </w:t>
      </w:r>
    </w:p>
    <w:p w14:paraId="76982717"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Fue por todo lo anterior, que en el Decreto 092 de 2017 se entendió ─como también se hizo en la «Guía para la contratación con entidades privadas sin ánimo de lucro y de reconocida idoneidad», expedida por Colombia Compra Eficiente─, que la expresión «Gobierno» en realidad se refiere a todas las entidades estatales que forman parte de la Rama Ejecutiva del poder público, en todos los órdenes y niveles ─nacional, departamental, distrital y municipal─. En efecto, la referida Guía expresa:</w:t>
      </w:r>
    </w:p>
    <w:p w14:paraId="4620A6C6" w14:textId="77777777" w:rsidR="00E011A6" w:rsidRPr="00F90F8B" w:rsidRDefault="00E011A6" w:rsidP="00E011A6">
      <w:pPr>
        <w:spacing w:before="120"/>
        <w:ind w:left="709" w:right="758"/>
        <w:jc w:val="both"/>
        <w:rPr>
          <w:rFonts w:ascii="Arial" w:hAnsi="Arial" w:cs="Arial"/>
          <w:noProof/>
          <w:color w:val="000000" w:themeColor="text1"/>
          <w:sz w:val="21"/>
          <w:szCs w:val="21"/>
          <w:lang w:val="es-ES"/>
        </w:rPr>
      </w:pPr>
    </w:p>
    <w:p w14:paraId="6DAAD8DD" w14:textId="77777777" w:rsidR="00E011A6" w:rsidRPr="00F90F8B" w:rsidRDefault="00E011A6" w:rsidP="00E011A6">
      <w:pPr>
        <w:ind w:left="709" w:right="760"/>
        <w:jc w:val="both"/>
        <w:rPr>
          <w:rFonts w:ascii="Arial" w:hAnsi="Arial" w:cs="Arial"/>
          <w:noProof/>
          <w:color w:val="000000" w:themeColor="text1"/>
          <w:sz w:val="21"/>
          <w:szCs w:val="21"/>
          <w:lang w:val="es-ES"/>
        </w:rPr>
      </w:pPr>
      <w:r w:rsidRPr="00F90F8B">
        <w:rPr>
          <w:rFonts w:ascii="Arial" w:hAnsi="Arial" w:cs="Arial"/>
          <w:noProof/>
          <w:color w:val="000000" w:themeColor="text1"/>
          <w:sz w:val="21"/>
          <w:szCs w:val="21"/>
          <w:lang w:val="es-ES"/>
        </w:rPr>
        <w:lastRenderedPageBreak/>
        <w:t>El Decreto 092 de 2017 fue expedido en virtud de la autorización contenida en el artículo 355 de la Constitución Política y su aplicación está restringida a: (i) la contratación con ESAL para impulsar programas y actividades de interés público acordes con los respectivos planes de desarrollo y (ii) la contratación a la cual por expresa disposición del legislador le es aplicable este régimen, como el caso del artículo 96 de la Ley 489 de 1998.</w:t>
      </w:r>
    </w:p>
    <w:p w14:paraId="4E4E7572" w14:textId="77777777" w:rsidR="00E011A6" w:rsidRPr="00F90F8B" w:rsidRDefault="00E011A6" w:rsidP="00E011A6">
      <w:pPr>
        <w:ind w:left="709" w:right="760"/>
        <w:jc w:val="both"/>
        <w:rPr>
          <w:rFonts w:ascii="Arial" w:hAnsi="Arial" w:cs="Arial"/>
          <w:noProof/>
          <w:color w:val="000000" w:themeColor="text1"/>
          <w:sz w:val="21"/>
          <w:szCs w:val="21"/>
          <w:lang w:val="es-ES"/>
        </w:rPr>
      </w:pPr>
    </w:p>
    <w:p w14:paraId="32FC6444" w14:textId="77777777" w:rsidR="00E011A6" w:rsidRPr="00F90F8B" w:rsidRDefault="00E011A6" w:rsidP="00E011A6">
      <w:pPr>
        <w:ind w:left="709" w:right="760"/>
        <w:jc w:val="both"/>
        <w:rPr>
          <w:rFonts w:ascii="Arial" w:hAnsi="Arial" w:cs="Arial"/>
          <w:noProof/>
          <w:color w:val="000000" w:themeColor="text1"/>
          <w:sz w:val="21"/>
          <w:szCs w:val="21"/>
          <w:lang w:val="es-ES"/>
        </w:rPr>
      </w:pPr>
      <w:r w:rsidRPr="00F90F8B">
        <w:rPr>
          <w:rFonts w:ascii="Arial" w:hAnsi="Arial" w:cs="Arial"/>
          <w:noProof/>
          <w:color w:val="000000" w:themeColor="text1"/>
          <w:sz w:val="21"/>
          <w:szCs w:val="21"/>
          <w:lang w:val="es-ES"/>
        </w:rPr>
        <w:t>El Decreto 092 de 2017 es aplicable a los contratos entre las Entidades Estatales del gobierno nacional, departamental, distrital o municipal y ESAL independientemente de la denominación que las partes den al acto jurídico y de la parte que tuvo la iniciativa de celebrarlo. […]</w:t>
      </w:r>
    </w:p>
    <w:p w14:paraId="179F53FB" w14:textId="77777777" w:rsidR="00E011A6" w:rsidRPr="00F90F8B" w:rsidRDefault="00E011A6" w:rsidP="00E011A6">
      <w:pPr>
        <w:spacing w:line="276" w:lineRule="auto"/>
        <w:ind w:firstLine="709"/>
        <w:jc w:val="both"/>
        <w:rPr>
          <w:rFonts w:ascii="Arial" w:hAnsi="Arial" w:cs="Arial"/>
          <w:noProof/>
          <w:color w:val="000000" w:themeColor="text1"/>
          <w:sz w:val="22"/>
          <w:lang w:val="es-ES"/>
        </w:rPr>
      </w:pPr>
    </w:p>
    <w:p w14:paraId="56657E67"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A esta conclusión se llega, se reitera, si se tiene en cuenta que el artículo 355 constitucional alude a los distintos niveles territoriales a los que aplica, esto es, al nacional, departamental, distrital y municipal, lo que da cuenta de que la comprensión del ámbito de aplicación del Decreto 092 de 2017 debe ser amplia y finalística y, por ende, que no se puede reducir a la noción «Gobierno Nacional», en los términos del artículo 115 </w:t>
      </w:r>
      <w:r w:rsidRPr="00F90F8B">
        <w:rPr>
          <w:rFonts w:ascii="Arial" w:hAnsi="Arial" w:cs="Arial"/>
          <w:i/>
          <w:iCs/>
          <w:noProof/>
          <w:color w:val="000000" w:themeColor="text1"/>
          <w:sz w:val="22"/>
          <w:lang w:val="es-ES"/>
        </w:rPr>
        <w:t>ibidem</w:t>
      </w:r>
      <w:r w:rsidRPr="00F90F8B">
        <w:rPr>
          <w:rFonts w:ascii="Arial" w:hAnsi="Arial" w:cs="Arial"/>
          <w:noProof/>
          <w:color w:val="000000" w:themeColor="text1"/>
          <w:sz w:val="22"/>
          <w:lang w:val="es-ES"/>
        </w:rPr>
        <w:t xml:space="preserve">. </w:t>
      </w:r>
    </w:p>
    <w:p w14:paraId="0EAF146E"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En el caso de los </w:t>
      </w:r>
      <w:r w:rsidRPr="00F90F8B">
        <w:rPr>
          <w:rFonts w:ascii="Arial" w:hAnsi="Arial" w:cs="Arial"/>
          <w:i/>
          <w:iCs/>
          <w:noProof/>
          <w:color w:val="000000" w:themeColor="text1"/>
          <w:sz w:val="22"/>
          <w:lang w:val="es-ES"/>
        </w:rPr>
        <w:t xml:space="preserve">convenios de asociación </w:t>
      </w:r>
      <w:r w:rsidRPr="00F90F8B">
        <w:rPr>
          <w:rFonts w:ascii="Arial" w:hAnsi="Arial" w:cs="Arial"/>
          <w:noProof/>
          <w:color w:val="000000" w:themeColor="text1"/>
          <w:sz w:val="22"/>
          <w:lang w:val="es-ES"/>
        </w:rPr>
        <w:t xml:space="preserve">esta conclusión se hace más evidente, ya que dicha norma, al referirse a la posibilidad de celebrar dichos negocios jurídicos, se refiere a las entidades públicas de cualquier naturaleza, sin distinguir su «orden administrativo». </w:t>
      </w:r>
    </w:p>
    <w:p w14:paraId="6DAF7FB9"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Finalmente, en relación con la conformación de la «Administración Pública» o Rama Ejecutiva del poder público, la jurisprudencia de la Corte Constitucional ha manifestado que aquella incluye sus organismos, pero no a las demás ramas y órganos autónomos consagrados en la Constitución</w:t>
      </w:r>
      <w:r w:rsidRPr="00F90F8B">
        <w:rPr>
          <w:rFonts w:ascii="Arial" w:hAnsi="Arial" w:cs="Arial"/>
          <w:noProof/>
          <w:color w:val="000000" w:themeColor="text1"/>
          <w:vertAlign w:val="superscript"/>
          <w:lang w:val="es-ES"/>
        </w:rPr>
        <w:footnoteReference w:id="12"/>
      </w:r>
      <w:r w:rsidRPr="00F90F8B">
        <w:rPr>
          <w:rFonts w:ascii="Arial" w:hAnsi="Arial" w:cs="Arial"/>
          <w:noProof/>
          <w:color w:val="000000" w:themeColor="text1"/>
          <w:sz w:val="22"/>
          <w:lang w:val="es-ES"/>
        </w:rPr>
        <w:t xml:space="preserve">. En este sentido, y de acuerdo con los artículos 115 de la Constitución Política, y los artículos 38 y 39 de la Ley 489 de 1998, la «Rama Ejecutiva» está conformada por las entidades y organismos centralizados y descentralizados por servicios, del orden nacional y territorial.  </w:t>
      </w:r>
    </w:p>
    <w:p w14:paraId="00C3CC27"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En conclusión, atendiendo a una interpretación amplia del concepto «Gobierno», las entidades que pueden suscribir los negocios jurídicos a los que se refiere el artículo 355 de la Constitución son las que pertenecen a la Rama Ejecutiva del poder público, independientemente de su régimen general de contratación. En ese sentido, en el ámbito </w:t>
      </w:r>
      <w:r w:rsidRPr="00F90F8B">
        <w:rPr>
          <w:rFonts w:ascii="Arial" w:hAnsi="Arial" w:cs="Arial"/>
          <w:noProof/>
          <w:color w:val="000000" w:themeColor="text1"/>
          <w:sz w:val="22"/>
          <w:lang w:val="es-ES"/>
        </w:rPr>
        <w:lastRenderedPageBreak/>
        <w:t>de aplicación no se encuentran incluidas las demás ramas del poder público, ni los entes autónomos, por lo que no pueden acudir a este régimen de contratación las ramas legislativa y judicial, ni los órganos de control y electoral. Eso fue lo que se quiso decir en el concepto del 12 de diciembre de 2019, dictado en el radicado No. 2201913000009196.</w:t>
      </w:r>
    </w:p>
    <w:p w14:paraId="727BB607" w14:textId="77777777" w:rsidR="00E011A6" w:rsidRPr="00F90F8B" w:rsidRDefault="00E011A6" w:rsidP="00E011A6">
      <w:pPr>
        <w:spacing w:before="120"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Ahora bien, los artículos 38 y 68 de la Ley 489 de 1998 definen las entidades que hacen parte de la rama ejecutiva, indicando, el primero, la composición de la rama ejecutiva, y el segundo las entidades descentralizadas</w:t>
      </w:r>
      <w:r w:rsidRPr="00F90F8B">
        <w:rPr>
          <w:rFonts w:ascii="Arial" w:hAnsi="Arial" w:cs="Arial"/>
          <w:noProof/>
          <w:color w:val="000000" w:themeColor="text1"/>
          <w:vertAlign w:val="superscript"/>
          <w:lang w:val="es-ES"/>
        </w:rPr>
        <w:footnoteReference w:id="13"/>
      </w:r>
      <w:r w:rsidRPr="00F90F8B">
        <w:rPr>
          <w:rFonts w:ascii="Arial" w:hAnsi="Arial" w:cs="Arial"/>
          <w:noProof/>
          <w:color w:val="000000" w:themeColor="text1"/>
          <w:sz w:val="22"/>
          <w:lang w:val="es-ES"/>
        </w:rPr>
        <w:t xml:space="preserve">. Según lo expresado, las entidades que pertenecen son, en el sector central: a) la presidencia de la República; b) la vicepresidencia de la República; c) los consejos superiores de la administración; d) los ministerios y departamentos administrativos y e) las superintendencias y unidades administrativas especiales sin personería jurídica. En el sector descentralizado por servicios:  a) los establecimientos públicos; b) las empresas industriales y comerciales del Estado; c) las superintendencias y las unidades administrativas especiales con personería jurídica; d) </w:t>
      </w:r>
      <w:r w:rsidRPr="00F90F8B">
        <w:rPr>
          <w:rFonts w:ascii="Arial" w:hAnsi="Arial" w:cs="Arial"/>
          <w:i/>
          <w:iCs/>
          <w:noProof/>
          <w:color w:val="000000" w:themeColor="text1"/>
          <w:sz w:val="22"/>
          <w:lang w:val="es-ES"/>
        </w:rPr>
        <w:t>las empresas sociales del Estado</w:t>
      </w:r>
      <w:r w:rsidRPr="00F90F8B">
        <w:rPr>
          <w:rFonts w:ascii="Arial" w:hAnsi="Arial" w:cs="Arial"/>
          <w:noProof/>
          <w:color w:val="000000" w:themeColor="text1"/>
          <w:sz w:val="22"/>
          <w:lang w:val="es-ES"/>
        </w:rPr>
        <w:t xml:space="preserve"> y las empresas oficiales de servicios públicos domiciliarios; e) los institutos científicos y tecnológicos; f) las sociedades públicas y las sociedades de economía mixta y g) las demás entidades administrativas nacionales con personería jurídica que cree, organice o autorice la ley para que formen parte de la Rama Ejecutiva del Poder Público.</w:t>
      </w:r>
    </w:p>
    <w:p w14:paraId="0F031DCA"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Estas son, pues, las entidades públicas habilitadas para suscribir, como contratantes, los negocios jurídicos referidos en el artículo 355 de la Constitución Política.</w:t>
      </w:r>
    </w:p>
    <w:p w14:paraId="059A74FA" w14:textId="77777777" w:rsidR="00E011A6" w:rsidRPr="00F90F8B" w:rsidRDefault="00E011A6" w:rsidP="00E011A6">
      <w:pPr>
        <w:spacing w:line="276" w:lineRule="auto"/>
        <w:ind w:firstLine="709"/>
        <w:jc w:val="both"/>
        <w:rPr>
          <w:rFonts w:ascii="Arial" w:hAnsi="Arial" w:cs="Arial"/>
          <w:noProof/>
          <w:color w:val="000000" w:themeColor="text1"/>
          <w:sz w:val="22"/>
          <w:lang w:val="es-ES"/>
        </w:rPr>
      </w:pPr>
    </w:p>
    <w:p w14:paraId="11863CD7" w14:textId="77777777" w:rsidR="00E011A6" w:rsidRPr="00F90F8B" w:rsidRDefault="00E011A6" w:rsidP="00E011A6">
      <w:pPr>
        <w:spacing w:line="276" w:lineRule="auto"/>
        <w:jc w:val="both"/>
        <w:rPr>
          <w:rFonts w:ascii="Arial" w:hAnsi="Arial" w:cs="Arial"/>
          <w:b/>
          <w:bCs/>
          <w:noProof/>
          <w:color w:val="000000" w:themeColor="text1"/>
          <w:sz w:val="22"/>
          <w:lang w:val="es-ES"/>
        </w:rPr>
      </w:pPr>
      <w:r w:rsidRPr="00F90F8B">
        <w:rPr>
          <w:rFonts w:ascii="Arial" w:hAnsi="Arial" w:cs="Arial"/>
          <w:b/>
          <w:bCs/>
          <w:noProof/>
          <w:color w:val="000000" w:themeColor="text1"/>
          <w:sz w:val="22"/>
          <w:lang w:val="es-ES"/>
        </w:rPr>
        <w:lastRenderedPageBreak/>
        <w:t>2.3. La Ley 2005 de 2019 frente a la aplicación del Decreto 092 de 2017</w:t>
      </w:r>
    </w:p>
    <w:p w14:paraId="65D8C96A" w14:textId="77777777" w:rsidR="00E011A6" w:rsidRPr="00F90F8B" w:rsidRDefault="00E011A6" w:rsidP="00E011A6">
      <w:pPr>
        <w:tabs>
          <w:tab w:val="left" w:pos="426"/>
        </w:tabs>
        <w:spacing w:line="276" w:lineRule="auto"/>
        <w:jc w:val="both"/>
        <w:rPr>
          <w:rFonts w:ascii="Arial" w:hAnsi="Arial" w:cs="Arial"/>
          <w:b/>
          <w:bCs/>
          <w:noProof/>
          <w:color w:val="000000" w:themeColor="text1"/>
          <w:sz w:val="22"/>
          <w:highlight w:val="yellow"/>
          <w:lang w:val="es-ES"/>
        </w:rPr>
      </w:pPr>
    </w:p>
    <w:p w14:paraId="48B3C205" w14:textId="77777777" w:rsidR="00E011A6" w:rsidRPr="00F90F8B" w:rsidRDefault="00E011A6" w:rsidP="00E011A6">
      <w:pPr>
        <w:spacing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La Ley 2005 de 2019 se expidió para promover la industria panelera y sus componentes, como la producción, distribución, comercialización, insumos, entre otros</w:t>
      </w:r>
      <w:r w:rsidRPr="00F90F8B">
        <w:rPr>
          <w:rStyle w:val="Refdenotaalpie"/>
          <w:rFonts w:ascii="Arial" w:hAnsi="Arial" w:cs="Arial"/>
          <w:noProof/>
          <w:color w:val="000000" w:themeColor="text1"/>
          <w:sz w:val="22"/>
          <w:lang w:val="es-ES"/>
        </w:rPr>
        <w:footnoteReference w:id="14"/>
      </w:r>
      <w:r w:rsidRPr="00F90F8B">
        <w:rPr>
          <w:rFonts w:ascii="Arial" w:hAnsi="Arial" w:cs="Arial"/>
          <w:noProof/>
          <w:color w:val="000000" w:themeColor="text1"/>
          <w:sz w:val="22"/>
          <w:lang w:val="es-ES"/>
        </w:rPr>
        <w:t>. La norma se refiere a diversos aspectos relacionados con la panela y su producción, esto es, el trapiche y los descuentos tributarios que se deben aplicar para incentivar el mercado y el consumo de este producto. A su vez, otorga beneficios a los campesinos, artesanos y emprendedores respecto de los costos y también facilidades en el registro sanitario; y dispone que el Gobierno dará apoyo a los pequeños productores, así como la inclusión de la panela en los servicios de cafetería o restaurante de sus entidades. Finalmente, las entidades territoriales deben promover la industria de la panela, con esquemas asociativos locales o regionales para generar economías de escala que permitan la reducción de costos y mayor comercialización.</w:t>
      </w:r>
    </w:p>
    <w:p w14:paraId="332723D7" w14:textId="77777777" w:rsidR="00E011A6" w:rsidRPr="00F90F8B" w:rsidRDefault="00E011A6" w:rsidP="00E011A6">
      <w:pPr>
        <w:spacing w:before="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Sobre su consulta, es necesario analizar el artículo 13, relacionado con actividades incluidas en los planes de desarrollo de las entidades territoriales, para promover la actividad panelera</w:t>
      </w:r>
      <w:r w:rsidRPr="00F90F8B">
        <w:rPr>
          <w:rStyle w:val="Refdenotaalpie"/>
          <w:rFonts w:ascii="Arial" w:hAnsi="Arial" w:cs="Arial"/>
          <w:noProof/>
          <w:color w:val="000000" w:themeColor="text1"/>
          <w:sz w:val="22"/>
          <w:lang w:val="es-ES"/>
        </w:rPr>
        <w:footnoteReference w:id="15"/>
      </w:r>
      <w:r w:rsidRPr="00F90F8B">
        <w:rPr>
          <w:rFonts w:ascii="Arial" w:hAnsi="Arial" w:cs="Arial"/>
          <w:noProof/>
          <w:color w:val="000000" w:themeColor="text1"/>
          <w:sz w:val="22"/>
          <w:lang w:val="es-ES"/>
        </w:rPr>
        <w:t>. Para esto, cada aspecto de la norma se contrastará con las dos formas de contratación reguladas en el Decreto 092 de 2017: i) «contrato del artículo 2»  ̶ Artículos 2 y 4 ̶  y ii) «convenio de asociación»  ̶ Artículo 5 ̶  para determinar sus diferencias y si este decreto les aplica o no.</w:t>
      </w:r>
      <w:r w:rsidRPr="00F90F8B">
        <w:rPr>
          <w:rFonts w:ascii="Arial" w:hAnsi="Arial" w:cs="Arial"/>
          <w:noProof/>
          <w:color w:val="000000" w:themeColor="text1"/>
          <w:sz w:val="22"/>
          <w:lang w:val="es-ES"/>
        </w:rPr>
        <w:tab/>
      </w:r>
    </w:p>
    <w:p w14:paraId="7F96C9C4" w14:textId="77777777" w:rsidR="00E011A6" w:rsidRPr="00F90F8B" w:rsidRDefault="00E011A6" w:rsidP="00E011A6">
      <w:pPr>
        <w:spacing w:before="120" w:after="120" w:line="276" w:lineRule="auto"/>
        <w:ind w:firstLine="709"/>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lastRenderedPageBreak/>
        <w:t>En primer lugar, la norma se dirige a los municipios y departamentos donde se desarrolle la actividad panelera. Esto no es diferente a los sujetos obligados por el Decreto 092 de 2017 en cada forma de contratación regulada allí, ya que para el caso del «contrato del artículo 2», identifica como sujetos a los Gobiernos nacional, departamental, distrital y municipal, por lo cual están incluidos los departamentos y municipios; y el artículo 5 se refiere a «Entidades Estatales» para el «convenio de asociación». Sobre esto es necesario aclarar que el artículo 1 del Decreto 092 de 2017 dispone que las expresiones con mayúscula inicial están definidas en la guía expedida por Colombia Compra Eficiente, para la cual «Entidad Estatal» es: «Los ministerios, departamentos administrativos, y demás instituciones que hacen parte del gobierno nacional, los departamentos, el distrito capital, los distritos y municipios, las demás entidades territoriales creadas por la ley que hacen parte de los gobiernos departamentales, distritales y municipales». Así pues, los municipios y departamentos se encuentran incluidos.</w:t>
      </w:r>
    </w:p>
    <w:p w14:paraId="56C75C2A" w14:textId="77777777" w:rsidR="00E011A6" w:rsidRPr="00F90F8B" w:rsidRDefault="00E011A6" w:rsidP="00E011A6">
      <w:pPr>
        <w:spacing w:before="120"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En segundo lugar, la norma impone el deber de incluir la promoción de la actividad panelera en los planes de desarrollo municipales y departamentales. Esto encuentra relación con el «contrato del artículo 2», puesto que para su celebración exige que su objeto corresponda directamente con programas y actividades de interés público previstas en el Plan Nacional o Seccional de Desarrollo. Respecto del «convenio de asociación», las actividades que se contratan son las relacionadas con las funciones y cometidos que les asigna la ley a las entidades, sin estar relacionadas con su plan de desarrollo.</w:t>
      </w:r>
    </w:p>
    <w:p w14:paraId="392789C1" w14:textId="77777777" w:rsidR="00E011A6" w:rsidRPr="00F90F8B" w:rsidRDefault="00E011A6" w:rsidP="00E011A6">
      <w:pPr>
        <w:spacing w:before="120"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En tercer lugar, sobre las actividades que se deben incluir en el plan de desarrollo, el artículo 13 de la Ley 2005 de 2019 preceptúa que si estas corresponden: i) al comodato de terrenos u otros contratos, ii) para la construcción de plantas procesadoras de mieles paneleras, iii) o para destinar recursos para la construcción, o iv) crear fondos de emprendimiento, </w:t>
      </w:r>
      <w:r w:rsidRPr="00F90F8B">
        <w:rPr>
          <w:rFonts w:ascii="Arial" w:hAnsi="Arial" w:cs="Arial"/>
          <w:i/>
          <w:iCs/>
          <w:noProof/>
          <w:color w:val="000000" w:themeColor="text1"/>
          <w:sz w:val="22"/>
          <w:lang w:val="es-ES"/>
        </w:rPr>
        <w:t>se podrán</w:t>
      </w:r>
      <w:r w:rsidRPr="00F90F8B">
        <w:rPr>
          <w:rFonts w:ascii="Arial" w:hAnsi="Arial" w:cs="Arial"/>
          <w:noProof/>
          <w:color w:val="000000" w:themeColor="text1"/>
          <w:sz w:val="22"/>
          <w:lang w:val="es-ES"/>
        </w:rPr>
        <w:t xml:space="preserve"> celebrar «[...] directamente con las asociaciones de productores de trapiches de economía campesina y/o con federaciones de productores de panela [...]». </w:t>
      </w:r>
    </w:p>
    <w:p w14:paraId="3CDC8A6E" w14:textId="77777777" w:rsidR="00E011A6" w:rsidRPr="00F90F8B" w:rsidRDefault="00E011A6" w:rsidP="00E011A6">
      <w:pPr>
        <w:spacing w:before="120" w:after="120"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b/>
        <w:t xml:space="preserve">Sin embargo, la Ley 2005 de 2019 no crea un régimen jurídico contractual especial para fomentar el sector panelero, sino que introduce la posibilidad de </w:t>
      </w:r>
      <w:r w:rsidRPr="00F90F8B">
        <w:rPr>
          <w:rFonts w:ascii="Arial" w:hAnsi="Arial" w:cs="Arial"/>
          <w:i/>
          <w:iCs/>
          <w:noProof/>
          <w:color w:val="000000" w:themeColor="text1"/>
          <w:sz w:val="22"/>
          <w:lang w:val="es-ES"/>
        </w:rPr>
        <w:t>contratar directamente</w:t>
      </w:r>
      <w:r w:rsidRPr="00F90F8B">
        <w:rPr>
          <w:rFonts w:ascii="Arial" w:hAnsi="Arial" w:cs="Arial"/>
          <w:noProof/>
          <w:color w:val="000000" w:themeColor="text1"/>
          <w:sz w:val="22"/>
          <w:lang w:val="es-ES"/>
        </w:rPr>
        <w:t xml:space="preserve"> a algunos sujetos que se desenvuelven en ese sector, pero sin que sea una obligación de las entidades contratar de esa manera, constituyendo solo una alternativa que dispuso la ley para la promoción y apoyo de los productores de panela. </w:t>
      </w:r>
    </w:p>
    <w:p w14:paraId="73B76537" w14:textId="77777777" w:rsidR="00E011A6" w:rsidRPr="00F90F8B" w:rsidRDefault="00E011A6" w:rsidP="00E011A6">
      <w:pPr>
        <w:spacing w:before="120"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En estos términos, se creó una nueva causal de contratación directa, que se incorpora al régimen general de la contratación pública, es decir, ahora la modalidad de contratación directa, regulada en el numeral 4, artículo 2, de la Ley 1150 de 2007, cuenta con una nueva causal para aplicarla a las actividades relacionadas con la producción de panela.</w:t>
      </w:r>
    </w:p>
    <w:p w14:paraId="5DB2E537" w14:textId="77777777" w:rsidR="00E011A6" w:rsidRPr="00F90F8B" w:rsidRDefault="00E011A6" w:rsidP="00E011A6">
      <w:pPr>
        <w:spacing w:before="120" w:after="120"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lastRenderedPageBreak/>
        <w:tab/>
        <w:t xml:space="preserve">Ahora, se debe aclarar el efecto que esto produce sobre el Decreto 092 de 2017, de acuerdo con el objeto de su consulta. Lo primero que se advierte es que el Decreto citado no es un reglamento de la contratación de las entidades sin ánimo de lucro, porque esta forma de contratación no esta prevista en la ley sino directamente en el artículo 355 de la Constitución Política, lo que le otorga el rango de «Decreto Autónomo o Constitucional», cuya jerarquía se parece bastante a la ley propiamente, aunque no tenga fuerza de ley. </w:t>
      </w:r>
    </w:p>
    <w:p w14:paraId="33106119" w14:textId="77777777" w:rsidR="00E011A6" w:rsidRPr="00F90F8B" w:rsidRDefault="00E011A6" w:rsidP="00E011A6">
      <w:pPr>
        <w:spacing w:before="120" w:after="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Adicionalmente, no es un deber u obligación de las entidades mencionadas en el artículo 13 de la Ley 2005 de 2019 contratar directamente a las asociaciones de productores de trapiches de economía campesina y/o a las federaciones de productores de panela, porque la norma establece claramente que las entidades lo «pueden» hacer de esa manera, pero también «pueden» contratarlas de otra forma, sin que esta regulación obste para ello.</w:t>
      </w:r>
    </w:p>
    <w:p w14:paraId="1669C810" w14:textId="77777777" w:rsidR="00E011A6" w:rsidRPr="00F90F8B" w:rsidRDefault="00E011A6" w:rsidP="00E011A6">
      <w:pPr>
        <w:spacing w:before="120" w:after="120"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b/>
        <w:t>En consecuencia, para contratar a las asociaciones de productores de trapiches de economía campesina y/o a las federaciones de productores de panela, hay tres opciones, por lo menos, en manos de las alcadías y gobernaciones, no así de otra clase de entidades estatales: i) contratarlas directamente, como lo autoriza el artículo 13 de la Ley 2005 de 2019, ii) realizar una licitación u otro proceso convencional de contratación, y iii) aplicar el Decreto 092 de 2017, cuando concurran las condiciones que el exige.</w:t>
      </w:r>
    </w:p>
    <w:p w14:paraId="732CC854" w14:textId="77777777" w:rsidR="00E011A6" w:rsidRPr="00F90F8B" w:rsidRDefault="00E011A6" w:rsidP="00E011A6">
      <w:pPr>
        <w:spacing w:before="120" w:after="120"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ab/>
        <w:t xml:space="preserve">El Decreto 092 de 2017 regula dos tipos de contratos o convenios  ̶ contrato del artículo 2 y convenios de asociación ̶ , y establece las condiciones para cada uno, sin que sea suficiente para aplicar el Decreto estar ante una entidad sin ánimo de lucro y de reconocida idoneidad. Actualmente, las entidades pueden celebrar convenios de asociación en virtud del artículo 5 del Decreto 092 de 2017, pero su objeto debe coincidir con las actividades señaladas en la norma, es decir, el cumplimiento de los cometidos y funciones que les asigna la ley a las entidades. </w:t>
      </w:r>
    </w:p>
    <w:p w14:paraId="180E3967" w14:textId="77777777" w:rsidR="00E011A6" w:rsidRPr="00F90F8B" w:rsidRDefault="00E011A6" w:rsidP="00E011A6">
      <w:pPr>
        <w:spacing w:before="120" w:line="276" w:lineRule="auto"/>
        <w:ind w:firstLine="708"/>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Por consiguiente, si las actividades incluidas en el plan de desarrollo de los municipios y departamentos para la promoción de la actividad panelera, particularmente los contratos para dar en comodato terrenos, construir plantas y crear fondos de emprendimiento, están relacionadas con las funciones de los municipios y departamentos, de acuerdo con el artículo 5 del Decreto 092 de 2017; y si las asociaciones de productores de trapiches de economía campesina y/o con federaciones de productores de panela tienen la calidad de entidad sin ánimo de lucro y de reconocida idoneidad; entonces las entidades tendrían varias alternativas para contratarlas: i) directamente, según el artículo 13 de la Ley 2005 de 2019 y de acuerdo con la modalidad de contratación directa del numeral 4, artículo 2 de la Ley 1150 de 2007, o ii) celebrar un convenio para ejecutar esas actividades para la promoción de la panela, regido por el Decreto 092 de 2017, el cual regula procedimientos competitivos y no competitivos para la celebración.</w:t>
      </w:r>
    </w:p>
    <w:p w14:paraId="74BCD3B2" w14:textId="77777777" w:rsidR="00E011A6" w:rsidRPr="00F90F8B" w:rsidRDefault="00E011A6" w:rsidP="00E011A6">
      <w:pPr>
        <w:tabs>
          <w:tab w:val="left" w:pos="426"/>
        </w:tabs>
        <w:spacing w:line="276" w:lineRule="auto"/>
        <w:jc w:val="both"/>
        <w:rPr>
          <w:rFonts w:ascii="Arial" w:hAnsi="Arial" w:cs="Arial"/>
          <w:b/>
          <w:bCs/>
          <w:noProof/>
          <w:color w:val="000000" w:themeColor="text1"/>
          <w:sz w:val="22"/>
          <w:lang w:val="es-ES"/>
        </w:rPr>
      </w:pPr>
    </w:p>
    <w:p w14:paraId="0B12451C" w14:textId="77777777" w:rsidR="00E011A6" w:rsidRPr="00F90F8B" w:rsidRDefault="00E011A6" w:rsidP="00E011A6">
      <w:pPr>
        <w:tabs>
          <w:tab w:val="left" w:pos="426"/>
        </w:tabs>
        <w:spacing w:line="276" w:lineRule="auto"/>
        <w:jc w:val="both"/>
        <w:rPr>
          <w:rFonts w:ascii="Arial" w:hAnsi="Arial" w:cs="Arial"/>
          <w:b/>
          <w:bCs/>
          <w:noProof/>
          <w:color w:val="000000" w:themeColor="text1"/>
          <w:sz w:val="22"/>
          <w:lang w:val="es-ES"/>
        </w:rPr>
      </w:pPr>
      <w:r w:rsidRPr="00F90F8B">
        <w:rPr>
          <w:rFonts w:ascii="Arial" w:hAnsi="Arial" w:cs="Arial"/>
          <w:b/>
          <w:bCs/>
          <w:noProof/>
          <w:color w:val="000000" w:themeColor="text1"/>
          <w:sz w:val="22"/>
          <w:lang w:val="es-ES"/>
        </w:rPr>
        <w:lastRenderedPageBreak/>
        <w:t>2.4.</w:t>
      </w:r>
      <w:r w:rsidRPr="00F90F8B">
        <w:rPr>
          <w:rFonts w:ascii="Arial" w:hAnsi="Arial" w:cs="Arial"/>
          <w:b/>
          <w:bCs/>
          <w:noProof/>
          <w:color w:val="000000" w:themeColor="text1"/>
          <w:sz w:val="22"/>
          <w:lang w:val="es-ES"/>
        </w:rPr>
        <w:tab/>
        <w:t>Suspensión provisional de algunas normas del Decreto 092 de 2017</w:t>
      </w:r>
    </w:p>
    <w:p w14:paraId="56F1F6F2" w14:textId="77777777" w:rsidR="00E011A6" w:rsidRPr="00F90F8B" w:rsidRDefault="00E011A6" w:rsidP="00E011A6">
      <w:pPr>
        <w:spacing w:line="276" w:lineRule="auto"/>
        <w:jc w:val="both"/>
        <w:rPr>
          <w:rFonts w:ascii="Arial" w:hAnsi="Arial" w:cs="Arial"/>
          <w:b/>
          <w:bCs/>
          <w:noProof/>
          <w:color w:val="000000" w:themeColor="text1"/>
          <w:sz w:val="22"/>
          <w:lang w:val="es-ES"/>
        </w:rPr>
      </w:pPr>
    </w:p>
    <w:p w14:paraId="1B9B8F76" w14:textId="77777777" w:rsidR="00E011A6" w:rsidRPr="00F90F8B" w:rsidRDefault="00E011A6" w:rsidP="00E011A6">
      <w:pPr>
        <w:spacing w:line="276" w:lineRule="auto"/>
        <w:jc w:val="both"/>
        <w:rPr>
          <w:rFonts w:ascii="Arial" w:hAnsi="Arial" w:cs="Arial"/>
          <w:noProof/>
          <w:color w:val="000000" w:themeColor="text1"/>
          <w:sz w:val="22"/>
          <w:lang w:val="es-ES"/>
        </w:rPr>
      </w:pPr>
      <w:r w:rsidRPr="00F90F8B">
        <w:rPr>
          <w:rFonts w:ascii="Arial" w:hAnsi="Arial" w:cs="Arial"/>
          <w:noProof/>
          <w:color w:val="000000" w:themeColor="text1"/>
          <w:sz w:val="22"/>
          <w:lang w:val="es-ES"/>
        </w:rPr>
        <w:t xml:space="preserve">Esta entidad se pronunció respecto de la suspensión provisional del Decreto 092 de 2017, en el concepto No. </w:t>
      </w:r>
      <w:r w:rsidRPr="00F90F8B">
        <w:rPr>
          <w:rFonts w:ascii="Arial" w:eastAsia="Calibri" w:hAnsi="Arial" w:cs="Arial"/>
          <w:noProof/>
          <w:color w:val="000000" w:themeColor="text1"/>
          <w:sz w:val="22"/>
          <w:lang w:val="es-ES"/>
        </w:rPr>
        <w:t>2201913000006512</w:t>
      </w:r>
      <w:r w:rsidRPr="00F90F8B">
        <w:rPr>
          <w:rFonts w:ascii="Arial" w:hAnsi="Arial" w:cs="Arial"/>
          <w:noProof/>
          <w:color w:val="000000" w:themeColor="text1"/>
          <w:sz w:val="22"/>
          <w:lang w:val="es-ES"/>
        </w:rPr>
        <w:t xml:space="preserve"> del 3 de septiembre de 2019, cuyas consideraciones se reiteraron en los conceptos Nos. </w:t>
      </w:r>
      <w:r w:rsidRPr="00F90F8B">
        <w:rPr>
          <w:rFonts w:ascii="Arial" w:eastAsia="Calibri" w:hAnsi="Arial" w:cs="Arial"/>
          <w:noProof/>
          <w:color w:val="000000" w:themeColor="text1"/>
          <w:sz w:val="22"/>
          <w:lang w:val="es-ES"/>
        </w:rPr>
        <w:t xml:space="preserve">2201913000006681 </w:t>
      </w:r>
      <w:r w:rsidRPr="00F90F8B">
        <w:rPr>
          <w:rFonts w:ascii="Arial" w:hAnsi="Arial" w:cs="Arial"/>
          <w:noProof/>
          <w:color w:val="000000" w:themeColor="text1"/>
          <w:sz w:val="22"/>
          <w:lang w:val="es-ES"/>
        </w:rPr>
        <w:t xml:space="preserve">y 4201913000005551 del 9 de septiembre de 2019, 2201913000006843 del 16 de septiembre de 2019, </w:t>
      </w:r>
      <w:r w:rsidRPr="00F90F8B">
        <w:rPr>
          <w:rFonts w:ascii="Arial" w:eastAsia="Calibri" w:hAnsi="Arial" w:cs="Arial"/>
          <w:noProof/>
          <w:color w:val="000000" w:themeColor="text1"/>
          <w:sz w:val="22"/>
          <w:lang w:val="es-ES"/>
        </w:rPr>
        <w:t xml:space="preserve">2201913000009198 del 12 de diciembre de 2019 y 2201913000009567 del 24 de diciembre de 2019. </w:t>
      </w:r>
      <w:r w:rsidRPr="00F90F8B">
        <w:rPr>
          <w:rFonts w:ascii="Arial" w:hAnsi="Arial" w:cs="Arial"/>
          <w:noProof/>
          <w:color w:val="000000" w:themeColor="text1"/>
          <w:sz w:val="22"/>
          <w:lang w:val="es-ES"/>
        </w:rPr>
        <w:t>La tesis propuesta en estos conceptos se expondrá a continuación.</w:t>
      </w:r>
    </w:p>
    <w:p w14:paraId="39DB6AC6" w14:textId="77777777" w:rsidR="00E011A6" w:rsidRPr="00F90F8B" w:rsidRDefault="00E011A6" w:rsidP="00E011A6">
      <w:pPr>
        <w:spacing w:before="120"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El Consejo de Estado, en el Auto del 6 de agosto de 2019 de la Sección Tercera, Subsección A, radicado No. 11001-03-26-000-2018-00113-00 (62.003), Consejero Ponente Carlos Alberto Zambrano Barrera, estudió la solicitud de suspensión provisional</w:t>
      </w:r>
      <w:r w:rsidRPr="00F90F8B">
        <w:rPr>
          <w:rStyle w:val="Refdenotaalpie"/>
          <w:rFonts w:ascii="Arial" w:eastAsia="Calibri" w:hAnsi="Arial" w:cs="Arial"/>
          <w:noProof/>
          <w:color w:val="000000" w:themeColor="text1"/>
          <w:sz w:val="22"/>
          <w:lang w:val="es-ES"/>
        </w:rPr>
        <w:footnoteReference w:id="16"/>
      </w:r>
      <w:r w:rsidRPr="00F90F8B">
        <w:rPr>
          <w:rFonts w:ascii="Arial" w:eastAsia="Calibri" w:hAnsi="Arial" w:cs="Arial"/>
          <w:noProof/>
          <w:color w:val="000000" w:themeColor="text1"/>
          <w:sz w:val="22"/>
          <w:lang w:val="es-ES"/>
        </w:rPr>
        <w:t xml:space="preserve"> del inciso 2 del artículo 1, literales a y c del artículo 2, inciso 5 del artículo 2, inciso 2 del artículo 3, inciso final del artículo 4 y artículo 5 del Decreto 092 de 2017. </w:t>
      </w:r>
    </w:p>
    <w:p w14:paraId="319BFDA8" w14:textId="77777777" w:rsidR="00E011A6" w:rsidRPr="00F90F8B" w:rsidRDefault="00E011A6" w:rsidP="00E011A6">
      <w:pPr>
        <w:spacing w:before="120"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La </w:t>
      </w:r>
      <w:r w:rsidRPr="00F90F8B">
        <w:rPr>
          <w:rFonts w:ascii="Arial" w:eastAsia="Calibri" w:hAnsi="Arial" w:cs="Arial"/>
          <w:i/>
          <w:iCs/>
          <w:noProof/>
          <w:color w:val="000000" w:themeColor="text1"/>
          <w:sz w:val="22"/>
          <w:lang w:val="es-ES"/>
        </w:rPr>
        <w:t>primera</w:t>
      </w:r>
      <w:r w:rsidRPr="00F90F8B">
        <w:rPr>
          <w:rFonts w:ascii="Arial" w:eastAsia="Calibri" w:hAnsi="Arial" w:cs="Arial"/>
          <w:noProof/>
          <w:color w:val="000000" w:themeColor="text1"/>
          <w:sz w:val="22"/>
          <w:lang w:val="es-ES"/>
        </w:rPr>
        <w:t xml:space="preserve"> norma que estudió el Consejo de Estado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F90F8B">
        <w:rPr>
          <w:rStyle w:val="Refdenotaalpie"/>
          <w:rFonts w:ascii="Arial" w:eastAsia="Calibri" w:hAnsi="Arial" w:cs="Arial"/>
          <w:noProof/>
          <w:color w:val="000000" w:themeColor="text1"/>
          <w:sz w:val="22"/>
          <w:lang w:val="es-ES"/>
        </w:rPr>
        <w:footnoteReference w:id="17"/>
      </w:r>
      <w:r w:rsidRPr="00F90F8B">
        <w:rPr>
          <w:rFonts w:ascii="Arial" w:eastAsia="Calibri" w:hAnsi="Arial" w:cs="Arial"/>
          <w:noProof/>
          <w:color w:val="000000" w:themeColor="text1"/>
          <w:sz w:val="22"/>
          <w:lang w:val="es-ES"/>
        </w:rPr>
        <w:t>. Señaló que esta disposición, así como el inciso segundo del artículo 3 del Decreto 092 de 2017</w:t>
      </w:r>
      <w:r w:rsidRPr="00F90F8B">
        <w:rPr>
          <w:rStyle w:val="Refdenotaalpie"/>
          <w:rFonts w:ascii="Arial" w:eastAsia="Calibri" w:hAnsi="Arial" w:cs="Arial"/>
          <w:noProof/>
          <w:color w:val="000000" w:themeColor="text1"/>
          <w:sz w:val="22"/>
          <w:lang w:val="es-ES"/>
        </w:rPr>
        <w:footnoteReference w:id="18"/>
      </w:r>
      <w:r w:rsidRPr="00F90F8B">
        <w:rPr>
          <w:rFonts w:ascii="Arial" w:eastAsia="Calibri" w:hAnsi="Arial" w:cs="Arial"/>
          <w:noProof/>
          <w:color w:val="000000" w:themeColor="text1"/>
          <w:sz w:val="22"/>
          <w:lang w:val="es-ES"/>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485ED3B2"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78EC404F" w14:textId="77777777" w:rsidR="00E011A6" w:rsidRPr="00F90F8B" w:rsidRDefault="00E011A6" w:rsidP="00E011A6">
      <w:pPr>
        <w:tabs>
          <w:tab w:val="left" w:pos="8789"/>
        </w:tabs>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1A6BFF14"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ab/>
      </w:r>
    </w:p>
    <w:p w14:paraId="3C2556CA"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7F7F69E2"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La </w:t>
      </w:r>
      <w:r w:rsidRPr="00F90F8B">
        <w:rPr>
          <w:rFonts w:ascii="Arial" w:eastAsia="Calibri" w:hAnsi="Arial" w:cs="Arial"/>
          <w:i/>
          <w:iCs/>
          <w:noProof/>
          <w:color w:val="000000" w:themeColor="text1"/>
          <w:sz w:val="22"/>
          <w:lang w:val="es-ES"/>
        </w:rPr>
        <w:t>segunda</w:t>
      </w:r>
      <w:r w:rsidRPr="00F90F8B">
        <w:rPr>
          <w:rFonts w:ascii="Arial" w:eastAsia="Calibri" w:hAnsi="Arial" w:cs="Arial"/>
          <w:noProof/>
          <w:color w:val="000000" w:themeColor="text1"/>
          <w:sz w:val="22"/>
          <w:lang w:val="es-ES"/>
        </w:rPr>
        <w:t xml:space="preserve"> norma que analizó el Consejo de Estado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90F8B">
        <w:rPr>
          <w:rStyle w:val="Refdenotaalpie"/>
          <w:rFonts w:ascii="Arial" w:hAnsi="Arial" w:cs="Arial"/>
          <w:noProof/>
          <w:color w:val="000000" w:themeColor="text1"/>
          <w:sz w:val="22"/>
          <w:lang w:val="es-ES"/>
        </w:rPr>
        <w:footnoteReference w:id="19"/>
      </w:r>
      <w:r w:rsidRPr="00F90F8B">
        <w:rPr>
          <w:rFonts w:ascii="Arial" w:eastAsia="Calibri" w:hAnsi="Arial" w:cs="Arial"/>
          <w:noProof/>
          <w:color w:val="000000" w:themeColor="text1"/>
          <w:sz w:val="22"/>
          <w:lang w:val="es-ES"/>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560DEF86"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6FAABB39"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 xml:space="preserve">El aparte acusado exige que el objeto del contrato corresponda directamente a los programas contenidos en los diferentes planes de desarrollo, pero ello, así </w:t>
      </w:r>
      <w:r w:rsidRPr="00F90F8B">
        <w:rPr>
          <w:rFonts w:ascii="Arial" w:eastAsia="Calibri" w:hAnsi="Arial" w:cs="Arial"/>
          <w:noProof/>
          <w:color w:val="000000" w:themeColor="text1"/>
          <w:sz w:val="21"/>
          <w:szCs w:val="21"/>
          <w:lang w:val="es-ES"/>
        </w:rPr>
        <w:lastRenderedPageBreak/>
        <w:t xml:space="preserve">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3DD67DB"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5FE5F0A2" w14:textId="77777777" w:rsidR="00E011A6" w:rsidRPr="00F90F8B" w:rsidRDefault="00E011A6" w:rsidP="00E011A6">
      <w:pPr>
        <w:spacing w:line="276" w:lineRule="auto"/>
        <w:ind w:firstLine="708"/>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134D59E9"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197EF811" w14:textId="77777777" w:rsidR="00E011A6" w:rsidRPr="00F90F8B" w:rsidRDefault="00E011A6" w:rsidP="00E011A6">
      <w:pPr>
        <w:tabs>
          <w:tab w:val="left" w:pos="8080"/>
        </w:tabs>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36FF7566"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 </w:t>
      </w:r>
    </w:p>
    <w:p w14:paraId="0147A000"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w:t>
      </w:r>
    </w:p>
    <w:p w14:paraId="33D1E097"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El Consejo de Estado, en </w:t>
      </w:r>
      <w:r w:rsidRPr="00F90F8B">
        <w:rPr>
          <w:rFonts w:ascii="Arial" w:eastAsia="Calibri" w:hAnsi="Arial" w:cs="Arial"/>
          <w:i/>
          <w:iCs/>
          <w:noProof/>
          <w:color w:val="000000" w:themeColor="text1"/>
          <w:sz w:val="22"/>
          <w:lang w:val="es-ES"/>
        </w:rPr>
        <w:t>tercer</w:t>
      </w:r>
      <w:r w:rsidRPr="00F90F8B">
        <w:rPr>
          <w:rFonts w:ascii="Arial" w:eastAsia="Calibri" w:hAnsi="Arial" w:cs="Arial"/>
          <w:noProof/>
          <w:color w:val="000000" w:themeColor="text1"/>
          <w:sz w:val="22"/>
          <w:lang w:val="es-ES"/>
        </w:rPr>
        <w:t xml:space="preserve"> lugar, examinó el literal c) y el inciso 5 del artículo 2 del Decreto</w:t>
      </w:r>
      <w:r w:rsidRPr="00F90F8B">
        <w:rPr>
          <w:rStyle w:val="Refdenotaalpie"/>
          <w:rFonts w:ascii="Arial" w:eastAsia="Calibri" w:hAnsi="Arial" w:cs="Arial"/>
          <w:noProof/>
          <w:color w:val="000000" w:themeColor="text1"/>
          <w:sz w:val="22"/>
          <w:lang w:val="es-ES"/>
        </w:rPr>
        <w:footnoteReference w:id="20"/>
      </w:r>
      <w:r w:rsidRPr="00F90F8B">
        <w:rPr>
          <w:rFonts w:ascii="Arial" w:eastAsia="Calibri" w:hAnsi="Arial" w:cs="Arial"/>
          <w:noProof/>
          <w:color w:val="000000" w:themeColor="text1"/>
          <w:sz w:val="22"/>
          <w:lang w:val="es-ES"/>
        </w:rPr>
        <w:t xml:space="preserve">, señalando que contraría la norma constitucional al condicionar que los contratos solo se pueden celebrar cuando no exista oferta en el mercado, sometiendo su </w:t>
      </w:r>
      <w:r w:rsidRPr="00F90F8B">
        <w:rPr>
          <w:rFonts w:ascii="Arial" w:eastAsia="Calibri" w:hAnsi="Arial" w:cs="Arial"/>
          <w:noProof/>
          <w:color w:val="000000" w:themeColor="text1"/>
          <w:sz w:val="22"/>
          <w:lang w:val="es-ES"/>
        </w:rPr>
        <w:lastRenderedPageBreak/>
        <w:t xml:space="preserve">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15A1CA5D"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7ADD1807"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0EEFBC9E"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1E23C335" w14:textId="77777777" w:rsidR="00E011A6" w:rsidRPr="00F90F8B" w:rsidRDefault="00E011A6" w:rsidP="00E011A6">
      <w:pPr>
        <w:spacing w:after="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Así las cosas, se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5D047882"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La </w:t>
      </w:r>
      <w:r w:rsidRPr="00F90F8B">
        <w:rPr>
          <w:rFonts w:ascii="Arial" w:eastAsia="Calibri" w:hAnsi="Arial" w:cs="Arial"/>
          <w:i/>
          <w:iCs/>
          <w:noProof/>
          <w:color w:val="000000" w:themeColor="text1"/>
          <w:sz w:val="22"/>
          <w:lang w:val="es-ES"/>
        </w:rPr>
        <w:t>cuarta</w:t>
      </w:r>
      <w:r w:rsidRPr="00F90F8B">
        <w:rPr>
          <w:rFonts w:ascii="Arial" w:eastAsia="Calibri" w:hAnsi="Arial" w:cs="Arial"/>
          <w:noProof/>
          <w:color w:val="000000" w:themeColor="text1"/>
          <w:sz w:val="22"/>
          <w:lang w:val="es-ES"/>
        </w:rPr>
        <w:t xml:space="preserve">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F90F8B">
        <w:rPr>
          <w:rStyle w:val="Refdenotaalpie"/>
          <w:rFonts w:ascii="Arial" w:eastAsia="Calibri" w:hAnsi="Arial" w:cs="Arial"/>
          <w:noProof/>
          <w:color w:val="000000" w:themeColor="text1"/>
          <w:sz w:val="22"/>
          <w:lang w:val="es-ES"/>
        </w:rPr>
        <w:footnoteReference w:id="21"/>
      </w:r>
      <w:r w:rsidRPr="00F90F8B">
        <w:rPr>
          <w:rFonts w:ascii="Arial" w:eastAsia="Calibri" w:hAnsi="Arial" w:cs="Arial"/>
          <w:noProof/>
          <w:color w:val="000000" w:themeColor="text1"/>
          <w:sz w:val="22"/>
          <w:lang w:val="es-ES"/>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0F8FEC2B"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1F63F867" w14:textId="77777777" w:rsidR="00E011A6" w:rsidRPr="00F90F8B" w:rsidRDefault="00E011A6" w:rsidP="00E011A6">
      <w:pPr>
        <w:ind w:left="708"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 xml:space="preserve">Puestas así las cosas, el despacho no encuentra motivo alguno para que se prescinda del proceso de selección cuando se identifique que el programa o actividad de interés público es ofrecido por más de una persona –natural o </w:t>
      </w:r>
      <w:r w:rsidRPr="00F90F8B">
        <w:rPr>
          <w:rFonts w:ascii="Arial" w:eastAsia="Calibri" w:hAnsi="Arial" w:cs="Arial"/>
          <w:noProof/>
          <w:color w:val="000000" w:themeColor="text1"/>
          <w:sz w:val="21"/>
          <w:szCs w:val="21"/>
          <w:lang w:val="es-ES"/>
        </w:rPr>
        <w:lastRenderedPageBreak/>
        <w:t xml:space="preserve">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593D4588"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1EA16280"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304C9826"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En consecuencia, hasta tanto se emita una sentencia definitiva en el proceso reseñado, no es posible aplicar el «beneficio» al que se refiere el inciso tercero del artículo 4 del Decreto 092 de 2017. En estos procesos, entonces, se debe acudir a los criterios aplicables a los otros negocios jurídicos que regula el Decreto 092 de 2017, particularmente las exigencias del artículo 2 </w:t>
      </w:r>
      <w:r w:rsidRPr="00F90F8B">
        <w:rPr>
          <w:rFonts w:ascii="Arial" w:eastAsia="Calibri" w:hAnsi="Arial" w:cs="Arial"/>
          <w:i/>
          <w:iCs/>
          <w:noProof/>
          <w:color w:val="000000" w:themeColor="text1"/>
          <w:sz w:val="22"/>
          <w:lang w:val="es-ES"/>
        </w:rPr>
        <w:t>ibidem</w:t>
      </w:r>
      <w:r w:rsidRPr="00F90F8B">
        <w:rPr>
          <w:rFonts w:ascii="Arial" w:eastAsia="Calibri" w:hAnsi="Arial" w:cs="Arial"/>
          <w:noProof/>
          <w:color w:val="000000" w:themeColor="text1"/>
          <w:sz w:val="22"/>
          <w:lang w:val="es-ES"/>
        </w:rPr>
        <w:t xml:space="preserve">. Incluso, habría lugar a tener en cuenta las exigencias  del inciso 2 del artículo 4 </w:t>
      </w:r>
      <w:r w:rsidRPr="00F90F8B">
        <w:rPr>
          <w:rFonts w:ascii="Arial" w:eastAsia="Calibri" w:hAnsi="Arial" w:cs="Arial"/>
          <w:i/>
          <w:iCs/>
          <w:noProof/>
          <w:color w:val="000000" w:themeColor="text1"/>
          <w:sz w:val="22"/>
          <w:lang w:val="es-ES"/>
        </w:rPr>
        <w:t>íbídem</w:t>
      </w:r>
      <w:r w:rsidRPr="00F90F8B">
        <w:rPr>
          <w:rFonts w:ascii="Arial" w:eastAsia="Calibri" w:hAnsi="Arial" w:cs="Arial"/>
          <w:noProof/>
          <w:color w:val="000000" w:themeColor="text1"/>
          <w:sz w:val="22"/>
          <w:lang w:val="es-ES"/>
        </w:rPr>
        <w:t>, claro está, siempre que se configuren los supuestos de aplicación de dicha normativa, esto es, siempre que «exist[a] más de una entidad sin ánimo de lucro de reconocida idoneidad».</w:t>
      </w:r>
    </w:p>
    <w:p w14:paraId="0575C6DF"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Por último, en </w:t>
      </w:r>
      <w:r w:rsidRPr="00F90F8B">
        <w:rPr>
          <w:rFonts w:ascii="Arial" w:eastAsia="Calibri" w:hAnsi="Arial" w:cs="Arial"/>
          <w:i/>
          <w:iCs/>
          <w:noProof/>
          <w:color w:val="000000" w:themeColor="text1"/>
          <w:sz w:val="22"/>
          <w:lang w:val="es-ES"/>
        </w:rPr>
        <w:t xml:space="preserve">quinto </w:t>
      </w:r>
      <w:r w:rsidRPr="00F90F8B">
        <w:rPr>
          <w:rFonts w:ascii="Arial" w:eastAsia="Calibri" w:hAnsi="Arial" w:cs="Arial"/>
          <w:noProof/>
          <w:color w:val="000000" w:themeColor="text1"/>
          <w:sz w:val="22"/>
          <w:lang w:val="es-ES"/>
        </w:rPr>
        <w:t xml:space="preserve">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125AFD0E"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hAnsi="Arial" w:cs="Arial"/>
          <w:noProof/>
          <w:color w:val="000000" w:themeColor="text1"/>
          <w:sz w:val="22"/>
          <w:lang w:val="es-ES"/>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w:t>
      </w:r>
      <w:r w:rsidRPr="00F90F8B">
        <w:rPr>
          <w:rFonts w:ascii="Arial" w:hAnsi="Arial" w:cs="Arial"/>
          <w:noProof/>
          <w:color w:val="000000" w:themeColor="text1"/>
          <w:sz w:val="22"/>
          <w:lang w:val="es-ES"/>
        </w:rPr>
        <w:lastRenderedPageBreak/>
        <w:t>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47AAC3B9"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Ahora, si se pretende realizar un </w:t>
      </w:r>
      <w:r w:rsidRPr="00F90F8B">
        <w:rPr>
          <w:rFonts w:ascii="Arial" w:eastAsia="Calibri" w:hAnsi="Arial" w:cs="Arial"/>
          <w:i/>
          <w:iCs/>
          <w:noProof/>
          <w:color w:val="000000" w:themeColor="text1"/>
          <w:sz w:val="22"/>
          <w:lang w:val="es-ES"/>
        </w:rPr>
        <w:t>convenio de asociación</w:t>
      </w:r>
      <w:r w:rsidRPr="00F90F8B">
        <w:rPr>
          <w:rFonts w:ascii="Arial" w:eastAsia="Calibri" w:hAnsi="Arial" w:cs="Arial"/>
          <w:noProof/>
          <w:color w:val="000000" w:themeColor="text1"/>
          <w:sz w:val="22"/>
          <w:lang w:val="es-ES"/>
        </w:rPr>
        <w:t xml:space="preserve"> con una ESAL de reconocida idoneidad para cumplir las funciones que la ley les asigna a las entidades públicas, deberá aplicar lo dispuesto en el artículo 5 del Decreto 092 de 2017. </w:t>
      </w:r>
    </w:p>
    <w:p w14:paraId="7D236E8A"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Para los convenios de asociación, como se dijo, el artículo 5 del citado Decreto establece que el proceso para la selección de la ESAL debe estar sujeto a competencia, salvo en aquellos casos en que una entidad sin ánimo de lucro comprometa recursos en dinero por un valor igual o superior al 30% del valor total del convenio</w:t>
      </w:r>
      <w:r w:rsidRPr="00F90F8B">
        <w:rPr>
          <w:rStyle w:val="Refdenotaalpie"/>
          <w:rFonts w:ascii="Arial" w:hAnsi="Arial" w:cs="Arial"/>
          <w:noProof/>
          <w:color w:val="000000" w:themeColor="text1"/>
          <w:sz w:val="20"/>
          <w:szCs w:val="20"/>
          <w:lang w:val="es-ES"/>
        </w:rPr>
        <w:footnoteReference w:id="22"/>
      </w:r>
      <w:r w:rsidRPr="00F90F8B">
        <w:rPr>
          <w:rFonts w:ascii="Arial" w:eastAsia="Calibri" w:hAnsi="Arial" w:cs="Arial"/>
          <w:noProof/>
          <w:color w:val="000000" w:themeColor="text1"/>
          <w:sz w:val="22"/>
          <w:lang w:val="es-ES"/>
        </w:rPr>
        <w:t>, y siempre que la entidad estatal verifique previamente que no existe ninguna otra entidad sin ánimo de lucro que ofrezca aportes iguales o superiores al 30%.</w:t>
      </w:r>
    </w:p>
    <w:p w14:paraId="53549845" w14:textId="77777777" w:rsidR="00E011A6" w:rsidRPr="00F90F8B" w:rsidRDefault="00E011A6" w:rsidP="00E011A6">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Finalmente,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F90F8B">
        <w:rPr>
          <w:rStyle w:val="Refdenotaalpie"/>
          <w:rFonts w:ascii="Arial" w:eastAsia="Calibri" w:hAnsi="Arial" w:cs="Arial"/>
          <w:noProof/>
          <w:color w:val="000000" w:themeColor="text1"/>
          <w:sz w:val="22"/>
          <w:lang w:val="es-ES"/>
        </w:rPr>
        <w:footnoteReference w:id="23"/>
      </w:r>
      <w:r w:rsidRPr="00F90F8B">
        <w:rPr>
          <w:rFonts w:ascii="Arial" w:eastAsia="Calibri" w:hAnsi="Arial" w:cs="Arial"/>
          <w:noProof/>
          <w:color w:val="000000" w:themeColor="text1"/>
          <w:sz w:val="22"/>
          <w:lang w:val="es-ES"/>
        </w:rPr>
        <w:t xml:space="preserve">. </w:t>
      </w:r>
    </w:p>
    <w:p w14:paraId="6F627DE2" w14:textId="77777777" w:rsidR="00E011A6" w:rsidRPr="00F90F8B" w:rsidRDefault="00E011A6" w:rsidP="00E011A6">
      <w:pPr>
        <w:spacing w:line="276" w:lineRule="auto"/>
        <w:jc w:val="both"/>
        <w:rPr>
          <w:rFonts w:ascii="Arial" w:eastAsia="Calibri" w:hAnsi="Arial" w:cs="Arial"/>
          <w:b/>
          <w:noProof/>
          <w:color w:val="000000" w:themeColor="text1"/>
          <w:sz w:val="22"/>
          <w:lang w:val="es-ES"/>
        </w:rPr>
      </w:pPr>
    </w:p>
    <w:p w14:paraId="308439BE" w14:textId="77777777" w:rsidR="00E011A6" w:rsidRPr="00F90F8B" w:rsidRDefault="00E011A6" w:rsidP="00E011A6">
      <w:pPr>
        <w:pStyle w:val="Prrafodelista"/>
        <w:tabs>
          <w:tab w:val="left" w:pos="284"/>
        </w:tabs>
        <w:spacing w:line="276" w:lineRule="auto"/>
        <w:ind w:left="0"/>
        <w:jc w:val="both"/>
        <w:rPr>
          <w:rFonts w:ascii="Arial" w:eastAsia="Calibri" w:hAnsi="Arial" w:cs="Arial"/>
          <w:b/>
          <w:noProof/>
          <w:color w:val="000000" w:themeColor="text1"/>
          <w:sz w:val="22"/>
          <w:lang w:val="es-ES"/>
        </w:rPr>
      </w:pPr>
      <w:r w:rsidRPr="00F90F8B">
        <w:rPr>
          <w:rFonts w:ascii="Arial" w:eastAsia="Calibri" w:hAnsi="Arial" w:cs="Arial"/>
          <w:b/>
          <w:noProof/>
          <w:color w:val="000000" w:themeColor="text1"/>
          <w:sz w:val="22"/>
          <w:lang w:val="es-ES"/>
        </w:rPr>
        <w:t>3. Respuesta</w:t>
      </w:r>
    </w:p>
    <w:p w14:paraId="5BA80490" w14:textId="77777777" w:rsidR="00E011A6" w:rsidRPr="00F90F8B" w:rsidRDefault="00E011A6" w:rsidP="00E011A6">
      <w:pPr>
        <w:pStyle w:val="Prrafodelista"/>
        <w:tabs>
          <w:tab w:val="left" w:pos="284"/>
        </w:tabs>
        <w:spacing w:line="276" w:lineRule="auto"/>
        <w:ind w:left="0"/>
        <w:jc w:val="both"/>
        <w:rPr>
          <w:rFonts w:ascii="Arial" w:eastAsia="Calibri" w:hAnsi="Arial" w:cs="Arial"/>
          <w:noProof/>
          <w:color w:val="000000" w:themeColor="text1"/>
          <w:sz w:val="22"/>
          <w:lang w:val="es-ES"/>
        </w:rPr>
      </w:pPr>
    </w:p>
    <w:p w14:paraId="57C400A5" w14:textId="77777777" w:rsidR="00E011A6" w:rsidRPr="00F90F8B" w:rsidRDefault="00E011A6" w:rsidP="00E011A6">
      <w:pPr>
        <w:spacing w:line="276" w:lineRule="auto"/>
        <w:ind w:left="708" w:right="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¿El Decreto 092 de 2017 es aplicable a los convenios celebrados directamente en virtud del artículo 13 de la Ley 2005 de 2019?</w:t>
      </w:r>
    </w:p>
    <w:p w14:paraId="1559AF35" w14:textId="77777777" w:rsidR="00E011A6" w:rsidRPr="00F90F8B" w:rsidRDefault="00E011A6" w:rsidP="00E011A6">
      <w:pPr>
        <w:spacing w:line="276" w:lineRule="auto"/>
        <w:ind w:left="708" w:right="709"/>
        <w:jc w:val="both"/>
        <w:rPr>
          <w:rFonts w:ascii="Arial" w:eastAsia="Calibri" w:hAnsi="Arial" w:cs="Arial"/>
          <w:noProof/>
          <w:color w:val="000000" w:themeColor="text1"/>
          <w:sz w:val="22"/>
          <w:lang w:val="es-ES"/>
        </w:rPr>
      </w:pPr>
    </w:p>
    <w:p w14:paraId="2CA341FF" w14:textId="77777777" w:rsidR="00E011A6" w:rsidRPr="00F90F8B" w:rsidRDefault="00E011A6" w:rsidP="00E011A6">
      <w:pPr>
        <w:spacing w:after="120"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El artículo 13 de la Ley 2005 de 2019 creó una causal de contratación directa, que se incorpora a la normativa de contratación pública, específicamente al numeral 4 del artículo 2 de la Ley 1150 de 2007, que regula esta modalidad de selección. Por otro lado, el Decreto 092 de 2017 regula los contratos y convenios con entidades sin ánimo de lucro y de reconocida idoneidad, en desarrollo del artículo 355 de la Constitución Política, por lo que es un «Decreto Autónomo o Constitucional» con jerarquía que se parece a la de la </w:t>
      </w:r>
      <w:r w:rsidRPr="00F90F8B">
        <w:rPr>
          <w:rFonts w:ascii="Arial" w:eastAsia="Calibri" w:hAnsi="Arial" w:cs="Arial"/>
          <w:noProof/>
          <w:color w:val="000000" w:themeColor="text1"/>
          <w:sz w:val="22"/>
          <w:lang w:val="es-ES"/>
        </w:rPr>
        <w:lastRenderedPageBreak/>
        <w:t>ley –pero sin tener fuerza de ley–. En ese sentido, entre la Ley 2005 de 2019 y el Decreto 092 de 2017 no existe una relación de prevalencia de una sobre otra, sino que se trata de dos alternativas de las que disponen las entidades para contratar a las</w:t>
      </w:r>
      <w:r w:rsidRPr="00F90F8B">
        <w:rPr>
          <w:rFonts w:ascii="Arial" w:hAnsi="Arial" w:cs="Arial"/>
          <w:noProof/>
          <w:color w:val="000000" w:themeColor="text1"/>
          <w:sz w:val="22"/>
          <w:lang w:val="es-ES"/>
        </w:rPr>
        <w:t xml:space="preserve"> asociaciones de productores de trapiches de economía campesina y/o con federaciones de productores de panela.</w:t>
      </w:r>
    </w:p>
    <w:p w14:paraId="0E27A0E4" w14:textId="77777777" w:rsidR="00E011A6" w:rsidRPr="00F90F8B" w:rsidRDefault="00E011A6" w:rsidP="00E011A6">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 xml:space="preserve">Concretamente, para promover la actividad panelera, particularmente mediante contratos para dar en comodato terrenos, construir plantas y crear fondos de emprendimiento, las alcaldías y gobernaciones pueden elegir entre: i) </w:t>
      </w:r>
      <w:r w:rsidRPr="00F90F8B">
        <w:rPr>
          <w:rFonts w:ascii="Arial" w:eastAsia="Calibri" w:hAnsi="Arial" w:cs="Arial"/>
          <w:i/>
          <w:iCs/>
          <w:noProof/>
          <w:color w:val="000000" w:themeColor="text1"/>
          <w:sz w:val="22"/>
          <w:lang w:val="es-ES"/>
        </w:rPr>
        <w:t>contratar directamente</w:t>
      </w:r>
      <w:r w:rsidRPr="00F90F8B">
        <w:rPr>
          <w:rFonts w:ascii="Arial" w:eastAsia="Calibri" w:hAnsi="Arial" w:cs="Arial"/>
          <w:noProof/>
          <w:color w:val="000000" w:themeColor="text1"/>
          <w:sz w:val="22"/>
          <w:lang w:val="es-ES"/>
        </w:rPr>
        <w:t xml:space="preserve"> los anteriores objetos contractuales –y solo esos– con fundamento en el artículo 13 de la Ley 2005, o ii) </w:t>
      </w:r>
      <w:r w:rsidRPr="00F90F8B">
        <w:rPr>
          <w:rFonts w:ascii="Arial" w:hAnsi="Arial" w:cs="Arial"/>
          <w:noProof/>
          <w:color w:val="000000" w:themeColor="text1"/>
          <w:sz w:val="22"/>
          <w:lang w:val="es-ES"/>
        </w:rPr>
        <w:t>celebrar los convenios del Decreto 092 de 2017, siempre que las asociaciones de productores de trapiches de economía campesina y/o federaciones de productores de panela tengan la calidad de entidades sin ánimo de lucro y de reconocida idoneidad</w:t>
      </w:r>
      <w:r w:rsidRPr="00F90F8B">
        <w:rPr>
          <w:rFonts w:ascii="Arial" w:eastAsia="Calibri" w:hAnsi="Arial" w:cs="Arial"/>
          <w:noProof/>
          <w:color w:val="000000" w:themeColor="text1"/>
          <w:sz w:val="22"/>
          <w:lang w:val="es-ES"/>
        </w:rPr>
        <w:t>.</w:t>
      </w:r>
    </w:p>
    <w:p w14:paraId="215408B9"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2FDF5608"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25F44CEC"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Este concepto tiene el alcance previsto en el artículo 28 del Código de Procedimiento Administrativo y de lo Contencioso Administrativo.</w:t>
      </w:r>
    </w:p>
    <w:p w14:paraId="2837AF4F" w14:textId="77777777" w:rsidR="00E011A6" w:rsidRPr="00F90F8B" w:rsidRDefault="00E011A6" w:rsidP="00E011A6">
      <w:pPr>
        <w:spacing w:line="276" w:lineRule="auto"/>
        <w:jc w:val="both"/>
        <w:rPr>
          <w:rFonts w:ascii="Arial" w:eastAsia="Calibri" w:hAnsi="Arial" w:cs="Arial"/>
          <w:noProof/>
          <w:color w:val="000000" w:themeColor="text1"/>
          <w:sz w:val="22"/>
          <w:lang w:val="es-ES"/>
        </w:rPr>
      </w:pPr>
    </w:p>
    <w:p w14:paraId="7B4D3EAA" w14:textId="77777777" w:rsidR="00E011A6" w:rsidRPr="00F90F8B" w:rsidRDefault="00E011A6" w:rsidP="00E011A6">
      <w:pPr>
        <w:jc w:val="both"/>
        <w:rPr>
          <w:rFonts w:ascii="Arial" w:eastAsia="Calibri" w:hAnsi="Arial" w:cs="Arial"/>
          <w:noProof/>
          <w:color w:val="000000" w:themeColor="text1"/>
          <w:sz w:val="22"/>
          <w:lang w:val="es-ES"/>
        </w:rPr>
      </w:pPr>
      <w:r w:rsidRPr="00F90F8B">
        <w:rPr>
          <w:noProof/>
          <w:color w:val="000000" w:themeColor="text1"/>
          <w:lang w:val="en-US"/>
        </w:rPr>
        <mc:AlternateContent>
          <mc:Choice Requires="wps">
            <w:drawing>
              <wp:anchor distT="0" distB="0" distL="114300" distR="114300" simplePos="0" relativeHeight="251659264" behindDoc="0" locked="0" layoutInCell="1" allowOverlap="1" wp14:anchorId="6A17DF33" wp14:editId="30DA9FD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C5371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5D69FF36" w14:textId="77777777" w:rsidR="00E011A6" w:rsidRPr="00F90F8B" w:rsidRDefault="00E011A6" w:rsidP="00E011A6">
      <w:pPr>
        <w:rPr>
          <w:rFonts w:ascii="Arial" w:eastAsia="Times New Roman" w:hAnsi="Arial" w:cs="Arial"/>
          <w:noProof/>
          <w:color w:val="000000" w:themeColor="text1"/>
          <w:sz w:val="22"/>
          <w:lang w:val="es-ES" w:eastAsia="es-CO"/>
        </w:rPr>
      </w:pPr>
      <w:r w:rsidRPr="00F90F8B">
        <w:rPr>
          <w:rFonts w:ascii="Arial" w:eastAsia="Times New Roman" w:hAnsi="Arial" w:cs="Arial"/>
          <w:noProof/>
          <w:color w:val="000000" w:themeColor="text1"/>
          <w:sz w:val="22"/>
          <w:lang w:val="es-ES" w:eastAsia="es-CO"/>
        </w:rPr>
        <w:t>Atentamente,</w:t>
      </w:r>
    </w:p>
    <w:p w14:paraId="2AB348D7" w14:textId="7A9F252C" w:rsidR="00E011A6" w:rsidRPr="00F90F8B" w:rsidRDefault="007C4E39" w:rsidP="007C4E39">
      <w:pPr>
        <w:jc w:val="center"/>
        <w:rPr>
          <w:rFonts w:ascii="Arial" w:eastAsia="Times New Roman" w:hAnsi="Arial" w:cs="Arial"/>
          <w:noProof/>
          <w:color w:val="000000" w:themeColor="text1"/>
          <w:sz w:val="22"/>
          <w:lang w:val="es-ES" w:eastAsia="es-CO"/>
        </w:rPr>
      </w:pPr>
      <w:r>
        <w:rPr>
          <w:noProof/>
          <w:lang w:val="en-US"/>
        </w:rPr>
        <w:drawing>
          <wp:inline distT="0" distB="0" distL="0" distR="0" wp14:anchorId="71540A85" wp14:editId="402482C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AFE1B26" w14:textId="77777777" w:rsidR="00E011A6" w:rsidRPr="00F90F8B" w:rsidRDefault="00E011A6" w:rsidP="00E011A6">
      <w:pPr>
        <w:jc w:val="center"/>
        <w:rPr>
          <w:rFonts w:ascii="Arial" w:eastAsia="Times New Roman" w:hAnsi="Arial" w:cs="Arial"/>
          <w:noProof/>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90F8B" w:rsidRPr="00F90F8B" w14:paraId="5638369C" w14:textId="77777777" w:rsidTr="00A12492">
        <w:trPr>
          <w:trHeight w:val="315"/>
        </w:trPr>
        <w:tc>
          <w:tcPr>
            <w:tcW w:w="488" w:type="dxa"/>
            <w:vAlign w:val="center"/>
            <w:hideMark/>
          </w:tcPr>
          <w:p w14:paraId="41645FBD"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B9B4D2"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Ximena Ríos López</w:t>
            </w:r>
          </w:p>
          <w:p w14:paraId="695AA9FD"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Gestor T1-11</w:t>
            </w:r>
          </w:p>
        </w:tc>
      </w:tr>
      <w:tr w:rsidR="00F90F8B" w:rsidRPr="00F90F8B" w14:paraId="5ECE76B6" w14:textId="77777777" w:rsidTr="00A12492">
        <w:trPr>
          <w:trHeight w:val="330"/>
        </w:trPr>
        <w:tc>
          <w:tcPr>
            <w:tcW w:w="488" w:type="dxa"/>
            <w:vAlign w:val="center"/>
            <w:hideMark/>
          </w:tcPr>
          <w:p w14:paraId="4593E77F"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24D165"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Fabián Gonzalo Marín Cortés</w:t>
            </w:r>
          </w:p>
          <w:p w14:paraId="5D81FCDC"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Subdirector de Gestión Contractual</w:t>
            </w:r>
          </w:p>
        </w:tc>
      </w:tr>
      <w:tr w:rsidR="00F90F8B" w:rsidRPr="00F90F8B" w14:paraId="0FA075C7" w14:textId="77777777" w:rsidTr="00A12492">
        <w:trPr>
          <w:trHeight w:val="300"/>
        </w:trPr>
        <w:tc>
          <w:tcPr>
            <w:tcW w:w="488" w:type="dxa"/>
            <w:vAlign w:val="center"/>
            <w:hideMark/>
          </w:tcPr>
          <w:p w14:paraId="31AD0873"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29DF92"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Fabián Gonzalo Marín Cortés</w:t>
            </w:r>
          </w:p>
          <w:p w14:paraId="1F72BBEF"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Subdirector de Gestión Contractual</w:t>
            </w:r>
          </w:p>
        </w:tc>
      </w:tr>
      <w:tr w:rsidR="00E011A6" w:rsidRPr="00F90F8B" w14:paraId="0FB0FACC" w14:textId="77777777" w:rsidTr="00A12492">
        <w:trPr>
          <w:trHeight w:val="300"/>
        </w:trPr>
        <w:tc>
          <w:tcPr>
            <w:tcW w:w="488" w:type="dxa"/>
            <w:vAlign w:val="center"/>
            <w:hideMark/>
          </w:tcPr>
          <w:p w14:paraId="19D2FE61"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7593B9" w14:textId="77777777" w:rsidR="00E011A6" w:rsidRPr="00F90F8B" w:rsidRDefault="00E011A6" w:rsidP="00A12492">
            <w:pPr>
              <w:rPr>
                <w:rFonts w:ascii="Arial" w:eastAsia="Times New Roman" w:hAnsi="Arial" w:cs="Arial"/>
                <w:noProof/>
                <w:color w:val="000000" w:themeColor="text1"/>
                <w:sz w:val="16"/>
                <w:szCs w:val="16"/>
                <w:lang w:val="es-ES" w:eastAsia="es-ES"/>
              </w:rPr>
            </w:pPr>
            <w:r w:rsidRPr="00F90F8B">
              <w:rPr>
                <w:rFonts w:ascii="Arial" w:eastAsia="Times New Roman" w:hAnsi="Arial" w:cs="Arial"/>
                <w:noProof/>
                <w:color w:val="000000" w:themeColor="text1"/>
                <w:sz w:val="16"/>
                <w:szCs w:val="16"/>
                <w:lang w:val="es-ES" w:eastAsia="es-ES"/>
              </w:rPr>
              <w:t>0</w:t>
            </w:r>
          </w:p>
        </w:tc>
      </w:tr>
    </w:tbl>
    <w:p w14:paraId="13922EBE" w14:textId="77777777" w:rsidR="00E011A6" w:rsidRPr="00F90F8B" w:rsidRDefault="00E011A6" w:rsidP="00E011A6">
      <w:pPr>
        <w:jc w:val="both"/>
        <w:rPr>
          <w:rFonts w:ascii="Arial" w:eastAsia="Calibri" w:hAnsi="Arial" w:cs="Arial"/>
          <w:noProof/>
          <w:color w:val="000000" w:themeColor="text1"/>
          <w:sz w:val="22"/>
          <w:lang w:val="es-ES"/>
        </w:rPr>
      </w:pPr>
    </w:p>
    <w:p w14:paraId="7EBF297E" w14:textId="77777777" w:rsidR="007B0854" w:rsidRPr="00F90F8B" w:rsidRDefault="007B0854" w:rsidP="00E011A6">
      <w:pPr>
        <w:rPr>
          <w:color w:val="000000" w:themeColor="text1"/>
        </w:rPr>
      </w:pPr>
    </w:p>
    <w:sectPr w:rsidR="007B0854" w:rsidRPr="00F90F8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8BBCA" w14:textId="77777777" w:rsidR="00621284" w:rsidRDefault="00621284">
      <w:r>
        <w:separator/>
      </w:r>
    </w:p>
  </w:endnote>
  <w:endnote w:type="continuationSeparator" w:id="0">
    <w:p w14:paraId="5A381841" w14:textId="77777777" w:rsidR="00621284" w:rsidRDefault="0062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2C0F08" w:rsidRPr="00EC6E6B" w:rsidRDefault="002C0F08" w:rsidP="007B0854">
    <w:pPr>
      <w:pStyle w:val="Sinespaciado"/>
      <w:jc w:val="center"/>
      <w:rPr>
        <w:rFonts w:ascii="Arial" w:hAnsi="Arial" w:cs="Arial"/>
        <w:sz w:val="20"/>
        <w:szCs w:val="20"/>
      </w:rPr>
    </w:pPr>
  </w:p>
  <w:p w14:paraId="312C4A14" w14:textId="2035C41F" w:rsidR="002C0F08" w:rsidRPr="005A79FE" w:rsidRDefault="002C0F08"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C4E39">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C4E39">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48FC6A04" w14:textId="0E0B8C38" w:rsidR="002C0F08" w:rsidRDefault="002C0F08"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2C0F08" w:rsidRPr="007B0854" w:rsidRDefault="002C0F0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2A46" w14:textId="77777777" w:rsidR="00621284" w:rsidRDefault="00621284">
      <w:r>
        <w:separator/>
      </w:r>
    </w:p>
  </w:footnote>
  <w:footnote w:type="continuationSeparator" w:id="0">
    <w:p w14:paraId="35322A7C" w14:textId="77777777" w:rsidR="00621284" w:rsidRDefault="00621284">
      <w:r>
        <w:continuationSeparator/>
      </w:r>
    </w:p>
  </w:footnote>
  <w:footnote w:id="1">
    <w:p w14:paraId="4650B4F6"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213B25A0"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2">
    <w:p w14:paraId="751F1FF2"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619894A" w14:textId="77777777" w:rsidR="00E011A6" w:rsidRPr="00F90F8B" w:rsidRDefault="00E011A6" w:rsidP="00E011A6">
      <w:pPr>
        <w:pStyle w:val="Textonotapie"/>
        <w:ind w:firstLine="708"/>
        <w:jc w:val="both"/>
        <w:rPr>
          <w:rFonts w:ascii="Arial" w:hAnsi="Arial" w:cs="Arial"/>
          <w:color w:val="000000" w:themeColor="text1"/>
          <w:sz w:val="19"/>
          <w:szCs w:val="19"/>
        </w:rPr>
      </w:pPr>
      <w:proofErr w:type="gramStart"/>
      <w:r w:rsidRPr="00F90F8B">
        <w:rPr>
          <w:rFonts w:ascii="Arial" w:hAnsi="Arial" w:cs="Arial"/>
          <w:color w:val="000000" w:themeColor="text1"/>
          <w:sz w:val="19"/>
          <w:szCs w:val="19"/>
        </w:rPr>
        <w:t>»Los</w:t>
      </w:r>
      <w:proofErr w:type="gramEnd"/>
      <w:r w:rsidRPr="00F90F8B">
        <w:rPr>
          <w:rFonts w:ascii="Arial" w:hAnsi="Arial" w:cs="Arial"/>
          <w:color w:val="000000" w:themeColor="text1"/>
          <w:sz w:val="19"/>
          <w:szCs w:val="19"/>
        </w:rPr>
        <w:t xml:space="preserve">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CB4B7D2" w14:textId="77777777" w:rsidR="00E011A6" w:rsidRPr="00F90F8B" w:rsidRDefault="00E011A6" w:rsidP="00E011A6">
      <w:pPr>
        <w:pStyle w:val="Textonotapie"/>
        <w:ind w:firstLine="708"/>
        <w:jc w:val="both"/>
        <w:rPr>
          <w:rFonts w:ascii="Arial" w:hAnsi="Arial" w:cs="Arial"/>
          <w:color w:val="000000" w:themeColor="text1"/>
          <w:sz w:val="19"/>
          <w:szCs w:val="19"/>
          <w:lang w:val="es-CO"/>
        </w:rPr>
      </w:pPr>
    </w:p>
  </w:footnote>
  <w:footnote w:id="3">
    <w:p w14:paraId="1BFCC843"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4B9B6511"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4">
    <w:p w14:paraId="238115E5"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Colombia Compra Eficiente. Concepto del 3 de septiembre de 2019. Radicado No. 2201913000006512.</w:t>
      </w:r>
    </w:p>
    <w:p w14:paraId="2A31A811"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5">
    <w:p w14:paraId="4E095EA7"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14:paraId="58811BA3"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6">
    <w:p w14:paraId="6C0E166D"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El numeral 16.9 de la Circular Externa Única de Colombia Compra Eficiente determina:</w:t>
      </w:r>
    </w:p>
    <w:p w14:paraId="737F481C"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Fonts w:ascii="Arial" w:hAnsi="Arial" w:cs="Arial"/>
          <w:color w:val="000000" w:themeColor="text1"/>
          <w:sz w:val="19"/>
          <w:szCs w:val="19"/>
        </w:rPr>
        <w:t>«16.9 Uniones temporales y consorcios conformados por entidades sin ánimo de lucro</w:t>
      </w:r>
    </w:p>
    <w:p w14:paraId="74FE4564" w14:textId="77777777" w:rsidR="00E011A6" w:rsidRPr="00F90F8B" w:rsidRDefault="00E011A6" w:rsidP="00E011A6">
      <w:pPr>
        <w:pStyle w:val="Textonotapie"/>
        <w:ind w:firstLine="708"/>
        <w:jc w:val="both"/>
        <w:rPr>
          <w:rFonts w:ascii="Arial" w:hAnsi="Arial" w:cs="Arial"/>
          <w:color w:val="000000" w:themeColor="text1"/>
          <w:sz w:val="19"/>
          <w:szCs w:val="19"/>
        </w:rPr>
      </w:pPr>
      <w:proofErr w:type="gramStart"/>
      <w:r w:rsidRPr="00F90F8B">
        <w:rPr>
          <w:rFonts w:ascii="Arial" w:hAnsi="Arial" w:cs="Arial"/>
          <w:color w:val="000000" w:themeColor="text1"/>
          <w:sz w:val="19"/>
          <w:szCs w:val="19"/>
        </w:rPr>
        <w:t>»El</w:t>
      </w:r>
      <w:proofErr w:type="gramEnd"/>
      <w:r w:rsidRPr="00F90F8B">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59B90AD5"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7">
    <w:p w14:paraId="2AE170CF"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Colombia Compra Eficiente. Concepto del 19 de noviembre de 2019. Radicado No. 2201913000008611.</w:t>
      </w:r>
    </w:p>
    <w:p w14:paraId="25B19077"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8">
    <w:p w14:paraId="27FFE1D9"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Cfr. Colombia Compra Eficiente. Concepto del 21 de agosto de 2019. Radicado No. 2201913000006047.</w:t>
      </w:r>
    </w:p>
    <w:p w14:paraId="1E8819A6"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9">
    <w:p w14:paraId="664CCAA5"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Consejo de Estado. Sala de Consulta y Servicio Civil. Concepto del 24 de febrero de 2005. </w:t>
      </w:r>
      <w:proofErr w:type="spellStart"/>
      <w:r w:rsidRPr="00F90F8B">
        <w:rPr>
          <w:rFonts w:ascii="Arial" w:hAnsi="Arial" w:cs="Arial"/>
          <w:color w:val="000000" w:themeColor="text1"/>
          <w:sz w:val="19"/>
          <w:szCs w:val="19"/>
        </w:rPr>
        <w:t>Exp</w:t>
      </w:r>
      <w:proofErr w:type="spellEnd"/>
      <w:r w:rsidRPr="00F90F8B">
        <w:rPr>
          <w:rFonts w:ascii="Arial" w:hAnsi="Arial" w:cs="Arial"/>
          <w:color w:val="000000" w:themeColor="text1"/>
          <w:sz w:val="19"/>
          <w:szCs w:val="19"/>
        </w:rPr>
        <w:t>. 1.626, C.P. Gloria Duque Hernández.</w:t>
      </w:r>
    </w:p>
    <w:p w14:paraId="2B0717E0"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10">
    <w:p w14:paraId="4A2BB07C"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color w:val="000000" w:themeColor="text1"/>
        </w:rPr>
        <w:footnoteRef/>
      </w:r>
      <w:r w:rsidRPr="00F90F8B">
        <w:rPr>
          <w:color w:val="000000" w:themeColor="text1"/>
        </w:rPr>
        <w:t xml:space="preserve"> </w:t>
      </w:r>
      <w:r w:rsidRPr="00F90F8B">
        <w:rPr>
          <w:rFonts w:ascii="Arial" w:hAnsi="Arial" w:cs="Arial"/>
          <w:color w:val="000000" w:themeColor="text1"/>
          <w:sz w:val="19"/>
          <w:szCs w:val="19"/>
        </w:rPr>
        <w:t xml:space="preserve">Corte Constitucional. Sentencia C – 283 del 3 de mayo de 2017. M.P. Iván Humberto </w:t>
      </w:r>
      <w:proofErr w:type="spellStart"/>
      <w:r w:rsidRPr="00F90F8B">
        <w:rPr>
          <w:rFonts w:ascii="Arial" w:hAnsi="Arial" w:cs="Arial"/>
          <w:color w:val="000000" w:themeColor="text1"/>
          <w:sz w:val="19"/>
          <w:szCs w:val="19"/>
        </w:rPr>
        <w:t>Escrucería</w:t>
      </w:r>
      <w:proofErr w:type="spellEnd"/>
      <w:r w:rsidRPr="00F90F8B">
        <w:rPr>
          <w:rFonts w:ascii="Arial" w:hAnsi="Arial" w:cs="Arial"/>
          <w:color w:val="000000" w:themeColor="text1"/>
          <w:sz w:val="19"/>
          <w:szCs w:val="19"/>
        </w:rPr>
        <w:t xml:space="preserve"> Mayolo.</w:t>
      </w:r>
    </w:p>
    <w:p w14:paraId="091E6329" w14:textId="77777777" w:rsidR="00E011A6" w:rsidRPr="00F90F8B" w:rsidRDefault="00E011A6" w:rsidP="00E011A6">
      <w:pPr>
        <w:pStyle w:val="Textonotapie"/>
        <w:ind w:firstLine="708"/>
        <w:jc w:val="both"/>
        <w:rPr>
          <w:color w:val="000000" w:themeColor="text1"/>
          <w:lang w:val="es-ES"/>
        </w:rPr>
      </w:pPr>
    </w:p>
  </w:footnote>
  <w:footnote w:id="11">
    <w:p w14:paraId="6DCED4C3"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Corte Constitucional. Sentencia C-910 del 31 de octubre de 2007. M.P. Marco Gerardo Monroy Cabra.</w:t>
      </w:r>
    </w:p>
  </w:footnote>
  <w:footnote w:id="12">
    <w:p w14:paraId="32C537E0" w14:textId="77777777" w:rsidR="00E011A6" w:rsidRPr="00F90F8B" w:rsidRDefault="00E011A6" w:rsidP="00E011A6">
      <w:pPr>
        <w:pStyle w:val="Textonotapie"/>
        <w:ind w:firstLine="708"/>
        <w:jc w:val="both"/>
        <w:rPr>
          <w:rFonts w:ascii="Arial" w:eastAsia="Calibri"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rPr>
        <w:t>Corte Constitucional. Sentencia C-910 del 31 de octubre de 2007. M.P. Marco Gerardo Monroy Cabra: «La Corte no se ha ocupado todavía de definir de manera concreta el concepto de administración central. Sin embargo, en distintas sentencias ha establecido diferenciaciones, de las que se puede deducir que este concepto abarca todos los organismos de la Rama Ejecutiva nacional, pero no comprende las demás ramas ni los órganos autónomos que fueron consagrados en la Constitución. Así, por ejemplo, en la sentencia C-527 de 1994, M.P. Alejandro Martínez Caballero, se precisó que el numeral 14 del artículo 189 de la Carta no era aplicable a la Contraloría "debido a que es un órgano autónomo e independiente, excluido de la rama ejecutiva, la cual corresponde a la administración central».</w:t>
      </w:r>
    </w:p>
    <w:p w14:paraId="52FD49BE"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13">
    <w:p w14:paraId="5A02CECB"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r w:rsidRPr="00F90F8B">
        <w:rPr>
          <w:rStyle w:val="Refdenotaalpie"/>
          <w:rFonts w:ascii="Arial" w:eastAsia="Calibri"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lang w:val="es-MX" w:eastAsia="en-US"/>
        </w:rPr>
        <w:t>El artículo 68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38C43A9B"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proofErr w:type="gramStart"/>
      <w:r w:rsidRPr="00F90F8B">
        <w:rPr>
          <w:rFonts w:ascii="Arial" w:eastAsia="Calibri" w:hAnsi="Arial" w:cs="Arial"/>
          <w:color w:val="000000" w:themeColor="text1"/>
          <w:sz w:val="19"/>
          <w:szCs w:val="19"/>
          <w:lang w:val="es-MX" w:eastAsia="en-US"/>
        </w:rPr>
        <w:t>»Las</w:t>
      </w:r>
      <w:proofErr w:type="gramEnd"/>
      <w:r w:rsidRPr="00F90F8B">
        <w:rPr>
          <w:rFonts w:ascii="Arial" w:eastAsia="Calibri" w:hAnsi="Arial" w:cs="Arial"/>
          <w:color w:val="000000" w:themeColor="text1"/>
          <w:sz w:val="19"/>
          <w:szCs w:val="19"/>
          <w:lang w:val="es-MX" w:eastAsia="en-US"/>
        </w:rPr>
        <w:t xml:space="preserve"> entidades descentralizadas se sujetan a las reglas señaladas en la Constitución Política, en la presente ley, en las leyes que las creen y determinen su estructura orgánica y a sus estatutos internos.</w:t>
      </w:r>
    </w:p>
    <w:p w14:paraId="5B09259F"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proofErr w:type="gramStart"/>
      <w:r w:rsidRPr="00F90F8B">
        <w:rPr>
          <w:rFonts w:ascii="Arial" w:eastAsia="Calibri" w:hAnsi="Arial" w:cs="Arial"/>
          <w:color w:val="000000" w:themeColor="text1"/>
          <w:sz w:val="19"/>
          <w:szCs w:val="19"/>
          <w:lang w:val="es-MX" w:eastAsia="en-US"/>
        </w:rPr>
        <w:t>»Los</w:t>
      </w:r>
      <w:proofErr w:type="gramEnd"/>
      <w:r w:rsidRPr="00F90F8B">
        <w:rPr>
          <w:rFonts w:ascii="Arial" w:eastAsia="Calibri" w:hAnsi="Arial" w:cs="Arial"/>
          <w:color w:val="000000" w:themeColor="text1"/>
          <w:sz w:val="19"/>
          <w:szCs w:val="19"/>
          <w:lang w:val="es-MX" w:eastAsia="en-US"/>
        </w:rPr>
        <w:t xml:space="preserve"> organismos y entidades descentralizados, sujetos a regímenes especiales por mandato de la Constitución Política, se someterán a las disposiciones que para ellos establezca la respectiva ley.</w:t>
      </w:r>
    </w:p>
    <w:p w14:paraId="08F53263"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proofErr w:type="gramStart"/>
      <w:r w:rsidRPr="00F90F8B">
        <w:rPr>
          <w:rFonts w:ascii="Arial" w:eastAsia="Calibri" w:hAnsi="Arial" w:cs="Arial"/>
          <w:color w:val="000000" w:themeColor="text1"/>
          <w:sz w:val="19"/>
          <w:szCs w:val="19"/>
          <w:lang w:val="es-MX" w:eastAsia="en-US"/>
        </w:rPr>
        <w:t>»PARÁGRAFO</w:t>
      </w:r>
      <w:proofErr w:type="gramEnd"/>
      <w:r w:rsidRPr="00F90F8B">
        <w:rPr>
          <w:rFonts w:ascii="Arial" w:eastAsia="Calibri" w:hAnsi="Arial" w:cs="Arial"/>
          <w:color w:val="000000" w:themeColor="text1"/>
          <w:sz w:val="19"/>
          <w:szCs w:val="19"/>
          <w:lang w:val="es-MX" w:eastAsia="en-US"/>
        </w:rPr>
        <w:t xml:space="preserve"> 1o. De conformidad con el inciso segundo del artículo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419AA97A"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proofErr w:type="gramStart"/>
      <w:r w:rsidRPr="00F90F8B">
        <w:rPr>
          <w:rFonts w:ascii="Arial" w:eastAsia="Calibri" w:hAnsi="Arial" w:cs="Arial"/>
          <w:color w:val="000000" w:themeColor="text1"/>
          <w:sz w:val="19"/>
          <w:szCs w:val="19"/>
          <w:lang w:val="es-MX" w:eastAsia="en-US"/>
        </w:rPr>
        <w:t>»PARÁGRAFO</w:t>
      </w:r>
      <w:proofErr w:type="gramEnd"/>
      <w:r w:rsidRPr="00F90F8B">
        <w:rPr>
          <w:rFonts w:ascii="Arial" w:eastAsia="Calibri" w:hAnsi="Arial" w:cs="Arial"/>
          <w:color w:val="000000" w:themeColor="text1"/>
          <w:sz w:val="19"/>
          <w:szCs w:val="19"/>
          <w:lang w:val="es-MX" w:eastAsia="en-US"/>
        </w:rPr>
        <w:t xml:space="preserve"> 2o. Los organismos o entidades del Sector Descentralizado que tengan como objetivo desarrollar actividades científicas y tecnológicas, se sujetarán a la Legislación de Ciencia y Tecnología y su organización será determinada por el Gobierno Nacional.</w:t>
      </w:r>
    </w:p>
    <w:p w14:paraId="656478EC" w14:textId="77777777" w:rsidR="00E011A6" w:rsidRPr="00F90F8B" w:rsidRDefault="00E011A6" w:rsidP="00E011A6">
      <w:pPr>
        <w:pStyle w:val="NormalWeb"/>
        <w:spacing w:before="0" w:beforeAutospacing="0" w:after="0" w:afterAutospacing="0"/>
        <w:ind w:firstLine="708"/>
        <w:jc w:val="both"/>
        <w:rPr>
          <w:rFonts w:ascii="Arial" w:eastAsia="Calibri" w:hAnsi="Arial" w:cs="Arial"/>
          <w:color w:val="000000" w:themeColor="text1"/>
          <w:sz w:val="19"/>
          <w:szCs w:val="19"/>
          <w:lang w:val="es-MX" w:eastAsia="en-US"/>
        </w:rPr>
      </w:pPr>
      <w:proofErr w:type="gramStart"/>
      <w:r w:rsidRPr="00F90F8B">
        <w:rPr>
          <w:rFonts w:ascii="Arial" w:eastAsia="Calibri" w:hAnsi="Arial" w:cs="Arial"/>
          <w:color w:val="000000" w:themeColor="text1"/>
          <w:sz w:val="19"/>
          <w:szCs w:val="19"/>
          <w:lang w:val="es-MX" w:eastAsia="en-US"/>
        </w:rPr>
        <w:t>»PARÁGRAFO</w:t>
      </w:r>
      <w:proofErr w:type="gramEnd"/>
      <w:r w:rsidRPr="00F90F8B">
        <w:rPr>
          <w:rFonts w:ascii="Arial" w:eastAsia="Calibri" w:hAnsi="Arial" w:cs="Arial"/>
          <w:color w:val="000000" w:themeColor="text1"/>
          <w:sz w:val="19"/>
          <w:szCs w:val="19"/>
          <w:lang w:val="es-MX" w:eastAsia="en-US"/>
        </w:rPr>
        <w:t xml:space="preserve"> 3o. Lo dispuesto en el presente artículo no se aplica a las corporaciones civiles sin ánimo de lucro de derecho privado, vinculadas al Ministerio del Medio Ambiente, creadas por la Ley 99 de 1993».</w:t>
      </w:r>
    </w:p>
    <w:p w14:paraId="5A7FDA23" w14:textId="77777777" w:rsidR="00E011A6" w:rsidRPr="00F90F8B" w:rsidRDefault="00E011A6" w:rsidP="00E011A6">
      <w:pPr>
        <w:pStyle w:val="Textonotapie"/>
        <w:jc w:val="both"/>
        <w:rPr>
          <w:rFonts w:ascii="Arial" w:eastAsia="Calibri" w:hAnsi="Arial" w:cs="Arial"/>
          <w:color w:val="000000" w:themeColor="text1"/>
          <w:sz w:val="19"/>
          <w:szCs w:val="19"/>
        </w:rPr>
      </w:pPr>
    </w:p>
  </w:footnote>
  <w:footnote w:id="14">
    <w:p w14:paraId="75E059D6" w14:textId="77777777" w:rsidR="00E011A6" w:rsidRPr="00F90F8B" w:rsidRDefault="00E011A6" w:rsidP="00E011A6">
      <w:pPr>
        <w:pStyle w:val="Textonotapie"/>
        <w:ind w:firstLine="708"/>
        <w:jc w:val="both"/>
        <w:rPr>
          <w:rFonts w:ascii="Arial" w:eastAsia="Calibri"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rPr>
        <w:t>Ley 2005 de 2019: «Artículo 1. Objeto. El presente proyecto de ley busca generar incentivos tendientes a ampliar la demanda de panela y mieles vírgenes, así como diversificar la producción y comercialización de sus derivados. De igual forma, se dictan disposiciones adicionales con el fin de proteger y fortalecer, de manera especial, la producción y el bienestar de pequeños y medianos productores».</w:t>
      </w:r>
    </w:p>
    <w:p w14:paraId="3AE360E0" w14:textId="77777777" w:rsidR="00E011A6" w:rsidRPr="00F90F8B" w:rsidRDefault="00E011A6" w:rsidP="00E011A6">
      <w:pPr>
        <w:pStyle w:val="Textonotapie"/>
        <w:ind w:firstLine="708"/>
        <w:jc w:val="both"/>
        <w:rPr>
          <w:rFonts w:ascii="Arial" w:hAnsi="Arial" w:cs="Arial"/>
          <w:color w:val="000000" w:themeColor="text1"/>
          <w:sz w:val="19"/>
          <w:szCs w:val="19"/>
        </w:rPr>
      </w:pPr>
    </w:p>
  </w:footnote>
  <w:footnote w:id="15">
    <w:p w14:paraId="40084E36" w14:textId="77777777" w:rsidR="00E011A6" w:rsidRPr="00F90F8B" w:rsidRDefault="00E011A6" w:rsidP="00E011A6">
      <w:pPr>
        <w:pStyle w:val="Textonotapie"/>
        <w:ind w:firstLine="708"/>
        <w:jc w:val="both"/>
        <w:rPr>
          <w:rFonts w:ascii="Arial" w:eastAsia="Calibri"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rPr>
        <w:t>Ley 2005 de 2019: «Artículo 13. Políticas para el sector panelero en los planes municipales y departamentales de desarrollo. Todos los municipios y departamentos donde exista actividad panelera deberán incluir en sus planes de desarrollo un renglón destinado a la promoción de la actividad panelera.</w:t>
      </w:r>
    </w:p>
    <w:p w14:paraId="19AD497B" w14:textId="77777777" w:rsidR="00E011A6" w:rsidRPr="00F90F8B" w:rsidRDefault="00E011A6" w:rsidP="00E011A6">
      <w:pPr>
        <w:pStyle w:val="Textonotapie"/>
        <w:ind w:firstLine="708"/>
        <w:jc w:val="both"/>
        <w:rPr>
          <w:rFonts w:ascii="Arial" w:eastAsia="Calibri" w:hAnsi="Arial" w:cs="Arial"/>
          <w:color w:val="000000" w:themeColor="text1"/>
          <w:sz w:val="19"/>
          <w:szCs w:val="19"/>
        </w:rPr>
      </w:pPr>
      <w:proofErr w:type="gramStart"/>
      <w:r w:rsidRPr="00F90F8B">
        <w:rPr>
          <w:rFonts w:ascii="Arial" w:eastAsia="Calibri" w:hAnsi="Arial" w:cs="Arial"/>
          <w:color w:val="000000" w:themeColor="text1"/>
          <w:sz w:val="19"/>
          <w:szCs w:val="19"/>
        </w:rPr>
        <w:t>»Si</w:t>
      </w:r>
      <w:proofErr w:type="gramEnd"/>
      <w:r w:rsidRPr="00F90F8B">
        <w:rPr>
          <w:rFonts w:ascii="Arial" w:eastAsia="Calibri" w:hAnsi="Arial" w:cs="Arial"/>
          <w:color w:val="000000" w:themeColor="text1"/>
          <w:sz w:val="19"/>
          <w:szCs w:val="19"/>
        </w:rPr>
        <w:t xml:space="preserve"> como parte de esos planes se encuentra el otorgamiento de terrenos en comodato o cualquier otra figura legal para la construcción de plantas procesadoras de mieles paneleras, la destinación de recursos para su construcción, y la creación de fondos de emprendimiento para financiar proyectos de producción y comercialización de panela granulada o en polvo y sus demás presentaciones, deberán privilegiar las asociaciones de propietarios de trapiches de economía campesina. Las Gobernaciones y Alcaldías podrán celebrar esos convenios directamente con las asociaciones de productores de trapiches de economía campesina y/o con federaciones de productores de panela.</w:t>
      </w:r>
    </w:p>
    <w:p w14:paraId="27E8C1B0"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Fonts w:ascii="Arial" w:eastAsia="Calibri" w:hAnsi="Arial" w:cs="Arial"/>
          <w:color w:val="000000" w:themeColor="text1"/>
          <w:sz w:val="19"/>
          <w:szCs w:val="19"/>
        </w:rPr>
        <w:t>»Los monopolios rentísticos de alcoholes y licores departamentales operados por sus industrias licoreras, deberán promover y constituir alianzas público privadas o convenios con los pequeños productores de panela y mieles vírgenes, para organizarlos con una amplia base social que incluya a todos los componentes de la cadena productiva, con la finalidad de ejecutar el diseño, montaje y operación de plantas homogeneizadoras de mieles destinadas a la producción de alcohol y/o plantas de producción de alcohol que optimicen la calidad y las torres de destilación. De manera que la mayoría de los alcoholes y tafias necesarios para la producción de licores y subproductos para el consumo nacional y la exportación, provengan de este ejercicio».</w:t>
      </w:r>
    </w:p>
  </w:footnote>
  <w:footnote w:id="16">
    <w:p w14:paraId="275B33C9" w14:textId="77777777" w:rsidR="00E011A6" w:rsidRPr="00F90F8B" w:rsidRDefault="00E011A6" w:rsidP="00E011A6">
      <w:pPr>
        <w:pStyle w:val="Textonotapie"/>
        <w:ind w:firstLine="708"/>
        <w:jc w:val="both"/>
        <w:rPr>
          <w:rFonts w:ascii="Arial" w:hAnsi="Arial" w:cs="Arial"/>
          <w:color w:val="000000" w:themeColor="text1"/>
          <w:sz w:val="19"/>
          <w:szCs w:val="19"/>
        </w:rPr>
      </w:pPr>
    </w:p>
    <w:p w14:paraId="70DE7E5B"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2A26F2F"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17">
    <w:p w14:paraId="4C9016F2" w14:textId="77777777" w:rsidR="00E011A6" w:rsidRPr="00F90F8B" w:rsidRDefault="00E011A6" w:rsidP="00E011A6">
      <w:pPr>
        <w:pStyle w:val="Textonotapie"/>
        <w:ind w:firstLine="708"/>
        <w:jc w:val="both"/>
        <w:rPr>
          <w:rFonts w:ascii="Arial" w:eastAsia="Calibri"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4ECD1695"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18">
    <w:p w14:paraId="2CE835B6"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w:t>
      </w:r>
      <w:r w:rsidRPr="00F90F8B">
        <w:rPr>
          <w:rFonts w:ascii="Arial" w:eastAsia="Calibri" w:hAnsi="Arial" w:cs="Arial"/>
          <w:color w:val="000000" w:themeColor="text1"/>
          <w:sz w:val="19"/>
          <w:szCs w:val="19"/>
        </w:rPr>
        <w:t>Decreto 092 de 2017, artículo 3, inciso 2: «</w:t>
      </w:r>
      <w:r w:rsidRPr="00F90F8B">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636149F4"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19">
    <w:p w14:paraId="265EF061" w14:textId="77777777" w:rsidR="00E011A6" w:rsidRPr="00F90F8B" w:rsidRDefault="00E011A6" w:rsidP="00E011A6">
      <w:pPr>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233891CE" w14:textId="77777777" w:rsidR="00E011A6" w:rsidRPr="00F90F8B" w:rsidRDefault="00E011A6" w:rsidP="00E011A6">
      <w:pPr>
        <w:ind w:firstLine="708"/>
        <w:jc w:val="both"/>
        <w:rPr>
          <w:rFonts w:ascii="Arial" w:hAnsi="Arial" w:cs="Arial"/>
          <w:color w:val="000000" w:themeColor="text1"/>
          <w:sz w:val="19"/>
          <w:szCs w:val="19"/>
        </w:rPr>
      </w:pPr>
    </w:p>
  </w:footnote>
  <w:footnote w:id="20">
    <w:p w14:paraId="4C3E5A23"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0F14C370"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21">
    <w:p w14:paraId="2A9A678C"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14:paraId="008320C2"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 w:id="22">
    <w:p w14:paraId="418C5D1C"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0DCE293" w14:textId="77777777" w:rsidR="00E011A6" w:rsidRPr="00F90F8B" w:rsidRDefault="00E011A6" w:rsidP="00E011A6">
      <w:pPr>
        <w:pStyle w:val="Textonotapie"/>
        <w:jc w:val="both"/>
        <w:rPr>
          <w:rFonts w:ascii="Arial" w:hAnsi="Arial" w:cs="Arial"/>
          <w:color w:val="000000" w:themeColor="text1"/>
          <w:sz w:val="19"/>
          <w:szCs w:val="19"/>
          <w:lang w:val="es-ES"/>
        </w:rPr>
      </w:pPr>
    </w:p>
  </w:footnote>
  <w:footnote w:id="23">
    <w:p w14:paraId="74ECF9D1" w14:textId="77777777" w:rsidR="00E011A6" w:rsidRPr="00F90F8B" w:rsidRDefault="00E011A6" w:rsidP="00E011A6">
      <w:pPr>
        <w:pStyle w:val="Textonotapie"/>
        <w:ind w:firstLine="708"/>
        <w:jc w:val="both"/>
        <w:rPr>
          <w:rFonts w:ascii="Arial" w:hAnsi="Arial" w:cs="Arial"/>
          <w:color w:val="000000" w:themeColor="text1"/>
          <w:sz w:val="19"/>
          <w:szCs w:val="19"/>
        </w:rPr>
      </w:pPr>
      <w:r w:rsidRPr="00F90F8B">
        <w:rPr>
          <w:rStyle w:val="Refdenotaalpie"/>
          <w:rFonts w:ascii="Arial" w:hAnsi="Arial" w:cs="Arial"/>
          <w:color w:val="000000" w:themeColor="text1"/>
          <w:sz w:val="19"/>
          <w:szCs w:val="19"/>
        </w:rPr>
        <w:footnoteRef/>
      </w:r>
      <w:r w:rsidRPr="00F90F8B">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4238ADA7" w14:textId="77777777" w:rsidR="00E011A6" w:rsidRPr="00F90F8B" w:rsidRDefault="00E011A6" w:rsidP="00E011A6">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0574" w14:textId="171C573C" w:rsidR="002C0F08" w:rsidRDefault="002C0F08">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23BDB" w14:textId="04AF0DE6" w:rsidR="002C0F08" w:rsidRDefault="002C0F08">
    <w:pPr>
      <w:pStyle w:val="Encabezado"/>
    </w:pPr>
  </w:p>
  <w:p w14:paraId="6520770B" w14:textId="18EB07B5" w:rsidR="002C0F08" w:rsidRDefault="002C0F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46E3E"/>
    <w:rsid w:val="000544AA"/>
    <w:rsid w:val="0005504D"/>
    <w:rsid w:val="0005691D"/>
    <w:rsid w:val="00064906"/>
    <w:rsid w:val="00077D7B"/>
    <w:rsid w:val="000846D5"/>
    <w:rsid w:val="000942EB"/>
    <w:rsid w:val="000962CC"/>
    <w:rsid w:val="000B103F"/>
    <w:rsid w:val="000F14E8"/>
    <w:rsid w:val="001010C9"/>
    <w:rsid w:val="00103915"/>
    <w:rsid w:val="00122B23"/>
    <w:rsid w:val="00127460"/>
    <w:rsid w:val="00127DF9"/>
    <w:rsid w:val="00137FFA"/>
    <w:rsid w:val="00174DE0"/>
    <w:rsid w:val="00180EC2"/>
    <w:rsid w:val="001E368B"/>
    <w:rsid w:val="00221537"/>
    <w:rsid w:val="00221DBF"/>
    <w:rsid w:val="002245B7"/>
    <w:rsid w:val="00234B84"/>
    <w:rsid w:val="00237A02"/>
    <w:rsid w:val="002546EB"/>
    <w:rsid w:val="00283240"/>
    <w:rsid w:val="002C0C32"/>
    <w:rsid w:val="002C0F08"/>
    <w:rsid w:val="002D019F"/>
    <w:rsid w:val="002E7B63"/>
    <w:rsid w:val="003033BA"/>
    <w:rsid w:val="0030356D"/>
    <w:rsid w:val="00312F61"/>
    <w:rsid w:val="0034680A"/>
    <w:rsid w:val="00374C14"/>
    <w:rsid w:val="003773B3"/>
    <w:rsid w:val="00386456"/>
    <w:rsid w:val="003A581E"/>
    <w:rsid w:val="003C56A8"/>
    <w:rsid w:val="003D2E70"/>
    <w:rsid w:val="00416F86"/>
    <w:rsid w:val="00423B22"/>
    <w:rsid w:val="004422D6"/>
    <w:rsid w:val="00473480"/>
    <w:rsid w:val="004829C3"/>
    <w:rsid w:val="0049207D"/>
    <w:rsid w:val="004957E0"/>
    <w:rsid w:val="004A34D2"/>
    <w:rsid w:val="004B1310"/>
    <w:rsid w:val="004C6357"/>
    <w:rsid w:val="004D4B37"/>
    <w:rsid w:val="004E0311"/>
    <w:rsid w:val="004F6327"/>
    <w:rsid w:val="0051074C"/>
    <w:rsid w:val="00511949"/>
    <w:rsid w:val="00513AF2"/>
    <w:rsid w:val="00536F8E"/>
    <w:rsid w:val="005425DC"/>
    <w:rsid w:val="0054413A"/>
    <w:rsid w:val="00547EAF"/>
    <w:rsid w:val="005509E8"/>
    <w:rsid w:val="005564CA"/>
    <w:rsid w:val="00577304"/>
    <w:rsid w:val="005A29D5"/>
    <w:rsid w:val="005A79FE"/>
    <w:rsid w:val="005D205A"/>
    <w:rsid w:val="00621284"/>
    <w:rsid w:val="00631E9B"/>
    <w:rsid w:val="00655371"/>
    <w:rsid w:val="006953B7"/>
    <w:rsid w:val="00697665"/>
    <w:rsid w:val="006A7FD0"/>
    <w:rsid w:val="006D7687"/>
    <w:rsid w:val="006E0572"/>
    <w:rsid w:val="00705631"/>
    <w:rsid w:val="00707022"/>
    <w:rsid w:val="007305E9"/>
    <w:rsid w:val="00742DD2"/>
    <w:rsid w:val="00755A6A"/>
    <w:rsid w:val="0075647A"/>
    <w:rsid w:val="007634AD"/>
    <w:rsid w:val="00775DEE"/>
    <w:rsid w:val="0078122E"/>
    <w:rsid w:val="007A1B75"/>
    <w:rsid w:val="007A39EE"/>
    <w:rsid w:val="007A57B1"/>
    <w:rsid w:val="007B0854"/>
    <w:rsid w:val="007B7BEE"/>
    <w:rsid w:val="007C4E39"/>
    <w:rsid w:val="007F4770"/>
    <w:rsid w:val="007F72CB"/>
    <w:rsid w:val="0083119B"/>
    <w:rsid w:val="00836EAB"/>
    <w:rsid w:val="00837624"/>
    <w:rsid w:val="0085092D"/>
    <w:rsid w:val="008802B3"/>
    <w:rsid w:val="008B72A1"/>
    <w:rsid w:val="008C37CF"/>
    <w:rsid w:val="008C395F"/>
    <w:rsid w:val="008E1C15"/>
    <w:rsid w:val="008F1C32"/>
    <w:rsid w:val="009047C5"/>
    <w:rsid w:val="009405B8"/>
    <w:rsid w:val="0095385A"/>
    <w:rsid w:val="00961E77"/>
    <w:rsid w:val="00966C1A"/>
    <w:rsid w:val="009C70CD"/>
    <w:rsid w:val="009D3276"/>
    <w:rsid w:val="00A0171D"/>
    <w:rsid w:val="00A24560"/>
    <w:rsid w:val="00A34538"/>
    <w:rsid w:val="00A54D8D"/>
    <w:rsid w:val="00A8612F"/>
    <w:rsid w:val="00AA442B"/>
    <w:rsid w:val="00B0781D"/>
    <w:rsid w:val="00B22E22"/>
    <w:rsid w:val="00B45516"/>
    <w:rsid w:val="00B525CB"/>
    <w:rsid w:val="00B52CE5"/>
    <w:rsid w:val="00B63CB2"/>
    <w:rsid w:val="00B762D8"/>
    <w:rsid w:val="00B81AF9"/>
    <w:rsid w:val="00BD78FE"/>
    <w:rsid w:val="00BE30D8"/>
    <w:rsid w:val="00BE6611"/>
    <w:rsid w:val="00BF0042"/>
    <w:rsid w:val="00BF4974"/>
    <w:rsid w:val="00C01953"/>
    <w:rsid w:val="00C31CBD"/>
    <w:rsid w:val="00C623B9"/>
    <w:rsid w:val="00C641EA"/>
    <w:rsid w:val="00C742BF"/>
    <w:rsid w:val="00C75628"/>
    <w:rsid w:val="00C83F0A"/>
    <w:rsid w:val="00CA287E"/>
    <w:rsid w:val="00CC00CD"/>
    <w:rsid w:val="00D16E39"/>
    <w:rsid w:val="00D3039F"/>
    <w:rsid w:val="00D4669C"/>
    <w:rsid w:val="00D72E9D"/>
    <w:rsid w:val="00D82CE5"/>
    <w:rsid w:val="00D96D18"/>
    <w:rsid w:val="00DA5AB1"/>
    <w:rsid w:val="00DB23FD"/>
    <w:rsid w:val="00DC62E5"/>
    <w:rsid w:val="00DD72A8"/>
    <w:rsid w:val="00DD735D"/>
    <w:rsid w:val="00DE3119"/>
    <w:rsid w:val="00DF236B"/>
    <w:rsid w:val="00DF68BD"/>
    <w:rsid w:val="00E011A6"/>
    <w:rsid w:val="00E13AB8"/>
    <w:rsid w:val="00E33B62"/>
    <w:rsid w:val="00E6555F"/>
    <w:rsid w:val="00E7478F"/>
    <w:rsid w:val="00E7741A"/>
    <w:rsid w:val="00E935A1"/>
    <w:rsid w:val="00E97537"/>
    <w:rsid w:val="00EA02C2"/>
    <w:rsid w:val="00EB1ECF"/>
    <w:rsid w:val="00EC6E6B"/>
    <w:rsid w:val="00EF3335"/>
    <w:rsid w:val="00F2678F"/>
    <w:rsid w:val="00F7295B"/>
    <w:rsid w:val="00F84899"/>
    <w:rsid w:val="00F859F0"/>
    <w:rsid w:val="00F90F8B"/>
    <w:rsid w:val="00FD699C"/>
    <w:rsid w:val="00FE141E"/>
    <w:rsid w:val="00FE18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E6555F"/>
    <w:pPr>
      <w:spacing w:after="160" w:line="240" w:lineRule="exact"/>
    </w:pPr>
    <w:rPr>
      <w:sz w:val="22"/>
      <w:vertAlign w:val="superscript"/>
      <w:lang w:val="es-CO"/>
    </w:rPr>
  </w:style>
  <w:style w:type="paragraph" w:customStyle="1" w:styleId="Default">
    <w:name w:val="Default"/>
    <w:rsid w:val="00F90F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99272BA-54FE-44D7-A3EA-822C8A557F1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101540D-11D0-483A-8272-5A9A45411CFD}">
  <ds:schemaRefs>
    <ds:schemaRef ds:uri="http://schemas.openxmlformats.org/officeDocument/2006/bibliography"/>
  </ds:schemaRefs>
</ds:datastoreItem>
</file>

<file path=customXml/itemProps4.xml><?xml version="1.0" encoding="utf-8"?>
<ds:datastoreItem xmlns:ds="http://schemas.openxmlformats.org/officeDocument/2006/customXml" ds:itemID="{D101A9E5-0DA0-41C9-8131-7692563B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22</Pages>
  <Words>8503</Words>
  <Characters>46767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2020-04-02T02:22:00Z</dcterms:created>
  <dcterms:modified xsi:type="dcterms:W3CDTF">2020-08-04T04:21:00Z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