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302B9" w:rsidR="00BE1E33" w:rsidP="00BE1E33" w:rsidRDefault="00BE1E33" w14:paraId="2D47BA26" w14:textId="77777777">
      <w:pPr>
        <w:jc w:val="right"/>
        <w:rPr>
          <w:rFonts w:ascii="Arial" w:hAnsi="Arial" w:cs="Arial"/>
          <w:b/>
          <w:sz w:val="16"/>
          <w:szCs w:val="16"/>
          <w:lang w:eastAsia="es-ES"/>
        </w:rPr>
      </w:pPr>
      <w:bookmarkStart w:name="_Hlk28946138" w:id="0"/>
      <w:bookmarkStart w:name="_Hlk29548183" w:id="1"/>
      <w:r w:rsidRPr="00D302B9">
        <w:rPr>
          <w:rFonts w:ascii="Arial" w:hAnsi="Arial" w:cs="Arial"/>
          <w:b/>
          <w:sz w:val="16"/>
          <w:szCs w:val="16"/>
          <w:lang w:eastAsia="es-ES"/>
        </w:rPr>
        <w:tab/>
      </w:r>
      <w:r w:rsidRPr="00D302B9">
        <w:rPr>
          <w:rFonts w:ascii="Arial" w:hAnsi="Arial" w:cs="Arial"/>
          <w:b/>
          <w:sz w:val="16"/>
          <w:szCs w:val="16"/>
          <w:lang w:eastAsia="es-ES"/>
        </w:rPr>
        <w:t>CCE-DES-FM-17</w:t>
      </w:r>
    </w:p>
    <w:p w:rsidRPr="00D302B9" w:rsidR="00BE1E33" w:rsidP="00BE1E33" w:rsidRDefault="00BE1E33" w14:paraId="25784C1D" w14:textId="77777777">
      <w:pPr>
        <w:jc w:val="both"/>
        <w:rPr>
          <w:rFonts w:ascii="Arial" w:hAnsi="Arial" w:eastAsia="Calibri" w:cs="Arial"/>
          <w:b/>
          <w:sz w:val="16"/>
          <w:szCs w:val="16"/>
        </w:rPr>
      </w:pPr>
    </w:p>
    <w:p w:rsidRPr="00D302B9" w:rsidR="00BE1E33" w:rsidP="48E46D31" w:rsidRDefault="005C60FC" w14:paraId="33BD1F25" w14:textId="669D6428">
      <w:pPr>
        <w:pStyle w:val="Normal"/>
        <w:jc w:val="both"/>
        <w:rPr>
          <w:rFonts w:ascii="Arial" w:hAnsi="Arial" w:eastAsia="Calibri" w:cs="Arial"/>
          <w:b w:val="1"/>
          <w:bCs w:val="1"/>
          <w:sz w:val="22"/>
          <w:szCs w:val="22"/>
        </w:rPr>
      </w:pPr>
      <w:r w:rsidRPr="48E46D31" w:rsidR="005C60FC">
        <w:rPr>
          <w:rFonts w:ascii="Arial" w:hAnsi="Arial" w:eastAsia="Calibri" w:cs="Arial"/>
          <w:b w:val="1"/>
          <w:bCs w:val="1"/>
          <w:sz w:val="22"/>
          <w:szCs w:val="22"/>
        </w:rPr>
        <w:t>EJECUCIÓN DEL CONTRATO</w:t>
      </w:r>
      <w:r w:rsidRPr="48E46D31" w:rsidR="00BE1E33">
        <w:rPr>
          <w:rFonts w:ascii="Arial" w:hAnsi="Arial" w:eastAsia="Calibri" w:cs="Arial"/>
          <w:b w:val="1"/>
          <w:bCs w:val="1"/>
          <w:sz w:val="22"/>
          <w:szCs w:val="22"/>
        </w:rPr>
        <w:t xml:space="preserve"> </w:t>
      </w:r>
      <w:r w:rsidRPr="48E46D31" w:rsidR="00C13BCD">
        <w:rPr>
          <w:rFonts w:ascii="Arial" w:hAnsi="Arial" w:eastAsia="Calibri" w:cs="Arial"/>
          <w:b w:val="1"/>
          <w:bCs w:val="1"/>
          <w:sz w:val="22"/>
          <w:szCs w:val="22"/>
        </w:rPr>
        <w:t>–</w:t>
      </w:r>
      <w:r w:rsidRPr="48E46D31" w:rsidR="00BE1E33">
        <w:rPr>
          <w:rFonts w:ascii="Arial" w:hAnsi="Arial" w:eastAsia="Calibri" w:cs="Arial"/>
          <w:b w:val="1"/>
          <w:bCs w:val="1"/>
          <w:sz w:val="22"/>
          <w:szCs w:val="22"/>
        </w:rPr>
        <w:t xml:space="preserve"> </w:t>
      </w:r>
      <w:r w:rsidRPr="48E46D31" w:rsidR="005C60FC">
        <w:rPr>
          <w:rFonts w:ascii="Arial" w:hAnsi="Arial" w:eastAsia="Calibri" w:cs="Arial"/>
          <w:b w:val="1"/>
          <w:bCs w:val="1"/>
          <w:sz w:val="22"/>
          <w:szCs w:val="22"/>
        </w:rPr>
        <w:t xml:space="preserve">Herramientas </w:t>
      </w:r>
      <w:r w:rsidRPr="48E46D31" w:rsidR="00566EE0">
        <w:rPr>
          <w:rFonts w:ascii="Arial" w:hAnsi="Arial" w:eastAsia="Calibri" w:cs="Arial"/>
          <w:b w:val="1"/>
          <w:bCs w:val="1"/>
          <w:sz w:val="22"/>
          <w:szCs w:val="22"/>
        </w:rPr>
        <w:t>– D</w:t>
      </w:r>
      <w:r w:rsidRPr="48E46D31" w:rsidR="005C60FC">
        <w:rPr>
          <w:rFonts w:ascii="Arial" w:hAnsi="Arial" w:eastAsia="Calibri" w:cs="Arial"/>
          <w:b w:val="1"/>
          <w:bCs w:val="1"/>
          <w:sz w:val="22"/>
          <w:szCs w:val="22"/>
        </w:rPr>
        <w:t xml:space="preserve">irigir el negocio </w:t>
      </w:r>
      <w:r w:rsidRPr="48E46D31" w:rsidR="4CC5C7DD">
        <w:rPr>
          <w:rFonts w:ascii="Arial" w:hAnsi="Arial" w:eastAsia="Calibri" w:cs="Arial"/>
          <w:b w:val="1"/>
          <w:bCs w:val="1"/>
          <w:sz w:val="22"/>
          <w:szCs w:val="22"/>
        </w:rPr>
        <w:t>–</w:t>
      </w:r>
      <w:r w:rsidRPr="48E46D31" w:rsidR="005C60FC">
        <w:rPr>
          <w:rFonts w:ascii="Arial" w:hAnsi="Arial" w:eastAsia="Calibri" w:cs="Arial"/>
          <w:b w:val="1"/>
          <w:bCs w:val="1"/>
          <w:sz w:val="22"/>
          <w:szCs w:val="22"/>
        </w:rPr>
        <w:t xml:space="preserve"> </w:t>
      </w:r>
      <w:r w:rsidRPr="48E46D31" w:rsidR="12D62379">
        <w:rPr>
          <w:rFonts w:ascii="Arial" w:hAnsi="Arial" w:eastAsia="Calibri" w:cs="Arial"/>
          <w:b w:val="1"/>
          <w:bCs w:val="1"/>
          <w:sz w:val="22"/>
          <w:szCs w:val="22"/>
        </w:rPr>
        <w:t>V</w:t>
      </w:r>
      <w:r w:rsidRPr="48E46D31" w:rsidR="005C60FC">
        <w:rPr>
          <w:rFonts w:ascii="Arial" w:hAnsi="Arial" w:eastAsia="Calibri" w:cs="Arial"/>
          <w:b w:val="1"/>
          <w:bCs w:val="1"/>
          <w:sz w:val="22"/>
          <w:szCs w:val="22"/>
        </w:rPr>
        <w:t>igilar y controlar</w:t>
      </w:r>
    </w:p>
    <w:p w:rsidRPr="00D302B9" w:rsidR="00BE1E33" w:rsidP="00BE1E33" w:rsidRDefault="00BE1E33" w14:paraId="79609206" w14:textId="77777777">
      <w:pPr>
        <w:jc w:val="both"/>
        <w:rPr>
          <w:rFonts w:ascii="Arial" w:hAnsi="Arial" w:eastAsia="Calibri" w:cs="Arial"/>
          <w:sz w:val="22"/>
        </w:rPr>
      </w:pPr>
    </w:p>
    <w:p w:rsidRPr="00D302B9" w:rsidR="00BE1E33" w:rsidP="00BE1E33" w:rsidRDefault="005C60FC" w14:paraId="04FCFBF5" w14:textId="176D33B1">
      <w:pPr>
        <w:jc w:val="both"/>
        <w:rPr>
          <w:rFonts w:ascii="Arial" w:hAnsi="Arial" w:eastAsia="Calibri" w:cs="Arial"/>
          <w:bCs/>
          <w:sz w:val="20"/>
          <w:szCs w:val="20"/>
        </w:rPr>
      </w:pPr>
      <w:r w:rsidRPr="00D302B9">
        <w:rPr>
          <w:rFonts w:ascii="Arial" w:hAnsi="Arial" w:eastAsia="Calibri" w:cs="Arial"/>
          <w:bCs/>
          <w:sz w:val="20"/>
          <w:szCs w:val="20"/>
        </w:rPr>
        <w:t xml:space="preserve">Durante la ejecución de los contratos, las entidades estatales generalmente cuentan con dos grupos de figuras jurídicas con base en las cuales pueden ejercer la dirección general del negocio y realizar las actividades propias de vigilancia y control, estas son: i) las cláusulas excepcionales y </w:t>
      </w:r>
      <w:proofErr w:type="spellStart"/>
      <w:r w:rsidRPr="00D302B9">
        <w:rPr>
          <w:rFonts w:ascii="Arial" w:hAnsi="Arial" w:eastAsia="Calibri" w:cs="Arial"/>
          <w:bCs/>
          <w:sz w:val="20"/>
          <w:szCs w:val="20"/>
        </w:rPr>
        <w:t>ii</w:t>
      </w:r>
      <w:proofErr w:type="spellEnd"/>
      <w:r w:rsidRPr="00D302B9">
        <w:rPr>
          <w:rFonts w:ascii="Arial" w:hAnsi="Arial" w:eastAsia="Calibri" w:cs="Arial"/>
          <w:bCs/>
          <w:sz w:val="20"/>
          <w:szCs w:val="20"/>
        </w:rPr>
        <w:t>) la declaratoria de incumplimiento bien para multar al contratista ora para hacer efectiva la cláusula penal.</w:t>
      </w:r>
    </w:p>
    <w:p w:rsidRPr="00D302B9" w:rsidR="009B6B6E" w:rsidP="00BE1E33" w:rsidRDefault="009B6B6E" w14:paraId="5364D0A9" w14:textId="5DA5C88C">
      <w:pPr>
        <w:jc w:val="both"/>
        <w:rPr>
          <w:rFonts w:ascii="Arial" w:hAnsi="Arial" w:eastAsia="Calibri" w:cs="Arial"/>
          <w:bCs/>
          <w:sz w:val="20"/>
          <w:szCs w:val="20"/>
        </w:rPr>
      </w:pPr>
    </w:p>
    <w:p w:rsidRPr="00D302B9" w:rsidR="009B6B6E" w:rsidP="009B6B6E" w:rsidRDefault="009B6B6E" w14:paraId="1225F967" w14:textId="63907814">
      <w:pPr>
        <w:jc w:val="both"/>
        <w:rPr>
          <w:rFonts w:ascii="Arial" w:hAnsi="Arial" w:eastAsia="Calibri" w:cs="Arial"/>
          <w:b/>
          <w:sz w:val="22"/>
        </w:rPr>
      </w:pPr>
      <w:r w:rsidRPr="00D302B9">
        <w:rPr>
          <w:rFonts w:ascii="Arial" w:hAnsi="Arial" w:eastAsia="Calibri" w:cs="Arial"/>
          <w:b/>
          <w:sz w:val="22"/>
        </w:rPr>
        <w:t xml:space="preserve">CLÁUSULAS EXCEPCIONALES </w:t>
      </w:r>
      <w:r w:rsidRPr="00D302B9" w:rsidR="00C13BCD">
        <w:rPr>
          <w:rFonts w:ascii="Arial" w:hAnsi="Arial" w:eastAsia="Calibri" w:cs="Arial"/>
          <w:b/>
          <w:sz w:val="22"/>
        </w:rPr>
        <w:t>–</w:t>
      </w:r>
      <w:r w:rsidRPr="00D302B9">
        <w:rPr>
          <w:rFonts w:ascii="Arial" w:hAnsi="Arial" w:eastAsia="Calibri" w:cs="Arial"/>
          <w:b/>
          <w:sz w:val="22"/>
        </w:rPr>
        <w:t xml:space="preserve"> Caducidad</w:t>
      </w:r>
    </w:p>
    <w:p w:rsidRPr="00D302B9" w:rsidR="009B6B6E" w:rsidP="009B6B6E" w:rsidRDefault="009B6B6E" w14:paraId="55DDAC6C" w14:textId="77777777">
      <w:pPr>
        <w:jc w:val="both"/>
        <w:rPr>
          <w:rFonts w:ascii="Arial" w:hAnsi="Arial" w:eastAsia="Calibri" w:cs="Arial"/>
          <w:sz w:val="20"/>
          <w:szCs w:val="20"/>
        </w:rPr>
      </w:pPr>
    </w:p>
    <w:p w:rsidRPr="00D302B9" w:rsidR="00BF28E6" w:rsidP="00EF093E" w:rsidRDefault="00BD6229" w14:paraId="0A76C3E9" w14:textId="3D4EC89E">
      <w:pPr>
        <w:spacing w:after="120"/>
        <w:jc w:val="both"/>
        <w:rPr>
          <w:rFonts w:ascii="Arial" w:hAnsi="Arial" w:eastAsia="Calibri" w:cs="Arial"/>
          <w:bCs/>
          <w:sz w:val="20"/>
          <w:szCs w:val="20"/>
        </w:rPr>
      </w:pPr>
      <w:r w:rsidRPr="00D302B9">
        <w:rPr>
          <w:rFonts w:ascii="Arial" w:hAnsi="Arial" w:eastAsia="Calibri" w:cs="Arial"/>
          <w:bCs/>
          <w:sz w:val="20"/>
          <w:szCs w:val="20"/>
        </w:rPr>
        <w:t>[…] l</w:t>
      </w:r>
      <w:r w:rsidRPr="00D302B9" w:rsidR="009B6B6E">
        <w:rPr>
          <w:rFonts w:ascii="Arial" w:hAnsi="Arial" w:eastAsia="Calibri" w:cs="Arial"/>
          <w:bCs/>
          <w:sz w:val="20"/>
          <w:szCs w:val="20"/>
        </w:rPr>
        <w:t xml:space="preserve">as cláusulas excepcionales son denominadas por la jurisprudencia del Consejo de Estado y por la doctrina como estipulaciones virtuales en los contratos de concesión, obra, prestación de servicios públicos y aquellos que tengan por objeto el ejercicio de una actividad que constituya monopolio estatal, pues en ellos, sin importar si se incorporaron o no dentro del instrumento negocial, se entienden incluidas por el ministerio de la ley, como lo dispone de forma clara el artículo 14 de la Ley 80 de 1993. </w:t>
      </w:r>
    </w:p>
    <w:p w:rsidRPr="00D302B9" w:rsidR="009B6B6E" w:rsidP="009B6B6E" w:rsidRDefault="009B6B6E" w14:paraId="3C0B84F1" w14:textId="020EBD09">
      <w:pPr>
        <w:jc w:val="both"/>
        <w:rPr>
          <w:rFonts w:ascii="Arial" w:hAnsi="Arial" w:eastAsia="Calibri" w:cs="Arial"/>
          <w:b/>
          <w:sz w:val="20"/>
          <w:szCs w:val="20"/>
        </w:rPr>
      </w:pPr>
      <w:r w:rsidRPr="00D302B9">
        <w:rPr>
          <w:rFonts w:ascii="Arial" w:hAnsi="Arial" w:eastAsia="Calibri" w:cs="Arial"/>
          <w:bCs/>
          <w:sz w:val="20"/>
          <w:szCs w:val="20"/>
        </w:rPr>
        <w:t>Sobre dichas cláusulas, por estar dentro del régimen sancionatorio, procede destacar la cláusula excepcional de caducidad, pues es la sanción más severa que existe en la contratación estatal, y se impone al contratista cuando incurre en un incumplimiento grave y directo que afecte la ejecución del contrato y evidencie que puede conducir a su paralización. Su propósito fundamental es permitirle a la entidad reemplazar al contratista para continuar con la ejecución de este con otro</w:t>
      </w:r>
      <w:r w:rsidRPr="00D302B9" w:rsidR="00F42D1D">
        <w:rPr>
          <w:rFonts w:ascii="Arial" w:hAnsi="Arial" w:eastAsia="Calibri" w:cs="Arial"/>
          <w:bCs/>
          <w:sz w:val="20"/>
          <w:szCs w:val="20"/>
        </w:rPr>
        <w:t>.</w:t>
      </w:r>
    </w:p>
    <w:p w:rsidRPr="00D302B9" w:rsidR="00BE1E33" w:rsidP="00BE1E33" w:rsidRDefault="00BE1E33" w14:paraId="04112049" w14:textId="77777777">
      <w:pPr>
        <w:jc w:val="both"/>
        <w:rPr>
          <w:rFonts w:ascii="Arial" w:hAnsi="Arial" w:eastAsia="Calibri" w:cs="Arial"/>
          <w:sz w:val="19"/>
          <w:szCs w:val="19"/>
        </w:rPr>
      </w:pPr>
    </w:p>
    <w:p w:rsidRPr="00D302B9" w:rsidR="00F42D1D" w:rsidP="00F42D1D" w:rsidRDefault="00F42D1D" w14:paraId="7FD6EF48" w14:textId="724868D5">
      <w:pPr>
        <w:jc w:val="both"/>
        <w:rPr>
          <w:rFonts w:ascii="Arial" w:hAnsi="Arial" w:eastAsia="Calibri" w:cs="Arial"/>
          <w:b/>
          <w:sz w:val="22"/>
        </w:rPr>
      </w:pPr>
      <w:r w:rsidRPr="00D302B9">
        <w:rPr>
          <w:rFonts w:ascii="Arial" w:hAnsi="Arial" w:eastAsia="Calibri" w:cs="Arial"/>
          <w:b/>
          <w:sz w:val="22"/>
        </w:rPr>
        <w:t xml:space="preserve">CADUCIDAD </w:t>
      </w:r>
      <w:r w:rsidRPr="00D302B9" w:rsidR="00C13BCD">
        <w:rPr>
          <w:rFonts w:ascii="Arial" w:hAnsi="Arial" w:eastAsia="Calibri" w:cs="Arial"/>
          <w:b/>
          <w:sz w:val="22"/>
        </w:rPr>
        <w:t>–</w:t>
      </w:r>
      <w:r w:rsidRPr="00D302B9">
        <w:rPr>
          <w:rFonts w:ascii="Arial" w:hAnsi="Arial" w:eastAsia="Calibri" w:cs="Arial"/>
          <w:b/>
          <w:sz w:val="22"/>
        </w:rPr>
        <w:t xml:space="preserve"> Consecuencias jurídicas</w:t>
      </w:r>
    </w:p>
    <w:p w:rsidRPr="00D302B9" w:rsidR="00F42D1D" w:rsidP="00F42D1D" w:rsidRDefault="00F42D1D" w14:paraId="73A6AD04" w14:textId="77777777">
      <w:pPr>
        <w:jc w:val="both"/>
        <w:rPr>
          <w:rFonts w:ascii="Arial" w:hAnsi="Arial" w:eastAsia="Calibri" w:cs="Arial"/>
          <w:sz w:val="20"/>
          <w:szCs w:val="20"/>
        </w:rPr>
      </w:pPr>
    </w:p>
    <w:p w:rsidRPr="00D302B9" w:rsidR="00BE1E33" w:rsidP="00BE1E33" w:rsidRDefault="00A92071" w14:paraId="2010468C" w14:textId="0EAB5591">
      <w:pPr>
        <w:jc w:val="both"/>
        <w:rPr>
          <w:rFonts w:ascii="Arial" w:hAnsi="Arial" w:eastAsia="Calibri" w:cs="Arial"/>
          <w:bCs/>
          <w:sz w:val="20"/>
          <w:szCs w:val="20"/>
        </w:rPr>
      </w:pPr>
      <w:r w:rsidRPr="00D302B9">
        <w:rPr>
          <w:rFonts w:ascii="Arial" w:hAnsi="Arial" w:eastAsia="Calibri" w:cs="Arial"/>
          <w:bCs/>
          <w:sz w:val="20"/>
          <w:szCs w:val="20"/>
        </w:rPr>
        <w:t xml:space="preserve">Las consecuencias jurídicas que se generan con ocasión de la declaratoria de </w:t>
      </w:r>
      <w:proofErr w:type="gramStart"/>
      <w:r w:rsidRPr="00D302B9">
        <w:rPr>
          <w:rFonts w:ascii="Arial" w:hAnsi="Arial" w:eastAsia="Calibri" w:cs="Arial"/>
          <w:bCs/>
          <w:sz w:val="20"/>
          <w:szCs w:val="20"/>
        </w:rPr>
        <w:t>caducidad,</w:t>
      </w:r>
      <w:proofErr w:type="gramEnd"/>
      <w:r w:rsidRPr="00D302B9">
        <w:rPr>
          <w:rFonts w:ascii="Arial" w:hAnsi="Arial" w:eastAsia="Calibri" w:cs="Arial"/>
          <w:bCs/>
          <w:sz w:val="20"/>
          <w:szCs w:val="20"/>
        </w:rPr>
        <w:t xml:space="preserve"> son: i) terminación del contrato; </w:t>
      </w:r>
      <w:proofErr w:type="spellStart"/>
      <w:r w:rsidRPr="00D302B9">
        <w:rPr>
          <w:rFonts w:ascii="Arial" w:hAnsi="Arial" w:eastAsia="Calibri" w:cs="Arial"/>
          <w:bCs/>
          <w:sz w:val="20"/>
          <w:szCs w:val="20"/>
        </w:rPr>
        <w:t>ii</w:t>
      </w:r>
      <w:proofErr w:type="spellEnd"/>
      <w:r w:rsidRPr="00D302B9">
        <w:rPr>
          <w:rFonts w:ascii="Arial" w:hAnsi="Arial" w:eastAsia="Calibri" w:cs="Arial"/>
          <w:bCs/>
          <w:sz w:val="20"/>
          <w:szCs w:val="20"/>
        </w:rPr>
        <w:t xml:space="preserve">) iniciación del trámite de liquidación bilateral; </w:t>
      </w:r>
      <w:proofErr w:type="spellStart"/>
      <w:r w:rsidRPr="00D302B9">
        <w:rPr>
          <w:rFonts w:ascii="Arial" w:hAnsi="Arial" w:eastAsia="Calibri" w:cs="Arial"/>
          <w:bCs/>
          <w:sz w:val="20"/>
          <w:szCs w:val="20"/>
        </w:rPr>
        <w:t>iii</w:t>
      </w:r>
      <w:proofErr w:type="spellEnd"/>
      <w:r w:rsidRPr="00D302B9">
        <w:rPr>
          <w:rFonts w:ascii="Arial" w:hAnsi="Arial" w:eastAsia="Calibri" w:cs="Arial"/>
          <w:bCs/>
          <w:sz w:val="20"/>
          <w:szCs w:val="20"/>
        </w:rPr>
        <w:t xml:space="preserve">) inhabilidad sobreviniente por cinco años; </w:t>
      </w:r>
      <w:proofErr w:type="spellStart"/>
      <w:r w:rsidRPr="00D302B9">
        <w:rPr>
          <w:rFonts w:ascii="Arial" w:hAnsi="Arial" w:eastAsia="Calibri" w:cs="Arial"/>
          <w:bCs/>
          <w:sz w:val="20"/>
          <w:szCs w:val="20"/>
        </w:rPr>
        <w:t>iv</w:t>
      </w:r>
      <w:proofErr w:type="spellEnd"/>
      <w:r w:rsidRPr="00D302B9">
        <w:rPr>
          <w:rFonts w:ascii="Arial" w:hAnsi="Arial" w:eastAsia="Calibri" w:cs="Arial"/>
          <w:bCs/>
          <w:sz w:val="20"/>
          <w:szCs w:val="20"/>
        </w:rPr>
        <w:t xml:space="preserve">) efectividad de la garantía única de cumplimiento; y v) reporte al </w:t>
      </w:r>
      <w:proofErr w:type="spellStart"/>
      <w:r w:rsidRPr="00D302B9">
        <w:rPr>
          <w:rFonts w:ascii="Arial" w:hAnsi="Arial" w:eastAsia="Calibri" w:cs="Arial"/>
          <w:bCs/>
          <w:sz w:val="20"/>
          <w:szCs w:val="20"/>
        </w:rPr>
        <w:t>Secop</w:t>
      </w:r>
      <w:proofErr w:type="spellEnd"/>
      <w:r w:rsidRPr="00D302B9">
        <w:rPr>
          <w:rFonts w:ascii="Arial" w:hAnsi="Arial" w:eastAsia="Calibri" w:cs="Arial"/>
          <w:bCs/>
          <w:sz w:val="20"/>
          <w:szCs w:val="20"/>
        </w:rPr>
        <w:t>, Procuraduría General de la Nación y a la Cámara de Comercio donde el contratista esté inscrito con el propósito de incluir la anotación en el Registro Único de Proponentes.</w:t>
      </w:r>
    </w:p>
    <w:p w:rsidRPr="00D302B9" w:rsidR="00023568" w:rsidP="00BE1E33" w:rsidRDefault="00023568" w14:paraId="5DFE5D16" w14:textId="024604CA">
      <w:pPr>
        <w:jc w:val="both"/>
        <w:rPr>
          <w:rFonts w:ascii="Arial" w:hAnsi="Arial" w:eastAsia="Calibri" w:cs="Arial"/>
          <w:bCs/>
          <w:sz w:val="20"/>
          <w:szCs w:val="20"/>
        </w:rPr>
      </w:pPr>
    </w:p>
    <w:p w:rsidRPr="00D302B9" w:rsidR="00023568" w:rsidP="00023568" w:rsidRDefault="00023568" w14:paraId="58C00C37" w14:textId="3FF37CD8">
      <w:pPr>
        <w:jc w:val="both"/>
        <w:rPr>
          <w:rFonts w:ascii="Arial" w:hAnsi="Arial" w:eastAsia="Calibri" w:cs="Arial"/>
          <w:b/>
          <w:sz w:val="22"/>
        </w:rPr>
      </w:pPr>
      <w:r w:rsidRPr="00D302B9">
        <w:rPr>
          <w:rFonts w:ascii="Arial" w:hAnsi="Arial" w:eastAsia="Calibri" w:cs="Arial"/>
          <w:b/>
          <w:sz w:val="22"/>
        </w:rPr>
        <w:t xml:space="preserve">INCUMPLIMIENTO </w:t>
      </w:r>
      <w:r w:rsidRPr="00D302B9" w:rsidR="00CF4E38">
        <w:rPr>
          <w:rFonts w:ascii="Arial" w:hAnsi="Arial" w:eastAsia="Calibri" w:cs="Arial"/>
          <w:b/>
          <w:sz w:val="22"/>
        </w:rPr>
        <w:t xml:space="preserve">DEL CONTRATO </w:t>
      </w:r>
      <w:r w:rsidRPr="00D302B9" w:rsidR="00C13BCD">
        <w:rPr>
          <w:rFonts w:ascii="Arial" w:hAnsi="Arial" w:eastAsia="Calibri" w:cs="Arial"/>
          <w:b/>
          <w:sz w:val="22"/>
        </w:rPr>
        <w:t>–</w:t>
      </w:r>
      <w:r w:rsidRPr="00D302B9">
        <w:rPr>
          <w:rFonts w:ascii="Arial" w:hAnsi="Arial" w:eastAsia="Calibri" w:cs="Arial"/>
          <w:b/>
          <w:sz w:val="22"/>
        </w:rPr>
        <w:t xml:space="preserve"> </w:t>
      </w:r>
      <w:r w:rsidRPr="00D302B9" w:rsidR="00CF4E38">
        <w:rPr>
          <w:rFonts w:ascii="Arial" w:hAnsi="Arial" w:eastAsia="Calibri" w:cs="Arial"/>
          <w:b/>
          <w:sz w:val="22"/>
        </w:rPr>
        <w:t xml:space="preserve">Declaratoria – </w:t>
      </w:r>
      <w:r w:rsidRPr="00D302B9">
        <w:rPr>
          <w:rFonts w:ascii="Arial" w:hAnsi="Arial" w:eastAsia="Calibri" w:cs="Arial"/>
          <w:b/>
          <w:sz w:val="22"/>
        </w:rPr>
        <w:t>Finalidad</w:t>
      </w:r>
    </w:p>
    <w:p w:rsidRPr="00D302B9" w:rsidR="00023568" w:rsidP="00023568" w:rsidRDefault="00023568" w14:paraId="5AA186B3" w14:textId="77777777">
      <w:pPr>
        <w:jc w:val="both"/>
        <w:rPr>
          <w:rFonts w:ascii="Arial" w:hAnsi="Arial" w:eastAsia="Calibri" w:cs="Arial"/>
          <w:sz w:val="20"/>
          <w:szCs w:val="20"/>
        </w:rPr>
      </w:pPr>
    </w:p>
    <w:p w:rsidRPr="00D302B9" w:rsidR="00BE1E33" w:rsidP="00023568" w:rsidRDefault="00023568" w14:paraId="2B6F1AEA" w14:textId="0ECD20E4">
      <w:pPr>
        <w:jc w:val="both"/>
        <w:rPr>
          <w:rFonts w:ascii="Arial" w:hAnsi="Arial" w:eastAsia="Calibri" w:cs="Arial"/>
          <w:bCs/>
          <w:sz w:val="20"/>
          <w:szCs w:val="20"/>
        </w:rPr>
      </w:pPr>
      <w:r w:rsidRPr="00D302B9">
        <w:rPr>
          <w:rFonts w:ascii="Arial" w:hAnsi="Arial" w:eastAsia="Calibri" w:cs="Arial"/>
          <w:bCs/>
          <w:sz w:val="20"/>
          <w:szCs w:val="20"/>
        </w:rPr>
        <w:t>La declaratoria de incumplimiento bien para multar al contratista ora para hacer efectiva la cláusula penal […] cuenta con una muy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lo cierto es que es indispensable que en uno u otro caso se hayan pactado en forma inequívoca dentro del contrato.</w:t>
      </w:r>
    </w:p>
    <w:p w:rsidRPr="00D302B9" w:rsidR="0010086D" w:rsidP="00023568" w:rsidRDefault="0010086D" w14:paraId="6E738EEF" w14:textId="623F6B4C">
      <w:pPr>
        <w:jc w:val="both"/>
        <w:rPr>
          <w:rFonts w:ascii="Arial" w:hAnsi="Arial" w:eastAsia="Calibri" w:cs="Arial"/>
          <w:bCs/>
          <w:sz w:val="19"/>
          <w:szCs w:val="19"/>
        </w:rPr>
      </w:pPr>
    </w:p>
    <w:p w:rsidRPr="00D302B9" w:rsidR="0010086D" w:rsidP="48E46D31" w:rsidRDefault="0010086D" w14:paraId="57933023" w14:textId="40D6F125">
      <w:pPr>
        <w:pStyle w:val="Normal"/>
        <w:jc w:val="both"/>
        <w:rPr>
          <w:rFonts w:ascii="Arial" w:hAnsi="Arial" w:eastAsia="Calibri" w:cs="Arial"/>
          <w:b w:val="1"/>
          <w:bCs w:val="1"/>
          <w:sz w:val="22"/>
          <w:szCs w:val="22"/>
        </w:rPr>
      </w:pPr>
      <w:r w:rsidRPr="48E46D31" w:rsidR="0010086D">
        <w:rPr>
          <w:rFonts w:ascii="Arial" w:hAnsi="Arial" w:eastAsia="Calibri" w:cs="Arial"/>
          <w:b w:val="1"/>
          <w:bCs w:val="1"/>
          <w:sz w:val="22"/>
          <w:szCs w:val="22"/>
        </w:rPr>
        <w:t xml:space="preserve">MULTA </w:t>
      </w:r>
      <w:r w:rsidRPr="48E46D31" w:rsidR="00C13BCD">
        <w:rPr>
          <w:rFonts w:ascii="Arial" w:hAnsi="Arial" w:eastAsia="Calibri" w:cs="Arial"/>
          <w:b w:val="1"/>
          <w:bCs w:val="1"/>
          <w:sz w:val="22"/>
          <w:szCs w:val="22"/>
        </w:rPr>
        <w:t xml:space="preserve">– </w:t>
      </w:r>
      <w:r w:rsidRPr="48E46D31" w:rsidR="1D04EB66">
        <w:rPr>
          <w:rFonts w:ascii="Arial" w:hAnsi="Arial" w:eastAsia="Calibri" w:cs="Arial"/>
          <w:b w:val="1"/>
          <w:bCs w:val="1"/>
          <w:sz w:val="22"/>
          <w:szCs w:val="22"/>
        </w:rPr>
        <w:t>Criterios – Razonabilidad – Proporcionalidad – Necesidad</w:t>
      </w:r>
    </w:p>
    <w:p w:rsidRPr="00D302B9" w:rsidR="0010086D" w:rsidP="0010086D" w:rsidRDefault="0010086D" w14:paraId="44AA924B" w14:textId="77777777">
      <w:pPr>
        <w:jc w:val="both"/>
        <w:rPr>
          <w:rFonts w:ascii="Arial" w:hAnsi="Arial" w:eastAsia="Calibri" w:cs="Arial"/>
          <w:sz w:val="22"/>
        </w:rPr>
      </w:pPr>
    </w:p>
    <w:p w:rsidRPr="00D302B9" w:rsidR="0010086D" w:rsidP="7E983650" w:rsidRDefault="00146D77" w14:paraId="484BB857" w14:textId="18F305CD">
      <w:pPr>
        <w:spacing w:after="120"/>
        <w:jc w:val="both"/>
        <w:rPr>
          <w:rFonts w:ascii="Arial" w:hAnsi="Arial" w:eastAsia="Calibri" w:cs="Arial"/>
          <w:sz w:val="20"/>
          <w:szCs w:val="20"/>
        </w:rPr>
      </w:pPr>
      <w:r w:rsidRPr="00D302B9">
        <w:rPr>
          <w:rFonts w:ascii="Arial" w:hAnsi="Arial" w:eastAsia="Calibri" w:cs="Arial"/>
          <w:sz w:val="20"/>
          <w:szCs w:val="20"/>
        </w:rPr>
        <w:t xml:space="preserve">[…] </w:t>
      </w:r>
      <w:r w:rsidRPr="00D302B9" w:rsidR="608D3C3F">
        <w:rPr>
          <w:rFonts w:ascii="Arial" w:hAnsi="Arial" w:eastAsia="Calibri" w:cs="Arial"/>
          <w:sz w:val="20"/>
          <w:szCs w:val="20"/>
        </w:rPr>
        <w:t>t</w:t>
      </w:r>
      <w:r w:rsidRPr="00D302B9" w:rsidR="0010086D">
        <w:rPr>
          <w:rFonts w:ascii="Arial" w:hAnsi="Arial" w:eastAsia="Calibri" w:cs="Arial"/>
          <w:sz w:val="20"/>
          <w:szCs w:val="20"/>
        </w:rPr>
        <w:t xml:space="preserve">ratándose de las multas, en cumplimiento del principio de tipicidad, las partes deben determinar pormenorizadamente las acciones u omisiones objeto de sanción y el monto de la sanción a imponer, el cual, en todo caso, deberá atender los criterios de proporcionalidad, razonabilidad y necesidad. </w:t>
      </w:r>
    </w:p>
    <w:p w:rsidRPr="00D302B9" w:rsidR="0010086D" w:rsidP="0010086D" w:rsidRDefault="0010086D" w14:paraId="360421D8" w14:textId="19502E64">
      <w:pPr>
        <w:jc w:val="both"/>
        <w:rPr>
          <w:rFonts w:ascii="Arial" w:hAnsi="Arial" w:eastAsia="Calibri" w:cs="Arial"/>
          <w:bCs/>
          <w:sz w:val="20"/>
          <w:szCs w:val="20"/>
        </w:rPr>
      </w:pPr>
      <w:r w:rsidRPr="00D302B9">
        <w:rPr>
          <w:rFonts w:ascii="Arial" w:hAnsi="Arial" w:eastAsia="Calibri" w:cs="Arial"/>
          <w:bCs/>
          <w:sz w:val="20"/>
          <w:szCs w:val="20"/>
        </w:rPr>
        <w:t xml:space="preserve">En esa línea se pronunció la Sección Tercera del Consejo de Estado, en la Sentencia del 15 de noviembre de 2011, expediente 20.916, con ponencia de Olga Mélida Valle de </w:t>
      </w:r>
      <w:proofErr w:type="spellStart"/>
      <w:r w:rsidRPr="00D302B9">
        <w:rPr>
          <w:rFonts w:ascii="Arial" w:hAnsi="Arial" w:eastAsia="Calibri" w:cs="Arial"/>
          <w:bCs/>
          <w:sz w:val="20"/>
          <w:szCs w:val="20"/>
        </w:rPr>
        <w:t>De</w:t>
      </w:r>
      <w:proofErr w:type="spellEnd"/>
      <w:r w:rsidRPr="00D302B9">
        <w:rPr>
          <w:rFonts w:ascii="Arial" w:hAnsi="Arial" w:eastAsia="Calibri" w:cs="Arial"/>
          <w:bCs/>
          <w:sz w:val="20"/>
          <w:szCs w:val="20"/>
        </w:rPr>
        <w:t xml:space="preserve"> La Hoz</w:t>
      </w:r>
      <w:r w:rsidRPr="00D302B9" w:rsidR="00D302B9">
        <w:rPr>
          <w:rFonts w:ascii="Arial" w:hAnsi="Arial" w:eastAsia="Calibri" w:cs="Arial"/>
          <w:bCs/>
          <w:sz w:val="20"/>
          <w:szCs w:val="20"/>
        </w:rPr>
        <w:t xml:space="preserve"> […]</w:t>
      </w:r>
      <w:r w:rsidRPr="00D302B9" w:rsidR="00611356">
        <w:rPr>
          <w:rFonts w:ascii="Arial" w:hAnsi="Arial" w:eastAsia="Calibri" w:cs="Arial"/>
          <w:bCs/>
          <w:sz w:val="20"/>
          <w:szCs w:val="20"/>
        </w:rPr>
        <w:t>.</w:t>
      </w:r>
    </w:p>
    <w:p w:rsidRPr="00D302B9" w:rsidR="00023568" w:rsidP="00023568" w:rsidRDefault="00023568" w14:paraId="1DC75023" w14:textId="025A1B72">
      <w:pPr>
        <w:jc w:val="both"/>
        <w:rPr>
          <w:rFonts w:ascii="Arial" w:hAnsi="Arial" w:eastAsia="Calibri" w:cs="Arial"/>
          <w:bCs/>
          <w:sz w:val="20"/>
          <w:szCs w:val="20"/>
        </w:rPr>
      </w:pPr>
    </w:p>
    <w:p w:rsidRPr="00D302B9" w:rsidR="00611356" w:rsidP="48E46D31" w:rsidRDefault="00611356" w14:paraId="4F00420D" w14:textId="6D715519">
      <w:pPr>
        <w:jc w:val="both"/>
        <w:rPr>
          <w:rFonts w:ascii="Arial" w:hAnsi="Arial" w:eastAsia="Calibri" w:cs="Arial"/>
          <w:b w:val="1"/>
          <w:bCs w:val="1"/>
          <w:sz w:val="22"/>
          <w:szCs w:val="22"/>
        </w:rPr>
      </w:pPr>
      <w:r w:rsidRPr="48E46D31" w:rsidR="00611356">
        <w:rPr>
          <w:rFonts w:ascii="Arial" w:hAnsi="Arial" w:eastAsia="Calibri" w:cs="Arial"/>
          <w:b w:val="1"/>
          <w:bCs w:val="1"/>
          <w:sz w:val="22"/>
          <w:szCs w:val="22"/>
        </w:rPr>
        <w:t xml:space="preserve">MULTA </w:t>
      </w:r>
      <w:r w:rsidRPr="48E46D31" w:rsidR="00C13BCD">
        <w:rPr>
          <w:rFonts w:ascii="Arial" w:hAnsi="Arial" w:eastAsia="Calibri" w:cs="Arial"/>
          <w:b w:val="1"/>
          <w:bCs w:val="1"/>
          <w:sz w:val="22"/>
          <w:szCs w:val="22"/>
        </w:rPr>
        <w:t>–</w:t>
      </w:r>
      <w:r w:rsidRPr="48E46D31" w:rsidR="00611356">
        <w:rPr>
          <w:rFonts w:ascii="Arial" w:hAnsi="Arial" w:eastAsia="Calibri" w:cs="Arial"/>
          <w:b w:val="1"/>
          <w:bCs w:val="1"/>
          <w:sz w:val="22"/>
          <w:szCs w:val="22"/>
        </w:rPr>
        <w:t xml:space="preserve"> Principio de tipicidad</w:t>
      </w:r>
    </w:p>
    <w:p w:rsidRPr="00D302B9" w:rsidR="00611356" w:rsidP="00611356" w:rsidRDefault="00611356" w14:paraId="57F2CF7A" w14:textId="77777777">
      <w:pPr>
        <w:jc w:val="both"/>
        <w:rPr>
          <w:rFonts w:ascii="Arial" w:hAnsi="Arial" w:eastAsia="Calibri" w:cs="Arial"/>
          <w:sz w:val="20"/>
          <w:szCs w:val="20"/>
        </w:rPr>
      </w:pPr>
    </w:p>
    <w:p w:rsidRPr="00D302B9" w:rsidR="00146D77" w:rsidP="7E983650" w:rsidRDefault="00146D77" w14:paraId="2323954F" w14:textId="777F30FB">
      <w:pPr>
        <w:spacing w:after="120"/>
        <w:jc w:val="both"/>
        <w:rPr>
          <w:rFonts w:ascii="Arial" w:hAnsi="Arial" w:eastAsia="Calibri" w:cs="Arial"/>
          <w:sz w:val="20"/>
          <w:szCs w:val="20"/>
        </w:rPr>
      </w:pPr>
      <w:r w:rsidRPr="00D302B9">
        <w:rPr>
          <w:rFonts w:ascii="Arial" w:hAnsi="Arial" w:eastAsia="Calibri" w:cs="Arial"/>
          <w:sz w:val="20"/>
          <w:szCs w:val="20"/>
        </w:rPr>
        <w:t xml:space="preserve">[…] </w:t>
      </w:r>
      <w:r w:rsidRPr="00D302B9" w:rsidR="3AF407BC">
        <w:rPr>
          <w:rFonts w:ascii="Arial" w:hAnsi="Arial" w:eastAsia="Calibri" w:cs="Arial"/>
          <w:sz w:val="20"/>
          <w:szCs w:val="20"/>
        </w:rPr>
        <w:t>e</w:t>
      </w:r>
      <w:r w:rsidRPr="00D302B9" w:rsidR="001E70D8">
        <w:rPr>
          <w:rFonts w:ascii="Arial" w:hAnsi="Arial" w:eastAsia="Calibri" w:cs="Arial"/>
          <w:sz w:val="20"/>
          <w:szCs w:val="20"/>
        </w:rPr>
        <w:t>n la Sentencia del 23 de junio de 2010, expediente 16.367 y ponencia de Enrique Gil Botero, la Sección Tercera del Consejo de Estado indicó que «el núcleo mínimo de este derecho exige que una norma –legal o contractual– contemple la falta y la sanción. Si ni siquiera lo hace el contrato, la administración no puede imponer sanciones, so pena de violar el debido proceso».</w:t>
      </w:r>
    </w:p>
    <w:p w:rsidRPr="00D302B9" w:rsidR="00D302B9" w:rsidP="7E983650" w:rsidRDefault="00D302B9" w14:paraId="65870298" w14:textId="29E94EC2">
      <w:pPr>
        <w:spacing w:after="120"/>
        <w:jc w:val="both"/>
        <w:rPr>
          <w:rFonts w:ascii="Arial" w:hAnsi="Arial" w:eastAsia="Calibri" w:cs="Arial"/>
          <w:sz w:val="20"/>
          <w:szCs w:val="20"/>
        </w:rPr>
      </w:pPr>
      <w:r w:rsidRPr="00D302B9">
        <w:rPr>
          <w:rFonts w:ascii="Arial" w:hAnsi="Arial" w:eastAsia="Calibri" w:cs="Arial"/>
          <w:sz w:val="20"/>
          <w:szCs w:val="20"/>
        </w:rPr>
        <w:t>[…]</w:t>
      </w:r>
    </w:p>
    <w:p w:rsidRPr="00D302B9" w:rsidR="00023568" w:rsidP="00023568" w:rsidRDefault="001E70D8" w14:paraId="55DB97E4" w14:textId="3E7B6182">
      <w:pPr>
        <w:jc w:val="both"/>
        <w:rPr>
          <w:rFonts w:ascii="Arial" w:hAnsi="Arial" w:eastAsia="Calibri" w:cs="Arial"/>
          <w:bCs/>
          <w:sz w:val="20"/>
          <w:szCs w:val="20"/>
        </w:rPr>
      </w:pPr>
      <w:r w:rsidRPr="00D302B9">
        <w:rPr>
          <w:rFonts w:ascii="Arial" w:hAnsi="Arial" w:eastAsia="Calibri" w:cs="Arial"/>
          <w:bCs/>
          <w:sz w:val="20"/>
          <w:szCs w:val="20"/>
        </w:rPr>
        <w:t>De otro lado, la Corte Constitucional precisó que la tipicidad hacía referencia a «la exigencia de descripción específica y precisa por la norma creadora de las infracciones y de las sanciones, de las conductas que pueden ser sancionadas y del contenido material de las sanciones que puede imponerse por la comisión de cada conducta, así́ como la correlación entre unas y otras».</w:t>
      </w:r>
    </w:p>
    <w:p w:rsidRPr="00D302B9" w:rsidR="001E70D8" w:rsidP="00023568" w:rsidRDefault="001E70D8" w14:paraId="6858061F" w14:textId="53EBF198">
      <w:pPr>
        <w:jc w:val="both"/>
        <w:rPr>
          <w:rFonts w:ascii="Arial" w:hAnsi="Arial" w:eastAsia="Calibri" w:cs="Arial"/>
          <w:bCs/>
          <w:sz w:val="19"/>
          <w:szCs w:val="19"/>
        </w:rPr>
      </w:pPr>
    </w:p>
    <w:p w:rsidRPr="00D302B9" w:rsidR="001E70D8" w:rsidP="48E46D31" w:rsidRDefault="001E70D8" w14:paraId="27A329A3" w14:textId="3A224FE3">
      <w:pPr>
        <w:pStyle w:val="Normal"/>
        <w:jc w:val="both"/>
        <w:rPr>
          <w:rFonts w:ascii="Arial" w:hAnsi="Arial" w:eastAsia="Calibri" w:cs="Arial"/>
          <w:b w:val="1"/>
          <w:bCs w:val="1"/>
          <w:sz w:val="22"/>
          <w:szCs w:val="22"/>
        </w:rPr>
      </w:pPr>
      <w:r w:rsidRPr="48E46D31" w:rsidR="001E70D8">
        <w:rPr>
          <w:rFonts w:ascii="Arial" w:hAnsi="Arial" w:eastAsia="Calibri" w:cs="Arial"/>
          <w:b w:val="1"/>
          <w:bCs w:val="1"/>
          <w:sz w:val="22"/>
          <w:szCs w:val="22"/>
        </w:rPr>
        <w:t xml:space="preserve">MULTA </w:t>
      </w:r>
      <w:r w:rsidRPr="48E46D31" w:rsidR="1DF54850">
        <w:rPr>
          <w:rFonts w:ascii="Arial" w:hAnsi="Arial" w:eastAsia="Calibri" w:cs="Arial"/>
          <w:b w:val="1"/>
          <w:bCs w:val="1"/>
          <w:sz w:val="22"/>
          <w:szCs w:val="22"/>
        </w:rPr>
        <w:t>– Cláusula penal</w:t>
      </w:r>
      <w:r w:rsidRPr="48E46D31" w:rsidR="001E70D8">
        <w:rPr>
          <w:rFonts w:ascii="Arial" w:hAnsi="Arial" w:eastAsia="Calibri" w:cs="Arial"/>
          <w:b w:val="1"/>
          <w:bCs w:val="1"/>
          <w:sz w:val="22"/>
          <w:szCs w:val="22"/>
        </w:rPr>
        <w:t xml:space="preserve"> </w:t>
      </w:r>
      <w:r w:rsidRPr="48E46D31" w:rsidR="00C13BCD">
        <w:rPr>
          <w:rFonts w:ascii="Arial" w:hAnsi="Arial" w:eastAsia="Calibri" w:cs="Arial"/>
          <w:b w:val="1"/>
          <w:bCs w:val="1"/>
          <w:sz w:val="22"/>
          <w:szCs w:val="22"/>
        </w:rPr>
        <w:t>–</w:t>
      </w:r>
      <w:r w:rsidRPr="48E46D31" w:rsidR="001E70D8">
        <w:rPr>
          <w:rFonts w:ascii="Arial" w:hAnsi="Arial" w:eastAsia="Calibri" w:cs="Arial"/>
          <w:b w:val="1"/>
          <w:bCs w:val="1"/>
          <w:sz w:val="22"/>
          <w:szCs w:val="22"/>
        </w:rPr>
        <w:t xml:space="preserve"> Similitudes </w:t>
      </w:r>
      <w:r w:rsidRPr="48E46D31" w:rsidR="5480C2CD">
        <w:rPr>
          <w:rFonts w:ascii="Arial" w:hAnsi="Arial" w:eastAsia="Calibri" w:cs="Arial"/>
          <w:b w:val="1"/>
          <w:bCs w:val="1"/>
          <w:sz w:val="22"/>
          <w:szCs w:val="22"/>
        </w:rPr>
        <w:t>– D</w:t>
      </w:r>
      <w:r w:rsidRPr="48E46D31" w:rsidR="001E70D8">
        <w:rPr>
          <w:rFonts w:ascii="Arial" w:hAnsi="Arial" w:eastAsia="Calibri" w:cs="Arial"/>
          <w:b w:val="1"/>
          <w:bCs w:val="1"/>
          <w:sz w:val="22"/>
          <w:szCs w:val="22"/>
        </w:rPr>
        <w:t>iferencias</w:t>
      </w:r>
    </w:p>
    <w:p w:rsidRPr="00D302B9" w:rsidR="001E70D8" w:rsidP="001E70D8" w:rsidRDefault="001E70D8" w14:paraId="398118B9" w14:textId="77777777">
      <w:pPr>
        <w:jc w:val="both"/>
        <w:rPr>
          <w:rFonts w:ascii="Arial" w:hAnsi="Arial" w:eastAsia="Calibri" w:cs="Arial"/>
          <w:sz w:val="20"/>
          <w:szCs w:val="20"/>
        </w:rPr>
      </w:pPr>
    </w:p>
    <w:p w:rsidRPr="00D302B9" w:rsidR="001E70D8" w:rsidP="00023568" w:rsidRDefault="001E70D8" w14:paraId="1DA03F25" w14:textId="249CB865">
      <w:pPr>
        <w:jc w:val="both"/>
        <w:rPr>
          <w:rFonts w:ascii="Arial" w:hAnsi="Arial" w:eastAsia="Calibri" w:cs="Arial"/>
          <w:bCs/>
          <w:sz w:val="20"/>
          <w:szCs w:val="20"/>
        </w:rPr>
      </w:pPr>
      <w:r w:rsidRPr="00D302B9">
        <w:rPr>
          <w:rFonts w:ascii="Arial" w:hAnsi="Arial" w:eastAsia="Calibri" w:cs="Arial"/>
          <w:bCs/>
          <w:sz w:val="20"/>
          <w:szCs w:val="20"/>
        </w:rPr>
        <w:t>En este punto, conviene resaltar lo dicho por la Sección Tercera del Consejo de Estado , en relación con las diferencias entre las multas y la cláusula penal, esto es: «[a]</w:t>
      </w:r>
      <w:proofErr w:type="spellStart"/>
      <w:r w:rsidRPr="00D302B9">
        <w:rPr>
          <w:rFonts w:ascii="Arial" w:hAnsi="Arial" w:eastAsia="Calibri" w:cs="Arial"/>
          <w:bCs/>
          <w:sz w:val="20"/>
          <w:szCs w:val="20"/>
        </w:rPr>
        <w:t>unque</w:t>
      </w:r>
      <w:proofErr w:type="spellEnd"/>
      <w:r w:rsidRPr="00D302B9">
        <w:rPr>
          <w:rFonts w:ascii="Arial" w:hAnsi="Arial" w:eastAsia="Calibri" w:cs="Arial"/>
          <w:bCs/>
          <w:sz w:val="20"/>
          <w:szCs w:val="20"/>
        </w:rPr>
        <w:t xml:space="preserv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p>
    <w:p w:rsidRPr="00D302B9" w:rsidR="001E70D8" w:rsidP="00023568" w:rsidRDefault="001E70D8" w14:paraId="6E18415F" w14:textId="3FB28B8C">
      <w:pPr>
        <w:jc w:val="both"/>
        <w:rPr>
          <w:rFonts w:ascii="Arial" w:hAnsi="Arial" w:eastAsia="Calibri" w:cs="Arial"/>
          <w:bCs/>
          <w:sz w:val="20"/>
          <w:szCs w:val="20"/>
        </w:rPr>
      </w:pPr>
    </w:p>
    <w:p w:rsidRPr="00D302B9" w:rsidR="001E70D8" w:rsidP="48E46D31" w:rsidRDefault="001E70D8" w14:paraId="04395165" w14:textId="531617E4">
      <w:pPr>
        <w:pStyle w:val="Normal"/>
        <w:jc w:val="both"/>
        <w:rPr>
          <w:rFonts w:ascii="Arial" w:hAnsi="Arial" w:eastAsia="Calibri" w:cs="Arial"/>
          <w:b w:val="1"/>
          <w:bCs w:val="1"/>
          <w:sz w:val="22"/>
          <w:szCs w:val="22"/>
        </w:rPr>
      </w:pPr>
      <w:r w:rsidRPr="48E46D31" w:rsidR="001E70D8">
        <w:rPr>
          <w:rFonts w:ascii="Arial" w:hAnsi="Arial" w:eastAsia="Calibri" w:cs="Arial"/>
          <w:b w:val="1"/>
          <w:bCs w:val="1"/>
          <w:sz w:val="22"/>
          <w:szCs w:val="22"/>
        </w:rPr>
        <w:t xml:space="preserve">INCUMPLIMIENTO </w:t>
      </w:r>
      <w:r w:rsidRPr="48E46D31" w:rsidR="00CF4E38">
        <w:rPr>
          <w:rFonts w:ascii="Arial" w:hAnsi="Arial" w:eastAsia="Calibri" w:cs="Arial"/>
          <w:b w:val="1"/>
          <w:bCs w:val="1"/>
          <w:sz w:val="22"/>
          <w:szCs w:val="22"/>
        </w:rPr>
        <w:t>DEL CONTRATO</w:t>
      </w:r>
      <w:r w:rsidRPr="48E46D31" w:rsidR="001E70D8">
        <w:rPr>
          <w:rFonts w:ascii="Arial" w:hAnsi="Arial" w:eastAsia="Calibri" w:cs="Arial"/>
          <w:b w:val="1"/>
          <w:bCs w:val="1"/>
          <w:sz w:val="22"/>
          <w:szCs w:val="22"/>
        </w:rPr>
        <w:t xml:space="preserve"> </w:t>
      </w:r>
      <w:r w:rsidRPr="48E46D31" w:rsidR="00C13BCD">
        <w:rPr>
          <w:rFonts w:ascii="Arial" w:hAnsi="Arial" w:eastAsia="Calibri" w:cs="Arial"/>
          <w:b w:val="1"/>
          <w:bCs w:val="1"/>
          <w:sz w:val="22"/>
          <w:szCs w:val="22"/>
        </w:rPr>
        <w:t>–</w:t>
      </w:r>
      <w:r w:rsidRPr="48E46D31" w:rsidR="001E70D8">
        <w:rPr>
          <w:rFonts w:ascii="Arial" w:hAnsi="Arial" w:eastAsia="Calibri" w:cs="Arial"/>
          <w:b w:val="1"/>
          <w:bCs w:val="1"/>
          <w:sz w:val="22"/>
          <w:szCs w:val="22"/>
        </w:rPr>
        <w:t xml:space="preserve"> Cuantificación </w:t>
      </w:r>
      <w:r w:rsidRPr="48E46D31" w:rsidR="1C1F8046">
        <w:rPr>
          <w:rFonts w:ascii="Arial" w:hAnsi="Arial" w:eastAsia="Calibri" w:cs="Arial"/>
          <w:b w:val="1"/>
          <w:bCs w:val="1"/>
          <w:sz w:val="22"/>
          <w:szCs w:val="22"/>
        </w:rPr>
        <w:t>–</w:t>
      </w:r>
      <w:r w:rsidRPr="48E46D31" w:rsidR="001E70D8">
        <w:rPr>
          <w:rFonts w:ascii="Arial" w:hAnsi="Arial" w:eastAsia="Calibri" w:cs="Arial"/>
          <w:b w:val="1"/>
          <w:bCs w:val="1"/>
          <w:sz w:val="22"/>
          <w:szCs w:val="22"/>
        </w:rPr>
        <w:t xml:space="preserve"> </w:t>
      </w:r>
      <w:r w:rsidRPr="48E46D31" w:rsidR="7FC1C881">
        <w:rPr>
          <w:rFonts w:ascii="Arial" w:hAnsi="Arial" w:eastAsia="Calibri" w:cs="Arial"/>
          <w:b w:val="1"/>
          <w:bCs w:val="1"/>
          <w:sz w:val="22"/>
          <w:szCs w:val="22"/>
        </w:rPr>
        <w:t>P</w:t>
      </w:r>
      <w:r w:rsidRPr="48E46D31" w:rsidR="001E70D8">
        <w:rPr>
          <w:rFonts w:ascii="Arial" w:hAnsi="Arial" w:eastAsia="Calibri" w:cs="Arial"/>
          <w:b w:val="1"/>
          <w:bCs w:val="1"/>
          <w:sz w:val="22"/>
          <w:szCs w:val="22"/>
        </w:rPr>
        <w:t>erjuicios</w:t>
      </w:r>
      <w:r w:rsidRPr="48E46D31" w:rsidR="5342E2BD">
        <w:rPr>
          <w:rFonts w:ascii="Arial" w:hAnsi="Arial" w:eastAsia="Calibri" w:cs="Arial"/>
          <w:b w:val="1"/>
          <w:bCs w:val="1"/>
          <w:sz w:val="22"/>
          <w:szCs w:val="22"/>
        </w:rPr>
        <w:t xml:space="preserve"> –</w:t>
      </w:r>
      <w:r w:rsidRPr="48E46D31" w:rsidR="001E70D8">
        <w:rPr>
          <w:rFonts w:ascii="Arial" w:hAnsi="Arial" w:eastAsia="Calibri" w:cs="Arial"/>
          <w:b w:val="1"/>
          <w:bCs w:val="1"/>
          <w:sz w:val="22"/>
          <w:szCs w:val="22"/>
        </w:rPr>
        <w:t xml:space="preserve"> </w:t>
      </w:r>
      <w:r w:rsidRPr="48E46D31" w:rsidR="06BFBB34">
        <w:rPr>
          <w:rFonts w:ascii="Arial" w:hAnsi="Arial" w:eastAsia="Calibri" w:cs="Arial"/>
          <w:b w:val="1"/>
          <w:bCs w:val="1"/>
          <w:sz w:val="22"/>
          <w:szCs w:val="22"/>
        </w:rPr>
        <w:t>D</w:t>
      </w:r>
      <w:r w:rsidRPr="48E46D31" w:rsidR="001E70D8">
        <w:rPr>
          <w:rFonts w:ascii="Arial" w:hAnsi="Arial" w:eastAsia="Calibri" w:cs="Arial"/>
          <w:b w:val="1"/>
          <w:bCs w:val="1"/>
          <w:sz w:val="22"/>
          <w:szCs w:val="22"/>
        </w:rPr>
        <w:t>ebido proceso</w:t>
      </w:r>
    </w:p>
    <w:p w:rsidRPr="00D302B9" w:rsidR="001E70D8" w:rsidP="001E70D8" w:rsidRDefault="001E70D8" w14:paraId="25F4383B" w14:textId="77777777">
      <w:pPr>
        <w:jc w:val="both"/>
        <w:rPr>
          <w:rFonts w:ascii="Arial" w:hAnsi="Arial" w:eastAsia="Calibri" w:cs="Arial"/>
          <w:sz w:val="20"/>
          <w:szCs w:val="20"/>
        </w:rPr>
      </w:pPr>
    </w:p>
    <w:p w:rsidRPr="00D302B9" w:rsidR="00023568" w:rsidP="00146D77" w:rsidRDefault="001E70D8" w14:paraId="257E39E5" w14:textId="4D6AA1BF">
      <w:pPr>
        <w:jc w:val="both"/>
        <w:rPr>
          <w:rFonts w:ascii="Arial" w:hAnsi="Arial" w:eastAsia="Calibri" w:cs="Arial"/>
          <w:bCs/>
          <w:sz w:val="20"/>
          <w:szCs w:val="20"/>
        </w:rPr>
      </w:pPr>
      <w:r w:rsidRPr="00D302B9">
        <w:rPr>
          <w:rFonts w:ascii="Arial" w:hAnsi="Arial" w:eastAsia="Calibri" w:cs="Arial"/>
          <w:bCs/>
          <w:sz w:val="20"/>
          <w:szCs w:val="20"/>
        </w:rPr>
        <w:t xml:space="preserve">La Ley 1474 de 2011 contempla la posibilidad de declarar el incumplimiento cuantificando los perjuicios </w:t>
      </w:r>
      <w:proofErr w:type="gramStart"/>
      <w:r w:rsidRPr="00D302B9">
        <w:rPr>
          <w:rFonts w:ascii="Arial" w:hAnsi="Arial" w:eastAsia="Calibri" w:cs="Arial"/>
          <w:bCs/>
          <w:sz w:val="20"/>
          <w:szCs w:val="20"/>
        </w:rPr>
        <w:t>del mismo</w:t>
      </w:r>
      <w:proofErr w:type="gramEnd"/>
      <w:r w:rsidRPr="00D302B9">
        <w:rPr>
          <w:rFonts w:ascii="Arial" w:hAnsi="Arial" w:eastAsia="Calibri" w:cs="Arial"/>
          <w:bCs/>
          <w:sz w:val="20"/>
          <w:szCs w:val="20"/>
        </w:rPr>
        <w:t xml:space="preserve">, claro está, previa citación del contratista y respetando el debido proceso. Al respecto, el artículo 86 de la Ley 1474 de 2011 establece las etapas del procedimiento a seguir.  i) Citación a audiencia. Es necesario mencionar expresa y detalladamente los hechos que la soportan, así como también: adjuntar el informe de interventoría o de supervisión en el que se sustente la actuación, enunciar las normas o cláusulas posiblemente violadas y referir las consecuencias que podrían recaer sobre el contratista en el desarrollo de la actuación. </w:t>
      </w:r>
      <w:proofErr w:type="spellStart"/>
      <w:r w:rsidRPr="00D302B9">
        <w:rPr>
          <w:rFonts w:ascii="Arial" w:hAnsi="Arial" w:eastAsia="Calibri" w:cs="Arial"/>
          <w:bCs/>
          <w:sz w:val="20"/>
          <w:szCs w:val="20"/>
        </w:rPr>
        <w:t>ii</w:t>
      </w:r>
      <w:proofErr w:type="spellEnd"/>
      <w:r w:rsidRPr="00D302B9">
        <w:rPr>
          <w:rFonts w:ascii="Arial" w:hAnsi="Arial" w:eastAsia="Calibri" w:cs="Arial"/>
          <w:bCs/>
          <w:sz w:val="20"/>
          <w:szCs w:val="20"/>
        </w:rPr>
        <w:t xml:space="preserve">) Audiencia.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w:t>
      </w:r>
      <w:proofErr w:type="spellStart"/>
      <w:r w:rsidRPr="00D302B9">
        <w:rPr>
          <w:rFonts w:ascii="Arial" w:hAnsi="Arial" w:eastAsia="Calibri" w:cs="Arial"/>
          <w:bCs/>
          <w:sz w:val="20"/>
          <w:szCs w:val="20"/>
        </w:rPr>
        <w:t>iii</w:t>
      </w:r>
      <w:proofErr w:type="spellEnd"/>
      <w:r w:rsidRPr="00D302B9">
        <w:rPr>
          <w:rFonts w:ascii="Arial" w:hAnsi="Arial" w:eastAsia="Calibri" w:cs="Arial"/>
          <w:bCs/>
          <w:sz w:val="20"/>
          <w:szCs w:val="20"/>
        </w:rPr>
        <w:t>) Decisión.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podría llegar a efectuarse.</w:t>
      </w:r>
    </w:p>
    <w:p w:rsidRPr="00D302B9" w:rsidR="001E70D8" w:rsidP="00023568" w:rsidRDefault="001E70D8" w14:paraId="283F4066" w14:textId="1D965436">
      <w:pPr>
        <w:jc w:val="both"/>
        <w:rPr>
          <w:rFonts w:ascii="Arial" w:hAnsi="Arial" w:eastAsia="Calibri" w:cs="Arial"/>
          <w:bCs/>
          <w:sz w:val="20"/>
          <w:szCs w:val="20"/>
        </w:rPr>
      </w:pPr>
    </w:p>
    <w:p w:rsidRPr="00D302B9" w:rsidR="001E70D8" w:rsidP="48E46D31" w:rsidRDefault="001E70D8" w14:paraId="6BDD311A" w14:textId="7D431C27">
      <w:pPr>
        <w:pStyle w:val="Normal"/>
        <w:jc w:val="both"/>
        <w:rPr>
          <w:rFonts w:ascii="Arial" w:hAnsi="Arial" w:eastAsia="Calibri" w:cs="Arial"/>
          <w:b w:val="1"/>
          <w:bCs w:val="1"/>
          <w:sz w:val="22"/>
          <w:szCs w:val="22"/>
        </w:rPr>
      </w:pPr>
      <w:r w:rsidRPr="48E46D31" w:rsidR="001E70D8">
        <w:rPr>
          <w:rFonts w:ascii="Arial" w:hAnsi="Arial" w:eastAsia="Calibri" w:cs="Arial"/>
          <w:b w:val="1"/>
          <w:bCs w:val="1"/>
          <w:sz w:val="22"/>
          <w:szCs w:val="22"/>
        </w:rPr>
        <w:t xml:space="preserve">PROCEDIMIENTO SANCIONATORIO CONTRACTUAL </w:t>
      </w:r>
      <w:r w:rsidRPr="48E46D31" w:rsidR="71566528">
        <w:rPr>
          <w:rFonts w:ascii="Arial" w:hAnsi="Arial" w:eastAsia="Calibri" w:cs="Arial"/>
          <w:b w:val="1"/>
          <w:bCs w:val="1"/>
          <w:sz w:val="22"/>
          <w:szCs w:val="22"/>
        </w:rPr>
        <w:t>–</w:t>
      </w:r>
      <w:r w:rsidRPr="48E46D31" w:rsidR="001E70D8">
        <w:rPr>
          <w:rFonts w:ascii="Arial" w:hAnsi="Arial" w:eastAsia="Calibri" w:cs="Arial"/>
          <w:b w:val="1"/>
          <w:bCs w:val="1"/>
          <w:sz w:val="22"/>
          <w:szCs w:val="22"/>
        </w:rPr>
        <w:t xml:space="preserve"> L</w:t>
      </w:r>
      <w:r w:rsidRPr="48E46D31" w:rsidR="29844F57">
        <w:rPr>
          <w:rFonts w:ascii="Arial" w:hAnsi="Arial" w:eastAsia="Calibri" w:cs="Arial"/>
          <w:b w:val="1"/>
          <w:bCs w:val="1"/>
          <w:sz w:val="22"/>
          <w:szCs w:val="22"/>
        </w:rPr>
        <w:t>ey</w:t>
      </w:r>
      <w:r w:rsidRPr="48E46D31" w:rsidR="001E70D8">
        <w:rPr>
          <w:rFonts w:ascii="Arial" w:hAnsi="Arial" w:eastAsia="Calibri" w:cs="Arial"/>
          <w:b w:val="1"/>
          <w:bCs w:val="1"/>
          <w:sz w:val="22"/>
          <w:szCs w:val="22"/>
        </w:rPr>
        <w:t xml:space="preserve"> 1474 </w:t>
      </w:r>
      <w:r w:rsidRPr="48E46D31" w:rsidR="77A55568">
        <w:rPr>
          <w:rFonts w:ascii="Arial" w:hAnsi="Arial" w:eastAsia="Calibri" w:cs="Arial"/>
          <w:b w:val="1"/>
          <w:bCs w:val="1"/>
          <w:sz w:val="22"/>
          <w:szCs w:val="22"/>
        </w:rPr>
        <w:t>de</w:t>
      </w:r>
      <w:r w:rsidRPr="48E46D31" w:rsidR="001E70D8">
        <w:rPr>
          <w:rFonts w:ascii="Arial" w:hAnsi="Arial" w:eastAsia="Calibri" w:cs="Arial"/>
          <w:b w:val="1"/>
          <w:bCs w:val="1"/>
          <w:sz w:val="22"/>
          <w:szCs w:val="22"/>
        </w:rPr>
        <w:t xml:space="preserve"> 2011 </w:t>
      </w:r>
      <w:r w:rsidRPr="48E46D31" w:rsidR="00C13BCD">
        <w:rPr>
          <w:rFonts w:ascii="Arial" w:hAnsi="Arial" w:eastAsia="Calibri" w:cs="Arial"/>
          <w:b w:val="1"/>
          <w:bCs w:val="1"/>
          <w:sz w:val="22"/>
          <w:szCs w:val="22"/>
        </w:rPr>
        <w:t>–</w:t>
      </w:r>
      <w:r w:rsidRPr="48E46D31" w:rsidR="001E70D8">
        <w:rPr>
          <w:rFonts w:ascii="Arial" w:hAnsi="Arial" w:eastAsia="Calibri" w:cs="Arial"/>
          <w:b w:val="1"/>
          <w:bCs w:val="1"/>
          <w:sz w:val="22"/>
          <w:szCs w:val="22"/>
        </w:rPr>
        <w:t xml:space="preserve"> Inaplicabilidad </w:t>
      </w:r>
      <w:r w:rsidRPr="48E46D31" w:rsidR="261A3D39">
        <w:rPr>
          <w:rFonts w:ascii="Arial" w:hAnsi="Arial" w:eastAsia="Calibri" w:cs="Arial"/>
          <w:b w:val="1"/>
          <w:bCs w:val="1"/>
          <w:sz w:val="22"/>
          <w:szCs w:val="22"/>
        </w:rPr>
        <w:t>–</w:t>
      </w:r>
      <w:r w:rsidRPr="48E46D31" w:rsidR="001E70D8">
        <w:rPr>
          <w:rFonts w:ascii="Arial" w:hAnsi="Arial" w:eastAsia="Calibri" w:cs="Arial"/>
          <w:b w:val="1"/>
          <w:bCs w:val="1"/>
          <w:sz w:val="22"/>
          <w:szCs w:val="22"/>
        </w:rPr>
        <w:t xml:space="preserve"> </w:t>
      </w:r>
      <w:r w:rsidRPr="48E46D31" w:rsidR="6536A2B8">
        <w:rPr>
          <w:rFonts w:ascii="Arial" w:hAnsi="Arial" w:eastAsia="Calibri" w:cs="Arial"/>
          <w:b w:val="1"/>
          <w:bCs w:val="1"/>
          <w:sz w:val="22"/>
          <w:szCs w:val="22"/>
        </w:rPr>
        <w:t>R</w:t>
      </w:r>
      <w:r w:rsidRPr="48E46D31" w:rsidR="001E70D8">
        <w:rPr>
          <w:rFonts w:ascii="Arial" w:hAnsi="Arial" w:eastAsia="Calibri" w:cs="Arial"/>
          <w:b w:val="1"/>
          <w:bCs w:val="1"/>
          <w:sz w:val="22"/>
          <w:szCs w:val="22"/>
        </w:rPr>
        <w:t xml:space="preserve">egímenes especiales </w:t>
      </w:r>
      <w:r w:rsidRPr="48E46D31" w:rsidR="70D1C104">
        <w:rPr>
          <w:rFonts w:ascii="Arial" w:hAnsi="Arial" w:eastAsia="Calibri" w:cs="Arial"/>
          <w:b w:val="1"/>
          <w:bCs w:val="1"/>
          <w:sz w:val="22"/>
          <w:szCs w:val="22"/>
        </w:rPr>
        <w:t>–</w:t>
      </w:r>
      <w:r w:rsidRPr="48E46D31" w:rsidR="001E70D8">
        <w:rPr>
          <w:rFonts w:ascii="Arial" w:hAnsi="Arial" w:eastAsia="Calibri" w:cs="Arial"/>
          <w:b w:val="1"/>
          <w:bCs w:val="1"/>
          <w:sz w:val="22"/>
          <w:szCs w:val="22"/>
        </w:rPr>
        <w:t xml:space="preserve"> </w:t>
      </w:r>
      <w:r w:rsidRPr="48E46D31" w:rsidR="32DBFB5A">
        <w:rPr>
          <w:rFonts w:ascii="Arial" w:hAnsi="Arial" w:eastAsia="Calibri" w:cs="Arial"/>
          <w:b w:val="1"/>
          <w:bCs w:val="1"/>
          <w:sz w:val="22"/>
          <w:szCs w:val="22"/>
        </w:rPr>
        <w:t>C</w:t>
      </w:r>
      <w:r w:rsidRPr="48E46D31" w:rsidR="001E70D8">
        <w:rPr>
          <w:rFonts w:ascii="Arial" w:hAnsi="Arial" w:eastAsia="Calibri" w:cs="Arial"/>
          <w:b w:val="1"/>
          <w:bCs w:val="1"/>
          <w:sz w:val="22"/>
          <w:szCs w:val="22"/>
        </w:rPr>
        <w:t>ontratación estatal</w:t>
      </w:r>
    </w:p>
    <w:p w:rsidRPr="00D302B9" w:rsidR="001E70D8" w:rsidP="001E70D8" w:rsidRDefault="001E70D8" w14:paraId="1FB1AA55" w14:textId="77777777">
      <w:pPr>
        <w:jc w:val="both"/>
        <w:rPr>
          <w:rFonts w:ascii="Arial" w:hAnsi="Arial" w:eastAsia="Calibri" w:cs="Arial"/>
          <w:sz w:val="20"/>
          <w:szCs w:val="20"/>
        </w:rPr>
      </w:pPr>
    </w:p>
    <w:p w:rsidRPr="00D302B9" w:rsidR="001E70D8" w:rsidP="00023568" w:rsidRDefault="001E70D8" w14:paraId="6294D5C4" w14:textId="2A0EB77D">
      <w:pPr>
        <w:jc w:val="both"/>
        <w:rPr>
          <w:rFonts w:ascii="Arial" w:hAnsi="Arial" w:eastAsia="Calibri" w:cs="Arial"/>
          <w:bCs/>
          <w:sz w:val="20"/>
          <w:szCs w:val="20"/>
        </w:rPr>
      </w:pPr>
      <w:r w:rsidRPr="00D302B9">
        <w:rPr>
          <w:rFonts w:ascii="Arial" w:hAnsi="Arial" w:eastAsia="Calibri" w:cs="Arial"/>
          <w:bCs/>
          <w:sz w:val="20"/>
          <w:szCs w:val="20"/>
        </w:rPr>
        <w:t xml:space="preserve">Valga la pena precisar que el artículo 86 de la Ley 1474 de 2011 regula un procedimiento administrativo sancionatorio dirigido a sujetos específicos: las entidades sometidas al Estatuto General de Contratación de la Administración Pública, es decir, a la Ley 80 de 1993 y a la Ley 1150 de 2007. De ahí que las entidades de régimen especial en materia contractual no pueden aplicar el procedimiento administrativo sancionatorio regulado en el artículo 86 de la Ley 1474 de 2011, al no </w:t>
      </w:r>
      <w:r w:rsidRPr="00D302B9">
        <w:rPr>
          <w:rFonts w:ascii="Arial" w:hAnsi="Arial" w:eastAsia="Calibri" w:cs="Arial"/>
          <w:bCs/>
          <w:sz w:val="20"/>
          <w:szCs w:val="20"/>
        </w:rPr>
        <w:lastRenderedPageBreak/>
        <w:t>ser entidades sometidas al Estatuto General de Contratación de la Administración Pública, sino, por el contrario, entidades exceptuadas de este.</w:t>
      </w:r>
    </w:p>
    <w:p w:rsidRPr="00D302B9" w:rsidR="00AB5D1B" w:rsidP="00023568" w:rsidRDefault="00AB5D1B" w14:paraId="11A1FEF2" w14:textId="0EBE36CD">
      <w:pPr>
        <w:jc w:val="both"/>
        <w:rPr>
          <w:rFonts w:ascii="Arial" w:hAnsi="Arial" w:eastAsia="Calibri" w:cs="Arial"/>
          <w:bCs/>
          <w:sz w:val="19"/>
          <w:szCs w:val="19"/>
        </w:rPr>
      </w:pPr>
    </w:p>
    <w:p w:rsidRPr="00D302B9" w:rsidR="00AB5D1B" w:rsidP="48E46D31" w:rsidRDefault="00AB5D1B" w14:paraId="670AFCB5" w14:textId="4253D3B8">
      <w:pPr>
        <w:pStyle w:val="Normal"/>
        <w:jc w:val="both"/>
        <w:rPr>
          <w:rFonts w:ascii="Arial" w:hAnsi="Arial" w:eastAsia="Calibri" w:cs="Arial"/>
          <w:b w:val="1"/>
          <w:bCs w:val="1"/>
          <w:sz w:val="22"/>
          <w:szCs w:val="22"/>
        </w:rPr>
      </w:pPr>
      <w:r w:rsidRPr="48E46D31" w:rsidR="00AB5D1B">
        <w:rPr>
          <w:rFonts w:ascii="Arial" w:hAnsi="Arial" w:eastAsia="Calibri" w:cs="Arial"/>
          <w:b w:val="1"/>
          <w:bCs w:val="1"/>
          <w:sz w:val="22"/>
          <w:szCs w:val="22"/>
        </w:rPr>
        <w:t>PROCEDIMIENTO SANCIONATORIO</w:t>
      </w:r>
      <w:r w:rsidRPr="48E46D31" w:rsidR="3080302B">
        <w:rPr>
          <w:rFonts w:ascii="Arial" w:hAnsi="Arial" w:eastAsia="Calibri" w:cs="Arial"/>
          <w:b w:val="1"/>
          <w:bCs w:val="1"/>
          <w:sz w:val="22"/>
          <w:szCs w:val="22"/>
        </w:rPr>
        <w:t xml:space="preserve"> CONTRACTUAL</w:t>
      </w:r>
      <w:r w:rsidRPr="48E46D31" w:rsidR="00AB5D1B">
        <w:rPr>
          <w:rFonts w:ascii="Arial" w:hAnsi="Arial" w:eastAsia="Calibri" w:cs="Arial"/>
          <w:b w:val="1"/>
          <w:bCs w:val="1"/>
          <w:sz w:val="22"/>
          <w:szCs w:val="22"/>
        </w:rPr>
        <w:t xml:space="preserve"> </w:t>
      </w:r>
      <w:r w:rsidRPr="48E46D31" w:rsidR="00FC729B">
        <w:rPr>
          <w:rFonts w:ascii="Arial" w:hAnsi="Arial" w:eastAsia="Calibri" w:cs="Arial"/>
          <w:b w:val="1"/>
          <w:bCs w:val="1"/>
          <w:sz w:val="22"/>
          <w:szCs w:val="22"/>
        </w:rPr>
        <w:t xml:space="preserve">– Ley 1437 de 2011 </w:t>
      </w:r>
      <w:r w:rsidRPr="48E46D31" w:rsidR="00C13BCD">
        <w:rPr>
          <w:rFonts w:ascii="Arial" w:hAnsi="Arial" w:eastAsia="Calibri" w:cs="Arial"/>
          <w:b w:val="1"/>
          <w:bCs w:val="1"/>
          <w:sz w:val="22"/>
          <w:szCs w:val="22"/>
        </w:rPr>
        <w:t>–</w:t>
      </w:r>
      <w:r w:rsidRPr="48E46D31" w:rsidR="00FC729B">
        <w:rPr>
          <w:rFonts w:ascii="Arial" w:hAnsi="Arial" w:eastAsia="Calibri" w:cs="Arial"/>
          <w:b w:val="1"/>
          <w:bCs w:val="1"/>
          <w:sz w:val="22"/>
          <w:szCs w:val="22"/>
        </w:rPr>
        <w:t xml:space="preserve"> A</w:t>
      </w:r>
      <w:r w:rsidRPr="48E46D31" w:rsidR="00AB5D1B">
        <w:rPr>
          <w:rFonts w:ascii="Arial" w:hAnsi="Arial" w:eastAsia="Calibri" w:cs="Arial"/>
          <w:b w:val="1"/>
          <w:bCs w:val="1"/>
          <w:sz w:val="22"/>
          <w:szCs w:val="22"/>
        </w:rPr>
        <w:t xml:space="preserve">plicabilidad </w:t>
      </w:r>
      <w:r w:rsidRPr="48E46D31" w:rsidR="00A0603D">
        <w:rPr>
          <w:rFonts w:ascii="Arial" w:hAnsi="Arial" w:eastAsia="Calibri" w:cs="Arial"/>
          <w:b w:val="1"/>
          <w:bCs w:val="1"/>
          <w:sz w:val="22"/>
          <w:szCs w:val="22"/>
        </w:rPr>
        <w:t xml:space="preserve">subsidiaria </w:t>
      </w:r>
      <w:r w:rsidRPr="48E46D31" w:rsidR="2BC04069">
        <w:rPr>
          <w:rFonts w:ascii="Arial" w:hAnsi="Arial" w:eastAsia="Calibri" w:cs="Arial"/>
          <w:b w:val="1"/>
          <w:bCs w:val="1"/>
          <w:sz w:val="22"/>
          <w:szCs w:val="22"/>
        </w:rPr>
        <w:t>– D</w:t>
      </w:r>
      <w:r w:rsidRPr="48E46D31" w:rsidR="00AB5D1B">
        <w:rPr>
          <w:rFonts w:ascii="Arial" w:hAnsi="Arial" w:eastAsia="Calibri" w:cs="Arial"/>
          <w:b w:val="1"/>
          <w:bCs w:val="1"/>
          <w:sz w:val="22"/>
          <w:szCs w:val="22"/>
        </w:rPr>
        <w:t>osificación</w:t>
      </w:r>
      <w:r w:rsidRPr="48E46D31" w:rsidR="7C762FE8">
        <w:rPr>
          <w:rFonts w:ascii="Arial" w:hAnsi="Arial" w:eastAsia="Calibri" w:cs="Arial"/>
          <w:b w:val="1"/>
          <w:bCs w:val="1"/>
          <w:sz w:val="22"/>
          <w:szCs w:val="22"/>
        </w:rPr>
        <w:t xml:space="preserve"> –</w:t>
      </w:r>
      <w:r w:rsidRPr="48E46D31" w:rsidR="00AB5D1B">
        <w:rPr>
          <w:rFonts w:ascii="Arial" w:hAnsi="Arial" w:eastAsia="Calibri" w:cs="Arial"/>
          <w:b w:val="1"/>
          <w:bCs w:val="1"/>
          <w:sz w:val="22"/>
          <w:szCs w:val="22"/>
        </w:rPr>
        <w:t xml:space="preserve"> </w:t>
      </w:r>
      <w:r w:rsidRPr="48E46D31" w:rsidR="35E961F0">
        <w:rPr>
          <w:rFonts w:ascii="Arial" w:hAnsi="Arial" w:eastAsia="Calibri" w:cs="Arial"/>
          <w:b w:val="1"/>
          <w:bCs w:val="1"/>
          <w:sz w:val="22"/>
          <w:szCs w:val="22"/>
        </w:rPr>
        <w:t>A</w:t>
      </w:r>
      <w:r w:rsidRPr="48E46D31" w:rsidR="00AB5D1B">
        <w:rPr>
          <w:rFonts w:ascii="Arial" w:hAnsi="Arial" w:eastAsia="Calibri" w:cs="Arial"/>
          <w:b w:val="1"/>
          <w:bCs w:val="1"/>
          <w:sz w:val="22"/>
          <w:szCs w:val="22"/>
        </w:rPr>
        <w:t xml:space="preserve">tenuantes </w:t>
      </w:r>
      <w:r w:rsidRPr="48E46D31" w:rsidR="07B46692">
        <w:rPr>
          <w:rFonts w:ascii="Arial" w:hAnsi="Arial" w:eastAsia="Calibri" w:cs="Arial"/>
          <w:b w:val="1"/>
          <w:bCs w:val="1"/>
          <w:sz w:val="22"/>
          <w:szCs w:val="22"/>
        </w:rPr>
        <w:t>– A</w:t>
      </w:r>
      <w:r w:rsidRPr="48E46D31" w:rsidR="00AB5D1B">
        <w:rPr>
          <w:rFonts w:ascii="Arial" w:hAnsi="Arial" w:eastAsia="Calibri" w:cs="Arial"/>
          <w:b w:val="1"/>
          <w:bCs w:val="1"/>
          <w:sz w:val="22"/>
          <w:szCs w:val="22"/>
        </w:rPr>
        <w:t xml:space="preserve">gravantes </w:t>
      </w:r>
      <w:r w:rsidRPr="48E46D31" w:rsidR="27A1B50E">
        <w:rPr>
          <w:rFonts w:ascii="Arial" w:hAnsi="Arial" w:eastAsia="Calibri" w:cs="Arial"/>
          <w:b w:val="1"/>
          <w:bCs w:val="1"/>
          <w:sz w:val="22"/>
          <w:szCs w:val="22"/>
        </w:rPr>
        <w:t xml:space="preserve">– </w:t>
      </w:r>
      <w:r w:rsidRPr="48E46D31" w:rsidR="53F4EF5B">
        <w:rPr>
          <w:rFonts w:ascii="Arial" w:hAnsi="Arial" w:eastAsia="Calibri" w:cs="Arial"/>
          <w:b w:val="1"/>
          <w:bCs w:val="1"/>
          <w:sz w:val="22"/>
          <w:szCs w:val="22"/>
        </w:rPr>
        <w:t>Alcance</w:t>
      </w:r>
    </w:p>
    <w:p w:rsidRPr="00D302B9" w:rsidR="00AB5D1B" w:rsidP="00AB5D1B" w:rsidRDefault="00AB5D1B" w14:paraId="5B031967" w14:textId="77777777">
      <w:pPr>
        <w:jc w:val="both"/>
        <w:rPr>
          <w:rFonts w:ascii="Arial" w:hAnsi="Arial" w:eastAsia="Calibri" w:cs="Arial"/>
          <w:sz w:val="20"/>
          <w:szCs w:val="20"/>
        </w:rPr>
      </w:pPr>
    </w:p>
    <w:p w:rsidRPr="00D302B9" w:rsidR="00146D77" w:rsidP="00146D77" w:rsidRDefault="00A0603D" w14:paraId="79676EF0" w14:textId="77777777">
      <w:pPr>
        <w:spacing w:after="120"/>
        <w:jc w:val="both"/>
        <w:rPr>
          <w:rFonts w:ascii="Arial" w:hAnsi="Arial" w:eastAsia="Calibri" w:cs="Arial"/>
          <w:bCs/>
          <w:sz w:val="20"/>
          <w:szCs w:val="20"/>
        </w:rPr>
      </w:pPr>
      <w:r w:rsidRPr="00D302B9">
        <w:rPr>
          <w:rFonts w:ascii="Arial" w:hAnsi="Arial" w:eastAsia="Calibri" w:cs="Arial"/>
          <w:bCs/>
          <w:sz w:val="20"/>
          <w:szCs w:val="20"/>
        </w:rPr>
        <w:t>Igualmente, en relación con la dosificación, atenuantes y agravantes en los procesos procedimientos sancionatorios contractuales, también resulta procedente la aplicación de los criterios establecidos en el artículo 50 de la Ley 1437 de 2011, norma que contiene «criterios de graduación de las sanciones». Sin embargo, se debe precisar que solo se puede acudir a los criterios allí establecidos «cuando resultaren aplicables», lo cual, a nuestro juicio, significa que primero se debe acudir a los criterios establecidos en las disposiciones civiles y comerciales que resultaren aplicables, por disposición de los artículos 13, 32 y 40 de la Ley 80 de 1993. Por ejemplo, el artículo 1596 del Código Civil reconoce la posibilidad de rebajar la pena cuando «el deudor cumple solamente una parte de la obligación principal y el acreedor acepta esta parte». Igualmente, el artículo 1601 ibidem establece un criterio de proporcionalidad de la cláusula penal. En ambos casos, se resalta, se trata de normas a las que se puede acudir de forma «subsidiaria» ante el silencio de las partes del contrato, previo a la aplicación del antes mencionado artículo 50.</w:t>
      </w:r>
    </w:p>
    <w:p w:rsidRPr="00D302B9" w:rsidR="006330B7" w:rsidP="00023568" w:rsidRDefault="00A0603D" w14:paraId="43FF2323" w14:textId="1017DA36">
      <w:pPr>
        <w:jc w:val="both"/>
        <w:rPr>
          <w:rFonts w:ascii="Arial" w:hAnsi="Arial" w:cs="Arial"/>
          <w:sz w:val="20"/>
          <w:szCs w:val="20"/>
        </w:rPr>
      </w:pPr>
      <w:r w:rsidRPr="00D302B9">
        <w:rPr>
          <w:rFonts w:ascii="Arial" w:hAnsi="Arial" w:eastAsia="Calibri" w:cs="Arial"/>
          <w:bCs/>
          <w:sz w:val="20"/>
          <w:szCs w:val="20"/>
        </w:rPr>
        <w:t>La regla general, entonces, es que las partes estipulen lo relacionado con la tipificación de las sanciones contractuales la multa y la cláusula penal pecuniaria, incluido lo referente a la dosificación, atenuantes y agravantes, claro está, sin exceder los límites legales y sin incurrir en abuso del derecho. Ante el silencio de estas, lo procedente sería, pues, acudir a las normas del derecho privado y, eventualmente, a los criterios establecidos en el artículo 50 de la Ley 1437 del año 2011.</w:t>
      </w:r>
    </w:p>
    <w:p w:rsidRPr="00D302B9" w:rsidR="00176742" w:rsidP="006330B7" w:rsidRDefault="00176742" w14:paraId="0654CFD0" w14:textId="77777777">
      <w:pPr>
        <w:jc w:val="both"/>
        <w:rPr>
          <w:rFonts w:ascii="Arial" w:hAnsi="Arial" w:eastAsia="Calibri" w:cs="Arial"/>
          <w:b/>
          <w:sz w:val="20"/>
          <w:szCs w:val="20"/>
        </w:rPr>
      </w:pPr>
    </w:p>
    <w:p w:rsidRPr="00D302B9" w:rsidR="006330B7" w:rsidP="48E46D31" w:rsidRDefault="006330B7" w14:paraId="1B04D133" w14:textId="62DC4028">
      <w:pPr>
        <w:pStyle w:val="Normal"/>
        <w:jc w:val="both"/>
        <w:rPr>
          <w:rFonts w:ascii="Arial" w:hAnsi="Arial" w:eastAsia="Calibri" w:cs="Arial"/>
          <w:b w:val="1"/>
          <w:bCs w:val="1"/>
          <w:sz w:val="22"/>
          <w:szCs w:val="22"/>
        </w:rPr>
      </w:pPr>
      <w:r w:rsidRPr="48E46D31" w:rsidR="77AED0AD">
        <w:rPr>
          <w:rFonts w:ascii="Arial" w:hAnsi="Arial" w:eastAsia="Calibri" w:cs="Arial"/>
          <w:b w:val="1"/>
          <w:bCs w:val="1"/>
          <w:sz w:val="22"/>
          <w:szCs w:val="22"/>
        </w:rPr>
        <w:t xml:space="preserve">SANCIÓN CONTRACTUAL – </w:t>
      </w:r>
      <w:r w:rsidRPr="48E46D31" w:rsidR="006330B7">
        <w:rPr>
          <w:rFonts w:ascii="Arial" w:hAnsi="Arial" w:eastAsia="Calibri" w:cs="Arial"/>
          <w:b w:val="1"/>
          <w:bCs w:val="1"/>
          <w:sz w:val="22"/>
          <w:szCs w:val="22"/>
        </w:rPr>
        <w:t>D</w:t>
      </w:r>
      <w:r w:rsidRPr="48E46D31" w:rsidR="7476808E">
        <w:rPr>
          <w:rFonts w:ascii="Arial" w:hAnsi="Arial" w:eastAsia="Calibri" w:cs="Arial"/>
          <w:b w:val="1"/>
          <w:bCs w:val="1"/>
          <w:sz w:val="22"/>
          <w:szCs w:val="22"/>
        </w:rPr>
        <w:t xml:space="preserve">osificación – Atenuantes – Agravantes </w:t>
      </w:r>
      <w:r w:rsidRPr="48E46D31" w:rsidR="00C13BCD">
        <w:rPr>
          <w:rFonts w:ascii="Arial" w:hAnsi="Arial" w:eastAsia="Calibri" w:cs="Arial"/>
          <w:b w:val="1"/>
          <w:bCs w:val="1"/>
          <w:sz w:val="22"/>
          <w:szCs w:val="22"/>
        </w:rPr>
        <w:t>–</w:t>
      </w:r>
      <w:r w:rsidRPr="48E46D31" w:rsidR="55212E4B">
        <w:rPr>
          <w:rFonts w:ascii="Arial" w:hAnsi="Arial" w:eastAsia="Calibri" w:cs="Arial"/>
          <w:b w:val="1"/>
          <w:bCs w:val="1"/>
          <w:sz w:val="22"/>
          <w:szCs w:val="22"/>
        </w:rPr>
        <w:t xml:space="preserve"> </w:t>
      </w:r>
      <w:r w:rsidRPr="48E46D31" w:rsidR="006330B7">
        <w:rPr>
          <w:rFonts w:ascii="Arial" w:hAnsi="Arial" w:eastAsia="Calibri" w:cs="Arial"/>
          <w:b w:val="1"/>
          <w:bCs w:val="1"/>
          <w:sz w:val="22"/>
          <w:szCs w:val="22"/>
        </w:rPr>
        <w:t xml:space="preserve">Competencia exclusiva </w:t>
      </w:r>
      <w:r w:rsidRPr="48E46D31" w:rsidR="1F98705F">
        <w:rPr>
          <w:rFonts w:ascii="Arial" w:hAnsi="Arial" w:eastAsia="Calibri" w:cs="Arial"/>
          <w:b w:val="1"/>
          <w:bCs w:val="1"/>
          <w:sz w:val="22"/>
          <w:szCs w:val="22"/>
        </w:rPr>
        <w:t>– Legislador</w:t>
      </w:r>
    </w:p>
    <w:p w:rsidRPr="00D302B9" w:rsidR="006330B7" w:rsidP="006330B7" w:rsidRDefault="006330B7" w14:paraId="22DA5C62" w14:textId="77777777">
      <w:pPr>
        <w:jc w:val="both"/>
        <w:rPr>
          <w:rFonts w:ascii="Arial" w:hAnsi="Arial" w:eastAsia="Calibri" w:cs="Arial"/>
          <w:sz w:val="20"/>
          <w:szCs w:val="20"/>
        </w:rPr>
      </w:pPr>
    </w:p>
    <w:p w:rsidRPr="00D302B9" w:rsidR="006330B7" w:rsidP="00023568" w:rsidRDefault="006330B7" w14:paraId="7E79A03A" w14:textId="5516FE4B">
      <w:pPr>
        <w:jc w:val="both"/>
        <w:rPr>
          <w:rFonts w:ascii="Arial" w:hAnsi="Arial" w:eastAsia="Calibri" w:cs="Arial"/>
          <w:bCs/>
          <w:sz w:val="20"/>
          <w:szCs w:val="20"/>
        </w:rPr>
      </w:pPr>
      <w:r w:rsidRPr="00D302B9">
        <w:rPr>
          <w:rFonts w:ascii="Arial" w:hAnsi="Arial" w:eastAsia="Calibri" w:cs="Arial"/>
          <w:bCs/>
          <w:sz w:val="20"/>
          <w:szCs w:val="20"/>
        </w:rPr>
        <w:t>Lo que no puede pasar es que las autoridades administrativas, incluidas las entidades territoriales, los concejos municipales y las asambleas departamentales, pretendan regular la dosificación, atenuantes y agravantes en los procesos sancionatorios contractuales, pues al hacerlo estarían excediendo su potestad reglamentaria. Tal afirmación se deriva de la jurisprudencia pacífica de la Sección Tercera del Consejo de Estado, quien ha considerado que es competencia exclusiva del Congreso de la República establecer, por un lado, los «elementos del tipo administrativo», esto es, el sujeto activo, el sujeto pasivo, los hechos constitutivos del «incumplimiento» y los elementos descriptivos y normativos de la conducta a sancionar. Por el otro lado, le corresponde regular lo relacionado con el procedimiento sancionatorio contractual. Tales consideraciones encuentran fundamento en los artículos 150, numeral 10, y 113 de la Constitución Política, así como también en la jurisprudencia de la Corte Constitucional.</w:t>
      </w:r>
    </w:p>
    <w:p w:rsidRPr="00D302B9" w:rsidR="007E79FE" w:rsidP="00023568" w:rsidRDefault="007E79FE" w14:paraId="6E266147" w14:textId="516EDF6C">
      <w:pPr>
        <w:jc w:val="both"/>
        <w:rPr>
          <w:rFonts w:ascii="Arial" w:hAnsi="Arial" w:eastAsia="Calibri" w:cs="Arial"/>
          <w:bCs/>
          <w:sz w:val="20"/>
          <w:szCs w:val="20"/>
        </w:rPr>
      </w:pPr>
    </w:p>
    <w:p w:rsidRPr="00D302B9" w:rsidR="007E79FE" w:rsidP="48E46D31" w:rsidRDefault="00A903AE" w14:paraId="6CAB2D9C" w14:textId="17F3BD92">
      <w:pPr>
        <w:jc w:val="both"/>
        <w:rPr>
          <w:rFonts w:ascii="Arial" w:hAnsi="Arial" w:eastAsia="Calibri" w:cs="Arial"/>
          <w:b w:val="1"/>
          <w:bCs w:val="1"/>
          <w:sz w:val="22"/>
          <w:szCs w:val="22"/>
        </w:rPr>
      </w:pPr>
      <w:r w:rsidRPr="48E46D31" w:rsidR="00A903AE">
        <w:rPr>
          <w:rFonts w:ascii="Arial" w:hAnsi="Arial" w:eastAsia="Calibri" w:cs="Arial"/>
          <w:b w:val="1"/>
          <w:bCs w:val="1"/>
          <w:sz w:val="22"/>
          <w:szCs w:val="22"/>
        </w:rPr>
        <w:t>MIPYMES – Art</w:t>
      </w:r>
      <w:r w:rsidRPr="48E46D31" w:rsidR="7356EEE0">
        <w:rPr>
          <w:rFonts w:ascii="Arial" w:hAnsi="Arial" w:eastAsia="Calibri" w:cs="Arial"/>
          <w:b w:val="1"/>
          <w:bCs w:val="1"/>
          <w:sz w:val="22"/>
          <w:szCs w:val="22"/>
        </w:rPr>
        <w:t>í</w:t>
      </w:r>
      <w:r w:rsidRPr="48E46D31" w:rsidR="00A903AE">
        <w:rPr>
          <w:rFonts w:ascii="Arial" w:hAnsi="Arial" w:eastAsia="Calibri" w:cs="Arial"/>
          <w:b w:val="1"/>
          <w:bCs w:val="1"/>
          <w:sz w:val="22"/>
          <w:szCs w:val="22"/>
        </w:rPr>
        <w:t>culo 12 –</w:t>
      </w:r>
      <w:r w:rsidRPr="48E46D31" w:rsidR="007E79FE">
        <w:rPr>
          <w:rFonts w:ascii="Arial" w:hAnsi="Arial" w:eastAsia="Calibri" w:cs="Arial"/>
          <w:b w:val="1"/>
          <w:bCs w:val="1"/>
          <w:sz w:val="22"/>
          <w:szCs w:val="22"/>
        </w:rPr>
        <w:t xml:space="preserve"> </w:t>
      </w:r>
      <w:r w:rsidRPr="48E46D31" w:rsidR="00A903AE">
        <w:rPr>
          <w:rFonts w:ascii="Arial" w:hAnsi="Arial" w:eastAsia="Calibri" w:cs="Arial"/>
          <w:b w:val="1"/>
          <w:bCs w:val="1"/>
          <w:sz w:val="22"/>
          <w:szCs w:val="22"/>
        </w:rPr>
        <w:t xml:space="preserve">Ley 1150 de </w:t>
      </w:r>
      <w:r w:rsidRPr="48E46D31" w:rsidR="007E79FE">
        <w:rPr>
          <w:rFonts w:ascii="Arial" w:hAnsi="Arial" w:eastAsia="Calibri" w:cs="Arial"/>
          <w:b w:val="1"/>
          <w:bCs w:val="1"/>
          <w:sz w:val="22"/>
          <w:szCs w:val="22"/>
        </w:rPr>
        <w:t xml:space="preserve">2007 </w:t>
      </w:r>
      <w:r w:rsidRPr="48E46D31" w:rsidR="00C13BCD">
        <w:rPr>
          <w:rFonts w:ascii="Arial" w:hAnsi="Arial" w:eastAsia="Calibri" w:cs="Arial"/>
          <w:b w:val="1"/>
          <w:bCs w:val="1"/>
          <w:sz w:val="22"/>
          <w:szCs w:val="22"/>
        </w:rPr>
        <w:t>–</w:t>
      </w:r>
      <w:r w:rsidRPr="48E46D31" w:rsidR="007E79FE">
        <w:rPr>
          <w:rFonts w:ascii="Arial" w:hAnsi="Arial" w:eastAsia="Calibri" w:cs="Arial"/>
          <w:b w:val="1"/>
          <w:bCs w:val="1"/>
          <w:sz w:val="22"/>
          <w:szCs w:val="22"/>
        </w:rPr>
        <w:t xml:space="preserve"> Ámbito de aplicación</w:t>
      </w:r>
    </w:p>
    <w:p w:rsidRPr="00D302B9" w:rsidR="007E79FE" w:rsidP="007E79FE" w:rsidRDefault="007E79FE" w14:paraId="7E01B0E1" w14:textId="77777777">
      <w:pPr>
        <w:jc w:val="both"/>
        <w:rPr>
          <w:rFonts w:ascii="Arial" w:hAnsi="Arial" w:eastAsia="Calibri" w:cs="Arial"/>
          <w:sz w:val="20"/>
          <w:szCs w:val="20"/>
        </w:rPr>
      </w:pPr>
    </w:p>
    <w:p w:rsidRPr="00D302B9" w:rsidR="007E79FE" w:rsidP="00023568" w:rsidRDefault="007E79FE" w14:paraId="257E0B2D" w14:textId="0F35A84D">
      <w:pPr>
        <w:jc w:val="both"/>
        <w:rPr>
          <w:rFonts w:ascii="Arial" w:hAnsi="Arial" w:eastAsia="Calibri" w:cs="Arial"/>
          <w:bCs/>
          <w:sz w:val="20"/>
          <w:szCs w:val="20"/>
        </w:rPr>
      </w:pPr>
      <w:r w:rsidRPr="00D302B9">
        <w:rPr>
          <w:rFonts w:ascii="Arial" w:hAnsi="Arial" w:eastAsia="Calibri" w:cs="Arial"/>
          <w:bCs/>
          <w:sz w:val="20"/>
          <w:szCs w:val="20"/>
        </w:rPr>
        <w:t>El artículo 12 de la Ley 1150 de 2007 regula la promoción del desarrollo en la contratación pública. Esta norma, desde sus orígenes, pretendió «apoyar y promocionar la formación de empresas</w:t>
      </w:r>
      <w:proofErr w:type="gramStart"/>
      <w:r w:rsidRPr="00D302B9">
        <w:rPr>
          <w:rFonts w:ascii="Arial" w:hAnsi="Arial" w:eastAsia="Calibri" w:cs="Arial"/>
          <w:bCs/>
          <w:sz w:val="20"/>
          <w:szCs w:val="20"/>
        </w:rPr>
        <w:t>» .</w:t>
      </w:r>
      <w:proofErr w:type="gramEnd"/>
      <w:r w:rsidRPr="00D302B9">
        <w:rPr>
          <w:rFonts w:ascii="Arial" w:hAnsi="Arial" w:eastAsia="Calibri" w:cs="Arial"/>
          <w:bCs/>
          <w:sz w:val="20"/>
          <w:szCs w:val="20"/>
        </w:rPr>
        <w:t xml:space="preserve"> Así lo demuestran sus antecedentes legislativos, en donde se da cuenta que la misma siempre estuvo relacionada con incentivar las </w:t>
      </w:r>
      <w:proofErr w:type="spellStart"/>
      <w:r w:rsidRPr="00D302B9">
        <w:rPr>
          <w:rFonts w:ascii="Arial" w:hAnsi="Arial" w:eastAsia="Calibri" w:cs="Arial"/>
          <w:bCs/>
          <w:sz w:val="20"/>
          <w:szCs w:val="20"/>
        </w:rPr>
        <w:t>Mipymes</w:t>
      </w:r>
      <w:proofErr w:type="spellEnd"/>
      <w:r w:rsidRPr="00D302B9">
        <w:rPr>
          <w:rFonts w:ascii="Arial" w:hAnsi="Arial" w:eastAsia="Calibri" w:cs="Arial"/>
          <w:bCs/>
          <w:sz w:val="20"/>
          <w:szCs w:val="20"/>
        </w:rPr>
        <w:t xml:space="preserve">. […] Lo dicho antes, a juicio de la Agencia Nacional de Contratación Pública, da cuenta de que la intención del legislador fue la de restringir el ámbito de aplicación del artículo 12 de la Ley 1150 de 2007, a las </w:t>
      </w:r>
      <w:proofErr w:type="spellStart"/>
      <w:r w:rsidRPr="00D302B9">
        <w:rPr>
          <w:rFonts w:ascii="Arial" w:hAnsi="Arial" w:eastAsia="Calibri" w:cs="Arial"/>
          <w:bCs/>
          <w:sz w:val="20"/>
          <w:szCs w:val="20"/>
        </w:rPr>
        <w:t>Mipymes</w:t>
      </w:r>
      <w:proofErr w:type="spellEnd"/>
      <w:r w:rsidRPr="00D302B9">
        <w:rPr>
          <w:rFonts w:ascii="Arial" w:hAnsi="Arial" w:eastAsia="Calibri" w:cs="Arial"/>
          <w:bCs/>
          <w:sz w:val="20"/>
          <w:szCs w:val="20"/>
        </w:rPr>
        <w:t xml:space="preserve">, incluidas las conformadas por personas marginadas o discriminadas. A su vez, las consideraciones precedentes dejan ver que el legislador no quiso cubrir a este tipo de personas con los «incentivos» regulados en dicha normativa, sino cuando las mismas estuvieran asociadas bajo esa modalidad de empresa». Tal consideración </w:t>
      </w:r>
      <w:r w:rsidRPr="00D302B9">
        <w:rPr>
          <w:rFonts w:ascii="Arial" w:hAnsi="Arial" w:eastAsia="Calibri" w:cs="Arial"/>
          <w:bCs/>
          <w:sz w:val="20"/>
          <w:szCs w:val="20"/>
        </w:rPr>
        <w:lastRenderedPageBreak/>
        <w:t xml:space="preserve">excluye per se cualquier tipo de incentivo relacionado con el origen o domicilio de este tipo de personas, pues, se insiste, lo importante es que conformen </w:t>
      </w:r>
      <w:proofErr w:type="spellStart"/>
      <w:r w:rsidRPr="00D302B9">
        <w:rPr>
          <w:rFonts w:ascii="Arial" w:hAnsi="Arial" w:eastAsia="Calibri" w:cs="Arial"/>
          <w:bCs/>
          <w:sz w:val="20"/>
          <w:szCs w:val="20"/>
        </w:rPr>
        <w:t>Mipymes</w:t>
      </w:r>
      <w:proofErr w:type="spellEnd"/>
      <w:r w:rsidRPr="00D302B9">
        <w:rPr>
          <w:rFonts w:ascii="Arial" w:hAnsi="Arial" w:eastAsia="Calibri" w:cs="Arial"/>
          <w:bCs/>
          <w:sz w:val="20"/>
          <w:szCs w:val="20"/>
        </w:rPr>
        <w:t xml:space="preserve"> y, por ende, lo relevante para fines contractuales es el domicilio de estas últimas.</w:t>
      </w:r>
    </w:p>
    <w:p w:rsidRPr="00D302B9" w:rsidR="00A822F9" w:rsidP="00023568" w:rsidRDefault="00A822F9" w14:paraId="18864454" w14:textId="71F80063">
      <w:pPr>
        <w:jc w:val="both"/>
        <w:rPr>
          <w:rFonts w:ascii="Arial" w:hAnsi="Arial" w:eastAsia="Calibri" w:cs="Arial"/>
          <w:bCs/>
          <w:sz w:val="20"/>
          <w:szCs w:val="20"/>
        </w:rPr>
      </w:pPr>
    </w:p>
    <w:p w:rsidRPr="00D302B9" w:rsidR="00A822F9" w:rsidP="00A822F9" w:rsidRDefault="00A822F9" w14:paraId="785D67CA" w14:textId="147BC782">
      <w:pPr>
        <w:jc w:val="both"/>
        <w:rPr>
          <w:rFonts w:ascii="Arial" w:hAnsi="Arial" w:eastAsia="Calibri" w:cs="Arial"/>
          <w:sz w:val="22"/>
        </w:rPr>
      </w:pPr>
      <w:r w:rsidRPr="00D302B9">
        <w:rPr>
          <w:rFonts w:ascii="Arial" w:hAnsi="Arial" w:eastAsia="Calibri" w:cs="Arial"/>
          <w:b/>
          <w:sz w:val="22"/>
        </w:rPr>
        <w:t xml:space="preserve">CONTRATACIÓN ESTATAL </w:t>
      </w:r>
      <w:r w:rsidRPr="00D302B9" w:rsidR="00C13BCD">
        <w:rPr>
          <w:rFonts w:ascii="Arial" w:hAnsi="Arial" w:eastAsia="Calibri" w:cs="Arial"/>
          <w:b/>
          <w:sz w:val="22"/>
        </w:rPr>
        <w:t>–</w:t>
      </w:r>
      <w:r w:rsidRPr="00D302B9">
        <w:rPr>
          <w:rFonts w:ascii="Arial" w:hAnsi="Arial" w:eastAsia="Calibri" w:cs="Arial"/>
          <w:b/>
          <w:sz w:val="22"/>
        </w:rPr>
        <w:t xml:space="preserve"> Sujetos de especial</w:t>
      </w:r>
      <w:r w:rsidRPr="00D302B9" w:rsidR="00B63678">
        <w:rPr>
          <w:rFonts w:ascii="Arial" w:hAnsi="Arial" w:eastAsia="Calibri" w:cs="Arial"/>
          <w:b/>
          <w:sz w:val="22"/>
        </w:rPr>
        <w:t>es</w:t>
      </w:r>
      <w:r w:rsidRPr="00D302B9">
        <w:rPr>
          <w:rFonts w:ascii="Arial" w:hAnsi="Arial" w:eastAsia="Calibri" w:cs="Arial"/>
          <w:b/>
          <w:sz w:val="22"/>
        </w:rPr>
        <w:t xml:space="preserve"> </w:t>
      </w:r>
      <w:r w:rsidRPr="00D302B9" w:rsidR="00B63678">
        <w:rPr>
          <w:rFonts w:ascii="Arial" w:hAnsi="Arial" w:eastAsia="Calibri" w:cs="Arial"/>
          <w:b/>
          <w:sz w:val="22"/>
        </w:rPr>
        <w:t>– P</w:t>
      </w:r>
      <w:r w:rsidRPr="00D302B9">
        <w:rPr>
          <w:rFonts w:ascii="Arial" w:hAnsi="Arial" w:eastAsia="Calibri" w:cs="Arial"/>
          <w:b/>
          <w:sz w:val="22"/>
        </w:rPr>
        <w:t>rotección constitucional</w:t>
      </w:r>
    </w:p>
    <w:p w:rsidRPr="00D302B9" w:rsidR="00A822F9" w:rsidP="00A822F9" w:rsidRDefault="00A822F9" w14:paraId="41D7EDCF" w14:textId="77777777">
      <w:pPr>
        <w:jc w:val="both"/>
        <w:rPr>
          <w:rFonts w:ascii="Arial" w:hAnsi="Arial" w:eastAsia="Calibri" w:cs="Arial"/>
          <w:bCs/>
          <w:sz w:val="20"/>
          <w:szCs w:val="20"/>
        </w:rPr>
      </w:pPr>
    </w:p>
    <w:p w:rsidRPr="00D302B9" w:rsidR="00A822F9" w:rsidP="00C357D9" w:rsidRDefault="00A822F9" w14:paraId="5233C6CE" w14:textId="362FEDEC">
      <w:pPr>
        <w:jc w:val="both"/>
        <w:rPr>
          <w:rFonts w:ascii="Arial" w:hAnsi="Arial" w:eastAsia="Calibri" w:cs="Arial"/>
          <w:bCs/>
          <w:sz w:val="20"/>
          <w:szCs w:val="20"/>
        </w:rPr>
      </w:pPr>
      <w:r w:rsidRPr="00D302B9">
        <w:rPr>
          <w:rFonts w:ascii="Arial" w:hAnsi="Arial" w:eastAsia="Calibri" w:cs="Arial"/>
          <w:bCs/>
          <w:sz w:val="20"/>
          <w:szCs w:val="20"/>
        </w:rPr>
        <w:t>Esto no quiere decir que en la contratación estatal no sea posible e imperativo buscar la implementación de incentivos para los sujetos de especial protección constitucional. Por ejemplo, en materia de obras públicas de infraestructura de transporte, material en la cual se deben aplicar los Documento Tipo o Pliegos Tipo, se otorga un trato preferente a los proponentes que acrediten la vinculación de personas en condición de discapacidad.</w:t>
      </w:r>
      <w:r w:rsidRPr="00D302B9" w:rsidR="00C357D9">
        <w:rPr>
          <w:rFonts w:ascii="Arial" w:hAnsi="Arial" w:eastAsia="Calibri" w:cs="Arial"/>
          <w:bCs/>
          <w:sz w:val="20"/>
          <w:szCs w:val="20"/>
        </w:rPr>
        <w:t xml:space="preserve"> </w:t>
      </w:r>
      <w:r w:rsidRPr="00D302B9">
        <w:rPr>
          <w:rFonts w:ascii="Arial" w:hAnsi="Arial" w:eastAsia="Calibri" w:cs="Arial"/>
          <w:bCs/>
          <w:sz w:val="20"/>
          <w:szCs w:val="20"/>
        </w:rPr>
        <w:t>Igualmente, la Ley 823 de 2003, en el artículo 5, numeral 2, establece que «el Gobierno Nacional promoverá la incorporación de las mujeres al empleo en el sector de la construcción, mediante la sensibilización, la capacitación y el reconocimiento de incentivos a los empresarios del sector». Esto último en acatamiento de las obligaciones internacionales adquiridas por el Estado al suscribir, entre otras, la Convención Interamericana para Prevenir, Sancionar y Erradicar la Violencia contra la Mujer −Convención de Belem do Para−, aprobada por el Congreso mediante la Ley 248 de 1995.</w:t>
      </w:r>
    </w:p>
    <w:p w:rsidRPr="00D302B9" w:rsidR="009667E3" w:rsidP="00023568" w:rsidRDefault="009667E3" w14:paraId="1B2A3E8D" w14:textId="77777777">
      <w:pPr>
        <w:jc w:val="both"/>
        <w:rPr>
          <w:rFonts w:ascii="Arial" w:hAnsi="Arial" w:eastAsia="Calibri" w:cs="Arial"/>
          <w:bCs/>
          <w:sz w:val="20"/>
          <w:szCs w:val="20"/>
        </w:rPr>
      </w:pPr>
    </w:p>
    <w:p w:rsidRPr="00D302B9" w:rsidR="0091199C" w:rsidP="0091199C" w:rsidRDefault="0091199C" w14:paraId="19FA1548" w14:textId="77777777">
      <w:pPr>
        <w:autoSpaceDE w:val="0"/>
        <w:autoSpaceDN w:val="0"/>
        <w:adjustRightInd w:val="0"/>
        <w:rPr>
          <w:rFonts w:ascii="Arial" w:hAnsi="Arial" w:cs="Arial"/>
          <w:sz w:val="20"/>
          <w:szCs w:val="20"/>
          <w:lang w:val="es-CO"/>
        </w:rPr>
      </w:pPr>
    </w:p>
    <w:p w:rsidRPr="00D302B9" w:rsidR="0091199C" w:rsidP="0091199C" w:rsidRDefault="0091199C" w14:paraId="2A0F333D" w14:textId="20E3139F">
      <w:pPr>
        <w:autoSpaceDE w:val="0"/>
        <w:autoSpaceDN w:val="0"/>
        <w:adjustRightInd w:val="0"/>
        <w:rPr>
          <w:rFonts w:ascii="Arial" w:hAnsi="Arial" w:cs="Arial"/>
          <w:sz w:val="22"/>
          <w:lang w:val="es-CO"/>
        </w:rPr>
      </w:pPr>
      <w:r w:rsidRPr="00D302B9">
        <w:rPr>
          <w:rFonts w:ascii="Arial" w:hAnsi="Arial" w:cs="Arial"/>
          <w:sz w:val="22"/>
          <w:lang w:val="es-CO"/>
        </w:rPr>
        <w:t xml:space="preserve">Bogotá D.C., </w:t>
      </w:r>
      <w:r w:rsidRPr="00D302B9">
        <w:rPr>
          <w:rFonts w:ascii="Arial" w:hAnsi="Arial" w:cs="Arial"/>
          <w:b/>
          <w:bCs/>
          <w:sz w:val="22"/>
          <w:lang w:val="es-CO"/>
        </w:rPr>
        <w:t xml:space="preserve">29/04/2020 Hora 18:22:24s </w:t>
      </w:r>
    </w:p>
    <w:p w:rsidRPr="00D302B9" w:rsidR="0091199C" w:rsidP="0091199C" w:rsidRDefault="0091199C" w14:paraId="54702193" w14:textId="77777777">
      <w:pPr>
        <w:jc w:val="right"/>
        <w:rPr>
          <w:rFonts w:ascii="Arial" w:hAnsi="Arial" w:cs="Arial"/>
          <w:b/>
          <w:bCs/>
          <w:sz w:val="22"/>
          <w:lang w:val="es-CO"/>
        </w:rPr>
      </w:pPr>
      <w:proofErr w:type="spellStart"/>
      <w:r w:rsidRPr="00D302B9">
        <w:rPr>
          <w:rFonts w:ascii="Arial" w:hAnsi="Arial" w:cs="Arial"/>
          <w:b/>
          <w:bCs/>
          <w:sz w:val="22"/>
          <w:lang w:val="es-CO"/>
        </w:rPr>
        <w:t>N°</w:t>
      </w:r>
      <w:proofErr w:type="spellEnd"/>
      <w:r w:rsidRPr="00D302B9">
        <w:rPr>
          <w:rFonts w:ascii="Arial" w:hAnsi="Arial" w:cs="Arial"/>
          <w:b/>
          <w:bCs/>
          <w:sz w:val="22"/>
          <w:lang w:val="es-CO"/>
        </w:rPr>
        <w:t xml:space="preserve"> Radicado: 2202013000003258 </w:t>
      </w:r>
    </w:p>
    <w:p w:rsidRPr="00D302B9" w:rsidR="00BE1E33" w:rsidP="0091199C" w:rsidRDefault="00BE1E33" w14:paraId="73D51859" w14:textId="6CC4EB6D">
      <w:pPr>
        <w:rPr>
          <w:rFonts w:ascii="Arial" w:hAnsi="Arial" w:eastAsia="Calibri" w:cs="Arial"/>
          <w:sz w:val="22"/>
        </w:rPr>
      </w:pPr>
      <w:r w:rsidRPr="00D302B9">
        <w:rPr>
          <w:rFonts w:ascii="Arial" w:hAnsi="Arial" w:eastAsia="Calibri" w:cs="Arial"/>
          <w:sz w:val="22"/>
        </w:rPr>
        <w:t>Señor</w:t>
      </w:r>
    </w:p>
    <w:p w:rsidRPr="00D302B9" w:rsidR="00BE1E33" w:rsidP="00BE1E33" w:rsidRDefault="007C238D" w14:paraId="51140DA2" w14:textId="4B435458">
      <w:pPr>
        <w:rPr>
          <w:rFonts w:ascii="Arial" w:hAnsi="Arial" w:eastAsia="Calibri" w:cs="Arial"/>
          <w:b/>
          <w:sz w:val="22"/>
        </w:rPr>
      </w:pPr>
      <w:r w:rsidRPr="00D302B9">
        <w:rPr>
          <w:rFonts w:ascii="Arial" w:hAnsi="Arial" w:eastAsia="Calibri" w:cs="Arial"/>
          <w:b/>
          <w:sz w:val="22"/>
        </w:rPr>
        <w:t>Alexander Aragón Torrealba</w:t>
      </w:r>
    </w:p>
    <w:p w:rsidRPr="00D302B9" w:rsidR="007C238D" w:rsidP="00BE1E33" w:rsidRDefault="007C238D" w14:paraId="71079F43" w14:textId="43AF9345">
      <w:pPr>
        <w:rPr>
          <w:rFonts w:ascii="Arial" w:hAnsi="Arial" w:eastAsia="Calibri" w:cs="Arial"/>
          <w:bCs/>
          <w:sz w:val="22"/>
        </w:rPr>
      </w:pPr>
      <w:r w:rsidRPr="00D302B9">
        <w:rPr>
          <w:rFonts w:ascii="Arial" w:hAnsi="Arial" w:eastAsia="Calibri" w:cs="Arial"/>
          <w:bCs/>
          <w:sz w:val="22"/>
        </w:rPr>
        <w:t xml:space="preserve">Agencia para la Infraestructura del Meta </w:t>
      </w:r>
    </w:p>
    <w:p w:rsidRPr="00D302B9" w:rsidR="00BE1E33" w:rsidP="00BE1E33" w:rsidRDefault="007C238D" w14:paraId="448A33BC" w14:textId="30CAA963">
      <w:pPr>
        <w:rPr>
          <w:rFonts w:ascii="Arial" w:hAnsi="Arial" w:eastAsia="Calibri" w:cs="Arial"/>
          <w:sz w:val="22"/>
        </w:rPr>
      </w:pPr>
      <w:r w:rsidRPr="00D302B9">
        <w:rPr>
          <w:rFonts w:ascii="Arial" w:hAnsi="Arial" w:eastAsia="Calibri" w:cs="Arial"/>
          <w:sz w:val="22"/>
        </w:rPr>
        <w:t>Villavicencio</w:t>
      </w:r>
      <w:r w:rsidRPr="00D302B9" w:rsidR="00BE1E33">
        <w:rPr>
          <w:rFonts w:ascii="Arial" w:hAnsi="Arial" w:eastAsia="Calibri" w:cs="Arial"/>
          <w:sz w:val="22"/>
        </w:rPr>
        <w:t xml:space="preserve">, </w:t>
      </w:r>
      <w:r w:rsidRPr="00D302B9">
        <w:rPr>
          <w:rFonts w:ascii="Arial" w:hAnsi="Arial" w:eastAsia="Calibri" w:cs="Arial"/>
          <w:sz w:val="22"/>
        </w:rPr>
        <w:t>Meta</w:t>
      </w:r>
    </w:p>
    <w:p w:rsidRPr="00D302B9" w:rsidR="009667E3" w:rsidP="00BE1E33" w:rsidRDefault="009667E3" w14:paraId="6A5040EB" w14:textId="77777777">
      <w:pPr>
        <w:rPr>
          <w:rFonts w:ascii="Arial" w:hAnsi="Arial" w:eastAsia="Calibri" w:cs="Arial"/>
          <w:sz w:val="22"/>
        </w:rPr>
      </w:pPr>
    </w:p>
    <w:p w:rsidRPr="00D302B9" w:rsidR="00BE1E33" w:rsidP="00BE1E33" w:rsidRDefault="00BE1E33" w14:paraId="5CEA4ADF" w14:textId="23668B3C">
      <w:pPr>
        <w:ind w:firstLine="2694"/>
        <w:rPr>
          <w:rFonts w:ascii="Arial" w:hAnsi="Arial" w:eastAsia="Calibri" w:cs="Arial"/>
          <w:b/>
          <w:sz w:val="22"/>
        </w:rPr>
      </w:pPr>
      <w:r w:rsidRPr="00D302B9">
        <w:rPr>
          <w:rFonts w:ascii="Arial" w:hAnsi="Arial" w:eastAsia="Calibri" w:cs="Arial"/>
          <w:b/>
          <w:sz w:val="22"/>
        </w:rPr>
        <w:t xml:space="preserve">Concepto C ─ </w:t>
      </w:r>
      <w:r w:rsidRPr="00D302B9" w:rsidR="00770D7D">
        <w:rPr>
          <w:rFonts w:ascii="Arial" w:hAnsi="Arial" w:eastAsia="Calibri" w:cs="Arial"/>
          <w:b/>
          <w:sz w:val="22"/>
        </w:rPr>
        <w:t>2</w:t>
      </w:r>
      <w:r w:rsidRPr="00D302B9" w:rsidR="007C238D">
        <w:rPr>
          <w:rFonts w:ascii="Arial" w:hAnsi="Arial" w:eastAsia="Calibri" w:cs="Arial"/>
          <w:b/>
          <w:sz w:val="22"/>
        </w:rPr>
        <w:t>19</w:t>
      </w:r>
      <w:r w:rsidRPr="00D302B9">
        <w:rPr>
          <w:rFonts w:ascii="Arial" w:hAnsi="Arial" w:eastAsia="Calibri" w:cs="Arial"/>
          <w:b/>
          <w:sz w:val="22"/>
        </w:rPr>
        <w:t xml:space="preserve"> de 2020</w:t>
      </w:r>
    </w:p>
    <w:p w:rsidRPr="00D302B9" w:rsidR="00BE1E33" w:rsidP="00BE1E33" w:rsidRDefault="00BE1E33" w14:paraId="234727AD"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D302B9" w:rsidR="00D302B9" w:rsidTr="00BC49BA" w14:paraId="2553E4F3" w14:textId="77777777">
        <w:tc>
          <w:tcPr>
            <w:tcW w:w="2689" w:type="dxa"/>
            <w:hideMark/>
          </w:tcPr>
          <w:p w:rsidRPr="00D302B9" w:rsidR="00BE1E33" w:rsidP="00BC49BA" w:rsidRDefault="00BE1E33" w14:paraId="0C0D8CD7" w14:textId="23435FAE">
            <w:pPr>
              <w:rPr>
                <w:rFonts w:ascii="Arial" w:hAnsi="Arial" w:eastAsia="Calibri" w:cs="Arial"/>
                <w:sz w:val="22"/>
              </w:rPr>
            </w:pPr>
            <w:r w:rsidRPr="00D302B9">
              <w:rPr>
                <w:rFonts w:ascii="Arial" w:hAnsi="Arial" w:eastAsia="Calibri" w:cs="Arial"/>
                <w:b/>
                <w:sz w:val="22"/>
              </w:rPr>
              <w:t>Temas:</w:t>
            </w:r>
          </w:p>
        </w:tc>
        <w:tc>
          <w:tcPr>
            <w:tcW w:w="6237" w:type="dxa"/>
            <w:hideMark/>
          </w:tcPr>
          <w:p w:rsidRPr="00D302B9" w:rsidR="002C7004" w:rsidP="00B63678" w:rsidRDefault="008C6C46" w14:paraId="0F35FDBD" w14:textId="1253C781">
            <w:pPr>
              <w:jc w:val="both"/>
              <w:rPr>
                <w:rFonts w:ascii="Arial" w:hAnsi="Arial" w:eastAsia="Calibri" w:cs="Arial"/>
                <w:sz w:val="22"/>
              </w:rPr>
            </w:pPr>
            <w:r w:rsidRPr="00D302B9">
              <w:rPr>
                <w:rFonts w:ascii="Arial" w:hAnsi="Arial" w:eastAsia="Calibri" w:cs="Arial"/>
                <w:sz w:val="22"/>
              </w:rPr>
              <w:t xml:space="preserve">EJECUCIÓN DEL CONTRATO ― Herramientas para dirigir el negocio y vigilar y controlar / CLÁUSULAS EXCEPCIONALES ― Caducidad / CADUCIDAD ― Consecuencias jurídicas / </w:t>
            </w:r>
            <w:r w:rsidRPr="00D302B9" w:rsidR="007D634D">
              <w:rPr>
                <w:rFonts w:ascii="Arial" w:hAnsi="Arial" w:eastAsia="Calibri" w:cs="Arial"/>
                <w:sz w:val="22"/>
              </w:rPr>
              <w:t xml:space="preserve">INCUMPLIMIENTO DEL CONTRATO – Declaratoria – Finalidad / MULTAS </w:t>
            </w:r>
            <w:r w:rsidRPr="00D302B9">
              <w:rPr>
                <w:rFonts w:ascii="Arial" w:hAnsi="Arial" w:eastAsia="Calibri" w:cs="Arial"/>
                <w:sz w:val="22"/>
              </w:rPr>
              <w:t xml:space="preserve">― Deben ser proporcionales, razonables y necesarias / MULTAS ― Principio de tipicidad / MULTAS Y CLÁUSULA PENAL ― Similitudes y diferencias / INCUMPLIMIENTO </w:t>
            </w:r>
            <w:r w:rsidRPr="00D302B9" w:rsidR="007D634D">
              <w:rPr>
                <w:rFonts w:ascii="Arial" w:hAnsi="Arial" w:eastAsia="Calibri" w:cs="Arial"/>
                <w:sz w:val="22"/>
              </w:rPr>
              <w:t>DEL CONTRATO</w:t>
            </w:r>
            <w:r w:rsidRPr="00D302B9">
              <w:rPr>
                <w:rFonts w:ascii="Arial" w:hAnsi="Arial" w:eastAsia="Calibri" w:cs="Arial"/>
                <w:sz w:val="22"/>
              </w:rPr>
              <w:t xml:space="preserve"> ― Cuantificación de perjuicios debe respetar debido proceso / PROCEDIMIENTO SANCIONATORIO CONTRACTUAL REGULADO EN LA LEY 1474 DE 2011 ― Inaplicabilidad en los regímenes especiales de contratación estatal / PROCEDIMIENTO SANCIONATORIO CONTRACTUAL REGULADO EN LA LEY 1437 DE 2011 ― Inaplicabilidad para la dosificación, atenuantes y agravantes en procesos sancionatorios contractuales / DOSIFICACIÓN, ATENUANTES Y AGRAVANTES DE LA SANCIÓN CONTRACTUAL – Competencia exclusiva del legislador para regularlos / ARTÍCULO 12 DE LA LEY 1150 DE 2007 – Ámbito de aplicación / CONTRATACIÓN ESTATAL – Sujetos especial</w:t>
            </w:r>
            <w:r w:rsidRPr="00D302B9" w:rsidR="00B63678">
              <w:rPr>
                <w:rFonts w:ascii="Arial" w:hAnsi="Arial" w:eastAsia="Calibri" w:cs="Arial"/>
                <w:sz w:val="22"/>
              </w:rPr>
              <w:t>es</w:t>
            </w:r>
            <w:r w:rsidRPr="00D302B9">
              <w:rPr>
                <w:rFonts w:ascii="Arial" w:hAnsi="Arial" w:eastAsia="Calibri" w:cs="Arial"/>
                <w:sz w:val="22"/>
              </w:rPr>
              <w:t xml:space="preserve"> </w:t>
            </w:r>
            <w:r w:rsidRPr="00D302B9" w:rsidR="00B63678">
              <w:rPr>
                <w:rFonts w:ascii="Arial" w:hAnsi="Arial" w:eastAsia="Calibri" w:cs="Arial"/>
                <w:sz w:val="22"/>
              </w:rPr>
              <w:t>– P</w:t>
            </w:r>
            <w:r w:rsidRPr="00D302B9">
              <w:rPr>
                <w:rFonts w:ascii="Arial" w:hAnsi="Arial" w:eastAsia="Calibri" w:cs="Arial"/>
                <w:sz w:val="22"/>
              </w:rPr>
              <w:t>rotección constitucional</w:t>
            </w:r>
          </w:p>
        </w:tc>
      </w:tr>
      <w:tr w:rsidRPr="00D302B9" w:rsidR="00D302B9" w:rsidTr="00BC49BA" w14:paraId="20F2A3B6" w14:textId="77777777">
        <w:tc>
          <w:tcPr>
            <w:tcW w:w="2689" w:type="dxa"/>
          </w:tcPr>
          <w:p w:rsidRPr="00D302B9" w:rsidR="00BE1E33" w:rsidP="00BC49BA" w:rsidRDefault="00BE1E33" w14:paraId="1E82F4FA" w14:textId="77777777">
            <w:pPr>
              <w:spacing w:before="120"/>
              <w:rPr>
                <w:rFonts w:ascii="Arial" w:hAnsi="Arial" w:eastAsia="Calibri" w:cs="Arial"/>
                <w:b/>
                <w:sz w:val="22"/>
              </w:rPr>
            </w:pPr>
            <w:r w:rsidRPr="00D302B9">
              <w:rPr>
                <w:rFonts w:ascii="Arial" w:hAnsi="Arial" w:eastAsia="Calibri" w:cs="Arial"/>
                <w:b/>
                <w:sz w:val="22"/>
              </w:rPr>
              <w:lastRenderedPageBreak/>
              <w:t>Radicación:</w:t>
            </w:r>
            <w:r w:rsidRPr="00D302B9">
              <w:rPr>
                <w:rFonts w:ascii="Arial" w:hAnsi="Arial" w:eastAsia="Calibri" w:cs="Arial"/>
                <w:sz w:val="22"/>
              </w:rPr>
              <w:t xml:space="preserve">                              </w:t>
            </w:r>
          </w:p>
        </w:tc>
        <w:tc>
          <w:tcPr>
            <w:tcW w:w="6237" w:type="dxa"/>
          </w:tcPr>
          <w:p w:rsidRPr="00D302B9" w:rsidR="00BE1E33" w:rsidP="00BC49BA" w:rsidRDefault="00BE1E33" w14:paraId="55625D07" w14:textId="77777777">
            <w:pPr>
              <w:spacing w:before="120"/>
              <w:jc w:val="both"/>
              <w:rPr>
                <w:rFonts w:ascii="Arial" w:hAnsi="Arial" w:eastAsia="Calibri" w:cs="Arial"/>
                <w:sz w:val="22"/>
              </w:rPr>
            </w:pPr>
            <w:r w:rsidRPr="00D302B9">
              <w:rPr>
                <w:rFonts w:ascii="Arial" w:hAnsi="Arial" w:eastAsia="Calibri" w:cs="Arial"/>
                <w:sz w:val="22"/>
              </w:rPr>
              <w:t>Respuesta a consulta 420201300000</w:t>
            </w:r>
            <w:r w:rsidRPr="00D302B9" w:rsidR="00B87263">
              <w:rPr>
                <w:rFonts w:ascii="Arial" w:hAnsi="Arial" w:eastAsia="Calibri" w:cs="Arial"/>
                <w:sz w:val="22"/>
              </w:rPr>
              <w:t>1735</w:t>
            </w:r>
            <w:r w:rsidRPr="00D302B9">
              <w:rPr>
                <w:rFonts w:ascii="Arial" w:hAnsi="Arial" w:eastAsia="Calibri" w:cs="Arial"/>
                <w:sz w:val="22"/>
              </w:rPr>
              <w:t xml:space="preserve"> </w:t>
            </w:r>
          </w:p>
          <w:p w:rsidRPr="00D302B9" w:rsidR="009667E3" w:rsidP="009667E3" w:rsidRDefault="009667E3" w14:paraId="20FCE53A" w14:textId="3E4E1AAE">
            <w:pPr>
              <w:spacing w:before="120"/>
              <w:rPr>
                <w:rFonts w:ascii="Arial" w:hAnsi="Arial" w:eastAsia="Calibri" w:cs="Arial"/>
                <w:sz w:val="22"/>
              </w:rPr>
            </w:pPr>
          </w:p>
        </w:tc>
      </w:tr>
    </w:tbl>
    <w:p w:rsidRPr="00D302B9" w:rsidR="00BE1E33" w:rsidP="00BE1E33" w:rsidRDefault="00B87263" w14:paraId="417ABDA8" w14:textId="6776E65C">
      <w:pPr>
        <w:rPr>
          <w:rFonts w:ascii="Arial" w:hAnsi="Arial" w:eastAsia="Calibri" w:cs="Arial"/>
          <w:sz w:val="22"/>
        </w:rPr>
      </w:pPr>
      <w:r w:rsidRPr="00D302B9">
        <w:rPr>
          <w:rFonts w:ascii="Arial" w:hAnsi="Arial" w:eastAsia="Calibri" w:cs="Arial"/>
          <w:sz w:val="22"/>
        </w:rPr>
        <w:t>Estimado señor Aragón Torrealba</w:t>
      </w:r>
      <w:r w:rsidRPr="00D302B9" w:rsidR="00BE1E33">
        <w:rPr>
          <w:rFonts w:ascii="Arial" w:hAnsi="Arial" w:eastAsia="Calibri" w:cs="Arial"/>
          <w:sz w:val="22"/>
        </w:rPr>
        <w:t>:</w:t>
      </w:r>
    </w:p>
    <w:p w:rsidRPr="00D302B9" w:rsidR="00BE1E33" w:rsidP="00BE1E33" w:rsidRDefault="00BE1E33" w14:paraId="1CCABABD" w14:textId="77777777">
      <w:pPr>
        <w:rPr>
          <w:rFonts w:ascii="Arial" w:hAnsi="Arial" w:eastAsia="Calibri" w:cs="Arial"/>
          <w:sz w:val="22"/>
        </w:rPr>
      </w:pPr>
    </w:p>
    <w:p w:rsidRPr="00D302B9" w:rsidR="00BE1E33" w:rsidP="00BE1E33" w:rsidRDefault="00BE1E33" w14:paraId="286A9CEF" w14:textId="1C3B3C52">
      <w:pPr>
        <w:spacing w:line="276" w:lineRule="auto"/>
        <w:jc w:val="both"/>
        <w:rPr>
          <w:rFonts w:ascii="Arial" w:hAnsi="Arial" w:eastAsia="Calibri" w:cs="Arial"/>
          <w:sz w:val="22"/>
        </w:rPr>
      </w:pPr>
      <w:r w:rsidRPr="00D302B9">
        <w:rPr>
          <w:rFonts w:ascii="Arial" w:hAnsi="Arial" w:eastAsia="Calibri" w:cs="Arial"/>
          <w:sz w:val="22"/>
        </w:rPr>
        <w:t xml:space="preserve">En ejercicio de la competencia otorgada por los artículos 11, numeral 8º, y 3º, numeral 5º, del Decreto Ley 4170 de 2011, la Agencia Nacional de Contratación Pública − Colombia Compra Eficiente responde su consulta del </w:t>
      </w:r>
      <w:r w:rsidRPr="00D302B9" w:rsidR="0067047D">
        <w:rPr>
          <w:rFonts w:ascii="Arial" w:hAnsi="Arial" w:eastAsia="Calibri" w:cs="Arial"/>
          <w:sz w:val="22"/>
        </w:rPr>
        <w:t>9</w:t>
      </w:r>
      <w:r w:rsidRPr="00D302B9">
        <w:rPr>
          <w:rFonts w:ascii="Arial" w:hAnsi="Arial" w:eastAsia="Calibri" w:cs="Arial"/>
          <w:sz w:val="22"/>
        </w:rPr>
        <w:t xml:space="preserve"> de marzo de 2020. </w:t>
      </w:r>
    </w:p>
    <w:p w:rsidRPr="00D302B9" w:rsidR="00BE1E33" w:rsidP="00BE1E33" w:rsidRDefault="00BE1E33" w14:paraId="1D13401D" w14:textId="77777777">
      <w:pPr>
        <w:spacing w:line="276" w:lineRule="auto"/>
        <w:jc w:val="both"/>
        <w:rPr>
          <w:rFonts w:ascii="Arial" w:hAnsi="Arial" w:eastAsia="Calibri" w:cs="Arial"/>
          <w:sz w:val="22"/>
        </w:rPr>
      </w:pPr>
    </w:p>
    <w:p w:rsidRPr="00D302B9" w:rsidR="00BE1E33" w:rsidP="00BE1E33" w:rsidRDefault="00BE1E33" w14:paraId="068F505C" w14:textId="77777777">
      <w:pPr>
        <w:pStyle w:val="Prrafodelista"/>
        <w:numPr>
          <w:ilvl w:val="0"/>
          <w:numId w:val="1"/>
        </w:numPr>
        <w:tabs>
          <w:tab w:val="left" w:pos="284"/>
        </w:tabs>
        <w:spacing w:line="276" w:lineRule="auto"/>
        <w:ind w:left="0" w:firstLine="0"/>
        <w:jc w:val="both"/>
        <w:rPr>
          <w:rFonts w:ascii="Arial" w:hAnsi="Arial" w:eastAsia="Calibri" w:cs="Arial"/>
          <w:b/>
          <w:sz w:val="22"/>
        </w:rPr>
      </w:pPr>
      <w:r w:rsidRPr="00D302B9">
        <w:rPr>
          <w:rFonts w:ascii="Arial" w:hAnsi="Arial" w:eastAsia="Calibri" w:cs="Arial"/>
          <w:b/>
          <w:sz w:val="22"/>
        </w:rPr>
        <w:t xml:space="preserve">Problemas planteados </w:t>
      </w:r>
    </w:p>
    <w:p w:rsidRPr="00D302B9" w:rsidR="00BE1E33" w:rsidP="00BE1E33" w:rsidRDefault="00BE1E33" w14:paraId="430A9943" w14:textId="77777777">
      <w:pPr>
        <w:tabs>
          <w:tab w:val="left" w:pos="426"/>
        </w:tabs>
        <w:spacing w:line="276" w:lineRule="auto"/>
        <w:jc w:val="both"/>
        <w:rPr>
          <w:rFonts w:ascii="Arial" w:hAnsi="Arial" w:eastAsia="Calibri" w:cs="Arial"/>
          <w:b/>
          <w:sz w:val="22"/>
        </w:rPr>
      </w:pPr>
    </w:p>
    <w:p w:rsidRPr="00D302B9" w:rsidR="0067047D" w:rsidP="009E4A43" w:rsidRDefault="00BE1E33" w14:paraId="1011075E" w14:textId="72639F63">
      <w:pPr>
        <w:tabs>
          <w:tab w:val="left" w:pos="426"/>
        </w:tabs>
        <w:spacing w:line="276" w:lineRule="auto"/>
        <w:jc w:val="both"/>
        <w:rPr>
          <w:rFonts w:ascii="Arial" w:hAnsi="Arial" w:eastAsia="Calibri" w:cs="Arial"/>
          <w:sz w:val="22"/>
        </w:rPr>
      </w:pPr>
      <w:r w:rsidRPr="00D302B9">
        <w:rPr>
          <w:rFonts w:ascii="Arial" w:hAnsi="Arial" w:eastAsia="Calibri" w:cs="Arial"/>
          <w:sz w:val="22"/>
        </w:rPr>
        <w:t xml:space="preserve">Usted </w:t>
      </w:r>
      <w:r w:rsidRPr="00D302B9" w:rsidR="006E45C1">
        <w:rPr>
          <w:rFonts w:ascii="Arial" w:hAnsi="Arial" w:eastAsia="Calibri" w:cs="Arial"/>
          <w:sz w:val="22"/>
        </w:rPr>
        <w:t>informa que la «intención de [la] consulta es introducir estrategias en la contratación de infraestructura pública, pata promover que los contratistas de obras, interventorías y consultorías vinculen un mínimo de personal</w:t>
      </w:r>
      <w:r w:rsidRPr="00D302B9" w:rsidR="00827856">
        <w:rPr>
          <w:rFonts w:ascii="Arial" w:hAnsi="Arial" w:eastAsia="Calibri" w:cs="Arial"/>
          <w:sz w:val="22"/>
        </w:rPr>
        <w:t xml:space="preserve"> </w:t>
      </w:r>
      <w:r w:rsidRPr="00D302B9" w:rsidR="006E45C1">
        <w:rPr>
          <w:rFonts w:ascii="Arial" w:hAnsi="Arial" w:eastAsia="Calibri" w:cs="Arial"/>
          <w:sz w:val="22"/>
        </w:rPr>
        <w:t xml:space="preserve">femenino, y a empresas de servicios de transporte y otras empresas locales, a las obras territoriales; pues como es conocido la ejecución del Presupuesto Público puede servir de motor para impulsar la economía local, y contribuir a cerrar las brechas sociales y de género». Con fundamento en lo anterior, </w:t>
      </w:r>
      <w:r w:rsidRPr="00D302B9">
        <w:rPr>
          <w:rFonts w:ascii="Arial" w:hAnsi="Arial" w:eastAsia="Calibri" w:cs="Arial"/>
          <w:sz w:val="22"/>
        </w:rPr>
        <w:t>realiza la</w:t>
      </w:r>
      <w:r w:rsidRPr="00D302B9" w:rsidR="0067047D">
        <w:rPr>
          <w:rFonts w:ascii="Arial" w:hAnsi="Arial" w:eastAsia="Calibri" w:cs="Arial"/>
          <w:sz w:val="22"/>
        </w:rPr>
        <w:t>s</w:t>
      </w:r>
      <w:r w:rsidRPr="00D302B9">
        <w:rPr>
          <w:rFonts w:ascii="Arial" w:hAnsi="Arial" w:eastAsia="Calibri" w:cs="Arial"/>
          <w:sz w:val="22"/>
        </w:rPr>
        <w:t xml:space="preserve"> siguiente</w:t>
      </w:r>
      <w:r w:rsidRPr="00D302B9" w:rsidR="0067047D">
        <w:rPr>
          <w:rFonts w:ascii="Arial" w:hAnsi="Arial" w:eastAsia="Calibri" w:cs="Arial"/>
          <w:sz w:val="22"/>
        </w:rPr>
        <w:t>s</w:t>
      </w:r>
      <w:r w:rsidRPr="00D302B9" w:rsidR="009E4A43">
        <w:rPr>
          <w:rFonts w:ascii="Arial" w:hAnsi="Arial" w:eastAsia="Calibri" w:cs="Arial"/>
          <w:sz w:val="22"/>
        </w:rPr>
        <w:t xml:space="preserve"> </w:t>
      </w:r>
      <w:r w:rsidRPr="00D302B9">
        <w:rPr>
          <w:rFonts w:ascii="Arial" w:hAnsi="Arial" w:eastAsia="Calibri" w:cs="Arial"/>
          <w:sz w:val="22"/>
        </w:rPr>
        <w:t>pregunta</w:t>
      </w:r>
      <w:r w:rsidRPr="00D302B9" w:rsidR="0067047D">
        <w:rPr>
          <w:rFonts w:ascii="Arial" w:hAnsi="Arial" w:eastAsia="Calibri" w:cs="Arial"/>
          <w:sz w:val="22"/>
        </w:rPr>
        <w:t>s</w:t>
      </w:r>
      <w:r w:rsidRPr="00D302B9">
        <w:rPr>
          <w:rFonts w:ascii="Arial" w:hAnsi="Arial" w:eastAsia="Calibri" w:cs="Arial"/>
          <w:sz w:val="22"/>
        </w:rPr>
        <w:t>:</w:t>
      </w:r>
    </w:p>
    <w:p w:rsidRPr="00D302B9" w:rsidR="0067047D" w:rsidP="006E45C1" w:rsidRDefault="006E45C1" w14:paraId="13E59A8B" w14:textId="0D83CF4A">
      <w:pPr>
        <w:tabs>
          <w:tab w:val="left" w:pos="709"/>
        </w:tabs>
        <w:spacing w:before="120" w:line="276" w:lineRule="auto"/>
        <w:jc w:val="both"/>
        <w:rPr>
          <w:rFonts w:ascii="Arial" w:hAnsi="Arial" w:eastAsia="Calibri" w:cs="Arial"/>
          <w:sz w:val="22"/>
        </w:rPr>
      </w:pPr>
      <w:r w:rsidRPr="00D302B9">
        <w:rPr>
          <w:rFonts w:ascii="Arial" w:hAnsi="Arial" w:eastAsia="Calibri" w:cs="Arial"/>
          <w:sz w:val="22"/>
        </w:rPr>
        <w:tab/>
      </w:r>
      <w:r w:rsidRPr="00D302B9" w:rsidR="0067047D">
        <w:rPr>
          <w:rFonts w:ascii="Arial" w:hAnsi="Arial" w:eastAsia="Calibri" w:cs="Arial"/>
          <w:sz w:val="22"/>
        </w:rPr>
        <w:t>i)</w:t>
      </w:r>
      <w:r w:rsidRPr="00D302B9" w:rsidR="00BE1E33">
        <w:rPr>
          <w:rFonts w:ascii="Arial" w:hAnsi="Arial" w:eastAsia="Calibri" w:cs="Arial"/>
          <w:sz w:val="22"/>
        </w:rPr>
        <w:t xml:space="preserve"> «¿</w:t>
      </w:r>
      <w:r w:rsidRPr="00D302B9" w:rsidR="0067047D">
        <w:rPr>
          <w:rFonts w:ascii="Arial" w:hAnsi="Arial" w:cs="Arial"/>
          <w:sz w:val="22"/>
        </w:rPr>
        <w:t>e</w:t>
      </w:r>
      <w:r w:rsidRPr="00D302B9" w:rsidR="0067047D">
        <w:rPr>
          <w:rFonts w:ascii="Arial" w:hAnsi="Arial" w:eastAsia="Calibri" w:cs="Arial"/>
          <w:sz w:val="22"/>
        </w:rPr>
        <w:t>l Gobierno Nacional, a través de CCE, ha realizado o adelanta alguna reglamentación para promover la incorporación de las mujeres al empleo en el sector de la construcción pública a través de las licitaciones de obra y/o concursos para interventorías o Consultorías, en lo posible que se otorgue puntaje a la propuesta por determinado porcentaje mínimo de personal femenino calificado y/o no calificado; como ya lo hay para personas con discapacidad?</w:t>
      </w:r>
      <w:r w:rsidRPr="00D302B9" w:rsidR="00BE1E33">
        <w:rPr>
          <w:rFonts w:ascii="Arial" w:hAnsi="Arial" w:eastAsia="Calibri" w:cs="Arial"/>
          <w:sz w:val="22"/>
        </w:rPr>
        <w:t>».</w:t>
      </w:r>
    </w:p>
    <w:p w:rsidRPr="00D302B9" w:rsidR="006E45C1" w:rsidP="006E45C1" w:rsidRDefault="0067047D" w14:paraId="14BA30AE" w14:textId="5E33D496">
      <w:pPr>
        <w:tabs>
          <w:tab w:val="left" w:pos="709"/>
        </w:tabs>
        <w:spacing w:before="120" w:line="276" w:lineRule="auto"/>
        <w:jc w:val="both"/>
        <w:rPr>
          <w:rFonts w:ascii="Arial" w:hAnsi="Arial" w:eastAsia="Calibri" w:cs="Arial"/>
          <w:sz w:val="22"/>
        </w:rPr>
      </w:pPr>
      <w:r w:rsidRPr="00D302B9">
        <w:rPr>
          <w:rFonts w:ascii="Arial" w:hAnsi="Arial" w:eastAsia="Calibri" w:cs="Arial"/>
          <w:sz w:val="22"/>
        </w:rPr>
        <w:tab/>
      </w:r>
      <w:proofErr w:type="spellStart"/>
      <w:r w:rsidRPr="00D302B9">
        <w:rPr>
          <w:rFonts w:ascii="Arial" w:hAnsi="Arial" w:eastAsia="Calibri" w:cs="Arial"/>
          <w:sz w:val="22"/>
        </w:rPr>
        <w:t>ii</w:t>
      </w:r>
      <w:proofErr w:type="spellEnd"/>
      <w:r w:rsidRPr="00D302B9">
        <w:rPr>
          <w:rFonts w:ascii="Arial" w:hAnsi="Arial" w:eastAsia="Calibri" w:cs="Arial"/>
          <w:sz w:val="22"/>
        </w:rPr>
        <w:t>) «¿</w:t>
      </w:r>
      <w:r w:rsidRPr="00D302B9" w:rsidR="006E45C1">
        <w:rPr>
          <w:rFonts w:ascii="Arial" w:hAnsi="Arial" w:eastAsia="Calibri" w:cs="Arial"/>
          <w:sz w:val="22"/>
        </w:rPr>
        <w:t>el Gobierno Departamental, a través de decretos u ordenanzas, o sus entidades descentralizadas, puede expedir reglamentación sobre la dosificación, atenuantes y agravantes en procesos sancionatorios contractuales?»</w:t>
      </w:r>
      <w:r w:rsidRPr="00D302B9" w:rsidR="00847B2A">
        <w:rPr>
          <w:rFonts w:ascii="Arial" w:hAnsi="Arial" w:eastAsia="Calibri" w:cs="Arial"/>
          <w:sz w:val="22"/>
        </w:rPr>
        <w:t>.</w:t>
      </w:r>
    </w:p>
    <w:p w:rsidRPr="00D302B9" w:rsidR="00BE1E33" w:rsidP="00847B2A" w:rsidRDefault="006E45C1" w14:paraId="741F3B6B" w14:textId="3AD887C4">
      <w:pPr>
        <w:tabs>
          <w:tab w:val="left" w:pos="709"/>
        </w:tabs>
        <w:spacing w:before="120" w:line="276" w:lineRule="auto"/>
        <w:jc w:val="both"/>
        <w:rPr>
          <w:rFonts w:ascii="Arial" w:hAnsi="Arial" w:eastAsia="Calibri" w:cs="Arial"/>
          <w:sz w:val="22"/>
        </w:rPr>
      </w:pPr>
      <w:r w:rsidRPr="00D302B9">
        <w:rPr>
          <w:rFonts w:ascii="Arial" w:hAnsi="Arial" w:eastAsia="Calibri" w:cs="Arial"/>
          <w:sz w:val="22"/>
        </w:rPr>
        <w:tab/>
      </w:r>
      <w:proofErr w:type="spellStart"/>
      <w:r w:rsidRPr="00D302B9">
        <w:rPr>
          <w:rFonts w:ascii="Arial" w:hAnsi="Arial" w:eastAsia="Calibri" w:cs="Arial"/>
          <w:sz w:val="22"/>
        </w:rPr>
        <w:t>iii</w:t>
      </w:r>
      <w:proofErr w:type="spellEnd"/>
      <w:r w:rsidRPr="00D302B9">
        <w:rPr>
          <w:rFonts w:ascii="Arial" w:hAnsi="Arial" w:eastAsia="Calibri" w:cs="Arial"/>
          <w:sz w:val="22"/>
        </w:rPr>
        <w:t>) «¿</w:t>
      </w:r>
      <w:r w:rsidRPr="00D302B9" w:rsidR="00847B2A">
        <w:rPr>
          <w:rFonts w:ascii="Arial" w:hAnsi="Arial" w:eastAsia="Calibri" w:cs="Arial"/>
          <w:sz w:val="22"/>
        </w:rPr>
        <w:t>la entidad contratante puede establecer y pactar en la minuta una proporción o cantidad mínima de mujeres de la región entre el personal calificado y entre el personal no calificado, que deben ser vinculados a la ejecución de las obras, interventorías, y consultorías?</w:t>
      </w:r>
      <w:r w:rsidRPr="00D302B9" w:rsidR="00647C00">
        <w:rPr>
          <w:rFonts w:ascii="Arial" w:hAnsi="Arial" w:eastAsia="Calibri" w:cs="Arial"/>
          <w:sz w:val="22"/>
        </w:rPr>
        <w:t xml:space="preserve"> </w:t>
      </w:r>
      <w:r w:rsidRPr="00D302B9" w:rsidR="00647C00">
        <w:rPr>
          <w:rFonts w:ascii="Arial" w:hAnsi="Arial" w:eastAsia="Calibri" w:cs="Arial"/>
          <w:sz w:val="21"/>
          <w:szCs w:val="21"/>
        </w:rPr>
        <w:t>¿Esta obligación se podría basar en lo establecido en la Ley 823 de 2003 artículo 5, numeral 2?</w:t>
      </w:r>
      <w:r w:rsidRPr="00D302B9" w:rsidR="00847B2A">
        <w:rPr>
          <w:rFonts w:ascii="Arial" w:hAnsi="Arial" w:eastAsia="Calibri" w:cs="Arial"/>
          <w:sz w:val="22"/>
        </w:rPr>
        <w:t>».</w:t>
      </w:r>
    </w:p>
    <w:p w:rsidRPr="00D302B9" w:rsidR="00847B2A" w:rsidP="00EC739A" w:rsidRDefault="00847B2A" w14:paraId="2ABC7037" w14:textId="1F2E9D6D">
      <w:pPr>
        <w:tabs>
          <w:tab w:val="left" w:pos="709"/>
        </w:tabs>
        <w:spacing w:before="120" w:line="276" w:lineRule="auto"/>
        <w:jc w:val="both"/>
        <w:rPr>
          <w:rFonts w:ascii="Arial" w:hAnsi="Arial" w:eastAsia="Calibri" w:cs="Arial"/>
          <w:sz w:val="22"/>
        </w:rPr>
      </w:pPr>
      <w:r w:rsidRPr="00D302B9">
        <w:rPr>
          <w:rFonts w:ascii="Arial" w:hAnsi="Arial" w:eastAsia="Calibri" w:cs="Arial"/>
          <w:sz w:val="22"/>
        </w:rPr>
        <w:tab/>
      </w:r>
      <w:proofErr w:type="spellStart"/>
      <w:r w:rsidRPr="00D302B9">
        <w:rPr>
          <w:rFonts w:ascii="Arial" w:hAnsi="Arial" w:eastAsia="Calibri" w:cs="Arial"/>
          <w:sz w:val="22"/>
        </w:rPr>
        <w:t>iv</w:t>
      </w:r>
      <w:proofErr w:type="spellEnd"/>
      <w:r w:rsidRPr="00D302B9">
        <w:rPr>
          <w:rFonts w:ascii="Arial" w:hAnsi="Arial" w:eastAsia="Calibri" w:cs="Arial"/>
          <w:sz w:val="22"/>
        </w:rPr>
        <w:t>) «¿</w:t>
      </w:r>
      <w:r w:rsidRPr="00D302B9" w:rsidR="00EC739A">
        <w:rPr>
          <w:rFonts w:ascii="Arial" w:hAnsi="Arial" w:eastAsia="Calibri" w:cs="Arial"/>
          <w:sz w:val="22"/>
        </w:rPr>
        <w:t>la</w:t>
      </w:r>
      <w:r w:rsidRPr="00D302B9" w:rsidR="00EC739A">
        <w:rPr>
          <w:rFonts w:ascii="Arial" w:hAnsi="Arial" w:cs="Arial"/>
          <w:sz w:val="22"/>
        </w:rPr>
        <w:t xml:space="preserve"> </w:t>
      </w:r>
      <w:r w:rsidRPr="00D302B9" w:rsidR="00EC739A">
        <w:rPr>
          <w:rFonts w:ascii="Arial" w:hAnsi="Arial" w:eastAsia="Calibri" w:cs="Arial"/>
          <w:sz w:val="22"/>
        </w:rPr>
        <w:t>entidad contratante puede propiciar desde el borrador de minuta una proporción o cantidad mínima de mujeres de la región entre el personal calificado y entre el personal no calificado que puede ser vinculadas voluntariamente por el Contratista a la ejecución de las obras, interventorías y consultorías</w:t>
      </w:r>
      <w:r w:rsidRPr="00D302B9" w:rsidR="00906097">
        <w:rPr>
          <w:rFonts w:ascii="Arial" w:hAnsi="Arial" w:eastAsia="Calibri" w:cs="Arial"/>
          <w:sz w:val="22"/>
        </w:rPr>
        <w:t>[</w:t>
      </w:r>
      <w:r w:rsidRPr="00D302B9" w:rsidR="00EA749D">
        <w:rPr>
          <w:rFonts w:ascii="Arial" w:hAnsi="Arial" w:eastAsia="Calibri" w:cs="Arial"/>
          <w:sz w:val="22"/>
        </w:rPr>
        <w:t>,</w:t>
      </w:r>
      <w:r w:rsidRPr="00D302B9" w:rsidR="00906097">
        <w:rPr>
          <w:rFonts w:ascii="Arial" w:hAnsi="Arial" w:eastAsia="Calibri" w:cs="Arial"/>
          <w:sz w:val="22"/>
        </w:rPr>
        <w:t>]</w:t>
      </w:r>
      <w:r w:rsidRPr="00D302B9" w:rsidR="00EA749D">
        <w:rPr>
          <w:rFonts w:ascii="Arial" w:hAnsi="Arial" w:eastAsia="Calibri" w:cs="Arial"/>
          <w:sz w:val="22"/>
        </w:rPr>
        <w:t xml:space="preserve"> para que en </w:t>
      </w:r>
      <w:r w:rsidRPr="00D302B9" w:rsidR="00EC739A">
        <w:rPr>
          <w:rFonts w:ascii="Arial" w:hAnsi="Arial" w:eastAsia="Calibri" w:cs="Arial"/>
          <w:sz w:val="22"/>
        </w:rPr>
        <w:t>caso de procesos sancionatorios contractuales pued</w:t>
      </w:r>
      <w:r w:rsidRPr="00D302B9" w:rsidR="00EA749D">
        <w:rPr>
          <w:rFonts w:ascii="Arial" w:hAnsi="Arial" w:eastAsia="Calibri" w:cs="Arial"/>
          <w:sz w:val="22"/>
        </w:rPr>
        <w:t>a</w:t>
      </w:r>
      <w:r w:rsidRPr="00D302B9" w:rsidR="00EC739A">
        <w:rPr>
          <w:rFonts w:ascii="Arial" w:hAnsi="Arial" w:eastAsia="Calibri" w:cs="Arial"/>
          <w:sz w:val="22"/>
        </w:rPr>
        <w:t xml:space="preserve"> la entidad contratante tener este tipo de vinculación como un atenuante para la dosificación de las sanciones o medidas a imponer?».</w:t>
      </w:r>
    </w:p>
    <w:p w:rsidRPr="00D302B9" w:rsidR="004602E5" w:rsidP="00827856" w:rsidRDefault="004602E5" w14:paraId="09D2A425" w14:textId="5136FDBD">
      <w:pPr>
        <w:tabs>
          <w:tab w:val="left" w:pos="709"/>
        </w:tabs>
        <w:spacing w:before="120" w:line="276" w:lineRule="auto"/>
        <w:jc w:val="both"/>
        <w:rPr>
          <w:rFonts w:ascii="Arial" w:hAnsi="Arial" w:eastAsia="Calibri" w:cs="Arial"/>
          <w:sz w:val="22"/>
        </w:rPr>
      </w:pPr>
      <w:r w:rsidRPr="00D302B9">
        <w:rPr>
          <w:rFonts w:ascii="Arial" w:hAnsi="Arial" w:eastAsia="Calibri" w:cs="Arial"/>
          <w:sz w:val="22"/>
        </w:rPr>
        <w:lastRenderedPageBreak/>
        <w:tab/>
      </w:r>
      <w:r w:rsidRPr="00D302B9">
        <w:rPr>
          <w:rFonts w:ascii="Arial" w:hAnsi="Arial" w:eastAsia="Calibri" w:cs="Arial"/>
          <w:sz w:val="22"/>
        </w:rPr>
        <w:t>v) «¿</w:t>
      </w:r>
      <w:r w:rsidRPr="00D302B9" w:rsidR="00827856">
        <w:rPr>
          <w:rFonts w:ascii="Arial" w:hAnsi="Arial" w:cs="Arial"/>
          <w:sz w:val="22"/>
        </w:rPr>
        <w:t xml:space="preserve">la </w:t>
      </w:r>
      <w:r w:rsidRPr="00D302B9" w:rsidR="00827856">
        <w:rPr>
          <w:rFonts w:ascii="Arial" w:hAnsi="Arial" w:eastAsia="Calibri" w:cs="Arial"/>
          <w:sz w:val="22"/>
        </w:rPr>
        <w:t>entidad contratante puede propiciar desde el borrador de minuta una proporción de servicios de transporte de materiales, equipos, y personal, mínimo, con empresas locales o de la región, que pueden ser vinculadas voluntariamente por el Contratista a la ejecución de las obras, interventorías</w:t>
      </w:r>
      <w:r w:rsidRPr="00D302B9" w:rsidR="00EA749D">
        <w:rPr>
          <w:rFonts w:ascii="Arial" w:hAnsi="Arial" w:eastAsia="Calibri" w:cs="Arial"/>
          <w:sz w:val="22"/>
        </w:rPr>
        <w:t xml:space="preserve"> </w:t>
      </w:r>
      <w:r w:rsidRPr="00D302B9" w:rsidR="00827856">
        <w:rPr>
          <w:rFonts w:ascii="Arial" w:hAnsi="Arial" w:eastAsia="Calibri" w:cs="Arial"/>
          <w:sz w:val="22"/>
        </w:rPr>
        <w:t>y consultorías</w:t>
      </w:r>
      <w:r w:rsidRPr="00D302B9" w:rsidR="00906097">
        <w:rPr>
          <w:rFonts w:ascii="Arial" w:hAnsi="Arial" w:eastAsia="Calibri" w:cs="Arial"/>
          <w:sz w:val="22"/>
        </w:rPr>
        <w:t>[</w:t>
      </w:r>
      <w:r w:rsidRPr="00D302B9" w:rsidR="00EA749D">
        <w:rPr>
          <w:rFonts w:ascii="Arial" w:hAnsi="Arial" w:eastAsia="Calibri" w:cs="Arial"/>
          <w:sz w:val="22"/>
        </w:rPr>
        <w:t>,</w:t>
      </w:r>
      <w:r w:rsidRPr="00D302B9" w:rsidR="00906097">
        <w:rPr>
          <w:rFonts w:ascii="Arial" w:hAnsi="Arial" w:eastAsia="Calibri" w:cs="Arial"/>
          <w:sz w:val="22"/>
        </w:rPr>
        <w:t>]</w:t>
      </w:r>
      <w:r w:rsidRPr="00D302B9" w:rsidR="00EA749D">
        <w:rPr>
          <w:rFonts w:ascii="Arial" w:hAnsi="Arial" w:eastAsia="Calibri" w:cs="Arial"/>
          <w:sz w:val="22"/>
        </w:rPr>
        <w:t xml:space="preserve"> para que en</w:t>
      </w:r>
      <w:r w:rsidRPr="00D302B9" w:rsidR="00827856">
        <w:rPr>
          <w:rFonts w:ascii="Arial" w:hAnsi="Arial" w:eastAsia="Calibri" w:cs="Arial"/>
          <w:sz w:val="22"/>
        </w:rPr>
        <w:t xml:space="preserve"> caso de procesos sancionatorios contractuales pueda la entidad contratante tener este tipo de vinculación como un atenuante para la dosificación de las sanciones o medidas a imponer?».</w:t>
      </w:r>
    </w:p>
    <w:p w:rsidRPr="00D302B9" w:rsidR="00BE1E33" w:rsidP="00BE1E33" w:rsidRDefault="00BE1E33" w14:paraId="6D375D8C" w14:textId="77777777">
      <w:pPr>
        <w:tabs>
          <w:tab w:val="left" w:pos="709"/>
        </w:tabs>
        <w:spacing w:before="120" w:line="276" w:lineRule="auto"/>
        <w:jc w:val="both"/>
        <w:rPr>
          <w:rFonts w:ascii="Arial" w:hAnsi="Arial" w:eastAsia="Calibri" w:cs="Arial"/>
          <w:sz w:val="22"/>
        </w:rPr>
      </w:pPr>
    </w:p>
    <w:p w:rsidRPr="00D302B9" w:rsidR="00BE1E33" w:rsidP="00BE1E33" w:rsidRDefault="00BE1E33" w14:paraId="000CB06F" w14:textId="45B1266F">
      <w:pPr>
        <w:pStyle w:val="Prrafodelista"/>
        <w:numPr>
          <w:ilvl w:val="0"/>
          <w:numId w:val="1"/>
        </w:numPr>
        <w:tabs>
          <w:tab w:val="left" w:pos="426"/>
        </w:tabs>
        <w:spacing w:line="276" w:lineRule="auto"/>
        <w:ind w:left="284" w:hanging="284"/>
        <w:jc w:val="both"/>
        <w:rPr>
          <w:rFonts w:ascii="Arial" w:hAnsi="Arial" w:eastAsia="Calibri" w:cs="Arial"/>
          <w:b/>
          <w:sz w:val="22"/>
        </w:rPr>
      </w:pPr>
      <w:r w:rsidRPr="00D302B9">
        <w:rPr>
          <w:rFonts w:ascii="Arial" w:hAnsi="Arial" w:eastAsia="Calibri" w:cs="Arial"/>
          <w:b/>
          <w:sz w:val="22"/>
        </w:rPr>
        <w:t>Consideraciones</w:t>
      </w:r>
    </w:p>
    <w:p w:rsidRPr="00D302B9" w:rsidR="00906097" w:rsidP="00906097" w:rsidRDefault="00906097" w14:paraId="381C43F2" w14:textId="77777777">
      <w:pPr>
        <w:pStyle w:val="Prrafodelista"/>
        <w:tabs>
          <w:tab w:val="left" w:pos="426"/>
        </w:tabs>
        <w:spacing w:line="276" w:lineRule="auto"/>
        <w:ind w:left="284"/>
        <w:jc w:val="both"/>
        <w:rPr>
          <w:rFonts w:ascii="Arial" w:hAnsi="Arial" w:eastAsia="Calibri" w:cs="Arial"/>
          <w:b/>
          <w:sz w:val="22"/>
        </w:rPr>
      </w:pPr>
    </w:p>
    <w:p w:rsidRPr="00D302B9" w:rsidR="00BA2D84" w:rsidP="00BA2D84" w:rsidRDefault="00BA2D84" w14:paraId="74D0CB2A" w14:textId="4D1FAED5">
      <w:pPr>
        <w:tabs>
          <w:tab w:val="left" w:pos="426"/>
        </w:tabs>
        <w:spacing w:line="276" w:lineRule="auto"/>
        <w:jc w:val="both"/>
        <w:rPr>
          <w:rFonts w:ascii="Arial" w:hAnsi="Arial" w:eastAsia="Calibri" w:cs="Arial"/>
          <w:bCs/>
          <w:sz w:val="22"/>
        </w:rPr>
      </w:pPr>
      <w:r w:rsidRPr="00D302B9">
        <w:rPr>
          <w:rFonts w:ascii="Arial" w:hAnsi="Arial" w:eastAsia="Calibri" w:cs="Arial"/>
          <w:bCs/>
          <w:sz w:val="22"/>
        </w:rPr>
        <w:t>Para resolver sus inquietudes, es necesario hacer referencia, por un lado, al régimen sancionatorio contractual y, por el otro, a las medidas de promoción y desarrollo en la contratación pública a las que se hace referencia en el artículo 12, inciso 4, de la Ley 1150 de 2007.</w:t>
      </w:r>
    </w:p>
    <w:p w:rsidRPr="00D302B9" w:rsidR="00BA2D84" w:rsidP="00BA2D84" w:rsidRDefault="00BA2D84" w14:paraId="53830243" w14:textId="77777777">
      <w:pPr>
        <w:tabs>
          <w:tab w:val="left" w:pos="426"/>
        </w:tabs>
        <w:spacing w:line="276" w:lineRule="auto"/>
        <w:jc w:val="both"/>
        <w:rPr>
          <w:rFonts w:ascii="Arial" w:hAnsi="Arial" w:eastAsia="Calibri" w:cs="Arial"/>
          <w:bCs/>
          <w:sz w:val="22"/>
        </w:rPr>
      </w:pPr>
    </w:p>
    <w:p w:rsidRPr="00D302B9" w:rsidR="00BA2D84" w:rsidP="00BA2D84" w:rsidRDefault="00BA2D84" w14:paraId="55E2D47D" w14:textId="009FBD9A">
      <w:pPr>
        <w:pStyle w:val="Prrafodelista"/>
        <w:numPr>
          <w:ilvl w:val="1"/>
          <w:numId w:val="8"/>
        </w:numPr>
        <w:tabs>
          <w:tab w:val="left" w:pos="426"/>
        </w:tabs>
        <w:spacing w:line="276" w:lineRule="auto"/>
        <w:ind w:hanging="578"/>
        <w:jc w:val="both"/>
        <w:rPr>
          <w:rFonts w:ascii="Arial" w:hAnsi="Arial" w:eastAsia="Calibri" w:cs="Arial"/>
          <w:b/>
          <w:sz w:val="22"/>
        </w:rPr>
      </w:pPr>
      <w:r w:rsidRPr="00D302B9">
        <w:rPr>
          <w:rFonts w:ascii="Arial" w:hAnsi="Arial" w:eastAsia="Calibri" w:cs="Arial"/>
          <w:b/>
          <w:sz w:val="22"/>
        </w:rPr>
        <w:t>Régimen sancionatorio</w:t>
      </w:r>
    </w:p>
    <w:p w:rsidRPr="00D302B9" w:rsidR="00BA2D84" w:rsidP="00BA2D84" w:rsidRDefault="00BA2D84" w14:paraId="0B397B97" w14:textId="42C194D9">
      <w:pPr>
        <w:tabs>
          <w:tab w:val="left" w:pos="426"/>
        </w:tabs>
        <w:spacing w:line="276" w:lineRule="auto"/>
        <w:ind w:left="142"/>
        <w:jc w:val="both"/>
        <w:rPr>
          <w:rFonts w:ascii="Arial" w:hAnsi="Arial" w:eastAsia="Calibri" w:cs="Arial"/>
          <w:bCs/>
          <w:sz w:val="22"/>
        </w:rPr>
      </w:pPr>
    </w:p>
    <w:p w:rsidRPr="00D302B9" w:rsidR="00812767" w:rsidP="00F4089D" w:rsidRDefault="00BA2D84" w14:paraId="74CE0ABE" w14:textId="63081321">
      <w:pPr>
        <w:tabs>
          <w:tab w:val="left" w:pos="426"/>
        </w:tabs>
        <w:spacing w:line="276" w:lineRule="auto"/>
        <w:jc w:val="both"/>
        <w:rPr>
          <w:rFonts w:ascii="Arial" w:hAnsi="Arial" w:eastAsia="Calibri" w:cs="Arial"/>
          <w:bCs/>
          <w:sz w:val="22"/>
        </w:rPr>
      </w:pPr>
      <w:r w:rsidRPr="00D302B9">
        <w:rPr>
          <w:rFonts w:ascii="Arial" w:hAnsi="Arial" w:eastAsia="Calibri" w:cs="Arial"/>
          <w:bCs/>
          <w:sz w:val="22"/>
        </w:rPr>
        <w:t>En los conceptos del 16 de octubre y el 5 de diciembre de 2019 −radicados No. 2201913000007661 y 2201913000008964</w:t>
      </w:r>
      <w:r w:rsidRPr="00D302B9" w:rsidR="00812767">
        <w:rPr>
          <w:rFonts w:ascii="Arial" w:hAnsi="Arial" w:eastAsia="Calibri" w:cs="Arial"/>
          <w:bCs/>
          <w:sz w:val="22"/>
        </w:rPr>
        <w:t xml:space="preserve">− la Agencia Nacional de Contratación Pública – Colombia Compra Eficiente se pronunció en relación con el régimen sancionatorio en materia contractual como herramienta para la dirección general del negocio y </w:t>
      </w:r>
      <w:r w:rsidRPr="00D302B9" w:rsidR="00906097">
        <w:rPr>
          <w:rFonts w:ascii="Arial" w:hAnsi="Arial" w:eastAsia="Calibri" w:cs="Arial"/>
          <w:bCs/>
          <w:sz w:val="22"/>
        </w:rPr>
        <w:t>la realización de</w:t>
      </w:r>
      <w:r w:rsidRPr="00D302B9" w:rsidR="00812767">
        <w:rPr>
          <w:rFonts w:ascii="Arial" w:hAnsi="Arial" w:eastAsia="Calibri" w:cs="Arial"/>
          <w:bCs/>
          <w:sz w:val="22"/>
        </w:rPr>
        <w:t xml:space="preserve"> las actividades propias de vigilancia y control. La tesis propuesta se reiterará a continuación.</w:t>
      </w:r>
    </w:p>
    <w:p w:rsidRPr="00D302B9" w:rsidR="00F4089D" w:rsidP="00F4089D" w:rsidRDefault="00F4089D" w14:paraId="11A9A938" w14:textId="77777777">
      <w:pPr>
        <w:spacing w:before="120" w:line="276" w:lineRule="auto"/>
        <w:ind w:right="142" w:firstLine="709"/>
        <w:jc w:val="both"/>
        <w:rPr>
          <w:rFonts w:ascii="Arial" w:hAnsi="Arial" w:cs="Arial"/>
          <w:iCs/>
          <w:sz w:val="22"/>
        </w:rPr>
      </w:pPr>
      <w:r w:rsidRPr="00D302B9">
        <w:rPr>
          <w:rFonts w:ascii="Arial" w:hAnsi="Arial" w:cs="Arial"/>
          <w:iCs/>
          <w:sz w:val="22"/>
        </w:rPr>
        <w:t xml:space="preserve">Durante la ejecución de los contratos, las entidades estatales generalmente cuentan con dos grupos de figuras jurídicas con base en las cuales pueden ejercer la dirección general del negocio y realizar las actividades propias de vigilancia y control, estas son: i) las cláusulas excepcionales y </w:t>
      </w:r>
      <w:proofErr w:type="spellStart"/>
      <w:r w:rsidRPr="00D302B9">
        <w:rPr>
          <w:rFonts w:ascii="Arial" w:hAnsi="Arial" w:cs="Arial"/>
          <w:iCs/>
          <w:sz w:val="22"/>
        </w:rPr>
        <w:t>ii</w:t>
      </w:r>
      <w:proofErr w:type="spellEnd"/>
      <w:r w:rsidRPr="00D302B9">
        <w:rPr>
          <w:rFonts w:ascii="Arial" w:hAnsi="Arial" w:cs="Arial"/>
          <w:iCs/>
          <w:sz w:val="22"/>
        </w:rPr>
        <w:t>) la declaratoria de incumplimiento bien para multar al contratista ora para hacer efectiva la cláusula penal.</w:t>
      </w:r>
    </w:p>
    <w:p w:rsidRPr="00D302B9" w:rsidR="00F4089D" w:rsidP="00F4089D" w:rsidRDefault="00F4089D" w14:paraId="4CE3974F" w14:textId="77777777">
      <w:pPr>
        <w:spacing w:before="120" w:line="276" w:lineRule="auto"/>
        <w:ind w:right="142" w:firstLine="709"/>
        <w:jc w:val="both"/>
        <w:rPr>
          <w:rFonts w:ascii="Arial" w:hAnsi="Arial" w:cs="Arial"/>
          <w:iCs/>
          <w:sz w:val="22"/>
        </w:rPr>
      </w:pPr>
      <w:r w:rsidRPr="00D302B9">
        <w:rPr>
          <w:rFonts w:ascii="Arial" w:hAnsi="Arial" w:cs="Arial"/>
          <w:iCs/>
          <w:sz w:val="22"/>
        </w:rPr>
        <w:t>Las primeras, esto es, las cláusulas excepcionales, son denominadas por la jurisprudencia del Consejo de Estado y por la doctrina como estipulaciones virtuales en los contratos de concesión, obra, prestación de servicios públicos y aquellos que tengan por objeto el ejercicio de una actividad que constituya monopolio estatal, pues en ellos, sin importar si se incorporaron o no dentro del instrumento negocial, se entienden incluidas por el ministerio de la ley, como lo dispone de forma clara el artículo 14 de la Ley 80 de 1993.</w:t>
      </w:r>
    </w:p>
    <w:p w:rsidRPr="00D302B9" w:rsidR="00F4089D" w:rsidP="00F4089D" w:rsidRDefault="00F4089D" w14:paraId="2E70FBC2" w14:textId="77777777">
      <w:pPr>
        <w:spacing w:before="120" w:line="276" w:lineRule="auto"/>
        <w:ind w:right="142" w:firstLine="709"/>
        <w:jc w:val="both"/>
        <w:rPr>
          <w:rFonts w:ascii="Arial" w:hAnsi="Arial" w:cs="Arial"/>
          <w:iCs/>
          <w:sz w:val="22"/>
        </w:rPr>
      </w:pPr>
      <w:r w:rsidRPr="00D302B9">
        <w:rPr>
          <w:rFonts w:ascii="Arial" w:hAnsi="Arial" w:cs="Arial"/>
          <w:iCs/>
          <w:sz w:val="22"/>
        </w:rPr>
        <w:t xml:space="preserve">Sobre dichas cláusulas, por estar dentro del régimen sancionatorio, procede destacar la cláusula excepcional de caducidad, pues es la sanción más severa que existe en la contratación estatal, y se impone al contratista cuando incurre en un incumplimiento grave y directo que afecte la ejecución del contrato y evidencie que puede conducir a su </w:t>
      </w:r>
      <w:r w:rsidRPr="00D302B9">
        <w:rPr>
          <w:rFonts w:ascii="Arial" w:hAnsi="Arial" w:cs="Arial"/>
          <w:iCs/>
          <w:sz w:val="22"/>
        </w:rPr>
        <w:lastRenderedPageBreak/>
        <w:t>paralización. Su propósito fundamental es permitirle a la entidad reemplazar al contratista para continuar con la ejecución de este con otro. En cuanto a la oportunidad para su imposición, el Consejo de Estado ha precisado</w:t>
      </w:r>
      <w:r w:rsidRPr="00D302B9">
        <w:rPr>
          <w:rFonts w:ascii="Arial" w:hAnsi="Arial" w:cs="Arial"/>
          <w:iCs/>
          <w:sz w:val="22"/>
          <w:vertAlign w:val="superscript"/>
        </w:rPr>
        <w:footnoteReference w:id="2"/>
      </w:r>
      <w:r w:rsidRPr="00D302B9">
        <w:rPr>
          <w:rFonts w:ascii="Arial" w:hAnsi="Arial" w:cs="Arial"/>
          <w:iCs/>
          <w:sz w:val="22"/>
        </w:rPr>
        <w:t>:</w:t>
      </w:r>
    </w:p>
    <w:p w:rsidRPr="00D302B9" w:rsidR="00F4089D" w:rsidP="00F4089D" w:rsidRDefault="00F4089D" w14:paraId="3F771698" w14:textId="77777777">
      <w:pPr>
        <w:spacing w:line="276" w:lineRule="auto"/>
        <w:jc w:val="both"/>
        <w:rPr>
          <w:rFonts w:ascii="Arial" w:hAnsi="Arial" w:cs="Arial"/>
          <w:iCs/>
          <w:sz w:val="22"/>
        </w:rPr>
      </w:pPr>
    </w:p>
    <w:p w:rsidRPr="00D302B9" w:rsidR="00F4089D" w:rsidP="00F4089D" w:rsidRDefault="00F4089D" w14:paraId="56AAAC3E" w14:textId="4F56262B">
      <w:pPr>
        <w:ind w:left="709" w:right="758"/>
        <w:jc w:val="both"/>
        <w:rPr>
          <w:rFonts w:ascii="Arial" w:hAnsi="Arial" w:cs="Arial"/>
          <w:iCs/>
          <w:sz w:val="21"/>
          <w:szCs w:val="21"/>
        </w:rPr>
      </w:pPr>
      <w:r w:rsidRPr="00D302B9">
        <w:rPr>
          <w:rFonts w:ascii="Arial" w:hAnsi="Arial" w:cs="Arial"/>
          <w:iCs/>
          <w:sz w:val="21"/>
          <w:szCs w:val="21"/>
        </w:rPr>
        <w:t xml:space="preserve">(…)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 </w:t>
      </w:r>
    </w:p>
    <w:p w:rsidRPr="00D302B9" w:rsidR="00F4089D" w:rsidP="00F4089D" w:rsidRDefault="00F4089D" w14:paraId="6C9EBD5B" w14:textId="77777777">
      <w:pPr>
        <w:spacing w:line="276" w:lineRule="auto"/>
        <w:jc w:val="both"/>
        <w:rPr>
          <w:rFonts w:ascii="Arial" w:hAnsi="Arial" w:cs="Arial"/>
          <w:iCs/>
          <w:sz w:val="22"/>
        </w:rPr>
      </w:pPr>
    </w:p>
    <w:p w:rsidRPr="00D302B9" w:rsidR="00F4089D" w:rsidP="00901C04" w:rsidRDefault="00F4089D" w14:paraId="20D34F69" w14:textId="77777777">
      <w:pPr>
        <w:spacing w:line="276" w:lineRule="auto"/>
        <w:ind w:right="142" w:firstLine="708"/>
        <w:jc w:val="both"/>
        <w:rPr>
          <w:rFonts w:ascii="Arial" w:hAnsi="Arial" w:cs="Arial"/>
          <w:iCs/>
          <w:sz w:val="22"/>
        </w:rPr>
      </w:pPr>
      <w:r w:rsidRPr="00D302B9">
        <w:rPr>
          <w:rFonts w:ascii="Arial" w:hAnsi="Arial" w:cs="Arial"/>
          <w:iCs/>
          <w:sz w:val="22"/>
        </w:rPr>
        <w:t xml:space="preserve">Las consecuencias jurídicas que se generan con ocasión de la declaratoria de </w:t>
      </w:r>
      <w:proofErr w:type="gramStart"/>
      <w:r w:rsidRPr="00D302B9">
        <w:rPr>
          <w:rFonts w:ascii="Arial" w:hAnsi="Arial" w:cs="Arial"/>
          <w:iCs/>
          <w:sz w:val="22"/>
        </w:rPr>
        <w:t>caducidad,</w:t>
      </w:r>
      <w:proofErr w:type="gramEnd"/>
      <w:r w:rsidRPr="00D302B9">
        <w:rPr>
          <w:rFonts w:ascii="Arial" w:hAnsi="Arial" w:cs="Arial"/>
          <w:iCs/>
          <w:sz w:val="22"/>
        </w:rPr>
        <w:t xml:space="preserve"> son: i) terminación del contrato; </w:t>
      </w:r>
      <w:proofErr w:type="spellStart"/>
      <w:r w:rsidRPr="00D302B9">
        <w:rPr>
          <w:rFonts w:ascii="Arial" w:hAnsi="Arial" w:cs="Arial"/>
          <w:iCs/>
          <w:sz w:val="22"/>
        </w:rPr>
        <w:t>ii</w:t>
      </w:r>
      <w:proofErr w:type="spellEnd"/>
      <w:r w:rsidRPr="00D302B9">
        <w:rPr>
          <w:rFonts w:ascii="Arial" w:hAnsi="Arial" w:cs="Arial"/>
          <w:iCs/>
          <w:sz w:val="22"/>
        </w:rPr>
        <w:t xml:space="preserve">) iniciación del trámite de liquidación bilateral; </w:t>
      </w:r>
      <w:proofErr w:type="spellStart"/>
      <w:r w:rsidRPr="00D302B9">
        <w:rPr>
          <w:rFonts w:ascii="Arial" w:hAnsi="Arial" w:cs="Arial"/>
          <w:iCs/>
          <w:sz w:val="22"/>
        </w:rPr>
        <w:t>iii</w:t>
      </w:r>
      <w:proofErr w:type="spellEnd"/>
      <w:r w:rsidRPr="00D302B9">
        <w:rPr>
          <w:rFonts w:ascii="Arial" w:hAnsi="Arial" w:cs="Arial"/>
          <w:iCs/>
          <w:sz w:val="22"/>
        </w:rPr>
        <w:t xml:space="preserve">) inhabilidad sobreviniente por cinco años; </w:t>
      </w:r>
      <w:proofErr w:type="spellStart"/>
      <w:r w:rsidRPr="00D302B9">
        <w:rPr>
          <w:rFonts w:ascii="Arial" w:hAnsi="Arial" w:cs="Arial"/>
          <w:iCs/>
          <w:sz w:val="22"/>
        </w:rPr>
        <w:t>iv</w:t>
      </w:r>
      <w:proofErr w:type="spellEnd"/>
      <w:r w:rsidRPr="00D302B9">
        <w:rPr>
          <w:rFonts w:ascii="Arial" w:hAnsi="Arial" w:cs="Arial"/>
          <w:iCs/>
          <w:sz w:val="22"/>
        </w:rPr>
        <w:t xml:space="preserve">) efectividad de la garantía única de cumplimiento; y v) reporte al </w:t>
      </w:r>
      <w:proofErr w:type="spellStart"/>
      <w:r w:rsidRPr="00D302B9">
        <w:rPr>
          <w:rFonts w:ascii="Arial" w:hAnsi="Arial" w:cs="Arial"/>
          <w:iCs/>
          <w:sz w:val="22"/>
        </w:rPr>
        <w:t>Secop</w:t>
      </w:r>
      <w:proofErr w:type="spellEnd"/>
      <w:r w:rsidRPr="00D302B9">
        <w:rPr>
          <w:rFonts w:ascii="Arial" w:hAnsi="Arial" w:cs="Arial"/>
          <w:iCs/>
          <w:sz w:val="22"/>
        </w:rPr>
        <w:t>, Procuraduría General de la Nación y a la Cámara de Comercio donde el contratista esté inscrito con el propósito de incluir la anotación en el Registro Único de Proponentes.</w:t>
      </w:r>
    </w:p>
    <w:p w:rsidRPr="00D302B9" w:rsidR="00F4089D" w:rsidP="00901C04" w:rsidRDefault="00F4089D" w14:paraId="679623C1" w14:textId="77777777">
      <w:pPr>
        <w:spacing w:before="120" w:line="276" w:lineRule="auto"/>
        <w:ind w:right="142" w:firstLine="709"/>
        <w:jc w:val="both"/>
        <w:rPr>
          <w:rFonts w:ascii="Arial" w:hAnsi="Arial" w:cs="Arial"/>
          <w:iCs/>
          <w:sz w:val="22"/>
        </w:rPr>
      </w:pPr>
      <w:r w:rsidRPr="00D302B9">
        <w:rPr>
          <w:rFonts w:ascii="Arial" w:hAnsi="Arial" w:cs="Arial"/>
          <w:iCs/>
          <w:sz w:val="22"/>
        </w:rPr>
        <w:t xml:space="preserve">Las segundas, por el contrario, cuentan con una muy particular combinación entre el principio de legalidad y la autonomía de la voluntad, de tal suerte </w:t>
      </w:r>
      <w:proofErr w:type="gramStart"/>
      <w:r w:rsidRPr="00D302B9">
        <w:rPr>
          <w:rFonts w:ascii="Arial" w:hAnsi="Arial" w:cs="Arial"/>
          <w:iCs/>
          <w:sz w:val="22"/>
        </w:rPr>
        <w:t>que</w:t>
      </w:r>
      <w:proofErr w:type="gramEnd"/>
      <w:r w:rsidRPr="00D302B9">
        <w:rPr>
          <w:rFonts w:ascii="Arial" w:hAnsi="Arial" w:cs="Arial"/>
          <w:iCs/>
          <w:sz w:val="22"/>
        </w:rPr>
        <w:t xml:space="preserve"> si bien el legislador autorizó a las entidades para declarar el incumplimiento con la intención de multar al contratista para conminarlo al cumplimiento o para hacer efectiva la cláusula penal, lo cierto es que es indispensable que en uno u otro caso se hayan pactado en forma inequívoca dentro del contrato</w:t>
      </w:r>
      <w:r w:rsidRPr="00D302B9">
        <w:rPr>
          <w:rFonts w:ascii="Arial" w:hAnsi="Arial" w:cs="Arial"/>
          <w:sz w:val="22"/>
          <w:vertAlign w:val="superscript"/>
        </w:rPr>
        <w:footnoteReference w:id="3"/>
      </w:r>
      <w:r w:rsidRPr="00D302B9">
        <w:rPr>
          <w:rFonts w:ascii="Arial" w:hAnsi="Arial" w:cs="Arial"/>
          <w:iCs/>
          <w:sz w:val="22"/>
        </w:rPr>
        <w:t xml:space="preserve">. </w:t>
      </w:r>
    </w:p>
    <w:p w:rsidRPr="00D302B9" w:rsidR="00F4089D" w:rsidP="00901C04" w:rsidRDefault="00F4089D" w14:paraId="7C142C18" w14:textId="1909A48D">
      <w:pPr>
        <w:spacing w:before="120" w:line="276" w:lineRule="auto"/>
        <w:ind w:right="142" w:firstLine="709"/>
        <w:jc w:val="both"/>
        <w:rPr>
          <w:rFonts w:ascii="Arial" w:hAnsi="Arial" w:cs="Arial"/>
          <w:iCs/>
          <w:sz w:val="22"/>
        </w:rPr>
      </w:pPr>
      <w:r w:rsidRPr="00D302B9">
        <w:rPr>
          <w:rFonts w:ascii="Arial" w:hAnsi="Arial" w:cs="Arial"/>
          <w:iCs/>
          <w:sz w:val="22"/>
        </w:rPr>
        <w:t>En efecto, tratándose de las multas, en cumplimiento del principio de tipicidad, las partes deben determinar pormenorizadamente las acciones u omisiones objeto de sanción y el monto de la sanción a imponer, el cual, en todo caso, deberá atender los criterios de proporcionalidad</w:t>
      </w:r>
      <w:r w:rsidRPr="00D302B9" w:rsidR="00023568">
        <w:rPr>
          <w:rFonts w:ascii="Arial" w:hAnsi="Arial" w:cs="Arial"/>
          <w:iCs/>
          <w:sz w:val="22"/>
        </w:rPr>
        <w:t xml:space="preserve">, </w:t>
      </w:r>
      <w:r w:rsidRPr="00D302B9">
        <w:rPr>
          <w:rFonts w:ascii="Arial" w:hAnsi="Arial" w:cs="Arial"/>
          <w:iCs/>
          <w:sz w:val="22"/>
        </w:rPr>
        <w:t>razonabilidad</w:t>
      </w:r>
      <w:r w:rsidRPr="00D302B9" w:rsidR="00023568">
        <w:rPr>
          <w:rFonts w:ascii="Arial" w:hAnsi="Arial" w:cs="Arial"/>
          <w:iCs/>
          <w:sz w:val="22"/>
        </w:rPr>
        <w:t xml:space="preserve"> y necesidad</w:t>
      </w:r>
      <w:r w:rsidRPr="00D302B9">
        <w:rPr>
          <w:rFonts w:ascii="Arial" w:hAnsi="Arial" w:cs="Arial"/>
          <w:iCs/>
          <w:sz w:val="22"/>
        </w:rPr>
        <w:t xml:space="preserve">. </w:t>
      </w:r>
    </w:p>
    <w:p w:rsidRPr="00D302B9" w:rsidR="00F4089D" w:rsidP="00901C04" w:rsidRDefault="00F4089D" w14:paraId="0B08B443" w14:textId="77777777">
      <w:pPr>
        <w:spacing w:before="120" w:line="276" w:lineRule="auto"/>
        <w:ind w:right="142" w:firstLine="709"/>
        <w:jc w:val="both"/>
        <w:rPr>
          <w:rFonts w:ascii="Arial" w:hAnsi="Arial" w:cs="Arial"/>
          <w:iCs/>
          <w:sz w:val="22"/>
        </w:rPr>
      </w:pPr>
      <w:r w:rsidRPr="00D302B9">
        <w:rPr>
          <w:rFonts w:ascii="Arial" w:hAnsi="Arial" w:cs="Arial"/>
          <w:iCs/>
          <w:sz w:val="22"/>
        </w:rPr>
        <w:t xml:space="preserve">En esa línea se pronunció la Sección Tercera del Consejo de Estado, en la Sentencia del 15 de noviembre de 2011, expediente 20.916, con ponencia de Olga Mélida Valle de </w:t>
      </w:r>
      <w:proofErr w:type="spellStart"/>
      <w:r w:rsidRPr="00D302B9">
        <w:rPr>
          <w:rFonts w:ascii="Arial" w:hAnsi="Arial" w:cs="Arial"/>
          <w:iCs/>
          <w:sz w:val="22"/>
        </w:rPr>
        <w:t>De</w:t>
      </w:r>
      <w:proofErr w:type="spellEnd"/>
      <w:r w:rsidRPr="00D302B9">
        <w:rPr>
          <w:rFonts w:ascii="Arial" w:hAnsi="Arial" w:cs="Arial"/>
          <w:iCs/>
          <w:sz w:val="22"/>
        </w:rPr>
        <w:t xml:space="preserve"> La Hoz:</w:t>
      </w:r>
    </w:p>
    <w:p w:rsidRPr="00D302B9" w:rsidR="00F4089D" w:rsidP="00F4089D" w:rsidRDefault="00F4089D" w14:paraId="67F81AB2" w14:textId="77777777">
      <w:pPr>
        <w:pStyle w:val="Prrafodelista"/>
        <w:spacing w:line="276" w:lineRule="auto"/>
        <w:ind w:right="-425"/>
        <w:jc w:val="both"/>
        <w:rPr>
          <w:rFonts w:ascii="Arial" w:hAnsi="Arial" w:cs="Arial"/>
          <w:iCs/>
          <w:sz w:val="22"/>
        </w:rPr>
      </w:pPr>
    </w:p>
    <w:p w:rsidRPr="00D302B9" w:rsidR="00F4089D" w:rsidP="00901C04" w:rsidRDefault="00F4089D" w14:paraId="34250CE2" w14:textId="43E9205F">
      <w:pPr>
        <w:pStyle w:val="Prrafodelista"/>
        <w:ind w:left="709" w:right="758"/>
        <w:jc w:val="both"/>
        <w:rPr>
          <w:rFonts w:ascii="Arial" w:hAnsi="Arial" w:cs="Arial"/>
          <w:iCs/>
          <w:sz w:val="21"/>
          <w:szCs w:val="21"/>
        </w:rPr>
      </w:pPr>
      <w:r w:rsidRPr="00D302B9">
        <w:rPr>
          <w:rFonts w:ascii="Arial" w:hAnsi="Arial" w:cs="Arial"/>
          <w:iCs/>
          <w:sz w:val="21"/>
          <w:szCs w:val="21"/>
        </w:rPr>
        <w:lastRenderedPageBreak/>
        <w:t xml:space="preserve">De otro lado, según se ha expuesto, otras sanciones contractuales, como la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conducta reprochable se establezca de manera previa a su realización –lex previa–, para evitar la arbitrariedad y el abuso de poder. </w:t>
      </w:r>
    </w:p>
    <w:p w:rsidRPr="00D302B9" w:rsidR="00F4089D" w:rsidP="00901C04" w:rsidRDefault="00F4089D" w14:paraId="0C6C1B5D" w14:textId="77777777">
      <w:pPr>
        <w:ind w:left="709" w:right="758"/>
        <w:jc w:val="both"/>
        <w:rPr>
          <w:rFonts w:ascii="Arial" w:hAnsi="Arial" w:cs="Arial"/>
          <w:iCs/>
          <w:sz w:val="21"/>
          <w:szCs w:val="21"/>
        </w:rPr>
      </w:pPr>
    </w:p>
    <w:p w:rsidRPr="00D302B9" w:rsidR="00F4089D" w:rsidP="00901C04" w:rsidRDefault="00F4089D" w14:paraId="2A62696C" w14:textId="10F913D9">
      <w:pPr>
        <w:spacing w:line="276" w:lineRule="auto"/>
        <w:ind w:right="142" w:firstLine="708"/>
        <w:jc w:val="both"/>
        <w:rPr>
          <w:rFonts w:ascii="Arial" w:hAnsi="Arial" w:cs="Arial"/>
          <w:iCs/>
          <w:sz w:val="22"/>
        </w:rPr>
      </w:pPr>
      <w:r w:rsidRPr="00D302B9">
        <w:rPr>
          <w:rFonts w:ascii="Arial" w:hAnsi="Arial" w:cs="Arial"/>
          <w:iCs/>
          <w:sz w:val="22"/>
        </w:rPr>
        <w:t xml:space="preserve">De igual forma, en la Sentencia del 23 de junio de 2010, expediente 16.367 y ponencia de Enrique Gil Botero, la Sección Tercera del Consejo de Estado indicó que </w:t>
      </w:r>
      <w:r w:rsidRPr="00D302B9" w:rsidR="00901C04">
        <w:rPr>
          <w:rFonts w:ascii="Arial" w:hAnsi="Arial" w:cs="Arial"/>
          <w:iCs/>
          <w:sz w:val="22"/>
        </w:rPr>
        <w:t>«</w:t>
      </w:r>
      <w:r w:rsidRPr="00D302B9">
        <w:rPr>
          <w:rFonts w:ascii="Arial" w:hAnsi="Arial" w:cs="Arial"/>
          <w:iCs/>
          <w:sz w:val="22"/>
        </w:rPr>
        <w:t>el núcleo mínimo de este derecho exige que una norma –legal o contractual– contemple la falta y la sanción. Si ni siquiera lo hace el contrato, la administración no puede imponer sanciones, so pena de violar el debido proceso</w:t>
      </w:r>
      <w:r w:rsidRPr="00D302B9" w:rsidR="00901C04">
        <w:rPr>
          <w:rFonts w:ascii="Arial" w:hAnsi="Arial" w:cs="Arial"/>
          <w:iCs/>
          <w:sz w:val="22"/>
        </w:rPr>
        <w:t>»</w:t>
      </w:r>
      <w:r w:rsidRPr="00D302B9">
        <w:rPr>
          <w:rFonts w:ascii="Arial" w:hAnsi="Arial" w:cs="Arial"/>
          <w:iCs/>
          <w:sz w:val="22"/>
        </w:rPr>
        <w:t xml:space="preserve">. </w:t>
      </w:r>
    </w:p>
    <w:p w:rsidRPr="00D302B9" w:rsidR="00F4089D" w:rsidP="00901C04" w:rsidRDefault="00F4089D" w14:paraId="0603EB63" w14:textId="34393A01">
      <w:pPr>
        <w:spacing w:before="120" w:line="276" w:lineRule="auto"/>
        <w:ind w:right="142" w:firstLine="567"/>
        <w:jc w:val="both"/>
        <w:rPr>
          <w:rFonts w:ascii="Arial" w:hAnsi="Arial" w:cs="Arial"/>
          <w:iCs/>
          <w:sz w:val="22"/>
        </w:rPr>
      </w:pPr>
      <w:r w:rsidRPr="00D302B9">
        <w:rPr>
          <w:rFonts w:ascii="Arial" w:hAnsi="Arial" w:cs="Arial"/>
          <w:iCs/>
          <w:sz w:val="22"/>
        </w:rPr>
        <w:t xml:space="preserve">Así mismo, </w:t>
      </w:r>
      <w:r w:rsidRPr="00D302B9" w:rsidR="006C6DE7">
        <w:rPr>
          <w:rFonts w:ascii="Arial" w:hAnsi="Arial" w:cs="Arial"/>
          <w:iCs/>
          <w:sz w:val="22"/>
        </w:rPr>
        <w:t xml:space="preserve">frente al tema </w:t>
      </w:r>
      <w:r w:rsidRPr="00D302B9" w:rsidR="006C6DE7">
        <w:rPr>
          <w:rFonts w:ascii="Arial" w:hAnsi="Arial" w:cs="Arial"/>
          <w:i/>
          <w:sz w:val="22"/>
        </w:rPr>
        <w:t xml:space="preserve">sub examine </w:t>
      </w:r>
      <w:r w:rsidRPr="00D302B9">
        <w:rPr>
          <w:rFonts w:ascii="Arial" w:hAnsi="Arial" w:cs="Arial"/>
          <w:iCs/>
          <w:sz w:val="22"/>
        </w:rPr>
        <w:t xml:space="preserve">el máximo Tribunal de lo Contencioso Administrativo, en </w:t>
      </w:r>
      <w:r w:rsidRPr="00D302B9" w:rsidR="006C6DE7">
        <w:rPr>
          <w:rFonts w:ascii="Arial" w:hAnsi="Arial" w:cs="Arial"/>
          <w:iCs/>
          <w:sz w:val="22"/>
        </w:rPr>
        <w:t>s</w:t>
      </w:r>
      <w:r w:rsidRPr="00D302B9">
        <w:rPr>
          <w:rFonts w:ascii="Arial" w:hAnsi="Arial" w:cs="Arial"/>
          <w:iCs/>
          <w:sz w:val="22"/>
        </w:rPr>
        <w:t>entencia del 13 de noviembre de 2008</w:t>
      </w:r>
      <w:r w:rsidRPr="00D302B9" w:rsidR="00901C04">
        <w:rPr>
          <w:rStyle w:val="Refdenotaalpie"/>
          <w:rFonts w:ascii="Arial" w:hAnsi="Arial" w:cs="Arial"/>
          <w:iCs/>
          <w:sz w:val="22"/>
        </w:rPr>
        <w:footnoteReference w:id="4"/>
      </w:r>
      <w:r w:rsidRPr="00D302B9">
        <w:rPr>
          <w:rFonts w:ascii="Arial" w:hAnsi="Arial" w:cs="Arial"/>
          <w:iCs/>
          <w:sz w:val="22"/>
        </w:rPr>
        <w:t>, indicó</w:t>
      </w:r>
      <w:r w:rsidRPr="00D302B9" w:rsidR="00901C04">
        <w:rPr>
          <w:rFonts w:ascii="Arial" w:hAnsi="Arial" w:cs="Arial"/>
          <w:iCs/>
          <w:sz w:val="22"/>
        </w:rPr>
        <w:t xml:space="preserve"> </w:t>
      </w:r>
      <w:proofErr w:type="gramStart"/>
      <w:r w:rsidRPr="00D302B9" w:rsidR="00901C04">
        <w:rPr>
          <w:rFonts w:ascii="Arial" w:hAnsi="Arial" w:cs="Arial"/>
          <w:i/>
          <w:sz w:val="22"/>
        </w:rPr>
        <w:t>in</w:t>
      </w:r>
      <w:r w:rsidRPr="00D302B9" w:rsidR="00611356">
        <w:rPr>
          <w:rFonts w:ascii="Arial" w:hAnsi="Arial" w:cs="Arial"/>
          <w:i/>
          <w:sz w:val="22"/>
        </w:rPr>
        <w:t xml:space="preserve"> </w:t>
      </w:r>
      <w:r w:rsidRPr="00D302B9" w:rsidR="00901C04">
        <w:rPr>
          <w:rFonts w:ascii="Arial" w:hAnsi="Arial" w:cs="Arial"/>
          <w:i/>
          <w:sz w:val="22"/>
        </w:rPr>
        <w:t>extenso</w:t>
      </w:r>
      <w:proofErr w:type="gramEnd"/>
      <w:r w:rsidRPr="00D302B9" w:rsidR="00901C04">
        <w:rPr>
          <w:rFonts w:ascii="Arial" w:hAnsi="Arial" w:cs="Arial"/>
          <w:i/>
          <w:sz w:val="22"/>
        </w:rPr>
        <w:t xml:space="preserve"> </w:t>
      </w:r>
      <w:r w:rsidRPr="00D302B9" w:rsidR="00901C04">
        <w:rPr>
          <w:rFonts w:ascii="Arial" w:hAnsi="Arial" w:cs="Arial"/>
          <w:iCs/>
          <w:sz w:val="22"/>
        </w:rPr>
        <w:t>lo siguiente</w:t>
      </w:r>
      <w:r w:rsidRPr="00D302B9">
        <w:rPr>
          <w:rFonts w:ascii="Arial" w:hAnsi="Arial" w:cs="Arial"/>
          <w:iCs/>
          <w:sz w:val="22"/>
        </w:rPr>
        <w:t>:</w:t>
      </w:r>
    </w:p>
    <w:p w:rsidRPr="00D302B9" w:rsidR="00F4089D" w:rsidP="00F4089D" w:rsidRDefault="00F4089D" w14:paraId="5F69D6FB" w14:textId="77777777">
      <w:pPr>
        <w:pStyle w:val="Prrafodelista"/>
        <w:spacing w:line="276" w:lineRule="auto"/>
        <w:ind w:right="-425"/>
        <w:jc w:val="both"/>
        <w:rPr>
          <w:rFonts w:ascii="Arial" w:hAnsi="Arial" w:cs="Arial"/>
          <w:iCs/>
          <w:sz w:val="22"/>
        </w:rPr>
      </w:pPr>
    </w:p>
    <w:p w:rsidRPr="00D302B9" w:rsidR="00F4089D" w:rsidP="00901C04" w:rsidRDefault="00F4089D" w14:paraId="7A6946DA" w14:textId="08F16F5A">
      <w:pPr>
        <w:pStyle w:val="Prrafodelista"/>
        <w:ind w:left="709" w:right="758"/>
        <w:jc w:val="both"/>
        <w:rPr>
          <w:rFonts w:ascii="Arial" w:hAnsi="Arial" w:cs="Arial"/>
          <w:iCs/>
          <w:sz w:val="21"/>
          <w:szCs w:val="21"/>
        </w:rPr>
      </w:pPr>
      <w:r w:rsidRPr="00D302B9">
        <w:rPr>
          <w:rFonts w:ascii="Arial" w:hAnsi="Arial" w:cs="Arial"/>
          <w:iCs/>
          <w:sz w:val="21"/>
          <w:szCs w:val="21"/>
        </w:rPr>
        <w:t>La otra, la débil, donde se enmarcan la mayoría de las sanciones contractuales, hace relación a que lo determinante no es que una Ley sea quien contemple las faltas y las sanciones, sino que sea una norma –por ejemplo, un reglamento- quien en forma previa y clara las estipule. A este grupo pertenecen buena parte de las sanciones administrativas, como las educativas, las cuales no están consagradas en una ley expedida por el legislador o por el ejecutivo al amparo de facultades extraordinarias, sino en simples reglamentos administrativos internos.</w:t>
      </w:r>
    </w:p>
    <w:p w:rsidRPr="00D302B9" w:rsidR="00F4089D" w:rsidP="00901C04" w:rsidRDefault="00F4089D" w14:paraId="33D01A13" w14:textId="77777777">
      <w:pPr>
        <w:pStyle w:val="Prrafodelista"/>
        <w:ind w:left="709" w:right="758"/>
        <w:jc w:val="both"/>
        <w:rPr>
          <w:rFonts w:ascii="Arial" w:hAnsi="Arial" w:cs="Arial"/>
          <w:iCs/>
          <w:sz w:val="21"/>
          <w:szCs w:val="21"/>
        </w:rPr>
      </w:pPr>
      <w:r w:rsidRPr="00D302B9">
        <w:rPr>
          <w:rFonts w:ascii="Arial" w:hAnsi="Arial" w:cs="Arial"/>
          <w:iCs/>
          <w:sz w:val="21"/>
          <w:szCs w:val="21"/>
        </w:rPr>
        <w:t xml:space="preserve"> </w:t>
      </w:r>
    </w:p>
    <w:p w:rsidRPr="00D302B9" w:rsidR="00F4089D" w:rsidP="00901C04" w:rsidRDefault="00F4089D" w14:paraId="51850E90" w14:textId="77777777">
      <w:pPr>
        <w:pStyle w:val="Prrafodelista"/>
        <w:ind w:left="709" w:right="758"/>
        <w:jc w:val="both"/>
        <w:rPr>
          <w:rFonts w:ascii="Arial" w:hAnsi="Arial" w:cs="Arial"/>
          <w:iCs/>
          <w:sz w:val="21"/>
          <w:szCs w:val="21"/>
        </w:rPr>
      </w:pPr>
      <w:r w:rsidRPr="00D302B9">
        <w:rPr>
          <w:rFonts w:ascii="Arial" w:hAnsi="Arial" w:cs="Arial"/>
          <w:iCs/>
          <w:sz w:val="21"/>
          <w:szCs w:val="21"/>
        </w:rPr>
        <w:t>Algunas de las sanciones contractuales podrían enmarcarse en esta clasificación, pues es claro que la ley –bien la que expide el Congreso o bien los decretos con fuerza de ley- no las contempla de manera directa –salvo excepciones-. Tal es el caso de las multas y de la cláusula penal pecuniaria, que están autorizadas por la ley, pero no previstas en ella, sino en cada contrato, en caso de que las partes las pacten.</w:t>
      </w:r>
    </w:p>
    <w:p w:rsidRPr="00D302B9" w:rsidR="00F4089D" w:rsidP="00901C04" w:rsidRDefault="00F4089D" w14:paraId="788C84F9" w14:textId="77777777">
      <w:pPr>
        <w:pStyle w:val="Prrafodelista"/>
        <w:ind w:left="709" w:right="758"/>
        <w:jc w:val="both"/>
        <w:rPr>
          <w:rFonts w:ascii="Arial" w:hAnsi="Arial" w:cs="Arial"/>
          <w:iCs/>
          <w:sz w:val="21"/>
          <w:szCs w:val="21"/>
        </w:rPr>
      </w:pPr>
    </w:p>
    <w:p w:rsidRPr="00D302B9" w:rsidR="00F4089D" w:rsidP="00901C04" w:rsidRDefault="00F4089D" w14:paraId="41D63C6B" w14:textId="77777777">
      <w:pPr>
        <w:pStyle w:val="Prrafodelista"/>
        <w:ind w:left="709" w:right="758"/>
        <w:jc w:val="both"/>
        <w:rPr>
          <w:rFonts w:ascii="Arial" w:hAnsi="Arial" w:cs="Arial"/>
          <w:iCs/>
          <w:sz w:val="21"/>
          <w:szCs w:val="21"/>
        </w:rPr>
      </w:pPr>
      <w:r w:rsidRPr="00D302B9">
        <w:rPr>
          <w:rFonts w:ascii="Arial" w:hAnsi="Arial" w:cs="Arial"/>
          <w:iCs/>
          <w:sz w:val="21"/>
          <w:szCs w:val="21"/>
        </w:rPr>
        <w:t>Obsérvese cómo el “principio de legalidad” –es decir, la predeterminación de las conductas en la Ley-, en materia contractual se reduce a la simple “tipicidad” de la conducta –es decir, a la descripción y especificación normativa del comportamiento prohibido-, pues lo determinante no es que la Ley contemple la falta y la sanción, sino que estén previamente definidas en cualquier norma, sin que importe que sea o no una ley quien lo haga.</w:t>
      </w:r>
    </w:p>
    <w:p w:rsidRPr="00D302B9" w:rsidR="00F4089D" w:rsidP="00901C04" w:rsidRDefault="00F4089D" w14:paraId="52D8A75E" w14:textId="77777777">
      <w:pPr>
        <w:pStyle w:val="Prrafodelista"/>
        <w:ind w:left="709" w:right="758"/>
        <w:jc w:val="both"/>
        <w:rPr>
          <w:rFonts w:ascii="Arial" w:hAnsi="Arial" w:cs="Arial"/>
          <w:iCs/>
          <w:sz w:val="21"/>
          <w:szCs w:val="21"/>
        </w:rPr>
      </w:pPr>
    </w:p>
    <w:p w:rsidRPr="00D302B9" w:rsidR="00F4089D" w:rsidP="00901C04" w:rsidRDefault="00F4089D" w14:paraId="5C999A76" w14:textId="31497A41">
      <w:pPr>
        <w:pStyle w:val="Prrafodelista"/>
        <w:ind w:left="709" w:right="758"/>
        <w:jc w:val="both"/>
        <w:rPr>
          <w:rFonts w:ascii="Arial" w:hAnsi="Arial" w:cs="Arial"/>
          <w:iCs/>
          <w:sz w:val="21"/>
          <w:szCs w:val="21"/>
        </w:rPr>
      </w:pPr>
      <w:r w:rsidRPr="00D302B9">
        <w:rPr>
          <w:rFonts w:ascii="Arial" w:hAnsi="Arial" w:cs="Arial"/>
          <w:iCs/>
          <w:sz w:val="21"/>
          <w:szCs w:val="21"/>
        </w:rPr>
        <w:t xml:space="preserve">Por tanto, en materia contractual opera una especie de combinación entre el principio de legalidad y el de la autonomía de la voluntad: el primero exige que las conductas reprochables entre las partes del contrato se contemplen </w:t>
      </w:r>
      <w:r w:rsidRPr="00D302B9">
        <w:rPr>
          <w:rFonts w:ascii="Arial" w:hAnsi="Arial" w:cs="Arial"/>
          <w:iCs/>
          <w:sz w:val="21"/>
          <w:szCs w:val="21"/>
        </w:rPr>
        <w:lastRenderedPageBreak/>
        <w:t>previamente, con su correspondiente sanción, y el segundo permite que sean las partes –no la ley; pero autorizadas por ella- quienes definan esas conductas y la sanción. Se trata, no cabe duda, de un supuesto de ius puniendi sui generis al que regula el art. 29 CP., en lo que respecta, por lo menos, a la legalidad.</w:t>
      </w:r>
    </w:p>
    <w:p w:rsidRPr="00D302B9" w:rsidR="00F4089D" w:rsidP="00F4089D" w:rsidRDefault="00F4089D" w14:paraId="0BC78E7E" w14:textId="77777777">
      <w:pPr>
        <w:pStyle w:val="Prrafodelista"/>
        <w:spacing w:line="276" w:lineRule="auto"/>
        <w:ind w:right="-425"/>
        <w:jc w:val="both"/>
        <w:rPr>
          <w:rFonts w:ascii="Arial" w:hAnsi="Arial" w:cs="Arial"/>
          <w:iCs/>
          <w:sz w:val="22"/>
        </w:rPr>
      </w:pPr>
    </w:p>
    <w:p w:rsidRPr="00D302B9" w:rsidR="00F4089D" w:rsidP="006C6DE7" w:rsidRDefault="004B3582" w14:paraId="01B2214A" w14:textId="36114C91">
      <w:pPr>
        <w:spacing w:line="276" w:lineRule="auto"/>
        <w:ind w:right="142" w:firstLine="708"/>
        <w:jc w:val="both"/>
        <w:rPr>
          <w:rFonts w:ascii="Arial" w:hAnsi="Arial" w:cs="Arial"/>
          <w:iCs/>
          <w:sz w:val="22"/>
        </w:rPr>
      </w:pPr>
      <w:r w:rsidRPr="00D302B9">
        <w:rPr>
          <w:rFonts w:ascii="Arial" w:hAnsi="Arial" w:cs="Arial"/>
          <w:iCs/>
          <w:sz w:val="22"/>
        </w:rPr>
        <w:t>De otro lado</w:t>
      </w:r>
      <w:r w:rsidRPr="00D302B9" w:rsidR="00F4089D">
        <w:rPr>
          <w:rFonts w:ascii="Arial" w:hAnsi="Arial" w:cs="Arial"/>
          <w:iCs/>
          <w:sz w:val="22"/>
        </w:rPr>
        <w:t>, la Corte Constitucional</w:t>
      </w:r>
      <w:r w:rsidRPr="00D302B9" w:rsidR="006C6DE7">
        <w:rPr>
          <w:rStyle w:val="Refdenotaalpie"/>
          <w:rFonts w:ascii="Arial" w:hAnsi="Arial" w:cs="Arial"/>
          <w:iCs/>
          <w:sz w:val="22"/>
        </w:rPr>
        <w:footnoteReference w:id="5"/>
      </w:r>
      <w:r w:rsidRPr="00D302B9" w:rsidR="006C6DE7">
        <w:rPr>
          <w:rFonts w:ascii="Arial" w:hAnsi="Arial" w:cs="Arial"/>
          <w:iCs/>
          <w:sz w:val="22"/>
        </w:rPr>
        <w:t xml:space="preserve"> </w:t>
      </w:r>
      <w:r w:rsidRPr="00D302B9" w:rsidR="00F4089D">
        <w:rPr>
          <w:rFonts w:ascii="Arial" w:hAnsi="Arial" w:cs="Arial"/>
          <w:iCs/>
          <w:sz w:val="22"/>
        </w:rPr>
        <w:t xml:space="preserve">precisó que la tipicidad hacía referencia a </w:t>
      </w:r>
      <w:r w:rsidRPr="00D302B9">
        <w:rPr>
          <w:rFonts w:ascii="Arial" w:hAnsi="Arial" w:cs="Arial"/>
          <w:iCs/>
          <w:sz w:val="22"/>
        </w:rPr>
        <w:t>«</w:t>
      </w:r>
      <w:r w:rsidRPr="00D302B9" w:rsidR="00F4089D">
        <w:rPr>
          <w:rFonts w:ascii="Arial" w:hAnsi="Arial" w:cs="Arial"/>
          <w:iCs/>
          <w:sz w:val="22"/>
        </w:rPr>
        <w:t>la exigencia de descripción específica y precisa por la norma creadora de las infracciones y de las sanciones, de las conductas que pueden ser sancionadas y del contenido material de las sanciones que puede imponerse por la comisión de cada conducta, as</w:t>
      </w:r>
      <w:r w:rsidRPr="00D302B9" w:rsidR="0013621B">
        <w:rPr>
          <w:rFonts w:ascii="Arial" w:hAnsi="Arial" w:cs="Arial"/>
          <w:iCs/>
          <w:sz w:val="22"/>
        </w:rPr>
        <w:t>í</w:t>
      </w:r>
      <w:r w:rsidRPr="00D302B9" w:rsidR="00F4089D">
        <w:rPr>
          <w:rFonts w:ascii="Arial" w:hAnsi="Arial" w:cs="Arial"/>
          <w:iCs/>
          <w:sz w:val="22"/>
        </w:rPr>
        <w:t xml:space="preserve"> como la correlación entre unas y otras</w:t>
      </w:r>
      <w:r w:rsidRPr="00D302B9">
        <w:rPr>
          <w:rFonts w:ascii="Arial" w:hAnsi="Arial" w:cs="Arial"/>
          <w:iCs/>
          <w:sz w:val="22"/>
        </w:rPr>
        <w:t>»</w:t>
      </w:r>
      <w:r w:rsidRPr="00D302B9" w:rsidR="00F4089D">
        <w:rPr>
          <w:rFonts w:ascii="Arial" w:hAnsi="Arial" w:cs="Arial"/>
          <w:iCs/>
          <w:sz w:val="22"/>
        </w:rPr>
        <w:t xml:space="preserve">. </w:t>
      </w:r>
    </w:p>
    <w:p w:rsidRPr="00D302B9" w:rsidR="00F4089D" w:rsidP="00164BD7" w:rsidRDefault="00F4089D" w14:paraId="6ED1BEAA" w14:textId="0686DC0D">
      <w:pPr>
        <w:spacing w:before="120" w:line="276" w:lineRule="auto"/>
        <w:ind w:right="142" w:firstLine="709"/>
        <w:jc w:val="both"/>
        <w:rPr>
          <w:rFonts w:ascii="Arial" w:hAnsi="Arial" w:cs="Arial"/>
          <w:iCs/>
          <w:sz w:val="22"/>
        </w:rPr>
      </w:pPr>
      <w:r w:rsidRPr="00D302B9">
        <w:rPr>
          <w:rFonts w:ascii="Arial" w:hAnsi="Arial" w:cs="Arial"/>
          <w:iCs/>
          <w:sz w:val="22"/>
        </w:rPr>
        <w:t xml:space="preserve">Por su parte, el artículo 17 de la Ley 1150 de 2007 es claro en precisar que la declaración de incumplimiento tiene como propósito </w:t>
      </w:r>
      <w:r w:rsidRPr="00D302B9" w:rsidR="00D67DA8">
        <w:rPr>
          <w:rFonts w:ascii="Arial" w:hAnsi="Arial" w:cs="Arial"/>
          <w:iCs/>
          <w:sz w:val="22"/>
        </w:rPr>
        <w:t>«</w:t>
      </w:r>
      <w:r w:rsidRPr="00D302B9">
        <w:rPr>
          <w:rFonts w:ascii="Arial" w:hAnsi="Arial" w:cs="Arial"/>
          <w:iCs/>
          <w:sz w:val="22"/>
        </w:rPr>
        <w:t>hacer efectiva la cláusula penal pecuniaria incluida en el contrato</w:t>
      </w:r>
      <w:r w:rsidRPr="00D302B9" w:rsidR="00D67DA8">
        <w:rPr>
          <w:rFonts w:ascii="Arial" w:hAnsi="Arial" w:cs="Arial"/>
          <w:iCs/>
          <w:sz w:val="22"/>
        </w:rPr>
        <w:t>»</w:t>
      </w:r>
      <w:r w:rsidRPr="00D302B9">
        <w:rPr>
          <w:rFonts w:ascii="Arial" w:hAnsi="Arial" w:cs="Arial"/>
          <w:iCs/>
          <w:sz w:val="22"/>
        </w:rPr>
        <w:t xml:space="preserve">. </w:t>
      </w:r>
    </w:p>
    <w:p w:rsidRPr="00D302B9" w:rsidR="00F4089D" w:rsidP="00164BD7" w:rsidRDefault="00F4089D" w14:paraId="4C12F251" w14:textId="11DD0D92">
      <w:pPr>
        <w:spacing w:before="120" w:line="276" w:lineRule="auto"/>
        <w:ind w:right="142" w:firstLine="709"/>
        <w:jc w:val="both"/>
        <w:rPr>
          <w:rFonts w:ascii="Arial" w:hAnsi="Arial" w:cs="Arial"/>
          <w:iCs/>
          <w:sz w:val="22"/>
        </w:rPr>
      </w:pPr>
      <w:r w:rsidRPr="00D302B9">
        <w:rPr>
          <w:rFonts w:ascii="Arial" w:hAnsi="Arial" w:cs="Arial"/>
          <w:iCs/>
          <w:sz w:val="22"/>
        </w:rPr>
        <w:t>En este punto, conviene resaltar lo dicho por la Sección Tercera del Consejo de Estado</w:t>
      </w:r>
      <w:r w:rsidRPr="00D302B9">
        <w:rPr>
          <w:rFonts w:ascii="Arial" w:hAnsi="Arial" w:cs="Arial"/>
          <w:sz w:val="22"/>
          <w:vertAlign w:val="superscript"/>
        </w:rPr>
        <w:footnoteReference w:id="6"/>
      </w:r>
      <w:r w:rsidRPr="00D302B9" w:rsidR="00C6281F">
        <w:rPr>
          <w:rFonts w:ascii="Arial" w:hAnsi="Arial" w:cs="Arial"/>
          <w:iCs/>
          <w:sz w:val="22"/>
        </w:rPr>
        <w:t xml:space="preserve">, </w:t>
      </w:r>
      <w:r w:rsidRPr="00D302B9">
        <w:rPr>
          <w:rFonts w:ascii="Arial" w:hAnsi="Arial" w:cs="Arial"/>
          <w:iCs/>
          <w:sz w:val="22"/>
        </w:rPr>
        <w:t>en relación con las diferencias entre las multas y la cláusula penal</w:t>
      </w:r>
      <w:r w:rsidRPr="00D302B9" w:rsidR="00C6281F">
        <w:rPr>
          <w:rFonts w:ascii="Arial" w:hAnsi="Arial" w:cs="Arial"/>
          <w:iCs/>
          <w:sz w:val="22"/>
        </w:rPr>
        <w:t>, esto es</w:t>
      </w:r>
      <w:r w:rsidRPr="00D302B9">
        <w:rPr>
          <w:rFonts w:ascii="Arial" w:hAnsi="Arial" w:cs="Arial"/>
          <w:iCs/>
          <w:sz w:val="22"/>
        </w:rPr>
        <w:t xml:space="preserve">: </w:t>
      </w:r>
      <w:r w:rsidRPr="00D302B9" w:rsidR="00C6281F">
        <w:rPr>
          <w:rFonts w:ascii="Arial" w:hAnsi="Arial" w:cs="Arial"/>
          <w:iCs/>
          <w:sz w:val="22"/>
        </w:rPr>
        <w:t>«</w:t>
      </w:r>
      <w:r w:rsidRPr="00D302B9">
        <w:rPr>
          <w:rFonts w:ascii="Arial" w:hAnsi="Arial" w:cs="Arial"/>
          <w:iCs/>
          <w:sz w:val="22"/>
        </w:rPr>
        <w:t>[a]</w:t>
      </w:r>
      <w:proofErr w:type="spellStart"/>
      <w:r w:rsidRPr="00D302B9">
        <w:rPr>
          <w:rFonts w:ascii="Arial" w:hAnsi="Arial" w:cs="Arial"/>
          <w:iCs/>
          <w:sz w:val="22"/>
        </w:rPr>
        <w:t>unque</w:t>
      </w:r>
      <w:proofErr w:type="spellEnd"/>
      <w:r w:rsidRPr="00D302B9">
        <w:rPr>
          <w:rFonts w:ascii="Arial" w:hAnsi="Arial" w:cs="Arial"/>
          <w:iCs/>
          <w:sz w:val="22"/>
        </w:rPr>
        <w:t xml:space="preserv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r w:rsidRPr="00D302B9" w:rsidR="00C6281F">
        <w:rPr>
          <w:rFonts w:ascii="Arial" w:hAnsi="Arial" w:cs="Arial"/>
          <w:iCs/>
          <w:sz w:val="22"/>
        </w:rPr>
        <w:t>»</w:t>
      </w:r>
      <w:r w:rsidRPr="00D302B9">
        <w:rPr>
          <w:rFonts w:ascii="Arial" w:hAnsi="Arial" w:cs="Arial"/>
          <w:iCs/>
          <w:sz w:val="22"/>
        </w:rPr>
        <w:t>.</w:t>
      </w:r>
    </w:p>
    <w:p w:rsidRPr="00D302B9" w:rsidR="0007366C" w:rsidP="0007366C" w:rsidRDefault="0007366C" w14:paraId="34583D21" w14:textId="27F3D7EC">
      <w:pPr>
        <w:spacing w:before="120" w:line="276" w:lineRule="auto"/>
        <w:ind w:right="142" w:firstLine="709"/>
        <w:jc w:val="both"/>
        <w:rPr>
          <w:rFonts w:ascii="Arial" w:hAnsi="Arial" w:cs="Arial"/>
          <w:iCs/>
          <w:sz w:val="22"/>
        </w:rPr>
      </w:pPr>
      <w:r w:rsidRPr="00D302B9">
        <w:rPr>
          <w:rFonts w:ascii="Arial" w:hAnsi="Arial" w:cs="Arial"/>
          <w:iCs/>
          <w:sz w:val="22"/>
        </w:rPr>
        <w:t xml:space="preserve">Igualmente, la Ley 1474 de 2011 contempla la posibilidad de declarar el incumplimiento cuantificando los perjuicios </w:t>
      </w:r>
      <w:proofErr w:type="gramStart"/>
      <w:r w:rsidRPr="00D302B9">
        <w:rPr>
          <w:rFonts w:ascii="Arial" w:hAnsi="Arial" w:cs="Arial"/>
          <w:iCs/>
          <w:sz w:val="22"/>
        </w:rPr>
        <w:t>del mismo</w:t>
      </w:r>
      <w:proofErr w:type="gramEnd"/>
      <w:r w:rsidRPr="00D302B9">
        <w:rPr>
          <w:rFonts w:ascii="Arial" w:hAnsi="Arial" w:cs="Arial"/>
          <w:iCs/>
          <w:sz w:val="22"/>
        </w:rPr>
        <w:t xml:space="preserve">, claro está, previa citación del contratista y respetando el debido proceso. </w:t>
      </w:r>
      <w:r w:rsidRPr="00D302B9" w:rsidR="00C84C51">
        <w:rPr>
          <w:rFonts w:ascii="Arial" w:hAnsi="Arial" w:cs="Arial"/>
          <w:iCs/>
          <w:sz w:val="22"/>
        </w:rPr>
        <w:t>Al respecto, e</w:t>
      </w:r>
      <w:r w:rsidRPr="00D302B9">
        <w:rPr>
          <w:rFonts w:ascii="Arial" w:hAnsi="Arial" w:cs="Arial"/>
          <w:iCs/>
          <w:sz w:val="22"/>
        </w:rPr>
        <w:t xml:space="preserve">l artículo 86 de la Ley 1474 de 2011 establece </w:t>
      </w:r>
      <w:r w:rsidRPr="00D302B9" w:rsidR="00C84C51">
        <w:rPr>
          <w:rFonts w:ascii="Arial" w:hAnsi="Arial" w:cs="Arial"/>
          <w:iCs/>
          <w:sz w:val="22"/>
        </w:rPr>
        <w:t xml:space="preserve">las etapas del procedimiento </w:t>
      </w:r>
      <w:r w:rsidRPr="00D302B9" w:rsidR="001E70D8">
        <w:rPr>
          <w:rFonts w:ascii="Arial" w:hAnsi="Arial" w:cs="Arial"/>
          <w:iCs/>
          <w:sz w:val="22"/>
        </w:rPr>
        <w:t>que se debe</w:t>
      </w:r>
      <w:r w:rsidRPr="00D302B9" w:rsidR="00C84C51">
        <w:rPr>
          <w:rFonts w:ascii="Arial" w:hAnsi="Arial" w:cs="Arial"/>
          <w:iCs/>
          <w:sz w:val="22"/>
        </w:rPr>
        <w:t xml:space="preserve"> seguir.  </w:t>
      </w:r>
      <w:r w:rsidRPr="00D302B9">
        <w:rPr>
          <w:rFonts w:ascii="Arial" w:hAnsi="Arial" w:cs="Arial"/>
          <w:iCs/>
          <w:sz w:val="22"/>
        </w:rPr>
        <w:t xml:space="preserve">i) </w:t>
      </w:r>
      <w:r w:rsidRPr="00D302B9" w:rsidR="00C84C51">
        <w:rPr>
          <w:rFonts w:ascii="Arial" w:hAnsi="Arial" w:cs="Arial"/>
          <w:i/>
          <w:iCs/>
          <w:sz w:val="22"/>
        </w:rPr>
        <w:t>C</w:t>
      </w:r>
      <w:r w:rsidRPr="00D302B9">
        <w:rPr>
          <w:rFonts w:ascii="Arial" w:hAnsi="Arial" w:cs="Arial"/>
          <w:i/>
          <w:iCs/>
          <w:sz w:val="22"/>
        </w:rPr>
        <w:t>itación a audiencia</w:t>
      </w:r>
      <w:r w:rsidRPr="00D302B9" w:rsidR="00C84C51">
        <w:rPr>
          <w:rFonts w:ascii="Arial" w:hAnsi="Arial" w:cs="Arial"/>
          <w:iCs/>
          <w:sz w:val="22"/>
        </w:rPr>
        <w:t>. Es necesario mencionar expresa</w:t>
      </w:r>
      <w:r w:rsidRPr="00D302B9">
        <w:rPr>
          <w:rFonts w:ascii="Arial" w:hAnsi="Arial" w:cs="Arial"/>
          <w:iCs/>
          <w:sz w:val="22"/>
        </w:rPr>
        <w:t xml:space="preserve"> y detallada</w:t>
      </w:r>
      <w:r w:rsidRPr="00D302B9" w:rsidR="00C84C51">
        <w:rPr>
          <w:rFonts w:ascii="Arial" w:hAnsi="Arial" w:cs="Arial"/>
          <w:iCs/>
          <w:sz w:val="22"/>
        </w:rPr>
        <w:t xml:space="preserve">mente </w:t>
      </w:r>
      <w:r w:rsidRPr="00D302B9">
        <w:rPr>
          <w:rFonts w:ascii="Arial" w:hAnsi="Arial" w:cs="Arial"/>
          <w:iCs/>
          <w:sz w:val="22"/>
        </w:rPr>
        <w:t xml:space="preserve">los hechos que la soportan, </w:t>
      </w:r>
      <w:r w:rsidRPr="00D302B9" w:rsidR="00C84C51">
        <w:rPr>
          <w:rFonts w:ascii="Arial" w:hAnsi="Arial" w:cs="Arial"/>
          <w:iCs/>
          <w:sz w:val="22"/>
        </w:rPr>
        <w:t>así como también: adjuntar e</w:t>
      </w:r>
      <w:r w:rsidRPr="00D302B9">
        <w:rPr>
          <w:rFonts w:ascii="Arial" w:hAnsi="Arial" w:cs="Arial"/>
          <w:iCs/>
          <w:sz w:val="22"/>
        </w:rPr>
        <w:t>l informe de interventoría o de supervisión en el que se sustente la actuación</w:t>
      </w:r>
      <w:r w:rsidRPr="00D302B9" w:rsidR="00C84C51">
        <w:rPr>
          <w:rFonts w:ascii="Arial" w:hAnsi="Arial" w:cs="Arial"/>
          <w:iCs/>
          <w:sz w:val="22"/>
        </w:rPr>
        <w:t xml:space="preserve">, enunciar </w:t>
      </w:r>
      <w:r w:rsidRPr="00D302B9">
        <w:rPr>
          <w:rFonts w:ascii="Arial" w:hAnsi="Arial" w:cs="Arial"/>
          <w:iCs/>
          <w:sz w:val="22"/>
        </w:rPr>
        <w:t>las normas o cláusulas posiblemente violadas</w:t>
      </w:r>
      <w:r w:rsidRPr="00D302B9" w:rsidR="00C84C51">
        <w:rPr>
          <w:rFonts w:ascii="Arial" w:hAnsi="Arial" w:cs="Arial"/>
          <w:iCs/>
          <w:sz w:val="22"/>
        </w:rPr>
        <w:t xml:space="preserve"> y referir </w:t>
      </w:r>
      <w:r w:rsidRPr="00D302B9">
        <w:rPr>
          <w:rFonts w:ascii="Arial" w:hAnsi="Arial" w:cs="Arial"/>
          <w:iCs/>
          <w:sz w:val="22"/>
        </w:rPr>
        <w:t>las consecuencias que podrían recaer sobre el contratista en el desarrollo de la actuación</w:t>
      </w:r>
      <w:r w:rsidRPr="00D302B9" w:rsidR="00C84C51">
        <w:rPr>
          <w:rFonts w:ascii="Arial" w:hAnsi="Arial" w:cs="Arial"/>
          <w:iCs/>
          <w:sz w:val="22"/>
        </w:rPr>
        <w:t>.</w:t>
      </w:r>
      <w:r w:rsidRPr="00D302B9">
        <w:rPr>
          <w:rFonts w:ascii="Arial" w:hAnsi="Arial" w:cs="Arial"/>
          <w:iCs/>
          <w:sz w:val="22"/>
        </w:rPr>
        <w:t xml:space="preserve"> </w:t>
      </w:r>
      <w:proofErr w:type="spellStart"/>
      <w:r w:rsidRPr="00D302B9">
        <w:rPr>
          <w:rFonts w:ascii="Arial" w:hAnsi="Arial" w:cs="Arial"/>
          <w:iCs/>
          <w:sz w:val="22"/>
        </w:rPr>
        <w:t>ii</w:t>
      </w:r>
      <w:proofErr w:type="spellEnd"/>
      <w:r w:rsidRPr="00D302B9">
        <w:rPr>
          <w:rFonts w:ascii="Arial" w:hAnsi="Arial" w:cs="Arial"/>
          <w:iCs/>
          <w:sz w:val="22"/>
        </w:rPr>
        <w:t xml:space="preserve">) </w:t>
      </w:r>
      <w:r w:rsidRPr="00D302B9" w:rsidR="00C84C51">
        <w:rPr>
          <w:rFonts w:ascii="Arial" w:hAnsi="Arial" w:cs="Arial"/>
          <w:i/>
          <w:iCs/>
          <w:sz w:val="22"/>
        </w:rPr>
        <w:t>A</w:t>
      </w:r>
      <w:r w:rsidRPr="00D302B9">
        <w:rPr>
          <w:rFonts w:ascii="Arial" w:hAnsi="Arial" w:cs="Arial"/>
          <w:i/>
          <w:iCs/>
          <w:sz w:val="22"/>
        </w:rPr>
        <w:t>udiencia</w:t>
      </w:r>
      <w:r w:rsidRPr="00D302B9" w:rsidR="00C84C51">
        <w:rPr>
          <w:rFonts w:ascii="Arial" w:hAnsi="Arial" w:cs="Arial"/>
          <w:iCs/>
          <w:sz w:val="22"/>
        </w:rPr>
        <w:t xml:space="preserve">. En la diligencia </w:t>
      </w:r>
      <w:r w:rsidRPr="00D302B9">
        <w:rPr>
          <w:rFonts w:ascii="Arial" w:hAnsi="Arial" w:cs="Arial"/>
          <w:iCs/>
          <w:sz w:val="22"/>
        </w:rPr>
        <w:t>intervendrá el jefe de la entidad o su delegado y</w:t>
      </w:r>
      <w:r w:rsidRPr="00D302B9" w:rsidR="00C84C51">
        <w:rPr>
          <w:rFonts w:ascii="Arial" w:hAnsi="Arial" w:cs="Arial"/>
          <w:iCs/>
          <w:sz w:val="22"/>
        </w:rPr>
        <w:t>,</w:t>
      </w:r>
      <w:r w:rsidRPr="00D302B9">
        <w:rPr>
          <w:rFonts w:ascii="Arial" w:hAnsi="Arial" w:cs="Arial"/>
          <w:iCs/>
          <w:sz w:val="22"/>
        </w:rPr>
        <w:t xml:space="preserve"> posteriormente, se le concederá el uso de la palabra al representante legal del contratista o </w:t>
      </w:r>
      <w:r w:rsidRPr="00D302B9" w:rsidR="00C84C51">
        <w:rPr>
          <w:rFonts w:ascii="Arial" w:hAnsi="Arial" w:cs="Arial"/>
          <w:iCs/>
          <w:sz w:val="22"/>
        </w:rPr>
        <w:t>a</w:t>
      </w:r>
      <w:r w:rsidRPr="00D302B9">
        <w:rPr>
          <w:rFonts w:ascii="Arial" w:hAnsi="Arial" w:cs="Arial"/>
          <w:iCs/>
          <w:sz w:val="22"/>
        </w:rPr>
        <w:t xml:space="preserve"> quien lo represente</w:t>
      </w:r>
      <w:r w:rsidRPr="00D302B9" w:rsidR="00C84C51">
        <w:rPr>
          <w:rFonts w:ascii="Arial" w:hAnsi="Arial" w:cs="Arial"/>
          <w:iCs/>
          <w:sz w:val="22"/>
        </w:rPr>
        <w:t xml:space="preserve"> y</w:t>
      </w:r>
      <w:r w:rsidRPr="00D302B9">
        <w:rPr>
          <w:rFonts w:ascii="Arial" w:hAnsi="Arial" w:cs="Arial"/>
          <w:iCs/>
          <w:sz w:val="22"/>
        </w:rPr>
        <w:t xml:space="preserve"> </w:t>
      </w:r>
      <w:r w:rsidRPr="00D302B9" w:rsidR="00C84C51">
        <w:rPr>
          <w:rFonts w:ascii="Arial" w:hAnsi="Arial" w:cs="Arial"/>
          <w:iCs/>
          <w:sz w:val="22"/>
        </w:rPr>
        <w:t>a</w:t>
      </w:r>
      <w:r w:rsidRPr="00D302B9">
        <w:rPr>
          <w:rFonts w:ascii="Arial" w:hAnsi="Arial" w:cs="Arial"/>
          <w:iCs/>
          <w:sz w:val="22"/>
        </w:rPr>
        <w:t>l garante</w:t>
      </w:r>
      <w:r w:rsidRPr="00D302B9" w:rsidR="00C84C51">
        <w:rPr>
          <w:rFonts w:ascii="Arial" w:hAnsi="Arial" w:cs="Arial"/>
          <w:iCs/>
          <w:sz w:val="22"/>
        </w:rPr>
        <w:t xml:space="preserve">, en caso de ser necesario, </w:t>
      </w:r>
      <w:r w:rsidRPr="00D302B9">
        <w:rPr>
          <w:rFonts w:ascii="Arial" w:hAnsi="Arial" w:cs="Arial"/>
          <w:iCs/>
          <w:sz w:val="22"/>
        </w:rPr>
        <w:t xml:space="preserve">para que </w:t>
      </w:r>
      <w:r w:rsidRPr="00D302B9" w:rsidR="00C84C51">
        <w:rPr>
          <w:rFonts w:ascii="Arial" w:hAnsi="Arial" w:cs="Arial"/>
          <w:iCs/>
          <w:sz w:val="22"/>
        </w:rPr>
        <w:t xml:space="preserve">estos </w:t>
      </w:r>
      <w:r w:rsidRPr="00D302B9">
        <w:rPr>
          <w:rFonts w:ascii="Arial" w:hAnsi="Arial" w:cs="Arial"/>
          <w:iCs/>
          <w:sz w:val="22"/>
        </w:rPr>
        <w:t>presente</w:t>
      </w:r>
      <w:r w:rsidRPr="00D302B9" w:rsidR="00C84C51">
        <w:rPr>
          <w:rFonts w:ascii="Arial" w:hAnsi="Arial" w:cs="Arial"/>
          <w:iCs/>
          <w:sz w:val="22"/>
        </w:rPr>
        <w:t>n</w:t>
      </w:r>
      <w:r w:rsidRPr="00D302B9">
        <w:rPr>
          <w:rFonts w:ascii="Arial" w:hAnsi="Arial" w:cs="Arial"/>
          <w:iCs/>
          <w:sz w:val="22"/>
        </w:rPr>
        <w:t xml:space="preserve"> sus descargos, </w:t>
      </w:r>
      <w:r w:rsidRPr="00D302B9" w:rsidR="00C84C51">
        <w:rPr>
          <w:rFonts w:ascii="Arial" w:hAnsi="Arial" w:cs="Arial"/>
          <w:iCs/>
          <w:sz w:val="22"/>
        </w:rPr>
        <w:t>aporten</w:t>
      </w:r>
      <w:r w:rsidRPr="00D302B9">
        <w:rPr>
          <w:rFonts w:ascii="Arial" w:hAnsi="Arial" w:cs="Arial"/>
          <w:iCs/>
          <w:sz w:val="22"/>
        </w:rPr>
        <w:t xml:space="preserve"> y controviertan pruebas y rindan las explicaciones del caso</w:t>
      </w:r>
      <w:r w:rsidRPr="00D302B9" w:rsidR="00C84C51">
        <w:rPr>
          <w:rFonts w:ascii="Arial" w:hAnsi="Arial" w:cs="Arial"/>
          <w:iCs/>
          <w:sz w:val="22"/>
        </w:rPr>
        <w:t>; y</w:t>
      </w:r>
      <w:r w:rsidRPr="00D302B9">
        <w:rPr>
          <w:rFonts w:ascii="Arial" w:hAnsi="Arial" w:cs="Arial"/>
          <w:iCs/>
          <w:sz w:val="22"/>
        </w:rPr>
        <w:t xml:space="preserve"> </w:t>
      </w:r>
      <w:proofErr w:type="spellStart"/>
      <w:r w:rsidRPr="00D302B9">
        <w:rPr>
          <w:rFonts w:ascii="Arial" w:hAnsi="Arial" w:cs="Arial"/>
          <w:iCs/>
          <w:sz w:val="22"/>
        </w:rPr>
        <w:t>iii</w:t>
      </w:r>
      <w:proofErr w:type="spellEnd"/>
      <w:r w:rsidRPr="00D302B9">
        <w:rPr>
          <w:rFonts w:ascii="Arial" w:hAnsi="Arial" w:cs="Arial"/>
          <w:iCs/>
          <w:sz w:val="22"/>
        </w:rPr>
        <w:t xml:space="preserve">) </w:t>
      </w:r>
      <w:proofErr w:type="gramStart"/>
      <w:r w:rsidRPr="00D302B9" w:rsidR="00C84C51">
        <w:rPr>
          <w:rFonts w:ascii="Arial" w:hAnsi="Arial" w:cs="Arial"/>
          <w:i/>
          <w:iCs/>
          <w:sz w:val="22"/>
        </w:rPr>
        <w:t>Decisión</w:t>
      </w:r>
      <w:r w:rsidRPr="00D302B9" w:rsidR="00C84C51">
        <w:rPr>
          <w:rFonts w:ascii="Arial" w:hAnsi="Arial" w:cs="Arial"/>
          <w:iCs/>
          <w:sz w:val="22"/>
        </w:rPr>
        <w:t xml:space="preserve"> .</w:t>
      </w:r>
      <w:proofErr w:type="gramEnd"/>
      <w:r w:rsidRPr="00D302B9" w:rsidR="00C84C51">
        <w:rPr>
          <w:rFonts w:ascii="Arial" w:hAnsi="Arial" w:cs="Arial"/>
          <w:iCs/>
          <w:sz w:val="22"/>
        </w:rPr>
        <w:t xml:space="preserve"> Debe estar contenida en </w:t>
      </w:r>
      <w:r w:rsidRPr="00D302B9">
        <w:rPr>
          <w:rFonts w:ascii="Arial" w:hAnsi="Arial" w:cs="Arial"/>
          <w:iCs/>
          <w:sz w:val="22"/>
        </w:rPr>
        <w:t>resolución motivada donde se consigne</w:t>
      </w:r>
      <w:r w:rsidRPr="00D302B9" w:rsidR="007A1AEC">
        <w:rPr>
          <w:rFonts w:ascii="Arial" w:hAnsi="Arial" w:cs="Arial"/>
          <w:iCs/>
          <w:sz w:val="22"/>
        </w:rPr>
        <w:t>, por un lado,</w:t>
      </w:r>
      <w:r w:rsidRPr="00D302B9">
        <w:rPr>
          <w:rFonts w:ascii="Arial" w:hAnsi="Arial" w:cs="Arial"/>
          <w:iCs/>
          <w:sz w:val="22"/>
        </w:rPr>
        <w:t xml:space="preserve"> lo ocurrido en el desarrollo de la </w:t>
      </w:r>
      <w:r w:rsidRPr="00D302B9" w:rsidR="00074152">
        <w:rPr>
          <w:rFonts w:ascii="Arial" w:hAnsi="Arial" w:cs="Arial"/>
          <w:iCs/>
          <w:sz w:val="22"/>
        </w:rPr>
        <w:t>diligencia</w:t>
      </w:r>
      <w:r w:rsidRPr="00D302B9">
        <w:rPr>
          <w:rFonts w:ascii="Arial" w:hAnsi="Arial" w:cs="Arial"/>
          <w:iCs/>
          <w:sz w:val="22"/>
        </w:rPr>
        <w:t xml:space="preserve"> y</w:t>
      </w:r>
      <w:r w:rsidRPr="00D302B9" w:rsidR="007A1AEC">
        <w:rPr>
          <w:rFonts w:ascii="Arial" w:hAnsi="Arial" w:cs="Arial"/>
          <w:iCs/>
          <w:sz w:val="22"/>
        </w:rPr>
        <w:t>, por el otro, lo relativo a la</w:t>
      </w:r>
      <w:r w:rsidRPr="00D302B9">
        <w:rPr>
          <w:rFonts w:ascii="Arial" w:hAnsi="Arial" w:cs="Arial"/>
          <w:iCs/>
          <w:sz w:val="22"/>
        </w:rPr>
        <w:t xml:space="preserve"> imposición o no de multa</w:t>
      </w:r>
      <w:r w:rsidRPr="00D302B9" w:rsidR="007A1AEC">
        <w:rPr>
          <w:rFonts w:ascii="Arial" w:hAnsi="Arial" w:cs="Arial"/>
          <w:iCs/>
          <w:sz w:val="22"/>
        </w:rPr>
        <w:t>s</w:t>
      </w:r>
      <w:r w:rsidRPr="00D302B9" w:rsidR="00074152">
        <w:rPr>
          <w:rFonts w:ascii="Arial" w:hAnsi="Arial" w:cs="Arial"/>
          <w:iCs/>
          <w:sz w:val="22"/>
        </w:rPr>
        <w:t xml:space="preserve"> y</w:t>
      </w:r>
      <w:r w:rsidRPr="00D302B9">
        <w:rPr>
          <w:rFonts w:ascii="Arial" w:hAnsi="Arial" w:cs="Arial"/>
          <w:iCs/>
          <w:sz w:val="22"/>
        </w:rPr>
        <w:t xml:space="preserve"> sanci</w:t>
      </w:r>
      <w:r w:rsidRPr="00D302B9" w:rsidR="007A1AEC">
        <w:rPr>
          <w:rFonts w:ascii="Arial" w:hAnsi="Arial" w:cs="Arial"/>
          <w:iCs/>
          <w:sz w:val="22"/>
        </w:rPr>
        <w:t>ones</w:t>
      </w:r>
      <w:r w:rsidRPr="00D302B9">
        <w:rPr>
          <w:rFonts w:ascii="Arial" w:hAnsi="Arial" w:cs="Arial"/>
          <w:iCs/>
          <w:sz w:val="22"/>
        </w:rPr>
        <w:t xml:space="preserve"> o </w:t>
      </w:r>
      <w:r w:rsidRPr="00D302B9" w:rsidR="007A1AEC">
        <w:rPr>
          <w:rFonts w:ascii="Arial" w:hAnsi="Arial" w:cs="Arial"/>
          <w:iCs/>
          <w:sz w:val="22"/>
        </w:rPr>
        <w:t xml:space="preserve">la </w:t>
      </w:r>
      <w:r w:rsidRPr="00D302B9">
        <w:rPr>
          <w:rFonts w:ascii="Arial" w:hAnsi="Arial" w:cs="Arial"/>
          <w:iCs/>
          <w:sz w:val="22"/>
        </w:rPr>
        <w:t>declaratoria de incumplimiento</w:t>
      </w:r>
      <w:r w:rsidRPr="00D302B9" w:rsidR="007A1AEC">
        <w:rPr>
          <w:rFonts w:ascii="Arial" w:hAnsi="Arial" w:cs="Arial"/>
          <w:iCs/>
          <w:sz w:val="22"/>
        </w:rPr>
        <w:t xml:space="preserve"> del contrato estatal</w:t>
      </w:r>
      <w:r w:rsidRPr="00D302B9">
        <w:rPr>
          <w:rFonts w:ascii="Arial" w:hAnsi="Arial" w:cs="Arial"/>
          <w:iCs/>
          <w:sz w:val="22"/>
        </w:rPr>
        <w:t xml:space="preserve">. </w:t>
      </w:r>
      <w:r w:rsidRPr="00D302B9" w:rsidR="007A1AEC">
        <w:rPr>
          <w:rFonts w:ascii="Arial" w:hAnsi="Arial" w:cs="Arial"/>
          <w:iCs/>
          <w:sz w:val="22"/>
        </w:rPr>
        <w:t>C</w:t>
      </w:r>
      <w:r w:rsidRPr="00D302B9">
        <w:rPr>
          <w:rFonts w:ascii="Arial" w:hAnsi="Arial" w:cs="Arial"/>
          <w:iCs/>
          <w:sz w:val="22"/>
        </w:rPr>
        <w:t xml:space="preserve">ontra </w:t>
      </w:r>
      <w:r w:rsidRPr="00D302B9" w:rsidR="007A1AEC">
        <w:rPr>
          <w:rFonts w:ascii="Arial" w:hAnsi="Arial" w:cs="Arial"/>
          <w:iCs/>
          <w:sz w:val="22"/>
        </w:rPr>
        <w:t>la decisión</w:t>
      </w:r>
      <w:r w:rsidRPr="00D302B9">
        <w:rPr>
          <w:rFonts w:ascii="Arial" w:hAnsi="Arial" w:cs="Arial"/>
          <w:iCs/>
          <w:sz w:val="22"/>
        </w:rPr>
        <w:t xml:space="preserve"> </w:t>
      </w:r>
      <w:r w:rsidRPr="00D302B9" w:rsidR="007A1AEC">
        <w:rPr>
          <w:rFonts w:ascii="Arial" w:hAnsi="Arial" w:cs="Arial"/>
          <w:iCs/>
          <w:sz w:val="22"/>
        </w:rPr>
        <w:t xml:space="preserve">únicamente </w:t>
      </w:r>
      <w:r w:rsidRPr="00D302B9">
        <w:rPr>
          <w:rFonts w:ascii="Arial" w:hAnsi="Arial" w:cs="Arial"/>
          <w:iCs/>
          <w:sz w:val="22"/>
        </w:rPr>
        <w:t xml:space="preserve">procede el recurso de reposición que se interpondrá, sustentará y </w:t>
      </w:r>
      <w:r w:rsidRPr="00D302B9">
        <w:rPr>
          <w:rFonts w:ascii="Arial" w:hAnsi="Arial" w:cs="Arial"/>
          <w:iCs/>
          <w:sz w:val="22"/>
        </w:rPr>
        <w:lastRenderedPageBreak/>
        <w:t xml:space="preserve">decidirá en la misma </w:t>
      </w:r>
      <w:r w:rsidRPr="00D302B9" w:rsidR="00F52805">
        <w:rPr>
          <w:rFonts w:ascii="Arial" w:hAnsi="Arial" w:cs="Arial"/>
          <w:iCs/>
          <w:sz w:val="22"/>
        </w:rPr>
        <w:t>diligencia</w:t>
      </w:r>
      <w:r w:rsidRPr="00D302B9">
        <w:rPr>
          <w:rFonts w:ascii="Arial" w:hAnsi="Arial" w:cs="Arial"/>
          <w:iCs/>
          <w:sz w:val="22"/>
        </w:rPr>
        <w:t xml:space="preserve">. </w:t>
      </w:r>
      <w:r w:rsidRPr="00D302B9" w:rsidR="00074152">
        <w:rPr>
          <w:rFonts w:ascii="Arial" w:hAnsi="Arial" w:cs="Arial"/>
          <w:iCs/>
          <w:sz w:val="22"/>
        </w:rPr>
        <w:t>Ambas decisiones</w:t>
      </w:r>
      <w:r w:rsidRPr="00D302B9">
        <w:rPr>
          <w:rFonts w:ascii="Arial" w:hAnsi="Arial" w:cs="Arial"/>
          <w:iCs/>
          <w:sz w:val="22"/>
        </w:rPr>
        <w:t xml:space="preserve"> se entenderá</w:t>
      </w:r>
      <w:r w:rsidRPr="00D302B9" w:rsidR="007A1AEC">
        <w:rPr>
          <w:rFonts w:ascii="Arial" w:hAnsi="Arial" w:cs="Arial"/>
          <w:iCs/>
          <w:sz w:val="22"/>
        </w:rPr>
        <w:t>n</w:t>
      </w:r>
      <w:r w:rsidRPr="00D302B9">
        <w:rPr>
          <w:rFonts w:ascii="Arial" w:hAnsi="Arial" w:cs="Arial"/>
          <w:iCs/>
          <w:sz w:val="22"/>
        </w:rPr>
        <w:t xml:space="preserve"> notificada</w:t>
      </w:r>
      <w:r w:rsidRPr="00D302B9" w:rsidR="007A1AEC">
        <w:rPr>
          <w:rFonts w:ascii="Arial" w:hAnsi="Arial" w:cs="Arial"/>
          <w:iCs/>
          <w:sz w:val="22"/>
        </w:rPr>
        <w:t>s</w:t>
      </w:r>
      <w:r w:rsidRPr="00D302B9">
        <w:rPr>
          <w:rFonts w:ascii="Arial" w:hAnsi="Arial" w:cs="Arial"/>
          <w:iCs/>
          <w:sz w:val="22"/>
        </w:rPr>
        <w:t xml:space="preserve"> en audiencia. </w:t>
      </w:r>
      <w:r w:rsidRPr="00D302B9" w:rsidR="00D8326B">
        <w:rPr>
          <w:rFonts w:ascii="Arial" w:hAnsi="Arial" w:cs="Arial"/>
          <w:iCs/>
          <w:sz w:val="22"/>
        </w:rPr>
        <w:t>Lo anterior, por supuesto, sin perjuicio del control judicial que podría llegar a efectuarse.</w:t>
      </w:r>
    </w:p>
    <w:p w:rsidRPr="00D302B9" w:rsidR="0007366C" w:rsidP="00C8605E" w:rsidRDefault="0007366C" w14:paraId="460F3999" w14:textId="3E108952">
      <w:pPr>
        <w:spacing w:before="120" w:line="276" w:lineRule="auto"/>
        <w:ind w:right="142" w:firstLine="709"/>
        <w:jc w:val="both"/>
        <w:rPr>
          <w:rFonts w:ascii="Arial" w:hAnsi="Arial" w:cs="Arial"/>
          <w:iCs/>
          <w:sz w:val="22"/>
        </w:rPr>
      </w:pPr>
      <w:r w:rsidRPr="00D302B9">
        <w:rPr>
          <w:rFonts w:ascii="Arial" w:hAnsi="Arial" w:cs="Arial"/>
          <w:iCs/>
          <w:sz w:val="22"/>
        </w:rPr>
        <w:t xml:space="preserve">En este sentido, </w:t>
      </w:r>
      <w:r w:rsidRPr="00D302B9" w:rsidR="00D8326B">
        <w:rPr>
          <w:rFonts w:ascii="Arial" w:hAnsi="Arial" w:cs="Arial"/>
          <w:iCs/>
          <w:sz w:val="22"/>
        </w:rPr>
        <w:t xml:space="preserve">la entidad </w:t>
      </w:r>
      <w:r w:rsidRPr="00D302B9">
        <w:rPr>
          <w:rFonts w:ascii="Arial" w:hAnsi="Arial" w:cs="Arial"/>
          <w:iCs/>
          <w:sz w:val="22"/>
        </w:rPr>
        <w:t xml:space="preserve">está facultada para cuantificar los perjuicios </w:t>
      </w:r>
      <w:r w:rsidRPr="00D302B9" w:rsidR="00D8326B">
        <w:rPr>
          <w:rFonts w:ascii="Arial" w:hAnsi="Arial" w:cs="Arial"/>
          <w:iCs/>
          <w:sz w:val="22"/>
        </w:rPr>
        <w:t xml:space="preserve">causados </w:t>
      </w:r>
      <w:r w:rsidRPr="00D302B9">
        <w:rPr>
          <w:rFonts w:ascii="Arial" w:hAnsi="Arial" w:cs="Arial"/>
          <w:iCs/>
          <w:sz w:val="22"/>
        </w:rPr>
        <w:t xml:space="preserve">por el incumplimiento del contratista, previa declaración </w:t>
      </w:r>
      <w:proofErr w:type="gramStart"/>
      <w:r w:rsidRPr="00D302B9">
        <w:rPr>
          <w:rFonts w:ascii="Arial" w:hAnsi="Arial" w:cs="Arial"/>
          <w:iCs/>
          <w:sz w:val="22"/>
        </w:rPr>
        <w:t>del mismo</w:t>
      </w:r>
      <w:proofErr w:type="gramEnd"/>
      <w:r w:rsidRPr="00D302B9" w:rsidR="00D8326B">
        <w:rPr>
          <w:rFonts w:ascii="Arial" w:hAnsi="Arial" w:cs="Arial"/>
          <w:iCs/>
          <w:sz w:val="22"/>
        </w:rPr>
        <w:t xml:space="preserve"> y </w:t>
      </w:r>
      <w:r w:rsidRPr="00D302B9">
        <w:rPr>
          <w:rFonts w:ascii="Arial" w:hAnsi="Arial" w:cs="Arial"/>
          <w:iCs/>
          <w:sz w:val="22"/>
        </w:rPr>
        <w:t xml:space="preserve">luego de haberse surtido </w:t>
      </w:r>
      <w:r w:rsidRPr="00D302B9" w:rsidR="00D8326B">
        <w:rPr>
          <w:rFonts w:ascii="Arial" w:hAnsi="Arial" w:cs="Arial"/>
          <w:iCs/>
          <w:sz w:val="22"/>
        </w:rPr>
        <w:t>el trámite antes referido</w:t>
      </w:r>
      <w:r w:rsidRPr="00D302B9" w:rsidR="00312650">
        <w:rPr>
          <w:rFonts w:ascii="Arial" w:hAnsi="Arial" w:cs="Arial"/>
          <w:iCs/>
          <w:sz w:val="22"/>
        </w:rPr>
        <w:t>. Esta facultad</w:t>
      </w:r>
      <w:r w:rsidRPr="00D302B9" w:rsidR="00D8326B">
        <w:rPr>
          <w:rFonts w:ascii="Arial" w:hAnsi="Arial" w:cs="Arial"/>
          <w:iCs/>
          <w:sz w:val="22"/>
        </w:rPr>
        <w:t xml:space="preserve">, en palabras de la Corte Constitucional, «[…] </w:t>
      </w:r>
      <w:r w:rsidRPr="00D302B9" w:rsidR="00312650">
        <w:rPr>
          <w:rFonts w:ascii="Arial" w:hAnsi="Arial" w:cs="Arial"/>
          <w:iCs/>
          <w:sz w:val="22"/>
        </w:rPr>
        <w:t xml:space="preserve">está reglada </w:t>
      </w:r>
      <w:r w:rsidRPr="00D302B9">
        <w:rPr>
          <w:rFonts w:ascii="Arial" w:hAnsi="Arial" w:cs="Arial"/>
          <w:iCs/>
          <w:sz w:val="22"/>
        </w:rPr>
        <w:t>y se ejerce conforme a un procedimiento administrativo, del que debe darse cuenta en un acto administrativo motivado, de tal suerte que la cuantificación de los perjuicios no obedece a la mera discrecionalidad de la entidad estatal, ni es fruto de su capricho</w:t>
      </w:r>
      <w:r w:rsidRPr="00D302B9" w:rsidR="00D8326B">
        <w:rPr>
          <w:rFonts w:ascii="Arial" w:hAnsi="Arial" w:cs="Arial"/>
          <w:iCs/>
          <w:sz w:val="22"/>
        </w:rPr>
        <w:t xml:space="preserve"> […]»</w:t>
      </w:r>
      <w:r w:rsidRPr="00D302B9" w:rsidR="00D8326B">
        <w:rPr>
          <w:rStyle w:val="Refdenotaalpie"/>
          <w:rFonts w:ascii="Arial" w:hAnsi="Arial" w:cs="Arial"/>
          <w:iCs/>
          <w:sz w:val="22"/>
        </w:rPr>
        <w:footnoteReference w:id="7"/>
      </w:r>
      <w:r w:rsidRPr="00D302B9" w:rsidR="00D8326B">
        <w:rPr>
          <w:rFonts w:ascii="Arial" w:hAnsi="Arial" w:cs="Arial"/>
          <w:iCs/>
          <w:sz w:val="22"/>
        </w:rPr>
        <w:t>.</w:t>
      </w:r>
    </w:p>
    <w:p w:rsidRPr="00D302B9" w:rsidR="00263923" w:rsidP="00263923" w:rsidRDefault="00263923" w14:paraId="448098E5" w14:textId="793E2D4D">
      <w:pPr>
        <w:spacing w:before="120" w:line="276" w:lineRule="auto"/>
        <w:ind w:right="142" w:firstLine="709"/>
        <w:jc w:val="both"/>
        <w:rPr>
          <w:rFonts w:ascii="Arial" w:hAnsi="Arial" w:eastAsia="Calibri" w:cs="Arial"/>
          <w:sz w:val="22"/>
          <w:lang w:val="es-ES_tradnl"/>
        </w:rPr>
      </w:pPr>
      <w:r w:rsidRPr="00D302B9">
        <w:rPr>
          <w:rFonts w:ascii="Arial" w:hAnsi="Arial" w:cs="Arial"/>
          <w:iCs/>
          <w:sz w:val="22"/>
        </w:rPr>
        <w:t>Valga la pena precisar que e</w:t>
      </w:r>
      <w:r w:rsidRPr="00D302B9">
        <w:rPr>
          <w:rFonts w:ascii="Arial" w:hAnsi="Arial" w:eastAsia="Calibri" w:cs="Arial"/>
          <w:sz w:val="22"/>
          <w:lang w:val="es-ES_tradnl"/>
        </w:rPr>
        <w:t>l artículo 86 de la Ley 1474 de 2011 regula un procedimiento administrativo sancionatorio dirigido a sujetos específicos: las entidades sometidas al Estatuto General de Contratación de la Administración Pública, es decir, a la Ley 80 de 1993 y a la Ley 1150 de 2007</w:t>
      </w:r>
      <w:r w:rsidRPr="00D302B9">
        <w:rPr>
          <w:rStyle w:val="Refdenotaalpie"/>
          <w:rFonts w:ascii="Arial" w:hAnsi="Arial" w:eastAsia="Calibri" w:cs="Arial"/>
          <w:sz w:val="22"/>
          <w:lang w:val="es-ES_tradnl"/>
        </w:rPr>
        <w:footnoteReference w:id="8"/>
      </w:r>
      <w:r w:rsidRPr="00D302B9">
        <w:rPr>
          <w:rFonts w:ascii="Arial" w:hAnsi="Arial" w:eastAsia="Calibri" w:cs="Arial"/>
          <w:sz w:val="22"/>
          <w:lang w:val="es-ES_tradnl"/>
        </w:rPr>
        <w:t>. De ahí que las entidades de régimen especial en materia contractual no pueden aplicar el procedimiento administrativo sancionatorio regulado en el artículo 86 de la Ley 1474 de 2011, al no ser entidades sometidas al Estatuto General de Contratación de la Administración Pública</w:t>
      </w:r>
      <w:r w:rsidRPr="00D302B9">
        <w:rPr>
          <w:rStyle w:val="Refdenotaalpie"/>
          <w:rFonts w:ascii="Arial" w:hAnsi="Arial" w:eastAsia="Calibri" w:cs="Arial"/>
          <w:sz w:val="22"/>
          <w:lang w:val="es-ES_tradnl"/>
        </w:rPr>
        <w:footnoteReference w:id="9"/>
      </w:r>
      <w:r w:rsidRPr="00D302B9">
        <w:rPr>
          <w:rFonts w:ascii="Arial" w:hAnsi="Arial" w:eastAsia="Calibri" w:cs="Arial"/>
          <w:sz w:val="22"/>
          <w:lang w:val="es-ES_tradnl"/>
        </w:rPr>
        <w:t>, sino, por el contrario, entidades exceptuadas de este.</w:t>
      </w:r>
    </w:p>
    <w:p w:rsidRPr="00D302B9" w:rsidR="00263923" w:rsidP="00263923" w:rsidRDefault="00263923" w14:paraId="14765193" w14:textId="248B23E1">
      <w:pPr>
        <w:spacing w:before="120" w:after="120" w:line="276" w:lineRule="auto"/>
        <w:ind w:firstLine="709"/>
        <w:jc w:val="both"/>
        <w:rPr>
          <w:rFonts w:ascii="Arial" w:hAnsi="Arial" w:eastAsia="Calibri" w:cs="Arial"/>
          <w:sz w:val="22"/>
          <w:lang w:val="es-ES_tradnl"/>
        </w:rPr>
      </w:pPr>
      <w:r w:rsidRPr="00D302B9">
        <w:rPr>
          <w:rFonts w:ascii="Arial" w:hAnsi="Arial" w:eastAsia="Calibri" w:cs="Arial"/>
          <w:sz w:val="22"/>
          <w:lang w:val="es-ES_tradnl"/>
        </w:rPr>
        <w:t xml:space="preserve">No se desconoce que en los últimos años se ha presentado un intenso debate al interior de la Sección Tercera del Consejo de Estado, acerca de la posibilidad de las </w:t>
      </w:r>
      <w:r w:rsidRPr="00D302B9">
        <w:rPr>
          <w:rFonts w:ascii="Arial" w:hAnsi="Arial" w:eastAsia="Calibri" w:cs="Arial"/>
          <w:sz w:val="22"/>
          <w:lang w:val="es-ES_tradnl"/>
        </w:rPr>
        <w:lastRenderedPageBreak/>
        <w:t>entidades con régimen especial de contratación de ejercer autotutela declarativa, imponiendo las sanciones pactadas en el contrato</w:t>
      </w:r>
      <w:r w:rsidRPr="00D302B9">
        <w:rPr>
          <w:rStyle w:val="Refdenotaalpie"/>
          <w:rFonts w:ascii="Arial" w:hAnsi="Arial" w:eastAsia="Calibri" w:cs="Arial"/>
          <w:sz w:val="22"/>
          <w:lang w:val="es-ES_tradnl"/>
        </w:rPr>
        <w:footnoteReference w:id="10"/>
      </w:r>
      <w:r w:rsidRPr="00D302B9">
        <w:rPr>
          <w:rFonts w:ascii="Arial" w:hAnsi="Arial" w:eastAsia="Calibri" w:cs="Arial"/>
          <w:sz w:val="22"/>
          <w:lang w:val="es-ES_tradnl"/>
        </w:rPr>
        <w:t>. Sin embargo, esta Subdirección considera que la potestad sancionatoria debe consagrarse expresamente en la ley para que sea viable su ejercicio y que no basta ello, sino que además se debe regular previamente y a nivel legal el procedimiento aplicable para la imposición de las sanciones. Ambas condiciones son la materialización de los principios de competencia y de legalidad de las formas propias de cada juicio, contenidas en el derecho fundamental al debido proceso, que rige también en las actuaciones administrativas, según lo indica el primer inciso del artículo 29 de la Constitución</w:t>
      </w:r>
      <w:r w:rsidRPr="00D302B9">
        <w:rPr>
          <w:rStyle w:val="Refdenotaalpie"/>
          <w:rFonts w:ascii="Arial" w:hAnsi="Arial" w:eastAsia="Calibri" w:cs="Arial"/>
          <w:sz w:val="22"/>
          <w:lang w:val="es-ES_tradnl"/>
        </w:rPr>
        <w:footnoteReference w:id="11"/>
      </w:r>
      <w:r w:rsidRPr="00D302B9">
        <w:rPr>
          <w:rFonts w:ascii="Arial" w:hAnsi="Arial" w:eastAsia="Calibri" w:cs="Arial"/>
          <w:sz w:val="22"/>
          <w:lang w:val="es-ES_tradnl"/>
        </w:rPr>
        <w:t xml:space="preserve"> y el artículo 3, numeral 1 de la Ley 1437 de 2011</w:t>
      </w:r>
      <w:r w:rsidRPr="00D302B9">
        <w:rPr>
          <w:rStyle w:val="Refdenotaalpie"/>
          <w:rFonts w:ascii="Arial" w:hAnsi="Arial" w:eastAsia="Calibri" w:cs="Arial"/>
          <w:sz w:val="22"/>
          <w:lang w:val="es-ES_tradnl"/>
        </w:rPr>
        <w:footnoteReference w:id="12"/>
      </w:r>
      <w:r w:rsidRPr="00D302B9">
        <w:rPr>
          <w:rFonts w:ascii="Arial" w:hAnsi="Arial" w:eastAsia="Calibri" w:cs="Arial"/>
          <w:sz w:val="22"/>
          <w:lang w:val="es-ES_tradnl"/>
        </w:rPr>
        <w:t xml:space="preserve">. </w:t>
      </w:r>
    </w:p>
    <w:p w:rsidRPr="00D302B9" w:rsidR="00263923" w:rsidP="00263923" w:rsidRDefault="00184025" w14:paraId="1A2439B7" w14:textId="0A535014">
      <w:pPr>
        <w:spacing w:before="120" w:after="120" w:line="276" w:lineRule="auto"/>
        <w:ind w:firstLine="709"/>
        <w:jc w:val="both"/>
        <w:rPr>
          <w:rFonts w:ascii="Arial" w:hAnsi="Arial" w:eastAsia="Calibri" w:cs="Arial"/>
          <w:sz w:val="22"/>
          <w:lang w:val="es-ES_tradnl"/>
        </w:rPr>
      </w:pPr>
      <w:r w:rsidRPr="00D302B9">
        <w:rPr>
          <w:rFonts w:ascii="Arial" w:hAnsi="Arial" w:eastAsia="Calibri" w:cs="Arial"/>
          <w:sz w:val="22"/>
          <w:lang w:val="es-ES_tradnl"/>
        </w:rPr>
        <w:t>Con todo</w:t>
      </w:r>
      <w:r w:rsidRPr="00D302B9" w:rsidR="00263923">
        <w:rPr>
          <w:rFonts w:ascii="Arial" w:hAnsi="Arial" w:eastAsia="Calibri" w:cs="Arial"/>
          <w:sz w:val="22"/>
          <w:lang w:val="es-ES_tradnl"/>
        </w:rPr>
        <w:t xml:space="preserve">, las entidades de régimen especial pueden pactar en el contrato que, ante el incumplimiento del contratista, se activará el derecho al pago de sanciones, como la multa o la cláusula penal pecuniaria, pero para hacerlas efectivas deberán acudir a la Jurisdicción de lo Contencioso Administrativo, en ejercicio del medio de control de controversias contractuales previsto en el artículo 141 de la Ley 1437 de 2011, que, como lo ha indicado </w:t>
      </w:r>
      <w:r w:rsidRPr="00D302B9" w:rsidR="00263923">
        <w:rPr>
          <w:rFonts w:ascii="Arial" w:hAnsi="Arial" w:eastAsia="Calibri" w:cs="Arial"/>
          <w:sz w:val="22"/>
          <w:lang w:val="es-ES_tradnl"/>
        </w:rPr>
        <w:lastRenderedPageBreak/>
        <w:t>la jurisprudencia, es un medio de control «</w:t>
      </w:r>
      <w:proofErr w:type="spellStart"/>
      <w:r w:rsidRPr="00D302B9" w:rsidR="00263923">
        <w:rPr>
          <w:rFonts w:ascii="Arial" w:hAnsi="Arial" w:eastAsia="Calibri" w:cs="Arial"/>
          <w:sz w:val="22"/>
          <w:lang w:val="es-ES_tradnl"/>
        </w:rPr>
        <w:t>pluripretensional</w:t>
      </w:r>
      <w:proofErr w:type="spellEnd"/>
      <w:r w:rsidRPr="00D302B9" w:rsidR="00263923">
        <w:rPr>
          <w:rFonts w:ascii="Arial" w:hAnsi="Arial" w:eastAsia="Calibri" w:cs="Arial"/>
          <w:sz w:val="22"/>
          <w:lang w:val="es-ES_tradnl"/>
        </w:rPr>
        <w:t>»</w:t>
      </w:r>
      <w:r w:rsidRPr="00D302B9" w:rsidR="00263923">
        <w:rPr>
          <w:rStyle w:val="Refdenotaalpie"/>
          <w:rFonts w:ascii="Arial" w:hAnsi="Arial" w:eastAsia="Calibri" w:cs="Arial"/>
          <w:sz w:val="22"/>
          <w:lang w:val="es-ES_tradnl"/>
        </w:rPr>
        <w:footnoteReference w:id="13"/>
      </w:r>
      <w:r w:rsidRPr="00D302B9" w:rsidR="00263923">
        <w:rPr>
          <w:rFonts w:ascii="Arial" w:hAnsi="Arial" w:eastAsia="Calibri" w:cs="Arial"/>
          <w:sz w:val="22"/>
          <w:lang w:val="es-ES_tradnl"/>
        </w:rPr>
        <w:t xml:space="preserve">, pues admite canalizar a través de él múltiples pretensiones, como la solicitud de declaratoria de incumplimiento y consecuencialmente la imposición de las sanciones estipuladas en el contrato. En efecto, dicho artículo establece que en la demanda se puede pedir «[…] que se declare su existencia o su nulidad, que se ordene su revisión, que se declare su incumplimiento, que se declare la nulidad de los actos administrativos contractuales, que se condene al responsable a indemnizar los perjuicios, y que se hagan otras declaraciones y condenas […]». </w:t>
      </w:r>
    </w:p>
    <w:p w:rsidRPr="00D302B9" w:rsidR="00263923" w:rsidP="00263923" w:rsidRDefault="00263923" w14:paraId="7AC6D5A1" w14:textId="0F097494">
      <w:pPr>
        <w:spacing w:before="120" w:after="120" w:line="276" w:lineRule="auto"/>
        <w:ind w:firstLine="709"/>
        <w:jc w:val="both"/>
        <w:rPr>
          <w:rFonts w:ascii="Arial" w:hAnsi="Arial" w:eastAsia="Calibri" w:cs="Arial"/>
          <w:sz w:val="22"/>
          <w:lang w:val="es-ES_tradnl"/>
        </w:rPr>
      </w:pPr>
      <w:r w:rsidRPr="00D302B9">
        <w:rPr>
          <w:rFonts w:ascii="Arial" w:hAnsi="Arial" w:eastAsia="Calibri" w:cs="Arial"/>
          <w:sz w:val="22"/>
          <w:lang w:val="es-ES_tradnl"/>
        </w:rPr>
        <w:t>No considera entonces esta Subdirección que</w:t>
      </w:r>
      <w:r w:rsidRPr="00D302B9" w:rsidR="004419FE">
        <w:rPr>
          <w:rFonts w:ascii="Arial" w:hAnsi="Arial" w:eastAsia="Calibri" w:cs="Arial"/>
          <w:sz w:val="22"/>
          <w:lang w:val="es-ES_tradnl"/>
        </w:rPr>
        <w:t xml:space="preserve"> las</w:t>
      </w:r>
      <w:r w:rsidRPr="00D302B9">
        <w:rPr>
          <w:rFonts w:ascii="Arial" w:hAnsi="Arial" w:eastAsia="Calibri" w:cs="Arial"/>
          <w:sz w:val="22"/>
          <w:lang w:val="es-ES_tradnl"/>
        </w:rPr>
        <w:t xml:space="preserve"> </w:t>
      </w:r>
      <w:r w:rsidRPr="00D302B9" w:rsidR="004419FE">
        <w:rPr>
          <w:rFonts w:ascii="Arial" w:hAnsi="Arial" w:eastAsia="Calibri" w:cs="Arial"/>
          <w:sz w:val="22"/>
          <w:lang w:val="es-ES_tradnl"/>
        </w:rPr>
        <w:t xml:space="preserve">entidades de régimen especial </w:t>
      </w:r>
      <w:r w:rsidRPr="00D302B9">
        <w:rPr>
          <w:rFonts w:ascii="Arial" w:hAnsi="Arial" w:eastAsia="Calibri" w:cs="Arial"/>
          <w:sz w:val="22"/>
          <w:lang w:val="es-ES_tradnl"/>
        </w:rPr>
        <w:t xml:space="preserve">tengan competencia para imponer unilateralmente sanciones contractuales. Pero, es más, aún si, en gracia de discusión, gozara de ella, el procedimiento administrativo que debería adelantar para la imposición de aquellas no podría ser el del artículo 86 de la Ley 1474 de 2011, porque, como se explicó, el primer inciso de dicha norma establece que rige para las entidades sometidas al Estatuto General de Contratación de la Administración Pública. Entonces, si se admitiera que las </w:t>
      </w:r>
      <w:r w:rsidRPr="00D302B9" w:rsidR="004419FE">
        <w:rPr>
          <w:rFonts w:ascii="Arial" w:hAnsi="Arial" w:eastAsia="Calibri" w:cs="Arial"/>
          <w:sz w:val="22"/>
          <w:lang w:val="es-ES_tradnl"/>
        </w:rPr>
        <w:t xml:space="preserve">entidades de régimen especial </w:t>
      </w:r>
      <w:r w:rsidRPr="00D302B9">
        <w:rPr>
          <w:rFonts w:ascii="Arial" w:hAnsi="Arial" w:eastAsia="Calibri" w:cs="Arial"/>
          <w:sz w:val="22"/>
          <w:lang w:val="es-ES_tradnl"/>
        </w:rPr>
        <w:t>pueden declarar mediante acto administrativo el incumplimiento, para hacer efectivas las sanciones contractuales, al no existir un procedimiento especial, tendrían que cumplir con el procedimiento administrativo sancionatorio regulado en los artículos 47 al 52 de la Ley 1437 de 2011, pues la primera de las referidas disposiciones establece, en armonía con el artículo 2 dicho Código –consagratorio del principio de subsidiariedad–, que «</w:t>
      </w:r>
      <w:r w:rsidRPr="00D302B9" w:rsidR="004419FE">
        <w:rPr>
          <w:rFonts w:ascii="Arial" w:hAnsi="Arial" w:eastAsia="Calibri" w:cs="Arial"/>
          <w:sz w:val="22"/>
          <w:lang w:val="es-ES_tradnl"/>
        </w:rPr>
        <w:t>[l]</w:t>
      </w:r>
      <w:r w:rsidRPr="00D302B9">
        <w:rPr>
          <w:rFonts w:ascii="Arial" w:hAnsi="Arial" w:eastAsia="Calibri" w:cs="Arial"/>
          <w:sz w:val="22"/>
          <w:lang w:val="es-ES_tradnl"/>
        </w:rPr>
        <w:t>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 Sin embargo, se reitera que esto solo sería en el evento de aceptarse que dichos órganos del Estado tienen competencia para imponer sanciones contractuales; lo que en realidad no sucede.</w:t>
      </w:r>
    </w:p>
    <w:p w:rsidRPr="00D302B9" w:rsidR="00263923" w:rsidP="00263923" w:rsidRDefault="00263923" w14:paraId="38FE6B83" w14:textId="52D744D5">
      <w:pPr>
        <w:spacing w:before="120" w:after="120" w:line="276" w:lineRule="auto"/>
        <w:ind w:firstLine="709"/>
        <w:jc w:val="both"/>
        <w:rPr>
          <w:rFonts w:ascii="Arial" w:hAnsi="Arial" w:eastAsia="Calibri" w:cs="Arial"/>
          <w:sz w:val="22"/>
          <w:lang w:val="es-ES_tradnl"/>
        </w:rPr>
      </w:pPr>
      <w:r w:rsidRPr="00D302B9">
        <w:rPr>
          <w:rFonts w:ascii="Arial" w:hAnsi="Arial" w:eastAsia="Calibri" w:cs="Arial"/>
          <w:sz w:val="22"/>
          <w:lang w:val="es-ES_tradnl"/>
        </w:rPr>
        <w:t>Hay entidades de régimen especial que tienen la competencia para declarar la caducidad –que, como se sabe, es una cláusula excepcional, que consiste en una sanción contractual por incumplimiento grave del contratista</w:t>
      </w:r>
      <w:r w:rsidRPr="00D302B9">
        <w:rPr>
          <w:rStyle w:val="Refdenotaalpie"/>
          <w:rFonts w:ascii="Arial" w:hAnsi="Arial" w:eastAsia="Calibri" w:cs="Arial"/>
          <w:sz w:val="22"/>
          <w:lang w:val="es-ES_tradnl"/>
        </w:rPr>
        <w:footnoteReference w:id="14"/>
      </w:r>
      <w:r w:rsidRPr="00D302B9">
        <w:rPr>
          <w:rFonts w:ascii="Arial" w:hAnsi="Arial" w:eastAsia="Calibri" w:cs="Arial"/>
          <w:sz w:val="22"/>
          <w:lang w:val="es-ES_tradnl"/>
        </w:rPr>
        <w:t xml:space="preserve">–, pues la ley las sujeta a las normas </w:t>
      </w:r>
      <w:r w:rsidRPr="00D302B9">
        <w:rPr>
          <w:rFonts w:ascii="Arial" w:hAnsi="Arial" w:eastAsia="Calibri" w:cs="Arial"/>
          <w:sz w:val="22"/>
          <w:lang w:val="es-ES_tradnl"/>
        </w:rPr>
        <w:lastRenderedPageBreak/>
        <w:t>de derecho privado, pero les permite el ejercicio de tales exorbitancias. Tal es el caso de las empresas prestadoras de servicios públicos domiciliarios</w:t>
      </w:r>
      <w:r w:rsidRPr="00D302B9">
        <w:rPr>
          <w:rStyle w:val="Refdenotaalpie"/>
          <w:rFonts w:ascii="Arial" w:hAnsi="Arial" w:eastAsia="Calibri" w:cs="Arial"/>
          <w:sz w:val="22"/>
          <w:lang w:val="es-ES_tradnl"/>
        </w:rPr>
        <w:footnoteReference w:id="15"/>
      </w:r>
      <w:r w:rsidRPr="00D302B9">
        <w:rPr>
          <w:rFonts w:ascii="Arial" w:hAnsi="Arial" w:eastAsia="Calibri" w:cs="Arial"/>
          <w:sz w:val="22"/>
          <w:lang w:val="es-ES_tradnl"/>
        </w:rPr>
        <w:t xml:space="preserve"> y de las empresas sociales del Estado</w:t>
      </w:r>
      <w:r w:rsidRPr="00D302B9">
        <w:rPr>
          <w:rStyle w:val="Refdenotaalpie"/>
          <w:rFonts w:ascii="Arial" w:hAnsi="Arial" w:eastAsia="Calibri" w:cs="Arial"/>
          <w:sz w:val="22"/>
          <w:lang w:val="es-ES_tradnl"/>
        </w:rPr>
        <w:footnoteReference w:id="16"/>
      </w:r>
      <w:r w:rsidRPr="00D302B9">
        <w:rPr>
          <w:rFonts w:ascii="Arial" w:hAnsi="Arial" w:eastAsia="Calibri" w:cs="Arial"/>
          <w:sz w:val="22"/>
          <w:lang w:val="es-ES_tradnl"/>
        </w:rPr>
        <w:t>. En tales eventos, las entidades de régimen especial deben aplicar el procedimiento administrativo sancionatorio del artículo 86 de la Ley 1474 de 2011, ya que en el pacto e imposición de la caducidad se consideran entidades sometidas al Estatuto General de Contratación de la Administración Pública.</w:t>
      </w:r>
    </w:p>
    <w:p w:rsidRPr="00D302B9" w:rsidR="001B3A83" w:rsidP="00764457" w:rsidRDefault="001B3A83" w14:paraId="60F940D4" w14:textId="7FAF96E5">
      <w:pPr>
        <w:spacing w:before="120" w:line="276" w:lineRule="auto"/>
        <w:ind w:right="142" w:firstLine="709"/>
        <w:jc w:val="both"/>
        <w:rPr>
          <w:rFonts w:ascii="Arial" w:hAnsi="Arial" w:cs="Arial"/>
          <w:iCs/>
          <w:sz w:val="22"/>
          <w:lang w:val="es-ES_tradnl"/>
        </w:rPr>
      </w:pPr>
      <w:r w:rsidRPr="00D302B9">
        <w:rPr>
          <w:rFonts w:ascii="Arial" w:hAnsi="Arial" w:cs="Arial"/>
          <w:iCs/>
          <w:sz w:val="22"/>
          <w:lang w:val="es-ES_tradnl"/>
        </w:rPr>
        <w:t xml:space="preserve">Igualmente, </w:t>
      </w:r>
      <w:r w:rsidRPr="00D302B9" w:rsidR="004419FE">
        <w:rPr>
          <w:rFonts w:ascii="Arial" w:hAnsi="Arial" w:cs="Arial"/>
          <w:iCs/>
          <w:sz w:val="22"/>
          <w:lang w:val="es-ES_tradnl"/>
        </w:rPr>
        <w:t xml:space="preserve">en relación con la dosificación, atenuantes y agravantes en los </w:t>
      </w:r>
      <w:r w:rsidRPr="00D302B9" w:rsidR="00A90B16">
        <w:rPr>
          <w:rFonts w:ascii="Arial" w:hAnsi="Arial" w:cs="Arial"/>
          <w:iCs/>
          <w:sz w:val="22"/>
          <w:lang w:val="es-ES_tradnl"/>
        </w:rPr>
        <w:t xml:space="preserve">procedimientos </w:t>
      </w:r>
      <w:r w:rsidRPr="00D302B9" w:rsidR="004419FE">
        <w:rPr>
          <w:rFonts w:ascii="Arial" w:hAnsi="Arial" w:cs="Arial"/>
          <w:iCs/>
          <w:sz w:val="22"/>
          <w:lang w:val="es-ES_tradnl"/>
        </w:rPr>
        <w:t xml:space="preserve">sancionatorios contractuales, </w:t>
      </w:r>
      <w:r w:rsidRPr="00D302B9">
        <w:rPr>
          <w:rFonts w:ascii="Arial" w:hAnsi="Arial" w:cs="Arial"/>
          <w:iCs/>
          <w:sz w:val="22"/>
          <w:lang w:val="es-ES_tradnl"/>
        </w:rPr>
        <w:t>también resulta procedente la aplicación de los criterios establecidos en</w:t>
      </w:r>
      <w:r w:rsidRPr="00D302B9" w:rsidR="004419FE">
        <w:rPr>
          <w:rFonts w:ascii="Arial" w:hAnsi="Arial" w:cs="Arial"/>
          <w:iCs/>
          <w:sz w:val="22"/>
          <w:lang w:val="es-ES_tradnl"/>
        </w:rPr>
        <w:t xml:space="preserve"> el artículo 50 de la Ley 1437 de 2011</w:t>
      </w:r>
      <w:r w:rsidRPr="00D302B9">
        <w:rPr>
          <w:rFonts w:ascii="Arial" w:hAnsi="Arial" w:cs="Arial"/>
          <w:iCs/>
          <w:sz w:val="22"/>
          <w:lang w:val="es-ES_tradnl"/>
        </w:rPr>
        <w:t>, norma que</w:t>
      </w:r>
      <w:r w:rsidRPr="00D302B9" w:rsidR="004419FE">
        <w:rPr>
          <w:rFonts w:ascii="Arial" w:hAnsi="Arial" w:cs="Arial"/>
          <w:iCs/>
          <w:sz w:val="22"/>
          <w:lang w:val="es-ES_tradnl"/>
        </w:rPr>
        <w:t xml:space="preserve"> </w:t>
      </w:r>
      <w:r w:rsidRPr="00D302B9" w:rsidR="007E3BD0">
        <w:rPr>
          <w:rFonts w:ascii="Arial" w:hAnsi="Arial" w:cs="Arial"/>
          <w:iCs/>
          <w:sz w:val="22"/>
          <w:lang w:val="es-ES_tradnl"/>
        </w:rPr>
        <w:t>contiene «criterios de graduación de las sanciones»</w:t>
      </w:r>
      <w:r w:rsidRPr="00D302B9">
        <w:rPr>
          <w:rFonts w:ascii="Arial" w:hAnsi="Arial" w:cs="Arial"/>
          <w:iCs/>
          <w:sz w:val="22"/>
          <w:lang w:val="es-ES_tradnl"/>
        </w:rPr>
        <w:t xml:space="preserve">. Sin embargo, se debe precisar que </w:t>
      </w:r>
      <w:r w:rsidRPr="00D302B9" w:rsidR="007E3BD0">
        <w:rPr>
          <w:rFonts w:ascii="Arial" w:hAnsi="Arial" w:cs="Arial"/>
          <w:iCs/>
          <w:sz w:val="22"/>
          <w:lang w:val="es-ES_tradnl"/>
        </w:rPr>
        <w:t xml:space="preserve">solo se puede acudir a los criterios allí establecidos </w:t>
      </w:r>
      <w:r w:rsidRPr="00D302B9" w:rsidR="004419FE">
        <w:rPr>
          <w:rFonts w:ascii="Arial" w:hAnsi="Arial" w:cs="Arial"/>
          <w:iCs/>
          <w:sz w:val="22"/>
          <w:lang w:val="es-ES_tradnl"/>
        </w:rPr>
        <w:t xml:space="preserve">«cuando resultaren aplicables», lo cual, a nuestro juicio, </w:t>
      </w:r>
      <w:r w:rsidRPr="00D302B9">
        <w:rPr>
          <w:rFonts w:ascii="Arial" w:hAnsi="Arial" w:cs="Arial"/>
          <w:iCs/>
          <w:sz w:val="22"/>
          <w:lang w:val="es-ES_tradnl"/>
        </w:rPr>
        <w:t xml:space="preserve">significa que primero se debe </w:t>
      </w:r>
      <w:r w:rsidRPr="00D302B9" w:rsidR="00764457">
        <w:rPr>
          <w:rFonts w:ascii="Arial" w:hAnsi="Arial" w:cs="Arial"/>
          <w:iCs/>
          <w:sz w:val="22"/>
          <w:lang w:val="es-ES_tradnl"/>
        </w:rPr>
        <w:t>acudir a l</w:t>
      </w:r>
      <w:r w:rsidRPr="00D302B9" w:rsidR="003A1CB8">
        <w:rPr>
          <w:rFonts w:ascii="Arial" w:hAnsi="Arial" w:cs="Arial"/>
          <w:iCs/>
          <w:sz w:val="22"/>
          <w:lang w:val="es-ES_tradnl"/>
        </w:rPr>
        <w:t>o</w:t>
      </w:r>
      <w:r w:rsidRPr="00D302B9" w:rsidR="00764457">
        <w:rPr>
          <w:rFonts w:ascii="Arial" w:hAnsi="Arial" w:cs="Arial"/>
          <w:iCs/>
          <w:sz w:val="22"/>
          <w:lang w:val="es-ES_tradnl"/>
        </w:rPr>
        <w:t>s</w:t>
      </w:r>
      <w:r w:rsidRPr="00D302B9" w:rsidR="003A1CB8">
        <w:rPr>
          <w:rFonts w:ascii="Arial" w:hAnsi="Arial" w:cs="Arial"/>
          <w:iCs/>
          <w:sz w:val="22"/>
          <w:lang w:val="es-ES_tradnl"/>
        </w:rPr>
        <w:t xml:space="preserve"> criterios establecidos en las</w:t>
      </w:r>
      <w:r w:rsidRPr="00D302B9" w:rsidR="00764457">
        <w:rPr>
          <w:rFonts w:ascii="Arial" w:hAnsi="Arial" w:cs="Arial"/>
          <w:iCs/>
          <w:sz w:val="22"/>
          <w:lang w:val="es-ES_tradnl"/>
        </w:rPr>
        <w:t xml:space="preserve"> disposiciones civiles y comerciales</w:t>
      </w:r>
      <w:r w:rsidRPr="00D302B9">
        <w:rPr>
          <w:rFonts w:ascii="Arial" w:hAnsi="Arial" w:cs="Arial"/>
          <w:iCs/>
          <w:sz w:val="22"/>
          <w:lang w:val="es-ES_tradnl"/>
        </w:rPr>
        <w:t xml:space="preserve">, por disposición de los artículos </w:t>
      </w:r>
      <w:r w:rsidRPr="00D302B9" w:rsidR="00764457">
        <w:rPr>
          <w:rFonts w:ascii="Arial" w:hAnsi="Arial" w:cs="Arial"/>
          <w:iCs/>
          <w:sz w:val="22"/>
          <w:lang w:val="es-ES_tradnl"/>
        </w:rPr>
        <w:t>13, 32 y 40</w:t>
      </w:r>
      <w:r w:rsidRPr="00D302B9">
        <w:rPr>
          <w:rFonts w:ascii="Arial" w:hAnsi="Arial" w:cs="Arial"/>
          <w:iCs/>
          <w:sz w:val="22"/>
          <w:lang w:val="es-ES_tradnl"/>
        </w:rPr>
        <w:t xml:space="preserve"> de la Ley 80 de 1993</w:t>
      </w:r>
      <w:r w:rsidRPr="00D302B9" w:rsidR="007E3BD0">
        <w:rPr>
          <w:rFonts w:ascii="Arial" w:hAnsi="Arial" w:cs="Arial"/>
          <w:iCs/>
          <w:sz w:val="22"/>
          <w:lang w:val="es-ES_tradnl"/>
        </w:rPr>
        <w:t xml:space="preserve">. </w:t>
      </w:r>
      <w:r w:rsidRPr="00D302B9" w:rsidR="00764457">
        <w:rPr>
          <w:rFonts w:ascii="Arial" w:hAnsi="Arial" w:cs="Arial"/>
          <w:iCs/>
          <w:sz w:val="22"/>
          <w:lang w:val="es-ES_tradnl"/>
        </w:rPr>
        <w:t xml:space="preserve">Por ejemplo, el artículo 1596 del Código Civil reconoce la posibilidad de rebajar la pena cuando «el deudor cumple solamente una parte de la obligación principal y el acreedor acepta esta parte». Igualmente, el artículo 1601 </w:t>
      </w:r>
      <w:r w:rsidRPr="00D302B9" w:rsidR="00764457">
        <w:rPr>
          <w:rFonts w:ascii="Arial" w:hAnsi="Arial" w:cs="Arial"/>
          <w:i/>
          <w:sz w:val="22"/>
          <w:lang w:val="es-ES_tradnl"/>
        </w:rPr>
        <w:t xml:space="preserve">ibidem </w:t>
      </w:r>
      <w:r w:rsidRPr="00D302B9" w:rsidR="00EA11CC">
        <w:rPr>
          <w:rFonts w:ascii="Arial" w:hAnsi="Arial" w:cs="Arial"/>
          <w:iCs/>
          <w:sz w:val="22"/>
          <w:lang w:val="es-ES_tradnl"/>
        </w:rPr>
        <w:t>establece un criterio de proporcionalidad de la cláusula penal</w:t>
      </w:r>
      <w:r w:rsidRPr="00D302B9" w:rsidR="00764457">
        <w:rPr>
          <w:rFonts w:ascii="Arial" w:hAnsi="Arial" w:cs="Arial"/>
          <w:iCs/>
          <w:sz w:val="22"/>
          <w:lang w:val="es-ES_tradnl"/>
        </w:rPr>
        <w:t>. E</w:t>
      </w:r>
      <w:r w:rsidRPr="00D302B9" w:rsidR="00EA11CC">
        <w:rPr>
          <w:rFonts w:ascii="Arial" w:hAnsi="Arial" w:cs="Arial"/>
          <w:iCs/>
          <w:sz w:val="22"/>
          <w:lang w:val="es-ES_tradnl"/>
        </w:rPr>
        <w:t>n</w:t>
      </w:r>
      <w:r w:rsidRPr="00D302B9" w:rsidR="00764457">
        <w:rPr>
          <w:rFonts w:ascii="Arial" w:hAnsi="Arial" w:cs="Arial"/>
          <w:iCs/>
          <w:sz w:val="22"/>
          <w:lang w:val="es-ES_tradnl"/>
        </w:rPr>
        <w:t xml:space="preserve"> ambos casos, </w:t>
      </w:r>
      <w:r w:rsidRPr="00D302B9" w:rsidR="00EA11CC">
        <w:rPr>
          <w:rFonts w:ascii="Arial" w:hAnsi="Arial" w:cs="Arial"/>
          <w:iCs/>
          <w:sz w:val="22"/>
          <w:lang w:val="es-ES_tradnl"/>
        </w:rPr>
        <w:t xml:space="preserve">se resalta, se trata de normas </w:t>
      </w:r>
      <w:r w:rsidRPr="00D302B9" w:rsidR="00EA11CC">
        <w:rPr>
          <w:rFonts w:ascii="Arial" w:hAnsi="Arial" w:cs="Arial"/>
          <w:iCs/>
          <w:sz w:val="22"/>
          <w:lang w:val="es-ES_tradnl"/>
        </w:rPr>
        <w:lastRenderedPageBreak/>
        <w:t>a las que se puede acudir de forma «subsidiaria» ante el silencio de las partes del contrato</w:t>
      </w:r>
      <w:r w:rsidRPr="00D302B9" w:rsidR="000971EC">
        <w:rPr>
          <w:rFonts w:ascii="Arial" w:hAnsi="Arial" w:cs="Arial"/>
          <w:iCs/>
          <w:sz w:val="22"/>
          <w:lang w:val="es-ES_tradnl"/>
        </w:rPr>
        <w:t xml:space="preserve">, previo a la aplicación del </w:t>
      </w:r>
      <w:r w:rsidRPr="00D302B9" w:rsidR="003E4912">
        <w:rPr>
          <w:rFonts w:ascii="Arial" w:hAnsi="Arial" w:cs="Arial"/>
          <w:iCs/>
          <w:sz w:val="22"/>
          <w:lang w:val="es-ES_tradnl"/>
        </w:rPr>
        <w:t xml:space="preserve">antes </w:t>
      </w:r>
      <w:r w:rsidRPr="00D302B9" w:rsidR="000D3D58">
        <w:rPr>
          <w:rFonts w:ascii="Arial" w:hAnsi="Arial" w:cs="Arial"/>
          <w:iCs/>
          <w:sz w:val="22"/>
          <w:lang w:val="es-ES_tradnl"/>
        </w:rPr>
        <w:t>mencionado</w:t>
      </w:r>
      <w:r w:rsidRPr="00D302B9" w:rsidR="003E4912">
        <w:rPr>
          <w:rFonts w:ascii="Arial" w:hAnsi="Arial" w:cs="Arial"/>
          <w:iCs/>
          <w:sz w:val="22"/>
          <w:lang w:val="es-ES_tradnl"/>
        </w:rPr>
        <w:t xml:space="preserve"> </w:t>
      </w:r>
      <w:r w:rsidRPr="00D302B9" w:rsidR="000971EC">
        <w:rPr>
          <w:rFonts w:ascii="Arial" w:hAnsi="Arial" w:cs="Arial"/>
          <w:iCs/>
          <w:sz w:val="22"/>
          <w:lang w:val="es-ES_tradnl"/>
        </w:rPr>
        <w:t>artículo 50</w:t>
      </w:r>
      <w:r w:rsidRPr="00D302B9" w:rsidR="003E4912">
        <w:rPr>
          <w:rFonts w:ascii="Arial" w:hAnsi="Arial" w:cs="Arial"/>
          <w:iCs/>
          <w:sz w:val="22"/>
          <w:lang w:val="es-ES_tradnl"/>
        </w:rPr>
        <w:t>.</w:t>
      </w:r>
    </w:p>
    <w:p w:rsidRPr="00D302B9" w:rsidR="00263923" w:rsidP="00B43468" w:rsidRDefault="004419FE" w14:paraId="667AFBC0" w14:textId="4FCD31EA">
      <w:pPr>
        <w:spacing w:before="120" w:line="276" w:lineRule="auto"/>
        <w:ind w:right="142" w:firstLine="709"/>
        <w:jc w:val="both"/>
        <w:rPr>
          <w:rFonts w:ascii="Arial" w:hAnsi="Arial" w:cs="Arial"/>
          <w:iCs/>
          <w:sz w:val="22"/>
          <w:lang w:val="es-ES_tradnl"/>
        </w:rPr>
      </w:pPr>
      <w:r w:rsidRPr="00D302B9">
        <w:rPr>
          <w:rFonts w:ascii="Arial" w:hAnsi="Arial" w:cs="Arial"/>
          <w:iCs/>
          <w:sz w:val="22"/>
          <w:lang w:val="es-ES_tradnl"/>
        </w:rPr>
        <w:t xml:space="preserve">La regla general, entonces, es que las partes </w:t>
      </w:r>
      <w:r w:rsidRPr="00D302B9" w:rsidR="007E3BD0">
        <w:rPr>
          <w:rFonts w:ascii="Arial" w:hAnsi="Arial" w:cs="Arial"/>
          <w:iCs/>
          <w:sz w:val="22"/>
          <w:lang w:val="es-ES_tradnl"/>
        </w:rPr>
        <w:t xml:space="preserve">estipulen </w:t>
      </w:r>
      <w:r w:rsidRPr="00D302B9">
        <w:rPr>
          <w:rFonts w:ascii="Arial" w:hAnsi="Arial" w:cs="Arial"/>
          <w:iCs/>
          <w:sz w:val="22"/>
          <w:lang w:val="es-ES_tradnl"/>
        </w:rPr>
        <w:t xml:space="preserve">lo relacionado con </w:t>
      </w:r>
      <w:r w:rsidRPr="00D302B9" w:rsidR="00DC4E81">
        <w:rPr>
          <w:rFonts w:ascii="Arial" w:hAnsi="Arial" w:cs="Arial"/>
          <w:iCs/>
          <w:sz w:val="22"/>
          <w:lang w:val="es-ES_tradnl"/>
        </w:rPr>
        <w:t>la tipificación de la multa y la cláusula penal pecuniaria</w:t>
      </w:r>
      <w:r w:rsidRPr="00D302B9" w:rsidR="007E3BD0">
        <w:rPr>
          <w:rFonts w:ascii="Arial" w:hAnsi="Arial" w:cs="Arial"/>
          <w:iCs/>
          <w:sz w:val="22"/>
          <w:lang w:val="es-ES_tradnl"/>
        </w:rPr>
        <w:t>, incluido lo referente a la dosificación, atenuantes y agravantes</w:t>
      </w:r>
      <w:r w:rsidRPr="00D302B9">
        <w:rPr>
          <w:rFonts w:ascii="Arial" w:hAnsi="Arial" w:cs="Arial"/>
          <w:iCs/>
          <w:sz w:val="22"/>
          <w:lang w:val="es-ES_tradnl"/>
        </w:rPr>
        <w:t>, claro está, sin exceder los límites legales y sin incurrir en abuso del derecho.</w:t>
      </w:r>
      <w:r w:rsidRPr="00D302B9" w:rsidR="007E3BD0">
        <w:rPr>
          <w:rFonts w:ascii="Arial" w:hAnsi="Arial" w:cs="Arial"/>
          <w:iCs/>
          <w:sz w:val="22"/>
          <w:lang w:val="es-ES_tradnl"/>
        </w:rPr>
        <w:t xml:space="preserve"> Ante el silencio de estas, lo procedente sería, pues, acudir </w:t>
      </w:r>
      <w:r w:rsidRPr="00D302B9" w:rsidR="00EA11CC">
        <w:rPr>
          <w:rFonts w:ascii="Arial" w:hAnsi="Arial" w:cs="Arial"/>
          <w:iCs/>
          <w:sz w:val="22"/>
          <w:lang w:val="es-ES_tradnl"/>
        </w:rPr>
        <w:t>a las normas del derecho privado</w:t>
      </w:r>
      <w:r w:rsidRPr="00D302B9" w:rsidR="001B3A83">
        <w:rPr>
          <w:rFonts w:ascii="Arial" w:hAnsi="Arial" w:cs="Arial"/>
          <w:iCs/>
          <w:sz w:val="22"/>
          <w:lang w:val="es-ES_tradnl"/>
        </w:rPr>
        <w:t xml:space="preserve"> y, eventualmente, a</w:t>
      </w:r>
      <w:r w:rsidRPr="00D302B9" w:rsidR="00EA11CC">
        <w:rPr>
          <w:rFonts w:ascii="Arial" w:hAnsi="Arial" w:cs="Arial"/>
          <w:iCs/>
          <w:sz w:val="22"/>
          <w:lang w:val="es-ES_tradnl"/>
        </w:rPr>
        <w:t xml:space="preserve"> los criterios establecidos en el artículo</w:t>
      </w:r>
      <w:r w:rsidRPr="00D302B9" w:rsidR="001B3A83">
        <w:rPr>
          <w:rFonts w:ascii="Arial" w:hAnsi="Arial" w:cs="Arial"/>
          <w:iCs/>
          <w:sz w:val="22"/>
          <w:lang w:val="es-ES_tradnl"/>
        </w:rPr>
        <w:t xml:space="preserve"> </w:t>
      </w:r>
      <w:r w:rsidRPr="00D302B9" w:rsidR="00764457">
        <w:rPr>
          <w:rFonts w:ascii="Arial" w:hAnsi="Arial" w:cs="Arial"/>
          <w:iCs/>
          <w:sz w:val="22"/>
          <w:lang w:val="es-ES_tradnl"/>
        </w:rPr>
        <w:t>50 de la Ley 1437 de</w:t>
      </w:r>
      <w:r w:rsidRPr="00D302B9" w:rsidR="00EA11CC">
        <w:rPr>
          <w:rFonts w:ascii="Arial" w:hAnsi="Arial" w:cs="Arial"/>
          <w:iCs/>
          <w:sz w:val="22"/>
          <w:lang w:val="es-ES_tradnl"/>
        </w:rPr>
        <w:t>l año</w:t>
      </w:r>
      <w:r w:rsidRPr="00D302B9" w:rsidR="00764457">
        <w:rPr>
          <w:rFonts w:ascii="Arial" w:hAnsi="Arial" w:cs="Arial"/>
          <w:iCs/>
          <w:sz w:val="22"/>
          <w:lang w:val="es-ES_tradnl"/>
        </w:rPr>
        <w:t xml:space="preserve"> 2011.</w:t>
      </w:r>
    </w:p>
    <w:p w:rsidRPr="00D302B9" w:rsidR="00263923" w:rsidP="00164BD7" w:rsidRDefault="004419FE" w14:paraId="2FA5D26A" w14:textId="4910F0D9">
      <w:pPr>
        <w:spacing w:before="120" w:line="276" w:lineRule="auto"/>
        <w:ind w:right="142" w:firstLine="709"/>
        <w:jc w:val="both"/>
        <w:rPr>
          <w:rFonts w:ascii="Arial" w:hAnsi="Arial" w:cs="Arial"/>
          <w:iCs/>
          <w:sz w:val="22"/>
          <w:lang w:val="es-ES_tradnl"/>
        </w:rPr>
      </w:pPr>
      <w:r w:rsidRPr="00D302B9">
        <w:rPr>
          <w:rFonts w:ascii="Arial" w:hAnsi="Arial" w:cs="Arial"/>
          <w:iCs/>
          <w:sz w:val="22"/>
          <w:lang w:val="es-ES_tradnl"/>
        </w:rPr>
        <w:t xml:space="preserve">Lo que no puede pasar es que </w:t>
      </w:r>
      <w:r w:rsidRPr="00D302B9" w:rsidR="00336980">
        <w:rPr>
          <w:rFonts w:ascii="Arial" w:hAnsi="Arial" w:cs="Arial"/>
          <w:iCs/>
          <w:sz w:val="22"/>
          <w:lang w:val="es-ES_tradnl"/>
        </w:rPr>
        <w:t xml:space="preserve">los concejos municipales y las asambleas departamentales, pretendan regular </w:t>
      </w:r>
      <w:r w:rsidRPr="00D302B9" w:rsidR="00BD272A">
        <w:rPr>
          <w:rFonts w:ascii="Arial" w:hAnsi="Arial" w:cs="Arial"/>
          <w:iCs/>
          <w:sz w:val="22"/>
          <w:lang w:val="es-ES_tradnl"/>
        </w:rPr>
        <w:t>la dosificación, atenuantes y agravantes en los procesos sancionatorios contractuales</w:t>
      </w:r>
      <w:r w:rsidRPr="00D302B9" w:rsidR="00336980">
        <w:rPr>
          <w:rFonts w:ascii="Arial" w:hAnsi="Arial" w:cs="Arial"/>
          <w:iCs/>
          <w:sz w:val="22"/>
          <w:lang w:val="es-ES_tradnl"/>
        </w:rPr>
        <w:t>, pues al hacerlo estarían excediendo su potestad reglamentaria. Tal afirmación se deriva de la jurisprudencia pacífica de la Sección Tercera del Consejo de Estado, quien ha considerado que es competencia exclusiva del Congreso de la República establecer, por un lado, los «elementos del tipo administrativo», esto es, el sujeto activo, el sujeto pasivo, los hechos constitutivos del «incumplimiento» y los elementos descriptivos y normativos de la conducta a sancionar</w:t>
      </w:r>
      <w:r w:rsidRPr="00D302B9" w:rsidR="00336980">
        <w:rPr>
          <w:rStyle w:val="Refdenotaalpie"/>
          <w:rFonts w:ascii="Arial" w:hAnsi="Arial" w:cs="Arial"/>
          <w:iCs/>
          <w:sz w:val="22"/>
          <w:lang w:val="es-ES_tradnl"/>
        </w:rPr>
        <w:footnoteReference w:id="17"/>
      </w:r>
      <w:r w:rsidRPr="00D302B9" w:rsidR="00336980">
        <w:rPr>
          <w:rFonts w:ascii="Arial" w:hAnsi="Arial" w:cs="Arial"/>
          <w:iCs/>
          <w:sz w:val="22"/>
          <w:lang w:val="es-ES_tradnl"/>
        </w:rPr>
        <w:t>. Por el otro lado, le corresponde regular lo relacionado con el procedimiento sancionatorio contractual</w:t>
      </w:r>
      <w:r w:rsidRPr="00D302B9" w:rsidR="00336980">
        <w:rPr>
          <w:rStyle w:val="Refdenotaalpie"/>
          <w:rFonts w:ascii="Arial" w:hAnsi="Arial" w:cs="Arial"/>
          <w:iCs/>
          <w:sz w:val="22"/>
          <w:lang w:val="es-ES_tradnl"/>
        </w:rPr>
        <w:footnoteReference w:id="18"/>
      </w:r>
      <w:r w:rsidRPr="00D302B9" w:rsidR="00336980">
        <w:rPr>
          <w:rFonts w:ascii="Arial" w:hAnsi="Arial" w:cs="Arial"/>
          <w:iCs/>
          <w:sz w:val="22"/>
          <w:lang w:val="es-ES_tradnl"/>
        </w:rPr>
        <w:t xml:space="preserve">. </w:t>
      </w:r>
      <w:r w:rsidRPr="00D302B9" w:rsidR="00C811B7">
        <w:rPr>
          <w:rFonts w:ascii="Arial" w:hAnsi="Arial" w:cs="Arial"/>
          <w:iCs/>
          <w:sz w:val="22"/>
          <w:lang w:val="es-ES_tradnl"/>
        </w:rPr>
        <w:t>Tale</w:t>
      </w:r>
      <w:r w:rsidRPr="00D302B9" w:rsidR="00607179">
        <w:rPr>
          <w:rFonts w:ascii="Arial" w:hAnsi="Arial" w:cs="Arial"/>
          <w:iCs/>
          <w:sz w:val="22"/>
          <w:lang w:val="es-ES_tradnl"/>
        </w:rPr>
        <w:t>s</w:t>
      </w:r>
      <w:r w:rsidRPr="00D302B9" w:rsidR="00C811B7">
        <w:rPr>
          <w:rFonts w:ascii="Arial" w:hAnsi="Arial" w:cs="Arial"/>
          <w:iCs/>
          <w:sz w:val="22"/>
          <w:lang w:val="es-ES_tradnl"/>
        </w:rPr>
        <w:t xml:space="preserve"> consideraciones encuentran fundamento en los artículos 150, numeral 10, y 113 de la Constitución Política, así como también en la jurisprudencia de la Corte Constitucional</w:t>
      </w:r>
      <w:r w:rsidRPr="00D302B9" w:rsidR="00C811B7">
        <w:rPr>
          <w:rStyle w:val="Refdenotaalpie"/>
          <w:rFonts w:ascii="Arial" w:hAnsi="Arial" w:cs="Arial"/>
          <w:iCs/>
          <w:sz w:val="22"/>
          <w:lang w:val="es-ES_tradnl"/>
        </w:rPr>
        <w:footnoteReference w:id="19"/>
      </w:r>
      <w:r w:rsidRPr="00D302B9" w:rsidR="00C811B7">
        <w:rPr>
          <w:rFonts w:ascii="Arial" w:hAnsi="Arial" w:cs="Arial"/>
          <w:iCs/>
          <w:sz w:val="22"/>
          <w:lang w:val="es-ES_tradnl"/>
        </w:rPr>
        <w:t>.</w:t>
      </w:r>
    </w:p>
    <w:p w:rsidRPr="00D302B9" w:rsidR="00263923" w:rsidP="00164BD7" w:rsidRDefault="00263923" w14:paraId="397DCF39" w14:textId="7606C4D7">
      <w:pPr>
        <w:spacing w:before="120" w:line="276" w:lineRule="auto"/>
        <w:ind w:right="142" w:firstLine="709"/>
        <w:jc w:val="both"/>
        <w:rPr>
          <w:rFonts w:ascii="Arial" w:hAnsi="Arial" w:cs="Arial"/>
          <w:iCs/>
          <w:sz w:val="22"/>
        </w:rPr>
      </w:pPr>
    </w:p>
    <w:p w:rsidRPr="00D302B9" w:rsidR="00F66DF1" w:rsidP="00F66DF1" w:rsidRDefault="00F66DF1" w14:paraId="4E0C1FE3" w14:textId="77777777">
      <w:pPr>
        <w:ind w:left="709" w:right="760"/>
        <w:jc w:val="both"/>
        <w:rPr>
          <w:rFonts w:ascii="Arial" w:hAnsi="Arial" w:cs="Arial"/>
          <w:iCs/>
          <w:sz w:val="21"/>
          <w:szCs w:val="21"/>
        </w:rPr>
      </w:pPr>
      <w:r w:rsidRPr="00D302B9">
        <w:rPr>
          <w:rFonts w:ascii="Arial" w:hAnsi="Arial" w:cs="Arial"/>
          <w:iCs/>
          <w:sz w:val="21"/>
          <w:szCs w:val="21"/>
        </w:rPr>
        <w:t xml:space="preserve">Entre otras cosas, recientemente concluyó esta Sala, al juzgar la validez del artículo 87 del decreto 2.474 de 2008, que no es posible que mediante normas internas se establezca el procedimiento sancionatorio contractual. Se fundamentó en que sólo la ley puede regular el tema, por tratarse de una materia reservada al legislador, y que mientras esto no ocurra se deben aplicar las reglas del Código Contencioso Administrativo: </w:t>
      </w:r>
    </w:p>
    <w:p w:rsidRPr="00D302B9" w:rsidR="00F66DF1" w:rsidP="00F66DF1" w:rsidRDefault="00F66DF1" w14:paraId="42302BA5" w14:textId="77777777">
      <w:pPr>
        <w:ind w:left="709" w:right="760"/>
        <w:jc w:val="both"/>
        <w:rPr>
          <w:rFonts w:ascii="Arial" w:hAnsi="Arial" w:cs="Arial"/>
          <w:iCs/>
          <w:sz w:val="21"/>
          <w:szCs w:val="21"/>
        </w:rPr>
      </w:pPr>
    </w:p>
    <w:p w:rsidRPr="00D302B9" w:rsidR="00F66DF1" w:rsidP="00F66DF1" w:rsidRDefault="00F66DF1" w14:paraId="4D072D29" w14:textId="77593D3D">
      <w:pPr>
        <w:ind w:left="709" w:right="760"/>
        <w:jc w:val="both"/>
        <w:rPr>
          <w:rFonts w:ascii="Arial" w:hAnsi="Arial" w:cs="Arial"/>
          <w:iCs/>
          <w:sz w:val="21"/>
          <w:szCs w:val="21"/>
        </w:rPr>
      </w:pPr>
      <w:r w:rsidRPr="00D302B9">
        <w:rPr>
          <w:rFonts w:ascii="Arial" w:hAnsi="Arial" w:cs="Arial"/>
          <w:iCs/>
          <w:sz w:val="21"/>
          <w:szCs w:val="21"/>
        </w:rPr>
        <w:t>«Visto lo anterior, el problema suscitado en el libelo de la demanda se centra en determinar, si es ajustado a la legalidad que el procedimiento para la imposición de las multas se confíe a cada entidad estatal o si con ello se incurre en un desbordamiento de la potestad reglamentaria. En el libelo de demanda se señaló:</w:t>
      </w:r>
    </w:p>
    <w:p w:rsidRPr="00D302B9" w:rsidR="00F66DF1" w:rsidP="00F66DF1" w:rsidRDefault="00F66DF1" w14:paraId="275C5E08" w14:textId="59AF8CF6">
      <w:pPr>
        <w:ind w:left="709" w:right="760"/>
        <w:jc w:val="both"/>
        <w:rPr>
          <w:rFonts w:ascii="Arial" w:hAnsi="Arial" w:cs="Arial"/>
          <w:iCs/>
          <w:sz w:val="21"/>
          <w:szCs w:val="21"/>
        </w:rPr>
      </w:pPr>
      <w:r w:rsidRPr="00D302B9">
        <w:rPr>
          <w:rFonts w:ascii="Arial" w:hAnsi="Arial" w:cs="Arial"/>
          <w:iCs/>
          <w:sz w:val="21"/>
          <w:szCs w:val="21"/>
        </w:rPr>
        <w:t>[…]</w:t>
      </w:r>
    </w:p>
    <w:p w:rsidRPr="00D302B9" w:rsidR="00F66DF1" w:rsidP="00F66DF1" w:rsidRDefault="00F66DF1" w14:paraId="3EBF93CE" w14:textId="77777777">
      <w:pPr>
        <w:ind w:left="709" w:right="760"/>
        <w:jc w:val="both"/>
        <w:rPr>
          <w:rFonts w:ascii="Arial" w:hAnsi="Arial" w:cs="Arial"/>
          <w:iCs/>
          <w:sz w:val="21"/>
          <w:szCs w:val="21"/>
        </w:rPr>
      </w:pPr>
    </w:p>
    <w:p w:rsidRPr="00D302B9" w:rsidR="00F66DF1" w:rsidP="00F66DF1" w:rsidRDefault="00F66DF1" w14:paraId="1D900E1C" w14:textId="557DDBC5">
      <w:pPr>
        <w:ind w:left="709" w:right="760"/>
        <w:jc w:val="both"/>
        <w:rPr>
          <w:rFonts w:ascii="Arial" w:hAnsi="Arial" w:cs="Arial"/>
          <w:iCs/>
          <w:sz w:val="21"/>
          <w:szCs w:val="21"/>
        </w:rPr>
      </w:pPr>
      <w:proofErr w:type="gramStart"/>
      <w:r w:rsidRPr="00D302B9">
        <w:rPr>
          <w:rFonts w:ascii="Arial" w:hAnsi="Arial" w:cs="Arial"/>
          <w:iCs/>
          <w:sz w:val="21"/>
          <w:szCs w:val="21"/>
        </w:rPr>
        <w:lastRenderedPageBreak/>
        <w:t>»La</w:t>
      </w:r>
      <w:proofErr w:type="gramEnd"/>
      <w:r w:rsidRPr="00D302B9">
        <w:rPr>
          <w:rFonts w:ascii="Arial" w:hAnsi="Arial" w:cs="Arial"/>
          <w:iCs/>
          <w:sz w:val="21"/>
          <w:szCs w:val="21"/>
        </w:rPr>
        <w:t xml:space="preserve"> Sala, en primer lugar precisa que la competencia de establecer los procedimientos administrativos, con independencia de que éstos sean generales o especiales corresponde de forma exclusiva al legislador y no a la autoridad administrativa. Esta conclusión, tal como lo señala la doctrina especializada, se desprende directamente del artículo 150 de la Constitución, si se tiene en cuenta que asigna como competencia exclusiva de la rama legislativa la expedición de códigos y sucede que los procedimientos administrativos contenidos en disposiciones especiales se consideran parte integrante del Código Contencioso Administrativo.</w:t>
      </w:r>
    </w:p>
    <w:p w:rsidRPr="00D302B9" w:rsidR="00F66DF1" w:rsidP="00F66DF1" w:rsidRDefault="00F66DF1" w14:paraId="035279A9" w14:textId="77777777">
      <w:pPr>
        <w:ind w:left="709" w:right="760"/>
        <w:jc w:val="both"/>
        <w:rPr>
          <w:rFonts w:ascii="Arial" w:hAnsi="Arial" w:cs="Arial"/>
          <w:iCs/>
          <w:sz w:val="21"/>
          <w:szCs w:val="21"/>
        </w:rPr>
      </w:pPr>
    </w:p>
    <w:p w:rsidRPr="00D302B9" w:rsidR="00F66DF1" w:rsidP="00F66DF1" w:rsidRDefault="00F66DF1" w14:paraId="3A79FA4D" w14:textId="4348F650">
      <w:pPr>
        <w:ind w:left="709" w:right="760"/>
        <w:jc w:val="both"/>
        <w:rPr>
          <w:rFonts w:ascii="Arial" w:hAnsi="Arial" w:cs="Arial"/>
          <w:iCs/>
          <w:sz w:val="21"/>
          <w:szCs w:val="21"/>
        </w:rPr>
      </w:pPr>
      <w:r w:rsidRPr="00D302B9">
        <w:rPr>
          <w:rFonts w:ascii="Arial" w:hAnsi="Arial" w:cs="Arial"/>
          <w:iCs/>
          <w:sz w:val="21"/>
          <w:szCs w:val="21"/>
        </w:rPr>
        <w:t>»Esta postura ha sido defendida por la jurisprudencia de la Corte Constitucional, la cual ha señalado que:  “a partir de la Constitución de 1991, con la salvedad hecha en relación con los procedimientos especiales que puedan existir en el orden distrital, departamental y municipal, todo procedimiento administrativo especial debe regularse a través de ley, e incorporarse al Código Contencioso Administrativo como lo exige con fines de sistematización, el aparte final del artículo 158 de la Constitución Política.</w:t>
      </w:r>
    </w:p>
    <w:p w:rsidRPr="00D302B9" w:rsidR="00F66DF1" w:rsidP="00F66DF1" w:rsidRDefault="00F66DF1" w14:paraId="18889CD0" w14:textId="77777777">
      <w:pPr>
        <w:ind w:left="709" w:right="760"/>
        <w:jc w:val="both"/>
        <w:rPr>
          <w:rFonts w:ascii="Arial" w:hAnsi="Arial" w:cs="Arial"/>
          <w:iCs/>
          <w:sz w:val="21"/>
          <w:szCs w:val="21"/>
        </w:rPr>
      </w:pPr>
    </w:p>
    <w:p w:rsidRPr="00D302B9" w:rsidR="00F66DF1" w:rsidP="00F66DF1" w:rsidRDefault="00F66DF1" w14:paraId="7CBA5B12" w14:textId="0853F91E">
      <w:pPr>
        <w:ind w:left="709" w:right="760"/>
        <w:jc w:val="both"/>
        <w:rPr>
          <w:rFonts w:ascii="Arial" w:hAnsi="Arial" w:cs="Arial"/>
          <w:iCs/>
          <w:sz w:val="21"/>
          <w:szCs w:val="21"/>
        </w:rPr>
      </w:pPr>
      <w:proofErr w:type="gramStart"/>
      <w:r w:rsidRPr="00D302B9">
        <w:rPr>
          <w:rFonts w:ascii="Arial" w:hAnsi="Arial" w:cs="Arial"/>
          <w:iCs/>
          <w:sz w:val="21"/>
          <w:szCs w:val="21"/>
        </w:rPr>
        <w:t>»Por</w:t>
      </w:r>
      <w:proofErr w:type="gramEnd"/>
      <w:r w:rsidRPr="00D302B9">
        <w:rPr>
          <w:rFonts w:ascii="Arial" w:hAnsi="Arial" w:cs="Arial"/>
          <w:iCs/>
          <w:sz w:val="21"/>
          <w:szCs w:val="21"/>
        </w:rPr>
        <w:t xml:space="preserve"> consiguiente, no es admisible que mediante reglamento se asigne la competencia a cada entidad estatal de establecer aspectos procedimentales que comprometan o condicionen las garantías propias del derecho fundamental del debido proceso reconocido a toda persona en el ordenamiento jurídico. Cuando se trata de la relación que se establece entre administración y ciudadano (relación </w:t>
      </w:r>
      <w:proofErr w:type="spellStart"/>
      <w:r w:rsidRPr="00D302B9">
        <w:rPr>
          <w:rFonts w:ascii="Arial" w:hAnsi="Arial" w:cs="Arial"/>
          <w:iCs/>
          <w:sz w:val="21"/>
          <w:szCs w:val="21"/>
        </w:rPr>
        <w:t>extra-orgánica</w:t>
      </w:r>
      <w:proofErr w:type="spellEnd"/>
      <w:r w:rsidRPr="00D302B9">
        <w:rPr>
          <w:rFonts w:ascii="Arial" w:hAnsi="Arial" w:cs="Arial"/>
          <w:iCs/>
          <w:sz w:val="21"/>
          <w:szCs w:val="21"/>
        </w:rPr>
        <w:t>), y se constata que la ley no ha definido los mínimos procedimentales, es indispensable acudir al procedimiento administrativo general consignado en el Código Contencioso Administrativo, norma supletoria para estos casos».</w:t>
      </w:r>
    </w:p>
    <w:p w:rsidRPr="00D302B9" w:rsidR="00F66DF1" w:rsidP="00164BD7" w:rsidRDefault="00F66DF1" w14:paraId="2CDAA6FF" w14:textId="77777777">
      <w:pPr>
        <w:spacing w:before="120" w:line="276" w:lineRule="auto"/>
        <w:ind w:right="142" w:firstLine="709"/>
        <w:jc w:val="both"/>
        <w:rPr>
          <w:rFonts w:ascii="Arial" w:hAnsi="Arial" w:cs="Arial"/>
          <w:iCs/>
          <w:sz w:val="22"/>
        </w:rPr>
      </w:pPr>
    </w:p>
    <w:p w:rsidRPr="00D302B9" w:rsidR="00263923" w:rsidP="00164BD7" w:rsidRDefault="00F66DF1" w14:paraId="14FACBCD" w14:textId="66C88283">
      <w:pPr>
        <w:spacing w:before="120" w:line="276" w:lineRule="auto"/>
        <w:ind w:right="142" w:firstLine="709"/>
        <w:jc w:val="both"/>
        <w:rPr>
          <w:rFonts w:ascii="Arial" w:hAnsi="Arial" w:cs="Arial"/>
          <w:iCs/>
          <w:sz w:val="22"/>
        </w:rPr>
      </w:pPr>
      <w:r w:rsidRPr="00D302B9">
        <w:rPr>
          <w:rFonts w:ascii="Arial" w:hAnsi="Arial" w:cs="Arial"/>
          <w:iCs/>
          <w:sz w:val="22"/>
        </w:rPr>
        <w:t>Así las cosas, b</w:t>
      </w:r>
      <w:r w:rsidRPr="00D302B9" w:rsidR="00336980">
        <w:rPr>
          <w:rFonts w:ascii="Arial" w:hAnsi="Arial" w:cs="Arial"/>
          <w:iCs/>
          <w:sz w:val="22"/>
        </w:rPr>
        <w:t xml:space="preserve">ien porque sean considerados elementos </w:t>
      </w:r>
      <w:r w:rsidRPr="00D302B9">
        <w:rPr>
          <w:rFonts w:ascii="Arial" w:hAnsi="Arial" w:cs="Arial"/>
          <w:iCs/>
          <w:sz w:val="22"/>
        </w:rPr>
        <w:t>descriptivos</w:t>
      </w:r>
      <w:r w:rsidRPr="00D302B9" w:rsidR="00336980">
        <w:rPr>
          <w:rFonts w:ascii="Arial" w:hAnsi="Arial" w:cs="Arial"/>
          <w:iCs/>
          <w:sz w:val="22"/>
        </w:rPr>
        <w:t xml:space="preserve"> de la sanción </w:t>
      </w:r>
      <w:r w:rsidRPr="00D302B9">
        <w:rPr>
          <w:rFonts w:ascii="Arial" w:hAnsi="Arial" w:cs="Arial"/>
          <w:iCs/>
          <w:sz w:val="22"/>
        </w:rPr>
        <w:t xml:space="preserve">administrativa </w:t>
      </w:r>
      <w:r w:rsidRPr="00D302B9" w:rsidR="00336980">
        <w:rPr>
          <w:rFonts w:ascii="Arial" w:hAnsi="Arial" w:cs="Arial"/>
          <w:iCs/>
          <w:sz w:val="22"/>
        </w:rPr>
        <w:t>o bien porque sean considerados aspectos pro</w:t>
      </w:r>
      <w:r w:rsidRPr="00D302B9">
        <w:rPr>
          <w:rFonts w:ascii="Arial" w:hAnsi="Arial" w:cs="Arial"/>
          <w:iCs/>
          <w:sz w:val="22"/>
        </w:rPr>
        <w:t>c</w:t>
      </w:r>
      <w:r w:rsidRPr="00D302B9" w:rsidR="00336980">
        <w:rPr>
          <w:rFonts w:ascii="Arial" w:hAnsi="Arial" w:cs="Arial"/>
          <w:iCs/>
          <w:sz w:val="22"/>
        </w:rPr>
        <w:t xml:space="preserve">edimentales, lo relacionado con </w:t>
      </w:r>
      <w:r w:rsidRPr="00D302B9">
        <w:rPr>
          <w:rFonts w:ascii="Arial" w:hAnsi="Arial" w:cs="Arial"/>
          <w:iCs/>
          <w:sz w:val="22"/>
          <w:lang w:val="es-ES_tradnl"/>
        </w:rPr>
        <w:t>la dosificación, atenuantes y agravantes de la sanción contractual</w:t>
      </w:r>
      <w:r w:rsidRPr="00D302B9" w:rsidR="00336980">
        <w:rPr>
          <w:rFonts w:ascii="Arial" w:hAnsi="Arial" w:cs="Arial"/>
          <w:iCs/>
          <w:sz w:val="22"/>
        </w:rPr>
        <w:t xml:space="preserve"> debe </w:t>
      </w:r>
      <w:r w:rsidRPr="00D302B9" w:rsidR="00136C39">
        <w:rPr>
          <w:rFonts w:ascii="Arial" w:hAnsi="Arial" w:cs="Arial"/>
          <w:iCs/>
          <w:sz w:val="22"/>
        </w:rPr>
        <w:t xml:space="preserve">ser pactado por las partes o, en su defecto, </w:t>
      </w:r>
      <w:r w:rsidRPr="00D302B9" w:rsidR="00336980">
        <w:rPr>
          <w:rFonts w:ascii="Arial" w:hAnsi="Arial" w:cs="Arial"/>
          <w:iCs/>
          <w:sz w:val="22"/>
        </w:rPr>
        <w:t>regulado por el legislador o, lo que es lo mismo, no puede ser</w:t>
      </w:r>
      <w:r w:rsidRPr="00D302B9" w:rsidR="003A4849">
        <w:rPr>
          <w:rFonts w:ascii="Arial" w:hAnsi="Arial" w:cs="Arial"/>
          <w:iCs/>
          <w:sz w:val="22"/>
        </w:rPr>
        <w:t xml:space="preserve"> regulado </w:t>
      </w:r>
      <w:r w:rsidRPr="00D302B9" w:rsidR="00336980">
        <w:rPr>
          <w:rFonts w:ascii="Arial" w:hAnsi="Arial" w:cs="Arial"/>
          <w:iCs/>
          <w:sz w:val="22"/>
        </w:rPr>
        <w:t xml:space="preserve">por las autoridades administrativas, so pena de vulnerar el principio de legalidad y con ello el </w:t>
      </w:r>
      <w:r w:rsidRPr="00D302B9" w:rsidR="00711D12">
        <w:rPr>
          <w:rFonts w:ascii="Arial" w:hAnsi="Arial" w:cs="Arial"/>
          <w:iCs/>
          <w:sz w:val="22"/>
        </w:rPr>
        <w:t>E</w:t>
      </w:r>
      <w:r w:rsidRPr="00D302B9" w:rsidR="00336980">
        <w:rPr>
          <w:rFonts w:ascii="Arial" w:hAnsi="Arial" w:cs="Arial"/>
          <w:iCs/>
          <w:sz w:val="22"/>
        </w:rPr>
        <w:t>stado de derecho, así como también poner en peligro el derecho fundamental al debido proceso</w:t>
      </w:r>
      <w:r w:rsidRPr="00D302B9">
        <w:rPr>
          <w:rFonts w:ascii="Arial" w:hAnsi="Arial" w:cs="Arial"/>
          <w:iCs/>
          <w:sz w:val="22"/>
        </w:rPr>
        <w:t xml:space="preserve"> de los contratistas</w:t>
      </w:r>
      <w:r w:rsidRPr="00D302B9" w:rsidR="00336980">
        <w:rPr>
          <w:rFonts w:ascii="Arial" w:hAnsi="Arial" w:cs="Arial"/>
          <w:iCs/>
          <w:sz w:val="22"/>
        </w:rPr>
        <w:t>.</w:t>
      </w:r>
    </w:p>
    <w:p w:rsidRPr="00D302B9" w:rsidR="00BA2D84" w:rsidP="00BD272A" w:rsidRDefault="00BA2D84" w14:paraId="1FC70591" w14:textId="77777777">
      <w:pPr>
        <w:tabs>
          <w:tab w:val="left" w:pos="426"/>
        </w:tabs>
        <w:spacing w:line="276" w:lineRule="auto"/>
        <w:jc w:val="both"/>
        <w:rPr>
          <w:rFonts w:ascii="Arial" w:hAnsi="Arial" w:eastAsia="Calibri" w:cs="Arial"/>
          <w:b/>
          <w:sz w:val="22"/>
        </w:rPr>
      </w:pPr>
    </w:p>
    <w:p w:rsidRPr="00D302B9" w:rsidR="00BA2D84" w:rsidP="00BA2D84" w:rsidRDefault="00BA2D84" w14:paraId="04CED94E" w14:textId="448780CE">
      <w:pPr>
        <w:pStyle w:val="Prrafodelista"/>
        <w:numPr>
          <w:ilvl w:val="1"/>
          <w:numId w:val="8"/>
        </w:numPr>
        <w:tabs>
          <w:tab w:val="left" w:pos="426"/>
        </w:tabs>
        <w:spacing w:line="276" w:lineRule="auto"/>
        <w:ind w:hanging="578"/>
        <w:jc w:val="both"/>
        <w:rPr>
          <w:rFonts w:ascii="Arial" w:hAnsi="Arial" w:eastAsia="Calibri" w:cs="Arial"/>
          <w:b/>
          <w:sz w:val="22"/>
        </w:rPr>
      </w:pPr>
      <w:r w:rsidRPr="00D302B9">
        <w:rPr>
          <w:rFonts w:ascii="Arial" w:hAnsi="Arial" w:eastAsia="Calibri" w:cs="Arial"/>
          <w:b/>
          <w:sz w:val="22"/>
        </w:rPr>
        <w:t>Promoción del desarrollo en la contratación pública</w:t>
      </w:r>
    </w:p>
    <w:p w:rsidRPr="00D302B9" w:rsidR="00BA2D84" w:rsidP="004247C3" w:rsidRDefault="00BA2D84" w14:paraId="1D652A97" w14:textId="34ABBB84">
      <w:pPr>
        <w:tabs>
          <w:tab w:val="left" w:pos="426"/>
        </w:tabs>
        <w:spacing w:line="276" w:lineRule="auto"/>
        <w:ind w:left="142"/>
        <w:jc w:val="both"/>
        <w:rPr>
          <w:rFonts w:ascii="Arial" w:hAnsi="Arial" w:eastAsia="Calibri" w:cs="Arial"/>
          <w:b/>
          <w:sz w:val="22"/>
        </w:rPr>
      </w:pPr>
    </w:p>
    <w:p w:rsidRPr="00D302B9" w:rsidR="004247C3" w:rsidP="004247C3" w:rsidRDefault="004247C3" w14:paraId="3B457764" w14:textId="51C4A47F">
      <w:pPr>
        <w:tabs>
          <w:tab w:val="left" w:pos="426"/>
        </w:tabs>
        <w:spacing w:line="276" w:lineRule="auto"/>
        <w:jc w:val="both"/>
        <w:rPr>
          <w:rFonts w:ascii="Arial" w:hAnsi="Arial" w:eastAsia="Calibri" w:cs="Arial"/>
          <w:bCs/>
          <w:sz w:val="22"/>
        </w:rPr>
      </w:pPr>
      <w:r w:rsidRPr="00D302B9">
        <w:rPr>
          <w:rFonts w:ascii="Arial" w:hAnsi="Arial" w:eastAsia="Calibri" w:cs="Arial"/>
          <w:bCs/>
          <w:sz w:val="22"/>
        </w:rPr>
        <w:t>El artículo 12 de la Ley 1150 de 2007 regula l</w:t>
      </w:r>
      <w:r w:rsidRPr="00D302B9" w:rsidR="009B49D8">
        <w:rPr>
          <w:rFonts w:ascii="Arial" w:hAnsi="Arial" w:eastAsia="Calibri" w:cs="Arial"/>
          <w:bCs/>
          <w:sz w:val="22"/>
        </w:rPr>
        <w:t xml:space="preserve">a promoción del desarrollo en la contratación pública. Esta norma, </w:t>
      </w:r>
      <w:r w:rsidRPr="00D302B9" w:rsidR="00136C39">
        <w:rPr>
          <w:rFonts w:ascii="Arial" w:hAnsi="Arial" w:eastAsia="Calibri" w:cs="Arial"/>
          <w:bCs/>
          <w:sz w:val="22"/>
        </w:rPr>
        <w:t>en principio</w:t>
      </w:r>
      <w:r w:rsidRPr="00D302B9" w:rsidR="009B49D8">
        <w:rPr>
          <w:rFonts w:ascii="Arial" w:hAnsi="Arial" w:eastAsia="Calibri" w:cs="Arial"/>
          <w:bCs/>
          <w:sz w:val="22"/>
        </w:rPr>
        <w:t>, pretendió «apoyar y promocionar la formación de empresas»</w:t>
      </w:r>
      <w:r w:rsidRPr="00D302B9" w:rsidR="009B49D8">
        <w:rPr>
          <w:rStyle w:val="Refdenotaalpie"/>
          <w:rFonts w:ascii="Arial" w:hAnsi="Arial" w:eastAsia="Calibri" w:cs="Arial"/>
          <w:bCs/>
          <w:sz w:val="22"/>
        </w:rPr>
        <w:footnoteReference w:id="20"/>
      </w:r>
      <w:r w:rsidRPr="00D302B9" w:rsidR="009B49D8">
        <w:rPr>
          <w:rFonts w:ascii="Arial" w:hAnsi="Arial" w:eastAsia="Calibri" w:cs="Arial"/>
          <w:bCs/>
          <w:sz w:val="22"/>
        </w:rPr>
        <w:t xml:space="preserve">. Así lo demuestran sus antecedentes legislativos, en donde se da cuenta que </w:t>
      </w:r>
      <w:r w:rsidRPr="00D302B9" w:rsidR="00666525">
        <w:rPr>
          <w:rFonts w:ascii="Arial" w:hAnsi="Arial" w:eastAsia="Calibri" w:cs="Arial"/>
          <w:bCs/>
          <w:sz w:val="22"/>
        </w:rPr>
        <w:t xml:space="preserve">la misma siempre estuvo relacionada con </w:t>
      </w:r>
      <w:r w:rsidRPr="00D302B9" w:rsidR="007C3E6E">
        <w:rPr>
          <w:rFonts w:ascii="Arial" w:hAnsi="Arial" w:eastAsia="Calibri" w:cs="Arial"/>
          <w:bCs/>
          <w:sz w:val="22"/>
        </w:rPr>
        <w:t xml:space="preserve">incentivar las </w:t>
      </w:r>
      <w:proofErr w:type="spellStart"/>
      <w:r w:rsidRPr="00D302B9" w:rsidR="007C3E6E">
        <w:rPr>
          <w:rFonts w:ascii="Arial" w:hAnsi="Arial" w:eastAsia="Calibri" w:cs="Arial"/>
          <w:bCs/>
          <w:sz w:val="22"/>
        </w:rPr>
        <w:t>Mipymes</w:t>
      </w:r>
      <w:proofErr w:type="spellEnd"/>
      <w:r w:rsidRPr="00D302B9" w:rsidR="00666525">
        <w:rPr>
          <w:rFonts w:ascii="Arial" w:hAnsi="Arial" w:eastAsia="Calibri" w:cs="Arial"/>
          <w:bCs/>
          <w:sz w:val="22"/>
        </w:rPr>
        <w:t xml:space="preserve">. Muestra de </w:t>
      </w:r>
      <w:r w:rsidRPr="00D302B9" w:rsidR="002876C7">
        <w:rPr>
          <w:rFonts w:ascii="Arial" w:hAnsi="Arial" w:eastAsia="Calibri" w:cs="Arial"/>
          <w:bCs/>
          <w:sz w:val="22"/>
        </w:rPr>
        <w:t xml:space="preserve">lo dicho </w:t>
      </w:r>
      <w:r w:rsidRPr="00D302B9" w:rsidR="002876C7">
        <w:rPr>
          <w:rFonts w:ascii="Arial" w:hAnsi="Arial" w:eastAsia="Calibri" w:cs="Arial"/>
          <w:bCs/>
          <w:sz w:val="22"/>
        </w:rPr>
        <w:lastRenderedPageBreak/>
        <w:t>anteriormente</w:t>
      </w:r>
      <w:r w:rsidRPr="00D302B9" w:rsidR="00666525">
        <w:rPr>
          <w:rFonts w:ascii="Arial" w:hAnsi="Arial" w:eastAsia="Calibri" w:cs="Arial"/>
          <w:bCs/>
          <w:sz w:val="22"/>
        </w:rPr>
        <w:t xml:space="preserve"> es que en el informe de ponencia para segundo debate se aclaró lo siguiente</w:t>
      </w:r>
      <w:r w:rsidRPr="00D302B9" w:rsidR="00DE5385">
        <w:rPr>
          <w:rStyle w:val="Refdenotaalpie"/>
          <w:rFonts w:ascii="Arial" w:hAnsi="Arial" w:eastAsia="Calibri" w:cs="Arial"/>
          <w:bCs/>
          <w:sz w:val="22"/>
        </w:rPr>
        <w:footnoteReference w:id="21"/>
      </w:r>
      <w:r w:rsidRPr="00D302B9" w:rsidR="00666525">
        <w:rPr>
          <w:rFonts w:ascii="Arial" w:hAnsi="Arial" w:eastAsia="Calibri" w:cs="Arial"/>
          <w:bCs/>
          <w:sz w:val="22"/>
        </w:rPr>
        <w:t>:</w:t>
      </w:r>
    </w:p>
    <w:p w:rsidRPr="00D302B9" w:rsidR="00666525" w:rsidP="004247C3" w:rsidRDefault="00666525" w14:paraId="3774CF5C" w14:textId="1743CE65">
      <w:pPr>
        <w:tabs>
          <w:tab w:val="left" w:pos="426"/>
        </w:tabs>
        <w:spacing w:line="276" w:lineRule="auto"/>
        <w:jc w:val="both"/>
        <w:rPr>
          <w:rFonts w:ascii="Arial" w:hAnsi="Arial" w:eastAsia="Calibri" w:cs="Arial"/>
          <w:bCs/>
          <w:sz w:val="22"/>
        </w:rPr>
      </w:pPr>
    </w:p>
    <w:p w:rsidRPr="00D302B9" w:rsidR="00666525" w:rsidP="00666525" w:rsidRDefault="00666525" w14:paraId="1FBBACB1" w14:textId="13092CC4">
      <w:pPr>
        <w:tabs>
          <w:tab w:val="left" w:pos="426"/>
        </w:tabs>
        <w:spacing w:line="276" w:lineRule="auto"/>
        <w:ind w:left="709" w:right="758"/>
        <w:jc w:val="both"/>
        <w:rPr>
          <w:rFonts w:ascii="Arial" w:hAnsi="Arial" w:eastAsia="Calibri" w:cs="Arial"/>
          <w:bCs/>
          <w:sz w:val="21"/>
          <w:szCs w:val="21"/>
        </w:rPr>
      </w:pPr>
      <w:r w:rsidRPr="00D302B9">
        <w:rPr>
          <w:rFonts w:ascii="Arial" w:hAnsi="Arial" w:eastAsia="Calibri" w:cs="Arial"/>
          <w:bCs/>
          <w:sz w:val="21"/>
          <w:szCs w:val="21"/>
        </w:rPr>
        <w:t>El artículo 13 relacionado con las medidas de promoción de la pequeña y mediana empresa y los grupos marginados de ciudadanos fue objeto de las siguientes modificaciones:</w:t>
      </w:r>
    </w:p>
    <w:p w:rsidRPr="00D302B9" w:rsidR="007C3E6E" w:rsidP="00666525" w:rsidRDefault="007C3E6E" w14:paraId="620724B5" w14:textId="77777777">
      <w:pPr>
        <w:tabs>
          <w:tab w:val="left" w:pos="426"/>
        </w:tabs>
        <w:spacing w:line="276" w:lineRule="auto"/>
        <w:ind w:left="709" w:right="758"/>
        <w:jc w:val="both"/>
        <w:rPr>
          <w:rFonts w:ascii="Arial" w:hAnsi="Arial" w:eastAsia="Calibri" w:cs="Arial"/>
          <w:bCs/>
          <w:sz w:val="21"/>
          <w:szCs w:val="21"/>
        </w:rPr>
      </w:pPr>
    </w:p>
    <w:p w:rsidRPr="00D302B9" w:rsidR="00666525" w:rsidP="00666525" w:rsidRDefault="00666525" w14:paraId="1B6694BB" w14:textId="1876A33E">
      <w:pPr>
        <w:tabs>
          <w:tab w:val="left" w:pos="426"/>
        </w:tabs>
        <w:spacing w:line="276" w:lineRule="auto"/>
        <w:ind w:left="709" w:right="758"/>
        <w:jc w:val="both"/>
        <w:rPr>
          <w:rFonts w:ascii="Arial" w:hAnsi="Arial" w:eastAsia="Calibri" w:cs="Arial"/>
          <w:bCs/>
          <w:sz w:val="21"/>
          <w:szCs w:val="21"/>
        </w:rPr>
      </w:pPr>
      <w:r w:rsidRPr="00D302B9">
        <w:rPr>
          <w:rFonts w:ascii="Arial" w:hAnsi="Arial" w:eastAsia="Calibri" w:cs="Arial"/>
          <w:bCs/>
          <w:sz w:val="21"/>
          <w:szCs w:val="21"/>
        </w:rPr>
        <w:t xml:space="preserve">- Se aclara que los grupos marginados de ciudadanos para poder acceder a los beneficios consagrados en la </w:t>
      </w:r>
      <w:proofErr w:type="gramStart"/>
      <w:r w:rsidRPr="00D302B9">
        <w:rPr>
          <w:rFonts w:ascii="Arial" w:hAnsi="Arial" w:eastAsia="Calibri" w:cs="Arial"/>
          <w:bCs/>
          <w:sz w:val="21"/>
          <w:szCs w:val="21"/>
        </w:rPr>
        <w:t>norma,</w:t>
      </w:r>
      <w:proofErr w:type="gramEnd"/>
      <w:r w:rsidRPr="00D302B9">
        <w:rPr>
          <w:rFonts w:ascii="Arial" w:hAnsi="Arial" w:eastAsia="Calibri" w:cs="Arial"/>
          <w:bCs/>
          <w:sz w:val="21"/>
          <w:szCs w:val="21"/>
        </w:rPr>
        <w:t xml:space="preserve"> </w:t>
      </w:r>
      <w:r w:rsidRPr="00D302B9">
        <w:rPr>
          <w:rFonts w:ascii="Arial" w:hAnsi="Arial" w:eastAsia="Calibri" w:cs="Arial"/>
          <w:bCs/>
          <w:i/>
          <w:iCs/>
          <w:sz w:val="21"/>
          <w:szCs w:val="21"/>
        </w:rPr>
        <w:t>deberán organizarse bajo la</w:t>
      </w:r>
      <w:r w:rsidRPr="00D302B9" w:rsidR="007C3E6E">
        <w:rPr>
          <w:rFonts w:ascii="Arial" w:hAnsi="Arial" w:eastAsia="Calibri" w:cs="Arial"/>
          <w:bCs/>
          <w:i/>
          <w:iCs/>
          <w:sz w:val="21"/>
          <w:szCs w:val="21"/>
        </w:rPr>
        <w:t xml:space="preserve"> </w:t>
      </w:r>
      <w:r w:rsidRPr="00D302B9">
        <w:rPr>
          <w:rFonts w:ascii="Arial" w:hAnsi="Arial" w:eastAsia="Calibri" w:cs="Arial"/>
          <w:bCs/>
          <w:i/>
          <w:iCs/>
          <w:sz w:val="21"/>
          <w:szCs w:val="21"/>
        </w:rPr>
        <w:t xml:space="preserve">forma de </w:t>
      </w:r>
      <w:proofErr w:type="spellStart"/>
      <w:r w:rsidRPr="00D302B9">
        <w:rPr>
          <w:rFonts w:ascii="Arial" w:hAnsi="Arial" w:eastAsia="Calibri" w:cs="Arial"/>
          <w:bCs/>
          <w:i/>
          <w:iCs/>
          <w:sz w:val="21"/>
          <w:szCs w:val="21"/>
        </w:rPr>
        <w:t>Mipymes</w:t>
      </w:r>
      <w:proofErr w:type="spellEnd"/>
      <w:r w:rsidRPr="00D302B9">
        <w:rPr>
          <w:rFonts w:ascii="Arial" w:hAnsi="Arial" w:eastAsia="Calibri" w:cs="Arial"/>
          <w:bCs/>
          <w:sz w:val="21"/>
          <w:szCs w:val="21"/>
        </w:rPr>
        <w:t>.</w:t>
      </w:r>
    </w:p>
    <w:p w:rsidRPr="00D302B9" w:rsidR="007C3E6E" w:rsidP="00666525" w:rsidRDefault="007C3E6E" w14:paraId="01E5255A" w14:textId="77777777">
      <w:pPr>
        <w:tabs>
          <w:tab w:val="left" w:pos="426"/>
        </w:tabs>
        <w:spacing w:line="276" w:lineRule="auto"/>
        <w:ind w:left="709" w:right="758"/>
        <w:jc w:val="both"/>
        <w:rPr>
          <w:rFonts w:ascii="Arial" w:hAnsi="Arial" w:eastAsia="Calibri" w:cs="Arial"/>
          <w:bCs/>
          <w:sz w:val="21"/>
          <w:szCs w:val="21"/>
        </w:rPr>
      </w:pPr>
    </w:p>
    <w:p w:rsidRPr="00D302B9" w:rsidR="00666525" w:rsidP="00666525" w:rsidRDefault="00666525" w14:paraId="1F51C798" w14:textId="29CAAB62">
      <w:pPr>
        <w:tabs>
          <w:tab w:val="left" w:pos="426"/>
        </w:tabs>
        <w:spacing w:line="276" w:lineRule="auto"/>
        <w:ind w:left="709" w:right="758"/>
        <w:jc w:val="both"/>
        <w:rPr>
          <w:rFonts w:ascii="Arial" w:hAnsi="Arial" w:eastAsia="Calibri" w:cs="Arial"/>
          <w:bCs/>
          <w:sz w:val="21"/>
          <w:szCs w:val="21"/>
        </w:rPr>
      </w:pPr>
      <w:r w:rsidRPr="00D302B9">
        <w:rPr>
          <w:rFonts w:ascii="Arial" w:hAnsi="Arial" w:eastAsia="Calibri" w:cs="Arial"/>
          <w:bCs/>
          <w:sz w:val="21"/>
          <w:szCs w:val="21"/>
        </w:rPr>
        <w:t xml:space="preserve">- La reserva de 1.000 </w:t>
      </w:r>
      <w:proofErr w:type="spellStart"/>
      <w:r w:rsidRPr="00D302B9">
        <w:rPr>
          <w:rFonts w:ascii="Arial" w:hAnsi="Arial" w:eastAsia="Calibri" w:cs="Arial"/>
          <w:bCs/>
          <w:sz w:val="21"/>
          <w:szCs w:val="21"/>
        </w:rPr>
        <w:t>smlmv</w:t>
      </w:r>
      <w:proofErr w:type="spellEnd"/>
      <w:r w:rsidRPr="00D302B9">
        <w:rPr>
          <w:rFonts w:ascii="Arial" w:hAnsi="Arial" w:eastAsia="Calibri" w:cs="Arial"/>
          <w:bCs/>
          <w:sz w:val="21"/>
          <w:szCs w:val="21"/>
        </w:rPr>
        <w:t xml:space="preserve"> aprobada en el primer debate, debe ser</w:t>
      </w:r>
      <w:r w:rsidRPr="00D302B9" w:rsidR="007C3E6E">
        <w:rPr>
          <w:rFonts w:ascii="Arial" w:hAnsi="Arial" w:eastAsia="Calibri" w:cs="Arial"/>
          <w:bCs/>
          <w:sz w:val="21"/>
          <w:szCs w:val="21"/>
        </w:rPr>
        <w:t xml:space="preserve"> </w:t>
      </w:r>
      <w:r w:rsidRPr="00D302B9">
        <w:rPr>
          <w:rFonts w:ascii="Arial" w:hAnsi="Arial" w:eastAsia="Calibri" w:cs="Arial"/>
          <w:bCs/>
          <w:sz w:val="21"/>
          <w:szCs w:val="21"/>
        </w:rPr>
        <w:t>ajustada a la cifra equivalente en pesos a $125.000 US, que corresponde a</w:t>
      </w:r>
      <w:r w:rsidRPr="00D302B9" w:rsidR="007C3E6E">
        <w:rPr>
          <w:rFonts w:ascii="Arial" w:hAnsi="Arial" w:eastAsia="Calibri" w:cs="Arial"/>
          <w:bCs/>
          <w:sz w:val="21"/>
          <w:szCs w:val="21"/>
        </w:rPr>
        <w:t xml:space="preserve"> </w:t>
      </w:r>
      <w:r w:rsidRPr="00D302B9">
        <w:rPr>
          <w:rFonts w:ascii="Arial" w:hAnsi="Arial" w:eastAsia="Calibri" w:cs="Arial"/>
          <w:bCs/>
          <w:sz w:val="21"/>
          <w:szCs w:val="21"/>
        </w:rPr>
        <w:t xml:space="preserve">la reserva de </w:t>
      </w:r>
      <w:proofErr w:type="spellStart"/>
      <w:r w:rsidRPr="00D302B9">
        <w:rPr>
          <w:rFonts w:ascii="Arial" w:hAnsi="Arial" w:eastAsia="Calibri" w:cs="Arial"/>
          <w:bCs/>
          <w:sz w:val="21"/>
          <w:szCs w:val="21"/>
        </w:rPr>
        <w:t>Mipymes</w:t>
      </w:r>
      <w:proofErr w:type="spellEnd"/>
      <w:r w:rsidRPr="00D302B9">
        <w:rPr>
          <w:rFonts w:ascii="Arial" w:hAnsi="Arial" w:eastAsia="Calibri" w:cs="Arial"/>
          <w:bCs/>
          <w:sz w:val="21"/>
          <w:szCs w:val="21"/>
        </w:rPr>
        <w:t xml:space="preserve"> que pactó el Gobierno Nacional en el TLC.</w:t>
      </w:r>
      <w:r w:rsidRPr="00D302B9" w:rsidR="007C3E6E">
        <w:rPr>
          <w:rFonts w:ascii="Arial" w:hAnsi="Arial" w:eastAsia="Calibri" w:cs="Arial"/>
          <w:bCs/>
          <w:sz w:val="21"/>
          <w:szCs w:val="21"/>
        </w:rPr>
        <w:t xml:space="preserve"> (Cursivas propias)</w:t>
      </w:r>
    </w:p>
    <w:p w:rsidRPr="00D302B9" w:rsidR="009B49D8" w:rsidP="004247C3" w:rsidRDefault="009B49D8" w14:paraId="3BEEFAE6" w14:textId="5A1C1262">
      <w:pPr>
        <w:tabs>
          <w:tab w:val="left" w:pos="426"/>
        </w:tabs>
        <w:spacing w:line="276" w:lineRule="auto"/>
        <w:jc w:val="both"/>
        <w:rPr>
          <w:rFonts w:ascii="Arial" w:hAnsi="Arial" w:eastAsia="Calibri" w:cs="Arial"/>
          <w:bCs/>
          <w:sz w:val="22"/>
        </w:rPr>
      </w:pPr>
    </w:p>
    <w:p w:rsidRPr="00D302B9" w:rsidR="00136C39" w:rsidP="0077525C" w:rsidRDefault="00136C39" w14:paraId="4734774B" w14:textId="3D7AC2FC">
      <w:pPr>
        <w:tabs>
          <w:tab w:val="left" w:pos="709"/>
        </w:tabs>
        <w:spacing w:line="276" w:lineRule="auto"/>
        <w:ind w:firstLine="709"/>
        <w:jc w:val="both"/>
        <w:rPr>
          <w:rFonts w:ascii="Arial" w:hAnsi="Arial" w:eastAsia="Calibri" w:cs="Arial"/>
          <w:bCs/>
          <w:sz w:val="22"/>
        </w:rPr>
      </w:pPr>
      <w:r w:rsidRPr="00D302B9">
        <w:rPr>
          <w:rFonts w:ascii="Arial" w:hAnsi="Arial" w:eastAsia="Calibri" w:cs="Arial"/>
          <w:bCs/>
          <w:sz w:val="22"/>
        </w:rPr>
        <w:t>A</w:t>
      </w:r>
      <w:r w:rsidRPr="00D302B9" w:rsidR="00C537F8">
        <w:rPr>
          <w:rFonts w:ascii="Arial" w:hAnsi="Arial" w:eastAsia="Calibri" w:cs="Arial"/>
          <w:bCs/>
          <w:sz w:val="22"/>
        </w:rPr>
        <w:t xml:space="preserve"> juicio de </w:t>
      </w:r>
      <w:r w:rsidRPr="00D302B9" w:rsidR="00BD0749">
        <w:rPr>
          <w:rFonts w:ascii="Arial" w:hAnsi="Arial" w:eastAsia="Calibri" w:cs="Arial"/>
          <w:bCs/>
          <w:sz w:val="22"/>
        </w:rPr>
        <w:t>la Agencia Nacional de Contratación Pública</w:t>
      </w:r>
      <w:r w:rsidRPr="00D302B9" w:rsidR="00C537F8">
        <w:rPr>
          <w:rFonts w:ascii="Arial" w:hAnsi="Arial" w:eastAsia="Calibri" w:cs="Arial"/>
          <w:bCs/>
          <w:sz w:val="22"/>
        </w:rPr>
        <w:t xml:space="preserve">, </w:t>
      </w:r>
      <w:r w:rsidRPr="00D302B9">
        <w:rPr>
          <w:rFonts w:ascii="Arial" w:hAnsi="Arial" w:eastAsia="Calibri" w:cs="Arial"/>
          <w:bCs/>
          <w:sz w:val="22"/>
        </w:rPr>
        <w:t xml:space="preserve">aunque pueda ser cierto que </w:t>
      </w:r>
      <w:r w:rsidRPr="00D302B9" w:rsidR="00BD0749">
        <w:rPr>
          <w:rFonts w:ascii="Arial" w:hAnsi="Arial" w:eastAsia="Calibri" w:cs="Arial"/>
          <w:bCs/>
          <w:sz w:val="22"/>
        </w:rPr>
        <w:t xml:space="preserve">la intención </w:t>
      </w:r>
      <w:r w:rsidRPr="00D302B9" w:rsidR="00586995">
        <w:rPr>
          <w:rFonts w:ascii="Arial" w:hAnsi="Arial" w:eastAsia="Calibri" w:cs="Arial"/>
          <w:bCs/>
          <w:sz w:val="22"/>
        </w:rPr>
        <w:t xml:space="preserve">inicial </w:t>
      </w:r>
      <w:r w:rsidRPr="00D302B9" w:rsidR="00BD0749">
        <w:rPr>
          <w:rFonts w:ascii="Arial" w:hAnsi="Arial" w:eastAsia="Calibri" w:cs="Arial"/>
          <w:bCs/>
          <w:sz w:val="22"/>
        </w:rPr>
        <w:t xml:space="preserve">del legislador </w:t>
      </w:r>
      <w:r w:rsidRPr="00D302B9" w:rsidR="00586995">
        <w:rPr>
          <w:rFonts w:ascii="Arial" w:hAnsi="Arial" w:eastAsia="Calibri" w:cs="Arial"/>
          <w:bCs/>
          <w:sz w:val="22"/>
        </w:rPr>
        <w:t>era</w:t>
      </w:r>
      <w:r w:rsidRPr="00D302B9" w:rsidR="00BD0749">
        <w:rPr>
          <w:rFonts w:ascii="Arial" w:hAnsi="Arial" w:eastAsia="Calibri" w:cs="Arial"/>
          <w:bCs/>
          <w:sz w:val="22"/>
        </w:rPr>
        <w:t xml:space="preserve"> la de restringir </w:t>
      </w:r>
      <w:r w:rsidRPr="00D302B9" w:rsidR="00C537F8">
        <w:rPr>
          <w:rFonts w:ascii="Arial" w:hAnsi="Arial" w:eastAsia="Calibri" w:cs="Arial"/>
          <w:bCs/>
          <w:sz w:val="22"/>
        </w:rPr>
        <w:t xml:space="preserve">el ámbito de aplicación </w:t>
      </w:r>
      <w:r w:rsidRPr="00D302B9" w:rsidR="00BD0749">
        <w:rPr>
          <w:rFonts w:ascii="Arial" w:hAnsi="Arial" w:eastAsia="Calibri" w:cs="Arial"/>
          <w:bCs/>
          <w:sz w:val="22"/>
        </w:rPr>
        <w:t xml:space="preserve">del artículo 12 de la Ley 1150 de 2007, a las </w:t>
      </w:r>
      <w:proofErr w:type="spellStart"/>
      <w:r w:rsidRPr="00D302B9" w:rsidR="00BD0749">
        <w:rPr>
          <w:rFonts w:ascii="Arial" w:hAnsi="Arial" w:eastAsia="Calibri" w:cs="Arial"/>
          <w:bCs/>
          <w:sz w:val="22"/>
        </w:rPr>
        <w:t>Mipymes</w:t>
      </w:r>
      <w:proofErr w:type="spellEnd"/>
      <w:r w:rsidRPr="00D302B9" w:rsidR="00BD0749">
        <w:rPr>
          <w:rFonts w:ascii="Arial" w:hAnsi="Arial" w:eastAsia="Calibri" w:cs="Arial"/>
          <w:bCs/>
          <w:sz w:val="22"/>
        </w:rPr>
        <w:t>, incluidas las conformadas por personas marginadas o discriminadas</w:t>
      </w:r>
      <w:r w:rsidRPr="00D302B9">
        <w:rPr>
          <w:rFonts w:ascii="Arial" w:hAnsi="Arial" w:eastAsia="Calibri" w:cs="Arial"/>
          <w:bCs/>
          <w:sz w:val="22"/>
        </w:rPr>
        <w:t xml:space="preserve">, lo cierto es que el ámbito de aplicación de dicha norma se amplió, </w:t>
      </w:r>
      <w:r w:rsidRPr="00D302B9" w:rsidR="00ED7CF9">
        <w:rPr>
          <w:rFonts w:ascii="Arial" w:hAnsi="Arial" w:eastAsia="Calibri" w:cs="Arial"/>
          <w:bCs/>
          <w:sz w:val="22"/>
        </w:rPr>
        <w:t xml:space="preserve">luego de la modificación introducida por el artículo 32 de la Ley 1450 de 2011, </w:t>
      </w:r>
      <w:r w:rsidRPr="00D302B9">
        <w:rPr>
          <w:rFonts w:ascii="Arial" w:hAnsi="Arial" w:eastAsia="Calibri" w:cs="Arial"/>
          <w:bCs/>
          <w:sz w:val="22"/>
        </w:rPr>
        <w:t>que establece que:</w:t>
      </w:r>
    </w:p>
    <w:p w:rsidRPr="00D302B9" w:rsidR="00136C39" w:rsidP="00136C39" w:rsidRDefault="00136C39" w14:paraId="10B31923" w14:textId="53007223">
      <w:pPr>
        <w:tabs>
          <w:tab w:val="left" w:pos="709"/>
        </w:tabs>
        <w:spacing w:line="276" w:lineRule="auto"/>
        <w:jc w:val="both"/>
        <w:rPr>
          <w:rFonts w:ascii="Arial" w:hAnsi="Arial" w:eastAsia="Calibri" w:cs="Arial"/>
          <w:bCs/>
          <w:sz w:val="22"/>
        </w:rPr>
      </w:pPr>
    </w:p>
    <w:p w:rsidRPr="00D302B9" w:rsidR="00136C39" w:rsidP="00136C39" w:rsidRDefault="00136C39" w14:paraId="53279031" w14:textId="3022E304">
      <w:pPr>
        <w:tabs>
          <w:tab w:val="left" w:pos="709"/>
        </w:tabs>
        <w:ind w:left="709" w:right="758"/>
        <w:jc w:val="both"/>
        <w:rPr>
          <w:rFonts w:ascii="Arial" w:hAnsi="Arial" w:eastAsia="Calibri" w:cs="Arial"/>
          <w:bCs/>
          <w:sz w:val="21"/>
          <w:szCs w:val="21"/>
        </w:rPr>
      </w:pPr>
      <w:r w:rsidRPr="00D302B9">
        <w:rPr>
          <w:rFonts w:ascii="Arial" w:hAnsi="Arial" w:eastAsia="Calibri" w:cs="Arial"/>
          <w:bCs/>
          <w:sz w:val="21"/>
          <w:szCs w:val="21"/>
        </w:rPr>
        <w:t>[…]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rsidRPr="00D302B9" w:rsidR="00136C39" w:rsidP="00136C39" w:rsidRDefault="00136C39" w14:paraId="0CBF4969" w14:textId="77777777">
      <w:pPr>
        <w:tabs>
          <w:tab w:val="left" w:pos="709"/>
        </w:tabs>
        <w:spacing w:line="276" w:lineRule="auto"/>
        <w:jc w:val="both"/>
        <w:rPr>
          <w:rFonts w:ascii="Arial" w:hAnsi="Arial" w:eastAsia="Calibri" w:cs="Arial"/>
          <w:bCs/>
          <w:sz w:val="22"/>
        </w:rPr>
      </w:pPr>
    </w:p>
    <w:p w:rsidRPr="00D302B9" w:rsidR="00721EFF" w:rsidP="0077525C" w:rsidRDefault="00136C39" w14:paraId="4A3BCFE7" w14:textId="43F5A348">
      <w:pPr>
        <w:tabs>
          <w:tab w:val="left" w:pos="709"/>
        </w:tabs>
        <w:spacing w:line="276" w:lineRule="auto"/>
        <w:ind w:firstLine="709"/>
        <w:jc w:val="both"/>
        <w:rPr>
          <w:rFonts w:ascii="Arial" w:hAnsi="Arial" w:eastAsia="Calibri" w:cs="Arial"/>
          <w:bCs/>
          <w:sz w:val="22"/>
        </w:rPr>
      </w:pPr>
      <w:r w:rsidRPr="00D302B9">
        <w:rPr>
          <w:rFonts w:ascii="Arial" w:hAnsi="Arial" w:eastAsia="Calibri" w:cs="Arial"/>
          <w:bCs/>
          <w:sz w:val="22"/>
        </w:rPr>
        <w:t xml:space="preserve">Nótese que </w:t>
      </w:r>
      <w:r w:rsidRPr="00D302B9" w:rsidR="00721EFF">
        <w:rPr>
          <w:rFonts w:ascii="Arial" w:hAnsi="Arial" w:eastAsia="Calibri" w:cs="Arial"/>
          <w:bCs/>
          <w:sz w:val="22"/>
        </w:rPr>
        <w:t>el legislador</w:t>
      </w:r>
      <w:r w:rsidRPr="00D302B9">
        <w:rPr>
          <w:rFonts w:ascii="Arial" w:hAnsi="Arial" w:eastAsia="Calibri" w:cs="Arial"/>
          <w:bCs/>
          <w:sz w:val="22"/>
        </w:rPr>
        <w:t xml:space="preserve"> </w:t>
      </w:r>
      <w:r w:rsidRPr="00D302B9" w:rsidR="00721EFF">
        <w:rPr>
          <w:rFonts w:ascii="Arial" w:hAnsi="Arial" w:eastAsia="Calibri" w:cs="Arial"/>
          <w:bCs/>
          <w:sz w:val="22"/>
        </w:rPr>
        <w:t>reconoció</w:t>
      </w:r>
      <w:r w:rsidRPr="00D302B9">
        <w:rPr>
          <w:rFonts w:ascii="Arial" w:hAnsi="Arial" w:eastAsia="Calibri" w:cs="Arial"/>
          <w:bCs/>
          <w:sz w:val="22"/>
        </w:rPr>
        <w:t xml:space="preserve">, </w:t>
      </w:r>
      <w:r w:rsidRPr="00D302B9" w:rsidR="00721EFF">
        <w:rPr>
          <w:rFonts w:ascii="Arial" w:hAnsi="Arial" w:eastAsia="Calibri" w:cs="Arial"/>
          <w:bCs/>
          <w:sz w:val="22"/>
        </w:rPr>
        <w:t xml:space="preserve">de forma genérica, la posibilidad que tienen las entidades públicas de implementar </w:t>
      </w:r>
      <w:r w:rsidRPr="00D302B9" w:rsidR="00A155CA">
        <w:rPr>
          <w:rFonts w:ascii="Arial" w:hAnsi="Arial" w:eastAsia="Calibri" w:cs="Arial"/>
          <w:bCs/>
          <w:sz w:val="22"/>
        </w:rPr>
        <w:t xml:space="preserve">en el pliego de condiciones </w:t>
      </w:r>
      <w:r w:rsidRPr="00D302B9" w:rsidR="00721EFF">
        <w:rPr>
          <w:rFonts w:ascii="Arial" w:hAnsi="Arial" w:eastAsia="Calibri" w:cs="Arial"/>
          <w:bCs/>
          <w:sz w:val="22"/>
        </w:rPr>
        <w:t xml:space="preserve">mecanismos que fomenten la ejecución de contratos estatales por parte de sujetos de especial protección constitucional. Con todo, </w:t>
      </w:r>
      <w:r w:rsidRPr="00D302B9" w:rsidR="00A155CA">
        <w:rPr>
          <w:rFonts w:ascii="Arial" w:hAnsi="Arial" w:eastAsia="Calibri" w:cs="Arial"/>
          <w:bCs/>
          <w:sz w:val="22"/>
        </w:rPr>
        <w:t>resulta imperioso aclarar que</w:t>
      </w:r>
      <w:r w:rsidRPr="00D302B9" w:rsidR="00721EFF">
        <w:rPr>
          <w:rFonts w:ascii="Arial" w:hAnsi="Arial" w:eastAsia="Calibri" w:cs="Arial"/>
          <w:bCs/>
          <w:sz w:val="22"/>
        </w:rPr>
        <w:t xml:space="preserve"> </w:t>
      </w:r>
      <w:r w:rsidRPr="00D302B9" w:rsidR="00A155CA">
        <w:rPr>
          <w:rFonts w:ascii="Arial" w:hAnsi="Arial" w:eastAsia="Calibri" w:cs="Arial"/>
          <w:bCs/>
          <w:sz w:val="22"/>
        </w:rPr>
        <w:t xml:space="preserve">dicha norma establece que tal posibilidad está circunscrita a «las condiciones que señale el reglamento», lo que hace forzoso concluir que tales mecanismos de fomento no pueden ser aplicados por las entidades, hasta tanto el </w:t>
      </w:r>
      <w:r w:rsidRPr="00D302B9" w:rsidR="00721EFF">
        <w:rPr>
          <w:rFonts w:ascii="Arial" w:hAnsi="Arial" w:eastAsia="Calibri" w:cs="Arial"/>
          <w:bCs/>
          <w:sz w:val="22"/>
        </w:rPr>
        <w:t>Gobierno Nacional</w:t>
      </w:r>
      <w:r w:rsidRPr="00D302B9" w:rsidR="00A155CA">
        <w:rPr>
          <w:rFonts w:ascii="Arial" w:hAnsi="Arial" w:eastAsia="Calibri" w:cs="Arial"/>
          <w:bCs/>
          <w:sz w:val="22"/>
        </w:rPr>
        <w:t xml:space="preserve"> expida la reglamentación correspondiente</w:t>
      </w:r>
      <w:r w:rsidRPr="00D302B9" w:rsidR="00721EFF">
        <w:rPr>
          <w:rFonts w:ascii="Arial" w:hAnsi="Arial" w:eastAsia="Calibri" w:cs="Arial"/>
          <w:bCs/>
          <w:sz w:val="22"/>
        </w:rPr>
        <w:t xml:space="preserve">, en ejercicio de las potestades </w:t>
      </w:r>
      <w:r w:rsidRPr="00D302B9" w:rsidR="00586995">
        <w:rPr>
          <w:rFonts w:ascii="Arial" w:hAnsi="Arial" w:eastAsia="Calibri" w:cs="Arial"/>
          <w:bCs/>
          <w:sz w:val="22"/>
        </w:rPr>
        <w:t xml:space="preserve">que le confiere </w:t>
      </w:r>
      <w:r w:rsidRPr="00D302B9" w:rsidR="00A155CA">
        <w:rPr>
          <w:rFonts w:ascii="Arial" w:hAnsi="Arial" w:eastAsia="Calibri" w:cs="Arial"/>
          <w:bCs/>
          <w:sz w:val="22"/>
        </w:rPr>
        <w:t xml:space="preserve">el </w:t>
      </w:r>
      <w:r w:rsidRPr="00D302B9" w:rsidR="00721EFF">
        <w:rPr>
          <w:rFonts w:ascii="Arial" w:hAnsi="Arial" w:eastAsia="Calibri" w:cs="Arial"/>
          <w:bCs/>
          <w:sz w:val="22"/>
        </w:rPr>
        <w:t>artículo 189</w:t>
      </w:r>
      <w:r w:rsidRPr="00D302B9" w:rsidR="00A155CA">
        <w:rPr>
          <w:rFonts w:ascii="Arial" w:hAnsi="Arial" w:eastAsia="Calibri" w:cs="Arial"/>
          <w:bCs/>
          <w:sz w:val="22"/>
        </w:rPr>
        <w:t>, numeral 11,</w:t>
      </w:r>
      <w:r w:rsidRPr="00D302B9" w:rsidR="00721EFF">
        <w:rPr>
          <w:rFonts w:ascii="Arial" w:hAnsi="Arial" w:eastAsia="Calibri" w:cs="Arial"/>
          <w:bCs/>
          <w:sz w:val="22"/>
        </w:rPr>
        <w:t xml:space="preserve"> de la Constitución</w:t>
      </w:r>
      <w:r w:rsidRPr="00D302B9" w:rsidR="001F0BE1">
        <w:rPr>
          <w:rFonts w:ascii="Arial" w:hAnsi="Arial" w:eastAsia="Calibri" w:cs="Arial"/>
          <w:bCs/>
          <w:sz w:val="22"/>
        </w:rPr>
        <w:t xml:space="preserve"> Política</w:t>
      </w:r>
      <w:r w:rsidRPr="00D302B9" w:rsidR="00721EFF">
        <w:rPr>
          <w:rFonts w:ascii="Arial" w:hAnsi="Arial" w:eastAsia="Calibri" w:cs="Arial"/>
          <w:bCs/>
          <w:sz w:val="22"/>
        </w:rPr>
        <w:t xml:space="preserve">. </w:t>
      </w:r>
    </w:p>
    <w:p w:rsidRPr="00D302B9" w:rsidR="000E7DAE" w:rsidP="000E7DAE" w:rsidRDefault="00586995" w14:paraId="760C334C" w14:textId="72E180E4">
      <w:pPr>
        <w:tabs>
          <w:tab w:val="left" w:pos="709"/>
          <w:tab w:val="left" w:pos="993"/>
        </w:tabs>
        <w:spacing w:before="120" w:line="276" w:lineRule="auto"/>
        <w:ind w:firstLine="709"/>
        <w:jc w:val="both"/>
        <w:rPr>
          <w:rFonts w:ascii="Arial" w:hAnsi="Arial" w:eastAsia="Calibri" w:cs="Arial"/>
          <w:bCs/>
          <w:sz w:val="22"/>
        </w:rPr>
      </w:pPr>
      <w:r w:rsidRPr="00D302B9">
        <w:rPr>
          <w:rFonts w:ascii="Arial" w:hAnsi="Arial" w:eastAsia="Calibri" w:cs="Arial"/>
          <w:bCs/>
          <w:sz w:val="22"/>
        </w:rPr>
        <w:lastRenderedPageBreak/>
        <w:t>El Gobierno Nacional ha desarrollado el alcance de tales incentivos en algunos casos, pero</w:t>
      </w:r>
      <w:r w:rsidRPr="00D302B9" w:rsidR="003B0CEC">
        <w:rPr>
          <w:rFonts w:ascii="Arial" w:hAnsi="Arial" w:eastAsia="Calibri" w:cs="Arial"/>
          <w:bCs/>
          <w:sz w:val="22"/>
        </w:rPr>
        <w:t xml:space="preserve"> </w:t>
      </w:r>
      <w:r w:rsidRPr="00D302B9">
        <w:rPr>
          <w:rFonts w:ascii="Arial" w:hAnsi="Arial" w:eastAsia="Calibri" w:cs="Arial"/>
          <w:bCs/>
          <w:sz w:val="22"/>
        </w:rPr>
        <w:t>en otros</w:t>
      </w:r>
      <w:r w:rsidRPr="00D302B9" w:rsidR="003B0CEC">
        <w:rPr>
          <w:rFonts w:ascii="Arial" w:hAnsi="Arial" w:eastAsia="Calibri" w:cs="Arial"/>
          <w:bCs/>
          <w:sz w:val="22"/>
        </w:rPr>
        <w:t xml:space="preserve"> </w:t>
      </w:r>
      <w:r w:rsidRPr="00D302B9">
        <w:rPr>
          <w:rFonts w:ascii="Arial" w:hAnsi="Arial" w:eastAsia="Calibri" w:cs="Arial"/>
          <w:bCs/>
          <w:sz w:val="22"/>
        </w:rPr>
        <w:t xml:space="preserve">aun no lo </w:t>
      </w:r>
      <w:r w:rsidRPr="00D302B9" w:rsidR="00FE3E16">
        <w:rPr>
          <w:rFonts w:ascii="Arial" w:hAnsi="Arial" w:eastAsia="Calibri" w:cs="Arial"/>
          <w:bCs/>
          <w:sz w:val="22"/>
        </w:rPr>
        <w:t xml:space="preserve">ha </w:t>
      </w:r>
      <w:r w:rsidRPr="00D302B9">
        <w:rPr>
          <w:rFonts w:ascii="Arial" w:hAnsi="Arial" w:eastAsia="Calibri" w:cs="Arial"/>
          <w:bCs/>
          <w:sz w:val="22"/>
        </w:rPr>
        <w:t xml:space="preserve">hecho. Por ejemplo, el artículo </w:t>
      </w:r>
      <w:r w:rsidRPr="00D302B9" w:rsidR="000E7DAE">
        <w:rPr>
          <w:rFonts w:ascii="Arial" w:hAnsi="Arial" w:eastAsia="Calibri" w:cs="Arial"/>
          <w:bCs/>
          <w:sz w:val="22"/>
        </w:rPr>
        <w:t>2.2.1.2.1.2.25.</w:t>
      </w:r>
      <w:r w:rsidRPr="00D302B9">
        <w:rPr>
          <w:rFonts w:ascii="Arial" w:hAnsi="Arial" w:eastAsia="Calibri" w:cs="Arial"/>
          <w:bCs/>
          <w:sz w:val="22"/>
        </w:rPr>
        <w:t xml:space="preserve"> del Decreto 1082 de 2015, reglamentario del artículo</w:t>
      </w:r>
      <w:r w:rsidRPr="00D302B9" w:rsidR="000E7DAE">
        <w:rPr>
          <w:rFonts w:ascii="Arial" w:hAnsi="Arial" w:eastAsia="Calibri" w:cs="Arial"/>
          <w:bCs/>
          <w:sz w:val="22"/>
        </w:rPr>
        <w:t xml:space="preserve"> 2, numeral 2, literal h, </w:t>
      </w:r>
      <w:r w:rsidRPr="00D302B9">
        <w:rPr>
          <w:rFonts w:ascii="Arial" w:hAnsi="Arial" w:eastAsia="Calibri" w:cs="Arial"/>
          <w:bCs/>
          <w:sz w:val="22"/>
        </w:rPr>
        <w:t xml:space="preserve">de la Ley 1150 de 2007, </w:t>
      </w:r>
      <w:r w:rsidRPr="00D302B9" w:rsidR="000E7DAE">
        <w:rPr>
          <w:rFonts w:ascii="Arial" w:hAnsi="Arial" w:eastAsia="Calibri" w:cs="Arial"/>
          <w:bCs/>
          <w:sz w:val="22"/>
        </w:rPr>
        <w:t>reconoce que las entidades que tengan a su cargo la ejecución de programas de protección de personas amenazadas</w:t>
      </w:r>
      <w:r w:rsidRPr="00D302B9" w:rsidR="003B0CEC">
        <w:rPr>
          <w:rFonts w:ascii="Arial" w:hAnsi="Arial" w:eastAsia="Calibri" w:cs="Arial"/>
          <w:bCs/>
          <w:sz w:val="22"/>
        </w:rPr>
        <w:t>; d</w:t>
      </w:r>
      <w:r w:rsidRPr="00D302B9" w:rsidR="000E7DAE">
        <w:rPr>
          <w:rFonts w:ascii="Arial" w:hAnsi="Arial" w:eastAsia="Calibri" w:cs="Arial"/>
          <w:bCs/>
          <w:sz w:val="22"/>
        </w:rPr>
        <w:t>e desmovilización y reincorporación a la vida civil de personas y grupos al margen de la ley, incluida la atención de los respectivos grupos familiares</w:t>
      </w:r>
      <w:r w:rsidRPr="00D302B9" w:rsidR="003B0CEC">
        <w:rPr>
          <w:rFonts w:ascii="Arial" w:hAnsi="Arial" w:eastAsia="Calibri" w:cs="Arial"/>
          <w:bCs/>
          <w:sz w:val="22"/>
        </w:rPr>
        <w:t>;</w:t>
      </w:r>
      <w:r w:rsidRPr="00D302B9" w:rsidR="000E7DAE">
        <w:rPr>
          <w:rFonts w:ascii="Arial" w:hAnsi="Arial" w:eastAsia="Calibri" w:cs="Arial"/>
          <w:bCs/>
          <w:sz w:val="22"/>
        </w:rPr>
        <w:t xml:space="preserve"> de atención a población desplazada por la violencia</w:t>
      </w:r>
      <w:r w:rsidRPr="00D302B9" w:rsidR="003B0CEC">
        <w:rPr>
          <w:rFonts w:ascii="Arial" w:hAnsi="Arial" w:eastAsia="Calibri" w:cs="Arial"/>
          <w:bCs/>
          <w:sz w:val="22"/>
        </w:rPr>
        <w:t>;</w:t>
      </w:r>
      <w:r w:rsidRPr="00D302B9" w:rsidR="000E7DAE">
        <w:rPr>
          <w:rFonts w:ascii="Arial" w:hAnsi="Arial" w:eastAsia="Calibri" w:cs="Arial"/>
          <w:bCs/>
          <w:sz w:val="22"/>
        </w:rPr>
        <w:t xml:space="preserve"> de protección de derechos humanos de grupos de personas habitantes de la calle, niños y niñas o jóvenes involucrados en grupos juveniles que hayan incurrido en conductas contra el patrimonio económico y sostengan enfrentamientos violentos de diferente tipo</w:t>
      </w:r>
      <w:r w:rsidRPr="00D302B9" w:rsidR="00226FE9">
        <w:rPr>
          <w:rFonts w:ascii="Arial" w:hAnsi="Arial" w:eastAsia="Calibri" w:cs="Arial"/>
          <w:bCs/>
          <w:sz w:val="22"/>
        </w:rPr>
        <w:t>;</w:t>
      </w:r>
      <w:r w:rsidRPr="00D302B9" w:rsidR="000E7DAE">
        <w:rPr>
          <w:rFonts w:ascii="Arial" w:hAnsi="Arial" w:eastAsia="Calibri" w:cs="Arial"/>
          <w:bCs/>
          <w:sz w:val="22"/>
        </w:rPr>
        <w:t xml:space="preserve"> y </w:t>
      </w:r>
      <w:r w:rsidRPr="00D302B9" w:rsidR="00226FE9">
        <w:rPr>
          <w:rFonts w:ascii="Arial" w:hAnsi="Arial" w:eastAsia="Calibri" w:cs="Arial"/>
          <w:bCs/>
          <w:sz w:val="22"/>
        </w:rPr>
        <w:t xml:space="preserve">de </w:t>
      </w:r>
      <w:r w:rsidRPr="00D302B9" w:rsidR="000E7DAE">
        <w:rPr>
          <w:rFonts w:ascii="Arial" w:hAnsi="Arial" w:eastAsia="Calibri" w:cs="Arial"/>
          <w:bCs/>
          <w:sz w:val="22"/>
        </w:rPr>
        <w:t>población en alto grado de vulnerabilidad con reconocido estado de exclusión que requieran capacitación, resocialización y preparación para el trabajo, «deben aplicar el procedimiento establecido para la selección abreviada de menor cuantía».</w:t>
      </w:r>
    </w:p>
    <w:p w:rsidRPr="00D302B9" w:rsidR="00721EFF" w:rsidP="00984663" w:rsidRDefault="00984663" w14:paraId="1A300D22" w14:textId="0638FC5C">
      <w:pPr>
        <w:tabs>
          <w:tab w:val="left" w:pos="709"/>
          <w:tab w:val="left" w:pos="993"/>
        </w:tabs>
        <w:spacing w:before="120" w:line="276" w:lineRule="auto"/>
        <w:ind w:firstLine="709"/>
        <w:jc w:val="both"/>
        <w:rPr>
          <w:rFonts w:ascii="Arial" w:hAnsi="Arial" w:eastAsia="Calibri" w:cs="Arial"/>
          <w:bCs/>
          <w:sz w:val="22"/>
        </w:rPr>
      </w:pPr>
      <w:r w:rsidRPr="00D302B9">
        <w:rPr>
          <w:rFonts w:ascii="Arial" w:hAnsi="Arial" w:eastAsia="Calibri" w:cs="Arial"/>
          <w:bCs/>
          <w:sz w:val="22"/>
        </w:rPr>
        <w:t>Igualmente, p</w:t>
      </w:r>
      <w:r w:rsidRPr="00D302B9" w:rsidR="00721EFF">
        <w:rPr>
          <w:rFonts w:ascii="Arial" w:hAnsi="Arial" w:eastAsia="Calibri" w:cs="Arial"/>
          <w:bCs/>
          <w:sz w:val="22"/>
        </w:rPr>
        <w:t>or disposición del</w:t>
      </w:r>
      <w:r w:rsidRPr="00D302B9" w:rsidR="00A67EE7">
        <w:rPr>
          <w:rFonts w:ascii="Arial" w:hAnsi="Arial" w:eastAsia="Calibri" w:cs="Arial"/>
          <w:bCs/>
          <w:sz w:val="22"/>
        </w:rPr>
        <w:t xml:space="preserve"> </w:t>
      </w:r>
      <w:r w:rsidRPr="00D302B9" w:rsidR="00721EFF">
        <w:rPr>
          <w:rFonts w:ascii="Arial" w:hAnsi="Arial" w:eastAsia="Calibri" w:cs="Arial"/>
          <w:bCs/>
          <w:sz w:val="22"/>
        </w:rPr>
        <w:t xml:space="preserve">artículo </w:t>
      </w:r>
      <w:r w:rsidRPr="00D302B9" w:rsidR="000E179C">
        <w:rPr>
          <w:rFonts w:ascii="Arial" w:hAnsi="Arial" w:eastAsia="Calibri" w:cs="Arial"/>
          <w:bCs/>
          <w:sz w:val="22"/>
        </w:rPr>
        <w:t>2.2.1.2.4.2.6.</w:t>
      </w:r>
      <w:r w:rsidRPr="00D302B9" w:rsidR="00A67EE7">
        <w:rPr>
          <w:rFonts w:ascii="Arial" w:hAnsi="Arial" w:eastAsia="Calibri" w:cs="Arial"/>
          <w:bCs/>
          <w:sz w:val="22"/>
        </w:rPr>
        <w:t xml:space="preserve"> </w:t>
      </w:r>
      <w:r w:rsidRPr="00D302B9" w:rsidR="002012CB">
        <w:rPr>
          <w:rFonts w:ascii="Arial" w:hAnsi="Arial" w:eastAsia="Calibri" w:cs="Arial"/>
          <w:bCs/>
          <w:sz w:val="22"/>
        </w:rPr>
        <w:t>del Decreto 1082 de 2015</w:t>
      </w:r>
      <w:r w:rsidRPr="00D302B9" w:rsidR="00A67EE7">
        <w:rPr>
          <w:rFonts w:ascii="Arial" w:hAnsi="Arial" w:eastAsia="Calibri" w:cs="Arial"/>
          <w:bCs/>
          <w:sz w:val="22"/>
        </w:rPr>
        <w:t xml:space="preserve">,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requisitos que regula dicha norma y en los términos establecidos en los artículos 2.2.1.2.4.2.7. y 2.2.1.2.4.2.8. </w:t>
      </w:r>
      <w:proofErr w:type="spellStart"/>
      <w:r w:rsidRPr="00D302B9" w:rsidR="00A67EE7">
        <w:rPr>
          <w:rFonts w:ascii="Arial" w:hAnsi="Arial" w:eastAsia="Calibri" w:cs="Arial"/>
          <w:bCs/>
          <w:i/>
          <w:iCs/>
          <w:sz w:val="22"/>
        </w:rPr>
        <w:t>ibídem</w:t>
      </w:r>
      <w:proofErr w:type="spellEnd"/>
      <w:r w:rsidRPr="00D302B9" w:rsidR="00A67EE7">
        <w:rPr>
          <w:rFonts w:ascii="Arial" w:hAnsi="Arial" w:eastAsia="Calibri" w:cs="Arial"/>
          <w:bCs/>
          <w:sz w:val="22"/>
        </w:rPr>
        <w:t xml:space="preserve">. En similares términos, se reconocen beneficios contractuales en favor de estas personas, en los Documentos Tipo, tanto en los de licitación pública como en los de mínima cuantía, como dan cuenta los «documentos base» al regular los criterios de desempate «numeral 4.4.7» </w:t>
      </w:r>
    </w:p>
    <w:p w:rsidRPr="00D302B9" w:rsidR="00A67EE7" w:rsidP="00A67EE7" w:rsidRDefault="00A67EE7" w14:paraId="720CCD12" w14:textId="4C3DD657">
      <w:pPr>
        <w:tabs>
          <w:tab w:val="left" w:pos="709"/>
        </w:tabs>
        <w:spacing w:before="120" w:line="276" w:lineRule="auto"/>
        <w:jc w:val="both"/>
        <w:rPr>
          <w:rFonts w:ascii="Arial" w:hAnsi="Arial" w:eastAsia="Calibri" w:cs="Arial"/>
          <w:bCs/>
          <w:sz w:val="22"/>
        </w:rPr>
      </w:pPr>
      <w:r w:rsidRPr="00D302B9">
        <w:rPr>
          <w:rFonts w:ascii="Arial" w:hAnsi="Arial" w:eastAsia="Calibri" w:cs="Arial"/>
          <w:bCs/>
          <w:sz w:val="22"/>
        </w:rPr>
        <w:tab/>
      </w:r>
      <w:r w:rsidRPr="00D302B9">
        <w:rPr>
          <w:rFonts w:ascii="Arial" w:hAnsi="Arial" w:eastAsia="Calibri" w:cs="Arial"/>
          <w:bCs/>
          <w:sz w:val="22"/>
        </w:rPr>
        <w:t>Incluso, la Agencia Nacional de Contratación Pública y el Departamento Nacional de Planeación, en conjunto con la Vicepresidencia de la República, se encuentran, actualmente, trabajando en un proyecto de decreto que pretende implementar algunas medidas en favor de las mujeres cabezas de familia en materia de contratación estatal, desarrollando para ello el artículo 11 de la Ley 82 de 1993. Este tipo de medidas normativas, a nuestro juicio, materializa los principios constitucionales y es compatible con las obligaciones internacionales adquiridas por el Estado colombiano, en el entendido de que tales obligaciones no solo vinculan a los poderes legislativos sino también a todo el aparato estatal, el cual es llamado de forma íntegra y omnicomprensiva a la protección de la mujer.</w:t>
      </w:r>
    </w:p>
    <w:p w:rsidRPr="00D302B9" w:rsidR="00931EF1" w:rsidP="00931EF1" w:rsidRDefault="00A67EE7" w14:paraId="221E07CD" w14:textId="79966BCE">
      <w:pPr>
        <w:tabs>
          <w:tab w:val="left" w:pos="709"/>
        </w:tabs>
        <w:spacing w:before="120" w:line="276" w:lineRule="auto"/>
        <w:jc w:val="both"/>
        <w:rPr>
          <w:rFonts w:ascii="Arial" w:hAnsi="Arial" w:eastAsia="Calibri" w:cs="Arial"/>
          <w:bCs/>
          <w:sz w:val="22"/>
        </w:rPr>
      </w:pPr>
      <w:r w:rsidRPr="00D302B9">
        <w:rPr>
          <w:rFonts w:ascii="Arial" w:hAnsi="Arial" w:eastAsia="Calibri" w:cs="Arial"/>
          <w:bCs/>
          <w:sz w:val="22"/>
        </w:rPr>
        <w:tab/>
      </w:r>
      <w:r w:rsidRPr="00D302B9" w:rsidR="00931EF1">
        <w:rPr>
          <w:rFonts w:ascii="Arial" w:hAnsi="Arial" w:eastAsia="Calibri" w:cs="Arial"/>
          <w:bCs/>
          <w:sz w:val="22"/>
        </w:rPr>
        <w:t xml:space="preserve">Es del caso precisar que la Ley 823 de 2003, en el artículo 5, numeral 2, establece que «el Gobierno Nacional promoverá la incorporación de las mujeres al empleo en el sector de la construcción, mediante la sensibilización, la capacitación y el reconocimiento de incentivos a los empresarios del sector». Esto último en acatamiento de las obligaciones internacionales adquiridas por el Estado al suscribir, entre otras, la Convención </w:t>
      </w:r>
      <w:r w:rsidRPr="00D302B9" w:rsidR="00931EF1">
        <w:rPr>
          <w:rFonts w:ascii="Arial" w:hAnsi="Arial" w:eastAsia="Calibri" w:cs="Arial"/>
          <w:bCs/>
          <w:sz w:val="22"/>
        </w:rPr>
        <w:lastRenderedPageBreak/>
        <w:t>Interamericana para Prevenir, Sancionar y Erradicar la Violencia contra la Mujer −Convención de Belem do Para−, aprobada por el Congreso mediante la Ley 248 de 1995.</w:t>
      </w:r>
    </w:p>
    <w:p w:rsidRPr="00D302B9" w:rsidR="00721EFF" w:rsidP="00B775C4" w:rsidRDefault="001E31B9" w14:paraId="09ABF83B" w14:textId="7A1E59AA">
      <w:pPr>
        <w:tabs>
          <w:tab w:val="left" w:pos="709"/>
        </w:tabs>
        <w:spacing w:before="120" w:line="276" w:lineRule="auto"/>
        <w:jc w:val="both"/>
        <w:rPr>
          <w:rFonts w:ascii="Arial" w:hAnsi="Arial" w:eastAsia="Calibri" w:cs="Arial"/>
          <w:bCs/>
          <w:sz w:val="22"/>
        </w:rPr>
      </w:pPr>
      <w:r w:rsidRPr="00D302B9">
        <w:rPr>
          <w:rFonts w:ascii="Arial" w:hAnsi="Arial" w:eastAsia="Calibri" w:cs="Arial"/>
          <w:bCs/>
          <w:sz w:val="22"/>
        </w:rPr>
        <w:tab/>
      </w:r>
      <w:r w:rsidRPr="00D302B9" w:rsidR="00621313">
        <w:rPr>
          <w:rFonts w:ascii="Arial" w:hAnsi="Arial" w:eastAsia="Calibri" w:cs="Arial"/>
          <w:bCs/>
          <w:sz w:val="22"/>
        </w:rPr>
        <w:t>De todas formas, en lo que tiene que ver con la ejecución de contratos estatales y con la provisión de bienes y servicios por parte de mujeres</w:t>
      </w:r>
      <w:r w:rsidRPr="00D302B9" w:rsidR="00931EF1">
        <w:rPr>
          <w:rFonts w:ascii="Arial" w:hAnsi="Arial" w:eastAsia="Calibri" w:cs="Arial"/>
          <w:bCs/>
          <w:sz w:val="22"/>
        </w:rPr>
        <w:t xml:space="preserve">, hasta que </w:t>
      </w:r>
      <w:r w:rsidRPr="00D302B9" w:rsidR="00226FE9">
        <w:rPr>
          <w:rFonts w:ascii="Arial" w:hAnsi="Arial" w:eastAsia="Calibri" w:cs="Arial"/>
          <w:bCs/>
          <w:sz w:val="22"/>
        </w:rPr>
        <w:t xml:space="preserve">el Gobierno Nacional </w:t>
      </w:r>
      <w:r w:rsidRPr="00D302B9" w:rsidR="00621313">
        <w:rPr>
          <w:rFonts w:ascii="Arial" w:hAnsi="Arial" w:eastAsia="Calibri" w:cs="Arial"/>
          <w:bCs/>
          <w:sz w:val="22"/>
        </w:rPr>
        <w:t xml:space="preserve">no reglamente las condiciones de aplicación del artículo 12, inciso 4, de la Ley 1150 de 2007, </w:t>
      </w:r>
      <w:r w:rsidRPr="00D302B9">
        <w:rPr>
          <w:rFonts w:ascii="Arial" w:hAnsi="Arial" w:eastAsia="Calibri" w:cs="Arial"/>
          <w:bCs/>
          <w:sz w:val="22"/>
        </w:rPr>
        <w:t xml:space="preserve">no es posible que las entidades establezcan </w:t>
      </w:r>
      <w:r w:rsidRPr="00D302B9" w:rsidR="00621313">
        <w:rPr>
          <w:rFonts w:ascii="Arial" w:hAnsi="Arial" w:eastAsia="Calibri" w:cs="Arial"/>
          <w:bCs/>
          <w:sz w:val="22"/>
        </w:rPr>
        <w:t>mecanismos de fomento en los pliegos de condiciones, precisamente</w:t>
      </w:r>
      <w:r w:rsidRPr="00D302B9">
        <w:rPr>
          <w:rFonts w:ascii="Arial" w:hAnsi="Arial" w:eastAsia="Calibri" w:cs="Arial"/>
          <w:bCs/>
          <w:sz w:val="22"/>
        </w:rPr>
        <w:t>, por</w:t>
      </w:r>
      <w:r w:rsidRPr="00D302B9" w:rsidR="00245606">
        <w:rPr>
          <w:rFonts w:ascii="Arial" w:hAnsi="Arial" w:eastAsia="Calibri" w:cs="Arial"/>
          <w:bCs/>
          <w:sz w:val="22"/>
        </w:rPr>
        <w:t xml:space="preserve"> la falta de desarrollo frente a </w:t>
      </w:r>
      <w:r w:rsidRPr="00D302B9">
        <w:rPr>
          <w:rFonts w:ascii="Arial" w:hAnsi="Arial" w:eastAsia="Calibri" w:cs="Arial"/>
          <w:bCs/>
          <w:sz w:val="22"/>
        </w:rPr>
        <w:t>las condiciones para que esto sea posible</w:t>
      </w:r>
      <w:r w:rsidRPr="00D302B9" w:rsidR="00621313">
        <w:rPr>
          <w:rFonts w:ascii="Arial" w:hAnsi="Arial" w:eastAsia="Calibri" w:cs="Arial"/>
          <w:bCs/>
          <w:sz w:val="22"/>
        </w:rPr>
        <w:t xml:space="preserve">, como sí </w:t>
      </w:r>
      <w:r w:rsidRPr="00D302B9" w:rsidR="0014712D">
        <w:rPr>
          <w:rFonts w:ascii="Arial" w:hAnsi="Arial" w:eastAsia="Calibri" w:cs="Arial"/>
          <w:bCs/>
          <w:sz w:val="22"/>
        </w:rPr>
        <w:t>se</w:t>
      </w:r>
      <w:r w:rsidRPr="00D302B9" w:rsidR="00621313">
        <w:rPr>
          <w:rFonts w:ascii="Arial" w:hAnsi="Arial" w:eastAsia="Calibri" w:cs="Arial"/>
          <w:bCs/>
          <w:sz w:val="22"/>
        </w:rPr>
        <w:t xml:space="preserve"> hizo, por ejemplo, con las personas en condición de discapacidad, entre otros</w:t>
      </w:r>
      <w:r w:rsidRPr="00D302B9">
        <w:rPr>
          <w:rFonts w:ascii="Arial" w:hAnsi="Arial" w:eastAsia="Calibri" w:cs="Arial"/>
          <w:bCs/>
          <w:sz w:val="22"/>
        </w:rPr>
        <w:t>.</w:t>
      </w:r>
      <w:r w:rsidRPr="00D302B9" w:rsidR="00B775C4">
        <w:rPr>
          <w:rFonts w:ascii="Arial" w:hAnsi="Arial" w:eastAsia="Calibri" w:cs="Arial"/>
          <w:bCs/>
          <w:sz w:val="22"/>
        </w:rPr>
        <w:t xml:space="preserve"> </w:t>
      </w:r>
      <w:r w:rsidRPr="00D302B9" w:rsidR="0014712D">
        <w:rPr>
          <w:rFonts w:ascii="Arial" w:hAnsi="Arial" w:eastAsia="Calibri" w:cs="Arial"/>
          <w:bCs/>
          <w:sz w:val="22"/>
        </w:rPr>
        <w:t>Las entidades públicas, incluidas las territoriales, t</w:t>
      </w:r>
      <w:r w:rsidRPr="00D302B9" w:rsidR="00621313">
        <w:rPr>
          <w:rFonts w:ascii="Arial" w:hAnsi="Arial" w:eastAsia="Calibri" w:cs="Arial"/>
          <w:bCs/>
          <w:sz w:val="22"/>
        </w:rPr>
        <w:t>ampoco puede</w:t>
      </w:r>
      <w:r w:rsidRPr="00D302B9" w:rsidR="00EA2600">
        <w:rPr>
          <w:rFonts w:ascii="Arial" w:hAnsi="Arial" w:eastAsia="Calibri" w:cs="Arial"/>
          <w:bCs/>
          <w:sz w:val="22"/>
        </w:rPr>
        <w:t>n</w:t>
      </w:r>
      <w:r w:rsidRPr="00D302B9" w:rsidR="00621313">
        <w:rPr>
          <w:rFonts w:ascii="Arial" w:hAnsi="Arial" w:eastAsia="Calibri" w:cs="Arial"/>
          <w:bCs/>
          <w:sz w:val="22"/>
        </w:rPr>
        <w:t xml:space="preserve"> implementar este tipo de </w:t>
      </w:r>
      <w:r w:rsidRPr="00D302B9" w:rsidR="00EA2600">
        <w:rPr>
          <w:rFonts w:ascii="Arial" w:hAnsi="Arial" w:eastAsia="Calibri" w:cs="Arial"/>
          <w:bCs/>
          <w:sz w:val="22"/>
        </w:rPr>
        <w:t xml:space="preserve">medidas diferenciales </w:t>
      </w:r>
      <w:r w:rsidRPr="00D302B9" w:rsidR="00621313">
        <w:rPr>
          <w:rFonts w:ascii="Arial" w:hAnsi="Arial" w:eastAsia="Calibri" w:cs="Arial"/>
          <w:bCs/>
          <w:sz w:val="22"/>
        </w:rPr>
        <w:t>con fundamento en</w:t>
      </w:r>
      <w:r w:rsidRPr="00D302B9" w:rsidR="00B775C4">
        <w:rPr>
          <w:rFonts w:ascii="Arial" w:hAnsi="Arial" w:eastAsia="Calibri" w:cs="Arial"/>
          <w:bCs/>
          <w:sz w:val="22"/>
        </w:rPr>
        <w:t xml:space="preserve"> </w:t>
      </w:r>
      <w:r w:rsidRPr="00D302B9" w:rsidR="00EA2600">
        <w:rPr>
          <w:rFonts w:ascii="Arial" w:hAnsi="Arial" w:eastAsia="Calibri" w:cs="Arial"/>
          <w:bCs/>
          <w:sz w:val="22"/>
        </w:rPr>
        <w:t>el mandato contenido en</w:t>
      </w:r>
      <w:r w:rsidRPr="00D302B9" w:rsidR="00B775C4">
        <w:rPr>
          <w:rFonts w:ascii="Arial" w:hAnsi="Arial" w:eastAsia="Calibri" w:cs="Arial"/>
          <w:bCs/>
          <w:sz w:val="22"/>
        </w:rPr>
        <w:t xml:space="preserve"> Ley </w:t>
      </w:r>
      <w:r w:rsidRPr="00D302B9" w:rsidR="00621313">
        <w:rPr>
          <w:rFonts w:ascii="Arial" w:hAnsi="Arial" w:eastAsia="Calibri" w:cs="Arial"/>
          <w:bCs/>
          <w:sz w:val="22"/>
        </w:rPr>
        <w:t xml:space="preserve">823 de 2003, </w:t>
      </w:r>
      <w:r w:rsidRPr="00D302B9" w:rsidR="0014712D">
        <w:rPr>
          <w:rFonts w:ascii="Arial" w:hAnsi="Arial" w:eastAsia="Calibri" w:cs="Arial"/>
          <w:bCs/>
          <w:sz w:val="22"/>
        </w:rPr>
        <w:t>pues el mismo</w:t>
      </w:r>
      <w:r w:rsidRPr="00D302B9" w:rsidR="00EA2600">
        <w:rPr>
          <w:rFonts w:ascii="Arial" w:hAnsi="Arial" w:eastAsia="Calibri" w:cs="Arial"/>
          <w:bCs/>
          <w:sz w:val="22"/>
        </w:rPr>
        <w:t xml:space="preserve"> está dirigido</w:t>
      </w:r>
      <w:r w:rsidRPr="00D302B9" w:rsidR="00F617F8">
        <w:rPr>
          <w:rFonts w:ascii="Arial" w:hAnsi="Arial" w:eastAsia="Calibri" w:cs="Arial"/>
          <w:bCs/>
          <w:sz w:val="22"/>
        </w:rPr>
        <w:t xml:space="preserve"> expresamente</w:t>
      </w:r>
      <w:r w:rsidRPr="00D302B9" w:rsidR="00B775C4">
        <w:rPr>
          <w:rFonts w:ascii="Arial" w:hAnsi="Arial" w:eastAsia="Calibri" w:cs="Arial"/>
          <w:bCs/>
          <w:sz w:val="22"/>
        </w:rPr>
        <w:t xml:space="preserve"> al Gobierno Nacional, </w:t>
      </w:r>
      <w:r w:rsidRPr="00D302B9" w:rsidR="00EA2600">
        <w:rPr>
          <w:rFonts w:ascii="Arial" w:hAnsi="Arial" w:eastAsia="Calibri" w:cs="Arial"/>
          <w:bCs/>
          <w:sz w:val="22"/>
        </w:rPr>
        <w:t>lo que impide</w:t>
      </w:r>
      <w:r w:rsidRPr="00D302B9" w:rsidR="00B775C4">
        <w:rPr>
          <w:rFonts w:ascii="Arial" w:hAnsi="Arial" w:eastAsia="Calibri" w:cs="Arial"/>
          <w:bCs/>
          <w:sz w:val="22"/>
        </w:rPr>
        <w:t xml:space="preserve"> que </w:t>
      </w:r>
      <w:r w:rsidRPr="00D302B9" w:rsidR="00F617F8">
        <w:rPr>
          <w:rFonts w:ascii="Arial" w:hAnsi="Arial" w:eastAsia="Calibri" w:cs="Arial"/>
          <w:bCs/>
          <w:sz w:val="22"/>
        </w:rPr>
        <w:t>cualquier entidad diferente implemente</w:t>
      </w:r>
      <w:r w:rsidRPr="00D302B9" w:rsidR="00EA2600">
        <w:rPr>
          <w:rFonts w:ascii="Arial" w:hAnsi="Arial" w:eastAsia="Calibri" w:cs="Arial"/>
          <w:bCs/>
          <w:sz w:val="22"/>
        </w:rPr>
        <w:t xml:space="preserve"> </w:t>
      </w:r>
      <w:r w:rsidRPr="00D302B9" w:rsidR="00B775C4">
        <w:rPr>
          <w:rFonts w:ascii="Arial" w:hAnsi="Arial" w:eastAsia="Calibri" w:cs="Arial"/>
          <w:bCs/>
          <w:sz w:val="22"/>
        </w:rPr>
        <w:t xml:space="preserve">medidas </w:t>
      </w:r>
      <w:r w:rsidRPr="00D302B9" w:rsidR="00621313">
        <w:rPr>
          <w:rFonts w:ascii="Arial" w:hAnsi="Arial" w:eastAsia="Calibri" w:cs="Arial"/>
          <w:bCs/>
          <w:sz w:val="22"/>
        </w:rPr>
        <w:t xml:space="preserve">que fomenten la contratación estatal en favor de </w:t>
      </w:r>
      <w:r w:rsidRPr="00D302B9" w:rsidR="00B775C4">
        <w:rPr>
          <w:rFonts w:ascii="Arial" w:hAnsi="Arial" w:eastAsia="Calibri" w:cs="Arial"/>
          <w:bCs/>
          <w:sz w:val="22"/>
        </w:rPr>
        <w:t>mujeres.</w:t>
      </w:r>
      <w:r w:rsidRPr="00D302B9" w:rsidR="00EA2600">
        <w:rPr>
          <w:rFonts w:ascii="Arial" w:hAnsi="Arial" w:eastAsia="Calibri" w:cs="Arial"/>
          <w:bCs/>
          <w:sz w:val="22"/>
        </w:rPr>
        <w:t xml:space="preserve"> Todo, claro está, sin perjuicio de las obligaciones generales que le </w:t>
      </w:r>
      <w:proofErr w:type="spellStart"/>
      <w:r w:rsidRPr="00D302B9" w:rsidR="00EA2600">
        <w:rPr>
          <w:rFonts w:ascii="Arial" w:hAnsi="Arial" w:eastAsia="Calibri" w:cs="Arial"/>
          <w:bCs/>
          <w:sz w:val="22"/>
        </w:rPr>
        <w:t>asite</w:t>
      </w:r>
      <w:proofErr w:type="spellEnd"/>
      <w:r w:rsidRPr="00D302B9" w:rsidR="00EA2600">
        <w:rPr>
          <w:rFonts w:ascii="Arial" w:hAnsi="Arial" w:eastAsia="Calibri" w:cs="Arial"/>
          <w:bCs/>
          <w:sz w:val="22"/>
        </w:rPr>
        <w:t xml:space="preserve"> a toda entidad </w:t>
      </w:r>
      <w:r w:rsidRPr="00D302B9" w:rsidR="00452571">
        <w:rPr>
          <w:rFonts w:ascii="Arial" w:hAnsi="Arial" w:eastAsia="Calibri" w:cs="Arial"/>
          <w:bCs/>
          <w:sz w:val="22"/>
        </w:rPr>
        <w:t xml:space="preserve">pública </w:t>
      </w:r>
      <w:r w:rsidRPr="00D302B9" w:rsidR="00EA2600">
        <w:rPr>
          <w:rFonts w:ascii="Arial" w:hAnsi="Arial" w:eastAsia="Calibri" w:cs="Arial"/>
          <w:bCs/>
          <w:sz w:val="22"/>
        </w:rPr>
        <w:t>de impedir cualquier tipo de</w:t>
      </w:r>
      <w:r w:rsidRPr="00D302B9" w:rsidR="00452571">
        <w:rPr>
          <w:rFonts w:ascii="Arial" w:hAnsi="Arial" w:eastAsia="Calibri" w:cs="Arial"/>
          <w:bCs/>
          <w:sz w:val="22"/>
        </w:rPr>
        <w:t xml:space="preserve"> acto discriminatorio que </w:t>
      </w:r>
      <w:r w:rsidRPr="00D302B9" w:rsidR="00496831">
        <w:rPr>
          <w:rFonts w:ascii="Arial" w:hAnsi="Arial" w:eastAsia="Calibri" w:cs="Arial"/>
          <w:bCs/>
          <w:sz w:val="22"/>
        </w:rPr>
        <w:t>afecte</w:t>
      </w:r>
      <w:r w:rsidRPr="00D302B9" w:rsidR="00EA2600">
        <w:rPr>
          <w:rFonts w:ascii="Arial" w:hAnsi="Arial" w:eastAsia="Calibri" w:cs="Arial"/>
          <w:bCs/>
          <w:sz w:val="22"/>
        </w:rPr>
        <w:t xml:space="preserve"> a las mujeres</w:t>
      </w:r>
      <w:r w:rsidRPr="00D302B9" w:rsidR="00452571">
        <w:rPr>
          <w:rFonts w:ascii="Arial" w:hAnsi="Arial" w:eastAsia="Calibri" w:cs="Arial"/>
          <w:bCs/>
          <w:sz w:val="22"/>
        </w:rPr>
        <w:t xml:space="preserve"> </w:t>
      </w:r>
      <w:r w:rsidRPr="00D302B9" w:rsidR="00496831">
        <w:rPr>
          <w:rFonts w:ascii="Arial" w:hAnsi="Arial" w:eastAsia="Calibri" w:cs="Arial"/>
          <w:bCs/>
          <w:sz w:val="22"/>
        </w:rPr>
        <w:t>por su condición de mujer en sí misma considerada</w:t>
      </w:r>
      <w:r w:rsidRPr="00D302B9" w:rsidR="00EA2600">
        <w:rPr>
          <w:rFonts w:ascii="Arial" w:hAnsi="Arial" w:eastAsia="Calibri" w:cs="Arial"/>
          <w:bCs/>
          <w:sz w:val="22"/>
        </w:rPr>
        <w:t>.</w:t>
      </w:r>
    </w:p>
    <w:p w:rsidRPr="00D302B9" w:rsidR="00BE1E33" w:rsidP="00BE1E33" w:rsidRDefault="00BE1E33" w14:paraId="38C5A9D2" w14:textId="77777777">
      <w:pPr>
        <w:spacing w:line="276" w:lineRule="auto"/>
        <w:jc w:val="both"/>
        <w:rPr>
          <w:rFonts w:ascii="Arial" w:hAnsi="Arial" w:eastAsia="Calibri" w:cs="Arial"/>
          <w:sz w:val="22"/>
        </w:rPr>
      </w:pPr>
    </w:p>
    <w:p w:rsidRPr="00D302B9" w:rsidR="00BE1E33" w:rsidP="00BE1E33" w:rsidRDefault="00BE1E33" w14:paraId="4DAE4437" w14:textId="77777777">
      <w:pPr>
        <w:pStyle w:val="Prrafodelista"/>
        <w:numPr>
          <w:ilvl w:val="0"/>
          <w:numId w:val="1"/>
        </w:numPr>
        <w:tabs>
          <w:tab w:val="left" w:pos="284"/>
        </w:tabs>
        <w:spacing w:line="276" w:lineRule="auto"/>
        <w:ind w:left="0" w:firstLine="0"/>
        <w:rPr>
          <w:rFonts w:ascii="Arial" w:hAnsi="Arial" w:cs="Arial"/>
          <w:b/>
          <w:bCs/>
          <w:sz w:val="22"/>
          <w:lang w:val="es-CO"/>
        </w:rPr>
      </w:pPr>
      <w:r w:rsidRPr="00D302B9">
        <w:rPr>
          <w:rFonts w:ascii="Arial" w:hAnsi="Arial" w:cs="Arial"/>
          <w:b/>
          <w:bCs/>
          <w:sz w:val="22"/>
          <w:lang w:val="es-CO"/>
        </w:rPr>
        <w:t xml:space="preserve">Respuesta </w:t>
      </w:r>
    </w:p>
    <w:p w:rsidRPr="00D302B9" w:rsidR="00BE1E33" w:rsidP="00BE1E33" w:rsidRDefault="00BE1E33" w14:paraId="317BE2F9" w14:textId="77777777">
      <w:pPr>
        <w:spacing w:line="276" w:lineRule="auto"/>
        <w:ind w:right="709"/>
        <w:jc w:val="both"/>
        <w:rPr>
          <w:rFonts w:ascii="Arial" w:hAnsi="Arial" w:cs="Arial"/>
          <w:sz w:val="21"/>
          <w:szCs w:val="21"/>
          <w:lang w:val="es-CO"/>
        </w:rPr>
      </w:pPr>
    </w:p>
    <w:p w:rsidRPr="00D302B9" w:rsidR="00EA749D" w:rsidP="00C90231" w:rsidRDefault="00EA749D" w14:paraId="21E77E7C" w14:textId="77777777">
      <w:pPr>
        <w:spacing w:line="276" w:lineRule="auto"/>
        <w:ind w:left="709" w:right="709"/>
        <w:jc w:val="both"/>
        <w:rPr>
          <w:rFonts w:ascii="Arial" w:hAnsi="Arial" w:eastAsia="Calibri" w:cs="Arial"/>
          <w:sz w:val="22"/>
        </w:rPr>
      </w:pPr>
      <w:r w:rsidRPr="00D302B9">
        <w:rPr>
          <w:rFonts w:ascii="Arial" w:hAnsi="Arial" w:eastAsia="Calibri" w:cs="Arial"/>
          <w:sz w:val="22"/>
        </w:rPr>
        <w:t>i) «¿el Gobierno Nacional, a través de CCE, ha realizado o adelanta alguna reglamentación para promover la incorporación de las mujeres al empleo en el sector de la construcción pública a través de las licitaciones de obra y/o concursos para interventorías o Consultorías, en lo posible que se otorgue puntaje a la propuesta por determinado porcentaje mínimo de personal femenino calificado y/o no calificado; como ya lo hay para personas con discapacidad?».</w:t>
      </w:r>
    </w:p>
    <w:p w:rsidRPr="00D302B9" w:rsidR="00982E99" w:rsidP="00EA749D" w:rsidRDefault="00EA749D" w14:paraId="2B1BAA16" w14:textId="3EAEE0A1">
      <w:pPr>
        <w:ind w:left="709" w:right="758"/>
        <w:jc w:val="both"/>
        <w:rPr>
          <w:rFonts w:ascii="Arial" w:hAnsi="Arial" w:eastAsia="Calibri" w:cs="Arial"/>
          <w:sz w:val="22"/>
        </w:rPr>
      </w:pPr>
      <w:r w:rsidRPr="00D302B9">
        <w:rPr>
          <w:rFonts w:ascii="Arial" w:hAnsi="Arial" w:eastAsia="Calibri" w:cs="Arial"/>
          <w:sz w:val="21"/>
          <w:szCs w:val="21"/>
        </w:rPr>
        <w:tab/>
      </w:r>
    </w:p>
    <w:p w:rsidRPr="00D302B9" w:rsidR="00EA749D" w:rsidP="006F376B" w:rsidRDefault="006F376B" w14:paraId="7AC636F5" w14:textId="6EAD3377">
      <w:pPr>
        <w:tabs>
          <w:tab w:val="left" w:pos="709"/>
        </w:tabs>
        <w:spacing w:before="120" w:line="276" w:lineRule="auto"/>
        <w:jc w:val="both"/>
        <w:rPr>
          <w:rFonts w:ascii="Arial" w:hAnsi="Arial" w:eastAsia="Calibri" w:cs="Arial"/>
          <w:bCs/>
          <w:sz w:val="22"/>
        </w:rPr>
      </w:pPr>
      <w:r w:rsidRPr="00D302B9">
        <w:rPr>
          <w:rFonts w:ascii="Arial" w:hAnsi="Arial" w:eastAsia="Calibri" w:cs="Arial"/>
          <w:sz w:val="22"/>
        </w:rPr>
        <w:t>L</w:t>
      </w:r>
      <w:r w:rsidRPr="00D302B9">
        <w:rPr>
          <w:rFonts w:ascii="Arial" w:hAnsi="Arial" w:eastAsia="Calibri" w:cs="Arial"/>
          <w:bCs/>
          <w:sz w:val="22"/>
        </w:rPr>
        <w:t xml:space="preserve">a Agencia Nacional de Contratación Pública y el Departamento Nacional de Planeación, en conjunto con la Vicepresidencia de la República, se encuentran, actualmente, trabajando en un proyecto de decreto que pretende implementar algunas medidas en favor de las mujeres en materia de contratación estatal, desarrollando para ello el artículo 11 de la Ley 82 de 1993. </w:t>
      </w:r>
      <w:r w:rsidRPr="00D302B9" w:rsidR="00F2370E">
        <w:rPr>
          <w:rFonts w:ascii="Arial" w:hAnsi="Arial" w:eastAsia="Calibri" w:cs="Arial"/>
          <w:bCs/>
          <w:sz w:val="22"/>
        </w:rPr>
        <w:t>La implementación</w:t>
      </w:r>
      <w:r w:rsidRPr="00D302B9">
        <w:rPr>
          <w:rFonts w:ascii="Arial" w:hAnsi="Arial" w:eastAsia="Calibri" w:cs="Arial"/>
          <w:bCs/>
          <w:sz w:val="22"/>
        </w:rPr>
        <w:t xml:space="preserve"> de este tipo de medidas </w:t>
      </w:r>
      <w:proofErr w:type="gramStart"/>
      <w:r w:rsidRPr="00D302B9">
        <w:rPr>
          <w:rFonts w:ascii="Arial" w:hAnsi="Arial" w:eastAsia="Calibri" w:cs="Arial"/>
          <w:bCs/>
          <w:sz w:val="22"/>
        </w:rPr>
        <w:t>normativas,</w:t>
      </w:r>
      <w:proofErr w:type="gramEnd"/>
      <w:r w:rsidRPr="00D302B9">
        <w:rPr>
          <w:rFonts w:ascii="Arial" w:hAnsi="Arial" w:eastAsia="Calibri" w:cs="Arial"/>
          <w:bCs/>
          <w:sz w:val="22"/>
        </w:rPr>
        <w:t xml:space="preserve"> claro está, se encuentran sometida a un proceso de deliberación política, en el cual el escrutinio social y jurídico debe ser especialmente calificado, dada su importancia</w:t>
      </w:r>
      <w:r w:rsidRPr="00D302B9" w:rsidR="00AA07C1">
        <w:rPr>
          <w:rFonts w:ascii="Arial" w:hAnsi="Arial" w:eastAsia="Calibri" w:cs="Arial"/>
          <w:bCs/>
          <w:sz w:val="22"/>
        </w:rPr>
        <w:t>;</w:t>
      </w:r>
      <w:r w:rsidRPr="00D302B9">
        <w:rPr>
          <w:rFonts w:ascii="Arial" w:hAnsi="Arial" w:eastAsia="Calibri" w:cs="Arial"/>
          <w:bCs/>
          <w:sz w:val="22"/>
        </w:rPr>
        <w:t xml:space="preserve"> lo que, además de suponer un producto de mayor calidad, implica el agotamiento de diferentes etapas de concertación, las cuales, a su vez, exigen de un tiempo prudencial, del cual depende su vocación de prosperidad. Sin embargo, esta Agencia se encuentra comprometida en dicha normativa.</w:t>
      </w:r>
    </w:p>
    <w:p w:rsidRPr="00D302B9" w:rsidR="006F376B" w:rsidP="003A7100" w:rsidRDefault="006F376B" w14:paraId="3D10DD94" w14:textId="77777777">
      <w:pPr>
        <w:tabs>
          <w:tab w:val="left" w:pos="709"/>
        </w:tabs>
        <w:jc w:val="both"/>
        <w:rPr>
          <w:rFonts w:ascii="Arial" w:hAnsi="Arial" w:eastAsia="Calibri" w:cs="Arial"/>
          <w:sz w:val="22"/>
        </w:rPr>
      </w:pPr>
    </w:p>
    <w:p w:rsidRPr="00D302B9" w:rsidR="00EA749D" w:rsidP="00C90231" w:rsidRDefault="00EA749D" w14:paraId="507C0EC6" w14:textId="77777777">
      <w:pPr>
        <w:spacing w:line="276" w:lineRule="auto"/>
        <w:ind w:left="709" w:right="709"/>
        <w:jc w:val="both"/>
        <w:rPr>
          <w:rFonts w:ascii="Arial" w:hAnsi="Arial" w:eastAsia="Calibri" w:cs="Arial"/>
          <w:sz w:val="22"/>
        </w:rPr>
      </w:pPr>
      <w:proofErr w:type="spellStart"/>
      <w:r w:rsidRPr="00D302B9">
        <w:rPr>
          <w:rFonts w:ascii="Arial" w:hAnsi="Arial" w:eastAsia="Calibri" w:cs="Arial"/>
          <w:sz w:val="22"/>
        </w:rPr>
        <w:t>ii</w:t>
      </w:r>
      <w:proofErr w:type="spellEnd"/>
      <w:r w:rsidRPr="00D302B9">
        <w:rPr>
          <w:rFonts w:ascii="Arial" w:hAnsi="Arial" w:eastAsia="Calibri" w:cs="Arial"/>
          <w:sz w:val="22"/>
        </w:rPr>
        <w:t xml:space="preserve">) «¿el Gobierno Departamental, a través de decretos u ordenanzas, o sus entidades descentralizadas, pueden expedir reglamentación sobre la </w:t>
      </w:r>
      <w:r w:rsidRPr="00D302B9">
        <w:rPr>
          <w:rFonts w:ascii="Arial" w:hAnsi="Arial" w:eastAsia="Calibri" w:cs="Arial"/>
          <w:sz w:val="22"/>
        </w:rPr>
        <w:lastRenderedPageBreak/>
        <w:t>dosificación, atenuantes y agravantes en procesos sancionatorios contractuales?».</w:t>
      </w:r>
    </w:p>
    <w:p w:rsidRPr="00D302B9" w:rsidR="00EA749D" w:rsidP="003A7100" w:rsidRDefault="00EA749D" w14:paraId="525D3A0F" w14:textId="77777777">
      <w:pPr>
        <w:jc w:val="both"/>
        <w:rPr>
          <w:rFonts w:ascii="Arial" w:hAnsi="Arial" w:eastAsia="Calibri" w:cs="Arial"/>
          <w:sz w:val="22"/>
        </w:rPr>
      </w:pPr>
    </w:p>
    <w:p w:rsidRPr="00D302B9" w:rsidR="00BE1E33" w:rsidP="008573E3" w:rsidRDefault="00607179" w14:paraId="315D744B" w14:textId="67EF9C38">
      <w:pPr>
        <w:tabs>
          <w:tab w:val="left" w:pos="709"/>
        </w:tabs>
        <w:spacing w:line="276" w:lineRule="auto"/>
        <w:jc w:val="both"/>
        <w:rPr>
          <w:rFonts w:ascii="Arial" w:hAnsi="Arial" w:eastAsia="Calibri" w:cs="Arial"/>
          <w:bCs/>
          <w:sz w:val="22"/>
        </w:rPr>
      </w:pPr>
      <w:r w:rsidRPr="00D302B9">
        <w:rPr>
          <w:rFonts w:ascii="Arial" w:hAnsi="Arial" w:eastAsia="Calibri" w:cs="Arial"/>
          <w:bCs/>
          <w:sz w:val="22"/>
        </w:rPr>
        <w:t xml:space="preserve">No es posible que los concejos municipales y las asambleas departamentales </w:t>
      </w:r>
      <w:r w:rsidRPr="00D302B9" w:rsidR="00A6782A">
        <w:rPr>
          <w:rFonts w:ascii="Arial" w:hAnsi="Arial" w:eastAsia="Calibri" w:cs="Arial"/>
          <w:bCs/>
          <w:sz w:val="22"/>
        </w:rPr>
        <w:t>regulen</w:t>
      </w:r>
      <w:r w:rsidRPr="00D302B9">
        <w:rPr>
          <w:rFonts w:ascii="Arial" w:hAnsi="Arial" w:eastAsia="Calibri" w:cs="Arial"/>
          <w:bCs/>
          <w:sz w:val="22"/>
        </w:rPr>
        <w:t xml:space="preserve"> la dosificación, atenuantes y agravantes en los procesos sancionatorios contractuales, pues al hacerlo estarían excediendo su potestad reglamentaria. Tal afirmación se deriva de la jurisprudencia pacífica de la Sección Tercera del Consejo de Estado, quien ha considerado que es competencia exclusiva del Congreso de la República establecer, por un lado, los «elementos del tipo administrativo», esto es, el sujeto activo, el sujeto pasivo, los hechos constitutivos del «incumplimiento» y los elementos descriptivos y normativos de la conducta a sancionar. Por el otro lado, </w:t>
      </w:r>
      <w:r w:rsidRPr="00D302B9" w:rsidR="00A6782A">
        <w:rPr>
          <w:rFonts w:ascii="Arial" w:hAnsi="Arial" w:eastAsia="Calibri" w:cs="Arial"/>
          <w:bCs/>
          <w:sz w:val="22"/>
        </w:rPr>
        <w:t xml:space="preserve">también es competencia exclusiva del Congreso de la República </w:t>
      </w:r>
      <w:r w:rsidRPr="00D302B9">
        <w:rPr>
          <w:rFonts w:ascii="Arial" w:hAnsi="Arial" w:eastAsia="Calibri" w:cs="Arial"/>
          <w:bCs/>
          <w:sz w:val="22"/>
        </w:rPr>
        <w:t>regular lo relacionado con el procedimiento sancionatorio contractual. Tale</w:t>
      </w:r>
      <w:r w:rsidRPr="00D302B9" w:rsidR="009F41B3">
        <w:rPr>
          <w:rFonts w:ascii="Arial" w:hAnsi="Arial" w:eastAsia="Calibri" w:cs="Arial"/>
          <w:bCs/>
          <w:sz w:val="22"/>
        </w:rPr>
        <w:t>s</w:t>
      </w:r>
      <w:r w:rsidRPr="00D302B9">
        <w:rPr>
          <w:rFonts w:ascii="Arial" w:hAnsi="Arial" w:eastAsia="Calibri" w:cs="Arial"/>
          <w:bCs/>
          <w:sz w:val="22"/>
        </w:rPr>
        <w:t xml:space="preserve"> consideraciones</w:t>
      </w:r>
      <w:r w:rsidRPr="00D302B9" w:rsidR="009F41B3">
        <w:rPr>
          <w:rFonts w:ascii="Arial" w:hAnsi="Arial" w:eastAsia="Calibri" w:cs="Arial"/>
          <w:bCs/>
          <w:sz w:val="22"/>
        </w:rPr>
        <w:t>, como se dijo en el presente documento,</w:t>
      </w:r>
      <w:r w:rsidRPr="00D302B9">
        <w:rPr>
          <w:rFonts w:ascii="Arial" w:hAnsi="Arial" w:eastAsia="Calibri" w:cs="Arial"/>
          <w:bCs/>
          <w:sz w:val="22"/>
        </w:rPr>
        <w:t xml:space="preserve"> encuentran fundamento en los artículos 150, numeral 10, y 113 de la Constitución Política, así como también en la jurisprudencia de la Corte Constitucional.</w:t>
      </w:r>
    </w:p>
    <w:p w:rsidRPr="00D302B9" w:rsidR="000F1E89" w:rsidP="008573E3" w:rsidRDefault="000F1E89" w14:paraId="30187C98" w14:textId="77777777">
      <w:pPr>
        <w:spacing w:line="276" w:lineRule="auto"/>
        <w:jc w:val="both"/>
        <w:rPr>
          <w:rFonts w:ascii="Arial" w:hAnsi="Arial" w:cs="Arial"/>
          <w:sz w:val="22"/>
          <w:lang w:val="es-CO"/>
        </w:rPr>
      </w:pPr>
    </w:p>
    <w:p w:rsidRPr="00D302B9" w:rsidR="00EA749D" w:rsidP="008573E3" w:rsidRDefault="00EA749D" w14:paraId="71FB2B4D" w14:textId="25ED5C39">
      <w:pPr>
        <w:spacing w:line="276" w:lineRule="auto"/>
        <w:ind w:left="709" w:right="709"/>
        <w:jc w:val="both"/>
        <w:rPr>
          <w:rFonts w:ascii="Arial" w:hAnsi="Arial" w:eastAsia="Calibri" w:cs="Arial"/>
          <w:sz w:val="22"/>
        </w:rPr>
      </w:pPr>
      <w:proofErr w:type="spellStart"/>
      <w:r w:rsidRPr="00D302B9">
        <w:rPr>
          <w:rFonts w:ascii="Arial" w:hAnsi="Arial" w:eastAsia="Calibri" w:cs="Arial"/>
          <w:sz w:val="22"/>
        </w:rPr>
        <w:t>iii</w:t>
      </w:r>
      <w:proofErr w:type="spellEnd"/>
      <w:r w:rsidRPr="00D302B9">
        <w:rPr>
          <w:rFonts w:ascii="Arial" w:hAnsi="Arial" w:eastAsia="Calibri" w:cs="Arial"/>
          <w:sz w:val="22"/>
        </w:rPr>
        <w:t>) «¿la entidad contratante puede establecer y pactar en la minuta una proporción o cantidad mínima de mujeres de la región entre el personal calificado y entre el personal no calificado, que deben ser vinculados a la ejecución de las obras, interventorías, y consultorías?</w:t>
      </w:r>
      <w:r w:rsidRPr="00D302B9" w:rsidR="000F1E89">
        <w:rPr>
          <w:rFonts w:ascii="Arial" w:hAnsi="Arial" w:eastAsia="Calibri" w:cs="Arial"/>
          <w:sz w:val="22"/>
        </w:rPr>
        <w:t xml:space="preserve"> ¿Esta obligación se podría basar en lo establecido en la Ley 823 de 2003 artículo 5, numeral 2?</w:t>
      </w:r>
      <w:r w:rsidRPr="00D302B9">
        <w:rPr>
          <w:rFonts w:ascii="Arial" w:hAnsi="Arial" w:eastAsia="Calibri" w:cs="Arial"/>
          <w:sz w:val="22"/>
        </w:rPr>
        <w:t>»</w:t>
      </w:r>
      <w:r w:rsidRPr="00D302B9" w:rsidR="00647C00">
        <w:rPr>
          <w:rFonts w:ascii="Arial" w:hAnsi="Arial" w:eastAsia="Calibri" w:cs="Arial"/>
          <w:sz w:val="22"/>
        </w:rPr>
        <w:t>.</w:t>
      </w:r>
      <w:r w:rsidRPr="00D302B9">
        <w:rPr>
          <w:rFonts w:ascii="Arial" w:hAnsi="Arial" w:eastAsia="Calibri" w:cs="Arial"/>
          <w:sz w:val="22"/>
        </w:rPr>
        <w:t xml:space="preserve"> </w:t>
      </w:r>
    </w:p>
    <w:p w:rsidRPr="00D302B9" w:rsidR="00EA749D" w:rsidP="008573E3" w:rsidRDefault="00EA749D" w14:paraId="1A05CE2B" w14:textId="77777777">
      <w:pPr>
        <w:ind w:left="709" w:right="758"/>
        <w:jc w:val="both"/>
        <w:rPr>
          <w:rFonts w:ascii="Arial" w:hAnsi="Arial" w:eastAsia="Calibri" w:cs="Arial"/>
          <w:sz w:val="21"/>
          <w:szCs w:val="21"/>
        </w:rPr>
      </w:pPr>
    </w:p>
    <w:p w:rsidRPr="00D302B9" w:rsidR="000F1E89" w:rsidP="008573E3" w:rsidRDefault="000F1E89" w14:paraId="21FF6A10" w14:textId="29C18E00">
      <w:pPr>
        <w:spacing w:line="276" w:lineRule="auto"/>
        <w:jc w:val="both"/>
        <w:rPr>
          <w:rFonts w:ascii="Arial" w:hAnsi="Arial" w:eastAsia="Calibri" w:cs="Arial"/>
          <w:sz w:val="22"/>
        </w:rPr>
      </w:pPr>
      <w:r w:rsidRPr="00D302B9">
        <w:rPr>
          <w:rFonts w:ascii="Arial" w:hAnsi="Arial" w:eastAsia="Calibri" w:cs="Arial"/>
          <w:sz w:val="22"/>
        </w:rPr>
        <w:t>Actualmente</w:t>
      </w:r>
      <w:r w:rsidRPr="00D302B9" w:rsidR="00647C00">
        <w:rPr>
          <w:rFonts w:ascii="Arial" w:hAnsi="Arial" w:eastAsia="Calibri" w:cs="Arial"/>
          <w:sz w:val="22"/>
        </w:rPr>
        <w:t>, no existe una norma que le</w:t>
      </w:r>
      <w:r w:rsidRPr="00D302B9" w:rsidR="00D564DE">
        <w:rPr>
          <w:rFonts w:ascii="Arial" w:hAnsi="Arial" w:eastAsia="Calibri" w:cs="Arial"/>
          <w:sz w:val="22"/>
        </w:rPr>
        <w:t>s</w:t>
      </w:r>
      <w:r w:rsidRPr="00D302B9" w:rsidR="00647C00">
        <w:rPr>
          <w:rFonts w:ascii="Arial" w:hAnsi="Arial" w:eastAsia="Calibri" w:cs="Arial"/>
          <w:sz w:val="22"/>
        </w:rPr>
        <w:t xml:space="preserve"> otorgue competencia a las entidades públicas para establecer y ponderar de forma distinta las propuestas</w:t>
      </w:r>
      <w:r w:rsidRPr="00D302B9">
        <w:rPr>
          <w:rFonts w:ascii="Arial" w:hAnsi="Arial" w:eastAsia="Calibri" w:cs="Arial"/>
          <w:sz w:val="22"/>
        </w:rPr>
        <w:t xml:space="preserve"> </w:t>
      </w:r>
      <w:r w:rsidRPr="00D302B9" w:rsidR="00647C00">
        <w:rPr>
          <w:rFonts w:ascii="Arial" w:hAnsi="Arial" w:eastAsia="Calibri" w:cs="Arial"/>
          <w:sz w:val="22"/>
        </w:rPr>
        <w:t>que acrediten una cantidad mínima de mujeres de una región en específico</w:t>
      </w:r>
      <w:r w:rsidRPr="00D302B9">
        <w:rPr>
          <w:rFonts w:ascii="Arial" w:hAnsi="Arial" w:eastAsia="Calibri" w:cs="Arial"/>
          <w:sz w:val="22"/>
        </w:rPr>
        <w:t xml:space="preserve">. </w:t>
      </w:r>
      <w:r w:rsidRPr="00D302B9" w:rsidR="00647C00">
        <w:rPr>
          <w:rFonts w:ascii="Arial" w:hAnsi="Arial" w:eastAsia="Calibri" w:cs="Arial"/>
          <w:sz w:val="22"/>
        </w:rPr>
        <w:t xml:space="preserve">Por una parte, la norma que usted refiere confiere una habilitación dirigida al Gobierno Nacional y no a las entidades estatales de forma genérica. Por la otra, el artículo 12 de la Ley 1150 de 2007, tal y como se explicó en el numeral 2.2. de este concepto, </w:t>
      </w:r>
      <w:r w:rsidRPr="00D302B9" w:rsidR="001E31B9">
        <w:rPr>
          <w:rFonts w:ascii="Arial" w:hAnsi="Arial" w:eastAsia="Calibri" w:cs="Arial"/>
          <w:sz w:val="22"/>
        </w:rPr>
        <w:t>aún no ha sido reglamentado por el Gobierno Nacional, en lo que tiene que ver con los incentivos contractuales en favor de las mujeres</w:t>
      </w:r>
      <w:r w:rsidRPr="00D302B9" w:rsidR="00647C00">
        <w:rPr>
          <w:rFonts w:ascii="Arial" w:hAnsi="Arial" w:eastAsia="Calibri" w:cs="Arial"/>
          <w:sz w:val="22"/>
        </w:rPr>
        <w:t xml:space="preserve">. </w:t>
      </w:r>
      <w:r w:rsidRPr="00D302B9">
        <w:rPr>
          <w:rFonts w:ascii="Arial" w:hAnsi="Arial" w:eastAsia="Calibri" w:cs="Arial"/>
          <w:sz w:val="22"/>
        </w:rPr>
        <w:t xml:space="preserve">Esto </w:t>
      </w:r>
      <w:r w:rsidRPr="00D302B9" w:rsidR="001E31B9">
        <w:rPr>
          <w:rFonts w:ascii="Arial" w:hAnsi="Arial" w:eastAsia="Calibri" w:cs="Arial"/>
          <w:sz w:val="22"/>
        </w:rPr>
        <w:t xml:space="preserve">último </w:t>
      </w:r>
      <w:r w:rsidRPr="00D302B9">
        <w:rPr>
          <w:rFonts w:ascii="Arial" w:hAnsi="Arial" w:eastAsia="Calibri" w:cs="Arial"/>
          <w:sz w:val="22"/>
        </w:rPr>
        <w:t>significa</w:t>
      </w:r>
      <w:r w:rsidRPr="00D302B9" w:rsidR="001E31B9">
        <w:rPr>
          <w:rFonts w:ascii="Arial" w:hAnsi="Arial" w:eastAsia="Calibri" w:cs="Arial"/>
          <w:sz w:val="22"/>
        </w:rPr>
        <w:t xml:space="preserve"> que, hasta tanto se profiera tal reglamentación, las entidades estatales no pueden invocar dicha norma como fundamento para establecer medidas en favor de las mujeres</w:t>
      </w:r>
      <w:r w:rsidRPr="00D302B9" w:rsidR="00647C00">
        <w:rPr>
          <w:rFonts w:ascii="Arial" w:hAnsi="Arial" w:eastAsia="Calibri" w:cs="Arial"/>
          <w:sz w:val="22"/>
        </w:rPr>
        <w:t>.</w:t>
      </w:r>
    </w:p>
    <w:p w:rsidRPr="00D302B9" w:rsidR="00EA749D" w:rsidP="00EA749D" w:rsidRDefault="00EA749D" w14:paraId="58C8D993" w14:textId="77777777">
      <w:pPr>
        <w:ind w:left="709" w:right="758"/>
        <w:jc w:val="both"/>
        <w:rPr>
          <w:rFonts w:ascii="Arial" w:hAnsi="Arial" w:eastAsia="Calibri" w:cs="Arial"/>
          <w:sz w:val="21"/>
          <w:szCs w:val="21"/>
        </w:rPr>
      </w:pPr>
    </w:p>
    <w:p w:rsidRPr="00D302B9" w:rsidR="00EA749D" w:rsidP="008573E3" w:rsidRDefault="00EA749D" w14:paraId="5807453D" w14:textId="09B5C274">
      <w:pPr>
        <w:spacing w:line="276" w:lineRule="auto"/>
        <w:ind w:left="709" w:right="709"/>
        <w:jc w:val="both"/>
        <w:rPr>
          <w:rFonts w:ascii="Arial" w:hAnsi="Arial" w:eastAsia="Calibri" w:cs="Arial"/>
          <w:sz w:val="22"/>
        </w:rPr>
      </w:pPr>
      <w:proofErr w:type="spellStart"/>
      <w:r w:rsidRPr="00D302B9">
        <w:rPr>
          <w:rFonts w:ascii="Arial" w:hAnsi="Arial" w:eastAsia="Calibri" w:cs="Arial"/>
          <w:sz w:val="22"/>
        </w:rPr>
        <w:t>iv</w:t>
      </w:r>
      <w:proofErr w:type="spellEnd"/>
      <w:r w:rsidRPr="00D302B9">
        <w:rPr>
          <w:rFonts w:ascii="Arial" w:hAnsi="Arial" w:eastAsia="Calibri" w:cs="Arial"/>
          <w:sz w:val="22"/>
        </w:rPr>
        <w:t xml:space="preserve">) «¿la entidad contratante puede propiciar desde el borrador de minuta una proporción o cantidad mínima de mujeres de la región entre el personal calificado y entre el personal no calificado que puede ser vinculadas voluntariamente por el Contratista a la ejecución de las obras, interventorías y consultorías, para que en caso de procesos sancionatorios contractuales pueda la entidad contratante tener este tipo de vinculación como un atenuante para la dosificación de las sanciones o medidas a imponer?»; y v) «¿la entidad contratante puede propiciar desde el borrador de minuta una proporción de servicios de transporte de materiales, equipos, y personal, </w:t>
      </w:r>
      <w:r w:rsidRPr="00D302B9">
        <w:rPr>
          <w:rFonts w:ascii="Arial" w:hAnsi="Arial" w:eastAsia="Calibri" w:cs="Arial"/>
          <w:sz w:val="22"/>
        </w:rPr>
        <w:lastRenderedPageBreak/>
        <w:t>mínimo, con empresas locales o de la región, que pueden ser vinculadas voluntariamente por el Contratista a la ejecución de las obras, interventorías y consultorías, para que en caso de procesos sancionatorios contractuales pueda la entidad contratante tener este tipo de vinculación como un atenuante para la dosificación de las sanciones o medidas a imponer?».</w:t>
      </w:r>
    </w:p>
    <w:p w:rsidRPr="00D302B9" w:rsidR="00EA749D" w:rsidP="008573E3" w:rsidRDefault="00EA749D" w14:paraId="39ED7E0E" w14:textId="6709A07F">
      <w:pPr>
        <w:spacing w:line="276" w:lineRule="auto"/>
        <w:jc w:val="both"/>
        <w:rPr>
          <w:rFonts w:ascii="Arial" w:hAnsi="Arial" w:cs="Arial"/>
          <w:sz w:val="22"/>
        </w:rPr>
      </w:pPr>
    </w:p>
    <w:p w:rsidRPr="00D302B9" w:rsidR="00D45949" w:rsidP="008573E3" w:rsidRDefault="00D45949" w14:paraId="5F615E34" w14:textId="423CED08">
      <w:pPr>
        <w:spacing w:line="276" w:lineRule="auto"/>
        <w:jc w:val="both"/>
        <w:rPr>
          <w:rFonts w:ascii="Arial" w:hAnsi="Arial" w:eastAsia="Calibri" w:cs="Arial"/>
          <w:sz w:val="22"/>
        </w:rPr>
      </w:pPr>
      <w:r w:rsidRPr="00D302B9">
        <w:rPr>
          <w:rFonts w:ascii="Arial" w:hAnsi="Arial" w:eastAsia="Calibri" w:cs="Arial"/>
          <w:sz w:val="22"/>
        </w:rPr>
        <w:t xml:space="preserve">Nada obsta para que las partes del contrato estatal pacten el alcance de </w:t>
      </w:r>
      <w:r w:rsidRPr="00D302B9" w:rsidR="00326E80">
        <w:rPr>
          <w:rFonts w:ascii="Arial" w:hAnsi="Arial" w:eastAsia="Calibri" w:cs="Arial"/>
          <w:sz w:val="22"/>
        </w:rPr>
        <w:t>la multa y la cláusula penal pecuniaria</w:t>
      </w:r>
      <w:r w:rsidRPr="00D302B9">
        <w:rPr>
          <w:rFonts w:ascii="Arial" w:hAnsi="Arial" w:eastAsia="Calibri" w:cs="Arial"/>
          <w:sz w:val="22"/>
        </w:rPr>
        <w:t xml:space="preserve">, lo cual incluye lo relacionado con los atenuantes para la dosificación de la sanción a imponer. Por supuesto, aquí resulta indispensable distinguir entre las entidades que están sometidas al Estatuto General de Contratación de la Administración Públicas, y las que no lo están, pues, en </w:t>
      </w:r>
      <w:r w:rsidRPr="00D302B9" w:rsidR="00031122">
        <w:rPr>
          <w:rFonts w:ascii="Arial" w:hAnsi="Arial" w:eastAsia="Calibri" w:cs="Arial"/>
          <w:sz w:val="22"/>
        </w:rPr>
        <w:t>el caso de estas últimas</w:t>
      </w:r>
      <w:r w:rsidRPr="00D302B9" w:rsidR="00C90231">
        <w:rPr>
          <w:rFonts w:ascii="Arial" w:hAnsi="Arial" w:eastAsia="Calibri" w:cs="Arial"/>
          <w:sz w:val="22"/>
        </w:rPr>
        <w:t xml:space="preserve">, la sanción debe hacerse efectiva ante </w:t>
      </w:r>
      <w:r w:rsidRPr="00D302B9" w:rsidR="00326E80">
        <w:rPr>
          <w:rFonts w:ascii="Arial" w:hAnsi="Arial" w:eastAsia="Calibri" w:cs="Arial"/>
          <w:sz w:val="22"/>
        </w:rPr>
        <w:t>la Jurisdicción</w:t>
      </w:r>
      <w:r w:rsidRPr="00D302B9" w:rsidR="00C90231">
        <w:rPr>
          <w:rFonts w:ascii="Arial" w:hAnsi="Arial" w:eastAsia="Calibri" w:cs="Arial"/>
          <w:sz w:val="22"/>
        </w:rPr>
        <w:t xml:space="preserve"> de lo </w:t>
      </w:r>
      <w:r w:rsidRPr="00D302B9" w:rsidR="00326E80">
        <w:rPr>
          <w:rFonts w:ascii="Arial" w:hAnsi="Arial" w:eastAsia="Calibri" w:cs="Arial"/>
          <w:sz w:val="22"/>
        </w:rPr>
        <w:t>C</w:t>
      </w:r>
      <w:r w:rsidRPr="00D302B9" w:rsidR="00C90231">
        <w:rPr>
          <w:rFonts w:ascii="Arial" w:hAnsi="Arial" w:eastAsia="Calibri" w:cs="Arial"/>
          <w:sz w:val="22"/>
        </w:rPr>
        <w:t xml:space="preserve">ontencioso </w:t>
      </w:r>
      <w:r w:rsidRPr="00D302B9" w:rsidR="00326E80">
        <w:rPr>
          <w:rFonts w:ascii="Arial" w:hAnsi="Arial" w:eastAsia="Calibri" w:cs="Arial"/>
          <w:sz w:val="22"/>
        </w:rPr>
        <w:t>A</w:t>
      </w:r>
      <w:r w:rsidRPr="00D302B9" w:rsidR="00C90231">
        <w:rPr>
          <w:rFonts w:ascii="Arial" w:hAnsi="Arial" w:eastAsia="Calibri" w:cs="Arial"/>
          <w:sz w:val="22"/>
        </w:rPr>
        <w:t xml:space="preserve">dministrativo, por el incumplimiento de las obligaciones contractuales, </w:t>
      </w:r>
      <w:r w:rsidRPr="00D302B9" w:rsidR="00031122">
        <w:rPr>
          <w:rFonts w:ascii="Arial" w:hAnsi="Arial" w:eastAsia="Calibri" w:cs="Arial"/>
          <w:sz w:val="22"/>
        </w:rPr>
        <w:t xml:space="preserve">lo que implica que será </w:t>
      </w:r>
      <w:r w:rsidRPr="00D302B9" w:rsidR="00C90231">
        <w:rPr>
          <w:rFonts w:ascii="Arial" w:hAnsi="Arial" w:eastAsia="Calibri" w:cs="Arial"/>
          <w:sz w:val="22"/>
        </w:rPr>
        <w:t>este funcionario el encargado de definir</w:t>
      </w:r>
      <w:r w:rsidRPr="00D302B9" w:rsidR="00CD5A53">
        <w:rPr>
          <w:rFonts w:ascii="Arial" w:hAnsi="Arial" w:eastAsia="Calibri" w:cs="Arial"/>
          <w:sz w:val="22"/>
        </w:rPr>
        <w:t>, en última instancia, todo lo relacionado con el</w:t>
      </w:r>
      <w:r w:rsidRPr="00D302B9" w:rsidR="00F46AAF">
        <w:rPr>
          <w:rFonts w:ascii="Arial" w:hAnsi="Arial" w:eastAsia="Calibri" w:cs="Arial"/>
          <w:sz w:val="22"/>
        </w:rPr>
        <w:t xml:space="preserve"> alcance de</w:t>
      </w:r>
      <w:r w:rsidRPr="00D302B9" w:rsidR="00C90231">
        <w:rPr>
          <w:rFonts w:ascii="Arial" w:hAnsi="Arial" w:eastAsia="Calibri" w:cs="Arial"/>
          <w:sz w:val="22"/>
        </w:rPr>
        <w:t xml:space="preserve"> los atenuantes</w:t>
      </w:r>
      <w:r w:rsidRPr="00D302B9" w:rsidR="00031122">
        <w:rPr>
          <w:rFonts w:ascii="Arial" w:hAnsi="Arial" w:eastAsia="Calibri" w:cs="Arial"/>
          <w:sz w:val="22"/>
        </w:rPr>
        <w:t xml:space="preserve"> pactados por las partes</w:t>
      </w:r>
      <w:r w:rsidRPr="00D302B9" w:rsidR="00C90231">
        <w:rPr>
          <w:rFonts w:ascii="Arial" w:hAnsi="Arial" w:eastAsia="Calibri" w:cs="Arial"/>
          <w:sz w:val="22"/>
        </w:rPr>
        <w:t>.</w:t>
      </w:r>
    </w:p>
    <w:p w:rsidRPr="00D302B9" w:rsidR="005124B1" w:rsidP="00D45949" w:rsidRDefault="00D45949" w14:paraId="7D4463DA" w14:textId="7A5ACA64">
      <w:pPr>
        <w:spacing w:before="120" w:line="276" w:lineRule="auto"/>
        <w:ind w:firstLine="708"/>
        <w:jc w:val="both"/>
        <w:rPr>
          <w:rFonts w:ascii="Arial" w:hAnsi="Arial" w:eastAsia="Calibri" w:cs="Arial"/>
          <w:sz w:val="22"/>
        </w:rPr>
      </w:pPr>
      <w:r w:rsidRPr="00D302B9">
        <w:rPr>
          <w:rFonts w:ascii="Arial" w:hAnsi="Arial" w:eastAsia="Calibri" w:cs="Arial"/>
          <w:sz w:val="22"/>
        </w:rPr>
        <w:t>Con todo, a</w:t>
      </w:r>
      <w:r w:rsidRPr="00D302B9" w:rsidR="005124B1">
        <w:rPr>
          <w:rFonts w:ascii="Arial" w:hAnsi="Arial" w:eastAsia="Calibri" w:cs="Arial"/>
          <w:sz w:val="22"/>
        </w:rPr>
        <w:t xml:space="preserve">unque es cierto que las partes del contrato pueden pactar </w:t>
      </w:r>
      <w:r w:rsidRPr="00D302B9" w:rsidR="00777439">
        <w:rPr>
          <w:rFonts w:ascii="Arial" w:hAnsi="Arial" w:eastAsia="Calibri" w:cs="Arial"/>
          <w:sz w:val="22"/>
        </w:rPr>
        <w:t>la tipicidad de la multa y la cláusula penal pecuniaria</w:t>
      </w:r>
      <w:r w:rsidRPr="00D302B9" w:rsidR="005124B1">
        <w:rPr>
          <w:rFonts w:ascii="Arial" w:hAnsi="Arial" w:eastAsia="Calibri" w:cs="Arial"/>
          <w:sz w:val="22"/>
        </w:rPr>
        <w:t xml:space="preserve">, también lo es que estas deben hacerlo dentro de los límites de razonabilidad, proporcionalidad y estricta necesidad. En ese sentido, esta Agencia no encuentra justificación alguna para que las partes pacten atenuar la sanción a imponer al contratista, cuando quiera que este demuestre haber vinculado una cantidad de mujeres de una región determinada del país, primero, porque lo </w:t>
      </w:r>
      <w:r w:rsidRPr="00D302B9" w:rsidR="0044321A">
        <w:rPr>
          <w:rFonts w:ascii="Arial" w:hAnsi="Arial" w:eastAsia="Calibri" w:cs="Arial"/>
          <w:sz w:val="22"/>
        </w:rPr>
        <w:t>uno no tiene</w:t>
      </w:r>
      <w:r w:rsidRPr="00D302B9" w:rsidR="005124B1">
        <w:rPr>
          <w:rFonts w:ascii="Arial" w:hAnsi="Arial" w:eastAsia="Calibri" w:cs="Arial"/>
          <w:sz w:val="22"/>
        </w:rPr>
        <w:t xml:space="preserve"> relación con lo otro y, segundo, porque </w:t>
      </w:r>
      <w:r w:rsidRPr="00D302B9" w:rsidR="0044321A">
        <w:rPr>
          <w:rFonts w:ascii="Arial" w:hAnsi="Arial" w:eastAsia="Calibri" w:cs="Arial"/>
          <w:sz w:val="22"/>
        </w:rPr>
        <w:t>la medida a adoptar en nada favorece el acceso al trabajo de personas en condiciones de discriminación histórica, esto es, el fin perseguido por el trato preferente</w:t>
      </w:r>
      <w:r w:rsidRPr="00D302B9" w:rsidR="005124B1">
        <w:rPr>
          <w:rFonts w:ascii="Arial" w:hAnsi="Arial" w:eastAsia="Calibri" w:cs="Arial"/>
          <w:sz w:val="22"/>
        </w:rPr>
        <w:t>.</w:t>
      </w:r>
      <w:r w:rsidRPr="00D302B9" w:rsidR="00777439">
        <w:rPr>
          <w:rFonts w:ascii="Arial" w:hAnsi="Arial" w:eastAsia="Calibri" w:cs="Arial"/>
          <w:sz w:val="22"/>
        </w:rPr>
        <w:t xml:space="preserve"> Además, como se indicó, esta es una materia que no ha sido reglamentada por el Gobierno Nacional.</w:t>
      </w:r>
    </w:p>
    <w:p w:rsidRPr="00D302B9" w:rsidR="00EA749D" w:rsidP="00BE1E33" w:rsidRDefault="00EA749D" w14:paraId="45FFDE34" w14:textId="06D87285">
      <w:pPr>
        <w:spacing w:line="276" w:lineRule="auto"/>
        <w:jc w:val="both"/>
        <w:rPr>
          <w:rFonts w:ascii="Arial" w:hAnsi="Arial" w:cs="Arial"/>
          <w:sz w:val="16"/>
          <w:szCs w:val="16"/>
          <w:lang w:val="es-CO"/>
        </w:rPr>
      </w:pPr>
    </w:p>
    <w:p w:rsidRPr="00D302B9" w:rsidR="00BE1E33" w:rsidP="00BE1E33" w:rsidRDefault="00BE1E33" w14:paraId="66CE4DD8" w14:textId="77777777">
      <w:pPr>
        <w:spacing w:before="120" w:line="276" w:lineRule="auto"/>
        <w:jc w:val="both"/>
        <w:rPr>
          <w:rFonts w:ascii="Arial" w:hAnsi="Arial" w:eastAsia="Calibri" w:cs="Arial"/>
          <w:sz w:val="22"/>
        </w:rPr>
      </w:pPr>
      <w:r w:rsidRPr="00D302B9">
        <w:rPr>
          <w:rFonts w:ascii="Arial" w:hAnsi="Arial" w:eastAsia="Calibri" w:cs="Arial"/>
          <w:sz w:val="22"/>
        </w:rPr>
        <w:t>Este concepto tiene el alcance previsto en el artículo 28 del Código de Procedimiento Administrativo y de lo Contencioso Administrativo.</w:t>
      </w:r>
    </w:p>
    <w:p w:rsidRPr="00D302B9" w:rsidR="00BE1E33" w:rsidP="00BE1E33" w:rsidRDefault="00BE1E33" w14:paraId="138D33A2" w14:textId="77777777">
      <w:pPr>
        <w:ind w:firstLine="709"/>
        <w:jc w:val="both"/>
        <w:rPr>
          <w:rFonts w:ascii="Arial" w:hAnsi="Arial" w:eastAsia="Calibri" w:cs="Arial"/>
          <w:sz w:val="22"/>
        </w:rPr>
      </w:pPr>
    </w:p>
    <w:p w:rsidRPr="00D302B9" w:rsidR="00BE1E33" w:rsidP="00BE1E33" w:rsidRDefault="00BE1E33" w14:paraId="2B02915D" w14:textId="77777777">
      <w:pPr>
        <w:jc w:val="both"/>
        <w:rPr>
          <w:rFonts w:ascii="Arial" w:hAnsi="Arial" w:eastAsia="Times New Roman" w:cs="Arial"/>
          <w:sz w:val="22"/>
          <w:lang w:eastAsia="es-CO"/>
        </w:rPr>
      </w:pPr>
      <w:r w:rsidRPr="00D302B9">
        <w:rPr>
          <w:rFonts w:ascii="Arial" w:hAnsi="Arial" w:eastAsia="Times New Roman" w:cs="Arial"/>
          <w:sz w:val="22"/>
          <w:lang w:eastAsia="es-CO"/>
        </w:rPr>
        <w:t>Atentamente,</w:t>
      </w:r>
    </w:p>
    <w:bookmarkEnd w:id="0"/>
    <w:bookmarkEnd w:id="1"/>
    <w:p w:rsidR="00BE1E33" w:rsidP="00BE1E33" w:rsidRDefault="008573E3" w14:paraId="1C8F6984" w14:textId="26017D64">
      <w:pPr>
        <w:jc w:val="center"/>
        <w:rPr>
          <w:rFonts w:ascii="Arial" w:hAnsi="Arial" w:eastAsia="Times New Roman" w:cs="Arial"/>
          <w:sz w:val="18"/>
          <w:szCs w:val="20"/>
          <w:lang w:eastAsia="es-CO"/>
        </w:rPr>
      </w:pPr>
      <w:r w:rsidR="008573E3">
        <w:drawing>
          <wp:inline wp14:editId="0CAE36ED" wp14:anchorId="1EE727FF">
            <wp:extent cx="2773045" cy="988695"/>
            <wp:effectExtent l="0" t="0" r="0" b="0"/>
            <wp:docPr id="1222929713" name="Imagen 1" title=""/>
            <wp:cNvGraphicFramePr>
              <a:graphicFrameLocks/>
            </wp:cNvGraphicFramePr>
            <a:graphic>
              <a:graphicData uri="http://schemas.openxmlformats.org/drawingml/2006/picture">
                <pic:pic>
                  <pic:nvPicPr>
                    <pic:cNvPr id="0" name="Imagen 1"/>
                    <pic:cNvPicPr/>
                  </pic:nvPicPr>
                  <pic:blipFill>
                    <a:blip r:embed="Rd22a9848a3c3494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D302B9" w:rsidR="008573E3" w:rsidP="00BE1E33" w:rsidRDefault="008573E3" w14:paraId="22341DAD" w14:textId="77777777">
      <w:pPr>
        <w:jc w:val="center"/>
        <w:rPr>
          <w:rFonts w:ascii="Arial" w:hAnsi="Arial" w:eastAsia="Times New Roman" w:cs="Arial"/>
          <w:sz w:val="18"/>
          <w:szCs w:val="20"/>
          <w:lang w:eastAsia="es-CO"/>
        </w:rPr>
      </w:pPr>
    </w:p>
    <w:tbl>
      <w:tblPr>
        <w:tblStyle w:val="Tablaconcuadrcula"/>
        <w:tblpPr w:leftFromText="141" w:rightFromText="141"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D302B9" w:rsidR="00D302B9" w:rsidTr="009667E3" w14:paraId="7E5CB93D" w14:textId="77777777">
        <w:trPr>
          <w:trHeight w:val="315"/>
        </w:trPr>
        <w:tc>
          <w:tcPr>
            <w:tcW w:w="812" w:type="dxa"/>
            <w:vAlign w:val="center"/>
            <w:hideMark/>
          </w:tcPr>
          <w:p w:rsidRPr="00D302B9" w:rsidR="00BE1E33" w:rsidP="009667E3" w:rsidRDefault="00BE1E33" w14:paraId="44CFA06E" w14:textId="77777777">
            <w:pPr>
              <w:rPr>
                <w:rFonts w:ascii="Arial" w:hAnsi="Arial" w:eastAsia="Times New Roman" w:cs="Arial"/>
                <w:sz w:val="16"/>
                <w:szCs w:val="16"/>
                <w:lang w:eastAsia="es-ES"/>
              </w:rPr>
            </w:pPr>
            <w:r w:rsidRPr="00D302B9">
              <w:rPr>
                <w:rFonts w:ascii="Arial" w:hAnsi="Arial" w:eastAsia="Times New Roman"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D302B9" w:rsidR="00BE1E33" w:rsidP="009667E3" w:rsidRDefault="00BE1E33" w14:paraId="56D7561C" w14:textId="77777777">
            <w:pPr>
              <w:rPr>
                <w:rFonts w:ascii="Arial" w:hAnsi="Arial" w:eastAsia="Times New Roman" w:cs="Arial"/>
                <w:sz w:val="16"/>
                <w:szCs w:val="16"/>
                <w:lang w:eastAsia="es-ES"/>
              </w:rPr>
            </w:pPr>
            <w:r w:rsidRPr="00D302B9">
              <w:rPr>
                <w:rFonts w:ascii="Arial" w:hAnsi="Arial" w:eastAsia="Times New Roman" w:cs="Arial"/>
                <w:sz w:val="16"/>
                <w:szCs w:val="16"/>
                <w:lang w:eastAsia="es-ES"/>
              </w:rPr>
              <w:t>David Castellanos Carreño</w:t>
            </w:r>
          </w:p>
          <w:p w:rsidRPr="00D302B9" w:rsidR="00982E99" w:rsidP="009667E3" w:rsidRDefault="00982E99" w14:paraId="6C4A6DA1" w14:textId="5897BB3C">
            <w:pPr>
              <w:rPr>
                <w:rFonts w:ascii="Arial" w:hAnsi="Arial" w:eastAsia="Times New Roman" w:cs="Arial"/>
                <w:sz w:val="16"/>
                <w:szCs w:val="16"/>
                <w:lang w:eastAsia="es-ES"/>
              </w:rPr>
            </w:pPr>
            <w:r w:rsidRPr="00D302B9">
              <w:rPr>
                <w:rFonts w:ascii="Arial" w:hAnsi="Arial" w:eastAsia="Times New Roman" w:cs="Arial"/>
                <w:sz w:val="16"/>
                <w:szCs w:val="16"/>
                <w:lang w:eastAsia="es-ES"/>
              </w:rPr>
              <w:t>Contratista de la Subdirección de Gestión Contractual</w:t>
            </w:r>
          </w:p>
        </w:tc>
      </w:tr>
      <w:tr w:rsidRPr="00D302B9" w:rsidR="00D302B9" w:rsidTr="009667E3" w14:paraId="092BCD16" w14:textId="77777777">
        <w:trPr>
          <w:trHeight w:val="330"/>
        </w:trPr>
        <w:tc>
          <w:tcPr>
            <w:tcW w:w="812" w:type="dxa"/>
            <w:vAlign w:val="center"/>
            <w:hideMark/>
          </w:tcPr>
          <w:p w:rsidRPr="00D302B9" w:rsidR="00BE1E33" w:rsidP="009667E3" w:rsidRDefault="00BE1E33" w14:paraId="463B4DD3" w14:textId="77777777">
            <w:pPr>
              <w:rPr>
                <w:rFonts w:ascii="Arial" w:hAnsi="Arial" w:eastAsia="Times New Roman" w:cs="Arial"/>
                <w:sz w:val="16"/>
                <w:szCs w:val="16"/>
                <w:lang w:eastAsia="es-ES"/>
              </w:rPr>
            </w:pPr>
            <w:r w:rsidRPr="00D302B9">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302B9" w:rsidR="00BE1E33" w:rsidP="009667E3" w:rsidRDefault="004B415D" w14:paraId="6C256A72" w14:textId="518372BE">
            <w:pPr>
              <w:rPr>
                <w:rFonts w:ascii="Arial" w:hAnsi="Arial" w:eastAsia="Times New Roman" w:cs="Arial"/>
                <w:sz w:val="16"/>
                <w:szCs w:val="16"/>
                <w:lang w:eastAsia="es-ES"/>
              </w:rPr>
            </w:pPr>
            <w:r w:rsidRPr="00D302B9">
              <w:rPr>
                <w:rFonts w:ascii="Arial" w:hAnsi="Arial" w:eastAsia="Times New Roman" w:cs="Arial"/>
                <w:sz w:val="16"/>
                <w:szCs w:val="16"/>
                <w:lang w:eastAsia="es-ES"/>
              </w:rPr>
              <w:t>Cristian Andrés Díaz Díez</w:t>
            </w:r>
            <w:r w:rsidRPr="00D302B9" w:rsidR="00BE1E33">
              <w:rPr>
                <w:rFonts w:ascii="Arial" w:hAnsi="Arial" w:eastAsia="Times New Roman" w:cs="Arial"/>
                <w:sz w:val="16"/>
                <w:szCs w:val="16"/>
                <w:lang w:eastAsia="es-ES"/>
              </w:rPr>
              <w:t xml:space="preserve"> </w:t>
            </w:r>
          </w:p>
          <w:p w:rsidRPr="00D302B9" w:rsidR="00BE1E33" w:rsidP="009667E3" w:rsidRDefault="008B633F" w14:paraId="72718C99" w14:textId="3AD5C5C8">
            <w:pPr>
              <w:rPr>
                <w:rFonts w:ascii="Arial" w:hAnsi="Arial" w:eastAsia="Times New Roman" w:cs="Arial"/>
                <w:sz w:val="16"/>
                <w:szCs w:val="16"/>
                <w:lang w:eastAsia="es-ES"/>
              </w:rPr>
            </w:pPr>
            <w:r w:rsidRPr="00D302B9">
              <w:rPr>
                <w:rFonts w:ascii="Arial" w:hAnsi="Arial" w:eastAsia="Times New Roman" w:cs="Arial"/>
                <w:sz w:val="16"/>
                <w:szCs w:val="16"/>
                <w:lang w:eastAsia="es-ES"/>
              </w:rPr>
              <w:t xml:space="preserve">Contratista, Subdirección </w:t>
            </w:r>
            <w:r w:rsidRPr="00D302B9" w:rsidR="00BE1E33">
              <w:rPr>
                <w:rFonts w:ascii="Arial" w:hAnsi="Arial" w:eastAsia="Times New Roman" w:cs="Arial"/>
                <w:sz w:val="16"/>
                <w:szCs w:val="16"/>
                <w:lang w:eastAsia="es-ES"/>
              </w:rPr>
              <w:t>de Gestión Contractual</w:t>
            </w:r>
          </w:p>
        </w:tc>
      </w:tr>
      <w:tr w:rsidRPr="00D302B9" w:rsidR="00D302B9" w:rsidTr="009667E3" w14:paraId="57DAFEF9" w14:textId="77777777">
        <w:trPr>
          <w:trHeight w:val="300"/>
        </w:trPr>
        <w:tc>
          <w:tcPr>
            <w:tcW w:w="812" w:type="dxa"/>
            <w:vAlign w:val="center"/>
            <w:hideMark/>
          </w:tcPr>
          <w:p w:rsidRPr="00D302B9" w:rsidR="00BE1E33" w:rsidP="009667E3" w:rsidRDefault="00BE1E33" w14:paraId="70677013" w14:textId="77777777">
            <w:pPr>
              <w:rPr>
                <w:rFonts w:ascii="Arial" w:hAnsi="Arial" w:eastAsia="Times New Roman" w:cs="Arial"/>
                <w:sz w:val="16"/>
                <w:szCs w:val="16"/>
                <w:lang w:eastAsia="es-ES"/>
              </w:rPr>
            </w:pPr>
            <w:r w:rsidRPr="00D302B9">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302B9" w:rsidR="00BE1E33" w:rsidP="009667E3" w:rsidRDefault="00BE1E33" w14:paraId="4B4373C0" w14:textId="77777777">
            <w:pPr>
              <w:rPr>
                <w:rFonts w:ascii="Arial" w:hAnsi="Arial" w:eastAsia="Times New Roman" w:cs="Arial"/>
                <w:sz w:val="16"/>
                <w:szCs w:val="16"/>
                <w:lang w:eastAsia="es-ES"/>
              </w:rPr>
            </w:pPr>
            <w:r w:rsidRPr="00D302B9">
              <w:rPr>
                <w:rFonts w:ascii="Arial" w:hAnsi="Arial" w:eastAsia="Times New Roman" w:cs="Arial"/>
                <w:sz w:val="16"/>
                <w:szCs w:val="16"/>
                <w:lang w:eastAsia="es-ES"/>
              </w:rPr>
              <w:t>Fabián Gonzalo Marín Cortés</w:t>
            </w:r>
          </w:p>
          <w:p w:rsidRPr="00D302B9" w:rsidR="00BE1E33" w:rsidP="009667E3" w:rsidRDefault="00BE1E33" w14:paraId="75BC677C" w14:textId="77777777">
            <w:pPr>
              <w:rPr>
                <w:rFonts w:ascii="Arial" w:hAnsi="Arial" w:eastAsia="Times New Roman" w:cs="Arial"/>
                <w:sz w:val="16"/>
                <w:szCs w:val="16"/>
                <w:lang w:eastAsia="es-ES"/>
              </w:rPr>
            </w:pPr>
            <w:r w:rsidRPr="00D302B9">
              <w:rPr>
                <w:rFonts w:ascii="Arial" w:hAnsi="Arial" w:eastAsia="Times New Roman" w:cs="Arial"/>
                <w:sz w:val="16"/>
                <w:szCs w:val="16"/>
                <w:lang w:eastAsia="es-ES"/>
              </w:rPr>
              <w:t>Subdirector de Gestión Contractual</w:t>
            </w:r>
          </w:p>
        </w:tc>
      </w:tr>
    </w:tbl>
    <w:p w:rsidRPr="00D302B9" w:rsidR="006C5955" w:rsidP="00BE1E33" w:rsidRDefault="006C5955" w14:paraId="085A31AB" w14:textId="77777777"/>
    <w:sectPr w:rsidRPr="00D302B9" w:rsidR="006C5955" w:rsidSect="00BC49BA">
      <w:headerReference w:type="default" r:id="rId11"/>
      <w:footerReference w:type="default" r:id="rId12"/>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6A33" w:rsidP="008C487C" w:rsidRDefault="00956A33" w14:paraId="2622A36F" w14:textId="77777777">
      <w:r>
        <w:separator/>
      </w:r>
    </w:p>
  </w:endnote>
  <w:endnote w:type="continuationSeparator" w:id="0">
    <w:p w:rsidR="00956A33" w:rsidP="008C487C" w:rsidRDefault="00956A33" w14:paraId="75558874" w14:textId="77777777">
      <w:r>
        <w:continuationSeparator/>
      </w:r>
    </w:p>
  </w:endnote>
  <w:endnote w:type="continuationNotice" w:id="1">
    <w:p w:rsidR="00C86E8B" w:rsidRDefault="00C86E8B" w14:paraId="33CC947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B0CEC" w:rsidP="00BC49BA" w:rsidRDefault="003B0CEC" w14:paraId="5D37B59A" w14:textId="3A65DB1A">
    <w:pPr>
      <w:pStyle w:val="Sinespaciado"/>
      <w:jc w:val="right"/>
      <w:rPr>
        <w:rFonts w:ascii="Arial" w:hAnsi="Arial" w:cs="Arial"/>
        <w:sz w:val="18"/>
        <w:szCs w:val="18"/>
      </w:rPr>
    </w:pPr>
  </w:p>
  <w:p w:rsidRPr="008217B7" w:rsidR="003B0CEC" w:rsidP="00BC49BA" w:rsidRDefault="003B0CEC" w14:paraId="3D3EB348" w14:textId="5A08204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903AE">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903AE">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rsidR="003B0CEC" w:rsidP="00BC49BA" w:rsidRDefault="7E983650" w14:paraId="29709EEF" w14:textId="77777777">
    <w:pPr>
      <w:pStyle w:val="Piedepgina"/>
      <w:jc w:val="center"/>
      <w:rPr>
        <w:lang w:val="es-ES"/>
      </w:rPr>
    </w:pPr>
    <w:r w:rsidR="48E46D31">
      <w:drawing>
        <wp:inline wp14:editId="795177AB" wp14:anchorId="0323F87D">
          <wp:extent cx="3700130" cy="519139"/>
          <wp:effectExtent l="0" t="0" r="0" b="0"/>
          <wp:docPr id="975207234" name="Imagen 3" title=""/>
          <wp:cNvGraphicFramePr>
            <a:graphicFrameLocks noChangeAspect="1"/>
          </wp:cNvGraphicFramePr>
          <a:graphic>
            <a:graphicData uri="http://schemas.openxmlformats.org/drawingml/2006/picture">
              <pic:pic>
                <pic:nvPicPr>
                  <pic:cNvPr id="0" name="Imagen 3"/>
                  <pic:cNvPicPr/>
                </pic:nvPicPr>
                <pic:blipFill>
                  <a:blip r:embed="R3406149ac2a14bd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E756AC" w:rsidR="003B0CEC" w:rsidP="00BC49BA" w:rsidRDefault="003B0CEC" w14:paraId="608DFF21" w14:textId="77777777">
    <w:pPr>
      <w:pStyle w:val="Piedepgina"/>
      <w:jc w:val="center"/>
      <w:rPr>
        <w:sz w:val="18"/>
        <w:szCs w:val="18"/>
        <w:lang w:val="es-ES"/>
      </w:rPr>
    </w:pPr>
  </w:p>
  <w:p w:rsidRPr="00E756AC" w:rsidR="003B0CEC" w:rsidP="00BC49BA" w:rsidRDefault="003B0CEC" w14:paraId="428179B1"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6A33" w:rsidP="008C487C" w:rsidRDefault="00956A33" w14:paraId="1836EAC7" w14:textId="77777777">
      <w:r>
        <w:separator/>
      </w:r>
    </w:p>
  </w:footnote>
  <w:footnote w:type="continuationSeparator" w:id="0">
    <w:p w:rsidR="00956A33" w:rsidP="008C487C" w:rsidRDefault="00956A33" w14:paraId="6C79CAE7" w14:textId="77777777">
      <w:r>
        <w:continuationSeparator/>
      </w:r>
    </w:p>
  </w:footnote>
  <w:footnote w:type="continuationNotice" w:id="1">
    <w:p w:rsidR="00C86E8B" w:rsidRDefault="00C86E8B" w14:paraId="53E4CD03" w14:textId="77777777"/>
  </w:footnote>
  <w:footnote w:id="2">
    <w:p w:rsidRPr="00D302B9" w:rsidR="003B0CEC" w:rsidP="00BD0749" w:rsidRDefault="003B0CEC" w14:paraId="0DE6F8F4" w14:textId="77777777">
      <w:pPr>
        <w:pStyle w:val="Textonotapie"/>
        <w:jc w:val="both"/>
        <w:rPr>
          <w:rFonts w:ascii="Arial" w:hAnsi="Arial" w:cs="Arial"/>
          <w:sz w:val="19"/>
          <w:szCs w:val="19"/>
        </w:rPr>
      </w:pPr>
      <w:r w:rsidRPr="00D302B9">
        <w:rPr>
          <w:rFonts w:ascii="Arial" w:hAnsi="Arial" w:cs="Arial"/>
          <w:iCs/>
          <w:sz w:val="19"/>
          <w:szCs w:val="19"/>
        </w:rPr>
        <w:tab/>
      </w:r>
      <w:r w:rsidRPr="00D302B9">
        <w:rPr>
          <w:rFonts w:ascii="Arial" w:hAnsi="Arial" w:cs="Arial"/>
          <w:iCs/>
          <w:sz w:val="19"/>
          <w:szCs w:val="19"/>
          <w:vertAlign w:val="superscript"/>
        </w:rPr>
        <w:footnoteRef/>
      </w:r>
      <w:r w:rsidRPr="00D302B9">
        <w:rPr>
          <w:rFonts w:ascii="Arial" w:hAnsi="Arial" w:cs="Arial"/>
          <w:iCs/>
          <w:sz w:val="19"/>
          <w:szCs w:val="19"/>
        </w:rPr>
        <w:t xml:space="preserve"> Sección Tercera, Sentencia del 12 de julio de 2012, expediente 15024 y ponencia de Danilo Rojas </w:t>
      </w:r>
      <w:proofErr w:type="spellStart"/>
      <w:r w:rsidRPr="00D302B9">
        <w:rPr>
          <w:rFonts w:ascii="Arial" w:hAnsi="Arial" w:cs="Arial"/>
          <w:iCs/>
          <w:sz w:val="19"/>
          <w:szCs w:val="19"/>
        </w:rPr>
        <w:t>Betancourth</w:t>
      </w:r>
      <w:proofErr w:type="spellEnd"/>
      <w:r w:rsidRPr="00D302B9">
        <w:rPr>
          <w:rFonts w:ascii="Arial" w:hAnsi="Arial" w:cs="Arial"/>
          <w:iCs/>
          <w:sz w:val="19"/>
          <w:szCs w:val="19"/>
        </w:rPr>
        <w:t>.</w:t>
      </w:r>
    </w:p>
  </w:footnote>
  <w:footnote w:id="3">
    <w:p w:rsidRPr="00D302B9" w:rsidR="003B0CEC" w:rsidP="00BD0749" w:rsidRDefault="003B0CEC" w14:paraId="70E94EDA" w14:textId="77777777">
      <w:pPr>
        <w:pStyle w:val="Textonotapie"/>
        <w:jc w:val="both"/>
        <w:rPr>
          <w:rFonts w:ascii="Arial" w:hAnsi="Arial" w:cs="Arial"/>
          <w:sz w:val="19"/>
          <w:szCs w:val="19"/>
        </w:rPr>
      </w:pPr>
      <w:r w:rsidRPr="00D302B9">
        <w:rPr>
          <w:rFonts w:ascii="Arial" w:hAnsi="Arial" w:cs="Arial"/>
          <w:iCs/>
          <w:sz w:val="19"/>
          <w:szCs w:val="19"/>
        </w:rPr>
        <w:tab/>
      </w:r>
      <w:r w:rsidRPr="00D302B9">
        <w:rPr>
          <w:rFonts w:ascii="Arial" w:hAnsi="Arial" w:cs="Arial"/>
          <w:iCs/>
          <w:sz w:val="19"/>
          <w:szCs w:val="19"/>
          <w:vertAlign w:val="superscript"/>
        </w:rPr>
        <w:footnoteRef/>
      </w:r>
      <w:r w:rsidRPr="00D302B9">
        <w:rPr>
          <w:rFonts w:ascii="Arial" w:hAnsi="Arial" w:cs="Arial"/>
          <w:iCs/>
          <w:sz w:val="19"/>
          <w:szCs w:val="19"/>
        </w:rPr>
        <w:t xml:space="preserve"> Motivo por el cual son típicas cláusulas accidentales dentro de los contratos estatales, en los términos del artículo 1501 del Código Civil.</w:t>
      </w:r>
    </w:p>
  </w:footnote>
  <w:footnote w:id="4">
    <w:p w:rsidRPr="00D302B9" w:rsidR="003B0CEC" w:rsidP="00BD0749" w:rsidRDefault="003B0CEC" w14:paraId="0313451A" w14:textId="0AC6FC16">
      <w:pPr>
        <w:pStyle w:val="Textonotapie"/>
        <w:ind w:firstLine="708"/>
        <w:jc w:val="both"/>
        <w:rPr>
          <w:rFonts w:ascii="Arial" w:hAnsi="Arial" w:cs="Arial"/>
          <w:sz w:val="19"/>
          <w:szCs w:val="19"/>
        </w:rPr>
      </w:pPr>
      <w:r w:rsidRPr="00D302B9">
        <w:rPr>
          <w:rStyle w:val="Refdenotaalpie"/>
          <w:rFonts w:ascii="Arial" w:hAnsi="Arial" w:cs="Arial"/>
          <w:sz w:val="19"/>
          <w:szCs w:val="19"/>
        </w:rPr>
        <w:footnoteRef/>
      </w:r>
      <w:r w:rsidRPr="00D302B9">
        <w:rPr>
          <w:rFonts w:ascii="Arial" w:hAnsi="Arial" w:cs="Arial"/>
          <w:sz w:val="19"/>
          <w:szCs w:val="19"/>
        </w:rPr>
        <w:t xml:space="preserve"> Consejo de Estado. Sección Tercera. </w:t>
      </w:r>
      <w:proofErr w:type="spellStart"/>
      <w:r w:rsidRPr="00D302B9">
        <w:rPr>
          <w:rFonts w:ascii="Arial" w:hAnsi="Arial" w:cs="Arial"/>
          <w:sz w:val="19"/>
          <w:szCs w:val="19"/>
        </w:rPr>
        <w:t>Exp</w:t>
      </w:r>
      <w:proofErr w:type="spellEnd"/>
      <w:r w:rsidRPr="00D302B9">
        <w:rPr>
          <w:rFonts w:ascii="Arial" w:hAnsi="Arial" w:cs="Arial"/>
          <w:sz w:val="19"/>
          <w:szCs w:val="19"/>
        </w:rPr>
        <w:t>. 17.009. M.P. Enrique Gil Botero.</w:t>
      </w:r>
    </w:p>
    <w:p w:rsidRPr="00D302B9" w:rsidR="003B0CEC" w:rsidP="00BD0749" w:rsidRDefault="003B0CEC" w14:paraId="0EC18E3E" w14:textId="77777777">
      <w:pPr>
        <w:pStyle w:val="Textonotapie"/>
        <w:ind w:firstLine="708"/>
        <w:jc w:val="both"/>
        <w:rPr>
          <w:rFonts w:ascii="Arial" w:hAnsi="Arial" w:cs="Arial"/>
          <w:sz w:val="19"/>
          <w:szCs w:val="19"/>
        </w:rPr>
      </w:pPr>
    </w:p>
  </w:footnote>
  <w:footnote w:id="5">
    <w:p w:rsidRPr="00D302B9" w:rsidR="003B0CEC" w:rsidP="00BD0749" w:rsidRDefault="003B0CEC" w14:paraId="1803357C" w14:textId="128A7741">
      <w:pPr>
        <w:pStyle w:val="Textonotapie"/>
        <w:ind w:firstLine="708"/>
        <w:jc w:val="both"/>
        <w:rPr>
          <w:rFonts w:ascii="Arial" w:hAnsi="Arial" w:cs="Arial"/>
          <w:sz w:val="19"/>
          <w:szCs w:val="19"/>
        </w:rPr>
      </w:pPr>
      <w:r w:rsidRPr="00D302B9">
        <w:rPr>
          <w:rStyle w:val="Refdenotaalpie"/>
          <w:rFonts w:ascii="Arial" w:hAnsi="Arial" w:cs="Arial"/>
          <w:sz w:val="19"/>
          <w:szCs w:val="19"/>
        </w:rPr>
        <w:footnoteRef/>
      </w:r>
      <w:r w:rsidRPr="00D302B9">
        <w:rPr>
          <w:rFonts w:ascii="Arial" w:hAnsi="Arial" w:cs="Arial"/>
          <w:sz w:val="19"/>
          <w:szCs w:val="19"/>
        </w:rPr>
        <w:t xml:space="preserve"> Corte Constitucional. Sentencia C-827 de 2001. M.P. Álvaro Tafur Galvis.</w:t>
      </w:r>
    </w:p>
  </w:footnote>
  <w:footnote w:id="6">
    <w:p w:rsidRPr="00D302B9" w:rsidR="003B0CEC" w:rsidP="00BD0749" w:rsidRDefault="003B0CEC" w14:paraId="4182F376" w14:textId="77777777">
      <w:pPr>
        <w:pStyle w:val="Textonotapie"/>
        <w:jc w:val="both"/>
        <w:rPr>
          <w:rFonts w:ascii="Arial" w:hAnsi="Arial" w:cs="Arial"/>
          <w:sz w:val="19"/>
          <w:szCs w:val="19"/>
        </w:rPr>
      </w:pPr>
      <w:r w:rsidRPr="00D302B9">
        <w:rPr>
          <w:rFonts w:ascii="Arial" w:hAnsi="Arial" w:cs="Arial"/>
          <w:sz w:val="19"/>
          <w:szCs w:val="19"/>
          <w:vertAlign w:val="superscript"/>
        </w:rPr>
        <w:tab/>
      </w:r>
      <w:r w:rsidRPr="00D302B9">
        <w:rPr>
          <w:rFonts w:ascii="Arial" w:hAnsi="Arial" w:cs="Arial"/>
          <w:sz w:val="19"/>
          <w:szCs w:val="19"/>
          <w:vertAlign w:val="superscript"/>
        </w:rPr>
        <w:footnoteRef/>
      </w:r>
      <w:r w:rsidRPr="00D302B9">
        <w:rPr>
          <w:rFonts w:ascii="Arial" w:hAnsi="Arial" w:cs="Arial"/>
          <w:sz w:val="19"/>
          <w:szCs w:val="19"/>
          <w:vertAlign w:val="superscript"/>
        </w:rPr>
        <w:t xml:space="preserve"> </w:t>
      </w:r>
      <w:r w:rsidRPr="00D302B9">
        <w:rPr>
          <w:rFonts w:ascii="Arial" w:hAnsi="Arial" w:cs="Arial"/>
          <w:sz w:val="19"/>
          <w:szCs w:val="19"/>
        </w:rPr>
        <w:t>Sentencia del 13 de noviembre de 2008, expediente 17.009 y, C.P. Enrique Gil Botero.</w:t>
      </w:r>
    </w:p>
  </w:footnote>
  <w:footnote w:id="7">
    <w:p w:rsidRPr="00D302B9" w:rsidR="003B0CEC" w:rsidP="00BD0749" w:rsidRDefault="003B0CEC" w14:paraId="111E0A78" w14:textId="485B488D">
      <w:pPr>
        <w:pStyle w:val="Textonotapie"/>
        <w:ind w:firstLine="708"/>
        <w:jc w:val="both"/>
        <w:rPr>
          <w:rFonts w:ascii="Arial" w:hAnsi="Arial" w:cs="Arial"/>
          <w:sz w:val="19"/>
          <w:szCs w:val="19"/>
        </w:rPr>
      </w:pPr>
      <w:r w:rsidRPr="00D302B9">
        <w:rPr>
          <w:rStyle w:val="Refdenotaalpie"/>
          <w:rFonts w:ascii="Arial" w:hAnsi="Arial" w:cs="Arial"/>
          <w:sz w:val="19"/>
          <w:szCs w:val="19"/>
        </w:rPr>
        <w:footnoteRef/>
      </w:r>
      <w:r w:rsidRPr="00D302B9">
        <w:rPr>
          <w:rFonts w:ascii="Arial" w:hAnsi="Arial" w:cs="Arial"/>
          <w:sz w:val="19"/>
          <w:szCs w:val="19"/>
        </w:rPr>
        <w:t xml:space="preserve"> Corte Constitucional. Sentencia C-499 de 2015. M.P. Mauricio González Cuervo.</w:t>
      </w:r>
    </w:p>
    <w:p w:rsidRPr="00D302B9" w:rsidR="003B0CEC" w:rsidP="00BD0749" w:rsidRDefault="003B0CEC" w14:paraId="70FB1F16" w14:textId="77777777">
      <w:pPr>
        <w:pStyle w:val="Textonotapie"/>
        <w:ind w:firstLine="708"/>
        <w:jc w:val="both"/>
        <w:rPr>
          <w:rFonts w:ascii="Arial" w:hAnsi="Arial" w:cs="Arial"/>
          <w:sz w:val="19"/>
          <w:szCs w:val="19"/>
        </w:rPr>
      </w:pPr>
    </w:p>
  </w:footnote>
  <w:footnote w:id="8">
    <w:p w:rsidRPr="00D302B9" w:rsidR="003B0CEC" w:rsidP="00BD0749" w:rsidRDefault="003B0CEC" w14:paraId="6B6A97B7" w14:textId="6CE49556">
      <w:pPr>
        <w:pStyle w:val="Textonotapie"/>
        <w:ind w:firstLine="709"/>
        <w:jc w:val="both"/>
        <w:rPr>
          <w:rFonts w:ascii="Arial" w:hAnsi="Arial" w:cs="Arial"/>
          <w:sz w:val="19"/>
          <w:szCs w:val="19"/>
          <w:lang w:val="es-ES"/>
        </w:rPr>
      </w:pPr>
      <w:r w:rsidRPr="00D302B9">
        <w:rPr>
          <w:rStyle w:val="Refdenotaalpie"/>
          <w:rFonts w:ascii="Arial" w:hAnsi="Arial" w:cs="Arial"/>
          <w:sz w:val="19"/>
          <w:szCs w:val="19"/>
        </w:rPr>
        <w:footnoteRef/>
      </w:r>
      <w:r w:rsidRPr="00D302B9">
        <w:rPr>
          <w:rFonts w:ascii="Arial" w:hAnsi="Arial" w:cs="Arial"/>
          <w:sz w:val="19"/>
          <w:szCs w:val="19"/>
        </w:rPr>
        <w:t xml:space="preserve"> </w:t>
      </w:r>
      <w:r w:rsidRPr="00D302B9">
        <w:rPr>
          <w:rFonts w:ascii="Arial" w:hAnsi="Arial" w:cs="Arial"/>
          <w:sz w:val="19"/>
          <w:szCs w:val="19"/>
          <w:lang w:val="es-ES"/>
        </w:rPr>
        <w:t xml:space="preserve">Así se desprende del primer inciso de aquel artículo, que dice: «Las entidades sometidas al Estatuto General de Contratación de la Administración Pública podrán declarar el incumplimiento, cuantificando los perjuicios </w:t>
      </w:r>
      <w:proofErr w:type="gramStart"/>
      <w:r w:rsidRPr="00D302B9">
        <w:rPr>
          <w:rFonts w:ascii="Arial" w:hAnsi="Arial" w:cs="Arial"/>
          <w:sz w:val="19"/>
          <w:szCs w:val="19"/>
          <w:lang w:val="es-ES"/>
        </w:rPr>
        <w:t>del mismo</w:t>
      </w:r>
      <w:proofErr w:type="gramEnd"/>
      <w:r w:rsidRPr="00D302B9">
        <w:rPr>
          <w:rFonts w:ascii="Arial" w:hAnsi="Arial" w:cs="Arial"/>
          <w:sz w:val="19"/>
          <w:szCs w:val="19"/>
          <w:lang w:val="es-ES"/>
        </w:rPr>
        <w:t>, imponer las multas y sanciones pactadas en el contrato, y hacer efectiva la cláusula penal. Para tal efecto observarán el siguiente procedimiento […]».</w:t>
      </w:r>
    </w:p>
    <w:p w:rsidRPr="00D302B9" w:rsidR="003B0CEC" w:rsidP="00BD0749" w:rsidRDefault="003B0CEC" w14:paraId="1841F84F" w14:textId="77777777">
      <w:pPr>
        <w:pStyle w:val="Textonotapie"/>
        <w:ind w:firstLine="709"/>
        <w:jc w:val="both"/>
        <w:rPr>
          <w:rFonts w:ascii="Arial" w:hAnsi="Arial" w:cs="Arial"/>
          <w:sz w:val="19"/>
          <w:szCs w:val="19"/>
          <w:lang w:val="es-ES"/>
        </w:rPr>
      </w:pPr>
    </w:p>
  </w:footnote>
  <w:footnote w:id="9">
    <w:p w:rsidRPr="00D302B9" w:rsidR="003B0CEC" w:rsidP="00BD0749" w:rsidRDefault="003B0CEC" w14:paraId="734B3EFD" w14:textId="77777777">
      <w:pPr>
        <w:pStyle w:val="Textonotapie"/>
        <w:ind w:firstLine="709"/>
        <w:jc w:val="both"/>
        <w:rPr>
          <w:rFonts w:ascii="Arial" w:hAnsi="Arial" w:cs="Arial"/>
          <w:sz w:val="19"/>
          <w:szCs w:val="19"/>
          <w:lang w:val="es-ES"/>
        </w:rPr>
      </w:pPr>
      <w:r w:rsidRPr="00D302B9">
        <w:rPr>
          <w:rStyle w:val="Refdenotaalpie"/>
          <w:rFonts w:ascii="Arial" w:hAnsi="Arial" w:cs="Arial"/>
          <w:sz w:val="19"/>
          <w:szCs w:val="19"/>
        </w:rPr>
        <w:footnoteRef/>
      </w:r>
      <w:r w:rsidRPr="00D302B9">
        <w:rPr>
          <w:rFonts w:ascii="Arial" w:hAnsi="Arial" w:cs="Arial"/>
          <w:sz w:val="19"/>
          <w:szCs w:val="19"/>
        </w:rPr>
        <w:t xml:space="preserve"> </w:t>
      </w:r>
      <w:r w:rsidRPr="00D302B9">
        <w:rPr>
          <w:rFonts w:ascii="Arial" w:hAnsi="Arial" w:cs="Arial"/>
          <w:sz w:val="19"/>
          <w:szCs w:val="19"/>
          <w:lang w:val="es-ES"/>
        </w:rPr>
        <w:t>Debe recordarse que las entidades sometidas al Estatuto General de Contratación de la Administración Pública son las que se señalan en el artículo 2 de la Ley 80 de 1993. Esta disposición establece: «Para los solos efectos de esta ley:</w:t>
      </w:r>
    </w:p>
    <w:p w:rsidRPr="00D302B9" w:rsidR="003B0CEC" w:rsidP="00BD0749" w:rsidRDefault="003B0CEC" w14:paraId="28BC6553" w14:textId="77777777">
      <w:pPr>
        <w:pStyle w:val="Textonotapie"/>
        <w:ind w:firstLine="709"/>
        <w:jc w:val="both"/>
        <w:rPr>
          <w:rFonts w:ascii="Arial" w:hAnsi="Arial" w:cs="Arial"/>
          <w:sz w:val="19"/>
          <w:szCs w:val="19"/>
          <w:lang w:val="es-ES"/>
        </w:rPr>
      </w:pPr>
      <w:r w:rsidRPr="00D302B9">
        <w:rPr>
          <w:rFonts w:ascii="Arial" w:hAnsi="Arial" w:cs="Arial"/>
          <w:sz w:val="19"/>
          <w:szCs w:val="19"/>
          <w:lang w:val="es-ES"/>
        </w:rPr>
        <w:t>»1o. Se denominan entidades estatales:</w:t>
      </w:r>
    </w:p>
    <w:p w:rsidRPr="00D302B9" w:rsidR="003B0CEC" w:rsidP="00BD0749" w:rsidRDefault="003B0CEC" w14:paraId="5E87ECE7" w14:textId="77777777">
      <w:pPr>
        <w:pStyle w:val="Textonotapie"/>
        <w:ind w:firstLine="709"/>
        <w:jc w:val="both"/>
        <w:rPr>
          <w:rFonts w:ascii="Arial" w:hAnsi="Arial" w:cs="Arial"/>
          <w:sz w:val="19"/>
          <w:szCs w:val="19"/>
          <w:lang w:val="es-ES"/>
        </w:rPr>
      </w:pPr>
      <w:r w:rsidRPr="00D302B9">
        <w:rPr>
          <w:rFonts w:ascii="Arial" w:hAnsi="Arial" w:cs="Arial"/>
          <w:sz w:val="19"/>
          <w:szCs w:val="19"/>
          <w:lang w:val="es-ES"/>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Pr="00D302B9" w:rsidR="003B0CEC" w:rsidP="00BD0749" w:rsidRDefault="003B0CEC" w14:paraId="1F984C43" w14:textId="77777777">
      <w:pPr>
        <w:pStyle w:val="Textonotapie"/>
        <w:ind w:firstLine="709"/>
        <w:jc w:val="both"/>
        <w:rPr>
          <w:rFonts w:ascii="Arial" w:hAnsi="Arial" w:cs="Arial"/>
          <w:sz w:val="19"/>
          <w:szCs w:val="19"/>
          <w:lang w:val="es-ES"/>
        </w:rPr>
      </w:pPr>
      <w:r w:rsidRPr="00D302B9">
        <w:rPr>
          <w:rFonts w:ascii="Arial" w:hAnsi="Arial" w:cs="Arial"/>
          <w:sz w:val="19"/>
          <w:szCs w:val="19"/>
          <w:lang w:val="es-ES"/>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rsidRPr="00D302B9" w:rsidR="003B0CEC" w:rsidP="00BD0749" w:rsidRDefault="003B0CEC" w14:paraId="30B260DC" w14:textId="77777777">
      <w:pPr>
        <w:pStyle w:val="Textonotapie"/>
        <w:ind w:firstLine="709"/>
        <w:jc w:val="both"/>
        <w:rPr>
          <w:rFonts w:ascii="Arial" w:hAnsi="Arial" w:cs="Arial"/>
          <w:sz w:val="19"/>
          <w:szCs w:val="19"/>
          <w:lang w:val="es-ES"/>
        </w:rPr>
      </w:pPr>
      <w:r w:rsidRPr="00D302B9">
        <w:rPr>
          <w:rFonts w:ascii="Arial" w:hAnsi="Arial" w:cs="Arial"/>
          <w:sz w:val="19"/>
          <w:szCs w:val="19"/>
          <w:lang w:val="es-ES"/>
        </w:rPr>
        <w:t>[…]».</w:t>
      </w:r>
    </w:p>
    <w:p w:rsidRPr="00D302B9" w:rsidR="003B0CEC" w:rsidP="00BD0749" w:rsidRDefault="003B0CEC" w14:paraId="463AAC71" w14:textId="77777777">
      <w:pPr>
        <w:pStyle w:val="Textonotapie"/>
        <w:ind w:firstLine="709"/>
        <w:jc w:val="both"/>
        <w:rPr>
          <w:rFonts w:ascii="Arial" w:hAnsi="Arial" w:cs="Arial"/>
          <w:sz w:val="19"/>
          <w:szCs w:val="19"/>
          <w:lang w:val="es-ES"/>
        </w:rPr>
      </w:pPr>
    </w:p>
  </w:footnote>
  <w:footnote w:id="10">
    <w:p w:rsidRPr="00D302B9" w:rsidR="003B0CEC" w:rsidP="00BD0749" w:rsidRDefault="003B0CEC" w14:paraId="53F640B1" w14:textId="77777777">
      <w:pPr>
        <w:ind w:firstLine="709"/>
        <w:jc w:val="both"/>
        <w:rPr>
          <w:rFonts w:ascii="Arial" w:hAnsi="Arial" w:cs="Arial"/>
          <w:sz w:val="19"/>
          <w:szCs w:val="19"/>
          <w:lang w:val="es-ES_tradnl"/>
        </w:rPr>
      </w:pPr>
      <w:r w:rsidRPr="00D302B9">
        <w:rPr>
          <w:rStyle w:val="Refdenotaalpie"/>
          <w:rFonts w:ascii="Arial" w:hAnsi="Arial" w:cs="Arial"/>
          <w:sz w:val="19"/>
          <w:szCs w:val="19"/>
        </w:rPr>
        <w:footnoteRef/>
      </w:r>
      <w:r w:rsidRPr="00D302B9">
        <w:rPr>
          <w:rFonts w:ascii="Arial" w:hAnsi="Arial" w:cs="Arial"/>
          <w:sz w:val="19"/>
          <w:szCs w:val="19"/>
        </w:rPr>
        <w:t xml:space="preserve"> </w:t>
      </w:r>
      <w:r w:rsidRPr="00D302B9">
        <w:rPr>
          <w:rFonts w:ascii="Arial" w:hAnsi="Arial" w:cs="Arial"/>
          <w:sz w:val="19"/>
          <w:szCs w:val="19"/>
          <w:lang w:val="es-ES"/>
        </w:rPr>
        <w:t xml:space="preserve">Providencias que avalaron dicha tesis fueron las siguientes: Consejo de Estado. Sección Tercera. Sentencias del 20 de febrero de 2017. Consejero Ponente: Jaime Orlando Santofimio Gamboa. Expedientes: </w:t>
      </w:r>
      <w:r w:rsidRPr="00D302B9">
        <w:rPr>
          <w:rFonts w:ascii="Arial" w:hAnsi="Arial" w:cs="Arial"/>
          <w:sz w:val="19"/>
          <w:szCs w:val="19"/>
          <w:lang w:val="es-ES_tradnl"/>
        </w:rPr>
        <w:t>56939 y 56562. En cambio, la consideración de que las entidades de régimen especial, por regla general, no pueden ejercer esta potestad sancionatoria, se plantea en las sentencias del Consejo de Estado. Sección Tercera. 1 de agosto de 2018. Consejera Ponente: Stella Conto Díaz del Castillo. Expediente: 39277 y del 14 de febrero de 2019. Consejero Ponente: Carlos Alberto Zambrano Barrera. Expediente: 38937.</w:t>
      </w:r>
    </w:p>
    <w:p w:rsidRPr="00D302B9" w:rsidR="003B0CEC" w:rsidP="00BD0749" w:rsidRDefault="003B0CEC" w14:paraId="291CB7BE" w14:textId="77777777">
      <w:pPr>
        <w:pStyle w:val="Textonotapie"/>
        <w:jc w:val="both"/>
        <w:rPr>
          <w:rFonts w:ascii="Arial" w:hAnsi="Arial" w:cs="Arial"/>
          <w:sz w:val="19"/>
          <w:szCs w:val="19"/>
          <w:lang w:val="es-ES_tradnl"/>
        </w:rPr>
      </w:pPr>
    </w:p>
  </w:footnote>
  <w:footnote w:id="11">
    <w:p w:rsidRPr="00D302B9" w:rsidR="003B0CEC" w:rsidP="00BD0749" w:rsidRDefault="003B0CEC" w14:paraId="4DC1CE03" w14:textId="77777777">
      <w:pPr>
        <w:pStyle w:val="Textonotapie"/>
        <w:ind w:firstLine="709"/>
        <w:jc w:val="both"/>
        <w:rPr>
          <w:rFonts w:ascii="Arial" w:hAnsi="Arial" w:cs="Arial"/>
          <w:sz w:val="19"/>
          <w:szCs w:val="19"/>
        </w:rPr>
      </w:pPr>
      <w:r w:rsidRPr="00D302B9">
        <w:rPr>
          <w:rStyle w:val="Refdenotaalpie"/>
          <w:rFonts w:ascii="Arial" w:hAnsi="Arial" w:cs="Arial"/>
          <w:sz w:val="19"/>
          <w:szCs w:val="19"/>
        </w:rPr>
        <w:footnoteRef/>
      </w:r>
      <w:r w:rsidRPr="00D302B9">
        <w:rPr>
          <w:rFonts w:ascii="Arial" w:hAnsi="Arial" w:cs="Arial"/>
          <w:sz w:val="19"/>
          <w:szCs w:val="19"/>
        </w:rPr>
        <w:t xml:space="preserve"> </w:t>
      </w:r>
      <w:proofErr w:type="gramStart"/>
      <w:r w:rsidRPr="00D302B9">
        <w:rPr>
          <w:rFonts w:ascii="Arial" w:hAnsi="Arial" w:cs="Arial"/>
          <w:sz w:val="19"/>
          <w:szCs w:val="19"/>
        </w:rPr>
        <w:t>»El</w:t>
      </w:r>
      <w:proofErr w:type="gramEnd"/>
      <w:r w:rsidRPr="00D302B9">
        <w:rPr>
          <w:rFonts w:ascii="Arial" w:hAnsi="Arial" w:cs="Arial"/>
          <w:sz w:val="19"/>
          <w:szCs w:val="19"/>
        </w:rPr>
        <w:t xml:space="preserve"> debido proceso se aplicará a toda clase de actuaciones judiciales y administrativas.</w:t>
      </w:r>
    </w:p>
    <w:p w:rsidRPr="00D302B9" w:rsidR="003B0CEC" w:rsidP="00BD0749" w:rsidRDefault="003B0CEC" w14:paraId="1F0928B3" w14:textId="77777777">
      <w:pPr>
        <w:pStyle w:val="Textonotapie"/>
        <w:ind w:firstLine="709"/>
        <w:jc w:val="both"/>
        <w:rPr>
          <w:rFonts w:ascii="Arial" w:hAnsi="Arial" w:cs="Arial"/>
          <w:sz w:val="19"/>
          <w:szCs w:val="19"/>
        </w:rPr>
      </w:pPr>
      <w:proofErr w:type="gramStart"/>
      <w:r w:rsidRPr="00D302B9">
        <w:rPr>
          <w:rFonts w:ascii="Arial" w:hAnsi="Arial" w:cs="Arial"/>
          <w:sz w:val="19"/>
          <w:szCs w:val="19"/>
        </w:rPr>
        <w:t>»Nadie</w:t>
      </w:r>
      <w:proofErr w:type="gramEnd"/>
      <w:r w:rsidRPr="00D302B9">
        <w:rPr>
          <w:rFonts w:ascii="Arial" w:hAnsi="Arial" w:cs="Arial"/>
          <w:sz w:val="19"/>
          <w:szCs w:val="19"/>
        </w:rPr>
        <w:t xml:space="preserve"> podrá ser juzgado sino conforme a leyes preexistentes al acto que se le imputa, ante juez o tribunal competente y con observancia de la plenitud de las formas propias de cada juicio.</w:t>
      </w:r>
    </w:p>
    <w:p w:rsidRPr="00D302B9" w:rsidR="003B0CEC" w:rsidP="00BD0749" w:rsidRDefault="003B0CEC" w14:paraId="3D6B2C2D" w14:textId="77777777">
      <w:pPr>
        <w:pStyle w:val="Textonotapie"/>
        <w:ind w:firstLine="709"/>
        <w:jc w:val="both"/>
        <w:rPr>
          <w:rFonts w:ascii="Arial" w:hAnsi="Arial" w:cs="Arial"/>
          <w:sz w:val="19"/>
          <w:szCs w:val="19"/>
        </w:rPr>
      </w:pPr>
      <w:proofErr w:type="gramStart"/>
      <w:r w:rsidRPr="00D302B9">
        <w:rPr>
          <w:rFonts w:ascii="Arial" w:hAnsi="Arial" w:cs="Arial"/>
          <w:sz w:val="19"/>
          <w:szCs w:val="19"/>
        </w:rPr>
        <w:t>»En</w:t>
      </w:r>
      <w:proofErr w:type="gramEnd"/>
      <w:r w:rsidRPr="00D302B9">
        <w:rPr>
          <w:rFonts w:ascii="Arial" w:hAnsi="Arial" w:cs="Arial"/>
          <w:sz w:val="19"/>
          <w:szCs w:val="19"/>
        </w:rPr>
        <w:t xml:space="preserve"> materia penal, la ley permisiva o favorable, aun cuando sea posterior, se aplicará de preferencia a la restrictiva o desfavorable.</w:t>
      </w:r>
    </w:p>
    <w:p w:rsidRPr="00D302B9" w:rsidR="003B0CEC" w:rsidP="00BD0749" w:rsidRDefault="003B0CEC" w14:paraId="538A8952" w14:textId="77777777">
      <w:pPr>
        <w:pStyle w:val="Textonotapie"/>
        <w:ind w:firstLine="709"/>
        <w:jc w:val="both"/>
        <w:rPr>
          <w:rFonts w:ascii="Arial" w:hAnsi="Arial" w:cs="Arial"/>
          <w:sz w:val="19"/>
          <w:szCs w:val="19"/>
        </w:rPr>
      </w:pPr>
      <w:proofErr w:type="gramStart"/>
      <w:r w:rsidRPr="00D302B9">
        <w:rPr>
          <w:rFonts w:ascii="Arial" w:hAnsi="Arial" w:cs="Arial"/>
          <w:sz w:val="19"/>
          <w:szCs w:val="19"/>
        </w:rPr>
        <w:t>»Toda</w:t>
      </w:r>
      <w:proofErr w:type="gramEnd"/>
      <w:r w:rsidRPr="00D302B9">
        <w:rPr>
          <w:rFonts w:ascii="Arial" w:hAnsi="Arial" w:cs="Arial"/>
          <w:sz w:val="19"/>
          <w:szCs w:val="19"/>
        </w:rPr>
        <w:t xml:space="preserve">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rsidRPr="00D302B9" w:rsidR="003B0CEC" w:rsidP="00BD0749" w:rsidRDefault="003B0CEC" w14:paraId="04C2F9DE" w14:textId="77777777">
      <w:pPr>
        <w:pStyle w:val="Textonotapie"/>
        <w:ind w:firstLine="709"/>
        <w:jc w:val="both"/>
        <w:rPr>
          <w:rFonts w:ascii="Arial" w:hAnsi="Arial" w:cs="Arial"/>
          <w:sz w:val="19"/>
          <w:szCs w:val="19"/>
        </w:rPr>
      </w:pPr>
      <w:proofErr w:type="gramStart"/>
      <w:r w:rsidRPr="00D302B9">
        <w:rPr>
          <w:rFonts w:ascii="Arial" w:hAnsi="Arial" w:cs="Arial"/>
          <w:sz w:val="19"/>
          <w:szCs w:val="19"/>
        </w:rPr>
        <w:t>»Es</w:t>
      </w:r>
      <w:proofErr w:type="gramEnd"/>
      <w:r w:rsidRPr="00D302B9">
        <w:rPr>
          <w:rFonts w:ascii="Arial" w:hAnsi="Arial" w:cs="Arial"/>
          <w:sz w:val="19"/>
          <w:szCs w:val="19"/>
        </w:rPr>
        <w:t xml:space="preserve"> nula, de pleno derecho, la prueba obtenida con violación del debido proceso».</w:t>
      </w:r>
    </w:p>
    <w:p w:rsidRPr="00D302B9" w:rsidR="003B0CEC" w:rsidP="00BD0749" w:rsidRDefault="003B0CEC" w14:paraId="2EAF78CC" w14:textId="77777777">
      <w:pPr>
        <w:pStyle w:val="Textonotapie"/>
        <w:ind w:firstLine="709"/>
        <w:jc w:val="both"/>
        <w:rPr>
          <w:rFonts w:ascii="Arial" w:hAnsi="Arial" w:cs="Arial"/>
          <w:sz w:val="19"/>
          <w:szCs w:val="19"/>
          <w:lang w:val="es-ES"/>
        </w:rPr>
      </w:pPr>
    </w:p>
  </w:footnote>
  <w:footnote w:id="12">
    <w:p w:rsidRPr="00D302B9" w:rsidR="003B0CEC" w:rsidP="00BD0749" w:rsidRDefault="003B0CEC" w14:paraId="46F85C6A" w14:textId="77777777">
      <w:pPr>
        <w:pStyle w:val="NormalWeb"/>
        <w:spacing w:before="0" w:beforeAutospacing="0" w:after="0" w:afterAutospacing="0"/>
        <w:ind w:firstLine="709"/>
        <w:jc w:val="both"/>
        <w:rPr>
          <w:rFonts w:ascii="Arial" w:hAnsi="Arial" w:cs="Arial" w:eastAsiaTheme="minorHAnsi"/>
          <w:sz w:val="19"/>
          <w:szCs w:val="19"/>
          <w:lang w:val="es-ES_tradnl" w:eastAsia="es-ES_tradnl"/>
        </w:rPr>
      </w:pPr>
      <w:r w:rsidRPr="00D302B9">
        <w:rPr>
          <w:rStyle w:val="Refdenotaalpie"/>
          <w:rFonts w:ascii="Arial" w:hAnsi="Arial" w:cs="Arial"/>
          <w:sz w:val="19"/>
          <w:szCs w:val="19"/>
        </w:rPr>
        <w:footnoteRef/>
      </w:r>
      <w:r w:rsidRPr="00D302B9">
        <w:rPr>
          <w:rFonts w:ascii="Arial" w:hAnsi="Arial" w:cs="Arial"/>
          <w:sz w:val="19"/>
          <w:szCs w:val="19"/>
        </w:rPr>
        <w:t xml:space="preserve"> </w:t>
      </w:r>
      <w:r w:rsidRPr="00D302B9">
        <w:rPr>
          <w:rFonts w:ascii="Arial" w:hAnsi="Arial" w:cs="Arial"/>
          <w:sz w:val="19"/>
          <w:szCs w:val="19"/>
          <w:lang w:val="es-ES"/>
        </w:rPr>
        <w:t>«</w:t>
      </w:r>
      <w:r w:rsidRPr="00D302B9">
        <w:rPr>
          <w:rFonts w:ascii="Arial" w:hAnsi="Arial" w:cs="Arial" w:eastAsiaTheme="minorHAnsi"/>
          <w:sz w:val="19"/>
          <w:szCs w:val="19"/>
          <w:lang w:val="es-ES_tradnl" w:eastAsia="es-ES_tradnl"/>
        </w:rPr>
        <w:t>Todas las autoridades deberán interpretar y aplicar las disposiciones que regulan las actuaciones y procedimientos administrativos a la luz de los principios consagrados en la Constitución Política, en la Parte Primera de este Código y en las leyes especiales.</w:t>
      </w:r>
    </w:p>
    <w:p w:rsidRPr="00D302B9" w:rsidR="003B0CEC" w:rsidP="00BD0749" w:rsidRDefault="003B0CEC" w14:paraId="40FE3323" w14:textId="77777777">
      <w:pPr>
        <w:ind w:firstLine="709"/>
        <w:jc w:val="both"/>
        <w:rPr>
          <w:rFonts w:ascii="Arial" w:hAnsi="Arial" w:cs="Arial"/>
          <w:sz w:val="19"/>
          <w:szCs w:val="19"/>
          <w:lang w:val="es-ES_tradnl"/>
        </w:rPr>
      </w:pPr>
      <w:proofErr w:type="gramStart"/>
      <w:r w:rsidRPr="00D302B9">
        <w:rPr>
          <w:rFonts w:ascii="Arial" w:hAnsi="Arial" w:cs="Arial"/>
          <w:sz w:val="19"/>
          <w:szCs w:val="19"/>
          <w:lang w:val="es-ES_tradnl"/>
        </w:rPr>
        <w:t>»Las</w:t>
      </w:r>
      <w:proofErr w:type="gramEnd"/>
      <w:r w:rsidRPr="00D302B9">
        <w:rPr>
          <w:rFonts w:ascii="Arial" w:hAnsi="Arial" w:cs="Arial"/>
          <w:sz w:val="19"/>
          <w:szCs w:val="19"/>
          <w:lang w:val="es-ES_tradnl"/>
        </w:rPr>
        <w:t xml:space="preserve"> actuaciones administrativas se desarrollarán, especialmente, con arreglo a los principios del debido proceso, igualdad, imparcialidad, buena fe, moralidad, participación, responsabilidad, transparencia, publicidad, coordinación, eficacia, economía y celeridad.</w:t>
      </w:r>
    </w:p>
    <w:p w:rsidRPr="00D302B9" w:rsidR="003B0CEC" w:rsidP="00BD0749" w:rsidRDefault="003B0CEC" w14:paraId="72FC9D61" w14:textId="77777777">
      <w:pPr>
        <w:ind w:firstLine="709"/>
        <w:jc w:val="both"/>
        <w:rPr>
          <w:rFonts w:ascii="Arial" w:hAnsi="Arial" w:cs="Arial"/>
          <w:sz w:val="19"/>
          <w:szCs w:val="19"/>
          <w:lang w:val="es-ES_tradnl"/>
        </w:rPr>
      </w:pPr>
      <w:r w:rsidRPr="00D302B9">
        <w:rPr>
          <w:rFonts w:ascii="Arial" w:hAnsi="Arial" w:cs="Arial"/>
          <w:sz w:val="19"/>
          <w:szCs w:val="19"/>
          <w:lang w:val="es-ES_tradnl"/>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rsidRPr="00D302B9" w:rsidR="003B0CEC" w:rsidP="00BD0749" w:rsidRDefault="003B0CEC" w14:paraId="602E8002" w14:textId="77777777">
      <w:pPr>
        <w:ind w:firstLine="709"/>
        <w:jc w:val="both"/>
        <w:rPr>
          <w:rFonts w:ascii="Arial" w:hAnsi="Arial" w:cs="Arial"/>
          <w:iCs/>
          <w:sz w:val="19"/>
          <w:szCs w:val="19"/>
          <w:lang w:val="es-ES_tradnl"/>
        </w:rPr>
      </w:pPr>
      <w:proofErr w:type="gramStart"/>
      <w:r w:rsidRPr="00D302B9">
        <w:rPr>
          <w:rFonts w:ascii="Arial" w:hAnsi="Arial" w:cs="Arial"/>
          <w:sz w:val="19"/>
          <w:szCs w:val="19"/>
          <w:lang w:val="es-ES_tradnl"/>
        </w:rPr>
        <w:t>»En</w:t>
      </w:r>
      <w:proofErr w:type="gramEnd"/>
      <w:r w:rsidRPr="00D302B9">
        <w:rPr>
          <w:rFonts w:ascii="Arial" w:hAnsi="Arial" w:cs="Arial"/>
          <w:sz w:val="19"/>
          <w:szCs w:val="19"/>
          <w:lang w:val="es-ES_tradnl"/>
        </w:rPr>
        <w:t xml:space="preserve"> materia administrativa sancionatoria, se observarán adicionalmente los principios de legalidad de las faltas y de las sanciones, de presunción de inocencia, de no </w:t>
      </w:r>
      <w:proofErr w:type="spellStart"/>
      <w:r w:rsidRPr="00D302B9">
        <w:rPr>
          <w:rFonts w:ascii="Arial" w:hAnsi="Arial" w:cs="Arial"/>
          <w:i/>
          <w:iCs/>
          <w:sz w:val="19"/>
          <w:szCs w:val="19"/>
          <w:lang w:val="es-ES_tradnl"/>
        </w:rPr>
        <w:t>reformatio</w:t>
      </w:r>
      <w:proofErr w:type="spellEnd"/>
      <w:r w:rsidRPr="00D302B9">
        <w:rPr>
          <w:rFonts w:ascii="Arial" w:hAnsi="Arial" w:cs="Arial"/>
          <w:i/>
          <w:iCs/>
          <w:sz w:val="19"/>
          <w:szCs w:val="19"/>
          <w:lang w:val="es-ES_tradnl"/>
        </w:rPr>
        <w:t xml:space="preserve"> in </w:t>
      </w:r>
      <w:proofErr w:type="spellStart"/>
      <w:r w:rsidRPr="00D302B9">
        <w:rPr>
          <w:rFonts w:ascii="Arial" w:hAnsi="Arial" w:cs="Arial"/>
          <w:i/>
          <w:iCs/>
          <w:sz w:val="19"/>
          <w:szCs w:val="19"/>
          <w:lang w:val="es-ES_tradnl"/>
        </w:rPr>
        <w:t>pejus</w:t>
      </w:r>
      <w:proofErr w:type="spellEnd"/>
      <w:r w:rsidRPr="00D302B9">
        <w:rPr>
          <w:rFonts w:ascii="Arial" w:hAnsi="Arial" w:cs="Arial"/>
          <w:i/>
          <w:iCs/>
          <w:sz w:val="19"/>
          <w:szCs w:val="19"/>
          <w:lang w:val="es-ES_tradnl"/>
        </w:rPr>
        <w:t xml:space="preserve"> y non bis in ídem</w:t>
      </w:r>
    </w:p>
    <w:p w:rsidRPr="00D302B9" w:rsidR="003B0CEC" w:rsidP="00BD0749" w:rsidRDefault="003B0CEC" w14:paraId="72F1AA9C" w14:textId="77777777">
      <w:pPr>
        <w:ind w:firstLine="709"/>
        <w:jc w:val="both"/>
        <w:rPr>
          <w:rFonts w:ascii="Arial" w:hAnsi="Arial" w:cs="Arial"/>
          <w:sz w:val="19"/>
          <w:szCs w:val="19"/>
          <w:lang w:val="es-ES_tradnl"/>
        </w:rPr>
      </w:pPr>
      <w:r w:rsidRPr="00D302B9">
        <w:rPr>
          <w:rFonts w:ascii="Arial" w:hAnsi="Arial" w:cs="Arial"/>
          <w:iCs/>
          <w:sz w:val="19"/>
          <w:szCs w:val="19"/>
          <w:lang w:val="es-ES_tradnl"/>
        </w:rPr>
        <w:t>[…]»</w:t>
      </w:r>
      <w:r w:rsidRPr="00D302B9">
        <w:rPr>
          <w:rFonts w:ascii="Arial" w:hAnsi="Arial" w:cs="Arial"/>
          <w:i/>
          <w:iCs/>
          <w:sz w:val="19"/>
          <w:szCs w:val="19"/>
          <w:lang w:val="es-ES_tradnl"/>
        </w:rPr>
        <w:t>.</w:t>
      </w:r>
    </w:p>
    <w:p w:rsidRPr="00D302B9" w:rsidR="003B0CEC" w:rsidP="00BD0749" w:rsidRDefault="003B0CEC" w14:paraId="3C2B135D" w14:textId="77777777">
      <w:pPr>
        <w:pStyle w:val="Textonotapie"/>
        <w:ind w:firstLine="709"/>
        <w:jc w:val="both"/>
        <w:rPr>
          <w:rFonts w:ascii="Arial" w:hAnsi="Arial" w:cs="Arial"/>
          <w:sz w:val="19"/>
          <w:szCs w:val="19"/>
          <w:lang w:val="es-ES"/>
        </w:rPr>
      </w:pPr>
    </w:p>
  </w:footnote>
  <w:footnote w:id="13">
    <w:p w:rsidRPr="00D302B9" w:rsidR="003B0CEC" w:rsidP="00BD0749" w:rsidRDefault="003B0CEC" w14:paraId="5B92B7D1" w14:textId="77777777">
      <w:pPr>
        <w:pStyle w:val="Textonotapie"/>
        <w:ind w:firstLine="709"/>
        <w:jc w:val="both"/>
        <w:rPr>
          <w:rFonts w:ascii="Arial" w:hAnsi="Arial" w:cs="Arial"/>
          <w:sz w:val="19"/>
          <w:szCs w:val="19"/>
          <w:lang w:val="es-ES"/>
        </w:rPr>
      </w:pPr>
      <w:r w:rsidRPr="00D302B9">
        <w:rPr>
          <w:rStyle w:val="Refdenotaalpie"/>
          <w:rFonts w:ascii="Arial" w:hAnsi="Arial" w:cs="Arial"/>
          <w:sz w:val="19"/>
          <w:szCs w:val="19"/>
        </w:rPr>
        <w:footnoteRef/>
      </w:r>
      <w:r w:rsidRPr="00D302B9">
        <w:rPr>
          <w:rFonts w:ascii="Arial" w:hAnsi="Arial" w:cs="Arial"/>
          <w:sz w:val="19"/>
          <w:szCs w:val="19"/>
        </w:rPr>
        <w:t xml:space="preserve"> </w:t>
      </w:r>
      <w:r w:rsidRPr="00D302B9">
        <w:rPr>
          <w:rFonts w:ascii="Arial" w:hAnsi="Arial" w:cs="Arial"/>
          <w:sz w:val="19"/>
          <w:szCs w:val="19"/>
          <w:lang w:val="es-ES"/>
        </w:rPr>
        <w:t>Consejo de Estado. Sección Tercera. Auto del 12 de diciembre de 2017. Consejero Ponente: Jaime Orlando Santofimio Gamboa. Expediente: 60477.</w:t>
      </w:r>
    </w:p>
  </w:footnote>
  <w:footnote w:id="14">
    <w:p w:rsidRPr="00D302B9" w:rsidR="003B0CEC" w:rsidP="00BD0749" w:rsidRDefault="003B0CEC" w14:paraId="26A2AF62" w14:textId="77777777">
      <w:pPr>
        <w:pStyle w:val="Textonotapie"/>
        <w:ind w:firstLine="709"/>
        <w:jc w:val="both"/>
        <w:rPr>
          <w:rFonts w:ascii="Arial" w:hAnsi="Arial" w:cs="Arial"/>
          <w:sz w:val="19"/>
          <w:szCs w:val="19"/>
          <w:lang w:val="es-ES"/>
        </w:rPr>
      </w:pPr>
      <w:r w:rsidRPr="00D302B9">
        <w:rPr>
          <w:rStyle w:val="Refdenotaalpie"/>
          <w:rFonts w:ascii="Arial" w:hAnsi="Arial" w:cs="Arial"/>
          <w:sz w:val="19"/>
          <w:szCs w:val="19"/>
        </w:rPr>
        <w:footnoteRef/>
      </w:r>
      <w:r w:rsidRPr="00D302B9">
        <w:rPr>
          <w:rFonts w:ascii="Arial" w:hAnsi="Arial" w:cs="Arial"/>
          <w:sz w:val="19"/>
          <w:szCs w:val="19"/>
        </w:rPr>
        <w:t xml:space="preserve"> </w:t>
      </w:r>
      <w:r w:rsidRPr="00D302B9">
        <w:rPr>
          <w:rFonts w:ascii="Arial" w:hAnsi="Arial" w:cs="Arial"/>
          <w:sz w:val="19"/>
          <w:szCs w:val="19"/>
          <w:lang w:val="es-ES"/>
        </w:rPr>
        <w:t xml:space="preserve">El artículo 18 de la Ley 80 de 1993 establece: «La caducidad es la estipulación en virtud de la </w:t>
      </w:r>
      <w:proofErr w:type="gramStart"/>
      <w:r w:rsidRPr="00D302B9">
        <w:rPr>
          <w:rFonts w:ascii="Arial" w:hAnsi="Arial" w:cs="Arial"/>
          <w:sz w:val="19"/>
          <w:szCs w:val="19"/>
          <w:lang w:val="es-ES"/>
        </w:rPr>
        <w:t>cual</w:t>
      </w:r>
      <w:proofErr w:type="gramEnd"/>
      <w:r w:rsidRPr="00D302B9">
        <w:rPr>
          <w:rFonts w:ascii="Arial" w:hAnsi="Arial" w:cs="Arial"/>
          <w:sz w:val="19"/>
          <w:szCs w:val="19"/>
          <w:lang w:val="es-ES"/>
        </w:rPr>
        <w:t xml:space="preserve">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rsidRPr="00D302B9" w:rsidR="003B0CEC" w:rsidP="00BD0749" w:rsidRDefault="003B0CEC" w14:paraId="4A2F1001" w14:textId="77777777">
      <w:pPr>
        <w:pStyle w:val="Textonotapie"/>
        <w:ind w:firstLine="709"/>
        <w:jc w:val="both"/>
        <w:rPr>
          <w:rFonts w:ascii="Arial" w:hAnsi="Arial" w:cs="Arial"/>
          <w:sz w:val="19"/>
          <w:szCs w:val="19"/>
          <w:lang w:val="es-ES"/>
        </w:rPr>
      </w:pPr>
      <w:proofErr w:type="gramStart"/>
      <w:r w:rsidRPr="00D302B9">
        <w:rPr>
          <w:rFonts w:ascii="Arial" w:hAnsi="Arial" w:cs="Arial"/>
          <w:sz w:val="19"/>
          <w:szCs w:val="19"/>
          <w:lang w:val="es-ES"/>
        </w:rPr>
        <w:t>»En</w:t>
      </w:r>
      <w:proofErr w:type="gramEnd"/>
      <w:r w:rsidRPr="00D302B9">
        <w:rPr>
          <w:rFonts w:ascii="Arial" w:hAnsi="Arial" w:cs="Arial"/>
          <w:sz w:val="19"/>
          <w:szCs w:val="19"/>
          <w:lang w:val="es-ES"/>
        </w:rPr>
        <w:t xml:space="preserve">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rsidRPr="00D302B9" w:rsidR="003B0CEC" w:rsidP="00BD0749" w:rsidRDefault="003B0CEC" w14:paraId="0A85C232" w14:textId="77777777">
      <w:pPr>
        <w:pStyle w:val="Textonotapie"/>
        <w:ind w:firstLine="709"/>
        <w:jc w:val="both"/>
        <w:rPr>
          <w:rFonts w:ascii="Arial" w:hAnsi="Arial" w:cs="Arial"/>
          <w:sz w:val="19"/>
          <w:szCs w:val="19"/>
          <w:lang w:val="es-ES"/>
        </w:rPr>
      </w:pPr>
      <w:proofErr w:type="gramStart"/>
      <w:r w:rsidRPr="00D302B9">
        <w:rPr>
          <w:rFonts w:ascii="Arial" w:hAnsi="Arial" w:cs="Arial"/>
          <w:sz w:val="19"/>
          <w:szCs w:val="19"/>
          <w:lang w:val="es-ES"/>
        </w:rPr>
        <w:t>»Si</w:t>
      </w:r>
      <w:proofErr w:type="gramEnd"/>
      <w:r w:rsidRPr="00D302B9">
        <w:rPr>
          <w:rFonts w:ascii="Arial" w:hAnsi="Arial" w:cs="Arial"/>
          <w:sz w:val="19"/>
          <w:szCs w:val="19"/>
          <w:lang w:val="es-ES"/>
        </w:rPr>
        <w:t xml:space="preserve"> se declara la caducidad no habrá lugar a indemnización para el contratista, quien se hará acreedor a las sanciones e inhabilidades previstas en esta ley.</w:t>
      </w:r>
    </w:p>
    <w:p w:rsidRPr="00D302B9" w:rsidR="003B0CEC" w:rsidP="00BD0749" w:rsidRDefault="003B0CEC" w14:paraId="4877A4BF" w14:textId="77777777">
      <w:pPr>
        <w:pStyle w:val="Textonotapie"/>
        <w:ind w:firstLine="709"/>
        <w:jc w:val="both"/>
        <w:rPr>
          <w:rFonts w:ascii="Arial" w:hAnsi="Arial" w:cs="Arial"/>
          <w:sz w:val="19"/>
          <w:szCs w:val="19"/>
          <w:lang w:val="es-ES"/>
        </w:rPr>
      </w:pPr>
      <w:proofErr w:type="gramStart"/>
      <w:r w:rsidRPr="00D302B9">
        <w:rPr>
          <w:rFonts w:ascii="Arial" w:hAnsi="Arial" w:cs="Arial"/>
          <w:sz w:val="19"/>
          <w:szCs w:val="19"/>
          <w:lang w:val="es-ES"/>
        </w:rPr>
        <w:t>»La</w:t>
      </w:r>
      <w:proofErr w:type="gramEnd"/>
      <w:r w:rsidRPr="00D302B9">
        <w:rPr>
          <w:rFonts w:ascii="Arial" w:hAnsi="Arial" w:cs="Arial"/>
          <w:sz w:val="19"/>
          <w:szCs w:val="19"/>
          <w:lang w:val="es-ES"/>
        </w:rPr>
        <w:t xml:space="preserve"> declaratoria de caducidad será constitutiva del siniestro de incumplimiento».</w:t>
      </w:r>
    </w:p>
  </w:footnote>
  <w:footnote w:id="15">
    <w:p w:rsidRPr="00D302B9" w:rsidR="003B0CEC" w:rsidP="00BD0749" w:rsidRDefault="003B0CEC" w14:paraId="30F81026" w14:textId="77777777">
      <w:pPr>
        <w:pStyle w:val="Textonotapie"/>
        <w:ind w:firstLine="709"/>
        <w:jc w:val="both"/>
        <w:rPr>
          <w:rFonts w:ascii="Arial" w:hAnsi="Arial" w:cs="Arial"/>
          <w:sz w:val="19"/>
          <w:szCs w:val="19"/>
          <w:lang w:val="es-ES"/>
        </w:rPr>
      </w:pPr>
      <w:r w:rsidRPr="00D302B9">
        <w:rPr>
          <w:rStyle w:val="Refdenotaalpie"/>
          <w:rFonts w:ascii="Arial" w:hAnsi="Arial" w:cs="Arial"/>
          <w:sz w:val="19"/>
          <w:szCs w:val="19"/>
        </w:rPr>
        <w:footnoteRef/>
      </w:r>
      <w:r w:rsidRPr="00D302B9">
        <w:rPr>
          <w:rFonts w:ascii="Arial" w:hAnsi="Arial" w:cs="Arial"/>
          <w:sz w:val="19"/>
          <w:szCs w:val="19"/>
        </w:rPr>
        <w:t xml:space="preserve"> </w:t>
      </w:r>
      <w:r w:rsidRPr="00D302B9">
        <w:rPr>
          <w:rFonts w:ascii="Arial" w:hAnsi="Arial" w:cs="Arial"/>
          <w:sz w:val="19"/>
          <w:szCs w:val="19"/>
          <w:lang w:val="es-ES"/>
        </w:rPr>
        <w:t>El artículo 31 de la Ley 142 de 1994, modificado por el artículo 3 de la Ley 689 de 2001, indica: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rsidRPr="00D302B9" w:rsidR="003B0CEC" w:rsidP="00BD0749" w:rsidRDefault="003B0CEC" w14:paraId="379056B3" w14:textId="77777777">
      <w:pPr>
        <w:pStyle w:val="Textonotapie"/>
        <w:ind w:firstLine="709"/>
        <w:jc w:val="both"/>
        <w:rPr>
          <w:rFonts w:ascii="Arial" w:hAnsi="Arial" w:cs="Arial"/>
          <w:sz w:val="19"/>
          <w:szCs w:val="19"/>
          <w:lang w:val="es-ES"/>
        </w:rPr>
      </w:pPr>
      <w:proofErr w:type="gramStart"/>
      <w:r w:rsidRPr="00D302B9">
        <w:rPr>
          <w:rFonts w:ascii="Arial" w:hAnsi="Arial" w:cs="Arial"/>
          <w:sz w:val="19"/>
          <w:szCs w:val="19"/>
          <w:lang w:val="es-ES"/>
        </w:rPr>
        <w:t>»Las</w:t>
      </w:r>
      <w:proofErr w:type="gramEnd"/>
      <w:r w:rsidRPr="00D302B9">
        <w:rPr>
          <w:rFonts w:ascii="Arial" w:hAnsi="Arial" w:cs="Arial"/>
          <w:sz w:val="19"/>
          <w:szCs w:val="19"/>
          <w:lang w:val="es-ES"/>
        </w:rPr>
        <w:t xml:space="preserve">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w:t>
      </w:r>
      <w:proofErr w:type="gramStart"/>
      <w:r w:rsidRPr="00D302B9">
        <w:rPr>
          <w:rFonts w:ascii="Arial" w:hAnsi="Arial" w:cs="Arial"/>
          <w:sz w:val="19"/>
          <w:szCs w:val="19"/>
          <w:lang w:val="es-ES"/>
        </w:rPr>
        <w:t>contencioso administrativa</w:t>
      </w:r>
      <w:proofErr w:type="gramEnd"/>
      <w:r w:rsidRPr="00D302B9">
        <w:rPr>
          <w:rFonts w:ascii="Arial" w:hAnsi="Arial" w:cs="Arial"/>
          <w:sz w:val="19"/>
          <w:szCs w:val="19"/>
          <w:lang w:val="es-ES"/>
        </w:rPr>
        <w:t>.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rsidRPr="00D302B9" w:rsidR="003B0CEC" w:rsidP="00BD0749" w:rsidRDefault="003B0CEC" w14:paraId="375AE326" w14:textId="77777777">
      <w:pPr>
        <w:pStyle w:val="Textonotapie"/>
        <w:ind w:firstLine="709"/>
        <w:jc w:val="both"/>
        <w:rPr>
          <w:rFonts w:ascii="Arial" w:hAnsi="Arial" w:cs="Arial"/>
          <w:sz w:val="19"/>
          <w:szCs w:val="19"/>
          <w:lang w:val="es-ES"/>
        </w:rPr>
      </w:pPr>
      <w:proofErr w:type="gramStart"/>
      <w:r w:rsidRPr="00D302B9">
        <w:rPr>
          <w:rFonts w:ascii="Arial" w:hAnsi="Arial" w:cs="Arial"/>
          <w:sz w:val="19"/>
          <w:szCs w:val="19"/>
          <w:lang w:val="es-ES"/>
        </w:rPr>
        <w:t>»PARÁGRAFO</w:t>
      </w:r>
      <w:proofErr w:type="gramEnd"/>
      <w:r w:rsidRPr="00D302B9">
        <w:rPr>
          <w:rFonts w:ascii="Arial" w:hAnsi="Arial" w:cs="Arial"/>
          <w:sz w:val="19"/>
          <w:szCs w:val="19"/>
          <w:lang w:val="es-ES"/>
        </w:rPr>
        <w:t>.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footnote>
  <w:footnote w:id="16">
    <w:p w:rsidRPr="00D302B9" w:rsidR="003B0CEC" w:rsidP="00BD0749" w:rsidRDefault="003B0CEC" w14:paraId="34C905A4" w14:textId="77777777">
      <w:pPr>
        <w:pStyle w:val="Textonotapie"/>
        <w:ind w:firstLine="709"/>
        <w:jc w:val="both"/>
        <w:rPr>
          <w:rFonts w:ascii="Arial" w:hAnsi="Arial" w:cs="Arial"/>
          <w:sz w:val="19"/>
          <w:szCs w:val="19"/>
          <w:lang w:val="es-ES"/>
        </w:rPr>
      </w:pPr>
      <w:r w:rsidRPr="00D302B9">
        <w:rPr>
          <w:rStyle w:val="Refdenotaalpie"/>
          <w:rFonts w:ascii="Arial" w:hAnsi="Arial" w:cs="Arial"/>
          <w:sz w:val="19"/>
          <w:szCs w:val="19"/>
        </w:rPr>
        <w:footnoteRef/>
      </w:r>
      <w:r w:rsidRPr="00D302B9">
        <w:rPr>
          <w:rFonts w:ascii="Arial" w:hAnsi="Arial" w:cs="Arial"/>
          <w:sz w:val="19"/>
          <w:szCs w:val="19"/>
        </w:rPr>
        <w:t xml:space="preserve"> </w:t>
      </w:r>
      <w:r w:rsidRPr="00D302B9">
        <w:rPr>
          <w:rFonts w:ascii="Arial" w:hAnsi="Arial" w:cs="Arial"/>
          <w:sz w:val="19"/>
          <w:szCs w:val="19"/>
          <w:lang w:val="es-ES"/>
        </w:rPr>
        <w:t>El artículo 195, numeral 6 de la Ley 100 de 1993 establece que las empresas sociales del Estado: «En materia contractual se regirá por el derecho privado, pero podrá discrecionalmente utilizar las cláusulas exorbitantes previstas en el estatuto general de contratación de la administración pública».</w:t>
      </w:r>
    </w:p>
    <w:p w:rsidRPr="00D302B9" w:rsidR="003B0CEC" w:rsidP="00BD0749" w:rsidRDefault="003B0CEC" w14:paraId="1EEA4071" w14:textId="77777777">
      <w:pPr>
        <w:pStyle w:val="Textonotapie"/>
        <w:ind w:firstLine="709"/>
        <w:jc w:val="both"/>
        <w:rPr>
          <w:rFonts w:ascii="Arial" w:hAnsi="Arial" w:cs="Arial"/>
          <w:sz w:val="19"/>
          <w:szCs w:val="19"/>
          <w:lang w:val="es-ES"/>
        </w:rPr>
      </w:pPr>
    </w:p>
    <w:p w:rsidRPr="00D302B9" w:rsidR="003B0CEC" w:rsidP="00BD0749" w:rsidRDefault="003B0CEC" w14:paraId="1BB6FD0E" w14:textId="77777777">
      <w:pPr>
        <w:pStyle w:val="Textonotapie"/>
        <w:ind w:firstLine="709"/>
        <w:jc w:val="both"/>
        <w:rPr>
          <w:rFonts w:ascii="Arial" w:hAnsi="Arial" w:cs="Arial"/>
          <w:sz w:val="19"/>
          <w:szCs w:val="19"/>
          <w:lang w:val="es-ES"/>
        </w:rPr>
      </w:pPr>
    </w:p>
  </w:footnote>
  <w:footnote w:id="17">
    <w:p w:rsidRPr="00D302B9" w:rsidR="003B0CEC" w:rsidP="00BD0749" w:rsidRDefault="003B0CEC" w14:paraId="58A1CCFC" w14:textId="77DB27B6">
      <w:pPr>
        <w:pStyle w:val="Textonotapie"/>
        <w:ind w:firstLine="708"/>
        <w:jc w:val="both"/>
        <w:rPr>
          <w:rFonts w:ascii="Arial" w:hAnsi="Arial" w:cs="Arial"/>
          <w:sz w:val="19"/>
          <w:szCs w:val="19"/>
        </w:rPr>
      </w:pPr>
      <w:r w:rsidRPr="00D302B9">
        <w:rPr>
          <w:rStyle w:val="Refdenotaalpie"/>
          <w:rFonts w:ascii="Arial" w:hAnsi="Arial" w:cs="Arial"/>
          <w:sz w:val="19"/>
          <w:szCs w:val="19"/>
        </w:rPr>
        <w:footnoteRef/>
      </w:r>
      <w:r w:rsidRPr="00D302B9">
        <w:rPr>
          <w:rFonts w:ascii="Arial" w:hAnsi="Arial" w:cs="Arial"/>
          <w:sz w:val="19"/>
          <w:szCs w:val="19"/>
        </w:rPr>
        <w:t xml:space="preserve"> Consejo de Estado. Sección Tercera. Subsección C. </w:t>
      </w:r>
      <w:proofErr w:type="spellStart"/>
      <w:r w:rsidRPr="00D302B9">
        <w:rPr>
          <w:rFonts w:ascii="Arial" w:hAnsi="Arial" w:cs="Arial"/>
          <w:sz w:val="19"/>
          <w:szCs w:val="19"/>
        </w:rPr>
        <w:t>Exp</w:t>
      </w:r>
      <w:proofErr w:type="spellEnd"/>
      <w:r w:rsidRPr="00D302B9">
        <w:rPr>
          <w:rFonts w:ascii="Arial" w:hAnsi="Arial" w:cs="Arial"/>
          <w:sz w:val="19"/>
          <w:szCs w:val="19"/>
        </w:rPr>
        <w:t>. 20.738. M.P. Enrique Gil Botero.</w:t>
      </w:r>
    </w:p>
    <w:p w:rsidRPr="00D302B9" w:rsidR="003B0CEC" w:rsidP="00BD0749" w:rsidRDefault="003B0CEC" w14:paraId="4E82DB16" w14:textId="77777777">
      <w:pPr>
        <w:pStyle w:val="Textonotapie"/>
        <w:ind w:firstLine="708"/>
        <w:jc w:val="both"/>
        <w:rPr>
          <w:rFonts w:ascii="Arial" w:hAnsi="Arial" w:cs="Arial"/>
          <w:sz w:val="19"/>
          <w:szCs w:val="19"/>
        </w:rPr>
      </w:pPr>
    </w:p>
  </w:footnote>
  <w:footnote w:id="18">
    <w:p w:rsidRPr="00D302B9" w:rsidR="003B0CEC" w:rsidP="00BD0749" w:rsidRDefault="003B0CEC" w14:paraId="748D966D" w14:textId="4705838A">
      <w:pPr>
        <w:pStyle w:val="Textonotapie"/>
        <w:ind w:firstLine="708"/>
        <w:jc w:val="both"/>
        <w:rPr>
          <w:rFonts w:ascii="Arial" w:hAnsi="Arial" w:cs="Arial"/>
          <w:sz w:val="19"/>
          <w:szCs w:val="19"/>
        </w:rPr>
      </w:pPr>
      <w:r w:rsidRPr="00D302B9">
        <w:rPr>
          <w:rStyle w:val="Refdenotaalpie"/>
          <w:rFonts w:ascii="Arial" w:hAnsi="Arial" w:cs="Arial"/>
          <w:sz w:val="19"/>
          <w:szCs w:val="19"/>
        </w:rPr>
        <w:footnoteRef/>
      </w:r>
      <w:r w:rsidRPr="00D302B9">
        <w:rPr>
          <w:rFonts w:ascii="Arial" w:hAnsi="Arial" w:cs="Arial"/>
          <w:sz w:val="19"/>
          <w:szCs w:val="19"/>
        </w:rPr>
        <w:t xml:space="preserve"> Consejo de Estado. Sección Tercera. Subsección C. </w:t>
      </w:r>
      <w:proofErr w:type="spellStart"/>
      <w:r w:rsidRPr="00D302B9">
        <w:rPr>
          <w:rFonts w:ascii="Arial" w:hAnsi="Arial" w:cs="Arial"/>
          <w:sz w:val="19"/>
          <w:szCs w:val="19"/>
        </w:rPr>
        <w:t>Exp</w:t>
      </w:r>
      <w:proofErr w:type="spellEnd"/>
      <w:r w:rsidRPr="00D302B9">
        <w:rPr>
          <w:rFonts w:ascii="Arial" w:hAnsi="Arial" w:cs="Arial"/>
          <w:sz w:val="19"/>
          <w:szCs w:val="19"/>
        </w:rPr>
        <w:t>. 20.917. M.P. Enrique Gil Botero. Allí se reitera la sentencia de la misma Sección, dictada el 14 de abril de 2010, dentro del expediente No. 36.054.</w:t>
      </w:r>
    </w:p>
    <w:p w:rsidRPr="00D302B9" w:rsidR="003B0CEC" w:rsidP="00BD0749" w:rsidRDefault="003B0CEC" w14:paraId="3CE84386" w14:textId="76D0D8D1">
      <w:pPr>
        <w:pStyle w:val="Textonotapie"/>
        <w:ind w:firstLine="708"/>
        <w:jc w:val="both"/>
        <w:rPr>
          <w:rFonts w:ascii="Arial" w:hAnsi="Arial" w:cs="Arial"/>
          <w:sz w:val="19"/>
          <w:szCs w:val="19"/>
        </w:rPr>
      </w:pPr>
    </w:p>
  </w:footnote>
  <w:footnote w:id="19">
    <w:p w:rsidRPr="00D302B9" w:rsidR="003B0CEC" w:rsidP="00BD0749" w:rsidRDefault="003B0CEC" w14:paraId="6914D06F" w14:textId="696509B8">
      <w:pPr>
        <w:pStyle w:val="Textonotapie"/>
        <w:ind w:firstLine="708"/>
        <w:jc w:val="both"/>
        <w:rPr>
          <w:rFonts w:ascii="Arial" w:hAnsi="Arial" w:cs="Arial"/>
          <w:sz w:val="19"/>
          <w:szCs w:val="19"/>
        </w:rPr>
      </w:pPr>
      <w:r w:rsidRPr="00D302B9">
        <w:rPr>
          <w:rStyle w:val="Refdenotaalpie"/>
          <w:rFonts w:ascii="Arial" w:hAnsi="Arial" w:cs="Arial"/>
          <w:sz w:val="19"/>
          <w:szCs w:val="19"/>
        </w:rPr>
        <w:footnoteRef/>
      </w:r>
      <w:r w:rsidRPr="00D302B9">
        <w:rPr>
          <w:rFonts w:ascii="Arial" w:hAnsi="Arial" w:cs="Arial"/>
          <w:sz w:val="19"/>
          <w:szCs w:val="19"/>
        </w:rPr>
        <w:t xml:space="preserve"> Cfr. Corte Constitucional. Sentencia C-252 de 1994. MM. PP. Vladimiro Naranjo Mesa y Antonio Barrera Carbonell. En igual sentido, la sentencia C-229 de 2003. M. P. Rodrigo Escobar Gil. </w:t>
      </w:r>
    </w:p>
  </w:footnote>
  <w:footnote w:id="20">
    <w:p w:rsidRPr="00D302B9" w:rsidR="003B0CEC" w:rsidP="00BD0749" w:rsidRDefault="003B0CEC" w14:paraId="5875EF46" w14:textId="5A30D9CC">
      <w:pPr>
        <w:pStyle w:val="Textonotapie"/>
        <w:ind w:firstLine="708"/>
        <w:jc w:val="both"/>
        <w:rPr>
          <w:rFonts w:ascii="Arial" w:hAnsi="Arial" w:cs="Arial"/>
          <w:sz w:val="19"/>
          <w:szCs w:val="19"/>
        </w:rPr>
      </w:pPr>
      <w:r w:rsidRPr="00D302B9">
        <w:rPr>
          <w:rStyle w:val="Refdenotaalpie"/>
          <w:rFonts w:ascii="Arial" w:hAnsi="Arial" w:cs="Arial"/>
          <w:sz w:val="19"/>
          <w:szCs w:val="19"/>
        </w:rPr>
        <w:footnoteRef/>
      </w:r>
      <w:r w:rsidRPr="00D302B9">
        <w:rPr>
          <w:rFonts w:ascii="Arial" w:hAnsi="Arial" w:cs="Arial"/>
          <w:sz w:val="19"/>
          <w:szCs w:val="19"/>
        </w:rPr>
        <w:t xml:space="preserve"> Gaceta No. 656 del 22 de septiembre de 2005. p. 10.</w:t>
      </w:r>
    </w:p>
    <w:p w:rsidRPr="00D302B9" w:rsidR="003B0CEC" w:rsidP="00BD0749" w:rsidRDefault="003B0CEC" w14:paraId="1F204CDD" w14:textId="77777777">
      <w:pPr>
        <w:pStyle w:val="Textonotapie"/>
        <w:ind w:firstLine="708"/>
        <w:jc w:val="both"/>
        <w:rPr>
          <w:rFonts w:ascii="Arial" w:hAnsi="Arial" w:cs="Arial"/>
          <w:sz w:val="19"/>
          <w:szCs w:val="19"/>
        </w:rPr>
      </w:pPr>
    </w:p>
  </w:footnote>
  <w:footnote w:id="21">
    <w:p w:rsidRPr="00D302B9" w:rsidR="003B0CEC" w:rsidP="00BD0749" w:rsidRDefault="003B0CEC" w14:paraId="1D3B2897" w14:textId="54517C0C">
      <w:pPr>
        <w:pStyle w:val="Textonotapie"/>
        <w:ind w:firstLine="708"/>
        <w:jc w:val="both"/>
        <w:rPr>
          <w:rFonts w:ascii="Arial" w:hAnsi="Arial" w:cs="Arial"/>
          <w:sz w:val="19"/>
          <w:szCs w:val="19"/>
        </w:rPr>
      </w:pPr>
      <w:r w:rsidRPr="00D302B9">
        <w:rPr>
          <w:rStyle w:val="Refdenotaalpie"/>
          <w:rFonts w:ascii="Arial" w:hAnsi="Arial" w:cs="Arial"/>
          <w:sz w:val="19"/>
          <w:szCs w:val="19"/>
        </w:rPr>
        <w:footnoteRef/>
      </w:r>
      <w:r w:rsidRPr="00D302B9">
        <w:rPr>
          <w:rFonts w:ascii="Arial" w:hAnsi="Arial" w:cs="Arial"/>
          <w:sz w:val="19"/>
          <w:szCs w:val="19"/>
        </w:rPr>
        <w:t xml:space="preserve"> Gaceta No. 90 del 28 de abril de 2006. p. 7.</w:t>
      </w:r>
    </w:p>
    <w:p w:rsidRPr="00D302B9" w:rsidR="003B0CEC" w:rsidP="00BD0749" w:rsidRDefault="003B0CEC" w14:paraId="507C88EB" w14:textId="0190DDC2">
      <w:pPr>
        <w:pStyle w:val="Textonotapie"/>
        <w:ind w:firstLine="708"/>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B0CEC" w:rsidRDefault="003B0CEC" w14:paraId="1BE98637" w14:textId="77777777">
    <w:pPr>
      <w:pStyle w:val="Encabezado"/>
    </w:pPr>
    <w:r>
      <w:rPr>
        <w:noProof/>
        <w:lang w:val="en-US"/>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8E46D31">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06310"/>
    <w:multiLevelType w:val="multilevel"/>
    <w:tmpl w:val="6AA0D56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2E3DD6"/>
    <w:multiLevelType w:val="hybridMultilevel"/>
    <w:tmpl w:val="DDD25F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 w15:restartNumberingAfterBreak="0">
    <w:nsid w:val="28A02F9E"/>
    <w:multiLevelType w:val="multilevel"/>
    <w:tmpl w:val="FE1C0B40"/>
    <w:lvl w:ilvl="0">
      <w:start w:val="2"/>
      <w:numFmt w:val="decimal"/>
      <w:lvlText w:val="%1."/>
      <w:lvlJc w:val="left"/>
      <w:pPr>
        <w:ind w:left="367" w:hanging="367"/>
      </w:pPr>
      <w:rPr>
        <w:rFonts w:hint="default"/>
      </w:rPr>
    </w:lvl>
    <w:lvl w:ilvl="1">
      <w:start w:val="1"/>
      <w:numFmt w:val="decimal"/>
      <w:lvlText w:val="%1.%2."/>
      <w:lvlJc w:val="left"/>
      <w:pPr>
        <w:ind w:left="6601" w:hanging="720"/>
      </w:pPr>
      <w:rPr>
        <w:rFonts w:hint="default"/>
      </w:rPr>
    </w:lvl>
    <w:lvl w:ilvl="2">
      <w:start w:val="1"/>
      <w:numFmt w:val="decimal"/>
      <w:lvlText w:val="%1.%2.%3."/>
      <w:lvlJc w:val="left"/>
      <w:pPr>
        <w:ind w:left="12482" w:hanging="720"/>
      </w:pPr>
      <w:rPr>
        <w:rFonts w:hint="default"/>
      </w:rPr>
    </w:lvl>
    <w:lvl w:ilvl="3">
      <w:start w:val="1"/>
      <w:numFmt w:val="decimal"/>
      <w:lvlText w:val="%1.%2.%3.%4."/>
      <w:lvlJc w:val="left"/>
      <w:pPr>
        <w:ind w:left="18723" w:hanging="1080"/>
      </w:pPr>
      <w:rPr>
        <w:rFonts w:hint="default"/>
      </w:rPr>
    </w:lvl>
    <w:lvl w:ilvl="4">
      <w:start w:val="1"/>
      <w:numFmt w:val="decimal"/>
      <w:lvlText w:val="%1.%2.%3.%4.%5."/>
      <w:lvlJc w:val="left"/>
      <w:pPr>
        <w:ind w:left="24604" w:hanging="1080"/>
      </w:pPr>
      <w:rPr>
        <w:rFonts w:hint="default"/>
      </w:rPr>
    </w:lvl>
    <w:lvl w:ilvl="5">
      <w:start w:val="1"/>
      <w:numFmt w:val="decimal"/>
      <w:lvlText w:val="%1.%2.%3.%4.%5.%6."/>
      <w:lvlJc w:val="left"/>
      <w:pPr>
        <w:ind w:left="30845" w:hanging="1440"/>
      </w:pPr>
      <w:rPr>
        <w:rFonts w:hint="default"/>
      </w:rPr>
    </w:lvl>
    <w:lvl w:ilvl="6">
      <w:start w:val="1"/>
      <w:numFmt w:val="decimal"/>
      <w:lvlText w:val="%1.%2.%3.%4.%5.%6.%7."/>
      <w:lvlJc w:val="left"/>
      <w:pPr>
        <w:ind w:left="-28810" w:hanging="1440"/>
      </w:pPr>
      <w:rPr>
        <w:rFonts w:hint="default"/>
      </w:rPr>
    </w:lvl>
    <w:lvl w:ilvl="7">
      <w:start w:val="1"/>
      <w:numFmt w:val="decimal"/>
      <w:lvlText w:val="%1.%2.%3.%4.%5.%6.%7.%8."/>
      <w:lvlJc w:val="left"/>
      <w:pPr>
        <w:ind w:left="-22569" w:hanging="1800"/>
      </w:pPr>
      <w:rPr>
        <w:rFonts w:hint="default"/>
      </w:rPr>
    </w:lvl>
    <w:lvl w:ilvl="8">
      <w:start w:val="1"/>
      <w:numFmt w:val="decimal"/>
      <w:lvlText w:val="%1.%2.%3.%4.%5.%6.%7.%8.%9."/>
      <w:lvlJc w:val="left"/>
      <w:pPr>
        <w:ind w:left="-16688" w:hanging="1800"/>
      </w:pPr>
      <w:rPr>
        <w:rFonts w:hint="default"/>
      </w:rPr>
    </w:lvl>
  </w:abstractNum>
  <w:abstractNum w:abstractNumId="5"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10D30"/>
    <w:rsid w:val="00023568"/>
    <w:rsid w:val="00024A28"/>
    <w:rsid w:val="00026D00"/>
    <w:rsid w:val="0003091B"/>
    <w:rsid w:val="00031122"/>
    <w:rsid w:val="000333A2"/>
    <w:rsid w:val="00033F16"/>
    <w:rsid w:val="00040D6E"/>
    <w:rsid w:val="00042C0C"/>
    <w:rsid w:val="00044FF2"/>
    <w:rsid w:val="00061EE4"/>
    <w:rsid w:val="00062B0D"/>
    <w:rsid w:val="0007366C"/>
    <w:rsid w:val="00074152"/>
    <w:rsid w:val="00086A16"/>
    <w:rsid w:val="00093F02"/>
    <w:rsid w:val="000971EC"/>
    <w:rsid w:val="00097CD6"/>
    <w:rsid w:val="000A1DBA"/>
    <w:rsid w:val="000A6338"/>
    <w:rsid w:val="000B0E47"/>
    <w:rsid w:val="000C0E39"/>
    <w:rsid w:val="000D088F"/>
    <w:rsid w:val="000D3D58"/>
    <w:rsid w:val="000E179C"/>
    <w:rsid w:val="000E6867"/>
    <w:rsid w:val="000E7DAE"/>
    <w:rsid w:val="000F0653"/>
    <w:rsid w:val="000F1E89"/>
    <w:rsid w:val="000F32DF"/>
    <w:rsid w:val="0010086D"/>
    <w:rsid w:val="00107607"/>
    <w:rsid w:val="00112597"/>
    <w:rsid w:val="00116236"/>
    <w:rsid w:val="001321AB"/>
    <w:rsid w:val="00133EB6"/>
    <w:rsid w:val="0013621B"/>
    <w:rsid w:val="00136C39"/>
    <w:rsid w:val="00140E57"/>
    <w:rsid w:val="00141C64"/>
    <w:rsid w:val="0014462B"/>
    <w:rsid w:val="00146D77"/>
    <w:rsid w:val="0014712D"/>
    <w:rsid w:val="00164BD7"/>
    <w:rsid w:val="00164E79"/>
    <w:rsid w:val="00170BDD"/>
    <w:rsid w:val="0017603D"/>
    <w:rsid w:val="00176742"/>
    <w:rsid w:val="00181A3E"/>
    <w:rsid w:val="00183210"/>
    <w:rsid w:val="00184025"/>
    <w:rsid w:val="00194C50"/>
    <w:rsid w:val="001B3A83"/>
    <w:rsid w:val="001E31B9"/>
    <w:rsid w:val="001E5DBB"/>
    <w:rsid w:val="001E70D8"/>
    <w:rsid w:val="001F0BE1"/>
    <w:rsid w:val="001F1051"/>
    <w:rsid w:val="001F32CC"/>
    <w:rsid w:val="001F34A8"/>
    <w:rsid w:val="002012CB"/>
    <w:rsid w:val="002034AD"/>
    <w:rsid w:val="002239B4"/>
    <w:rsid w:val="00226FE9"/>
    <w:rsid w:val="00234C6C"/>
    <w:rsid w:val="00236DE0"/>
    <w:rsid w:val="00245606"/>
    <w:rsid w:val="0026143D"/>
    <w:rsid w:val="00263923"/>
    <w:rsid w:val="00265031"/>
    <w:rsid w:val="002654AC"/>
    <w:rsid w:val="00266277"/>
    <w:rsid w:val="00284C12"/>
    <w:rsid w:val="00286834"/>
    <w:rsid w:val="002876C7"/>
    <w:rsid w:val="002B282F"/>
    <w:rsid w:val="002B4B30"/>
    <w:rsid w:val="002C4FE5"/>
    <w:rsid w:val="002C7004"/>
    <w:rsid w:val="002D0978"/>
    <w:rsid w:val="002D70B6"/>
    <w:rsid w:val="002E7BC2"/>
    <w:rsid w:val="002F63BB"/>
    <w:rsid w:val="002F6F92"/>
    <w:rsid w:val="00302F9F"/>
    <w:rsid w:val="00304386"/>
    <w:rsid w:val="00312650"/>
    <w:rsid w:val="00312F87"/>
    <w:rsid w:val="00326E80"/>
    <w:rsid w:val="00327997"/>
    <w:rsid w:val="00336980"/>
    <w:rsid w:val="003401FE"/>
    <w:rsid w:val="00340A7A"/>
    <w:rsid w:val="00390DCF"/>
    <w:rsid w:val="003A1CB8"/>
    <w:rsid w:val="003A2944"/>
    <w:rsid w:val="003A4849"/>
    <w:rsid w:val="003A6131"/>
    <w:rsid w:val="003A7100"/>
    <w:rsid w:val="003A75E8"/>
    <w:rsid w:val="003B0CEC"/>
    <w:rsid w:val="003B0DEF"/>
    <w:rsid w:val="003B61C5"/>
    <w:rsid w:val="003C1682"/>
    <w:rsid w:val="003C2074"/>
    <w:rsid w:val="003C3ADB"/>
    <w:rsid w:val="003D11B5"/>
    <w:rsid w:val="003D134C"/>
    <w:rsid w:val="003D69A5"/>
    <w:rsid w:val="003D7A9C"/>
    <w:rsid w:val="003E14F9"/>
    <w:rsid w:val="003E4912"/>
    <w:rsid w:val="003F3119"/>
    <w:rsid w:val="004247C3"/>
    <w:rsid w:val="00430B5A"/>
    <w:rsid w:val="004419FE"/>
    <w:rsid w:val="0044207D"/>
    <w:rsid w:val="0044321A"/>
    <w:rsid w:val="00447FE5"/>
    <w:rsid w:val="00452571"/>
    <w:rsid w:val="004602E5"/>
    <w:rsid w:val="004617B8"/>
    <w:rsid w:val="004758FE"/>
    <w:rsid w:val="004830C8"/>
    <w:rsid w:val="004837AB"/>
    <w:rsid w:val="00483A2F"/>
    <w:rsid w:val="00496831"/>
    <w:rsid w:val="004A6EE1"/>
    <w:rsid w:val="004B1BEE"/>
    <w:rsid w:val="004B2DE1"/>
    <w:rsid w:val="004B3582"/>
    <w:rsid w:val="004B415D"/>
    <w:rsid w:val="004D770C"/>
    <w:rsid w:val="004E370E"/>
    <w:rsid w:val="004F0B8E"/>
    <w:rsid w:val="004F1E44"/>
    <w:rsid w:val="004F4387"/>
    <w:rsid w:val="00510BF5"/>
    <w:rsid w:val="005124B1"/>
    <w:rsid w:val="00521BA7"/>
    <w:rsid w:val="005252E2"/>
    <w:rsid w:val="005511D5"/>
    <w:rsid w:val="00566EE0"/>
    <w:rsid w:val="00576460"/>
    <w:rsid w:val="00584325"/>
    <w:rsid w:val="00585FB5"/>
    <w:rsid w:val="00586995"/>
    <w:rsid w:val="00591586"/>
    <w:rsid w:val="005A720E"/>
    <w:rsid w:val="005B34ED"/>
    <w:rsid w:val="005C60FC"/>
    <w:rsid w:val="005D6C5E"/>
    <w:rsid w:val="005F5D19"/>
    <w:rsid w:val="005F6CBF"/>
    <w:rsid w:val="00602A73"/>
    <w:rsid w:val="00607179"/>
    <w:rsid w:val="00610E1C"/>
    <w:rsid w:val="00611356"/>
    <w:rsid w:val="006135E6"/>
    <w:rsid w:val="00621313"/>
    <w:rsid w:val="00631F8E"/>
    <w:rsid w:val="00632EA5"/>
    <w:rsid w:val="006330B7"/>
    <w:rsid w:val="00647C00"/>
    <w:rsid w:val="00656F99"/>
    <w:rsid w:val="0065701C"/>
    <w:rsid w:val="00666525"/>
    <w:rsid w:val="0067047D"/>
    <w:rsid w:val="006818B6"/>
    <w:rsid w:val="006824B8"/>
    <w:rsid w:val="00695FE0"/>
    <w:rsid w:val="006A7743"/>
    <w:rsid w:val="006B6C6A"/>
    <w:rsid w:val="006C234F"/>
    <w:rsid w:val="006C5955"/>
    <w:rsid w:val="006C6DE7"/>
    <w:rsid w:val="006E45C1"/>
    <w:rsid w:val="006F376B"/>
    <w:rsid w:val="006F39D0"/>
    <w:rsid w:val="006F6E38"/>
    <w:rsid w:val="006F7746"/>
    <w:rsid w:val="007066E0"/>
    <w:rsid w:val="00711157"/>
    <w:rsid w:val="00711D12"/>
    <w:rsid w:val="00714C7F"/>
    <w:rsid w:val="00721EFF"/>
    <w:rsid w:val="00736C89"/>
    <w:rsid w:val="00741DAC"/>
    <w:rsid w:val="00745744"/>
    <w:rsid w:val="00746205"/>
    <w:rsid w:val="0075032A"/>
    <w:rsid w:val="00753F55"/>
    <w:rsid w:val="00764457"/>
    <w:rsid w:val="00770D7D"/>
    <w:rsid w:val="00772497"/>
    <w:rsid w:val="0077525C"/>
    <w:rsid w:val="00777439"/>
    <w:rsid w:val="00791377"/>
    <w:rsid w:val="007A1AEC"/>
    <w:rsid w:val="007B2E85"/>
    <w:rsid w:val="007C238D"/>
    <w:rsid w:val="007C2983"/>
    <w:rsid w:val="007C3E6E"/>
    <w:rsid w:val="007D62C7"/>
    <w:rsid w:val="007D634D"/>
    <w:rsid w:val="007E3BD0"/>
    <w:rsid w:val="007E79FE"/>
    <w:rsid w:val="007F7AC6"/>
    <w:rsid w:val="00801642"/>
    <w:rsid w:val="00803061"/>
    <w:rsid w:val="00804BA8"/>
    <w:rsid w:val="00807EEE"/>
    <w:rsid w:val="00812767"/>
    <w:rsid w:val="008135F4"/>
    <w:rsid w:val="00813893"/>
    <w:rsid w:val="00821C50"/>
    <w:rsid w:val="0082266E"/>
    <w:rsid w:val="00824361"/>
    <w:rsid w:val="00827856"/>
    <w:rsid w:val="008327EE"/>
    <w:rsid w:val="00842E74"/>
    <w:rsid w:val="00843BE5"/>
    <w:rsid w:val="00847B2A"/>
    <w:rsid w:val="008573E3"/>
    <w:rsid w:val="00863DD9"/>
    <w:rsid w:val="00866446"/>
    <w:rsid w:val="0086741B"/>
    <w:rsid w:val="00886F29"/>
    <w:rsid w:val="008874EB"/>
    <w:rsid w:val="008A0633"/>
    <w:rsid w:val="008A53F2"/>
    <w:rsid w:val="008B633F"/>
    <w:rsid w:val="008B7C4D"/>
    <w:rsid w:val="008C24B6"/>
    <w:rsid w:val="008C487C"/>
    <w:rsid w:val="008C4C28"/>
    <w:rsid w:val="008C6C46"/>
    <w:rsid w:val="008E0FCC"/>
    <w:rsid w:val="008E2FE3"/>
    <w:rsid w:val="008E5F34"/>
    <w:rsid w:val="008F2267"/>
    <w:rsid w:val="008F2F13"/>
    <w:rsid w:val="00901C04"/>
    <w:rsid w:val="00906097"/>
    <w:rsid w:val="0091199C"/>
    <w:rsid w:val="00916B2A"/>
    <w:rsid w:val="009231E0"/>
    <w:rsid w:val="00931EF1"/>
    <w:rsid w:val="0094508D"/>
    <w:rsid w:val="009506A7"/>
    <w:rsid w:val="00956A33"/>
    <w:rsid w:val="009621E0"/>
    <w:rsid w:val="009667E3"/>
    <w:rsid w:val="00967230"/>
    <w:rsid w:val="00972C13"/>
    <w:rsid w:val="009812D7"/>
    <w:rsid w:val="00982E99"/>
    <w:rsid w:val="00984663"/>
    <w:rsid w:val="009925B6"/>
    <w:rsid w:val="009A200F"/>
    <w:rsid w:val="009A5714"/>
    <w:rsid w:val="009A5DA7"/>
    <w:rsid w:val="009B1AEC"/>
    <w:rsid w:val="009B49D8"/>
    <w:rsid w:val="009B4EA2"/>
    <w:rsid w:val="009B6B6E"/>
    <w:rsid w:val="009D1D57"/>
    <w:rsid w:val="009D3998"/>
    <w:rsid w:val="009E2544"/>
    <w:rsid w:val="009E2770"/>
    <w:rsid w:val="009E4A43"/>
    <w:rsid w:val="009F2261"/>
    <w:rsid w:val="009F3537"/>
    <w:rsid w:val="009F41B3"/>
    <w:rsid w:val="00A0603D"/>
    <w:rsid w:val="00A155CA"/>
    <w:rsid w:val="00A20A9E"/>
    <w:rsid w:val="00A23DD0"/>
    <w:rsid w:val="00A25657"/>
    <w:rsid w:val="00A329B6"/>
    <w:rsid w:val="00A367A1"/>
    <w:rsid w:val="00A415D2"/>
    <w:rsid w:val="00A460BA"/>
    <w:rsid w:val="00A510F6"/>
    <w:rsid w:val="00A65281"/>
    <w:rsid w:val="00A6782A"/>
    <w:rsid w:val="00A67EE7"/>
    <w:rsid w:val="00A80739"/>
    <w:rsid w:val="00A822F9"/>
    <w:rsid w:val="00A83829"/>
    <w:rsid w:val="00A903AE"/>
    <w:rsid w:val="00A90B16"/>
    <w:rsid w:val="00A92071"/>
    <w:rsid w:val="00A95100"/>
    <w:rsid w:val="00A9535C"/>
    <w:rsid w:val="00AA07C1"/>
    <w:rsid w:val="00AA615B"/>
    <w:rsid w:val="00AB5D1B"/>
    <w:rsid w:val="00AC0C81"/>
    <w:rsid w:val="00AE668A"/>
    <w:rsid w:val="00AE6858"/>
    <w:rsid w:val="00AF5C62"/>
    <w:rsid w:val="00AF7270"/>
    <w:rsid w:val="00B160B6"/>
    <w:rsid w:val="00B17BC5"/>
    <w:rsid w:val="00B2158C"/>
    <w:rsid w:val="00B219AA"/>
    <w:rsid w:val="00B24E57"/>
    <w:rsid w:val="00B43468"/>
    <w:rsid w:val="00B4354A"/>
    <w:rsid w:val="00B5123E"/>
    <w:rsid w:val="00B522C4"/>
    <w:rsid w:val="00B52B0E"/>
    <w:rsid w:val="00B5337D"/>
    <w:rsid w:val="00B55C91"/>
    <w:rsid w:val="00B63678"/>
    <w:rsid w:val="00B65290"/>
    <w:rsid w:val="00B70E26"/>
    <w:rsid w:val="00B775C4"/>
    <w:rsid w:val="00B87263"/>
    <w:rsid w:val="00B9189A"/>
    <w:rsid w:val="00B97D95"/>
    <w:rsid w:val="00BA2D84"/>
    <w:rsid w:val="00BA7E78"/>
    <w:rsid w:val="00BB0EA7"/>
    <w:rsid w:val="00BB59F9"/>
    <w:rsid w:val="00BB72AF"/>
    <w:rsid w:val="00BC15B8"/>
    <w:rsid w:val="00BC49BA"/>
    <w:rsid w:val="00BC5279"/>
    <w:rsid w:val="00BC6C4E"/>
    <w:rsid w:val="00BD0749"/>
    <w:rsid w:val="00BD272A"/>
    <w:rsid w:val="00BD58A7"/>
    <w:rsid w:val="00BD6229"/>
    <w:rsid w:val="00BD7F3A"/>
    <w:rsid w:val="00BE1E33"/>
    <w:rsid w:val="00BE2AD3"/>
    <w:rsid w:val="00BE36F7"/>
    <w:rsid w:val="00BF2443"/>
    <w:rsid w:val="00BF28E6"/>
    <w:rsid w:val="00C12201"/>
    <w:rsid w:val="00C13BCD"/>
    <w:rsid w:val="00C1405A"/>
    <w:rsid w:val="00C32916"/>
    <w:rsid w:val="00C357D9"/>
    <w:rsid w:val="00C451CA"/>
    <w:rsid w:val="00C50B1B"/>
    <w:rsid w:val="00C52801"/>
    <w:rsid w:val="00C537F8"/>
    <w:rsid w:val="00C6210F"/>
    <w:rsid w:val="00C6281F"/>
    <w:rsid w:val="00C745C6"/>
    <w:rsid w:val="00C811B7"/>
    <w:rsid w:val="00C84C51"/>
    <w:rsid w:val="00C8605E"/>
    <w:rsid w:val="00C86E8B"/>
    <w:rsid w:val="00C90231"/>
    <w:rsid w:val="00C964DE"/>
    <w:rsid w:val="00CA5790"/>
    <w:rsid w:val="00CA634C"/>
    <w:rsid w:val="00CA75C5"/>
    <w:rsid w:val="00CC367C"/>
    <w:rsid w:val="00CD5A53"/>
    <w:rsid w:val="00CE5BE1"/>
    <w:rsid w:val="00CF326B"/>
    <w:rsid w:val="00CF4E38"/>
    <w:rsid w:val="00D01BE2"/>
    <w:rsid w:val="00D06380"/>
    <w:rsid w:val="00D0763E"/>
    <w:rsid w:val="00D24682"/>
    <w:rsid w:val="00D24F06"/>
    <w:rsid w:val="00D25AEF"/>
    <w:rsid w:val="00D25C50"/>
    <w:rsid w:val="00D302B9"/>
    <w:rsid w:val="00D349EE"/>
    <w:rsid w:val="00D45949"/>
    <w:rsid w:val="00D564DE"/>
    <w:rsid w:val="00D56D47"/>
    <w:rsid w:val="00D57C25"/>
    <w:rsid w:val="00D63418"/>
    <w:rsid w:val="00D67DA8"/>
    <w:rsid w:val="00D70FB4"/>
    <w:rsid w:val="00D72648"/>
    <w:rsid w:val="00D74A1C"/>
    <w:rsid w:val="00D815C1"/>
    <w:rsid w:val="00D8326B"/>
    <w:rsid w:val="00D85C85"/>
    <w:rsid w:val="00D92F6C"/>
    <w:rsid w:val="00D95879"/>
    <w:rsid w:val="00D968C8"/>
    <w:rsid w:val="00D97A6B"/>
    <w:rsid w:val="00DA2FA3"/>
    <w:rsid w:val="00DB751D"/>
    <w:rsid w:val="00DC4E81"/>
    <w:rsid w:val="00DC679E"/>
    <w:rsid w:val="00DD0E98"/>
    <w:rsid w:val="00DE0EAE"/>
    <w:rsid w:val="00DE5385"/>
    <w:rsid w:val="00DE64DE"/>
    <w:rsid w:val="00DE79F2"/>
    <w:rsid w:val="00DE7AB4"/>
    <w:rsid w:val="00DF4D86"/>
    <w:rsid w:val="00E01D84"/>
    <w:rsid w:val="00E137BB"/>
    <w:rsid w:val="00E3199C"/>
    <w:rsid w:val="00E400E3"/>
    <w:rsid w:val="00E4320F"/>
    <w:rsid w:val="00E438BB"/>
    <w:rsid w:val="00E64988"/>
    <w:rsid w:val="00E64A38"/>
    <w:rsid w:val="00E756AC"/>
    <w:rsid w:val="00E8381A"/>
    <w:rsid w:val="00E85DC4"/>
    <w:rsid w:val="00E87596"/>
    <w:rsid w:val="00E87794"/>
    <w:rsid w:val="00E96422"/>
    <w:rsid w:val="00EA11CC"/>
    <w:rsid w:val="00EA2600"/>
    <w:rsid w:val="00EA5A59"/>
    <w:rsid w:val="00EA749D"/>
    <w:rsid w:val="00EB3D8F"/>
    <w:rsid w:val="00EC739A"/>
    <w:rsid w:val="00ED7CF9"/>
    <w:rsid w:val="00EF093E"/>
    <w:rsid w:val="00EF2CA6"/>
    <w:rsid w:val="00EF666B"/>
    <w:rsid w:val="00F117B1"/>
    <w:rsid w:val="00F12EA7"/>
    <w:rsid w:val="00F134F9"/>
    <w:rsid w:val="00F2370E"/>
    <w:rsid w:val="00F24C62"/>
    <w:rsid w:val="00F30282"/>
    <w:rsid w:val="00F34138"/>
    <w:rsid w:val="00F4089D"/>
    <w:rsid w:val="00F42D1D"/>
    <w:rsid w:val="00F432A6"/>
    <w:rsid w:val="00F46AAF"/>
    <w:rsid w:val="00F47FCE"/>
    <w:rsid w:val="00F501D2"/>
    <w:rsid w:val="00F5266F"/>
    <w:rsid w:val="00F52805"/>
    <w:rsid w:val="00F56447"/>
    <w:rsid w:val="00F617F8"/>
    <w:rsid w:val="00F64055"/>
    <w:rsid w:val="00F66DF1"/>
    <w:rsid w:val="00F710C6"/>
    <w:rsid w:val="00F81E7B"/>
    <w:rsid w:val="00FA2DA0"/>
    <w:rsid w:val="00FB012C"/>
    <w:rsid w:val="00FC729B"/>
    <w:rsid w:val="00FC755D"/>
    <w:rsid w:val="00FD6320"/>
    <w:rsid w:val="00FE3E16"/>
    <w:rsid w:val="00FF3EF3"/>
    <w:rsid w:val="045C0D2E"/>
    <w:rsid w:val="06BFBB34"/>
    <w:rsid w:val="07B46692"/>
    <w:rsid w:val="0AC1E396"/>
    <w:rsid w:val="12D62379"/>
    <w:rsid w:val="1C1F8046"/>
    <w:rsid w:val="1D04EB66"/>
    <w:rsid w:val="1DF54850"/>
    <w:rsid w:val="1F98705F"/>
    <w:rsid w:val="21F66489"/>
    <w:rsid w:val="261A3D39"/>
    <w:rsid w:val="27A1B50E"/>
    <w:rsid w:val="29844F57"/>
    <w:rsid w:val="2BC04069"/>
    <w:rsid w:val="2CE14392"/>
    <w:rsid w:val="3080302B"/>
    <w:rsid w:val="32DBFB5A"/>
    <w:rsid w:val="35E961F0"/>
    <w:rsid w:val="3AF407BC"/>
    <w:rsid w:val="48E46D31"/>
    <w:rsid w:val="4CC5C7DD"/>
    <w:rsid w:val="50E6F31C"/>
    <w:rsid w:val="5342E2BD"/>
    <w:rsid w:val="53F4EF5B"/>
    <w:rsid w:val="5480C2CD"/>
    <w:rsid w:val="55212E4B"/>
    <w:rsid w:val="565F6428"/>
    <w:rsid w:val="58BA7559"/>
    <w:rsid w:val="608D3C3F"/>
    <w:rsid w:val="6536A2B8"/>
    <w:rsid w:val="69D9EDA5"/>
    <w:rsid w:val="6A963418"/>
    <w:rsid w:val="70D1C104"/>
    <w:rsid w:val="71566528"/>
    <w:rsid w:val="7356EEE0"/>
    <w:rsid w:val="7476808E"/>
    <w:rsid w:val="77A55568"/>
    <w:rsid w:val="77AED0AD"/>
    <w:rsid w:val="7C762FE8"/>
    <w:rsid w:val="7E785A63"/>
    <w:rsid w:val="7E983650"/>
    <w:rsid w:val="7EABD665"/>
    <w:rsid w:val="7FC1C8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487C"/>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styleId="PiedepginaCar" w:customStyle="1">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styleId="EncabezadoCar" w:customStyle="1">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styleId="TextonotapieCar1" w:customStyle="1">
    <w:name w:val="Texto nota pie Car1"/>
    <w:basedOn w:val="Fuentedeprrafopredeter"/>
    <w:uiPriority w:val="99"/>
    <w:semiHidden/>
    <w:rsid w:val="008C487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65290"/>
    <w:rPr>
      <w:rFonts w:ascii="Segoe UI" w:hAnsi="Segoe UI" w:cs="Segoe UI"/>
      <w:sz w:val="18"/>
      <w:szCs w:val="18"/>
      <w:lang w:val="es-MX"/>
    </w:rPr>
  </w:style>
  <w:style w:type="paragraph" w:styleId="Default" w:customStyle="1">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1" w:customStyle="1">
    <w:name w:val="Mención sin resolver1"/>
    <w:basedOn w:val="Fuentedeprrafopredeter"/>
    <w:uiPriority w:val="99"/>
    <w:semiHidden/>
    <w:unhideWhenUsed/>
    <w:rsid w:val="00BE2AD3"/>
    <w:rPr>
      <w:color w:val="605E5C"/>
      <w:shd w:val="clear" w:color="auto" w:fill="E1DFDD"/>
    </w:rPr>
  </w:style>
  <w:style w:type="paragraph" w:styleId="InviasNormal" w:customStyle="1">
    <w:name w:val="Invias Normal"/>
    <w:basedOn w:val="Normal"/>
    <w:link w:val="InviasNormalCar"/>
    <w:qFormat/>
    <w:rsid w:val="00BE1E33"/>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BE1E33"/>
    <w:rPr>
      <w:rFonts w:ascii="Arial Narrow" w:hAnsi="Arial Narrow" w:eastAsia="Times New Roman" w:cs="Times New Roman"/>
      <w:color w:val="3B3838"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BE1E33"/>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BE1E33"/>
    <w:rPr>
      <w:rFonts w:ascii="Arial Narrow" w:hAnsi="Arial Narrow" w:eastAsia="Times New Roman" w:cs="Times New Roman"/>
      <w:sz w:val="24"/>
      <w:szCs w:val="24"/>
      <w:lang w:val="en-US" w:eastAsia="es-ES"/>
    </w:rPr>
  </w:style>
  <w:style w:type="paragraph" w:styleId="NormalWeb">
    <w:name w:val="Normal (Web)"/>
    <w:basedOn w:val="Normal"/>
    <w:link w:val="NormalWebCar"/>
    <w:uiPriority w:val="99"/>
    <w:unhideWhenUsed/>
    <w:rsid w:val="00263923"/>
    <w:pPr>
      <w:spacing w:before="100" w:beforeAutospacing="1" w:after="100" w:afterAutospacing="1"/>
    </w:pPr>
    <w:rPr>
      <w:rFonts w:ascii="Times New Roman" w:hAnsi="Times New Roman" w:eastAsia="Times New Roman" w:cs="Times New Roman"/>
      <w:szCs w:val="24"/>
      <w:lang w:val="es-CO" w:eastAsia="es-CO"/>
    </w:rPr>
  </w:style>
  <w:style w:type="character" w:styleId="NormalWebCar" w:customStyle="1">
    <w:name w:val="Normal (Web) Car"/>
    <w:link w:val="NormalWeb"/>
    <w:uiPriority w:val="99"/>
    <w:rsid w:val="00263923"/>
    <w:rPr>
      <w:rFonts w:ascii="Times New Roman" w:hAnsi="Times New Roman" w:eastAsia="Times New Roman" w:cs="Times New Roman"/>
      <w:sz w:val="24"/>
      <w:szCs w:val="24"/>
      <w:lang w:eastAsia="es-CO"/>
    </w:rPr>
  </w:style>
  <w:style w:type="character" w:styleId="Refdecomentario">
    <w:name w:val="annotation reference"/>
    <w:basedOn w:val="Fuentedeprrafopredeter"/>
    <w:uiPriority w:val="99"/>
    <w:semiHidden/>
    <w:unhideWhenUsed/>
    <w:rsid w:val="007C2983"/>
    <w:rPr>
      <w:sz w:val="18"/>
      <w:szCs w:val="18"/>
    </w:rPr>
  </w:style>
  <w:style w:type="paragraph" w:styleId="Textocomentario">
    <w:name w:val="annotation text"/>
    <w:basedOn w:val="Normal"/>
    <w:link w:val="TextocomentarioCar"/>
    <w:uiPriority w:val="99"/>
    <w:semiHidden/>
    <w:unhideWhenUsed/>
    <w:rsid w:val="007C2983"/>
    <w:rPr>
      <w:szCs w:val="24"/>
    </w:rPr>
  </w:style>
  <w:style w:type="character" w:styleId="TextocomentarioCar" w:customStyle="1">
    <w:name w:val="Texto comentario Car"/>
    <w:basedOn w:val="Fuentedeprrafopredeter"/>
    <w:link w:val="Textocomentario"/>
    <w:uiPriority w:val="99"/>
    <w:semiHidden/>
    <w:rsid w:val="007C2983"/>
    <w:rPr>
      <w:sz w:val="24"/>
      <w:szCs w:val="24"/>
      <w:lang w:val="es-MX"/>
    </w:rPr>
  </w:style>
  <w:style w:type="paragraph" w:styleId="Asuntodelcomentario">
    <w:name w:val="annotation subject"/>
    <w:basedOn w:val="Textocomentario"/>
    <w:next w:val="Textocomentario"/>
    <w:link w:val="AsuntodelcomentarioCar"/>
    <w:uiPriority w:val="99"/>
    <w:semiHidden/>
    <w:unhideWhenUsed/>
    <w:rsid w:val="007C2983"/>
    <w:rPr>
      <w:b/>
      <w:bCs/>
      <w:sz w:val="20"/>
      <w:szCs w:val="20"/>
    </w:rPr>
  </w:style>
  <w:style w:type="character" w:styleId="AsuntodelcomentarioCar" w:customStyle="1">
    <w:name w:val="Asunto del comentario Car"/>
    <w:basedOn w:val="TextocomentarioCar"/>
    <w:link w:val="Asuntodelcomentario"/>
    <w:uiPriority w:val="99"/>
    <w:semiHidden/>
    <w:rsid w:val="007C2983"/>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32994">
      <w:bodyDiv w:val="1"/>
      <w:marLeft w:val="0"/>
      <w:marRight w:val="0"/>
      <w:marTop w:val="0"/>
      <w:marBottom w:val="0"/>
      <w:divBdr>
        <w:top w:val="none" w:sz="0" w:space="0" w:color="auto"/>
        <w:left w:val="none" w:sz="0" w:space="0" w:color="auto"/>
        <w:bottom w:val="none" w:sz="0" w:space="0" w:color="auto"/>
        <w:right w:val="none" w:sz="0" w:space="0" w:color="auto"/>
      </w:divBdr>
    </w:div>
    <w:div w:id="1131826406">
      <w:bodyDiv w:val="1"/>
      <w:marLeft w:val="0"/>
      <w:marRight w:val="0"/>
      <w:marTop w:val="0"/>
      <w:marBottom w:val="0"/>
      <w:divBdr>
        <w:top w:val="none" w:sz="0" w:space="0" w:color="auto"/>
        <w:left w:val="none" w:sz="0" w:space="0" w:color="auto"/>
        <w:bottom w:val="none" w:sz="0" w:space="0" w:color="auto"/>
        <w:right w:val="none" w:sz="0" w:space="0" w:color="auto"/>
      </w:divBdr>
    </w:div>
    <w:div w:id="1440442642">
      <w:bodyDiv w:val="1"/>
      <w:marLeft w:val="0"/>
      <w:marRight w:val="0"/>
      <w:marTop w:val="0"/>
      <w:marBottom w:val="0"/>
      <w:divBdr>
        <w:top w:val="none" w:sz="0" w:space="0" w:color="auto"/>
        <w:left w:val="none" w:sz="0" w:space="0" w:color="auto"/>
        <w:bottom w:val="none" w:sz="0" w:space="0" w:color="auto"/>
        <w:right w:val="none" w:sz="0" w:space="0" w:color="auto"/>
      </w:divBdr>
    </w:div>
    <w:div w:id="1787194715">
      <w:bodyDiv w:val="1"/>
      <w:marLeft w:val="0"/>
      <w:marRight w:val="0"/>
      <w:marTop w:val="0"/>
      <w:marBottom w:val="0"/>
      <w:divBdr>
        <w:top w:val="none" w:sz="0" w:space="0" w:color="auto"/>
        <w:left w:val="none" w:sz="0" w:space="0" w:color="auto"/>
        <w:bottom w:val="none" w:sz="0" w:space="0" w:color="auto"/>
        <w:right w:val="none" w:sz="0" w:space="0" w:color="auto"/>
      </w:divBdr>
    </w:div>
    <w:div w:id="1795900903">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d22a9848a3c3494d" /></Relationships>
</file>

<file path=word/_rels/footer1.xml.rels>&#65279;<?xml version="1.0" encoding="utf-8"?><Relationships xmlns="http://schemas.openxmlformats.org/package/2006/relationships"><Relationship Type="http://schemas.openxmlformats.org/officeDocument/2006/relationships/image" Target="/media/image5.png" Id="R3406149ac2a14bd1"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F717DA87-3474-4891-80F1-40E1109C5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A85C5-6DD7-49F7-8710-03CB77B71D2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Castellanos</dc:creator>
  <keywords/>
  <dc:description/>
  <lastModifiedBy>Nina María Padrón</lastModifiedBy>
  <revision>33</revision>
  <lastPrinted>2020-03-17T17:42:00.0000000Z</lastPrinted>
  <dcterms:created xsi:type="dcterms:W3CDTF">2020-04-29T23:13:00.0000000Z</dcterms:created>
  <dcterms:modified xsi:type="dcterms:W3CDTF">2020-07-23T21:21:18.3989743Z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