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D60C50" w:rsidR="00D25707" w:rsidP="00D60C50" w:rsidRDefault="00A71CEA" w14:paraId="751E5259" w14:textId="66660522">
      <w:pPr>
        <w:jc w:val="right"/>
        <w:rPr>
          <w:rFonts w:ascii="Arial" w:hAnsi="Arial" w:cs="Arial"/>
          <w:b/>
          <w:color w:val="000000" w:themeColor="text1"/>
          <w:sz w:val="16"/>
          <w:szCs w:val="16"/>
          <w:lang w:eastAsia="es-ES"/>
        </w:rPr>
      </w:pPr>
      <w:r w:rsidRPr="007A0123">
        <w:rPr>
          <w:rFonts w:ascii="Arial" w:hAnsi="Arial" w:cs="Arial"/>
          <w:b/>
          <w:color w:val="000000" w:themeColor="text1"/>
          <w:sz w:val="16"/>
          <w:szCs w:val="16"/>
          <w:lang w:eastAsia="es-ES"/>
        </w:rPr>
        <w:t>CCE-DES-FM-17</w:t>
      </w:r>
    </w:p>
    <w:p w:rsidR="00427B0F" w:rsidP="00D25707" w:rsidRDefault="00427B0F" w14:paraId="72A313AF" w14:textId="628A4ED2">
      <w:pPr>
        <w:pStyle w:val="Textoindependiente"/>
        <w:spacing w:line="276" w:lineRule="auto"/>
        <w:jc w:val="both"/>
        <w:rPr>
          <w:rFonts w:eastAsia="Calibri"/>
          <w:b/>
          <w:bCs/>
          <w:sz w:val="22"/>
          <w:szCs w:val="22"/>
          <w:lang w:val="es-MX"/>
        </w:rPr>
      </w:pPr>
      <w:r w:rsidRPr="00D60C50">
        <w:rPr>
          <w:rFonts w:eastAsia="Calibri"/>
          <w:b/>
          <w:bCs/>
          <w:sz w:val="22"/>
          <w:szCs w:val="22"/>
          <w:lang w:val="es-CO"/>
        </w:rPr>
        <w:t xml:space="preserve">LEY DE GARANTÍAS – </w:t>
      </w:r>
      <w:r w:rsidRPr="00576D51" w:rsidR="00576D51">
        <w:rPr>
          <w:rFonts w:eastAsia="Calibri"/>
          <w:b/>
          <w:bCs/>
          <w:sz w:val="22"/>
          <w:szCs w:val="22"/>
          <w:lang w:val="es-MX"/>
        </w:rPr>
        <w:t xml:space="preserve">Tipos de restricciones </w:t>
      </w:r>
      <w:bookmarkStart w:name="_Hlk77157034" w:id="0"/>
      <w:r w:rsidRPr="00576D51" w:rsidR="00576D51">
        <w:rPr>
          <w:rFonts w:eastAsia="Calibri"/>
          <w:b/>
          <w:bCs/>
          <w:sz w:val="22"/>
          <w:szCs w:val="22"/>
          <w:lang w:val="es-MX"/>
        </w:rPr>
        <w:t xml:space="preserve">‒ </w:t>
      </w:r>
      <w:bookmarkStart w:name="_Hlk77153098" w:id="1"/>
      <w:bookmarkEnd w:id="0"/>
      <w:r w:rsidRPr="00576D51" w:rsidR="00576D51">
        <w:rPr>
          <w:rFonts w:eastAsia="Calibri"/>
          <w:b/>
          <w:bCs/>
          <w:sz w:val="22"/>
          <w:szCs w:val="22"/>
          <w:lang w:val="es-MX"/>
        </w:rPr>
        <w:t>Ámbito temporal</w:t>
      </w:r>
      <w:bookmarkEnd w:id="1"/>
    </w:p>
    <w:p w:rsidR="006414FA" w:rsidP="006414FA" w:rsidRDefault="006414FA" w14:paraId="37138D48" w14:textId="77777777">
      <w:pPr>
        <w:pStyle w:val="Textoindependiente"/>
        <w:jc w:val="both"/>
        <w:rPr>
          <w:bCs/>
          <w:lang w:val="es-MX" w:eastAsia="x-none"/>
        </w:rPr>
      </w:pPr>
    </w:p>
    <w:p w:rsidR="00576D51" w:rsidP="006414FA" w:rsidRDefault="006414FA" w14:paraId="6EFEC3A0" w14:textId="15B7CF7E">
      <w:pPr>
        <w:pStyle w:val="Textoindependiente"/>
        <w:jc w:val="both"/>
        <w:rPr>
          <w:bCs/>
          <w:lang w:val="es-MX" w:eastAsia="x-none"/>
        </w:rPr>
      </w:pPr>
      <w:r w:rsidRPr="006414FA">
        <w:rPr>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6414FA">
        <w:rPr>
          <w:rFonts w:asciiTheme="minorHAnsi" w:hAnsiTheme="minorHAnsi" w:eastAsiaTheme="minorHAnsi" w:cstheme="minorBidi"/>
          <w:lang w:val="es-MX"/>
        </w:rPr>
        <w:t xml:space="preserve"> </w:t>
      </w:r>
      <w:r w:rsidRPr="006414FA">
        <w:rPr>
          <w:bCs/>
          <w:lang w:val="es-MX" w:eastAsia="x-none"/>
        </w:rPr>
        <w:t>En efecto, como lo ha sostenido el Consejo de Estado, el vocablo «todos» utilizado por el legislador comprende</w:t>
      </w:r>
      <w:r w:rsidRPr="006414FA">
        <w:rPr>
          <w:rFonts w:asciiTheme="minorHAnsi" w:hAnsiTheme="minorHAnsi" w:eastAsiaTheme="minorHAnsi" w:cstheme="minorBidi"/>
          <w:lang w:val="es-MX"/>
        </w:rPr>
        <w:t xml:space="preserve"> </w:t>
      </w:r>
      <w:r w:rsidRPr="006414FA">
        <w:rPr>
          <w:bCs/>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6414FA">
        <w:rPr>
          <w:bCs/>
          <w:lang w:val="es-MX" w:eastAsia="x-none"/>
        </w:rPr>
        <w:t xml:space="preserve">. </w:t>
      </w:r>
    </w:p>
    <w:p w:rsidR="008148A5" w:rsidP="006414FA" w:rsidRDefault="008148A5" w14:paraId="479FCE05" w14:textId="1B724477">
      <w:pPr>
        <w:pStyle w:val="Textoindependiente"/>
        <w:jc w:val="both"/>
        <w:rPr>
          <w:bCs/>
          <w:lang w:val="es-MX" w:eastAsia="x-none"/>
        </w:rPr>
      </w:pPr>
    </w:p>
    <w:p w:rsidR="008148A5" w:rsidP="006414FA" w:rsidRDefault="008148A5" w14:paraId="09B9525D" w14:textId="641319E6">
      <w:pPr>
        <w:pStyle w:val="Textoindependiente"/>
        <w:jc w:val="both"/>
        <w:rPr>
          <w:bCs/>
          <w:lang w:val="es-MX" w:eastAsia="x-none"/>
        </w:rPr>
      </w:pPr>
      <w:r>
        <w:rPr>
          <w:bCs/>
          <w:lang w:val="es-MX" w:eastAsia="x-none"/>
        </w:rPr>
        <w:t>[…]</w:t>
      </w:r>
    </w:p>
    <w:p w:rsidR="008148A5" w:rsidP="006414FA" w:rsidRDefault="008148A5" w14:paraId="6DA33E17" w14:textId="44E4623C">
      <w:pPr>
        <w:pStyle w:val="Textoindependiente"/>
        <w:jc w:val="both"/>
        <w:rPr>
          <w:bCs/>
          <w:lang w:val="es-MX" w:eastAsia="x-none"/>
        </w:rPr>
      </w:pPr>
    </w:p>
    <w:p w:rsidRPr="008148A5" w:rsidR="008148A5" w:rsidP="006414FA" w:rsidRDefault="008148A5" w14:paraId="08997DEE" w14:textId="410C7380">
      <w:pPr>
        <w:pStyle w:val="Textoindependiente"/>
        <w:jc w:val="both"/>
        <w:rPr>
          <w:rFonts w:eastAsia="Calibri"/>
          <w:b/>
          <w:bCs/>
          <w:lang w:val="es-CO"/>
        </w:rPr>
      </w:pPr>
      <w:r w:rsidRPr="008148A5">
        <w:rPr>
          <w:rFonts w:eastAsia="Calibri"/>
          <w:bCs/>
        </w:rPr>
        <w:t xml:space="preserve">El parágrafo del artículo 38 de la Ley 996 de 2005 dispone que «[l]os Gobernadores, </w:t>
      </w:r>
      <w:proofErr w:type="gramStart"/>
      <w:r w:rsidRPr="008148A5">
        <w:rPr>
          <w:rFonts w:eastAsia="Calibri"/>
          <w:bCs/>
        </w:rPr>
        <w:t>Alcaldes</w:t>
      </w:r>
      <w:proofErr w:type="gramEnd"/>
      <w:r w:rsidRPr="008148A5">
        <w:rPr>
          <w:rFonts w:eastAsia="Calibri"/>
          <w:bCs/>
        </w:rPr>
        <w:t xml:space="preserve">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8148A5">
        <w:rPr>
          <w:bCs/>
          <w:iCs/>
          <w:lang w:val="es-MX"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8148A5">
        <w:rPr>
          <w:bCs/>
          <w:iCs/>
          <w:lang w:val="es-MX" w:eastAsia="x-none"/>
        </w:rPr>
        <w:t xml:space="preserve">. </w:t>
      </w:r>
    </w:p>
    <w:p w:rsidRPr="00D60C50" w:rsidR="00427B0F" w:rsidP="00D25707" w:rsidRDefault="00427B0F" w14:paraId="679AA35E" w14:textId="77777777">
      <w:pPr>
        <w:pStyle w:val="Textoindependiente"/>
        <w:spacing w:line="276" w:lineRule="auto"/>
        <w:jc w:val="both"/>
        <w:rPr>
          <w:rFonts w:eastAsia="Calibri"/>
          <w:sz w:val="22"/>
          <w:szCs w:val="22"/>
          <w:lang w:val="es-CO"/>
        </w:rPr>
      </w:pPr>
    </w:p>
    <w:p w:rsidRPr="00D60C50" w:rsidR="00427B0F" w:rsidP="00D25707" w:rsidRDefault="00427B0F" w14:paraId="7A57B5D7" w14:textId="29D3471B">
      <w:pPr>
        <w:pStyle w:val="Textoindependiente"/>
        <w:spacing w:line="276" w:lineRule="auto"/>
        <w:jc w:val="both"/>
        <w:rPr>
          <w:rFonts w:eastAsia="Calibri"/>
          <w:b/>
          <w:bCs/>
          <w:sz w:val="22"/>
          <w:szCs w:val="22"/>
          <w:lang w:val="es-CO"/>
        </w:rPr>
      </w:pPr>
      <w:r w:rsidRPr="00D60C50">
        <w:rPr>
          <w:rFonts w:eastAsia="Calibri"/>
          <w:b/>
          <w:bCs/>
          <w:sz w:val="22"/>
          <w:szCs w:val="22"/>
          <w:lang w:val="es-CO"/>
        </w:rPr>
        <w:t>INSTITUCIONES EDUCATIVAS –</w:t>
      </w:r>
      <w:r w:rsidR="00DC58C9">
        <w:rPr>
          <w:rFonts w:eastAsia="Calibri"/>
          <w:b/>
          <w:bCs/>
          <w:sz w:val="22"/>
          <w:szCs w:val="22"/>
          <w:lang w:val="es-CO"/>
        </w:rPr>
        <w:t xml:space="preserve"> </w:t>
      </w:r>
      <w:r w:rsidR="00DD3884">
        <w:rPr>
          <w:rFonts w:eastAsia="Calibri"/>
          <w:b/>
          <w:bCs/>
          <w:sz w:val="22"/>
          <w:szCs w:val="22"/>
          <w:lang w:val="es-CO"/>
        </w:rPr>
        <w:t>Fondos de servicios educativos</w:t>
      </w:r>
      <w:r w:rsidR="00AE11B5">
        <w:rPr>
          <w:rFonts w:eastAsia="Calibri"/>
          <w:b/>
          <w:bCs/>
          <w:sz w:val="22"/>
          <w:szCs w:val="22"/>
          <w:lang w:val="es-CO"/>
        </w:rPr>
        <w:t xml:space="preserve"> – Ley de garantías </w:t>
      </w:r>
    </w:p>
    <w:p w:rsidRPr="00D60C50" w:rsidR="00427B0F" w:rsidP="00D25707" w:rsidRDefault="00427B0F" w14:paraId="7D91AD14" w14:textId="4DDF7BA2">
      <w:pPr>
        <w:pStyle w:val="Textoindependiente"/>
        <w:spacing w:line="276" w:lineRule="auto"/>
        <w:jc w:val="both"/>
        <w:rPr>
          <w:rFonts w:eastAsia="Calibri"/>
          <w:b/>
          <w:bCs/>
          <w:sz w:val="22"/>
          <w:szCs w:val="22"/>
          <w:lang w:val="es-CO"/>
        </w:rPr>
      </w:pPr>
    </w:p>
    <w:p w:rsidR="00AE11B5" w:rsidP="00AE11B5" w:rsidRDefault="00AE11B5" w14:paraId="16F6D231" w14:textId="4C146931">
      <w:pPr>
        <w:pStyle w:val="Textoindependiente"/>
        <w:jc w:val="both"/>
        <w:rPr>
          <w:bCs/>
          <w:lang w:val="es-CO"/>
        </w:rPr>
      </w:pPr>
      <w:r w:rsidRPr="00AE11B5">
        <w:rPr>
          <w:bCs/>
          <w:lang w:val="es-MX"/>
        </w:rPr>
        <w:t xml:space="preserve">Conforme a la interpretación de las normas generales del sistema de compras y contratación pública, </w:t>
      </w:r>
      <w:r w:rsidRPr="00AE11B5">
        <w:rPr>
          <w:lang w:val="es-CO"/>
        </w:rPr>
        <w:t xml:space="preserve">para la restricción del artículo 33 de la </w:t>
      </w:r>
      <w:r w:rsidRPr="00AE11B5">
        <w:rPr>
          <w:bCs/>
          <w:lang w:val="es-CO"/>
        </w:rPr>
        <w:t xml:space="preserve">Ley 996 de 2005 es necesario considerar que </w:t>
      </w:r>
      <w:r w:rsidRPr="00AE11B5">
        <w:t xml:space="preserve">el artículo </w:t>
      </w:r>
      <w:r w:rsidRPr="00AE11B5">
        <w:rPr>
          <w:lang w:val="es-CO"/>
        </w:rPr>
        <w:t>13 de la Ley 715 de 2001</w:t>
      </w:r>
      <w:r w:rsidRPr="00AE11B5">
        <w:rPr>
          <w:bCs/>
          <w:lang w:val="es-CO"/>
        </w:rPr>
        <w:t xml:space="preserve"> consagra un régimen jurídico que exceptúa la aplicación de la Ley 80 de 1993 en los contratos de los fondos de servicios educativos inferiores a veinte (20) </w:t>
      </w:r>
      <w:proofErr w:type="spellStart"/>
      <w:r w:rsidRPr="00AE11B5">
        <w:rPr>
          <w:bCs/>
          <w:lang w:val="es-CO"/>
        </w:rPr>
        <w:t>smlmv</w:t>
      </w:r>
      <w:proofErr w:type="spellEnd"/>
      <w:r w:rsidRPr="00AE11B5">
        <w:rPr>
          <w:bCs/>
          <w:lang w:val="es-CO"/>
        </w:rPr>
        <w:t xml:space="preserve">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p>
    <w:p w:rsidRPr="00AE11B5" w:rsidR="00AE11B5" w:rsidP="00AE11B5" w:rsidRDefault="00AE11B5" w14:paraId="461450B8" w14:textId="77777777">
      <w:pPr>
        <w:pStyle w:val="Textoindependiente"/>
        <w:jc w:val="both"/>
        <w:rPr>
          <w:bCs/>
          <w:lang w:val="es-CO"/>
        </w:rPr>
      </w:pPr>
    </w:p>
    <w:p w:rsidR="00AE11B5" w:rsidP="00AE11B5" w:rsidRDefault="00AE11B5" w14:paraId="15EA50C9" w14:textId="14698D78">
      <w:pPr>
        <w:pStyle w:val="Textoindependiente"/>
        <w:jc w:val="both"/>
        <w:rPr>
          <w:bCs/>
          <w:lang w:val="es-CO"/>
        </w:rPr>
      </w:pPr>
      <w:r w:rsidRPr="00AE11B5">
        <w:rPr>
          <w:bCs/>
          <w:lang w:val="es-CO"/>
        </w:rPr>
        <w:t xml:space="preserve">Así la Sala de Consulta y Servicio Civil del Consejo de Estado explica que «La prohibición contenida en el artículo 33, desde el punto de vista objetivo o material, comprende la contratación directa, entendida como cualquier mecanismo de escogencia del contratista en el que se prescinde de la licitación o concurso, </w:t>
      </w:r>
      <w:r w:rsidRPr="00AE11B5">
        <w:rPr>
          <w:bCs/>
          <w:i/>
          <w:iCs/>
          <w:lang w:val="es-CO"/>
        </w:rPr>
        <w:t>sin que se tenga en cuenta por el legislador estatutario el régimen de contratación aplicable, ya sea contenido en el Estatuto General de Contratación de la Administración Pública o uno especial en razón del objeto, del contrato o del órgano que contrata</w:t>
      </w:r>
      <w:r w:rsidRPr="00AE11B5">
        <w:rPr>
          <w:bCs/>
          <w:lang w:val="es-CO"/>
        </w:rPr>
        <w:t xml:space="preserve">» (Énfasis fuera de texto). Por tanto, durante la vigencia de la prohibición del artículo 33 de la Ley 996 de 2005 está restringida cualquier modalidad de selección que excluya la pluralidad de oferentes en el régimen especial de contratación realizado con recursos de los fondos de servicios educativos por valor inferior a inferiores a veinte (20) </w:t>
      </w:r>
      <w:proofErr w:type="spellStart"/>
      <w:r w:rsidRPr="00AE11B5">
        <w:rPr>
          <w:bCs/>
          <w:lang w:val="es-CO"/>
        </w:rPr>
        <w:t>smlmv</w:t>
      </w:r>
      <w:proofErr w:type="spellEnd"/>
      <w:r w:rsidRPr="00AE11B5">
        <w:rPr>
          <w:bCs/>
          <w:lang w:val="es-CO"/>
        </w:rPr>
        <w:t xml:space="preserve">. </w:t>
      </w:r>
    </w:p>
    <w:p w:rsidRPr="00AE11B5" w:rsidR="00AE11B5" w:rsidP="00AE11B5" w:rsidRDefault="00AE11B5" w14:paraId="3064FA47" w14:textId="77777777">
      <w:pPr>
        <w:pStyle w:val="Textoindependiente"/>
        <w:jc w:val="both"/>
        <w:rPr>
          <w:bCs/>
          <w:lang w:val="es-CO"/>
        </w:rPr>
      </w:pPr>
    </w:p>
    <w:p w:rsidRPr="00AE11B5" w:rsidR="00AE11B5" w:rsidP="00AE11B5" w:rsidRDefault="00AE11B5" w14:paraId="5929DE39" w14:textId="77777777">
      <w:pPr>
        <w:pStyle w:val="Textoindependiente"/>
        <w:jc w:val="both"/>
        <w:rPr>
          <w:lang w:val="es-CO"/>
        </w:rPr>
      </w:pPr>
      <w:r w:rsidRPr="00AE11B5">
        <w:rPr>
          <w:bCs/>
          <w:lang w:val="es-CO"/>
        </w:rPr>
        <w:t xml:space="preserve">Por otra parte, respecto a </w:t>
      </w:r>
      <w:r w:rsidRPr="00AE11B5">
        <w:rPr>
          <w:lang w:val="es-CO"/>
        </w:rPr>
        <w:t xml:space="preserve">la restricción del artículo 38 de la </w:t>
      </w:r>
      <w:r w:rsidRPr="00AE11B5">
        <w:rPr>
          <w:bCs/>
          <w:lang w:val="es-CO"/>
        </w:rPr>
        <w:t>Ley de Garantías                –modificado transitoriamente por el artículo 124 de la Ley 2159 de 2021– se considera que los contratos celebrados con los administradores del fondo y otras entidades públicas son contratos interadministrativos. En efecto, el citado artículo 2.2.1.2.1.4.4 d</w:t>
      </w:r>
      <w:r w:rsidRPr="00AE11B5">
        <w:rPr>
          <w:lang w:val="es-ES_tradnl"/>
        </w:rPr>
        <w:t xml:space="preserve">el Decreto 1082 de 2015 califica a los convenios o contratos interadministrativos como aquella contratación entre entidades estatales. El concepto está definido en el artículo 2.2.1.1.1.3.1 </w:t>
      </w:r>
      <w:r w:rsidRPr="00AE11B5">
        <w:rPr>
          <w:i/>
          <w:iCs/>
          <w:lang w:val="es-ES_tradnl"/>
        </w:rPr>
        <w:t>ibidem</w:t>
      </w:r>
      <w:r w:rsidRPr="00AE11B5">
        <w:rPr>
          <w:lang w:val="es-ES_tradnl"/>
        </w:rPr>
        <w:t xml:space="preserve"> como «Cada una de las entidades: (a) a las que se refiere el artículo 2 de la Ley 80 de 1993; (b) a las que se refieren los artículos 10, 14 y 24 de la Ley 1150 de 2007 y (c) aquellas entidades que por disposición de la ley deban aplicar la Ley 80 de 1993​ y la Ley 1150 de 2007, o las normas que las modifiquen, aclaren, adicionen o sustituyan».  Aunque </w:t>
      </w:r>
      <w:r w:rsidRPr="00AE11B5">
        <w:rPr>
          <w:lang w:val="es-CO"/>
        </w:rPr>
        <w:t>las instituciones educativas carecen de personería jurídica, tienen capacidad para contratar y se concreta en la competencia que le otorgó el legislador en la Ley 715 de 2001 para administrar los fondos de servicios educativos. Así, conforme al literal b) del artículo 2.1 de la Ley 80 de 1993, también se considera entidad estatal todos aquellos «[…] organismos o dependencias del Estado a los que la ley otorgue capacidad para celebrar contratos».</w:t>
      </w:r>
    </w:p>
    <w:p w:rsidRPr="00D60C50" w:rsidR="00427B0F" w:rsidP="00D25707" w:rsidRDefault="00427B0F" w14:paraId="5695ADB3" w14:textId="40DF973E">
      <w:pPr>
        <w:pStyle w:val="Textoindependiente"/>
        <w:spacing w:line="276" w:lineRule="auto"/>
        <w:jc w:val="both"/>
        <w:rPr>
          <w:rFonts w:eastAsia="Calibri"/>
          <w:sz w:val="22"/>
          <w:szCs w:val="22"/>
          <w:lang w:val="es-CO"/>
        </w:rPr>
      </w:pPr>
    </w:p>
    <w:p w:rsidRPr="00AE11B5" w:rsidR="00AF5F4D" w:rsidP="00D60C50" w:rsidRDefault="00941B11" w14:paraId="7BC7417D" w14:textId="4F4C9745">
      <w:pPr>
        <w:pStyle w:val="Textoindependiente"/>
        <w:spacing w:after="160" w:line="276" w:lineRule="auto"/>
        <w:jc w:val="both"/>
        <w:rPr>
          <w:rFonts w:eastAsia="Calibri"/>
          <w:b/>
          <w:bCs/>
          <w:sz w:val="21"/>
          <w:szCs w:val="21"/>
          <w:lang w:val="es-CO"/>
        </w:rPr>
      </w:pPr>
      <w:r w:rsidRPr="00D60C50">
        <w:rPr>
          <w:rFonts w:eastAsia="Calibri"/>
          <w:b/>
          <w:bCs/>
          <w:sz w:val="22"/>
          <w:szCs w:val="22"/>
          <w:lang w:val="es-CO"/>
        </w:rPr>
        <w:t>SECOP – Publicación – Contratos sin erogación presupuestal</w:t>
      </w:r>
      <w:r w:rsidR="00AE11B5">
        <w:rPr>
          <w:rFonts w:eastAsia="Calibri"/>
          <w:b/>
          <w:bCs/>
          <w:sz w:val="22"/>
          <w:szCs w:val="22"/>
          <w:lang w:val="es-CO"/>
        </w:rPr>
        <w:t xml:space="preserve"> – </w:t>
      </w:r>
      <w:r w:rsidRPr="00D60C50" w:rsidR="00AE11B5">
        <w:rPr>
          <w:rFonts w:eastAsia="Calibri"/>
          <w:b/>
          <w:bCs/>
          <w:sz w:val="22"/>
          <w:szCs w:val="22"/>
        </w:rPr>
        <w:t>Régimen aplicable – Contrato arrendamiento</w:t>
      </w:r>
    </w:p>
    <w:p w:rsidR="00AE11B5" w:rsidP="001140A9" w:rsidRDefault="00AE11B5" w14:paraId="29BEEA8E" w14:textId="3871C3F6">
      <w:pPr>
        <w:pStyle w:val="Textoindependiente"/>
        <w:spacing w:after="160"/>
        <w:jc w:val="both"/>
        <w:rPr>
          <w:rFonts w:eastAsia="Calibri"/>
          <w:lang w:val="es-MX"/>
        </w:rPr>
      </w:pPr>
      <w:r>
        <w:rPr>
          <w:rFonts w:eastAsia="Calibri"/>
          <w:lang w:val="es-MX"/>
        </w:rPr>
        <w:t>[</w:t>
      </w:r>
      <w:r w:rsidR="001140A9">
        <w:rPr>
          <w:rFonts w:eastAsia="Calibri"/>
          <w:lang w:val="es-MX"/>
        </w:rPr>
        <w:t>…]</w:t>
      </w:r>
      <w:r w:rsidRPr="00AE11B5">
        <w:rPr>
          <w:rFonts w:eastAsia="Calibri"/>
          <w:lang w:val="es-MX"/>
        </w:rPr>
        <w:t xml:space="preserve"> sin perjuicio de la aplicación del artículo 56 de la Ley 2195 de 2022, se concluye que la publicidad de los contratos estatales debe realizarse a través de SECOP, independientemente del régimen aplicable al contrato o que este implique o no la erogación de recursos públicos, comoquiera que las referidas normas no sujetan la obligación de publicar en dicha plataforma a tales condiciones. Esto en la medida en que, independientemente de que se realice alguna erogación o se apliquen normas de derecho privado, los contratos estatales involucran un interés público, por lo que deben publicarse en el SECOP, que fue el mecanismo establecido por el legislador y el reglamento para garantizar que se cumplan los principios de publicidad y transparencia respecto de estos. En consecuencia, los contratos de arrendamiento que tengan como parte a una entidad estatal, deberán publicarse en el SECOP independientemente del régimen aplicable o que impliquen o no erogación de recursos públicos.</w:t>
      </w:r>
    </w:p>
    <w:p w:rsidR="00AE11B5" w:rsidP="00D60C50" w:rsidRDefault="00AE11B5" w14:paraId="521A576E" w14:textId="77777777">
      <w:pPr>
        <w:pStyle w:val="Textoindependiente"/>
        <w:spacing w:after="160" w:line="276" w:lineRule="auto"/>
        <w:jc w:val="both"/>
        <w:rPr>
          <w:rFonts w:eastAsia="Calibri"/>
          <w:lang w:val="es-MX"/>
        </w:rPr>
      </w:pPr>
    </w:p>
    <w:p w:rsidR="008F398C" w:rsidP="00D25707" w:rsidRDefault="008F398C" w14:paraId="4407BB4C" w14:textId="7F77922D">
      <w:pPr>
        <w:pStyle w:val="Textoindependiente"/>
        <w:spacing w:line="276" w:lineRule="auto"/>
        <w:jc w:val="both"/>
        <w:rPr>
          <w:rFonts w:eastAsia="Calibri"/>
          <w:b/>
          <w:bCs/>
          <w:sz w:val="22"/>
          <w:szCs w:val="22"/>
        </w:rPr>
      </w:pPr>
    </w:p>
    <w:p w:rsidR="001140A9" w:rsidP="00D25707" w:rsidRDefault="001140A9" w14:paraId="292FB213" w14:textId="25CF41C5">
      <w:pPr>
        <w:pStyle w:val="Textoindependiente"/>
        <w:spacing w:line="276" w:lineRule="auto"/>
        <w:jc w:val="both"/>
        <w:rPr>
          <w:rFonts w:eastAsia="Calibri"/>
          <w:b/>
          <w:bCs/>
          <w:sz w:val="22"/>
          <w:szCs w:val="22"/>
        </w:rPr>
      </w:pPr>
    </w:p>
    <w:p w:rsidR="001140A9" w:rsidP="00D25707" w:rsidRDefault="001140A9" w14:paraId="1B1AE541" w14:textId="71D9BB69">
      <w:pPr>
        <w:pStyle w:val="Textoindependiente"/>
        <w:spacing w:line="276" w:lineRule="auto"/>
        <w:jc w:val="both"/>
        <w:rPr>
          <w:rFonts w:eastAsia="Calibri"/>
          <w:b/>
          <w:bCs/>
          <w:sz w:val="22"/>
          <w:szCs w:val="22"/>
        </w:rPr>
      </w:pPr>
    </w:p>
    <w:p w:rsidR="001140A9" w:rsidP="00D25707" w:rsidRDefault="001140A9" w14:paraId="48F7B251" w14:textId="61809AFA">
      <w:pPr>
        <w:pStyle w:val="Textoindependiente"/>
        <w:spacing w:line="276" w:lineRule="auto"/>
        <w:jc w:val="both"/>
        <w:rPr>
          <w:rFonts w:eastAsia="Calibri"/>
          <w:b/>
          <w:bCs/>
          <w:sz w:val="22"/>
          <w:szCs w:val="22"/>
        </w:rPr>
      </w:pPr>
    </w:p>
    <w:p w:rsidR="001140A9" w:rsidP="00D25707" w:rsidRDefault="001140A9" w14:paraId="1DC64296" w14:textId="59F53F32">
      <w:pPr>
        <w:pStyle w:val="Textoindependiente"/>
        <w:spacing w:line="276" w:lineRule="auto"/>
        <w:jc w:val="both"/>
        <w:rPr>
          <w:rFonts w:eastAsia="Calibri"/>
          <w:b/>
          <w:bCs/>
          <w:sz w:val="22"/>
          <w:szCs w:val="22"/>
        </w:rPr>
      </w:pPr>
    </w:p>
    <w:p w:rsidR="001140A9" w:rsidP="00D25707" w:rsidRDefault="001140A9" w14:paraId="30863EAD" w14:textId="77777777">
      <w:pPr>
        <w:pStyle w:val="Textoindependiente"/>
        <w:spacing w:line="276" w:lineRule="auto"/>
        <w:jc w:val="both"/>
        <w:rPr>
          <w:rFonts w:eastAsia="Calibri"/>
          <w:sz w:val="21"/>
          <w:szCs w:val="21"/>
          <w:lang w:val="es-CO"/>
        </w:rPr>
      </w:pPr>
    </w:p>
    <w:p w:rsidR="002F0981" w:rsidP="00D25707" w:rsidRDefault="002F0981" w14:paraId="194AB231" w14:textId="61A2BDAB">
      <w:pPr>
        <w:pStyle w:val="Textoindependiente"/>
        <w:spacing w:line="276" w:lineRule="auto"/>
        <w:jc w:val="both"/>
        <w:rPr>
          <w:rFonts w:eastAsia="Calibri"/>
          <w:sz w:val="21"/>
          <w:szCs w:val="21"/>
          <w:lang w:val="es-CO"/>
        </w:rPr>
      </w:pPr>
    </w:p>
    <w:p w:rsidR="002F0981" w:rsidP="00D25707" w:rsidRDefault="002F0981" w14:paraId="39A37E53" w14:textId="38D5414E">
      <w:pPr>
        <w:pStyle w:val="Textoindependiente"/>
        <w:spacing w:line="276" w:lineRule="auto"/>
        <w:jc w:val="both"/>
        <w:rPr>
          <w:rFonts w:eastAsia="Calibri"/>
          <w:sz w:val="21"/>
          <w:szCs w:val="21"/>
          <w:lang w:val="es-CO"/>
        </w:rPr>
      </w:pPr>
    </w:p>
    <w:p w:rsidR="0061648F" w:rsidP="00180508" w:rsidRDefault="0061648F" w14:paraId="28DBDC28" w14:textId="663CB4EE">
      <w:pPr>
        <w:spacing w:line="276" w:lineRule="auto"/>
        <w:rPr>
          <w:rFonts w:ascii="Arial" w:hAnsi="Arial" w:cs="Arial"/>
          <w:b/>
          <w:bCs/>
          <w:sz w:val="22"/>
        </w:rPr>
      </w:pPr>
    </w:p>
    <w:p w:rsidR="003E7318" w:rsidP="00180508" w:rsidRDefault="003E7318" w14:paraId="04232476" w14:textId="16393912">
      <w:pPr>
        <w:spacing w:line="276" w:lineRule="auto"/>
        <w:rPr>
          <w:rFonts w:ascii="Arial" w:hAnsi="Arial" w:cs="Arial"/>
          <w:b/>
          <w:bCs/>
          <w:sz w:val="22"/>
        </w:rPr>
      </w:pPr>
    </w:p>
    <w:p w:rsidR="00752C7B" w:rsidP="00180508" w:rsidRDefault="00752C7B" w14:paraId="2C4F2D4D" w14:textId="24804740">
      <w:pPr>
        <w:spacing w:line="276" w:lineRule="auto"/>
        <w:rPr>
          <w:rFonts w:ascii="Arial" w:hAnsi="Arial" w:cs="Arial"/>
          <w:b/>
          <w:bCs/>
          <w:sz w:val="22"/>
        </w:rPr>
      </w:pPr>
    </w:p>
    <w:p w:rsidR="001140A9" w:rsidP="00180508" w:rsidRDefault="001140A9" w14:paraId="683A2EE6" w14:textId="77777777">
      <w:pPr>
        <w:spacing w:line="276" w:lineRule="auto"/>
        <w:rPr>
          <w:rFonts w:ascii="Arial" w:hAnsi="Arial" w:cs="Arial"/>
          <w:b/>
          <w:bCs/>
          <w:sz w:val="22"/>
        </w:rPr>
      </w:pPr>
    </w:p>
    <w:p w:rsidR="00752C7B" w:rsidP="00180508" w:rsidRDefault="00752C7B" w14:paraId="5DFBA456" w14:textId="1D3BE4E1">
      <w:pPr>
        <w:spacing w:line="276" w:lineRule="auto"/>
        <w:rPr>
          <w:rFonts w:ascii="Arial" w:hAnsi="Arial" w:cs="Arial"/>
          <w:b/>
          <w:bCs/>
          <w:sz w:val="22"/>
        </w:rPr>
      </w:pPr>
    </w:p>
    <w:p w:rsidR="004C0557" w:rsidP="00180508" w:rsidRDefault="004C0557" w14:paraId="1DC842E3" w14:textId="26BACC51">
      <w:pPr>
        <w:spacing w:line="276" w:lineRule="auto"/>
        <w:rPr>
          <w:rFonts w:ascii="Arial" w:hAnsi="Arial" w:cs="Arial"/>
          <w:b/>
          <w:bCs/>
          <w:sz w:val="22"/>
        </w:rPr>
      </w:pPr>
    </w:p>
    <w:p w:rsidR="004C0557" w:rsidP="00180508" w:rsidRDefault="004C0557" w14:paraId="673D0EB3" w14:textId="2C69C99D">
      <w:pPr>
        <w:spacing w:line="276" w:lineRule="auto"/>
        <w:rPr>
          <w:rFonts w:ascii="Arial" w:hAnsi="Arial" w:cs="Arial"/>
          <w:b/>
          <w:bCs/>
          <w:sz w:val="22"/>
        </w:rPr>
      </w:pPr>
    </w:p>
    <w:p w:rsidR="004C0557" w:rsidP="00180508" w:rsidRDefault="004C0557" w14:paraId="716844AE" w14:textId="481FAD57">
      <w:pPr>
        <w:spacing w:line="276" w:lineRule="auto"/>
        <w:rPr>
          <w:rFonts w:ascii="Arial" w:hAnsi="Arial" w:cs="Arial"/>
          <w:b/>
          <w:bCs/>
          <w:sz w:val="22"/>
        </w:rPr>
      </w:pPr>
    </w:p>
    <w:p w:rsidR="004C0557" w:rsidP="00180508" w:rsidRDefault="004C0557" w14:paraId="0249AC44" w14:textId="5F624F05">
      <w:pPr>
        <w:spacing w:line="276" w:lineRule="auto"/>
        <w:rPr>
          <w:rFonts w:ascii="Arial" w:hAnsi="Arial" w:cs="Arial"/>
          <w:b/>
          <w:bCs/>
          <w:sz w:val="22"/>
        </w:rPr>
      </w:pPr>
    </w:p>
    <w:p w:rsidR="004C0557" w:rsidP="00180508" w:rsidRDefault="004C0557" w14:paraId="597E5400" w14:textId="77777777">
      <w:pPr>
        <w:spacing w:line="276" w:lineRule="auto"/>
        <w:rPr>
          <w:rFonts w:ascii="Arial" w:hAnsi="Arial" w:cs="Arial"/>
          <w:b/>
          <w:bCs/>
          <w:sz w:val="22"/>
        </w:rPr>
      </w:pPr>
    </w:p>
    <w:p w:rsidRPr="00FD7DA9" w:rsidR="00CE4BD7" w:rsidP="00AE11B5" w:rsidRDefault="00AE11B5" w14:paraId="3CC18F1C" w14:textId="75796BB6">
      <w:pPr>
        <w:jc w:val="right"/>
        <w:rPr>
          <w:rFonts w:ascii="Arial" w:hAnsi="Arial" w:eastAsia="Calibri" w:cs="Arial"/>
          <w:sz w:val="22"/>
        </w:rPr>
      </w:pPr>
      <w:r w:rsidRPr="00AE11B5">
        <w:rPr>
          <w:rFonts w:ascii="Arial" w:hAnsi="Arial" w:eastAsia="Calibri" w:cs="Arial"/>
          <w:sz w:val="22"/>
        </w:rPr>
        <w:drawing>
          <wp:inline distT="0" distB="0" distL="0" distR="0" wp14:anchorId="4E2614AF" wp14:editId="76C8BF6D">
            <wp:extent cx="2457451" cy="672762"/>
            <wp:effectExtent l="0" t="0" r="0" b="0"/>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1"/>
                    <a:stretch>
                      <a:fillRect/>
                    </a:stretch>
                  </pic:blipFill>
                  <pic:spPr>
                    <a:xfrm>
                      <a:off x="0" y="0"/>
                      <a:ext cx="2464120" cy="674588"/>
                    </a:xfrm>
                    <a:prstGeom prst="rect">
                      <a:avLst/>
                    </a:prstGeom>
                  </pic:spPr>
                </pic:pic>
              </a:graphicData>
            </a:graphic>
          </wp:inline>
        </w:drawing>
      </w:r>
    </w:p>
    <w:p w:rsidRPr="00FD7DA9" w:rsidR="00CE4BD7" w:rsidP="00C33A69" w:rsidRDefault="00CE4BD7" w14:paraId="42931346" w14:textId="77777777">
      <w:pPr>
        <w:rPr>
          <w:rFonts w:ascii="Arial" w:hAnsi="Arial" w:eastAsia="Calibri" w:cs="Arial"/>
          <w:sz w:val="22"/>
        </w:rPr>
      </w:pPr>
    </w:p>
    <w:p w:rsidRPr="00FD7DA9" w:rsidR="00CE4BD7" w:rsidP="00C33A69" w:rsidRDefault="00CE4BD7" w14:paraId="6E64AC9C" w14:textId="30B1AA19">
      <w:pPr>
        <w:rPr>
          <w:rFonts w:ascii="Arial" w:hAnsi="Arial" w:eastAsia="Calibri" w:cs="Arial"/>
          <w:sz w:val="22"/>
        </w:rPr>
      </w:pPr>
      <w:r w:rsidRPr="00CE4BD7">
        <w:rPr>
          <w:rFonts w:ascii="Arial" w:hAnsi="Arial" w:eastAsia="Calibri" w:cs="Arial"/>
          <w:sz w:val="22"/>
        </w:rPr>
        <w:t>Bogotá D.C.,</w:t>
      </w:r>
      <w:r w:rsidR="00AE11B5">
        <w:rPr>
          <w:rFonts w:ascii="Arial" w:hAnsi="Arial" w:eastAsia="Calibri" w:cs="Arial"/>
          <w:sz w:val="22"/>
        </w:rPr>
        <w:t xml:space="preserve"> 26 </w:t>
      </w:r>
      <w:proofErr w:type="gramStart"/>
      <w:r w:rsidR="00AE11B5">
        <w:rPr>
          <w:rFonts w:ascii="Arial" w:hAnsi="Arial" w:eastAsia="Calibri" w:cs="Arial"/>
          <w:sz w:val="22"/>
        </w:rPr>
        <w:t>Abril</w:t>
      </w:r>
      <w:proofErr w:type="gramEnd"/>
      <w:r w:rsidR="00AE11B5">
        <w:rPr>
          <w:rFonts w:ascii="Arial" w:hAnsi="Arial" w:eastAsia="Calibri" w:cs="Arial"/>
          <w:sz w:val="22"/>
        </w:rPr>
        <w:t xml:space="preserve"> 2022</w:t>
      </w:r>
    </w:p>
    <w:p w:rsidRPr="00FD7DA9" w:rsidR="00CE4BD7" w:rsidP="00C33A69" w:rsidRDefault="00CE4BD7" w14:paraId="3089FC43" w14:textId="77777777">
      <w:pPr>
        <w:rPr>
          <w:rFonts w:ascii="Arial" w:hAnsi="Arial" w:eastAsia="Calibri" w:cs="Arial"/>
          <w:sz w:val="22"/>
        </w:rPr>
      </w:pPr>
    </w:p>
    <w:p w:rsidRPr="00FD7DA9" w:rsidR="00CE4BD7" w:rsidP="00C33A69" w:rsidRDefault="00CE4BD7" w14:paraId="5307BB47" w14:textId="77777777">
      <w:pPr>
        <w:rPr>
          <w:rFonts w:ascii="Arial" w:hAnsi="Arial" w:eastAsia="Calibri" w:cs="Arial"/>
          <w:sz w:val="22"/>
        </w:rPr>
      </w:pPr>
      <w:bookmarkStart w:name="_Hlk101882130" w:id="2"/>
    </w:p>
    <w:p w:rsidR="00C33A69" w:rsidP="00C33A69" w:rsidRDefault="00C33A69" w14:paraId="67AC7ECE" w14:textId="389F5189">
      <w:pPr>
        <w:rPr>
          <w:rFonts w:ascii="Arial" w:hAnsi="Arial" w:eastAsia="Calibri" w:cs="Arial"/>
          <w:color w:val="000000" w:themeColor="text1"/>
          <w:sz w:val="22"/>
        </w:rPr>
      </w:pPr>
      <w:r w:rsidRPr="001B0D3D">
        <w:rPr>
          <w:rFonts w:ascii="Arial" w:hAnsi="Arial" w:eastAsia="Calibri" w:cs="Arial"/>
          <w:color w:val="000000" w:themeColor="text1"/>
          <w:sz w:val="22"/>
        </w:rPr>
        <w:t>Señor</w:t>
      </w:r>
    </w:p>
    <w:p w:rsidRPr="0093085B" w:rsidR="003C1F96" w:rsidRDefault="00F35993" w14:paraId="4F9DF387" w14:textId="219792BA">
      <w:pPr>
        <w:rPr>
          <w:rFonts w:ascii="Arial" w:hAnsi="Arial" w:eastAsia="Calibri" w:cs="Arial"/>
          <w:b/>
          <w:bCs/>
          <w:color w:val="000000" w:themeColor="text1"/>
          <w:sz w:val="22"/>
        </w:rPr>
      </w:pPr>
      <w:r>
        <w:rPr>
          <w:rFonts w:ascii="Arial" w:hAnsi="Arial" w:eastAsia="Calibri" w:cs="Arial"/>
          <w:b/>
          <w:bCs/>
          <w:color w:val="000000" w:themeColor="text1"/>
          <w:sz w:val="22"/>
        </w:rPr>
        <w:t>Néstor Iván Garavito Rodríguez</w:t>
      </w:r>
    </w:p>
    <w:p w:rsidRPr="001B0D3D" w:rsidR="00C33A69" w:rsidP="00C33A69" w:rsidRDefault="00F35993" w14:paraId="3BB8E2E5" w14:textId="1700E168">
      <w:pPr>
        <w:rPr>
          <w:rFonts w:ascii="Arial" w:hAnsi="Arial" w:eastAsia="Calibri" w:cs="Arial"/>
          <w:color w:val="000000" w:themeColor="text1"/>
          <w:sz w:val="22"/>
        </w:rPr>
      </w:pPr>
      <w:r>
        <w:rPr>
          <w:rFonts w:ascii="Arial" w:hAnsi="Arial" w:eastAsia="Calibri" w:cs="Arial"/>
          <w:color w:val="000000" w:themeColor="text1"/>
          <w:sz w:val="22"/>
        </w:rPr>
        <w:t>Soacha, Cundinamarca</w:t>
      </w:r>
    </w:p>
    <w:p w:rsidRPr="001B0D3D" w:rsidR="00C33A69" w:rsidP="00C33A69" w:rsidRDefault="00C33A69" w14:paraId="3EE54747" w14:textId="77777777">
      <w:pPr>
        <w:rPr>
          <w:rFonts w:ascii="Arial" w:hAnsi="Arial" w:eastAsia="Calibri" w:cs="Arial"/>
          <w:color w:val="000000" w:themeColor="text1"/>
          <w:sz w:val="22"/>
        </w:rPr>
      </w:pPr>
    </w:p>
    <w:p w:rsidRPr="001B0D3D" w:rsidR="00667FCB" w:rsidP="00667FCB" w:rsidRDefault="00667FCB" w14:paraId="5A1EF225" w14:textId="77777777">
      <w:pPr>
        <w:rPr>
          <w:rFonts w:ascii="Arial" w:hAnsi="Arial" w:eastAsia="Calibri" w:cs="Arial"/>
          <w:b/>
          <w:color w:val="000000" w:themeColor="text1"/>
          <w:sz w:val="22"/>
        </w:rPr>
      </w:pPr>
    </w:p>
    <w:p w:rsidRPr="001B0D3D" w:rsidR="00C33A69" w:rsidP="006C0EA1" w:rsidRDefault="0034413B" w14:paraId="110710E1" w14:textId="4DF8D5DA">
      <w:pPr>
        <w:rPr>
          <w:rFonts w:ascii="Arial" w:hAnsi="Arial" w:eastAsia="Calibri" w:cs="Arial"/>
          <w:b/>
          <w:color w:val="000000" w:themeColor="text1"/>
          <w:sz w:val="22"/>
        </w:rPr>
      </w:pPr>
      <w:r>
        <w:rPr>
          <w:rFonts w:ascii="Arial" w:hAnsi="Arial" w:eastAsia="Calibri" w:cs="Arial"/>
          <w:b/>
          <w:color w:val="000000" w:themeColor="text1"/>
          <w:sz w:val="22"/>
        </w:rPr>
        <w:t xml:space="preserve">                                         </w:t>
      </w:r>
      <w:r w:rsidR="00945539">
        <w:rPr>
          <w:rFonts w:ascii="Arial" w:hAnsi="Arial" w:eastAsia="Calibri" w:cs="Arial"/>
          <w:b/>
          <w:color w:val="000000" w:themeColor="text1"/>
          <w:sz w:val="22"/>
        </w:rPr>
        <w:t xml:space="preserve"> </w:t>
      </w:r>
      <w:r w:rsidR="00C33A69">
        <w:rPr>
          <w:rFonts w:ascii="Arial" w:hAnsi="Arial" w:eastAsia="Calibri" w:cs="Arial"/>
          <w:b/>
          <w:color w:val="000000" w:themeColor="text1"/>
          <w:sz w:val="22"/>
        </w:rPr>
        <w:t>Concepto C</w:t>
      </w:r>
      <w:r w:rsidR="00A5202C">
        <w:rPr>
          <w:rFonts w:ascii="Arial" w:hAnsi="Arial" w:eastAsia="Calibri" w:cs="Arial"/>
          <w:b/>
          <w:color w:val="000000" w:themeColor="text1"/>
          <w:sz w:val="22"/>
        </w:rPr>
        <w:t xml:space="preserve"> – </w:t>
      </w:r>
      <w:r w:rsidR="00F35993">
        <w:rPr>
          <w:rFonts w:ascii="Arial" w:hAnsi="Arial" w:eastAsia="Calibri" w:cs="Arial"/>
          <w:b/>
          <w:color w:val="000000" w:themeColor="text1"/>
          <w:sz w:val="22"/>
        </w:rPr>
        <w:t>229</w:t>
      </w:r>
      <w:r w:rsidR="00C33A69">
        <w:rPr>
          <w:rFonts w:ascii="Arial" w:hAnsi="Arial" w:eastAsia="Calibri" w:cs="Arial"/>
          <w:b/>
          <w:color w:val="000000" w:themeColor="text1"/>
          <w:sz w:val="22"/>
        </w:rPr>
        <w:t xml:space="preserve"> de 202</w:t>
      </w:r>
      <w:r w:rsidR="00F35993">
        <w:rPr>
          <w:rFonts w:ascii="Arial" w:hAnsi="Arial" w:eastAsia="Calibri" w:cs="Arial"/>
          <w:b/>
          <w:color w:val="000000" w:themeColor="text1"/>
          <w:sz w:val="22"/>
        </w:rPr>
        <w:t>2</w:t>
      </w:r>
      <w:r w:rsidR="00C33A69">
        <w:rPr>
          <w:rFonts w:ascii="Arial" w:hAnsi="Arial" w:eastAsia="Calibri" w:cs="Arial"/>
          <w:b/>
          <w:color w:val="000000" w:themeColor="text1"/>
          <w:sz w:val="22"/>
        </w:rPr>
        <w:t xml:space="preserve"> </w:t>
      </w:r>
    </w:p>
    <w:p w:rsidRPr="001B0D3D" w:rsidR="00DC37CA" w:rsidP="002F0981" w:rsidRDefault="00DC37CA" w14:paraId="02E02EF8" w14:textId="77777777">
      <w:pPr>
        <w:rPr>
          <w:rFonts w:ascii="Arial" w:hAnsi="Arial" w:eastAsia="Calibri" w:cs="Arial"/>
          <w:b/>
          <w:color w:val="000000" w:themeColor="text1"/>
          <w:sz w:val="22"/>
        </w:rPr>
      </w:pPr>
    </w:p>
    <w:tbl>
      <w:tblPr>
        <w:tblStyle w:val="Tablaconcuadrcula"/>
        <w:tblW w:w="878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547"/>
        <w:gridCol w:w="6237"/>
      </w:tblGrid>
      <w:tr w:rsidRPr="0063204C" w:rsidR="00C33A69" w:rsidTr="002F0981" w14:paraId="098B1F4D" w14:textId="77777777">
        <w:trPr>
          <w:trHeight w:val="822"/>
        </w:trPr>
        <w:tc>
          <w:tcPr>
            <w:tcW w:w="2547" w:type="dxa"/>
          </w:tcPr>
          <w:p w:rsidRPr="00A7611A" w:rsidR="00427B0F" w:rsidP="00A7611A" w:rsidRDefault="00C33A69" w14:paraId="2C2F28D5" w14:textId="18000E43">
            <w:pPr>
              <w:pStyle w:val="Textoindependiente"/>
              <w:spacing w:line="276" w:lineRule="auto"/>
              <w:jc w:val="both"/>
              <w:rPr>
                <w:rFonts w:eastAsia="Calibri"/>
                <w:b/>
                <w:bCs/>
                <w:sz w:val="22"/>
                <w:szCs w:val="22"/>
                <w:lang w:val="es-CO"/>
              </w:rPr>
            </w:pPr>
            <w:r w:rsidRPr="00A7611A">
              <w:rPr>
                <w:rFonts w:eastAsia="Calibri"/>
                <w:b/>
                <w:color w:val="000000" w:themeColor="text1"/>
                <w:sz w:val="22"/>
                <w:szCs w:val="22"/>
              </w:rPr>
              <w:t>Temas:</w:t>
            </w:r>
          </w:p>
          <w:p w:rsidRPr="00A7611A" w:rsidR="00427B0F" w:rsidP="00A7611A" w:rsidRDefault="00427B0F" w14:paraId="080DD47C" w14:textId="283E3611">
            <w:pPr>
              <w:pStyle w:val="Textoindependiente"/>
              <w:spacing w:line="276" w:lineRule="auto"/>
              <w:jc w:val="both"/>
              <w:rPr>
                <w:rFonts w:eastAsia="Calibri"/>
                <w:b/>
                <w:bCs/>
                <w:sz w:val="22"/>
                <w:szCs w:val="22"/>
                <w:lang w:val="es-CO"/>
              </w:rPr>
            </w:pPr>
          </w:p>
          <w:p w:rsidRPr="00A7611A" w:rsidR="00C33A69" w:rsidP="00A7611A" w:rsidRDefault="00C33A69" w14:paraId="5400FE7E" w14:textId="159D5D76">
            <w:pPr>
              <w:jc w:val="both"/>
              <w:rPr>
                <w:rFonts w:ascii="Arial" w:hAnsi="Arial" w:eastAsia="Calibri" w:cs="Arial"/>
                <w:color w:val="000000" w:themeColor="text1"/>
              </w:rPr>
            </w:pPr>
            <w:r w:rsidRPr="00A7611A">
              <w:rPr>
                <w:rFonts w:ascii="Arial" w:hAnsi="Arial" w:eastAsia="Calibri" w:cs="Arial"/>
                <w:color w:val="000000" w:themeColor="text1"/>
              </w:rPr>
              <w:t xml:space="preserve">        </w:t>
            </w:r>
          </w:p>
        </w:tc>
        <w:tc>
          <w:tcPr>
            <w:tcW w:w="6237" w:type="dxa"/>
          </w:tcPr>
          <w:p w:rsidRPr="00F35993" w:rsidR="00431D72" w:rsidP="002F0981" w:rsidRDefault="003E7318" w14:paraId="61836A1F" w14:textId="48E01E51">
            <w:pPr>
              <w:pStyle w:val="Textoindependiente"/>
              <w:spacing w:after="120" w:line="276" w:lineRule="auto"/>
              <w:jc w:val="both"/>
              <w:rPr>
                <w:rFonts w:eastAsia="Calibri"/>
                <w:bCs/>
                <w:color w:val="000000" w:themeColor="text1"/>
                <w:sz w:val="22"/>
                <w:szCs w:val="22"/>
                <w:highlight w:val="yellow"/>
              </w:rPr>
            </w:pPr>
            <w:r w:rsidRPr="003E7318">
              <w:rPr>
                <w:rFonts w:eastAsia="Calibri"/>
                <w:bCs/>
                <w:color w:val="000000" w:themeColor="text1"/>
                <w:sz w:val="22"/>
                <w:szCs w:val="22"/>
              </w:rPr>
              <w:t>LEY DE GARANTÍAS – Tipos de restricciones ‒ Ámbito temporal</w:t>
            </w:r>
            <w:r>
              <w:rPr>
                <w:rFonts w:eastAsia="Calibri"/>
                <w:bCs/>
                <w:color w:val="000000" w:themeColor="text1"/>
                <w:sz w:val="22"/>
                <w:szCs w:val="22"/>
              </w:rPr>
              <w:t xml:space="preserve"> </w:t>
            </w:r>
            <w:r w:rsidRPr="00B6199E" w:rsidR="00A7611A">
              <w:rPr>
                <w:rFonts w:eastAsia="Calibri"/>
                <w:bCs/>
                <w:color w:val="000000" w:themeColor="text1"/>
                <w:sz w:val="22"/>
                <w:szCs w:val="22"/>
              </w:rPr>
              <w:t xml:space="preserve">/ INSTITUCIONES EDUCATIVAS – </w:t>
            </w:r>
            <w:r w:rsidRPr="00DD3884" w:rsidR="00DD3884">
              <w:rPr>
                <w:rFonts w:eastAsia="Calibri"/>
                <w:bCs/>
                <w:color w:val="000000" w:themeColor="text1"/>
                <w:sz w:val="22"/>
                <w:szCs w:val="22"/>
              </w:rPr>
              <w:t>Fondos de servicios educativos</w:t>
            </w:r>
            <w:r w:rsidRPr="00B6199E" w:rsidR="002F0981">
              <w:rPr>
                <w:rFonts w:eastAsia="Calibri"/>
                <w:bCs/>
                <w:color w:val="000000" w:themeColor="text1"/>
                <w:sz w:val="22"/>
                <w:szCs w:val="22"/>
              </w:rPr>
              <w:t xml:space="preserve"> / DESTINATARIOS – Artículo 33 Ley 996 de 2005 – Ley de Garantías / </w:t>
            </w:r>
            <w:r w:rsidRPr="00B6199E" w:rsidR="00431D72">
              <w:rPr>
                <w:rFonts w:eastAsia="Calibri"/>
                <w:bCs/>
                <w:color w:val="000000" w:themeColor="text1"/>
                <w:sz w:val="22"/>
                <w:szCs w:val="22"/>
              </w:rPr>
              <w:t>DESTINATARIOS – Artículo 38 Ley 996 de 2005 – Ley de Garantías</w:t>
            </w:r>
            <w:r w:rsidRPr="00B6199E" w:rsidR="001F52C0">
              <w:rPr>
                <w:rFonts w:eastAsia="Calibri"/>
                <w:bCs/>
                <w:color w:val="000000" w:themeColor="text1"/>
                <w:sz w:val="22"/>
                <w:szCs w:val="22"/>
              </w:rPr>
              <w:t xml:space="preserve"> / </w:t>
            </w:r>
            <w:r w:rsidRPr="00A82122" w:rsidR="001F52C0">
              <w:rPr>
                <w:rFonts w:eastAsia="Calibri"/>
                <w:sz w:val="22"/>
                <w:szCs w:val="22"/>
              </w:rPr>
              <w:t xml:space="preserve">SECOP – Publicación – Contratos sin erogación presupuestal / </w:t>
            </w:r>
            <w:bookmarkStart w:name="_Hlk100222088" w:id="3"/>
            <w:r w:rsidRPr="00A82122" w:rsidR="001F52C0">
              <w:rPr>
                <w:rFonts w:eastAsia="Calibri"/>
                <w:sz w:val="22"/>
                <w:szCs w:val="22"/>
              </w:rPr>
              <w:t>SECOP – Publicación – Régimen aplicable – Contrato</w:t>
            </w:r>
            <w:r w:rsidR="001F52C0">
              <w:rPr>
                <w:rFonts w:eastAsia="Calibri"/>
                <w:sz w:val="22"/>
                <w:szCs w:val="22"/>
              </w:rPr>
              <w:t xml:space="preserve"> a</w:t>
            </w:r>
            <w:r w:rsidRPr="00A82122" w:rsidR="001F52C0">
              <w:rPr>
                <w:rFonts w:eastAsia="Calibri"/>
                <w:sz w:val="22"/>
                <w:szCs w:val="22"/>
              </w:rPr>
              <w:t>rrendamiento</w:t>
            </w:r>
            <w:r w:rsidRPr="00F35993" w:rsidR="00431D72">
              <w:rPr>
                <w:rFonts w:eastAsia="Calibri"/>
                <w:bCs/>
                <w:color w:val="000000" w:themeColor="text1"/>
                <w:sz w:val="22"/>
                <w:szCs w:val="22"/>
                <w:highlight w:val="yellow"/>
              </w:rPr>
              <w:t xml:space="preserve"> </w:t>
            </w:r>
            <w:bookmarkEnd w:id="3"/>
          </w:p>
        </w:tc>
      </w:tr>
      <w:tr w:rsidRPr="001B0D3D" w:rsidR="00C33A69" w:rsidTr="002F0981" w14:paraId="7050D2D2" w14:textId="77777777">
        <w:tc>
          <w:tcPr>
            <w:tcW w:w="2547" w:type="dxa"/>
          </w:tcPr>
          <w:p w:rsidRPr="00A7611A" w:rsidR="00C33A69" w:rsidP="00A7611A" w:rsidRDefault="00C33A69" w14:paraId="393C8000" w14:textId="77777777">
            <w:pPr>
              <w:jc w:val="both"/>
              <w:rPr>
                <w:rFonts w:ascii="Arial" w:hAnsi="Arial" w:eastAsia="Calibri" w:cs="Arial"/>
                <w:color w:val="000000" w:themeColor="text1"/>
              </w:rPr>
            </w:pPr>
            <w:r w:rsidRPr="00A7611A">
              <w:rPr>
                <w:rFonts w:ascii="Arial" w:hAnsi="Arial" w:eastAsia="Calibri" w:cs="Arial"/>
                <w:b/>
                <w:color w:val="000000" w:themeColor="text1"/>
              </w:rPr>
              <w:t>Radicación:</w:t>
            </w:r>
            <w:r w:rsidRPr="00A7611A">
              <w:rPr>
                <w:rFonts w:ascii="Arial" w:hAnsi="Arial" w:eastAsia="Calibri" w:cs="Arial"/>
                <w:color w:val="000000" w:themeColor="text1"/>
              </w:rPr>
              <w:t xml:space="preserve">                              </w:t>
            </w:r>
          </w:p>
        </w:tc>
        <w:tc>
          <w:tcPr>
            <w:tcW w:w="6237" w:type="dxa"/>
          </w:tcPr>
          <w:p w:rsidRPr="00A7611A" w:rsidR="00C33A69" w:rsidP="00A7611A" w:rsidRDefault="00C33A69" w14:paraId="61074E39" w14:textId="7334D269">
            <w:pPr>
              <w:jc w:val="both"/>
              <w:rPr>
                <w:rFonts w:ascii="Arial" w:hAnsi="Arial" w:eastAsia="Calibri" w:cs="Arial"/>
                <w:color w:val="000000" w:themeColor="text1"/>
              </w:rPr>
            </w:pPr>
            <w:r w:rsidRPr="00A7611A">
              <w:rPr>
                <w:rFonts w:ascii="Arial" w:hAnsi="Arial" w:eastAsia="Calibri" w:cs="Arial"/>
                <w:color w:val="000000" w:themeColor="text1"/>
              </w:rPr>
              <w:t xml:space="preserve">Respuesta a </w:t>
            </w:r>
            <w:r w:rsidR="00F35993">
              <w:rPr>
                <w:rFonts w:ascii="Arial" w:hAnsi="Arial" w:eastAsia="Calibri" w:cs="Arial"/>
                <w:color w:val="000000" w:themeColor="text1"/>
              </w:rPr>
              <w:t xml:space="preserve">la </w:t>
            </w:r>
            <w:r w:rsidRPr="00A7611A">
              <w:rPr>
                <w:rFonts w:ascii="Arial" w:hAnsi="Arial" w:eastAsia="Calibri" w:cs="Arial"/>
                <w:color w:val="000000" w:themeColor="text1"/>
              </w:rPr>
              <w:t>consulta</w:t>
            </w:r>
            <w:r w:rsidR="00F35993">
              <w:rPr>
                <w:rFonts w:ascii="Arial" w:hAnsi="Arial" w:eastAsia="Calibri" w:cs="Arial"/>
                <w:color w:val="000000" w:themeColor="text1"/>
              </w:rPr>
              <w:t xml:space="preserve"> No.</w:t>
            </w:r>
            <w:r w:rsidRPr="00A7611A">
              <w:rPr>
                <w:rFonts w:ascii="Arial" w:hAnsi="Arial" w:eastAsia="Calibri" w:cs="Arial"/>
                <w:color w:val="000000" w:themeColor="text1"/>
              </w:rPr>
              <w:t xml:space="preserve"> </w:t>
            </w:r>
            <w:r w:rsidRPr="00F35993" w:rsidR="00F35993">
              <w:rPr>
                <w:rFonts w:ascii="Arial" w:hAnsi="Arial" w:eastAsia="Calibri" w:cs="Arial"/>
                <w:color w:val="000000" w:themeColor="text1"/>
              </w:rPr>
              <w:t>P20220311002464</w:t>
            </w:r>
          </w:p>
        </w:tc>
      </w:tr>
    </w:tbl>
    <w:p w:rsidR="00C33A69" w:rsidP="00C33A69" w:rsidRDefault="00C33A69" w14:paraId="67B4B4A1" w14:textId="77777777">
      <w:pPr>
        <w:spacing w:line="276" w:lineRule="auto"/>
        <w:rPr>
          <w:rFonts w:ascii="Arial" w:hAnsi="Arial" w:eastAsia="Calibri" w:cs="Arial"/>
          <w:color w:val="000000" w:themeColor="text1"/>
          <w:sz w:val="22"/>
        </w:rPr>
      </w:pPr>
    </w:p>
    <w:p w:rsidRPr="001B0D3D" w:rsidR="00C33A69" w:rsidP="00C33A69" w:rsidRDefault="00C33A69" w14:paraId="1A826586" w14:textId="77777777">
      <w:pPr>
        <w:spacing w:line="276" w:lineRule="auto"/>
        <w:rPr>
          <w:rFonts w:ascii="Arial" w:hAnsi="Arial" w:eastAsia="Calibri" w:cs="Arial"/>
          <w:color w:val="000000" w:themeColor="text1"/>
          <w:sz w:val="22"/>
        </w:rPr>
      </w:pPr>
    </w:p>
    <w:p w:rsidRPr="001B0D3D" w:rsidR="00C33A69" w:rsidP="00C33A69" w:rsidRDefault="00C33A69" w14:paraId="177D81C6" w14:textId="1A47C079">
      <w:pPr>
        <w:tabs>
          <w:tab w:val="left" w:pos="3736"/>
        </w:tabs>
        <w:spacing w:line="276" w:lineRule="auto"/>
        <w:rPr>
          <w:rFonts w:ascii="Arial" w:hAnsi="Arial" w:eastAsia="Calibri" w:cs="Arial"/>
          <w:color w:val="000000" w:themeColor="text1"/>
          <w:sz w:val="22"/>
        </w:rPr>
      </w:pPr>
      <w:r w:rsidRPr="001B0D3D">
        <w:rPr>
          <w:rFonts w:ascii="Arial" w:hAnsi="Arial" w:eastAsia="Calibri" w:cs="Arial"/>
          <w:color w:val="000000" w:themeColor="text1"/>
          <w:sz w:val="22"/>
        </w:rPr>
        <w:t>Estimad</w:t>
      </w:r>
      <w:r w:rsidR="00180508">
        <w:rPr>
          <w:rFonts w:ascii="Arial" w:hAnsi="Arial" w:eastAsia="Calibri" w:cs="Arial"/>
          <w:color w:val="000000" w:themeColor="text1"/>
          <w:sz w:val="22"/>
        </w:rPr>
        <w:t>o</w:t>
      </w:r>
      <w:r w:rsidRPr="001B0D3D">
        <w:rPr>
          <w:rFonts w:ascii="Arial" w:hAnsi="Arial" w:eastAsia="Calibri" w:cs="Arial"/>
          <w:color w:val="000000" w:themeColor="text1"/>
          <w:sz w:val="22"/>
        </w:rPr>
        <w:t xml:space="preserve"> señor</w:t>
      </w:r>
      <w:r w:rsidR="0034413B">
        <w:rPr>
          <w:rFonts w:ascii="Arial" w:hAnsi="Arial" w:eastAsia="Calibri" w:cs="Arial"/>
          <w:color w:val="000000" w:themeColor="text1"/>
          <w:sz w:val="22"/>
        </w:rPr>
        <w:t xml:space="preserve"> </w:t>
      </w:r>
      <w:r w:rsidR="00180508">
        <w:rPr>
          <w:rFonts w:ascii="Arial" w:hAnsi="Arial" w:eastAsia="Calibri" w:cs="Arial"/>
          <w:color w:val="000000" w:themeColor="text1"/>
          <w:sz w:val="22"/>
        </w:rPr>
        <w:t>Garavito Rodríguez</w:t>
      </w:r>
      <w:r w:rsidR="0034413B">
        <w:rPr>
          <w:rFonts w:ascii="Arial" w:hAnsi="Arial" w:eastAsia="Calibri" w:cs="Arial"/>
          <w:color w:val="000000" w:themeColor="text1"/>
          <w:sz w:val="22"/>
        </w:rPr>
        <w:t>:</w:t>
      </w:r>
      <w:r w:rsidRPr="001B0D3D">
        <w:rPr>
          <w:rFonts w:ascii="Arial" w:hAnsi="Arial" w:eastAsia="Calibri" w:cs="Arial"/>
          <w:color w:val="000000" w:themeColor="text1"/>
          <w:sz w:val="22"/>
        </w:rPr>
        <w:tab/>
      </w:r>
    </w:p>
    <w:p w:rsidRPr="001B0D3D" w:rsidR="00C33A69" w:rsidP="00C33A69" w:rsidRDefault="00C33A69" w14:paraId="44E85655" w14:textId="77777777">
      <w:pPr>
        <w:spacing w:line="276" w:lineRule="auto"/>
        <w:rPr>
          <w:rFonts w:ascii="Arial" w:hAnsi="Arial" w:eastAsia="Calibri" w:cs="Arial"/>
          <w:color w:val="000000" w:themeColor="text1"/>
          <w:sz w:val="22"/>
        </w:rPr>
      </w:pPr>
    </w:p>
    <w:p w:rsidR="00C33A69" w:rsidP="00D44588" w:rsidRDefault="00154CB4" w14:paraId="0987E0B4" w14:textId="7665AD52">
      <w:pPr>
        <w:pStyle w:val="Prrafodelista"/>
        <w:spacing w:line="276" w:lineRule="auto"/>
        <w:ind w:left="0"/>
        <w:jc w:val="both"/>
        <w:rPr>
          <w:rFonts w:ascii="Arial" w:hAnsi="Arial" w:eastAsia="Calibri" w:cs="Arial"/>
          <w:sz w:val="22"/>
          <w:lang w:val="es-ES_tradnl"/>
        </w:rPr>
      </w:pPr>
      <w:r w:rsidRPr="009C7D09">
        <w:rPr>
          <w:rFonts w:ascii="Arial" w:hAnsi="Arial" w:eastAsia="Calibri" w:cs="Arial"/>
          <w:sz w:val="22"/>
          <w:lang w:val="es-ES_tradnl"/>
        </w:rPr>
        <w:t xml:space="preserve">En ejercicio de la competencia otorgada por </w:t>
      </w:r>
      <w:r w:rsidRPr="00E807B5">
        <w:rPr>
          <w:rFonts w:ascii="Arial" w:hAnsi="Arial" w:eastAsia="Calibri" w:cs="Arial"/>
          <w:color w:val="000000" w:themeColor="text1"/>
          <w:sz w:val="22"/>
          <w:lang w:val="es-ES_tradnl"/>
        </w:rPr>
        <w:t>el numeral 8 del artículo 11 y el numeral 5 del artículo 3 del Decreto Ley 4170 de 2011</w:t>
      </w:r>
      <w:r w:rsidRPr="009C7D09">
        <w:rPr>
          <w:rFonts w:ascii="Arial" w:hAnsi="Arial" w:eastAsia="Calibri" w:cs="Arial"/>
          <w:sz w:val="22"/>
          <w:lang w:val="es-ES_tradnl"/>
        </w:rPr>
        <w:t xml:space="preserve">, la Agencia Nacional de Contratación Pública − Colombia Compra Eficiente responde su consulta del </w:t>
      </w:r>
      <w:r w:rsidR="005F5767">
        <w:rPr>
          <w:rFonts w:ascii="Arial" w:hAnsi="Arial" w:eastAsia="Calibri" w:cs="Arial"/>
          <w:sz w:val="22"/>
          <w:lang w:val="es-ES_tradnl"/>
        </w:rPr>
        <w:t>8</w:t>
      </w:r>
      <w:r w:rsidRPr="009C7D09">
        <w:rPr>
          <w:rFonts w:ascii="Arial" w:hAnsi="Arial" w:eastAsia="Calibri" w:cs="Arial"/>
          <w:sz w:val="22"/>
          <w:lang w:val="es-ES_tradnl"/>
        </w:rPr>
        <w:t xml:space="preserve"> de </w:t>
      </w:r>
      <w:r>
        <w:rPr>
          <w:rFonts w:ascii="Arial" w:hAnsi="Arial" w:eastAsia="Calibri" w:cs="Arial"/>
          <w:sz w:val="22"/>
          <w:lang w:val="es-ES_tradnl"/>
        </w:rPr>
        <w:t>marzo</w:t>
      </w:r>
      <w:r w:rsidRPr="009C7D09">
        <w:rPr>
          <w:rFonts w:ascii="Arial" w:hAnsi="Arial" w:eastAsia="Calibri" w:cs="Arial"/>
          <w:sz w:val="22"/>
          <w:lang w:val="es-ES_tradnl"/>
        </w:rPr>
        <w:t xml:space="preserve"> de 202</w:t>
      </w:r>
      <w:r>
        <w:rPr>
          <w:rFonts w:ascii="Arial" w:hAnsi="Arial" w:eastAsia="Calibri" w:cs="Arial"/>
          <w:sz w:val="22"/>
          <w:lang w:val="es-ES_tradnl"/>
        </w:rPr>
        <w:t>2</w:t>
      </w:r>
      <w:r w:rsidR="00F1545E">
        <w:rPr>
          <w:rFonts w:ascii="Arial" w:hAnsi="Arial" w:eastAsia="Calibri" w:cs="Arial"/>
          <w:sz w:val="22"/>
          <w:lang w:val="es-ES_tradnl"/>
        </w:rPr>
        <w:t xml:space="preserve">, </w:t>
      </w:r>
      <w:r w:rsidR="005F5767">
        <w:rPr>
          <w:rFonts w:ascii="Arial" w:hAnsi="Arial" w:eastAsia="Calibri" w:cs="Arial"/>
          <w:sz w:val="22"/>
          <w:lang w:val="es-ES_tradnl"/>
        </w:rPr>
        <w:t>la cual –</w:t>
      </w:r>
      <w:r w:rsidR="007101FB">
        <w:rPr>
          <w:rFonts w:ascii="Arial" w:hAnsi="Arial" w:eastAsia="Calibri" w:cs="Arial"/>
          <w:sz w:val="22"/>
          <w:lang w:val="es-ES_tradnl"/>
        </w:rPr>
        <w:t>de acuerdo con el</w:t>
      </w:r>
      <w:r w:rsidR="005F5767">
        <w:rPr>
          <w:rFonts w:ascii="Arial" w:hAnsi="Arial" w:eastAsia="Calibri" w:cs="Arial"/>
          <w:sz w:val="22"/>
          <w:lang w:val="es-ES_tradnl"/>
        </w:rPr>
        <w:t xml:space="preserve"> artículo 21 de la Ley 1437 de 2011</w:t>
      </w:r>
      <w:r w:rsidR="00682BB3">
        <w:rPr>
          <w:rFonts w:ascii="Arial" w:hAnsi="Arial" w:eastAsia="Calibri" w:cs="Arial"/>
          <w:sz w:val="22"/>
          <w:lang w:val="es-ES_tradnl"/>
        </w:rPr>
        <w:t>– fue</w:t>
      </w:r>
      <w:r w:rsidR="005F5767">
        <w:rPr>
          <w:rFonts w:ascii="Arial" w:hAnsi="Arial" w:eastAsia="Calibri" w:cs="Arial"/>
          <w:sz w:val="22"/>
          <w:lang w:val="es-ES_tradnl"/>
        </w:rPr>
        <w:t xml:space="preserve"> </w:t>
      </w:r>
      <w:r w:rsidR="00F1545E">
        <w:rPr>
          <w:rFonts w:ascii="Arial" w:hAnsi="Arial" w:eastAsia="Calibri" w:cs="Arial"/>
          <w:sz w:val="22"/>
          <w:lang w:val="es-ES_tradnl"/>
        </w:rPr>
        <w:t xml:space="preserve">remitida por la </w:t>
      </w:r>
      <w:r w:rsidR="00F05354">
        <w:rPr>
          <w:rFonts w:ascii="Arial" w:hAnsi="Arial" w:eastAsia="Calibri" w:cs="Arial"/>
          <w:sz w:val="22"/>
          <w:lang w:val="es-ES_tradnl"/>
        </w:rPr>
        <w:t xml:space="preserve">Auditoría General de la República mediante oficio con radicado No. </w:t>
      </w:r>
      <w:r w:rsidRPr="00F05354" w:rsidR="00F05354">
        <w:rPr>
          <w:rFonts w:ascii="Arial" w:hAnsi="Arial" w:eastAsia="Calibri" w:cs="Arial"/>
          <w:sz w:val="22"/>
          <w:lang w:val="es-CO"/>
        </w:rPr>
        <w:t>20222100007781</w:t>
      </w:r>
      <w:r w:rsidR="00F05354">
        <w:rPr>
          <w:rFonts w:ascii="Arial" w:hAnsi="Arial" w:eastAsia="Calibri" w:cs="Arial"/>
          <w:sz w:val="22"/>
          <w:lang w:val="es-CO"/>
        </w:rPr>
        <w:t xml:space="preserve"> </w:t>
      </w:r>
      <w:r w:rsidR="00EB6AFF">
        <w:rPr>
          <w:rFonts w:ascii="Arial" w:hAnsi="Arial" w:eastAsia="Calibri" w:cs="Arial"/>
          <w:sz w:val="22"/>
          <w:lang w:val="es-CO"/>
        </w:rPr>
        <w:t>del 11 de marzo de 2022</w:t>
      </w:r>
      <w:r w:rsidR="00F05354">
        <w:rPr>
          <w:rFonts w:ascii="Arial" w:hAnsi="Arial" w:eastAsia="Calibri" w:cs="Arial"/>
          <w:sz w:val="22"/>
          <w:lang w:val="es-CO"/>
        </w:rPr>
        <w:t xml:space="preserve">. </w:t>
      </w:r>
    </w:p>
    <w:p w:rsidRPr="001B0D3D" w:rsidR="00154CB4" w:rsidP="00C33A69" w:rsidRDefault="00154CB4" w14:paraId="585EEBB2" w14:textId="77777777">
      <w:pPr>
        <w:pStyle w:val="Prrafodelista"/>
        <w:spacing w:line="276" w:lineRule="auto"/>
        <w:ind w:left="0"/>
        <w:rPr>
          <w:rFonts w:ascii="Arial" w:hAnsi="Arial" w:eastAsia="Calibri" w:cs="Arial"/>
          <w:color w:val="000000" w:themeColor="text1"/>
          <w:sz w:val="22"/>
        </w:rPr>
      </w:pPr>
    </w:p>
    <w:p w:rsidRPr="006C0EA1" w:rsidR="003C1F96" w:rsidP="006C0EA1" w:rsidRDefault="0034413B" w14:paraId="6238CC02" w14:textId="74DA49BC">
      <w:pPr>
        <w:tabs>
          <w:tab w:val="left" w:pos="0"/>
        </w:tabs>
        <w:spacing w:line="276" w:lineRule="auto"/>
        <w:jc w:val="both"/>
        <w:rPr>
          <w:rFonts w:ascii="Arial" w:hAnsi="Arial" w:eastAsia="Calibri" w:cs="Arial"/>
          <w:b/>
          <w:color w:val="000000" w:themeColor="text1"/>
          <w:sz w:val="22"/>
        </w:rPr>
      </w:pPr>
      <w:r>
        <w:rPr>
          <w:rFonts w:ascii="Arial" w:hAnsi="Arial" w:eastAsia="Calibri" w:cs="Arial"/>
          <w:b/>
          <w:color w:val="000000" w:themeColor="text1"/>
          <w:sz w:val="22"/>
        </w:rPr>
        <w:t xml:space="preserve">1. </w:t>
      </w:r>
      <w:r w:rsidRPr="006C0EA1" w:rsidR="00C33A69">
        <w:rPr>
          <w:rFonts w:ascii="Arial" w:hAnsi="Arial" w:eastAsia="Calibri" w:cs="Arial"/>
          <w:b/>
          <w:color w:val="000000" w:themeColor="text1"/>
          <w:sz w:val="22"/>
        </w:rPr>
        <w:t>Problema</w:t>
      </w:r>
      <w:r w:rsidR="001766B3">
        <w:rPr>
          <w:rFonts w:ascii="Arial" w:hAnsi="Arial" w:eastAsia="Calibri" w:cs="Arial"/>
          <w:b/>
          <w:color w:val="000000" w:themeColor="text1"/>
          <w:sz w:val="22"/>
        </w:rPr>
        <w:t>s</w:t>
      </w:r>
      <w:r w:rsidRPr="006C0EA1" w:rsidR="00C33A69">
        <w:rPr>
          <w:rFonts w:ascii="Arial" w:hAnsi="Arial" w:eastAsia="Calibri" w:cs="Arial"/>
          <w:b/>
          <w:color w:val="000000" w:themeColor="text1"/>
          <w:sz w:val="22"/>
        </w:rPr>
        <w:t xml:space="preserve"> planteado</w:t>
      </w:r>
      <w:r w:rsidR="001766B3">
        <w:rPr>
          <w:rFonts w:ascii="Arial" w:hAnsi="Arial" w:eastAsia="Calibri" w:cs="Arial"/>
          <w:b/>
          <w:color w:val="000000" w:themeColor="text1"/>
          <w:sz w:val="22"/>
        </w:rPr>
        <w:t>s</w:t>
      </w:r>
    </w:p>
    <w:p w:rsidRPr="0093085B" w:rsidR="003C1F96" w:rsidP="0093085B" w:rsidRDefault="003C1F96" w14:paraId="6C91C2D0" w14:textId="77777777">
      <w:pPr>
        <w:rPr>
          <w:rFonts w:ascii="Arial" w:hAnsi="Arial" w:eastAsia="Calibri" w:cs="Arial"/>
          <w:color w:val="000000" w:themeColor="text1"/>
          <w:sz w:val="22"/>
        </w:rPr>
      </w:pPr>
    </w:p>
    <w:p w:rsidRPr="00FD7DA9" w:rsidR="00C33A69" w:rsidP="00FD7DA9" w:rsidRDefault="00C33A69" w14:paraId="4263F57D" w14:textId="16DF01DB">
      <w:pPr>
        <w:spacing w:line="276" w:lineRule="auto"/>
        <w:jc w:val="both"/>
        <w:rPr>
          <w:rFonts w:eastAsia="Calibri"/>
          <w:b/>
          <w:color w:val="000000" w:themeColor="text1"/>
          <w:sz w:val="22"/>
          <w:szCs w:val="22"/>
        </w:rPr>
      </w:pPr>
      <w:r w:rsidRPr="00D32AAE">
        <w:rPr>
          <w:rFonts w:ascii="Arial" w:hAnsi="Arial" w:eastAsia="Calibri" w:cs="Arial"/>
          <w:sz w:val="22"/>
          <w:szCs w:val="22"/>
        </w:rPr>
        <w:t xml:space="preserve">Usted </w:t>
      </w:r>
      <w:r w:rsidRPr="00D32AAE" w:rsidR="001766B3">
        <w:rPr>
          <w:rFonts w:ascii="Arial" w:hAnsi="Arial" w:eastAsia="Calibri" w:cs="Arial"/>
          <w:sz w:val="22"/>
          <w:szCs w:val="22"/>
        </w:rPr>
        <w:t xml:space="preserve">realiza </w:t>
      </w:r>
      <w:r w:rsidRPr="00D32AAE" w:rsidR="003C1F96">
        <w:rPr>
          <w:rFonts w:ascii="Arial" w:hAnsi="Arial" w:eastAsia="Calibri" w:cs="Arial"/>
          <w:sz w:val="22"/>
          <w:szCs w:val="22"/>
        </w:rPr>
        <w:t>la</w:t>
      </w:r>
      <w:r w:rsidRPr="00D32AAE" w:rsidR="00345D8E">
        <w:rPr>
          <w:rFonts w:ascii="Arial" w:hAnsi="Arial" w:eastAsia="Calibri" w:cs="Arial"/>
          <w:sz w:val="22"/>
          <w:szCs w:val="22"/>
        </w:rPr>
        <w:t>s</w:t>
      </w:r>
      <w:r w:rsidRPr="00D32AAE" w:rsidR="003C1F96">
        <w:rPr>
          <w:rFonts w:ascii="Arial" w:hAnsi="Arial" w:eastAsia="Calibri" w:cs="Arial"/>
          <w:sz w:val="22"/>
          <w:szCs w:val="22"/>
        </w:rPr>
        <w:t xml:space="preserve"> siguiente</w:t>
      </w:r>
      <w:r w:rsidRPr="00D32AAE" w:rsidR="00345D8E">
        <w:rPr>
          <w:rFonts w:ascii="Arial" w:hAnsi="Arial" w:eastAsia="Calibri" w:cs="Arial"/>
          <w:sz w:val="22"/>
          <w:szCs w:val="22"/>
        </w:rPr>
        <w:t>s</w:t>
      </w:r>
      <w:r w:rsidRPr="00D32AAE" w:rsidR="003C1F96">
        <w:rPr>
          <w:rFonts w:ascii="Arial" w:hAnsi="Arial" w:eastAsia="Calibri" w:cs="Arial"/>
          <w:sz w:val="22"/>
          <w:szCs w:val="22"/>
        </w:rPr>
        <w:t xml:space="preserve"> pregunta</w:t>
      </w:r>
      <w:r w:rsidRPr="00D32AAE" w:rsidR="00345D8E">
        <w:rPr>
          <w:rFonts w:ascii="Arial" w:hAnsi="Arial" w:eastAsia="Calibri" w:cs="Arial"/>
          <w:sz w:val="22"/>
          <w:szCs w:val="22"/>
        </w:rPr>
        <w:t>s</w:t>
      </w:r>
      <w:r w:rsidRPr="00D32AAE" w:rsidR="003C1F96">
        <w:rPr>
          <w:rFonts w:ascii="Arial" w:hAnsi="Arial" w:eastAsia="Calibri" w:cs="Arial"/>
          <w:sz w:val="22"/>
          <w:szCs w:val="22"/>
        </w:rPr>
        <w:t>:</w:t>
      </w:r>
      <w:r w:rsidRPr="00D32AAE" w:rsidR="00B04C7A">
        <w:rPr>
          <w:rFonts w:ascii="Arial" w:hAnsi="Arial" w:eastAsia="Calibri" w:cs="Arial"/>
          <w:sz w:val="22"/>
          <w:szCs w:val="22"/>
        </w:rPr>
        <w:t xml:space="preserve"> </w:t>
      </w:r>
      <w:r w:rsidRPr="00FD7DA9" w:rsidR="00416853">
        <w:rPr>
          <w:rFonts w:ascii="Arial" w:hAnsi="Arial" w:eastAsia="Calibri" w:cs="Arial"/>
          <w:sz w:val="22"/>
          <w:szCs w:val="22"/>
        </w:rPr>
        <w:t>i) «</w:t>
      </w:r>
      <w:r w:rsidRPr="00FD7DA9" w:rsidR="00B52F4A">
        <w:rPr>
          <w:rFonts w:ascii="Arial" w:hAnsi="Arial" w:eastAsia="Calibri" w:cs="Arial"/>
          <w:sz w:val="22"/>
          <w:szCs w:val="22"/>
        </w:rPr>
        <w:t>¿</w:t>
      </w:r>
      <w:r w:rsidRPr="00FD7DA9" w:rsidR="00B04C7A">
        <w:rPr>
          <w:rFonts w:ascii="Arial" w:hAnsi="Arial" w:eastAsia="Calibri" w:cs="Arial"/>
          <w:sz w:val="22"/>
          <w:szCs w:val="22"/>
        </w:rPr>
        <w:t>A través de los fondos de servicios educativos (FSE) y dando aplicación al manual establecido por el Consejo Directivo se puede realizar contratación en Ley de Garantías</w:t>
      </w:r>
      <w:r w:rsidRPr="00FD7DA9" w:rsidR="000B58B4">
        <w:rPr>
          <w:rFonts w:ascii="Arial" w:hAnsi="Arial" w:eastAsia="Calibri" w:cs="Arial"/>
          <w:sz w:val="22"/>
          <w:szCs w:val="22"/>
        </w:rPr>
        <w:t>?</w:t>
      </w:r>
      <w:r w:rsidRPr="00FD7DA9" w:rsidR="00416853">
        <w:rPr>
          <w:rFonts w:ascii="Arial" w:hAnsi="Arial" w:eastAsia="Calibri" w:cs="Arial"/>
          <w:sz w:val="22"/>
          <w:szCs w:val="22"/>
        </w:rPr>
        <w:t>»</w:t>
      </w:r>
      <w:r w:rsidRPr="00FD7DA9" w:rsidR="0096352F">
        <w:rPr>
          <w:rFonts w:ascii="Arial" w:hAnsi="Arial" w:eastAsia="Calibri" w:cs="Arial"/>
          <w:sz w:val="22"/>
          <w:szCs w:val="22"/>
        </w:rPr>
        <w:t>, ii) «</w:t>
      </w:r>
      <w:r w:rsidRPr="00FD7DA9" w:rsidR="00B52F4A">
        <w:rPr>
          <w:rFonts w:ascii="Arial" w:hAnsi="Arial" w:eastAsia="Calibri" w:cs="Arial"/>
          <w:sz w:val="22"/>
          <w:szCs w:val="22"/>
        </w:rPr>
        <w:t>¿</w:t>
      </w:r>
      <w:r w:rsidRPr="00FD7DA9" w:rsidR="000B58B4">
        <w:rPr>
          <w:rFonts w:ascii="Arial" w:hAnsi="Arial" w:eastAsia="Calibri" w:cs="Arial"/>
          <w:sz w:val="22"/>
          <w:szCs w:val="22"/>
        </w:rPr>
        <w:t>El procedimiento establecido por el Consejo Directivo determina invitación pública a través de la cartelera institucional a presentar ofertas, se puede dar aplicación a este procedimiento en la contratación en Ley de garantías?</w:t>
      </w:r>
      <w:r w:rsidRPr="00FD7DA9" w:rsidR="0096352F">
        <w:rPr>
          <w:rFonts w:ascii="Arial" w:hAnsi="Arial" w:eastAsia="Calibri" w:cs="Arial"/>
          <w:sz w:val="22"/>
          <w:szCs w:val="22"/>
        </w:rPr>
        <w:t xml:space="preserve">», </w:t>
      </w:r>
      <w:proofErr w:type="spellStart"/>
      <w:r w:rsidRPr="00FD7DA9" w:rsidR="0096352F">
        <w:rPr>
          <w:rFonts w:ascii="Arial" w:hAnsi="Arial" w:eastAsia="Calibri" w:cs="Arial"/>
          <w:sz w:val="22"/>
          <w:szCs w:val="22"/>
        </w:rPr>
        <w:t>iii</w:t>
      </w:r>
      <w:proofErr w:type="spellEnd"/>
      <w:r w:rsidRPr="00FD7DA9" w:rsidR="0096352F">
        <w:rPr>
          <w:rFonts w:ascii="Arial" w:hAnsi="Arial" w:eastAsia="Calibri" w:cs="Arial"/>
          <w:sz w:val="22"/>
          <w:szCs w:val="22"/>
        </w:rPr>
        <w:t xml:space="preserve">) </w:t>
      </w:r>
      <w:r w:rsidRPr="00FD7DA9" w:rsidR="00BB5C5D">
        <w:rPr>
          <w:rFonts w:ascii="Arial" w:hAnsi="Arial" w:eastAsia="Calibri" w:cs="Arial"/>
          <w:sz w:val="22"/>
          <w:szCs w:val="22"/>
        </w:rPr>
        <w:t xml:space="preserve">La institución requiere entregar un espacio de la institución en arriendo para el funcionamiento en la tienda escolar. </w:t>
      </w:r>
      <w:r w:rsidRPr="00FD7DA9" w:rsidR="00E53C0D">
        <w:rPr>
          <w:rFonts w:ascii="Arial" w:hAnsi="Arial" w:eastAsia="Calibri" w:cs="Arial"/>
          <w:sz w:val="22"/>
          <w:szCs w:val="22"/>
        </w:rPr>
        <w:t>¿</w:t>
      </w:r>
      <w:r w:rsidRPr="00FD7DA9" w:rsidR="00BB5C5D">
        <w:rPr>
          <w:rFonts w:ascii="Arial" w:hAnsi="Arial" w:eastAsia="Calibri" w:cs="Arial"/>
          <w:sz w:val="22"/>
          <w:szCs w:val="22"/>
        </w:rPr>
        <w:t>Aplica para los arriendos la Ley de garantías?</w:t>
      </w:r>
      <w:r w:rsidRPr="00FD7DA9" w:rsidR="0096352F">
        <w:rPr>
          <w:rFonts w:ascii="Arial" w:hAnsi="Arial" w:eastAsia="Calibri" w:cs="Arial"/>
          <w:sz w:val="22"/>
          <w:szCs w:val="22"/>
        </w:rPr>
        <w:t>»</w:t>
      </w:r>
      <w:r w:rsidRPr="00FD7DA9" w:rsidR="0096352F">
        <w:rPr>
          <w:rFonts w:ascii="Arial" w:hAnsi="Arial" w:cs="Arial"/>
          <w:sz w:val="22"/>
          <w:szCs w:val="22"/>
        </w:rPr>
        <w:t xml:space="preserve">, </w:t>
      </w:r>
      <w:proofErr w:type="spellStart"/>
      <w:r w:rsidRPr="00FD7DA9" w:rsidR="0096352F">
        <w:rPr>
          <w:rFonts w:ascii="Arial" w:hAnsi="Arial" w:cs="Arial"/>
          <w:sz w:val="22"/>
          <w:szCs w:val="22"/>
        </w:rPr>
        <w:t>i</w:t>
      </w:r>
      <w:r w:rsidRPr="00FD7DA9" w:rsidR="00447389">
        <w:rPr>
          <w:rFonts w:ascii="Arial" w:hAnsi="Arial" w:cs="Arial"/>
          <w:sz w:val="22"/>
          <w:szCs w:val="22"/>
        </w:rPr>
        <w:t>v</w:t>
      </w:r>
      <w:proofErr w:type="spellEnd"/>
      <w:r w:rsidRPr="00FD7DA9" w:rsidR="00447389">
        <w:rPr>
          <w:rFonts w:ascii="Arial" w:hAnsi="Arial" w:cs="Arial"/>
          <w:sz w:val="22"/>
          <w:szCs w:val="22"/>
        </w:rPr>
        <w:t>) «</w:t>
      </w:r>
      <w:r w:rsidRPr="00FD7DA9" w:rsidR="00B52F4A">
        <w:rPr>
          <w:rFonts w:ascii="Arial" w:hAnsi="Arial" w:cs="Arial"/>
          <w:sz w:val="22"/>
          <w:szCs w:val="22"/>
        </w:rPr>
        <w:t>¿l</w:t>
      </w:r>
      <w:r w:rsidRPr="00FD7DA9" w:rsidR="00BB5C5D">
        <w:rPr>
          <w:rFonts w:ascii="Arial" w:hAnsi="Arial" w:cs="Arial"/>
          <w:sz w:val="22"/>
          <w:szCs w:val="22"/>
        </w:rPr>
        <w:t>os contratos de espacios que se dan en arrendamientos se deben publicar en el SECOP?</w:t>
      </w:r>
      <w:r w:rsidRPr="00FD7DA9" w:rsidR="00447389">
        <w:rPr>
          <w:rFonts w:ascii="Arial" w:hAnsi="Arial" w:cs="Arial"/>
          <w:sz w:val="22"/>
          <w:szCs w:val="22"/>
        </w:rPr>
        <w:t>»</w:t>
      </w:r>
      <w:r w:rsidRPr="00FD7DA9" w:rsidR="009553CA">
        <w:rPr>
          <w:rFonts w:ascii="Arial" w:hAnsi="Arial" w:cs="Arial"/>
          <w:sz w:val="22"/>
          <w:szCs w:val="22"/>
        </w:rPr>
        <w:t>.</w:t>
      </w:r>
    </w:p>
    <w:p w:rsidRPr="001B0D3D" w:rsidR="00DC37CA" w:rsidP="0093085B" w:rsidRDefault="00DC37CA" w14:paraId="789863AA" w14:textId="77777777">
      <w:pPr>
        <w:rPr>
          <w:rFonts w:ascii="Arial" w:hAnsi="Arial" w:eastAsia="Calibri" w:cs="Arial"/>
          <w:b/>
          <w:color w:val="000000" w:themeColor="text1"/>
          <w:sz w:val="22"/>
        </w:rPr>
      </w:pPr>
    </w:p>
    <w:p w:rsidR="00A373E3" w:rsidP="006C0EA1" w:rsidRDefault="0034413B" w14:paraId="3A26C5B2" w14:textId="27EEF51C">
      <w:pPr>
        <w:spacing w:line="276" w:lineRule="auto"/>
        <w:jc w:val="both"/>
        <w:rPr>
          <w:rFonts w:ascii="Arial" w:hAnsi="Arial" w:eastAsia="Calibri" w:cs="Arial"/>
          <w:color w:val="000000" w:themeColor="text1"/>
          <w:sz w:val="22"/>
        </w:rPr>
      </w:pPr>
      <w:r>
        <w:rPr>
          <w:rFonts w:ascii="Arial" w:hAnsi="Arial" w:eastAsia="Calibri" w:cs="Arial"/>
          <w:b/>
          <w:color w:val="000000" w:themeColor="text1"/>
          <w:sz w:val="22"/>
        </w:rPr>
        <w:t xml:space="preserve">2. </w:t>
      </w:r>
      <w:r w:rsidRPr="006C0EA1" w:rsidR="00C33A69">
        <w:rPr>
          <w:rFonts w:ascii="Arial" w:hAnsi="Arial" w:eastAsia="Calibri" w:cs="Arial"/>
          <w:b/>
          <w:color w:val="000000" w:themeColor="text1"/>
          <w:sz w:val="22"/>
        </w:rPr>
        <w:t>Consideraciones</w:t>
      </w:r>
    </w:p>
    <w:p w:rsidR="00A373E3" w:rsidP="006C0EA1" w:rsidRDefault="00A373E3" w14:paraId="197AFEF4" w14:textId="1E938420">
      <w:pPr>
        <w:spacing w:line="276" w:lineRule="auto"/>
        <w:jc w:val="both"/>
        <w:rPr>
          <w:rFonts w:ascii="Arial" w:hAnsi="Arial" w:eastAsia="Calibri" w:cs="Arial"/>
          <w:color w:val="000000" w:themeColor="text1"/>
          <w:sz w:val="22"/>
        </w:rPr>
      </w:pPr>
    </w:p>
    <w:p w:rsidRPr="00A23BDA" w:rsidR="00A23BDA" w:rsidP="00FD7DA9" w:rsidRDefault="00A23BDA" w14:paraId="7D372B1E" w14:textId="77777777">
      <w:pPr>
        <w:spacing w:after="120" w:line="276" w:lineRule="auto"/>
        <w:jc w:val="both"/>
        <w:rPr>
          <w:rFonts w:ascii="Arial" w:hAnsi="Arial" w:cs="Arial" w:eastAsiaTheme="minorHAnsi"/>
          <w:bCs/>
          <w:sz w:val="22"/>
          <w:szCs w:val="22"/>
          <w:lang w:val="es-ES" w:eastAsia="en-US"/>
        </w:rPr>
      </w:pPr>
      <w:r w:rsidRPr="00A23BDA">
        <w:rPr>
          <w:rFonts w:ascii="Arial" w:hAnsi="Arial" w:cs="Arial" w:eastAsiaTheme="minorHAnsi"/>
          <w:bCs/>
          <w:sz w:val="22"/>
          <w:szCs w:val="22"/>
          <w:lang w:eastAsia="en-US"/>
        </w:rPr>
        <w:t xml:space="preserve">En ejercicio de las competencias establecidas en los artículos 3.5 y 11.8 del Decreto 4170 de 2011, la Agencia Nacional de Contratación Pública – Colombia Compra Eficiente resuelve consultas sobre </w:t>
      </w:r>
      <w:r w:rsidRPr="00A23BDA">
        <w:rPr>
          <w:rFonts w:ascii="Arial" w:hAnsi="Arial" w:cs="Arial" w:eastAsiaTheme="minorHAnsi"/>
          <w:bCs/>
          <w:sz w:val="22"/>
          <w:szCs w:val="22"/>
          <w:lang w:val="es-ES" w:eastAsia="en-US"/>
        </w:rPr>
        <w:t>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A23BDA">
        <w:rPr>
          <w:rFonts w:ascii="Arial" w:hAnsi="Arial" w:cs="Arial" w:eastAsiaTheme="minorHAnsi"/>
          <w:bCs/>
          <w:sz w:val="22"/>
          <w:szCs w:val="22"/>
          <w:lang w:eastAsia="en-US"/>
        </w:rPr>
        <w:t xml:space="preserve"> de todos los partícipes de la contratación estatal.</w:t>
      </w:r>
    </w:p>
    <w:p w:rsidRPr="00A23BDA" w:rsidR="00A23BDA" w:rsidP="00FD7DA9" w:rsidRDefault="00A23BDA" w14:paraId="487E16D5" w14:textId="77777777">
      <w:pPr>
        <w:spacing w:after="120" w:line="276" w:lineRule="auto"/>
        <w:ind w:firstLine="708"/>
        <w:jc w:val="both"/>
        <w:rPr>
          <w:rFonts w:ascii="Arial" w:hAnsi="Arial" w:cs="Arial" w:eastAsiaTheme="minorHAnsi"/>
          <w:bCs/>
          <w:sz w:val="22"/>
          <w:szCs w:val="22"/>
          <w:lang w:val="es-ES" w:eastAsia="en-US"/>
        </w:rPr>
      </w:pPr>
      <w:r w:rsidRPr="00A23BDA">
        <w:rPr>
          <w:rFonts w:ascii="Arial" w:hAnsi="Arial" w:cs="Arial" w:eastAsiaTheme="minorHAnsi"/>
          <w:bCs/>
          <w:sz w:val="22"/>
          <w:szCs w:val="22"/>
          <w:lang w:val="es-ES" w:eastAsia="en-U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A23BDA">
        <w:rPr>
          <w:rFonts w:ascii="Arial" w:hAnsi="Arial" w:cs="Arial" w:eastAsiaTheme="minorHAnsi"/>
          <w:bCs/>
          <w:sz w:val="22"/>
          <w:szCs w:val="22"/>
          <w:vertAlign w:val="superscript"/>
          <w:lang w:val="es-ES" w:eastAsia="en-US"/>
        </w:rPr>
        <w:footnoteReference w:id="1"/>
      </w:r>
      <w:r w:rsidRPr="00A23BDA">
        <w:rPr>
          <w:rFonts w:ascii="Arial" w:hAnsi="Arial" w:cs="Arial" w:eastAsiaTheme="minorHAnsi"/>
          <w:bCs/>
          <w:sz w:val="22"/>
          <w:szCs w:val="22"/>
          <w:lang w:val="es-ES" w:eastAsia="en-US"/>
        </w:rPr>
        <w:t>. Esta competencia de interpretación de normas generales, por definición, no puede extenderse a la resolución de controversias ni brindar asesorías sobre casos puntuales. Por lo anterior, previo concepto de sus órganos asesores, la solución de estos temas corresponde a la entidad de adoptar la decisión correspondiente y, en caso de conflicto, a las autoridades judiciales, fiscales y disciplinarias. De esta manera, le corresponderá a cada entidad definir la viabilidad técnica, jurídica y financiera de celebrar determinado contrato estatal en específico.</w:t>
      </w:r>
    </w:p>
    <w:p w:rsidRPr="00E417A9" w:rsidR="00C84F90" w:rsidP="00A23BDA" w:rsidRDefault="00A23BDA" w14:paraId="6A4466D6" w14:textId="09D8C81A">
      <w:pPr>
        <w:tabs>
          <w:tab w:val="left" w:pos="426"/>
        </w:tabs>
        <w:spacing w:after="120" w:line="276" w:lineRule="auto"/>
        <w:jc w:val="both"/>
        <w:rPr>
          <w:rFonts w:ascii="Arial" w:hAnsi="Arial" w:eastAsia="Calibri" w:cs="Arial"/>
          <w:sz w:val="22"/>
          <w:szCs w:val="22"/>
          <w:lang w:val="es-MX" w:eastAsia="en-US"/>
        </w:rPr>
      </w:pPr>
      <w:r>
        <w:rPr>
          <w:rFonts w:ascii="Arial" w:hAnsi="Arial" w:cs="Arial" w:eastAsiaTheme="minorHAnsi"/>
          <w:bCs/>
          <w:sz w:val="22"/>
          <w:szCs w:val="22"/>
          <w:lang w:eastAsia="en-US"/>
        </w:rPr>
        <w:tab/>
      </w:r>
      <w:r w:rsidRPr="00A23BDA">
        <w:rPr>
          <w:rFonts w:ascii="Arial" w:hAnsi="Arial" w:cs="Arial" w:eastAsiaTheme="minorHAnsi"/>
          <w:bCs/>
          <w:sz w:val="22"/>
          <w:szCs w:val="22"/>
          <w:lang w:eastAsia="en-US"/>
        </w:rPr>
        <w:t xml:space="preserve">Sin perjuicio de lo anterior, </w:t>
      </w:r>
      <w:r w:rsidRPr="00A23BDA">
        <w:rPr>
          <w:rFonts w:ascii="Arial" w:hAnsi="Arial" w:cs="Arial" w:eastAsiaTheme="minorHAnsi"/>
          <w:bCs/>
          <w:sz w:val="22"/>
          <w:szCs w:val="22"/>
          <w:lang w:val="es-ES" w:eastAsia="en-US"/>
        </w:rPr>
        <w:t xml:space="preserve">la Agencia –dentro de los límites de sus atribuciones, es decir, </w:t>
      </w:r>
      <w:bookmarkStart w:name="_Hlk61025408" w:id="4"/>
      <w:r w:rsidRPr="00A23BDA">
        <w:rPr>
          <w:rFonts w:ascii="Arial" w:hAnsi="Arial" w:cs="Arial" w:eastAsiaTheme="minorHAnsi"/>
          <w:bCs/>
          <w:sz w:val="22"/>
          <w:szCs w:val="22"/>
          <w:lang w:val="es-ES" w:eastAsia="en-US"/>
        </w:rPr>
        <w:t xml:space="preserve">haciendo abstracción del caso particular </w:t>
      </w:r>
      <w:bookmarkEnd w:id="4"/>
      <w:r w:rsidRPr="00A23BDA">
        <w:rPr>
          <w:rFonts w:ascii="Arial" w:hAnsi="Arial" w:cs="Arial" w:eastAsiaTheme="minorHAnsi"/>
          <w:bCs/>
          <w:sz w:val="22"/>
          <w:szCs w:val="22"/>
          <w:lang w:val="es-ES" w:eastAsia="en-US"/>
        </w:rPr>
        <w:t xml:space="preserve">expuesto </w:t>
      </w:r>
      <w:r w:rsidR="00475760">
        <w:rPr>
          <w:rFonts w:ascii="Arial" w:hAnsi="Arial" w:cs="Arial" w:eastAsiaTheme="minorHAnsi"/>
          <w:bCs/>
          <w:sz w:val="22"/>
          <w:szCs w:val="22"/>
          <w:lang w:val="es-ES" w:eastAsia="en-US"/>
        </w:rPr>
        <w:t xml:space="preserve">en las </w:t>
      </w:r>
      <w:r>
        <w:rPr>
          <w:rFonts w:ascii="Arial" w:hAnsi="Arial" w:cs="Arial" w:eastAsiaTheme="minorHAnsi"/>
          <w:bCs/>
          <w:sz w:val="22"/>
          <w:szCs w:val="22"/>
          <w:lang w:val="es-ES" w:eastAsia="en-US"/>
        </w:rPr>
        <w:t>pregunta</w:t>
      </w:r>
      <w:r w:rsidR="00475760">
        <w:rPr>
          <w:rFonts w:ascii="Arial" w:hAnsi="Arial" w:cs="Arial" w:eastAsiaTheme="minorHAnsi"/>
          <w:bCs/>
          <w:sz w:val="22"/>
          <w:szCs w:val="22"/>
          <w:lang w:val="es-ES" w:eastAsia="en-US"/>
        </w:rPr>
        <w:t>s 2 y 3</w:t>
      </w:r>
      <w:r w:rsidRPr="00A23BDA">
        <w:rPr>
          <w:rFonts w:ascii="Arial" w:hAnsi="Arial" w:cs="Arial" w:eastAsiaTheme="minorHAnsi"/>
          <w:bCs/>
          <w:sz w:val="22"/>
          <w:szCs w:val="22"/>
          <w:lang w:val="es-ES" w:eastAsia="en-US"/>
        </w:rPr>
        <w:t>– resolverá la consulta conforme a las normas generales del sistema de compras públicas. Con este objetivo se analizarán los siguientes temas:</w:t>
      </w:r>
      <w:r w:rsidRPr="00C84F90" w:rsidR="00C84F90">
        <w:rPr>
          <w:rFonts w:ascii="Arial" w:hAnsi="Arial" w:eastAsia="Calibri" w:cs="Arial"/>
          <w:bCs/>
          <w:sz w:val="22"/>
          <w:szCs w:val="22"/>
          <w:lang w:eastAsia="en-US"/>
        </w:rPr>
        <w:t xml:space="preserve"> </w:t>
      </w:r>
      <w:r w:rsidRPr="000D153E" w:rsidR="00C84F90">
        <w:rPr>
          <w:rFonts w:ascii="Arial" w:hAnsi="Arial" w:eastAsia="Calibri" w:cs="Arial"/>
          <w:bCs/>
          <w:sz w:val="22"/>
          <w:szCs w:val="22"/>
          <w:lang w:eastAsia="en-US"/>
        </w:rPr>
        <w:t xml:space="preserve">i) definición y finalidad de la Ley de Garantías Electorales, ii) restricciones </w:t>
      </w:r>
      <w:r w:rsidRPr="000D153E" w:rsidR="00C84F90">
        <w:rPr>
          <w:rFonts w:ascii="Arial" w:hAnsi="Arial" w:eastAsia="Calibri" w:cs="Arial"/>
          <w:bCs/>
          <w:sz w:val="22"/>
          <w:szCs w:val="22"/>
          <w:lang w:val="es-MX" w:eastAsia="en-US"/>
        </w:rPr>
        <w:t xml:space="preserve">para elecciones presidenciales, </w:t>
      </w:r>
      <w:proofErr w:type="spellStart"/>
      <w:r w:rsidRPr="000D153E" w:rsidR="00C84F90">
        <w:rPr>
          <w:rFonts w:ascii="Arial" w:hAnsi="Arial" w:eastAsia="Calibri" w:cs="Arial"/>
          <w:bCs/>
          <w:sz w:val="22"/>
          <w:szCs w:val="22"/>
          <w:lang w:val="es-MX" w:eastAsia="en-US"/>
        </w:rPr>
        <w:t>iii</w:t>
      </w:r>
      <w:proofErr w:type="spellEnd"/>
      <w:r w:rsidRPr="000D153E" w:rsidR="00C84F90">
        <w:rPr>
          <w:rFonts w:ascii="Arial" w:hAnsi="Arial" w:eastAsia="Calibri" w:cs="Arial"/>
          <w:bCs/>
          <w:sz w:val="22"/>
          <w:szCs w:val="22"/>
          <w:lang w:val="es-MX" w:eastAsia="en-US"/>
        </w:rPr>
        <w:t>) destinatarios de la prohibición del artículo 33 de la Ley 996 de 2005</w:t>
      </w:r>
      <w:r w:rsidRPr="000D153E" w:rsidR="00F53907">
        <w:rPr>
          <w:rFonts w:ascii="Arial" w:hAnsi="Arial" w:eastAsia="Calibri" w:cs="Arial"/>
          <w:bCs/>
          <w:sz w:val="22"/>
          <w:szCs w:val="22"/>
          <w:lang w:val="es-MX" w:eastAsia="en-US"/>
        </w:rPr>
        <w:t>,</w:t>
      </w:r>
      <w:r w:rsidRPr="000D153E" w:rsidR="00C84F90">
        <w:rPr>
          <w:rFonts w:ascii="Arial" w:hAnsi="Arial" w:eastAsia="Calibri" w:cs="Arial"/>
          <w:bCs/>
          <w:sz w:val="22"/>
          <w:szCs w:val="22"/>
          <w:lang w:val="es-MX" w:eastAsia="en-US"/>
        </w:rPr>
        <w:t xml:space="preserve"> </w:t>
      </w:r>
      <w:proofErr w:type="spellStart"/>
      <w:r w:rsidRPr="000D153E" w:rsidR="00C84F90">
        <w:rPr>
          <w:rFonts w:ascii="Arial" w:hAnsi="Arial" w:eastAsia="Calibri" w:cs="Arial"/>
          <w:bCs/>
          <w:sz w:val="22"/>
          <w:szCs w:val="22"/>
          <w:lang w:val="es-MX" w:eastAsia="en-US"/>
        </w:rPr>
        <w:t>iv</w:t>
      </w:r>
      <w:proofErr w:type="spellEnd"/>
      <w:r w:rsidRPr="000D153E" w:rsidR="00C84F90">
        <w:rPr>
          <w:rFonts w:ascii="Arial" w:hAnsi="Arial" w:eastAsia="Calibri" w:cs="Arial"/>
          <w:bCs/>
          <w:sz w:val="22"/>
          <w:szCs w:val="22"/>
          <w:lang w:val="es-MX" w:eastAsia="en-US"/>
        </w:rPr>
        <w:t xml:space="preserve">) </w:t>
      </w:r>
      <w:r w:rsidRPr="000D153E" w:rsidR="00C84F90">
        <w:rPr>
          <w:rFonts w:ascii="Arial" w:hAnsi="Arial" w:eastAsia="Calibri" w:cs="Arial"/>
          <w:sz w:val="22"/>
          <w:szCs w:val="22"/>
          <w:lang w:val="es-MX" w:eastAsia="en-US"/>
        </w:rPr>
        <w:t>restricciones en los comicios de cargos de elección popular</w:t>
      </w:r>
      <w:bookmarkStart w:name="_Hlk76110351" w:id="5"/>
      <w:r w:rsidRPr="000D153E" w:rsidR="00F53907">
        <w:rPr>
          <w:rFonts w:ascii="Arial" w:hAnsi="Arial" w:eastAsia="Calibri" w:cs="Arial"/>
          <w:sz w:val="22"/>
          <w:szCs w:val="22"/>
          <w:lang w:val="es-MX" w:eastAsia="en-US"/>
        </w:rPr>
        <w:t>, v)</w:t>
      </w:r>
      <w:r w:rsidRPr="000D153E" w:rsidR="00B708EC">
        <w:rPr>
          <w:rFonts w:ascii="Arial" w:hAnsi="Arial" w:eastAsia="Calibri" w:cs="Arial"/>
          <w:sz w:val="22"/>
          <w:szCs w:val="22"/>
          <w:lang w:val="es-MX" w:eastAsia="en-US"/>
        </w:rPr>
        <w:t xml:space="preserve"> </w:t>
      </w:r>
      <w:r w:rsidRPr="000D153E" w:rsidR="004446F2">
        <w:rPr>
          <w:rFonts w:ascii="Arial" w:hAnsi="Arial" w:cs="Arial"/>
          <w:bCs/>
          <w:sz w:val="22"/>
          <w:szCs w:val="22"/>
          <w:lang w:val="es-MX" w:eastAsia="es-CO"/>
        </w:rPr>
        <w:t>r</w:t>
      </w:r>
      <w:r w:rsidRPr="000D153E" w:rsidR="00B708EC">
        <w:rPr>
          <w:rFonts w:ascii="Arial" w:hAnsi="Arial" w:cs="Arial"/>
          <w:bCs/>
          <w:sz w:val="22"/>
          <w:szCs w:val="22"/>
          <w:lang w:val="es-MX" w:eastAsia="es-CO"/>
        </w:rPr>
        <w:t>égimen contractual de los fondos de servicios educativos y aplicación de la Ley de Garantías y vi)</w:t>
      </w:r>
      <w:r w:rsidRPr="000D153E" w:rsidR="004446F2">
        <w:rPr>
          <w:rFonts w:ascii="Arial" w:hAnsi="Arial" w:cs="Arial"/>
          <w:bCs/>
          <w:sz w:val="22"/>
          <w:szCs w:val="22"/>
          <w:lang w:val="es-MX" w:eastAsia="es-CO"/>
        </w:rPr>
        <w:t xml:space="preserve"> </w:t>
      </w:r>
      <w:r w:rsidRPr="00AA07F0" w:rsidR="004446F2">
        <w:rPr>
          <w:rFonts w:ascii="Arial" w:hAnsi="Arial" w:cs="Arial"/>
          <w:sz w:val="22"/>
          <w:szCs w:val="22"/>
          <w:lang w:val="es-MX" w:eastAsia="es-CO"/>
        </w:rPr>
        <w:t>SECOP como mecanismo para garantizar el principio de publicidad en la contratación estatal</w:t>
      </w:r>
      <w:r w:rsidRPr="000D153E" w:rsidR="00C84F90">
        <w:rPr>
          <w:rFonts w:ascii="Arial" w:hAnsi="Arial" w:eastAsia="Calibri" w:cs="Arial"/>
          <w:sz w:val="22"/>
          <w:szCs w:val="22"/>
          <w:lang w:val="es-MX" w:eastAsia="en-US"/>
        </w:rPr>
        <w:t>.</w:t>
      </w:r>
      <w:r w:rsidRPr="00C84F90" w:rsidR="00C84F90">
        <w:rPr>
          <w:rFonts w:ascii="Arial" w:hAnsi="Arial" w:eastAsia="Calibri" w:cs="Arial"/>
          <w:sz w:val="22"/>
          <w:szCs w:val="22"/>
          <w:lang w:val="es-MX" w:eastAsia="en-US"/>
        </w:rPr>
        <w:t xml:space="preserve"> </w:t>
      </w:r>
      <w:bookmarkEnd w:id="5"/>
    </w:p>
    <w:p w:rsidR="00C84F90" w:rsidP="00C84F90" w:rsidRDefault="005B43DF" w14:paraId="5D2A0831" w14:textId="2A5E964E">
      <w:pPr>
        <w:tabs>
          <w:tab w:val="left" w:pos="426"/>
        </w:tabs>
        <w:spacing w:line="276" w:lineRule="auto"/>
        <w:ind w:firstLine="709"/>
        <w:jc w:val="both"/>
        <w:rPr>
          <w:rFonts w:ascii="Arial" w:hAnsi="Arial" w:eastAsia="Calibri" w:cs="Arial"/>
          <w:bCs/>
          <w:sz w:val="22"/>
          <w:szCs w:val="22"/>
          <w:lang w:eastAsia="en-US"/>
        </w:rPr>
      </w:pPr>
      <w:r w:rsidRPr="00446B03">
        <w:rPr>
          <w:rFonts w:ascii="Arial" w:hAnsi="Arial" w:eastAsia="Calibri" w:cs="Arial"/>
          <w:bCs/>
          <w:sz w:val="22"/>
        </w:rPr>
        <w:t xml:space="preserve">La Agencia Nacional de Contratación Pública – Colombia Compra Eficiente ha impartido lineamientos sobre la aplicación de la Ley 996 de 2005 y también se ha pronunciado al respecto, entre otros, en los Conceptos 4201912000004632 del 6 de agosto de 2019, 2201913000005655 del 8 de agosto de 2019, 2201913000006283 del 27 de agosto de 2019, 2201913000006521 del 3 de septiembre de 2019, 2201913000006634 del 6 de septiembre de 2019, 2201913000006639 del 9 de septiembre de 2019, 2201913000007430 del 7 de octubre de 2019, 2201913000007565 del 10 de octubre de 2019, 2201913000008259 del 6 de noviembre de 2019, </w:t>
      </w:r>
      <w:r>
        <w:rPr>
          <w:rFonts w:ascii="Arial" w:hAnsi="Arial" w:eastAsia="Calibri" w:cs="Arial"/>
          <w:bCs/>
          <w:sz w:val="22"/>
        </w:rPr>
        <w:t xml:space="preserve">C-074 del 17 de marzo de 2021, C-075 del 16 de marzo de 2021, </w:t>
      </w:r>
      <w:r w:rsidRPr="00446B03">
        <w:rPr>
          <w:rFonts w:ascii="Arial" w:hAnsi="Arial" w:eastAsia="Calibri" w:cs="Arial"/>
          <w:bCs/>
          <w:sz w:val="22"/>
        </w:rPr>
        <w:t>C-227 de 2021 del 5 de mayo de 2021</w:t>
      </w:r>
      <w:r>
        <w:rPr>
          <w:rFonts w:ascii="Arial" w:hAnsi="Arial" w:eastAsia="Calibri" w:cs="Arial"/>
          <w:bCs/>
          <w:sz w:val="22"/>
        </w:rPr>
        <w:t>,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C-677 del 4 de diciembre de 2021, C-695 del 22 de diciembre de 2021, C-699 del 6 de enero de 2022, C-700 del 6 de enero de 2021, C-723 del 28 de diciembre de 2021, C-715 del 21 de enero de 2022, C-718 del 24 de enero de 2022</w:t>
      </w:r>
      <w:r w:rsidR="00F60D7D">
        <w:rPr>
          <w:rFonts w:ascii="Arial" w:hAnsi="Arial" w:eastAsia="Calibri" w:cs="Arial"/>
          <w:bCs/>
          <w:sz w:val="22"/>
        </w:rPr>
        <w:t>,</w:t>
      </w:r>
      <w:r>
        <w:rPr>
          <w:rFonts w:ascii="Arial" w:hAnsi="Arial" w:eastAsia="Calibri" w:cs="Arial"/>
          <w:bCs/>
          <w:sz w:val="22"/>
        </w:rPr>
        <w:t xml:space="preserve"> C-726 del 24 de enero de 2022</w:t>
      </w:r>
      <w:r w:rsidR="00371834">
        <w:rPr>
          <w:rFonts w:ascii="Arial" w:hAnsi="Arial" w:eastAsia="Calibri" w:cs="Arial"/>
          <w:bCs/>
          <w:sz w:val="22"/>
        </w:rPr>
        <w:t>,</w:t>
      </w:r>
      <w:r w:rsidR="00F60D7D">
        <w:rPr>
          <w:rFonts w:ascii="Arial" w:hAnsi="Arial" w:eastAsia="Calibri" w:cs="Arial"/>
          <w:bCs/>
          <w:sz w:val="22"/>
        </w:rPr>
        <w:t xml:space="preserve"> C-023 del 22 de febrero de </w:t>
      </w:r>
      <w:r w:rsidR="009B0B5C">
        <w:rPr>
          <w:rFonts w:ascii="Arial" w:hAnsi="Arial" w:eastAsia="Calibri" w:cs="Arial"/>
          <w:bCs/>
          <w:sz w:val="22"/>
        </w:rPr>
        <w:t>2022</w:t>
      </w:r>
      <w:r w:rsidR="00371834">
        <w:rPr>
          <w:rFonts w:ascii="Arial" w:hAnsi="Arial" w:eastAsia="Calibri" w:cs="Arial"/>
          <w:bCs/>
          <w:sz w:val="22"/>
        </w:rPr>
        <w:t xml:space="preserve">, C-094 del 16 de marzo de 2022, </w:t>
      </w:r>
      <w:r w:rsidR="004C2B82">
        <w:rPr>
          <w:rFonts w:ascii="Arial" w:hAnsi="Arial" w:eastAsia="Calibri" w:cs="Arial"/>
          <w:bCs/>
          <w:sz w:val="22"/>
        </w:rPr>
        <w:t>C-147 de</w:t>
      </w:r>
      <w:r w:rsidR="00351FDE">
        <w:rPr>
          <w:rFonts w:ascii="Arial" w:hAnsi="Arial" w:eastAsia="Calibri" w:cs="Arial"/>
          <w:bCs/>
          <w:sz w:val="22"/>
        </w:rPr>
        <w:t xml:space="preserve">l 25 de marzo de 2022 y </w:t>
      </w:r>
      <w:r w:rsidR="00337527">
        <w:rPr>
          <w:rFonts w:ascii="Arial" w:hAnsi="Arial" w:eastAsia="Calibri" w:cs="Arial"/>
          <w:bCs/>
          <w:sz w:val="22"/>
        </w:rPr>
        <w:t>C-153 del 25 de marzo de 2022</w:t>
      </w:r>
      <w:r w:rsidR="009B0B5C">
        <w:rPr>
          <w:rFonts w:ascii="Arial" w:hAnsi="Arial" w:eastAsia="Calibri" w:cs="Arial"/>
          <w:bCs/>
          <w:sz w:val="22"/>
        </w:rPr>
        <w:t xml:space="preserve">. </w:t>
      </w:r>
    </w:p>
    <w:p w:rsidR="002F0981" w:rsidP="002F0981" w:rsidRDefault="002F0981" w14:paraId="5A8A3890" w14:textId="47CB92D5">
      <w:pPr>
        <w:spacing w:before="120" w:after="120" w:line="276" w:lineRule="auto"/>
        <w:ind w:firstLine="708"/>
        <w:jc w:val="both"/>
        <w:rPr>
          <w:rFonts w:ascii="Arial" w:hAnsi="Arial" w:cs="Arial"/>
          <w:sz w:val="22"/>
        </w:rPr>
      </w:pPr>
      <w:r>
        <w:rPr>
          <w:rFonts w:ascii="Arial" w:hAnsi="Arial" w:cs="Arial"/>
          <w:sz w:val="22"/>
        </w:rPr>
        <w:t xml:space="preserve">Adicionalmente se </w:t>
      </w:r>
      <w:r w:rsidRPr="00E045BC">
        <w:rPr>
          <w:rFonts w:ascii="Arial" w:hAnsi="Arial" w:cs="Arial"/>
          <w:sz w:val="22"/>
        </w:rPr>
        <w:t xml:space="preserve">estudió el tema de la naturaleza jurídica de las </w:t>
      </w:r>
      <w:r w:rsidR="008439F5">
        <w:rPr>
          <w:rFonts w:ascii="Arial" w:hAnsi="Arial" w:cs="Arial"/>
          <w:sz w:val="22"/>
        </w:rPr>
        <w:t>i</w:t>
      </w:r>
      <w:r w:rsidRPr="00E045BC">
        <w:rPr>
          <w:rFonts w:ascii="Arial" w:hAnsi="Arial" w:cs="Arial"/>
          <w:sz w:val="22"/>
        </w:rPr>
        <w:t xml:space="preserve">nstituciones educativas y su régimen de contratación en los conceptos con radicado 2201913000006285 del 27 de agosto de 2019, No. </w:t>
      </w:r>
      <w:hyperlink w:tgtFrame="_blank" w:history="1" r:id="rId12">
        <w:r w:rsidRPr="00E045BC">
          <w:rPr>
            <w:rFonts w:ascii="Arial" w:hAnsi="Arial" w:cs="Arial"/>
            <w:sz w:val="22"/>
          </w:rPr>
          <w:t>2201913000006068</w:t>
        </w:r>
      </w:hyperlink>
      <w:r w:rsidRPr="00E045BC">
        <w:rPr>
          <w:rFonts w:ascii="Arial" w:hAnsi="Arial" w:cs="Arial"/>
          <w:sz w:val="22"/>
        </w:rPr>
        <w:t xml:space="preserve"> del 28 de agosto de 2019, 2201913000008174 del 31 de octubre de 2019  </w:t>
      </w:r>
      <w:hyperlink w:tgtFrame="_blank" w:history="1" r:id="rId13">
        <w:r w:rsidRPr="00E045BC">
          <w:rPr>
            <w:rFonts w:ascii="Arial" w:hAnsi="Arial" w:cs="Arial"/>
            <w:sz w:val="22"/>
          </w:rPr>
          <w:t>2201913000008197</w:t>
        </w:r>
      </w:hyperlink>
      <w:r w:rsidRPr="00E045BC">
        <w:rPr>
          <w:rFonts w:ascii="Arial" w:hAnsi="Arial" w:cs="Arial"/>
          <w:sz w:val="22"/>
        </w:rPr>
        <w:t xml:space="preserve"> del 1 de noviembre de 2019, C-181 del 6 de abril de 2020, C-272 del 27 de abril de 2020, C-284 del 27 de mayo de 2010</w:t>
      </w:r>
      <w:r w:rsidR="007B7A71">
        <w:rPr>
          <w:rFonts w:ascii="Arial" w:hAnsi="Arial" w:cs="Arial"/>
          <w:sz w:val="22"/>
        </w:rPr>
        <w:t xml:space="preserve">, </w:t>
      </w:r>
      <w:r w:rsidRPr="00E045BC">
        <w:rPr>
          <w:rFonts w:ascii="Arial" w:hAnsi="Arial" w:cs="Arial"/>
          <w:sz w:val="22"/>
        </w:rPr>
        <w:t>C-399 del 23 de junio de 2020</w:t>
      </w:r>
      <w:r w:rsidR="003800DC">
        <w:rPr>
          <w:rFonts w:ascii="Arial" w:hAnsi="Arial" w:cs="Arial"/>
          <w:sz w:val="22"/>
        </w:rPr>
        <w:t>, C-499 del 15 de septiembre de 2021</w:t>
      </w:r>
      <w:r w:rsidR="00947882">
        <w:rPr>
          <w:rFonts w:ascii="Arial" w:hAnsi="Arial" w:cs="Arial"/>
          <w:sz w:val="22"/>
        </w:rPr>
        <w:t xml:space="preserve"> y C-543 del 9 de noviembre de 2021</w:t>
      </w:r>
      <w:r w:rsidRPr="00E045BC">
        <w:rPr>
          <w:rFonts w:ascii="Arial" w:hAnsi="Arial" w:cs="Arial"/>
          <w:sz w:val="22"/>
        </w:rPr>
        <w:t>.</w:t>
      </w:r>
      <w:r w:rsidRPr="00E045BC">
        <w:rPr>
          <w:rFonts w:ascii="Arial" w:hAnsi="Arial" w:cs="Arial"/>
          <w:sz w:val="22"/>
        </w:rPr>
        <w:tab/>
      </w:r>
    </w:p>
    <w:p w:rsidRPr="00CE3639" w:rsidR="008D530D" w:rsidP="00CE3639" w:rsidRDefault="00EB6C83" w14:paraId="73739F40" w14:textId="2210A828">
      <w:pPr>
        <w:tabs>
          <w:tab w:val="left" w:pos="426"/>
        </w:tabs>
        <w:spacing w:line="276" w:lineRule="auto"/>
        <w:ind w:firstLine="709"/>
        <w:jc w:val="both"/>
        <w:rPr>
          <w:rFonts w:ascii="Arial" w:hAnsi="Arial" w:eastAsia="Calibri" w:cs="Arial"/>
          <w:bCs/>
          <w:color w:val="000000" w:themeColor="text1"/>
          <w:sz w:val="22"/>
          <w:lang w:val="es-ES_tradnl"/>
        </w:rPr>
      </w:pPr>
      <w:r>
        <w:rPr>
          <w:rFonts w:ascii="Arial" w:hAnsi="Arial" w:eastAsia="Calibri" w:cs="Arial"/>
          <w:bCs/>
          <w:color w:val="000000" w:themeColor="text1"/>
          <w:sz w:val="22"/>
          <w:lang w:val="es-ES_tradnl"/>
        </w:rPr>
        <w:t>Por otra parte, l</w:t>
      </w:r>
      <w:r w:rsidRPr="00BB6814">
        <w:rPr>
          <w:rFonts w:ascii="Arial" w:hAnsi="Arial" w:eastAsia="Calibri" w:cs="Arial"/>
          <w:bCs/>
          <w:color w:val="000000" w:themeColor="text1"/>
          <w:sz w:val="22"/>
          <w:lang w:val="es-ES_tradnl"/>
        </w:rPr>
        <w:t>a Agencia Nacional de Contratación Pública –</w:t>
      </w:r>
      <w:r w:rsidR="00027102">
        <w:rPr>
          <w:rFonts w:ascii="Arial" w:hAnsi="Arial" w:eastAsia="Calibri" w:cs="Arial"/>
          <w:bCs/>
          <w:color w:val="000000" w:themeColor="text1"/>
          <w:sz w:val="22"/>
          <w:lang w:val="es-ES_tradnl"/>
        </w:rPr>
        <w:t xml:space="preserve"> </w:t>
      </w:r>
      <w:r w:rsidRPr="00BB6814">
        <w:rPr>
          <w:rFonts w:ascii="Arial" w:hAnsi="Arial" w:eastAsia="Calibri" w:cs="Arial"/>
          <w:bCs/>
          <w:color w:val="000000" w:themeColor="text1"/>
          <w:sz w:val="22"/>
          <w:lang w:val="es-ES_tradnl"/>
        </w:rPr>
        <w:t>Colombia Compra Eficiente– unificó su doctrina sobre</w:t>
      </w:r>
      <w:r w:rsidR="00EE5BB1">
        <w:rPr>
          <w:rFonts w:ascii="Arial" w:hAnsi="Arial" w:eastAsia="Calibri" w:cs="Arial"/>
          <w:bCs/>
          <w:color w:val="000000" w:themeColor="text1"/>
          <w:sz w:val="22"/>
          <w:lang w:val="es-ES_tradnl"/>
        </w:rPr>
        <w:t xml:space="preserve"> </w:t>
      </w:r>
      <w:r w:rsidRPr="00790B61" w:rsidR="00EE5BB1">
        <w:rPr>
          <w:rFonts w:ascii="Arial" w:hAnsi="Arial" w:eastAsia="Calibri" w:cs="Arial"/>
          <w:sz w:val="22"/>
          <w:szCs w:val="22"/>
          <w:lang w:val="es-ES" w:eastAsia="en-US"/>
        </w:rPr>
        <w:t>publicidad en SECOP en lo concerniente a las entidades regidas por el Estatuto General de Contratación de la Administración Pública</w:t>
      </w:r>
      <w:r w:rsidR="00200681">
        <w:rPr>
          <w:rFonts w:ascii="Arial" w:hAnsi="Arial" w:eastAsia="Calibri" w:cs="Arial"/>
          <w:sz w:val="22"/>
          <w:szCs w:val="22"/>
          <w:lang w:val="es-ES" w:eastAsia="en-US"/>
        </w:rPr>
        <w:t xml:space="preserve"> </w:t>
      </w:r>
      <w:r w:rsidRPr="00790B61" w:rsidR="00EE5BB1">
        <w:rPr>
          <w:rFonts w:ascii="Arial" w:hAnsi="Arial" w:eastAsia="Calibri" w:cs="Arial"/>
          <w:sz w:val="22"/>
          <w:szCs w:val="22"/>
          <w:lang w:val="es-ES" w:eastAsia="en-US"/>
        </w:rPr>
        <w:t xml:space="preserve">en el concepto CU-367 del </w:t>
      </w:r>
      <w:r w:rsidRPr="00790B61" w:rsidR="00EE5BB1">
        <w:rPr>
          <w:rFonts w:ascii="Arial" w:hAnsi="Arial" w:eastAsia="Calibri" w:cs="Arial"/>
          <w:sz w:val="22"/>
          <w:szCs w:val="22"/>
          <w:lang w:val="es-MX" w:eastAsia="en-US"/>
        </w:rPr>
        <w:t>23 de julio de 2020</w:t>
      </w:r>
      <w:r w:rsidR="00200681">
        <w:rPr>
          <w:rFonts w:ascii="Arial" w:hAnsi="Arial" w:eastAsia="Calibri" w:cs="Arial"/>
          <w:sz w:val="22"/>
          <w:szCs w:val="22"/>
          <w:lang w:val="es-MX" w:eastAsia="en-US"/>
        </w:rPr>
        <w:t>. Dicho pronunciamiento</w:t>
      </w:r>
      <w:r w:rsidRPr="00790B61" w:rsidR="00EE5BB1">
        <w:rPr>
          <w:rFonts w:ascii="Arial" w:hAnsi="Arial" w:eastAsia="Calibri" w:cs="Arial"/>
          <w:sz w:val="22"/>
          <w:szCs w:val="22"/>
          <w:lang w:val="es-MX" w:eastAsia="en-US"/>
        </w:rPr>
        <w:t xml:space="preserve"> fue reiterado en los conceptos C-433 del 24 de julio de 2020, C-474 del 24 de julio de 2020, C-504 del 31 de julio de 2020, C-508 del 31 de julio de 2020, C-521 del 11 de agosto de 2020, C-543 del 19 de agosto de 2020, C-544 del 21 de agosto de 2020, C-604 del 9 de septiembre de 2020, C-554 del 17 </w:t>
      </w:r>
      <w:r w:rsidRPr="00790B61" w:rsidR="00EE5BB1">
        <w:rPr>
          <w:rFonts w:ascii="Arial" w:hAnsi="Arial" w:eastAsia="Calibri" w:cs="Arial"/>
          <w:sz w:val="22"/>
          <w:szCs w:val="22"/>
          <w:lang w:val="es-MX" w:eastAsia="en-US"/>
        </w:rPr>
        <w:t>de septiembre de 2020, C-672 del 11 de noviembre de 2020, C-661 del 17 de noviembre de 2020</w:t>
      </w:r>
      <w:r w:rsidR="00EE5BB1">
        <w:rPr>
          <w:rFonts w:ascii="Arial" w:hAnsi="Arial" w:eastAsia="Calibri" w:cs="Arial"/>
          <w:sz w:val="22"/>
          <w:szCs w:val="22"/>
          <w:lang w:val="es-MX" w:eastAsia="en-US"/>
        </w:rPr>
        <w:t xml:space="preserve">, </w:t>
      </w:r>
      <w:r w:rsidRPr="00790B61" w:rsidR="00EE5BB1">
        <w:rPr>
          <w:rFonts w:ascii="Arial" w:hAnsi="Arial" w:eastAsia="Calibri" w:cs="Arial"/>
          <w:sz w:val="22"/>
          <w:szCs w:val="22"/>
          <w:lang w:val="es-MX" w:eastAsia="en-US"/>
        </w:rPr>
        <w:t>C-680 del 18 de noviembre de 2020</w:t>
      </w:r>
      <w:r w:rsidR="00F56EAE">
        <w:rPr>
          <w:rFonts w:ascii="Arial" w:hAnsi="Arial" w:eastAsia="Calibri" w:cs="Arial"/>
          <w:sz w:val="22"/>
          <w:szCs w:val="22"/>
          <w:lang w:val="es-MX" w:eastAsia="en-US"/>
        </w:rPr>
        <w:t>,</w:t>
      </w:r>
      <w:r w:rsidR="00EE5BB1">
        <w:rPr>
          <w:rFonts w:ascii="Arial" w:hAnsi="Arial" w:eastAsia="Calibri" w:cs="Arial"/>
          <w:sz w:val="22"/>
          <w:szCs w:val="22"/>
          <w:lang w:val="es-MX" w:eastAsia="en-US"/>
        </w:rPr>
        <w:t xml:space="preserve"> C-780 del 18 de enero de 2021</w:t>
      </w:r>
      <w:r w:rsidR="00F56EAE">
        <w:rPr>
          <w:rFonts w:ascii="Arial" w:hAnsi="Arial" w:eastAsia="Calibri" w:cs="Arial"/>
          <w:sz w:val="22"/>
          <w:szCs w:val="22"/>
          <w:lang w:val="es-MX" w:eastAsia="en-US"/>
        </w:rPr>
        <w:t xml:space="preserve"> y</w:t>
      </w:r>
      <w:r w:rsidR="00200681">
        <w:rPr>
          <w:rFonts w:ascii="Arial" w:hAnsi="Arial" w:eastAsia="Calibri" w:cs="Arial"/>
          <w:sz w:val="22"/>
          <w:szCs w:val="22"/>
          <w:lang w:val="es-MX" w:eastAsia="en-US"/>
        </w:rPr>
        <w:t xml:space="preserve"> </w:t>
      </w:r>
      <w:r w:rsidR="00F56EAE">
        <w:rPr>
          <w:rFonts w:ascii="Arial" w:hAnsi="Arial" w:eastAsia="Calibri" w:cs="Arial"/>
          <w:bCs/>
          <w:color w:val="000000" w:themeColor="text1"/>
          <w:sz w:val="22"/>
          <w:lang w:val="es-ES_tradnl"/>
        </w:rPr>
        <w:t xml:space="preserve">C-026 del 28 de febrero de 2022. </w:t>
      </w:r>
      <w:r w:rsidR="00CE3639">
        <w:rPr>
          <w:rFonts w:ascii="Arial" w:hAnsi="Arial" w:eastAsia="Calibri" w:cs="Arial"/>
          <w:bCs/>
          <w:color w:val="000000" w:themeColor="text1"/>
          <w:sz w:val="22"/>
          <w:lang w:val="es-ES_tradnl"/>
        </w:rPr>
        <w:t xml:space="preserve">Así mismo, analizó </w:t>
      </w:r>
      <w:r w:rsidRPr="00BB6814">
        <w:rPr>
          <w:rFonts w:ascii="Arial" w:hAnsi="Arial" w:eastAsia="Calibri" w:cs="Arial"/>
          <w:bCs/>
          <w:color w:val="000000" w:themeColor="text1"/>
          <w:sz w:val="22"/>
          <w:lang w:val="es-ES_tradnl"/>
        </w:rPr>
        <w:t xml:space="preserve">el deber de las entidades exceptuadas del Estatuto General de Contratación de la Administración Pública –o con régimen especial– de publicar sus actuaciones contractuales en el SECOP, en el concepto CU-003 del 15 de enero de 2020.  Dicho pronunciamiento </w:t>
      </w:r>
      <w:r>
        <w:rPr>
          <w:rFonts w:ascii="Arial" w:hAnsi="Arial" w:eastAsia="Calibri" w:cs="Arial"/>
          <w:bCs/>
          <w:color w:val="000000" w:themeColor="text1"/>
          <w:sz w:val="22"/>
          <w:lang w:val="es-ES_tradnl"/>
        </w:rPr>
        <w:t>ha sido</w:t>
      </w:r>
      <w:r w:rsidRPr="00BB6814">
        <w:rPr>
          <w:rFonts w:ascii="Arial" w:hAnsi="Arial" w:eastAsia="Calibri" w:cs="Arial"/>
          <w:bCs/>
          <w:color w:val="000000" w:themeColor="text1"/>
          <w:sz w:val="22"/>
          <w:lang w:val="es-ES_tradnl"/>
        </w:rPr>
        <w:t xml:space="preserve"> reiterado</w:t>
      </w:r>
      <w:r>
        <w:rPr>
          <w:rFonts w:ascii="Arial" w:hAnsi="Arial" w:eastAsia="Calibri" w:cs="Arial"/>
          <w:bCs/>
          <w:color w:val="000000" w:themeColor="text1"/>
          <w:sz w:val="22"/>
          <w:lang w:val="es-ES_tradnl"/>
        </w:rPr>
        <w:t xml:space="preserve"> en los</w:t>
      </w:r>
      <w:r w:rsidRPr="00BB6814">
        <w:rPr>
          <w:rFonts w:ascii="Arial" w:hAnsi="Arial" w:eastAsia="Calibri" w:cs="Arial"/>
          <w:bCs/>
          <w:color w:val="000000" w:themeColor="text1"/>
          <w:sz w:val="22"/>
          <w:lang w:val="es-ES_tradnl"/>
        </w:rPr>
        <w:t xml:space="preserve"> concepto</w:t>
      </w:r>
      <w:r>
        <w:rPr>
          <w:rFonts w:ascii="Arial" w:hAnsi="Arial" w:eastAsia="Calibri" w:cs="Arial"/>
          <w:bCs/>
          <w:color w:val="000000" w:themeColor="text1"/>
          <w:sz w:val="22"/>
          <w:lang w:val="es-ES_tradnl"/>
        </w:rPr>
        <w:t>s</w:t>
      </w:r>
      <w:r w:rsidRPr="00BB6814">
        <w:rPr>
          <w:rFonts w:ascii="Arial" w:hAnsi="Arial" w:eastAsia="Calibri" w:cs="Arial"/>
          <w:bCs/>
          <w:color w:val="000000" w:themeColor="text1"/>
          <w:sz w:val="22"/>
          <w:lang w:val="es-ES_tradnl"/>
        </w:rPr>
        <w:t xml:space="preserve"> C-172 del 13 de abril de 2021</w:t>
      </w:r>
      <w:r w:rsidR="001130E1">
        <w:rPr>
          <w:rFonts w:ascii="Arial" w:hAnsi="Arial" w:eastAsia="Calibri" w:cs="Arial"/>
          <w:bCs/>
          <w:color w:val="000000" w:themeColor="text1"/>
          <w:sz w:val="22"/>
          <w:lang w:val="es-ES_tradnl"/>
        </w:rPr>
        <w:t xml:space="preserve"> y</w:t>
      </w:r>
      <w:r>
        <w:rPr>
          <w:rFonts w:ascii="Arial" w:hAnsi="Arial" w:eastAsia="Calibri" w:cs="Arial"/>
          <w:bCs/>
          <w:color w:val="000000" w:themeColor="text1"/>
          <w:sz w:val="22"/>
          <w:lang w:val="es-ES_tradnl"/>
        </w:rPr>
        <w:t xml:space="preserve"> C-074 del 10 de marzo de 2022</w:t>
      </w:r>
      <w:r w:rsidRPr="00BB6814">
        <w:rPr>
          <w:rFonts w:ascii="Arial" w:hAnsi="Arial" w:eastAsia="Calibri" w:cs="Arial"/>
          <w:bCs/>
          <w:color w:val="000000" w:themeColor="text1"/>
          <w:sz w:val="22"/>
          <w:lang w:val="es-ES_tradnl"/>
        </w:rPr>
        <w:t xml:space="preserve">. </w:t>
      </w:r>
      <w:r w:rsidRPr="00446B03" w:rsidR="008D530D">
        <w:rPr>
          <w:rFonts w:ascii="Arial" w:hAnsi="Arial" w:eastAsia="Calibri" w:cs="Arial"/>
          <w:bCs/>
          <w:sz w:val="22"/>
        </w:rPr>
        <w:t>La</w:t>
      </w:r>
      <w:r w:rsidR="000F6DB4">
        <w:rPr>
          <w:rFonts w:ascii="Arial" w:hAnsi="Arial" w:eastAsia="Calibri" w:cs="Arial"/>
          <w:bCs/>
          <w:sz w:val="22"/>
        </w:rPr>
        <w:t>s</w:t>
      </w:r>
      <w:r w:rsidRPr="00446B03" w:rsidR="008D530D">
        <w:rPr>
          <w:rFonts w:ascii="Arial" w:hAnsi="Arial" w:eastAsia="Calibri" w:cs="Arial"/>
          <w:bCs/>
          <w:sz w:val="22"/>
        </w:rPr>
        <w:t xml:space="preserve"> tesis desarrollada</w:t>
      </w:r>
      <w:r w:rsidR="000F6DB4">
        <w:rPr>
          <w:rFonts w:ascii="Arial" w:hAnsi="Arial" w:eastAsia="Calibri" w:cs="Arial"/>
          <w:bCs/>
          <w:sz w:val="22"/>
        </w:rPr>
        <w:t>s</w:t>
      </w:r>
      <w:r w:rsidRPr="00446B03" w:rsidR="008D530D">
        <w:rPr>
          <w:rFonts w:ascii="Arial" w:hAnsi="Arial" w:eastAsia="Calibri" w:cs="Arial"/>
          <w:bCs/>
          <w:sz w:val="22"/>
        </w:rPr>
        <w:t xml:space="preserve"> en estos conceptos se</w:t>
      </w:r>
      <w:r w:rsidR="008D530D">
        <w:rPr>
          <w:rFonts w:ascii="Arial" w:hAnsi="Arial" w:eastAsia="Calibri" w:cs="Arial"/>
          <w:bCs/>
          <w:sz w:val="22"/>
        </w:rPr>
        <w:t xml:space="preserve"> reitera</w:t>
      </w:r>
      <w:r w:rsidR="000F6DB4">
        <w:rPr>
          <w:rFonts w:ascii="Arial" w:hAnsi="Arial" w:eastAsia="Calibri" w:cs="Arial"/>
          <w:bCs/>
          <w:sz w:val="22"/>
        </w:rPr>
        <w:t>n</w:t>
      </w:r>
      <w:r w:rsidR="008D530D">
        <w:rPr>
          <w:rFonts w:ascii="Arial" w:hAnsi="Arial" w:eastAsia="Calibri" w:cs="Arial"/>
          <w:bCs/>
          <w:sz w:val="22"/>
        </w:rPr>
        <w:t xml:space="preserve"> y</w:t>
      </w:r>
      <w:r w:rsidRPr="00446B03" w:rsidR="008D530D">
        <w:rPr>
          <w:rFonts w:ascii="Arial" w:hAnsi="Arial" w:eastAsia="Calibri" w:cs="Arial"/>
          <w:bCs/>
          <w:sz w:val="22"/>
        </w:rPr>
        <w:t xml:space="preserve"> complementa</w:t>
      </w:r>
      <w:r w:rsidR="000F6DB4">
        <w:rPr>
          <w:rFonts w:ascii="Arial" w:hAnsi="Arial" w:eastAsia="Calibri" w:cs="Arial"/>
          <w:bCs/>
          <w:sz w:val="22"/>
        </w:rPr>
        <w:t>n</w:t>
      </w:r>
      <w:r w:rsidRPr="00446B03" w:rsidR="008D530D">
        <w:rPr>
          <w:rFonts w:ascii="Arial" w:hAnsi="Arial" w:eastAsia="Calibri" w:cs="Arial"/>
          <w:bCs/>
          <w:sz w:val="22"/>
        </w:rPr>
        <w:t xml:space="preserve"> a continuación:</w:t>
      </w:r>
    </w:p>
    <w:p w:rsidRPr="00C84F90" w:rsidR="00C84F90" w:rsidP="00FD7DA9" w:rsidRDefault="00C84F90" w14:paraId="30892195" w14:textId="35B162B2">
      <w:pPr>
        <w:spacing w:line="276" w:lineRule="auto"/>
        <w:ind w:firstLine="709"/>
        <w:jc w:val="both"/>
        <w:rPr>
          <w:rFonts w:ascii="Arial" w:hAnsi="Arial" w:eastAsia="Calibri" w:cs="Arial"/>
          <w:b/>
          <w:bCs/>
          <w:sz w:val="22"/>
          <w:szCs w:val="22"/>
          <w:lang w:eastAsia="en-US"/>
        </w:rPr>
      </w:pPr>
    </w:p>
    <w:p w:rsidRPr="00C84F90" w:rsidR="00C84F90" w:rsidP="00C84F90" w:rsidRDefault="00C84F90" w14:paraId="17DA2C8B" w14:textId="77777777">
      <w:pPr>
        <w:tabs>
          <w:tab w:val="left" w:pos="426"/>
        </w:tabs>
        <w:spacing w:line="276" w:lineRule="auto"/>
        <w:jc w:val="both"/>
        <w:rPr>
          <w:rFonts w:ascii="Arial" w:hAnsi="Arial" w:eastAsia="Calibri" w:cs="Arial"/>
          <w:b/>
          <w:bCs/>
          <w:sz w:val="22"/>
          <w:szCs w:val="22"/>
          <w:lang w:eastAsia="en-US"/>
        </w:rPr>
      </w:pPr>
      <w:r w:rsidRPr="00C84F90">
        <w:rPr>
          <w:rFonts w:ascii="Arial" w:hAnsi="Arial" w:eastAsia="Calibri" w:cs="Arial"/>
          <w:b/>
          <w:bCs/>
          <w:sz w:val="22"/>
          <w:szCs w:val="22"/>
          <w:lang w:eastAsia="en-US"/>
        </w:rPr>
        <w:t>2.1. Definición y finalidad de la Ley de Garantías Electorales: alcance de las restricciones</w:t>
      </w:r>
    </w:p>
    <w:p w:rsidRPr="00C84F90" w:rsidR="00C84F90" w:rsidP="00C84F90" w:rsidRDefault="00C84F90" w14:paraId="27EB9B0D" w14:textId="77777777">
      <w:pPr>
        <w:tabs>
          <w:tab w:val="left" w:pos="426"/>
        </w:tabs>
        <w:spacing w:line="276" w:lineRule="auto"/>
        <w:ind w:firstLine="709"/>
        <w:jc w:val="both"/>
        <w:rPr>
          <w:rFonts w:ascii="Arial" w:hAnsi="Arial" w:eastAsia="Calibri" w:cs="Arial"/>
          <w:bCs/>
          <w:sz w:val="22"/>
          <w:szCs w:val="22"/>
          <w:lang w:eastAsia="en-US"/>
        </w:rPr>
      </w:pPr>
    </w:p>
    <w:p w:rsidRPr="00471C67" w:rsidR="00471C67" w:rsidP="00471C67" w:rsidRDefault="00471C67" w14:paraId="3F6484D7" w14:textId="77777777">
      <w:pPr>
        <w:tabs>
          <w:tab w:val="left" w:pos="426"/>
        </w:tabs>
        <w:spacing w:after="120" w:line="276" w:lineRule="auto"/>
        <w:jc w:val="both"/>
        <w:rPr>
          <w:rFonts w:ascii="Arial" w:hAnsi="Arial" w:cs="Arial"/>
          <w:bCs/>
          <w:sz w:val="22"/>
          <w:szCs w:val="22"/>
          <w:lang w:eastAsia="es-CO"/>
        </w:rPr>
      </w:pPr>
      <w:r w:rsidRPr="00471C67">
        <w:rPr>
          <w:rFonts w:ascii="Arial" w:hAnsi="Arial" w:eastAsia="Calibri" w:cs="Arial"/>
          <w:bCs/>
          <w:sz w:val="22"/>
          <w:szCs w:val="22"/>
        </w:rPr>
        <w:t>El ordenamiento jurídico colombiano contempla previsiones claras para evitar la obtención de beneficios personales en asuntos propios de la administración pública</w:t>
      </w:r>
      <w:r w:rsidRPr="00471C67">
        <w:rPr>
          <w:rFonts w:ascii="Arial" w:hAnsi="Arial" w:eastAsia="Calibri" w:cs="Arial"/>
          <w:bCs/>
          <w:i/>
          <w:iCs/>
          <w:sz w:val="22"/>
          <w:szCs w:val="22"/>
        </w:rPr>
        <w:t xml:space="preserve">. </w:t>
      </w:r>
      <w:r w:rsidRPr="00471C67">
        <w:rPr>
          <w:rFonts w:ascii="Arial" w:hAnsi="Arial" w:eastAsia="Calibri" w:cs="Arial"/>
          <w:bCs/>
          <w:sz w:val="22"/>
          <w:szCs w:val="22"/>
        </w:rPr>
        <w:t>Por ejemplo, el artículo 127 de la Constitución Política establece una prohibición contractual a los servidores públicos y en cuanto a aspectos políticos consagra restricciones a ciertos empleados del Estado, incluso en época no electoral</w:t>
      </w:r>
      <w:r w:rsidRPr="00471C67">
        <w:rPr>
          <w:rFonts w:ascii="Arial" w:hAnsi="Arial" w:eastAsia="Calibri" w:cs="Arial"/>
          <w:bCs/>
          <w:sz w:val="22"/>
          <w:szCs w:val="22"/>
          <w:vertAlign w:val="superscript"/>
        </w:rPr>
        <w:footnoteReference w:id="2"/>
      </w:r>
      <w:r w:rsidRPr="00471C67">
        <w:rPr>
          <w:rFonts w:ascii="Arial" w:hAnsi="Arial" w:eastAsia="Calibri" w:cs="Arial"/>
          <w:bCs/>
          <w:sz w:val="22"/>
          <w:szCs w:val="22"/>
        </w:rPr>
        <w:t xml:space="preserve">. </w:t>
      </w:r>
    </w:p>
    <w:p w:rsidRPr="00471C67" w:rsidR="00471C67" w:rsidP="00471C67" w:rsidRDefault="00471C67" w14:paraId="0E48FF48" w14:textId="77777777">
      <w:pPr>
        <w:tabs>
          <w:tab w:val="left" w:pos="426"/>
        </w:tabs>
        <w:spacing w:line="276" w:lineRule="auto"/>
        <w:ind w:firstLine="709"/>
        <w:jc w:val="both"/>
        <w:rPr>
          <w:rFonts w:ascii="Arial" w:hAnsi="Arial" w:cs="Arial"/>
          <w:bCs/>
          <w:sz w:val="22"/>
          <w:szCs w:val="22"/>
          <w:lang w:val="es-MX" w:eastAsia="es-CO"/>
        </w:rPr>
      </w:pPr>
      <w:r w:rsidRPr="00471C67">
        <w:rPr>
          <w:rFonts w:ascii="Arial" w:hAnsi="Arial" w:cs="Arial"/>
          <w:bCs/>
          <w:sz w:val="22"/>
          <w:szCs w:val="22"/>
          <w:lang w:eastAsia="es-CO"/>
        </w:rPr>
        <w:t>En el mismo sentido</w:t>
      </w:r>
      <w:r w:rsidRPr="00471C67">
        <w:rPr>
          <w:rFonts w:ascii="Arial" w:hAnsi="Arial" w:cs="Arial"/>
          <w:bCs/>
          <w:sz w:val="22"/>
          <w:szCs w:val="22"/>
          <w:lang w:val="es-MX" w:eastAsia="es-CO"/>
        </w:rPr>
        <w:t xml:space="preserve">, </w:t>
      </w:r>
      <w:bookmarkStart w:name="_Hlk99576829" w:id="6"/>
      <w:r w:rsidRPr="00471C67">
        <w:rPr>
          <w:rFonts w:ascii="Arial" w:hAnsi="Arial" w:cs="Arial"/>
          <w:bCs/>
          <w:sz w:val="22"/>
          <w:szCs w:val="22"/>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71C67">
        <w:rPr>
          <w:rFonts w:ascii="Arial" w:hAnsi="Arial" w:cs="Arial"/>
          <w:bCs/>
          <w:sz w:val="22"/>
          <w:szCs w:val="22"/>
          <w:vertAlign w:val="superscript"/>
          <w:lang w:val="es-MX" w:eastAsia="es-CO"/>
        </w:rPr>
        <w:footnoteReference w:id="3"/>
      </w:r>
      <w:r w:rsidRPr="00471C67">
        <w:rPr>
          <w:rFonts w:ascii="Arial" w:hAnsi="Arial" w:cs="Arial"/>
          <w:bCs/>
          <w:sz w:val="22"/>
          <w:szCs w:val="22"/>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471C67">
        <w:rPr>
          <w:rFonts w:ascii="Arial" w:hAnsi="Arial" w:eastAsia="Calibri" w:cs="Arial"/>
          <w:noProof/>
          <w:sz w:val="22"/>
          <w:szCs w:val="22"/>
          <w:lang w:val="es-ES_tradnl"/>
        </w:rPr>
        <w:t xml:space="preserve"> </w:t>
      </w:r>
      <w:bookmarkEnd w:id="6"/>
      <w:r w:rsidRPr="00471C67">
        <w:rPr>
          <w:rFonts w:ascii="Arial" w:hAnsi="Arial" w:cs="Arial"/>
          <w:bCs/>
          <w:sz w:val="22"/>
          <w:szCs w:val="22"/>
          <w:lang w:val="es-MX" w:eastAsia="es-CO"/>
        </w:rPr>
        <w:t>En armonía con lo anterior, la Corte Constitucional ha abordado la definición de la Ley de Garantías Electorales. De esta manera, explica que tiene como propósito:</w:t>
      </w:r>
    </w:p>
    <w:p w:rsidRPr="00471C67" w:rsidR="00471C67" w:rsidP="00471C67" w:rsidRDefault="00471C67" w14:paraId="21761D90" w14:textId="77777777">
      <w:pPr>
        <w:spacing w:line="276" w:lineRule="auto"/>
        <w:ind w:right="709"/>
        <w:contextualSpacing/>
        <w:jc w:val="both"/>
        <w:rPr>
          <w:rFonts w:ascii="Arial" w:hAnsi="Arial" w:cs="Arial"/>
          <w:sz w:val="22"/>
          <w:szCs w:val="22"/>
          <w:lang w:val="es-ES" w:eastAsia="es-CO"/>
        </w:rPr>
      </w:pPr>
    </w:p>
    <w:p w:rsidRPr="006C314F" w:rsidR="00471C67" w:rsidP="00471C67" w:rsidRDefault="00471C67" w14:paraId="2B42D08E" w14:textId="740FC6E4">
      <w:pPr>
        <w:ind w:left="709" w:right="709"/>
        <w:contextualSpacing/>
        <w:jc w:val="both"/>
        <w:rPr>
          <w:rFonts w:ascii="Arial" w:hAnsi="Arial" w:cs="Arial"/>
          <w:bCs/>
          <w:sz w:val="21"/>
          <w:szCs w:val="21"/>
          <w:lang w:val="es-MX" w:eastAsia="es-CO"/>
        </w:rPr>
      </w:pPr>
      <w:r w:rsidRPr="006C314F">
        <w:rPr>
          <w:rFonts w:ascii="Arial" w:hAnsi="Arial" w:cs="Arial"/>
          <w:sz w:val="21"/>
          <w:szCs w:val="21"/>
          <w:lang w:val="es-ES" w:eastAsia="es-CO"/>
        </w:rPr>
        <w:t xml:space="preserve">[…] </w:t>
      </w:r>
      <w:r w:rsidRPr="006C314F">
        <w:rPr>
          <w:rFonts w:ascii="Arial" w:hAnsi="Arial" w:cs="Arial"/>
          <w:bCs/>
          <w:sz w:val="21"/>
          <w:szCs w:val="21"/>
          <w:lang w:val="es-MX" w:eastAsia="es-CO"/>
        </w:rPr>
        <w:t>la definición de reglas claras que permitan acceder a los canales de expresión democrática de manera efectiva e igualitaria. El objetivo de una ley de garantías es definir esas reglas.</w:t>
      </w:r>
    </w:p>
    <w:p w:rsidRPr="006C314F" w:rsidR="00471C67" w:rsidP="00471C67" w:rsidRDefault="00471C67" w14:paraId="3D479674" w14:textId="77777777">
      <w:pPr>
        <w:ind w:left="709" w:right="709"/>
        <w:contextualSpacing/>
        <w:jc w:val="both"/>
        <w:rPr>
          <w:rFonts w:ascii="Arial" w:hAnsi="Arial" w:cs="Arial"/>
          <w:bCs/>
          <w:sz w:val="21"/>
          <w:szCs w:val="21"/>
          <w:lang w:val="es-MX" w:eastAsia="es-CO"/>
        </w:rPr>
      </w:pPr>
      <w:r w:rsidRPr="006C314F">
        <w:rPr>
          <w:rFonts w:ascii="Arial" w:hAnsi="Arial" w:cs="Arial"/>
          <w:bCs/>
          <w:sz w:val="21"/>
          <w:szCs w:val="21"/>
          <w:lang w:val="es-MX" w:eastAsia="es-CO"/>
        </w:rPr>
        <w:t xml:space="preserve">[…] </w:t>
      </w:r>
    </w:p>
    <w:p w:rsidRPr="006C314F" w:rsidR="00471C67" w:rsidP="00FD7DA9" w:rsidRDefault="00471C67" w14:paraId="7E63A2D3" w14:textId="77777777">
      <w:pPr>
        <w:ind w:right="709"/>
        <w:contextualSpacing/>
        <w:jc w:val="both"/>
        <w:rPr>
          <w:rFonts w:ascii="Arial" w:hAnsi="Arial" w:cs="Arial"/>
          <w:bCs/>
          <w:sz w:val="21"/>
          <w:szCs w:val="21"/>
          <w:lang w:val="es-MX" w:eastAsia="es-CO"/>
        </w:rPr>
      </w:pPr>
    </w:p>
    <w:p w:rsidRPr="006C314F" w:rsidR="00471C67" w:rsidP="00471C67" w:rsidRDefault="00471C67" w14:paraId="4F6A6BD1" w14:textId="77777777">
      <w:pPr>
        <w:ind w:left="709" w:right="709"/>
        <w:contextualSpacing/>
        <w:jc w:val="both"/>
        <w:rPr>
          <w:rFonts w:ascii="Arial" w:hAnsi="Arial" w:cs="Arial"/>
          <w:bCs/>
          <w:sz w:val="21"/>
          <w:szCs w:val="21"/>
          <w:lang w:val="es-MX" w:eastAsia="es-CO"/>
        </w:rPr>
      </w:pPr>
      <w:r w:rsidRPr="006C314F">
        <w:rPr>
          <w:rFonts w:ascii="Arial" w:hAnsi="Arial" w:cs="Arial"/>
          <w:bCs/>
          <w:sz w:val="21"/>
          <w:szCs w:val="21"/>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6C314F">
        <w:rPr>
          <w:rFonts w:ascii="Arial" w:hAnsi="Arial" w:eastAsia="Calibri" w:cs="Arial"/>
          <w:sz w:val="20"/>
          <w:szCs w:val="20"/>
          <w:vertAlign w:val="superscript"/>
          <w:lang w:val="es-MX"/>
        </w:rPr>
        <w:footnoteReference w:id="4"/>
      </w:r>
    </w:p>
    <w:p w:rsidRPr="00471C67" w:rsidR="00471C67" w:rsidP="00471C67" w:rsidRDefault="00471C67" w14:paraId="40B711CF" w14:textId="77777777">
      <w:pPr>
        <w:spacing w:line="276" w:lineRule="auto"/>
        <w:ind w:left="709" w:right="709"/>
        <w:contextualSpacing/>
        <w:jc w:val="both"/>
        <w:rPr>
          <w:rFonts w:ascii="Arial" w:hAnsi="Arial" w:cs="Arial"/>
          <w:bCs/>
          <w:sz w:val="22"/>
          <w:szCs w:val="22"/>
          <w:lang w:val="es-MX" w:eastAsia="es-CO"/>
        </w:rPr>
      </w:pPr>
    </w:p>
    <w:p w:rsidRPr="00471C67" w:rsidR="00471C67" w:rsidP="00471C67" w:rsidRDefault="00471C67" w14:paraId="4A3306B8" w14:textId="1C4E1A28">
      <w:pPr>
        <w:spacing w:line="276" w:lineRule="auto"/>
        <w:ind w:firstLine="709"/>
        <w:jc w:val="both"/>
        <w:rPr>
          <w:rFonts w:ascii="Arial" w:hAnsi="Arial" w:cs="Arial"/>
          <w:bCs/>
          <w:sz w:val="22"/>
          <w:szCs w:val="22"/>
          <w:lang w:val="es-MX" w:eastAsia="es-CO"/>
        </w:rPr>
      </w:pPr>
      <w:bookmarkStart w:name="_Hlk78818186" w:id="7"/>
      <w:r w:rsidRPr="00471C67">
        <w:rPr>
          <w:rFonts w:ascii="Arial" w:hAnsi="Arial" w:cs="Arial"/>
          <w:bCs/>
          <w:sz w:val="22"/>
          <w:szCs w:val="22"/>
          <w:lang w:val="es-MX"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7"/>
      <w:r w:rsidRPr="00471C67">
        <w:rPr>
          <w:rFonts w:ascii="Arial" w:hAnsi="Arial" w:cs="Arial"/>
          <w:bCs/>
          <w:sz w:val="22"/>
          <w:szCs w:val="22"/>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rsidRPr="00471C67" w:rsidR="00471C67" w:rsidP="00471C67" w:rsidRDefault="00471C67" w14:paraId="2295967D" w14:textId="77777777">
      <w:pPr>
        <w:spacing w:line="276" w:lineRule="auto"/>
        <w:ind w:firstLine="709"/>
        <w:contextualSpacing/>
        <w:jc w:val="both"/>
        <w:rPr>
          <w:rFonts w:ascii="Arial" w:hAnsi="Arial" w:cs="Arial"/>
          <w:bCs/>
          <w:sz w:val="22"/>
          <w:szCs w:val="22"/>
          <w:lang w:val="es-MX" w:eastAsia="es-CO"/>
        </w:rPr>
      </w:pPr>
    </w:p>
    <w:p w:rsidRPr="006C314F" w:rsidR="00471C67" w:rsidP="00471C67" w:rsidRDefault="00471C67" w14:paraId="5FBB047D" w14:textId="77777777">
      <w:pPr>
        <w:ind w:left="709" w:right="709"/>
        <w:contextualSpacing/>
        <w:jc w:val="both"/>
        <w:rPr>
          <w:rFonts w:ascii="Arial" w:hAnsi="Arial" w:cs="Arial"/>
          <w:bCs/>
          <w:sz w:val="21"/>
          <w:szCs w:val="21"/>
          <w:lang w:val="es-MX" w:eastAsia="es-CO"/>
        </w:rPr>
      </w:pPr>
      <w:r w:rsidRPr="006C314F">
        <w:rPr>
          <w:rFonts w:ascii="Arial" w:hAnsi="Arial" w:cs="Arial"/>
          <w:bCs/>
          <w:sz w:val="21"/>
          <w:szCs w:val="21"/>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6C314F">
        <w:rPr>
          <w:rFonts w:ascii="Arial" w:hAnsi="Arial" w:cs="Arial"/>
          <w:bCs/>
          <w:sz w:val="21"/>
          <w:szCs w:val="21"/>
          <w:lang w:val="es-MX" w:eastAsia="es-CO"/>
        </w:rPr>
        <w:t>legis</w:t>
      </w:r>
      <w:proofErr w:type="spellEnd"/>
      <w:r w:rsidRPr="006C314F">
        <w:rPr>
          <w:rFonts w:ascii="Arial" w:hAnsi="Arial" w:cs="Arial"/>
          <w:bCs/>
          <w:sz w:val="21"/>
          <w:szCs w:val="21"/>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rsidRPr="006C314F" w:rsidR="00471C67" w:rsidP="00471C67" w:rsidRDefault="00471C67" w14:paraId="24A80967" w14:textId="77777777">
      <w:pPr>
        <w:ind w:left="709" w:right="709"/>
        <w:contextualSpacing/>
        <w:jc w:val="both"/>
        <w:rPr>
          <w:rFonts w:ascii="Arial" w:hAnsi="Arial" w:cs="Arial"/>
          <w:bCs/>
          <w:sz w:val="21"/>
          <w:szCs w:val="21"/>
          <w:lang w:val="es-MX" w:eastAsia="es-CO"/>
        </w:rPr>
      </w:pPr>
    </w:p>
    <w:p w:rsidRPr="006C314F" w:rsidR="00471C67" w:rsidP="00471C67" w:rsidRDefault="00471C67" w14:paraId="5D7D6DA9" w14:textId="77777777">
      <w:pPr>
        <w:ind w:left="709" w:right="709"/>
        <w:contextualSpacing/>
        <w:jc w:val="both"/>
        <w:rPr>
          <w:rFonts w:ascii="Arial" w:hAnsi="Arial" w:cs="Arial"/>
          <w:bCs/>
          <w:sz w:val="21"/>
          <w:szCs w:val="21"/>
          <w:lang w:val="es-MX" w:eastAsia="es-CO"/>
        </w:rPr>
      </w:pPr>
      <w:r w:rsidRPr="006C314F">
        <w:rPr>
          <w:rFonts w:ascii="Arial" w:hAnsi="Arial" w:cs="Arial"/>
          <w:bCs/>
          <w:sz w:val="21"/>
          <w:szCs w:val="21"/>
          <w:lang w:val="es-MX" w:eastAsia="es-CO"/>
        </w:rPr>
        <w:t>La jurisprudencia de la Corte Constitucional</w:t>
      </w:r>
      <w:r w:rsidRPr="006C314F">
        <w:rPr>
          <w:rFonts w:ascii="Arial" w:hAnsi="Arial" w:cs="Arial"/>
          <w:bCs/>
          <w:sz w:val="21"/>
          <w:szCs w:val="21"/>
          <w:vertAlign w:val="superscript"/>
          <w:lang w:val="es-MX" w:eastAsia="es-CO"/>
        </w:rPr>
        <w:footnoteReference w:id="5"/>
      </w:r>
      <w:r w:rsidRPr="006C314F">
        <w:rPr>
          <w:rFonts w:ascii="Arial" w:hAnsi="Arial" w:cs="Arial"/>
          <w:bCs/>
          <w:sz w:val="21"/>
          <w:szCs w:val="21"/>
          <w:lang w:val="es-MX" w:eastAsia="es-CO"/>
        </w:rPr>
        <w:t> y del Consejo de Estado</w:t>
      </w:r>
      <w:r w:rsidRPr="006C314F">
        <w:rPr>
          <w:rFonts w:ascii="Arial" w:hAnsi="Arial" w:cs="Arial"/>
          <w:bCs/>
          <w:sz w:val="21"/>
          <w:szCs w:val="21"/>
          <w:vertAlign w:val="superscript"/>
          <w:lang w:val="es-MX" w:eastAsia="es-CO"/>
        </w:rPr>
        <w:footnoteReference w:id="6"/>
      </w:r>
      <w:r w:rsidRPr="006C314F">
        <w:rPr>
          <w:rFonts w:ascii="Arial" w:hAnsi="Arial" w:cs="Arial"/>
          <w:bCs/>
          <w:sz w:val="21"/>
          <w:szCs w:val="21"/>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w:t>
      </w:r>
      <w:r w:rsidRPr="006C314F">
        <w:rPr>
          <w:rFonts w:ascii="Arial" w:hAnsi="Arial" w:cs="Arial"/>
          <w:bCs/>
          <w:sz w:val="21"/>
          <w:szCs w:val="21"/>
          <w:lang w:val="es-MX" w:eastAsia="es-CO"/>
        </w:rPr>
        <w:t>libertad de actuar o capacidad de obrar, sobrepasar sus precisos términos comporta el desconocimiento de la voluntad del legislador</w:t>
      </w:r>
      <w:r w:rsidRPr="006C314F">
        <w:rPr>
          <w:rFonts w:ascii="Arial" w:hAnsi="Arial" w:cs="Arial"/>
          <w:bCs/>
          <w:vertAlign w:val="superscript"/>
          <w:lang w:val="es-MX" w:eastAsia="es-CO"/>
        </w:rPr>
        <w:footnoteReference w:id="7"/>
      </w:r>
      <w:r w:rsidRPr="006C314F">
        <w:rPr>
          <w:rFonts w:ascii="Arial" w:hAnsi="Arial" w:cs="Arial"/>
          <w:bCs/>
          <w:sz w:val="21"/>
          <w:szCs w:val="21"/>
          <w:lang w:val="es-MX" w:eastAsia="es-CO"/>
        </w:rPr>
        <w:t>.</w:t>
      </w:r>
    </w:p>
    <w:p w:rsidRPr="00471C67" w:rsidR="00471C67" w:rsidP="00471C67" w:rsidRDefault="00471C67" w14:paraId="2FE4E3E8" w14:textId="77777777">
      <w:pPr>
        <w:spacing w:line="276" w:lineRule="auto"/>
        <w:ind w:right="709"/>
        <w:contextualSpacing/>
        <w:jc w:val="both"/>
        <w:rPr>
          <w:rFonts w:ascii="Arial" w:hAnsi="Arial" w:cs="Arial"/>
          <w:bCs/>
          <w:sz w:val="22"/>
          <w:szCs w:val="22"/>
          <w:lang w:val="es-MX" w:eastAsia="es-CO"/>
        </w:rPr>
      </w:pPr>
    </w:p>
    <w:p w:rsidRPr="00471C67" w:rsidR="00471C67" w:rsidP="00471C67" w:rsidRDefault="00471C67" w14:paraId="7B080A41" w14:textId="02BF1043">
      <w:pPr>
        <w:spacing w:after="120" w:line="276" w:lineRule="auto"/>
        <w:jc w:val="both"/>
        <w:rPr>
          <w:rFonts w:ascii="Arial" w:hAnsi="Arial" w:eastAsia="Arial" w:cs="Arial"/>
          <w:sz w:val="22"/>
          <w:szCs w:val="22"/>
          <w:lang w:val="es-ES" w:eastAsia="es-ES" w:bidi="es-ES"/>
        </w:rPr>
      </w:pPr>
      <w:r w:rsidRPr="00471C67">
        <w:rPr>
          <w:rFonts w:ascii="Arial" w:hAnsi="Arial" w:cs="Arial"/>
          <w:bCs/>
          <w:sz w:val="22"/>
          <w:szCs w:val="22"/>
          <w:lang w:val="es-MX" w:eastAsia="es-CO"/>
        </w:rPr>
        <w:tab/>
      </w:r>
      <w:r w:rsidRPr="00471C67">
        <w:rPr>
          <w:rFonts w:ascii="Arial" w:hAnsi="Arial" w:cs="Arial"/>
          <w:bCs/>
          <w:sz w:val="22"/>
          <w:szCs w:val="22"/>
          <w:lang w:val="es-MX" w:eastAsia="es-CO"/>
        </w:rPr>
        <w:t>De</w:t>
      </w:r>
      <w:r w:rsidRPr="00471C67">
        <w:rPr>
          <w:rFonts w:ascii="Arial" w:hAnsi="Arial" w:eastAsia="Arial" w:cs="Arial"/>
          <w:sz w:val="22"/>
          <w:szCs w:val="22"/>
          <w:lang w:val="es-ES" w:eastAsia="es-ES" w:bidi="es-ES"/>
        </w:rPr>
        <w:t xml:space="preserve"> conformidad con lo anterior, </w:t>
      </w:r>
      <w:bookmarkStart w:name="_Hlk77236098" w:id="8"/>
      <w:r w:rsidRPr="00471C67">
        <w:rPr>
          <w:rFonts w:ascii="Arial" w:hAnsi="Arial" w:eastAsia="Arial" w:cs="Arial"/>
          <w:sz w:val="22"/>
          <w:szCs w:val="22"/>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8"/>
    </w:p>
    <w:p w:rsidRPr="00471C67" w:rsidR="00471C67" w:rsidP="00471C67" w:rsidRDefault="00471C67" w14:paraId="7E7E4AAF" w14:textId="77777777">
      <w:pPr>
        <w:spacing w:after="120" w:line="276" w:lineRule="auto"/>
        <w:ind w:firstLine="708"/>
        <w:jc w:val="both"/>
        <w:rPr>
          <w:rFonts w:ascii="Arial" w:hAnsi="Arial" w:eastAsia="Calibri" w:cs="Arial"/>
          <w:sz w:val="22"/>
          <w:szCs w:val="22"/>
        </w:rPr>
      </w:pPr>
      <w:r w:rsidRPr="00471C67">
        <w:rPr>
          <w:rFonts w:ascii="Arial" w:hAnsi="Arial" w:eastAsia="Calibri" w:cs="Arial"/>
          <w:sz w:val="22"/>
          <w:szCs w:val="22"/>
        </w:rPr>
        <w:t xml:space="preserve">Por un lado, el artículo 33 de la Ley 996 de 2005 prohíbe </w:t>
      </w:r>
      <w:r w:rsidRPr="00471C67">
        <w:rPr>
          <w:rFonts w:ascii="Arial" w:hAnsi="Arial" w:eastAsia="Calibri" w:cs="Arial"/>
          <w:bCs/>
          <w:sz w:val="22"/>
          <w:szCs w:val="22"/>
        </w:rPr>
        <w:t xml:space="preserve">«[…] </w:t>
      </w:r>
      <w:r w:rsidRPr="00471C67">
        <w:rPr>
          <w:rFonts w:ascii="Arial" w:hAnsi="Arial" w:eastAsia="Calibri" w:cs="Arial"/>
          <w:sz w:val="22"/>
          <w:szCs w:val="22"/>
        </w:rPr>
        <w:t>la contratación directa por parte de todos los entes del Estado</w:t>
      </w:r>
      <w:r w:rsidRPr="00471C67">
        <w:rPr>
          <w:rFonts w:ascii="Arial" w:hAnsi="Arial" w:eastAsia="Calibri" w:cs="Arial"/>
          <w:bCs/>
          <w:sz w:val="22"/>
          <w:szCs w:val="22"/>
        </w:rPr>
        <w:t>»</w:t>
      </w:r>
      <w:r w:rsidRPr="00471C67">
        <w:rPr>
          <w:rFonts w:ascii="Arial" w:hAnsi="Arial" w:eastAsia="Calibri" w:cs="Arial"/>
          <w:sz w:val="22"/>
          <w:szCs w:val="22"/>
        </w:rPr>
        <w:t xml:space="preserve"> durante los cuatro (4) meses anteriores a las elecciones presidenciales, salvo </w:t>
      </w:r>
      <w:r w:rsidRPr="00471C67">
        <w:rPr>
          <w:rFonts w:ascii="Arial" w:hAnsi="Arial" w:eastAsia="Calibri" w:cs="Arial"/>
          <w:bCs/>
          <w:sz w:val="22"/>
          <w:szCs w:val="22"/>
        </w:rPr>
        <w:t xml:space="preserve">«[…] </w:t>
      </w:r>
      <w:r w:rsidRPr="00471C67">
        <w:rPr>
          <w:rFonts w:ascii="Arial" w:hAnsi="Arial" w:eastAsia="Calibri" w:cs="Arial"/>
          <w:sz w:val="22"/>
          <w:szCs w:val="22"/>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71C67">
        <w:rPr>
          <w:rFonts w:ascii="Arial" w:hAnsi="Arial" w:eastAsia="Calibri" w:cs="Arial"/>
          <w:bCs/>
          <w:sz w:val="22"/>
          <w:szCs w:val="22"/>
        </w:rPr>
        <w:t>»</w:t>
      </w:r>
      <w:r w:rsidRPr="00471C67">
        <w:rPr>
          <w:rFonts w:ascii="Arial" w:hAnsi="Arial" w:eastAsia="Calibri" w:cs="Arial"/>
          <w:bCs/>
          <w:sz w:val="22"/>
          <w:szCs w:val="22"/>
          <w:vertAlign w:val="superscript"/>
        </w:rPr>
        <w:footnoteReference w:id="8"/>
      </w:r>
      <w:r w:rsidRPr="00471C67">
        <w:rPr>
          <w:rFonts w:ascii="Arial" w:hAnsi="Arial" w:eastAsia="Calibri" w:cs="Arial"/>
          <w:sz w:val="22"/>
          <w:szCs w:val="22"/>
        </w:rPr>
        <w:t>.</w:t>
      </w:r>
    </w:p>
    <w:p w:rsidRPr="00471C67" w:rsidR="00471C67" w:rsidP="00471C67" w:rsidRDefault="00471C67" w14:paraId="4E040B24" w14:textId="77777777">
      <w:pPr>
        <w:widowControl w:val="0"/>
        <w:autoSpaceDE w:val="0"/>
        <w:autoSpaceDN w:val="0"/>
        <w:spacing w:line="276" w:lineRule="auto"/>
        <w:ind w:right="113" w:firstLine="708"/>
        <w:contextualSpacing/>
        <w:jc w:val="both"/>
        <w:rPr>
          <w:rFonts w:ascii="Arial" w:hAnsi="Arial" w:eastAsia="Arial" w:cs="Arial"/>
          <w:sz w:val="22"/>
          <w:szCs w:val="22"/>
          <w:lang w:val="es-ES" w:eastAsia="es-ES" w:bidi="es-ES"/>
        </w:rPr>
      </w:pPr>
      <w:r w:rsidRPr="00471C67">
        <w:rPr>
          <w:rFonts w:ascii="Arial" w:hAnsi="Arial" w:eastAsia="Calibri" w:cs="Arial"/>
          <w:sz w:val="22"/>
          <w:szCs w:val="22"/>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471C67">
        <w:rPr>
          <w:rFonts w:ascii="Arial" w:hAnsi="Arial" w:eastAsia="Calibri" w:cs="Arial"/>
          <w:bCs/>
          <w:sz w:val="22"/>
          <w:szCs w:val="22"/>
        </w:rPr>
        <w:t xml:space="preserve">«[…] </w:t>
      </w:r>
      <w:r w:rsidRPr="00471C67">
        <w:rPr>
          <w:rFonts w:ascii="Arial" w:hAnsi="Arial" w:eastAsia="Calibri" w:cs="Arial"/>
          <w:sz w:val="22"/>
          <w:szCs w:val="22"/>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71C67">
        <w:rPr>
          <w:rFonts w:ascii="Arial" w:hAnsi="Arial" w:eastAsia="Calibri" w:cs="Arial"/>
          <w:bCs/>
          <w:sz w:val="22"/>
          <w:szCs w:val="22"/>
        </w:rPr>
        <w:t>»</w:t>
      </w:r>
      <w:r w:rsidRPr="00471C67">
        <w:rPr>
          <w:rFonts w:ascii="Arial" w:hAnsi="Arial" w:eastAsia="Calibri" w:cs="Arial"/>
          <w:bCs/>
          <w:sz w:val="22"/>
          <w:szCs w:val="22"/>
          <w:vertAlign w:val="superscript"/>
        </w:rPr>
        <w:footnoteReference w:id="9"/>
      </w:r>
      <w:r w:rsidRPr="00471C67">
        <w:rPr>
          <w:rFonts w:ascii="Arial" w:hAnsi="Arial" w:eastAsia="Calibri" w:cs="Arial"/>
          <w:sz w:val="22"/>
          <w:szCs w:val="22"/>
          <w:lang w:val="es-MX"/>
        </w:rPr>
        <w:t>.</w:t>
      </w:r>
      <w:r w:rsidRPr="00471C67">
        <w:rPr>
          <w:rFonts w:ascii="Arial" w:hAnsi="Arial" w:eastAsia="Arial" w:cs="Arial"/>
          <w:sz w:val="22"/>
          <w:szCs w:val="22"/>
          <w:lang w:val="es-ES" w:eastAsia="es-ES" w:bidi="es-ES"/>
        </w:rPr>
        <w:t xml:space="preserve"> La Sala de Consulta y Servicio Civil del Consejo de Estado ha aclarado la </w:t>
      </w:r>
      <w:r w:rsidRPr="00471C67">
        <w:rPr>
          <w:rFonts w:ascii="Arial" w:hAnsi="Arial" w:eastAsia="Arial" w:cs="Arial"/>
          <w:sz w:val="22"/>
          <w:szCs w:val="22"/>
          <w:lang w:val="es-ES" w:eastAsia="es-ES" w:bidi="es-ES"/>
        </w:rPr>
        <w:t>distinción en la aplicación de las prohibiciones de la Ley 996 de 2005, dependiendo del tipo de elección que se trate. Al respecto, considera que:</w:t>
      </w:r>
    </w:p>
    <w:p w:rsidRPr="00471C67" w:rsidR="00471C67" w:rsidP="00471C67" w:rsidRDefault="00471C67" w14:paraId="0C2C4FC1" w14:textId="77777777">
      <w:pPr>
        <w:widowControl w:val="0"/>
        <w:autoSpaceDE w:val="0"/>
        <w:autoSpaceDN w:val="0"/>
        <w:spacing w:line="276" w:lineRule="auto"/>
        <w:ind w:left="805" w:right="812"/>
        <w:contextualSpacing/>
        <w:jc w:val="both"/>
        <w:rPr>
          <w:rFonts w:ascii="Arial" w:hAnsi="Arial" w:eastAsia="Arial" w:cs="Arial"/>
          <w:sz w:val="22"/>
          <w:szCs w:val="22"/>
          <w:lang w:val="es-ES" w:eastAsia="es-ES" w:bidi="es-ES"/>
        </w:rPr>
      </w:pPr>
    </w:p>
    <w:p w:rsidRPr="006C314F" w:rsidR="00471C67" w:rsidP="00471C67" w:rsidRDefault="00471C67" w14:paraId="1AFC5344" w14:textId="77777777">
      <w:pPr>
        <w:widowControl w:val="0"/>
        <w:autoSpaceDE w:val="0"/>
        <w:autoSpaceDN w:val="0"/>
        <w:ind w:left="709" w:right="709"/>
        <w:contextualSpacing/>
        <w:jc w:val="both"/>
        <w:rPr>
          <w:rFonts w:ascii="Arial" w:hAnsi="Arial" w:eastAsia="Arial" w:cs="Arial"/>
          <w:sz w:val="21"/>
          <w:szCs w:val="21"/>
          <w:lang w:val="es-ES" w:eastAsia="es-ES" w:bidi="es-ES"/>
        </w:rPr>
      </w:pPr>
      <w:r w:rsidRPr="006C314F">
        <w:rPr>
          <w:rFonts w:ascii="Arial" w:hAnsi="Arial" w:eastAsia="Arial" w:cs="Arial"/>
          <w:sz w:val="21"/>
          <w:szCs w:val="21"/>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name="_Hlk76109421" w:id="11"/>
      <w:r w:rsidRPr="006C314F">
        <w:rPr>
          <w:rFonts w:ascii="Arial" w:hAnsi="Arial" w:eastAsia="Arial" w:cs="Arial"/>
          <w:sz w:val="21"/>
          <w:szCs w:val="21"/>
          <w:lang w:val="es-ES" w:eastAsia="es-ES" w:bidi="es-ES"/>
        </w:rPr>
        <w:t>se integran parcialmente</w:t>
      </w:r>
      <w:bookmarkEnd w:id="11"/>
      <w:r w:rsidRPr="006C314F">
        <w:rPr>
          <w:rFonts w:ascii="Arial" w:hAnsi="Arial" w:eastAsia="Arial" w:cs="Arial"/>
          <w:sz w:val="21"/>
          <w:szCs w:val="21"/>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6C314F">
        <w:rPr>
          <w:rFonts w:ascii="Arial" w:hAnsi="Arial" w:eastAsia="Arial" w:cs="Arial"/>
          <w:bCs/>
          <w:sz w:val="21"/>
          <w:szCs w:val="21"/>
          <w:lang w:val="es-ES" w:eastAsia="es-ES" w:bidi="es-ES"/>
        </w:rPr>
        <w:t xml:space="preserve">En cambio, para elecciones en general, excluyendo las correspondientes a </w:t>
      </w:r>
      <w:proofErr w:type="gramStart"/>
      <w:r w:rsidRPr="006C314F">
        <w:rPr>
          <w:rFonts w:ascii="Arial" w:hAnsi="Arial" w:eastAsia="Arial" w:cs="Arial"/>
          <w:bCs/>
          <w:sz w:val="21"/>
          <w:szCs w:val="21"/>
          <w:lang w:val="es-ES" w:eastAsia="es-ES" w:bidi="es-ES"/>
        </w:rPr>
        <w:t>Presidente</w:t>
      </w:r>
      <w:proofErr w:type="gramEnd"/>
      <w:r w:rsidRPr="006C314F">
        <w:rPr>
          <w:rFonts w:ascii="Arial" w:hAnsi="Arial" w:eastAsia="Arial" w:cs="Arial"/>
          <w:bCs/>
          <w:sz w:val="21"/>
          <w:szCs w:val="21"/>
          <w:lang w:val="es-ES" w:eastAsia="es-ES" w:bidi="es-ES"/>
        </w:rPr>
        <w:t xml:space="preserve"> de la República, a las autoridades territoriales allí mencionadas sólo se aplican las restricciones contenidas en el parágrafo del artículo 38</w:t>
      </w:r>
      <w:r w:rsidRPr="006C314F">
        <w:rPr>
          <w:rFonts w:ascii="Arial" w:hAnsi="Arial" w:eastAsia="Arial" w:cs="Arial"/>
          <w:sz w:val="21"/>
          <w:szCs w:val="21"/>
          <w:lang w:val="es-ES" w:eastAsia="es-ES" w:bidi="es-ES"/>
        </w:rPr>
        <w:t>.</w:t>
      </w:r>
      <w:r w:rsidRPr="006C314F">
        <w:rPr>
          <w:rFonts w:ascii="Arial" w:hAnsi="Arial" w:eastAsia="Arial" w:cs="Arial"/>
          <w:sz w:val="21"/>
          <w:szCs w:val="21"/>
          <w:vertAlign w:val="superscript"/>
          <w:lang w:val="es-ES" w:eastAsia="es-ES" w:bidi="es-ES"/>
        </w:rPr>
        <w:footnoteReference w:id="10"/>
      </w:r>
    </w:p>
    <w:p w:rsidRPr="00471C67" w:rsidR="00471C67" w:rsidP="00471C67" w:rsidRDefault="00471C67" w14:paraId="5D131B5D" w14:textId="77777777">
      <w:pPr>
        <w:widowControl w:val="0"/>
        <w:autoSpaceDE w:val="0"/>
        <w:autoSpaceDN w:val="0"/>
        <w:spacing w:line="276" w:lineRule="auto"/>
        <w:contextualSpacing/>
        <w:rPr>
          <w:rFonts w:ascii="Arial" w:hAnsi="Arial" w:eastAsia="Arial" w:cs="Arial"/>
          <w:sz w:val="22"/>
          <w:szCs w:val="22"/>
          <w:lang w:val="es-ES" w:eastAsia="es-ES" w:bidi="es-ES"/>
        </w:rPr>
      </w:pPr>
    </w:p>
    <w:p w:rsidRPr="00471C67" w:rsidR="00471C67" w:rsidP="00471C67" w:rsidRDefault="00471C67" w14:paraId="410D9973" w14:textId="77777777">
      <w:pPr>
        <w:spacing w:after="120" w:line="276" w:lineRule="auto"/>
        <w:ind w:firstLine="709"/>
        <w:jc w:val="both"/>
        <w:rPr>
          <w:rFonts w:ascii="Arial" w:hAnsi="Arial" w:eastAsia="Arial" w:cs="Arial"/>
          <w:sz w:val="22"/>
          <w:szCs w:val="22"/>
          <w:lang w:val="es-ES" w:eastAsia="es-ES" w:bidi="es-ES"/>
        </w:rPr>
      </w:pPr>
      <w:r w:rsidRPr="00471C67">
        <w:rPr>
          <w:rFonts w:ascii="Arial" w:hAnsi="Arial" w:eastAsia="Arial" w:cs="Arial"/>
          <w:sz w:val="22"/>
          <w:szCs w:val="22"/>
          <w:lang w:val="es-ES" w:eastAsia="es-ES" w:bidi="es-ES"/>
        </w:rPr>
        <w:t xml:space="preserve">De conformidad con lo anterior, </w:t>
      </w:r>
      <w:bookmarkStart w:name="_Hlk77236420" w:id="12"/>
      <w:bookmarkStart w:name="_Hlk78818435" w:id="13"/>
      <w:r w:rsidRPr="00471C67">
        <w:rPr>
          <w:rFonts w:ascii="Arial" w:hAnsi="Arial" w:eastAsia="Arial" w:cs="Arial"/>
          <w:sz w:val="22"/>
          <w:szCs w:val="22"/>
          <w:lang w:val="es-ES" w:eastAsia="es-ES" w:bidi="es-ES"/>
        </w:rPr>
        <w:t xml:space="preserve">la Ley 996 de 2005 establece dos (2) tipos de restricciones en materia de contratación, las cuales coinciden parcialmente. </w:t>
      </w:r>
      <w:r w:rsidRPr="00471C67">
        <w:rPr>
          <w:rFonts w:ascii="Arial" w:hAnsi="Arial" w:eastAsia="Arial" w:cs="Arial"/>
          <w:i/>
          <w:iCs/>
          <w:sz w:val="22"/>
          <w:szCs w:val="22"/>
          <w:lang w:val="es-ES" w:eastAsia="es-ES" w:bidi="es-ES"/>
        </w:rPr>
        <w:t>En primer lugar</w:t>
      </w:r>
      <w:r w:rsidRPr="00471C67">
        <w:rPr>
          <w:rFonts w:ascii="Arial" w:hAnsi="Arial" w:eastAsia="Arial" w:cs="Arial"/>
          <w:sz w:val="22"/>
          <w:szCs w:val="22"/>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71C67">
        <w:rPr>
          <w:rFonts w:ascii="Arial" w:hAnsi="Arial" w:eastAsia="Arial" w:cs="Arial"/>
          <w:i/>
          <w:iCs/>
          <w:sz w:val="22"/>
          <w:szCs w:val="22"/>
          <w:lang w:val="es-ES" w:eastAsia="es-ES" w:bidi="es-ES"/>
        </w:rPr>
        <w:t>En segundo lugar</w:t>
      </w:r>
      <w:r w:rsidRPr="00471C67">
        <w:rPr>
          <w:rFonts w:ascii="Arial" w:hAnsi="Arial" w:eastAsia="Arial" w:cs="Arial"/>
          <w:sz w:val="22"/>
          <w:szCs w:val="22"/>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2"/>
    </w:p>
    <w:bookmarkEnd w:id="13"/>
    <w:p w:rsidRPr="00471C67" w:rsidR="00471C67" w:rsidP="00471C67" w:rsidRDefault="00471C67" w14:paraId="41C4A260" w14:textId="77777777">
      <w:pPr>
        <w:spacing w:after="120" w:line="276" w:lineRule="auto"/>
        <w:ind w:firstLine="709"/>
        <w:jc w:val="both"/>
        <w:rPr>
          <w:rFonts w:ascii="Arial" w:hAnsi="Arial" w:eastAsia="Arial" w:cs="Arial"/>
          <w:sz w:val="22"/>
          <w:szCs w:val="22"/>
          <w:lang w:val="es-ES" w:eastAsia="es-ES" w:bidi="es-ES"/>
        </w:rPr>
      </w:pPr>
      <w:r w:rsidRPr="00471C67">
        <w:rPr>
          <w:rFonts w:ascii="Arial" w:hAnsi="Arial" w:eastAsia="Arial" w:cs="Arial"/>
          <w:sz w:val="22"/>
          <w:szCs w:val="22"/>
          <w:lang w:val="es-ES" w:eastAsia="es-ES" w:bidi="es-ES"/>
        </w:rPr>
        <w:t xml:space="preserve">Ambas restricciones no son excluyentes, lo que permite concluir que en el período preelectoral para elección de </w:t>
      </w:r>
      <w:proofErr w:type="gramStart"/>
      <w:r w:rsidRPr="00471C67">
        <w:rPr>
          <w:rFonts w:ascii="Arial" w:hAnsi="Arial" w:eastAsia="Arial" w:cs="Arial"/>
          <w:sz w:val="22"/>
          <w:szCs w:val="22"/>
          <w:lang w:val="es-ES" w:eastAsia="es-ES" w:bidi="es-ES"/>
        </w:rPr>
        <w:t>Presidente</w:t>
      </w:r>
      <w:proofErr w:type="gramEnd"/>
      <w:r w:rsidRPr="00471C67">
        <w:rPr>
          <w:rFonts w:ascii="Arial" w:hAnsi="Arial" w:eastAsia="Arial" w:cs="Arial"/>
          <w:sz w:val="22"/>
          <w:szCs w:val="22"/>
          <w:lang w:val="es-ES" w:eastAsia="es-ES" w:bidi="es-ES"/>
        </w:rPr>
        <w:t xml:space="preserve"> de la República, a todos los entes del Estado, </w:t>
      </w:r>
      <w:r w:rsidRPr="00471C67">
        <w:rPr>
          <w:rFonts w:ascii="Arial" w:hAnsi="Arial" w:eastAsia="Arial" w:cs="Arial"/>
          <w:sz w:val="22"/>
          <w:szCs w:val="22"/>
          <w:lang w:val="es-ES" w:eastAsia="es-ES" w:bidi="es-ES"/>
        </w:rPr>
        <w:t xml:space="preserve">incluidos los territoriales, aplican las restricciones del artículo 33 con sus excepciones, así como las del parágrafo del artículo 38. En cambio, tratándose de elecciones en general, excluyendo las correspondientes al </w:t>
      </w:r>
      <w:proofErr w:type="gramStart"/>
      <w:r w:rsidRPr="00471C67">
        <w:rPr>
          <w:rFonts w:ascii="Arial" w:hAnsi="Arial" w:eastAsia="Arial" w:cs="Arial"/>
          <w:sz w:val="22"/>
          <w:szCs w:val="22"/>
          <w:lang w:val="es-ES" w:eastAsia="es-ES" w:bidi="es-ES"/>
        </w:rPr>
        <w:t>Presidente</w:t>
      </w:r>
      <w:proofErr w:type="gramEnd"/>
      <w:r w:rsidRPr="00471C67">
        <w:rPr>
          <w:rFonts w:ascii="Arial" w:hAnsi="Arial" w:eastAsia="Arial" w:cs="Arial"/>
          <w:sz w:val="22"/>
          <w:szCs w:val="22"/>
          <w:lang w:val="es-ES" w:eastAsia="es-ES" w:bidi="es-ES"/>
        </w:rPr>
        <w:t xml:space="preserve"> de la República, las autoridades allí mencionadas sólo deben aplicar las restricciones contenidas en el parágrafo del artículo 38.</w:t>
      </w:r>
    </w:p>
    <w:p w:rsidRPr="00471C67" w:rsidR="00471C67" w:rsidP="00471C67" w:rsidRDefault="00471C67" w14:paraId="2F960F4C" w14:textId="77777777">
      <w:pPr>
        <w:spacing w:line="276" w:lineRule="auto"/>
        <w:ind w:firstLine="708"/>
        <w:jc w:val="both"/>
        <w:rPr>
          <w:rFonts w:ascii="Arial" w:hAnsi="Arial" w:eastAsia="Arial" w:cs="Arial"/>
          <w:sz w:val="22"/>
          <w:szCs w:val="22"/>
          <w:lang w:val="es-ES" w:eastAsia="es-ES" w:bidi="es-ES"/>
        </w:rPr>
      </w:pPr>
      <w:r w:rsidRPr="00471C67">
        <w:rPr>
          <w:rFonts w:ascii="Arial" w:hAnsi="Arial" w:eastAsia="Arial" w:cs="Arial"/>
          <w:sz w:val="22"/>
          <w:szCs w:val="22"/>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471C67">
        <w:rPr>
          <w:rFonts w:ascii="Arial" w:hAnsi="Arial" w:eastAsia="Arial" w:cs="Arial"/>
          <w:sz w:val="22"/>
          <w:szCs w:val="22"/>
          <w:lang w:val="es-ES" w:eastAsia="es-ES" w:bidi="es-ES"/>
        </w:rPr>
        <w:t>Presidente</w:t>
      </w:r>
      <w:proofErr w:type="gramEnd"/>
      <w:r w:rsidRPr="00471C67">
        <w:rPr>
          <w:rFonts w:ascii="Arial" w:hAnsi="Arial" w:eastAsia="Arial" w:cs="Arial"/>
          <w:sz w:val="22"/>
          <w:szCs w:val="22"/>
          <w:lang w:val="es-ES" w:eastAsia="es-ES" w:bidi="es-ES"/>
        </w:rPr>
        <w:t xml:space="preserv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rsidRPr="00471C67" w:rsidR="00C84F90" w:rsidP="00C84F90" w:rsidRDefault="00C84F90" w14:paraId="0F2BE1CB" w14:textId="77777777">
      <w:pPr>
        <w:spacing w:line="276" w:lineRule="auto"/>
        <w:jc w:val="both"/>
        <w:rPr>
          <w:rFonts w:ascii="Arial" w:hAnsi="Arial" w:cs="Arial"/>
          <w:bCs/>
          <w:sz w:val="22"/>
          <w:szCs w:val="22"/>
          <w:lang w:val="es-ES" w:eastAsia="es-CO"/>
        </w:rPr>
      </w:pPr>
    </w:p>
    <w:p w:rsidRPr="00C84F90" w:rsidR="00C84F90" w:rsidP="00C84F90" w:rsidRDefault="00C84F90" w14:paraId="2181F267" w14:textId="77777777">
      <w:pPr>
        <w:spacing w:line="276" w:lineRule="auto"/>
        <w:jc w:val="both"/>
        <w:rPr>
          <w:rFonts w:ascii="Arial" w:hAnsi="Arial" w:cs="Arial"/>
          <w:b/>
          <w:sz w:val="22"/>
          <w:szCs w:val="22"/>
          <w:lang w:val="es-ES" w:eastAsia="es-CO"/>
        </w:rPr>
      </w:pPr>
      <w:r w:rsidRPr="00C84F90">
        <w:rPr>
          <w:rFonts w:ascii="Arial" w:hAnsi="Arial" w:cs="Arial"/>
          <w:b/>
          <w:sz w:val="22"/>
          <w:szCs w:val="22"/>
          <w:lang w:val="es-ES" w:eastAsia="es-CO"/>
        </w:rPr>
        <w:t xml:space="preserve">2.2. </w:t>
      </w:r>
      <w:r w:rsidRPr="00C84F90">
        <w:rPr>
          <w:rFonts w:ascii="Arial" w:hAnsi="Arial" w:cs="Arial"/>
          <w:b/>
          <w:bCs/>
          <w:sz w:val="22"/>
          <w:szCs w:val="22"/>
          <w:lang w:val="es-MX" w:eastAsia="es-CO"/>
        </w:rPr>
        <w:t xml:space="preserve">Restricciones en elecciones presidenciales </w:t>
      </w:r>
    </w:p>
    <w:p w:rsidRPr="00C84F90" w:rsidR="00C84F90" w:rsidP="00C84F90" w:rsidRDefault="00C84F90" w14:paraId="113D221A" w14:textId="77777777">
      <w:pPr>
        <w:spacing w:line="276" w:lineRule="auto"/>
        <w:jc w:val="both"/>
        <w:rPr>
          <w:rFonts w:ascii="Arial" w:hAnsi="Arial" w:cs="Arial"/>
          <w:bCs/>
          <w:sz w:val="22"/>
          <w:szCs w:val="22"/>
          <w:lang w:val="es-MX" w:eastAsia="x-none"/>
        </w:rPr>
      </w:pPr>
    </w:p>
    <w:p w:rsidRPr="009311DA" w:rsidR="009311DA" w:rsidP="009311DA" w:rsidRDefault="009311DA" w14:paraId="3FF76A20" w14:textId="77777777">
      <w:pPr>
        <w:spacing w:line="276" w:lineRule="auto"/>
        <w:contextualSpacing/>
        <w:jc w:val="both"/>
        <w:rPr>
          <w:rFonts w:ascii="Arial" w:hAnsi="Arial" w:cs="Arial"/>
          <w:bCs/>
          <w:sz w:val="22"/>
          <w:szCs w:val="22"/>
          <w:lang w:val="es-MX" w:eastAsia="es-CO"/>
        </w:rPr>
      </w:pPr>
      <w:bookmarkStart w:name="_Hlk75783800" w:id="14"/>
      <w:r w:rsidRPr="009311DA">
        <w:rPr>
          <w:rFonts w:ascii="Arial" w:hAnsi="Arial" w:cs="Arial"/>
          <w:bCs/>
          <w:sz w:val="22"/>
          <w:szCs w:val="22"/>
          <w:lang w:val="es-MX" w:eastAsia="x-none"/>
        </w:rPr>
        <w:t xml:space="preserve">El ámbito material de la prohibición contenida </w:t>
      </w:r>
      <w:bookmarkStart w:name="_Hlk75628761" w:id="15"/>
      <w:r w:rsidRPr="009311DA">
        <w:rPr>
          <w:rFonts w:ascii="Arial" w:hAnsi="Arial" w:cs="Arial"/>
          <w:bCs/>
          <w:sz w:val="22"/>
          <w:szCs w:val="22"/>
          <w:lang w:val="es-MX" w:eastAsia="x-none"/>
        </w:rPr>
        <w:t xml:space="preserve">en el artículo 33 de la Ley 996 de 2005 </w:t>
      </w:r>
      <w:bookmarkEnd w:id="15"/>
      <w:r w:rsidRPr="009311DA">
        <w:rPr>
          <w:rFonts w:ascii="Arial" w:hAnsi="Arial" w:cs="Arial"/>
          <w:bCs/>
          <w:sz w:val="22"/>
          <w:szCs w:val="22"/>
          <w:lang w:val="es-MX" w:eastAsia="x-none"/>
        </w:rPr>
        <w:t xml:space="preserve">está delimitado por la expresión </w:t>
      </w:r>
      <w:r w:rsidRPr="009311DA">
        <w:rPr>
          <w:rFonts w:ascii="Arial" w:hAnsi="Arial" w:eastAsia="Calibri" w:cs="Arial"/>
          <w:bCs/>
          <w:sz w:val="22"/>
          <w:szCs w:val="22"/>
          <w:lang w:val="es-MX"/>
        </w:rPr>
        <w:t>«</w:t>
      </w:r>
      <w:r w:rsidRPr="009311DA">
        <w:rPr>
          <w:rFonts w:ascii="Arial" w:hAnsi="Arial" w:cs="Arial"/>
          <w:bCs/>
          <w:sz w:val="22"/>
          <w:szCs w:val="22"/>
          <w:lang w:val="es-MX" w:eastAsia="x-none"/>
        </w:rPr>
        <w:t>queda prohibida la contratación directa</w:t>
      </w:r>
      <w:r w:rsidRPr="009311DA">
        <w:rPr>
          <w:rFonts w:ascii="Arial" w:hAnsi="Arial" w:eastAsia="Calibri" w:cs="Arial"/>
          <w:sz w:val="22"/>
          <w:szCs w:val="22"/>
          <w:lang w:val="es-MX"/>
        </w:rPr>
        <w:t>»</w:t>
      </w:r>
      <w:r w:rsidRPr="009311DA">
        <w:rPr>
          <w:rFonts w:ascii="Arial" w:hAnsi="Arial" w:cs="Arial"/>
          <w:bCs/>
          <w:sz w:val="22"/>
          <w:szCs w:val="22"/>
          <w:lang w:val="es-MX" w:eastAsia="x-none"/>
        </w:rPr>
        <w:t>.</w:t>
      </w:r>
      <w:r w:rsidRPr="009311DA">
        <w:rPr>
          <w:rFonts w:ascii="Arial" w:hAnsi="Arial" w:cs="Arial"/>
          <w:sz w:val="22"/>
          <w:szCs w:val="22"/>
          <w:lang w:val="es-MX" w:eastAsia="es-CO"/>
        </w:rPr>
        <w:t xml:space="preserve"> A propósito de </w:t>
      </w:r>
      <w:r w:rsidRPr="009311DA">
        <w:rPr>
          <w:rFonts w:ascii="Arial" w:hAnsi="Arial" w:cs="Arial"/>
          <w:sz w:val="22"/>
          <w:szCs w:val="22"/>
          <w:lang w:eastAsia="es-CO"/>
        </w:rPr>
        <w:t>esta restricción de la Ley de Garantías Electorales, la Sala de Consulta y Servicio Civil del Consejo de Estado ha considerado que:</w:t>
      </w:r>
    </w:p>
    <w:p w:rsidRPr="009311DA" w:rsidR="009311DA" w:rsidP="009311DA" w:rsidRDefault="009311DA" w14:paraId="11AF2392" w14:textId="77777777">
      <w:pPr>
        <w:spacing w:line="276" w:lineRule="auto"/>
        <w:ind w:left="708" w:right="709"/>
        <w:contextualSpacing/>
        <w:jc w:val="both"/>
        <w:rPr>
          <w:rFonts w:ascii="Arial" w:hAnsi="Arial" w:eastAsia="Calibri" w:cs="Arial"/>
          <w:sz w:val="22"/>
          <w:szCs w:val="22"/>
          <w:lang w:val="es-MX"/>
        </w:rPr>
      </w:pPr>
    </w:p>
    <w:p w:rsidRPr="006C314F" w:rsidR="009311DA" w:rsidP="009311DA" w:rsidRDefault="009311DA" w14:paraId="06F458A2" w14:textId="77777777">
      <w:pPr>
        <w:ind w:left="709" w:right="709"/>
        <w:contextualSpacing/>
        <w:jc w:val="both"/>
        <w:rPr>
          <w:rFonts w:ascii="Arial" w:hAnsi="Arial" w:eastAsia="Calibri" w:cs="Arial"/>
          <w:sz w:val="21"/>
          <w:szCs w:val="21"/>
          <w:lang w:val="es-MX"/>
        </w:rPr>
      </w:pPr>
      <w:r w:rsidRPr="006C314F">
        <w:rPr>
          <w:rFonts w:ascii="Arial" w:hAnsi="Arial" w:eastAsia="Calibri"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6C314F">
        <w:rPr>
          <w:rFonts w:ascii="Arial" w:hAnsi="Arial" w:cs="Arial"/>
          <w:vertAlign w:val="superscript"/>
          <w:lang w:eastAsia="es-CO"/>
        </w:rPr>
        <w:footnoteReference w:id="11"/>
      </w:r>
      <w:r w:rsidRPr="006C314F">
        <w:rPr>
          <w:rFonts w:ascii="Arial" w:hAnsi="Arial" w:eastAsia="Calibri" w:cs="Arial"/>
          <w:sz w:val="21"/>
          <w:szCs w:val="21"/>
          <w:lang w:val="es-MX"/>
        </w:rPr>
        <w:t>.</w:t>
      </w:r>
    </w:p>
    <w:p w:rsidRPr="006C314F" w:rsidR="009311DA" w:rsidP="009311DA" w:rsidRDefault="009311DA" w14:paraId="66F8E1FE" w14:textId="77777777">
      <w:pPr>
        <w:ind w:left="709" w:right="709"/>
        <w:contextualSpacing/>
        <w:jc w:val="both"/>
        <w:rPr>
          <w:rFonts w:ascii="Arial" w:hAnsi="Arial" w:eastAsia="Calibri" w:cs="Arial"/>
          <w:sz w:val="21"/>
          <w:szCs w:val="21"/>
          <w:lang w:val="es-MX"/>
        </w:rPr>
      </w:pPr>
    </w:p>
    <w:p w:rsidRPr="006C314F" w:rsidR="009311DA" w:rsidP="009311DA" w:rsidRDefault="009311DA" w14:paraId="7502AE61" w14:textId="77777777">
      <w:pPr>
        <w:ind w:left="708" w:right="709"/>
        <w:contextualSpacing/>
        <w:jc w:val="both"/>
        <w:rPr>
          <w:rFonts w:ascii="Arial" w:hAnsi="Arial" w:eastAsia="Calibri" w:cs="Arial"/>
          <w:sz w:val="21"/>
          <w:szCs w:val="21"/>
          <w:lang w:val="es-MX"/>
        </w:rPr>
      </w:pPr>
      <w:r w:rsidRPr="006C314F">
        <w:rPr>
          <w:rFonts w:ascii="Arial" w:hAnsi="Arial" w:eastAsia="Calibri" w:cs="Arial"/>
          <w:sz w:val="21"/>
          <w:szCs w:val="21"/>
          <w:lang w:val="es-MX"/>
        </w:rPr>
        <w:t xml:space="preserve">Esta Sala ha entendido </w:t>
      </w:r>
      <w:proofErr w:type="gramStart"/>
      <w:r w:rsidRPr="006C314F">
        <w:rPr>
          <w:rFonts w:ascii="Arial" w:hAnsi="Arial" w:eastAsia="Calibri" w:cs="Arial"/>
          <w:sz w:val="21"/>
          <w:szCs w:val="21"/>
          <w:lang w:val="es-MX"/>
        </w:rPr>
        <w:t>que</w:t>
      </w:r>
      <w:proofErr w:type="gramEnd"/>
      <w:r w:rsidRPr="006C314F">
        <w:rPr>
          <w:rFonts w:ascii="Arial" w:hAnsi="Arial" w:eastAsia="Calibri" w:cs="Arial"/>
          <w:sz w:val="21"/>
          <w:szCs w:val="21"/>
          <w:lang w:val="es-MX"/>
        </w:rPr>
        <w:t xml:space="preserve"> para los efectos de la ley de garantías, y dada su finalidad, el enunciado ´contratación directa´ es sinónimo </w:t>
      </w:r>
      <w:bookmarkStart w:name="_Hlk75741738" w:id="18"/>
      <w:r w:rsidRPr="006C314F">
        <w:rPr>
          <w:rFonts w:ascii="Arial" w:hAnsi="Arial" w:eastAsia="Calibri" w:cs="Arial"/>
          <w:sz w:val="21"/>
          <w:szCs w:val="21"/>
          <w:lang w:val="es-MX"/>
        </w:rPr>
        <w:t xml:space="preserve">de cualquier sistema que no implique convocatoria pública y posibilidad de pluralidad de oferentes, </w:t>
      </w:r>
      <w:bookmarkEnd w:id="18"/>
      <w:r w:rsidRPr="006C314F">
        <w:rPr>
          <w:rFonts w:ascii="Arial" w:hAnsi="Arial" w:eastAsia="Calibri" w:cs="Arial"/>
          <w:sz w:val="21"/>
          <w:szCs w:val="21"/>
          <w:lang w:val="es-MX"/>
        </w:rPr>
        <w:t>y que, además, no necesariamente hace referencia al procedimiento especial regulado por la ley de contratación estatal, sino a cualquier otro que prescinda de un proceso de licitación pública o concurso</w:t>
      </w:r>
      <w:r w:rsidRPr="006C314F">
        <w:rPr>
          <w:rFonts w:ascii="Arial" w:hAnsi="Arial" w:cs="Arial"/>
          <w:sz w:val="21"/>
          <w:szCs w:val="21"/>
          <w:vertAlign w:val="superscript"/>
          <w:lang w:val="es-MX"/>
        </w:rPr>
        <w:footnoteReference w:id="12"/>
      </w:r>
      <w:r w:rsidRPr="006C314F">
        <w:rPr>
          <w:rFonts w:ascii="Arial" w:hAnsi="Arial" w:cs="Arial"/>
          <w:sz w:val="21"/>
          <w:szCs w:val="21"/>
          <w:vertAlign w:val="superscript"/>
          <w:lang w:val="es-MX"/>
        </w:rPr>
        <w:t>.</w:t>
      </w:r>
      <w:r w:rsidRPr="006C314F">
        <w:rPr>
          <w:rFonts w:ascii="Arial" w:hAnsi="Arial" w:eastAsia="Calibri" w:cs="Arial"/>
          <w:sz w:val="21"/>
          <w:szCs w:val="21"/>
          <w:lang w:val="es-MX"/>
        </w:rPr>
        <w:t xml:space="preserve"> Por tanto, no son materia de la prohibición las demás modalidades de selección previstas en la ley 1150 de </w:t>
      </w:r>
      <w:r w:rsidRPr="006C314F">
        <w:rPr>
          <w:rFonts w:ascii="Arial" w:hAnsi="Arial" w:eastAsia="Calibri" w:cs="Arial"/>
          <w:sz w:val="21"/>
          <w:szCs w:val="21"/>
          <w:lang w:val="es-MX"/>
        </w:rPr>
        <w:t>2007, siendo estas, la licitación pública, el concurso de méritos y la selección abreviada, razón por la cual en ese periodo preelectoral de que trata la disposición pueden las entidades públicas seguir contratando bajo estos sistemas. [...]</w:t>
      </w:r>
      <w:r w:rsidRPr="006C314F">
        <w:rPr>
          <w:rFonts w:ascii="Arial" w:hAnsi="Arial" w:cs="Arial"/>
          <w:vertAlign w:val="superscript"/>
          <w:lang w:eastAsia="es-CO"/>
        </w:rPr>
        <w:footnoteReference w:id="13"/>
      </w:r>
      <w:r w:rsidRPr="006C314F">
        <w:rPr>
          <w:rFonts w:ascii="Arial" w:hAnsi="Arial" w:eastAsia="Calibri" w:cs="Arial"/>
          <w:sz w:val="21"/>
          <w:szCs w:val="21"/>
          <w:lang w:val="es-MX"/>
        </w:rPr>
        <w:t xml:space="preserve"> .</w:t>
      </w:r>
    </w:p>
    <w:p w:rsidRPr="009311DA" w:rsidR="009311DA" w:rsidP="009311DA" w:rsidRDefault="009311DA" w14:paraId="02E8A8AB" w14:textId="77777777">
      <w:pPr>
        <w:shd w:val="clear" w:color="auto" w:fill="FFFFFF"/>
        <w:spacing w:line="276" w:lineRule="auto"/>
        <w:ind w:firstLine="709"/>
        <w:contextualSpacing/>
        <w:jc w:val="both"/>
        <w:rPr>
          <w:rFonts w:ascii="Arial" w:hAnsi="Arial" w:cs="Arial"/>
          <w:sz w:val="22"/>
          <w:szCs w:val="22"/>
          <w:lang w:eastAsia="x-none"/>
        </w:rPr>
      </w:pPr>
    </w:p>
    <w:p w:rsidRPr="009311DA" w:rsidR="009311DA" w:rsidP="009311DA" w:rsidRDefault="009311DA" w14:paraId="329B4B1D" w14:textId="77777777">
      <w:pPr>
        <w:spacing w:after="120" w:line="276" w:lineRule="auto"/>
        <w:ind w:firstLine="709"/>
        <w:jc w:val="both"/>
        <w:rPr>
          <w:rFonts w:ascii="Arial" w:hAnsi="Arial" w:cs="Arial"/>
          <w:bCs/>
          <w:sz w:val="22"/>
          <w:szCs w:val="22"/>
          <w:lang w:eastAsia="x-none"/>
        </w:rPr>
      </w:pPr>
      <w:bookmarkStart w:name="_Hlk94521748" w:id="20"/>
      <w:r w:rsidRPr="009311DA">
        <w:rPr>
          <w:rFonts w:ascii="Arial" w:hAnsi="Arial" w:cs="Arial"/>
          <w:sz w:val="22"/>
          <w:szCs w:val="22"/>
          <w:lang w:eastAsia="x-none"/>
        </w:rPr>
        <w:t xml:space="preserve">De conformidad con el citado concepto, </w:t>
      </w:r>
      <w:bookmarkStart w:name="_Hlk78818702" w:id="21"/>
      <w:r w:rsidRPr="009311DA">
        <w:rPr>
          <w:rFonts w:ascii="Arial" w:hAnsi="Arial" w:cs="Arial"/>
          <w:sz w:val="22"/>
          <w:szCs w:val="22"/>
          <w:lang w:eastAsia="x-none"/>
        </w:rPr>
        <w:t xml:space="preserve">la prohibición del artículo 33 de la Ley de Garantías Electorales se refiere a </w:t>
      </w:r>
      <w:bookmarkStart w:name="_Hlk74294635" w:id="22"/>
      <w:r w:rsidRPr="009311DA">
        <w:rPr>
          <w:rFonts w:ascii="Arial" w:hAnsi="Arial" w:cs="Arial"/>
          <w:sz w:val="22"/>
          <w:szCs w:val="22"/>
          <w:lang w:eastAsia="en-GB"/>
        </w:rPr>
        <w:t>«</w:t>
      </w:r>
      <w:bookmarkEnd w:id="22"/>
      <w:r w:rsidRPr="009311DA">
        <w:rPr>
          <w:rFonts w:ascii="Arial" w:hAnsi="Arial" w:cs="Arial"/>
          <w:sz w:val="22"/>
          <w:szCs w:val="22"/>
          <w:lang w:eastAsia="x-none"/>
        </w:rPr>
        <w:t>cualquier sistema que no implique convocatoria pública y posibilidad de pluralidad de oferentes</w:t>
      </w:r>
      <w:bookmarkStart w:name="_Hlk74404754" w:id="23"/>
      <w:r w:rsidRPr="009311DA">
        <w:rPr>
          <w:rFonts w:ascii="Arial" w:hAnsi="Arial" w:cs="Arial"/>
          <w:sz w:val="22"/>
          <w:szCs w:val="22"/>
          <w:lang w:eastAsia="en-GB"/>
        </w:rPr>
        <w:t>»</w:t>
      </w:r>
      <w:bookmarkEnd w:id="23"/>
      <w:r w:rsidRPr="009311DA">
        <w:rPr>
          <w:rFonts w:ascii="Arial" w:hAnsi="Arial" w:cs="Arial"/>
          <w:sz w:val="22"/>
          <w:szCs w:val="22"/>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20"/>
      <w:bookmarkEnd w:id="21"/>
      <w:r w:rsidRPr="009311DA">
        <w:rPr>
          <w:rFonts w:ascii="Arial" w:hAnsi="Arial" w:cs="Arial"/>
          <w:sz w:val="22"/>
          <w:szCs w:val="22"/>
          <w:lang w:eastAsia="x-none"/>
        </w:rPr>
        <w:t>Esta posición es congruente con la expedición de la Ley 1150 de 2007 que, entre otras reformas, introdujo la selección abreviada, rediseñó el concurso de méritos</w:t>
      </w:r>
      <w:r w:rsidRPr="009311DA">
        <w:rPr>
          <w:rFonts w:ascii="Arial" w:hAnsi="Arial" w:cs="Arial"/>
          <w:sz w:val="22"/>
          <w:szCs w:val="22"/>
          <w:vertAlign w:val="superscript"/>
          <w:lang w:val="en-GB" w:eastAsia="x-none"/>
        </w:rPr>
        <w:footnoteReference w:id="14"/>
      </w:r>
      <w:r w:rsidRPr="009311DA">
        <w:rPr>
          <w:rFonts w:ascii="Arial" w:hAnsi="Arial" w:cs="Arial"/>
          <w:sz w:val="22"/>
          <w:szCs w:val="22"/>
          <w:lang w:eastAsia="x-none"/>
        </w:rPr>
        <w:t xml:space="preserve"> y sistematizó las causales de contratación directa</w:t>
      </w:r>
      <w:r w:rsidRPr="009311DA">
        <w:rPr>
          <w:rFonts w:ascii="Arial" w:hAnsi="Arial" w:cs="Arial"/>
          <w:sz w:val="22"/>
          <w:szCs w:val="22"/>
          <w:vertAlign w:val="superscript"/>
          <w:lang w:val="en-GB" w:eastAsia="x-none"/>
        </w:rPr>
        <w:footnoteReference w:id="15"/>
      </w:r>
      <w:r w:rsidRPr="009311DA">
        <w:rPr>
          <w:rFonts w:ascii="Arial" w:hAnsi="Arial" w:cs="Arial"/>
          <w:sz w:val="22"/>
          <w:szCs w:val="22"/>
          <w:lang w:eastAsia="x-none"/>
        </w:rPr>
        <w:t xml:space="preserve">. </w:t>
      </w:r>
    </w:p>
    <w:p w:rsidRPr="009311DA" w:rsidR="009311DA" w:rsidP="009311DA" w:rsidRDefault="009311DA" w14:paraId="0A9D6AB6" w14:textId="77777777">
      <w:pPr>
        <w:spacing w:after="120" w:line="276" w:lineRule="auto"/>
        <w:ind w:firstLine="709"/>
        <w:jc w:val="both"/>
        <w:rPr>
          <w:rFonts w:ascii="Arial" w:hAnsi="Arial" w:cs="Arial"/>
          <w:sz w:val="22"/>
          <w:szCs w:val="22"/>
          <w:lang w:val="es-MX" w:eastAsia="x-none"/>
        </w:rPr>
      </w:pPr>
      <w:r w:rsidRPr="009311DA">
        <w:rPr>
          <w:rFonts w:ascii="Arial" w:hAnsi="Arial" w:cs="Arial"/>
          <w:sz w:val="22"/>
          <w:szCs w:val="22"/>
          <w:lang w:eastAsia="x-none"/>
        </w:rPr>
        <w:t xml:space="preserve">De esta forma, se ha depurado la noción de </w:t>
      </w:r>
      <w:r w:rsidRPr="009311DA">
        <w:rPr>
          <w:rFonts w:ascii="Arial" w:hAnsi="Arial" w:cs="Arial"/>
          <w:sz w:val="22"/>
          <w:szCs w:val="22"/>
          <w:lang w:eastAsia="en-GB"/>
        </w:rPr>
        <w:t>«</w:t>
      </w:r>
      <w:r w:rsidRPr="009311DA">
        <w:rPr>
          <w:rFonts w:ascii="Arial" w:hAnsi="Arial" w:cs="Arial"/>
          <w:sz w:val="22"/>
          <w:szCs w:val="22"/>
          <w:lang w:eastAsia="x-none"/>
        </w:rPr>
        <w:t>contratación directa</w:t>
      </w:r>
      <w:r w:rsidRPr="009311DA">
        <w:rPr>
          <w:rFonts w:ascii="Arial" w:hAnsi="Arial" w:cs="Arial"/>
          <w:sz w:val="22"/>
          <w:szCs w:val="22"/>
          <w:lang w:eastAsia="en-GB"/>
        </w:rPr>
        <w:t>»</w:t>
      </w:r>
      <w:r w:rsidRPr="009311DA">
        <w:rPr>
          <w:rFonts w:ascii="Arial" w:hAnsi="Arial" w:cs="Arial"/>
          <w:sz w:val="22"/>
          <w:szCs w:val="22"/>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9311DA">
        <w:rPr>
          <w:rFonts w:ascii="Arial" w:hAnsi="Arial" w:cs="Arial"/>
          <w:sz w:val="22"/>
          <w:szCs w:val="22"/>
          <w:vertAlign w:val="superscript"/>
          <w:lang w:val="en-GB" w:eastAsia="x-none"/>
        </w:rPr>
        <w:footnoteReference w:id="16"/>
      </w:r>
      <w:r w:rsidRPr="009311DA">
        <w:rPr>
          <w:rFonts w:ascii="Arial" w:hAnsi="Arial" w:cs="Arial"/>
          <w:sz w:val="22"/>
          <w:szCs w:val="22"/>
          <w:lang w:eastAsia="x-none"/>
        </w:rPr>
        <w:t>, han establecido sistemas de contratación que implican convocatoria pública y participación de varios oferentes</w:t>
      </w:r>
      <w:r w:rsidRPr="009311DA">
        <w:rPr>
          <w:rFonts w:ascii="Arial" w:hAnsi="Arial" w:cs="Arial"/>
          <w:sz w:val="22"/>
          <w:szCs w:val="22"/>
          <w:lang w:eastAsia="en-GB"/>
        </w:rPr>
        <w:t>»</w:t>
      </w:r>
      <w:r w:rsidRPr="009311DA">
        <w:rPr>
          <w:rFonts w:ascii="Arial" w:hAnsi="Arial" w:cs="Arial"/>
          <w:sz w:val="22"/>
          <w:szCs w:val="22"/>
          <w:lang w:eastAsia="x-none"/>
        </w:rPr>
        <w:t xml:space="preserve">. </w:t>
      </w:r>
    </w:p>
    <w:p w:rsidRPr="009311DA" w:rsidR="009311DA" w:rsidP="009311DA" w:rsidRDefault="009311DA" w14:paraId="5413840F" w14:textId="77777777">
      <w:pPr>
        <w:spacing w:after="120" w:line="276" w:lineRule="auto"/>
        <w:ind w:firstLine="709"/>
        <w:jc w:val="both"/>
        <w:rPr>
          <w:rFonts w:ascii="Arial" w:hAnsi="Arial" w:cs="Arial"/>
          <w:bCs/>
          <w:sz w:val="22"/>
          <w:szCs w:val="22"/>
          <w:lang w:val="es-MX" w:eastAsia="es-CO"/>
        </w:rPr>
      </w:pPr>
      <w:r w:rsidRPr="009311DA">
        <w:rPr>
          <w:rFonts w:ascii="Arial" w:hAnsi="Arial" w:cs="Arial"/>
          <w:bCs/>
          <w:sz w:val="22"/>
          <w:szCs w:val="22"/>
          <w:lang w:val="es-MX" w:eastAsia="x-none"/>
        </w:rPr>
        <w:t>E</w:t>
      </w:r>
      <w:r w:rsidRPr="009311DA">
        <w:rPr>
          <w:rFonts w:ascii="Arial" w:hAnsi="Arial" w:cs="Arial"/>
          <w:sz w:val="22"/>
          <w:szCs w:val="22"/>
          <w:lang w:eastAsia="x-none"/>
        </w:rPr>
        <w:t xml:space="preserve">n efecto, vale la pena mencionar que, </w:t>
      </w:r>
      <w:bookmarkStart w:name="_Hlk75636073" w:id="25"/>
      <w:r w:rsidRPr="009311DA">
        <w:rPr>
          <w:rFonts w:ascii="Arial" w:hAnsi="Arial" w:cs="Arial"/>
          <w:sz w:val="22"/>
          <w:szCs w:val="22"/>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25"/>
      <w:r w:rsidRPr="009311DA">
        <w:rPr>
          <w:rFonts w:ascii="Arial" w:hAnsi="Arial" w:cs="Arial"/>
          <w:sz w:val="22"/>
          <w:szCs w:val="22"/>
          <w:vertAlign w:val="superscript"/>
          <w:lang w:eastAsia="x-none"/>
        </w:rPr>
        <w:footnoteReference w:id="17"/>
      </w:r>
      <w:r w:rsidRPr="009311DA">
        <w:rPr>
          <w:rFonts w:ascii="Arial" w:hAnsi="Arial" w:cs="Arial"/>
          <w:sz w:val="22"/>
          <w:szCs w:val="22"/>
          <w:lang w:eastAsia="x-none"/>
        </w:rPr>
        <w:t xml:space="preserve">. </w:t>
      </w:r>
    </w:p>
    <w:p w:rsidRPr="009311DA" w:rsidR="009311DA" w:rsidP="009311DA" w:rsidRDefault="009311DA" w14:paraId="0BBE1948" w14:textId="77777777">
      <w:pPr>
        <w:spacing w:after="120" w:line="276" w:lineRule="auto"/>
        <w:ind w:firstLine="709"/>
        <w:jc w:val="both"/>
        <w:rPr>
          <w:rFonts w:ascii="Arial" w:hAnsi="Arial" w:cs="Arial"/>
          <w:bCs/>
          <w:sz w:val="22"/>
          <w:szCs w:val="22"/>
          <w:lang w:val="es-MX" w:eastAsia="es-CO"/>
        </w:rPr>
      </w:pPr>
      <w:r w:rsidRPr="009311DA">
        <w:rPr>
          <w:rFonts w:ascii="Arial" w:hAnsi="Arial" w:cs="Arial"/>
          <w:bCs/>
          <w:sz w:val="22"/>
          <w:szCs w:val="22"/>
          <w:lang w:val="es-MX" w:eastAsia="es-CO"/>
        </w:rPr>
        <w:t xml:space="preserve">Como se advierte de lo anterior, el Consejo de Estado realiza una interpretación amplia de la contratación directa, para efectos de aplicar las restricciones establecidas en </w:t>
      </w:r>
      <w:r w:rsidRPr="009311DA">
        <w:rPr>
          <w:rFonts w:ascii="Arial" w:hAnsi="Arial" w:cs="Arial"/>
          <w:bCs/>
          <w:sz w:val="22"/>
          <w:szCs w:val="22"/>
          <w:lang w:val="es-MX" w:eastAsia="es-CO"/>
        </w:rPr>
        <w:t>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rsidRPr="009311DA" w:rsidR="009311DA" w:rsidP="009311DA" w:rsidRDefault="009311DA" w14:paraId="16DC8CDE" w14:textId="50627FF1">
      <w:pPr>
        <w:spacing w:after="120" w:line="276" w:lineRule="auto"/>
        <w:ind w:firstLine="709"/>
        <w:jc w:val="both"/>
        <w:rPr>
          <w:rFonts w:ascii="Arial" w:hAnsi="Arial" w:cs="Arial"/>
          <w:bCs/>
          <w:sz w:val="22"/>
          <w:szCs w:val="22"/>
          <w:lang w:val="es-MX" w:eastAsia="x-none"/>
        </w:rPr>
      </w:pPr>
      <w:bookmarkStart w:name="_Hlk78818796" w:id="26"/>
      <w:r w:rsidRPr="009311DA">
        <w:rPr>
          <w:rFonts w:ascii="Arial" w:hAnsi="Arial" w:cs="Arial"/>
          <w:bCs/>
          <w:sz w:val="22"/>
          <w:szCs w:val="22"/>
          <w:lang w:val="es-MX" w:eastAsia="x-none"/>
        </w:rPr>
        <w:t xml:space="preserve"> Así las cosas, </w:t>
      </w:r>
      <w:bookmarkStart w:name="_Hlk99577798" w:id="27"/>
      <w:r w:rsidRPr="009311DA">
        <w:rPr>
          <w:rFonts w:ascii="Arial" w:hAnsi="Arial" w:cs="Arial"/>
          <w:bCs/>
          <w:sz w:val="22"/>
          <w:szCs w:val="22"/>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9311DA">
        <w:rPr>
          <w:rFonts w:ascii="Arial" w:hAnsi="Arial" w:cs="Arial"/>
          <w:sz w:val="22"/>
          <w:szCs w:val="22"/>
          <w:vertAlign w:val="superscript"/>
          <w:lang w:eastAsia="x-none"/>
        </w:rPr>
        <w:footnoteReference w:id="18"/>
      </w:r>
      <w:r w:rsidRPr="009311DA">
        <w:rPr>
          <w:rFonts w:ascii="Arial" w:hAnsi="Arial" w:cs="Arial"/>
          <w:bCs/>
          <w:sz w:val="22"/>
          <w:szCs w:val="22"/>
          <w:lang w:val="es-MX" w:eastAsia="x-none"/>
        </w:rPr>
        <w:t>.</w:t>
      </w:r>
      <w:r w:rsidRPr="009311DA">
        <w:rPr>
          <w:rFonts w:ascii="Arial" w:hAnsi="Arial" w:cs="Arial"/>
          <w:sz w:val="22"/>
          <w:szCs w:val="22"/>
          <w:vertAlign w:val="superscript"/>
          <w:lang w:eastAsia="x-none"/>
        </w:rPr>
        <w:t xml:space="preserve"> </w:t>
      </w:r>
    </w:p>
    <w:bookmarkEnd w:id="26"/>
    <w:p w:rsidRPr="009311DA" w:rsidR="009311DA" w:rsidP="009311DA" w:rsidRDefault="009311DA" w14:paraId="2614CC7C" w14:textId="6DD33284">
      <w:pPr>
        <w:spacing w:after="120" w:line="276" w:lineRule="auto"/>
        <w:ind w:firstLine="709"/>
        <w:jc w:val="both"/>
        <w:rPr>
          <w:rFonts w:ascii="Arial" w:hAnsi="Arial" w:cs="Arial"/>
          <w:sz w:val="22"/>
          <w:szCs w:val="22"/>
          <w:lang w:eastAsia="x-none"/>
        </w:rPr>
      </w:pPr>
      <w:r w:rsidRPr="009311DA">
        <w:rPr>
          <w:rFonts w:ascii="Arial" w:hAnsi="Arial" w:cs="Arial"/>
          <w:bCs/>
          <w:sz w:val="22"/>
          <w:szCs w:val="22"/>
          <w:lang w:val="es-MX" w:eastAsia="x-none"/>
        </w:rPr>
        <w:t>De lo anterior se desprende que la restricción aplica, sin perjuicio de las excepciones establecidas en la misma ley, para celebrar cualquier contrato de forma directa, esto es, sin que exista un proceso abierto y competitivo.</w:t>
      </w:r>
      <w:r w:rsidRPr="009311DA">
        <w:rPr>
          <w:rFonts w:ascii="Arial" w:hAnsi="Arial" w:cs="Arial"/>
          <w:sz w:val="22"/>
          <w:szCs w:val="22"/>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p w:rsidRPr="009311DA" w:rsidR="009311DA" w:rsidP="009311DA" w:rsidRDefault="009311DA" w14:paraId="06F56E7E" w14:textId="77777777">
      <w:pPr>
        <w:spacing w:after="120" w:line="276" w:lineRule="auto"/>
        <w:ind w:firstLine="709"/>
        <w:jc w:val="both"/>
        <w:rPr>
          <w:rFonts w:ascii="Arial" w:hAnsi="Arial" w:cs="Arial"/>
          <w:bCs/>
          <w:sz w:val="22"/>
          <w:szCs w:val="22"/>
          <w:lang w:val="es-MX" w:eastAsia="x-none"/>
        </w:rPr>
      </w:pPr>
      <w:bookmarkStart w:name="_Hlk77237094" w:id="28"/>
      <w:bookmarkEnd w:id="27"/>
      <w:r w:rsidRPr="009311DA">
        <w:rPr>
          <w:rFonts w:ascii="Arial" w:hAnsi="Arial" w:cs="Arial"/>
          <w:bCs/>
          <w:sz w:val="22"/>
          <w:szCs w:val="22"/>
          <w:lang w:val="es-MX" w:eastAsia="es-CO"/>
        </w:rPr>
        <w:t xml:space="preserve">Como en otras oportunidades lo ha manifestado esta Agencia, las prórrogas, modificaciones o adiciones de los contratos suscritos antes de la </w:t>
      </w:r>
      <w:proofErr w:type="gramStart"/>
      <w:r w:rsidRPr="009311DA">
        <w:rPr>
          <w:rFonts w:ascii="Arial" w:hAnsi="Arial" w:cs="Arial"/>
          <w:bCs/>
          <w:sz w:val="22"/>
          <w:szCs w:val="22"/>
          <w:lang w:val="es-MX" w:eastAsia="es-CO"/>
        </w:rPr>
        <w:t>entrada en vigencia</w:t>
      </w:r>
      <w:proofErr w:type="gramEnd"/>
      <w:r w:rsidRPr="009311DA">
        <w:rPr>
          <w:rFonts w:ascii="Arial" w:hAnsi="Arial" w:cs="Arial"/>
          <w:bCs/>
          <w:sz w:val="22"/>
          <w:szCs w:val="22"/>
          <w:lang w:val="es-MX" w:eastAsia="es-CO"/>
        </w:rPr>
        <w:t xml:space="preserve">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28"/>
    </w:p>
    <w:p w:rsidRPr="009311DA" w:rsidR="009311DA" w:rsidP="009311DA" w:rsidRDefault="009311DA" w14:paraId="109C8928" w14:textId="5A45D65B">
      <w:pPr>
        <w:spacing w:after="120" w:line="276" w:lineRule="auto"/>
        <w:ind w:firstLine="709"/>
        <w:jc w:val="both"/>
        <w:rPr>
          <w:rFonts w:ascii="Arial" w:hAnsi="Arial" w:cs="Arial"/>
          <w:bCs/>
          <w:sz w:val="22"/>
          <w:szCs w:val="22"/>
          <w:lang w:val="es-MX" w:eastAsia="es-CO"/>
        </w:rPr>
      </w:pPr>
      <w:r w:rsidRPr="009311DA">
        <w:rPr>
          <w:rFonts w:ascii="Arial" w:hAnsi="Arial" w:cs="Arial"/>
          <w:bCs/>
          <w:sz w:val="22"/>
          <w:szCs w:val="22"/>
          <w:lang w:val="es-MX" w:eastAsia="x-none"/>
        </w:rPr>
        <w:t xml:space="preserve">De otro lado, </w:t>
      </w:r>
      <w:bookmarkStart w:name="_Hlk99577887" w:id="29"/>
      <w:r w:rsidRPr="009311DA">
        <w:rPr>
          <w:rFonts w:ascii="Arial" w:hAnsi="Arial" w:cs="Arial"/>
          <w:bCs/>
          <w:sz w:val="22"/>
          <w:szCs w:val="22"/>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w:t>
      </w:r>
      <w:proofErr w:type="spellStart"/>
      <w:r w:rsidRPr="009311DA">
        <w:rPr>
          <w:rFonts w:ascii="Arial" w:hAnsi="Arial" w:cs="Arial"/>
          <w:bCs/>
          <w:sz w:val="22"/>
          <w:szCs w:val="22"/>
          <w:lang w:val="es-MX" w:eastAsia="x-none"/>
        </w:rPr>
        <w:t>iii</w:t>
      </w:r>
      <w:proofErr w:type="spellEnd"/>
      <w:r w:rsidRPr="009311DA">
        <w:rPr>
          <w:rFonts w:ascii="Arial" w:hAnsi="Arial" w:cs="Arial"/>
          <w:bCs/>
          <w:sz w:val="22"/>
          <w:szCs w:val="22"/>
          <w:lang w:val="es-MX" w:eastAsia="x-none"/>
        </w:rPr>
        <w:t xml:space="preserve">) los requeridos para cubrir las emergencias educativas, sanitarias y desastres; </w:t>
      </w:r>
      <w:proofErr w:type="spellStart"/>
      <w:r w:rsidRPr="009311DA">
        <w:rPr>
          <w:rFonts w:ascii="Arial" w:hAnsi="Arial" w:cs="Arial"/>
          <w:bCs/>
          <w:sz w:val="22"/>
          <w:szCs w:val="22"/>
          <w:lang w:val="es-MX" w:eastAsia="x-none"/>
        </w:rPr>
        <w:t>iv</w:t>
      </w:r>
      <w:proofErr w:type="spellEnd"/>
      <w:r w:rsidRPr="009311DA">
        <w:rPr>
          <w:rFonts w:ascii="Arial" w:hAnsi="Arial" w:cs="Arial"/>
          <w:bCs/>
          <w:sz w:val="22"/>
          <w:szCs w:val="22"/>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9311DA">
        <w:rPr>
          <w:rFonts w:ascii="Arial" w:hAnsi="Arial" w:cs="Arial"/>
          <w:bCs/>
          <w:sz w:val="22"/>
          <w:szCs w:val="22"/>
          <w:lang w:val="es-MX" w:eastAsia="es-CO"/>
        </w:rPr>
        <w:t xml:space="preserve"> Es responsabilidad del respectivo ente del Estado, examinar en cada caso la naturaleza de las actividades que adelanta y </w:t>
      </w:r>
      <w:r w:rsidRPr="009311DA">
        <w:rPr>
          <w:rFonts w:ascii="Arial" w:hAnsi="Arial" w:cs="Arial"/>
          <w:bCs/>
          <w:sz w:val="22"/>
          <w:szCs w:val="22"/>
          <w:lang w:val="es-MX" w:eastAsia="es-CO"/>
        </w:rPr>
        <w:t>determinar si las mismas se enmarcan en alguna de las mencionadas excepciones, de manera que se le permita realizar la contratación que necesite en forma directa.</w:t>
      </w:r>
      <w:bookmarkEnd w:id="29"/>
    </w:p>
    <w:p w:rsidRPr="009311DA" w:rsidR="009311DA" w:rsidP="009311DA" w:rsidRDefault="009311DA" w14:paraId="60466B8B" w14:textId="77777777">
      <w:pPr>
        <w:spacing w:line="276" w:lineRule="auto"/>
        <w:ind w:firstLine="708"/>
        <w:jc w:val="both"/>
        <w:rPr>
          <w:rFonts w:ascii="Arial" w:hAnsi="Arial" w:cs="Arial"/>
          <w:bCs/>
          <w:sz w:val="22"/>
          <w:szCs w:val="22"/>
          <w:lang w:val="es-MX" w:eastAsia="x-none"/>
        </w:rPr>
      </w:pPr>
      <w:r w:rsidRPr="009311DA">
        <w:rPr>
          <w:rFonts w:ascii="Arial" w:hAnsi="Arial" w:cs="Arial"/>
          <w:bCs/>
          <w:sz w:val="22"/>
          <w:szCs w:val="22"/>
          <w:lang w:val="es-MX" w:eastAsia="x-none"/>
        </w:rPr>
        <w:t>En esta labor es importante tener en cuenta, como lo anotó la Corte Constitucional, en Sentencia C-1153 de noviembre 11 de 2005</w:t>
      </w:r>
      <w:r w:rsidRPr="009311DA">
        <w:rPr>
          <w:rFonts w:ascii="Arial" w:hAnsi="Arial" w:eastAsia="Calibri" w:cs="Arial"/>
          <w:sz w:val="22"/>
          <w:szCs w:val="22"/>
          <w:lang w:val="es-MX"/>
        </w:rPr>
        <w:t>,</w:t>
      </w:r>
      <w:r w:rsidRPr="009311DA">
        <w:rPr>
          <w:rFonts w:ascii="Arial" w:hAnsi="Arial" w:cs="Arial"/>
          <w:bCs/>
          <w:sz w:val="22"/>
          <w:szCs w:val="22"/>
          <w:lang w:val="es-MX" w:eastAsia="x-none"/>
        </w:rPr>
        <w:t xml:space="preserve"> </w:t>
      </w:r>
      <w:bookmarkStart w:name="_Hlk74309042" w:id="30"/>
      <w:r w:rsidRPr="009311DA">
        <w:rPr>
          <w:rFonts w:ascii="Arial" w:hAnsi="Arial" w:cs="Arial"/>
          <w:bCs/>
          <w:sz w:val="22"/>
          <w:szCs w:val="22"/>
          <w:lang w:val="es-MX" w:eastAsia="x-none"/>
        </w:rPr>
        <w:t>que «</w:t>
      </w:r>
      <w:bookmarkEnd w:id="30"/>
      <w:r w:rsidRPr="009311DA">
        <w:rPr>
          <w:rFonts w:ascii="Arial" w:hAnsi="Arial" w:cs="Arial"/>
          <w:bCs/>
          <w:sz w:val="22"/>
          <w:szCs w:val="22"/>
          <w:lang w:val="es-MX" w:eastAsia="x-none"/>
        </w:rPr>
        <w:t xml:space="preserve">si bien la limitación garantiza la igualdad de condiciones, también es necesario que tal limitación que pretende la igualdad </w:t>
      </w:r>
      <w:bookmarkStart w:name="_Hlk75768308" w:id="31"/>
      <w:r w:rsidRPr="009311DA">
        <w:rPr>
          <w:rFonts w:ascii="Arial" w:hAnsi="Arial" w:cs="Arial"/>
          <w:bCs/>
          <w:sz w:val="22"/>
          <w:szCs w:val="22"/>
          <w:lang w:val="es-MX" w:eastAsia="x-none"/>
        </w:rPr>
        <w:t>no termine yendo en detrimento de intereses públicos, cuya garantía está en cabeza del ejecutivo, como son los inmersos en las excepciones para la prohibición de contratación</w:t>
      </w:r>
      <w:bookmarkStart w:name="_Hlk74309060" w:id="32"/>
      <w:r w:rsidRPr="009311DA">
        <w:rPr>
          <w:rFonts w:ascii="Arial" w:hAnsi="Arial" w:cs="Arial"/>
          <w:bCs/>
          <w:sz w:val="22"/>
          <w:szCs w:val="22"/>
          <w:lang w:val="es-MX" w:eastAsia="x-none"/>
        </w:rPr>
        <w:t>»</w:t>
      </w:r>
      <w:bookmarkEnd w:id="32"/>
      <w:r w:rsidRPr="009311DA">
        <w:rPr>
          <w:rFonts w:ascii="Arial" w:hAnsi="Arial" w:eastAsia="Calibri" w:cs="Arial"/>
          <w:sz w:val="22"/>
          <w:szCs w:val="22"/>
          <w:vertAlign w:val="superscript"/>
          <w:lang w:val="es-MX"/>
        </w:rPr>
        <w:footnoteReference w:id="19"/>
      </w:r>
      <w:r w:rsidRPr="009311DA">
        <w:rPr>
          <w:rFonts w:ascii="Arial" w:hAnsi="Arial" w:cs="Arial"/>
          <w:bCs/>
          <w:sz w:val="22"/>
          <w:szCs w:val="22"/>
          <w:lang w:val="es-MX"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31"/>
    </w:p>
    <w:p w:rsidRPr="009311DA" w:rsidR="00C84F90" w:rsidP="00C84F90" w:rsidRDefault="00C84F90" w14:paraId="10CC446A" w14:textId="77777777">
      <w:pPr>
        <w:spacing w:line="276" w:lineRule="auto"/>
        <w:ind w:firstLine="708"/>
        <w:jc w:val="both"/>
        <w:rPr>
          <w:rFonts w:ascii="Arial" w:hAnsi="Arial" w:cs="Arial"/>
          <w:bCs/>
          <w:sz w:val="22"/>
          <w:szCs w:val="22"/>
          <w:lang w:val="es-MX" w:eastAsia="x-none"/>
        </w:rPr>
      </w:pPr>
    </w:p>
    <w:p w:rsidRPr="00C84F90" w:rsidR="00C84F90" w:rsidP="00C84F90" w:rsidRDefault="00C84F90" w14:paraId="07695CCB" w14:textId="77777777">
      <w:pPr>
        <w:spacing w:line="276" w:lineRule="auto"/>
        <w:jc w:val="both"/>
        <w:rPr>
          <w:rFonts w:ascii="Arial" w:hAnsi="Arial" w:cs="Arial"/>
          <w:b/>
          <w:sz w:val="22"/>
          <w:szCs w:val="22"/>
          <w:lang w:val="es-MX" w:eastAsia="x-none"/>
        </w:rPr>
      </w:pPr>
      <w:r w:rsidRPr="00C84F90">
        <w:rPr>
          <w:rFonts w:ascii="Arial" w:hAnsi="Arial" w:cs="Arial"/>
          <w:b/>
          <w:sz w:val="22"/>
          <w:szCs w:val="22"/>
          <w:lang w:val="es-MX" w:eastAsia="x-none"/>
        </w:rPr>
        <w:t>2.3.  Destinatarios de la restricción del artículo 33 de la Ley 996 de 2005</w:t>
      </w:r>
    </w:p>
    <w:p w:rsidRPr="00C84F90" w:rsidR="00C84F90" w:rsidP="00C84F90" w:rsidRDefault="00C84F90" w14:paraId="701999C1" w14:textId="77777777">
      <w:pPr>
        <w:spacing w:line="276" w:lineRule="auto"/>
        <w:jc w:val="both"/>
        <w:rPr>
          <w:rFonts w:ascii="Arial" w:hAnsi="Arial" w:cs="Arial"/>
          <w:bCs/>
          <w:sz w:val="22"/>
          <w:szCs w:val="22"/>
          <w:lang w:val="es-MX" w:eastAsia="x-none"/>
        </w:rPr>
      </w:pPr>
    </w:p>
    <w:p w:rsidRPr="00C84F90" w:rsidR="00C84F90" w:rsidP="00C84F90" w:rsidRDefault="00C84F90" w14:paraId="212C824B" w14:textId="443D4A2F">
      <w:pPr>
        <w:spacing w:line="276" w:lineRule="auto"/>
        <w:jc w:val="both"/>
        <w:rPr>
          <w:rFonts w:ascii="Arial" w:hAnsi="Arial" w:cs="Arial"/>
          <w:bCs/>
          <w:sz w:val="22"/>
          <w:szCs w:val="22"/>
          <w:lang w:val="es-MX" w:eastAsia="x-none"/>
        </w:rPr>
      </w:pPr>
      <w:r w:rsidRPr="00C84F90">
        <w:rPr>
          <w:rFonts w:ascii="Arial" w:hAnsi="Arial" w:cs="Arial"/>
          <w:bCs/>
          <w:sz w:val="22"/>
          <w:szCs w:val="22"/>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C84F90">
        <w:rPr>
          <w:rFonts w:asciiTheme="minorHAnsi" w:hAnsiTheme="minorHAnsi" w:eastAsiaTheme="minorHAnsi" w:cstheme="minorBidi"/>
          <w:szCs w:val="22"/>
          <w:lang w:val="es-MX" w:eastAsia="en-US"/>
        </w:rPr>
        <w:t xml:space="preserve"> </w:t>
      </w:r>
      <w:r w:rsidRPr="00C84F90">
        <w:rPr>
          <w:rFonts w:ascii="Arial" w:hAnsi="Arial" w:cs="Arial"/>
          <w:bCs/>
          <w:sz w:val="22"/>
          <w:szCs w:val="22"/>
          <w:lang w:val="es-MX" w:eastAsia="x-none"/>
        </w:rPr>
        <w:t>En efecto, como lo ha sostenido el Consejo de Estado, el vocablo «todos» utilizado por el legislador comprende</w:t>
      </w:r>
      <w:r w:rsidRPr="00C84F90">
        <w:rPr>
          <w:rFonts w:asciiTheme="minorHAnsi" w:hAnsiTheme="minorHAnsi" w:eastAsiaTheme="minorHAnsi" w:cstheme="minorBidi"/>
          <w:szCs w:val="22"/>
          <w:lang w:val="es-MX" w:eastAsia="en-US"/>
        </w:rPr>
        <w:t xml:space="preserve"> </w:t>
      </w:r>
      <w:r w:rsidRPr="00C84F90">
        <w:rPr>
          <w:rFonts w:ascii="Arial" w:hAnsi="Arial" w:cs="Arial"/>
          <w:bCs/>
          <w:sz w:val="22"/>
          <w:szCs w:val="22"/>
          <w:lang w:val="es-MX" w:eastAsia="x-none"/>
        </w:rPr>
        <w:t>a la totalidad de los entes del Estado, sin distinción del régimen jurídico, forma de organización o naturaleza, su pertenencia a una u otra rama del poder público o su autonomía</w:t>
      </w:r>
      <w:bookmarkEnd w:id="14"/>
      <w:r w:rsidRPr="00C84F90">
        <w:rPr>
          <w:rFonts w:ascii="Arial" w:hAnsi="Arial" w:cs="Arial"/>
          <w:bCs/>
          <w:sz w:val="22"/>
          <w:szCs w:val="22"/>
          <w:lang w:val="es-MX" w:eastAsia="x-none"/>
        </w:rPr>
        <w:t xml:space="preserve">,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rsidRPr="00C84F90" w:rsidR="00C84F90" w:rsidP="00C84F90" w:rsidRDefault="00C84F90" w14:paraId="438F306B" w14:textId="77777777">
      <w:pPr>
        <w:spacing w:line="276" w:lineRule="auto"/>
        <w:ind w:firstLine="708"/>
        <w:jc w:val="both"/>
        <w:rPr>
          <w:rFonts w:ascii="Arial" w:hAnsi="Arial" w:cs="Arial"/>
          <w:bCs/>
          <w:sz w:val="22"/>
          <w:szCs w:val="22"/>
          <w:lang w:val="es-MX" w:eastAsia="x-none"/>
        </w:rPr>
      </w:pPr>
    </w:p>
    <w:p w:rsidRPr="00C84F90" w:rsidR="00C84F90" w:rsidP="00C84F90" w:rsidRDefault="00C84F90" w14:paraId="6741430C" w14:textId="77777777">
      <w:pPr>
        <w:ind w:left="708" w:right="709"/>
        <w:jc w:val="both"/>
        <w:rPr>
          <w:rFonts w:ascii="Arial" w:hAnsi="Arial" w:cs="Arial"/>
          <w:bCs/>
          <w:sz w:val="21"/>
          <w:szCs w:val="21"/>
          <w:lang w:val="es-MX" w:eastAsia="es-CO"/>
        </w:rPr>
      </w:pPr>
      <w:r w:rsidRPr="00C84F90">
        <w:rPr>
          <w:rFonts w:ascii="Arial" w:hAnsi="Arial" w:cs="Arial"/>
          <w:bCs/>
          <w:sz w:val="21"/>
          <w:szCs w:val="21"/>
          <w:lang w:val="es-MX" w:eastAsia="x-none"/>
        </w:rPr>
        <w:t xml:space="preserve">El artículo 33 de la ley 996 de 2005, </w:t>
      </w:r>
      <w:bookmarkStart w:name="_Hlk75787147" w:id="33"/>
      <w:r w:rsidRPr="00C84F90">
        <w:rPr>
          <w:rFonts w:ascii="Arial" w:hAnsi="Arial" w:cs="Arial"/>
          <w:bCs/>
          <w:sz w:val="21"/>
          <w:szCs w:val="21"/>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C84F90">
        <w:rPr>
          <w:rFonts w:ascii="Arial" w:hAnsi="Arial" w:cs="Arial"/>
          <w:bCs/>
          <w:sz w:val="21"/>
          <w:szCs w:val="21"/>
          <w:vertAlign w:val="superscript"/>
          <w:lang w:val="es-MX" w:eastAsia="x-none"/>
        </w:rPr>
        <w:footnoteReference w:id="20"/>
      </w:r>
      <w:r w:rsidRPr="00C84F90">
        <w:rPr>
          <w:rFonts w:ascii="Arial" w:hAnsi="Arial" w:cs="Arial"/>
          <w:bCs/>
          <w:sz w:val="21"/>
          <w:szCs w:val="21"/>
          <w:lang w:val="es-MX" w:eastAsia="x-none"/>
        </w:rPr>
        <w:t>.</w:t>
      </w:r>
      <w:r w:rsidRPr="00C84F90">
        <w:rPr>
          <w:rFonts w:ascii="Arial" w:hAnsi="Arial" w:cs="Arial"/>
          <w:bCs/>
          <w:sz w:val="21"/>
          <w:szCs w:val="21"/>
          <w:lang w:val="es-MX" w:eastAsia="es-CO"/>
        </w:rPr>
        <w:t xml:space="preserve"> </w:t>
      </w:r>
    </w:p>
    <w:p w:rsidRPr="00C84F90" w:rsidR="00C84F90" w:rsidP="00C84F90" w:rsidRDefault="00C84F90" w14:paraId="4DB61CD1" w14:textId="77777777">
      <w:pPr>
        <w:spacing w:line="276" w:lineRule="auto"/>
        <w:ind w:firstLine="708"/>
        <w:jc w:val="both"/>
        <w:rPr>
          <w:rFonts w:ascii="Arial" w:hAnsi="Arial" w:cs="Arial"/>
          <w:bCs/>
          <w:sz w:val="22"/>
          <w:szCs w:val="22"/>
          <w:lang w:val="es-MX" w:eastAsia="es-CO"/>
        </w:rPr>
      </w:pPr>
    </w:p>
    <w:p w:rsidRPr="00C84F90" w:rsidR="00C84F90" w:rsidP="00C84F90" w:rsidRDefault="00790B72" w14:paraId="5E7C689F" w14:textId="31722744">
      <w:pPr>
        <w:spacing w:line="276" w:lineRule="auto"/>
        <w:ind w:firstLine="708"/>
        <w:jc w:val="both"/>
        <w:rPr>
          <w:rFonts w:ascii="Arial" w:hAnsi="Arial" w:cs="Arial" w:eastAsiaTheme="minorHAnsi"/>
          <w:sz w:val="22"/>
          <w:szCs w:val="22"/>
          <w:lang w:val="es-MX" w:eastAsia="en-US"/>
        </w:rPr>
      </w:pPr>
      <w:r>
        <w:rPr>
          <w:rFonts w:ascii="Arial" w:hAnsi="Arial" w:cs="Arial"/>
          <w:bCs/>
          <w:sz w:val="22"/>
          <w:szCs w:val="22"/>
          <w:lang w:val="es-MX" w:eastAsia="x-none"/>
        </w:rPr>
        <w:t>En</w:t>
      </w:r>
      <w:r w:rsidRPr="00C84F90" w:rsidR="00C84F90">
        <w:rPr>
          <w:rFonts w:ascii="Arial" w:hAnsi="Arial" w:cs="Arial"/>
          <w:bCs/>
          <w:sz w:val="22"/>
          <w:szCs w:val="22"/>
          <w:lang w:val="es-MX" w:eastAsia="x-none"/>
        </w:rPr>
        <w:t xml:space="preserve">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name="_Hlk75635823" w:id="34"/>
      <w:r w:rsidRPr="00C84F90" w:rsidR="00C84F90">
        <w:rPr>
          <w:rFonts w:ascii="Arial" w:hAnsi="Arial" w:cs="Arial"/>
          <w:bCs/>
          <w:sz w:val="22"/>
          <w:szCs w:val="22"/>
          <w:lang w:val="es-MX" w:eastAsia="x-none"/>
        </w:rPr>
        <w:t>»</w:t>
      </w:r>
      <w:bookmarkStart w:name="_Hlk75758868" w:id="35"/>
      <w:bookmarkStart w:name="_Hlk75741220" w:id="36"/>
      <w:bookmarkEnd w:id="34"/>
      <w:r w:rsidRPr="00C84F90" w:rsidR="00C84F90">
        <w:rPr>
          <w:rFonts w:ascii="Arial" w:hAnsi="Arial" w:cs="Arial" w:eastAsiaTheme="minorHAnsi"/>
          <w:szCs w:val="22"/>
          <w:vertAlign w:val="superscript"/>
          <w:lang w:val="es-MX" w:eastAsia="en-US"/>
        </w:rPr>
        <w:footnoteReference w:id="21"/>
      </w:r>
      <w:bookmarkEnd w:id="35"/>
      <w:bookmarkEnd w:id="36"/>
      <w:r w:rsidRPr="00C84F90" w:rsidR="00C84F90">
        <w:rPr>
          <w:rFonts w:ascii="Arial" w:hAnsi="Arial" w:cs="Arial"/>
          <w:bCs/>
          <w:sz w:val="22"/>
          <w:szCs w:val="22"/>
          <w:lang w:val="es-MX" w:eastAsia="x-none"/>
        </w:rPr>
        <w:t>.</w:t>
      </w:r>
      <w:r w:rsidRPr="00C84F90" w:rsidR="00C84F90">
        <w:rPr>
          <w:rFonts w:ascii="Arial" w:hAnsi="Arial" w:cs="Arial" w:eastAsiaTheme="minorHAnsi"/>
          <w:sz w:val="22"/>
          <w:szCs w:val="22"/>
          <w:lang w:val="es-MX" w:eastAsia="en-US"/>
        </w:rPr>
        <w:t xml:space="preserve"> Sin embargo, debe precisarse el siguiente aspecto que distinguió la Sala de Consulta y Servicio Civil:</w:t>
      </w:r>
    </w:p>
    <w:p w:rsidRPr="00C84F90" w:rsidR="00C84F90" w:rsidP="00C84F90" w:rsidRDefault="00C84F90" w14:paraId="65C68EC6" w14:textId="77777777">
      <w:pPr>
        <w:spacing w:line="276" w:lineRule="auto"/>
        <w:jc w:val="both"/>
        <w:rPr>
          <w:rFonts w:ascii="Arial" w:hAnsi="Arial" w:cs="Arial" w:eastAsiaTheme="minorHAnsi"/>
          <w:sz w:val="22"/>
          <w:szCs w:val="22"/>
          <w:lang w:val="es-MX" w:eastAsia="en-US"/>
        </w:rPr>
      </w:pPr>
    </w:p>
    <w:p w:rsidRPr="00C84F90" w:rsidR="00C84F90" w:rsidP="00C84F90" w:rsidRDefault="00C84F90" w14:paraId="0D603B2B" w14:textId="77777777">
      <w:pPr>
        <w:ind w:left="708" w:right="709"/>
        <w:jc w:val="both"/>
        <w:rPr>
          <w:rFonts w:ascii="Arial" w:hAnsi="Arial" w:cs="Arial" w:eastAsiaTheme="minorHAnsi"/>
          <w:sz w:val="21"/>
          <w:szCs w:val="21"/>
          <w:lang w:val="es-MX" w:eastAsia="en-US"/>
        </w:rPr>
      </w:pPr>
      <w:bookmarkStart w:name="_Hlk75811446" w:id="38"/>
      <w:r w:rsidRPr="00C84F90">
        <w:rPr>
          <w:rFonts w:ascii="Arial" w:hAnsi="Arial" w:cs="Arial" w:eastAsiaTheme="minorHAnsi"/>
          <w:sz w:val="21"/>
          <w:szCs w:val="21"/>
          <w:lang w:val="es-MX" w:eastAsia="en-US"/>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38"/>
      <w:r w:rsidRPr="00C84F90">
        <w:rPr>
          <w:rFonts w:ascii="Arial" w:hAnsi="Arial" w:cs="Arial" w:eastAsiaTheme="minorHAnsi"/>
          <w:szCs w:val="22"/>
          <w:vertAlign w:val="superscript"/>
          <w:lang w:val="es-MX" w:eastAsia="en-US"/>
        </w:rPr>
        <w:footnoteReference w:id="22"/>
      </w:r>
      <w:r w:rsidRPr="00C84F90">
        <w:rPr>
          <w:rFonts w:ascii="Arial" w:hAnsi="Arial" w:cs="Arial"/>
          <w:bCs/>
          <w:sz w:val="22"/>
          <w:szCs w:val="22"/>
          <w:lang w:val="es-MX" w:eastAsia="x-none"/>
        </w:rPr>
        <w:t>.</w:t>
      </w:r>
    </w:p>
    <w:p w:rsidRPr="00C84F90" w:rsidR="00C84F90" w:rsidP="00C84F90" w:rsidRDefault="00C84F90" w14:paraId="3FCA900D" w14:textId="77777777">
      <w:pPr>
        <w:spacing w:line="276" w:lineRule="auto"/>
        <w:jc w:val="both"/>
        <w:rPr>
          <w:rFonts w:ascii="Arial" w:hAnsi="Arial" w:cs="Arial" w:eastAsiaTheme="minorHAnsi"/>
          <w:sz w:val="22"/>
          <w:szCs w:val="22"/>
          <w:lang w:val="es-MX" w:eastAsia="en-US"/>
        </w:rPr>
      </w:pPr>
    </w:p>
    <w:p w:rsidRPr="00C84F90" w:rsidR="00C84F90" w:rsidP="00C84F90" w:rsidRDefault="00C84F90" w14:paraId="59051BBC" w14:textId="333E4424">
      <w:pPr>
        <w:spacing w:after="120" w:line="276" w:lineRule="auto"/>
        <w:ind w:firstLine="709"/>
        <w:jc w:val="both"/>
        <w:rPr>
          <w:rFonts w:ascii="Arial" w:hAnsi="Arial" w:cs="Arial"/>
          <w:bCs/>
          <w:sz w:val="22"/>
          <w:szCs w:val="22"/>
          <w:lang w:val="es-MX" w:eastAsia="x-none"/>
        </w:rPr>
      </w:pPr>
      <w:r w:rsidRPr="00C84F90">
        <w:rPr>
          <w:rFonts w:ascii="Arial" w:hAnsi="Arial" w:cs="Arial" w:eastAsiaTheme="minorHAnsi"/>
          <w:sz w:val="22"/>
          <w:szCs w:val="22"/>
          <w:lang w:val="es-MX" w:eastAsia="en-US"/>
        </w:rPr>
        <w:t>Aplicando este razonamiento,</w:t>
      </w:r>
      <w:bookmarkStart w:name="_Hlk75811096" w:id="39"/>
      <w:r w:rsidRPr="00C84F90">
        <w:rPr>
          <w:rFonts w:ascii="Arial" w:hAnsi="Arial" w:cs="Arial" w:eastAsiaTheme="minorHAnsi"/>
          <w:sz w:val="22"/>
          <w:szCs w:val="22"/>
          <w:lang w:val="es-MX" w:eastAsia="en-US"/>
        </w:rPr>
        <w:t xml:space="preserve"> se tiene que las empresas industriales y comerciales del estado y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w:t>
      </w:r>
      <w:r w:rsidRPr="00C84F90">
        <w:rPr>
          <w:rFonts w:ascii="Arial" w:hAnsi="Arial" w:cs="Arial" w:eastAsiaTheme="minorHAnsi"/>
          <w:sz w:val="22"/>
          <w:szCs w:val="22"/>
          <w:lang w:val="es-MX" w:eastAsia="en-US"/>
        </w:rPr>
        <w:t>directa, significaría la parálisis de tal actividad de interés público, lo que de ninguna manera es lo querido por la ley 996 de 2005</w:t>
      </w:r>
      <w:bookmarkEnd w:id="39"/>
      <w:r w:rsidRPr="00C84F90">
        <w:rPr>
          <w:rFonts w:ascii="Arial" w:hAnsi="Arial" w:cs="Arial" w:eastAsiaTheme="minorHAnsi"/>
          <w:sz w:val="22"/>
          <w:szCs w:val="22"/>
          <w:lang w:val="es-MX" w:eastAsia="en-US"/>
        </w:rPr>
        <w:t>»</w:t>
      </w:r>
      <w:r w:rsidRPr="00C84F90">
        <w:rPr>
          <w:rFonts w:ascii="Arial" w:hAnsi="Arial" w:cs="Arial" w:eastAsiaTheme="minorHAnsi"/>
          <w:szCs w:val="22"/>
          <w:vertAlign w:val="superscript"/>
          <w:lang w:val="es-MX" w:eastAsia="en-US"/>
        </w:rPr>
        <w:t xml:space="preserve"> </w:t>
      </w:r>
      <w:r w:rsidRPr="00C84F90">
        <w:rPr>
          <w:rFonts w:ascii="Arial" w:hAnsi="Arial" w:cs="Arial" w:eastAsiaTheme="minorHAnsi"/>
          <w:sz w:val="22"/>
          <w:szCs w:val="22"/>
          <w:vertAlign w:val="superscript"/>
          <w:lang w:val="es-MX" w:eastAsia="en-US"/>
        </w:rPr>
        <w:footnoteReference w:id="23"/>
      </w:r>
      <w:r w:rsidRPr="00C84F90">
        <w:rPr>
          <w:rFonts w:ascii="Arial" w:hAnsi="Arial" w:cs="Arial" w:eastAsiaTheme="minorHAnsi"/>
          <w:sz w:val="22"/>
          <w:szCs w:val="22"/>
          <w:lang w:val="es-MX" w:eastAsia="en-US"/>
        </w:rPr>
        <w:t>.</w:t>
      </w:r>
    </w:p>
    <w:p w:rsidRPr="00DC6724" w:rsidR="00DC6724" w:rsidP="00DC6724" w:rsidRDefault="00DC6724" w14:paraId="33FFCC24" w14:textId="77777777">
      <w:pPr>
        <w:spacing w:line="276" w:lineRule="auto"/>
        <w:ind w:firstLine="709"/>
        <w:jc w:val="both"/>
        <w:rPr>
          <w:rFonts w:ascii="Arial" w:hAnsi="Arial" w:cs="Arial" w:eastAsiaTheme="minorHAnsi"/>
          <w:bCs/>
          <w:sz w:val="22"/>
          <w:szCs w:val="22"/>
          <w:lang w:val="es-MX" w:eastAsia="en-US"/>
        </w:rPr>
      </w:pPr>
      <w:bookmarkStart w:name="_Hlk77237229" w:id="40"/>
      <w:bookmarkEnd w:id="33"/>
      <w:r w:rsidRPr="00DC6724">
        <w:rPr>
          <w:rFonts w:ascii="Arial" w:hAnsi="Arial" w:cs="Arial" w:eastAsiaTheme="minorHAnsi"/>
          <w:sz w:val="22"/>
          <w:szCs w:val="22"/>
          <w:lang w:val="es-MX" w:eastAsia="en-US"/>
        </w:rPr>
        <w:t>Por lo tanto, la restricción prevista en la Ley 996 de 200</w:t>
      </w:r>
      <w:bookmarkStart w:name="_Hlk75741539" w:id="41"/>
      <w:r w:rsidRPr="00DC6724">
        <w:rPr>
          <w:rFonts w:ascii="Arial" w:hAnsi="Arial" w:cs="Arial" w:eastAsiaTheme="minorHAnsi"/>
          <w:sz w:val="22"/>
          <w:szCs w:val="22"/>
          <w:lang w:val="es-MX" w:eastAsia="en-US"/>
        </w:rPr>
        <w:t xml:space="preserve">5, </w:t>
      </w:r>
      <w:r w:rsidRPr="00DC6724">
        <w:rPr>
          <w:rFonts w:ascii="Arial" w:hAnsi="Arial" w:cs="Arial" w:eastAsiaTheme="minorHAnsi"/>
          <w:bCs/>
          <w:sz w:val="22"/>
          <w:szCs w:val="22"/>
          <w:lang w:val="es-MX" w:eastAsia="en-US"/>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bookmarkEnd w:id="40"/>
    <w:bookmarkEnd w:id="41"/>
    <w:p w:rsidRPr="00C84F90" w:rsidR="00C84F90" w:rsidP="00C84F90" w:rsidRDefault="00C84F90" w14:paraId="6357BD23" w14:textId="77777777">
      <w:pPr>
        <w:spacing w:line="276" w:lineRule="auto"/>
        <w:jc w:val="both"/>
        <w:rPr>
          <w:rFonts w:ascii="Arial" w:hAnsi="Arial" w:cs="Arial" w:eastAsiaTheme="minorHAnsi"/>
          <w:sz w:val="22"/>
          <w:szCs w:val="22"/>
          <w:lang w:val="es-MX" w:eastAsia="en-US"/>
        </w:rPr>
      </w:pPr>
    </w:p>
    <w:p w:rsidRPr="00C84F90" w:rsidR="00C84F90" w:rsidP="00C84F90" w:rsidRDefault="00C84F90" w14:paraId="37FFD82F" w14:textId="77777777">
      <w:pPr>
        <w:spacing w:after="200" w:line="276" w:lineRule="auto"/>
        <w:jc w:val="both"/>
        <w:rPr>
          <w:rFonts w:ascii="Arial" w:hAnsi="Arial" w:cs="Arial" w:eastAsiaTheme="minorHAnsi"/>
          <w:b/>
          <w:bCs/>
          <w:sz w:val="22"/>
          <w:szCs w:val="22"/>
          <w:lang w:val="es-MX" w:eastAsia="en-US"/>
        </w:rPr>
      </w:pPr>
      <w:bookmarkStart w:name="_Hlk75784645" w:id="42"/>
      <w:r w:rsidRPr="00C84F90">
        <w:rPr>
          <w:rFonts w:ascii="Arial" w:hAnsi="Arial" w:cs="Arial" w:eastAsiaTheme="minorHAnsi"/>
          <w:b/>
          <w:bCs/>
          <w:sz w:val="22"/>
          <w:szCs w:val="22"/>
          <w:lang w:val="es-MX" w:eastAsia="en-US"/>
        </w:rPr>
        <w:t xml:space="preserve">2.4. </w:t>
      </w:r>
      <w:bookmarkStart w:name="_Hlk77153296" w:id="43"/>
      <w:r w:rsidRPr="00C84F90">
        <w:rPr>
          <w:rFonts w:ascii="Arial" w:hAnsi="Arial" w:cs="Arial"/>
          <w:b/>
          <w:bCs/>
          <w:sz w:val="22"/>
          <w:szCs w:val="22"/>
          <w:lang w:val="es-MX" w:eastAsia="es-CO"/>
        </w:rPr>
        <w:t xml:space="preserve">Restricciones </w:t>
      </w:r>
      <w:bookmarkStart w:name="_Hlk75643279" w:id="44"/>
      <w:r w:rsidRPr="00C84F90">
        <w:rPr>
          <w:rFonts w:ascii="Arial" w:hAnsi="Arial" w:cs="Arial"/>
          <w:b/>
          <w:bCs/>
          <w:sz w:val="22"/>
          <w:szCs w:val="22"/>
          <w:lang w:val="es-MX" w:eastAsia="es-CO"/>
        </w:rPr>
        <w:t xml:space="preserve">para la celebración de contratos y convenios interadministrativos en los comicios de cargos de elección popular </w:t>
      </w:r>
    </w:p>
    <w:p w:rsidRPr="00C84F90" w:rsidR="00C84F90" w:rsidP="00C84F90" w:rsidRDefault="00C84F90" w14:paraId="6D154F33" w14:textId="77777777">
      <w:pPr>
        <w:tabs>
          <w:tab w:val="left" w:pos="426"/>
        </w:tabs>
        <w:spacing w:after="120" w:line="276" w:lineRule="auto"/>
        <w:jc w:val="both"/>
        <w:rPr>
          <w:rFonts w:ascii="Arial" w:hAnsi="Arial" w:eastAsia="Calibri" w:cs="Arial"/>
          <w:bCs/>
          <w:sz w:val="22"/>
          <w:szCs w:val="22"/>
          <w:lang w:eastAsia="en-US"/>
        </w:rPr>
      </w:pPr>
      <w:bookmarkStart w:name="_Hlk101885981" w:id="45"/>
      <w:bookmarkEnd w:id="43"/>
      <w:bookmarkEnd w:id="44"/>
      <w:r w:rsidRPr="00C84F90">
        <w:rPr>
          <w:rFonts w:ascii="Arial" w:hAnsi="Arial" w:eastAsia="Calibri" w:cs="Arial"/>
          <w:bCs/>
          <w:sz w:val="22"/>
          <w:szCs w:val="22"/>
          <w:lang w:eastAsia="en-US"/>
        </w:rPr>
        <w:t xml:space="preserve">El parágrafo del artículo 38 de la Ley 996 de 2005 dispone que «[l]os Gobernadores, </w:t>
      </w:r>
      <w:proofErr w:type="gramStart"/>
      <w:r w:rsidRPr="00C84F90">
        <w:rPr>
          <w:rFonts w:ascii="Arial" w:hAnsi="Arial" w:eastAsia="Calibri" w:cs="Arial"/>
          <w:bCs/>
          <w:sz w:val="22"/>
          <w:szCs w:val="22"/>
          <w:lang w:eastAsia="en-US"/>
        </w:rPr>
        <w:t>Alcaldes</w:t>
      </w:r>
      <w:proofErr w:type="gramEnd"/>
      <w:r w:rsidRPr="00C84F90">
        <w:rPr>
          <w:rFonts w:ascii="Arial" w:hAnsi="Arial" w:eastAsia="Calibri" w:cs="Arial"/>
          <w:bCs/>
          <w:sz w:val="22"/>
          <w:szCs w:val="22"/>
          <w:lang w:eastAsia="en-US"/>
        </w:rPr>
        <w:t xml:space="preserve">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C84F90">
        <w:rPr>
          <w:rFonts w:ascii="Arial" w:hAnsi="Arial" w:cs="Arial"/>
          <w:bCs/>
          <w:iCs/>
          <w:sz w:val="22"/>
          <w:szCs w:val="22"/>
          <w:lang w:val="es-MX"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bookmarkEnd w:id="45"/>
      <w:r w:rsidRPr="00C84F90">
        <w:rPr>
          <w:rFonts w:ascii="Arial" w:hAnsi="Arial" w:cs="Arial"/>
          <w:bCs/>
          <w:iCs/>
          <w:sz w:val="22"/>
          <w:szCs w:val="22"/>
          <w:vertAlign w:val="superscript"/>
          <w:lang w:val="es-MX" w:eastAsia="x-none"/>
        </w:rPr>
        <w:footnoteReference w:id="24"/>
      </w:r>
      <w:r w:rsidRPr="00C84F90">
        <w:rPr>
          <w:rFonts w:ascii="Arial" w:hAnsi="Arial" w:cs="Arial"/>
          <w:bCs/>
          <w:iCs/>
          <w:sz w:val="22"/>
          <w:szCs w:val="22"/>
          <w:lang w:val="es-MX" w:eastAsia="x-none"/>
        </w:rPr>
        <w:t>.</w:t>
      </w:r>
      <w:r w:rsidRPr="00C84F90">
        <w:rPr>
          <w:rFonts w:ascii="Arial" w:hAnsi="Arial" w:cs="Arial" w:eastAsiaTheme="minorHAnsi"/>
          <w:szCs w:val="22"/>
          <w:lang w:val="es-MX" w:eastAsia="en-US"/>
        </w:rPr>
        <w:t xml:space="preserve"> </w:t>
      </w:r>
    </w:p>
    <w:p w:rsidRPr="00C84F90" w:rsidR="00C84F90" w:rsidP="00C84F90" w:rsidRDefault="00C84F90" w14:paraId="658C4658" w14:textId="77777777">
      <w:pPr>
        <w:widowControl w:val="0"/>
        <w:autoSpaceDE w:val="0"/>
        <w:autoSpaceDN w:val="0"/>
        <w:spacing w:after="120" w:line="276" w:lineRule="auto"/>
        <w:ind w:firstLine="707"/>
        <w:jc w:val="both"/>
        <w:rPr>
          <w:rFonts w:ascii="Arial" w:hAnsi="Arial" w:eastAsia="Arial" w:cs="Arial"/>
          <w:sz w:val="22"/>
          <w:szCs w:val="22"/>
          <w:lang w:val="es-ES" w:eastAsia="es-ES" w:bidi="es-ES"/>
        </w:rPr>
      </w:pPr>
      <w:r w:rsidRPr="00C84F90">
        <w:rPr>
          <w:rFonts w:ascii="Arial" w:hAnsi="Arial" w:eastAsia="Calibri" w:cs="Arial"/>
          <w:bCs/>
          <w:sz w:val="22"/>
          <w:szCs w:val="22"/>
          <w:lang w:eastAsia="es-ES" w:bidi="es-ES"/>
        </w:rPr>
        <w:t xml:space="preserve">Ahora bien, </w:t>
      </w:r>
      <w:bookmarkStart w:name="_Hlk78820161" w:id="46"/>
      <w:r w:rsidRPr="00C84F90">
        <w:rPr>
          <w:rFonts w:ascii="Arial" w:hAnsi="Arial" w:eastAsia="Calibri" w:cs="Arial"/>
          <w:bCs/>
          <w:sz w:val="22"/>
          <w:szCs w:val="22"/>
          <w:lang w:eastAsia="es-ES" w:bidi="es-ES"/>
        </w:rPr>
        <w:t xml:space="preserve">para determinar el alcance de la prohibición consagrada por la Ley de Garantías Electorales, conviene precisar la tipología de convenios o contratos interadministrativos. </w:t>
      </w:r>
      <w:r w:rsidRPr="00C84F90">
        <w:rPr>
          <w:rFonts w:ascii="Arial" w:hAnsi="Arial" w:eastAsia="Arial" w:cs="Arial"/>
          <w:sz w:val="22"/>
          <w:szCs w:val="22"/>
          <w:lang w:val="es-ES" w:eastAsia="es-ES" w:bidi="es-ES"/>
        </w:rPr>
        <w:t>Aunque la ley no la definió ni desarrolló, el Decreto 1082 de 2015 califica a los convenios o contratos interadministrativos como aquella contratación entre entidades estatales</w:t>
      </w:r>
      <w:r w:rsidRPr="00C84F90">
        <w:rPr>
          <w:rFonts w:ascii="Arial" w:hAnsi="Arial" w:eastAsia="Arial" w:cs="Arial"/>
          <w:sz w:val="22"/>
          <w:szCs w:val="22"/>
          <w:vertAlign w:val="superscript"/>
          <w:lang w:val="es-ES" w:eastAsia="es-ES" w:bidi="es-ES"/>
        </w:rPr>
        <w:footnoteReference w:id="25"/>
      </w:r>
      <w:r w:rsidRPr="00C84F90">
        <w:rPr>
          <w:rFonts w:ascii="Arial" w:hAnsi="Arial" w:eastAsia="Arial" w:cs="Arial"/>
          <w:sz w:val="22"/>
          <w:szCs w:val="22"/>
          <w:lang w:val="es-ES" w:eastAsia="es-ES" w:bidi="es-ES"/>
        </w:rPr>
        <w:t xml:space="preserve">.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w:t>
      </w:r>
      <w:r w:rsidRPr="00C84F90">
        <w:rPr>
          <w:rFonts w:ascii="Arial" w:hAnsi="Arial" w:eastAsia="Arial" w:cs="Arial"/>
          <w:sz w:val="22"/>
          <w:szCs w:val="22"/>
          <w:lang w:val="es-ES" w:eastAsia="es-ES" w:bidi="es-ES"/>
        </w:rPr>
        <w:t>interadministrativos están determinados por un criterio orgánico, pues es necesario que los extremos de la relación contractual sean entidades</w:t>
      </w:r>
      <w:r w:rsidRPr="00C84F90">
        <w:rPr>
          <w:rFonts w:ascii="Arial" w:hAnsi="Arial" w:eastAsia="Arial" w:cs="Arial"/>
          <w:spacing w:val="-6"/>
          <w:sz w:val="22"/>
          <w:szCs w:val="22"/>
          <w:lang w:val="es-ES" w:eastAsia="es-ES" w:bidi="es-ES"/>
        </w:rPr>
        <w:t xml:space="preserve"> </w:t>
      </w:r>
      <w:r w:rsidRPr="00C84F90">
        <w:rPr>
          <w:rFonts w:ascii="Arial" w:hAnsi="Arial" w:eastAsia="Arial" w:cs="Arial"/>
          <w:sz w:val="22"/>
          <w:szCs w:val="22"/>
          <w:lang w:val="es-ES" w:eastAsia="es-ES" w:bidi="es-ES"/>
        </w:rPr>
        <w:t>estatales.</w:t>
      </w:r>
    </w:p>
    <w:p w:rsidRPr="00C84F90" w:rsidR="00C84F90" w:rsidP="00C84F90" w:rsidRDefault="00C84F90" w14:paraId="517390AF" w14:textId="77777777">
      <w:pPr>
        <w:widowControl w:val="0"/>
        <w:autoSpaceDE w:val="0"/>
        <w:autoSpaceDN w:val="0"/>
        <w:spacing w:before="117" w:after="120" w:line="276" w:lineRule="auto"/>
        <w:ind w:firstLine="707"/>
        <w:jc w:val="both"/>
        <w:rPr>
          <w:rFonts w:ascii="Arial" w:hAnsi="Arial" w:eastAsia="Arial" w:cs="Arial"/>
          <w:sz w:val="22"/>
          <w:szCs w:val="22"/>
          <w:lang w:val="es-ES" w:eastAsia="es-ES" w:bidi="es-ES"/>
        </w:rPr>
      </w:pPr>
      <w:bookmarkStart w:name="_Hlk78820654" w:id="47"/>
      <w:bookmarkEnd w:id="46"/>
      <w:r w:rsidRPr="00C84F90">
        <w:rPr>
          <w:rFonts w:ascii="Arial" w:hAnsi="Arial" w:eastAsia="Arial" w:cs="Arial"/>
          <w:sz w:val="22"/>
          <w:szCs w:val="22"/>
          <w:lang w:val="es-ES" w:eastAsia="es-ES" w:bidi="es-ES"/>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w:t>
      </w:r>
    </w:p>
    <w:bookmarkEnd w:id="47"/>
    <w:p w:rsidRPr="00C84F90" w:rsidR="00C84F90" w:rsidP="00C84F90" w:rsidRDefault="00C84F90" w14:paraId="598266EF" w14:textId="77777777">
      <w:pPr>
        <w:widowControl w:val="0"/>
        <w:autoSpaceDE w:val="0"/>
        <w:autoSpaceDN w:val="0"/>
        <w:spacing w:before="121" w:after="120" w:line="276" w:lineRule="auto"/>
        <w:ind w:firstLine="707"/>
        <w:jc w:val="both"/>
        <w:rPr>
          <w:rFonts w:ascii="Arial" w:hAnsi="Arial" w:eastAsia="Arial" w:cs="Arial"/>
          <w:sz w:val="22"/>
          <w:szCs w:val="22"/>
          <w:lang w:val="es-ES" w:eastAsia="es-ES" w:bidi="es-ES"/>
        </w:rPr>
      </w:pPr>
      <w:r w:rsidRPr="00C84F90">
        <w:rPr>
          <w:rFonts w:ascii="Arial" w:hAnsi="Arial" w:eastAsia="Arial" w:cs="Arial"/>
          <w:sz w:val="22"/>
          <w:szCs w:val="22"/>
          <w:lang w:val="es-ES" w:eastAsia="es-ES" w:bidi="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C84F90">
        <w:rPr>
          <w:rFonts w:ascii="Arial" w:hAnsi="Arial" w:eastAsia="Arial" w:cs="Arial"/>
          <w:sz w:val="22"/>
          <w:szCs w:val="22"/>
          <w:vertAlign w:val="superscript"/>
          <w:lang w:val="es-ES" w:eastAsia="es-ES" w:bidi="es-ES"/>
        </w:rPr>
        <w:footnoteReference w:id="26"/>
      </w:r>
      <w:r w:rsidRPr="00C84F90">
        <w:rPr>
          <w:rFonts w:ascii="Arial" w:hAnsi="Arial" w:eastAsia="Arial" w:cs="Arial"/>
          <w:sz w:val="22"/>
          <w:szCs w:val="22"/>
          <w:lang w:val="es-ES" w:eastAsia="es-ES" w:bidi="es-ES"/>
        </w:rPr>
        <w:t>. Nótese que, en este caso, lo que cambia es la modalidad de selección y no la naturaleza de contrato</w:t>
      </w:r>
      <w:r w:rsidRPr="00C84F90">
        <w:rPr>
          <w:rFonts w:ascii="Arial" w:hAnsi="Arial" w:eastAsia="Arial" w:cs="Arial"/>
          <w:spacing w:val="-18"/>
          <w:sz w:val="22"/>
          <w:szCs w:val="22"/>
          <w:lang w:val="es-ES" w:eastAsia="es-ES" w:bidi="es-ES"/>
        </w:rPr>
        <w:t xml:space="preserve"> </w:t>
      </w:r>
      <w:r w:rsidRPr="00C84F90">
        <w:rPr>
          <w:rFonts w:ascii="Arial" w:hAnsi="Arial" w:eastAsia="Arial" w:cs="Arial"/>
          <w:sz w:val="22"/>
          <w:szCs w:val="22"/>
          <w:lang w:val="es-ES" w:eastAsia="es-ES" w:bidi="es-ES"/>
        </w:rPr>
        <w:t>interadministrativo.</w:t>
      </w:r>
    </w:p>
    <w:p w:rsidRPr="00C84F90" w:rsidR="00C84F90" w:rsidP="00C84F90" w:rsidRDefault="00C84F90" w14:paraId="7AB3C519" w14:textId="77777777">
      <w:pPr>
        <w:widowControl w:val="0"/>
        <w:autoSpaceDE w:val="0"/>
        <w:autoSpaceDN w:val="0"/>
        <w:spacing w:before="114" w:line="276" w:lineRule="auto"/>
        <w:ind w:firstLine="707"/>
        <w:jc w:val="both"/>
        <w:rPr>
          <w:rFonts w:ascii="Arial" w:hAnsi="Arial" w:eastAsia="Arial" w:cs="Arial"/>
          <w:sz w:val="22"/>
          <w:szCs w:val="22"/>
          <w:lang w:val="es-ES" w:eastAsia="es-ES" w:bidi="es-ES"/>
        </w:rPr>
      </w:pPr>
      <w:r w:rsidRPr="00C84F90">
        <w:rPr>
          <w:rFonts w:ascii="Arial" w:hAnsi="Arial" w:eastAsia="Arial" w:cs="Arial"/>
          <w:sz w:val="22"/>
          <w:szCs w:val="22"/>
          <w:lang w:val="es-ES" w:eastAsia="es-ES" w:bidi="es-ES"/>
        </w:rPr>
        <w:t>La Corte Constitucional expresó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w:t>
      </w:r>
      <w:r w:rsidRPr="00C84F90">
        <w:rPr>
          <w:rFonts w:ascii="Arial" w:hAnsi="Arial" w:eastAsia="Arial" w:cs="Arial"/>
          <w:spacing w:val="-13"/>
          <w:sz w:val="22"/>
          <w:szCs w:val="22"/>
          <w:lang w:val="es-ES" w:eastAsia="es-ES" w:bidi="es-ES"/>
        </w:rPr>
        <w:t xml:space="preserve"> </w:t>
      </w:r>
      <w:r w:rsidRPr="00C84F90">
        <w:rPr>
          <w:rFonts w:ascii="Arial" w:hAnsi="Arial" w:eastAsia="Arial" w:cs="Arial"/>
          <w:sz w:val="22"/>
          <w:szCs w:val="22"/>
          <w:lang w:val="es-ES" w:eastAsia="es-ES" w:bidi="es-ES"/>
        </w:rPr>
        <w:t>que:</w:t>
      </w:r>
    </w:p>
    <w:p w:rsidRPr="00C84F90" w:rsidR="00C84F90" w:rsidP="00C84F90" w:rsidRDefault="00C84F90" w14:paraId="5D9D4DF6" w14:textId="77777777">
      <w:pPr>
        <w:widowControl w:val="0"/>
        <w:autoSpaceDE w:val="0"/>
        <w:autoSpaceDN w:val="0"/>
        <w:spacing w:line="276" w:lineRule="auto"/>
        <w:ind w:firstLine="707"/>
        <w:jc w:val="both"/>
        <w:rPr>
          <w:rFonts w:ascii="Arial" w:hAnsi="Arial" w:eastAsia="Arial" w:cs="Arial"/>
          <w:sz w:val="22"/>
          <w:szCs w:val="22"/>
          <w:lang w:val="es-ES" w:eastAsia="es-ES" w:bidi="es-ES"/>
        </w:rPr>
      </w:pPr>
    </w:p>
    <w:p w:rsidRPr="00C84F90" w:rsidR="00C84F90" w:rsidP="00C84F90" w:rsidRDefault="00C84F90" w14:paraId="76C4B633" w14:textId="77777777">
      <w:pPr>
        <w:ind w:left="709" w:right="709"/>
        <w:jc w:val="both"/>
        <w:rPr>
          <w:rFonts w:ascii="Arial" w:hAnsi="Arial" w:cs="Arial" w:eastAsiaTheme="minorHAnsi"/>
          <w:sz w:val="21"/>
          <w:szCs w:val="22"/>
          <w:lang w:val="es-MX" w:eastAsia="en-US"/>
        </w:rPr>
      </w:pPr>
      <w:r w:rsidRPr="00C84F90">
        <w:rPr>
          <w:rFonts w:ascii="Arial" w:hAnsi="Arial" w:cs="Arial" w:eastAsiaTheme="minorHAnsi"/>
          <w:sz w:val="21"/>
          <w:szCs w:val="22"/>
          <w:lang w:val="es-MX" w:eastAsia="en-US"/>
        </w:rPr>
        <w:t>[…] se puede señalar que los convenios o contratos interadministrativos tienen como características principales las siguientes: (i) constituyen verdaderos contratos en los términos del Código de Comercio cuando su objeto lo constituyen obligaciones patrimoniales; (ii) tienen como fuente la autonomía contractual; (</w:t>
      </w:r>
      <w:proofErr w:type="spellStart"/>
      <w:r w:rsidRPr="00C84F90">
        <w:rPr>
          <w:rFonts w:ascii="Arial" w:hAnsi="Arial" w:cs="Arial" w:eastAsiaTheme="minorHAnsi"/>
          <w:sz w:val="21"/>
          <w:szCs w:val="22"/>
          <w:lang w:val="es-MX" w:eastAsia="en-US"/>
        </w:rPr>
        <w:t>iii</w:t>
      </w:r>
      <w:proofErr w:type="spellEnd"/>
      <w:r w:rsidRPr="00C84F90">
        <w:rPr>
          <w:rFonts w:ascii="Arial" w:hAnsi="Arial" w:cs="Arial" w:eastAsiaTheme="minorHAnsi"/>
          <w:sz w:val="21"/>
          <w:szCs w:val="22"/>
          <w:lang w:val="es-MX" w:eastAsia="en-US"/>
        </w:rPr>
        <w:t>) son contratos nominados puesto que están mencionados en la ley; (</w:t>
      </w:r>
      <w:proofErr w:type="spellStart"/>
      <w:r w:rsidRPr="00C84F90">
        <w:rPr>
          <w:rFonts w:ascii="Arial" w:hAnsi="Arial" w:cs="Arial" w:eastAsiaTheme="minorHAnsi"/>
          <w:sz w:val="21"/>
          <w:szCs w:val="22"/>
          <w:lang w:val="es-MX" w:eastAsia="en-US"/>
        </w:rPr>
        <w:t>iv</w:t>
      </w:r>
      <w:proofErr w:type="spellEnd"/>
      <w:r w:rsidRPr="00C84F90">
        <w:rPr>
          <w:rFonts w:ascii="Arial" w:hAnsi="Arial" w:cs="Arial" w:eastAsiaTheme="minorHAnsi"/>
          <w:sz w:val="21"/>
          <w:szCs w:val="22"/>
          <w:lang w:val="es-MX" w:eastAsia="en-US"/>
        </w:rPr>
        <w:t xml:space="preserve">)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w:t>
      </w:r>
      <w:r w:rsidRPr="00C84F90">
        <w:rPr>
          <w:rFonts w:ascii="Arial" w:hAnsi="Arial" w:cs="Arial" w:eastAsiaTheme="minorHAnsi"/>
          <w:sz w:val="21"/>
          <w:szCs w:val="22"/>
          <w:lang w:val="es-MX" w:eastAsia="en-US"/>
        </w:rPr>
        <w:t>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00C84F90">
        <w:rPr>
          <w:rFonts w:ascii="Arial" w:hAnsi="Arial" w:cs="Arial" w:eastAsiaTheme="minorHAnsi"/>
          <w:sz w:val="21"/>
          <w:szCs w:val="22"/>
          <w:lang w:val="es-MX" w:eastAsia="en-US"/>
        </w:rPr>
        <w:t>vii</w:t>
      </w:r>
      <w:proofErr w:type="spellEnd"/>
      <w:r w:rsidRPr="00C84F90">
        <w:rPr>
          <w:rFonts w:ascii="Arial" w:hAnsi="Arial" w:cs="Arial" w:eastAsiaTheme="minorHAnsi"/>
          <w:sz w:val="21"/>
          <w:szCs w:val="22"/>
          <w:lang w:val="es-MX" w:eastAsia="en-US"/>
        </w:rPr>
        <w:t>) persiguen  una finalidad común a través de la realización de intereses compartidos entre las entidades vinculadas; (</w:t>
      </w:r>
      <w:proofErr w:type="spellStart"/>
      <w:r w:rsidRPr="00C84F90">
        <w:rPr>
          <w:rFonts w:ascii="Arial" w:hAnsi="Arial" w:cs="Arial" w:eastAsiaTheme="minorHAnsi"/>
          <w:sz w:val="21"/>
          <w:szCs w:val="22"/>
          <w:lang w:val="es-MX" w:eastAsia="en-US"/>
        </w:rPr>
        <w:t>viii</w:t>
      </w:r>
      <w:proofErr w:type="spellEnd"/>
      <w:r w:rsidRPr="00C84F90">
        <w:rPr>
          <w:rFonts w:ascii="Arial" w:hAnsi="Arial" w:cs="Arial" w:eastAsiaTheme="minorHAnsi"/>
          <w:sz w:val="21"/>
          <w:szCs w:val="22"/>
          <w:lang w:val="es-MX" w:eastAsia="en-US"/>
        </w:rPr>
        <w:t>) la acción mediante la cual se deben ventilar las diferencias que sobre el particular surjan es la de controversias contractuales</w:t>
      </w:r>
      <w:r w:rsidRPr="00C84F90">
        <w:rPr>
          <w:rFonts w:ascii="Arial" w:hAnsi="Arial" w:cs="Arial" w:eastAsiaTheme="minorHAnsi"/>
          <w:sz w:val="21"/>
          <w:szCs w:val="22"/>
          <w:vertAlign w:val="superscript"/>
          <w:lang w:val="es-MX" w:eastAsia="en-US"/>
        </w:rPr>
        <w:footnoteReference w:id="27"/>
      </w:r>
      <w:r w:rsidRPr="00C84F90">
        <w:rPr>
          <w:rFonts w:ascii="Arial" w:hAnsi="Arial" w:cs="Arial" w:eastAsiaTheme="minorHAnsi"/>
          <w:sz w:val="21"/>
          <w:szCs w:val="22"/>
          <w:lang w:val="es-MX" w:eastAsia="en-US"/>
        </w:rPr>
        <w:t>.</w:t>
      </w:r>
    </w:p>
    <w:p w:rsidRPr="00C84F90" w:rsidR="00C84F90" w:rsidP="00C84F90" w:rsidRDefault="00C84F90" w14:paraId="738EA894" w14:textId="77777777">
      <w:pPr>
        <w:spacing w:line="276" w:lineRule="auto"/>
        <w:ind w:left="709" w:right="709"/>
        <w:jc w:val="both"/>
        <w:rPr>
          <w:rFonts w:asciiTheme="minorHAnsi" w:hAnsiTheme="minorHAnsi" w:eastAsiaTheme="minorHAnsi" w:cstheme="minorBidi"/>
          <w:sz w:val="22"/>
          <w:szCs w:val="22"/>
          <w:lang w:val="es-MX" w:eastAsia="en-US"/>
        </w:rPr>
      </w:pPr>
    </w:p>
    <w:p w:rsidRPr="00C84F90" w:rsidR="00C84F90" w:rsidP="00C84F90" w:rsidRDefault="00C84F90" w14:paraId="42E61EE4" w14:textId="77777777">
      <w:pPr>
        <w:widowControl w:val="0"/>
        <w:autoSpaceDE w:val="0"/>
        <w:autoSpaceDN w:val="0"/>
        <w:spacing w:after="120" w:line="276" w:lineRule="auto"/>
        <w:ind w:firstLine="707"/>
        <w:jc w:val="both"/>
        <w:rPr>
          <w:rFonts w:ascii="Arial" w:hAnsi="Arial" w:eastAsia="Arial" w:cs="Arial"/>
          <w:sz w:val="22"/>
          <w:szCs w:val="22"/>
          <w:lang w:val="es-ES" w:eastAsia="es-ES" w:bidi="es-ES"/>
        </w:rPr>
      </w:pPr>
      <w:r w:rsidRPr="00C84F90">
        <w:rPr>
          <w:rFonts w:ascii="Arial" w:hAnsi="Arial" w:eastAsia="Arial" w:cs="Arial"/>
          <w:sz w:val="22"/>
          <w:szCs w:val="22"/>
          <w:lang w:val="es-ES" w:eastAsia="es-ES" w:bidi="es-ES"/>
        </w:rPr>
        <w:t>En ese sentido, los convenios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directa como la modalidad de selección aplicable, por regla general, a la celebración de los contratos interadministrativos.</w:t>
      </w:r>
    </w:p>
    <w:p w:rsidRPr="00C84F90" w:rsidR="00C84F90" w:rsidP="00C84F90" w:rsidRDefault="00C84F90" w14:paraId="113BE4AD" w14:textId="77777777">
      <w:pPr>
        <w:widowControl w:val="0"/>
        <w:autoSpaceDE w:val="0"/>
        <w:autoSpaceDN w:val="0"/>
        <w:spacing w:before="119" w:after="120" w:line="276" w:lineRule="auto"/>
        <w:ind w:firstLine="707"/>
        <w:jc w:val="both"/>
        <w:rPr>
          <w:rFonts w:ascii="Arial" w:hAnsi="Arial" w:eastAsia="Arial" w:cs="Arial"/>
          <w:sz w:val="22"/>
          <w:szCs w:val="22"/>
          <w:lang w:val="es-ES" w:eastAsia="es-ES" w:bidi="es-ES"/>
        </w:rPr>
      </w:pPr>
      <w:r w:rsidRPr="00C84F90">
        <w:rPr>
          <w:rFonts w:ascii="Arial" w:hAnsi="Arial" w:eastAsia="Arial" w:cs="Arial"/>
          <w:sz w:val="22"/>
          <w:szCs w:val="22"/>
          <w:lang w:val="es-ES" w:eastAsia="es-ES" w:bidi="es-ES"/>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w:t>
      </w:r>
      <w:r w:rsidRPr="00C84F90">
        <w:rPr>
          <w:rFonts w:ascii="Arial" w:hAnsi="Arial" w:eastAsia="Arial" w:cs="Arial"/>
          <w:spacing w:val="-3"/>
          <w:sz w:val="22"/>
          <w:szCs w:val="22"/>
          <w:lang w:val="es-ES" w:eastAsia="es-ES" w:bidi="es-ES"/>
        </w:rPr>
        <w:t xml:space="preserve"> </w:t>
      </w:r>
      <w:r w:rsidRPr="00C84F90">
        <w:rPr>
          <w:rFonts w:ascii="Arial" w:hAnsi="Arial" w:eastAsia="Arial" w:cs="Arial"/>
          <w:sz w:val="22"/>
          <w:szCs w:val="22"/>
          <w:lang w:val="es-ES" w:eastAsia="es-ES" w:bidi="es-ES"/>
        </w:rPr>
        <w:t>estatales.</w:t>
      </w:r>
    </w:p>
    <w:p w:rsidRPr="00C84F90" w:rsidR="00C84F90" w:rsidP="00C84F90" w:rsidRDefault="00C84F90" w14:paraId="41C07E24" w14:textId="77777777">
      <w:pPr>
        <w:widowControl w:val="0"/>
        <w:autoSpaceDE w:val="0"/>
        <w:autoSpaceDN w:val="0"/>
        <w:spacing w:before="120" w:after="200" w:line="276" w:lineRule="auto"/>
        <w:ind w:firstLine="709"/>
        <w:jc w:val="both"/>
        <w:rPr>
          <w:rFonts w:ascii="Arial" w:hAnsi="Arial" w:eastAsia="Arial" w:cs="Arial"/>
          <w:sz w:val="22"/>
          <w:szCs w:val="22"/>
          <w:lang w:val="es-ES" w:eastAsia="es-ES" w:bidi="es-ES"/>
        </w:rPr>
      </w:pPr>
      <w:r w:rsidRPr="00C84F90">
        <w:rPr>
          <w:rFonts w:ascii="Arial" w:hAnsi="Arial" w:eastAsia="Arial" w:cs="Arial"/>
          <w:sz w:val="22"/>
          <w:szCs w:val="22"/>
          <w:lang w:val="es-ES" w:eastAsia="es-ES" w:bidi="es-ES"/>
        </w:rPr>
        <w:t xml:space="preserve">Además, es necesario tener en cuenta que para que un contrato o convenio interadministrativo exista, debe cumplir con los siguientes elementos: acuerdo sobre el objeto y la contraprestación, y que se eleve a escrito. Por otra parte, si bien actualmente el EGCAP hace referencia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Por este motivo, cuando la Ley 80 de 1993 se refiere a contratos interadministrativos de la misma forma lo hace frente a los convenios, entre otras razones, porque este cuerpo normativo faculta a las entidades públicas a celebrar los demás </w:t>
      </w:r>
      <w:r w:rsidRPr="00C84F90">
        <w:rPr>
          <w:rFonts w:ascii="Arial" w:hAnsi="Arial" w:eastAsia="Arial" w:cs="Arial"/>
          <w:sz w:val="22"/>
          <w:szCs w:val="22"/>
          <w:lang w:val="es-ES" w:eastAsia="es-ES" w:bidi="es-ES"/>
        </w:rPr>
        <w:t>acuerdos que permitan la autonomía de la voluntad y requieran el cumplimiento de los fines</w:t>
      </w:r>
      <w:r w:rsidRPr="00C84F90">
        <w:rPr>
          <w:rFonts w:ascii="Arial" w:hAnsi="Arial" w:eastAsia="Arial" w:cs="Arial"/>
          <w:spacing w:val="-4"/>
          <w:sz w:val="22"/>
          <w:szCs w:val="22"/>
          <w:lang w:val="es-ES" w:eastAsia="es-ES" w:bidi="es-ES"/>
        </w:rPr>
        <w:t xml:space="preserve"> </w:t>
      </w:r>
      <w:r w:rsidRPr="00C84F90">
        <w:rPr>
          <w:rFonts w:ascii="Arial" w:hAnsi="Arial" w:eastAsia="Arial" w:cs="Arial"/>
          <w:sz w:val="22"/>
          <w:szCs w:val="22"/>
          <w:lang w:val="es-ES" w:eastAsia="es-ES" w:bidi="es-ES"/>
        </w:rPr>
        <w:t>estatales.</w:t>
      </w:r>
    </w:p>
    <w:p w:rsidRPr="00C84F90" w:rsidR="00C84F90" w:rsidP="00C84F90" w:rsidRDefault="00C84F90" w14:paraId="10B3F4E3" w14:textId="77777777">
      <w:pPr>
        <w:widowControl w:val="0"/>
        <w:autoSpaceDE w:val="0"/>
        <w:autoSpaceDN w:val="0"/>
        <w:spacing w:before="122" w:after="120" w:line="276" w:lineRule="auto"/>
        <w:ind w:firstLine="708"/>
        <w:jc w:val="both"/>
        <w:rPr>
          <w:rFonts w:ascii="Arial" w:hAnsi="Arial" w:eastAsia="Arial" w:cs="Arial"/>
          <w:sz w:val="22"/>
          <w:szCs w:val="22"/>
          <w:lang w:val="es-ES" w:eastAsia="es-ES" w:bidi="es-ES"/>
        </w:rPr>
      </w:pPr>
      <w:r w:rsidRPr="00C84F90">
        <w:rPr>
          <w:rFonts w:ascii="Arial" w:hAnsi="Arial" w:eastAsia="Arial" w:cs="Arial"/>
          <w:sz w:val="22"/>
          <w:szCs w:val="22"/>
          <w:lang w:val="es-ES" w:eastAsia="es-ES" w:bidi="es-ES"/>
        </w:rPr>
        <w:t>Es bueno destacar que el Decreto 1082 de 2015 dispone que los convenios o contratos interadministrativos, así denominados en su artículo 2.2.1.2.1.4.4, se contratan directamente, por lo que no hay lugar a dudas que representan lo mismo en la medida en que concurran entidades estatales en el acuerdo de voluntades. De este modo, es posible concluir que en la contratación estatal no existen mayores diferencias entre convenio y contrato y, dando aplicación al derecho privado y a la definición contenida en el Código Civil, puede afirmarse que se trata de figuras equivalentes.</w:t>
      </w:r>
    </w:p>
    <w:p w:rsidRPr="00C84F90" w:rsidR="00C84F90" w:rsidP="00C84F90" w:rsidRDefault="00C84F90" w14:paraId="62C658B8" w14:textId="77777777">
      <w:pPr>
        <w:widowControl w:val="0"/>
        <w:autoSpaceDE w:val="0"/>
        <w:autoSpaceDN w:val="0"/>
        <w:spacing w:line="276" w:lineRule="auto"/>
        <w:ind w:firstLine="708"/>
        <w:jc w:val="both"/>
        <w:rPr>
          <w:rFonts w:ascii="Arial" w:hAnsi="Arial" w:eastAsia="Calibri" w:cs="Arial"/>
          <w:bCs/>
          <w:sz w:val="22"/>
          <w:szCs w:val="22"/>
          <w:lang w:eastAsia="es-ES" w:bidi="es-ES"/>
        </w:rPr>
      </w:pPr>
      <w:r w:rsidRPr="00C84F90">
        <w:rPr>
          <w:rFonts w:ascii="Arial" w:hAnsi="Arial" w:eastAsia="Arial" w:cs="Arial"/>
          <w:sz w:val="22"/>
          <w:szCs w:val="22"/>
          <w:lang w:val="es-ES" w:eastAsia="es-ES" w:bidi="es-ES"/>
        </w:rPr>
        <w:t>Por tanto, aunque el artículo 95 de la Ley 489 de 1998 dispone que «Las entidades públicas podrán asociarse con el fin de cooperar en el cumplimiento de funciones administrativas o de prestar conjuntamente servicios que se hallen a su cargo, mediante la celebración de convenios interadministrativos […]», esto no significa que dichos acuerdos estén exceptuados del Estatuto General de Contratación de la Administración Pública por no tener carácter contractual. Por ello, la jurisprudencia considera que «Estos convenios cuentan con las características propias de los contratos, cuando su objeto lo constituyen obligaciones patrimoniales, y las entidades estatales que los conforman están sujetas tanto a la normativa contractual pública, como a las normas del derecho civil</w:t>
      </w:r>
      <w:r w:rsidRPr="00C84F90">
        <w:rPr>
          <w:rFonts w:ascii="Arial" w:hAnsi="Arial" w:eastAsia="Arial" w:cs="Arial"/>
          <w:spacing w:val="-4"/>
          <w:sz w:val="22"/>
          <w:szCs w:val="22"/>
          <w:lang w:val="es-ES" w:eastAsia="es-ES" w:bidi="es-ES"/>
        </w:rPr>
        <w:t xml:space="preserve"> </w:t>
      </w:r>
      <w:r w:rsidRPr="00C84F90">
        <w:rPr>
          <w:rFonts w:ascii="Arial" w:hAnsi="Arial" w:eastAsia="Arial" w:cs="Arial"/>
          <w:sz w:val="22"/>
          <w:szCs w:val="22"/>
          <w:lang w:val="es-ES" w:eastAsia="es-ES" w:bidi="es-ES"/>
        </w:rPr>
        <w:t>[…]»</w:t>
      </w:r>
      <w:r w:rsidRPr="00C84F90">
        <w:rPr>
          <w:rFonts w:ascii="Arial" w:hAnsi="Arial" w:eastAsia="Arial" w:cs="Arial"/>
          <w:sz w:val="22"/>
          <w:szCs w:val="22"/>
          <w:vertAlign w:val="superscript"/>
          <w:lang w:val="es-ES" w:eastAsia="es-ES" w:bidi="es-ES"/>
        </w:rPr>
        <w:footnoteReference w:id="28"/>
      </w:r>
      <w:r w:rsidRPr="00C84F90">
        <w:rPr>
          <w:rFonts w:ascii="Arial" w:hAnsi="Arial" w:eastAsia="Arial" w:cs="Arial"/>
          <w:sz w:val="22"/>
          <w:szCs w:val="22"/>
          <w:lang w:val="es-ES" w:eastAsia="es-ES" w:bidi="es-ES"/>
        </w:rPr>
        <w:t>.</w:t>
      </w:r>
      <w:bookmarkStart w:name="_Hlk77171241" w:id="48"/>
    </w:p>
    <w:p w:rsidRPr="00C84F90" w:rsidR="00C84F90" w:rsidP="00E16F9B" w:rsidRDefault="00C84F90" w14:paraId="1D6EE0CD" w14:textId="2E006B0E">
      <w:pPr>
        <w:widowControl w:val="0"/>
        <w:autoSpaceDE w:val="0"/>
        <w:autoSpaceDN w:val="0"/>
        <w:spacing w:before="122" w:after="200" w:line="276" w:lineRule="auto"/>
        <w:ind w:firstLine="709"/>
        <w:jc w:val="both"/>
        <w:rPr>
          <w:rFonts w:ascii="Arial" w:hAnsi="Arial" w:eastAsia="Arial" w:cs="Arial"/>
          <w:sz w:val="22"/>
          <w:szCs w:val="22"/>
          <w:lang w:val="es-ES" w:eastAsia="es-ES" w:bidi="es-ES"/>
        </w:rPr>
      </w:pPr>
      <w:r w:rsidRPr="00C84F90">
        <w:rPr>
          <w:rFonts w:ascii="Arial" w:hAnsi="Arial" w:eastAsia="Arial" w:cs="Arial"/>
          <w:sz w:val="22"/>
          <w:szCs w:val="22"/>
          <w:lang w:val="es-ES" w:eastAsia="es-ES" w:bidi="es-ES"/>
        </w:rPr>
        <w:t>Sin perjuicio de lo anterior, vale la pena tener en cuenta que cierto sector de la doctrina y la jurisprudencia han establecido algunas diferencias o caracterización de los contratos interadministrativos frente a los convenios interadministrativos de que trata el artículo 95 de la Ley 489 de 1998. Por ejemplo, el Consejo de Estado</w:t>
      </w:r>
      <w:r w:rsidR="00144F0E">
        <w:rPr>
          <w:rFonts w:ascii="Arial" w:hAnsi="Arial" w:eastAsia="Arial" w:cs="Arial"/>
          <w:sz w:val="22"/>
          <w:szCs w:val="22"/>
          <w:lang w:val="es-ES" w:eastAsia="es-ES" w:bidi="es-ES"/>
        </w:rPr>
        <w:t xml:space="preserve"> en</w:t>
      </w:r>
      <w:r w:rsidRPr="00C84F90">
        <w:rPr>
          <w:rFonts w:ascii="Arial" w:hAnsi="Arial" w:eastAsia="Arial" w:cs="Arial"/>
          <w:sz w:val="22"/>
          <w:szCs w:val="22"/>
          <w:lang w:val="es-ES" w:eastAsia="es-ES" w:bidi="es-ES"/>
        </w:rPr>
        <w:t xml:space="preserve"> sentencia del 14 de junio de 2019 expresó:</w:t>
      </w:r>
    </w:p>
    <w:p w:rsidRPr="00C84F90" w:rsidR="00C84F90" w:rsidP="002F0981" w:rsidRDefault="00C84F90" w14:paraId="04E4E855" w14:textId="7D9ADF99">
      <w:pPr>
        <w:spacing w:after="120"/>
        <w:ind w:left="709" w:right="709"/>
        <w:jc w:val="both"/>
        <w:rPr>
          <w:rFonts w:ascii="Arial" w:hAnsi="Arial" w:cs="Arial" w:eastAsiaTheme="minorHAnsi"/>
          <w:sz w:val="21"/>
          <w:szCs w:val="21"/>
          <w:lang w:val="es-ES_tradnl" w:eastAsia="en-US"/>
        </w:rPr>
      </w:pPr>
      <w:r w:rsidRPr="00C84F90">
        <w:rPr>
          <w:rFonts w:ascii="Arial" w:hAnsi="Arial" w:cs="Arial" w:eastAsiaTheme="minorHAnsi"/>
          <w:sz w:val="21"/>
          <w:szCs w:val="21"/>
          <w:lang w:val="es-ES_tradnl" w:eastAsia="en-US"/>
        </w:rPr>
        <w:t>La Sala de Consulta y Servicio Civil</w:t>
      </w:r>
      <w:r w:rsidRPr="00C84F90">
        <w:rPr>
          <w:rFonts w:ascii="Arial" w:hAnsi="Arial" w:cs="Arial" w:eastAsiaTheme="minorHAnsi"/>
          <w:sz w:val="21"/>
          <w:szCs w:val="21"/>
          <w:vertAlign w:val="superscript"/>
          <w:lang w:val="es-ES_tradnl" w:eastAsia="en-US"/>
        </w:rPr>
        <w:footnoteReference w:id="29"/>
      </w:r>
      <w:r w:rsidRPr="00C84F90">
        <w:rPr>
          <w:rFonts w:ascii="Arial" w:hAnsi="Arial" w:cs="Arial" w:eastAsiaTheme="minorHAnsi"/>
          <w:sz w:val="21"/>
          <w:szCs w:val="21"/>
          <w:lang w:val="es-ES_tradnl" w:eastAsia="en-US"/>
        </w:rPr>
        <w:t xml:space="preserve"> de esta Corporación se ha referido a los </w:t>
      </w:r>
      <w:r w:rsidRPr="00C84F90">
        <w:rPr>
          <w:rFonts w:ascii="Arial" w:hAnsi="Arial" w:cs="Arial" w:eastAsiaTheme="minorHAnsi"/>
          <w:i/>
          <w:sz w:val="21"/>
          <w:szCs w:val="21"/>
          <w:lang w:val="es-ES_tradnl" w:eastAsia="en-US"/>
        </w:rPr>
        <w:t>“convenios interadministrativos”</w:t>
      </w:r>
      <w:r w:rsidRPr="00C84F90">
        <w:rPr>
          <w:rFonts w:ascii="Arial" w:hAnsi="Arial" w:cs="Arial" w:eastAsiaTheme="minorHAnsi"/>
          <w:sz w:val="21"/>
          <w:szCs w:val="21"/>
          <w:lang w:val="es-ES_tradnl" w:eastAsia="en-US"/>
        </w:rPr>
        <w:t xml:space="preserve"> a los cuales alude el artículo 95 de la Ley 489 de 1998, calificándolos de </w:t>
      </w:r>
      <w:r w:rsidRPr="00C84F90">
        <w:rPr>
          <w:rFonts w:ascii="Arial" w:hAnsi="Arial" w:cs="Arial" w:eastAsiaTheme="minorHAnsi"/>
          <w:i/>
          <w:sz w:val="21"/>
          <w:szCs w:val="21"/>
          <w:lang w:val="es-ES_tradnl" w:eastAsia="en-US"/>
        </w:rPr>
        <w:t xml:space="preserve">“puros” </w:t>
      </w:r>
      <w:r w:rsidRPr="00C84F90">
        <w:rPr>
          <w:rFonts w:ascii="Arial" w:hAnsi="Arial" w:cs="Arial" w:eastAsiaTheme="minorHAnsi"/>
          <w:sz w:val="21"/>
          <w:szCs w:val="21"/>
          <w:lang w:val="es-ES_tradnl" w:eastAsia="en-US"/>
        </w:rPr>
        <w:t xml:space="preserve">y entendiendo que estos, además de perseguir la finalidad de cooperación antes indicada, no implican intereses contrapuestos ni tampoco se circunscriben a un </w:t>
      </w:r>
      <w:r w:rsidRPr="00C84F90">
        <w:rPr>
          <w:rFonts w:ascii="Arial" w:hAnsi="Arial" w:cs="Arial" w:eastAsiaTheme="minorHAnsi"/>
          <w:i/>
          <w:sz w:val="21"/>
          <w:szCs w:val="21"/>
          <w:lang w:val="es-ES_tradnl" w:eastAsia="en-US"/>
        </w:rPr>
        <w:t>“intercambio patrimonial”</w:t>
      </w:r>
      <w:r w:rsidRPr="00C84F90">
        <w:rPr>
          <w:rFonts w:ascii="Arial" w:hAnsi="Arial" w:cs="Arial" w:eastAsiaTheme="minorHAnsi"/>
          <w:sz w:val="21"/>
          <w:szCs w:val="21"/>
          <w:lang w:val="es-ES_tradnl" w:eastAsia="en-US"/>
        </w:rPr>
        <w:t>. Sin perjuicio de lo anterior, en otra oportunidad, la misma Sala</w:t>
      </w:r>
      <w:r w:rsidRPr="00C84F90">
        <w:rPr>
          <w:rFonts w:ascii="Arial" w:hAnsi="Arial" w:cs="Arial" w:eastAsiaTheme="minorHAnsi"/>
          <w:sz w:val="21"/>
          <w:szCs w:val="21"/>
          <w:vertAlign w:val="superscript"/>
          <w:lang w:val="es-ES_tradnl" w:eastAsia="en-US"/>
        </w:rPr>
        <w:footnoteReference w:id="30"/>
      </w:r>
      <w:r w:rsidRPr="00C84F90">
        <w:rPr>
          <w:rFonts w:ascii="Arial" w:hAnsi="Arial" w:cs="Arial" w:eastAsiaTheme="minorHAnsi"/>
          <w:sz w:val="21"/>
          <w:szCs w:val="21"/>
          <w:lang w:val="es-ES_tradnl" w:eastAsia="en-US"/>
        </w:rPr>
        <w:t xml:space="preserve"> había indicado que, si bien en dichos convenios no se daba un </w:t>
      </w:r>
      <w:r w:rsidRPr="00C84F90">
        <w:rPr>
          <w:rFonts w:ascii="Arial" w:hAnsi="Arial" w:cs="Arial" w:eastAsiaTheme="minorHAnsi"/>
          <w:i/>
          <w:sz w:val="21"/>
          <w:szCs w:val="21"/>
          <w:lang w:val="es-ES_tradnl" w:eastAsia="en-US"/>
        </w:rPr>
        <w:t>“verdadero intercambio de bienes o servicios (contrato conmutativo)”</w:t>
      </w:r>
      <w:r w:rsidRPr="00C84F90">
        <w:rPr>
          <w:rFonts w:ascii="Arial" w:hAnsi="Arial" w:cs="Arial" w:eastAsiaTheme="minorHAnsi"/>
          <w:sz w:val="21"/>
          <w:szCs w:val="21"/>
          <w:lang w:val="es-ES_tradnl" w:eastAsia="en-US"/>
        </w:rPr>
        <w:t>, ello no impedía que se conviniera una remuneración a cargo de alguna(s) entidad(es).</w:t>
      </w:r>
    </w:p>
    <w:p w:rsidRPr="00C84F90" w:rsidR="00C84F90" w:rsidP="00C84F90" w:rsidRDefault="00C84F90" w14:paraId="5CB1A5EC" w14:textId="77777777">
      <w:pPr>
        <w:widowControl w:val="0"/>
        <w:autoSpaceDE w:val="0"/>
        <w:autoSpaceDN w:val="0"/>
        <w:ind w:left="709" w:right="709"/>
        <w:jc w:val="both"/>
        <w:rPr>
          <w:rFonts w:ascii="Arial" w:hAnsi="Arial" w:eastAsia="Arial" w:cs="Arial"/>
          <w:sz w:val="21"/>
          <w:szCs w:val="21"/>
          <w:lang w:val="es-ES" w:eastAsia="es-ES" w:bidi="es-ES"/>
        </w:rPr>
      </w:pPr>
      <w:r w:rsidRPr="00C84F90">
        <w:rPr>
          <w:rFonts w:ascii="Arial" w:hAnsi="Arial" w:eastAsia="Arial" w:cs="Arial"/>
          <w:sz w:val="21"/>
          <w:szCs w:val="21"/>
          <w:lang w:val="es-ES_tradnl" w:eastAsia="es-ES" w:bidi="es-ES"/>
        </w:rPr>
        <w:t xml:space="preserve">Lo expuesto evidencia que, en general, las interpretaciones en torno a los </w:t>
      </w:r>
      <w:r w:rsidRPr="00C84F90">
        <w:rPr>
          <w:rFonts w:ascii="Arial" w:hAnsi="Arial" w:eastAsia="Arial" w:cs="Arial"/>
          <w:i/>
          <w:sz w:val="21"/>
          <w:szCs w:val="21"/>
          <w:lang w:val="es-ES_tradnl" w:eastAsia="es-ES" w:bidi="es-ES"/>
        </w:rPr>
        <w:t>“convenios interadministrativos”</w:t>
      </w:r>
      <w:r w:rsidRPr="00C84F90">
        <w:rPr>
          <w:rFonts w:ascii="Arial" w:hAnsi="Arial" w:eastAsia="Arial" w:cs="Arial"/>
          <w:sz w:val="21"/>
          <w:szCs w:val="21"/>
          <w:lang w:val="es-ES_tradnl" w:eastAsia="es-ES"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C84F90">
        <w:rPr>
          <w:rFonts w:ascii="Arial" w:hAnsi="Arial" w:eastAsia="Arial" w:cs="Arial"/>
          <w:sz w:val="21"/>
          <w:szCs w:val="21"/>
          <w:vertAlign w:val="superscript"/>
          <w:lang w:val="es-ES_tradnl" w:eastAsia="es-ES" w:bidi="es-ES"/>
        </w:rPr>
        <w:footnoteReference w:id="31"/>
      </w:r>
      <w:r w:rsidRPr="00C84F90">
        <w:rPr>
          <w:rFonts w:ascii="Arial" w:hAnsi="Arial" w:eastAsia="Arial" w:cs="Arial"/>
          <w:sz w:val="21"/>
          <w:szCs w:val="21"/>
          <w:vertAlign w:val="superscript"/>
          <w:lang w:val="es-ES_tradnl" w:eastAsia="es-ES" w:bidi="es-ES"/>
        </w:rPr>
        <w:footnoteReference w:id="32"/>
      </w:r>
      <w:r w:rsidRPr="00C84F90">
        <w:rPr>
          <w:rFonts w:ascii="Arial" w:hAnsi="Arial" w:eastAsia="Arial" w:cs="Arial"/>
          <w:sz w:val="21"/>
          <w:szCs w:val="21"/>
          <w:lang w:val="es-ES_tradnl" w:eastAsia="es-ES" w:bidi="es-ES"/>
        </w:rPr>
        <w:t>.</w:t>
      </w:r>
    </w:p>
    <w:p w:rsidRPr="00C84F90" w:rsidR="00C84F90" w:rsidP="00C84F90" w:rsidRDefault="00C84F90" w14:paraId="26372C8C" w14:textId="77777777">
      <w:pPr>
        <w:widowControl w:val="0"/>
        <w:autoSpaceDE w:val="0"/>
        <w:autoSpaceDN w:val="0"/>
        <w:spacing w:line="276" w:lineRule="auto"/>
        <w:jc w:val="both"/>
        <w:rPr>
          <w:rFonts w:ascii="Arial" w:hAnsi="Arial" w:eastAsia="Arial" w:cs="Arial"/>
          <w:sz w:val="22"/>
          <w:szCs w:val="22"/>
          <w:lang w:val="es-ES" w:eastAsia="es-ES" w:bidi="es-ES"/>
        </w:rPr>
      </w:pPr>
    </w:p>
    <w:p w:rsidRPr="00C84F90" w:rsidR="00C84F90" w:rsidP="00C84F90" w:rsidRDefault="00C84F90" w14:paraId="2DB4BA39" w14:textId="5F1EC924">
      <w:pPr>
        <w:widowControl w:val="0"/>
        <w:autoSpaceDE w:val="0"/>
        <w:autoSpaceDN w:val="0"/>
        <w:spacing w:after="120" w:line="276" w:lineRule="auto"/>
        <w:jc w:val="both"/>
        <w:rPr>
          <w:rFonts w:ascii="Arial" w:hAnsi="Arial" w:eastAsia="Arial" w:cs="Arial"/>
          <w:sz w:val="22"/>
          <w:szCs w:val="22"/>
          <w:lang w:val="es-ES" w:eastAsia="es-ES" w:bidi="es-ES"/>
        </w:rPr>
      </w:pPr>
      <w:r w:rsidRPr="00C84F90">
        <w:rPr>
          <w:rFonts w:ascii="Arial" w:hAnsi="Arial" w:eastAsia="Arial" w:cs="Arial"/>
          <w:sz w:val="22"/>
          <w:szCs w:val="22"/>
          <w:lang w:val="es-ES" w:eastAsia="es-ES" w:bidi="es-ES"/>
        </w:rPr>
        <w:tab/>
      </w:r>
      <w:r w:rsidR="00CD59CC">
        <w:rPr>
          <w:rFonts w:ascii="Arial" w:hAnsi="Arial" w:eastAsia="Arial" w:cs="Arial"/>
          <w:sz w:val="22"/>
          <w:szCs w:val="22"/>
          <w:lang w:val="es-ES" w:eastAsia="es-ES" w:bidi="es-ES"/>
        </w:rPr>
        <w:t>V</w:t>
      </w:r>
      <w:r w:rsidRPr="00C84F90">
        <w:rPr>
          <w:rFonts w:ascii="Arial" w:hAnsi="Arial" w:eastAsia="Arial" w:cs="Arial"/>
          <w:sz w:val="22"/>
          <w:szCs w:val="22"/>
          <w:lang w:val="es-ES" w:eastAsia="es-ES" w:bidi="es-ES"/>
        </w:rPr>
        <w:t>ale la pena reiterar que el legislador y el ordenamiento jurídico, en general, en distintas ocasiones utiliza de forma indistinta los conceptos de contrato o convenio para referirse a la misma institución jurídica</w:t>
      </w:r>
      <w:r w:rsidRPr="00C84F90">
        <w:rPr>
          <w:rFonts w:ascii="Arial" w:hAnsi="Arial" w:eastAsia="Arial" w:cs="Arial"/>
          <w:sz w:val="22"/>
          <w:szCs w:val="22"/>
          <w:vertAlign w:val="superscript"/>
          <w:lang w:val="es-ES" w:eastAsia="es-ES" w:bidi="es-ES"/>
        </w:rPr>
        <w:footnoteReference w:id="33"/>
      </w:r>
      <w:r w:rsidRPr="00C84F90">
        <w:rPr>
          <w:rFonts w:ascii="Arial" w:hAnsi="Arial" w:eastAsia="Arial" w:cs="Arial"/>
          <w:sz w:val="22"/>
          <w:szCs w:val="22"/>
          <w:lang w:val="es-ES" w:eastAsia="es-ES" w:bidi="es-ES"/>
        </w:rPr>
        <w:t xml:space="preserve">. Incluso la Corte Constitucional </w:t>
      </w:r>
      <w:r w:rsidR="00673D4F">
        <w:rPr>
          <w:rFonts w:ascii="Arial" w:hAnsi="Arial" w:eastAsia="Arial" w:cs="Arial"/>
          <w:sz w:val="22"/>
          <w:szCs w:val="22"/>
          <w:lang w:val="es-ES" w:eastAsia="es-ES" w:bidi="es-ES"/>
        </w:rPr>
        <w:t>fundamenta</w:t>
      </w:r>
      <w:r w:rsidRPr="00C84F90">
        <w:rPr>
          <w:rFonts w:ascii="Arial" w:hAnsi="Arial" w:eastAsia="Arial" w:cs="Arial"/>
          <w:sz w:val="22"/>
          <w:szCs w:val="22"/>
          <w:lang w:val="es-ES" w:eastAsia="es-ES" w:bidi="es-ES"/>
        </w:rPr>
        <w:t xml:space="preserve"> la posibilidad de celebrar convenios interadministrativos de forma directa, con fundamento en la causal establecida en la Ley 1150 de 2007 respecto a los contratos interadministrativos</w:t>
      </w:r>
      <w:r w:rsidRPr="00C84F90">
        <w:rPr>
          <w:rFonts w:ascii="Arial" w:hAnsi="Arial" w:eastAsia="Arial" w:cs="Arial"/>
          <w:sz w:val="22"/>
          <w:szCs w:val="22"/>
          <w:vertAlign w:val="superscript"/>
          <w:lang w:val="es-ES" w:eastAsia="es-ES" w:bidi="es-ES"/>
        </w:rPr>
        <w:footnoteReference w:id="34"/>
      </w:r>
      <w:r w:rsidRPr="00C84F90">
        <w:rPr>
          <w:rFonts w:ascii="Arial" w:hAnsi="Arial" w:eastAsia="Arial" w:cs="Arial"/>
          <w:sz w:val="22"/>
          <w:szCs w:val="22"/>
          <w:lang w:val="es-ES" w:eastAsia="es-ES" w:bidi="es-ES"/>
        </w:rPr>
        <w:t>.</w:t>
      </w:r>
    </w:p>
    <w:p w:rsidRPr="00C84F90" w:rsidR="00C84F90" w:rsidP="00C84F90" w:rsidRDefault="00C84F90" w14:paraId="0958DB80" w14:textId="3EFD4027">
      <w:pPr>
        <w:widowControl w:val="0"/>
        <w:autoSpaceDE w:val="0"/>
        <w:autoSpaceDN w:val="0"/>
        <w:spacing w:line="276" w:lineRule="auto"/>
        <w:jc w:val="both"/>
        <w:rPr>
          <w:rFonts w:ascii="Arial" w:hAnsi="Arial" w:eastAsia="Arial" w:cs="Arial"/>
          <w:sz w:val="22"/>
          <w:szCs w:val="22"/>
          <w:lang w:val="es-ES" w:eastAsia="es-ES" w:bidi="es-ES"/>
        </w:rPr>
      </w:pPr>
      <w:r w:rsidRPr="00C84F90">
        <w:rPr>
          <w:rFonts w:ascii="Arial" w:hAnsi="Arial" w:eastAsia="Arial" w:cs="Arial"/>
          <w:sz w:val="22"/>
          <w:szCs w:val="22"/>
          <w:lang w:val="es-ES" w:eastAsia="es-ES" w:bidi="es-ES"/>
        </w:rPr>
        <w:tab/>
      </w:r>
      <w:r w:rsidRPr="00C84F90">
        <w:rPr>
          <w:rFonts w:ascii="Arial" w:hAnsi="Arial" w:eastAsia="Arial" w:cs="Arial"/>
          <w:sz w:val="22"/>
          <w:szCs w:val="22"/>
          <w:lang w:val="es-ES" w:eastAsia="es-ES" w:bidi="es-ES"/>
        </w:rPr>
        <w:t xml:space="preserve">En desarrollo de lo anterior, </w:t>
      </w:r>
      <w:r w:rsidR="00181682">
        <w:rPr>
          <w:rFonts w:ascii="Arial" w:hAnsi="Arial" w:eastAsia="Arial" w:cs="Arial"/>
          <w:sz w:val="22"/>
          <w:szCs w:val="22"/>
          <w:lang w:val="es-ES" w:eastAsia="es-ES" w:bidi="es-ES"/>
        </w:rPr>
        <w:t>se</w:t>
      </w:r>
      <w:r w:rsidRPr="00C84F90">
        <w:rPr>
          <w:rFonts w:ascii="Arial" w:hAnsi="Arial" w:eastAsia="Arial" w:cs="Arial"/>
          <w:sz w:val="22"/>
          <w:szCs w:val="22"/>
          <w:lang w:val="es-ES" w:eastAsia="es-ES" w:bidi="es-ES"/>
        </w:rPr>
        <w:t xml:space="preserve"> destaca que la Circular Externa Única de Colombia Compra Eficiente, pese a reconocer que se han realizado algunas distinciones jurisprudenciales en torno a los contratos y convenios interadministrativos, relacionados con el alcance de las obligaciones que los caracterizan, señala que no existe una definición legal que diferencie los conceptos de convenio o de contrato. En tal sentido, de acuerdo con las consideraciones expuestas en este numeral los asimila para efectos de aplicar las disposiciones que tangencialmente se refieren a uno u otro vocablo, por ejemplo, lo que resulta bastante relevante para este concepto, para la aplicación de la Ley de Garantías. </w:t>
      </w:r>
      <w:r w:rsidRPr="00C84F90">
        <w:rPr>
          <w:rFonts w:ascii="Arial" w:hAnsi="Arial" w:eastAsia="Arial" w:cs="Arial"/>
          <w:sz w:val="22"/>
          <w:szCs w:val="22"/>
          <w:lang w:val="es-ES" w:eastAsia="es-ES" w:bidi="es-ES"/>
        </w:rPr>
        <w:t>En este sentido, la Circular, refiriéndose al parágrafo del artículo 38 de la Ley 996 de 2005, expresa:</w:t>
      </w:r>
    </w:p>
    <w:p w:rsidRPr="00C84F90" w:rsidR="00C84F90" w:rsidP="00C84F90" w:rsidRDefault="00C84F90" w14:paraId="30E97938" w14:textId="77777777">
      <w:pPr>
        <w:widowControl w:val="0"/>
        <w:autoSpaceDE w:val="0"/>
        <w:autoSpaceDN w:val="0"/>
        <w:spacing w:line="276" w:lineRule="auto"/>
        <w:jc w:val="both"/>
        <w:rPr>
          <w:rFonts w:ascii="Arial" w:hAnsi="Arial" w:eastAsia="Arial" w:cs="Arial"/>
          <w:sz w:val="22"/>
          <w:szCs w:val="22"/>
          <w:lang w:val="es-ES" w:eastAsia="es-ES" w:bidi="es-ES"/>
        </w:rPr>
      </w:pPr>
    </w:p>
    <w:p w:rsidRPr="00C84F90" w:rsidR="00C84F90" w:rsidP="002F0981" w:rsidRDefault="00C84F90" w14:paraId="244E5323" w14:textId="0EACC011">
      <w:pPr>
        <w:spacing w:after="120"/>
        <w:ind w:left="709" w:right="709"/>
        <w:jc w:val="both"/>
        <w:rPr>
          <w:rFonts w:ascii="Arial" w:hAnsi="Arial" w:cs="Arial" w:eastAsiaTheme="minorHAnsi"/>
          <w:sz w:val="21"/>
          <w:szCs w:val="21"/>
          <w:lang w:val="es-MX" w:eastAsia="en-US"/>
        </w:rPr>
      </w:pPr>
      <w:r w:rsidRPr="00C84F90">
        <w:rPr>
          <w:rFonts w:ascii="Arial" w:hAnsi="Arial" w:cs="Arial" w:eastAsiaTheme="minorHAnsi"/>
          <w:sz w:val="21"/>
          <w:szCs w:val="21"/>
          <w:lang w:val="es-ES_tradnl" w:eastAsia="en-US"/>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C84F90">
        <w:rPr>
          <w:rFonts w:ascii="Arial" w:hAnsi="Arial" w:cs="Arial" w:eastAsiaTheme="minorHAnsi"/>
          <w:sz w:val="21"/>
          <w:szCs w:val="21"/>
          <w:lang w:val="es-MX" w:eastAsia="en-US"/>
        </w:rPr>
        <w:t xml:space="preserve">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w:t>
      </w:r>
    </w:p>
    <w:p w:rsidRPr="00C84F90" w:rsidR="00C84F90" w:rsidP="002F0981" w:rsidRDefault="00C84F90" w14:paraId="60BAAB63" w14:textId="0082851F">
      <w:pPr>
        <w:spacing w:after="120"/>
        <w:ind w:left="709" w:right="709"/>
        <w:jc w:val="both"/>
        <w:rPr>
          <w:rFonts w:ascii="Arial" w:hAnsi="Arial" w:cs="Arial" w:eastAsiaTheme="minorHAnsi"/>
          <w:sz w:val="21"/>
          <w:szCs w:val="21"/>
          <w:lang w:val="es-MX" w:eastAsia="en-US"/>
        </w:rPr>
      </w:pPr>
      <w:r w:rsidRPr="00C84F90">
        <w:rPr>
          <w:rFonts w:ascii="Arial" w:hAnsi="Arial" w:cs="Arial" w:eastAsiaTheme="minorHAnsi"/>
          <w:sz w:val="21"/>
          <w:szCs w:val="21"/>
          <w:lang w:val="es-MX" w:eastAsia="en-US"/>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rsidRPr="00C84F90" w:rsidR="00C84F90" w:rsidP="00C84F90" w:rsidRDefault="00C84F90" w14:paraId="744DE43B" w14:textId="77777777">
      <w:pPr>
        <w:ind w:left="709" w:right="709"/>
        <w:jc w:val="both"/>
        <w:rPr>
          <w:rFonts w:asciiTheme="minorHAnsi" w:hAnsiTheme="minorHAnsi" w:eastAsiaTheme="minorHAnsi" w:cstheme="minorBidi"/>
          <w:szCs w:val="22"/>
          <w:lang w:val="es-MX" w:eastAsia="en-US"/>
        </w:rPr>
      </w:pPr>
      <w:r w:rsidRPr="00C84F90">
        <w:rPr>
          <w:rFonts w:ascii="Arial" w:hAnsi="Arial" w:cs="Arial" w:eastAsiaTheme="minorHAnsi"/>
          <w:sz w:val="21"/>
          <w:szCs w:val="21"/>
          <w:lang w:val="es-MX" w:eastAsia="en-US"/>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rsidRPr="00FD7DA9" w:rsidR="00C84F90" w:rsidP="00C84F90" w:rsidRDefault="00C84F90" w14:paraId="6B39A185" w14:textId="77777777">
      <w:pPr>
        <w:widowControl w:val="0"/>
        <w:autoSpaceDE w:val="0"/>
        <w:autoSpaceDN w:val="0"/>
        <w:spacing w:before="3" w:line="276" w:lineRule="auto"/>
        <w:jc w:val="both"/>
        <w:rPr>
          <w:rFonts w:ascii="Arial" w:hAnsi="Arial" w:eastAsia="Arial" w:cs="Arial"/>
          <w:sz w:val="22"/>
          <w:szCs w:val="22"/>
          <w:lang w:val="es-ES" w:eastAsia="es-ES" w:bidi="es-ES"/>
        </w:rPr>
      </w:pPr>
    </w:p>
    <w:p w:rsidRPr="00C84F90" w:rsidR="00C84F90" w:rsidP="00C84F90" w:rsidRDefault="00C84F90" w14:paraId="1CF64F59" w14:textId="1D57D3A0">
      <w:pPr>
        <w:widowControl w:val="0"/>
        <w:autoSpaceDE w:val="0"/>
        <w:autoSpaceDN w:val="0"/>
        <w:spacing w:after="120" w:line="276" w:lineRule="auto"/>
        <w:jc w:val="both"/>
        <w:rPr>
          <w:rFonts w:ascii="Arial" w:hAnsi="Arial" w:eastAsia="Calibri" w:cs="Arial"/>
          <w:bCs/>
          <w:sz w:val="22"/>
          <w:szCs w:val="22"/>
          <w:lang w:eastAsia="es-ES" w:bidi="es-ES"/>
        </w:rPr>
      </w:pPr>
      <w:r w:rsidRPr="00C84F90">
        <w:rPr>
          <w:rFonts w:ascii="Arial" w:hAnsi="Arial" w:eastAsia="Arial" w:cs="Arial"/>
          <w:sz w:val="25"/>
          <w:szCs w:val="22"/>
          <w:lang w:val="es-ES" w:eastAsia="es-ES" w:bidi="es-ES"/>
        </w:rPr>
        <w:tab/>
      </w:r>
      <w:r w:rsidRPr="00C84F90">
        <w:rPr>
          <w:rFonts w:ascii="Arial" w:hAnsi="Arial" w:eastAsia="Arial" w:cs="Arial"/>
          <w:sz w:val="22"/>
          <w:szCs w:val="22"/>
          <w:lang w:val="es-ES" w:eastAsia="es-ES" w:bidi="es-ES"/>
        </w:rPr>
        <w:t>Teniendo en cuenta lo anterior, se reitera la conclusión en el sentido de que lo que define los contratos o convenios interadministrativos es la naturaleza de las partes, de manera que están determinados por un criterio orgánico, en el sentido de que lo serán aquellos celebrados entre entidades estatales. Además, como se indicó en la Circular citada, no existe una definición legal que diferencie los conceptos de contrato y convenio, por lo que se asimila</w:t>
      </w:r>
      <w:r w:rsidR="00F30394">
        <w:rPr>
          <w:rFonts w:ascii="Arial" w:hAnsi="Arial" w:eastAsia="Arial" w:cs="Arial"/>
          <w:sz w:val="22"/>
          <w:szCs w:val="22"/>
          <w:lang w:val="es-ES" w:eastAsia="es-ES" w:bidi="es-ES"/>
        </w:rPr>
        <w:t>ron</w:t>
      </w:r>
      <w:r w:rsidRPr="00C84F90">
        <w:rPr>
          <w:rFonts w:ascii="Arial" w:hAnsi="Arial" w:eastAsia="Arial" w:cs="Arial"/>
          <w:sz w:val="22"/>
          <w:szCs w:val="22"/>
          <w:lang w:val="es-ES" w:eastAsia="es-ES" w:bidi="es-ES"/>
        </w:rPr>
        <w:t xml:space="preserve"> para la aplicación de la Ley de Garantías. En tal sentido, las referencias realizadas por el legislador a estos términos deben asimilarse, salvo que de su contenido se logre inferir que se le quiere otorgar un contenido en particular, pues como se expresó, el legislador utiliza estos conceptos de forma indistinta.</w:t>
      </w:r>
      <w:bookmarkEnd w:id="48"/>
    </w:p>
    <w:p w:rsidR="00C84F90" w:rsidP="00C84F90" w:rsidRDefault="00C84F90" w14:paraId="304ECFB1" w14:textId="07AD410A">
      <w:pPr>
        <w:tabs>
          <w:tab w:val="left" w:pos="426"/>
        </w:tabs>
        <w:spacing w:after="120" w:line="276" w:lineRule="auto"/>
        <w:ind w:firstLine="709"/>
        <w:jc w:val="both"/>
        <w:rPr>
          <w:rFonts w:ascii="Arial" w:hAnsi="Arial" w:eastAsia="Arial" w:cs="Arial"/>
          <w:sz w:val="22"/>
          <w:szCs w:val="22"/>
          <w:lang w:val="es-ES" w:eastAsia="es-ES" w:bidi="es-ES"/>
        </w:rPr>
      </w:pPr>
      <w:r w:rsidRPr="00C84F90">
        <w:rPr>
          <w:rFonts w:ascii="Arial" w:hAnsi="Arial" w:cs="Arial"/>
          <w:bCs/>
          <w:sz w:val="22"/>
          <w:szCs w:val="22"/>
          <w:lang w:eastAsia="es-CO"/>
        </w:rPr>
        <w:t xml:space="preserve">Se observa entonces que </w:t>
      </w:r>
      <w:r w:rsidRPr="00C84F90">
        <w:rPr>
          <w:rFonts w:ascii="Arial" w:hAnsi="Arial" w:cs="Arial"/>
          <w:bCs/>
          <w:sz w:val="22"/>
          <w:szCs w:val="22"/>
          <w:lang w:val="es-MX" w:eastAsia="es-CO"/>
        </w:rPr>
        <w:t xml:space="preserve">el parágrafo del artículo 38 de la Ley 996 de 2005 prohíbe a los alcaldes, gobernadores, secretarios, gerentes y directores de las entidades del orden municipal, departamental o distrital celebrar convenios y contratos interadministrativos para </w:t>
      </w:r>
      <w:r w:rsidRPr="00C84F90">
        <w:rPr>
          <w:rFonts w:ascii="Arial" w:hAnsi="Arial" w:cs="Arial"/>
          <w:bCs/>
          <w:sz w:val="22"/>
          <w:szCs w:val="22"/>
          <w:lang w:val="es-MX" w:eastAsia="es-CO"/>
        </w:rPr>
        <w:t xml:space="preserve">la ejecución de recursos públicos. En este sentido, si una o ambas partes de la relación contractual es una entidad de aquellas descritas en el parágrafo </w:t>
      </w:r>
      <w:r w:rsidRPr="00C84F90">
        <w:rPr>
          <w:rFonts w:ascii="Arial" w:hAnsi="Arial" w:cs="Arial"/>
          <w:bCs/>
          <w:i/>
          <w:iCs/>
          <w:sz w:val="22"/>
          <w:szCs w:val="22"/>
          <w:lang w:val="es-MX" w:eastAsia="es-CO"/>
        </w:rPr>
        <w:t>ibidem</w:t>
      </w:r>
      <w:r w:rsidRPr="00C84F90">
        <w:rPr>
          <w:rFonts w:ascii="Arial" w:hAnsi="Arial" w:cs="Arial"/>
          <w:bCs/>
          <w:sz w:val="22"/>
          <w:szCs w:val="22"/>
          <w:lang w:val="es-MX" w:eastAsia="es-CO"/>
        </w:rPr>
        <w:t xml:space="preserve">, no podrá celebrar tales convenios o contratos durante la aplicación de la ley de garantías, toda vez que la citada disposición hace referencia a dicha tipología contractual sin que el legislador hubiere contemplado excepción alguna frente a la modalidad de selección o naturaleza de su </w:t>
      </w:r>
      <w:r w:rsidRPr="002F0981">
        <w:rPr>
          <w:rFonts w:ascii="Arial" w:hAnsi="Arial" w:cs="Arial"/>
          <w:bCs/>
          <w:sz w:val="22"/>
          <w:szCs w:val="22"/>
          <w:lang w:val="es-MX" w:eastAsia="es-CO"/>
        </w:rPr>
        <w:t>objeto</w:t>
      </w:r>
      <w:r w:rsidRPr="002F0981" w:rsidR="00363544">
        <w:rPr>
          <w:rStyle w:val="Refdenotaalpie"/>
          <w:rFonts w:ascii="Arial" w:hAnsi="Arial" w:cs="Arial"/>
          <w:bCs/>
          <w:sz w:val="22"/>
          <w:szCs w:val="22"/>
          <w:lang w:val="es-MX" w:eastAsia="es-CO"/>
        </w:rPr>
        <w:footnoteReference w:id="35"/>
      </w:r>
      <w:r w:rsidRPr="002F0981">
        <w:rPr>
          <w:rFonts w:ascii="Arial" w:hAnsi="Arial" w:cs="Arial"/>
          <w:bCs/>
          <w:sz w:val="22"/>
          <w:szCs w:val="22"/>
          <w:lang w:val="es-MX" w:eastAsia="es-CO"/>
        </w:rPr>
        <w:t xml:space="preserve">. </w:t>
      </w:r>
      <w:r w:rsidRPr="00FD7DA9" w:rsidR="00B802A1">
        <w:rPr>
          <w:rFonts w:ascii="Arial" w:hAnsi="Arial" w:eastAsia="Arial" w:cs="Arial"/>
          <w:sz w:val="22"/>
          <w:szCs w:val="22"/>
          <w:lang w:val="es-ES" w:eastAsia="es-ES" w:bidi="es-ES"/>
        </w:rPr>
        <w:t>As</w:t>
      </w:r>
      <w:r w:rsidR="00B802A1">
        <w:rPr>
          <w:rFonts w:ascii="Arial" w:hAnsi="Arial" w:eastAsia="Arial" w:cs="Arial"/>
          <w:sz w:val="22"/>
          <w:szCs w:val="22"/>
          <w:lang w:val="es-ES" w:eastAsia="es-ES" w:bidi="es-ES"/>
        </w:rPr>
        <w:t>i</w:t>
      </w:r>
      <w:r w:rsidRPr="00FD7DA9" w:rsidR="00B802A1">
        <w:rPr>
          <w:rFonts w:ascii="Arial" w:hAnsi="Arial" w:eastAsia="Arial" w:cs="Arial"/>
          <w:sz w:val="22"/>
          <w:szCs w:val="22"/>
          <w:lang w:val="es-ES" w:eastAsia="es-ES" w:bidi="es-ES"/>
        </w:rPr>
        <w:t>mismo, se resalta que este parágrafo fue modificado parcial y transitoriamente por el artículo 124 de la Ley 2159 de 2021</w:t>
      </w:r>
      <w:r w:rsidRPr="00FD7DA9" w:rsidR="00B802A1">
        <w:rPr>
          <w:rFonts w:ascii="Arial" w:hAnsi="Arial" w:eastAsia="Arial" w:cs="Arial"/>
          <w:sz w:val="22"/>
          <w:szCs w:val="22"/>
          <w:vertAlign w:val="superscript"/>
          <w:lang w:val="es-ES" w:eastAsia="es-ES" w:bidi="es-ES"/>
        </w:rPr>
        <w:footnoteReference w:id="36"/>
      </w:r>
      <w:r w:rsidRPr="00FD7DA9" w:rsidR="00B802A1">
        <w:rPr>
          <w:rFonts w:ascii="Arial" w:hAnsi="Arial" w:eastAsia="Arial" w:cs="Arial"/>
          <w:sz w:val="22"/>
          <w:szCs w:val="22"/>
          <w:lang w:val="es-ES" w:eastAsia="es-ES" w:bidi="es-ES"/>
        </w:rPr>
        <w:t>, estableciendo una excepción a la prohibición, según la cual a partir de la publicación de dicha ley y durante la vigencia fiscal 2022, la Nación podrá celebrar convenios interadministrativos con las entidades territoriales para ejecutar programas y proyectos correspondientes al Presupuesto General de la Nación</w:t>
      </w:r>
      <w:r w:rsidRPr="00FD7DA9" w:rsidR="00B802A1">
        <w:rPr>
          <w:rFonts w:ascii="Arial" w:hAnsi="Arial" w:eastAsia="Arial" w:cs="Arial"/>
          <w:sz w:val="22"/>
          <w:szCs w:val="22"/>
          <w:vertAlign w:val="superscript"/>
          <w:lang w:val="es-ES" w:eastAsia="es-ES" w:bidi="es-ES"/>
        </w:rPr>
        <w:footnoteReference w:id="37"/>
      </w:r>
      <w:r w:rsidRPr="00FD7DA9" w:rsidR="00B802A1">
        <w:rPr>
          <w:rFonts w:ascii="Arial" w:hAnsi="Arial" w:eastAsia="Arial" w:cs="Arial"/>
          <w:sz w:val="22"/>
          <w:szCs w:val="22"/>
          <w:lang w:val="es-ES" w:eastAsia="es-ES" w:bidi="es-ES"/>
        </w:rPr>
        <w:t>.</w:t>
      </w:r>
    </w:p>
    <w:p w:rsidRPr="00840B10" w:rsidR="00B802A1" w:rsidRDefault="00840B10" w14:paraId="1CA4C0C0" w14:textId="69A7A80F">
      <w:pPr>
        <w:tabs>
          <w:tab w:val="left" w:pos="426"/>
        </w:tabs>
        <w:spacing w:after="120" w:line="276" w:lineRule="auto"/>
        <w:ind w:firstLine="709"/>
        <w:jc w:val="both"/>
        <w:rPr>
          <w:rFonts w:ascii="Arial" w:hAnsi="Arial" w:cs="Arial"/>
          <w:bCs/>
          <w:sz w:val="22"/>
          <w:szCs w:val="22"/>
          <w:lang w:val="es-MX" w:eastAsia="es-CO"/>
        </w:rPr>
      </w:pPr>
      <w:r w:rsidRPr="00FD7DA9">
        <w:rPr>
          <w:rFonts w:ascii="Arial" w:hAnsi="Arial" w:cs="Arial"/>
          <w:bCs/>
          <w:sz w:val="22"/>
          <w:szCs w:val="22"/>
          <w:lang w:val="es-MX" w:eastAsia="es-CO"/>
        </w:rPr>
        <w:t xml:space="preserve">En efecto, la modificación transitoria del artículo 124 de la Ley 2159 de 2021, </w:t>
      </w:r>
      <w:r w:rsidRPr="00FD7DA9">
        <w:rPr>
          <w:rFonts w:ascii="Arial" w:hAnsi="Arial" w:cs="Arial"/>
          <w:bCs/>
          <w:sz w:val="22"/>
          <w:szCs w:val="22"/>
          <w:lang w:eastAsia="es-CO"/>
        </w:rPr>
        <w:t xml:space="preserve">fijó ciertas condiciones temporales, subjetivas y materiales o teleológicas para la celebración de los convenios interadministrativos: i) que sean celebrados a partir de la publicación de la Ley del Presupuesto en el Diario Oficial y hasta el término de la vigencia fiscal 2022, ii) que sean celebrados entre la Nación, por una parte, y las entidades territoriales, por otra, y </w:t>
      </w:r>
      <w:proofErr w:type="spellStart"/>
      <w:r w:rsidRPr="00FD7DA9">
        <w:rPr>
          <w:rFonts w:ascii="Arial" w:hAnsi="Arial" w:cs="Arial"/>
          <w:bCs/>
          <w:sz w:val="22"/>
          <w:szCs w:val="22"/>
          <w:lang w:eastAsia="es-CO"/>
        </w:rPr>
        <w:t>iii</w:t>
      </w:r>
      <w:proofErr w:type="spellEnd"/>
      <w:r w:rsidRPr="00FD7DA9">
        <w:rPr>
          <w:rFonts w:ascii="Arial" w:hAnsi="Arial" w:cs="Arial"/>
          <w:bCs/>
          <w:sz w:val="22"/>
          <w:szCs w:val="22"/>
          <w:lang w:eastAsia="es-CO"/>
        </w:rPr>
        <w:t>) que los convenios sean celebrados con el fin de ejecutar programas o proyectos que correspondan al Presupuesto General de la Nación</w:t>
      </w:r>
      <w:r w:rsidRPr="00FD7DA9">
        <w:rPr>
          <w:rFonts w:ascii="Arial" w:hAnsi="Arial" w:cs="Arial"/>
          <w:bCs/>
          <w:sz w:val="22"/>
          <w:szCs w:val="22"/>
          <w:lang w:val="es-MX" w:eastAsia="es-CO"/>
        </w:rPr>
        <w:t>. De acuerdo con esto, a los convenios interadministrativos no relacionados con la ejecución de recursos del Presupuesto General Nacional, les aplicaría la restricción del artículo 38, no estando cobijados por la habilitación transitoria dispuesta en el artículo 124 de la Ley 2159 de 2021, al no cumplirse los mencionados requisitos.</w:t>
      </w:r>
      <w:r w:rsidRPr="00FD7DA9">
        <w:rPr>
          <w:rFonts w:ascii="Arial" w:hAnsi="Arial" w:cs="Arial"/>
          <w:bCs/>
          <w:sz w:val="22"/>
          <w:szCs w:val="22"/>
          <w:lang w:eastAsia="es-CO"/>
        </w:rPr>
        <w:t> </w:t>
      </w:r>
    </w:p>
    <w:p w:rsidR="00C84F90" w:rsidP="00C84F90" w:rsidRDefault="00C84F90" w14:paraId="5A828248" w14:textId="1CF928EB">
      <w:pPr>
        <w:widowControl w:val="0"/>
        <w:autoSpaceDE w:val="0"/>
        <w:autoSpaceDN w:val="0"/>
        <w:spacing w:line="276" w:lineRule="auto"/>
        <w:ind w:firstLine="709"/>
        <w:jc w:val="both"/>
        <w:rPr>
          <w:rFonts w:ascii="Arial" w:hAnsi="Arial" w:eastAsia="Calibri" w:cs="Arial"/>
          <w:sz w:val="22"/>
          <w:szCs w:val="22"/>
          <w:lang w:eastAsia="es-ES" w:bidi="es-ES"/>
        </w:rPr>
      </w:pPr>
      <w:r w:rsidRPr="002F0981">
        <w:rPr>
          <w:rFonts w:ascii="Arial" w:hAnsi="Arial" w:cs="Arial"/>
          <w:bCs/>
          <w:sz w:val="22"/>
          <w:szCs w:val="22"/>
          <w:lang w:val="es-ES" w:eastAsia="es-CO" w:bidi="es-ES"/>
        </w:rPr>
        <w:t>En todo caso</w:t>
      </w:r>
      <w:bookmarkStart w:name="_Hlk77154098" w:id="49"/>
      <w:r w:rsidRPr="002F0981">
        <w:rPr>
          <w:rFonts w:ascii="Arial" w:hAnsi="Arial" w:eastAsia="Arial" w:cs="Arial"/>
          <w:sz w:val="22"/>
          <w:szCs w:val="22"/>
          <w:lang w:val="es-ES" w:eastAsia="es-ES" w:bidi="es-ES"/>
        </w:rPr>
        <w:t xml:space="preserve">, es importante resaltar que la Sala de Consulta y Servicio Civil del Consejo de Estado se ha pronunciado en el sentido de que </w:t>
      </w:r>
      <w:bookmarkStart w:name="_Hlk78820889" w:id="50"/>
      <w:r w:rsidRPr="002F0981">
        <w:rPr>
          <w:rFonts w:ascii="Arial" w:hAnsi="Arial" w:eastAsia="Arial" w:cs="Arial"/>
          <w:sz w:val="22"/>
          <w:szCs w:val="22"/>
          <w:lang w:val="es-ES" w:eastAsia="es-ES" w:bidi="es-ES"/>
        </w:rPr>
        <w:t xml:space="preserve">no se les aplica la restricción de la Ley de Garantías a los convenios o contratos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w:t>
      </w:r>
      <w:r w:rsidRPr="002F0981">
        <w:rPr>
          <w:rFonts w:ascii="Arial" w:hAnsi="Arial" w:eastAsia="Arial" w:cs="Arial"/>
          <w:sz w:val="22"/>
          <w:szCs w:val="22"/>
          <w:lang w:val="es-ES" w:eastAsia="es-ES" w:bidi="es-ES"/>
        </w:rPr>
        <w:t>que tienen los ciudadanos al acceso y oportuna administración de justicia</w:t>
      </w:r>
      <w:bookmarkEnd w:id="50"/>
      <w:r w:rsidRPr="002F0981">
        <w:rPr>
          <w:rFonts w:ascii="Arial" w:hAnsi="Arial" w:eastAsia="Arial" w:cs="Arial"/>
          <w:sz w:val="22"/>
          <w:szCs w:val="22"/>
          <w:vertAlign w:val="superscript"/>
          <w:lang w:val="es-ES" w:eastAsia="es-ES" w:bidi="es-ES"/>
        </w:rPr>
        <w:footnoteReference w:id="38"/>
      </w:r>
      <w:r w:rsidRPr="002F0981">
        <w:rPr>
          <w:rFonts w:ascii="Arial" w:hAnsi="Arial" w:eastAsia="Calibri" w:cs="Arial"/>
          <w:sz w:val="22"/>
          <w:szCs w:val="22"/>
          <w:lang w:eastAsia="es-ES" w:bidi="es-ES"/>
        </w:rPr>
        <w:t>.</w:t>
      </w:r>
      <w:bookmarkEnd w:id="49"/>
    </w:p>
    <w:p w:rsidR="00B77A97" w:rsidP="00B77A97" w:rsidRDefault="00B77A97" w14:paraId="1DA38C06" w14:textId="54E9C985">
      <w:pPr>
        <w:widowControl w:val="0"/>
        <w:autoSpaceDE w:val="0"/>
        <w:autoSpaceDN w:val="0"/>
        <w:spacing w:line="276" w:lineRule="auto"/>
        <w:jc w:val="both"/>
        <w:rPr>
          <w:rFonts w:ascii="Arial" w:hAnsi="Arial" w:eastAsia="Calibri" w:cs="Arial"/>
          <w:sz w:val="22"/>
          <w:szCs w:val="22"/>
          <w:lang w:eastAsia="es-ES" w:bidi="es-ES"/>
        </w:rPr>
      </w:pPr>
    </w:p>
    <w:p w:rsidRPr="002C1CBF" w:rsidR="00427B0F" w:rsidP="00427B0F" w:rsidRDefault="00427B0F" w14:paraId="72DE5215" w14:textId="2E4143F1">
      <w:pPr>
        <w:spacing w:line="276" w:lineRule="auto"/>
        <w:jc w:val="both"/>
        <w:rPr>
          <w:rFonts w:ascii="Arial" w:hAnsi="Arial" w:cs="Arial"/>
          <w:b/>
          <w:sz w:val="22"/>
          <w:szCs w:val="22"/>
          <w:lang w:val="es-MX" w:eastAsia="es-CO"/>
        </w:rPr>
      </w:pPr>
      <w:bookmarkStart w:name="_Hlk75780333" w:id="51"/>
      <w:bookmarkEnd w:id="42"/>
      <w:r w:rsidRPr="002C1CBF">
        <w:rPr>
          <w:rFonts w:ascii="Arial" w:hAnsi="Arial" w:cs="Arial"/>
          <w:b/>
          <w:sz w:val="22"/>
          <w:szCs w:val="22"/>
          <w:lang w:val="es-MX" w:eastAsia="es-CO"/>
        </w:rPr>
        <w:t>2.</w:t>
      </w:r>
      <w:r w:rsidR="002F252B">
        <w:rPr>
          <w:rFonts w:ascii="Arial" w:hAnsi="Arial" w:cs="Arial"/>
          <w:b/>
          <w:sz w:val="22"/>
          <w:szCs w:val="22"/>
          <w:lang w:val="es-MX" w:eastAsia="es-CO"/>
        </w:rPr>
        <w:t>5</w:t>
      </w:r>
      <w:r w:rsidRPr="002C1CBF">
        <w:rPr>
          <w:rFonts w:ascii="Arial" w:hAnsi="Arial" w:cs="Arial"/>
          <w:b/>
          <w:sz w:val="22"/>
          <w:szCs w:val="22"/>
          <w:lang w:val="es-MX" w:eastAsia="es-CO"/>
        </w:rPr>
        <w:t xml:space="preserve">. </w:t>
      </w:r>
      <w:bookmarkStart w:name="_Hlk100219740" w:id="52"/>
      <w:r w:rsidRPr="002C1CBF">
        <w:rPr>
          <w:rFonts w:ascii="Arial" w:hAnsi="Arial" w:cs="Arial"/>
          <w:b/>
          <w:sz w:val="22"/>
          <w:szCs w:val="22"/>
          <w:lang w:val="es-MX" w:eastAsia="es-CO"/>
        </w:rPr>
        <w:t xml:space="preserve">Régimen contractual de los fondos de servicios educativos </w:t>
      </w:r>
      <w:r w:rsidRPr="002C1CBF" w:rsidR="00B216C8">
        <w:rPr>
          <w:rFonts w:ascii="Arial" w:hAnsi="Arial" w:cs="Arial"/>
          <w:b/>
          <w:sz w:val="22"/>
          <w:szCs w:val="22"/>
          <w:lang w:val="es-MX" w:eastAsia="es-CO"/>
        </w:rPr>
        <w:t xml:space="preserve">y aplicación de la </w:t>
      </w:r>
      <w:r w:rsidRPr="002C1CBF" w:rsidR="007C0E8C">
        <w:rPr>
          <w:rFonts w:ascii="Arial" w:hAnsi="Arial" w:cs="Arial"/>
          <w:b/>
          <w:sz w:val="22"/>
          <w:szCs w:val="22"/>
          <w:lang w:val="es-MX" w:eastAsia="es-CO"/>
        </w:rPr>
        <w:t>Ley de Garantías</w:t>
      </w:r>
      <w:bookmarkEnd w:id="52"/>
    </w:p>
    <w:p w:rsidRPr="002C1CBF" w:rsidR="00427B0F" w:rsidP="00427B0F" w:rsidRDefault="00427B0F" w14:paraId="6D9AC214" w14:textId="7721A981">
      <w:pPr>
        <w:spacing w:line="276" w:lineRule="auto"/>
        <w:jc w:val="both"/>
        <w:rPr>
          <w:rFonts w:ascii="Arial" w:hAnsi="Arial" w:cs="Arial"/>
          <w:b/>
          <w:sz w:val="22"/>
          <w:szCs w:val="22"/>
          <w:lang w:val="es-MX" w:eastAsia="es-CO"/>
        </w:rPr>
      </w:pPr>
    </w:p>
    <w:p w:rsidRPr="002C1CBF" w:rsidR="003D67E2" w:rsidP="003D67E2" w:rsidRDefault="003D67E2" w14:paraId="363CAD51" w14:textId="217A4DD5">
      <w:pPr>
        <w:spacing w:after="120" w:line="276" w:lineRule="auto"/>
        <w:jc w:val="both"/>
        <w:rPr>
          <w:rFonts w:ascii="Arial" w:hAnsi="Arial" w:cs="Arial"/>
          <w:sz w:val="22"/>
        </w:rPr>
      </w:pPr>
      <w:r w:rsidRPr="002C1CBF">
        <w:rPr>
          <w:rFonts w:ascii="Arial" w:hAnsi="Arial" w:cs="Arial"/>
          <w:sz w:val="22"/>
        </w:rPr>
        <w:t>Las Leyes 60 de 1993 y 715 de 2001 descentralizaron el sistema educativo en Colombia, asignándoles a los departamentos, distritos y municipios las competencias y los recursos para dirigir las instituciones educativas. Así las cosas, el sistema educativo está descentralizado por las competencias propias otorgadas a las entidades territoriales para administrar las instituciones educativas en los diferentes niveles territoriales, sin que estas últimas sean entidades descentralizadas</w:t>
      </w:r>
      <w:r w:rsidRPr="002C1CBF">
        <w:rPr>
          <w:rStyle w:val="Refdenotaalpie"/>
          <w:rFonts w:ascii="Arial" w:hAnsi="Arial" w:cs="Arial"/>
          <w:sz w:val="22"/>
        </w:rPr>
        <w:footnoteReference w:id="39"/>
      </w:r>
      <w:r w:rsidRPr="002C1CBF">
        <w:rPr>
          <w:rFonts w:ascii="Arial" w:hAnsi="Arial" w:cs="Arial"/>
          <w:sz w:val="22"/>
        </w:rPr>
        <w:t xml:space="preserve">. </w:t>
      </w:r>
    </w:p>
    <w:p w:rsidRPr="002C1CBF" w:rsidR="003D67E2" w:rsidP="003D67E2" w:rsidRDefault="003D67E2" w14:paraId="50D1DD88" w14:textId="77777777">
      <w:pPr>
        <w:spacing w:before="120" w:after="120" w:line="276" w:lineRule="auto"/>
        <w:ind w:firstLine="709"/>
        <w:jc w:val="both"/>
        <w:rPr>
          <w:rFonts w:ascii="Arial" w:hAnsi="Arial" w:cs="Arial"/>
          <w:sz w:val="22"/>
        </w:rPr>
      </w:pPr>
      <w:r w:rsidRPr="002C1CBF">
        <w:rPr>
          <w:rFonts w:ascii="Arial" w:hAnsi="Arial" w:cs="Arial"/>
          <w:sz w:val="22"/>
        </w:rPr>
        <w:t xml:space="preserve">Conforme a lo anterior, </w:t>
      </w:r>
      <w:bookmarkStart w:name="_Hlk100224224" w:id="53"/>
      <w:r w:rsidRPr="002C1CBF">
        <w:rPr>
          <w:rFonts w:ascii="Arial" w:hAnsi="Arial" w:cs="Arial"/>
          <w:sz w:val="22"/>
        </w:rPr>
        <w:t>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bookmarkEnd w:id="53"/>
      <w:r w:rsidRPr="002C1CBF">
        <w:rPr>
          <w:rStyle w:val="Refdenotaalpie"/>
          <w:rFonts w:ascii="Arial" w:hAnsi="Arial" w:cs="Arial"/>
          <w:sz w:val="22"/>
        </w:rPr>
        <w:footnoteReference w:id="40"/>
      </w:r>
      <w:r w:rsidRPr="002C1CBF">
        <w:rPr>
          <w:rFonts w:ascii="Arial" w:hAnsi="Arial" w:cs="Arial"/>
          <w:sz w:val="22"/>
        </w:rPr>
        <w:t xml:space="preserve"> </w:t>
      </w:r>
      <w:r w:rsidRPr="002C1CBF">
        <w:rPr>
          <w:rStyle w:val="Refdenotaalpie"/>
          <w:rFonts w:ascii="Arial" w:hAnsi="Arial" w:cs="Arial"/>
          <w:sz w:val="22"/>
        </w:rPr>
        <w:footnoteReference w:id="41"/>
      </w:r>
      <w:r w:rsidRPr="002C1CBF">
        <w:rPr>
          <w:rFonts w:ascii="Arial" w:hAnsi="Arial" w:cs="Arial"/>
          <w:sz w:val="22"/>
        </w:rPr>
        <w:t>.</w:t>
      </w:r>
    </w:p>
    <w:p w:rsidRPr="002C1CBF" w:rsidR="003D67E2" w:rsidP="003D67E2" w:rsidRDefault="003D67E2" w14:paraId="1E2C93D5" w14:textId="77777777">
      <w:pPr>
        <w:spacing w:before="120" w:line="276" w:lineRule="auto"/>
        <w:ind w:firstLine="709"/>
        <w:jc w:val="both"/>
        <w:rPr>
          <w:rFonts w:ascii="Arial" w:hAnsi="Arial" w:cs="Arial"/>
          <w:sz w:val="22"/>
        </w:rPr>
      </w:pPr>
      <w:r w:rsidRPr="002C1CBF">
        <w:rPr>
          <w:rFonts w:ascii="Arial" w:hAnsi="Arial" w:cs="Arial"/>
          <w:sz w:val="22"/>
        </w:rPr>
        <w:t>Los fondos de servicios educativos tampoco cuentan con personería jurídica según lo previsto en el artículo 2.3.1.6.3.4 del Decreto 1075 de 2015, Decreto Único Reglamentario del Sector Educación:</w:t>
      </w:r>
    </w:p>
    <w:p w:rsidRPr="002C1CBF" w:rsidR="003D67E2" w:rsidP="003D67E2" w:rsidRDefault="003D67E2" w14:paraId="2F301BA9" w14:textId="77777777">
      <w:pPr>
        <w:spacing w:line="276" w:lineRule="auto"/>
        <w:ind w:firstLine="709"/>
        <w:jc w:val="both"/>
        <w:rPr>
          <w:rFonts w:ascii="Arial" w:hAnsi="Arial" w:cs="Arial"/>
          <w:sz w:val="22"/>
        </w:rPr>
      </w:pPr>
    </w:p>
    <w:p w:rsidRPr="002C1CBF" w:rsidR="003D67E2" w:rsidP="003D67E2" w:rsidRDefault="003D67E2" w14:paraId="63A1EE98" w14:textId="77777777">
      <w:pPr>
        <w:ind w:left="709" w:right="709"/>
        <w:jc w:val="both"/>
        <w:rPr>
          <w:rFonts w:ascii="Arial" w:hAnsi="Arial" w:cs="Arial"/>
          <w:sz w:val="21"/>
          <w:szCs w:val="21"/>
        </w:rPr>
      </w:pPr>
      <w:r w:rsidRPr="002C1CBF">
        <w:rPr>
          <w:rFonts w:ascii="Arial" w:hAnsi="Arial" w:cs="Arial"/>
          <w:sz w:val="21"/>
          <w:szCs w:val="21"/>
        </w:rPr>
        <w:t>Artículo 2.3.1.6.3.4. Ordenación del gasto. Los fondos de servicios educativos carecen de personería jurídica. El rector o director rural es el ordenador del gasto del Fondo de Servicios Educativos y su ejercicio no implica representación legal.</w:t>
      </w:r>
    </w:p>
    <w:p w:rsidRPr="002C1CBF" w:rsidR="003D67E2" w:rsidP="003D67E2" w:rsidRDefault="003D67E2" w14:paraId="564B3301" w14:textId="77777777">
      <w:pPr>
        <w:spacing w:line="276" w:lineRule="auto"/>
        <w:jc w:val="both"/>
        <w:rPr>
          <w:rFonts w:ascii="Arial" w:hAnsi="Arial" w:cs="Arial"/>
          <w:sz w:val="22"/>
        </w:rPr>
      </w:pPr>
    </w:p>
    <w:p w:rsidRPr="002C1CBF" w:rsidR="003D67E2" w:rsidP="003D67E2" w:rsidRDefault="003D67E2" w14:paraId="1DF09BE3" w14:textId="77777777">
      <w:pPr>
        <w:spacing w:after="120" w:line="276" w:lineRule="auto"/>
        <w:ind w:firstLine="709"/>
        <w:jc w:val="both"/>
        <w:rPr>
          <w:rFonts w:ascii="Arial" w:hAnsi="Arial" w:cs="Arial"/>
          <w:sz w:val="22"/>
        </w:rPr>
      </w:pPr>
      <w:r w:rsidRPr="002C1CBF">
        <w:rPr>
          <w:rFonts w:ascii="Arial" w:hAnsi="Arial" w:cs="Arial"/>
          <w:sz w:val="22"/>
        </w:rPr>
        <w:t>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2C1CBF">
        <w:rPr>
          <w:rStyle w:val="Refdenotaalpie"/>
          <w:rFonts w:ascii="Arial" w:hAnsi="Arial" w:cs="Arial"/>
          <w:sz w:val="22"/>
        </w:rPr>
        <w:footnoteReference w:id="42"/>
      </w:r>
      <w:r w:rsidRPr="002C1CBF">
        <w:rPr>
          <w:rFonts w:ascii="Arial" w:hAnsi="Arial" w:cs="Arial"/>
          <w:sz w:val="22"/>
        </w:rPr>
        <w:t xml:space="preserve">. Para estos efectos, el artículo </w:t>
      </w:r>
      <w:bookmarkStart w:name="_Hlk61284248" w:id="55"/>
      <w:r w:rsidRPr="002C1CBF">
        <w:rPr>
          <w:rFonts w:ascii="Arial" w:hAnsi="Arial" w:cs="Arial"/>
          <w:sz w:val="22"/>
        </w:rPr>
        <w:t>2.3.1.6.3.17. del Decreto 1075 de 2015</w:t>
      </w:r>
      <w:bookmarkEnd w:id="55"/>
      <w:r w:rsidRPr="002C1CBF">
        <w:rPr>
          <w:rFonts w:ascii="Arial" w:hAnsi="Arial" w:cs="Arial"/>
          <w:sz w:val="22"/>
        </w:rPr>
        <w:t xml:space="preserve"> dispone lo siguiente:</w:t>
      </w:r>
    </w:p>
    <w:p w:rsidRPr="002C1CBF" w:rsidR="003D67E2" w:rsidP="003D67E2" w:rsidRDefault="003D67E2" w14:paraId="329903DF" w14:textId="77777777">
      <w:pPr>
        <w:spacing w:line="276" w:lineRule="auto"/>
        <w:ind w:firstLine="709"/>
        <w:jc w:val="both"/>
        <w:rPr>
          <w:rFonts w:ascii="Arial" w:hAnsi="Arial" w:cs="Arial"/>
          <w:sz w:val="22"/>
        </w:rPr>
      </w:pPr>
    </w:p>
    <w:p w:rsidRPr="002C1CBF" w:rsidR="003D67E2" w:rsidP="003D67E2" w:rsidRDefault="003D67E2" w14:paraId="33364287" w14:textId="77777777">
      <w:pPr>
        <w:spacing w:after="120"/>
        <w:ind w:left="709" w:right="709"/>
        <w:jc w:val="both"/>
        <w:textAlignment w:val="baseline"/>
        <w:rPr>
          <w:rFonts w:ascii="Segoe UI" w:hAnsi="Segoe UI" w:cs="Segoe UI"/>
          <w:sz w:val="18"/>
          <w:szCs w:val="18"/>
          <w:lang w:val="es-ES" w:eastAsia="es-ES"/>
        </w:rPr>
      </w:pPr>
      <w:r w:rsidRPr="002C1CBF">
        <w:rPr>
          <w:rFonts w:ascii="Arial" w:hAnsi="Arial" w:cs="Arial"/>
          <w:color w:val="000000"/>
          <w:sz w:val="21"/>
          <w:szCs w:val="21"/>
          <w:lang w:val="es-ES" w:eastAsia="es-ES"/>
        </w:rPr>
        <w:t>La celebración de contratos a que haya lugar con recursos del Fondo de Servicios </w:t>
      </w:r>
      <w:proofErr w:type="gramStart"/>
      <w:r w:rsidRPr="002C1CBF">
        <w:rPr>
          <w:rFonts w:ascii="Arial" w:hAnsi="Arial" w:cs="Arial"/>
          <w:color w:val="000000"/>
          <w:sz w:val="21"/>
          <w:szCs w:val="21"/>
          <w:lang w:val="es-ES" w:eastAsia="es-ES"/>
        </w:rPr>
        <w:t>Educativos,</w:t>
      </w:r>
      <w:proofErr w:type="gramEnd"/>
      <w:r w:rsidRPr="002C1CBF">
        <w:rPr>
          <w:rFonts w:ascii="Arial" w:hAnsi="Arial" w:cs="Arial"/>
          <w:color w:val="000000"/>
          <w:sz w:val="21"/>
          <w:szCs w:val="21"/>
          <w:lang w:val="es-ES" w:eastAsia="es-ES"/>
        </w:rPr>
        <w:t> debe realizarse con estricta sujeción a lo dispuesto en el estatuto contractual de la administración pública, cuando supere la cuantía de veinte (20) salarios mínimos legales mensuales vigentes.  </w:t>
      </w:r>
    </w:p>
    <w:p w:rsidRPr="002C1CBF" w:rsidR="003D67E2" w:rsidP="003D67E2" w:rsidRDefault="003D67E2" w14:paraId="43A2F794" w14:textId="77777777">
      <w:pPr>
        <w:ind w:left="705" w:right="705"/>
        <w:jc w:val="both"/>
        <w:textAlignment w:val="baseline"/>
        <w:rPr>
          <w:rFonts w:ascii="Segoe UI" w:hAnsi="Segoe UI" w:cs="Segoe UI"/>
          <w:sz w:val="18"/>
          <w:szCs w:val="18"/>
          <w:lang w:val="es-ES" w:eastAsia="es-ES"/>
        </w:rPr>
      </w:pPr>
      <w:r w:rsidRPr="002C1CBF">
        <w:rPr>
          <w:rFonts w:ascii="Arial" w:hAnsi="Arial" w:cs="Arial"/>
          <w:color w:val="000000"/>
          <w:sz w:val="21"/>
          <w:szCs w:val="21"/>
          <w:lang w:val="es-ES" w:eastAsia="es-ES"/>
        </w:rPr>
        <w:t xml:space="preserve">Si la cuantía es inferior a los veinte (20) salarios mínimos legales mensuales vigentes se deben seguir los procedimientos establecidos en el reglamento </w:t>
      </w:r>
      <w:r w:rsidRPr="002C1CBF">
        <w:rPr>
          <w:rFonts w:ascii="Arial" w:hAnsi="Arial" w:cs="Arial"/>
          <w:color w:val="000000"/>
          <w:sz w:val="21"/>
          <w:szCs w:val="21"/>
          <w:lang w:val="es-ES" w:eastAsia="es-ES"/>
        </w:rPr>
        <w:t>expedido por el consejo directivo, de conformidad con lo dispuesto en el artículo 13 de la Ley 715 de 2001, y en todo caso siguiendo los principios de transparencia, economía, publicidad, y responsabilidad, de conformidad con los postulados de la función administrativa.  </w:t>
      </w:r>
    </w:p>
    <w:p w:rsidRPr="002C1CBF" w:rsidR="003D67E2" w:rsidP="003D67E2" w:rsidRDefault="003D67E2" w14:paraId="5E00CDFE" w14:textId="77777777">
      <w:pPr>
        <w:spacing w:line="276" w:lineRule="auto"/>
        <w:ind w:firstLine="709"/>
        <w:jc w:val="both"/>
        <w:rPr>
          <w:rFonts w:ascii="Arial" w:hAnsi="Arial" w:cs="Arial"/>
          <w:sz w:val="22"/>
        </w:rPr>
      </w:pPr>
    </w:p>
    <w:p w:rsidRPr="002C1CBF" w:rsidR="003D67E2" w:rsidP="003D67E2" w:rsidRDefault="003D67E2" w14:paraId="5FEB7252" w14:textId="77777777">
      <w:pPr>
        <w:spacing w:after="120" w:line="276" w:lineRule="auto"/>
        <w:ind w:firstLine="709"/>
        <w:jc w:val="both"/>
        <w:rPr>
          <w:rFonts w:ascii="Arial" w:hAnsi="Arial" w:cs="Arial"/>
          <w:sz w:val="22"/>
        </w:rPr>
      </w:pPr>
      <w:r w:rsidRPr="002C1CBF">
        <w:rPr>
          <w:rFonts w:ascii="Arial" w:hAnsi="Arial" w:cs="Arial"/>
          <w:sz w:val="22"/>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w:t>
      </w:r>
      <w:bookmarkStart w:name="_Hlk61284209" w:id="56"/>
      <w:r w:rsidRPr="002C1CBF">
        <w:rPr>
          <w:rFonts w:ascii="Arial" w:hAnsi="Arial" w:cs="Arial"/>
          <w:sz w:val="22"/>
        </w:rPr>
        <w:t>artículo 13 de la Ley 715 de 2001</w:t>
      </w:r>
      <w:bookmarkEnd w:id="56"/>
      <w:r w:rsidRPr="002C1CBF">
        <w:rPr>
          <w:rFonts w:ascii="Arial" w:hAnsi="Arial" w:cs="Arial"/>
          <w:sz w:val="22"/>
        </w:rPr>
        <w:t xml:space="preserve">. Los reglamentos que se expidan de conformidad con los principios de igualdad, moralidad, imparcialidad y publicidad, así como de acuerdo con la experiencia y el análisis concreto de las necesidades del establecimiento, deben definir los trámites, garantías y constancias que deben cumplirse para que el rector o director celebre cualquier acto o contrato que cree, extinga o modifique obligaciones con cargo al respectivo fondo de servicios educativos. </w:t>
      </w:r>
    </w:p>
    <w:p w:rsidRPr="002C1CBF" w:rsidR="003D67E2" w:rsidP="003D67E2" w:rsidRDefault="003D67E2" w14:paraId="668DA6F4" w14:textId="77777777">
      <w:pPr>
        <w:spacing w:before="120" w:after="120" w:line="276" w:lineRule="auto"/>
        <w:ind w:firstLine="709"/>
        <w:jc w:val="both"/>
        <w:rPr>
          <w:rFonts w:ascii="Arial" w:hAnsi="Arial" w:cs="Arial"/>
          <w:sz w:val="22"/>
        </w:rPr>
      </w:pPr>
      <w:r w:rsidRPr="002C1CBF">
        <w:rPr>
          <w:rFonts w:ascii="Arial" w:hAnsi="Arial" w:cs="Arial"/>
          <w:sz w:val="22"/>
        </w:rPr>
        <w:t xml:space="preserve">En ese sentido, tratándose de la contratación realizada por dichas instituciones por debajo de la cuantía de veinte (20) salarios mínimos legales mensuales vigentes, es el consejo directivo quien tiene la competencia para establecer las reglas conforme a las cuales debe realizarse la adquisición de bienes, obras y servicios, incluidos los procedimientos, mecanismos, requisitos y formalidades que deben respetarse en estos procesos de contratación. </w:t>
      </w:r>
    </w:p>
    <w:p w:rsidRPr="002C1CBF" w:rsidR="003D67E2" w:rsidP="003D67E2" w:rsidRDefault="003D67E2" w14:paraId="634ABF72" w14:textId="65E4261C">
      <w:pPr>
        <w:spacing w:before="120" w:line="276" w:lineRule="auto"/>
        <w:ind w:firstLine="709"/>
        <w:jc w:val="both"/>
        <w:rPr>
          <w:rFonts w:ascii="Arial" w:hAnsi="Arial" w:cs="Arial"/>
          <w:sz w:val="22"/>
        </w:rPr>
      </w:pPr>
      <w:r w:rsidRPr="002C1CBF">
        <w:rPr>
          <w:rFonts w:ascii="Arial" w:hAnsi="Arial" w:cs="Arial"/>
          <w:sz w:val="22"/>
        </w:rPr>
        <w:t>Por el contrario, cuando la celebración de contratos a que haya lugar con recursos del fondo de servicios educativos supere la cuantía de los veinte (20) salarios mínimos legales mensuales vigentes, debe hacerse con estricta sujeción a lo dispuesto en la Ley 80 de 1993. Es decir, las reglas a las que deben sujetarse los procedimientos dentro de los que se enmarque esta contratación son las del Estatuto General, procediendo la aplicación de las modalidades de selección definidas en la Ley 1150 de 2007, así como los requisitos y formalidades establecidos en el Decreto 1082 del 2015 y demás normas aplicables.</w:t>
      </w:r>
    </w:p>
    <w:p w:rsidRPr="002C1CBF" w:rsidR="00C13B13" w:rsidP="00C13B13" w:rsidRDefault="00C13B13" w14:paraId="72F2293D" w14:textId="1F933285">
      <w:pPr>
        <w:spacing w:before="120" w:line="276" w:lineRule="auto"/>
        <w:ind w:firstLine="709"/>
        <w:jc w:val="both"/>
        <w:rPr>
          <w:rFonts w:ascii="Arial" w:hAnsi="Arial" w:cs="Arial"/>
          <w:sz w:val="22"/>
        </w:rPr>
      </w:pPr>
      <w:r w:rsidRPr="002C1CBF">
        <w:rPr>
          <w:rFonts w:ascii="Arial" w:hAnsi="Arial" w:cs="Arial"/>
          <w:sz w:val="22"/>
        </w:rPr>
        <w:t xml:space="preserve">En lo que respecta al régimen sustantivo de los contratos estatales sometidos a la Ley 80 de 1993, el inciso primero del artículo 13 dispone que «Los contratos que celebren las entidades a que se refiere el artículo 2o. del presente estatuto se regirán por las disposiciones comerciales y civiles pertinentes, salvo en las materias particularmente reguladas en esta ley». En concordancia con los artículos 32 y 40 </w:t>
      </w:r>
      <w:proofErr w:type="spellStart"/>
      <w:r w:rsidRPr="002C1CBF">
        <w:rPr>
          <w:rFonts w:ascii="Arial" w:hAnsi="Arial" w:cs="Arial"/>
          <w:i/>
          <w:iCs/>
          <w:sz w:val="22"/>
        </w:rPr>
        <w:t>ibídem</w:t>
      </w:r>
      <w:proofErr w:type="spellEnd"/>
      <w:r w:rsidRPr="002C1CBF">
        <w:rPr>
          <w:rStyle w:val="Refdenotaalpie"/>
          <w:rFonts w:ascii="Arial" w:hAnsi="Arial" w:cs="Arial"/>
          <w:sz w:val="22"/>
        </w:rPr>
        <w:footnoteReference w:id="43"/>
      </w:r>
      <w:r w:rsidRPr="002C1CBF">
        <w:rPr>
          <w:rFonts w:ascii="Arial" w:hAnsi="Arial" w:cs="Arial"/>
          <w:sz w:val="22"/>
        </w:rPr>
        <w:t xml:space="preserve">, esto significa que los contratos de las entidades sometidas al Estatuto General de Contratación se rigen </w:t>
      </w:r>
      <w:r w:rsidRPr="002C1CBF">
        <w:rPr>
          <w:rFonts w:ascii="Arial" w:hAnsi="Arial" w:cs="Arial"/>
          <w:sz w:val="22"/>
        </w:rPr>
        <w:t>generalmente por el derecho privado y excepcionalmente por el derecho público, pues las normas civiles y comerciales son el derecho común de los contratos estatales</w:t>
      </w:r>
      <w:r w:rsidRPr="002C1CBF">
        <w:rPr>
          <w:rStyle w:val="Refdenotaalpie"/>
          <w:rFonts w:ascii="Arial" w:hAnsi="Arial" w:cs="Arial"/>
          <w:sz w:val="22"/>
        </w:rPr>
        <w:footnoteReference w:id="44"/>
      </w:r>
      <w:r w:rsidRPr="002C1CBF">
        <w:rPr>
          <w:rFonts w:ascii="Arial" w:hAnsi="Arial" w:cs="Arial"/>
          <w:sz w:val="22"/>
        </w:rPr>
        <w:t xml:space="preserve">. </w:t>
      </w:r>
      <w:r w:rsidRPr="002C1CBF" w:rsidR="004F3071">
        <w:rPr>
          <w:rFonts w:ascii="Arial" w:hAnsi="Arial" w:cs="Arial"/>
          <w:sz w:val="22"/>
        </w:rPr>
        <w:t>Así lo ha entendido la doctrina:</w:t>
      </w:r>
    </w:p>
    <w:p w:rsidRPr="002C1CBF" w:rsidR="00C13B13" w:rsidP="00C13B13" w:rsidRDefault="00C13B13" w14:paraId="4F25011F" w14:textId="77777777">
      <w:pPr>
        <w:spacing w:line="276" w:lineRule="auto"/>
        <w:ind w:firstLine="709"/>
        <w:jc w:val="both"/>
        <w:rPr>
          <w:rFonts w:ascii="Arial" w:hAnsi="Arial" w:cs="Arial"/>
          <w:sz w:val="22"/>
        </w:rPr>
      </w:pPr>
    </w:p>
    <w:p w:rsidRPr="002C1CBF" w:rsidR="00C13B13" w:rsidP="00C13B13" w:rsidRDefault="00C13B13" w14:paraId="59A8D4C2" w14:textId="77777777">
      <w:pPr>
        <w:ind w:left="709" w:right="709"/>
        <w:jc w:val="both"/>
        <w:rPr>
          <w:rFonts w:ascii="Arial" w:hAnsi="Arial" w:cs="Arial"/>
          <w:sz w:val="21"/>
          <w:szCs w:val="21"/>
        </w:rPr>
      </w:pPr>
      <w:r w:rsidRPr="002C1CBF">
        <w:rPr>
          <w:rFonts w:ascii="Arial" w:hAnsi="Arial" w:cs="Arial"/>
          <w:sz w:val="21"/>
          <w:szCs w:val="21"/>
        </w:rPr>
        <w:t xml:space="preserve">[…] no hace otra cosa que aprovechar ciertos principios rectores de las contratación general </w:t>
      </w:r>
      <w:proofErr w:type="gramStart"/>
      <w:r w:rsidRPr="002C1CBF">
        <w:rPr>
          <w:rFonts w:ascii="Arial" w:hAnsi="Arial" w:cs="Arial"/>
          <w:sz w:val="21"/>
          <w:szCs w:val="21"/>
        </w:rPr>
        <w:t>que</w:t>
      </w:r>
      <w:proofErr w:type="gramEnd"/>
      <w:r w:rsidRPr="002C1CBF">
        <w:rPr>
          <w:rFonts w:ascii="Arial" w:hAnsi="Arial" w:cs="Arial"/>
          <w:sz w:val="21"/>
          <w:szCs w:val="21"/>
        </w:rPr>
        <w:t xml:space="preserve"> aunque tengan su consagración en códigos de derecho privado como el civil y comercial, no son propios y exclusivos de este derecho. Baste pensar en </w:t>
      </w:r>
      <w:bookmarkStart w:name="_Hlk61282770" w:id="57"/>
      <w:r w:rsidRPr="002C1CBF">
        <w:rPr>
          <w:rFonts w:ascii="Arial" w:hAnsi="Arial" w:cs="Arial"/>
          <w:sz w:val="21"/>
          <w:szCs w:val="21"/>
        </w:rPr>
        <w:t>los requisitos de consentimiento válido, objeto y causa lícitos, capacidad, elementos esenciales según la naturaleza de cada contrato, responsabilidad, naturaleza de las obligaciones emanadas de los mismos, etc</w:t>
      </w:r>
      <w:bookmarkEnd w:id="57"/>
      <w:r w:rsidRPr="002C1CBF">
        <w:rPr>
          <w:rFonts w:ascii="Arial" w:hAnsi="Arial" w:cs="Arial"/>
          <w:sz w:val="21"/>
          <w:szCs w:val="21"/>
        </w:rPr>
        <w:t>. Extremos éstos que de derecho privado no tienen sino […] el nombre y que la tradición, desde su origen romano se acostumbró a calificarlos así y a no preocuparse por su cuestionamiento. En otras palabras, extremos como los indicados […] son […] de derecho propio, aplicables a toda relación contractual, con prescindencia de los sujetos involucrados en la misma</w:t>
      </w:r>
      <w:r w:rsidRPr="002C1CBF">
        <w:rPr>
          <w:rStyle w:val="Refdenotaalpie"/>
          <w:rFonts w:ascii="Arial" w:hAnsi="Arial" w:cs="Arial"/>
          <w:sz w:val="21"/>
          <w:szCs w:val="21"/>
        </w:rPr>
        <w:footnoteReference w:id="45"/>
      </w:r>
      <w:r w:rsidRPr="002C1CBF">
        <w:rPr>
          <w:rFonts w:ascii="Arial" w:hAnsi="Arial" w:cs="Arial"/>
          <w:sz w:val="21"/>
          <w:szCs w:val="21"/>
        </w:rPr>
        <w:t xml:space="preserve">. </w:t>
      </w:r>
    </w:p>
    <w:p w:rsidRPr="002C1CBF" w:rsidR="00C13B13" w:rsidP="00C13B13" w:rsidRDefault="00C13B13" w14:paraId="3CF6EFCB" w14:textId="77777777">
      <w:pPr>
        <w:spacing w:line="276" w:lineRule="auto"/>
        <w:ind w:left="709" w:right="709"/>
        <w:jc w:val="both"/>
        <w:rPr>
          <w:rFonts w:ascii="Arial" w:hAnsi="Arial" w:cs="Arial"/>
          <w:sz w:val="22"/>
        </w:rPr>
      </w:pPr>
      <w:r w:rsidRPr="002C1CBF">
        <w:rPr>
          <w:rFonts w:ascii="Arial" w:hAnsi="Arial" w:cs="Arial"/>
          <w:sz w:val="22"/>
        </w:rPr>
        <w:t xml:space="preserve"> </w:t>
      </w:r>
    </w:p>
    <w:p w:rsidRPr="002C1CBF" w:rsidR="00C13B13" w:rsidP="00C13B13" w:rsidRDefault="00C13B13" w14:paraId="685A0600" w14:textId="77777777">
      <w:pPr>
        <w:spacing w:after="120" w:line="276" w:lineRule="auto"/>
        <w:jc w:val="both"/>
        <w:rPr>
          <w:rFonts w:ascii="Arial" w:hAnsi="Arial" w:cs="Arial"/>
          <w:sz w:val="22"/>
        </w:rPr>
      </w:pPr>
      <w:r w:rsidRPr="002C1CBF">
        <w:rPr>
          <w:rFonts w:ascii="Arial" w:hAnsi="Arial" w:cs="Arial"/>
          <w:sz w:val="22"/>
        </w:rPr>
        <w:tab/>
      </w:r>
      <w:r w:rsidRPr="002C1CBF">
        <w:rPr>
          <w:rFonts w:ascii="Arial" w:hAnsi="Arial" w:cs="Arial"/>
          <w:sz w:val="22"/>
        </w:rPr>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normas civiles y comerciales.</w:t>
      </w:r>
    </w:p>
    <w:p w:rsidRPr="002C1CBF" w:rsidR="00C13B13" w:rsidP="00C13B13" w:rsidRDefault="00C13B13" w14:paraId="60A5243C" w14:textId="77777777">
      <w:pPr>
        <w:spacing w:after="120" w:line="276" w:lineRule="auto"/>
        <w:jc w:val="both"/>
        <w:rPr>
          <w:rFonts w:ascii="Arial" w:hAnsi="Arial" w:cs="Arial"/>
          <w:sz w:val="22"/>
        </w:rPr>
      </w:pPr>
      <w:r w:rsidRPr="002C1CBF">
        <w:rPr>
          <w:rFonts w:ascii="Arial" w:hAnsi="Arial" w:cs="Arial"/>
          <w:sz w:val="22"/>
        </w:rPr>
        <w:tab/>
      </w:r>
      <w:r w:rsidRPr="002C1CBF">
        <w:rPr>
          <w:rFonts w:ascii="Arial" w:hAnsi="Arial" w:cs="Arial"/>
          <w:sz w:val="22"/>
        </w:rPr>
        <w:t xml:space="preserve">En lo que respecta a los contratos exceptuados de la Ley 80 de 1993, si bien el régimen sustantivo no se rige por los citados artículos 13, 32 y 40 del Estatuto de Contratación, es necesario aplicar las normas generales de las obligaciones y de los contratos dispuestas en el Código Civil y de Comercio. Esto en la medida que, como se explicó, el derecho privado es aplicable a todo contrato con independencia de los sujetos, especialmente, en lo relacionado con los requisitos de consentimiento válido, objeto y causa lícitos, capacidad, elementos esenciales según la naturaleza de cada contrato, responsabilidad, naturaleza de las obligaciones emanadas de los mismos, etc., pues contiene las reglas comunes de la materia. </w:t>
      </w:r>
    </w:p>
    <w:p w:rsidRPr="002C1CBF" w:rsidR="00C13B13" w:rsidP="00C13B13" w:rsidRDefault="00C13B13" w14:paraId="3A6C03C3" w14:textId="77777777">
      <w:pPr>
        <w:spacing w:after="120" w:line="276" w:lineRule="auto"/>
        <w:jc w:val="both"/>
        <w:rPr>
          <w:rFonts w:ascii="Arial" w:hAnsi="Arial" w:cs="Arial"/>
          <w:sz w:val="22"/>
        </w:rPr>
      </w:pPr>
      <w:r w:rsidRPr="002C1CBF">
        <w:rPr>
          <w:rFonts w:ascii="Arial" w:hAnsi="Arial" w:cs="Arial"/>
          <w:sz w:val="22"/>
        </w:rPr>
        <w:tab/>
      </w:r>
      <w:r w:rsidRPr="002C1CBF">
        <w:rPr>
          <w:rFonts w:ascii="Arial" w:hAnsi="Arial" w:cs="Arial"/>
          <w:sz w:val="22"/>
        </w:rPr>
        <w:t xml:space="preserve">En consecuencia, cuando no superen los veinte (20) salarios mínimos legales mensuales vigentes, el régimen sustantivo de los contratos celebrados con recursos del fondo de servicios educativos también se rige por el derecho privado. Dado que el artículo 13 de la Ley 715 de 2001, en concordancia con el artículo 2.3.1.6.3.17. del Decreto 1075 </w:t>
      </w:r>
      <w:r w:rsidRPr="002C1CBF">
        <w:rPr>
          <w:rFonts w:ascii="Arial" w:hAnsi="Arial" w:cs="Arial"/>
          <w:sz w:val="22"/>
        </w:rPr>
        <w:t xml:space="preserve">de 2015, permite que el consejo directivo regule «[…] los trámites, garantías y constancias que deben cumplirse para que el rector o director celebre cualquier acto o contrato que cree, extinga o modifique obligaciones que deban registrarse en el Fondo […], el reglamento que defina los procedimientos aplicables complementa las normas civiles y comerciales, sin que este acto administrativo pueda modificar o derogar estas últimas por tratarse de aspectos regulados en la ley. </w:t>
      </w:r>
    </w:p>
    <w:p w:rsidRPr="002C1CBF" w:rsidR="00C13B13" w:rsidP="00C13B13" w:rsidRDefault="00C13B13" w14:paraId="5CD9343E" w14:textId="77777777">
      <w:pPr>
        <w:spacing w:after="120" w:line="276" w:lineRule="auto"/>
        <w:ind w:firstLine="708"/>
        <w:jc w:val="both"/>
        <w:rPr>
          <w:rFonts w:ascii="Arial" w:hAnsi="Arial" w:cs="Arial"/>
          <w:sz w:val="22"/>
        </w:rPr>
      </w:pPr>
      <w:r w:rsidRPr="002C1CBF">
        <w:rPr>
          <w:rFonts w:ascii="Arial" w:hAnsi="Arial" w:cs="Arial"/>
          <w:sz w:val="22"/>
        </w:rPr>
        <w:t>Naturalmente, los contratos mencionados en el párrafo precedente no se rigen exclusivamente por las normas civiles y comerciales, pues además del reglamento del consejo directivo, el artículo 13 de la Ley 1150 de 2007 dispone que la contratación exceptuada del Estatuto General también se rige por los principios de la función administrativa, los principios de la gestión fiscal y el régimen de inhabilidades e incompatibilidades previsto para la contratación estatal</w:t>
      </w:r>
      <w:r w:rsidRPr="002C1CBF">
        <w:rPr>
          <w:rStyle w:val="Refdenotaalpie"/>
          <w:rFonts w:ascii="Arial" w:hAnsi="Arial" w:cs="Arial"/>
          <w:sz w:val="22"/>
        </w:rPr>
        <w:footnoteReference w:id="46"/>
      </w:r>
      <w:r w:rsidRPr="002C1CBF">
        <w:rPr>
          <w:rFonts w:ascii="Arial" w:hAnsi="Arial" w:cs="Arial"/>
          <w:sz w:val="22"/>
        </w:rPr>
        <w:t>.</w:t>
      </w:r>
    </w:p>
    <w:p w:rsidR="00DC4715" w:rsidP="004B28C4" w:rsidRDefault="00821431" w14:paraId="012FD882" w14:textId="40BBC76F">
      <w:pPr>
        <w:spacing w:after="160" w:line="276" w:lineRule="auto"/>
        <w:ind w:firstLine="709"/>
        <w:jc w:val="both"/>
        <w:rPr>
          <w:rFonts w:ascii="Arial" w:hAnsi="Arial" w:cs="Arial"/>
          <w:bCs/>
          <w:color w:val="000000"/>
          <w:sz w:val="22"/>
          <w:lang w:eastAsia="es-CO"/>
        </w:rPr>
      </w:pPr>
      <w:r w:rsidRPr="002C1CBF">
        <w:rPr>
          <w:rFonts w:ascii="Arial" w:hAnsi="Arial" w:eastAsia="Calibri" w:cs="Arial"/>
          <w:color w:val="000000" w:themeColor="text1"/>
          <w:sz w:val="22"/>
        </w:rPr>
        <w:t>En este contexto</w:t>
      </w:r>
      <w:r w:rsidRPr="002C1CBF" w:rsidR="00EA59D5">
        <w:rPr>
          <w:rFonts w:ascii="Arial" w:hAnsi="Arial" w:eastAsia="Calibri" w:cs="Arial"/>
          <w:color w:val="000000" w:themeColor="text1"/>
          <w:sz w:val="22"/>
        </w:rPr>
        <w:t xml:space="preserve">, para la restricción del artículo 33 de la </w:t>
      </w:r>
      <w:r w:rsidRPr="002C1CBF" w:rsidR="00EA59D5">
        <w:rPr>
          <w:rFonts w:ascii="Arial" w:hAnsi="Arial" w:cs="Arial"/>
          <w:bCs/>
          <w:color w:val="000000"/>
          <w:sz w:val="22"/>
          <w:lang w:eastAsia="es-CO"/>
        </w:rPr>
        <w:t xml:space="preserve">Ley 996 de 2005 es necesario considerar que </w:t>
      </w:r>
      <w:r w:rsidRPr="002C1CBF" w:rsidR="00EA59D5">
        <w:rPr>
          <w:rFonts w:ascii="Arial" w:hAnsi="Arial" w:eastAsia="Calibri" w:cs="Arial"/>
          <w:sz w:val="22"/>
          <w:lang w:val="es-ES"/>
        </w:rPr>
        <w:t xml:space="preserve">el artículo </w:t>
      </w:r>
      <w:r w:rsidRPr="002C1CBF" w:rsidR="001B4CCC">
        <w:rPr>
          <w:rFonts w:ascii="Arial" w:hAnsi="Arial" w:cs="Arial"/>
          <w:sz w:val="22"/>
        </w:rPr>
        <w:t>13 de la Ley 715 de 2001</w:t>
      </w:r>
      <w:r w:rsidRPr="002C1CBF" w:rsidR="00EA59D5">
        <w:rPr>
          <w:rFonts w:ascii="Arial" w:hAnsi="Arial" w:cs="Arial"/>
          <w:bCs/>
          <w:color w:val="000000"/>
          <w:sz w:val="22"/>
          <w:lang w:eastAsia="es-CO"/>
        </w:rPr>
        <w:t xml:space="preserve"> consagra un régimen jurídico que exceptúa la aplicación del Estatuto General de Contratación de la Administración Pública</w:t>
      </w:r>
      <w:r w:rsidRPr="002C1CBF" w:rsidR="00353EAD">
        <w:rPr>
          <w:rFonts w:ascii="Arial" w:hAnsi="Arial" w:cs="Arial"/>
          <w:bCs/>
          <w:color w:val="000000"/>
          <w:sz w:val="22"/>
          <w:lang w:eastAsia="es-CO"/>
        </w:rPr>
        <w:t xml:space="preserve"> en los contratos de los fondos de servicios educativos inferiores a veinte (20) </w:t>
      </w:r>
      <w:proofErr w:type="spellStart"/>
      <w:r w:rsidRPr="002C1CBF" w:rsidR="00353EAD">
        <w:rPr>
          <w:rFonts w:ascii="Arial" w:hAnsi="Arial" w:cs="Arial"/>
          <w:bCs/>
          <w:color w:val="000000"/>
          <w:sz w:val="22"/>
          <w:lang w:eastAsia="es-CO"/>
        </w:rPr>
        <w:t>smlmv</w:t>
      </w:r>
      <w:proofErr w:type="spellEnd"/>
      <w:r w:rsidR="00DC4715">
        <w:rPr>
          <w:rFonts w:ascii="Arial" w:hAnsi="Arial" w:cs="Arial"/>
          <w:bCs/>
          <w:color w:val="000000"/>
          <w:sz w:val="22"/>
          <w:lang w:eastAsia="es-CO"/>
        </w:rPr>
        <w:t xml:space="preserve"> con el objetivo de flexibilizar el régimen contractual aplicable. Pese a lo anterior</w:t>
      </w:r>
      <w:r w:rsidRPr="002C1CBF" w:rsidR="00EA59D5">
        <w:rPr>
          <w:rFonts w:ascii="Arial" w:hAnsi="Arial" w:cs="Arial"/>
          <w:bCs/>
          <w:color w:val="000000"/>
          <w:sz w:val="22"/>
          <w:lang w:eastAsia="es-CO"/>
        </w:rPr>
        <w:t>, la prohibición de contratación directa de</w:t>
      </w:r>
      <w:r w:rsidRPr="002C1CBF" w:rsidR="0008606A">
        <w:rPr>
          <w:rFonts w:ascii="Arial" w:hAnsi="Arial" w:cs="Arial"/>
          <w:bCs/>
          <w:color w:val="000000"/>
          <w:sz w:val="22"/>
          <w:lang w:eastAsia="es-CO"/>
        </w:rPr>
        <w:t xml:space="preserve"> </w:t>
      </w:r>
      <w:r w:rsidRPr="002C1CBF" w:rsidR="00EA59D5">
        <w:rPr>
          <w:rFonts w:ascii="Arial" w:hAnsi="Arial" w:cs="Arial"/>
          <w:bCs/>
          <w:color w:val="000000"/>
          <w:sz w:val="22"/>
          <w:lang w:eastAsia="es-CO"/>
        </w:rPr>
        <w:t>la Ley de Garantías es independiente del régimen contractual</w:t>
      </w:r>
      <w:r w:rsidR="004B28C4">
        <w:rPr>
          <w:rFonts w:ascii="Arial" w:hAnsi="Arial" w:cs="Arial"/>
          <w:bCs/>
          <w:color w:val="000000"/>
          <w:sz w:val="22"/>
          <w:lang w:eastAsia="es-CO"/>
        </w:rPr>
        <w:t>, por lo que se extiende a los contratos celebrados con cargo a los fondos de servicios educativos</w:t>
      </w:r>
      <w:r w:rsidRPr="002C1CBF" w:rsidR="00EA59D5">
        <w:rPr>
          <w:rFonts w:ascii="Arial" w:hAnsi="Arial" w:cs="Arial"/>
          <w:bCs/>
          <w:color w:val="000000"/>
          <w:sz w:val="22"/>
          <w:lang w:eastAsia="es-CO"/>
        </w:rPr>
        <w:t>.</w:t>
      </w:r>
    </w:p>
    <w:p w:rsidRPr="00DC4715" w:rsidR="00EA59D5" w:rsidP="004B28C4" w:rsidRDefault="00EA59D5" w14:paraId="152BF2CC" w14:textId="123B1F63">
      <w:pPr>
        <w:spacing w:after="160" w:line="276" w:lineRule="auto"/>
        <w:ind w:firstLine="709"/>
        <w:jc w:val="both"/>
        <w:rPr>
          <w:rFonts w:ascii="Arial" w:hAnsi="Arial" w:cs="Arial"/>
          <w:bCs/>
          <w:color w:val="000000"/>
          <w:sz w:val="21"/>
          <w:szCs w:val="21"/>
          <w:lang w:eastAsia="es-CO"/>
        </w:rPr>
      </w:pPr>
      <w:r w:rsidRPr="002C1CBF">
        <w:rPr>
          <w:rFonts w:ascii="Arial" w:hAnsi="Arial" w:cs="Arial"/>
          <w:bCs/>
          <w:color w:val="000000"/>
          <w:sz w:val="22"/>
          <w:lang w:eastAsia="es-CO"/>
        </w:rPr>
        <w:t xml:space="preserve">Así la Sala de Consulta y Servicio Civil del Consejo de Estado explica que «La prohibición contenida en el artículo 33, desde el punto de vista objetivo o material, comprende la contratación directa, entendida como cualquier mecanismo de escogencia del contratista en el que se prescinde de la licitación o concurso, </w:t>
      </w:r>
      <w:r w:rsidRPr="002C1CBF">
        <w:rPr>
          <w:rFonts w:ascii="Arial" w:hAnsi="Arial" w:cs="Arial"/>
          <w:bCs/>
          <w:i/>
          <w:iCs/>
          <w:color w:val="000000"/>
          <w:sz w:val="22"/>
          <w:lang w:eastAsia="es-CO"/>
        </w:rPr>
        <w:t>sin que se tenga en cuenta por el legislador estatutario el régimen de contratación aplicable, ya sea contenido en el Estatuto General de Contratación de la Administración Pública o uno especial en razón del objeto, del contrato o del órgano que contrata</w:t>
      </w:r>
      <w:r w:rsidRPr="002C1CBF">
        <w:rPr>
          <w:rFonts w:ascii="Arial" w:hAnsi="Arial" w:cs="Arial"/>
          <w:bCs/>
          <w:color w:val="000000"/>
          <w:sz w:val="22"/>
          <w:lang w:eastAsia="es-CO"/>
        </w:rPr>
        <w:t>»</w:t>
      </w:r>
      <w:r w:rsidRPr="002C1CBF">
        <w:rPr>
          <w:rStyle w:val="Refdenotaalpie"/>
          <w:rFonts w:ascii="Arial" w:hAnsi="Arial" w:cs="Arial"/>
          <w:bCs/>
          <w:color w:val="000000"/>
          <w:sz w:val="22"/>
          <w:lang w:eastAsia="es-CO"/>
        </w:rPr>
        <w:footnoteReference w:id="47"/>
      </w:r>
      <w:r w:rsidRPr="002C1CBF">
        <w:rPr>
          <w:rFonts w:ascii="Arial" w:hAnsi="Arial" w:cs="Arial"/>
          <w:bCs/>
          <w:color w:val="000000"/>
          <w:sz w:val="22"/>
          <w:lang w:eastAsia="es-CO"/>
        </w:rPr>
        <w:t xml:space="preserve"> (Énfasis fuera de texto). Por tanto, durante la vigencia de la prohibición del artículo 33 de la Ley 996 de 2005 está restringida cualquier modalidad de selección que excluya la pluralidad de oferentes en el régimen especial de contratación </w:t>
      </w:r>
      <w:r w:rsidRPr="002C1CBF" w:rsidR="001E332A">
        <w:rPr>
          <w:rFonts w:ascii="Arial" w:hAnsi="Arial" w:cs="Arial"/>
          <w:bCs/>
          <w:color w:val="000000"/>
          <w:sz w:val="22"/>
          <w:lang w:eastAsia="es-CO"/>
        </w:rPr>
        <w:t xml:space="preserve">realizado con recursos </w:t>
      </w:r>
      <w:r w:rsidRPr="002C1CBF" w:rsidR="0008606A">
        <w:rPr>
          <w:rFonts w:ascii="Arial" w:hAnsi="Arial" w:cs="Arial"/>
          <w:bCs/>
          <w:color w:val="000000"/>
          <w:sz w:val="22"/>
          <w:lang w:eastAsia="es-CO"/>
        </w:rPr>
        <w:t xml:space="preserve">de los fondos de servicios educativos por valor inferior a inferiores a veinte (20) </w:t>
      </w:r>
      <w:proofErr w:type="spellStart"/>
      <w:r w:rsidRPr="002C1CBF" w:rsidR="0008606A">
        <w:rPr>
          <w:rFonts w:ascii="Arial" w:hAnsi="Arial" w:cs="Arial"/>
          <w:bCs/>
          <w:color w:val="000000"/>
          <w:sz w:val="22"/>
          <w:lang w:eastAsia="es-CO"/>
        </w:rPr>
        <w:t>smlmv</w:t>
      </w:r>
      <w:proofErr w:type="spellEnd"/>
      <w:r w:rsidRPr="002C1CBF">
        <w:rPr>
          <w:rFonts w:ascii="Arial" w:hAnsi="Arial" w:cs="Arial"/>
          <w:bCs/>
          <w:color w:val="000000"/>
          <w:sz w:val="22"/>
          <w:lang w:eastAsia="es-CO"/>
        </w:rPr>
        <w:t xml:space="preserve">. </w:t>
      </w:r>
    </w:p>
    <w:p w:rsidR="00427B0F" w:rsidP="002F0981" w:rsidRDefault="00EA59D5" w14:paraId="38B4DBE2" w14:textId="4DDFAD76">
      <w:pPr>
        <w:spacing w:line="276" w:lineRule="auto"/>
        <w:ind w:firstLine="708"/>
        <w:jc w:val="both"/>
        <w:rPr>
          <w:rFonts w:ascii="Arial" w:hAnsi="Arial" w:cs="Arial"/>
          <w:sz w:val="22"/>
        </w:rPr>
      </w:pPr>
      <w:r w:rsidRPr="002C1CBF">
        <w:rPr>
          <w:rFonts w:ascii="Arial" w:hAnsi="Arial" w:cs="Arial"/>
          <w:bCs/>
          <w:color w:val="000000"/>
          <w:sz w:val="22"/>
          <w:lang w:eastAsia="es-CO"/>
        </w:rPr>
        <w:t xml:space="preserve">Por otra parte, respecto a </w:t>
      </w:r>
      <w:r w:rsidRPr="002C1CBF">
        <w:rPr>
          <w:rFonts w:ascii="Arial" w:hAnsi="Arial" w:eastAsia="Calibri" w:cs="Arial"/>
          <w:color w:val="000000" w:themeColor="text1"/>
          <w:sz w:val="22"/>
        </w:rPr>
        <w:t xml:space="preserve">la restricción del artículo 38 de la </w:t>
      </w:r>
      <w:r w:rsidRPr="002C1CBF">
        <w:rPr>
          <w:rFonts w:ascii="Arial" w:hAnsi="Arial" w:cs="Arial"/>
          <w:bCs/>
          <w:color w:val="000000"/>
          <w:sz w:val="22"/>
          <w:lang w:eastAsia="es-CO"/>
        </w:rPr>
        <w:t>Ley de Garantías</w:t>
      </w:r>
      <w:r w:rsidR="00F9740D">
        <w:rPr>
          <w:rFonts w:ascii="Arial" w:hAnsi="Arial" w:cs="Arial"/>
          <w:bCs/>
          <w:color w:val="000000"/>
          <w:sz w:val="22"/>
          <w:lang w:eastAsia="es-CO"/>
        </w:rPr>
        <w:t xml:space="preserve"> </w:t>
      </w:r>
      <w:r w:rsidR="00FF671F">
        <w:rPr>
          <w:rFonts w:ascii="Arial" w:hAnsi="Arial" w:cs="Arial"/>
          <w:bCs/>
          <w:color w:val="000000"/>
          <w:sz w:val="22"/>
          <w:lang w:eastAsia="es-CO"/>
        </w:rPr>
        <w:t xml:space="preserve">               </w:t>
      </w:r>
      <w:r w:rsidR="00967EE9">
        <w:rPr>
          <w:rFonts w:ascii="Arial" w:hAnsi="Arial" w:cs="Arial"/>
          <w:bCs/>
          <w:color w:val="000000"/>
          <w:sz w:val="22"/>
          <w:lang w:eastAsia="es-CO"/>
        </w:rPr>
        <w:t>–</w:t>
      </w:r>
      <w:r w:rsidR="00F9740D">
        <w:rPr>
          <w:rFonts w:ascii="Arial" w:hAnsi="Arial" w:cs="Arial"/>
          <w:bCs/>
          <w:color w:val="000000"/>
          <w:sz w:val="22"/>
          <w:lang w:eastAsia="es-CO"/>
        </w:rPr>
        <w:t>modificado transitor</w:t>
      </w:r>
      <w:r w:rsidR="00A14E0E">
        <w:rPr>
          <w:rFonts w:ascii="Arial" w:hAnsi="Arial" w:cs="Arial"/>
          <w:bCs/>
          <w:color w:val="000000"/>
          <w:sz w:val="22"/>
          <w:lang w:eastAsia="es-CO"/>
        </w:rPr>
        <w:t>iamente por el artículo 124 de la Ley 2159 de 2021</w:t>
      </w:r>
      <w:r w:rsidR="00967EE9">
        <w:rPr>
          <w:rFonts w:ascii="Arial" w:hAnsi="Arial" w:cs="Arial"/>
          <w:bCs/>
          <w:color w:val="000000"/>
          <w:sz w:val="22"/>
          <w:lang w:eastAsia="es-CO"/>
        </w:rPr>
        <w:t>–</w:t>
      </w:r>
      <w:r w:rsidRPr="002C1CBF">
        <w:rPr>
          <w:rFonts w:ascii="Arial" w:hAnsi="Arial" w:cs="Arial"/>
          <w:bCs/>
          <w:color w:val="000000"/>
          <w:sz w:val="22"/>
          <w:lang w:eastAsia="es-CO"/>
        </w:rPr>
        <w:t xml:space="preserve"> se considera que los contratos </w:t>
      </w:r>
      <w:r w:rsidRPr="002C1CBF" w:rsidR="008569AB">
        <w:rPr>
          <w:rFonts w:ascii="Arial" w:hAnsi="Arial" w:cs="Arial"/>
          <w:bCs/>
          <w:color w:val="000000"/>
          <w:sz w:val="22"/>
          <w:lang w:eastAsia="es-CO"/>
        </w:rPr>
        <w:t>celebrados con los admini</w:t>
      </w:r>
      <w:r w:rsidRPr="002C1CBF" w:rsidR="00F6578F">
        <w:rPr>
          <w:rFonts w:ascii="Arial" w:hAnsi="Arial" w:cs="Arial"/>
          <w:bCs/>
          <w:color w:val="000000"/>
          <w:sz w:val="22"/>
          <w:lang w:eastAsia="es-CO"/>
        </w:rPr>
        <w:t>stradores del fondo y otras entidades públicas son contratos interadministrativos</w:t>
      </w:r>
      <w:r w:rsidRPr="002C1CBF">
        <w:rPr>
          <w:rFonts w:ascii="Arial" w:hAnsi="Arial" w:cs="Arial"/>
          <w:bCs/>
          <w:color w:val="000000"/>
          <w:sz w:val="22"/>
          <w:lang w:eastAsia="es-CO"/>
        </w:rPr>
        <w:t xml:space="preserve">. </w:t>
      </w:r>
      <w:r w:rsidRPr="002C1CBF" w:rsidR="00BC223D">
        <w:rPr>
          <w:rFonts w:ascii="Arial" w:hAnsi="Arial" w:cs="Arial"/>
          <w:bCs/>
          <w:color w:val="000000"/>
          <w:sz w:val="22"/>
          <w:lang w:eastAsia="es-CO"/>
        </w:rPr>
        <w:t>E</w:t>
      </w:r>
      <w:r w:rsidRPr="002C1CBF" w:rsidR="00E46076">
        <w:rPr>
          <w:rFonts w:ascii="Arial" w:hAnsi="Arial" w:cs="Arial"/>
          <w:bCs/>
          <w:color w:val="000000"/>
          <w:sz w:val="22"/>
          <w:lang w:eastAsia="es-CO"/>
        </w:rPr>
        <w:t>n efecto, e</w:t>
      </w:r>
      <w:r w:rsidRPr="002C1CBF">
        <w:rPr>
          <w:rFonts w:ascii="Arial" w:hAnsi="Arial" w:cs="Arial"/>
          <w:bCs/>
          <w:color w:val="000000"/>
          <w:sz w:val="22"/>
          <w:lang w:eastAsia="es-CO"/>
        </w:rPr>
        <w:t>l citado artículo 2.2.1.2.1.4.4 d</w:t>
      </w:r>
      <w:r w:rsidRPr="002C1CBF">
        <w:rPr>
          <w:rFonts w:ascii="Arial" w:hAnsi="Arial" w:eastAsia="Calibri" w:cs="Arial"/>
          <w:color w:val="000000" w:themeColor="text1"/>
          <w:sz w:val="22"/>
          <w:lang w:val="es-ES_tradnl"/>
        </w:rPr>
        <w:t>el Decreto 1082 de 2015 califica a los convenios o contratos interadministrativos como aquella contratación entre entidades estatales. E</w:t>
      </w:r>
      <w:r w:rsidRPr="002C1CBF" w:rsidR="00E46076">
        <w:rPr>
          <w:rFonts w:ascii="Arial" w:hAnsi="Arial" w:eastAsia="Calibri" w:cs="Arial"/>
          <w:color w:val="000000" w:themeColor="text1"/>
          <w:sz w:val="22"/>
          <w:lang w:val="es-ES_tradnl"/>
        </w:rPr>
        <w:t>l</w:t>
      </w:r>
      <w:r w:rsidRPr="002C1CBF">
        <w:rPr>
          <w:rFonts w:ascii="Arial" w:hAnsi="Arial" w:eastAsia="Calibri" w:cs="Arial"/>
          <w:color w:val="000000" w:themeColor="text1"/>
          <w:sz w:val="22"/>
          <w:lang w:val="es-ES_tradnl"/>
        </w:rPr>
        <w:t xml:space="preserve"> concepto está definido en el artículo 2.2.1.1.1.3.1 </w:t>
      </w:r>
      <w:r w:rsidRPr="002C1CBF">
        <w:rPr>
          <w:rFonts w:ascii="Arial" w:hAnsi="Arial" w:eastAsia="Calibri" w:cs="Arial"/>
          <w:i/>
          <w:iCs/>
          <w:color w:val="000000" w:themeColor="text1"/>
          <w:sz w:val="22"/>
          <w:lang w:val="es-ES_tradnl"/>
        </w:rPr>
        <w:t>ibidem</w:t>
      </w:r>
      <w:r w:rsidRPr="002C1CBF">
        <w:rPr>
          <w:rFonts w:ascii="Arial" w:hAnsi="Arial" w:eastAsia="Calibri" w:cs="Arial"/>
          <w:color w:val="000000" w:themeColor="text1"/>
          <w:sz w:val="22"/>
          <w:lang w:val="es-ES_tradnl"/>
        </w:rPr>
        <w:t xml:space="preserve"> como «Cada una de las entidades: (a) a las que se refiere el artículo 2 de la Ley 80 de 1993; (b) a las que se refieren los artículos 10, 14 y 24 de la Ley 1150 de 2007 y (c) aquellas entidades que por disposición de la ley deban aplicar la Ley 80 de 1993​ y la Ley 1150 de 2007, o las normas que las modifiquen, aclaren, adicionen o sustituyan».</w:t>
      </w:r>
      <w:r w:rsidRPr="002C1CBF" w:rsidR="00D15DA3">
        <w:rPr>
          <w:rFonts w:ascii="Arial" w:hAnsi="Arial" w:eastAsia="Calibri" w:cs="Arial"/>
          <w:color w:val="000000" w:themeColor="text1"/>
          <w:sz w:val="22"/>
          <w:lang w:val="es-ES_tradnl"/>
        </w:rPr>
        <w:t xml:space="preserve"> </w:t>
      </w:r>
      <w:r w:rsidRPr="002C1CBF" w:rsidR="007D3894">
        <w:rPr>
          <w:rFonts w:ascii="Arial" w:hAnsi="Arial" w:eastAsia="Calibri" w:cs="Arial"/>
          <w:color w:val="000000" w:themeColor="text1"/>
          <w:sz w:val="22"/>
          <w:lang w:val="es-ES_tradnl"/>
        </w:rPr>
        <w:t xml:space="preserve"> A</w:t>
      </w:r>
      <w:r w:rsidRPr="002C1CBF" w:rsidR="009E643E">
        <w:rPr>
          <w:rFonts w:ascii="Arial" w:hAnsi="Arial" w:eastAsia="Calibri" w:cs="Arial"/>
          <w:color w:val="000000" w:themeColor="text1"/>
          <w:sz w:val="22"/>
          <w:lang w:val="es-ES_tradnl"/>
        </w:rPr>
        <w:t>unque</w:t>
      </w:r>
      <w:r w:rsidRPr="002C1CBF" w:rsidR="003B4052">
        <w:rPr>
          <w:rFonts w:ascii="Arial" w:hAnsi="Arial" w:eastAsia="Calibri" w:cs="Arial"/>
          <w:color w:val="000000" w:themeColor="text1"/>
          <w:sz w:val="22"/>
          <w:lang w:val="es-ES_tradnl"/>
        </w:rPr>
        <w:t xml:space="preserve"> </w:t>
      </w:r>
      <w:r w:rsidRPr="002C1CBF" w:rsidR="003B4052">
        <w:rPr>
          <w:rFonts w:ascii="Arial" w:hAnsi="Arial" w:cs="Arial"/>
          <w:sz w:val="22"/>
        </w:rPr>
        <w:t>las instituciones educativas carecen de personería jurídica, tienen capacidad para contratar y se concreta en la competencia que le otorgó el legislador en la Ley 715 de 2001 para administrar los fondos de servicios educativos</w:t>
      </w:r>
      <w:r w:rsidRPr="002C1CBF" w:rsidR="00BC76D2">
        <w:rPr>
          <w:rFonts w:ascii="Arial" w:hAnsi="Arial" w:cs="Arial"/>
          <w:sz w:val="22"/>
        </w:rPr>
        <w:t xml:space="preserve">. </w:t>
      </w:r>
      <w:r w:rsidRPr="002C1CBF" w:rsidR="00145A68">
        <w:rPr>
          <w:rFonts w:ascii="Arial" w:hAnsi="Arial" w:cs="Arial"/>
          <w:sz w:val="22"/>
        </w:rPr>
        <w:t>Así</w:t>
      </w:r>
      <w:r w:rsidRPr="002C1CBF" w:rsidR="00BC76D2">
        <w:rPr>
          <w:rFonts w:ascii="Arial" w:hAnsi="Arial" w:cs="Arial"/>
          <w:sz w:val="22"/>
        </w:rPr>
        <w:t>, conforme al literal b) del artículo 2.1</w:t>
      </w:r>
      <w:r w:rsidRPr="002C1CBF" w:rsidR="00BD5340">
        <w:rPr>
          <w:rFonts w:ascii="Arial" w:hAnsi="Arial" w:cs="Arial"/>
          <w:sz w:val="22"/>
        </w:rPr>
        <w:t xml:space="preserve"> de la Ley 80 de 1993, también se considera entidad estatal </w:t>
      </w:r>
      <w:r w:rsidRPr="002C1CBF" w:rsidR="00172A12">
        <w:rPr>
          <w:rFonts w:ascii="Arial" w:hAnsi="Arial" w:cs="Arial"/>
          <w:sz w:val="22"/>
        </w:rPr>
        <w:t>todos aquellos «[…] organismos o dependencias del Estado a los que la ley otorgue capacidad para celebrar contratos».</w:t>
      </w:r>
    </w:p>
    <w:p w:rsidR="00AA07F0" w:rsidP="00AA07F0" w:rsidRDefault="00AA07F0" w14:paraId="77573B5F" w14:textId="52F25680">
      <w:pPr>
        <w:spacing w:line="276" w:lineRule="auto"/>
        <w:jc w:val="both"/>
        <w:rPr>
          <w:rFonts w:ascii="Arial" w:hAnsi="Arial" w:cs="Arial"/>
          <w:sz w:val="22"/>
        </w:rPr>
      </w:pPr>
    </w:p>
    <w:p w:rsidRPr="00AA07F0" w:rsidR="00AA07F0" w:rsidP="00AA07F0" w:rsidRDefault="00AA07F0" w14:paraId="08464F9D" w14:textId="18D8422E">
      <w:pPr>
        <w:tabs>
          <w:tab w:val="left" w:pos="426"/>
        </w:tabs>
        <w:spacing w:line="276" w:lineRule="auto"/>
        <w:jc w:val="both"/>
        <w:rPr>
          <w:rFonts w:ascii="Arial" w:hAnsi="Arial" w:eastAsia="Calibri" w:cs="Arial"/>
          <w:b/>
          <w:sz w:val="22"/>
          <w:szCs w:val="22"/>
          <w:lang w:val="es-MX" w:eastAsia="en-US"/>
        </w:rPr>
      </w:pPr>
      <w:r>
        <w:rPr>
          <w:rFonts w:ascii="Arial" w:hAnsi="Arial" w:eastAsia="Calibri" w:cs="Arial"/>
          <w:b/>
          <w:sz w:val="22"/>
          <w:szCs w:val="22"/>
          <w:lang w:val="es-MX" w:eastAsia="en-US"/>
        </w:rPr>
        <w:t>2.</w:t>
      </w:r>
      <w:r w:rsidR="00133F7A">
        <w:rPr>
          <w:rFonts w:ascii="Arial" w:hAnsi="Arial" w:eastAsia="Calibri" w:cs="Arial"/>
          <w:b/>
          <w:sz w:val="22"/>
          <w:szCs w:val="22"/>
          <w:lang w:val="es-MX" w:eastAsia="en-US"/>
        </w:rPr>
        <w:t>6.</w:t>
      </w:r>
      <w:r>
        <w:rPr>
          <w:rFonts w:ascii="Arial" w:hAnsi="Arial" w:eastAsia="Calibri" w:cs="Arial"/>
          <w:b/>
          <w:sz w:val="22"/>
          <w:szCs w:val="22"/>
          <w:lang w:val="es-MX" w:eastAsia="en-US"/>
        </w:rPr>
        <w:t xml:space="preserve"> </w:t>
      </w:r>
      <w:bookmarkStart w:name="_Hlk100219796" w:id="58"/>
      <w:r w:rsidRPr="00AA07F0">
        <w:rPr>
          <w:rFonts w:ascii="Arial" w:hAnsi="Arial" w:eastAsia="Calibri" w:cs="Arial"/>
          <w:b/>
          <w:sz w:val="22"/>
          <w:szCs w:val="22"/>
          <w:lang w:val="es-MX" w:eastAsia="en-US"/>
        </w:rPr>
        <w:t xml:space="preserve">El SECOP como mecanismo para garantizar el principio de publicidad en la contratación estatal </w:t>
      </w:r>
      <w:bookmarkEnd w:id="58"/>
    </w:p>
    <w:p w:rsidRPr="00AA07F0" w:rsidR="00AA07F0" w:rsidP="00AA07F0" w:rsidRDefault="00AA07F0" w14:paraId="0C68DE4E" w14:textId="77777777">
      <w:pPr>
        <w:spacing w:line="276" w:lineRule="auto"/>
        <w:jc w:val="both"/>
        <w:rPr>
          <w:rFonts w:ascii="Arial" w:hAnsi="Arial" w:eastAsia="Calibri" w:cs="Arial"/>
          <w:sz w:val="22"/>
          <w:szCs w:val="22"/>
          <w:lang w:val="es-MX" w:eastAsia="en-US"/>
        </w:rPr>
      </w:pPr>
    </w:p>
    <w:p w:rsidRPr="008E6190" w:rsidR="007D3832" w:rsidP="10E286E2" w:rsidRDefault="007D3832" w14:paraId="72B317E4" w14:textId="77777777" w14:noSpellErr="1">
      <w:pPr>
        <w:spacing w:line="276" w:lineRule="auto"/>
        <w:jc w:val="both"/>
        <w:rPr>
          <w:rFonts w:ascii="Arial" w:hAnsi="Arial" w:eastAsia="Calibri" w:cs="Arial"/>
          <w:color w:val="000000" w:themeColor="text1"/>
          <w:sz w:val="22"/>
          <w:szCs w:val="22"/>
          <w:lang w:val="es-ES" w:eastAsia="es-ES"/>
        </w:rPr>
      </w:pPr>
      <w:r w:rsidRPr="10E286E2" w:rsidR="007D3832">
        <w:rPr>
          <w:rFonts w:ascii="Arial" w:hAnsi="Arial" w:eastAsia="Calibri" w:cs="Arial"/>
          <w:color w:val="000000" w:themeColor="text1"/>
          <w:sz w:val="22"/>
          <w:szCs w:val="22"/>
          <w:lang w:val="es-ES" w:eastAsia="es-ES"/>
        </w:rPr>
        <w:t xml:space="preserve">Uno de los postulados más importantes de un Estado social y democrático de derecho es el principio de </w:t>
      </w:r>
      <w:r w:rsidRPr="10E286E2" w:rsidR="007D3832">
        <w:rPr>
          <w:rFonts w:ascii="Arial" w:hAnsi="Arial" w:eastAsia="Calibri" w:cs="Arial"/>
          <w:i w:val="1"/>
          <w:iCs w:val="1"/>
          <w:color w:val="000000" w:themeColor="text1"/>
          <w:sz w:val="22"/>
          <w:szCs w:val="22"/>
          <w:lang w:val="es-ES" w:eastAsia="es-ES"/>
        </w:rPr>
        <w:t>publicidad</w:t>
      </w:r>
      <w:r w:rsidRPr="10E286E2" w:rsidR="007D3832">
        <w:rPr>
          <w:rFonts w:ascii="Arial" w:hAnsi="Arial" w:eastAsia="Calibri" w:cs="Arial"/>
          <w:color w:val="000000" w:themeColor="text1"/>
          <w:sz w:val="22"/>
          <w:szCs w:val="22"/>
          <w:lang w:val="es-ES" w:eastAsia="es-ES"/>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10E286E2">
        <w:rPr>
          <w:rFonts w:ascii="Arial" w:hAnsi="Arial" w:eastAsia="Calibri" w:cs="Arial"/>
          <w:color w:val="000000" w:themeColor="text1"/>
          <w:sz w:val="22"/>
          <w:szCs w:val="22"/>
          <w:vertAlign w:val="superscript"/>
          <w:lang w:val="es-ES" w:eastAsia="es-ES"/>
        </w:rPr>
        <w:footnoteReference w:id="48"/>
      </w:r>
      <w:r w:rsidRPr="10E286E2" w:rsidR="007D3832">
        <w:rPr>
          <w:rFonts w:ascii="Arial" w:hAnsi="Arial" w:eastAsia="Calibri" w:cs="Arial"/>
          <w:color w:val="000000" w:themeColor="text1"/>
          <w:sz w:val="22"/>
          <w:szCs w:val="22"/>
          <w:lang w:val="es-ES" w:eastAsia="es-ES"/>
        </w:rPr>
        <w:t>.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En tal perspectiva, la Corte Constitucional ha señalado que el principio de publicidad es la garantía que tienen las personas de conocer las actuaciones judiciales y administrativas. De este modo, indica:</w:t>
      </w:r>
    </w:p>
    <w:p w:rsidRPr="008E6190" w:rsidR="007D3832" w:rsidP="007D3832" w:rsidRDefault="007D3832" w14:paraId="5BA88BA6" w14:textId="77777777">
      <w:pPr>
        <w:ind w:firstLine="709"/>
        <w:jc w:val="both"/>
        <w:rPr>
          <w:rFonts w:ascii="Arial" w:hAnsi="Arial" w:eastAsia="Calibri" w:cs="Arial"/>
          <w:color w:val="000000" w:themeColor="text1"/>
          <w:sz w:val="22"/>
          <w:lang w:val="es-ES_tradnl" w:eastAsia="es-ES_tradnl"/>
        </w:rPr>
      </w:pPr>
    </w:p>
    <w:p w:rsidRPr="008E6190" w:rsidR="007D3832" w:rsidP="10E286E2" w:rsidRDefault="007D3832" w14:paraId="6C024907" w14:textId="77777777" w14:noSpellErr="1">
      <w:pPr>
        <w:tabs>
          <w:tab w:val="left" w:pos="3885"/>
        </w:tabs>
        <w:ind w:left="709" w:right="709"/>
        <w:jc w:val="both"/>
        <w:rPr>
          <w:rFonts w:ascii="Arial" w:hAnsi="Arial" w:cs="Arial"/>
          <w:color w:val="000000" w:themeColor="text1"/>
          <w:sz w:val="21"/>
          <w:szCs w:val="21"/>
          <w:lang w:val="es-ES" w:eastAsia="es-ES"/>
        </w:rPr>
      </w:pPr>
      <w:r w:rsidRPr="10E286E2" w:rsidR="007D3832">
        <w:rPr>
          <w:rFonts w:ascii="Arial" w:hAnsi="Arial" w:cs="Arial"/>
          <w:color w:val="000000" w:themeColor="text1" w:themeTint="FF" w:themeShade="FF"/>
          <w:sz w:val="21"/>
          <w:szCs w:val="21"/>
          <w:lang w:val="es-ES" w:eastAsia="es-ES"/>
        </w:rPr>
        <w:t xml:space="preserve">El principio de publicidad se encuentra consagrado en el artículo 209 de la Constitución Política, que señala que la función administrativa está al servicio de </w:t>
      </w:r>
      <w:r w:rsidRPr="10E286E2" w:rsidR="007D3832">
        <w:rPr>
          <w:rFonts w:ascii="Arial" w:hAnsi="Arial" w:cs="Arial"/>
          <w:color w:val="000000" w:themeColor="text1" w:themeTint="FF" w:themeShade="FF"/>
          <w:sz w:val="21"/>
          <w:szCs w:val="21"/>
          <w:lang w:val="es-ES" w:eastAsia="es-ES"/>
        </w:rPr>
        <w:t>los intereses generales y se desarrolla con fundamento entre otros, en el «principio de publicidad», el cual se evidencia en dos dimensiones.</w:t>
      </w:r>
    </w:p>
    <w:p w:rsidRPr="008E6190" w:rsidR="007D3832" w:rsidP="007D3832" w:rsidRDefault="007D3832" w14:paraId="2EB876B3" w14:textId="77777777">
      <w:pPr>
        <w:tabs>
          <w:tab w:val="left" w:pos="3885"/>
        </w:tabs>
        <w:ind w:left="709" w:right="709"/>
        <w:jc w:val="both"/>
        <w:rPr>
          <w:rFonts w:ascii="Arial" w:hAnsi="Arial" w:cs="Arial"/>
          <w:color w:val="000000" w:themeColor="text1"/>
          <w:sz w:val="21"/>
          <w:szCs w:val="21"/>
          <w:lang w:val="es-ES_tradnl" w:eastAsia="es-ES_tradnl"/>
        </w:rPr>
      </w:pPr>
    </w:p>
    <w:p w:rsidRPr="008E6190" w:rsidR="007D3832" w:rsidP="10E286E2" w:rsidRDefault="007D3832" w14:paraId="75AE6CE4" w14:textId="77777777" w14:noSpellErr="1">
      <w:pPr>
        <w:tabs>
          <w:tab w:val="left" w:pos="3885"/>
          <w:tab w:val="left" w:pos="8222"/>
        </w:tabs>
        <w:ind w:left="709" w:right="709"/>
        <w:jc w:val="both"/>
        <w:rPr>
          <w:rFonts w:ascii="Arial" w:hAnsi="Arial" w:cs="Arial"/>
          <w:color w:val="000000" w:themeColor="text1"/>
          <w:sz w:val="22"/>
          <w:szCs w:val="22"/>
          <w:lang w:val="es-ES" w:eastAsia="es-ES"/>
        </w:rPr>
      </w:pPr>
      <w:r w:rsidRPr="10E286E2" w:rsidR="007D3832">
        <w:rPr>
          <w:rFonts w:ascii="Arial" w:hAnsi="Arial" w:cs="Arial"/>
          <w:color w:val="000000" w:themeColor="text1"/>
          <w:sz w:val="21"/>
          <w:szCs w:val="21"/>
          <w:lang w:val="es-ES" w:eastAsia="es-ES"/>
        </w:rPr>
        <w:t xml:space="preserve">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w:t>
      </w:r>
      <w:r w:rsidRPr="10E286E2" w:rsidR="007D3832">
        <w:rPr>
          <w:rFonts w:ascii="Arial" w:hAnsi="Arial" w:cs="Arial"/>
          <w:color w:val="000000" w:themeColor="text1"/>
          <w:sz w:val="21"/>
          <w:szCs w:val="21"/>
          <w:lang w:val="es-ES" w:eastAsia="es-ES"/>
        </w:rPr>
        <w:t>autoridades públicas</w:t>
      </w:r>
      <w:r w:rsidRPr="10E286E2" w:rsidR="007D3832">
        <w:rPr>
          <w:rFonts w:ascii="Arial" w:hAnsi="Arial" w:cs="Arial"/>
          <w:color w:val="000000" w:themeColor="text1"/>
          <w:sz w:val="21"/>
          <w:szCs w:val="21"/>
          <w:lang w:val="es-ES" w:eastAsia="es-ES"/>
        </w:rPr>
        <w:t xml:space="preserve"> y, a través de ese conocimiento, a exigir que ellas se surtan conforme a la ley</w:t>
      </w:r>
      <w:r w:rsidRPr="10E286E2">
        <w:rPr>
          <w:rFonts w:ascii="Arial" w:hAnsi="Arial" w:eastAsia="Calibri" w:cs="Arial"/>
          <w:color w:val="000000" w:themeColor="text1"/>
          <w:sz w:val="21"/>
          <w:szCs w:val="21"/>
          <w:vertAlign w:val="superscript"/>
          <w:lang w:val="es-ES" w:eastAsia="es-ES"/>
        </w:rPr>
        <w:footnoteReference w:id="49"/>
      </w:r>
      <w:r w:rsidRPr="10E286E2" w:rsidR="007D3832">
        <w:rPr>
          <w:rFonts w:ascii="Arial" w:hAnsi="Arial" w:eastAsia="Calibri" w:cs="Arial"/>
          <w:color w:val="000000" w:themeColor="text1"/>
          <w:sz w:val="21"/>
          <w:szCs w:val="21"/>
          <w:lang w:val="es-ES" w:eastAsia="es-ES"/>
        </w:rPr>
        <w:t>.</w:t>
      </w:r>
    </w:p>
    <w:p w:rsidR="007D3832" w:rsidP="0076750F" w:rsidRDefault="007D3832" w14:paraId="401EA52A" w14:textId="77777777">
      <w:pPr>
        <w:spacing w:line="276" w:lineRule="auto"/>
        <w:jc w:val="both"/>
        <w:rPr>
          <w:rFonts w:ascii="Arial" w:hAnsi="Arial" w:eastAsia="Calibri" w:cs="Arial"/>
          <w:color w:val="000000"/>
          <w:sz w:val="22"/>
          <w:lang w:val="es-ES_tradnl" w:eastAsia="es-ES_tradnl"/>
        </w:rPr>
      </w:pPr>
    </w:p>
    <w:p w:rsidRPr="0076750F" w:rsidR="0076750F" w:rsidP="10E286E2" w:rsidRDefault="0076750F" w14:paraId="5E653AD2" w14:textId="71F787B8" w14:noSpellErr="1">
      <w:pPr>
        <w:spacing w:line="276" w:lineRule="auto"/>
        <w:ind w:firstLine="708"/>
        <w:jc w:val="both"/>
        <w:rPr>
          <w:rFonts w:ascii="Arial" w:hAnsi="Arial" w:eastAsia="Calibri" w:cs="Arial"/>
          <w:color w:val="000000"/>
          <w:sz w:val="22"/>
          <w:szCs w:val="22"/>
          <w:lang w:val="es-ES" w:eastAsia="es-ES"/>
        </w:rPr>
      </w:pPr>
      <w:r w:rsidRPr="10E286E2" w:rsidR="0076750F">
        <w:rPr>
          <w:rFonts w:ascii="Arial" w:hAnsi="Arial" w:eastAsia="Calibri" w:cs="Arial"/>
          <w:color w:val="000000"/>
          <w:sz w:val="22"/>
          <w:szCs w:val="22"/>
          <w:lang w:val="es-ES" w:eastAsia="es-ES"/>
        </w:rPr>
        <w:t xml:space="preserve">El principio de publicidad impone a las autoridades administrativas el deber de dar a conocer sus actos, contratos y decisiones, para que se divulguen y eventualmente se controlen dichas actuaciones. Es por eso </w:t>
      </w:r>
      <w:r w:rsidRPr="10E286E2" w:rsidR="0076750F">
        <w:rPr>
          <w:rFonts w:ascii="Arial" w:hAnsi="Arial" w:eastAsia="Calibri" w:cs="Arial"/>
          <w:color w:val="000000"/>
          <w:sz w:val="22"/>
          <w:szCs w:val="22"/>
          <w:lang w:val="es-ES" w:eastAsia="es-ES"/>
        </w:rPr>
        <w:t>que</w:t>
      </w:r>
      <w:r w:rsidRPr="10E286E2" w:rsidR="0076750F">
        <w:rPr>
          <w:rFonts w:ascii="Arial" w:hAnsi="Arial" w:eastAsia="Calibri" w:cs="Arial"/>
          <w:color w:val="000000"/>
          <w:sz w:val="22"/>
          <w:szCs w:val="22"/>
          <w:lang w:val="es-ES" w:eastAsia="es-ES"/>
        </w:rPr>
        <w:t>, en la contratación estatal, el literal c) del artículo 3 de la Ley 1150 de 2007 establece el Sistema Electrónico para la Contratación Pública –SECOP– como un mecanismo que «contará con la información oficial de la contratación realizada con dineros públicos, para lo cual establecerá los patrones a que haya lugar y se encargará de su difusión a través de canales electrónicos»</w:t>
      </w:r>
      <w:r w:rsidRPr="10E286E2">
        <w:rPr>
          <w:rFonts w:ascii="Arial" w:hAnsi="Arial" w:eastAsia="Calibri" w:cs="Arial"/>
          <w:color w:val="000000"/>
          <w:sz w:val="22"/>
          <w:szCs w:val="22"/>
          <w:vertAlign w:val="superscript"/>
          <w:lang w:val="es-ES" w:eastAsia="es-ES"/>
        </w:rPr>
        <w:footnoteReference w:id="50"/>
      </w:r>
      <w:r w:rsidRPr="10E286E2" w:rsidR="0076750F">
        <w:rPr>
          <w:rFonts w:ascii="Arial" w:hAnsi="Arial" w:eastAsia="Calibri" w:cs="Arial"/>
          <w:color w:val="000000"/>
          <w:sz w:val="22"/>
          <w:szCs w:val="22"/>
          <w:lang w:val="es-ES" w:eastAsia="es-ES"/>
        </w:rPr>
        <w:t xml:space="preserve">. </w:t>
      </w:r>
    </w:p>
    <w:p w:rsidRPr="0076750F" w:rsidR="0076750F" w:rsidP="0076750F" w:rsidRDefault="0076750F" w14:paraId="6C8E7356" w14:textId="77777777">
      <w:pPr>
        <w:spacing w:before="120" w:line="276" w:lineRule="auto"/>
        <w:ind w:firstLine="709"/>
        <w:jc w:val="both"/>
        <w:rPr>
          <w:rFonts w:ascii="Arial" w:hAnsi="Arial" w:eastAsia="Calibri" w:cs="Arial"/>
          <w:color w:val="000000"/>
          <w:sz w:val="22"/>
          <w:lang w:val="es-ES_tradnl" w:eastAsia="es-ES_tradnl"/>
        </w:rPr>
      </w:pPr>
      <w:r w:rsidRPr="0076750F">
        <w:rPr>
          <w:rFonts w:ascii="Arial" w:hAnsi="Arial" w:cs="Arial"/>
          <w:color w:val="000000"/>
          <w:sz w:val="22"/>
          <w:lang w:val="es-ES_tradnl" w:eastAsia="es-ES_tradn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76750F">
        <w:rPr>
          <w:rFonts w:ascii="Arial" w:hAnsi="Arial" w:cs="Arial"/>
          <w:color w:val="000000"/>
          <w:sz w:val="22"/>
          <w:vertAlign w:val="superscript"/>
          <w:lang w:val="es-ES_tradnl" w:eastAsia="es-ES_tradnl"/>
        </w:rPr>
        <w:footnoteReference w:id="51"/>
      </w:r>
      <w:r w:rsidRPr="0076750F">
        <w:rPr>
          <w:rFonts w:ascii="Arial" w:hAnsi="Arial" w:cs="Arial"/>
          <w:color w:val="000000"/>
          <w:sz w:val="22"/>
          <w:lang w:val="es-ES_tradnl" w:eastAsia="es-ES_tradnl"/>
        </w:rPr>
        <w:t xml:space="preserve">. El principio de transparencia en la información alude al deber de los sujetos de proporcionar y facilitar el acceso a la misma en los términos más amplios posibles, y a través de los medios y procedimientos legales. </w:t>
      </w:r>
      <w:r w:rsidRPr="0076750F">
        <w:rPr>
          <w:rFonts w:ascii="Arial" w:hAnsi="Arial" w:eastAsia="Calibri" w:cs="Arial"/>
          <w:color w:val="000000"/>
          <w:sz w:val="22"/>
          <w:szCs w:val="22"/>
          <w:lang w:val="es-ES_tradnl" w:eastAsia="en-US"/>
        </w:rPr>
        <w:t xml:space="preserve">La ley estatutaria citada establece, en el literal e) del artículo 9, que </w:t>
      </w:r>
      <w:r w:rsidRPr="0076750F">
        <w:rPr>
          <w:rFonts w:ascii="Arial" w:hAnsi="Arial" w:eastAsia="Calibri" w:cs="Arial"/>
          <w:color w:val="000000"/>
          <w:sz w:val="22"/>
          <w:szCs w:val="22"/>
          <w:lang w:val="es-ES_tradnl" w:eastAsia="en-US"/>
        </w:rPr>
        <w:t>los sujetos obligados, que son todas las entidades públicas</w:t>
      </w:r>
      <w:r w:rsidRPr="0076750F">
        <w:rPr>
          <w:rFonts w:ascii="Arial" w:hAnsi="Arial" w:eastAsia="Calibri" w:cs="Arial"/>
          <w:color w:val="000000"/>
          <w:sz w:val="22"/>
          <w:szCs w:val="22"/>
          <w:vertAlign w:val="superscript"/>
          <w:lang w:val="es-ES_tradnl" w:eastAsia="en-US"/>
        </w:rPr>
        <w:footnoteReference w:id="52"/>
      </w:r>
      <w:r w:rsidRPr="0076750F">
        <w:rPr>
          <w:rFonts w:ascii="Arial" w:hAnsi="Arial" w:eastAsia="Calibri" w:cs="Arial"/>
          <w:color w:val="000000"/>
          <w:sz w:val="22"/>
          <w:szCs w:val="22"/>
          <w:lang w:val="es-ES_tradnl" w:eastAsia="en-US"/>
        </w:rPr>
        <w:t>, deben publicar la información relativa a su contratación. Esta obligación fue desarrollada por el Decreto Único Reglamentario 1081 de 2015</w:t>
      </w:r>
      <w:r w:rsidRPr="0076750F">
        <w:rPr>
          <w:rFonts w:ascii="Arial" w:hAnsi="Arial" w:eastAsia="Calibri" w:cs="Arial"/>
          <w:color w:val="000000"/>
          <w:sz w:val="22"/>
          <w:szCs w:val="22"/>
          <w:vertAlign w:val="superscript"/>
          <w:lang w:val="es-ES_tradnl" w:eastAsia="en-US"/>
        </w:rPr>
        <w:footnoteReference w:id="53"/>
      </w:r>
      <w:r w:rsidRPr="0076750F">
        <w:rPr>
          <w:rFonts w:ascii="Arial" w:hAnsi="Arial" w:eastAsia="Calibri" w:cs="Arial"/>
          <w:color w:val="000000"/>
          <w:sz w:val="22"/>
          <w:szCs w:val="22"/>
          <w:lang w:val="es-ES_tradnl" w:eastAsia="en-US"/>
        </w:rPr>
        <w:t>, el cual dispuso que la publicación de la información contractual de los sujetos obligados, que contratan con cargo a recursos públicos, debe hacerse en el Sistema Electrónico para la Contratación Pública ─</w:t>
      </w:r>
      <w:r w:rsidRPr="0076750F">
        <w:rPr>
          <w:rFonts w:ascii="Arial" w:hAnsi="Arial" w:eastAsia="Calibri" w:cs="Arial"/>
          <w:color w:val="000000"/>
          <w:sz w:val="22"/>
          <w:szCs w:val="22"/>
          <w:lang w:val="es-ES_tradnl" w:eastAsia="en-US"/>
        </w:rPr>
        <w:softHyphen/>
        <w:t xml:space="preserve"> </w:t>
      </w:r>
      <w:r w:rsidRPr="0076750F">
        <w:rPr>
          <w:rFonts w:ascii="Arial" w:hAnsi="Arial" w:eastAsia="Calibri" w:cs="Arial"/>
          <w:color w:val="000000"/>
          <w:sz w:val="22"/>
          <w:szCs w:val="22"/>
          <w:lang w:val="es-ES_tradnl" w:eastAsia="en-US"/>
        </w:rPr>
        <w:softHyphen/>
        <w:t>SECOP–.</w:t>
      </w:r>
    </w:p>
    <w:p w:rsidRPr="00FD7DA9" w:rsidR="009D3E71" w:rsidP="00FD7DA9" w:rsidRDefault="0076750F" w14:paraId="48F66FD0" w14:textId="6449A10C">
      <w:pPr>
        <w:spacing w:before="120" w:after="120" w:line="276" w:lineRule="auto"/>
        <w:ind w:firstLine="709"/>
        <w:jc w:val="both"/>
        <w:rPr>
          <w:rFonts w:ascii="Arial" w:hAnsi="Arial" w:cs="Arial"/>
          <w:color w:val="000000" w:themeColor="text1"/>
          <w:sz w:val="22"/>
          <w:lang w:val="es-ES_tradnl" w:eastAsia="es-ES_tradnl"/>
        </w:rPr>
      </w:pPr>
      <w:r w:rsidRPr="0076750F">
        <w:rPr>
          <w:rFonts w:ascii="Arial" w:hAnsi="Arial" w:cs="Arial"/>
          <w:color w:val="000000"/>
          <w:sz w:val="22"/>
          <w:lang w:val="es-ES_tradnl" w:eastAsia="es-ES_tradnl"/>
        </w:rPr>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r w:rsidRPr="008E6190" w:rsidR="00D25DF6">
        <w:rPr>
          <w:rFonts w:ascii="Arial" w:hAnsi="Arial" w:eastAsia="Calibri" w:cs="Arial"/>
          <w:color w:val="000000" w:themeColor="text1"/>
          <w:sz w:val="22"/>
          <w:lang w:val="es-ES_tradnl" w:eastAsia="es-ES_tradn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8E6190" w:rsidR="00D25DF6">
        <w:rPr>
          <w:rFonts w:ascii="Arial" w:hAnsi="Arial" w:eastAsia="Calibri" w:cs="Arial"/>
          <w:color w:val="000000" w:themeColor="text1"/>
          <w:sz w:val="22"/>
          <w:vertAlign w:val="superscript"/>
          <w:lang w:val="es-ES_tradnl" w:eastAsia="es-ES_tradnl"/>
        </w:rPr>
        <w:footnoteReference w:id="54"/>
      </w:r>
      <w:r w:rsidRPr="008E6190" w:rsidR="00D25DF6">
        <w:rPr>
          <w:rFonts w:ascii="Arial" w:hAnsi="Arial" w:eastAsia="Calibri" w:cs="Arial"/>
          <w:color w:val="000000" w:themeColor="text1"/>
          <w:sz w:val="22"/>
          <w:lang w:val="es-ES_tradnl" w:eastAsia="es-ES_tradnl"/>
        </w:rPr>
        <w:t>.</w:t>
      </w:r>
    </w:p>
    <w:p w:rsidRPr="00AA07F0" w:rsidR="00AA07F0" w:rsidP="009D3E71" w:rsidRDefault="00CD2C51" w14:paraId="2E250684" w14:textId="6AE0B5F4">
      <w:pPr>
        <w:spacing w:after="160" w:line="276" w:lineRule="auto"/>
        <w:ind w:firstLine="709"/>
        <w:jc w:val="both"/>
        <w:rPr>
          <w:rFonts w:ascii="Arial" w:hAnsi="Arial" w:eastAsia="Calibri" w:cs="Arial"/>
          <w:sz w:val="22"/>
          <w:szCs w:val="22"/>
          <w:lang w:val="es-MX" w:eastAsia="en-US"/>
        </w:rPr>
      </w:pPr>
      <w:r>
        <w:rPr>
          <w:rFonts w:ascii="Arial" w:hAnsi="Arial" w:eastAsia="Calibri" w:cs="Arial"/>
          <w:sz w:val="22"/>
          <w:szCs w:val="22"/>
          <w:lang w:val="es-MX" w:eastAsia="en-US"/>
        </w:rPr>
        <w:t>Como se mencionó previamente</w:t>
      </w:r>
      <w:r w:rsidR="005008E6">
        <w:rPr>
          <w:rFonts w:ascii="Arial" w:hAnsi="Arial" w:eastAsia="Calibri" w:cs="Arial"/>
          <w:sz w:val="22"/>
          <w:szCs w:val="22"/>
          <w:lang w:val="es-MX" w:eastAsia="en-US"/>
        </w:rPr>
        <w:t>, e</w:t>
      </w:r>
      <w:r w:rsidRPr="00AA07F0" w:rsidR="00AA07F0">
        <w:rPr>
          <w:rFonts w:ascii="Arial" w:hAnsi="Arial" w:eastAsia="Calibri" w:cs="Arial"/>
          <w:sz w:val="22"/>
          <w:szCs w:val="22"/>
          <w:lang w:val="es-MX" w:eastAsia="en-US"/>
        </w:rPr>
        <w:t xml:space="preserve">l artículo 3 de la Ley 1150 de 2007 señala que los actos relacionados con los procedimientos de contratación de las entidades estatales pueden ser electrónicos, al igual que su publicidad, por lo que el Gobierno </w:t>
      </w:r>
      <w:r w:rsidR="005D2BD3">
        <w:rPr>
          <w:rFonts w:ascii="Arial" w:hAnsi="Arial" w:eastAsia="Calibri" w:cs="Arial"/>
          <w:sz w:val="22"/>
          <w:szCs w:val="22"/>
          <w:lang w:val="es-MX" w:eastAsia="en-US"/>
        </w:rPr>
        <w:t>N</w:t>
      </w:r>
      <w:r w:rsidRPr="00AA07F0" w:rsidR="00AA07F0">
        <w:rPr>
          <w:rFonts w:ascii="Arial" w:hAnsi="Arial" w:eastAsia="Calibri" w:cs="Arial"/>
          <w:sz w:val="22"/>
          <w:szCs w:val="22"/>
          <w:lang w:val="es-MX" w:eastAsia="en-US"/>
        </w:rPr>
        <w:t>acional debe definir los medios para llevarlo a cabo, y tiene la obligación de desarrollar el SECOP</w:t>
      </w:r>
      <w:r w:rsidRPr="00AA07F0" w:rsidR="00AA07F0">
        <w:rPr>
          <w:rFonts w:ascii="Arial" w:hAnsi="Arial" w:eastAsia="Calibri" w:cs="Arial"/>
          <w:sz w:val="22"/>
          <w:szCs w:val="22"/>
          <w:vertAlign w:val="superscript"/>
          <w:lang w:val="es-MX" w:eastAsia="en-US"/>
        </w:rPr>
        <w:footnoteReference w:id="55"/>
      </w:r>
      <w:r w:rsidRPr="00AA07F0" w:rsidR="00AA07F0">
        <w:rPr>
          <w:rFonts w:ascii="Arial" w:hAnsi="Arial" w:eastAsia="Calibri" w:cs="Arial"/>
          <w:sz w:val="22"/>
          <w:szCs w:val="22"/>
          <w:lang w:val="es-MX" w:eastAsia="en-US"/>
        </w:rPr>
        <w:t xml:space="preserve">. Este </w:t>
      </w:r>
      <w:r w:rsidRPr="00AA07F0" w:rsidR="00AA07F0">
        <w:rPr>
          <w:rFonts w:ascii="Arial" w:hAnsi="Arial" w:eastAsia="Calibri" w:cs="Arial"/>
          <w:sz w:val="22"/>
          <w:szCs w:val="22"/>
          <w:lang w:val="es-MX" w:eastAsia="en-US"/>
        </w:rPr>
        <w:t>sistema debe contar con la información oficial de los procedimientos contractuales de las entidades, de lo cual será la única fuente, teniendo en cuenta que se ejecutan recursos públicos y por ende la ciudadanía tiene derecho a conocer cómo se invierten, y controlar que el objetivo sea la satisfacción de sus necesidades.</w:t>
      </w:r>
    </w:p>
    <w:p w:rsidRPr="00AA07F0" w:rsidR="00AA07F0" w:rsidP="00AA07F0" w:rsidRDefault="00AA07F0" w14:paraId="5D77C7EC" w14:textId="77777777">
      <w:pPr>
        <w:spacing w:before="120" w:after="120" w:line="276" w:lineRule="auto"/>
        <w:ind w:firstLine="709"/>
        <w:jc w:val="both"/>
        <w:rPr>
          <w:rFonts w:ascii="Arial" w:hAnsi="Arial" w:eastAsia="Calibri" w:cs="Arial"/>
          <w:sz w:val="22"/>
          <w:szCs w:val="22"/>
          <w:lang w:val="es-MX" w:eastAsia="en-US"/>
        </w:rPr>
      </w:pPr>
      <w:r w:rsidRPr="00AA07F0">
        <w:rPr>
          <w:rFonts w:ascii="Arial" w:hAnsi="Arial" w:eastAsia="Calibri" w:cs="Arial"/>
          <w:sz w:val="22"/>
          <w:szCs w:val="22"/>
          <w:lang w:val="es-MX" w:eastAsia="en-US"/>
        </w:rPr>
        <w:t xml:space="preserve">La norma citada genera un cambio en la contratación pública, donde las actuaciones de las entidades se realizaban por escrito y en papel, y ahora se cuenta con un mecanismo eficiente que reduce costos para que se cumpla el principio de publicidad, como un deber de las </w:t>
      </w:r>
      <w:proofErr w:type="gramStart"/>
      <w:r w:rsidRPr="00AA07F0">
        <w:rPr>
          <w:rFonts w:ascii="Arial" w:hAnsi="Arial" w:eastAsia="Calibri" w:cs="Arial"/>
          <w:sz w:val="22"/>
          <w:szCs w:val="22"/>
          <w:lang w:val="es-MX" w:eastAsia="en-US"/>
        </w:rPr>
        <w:t>autoridades públicas</w:t>
      </w:r>
      <w:proofErr w:type="gramEnd"/>
      <w:r w:rsidRPr="00AA07F0">
        <w:rPr>
          <w:rFonts w:ascii="Arial" w:hAnsi="Arial" w:eastAsia="Calibri" w:cs="Arial"/>
          <w:sz w:val="22"/>
          <w:szCs w:val="22"/>
          <w:lang w:val="es-MX" w:eastAsia="en-US"/>
        </w:rPr>
        <w:t xml:space="preserve"> en el ejercicio de las funciones administrativas que la ley les otorga. No obstante, es necesario aclarar que la norma no impone como requisito que únicamente se deba publicar en el SECOP cuando se ejecuten recursos públicos, ya que el deber de publicidad es amplio. Esto teniendo en cuenta que la obligación está prevista en una norma que aplica a las entidades, sin que sea relevante en el cumplimiento de este deber la ejecución o no de recursos públicos.</w:t>
      </w:r>
    </w:p>
    <w:p w:rsidRPr="00AA07F0" w:rsidR="00AA07F0" w:rsidP="00AA07F0" w:rsidRDefault="00AA07F0" w14:paraId="573D9DFF" w14:textId="77777777">
      <w:pPr>
        <w:spacing w:before="120" w:after="120" w:line="276" w:lineRule="auto"/>
        <w:ind w:firstLine="708"/>
        <w:jc w:val="both"/>
        <w:rPr>
          <w:rFonts w:ascii="Arial" w:hAnsi="Arial" w:eastAsia="Calibri" w:cs="Arial"/>
          <w:sz w:val="22"/>
          <w:szCs w:val="22"/>
          <w:lang w:val="es-MX" w:eastAsia="en-US"/>
        </w:rPr>
      </w:pPr>
      <w:bookmarkStart w:name="_Hlk100222338" w:id="59"/>
      <w:r w:rsidRPr="00AA07F0">
        <w:rPr>
          <w:rFonts w:ascii="Arial" w:hAnsi="Arial" w:eastAsia="Calibri" w:cs="Arial"/>
          <w:sz w:val="22"/>
          <w:szCs w:val="22"/>
          <w:lang w:val="es-MX" w:eastAsia="en-US"/>
        </w:rPr>
        <w:t xml:space="preserve">Además, es preciso analizar en detalle el artículo 3 de la Ley 1150 de 2007, ya que prescribe la obligación de que la actividad contractual de las entidades se publique en el SECOP, sin que esta, necesaria y exclusivamente, involucre recursos públicos. Por el contrario, la norma es general al referirse a los actos derivados de las etapas de un procedimiento contractual, lo cual hace énfasis en que el objetivo de la ley es la contratación que realizan las entidades, y no únicamente los recursos públicos que se ejecuten para la satisfacción de las necesidades. Esto debe armonizarse con el artículo 2.2.1.1.1.7.1. del Decreto 1082 de 2015, que relacionan los documentos que se deben publicar en el SECOP, sin que se haga referencia a aquellos actos que ejecuten recursos públicos. </w:t>
      </w:r>
    </w:p>
    <w:bookmarkEnd w:id="59"/>
    <w:p w:rsidRPr="00AA07F0" w:rsidR="00AA07F0" w:rsidP="00AA07F0" w:rsidRDefault="00AA07F0" w14:paraId="71E323BD" w14:textId="2503DC7A">
      <w:pPr>
        <w:spacing w:before="120" w:after="120" w:line="276" w:lineRule="auto"/>
        <w:ind w:firstLine="708"/>
        <w:jc w:val="both"/>
        <w:rPr>
          <w:rFonts w:ascii="Arial" w:hAnsi="Arial" w:eastAsia="Calibri" w:cs="Arial"/>
          <w:sz w:val="22"/>
          <w:szCs w:val="22"/>
          <w:lang w:val="es-MX" w:eastAsia="en-US"/>
        </w:rPr>
      </w:pPr>
      <w:r w:rsidRPr="00AA07F0">
        <w:rPr>
          <w:rFonts w:ascii="Arial" w:hAnsi="Arial" w:eastAsia="Calibri" w:cs="Arial"/>
          <w:sz w:val="22"/>
          <w:szCs w:val="22"/>
          <w:lang w:val="es-MX" w:eastAsia="en-US"/>
        </w:rPr>
        <w:t xml:space="preserve">Así, analizando las normas sobre publicidad en el SECOP, se concluye que no existen disposiciones de las que se pueda inferir el interés de la ley en exigir la publicación exclusiva de los actos que comprometan la ejecución de recursos públicos, puesto que su objetivo es general y se refiere a la actividad precontractual, contractual y </w:t>
      </w:r>
      <w:proofErr w:type="spellStart"/>
      <w:r w:rsidRPr="00AA07F0">
        <w:rPr>
          <w:rFonts w:ascii="Arial" w:hAnsi="Arial" w:eastAsia="Calibri" w:cs="Arial"/>
          <w:sz w:val="22"/>
          <w:szCs w:val="22"/>
          <w:lang w:val="es-MX" w:eastAsia="en-US"/>
        </w:rPr>
        <w:t>poscontractual</w:t>
      </w:r>
      <w:proofErr w:type="spellEnd"/>
      <w:r w:rsidRPr="00AA07F0">
        <w:rPr>
          <w:rFonts w:ascii="Arial" w:hAnsi="Arial" w:eastAsia="Calibri" w:cs="Arial"/>
          <w:sz w:val="22"/>
          <w:szCs w:val="22"/>
          <w:lang w:val="es-MX" w:eastAsia="en-US"/>
        </w:rPr>
        <w:t xml:space="preserve"> de las entidades, sin que quepa interpretación diferente, debido a la finalidad de la ley respecto de la ciudadanía y su derecho a conocer las decisiones de la Administración </w:t>
      </w:r>
      <w:r w:rsidR="004A1171">
        <w:rPr>
          <w:rFonts w:ascii="Arial" w:hAnsi="Arial" w:eastAsia="Calibri" w:cs="Arial"/>
          <w:sz w:val="22"/>
          <w:szCs w:val="22"/>
          <w:lang w:val="es-MX" w:eastAsia="en-US"/>
        </w:rPr>
        <w:t>P</w:t>
      </w:r>
      <w:r w:rsidRPr="00AA07F0">
        <w:rPr>
          <w:rFonts w:ascii="Arial" w:hAnsi="Arial" w:eastAsia="Calibri" w:cs="Arial"/>
          <w:sz w:val="22"/>
          <w:szCs w:val="22"/>
          <w:lang w:val="es-MX" w:eastAsia="en-US"/>
        </w:rPr>
        <w:t>ública.</w:t>
      </w:r>
    </w:p>
    <w:p w:rsidRPr="00AA07F0" w:rsidR="00AA07F0" w:rsidP="00AA07F0" w:rsidRDefault="00AA07F0" w14:paraId="31DEFD47" w14:textId="77777777">
      <w:pPr>
        <w:spacing w:line="276" w:lineRule="auto"/>
        <w:ind w:firstLine="708"/>
        <w:jc w:val="both"/>
        <w:rPr>
          <w:rFonts w:ascii="Arial" w:hAnsi="Arial" w:eastAsia="Calibri" w:cs="Arial"/>
          <w:sz w:val="22"/>
          <w:szCs w:val="22"/>
          <w:lang w:val="es-MX" w:eastAsia="en-US"/>
        </w:rPr>
      </w:pPr>
      <w:r w:rsidRPr="00AA07F0">
        <w:rPr>
          <w:rFonts w:ascii="Arial" w:hAnsi="Arial" w:eastAsia="Calibri" w:cs="Arial"/>
          <w:sz w:val="22"/>
          <w:szCs w:val="22"/>
          <w:lang w:val="es-MX" w:eastAsia="en-US"/>
        </w:rPr>
        <w:t>La Corte Constitucional hizo énfasis en la transición de la actividad contractual impresa, que se publicaba en el Diario Único de Contratación, a una contratación pública electrónica desarrollada mediante el SECOP:</w:t>
      </w:r>
    </w:p>
    <w:p w:rsidRPr="00AA07F0" w:rsidR="00AA07F0" w:rsidP="00AA07F0" w:rsidRDefault="00AA07F0" w14:paraId="52A74AC2" w14:textId="77777777">
      <w:pPr>
        <w:spacing w:line="276" w:lineRule="auto"/>
        <w:jc w:val="both"/>
        <w:rPr>
          <w:rFonts w:ascii="Arial" w:hAnsi="Arial" w:eastAsia="Calibri" w:cs="Arial"/>
          <w:sz w:val="22"/>
          <w:szCs w:val="22"/>
          <w:lang w:val="es-MX" w:eastAsia="en-US"/>
        </w:rPr>
      </w:pPr>
    </w:p>
    <w:p w:rsidRPr="00AA07F0" w:rsidR="00AA07F0" w:rsidP="00AA07F0" w:rsidRDefault="00AA07F0" w14:paraId="76EBD6A1" w14:textId="77777777">
      <w:pPr>
        <w:ind w:left="708" w:right="680"/>
        <w:jc w:val="both"/>
        <w:rPr>
          <w:rFonts w:ascii="Arial" w:hAnsi="Arial" w:eastAsia="Calibri" w:cs="Arial"/>
          <w:sz w:val="21"/>
          <w:szCs w:val="21"/>
          <w:lang w:val="es-MX" w:eastAsia="en-US"/>
        </w:rPr>
      </w:pPr>
      <w:r w:rsidRPr="00AA07F0">
        <w:rPr>
          <w:rFonts w:ascii="Arial" w:hAnsi="Arial" w:eastAsia="Calibri" w:cs="Arial"/>
          <w:sz w:val="21"/>
          <w:szCs w:val="21"/>
          <w:lang w:val="es-MX" w:eastAsia="en-US"/>
        </w:rPr>
        <w:t>En cuanto a que la supresión de la publicación en el Diario Único de Contratación fuese necesaria, y en consecuencia ajena al ámbito de las facultades extraordinarias conferidas, se concluye que, si bien la publicación de los contratos estatales puede tenerse como requisito esencial para la ejecución y control público de los contratos oficiales, no así su inclusión en una forma específica de divulgación, como el DUC. Por el contrario, al disponerse que sea publicado en un medio electrónico, al cargo y cuidado de la Agencia Nacional de Contratación Pública —Colombia</w:t>
      </w:r>
      <w:r w:rsidRPr="00AA07F0">
        <w:rPr>
          <w:rFonts w:ascii="Arial" w:hAnsi="Arial" w:eastAsia="Calibri" w:cs="Arial"/>
          <w:szCs w:val="22"/>
          <w:lang w:val="es-MX" w:eastAsia="en-US"/>
        </w:rPr>
        <w:t xml:space="preserve"> </w:t>
      </w:r>
      <w:r w:rsidRPr="00AA07F0">
        <w:rPr>
          <w:rFonts w:ascii="Arial" w:hAnsi="Arial" w:eastAsia="Calibri" w:cs="Arial"/>
          <w:sz w:val="21"/>
          <w:szCs w:val="21"/>
          <w:lang w:val="es-MX" w:eastAsia="en-US"/>
        </w:rPr>
        <w:t>Compra Eficiente—, se asegura la regularidad de este tipo de trámite, en manos de una entidad responsable de realizarlo; y, simultáneamente, se cumple la finalidad de la publicación, que no otra distinta de brindarle al público la posibilidad de acceso fácil, oportuno, idóneo y eficaz a los términos de la contratación estatal.</w:t>
      </w:r>
    </w:p>
    <w:p w:rsidRPr="00AA07F0" w:rsidR="00AA07F0" w:rsidP="00AA07F0" w:rsidRDefault="00AA07F0" w14:paraId="5095DCBE" w14:textId="77777777">
      <w:pPr>
        <w:ind w:left="708" w:right="680"/>
        <w:jc w:val="both"/>
        <w:rPr>
          <w:rFonts w:ascii="Arial" w:hAnsi="Arial" w:eastAsia="Calibri" w:cs="Arial"/>
          <w:sz w:val="21"/>
          <w:szCs w:val="21"/>
          <w:lang w:val="es-MX" w:eastAsia="en-US"/>
        </w:rPr>
      </w:pPr>
    </w:p>
    <w:p w:rsidRPr="00AA07F0" w:rsidR="00AA07F0" w:rsidP="00AA07F0" w:rsidRDefault="00AA07F0" w14:paraId="2042416A" w14:textId="77777777">
      <w:pPr>
        <w:ind w:left="708" w:right="680"/>
        <w:jc w:val="both"/>
        <w:rPr>
          <w:rFonts w:ascii="Arial" w:hAnsi="Arial" w:eastAsia="Calibri" w:cs="Arial"/>
          <w:sz w:val="21"/>
          <w:szCs w:val="21"/>
          <w:lang w:val="es-MX" w:eastAsia="en-US"/>
        </w:rPr>
      </w:pPr>
      <w:r w:rsidRPr="00AA07F0">
        <w:rPr>
          <w:rFonts w:ascii="Arial" w:hAnsi="Arial" w:eastAsia="Calibri" w:cs="Arial"/>
          <w:sz w:val="21"/>
          <w:szCs w:val="21"/>
          <w:lang w:val="es-MX" w:eastAsia="en-US"/>
        </w:rPr>
        <w:t>Para la Corte, la publicación de los contratos estatales en el SECOP cumple cabalmente con las exigencias constitucionales de publicidad administrativa. En efecto, permite la presentación de la totalidad del contenido aludido, en un medio al que puede tener acceso al público en general, facilitando a los ciudadanos el conocimiento de las actuaciones de la administración y de los particulares en los procesos de contratación estatal y facilitando su participación en las decisiones que les afectan. Y, de conteras, suple algunas de las limitaciones de las que adolecía el Diario Único de Contratación, en términos de cobertura geográfica, de cantidad de ejemplares y de posibilidad de acceso por parte de la ciudadanía</w:t>
      </w:r>
      <w:r w:rsidRPr="00AA07F0">
        <w:rPr>
          <w:rFonts w:ascii="Arial" w:hAnsi="Arial" w:eastAsia="Calibri" w:cs="Arial"/>
          <w:sz w:val="22"/>
          <w:szCs w:val="22"/>
          <w:vertAlign w:val="superscript"/>
          <w:lang w:val="es-MX" w:eastAsia="en-US"/>
        </w:rPr>
        <w:footnoteReference w:id="56"/>
      </w:r>
      <w:r w:rsidRPr="00AA07F0">
        <w:rPr>
          <w:rFonts w:ascii="Arial" w:hAnsi="Arial" w:eastAsia="Calibri" w:cs="Arial"/>
          <w:sz w:val="21"/>
          <w:szCs w:val="21"/>
          <w:lang w:val="es-MX" w:eastAsia="en-US"/>
        </w:rPr>
        <w:t>.</w:t>
      </w:r>
    </w:p>
    <w:p w:rsidRPr="00AA07F0" w:rsidR="00AA07F0" w:rsidP="00AA07F0" w:rsidRDefault="00AA07F0" w14:paraId="28D43190" w14:textId="77777777">
      <w:pPr>
        <w:spacing w:line="276" w:lineRule="auto"/>
        <w:ind w:left="708" w:right="680"/>
        <w:jc w:val="both"/>
        <w:rPr>
          <w:rFonts w:ascii="Arial" w:hAnsi="Arial" w:eastAsia="Calibri" w:cs="Arial"/>
          <w:sz w:val="21"/>
          <w:szCs w:val="21"/>
          <w:lang w:val="es-MX" w:eastAsia="en-US"/>
        </w:rPr>
      </w:pPr>
    </w:p>
    <w:p w:rsidRPr="00AA07F0" w:rsidR="00AA07F0" w:rsidP="00AA07F0" w:rsidRDefault="00AA07F0" w14:paraId="6F7E21AC" w14:textId="0575FC4D">
      <w:pPr>
        <w:spacing w:line="276" w:lineRule="auto"/>
        <w:ind w:right="49" w:firstLine="708"/>
        <w:jc w:val="both"/>
        <w:rPr>
          <w:rFonts w:ascii="Arial" w:hAnsi="Arial" w:eastAsia="Calibri" w:cs="Arial"/>
          <w:sz w:val="22"/>
          <w:szCs w:val="22"/>
          <w:lang w:val="es-MX" w:eastAsia="en-US"/>
        </w:rPr>
      </w:pPr>
      <w:r w:rsidRPr="00AA07F0">
        <w:rPr>
          <w:rFonts w:ascii="Arial" w:hAnsi="Arial" w:eastAsia="Calibri" w:cs="Arial"/>
          <w:sz w:val="22"/>
          <w:szCs w:val="22"/>
          <w:lang w:val="es-MX" w:eastAsia="en-US"/>
        </w:rPr>
        <w:t xml:space="preserve">De acuerdo con lo anterior, sobre la obligatoriedad de publicar en el SECOP contratos de arrendamiento ya se había pronunciado esta Agencia en </w:t>
      </w:r>
      <w:r w:rsidR="00B81037">
        <w:rPr>
          <w:rFonts w:ascii="Arial" w:hAnsi="Arial" w:eastAsia="Calibri" w:cs="Arial"/>
          <w:sz w:val="22"/>
          <w:szCs w:val="22"/>
          <w:lang w:val="es-MX" w:eastAsia="en-US"/>
        </w:rPr>
        <w:t>los</w:t>
      </w:r>
      <w:r w:rsidRPr="00AA07F0">
        <w:rPr>
          <w:rFonts w:ascii="Arial" w:hAnsi="Arial" w:eastAsia="Calibri" w:cs="Arial"/>
          <w:sz w:val="22"/>
          <w:szCs w:val="22"/>
          <w:lang w:val="es-MX" w:eastAsia="en-US"/>
        </w:rPr>
        <w:t xml:space="preserve"> concepto</w:t>
      </w:r>
      <w:r w:rsidR="00B81037">
        <w:rPr>
          <w:rFonts w:ascii="Arial" w:hAnsi="Arial" w:eastAsia="Calibri" w:cs="Arial"/>
          <w:sz w:val="22"/>
          <w:szCs w:val="22"/>
          <w:lang w:val="es-MX" w:eastAsia="en-US"/>
        </w:rPr>
        <w:t>s</w:t>
      </w:r>
      <w:r w:rsidRPr="00AA07F0">
        <w:rPr>
          <w:rFonts w:ascii="Arial" w:hAnsi="Arial" w:eastAsia="Calibri" w:cs="Arial"/>
          <w:sz w:val="22"/>
          <w:szCs w:val="22"/>
          <w:lang w:val="es-MX" w:eastAsia="en-US"/>
        </w:rPr>
        <w:t xml:space="preserve"> C-087 del 4 marzo de 2020</w:t>
      </w:r>
      <w:r w:rsidR="00817AF6">
        <w:rPr>
          <w:rFonts w:ascii="Arial" w:hAnsi="Arial" w:eastAsia="Calibri" w:cs="Arial"/>
          <w:sz w:val="22"/>
          <w:szCs w:val="22"/>
          <w:lang w:val="es-MX" w:eastAsia="en-US"/>
        </w:rPr>
        <w:t xml:space="preserve"> y C-026 </w:t>
      </w:r>
      <w:r w:rsidR="00817AF6">
        <w:rPr>
          <w:rFonts w:ascii="Arial" w:hAnsi="Arial" w:eastAsia="Calibri" w:cs="Arial"/>
          <w:bCs/>
          <w:color w:val="000000" w:themeColor="text1"/>
          <w:sz w:val="22"/>
          <w:lang w:val="es-ES_tradnl"/>
        </w:rPr>
        <w:t>del 28 de febrero de 2022</w:t>
      </w:r>
      <w:r w:rsidRPr="00AA07F0">
        <w:rPr>
          <w:rFonts w:ascii="Arial" w:hAnsi="Arial" w:eastAsia="Calibri" w:cs="Arial"/>
          <w:sz w:val="22"/>
          <w:szCs w:val="22"/>
          <w:lang w:val="es-MX" w:eastAsia="en-US"/>
        </w:rPr>
        <w:t xml:space="preserve">, </w:t>
      </w:r>
      <w:r w:rsidR="00A9767A">
        <w:rPr>
          <w:rFonts w:ascii="Arial" w:hAnsi="Arial" w:eastAsia="Calibri" w:cs="Arial"/>
          <w:sz w:val="22"/>
          <w:szCs w:val="22"/>
          <w:lang w:val="es-MX" w:eastAsia="en-US"/>
        </w:rPr>
        <w:t>en los que</w:t>
      </w:r>
      <w:r w:rsidRPr="00AA07F0">
        <w:rPr>
          <w:rFonts w:ascii="Arial" w:hAnsi="Arial" w:eastAsia="Calibri" w:cs="Arial"/>
          <w:sz w:val="22"/>
          <w:szCs w:val="22"/>
          <w:lang w:val="es-MX" w:eastAsia="en-US"/>
        </w:rPr>
        <w:t xml:space="preserve"> consideró </w:t>
      </w:r>
      <w:r w:rsidR="00A9767A">
        <w:rPr>
          <w:rFonts w:ascii="Arial" w:hAnsi="Arial" w:eastAsia="Calibri" w:cs="Arial"/>
          <w:sz w:val="22"/>
          <w:szCs w:val="22"/>
          <w:lang w:val="es-MX" w:eastAsia="en-US"/>
        </w:rPr>
        <w:t>lo siguiente</w:t>
      </w:r>
      <w:r w:rsidRPr="00AA07F0">
        <w:rPr>
          <w:rFonts w:ascii="Arial" w:hAnsi="Arial" w:eastAsia="Calibri" w:cs="Arial"/>
          <w:sz w:val="22"/>
          <w:szCs w:val="22"/>
          <w:lang w:val="es-MX" w:eastAsia="en-US"/>
        </w:rPr>
        <w:t>:</w:t>
      </w:r>
    </w:p>
    <w:p w:rsidRPr="00AA07F0" w:rsidR="00AA07F0" w:rsidP="00AA07F0" w:rsidRDefault="00AA07F0" w14:paraId="54DEC4CF" w14:textId="77777777">
      <w:pPr>
        <w:spacing w:line="276" w:lineRule="auto"/>
        <w:ind w:right="49" w:firstLine="708"/>
        <w:jc w:val="both"/>
        <w:rPr>
          <w:rFonts w:ascii="Arial" w:hAnsi="Arial" w:eastAsia="Calibri" w:cs="Arial"/>
          <w:sz w:val="22"/>
          <w:szCs w:val="22"/>
          <w:lang w:val="es-MX" w:eastAsia="en-US"/>
        </w:rPr>
      </w:pPr>
    </w:p>
    <w:p w:rsidRPr="00AA07F0" w:rsidR="00AA07F0" w:rsidP="00AA07F0" w:rsidRDefault="00AA07F0" w14:paraId="013126D3" w14:textId="77777777">
      <w:pPr>
        <w:ind w:left="709" w:right="709"/>
        <w:jc w:val="both"/>
        <w:rPr>
          <w:rFonts w:ascii="Arial" w:hAnsi="Arial" w:eastAsia="Calibri" w:cs="Arial"/>
          <w:sz w:val="21"/>
          <w:szCs w:val="21"/>
          <w:lang w:val="es-MX" w:eastAsia="en-US"/>
        </w:rPr>
      </w:pPr>
      <w:r w:rsidRPr="00AA07F0">
        <w:rPr>
          <w:rFonts w:ascii="Arial" w:hAnsi="Arial" w:eastAsia="Calibri" w:cs="Arial"/>
          <w:sz w:val="21"/>
          <w:szCs w:val="21"/>
          <w:lang w:val="es-MX" w:eastAsia="en-US"/>
        </w:rPr>
        <w:t>[…] la obligatoriedad de publicar las actuaciones contractuales de las entidades no está sujeta a la ejecución de recursos públicos, por ende, las entidades deben publicar los documentos relacionados con sus procedimientos contractuales, que según el artículo 2.2.1.1.1.3.1. del Decreto 1082 de 2015, incluyen el contrato y cualquier otro documento expedido por la entidad en el desarrollo de esa actividad</w:t>
      </w:r>
      <w:r w:rsidRPr="00AA07F0">
        <w:rPr>
          <w:rFonts w:ascii="Arial" w:hAnsi="Arial" w:eastAsia="Calibri" w:cs="Arial"/>
          <w:sz w:val="21"/>
          <w:szCs w:val="21"/>
          <w:vertAlign w:val="superscript"/>
          <w:lang w:val="es-MX" w:eastAsia="en-US"/>
        </w:rPr>
        <w:footnoteReference w:id="57"/>
      </w:r>
      <w:r w:rsidRPr="00AA07F0">
        <w:rPr>
          <w:rFonts w:ascii="Arial" w:hAnsi="Arial" w:eastAsia="Calibri" w:cs="Arial"/>
          <w:sz w:val="21"/>
          <w:szCs w:val="21"/>
          <w:lang w:val="es-MX" w:eastAsia="en-US"/>
        </w:rPr>
        <w:t>.</w:t>
      </w:r>
    </w:p>
    <w:p w:rsidRPr="00AA07F0" w:rsidR="00AA07F0" w:rsidP="00AA07F0" w:rsidRDefault="00AA07F0" w14:paraId="55AB1629" w14:textId="77777777">
      <w:pPr>
        <w:spacing w:line="276" w:lineRule="auto"/>
        <w:ind w:left="708" w:right="680"/>
        <w:jc w:val="both"/>
        <w:rPr>
          <w:rFonts w:ascii="Arial" w:hAnsi="Arial" w:eastAsia="Calibri" w:cs="Arial"/>
          <w:sz w:val="21"/>
          <w:szCs w:val="21"/>
          <w:lang w:val="es-MX" w:eastAsia="en-US"/>
        </w:rPr>
      </w:pPr>
    </w:p>
    <w:p w:rsidRPr="00AA07F0" w:rsidR="00AA07F0" w:rsidP="00AA07F0" w:rsidRDefault="00AA07F0" w14:paraId="1F7E14DD" w14:textId="77777777">
      <w:pPr>
        <w:spacing w:after="120" w:line="276" w:lineRule="auto"/>
        <w:ind w:firstLine="709"/>
        <w:jc w:val="both"/>
        <w:rPr>
          <w:rFonts w:ascii="Arial" w:hAnsi="Arial" w:eastAsia="Calibri" w:cs="Arial"/>
          <w:sz w:val="22"/>
          <w:szCs w:val="22"/>
          <w:lang w:val="es-MX" w:eastAsia="en-US"/>
        </w:rPr>
      </w:pPr>
      <w:r w:rsidRPr="00AA07F0">
        <w:rPr>
          <w:rFonts w:ascii="Arial" w:hAnsi="Arial" w:eastAsia="Calibri" w:cs="Arial"/>
          <w:sz w:val="22"/>
          <w:szCs w:val="22"/>
          <w:lang w:val="es-MX" w:eastAsia="en-US"/>
        </w:rPr>
        <w:t>Debe precisarse que la calidad de contrato estatal obedece a un criterio eminentemente orgánico</w:t>
      </w:r>
      <w:r w:rsidRPr="00AA07F0">
        <w:rPr>
          <w:rFonts w:ascii="Arial" w:hAnsi="Arial" w:eastAsia="Calibri" w:cs="Arial"/>
          <w:sz w:val="22"/>
          <w:szCs w:val="22"/>
          <w:vertAlign w:val="superscript"/>
          <w:lang w:val="es-MX" w:eastAsia="en-US"/>
        </w:rPr>
        <w:footnoteReference w:id="58"/>
      </w:r>
      <w:r w:rsidRPr="00AA07F0">
        <w:rPr>
          <w:rFonts w:ascii="Arial" w:hAnsi="Arial" w:eastAsia="Calibri" w:cs="Arial"/>
          <w:sz w:val="22"/>
          <w:szCs w:val="22"/>
          <w:lang w:val="es-MX" w:eastAsia="en-US"/>
        </w:rPr>
        <w:t xml:space="preserve">, por lo que son todos aquellos celebrados por alguna de entidad estatal, de las cuales, las enlistadas en el artículo 2 de la Ley 80 de 1993, están obligadas a aplicar las normas contenidas en dicha ley. No obstante, la Ley 80 de 1993, la Ley 1150 de 1993 y su reglamentación, no constituyen un conjunto de normas que por sí solas gobiernen el grueso de las relaciones contractuales de las entidades estatales –de acuerdo con el artículo 2 </w:t>
      </w:r>
      <w:proofErr w:type="spellStart"/>
      <w:r w:rsidRPr="00AA07F0">
        <w:rPr>
          <w:rFonts w:ascii="Arial" w:hAnsi="Arial" w:eastAsia="Calibri" w:cs="Arial"/>
          <w:i/>
          <w:iCs/>
          <w:sz w:val="22"/>
          <w:szCs w:val="22"/>
          <w:lang w:val="es-MX" w:eastAsia="en-US"/>
        </w:rPr>
        <w:t>Ibídem</w:t>
      </w:r>
      <w:proofErr w:type="spellEnd"/>
      <w:r w:rsidRPr="00AA07F0">
        <w:rPr>
          <w:rFonts w:ascii="Arial" w:hAnsi="Arial" w:eastAsia="Calibri" w:cs="Arial"/>
          <w:sz w:val="22"/>
          <w:szCs w:val="22"/>
          <w:lang w:val="es-MX" w:eastAsia="en-US"/>
        </w:rPr>
        <w:t>–. Por el contrario, constituyen una serie de reglas y principios que deben aplicarse de manera prevalente en los contratos que celebren dichos entes, pero que deben complementarse con el derecho privado, –tal como se desprende de los artículos 13 y 40 de la Ley 80 de 1993</w:t>
      </w:r>
      <w:r w:rsidRPr="00AA07F0">
        <w:rPr>
          <w:rFonts w:ascii="Arial" w:hAnsi="Arial" w:eastAsia="Calibri" w:cs="Arial"/>
          <w:sz w:val="22"/>
          <w:szCs w:val="22"/>
          <w:vertAlign w:val="superscript"/>
          <w:lang w:val="es-MX" w:eastAsia="en-US"/>
        </w:rPr>
        <w:footnoteReference w:id="59"/>
      </w:r>
      <w:r w:rsidRPr="00AA07F0">
        <w:rPr>
          <w:rFonts w:ascii="Arial" w:hAnsi="Arial" w:eastAsia="Calibri" w:cs="Arial"/>
          <w:sz w:val="22"/>
          <w:szCs w:val="22"/>
          <w:lang w:val="es-MX" w:eastAsia="en-US"/>
        </w:rPr>
        <w:t>– ámbito jurídico del que surgen la gran mayoría de tipologías contractuales celebradas por las entidades públicas.</w:t>
      </w:r>
    </w:p>
    <w:p w:rsidRPr="00AA07F0" w:rsidR="00AA07F0" w:rsidP="00AA07F0" w:rsidRDefault="00AA07F0" w14:paraId="42F32BCA" w14:textId="6706BEBF">
      <w:pPr>
        <w:spacing w:after="120" w:line="276" w:lineRule="auto"/>
        <w:ind w:firstLine="709"/>
        <w:jc w:val="both"/>
        <w:rPr>
          <w:rFonts w:ascii="Arial" w:hAnsi="Arial" w:eastAsia="Calibri" w:cs="Arial"/>
          <w:sz w:val="22"/>
          <w:szCs w:val="22"/>
          <w:lang w:val="es-MX" w:eastAsia="en-US"/>
        </w:rPr>
      </w:pPr>
      <w:r w:rsidRPr="00AA07F0">
        <w:rPr>
          <w:rFonts w:ascii="Arial" w:hAnsi="Arial" w:eastAsia="Calibri" w:cs="Arial"/>
          <w:sz w:val="22"/>
          <w:szCs w:val="22"/>
          <w:lang w:val="es-MX" w:eastAsia="en-US"/>
        </w:rPr>
        <w:t xml:space="preserve">De acuerdo con esto, las entidades estatales regidas por el EGCAP están habilitadas para celebrar los contratos que suelen celebrar los particulares entre sí, en ejercicio de la autonomía de la voluntad privada. En ese sentido, puede ocurrir que dentro de la gestión ordinaria de sus competencias las entidades tengan necesidades que deban ser satisfechas a través de contratos como el arrendamiento, en los que además de las disposiciones del EGCAP deberán aplicarse en su mayoría normas de derecho privado, lo que de ninguna manera desvirtúa la calidad de estatal de dichos contratos. </w:t>
      </w:r>
    </w:p>
    <w:p w:rsidR="002E0D15" w:rsidP="006C6C26" w:rsidRDefault="00AA07F0" w14:paraId="67EA3F69" w14:textId="385482EA">
      <w:pPr>
        <w:spacing w:line="276" w:lineRule="auto"/>
        <w:ind w:firstLine="709"/>
        <w:jc w:val="both"/>
        <w:rPr>
          <w:rFonts w:ascii="Arial" w:hAnsi="Arial" w:eastAsia="Calibri" w:cs="Arial"/>
          <w:sz w:val="22"/>
          <w:szCs w:val="22"/>
          <w:lang w:val="es-MX" w:eastAsia="en-US"/>
        </w:rPr>
      </w:pPr>
      <w:r w:rsidRPr="00AA07F0">
        <w:rPr>
          <w:rFonts w:ascii="Arial" w:hAnsi="Arial" w:eastAsia="Calibri" w:cs="Arial"/>
          <w:sz w:val="22"/>
          <w:szCs w:val="22"/>
          <w:lang w:val="es-MX" w:eastAsia="en-US"/>
        </w:rPr>
        <w:t xml:space="preserve">Dicha calidad de contrato estatal tampoco depende de que la relación contractual implique o no la erogación de recursos públicos, pues se reitera, ello obedece a un criterio eminentemente orgánico. De acuerdo con esto, independientemente de que las entidades estatales realicen o no desembolsos de dinero a título de contraprestación, los contratos estatales, en tanto son celebrados para satisfacer necesidades de las entidades estatales, las cuales están asociadas al cumplimiento de sus funciones administrativas y cometidos misionales, involucran un interés público. En razón a dicho interés, el legislador mediante el artículo 3 de la Ley 1150 de 2007 y la normativa de la transparencia y el acceso a la información pública, materializa los principios de publicidad y transparencia en el ámbito de la contratación estatal, estableciendo el SECOP como medio de publicidad principal de las actuaciones contractuales públicas. </w:t>
      </w:r>
    </w:p>
    <w:p w:rsidRPr="00E459AA" w:rsidR="00E459AA" w:rsidP="00E459AA" w:rsidRDefault="002E0D15" w14:paraId="70DE9744" w14:textId="563F195A">
      <w:pPr>
        <w:spacing w:before="120" w:line="276" w:lineRule="auto"/>
        <w:ind w:firstLine="709"/>
        <w:jc w:val="both"/>
        <w:rPr>
          <w:rFonts w:ascii="Arial" w:hAnsi="Arial" w:eastAsia="Calibri" w:cs="Arial"/>
          <w:color w:val="000000"/>
          <w:sz w:val="22"/>
          <w:szCs w:val="22"/>
          <w:lang w:val="es-ES_tradnl" w:eastAsia="es-ES_tradnl"/>
        </w:rPr>
      </w:pPr>
      <w:r w:rsidRPr="003513C1">
        <w:rPr>
          <w:rFonts w:ascii="Arial" w:hAnsi="Arial" w:eastAsia="Calibri" w:cs="Arial"/>
          <w:sz w:val="22"/>
          <w:szCs w:val="22"/>
          <w:lang w:val="es-MX" w:eastAsia="en-US"/>
        </w:rPr>
        <w:t>Por otra parte, conviene mencionar que</w:t>
      </w:r>
      <w:r w:rsidRPr="003513C1" w:rsidR="003513C1">
        <w:rPr>
          <w:rFonts w:ascii="Arial" w:hAnsi="Arial" w:eastAsia="Calibri" w:cs="Arial"/>
          <w:sz w:val="22"/>
          <w:szCs w:val="22"/>
          <w:lang w:val="es-MX" w:eastAsia="en-US"/>
        </w:rPr>
        <w:t xml:space="preserve">, </w:t>
      </w:r>
      <w:r w:rsidRPr="00E459AA" w:rsidR="00E459AA">
        <w:rPr>
          <w:rFonts w:ascii="Arial" w:hAnsi="Arial" w:eastAsia="Calibri" w:cs="Arial"/>
          <w:color w:val="000000"/>
          <w:sz w:val="22"/>
          <w:szCs w:val="22"/>
          <w:lang w:val="es-ES_tradnl" w:eastAsia="es-ES_tradnl"/>
        </w:rPr>
        <w:t>el artículo 53 de la Ley 2195 de 2022</w:t>
      </w:r>
      <w:r w:rsidR="00580A3F">
        <w:rPr>
          <w:rFonts w:ascii="Arial" w:hAnsi="Arial" w:eastAsia="Calibri" w:cs="Arial"/>
          <w:color w:val="000000"/>
          <w:sz w:val="22"/>
          <w:szCs w:val="22"/>
          <w:lang w:val="es-ES_tradnl" w:eastAsia="es-ES_tradnl"/>
        </w:rPr>
        <w:t>,</w:t>
      </w:r>
      <w:r w:rsidRPr="00E459AA" w:rsidR="00E459AA">
        <w:rPr>
          <w:rFonts w:ascii="Arial" w:hAnsi="Arial" w:eastAsia="Calibri" w:cs="Arial"/>
          <w:color w:val="000000"/>
          <w:sz w:val="22"/>
          <w:szCs w:val="22"/>
          <w:lang w:val="es-ES_tradnl" w:eastAsia="es-ES_tradnl"/>
        </w:rPr>
        <w:t xml:space="preserve"> hace obligatorio el uso del SECOP II para las entidades exceptuadas del Estatuto General de Contratación de la Administración Pública. En efecto, esta norma dispone:</w:t>
      </w:r>
    </w:p>
    <w:p w:rsidRPr="00E459AA" w:rsidR="00E459AA" w:rsidP="00E459AA" w:rsidRDefault="00E459AA" w14:paraId="265DFB20" w14:textId="77777777">
      <w:pPr>
        <w:ind w:left="709" w:right="709"/>
        <w:jc w:val="both"/>
        <w:rPr>
          <w:rFonts w:ascii="Arial" w:hAnsi="Arial" w:eastAsia="Calibri" w:cs="Arial"/>
          <w:color w:val="000000"/>
          <w:sz w:val="21"/>
          <w:szCs w:val="21"/>
          <w:lang w:val="es-ES_tradnl" w:eastAsia="es-ES_tradnl"/>
        </w:rPr>
      </w:pPr>
    </w:p>
    <w:p w:rsidRPr="00E459AA" w:rsidR="00E459AA" w:rsidP="00E459AA" w:rsidRDefault="00E459AA" w14:paraId="7E77B1FE" w14:textId="77777777">
      <w:pPr>
        <w:ind w:left="709" w:right="709"/>
        <w:jc w:val="both"/>
        <w:rPr>
          <w:rFonts w:ascii="Arial" w:hAnsi="Arial" w:eastAsia="Calibri" w:cs="Arial"/>
          <w:sz w:val="21"/>
          <w:szCs w:val="21"/>
          <w:lang w:eastAsia="es-ES_tradnl"/>
        </w:rPr>
      </w:pPr>
      <w:r w:rsidRPr="00E459AA">
        <w:rPr>
          <w:rFonts w:ascii="Arial" w:hAnsi="Arial" w:eastAsia="Calibri" w:cs="Arial"/>
          <w:sz w:val="21"/>
          <w:szCs w:val="21"/>
          <w:lang w:eastAsia="es-ES_tradnl"/>
        </w:rPr>
        <w:t>Adiciónese los siguientes incisos al artículo 13 de la Ley 1150 de 2007, el cual quedará así:</w:t>
      </w:r>
    </w:p>
    <w:p w:rsidRPr="00E459AA" w:rsidR="00E459AA" w:rsidP="00E459AA" w:rsidRDefault="00E459AA" w14:paraId="50F46664" w14:textId="77777777">
      <w:pPr>
        <w:ind w:left="709" w:right="709"/>
        <w:jc w:val="both"/>
        <w:rPr>
          <w:rFonts w:ascii="Arial" w:hAnsi="Arial" w:eastAsia="Calibri" w:cs="Arial"/>
          <w:sz w:val="21"/>
          <w:szCs w:val="21"/>
          <w:lang w:eastAsia="es-ES_tradnl"/>
        </w:rPr>
      </w:pPr>
    </w:p>
    <w:p w:rsidRPr="00E459AA" w:rsidR="00E459AA" w:rsidP="00E459AA" w:rsidRDefault="00E459AA" w14:paraId="4B08F3C0" w14:textId="77777777">
      <w:pPr>
        <w:ind w:left="709" w:right="709"/>
        <w:jc w:val="both"/>
        <w:rPr>
          <w:rFonts w:ascii="Arial" w:hAnsi="Arial" w:eastAsia="Calibri" w:cs="Arial"/>
          <w:sz w:val="21"/>
          <w:szCs w:val="21"/>
          <w:lang w:eastAsia="es-ES_tradnl"/>
        </w:rPr>
      </w:pPr>
      <w:r w:rsidRPr="00E459AA">
        <w:rPr>
          <w:rFonts w:ascii="Arial" w:hAnsi="Arial" w:eastAsia="Calibri" w:cs="Arial"/>
          <w:sz w:val="21"/>
          <w:szCs w:val="21"/>
          <w:lang w:eastAsia="es-ES_tradnl"/>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rsidRPr="00E459AA" w:rsidR="00E459AA" w:rsidP="00E459AA" w:rsidRDefault="00E459AA" w14:paraId="317BFC65" w14:textId="77777777">
      <w:pPr>
        <w:ind w:left="709" w:right="709"/>
        <w:jc w:val="both"/>
        <w:rPr>
          <w:rFonts w:ascii="Arial" w:hAnsi="Arial" w:eastAsia="Calibri" w:cs="Arial"/>
          <w:sz w:val="21"/>
          <w:szCs w:val="21"/>
          <w:lang w:eastAsia="es-ES_tradnl"/>
        </w:rPr>
      </w:pPr>
    </w:p>
    <w:p w:rsidRPr="00E459AA" w:rsidR="00E459AA" w:rsidP="00E459AA" w:rsidRDefault="00E459AA" w14:paraId="7C8E7AE4" w14:textId="77777777">
      <w:pPr>
        <w:ind w:left="709" w:right="709"/>
        <w:jc w:val="both"/>
        <w:rPr>
          <w:rFonts w:ascii="Arial" w:hAnsi="Arial" w:eastAsia="Calibri" w:cs="Arial"/>
          <w:sz w:val="21"/>
          <w:szCs w:val="21"/>
          <w:lang w:eastAsia="es-ES_tradnl"/>
        </w:rPr>
      </w:pPr>
      <w:r w:rsidRPr="00E459AA">
        <w:rPr>
          <w:rFonts w:ascii="Arial" w:hAnsi="Arial" w:eastAsia="Calibri" w:cs="Arial"/>
          <w:sz w:val="21"/>
          <w:szCs w:val="21"/>
          <w:lang w:eastAsia="es-ES_tradnl"/>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E459AA">
        <w:rPr>
          <w:rFonts w:ascii="Arial" w:hAnsi="Arial" w:eastAsia="Calibri" w:cs="Arial"/>
          <w:sz w:val="21"/>
          <w:szCs w:val="21"/>
          <w:lang w:eastAsia="es-ES_tradnl"/>
        </w:rPr>
        <w:t>postcontractual</w:t>
      </w:r>
      <w:proofErr w:type="spellEnd"/>
      <w:r w:rsidRPr="00E459AA">
        <w:rPr>
          <w:rFonts w:ascii="Arial" w:hAnsi="Arial" w:eastAsia="Calibri" w:cs="Arial"/>
          <w:sz w:val="21"/>
          <w:szCs w:val="21"/>
          <w:lang w:eastAsia="es-ES_tradnl"/>
        </w:rPr>
        <w:t>.</w:t>
      </w:r>
    </w:p>
    <w:p w:rsidRPr="00E459AA" w:rsidR="00E459AA" w:rsidP="00E459AA" w:rsidRDefault="00E459AA" w14:paraId="010D729F" w14:textId="77777777">
      <w:pPr>
        <w:ind w:left="709" w:right="709"/>
        <w:jc w:val="both"/>
        <w:rPr>
          <w:rFonts w:ascii="Arial" w:hAnsi="Arial" w:eastAsia="Calibri" w:cs="Arial"/>
          <w:sz w:val="21"/>
          <w:szCs w:val="21"/>
          <w:lang w:eastAsia="es-ES_tradnl"/>
        </w:rPr>
      </w:pPr>
    </w:p>
    <w:p w:rsidRPr="00E459AA" w:rsidR="00E459AA" w:rsidP="00E459AA" w:rsidRDefault="00E459AA" w14:paraId="7BF2DF8D" w14:textId="77777777">
      <w:pPr>
        <w:ind w:left="709" w:right="709"/>
        <w:jc w:val="both"/>
        <w:rPr>
          <w:rFonts w:ascii="Arial" w:hAnsi="Arial" w:eastAsia="Calibri" w:cs="Arial"/>
          <w:sz w:val="21"/>
          <w:szCs w:val="21"/>
          <w:lang w:eastAsia="es-ES_tradnl"/>
        </w:rPr>
      </w:pPr>
      <w:r w:rsidRPr="00E459AA">
        <w:rPr>
          <w:rFonts w:ascii="Arial" w:hAnsi="Arial" w:eastAsia="Calibri" w:cs="Arial"/>
          <w:sz w:val="21"/>
          <w:szCs w:val="21"/>
          <w:lang w:eastAsia="es-ES_tradnl"/>
        </w:rPr>
        <w:t xml:space="preserve">A partir de la </w:t>
      </w:r>
      <w:proofErr w:type="gramStart"/>
      <w:r w:rsidRPr="00E459AA">
        <w:rPr>
          <w:rFonts w:ascii="Arial" w:hAnsi="Arial" w:eastAsia="Calibri" w:cs="Arial"/>
          <w:sz w:val="21"/>
          <w:szCs w:val="21"/>
          <w:lang w:eastAsia="es-ES_tradnl"/>
        </w:rPr>
        <w:t>entrada en vigencia</w:t>
      </w:r>
      <w:proofErr w:type="gramEnd"/>
      <w:r w:rsidRPr="00E459AA">
        <w:rPr>
          <w:rFonts w:ascii="Arial" w:hAnsi="Arial" w:eastAsia="Calibri" w:cs="Arial"/>
          <w:sz w:val="21"/>
          <w:szCs w:val="21"/>
          <w:lang w:eastAsia="es-ES_tradnl"/>
        </w:rPr>
        <w:t xml:space="preserve"> de la presente Ley, se establecerá un periodo de transición de seis (6) meses, para que las entidades den cumplimiento efectivo a lo aquí establecido.</w:t>
      </w:r>
    </w:p>
    <w:p w:rsidRPr="00E459AA" w:rsidR="00E459AA" w:rsidP="00E459AA" w:rsidRDefault="00E459AA" w14:paraId="2F77215B" w14:textId="77777777">
      <w:pPr>
        <w:spacing w:line="276" w:lineRule="auto"/>
        <w:ind w:firstLine="709"/>
        <w:jc w:val="both"/>
        <w:rPr>
          <w:rFonts w:ascii="Arial" w:hAnsi="Arial" w:eastAsia="Calibri" w:cs="Arial"/>
          <w:color w:val="000000"/>
          <w:sz w:val="22"/>
          <w:szCs w:val="22"/>
          <w:lang w:val="es-ES_tradnl" w:eastAsia="es-ES_tradnl"/>
        </w:rPr>
      </w:pPr>
    </w:p>
    <w:p w:rsidR="00E459AA" w:rsidP="00FD7DA9" w:rsidRDefault="00E459AA" w14:paraId="08476C1D" w14:textId="1249AF6C">
      <w:pPr>
        <w:spacing w:after="120" w:line="276" w:lineRule="auto"/>
        <w:ind w:firstLine="709"/>
        <w:jc w:val="both"/>
        <w:rPr>
          <w:rFonts w:ascii="Arial" w:hAnsi="Arial" w:eastAsia="Calibri" w:cs="Arial"/>
          <w:color w:val="000000"/>
          <w:sz w:val="22"/>
          <w:szCs w:val="22"/>
          <w:lang w:val="es-ES_tradnl" w:eastAsia="es-ES_tradnl"/>
        </w:rPr>
      </w:pPr>
      <w:r w:rsidRPr="00E459AA">
        <w:rPr>
          <w:rFonts w:ascii="Arial" w:hAnsi="Arial" w:eastAsia="Calibri" w:cs="Arial"/>
          <w:color w:val="000000"/>
          <w:sz w:val="22"/>
          <w:szCs w:val="22"/>
          <w:lang w:val="es-ES_tradnl" w:eastAsia="es-ES_tradnl"/>
        </w:rPr>
        <w:t>Como puede observarse, aunque la publicación en el SECOP de los documentos relacionados con la actividad contractual ya era obligatoria –lo sigue siendo– para las entidades que cuentan con un régimen especial, el artículo 53 de la Ley 2195 de 2022 –</w:t>
      </w:r>
      <w:r w:rsidRPr="00E459AA">
        <w:rPr>
          <w:rFonts w:ascii="Arial" w:hAnsi="Arial" w:eastAsia="Calibri" w:cs="Arial"/>
          <w:color w:val="000000"/>
          <w:sz w:val="22"/>
          <w:szCs w:val="22"/>
          <w:lang w:val="es-ES_tradnl" w:eastAsia="es-ES_tradnl"/>
        </w:rPr>
        <w:t xml:space="preserve">que modifica el artículo 13 de la Ley 1150 de 2007– establece con mayor precisión este deber y lo complementa con la exigencia de emplear el SECOP II. En otras palabras, en el artículo 53 de la Ley 2195 de 2022 el Congreso de la República dispone que las entidades estatales exceptuadas del Estatuto General de Contratación de la Administración Pública deben publicar en el SECOP II –es decir en la plataforma transaccional vigente– su actividad contractual. </w:t>
      </w:r>
    </w:p>
    <w:p w:rsidRPr="00E459AA" w:rsidR="00B95DA5" w:rsidP="00E459AA" w:rsidRDefault="00B95DA5" w14:paraId="2FDB7ACE" w14:textId="08F67187">
      <w:pPr>
        <w:spacing w:line="276" w:lineRule="auto"/>
        <w:ind w:firstLine="709"/>
        <w:jc w:val="both"/>
        <w:rPr>
          <w:rFonts w:ascii="Arial" w:hAnsi="Arial" w:eastAsia="Calibri" w:cs="Arial"/>
          <w:color w:val="000000"/>
          <w:sz w:val="22"/>
          <w:szCs w:val="22"/>
          <w:lang w:val="es-ES_tradnl" w:eastAsia="es-ES_tradnl"/>
        </w:rPr>
      </w:pPr>
      <w:r>
        <w:rPr>
          <w:rStyle w:val="normaltextrun"/>
          <w:rFonts w:ascii="Arial" w:hAnsi="Arial" w:cs="Arial"/>
          <w:color w:val="000000"/>
          <w:sz w:val="22"/>
          <w:szCs w:val="22"/>
          <w:shd w:val="clear" w:color="auto" w:fill="FFFFFF"/>
          <w:lang w:val="es-ES"/>
        </w:rPr>
        <w:t>La Agencia Nacional de Contratación Pública – Colombia Compra Eficiente considera que al establecer el artículo 53 que este deber ha de cumplirse en el SECOP II «o la plataforma transaccional que haga sus veces» esto debe interpretarse en el sentido en que a pesar de que en la actualidad el SECOP II es la plataforma transaccional vigente en el Estado colombiano, si en el futuro esta es reemplazada por otra que tenga otra denominación, las entidades que tienen un régimen especial de contratación pública deben continuar publicando la documentación de su actividad transaccional en la nueva plataforma. </w:t>
      </w:r>
      <w:r>
        <w:rPr>
          <w:rStyle w:val="eop"/>
          <w:rFonts w:ascii="Arial" w:hAnsi="Arial" w:cs="Arial"/>
          <w:color w:val="000000"/>
          <w:sz w:val="22"/>
          <w:shd w:val="clear" w:color="auto" w:fill="FFFFFF"/>
        </w:rPr>
        <w:t> </w:t>
      </w:r>
    </w:p>
    <w:p w:rsidRPr="0067072C" w:rsidR="00AA07F0" w:rsidP="10E286E2" w:rsidRDefault="0067072C" w14:paraId="35ED479D" w14:textId="3B6F9915" w14:noSpellErr="1">
      <w:pPr>
        <w:spacing w:before="120" w:line="276" w:lineRule="auto"/>
        <w:ind w:firstLine="709"/>
        <w:jc w:val="both"/>
        <w:rPr>
          <w:rFonts w:ascii="Arial" w:hAnsi="Arial" w:eastAsia="Calibri" w:cs="Arial"/>
          <w:color w:val="000000"/>
          <w:sz w:val="22"/>
          <w:szCs w:val="22"/>
          <w:lang w:val="es-ES" w:eastAsia="es-ES"/>
        </w:rPr>
      </w:pPr>
      <w:r w:rsidRPr="10E286E2" w:rsidR="0067072C">
        <w:rPr>
          <w:rFonts w:ascii="Arial" w:hAnsi="Arial" w:eastAsia="Calibri" w:cs="Arial"/>
          <w:color w:val="000000"/>
          <w:sz w:val="22"/>
          <w:szCs w:val="22"/>
          <w:lang w:val="es-ES" w:eastAsia="es-ES"/>
        </w:rPr>
        <w:t xml:space="preserve">Finalmente, el referido artículo dispone, en el inciso final, que «A partir de la </w:t>
      </w:r>
      <w:r w:rsidRPr="10E286E2" w:rsidR="0067072C">
        <w:rPr>
          <w:rFonts w:ascii="Arial" w:hAnsi="Arial" w:eastAsia="Calibri" w:cs="Arial"/>
          <w:color w:val="000000"/>
          <w:sz w:val="22"/>
          <w:szCs w:val="22"/>
          <w:lang w:val="es-ES" w:eastAsia="es-ES"/>
        </w:rPr>
        <w:t>entrada en vigencia</w:t>
      </w:r>
      <w:r w:rsidRPr="10E286E2" w:rsidR="0067072C">
        <w:rPr>
          <w:rFonts w:ascii="Arial" w:hAnsi="Arial" w:eastAsia="Calibri" w:cs="Arial"/>
          <w:color w:val="000000"/>
          <w:sz w:val="22"/>
          <w:szCs w:val="22"/>
          <w:lang w:val="es-ES" w:eastAsia="es-ES"/>
        </w:rPr>
        <w:t xml:space="preserve"> de la presente Ley, se establecerá un periodo de transición de seis (6) meses, para que las entidades den cumplimiento efectivo a lo aquí establecido». Es decir que se trata de un período concedido por el Legislador a las entidades que tienen un régimen especial de contratación para adelantar las gestiones administrativas, técnicas y jurídicas pertinentes, a fin de cumplir lo establecido en el artículo 53. </w:t>
      </w:r>
      <w:r w:rsidRPr="10E286E2" w:rsidR="0060242C">
        <w:rPr>
          <w:rFonts w:ascii="Arial" w:hAnsi="Arial" w:eastAsia="Calibri" w:cs="Arial"/>
          <w:color w:val="000000"/>
          <w:sz w:val="22"/>
          <w:szCs w:val="22"/>
          <w:lang w:val="es-ES" w:eastAsia="es-ES"/>
        </w:rPr>
        <w:t>Al respecto, l</w:t>
      </w:r>
      <w:r w:rsidRPr="10E286E2" w:rsidR="0067072C">
        <w:rPr>
          <w:rFonts w:ascii="Arial" w:hAnsi="Arial" w:eastAsia="Calibri" w:cs="Arial"/>
          <w:color w:val="000000"/>
          <w:sz w:val="22"/>
          <w:szCs w:val="22"/>
          <w:lang w:val="es-ES" w:eastAsia="es-ES"/>
        </w:rPr>
        <w:t xml:space="preserve">a Agencia Nacional de Contratación Pública – Colombia Compra Eficiente </w:t>
      </w:r>
      <w:r w:rsidRPr="10E286E2" w:rsidR="0060242C">
        <w:rPr>
          <w:rFonts w:ascii="Arial" w:hAnsi="Arial" w:eastAsia="Calibri" w:cs="Arial"/>
          <w:color w:val="000000"/>
          <w:sz w:val="22"/>
          <w:szCs w:val="22"/>
          <w:lang w:val="es-ES" w:eastAsia="es-ES"/>
        </w:rPr>
        <w:t>mediante la Circular Externa No. 002 de</w:t>
      </w:r>
      <w:r w:rsidRPr="10E286E2" w:rsidR="00610B6B">
        <w:rPr>
          <w:rFonts w:ascii="Arial" w:hAnsi="Arial" w:eastAsia="Calibri" w:cs="Arial"/>
          <w:color w:val="000000"/>
          <w:sz w:val="22"/>
          <w:szCs w:val="22"/>
          <w:lang w:val="es-ES" w:eastAsia="es-ES"/>
        </w:rPr>
        <w:t xml:space="preserve">l 17 de marzo de 2022, </w:t>
      </w:r>
      <w:r w:rsidRPr="10E286E2" w:rsidR="0067072C">
        <w:rPr>
          <w:rFonts w:ascii="Arial" w:hAnsi="Arial" w:eastAsia="Calibri" w:cs="Arial"/>
          <w:color w:val="000000"/>
          <w:sz w:val="22"/>
          <w:szCs w:val="22"/>
          <w:lang w:val="es-ES" w:eastAsia="es-ES"/>
        </w:rPr>
        <w:t>imparti</w:t>
      </w:r>
      <w:r w:rsidRPr="10E286E2" w:rsidR="00610B6B">
        <w:rPr>
          <w:rFonts w:ascii="Arial" w:hAnsi="Arial" w:eastAsia="Calibri" w:cs="Arial"/>
          <w:color w:val="000000"/>
          <w:sz w:val="22"/>
          <w:szCs w:val="22"/>
          <w:lang w:val="es-ES" w:eastAsia="es-ES"/>
        </w:rPr>
        <w:t>ó</w:t>
      </w:r>
      <w:r w:rsidRPr="10E286E2" w:rsidR="0067072C">
        <w:rPr>
          <w:rFonts w:ascii="Arial" w:hAnsi="Arial" w:eastAsia="Calibri" w:cs="Arial"/>
          <w:color w:val="000000"/>
          <w:sz w:val="22"/>
          <w:szCs w:val="22"/>
          <w:lang w:val="es-ES" w:eastAsia="es-ES"/>
        </w:rPr>
        <w:t xml:space="preserve"> directrices sobre este tema </w:t>
      </w:r>
      <w:r w:rsidRPr="10E286E2" w:rsidR="00E6594A">
        <w:rPr>
          <w:rFonts w:ascii="Arial" w:hAnsi="Arial" w:eastAsia="Calibri" w:cs="Arial"/>
          <w:color w:val="000000"/>
          <w:sz w:val="22"/>
          <w:szCs w:val="22"/>
          <w:lang w:val="es-ES" w:eastAsia="es-ES"/>
        </w:rPr>
        <w:t>y determinó</w:t>
      </w:r>
      <w:r w:rsidRPr="10E286E2" w:rsidR="007F7C30">
        <w:rPr>
          <w:rFonts w:ascii="Arial" w:hAnsi="Arial" w:eastAsia="Calibri" w:cs="Arial"/>
          <w:color w:val="000000"/>
          <w:sz w:val="22"/>
          <w:szCs w:val="22"/>
          <w:lang w:val="es-ES" w:eastAsia="es-ES"/>
        </w:rPr>
        <w:t>, entre otras cosas,</w:t>
      </w:r>
      <w:r w:rsidRPr="10E286E2" w:rsidR="00E6594A">
        <w:rPr>
          <w:rFonts w:ascii="Arial" w:hAnsi="Arial" w:eastAsia="Calibri" w:cs="Arial"/>
          <w:color w:val="000000"/>
          <w:sz w:val="22"/>
          <w:szCs w:val="22"/>
          <w:lang w:val="es-ES" w:eastAsia="es-ES"/>
        </w:rPr>
        <w:t xml:space="preserve"> </w:t>
      </w:r>
      <w:r w:rsidRPr="10E286E2" w:rsidR="00E6594A">
        <w:rPr>
          <w:rFonts w:ascii="Arial" w:hAnsi="Arial" w:eastAsia="Calibri" w:cs="Arial"/>
          <w:color w:val="000000"/>
          <w:sz w:val="22"/>
          <w:szCs w:val="22"/>
          <w:lang w:val="es-ES" w:eastAsia="es-ES"/>
        </w:rPr>
        <w:t>que</w:t>
      </w:r>
      <w:r w:rsidRPr="10E286E2" w:rsidR="00996FAE">
        <w:rPr>
          <w:rFonts w:ascii="Arial" w:hAnsi="Arial" w:eastAsia="Calibri" w:cs="Arial"/>
          <w:color w:val="000000"/>
          <w:sz w:val="22"/>
          <w:szCs w:val="22"/>
          <w:lang w:val="es-ES" w:eastAsia="es-ES"/>
        </w:rPr>
        <w:t xml:space="preserve"> de conformidad con la nueva disposición</w:t>
      </w:r>
      <w:r w:rsidRPr="10E286E2" w:rsidR="00B320E4">
        <w:rPr>
          <w:rFonts w:ascii="Arial" w:hAnsi="Arial" w:eastAsia="Calibri" w:cs="Arial"/>
          <w:color w:val="000000"/>
          <w:sz w:val="22"/>
          <w:szCs w:val="22"/>
          <w:lang w:val="es-ES" w:eastAsia="es-ES"/>
        </w:rPr>
        <w:t xml:space="preserve"> normativa,</w:t>
      </w:r>
      <w:r w:rsidRPr="10E286E2" w:rsidR="00E6594A">
        <w:rPr>
          <w:rFonts w:ascii="Arial" w:hAnsi="Arial" w:eastAsia="Calibri" w:cs="Arial"/>
          <w:color w:val="000000"/>
          <w:sz w:val="22"/>
          <w:szCs w:val="22"/>
          <w:lang w:val="es-ES" w:eastAsia="es-ES"/>
        </w:rPr>
        <w:t xml:space="preserve"> la obligatoriedad de</w:t>
      </w:r>
      <w:r w:rsidRPr="10E286E2" w:rsidR="00C169EE">
        <w:rPr>
          <w:rFonts w:ascii="Arial" w:hAnsi="Arial" w:eastAsia="Calibri" w:cs="Arial"/>
          <w:color w:val="000000"/>
          <w:sz w:val="22"/>
          <w:szCs w:val="22"/>
          <w:lang w:val="es-ES" w:eastAsia="es-ES"/>
        </w:rPr>
        <w:t>l uso del SECOP II para las entidades de régimen especial, empezará a regir a partir del 18 de julio de 2022 a las 23:59 horas</w:t>
      </w:r>
      <w:r w:rsidRPr="10E286E2" w:rsidR="0053584B">
        <w:rPr>
          <w:rStyle w:val="Refdenotaalpie"/>
          <w:rFonts w:ascii="Arial" w:hAnsi="Arial" w:eastAsia="Calibri" w:cs="Arial"/>
          <w:color w:val="000000"/>
          <w:sz w:val="22"/>
          <w:szCs w:val="22"/>
          <w:lang w:val="es-ES" w:eastAsia="es-ES"/>
        </w:rPr>
        <w:footnoteReference w:id="60"/>
      </w:r>
      <w:r w:rsidRPr="10E286E2" w:rsidR="0067072C">
        <w:rPr>
          <w:rFonts w:ascii="Arial" w:hAnsi="Arial" w:eastAsia="Calibri" w:cs="Arial"/>
          <w:color w:val="000000"/>
          <w:sz w:val="22"/>
          <w:szCs w:val="22"/>
          <w:lang w:val="es-ES" w:eastAsia="es-ES"/>
        </w:rPr>
        <w:t>.</w:t>
      </w:r>
    </w:p>
    <w:bookmarkEnd w:id="51"/>
    <w:p w:rsidRPr="002F0981" w:rsidR="00705A56" w:rsidRDefault="00705A56" w14:paraId="06DC0C8A" w14:textId="42D9BD89">
      <w:pPr>
        <w:spacing w:line="276" w:lineRule="auto"/>
        <w:jc w:val="both"/>
        <w:rPr>
          <w:rFonts w:ascii="Arial" w:hAnsi="Arial" w:eastAsia="Calibri" w:cs="Arial"/>
          <w:b/>
          <w:bCs/>
          <w:sz w:val="22"/>
        </w:rPr>
      </w:pPr>
    </w:p>
    <w:p w:rsidRPr="002F0981" w:rsidR="00C33A69" w:rsidP="006C0EA1" w:rsidRDefault="001E2319" w14:paraId="13355948" w14:textId="3EC09FF6">
      <w:pPr>
        <w:tabs>
          <w:tab w:val="left" w:pos="709"/>
        </w:tabs>
        <w:spacing w:line="276" w:lineRule="auto"/>
        <w:jc w:val="both"/>
        <w:rPr>
          <w:rFonts w:ascii="Arial" w:hAnsi="Arial" w:eastAsia="Calibri" w:cs="Arial"/>
          <w:b/>
          <w:sz w:val="22"/>
          <w:lang w:val="es-ES_tradnl"/>
        </w:rPr>
      </w:pPr>
      <w:r w:rsidRPr="002F0981">
        <w:rPr>
          <w:rFonts w:ascii="Arial" w:hAnsi="Arial" w:eastAsia="Calibri" w:cs="Arial"/>
          <w:b/>
          <w:sz w:val="22"/>
          <w:lang w:val="es-ES_tradnl"/>
        </w:rPr>
        <w:t xml:space="preserve">3. </w:t>
      </w:r>
      <w:r w:rsidRPr="002F0981" w:rsidR="00C33A69">
        <w:rPr>
          <w:rFonts w:ascii="Arial" w:hAnsi="Arial" w:eastAsia="Calibri" w:cs="Arial"/>
          <w:b/>
          <w:sz w:val="22"/>
          <w:lang w:val="es-ES_tradnl"/>
        </w:rPr>
        <w:t>Respuesta</w:t>
      </w:r>
      <w:r w:rsidR="007702EC">
        <w:rPr>
          <w:rFonts w:ascii="Arial" w:hAnsi="Arial" w:eastAsia="Calibri" w:cs="Arial"/>
          <w:b/>
          <w:sz w:val="22"/>
          <w:lang w:val="es-ES_tradnl"/>
        </w:rPr>
        <w:t>s</w:t>
      </w:r>
    </w:p>
    <w:p w:rsidRPr="002F0981" w:rsidR="00C33A69" w:rsidP="0093085B" w:rsidRDefault="00C33A69" w14:paraId="2D7B54D8" w14:textId="5C13726D">
      <w:pPr>
        <w:tabs>
          <w:tab w:val="left" w:pos="709"/>
        </w:tabs>
        <w:spacing w:line="276" w:lineRule="auto"/>
        <w:ind w:left="709" w:right="709"/>
        <w:jc w:val="both"/>
        <w:rPr>
          <w:rFonts w:ascii="Arial" w:hAnsi="Arial" w:eastAsia="Calibri" w:cs="Arial"/>
          <w:b/>
          <w:sz w:val="21"/>
          <w:szCs w:val="21"/>
          <w:lang w:val="es-ES_tradnl"/>
        </w:rPr>
      </w:pPr>
    </w:p>
    <w:p w:rsidR="006A7670" w:rsidP="00FD7DA9" w:rsidRDefault="006A7670" w14:paraId="06B770C6" w14:textId="77777777">
      <w:pPr>
        <w:spacing w:after="120"/>
        <w:ind w:left="709" w:right="709"/>
        <w:jc w:val="both"/>
        <w:rPr>
          <w:rFonts w:ascii="Arial" w:hAnsi="Arial" w:eastAsia="Calibri" w:cs="Arial"/>
          <w:sz w:val="21"/>
          <w:szCs w:val="21"/>
        </w:rPr>
      </w:pPr>
      <w:r w:rsidRPr="006A7670">
        <w:rPr>
          <w:rFonts w:ascii="Arial" w:hAnsi="Arial" w:eastAsia="Calibri" w:cs="Arial"/>
          <w:sz w:val="21"/>
          <w:szCs w:val="21"/>
        </w:rPr>
        <w:t>i) «¿A través de los fondos de servicios educativos (FSE) y dando aplicación al manual establecido por el Consejo Directivo se puede realizar contratación en Ley de Garantías?»</w:t>
      </w:r>
      <w:r>
        <w:rPr>
          <w:rFonts w:ascii="Arial" w:hAnsi="Arial" w:eastAsia="Calibri" w:cs="Arial"/>
          <w:sz w:val="21"/>
          <w:szCs w:val="21"/>
        </w:rPr>
        <w:t>.</w:t>
      </w:r>
    </w:p>
    <w:p w:rsidR="006A7670" w:rsidP="00FD7DA9" w:rsidRDefault="006A7670" w14:paraId="283D85C3" w14:textId="77777777">
      <w:pPr>
        <w:spacing w:after="120"/>
        <w:ind w:left="709" w:right="709"/>
        <w:jc w:val="both"/>
        <w:rPr>
          <w:rFonts w:ascii="Arial" w:hAnsi="Arial" w:eastAsia="Calibri" w:cs="Arial"/>
          <w:sz w:val="21"/>
          <w:szCs w:val="21"/>
        </w:rPr>
      </w:pPr>
      <w:r w:rsidRPr="006A7670">
        <w:rPr>
          <w:rFonts w:ascii="Arial" w:hAnsi="Arial" w:eastAsia="Calibri" w:cs="Arial"/>
          <w:sz w:val="21"/>
          <w:szCs w:val="21"/>
        </w:rPr>
        <w:t>ii) «¿El procedimiento establecido por el Consejo Directivo determina invitación pública a través de la cartelera institucional a presentar ofertas, se puede dar aplicación a este procedimiento en la contratación en Ley de garantías?»</w:t>
      </w:r>
      <w:r>
        <w:rPr>
          <w:rFonts w:ascii="Arial" w:hAnsi="Arial" w:eastAsia="Calibri" w:cs="Arial"/>
          <w:sz w:val="21"/>
          <w:szCs w:val="21"/>
        </w:rPr>
        <w:t>.</w:t>
      </w:r>
      <w:r w:rsidRPr="006A7670">
        <w:rPr>
          <w:rFonts w:ascii="Arial" w:hAnsi="Arial" w:eastAsia="Calibri" w:cs="Arial"/>
          <w:sz w:val="21"/>
          <w:szCs w:val="21"/>
        </w:rPr>
        <w:t xml:space="preserve"> </w:t>
      </w:r>
    </w:p>
    <w:p w:rsidRPr="002F0981" w:rsidR="007E42BC" w:rsidP="00FD7DA9" w:rsidRDefault="006A7670" w14:paraId="65AC39D7" w14:textId="7FEE48B4">
      <w:pPr>
        <w:ind w:left="709" w:right="709"/>
        <w:jc w:val="both"/>
        <w:rPr>
          <w:rFonts w:ascii="Arial" w:hAnsi="Arial" w:eastAsia="Calibri" w:cs="Arial"/>
          <w:sz w:val="21"/>
          <w:szCs w:val="21"/>
        </w:rPr>
      </w:pPr>
      <w:proofErr w:type="spellStart"/>
      <w:r w:rsidRPr="006A7670">
        <w:rPr>
          <w:rFonts w:ascii="Arial" w:hAnsi="Arial" w:eastAsia="Calibri" w:cs="Arial"/>
          <w:sz w:val="21"/>
          <w:szCs w:val="21"/>
        </w:rPr>
        <w:t>iii</w:t>
      </w:r>
      <w:proofErr w:type="spellEnd"/>
      <w:r w:rsidRPr="006A7670">
        <w:rPr>
          <w:rFonts w:ascii="Arial" w:hAnsi="Arial" w:eastAsia="Calibri" w:cs="Arial"/>
          <w:sz w:val="21"/>
          <w:szCs w:val="21"/>
        </w:rPr>
        <w:t>) La institución requiere entregar un espacio de la institución en arriendo para el funcionamiento en la tienda escolar. ¿Aplica para los arriendos la Ley de garantías?»</w:t>
      </w:r>
      <w:r>
        <w:rPr>
          <w:rFonts w:ascii="Arial" w:hAnsi="Arial" w:eastAsia="Calibri" w:cs="Arial"/>
          <w:sz w:val="21"/>
          <w:szCs w:val="21"/>
        </w:rPr>
        <w:t>.</w:t>
      </w:r>
    </w:p>
    <w:p w:rsidR="00A01C24" w:rsidP="006A7670" w:rsidRDefault="00A01C24" w14:paraId="65CCED13" w14:textId="56A4111A">
      <w:pPr>
        <w:spacing w:line="276" w:lineRule="auto"/>
        <w:jc w:val="both"/>
        <w:rPr>
          <w:rFonts w:ascii="Arial" w:hAnsi="Arial" w:cs="Arial"/>
          <w:bCs/>
          <w:sz w:val="22"/>
          <w:szCs w:val="22"/>
          <w:lang w:val="es-MX" w:eastAsia="es-CO"/>
        </w:rPr>
      </w:pPr>
      <w:bookmarkStart w:name="_Hlk100224022" w:id="60"/>
    </w:p>
    <w:p w:rsidR="00E82F82" w:rsidP="00FD7DA9" w:rsidRDefault="00A63E92" w14:paraId="3D48BAE4" w14:textId="060E496B">
      <w:pPr>
        <w:spacing w:after="160" w:line="276" w:lineRule="auto"/>
        <w:jc w:val="both"/>
        <w:rPr>
          <w:rFonts w:ascii="Arial" w:hAnsi="Arial" w:cs="Arial"/>
          <w:bCs/>
          <w:color w:val="000000"/>
          <w:sz w:val="22"/>
          <w:lang w:eastAsia="es-CO"/>
        </w:rPr>
      </w:pPr>
      <w:bookmarkStart w:name="_Hlk101885632" w:id="61"/>
      <w:r>
        <w:rPr>
          <w:rFonts w:ascii="Arial" w:hAnsi="Arial" w:cs="Arial"/>
          <w:bCs/>
          <w:sz w:val="22"/>
          <w:szCs w:val="22"/>
          <w:lang w:val="es-MX" w:eastAsia="es-CO"/>
        </w:rPr>
        <w:t xml:space="preserve">Conforme a la interpretación de las normas generales del sistema de compras y contratación pública, </w:t>
      </w:r>
      <w:r w:rsidRPr="002C1CBF" w:rsidR="00E82F82">
        <w:rPr>
          <w:rFonts w:ascii="Arial" w:hAnsi="Arial" w:eastAsia="Calibri" w:cs="Arial"/>
          <w:color w:val="000000" w:themeColor="text1"/>
          <w:sz w:val="22"/>
        </w:rPr>
        <w:t xml:space="preserve">para la restricción del artículo 33 de la </w:t>
      </w:r>
      <w:r w:rsidRPr="002C1CBF" w:rsidR="00E82F82">
        <w:rPr>
          <w:rFonts w:ascii="Arial" w:hAnsi="Arial" w:cs="Arial"/>
          <w:bCs/>
          <w:color w:val="000000"/>
          <w:sz w:val="22"/>
          <w:lang w:eastAsia="es-CO"/>
        </w:rPr>
        <w:t xml:space="preserve">Ley 996 de 2005 es necesario considerar que </w:t>
      </w:r>
      <w:r w:rsidRPr="002C1CBF" w:rsidR="00E82F82">
        <w:rPr>
          <w:rFonts w:ascii="Arial" w:hAnsi="Arial" w:eastAsia="Calibri" w:cs="Arial"/>
          <w:sz w:val="22"/>
          <w:lang w:val="es-ES"/>
        </w:rPr>
        <w:t xml:space="preserve">el artículo </w:t>
      </w:r>
      <w:r w:rsidRPr="002C1CBF" w:rsidR="00E82F82">
        <w:rPr>
          <w:rFonts w:ascii="Arial" w:hAnsi="Arial" w:cs="Arial"/>
          <w:sz w:val="22"/>
        </w:rPr>
        <w:t>13 de la Ley 715 de 2001</w:t>
      </w:r>
      <w:r w:rsidRPr="002C1CBF" w:rsidR="00E82F82">
        <w:rPr>
          <w:rFonts w:ascii="Arial" w:hAnsi="Arial" w:cs="Arial"/>
          <w:bCs/>
          <w:color w:val="000000"/>
          <w:sz w:val="22"/>
          <w:lang w:eastAsia="es-CO"/>
        </w:rPr>
        <w:t xml:space="preserve"> consagra un régimen jurídico que exceptúa la aplicación </w:t>
      </w:r>
      <w:r w:rsidR="00A3769A">
        <w:rPr>
          <w:rFonts w:ascii="Arial" w:hAnsi="Arial" w:cs="Arial"/>
          <w:bCs/>
          <w:color w:val="000000"/>
          <w:sz w:val="22"/>
          <w:lang w:eastAsia="es-CO"/>
        </w:rPr>
        <w:t>de la Ley 80 de 1993</w:t>
      </w:r>
      <w:r w:rsidRPr="002C1CBF" w:rsidR="00E82F82">
        <w:rPr>
          <w:rFonts w:ascii="Arial" w:hAnsi="Arial" w:cs="Arial"/>
          <w:bCs/>
          <w:color w:val="000000"/>
          <w:sz w:val="22"/>
          <w:lang w:eastAsia="es-CO"/>
        </w:rPr>
        <w:t xml:space="preserve"> en los contratos de los fondos de servicios educativos inferiores a veinte (20) </w:t>
      </w:r>
      <w:proofErr w:type="spellStart"/>
      <w:r w:rsidRPr="002C1CBF" w:rsidR="00E82F82">
        <w:rPr>
          <w:rFonts w:ascii="Arial" w:hAnsi="Arial" w:cs="Arial"/>
          <w:bCs/>
          <w:color w:val="000000"/>
          <w:sz w:val="22"/>
          <w:lang w:eastAsia="es-CO"/>
        </w:rPr>
        <w:t>smlmv</w:t>
      </w:r>
      <w:proofErr w:type="spellEnd"/>
      <w:r w:rsidR="00E82F82">
        <w:rPr>
          <w:rFonts w:ascii="Arial" w:hAnsi="Arial" w:cs="Arial"/>
          <w:bCs/>
          <w:color w:val="000000"/>
          <w:sz w:val="22"/>
          <w:lang w:eastAsia="es-CO"/>
        </w:rPr>
        <w:t xml:space="preserve"> con el objetivo de flexibilizar el régimen contractual aplicable. Pese a lo anterior</w:t>
      </w:r>
      <w:r w:rsidRPr="002C1CBF" w:rsidR="00E82F82">
        <w:rPr>
          <w:rFonts w:ascii="Arial" w:hAnsi="Arial" w:cs="Arial"/>
          <w:bCs/>
          <w:color w:val="000000"/>
          <w:sz w:val="22"/>
          <w:lang w:eastAsia="es-CO"/>
        </w:rPr>
        <w:t>, la prohibición de contratación directa de la Ley de Garantías es independiente del régimen contractual</w:t>
      </w:r>
      <w:r w:rsidR="00E82F82">
        <w:rPr>
          <w:rFonts w:ascii="Arial" w:hAnsi="Arial" w:cs="Arial"/>
          <w:bCs/>
          <w:color w:val="000000"/>
          <w:sz w:val="22"/>
          <w:lang w:eastAsia="es-CO"/>
        </w:rPr>
        <w:t>, por lo que se extiende a los contratos celebrados con cargo a los fondos de servicios educativos</w:t>
      </w:r>
      <w:r w:rsidRPr="002C1CBF" w:rsidR="00E82F82">
        <w:rPr>
          <w:rFonts w:ascii="Arial" w:hAnsi="Arial" w:cs="Arial"/>
          <w:bCs/>
          <w:color w:val="000000"/>
          <w:sz w:val="22"/>
          <w:lang w:eastAsia="es-CO"/>
        </w:rPr>
        <w:t>.</w:t>
      </w:r>
    </w:p>
    <w:p w:rsidRPr="00DC4715" w:rsidR="00E82F82" w:rsidP="00E82F82" w:rsidRDefault="00E82F82" w14:paraId="2A368FC7" w14:textId="48C60F7A">
      <w:pPr>
        <w:spacing w:after="160" w:line="276" w:lineRule="auto"/>
        <w:ind w:firstLine="709"/>
        <w:jc w:val="both"/>
        <w:rPr>
          <w:rFonts w:ascii="Arial" w:hAnsi="Arial" w:cs="Arial"/>
          <w:bCs/>
          <w:color w:val="000000"/>
          <w:sz w:val="21"/>
          <w:szCs w:val="21"/>
          <w:lang w:eastAsia="es-CO"/>
        </w:rPr>
      </w:pPr>
      <w:r w:rsidRPr="002C1CBF">
        <w:rPr>
          <w:rFonts w:ascii="Arial" w:hAnsi="Arial" w:cs="Arial"/>
          <w:bCs/>
          <w:color w:val="000000"/>
          <w:sz w:val="22"/>
          <w:lang w:eastAsia="es-CO"/>
        </w:rPr>
        <w:t xml:space="preserve">Así la Sala de Consulta y Servicio Civil del Consejo de Estado explica que «La prohibición contenida en el artículo 33, desde el punto de vista objetivo o material, comprende la contratación directa, entendida como cualquier mecanismo de escogencia del contratista en el que se prescinde de la licitación o concurso, </w:t>
      </w:r>
      <w:r w:rsidRPr="002C1CBF">
        <w:rPr>
          <w:rFonts w:ascii="Arial" w:hAnsi="Arial" w:cs="Arial"/>
          <w:bCs/>
          <w:i/>
          <w:iCs/>
          <w:color w:val="000000"/>
          <w:sz w:val="22"/>
          <w:lang w:eastAsia="es-CO"/>
        </w:rPr>
        <w:t>sin que se tenga en cuenta por el legislador estatutario el régimen de contratación aplicable, ya sea contenido en el Estatuto General de Contratación de la Administración Pública o uno especial en razón del objeto, del contrato o del órgano que contrata</w:t>
      </w:r>
      <w:r w:rsidRPr="002C1CBF">
        <w:rPr>
          <w:rFonts w:ascii="Arial" w:hAnsi="Arial" w:cs="Arial"/>
          <w:bCs/>
          <w:color w:val="000000"/>
          <w:sz w:val="22"/>
          <w:lang w:eastAsia="es-CO"/>
        </w:rPr>
        <w:t xml:space="preserve">» (Énfasis fuera de texto). Por tanto, durante la vigencia de la prohibición del artículo 33 de la Ley 996 de 2005 está restringida cualquier modalidad de selección que excluya la pluralidad de oferentes en el régimen especial de contratación realizado con recursos de los fondos de servicios educativos por valor inferior a inferiores a veinte (20) </w:t>
      </w:r>
      <w:proofErr w:type="spellStart"/>
      <w:r w:rsidRPr="002C1CBF">
        <w:rPr>
          <w:rFonts w:ascii="Arial" w:hAnsi="Arial" w:cs="Arial"/>
          <w:bCs/>
          <w:color w:val="000000"/>
          <w:sz w:val="22"/>
          <w:lang w:eastAsia="es-CO"/>
        </w:rPr>
        <w:t>smlmv</w:t>
      </w:r>
      <w:proofErr w:type="spellEnd"/>
      <w:r w:rsidRPr="002C1CBF">
        <w:rPr>
          <w:rFonts w:ascii="Arial" w:hAnsi="Arial" w:cs="Arial"/>
          <w:bCs/>
          <w:color w:val="000000"/>
          <w:sz w:val="22"/>
          <w:lang w:eastAsia="es-CO"/>
        </w:rPr>
        <w:t xml:space="preserve">. </w:t>
      </w:r>
    </w:p>
    <w:p w:rsidR="00E82F82" w:rsidP="00FD7DA9" w:rsidRDefault="00E82F82" w14:paraId="0A367BB2" w14:textId="714C85DF">
      <w:pPr>
        <w:spacing w:after="120" w:line="276" w:lineRule="auto"/>
        <w:ind w:firstLine="709"/>
        <w:jc w:val="both"/>
        <w:rPr>
          <w:rFonts w:ascii="Arial" w:hAnsi="Arial" w:cs="Arial"/>
          <w:sz w:val="22"/>
        </w:rPr>
      </w:pPr>
      <w:r w:rsidRPr="002C1CBF">
        <w:rPr>
          <w:rFonts w:ascii="Arial" w:hAnsi="Arial" w:cs="Arial"/>
          <w:bCs/>
          <w:color w:val="000000"/>
          <w:sz w:val="22"/>
          <w:lang w:eastAsia="es-CO"/>
        </w:rPr>
        <w:t xml:space="preserve">Por otra parte, respecto a </w:t>
      </w:r>
      <w:r w:rsidRPr="002C1CBF">
        <w:rPr>
          <w:rFonts w:ascii="Arial" w:hAnsi="Arial" w:eastAsia="Calibri" w:cs="Arial"/>
          <w:color w:val="000000" w:themeColor="text1"/>
          <w:sz w:val="22"/>
        </w:rPr>
        <w:t xml:space="preserve">la restricción del artículo 38 de la </w:t>
      </w:r>
      <w:r w:rsidRPr="002C1CBF">
        <w:rPr>
          <w:rFonts w:ascii="Arial" w:hAnsi="Arial" w:cs="Arial"/>
          <w:bCs/>
          <w:color w:val="000000"/>
          <w:sz w:val="22"/>
          <w:lang w:eastAsia="es-CO"/>
        </w:rPr>
        <w:t>Ley de Garantías</w:t>
      </w:r>
      <w:r>
        <w:rPr>
          <w:rFonts w:ascii="Arial" w:hAnsi="Arial" w:cs="Arial"/>
          <w:bCs/>
          <w:color w:val="000000"/>
          <w:sz w:val="22"/>
          <w:lang w:eastAsia="es-CO"/>
        </w:rPr>
        <w:t xml:space="preserve">                –modificado transitoriamente por el artículo 124 de la Ley 2159 de 2021–</w:t>
      </w:r>
      <w:r w:rsidRPr="002C1CBF">
        <w:rPr>
          <w:rFonts w:ascii="Arial" w:hAnsi="Arial" w:cs="Arial"/>
          <w:bCs/>
          <w:color w:val="000000"/>
          <w:sz w:val="22"/>
          <w:lang w:eastAsia="es-CO"/>
        </w:rPr>
        <w:t xml:space="preserve"> se considera que los contratos celebrados con los administradores del fondo y otras entidades públicas son contratos interadministrativos. En efecto, el citado artículo 2.2.1.2.1.4.4 d</w:t>
      </w:r>
      <w:r w:rsidRPr="002C1CBF">
        <w:rPr>
          <w:rFonts w:ascii="Arial" w:hAnsi="Arial" w:eastAsia="Calibri" w:cs="Arial"/>
          <w:color w:val="000000" w:themeColor="text1"/>
          <w:sz w:val="22"/>
          <w:lang w:val="es-ES_tradnl"/>
        </w:rPr>
        <w:t xml:space="preserve">el Decreto 1082 de 2015 califica a los convenios o contratos interadministrativos como aquella contratación entre entidades estatales. El concepto está definido en el artículo 2.2.1.1.1.3.1 </w:t>
      </w:r>
      <w:r w:rsidRPr="002C1CBF">
        <w:rPr>
          <w:rFonts w:ascii="Arial" w:hAnsi="Arial" w:eastAsia="Calibri" w:cs="Arial"/>
          <w:i/>
          <w:iCs/>
          <w:color w:val="000000" w:themeColor="text1"/>
          <w:sz w:val="22"/>
          <w:lang w:val="es-ES_tradnl"/>
        </w:rPr>
        <w:t>ibidem</w:t>
      </w:r>
      <w:r w:rsidRPr="002C1CBF">
        <w:rPr>
          <w:rFonts w:ascii="Arial" w:hAnsi="Arial" w:eastAsia="Calibri" w:cs="Arial"/>
          <w:color w:val="000000" w:themeColor="text1"/>
          <w:sz w:val="22"/>
          <w:lang w:val="es-ES_tradnl"/>
        </w:rPr>
        <w:t xml:space="preserve"> como «Cada una de las entidades: (a) a las que se refiere el artículo 2 de la Ley 80 de 1993; (b) a las que se refieren los artículos 10, 14 y 24 de la Ley 1150 de 2007 y (c) aquellas entidades que por disposición de la ley deban aplicar la Ley 80 de 1993​ y la Ley 1150 de 2007, o las normas que las modifiquen, aclaren, adicionen o sustituyan».  Aunque </w:t>
      </w:r>
      <w:r w:rsidRPr="002C1CBF">
        <w:rPr>
          <w:rFonts w:ascii="Arial" w:hAnsi="Arial" w:cs="Arial"/>
          <w:sz w:val="22"/>
        </w:rPr>
        <w:t>las instituciones educativas carecen de personería jurídica, tienen capacidad para contratar y se concreta en la competencia que le otorgó el legislador en la Ley 715 de 2001 para administrar los fondos de servicios educativos. Así, conforme al literal b) del artículo 2.1 de la Ley 80 de 1993, también se considera entidad estatal todos aquellos «[…] organismos o dependencias del Estado a los que la ley otorgue capacidad para celebrar contratos».</w:t>
      </w:r>
    </w:p>
    <w:bookmarkEnd w:id="61"/>
    <w:p w:rsidRPr="00FD7DA9" w:rsidR="00A63E92" w:rsidP="00FD7DA9" w:rsidRDefault="00C12CDF" w14:paraId="6F30E5B0" w14:textId="7DE9C570">
      <w:pPr>
        <w:spacing w:line="276" w:lineRule="auto"/>
        <w:ind w:firstLine="708"/>
        <w:jc w:val="both"/>
        <w:rPr>
          <w:rFonts w:ascii="Arial" w:hAnsi="Arial" w:cs="Arial"/>
          <w:bCs/>
          <w:sz w:val="22"/>
          <w:szCs w:val="22"/>
          <w:lang w:eastAsia="es-CO"/>
        </w:rPr>
      </w:pPr>
      <w:r>
        <w:rPr>
          <w:rFonts w:ascii="Arial" w:hAnsi="Arial" w:cs="Arial"/>
          <w:sz w:val="22"/>
        </w:rPr>
        <w:t xml:space="preserve">Dentro de este marco general, </w:t>
      </w:r>
      <w:r w:rsidRPr="00A23BDA" w:rsidR="00C0043B">
        <w:rPr>
          <w:rFonts w:ascii="Arial" w:hAnsi="Arial" w:cs="Arial" w:eastAsiaTheme="minorHAnsi"/>
          <w:bCs/>
          <w:sz w:val="22"/>
          <w:szCs w:val="22"/>
          <w:lang w:val="es-ES" w:eastAsia="en-US"/>
        </w:rPr>
        <w:t>le corresponderá a cada entidad definir la viabilidad técnica, jurídica y financiera de celebrar determinado contrato estatal en específico</w:t>
      </w:r>
      <w:r w:rsidR="00C0043B">
        <w:rPr>
          <w:rFonts w:ascii="Arial" w:hAnsi="Arial" w:cs="Arial" w:eastAsiaTheme="minorHAnsi"/>
          <w:bCs/>
          <w:sz w:val="22"/>
          <w:szCs w:val="22"/>
          <w:lang w:val="es-ES" w:eastAsia="en-US"/>
        </w:rPr>
        <w:t>.</w:t>
      </w:r>
      <w:r w:rsidRPr="00A23BDA" w:rsidR="00C0043B">
        <w:rPr>
          <w:rFonts w:ascii="Arial" w:hAnsi="Arial" w:cs="Arial" w:eastAsiaTheme="minorHAnsi"/>
          <w:bCs/>
          <w:sz w:val="22"/>
          <w:szCs w:val="22"/>
          <w:lang w:val="es-ES" w:eastAsia="en-US"/>
        </w:rPr>
        <w:t xml:space="preserve"> Por lo anterior, previo concepto de sus órganos asesores, la solución de estos temas corresponde </w:t>
      </w:r>
      <w:r w:rsidRPr="00A23BDA" w:rsidR="00C0043B">
        <w:rPr>
          <w:rFonts w:ascii="Arial" w:hAnsi="Arial" w:cs="Arial" w:eastAsiaTheme="minorHAnsi"/>
          <w:bCs/>
          <w:sz w:val="22"/>
          <w:szCs w:val="22"/>
          <w:lang w:val="es-ES" w:eastAsia="en-US"/>
        </w:rPr>
        <w:t xml:space="preserve">a la entidad de adoptar la decisión correspondiente y, en caso de conflicto, a las autoridades judiciales, fiscales y disciplinarias. </w:t>
      </w:r>
    </w:p>
    <w:bookmarkEnd w:id="60"/>
    <w:p w:rsidRPr="00FD7DA9" w:rsidR="006476F3" w:rsidP="006476F3" w:rsidRDefault="006476F3" w14:paraId="6677F342" w14:textId="77777777">
      <w:pPr>
        <w:spacing w:line="276" w:lineRule="auto"/>
        <w:ind w:right="709"/>
        <w:jc w:val="both"/>
        <w:rPr>
          <w:rFonts w:ascii="Arial" w:hAnsi="Arial" w:cs="Arial"/>
          <w:sz w:val="22"/>
          <w:szCs w:val="22"/>
        </w:rPr>
      </w:pPr>
    </w:p>
    <w:p w:rsidR="006476F3" w:rsidP="007845F7" w:rsidRDefault="007845F7" w14:paraId="2983DC50" w14:textId="0E94FBAF">
      <w:pPr>
        <w:spacing w:line="276" w:lineRule="auto"/>
        <w:ind w:left="709" w:right="709"/>
        <w:jc w:val="both"/>
        <w:rPr>
          <w:rFonts w:ascii="Arial" w:hAnsi="Arial" w:cs="Arial"/>
          <w:sz w:val="21"/>
          <w:szCs w:val="21"/>
        </w:rPr>
      </w:pPr>
      <w:proofErr w:type="spellStart"/>
      <w:r w:rsidRPr="007845F7">
        <w:rPr>
          <w:rFonts w:ascii="Arial" w:hAnsi="Arial" w:cs="Arial"/>
          <w:sz w:val="21"/>
          <w:szCs w:val="21"/>
        </w:rPr>
        <w:t>iv</w:t>
      </w:r>
      <w:proofErr w:type="spellEnd"/>
      <w:r w:rsidRPr="007845F7">
        <w:rPr>
          <w:rFonts w:ascii="Arial" w:hAnsi="Arial" w:cs="Arial"/>
          <w:sz w:val="21"/>
          <w:szCs w:val="21"/>
        </w:rPr>
        <w:t>) «¿los contratos de espacios que se dan en arrendamientos se deben publicar en el SECOP?»</w:t>
      </w:r>
      <w:r w:rsidRPr="007758D6" w:rsidR="006476F3">
        <w:rPr>
          <w:rFonts w:ascii="Arial" w:hAnsi="Arial" w:cs="Arial"/>
          <w:sz w:val="21"/>
          <w:szCs w:val="21"/>
        </w:rPr>
        <w:t>.</w:t>
      </w:r>
    </w:p>
    <w:p w:rsidRPr="00FD7DA9" w:rsidR="00F77DF5" w:rsidP="006476F3" w:rsidRDefault="00F77DF5" w14:paraId="280CF12D" w14:textId="77777777">
      <w:pPr>
        <w:spacing w:line="276" w:lineRule="auto"/>
        <w:ind w:left="709" w:right="709"/>
        <w:jc w:val="both"/>
        <w:rPr>
          <w:rFonts w:eastAsia="Calibri" w:asciiTheme="minorBidi" w:hAnsiTheme="minorBidi" w:cstheme="minorBidi"/>
          <w:b/>
          <w:color w:val="000000" w:themeColor="text1"/>
          <w:sz w:val="22"/>
          <w:szCs w:val="22"/>
        </w:rPr>
      </w:pPr>
    </w:p>
    <w:p w:rsidRPr="00F77DF5" w:rsidR="006476F3" w:rsidP="00F77DF5" w:rsidRDefault="00666A1B" w14:paraId="5F372BDA" w14:textId="53AC145F">
      <w:pPr>
        <w:spacing w:after="120" w:line="276" w:lineRule="auto"/>
        <w:jc w:val="both"/>
        <w:rPr>
          <w:rFonts w:ascii="Arial" w:hAnsi="Arial" w:eastAsia="Calibri" w:cs="Arial"/>
          <w:sz w:val="22"/>
          <w:szCs w:val="22"/>
          <w:lang w:val="es-MX" w:eastAsia="en-US"/>
        </w:rPr>
      </w:pPr>
      <w:r>
        <w:rPr>
          <w:rFonts w:ascii="Arial" w:hAnsi="Arial" w:eastAsia="Calibri" w:cs="Arial"/>
          <w:color w:val="000000"/>
          <w:sz w:val="22"/>
          <w:szCs w:val="22"/>
          <w:lang w:eastAsia="en-US"/>
        </w:rPr>
        <w:t>De</w:t>
      </w:r>
      <w:r w:rsidR="00734E9F">
        <w:rPr>
          <w:rFonts w:ascii="Arial" w:hAnsi="Arial" w:eastAsia="Calibri" w:cs="Arial"/>
          <w:color w:val="000000"/>
          <w:sz w:val="22"/>
          <w:szCs w:val="22"/>
          <w:lang w:eastAsia="en-US"/>
        </w:rPr>
        <w:t>l marco normativo expuesto en el numeral 2.</w:t>
      </w:r>
      <w:r w:rsidR="004923EE">
        <w:rPr>
          <w:rFonts w:ascii="Arial" w:hAnsi="Arial" w:eastAsia="Calibri" w:cs="Arial"/>
          <w:color w:val="000000"/>
          <w:sz w:val="22"/>
          <w:szCs w:val="22"/>
          <w:lang w:eastAsia="en-US"/>
        </w:rPr>
        <w:t>6</w:t>
      </w:r>
      <w:r w:rsidR="00734E9F">
        <w:rPr>
          <w:rFonts w:ascii="Arial" w:hAnsi="Arial" w:eastAsia="Calibri" w:cs="Arial"/>
          <w:color w:val="000000"/>
          <w:sz w:val="22"/>
          <w:szCs w:val="22"/>
          <w:lang w:eastAsia="en-US"/>
        </w:rPr>
        <w:t xml:space="preserve"> </w:t>
      </w:r>
      <w:r w:rsidR="00366241">
        <w:rPr>
          <w:rFonts w:ascii="Arial" w:hAnsi="Arial" w:eastAsia="Calibri" w:cs="Arial"/>
          <w:color w:val="000000"/>
          <w:sz w:val="22"/>
          <w:szCs w:val="22"/>
          <w:lang w:eastAsia="en-US"/>
        </w:rPr>
        <w:t>del presente concepto</w:t>
      </w:r>
      <w:bookmarkStart w:name="_Hlk101885725" w:id="62"/>
      <w:r w:rsidR="003B1CFE">
        <w:rPr>
          <w:rFonts w:ascii="Arial" w:hAnsi="Arial" w:eastAsia="Calibri" w:cs="Arial"/>
          <w:color w:val="000000"/>
          <w:sz w:val="22"/>
          <w:szCs w:val="22"/>
          <w:lang w:eastAsia="en-US"/>
        </w:rPr>
        <w:t xml:space="preserve">, sin perjuicio de la aplicación del artículo 56 de la Ley </w:t>
      </w:r>
      <w:r w:rsidR="00D51FCD">
        <w:rPr>
          <w:rFonts w:ascii="Arial" w:hAnsi="Arial" w:eastAsia="Calibri" w:cs="Arial"/>
          <w:color w:val="000000"/>
          <w:sz w:val="22"/>
          <w:szCs w:val="22"/>
          <w:lang w:eastAsia="en-US"/>
        </w:rPr>
        <w:t>2195 de 2022,</w:t>
      </w:r>
      <w:r>
        <w:rPr>
          <w:rFonts w:ascii="Arial" w:hAnsi="Arial" w:eastAsia="Calibri" w:cs="Arial"/>
          <w:color w:val="000000"/>
          <w:sz w:val="22"/>
          <w:szCs w:val="22"/>
          <w:lang w:eastAsia="en-US"/>
        </w:rPr>
        <w:t xml:space="preserve"> se</w:t>
      </w:r>
      <w:r w:rsidR="00366241">
        <w:rPr>
          <w:rFonts w:ascii="Arial" w:hAnsi="Arial" w:eastAsia="Calibri" w:cs="Arial"/>
          <w:color w:val="000000"/>
          <w:sz w:val="22"/>
          <w:szCs w:val="22"/>
          <w:lang w:eastAsia="en-US"/>
        </w:rPr>
        <w:t xml:space="preserve"> conclu</w:t>
      </w:r>
      <w:r>
        <w:rPr>
          <w:rFonts w:ascii="Arial" w:hAnsi="Arial" w:eastAsia="Calibri" w:cs="Arial"/>
          <w:color w:val="000000"/>
          <w:sz w:val="22"/>
          <w:szCs w:val="22"/>
          <w:lang w:eastAsia="en-US"/>
        </w:rPr>
        <w:t>ye</w:t>
      </w:r>
      <w:r w:rsidR="00366241">
        <w:rPr>
          <w:rFonts w:ascii="Arial" w:hAnsi="Arial" w:eastAsia="Calibri" w:cs="Arial"/>
          <w:color w:val="000000"/>
          <w:sz w:val="22"/>
          <w:szCs w:val="22"/>
          <w:lang w:eastAsia="en-US"/>
        </w:rPr>
        <w:t xml:space="preserve"> que </w:t>
      </w:r>
      <w:bookmarkStart w:name="_Hlk100222171" w:id="63"/>
      <w:r w:rsidR="00366241">
        <w:rPr>
          <w:rFonts w:ascii="Arial" w:hAnsi="Arial" w:eastAsia="Calibri" w:cs="Arial"/>
          <w:color w:val="000000"/>
          <w:sz w:val="22"/>
          <w:szCs w:val="22"/>
          <w:lang w:eastAsia="en-US"/>
        </w:rPr>
        <w:t>l</w:t>
      </w:r>
      <w:r w:rsidR="005F03EA">
        <w:rPr>
          <w:rFonts w:ascii="Arial" w:hAnsi="Arial" w:eastAsia="Calibri" w:cs="Arial"/>
          <w:color w:val="000000"/>
          <w:sz w:val="22"/>
          <w:szCs w:val="22"/>
          <w:lang w:eastAsia="en-US"/>
        </w:rPr>
        <w:t>a</w:t>
      </w:r>
      <w:r w:rsidRPr="00A35361" w:rsidR="00F77DF5">
        <w:rPr>
          <w:rFonts w:ascii="Arial" w:hAnsi="Arial" w:eastAsia="Calibri" w:cs="Arial"/>
          <w:sz w:val="22"/>
          <w:szCs w:val="22"/>
          <w:lang w:val="es-MX" w:eastAsia="en-US"/>
        </w:rPr>
        <w:t xml:space="preserve"> publicidad de los contratos estatales debe realizarse a través de SECOP, independientemente del régimen aplicable al contrato o que este implique o no la erogación de recursos públicos, comoquiera que las referidas normas no sujetan la obligación de publicar en dicha plataforma a tales condiciones. Esto en la medida en que, independientemente de que se realice alguna erogación o se apliquen normas de derecho privado, los contratos estatales involucran un interés público, por lo que deben publicarse en el SECOP</w:t>
      </w:r>
      <w:r w:rsidR="00CA0119">
        <w:rPr>
          <w:rFonts w:ascii="Arial" w:hAnsi="Arial" w:eastAsia="Calibri" w:cs="Arial"/>
          <w:sz w:val="22"/>
          <w:szCs w:val="22"/>
          <w:lang w:val="es-MX" w:eastAsia="en-US"/>
        </w:rPr>
        <w:t>,</w:t>
      </w:r>
      <w:r w:rsidRPr="00A35361" w:rsidR="00F77DF5">
        <w:rPr>
          <w:rFonts w:ascii="Arial" w:hAnsi="Arial" w:eastAsia="Calibri" w:cs="Arial"/>
          <w:sz w:val="22"/>
          <w:szCs w:val="22"/>
          <w:lang w:val="es-MX" w:eastAsia="en-US"/>
        </w:rPr>
        <w:t xml:space="preserve"> que fue el mecanismo establecido por el legislador y el reglamento para garantizar que se cumplan los principios de publicidad y transparencia respecto de estos. En consecuencia, los contratos de arrendamiento</w:t>
      </w:r>
      <w:r w:rsidR="0052201D">
        <w:rPr>
          <w:rFonts w:ascii="Arial" w:hAnsi="Arial" w:eastAsia="Calibri" w:cs="Arial"/>
          <w:sz w:val="22"/>
          <w:szCs w:val="22"/>
          <w:lang w:val="es-MX" w:eastAsia="en-US"/>
        </w:rPr>
        <w:t xml:space="preserve"> </w:t>
      </w:r>
      <w:r w:rsidRPr="00A35361" w:rsidR="00F77DF5">
        <w:rPr>
          <w:rFonts w:ascii="Arial" w:hAnsi="Arial" w:eastAsia="Calibri" w:cs="Arial"/>
          <w:sz w:val="22"/>
          <w:szCs w:val="22"/>
          <w:lang w:val="es-MX" w:eastAsia="en-US"/>
        </w:rPr>
        <w:t>que tengan como parte a una entidad estatal, deberán publicarse en el SECOP independientemente del régimen aplicable o que impliquen o no erogación de recursos públicos.</w:t>
      </w:r>
    </w:p>
    <w:bookmarkEnd w:id="63"/>
    <w:bookmarkEnd w:id="62"/>
    <w:p w:rsidRPr="007E42BC" w:rsidR="006476F3" w:rsidP="00FD7DA9" w:rsidRDefault="006476F3" w14:paraId="5230D33A" w14:textId="77777777">
      <w:pPr>
        <w:pStyle w:val="xmsonospacing"/>
        <w:spacing w:before="0" w:beforeAutospacing="0" w:after="0" w:afterAutospacing="0" w:line="276" w:lineRule="auto"/>
        <w:jc w:val="both"/>
        <w:rPr>
          <w:rFonts w:ascii="Arial" w:hAnsi="Arial" w:cs="Arial"/>
          <w:color w:val="000000"/>
          <w:sz w:val="22"/>
          <w:szCs w:val="22"/>
        </w:rPr>
      </w:pPr>
    </w:p>
    <w:p w:rsidRPr="007A0123" w:rsidR="00A71CEA" w:rsidP="00FC46E7" w:rsidRDefault="00A71CEA" w14:paraId="0738C8F4" w14:textId="29CC140C">
      <w:pPr>
        <w:spacing w:line="276" w:lineRule="auto"/>
        <w:jc w:val="both"/>
        <w:rPr>
          <w:rFonts w:ascii="Arial" w:hAnsi="Arial" w:eastAsia="Calibri" w:cs="Arial"/>
          <w:color w:val="000000" w:themeColor="text1"/>
          <w:sz w:val="22"/>
        </w:rPr>
      </w:pPr>
      <w:r w:rsidRPr="007A0123">
        <w:rPr>
          <w:rFonts w:ascii="Arial" w:hAnsi="Arial" w:eastAsia="Calibri" w:cs="Arial"/>
          <w:color w:val="000000" w:themeColor="text1"/>
          <w:sz w:val="22"/>
          <w:szCs w:val="22"/>
        </w:rPr>
        <w:t>Este concepto tiene el alcance previsto en el artículo 28 del Cód</w:t>
      </w:r>
      <w:r w:rsidRPr="007A0123">
        <w:rPr>
          <w:rFonts w:ascii="Arial" w:hAnsi="Arial" w:eastAsia="Calibri" w:cs="Arial"/>
          <w:color w:val="000000" w:themeColor="text1"/>
          <w:sz w:val="22"/>
        </w:rPr>
        <w:t>igo de Procedimiento Administrativo y de lo Contencioso Administrativo.</w:t>
      </w:r>
    </w:p>
    <w:p w:rsidRPr="007A0123" w:rsidR="00B55679" w:rsidP="00FC46E7" w:rsidRDefault="00B55679" w14:paraId="27A116DB" w14:textId="77777777">
      <w:pPr>
        <w:jc w:val="both"/>
        <w:rPr>
          <w:rFonts w:ascii="Arial" w:hAnsi="Arial" w:eastAsia="Calibri" w:cs="Arial"/>
          <w:color w:val="000000" w:themeColor="text1"/>
          <w:sz w:val="22"/>
        </w:rPr>
      </w:pPr>
    </w:p>
    <w:p w:rsidRPr="007A0123" w:rsidR="00A71CEA" w:rsidP="00FC46E7" w:rsidRDefault="00A71CEA" w14:paraId="1BD8E63C" w14:textId="77777777">
      <w:pPr>
        <w:jc w:val="both"/>
        <w:rPr>
          <w:rFonts w:ascii="Arial" w:hAnsi="Arial" w:cs="Arial"/>
          <w:color w:val="000000" w:themeColor="text1"/>
          <w:sz w:val="22"/>
          <w:lang w:eastAsia="es-CO"/>
        </w:rPr>
      </w:pPr>
      <w:r w:rsidRPr="007A0123">
        <w:rPr>
          <w:rFonts w:ascii="Arial" w:hAnsi="Arial" w:cs="Arial"/>
          <w:color w:val="000000" w:themeColor="text1"/>
          <w:sz w:val="22"/>
          <w:lang w:eastAsia="es-CO"/>
        </w:rPr>
        <w:t>Atentamente,</w:t>
      </w:r>
    </w:p>
    <w:p w:rsidRPr="007A0123" w:rsidR="00A71CEA" w:rsidRDefault="00AE11B5" w14:paraId="4783A21F" w14:textId="4194C752">
      <w:pPr>
        <w:jc w:val="center"/>
        <w:rPr>
          <w:rFonts w:ascii="Arial" w:hAnsi="Arial" w:cs="Arial"/>
          <w:color w:val="000000" w:themeColor="text1"/>
          <w:sz w:val="18"/>
          <w:szCs w:val="20"/>
          <w:lang w:eastAsia="es-CO"/>
        </w:rPr>
      </w:pPr>
      <w:r w:rsidRPr="00B25B3D">
        <w:rPr>
          <w:rFonts w:ascii="Arial" w:hAnsi="Arial" w:cs="Arial"/>
          <w:noProof/>
          <w:sz w:val="18"/>
          <w:szCs w:val="20"/>
        </w:rPr>
        <w:drawing>
          <wp:inline distT="0" distB="0" distL="0" distR="0" wp14:anchorId="03AF6963" wp14:editId="7B6AB136">
            <wp:extent cx="2409825" cy="1064530"/>
            <wp:effectExtent l="0" t="0" r="0" b="2540"/>
            <wp:docPr id="7" name="Imagen 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10;&#10;Descripción generada automáticament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16260" cy="1067373"/>
                    </a:xfrm>
                    <a:prstGeom prst="rect">
                      <a:avLst/>
                    </a:prstGeom>
                    <a:noFill/>
                    <a:ln>
                      <a:noFill/>
                    </a:ln>
                  </pic:spPr>
                </pic:pic>
              </a:graphicData>
            </a:graphic>
          </wp:inline>
        </w:drawing>
      </w:r>
    </w:p>
    <w:p w:rsidRPr="007A0123" w:rsidR="00A71CEA" w:rsidP="00FC46E7" w:rsidRDefault="00A71CEA" w14:paraId="1FEF5E59" w14:textId="77777777">
      <w:pPr>
        <w:jc w:val="center"/>
        <w:rPr>
          <w:rFonts w:ascii="Arial" w:hAnsi="Arial" w:cs="Arial"/>
          <w:color w:val="000000" w:themeColor="text1"/>
          <w:sz w:val="18"/>
          <w:szCs w:val="20"/>
          <w:lang w:eastAsia="es-CO"/>
        </w:rPr>
      </w:pPr>
    </w:p>
    <w:tbl>
      <w:tblPr>
        <w:tblStyle w:val="Tablaconcuadrcula"/>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28"/>
        <w:gridCol w:w="4502"/>
      </w:tblGrid>
      <w:tr w:rsidRPr="007A0123" w:rsidR="00A71CEA" w:rsidTr="00F35993" w14:paraId="6FD066C0" w14:textId="77777777">
        <w:trPr>
          <w:trHeight w:val="300"/>
        </w:trPr>
        <w:tc>
          <w:tcPr>
            <w:tcW w:w="828" w:type="dxa"/>
            <w:vAlign w:val="center"/>
            <w:hideMark/>
          </w:tcPr>
          <w:p w:rsidRPr="007A0123" w:rsidR="00A71CEA" w:rsidP="00FC46E7" w:rsidRDefault="00A71CEA" w14:paraId="3D034311" w14:textId="77777777">
            <w:pPr>
              <w:rPr>
                <w:rFonts w:ascii="Arial" w:hAnsi="Arial" w:cs="Arial"/>
                <w:color w:val="000000" w:themeColor="text1"/>
                <w:sz w:val="16"/>
                <w:szCs w:val="16"/>
                <w:lang w:eastAsia="es-ES"/>
              </w:rPr>
            </w:pPr>
            <w:r w:rsidRPr="007A0123">
              <w:rPr>
                <w:rFonts w:ascii="Arial" w:hAnsi="Arial" w:cs="Arial"/>
                <w:color w:val="000000" w:themeColor="text1"/>
                <w:sz w:val="16"/>
                <w:szCs w:val="16"/>
                <w:lang w:eastAsia="es-ES"/>
              </w:rPr>
              <w:t>Elaboró:</w:t>
            </w:r>
          </w:p>
        </w:tc>
        <w:tc>
          <w:tcPr>
            <w:tcW w:w="4502" w:type="dxa"/>
            <w:tcBorders>
              <w:top w:val="nil"/>
              <w:left w:val="nil"/>
              <w:bottom w:val="dotted" w:color="7F7F7F" w:themeColor="text1" w:themeTint="80" w:sz="4" w:space="0"/>
              <w:right w:val="nil"/>
            </w:tcBorders>
            <w:vAlign w:val="center"/>
            <w:hideMark/>
          </w:tcPr>
          <w:p w:rsidRPr="007A0123" w:rsidR="00A71CEA" w:rsidP="00FC46E7" w:rsidRDefault="00F35993" w14:paraId="4130A8A2" w14:textId="0DFAAE93">
            <w:pPr>
              <w:rPr>
                <w:rFonts w:ascii="Arial" w:hAnsi="Arial" w:cs="Arial"/>
                <w:color w:val="000000" w:themeColor="text1"/>
                <w:sz w:val="16"/>
                <w:szCs w:val="16"/>
                <w:lang w:eastAsia="es-ES"/>
              </w:rPr>
            </w:pPr>
            <w:r>
              <w:rPr>
                <w:rFonts w:ascii="Arial" w:hAnsi="Arial" w:cs="Arial"/>
                <w:color w:val="000000" w:themeColor="text1"/>
                <w:sz w:val="16"/>
                <w:szCs w:val="16"/>
                <w:lang w:eastAsia="es-ES"/>
              </w:rPr>
              <w:t>Laura Alejandra Materón García</w:t>
            </w:r>
            <w:r w:rsidRPr="007A0123" w:rsidR="00A71CEA">
              <w:rPr>
                <w:rFonts w:ascii="Arial" w:hAnsi="Arial" w:cs="Arial"/>
                <w:color w:val="000000" w:themeColor="text1"/>
                <w:sz w:val="16"/>
                <w:szCs w:val="16"/>
                <w:lang w:eastAsia="es-ES"/>
              </w:rPr>
              <w:t xml:space="preserve"> </w:t>
            </w:r>
          </w:p>
          <w:p w:rsidRPr="007A0123" w:rsidR="00A71CEA" w:rsidP="00FC46E7" w:rsidRDefault="00F35993" w14:paraId="02C2374E" w14:textId="23A07400">
            <w:pPr>
              <w:rPr>
                <w:rFonts w:ascii="Arial" w:hAnsi="Arial" w:cs="Arial"/>
                <w:color w:val="000000" w:themeColor="text1"/>
                <w:sz w:val="16"/>
                <w:szCs w:val="16"/>
                <w:lang w:eastAsia="es-ES"/>
              </w:rPr>
            </w:pPr>
            <w:r>
              <w:rPr>
                <w:rFonts w:ascii="Arial" w:hAnsi="Arial" w:cs="Arial"/>
                <w:color w:val="000000" w:themeColor="text1"/>
                <w:sz w:val="16"/>
                <w:szCs w:val="16"/>
                <w:lang w:eastAsia="es-ES"/>
              </w:rPr>
              <w:t xml:space="preserve">Analista T2– 01 </w:t>
            </w:r>
            <w:r w:rsidRPr="007A0123" w:rsidR="00A71CEA">
              <w:rPr>
                <w:rFonts w:ascii="Arial" w:hAnsi="Arial" w:cs="Arial"/>
                <w:color w:val="000000" w:themeColor="text1"/>
                <w:sz w:val="16"/>
                <w:szCs w:val="16"/>
                <w:lang w:eastAsia="es-ES"/>
              </w:rPr>
              <w:t>de la Subdirección de Gestión Contractual</w:t>
            </w:r>
          </w:p>
        </w:tc>
      </w:tr>
      <w:tr w:rsidRPr="007A0123" w:rsidR="00A71CEA" w:rsidTr="00F35993" w14:paraId="6CE7FA18" w14:textId="77777777">
        <w:trPr>
          <w:trHeight w:val="314"/>
        </w:trPr>
        <w:tc>
          <w:tcPr>
            <w:tcW w:w="828" w:type="dxa"/>
            <w:vAlign w:val="center"/>
            <w:hideMark/>
          </w:tcPr>
          <w:p w:rsidRPr="007A0123" w:rsidR="00A71CEA" w:rsidP="00FC46E7" w:rsidRDefault="00A71CEA" w14:paraId="2902D588" w14:textId="77777777">
            <w:pPr>
              <w:rPr>
                <w:rFonts w:ascii="Arial" w:hAnsi="Arial" w:cs="Arial"/>
                <w:color w:val="000000" w:themeColor="text1"/>
                <w:sz w:val="16"/>
                <w:szCs w:val="16"/>
                <w:lang w:eastAsia="es-ES"/>
              </w:rPr>
            </w:pPr>
            <w:r w:rsidRPr="007A0123">
              <w:rPr>
                <w:rFonts w:ascii="Arial" w:hAnsi="Arial" w:cs="Arial"/>
                <w:color w:val="000000" w:themeColor="text1"/>
                <w:sz w:val="16"/>
                <w:szCs w:val="16"/>
                <w:lang w:eastAsia="es-ES"/>
              </w:rPr>
              <w:t>Revisó:</w:t>
            </w:r>
          </w:p>
        </w:tc>
        <w:tc>
          <w:tcPr>
            <w:tcW w:w="4502" w:type="dxa"/>
            <w:tcBorders>
              <w:top w:val="dotted" w:color="7F7F7F" w:themeColor="text1" w:themeTint="80" w:sz="4" w:space="0"/>
              <w:left w:val="nil"/>
              <w:bottom w:val="dotted" w:color="7F7F7F" w:themeColor="text1" w:themeTint="80" w:sz="4" w:space="0"/>
              <w:right w:val="nil"/>
            </w:tcBorders>
            <w:vAlign w:val="center"/>
            <w:hideMark/>
          </w:tcPr>
          <w:p w:rsidRPr="007A0123" w:rsidR="00A71CEA" w:rsidP="00FC46E7" w:rsidRDefault="00CC7CAB" w14:paraId="6CC67DAC" w14:textId="433D52CA">
            <w:pPr>
              <w:rPr>
                <w:rFonts w:ascii="Arial" w:hAnsi="Arial" w:cs="Arial"/>
                <w:color w:val="000000" w:themeColor="text1"/>
                <w:sz w:val="16"/>
                <w:szCs w:val="16"/>
                <w:lang w:eastAsia="es-ES"/>
              </w:rPr>
            </w:pPr>
            <w:r>
              <w:rPr>
                <w:rFonts w:ascii="Arial" w:hAnsi="Arial" w:cs="Arial"/>
                <w:color w:val="000000" w:themeColor="text1"/>
                <w:sz w:val="16"/>
                <w:szCs w:val="16"/>
                <w:lang w:eastAsia="es-ES"/>
              </w:rPr>
              <w:t xml:space="preserve">Juan David Montoya Penagos </w:t>
            </w:r>
          </w:p>
          <w:p w:rsidRPr="007A0123" w:rsidR="00A71CEA" w:rsidP="00FC46E7" w:rsidRDefault="00A71CEA" w14:paraId="15D02354" w14:textId="5F8430C7">
            <w:pPr>
              <w:rPr>
                <w:rFonts w:ascii="Arial" w:hAnsi="Arial" w:cs="Arial"/>
                <w:color w:val="000000" w:themeColor="text1"/>
                <w:sz w:val="16"/>
                <w:szCs w:val="16"/>
                <w:lang w:eastAsia="es-ES"/>
              </w:rPr>
            </w:pPr>
            <w:r w:rsidRPr="007A0123">
              <w:rPr>
                <w:rFonts w:ascii="Arial" w:hAnsi="Arial" w:cs="Arial"/>
                <w:color w:val="000000" w:themeColor="text1"/>
                <w:sz w:val="16"/>
                <w:szCs w:val="16"/>
                <w:lang w:eastAsia="es-ES"/>
              </w:rPr>
              <w:t>Gestor T1-1</w:t>
            </w:r>
            <w:r w:rsidR="00AF0F4E">
              <w:rPr>
                <w:rFonts w:ascii="Arial" w:hAnsi="Arial" w:cs="Arial"/>
                <w:color w:val="000000" w:themeColor="text1"/>
                <w:sz w:val="16"/>
                <w:szCs w:val="16"/>
                <w:lang w:eastAsia="es-ES"/>
              </w:rPr>
              <w:t>1</w:t>
            </w:r>
            <w:r w:rsidRPr="007A0123">
              <w:rPr>
                <w:rFonts w:ascii="Arial" w:hAnsi="Arial" w:cs="Arial"/>
                <w:color w:val="000000" w:themeColor="text1"/>
                <w:sz w:val="16"/>
                <w:szCs w:val="16"/>
                <w:lang w:eastAsia="es-ES"/>
              </w:rPr>
              <w:t xml:space="preserve"> de la Subdirección de Gestión Contractual</w:t>
            </w:r>
          </w:p>
        </w:tc>
      </w:tr>
      <w:tr w:rsidRPr="003F6D32" w:rsidR="00A71CEA" w:rsidTr="00F35993" w14:paraId="4BA2BDE6" w14:textId="77777777">
        <w:trPr>
          <w:trHeight w:val="286"/>
        </w:trPr>
        <w:tc>
          <w:tcPr>
            <w:tcW w:w="828" w:type="dxa"/>
            <w:vAlign w:val="center"/>
            <w:hideMark/>
          </w:tcPr>
          <w:p w:rsidRPr="007A0123" w:rsidR="00A71CEA" w:rsidP="00FC46E7" w:rsidRDefault="00A71CEA" w14:paraId="1A726DD9" w14:textId="77777777">
            <w:pPr>
              <w:rPr>
                <w:rFonts w:ascii="Arial" w:hAnsi="Arial" w:cs="Arial"/>
                <w:color w:val="000000" w:themeColor="text1"/>
                <w:sz w:val="16"/>
                <w:szCs w:val="16"/>
                <w:lang w:eastAsia="es-ES"/>
              </w:rPr>
            </w:pPr>
            <w:r w:rsidRPr="007A0123">
              <w:rPr>
                <w:rFonts w:ascii="Arial" w:hAnsi="Arial" w:cs="Arial"/>
                <w:color w:val="000000" w:themeColor="text1"/>
                <w:sz w:val="16"/>
                <w:szCs w:val="16"/>
                <w:lang w:eastAsia="es-ES"/>
              </w:rPr>
              <w:t>Aprobó:</w:t>
            </w:r>
          </w:p>
        </w:tc>
        <w:tc>
          <w:tcPr>
            <w:tcW w:w="4502" w:type="dxa"/>
            <w:tcBorders>
              <w:top w:val="dotted" w:color="7F7F7F" w:themeColor="text1" w:themeTint="80" w:sz="4" w:space="0"/>
              <w:left w:val="nil"/>
              <w:bottom w:val="dotted" w:color="7F7F7F" w:themeColor="text1" w:themeTint="80" w:sz="4" w:space="0"/>
              <w:right w:val="nil"/>
            </w:tcBorders>
            <w:vAlign w:val="center"/>
            <w:hideMark/>
          </w:tcPr>
          <w:p w:rsidRPr="007A0123" w:rsidR="00A71CEA" w:rsidP="00FC46E7" w:rsidRDefault="00A71CEA" w14:paraId="32ECCC83" w14:textId="77777777">
            <w:pPr>
              <w:rPr>
                <w:rFonts w:ascii="Arial" w:hAnsi="Arial" w:cs="Arial"/>
                <w:color w:val="000000" w:themeColor="text1"/>
                <w:sz w:val="16"/>
                <w:szCs w:val="16"/>
                <w:lang w:eastAsia="es-ES"/>
              </w:rPr>
            </w:pPr>
            <w:r w:rsidRPr="007A0123">
              <w:rPr>
                <w:rFonts w:ascii="Arial" w:hAnsi="Arial" w:cs="Arial"/>
                <w:color w:val="000000" w:themeColor="text1"/>
                <w:sz w:val="16"/>
                <w:szCs w:val="16"/>
                <w:lang w:eastAsia="es-ES"/>
              </w:rPr>
              <w:t>Jorge Augusto Tirado Navarro</w:t>
            </w:r>
          </w:p>
          <w:p w:rsidRPr="006C15D5" w:rsidR="00A71CEA" w:rsidP="00FC46E7" w:rsidRDefault="00A71CEA" w14:paraId="416E9DA6" w14:textId="77777777">
            <w:pPr>
              <w:rPr>
                <w:rFonts w:ascii="Arial" w:hAnsi="Arial" w:cs="Arial"/>
                <w:color w:val="000000" w:themeColor="text1"/>
                <w:sz w:val="16"/>
                <w:szCs w:val="16"/>
                <w:lang w:eastAsia="es-ES"/>
              </w:rPr>
            </w:pPr>
            <w:r w:rsidRPr="007A0123">
              <w:rPr>
                <w:rFonts w:ascii="Arial" w:hAnsi="Arial" w:cs="Arial"/>
                <w:color w:val="000000" w:themeColor="text1"/>
                <w:sz w:val="16"/>
                <w:szCs w:val="16"/>
                <w:lang w:eastAsia="es-ES"/>
              </w:rPr>
              <w:t>Subdirector de Gestión Contractual ANCP – CCE</w:t>
            </w:r>
          </w:p>
        </w:tc>
      </w:tr>
      <w:bookmarkEnd w:id="2"/>
    </w:tbl>
    <w:p w:rsidR="00A71CEA" w:rsidP="00FC46E7" w:rsidRDefault="00A71CEA" w14:paraId="3D5BFD2B" w14:textId="77777777"/>
    <w:sectPr w:rsidR="00A71CEA" w:rsidSect="007F1895">
      <w:headerReference w:type="default" r:id="rId15"/>
      <w:footerReference w:type="default" r:id="rId16"/>
      <w:pgSz w:w="12240" w:h="15840" w:orient="portrait"/>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A2480" w:rsidP="00A71CEA" w:rsidRDefault="003A2480" w14:paraId="48C81F31" w14:textId="77777777">
      <w:r>
        <w:separator/>
      </w:r>
    </w:p>
  </w:endnote>
  <w:endnote w:type="continuationSeparator" w:id="0">
    <w:p w:rsidR="003A2480" w:rsidP="00A71CEA" w:rsidRDefault="003A2480" w14:paraId="768240B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387886" w:rsidP="007F1895" w:rsidRDefault="00387886" w14:paraId="7D6EB0DB" w14:textId="77777777">
    <w:pPr>
      <w:pStyle w:val="Sinespaciado"/>
      <w:jc w:val="right"/>
      <w:rPr>
        <w:rFonts w:ascii="Arial" w:hAnsi="Arial" w:cs="Arial"/>
        <w:sz w:val="18"/>
        <w:szCs w:val="18"/>
      </w:rPr>
    </w:pPr>
  </w:p>
  <w:p w:rsidR="00387886" w:rsidP="007F1895" w:rsidRDefault="00387886" w14:paraId="1A83C429" w14:textId="77777777">
    <w:pPr>
      <w:pStyle w:val="Sinespaciado"/>
      <w:jc w:val="right"/>
      <w:rPr>
        <w:rFonts w:ascii="Arial" w:hAnsi="Arial" w:cs="Arial"/>
        <w:sz w:val="18"/>
        <w:szCs w:val="18"/>
      </w:rPr>
    </w:pPr>
  </w:p>
  <w:p w:rsidRPr="008217B7" w:rsidR="00387886" w:rsidP="007F1895" w:rsidRDefault="00387886" w14:paraId="4C092373" w14:textId="77777777">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2</w:t>
    </w:r>
    <w:r w:rsidRPr="00084B97">
      <w:rPr>
        <w:rFonts w:ascii="Arial" w:hAnsi="Arial" w:cs="Arial"/>
        <w:b/>
        <w:bCs/>
        <w:color w:val="7F7F7F" w:themeColor="text1" w:themeTint="80"/>
        <w:sz w:val="16"/>
        <w:szCs w:val="16"/>
      </w:rPr>
      <w:fldChar w:fldCharType="end"/>
    </w:r>
  </w:p>
  <w:p w:rsidR="00387886" w:rsidP="007F1895" w:rsidRDefault="00387886" w14:paraId="15A1C25B" w14:textId="77777777">
    <w:pPr>
      <w:pStyle w:val="Piedepgina"/>
      <w:jc w:val="center"/>
      <w:rPr>
        <w:lang w:val="es-ES"/>
      </w:rPr>
    </w:pPr>
    <w:r>
      <w:rPr>
        <w:noProof/>
      </w:rPr>
      <w:drawing>
        <wp:inline distT="0" distB="0" distL="0" distR="0" wp14:anchorId="1A50E6AF" wp14:editId="2CAE943A">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rsidRPr="00E756AC" w:rsidR="00387886" w:rsidP="007F1895" w:rsidRDefault="00387886" w14:paraId="79A9CCC9" w14:textId="77777777">
    <w:pPr>
      <w:pStyle w:val="Piedepgina"/>
      <w:jc w:val="center"/>
      <w:rPr>
        <w:sz w:val="18"/>
        <w:szCs w:val="18"/>
        <w:lang w:val="es-ES"/>
      </w:rPr>
    </w:pPr>
  </w:p>
  <w:p w:rsidRPr="00E756AC" w:rsidR="00387886" w:rsidP="007F1895" w:rsidRDefault="00387886" w14:paraId="02222FE9" w14:textId="77777777">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A2480" w:rsidP="00A71CEA" w:rsidRDefault="003A2480" w14:paraId="7356784D" w14:textId="77777777">
      <w:r>
        <w:separator/>
      </w:r>
    </w:p>
  </w:footnote>
  <w:footnote w:type="continuationSeparator" w:id="0">
    <w:p w:rsidR="003A2480" w:rsidP="00A71CEA" w:rsidRDefault="003A2480" w14:paraId="01CB4E92" w14:textId="77777777">
      <w:r>
        <w:continuationSeparator/>
      </w:r>
    </w:p>
  </w:footnote>
  <w:footnote w:id="1">
    <w:p w:rsidRPr="00A105C2" w:rsidR="00A23BDA" w:rsidP="00FD7DA9" w:rsidRDefault="00A23BDA" w14:paraId="0BD101A3" w14:textId="77777777">
      <w:pPr>
        <w:pStyle w:val="Textonotapie"/>
        <w:ind w:firstLine="708"/>
        <w:jc w:val="both"/>
        <w:rPr>
          <w:rFonts w:asciiTheme="minorBidi" w:hAnsiTheme="minorBidi"/>
          <w:sz w:val="19"/>
          <w:szCs w:val="19"/>
          <w:lang w:val="es-ES"/>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A105C2">
        <w:rPr>
          <w:rFonts w:asciiTheme="minorBidi" w:hAnsiTheme="minorBidi"/>
          <w:i/>
          <w:iCs/>
          <w:sz w:val="19"/>
          <w:szCs w:val="19"/>
        </w:rPr>
        <w:t xml:space="preserve">ibidem </w:t>
      </w:r>
      <w:r w:rsidRPr="00A105C2">
        <w:rPr>
          <w:rFonts w:asciiTheme="minorBidi" w:hAnsiTheme="minorBidi"/>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2">
    <w:p w:rsidRPr="00A105C2" w:rsidR="00471C67" w:rsidP="005E2B5A" w:rsidRDefault="00471C67" w14:paraId="2AD5A8F5" w14:textId="77777777">
      <w:pPr>
        <w:pStyle w:val="Textonotapie"/>
        <w:ind w:firstLine="709"/>
        <w:contextualSpacing/>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rsidRPr="00A105C2" w:rsidR="00471C67" w:rsidP="005E2B5A" w:rsidRDefault="00471C67" w14:paraId="0C2CA11B" w14:textId="0B9654E2">
      <w:pPr>
        <w:pStyle w:val="Textonotapie"/>
        <w:ind w:firstLine="709"/>
        <w:contextualSpacing/>
        <w:jc w:val="both"/>
        <w:rPr>
          <w:rFonts w:asciiTheme="minorBidi" w:hAnsiTheme="minorBidi"/>
          <w:sz w:val="19"/>
          <w:szCs w:val="19"/>
        </w:rPr>
      </w:pPr>
      <w:proofErr w:type="gramStart"/>
      <w:r w:rsidRPr="00A105C2">
        <w:rPr>
          <w:rFonts w:asciiTheme="minorBidi" w:hAnsiTheme="minorBidi"/>
          <w:sz w:val="19"/>
          <w:szCs w:val="19"/>
        </w:rPr>
        <w:t>»A</w:t>
      </w:r>
      <w:proofErr w:type="gramEnd"/>
      <w:r w:rsidRPr="00A105C2">
        <w:rPr>
          <w:rFonts w:asciiTheme="minorBidi" w:hAnsiTheme="minorBidi"/>
          <w:sz w:val="19"/>
          <w:szCs w:val="19"/>
        </w:rPr>
        <w:t xml:space="preserve">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rsidRPr="00A105C2" w:rsidR="00471C67" w:rsidP="005E2B5A" w:rsidRDefault="00471C67" w14:paraId="272D3192" w14:textId="77777777">
      <w:pPr>
        <w:pStyle w:val="Textonotapie"/>
        <w:ind w:firstLine="709"/>
        <w:contextualSpacing/>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Gaceta del Congreso de la República No. 71 del 2005.</w:t>
      </w:r>
    </w:p>
  </w:footnote>
  <w:footnote w:id="4">
    <w:p w:rsidRPr="00A105C2" w:rsidR="00471C67" w:rsidP="005E2B5A" w:rsidRDefault="00471C67" w14:paraId="0BD380B0" w14:textId="77777777">
      <w:pPr>
        <w:pStyle w:val="Textonotapie"/>
        <w:ind w:firstLine="709"/>
        <w:contextualSpacing/>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Corte Constitucional, Sentencia C- 1153 de 2005, M.P. Marco Gerardo Monroy Cabra.</w:t>
      </w:r>
    </w:p>
  </w:footnote>
  <w:footnote w:id="5">
    <w:p w:rsidRPr="00A105C2" w:rsidR="00471C67" w:rsidP="005E2B5A" w:rsidRDefault="00471C67" w14:paraId="4BFCA0D3" w14:textId="77777777">
      <w:pPr>
        <w:pStyle w:val="Textonotapie"/>
        <w:ind w:firstLine="709"/>
        <w:contextualSpacing/>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rsidRPr="00A105C2" w:rsidR="00471C67" w:rsidP="005E2B5A" w:rsidRDefault="00471C67" w14:paraId="35B2A408" w14:textId="77777777">
      <w:pPr>
        <w:pStyle w:val="Textonotapie"/>
        <w:ind w:firstLine="709"/>
        <w:contextualSpacing/>
        <w:jc w:val="both"/>
        <w:rPr>
          <w:rFonts w:asciiTheme="minorBidi" w:hAnsiTheme="minorBidi"/>
          <w:sz w:val="19"/>
          <w:szCs w:val="19"/>
          <w:lang w:val="es-CO"/>
        </w:rPr>
      </w:pPr>
      <w:r w:rsidRPr="00A105C2">
        <w:rPr>
          <w:rStyle w:val="Refdenotaalpie"/>
          <w:rFonts w:asciiTheme="minorBidi" w:hAnsiTheme="minorBidi"/>
          <w:sz w:val="19"/>
          <w:szCs w:val="19"/>
        </w:rPr>
        <w:footnoteRef/>
      </w:r>
      <w:r w:rsidRPr="00A105C2">
        <w:rPr>
          <w:rFonts w:asciiTheme="minorBidi" w:hAnsiTheme="minorBidi"/>
          <w:sz w:val="19"/>
          <w:szCs w:val="19"/>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rsidRPr="00A105C2" w:rsidR="00471C67" w:rsidP="005E2B5A" w:rsidRDefault="00471C67" w14:paraId="214B9788" w14:textId="77777777">
      <w:pPr>
        <w:pStyle w:val="Textonotapie"/>
        <w:ind w:firstLine="709"/>
        <w:contextualSpacing/>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Consejo de Estado, Sala de Consulta y Servicio Civil de fecha 24 de julio de 2013, radicado 2166, </w:t>
      </w:r>
      <w:proofErr w:type="gramStart"/>
      <w:r w:rsidRPr="00A105C2">
        <w:rPr>
          <w:rFonts w:asciiTheme="minorBidi" w:hAnsiTheme="minorBidi"/>
          <w:sz w:val="19"/>
          <w:szCs w:val="19"/>
        </w:rPr>
        <w:t>Consejero</w:t>
      </w:r>
      <w:proofErr w:type="gramEnd"/>
      <w:r w:rsidRPr="00A105C2">
        <w:rPr>
          <w:rFonts w:asciiTheme="minorBidi" w:hAnsiTheme="minorBidi"/>
          <w:sz w:val="19"/>
          <w:szCs w:val="19"/>
        </w:rPr>
        <w:t xml:space="preserve"> Ponente: Álvaro Namén Vargas.  </w:t>
      </w:r>
    </w:p>
  </w:footnote>
  <w:footnote w:id="8">
    <w:p w:rsidRPr="00A105C2" w:rsidR="00471C67" w:rsidP="005E2B5A" w:rsidRDefault="00471C67" w14:paraId="6C0100F7" w14:textId="77777777">
      <w:pPr>
        <w:ind w:firstLine="709"/>
        <w:contextualSpacing/>
        <w:jc w:val="both"/>
        <w:rPr>
          <w:rFonts w:asciiTheme="minorBidi" w:hAnsiTheme="minorBidi" w:cstheme="minorBidi"/>
          <w:sz w:val="19"/>
          <w:szCs w:val="19"/>
        </w:rPr>
      </w:pPr>
      <w:r w:rsidRPr="00A105C2">
        <w:rPr>
          <w:rStyle w:val="Refdenotaalpie"/>
          <w:rFonts w:asciiTheme="minorBidi" w:hAnsiTheme="minorBidi" w:cstheme="minorBidi"/>
          <w:sz w:val="19"/>
          <w:szCs w:val="19"/>
        </w:rPr>
        <w:footnoteRef/>
      </w:r>
      <w:r w:rsidRPr="00A105C2">
        <w:rPr>
          <w:rFonts w:asciiTheme="minorBidi" w:hAnsiTheme="minorBidi" w:cstheme="minorBidi"/>
          <w:sz w:val="19"/>
          <w:szCs w:val="19"/>
        </w:rPr>
        <w:t xml:space="preserve"> </w:t>
      </w:r>
      <w:bookmarkStart w:name="33" w:id="9"/>
      <w:r w:rsidRPr="00A105C2">
        <w:rPr>
          <w:rFonts w:eastAsia="Calibri" w:asciiTheme="minorBidi" w:hAnsiTheme="minorBidi" w:cstheme="minorBidi"/>
          <w:bCs/>
          <w:color w:val="000000"/>
          <w:sz w:val="19"/>
          <w:szCs w:val="19"/>
        </w:rPr>
        <w:t>«</w:t>
      </w:r>
      <w:r w:rsidRPr="00A105C2">
        <w:rPr>
          <w:rFonts w:asciiTheme="minorBidi" w:hAnsiTheme="minorBidi" w:cstheme="minorBidi"/>
          <w:sz w:val="19"/>
          <w:szCs w:val="19"/>
        </w:rPr>
        <w:t>Artículo 33. Restricciones a la contratación pública.</w:t>
      </w:r>
      <w:bookmarkEnd w:id="9"/>
      <w:r w:rsidRPr="00A105C2">
        <w:rPr>
          <w:rFonts w:asciiTheme="minorBidi" w:hAnsiTheme="minorBidi" w:cstheme="minorBidi"/>
          <w:sz w:val="19"/>
          <w:szCs w:val="19"/>
        </w:rPr>
        <w:t> Durante los cuatro (4) meses anteriores a la elección presidencial y hasta la realización de la elección en la segunda vuelta, si fuere el caso, queda prohibida la contratación directa por parte de todos los entes del Estado.</w:t>
      </w:r>
    </w:p>
    <w:p w:rsidRPr="00A105C2" w:rsidR="00471C67" w:rsidP="005E2B5A" w:rsidRDefault="00471C67" w14:paraId="7D8EE549" w14:textId="77777777">
      <w:pPr>
        <w:ind w:firstLine="709"/>
        <w:contextualSpacing/>
        <w:jc w:val="both"/>
        <w:rPr>
          <w:rFonts w:asciiTheme="minorBidi" w:hAnsiTheme="minorBidi" w:cstheme="minorBidi"/>
          <w:sz w:val="19"/>
          <w:szCs w:val="19"/>
        </w:rPr>
      </w:pPr>
      <w:r w:rsidRPr="00A105C2">
        <w:rPr>
          <w:rFonts w:eastAsia="Calibri" w:asciiTheme="minorBidi" w:hAnsiTheme="minorBidi" w:cstheme="minorBidi"/>
          <w:bCs/>
          <w:color w:val="000000"/>
          <w:sz w:val="19"/>
          <w:szCs w:val="19"/>
        </w:rPr>
        <w:t>»</w:t>
      </w:r>
      <w:r w:rsidRPr="00A105C2">
        <w:rPr>
          <w:rFonts w:asciiTheme="minorBidi" w:hAnsiTheme="minorBidi" w:cstheme="minorBidi"/>
          <w:sz w:val="19"/>
          <w:szCs w:val="19"/>
        </w:rPr>
        <w:t xml:space="preserve"> 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105C2">
        <w:rPr>
          <w:rFonts w:eastAsia="Calibri" w:asciiTheme="minorBidi" w:hAnsiTheme="minorBidi" w:cstheme="minorBidi"/>
          <w:bCs/>
          <w:color w:val="000000"/>
          <w:sz w:val="19"/>
          <w:szCs w:val="19"/>
        </w:rPr>
        <w:t>»</w:t>
      </w:r>
      <w:r w:rsidRPr="00A105C2">
        <w:rPr>
          <w:rFonts w:asciiTheme="minorBidi" w:hAnsiTheme="minorBidi" w:cstheme="minorBidi"/>
          <w:sz w:val="19"/>
          <w:szCs w:val="19"/>
        </w:rPr>
        <w:t>.</w:t>
      </w:r>
    </w:p>
  </w:footnote>
  <w:footnote w:id="9">
    <w:p w:rsidRPr="00A105C2" w:rsidR="00471C67" w:rsidP="005E2B5A" w:rsidRDefault="00471C67" w14:paraId="6DFF0E8A" w14:textId="77777777">
      <w:pPr>
        <w:pStyle w:val="NormalWeb"/>
        <w:spacing w:before="0" w:beforeAutospacing="0" w:after="0" w:afterAutospacing="0"/>
        <w:ind w:firstLine="709"/>
        <w:contextualSpacing/>
        <w:jc w:val="both"/>
        <w:rPr>
          <w:rFonts w:asciiTheme="minorBidi" w:hAnsiTheme="minorBidi" w:cstheme="minorBidi"/>
          <w:sz w:val="19"/>
          <w:szCs w:val="19"/>
          <w:lang w:val="es-MX"/>
        </w:rPr>
      </w:pPr>
      <w:r w:rsidRPr="00A105C2">
        <w:rPr>
          <w:rStyle w:val="Refdenotaalpie"/>
          <w:rFonts w:asciiTheme="minorBidi" w:hAnsiTheme="minorBidi" w:cstheme="minorBidi"/>
          <w:sz w:val="19"/>
          <w:szCs w:val="19"/>
        </w:rPr>
        <w:footnoteRef/>
      </w:r>
      <w:r w:rsidRPr="00A105C2">
        <w:rPr>
          <w:rFonts w:asciiTheme="minorBidi" w:hAnsiTheme="minorBidi" w:cstheme="minorBidi"/>
          <w:sz w:val="19"/>
          <w:szCs w:val="19"/>
        </w:rPr>
        <w:t xml:space="preserve"> </w:t>
      </w:r>
      <w:bookmarkStart w:name="38" w:id="10"/>
      <w:r w:rsidRPr="00A105C2">
        <w:rPr>
          <w:rFonts w:eastAsia="Calibri" w:asciiTheme="minorBidi" w:hAnsiTheme="minorBidi" w:cstheme="minorBidi"/>
          <w:bCs/>
          <w:color w:val="000000"/>
          <w:sz w:val="19"/>
          <w:szCs w:val="19"/>
        </w:rPr>
        <w:t>«</w:t>
      </w:r>
      <w:r w:rsidRPr="00A105C2">
        <w:rPr>
          <w:rFonts w:asciiTheme="minorBidi" w:hAnsiTheme="minorBidi" w:cstheme="minorBidi"/>
          <w:sz w:val="19"/>
          <w:szCs w:val="19"/>
          <w:lang w:val="es-MX"/>
        </w:rPr>
        <w:t>Artículo 38. Prohibiciones para los servidores públicos. A los empleados del Estado les está prohibido:</w:t>
      </w:r>
      <w:bookmarkEnd w:id="10"/>
    </w:p>
    <w:p w:rsidRPr="00A105C2" w:rsidR="00471C67" w:rsidP="005E2B5A" w:rsidRDefault="00471C67" w14:paraId="6CDDA90F" w14:textId="77777777">
      <w:pPr>
        <w:pStyle w:val="NormalWeb"/>
        <w:spacing w:before="0" w:beforeAutospacing="0" w:after="0" w:afterAutospacing="0"/>
        <w:ind w:firstLine="709"/>
        <w:contextualSpacing/>
        <w:jc w:val="both"/>
        <w:rPr>
          <w:rFonts w:asciiTheme="minorBidi" w:hAnsiTheme="minorBidi" w:cstheme="minorBidi"/>
          <w:sz w:val="19"/>
          <w:szCs w:val="19"/>
          <w:lang w:val="es-MX"/>
        </w:rPr>
      </w:pPr>
      <w:r w:rsidRPr="00A105C2">
        <w:rPr>
          <w:rFonts w:eastAsia="Calibri" w:asciiTheme="minorBidi" w:hAnsiTheme="minorBidi" w:cstheme="minorBidi"/>
          <w:bCs/>
          <w:color w:val="000000"/>
          <w:sz w:val="19"/>
          <w:szCs w:val="19"/>
        </w:rPr>
        <w:t>»</w:t>
      </w:r>
      <w:r w:rsidRPr="00A105C2">
        <w:rPr>
          <w:rFonts w:asciiTheme="minorBidi" w:hAnsiTheme="minorBidi" w:cstheme="minorBidi"/>
          <w:sz w:val="19"/>
          <w:szCs w:val="19"/>
          <w:lang w:val="es-MX"/>
        </w:rPr>
        <w:t xml:space="preserve"> […]</w:t>
      </w:r>
    </w:p>
    <w:p w:rsidRPr="00A105C2" w:rsidR="00471C67" w:rsidP="005E2B5A" w:rsidRDefault="00471C67" w14:paraId="0EAB9811" w14:textId="77777777">
      <w:pPr>
        <w:pStyle w:val="NormalWeb"/>
        <w:spacing w:before="0" w:beforeAutospacing="0" w:after="0" w:afterAutospacing="0"/>
        <w:ind w:firstLine="709"/>
        <w:contextualSpacing/>
        <w:jc w:val="both"/>
        <w:rPr>
          <w:rFonts w:asciiTheme="minorBidi" w:hAnsiTheme="minorBidi" w:cstheme="minorBidi"/>
          <w:sz w:val="19"/>
          <w:szCs w:val="19"/>
          <w:lang w:val="es-MX"/>
        </w:rPr>
      </w:pPr>
      <w:r w:rsidRPr="00A105C2">
        <w:rPr>
          <w:rFonts w:eastAsia="Calibri" w:asciiTheme="minorBidi" w:hAnsiTheme="minorBidi" w:cstheme="minorBidi"/>
          <w:bCs/>
          <w:color w:val="000000"/>
          <w:sz w:val="19"/>
          <w:szCs w:val="19"/>
        </w:rPr>
        <w:t>»</w:t>
      </w:r>
      <w:r w:rsidRPr="00A105C2">
        <w:rPr>
          <w:rStyle w:val="baj"/>
          <w:rFonts w:asciiTheme="minorBidi" w:hAnsiTheme="minorBidi" w:cstheme="minorBidi"/>
          <w:sz w:val="19"/>
          <w:szCs w:val="19"/>
          <w:lang w:val="es-MX"/>
        </w:rPr>
        <w:t xml:space="preserve"> Parágrafo.</w:t>
      </w:r>
      <w:r w:rsidRPr="00A105C2">
        <w:rPr>
          <w:rFonts w:asciiTheme="minorBidi" w:hAnsiTheme="minorBidi" w:cstheme="minorBidi"/>
          <w:sz w:val="19"/>
          <w:szCs w:val="19"/>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105C2">
        <w:rPr>
          <w:rFonts w:eastAsia="Calibri" w:asciiTheme="minorBidi" w:hAnsiTheme="minorBidi" w:cstheme="minorBidi"/>
          <w:bCs/>
          <w:color w:val="000000"/>
          <w:sz w:val="19"/>
          <w:szCs w:val="19"/>
        </w:rPr>
        <w:t>»</w:t>
      </w:r>
      <w:r w:rsidRPr="00A105C2">
        <w:rPr>
          <w:rFonts w:asciiTheme="minorBidi" w:hAnsiTheme="minorBidi" w:cstheme="minorBidi"/>
          <w:sz w:val="19"/>
          <w:szCs w:val="19"/>
          <w:lang w:val="es-MX"/>
        </w:rPr>
        <w:t>.</w:t>
      </w:r>
    </w:p>
  </w:footnote>
  <w:footnote w:id="10">
    <w:p w:rsidRPr="00A105C2" w:rsidR="00471C67" w:rsidP="005E2B5A" w:rsidRDefault="00471C67" w14:paraId="67F58224" w14:textId="77777777">
      <w:pPr>
        <w:ind w:firstLine="709"/>
        <w:contextualSpacing/>
        <w:jc w:val="both"/>
        <w:rPr>
          <w:rFonts w:asciiTheme="minorBidi" w:hAnsiTheme="minorBidi" w:cstheme="minorBidi"/>
          <w:sz w:val="19"/>
          <w:szCs w:val="19"/>
          <w:lang w:val="es-ES"/>
        </w:rPr>
      </w:pPr>
      <w:r w:rsidRPr="00A105C2">
        <w:rPr>
          <w:rStyle w:val="Refdenotaalpie"/>
          <w:rFonts w:asciiTheme="minorBidi" w:hAnsiTheme="minorBidi" w:cstheme="minorBidi"/>
          <w:sz w:val="19"/>
          <w:szCs w:val="19"/>
        </w:rPr>
        <w:footnoteRef/>
      </w:r>
      <w:r w:rsidRPr="00A105C2">
        <w:rPr>
          <w:rFonts w:asciiTheme="minorBidi" w:hAnsiTheme="minorBidi" w:cstheme="minorBidi"/>
          <w:sz w:val="19"/>
          <w:szCs w:val="19"/>
        </w:rPr>
        <w:t xml:space="preserve"> Consejo de Estado. Sala de Consulta y Servicio Civil. Concepto del 17 de febrero de 2015. C.P. William Zambrano Cetina. Radicación No. 11001-03-06-000-2015-00164-00(2269).</w:t>
      </w:r>
    </w:p>
  </w:footnote>
  <w:footnote w:id="11">
    <w:p w:rsidRPr="00A105C2" w:rsidR="009311DA" w:rsidP="005E2B5A" w:rsidRDefault="009311DA" w14:paraId="08988D30" w14:textId="77777777">
      <w:pPr>
        <w:pStyle w:val="Textonotapie"/>
        <w:ind w:right="51" w:firstLine="709"/>
        <w:contextualSpacing/>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w:t>
      </w:r>
      <w:bookmarkStart w:name="_Hlk74272731" w:id="16"/>
      <w:r w:rsidRPr="00A105C2">
        <w:rPr>
          <w:rFonts w:asciiTheme="minorBidi" w:hAnsiTheme="minorBidi"/>
          <w:sz w:val="19"/>
          <w:szCs w:val="19"/>
        </w:rPr>
        <w:t>«</w:t>
      </w:r>
      <w:bookmarkEnd w:id="16"/>
      <w:r w:rsidRPr="00A105C2">
        <w:rPr>
          <w:rFonts w:asciiTheme="minorBidi" w:hAnsiTheme="minorBidi"/>
          <w:sz w:val="19"/>
          <w:szCs w:val="19"/>
          <w:lang w:val="es-ES"/>
        </w:rPr>
        <w:t xml:space="preserve">[25] </w:t>
      </w:r>
      <w:r w:rsidRPr="00A105C2">
        <w:rPr>
          <w:rFonts w:asciiTheme="minorBidi" w:hAnsiTheme="minorBidi"/>
          <w:sz w:val="19"/>
          <w:szCs w:val="19"/>
        </w:rPr>
        <w:t>Cfr. Consejo de Estado. Sección Tercera. Sentencia de 3 de diciembre de 2007. Radicados: 24.715, 25.206, 25.409, 24.524, 27.834, 25.410, 26.105, 28.244, 31.447 -acumulados-</w:t>
      </w:r>
      <w:bookmarkStart w:name="_Hlk74271358" w:id="17"/>
      <w:r w:rsidRPr="00A105C2">
        <w:rPr>
          <w:rFonts w:asciiTheme="minorBidi" w:hAnsiTheme="minorBidi"/>
          <w:sz w:val="19"/>
          <w:szCs w:val="19"/>
        </w:rPr>
        <w:t>»</w:t>
      </w:r>
      <w:bookmarkEnd w:id="17"/>
      <w:r w:rsidRPr="00A105C2">
        <w:rPr>
          <w:rFonts w:asciiTheme="minorBidi" w:hAnsiTheme="minorBidi"/>
          <w:sz w:val="19"/>
          <w:szCs w:val="19"/>
        </w:rPr>
        <w:t>.</w:t>
      </w:r>
    </w:p>
  </w:footnote>
  <w:footnote w:id="12">
    <w:p w:rsidRPr="00A105C2" w:rsidR="009311DA" w:rsidP="005E2B5A" w:rsidRDefault="009311DA" w14:paraId="5F6D2E2C" w14:textId="77777777">
      <w:pPr>
        <w:pStyle w:val="Textonotapie"/>
        <w:ind w:right="51" w:firstLine="709"/>
        <w:contextualSpacing/>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w:t>
      </w:r>
      <w:bookmarkStart w:name="_Hlk74294506" w:id="19"/>
      <w:r w:rsidRPr="00A105C2">
        <w:rPr>
          <w:rFonts w:asciiTheme="minorBidi" w:hAnsiTheme="minorBidi"/>
          <w:sz w:val="19"/>
          <w:szCs w:val="19"/>
        </w:rPr>
        <w:t>«</w:t>
      </w:r>
      <w:r w:rsidRPr="00A105C2">
        <w:rPr>
          <w:rFonts w:asciiTheme="minorBidi" w:hAnsiTheme="minorBidi"/>
          <w:sz w:val="19"/>
          <w:szCs w:val="19"/>
          <w:lang w:val="es-ES"/>
        </w:rPr>
        <w:t xml:space="preserve">[26] </w:t>
      </w:r>
      <w:bookmarkEnd w:id="19"/>
      <w:r w:rsidRPr="00A105C2">
        <w:rPr>
          <w:rFonts w:asciiTheme="minorBidi" w:hAnsiTheme="minorBidi"/>
          <w:sz w:val="19"/>
          <w:szCs w:val="19"/>
        </w:rPr>
        <w:t>Al respecto ver el concepto 1712 de 2 de febrero de 2006. Consejo de Estado Sala de Consulta y Servicio Civil».</w:t>
      </w:r>
    </w:p>
  </w:footnote>
  <w:footnote w:id="13">
    <w:p w:rsidRPr="00A105C2" w:rsidR="009311DA" w:rsidP="005E2B5A" w:rsidRDefault="009311DA" w14:paraId="7A912F9D" w14:textId="77777777">
      <w:pPr>
        <w:pStyle w:val="Textonotapie"/>
        <w:ind w:firstLine="709"/>
        <w:contextualSpacing/>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Consejo de Estado. Sala de Consulta y Servicio Civil. Concepto del 2 de septiembre de 2013. Radicación número: 11001-03-06-000-2013-00412-00 (2168). Consejero Ponente: Álvaro Namén Vargas.</w:t>
      </w:r>
    </w:p>
  </w:footnote>
  <w:footnote w:id="14">
    <w:p w:rsidRPr="00A105C2" w:rsidR="009311DA" w:rsidP="005E2B5A" w:rsidRDefault="009311DA" w14:paraId="2EDC8DE0" w14:textId="77777777">
      <w:pPr>
        <w:pStyle w:val="Textonotapie"/>
        <w:ind w:firstLine="709"/>
        <w:contextualSpacing/>
        <w:jc w:val="both"/>
        <w:rPr>
          <w:rFonts w:asciiTheme="minorBidi" w:hAnsiTheme="minorBidi"/>
          <w:sz w:val="19"/>
          <w:szCs w:val="19"/>
          <w:lang w:val="es-ES"/>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w:t>
      </w:r>
      <w:r w:rsidRPr="00A105C2">
        <w:rPr>
          <w:rFonts w:asciiTheme="minorBidi" w:hAnsiTheme="minorBidi"/>
          <w:sz w:val="19"/>
          <w:szCs w:val="19"/>
          <w:lang w:val="es-ES"/>
        </w:rPr>
        <w:t xml:space="preserve">Artículo 2. </w:t>
      </w:r>
    </w:p>
  </w:footnote>
  <w:footnote w:id="15">
    <w:p w:rsidRPr="00A105C2" w:rsidR="009311DA" w:rsidP="005E2B5A" w:rsidRDefault="009311DA" w14:paraId="5E3B9D52" w14:textId="77777777">
      <w:pPr>
        <w:pStyle w:val="Textonotapie"/>
        <w:ind w:firstLine="709"/>
        <w:contextualSpacing/>
        <w:jc w:val="both"/>
        <w:rPr>
          <w:rFonts w:asciiTheme="minorBidi" w:hAnsiTheme="minorBidi"/>
          <w:sz w:val="19"/>
          <w:szCs w:val="19"/>
          <w:lang w:val="es-ES"/>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w:t>
      </w:r>
      <w:r w:rsidRPr="00A105C2">
        <w:rPr>
          <w:rFonts w:asciiTheme="minorBidi" w:hAnsiTheme="minorBidi"/>
          <w:i/>
          <w:sz w:val="19"/>
          <w:szCs w:val="19"/>
          <w:lang w:val="es-ES"/>
        </w:rPr>
        <w:t>Ídem</w:t>
      </w:r>
      <w:r w:rsidRPr="00A105C2">
        <w:rPr>
          <w:rFonts w:asciiTheme="minorBidi" w:hAnsiTheme="minorBidi"/>
          <w:sz w:val="19"/>
          <w:szCs w:val="19"/>
          <w:lang w:val="es-ES"/>
        </w:rPr>
        <w:t>.</w:t>
      </w:r>
    </w:p>
  </w:footnote>
  <w:footnote w:id="16">
    <w:p w:rsidRPr="00A105C2" w:rsidR="009311DA" w:rsidP="005E2B5A" w:rsidRDefault="009311DA" w14:paraId="300F2F8D" w14:textId="77777777">
      <w:pPr>
        <w:pStyle w:val="Textonotapie"/>
        <w:ind w:firstLine="709"/>
        <w:contextualSpacing/>
        <w:jc w:val="both"/>
        <w:rPr>
          <w:rFonts w:asciiTheme="minorBidi" w:hAnsiTheme="minorBidi"/>
          <w:sz w:val="19"/>
          <w:szCs w:val="19"/>
          <w:lang w:val="es-ES"/>
        </w:rPr>
      </w:pPr>
      <w:r w:rsidRPr="00A105C2">
        <w:rPr>
          <w:rStyle w:val="Refdenotaalpie"/>
          <w:rFonts w:asciiTheme="minorBidi" w:hAnsiTheme="minorBidi"/>
          <w:sz w:val="19"/>
          <w:szCs w:val="19"/>
        </w:rPr>
        <w:footnoteRef/>
      </w:r>
      <w:r w:rsidRPr="00A105C2">
        <w:rPr>
          <w:rStyle w:val="Refdenotaalpie"/>
          <w:rFonts w:asciiTheme="minorBidi" w:hAnsiTheme="minorBidi"/>
          <w:sz w:val="19"/>
          <w:szCs w:val="19"/>
        </w:rPr>
        <w:t xml:space="preserve"> </w:t>
      </w:r>
      <w:bookmarkStart w:name="_Hlk74297130" w:id="24"/>
      <w:r w:rsidRPr="00A105C2">
        <w:rPr>
          <w:rFonts w:asciiTheme="minorBidi" w:hAnsiTheme="minorBidi"/>
          <w:sz w:val="19"/>
          <w:szCs w:val="19"/>
          <w:lang w:val="es-ES"/>
        </w:rPr>
        <w:t>«</w:t>
      </w:r>
      <w:bookmarkEnd w:id="24"/>
      <w:r w:rsidRPr="00A105C2">
        <w:rPr>
          <w:rFonts w:asciiTheme="minorBidi" w:hAnsiTheme="minorBidi"/>
          <w:sz w:val="19"/>
          <w:szCs w:val="19"/>
          <w:lang w:val="es-ES"/>
        </w:rPr>
        <w:t xml:space="preserve">[…] A este respecto, cabe recordar que el artículo 860 del Código de Comercio regula la licitación en el derecho privado». </w:t>
      </w:r>
    </w:p>
  </w:footnote>
  <w:footnote w:id="17">
    <w:p w:rsidRPr="00A105C2" w:rsidR="009311DA" w:rsidP="005E2B5A" w:rsidRDefault="009311DA" w14:paraId="51A0091E" w14:textId="77777777">
      <w:pPr>
        <w:shd w:val="clear" w:color="auto" w:fill="FFFFFF"/>
        <w:ind w:firstLine="709"/>
        <w:contextualSpacing/>
        <w:jc w:val="both"/>
        <w:rPr>
          <w:rFonts w:asciiTheme="minorBidi" w:hAnsiTheme="minorBidi" w:cstheme="minorBidi"/>
          <w:sz w:val="19"/>
          <w:szCs w:val="19"/>
          <w:lang w:val="es-ES"/>
        </w:rPr>
      </w:pPr>
      <w:r w:rsidRPr="00A105C2">
        <w:rPr>
          <w:rStyle w:val="Refdenotaalpie"/>
          <w:rFonts w:asciiTheme="minorBidi" w:hAnsiTheme="minorBidi" w:cstheme="minorBidi"/>
          <w:sz w:val="19"/>
          <w:szCs w:val="19"/>
        </w:rPr>
        <w:footnoteRef/>
      </w:r>
      <w:r w:rsidRPr="00A105C2">
        <w:rPr>
          <w:rStyle w:val="Refdenotaalpie"/>
          <w:rFonts w:asciiTheme="minorBidi" w:hAnsiTheme="minorBidi" w:cstheme="minorBidi"/>
          <w:sz w:val="19"/>
          <w:szCs w:val="19"/>
        </w:rPr>
        <w:t xml:space="preserve"> </w:t>
      </w:r>
      <w:r w:rsidRPr="00A105C2">
        <w:rPr>
          <w:rFonts w:asciiTheme="minorBidi" w:hAnsiTheme="minorBidi" w:cstheme="minorBidi"/>
          <w:sz w:val="19"/>
          <w:szCs w:val="19"/>
          <w:lang w:val="es-ES"/>
        </w:rPr>
        <w:t>Consejo de Estado. Sala de Consulta y Servicio Civil, Concepto de 8 de mayo de 2018. Radicación Número: 11001-03-06-000-2018-00095-00(2382). Consejero Ponente: Álvaro Namén Vargas.</w:t>
      </w:r>
    </w:p>
  </w:footnote>
  <w:footnote w:id="18">
    <w:p w:rsidRPr="00A105C2" w:rsidR="009311DA" w:rsidP="005E2B5A" w:rsidRDefault="009311DA" w14:paraId="038A9606" w14:textId="77777777">
      <w:pPr>
        <w:pStyle w:val="Textonotapie"/>
        <w:ind w:firstLine="709"/>
        <w:contextualSpacing/>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Consejo de Estado. Sala de Consulta y Servicio Civil. Concepto del 08 de mayo de 2018. Exp. 2.382. C.P. Álvaro Namén Vargas.</w:t>
      </w:r>
    </w:p>
  </w:footnote>
  <w:footnote w:id="19">
    <w:p w:rsidRPr="00A105C2" w:rsidR="009311DA" w:rsidP="005E2B5A" w:rsidRDefault="009311DA" w14:paraId="76AA1AA6" w14:textId="77777777">
      <w:pPr>
        <w:pStyle w:val="Textonotapie"/>
        <w:ind w:firstLine="709"/>
        <w:contextualSpacing/>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rsidRPr="00A105C2" w:rsidR="00C84F90" w:rsidP="005E2B5A" w:rsidRDefault="00C84F90" w14:paraId="56019F36" w14:textId="76005FB1">
      <w:pPr>
        <w:ind w:firstLine="709"/>
        <w:jc w:val="both"/>
        <w:rPr>
          <w:rFonts w:asciiTheme="minorBidi" w:hAnsiTheme="minorBidi" w:cstheme="minorBidi"/>
          <w:sz w:val="19"/>
          <w:szCs w:val="19"/>
        </w:rPr>
      </w:pPr>
      <w:r w:rsidRPr="00A105C2">
        <w:rPr>
          <w:rStyle w:val="Refdenotaalpie"/>
          <w:rFonts w:asciiTheme="minorBidi" w:hAnsiTheme="minorBidi" w:cstheme="minorBidi"/>
          <w:sz w:val="19"/>
          <w:szCs w:val="19"/>
        </w:rPr>
        <w:footnoteRef/>
      </w:r>
      <w:r w:rsidRPr="00A105C2">
        <w:rPr>
          <w:rFonts w:asciiTheme="minorBidi" w:hAnsiTheme="minorBidi" w:cstheme="minorBidi"/>
          <w:sz w:val="19"/>
          <w:szCs w:val="19"/>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rsidRPr="00A105C2" w:rsidR="00C84F90" w:rsidP="005E2B5A" w:rsidRDefault="00C84F90" w14:paraId="1745BF06" w14:textId="77777777">
      <w:pPr>
        <w:pStyle w:val="Textonotapie"/>
        <w:ind w:right="51" w:firstLine="709"/>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w:t>
      </w:r>
      <w:bookmarkStart w:name="_Hlk75633115" w:id="37"/>
      <w:r w:rsidRPr="00A105C2">
        <w:rPr>
          <w:rFonts w:asciiTheme="minorBidi" w:hAnsiTheme="minorBidi"/>
          <w:sz w:val="19"/>
          <w:szCs w:val="19"/>
        </w:rPr>
        <w:t xml:space="preserve">Consejo de Estado. Sala de Consulta y Servicio Civil. Concepto </w:t>
      </w:r>
      <w:bookmarkEnd w:id="37"/>
      <w:r w:rsidRPr="00A105C2">
        <w:rPr>
          <w:rFonts w:asciiTheme="minorBidi" w:hAnsiTheme="minorBidi"/>
          <w:sz w:val="19"/>
          <w:szCs w:val="19"/>
        </w:rPr>
        <w:t>de 6 de abril de 2006. Radicación Número: 11001-03-06-000-2006-00038-00(1738). Consejero Ponente: Enrique José Arboleda Perdomo:</w:t>
      </w:r>
      <w:r w:rsidRPr="00A105C2">
        <w:rPr>
          <w:rFonts w:eastAsia="Times New Roman" w:asciiTheme="minorBidi" w:hAnsiTheme="minorBidi"/>
          <w:bCs/>
          <w:sz w:val="19"/>
          <w:szCs w:val="19"/>
          <w:lang w:eastAsia="x-none"/>
        </w:rPr>
        <w:t xml:space="preserve"> «</w:t>
      </w:r>
      <w:r w:rsidRPr="00A105C2">
        <w:rPr>
          <w:rFonts w:asciiTheme="minorBidi" w:hAnsiTheme="minorBidi"/>
          <w:sz w:val="19"/>
          <w:szCs w:val="19"/>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A105C2">
        <w:rPr>
          <w:rFonts w:eastAsia="Times New Roman" w:asciiTheme="minorBidi" w:hAnsiTheme="minorBidi"/>
          <w:bCs/>
          <w:sz w:val="19"/>
          <w:szCs w:val="19"/>
          <w:lang w:eastAsia="x-none"/>
        </w:rPr>
        <w:t>».</w:t>
      </w:r>
    </w:p>
  </w:footnote>
  <w:footnote w:id="22">
    <w:p w:rsidRPr="00A105C2" w:rsidR="00C84F90" w:rsidP="005E2B5A" w:rsidRDefault="00C84F90" w14:paraId="3ADCF052" w14:textId="4E2DEB02">
      <w:pPr>
        <w:pStyle w:val="Textonotapie"/>
        <w:ind w:right="51" w:firstLine="709"/>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Consejo de Estado. Sala de Consulta y Servicio Civil. Concepto de 6 de abril de 2006. Radicación Número: 11001-03-06-000-2006-00038-00(1738). Consejero Ponente: Enrique José Arboleda Perdomo.</w:t>
      </w:r>
    </w:p>
  </w:footnote>
  <w:footnote w:id="23">
    <w:p w:rsidRPr="00A105C2" w:rsidR="00C84F90" w:rsidP="005E2B5A" w:rsidRDefault="00C84F90" w14:paraId="48FC567A" w14:textId="77777777">
      <w:pPr>
        <w:pStyle w:val="Textonotapie"/>
        <w:ind w:right="51" w:firstLine="709"/>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Consejo de Estado. Sala de Consulta y Servicio Civil, ídem.</w:t>
      </w:r>
    </w:p>
  </w:footnote>
  <w:footnote w:id="24">
    <w:p w:rsidRPr="00A105C2" w:rsidR="00C84F90" w:rsidP="005E2B5A" w:rsidRDefault="00C84F90" w14:paraId="5642CB21" w14:textId="1C15B955">
      <w:pPr>
        <w:pStyle w:val="Textonotapie"/>
        <w:ind w:firstLine="709"/>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Consejo de Estado. Sala de Consulta y Servicio Civil. Concepto de 20 de febrero de2006. Radicación 11001-03-06-000-2006-00023-00(1724). Consejero Ponente: Flavio Augusto Rodríguez Arce.</w:t>
      </w:r>
    </w:p>
  </w:footnote>
  <w:footnote w:id="25">
    <w:p w:rsidRPr="00A105C2" w:rsidR="00C84F90" w:rsidP="005E2B5A" w:rsidRDefault="00C84F90" w14:paraId="5B778D73" w14:textId="77777777">
      <w:pPr>
        <w:spacing w:before="78"/>
        <w:ind w:firstLine="709"/>
        <w:jc w:val="both"/>
        <w:rPr>
          <w:rFonts w:asciiTheme="minorBidi" w:hAnsiTheme="minorBidi" w:cstheme="minorBidi"/>
          <w:sz w:val="19"/>
          <w:szCs w:val="19"/>
        </w:rPr>
      </w:pPr>
      <w:r w:rsidRPr="00A105C2">
        <w:rPr>
          <w:rStyle w:val="Refdenotaalpie"/>
          <w:rFonts w:asciiTheme="minorBidi" w:hAnsiTheme="minorBidi" w:cstheme="minorBidi"/>
          <w:sz w:val="19"/>
          <w:szCs w:val="19"/>
        </w:rPr>
        <w:footnoteRef/>
      </w:r>
      <w:r w:rsidRPr="00A105C2">
        <w:rPr>
          <w:rFonts w:asciiTheme="minorBidi" w:hAnsiTheme="minorBidi" w:cstheme="minorBidi"/>
          <w:sz w:val="19"/>
          <w:szCs w:val="19"/>
        </w:rPr>
        <w:t xml:space="preserve"> Decreto 1082 de 2015: «Artículo 2.2.1.2.1.4.4. Convenios o contratos interadministrativos. La modalidad de selección para la contratación entre Entidades Estatales es la contratación directa; </w:t>
      </w:r>
      <w:proofErr w:type="gramStart"/>
      <w:r w:rsidRPr="00A105C2">
        <w:rPr>
          <w:rFonts w:asciiTheme="minorBidi" w:hAnsiTheme="minorBidi" w:cstheme="minorBidi"/>
          <w:sz w:val="19"/>
          <w:szCs w:val="19"/>
        </w:rPr>
        <w:t>y</w:t>
      </w:r>
      <w:proofErr w:type="gramEnd"/>
      <w:r w:rsidRPr="00A105C2">
        <w:rPr>
          <w:rFonts w:asciiTheme="minorBidi" w:hAnsiTheme="minorBidi" w:cstheme="minorBidi"/>
          <w:sz w:val="19"/>
          <w:szCs w:val="19"/>
        </w:rPr>
        <w:t xml:space="preserve"> en consecuencia, le es aplicable lo establecido en el artículo 2.2.1.2.1.4.1 del presente decreto.</w:t>
      </w:r>
    </w:p>
    <w:p w:rsidRPr="00A105C2" w:rsidR="00C84F90" w:rsidP="005E2B5A" w:rsidRDefault="00C84F90" w14:paraId="147A542A" w14:textId="77777777">
      <w:pPr>
        <w:ind w:firstLine="709"/>
        <w:jc w:val="both"/>
        <w:rPr>
          <w:rFonts w:asciiTheme="minorBidi" w:hAnsiTheme="minorBidi" w:cstheme="minorBidi"/>
          <w:sz w:val="19"/>
          <w:szCs w:val="19"/>
        </w:rPr>
      </w:pPr>
      <w:proofErr w:type="gramStart"/>
      <w:r w:rsidRPr="00A105C2">
        <w:rPr>
          <w:rFonts w:asciiTheme="minorBidi" w:hAnsiTheme="minorBidi" w:cstheme="minorBidi"/>
          <w:sz w:val="19"/>
          <w:szCs w:val="19"/>
        </w:rPr>
        <w:t>»Cuando</w:t>
      </w:r>
      <w:proofErr w:type="gramEnd"/>
      <w:r w:rsidRPr="00A105C2">
        <w:rPr>
          <w:rFonts w:asciiTheme="minorBidi" w:hAnsiTheme="minorBidi" w:cstheme="minorBidi"/>
          <w:sz w:val="19"/>
          <w:szCs w:val="19"/>
        </w:rPr>
        <w:t xml:space="preserve">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A105C2">
        <w:rPr>
          <w:rFonts w:asciiTheme="minorBidi" w:hAnsiTheme="minorBidi" w:cstheme="minorBidi"/>
          <w:spacing w:val="-1"/>
          <w:sz w:val="19"/>
          <w:szCs w:val="19"/>
        </w:rPr>
        <w:t xml:space="preserve"> </w:t>
      </w:r>
      <w:r w:rsidRPr="00A105C2">
        <w:rPr>
          <w:rFonts w:asciiTheme="minorBidi" w:hAnsiTheme="minorBidi" w:cstheme="minorBidi"/>
          <w:sz w:val="19"/>
          <w:szCs w:val="19"/>
        </w:rPr>
        <w:t>Estatales».</w:t>
      </w:r>
    </w:p>
  </w:footnote>
  <w:footnote w:id="26">
    <w:p w:rsidRPr="00A105C2" w:rsidR="00C84F90" w:rsidP="005E2B5A" w:rsidRDefault="00C84F90" w14:paraId="542388D6" w14:textId="5E11CBB7">
      <w:pPr>
        <w:ind w:firstLine="709"/>
        <w:jc w:val="both"/>
        <w:rPr>
          <w:rFonts w:asciiTheme="minorBidi" w:hAnsiTheme="minorBidi" w:cstheme="minorBidi"/>
          <w:sz w:val="19"/>
          <w:szCs w:val="19"/>
        </w:rPr>
      </w:pPr>
      <w:r w:rsidRPr="00A105C2">
        <w:rPr>
          <w:rStyle w:val="Refdenotaalpie"/>
          <w:rFonts w:asciiTheme="minorBidi" w:hAnsiTheme="minorBidi" w:cstheme="minorBidi"/>
          <w:sz w:val="19"/>
          <w:szCs w:val="19"/>
        </w:rPr>
        <w:footnoteRef/>
      </w:r>
      <w:r w:rsidRPr="00A105C2">
        <w:rPr>
          <w:rFonts w:asciiTheme="minorBidi" w:hAnsiTheme="minorBidi" w:cstheme="minorBidi"/>
          <w:sz w:val="19"/>
          <w:szCs w:val="19"/>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A105C2">
        <w:rPr>
          <w:rFonts w:asciiTheme="minorBidi" w:hAnsiTheme="minorBidi" w:cstheme="minorBidi"/>
          <w:spacing w:val="-6"/>
          <w:sz w:val="19"/>
          <w:szCs w:val="19"/>
        </w:rPr>
        <w:t xml:space="preserve"> </w:t>
      </w:r>
      <w:r w:rsidRPr="00A105C2">
        <w:rPr>
          <w:rFonts w:asciiTheme="minorBidi" w:hAnsiTheme="minorBidi" w:cstheme="minorBidi"/>
          <w:sz w:val="19"/>
          <w:szCs w:val="19"/>
        </w:rPr>
        <w:t>artículo».</w:t>
      </w:r>
    </w:p>
  </w:footnote>
  <w:footnote w:id="27">
    <w:p w:rsidRPr="00A105C2" w:rsidR="00C84F90" w:rsidP="005E2B5A" w:rsidRDefault="00C84F90" w14:paraId="6B0E50FE" w14:textId="3A71C6EF">
      <w:pPr>
        <w:ind w:firstLine="709"/>
        <w:jc w:val="both"/>
        <w:rPr>
          <w:rFonts w:asciiTheme="minorBidi" w:hAnsiTheme="minorBidi" w:cstheme="minorBidi"/>
          <w:sz w:val="19"/>
          <w:szCs w:val="19"/>
        </w:rPr>
      </w:pPr>
      <w:r w:rsidRPr="00A105C2">
        <w:rPr>
          <w:rStyle w:val="Refdenotaalpie"/>
          <w:rFonts w:asciiTheme="minorBidi" w:hAnsiTheme="minorBidi" w:cstheme="minorBidi"/>
          <w:sz w:val="19"/>
          <w:szCs w:val="19"/>
        </w:rPr>
        <w:footnoteRef/>
      </w:r>
      <w:r w:rsidRPr="00A105C2">
        <w:rPr>
          <w:rFonts w:asciiTheme="minorBidi" w:hAnsiTheme="minorBidi" w:cstheme="minorBidi"/>
          <w:position w:val="7"/>
          <w:sz w:val="19"/>
          <w:szCs w:val="19"/>
        </w:rPr>
        <w:t xml:space="preserve"> </w:t>
      </w:r>
      <w:r w:rsidRPr="00A105C2">
        <w:rPr>
          <w:rFonts w:asciiTheme="minorBidi" w:hAnsiTheme="minorBidi" w:cstheme="minorBidi"/>
          <w:sz w:val="19"/>
          <w:szCs w:val="19"/>
        </w:rPr>
        <w:t>Consejo de Estado. Sección Tercera. Sentencia del 23 de junio de 2010. Radicación No. 66001-23-31-000-1998-00261-01(17.860). Consejero Ponente: Mauricio Fajardo Gómez.</w:t>
      </w:r>
    </w:p>
  </w:footnote>
  <w:footnote w:id="28">
    <w:p w:rsidRPr="00A105C2" w:rsidR="00A2229B" w:rsidP="005E2B5A" w:rsidRDefault="00C84F90" w14:paraId="6DE2D05A" w14:textId="1FE31D75">
      <w:pPr>
        <w:ind w:firstLine="709"/>
        <w:jc w:val="both"/>
        <w:rPr>
          <w:rFonts w:asciiTheme="minorBidi" w:hAnsiTheme="minorBidi" w:cstheme="minorBidi"/>
          <w:sz w:val="19"/>
          <w:szCs w:val="19"/>
        </w:rPr>
      </w:pPr>
      <w:r w:rsidRPr="00A105C2">
        <w:rPr>
          <w:rStyle w:val="Refdenotaalpie"/>
          <w:rFonts w:asciiTheme="minorBidi" w:hAnsiTheme="minorBidi" w:cstheme="minorBidi"/>
          <w:sz w:val="19"/>
          <w:szCs w:val="19"/>
        </w:rPr>
        <w:footnoteRef/>
      </w:r>
      <w:r w:rsidRPr="00A105C2">
        <w:rPr>
          <w:rFonts w:asciiTheme="minorBidi" w:hAnsiTheme="minorBidi" w:cstheme="minorBidi"/>
          <w:sz w:val="19"/>
          <w:szCs w:val="19"/>
        </w:rPr>
        <w:t xml:space="preserve"> Consejo de Estado. Sección Tercera. Subsección C. Sentencia del 11 de diciembre de 2019. Exp. 46.986. C.P. Jaime Enrique Rodríguez Navas.</w:t>
      </w:r>
    </w:p>
  </w:footnote>
  <w:footnote w:id="29">
    <w:p w:rsidRPr="00A105C2" w:rsidR="00A2229B" w:rsidP="005E2B5A" w:rsidRDefault="00C84F90" w14:paraId="4D5FDF5A" w14:textId="5612858B">
      <w:pPr>
        <w:pStyle w:val="Textonotapie"/>
        <w:ind w:firstLine="708"/>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[Referencia propia de la cita] «CE. SCSC. Concepto de 1 de noviembre de 2016 [Rad. 11001-03-06-000-2016-00125-00(2305)]. MP. Germán Alberto Bula Escobar».</w:t>
      </w:r>
    </w:p>
  </w:footnote>
  <w:footnote w:id="30">
    <w:p w:rsidRPr="00A105C2" w:rsidR="00C84F90" w:rsidP="005E2B5A" w:rsidRDefault="00C84F90" w14:paraId="040CA871" w14:textId="77777777">
      <w:pPr>
        <w:pStyle w:val="Textonotapie"/>
        <w:ind w:firstLine="708"/>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[Referencia propia de la cita] «CE. SCSC. Concepto de 30 de abril de 2008 [Rad. 11001-03-06-000-2008-00013-00(1881)]. MP. Enrique José Arboleda Perdomo. En esta oportunidad, la Sala indicó que el contenido </w:t>
      </w:r>
      <w:r w:rsidRPr="00A105C2">
        <w:rPr>
          <w:rFonts w:asciiTheme="minorBidi" w:hAnsiTheme="minorBidi"/>
          <w:i/>
          <w:sz w:val="19"/>
          <w:szCs w:val="19"/>
        </w:rPr>
        <w:t>“obligacional”</w:t>
      </w:r>
      <w:r w:rsidRPr="00A105C2">
        <w:rPr>
          <w:rFonts w:asciiTheme="minorBidi" w:hAnsiTheme="minorBidi"/>
          <w:sz w:val="19"/>
          <w:szCs w:val="19"/>
        </w:rPr>
        <w:t xml:space="preserve"> de los convenios se estructura definiendo el resultado querido por las partes y los medios que cada entidad despliega para la obtención del respectivo objeto».</w:t>
      </w:r>
    </w:p>
  </w:footnote>
  <w:footnote w:id="31">
    <w:p w:rsidRPr="00A105C2" w:rsidR="00A2229B" w:rsidP="005E2B5A" w:rsidRDefault="00C84F90" w14:paraId="46AFFF4F" w14:textId="7DD60C48">
      <w:pPr>
        <w:pStyle w:val="Textonotapie"/>
        <w:ind w:firstLine="708"/>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[Referencia propia de la cita] «La normativa vigente del EGCAP </w:t>
      </w:r>
      <w:r w:rsidRPr="00A105C2">
        <w:rPr>
          <w:rFonts w:asciiTheme="minorBidi" w:hAnsiTheme="minorBidi"/>
          <w:i/>
          <w:sz w:val="19"/>
          <w:szCs w:val="19"/>
        </w:rPr>
        <w:t>[literal c) del numeral 4. del artículo 2 de la Ley 1150/07]</w:t>
      </w:r>
      <w:r w:rsidRPr="00A105C2">
        <w:rPr>
          <w:rFonts w:asciiTheme="minorBidi" w:hAnsiTheme="minorBidi"/>
          <w:sz w:val="19"/>
          <w:szCs w:val="19"/>
        </w:rPr>
        <w:t xml:space="preserve"> se refiere a </w:t>
      </w:r>
      <w:r w:rsidRPr="00A105C2">
        <w:rPr>
          <w:rFonts w:asciiTheme="minorBidi" w:hAnsiTheme="minorBidi"/>
          <w:i/>
          <w:sz w:val="19"/>
          <w:szCs w:val="19"/>
        </w:rPr>
        <w:t>“contratos interadministrativos”</w:t>
      </w:r>
      <w:r w:rsidRPr="00A105C2">
        <w:rPr>
          <w:rFonts w:asciiTheme="minorBidi" w:hAnsiTheme="minorBidi"/>
          <w:sz w:val="19"/>
          <w:szCs w:val="19"/>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32">
    <w:p w:rsidRPr="00A105C2" w:rsidR="00A2229B" w:rsidP="005E2B5A" w:rsidRDefault="00C84F90" w14:paraId="50188ADF" w14:textId="5D600E34">
      <w:pPr>
        <w:pStyle w:val="Textonotapie"/>
        <w:ind w:firstLine="708"/>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En línea con lo anterior, la Sala de Consulta y Servicio Civil del Consejo de Estado expresó lo siguiente: «La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 (Consejo de Estado. Sala de Consulta y Servicio Civil. Concepto 26 de julio de 2016. Exp. 2.257. M.P. Álvaro Namén Vargas).</w:t>
      </w:r>
    </w:p>
  </w:footnote>
  <w:footnote w:id="33">
    <w:p w:rsidRPr="005E2B5A" w:rsidR="00C84F90" w:rsidP="005E2B5A" w:rsidRDefault="00C84F90" w14:paraId="1D7CCE78" w14:textId="594F13FA">
      <w:pPr>
        <w:pStyle w:val="Textonotapie"/>
        <w:ind w:firstLine="708"/>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Es lo que sucede, por ejemplo, con el Decreto 092 de 2017, que en su desarrollo hace referencia tanto a los «contratos» como a los «convenios». </w:t>
      </w:r>
    </w:p>
  </w:footnote>
  <w:footnote w:id="34">
    <w:p w:rsidRPr="00A105C2" w:rsidR="00C84F90" w:rsidP="005E2B5A" w:rsidRDefault="00C84F90" w14:paraId="58099780" w14:textId="77777777">
      <w:pPr>
        <w:pStyle w:val="Textonotapie"/>
        <w:ind w:firstLine="708"/>
        <w:jc w:val="both"/>
        <w:rPr>
          <w:rFonts w:asciiTheme="minorBidi" w:hAnsiTheme="minorBidi"/>
          <w:sz w:val="19"/>
          <w:szCs w:val="19"/>
          <w:lang w:val="es-CO"/>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(Corte Constitucional. Sentencia C-671 de 2015. M.P. Alberto Rojas Ríos).</w:t>
      </w:r>
    </w:p>
  </w:footnote>
  <w:footnote w:id="35">
    <w:p w:rsidRPr="00A105C2" w:rsidR="00781208" w:rsidP="005E2B5A" w:rsidRDefault="00363544" w14:paraId="459124BC" w14:textId="03B387C6">
      <w:pPr>
        <w:pStyle w:val="Textonotapie"/>
        <w:ind w:firstLine="708"/>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w:t>
      </w:r>
      <w:r w:rsidRPr="00A105C2" w:rsidR="006E10FE">
        <w:rPr>
          <w:rFonts w:asciiTheme="minorBidi" w:hAnsiTheme="minorBidi"/>
          <w:sz w:val="19"/>
          <w:szCs w:val="19"/>
        </w:rPr>
        <w:t>Lo anterior, salvo que se traten de organismos internacionales que se rijan por normas internacionales y se financien con cargo a recursos de esos organismos</w:t>
      </w:r>
      <w:r w:rsidRPr="00A105C2" w:rsidR="009166A5">
        <w:rPr>
          <w:rFonts w:asciiTheme="minorBidi" w:hAnsiTheme="minorBidi"/>
          <w:sz w:val="19"/>
          <w:szCs w:val="19"/>
        </w:rPr>
        <w:t xml:space="preserve"> (Cfr. </w:t>
      </w:r>
      <w:r w:rsidRPr="00A105C2" w:rsidR="00037FF1">
        <w:rPr>
          <w:rFonts w:asciiTheme="minorBidi" w:hAnsiTheme="minorBidi"/>
          <w:sz w:val="19"/>
          <w:szCs w:val="19"/>
        </w:rPr>
        <w:t xml:space="preserve">Colombia Compra Eficiente. Concepto </w:t>
      </w:r>
      <w:r w:rsidRPr="00A105C2" w:rsidR="00230D85">
        <w:rPr>
          <w:rFonts w:asciiTheme="minorBidi" w:hAnsiTheme="minorBidi"/>
          <w:sz w:val="19"/>
          <w:szCs w:val="19"/>
        </w:rPr>
        <w:t>C-559 del 31 de agosto de 2021).</w:t>
      </w:r>
      <w:r w:rsidRPr="00A105C2" w:rsidR="006E10FE">
        <w:rPr>
          <w:rFonts w:asciiTheme="minorBidi" w:hAnsiTheme="minorBidi"/>
          <w:sz w:val="19"/>
          <w:szCs w:val="19"/>
        </w:rPr>
        <w:t xml:space="preserve"> </w:t>
      </w:r>
    </w:p>
  </w:footnote>
  <w:footnote w:id="36">
    <w:p w:rsidRPr="00A105C2" w:rsidR="00B802A1" w:rsidP="005E2B5A" w:rsidRDefault="00B802A1" w14:paraId="3A2082CF" w14:textId="77777777">
      <w:pPr>
        <w:ind w:firstLine="708"/>
        <w:contextualSpacing/>
        <w:jc w:val="both"/>
        <w:rPr>
          <w:rFonts w:eastAsia="Calibri" w:asciiTheme="minorBidi" w:hAnsiTheme="minorBidi" w:cstheme="minorBidi"/>
          <w:color w:val="000000" w:themeColor="text1"/>
          <w:sz w:val="19"/>
          <w:szCs w:val="19"/>
        </w:rPr>
      </w:pPr>
      <w:r w:rsidRPr="00A105C2">
        <w:rPr>
          <w:rStyle w:val="Refdenotaalpie"/>
          <w:rFonts w:asciiTheme="minorBidi" w:hAnsiTheme="minorBidi" w:cstheme="minorBidi"/>
          <w:color w:val="000000" w:themeColor="text1"/>
          <w:sz w:val="19"/>
          <w:szCs w:val="19"/>
        </w:rPr>
        <w:footnoteRef/>
      </w:r>
      <w:r w:rsidRPr="00A105C2">
        <w:rPr>
          <w:rFonts w:asciiTheme="minorBidi" w:hAnsiTheme="minorBidi" w:cstheme="minorBidi"/>
          <w:color w:val="000000" w:themeColor="text1"/>
          <w:sz w:val="19"/>
          <w:szCs w:val="19"/>
        </w:rPr>
        <w:t xml:space="preserve"> </w:t>
      </w:r>
      <w:r w:rsidRPr="00A105C2">
        <w:rPr>
          <w:rFonts w:eastAsia="Calibri" w:asciiTheme="minorBidi" w:hAnsiTheme="minorBidi" w:cstheme="minorBidi"/>
          <w:color w:val="000000" w:themeColor="text1"/>
          <w:sz w:val="19"/>
          <w:szCs w:val="19"/>
        </w:rPr>
        <w:t xml:space="preserve">«ARTÍCULO 124. Con el propósito de promover la reactivación económica y la generación de empleo en las regiones, a partir de la publicación de la presente ley y durante la vigencia fiscal 2022, </w:t>
      </w:r>
      <w:r w:rsidRPr="00A105C2">
        <w:rPr>
          <w:rFonts w:eastAsia="Calibri" w:asciiTheme="minorBidi" w:hAnsiTheme="minorBidi" w:cstheme="minorBidi"/>
          <w:i/>
          <w:color w:val="000000" w:themeColor="text1"/>
          <w:sz w:val="19"/>
          <w:szCs w:val="19"/>
        </w:rPr>
        <w:t>la Nación podrá celebrar convenios interadministrativos con las entidades territoriales para ejecutar programas y proyectos correspondientes al Presupuesto General de la Nación.</w:t>
      </w:r>
    </w:p>
    <w:p w:rsidRPr="00A105C2" w:rsidR="00B802A1" w:rsidP="005E2B5A" w:rsidRDefault="00B802A1" w14:paraId="0C471811" w14:textId="77777777">
      <w:pPr>
        <w:ind w:firstLine="708"/>
        <w:contextualSpacing/>
        <w:jc w:val="both"/>
        <w:rPr>
          <w:rFonts w:eastAsia="Calibri" w:asciiTheme="minorBidi" w:hAnsiTheme="minorBidi" w:cstheme="minorBidi"/>
          <w:color w:val="000000" w:themeColor="text1"/>
          <w:sz w:val="19"/>
          <w:szCs w:val="19"/>
        </w:rPr>
      </w:pPr>
      <w:proofErr w:type="gramStart"/>
      <w:r w:rsidRPr="00A105C2">
        <w:rPr>
          <w:rFonts w:eastAsia="Calibri" w:asciiTheme="minorBidi" w:hAnsiTheme="minorBidi" w:cstheme="minorBidi"/>
          <w:color w:val="000000" w:themeColor="text1"/>
          <w:sz w:val="19"/>
          <w:szCs w:val="19"/>
        </w:rPr>
        <w:t>»La</w:t>
      </w:r>
      <w:proofErr w:type="gramEnd"/>
      <w:r w:rsidRPr="00A105C2">
        <w:rPr>
          <w:rFonts w:eastAsia="Calibri" w:asciiTheme="minorBidi" w:hAnsiTheme="minorBidi" w:cstheme="minorBidi"/>
          <w:color w:val="000000" w:themeColor="text1"/>
          <w:sz w:val="19"/>
          <w:szCs w:val="19"/>
        </w:rPr>
        <w:t xml:space="preserve"> presente disposición modifica únicamente en la parte pertinente el inciso primero del parágrafo del artículo 38 de la Ley 996 de 2005.</w:t>
      </w:r>
    </w:p>
    <w:p w:rsidRPr="00A105C2" w:rsidR="00B802A1" w:rsidP="005E2B5A" w:rsidRDefault="00B802A1" w14:paraId="1E7307FD" w14:textId="77777777">
      <w:pPr>
        <w:pStyle w:val="Textonotapie"/>
        <w:ind w:firstLine="708"/>
        <w:contextualSpacing/>
        <w:jc w:val="both"/>
        <w:rPr>
          <w:rFonts w:asciiTheme="minorBidi" w:hAnsiTheme="minorBidi"/>
          <w:color w:val="000000" w:themeColor="text1"/>
          <w:sz w:val="19"/>
          <w:szCs w:val="19"/>
          <w:lang w:val="es-ES"/>
        </w:rPr>
      </w:pPr>
      <w:proofErr w:type="gramStart"/>
      <w:r w:rsidRPr="00A105C2">
        <w:rPr>
          <w:rFonts w:eastAsia="Calibri" w:asciiTheme="minorBidi" w:hAnsiTheme="minorBidi"/>
          <w:color w:val="000000" w:themeColor="text1"/>
          <w:sz w:val="19"/>
          <w:szCs w:val="19"/>
        </w:rPr>
        <w:t>»PARÁGRAFO</w:t>
      </w:r>
      <w:proofErr w:type="gramEnd"/>
      <w:r w:rsidRPr="00A105C2">
        <w:rPr>
          <w:rFonts w:eastAsia="Calibri" w:asciiTheme="minorBidi" w:hAnsiTheme="minorBidi"/>
          <w:color w:val="000000" w:themeColor="text1"/>
          <w:sz w:val="19"/>
          <w:szCs w:val="19"/>
        </w:rPr>
        <w:t>. Todos los convenios que se suscriban bajo el amparo de la presente disposición serán objeto de control especial por parte de la Contraloría General de la República. El Contralor General de la República determinará, en el marco de sus competencias constitucionales y legales, la forma en que se ejercerá dicho control especial» (</w:t>
      </w:r>
      <w:r w:rsidRPr="00A105C2">
        <w:rPr>
          <w:rFonts w:eastAsia="Calibri" w:asciiTheme="minorBidi" w:hAnsiTheme="minorBidi"/>
          <w:color w:val="000000" w:themeColor="text1"/>
          <w:sz w:val="19"/>
          <w:szCs w:val="19"/>
          <w:lang w:val="es-CO"/>
        </w:rPr>
        <w:t>Cursiva</w:t>
      </w:r>
      <w:r w:rsidRPr="00A105C2">
        <w:rPr>
          <w:rFonts w:eastAsia="Calibri" w:asciiTheme="minorBidi" w:hAnsiTheme="minorBidi"/>
          <w:color w:val="000000" w:themeColor="text1"/>
          <w:sz w:val="19"/>
          <w:szCs w:val="19"/>
        </w:rPr>
        <w:t xml:space="preserve"> fuera de texto).</w:t>
      </w:r>
    </w:p>
  </w:footnote>
  <w:footnote w:id="37">
    <w:p w:rsidRPr="00A105C2" w:rsidR="00B802A1" w:rsidP="005E2B5A" w:rsidRDefault="00B802A1" w14:paraId="3E063726" w14:textId="77777777">
      <w:pPr>
        <w:pStyle w:val="Textonotapie"/>
        <w:ind w:firstLine="708"/>
        <w:contextualSpacing/>
        <w:jc w:val="both"/>
        <w:rPr>
          <w:rFonts w:asciiTheme="minorBidi" w:hAnsiTheme="minorBidi"/>
          <w:color w:val="000000" w:themeColor="text1"/>
          <w:sz w:val="19"/>
          <w:szCs w:val="19"/>
        </w:rPr>
      </w:pPr>
      <w:r w:rsidRPr="00A105C2">
        <w:rPr>
          <w:rStyle w:val="Refdenotaalpie"/>
          <w:rFonts w:asciiTheme="minorBidi" w:hAnsiTheme="minorBidi"/>
          <w:color w:val="000000" w:themeColor="text1"/>
          <w:sz w:val="19"/>
          <w:szCs w:val="19"/>
        </w:rPr>
        <w:footnoteRef/>
      </w:r>
      <w:r w:rsidRPr="00A105C2">
        <w:rPr>
          <w:rFonts w:asciiTheme="minorBidi" w:hAnsiTheme="minorBidi"/>
          <w:color w:val="000000" w:themeColor="text1"/>
          <w:sz w:val="19"/>
          <w:szCs w:val="19"/>
        </w:rPr>
        <w:t xml:space="preserve"> En relación con el alcance del artículo 124 de la Ley 2195 de 2022, se pueden consultar, entre otros, los conceptos C-736 del 31 de enero de 2022.</w:t>
      </w:r>
    </w:p>
  </w:footnote>
  <w:footnote w:id="38">
    <w:p w:rsidRPr="00A105C2" w:rsidR="00C84F90" w:rsidP="005E2B5A" w:rsidRDefault="00C84F90" w14:paraId="16A4131D" w14:textId="214329CF">
      <w:pPr>
        <w:pStyle w:val="Textonotapie"/>
        <w:ind w:firstLine="709"/>
        <w:jc w:val="both"/>
        <w:rPr>
          <w:rFonts w:asciiTheme="minorBidi" w:hAnsiTheme="minorBidi"/>
          <w:sz w:val="19"/>
          <w:szCs w:val="19"/>
          <w:lang w:val="es-CO"/>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Consejo de Estado. Sala de Consulta y Servicio Civil. Concepto del 15 de noviembre de 2007. Expediente número 1863. Consejero Ponente: Luis Fernando Álvarez Jaramillo.</w:t>
      </w:r>
    </w:p>
  </w:footnote>
  <w:footnote w:id="39">
    <w:p w:rsidRPr="00A105C2" w:rsidR="003D67E2" w:rsidP="005E2B5A" w:rsidRDefault="003D67E2" w14:paraId="459F6C54" w14:textId="77777777">
      <w:pPr>
        <w:pStyle w:val="Textonotapie"/>
        <w:ind w:firstLine="708"/>
        <w:jc w:val="both"/>
        <w:rPr>
          <w:rFonts w:asciiTheme="minorBidi" w:hAnsiTheme="minorBidi"/>
          <w:color w:val="000000" w:themeColor="text1"/>
          <w:sz w:val="19"/>
          <w:szCs w:val="19"/>
        </w:rPr>
      </w:pPr>
      <w:r w:rsidRPr="00A105C2">
        <w:rPr>
          <w:rStyle w:val="Refdenotaalpie"/>
          <w:rFonts w:asciiTheme="minorBidi" w:hAnsiTheme="minorBidi"/>
          <w:color w:val="000000" w:themeColor="text1"/>
          <w:sz w:val="19"/>
          <w:szCs w:val="19"/>
        </w:rPr>
        <w:footnoteRef/>
      </w:r>
      <w:r w:rsidRPr="00A105C2">
        <w:rPr>
          <w:rFonts w:asciiTheme="minorBidi" w:hAnsiTheme="minorBidi"/>
          <w:color w:val="000000" w:themeColor="text1"/>
          <w:sz w:val="19"/>
          <w:szCs w:val="19"/>
        </w:rPr>
        <w:t xml:space="preserve"> Ley 60 de 1993: «Artículo 2. Competencias de los Municipios. Corresponde a los Municipios, a través de las dependencias de su organización central o de las entidades descentralizadas municipales competentes, en su carácter de entidades ejecutoras principales de las acciones en materia social, dirigir, prestar o participar en la prestación de los servicios directamente, conforme a la ley, a las normas técnicas de carácter nacional, a las ordenanzas y a los respectivos acuerdos municipales. </w:t>
      </w:r>
    </w:p>
    <w:p w:rsidRPr="00A105C2" w:rsidR="003D67E2" w:rsidP="005E2B5A" w:rsidRDefault="003D67E2" w14:paraId="100BAC48" w14:textId="77777777">
      <w:pPr>
        <w:pStyle w:val="Textonotapie"/>
        <w:ind w:firstLine="708"/>
        <w:jc w:val="both"/>
        <w:rPr>
          <w:rFonts w:asciiTheme="minorBidi" w:hAnsiTheme="minorBidi"/>
          <w:color w:val="000000" w:themeColor="text1"/>
          <w:sz w:val="19"/>
          <w:szCs w:val="19"/>
        </w:rPr>
      </w:pPr>
      <w:r w:rsidRPr="00A105C2">
        <w:rPr>
          <w:rFonts w:asciiTheme="minorBidi" w:hAnsiTheme="minorBidi"/>
          <w:color w:val="000000" w:themeColor="text1"/>
          <w:sz w:val="19"/>
          <w:szCs w:val="19"/>
        </w:rPr>
        <w:t>[…]</w:t>
      </w:r>
    </w:p>
    <w:p w:rsidRPr="00A105C2" w:rsidR="003D67E2" w:rsidP="005E2B5A" w:rsidRDefault="003D67E2" w14:paraId="2ADD10DD" w14:textId="77777777">
      <w:pPr>
        <w:pStyle w:val="Textonotapie"/>
        <w:ind w:firstLine="708"/>
        <w:jc w:val="both"/>
        <w:rPr>
          <w:rFonts w:asciiTheme="minorBidi" w:hAnsiTheme="minorBidi"/>
          <w:color w:val="000000" w:themeColor="text1"/>
          <w:sz w:val="19"/>
          <w:szCs w:val="19"/>
        </w:rPr>
      </w:pPr>
      <w:proofErr w:type="gramStart"/>
      <w:r w:rsidRPr="00A105C2">
        <w:rPr>
          <w:rFonts w:asciiTheme="minorBidi" w:hAnsiTheme="minorBidi"/>
          <w:color w:val="000000" w:themeColor="text1"/>
          <w:sz w:val="19"/>
          <w:szCs w:val="19"/>
        </w:rPr>
        <w:t>»Artículo</w:t>
      </w:r>
      <w:proofErr w:type="gramEnd"/>
      <w:r w:rsidRPr="00A105C2">
        <w:rPr>
          <w:rFonts w:asciiTheme="minorBidi" w:hAnsiTheme="minorBidi"/>
          <w:color w:val="000000" w:themeColor="text1"/>
          <w:sz w:val="19"/>
          <w:szCs w:val="19"/>
        </w:rPr>
        <w:t xml:space="preserve"> 3. Competencias de los departamentos. Corresponde a los departamentos, a través de las dependencias de su organización central o de las entidades descentralizadas departamentales competentes, conforme a la Constitución Política, la ley, a las normas técnicas nacionales y a las respectivas ordenanzas. </w:t>
      </w:r>
    </w:p>
    <w:p w:rsidRPr="00A105C2" w:rsidR="003D67E2" w:rsidP="005E2B5A" w:rsidRDefault="003D67E2" w14:paraId="7DDCA56E" w14:textId="77777777">
      <w:pPr>
        <w:pStyle w:val="Textonotapie"/>
        <w:ind w:firstLine="708"/>
        <w:jc w:val="both"/>
        <w:rPr>
          <w:rFonts w:asciiTheme="minorBidi" w:hAnsiTheme="minorBidi"/>
          <w:color w:val="000000" w:themeColor="text1"/>
          <w:sz w:val="19"/>
          <w:szCs w:val="19"/>
        </w:rPr>
      </w:pPr>
      <w:r w:rsidRPr="00A105C2">
        <w:rPr>
          <w:rFonts w:asciiTheme="minorBidi" w:hAnsiTheme="minorBidi"/>
          <w:color w:val="000000" w:themeColor="text1"/>
          <w:sz w:val="19"/>
          <w:szCs w:val="19"/>
        </w:rPr>
        <w:t>[…]</w:t>
      </w:r>
    </w:p>
    <w:p w:rsidRPr="00A105C2" w:rsidR="003D67E2" w:rsidP="005E2B5A" w:rsidRDefault="003D67E2" w14:paraId="14C3612D" w14:textId="77777777">
      <w:pPr>
        <w:pStyle w:val="Textonotapie"/>
        <w:ind w:firstLine="708"/>
        <w:jc w:val="both"/>
        <w:rPr>
          <w:rFonts w:asciiTheme="minorBidi" w:hAnsiTheme="minorBidi"/>
          <w:color w:val="000000" w:themeColor="text1"/>
          <w:sz w:val="19"/>
          <w:szCs w:val="19"/>
        </w:rPr>
      </w:pPr>
      <w:r w:rsidRPr="00A105C2">
        <w:rPr>
          <w:rFonts w:asciiTheme="minorBidi" w:hAnsiTheme="minorBidi"/>
          <w:color w:val="000000" w:themeColor="text1"/>
          <w:sz w:val="19"/>
          <w:szCs w:val="19"/>
        </w:rPr>
        <w:t xml:space="preserve">«Artículo 4. Competencias de los distritos. Corresponde a los distritos, a través de las dependencias de su organización central o de las entidades descentralizadas competentes, conforme a la Ley, a las normas técnicas nacionales y a los respectivos acuerdos». </w:t>
      </w:r>
    </w:p>
    <w:p w:rsidRPr="00A105C2" w:rsidR="003D67E2" w:rsidP="005E2B5A" w:rsidRDefault="003D67E2" w14:paraId="4333F637" w14:textId="7560BECB">
      <w:pPr>
        <w:pStyle w:val="Textonotapie"/>
        <w:ind w:firstLine="708"/>
        <w:jc w:val="both"/>
        <w:rPr>
          <w:rFonts w:asciiTheme="minorBidi" w:hAnsiTheme="minorBidi"/>
          <w:color w:val="000000" w:themeColor="text1"/>
          <w:sz w:val="19"/>
          <w:szCs w:val="19"/>
        </w:rPr>
      </w:pPr>
      <w:r w:rsidRPr="00A105C2">
        <w:rPr>
          <w:rFonts w:asciiTheme="minorBidi" w:hAnsiTheme="minorBidi"/>
          <w:color w:val="000000" w:themeColor="text1"/>
          <w:sz w:val="19"/>
          <w:szCs w:val="19"/>
        </w:rPr>
        <w:t xml:space="preserve">Ley 715 de 2005: «Artículo 9. (…) Las instituciones educativas estatales son departamentales, distritales o municipales». </w:t>
      </w:r>
    </w:p>
  </w:footnote>
  <w:footnote w:id="40">
    <w:p w:rsidRPr="00A105C2" w:rsidR="003D67E2" w:rsidP="005E2B5A" w:rsidRDefault="003D67E2" w14:paraId="3DD20927" w14:textId="148A5997">
      <w:pPr>
        <w:pStyle w:val="Textonotapie"/>
        <w:ind w:firstLine="708"/>
        <w:jc w:val="both"/>
        <w:rPr>
          <w:rFonts w:asciiTheme="minorBidi" w:hAnsiTheme="minorBidi"/>
          <w:color w:val="000000" w:themeColor="text1"/>
          <w:sz w:val="19"/>
          <w:szCs w:val="19"/>
        </w:rPr>
      </w:pPr>
      <w:r w:rsidRPr="00A105C2">
        <w:rPr>
          <w:rStyle w:val="Refdenotaalpie"/>
          <w:rFonts w:asciiTheme="minorBidi" w:hAnsiTheme="minorBidi"/>
          <w:color w:val="000000" w:themeColor="text1"/>
          <w:sz w:val="19"/>
          <w:szCs w:val="19"/>
        </w:rPr>
        <w:footnoteRef/>
      </w:r>
      <w:r w:rsidRPr="00A105C2">
        <w:rPr>
          <w:rFonts w:asciiTheme="minorBidi" w:hAnsiTheme="minorBidi"/>
          <w:color w:val="000000" w:themeColor="text1"/>
          <w:sz w:val="19"/>
          <w:szCs w:val="19"/>
        </w:rPr>
        <w:t xml:space="preserve"> «Artículo 11. Fondos De Servicios Educativos. Las instituciones educativas estatales podrán administrar Fondos de Servicios Educativos en los cuales se manejarán los recursos destinados a financiar gastos distintos a los de personal, que faciliten el funcionamiento de la institución».</w:t>
      </w:r>
    </w:p>
  </w:footnote>
  <w:footnote w:id="41">
    <w:p w:rsidRPr="00A105C2" w:rsidR="003D67E2" w:rsidP="005E2B5A" w:rsidRDefault="003D67E2" w14:paraId="05DAFB8B" w14:textId="06BA5B9C">
      <w:pPr>
        <w:pStyle w:val="Textonotapie"/>
        <w:ind w:firstLine="708"/>
        <w:jc w:val="both"/>
        <w:rPr>
          <w:rFonts w:asciiTheme="minorBidi" w:hAnsiTheme="minorBidi"/>
          <w:color w:val="000000" w:themeColor="text1"/>
          <w:sz w:val="19"/>
          <w:szCs w:val="19"/>
        </w:rPr>
      </w:pPr>
      <w:r w:rsidRPr="00A105C2">
        <w:rPr>
          <w:rStyle w:val="Refdenotaalpie"/>
          <w:rFonts w:asciiTheme="minorBidi" w:hAnsiTheme="minorBidi"/>
          <w:color w:val="000000" w:themeColor="text1"/>
          <w:sz w:val="19"/>
          <w:szCs w:val="19"/>
        </w:rPr>
        <w:footnoteRef/>
      </w:r>
      <w:r w:rsidRPr="00A105C2">
        <w:rPr>
          <w:rStyle w:val="Refdenotaalpie"/>
          <w:rFonts w:asciiTheme="minorBidi" w:hAnsiTheme="minorBidi"/>
          <w:color w:val="000000" w:themeColor="text1"/>
          <w:sz w:val="19"/>
          <w:szCs w:val="19"/>
        </w:rPr>
        <w:t xml:space="preserve"> </w:t>
      </w:r>
      <w:r w:rsidRPr="00A105C2">
        <w:rPr>
          <w:rFonts w:asciiTheme="minorBidi" w:hAnsiTheme="minorBidi"/>
          <w:color w:val="000000" w:themeColor="text1"/>
          <w:sz w:val="19"/>
          <w:szCs w:val="19"/>
        </w:rPr>
        <w:t>Consejo de Estado. Sección Tercera Subsección A. Sentencia del 12 de octubre de 2017. Consejera Ponente: Marta Nubia Velásquez Rico. Radicación número: 68001-23-31-000-2005-03845-01(51.634).</w:t>
      </w:r>
    </w:p>
  </w:footnote>
  <w:footnote w:id="42">
    <w:p w:rsidRPr="00A105C2" w:rsidR="003D67E2" w:rsidP="005E2B5A" w:rsidRDefault="003D67E2" w14:paraId="3CF0C44F" w14:textId="77777777">
      <w:pPr>
        <w:pStyle w:val="NormalWeb"/>
        <w:spacing w:before="0" w:beforeAutospacing="0" w:after="0" w:afterAutospacing="0"/>
        <w:ind w:firstLine="708"/>
        <w:jc w:val="both"/>
        <w:rPr>
          <w:rFonts w:asciiTheme="minorBidi" w:hAnsiTheme="minorBidi" w:cstheme="minorBidi"/>
          <w:sz w:val="19"/>
          <w:szCs w:val="19"/>
        </w:rPr>
      </w:pPr>
      <w:r w:rsidRPr="00A105C2">
        <w:rPr>
          <w:rStyle w:val="Refdenotaalpie"/>
          <w:rFonts w:asciiTheme="minorBidi" w:hAnsiTheme="minorBidi" w:cstheme="minorBidi"/>
          <w:sz w:val="19"/>
          <w:szCs w:val="19"/>
        </w:rPr>
        <w:footnoteRef/>
      </w:r>
      <w:r w:rsidRPr="00A105C2">
        <w:rPr>
          <w:rStyle w:val="Refdenotaalpie"/>
          <w:rFonts w:asciiTheme="minorBidi" w:hAnsiTheme="minorBidi" w:cstheme="minorBidi"/>
          <w:sz w:val="19"/>
          <w:szCs w:val="19"/>
        </w:rPr>
        <w:t xml:space="preserve"> </w:t>
      </w:r>
      <w:r w:rsidRPr="00A105C2">
        <w:rPr>
          <w:rFonts w:asciiTheme="minorBidi" w:hAnsiTheme="minorBidi" w:cstheme="minorBidi"/>
          <w:sz w:val="19"/>
          <w:szCs w:val="19"/>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rsidRPr="00A105C2" w:rsidR="003D67E2" w:rsidP="005E2B5A" w:rsidRDefault="003D67E2" w14:paraId="7BA7E91B" w14:textId="77777777">
      <w:pPr>
        <w:ind w:firstLine="708"/>
        <w:jc w:val="both"/>
        <w:rPr>
          <w:rFonts w:asciiTheme="minorBidi" w:hAnsiTheme="minorBidi" w:cstheme="minorBidi"/>
          <w:sz w:val="19"/>
          <w:szCs w:val="19"/>
          <w:lang w:eastAsia="es-CO"/>
        </w:rPr>
      </w:pPr>
      <w:proofErr w:type="gramStart"/>
      <w:r w:rsidRPr="00A105C2">
        <w:rPr>
          <w:rFonts w:asciiTheme="minorBidi" w:hAnsiTheme="minorBidi" w:cstheme="minorBidi"/>
          <w:sz w:val="19"/>
          <w:szCs w:val="19"/>
          <w:lang w:eastAsia="es-CO"/>
        </w:rPr>
        <w:t>»Los</w:t>
      </w:r>
      <w:proofErr w:type="gramEnd"/>
      <w:r w:rsidRPr="00A105C2">
        <w:rPr>
          <w:rFonts w:asciiTheme="minorBidi" w:hAnsiTheme="minorBidi" w:cstheme="minorBidi"/>
          <w:sz w:val="19"/>
          <w:szCs w:val="19"/>
          <w:lang w:eastAsia="es-CO"/>
        </w:rPr>
        <w:t xml:space="preserve"> actos y contratos de cuantía superior a veinte (20) salarios mínimos mensuales se regirán por las reglas de la contratación estatal, teniendo en cuenta su valor y naturaleza, y las circunstancias en las que se celebren. El Gobierno Nacional podrá indicar los casos en los cuales la cuantía señalada en el presente inciso será menor. </w:t>
      </w:r>
    </w:p>
    <w:p w:rsidRPr="00A105C2" w:rsidR="003D67E2" w:rsidP="005E2B5A" w:rsidRDefault="003D67E2" w14:paraId="73A6ABEA" w14:textId="77777777">
      <w:pPr>
        <w:ind w:firstLine="708"/>
        <w:jc w:val="both"/>
        <w:rPr>
          <w:rFonts w:asciiTheme="minorBidi" w:hAnsiTheme="minorBidi" w:cstheme="minorBidi"/>
          <w:sz w:val="19"/>
          <w:szCs w:val="19"/>
          <w:lang w:eastAsia="es-CO"/>
        </w:rPr>
      </w:pPr>
      <w:proofErr w:type="gramStart"/>
      <w:r w:rsidRPr="00A105C2">
        <w:rPr>
          <w:rFonts w:asciiTheme="minorBidi" w:hAnsiTheme="minorBidi" w:cstheme="minorBidi"/>
          <w:sz w:val="19"/>
          <w:szCs w:val="19"/>
          <w:lang w:eastAsia="es-CO"/>
        </w:rPr>
        <w:t>»El</w:t>
      </w:r>
      <w:proofErr w:type="gramEnd"/>
      <w:r w:rsidRPr="00A105C2">
        <w:rPr>
          <w:rFonts w:asciiTheme="minorBidi" w:hAnsiTheme="minorBidi" w:cstheme="minorBidi"/>
          <w:sz w:val="19"/>
          <w:szCs w:val="19"/>
          <w:lang w:eastAsia="es-CO"/>
        </w:rPr>
        <w:t xml:space="preserve"> rector o director celebrará los contratos que hayan de pagarse con cargo a los recursos vinculados a los Fondos, en las condiciones y dentro de los límites que fijen los reglamentos.</w:t>
      </w:r>
    </w:p>
    <w:p w:rsidRPr="00A105C2" w:rsidR="003D67E2" w:rsidP="005E2B5A" w:rsidRDefault="003D67E2" w14:paraId="5C1E1AA1" w14:textId="77777777">
      <w:pPr>
        <w:ind w:firstLine="708"/>
        <w:jc w:val="both"/>
        <w:rPr>
          <w:rFonts w:asciiTheme="minorBidi" w:hAnsiTheme="minorBidi" w:cstheme="minorBidi"/>
          <w:sz w:val="19"/>
          <w:szCs w:val="19"/>
          <w:lang w:eastAsia="es-CO"/>
        </w:rPr>
      </w:pPr>
      <w:r w:rsidRPr="00A105C2">
        <w:rPr>
          <w:rFonts w:asciiTheme="minorBidi" w:hAnsiTheme="minorBidi" w:cstheme="minorBidi"/>
          <w:sz w:val="19"/>
          <w:szCs w:val="19"/>
          <w:lang w:eastAsia="es-CO"/>
        </w:rPr>
        <w:t>»</w:t>
      </w:r>
      <w:r w:rsidRPr="00A105C2">
        <w:rPr>
          <w:rFonts w:asciiTheme="minorBidi" w:hAnsiTheme="minorBidi" w:cstheme="minorBidi"/>
          <w:i/>
          <w:iCs/>
          <w:sz w:val="19"/>
          <w:szCs w:val="19"/>
          <w:lang w:eastAsia="es-CO"/>
        </w:rPr>
        <w:t xml:space="preserve">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w:t>
      </w:r>
      <w:bookmarkStart w:name="_Hlk61284561" w:id="54"/>
      <w:r w:rsidRPr="00A105C2">
        <w:rPr>
          <w:rFonts w:asciiTheme="minorBidi" w:hAnsiTheme="minorBidi" w:cstheme="minorBidi"/>
          <w:i/>
          <w:iCs/>
          <w:sz w:val="19"/>
          <w:szCs w:val="19"/>
          <w:lang w:eastAsia="es-CO"/>
        </w:rPr>
        <w:t>los trámites, garantías y constancias que deben cumplirse para que el rector o director celebre cualquier acto o contrato que cree, extinga o modifique obligaciones que deban registrarse en el Fondo</w:t>
      </w:r>
      <w:bookmarkEnd w:id="54"/>
      <w:r w:rsidRPr="00A105C2">
        <w:rPr>
          <w:rFonts w:asciiTheme="minorBidi" w:hAnsiTheme="minorBidi" w:cstheme="minorBidi"/>
          <w:i/>
          <w:iCs/>
          <w:sz w:val="19"/>
          <w:szCs w:val="19"/>
          <w:lang w:eastAsia="es-CO"/>
        </w:rPr>
        <w:t>, y cuya cuantía sea inferior a veinte (20) salarios mínimos mensuales. El Consejo puede exigir, además, que ciertos actos o contratos requieran una autorización suya específica</w:t>
      </w:r>
      <w:r w:rsidRPr="00A105C2">
        <w:rPr>
          <w:rFonts w:asciiTheme="minorBidi" w:hAnsiTheme="minorBidi" w:cstheme="minorBidi"/>
          <w:sz w:val="19"/>
          <w:szCs w:val="19"/>
          <w:lang w:eastAsia="es-CO"/>
        </w:rPr>
        <w:t>.</w:t>
      </w:r>
    </w:p>
    <w:p w:rsidRPr="00A105C2" w:rsidR="003D67E2" w:rsidP="005E2B5A" w:rsidRDefault="003D67E2" w14:paraId="6A3604A1" w14:textId="36C0C44F">
      <w:pPr>
        <w:ind w:firstLine="708"/>
        <w:jc w:val="both"/>
        <w:rPr>
          <w:rFonts w:asciiTheme="minorBidi" w:hAnsiTheme="minorBidi" w:cstheme="minorBidi"/>
          <w:sz w:val="19"/>
          <w:szCs w:val="19"/>
          <w:lang w:eastAsia="es-CO"/>
        </w:rPr>
      </w:pPr>
      <w:r w:rsidRPr="00A105C2">
        <w:rPr>
          <w:rFonts w:asciiTheme="minorBidi" w:hAnsiTheme="minorBidi" w:cstheme="minorBidi"/>
          <w:sz w:val="19"/>
          <w:szCs w:val="19"/>
          <w:lang w:eastAsia="es-CO"/>
        </w:rPr>
        <w:t>[…]» (Énfasis fuera de texto).</w:t>
      </w:r>
    </w:p>
    <w:p w:rsidRPr="005E2B5A" w:rsidR="003D67E2" w:rsidP="005E2B5A" w:rsidRDefault="003D67E2" w14:paraId="3A796AB7" w14:textId="0EA734D4">
      <w:pPr>
        <w:pStyle w:val="Textonotapie"/>
        <w:ind w:firstLine="708"/>
        <w:jc w:val="both"/>
        <w:rPr>
          <w:rFonts w:asciiTheme="minorBidi" w:hAnsiTheme="minorBidi"/>
          <w:color w:val="000000" w:themeColor="text1"/>
          <w:sz w:val="19"/>
          <w:szCs w:val="19"/>
        </w:rPr>
      </w:pPr>
      <w:r w:rsidRPr="00A105C2">
        <w:rPr>
          <w:rFonts w:asciiTheme="minorBidi" w:hAnsiTheme="minorBidi"/>
          <w:color w:val="000000" w:themeColor="text1"/>
          <w:sz w:val="19"/>
          <w:szCs w:val="19"/>
        </w:rPr>
        <w:t>Decreto 1075 de 2015: «Artículo 2.3.1.6.3.5. Funciones del Consejo Directivo. (…) 6. Reglamentar mediante acuerdo los procedimientos, formalidades y garantías para toda contratación que no supere los veinte (20) salarios mínimos legales mensuales vigentes (SMLMV)».</w:t>
      </w:r>
    </w:p>
  </w:footnote>
  <w:footnote w:id="43">
    <w:p w:rsidRPr="00A105C2" w:rsidR="00C13B13" w:rsidP="005E2B5A" w:rsidRDefault="00C13B13" w14:paraId="4BB60F13" w14:textId="69A12969">
      <w:pPr>
        <w:pStyle w:val="Textonotapie"/>
        <w:ind w:firstLine="708"/>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El artículo 32 de la Ley 80, en lo pertinente, dispone que «Son contratos estatales todos los actos jurídicos generadores de obligaciones que celebren las entidades a que se refiere el presente estatuto, previstos en el derecho privado o en disposiciones especiales, o derivados del ejercicio de la autonomía de la voluntad […]. Por su parte, el inciso primero del artículo 40 del Estatuto General prescribe los siguiente: «Las estipulaciones de los contratos serán las </w:t>
      </w:r>
      <w:proofErr w:type="gramStart"/>
      <w:r w:rsidRPr="00A105C2">
        <w:rPr>
          <w:rFonts w:asciiTheme="minorBidi" w:hAnsiTheme="minorBidi"/>
          <w:sz w:val="19"/>
          <w:szCs w:val="19"/>
        </w:rPr>
        <w:t>que</w:t>
      </w:r>
      <w:proofErr w:type="gramEnd"/>
      <w:r w:rsidRPr="00A105C2">
        <w:rPr>
          <w:rFonts w:asciiTheme="minorBidi" w:hAnsiTheme="minorBidi"/>
          <w:sz w:val="19"/>
          <w:szCs w:val="19"/>
        </w:rPr>
        <w:t xml:space="preserve"> de acuerdo con las normas civiles, comerciales y las previstas en esta ley, correspondan a su esencia y naturaleza».</w:t>
      </w:r>
    </w:p>
  </w:footnote>
  <w:footnote w:id="44">
    <w:p w:rsidRPr="00A105C2" w:rsidR="00C13B13" w:rsidP="005E2B5A" w:rsidRDefault="00C13B13" w14:paraId="226D2897" w14:textId="77777777">
      <w:pPr>
        <w:pStyle w:val="Textonotapie"/>
        <w:ind w:firstLine="708"/>
        <w:jc w:val="both"/>
        <w:rPr>
          <w:rFonts w:asciiTheme="minorBidi" w:hAnsiTheme="minorBidi"/>
          <w:sz w:val="19"/>
          <w:szCs w:val="19"/>
          <w:lang w:val="es-ES"/>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Cfr. BENAVIDES, José Luis. El contrato estatal: entre el derecho público y el derecho privado. Segunda edición. Bogotá: Universidad Externado de Colombia, 2009. pp. 78-79.      </w:t>
      </w:r>
    </w:p>
  </w:footnote>
  <w:footnote w:id="45">
    <w:p w:rsidRPr="00A105C2" w:rsidR="00C13B13" w:rsidP="005E2B5A" w:rsidRDefault="00C13B13" w14:paraId="50BAF6C8" w14:textId="77777777">
      <w:pPr>
        <w:pStyle w:val="Textonotapie"/>
        <w:ind w:firstLine="708"/>
        <w:jc w:val="both"/>
        <w:rPr>
          <w:rFonts w:asciiTheme="minorBidi" w:hAnsiTheme="minorBidi"/>
          <w:sz w:val="19"/>
          <w:szCs w:val="19"/>
          <w:lang w:val="es-ES"/>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BETANCUR JARAMILLO, Carlos. Derecho procesal administrativo. Cuarta edición. Medellín: Señal Editora, 1994. pp. 522-523. </w:t>
      </w:r>
    </w:p>
  </w:footnote>
  <w:footnote w:id="46">
    <w:p w:rsidRPr="00A105C2" w:rsidR="00C13B13" w:rsidP="005E2B5A" w:rsidRDefault="00C13B13" w14:paraId="2F9A2CE6" w14:textId="77777777">
      <w:pPr>
        <w:pStyle w:val="Textonotapie"/>
        <w:ind w:firstLine="708"/>
        <w:jc w:val="both"/>
        <w:rPr>
          <w:rFonts w:asciiTheme="minorBidi" w:hAnsiTheme="minorBidi"/>
          <w:sz w:val="19"/>
          <w:szCs w:val="19"/>
          <w:lang w:val="es-ES"/>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La norma citada dispone que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footnote>
  <w:footnote w:id="47">
    <w:p w:rsidRPr="00A105C2" w:rsidR="00EA59D5" w:rsidP="005E2B5A" w:rsidRDefault="00EA59D5" w14:paraId="5086B74A" w14:textId="36618DF1">
      <w:pPr>
        <w:pStyle w:val="Textonotapie"/>
        <w:ind w:firstLine="708"/>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CONSEJO DE ESTADO. Sala de Consulta y Servicio Civil. Concepto del 27 de abril de 2006. Rad:1712. C.P. Enrique José Arboleda Perdomo.</w:t>
      </w:r>
    </w:p>
  </w:footnote>
  <w:footnote w:id="48">
    <w:p w:rsidRPr="00A105C2" w:rsidR="007D3832" w:rsidP="005E2B5A" w:rsidRDefault="007D3832" w14:paraId="3F946C0D" w14:textId="77777777">
      <w:pPr>
        <w:pStyle w:val="Textonotapie"/>
        <w:ind w:firstLine="709"/>
        <w:jc w:val="both"/>
        <w:rPr>
          <w:rFonts w:asciiTheme="minorBidi" w:hAnsiTheme="minorBidi"/>
          <w:sz w:val="19"/>
          <w:szCs w:val="19"/>
          <w:lang w:val="es-ES"/>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w:t>
      </w:r>
      <w:r w:rsidRPr="00A105C2">
        <w:rPr>
          <w:rFonts w:asciiTheme="minorBidi" w:hAnsiTheme="minorBidi"/>
          <w:sz w:val="19"/>
          <w:szCs w:val="19"/>
          <w:lang w:val="es-ES"/>
        </w:rPr>
        <w:t>BOBBIO, Norberto. Democracia y secreto. México: Fondo de Cultura Económica, 2013. p. 27.</w:t>
      </w:r>
    </w:p>
  </w:footnote>
  <w:footnote w:id="49">
    <w:p w:rsidRPr="00A105C2" w:rsidR="007D3832" w:rsidP="005E2B5A" w:rsidRDefault="007D3832" w14:paraId="09AF5020" w14:textId="7ACACDD5">
      <w:pPr>
        <w:pStyle w:val="Textonotapie"/>
        <w:ind w:firstLine="709"/>
        <w:jc w:val="both"/>
        <w:rPr>
          <w:rFonts w:asciiTheme="minorBidi" w:hAnsiTheme="minorBidi"/>
          <w:color w:val="000000" w:themeColor="text1"/>
          <w:sz w:val="19"/>
          <w:szCs w:val="19"/>
        </w:rPr>
      </w:pPr>
      <w:r w:rsidRPr="00A105C2">
        <w:rPr>
          <w:rStyle w:val="Refdenotaalpie"/>
          <w:rFonts w:asciiTheme="minorBidi" w:hAnsiTheme="minorBidi"/>
          <w:color w:val="000000" w:themeColor="text1"/>
          <w:sz w:val="19"/>
          <w:szCs w:val="19"/>
        </w:rPr>
        <w:footnoteRef/>
      </w:r>
      <w:r w:rsidRPr="00A105C2">
        <w:rPr>
          <w:rFonts w:asciiTheme="minorBidi" w:hAnsiTheme="minorBidi"/>
          <w:color w:val="000000" w:themeColor="text1"/>
          <w:sz w:val="19"/>
          <w:szCs w:val="19"/>
        </w:rPr>
        <w:t xml:space="preserve"> Corte Constitucional. Sentencia C- 341 del 4 de junio de 2014. M. P. Mauricio González Cuervo.</w:t>
      </w:r>
    </w:p>
  </w:footnote>
  <w:footnote w:id="50">
    <w:p w:rsidRPr="00A105C2" w:rsidR="0076750F" w:rsidP="005E2B5A" w:rsidRDefault="0076750F" w14:paraId="7D027FA9" w14:textId="77777777">
      <w:pPr>
        <w:pStyle w:val="Textonotapie"/>
        <w:ind w:firstLine="709"/>
        <w:jc w:val="both"/>
        <w:rPr>
          <w:rFonts w:asciiTheme="minorBidi" w:hAnsiTheme="minorBidi"/>
          <w:color w:val="000000"/>
          <w:sz w:val="19"/>
          <w:szCs w:val="19"/>
        </w:rPr>
      </w:pPr>
      <w:r w:rsidRPr="00A105C2">
        <w:rPr>
          <w:rStyle w:val="Refdenotaalpie"/>
          <w:rFonts w:asciiTheme="minorBidi" w:hAnsiTheme="minorBidi"/>
          <w:color w:val="000000"/>
          <w:sz w:val="19"/>
          <w:szCs w:val="19"/>
        </w:rPr>
        <w:footnoteRef/>
      </w:r>
      <w:r w:rsidRPr="00A105C2">
        <w:rPr>
          <w:rFonts w:asciiTheme="minorBidi" w:hAnsiTheme="minorBidi"/>
          <w:color w:val="000000"/>
          <w:sz w:val="19"/>
          <w:szCs w:val="19"/>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rsidRPr="00A105C2" w:rsidR="0076750F" w:rsidP="005E2B5A" w:rsidRDefault="0076750F" w14:paraId="63E87146" w14:textId="77777777">
      <w:pPr>
        <w:pStyle w:val="Textonotapie"/>
        <w:ind w:firstLine="709"/>
        <w:jc w:val="both"/>
        <w:rPr>
          <w:rFonts w:asciiTheme="minorBidi" w:hAnsiTheme="minorBidi"/>
          <w:color w:val="000000"/>
          <w:sz w:val="19"/>
          <w:szCs w:val="19"/>
        </w:rPr>
      </w:pPr>
      <w:proofErr w:type="gramStart"/>
      <w:r w:rsidRPr="00A105C2">
        <w:rPr>
          <w:rFonts w:asciiTheme="minorBidi" w:hAnsiTheme="minorBidi"/>
          <w:color w:val="000000"/>
          <w:sz w:val="19"/>
          <w:szCs w:val="19"/>
        </w:rPr>
        <w:t>»Lo</w:t>
      </w:r>
      <w:proofErr w:type="gramEnd"/>
      <w:r w:rsidRPr="00A105C2">
        <w:rPr>
          <w:rFonts w:asciiTheme="minorBidi" w:hAnsiTheme="minorBidi"/>
          <w:color w:val="000000"/>
          <w:sz w:val="19"/>
          <w:szCs w:val="19"/>
        </w:rPr>
        <w:t xml:space="preserve"> anterior, sin perjuicio de las publicaciones previstas en el numeral 3 del artículo 30 de la Ley 80 de 1993.</w:t>
      </w:r>
    </w:p>
    <w:p w:rsidRPr="00A105C2" w:rsidR="0076750F" w:rsidP="005E2B5A" w:rsidRDefault="0076750F" w14:paraId="674E866F" w14:textId="77777777">
      <w:pPr>
        <w:pStyle w:val="Textonotapie"/>
        <w:ind w:firstLine="709"/>
        <w:jc w:val="both"/>
        <w:rPr>
          <w:rFonts w:asciiTheme="minorBidi" w:hAnsiTheme="minorBidi"/>
          <w:color w:val="000000"/>
          <w:sz w:val="19"/>
          <w:szCs w:val="19"/>
        </w:rPr>
      </w:pPr>
      <w:proofErr w:type="gramStart"/>
      <w:r w:rsidRPr="00A105C2">
        <w:rPr>
          <w:rFonts w:asciiTheme="minorBidi" w:hAnsiTheme="minorBidi"/>
          <w:color w:val="000000"/>
          <w:sz w:val="19"/>
          <w:szCs w:val="19"/>
        </w:rPr>
        <w:t>»Con</w:t>
      </w:r>
      <w:proofErr w:type="gramEnd"/>
      <w:r w:rsidRPr="00A105C2">
        <w:rPr>
          <w:rFonts w:asciiTheme="minorBidi" w:hAnsiTheme="minorBidi"/>
          <w:color w:val="000000"/>
          <w:sz w:val="19"/>
          <w:szCs w:val="19"/>
        </w:rPr>
        <w:t xml:space="preserve"> el fin de materializar los objetivos a que se refiere el inciso anterior, el Gobierno Nacional desarrollará el Sistema Electrónico para la Contratación Pública, Secop, el cual: </w:t>
      </w:r>
    </w:p>
    <w:p w:rsidRPr="00A105C2" w:rsidR="0076750F" w:rsidP="005E2B5A" w:rsidRDefault="0076750F" w14:paraId="4A8841C4" w14:textId="77777777">
      <w:pPr>
        <w:pStyle w:val="Textonotapie"/>
        <w:ind w:firstLine="709"/>
        <w:jc w:val="both"/>
        <w:rPr>
          <w:rFonts w:asciiTheme="minorBidi" w:hAnsiTheme="minorBidi"/>
          <w:color w:val="000000"/>
          <w:sz w:val="19"/>
          <w:szCs w:val="19"/>
        </w:rPr>
      </w:pPr>
      <w:r w:rsidRPr="00A105C2">
        <w:rPr>
          <w:rFonts w:asciiTheme="minorBidi" w:hAnsiTheme="minorBidi"/>
          <w:color w:val="000000"/>
          <w:sz w:val="19"/>
          <w:szCs w:val="19"/>
        </w:rPr>
        <w:t>[…]</w:t>
      </w:r>
    </w:p>
    <w:p w:rsidRPr="00A105C2" w:rsidR="0076750F" w:rsidP="005E2B5A" w:rsidRDefault="0076750F" w14:paraId="59D8F568" w14:textId="28A7BD85">
      <w:pPr>
        <w:pStyle w:val="Textonotapie"/>
        <w:ind w:firstLine="709"/>
        <w:jc w:val="both"/>
        <w:rPr>
          <w:rFonts w:asciiTheme="minorBidi" w:hAnsiTheme="minorBidi"/>
          <w:color w:val="000000"/>
          <w:sz w:val="19"/>
          <w:szCs w:val="19"/>
          <w:lang w:val="es-CO"/>
        </w:rPr>
      </w:pPr>
      <w:r w:rsidRPr="00A105C2">
        <w:rPr>
          <w:rFonts w:asciiTheme="minorBidi" w:hAnsiTheme="minorBidi"/>
          <w:color w:val="000000"/>
          <w:sz w:val="19"/>
          <w:szCs w:val="19"/>
        </w:rPr>
        <w:t xml:space="preserve">»c) Contará con la información oficial de la contratación realizada con dineros públicos, para lo cual establecerá los patrones a que haya lugar y se encargará de su difusión a través de canales electrónico». </w:t>
      </w:r>
    </w:p>
  </w:footnote>
  <w:footnote w:id="51">
    <w:p w:rsidRPr="00A105C2" w:rsidR="0076750F" w:rsidP="005E2B5A" w:rsidRDefault="0076750F" w14:paraId="349EA239" w14:textId="461E708E">
      <w:pPr>
        <w:pStyle w:val="Textonotapie"/>
        <w:ind w:firstLine="709"/>
        <w:jc w:val="both"/>
        <w:rPr>
          <w:rFonts w:asciiTheme="minorBidi" w:hAnsiTheme="minorBidi"/>
          <w:color w:val="000000"/>
          <w:sz w:val="19"/>
          <w:szCs w:val="19"/>
          <w:lang w:val="es-CO"/>
        </w:rPr>
      </w:pPr>
      <w:r w:rsidRPr="00A105C2">
        <w:rPr>
          <w:rStyle w:val="Refdenotaalpie"/>
          <w:rFonts w:asciiTheme="minorBidi" w:hAnsiTheme="minorBidi"/>
          <w:color w:val="000000"/>
          <w:sz w:val="19"/>
          <w:szCs w:val="19"/>
        </w:rPr>
        <w:footnoteRef/>
      </w:r>
      <w:r w:rsidRPr="00A105C2">
        <w:rPr>
          <w:rFonts w:asciiTheme="minorBidi" w:hAnsiTheme="minorBidi"/>
          <w:color w:val="000000"/>
          <w:sz w:val="19"/>
          <w:szCs w:val="19"/>
        </w:rPr>
        <w:t xml:space="preserve"> Ley 1712 de 2014: «Artículo 2. Toda información en posesión, bajo control o custodia de un sujeto obligado es pública y no podrá ser reservada o limitada sino por disposición constitucional o legal, de conformidad con la presente ley».</w:t>
      </w:r>
    </w:p>
  </w:footnote>
  <w:footnote w:id="52">
    <w:p w:rsidRPr="00A105C2" w:rsidR="0076750F" w:rsidP="005E2B5A" w:rsidRDefault="0076750F" w14:paraId="44C22991" w14:textId="77777777">
      <w:pPr>
        <w:pStyle w:val="Textonotapie"/>
        <w:ind w:firstLine="709"/>
        <w:jc w:val="both"/>
        <w:rPr>
          <w:rFonts w:asciiTheme="minorBidi" w:hAnsiTheme="minorBidi"/>
          <w:color w:val="000000"/>
          <w:sz w:val="19"/>
          <w:szCs w:val="19"/>
        </w:rPr>
      </w:pPr>
      <w:r w:rsidRPr="00A105C2">
        <w:rPr>
          <w:rStyle w:val="Refdenotaalpie"/>
          <w:rFonts w:asciiTheme="minorBidi" w:hAnsiTheme="minorBidi"/>
          <w:color w:val="000000"/>
          <w:sz w:val="19"/>
          <w:szCs w:val="19"/>
        </w:rPr>
        <w:footnoteRef/>
      </w:r>
      <w:r w:rsidRPr="00A105C2">
        <w:rPr>
          <w:rFonts w:asciiTheme="minorBidi" w:hAnsiTheme="minorBidi"/>
          <w:color w:val="000000"/>
          <w:sz w:val="19"/>
          <w:szCs w:val="19"/>
        </w:rPr>
        <w:t xml:space="preserve"> Ley 1712 de 2014: «Artículo 5. Ámbito de aplicación. Las disposiciones de esta ley serán aplicables a las siguientes personas en calidad de sujetos obligados: </w:t>
      </w:r>
    </w:p>
    <w:p w:rsidRPr="00A105C2" w:rsidR="0076750F" w:rsidP="005E2B5A" w:rsidRDefault="0076750F" w14:paraId="03F5336A" w14:textId="18D0DE3E">
      <w:pPr>
        <w:pStyle w:val="Textonotapie"/>
        <w:ind w:firstLine="709"/>
        <w:jc w:val="both"/>
        <w:rPr>
          <w:rFonts w:asciiTheme="minorBidi" w:hAnsiTheme="minorBidi"/>
          <w:color w:val="000000"/>
          <w:sz w:val="19"/>
          <w:szCs w:val="19"/>
          <w:lang w:val="es-CO"/>
        </w:rPr>
      </w:pPr>
      <w:proofErr w:type="gramStart"/>
      <w:r w:rsidRPr="00A105C2">
        <w:rPr>
          <w:rFonts w:asciiTheme="minorBidi" w:hAnsiTheme="minorBidi"/>
          <w:color w:val="000000"/>
          <w:sz w:val="19"/>
          <w:szCs w:val="19"/>
        </w:rPr>
        <w:t>»a</w:t>
      </w:r>
      <w:proofErr w:type="gramEnd"/>
      <w:r w:rsidRPr="00A105C2">
        <w:rPr>
          <w:rFonts w:asciiTheme="minorBidi" w:hAnsiTheme="minorBidi"/>
          <w:color w:val="000000"/>
          <w:sz w:val="19"/>
          <w:szCs w:val="19"/>
        </w:rPr>
        <w:t>) Toda entidad pública, incluyendo las pertenecientes a todas las Ramas del Poder Público, en todos los niveles de la estructura estatal, central o descentralizada por servicios o territorialmente, en los órdenes nacional, departamental, municipal y distrital».</w:t>
      </w:r>
    </w:p>
  </w:footnote>
  <w:footnote w:id="53">
    <w:p w:rsidRPr="00A105C2" w:rsidR="0076750F" w:rsidP="005E2B5A" w:rsidRDefault="0076750F" w14:paraId="70C21B8F" w14:textId="77777777">
      <w:pPr>
        <w:pStyle w:val="Textonotapie"/>
        <w:ind w:firstLine="709"/>
        <w:jc w:val="both"/>
        <w:rPr>
          <w:rFonts w:asciiTheme="minorBidi" w:hAnsiTheme="minorBidi"/>
          <w:color w:val="000000"/>
          <w:sz w:val="19"/>
          <w:szCs w:val="19"/>
        </w:rPr>
      </w:pPr>
      <w:r w:rsidRPr="00A105C2">
        <w:rPr>
          <w:rFonts w:eastAsia="Times New Roman" w:asciiTheme="minorBidi" w:hAnsiTheme="minorBidi"/>
          <w:color w:val="000000"/>
          <w:sz w:val="19"/>
          <w:szCs w:val="19"/>
          <w:vertAlign w:val="superscript"/>
          <w:lang w:val="es-ES" w:eastAsia="es-ES"/>
        </w:rPr>
        <w:footnoteRef/>
      </w:r>
      <w:r w:rsidRPr="00A105C2">
        <w:rPr>
          <w:rFonts w:eastAsia="Times New Roman" w:asciiTheme="minorBidi" w:hAnsiTheme="minorBidi"/>
          <w:color w:val="000000"/>
          <w:sz w:val="19"/>
          <w:szCs w:val="19"/>
          <w:vertAlign w:val="superscript"/>
          <w:lang w:val="es-ES" w:eastAsia="es-ES"/>
        </w:rPr>
        <w:t xml:space="preserve"> </w:t>
      </w:r>
      <w:r w:rsidRPr="00A105C2">
        <w:rPr>
          <w:rFonts w:eastAsia="Times New Roman" w:asciiTheme="minorBidi" w:hAnsiTheme="minorBidi"/>
          <w:color w:val="000000"/>
          <w:sz w:val="19"/>
          <w:szCs w:val="19"/>
          <w:lang w:val="es-ES" w:eastAsia="es-ES"/>
        </w:rPr>
        <w:t>«</w:t>
      </w:r>
      <w:r w:rsidRPr="00A105C2">
        <w:rPr>
          <w:rFonts w:asciiTheme="minorBidi" w:hAnsiTheme="minorBidi"/>
          <w:color w:val="000000"/>
          <w:sz w:val="19"/>
          <w:szCs w:val="19"/>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rsidRPr="00A105C2" w:rsidR="0076750F" w:rsidP="005E2B5A" w:rsidRDefault="0076750F" w14:paraId="61A823AD" w14:textId="77777777">
      <w:pPr>
        <w:pStyle w:val="Textonotapie"/>
        <w:ind w:firstLine="709"/>
        <w:jc w:val="both"/>
        <w:rPr>
          <w:rFonts w:eastAsia="Times New Roman" w:asciiTheme="minorBidi" w:hAnsiTheme="minorBidi"/>
          <w:color w:val="000000"/>
          <w:sz w:val="19"/>
          <w:szCs w:val="19"/>
          <w:lang w:val="es-ES" w:eastAsia="es-ES"/>
        </w:rPr>
      </w:pPr>
      <w:r w:rsidRPr="00A105C2">
        <w:rPr>
          <w:rFonts w:asciiTheme="minorBidi" w:hAnsiTheme="minorBidi"/>
          <w:color w:val="000000"/>
          <w:sz w:val="19"/>
          <w:szCs w:val="19"/>
        </w:rPr>
        <w:t>[…].</w:t>
      </w:r>
    </w:p>
    <w:p w:rsidRPr="00A105C2" w:rsidR="0076750F" w:rsidP="005E2B5A" w:rsidRDefault="0076750F" w14:paraId="25A9988B" w14:textId="0B74EF57">
      <w:pPr>
        <w:pStyle w:val="Textonotapie"/>
        <w:ind w:firstLine="709"/>
        <w:jc w:val="both"/>
        <w:rPr>
          <w:rFonts w:eastAsia="Times New Roman" w:asciiTheme="minorBidi" w:hAnsiTheme="minorBidi"/>
          <w:color w:val="000000"/>
          <w:sz w:val="19"/>
          <w:szCs w:val="19"/>
          <w:lang w:val="es-ES" w:eastAsia="es-ES"/>
        </w:rPr>
      </w:pPr>
      <w:r w:rsidRPr="00A105C2">
        <w:rPr>
          <w:rFonts w:eastAsia="Times New Roman" w:asciiTheme="minorBidi" w:hAnsiTheme="minorBidi"/>
          <w:color w:val="000000"/>
          <w:sz w:val="19"/>
          <w:szCs w:val="19"/>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54">
    <w:p w:rsidRPr="005E2B5A" w:rsidR="00D25DF6" w:rsidP="005E2B5A" w:rsidRDefault="00D25DF6" w14:paraId="4888DAA7" w14:textId="37DCA506">
      <w:pPr>
        <w:pStyle w:val="Textonotapie"/>
        <w:ind w:firstLine="709"/>
        <w:jc w:val="both"/>
        <w:rPr>
          <w:rFonts w:asciiTheme="minorBidi" w:hAnsiTheme="minorBidi"/>
          <w:color w:val="000000" w:themeColor="text1"/>
          <w:sz w:val="19"/>
          <w:szCs w:val="19"/>
        </w:rPr>
      </w:pPr>
      <w:r w:rsidRPr="00A105C2">
        <w:rPr>
          <w:rStyle w:val="Refdenotaalpie"/>
          <w:rFonts w:asciiTheme="minorBidi" w:hAnsiTheme="minorBidi"/>
          <w:color w:val="000000" w:themeColor="text1"/>
          <w:sz w:val="19"/>
          <w:szCs w:val="19"/>
        </w:rPr>
        <w:footnoteRef/>
      </w:r>
      <w:r w:rsidRPr="00A105C2">
        <w:rPr>
          <w:rFonts w:asciiTheme="minorBidi" w:hAnsiTheme="minorBidi"/>
          <w:color w:val="000000" w:themeColor="text1"/>
          <w:sz w:val="19"/>
          <w:szCs w:val="19"/>
        </w:rPr>
        <w:t xml:space="preserve"> C</w:t>
      </w:r>
      <w:r w:rsidRPr="00A105C2">
        <w:rPr>
          <w:rFonts w:eastAsia="Times New Roman" w:asciiTheme="minorBidi" w:hAnsiTheme="minorBidi"/>
          <w:color w:val="000000" w:themeColor="text1"/>
          <w:sz w:val="19"/>
          <w:szCs w:val="19"/>
          <w:lang w:val="es-ES" w:eastAsia="es-ES"/>
        </w:rPr>
        <w:t xml:space="preserve">orte Constitucional. Sentencia C‒274 de 9 de mayo de 2013. M.P. María Victoria Calle Correa. </w:t>
      </w:r>
    </w:p>
  </w:footnote>
  <w:footnote w:id="55">
    <w:p w:rsidRPr="00A105C2" w:rsidR="00AA07F0" w:rsidP="005E2B5A" w:rsidRDefault="00AA07F0" w14:paraId="6B4A1C05" w14:textId="77777777">
      <w:pPr>
        <w:pStyle w:val="Textonotapie"/>
        <w:ind w:firstLine="708"/>
        <w:jc w:val="both"/>
        <w:rPr>
          <w:rFonts w:asciiTheme="minorBidi" w:hAnsiTheme="minorBidi"/>
          <w:color w:val="000000"/>
          <w:sz w:val="19"/>
          <w:szCs w:val="19"/>
        </w:rPr>
      </w:pPr>
      <w:r w:rsidRPr="00A105C2">
        <w:rPr>
          <w:rStyle w:val="Refdenotaalpie"/>
          <w:rFonts w:asciiTheme="minorBidi" w:hAnsiTheme="minorBidi"/>
          <w:color w:val="000000"/>
          <w:sz w:val="19"/>
          <w:szCs w:val="19"/>
        </w:rPr>
        <w:footnoteRef/>
      </w:r>
      <w:r w:rsidRPr="00A105C2">
        <w:rPr>
          <w:rFonts w:asciiTheme="minorBidi" w:hAnsiTheme="minorBidi"/>
          <w:color w:val="000000"/>
          <w:sz w:val="19"/>
          <w:szCs w:val="19"/>
        </w:rPr>
        <w:t xml:space="preserve"> Ley 1150 de 2007: «Artículo 3. De la contratación pública electrónica.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rsidRPr="00A105C2" w:rsidR="00AA07F0" w:rsidP="005E2B5A" w:rsidRDefault="00AA07F0" w14:paraId="1521DE62" w14:textId="77777777">
      <w:pPr>
        <w:ind w:firstLine="708"/>
        <w:jc w:val="both"/>
        <w:rPr>
          <w:rFonts w:asciiTheme="minorBidi" w:hAnsiTheme="minorBidi" w:cstheme="minorBidi"/>
          <w:color w:val="000000"/>
          <w:sz w:val="19"/>
          <w:szCs w:val="19"/>
        </w:rPr>
      </w:pPr>
      <w:proofErr w:type="gramStart"/>
      <w:r w:rsidRPr="00A105C2">
        <w:rPr>
          <w:rFonts w:asciiTheme="minorBidi" w:hAnsiTheme="minorBidi" w:cstheme="minorBidi"/>
          <w:color w:val="000000"/>
          <w:sz w:val="19"/>
          <w:szCs w:val="19"/>
        </w:rPr>
        <w:t>»Lo</w:t>
      </w:r>
      <w:proofErr w:type="gramEnd"/>
      <w:r w:rsidRPr="00A105C2">
        <w:rPr>
          <w:rFonts w:asciiTheme="minorBidi" w:hAnsiTheme="minorBidi" w:cstheme="minorBidi"/>
          <w:color w:val="000000"/>
          <w:sz w:val="19"/>
          <w:szCs w:val="19"/>
        </w:rPr>
        <w:t xml:space="preserve"> anterior, sin perjuicio de las publicaciones previstas en el numeral 3 del artículo 30 de la Ley 80 de 1993.</w:t>
      </w:r>
    </w:p>
    <w:p w:rsidRPr="00A105C2" w:rsidR="00AA07F0" w:rsidP="005E2B5A" w:rsidRDefault="00AA07F0" w14:paraId="4F5D251A" w14:textId="77777777">
      <w:pPr>
        <w:pStyle w:val="Textonotapie"/>
        <w:ind w:firstLine="708"/>
        <w:jc w:val="both"/>
        <w:rPr>
          <w:rFonts w:asciiTheme="minorBidi" w:hAnsiTheme="minorBidi"/>
          <w:color w:val="000000"/>
          <w:sz w:val="19"/>
          <w:szCs w:val="19"/>
        </w:rPr>
      </w:pPr>
      <w:proofErr w:type="gramStart"/>
      <w:r w:rsidRPr="00A105C2">
        <w:rPr>
          <w:rFonts w:asciiTheme="minorBidi" w:hAnsiTheme="minorBidi"/>
          <w:color w:val="000000"/>
          <w:sz w:val="19"/>
          <w:szCs w:val="19"/>
        </w:rPr>
        <w:t>»Con</w:t>
      </w:r>
      <w:proofErr w:type="gramEnd"/>
      <w:r w:rsidRPr="00A105C2">
        <w:rPr>
          <w:rFonts w:asciiTheme="minorBidi" w:hAnsiTheme="minorBidi"/>
          <w:color w:val="000000"/>
          <w:sz w:val="19"/>
          <w:szCs w:val="19"/>
        </w:rPr>
        <w:t xml:space="preserve"> el fin de materializar los objetivos a que se refiere el inciso anterior, el Gobierno Nacional desarrollará el Sistema Electrónico para la Contratación Pública, Secop, el cual:</w:t>
      </w:r>
    </w:p>
    <w:p w:rsidRPr="00A105C2" w:rsidR="00AA07F0" w:rsidP="005E2B5A" w:rsidRDefault="00AA07F0" w14:paraId="43652592" w14:textId="77777777">
      <w:pPr>
        <w:pStyle w:val="Textonotapie"/>
        <w:ind w:firstLine="708"/>
        <w:jc w:val="both"/>
        <w:rPr>
          <w:rFonts w:asciiTheme="minorBidi" w:hAnsiTheme="minorBidi"/>
          <w:color w:val="000000"/>
          <w:sz w:val="19"/>
          <w:szCs w:val="19"/>
        </w:rPr>
      </w:pPr>
      <w:proofErr w:type="gramStart"/>
      <w:r w:rsidRPr="00A105C2">
        <w:rPr>
          <w:rFonts w:asciiTheme="minorBidi" w:hAnsiTheme="minorBidi"/>
          <w:color w:val="000000"/>
          <w:sz w:val="19"/>
          <w:szCs w:val="19"/>
        </w:rPr>
        <w:t>»a</w:t>
      </w:r>
      <w:proofErr w:type="gramEnd"/>
      <w:r w:rsidRPr="00A105C2">
        <w:rPr>
          <w:rFonts w:asciiTheme="minorBidi" w:hAnsiTheme="minorBidi"/>
          <w:color w:val="000000"/>
          <w:sz w:val="19"/>
          <w:szCs w:val="19"/>
        </w:rPr>
        <w:t>) Dispondrá de las funcionalidades tecnológicas para realizar procesos de contratación electrónicos bajo los métodos de selección señalados en el artículo 2o de la presente ley según lo defina el reglamento;</w:t>
      </w:r>
    </w:p>
    <w:p w:rsidRPr="00A105C2" w:rsidR="00AA07F0" w:rsidP="005E2B5A" w:rsidRDefault="00AA07F0" w14:paraId="1A5F24B0" w14:textId="77777777">
      <w:pPr>
        <w:pStyle w:val="Textonotapie"/>
        <w:ind w:firstLine="708"/>
        <w:jc w:val="both"/>
        <w:rPr>
          <w:rFonts w:asciiTheme="minorBidi" w:hAnsiTheme="minorBidi"/>
          <w:color w:val="000000"/>
          <w:sz w:val="19"/>
          <w:szCs w:val="19"/>
        </w:rPr>
      </w:pPr>
      <w:proofErr w:type="gramStart"/>
      <w:r w:rsidRPr="00A105C2">
        <w:rPr>
          <w:rFonts w:asciiTheme="minorBidi" w:hAnsiTheme="minorBidi"/>
          <w:color w:val="000000"/>
          <w:sz w:val="19"/>
          <w:szCs w:val="19"/>
        </w:rPr>
        <w:t>»b</w:t>
      </w:r>
      <w:proofErr w:type="gramEnd"/>
      <w:r w:rsidRPr="00A105C2">
        <w:rPr>
          <w:rFonts w:asciiTheme="minorBidi" w:hAnsiTheme="minorBidi"/>
          <w:color w:val="000000"/>
          <w:sz w:val="19"/>
          <w:szCs w:val="19"/>
        </w:rPr>
        <w:t>) Servirá de punto único de ingreso de información y de generación de reportes para las entidades estatales y la ciudadanía;</w:t>
      </w:r>
    </w:p>
    <w:p w:rsidRPr="00A105C2" w:rsidR="00AA07F0" w:rsidP="005E2B5A" w:rsidRDefault="00AA07F0" w14:paraId="4F0F34D3" w14:textId="77777777">
      <w:pPr>
        <w:pStyle w:val="Textonotapie"/>
        <w:ind w:firstLine="708"/>
        <w:jc w:val="both"/>
        <w:rPr>
          <w:rFonts w:asciiTheme="minorBidi" w:hAnsiTheme="minorBidi"/>
          <w:color w:val="000000"/>
          <w:sz w:val="19"/>
          <w:szCs w:val="19"/>
        </w:rPr>
      </w:pPr>
      <w:r w:rsidRPr="00A105C2">
        <w:rPr>
          <w:rFonts w:asciiTheme="minorBidi" w:hAnsiTheme="minorBidi"/>
          <w:color w:val="000000"/>
          <w:sz w:val="19"/>
          <w:szCs w:val="19"/>
        </w:rPr>
        <w:t>»c) Contará con la información oficial de la contratación realizada con dineros públicos, para lo cual establecerá los patrones a que haya lugar y se encargará de su difusión a través de canales electrónicos y;</w:t>
      </w:r>
    </w:p>
    <w:p w:rsidRPr="00A105C2" w:rsidR="00AA07F0" w:rsidP="005E2B5A" w:rsidRDefault="00AA07F0" w14:paraId="2E25CB88" w14:textId="6EEF10EC">
      <w:pPr>
        <w:pStyle w:val="Textonotapie"/>
        <w:ind w:firstLine="708"/>
        <w:jc w:val="both"/>
        <w:rPr>
          <w:rFonts w:asciiTheme="minorBidi" w:hAnsiTheme="minorBidi"/>
          <w:color w:val="000000"/>
          <w:sz w:val="19"/>
          <w:szCs w:val="19"/>
        </w:rPr>
      </w:pPr>
      <w:proofErr w:type="gramStart"/>
      <w:r w:rsidRPr="00A105C2">
        <w:rPr>
          <w:rFonts w:asciiTheme="minorBidi" w:hAnsiTheme="minorBidi"/>
          <w:color w:val="000000"/>
          <w:sz w:val="19"/>
          <w:szCs w:val="19"/>
        </w:rPr>
        <w:t>»d</w:t>
      </w:r>
      <w:proofErr w:type="gramEnd"/>
      <w:r w:rsidRPr="00A105C2">
        <w:rPr>
          <w:rFonts w:asciiTheme="minorBidi" w:hAnsiTheme="minorBidi"/>
          <w:color w:val="000000"/>
          <w:sz w:val="19"/>
          <w:szCs w:val="19"/>
        </w:rPr>
        <w:t>) Integrará el Registro Único Empresarial de las Cámaras de Comercio, el Diario Único de Contratación Estatal y los demás sistemas que involucren la gestión contractual pública. Así mismo, se articulará con el Sistema de Información para la Vigilancia de la Contratación Estatal, SICE, creado por la Ley 598 de 2000, sin que este pierda su autonomía para el ejercicio del control fiscal a la contratación pública».</w:t>
      </w:r>
    </w:p>
  </w:footnote>
  <w:footnote w:id="56">
    <w:p w:rsidRPr="00A105C2" w:rsidR="00AA07F0" w:rsidP="005E2B5A" w:rsidRDefault="00AA07F0" w14:paraId="7945B949" w14:textId="68D9017E">
      <w:pPr>
        <w:pStyle w:val="Textonotapie"/>
        <w:ind w:firstLine="708"/>
        <w:jc w:val="both"/>
        <w:rPr>
          <w:rFonts w:asciiTheme="minorBidi" w:hAnsiTheme="minorBidi"/>
          <w:color w:val="000000"/>
          <w:sz w:val="19"/>
          <w:szCs w:val="19"/>
          <w:lang w:val="es-CO"/>
        </w:rPr>
      </w:pPr>
      <w:r w:rsidRPr="00A105C2">
        <w:rPr>
          <w:rStyle w:val="Refdenotaalpie"/>
          <w:rFonts w:asciiTheme="minorBidi" w:hAnsiTheme="minorBidi"/>
          <w:color w:val="000000"/>
          <w:sz w:val="19"/>
          <w:szCs w:val="19"/>
        </w:rPr>
        <w:footnoteRef/>
      </w:r>
      <w:r w:rsidRPr="00A105C2">
        <w:rPr>
          <w:rFonts w:asciiTheme="minorBidi" w:hAnsiTheme="minorBidi"/>
          <w:color w:val="000000"/>
          <w:sz w:val="19"/>
          <w:szCs w:val="19"/>
        </w:rPr>
        <w:t xml:space="preserve"> Corte Constitucional. </w:t>
      </w:r>
      <w:r w:rsidRPr="00A105C2">
        <w:rPr>
          <w:rFonts w:asciiTheme="minorBidi" w:hAnsiTheme="minorBidi"/>
          <w:color w:val="000000"/>
          <w:sz w:val="19"/>
          <w:szCs w:val="19"/>
          <w:lang w:val="es-CO"/>
        </w:rPr>
        <w:t xml:space="preserve">Sentencia C 711 del 11 de marzo de 2011. M.P. Mauricio González Cuervo. </w:t>
      </w:r>
    </w:p>
  </w:footnote>
  <w:footnote w:id="57">
    <w:p w:rsidRPr="00A105C2" w:rsidR="00AA07F0" w:rsidP="005E2B5A" w:rsidRDefault="00AA07F0" w14:paraId="02E2128B" w14:textId="77777777">
      <w:pPr>
        <w:pStyle w:val="Textonotapie"/>
        <w:ind w:firstLine="708"/>
        <w:jc w:val="both"/>
        <w:rPr>
          <w:rFonts w:asciiTheme="minorBidi" w:hAnsiTheme="minorBidi"/>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Agencia Nacional de Contratación Pública – Colombia Compra Eficiente. Concepto C-087 del del 4 de marzo de 2020. Radicado de entrada No. 4202012000000579. Radicado de salida No. 2202013000001598.</w:t>
      </w:r>
    </w:p>
  </w:footnote>
  <w:footnote w:id="58">
    <w:p w:rsidRPr="00A105C2" w:rsidR="00E1529C" w:rsidP="005E2B5A" w:rsidRDefault="00AA07F0" w14:paraId="41F5AD8F" w14:textId="50B472CC">
      <w:pPr>
        <w:pStyle w:val="Textonotapie"/>
        <w:ind w:firstLine="709"/>
        <w:jc w:val="both"/>
        <w:rPr>
          <w:rFonts w:asciiTheme="minorBidi" w:hAnsiTheme="minorBidi"/>
          <w:color w:val="000000"/>
          <w:sz w:val="19"/>
          <w:szCs w:val="19"/>
        </w:rPr>
      </w:pPr>
      <w:r w:rsidRPr="00A105C2">
        <w:rPr>
          <w:rStyle w:val="Refdenotaalpie"/>
          <w:rFonts w:asciiTheme="minorBidi" w:hAnsiTheme="minorBidi"/>
          <w:sz w:val="19"/>
          <w:szCs w:val="19"/>
        </w:rPr>
        <w:footnoteRef/>
      </w:r>
      <w:r w:rsidRPr="00A105C2">
        <w:rPr>
          <w:rFonts w:asciiTheme="minorBidi" w:hAnsiTheme="minorBidi"/>
          <w:sz w:val="19"/>
          <w:szCs w:val="19"/>
        </w:rPr>
        <w:t xml:space="preserve"> Ley 80 de 1993 «</w:t>
      </w:r>
      <w:r w:rsidRPr="00A105C2">
        <w:rPr>
          <w:rStyle w:val="Textoennegrita"/>
          <w:rFonts w:asciiTheme="minorBidi" w:hAnsiTheme="minorBidi"/>
          <w:b w:val="0"/>
          <w:bCs w:val="0"/>
          <w:color w:val="000000"/>
          <w:sz w:val="19"/>
          <w:szCs w:val="19"/>
        </w:rPr>
        <w:t>Articulo 32. De los contratos estatales.</w:t>
      </w:r>
      <w:r w:rsidRPr="00A105C2">
        <w:rPr>
          <w:rStyle w:val="Textoennegrita"/>
          <w:rFonts w:asciiTheme="minorBidi" w:hAnsiTheme="minorBidi"/>
          <w:color w:val="000000"/>
          <w:sz w:val="19"/>
          <w:szCs w:val="19"/>
        </w:rPr>
        <w:t> </w:t>
      </w:r>
      <w:r w:rsidRPr="00A105C2">
        <w:rPr>
          <w:rFonts w:asciiTheme="minorBidi" w:hAnsiTheme="minorBidi"/>
          <w:color w:val="000000"/>
          <w:sz w:val="19"/>
          <w:szCs w:val="19"/>
        </w:rPr>
        <w:t>Son contratos estatales todos los actos jurídicos generadores de obligaciones que celebren las entidades a que se refiere el presente estatuto, previstos en el derecho privado o en disposiciones especiales, o derivados del ejercicio de la autonomía de la voluntad […]».</w:t>
      </w:r>
    </w:p>
  </w:footnote>
  <w:footnote w:id="59">
    <w:p w:rsidRPr="00A105C2" w:rsidR="00AA07F0" w:rsidP="005E2B5A" w:rsidRDefault="00AA07F0" w14:paraId="7781CD32" w14:textId="77777777">
      <w:pPr>
        <w:pStyle w:val="NormalWeb"/>
        <w:spacing w:before="0" w:beforeAutospacing="0" w:after="0" w:afterAutospacing="0"/>
        <w:ind w:firstLine="709"/>
        <w:jc w:val="both"/>
        <w:rPr>
          <w:rFonts w:asciiTheme="minorBidi" w:hAnsiTheme="minorBidi" w:cstheme="minorBidi"/>
          <w:color w:val="000000"/>
          <w:sz w:val="19"/>
          <w:szCs w:val="19"/>
        </w:rPr>
      </w:pPr>
      <w:r w:rsidRPr="00A105C2">
        <w:rPr>
          <w:rStyle w:val="Refdenotaalpie"/>
          <w:rFonts w:asciiTheme="minorBidi" w:hAnsiTheme="minorBidi" w:cstheme="minorBidi"/>
          <w:sz w:val="19"/>
          <w:szCs w:val="19"/>
        </w:rPr>
        <w:footnoteRef/>
      </w:r>
      <w:r w:rsidRPr="00A105C2">
        <w:rPr>
          <w:rFonts w:asciiTheme="minorBidi" w:hAnsiTheme="minorBidi" w:cstheme="minorBidi"/>
          <w:sz w:val="19"/>
          <w:szCs w:val="19"/>
        </w:rPr>
        <w:t xml:space="preserve"> Ley 80 de 1993 «</w:t>
      </w:r>
      <w:r w:rsidRPr="00A105C2">
        <w:rPr>
          <w:rFonts w:asciiTheme="minorBidi" w:hAnsiTheme="minorBidi" w:cstheme="minorBidi"/>
          <w:color w:val="000000"/>
          <w:sz w:val="19"/>
          <w:szCs w:val="19"/>
        </w:rPr>
        <w:t>Artículo 13</w:t>
      </w:r>
      <w:r w:rsidRPr="00A105C2">
        <w:rPr>
          <w:rFonts w:asciiTheme="minorBidi" w:hAnsiTheme="minorBidi" w:cstheme="minorBidi"/>
          <w:b/>
          <w:bCs/>
          <w:color w:val="000000"/>
          <w:sz w:val="19"/>
          <w:szCs w:val="19"/>
        </w:rPr>
        <w:t xml:space="preserve">. </w:t>
      </w:r>
      <w:r w:rsidRPr="00A105C2">
        <w:rPr>
          <w:rFonts w:asciiTheme="minorBidi" w:hAnsiTheme="minorBidi" w:cstheme="minorBidi"/>
          <w:color w:val="000000"/>
          <w:sz w:val="19"/>
          <w:szCs w:val="19"/>
        </w:rPr>
        <w:t>De la normatividad aplicable a los contratos estatales. Los contratos que celebren las entidades a que se refiere el artículo 2o. del presente estatuto se regirán por las disposiciones comerciales y civiles pertinentes, salvo en las materias particularmente reguladas en esta ley. </w:t>
      </w:r>
    </w:p>
    <w:p w:rsidRPr="00A105C2" w:rsidR="00AA07F0" w:rsidP="005E2B5A" w:rsidRDefault="00AA07F0" w14:paraId="49A9F3C5" w14:textId="77777777">
      <w:pPr>
        <w:ind w:firstLine="709"/>
        <w:jc w:val="both"/>
        <w:rPr>
          <w:rFonts w:asciiTheme="minorBidi" w:hAnsiTheme="minorBidi" w:cstheme="minorBidi"/>
          <w:color w:val="000000"/>
          <w:sz w:val="19"/>
          <w:szCs w:val="19"/>
          <w:lang w:eastAsia="es-CO"/>
        </w:rPr>
      </w:pPr>
      <w:r w:rsidRPr="00A105C2">
        <w:rPr>
          <w:rFonts w:asciiTheme="minorBidi" w:hAnsiTheme="minorBidi" w:cstheme="minorBidi"/>
          <w:color w:val="000000"/>
          <w:sz w:val="19"/>
          <w:szCs w:val="19"/>
          <w:lang w:eastAsia="es-CO"/>
        </w:rPr>
        <w:t> </w:t>
      </w:r>
      <w:r w:rsidRPr="00A105C2">
        <w:rPr>
          <w:rFonts w:asciiTheme="minorBidi" w:hAnsiTheme="minorBidi" w:cstheme="minorBidi"/>
          <w:color w:val="000000"/>
          <w:sz w:val="19"/>
          <w:szCs w:val="19"/>
          <w:lang w:eastAsia="es-CO"/>
        </w:rPr>
        <w:tab/>
      </w:r>
      <w:proofErr w:type="gramStart"/>
      <w:r w:rsidRPr="00A105C2">
        <w:rPr>
          <w:rFonts w:asciiTheme="minorBidi" w:hAnsiTheme="minorBidi" w:cstheme="minorBidi"/>
          <w:color w:val="000000"/>
          <w:sz w:val="19"/>
          <w:szCs w:val="19"/>
          <w:lang w:eastAsia="es-CO"/>
        </w:rPr>
        <w:t>»Los</w:t>
      </w:r>
      <w:proofErr w:type="gramEnd"/>
      <w:r w:rsidRPr="00A105C2">
        <w:rPr>
          <w:rFonts w:asciiTheme="minorBidi" w:hAnsiTheme="minorBidi" w:cstheme="minorBidi"/>
          <w:color w:val="000000"/>
          <w:sz w:val="19"/>
          <w:szCs w:val="19"/>
          <w:lang w:eastAsia="es-CO"/>
        </w:rPr>
        <w:t xml:space="preserve"> contratos celebrados en el exterior se podrán regir en su ejecución por las reglas del país en donde se hayan suscrito, a menos que deban cumplirse en Colombia. </w:t>
      </w:r>
    </w:p>
    <w:p w:rsidRPr="00A105C2" w:rsidR="00AA07F0" w:rsidP="005E2B5A" w:rsidRDefault="00AA07F0" w14:paraId="17F9A91B" w14:textId="77777777">
      <w:pPr>
        <w:ind w:firstLine="709"/>
        <w:jc w:val="both"/>
        <w:rPr>
          <w:rFonts w:asciiTheme="minorBidi" w:hAnsiTheme="minorBidi" w:cstheme="minorBidi"/>
          <w:color w:val="000000"/>
          <w:sz w:val="19"/>
          <w:szCs w:val="19"/>
          <w:lang w:eastAsia="es-CO"/>
        </w:rPr>
      </w:pPr>
      <w:r w:rsidRPr="00A105C2">
        <w:rPr>
          <w:rFonts w:asciiTheme="minorBidi" w:hAnsiTheme="minorBidi" w:cstheme="minorBidi"/>
          <w:color w:val="000000"/>
          <w:sz w:val="19"/>
          <w:szCs w:val="19"/>
          <w:lang w:eastAsia="es-CO"/>
        </w:rPr>
        <w:t>  </w:t>
      </w:r>
      <w:r w:rsidRPr="00A105C2">
        <w:rPr>
          <w:rFonts w:asciiTheme="minorBidi" w:hAnsiTheme="minorBidi" w:cstheme="minorBidi"/>
          <w:color w:val="000000"/>
          <w:sz w:val="19"/>
          <w:szCs w:val="19"/>
          <w:lang w:eastAsia="es-CO"/>
        </w:rPr>
        <w:tab/>
      </w:r>
      <w:proofErr w:type="gramStart"/>
      <w:r w:rsidRPr="00A105C2">
        <w:rPr>
          <w:rFonts w:asciiTheme="minorBidi" w:hAnsiTheme="minorBidi" w:cstheme="minorBidi"/>
          <w:color w:val="000000"/>
          <w:sz w:val="19"/>
          <w:szCs w:val="19"/>
          <w:lang w:eastAsia="es-CO"/>
        </w:rPr>
        <w:t>»Los</w:t>
      </w:r>
      <w:proofErr w:type="gramEnd"/>
      <w:r w:rsidRPr="00A105C2">
        <w:rPr>
          <w:rFonts w:asciiTheme="minorBidi" w:hAnsiTheme="minorBidi" w:cstheme="minorBidi"/>
          <w:color w:val="000000"/>
          <w:sz w:val="19"/>
          <w:szCs w:val="19"/>
          <w:lang w:eastAsia="es-CO"/>
        </w:rPr>
        <w:t xml:space="preserve"> contratos que se celebren en Colombia y deban ejecutarse o cumplirse en el extranjero, podrán someterse a la ley extranjera. </w:t>
      </w:r>
    </w:p>
    <w:p w:rsidRPr="00A105C2" w:rsidR="00AA07F0" w:rsidP="005E2B5A" w:rsidRDefault="00AA07F0" w14:paraId="5FD930CC" w14:textId="77777777">
      <w:pPr>
        <w:pStyle w:val="NormalWeb"/>
        <w:spacing w:before="0" w:beforeAutospacing="0" w:after="0" w:afterAutospacing="0"/>
        <w:ind w:firstLine="709"/>
        <w:jc w:val="both"/>
        <w:rPr>
          <w:rFonts w:asciiTheme="minorBidi" w:hAnsiTheme="minorBidi" w:cstheme="minorBidi"/>
          <w:sz w:val="19"/>
          <w:szCs w:val="19"/>
        </w:rPr>
      </w:pPr>
      <w:r w:rsidRPr="00A105C2">
        <w:rPr>
          <w:rFonts w:asciiTheme="minorBidi" w:hAnsiTheme="minorBidi" w:cstheme="minorBidi"/>
          <w:sz w:val="19"/>
          <w:szCs w:val="19"/>
        </w:rPr>
        <w:t>[…]</w:t>
      </w:r>
    </w:p>
    <w:p w:rsidRPr="00A105C2" w:rsidR="00AA07F0" w:rsidP="005E2B5A" w:rsidRDefault="00AA07F0" w14:paraId="2A31E098" w14:textId="77777777">
      <w:pPr>
        <w:pStyle w:val="NormalWeb"/>
        <w:spacing w:before="0" w:beforeAutospacing="0" w:after="0" w:afterAutospacing="0"/>
        <w:ind w:firstLine="709"/>
        <w:jc w:val="both"/>
        <w:rPr>
          <w:rFonts w:asciiTheme="minorBidi" w:hAnsiTheme="minorBidi" w:cstheme="minorBidi"/>
          <w:color w:val="000000"/>
          <w:sz w:val="19"/>
          <w:szCs w:val="19"/>
        </w:rPr>
      </w:pPr>
      <w:proofErr w:type="gramStart"/>
      <w:r w:rsidRPr="00A105C2">
        <w:rPr>
          <w:rFonts w:asciiTheme="minorBidi" w:hAnsiTheme="minorBidi" w:cstheme="minorBidi"/>
          <w:b/>
          <w:bCs/>
          <w:color w:val="000000"/>
          <w:sz w:val="19"/>
          <w:szCs w:val="19"/>
        </w:rPr>
        <w:t>»</w:t>
      </w:r>
      <w:r w:rsidRPr="00A105C2">
        <w:rPr>
          <w:rFonts w:asciiTheme="minorBidi" w:hAnsiTheme="minorBidi" w:cstheme="minorBidi"/>
          <w:color w:val="000000"/>
          <w:sz w:val="19"/>
          <w:szCs w:val="19"/>
        </w:rPr>
        <w:t>Artículo</w:t>
      </w:r>
      <w:proofErr w:type="gramEnd"/>
      <w:r w:rsidRPr="00A105C2">
        <w:rPr>
          <w:rFonts w:asciiTheme="minorBidi" w:hAnsiTheme="minorBidi" w:cstheme="minorBidi"/>
          <w:color w:val="000000"/>
          <w:sz w:val="19"/>
          <w:szCs w:val="19"/>
        </w:rPr>
        <w:t xml:space="preserve"> 40. Del contenido del contrato estatal. Las estipulaciones de los contratos serán las </w:t>
      </w:r>
      <w:proofErr w:type="gramStart"/>
      <w:r w:rsidRPr="00A105C2">
        <w:rPr>
          <w:rFonts w:asciiTheme="minorBidi" w:hAnsiTheme="minorBidi" w:cstheme="minorBidi"/>
          <w:color w:val="000000"/>
          <w:sz w:val="19"/>
          <w:szCs w:val="19"/>
        </w:rPr>
        <w:t>que</w:t>
      </w:r>
      <w:proofErr w:type="gramEnd"/>
      <w:r w:rsidRPr="00A105C2">
        <w:rPr>
          <w:rFonts w:asciiTheme="minorBidi" w:hAnsiTheme="minorBidi" w:cstheme="minorBidi"/>
          <w:color w:val="000000"/>
          <w:sz w:val="19"/>
          <w:szCs w:val="19"/>
        </w:rPr>
        <w:t xml:space="preserve"> de acuerdo con las normas civiles, comerciales y las previstas en esta ley, correspondan a su esencia y naturaleza. </w:t>
      </w:r>
    </w:p>
    <w:p w:rsidRPr="00A105C2" w:rsidR="00AA07F0" w:rsidP="005E2B5A" w:rsidRDefault="00AA07F0" w14:paraId="568202EE" w14:textId="77777777">
      <w:pPr>
        <w:ind w:firstLine="709"/>
        <w:jc w:val="both"/>
        <w:rPr>
          <w:rFonts w:asciiTheme="minorBidi" w:hAnsiTheme="minorBidi" w:cstheme="minorBidi"/>
          <w:color w:val="000000"/>
          <w:sz w:val="19"/>
          <w:szCs w:val="19"/>
          <w:lang w:eastAsia="es-CO"/>
        </w:rPr>
      </w:pPr>
      <w:r w:rsidRPr="00A105C2">
        <w:rPr>
          <w:rFonts w:asciiTheme="minorBidi" w:hAnsiTheme="minorBidi" w:cstheme="minorBidi"/>
          <w:color w:val="000000"/>
          <w:sz w:val="19"/>
          <w:szCs w:val="19"/>
          <w:lang w:eastAsia="es-CO"/>
        </w:rPr>
        <w:t>  </w:t>
      </w:r>
      <w:r w:rsidRPr="00A105C2">
        <w:rPr>
          <w:rFonts w:asciiTheme="minorBidi" w:hAnsiTheme="minorBidi" w:cstheme="minorBidi"/>
          <w:color w:val="000000"/>
          <w:sz w:val="19"/>
          <w:szCs w:val="19"/>
          <w:lang w:eastAsia="es-CO"/>
        </w:rPr>
        <w:tab/>
      </w:r>
      <w:proofErr w:type="gramStart"/>
      <w:r w:rsidRPr="00A105C2">
        <w:rPr>
          <w:rFonts w:asciiTheme="minorBidi" w:hAnsiTheme="minorBidi" w:cstheme="minorBidi"/>
          <w:color w:val="000000"/>
          <w:sz w:val="19"/>
          <w:szCs w:val="19"/>
          <w:lang w:eastAsia="es-CO"/>
        </w:rPr>
        <w:t>»Las</w:t>
      </w:r>
      <w:proofErr w:type="gramEnd"/>
      <w:r w:rsidRPr="00A105C2">
        <w:rPr>
          <w:rFonts w:asciiTheme="minorBidi" w:hAnsiTheme="minorBidi" w:cstheme="minorBidi"/>
          <w:color w:val="000000"/>
          <w:sz w:val="19"/>
          <w:szCs w:val="19"/>
          <w:lang w:eastAsia="es-CO"/>
        </w:rPr>
        <w:t xml:space="preserve"> entidades podrán celebrar los contratos y acuerdos que permitan la autonomía de la voluntad y requieran el cumplimiento de los fines estatales. </w:t>
      </w:r>
    </w:p>
    <w:p w:rsidRPr="00A105C2" w:rsidR="00AA07F0" w:rsidP="005E2B5A" w:rsidRDefault="00AA07F0" w14:paraId="54B74AE3" w14:textId="77777777">
      <w:pPr>
        <w:ind w:firstLine="709"/>
        <w:jc w:val="both"/>
        <w:rPr>
          <w:rFonts w:asciiTheme="minorBidi" w:hAnsiTheme="minorBidi" w:cstheme="minorBidi"/>
          <w:color w:val="000000"/>
          <w:sz w:val="19"/>
          <w:szCs w:val="19"/>
          <w:lang w:eastAsia="es-CO"/>
        </w:rPr>
      </w:pPr>
      <w:r w:rsidRPr="00A105C2">
        <w:rPr>
          <w:rFonts w:asciiTheme="minorBidi" w:hAnsiTheme="minorBidi" w:cstheme="minorBidi"/>
          <w:color w:val="000000"/>
          <w:sz w:val="19"/>
          <w:szCs w:val="19"/>
          <w:lang w:eastAsia="es-CO"/>
        </w:rPr>
        <w:t xml:space="preserve">   </w:t>
      </w:r>
      <w:r w:rsidRPr="00A105C2">
        <w:rPr>
          <w:rFonts w:asciiTheme="minorBidi" w:hAnsiTheme="minorBidi" w:cstheme="minorBidi"/>
          <w:color w:val="000000"/>
          <w:sz w:val="19"/>
          <w:szCs w:val="19"/>
          <w:lang w:eastAsia="es-CO"/>
        </w:rPr>
        <w:tab/>
      </w:r>
      <w:proofErr w:type="gramStart"/>
      <w:r w:rsidRPr="00A105C2">
        <w:rPr>
          <w:rFonts w:asciiTheme="minorBidi" w:hAnsiTheme="minorBidi" w:cstheme="minorBidi"/>
          <w:color w:val="000000"/>
          <w:sz w:val="19"/>
          <w:szCs w:val="19"/>
          <w:lang w:eastAsia="es-CO"/>
        </w:rPr>
        <w:t>»En</w:t>
      </w:r>
      <w:proofErr w:type="gramEnd"/>
      <w:r w:rsidRPr="00A105C2">
        <w:rPr>
          <w:rFonts w:asciiTheme="minorBidi" w:hAnsiTheme="minorBidi" w:cstheme="minorBidi"/>
          <w:color w:val="000000"/>
          <w:sz w:val="19"/>
          <w:szCs w:val="19"/>
          <w:lang w:eastAsia="es-CO"/>
        </w:rPr>
        <w:t xml:space="preserve">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 </w:t>
      </w:r>
    </w:p>
    <w:p w:rsidRPr="005E2B5A" w:rsidR="00AA07F0" w:rsidP="005E2B5A" w:rsidRDefault="00AA07F0" w14:paraId="7D5BCDF5" w14:textId="1793D010">
      <w:pPr>
        <w:ind w:firstLine="709"/>
        <w:jc w:val="both"/>
        <w:rPr>
          <w:rFonts w:asciiTheme="minorBidi" w:hAnsiTheme="minorBidi" w:cstheme="minorBidi"/>
          <w:color w:val="000000"/>
          <w:sz w:val="19"/>
          <w:szCs w:val="19"/>
          <w:lang w:eastAsia="es-CO"/>
        </w:rPr>
      </w:pPr>
      <w:r w:rsidRPr="00A105C2">
        <w:rPr>
          <w:rFonts w:asciiTheme="minorBidi" w:hAnsiTheme="minorBidi" w:cstheme="minorBidi"/>
          <w:color w:val="000000"/>
          <w:sz w:val="19"/>
          <w:szCs w:val="19"/>
          <w:lang w:eastAsia="es-CO"/>
        </w:rPr>
        <w:t>  </w:t>
      </w:r>
      <w:r w:rsidRPr="00A105C2">
        <w:rPr>
          <w:rFonts w:asciiTheme="minorBidi" w:hAnsiTheme="minorBidi" w:cstheme="minorBidi"/>
          <w:color w:val="000000"/>
          <w:sz w:val="19"/>
          <w:szCs w:val="19"/>
          <w:lang w:eastAsia="es-CO"/>
        </w:rPr>
        <w:tab/>
      </w:r>
      <w:proofErr w:type="gramStart"/>
      <w:r w:rsidRPr="00A105C2">
        <w:rPr>
          <w:rFonts w:asciiTheme="minorBidi" w:hAnsiTheme="minorBidi" w:cstheme="minorBidi"/>
          <w:color w:val="000000"/>
          <w:sz w:val="19"/>
          <w:szCs w:val="19"/>
          <w:lang w:eastAsia="es-CO"/>
        </w:rPr>
        <w:t>»En</w:t>
      </w:r>
      <w:proofErr w:type="gramEnd"/>
      <w:r w:rsidRPr="00A105C2">
        <w:rPr>
          <w:rFonts w:asciiTheme="minorBidi" w:hAnsiTheme="minorBidi" w:cstheme="minorBidi"/>
          <w:color w:val="000000"/>
          <w:sz w:val="19"/>
          <w:szCs w:val="19"/>
          <w:lang w:eastAsia="es-CO"/>
        </w:rPr>
        <w:t xml:space="preserve"> los contratos de empréstito o cualquier otra forma de financiación de organismos multilaterales, podrán incluirse las previsiones y particularidades contempladas en los reglamentos de tales entidades, que no sean contrarias a la Constitución o a la ley […]». </w:t>
      </w:r>
    </w:p>
  </w:footnote>
  <w:footnote w:id="60">
    <w:p w:rsidRPr="00FD7DA9" w:rsidR="0053584B" w:rsidP="00FD7DA9" w:rsidRDefault="0053584B" w14:paraId="4896357E" w14:textId="15B1BCF7">
      <w:pPr>
        <w:pStyle w:val="Textonotapie"/>
        <w:ind w:firstLine="708"/>
        <w:jc w:val="both"/>
        <w:rPr>
          <w:rFonts w:asciiTheme="minorBidi" w:hAnsiTheme="minorBidi"/>
          <w:sz w:val="19"/>
          <w:szCs w:val="19"/>
        </w:rPr>
      </w:pPr>
      <w:r w:rsidRPr="00FD7DA9">
        <w:rPr>
          <w:rStyle w:val="Refdenotaalpie"/>
          <w:rFonts w:asciiTheme="minorBidi" w:hAnsiTheme="minorBidi"/>
          <w:sz w:val="19"/>
          <w:szCs w:val="19"/>
        </w:rPr>
        <w:footnoteRef/>
      </w:r>
      <w:r w:rsidRPr="00FD7DA9">
        <w:rPr>
          <w:rFonts w:asciiTheme="minorBidi" w:hAnsiTheme="minorBidi"/>
          <w:sz w:val="19"/>
          <w:szCs w:val="19"/>
        </w:rPr>
        <w:t xml:space="preserve"> </w:t>
      </w:r>
      <w:r w:rsidRPr="00A105C2">
        <w:rPr>
          <w:rFonts w:asciiTheme="minorBidi" w:hAnsiTheme="minorBidi"/>
          <w:sz w:val="19"/>
          <w:szCs w:val="19"/>
        </w:rPr>
        <w:t xml:space="preserve">Cfr. </w:t>
      </w:r>
      <w:hyperlink w:history="1" r:id="rId1">
        <w:r w:rsidRPr="00A105C2" w:rsidR="006E77D3">
          <w:rPr>
            <w:rStyle w:val="Hipervnculo"/>
            <w:rFonts w:asciiTheme="minorBidi" w:hAnsiTheme="minorBidi"/>
            <w:sz w:val="19"/>
            <w:szCs w:val="19"/>
          </w:rPr>
          <w:t>https://www.colombiacompra.gov.co/sites/cce_public/files/cce_circulares/circular_externa_002_2022.pdf</w:t>
        </w:r>
      </w:hyperlink>
      <w:r w:rsidRPr="00A105C2" w:rsidR="006E77D3">
        <w:rPr>
          <w:rFonts w:asciiTheme="minorBidi" w:hAnsiTheme="minorBidi"/>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387886" w:rsidRDefault="00387886" w14:paraId="71CA2914" w14:textId="77777777">
    <w:pPr>
      <w:pStyle w:val="Encabezado"/>
    </w:pPr>
    <w:r>
      <w:rPr>
        <w:noProof/>
        <w:lang w:val="es-CO" w:eastAsia="es-CO"/>
      </w:rPr>
      <w:drawing>
        <wp:anchor distT="0" distB="0" distL="114300" distR="114300" simplePos="0" relativeHeight="251659264" behindDoc="1" locked="0" layoutInCell="1" allowOverlap="1" wp14:anchorId="096CAC25" wp14:editId="2914B42D">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D2D0F12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D6C16A1"/>
    <w:multiLevelType w:val="hybridMultilevel"/>
    <w:tmpl w:val="1AB4BA0C"/>
    <w:lvl w:ilvl="0" w:tplc="A24CC236">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0ECA0D0B"/>
    <w:multiLevelType w:val="hybridMultilevel"/>
    <w:tmpl w:val="9B36D16A"/>
    <w:lvl w:ilvl="0" w:tplc="CFAEEA4A">
      <w:start w:val="1"/>
      <w:numFmt w:val="low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13235E01"/>
    <w:multiLevelType w:val="hybridMultilevel"/>
    <w:tmpl w:val="1F4E4736"/>
    <w:lvl w:ilvl="0" w:tplc="1004B138">
      <w:start w:val="1"/>
      <w:numFmt w:val="low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3ECA0A6E"/>
    <w:multiLevelType w:val="multilevel"/>
    <w:tmpl w:val="E68E61D6"/>
    <w:lvl w:ilvl="0">
      <w:start w:val="2"/>
      <w:numFmt w:val="decimal"/>
      <w:lvlText w:val="%1."/>
      <w:lvlJc w:val="left"/>
      <w:pPr>
        <w:ind w:left="720" w:hanging="360"/>
      </w:pPr>
      <w:rPr>
        <w:rFonts w:hint="default"/>
        <w:b/>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428068A8"/>
    <w:multiLevelType w:val="hybridMultilevel"/>
    <w:tmpl w:val="B308C2F4"/>
    <w:lvl w:ilvl="0" w:tplc="A4889B92">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5796B77"/>
    <w:multiLevelType w:val="hybridMultilevel"/>
    <w:tmpl w:val="C3C2806E"/>
    <w:lvl w:ilvl="0" w:tplc="852208B0">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6C94B5D"/>
    <w:multiLevelType w:val="multilevel"/>
    <w:tmpl w:val="ECDAF2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82459AB"/>
    <w:multiLevelType w:val="hybridMultilevel"/>
    <w:tmpl w:val="F7E4801A"/>
    <w:lvl w:ilvl="0" w:tplc="07686820">
      <w:start w:val="1"/>
      <w:numFmt w:val="bullet"/>
      <w:lvlText w:val=""/>
      <w:lvlJc w:val="left"/>
      <w:pPr>
        <w:ind w:left="720" w:hanging="360"/>
      </w:pPr>
      <w:rPr>
        <w:rFonts w:hint="default" w:ascii="Wingdings" w:hAnsi="Wingdings"/>
        <w:color w:val="0E63A8"/>
        <w:sz w:val="28"/>
      </w:rPr>
    </w:lvl>
    <w:lvl w:ilvl="1" w:tplc="0C0A0003" w:tentative="1">
      <w:start w:val="1"/>
      <w:numFmt w:val="bullet"/>
      <w:lvlText w:val="o"/>
      <w:lvlJc w:val="left"/>
      <w:pPr>
        <w:ind w:left="1440" w:hanging="360"/>
      </w:pPr>
      <w:rPr>
        <w:rFonts w:hint="default" w:ascii="Courier New" w:hAnsi="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rPr>
    </w:lvl>
    <w:lvl w:ilvl="8" w:tplc="0C0A0005" w:tentative="1">
      <w:start w:val="1"/>
      <w:numFmt w:val="bullet"/>
      <w:lvlText w:val=""/>
      <w:lvlJc w:val="left"/>
      <w:pPr>
        <w:ind w:left="6480" w:hanging="360"/>
      </w:pPr>
      <w:rPr>
        <w:rFonts w:hint="default" w:ascii="Wingdings" w:hAnsi="Wingdings"/>
      </w:rPr>
    </w:lvl>
  </w:abstractNum>
  <w:abstractNum w:abstractNumId="9" w15:restartNumberingAfterBreak="0">
    <w:nsid w:val="4A487F7B"/>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0" w15:restartNumberingAfterBreak="0">
    <w:nsid w:val="5563010D"/>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1" w15:restartNumberingAfterBreak="0">
    <w:nsid w:val="55EA2989"/>
    <w:multiLevelType w:val="hybridMultilevel"/>
    <w:tmpl w:val="AF48CE06"/>
    <w:lvl w:ilvl="0" w:tplc="72BAB26C">
      <w:start w:val="1"/>
      <w:numFmt w:val="lowerRoman"/>
      <w:lvlText w:val="%1)"/>
      <w:lvlJc w:val="left"/>
      <w:pPr>
        <w:ind w:left="1080" w:hanging="720"/>
      </w:pPr>
      <w:rPr>
        <w:rFonts w:ascii="Arial" w:hAnsi="Arial" w:eastAsia="Calibri" w:cs="Arial"/>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6913F58"/>
    <w:multiLevelType w:val="hybridMultilevel"/>
    <w:tmpl w:val="AE46375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5D7A51E5"/>
    <w:multiLevelType w:val="hybridMultilevel"/>
    <w:tmpl w:val="AF48CE06"/>
    <w:lvl w:ilvl="0" w:tplc="72BAB26C">
      <w:start w:val="1"/>
      <w:numFmt w:val="lowerRoman"/>
      <w:lvlText w:val="%1)"/>
      <w:lvlJc w:val="left"/>
      <w:pPr>
        <w:ind w:left="1080" w:hanging="720"/>
      </w:pPr>
      <w:rPr>
        <w:rFonts w:ascii="Arial" w:hAnsi="Arial" w:eastAsia="Calibri" w:cs="Arial"/>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0090DB1"/>
    <w:multiLevelType w:val="hybridMultilevel"/>
    <w:tmpl w:val="078E2E72"/>
    <w:lvl w:ilvl="0" w:tplc="30687C90">
      <w:start w:val="1"/>
      <w:numFmt w:val="lowerRoman"/>
      <w:lvlText w:val="%1)"/>
      <w:lvlJc w:val="left"/>
      <w:pPr>
        <w:ind w:left="1427" w:hanging="720"/>
      </w:pPr>
      <w:rPr>
        <w:rFonts w:hint="default"/>
      </w:rPr>
    </w:lvl>
    <w:lvl w:ilvl="1" w:tplc="080A0019" w:tentative="1">
      <w:start w:val="1"/>
      <w:numFmt w:val="lowerLetter"/>
      <w:lvlText w:val="%2."/>
      <w:lvlJc w:val="left"/>
      <w:pPr>
        <w:ind w:left="1787" w:hanging="360"/>
      </w:pPr>
    </w:lvl>
    <w:lvl w:ilvl="2" w:tplc="080A001B" w:tentative="1">
      <w:start w:val="1"/>
      <w:numFmt w:val="lowerRoman"/>
      <w:lvlText w:val="%3."/>
      <w:lvlJc w:val="right"/>
      <w:pPr>
        <w:ind w:left="2507" w:hanging="180"/>
      </w:pPr>
    </w:lvl>
    <w:lvl w:ilvl="3" w:tplc="080A000F" w:tentative="1">
      <w:start w:val="1"/>
      <w:numFmt w:val="decimal"/>
      <w:lvlText w:val="%4."/>
      <w:lvlJc w:val="left"/>
      <w:pPr>
        <w:ind w:left="3227" w:hanging="360"/>
      </w:pPr>
    </w:lvl>
    <w:lvl w:ilvl="4" w:tplc="080A0019" w:tentative="1">
      <w:start w:val="1"/>
      <w:numFmt w:val="lowerLetter"/>
      <w:lvlText w:val="%5."/>
      <w:lvlJc w:val="left"/>
      <w:pPr>
        <w:ind w:left="3947" w:hanging="360"/>
      </w:pPr>
    </w:lvl>
    <w:lvl w:ilvl="5" w:tplc="080A001B" w:tentative="1">
      <w:start w:val="1"/>
      <w:numFmt w:val="lowerRoman"/>
      <w:lvlText w:val="%6."/>
      <w:lvlJc w:val="right"/>
      <w:pPr>
        <w:ind w:left="4667" w:hanging="180"/>
      </w:pPr>
    </w:lvl>
    <w:lvl w:ilvl="6" w:tplc="080A000F" w:tentative="1">
      <w:start w:val="1"/>
      <w:numFmt w:val="decimal"/>
      <w:lvlText w:val="%7."/>
      <w:lvlJc w:val="left"/>
      <w:pPr>
        <w:ind w:left="5387" w:hanging="360"/>
      </w:pPr>
    </w:lvl>
    <w:lvl w:ilvl="7" w:tplc="080A0019" w:tentative="1">
      <w:start w:val="1"/>
      <w:numFmt w:val="lowerLetter"/>
      <w:lvlText w:val="%8."/>
      <w:lvlJc w:val="left"/>
      <w:pPr>
        <w:ind w:left="6107" w:hanging="360"/>
      </w:pPr>
    </w:lvl>
    <w:lvl w:ilvl="8" w:tplc="080A001B" w:tentative="1">
      <w:start w:val="1"/>
      <w:numFmt w:val="lowerRoman"/>
      <w:lvlText w:val="%9."/>
      <w:lvlJc w:val="right"/>
      <w:pPr>
        <w:ind w:left="6827" w:hanging="180"/>
      </w:pPr>
    </w:lvl>
  </w:abstractNum>
  <w:abstractNum w:abstractNumId="16" w15:restartNumberingAfterBreak="0">
    <w:nsid w:val="67032B02"/>
    <w:multiLevelType w:val="hybridMultilevel"/>
    <w:tmpl w:val="593E1724"/>
    <w:lvl w:ilvl="0" w:tplc="080A0001">
      <w:start w:val="1"/>
      <w:numFmt w:val="bullet"/>
      <w:lvlText w:val=""/>
      <w:lvlJc w:val="left"/>
      <w:pPr>
        <w:ind w:left="1429" w:hanging="360"/>
      </w:pPr>
      <w:rPr>
        <w:rFonts w:hint="default" w:ascii="Symbol" w:hAnsi="Symbol"/>
      </w:rPr>
    </w:lvl>
    <w:lvl w:ilvl="1" w:tplc="080A0003" w:tentative="1">
      <w:start w:val="1"/>
      <w:numFmt w:val="bullet"/>
      <w:lvlText w:val="o"/>
      <w:lvlJc w:val="left"/>
      <w:pPr>
        <w:ind w:left="2149" w:hanging="360"/>
      </w:pPr>
      <w:rPr>
        <w:rFonts w:hint="default" w:ascii="Courier New" w:hAnsi="Courier New" w:cs="Courier New"/>
      </w:rPr>
    </w:lvl>
    <w:lvl w:ilvl="2" w:tplc="080A0005" w:tentative="1">
      <w:start w:val="1"/>
      <w:numFmt w:val="bullet"/>
      <w:lvlText w:val=""/>
      <w:lvlJc w:val="left"/>
      <w:pPr>
        <w:ind w:left="2869" w:hanging="360"/>
      </w:pPr>
      <w:rPr>
        <w:rFonts w:hint="default" w:ascii="Wingdings" w:hAnsi="Wingdings"/>
      </w:rPr>
    </w:lvl>
    <w:lvl w:ilvl="3" w:tplc="080A0001" w:tentative="1">
      <w:start w:val="1"/>
      <w:numFmt w:val="bullet"/>
      <w:lvlText w:val=""/>
      <w:lvlJc w:val="left"/>
      <w:pPr>
        <w:ind w:left="3589" w:hanging="360"/>
      </w:pPr>
      <w:rPr>
        <w:rFonts w:hint="default" w:ascii="Symbol" w:hAnsi="Symbol"/>
      </w:rPr>
    </w:lvl>
    <w:lvl w:ilvl="4" w:tplc="080A0003" w:tentative="1">
      <w:start w:val="1"/>
      <w:numFmt w:val="bullet"/>
      <w:lvlText w:val="o"/>
      <w:lvlJc w:val="left"/>
      <w:pPr>
        <w:ind w:left="4309" w:hanging="360"/>
      </w:pPr>
      <w:rPr>
        <w:rFonts w:hint="default" w:ascii="Courier New" w:hAnsi="Courier New" w:cs="Courier New"/>
      </w:rPr>
    </w:lvl>
    <w:lvl w:ilvl="5" w:tplc="080A0005" w:tentative="1">
      <w:start w:val="1"/>
      <w:numFmt w:val="bullet"/>
      <w:lvlText w:val=""/>
      <w:lvlJc w:val="left"/>
      <w:pPr>
        <w:ind w:left="5029" w:hanging="360"/>
      </w:pPr>
      <w:rPr>
        <w:rFonts w:hint="default" w:ascii="Wingdings" w:hAnsi="Wingdings"/>
      </w:rPr>
    </w:lvl>
    <w:lvl w:ilvl="6" w:tplc="080A0001" w:tentative="1">
      <w:start w:val="1"/>
      <w:numFmt w:val="bullet"/>
      <w:lvlText w:val=""/>
      <w:lvlJc w:val="left"/>
      <w:pPr>
        <w:ind w:left="5749" w:hanging="360"/>
      </w:pPr>
      <w:rPr>
        <w:rFonts w:hint="default" w:ascii="Symbol" w:hAnsi="Symbol"/>
      </w:rPr>
    </w:lvl>
    <w:lvl w:ilvl="7" w:tplc="080A0003" w:tentative="1">
      <w:start w:val="1"/>
      <w:numFmt w:val="bullet"/>
      <w:lvlText w:val="o"/>
      <w:lvlJc w:val="left"/>
      <w:pPr>
        <w:ind w:left="6469" w:hanging="360"/>
      </w:pPr>
      <w:rPr>
        <w:rFonts w:hint="default" w:ascii="Courier New" w:hAnsi="Courier New" w:cs="Courier New"/>
      </w:rPr>
    </w:lvl>
    <w:lvl w:ilvl="8" w:tplc="080A0005" w:tentative="1">
      <w:start w:val="1"/>
      <w:numFmt w:val="bullet"/>
      <w:lvlText w:val=""/>
      <w:lvlJc w:val="left"/>
      <w:pPr>
        <w:ind w:left="7189" w:hanging="360"/>
      </w:pPr>
      <w:rPr>
        <w:rFonts w:hint="default" w:ascii="Wingdings" w:hAnsi="Wingdings"/>
      </w:rPr>
    </w:lvl>
  </w:abstractNum>
  <w:abstractNum w:abstractNumId="17" w15:restartNumberingAfterBreak="0">
    <w:nsid w:val="6B41602F"/>
    <w:multiLevelType w:val="hybridMultilevel"/>
    <w:tmpl w:val="3BDE0786"/>
    <w:lvl w:ilvl="0" w:tplc="4956E6F8">
      <w:start w:val="1"/>
      <w:numFmt w:val="lowerRoman"/>
      <w:lvlText w:val="%1)"/>
      <w:lvlJc w:val="left"/>
      <w:pPr>
        <w:ind w:left="780" w:hanging="720"/>
      </w:pPr>
      <w:rPr>
        <w:rFonts w:hint="default" w:eastAsia="Calibri"/>
        <w:color w:val="000000" w:themeColor="text1"/>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8"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19" w15:restartNumberingAfterBreak="0">
    <w:nsid w:val="7FF76964"/>
    <w:multiLevelType w:val="hybridMultilevel"/>
    <w:tmpl w:val="1F4E4736"/>
    <w:lvl w:ilvl="0" w:tplc="1004B138">
      <w:start w:val="1"/>
      <w:numFmt w:val="low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16cid:durableId="183063455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05378922">
    <w:abstractNumId w:val="6"/>
  </w:num>
  <w:num w:numId="3" w16cid:durableId="1810435751">
    <w:abstractNumId w:val="18"/>
  </w:num>
  <w:num w:numId="4" w16cid:durableId="1805342076">
    <w:abstractNumId w:val="2"/>
  </w:num>
  <w:num w:numId="5" w16cid:durableId="1947418567">
    <w:abstractNumId w:val="13"/>
  </w:num>
  <w:num w:numId="6" w16cid:durableId="2066834494">
    <w:abstractNumId w:val="17"/>
  </w:num>
  <w:num w:numId="7" w16cid:durableId="1144808675">
    <w:abstractNumId w:val="5"/>
  </w:num>
  <w:num w:numId="8" w16cid:durableId="1635940604">
    <w:abstractNumId w:val="4"/>
  </w:num>
  <w:num w:numId="9" w16cid:durableId="1612277214">
    <w:abstractNumId w:val="1"/>
  </w:num>
  <w:num w:numId="10" w16cid:durableId="764347783">
    <w:abstractNumId w:val="7"/>
  </w:num>
  <w:num w:numId="11" w16cid:durableId="1968537039">
    <w:abstractNumId w:val="11"/>
  </w:num>
  <w:num w:numId="12" w16cid:durableId="54202014">
    <w:abstractNumId w:val="16"/>
  </w:num>
  <w:num w:numId="13" w16cid:durableId="258371988">
    <w:abstractNumId w:val="15"/>
  </w:num>
  <w:num w:numId="14" w16cid:durableId="1470896197">
    <w:abstractNumId w:val="10"/>
  </w:num>
  <w:num w:numId="15" w16cid:durableId="395591268">
    <w:abstractNumId w:val="19"/>
  </w:num>
  <w:num w:numId="16" w16cid:durableId="1908493591">
    <w:abstractNumId w:val="14"/>
  </w:num>
  <w:num w:numId="17" w16cid:durableId="1528249138">
    <w:abstractNumId w:val="3"/>
  </w:num>
  <w:num w:numId="18" w16cid:durableId="1459101519">
    <w:abstractNumId w:val="9"/>
  </w:num>
  <w:num w:numId="19" w16cid:durableId="155650667">
    <w:abstractNumId w:val="12"/>
  </w:num>
  <w:num w:numId="20" w16cid:durableId="1896355415">
    <w:abstractNumId w:val="8"/>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CEA"/>
    <w:rsid w:val="00001B57"/>
    <w:rsid w:val="00003073"/>
    <w:rsid w:val="00006860"/>
    <w:rsid w:val="000116D4"/>
    <w:rsid w:val="00015425"/>
    <w:rsid w:val="0001563A"/>
    <w:rsid w:val="00026C88"/>
    <w:rsid w:val="00027102"/>
    <w:rsid w:val="0003185D"/>
    <w:rsid w:val="0003267E"/>
    <w:rsid w:val="00037FF1"/>
    <w:rsid w:val="00043D96"/>
    <w:rsid w:val="000537B2"/>
    <w:rsid w:val="000539C8"/>
    <w:rsid w:val="000656E8"/>
    <w:rsid w:val="00065BC3"/>
    <w:rsid w:val="00072333"/>
    <w:rsid w:val="000755E1"/>
    <w:rsid w:val="00075CCA"/>
    <w:rsid w:val="000848F8"/>
    <w:rsid w:val="0008606A"/>
    <w:rsid w:val="00094B59"/>
    <w:rsid w:val="000A5E3D"/>
    <w:rsid w:val="000A615D"/>
    <w:rsid w:val="000A787A"/>
    <w:rsid w:val="000B1B93"/>
    <w:rsid w:val="000B25FC"/>
    <w:rsid w:val="000B2966"/>
    <w:rsid w:val="000B3835"/>
    <w:rsid w:val="000B58B4"/>
    <w:rsid w:val="000B627E"/>
    <w:rsid w:val="000B6A48"/>
    <w:rsid w:val="000C5E8B"/>
    <w:rsid w:val="000C7645"/>
    <w:rsid w:val="000D153E"/>
    <w:rsid w:val="000D7F51"/>
    <w:rsid w:val="000E49B9"/>
    <w:rsid w:val="000E75AF"/>
    <w:rsid w:val="000F1A28"/>
    <w:rsid w:val="000F6DB4"/>
    <w:rsid w:val="00103518"/>
    <w:rsid w:val="00112852"/>
    <w:rsid w:val="001130E1"/>
    <w:rsid w:val="001140A9"/>
    <w:rsid w:val="00114965"/>
    <w:rsid w:val="00114C32"/>
    <w:rsid w:val="0011553A"/>
    <w:rsid w:val="001177A4"/>
    <w:rsid w:val="001254A3"/>
    <w:rsid w:val="00126797"/>
    <w:rsid w:val="00133CEB"/>
    <w:rsid w:val="00133F7A"/>
    <w:rsid w:val="001358D6"/>
    <w:rsid w:val="00135CEA"/>
    <w:rsid w:val="00143D14"/>
    <w:rsid w:val="00144F0E"/>
    <w:rsid w:val="00145A68"/>
    <w:rsid w:val="0015117A"/>
    <w:rsid w:val="00154CB4"/>
    <w:rsid w:val="001561B2"/>
    <w:rsid w:val="00161966"/>
    <w:rsid w:val="00162636"/>
    <w:rsid w:val="00162EA3"/>
    <w:rsid w:val="00172A12"/>
    <w:rsid w:val="001766B3"/>
    <w:rsid w:val="00180508"/>
    <w:rsid w:val="00181682"/>
    <w:rsid w:val="00182F8C"/>
    <w:rsid w:val="00185814"/>
    <w:rsid w:val="00187E9A"/>
    <w:rsid w:val="001900DE"/>
    <w:rsid w:val="00191793"/>
    <w:rsid w:val="0019191F"/>
    <w:rsid w:val="00195596"/>
    <w:rsid w:val="0019728C"/>
    <w:rsid w:val="001A13E7"/>
    <w:rsid w:val="001A2940"/>
    <w:rsid w:val="001A5975"/>
    <w:rsid w:val="001B1773"/>
    <w:rsid w:val="001B38AE"/>
    <w:rsid w:val="001B4CCC"/>
    <w:rsid w:val="001C14E1"/>
    <w:rsid w:val="001C77E0"/>
    <w:rsid w:val="001D2275"/>
    <w:rsid w:val="001E2319"/>
    <w:rsid w:val="001E2E1C"/>
    <w:rsid w:val="001E332A"/>
    <w:rsid w:val="001E3A20"/>
    <w:rsid w:val="001E6EA0"/>
    <w:rsid w:val="001E70FF"/>
    <w:rsid w:val="001E7BC4"/>
    <w:rsid w:val="001F2332"/>
    <w:rsid w:val="001F2B56"/>
    <w:rsid w:val="001F52C0"/>
    <w:rsid w:val="001F5D6E"/>
    <w:rsid w:val="00200681"/>
    <w:rsid w:val="00201DB9"/>
    <w:rsid w:val="00202668"/>
    <w:rsid w:val="002039F2"/>
    <w:rsid w:val="002057A4"/>
    <w:rsid w:val="00205FFA"/>
    <w:rsid w:val="00206C70"/>
    <w:rsid w:val="00214AAC"/>
    <w:rsid w:val="00214E9F"/>
    <w:rsid w:val="0021526E"/>
    <w:rsid w:val="00216826"/>
    <w:rsid w:val="00222032"/>
    <w:rsid w:val="00223F65"/>
    <w:rsid w:val="00230D85"/>
    <w:rsid w:val="00232F61"/>
    <w:rsid w:val="00235E08"/>
    <w:rsid w:val="00242223"/>
    <w:rsid w:val="00242621"/>
    <w:rsid w:val="002467AD"/>
    <w:rsid w:val="00255CC5"/>
    <w:rsid w:val="00256784"/>
    <w:rsid w:val="00256962"/>
    <w:rsid w:val="0026060F"/>
    <w:rsid w:val="0026111C"/>
    <w:rsid w:val="00262DCF"/>
    <w:rsid w:val="00263999"/>
    <w:rsid w:val="0026403F"/>
    <w:rsid w:val="002641CE"/>
    <w:rsid w:val="002656CE"/>
    <w:rsid w:val="00265A2D"/>
    <w:rsid w:val="00265C32"/>
    <w:rsid w:val="002663A9"/>
    <w:rsid w:val="0026728E"/>
    <w:rsid w:val="0026761A"/>
    <w:rsid w:val="002676B8"/>
    <w:rsid w:val="002762D1"/>
    <w:rsid w:val="00282D3F"/>
    <w:rsid w:val="00285F99"/>
    <w:rsid w:val="00286B8C"/>
    <w:rsid w:val="002A5C76"/>
    <w:rsid w:val="002A6C0C"/>
    <w:rsid w:val="002A75EC"/>
    <w:rsid w:val="002B0FCE"/>
    <w:rsid w:val="002B19F5"/>
    <w:rsid w:val="002B1E14"/>
    <w:rsid w:val="002B560A"/>
    <w:rsid w:val="002C1171"/>
    <w:rsid w:val="002C1CBF"/>
    <w:rsid w:val="002C5401"/>
    <w:rsid w:val="002E0303"/>
    <w:rsid w:val="002E0D15"/>
    <w:rsid w:val="002E4380"/>
    <w:rsid w:val="002F0981"/>
    <w:rsid w:val="002F0E3F"/>
    <w:rsid w:val="002F1597"/>
    <w:rsid w:val="002F252B"/>
    <w:rsid w:val="002F4E5F"/>
    <w:rsid w:val="003001F2"/>
    <w:rsid w:val="00300B5B"/>
    <w:rsid w:val="00302A8F"/>
    <w:rsid w:val="0030436A"/>
    <w:rsid w:val="00311935"/>
    <w:rsid w:val="00311AFC"/>
    <w:rsid w:val="0031456F"/>
    <w:rsid w:val="00316753"/>
    <w:rsid w:val="003233A2"/>
    <w:rsid w:val="003239DF"/>
    <w:rsid w:val="00324FA5"/>
    <w:rsid w:val="00327910"/>
    <w:rsid w:val="00332594"/>
    <w:rsid w:val="00336AC6"/>
    <w:rsid w:val="00337527"/>
    <w:rsid w:val="00337876"/>
    <w:rsid w:val="0034413B"/>
    <w:rsid w:val="00345C91"/>
    <w:rsid w:val="00345D8E"/>
    <w:rsid w:val="00345FBC"/>
    <w:rsid w:val="003513C1"/>
    <w:rsid w:val="00351FDE"/>
    <w:rsid w:val="00353024"/>
    <w:rsid w:val="00353092"/>
    <w:rsid w:val="00353EAD"/>
    <w:rsid w:val="003554A4"/>
    <w:rsid w:val="0035732E"/>
    <w:rsid w:val="00363544"/>
    <w:rsid w:val="00365D3A"/>
    <w:rsid w:val="00366241"/>
    <w:rsid w:val="00367F56"/>
    <w:rsid w:val="0037075E"/>
    <w:rsid w:val="0037178A"/>
    <w:rsid w:val="00371834"/>
    <w:rsid w:val="003737DB"/>
    <w:rsid w:val="00373F13"/>
    <w:rsid w:val="003800DC"/>
    <w:rsid w:val="00380F1A"/>
    <w:rsid w:val="00384FE5"/>
    <w:rsid w:val="00387886"/>
    <w:rsid w:val="00391044"/>
    <w:rsid w:val="00392411"/>
    <w:rsid w:val="003947BC"/>
    <w:rsid w:val="00395AE0"/>
    <w:rsid w:val="00395D87"/>
    <w:rsid w:val="00395DE8"/>
    <w:rsid w:val="00397000"/>
    <w:rsid w:val="003A0B99"/>
    <w:rsid w:val="003A2480"/>
    <w:rsid w:val="003A5C98"/>
    <w:rsid w:val="003B16EC"/>
    <w:rsid w:val="003B1CFE"/>
    <w:rsid w:val="003B4052"/>
    <w:rsid w:val="003B7F22"/>
    <w:rsid w:val="003C1F96"/>
    <w:rsid w:val="003C5DD6"/>
    <w:rsid w:val="003D09BA"/>
    <w:rsid w:val="003D22F3"/>
    <w:rsid w:val="003D67E2"/>
    <w:rsid w:val="003E248F"/>
    <w:rsid w:val="003E2A34"/>
    <w:rsid w:val="003E3E01"/>
    <w:rsid w:val="003E5A91"/>
    <w:rsid w:val="003E7318"/>
    <w:rsid w:val="003F0706"/>
    <w:rsid w:val="003F461C"/>
    <w:rsid w:val="003F47DC"/>
    <w:rsid w:val="003F60F2"/>
    <w:rsid w:val="003F7FB1"/>
    <w:rsid w:val="00403054"/>
    <w:rsid w:val="00404CAC"/>
    <w:rsid w:val="004053CD"/>
    <w:rsid w:val="0041470E"/>
    <w:rsid w:val="00415C7B"/>
    <w:rsid w:val="00416435"/>
    <w:rsid w:val="004164FC"/>
    <w:rsid w:val="00416853"/>
    <w:rsid w:val="00420492"/>
    <w:rsid w:val="00421457"/>
    <w:rsid w:val="00427B0F"/>
    <w:rsid w:val="00430DF9"/>
    <w:rsid w:val="00431D72"/>
    <w:rsid w:val="00444267"/>
    <w:rsid w:val="004446F2"/>
    <w:rsid w:val="00445D68"/>
    <w:rsid w:val="00447389"/>
    <w:rsid w:val="00453164"/>
    <w:rsid w:val="004537A5"/>
    <w:rsid w:val="00454997"/>
    <w:rsid w:val="00457367"/>
    <w:rsid w:val="00462FEA"/>
    <w:rsid w:val="004638FB"/>
    <w:rsid w:val="004710AE"/>
    <w:rsid w:val="00471C67"/>
    <w:rsid w:val="00475760"/>
    <w:rsid w:val="00475DD2"/>
    <w:rsid w:val="00476147"/>
    <w:rsid w:val="00476544"/>
    <w:rsid w:val="0048044A"/>
    <w:rsid w:val="0048469A"/>
    <w:rsid w:val="004853AF"/>
    <w:rsid w:val="00487E32"/>
    <w:rsid w:val="004903B7"/>
    <w:rsid w:val="00491FEA"/>
    <w:rsid w:val="004923EE"/>
    <w:rsid w:val="00495F2E"/>
    <w:rsid w:val="004A1171"/>
    <w:rsid w:val="004A648F"/>
    <w:rsid w:val="004A6F6C"/>
    <w:rsid w:val="004B28C4"/>
    <w:rsid w:val="004B3968"/>
    <w:rsid w:val="004B7107"/>
    <w:rsid w:val="004C0557"/>
    <w:rsid w:val="004C119D"/>
    <w:rsid w:val="004C2B82"/>
    <w:rsid w:val="004C6ABD"/>
    <w:rsid w:val="004D3AE6"/>
    <w:rsid w:val="004D5F3A"/>
    <w:rsid w:val="004D7DE2"/>
    <w:rsid w:val="004E4A1E"/>
    <w:rsid w:val="004E7410"/>
    <w:rsid w:val="004F2E83"/>
    <w:rsid w:val="004F3071"/>
    <w:rsid w:val="005008E6"/>
    <w:rsid w:val="00501832"/>
    <w:rsid w:val="00502061"/>
    <w:rsid w:val="0050474A"/>
    <w:rsid w:val="005156CC"/>
    <w:rsid w:val="00521FC6"/>
    <w:rsid w:val="0052201D"/>
    <w:rsid w:val="00524B49"/>
    <w:rsid w:val="005303D7"/>
    <w:rsid w:val="00531E6B"/>
    <w:rsid w:val="005342DB"/>
    <w:rsid w:val="0053584B"/>
    <w:rsid w:val="00542EA1"/>
    <w:rsid w:val="00542F35"/>
    <w:rsid w:val="00547A9E"/>
    <w:rsid w:val="0055029E"/>
    <w:rsid w:val="00554D93"/>
    <w:rsid w:val="0055693F"/>
    <w:rsid w:val="0055708C"/>
    <w:rsid w:val="00563519"/>
    <w:rsid w:val="005668C1"/>
    <w:rsid w:val="00570975"/>
    <w:rsid w:val="0057168B"/>
    <w:rsid w:val="00572216"/>
    <w:rsid w:val="00576D51"/>
    <w:rsid w:val="0058067E"/>
    <w:rsid w:val="00580A3F"/>
    <w:rsid w:val="00582063"/>
    <w:rsid w:val="0058238C"/>
    <w:rsid w:val="00586E39"/>
    <w:rsid w:val="00587130"/>
    <w:rsid w:val="00590F1E"/>
    <w:rsid w:val="00591EB1"/>
    <w:rsid w:val="005A4A1C"/>
    <w:rsid w:val="005A5EFD"/>
    <w:rsid w:val="005A6426"/>
    <w:rsid w:val="005B056E"/>
    <w:rsid w:val="005B14A6"/>
    <w:rsid w:val="005B3C1F"/>
    <w:rsid w:val="005B43DF"/>
    <w:rsid w:val="005B459A"/>
    <w:rsid w:val="005B6887"/>
    <w:rsid w:val="005B76C7"/>
    <w:rsid w:val="005C59AD"/>
    <w:rsid w:val="005D1C35"/>
    <w:rsid w:val="005D2BD3"/>
    <w:rsid w:val="005D2CAC"/>
    <w:rsid w:val="005D46D0"/>
    <w:rsid w:val="005D4FC8"/>
    <w:rsid w:val="005E1BD2"/>
    <w:rsid w:val="005E2B5A"/>
    <w:rsid w:val="005E481C"/>
    <w:rsid w:val="005E6311"/>
    <w:rsid w:val="005E66B0"/>
    <w:rsid w:val="005F03EA"/>
    <w:rsid w:val="005F04B8"/>
    <w:rsid w:val="005F1D9D"/>
    <w:rsid w:val="005F5767"/>
    <w:rsid w:val="0060242C"/>
    <w:rsid w:val="00606451"/>
    <w:rsid w:val="006065A9"/>
    <w:rsid w:val="006071B3"/>
    <w:rsid w:val="00610B6B"/>
    <w:rsid w:val="00611B99"/>
    <w:rsid w:val="0061648F"/>
    <w:rsid w:val="00616A91"/>
    <w:rsid w:val="006204EA"/>
    <w:rsid w:val="00623357"/>
    <w:rsid w:val="00623378"/>
    <w:rsid w:val="0063204C"/>
    <w:rsid w:val="006414FA"/>
    <w:rsid w:val="0064266B"/>
    <w:rsid w:val="00644800"/>
    <w:rsid w:val="00644ADB"/>
    <w:rsid w:val="006476F3"/>
    <w:rsid w:val="006543DC"/>
    <w:rsid w:val="00654F5E"/>
    <w:rsid w:val="0065647C"/>
    <w:rsid w:val="00662701"/>
    <w:rsid w:val="006663C2"/>
    <w:rsid w:val="00666A1B"/>
    <w:rsid w:val="00666F89"/>
    <w:rsid w:val="00667603"/>
    <w:rsid w:val="00667FCB"/>
    <w:rsid w:val="0067072C"/>
    <w:rsid w:val="006718A5"/>
    <w:rsid w:val="00673D4F"/>
    <w:rsid w:val="006748B1"/>
    <w:rsid w:val="006757CA"/>
    <w:rsid w:val="00676D9E"/>
    <w:rsid w:val="00682BB3"/>
    <w:rsid w:val="00687BDD"/>
    <w:rsid w:val="00694085"/>
    <w:rsid w:val="00695B76"/>
    <w:rsid w:val="006A5502"/>
    <w:rsid w:val="006A7670"/>
    <w:rsid w:val="006B04C0"/>
    <w:rsid w:val="006B39A6"/>
    <w:rsid w:val="006C0EA1"/>
    <w:rsid w:val="006C4F68"/>
    <w:rsid w:val="006C6C26"/>
    <w:rsid w:val="006D2C01"/>
    <w:rsid w:val="006D3DBD"/>
    <w:rsid w:val="006D40F6"/>
    <w:rsid w:val="006D5785"/>
    <w:rsid w:val="006D64B1"/>
    <w:rsid w:val="006D79CA"/>
    <w:rsid w:val="006E04B8"/>
    <w:rsid w:val="006E10FE"/>
    <w:rsid w:val="006E139B"/>
    <w:rsid w:val="006E59DE"/>
    <w:rsid w:val="006E75EC"/>
    <w:rsid w:val="006E77D3"/>
    <w:rsid w:val="006F61DB"/>
    <w:rsid w:val="00703E5A"/>
    <w:rsid w:val="00705A56"/>
    <w:rsid w:val="007101FB"/>
    <w:rsid w:val="007118B2"/>
    <w:rsid w:val="0072221E"/>
    <w:rsid w:val="00722764"/>
    <w:rsid w:val="0072339F"/>
    <w:rsid w:val="00723B7D"/>
    <w:rsid w:val="00725A00"/>
    <w:rsid w:val="007308F7"/>
    <w:rsid w:val="00734E9F"/>
    <w:rsid w:val="00742EDE"/>
    <w:rsid w:val="00745302"/>
    <w:rsid w:val="00746AE4"/>
    <w:rsid w:val="00752C7B"/>
    <w:rsid w:val="00754032"/>
    <w:rsid w:val="00756FD9"/>
    <w:rsid w:val="00757BE9"/>
    <w:rsid w:val="0076750F"/>
    <w:rsid w:val="007675C8"/>
    <w:rsid w:val="007702EC"/>
    <w:rsid w:val="00771C96"/>
    <w:rsid w:val="00773948"/>
    <w:rsid w:val="007758D6"/>
    <w:rsid w:val="00776374"/>
    <w:rsid w:val="007809A8"/>
    <w:rsid w:val="00781208"/>
    <w:rsid w:val="007820EF"/>
    <w:rsid w:val="007831D7"/>
    <w:rsid w:val="00783EBD"/>
    <w:rsid w:val="007845F7"/>
    <w:rsid w:val="007848E6"/>
    <w:rsid w:val="00784FEF"/>
    <w:rsid w:val="00786FC5"/>
    <w:rsid w:val="00790B72"/>
    <w:rsid w:val="0079242B"/>
    <w:rsid w:val="00792D90"/>
    <w:rsid w:val="00797637"/>
    <w:rsid w:val="007A0123"/>
    <w:rsid w:val="007A4AE6"/>
    <w:rsid w:val="007B12F6"/>
    <w:rsid w:val="007B1D87"/>
    <w:rsid w:val="007B2580"/>
    <w:rsid w:val="007B7A71"/>
    <w:rsid w:val="007C0E8C"/>
    <w:rsid w:val="007C12EC"/>
    <w:rsid w:val="007C574A"/>
    <w:rsid w:val="007C5E25"/>
    <w:rsid w:val="007D093F"/>
    <w:rsid w:val="007D3832"/>
    <w:rsid w:val="007D3894"/>
    <w:rsid w:val="007E42BC"/>
    <w:rsid w:val="007E5394"/>
    <w:rsid w:val="007F0419"/>
    <w:rsid w:val="007F1895"/>
    <w:rsid w:val="007F304E"/>
    <w:rsid w:val="007F3EEE"/>
    <w:rsid w:val="007F7A62"/>
    <w:rsid w:val="007F7C03"/>
    <w:rsid w:val="007F7C30"/>
    <w:rsid w:val="00802F76"/>
    <w:rsid w:val="0081181F"/>
    <w:rsid w:val="00811D01"/>
    <w:rsid w:val="008148A5"/>
    <w:rsid w:val="00817AF6"/>
    <w:rsid w:val="00820F88"/>
    <w:rsid w:val="00821431"/>
    <w:rsid w:val="00825F64"/>
    <w:rsid w:val="00827A2A"/>
    <w:rsid w:val="008312A3"/>
    <w:rsid w:val="00832293"/>
    <w:rsid w:val="00833D8C"/>
    <w:rsid w:val="00840B10"/>
    <w:rsid w:val="00842219"/>
    <w:rsid w:val="00843442"/>
    <w:rsid w:val="008439F5"/>
    <w:rsid w:val="00847BA2"/>
    <w:rsid w:val="0085230B"/>
    <w:rsid w:val="00854484"/>
    <w:rsid w:val="008569AB"/>
    <w:rsid w:val="00861714"/>
    <w:rsid w:val="00862027"/>
    <w:rsid w:val="008646F5"/>
    <w:rsid w:val="00875F7C"/>
    <w:rsid w:val="00880110"/>
    <w:rsid w:val="008855C4"/>
    <w:rsid w:val="00886F6F"/>
    <w:rsid w:val="008873A3"/>
    <w:rsid w:val="008959DE"/>
    <w:rsid w:val="00897109"/>
    <w:rsid w:val="008A3B3A"/>
    <w:rsid w:val="008A3C1D"/>
    <w:rsid w:val="008A51D3"/>
    <w:rsid w:val="008A78D4"/>
    <w:rsid w:val="008B0F46"/>
    <w:rsid w:val="008B52AD"/>
    <w:rsid w:val="008C1D06"/>
    <w:rsid w:val="008C3F91"/>
    <w:rsid w:val="008C425C"/>
    <w:rsid w:val="008C5B45"/>
    <w:rsid w:val="008D48DF"/>
    <w:rsid w:val="008D530D"/>
    <w:rsid w:val="008E1BFF"/>
    <w:rsid w:val="008E4666"/>
    <w:rsid w:val="008F398C"/>
    <w:rsid w:val="008F6437"/>
    <w:rsid w:val="008F67E1"/>
    <w:rsid w:val="009047B7"/>
    <w:rsid w:val="00912F8B"/>
    <w:rsid w:val="00913CB2"/>
    <w:rsid w:val="009166A5"/>
    <w:rsid w:val="0092171E"/>
    <w:rsid w:val="009223D9"/>
    <w:rsid w:val="0092607F"/>
    <w:rsid w:val="0093085B"/>
    <w:rsid w:val="00930FAE"/>
    <w:rsid w:val="009311DA"/>
    <w:rsid w:val="009332FC"/>
    <w:rsid w:val="00933453"/>
    <w:rsid w:val="00941B11"/>
    <w:rsid w:val="00945539"/>
    <w:rsid w:val="00947882"/>
    <w:rsid w:val="00947F41"/>
    <w:rsid w:val="00950372"/>
    <w:rsid w:val="009553CA"/>
    <w:rsid w:val="00960FD1"/>
    <w:rsid w:val="0096352F"/>
    <w:rsid w:val="00965D7F"/>
    <w:rsid w:val="00967273"/>
    <w:rsid w:val="00967EE9"/>
    <w:rsid w:val="00973FF7"/>
    <w:rsid w:val="0098230F"/>
    <w:rsid w:val="00987F4F"/>
    <w:rsid w:val="00996FAE"/>
    <w:rsid w:val="009A3A2B"/>
    <w:rsid w:val="009B0B5C"/>
    <w:rsid w:val="009B4319"/>
    <w:rsid w:val="009B586F"/>
    <w:rsid w:val="009D3E71"/>
    <w:rsid w:val="009D5279"/>
    <w:rsid w:val="009D7A61"/>
    <w:rsid w:val="009E36A9"/>
    <w:rsid w:val="009E52BF"/>
    <w:rsid w:val="009E643E"/>
    <w:rsid w:val="009F1B3C"/>
    <w:rsid w:val="00A012BF"/>
    <w:rsid w:val="00A01C24"/>
    <w:rsid w:val="00A105C2"/>
    <w:rsid w:val="00A10DEE"/>
    <w:rsid w:val="00A14E0E"/>
    <w:rsid w:val="00A21E65"/>
    <w:rsid w:val="00A2229B"/>
    <w:rsid w:val="00A23BDA"/>
    <w:rsid w:val="00A27246"/>
    <w:rsid w:val="00A30C0B"/>
    <w:rsid w:val="00A335C2"/>
    <w:rsid w:val="00A35546"/>
    <w:rsid w:val="00A373E3"/>
    <w:rsid w:val="00A3769A"/>
    <w:rsid w:val="00A4095E"/>
    <w:rsid w:val="00A4457D"/>
    <w:rsid w:val="00A5027F"/>
    <w:rsid w:val="00A5157B"/>
    <w:rsid w:val="00A51E80"/>
    <w:rsid w:val="00A5202C"/>
    <w:rsid w:val="00A53195"/>
    <w:rsid w:val="00A54E03"/>
    <w:rsid w:val="00A566D1"/>
    <w:rsid w:val="00A62354"/>
    <w:rsid w:val="00A63E92"/>
    <w:rsid w:val="00A70D58"/>
    <w:rsid w:val="00A71CEA"/>
    <w:rsid w:val="00A7611A"/>
    <w:rsid w:val="00A80425"/>
    <w:rsid w:val="00A860DE"/>
    <w:rsid w:val="00A9164B"/>
    <w:rsid w:val="00A9767A"/>
    <w:rsid w:val="00AA07F0"/>
    <w:rsid w:val="00AA2D55"/>
    <w:rsid w:val="00AA5749"/>
    <w:rsid w:val="00AB0071"/>
    <w:rsid w:val="00AB39E2"/>
    <w:rsid w:val="00AB3B0A"/>
    <w:rsid w:val="00AB5C1C"/>
    <w:rsid w:val="00AB5F17"/>
    <w:rsid w:val="00AB6125"/>
    <w:rsid w:val="00AB6245"/>
    <w:rsid w:val="00AB7044"/>
    <w:rsid w:val="00AC2212"/>
    <w:rsid w:val="00AC44CB"/>
    <w:rsid w:val="00AC7007"/>
    <w:rsid w:val="00AC7423"/>
    <w:rsid w:val="00AC7AE5"/>
    <w:rsid w:val="00AD4216"/>
    <w:rsid w:val="00AD61C2"/>
    <w:rsid w:val="00AE11B5"/>
    <w:rsid w:val="00AE2D37"/>
    <w:rsid w:val="00AE35EA"/>
    <w:rsid w:val="00AE4179"/>
    <w:rsid w:val="00AE69D7"/>
    <w:rsid w:val="00AF0F4E"/>
    <w:rsid w:val="00AF5F4D"/>
    <w:rsid w:val="00B02801"/>
    <w:rsid w:val="00B02D49"/>
    <w:rsid w:val="00B04C7A"/>
    <w:rsid w:val="00B06567"/>
    <w:rsid w:val="00B121C2"/>
    <w:rsid w:val="00B12AE8"/>
    <w:rsid w:val="00B12F0E"/>
    <w:rsid w:val="00B213D0"/>
    <w:rsid w:val="00B216C8"/>
    <w:rsid w:val="00B22933"/>
    <w:rsid w:val="00B2523E"/>
    <w:rsid w:val="00B315E0"/>
    <w:rsid w:val="00B31C5C"/>
    <w:rsid w:val="00B320E4"/>
    <w:rsid w:val="00B33E20"/>
    <w:rsid w:val="00B423F5"/>
    <w:rsid w:val="00B43119"/>
    <w:rsid w:val="00B432EB"/>
    <w:rsid w:val="00B4436B"/>
    <w:rsid w:val="00B52EF4"/>
    <w:rsid w:val="00B52F4A"/>
    <w:rsid w:val="00B54FF4"/>
    <w:rsid w:val="00B55679"/>
    <w:rsid w:val="00B5768A"/>
    <w:rsid w:val="00B6131E"/>
    <w:rsid w:val="00B6199E"/>
    <w:rsid w:val="00B651A5"/>
    <w:rsid w:val="00B7045A"/>
    <w:rsid w:val="00B70800"/>
    <w:rsid w:val="00B708EC"/>
    <w:rsid w:val="00B71711"/>
    <w:rsid w:val="00B72FB5"/>
    <w:rsid w:val="00B763B6"/>
    <w:rsid w:val="00B77A97"/>
    <w:rsid w:val="00B802A1"/>
    <w:rsid w:val="00B808EF"/>
    <w:rsid w:val="00B81037"/>
    <w:rsid w:val="00B81F3F"/>
    <w:rsid w:val="00B8750D"/>
    <w:rsid w:val="00B8757F"/>
    <w:rsid w:val="00B878A9"/>
    <w:rsid w:val="00B913DC"/>
    <w:rsid w:val="00B933DD"/>
    <w:rsid w:val="00B937CA"/>
    <w:rsid w:val="00B95DA5"/>
    <w:rsid w:val="00B96688"/>
    <w:rsid w:val="00BA084A"/>
    <w:rsid w:val="00BA0BD7"/>
    <w:rsid w:val="00BA3355"/>
    <w:rsid w:val="00BA3C72"/>
    <w:rsid w:val="00BA55C6"/>
    <w:rsid w:val="00BA75D3"/>
    <w:rsid w:val="00BA7F22"/>
    <w:rsid w:val="00BB05AC"/>
    <w:rsid w:val="00BB0927"/>
    <w:rsid w:val="00BB0D17"/>
    <w:rsid w:val="00BB20DF"/>
    <w:rsid w:val="00BB32FE"/>
    <w:rsid w:val="00BB51F3"/>
    <w:rsid w:val="00BB5C5D"/>
    <w:rsid w:val="00BB64BF"/>
    <w:rsid w:val="00BC0E2C"/>
    <w:rsid w:val="00BC0FB8"/>
    <w:rsid w:val="00BC1F98"/>
    <w:rsid w:val="00BC223D"/>
    <w:rsid w:val="00BC3923"/>
    <w:rsid w:val="00BC67D8"/>
    <w:rsid w:val="00BC69AA"/>
    <w:rsid w:val="00BC76D2"/>
    <w:rsid w:val="00BD1EE6"/>
    <w:rsid w:val="00BD2356"/>
    <w:rsid w:val="00BD5340"/>
    <w:rsid w:val="00BD6568"/>
    <w:rsid w:val="00BD77D8"/>
    <w:rsid w:val="00BF0F4C"/>
    <w:rsid w:val="00BF18D6"/>
    <w:rsid w:val="00BF4DD7"/>
    <w:rsid w:val="00BF6EEE"/>
    <w:rsid w:val="00BF7CAF"/>
    <w:rsid w:val="00C0043B"/>
    <w:rsid w:val="00C014D3"/>
    <w:rsid w:val="00C04044"/>
    <w:rsid w:val="00C05A79"/>
    <w:rsid w:val="00C05B06"/>
    <w:rsid w:val="00C1196F"/>
    <w:rsid w:val="00C12881"/>
    <w:rsid w:val="00C12CDF"/>
    <w:rsid w:val="00C12E90"/>
    <w:rsid w:val="00C13B13"/>
    <w:rsid w:val="00C15D6A"/>
    <w:rsid w:val="00C169EE"/>
    <w:rsid w:val="00C20307"/>
    <w:rsid w:val="00C203D6"/>
    <w:rsid w:val="00C24356"/>
    <w:rsid w:val="00C31E6B"/>
    <w:rsid w:val="00C33A69"/>
    <w:rsid w:val="00C33B62"/>
    <w:rsid w:val="00C35FD1"/>
    <w:rsid w:val="00C42F3A"/>
    <w:rsid w:val="00C453ED"/>
    <w:rsid w:val="00C47C47"/>
    <w:rsid w:val="00C47C9E"/>
    <w:rsid w:val="00C51CE6"/>
    <w:rsid w:val="00C54211"/>
    <w:rsid w:val="00C634E7"/>
    <w:rsid w:val="00C635D5"/>
    <w:rsid w:val="00C63956"/>
    <w:rsid w:val="00C63CEA"/>
    <w:rsid w:val="00C71ACE"/>
    <w:rsid w:val="00C72B17"/>
    <w:rsid w:val="00C84F90"/>
    <w:rsid w:val="00C85255"/>
    <w:rsid w:val="00C87984"/>
    <w:rsid w:val="00C87D18"/>
    <w:rsid w:val="00C9071B"/>
    <w:rsid w:val="00C9409E"/>
    <w:rsid w:val="00C9429E"/>
    <w:rsid w:val="00CA0119"/>
    <w:rsid w:val="00CA5B8C"/>
    <w:rsid w:val="00CB1CF6"/>
    <w:rsid w:val="00CB2545"/>
    <w:rsid w:val="00CB41FA"/>
    <w:rsid w:val="00CC5A43"/>
    <w:rsid w:val="00CC5AFE"/>
    <w:rsid w:val="00CC7CAB"/>
    <w:rsid w:val="00CC7D87"/>
    <w:rsid w:val="00CD2C51"/>
    <w:rsid w:val="00CD59CC"/>
    <w:rsid w:val="00CD62CD"/>
    <w:rsid w:val="00CE1110"/>
    <w:rsid w:val="00CE3639"/>
    <w:rsid w:val="00CE4BD7"/>
    <w:rsid w:val="00CF07CA"/>
    <w:rsid w:val="00CF0E4A"/>
    <w:rsid w:val="00CF40BB"/>
    <w:rsid w:val="00D0122C"/>
    <w:rsid w:val="00D01D99"/>
    <w:rsid w:val="00D039FB"/>
    <w:rsid w:val="00D15DA3"/>
    <w:rsid w:val="00D20019"/>
    <w:rsid w:val="00D2039F"/>
    <w:rsid w:val="00D25707"/>
    <w:rsid w:val="00D25DF6"/>
    <w:rsid w:val="00D2759D"/>
    <w:rsid w:val="00D32AAE"/>
    <w:rsid w:val="00D34CE0"/>
    <w:rsid w:val="00D361AE"/>
    <w:rsid w:val="00D44588"/>
    <w:rsid w:val="00D51FCD"/>
    <w:rsid w:val="00D53EC8"/>
    <w:rsid w:val="00D550F2"/>
    <w:rsid w:val="00D56D05"/>
    <w:rsid w:val="00D60108"/>
    <w:rsid w:val="00D60C50"/>
    <w:rsid w:val="00D61F57"/>
    <w:rsid w:val="00D6639F"/>
    <w:rsid w:val="00D66583"/>
    <w:rsid w:val="00D7246A"/>
    <w:rsid w:val="00D750C2"/>
    <w:rsid w:val="00D76B34"/>
    <w:rsid w:val="00D77BB0"/>
    <w:rsid w:val="00D80564"/>
    <w:rsid w:val="00D811B8"/>
    <w:rsid w:val="00D817CF"/>
    <w:rsid w:val="00D83DF9"/>
    <w:rsid w:val="00D842C4"/>
    <w:rsid w:val="00D848EA"/>
    <w:rsid w:val="00D8492E"/>
    <w:rsid w:val="00D8736B"/>
    <w:rsid w:val="00D8778D"/>
    <w:rsid w:val="00DA2C5A"/>
    <w:rsid w:val="00DA352E"/>
    <w:rsid w:val="00DB0FC7"/>
    <w:rsid w:val="00DB63BB"/>
    <w:rsid w:val="00DC1D74"/>
    <w:rsid w:val="00DC37CA"/>
    <w:rsid w:val="00DC4715"/>
    <w:rsid w:val="00DC56A7"/>
    <w:rsid w:val="00DC58C9"/>
    <w:rsid w:val="00DC6028"/>
    <w:rsid w:val="00DC6724"/>
    <w:rsid w:val="00DC6E40"/>
    <w:rsid w:val="00DC7A25"/>
    <w:rsid w:val="00DD0D94"/>
    <w:rsid w:val="00DD24BD"/>
    <w:rsid w:val="00DD2F62"/>
    <w:rsid w:val="00DD3884"/>
    <w:rsid w:val="00DE2C4E"/>
    <w:rsid w:val="00DE48B6"/>
    <w:rsid w:val="00DE736C"/>
    <w:rsid w:val="00DE7F80"/>
    <w:rsid w:val="00DF2E9E"/>
    <w:rsid w:val="00DF5D8F"/>
    <w:rsid w:val="00E02A6A"/>
    <w:rsid w:val="00E131F1"/>
    <w:rsid w:val="00E14492"/>
    <w:rsid w:val="00E1529C"/>
    <w:rsid w:val="00E16F9B"/>
    <w:rsid w:val="00E20FDA"/>
    <w:rsid w:val="00E231C5"/>
    <w:rsid w:val="00E24DB2"/>
    <w:rsid w:val="00E27326"/>
    <w:rsid w:val="00E32788"/>
    <w:rsid w:val="00E36A32"/>
    <w:rsid w:val="00E36E70"/>
    <w:rsid w:val="00E417A9"/>
    <w:rsid w:val="00E459AA"/>
    <w:rsid w:val="00E46076"/>
    <w:rsid w:val="00E46C4E"/>
    <w:rsid w:val="00E50C9B"/>
    <w:rsid w:val="00E53C0D"/>
    <w:rsid w:val="00E53D75"/>
    <w:rsid w:val="00E6594A"/>
    <w:rsid w:val="00E673A1"/>
    <w:rsid w:val="00E7243D"/>
    <w:rsid w:val="00E72449"/>
    <w:rsid w:val="00E81703"/>
    <w:rsid w:val="00E82F82"/>
    <w:rsid w:val="00E833FA"/>
    <w:rsid w:val="00E90F2C"/>
    <w:rsid w:val="00E91288"/>
    <w:rsid w:val="00EA0076"/>
    <w:rsid w:val="00EA41E8"/>
    <w:rsid w:val="00EA513C"/>
    <w:rsid w:val="00EA59D5"/>
    <w:rsid w:val="00EB0CCF"/>
    <w:rsid w:val="00EB1E4A"/>
    <w:rsid w:val="00EB27BA"/>
    <w:rsid w:val="00EB3956"/>
    <w:rsid w:val="00EB428E"/>
    <w:rsid w:val="00EB4FFF"/>
    <w:rsid w:val="00EB5133"/>
    <w:rsid w:val="00EB6AFF"/>
    <w:rsid w:val="00EB6C83"/>
    <w:rsid w:val="00EC0051"/>
    <w:rsid w:val="00EC07EF"/>
    <w:rsid w:val="00EC0B51"/>
    <w:rsid w:val="00EC1382"/>
    <w:rsid w:val="00EC1AC1"/>
    <w:rsid w:val="00EC20D7"/>
    <w:rsid w:val="00EC433E"/>
    <w:rsid w:val="00EC4E42"/>
    <w:rsid w:val="00ED3195"/>
    <w:rsid w:val="00ED5EA1"/>
    <w:rsid w:val="00EE1FFB"/>
    <w:rsid w:val="00EE54C6"/>
    <w:rsid w:val="00EE5BB1"/>
    <w:rsid w:val="00EE66CC"/>
    <w:rsid w:val="00EF578E"/>
    <w:rsid w:val="00F0401C"/>
    <w:rsid w:val="00F05354"/>
    <w:rsid w:val="00F053F3"/>
    <w:rsid w:val="00F06565"/>
    <w:rsid w:val="00F10A2F"/>
    <w:rsid w:val="00F13BAE"/>
    <w:rsid w:val="00F1545E"/>
    <w:rsid w:val="00F21CC6"/>
    <w:rsid w:val="00F22662"/>
    <w:rsid w:val="00F2564D"/>
    <w:rsid w:val="00F2712B"/>
    <w:rsid w:val="00F30394"/>
    <w:rsid w:val="00F3225B"/>
    <w:rsid w:val="00F34F98"/>
    <w:rsid w:val="00F3503E"/>
    <w:rsid w:val="00F35993"/>
    <w:rsid w:val="00F3683B"/>
    <w:rsid w:val="00F40BB1"/>
    <w:rsid w:val="00F41899"/>
    <w:rsid w:val="00F44B4C"/>
    <w:rsid w:val="00F460FE"/>
    <w:rsid w:val="00F47978"/>
    <w:rsid w:val="00F47D18"/>
    <w:rsid w:val="00F5219A"/>
    <w:rsid w:val="00F5224F"/>
    <w:rsid w:val="00F53907"/>
    <w:rsid w:val="00F53CB0"/>
    <w:rsid w:val="00F53F61"/>
    <w:rsid w:val="00F5458C"/>
    <w:rsid w:val="00F55F52"/>
    <w:rsid w:val="00F56EAE"/>
    <w:rsid w:val="00F6082F"/>
    <w:rsid w:val="00F60D7D"/>
    <w:rsid w:val="00F6578F"/>
    <w:rsid w:val="00F66114"/>
    <w:rsid w:val="00F735A7"/>
    <w:rsid w:val="00F779BA"/>
    <w:rsid w:val="00F77DF5"/>
    <w:rsid w:val="00F80877"/>
    <w:rsid w:val="00F8181E"/>
    <w:rsid w:val="00F8666F"/>
    <w:rsid w:val="00F909BB"/>
    <w:rsid w:val="00F948C4"/>
    <w:rsid w:val="00F96DEA"/>
    <w:rsid w:val="00F9740D"/>
    <w:rsid w:val="00FA01CB"/>
    <w:rsid w:val="00FA0B87"/>
    <w:rsid w:val="00FA16E1"/>
    <w:rsid w:val="00FA20B7"/>
    <w:rsid w:val="00FA42DC"/>
    <w:rsid w:val="00FA4BCE"/>
    <w:rsid w:val="00FA4CC2"/>
    <w:rsid w:val="00FB69AB"/>
    <w:rsid w:val="00FB7E01"/>
    <w:rsid w:val="00FC46E7"/>
    <w:rsid w:val="00FD0147"/>
    <w:rsid w:val="00FD27D7"/>
    <w:rsid w:val="00FD3B6B"/>
    <w:rsid w:val="00FD3E77"/>
    <w:rsid w:val="00FD6D80"/>
    <w:rsid w:val="00FD7DA9"/>
    <w:rsid w:val="00FE11D0"/>
    <w:rsid w:val="00FF0564"/>
    <w:rsid w:val="00FF0F91"/>
    <w:rsid w:val="00FF1F9E"/>
    <w:rsid w:val="00FF510F"/>
    <w:rsid w:val="00FF58BC"/>
    <w:rsid w:val="00FF6300"/>
    <w:rsid w:val="00FF671F"/>
    <w:rsid w:val="10E286E2"/>
    <w:rsid w:val="159B5D74"/>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067A5"/>
  <w15:chartTrackingRefBased/>
  <w15:docId w15:val="{E97E14D6-0A90-404C-8C98-EB4AE6065D6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933DD"/>
    <w:rPr>
      <w:rFonts w:ascii="Times New Roman" w:hAnsi="Times New Roman" w:eastAsia="Times New Roman" w:cs="Times New Roman"/>
      <w:lang w:eastAsia="es-MX"/>
    </w:rPr>
  </w:style>
  <w:style w:type="paragraph" w:styleId="Ttulo2">
    <w:name w:val="heading 2"/>
    <w:basedOn w:val="Normal"/>
    <w:link w:val="Ttulo2Car"/>
    <w:uiPriority w:val="9"/>
    <w:qFormat/>
    <w:rsid w:val="00F40BB1"/>
    <w:pPr>
      <w:spacing w:before="100" w:beforeAutospacing="1" w:after="100" w:afterAutospacing="1"/>
      <w:outlineLvl w:val="1"/>
    </w:pPr>
    <w:rPr>
      <w:b/>
      <w:bCs/>
      <w:sz w:val="36"/>
      <w:szCs w:val="36"/>
    </w:rPr>
  </w:style>
  <w:style w:type="character" w:styleId="Fuentedeprrafopredeter" w:default="1">
    <w:name w:val="Default Paragraph Font"/>
    <w:uiPriority w:val="1"/>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iedepgina">
    <w:name w:val="footer"/>
    <w:basedOn w:val="Normal"/>
    <w:link w:val="PiedepginaCar"/>
    <w:uiPriority w:val="99"/>
    <w:unhideWhenUsed/>
    <w:rsid w:val="00A71CEA"/>
    <w:pPr>
      <w:tabs>
        <w:tab w:val="center" w:pos="4419"/>
        <w:tab w:val="right" w:pos="8838"/>
      </w:tabs>
    </w:pPr>
    <w:rPr>
      <w:rFonts w:asciiTheme="minorHAnsi" w:hAnsiTheme="minorHAnsi" w:eastAsiaTheme="minorHAnsi" w:cstheme="minorBidi"/>
      <w:szCs w:val="22"/>
      <w:lang w:val="es-MX" w:eastAsia="en-US"/>
    </w:rPr>
  </w:style>
  <w:style w:type="character" w:styleId="PiedepginaCar" w:customStyle="1">
    <w:name w:val="Pie de página Car"/>
    <w:basedOn w:val="Fuentedeprrafopredeter"/>
    <w:link w:val="Piedepgina"/>
    <w:uiPriority w:val="99"/>
    <w:rsid w:val="00A71CEA"/>
    <w:rPr>
      <w:szCs w:val="22"/>
      <w:lang w:val="es-MX"/>
    </w:rPr>
  </w:style>
  <w:style w:type="paragraph" w:styleId="Encabezado">
    <w:name w:val="header"/>
    <w:basedOn w:val="Normal"/>
    <w:link w:val="EncabezadoCar"/>
    <w:uiPriority w:val="99"/>
    <w:unhideWhenUsed/>
    <w:rsid w:val="00A71CEA"/>
    <w:pPr>
      <w:tabs>
        <w:tab w:val="center" w:pos="4252"/>
        <w:tab w:val="right" w:pos="8504"/>
      </w:tabs>
    </w:pPr>
    <w:rPr>
      <w:rFonts w:asciiTheme="minorHAnsi" w:hAnsiTheme="minorHAnsi" w:eastAsiaTheme="minorHAnsi" w:cstheme="minorBidi"/>
      <w:szCs w:val="22"/>
      <w:lang w:val="es-MX" w:eastAsia="en-US"/>
    </w:rPr>
  </w:style>
  <w:style w:type="character" w:styleId="EncabezadoCar" w:customStyle="1">
    <w:name w:val="Encabezado Car"/>
    <w:basedOn w:val="Fuentedeprrafopredeter"/>
    <w:link w:val="Encabezado"/>
    <w:uiPriority w:val="99"/>
    <w:rsid w:val="00A71CEA"/>
    <w:rPr>
      <w:szCs w:val="22"/>
      <w:lang w:val="es-MX"/>
    </w:rPr>
  </w:style>
  <w:style w:type="table" w:styleId="Tablaconcuadrcula">
    <w:name w:val="Table Grid"/>
    <w:basedOn w:val="Tablanormal"/>
    <w:uiPriority w:val="39"/>
    <w:qFormat/>
    <w:rsid w:val="00A71CEA"/>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A71CEA"/>
    <w:pPr>
      <w:ind w:left="720"/>
      <w:contextualSpacing/>
    </w:pPr>
    <w:rPr>
      <w:rFonts w:asciiTheme="minorHAnsi" w:hAnsiTheme="minorHAnsi" w:eastAsiaTheme="minorHAnsi" w:cstheme="minorBidi"/>
      <w:szCs w:val="22"/>
      <w:lang w:val="es-MX" w:eastAsia="en-US"/>
    </w:rPr>
  </w:style>
  <w:style w:type="paragraph" w:styleId="Sinespaciado">
    <w:name w:val="No Spacing"/>
    <w:aliases w:val="No Indent"/>
    <w:uiPriority w:val="3"/>
    <w:qFormat/>
    <w:rsid w:val="00A71CEA"/>
    <w:rPr>
      <w:szCs w:val="22"/>
      <w:lang w:val="es-MX"/>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A71CE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A71CEA"/>
    <w:rPr>
      <w:rFonts w:asciiTheme="minorHAnsi" w:hAnsiTheme="minorHAnsi" w:eastAsiaTheme="minorHAnsi" w:cstheme="minorBidi"/>
      <w:sz w:val="20"/>
      <w:szCs w:val="20"/>
      <w:lang w:val="es-MX" w:eastAsia="en-US"/>
    </w:rPr>
  </w:style>
  <w:style w:type="character" w:styleId="TextonotapieCar1" w:customStyle="1">
    <w:name w:val="Texto nota pie Car1"/>
    <w:basedOn w:val="Fuentedeprrafopredeter"/>
    <w:uiPriority w:val="99"/>
    <w:semiHidden/>
    <w:rsid w:val="00A71CEA"/>
    <w:rPr>
      <w:rFonts w:ascii="Times New Roman" w:hAnsi="Times New Roman" w:eastAsia="Times New Roman" w:cs="Times New Roman"/>
      <w:sz w:val="20"/>
      <w:szCs w:val="20"/>
      <w:lang w:eastAsia="es-MX"/>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1CEA"/>
    <w:rPr>
      <w:szCs w:val="22"/>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A71CEA"/>
    <w:rPr>
      <w:vertAlign w:val="superscript"/>
    </w:rPr>
  </w:style>
  <w:style w:type="paragraph" w:styleId="Textoindependiente">
    <w:name w:val="Body Text"/>
    <w:basedOn w:val="Normal"/>
    <w:link w:val="TextoindependienteCar"/>
    <w:uiPriority w:val="1"/>
    <w:qFormat/>
    <w:rsid w:val="00A71CEA"/>
    <w:pPr>
      <w:widowControl w:val="0"/>
      <w:autoSpaceDE w:val="0"/>
      <w:autoSpaceDN w:val="0"/>
    </w:pPr>
    <w:rPr>
      <w:rFonts w:ascii="Arial" w:hAnsi="Arial" w:eastAsia="Arial" w:cs="Arial"/>
      <w:sz w:val="20"/>
      <w:szCs w:val="20"/>
      <w:lang w:val="es-ES" w:eastAsia="en-US"/>
    </w:rPr>
  </w:style>
  <w:style w:type="character" w:styleId="TextoindependienteCar" w:customStyle="1">
    <w:name w:val="Texto independiente Car"/>
    <w:basedOn w:val="Fuentedeprrafopredeter"/>
    <w:link w:val="Textoindependiente"/>
    <w:uiPriority w:val="1"/>
    <w:rsid w:val="00A71CEA"/>
    <w:rPr>
      <w:rFonts w:ascii="Arial" w:hAnsi="Arial" w:eastAsia="Arial" w:cs="Arial"/>
      <w:sz w:val="20"/>
      <w:szCs w:val="20"/>
      <w:lang w:val="es-ES"/>
    </w:rPr>
  </w:style>
  <w:style w:type="paragraph" w:styleId="Appelnotedebasde" w:customStyle="1">
    <w:name w:val="Appel note de bas de..."/>
    <w:basedOn w:val="Normal"/>
    <w:link w:val="Refdenotaalpie"/>
    <w:uiPriority w:val="99"/>
    <w:rsid w:val="00A71CEA"/>
    <w:pPr>
      <w:spacing w:after="160" w:line="240" w:lineRule="exact"/>
    </w:pPr>
    <w:rPr>
      <w:rFonts w:asciiTheme="minorHAnsi" w:hAnsiTheme="minorHAnsi" w:eastAsiaTheme="minorHAnsi" w:cstheme="minorBidi"/>
      <w:vertAlign w:val="superscript"/>
      <w:lang w:eastAsia="en-US"/>
    </w:rPr>
  </w:style>
  <w:style w:type="character" w:styleId="apple-converted-space" w:customStyle="1">
    <w:name w:val="apple-converted-space"/>
    <w:basedOn w:val="Fuentedeprrafopredeter"/>
    <w:rsid w:val="00A71CEA"/>
  </w:style>
  <w:style w:type="paragraph" w:styleId="NormalWeb">
    <w:name w:val="Normal (Web)"/>
    <w:basedOn w:val="Normal"/>
    <w:link w:val="NormalWebCar"/>
    <w:uiPriority w:val="99"/>
    <w:unhideWhenUsed/>
    <w:rsid w:val="00524B49"/>
    <w:pPr>
      <w:spacing w:before="100" w:beforeAutospacing="1" w:after="100" w:afterAutospacing="1"/>
    </w:pPr>
  </w:style>
  <w:style w:type="character" w:styleId="Hipervnculo">
    <w:name w:val="Hyperlink"/>
    <w:basedOn w:val="Fuentedeprrafopredeter"/>
    <w:uiPriority w:val="99"/>
    <w:unhideWhenUsed/>
    <w:rsid w:val="00524B49"/>
    <w:rPr>
      <w:color w:val="0000FF"/>
      <w:u w:val="single"/>
    </w:rPr>
  </w:style>
  <w:style w:type="character" w:styleId="Hipervnculovisitado">
    <w:name w:val="FollowedHyperlink"/>
    <w:basedOn w:val="Fuentedeprrafopredeter"/>
    <w:uiPriority w:val="99"/>
    <w:semiHidden/>
    <w:unhideWhenUsed/>
    <w:rsid w:val="00524B49"/>
    <w:rPr>
      <w:color w:val="954F72" w:themeColor="followedHyperlink"/>
      <w:u w:val="single"/>
    </w:rPr>
  </w:style>
  <w:style w:type="character" w:styleId="Ttulo2Car" w:customStyle="1">
    <w:name w:val="Título 2 Car"/>
    <w:basedOn w:val="Fuentedeprrafopredeter"/>
    <w:link w:val="Ttulo2"/>
    <w:uiPriority w:val="9"/>
    <w:rsid w:val="00F40BB1"/>
    <w:rPr>
      <w:rFonts w:ascii="Times New Roman" w:hAnsi="Times New Roman" w:eastAsia="Times New Roman" w:cs="Times New Roman"/>
      <w:b/>
      <w:bCs/>
      <w:sz w:val="36"/>
      <w:szCs w:val="36"/>
      <w:lang w:eastAsia="es-MX"/>
    </w:rPr>
  </w:style>
  <w:style w:type="character" w:styleId="Textoennegrita">
    <w:name w:val="Strong"/>
    <w:basedOn w:val="Fuentedeprrafopredeter"/>
    <w:uiPriority w:val="22"/>
    <w:qFormat/>
    <w:rsid w:val="00F40BB1"/>
    <w:rPr>
      <w:b/>
      <w:bCs/>
    </w:rPr>
  </w:style>
  <w:style w:type="character" w:styleId="Refdecomentario">
    <w:name w:val="annotation reference"/>
    <w:basedOn w:val="Fuentedeprrafopredeter"/>
    <w:uiPriority w:val="99"/>
    <w:semiHidden/>
    <w:unhideWhenUsed/>
    <w:rsid w:val="00776374"/>
    <w:rPr>
      <w:sz w:val="16"/>
      <w:szCs w:val="16"/>
    </w:rPr>
  </w:style>
  <w:style w:type="paragraph" w:styleId="Textocomentario">
    <w:name w:val="annotation text"/>
    <w:basedOn w:val="Normal"/>
    <w:link w:val="TextocomentarioCar"/>
    <w:uiPriority w:val="99"/>
    <w:unhideWhenUsed/>
    <w:rsid w:val="00776374"/>
    <w:rPr>
      <w:sz w:val="20"/>
      <w:szCs w:val="20"/>
    </w:rPr>
  </w:style>
  <w:style w:type="character" w:styleId="TextocomentarioCar" w:customStyle="1">
    <w:name w:val="Texto comentario Car"/>
    <w:basedOn w:val="Fuentedeprrafopredeter"/>
    <w:link w:val="Textocomentario"/>
    <w:uiPriority w:val="99"/>
    <w:rsid w:val="00776374"/>
    <w:rPr>
      <w:rFonts w:ascii="Times New Roman" w:hAnsi="Times New Roman" w:eastAsia="Times New Roman"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776374"/>
    <w:rPr>
      <w:b/>
      <w:bCs/>
    </w:rPr>
  </w:style>
  <w:style w:type="character" w:styleId="AsuntodelcomentarioCar" w:customStyle="1">
    <w:name w:val="Asunto del comentario Car"/>
    <w:basedOn w:val="TextocomentarioCar"/>
    <w:link w:val="Asuntodelcomentario"/>
    <w:uiPriority w:val="99"/>
    <w:semiHidden/>
    <w:rsid w:val="00776374"/>
    <w:rPr>
      <w:rFonts w:ascii="Times New Roman" w:hAnsi="Times New Roman" w:eastAsia="Times New Roman" w:cs="Times New Roman"/>
      <w:b/>
      <w:bCs/>
      <w:sz w:val="20"/>
      <w:szCs w:val="20"/>
      <w:lang w:eastAsia="es-MX"/>
    </w:rPr>
  </w:style>
  <w:style w:type="character" w:styleId="nfasis">
    <w:name w:val="Emphasis"/>
    <w:basedOn w:val="Fuentedeprrafopredeter"/>
    <w:uiPriority w:val="20"/>
    <w:qFormat/>
    <w:rsid w:val="00A012BF"/>
    <w:rPr>
      <w:i/>
      <w:iCs/>
    </w:rPr>
  </w:style>
  <w:style w:type="paragraph" w:styleId="Ttulo">
    <w:name w:val="Title"/>
    <w:aliases w:val="Cláusula 9"/>
    <w:basedOn w:val="Normal"/>
    <w:next w:val="Normal"/>
    <w:link w:val="TtuloCar"/>
    <w:uiPriority w:val="10"/>
    <w:qFormat/>
    <w:rsid w:val="00DD0D94"/>
    <w:pPr>
      <w:numPr>
        <w:numId w:val="3"/>
      </w:numPr>
      <w:spacing w:after="300"/>
      <w:contextualSpacing/>
      <w:jc w:val="both"/>
    </w:pPr>
    <w:rPr>
      <w:rFonts w:asciiTheme="majorHAnsi" w:hAnsiTheme="majorHAnsi" w:eastAsiaTheme="majorEastAsia" w:cstheme="majorBidi"/>
      <w:color w:val="AEAAAA" w:themeColor="background2" w:themeShade="BF"/>
      <w:spacing w:val="5"/>
      <w:kern w:val="28"/>
      <w:sz w:val="20"/>
      <w:szCs w:val="52"/>
      <w:lang w:val="es-MX" w:eastAsia="en-US"/>
    </w:rPr>
  </w:style>
  <w:style w:type="character" w:styleId="TtuloCar" w:customStyle="1">
    <w:name w:val="Título Car"/>
    <w:aliases w:val="Cláusula 9 Car"/>
    <w:basedOn w:val="Fuentedeprrafopredeter"/>
    <w:link w:val="Ttulo"/>
    <w:uiPriority w:val="10"/>
    <w:rsid w:val="00DD0D94"/>
    <w:rPr>
      <w:rFonts w:asciiTheme="majorHAnsi" w:hAnsiTheme="majorHAnsi" w:eastAsiaTheme="majorEastAsia" w:cstheme="majorBidi"/>
      <w:color w:val="AEAAAA" w:themeColor="background2" w:themeShade="BF"/>
      <w:spacing w:val="5"/>
      <w:kern w:val="28"/>
      <w:sz w:val="20"/>
      <w:szCs w:val="52"/>
      <w:lang w:val="es-MX"/>
    </w:rPr>
  </w:style>
  <w:style w:type="paragraph" w:styleId="paragraph" w:customStyle="1">
    <w:name w:val="paragraph"/>
    <w:basedOn w:val="Normal"/>
    <w:rsid w:val="00687BDD"/>
    <w:pPr>
      <w:spacing w:before="100" w:beforeAutospacing="1" w:after="100" w:afterAutospacing="1" w:line="276" w:lineRule="auto"/>
      <w:ind w:firstLine="709"/>
      <w:jc w:val="both"/>
    </w:pPr>
    <w:rPr>
      <w:lang w:eastAsia="es-ES_tradnl"/>
    </w:rPr>
  </w:style>
  <w:style w:type="character" w:styleId="normaltextrun" w:customStyle="1">
    <w:name w:val="normaltextrun"/>
    <w:basedOn w:val="Fuentedeprrafopredeter"/>
    <w:rsid w:val="00687BDD"/>
  </w:style>
  <w:style w:type="character" w:styleId="eop" w:customStyle="1">
    <w:name w:val="eop"/>
    <w:basedOn w:val="Fuentedeprrafopredeter"/>
    <w:rsid w:val="00687BDD"/>
  </w:style>
  <w:style w:type="character" w:styleId="Mencinsinresolver">
    <w:name w:val="Unresolved Mention"/>
    <w:basedOn w:val="Fuentedeprrafopredeter"/>
    <w:uiPriority w:val="99"/>
    <w:semiHidden/>
    <w:unhideWhenUsed/>
    <w:rsid w:val="00094B59"/>
    <w:rPr>
      <w:color w:val="605E5C"/>
      <w:shd w:val="clear" w:color="auto" w:fill="E1DFDD"/>
    </w:rPr>
  </w:style>
  <w:style w:type="character" w:styleId="NormalWebCar" w:customStyle="1">
    <w:name w:val="Normal (Web) Car"/>
    <w:link w:val="NormalWeb"/>
    <w:uiPriority w:val="99"/>
    <w:rsid w:val="00C33A69"/>
    <w:rPr>
      <w:rFonts w:ascii="Times New Roman" w:hAnsi="Times New Roman" w:eastAsia="Times New Roman" w:cs="Times New Roman"/>
      <w:lang w:eastAsia="es-MX"/>
    </w:rPr>
  </w:style>
  <w:style w:type="paragraph" w:styleId="Default" w:customStyle="1">
    <w:name w:val="Default"/>
    <w:rsid w:val="00C33A69"/>
    <w:pPr>
      <w:autoSpaceDE w:val="0"/>
      <w:autoSpaceDN w:val="0"/>
      <w:adjustRightInd w:val="0"/>
    </w:pPr>
    <w:rPr>
      <w:rFonts w:ascii="Arial" w:hAnsi="Arial" w:cs="Arial"/>
      <w:color w:val="000000"/>
    </w:rPr>
  </w:style>
  <w:style w:type="paragraph" w:styleId="xxmsonormal" w:customStyle="1">
    <w:name w:val="x_x_msonormal"/>
    <w:basedOn w:val="Normal"/>
    <w:rsid w:val="00C33A69"/>
    <w:pPr>
      <w:spacing w:before="100" w:beforeAutospacing="1" w:after="100" w:afterAutospacing="1"/>
    </w:pPr>
  </w:style>
  <w:style w:type="character" w:styleId="spellingerror" w:customStyle="1">
    <w:name w:val="spellingerror"/>
    <w:basedOn w:val="Fuentedeprrafopredeter"/>
    <w:rsid w:val="00EB1E4A"/>
  </w:style>
  <w:style w:type="paragraph" w:styleId="xmsonospacing" w:customStyle="1">
    <w:name w:val="x_msonospacing"/>
    <w:basedOn w:val="Normal"/>
    <w:rsid w:val="0031456F"/>
    <w:pPr>
      <w:spacing w:before="100" w:beforeAutospacing="1" w:after="100" w:afterAutospacing="1"/>
    </w:pPr>
  </w:style>
  <w:style w:type="paragraph" w:styleId="Normal11pt" w:customStyle="1">
    <w:name w:val="Normal + 11 pt"/>
    <w:aliases w:val="Negro,Justificado,Izquierda:  -0,95 cm,Derecha:  0,04 cm"/>
    <w:basedOn w:val="Normal"/>
    <w:uiPriority w:val="99"/>
    <w:rsid w:val="00705A56"/>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F2712B"/>
    <w:rPr>
      <w:rFonts w:ascii="Times New Roman" w:hAnsi="Times New Roman" w:eastAsia="Times New Roman" w:cs="Times New Roman"/>
      <w:lang w:eastAsia="es-MX"/>
    </w:rPr>
  </w:style>
  <w:style w:type="character" w:styleId="baj" w:customStyle="1">
    <w:name w:val="b_aj"/>
    <w:basedOn w:val="Fuentedeprrafopredeter"/>
    <w:rsid w:val="008544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91926">
      <w:bodyDiv w:val="1"/>
      <w:marLeft w:val="0"/>
      <w:marRight w:val="0"/>
      <w:marTop w:val="0"/>
      <w:marBottom w:val="0"/>
      <w:divBdr>
        <w:top w:val="none" w:sz="0" w:space="0" w:color="auto"/>
        <w:left w:val="none" w:sz="0" w:space="0" w:color="auto"/>
        <w:bottom w:val="none" w:sz="0" w:space="0" w:color="auto"/>
        <w:right w:val="none" w:sz="0" w:space="0" w:color="auto"/>
      </w:divBdr>
    </w:div>
    <w:div w:id="56173611">
      <w:bodyDiv w:val="1"/>
      <w:marLeft w:val="0"/>
      <w:marRight w:val="0"/>
      <w:marTop w:val="0"/>
      <w:marBottom w:val="0"/>
      <w:divBdr>
        <w:top w:val="none" w:sz="0" w:space="0" w:color="auto"/>
        <w:left w:val="none" w:sz="0" w:space="0" w:color="auto"/>
        <w:bottom w:val="none" w:sz="0" w:space="0" w:color="auto"/>
        <w:right w:val="none" w:sz="0" w:space="0" w:color="auto"/>
      </w:divBdr>
    </w:div>
    <w:div w:id="114636653">
      <w:bodyDiv w:val="1"/>
      <w:marLeft w:val="0"/>
      <w:marRight w:val="0"/>
      <w:marTop w:val="0"/>
      <w:marBottom w:val="0"/>
      <w:divBdr>
        <w:top w:val="none" w:sz="0" w:space="0" w:color="auto"/>
        <w:left w:val="none" w:sz="0" w:space="0" w:color="auto"/>
        <w:bottom w:val="none" w:sz="0" w:space="0" w:color="auto"/>
        <w:right w:val="none" w:sz="0" w:space="0" w:color="auto"/>
      </w:divBdr>
    </w:div>
    <w:div w:id="127668976">
      <w:bodyDiv w:val="1"/>
      <w:marLeft w:val="0"/>
      <w:marRight w:val="0"/>
      <w:marTop w:val="0"/>
      <w:marBottom w:val="0"/>
      <w:divBdr>
        <w:top w:val="none" w:sz="0" w:space="0" w:color="auto"/>
        <w:left w:val="none" w:sz="0" w:space="0" w:color="auto"/>
        <w:bottom w:val="none" w:sz="0" w:space="0" w:color="auto"/>
        <w:right w:val="none" w:sz="0" w:space="0" w:color="auto"/>
      </w:divBdr>
      <w:divsChild>
        <w:div w:id="116996380">
          <w:marLeft w:val="0"/>
          <w:marRight w:val="0"/>
          <w:marTop w:val="0"/>
          <w:marBottom w:val="0"/>
          <w:divBdr>
            <w:top w:val="none" w:sz="0" w:space="0" w:color="auto"/>
            <w:left w:val="none" w:sz="0" w:space="0" w:color="auto"/>
            <w:bottom w:val="none" w:sz="0" w:space="0" w:color="auto"/>
            <w:right w:val="none" w:sz="0" w:space="0" w:color="auto"/>
          </w:divBdr>
        </w:div>
      </w:divsChild>
    </w:div>
    <w:div w:id="183596897">
      <w:bodyDiv w:val="1"/>
      <w:marLeft w:val="0"/>
      <w:marRight w:val="0"/>
      <w:marTop w:val="0"/>
      <w:marBottom w:val="0"/>
      <w:divBdr>
        <w:top w:val="none" w:sz="0" w:space="0" w:color="auto"/>
        <w:left w:val="none" w:sz="0" w:space="0" w:color="auto"/>
        <w:bottom w:val="none" w:sz="0" w:space="0" w:color="auto"/>
        <w:right w:val="none" w:sz="0" w:space="0" w:color="auto"/>
      </w:divBdr>
    </w:div>
    <w:div w:id="279412230">
      <w:bodyDiv w:val="1"/>
      <w:marLeft w:val="0"/>
      <w:marRight w:val="0"/>
      <w:marTop w:val="0"/>
      <w:marBottom w:val="0"/>
      <w:divBdr>
        <w:top w:val="none" w:sz="0" w:space="0" w:color="auto"/>
        <w:left w:val="none" w:sz="0" w:space="0" w:color="auto"/>
        <w:bottom w:val="none" w:sz="0" w:space="0" w:color="auto"/>
        <w:right w:val="none" w:sz="0" w:space="0" w:color="auto"/>
      </w:divBdr>
    </w:div>
    <w:div w:id="298219995">
      <w:bodyDiv w:val="1"/>
      <w:marLeft w:val="0"/>
      <w:marRight w:val="0"/>
      <w:marTop w:val="0"/>
      <w:marBottom w:val="0"/>
      <w:divBdr>
        <w:top w:val="none" w:sz="0" w:space="0" w:color="auto"/>
        <w:left w:val="none" w:sz="0" w:space="0" w:color="auto"/>
        <w:bottom w:val="none" w:sz="0" w:space="0" w:color="auto"/>
        <w:right w:val="none" w:sz="0" w:space="0" w:color="auto"/>
      </w:divBdr>
    </w:div>
    <w:div w:id="324893756">
      <w:bodyDiv w:val="1"/>
      <w:marLeft w:val="0"/>
      <w:marRight w:val="0"/>
      <w:marTop w:val="0"/>
      <w:marBottom w:val="0"/>
      <w:divBdr>
        <w:top w:val="none" w:sz="0" w:space="0" w:color="auto"/>
        <w:left w:val="none" w:sz="0" w:space="0" w:color="auto"/>
        <w:bottom w:val="none" w:sz="0" w:space="0" w:color="auto"/>
        <w:right w:val="none" w:sz="0" w:space="0" w:color="auto"/>
      </w:divBdr>
    </w:div>
    <w:div w:id="331495140">
      <w:bodyDiv w:val="1"/>
      <w:marLeft w:val="0"/>
      <w:marRight w:val="0"/>
      <w:marTop w:val="0"/>
      <w:marBottom w:val="0"/>
      <w:divBdr>
        <w:top w:val="none" w:sz="0" w:space="0" w:color="auto"/>
        <w:left w:val="none" w:sz="0" w:space="0" w:color="auto"/>
        <w:bottom w:val="none" w:sz="0" w:space="0" w:color="auto"/>
        <w:right w:val="none" w:sz="0" w:space="0" w:color="auto"/>
      </w:divBdr>
    </w:div>
    <w:div w:id="374349182">
      <w:bodyDiv w:val="1"/>
      <w:marLeft w:val="0"/>
      <w:marRight w:val="0"/>
      <w:marTop w:val="0"/>
      <w:marBottom w:val="0"/>
      <w:divBdr>
        <w:top w:val="none" w:sz="0" w:space="0" w:color="auto"/>
        <w:left w:val="none" w:sz="0" w:space="0" w:color="auto"/>
        <w:bottom w:val="none" w:sz="0" w:space="0" w:color="auto"/>
        <w:right w:val="none" w:sz="0" w:space="0" w:color="auto"/>
      </w:divBdr>
    </w:div>
    <w:div w:id="392705629">
      <w:bodyDiv w:val="1"/>
      <w:marLeft w:val="0"/>
      <w:marRight w:val="0"/>
      <w:marTop w:val="0"/>
      <w:marBottom w:val="0"/>
      <w:divBdr>
        <w:top w:val="none" w:sz="0" w:space="0" w:color="auto"/>
        <w:left w:val="none" w:sz="0" w:space="0" w:color="auto"/>
        <w:bottom w:val="none" w:sz="0" w:space="0" w:color="auto"/>
        <w:right w:val="none" w:sz="0" w:space="0" w:color="auto"/>
      </w:divBdr>
    </w:div>
    <w:div w:id="411238431">
      <w:bodyDiv w:val="1"/>
      <w:marLeft w:val="0"/>
      <w:marRight w:val="0"/>
      <w:marTop w:val="0"/>
      <w:marBottom w:val="0"/>
      <w:divBdr>
        <w:top w:val="none" w:sz="0" w:space="0" w:color="auto"/>
        <w:left w:val="none" w:sz="0" w:space="0" w:color="auto"/>
        <w:bottom w:val="none" w:sz="0" w:space="0" w:color="auto"/>
        <w:right w:val="none" w:sz="0" w:space="0" w:color="auto"/>
      </w:divBdr>
    </w:div>
    <w:div w:id="486366192">
      <w:bodyDiv w:val="1"/>
      <w:marLeft w:val="0"/>
      <w:marRight w:val="0"/>
      <w:marTop w:val="0"/>
      <w:marBottom w:val="0"/>
      <w:divBdr>
        <w:top w:val="none" w:sz="0" w:space="0" w:color="auto"/>
        <w:left w:val="none" w:sz="0" w:space="0" w:color="auto"/>
        <w:bottom w:val="none" w:sz="0" w:space="0" w:color="auto"/>
        <w:right w:val="none" w:sz="0" w:space="0" w:color="auto"/>
      </w:divBdr>
      <w:divsChild>
        <w:div w:id="1352760980">
          <w:marLeft w:val="0"/>
          <w:marRight w:val="0"/>
          <w:marTop w:val="0"/>
          <w:marBottom w:val="0"/>
          <w:divBdr>
            <w:top w:val="none" w:sz="0" w:space="0" w:color="auto"/>
            <w:left w:val="none" w:sz="0" w:space="0" w:color="auto"/>
            <w:bottom w:val="none" w:sz="0" w:space="0" w:color="auto"/>
            <w:right w:val="none" w:sz="0" w:space="0" w:color="auto"/>
          </w:divBdr>
          <w:divsChild>
            <w:div w:id="1312324098">
              <w:marLeft w:val="0"/>
              <w:marRight w:val="0"/>
              <w:marTop w:val="0"/>
              <w:marBottom w:val="0"/>
              <w:divBdr>
                <w:top w:val="none" w:sz="0" w:space="0" w:color="auto"/>
                <w:left w:val="none" w:sz="0" w:space="0" w:color="auto"/>
                <w:bottom w:val="none" w:sz="0" w:space="0" w:color="auto"/>
                <w:right w:val="none" w:sz="0" w:space="0" w:color="auto"/>
              </w:divBdr>
              <w:divsChild>
                <w:div w:id="158495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377665">
      <w:bodyDiv w:val="1"/>
      <w:marLeft w:val="0"/>
      <w:marRight w:val="0"/>
      <w:marTop w:val="0"/>
      <w:marBottom w:val="0"/>
      <w:divBdr>
        <w:top w:val="none" w:sz="0" w:space="0" w:color="auto"/>
        <w:left w:val="none" w:sz="0" w:space="0" w:color="auto"/>
        <w:bottom w:val="none" w:sz="0" w:space="0" w:color="auto"/>
        <w:right w:val="none" w:sz="0" w:space="0" w:color="auto"/>
      </w:divBdr>
    </w:div>
    <w:div w:id="504789930">
      <w:bodyDiv w:val="1"/>
      <w:marLeft w:val="0"/>
      <w:marRight w:val="0"/>
      <w:marTop w:val="0"/>
      <w:marBottom w:val="0"/>
      <w:divBdr>
        <w:top w:val="none" w:sz="0" w:space="0" w:color="auto"/>
        <w:left w:val="none" w:sz="0" w:space="0" w:color="auto"/>
        <w:bottom w:val="none" w:sz="0" w:space="0" w:color="auto"/>
        <w:right w:val="none" w:sz="0" w:space="0" w:color="auto"/>
      </w:divBdr>
      <w:divsChild>
        <w:div w:id="1849827054">
          <w:marLeft w:val="0"/>
          <w:marRight w:val="0"/>
          <w:marTop w:val="0"/>
          <w:marBottom w:val="0"/>
          <w:divBdr>
            <w:top w:val="none" w:sz="0" w:space="0" w:color="auto"/>
            <w:left w:val="none" w:sz="0" w:space="0" w:color="auto"/>
            <w:bottom w:val="none" w:sz="0" w:space="0" w:color="auto"/>
            <w:right w:val="none" w:sz="0" w:space="0" w:color="auto"/>
          </w:divBdr>
          <w:divsChild>
            <w:div w:id="1343824708">
              <w:marLeft w:val="0"/>
              <w:marRight w:val="0"/>
              <w:marTop w:val="0"/>
              <w:marBottom w:val="0"/>
              <w:divBdr>
                <w:top w:val="none" w:sz="0" w:space="0" w:color="auto"/>
                <w:left w:val="none" w:sz="0" w:space="0" w:color="auto"/>
                <w:bottom w:val="none" w:sz="0" w:space="0" w:color="auto"/>
                <w:right w:val="none" w:sz="0" w:space="0" w:color="auto"/>
              </w:divBdr>
              <w:divsChild>
                <w:div w:id="177412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198692">
      <w:bodyDiv w:val="1"/>
      <w:marLeft w:val="0"/>
      <w:marRight w:val="0"/>
      <w:marTop w:val="0"/>
      <w:marBottom w:val="0"/>
      <w:divBdr>
        <w:top w:val="none" w:sz="0" w:space="0" w:color="auto"/>
        <w:left w:val="none" w:sz="0" w:space="0" w:color="auto"/>
        <w:bottom w:val="none" w:sz="0" w:space="0" w:color="auto"/>
        <w:right w:val="none" w:sz="0" w:space="0" w:color="auto"/>
      </w:divBdr>
    </w:div>
    <w:div w:id="636228441">
      <w:bodyDiv w:val="1"/>
      <w:marLeft w:val="0"/>
      <w:marRight w:val="0"/>
      <w:marTop w:val="0"/>
      <w:marBottom w:val="0"/>
      <w:divBdr>
        <w:top w:val="none" w:sz="0" w:space="0" w:color="auto"/>
        <w:left w:val="none" w:sz="0" w:space="0" w:color="auto"/>
        <w:bottom w:val="none" w:sz="0" w:space="0" w:color="auto"/>
        <w:right w:val="none" w:sz="0" w:space="0" w:color="auto"/>
      </w:divBdr>
      <w:divsChild>
        <w:div w:id="619723704">
          <w:marLeft w:val="0"/>
          <w:marRight w:val="0"/>
          <w:marTop w:val="0"/>
          <w:marBottom w:val="0"/>
          <w:divBdr>
            <w:top w:val="none" w:sz="0" w:space="0" w:color="auto"/>
            <w:left w:val="none" w:sz="0" w:space="0" w:color="auto"/>
            <w:bottom w:val="none" w:sz="0" w:space="0" w:color="auto"/>
            <w:right w:val="none" w:sz="0" w:space="0" w:color="auto"/>
          </w:divBdr>
        </w:div>
      </w:divsChild>
    </w:div>
    <w:div w:id="704448476">
      <w:bodyDiv w:val="1"/>
      <w:marLeft w:val="0"/>
      <w:marRight w:val="0"/>
      <w:marTop w:val="0"/>
      <w:marBottom w:val="0"/>
      <w:divBdr>
        <w:top w:val="none" w:sz="0" w:space="0" w:color="auto"/>
        <w:left w:val="none" w:sz="0" w:space="0" w:color="auto"/>
        <w:bottom w:val="none" w:sz="0" w:space="0" w:color="auto"/>
        <w:right w:val="none" w:sz="0" w:space="0" w:color="auto"/>
      </w:divBdr>
    </w:div>
    <w:div w:id="716318750">
      <w:bodyDiv w:val="1"/>
      <w:marLeft w:val="0"/>
      <w:marRight w:val="0"/>
      <w:marTop w:val="0"/>
      <w:marBottom w:val="0"/>
      <w:divBdr>
        <w:top w:val="none" w:sz="0" w:space="0" w:color="auto"/>
        <w:left w:val="none" w:sz="0" w:space="0" w:color="auto"/>
        <w:bottom w:val="none" w:sz="0" w:space="0" w:color="auto"/>
        <w:right w:val="none" w:sz="0" w:space="0" w:color="auto"/>
      </w:divBdr>
    </w:div>
    <w:div w:id="849830110">
      <w:bodyDiv w:val="1"/>
      <w:marLeft w:val="0"/>
      <w:marRight w:val="0"/>
      <w:marTop w:val="0"/>
      <w:marBottom w:val="0"/>
      <w:divBdr>
        <w:top w:val="none" w:sz="0" w:space="0" w:color="auto"/>
        <w:left w:val="none" w:sz="0" w:space="0" w:color="auto"/>
        <w:bottom w:val="none" w:sz="0" w:space="0" w:color="auto"/>
        <w:right w:val="none" w:sz="0" w:space="0" w:color="auto"/>
      </w:divBdr>
    </w:div>
    <w:div w:id="882785361">
      <w:bodyDiv w:val="1"/>
      <w:marLeft w:val="0"/>
      <w:marRight w:val="0"/>
      <w:marTop w:val="0"/>
      <w:marBottom w:val="0"/>
      <w:divBdr>
        <w:top w:val="none" w:sz="0" w:space="0" w:color="auto"/>
        <w:left w:val="none" w:sz="0" w:space="0" w:color="auto"/>
        <w:bottom w:val="none" w:sz="0" w:space="0" w:color="auto"/>
        <w:right w:val="none" w:sz="0" w:space="0" w:color="auto"/>
      </w:divBdr>
    </w:div>
    <w:div w:id="914783788">
      <w:bodyDiv w:val="1"/>
      <w:marLeft w:val="0"/>
      <w:marRight w:val="0"/>
      <w:marTop w:val="0"/>
      <w:marBottom w:val="0"/>
      <w:divBdr>
        <w:top w:val="none" w:sz="0" w:space="0" w:color="auto"/>
        <w:left w:val="none" w:sz="0" w:space="0" w:color="auto"/>
        <w:bottom w:val="none" w:sz="0" w:space="0" w:color="auto"/>
        <w:right w:val="none" w:sz="0" w:space="0" w:color="auto"/>
      </w:divBdr>
    </w:div>
    <w:div w:id="956109359">
      <w:bodyDiv w:val="1"/>
      <w:marLeft w:val="0"/>
      <w:marRight w:val="0"/>
      <w:marTop w:val="0"/>
      <w:marBottom w:val="0"/>
      <w:divBdr>
        <w:top w:val="none" w:sz="0" w:space="0" w:color="auto"/>
        <w:left w:val="none" w:sz="0" w:space="0" w:color="auto"/>
        <w:bottom w:val="none" w:sz="0" w:space="0" w:color="auto"/>
        <w:right w:val="none" w:sz="0" w:space="0" w:color="auto"/>
      </w:divBdr>
    </w:div>
    <w:div w:id="964624696">
      <w:bodyDiv w:val="1"/>
      <w:marLeft w:val="0"/>
      <w:marRight w:val="0"/>
      <w:marTop w:val="0"/>
      <w:marBottom w:val="0"/>
      <w:divBdr>
        <w:top w:val="none" w:sz="0" w:space="0" w:color="auto"/>
        <w:left w:val="none" w:sz="0" w:space="0" w:color="auto"/>
        <w:bottom w:val="none" w:sz="0" w:space="0" w:color="auto"/>
        <w:right w:val="none" w:sz="0" w:space="0" w:color="auto"/>
      </w:divBdr>
    </w:div>
    <w:div w:id="1126898605">
      <w:bodyDiv w:val="1"/>
      <w:marLeft w:val="0"/>
      <w:marRight w:val="0"/>
      <w:marTop w:val="0"/>
      <w:marBottom w:val="0"/>
      <w:divBdr>
        <w:top w:val="none" w:sz="0" w:space="0" w:color="auto"/>
        <w:left w:val="none" w:sz="0" w:space="0" w:color="auto"/>
        <w:bottom w:val="none" w:sz="0" w:space="0" w:color="auto"/>
        <w:right w:val="none" w:sz="0" w:space="0" w:color="auto"/>
      </w:divBdr>
    </w:div>
    <w:div w:id="1173640563">
      <w:bodyDiv w:val="1"/>
      <w:marLeft w:val="0"/>
      <w:marRight w:val="0"/>
      <w:marTop w:val="0"/>
      <w:marBottom w:val="0"/>
      <w:divBdr>
        <w:top w:val="none" w:sz="0" w:space="0" w:color="auto"/>
        <w:left w:val="none" w:sz="0" w:space="0" w:color="auto"/>
        <w:bottom w:val="none" w:sz="0" w:space="0" w:color="auto"/>
        <w:right w:val="none" w:sz="0" w:space="0" w:color="auto"/>
      </w:divBdr>
      <w:divsChild>
        <w:div w:id="236667670">
          <w:marLeft w:val="0"/>
          <w:marRight w:val="0"/>
          <w:marTop w:val="0"/>
          <w:marBottom w:val="0"/>
          <w:divBdr>
            <w:top w:val="none" w:sz="0" w:space="0" w:color="auto"/>
            <w:left w:val="none" w:sz="0" w:space="0" w:color="auto"/>
            <w:bottom w:val="none" w:sz="0" w:space="0" w:color="auto"/>
            <w:right w:val="none" w:sz="0" w:space="0" w:color="auto"/>
          </w:divBdr>
          <w:divsChild>
            <w:div w:id="444160927">
              <w:marLeft w:val="0"/>
              <w:marRight w:val="0"/>
              <w:marTop w:val="0"/>
              <w:marBottom w:val="0"/>
              <w:divBdr>
                <w:top w:val="none" w:sz="0" w:space="0" w:color="auto"/>
                <w:left w:val="none" w:sz="0" w:space="0" w:color="auto"/>
                <w:bottom w:val="none" w:sz="0" w:space="0" w:color="auto"/>
                <w:right w:val="none" w:sz="0" w:space="0" w:color="auto"/>
              </w:divBdr>
              <w:divsChild>
                <w:div w:id="205180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430790">
      <w:bodyDiv w:val="1"/>
      <w:marLeft w:val="0"/>
      <w:marRight w:val="0"/>
      <w:marTop w:val="0"/>
      <w:marBottom w:val="0"/>
      <w:divBdr>
        <w:top w:val="none" w:sz="0" w:space="0" w:color="auto"/>
        <w:left w:val="none" w:sz="0" w:space="0" w:color="auto"/>
        <w:bottom w:val="none" w:sz="0" w:space="0" w:color="auto"/>
        <w:right w:val="none" w:sz="0" w:space="0" w:color="auto"/>
      </w:divBdr>
    </w:div>
    <w:div w:id="1375883382">
      <w:bodyDiv w:val="1"/>
      <w:marLeft w:val="0"/>
      <w:marRight w:val="0"/>
      <w:marTop w:val="0"/>
      <w:marBottom w:val="0"/>
      <w:divBdr>
        <w:top w:val="none" w:sz="0" w:space="0" w:color="auto"/>
        <w:left w:val="none" w:sz="0" w:space="0" w:color="auto"/>
        <w:bottom w:val="none" w:sz="0" w:space="0" w:color="auto"/>
        <w:right w:val="none" w:sz="0" w:space="0" w:color="auto"/>
      </w:divBdr>
    </w:div>
    <w:div w:id="1481457184">
      <w:bodyDiv w:val="1"/>
      <w:marLeft w:val="0"/>
      <w:marRight w:val="0"/>
      <w:marTop w:val="0"/>
      <w:marBottom w:val="0"/>
      <w:divBdr>
        <w:top w:val="none" w:sz="0" w:space="0" w:color="auto"/>
        <w:left w:val="none" w:sz="0" w:space="0" w:color="auto"/>
        <w:bottom w:val="none" w:sz="0" w:space="0" w:color="auto"/>
        <w:right w:val="none" w:sz="0" w:space="0" w:color="auto"/>
      </w:divBdr>
    </w:div>
    <w:div w:id="1486707341">
      <w:bodyDiv w:val="1"/>
      <w:marLeft w:val="0"/>
      <w:marRight w:val="0"/>
      <w:marTop w:val="0"/>
      <w:marBottom w:val="0"/>
      <w:divBdr>
        <w:top w:val="none" w:sz="0" w:space="0" w:color="auto"/>
        <w:left w:val="none" w:sz="0" w:space="0" w:color="auto"/>
        <w:bottom w:val="none" w:sz="0" w:space="0" w:color="auto"/>
        <w:right w:val="none" w:sz="0" w:space="0" w:color="auto"/>
      </w:divBdr>
      <w:divsChild>
        <w:div w:id="277177450">
          <w:marLeft w:val="0"/>
          <w:marRight w:val="0"/>
          <w:marTop w:val="0"/>
          <w:marBottom w:val="0"/>
          <w:divBdr>
            <w:top w:val="none" w:sz="0" w:space="0" w:color="auto"/>
            <w:left w:val="none" w:sz="0" w:space="0" w:color="auto"/>
            <w:bottom w:val="none" w:sz="0" w:space="0" w:color="auto"/>
            <w:right w:val="none" w:sz="0" w:space="0" w:color="auto"/>
          </w:divBdr>
          <w:divsChild>
            <w:div w:id="37970307">
              <w:marLeft w:val="0"/>
              <w:marRight w:val="0"/>
              <w:marTop w:val="0"/>
              <w:marBottom w:val="0"/>
              <w:divBdr>
                <w:top w:val="none" w:sz="0" w:space="0" w:color="auto"/>
                <w:left w:val="none" w:sz="0" w:space="0" w:color="auto"/>
                <w:bottom w:val="none" w:sz="0" w:space="0" w:color="auto"/>
                <w:right w:val="none" w:sz="0" w:space="0" w:color="auto"/>
              </w:divBdr>
              <w:divsChild>
                <w:div w:id="1223295099">
                  <w:marLeft w:val="0"/>
                  <w:marRight w:val="0"/>
                  <w:marTop w:val="0"/>
                  <w:marBottom w:val="0"/>
                  <w:divBdr>
                    <w:top w:val="none" w:sz="0" w:space="0" w:color="auto"/>
                    <w:left w:val="none" w:sz="0" w:space="0" w:color="auto"/>
                    <w:bottom w:val="none" w:sz="0" w:space="0" w:color="auto"/>
                    <w:right w:val="none" w:sz="0" w:space="0" w:color="auto"/>
                  </w:divBdr>
                  <w:divsChild>
                    <w:div w:id="118293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719270">
      <w:bodyDiv w:val="1"/>
      <w:marLeft w:val="0"/>
      <w:marRight w:val="0"/>
      <w:marTop w:val="0"/>
      <w:marBottom w:val="0"/>
      <w:divBdr>
        <w:top w:val="none" w:sz="0" w:space="0" w:color="auto"/>
        <w:left w:val="none" w:sz="0" w:space="0" w:color="auto"/>
        <w:bottom w:val="none" w:sz="0" w:space="0" w:color="auto"/>
        <w:right w:val="none" w:sz="0" w:space="0" w:color="auto"/>
      </w:divBdr>
    </w:div>
    <w:div w:id="1684281040">
      <w:bodyDiv w:val="1"/>
      <w:marLeft w:val="0"/>
      <w:marRight w:val="0"/>
      <w:marTop w:val="0"/>
      <w:marBottom w:val="0"/>
      <w:divBdr>
        <w:top w:val="none" w:sz="0" w:space="0" w:color="auto"/>
        <w:left w:val="none" w:sz="0" w:space="0" w:color="auto"/>
        <w:bottom w:val="none" w:sz="0" w:space="0" w:color="auto"/>
        <w:right w:val="none" w:sz="0" w:space="0" w:color="auto"/>
      </w:divBdr>
    </w:div>
    <w:div w:id="1698769485">
      <w:bodyDiv w:val="1"/>
      <w:marLeft w:val="0"/>
      <w:marRight w:val="0"/>
      <w:marTop w:val="0"/>
      <w:marBottom w:val="0"/>
      <w:divBdr>
        <w:top w:val="none" w:sz="0" w:space="0" w:color="auto"/>
        <w:left w:val="none" w:sz="0" w:space="0" w:color="auto"/>
        <w:bottom w:val="none" w:sz="0" w:space="0" w:color="auto"/>
        <w:right w:val="none" w:sz="0" w:space="0" w:color="auto"/>
      </w:divBdr>
    </w:div>
    <w:div w:id="1770154424">
      <w:bodyDiv w:val="1"/>
      <w:marLeft w:val="0"/>
      <w:marRight w:val="0"/>
      <w:marTop w:val="0"/>
      <w:marBottom w:val="0"/>
      <w:divBdr>
        <w:top w:val="none" w:sz="0" w:space="0" w:color="auto"/>
        <w:left w:val="none" w:sz="0" w:space="0" w:color="auto"/>
        <w:bottom w:val="none" w:sz="0" w:space="0" w:color="auto"/>
        <w:right w:val="none" w:sz="0" w:space="0" w:color="auto"/>
      </w:divBdr>
    </w:div>
    <w:div w:id="1908418874">
      <w:bodyDiv w:val="1"/>
      <w:marLeft w:val="0"/>
      <w:marRight w:val="0"/>
      <w:marTop w:val="0"/>
      <w:marBottom w:val="0"/>
      <w:divBdr>
        <w:top w:val="none" w:sz="0" w:space="0" w:color="auto"/>
        <w:left w:val="none" w:sz="0" w:space="0" w:color="auto"/>
        <w:bottom w:val="none" w:sz="0" w:space="0" w:color="auto"/>
        <w:right w:val="none" w:sz="0" w:space="0" w:color="auto"/>
      </w:divBdr>
      <w:divsChild>
        <w:div w:id="793448235">
          <w:marLeft w:val="0"/>
          <w:marRight w:val="0"/>
          <w:marTop w:val="0"/>
          <w:marBottom w:val="0"/>
          <w:divBdr>
            <w:top w:val="none" w:sz="0" w:space="0" w:color="auto"/>
            <w:left w:val="none" w:sz="0" w:space="0" w:color="auto"/>
            <w:bottom w:val="none" w:sz="0" w:space="0" w:color="auto"/>
            <w:right w:val="none" w:sz="0" w:space="0" w:color="auto"/>
          </w:divBdr>
          <w:divsChild>
            <w:div w:id="1859854039">
              <w:marLeft w:val="0"/>
              <w:marRight w:val="0"/>
              <w:marTop w:val="0"/>
              <w:marBottom w:val="0"/>
              <w:divBdr>
                <w:top w:val="none" w:sz="0" w:space="0" w:color="auto"/>
                <w:left w:val="none" w:sz="0" w:space="0" w:color="auto"/>
                <w:bottom w:val="none" w:sz="0" w:space="0" w:color="auto"/>
                <w:right w:val="none" w:sz="0" w:space="0" w:color="auto"/>
              </w:divBdr>
              <w:divsChild>
                <w:div w:id="156116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poxta2.colombiacompra.gov.co/sites/docs/_layouts/15/listform.aspx?PageType=6&amp;ListId=%7b41406f67-8aaf-444a-8f23-f6b9ad006b34%7d&amp;ID=90277"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poxta2.colombiacompra.gov.co/sites/docs/_layouts/15/listform.aspx?PageType=6&amp;ListId=%7b41406f67-8aaf-444a-8f23-f6b9ad006b34%7d&amp;ID=86151"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2.png" Id="rId14" /></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circulares/circular_externa_002_2022.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78D35C-EA8A-48B3-9921-12313FFE019E}">
  <ds:schemaRefs>
    <ds:schemaRef ds:uri="http://schemas.microsoft.com/sharepoint/v3/contenttype/forms"/>
  </ds:schemaRefs>
</ds:datastoreItem>
</file>

<file path=customXml/itemProps2.xml><?xml version="1.0" encoding="utf-8"?>
<ds:datastoreItem xmlns:ds="http://schemas.openxmlformats.org/officeDocument/2006/customXml" ds:itemID="{76ADC15F-B511-4C4B-91C6-DD4AD79C7453}">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2BD17EC9-04D6-4F1B-BD97-5AF521ED9608}"/>
</file>

<file path=customXml/itemProps4.xml><?xml version="1.0" encoding="utf-8"?>
<ds:datastoreItem xmlns:ds="http://schemas.openxmlformats.org/officeDocument/2006/customXml" ds:itemID="{303C52AE-CEDA-FD42-B40D-BD0DC712E3C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Alejandra Materon Garcia</dc:creator>
  <cp:keywords/>
  <dc:description/>
  <cp:lastModifiedBy>Nasly Yeana Mosquera Rivas</cp:lastModifiedBy>
  <cp:revision>7</cp:revision>
  <dcterms:created xsi:type="dcterms:W3CDTF">2022-04-26T22:16:00Z</dcterms:created>
  <dcterms:modified xsi:type="dcterms:W3CDTF">2024-05-22T15:32:25Z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