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C3A2B" w:rsidR="0034177C" w:rsidP="0034177C" w:rsidRDefault="009F59C2" w14:paraId="182E957B" w14:textId="768D39FC">
      <w:pPr>
        <w:jc w:val="right"/>
        <w:rPr>
          <w:rFonts w:ascii="Arial" w:hAnsi="Arial" w:cs="Arial"/>
          <w:b/>
          <w:color w:val="000000" w:themeColor="text1"/>
          <w:sz w:val="16"/>
          <w:szCs w:val="16"/>
          <w:lang w:eastAsia="es-ES"/>
        </w:rPr>
      </w:pPr>
      <w:bookmarkStart w:name="_Hlk28946138" w:id="0"/>
      <w:bookmarkStart w:name="_Hlk29548183" w:id="1"/>
      <w:r w:rsidRPr="009C3A2B">
        <w:rPr>
          <w:rFonts w:ascii="Arial" w:hAnsi="Arial" w:cs="Arial"/>
          <w:b/>
          <w:color w:val="000000" w:themeColor="text1"/>
          <w:sz w:val="16"/>
          <w:szCs w:val="16"/>
          <w:lang w:eastAsia="es-ES"/>
        </w:rPr>
        <w:tab/>
      </w:r>
      <w:r w:rsidRPr="009C3A2B" w:rsidR="0034177C">
        <w:rPr>
          <w:rFonts w:ascii="Arial" w:hAnsi="Arial" w:cs="Arial"/>
          <w:b/>
          <w:color w:val="000000" w:themeColor="text1"/>
          <w:sz w:val="16"/>
          <w:szCs w:val="16"/>
          <w:lang w:eastAsia="es-ES"/>
        </w:rPr>
        <w:t>CCE-DES-FM-17</w:t>
      </w:r>
    </w:p>
    <w:p w:rsidRPr="009C3A2B" w:rsidR="0034177C" w:rsidP="00AB5E07" w:rsidRDefault="0034177C" w14:paraId="33FF83A2" w14:textId="77777777">
      <w:pPr>
        <w:jc w:val="both"/>
        <w:rPr>
          <w:rFonts w:ascii="Arial" w:hAnsi="Arial" w:eastAsia="Calibri" w:cs="Arial"/>
          <w:b/>
          <w:color w:val="000000" w:themeColor="text1"/>
          <w:sz w:val="16"/>
          <w:szCs w:val="16"/>
        </w:rPr>
      </w:pPr>
    </w:p>
    <w:p w:rsidRPr="009C3A2B" w:rsidR="00F1108B" w:rsidP="52B7F709" w:rsidRDefault="00B37EE9" w14:paraId="5BCD1020" w14:textId="2DCD3B08">
      <w:pPr>
        <w:pStyle w:val="Normal"/>
        <w:jc w:val="both"/>
        <w:rPr>
          <w:rFonts w:ascii="Arial" w:hAnsi="Arial" w:eastAsia="Calibri" w:cs="Arial"/>
          <w:color w:val="000000" w:themeColor="text1"/>
          <w:sz w:val="22"/>
          <w:szCs w:val="22"/>
          <w:lang w:val="es-ES"/>
        </w:rPr>
      </w:pPr>
      <w:bookmarkEnd w:id="0"/>
      <w:bookmarkEnd w:id="1"/>
      <w:r w:rsidRPr="52B7F709" w:rsidR="00B37EE9">
        <w:rPr>
          <w:rFonts w:ascii="Arial" w:hAnsi="Arial" w:eastAsia="Calibri" w:cs="Arial"/>
          <w:b w:val="1"/>
          <w:bCs w:val="1"/>
          <w:color w:val="000000" w:themeColor="text1" w:themeTint="FF" w:themeShade="FF"/>
          <w:sz w:val="22"/>
          <w:szCs w:val="22"/>
          <w:lang w:val="es-ES"/>
        </w:rPr>
        <w:t xml:space="preserve">RECHAZO DE LA OFERTA </w:t>
      </w:r>
      <w:r w:rsidRPr="52B7F709" w:rsidR="00AB5E07">
        <w:rPr>
          <w:rFonts w:ascii="Arial" w:hAnsi="Arial" w:eastAsia="Calibri" w:cs="Arial"/>
          <w:b w:val="1"/>
          <w:bCs w:val="1"/>
          <w:color w:val="000000" w:themeColor="text1" w:themeTint="FF" w:themeShade="FF"/>
          <w:sz w:val="22"/>
          <w:szCs w:val="22"/>
        </w:rPr>
        <w:t>–</w:t>
      </w:r>
      <w:r w:rsidRPr="52B7F709" w:rsidR="00B37EE9">
        <w:rPr>
          <w:rFonts w:ascii="Arial" w:hAnsi="Arial" w:eastAsia="Calibri" w:cs="Arial"/>
          <w:b w:val="1"/>
          <w:bCs w:val="1"/>
          <w:color w:val="000000" w:themeColor="text1" w:themeTint="FF" w:themeShade="FF"/>
          <w:sz w:val="22"/>
          <w:szCs w:val="22"/>
        </w:rPr>
        <w:t xml:space="preserve"> Causales </w:t>
      </w:r>
      <w:r w:rsidRPr="52B7F709" w:rsidR="00B37EE9">
        <w:rPr>
          <w:rFonts w:ascii="Arial" w:hAnsi="Arial" w:eastAsia="Calibri" w:cs="Arial"/>
          <w:b w:val="1"/>
          <w:bCs w:val="1"/>
          <w:color w:val="000000" w:themeColor="text1" w:themeTint="FF" w:themeShade="FF"/>
          <w:sz w:val="22"/>
          <w:szCs w:val="22"/>
        </w:rPr>
        <w:t>–</w:t>
      </w:r>
      <w:r w:rsidRPr="52B7F709" w:rsidR="00F1108B">
        <w:rPr>
          <w:rFonts w:ascii="Arial" w:hAnsi="Arial" w:eastAsia="Calibri" w:cs="Arial"/>
          <w:b w:val="1"/>
          <w:bCs w:val="1"/>
          <w:color w:val="000000" w:themeColor="text1" w:themeTint="FF" w:themeShade="FF"/>
          <w:sz w:val="22"/>
          <w:szCs w:val="22"/>
          <w:lang w:val="es-ES"/>
        </w:rPr>
        <w:t xml:space="preserve"> </w:t>
      </w:r>
      <w:r w:rsidRPr="52B7F709" w:rsidR="00EA5464">
        <w:rPr>
          <w:rFonts w:ascii="Arial" w:hAnsi="Arial" w:eastAsia="Calibri" w:cs="Arial"/>
          <w:b w:val="1"/>
          <w:bCs w:val="1"/>
          <w:color w:val="000000" w:themeColor="text1" w:themeTint="FF" w:themeShade="FF"/>
          <w:sz w:val="22"/>
          <w:szCs w:val="22"/>
          <w:lang w:val="es-ES"/>
        </w:rPr>
        <w:t xml:space="preserve">Principio de imparcialidad </w:t>
      </w:r>
      <w:r w:rsidRPr="52B7F709" w:rsidR="5D7607EE">
        <w:rPr>
          <w:rFonts w:ascii="Arial" w:hAnsi="Arial" w:eastAsia="Calibri" w:cs="Arial"/>
          <w:b w:val="1"/>
          <w:bCs w:val="1"/>
          <w:color w:val="000000" w:themeColor="text1" w:themeTint="FF" w:themeShade="FF"/>
          <w:sz w:val="22"/>
          <w:szCs w:val="22"/>
        </w:rPr>
        <w:t>– Principio de</w:t>
      </w:r>
      <w:r w:rsidRPr="52B7F709" w:rsidR="00EA5464">
        <w:rPr>
          <w:rFonts w:ascii="Arial" w:hAnsi="Arial" w:eastAsia="Calibri" w:cs="Arial"/>
          <w:b w:val="1"/>
          <w:bCs w:val="1"/>
          <w:color w:val="000000" w:themeColor="text1" w:themeTint="FF" w:themeShade="FF"/>
          <w:sz w:val="22"/>
          <w:szCs w:val="22"/>
          <w:lang w:val="es-ES"/>
        </w:rPr>
        <w:t xml:space="preserve"> selección objetiva</w:t>
      </w:r>
    </w:p>
    <w:p w:rsidRPr="009C3A2B" w:rsidR="00F1108B" w:rsidP="00AB5E07" w:rsidRDefault="00F1108B" w14:paraId="64F08AF7" w14:textId="77777777">
      <w:pPr>
        <w:jc w:val="both"/>
        <w:rPr>
          <w:rFonts w:ascii="Arial" w:hAnsi="Arial" w:eastAsia="Calibri" w:cs="Arial"/>
          <w:color w:val="000000" w:themeColor="text1"/>
          <w:sz w:val="22"/>
          <w:lang w:val="es-ES_tradnl"/>
        </w:rPr>
      </w:pPr>
    </w:p>
    <w:p w:rsidRPr="009C3A2B" w:rsidR="00EA5464" w:rsidP="00AB5E07" w:rsidRDefault="00EA5464" w14:paraId="1449D91D" w14:textId="5C17CAC7">
      <w:pPr>
        <w:jc w:val="both"/>
        <w:rPr>
          <w:rFonts w:ascii="Arial" w:hAnsi="Arial" w:eastAsia="Calibri" w:cs="Arial"/>
          <w:color w:val="000000" w:themeColor="text1"/>
          <w:sz w:val="20"/>
          <w:lang w:val="es-ES_tradnl"/>
        </w:rPr>
      </w:pPr>
      <w:r w:rsidRPr="009C3A2B">
        <w:rPr>
          <w:rFonts w:ascii="Arial" w:hAnsi="Arial" w:eastAsia="Calibri" w:cs="Arial"/>
          <w:color w:val="000000" w:themeColor="text1"/>
          <w:sz w:val="20"/>
          <w:lang w:val="es-ES_tradnl"/>
        </w:rPr>
        <w:t>Dichos principios tienen un papel relevante en la elaboración de los pliegos de condiciones, pues si bien las entidades tienen un margen de autonomía para definir algunos aspectos del futuro negocio, las causales de rechazo de las propuestas deben ser razonables, bien porque algunas de éstas se encuentren previstas en el ordenamiento o porque conducen a que se adjudique el contrato al proponente que cumple con los requisitos técnicos y económicos para su ejecución. En esta medida, dichas causales no deben fundamentarse en el simple capricho o el mero arbitrio, lo cual –además de contrariar los principios analizados– limita la participación-</w:t>
      </w:r>
    </w:p>
    <w:p w:rsidRPr="009C3A2B" w:rsidR="00EA5464" w:rsidP="00AB5E07" w:rsidRDefault="00EA5464" w14:paraId="17CB08E4" w14:textId="77777777">
      <w:pPr>
        <w:jc w:val="both"/>
        <w:rPr>
          <w:rFonts w:ascii="Arial" w:hAnsi="Arial" w:eastAsia="Calibri" w:cs="Arial"/>
          <w:color w:val="000000" w:themeColor="text1"/>
          <w:sz w:val="22"/>
          <w:lang w:val="es-ES_tradnl"/>
        </w:rPr>
      </w:pPr>
    </w:p>
    <w:p w:rsidRPr="009C3A2B" w:rsidR="00127AF2" w:rsidP="52B7F709" w:rsidRDefault="007B2500" w14:paraId="2A937FDE" w14:textId="1F914CC5">
      <w:pPr>
        <w:jc w:val="both"/>
        <w:rPr>
          <w:rFonts w:ascii="Arial" w:hAnsi="Arial" w:eastAsia="Calibri" w:cs="Arial"/>
          <w:color w:val="000000" w:themeColor="text1"/>
          <w:sz w:val="22"/>
          <w:szCs w:val="22"/>
          <w:lang w:val="es-ES"/>
        </w:rPr>
      </w:pPr>
      <w:r w:rsidRPr="52B7F709" w:rsidR="007B2500">
        <w:rPr>
          <w:rFonts w:ascii="Arial" w:hAnsi="Arial" w:eastAsia="Calibri" w:cs="Arial"/>
          <w:b w:val="1"/>
          <w:bCs w:val="1"/>
          <w:color w:val="000000" w:themeColor="text1" w:themeTint="FF" w:themeShade="FF"/>
          <w:sz w:val="22"/>
          <w:szCs w:val="22"/>
          <w:lang w:val="es-ES"/>
        </w:rPr>
        <w:t>R</w:t>
      </w:r>
      <w:r w:rsidRPr="52B7F709" w:rsidR="77CA56F0">
        <w:rPr>
          <w:rFonts w:ascii="Arial" w:hAnsi="Arial" w:eastAsia="Calibri" w:cs="Arial"/>
          <w:b w:val="1"/>
          <w:bCs w:val="1"/>
          <w:color w:val="000000" w:themeColor="text1" w:themeTint="FF" w:themeShade="FF"/>
          <w:sz w:val="22"/>
          <w:szCs w:val="22"/>
          <w:lang w:val="es-ES"/>
        </w:rPr>
        <w:t>É</w:t>
      </w:r>
      <w:r w:rsidRPr="52B7F709" w:rsidR="007B2500">
        <w:rPr>
          <w:rFonts w:ascii="Arial" w:hAnsi="Arial" w:eastAsia="Calibri" w:cs="Arial"/>
          <w:b w:val="1"/>
          <w:bCs w:val="1"/>
          <w:color w:val="000000" w:themeColor="text1" w:themeTint="FF" w:themeShade="FF"/>
          <w:sz w:val="22"/>
          <w:szCs w:val="22"/>
          <w:lang w:val="es-ES"/>
        </w:rPr>
        <w:t xml:space="preserve">GIMEN DE </w:t>
      </w:r>
      <w:r w:rsidRPr="52B7F709" w:rsidR="00EA5464">
        <w:rPr>
          <w:rFonts w:ascii="Arial" w:hAnsi="Arial" w:eastAsia="Calibri" w:cs="Arial"/>
          <w:b w:val="1"/>
          <w:bCs w:val="1"/>
          <w:color w:val="000000" w:themeColor="text1" w:themeTint="FF" w:themeShade="FF"/>
          <w:sz w:val="22"/>
          <w:szCs w:val="22"/>
          <w:lang w:val="es-ES"/>
        </w:rPr>
        <w:t>INHABILIDADES</w:t>
      </w:r>
      <w:r w:rsidRPr="52B7F709" w:rsidR="00127AF2">
        <w:rPr>
          <w:rFonts w:ascii="Arial" w:hAnsi="Arial" w:eastAsia="Calibri" w:cs="Arial"/>
          <w:b w:val="1"/>
          <w:bCs w:val="1"/>
          <w:color w:val="000000" w:themeColor="text1" w:themeTint="FF" w:themeShade="FF"/>
          <w:sz w:val="22"/>
          <w:szCs w:val="22"/>
          <w:lang w:val="es-ES"/>
        </w:rPr>
        <w:t xml:space="preserve"> </w:t>
      </w:r>
      <w:r w:rsidRPr="52B7F709" w:rsidR="00AB5E07">
        <w:rPr>
          <w:rFonts w:ascii="Arial" w:hAnsi="Arial" w:eastAsia="Calibri" w:cs="Arial"/>
          <w:b w:val="1"/>
          <w:bCs w:val="1"/>
          <w:color w:val="000000" w:themeColor="text1" w:themeTint="FF" w:themeShade="FF"/>
          <w:sz w:val="22"/>
          <w:szCs w:val="22"/>
        </w:rPr>
        <w:t>–</w:t>
      </w:r>
      <w:r w:rsidRPr="52B7F709" w:rsidR="00127AF2">
        <w:rPr>
          <w:rFonts w:ascii="Arial" w:hAnsi="Arial" w:eastAsia="Calibri" w:cs="Arial"/>
          <w:b w:val="1"/>
          <w:bCs w:val="1"/>
          <w:color w:val="000000" w:themeColor="text1" w:themeTint="FF" w:themeShade="FF"/>
          <w:sz w:val="22"/>
          <w:szCs w:val="22"/>
          <w:lang w:val="es-ES"/>
        </w:rPr>
        <w:t xml:space="preserve"> </w:t>
      </w:r>
      <w:r w:rsidRPr="52B7F709" w:rsidR="00EA5464">
        <w:rPr>
          <w:rFonts w:ascii="Arial" w:hAnsi="Arial" w:eastAsia="Calibri" w:cs="Arial"/>
          <w:b w:val="1"/>
          <w:bCs w:val="1"/>
          <w:color w:val="000000" w:themeColor="text1" w:themeTint="FF" w:themeShade="FF"/>
          <w:sz w:val="22"/>
          <w:szCs w:val="22"/>
          <w:lang w:val="es-ES"/>
        </w:rPr>
        <w:t>Reserva legal</w:t>
      </w:r>
    </w:p>
    <w:p w:rsidRPr="009C3A2B" w:rsidR="00127AF2" w:rsidP="00AB5E07" w:rsidRDefault="00127AF2" w14:paraId="779D26A9" w14:textId="77777777">
      <w:pPr>
        <w:jc w:val="both"/>
        <w:rPr>
          <w:rFonts w:ascii="Arial" w:hAnsi="Arial" w:eastAsia="Calibri" w:cs="Arial"/>
          <w:color w:val="000000" w:themeColor="text1"/>
          <w:sz w:val="22"/>
          <w:lang w:val="es-ES_tradnl"/>
        </w:rPr>
      </w:pPr>
    </w:p>
    <w:p w:rsidRPr="009C3A2B" w:rsidR="00F1108B" w:rsidP="00AB5E07" w:rsidRDefault="00EA5464" w14:paraId="1EC31A53" w14:textId="3D0C812F">
      <w:pPr>
        <w:jc w:val="both"/>
        <w:rPr>
          <w:rFonts w:ascii="Arial" w:hAnsi="Arial" w:eastAsia="Calibri" w:cs="Arial"/>
          <w:color w:val="000000" w:themeColor="text1"/>
          <w:sz w:val="20"/>
          <w:lang w:val="es-ES_tradnl"/>
        </w:rPr>
      </w:pPr>
      <w:r w:rsidRPr="009C3A2B">
        <w:rPr>
          <w:rFonts w:ascii="Arial" w:hAnsi="Arial" w:eastAsia="Calibri" w:cs="Arial"/>
          <w:color w:val="000000" w:themeColor="text1"/>
          <w:sz w:val="20"/>
          <w:lang w:val="es-ES_tradnl"/>
        </w:rPr>
        <w:t xml:space="preserve">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Bajo estas circunstancias, las entidades públicas no pueden establecer en el pliego de condiciones causales de inhabilidad no previstas en la Constitución o en la ley. En consecuencia, al tratarse de una materia que tiene reserva legal, no resulta jurídicamente posible que una entidad pública o una </w:t>
      </w:r>
      <w:proofErr w:type="gramStart"/>
      <w:r w:rsidRPr="009C3A2B">
        <w:rPr>
          <w:rFonts w:ascii="Arial" w:hAnsi="Arial" w:eastAsia="Calibri" w:cs="Arial"/>
          <w:color w:val="000000" w:themeColor="text1"/>
          <w:sz w:val="20"/>
          <w:lang w:val="es-ES_tradnl"/>
        </w:rPr>
        <w:t>autoridad pública</w:t>
      </w:r>
      <w:proofErr w:type="gramEnd"/>
      <w:r w:rsidRPr="009C3A2B">
        <w:rPr>
          <w:rFonts w:ascii="Arial" w:hAnsi="Arial" w:eastAsia="Calibri" w:cs="Arial"/>
          <w:color w:val="000000" w:themeColor="text1"/>
          <w:sz w:val="20"/>
          <w:lang w:val="es-ES_tradnl"/>
        </w:rPr>
        <w:t xml:space="preserve"> establezcan nuevas causales que afecten la capacidad para contratar con el Estado, ni siquiera haciéndolas pasar como causa para rechazar los ofrecimientos realizados a la entidad.</w:t>
      </w:r>
    </w:p>
    <w:p w:rsidRPr="009C3A2B" w:rsidR="00EA5464" w:rsidP="00AB5E07" w:rsidRDefault="00EA5464" w14:paraId="23C4B21B" w14:textId="4BF17AF8">
      <w:pPr>
        <w:jc w:val="both"/>
        <w:rPr>
          <w:rFonts w:ascii="Arial" w:hAnsi="Arial" w:eastAsia="Calibri" w:cs="Arial"/>
          <w:color w:val="000000" w:themeColor="text1"/>
          <w:sz w:val="20"/>
          <w:lang w:val="es-ES_tradnl"/>
        </w:rPr>
      </w:pPr>
    </w:p>
    <w:p w:rsidRPr="009C3A2B" w:rsidR="00EA5464" w:rsidP="52B7F709" w:rsidRDefault="00594FFF" w14:paraId="4FD81068" w14:textId="49E342D5">
      <w:pPr>
        <w:pStyle w:val="Normal"/>
        <w:jc w:val="both"/>
        <w:rPr>
          <w:rFonts w:ascii="Arial" w:hAnsi="Arial" w:eastAsia="Calibri" w:cs="Arial"/>
          <w:color w:val="000000" w:themeColor="text1" w:themeTint="FF" w:themeShade="FF"/>
          <w:sz w:val="20"/>
          <w:szCs w:val="20"/>
          <w:lang w:val="es-ES"/>
        </w:rPr>
      </w:pPr>
      <w:r w:rsidRPr="52B7F709" w:rsidR="00EA5464">
        <w:rPr>
          <w:rFonts w:ascii="Arial" w:hAnsi="Arial" w:eastAsia="Calibri" w:cs="Arial"/>
          <w:b w:val="1"/>
          <w:bCs w:val="1"/>
          <w:color w:val="000000" w:themeColor="text1" w:themeTint="FF" w:themeShade="FF"/>
          <w:sz w:val="22"/>
          <w:szCs w:val="22"/>
          <w:lang w:val="es-ES"/>
        </w:rPr>
        <w:t xml:space="preserve">LISTA CLINTON </w:t>
      </w:r>
      <w:r w:rsidRPr="52B7F709" w:rsidR="00AB5E07">
        <w:rPr>
          <w:rFonts w:ascii="Arial" w:hAnsi="Arial" w:eastAsia="Calibri" w:cs="Arial"/>
          <w:b w:val="1"/>
          <w:bCs w:val="1"/>
          <w:color w:val="000000" w:themeColor="text1" w:themeTint="FF" w:themeShade="FF"/>
          <w:sz w:val="22"/>
          <w:szCs w:val="22"/>
        </w:rPr>
        <w:t>–</w:t>
      </w:r>
      <w:r w:rsidRPr="52B7F709" w:rsidR="00EA5464">
        <w:rPr>
          <w:rFonts w:ascii="Arial" w:hAnsi="Arial" w:eastAsia="Calibri" w:cs="Arial"/>
          <w:b w:val="1"/>
          <w:bCs w:val="1"/>
          <w:color w:val="000000" w:themeColor="text1" w:themeTint="FF" w:themeShade="FF"/>
          <w:sz w:val="22"/>
          <w:szCs w:val="22"/>
          <w:lang w:val="es-ES"/>
        </w:rPr>
        <w:t xml:space="preserve"> </w:t>
      </w:r>
      <w:r w:rsidRPr="52B7F709" w:rsidR="007B2500">
        <w:rPr>
          <w:rFonts w:ascii="Arial" w:hAnsi="Arial" w:eastAsia="Calibri" w:cs="Arial"/>
          <w:b w:val="1"/>
          <w:bCs w:val="1"/>
          <w:color w:val="000000" w:themeColor="text1" w:themeTint="FF" w:themeShade="FF"/>
          <w:sz w:val="22"/>
          <w:szCs w:val="22"/>
          <w:lang w:val="es-ES"/>
        </w:rPr>
        <w:t xml:space="preserve">Fundamento </w:t>
      </w:r>
      <w:r w:rsidRPr="52B7F709" w:rsidR="007B2500">
        <w:rPr>
          <w:rFonts w:ascii="Arial" w:hAnsi="Arial" w:eastAsia="Calibri" w:cs="Arial"/>
          <w:b w:val="1"/>
          <w:bCs w:val="1"/>
          <w:color w:val="000000" w:themeColor="text1" w:themeTint="FF" w:themeShade="FF"/>
          <w:sz w:val="22"/>
          <w:szCs w:val="22"/>
        </w:rPr>
        <w:t>–</w:t>
      </w:r>
      <w:r w:rsidRPr="52B7F709" w:rsidR="007B2500">
        <w:rPr>
          <w:rFonts w:ascii="Arial" w:hAnsi="Arial" w:eastAsia="Calibri" w:cs="Arial"/>
          <w:b w:val="1"/>
          <w:bCs w:val="1"/>
          <w:color w:val="000000" w:themeColor="text1" w:themeTint="FF" w:themeShade="FF"/>
          <w:sz w:val="22"/>
          <w:szCs w:val="22"/>
          <w:lang w:val="es-ES"/>
        </w:rPr>
        <w:t xml:space="preserve"> C</w:t>
      </w:r>
      <w:r w:rsidRPr="52B7F709" w:rsidR="00EA5464">
        <w:rPr>
          <w:rFonts w:ascii="Arial" w:hAnsi="Arial" w:eastAsia="Calibri" w:cs="Arial"/>
          <w:b w:val="1"/>
          <w:bCs w:val="1"/>
          <w:color w:val="000000" w:themeColor="text1" w:themeTint="FF" w:themeShade="FF"/>
          <w:sz w:val="22"/>
          <w:szCs w:val="22"/>
          <w:lang w:val="es-ES"/>
        </w:rPr>
        <w:t xml:space="preserve">ausales de inhabilidad </w:t>
      </w:r>
      <w:r w:rsidRPr="52B7F709" w:rsidR="007B2500">
        <w:rPr>
          <w:rFonts w:ascii="Arial" w:hAnsi="Arial" w:eastAsia="Calibri" w:cs="Arial"/>
          <w:b w:val="1"/>
          <w:bCs w:val="1"/>
          <w:color w:val="000000" w:themeColor="text1" w:themeTint="FF" w:themeShade="FF"/>
          <w:sz w:val="22"/>
          <w:szCs w:val="22"/>
        </w:rPr>
        <w:t>–</w:t>
      </w:r>
      <w:r w:rsidRPr="52B7F709" w:rsidR="007B2500">
        <w:rPr>
          <w:rFonts w:ascii="Arial" w:hAnsi="Arial" w:eastAsia="Calibri" w:cs="Arial"/>
          <w:b w:val="1"/>
          <w:bCs w:val="1"/>
          <w:color w:val="000000" w:themeColor="text1" w:themeTint="FF" w:themeShade="FF"/>
          <w:sz w:val="22"/>
          <w:szCs w:val="22"/>
        </w:rPr>
        <w:t xml:space="preserve"> Causal </w:t>
      </w:r>
      <w:r w:rsidRPr="52B7F709" w:rsidR="3A086C72">
        <w:rPr>
          <w:rFonts w:ascii="Arial" w:hAnsi="Arial" w:eastAsia="Calibri" w:cs="Arial"/>
          <w:b w:val="1"/>
          <w:bCs w:val="1"/>
          <w:color w:val="000000" w:themeColor="text1" w:themeTint="FF" w:themeShade="FF"/>
          <w:sz w:val="22"/>
          <w:szCs w:val="22"/>
        </w:rPr>
        <w:t>de</w:t>
      </w:r>
      <w:r w:rsidRPr="52B7F709" w:rsidR="007B2500">
        <w:rPr>
          <w:rFonts w:ascii="Arial" w:hAnsi="Arial" w:eastAsia="Calibri" w:cs="Arial"/>
          <w:b w:val="1"/>
          <w:bCs w:val="1"/>
          <w:color w:val="000000" w:themeColor="text1" w:themeTint="FF" w:themeShade="FF"/>
          <w:sz w:val="22"/>
          <w:szCs w:val="22"/>
        </w:rPr>
        <w:t xml:space="preserve"> </w:t>
      </w:r>
      <w:r w:rsidRPr="52B7F709" w:rsidR="00EA5464">
        <w:rPr>
          <w:rFonts w:ascii="Arial" w:hAnsi="Arial" w:eastAsia="Calibri" w:cs="Arial"/>
          <w:b w:val="1"/>
          <w:bCs w:val="1"/>
          <w:color w:val="000000" w:themeColor="text1" w:themeTint="FF" w:themeShade="FF"/>
          <w:sz w:val="22"/>
          <w:szCs w:val="22"/>
          <w:lang w:val="es-ES"/>
        </w:rPr>
        <w:t xml:space="preserve">rechazo </w:t>
      </w:r>
      <w:r w:rsidRPr="52B7F709" w:rsidR="325AF831">
        <w:rPr>
          <w:rFonts w:ascii="Arial" w:hAnsi="Arial" w:eastAsia="Calibri" w:cs="Arial"/>
          <w:b w:val="1"/>
          <w:bCs w:val="1"/>
          <w:color w:val="000000" w:themeColor="text1" w:themeTint="FF" w:themeShade="FF"/>
          <w:sz w:val="22"/>
          <w:szCs w:val="22"/>
        </w:rPr>
        <w:t xml:space="preserve">– No se configura </w:t>
      </w:r>
    </w:p>
    <w:p w:rsidRPr="009C3A2B" w:rsidR="00EA5464" w:rsidP="52B7F709" w:rsidRDefault="00594FFF" w14:paraId="28E947D0" w14:textId="084A960E">
      <w:pPr>
        <w:pStyle w:val="Normal"/>
        <w:jc w:val="both"/>
        <w:rPr>
          <w:rFonts w:ascii="Arial" w:hAnsi="Arial" w:eastAsia="Calibri" w:cs="Arial"/>
          <w:color w:val="000000" w:themeColor="text1" w:themeTint="FF" w:themeShade="FF"/>
          <w:sz w:val="20"/>
          <w:szCs w:val="20"/>
          <w:lang w:val="es-ES"/>
        </w:rPr>
      </w:pPr>
    </w:p>
    <w:p w:rsidRPr="009C3A2B" w:rsidR="00EA5464" w:rsidP="52B7F709" w:rsidRDefault="00594FFF" w14:paraId="0A0748AD" w14:textId="58D79C7F">
      <w:pPr>
        <w:pStyle w:val="Normal"/>
        <w:jc w:val="both"/>
        <w:rPr>
          <w:rFonts w:ascii="Arial" w:hAnsi="Arial" w:eastAsia="Calibri" w:cs="Arial"/>
          <w:color w:val="000000" w:themeColor="text1"/>
          <w:sz w:val="20"/>
          <w:szCs w:val="20"/>
          <w:lang w:val="es-ES"/>
        </w:rPr>
      </w:pPr>
      <w:r w:rsidRPr="52B7F709" w:rsidR="00594FFF">
        <w:rPr>
          <w:rFonts w:ascii="Arial" w:hAnsi="Arial" w:eastAsia="Calibri" w:cs="Arial"/>
          <w:color w:val="000000" w:themeColor="text1" w:themeTint="FF" w:themeShade="FF"/>
          <w:sz w:val="20"/>
          <w:szCs w:val="20"/>
          <w:lang w:val="es-ES"/>
        </w:rPr>
        <w:t>Cabe destacar que la Orden Ejecutiva 12.798 del Gobierno de Estados Unidos no rige en territorio colombiano. En este contexto, toda vez que la ley ha determinado claramente las restricciones a la hora de contratar con el Estado, sea cual sea la modalidad de selección y la legislación aplicable, no es posible acudir a esta normatividad externa como criterio para fundamentar a través de los pliegos de condiciones causales de inhabilidad del oferente o de rechazo de la propuesta, lo cual corresponde exclusivamente al legislador.</w:t>
      </w:r>
    </w:p>
    <w:p w:rsidRPr="009C3A2B" w:rsidR="00F1108B" w:rsidP="00F1108B" w:rsidRDefault="00F1108B" w14:paraId="46FC6619" w14:textId="77777777">
      <w:pPr>
        <w:rPr>
          <w:rFonts w:ascii="Arial" w:hAnsi="Arial" w:cs="Arial"/>
          <w:color w:val="000000" w:themeColor="text1"/>
          <w:sz w:val="20"/>
          <w:szCs w:val="20"/>
        </w:rPr>
      </w:pPr>
    </w:p>
    <w:p w:rsidRPr="00DF58C4" w:rsidR="00DF58C4" w:rsidP="00DF58C4" w:rsidRDefault="00DF58C4" w14:paraId="69FF89B1" w14:textId="77777777">
      <w:pPr>
        <w:pStyle w:val="Default"/>
        <w:rPr>
          <w:sz w:val="20"/>
          <w:szCs w:val="20"/>
        </w:rPr>
      </w:pPr>
    </w:p>
    <w:p w:rsidRPr="00DF58C4" w:rsidR="00DF58C4" w:rsidP="00DF58C4" w:rsidRDefault="00DF58C4" w14:paraId="0B522D16" w14:textId="52DFBBF4">
      <w:pPr>
        <w:pStyle w:val="Default"/>
        <w:rPr>
          <w:sz w:val="22"/>
          <w:szCs w:val="22"/>
        </w:rPr>
      </w:pPr>
      <w:r w:rsidRPr="00DF58C4">
        <w:rPr>
          <w:sz w:val="22"/>
          <w:szCs w:val="22"/>
        </w:rPr>
        <w:t xml:space="preserve">Bogotá D.C., </w:t>
      </w:r>
      <w:r w:rsidRPr="00DF58C4">
        <w:rPr>
          <w:b/>
          <w:bCs/>
          <w:sz w:val="22"/>
          <w:szCs w:val="22"/>
        </w:rPr>
        <w:t xml:space="preserve">16/04/2020 Hora 17:9:25s </w:t>
      </w:r>
    </w:p>
    <w:p w:rsidRPr="00DF58C4" w:rsidR="00F1108B" w:rsidP="00DF58C4" w:rsidRDefault="00DF58C4" w14:paraId="44FC3668" w14:textId="6A985A0A">
      <w:pPr>
        <w:jc w:val="right"/>
        <w:rPr>
          <w:rFonts w:ascii="Arial" w:hAnsi="Arial" w:eastAsia="Calibri" w:cs="Arial"/>
          <w:color w:val="000000" w:themeColor="text1"/>
          <w:sz w:val="20"/>
          <w:szCs w:val="20"/>
        </w:rPr>
      </w:pPr>
      <w:proofErr w:type="spellStart"/>
      <w:r w:rsidRPr="00DF58C4">
        <w:rPr>
          <w:rFonts w:ascii="Arial" w:hAnsi="Arial" w:cs="Arial"/>
          <w:b/>
          <w:bCs/>
          <w:sz w:val="22"/>
        </w:rPr>
        <w:t>N°</w:t>
      </w:r>
      <w:proofErr w:type="spellEnd"/>
      <w:r w:rsidRPr="00DF58C4">
        <w:rPr>
          <w:rFonts w:ascii="Arial" w:hAnsi="Arial" w:cs="Arial"/>
          <w:b/>
          <w:bCs/>
          <w:sz w:val="22"/>
        </w:rPr>
        <w:t xml:space="preserve"> Radicado: 2202013000002752</w:t>
      </w:r>
    </w:p>
    <w:p w:rsidRPr="009C3A2B" w:rsidR="00863832" w:rsidP="00F1108B" w:rsidRDefault="00863832" w14:paraId="1C52D0FD" w14:textId="77777777">
      <w:pPr>
        <w:rPr>
          <w:rFonts w:ascii="Arial" w:hAnsi="Arial" w:eastAsia="Calibri" w:cs="Arial"/>
          <w:color w:val="000000" w:themeColor="text1"/>
          <w:sz w:val="20"/>
          <w:szCs w:val="20"/>
        </w:rPr>
      </w:pPr>
    </w:p>
    <w:p w:rsidRPr="009C3A2B" w:rsidR="00F1108B" w:rsidP="00F1108B" w:rsidRDefault="00F1108B" w14:paraId="1AC01C9C" w14:textId="77777777">
      <w:pPr>
        <w:rPr>
          <w:rFonts w:ascii="Arial" w:hAnsi="Arial" w:eastAsia="Calibri" w:cs="Arial"/>
          <w:color w:val="000000" w:themeColor="text1"/>
          <w:sz w:val="22"/>
          <w:szCs w:val="20"/>
        </w:rPr>
      </w:pPr>
      <w:r w:rsidRPr="009C3A2B">
        <w:rPr>
          <w:rFonts w:ascii="Arial" w:hAnsi="Arial" w:eastAsia="Calibri" w:cs="Arial"/>
          <w:color w:val="000000" w:themeColor="text1"/>
          <w:sz w:val="22"/>
          <w:szCs w:val="20"/>
        </w:rPr>
        <w:t>Señor</w:t>
      </w:r>
    </w:p>
    <w:p w:rsidRPr="009C3A2B" w:rsidR="00F1108B" w:rsidP="00F1108B" w:rsidRDefault="00EC0E7E" w14:paraId="57164491" w14:textId="1331DFE5">
      <w:pPr>
        <w:rPr>
          <w:rFonts w:ascii="Arial" w:hAnsi="Arial" w:eastAsia="Calibri" w:cs="Arial"/>
          <w:b/>
          <w:color w:val="000000" w:themeColor="text1"/>
          <w:sz w:val="22"/>
          <w:szCs w:val="20"/>
        </w:rPr>
      </w:pPr>
      <w:r w:rsidRPr="009C3A2B">
        <w:rPr>
          <w:rFonts w:ascii="Arial" w:hAnsi="Arial" w:eastAsia="Calibri" w:cs="Arial"/>
          <w:b/>
          <w:color w:val="000000" w:themeColor="text1"/>
          <w:sz w:val="22"/>
          <w:szCs w:val="20"/>
        </w:rPr>
        <w:t xml:space="preserve">CESAR AUGUSTO ZULUAGA </w:t>
      </w:r>
      <w:proofErr w:type="spellStart"/>
      <w:r w:rsidRPr="009C3A2B">
        <w:rPr>
          <w:rFonts w:ascii="Arial" w:hAnsi="Arial" w:eastAsia="Calibri" w:cs="Arial"/>
          <w:b/>
          <w:color w:val="000000" w:themeColor="text1"/>
          <w:sz w:val="22"/>
          <w:szCs w:val="20"/>
        </w:rPr>
        <w:t>ZULUAGA</w:t>
      </w:r>
      <w:proofErr w:type="spellEnd"/>
      <w:r w:rsidRPr="009C3A2B" w:rsidR="007F785F">
        <w:rPr>
          <w:rFonts w:ascii="Arial" w:hAnsi="Arial" w:eastAsia="Calibri" w:cs="Arial"/>
          <w:b/>
          <w:color w:val="000000" w:themeColor="text1"/>
          <w:sz w:val="22"/>
          <w:szCs w:val="20"/>
        </w:rPr>
        <w:t xml:space="preserve">  </w:t>
      </w:r>
    </w:p>
    <w:p w:rsidRPr="009C3A2B" w:rsidR="00F1108B" w:rsidP="00F1108B" w:rsidRDefault="00F1108B" w14:paraId="0C515BDA" w14:textId="3028315C">
      <w:pPr>
        <w:rPr>
          <w:rFonts w:ascii="Arial" w:hAnsi="Arial" w:eastAsia="Calibri" w:cs="Arial"/>
          <w:color w:val="000000" w:themeColor="text1"/>
          <w:sz w:val="22"/>
          <w:szCs w:val="20"/>
        </w:rPr>
      </w:pPr>
      <w:r w:rsidRPr="009C3A2B">
        <w:rPr>
          <w:rFonts w:ascii="Arial" w:hAnsi="Arial" w:eastAsia="Calibri" w:cs="Arial"/>
          <w:color w:val="000000" w:themeColor="text1"/>
          <w:sz w:val="22"/>
          <w:szCs w:val="20"/>
        </w:rPr>
        <w:t>Ciudad</w:t>
      </w:r>
    </w:p>
    <w:p w:rsidRPr="009C3A2B" w:rsidR="00863832" w:rsidP="00F1108B" w:rsidRDefault="00863832" w14:paraId="10FA59C9" w14:textId="77777777">
      <w:pPr>
        <w:rPr>
          <w:rFonts w:ascii="Arial" w:hAnsi="Arial" w:eastAsia="Calibri" w:cs="Arial"/>
          <w:color w:val="000000" w:themeColor="text1"/>
          <w:sz w:val="22"/>
          <w:szCs w:val="20"/>
        </w:rPr>
      </w:pPr>
    </w:p>
    <w:p w:rsidRPr="009C3A2B" w:rsidR="00F1108B" w:rsidP="00F1108B" w:rsidRDefault="00F1108B" w14:paraId="283D6043" w14:textId="3C1F7888">
      <w:pPr>
        <w:jc w:val="center"/>
        <w:rPr>
          <w:rFonts w:ascii="Arial" w:hAnsi="Arial" w:eastAsia="Calibri" w:cs="Arial"/>
          <w:b/>
          <w:color w:val="000000" w:themeColor="text1"/>
          <w:sz w:val="22"/>
        </w:rPr>
      </w:pPr>
      <w:r w:rsidRPr="009C3A2B">
        <w:rPr>
          <w:rFonts w:ascii="Arial" w:hAnsi="Arial" w:eastAsia="Calibri" w:cs="Arial"/>
          <w:b/>
          <w:color w:val="000000" w:themeColor="text1"/>
          <w:sz w:val="22"/>
        </w:rPr>
        <w:t xml:space="preserve">Concepto C ─ </w:t>
      </w:r>
      <w:r w:rsidRPr="009C3A2B" w:rsidR="0029794A">
        <w:rPr>
          <w:rFonts w:ascii="Arial" w:hAnsi="Arial" w:eastAsia="Calibri" w:cs="Arial"/>
          <w:b/>
          <w:color w:val="000000" w:themeColor="text1"/>
          <w:sz w:val="22"/>
        </w:rPr>
        <w:t>230</w:t>
      </w:r>
      <w:r w:rsidRPr="009C3A2B">
        <w:rPr>
          <w:rFonts w:ascii="Arial" w:hAnsi="Arial" w:eastAsia="Calibri" w:cs="Arial"/>
          <w:b/>
          <w:color w:val="000000" w:themeColor="text1"/>
          <w:sz w:val="22"/>
        </w:rPr>
        <w:t xml:space="preserve"> de 2020</w:t>
      </w:r>
    </w:p>
    <w:p w:rsidRPr="009C3A2B" w:rsidR="00863832" w:rsidP="00F1108B" w:rsidRDefault="00863832" w14:paraId="65D11147" w14:textId="77777777">
      <w:pPr>
        <w:jc w:val="center"/>
        <w:rPr>
          <w:rFonts w:ascii="Arial" w:hAnsi="Arial" w:eastAsia="Calibri" w:cs="Arial"/>
          <w:b/>
          <w:color w:val="000000" w:themeColor="text1"/>
          <w:sz w:val="22"/>
        </w:rPr>
      </w:pPr>
    </w:p>
    <w:p w:rsidRPr="009C3A2B" w:rsidR="00F1108B" w:rsidP="00F1108B" w:rsidRDefault="00F1108B" w14:paraId="55A2A84E"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C3A2B" w:rsidR="009C3A2B" w:rsidTr="006C228E" w14:paraId="522C04FC" w14:textId="77777777">
        <w:tc>
          <w:tcPr>
            <w:tcW w:w="2689" w:type="dxa"/>
            <w:hideMark/>
          </w:tcPr>
          <w:p w:rsidRPr="009C3A2B" w:rsidR="00F1108B" w:rsidP="006C228E" w:rsidRDefault="00F1108B" w14:paraId="5C1F9A7E" w14:textId="77777777">
            <w:pPr>
              <w:rPr>
                <w:rFonts w:ascii="Arial" w:hAnsi="Arial" w:eastAsia="Calibri" w:cs="Arial"/>
                <w:color w:val="000000" w:themeColor="text1"/>
                <w:sz w:val="22"/>
              </w:rPr>
            </w:pPr>
            <w:r w:rsidRPr="009C3A2B">
              <w:rPr>
                <w:rFonts w:ascii="Arial" w:hAnsi="Arial" w:eastAsia="Calibri" w:cs="Arial"/>
                <w:b/>
                <w:color w:val="000000" w:themeColor="text1"/>
                <w:sz w:val="22"/>
              </w:rPr>
              <w:t>Temas:</w:t>
            </w:r>
            <w:r w:rsidRPr="009C3A2B">
              <w:rPr>
                <w:rFonts w:ascii="Arial" w:hAnsi="Arial" w:eastAsia="Calibri" w:cs="Arial"/>
                <w:color w:val="000000" w:themeColor="text1"/>
                <w:sz w:val="22"/>
              </w:rPr>
              <w:t xml:space="preserve">           </w:t>
            </w:r>
          </w:p>
          <w:p w:rsidRPr="009C3A2B" w:rsidR="00F1108B" w:rsidP="006C228E" w:rsidRDefault="00F1108B" w14:paraId="4376ABAA" w14:textId="77777777">
            <w:pPr>
              <w:rPr>
                <w:rFonts w:ascii="Arial" w:hAnsi="Arial" w:eastAsia="Calibri" w:cs="Arial"/>
                <w:color w:val="000000" w:themeColor="text1"/>
                <w:sz w:val="22"/>
              </w:rPr>
            </w:pPr>
            <w:r w:rsidRPr="009C3A2B">
              <w:rPr>
                <w:rFonts w:ascii="Arial" w:hAnsi="Arial" w:eastAsia="Calibri" w:cs="Arial"/>
                <w:color w:val="000000" w:themeColor="text1"/>
                <w:sz w:val="22"/>
              </w:rPr>
              <w:t xml:space="preserve">                           </w:t>
            </w:r>
          </w:p>
        </w:tc>
        <w:tc>
          <w:tcPr>
            <w:tcW w:w="6237" w:type="dxa"/>
            <w:hideMark/>
          </w:tcPr>
          <w:p w:rsidRPr="009C3A2B" w:rsidR="00B37EE9" w:rsidP="00B37EE9" w:rsidRDefault="00B37EE9" w14:paraId="3AE14FE4" w14:textId="77777777">
            <w:pPr>
              <w:jc w:val="both"/>
              <w:rPr>
                <w:rFonts w:ascii="Arial" w:hAnsi="Arial" w:eastAsia="Calibri" w:cs="Arial"/>
                <w:b/>
                <w:color w:val="000000" w:themeColor="text1"/>
                <w:sz w:val="22"/>
                <w:lang w:val="es-ES_tradnl"/>
              </w:rPr>
            </w:pPr>
            <w:r w:rsidRPr="00B37EE9">
              <w:rPr>
                <w:rFonts w:ascii="Arial" w:hAnsi="Arial" w:eastAsia="Calibri" w:cs="Arial"/>
                <w:color w:val="000000" w:themeColor="text1"/>
                <w:sz w:val="22"/>
                <w:lang w:val="es-ES_tradnl"/>
              </w:rPr>
              <w:t>RECHAZO DE LA OFERTA – Causales – Principio de imparcialidad y selección objetiva / REGIMEN DE</w:t>
            </w:r>
            <w:r w:rsidRPr="009C3A2B" w:rsidR="00F1108B">
              <w:rPr>
                <w:rFonts w:ascii="Arial" w:hAnsi="Arial" w:eastAsia="Calibri" w:cs="Arial"/>
                <w:color w:val="000000" w:themeColor="text1"/>
                <w:sz w:val="22"/>
                <w:lang w:val="es-ES_tradnl"/>
              </w:rPr>
              <w:t xml:space="preserve"> </w:t>
            </w:r>
            <w:r w:rsidRPr="009C3A2B" w:rsidR="00594FFF">
              <w:rPr>
                <w:rFonts w:ascii="Arial" w:hAnsi="Arial" w:eastAsia="Calibri" w:cs="Arial"/>
                <w:color w:val="000000" w:themeColor="text1"/>
                <w:sz w:val="22"/>
                <w:lang w:val="es-ES_tradnl"/>
              </w:rPr>
              <w:t xml:space="preserve">INHABILIDADES ― Reserva legal / LISTA CLINTON ― </w:t>
            </w:r>
            <w:r w:rsidRPr="00B37EE9">
              <w:rPr>
                <w:rFonts w:ascii="Arial" w:hAnsi="Arial" w:eastAsia="Calibri" w:cs="Arial"/>
                <w:color w:val="000000" w:themeColor="text1"/>
                <w:sz w:val="22"/>
                <w:lang w:val="es-ES_tradnl"/>
              </w:rPr>
              <w:lastRenderedPageBreak/>
              <w:t>Fundamento – Causales de inhabilidad – Causal de rechazo de las propuestas</w:t>
            </w:r>
          </w:p>
          <w:p w:rsidRPr="00B37EE9" w:rsidR="00F1108B" w:rsidP="00B37EE9" w:rsidRDefault="00F1108B" w14:paraId="3AA47512" w14:textId="043D332F">
            <w:pPr>
              <w:jc w:val="both"/>
              <w:rPr>
                <w:rFonts w:ascii="Arial" w:hAnsi="Arial" w:eastAsia="Calibri" w:cs="Arial"/>
                <w:color w:val="000000" w:themeColor="text1"/>
                <w:sz w:val="22"/>
                <w:lang w:val="es-ES_tradnl"/>
              </w:rPr>
            </w:pPr>
          </w:p>
        </w:tc>
      </w:tr>
      <w:tr w:rsidRPr="009C3A2B" w:rsidR="00F1108B" w:rsidTr="006C228E" w14:paraId="7D0D2FDB" w14:textId="77777777">
        <w:tc>
          <w:tcPr>
            <w:tcW w:w="2689" w:type="dxa"/>
          </w:tcPr>
          <w:p w:rsidRPr="009C3A2B" w:rsidR="00F1108B" w:rsidP="006C228E" w:rsidRDefault="00F1108B" w14:paraId="7DC82264" w14:textId="77777777">
            <w:pPr>
              <w:rPr>
                <w:rFonts w:ascii="Arial" w:hAnsi="Arial" w:eastAsia="Calibri" w:cs="Arial"/>
                <w:b/>
                <w:color w:val="000000" w:themeColor="text1"/>
                <w:sz w:val="22"/>
              </w:rPr>
            </w:pPr>
            <w:r w:rsidRPr="009C3A2B">
              <w:rPr>
                <w:rFonts w:ascii="Arial" w:hAnsi="Arial" w:eastAsia="Calibri" w:cs="Arial"/>
                <w:b/>
                <w:color w:val="000000" w:themeColor="text1"/>
                <w:sz w:val="22"/>
              </w:rPr>
              <w:lastRenderedPageBreak/>
              <w:t>Radicación:</w:t>
            </w:r>
            <w:r w:rsidRPr="009C3A2B">
              <w:rPr>
                <w:rFonts w:ascii="Arial" w:hAnsi="Arial" w:eastAsia="Calibri" w:cs="Arial"/>
                <w:color w:val="000000" w:themeColor="text1"/>
                <w:sz w:val="22"/>
              </w:rPr>
              <w:t xml:space="preserve">                              </w:t>
            </w:r>
          </w:p>
        </w:tc>
        <w:tc>
          <w:tcPr>
            <w:tcW w:w="6237" w:type="dxa"/>
          </w:tcPr>
          <w:p w:rsidRPr="009C3A2B" w:rsidR="00F1108B" w:rsidP="007F785F" w:rsidRDefault="00F1108B" w14:paraId="01DC5749" w14:textId="5BA61E18">
            <w:pPr>
              <w:jc w:val="both"/>
              <w:rPr>
                <w:rFonts w:ascii="Arial" w:hAnsi="Arial" w:eastAsia="Calibri" w:cs="Arial"/>
                <w:color w:val="000000" w:themeColor="text1"/>
                <w:sz w:val="22"/>
              </w:rPr>
            </w:pPr>
            <w:r w:rsidRPr="009C3A2B">
              <w:rPr>
                <w:rFonts w:ascii="Arial" w:hAnsi="Arial" w:eastAsia="Calibri" w:cs="Arial"/>
                <w:color w:val="000000" w:themeColor="text1"/>
                <w:sz w:val="22"/>
              </w:rPr>
              <w:t xml:space="preserve">Respuesta a consulta # </w:t>
            </w:r>
            <w:r w:rsidRPr="009C3A2B" w:rsidR="00EC0E7E">
              <w:rPr>
                <w:rFonts w:ascii="Arial" w:hAnsi="Arial" w:eastAsia="Calibri" w:cs="Arial"/>
                <w:color w:val="000000" w:themeColor="text1"/>
                <w:sz w:val="22"/>
              </w:rPr>
              <w:t>4202013000001765</w:t>
            </w:r>
          </w:p>
        </w:tc>
      </w:tr>
    </w:tbl>
    <w:p w:rsidRPr="009C3A2B" w:rsidR="00F1108B" w:rsidP="00F1108B" w:rsidRDefault="00F1108B" w14:paraId="7DF1E86E" w14:textId="77777777">
      <w:pPr>
        <w:jc w:val="both"/>
        <w:rPr>
          <w:rFonts w:ascii="Arial" w:hAnsi="Arial" w:eastAsia="Calibri" w:cs="Arial"/>
          <w:color w:val="000000" w:themeColor="text1"/>
          <w:sz w:val="22"/>
        </w:rPr>
      </w:pPr>
    </w:p>
    <w:p w:rsidRPr="009C3A2B" w:rsidR="00F1108B" w:rsidP="00F1108B" w:rsidRDefault="00F1108B" w14:paraId="446ECF41" w14:textId="77777777">
      <w:pPr>
        <w:jc w:val="both"/>
        <w:rPr>
          <w:rFonts w:ascii="Arial" w:hAnsi="Arial" w:eastAsia="Calibri" w:cs="Arial"/>
          <w:color w:val="000000" w:themeColor="text1"/>
          <w:sz w:val="22"/>
        </w:rPr>
      </w:pPr>
    </w:p>
    <w:p w:rsidRPr="009C3A2B" w:rsidR="00F1108B" w:rsidP="00F1108B" w:rsidRDefault="00F1108B" w14:paraId="6A11BDDD" w14:textId="1035D97F">
      <w:pPr>
        <w:rPr>
          <w:rFonts w:ascii="Arial" w:hAnsi="Arial" w:eastAsia="Calibri" w:cs="Arial"/>
          <w:color w:val="000000" w:themeColor="text1"/>
          <w:sz w:val="22"/>
        </w:rPr>
      </w:pPr>
      <w:r w:rsidRPr="009C3A2B">
        <w:rPr>
          <w:rFonts w:ascii="Arial" w:hAnsi="Arial" w:eastAsia="Calibri" w:cs="Arial"/>
          <w:color w:val="000000" w:themeColor="text1"/>
          <w:sz w:val="22"/>
        </w:rPr>
        <w:t xml:space="preserve">Estimado señor </w:t>
      </w:r>
      <w:r w:rsidRPr="009C3A2B" w:rsidR="00EC0E7E">
        <w:rPr>
          <w:rFonts w:ascii="Arial" w:hAnsi="Arial" w:eastAsia="Calibri" w:cs="Arial"/>
          <w:color w:val="000000" w:themeColor="text1"/>
          <w:sz w:val="22"/>
        </w:rPr>
        <w:t>Zuluaga</w:t>
      </w:r>
      <w:r w:rsidRPr="009C3A2B">
        <w:rPr>
          <w:rFonts w:ascii="Arial" w:hAnsi="Arial" w:eastAsia="Calibri" w:cs="Arial"/>
          <w:color w:val="000000" w:themeColor="text1"/>
          <w:sz w:val="22"/>
        </w:rPr>
        <w:t>,</w:t>
      </w:r>
    </w:p>
    <w:p w:rsidRPr="009C3A2B" w:rsidR="00F1108B" w:rsidP="00F1108B" w:rsidRDefault="00F1108B" w14:paraId="45ADAB8A" w14:textId="77777777">
      <w:pPr>
        <w:rPr>
          <w:rFonts w:ascii="Arial" w:hAnsi="Arial" w:eastAsia="Calibri" w:cs="Arial"/>
          <w:color w:val="000000" w:themeColor="text1"/>
          <w:sz w:val="22"/>
        </w:rPr>
      </w:pPr>
    </w:p>
    <w:p w:rsidRPr="009C3A2B" w:rsidR="00F1108B" w:rsidP="00F1108B" w:rsidRDefault="00F1108B" w14:paraId="329AA852" w14:textId="0BB10CBA">
      <w:pPr>
        <w:spacing w:line="276" w:lineRule="auto"/>
        <w:ind w:right="49"/>
        <w:jc w:val="both"/>
        <w:rPr>
          <w:rFonts w:ascii="Arial" w:hAnsi="Arial" w:eastAsia="Calibri" w:cs="Arial"/>
          <w:color w:val="000000" w:themeColor="text1"/>
          <w:sz w:val="22"/>
        </w:rPr>
      </w:pPr>
      <w:r w:rsidRPr="009C3A2B">
        <w:rPr>
          <w:rFonts w:ascii="Arial" w:hAnsi="Arial" w:eastAsia="Calibri" w:cs="Arial"/>
          <w:color w:val="000000" w:themeColor="text1"/>
          <w:sz w:val="22"/>
        </w:rPr>
        <w:t xml:space="preserve">La Agencia Nacional de Contratación Pública ―Colombia Compra Eficiente― responde su consulta del </w:t>
      </w:r>
      <w:r w:rsidRPr="009C3A2B" w:rsidR="00EC0E7E">
        <w:rPr>
          <w:rFonts w:ascii="Arial" w:hAnsi="Arial" w:eastAsia="Calibri" w:cs="Arial"/>
          <w:color w:val="000000" w:themeColor="text1"/>
          <w:sz w:val="22"/>
        </w:rPr>
        <w:t>9 de marzo</w:t>
      </w:r>
      <w:r w:rsidRPr="009C3A2B">
        <w:rPr>
          <w:rFonts w:ascii="Arial" w:hAnsi="Arial" w:eastAsia="Calibri" w:cs="Arial"/>
          <w:color w:val="000000" w:themeColor="text1"/>
          <w:sz w:val="22"/>
        </w:rPr>
        <w:t xml:space="preserve"> de 2020, en ejercicio de la competencia otorgada por el numeral 8 del artículo 11 y el numeral 5 del artículo 3 del Decreto Ley 4170 de 2011. </w:t>
      </w:r>
    </w:p>
    <w:p w:rsidRPr="009C3A2B" w:rsidR="00F1108B" w:rsidP="00F1108B" w:rsidRDefault="00F1108B" w14:paraId="72382DCC" w14:textId="77777777">
      <w:pPr>
        <w:pStyle w:val="Prrafodelista"/>
        <w:tabs>
          <w:tab w:val="left" w:pos="284"/>
        </w:tabs>
        <w:spacing w:line="276" w:lineRule="auto"/>
        <w:ind w:left="0"/>
        <w:jc w:val="both"/>
        <w:rPr>
          <w:rFonts w:ascii="Arial" w:hAnsi="Arial" w:eastAsia="Calibri" w:cs="Arial"/>
          <w:color w:val="000000" w:themeColor="text1"/>
          <w:sz w:val="22"/>
        </w:rPr>
      </w:pPr>
    </w:p>
    <w:p w:rsidRPr="009C3A2B" w:rsidR="00F1108B" w:rsidP="00F1108B" w:rsidRDefault="00F1108B" w14:paraId="7041ED68" w14:textId="77777777">
      <w:pPr>
        <w:pStyle w:val="Prrafodelista"/>
        <w:tabs>
          <w:tab w:val="left" w:pos="284"/>
        </w:tabs>
        <w:spacing w:line="276" w:lineRule="auto"/>
        <w:ind w:left="0"/>
        <w:jc w:val="both"/>
        <w:rPr>
          <w:rFonts w:ascii="Arial" w:hAnsi="Arial" w:eastAsia="Calibri" w:cs="Arial"/>
          <w:b/>
          <w:color w:val="000000" w:themeColor="text1"/>
          <w:sz w:val="22"/>
        </w:rPr>
      </w:pPr>
      <w:r w:rsidRPr="009C3A2B">
        <w:rPr>
          <w:rFonts w:ascii="Arial" w:hAnsi="Arial" w:eastAsia="Calibri" w:cs="Arial"/>
          <w:b/>
          <w:color w:val="000000" w:themeColor="text1"/>
          <w:sz w:val="22"/>
        </w:rPr>
        <w:t>1.</w:t>
      </w:r>
      <w:r w:rsidRPr="009C3A2B">
        <w:rPr>
          <w:rFonts w:ascii="Arial" w:hAnsi="Arial" w:eastAsia="Calibri" w:cs="Arial"/>
          <w:color w:val="000000" w:themeColor="text1"/>
          <w:sz w:val="22"/>
        </w:rPr>
        <w:t xml:space="preserve"> </w:t>
      </w:r>
      <w:r w:rsidRPr="009C3A2B">
        <w:rPr>
          <w:rFonts w:ascii="Arial" w:hAnsi="Arial" w:eastAsia="Calibri" w:cs="Arial"/>
          <w:b/>
          <w:color w:val="000000" w:themeColor="text1"/>
          <w:sz w:val="22"/>
        </w:rPr>
        <w:t xml:space="preserve">Problemas planteados </w:t>
      </w:r>
    </w:p>
    <w:p w:rsidRPr="009C3A2B" w:rsidR="00F1108B" w:rsidP="00F1108B" w:rsidRDefault="00F1108B" w14:paraId="2C3DAA31" w14:textId="77777777">
      <w:pPr>
        <w:tabs>
          <w:tab w:val="left" w:pos="426"/>
        </w:tabs>
        <w:spacing w:line="276" w:lineRule="auto"/>
        <w:jc w:val="both"/>
        <w:rPr>
          <w:rFonts w:ascii="Arial" w:hAnsi="Arial" w:eastAsia="Calibri" w:cs="Arial"/>
          <w:b/>
          <w:color w:val="000000" w:themeColor="text1"/>
          <w:sz w:val="22"/>
        </w:rPr>
      </w:pPr>
    </w:p>
    <w:p w:rsidRPr="009C3A2B" w:rsidR="00F1108B" w:rsidP="00EC0E7E" w:rsidRDefault="00F1108B" w14:paraId="54B6D392" w14:textId="0F90B0AB">
      <w:pPr>
        <w:tabs>
          <w:tab w:val="left" w:pos="426"/>
        </w:tabs>
        <w:spacing w:line="276" w:lineRule="auto"/>
        <w:jc w:val="both"/>
        <w:rPr>
          <w:rFonts w:ascii="Arial" w:hAnsi="Arial" w:eastAsia="Calibri" w:cs="Arial"/>
          <w:color w:val="000000" w:themeColor="text1"/>
          <w:sz w:val="22"/>
        </w:rPr>
      </w:pPr>
      <w:r w:rsidRPr="009C3A2B">
        <w:rPr>
          <w:rFonts w:ascii="Arial" w:hAnsi="Arial" w:eastAsia="Calibri" w:cs="Arial"/>
          <w:color w:val="000000" w:themeColor="text1"/>
          <w:sz w:val="22"/>
        </w:rPr>
        <w:t xml:space="preserve">Usted </w:t>
      </w:r>
      <w:r w:rsidRPr="009C3A2B" w:rsidR="00160AC8">
        <w:rPr>
          <w:rFonts w:ascii="Arial" w:hAnsi="Arial" w:eastAsia="Calibri" w:cs="Arial"/>
          <w:color w:val="000000" w:themeColor="text1"/>
          <w:sz w:val="22"/>
        </w:rPr>
        <w:t>formuló</w:t>
      </w:r>
      <w:r w:rsidRPr="009C3A2B">
        <w:rPr>
          <w:rFonts w:ascii="Arial" w:hAnsi="Arial" w:eastAsia="Calibri" w:cs="Arial"/>
          <w:color w:val="000000" w:themeColor="text1"/>
          <w:sz w:val="22"/>
        </w:rPr>
        <w:t xml:space="preserve"> la</w:t>
      </w:r>
      <w:r w:rsidRPr="009C3A2B" w:rsidR="00EC0E7E">
        <w:rPr>
          <w:rFonts w:ascii="Arial" w:hAnsi="Arial" w:eastAsia="Calibri" w:cs="Arial"/>
          <w:color w:val="000000" w:themeColor="text1"/>
          <w:sz w:val="22"/>
        </w:rPr>
        <w:t>s</w:t>
      </w:r>
      <w:r w:rsidRPr="009C3A2B">
        <w:rPr>
          <w:rFonts w:ascii="Arial" w:hAnsi="Arial" w:eastAsia="Calibri" w:cs="Arial"/>
          <w:color w:val="000000" w:themeColor="text1"/>
          <w:sz w:val="22"/>
        </w:rPr>
        <w:t xml:space="preserve"> siguientes preguntas: </w:t>
      </w:r>
      <w:bookmarkStart w:name="_Hlk34854961" w:id="3"/>
      <w:r w:rsidRPr="009C3A2B">
        <w:rPr>
          <w:rFonts w:ascii="Arial" w:hAnsi="Arial" w:eastAsia="Calibri" w:cs="Arial"/>
          <w:color w:val="000000" w:themeColor="text1"/>
          <w:sz w:val="22"/>
        </w:rPr>
        <w:t xml:space="preserve">i) </w:t>
      </w:r>
      <w:r w:rsidRPr="009C3A2B" w:rsidR="007F785F">
        <w:rPr>
          <w:rFonts w:ascii="Arial" w:hAnsi="Arial" w:eastAsia="Calibri" w:cs="Arial"/>
          <w:color w:val="000000" w:themeColor="text1"/>
          <w:sz w:val="22"/>
        </w:rPr>
        <w:t>¿</w:t>
      </w:r>
      <w:r w:rsidRPr="009C3A2B" w:rsidR="00EC0E7E">
        <w:rPr>
          <w:rFonts w:ascii="Arial" w:hAnsi="Arial" w:eastAsia="Calibri" w:cs="Arial"/>
          <w:color w:val="000000" w:themeColor="text1"/>
          <w:sz w:val="22"/>
        </w:rPr>
        <w:t>cuál es la entidad o página donde se verifica si una persona jurídica como proponente contiene sanciones pecuniarias o de cualquier índole</w:t>
      </w:r>
      <w:r w:rsidRPr="009C3A2B" w:rsidR="007F785F">
        <w:rPr>
          <w:rFonts w:ascii="Arial" w:hAnsi="Arial" w:eastAsia="Calibri" w:cs="Arial"/>
          <w:color w:val="000000" w:themeColor="text1"/>
          <w:sz w:val="22"/>
        </w:rPr>
        <w:t xml:space="preserve">?; </w:t>
      </w:r>
      <w:bookmarkStart w:name="_Hlk34771411" w:id="4"/>
      <w:proofErr w:type="spellStart"/>
      <w:r w:rsidRPr="009C3A2B" w:rsidR="007F785F">
        <w:rPr>
          <w:rFonts w:ascii="Arial" w:hAnsi="Arial" w:eastAsia="Calibri" w:cs="Arial"/>
          <w:color w:val="000000" w:themeColor="text1"/>
          <w:sz w:val="22"/>
        </w:rPr>
        <w:t>ii</w:t>
      </w:r>
      <w:proofErr w:type="spellEnd"/>
      <w:r w:rsidRPr="009C3A2B" w:rsidR="007F785F">
        <w:rPr>
          <w:rFonts w:ascii="Arial" w:hAnsi="Arial" w:eastAsia="Calibri" w:cs="Arial"/>
          <w:color w:val="000000" w:themeColor="text1"/>
          <w:sz w:val="22"/>
        </w:rPr>
        <w:t>)</w:t>
      </w:r>
      <w:r w:rsidRPr="009C3A2B" w:rsidR="00EC0E7E">
        <w:rPr>
          <w:rFonts w:ascii="Arial" w:hAnsi="Arial" w:eastAsia="Calibri" w:cs="Arial"/>
          <w:color w:val="000000" w:themeColor="text1"/>
          <w:sz w:val="22"/>
        </w:rPr>
        <w:t xml:space="preserve"> </w:t>
      </w:r>
      <w:r w:rsidRPr="009C3A2B" w:rsidR="007F785F">
        <w:rPr>
          <w:rFonts w:ascii="Arial" w:hAnsi="Arial" w:eastAsia="Calibri" w:cs="Arial"/>
          <w:color w:val="000000" w:themeColor="text1"/>
          <w:sz w:val="22"/>
        </w:rPr>
        <w:t>¿</w:t>
      </w:r>
      <w:r w:rsidRPr="009C3A2B" w:rsidR="00EC0E7E">
        <w:rPr>
          <w:rFonts w:ascii="Arial" w:hAnsi="Arial" w:eastAsia="Calibri" w:cs="Arial"/>
          <w:color w:val="000000" w:themeColor="text1"/>
          <w:sz w:val="22"/>
        </w:rPr>
        <w:t xml:space="preserve">si una persona jurídica o su representante legal se encuentra en la </w:t>
      </w:r>
      <w:r w:rsidRPr="009C3A2B" w:rsidR="005F5F8F">
        <w:rPr>
          <w:rFonts w:ascii="Arial" w:hAnsi="Arial" w:eastAsia="Calibri" w:cs="Arial"/>
          <w:color w:val="000000" w:themeColor="text1"/>
          <w:sz w:val="22"/>
        </w:rPr>
        <w:t>L</w:t>
      </w:r>
      <w:r w:rsidRPr="009C3A2B" w:rsidR="00EC0E7E">
        <w:rPr>
          <w:rFonts w:ascii="Arial" w:hAnsi="Arial" w:eastAsia="Calibri" w:cs="Arial"/>
          <w:color w:val="000000" w:themeColor="text1"/>
          <w:sz w:val="22"/>
        </w:rPr>
        <w:t xml:space="preserve">ista </w:t>
      </w:r>
      <w:r w:rsidRPr="009C3A2B" w:rsidR="005F5F8F">
        <w:rPr>
          <w:rFonts w:ascii="Arial" w:hAnsi="Arial" w:eastAsia="Calibri" w:cs="Arial"/>
          <w:color w:val="000000" w:themeColor="text1"/>
          <w:sz w:val="22"/>
        </w:rPr>
        <w:t>Clinton</w:t>
      </w:r>
      <w:r w:rsidRPr="009C3A2B" w:rsidR="00EC0E7E">
        <w:rPr>
          <w:rFonts w:ascii="Arial" w:hAnsi="Arial" w:eastAsia="Calibri" w:cs="Arial"/>
          <w:color w:val="000000" w:themeColor="text1"/>
          <w:sz w:val="22"/>
        </w:rPr>
        <w:t xml:space="preserve">, ello </w:t>
      </w:r>
      <w:r w:rsidRPr="009C3A2B" w:rsidR="005F5F8F">
        <w:rPr>
          <w:rFonts w:ascii="Arial" w:hAnsi="Arial" w:eastAsia="Calibri" w:cs="Arial"/>
          <w:color w:val="000000" w:themeColor="text1"/>
          <w:sz w:val="22"/>
        </w:rPr>
        <w:t>da lugar a</w:t>
      </w:r>
      <w:r w:rsidRPr="009C3A2B" w:rsidR="00EC0E7E">
        <w:rPr>
          <w:rFonts w:ascii="Arial" w:hAnsi="Arial" w:eastAsia="Calibri" w:cs="Arial"/>
          <w:color w:val="000000" w:themeColor="text1"/>
          <w:sz w:val="22"/>
        </w:rPr>
        <w:t xml:space="preserve"> no adjudicarle el contrato estatal o</w:t>
      </w:r>
      <w:r w:rsidRPr="009C3A2B" w:rsidR="005F5F8F">
        <w:rPr>
          <w:rFonts w:ascii="Arial" w:hAnsi="Arial" w:eastAsia="Calibri" w:cs="Arial"/>
          <w:color w:val="000000" w:themeColor="text1"/>
          <w:sz w:val="22"/>
        </w:rPr>
        <w:t xml:space="preserve"> al</w:t>
      </w:r>
      <w:r w:rsidRPr="009C3A2B" w:rsidR="00EC0E7E">
        <w:rPr>
          <w:rFonts w:ascii="Arial" w:hAnsi="Arial" w:eastAsia="Calibri" w:cs="Arial"/>
          <w:color w:val="000000" w:themeColor="text1"/>
          <w:sz w:val="22"/>
        </w:rPr>
        <w:t xml:space="preserve"> rechaz</w:t>
      </w:r>
      <w:r w:rsidRPr="009C3A2B" w:rsidR="005F5F8F">
        <w:rPr>
          <w:rFonts w:ascii="Arial" w:hAnsi="Arial" w:eastAsia="Calibri" w:cs="Arial"/>
          <w:color w:val="000000" w:themeColor="text1"/>
          <w:sz w:val="22"/>
        </w:rPr>
        <w:t>o</w:t>
      </w:r>
      <w:r w:rsidRPr="009C3A2B" w:rsidR="00EC0E7E">
        <w:rPr>
          <w:rFonts w:ascii="Arial" w:hAnsi="Arial" w:eastAsia="Calibri" w:cs="Arial"/>
          <w:color w:val="000000" w:themeColor="text1"/>
          <w:sz w:val="22"/>
        </w:rPr>
        <w:t xml:space="preserve"> </w:t>
      </w:r>
      <w:r w:rsidRPr="009C3A2B" w:rsidR="005F5F8F">
        <w:rPr>
          <w:rFonts w:ascii="Arial" w:hAnsi="Arial" w:eastAsia="Calibri" w:cs="Arial"/>
          <w:color w:val="000000" w:themeColor="text1"/>
          <w:sz w:val="22"/>
        </w:rPr>
        <w:t xml:space="preserve">de </w:t>
      </w:r>
      <w:r w:rsidRPr="009C3A2B" w:rsidR="00EC0E7E">
        <w:rPr>
          <w:rFonts w:ascii="Arial" w:hAnsi="Arial" w:eastAsia="Calibri" w:cs="Arial"/>
          <w:color w:val="000000" w:themeColor="text1"/>
          <w:sz w:val="22"/>
        </w:rPr>
        <w:t>la propuesta</w:t>
      </w:r>
      <w:r w:rsidRPr="009C3A2B" w:rsidR="007F785F">
        <w:rPr>
          <w:rFonts w:ascii="Arial" w:hAnsi="Arial" w:eastAsia="Calibri" w:cs="Arial"/>
          <w:color w:val="000000" w:themeColor="text1"/>
          <w:sz w:val="22"/>
        </w:rPr>
        <w:t>?</w:t>
      </w:r>
      <w:bookmarkEnd w:id="4"/>
      <w:r w:rsidRPr="009C3A2B" w:rsidR="007F785F">
        <w:rPr>
          <w:rFonts w:ascii="Arial" w:hAnsi="Arial" w:eastAsia="Calibri" w:cs="Arial"/>
          <w:color w:val="000000" w:themeColor="text1"/>
          <w:sz w:val="22"/>
        </w:rPr>
        <w:t xml:space="preserve">; </w:t>
      </w:r>
      <w:proofErr w:type="spellStart"/>
      <w:r w:rsidRPr="009C3A2B" w:rsidR="007F785F">
        <w:rPr>
          <w:rFonts w:ascii="Arial" w:hAnsi="Arial" w:eastAsia="Calibri" w:cs="Arial"/>
          <w:color w:val="000000" w:themeColor="text1"/>
          <w:sz w:val="22"/>
        </w:rPr>
        <w:t>iii</w:t>
      </w:r>
      <w:proofErr w:type="spellEnd"/>
      <w:r w:rsidRPr="009C3A2B" w:rsidR="007F785F">
        <w:rPr>
          <w:rFonts w:ascii="Arial" w:hAnsi="Arial" w:eastAsia="Calibri" w:cs="Arial"/>
          <w:color w:val="000000" w:themeColor="text1"/>
          <w:sz w:val="22"/>
        </w:rPr>
        <w:t>)</w:t>
      </w:r>
      <w:r w:rsidRPr="009C3A2B" w:rsidR="00EC0E7E">
        <w:rPr>
          <w:rFonts w:ascii="Arial" w:hAnsi="Arial" w:eastAsia="Calibri" w:cs="Arial"/>
          <w:color w:val="000000" w:themeColor="text1"/>
          <w:sz w:val="22"/>
        </w:rPr>
        <w:t xml:space="preserve"> </w:t>
      </w:r>
      <w:r w:rsidRPr="009C3A2B" w:rsidR="007F785F">
        <w:rPr>
          <w:rFonts w:ascii="Arial" w:hAnsi="Arial" w:eastAsia="Calibri" w:cs="Arial"/>
          <w:color w:val="000000" w:themeColor="text1"/>
          <w:sz w:val="22"/>
        </w:rPr>
        <w:t>¿</w:t>
      </w:r>
      <w:r w:rsidRPr="009C3A2B" w:rsidR="00EC0E7E">
        <w:rPr>
          <w:rFonts w:ascii="Arial" w:hAnsi="Arial" w:eastAsia="Calibri" w:cs="Arial"/>
          <w:color w:val="000000" w:themeColor="text1"/>
          <w:sz w:val="22"/>
        </w:rPr>
        <w:t>el rechazo de un proponente por encontrarse en la lista Clinton</w:t>
      </w:r>
      <w:r w:rsidRPr="009C3A2B" w:rsidR="005F5F8F">
        <w:rPr>
          <w:rFonts w:ascii="Arial" w:hAnsi="Arial" w:eastAsia="Calibri" w:cs="Arial"/>
          <w:color w:val="000000" w:themeColor="text1"/>
          <w:sz w:val="22"/>
        </w:rPr>
        <w:t xml:space="preserve"> constituye una vulneración al debido proceso y al derecho de no autoincriminación</w:t>
      </w:r>
      <w:r w:rsidRPr="009C3A2B" w:rsidR="00B06595">
        <w:rPr>
          <w:rFonts w:ascii="Arial" w:hAnsi="Arial" w:eastAsia="Calibri" w:cs="Arial"/>
          <w:color w:val="000000" w:themeColor="text1"/>
          <w:sz w:val="22"/>
        </w:rPr>
        <w:t>?</w:t>
      </w:r>
      <w:r w:rsidRPr="009C3A2B" w:rsidR="007F785F">
        <w:rPr>
          <w:rFonts w:ascii="Arial" w:hAnsi="Arial" w:eastAsia="Calibri" w:cs="Arial"/>
          <w:color w:val="000000" w:themeColor="text1"/>
          <w:sz w:val="22"/>
        </w:rPr>
        <w:t xml:space="preserve"> </w:t>
      </w:r>
      <w:bookmarkEnd w:id="3"/>
    </w:p>
    <w:p w:rsidRPr="009C3A2B" w:rsidR="00F1108B" w:rsidP="00F1108B" w:rsidRDefault="00F1108B" w14:paraId="04DF639B" w14:textId="77777777">
      <w:pPr>
        <w:tabs>
          <w:tab w:val="left" w:pos="426"/>
        </w:tabs>
        <w:spacing w:line="276" w:lineRule="auto"/>
        <w:jc w:val="both"/>
        <w:rPr>
          <w:rFonts w:ascii="Arial" w:hAnsi="Arial" w:eastAsia="Calibri" w:cs="Arial"/>
          <w:color w:val="000000" w:themeColor="text1"/>
          <w:sz w:val="22"/>
        </w:rPr>
      </w:pPr>
    </w:p>
    <w:p w:rsidRPr="009C3A2B" w:rsidR="00F1108B" w:rsidP="00251B96" w:rsidRDefault="00F1108B" w14:paraId="08FCE370" w14:textId="0FF982FB">
      <w:pPr>
        <w:tabs>
          <w:tab w:val="left" w:pos="426"/>
          <w:tab w:val="left" w:pos="6645"/>
        </w:tabs>
        <w:spacing w:line="276" w:lineRule="auto"/>
        <w:jc w:val="both"/>
        <w:rPr>
          <w:rFonts w:ascii="Arial" w:hAnsi="Arial" w:eastAsia="Calibri" w:cs="Arial"/>
          <w:b/>
          <w:color w:val="000000" w:themeColor="text1"/>
          <w:sz w:val="22"/>
        </w:rPr>
      </w:pPr>
      <w:r w:rsidRPr="009C3A2B">
        <w:rPr>
          <w:rFonts w:ascii="Arial" w:hAnsi="Arial" w:eastAsia="Calibri" w:cs="Arial"/>
          <w:b/>
          <w:color w:val="000000" w:themeColor="text1"/>
          <w:sz w:val="22"/>
        </w:rPr>
        <w:t>2.</w:t>
      </w:r>
      <w:r w:rsidRPr="009C3A2B">
        <w:rPr>
          <w:rFonts w:ascii="Arial" w:hAnsi="Arial" w:eastAsia="Calibri" w:cs="Arial"/>
          <w:color w:val="000000" w:themeColor="text1"/>
          <w:sz w:val="22"/>
        </w:rPr>
        <w:t xml:space="preserve"> </w:t>
      </w:r>
      <w:r w:rsidRPr="009C3A2B">
        <w:rPr>
          <w:rFonts w:ascii="Arial" w:hAnsi="Arial" w:eastAsia="Calibri" w:cs="Arial"/>
          <w:b/>
          <w:color w:val="000000" w:themeColor="text1"/>
          <w:sz w:val="22"/>
        </w:rPr>
        <w:t>Consideraciones</w:t>
      </w:r>
      <w:r w:rsidRPr="009C3A2B" w:rsidR="00251B96">
        <w:rPr>
          <w:rFonts w:ascii="Arial" w:hAnsi="Arial" w:eastAsia="Calibri" w:cs="Arial"/>
          <w:b/>
          <w:color w:val="000000" w:themeColor="text1"/>
          <w:sz w:val="22"/>
        </w:rPr>
        <w:tab/>
      </w:r>
    </w:p>
    <w:p w:rsidRPr="009C3A2B" w:rsidR="00F1108B" w:rsidP="00F1108B" w:rsidRDefault="00F1108B" w14:paraId="68AE0704" w14:textId="77777777">
      <w:pPr>
        <w:pStyle w:val="Prrafodelista"/>
        <w:tabs>
          <w:tab w:val="left" w:pos="284"/>
        </w:tabs>
        <w:spacing w:line="276" w:lineRule="auto"/>
        <w:ind w:left="0"/>
        <w:jc w:val="both"/>
        <w:rPr>
          <w:rFonts w:ascii="Arial" w:hAnsi="Arial" w:eastAsia="Calibri" w:cs="Arial"/>
          <w:b/>
          <w:color w:val="000000" w:themeColor="text1"/>
          <w:sz w:val="22"/>
        </w:rPr>
      </w:pPr>
    </w:p>
    <w:p w:rsidRPr="009C3A2B" w:rsidR="00F1108B" w:rsidP="00F1108B" w:rsidRDefault="005F5F8F" w14:paraId="775021A8" w14:textId="6DD8A195">
      <w:pPr>
        <w:spacing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 xml:space="preserve">Teniendo en cuenta que mediante el oficio </w:t>
      </w:r>
      <w:r w:rsidRPr="009C3A2B" w:rsidR="00361911">
        <w:rPr>
          <w:rFonts w:ascii="Arial" w:hAnsi="Arial" w:eastAsia="Calibri" w:cs="Arial"/>
          <w:color w:val="000000" w:themeColor="text1"/>
          <w:sz w:val="22"/>
          <w:lang w:val="es-ES_tradnl"/>
        </w:rPr>
        <w:t xml:space="preserve">con radicado 2202013000001894 </w:t>
      </w:r>
      <w:r w:rsidRPr="009C3A2B">
        <w:rPr>
          <w:rFonts w:ascii="Arial" w:hAnsi="Arial" w:eastAsia="Calibri" w:cs="Arial"/>
          <w:color w:val="000000" w:themeColor="text1"/>
          <w:sz w:val="22"/>
          <w:lang w:val="es-ES_tradnl"/>
        </w:rPr>
        <w:t xml:space="preserve">del </w:t>
      </w:r>
      <w:r w:rsidRPr="009C3A2B" w:rsidR="00361911">
        <w:rPr>
          <w:rFonts w:ascii="Arial" w:hAnsi="Arial" w:eastAsia="Calibri" w:cs="Arial"/>
          <w:color w:val="000000" w:themeColor="text1"/>
          <w:sz w:val="22"/>
          <w:lang w:val="es-ES_tradnl"/>
        </w:rPr>
        <w:t xml:space="preserve">16 </w:t>
      </w:r>
      <w:r w:rsidRPr="009C3A2B">
        <w:rPr>
          <w:rFonts w:ascii="Arial" w:hAnsi="Arial" w:eastAsia="Calibri" w:cs="Arial"/>
          <w:color w:val="000000" w:themeColor="text1"/>
          <w:sz w:val="22"/>
          <w:lang w:val="es-ES_tradnl"/>
        </w:rPr>
        <w:t xml:space="preserve">de marzo de 2020, esta Subdirección explicó las razones por las cuales </w:t>
      </w:r>
      <w:r w:rsidRPr="009C3A2B" w:rsidR="00B26D14">
        <w:rPr>
          <w:rFonts w:ascii="Arial" w:hAnsi="Arial" w:eastAsia="Calibri" w:cs="Arial"/>
          <w:color w:val="000000" w:themeColor="text1"/>
          <w:sz w:val="22"/>
          <w:lang w:val="es-ES_tradnl"/>
        </w:rPr>
        <w:t>carecía de competencia</w:t>
      </w:r>
      <w:r w:rsidRPr="009C3A2B">
        <w:rPr>
          <w:rFonts w:ascii="Arial" w:hAnsi="Arial" w:eastAsia="Calibri" w:cs="Arial"/>
          <w:color w:val="000000" w:themeColor="text1"/>
          <w:sz w:val="22"/>
          <w:lang w:val="es-ES_tradnl"/>
        </w:rPr>
        <w:t xml:space="preserve"> para responder a las preguntas i) y </w:t>
      </w:r>
      <w:proofErr w:type="spellStart"/>
      <w:r w:rsidRPr="009C3A2B">
        <w:rPr>
          <w:rFonts w:ascii="Arial" w:hAnsi="Arial" w:eastAsia="Calibri" w:cs="Arial"/>
          <w:color w:val="000000" w:themeColor="text1"/>
          <w:sz w:val="22"/>
          <w:lang w:val="es-ES_tradnl"/>
        </w:rPr>
        <w:t>iii</w:t>
      </w:r>
      <w:proofErr w:type="spellEnd"/>
      <w:r w:rsidRPr="009C3A2B">
        <w:rPr>
          <w:rFonts w:ascii="Arial" w:hAnsi="Arial" w:eastAsia="Calibri" w:cs="Arial"/>
          <w:color w:val="000000" w:themeColor="text1"/>
          <w:sz w:val="22"/>
          <w:lang w:val="es-ES_tradnl"/>
        </w:rPr>
        <w:t xml:space="preserve">), se procede a resolver la inquietud </w:t>
      </w:r>
      <w:proofErr w:type="spellStart"/>
      <w:r w:rsidRPr="009C3A2B">
        <w:rPr>
          <w:rFonts w:ascii="Arial" w:hAnsi="Arial" w:eastAsia="Calibri" w:cs="Arial"/>
          <w:color w:val="000000" w:themeColor="text1"/>
          <w:sz w:val="22"/>
          <w:lang w:val="es-ES_tradnl"/>
        </w:rPr>
        <w:t>ii</w:t>
      </w:r>
      <w:proofErr w:type="spellEnd"/>
      <w:r w:rsidRPr="009C3A2B">
        <w:rPr>
          <w:rFonts w:ascii="Arial" w:hAnsi="Arial" w:eastAsia="Calibri" w:cs="Arial"/>
          <w:color w:val="000000" w:themeColor="text1"/>
          <w:sz w:val="22"/>
          <w:lang w:val="es-ES_tradnl"/>
        </w:rPr>
        <w:t xml:space="preserve">). </w:t>
      </w:r>
      <w:r w:rsidRPr="009C3A2B" w:rsidR="00F1108B">
        <w:rPr>
          <w:rFonts w:ascii="Arial" w:hAnsi="Arial" w:eastAsia="Calibri" w:cs="Arial"/>
          <w:color w:val="000000" w:themeColor="text1"/>
          <w:sz w:val="22"/>
          <w:lang w:val="es-ES_tradnl"/>
        </w:rPr>
        <w:t xml:space="preserve">Para desarrollar </w:t>
      </w:r>
      <w:r w:rsidRPr="009C3A2B">
        <w:rPr>
          <w:rFonts w:ascii="Arial" w:hAnsi="Arial" w:eastAsia="Calibri" w:cs="Arial"/>
          <w:color w:val="000000" w:themeColor="text1"/>
          <w:sz w:val="22"/>
          <w:lang w:val="es-ES_tradnl"/>
        </w:rPr>
        <w:t>el</w:t>
      </w:r>
      <w:r w:rsidRPr="009C3A2B" w:rsidR="00F1108B">
        <w:rPr>
          <w:rFonts w:ascii="Arial" w:hAnsi="Arial" w:eastAsia="Calibri" w:cs="Arial"/>
          <w:color w:val="000000" w:themeColor="text1"/>
          <w:sz w:val="22"/>
          <w:lang w:val="es-ES_tradnl"/>
        </w:rPr>
        <w:t xml:space="preserve"> proble</w:t>
      </w:r>
      <w:r w:rsidRPr="009C3A2B" w:rsidR="008A796E">
        <w:rPr>
          <w:rFonts w:ascii="Arial" w:hAnsi="Arial" w:eastAsia="Calibri" w:cs="Arial"/>
          <w:color w:val="000000" w:themeColor="text1"/>
          <w:sz w:val="22"/>
          <w:lang w:val="es-ES_tradnl"/>
        </w:rPr>
        <w:t>ma planteado</w:t>
      </w:r>
      <w:r w:rsidRPr="009C3A2B" w:rsidR="00D17E38">
        <w:rPr>
          <w:rFonts w:ascii="Arial" w:hAnsi="Arial" w:eastAsia="Calibri" w:cs="Arial"/>
          <w:color w:val="000000" w:themeColor="text1"/>
          <w:sz w:val="22"/>
          <w:lang w:val="es-ES_tradnl"/>
        </w:rPr>
        <w:t xml:space="preserve"> </w:t>
      </w:r>
      <w:r w:rsidRPr="009C3A2B" w:rsidR="00F1108B">
        <w:rPr>
          <w:rFonts w:ascii="Arial" w:hAnsi="Arial" w:eastAsia="Calibri" w:cs="Arial"/>
          <w:color w:val="000000" w:themeColor="text1"/>
          <w:sz w:val="22"/>
          <w:lang w:val="es-ES_tradnl"/>
        </w:rPr>
        <w:t xml:space="preserve">se explicará </w:t>
      </w:r>
      <w:r w:rsidRPr="009C3A2B" w:rsidR="00B06595">
        <w:rPr>
          <w:rFonts w:ascii="Arial" w:hAnsi="Arial" w:eastAsia="Calibri" w:cs="Arial"/>
          <w:color w:val="000000" w:themeColor="text1"/>
          <w:sz w:val="22"/>
          <w:lang w:val="es-ES_tradnl"/>
        </w:rPr>
        <w:t>brevemente</w:t>
      </w:r>
      <w:r w:rsidRPr="009C3A2B">
        <w:rPr>
          <w:rFonts w:ascii="Arial" w:hAnsi="Arial" w:eastAsia="Calibri" w:cs="Arial"/>
          <w:color w:val="000000" w:themeColor="text1"/>
          <w:sz w:val="22"/>
          <w:lang w:val="es-ES_tradnl"/>
        </w:rPr>
        <w:t xml:space="preserve"> las causales de rechazo de las propuestas, el régimen de inhabilidades</w:t>
      </w:r>
      <w:r w:rsidRPr="009C3A2B" w:rsidR="001D5E74">
        <w:rPr>
          <w:rFonts w:ascii="Arial" w:hAnsi="Arial" w:eastAsia="Calibri" w:cs="Arial"/>
          <w:color w:val="000000" w:themeColor="text1"/>
          <w:sz w:val="22"/>
          <w:lang w:val="es-ES_tradnl"/>
        </w:rPr>
        <w:t xml:space="preserve">, la imposibilidad de establecerlas a través de los pliegos de </w:t>
      </w:r>
      <w:r w:rsidRPr="009C3A2B" w:rsidR="00361911">
        <w:rPr>
          <w:rFonts w:ascii="Arial" w:hAnsi="Arial" w:eastAsia="Calibri" w:cs="Arial"/>
          <w:color w:val="000000" w:themeColor="text1"/>
          <w:sz w:val="22"/>
          <w:lang w:val="es-ES_tradnl"/>
        </w:rPr>
        <w:t>condiciones y</w:t>
      </w:r>
      <w:r w:rsidRPr="009C3A2B">
        <w:rPr>
          <w:rFonts w:ascii="Arial" w:hAnsi="Arial" w:eastAsia="Calibri" w:cs="Arial"/>
          <w:color w:val="000000" w:themeColor="text1"/>
          <w:sz w:val="22"/>
          <w:lang w:val="es-ES_tradnl"/>
        </w:rPr>
        <w:t>, finalmente,</w:t>
      </w:r>
      <w:r w:rsidRPr="009C3A2B" w:rsidR="00D17E38">
        <w:rPr>
          <w:rFonts w:ascii="Arial" w:hAnsi="Arial" w:eastAsia="Calibri" w:cs="Arial"/>
          <w:color w:val="000000" w:themeColor="text1"/>
          <w:sz w:val="22"/>
          <w:lang w:val="es-ES_tradnl"/>
        </w:rPr>
        <w:t xml:space="preserve"> el carácter obligatorio o no de la Lista Clinton </w:t>
      </w:r>
      <w:r w:rsidRPr="009C3A2B" w:rsidR="00FC1644">
        <w:rPr>
          <w:rFonts w:ascii="Arial" w:hAnsi="Arial" w:eastAsia="Calibri" w:cs="Arial"/>
          <w:color w:val="000000" w:themeColor="text1"/>
          <w:sz w:val="22"/>
          <w:lang w:val="es-ES_tradnl"/>
        </w:rPr>
        <w:t>en el sistema de compras públicas</w:t>
      </w:r>
      <w:r w:rsidRPr="009C3A2B" w:rsidR="001D5E74">
        <w:rPr>
          <w:rFonts w:ascii="Arial" w:hAnsi="Arial" w:eastAsia="Calibri" w:cs="Arial"/>
          <w:color w:val="000000" w:themeColor="text1"/>
          <w:sz w:val="22"/>
          <w:lang w:val="es-ES_tradnl"/>
        </w:rPr>
        <w:t xml:space="preserve"> como criterio para el rechazo de la</w:t>
      </w:r>
      <w:r w:rsidRPr="009C3A2B" w:rsidR="00361911">
        <w:rPr>
          <w:rFonts w:ascii="Arial" w:hAnsi="Arial" w:eastAsia="Calibri" w:cs="Arial"/>
          <w:color w:val="000000" w:themeColor="text1"/>
          <w:sz w:val="22"/>
          <w:lang w:val="es-ES_tradnl"/>
        </w:rPr>
        <w:t>s</w:t>
      </w:r>
      <w:r w:rsidRPr="009C3A2B" w:rsidR="001D5E74">
        <w:rPr>
          <w:rFonts w:ascii="Arial" w:hAnsi="Arial" w:eastAsia="Calibri" w:cs="Arial"/>
          <w:color w:val="000000" w:themeColor="text1"/>
          <w:sz w:val="22"/>
          <w:lang w:val="es-ES_tradnl"/>
        </w:rPr>
        <w:t xml:space="preserve"> propuestas</w:t>
      </w:r>
      <w:r w:rsidRPr="009C3A2B" w:rsidR="00D17E38">
        <w:rPr>
          <w:rFonts w:ascii="Arial" w:hAnsi="Arial" w:eastAsia="Calibri" w:cs="Arial"/>
          <w:color w:val="000000" w:themeColor="text1"/>
          <w:sz w:val="22"/>
          <w:lang w:val="es-ES_tradnl"/>
        </w:rPr>
        <w:t>.</w:t>
      </w:r>
      <w:r w:rsidRPr="009C3A2B">
        <w:rPr>
          <w:rFonts w:ascii="Arial" w:hAnsi="Arial" w:eastAsia="Calibri" w:cs="Arial"/>
          <w:color w:val="000000" w:themeColor="text1"/>
          <w:sz w:val="22"/>
          <w:lang w:val="es-ES_tradnl"/>
        </w:rPr>
        <w:t xml:space="preserve"> </w:t>
      </w:r>
      <w:r w:rsidRPr="009C3A2B" w:rsidR="00F87E29">
        <w:rPr>
          <w:rFonts w:ascii="Arial" w:hAnsi="Arial" w:eastAsia="Calibri" w:cs="Arial"/>
          <w:color w:val="000000" w:themeColor="text1"/>
          <w:sz w:val="22"/>
          <w:lang w:val="es-ES_tradnl"/>
        </w:rPr>
        <w:t xml:space="preserve">  </w:t>
      </w:r>
    </w:p>
    <w:p w:rsidRPr="009C3A2B" w:rsidR="00B26D14" w:rsidP="003B429A" w:rsidRDefault="00B26D14" w14:paraId="01A1AA59" w14:textId="16E5E04F">
      <w:pPr>
        <w:spacing w:after="120"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ab/>
      </w:r>
      <w:bookmarkStart w:name="_Hlk35433708" w:id="5"/>
      <w:r w:rsidRPr="009C3A2B" w:rsidR="008C290C">
        <w:rPr>
          <w:rFonts w:ascii="Arial" w:hAnsi="Arial" w:cs="Arial"/>
          <w:color w:val="000000" w:themeColor="text1"/>
          <w:sz w:val="22"/>
          <w:lang w:val="es-ES_tradnl"/>
        </w:rPr>
        <w:t xml:space="preserve">En otra oportunidad esta Subdirección expidió los conceptos </w:t>
      </w:r>
      <w:r w:rsidRPr="009C3A2B" w:rsidR="00540068">
        <w:rPr>
          <w:rFonts w:ascii="Arial" w:hAnsi="Arial" w:eastAsia="Calibri" w:cs="Arial"/>
          <w:color w:val="000000" w:themeColor="text1"/>
          <w:sz w:val="22"/>
          <w:lang w:val="es-ES_tradnl"/>
        </w:rPr>
        <w:t>415140001639 del 17 de junio de 2019</w:t>
      </w:r>
      <w:r w:rsidRPr="009C3A2B" w:rsidR="00540068">
        <w:rPr>
          <w:rFonts w:ascii="Arial" w:hAnsi="Arial" w:cs="Arial"/>
          <w:color w:val="000000" w:themeColor="text1"/>
          <w:sz w:val="22"/>
          <w:lang w:val="es-ES_tradnl"/>
        </w:rPr>
        <w:t xml:space="preserve"> y </w:t>
      </w:r>
      <w:r w:rsidRPr="009C3A2B" w:rsidR="00540068">
        <w:rPr>
          <w:rFonts w:ascii="Arial" w:hAnsi="Arial" w:eastAsia="Calibri" w:cs="Arial"/>
          <w:color w:val="000000" w:themeColor="text1"/>
          <w:sz w:val="22"/>
          <w:lang w:val="es-ES_tradnl"/>
        </w:rPr>
        <w:t>C-001 del 15 de enero de 2020</w:t>
      </w:r>
      <w:r w:rsidRPr="009C3A2B" w:rsidR="008C290C">
        <w:rPr>
          <w:rFonts w:ascii="Arial" w:hAnsi="Arial" w:cs="Arial"/>
          <w:color w:val="000000" w:themeColor="text1"/>
          <w:sz w:val="22"/>
          <w:lang w:val="es-ES_tradnl"/>
        </w:rPr>
        <w:t xml:space="preserve">, donde se </w:t>
      </w:r>
      <w:bookmarkEnd w:id="5"/>
      <w:r w:rsidRPr="009C3A2B" w:rsidR="008C290C">
        <w:rPr>
          <w:rFonts w:ascii="Arial" w:hAnsi="Arial" w:cs="Arial"/>
          <w:color w:val="000000" w:themeColor="text1"/>
          <w:sz w:val="22"/>
          <w:lang w:val="es-ES_tradnl"/>
        </w:rPr>
        <w:t xml:space="preserve">explicó </w:t>
      </w:r>
      <w:r w:rsidRPr="009C3A2B" w:rsidR="00540068">
        <w:rPr>
          <w:rFonts w:ascii="Arial" w:hAnsi="Arial" w:cs="Arial"/>
          <w:color w:val="000000" w:themeColor="text1"/>
          <w:sz w:val="22"/>
          <w:lang w:val="es-ES_tradnl"/>
        </w:rPr>
        <w:t xml:space="preserve">que la inclusión de los oferentes en la </w:t>
      </w:r>
      <w:r w:rsidRPr="009C3A2B" w:rsidR="00540068">
        <w:rPr>
          <w:rFonts w:ascii="Arial" w:hAnsi="Arial" w:eastAsia="Calibri" w:cs="Arial"/>
          <w:color w:val="000000" w:themeColor="text1"/>
          <w:sz w:val="22"/>
          <w:lang w:val="es-ES_tradnl"/>
        </w:rPr>
        <w:t>Lista Clinton no constituye una causal de rechazo de la</w:t>
      </w:r>
      <w:r w:rsidRPr="009C3A2B" w:rsidR="003B429A">
        <w:rPr>
          <w:rFonts w:ascii="Arial" w:hAnsi="Arial" w:eastAsia="Calibri" w:cs="Arial"/>
          <w:color w:val="000000" w:themeColor="text1"/>
          <w:sz w:val="22"/>
          <w:lang w:val="es-ES_tradnl"/>
        </w:rPr>
        <w:t>s</w:t>
      </w:r>
      <w:r w:rsidRPr="009C3A2B" w:rsidR="00540068">
        <w:rPr>
          <w:rFonts w:ascii="Arial" w:hAnsi="Arial" w:eastAsia="Calibri" w:cs="Arial"/>
          <w:color w:val="000000" w:themeColor="text1"/>
          <w:sz w:val="22"/>
          <w:lang w:val="es-ES_tradnl"/>
        </w:rPr>
        <w:t xml:space="preserve"> propuestas</w:t>
      </w:r>
      <w:r w:rsidRPr="009C3A2B" w:rsidR="008C290C">
        <w:rPr>
          <w:rFonts w:ascii="Arial" w:hAnsi="Arial" w:cs="Arial"/>
          <w:color w:val="000000" w:themeColor="text1"/>
          <w:sz w:val="22"/>
          <w:lang w:val="es-ES_tradnl"/>
        </w:rPr>
        <w:t>. La tesis propuesta en dichos conceptos se expone a continuación.</w:t>
      </w:r>
    </w:p>
    <w:p w:rsidRPr="009C3A2B" w:rsidR="00F1108B" w:rsidP="00F1108B" w:rsidRDefault="00F1108B" w14:paraId="582817E0" w14:textId="77777777">
      <w:pPr>
        <w:spacing w:line="276" w:lineRule="auto"/>
        <w:jc w:val="both"/>
        <w:rPr>
          <w:rFonts w:ascii="Arial" w:hAnsi="Arial" w:eastAsia="Calibri" w:cs="Arial"/>
          <w:color w:val="000000" w:themeColor="text1"/>
          <w:sz w:val="22"/>
          <w:lang w:val="es-ES_tradnl"/>
        </w:rPr>
      </w:pPr>
    </w:p>
    <w:p w:rsidRPr="009C3A2B" w:rsidR="0081766B" w:rsidP="0081766B" w:rsidRDefault="00F87E29" w14:paraId="039281DA" w14:textId="51941BDE">
      <w:pPr>
        <w:spacing w:line="276" w:lineRule="auto"/>
        <w:jc w:val="both"/>
        <w:rPr>
          <w:rFonts w:ascii="Arial" w:hAnsi="Arial" w:eastAsia="Calibri" w:cs="Arial"/>
          <w:b/>
          <w:bCs/>
          <w:color w:val="000000" w:themeColor="text1"/>
          <w:sz w:val="22"/>
          <w:lang w:val="es-ES_tradnl"/>
        </w:rPr>
      </w:pPr>
      <w:r w:rsidRPr="009C3A2B">
        <w:rPr>
          <w:rFonts w:ascii="Arial" w:hAnsi="Arial" w:eastAsia="Calibri" w:cs="Arial"/>
          <w:b/>
          <w:bCs/>
          <w:color w:val="000000" w:themeColor="text1"/>
          <w:sz w:val="22"/>
          <w:lang w:val="es-ES_tradnl"/>
        </w:rPr>
        <w:t xml:space="preserve">2.1. </w:t>
      </w:r>
      <w:bookmarkStart w:name="_Hlk34855808" w:id="6"/>
      <w:r w:rsidRPr="009C3A2B" w:rsidR="005042B4">
        <w:rPr>
          <w:rFonts w:ascii="Arial" w:hAnsi="Arial" w:eastAsia="Calibri" w:cs="Arial"/>
          <w:b/>
          <w:bCs/>
          <w:color w:val="000000" w:themeColor="text1"/>
          <w:sz w:val="22"/>
          <w:lang w:val="es-ES_tradnl"/>
        </w:rPr>
        <w:t>Las c</w:t>
      </w:r>
      <w:r w:rsidRPr="009C3A2B" w:rsidR="00D17E38">
        <w:rPr>
          <w:rFonts w:ascii="Arial" w:hAnsi="Arial" w:eastAsia="Calibri" w:cs="Arial"/>
          <w:b/>
          <w:bCs/>
          <w:color w:val="000000" w:themeColor="text1"/>
          <w:sz w:val="22"/>
          <w:lang w:val="es-ES_tradnl"/>
        </w:rPr>
        <w:t>ausales de rechazo de la</w:t>
      </w:r>
      <w:r w:rsidRPr="009C3A2B" w:rsidR="00B46978">
        <w:rPr>
          <w:rFonts w:ascii="Arial" w:hAnsi="Arial" w:eastAsia="Calibri" w:cs="Arial"/>
          <w:b/>
          <w:bCs/>
          <w:color w:val="000000" w:themeColor="text1"/>
          <w:sz w:val="22"/>
          <w:lang w:val="es-ES_tradnl"/>
        </w:rPr>
        <w:t>s</w:t>
      </w:r>
      <w:r w:rsidRPr="009C3A2B" w:rsidR="00D17E38">
        <w:rPr>
          <w:rFonts w:ascii="Arial" w:hAnsi="Arial" w:eastAsia="Calibri" w:cs="Arial"/>
          <w:b/>
          <w:bCs/>
          <w:color w:val="000000" w:themeColor="text1"/>
          <w:sz w:val="22"/>
          <w:lang w:val="es-ES_tradnl"/>
        </w:rPr>
        <w:t xml:space="preserve"> propuestas</w:t>
      </w:r>
      <w:bookmarkEnd w:id="6"/>
      <w:r w:rsidRPr="009C3A2B" w:rsidR="005042B4">
        <w:rPr>
          <w:rFonts w:ascii="Arial" w:hAnsi="Arial" w:eastAsia="Calibri" w:cs="Arial"/>
          <w:b/>
          <w:bCs/>
          <w:color w:val="000000" w:themeColor="text1"/>
          <w:sz w:val="22"/>
          <w:lang w:val="es-ES_tradnl"/>
        </w:rPr>
        <w:t xml:space="preserve"> </w:t>
      </w:r>
      <w:r w:rsidRPr="009C3A2B" w:rsidR="008618BB">
        <w:rPr>
          <w:rFonts w:ascii="Arial" w:hAnsi="Arial" w:eastAsia="Calibri" w:cs="Arial"/>
          <w:b/>
          <w:bCs/>
          <w:color w:val="000000" w:themeColor="text1"/>
          <w:sz w:val="22"/>
          <w:lang w:val="es-ES_tradnl"/>
        </w:rPr>
        <w:t xml:space="preserve">no pueden ser caprichosas </w:t>
      </w:r>
      <w:r w:rsidRPr="009C3A2B" w:rsidR="00DE2630">
        <w:rPr>
          <w:rFonts w:ascii="Arial" w:hAnsi="Arial" w:eastAsia="Calibri" w:cs="Arial"/>
          <w:b/>
          <w:bCs/>
          <w:color w:val="000000" w:themeColor="text1"/>
          <w:sz w:val="22"/>
          <w:lang w:val="es-ES_tradnl"/>
        </w:rPr>
        <w:t>ni</w:t>
      </w:r>
      <w:r w:rsidRPr="009C3A2B" w:rsidR="008618BB">
        <w:rPr>
          <w:rFonts w:ascii="Arial" w:hAnsi="Arial" w:eastAsia="Calibri" w:cs="Arial"/>
          <w:b/>
          <w:bCs/>
          <w:color w:val="000000" w:themeColor="text1"/>
          <w:sz w:val="22"/>
          <w:lang w:val="es-ES_tradnl"/>
        </w:rPr>
        <w:t xml:space="preserve"> arbitrarias</w:t>
      </w:r>
    </w:p>
    <w:p w:rsidRPr="009C3A2B" w:rsidR="0081766B" w:rsidP="0081766B" w:rsidRDefault="0081766B" w14:paraId="268C42B7" w14:textId="7B6AE93C">
      <w:pPr>
        <w:spacing w:line="276" w:lineRule="auto"/>
        <w:jc w:val="both"/>
        <w:rPr>
          <w:rFonts w:ascii="Arial" w:hAnsi="Arial" w:eastAsia="Calibri" w:cs="Arial"/>
          <w:color w:val="000000" w:themeColor="text1"/>
          <w:sz w:val="22"/>
          <w:lang w:val="es-ES_tradnl"/>
        </w:rPr>
      </w:pPr>
    </w:p>
    <w:p w:rsidRPr="009C3A2B" w:rsidR="0043561A" w:rsidP="003B429A" w:rsidRDefault="008618BB" w14:paraId="15B02C99" w14:textId="0C54CF77">
      <w:pPr>
        <w:spacing w:before="120"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 xml:space="preserve">Conforme al inciso 1 del artículo 209 de la Constitución Política de Colombia, la función administrativa está al servicio de los intereses generales y se desarrolla, entre otros, con fundamento en el principio de imparcialidad. </w:t>
      </w:r>
      <w:r w:rsidRPr="009C3A2B" w:rsidR="0043561A">
        <w:rPr>
          <w:rFonts w:ascii="Arial" w:hAnsi="Arial" w:eastAsia="Calibri" w:cs="Arial"/>
          <w:color w:val="000000" w:themeColor="text1"/>
          <w:sz w:val="22"/>
          <w:lang w:val="es-ES_tradnl"/>
        </w:rPr>
        <w:t>En este sentido</w:t>
      </w:r>
      <w:r w:rsidRPr="009C3A2B">
        <w:rPr>
          <w:rFonts w:ascii="Arial" w:hAnsi="Arial" w:eastAsia="Calibri" w:cs="Arial"/>
          <w:color w:val="000000" w:themeColor="text1"/>
          <w:sz w:val="22"/>
          <w:lang w:val="es-ES_tradnl"/>
        </w:rPr>
        <w:t xml:space="preserve">, el numeral 3 del artículo 3 de </w:t>
      </w:r>
      <w:r w:rsidRPr="009C3A2B">
        <w:rPr>
          <w:rFonts w:ascii="Arial" w:hAnsi="Arial" w:eastAsia="Calibri" w:cs="Arial"/>
          <w:color w:val="000000" w:themeColor="text1"/>
          <w:sz w:val="22"/>
          <w:lang w:val="es-ES_tradnl"/>
        </w:rPr>
        <w:lastRenderedPageBreak/>
        <w:t xml:space="preserve">la Ley 1437 de 2011 </w:t>
      </w:r>
      <w:r w:rsidRPr="009C3A2B" w:rsidR="0043561A">
        <w:rPr>
          <w:rFonts w:ascii="Arial" w:hAnsi="Arial" w:eastAsia="Calibri" w:cs="Arial"/>
          <w:color w:val="000000" w:themeColor="text1"/>
          <w:sz w:val="22"/>
          <w:lang w:val="es-ES_tradnl"/>
        </w:rPr>
        <w:t>prescribe</w:t>
      </w:r>
      <w:r w:rsidRPr="009C3A2B">
        <w:rPr>
          <w:rFonts w:ascii="Arial" w:hAnsi="Arial" w:eastAsia="Calibri" w:cs="Arial"/>
          <w:color w:val="000000" w:themeColor="text1"/>
          <w:sz w:val="22"/>
          <w:lang w:val="es-ES_tradnl"/>
        </w:rPr>
        <w:t xml:space="preserve"> que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r w:rsidRPr="009C3A2B" w:rsidR="0043561A">
        <w:rPr>
          <w:rFonts w:ascii="Arial" w:hAnsi="Arial" w:eastAsia="Calibri" w:cs="Arial"/>
          <w:color w:val="000000" w:themeColor="text1"/>
          <w:sz w:val="22"/>
          <w:lang w:val="es-ES_tradnl"/>
        </w:rPr>
        <w:t>. Esta directriz es de especial relevancia en materia de contratación estatal, ya que –en virtud del artículo 77 de la Ley 80 de 1993 y el artículo 13 de la Ley 1150 de 2007– se integra tanto al régimen de las entidades sometidas como al de las exceptuadas del Estatuto General de Contratación de la Administración Pública</w:t>
      </w:r>
      <w:r w:rsidRPr="009C3A2B" w:rsidR="00D74158">
        <w:rPr>
          <w:rFonts w:ascii="Arial" w:hAnsi="Arial" w:eastAsia="Calibri" w:cs="Arial"/>
          <w:color w:val="000000" w:themeColor="text1"/>
          <w:sz w:val="22"/>
          <w:lang w:val="es-ES_tradnl"/>
        </w:rPr>
        <w:t>, guardando una estrecha relación con el principio de selección objetiva</w:t>
      </w:r>
      <w:r w:rsidRPr="009C3A2B" w:rsidR="0043561A">
        <w:rPr>
          <w:rFonts w:ascii="Arial" w:hAnsi="Arial" w:eastAsia="Calibri" w:cs="Arial"/>
          <w:color w:val="000000" w:themeColor="text1"/>
          <w:sz w:val="22"/>
          <w:lang w:val="es-ES_tradnl"/>
        </w:rPr>
        <w:t>.</w:t>
      </w:r>
    </w:p>
    <w:p w:rsidRPr="009C3A2B" w:rsidR="003856A6" w:rsidP="008618BB" w:rsidRDefault="0043561A" w14:paraId="68821467" w14:textId="137F6B89">
      <w:pPr>
        <w:spacing w:before="120"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ab/>
      </w:r>
      <w:bookmarkStart w:name="_Hlk34855985" w:id="7"/>
      <w:r w:rsidRPr="009C3A2B">
        <w:rPr>
          <w:rFonts w:ascii="Arial" w:hAnsi="Arial" w:eastAsia="Calibri" w:cs="Arial"/>
          <w:color w:val="000000" w:themeColor="text1"/>
          <w:sz w:val="22"/>
          <w:lang w:val="es-ES_tradnl"/>
        </w:rPr>
        <w:t>Dicho</w:t>
      </w:r>
      <w:r w:rsidRPr="009C3A2B" w:rsidR="00D74158">
        <w:rPr>
          <w:rFonts w:ascii="Arial" w:hAnsi="Arial" w:eastAsia="Calibri" w:cs="Arial"/>
          <w:color w:val="000000" w:themeColor="text1"/>
          <w:sz w:val="22"/>
          <w:lang w:val="es-ES_tradnl"/>
        </w:rPr>
        <w:t>s</w:t>
      </w:r>
      <w:r w:rsidRPr="009C3A2B">
        <w:rPr>
          <w:rFonts w:ascii="Arial" w:hAnsi="Arial" w:eastAsia="Calibri" w:cs="Arial"/>
          <w:color w:val="000000" w:themeColor="text1"/>
          <w:sz w:val="22"/>
          <w:lang w:val="es-ES_tradnl"/>
        </w:rPr>
        <w:t xml:space="preserve"> </w:t>
      </w:r>
      <w:r w:rsidRPr="009C3A2B" w:rsidR="00474C5E">
        <w:rPr>
          <w:rFonts w:ascii="Arial" w:hAnsi="Arial" w:eastAsia="Calibri" w:cs="Arial"/>
          <w:color w:val="000000" w:themeColor="text1"/>
          <w:sz w:val="22"/>
          <w:lang w:val="es-ES_tradnl"/>
        </w:rPr>
        <w:t>principio</w:t>
      </w:r>
      <w:r w:rsidRPr="009C3A2B" w:rsidR="00D74158">
        <w:rPr>
          <w:rFonts w:ascii="Arial" w:hAnsi="Arial" w:eastAsia="Calibri" w:cs="Arial"/>
          <w:color w:val="000000" w:themeColor="text1"/>
          <w:sz w:val="22"/>
          <w:lang w:val="es-ES_tradnl"/>
        </w:rPr>
        <w:t>s</w:t>
      </w:r>
      <w:r w:rsidRPr="009C3A2B" w:rsidR="00474C5E">
        <w:rPr>
          <w:rFonts w:ascii="Arial" w:hAnsi="Arial" w:eastAsia="Calibri" w:cs="Arial"/>
          <w:color w:val="000000" w:themeColor="text1"/>
          <w:sz w:val="22"/>
          <w:lang w:val="es-ES_tradnl"/>
        </w:rPr>
        <w:t xml:space="preserve"> tiene</w:t>
      </w:r>
      <w:r w:rsidRPr="009C3A2B" w:rsidR="00D74158">
        <w:rPr>
          <w:rFonts w:ascii="Arial" w:hAnsi="Arial" w:eastAsia="Calibri" w:cs="Arial"/>
          <w:color w:val="000000" w:themeColor="text1"/>
          <w:sz w:val="22"/>
          <w:lang w:val="es-ES_tradnl"/>
        </w:rPr>
        <w:t>n</w:t>
      </w:r>
      <w:r w:rsidRPr="009C3A2B" w:rsidR="00474C5E">
        <w:rPr>
          <w:rFonts w:ascii="Arial" w:hAnsi="Arial" w:eastAsia="Calibri" w:cs="Arial"/>
          <w:color w:val="000000" w:themeColor="text1"/>
          <w:sz w:val="22"/>
          <w:lang w:val="es-ES_tradnl"/>
        </w:rPr>
        <w:t xml:space="preserve"> un papel relevante en la elaboración de los pliegos de condiciones, pues si bien las entidades tienen un margen de </w:t>
      </w:r>
      <w:r w:rsidRPr="009C3A2B" w:rsidR="00A965EA">
        <w:rPr>
          <w:rFonts w:ascii="Arial" w:hAnsi="Arial" w:eastAsia="Calibri" w:cs="Arial"/>
          <w:color w:val="000000" w:themeColor="text1"/>
          <w:sz w:val="22"/>
          <w:lang w:val="es-ES_tradnl"/>
        </w:rPr>
        <w:t>autonomía</w:t>
      </w:r>
      <w:r w:rsidRPr="009C3A2B" w:rsidR="00474C5E">
        <w:rPr>
          <w:rFonts w:ascii="Arial" w:hAnsi="Arial" w:eastAsia="Calibri" w:cs="Arial"/>
          <w:color w:val="000000" w:themeColor="text1"/>
          <w:sz w:val="22"/>
          <w:lang w:val="es-ES_tradnl"/>
        </w:rPr>
        <w:t xml:space="preserve"> para definir </w:t>
      </w:r>
      <w:r w:rsidRPr="009C3A2B" w:rsidR="003856A6">
        <w:rPr>
          <w:rFonts w:ascii="Arial" w:hAnsi="Arial" w:eastAsia="Calibri" w:cs="Arial"/>
          <w:color w:val="000000" w:themeColor="text1"/>
          <w:sz w:val="22"/>
          <w:lang w:val="es-ES_tradnl"/>
        </w:rPr>
        <w:t>algunos</w:t>
      </w:r>
      <w:r w:rsidRPr="009C3A2B" w:rsidR="00474C5E">
        <w:rPr>
          <w:rFonts w:ascii="Arial" w:hAnsi="Arial" w:eastAsia="Calibri" w:cs="Arial"/>
          <w:color w:val="000000" w:themeColor="text1"/>
          <w:sz w:val="22"/>
          <w:lang w:val="es-ES_tradnl"/>
        </w:rPr>
        <w:t xml:space="preserve"> aspectos del futuro negocio, las causales de rechazo de las propuestas deben ser razonables, bien porque algunas de éstas se encuentren previstas en el ordenamiento o porque conducen </w:t>
      </w:r>
      <w:r w:rsidRPr="009C3A2B" w:rsidR="003856A6">
        <w:rPr>
          <w:rFonts w:ascii="Arial" w:hAnsi="Arial" w:eastAsia="Calibri" w:cs="Arial"/>
          <w:color w:val="000000" w:themeColor="text1"/>
          <w:sz w:val="22"/>
          <w:lang w:val="es-ES_tradnl"/>
        </w:rPr>
        <w:t>a que se adjudique el contrato al</w:t>
      </w:r>
      <w:r w:rsidRPr="009C3A2B" w:rsidR="00474C5E">
        <w:rPr>
          <w:rFonts w:ascii="Arial" w:hAnsi="Arial" w:eastAsia="Calibri" w:cs="Arial"/>
          <w:color w:val="000000" w:themeColor="text1"/>
          <w:sz w:val="22"/>
          <w:lang w:val="es-ES_tradnl"/>
        </w:rPr>
        <w:t xml:space="preserve"> proponente que cumple con los requisitos técnicos y económicos para </w:t>
      </w:r>
      <w:r w:rsidRPr="009C3A2B" w:rsidR="003856A6">
        <w:rPr>
          <w:rFonts w:ascii="Arial" w:hAnsi="Arial" w:eastAsia="Calibri" w:cs="Arial"/>
          <w:color w:val="000000" w:themeColor="text1"/>
          <w:sz w:val="22"/>
          <w:lang w:val="es-ES_tradnl"/>
        </w:rPr>
        <w:t>su</w:t>
      </w:r>
      <w:r w:rsidRPr="009C3A2B" w:rsidR="00474C5E">
        <w:rPr>
          <w:rFonts w:ascii="Arial" w:hAnsi="Arial" w:eastAsia="Calibri" w:cs="Arial"/>
          <w:color w:val="000000" w:themeColor="text1"/>
          <w:sz w:val="22"/>
          <w:lang w:val="es-ES_tradnl"/>
        </w:rPr>
        <w:t xml:space="preserve"> ejecución. </w:t>
      </w:r>
      <w:r w:rsidRPr="009C3A2B" w:rsidR="003856A6">
        <w:rPr>
          <w:rFonts w:ascii="Arial" w:hAnsi="Arial" w:eastAsia="Calibri" w:cs="Arial"/>
          <w:color w:val="000000" w:themeColor="text1"/>
          <w:sz w:val="22"/>
          <w:lang w:val="es-ES_tradnl"/>
        </w:rPr>
        <w:t xml:space="preserve">En esta medida, dichas causales no deben fundamentarse en el simple capricho o el mero arbitrio, lo cual –además de contrariar </w:t>
      </w:r>
      <w:r w:rsidRPr="009C3A2B" w:rsidR="00D74158">
        <w:rPr>
          <w:rFonts w:ascii="Arial" w:hAnsi="Arial" w:eastAsia="Calibri" w:cs="Arial"/>
          <w:color w:val="000000" w:themeColor="text1"/>
          <w:sz w:val="22"/>
          <w:lang w:val="es-ES_tradnl"/>
        </w:rPr>
        <w:t>los</w:t>
      </w:r>
      <w:r w:rsidRPr="009C3A2B" w:rsidR="003856A6">
        <w:rPr>
          <w:rFonts w:ascii="Arial" w:hAnsi="Arial" w:eastAsia="Calibri" w:cs="Arial"/>
          <w:color w:val="000000" w:themeColor="text1"/>
          <w:sz w:val="22"/>
          <w:lang w:val="es-ES_tradnl"/>
        </w:rPr>
        <w:t xml:space="preserve"> principio</w:t>
      </w:r>
      <w:r w:rsidRPr="009C3A2B" w:rsidR="00D74158">
        <w:rPr>
          <w:rFonts w:ascii="Arial" w:hAnsi="Arial" w:eastAsia="Calibri" w:cs="Arial"/>
          <w:color w:val="000000" w:themeColor="text1"/>
          <w:sz w:val="22"/>
          <w:lang w:val="es-ES_tradnl"/>
        </w:rPr>
        <w:t>s</w:t>
      </w:r>
      <w:r w:rsidRPr="009C3A2B" w:rsidR="003856A6">
        <w:rPr>
          <w:rFonts w:ascii="Arial" w:hAnsi="Arial" w:eastAsia="Calibri" w:cs="Arial"/>
          <w:color w:val="000000" w:themeColor="text1"/>
          <w:sz w:val="22"/>
          <w:lang w:val="es-ES_tradnl"/>
        </w:rPr>
        <w:t xml:space="preserve"> analizado</w:t>
      </w:r>
      <w:r w:rsidRPr="009C3A2B" w:rsidR="00D74158">
        <w:rPr>
          <w:rFonts w:ascii="Arial" w:hAnsi="Arial" w:eastAsia="Calibri" w:cs="Arial"/>
          <w:color w:val="000000" w:themeColor="text1"/>
          <w:sz w:val="22"/>
          <w:lang w:val="es-ES_tradnl"/>
        </w:rPr>
        <w:t>s</w:t>
      </w:r>
      <w:r w:rsidRPr="009C3A2B" w:rsidR="003856A6">
        <w:rPr>
          <w:rFonts w:ascii="Arial" w:hAnsi="Arial" w:eastAsia="Calibri" w:cs="Arial"/>
          <w:color w:val="000000" w:themeColor="text1"/>
          <w:sz w:val="22"/>
          <w:lang w:val="es-ES_tradnl"/>
        </w:rPr>
        <w:t>– limita la participación</w:t>
      </w:r>
      <w:bookmarkEnd w:id="7"/>
      <w:r w:rsidRPr="009C3A2B" w:rsidR="003856A6">
        <w:rPr>
          <w:rFonts w:ascii="Arial" w:hAnsi="Arial" w:eastAsia="Calibri" w:cs="Arial"/>
          <w:color w:val="000000" w:themeColor="text1"/>
          <w:sz w:val="22"/>
          <w:lang w:val="es-ES_tradnl"/>
        </w:rPr>
        <w:t>. No en vano, la jurisprudencia ha sostenido que:</w:t>
      </w:r>
    </w:p>
    <w:p w:rsidRPr="009C3A2B" w:rsidR="003B429A" w:rsidP="003B429A" w:rsidRDefault="003B429A" w14:paraId="1A4D32C0" w14:textId="77777777">
      <w:pPr>
        <w:spacing w:line="276" w:lineRule="auto"/>
        <w:jc w:val="both"/>
        <w:rPr>
          <w:rFonts w:ascii="Arial" w:hAnsi="Arial" w:eastAsia="Calibri" w:cs="Arial"/>
          <w:color w:val="000000" w:themeColor="text1"/>
          <w:sz w:val="22"/>
          <w:lang w:val="es-ES_tradnl"/>
        </w:rPr>
      </w:pPr>
    </w:p>
    <w:p w:rsidRPr="009C3A2B" w:rsidR="003856A6" w:rsidP="00245778" w:rsidRDefault="00A965EA" w14:paraId="2BDF1A37" w14:textId="30AA06BC">
      <w:pPr>
        <w:spacing w:before="120"/>
        <w:ind w:left="709" w:right="709"/>
        <w:jc w:val="both"/>
        <w:rPr>
          <w:rFonts w:ascii="Arial" w:hAnsi="Arial" w:eastAsia="Calibri" w:cs="Arial"/>
          <w:color w:val="000000" w:themeColor="text1"/>
          <w:sz w:val="21"/>
          <w:szCs w:val="21"/>
          <w:lang w:val="es-ES_tradnl"/>
        </w:rPr>
      </w:pPr>
      <w:r w:rsidRPr="009C3A2B">
        <w:rPr>
          <w:rFonts w:ascii="Arial" w:hAnsi="Arial" w:eastAsia="Calibri" w:cs="Arial"/>
          <w:color w:val="000000" w:themeColor="text1"/>
          <w:sz w:val="21"/>
          <w:szCs w:val="21"/>
          <w:lang w:val="es-ES_tradnl"/>
        </w:rPr>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sidRPr="009C3A2B">
        <w:rPr>
          <w:rStyle w:val="Refdenotaalpie"/>
          <w:rFonts w:ascii="Arial" w:hAnsi="Arial" w:eastAsia="Calibri" w:cs="Arial"/>
          <w:color w:val="000000" w:themeColor="text1"/>
          <w:sz w:val="21"/>
          <w:szCs w:val="21"/>
          <w:lang w:val="es-ES_tradnl"/>
        </w:rPr>
        <w:footnoteReference w:id="1"/>
      </w:r>
      <w:r w:rsidRPr="009C3A2B">
        <w:rPr>
          <w:rFonts w:ascii="Arial" w:hAnsi="Arial" w:eastAsia="Calibri" w:cs="Arial"/>
          <w:color w:val="000000" w:themeColor="text1"/>
          <w:sz w:val="21"/>
          <w:szCs w:val="21"/>
          <w:lang w:val="es-ES_tradnl"/>
        </w:rPr>
        <w:t>.</w:t>
      </w:r>
    </w:p>
    <w:p w:rsidRPr="009C3A2B" w:rsidR="003B429A" w:rsidP="003B429A" w:rsidRDefault="003B429A" w14:paraId="684B1289" w14:textId="77777777">
      <w:pPr>
        <w:ind w:left="709" w:right="709"/>
        <w:jc w:val="both"/>
        <w:rPr>
          <w:rFonts w:ascii="Arial" w:hAnsi="Arial" w:eastAsia="Calibri" w:cs="Arial"/>
          <w:color w:val="000000" w:themeColor="text1"/>
          <w:sz w:val="21"/>
          <w:szCs w:val="21"/>
          <w:lang w:val="es-ES_tradnl"/>
        </w:rPr>
      </w:pPr>
    </w:p>
    <w:p w:rsidRPr="009C3A2B" w:rsidR="00F1108B" w:rsidP="00DC518A" w:rsidRDefault="00245778" w14:paraId="6C3C6091" w14:textId="4CDFCD76">
      <w:pPr>
        <w:spacing w:before="120" w:line="276" w:lineRule="auto"/>
        <w:ind w:firstLine="708"/>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En este contexto</w:t>
      </w:r>
      <w:r w:rsidRPr="009C3A2B" w:rsidR="00D13FEB">
        <w:rPr>
          <w:rFonts w:ascii="Arial" w:hAnsi="Arial" w:eastAsia="Calibri" w:cs="Arial"/>
          <w:color w:val="000000" w:themeColor="text1"/>
          <w:sz w:val="22"/>
          <w:lang w:val="es-ES_tradnl"/>
        </w:rPr>
        <w:t>,</w:t>
      </w:r>
      <w:r w:rsidRPr="009C3A2B">
        <w:rPr>
          <w:rFonts w:ascii="Arial" w:hAnsi="Arial" w:eastAsia="Calibri" w:cs="Arial"/>
          <w:color w:val="000000" w:themeColor="text1"/>
          <w:sz w:val="22"/>
          <w:lang w:val="es-ES_tradnl"/>
        </w:rPr>
        <w:t xml:space="preserve"> </w:t>
      </w:r>
      <w:bookmarkStart w:name="_Hlk34855896" w:id="8"/>
      <w:r w:rsidRPr="009C3A2B" w:rsidR="00D13FEB">
        <w:rPr>
          <w:rFonts w:ascii="Arial" w:hAnsi="Arial" w:eastAsia="Calibri" w:cs="Arial"/>
          <w:color w:val="000000" w:themeColor="text1"/>
          <w:sz w:val="22"/>
          <w:lang w:val="es-ES_tradnl"/>
        </w:rPr>
        <w:t xml:space="preserve">las causales de rechazo de la oferta deben emanar directamente de la ley o del pliego de condiciones, pero en uno y en otro caso </w:t>
      </w:r>
      <w:r w:rsidRPr="009C3A2B" w:rsidR="00857630">
        <w:rPr>
          <w:rFonts w:ascii="Arial" w:hAnsi="Arial" w:eastAsia="Calibri" w:cs="Arial"/>
          <w:color w:val="000000" w:themeColor="text1"/>
          <w:sz w:val="22"/>
          <w:lang w:val="es-ES_tradnl"/>
        </w:rPr>
        <w:t>guardan relación con</w:t>
      </w:r>
      <w:r w:rsidRPr="009C3A2B" w:rsidR="00D13FEB">
        <w:rPr>
          <w:rFonts w:ascii="Arial" w:hAnsi="Arial" w:eastAsia="Calibri" w:cs="Arial"/>
          <w:color w:val="000000" w:themeColor="text1"/>
          <w:sz w:val="22"/>
          <w:lang w:val="es-ES_tradnl"/>
        </w:rPr>
        <w:t xml:space="preserve"> defectos, omisiones o circunstancias impeditivas que permitan deducir que la misma no resulta favorable para los intereses de la entidad, en los términos del inciso 1 del artículo 5 de la Ley 1150 de 2007</w:t>
      </w:r>
      <w:r w:rsidRPr="009C3A2B" w:rsidR="00435489">
        <w:rPr>
          <w:rFonts w:ascii="Arial" w:hAnsi="Arial" w:eastAsia="Calibri" w:cs="Arial"/>
          <w:color w:val="000000" w:themeColor="text1"/>
          <w:sz w:val="22"/>
          <w:lang w:val="es-ES_tradnl"/>
        </w:rPr>
        <w:t>. En otras palabras</w:t>
      </w:r>
      <w:r w:rsidRPr="009C3A2B" w:rsidR="00D74158">
        <w:rPr>
          <w:rFonts w:ascii="Arial" w:hAnsi="Arial" w:eastAsia="Calibri" w:cs="Arial"/>
          <w:color w:val="000000" w:themeColor="text1"/>
          <w:sz w:val="22"/>
          <w:lang w:val="es-ES_tradnl"/>
        </w:rPr>
        <w:t xml:space="preserve">, no pueden fundamentarse en consideraciones </w:t>
      </w:r>
      <w:r w:rsidRPr="009C3A2B" w:rsidR="00D74158">
        <w:rPr>
          <w:rFonts w:ascii="Arial" w:hAnsi="Arial" w:eastAsia="Calibri" w:cs="Arial"/>
          <w:color w:val="000000" w:themeColor="text1"/>
          <w:sz w:val="22"/>
          <w:lang w:val="es-ES_tradnl"/>
        </w:rPr>
        <w:lastRenderedPageBreak/>
        <w:t>subjetivas, que conviertan dichas causales en inhabilidades para participar en los procesos de selección</w:t>
      </w:r>
      <w:r w:rsidRPr="009C3A2B" w:rsidR="00D13FEB">
        <w:rPr>
          <w:rFonts w:ascii="Arial" w:hAnsi="Arial" w:eastAsia="Calibri" w:cs="Arial"/>
          <w:color w:val="000000" w:themeColor="text1"/>
          <w:sz w:val="22"/>
          <w:lang w:val="es-ES_tradnl"/>
        </w:rPr>
        <w:t>.</w:t>
      </w:r>
      <w:bookmarkEnd w:id="8"/>
    </w:p>
    <w:p w:rsidRPr="009C3A2B" w:rsidR="00D74158" w:rsidP="00D74158" w:rsidRDefault="00D74158" w14:paraId="6E84816B" w14:textId="77777777">
      <w:pPr>
        <w:spacing w:before="120" w:line="276" w:lineRule="auto"/>
        <w:jc w:val="both"/>
        <w:rPr>
          <w:rFonts w:ascii="Arial" w:hAnsi="Arial" w:eastAsia="Calibri" w:cs="Arial"/>
          <w:color w:val="000000" w:themeColor="text1"/>
          <w:sz w:val="22"/>
          <w:lang w:val="es-ES_tradnl"/>
        </w:rPr>
      </w:pPr>
    </w:p>
    <w:p w:rsidRPr="009C3A2B" w:rsidR="00F1108B" w:rsidP="00F1108B" w:rsidRDefault="00F1108B" w14:paraId="635192B6" w14:textId="42645779">
      <w:pPr>
        <w:spacing w:line="276" w:lineRule="auto"/>
        <w:jc w:val="both"/>
        <w:rPr>
          <w:rFonts w:ascii="Arial" w:hAnsi="Arial" w:eastAsia="Calibri" w:cs="Arial"/>
          <w:b/>
          <w:bCs/>
          <w:color w:val="000000" w:themeColor="text1"/>
          <w:sz w:val="22"/>
          <w:lang w:val="es-ES_tradnl"/>
        </w:rPr>
      </w:pPr>
      <w:r w:rsidRPr="009C3A2B">
        <w:rPr>
          <w:rFonts w:ascii="Arial" w:hAnsi="Arial" w:eastAsia="Calibri" w:cs="Arial"/>
          <w:b/>
          <w:bCs/>
          <w:color w:val="000000" w:themeColor="text1"/>
          <w:sz w:val="22"/>
          <w:lang w:val="es-ES_tradnl"/>
        </w:rPr>
        <w:t xml:space="preserve">2.2. </w:t>
      </w:r>
      <w:r w:rsidRPr="009C3A2B" w:rsidR="00D74158">
        <w:rPr>
          <w:rFonts w:ascii="Arial" w:hAnsi="Arial" w:eastAsia="Calibri" w:cs="Arial"/>
          <w:b/>
          <w:bCs/>
          <w:color w:val="000000" w:themeColor="text1"/>
          <w:sz w:val="22"/>
          <w:lang w:val="es-ES_tradnl"/>
        </w:rPr>
        <w:t xml:space="preserve">Régimen de inhabilidades: importancia de la reserva legal </w:t>
      </w:r>
    </w:p>
    <w:p w:rsidRPr="009C3A2B" w:rsidR="00F1108B" w:rsidP="00F1108B" w:rsidRDefault="00F1108B" w14:paraId="4B7629A8" w14:textId="77777777">
      <w:pPr>
        <w:spacing w:line="276" w:lineRule="auto"/>
        <w:jc w:val="both"/>
        <w:rPr>
          <w:rFonts w:ascii="Arial" w:hAnsi="Arial" w:eastAsia="Calibri" w:cs="Arial"/>
          <w:color w:val="000000" w:themeColor="text1"/>
          <w:sz w:val="22"/>
          <w:lang w:val="es-ES_tradnl"/>
        </w:rPr>
      </w:pPr>
    </w:p>
    <w:p w:rsidRPr="009C3A2B" w:rsidR="00136BF7" w:rsidP="00D74158" w:rsidRDefault="00D74158" w14:paraId="3C6AEE84" w14:textId="62A74008">
      <w:pPr>
        <w:spacing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 xml:space="preserve">Conforme a lo anotado en el numeral precedente, </w:t>
      </w:r>
      <w:r w:rsidRPr="009C3A2B" w:rsidR="003B09C2">
        <w:rPr>
          <w:rFonts w:ascii="Arial" w:hAnsi="Arial" w:eastAsia="Calibri" w:cs="Arial"/>
          <w:color w:val="000000" w:themeColor="text1"/>
          <w:sz w:val="22"/>
          <w:lang w:val="es-ES_tradnl"/>
        </w:rPr>
        <w:t xml:space="preserve">el rechazo está </w:t>
      </w:r>
      <w:r w:rsidRPr="009C3A2B">
        <w:rPr>
          <w:rFonts w:ascii="Arial" w:hAnsi="Arial" w:eastAsia="Calibri" w:cs="Arial"/>
          <w:color w:val="000000" w:themeColor="text1"/>
          <w:sz w:val="22"/>
          <w:lang w:val="es-ES_tradnl"/>
        </w:rPr>
        <w:t>relacionad</w:t>
      </w:r>
      <w:r w:rsidRPr="009C3A2B" w:rsidR="003B09C2">
        <w:rPr>
          <w:rFonts w:ascii="Arial" w:hAnsi="Arial" w:eastAsia="Calibri" w:cs="Arial"/>
          <w:color w:val="000000" w:themeColor="text1"/>
          <w:sz w:val="22"/>
          <w:lang w:val="es-ES_tradnl"/>
        </w:rPr>
        <w:t>o</w:t>
      </w:r>
      <w:r w:rsidRPr="009C3A2B">
        <w:rPr>
          <w:rFonts w:ascii="Arial" w:hAnsi="Arial" w:eastAsia="Calibri" w:cs="Arial"/>
          <w:color w:val="000000" w:themeColor="text1"/>
          <w:sz w:val="22"/>
          <w:lang w:val="es-ES_tradnl"/>
        </w:rPr>
        <w:t xml:space="preserve"> </w:t>
      </w:r>
      <w:r w:rsidRPr="009C3A2B" w:rsidR="00857630">
        <w:rPr>
          <w:rFonts w:ascii="Arial" w:hAnsi="Arial" w:eastAsia="Calibri" w:cs="Arial"/>
          <w:color w:val="000000" w:themeColor="text1"/>
          <w:sz w:val="22"/>
          <w:lang w:val="es-ES_tradnl"/>
        </w:rPr>
        <w:t>con impedimentos legales o con defectos u omisiones en</w:t>
      </w:r>
      <w:r w:rsidRPr="009C3A2B" w:rsidR="00444883">
        <w:rPr>
          <w:rFonts w:ascii="Arial" w:hAnsi="Arial" w:eastAsia="Calibri" w:cs="Arial"/>
          <w:color w:val="000000" w:themeColor="text1"/>
          <w:sz w:val="22"/>
          <w:lang w:val="es-ES_tradnl"/>
        </w:rPr>
        <w:t xml:space="preserve"> el contenido o en</w:t>
      </w:r>
      <w:r w:rsidRPr="009C3A2B" w:rsidR="00857630">
        <w:rPr>
          <w:rFonts w:ascii="Arial" w:hAnsi="Arial" w:eastAsia="Calibri" w:cs="Arial"/>
          <w:color w:val="000000" w:themeColor="text1"/>
          <w:sz w:val="22"/>
          <w:lang w:val="es-ES_tradnl"/>
        </w:rPr>
        <w:t xml:space="preserve"> la presentación de los documentos que conforman la propuesta. </w:t>
      </w:r>
      <w:r w:rsidRPr="009C3A2B" w:rsidR="003B09C2">
        <w:rPr>
          <w:rFonts w:ascii="Arial" w:hAnsi="Arial" w:eastAsia="Calibri" w:cs="Arial"/>
          <w:color w:val="000000" w:themeColor="text1"/>
          <w:sz w:val="22"/>
          <w:lang w:val="es-ES_tradnl"/>
        </w:rPr>
        <w:t>Así las cosas</w:t>
      </w:r>
      <w:r w:rsidRPr="009C3A2B" w:rsidR="00857630">
        <w:rPr>
          <w:rFonts w:ascii="Arial" w:hAnsi="Arial" w:eastAsia="Calibri" w:cs="Arial"/>
          <w:color w:val="000000" w:themeColor="text1"/>
          <w:sz w:val="22"/>
          <w:lang w:val="es-ES_tradnl"/>
        </w:rPr>
        <w:t>,</w:t>
      </w:r>
      <w:r w:rsidRPr="009C3A2B" w:rsidR="003B09C2">
        <w:rPr>
          <w:rFonts w:ascii="Arial" w:hAnsi="Arial" w:eastAsia="Calibri" w:cs="Arial"/>
          <w:color w:val="000000" w:themeColor="text1"/>
          <w:sz w:val="22"/>
          <w:lang w:val="es-ES_tradnl"/>
        </w:rPr>
        <w:t xml:space="preserve"> conforme al marco normativo anteriormente citado,</w:t>
      </w:r>
      <w:r w:rsidRPr="009C3A2B" w:rsidR="00857630">
        <w:rPr>
          <w:rFonts w:ascii="Arial" w:hAnsi="Arial" w:eastAsia="Calibri" w:cs="Arial"/>
          <w:color w:val="000000" w:themeColor="text1"/>
          <w:sz w:val="22"/>
          <w:lang w:val="es-ES_tradnl"/>
        </w:rPr>
        <w:t xml:space="preserve"> </w:t>
      </w:r>
      <w:r w:rsidRPr="009C3A2B" w:rsidR="003B09C2">
        <w:rPr>
          <w:rFonts w:ascii="Arial" w:hAnsi="Arial" w:eastAsia="Calibri" w:cs="Arial"/>
          <w:color w:val="000000" w:themeColor="text1"/>
          <w:sz w:val="22"/>
          <w:lang w:val="es-ES_tradnl"/>
        </w:rPr>
        <w:t>viola</w:t>
      </w:r>
      <w:r w:rsidRPr="009C3A2B" w:rsidR="00444883">
        <w:rPr>
          <w:rFonts w:ascii="Arial" w:hAnsi="Arial" w:eastAsia="Calibri" w:cs="Arial"/>
          <w:color w:val="000000" w:themeColor="text1"/>
          <w:sz w:val="22"/>
          <w:lang w:val="es-ES_tradnl"/>
        </w:rPr>
        <w:t xml:space="preserve"> </w:t>
      </w:r>
      <w:r w:rsidRPr="009C3A2B" w:rsidR="003B09C2">
        <w:rPr>
          <w:rFonts w:ascii="Arial" w:hAnsi="Arial" w:eastAsia="Calibri" w:cs="Arial"/>
          <w:color w:val="000000" w:themeColor="text1"/>
          <w:sz w:val="22"/>
          <w:lang w:val="es-ES_tradnl"/>
        </w:rPr>
        <w:t>el principio de imparcialidad y</w:t>
      </w:r>
      <w:r w:rsidRPr="009C3A2B" w:rsidR="00444883">
        <w:rPr>
          <w:rFonts w:ascii="Arial" w:hAnsi="Arial" w:eastAsia="Calibri" w:cs="Arial"/>
          <w:color w:val="000000" w:themeColor="text1"/>
          <w:sz w:val="22"/>
          <w:lang w:val="es-ES_tradnl"/>
        </w:rPr>
        <w:t xml:space="preserve"> el</w:t>
      </w:r>
      <w:r w:rsidRPr="009C3A2B" w:rsidR="003B09C2">
        <w:rPr>
          <w:rFonts w:ascii="Arial" w:hAnsi="Arial" w:eastAsia="Calibri" w:cs="Arial"/>
          <w:color w:val="000000" w:themeColor="text1"/>
          <w:sz w:val="22"/>
          <w:lang w:val="es-ES_tradnl"/>
        </w:rPr>
        <w:t xml:space="preserve"> de selección objetiva que las causales previstas en el pliego no se fundamenten en alguno de estos motivos. Actuar fuera de estos límites implica convertirlas en causal</w:t>
      </w:r>
      <w:r w:rsidRPr="009C3A2B" w:rsidR="002304E7">
        <w:rPr>
          <w:rFonts w:ascii="Arial" w:hAnsi="Arial" w:eastAsia="Calibri" w:cs="Arial"/>
          <w:color w:val="000000" w:themeColor="text1"/>
          <w:sz w:val="22"/>
          <w:lang w:val="es-ES_tradnl"/>
        </w:rPr>
        <w:t>es</w:t>
      </w:r>
      <w:r w:rsidRPr="009C3A2B" w:rsidR="003B09C2">
        <w:rPr>
          <w:rFonts w:ascii="Arial" w:hAnsi="Arial" w:eastAsia="Calibri" w:cs="Arial"/>
          <w:color w:val="000000" w:themeColor="text1"/>
          <w:sz w:val="22"/>
          <w:lang w:val="es-ES_tradnl"/>
        </w:rPr>
        <w:t xml:space="preserve"> de inhabilidad, las cuales –por esencia– </w:t>
      </w:r>
      <w:r w:rsidRPr="009C3A2B" w:rsidR="003B3E7C">
        <w:rPr>
          <w:rFonts w:ascii="Arial" w:hAnsi="Arial" w:eastAsia="Calibri" w:cs="Arial"/>
          <w:color w:val="000000" w:themeColor="text1"/>
          <w:sz w:val="22"/>
          <w:lang w:val="es-ES_tradnl"/>
        </w:rPr>
        <w:t>son</w:t>
      </w:r>
      <w:r w:rsidRPr="009C3A2B" w:rsidR="003B09C2">
        <w:rPr>
          <w:rFonts w:ascii="Arial" w:hAnsi="Arial" w:eastAsia="Calibri" w:cs="Arial"/>
          <w:color w:val="000000" w:themeColor="text1"/>
          <w:sz w:val="22"/>
          <w:lang w:val="es-ES_tradnl"/>
        </w:rPr>
        <w:t xml:space="preserve"> reguladas por el legislador. </w:t>
      </w:r>
      <w:r w:rsidRPr="009C3A2B" w:rsidR="0072427F">
        <w:rPr>
          <w:rFonts w:ascii="Arial" w:hAnsi="Arial" w:eastAsia="Calibri" w:cs="Arial"/>
          <w:color w:val="000000" w:themeColor="text1"/>
          <w:sz w:val="22"/>
          <w:lang w:val="es-ES_tradnl"/>
        </w:rPr>
        <w:t>En efecto:</w:t>
      </w:r>
    </w:p>
    <w:p w:rsidRPr="009C3A2B" w:rsidR="0072427F" w:rsidP="00D74158" w:rsidRDefault="0072427F" w14:paraId="2ABB6A5B" w14:textId="72EBF6A7">
      <w:pPr>
        <w:spacing w:line="276" w:lineRule="auto"/>
        <w:jc w:val="both"/>
        <w:rPr>
          <w:rFonts w:ascii="Arial" w:hAnsi="Arial" w:eastAsia="Calibri" w:cs="Arial"/>
          <w:color w:val="000000" w:themeColor="text1"/>
          <w:sz w:val="22"/>
          <w:lang w:val="es-ES_tradnl"/>
        </w:rPr>
      </w:pPr>
    </w:p>
    <w:p w:rsidRPr="009C3A2B" w:rsidR="0072427F" w:rsidP="00435489" w:rsidRDefault="0072427F" w14:paraId="63B1F018" w14:textId="05D127B4">
      <w:pPr>
        <w:spacing w:line="276" w:lineRule="auto"/>
        <w:ind w:left="709" w:right="709"/>
        <w:jc w:val="both"/>
        <w:rPr>
          <w:rFonts w:ascii="Arial" w:hAnsi="Arial" w:eastAsia="Calibri" w:cs="Arial"/>
          <w:color w:val="000000" w:themeColor="text1"/>
          <w:sz w:val="21"/>
          <w:szCs w:val="21"/>
          <w:lang w:val="es-ES_tradnl"/>
        </w:rPr>
      </w:pPr>
      <w:r w:rsidRPr="009C3A2B">
        <w:rPr>
          <w:rFonts w:ascii="Arial" w:hAnsi="Arial" w:eastAsia="Calibri" w:cs="Arial"/>
          <w:color w:val="000000" w:themeColor="text1"/>
          <w:sz w:val="21"/>
          <w:szCs w:val="21"/>
          <w:lang w:val="es-ES_tradnl"/>
        </w:rPr>
        <w:t xml:space="preserve">Los regímenes de inhabilidades están concebidos para evitar la indebida utilización del ejercicio de las funciones públicas para el beneficio individual </w:t>
      </w:r>
      <w:r w:rsidRPr="009C3A2B" w:rsidR="00CE2D4E">
        <w:rPr>
          <w:rFonts w:ascii="Arial" w:hAnsi="Arial" w:eastAsia="Calibri" w:cs="Arial"/>
          <w:color w:val="000000" w:themeColor="text1"/>
          <w:sz w:val="21"/>
          <w:szCs w:val="21"/>
          <w:lang w:val="es-ES_tradnl"/>
        </w:rPr>
        <w:t>[…]</w:t>
      </w:r>
      <w:r w:rsidRPr="009C3A2B">
        <w:rPr>
          <w:rFonts w:ascii="Arial" w:hAnsi="Arial" w:eastAsia="Calibri" w:cs="Arial"/>
          <w:color w:val="000000" w:themeColor="text1"/>
          <w:sz w:val="21"/>
          <w:szCs w:val="21"/>
          <w:lang w:val="es-ES_tradnl"/>
        </w:rPr>
        <w:t xml:space="preserve"> Con esta perspectiva la doctrina ha señalado que las inhabilidades se erigen en “(…) circunstancias negativas o impeditivas preexistentes para acceder a la función pública (inelegibilidad), evitando el ingreso de sujetos que no reúnen determinadas condiciones, calidades y cualidades de idoneidad o moralidad, para desarrollar determinadas actividades o adoptar ciertas decisiones, ora para acceder a la contratación estatal…”</w:t>
      </w:r>
    </w:p>
    <w:p w:rsidRPr="009C3A2B" w:rsidR="00DC518A" w:rsidP="00435489" w:rsidRDefault="00DC518A" w14:paraId="356F00D0" w14:textId="7E7F0C97">
      <w:pPr>
        <w:spacing w:line="276" w:lineRule="auto"/>
        <w:ind w:left="709" w:right="709"/>
        <w:jc w:val="both"/>
        <w:rPr>
          <w:rFonts w:ascii="Arial" w:hAnsi="Arial" w:eastAsia="Calibri" w:cs="Arial"/>
          <w:color w:val="000000" w:themeColor="text1"/>
          <w:sz w:val="21"/>
          <w:szCs w:val="21"/>
          <w:lang w:val="es-ES_tradnl"/>
        </w:rPr>
      </w:pPr>
    </w:p>
    <w:p w:rsidRPr="009C3A2B" w:rsidR="003B09C2" w:rsidP="00435489" w:rsidRDefault="00DC518A" w14:paraId="56A71429" w14:textId="6E08A980">
      <w:pPr>
        <w:spacing w:line="276" w:lineRule="auto"/>
        <w:ind w:left="709" w:right="709"/>
        <w:jc w:val="both"/>
        <w:rPr>
          <w:rFonts w:ascii="Arial" w:hAnsi="Arial" w:eastAsia="Calibri" w:cs="Arial"/>
          <w:color w:val="000000" w:themeColor="text1"/>
          <w:sz w:val="21"/>
          <w:szCs w:val="21"/>
          <w:lang w:val="es-ES_tradnl"/>
        </w:rPr>
      </w:pPr>
      <w:r w:rsidRPr="009C3A2B">
        <w:rPr>
          <w:rFonts w:ascii="Arial" w:hAnsi="Arial" w:eastAsia="Calibri" w:cs="Arial"/>
          <w:color w:val="000000" w:themeColor="text1"/>
          <w:sz w:val="21"/>
          <w:szCs w:val="21"/>
          <w:lang w:val="es-ES_tradnl"/>
        </w:rPr>
        <w:t>Dada la fuerte restricción de los derechos fundamentales que este instituto comporta, su previsión y desarrollo es materia exclusiva del legislador (reserva de ley), quien en virtud del principio democrático debe definir y tipificar expresamente sus causas, vigencia, naturaleza y efectos</w:t>
      </w:r>
      <w:r w:rsidRPr="009C3A2B" w:rsidR="00435489">
        <w:rPr>
          <w:rStyle w:val="Refdenotaalpie"/>
          <w:rFonts w:ascii="Arial" w:hAnsi="Arial" w:eastAsia="Calibri" w:cs="Arial"/>
          <w:color w:val="000000" w:themeColor="text1"/>
          <w:sz w:val="21"/>
          <w:szCs w:val="21"/>
          <w:lang w:val="es-ES_tradnl"/>
        </w:rPr>
        <w:footnoteReference w:id="2"/>
      </w:r>
      <w:r w:rsidRPr="009C3A2B">
        <w:rPr>
          <w:rFonts w:ascii="Arial" w:hAnsi="Arial" w:eastAsia="Calibri" w:cs="Arial"/>
          <w:color w:val="000000" w:themeColor="text1"/>
          <w:sz w:val="21"/>
          <w:szCs w:val="21"/>
          <w:lang w:val="es-ES_tradnl"/>
        </w:rPr>
        <w:t>.</w:t>
      </w:r>
      <w:r w:rsidRPr="009C3A2B" w:rsidR="0072427F">
        <w:rPr>
          <w:rFonts w:ascii="Arial" w:hAnsi="Arial" w:eastAsia="Calibri" w:cs="Arial"/>
          <w:color w:val="000000" w:themeColor="text1"/>
          <w:sz w:val="21"/>
          <w:szCs w:val="21"/>
          <w:lang w:val="es-ES_tradnl"/>
        </w:rPr>
        <w:t xml:space="preserve"> </w:t>
      </w:r>
    </w:p>
    <w:p w:rsidRPr="009C3A2B" w:rsidR="00435489" w:rsidP="00435489" w:rsidRDefault="00435489" w14:paraId="3D05F965" w14:textId="77777777">
      <w:pPr>
        <w:spacing w:line="276" w:lineRule="auto"/>
        <w:ind w:left="709" w:right="709"/>
        <w:jc w:val="both"/>
        <w:rPr>
          <w:rFonts w:ascii="Arial" w:hAnsi="Arial" w:eastAsia="Calibri" w:cs="Arial"/>
          <w:color w:val="000000" w:themeColor="text1"/>
          <w:sz w:val="21"/>
          <w:szCs w:val="21"/>
          <w:lang w:val="es-ES_tradnl"/>
        </w:rPr>
      </w:pPr>
    </w:p>
    <w:p w:rsidRPr="009C3A2B" w:rsidR="00CE2D4E" w:rsidP="00CE2D4E" w:rsidRDefault="000E2ABF" w14:paraId="081FDB8A" w14:textId="1DAE4D2C">
      <w:pPr>
        <w:pStyle w:val="Sinespaciado"/>
        <w:spacing w:line="276" w:lineRule="auto"/>
        <w:ind w:firstLine="708"/>
        <w:jc w:val="both"/>
        <w:rPr>
          <w:rFonts w:ascii="Arial" w:hAnsi="Arial" w:cs="Arial"/>
          <w:color w:val="000000" w:themeColor="text1"/>
          <w:sz w:val="22"/>
          <w:lang w:val="es-ES"/>
        </w:rPr>
      </w:pPr>
      <w:bookmarkStart w:name="_Hlk34856116" w:id="9"/>
      <w:r w:rsidRPr="009C3A2B">
        <w:rPr>
          <w:rFonts w:ascii="Arial" w:hAnsi="Arial" w:cs="Arial"/>
          <w:color w:val="000000" w:themeColor="text1"/>
          <w:sz w:val="22"/>
        </w:rPr>
        <w:t xml:space="preserve">Las inhabilidades son circunstancias establecidas por la Constitución o la Ley que impiden la posibilidad de que personas naturales o jurídicas sean elegidas o designadas en un cargo público o puedan celebrar contratos con el Estado, con el objetivo de garantizar la idoneidad, imparcialidad, probidad, transparencia y moralidad de la función pública, </w:t>
      </w:r>
      <w:r w:rsidRPr="009C3A2B" w:rsidR="00AC1DFC">
        <w:rPr>
          <w:rFonts w:ascii="Arial" w:hAnsi="Arial" w:cs="Arial"/>
          <w:color w:val="000000" w:themeColor="text1"/>
          <w:sz w:val="22"/>
        </w:rPr>
        <w:t>y garantizar</w:t>
      </w:r>
      <w:r w:rsidRPr="009C3A2B">
        <w:rPr>
          <w:rFonts w:ascii="Arial" w:hAnsi="Arial" w:cs="Arial"/>
          <w:color w:val="000000" w:themeColor="text1"/>
          <w:sz w:val="22"/>
        </w:rPr>
        <w:t xml:space="preserve"> el interés general.  El régimen de inhabilidades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La Corte Constitucional ha determinado que «las inhabilidades representan una limitación a la capacidad para contratar con las entidades </w:t>
      </w:r>
      <w:r w:rsidRPr="009C3A2B">
        <w:rPr>
          <w:rFonts w:ascii="Arial" w:hAnsi="Arial" w:cs="Arial"/>
          <w:color w:val="000000" w:themeColor="text1"/>
          <w:sz w:val="22"/>
        </w:rPr>
        <w:lastRenderedPageBreak/>
        <w:t>del Estado y obedecen a la falta de aptitud o a la carencia de una cualidad, calidad o requisito en el sujeto incapacitado quien por esta razón no podrá hacer parte de una relación contractual»</w:t>
      </w:r>
      <w:r w:rsidRPr="009C3A2B">
        <w:rPr>
          <w:rFonts w:ascii="Arial" w:hAnsi="Arial" w:cs="Arial"/>
          <w:color w:val="000000" w:themeColor="text1"/>
          <w:sz w:val="22"/>
          <w:vertAlign w:val="superscript"/>
        </w:rPr>
        <w:footnoteReference w:id="3"/>
      </w:r>
      <w:r w:rsidRPr="009C3A2B">
        <w:rPr>
          <w:rFonts w:ascii="Arial" w:hAnsi="Arial" w:cs="Arial"/>
          <w:color w:val="000000" w:themeColor="text1"/>
          <w:sz w:val="22"/>
        </w:rPr>
        <w:t xml:space="preserve">. </w:t>
      </w:r>
      <w:r w:rsidRPr="009C3A2B" w:rsidR="00444883">
        <w:rPr>
          <w:rFonts w:ascii="Arial" w:hAnsi="Arial" w:cs="Arial"/>
          <w:color w:val="000000" w:themeColor="text1"/>
          <w:sz w:val="22"/>
        </w:rPr>
        <w:t>E</w:t>
      </w:r>
      <w:r w:rsidRPr="009C3A2B" w:rsidR="00CE2D4E">
        <w:rPr>
          <w:rFonts w:ascii="Arial" w:hAnsi="Arial" w:cs="Arial"/>
          <w:color w:val="000000" w:themeColor="text1"/>
          <w:sz w:val="22"/>
        </w:rPr>
        <w:t>stas restricciones o limitaciones que afectan la capacidad jurídica de la</w:t>
      </w:r>
      <w:r w:rsidRPr="009C3A2B" w:rsidR="00444883">
        <w:rPr>
          <w:rFonts w:ascii="Arial" w:hAnsi="Arial" w:cs="Arial"/>
          <w:color w:val="000000" w:themeColor="text1"/>
          <w:sz w:val="22"/>
        </w:rPr>
        <w:t>s</w:t>
      </w:r>
      <w:r w:rsidRPr="009C3A2B" w:rsidR="00CE2D4E">
        <w:rPr>
          <w:rFonts w:ascii="Arial" w:hAnsi="Arial" w:cs="Arial"/>
          <w:color w:val="000000" w:themeColor="text1"/>
          <w:sz w:val="22"/>
        </w:rPr>
        <w:t xml:space="preserve"> persona</w:t>
      </w:r>
      <w:r w:rsidRPr="009C3A2B" w:rsidR="00444883">
        <w:rPr>
          <w:rFonts w:ascii="Arial" w:hAnsi="Arial" w:cs="Arial"/>
          <w:color w:val="000000" w:themeColor="text1"/>
          <w:sz w:val="22"/>
        </w:rPr>
        <w:t>s</w:t>
      </w:r>
      <w:r w:rsidRPr="009C3A2B" w:rsidR="00CE2D4E">
        <w:rPr>
          <w:rFonts w:ascii="Arial" w:hAnsi="Arial" w:cs="Arial"/>
          <w:color w:val="000000" w:themeColor="text1"/>
          <w:sz w:val="22"/>
        </w:rPr>
        <w:t xml:space="preserve"> para contratar </w:t>
      </w:r>
      <w:r w:rsidRPr="009C3A2B" w:rsidR="00444883">
        <w:rPr>
          <w:rFonts w:ascii="Arial" w:hAnsi="Arial" w:cs="Arial"/>
          <w:color w:val="000000" w:themeColor="text1"/>
          <w:sz w:val="22"/>
        </w:rPr>
        <w:t>realizan</w:t>
      </w:r>
      <w:r w:rsidRPr="009C3A2B" w:rsidR="00CE2D4E">
        <w:rPr>
          <w:rFonts w:ascii="Arial" w:hAnsi="Arial" w:cs="Arial"/>
          <w:color w:val="000000" w:themeColor="text1"/>
          <w:sz w:val="22"/>
        </w:rPr>
        <w:t xml:space="preserve"> los principios de la función administrativa, consagrados en el artículo 209 de la Constitución Política, con especial énfasis en el de moralidad. Así lo ha entendido el Consejo de Estado: </w:t>
      </w:r>
    </w:p>
    <w:p w:rsidRPr="009C3A2B" w:rsidR="00CE2D4E" w:rsidP="00CE2D4E" w:rsidRDefault="00CE2D4E" w14:paraId="49360417" w14:textId="77777777">
      <w:pPr>
        <w:pStyle w:val="Sinespaciado"/>
        <w:spacing w:line="276" w:lineRule="auto"/>
        <w:jc w:val="both"/>
        <w:rPr>
          <w:rFonts w:ascii="Arial" w:hAnsi="Arial" w:cs="Arial"/>
          <w:color w:val="000000" w:themeColor="text1"/>
        </w:rPr>
      </w:pPr>
    </w:p>
    <w:p w:rsidRPr="009C3A2B" w:rsidR="00CE2D4E" w:rsidP="00CE2D4E" w:rsidRDefault="00CE2D4E" w14:paraId="3847C0B8" w14:textId="42D34AAE">
      <w:pPr>
        <w:pStyle w:val="NormalWeb"/>
        <w:shd w:val="clear" w:color="auto" w:fill="FFFFFF"/>
        <w:spacing w:before="0" w:beforeAutospacing="0" w:after="0" w:afterAutospacing="0"/>
        <w:ind w:left="709" w:right="709"/>
        <w:jc w:val="both"/>
        <w:rPr>
          <w:rFonts w:ascii="Arial" w:hAnsi="Arial" w:cs="Arial" w:eastAsiaTheme="minorHAnsi"/>
          <w:color w:val="000000" w:themeColor="text1"/>
          <w:sz w:val="21"/>
          <w:szCs w:val="21"/>
          <w:lang w:val="es-ES" w:eastAsia="en-US"/>
        </w:rPr>
      </w:pPr>
      <w:r w:rsidRPr="009C3A2B">
        <w:rPr>
          <w:rFonts w:ascii="Arial" w:hAnsi="Arial" w:cs="Arial" w:eastAsiaTheme="minorHAnsi"/>
          <w:color w:val="000000" w:themeColor="text1"/>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rsidRPr="009C3A2B" w:rsidR="00CE2D4E" w:rsidP="00CE2D4E" w:rsidRDefault="00CE2D4E" w14:paraId="33B92EEF" w14:textId="77777777">
      <w:pPr>
        <w:pStyle w:val="NormalWeb"/>
        <w:shd w:val="clear" w:color="auto" w:fill="FFFFFF"/>
        <w:spacing w:before="0" w:beforeAutospacing="0" w:after="0" w:afterAutospacing="0"/>
        <w:ind w:left="709" w:right="709"/>
        <w:jc w:val="both"/>
        <w:rPr>
          <w:rFonts w:ascii="Arial" w:hAnsi="Arial" w:cs="Arial" w:eastAsiaTheme="minorHAnsi"/>
          <w:color w:val="000000" w:themeColor="text1"/>
          <w:sz w:val="21"/>
          <w:szCs w:val="21"/>
          <w:lang w:val="es-ES" w:eastAsia="en-US"/>
        </w:rPr>
      </w:pPr>
    </w:p>
    <w:p w:rsidRPr="009C3A2B" w:rsidR="00CE2D4E" w:rsidP="00CE2D4E" w:rsidRDefault="00CE2D4E" w14:paraId="624A435D" w14:textId="6A1EC072">
      <w:pPr>
        <w:pStyle w:val="NormalWeb"/>
        <w:shd w:val="clear" w:color="auto" w:fill="FFFFFF"/>
        <w:spacing w:before="0" w:beforeAutospacing="0" w:after="0" w:afterAutospacing="0"/>
        <w:ind w:left="709" w:right="709"/>
        <w:jc w:val="both"/>
        <w:rPr>
          <w:rFonts w:ascii="Arial" w:hAnsi="Arial" w:cs="Arial" w:eastAsiaTheme="minorHAnsi"/>
          <w:color w:val="000000" w:themeColor="text1"/>
          <w:sz w:val="21"/>
          <w:szCs w:val="21"/>
          <w:lang w:val="es-ES" w:eastAsia="en-US"/>
        </w:rPr>
      </w:pPr>
      <w:r w:rsidRPr="009C3A2B">
        <w:rPr>
          <w:rFonts w:ascii="Arial" w:hAnsi="Arial" w:cs="Arial" w:eastAsiaTheme="minorHAnsi"/>
          <w:color w:val="000000" w:themeColor="text1"/>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9C3A2B">
        <w:rPr>
          <w:rStyle w:val="Refdenotaalpie"/>
          <w:rFonts w:ascii="Arial" w:hAnsi="Arial" w:cs="Arial" w:eastAsiaTheme="minorHAnsi"/>
          <w:color w:val="000000" w:themeColor="text1"/>
          <w:sz w:val="21"/>
          <w:szCs w:val="21"/>
          <w:lang w:val="es-ES" w:eastAsia="en-US"/>
        </w:rPr>
        <w:footnoteReference w:id="4"/>
      </w:r>
      <w:r w:rsidRPr="009C3A2B">
        <w:rPr>
          <w:rFonts w:ascii="Arial" w:hAnsi="Arial" w:cs="Arial" w:eastAsiaTheme="minorHAnsi"/>
          <w:color w:val="000000" w:themeColor="text1"/>
          <w:sz w:val="21"/>
          <w:szCs w:val="21"/>
          <w:lang w:val="es-ES" w:eastAsia="en-US"/>
        </w:rPr>
        <w:t xml:space="preserve">. </w:t>
      </w:r>
    </w:p>
    <w:p w:rsidRPr="009C3A2B" w:rsidR="000E2ABF" w:rsidP="000E2ABF" w:rsidRDefault="000E2ABF" w14:paraId="643633B1" w14:textId="743BBD7C">
      <w:pPr>
        <w:pStyle w:val="Sinespaciado"/>
        <w:spacing w:line="276" w:lineRule="auto"/>
        <w:jc w:val="both"/>
        <w:rPr>
          <w:rFonts w:ascii="Arial" w:hAnsi="Arial" w:cs="Arial"/>
          <w:color w:val="000000" w:themeColor="text1"/>
          <w:sz w:val="22"/>
          <w:lang w:val="es-ES"/>
        </w:rPr>
      </w:pPr>
    </w:p>
    <w:p w:rsidRPr="009C3A2B" w:rsidR="0079612B" w:rsidP="0079612B" w:rsidRDefault="0079612B" w14:paraId="14170DA9" w14:textId="77777777">
      <w:pPr>
        <w:pStyle w:val="Sinespaciado"/>
        <w:spacing w:line="276" w:lineRule="auto"/>
        <w:ind w:firstLine="708"/>
        <w:jc w:val="both"/>
        <w:rPr>
          <w:rFonts w:ascii="Arial" w:hAnsi="Arial" w:cs="Arial"/>
          <w:color w:val="000000" w:themeColor="text1"/>
          <w:sz w:val="22"/>
          <w:lang w:val="es-ES"/>
        </w:rPr>
      </w:pPr>
      <w:r w:rsidRPr="009C3A2B">
        <w:rPr>
          <w:rFonts w:ascii="Arial" w:hAnsi="Arial" w:cs="Arial"/>
          <w:color w:val="000000" w:themeColor="text1"/>
          <w:sz w:val="22"/>
        </w:rPr>
        <w:t xml:space="preserve">Así las cosas, las inhabilidades son medios que buscan garantizar la transparencia y eficiencia en la actividad contractual del Estado y para ello imponen restricciones en la personalidad jurídica, la igualdad, la libre empresa y, particularmente, el derecho a participar en procesos de licitación y celebrar contratos con la Administración. La Corte Constitucional ha reconocido que estas limitaciones deben estar justificadas en la salvaguarda del interés general y que su lectura e interpretación debe ser taxativa y restrictiva: </w:t>
      </w:r>
    </w:p>
    <w:p w:rsidRPr="009C3A2B" w:rsidR="0079612B" w:rsidP="0079612B" w:rsidRDefault="0079612B" w14:paraId="5373C005" w14:textId="77777777">
      <w:pPr>
        <w:rPr>
          <w:rFonts w:ascii="Times New Roman" w:hAnsi="Times New Roman" w:eastAsia="Times New Roman" w:cs="Times New Roman"/>
          <w:color w:val="000000" w:themeColor="text1"/>
          <w:sz w:val="28"/>
          <w:szCs w:val="28"/>
          <w:shd w:val="clear" w:color="auto" w:fill="FFFFFF"/>
          <w:lang w:val="es-CO" w:eastAsia="es-ES_tradnl"/>
        </w:rPr>
      </w:pPr>
    </w:p>
    <w:p w:rsidRPr="009C3A2B" w:rsidR="0079612B" w:rsidP="0079612B" w:rsidRDefault="0079612B" w14:paraId="1A9A5F6D" w14:textId="38C9C2BC">
      <w:pPr>
        <w:ind w:left="709" w:right="709"/>
        <w:jc w:val="both"/>
        <w:rPr>
          <w:rFonts w:ascii="Arial" w:hAnsi="Arial" w:cs="Arial"/>
          <w:color w:val="000000" w:themeColor="text1"/>
          <w:sz w:val="21"/>
          <w:szCs w:val="21"/>
          <w:lang w:val="es-ES"/>
        </w:rPr>
      </w:pPr>
      <w:r w:rsidRPr="009C3A2B">
        <w:rPr>
          <w:rFonts w:ascii="Arial" w:hAnsi="Arial" w:cs="Arial"/>
          <w:color w:val="000000" w:themeColor="text1"/>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w:t>
      </w:r>
      <w:r w:rsidRPr="009C3A2B">
        <w:rPr>
          <w:rFonts w:ascii="Arial" w:hAnsi="Arial" w:cs="Arial"/>
          <w:color w:val="000000" w:themeColor="text1"/>
          <w:sz w:val="21"/>
          <w:szCs w:val="21"/>
        </w:rPr>
        <w:lastRenderedPageBreak/>
        <w:t xml:space="preserve">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9C3A2B">
        <w:rPr>
          <w:rFonts w:ascii="Arial" w:hAnsi="Arial" w:cs="Arial"/>
          <w:color w:val="000000" w:themeColor="text1"/>
          <w:sz w:val="21"/>
          <w:szCs w:val="21"/>
        </w:rPr>
        <w:t>incompatibilidades,</w:t>
      </w:r>
      <w:proofErr w:type="gramEnd"/>
      <w:r w:rsidRPr="009C3A2B">
        <w:rPr>
          <w:rFonts w:ascii="Arial" w:hAnsi="Arial" w:cs="Arial"/>
          <w:color w:val="000000" w:themeColor="text1"/>
          <w:sz w:val="21"/>
          <w:szCs w:val="21"/>
        </w:rPr>
        <w:t xml:space="preserve"> se erige en causal de nulidad del contrato celebrado en esas condiciones (ley 80 de 1993, art. 44).</w:t>
      </w:r>
    </w:p>
    <w:p w:rsidRPr="009C3A2B" w:rsidR="0079612B" w:rsidP="0079612B" w:rsidRDefault="0079612B" w14:paraId="2F4BA9BF" w14:textId="77777777">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w:t>
      </w:r>
    </w:p>
    <w:p w:rsidRPr="009C3A2B" w:rsidR="0079612B" w:rsidP="0079612B" w:rsidRDefault="0079612B" w14:paraId="04BBD35D" w14:textId="2F4080A9">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9C3A2B">
        <w:rPr>
          <w:rStyle w:val="Refdenotaalpie"/>
          <w:rFonts w:ascii="Arial" w:hAnsi="Arial" w:cs="Arial"/>
          <w:color w:val="000000" w:themeColor="text1"/>
          <w:sz w:val="21"/>
          <w:szCs w:val="21"/>
        </w:rPr>
        <w:footnoteReference w:id="5"/>
      </w:r>
      <w:r w:rsidRPr="009C3A2B">
        <w:rPr>
          <w:rFonts w:ascii="Arial" w:hAnsi="Arial" w:cs="Arial"/>
          <w:color w:val="000000" w:themeColor="text1"/>
          <w:sz w:val="21"/>
          <w:szCs w:val="21"/>
        </w:rPr>
        <w:t>.</w:t>
      </w:r>
    </w:p>
    <w:p w:rsidRPr="009C3A2B" w:rsidR="0079612B" w:rsidP="0079612B" w:rsidRDefault="0079612B" w14:paraId="34A85B7F" w14:textId="77777777">
      <w:pPr>
        <w:rPr>
          <w:rFonts w:ascii="Times New Roman" w:hAnsi="Times New Roman" w:eastAsia="Times New Roman" w:cs="Times New Roman"/>
          <w:color w:val="000000" w:themeColor="text1"/>
          <w:sz w:val="28"/>
          <w:szCs w:val="28"/>
          <w:shd w:val="clear" w:color="auto" w:fill="FFFFFF"/>
          <w:lang w:val="es-CO" w:eastAsia="es-ES_tradnl"/>
        </w:rPr>
      </w:pPr>
    </w:p>
    <w:p w:rsidRPr="009C3A2B" w:rsidR="0079612B" w:rsidP="0079612B" w:rsidRDefault="0079612B" w14:paraId="39CAE044" w14:textId="55B64AD3">
      <w:pPr>
        <w:spacing w:line="276" w:lineRule="auto"/>
        <w:ind w:firstLine="708"/>
        <w:jc w:val="both"/>
        <w:rPr>
          <w:rFonts w:ascii="Arial" w:hAnsi="Arial" w:cs="Arial"/>
          <w:color w:val="000000" w:themeColor="text1"/>
          <w:sz w:val="22"/>
          <w:lang w:val="es-ES"/>
        </w:rPr>
      </w:pPr>
      <w:r w:rsidRPr="009C3A2B">
        <w:rPr>
          <w:rFonts w:ascii="Arial" w:hAnsi="Arial" w:cs="Arial"/>
          <w:color w:val="000000" w:themeColor="text1"/>
          <w:sz w:val="22"/>
        </w:rPr>
        <w:t xml:space="preserve">Asimismo, la Corte Constitucional ha resaltado que la competencia para determinar qué hechos o situaciones generan inhabilidad para contratar con el Estado la tiene el legislador, pues este régimen es un aspecto propio del Estatuto General de la Contratación Pública, cuya expedición compete al Congreso de la República, </w:t>
      </w:r>
      <w:r w:rsidRPr="009C3A2B" w:rsidR="00EA0714">
        <w:rPr>
          <w:rFonts w:ascii="Arial" w:hAnsi="Arial" w:cs="Arial"/>
          <w:color w:val="000000" w:themeColor="text1"/>
          <w:sz w:val="22"/>
        </w:rPr>
        <w:t>conforme al</w:t>
      </w:r>
      <w:r w:rsidRPr="009C3A2B">
        <w:rPr>
          <w:rFonts w:ascii="Arial" w:hAnsi="Arial" w:cs="Arial"/>
          <w:color w:val="000000" w:themeColor="text1"/>
          <w:sz w:val="22"/>
        </w:rPr>
        <w:t xml:space="preserve"> artículo 150 de la Constitución Política, y que en esta materia rige el principio de legalidad:</w:t>
      </w:r>
    </w:p>
    <w:p w:rsidRPr="009C3A2B" w:rsidR="0079612B" w:rsidP="0079612B" w:rsidRDefault="0079612B" w14:paraId="370A7555" w14:textId="77777777">
      <w:pPr>
        <w:pStyle w:val="Sinespaciado"/>
        <w:tabs>
          <w:tab w:val="left" w:pos="1532"/>
        </w:tabs>
        <w:spacing w:line="276" w:lineRule="auto"/>
        <w:jc w:val="both"/>
        <w:rPr>
          <w:rFonts w:ascii="Arial" w:hAnsi="Arial" w:cs="Arial"/>
          <w:color w:val="000000" w:themeColor="text1"/>
          <w:sz w:val="22"/>
        </w:rPr>
      </w:pPr>
      <w:r w:rsidRPr="009C3A2B">
        <w:rPr>
          <w:rFonts w:ascii="Arial" w:hAnsi="Arial" w:cs="Arial"/>
          <w:color w:val="000000" w:themeColor="text1"/>
        </w:rPr>
        <w:tab/>
      </w:r>
    </w:p>
    <w:p w:rsidRPr="009C3A2B" w:rsidR="0079612B" w:rsidP="003B429A" w:rsidRDefault="0079612B" w14:paraId="416FF2BE" w14:textId="5894AF7B">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9C3A2B">
        <w:rPr>
          <w:rFonts w:ascii="Arial" w:hAnsi="Arial" w:cs="Arial"/>
          <w:color w:val="000000" w:themeColor="text1"/>
          <w:sz w:val="21"/>
          <w:szCs w:val="21"/>
        </w:rPr>
        <w:t>libertate</w:t>
      </w:r>
      <w:proofErr w:type="spellEnd"/>
      <w:r w:rsidRPr="009C3A2B">
        <w:rPr>
          <w:rFonts w:ascii="Arial" w:hAnsi="Arial" w:cs="Arial"/>
          <w:color w:val="000000" w:themeColor="text1"/>
          <w:sz w:val="21"/>
          <w:szCs w:val="21"/>
        </w:rPr>
        <w:t xml:space="preserve">, sino el de legalidad, el que ordena que la función pública debe someterse estrictamente a lo que disponga la Constitución y la ley (CP art. 6). </w:t>
      </w:r>
    </w:p>
    <w:p w:rsidRPr="009C3A2B" w:rsidR="0079612B" w:rsidP="0079612B" w:rsidRDefault="0079612B" w14:paraId="79FB6343" w14:textId="77777777">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xml:space="preserve">[…] </w:t>
      </w:r>
    </w:p>
    <w:p w:rsidRPr="009C3A2B" w:rsidR="0079612B" w:rsidP="0079612B" w:rsidRDefault="0079612B" w14:paraId="3C1C0584" w14:textId="77777777">
      <w:pPr>
        <w:ind w:left="709" w:right="709"/>
        <w:jc w:val="both"/>
        <w:rPr>
          <w:rFonts w:ascii="Arial" w:hAnsi="Arial" w:cs="Arial"/>
          <w:color w:val="000000" w:themeColor="text1"/>
          <w:sz w:val="21"/>
          <w:szCs w:val="21"/>
        </w:rPr>
      </w:pPr>
    </w:p>
    <w:p w:rsidRPr="009C3A2B" w:rsidR="0079612B" w:rsidP="0079612B" w:rsidRDefault="0079612B" w14:paraId="1A0C5C51" w14:textId="7E7A45B3">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xml:space="preserve">Se comprende con facilidad que el régimen de inhabilidades e </w:t>
      </w:r>
      <w:proofErr w:type="gramStart"/>
      <w:r w:rsidRPr="009C3A2B">
        <w:rPr>
          <w:rFonts w:ascii="Arial" w:hAnsi="Arial" w:cs="Arial"/>
          <w:color w:val="000000" w:themeColor="text1"/>
          <w:sz w:val="21"/>
          <w:szCs w:val="21"/>
        </w:rPr>
        <w:t>incompatibilidades,</w:t>
      </w:r>
      <w:proofErr w:type="gramEnd"/>
      <w:r w:rsidRPr="009C3A2B">
        <w:rPr>
          <w:rFonts w:ascii="Arial" w:hAnsi="Arial" w:cs="Arial"/>
          <w:color w:val="000000" w:themeColor="text1"/>
          <w:sz w:val="21"/>
          <w:szCs w:val="21"/>
        </w:rPr>
        <w:t xml:space="preserve"> corresponde a una materia de normal y obligada inclusión en un estatuto contractual. El legislador, a quien se ha confiado expedir el indicado estatuto, tiene, pues, competencia para establecerlo (CP art. 150)</w:t>
      </w:r>
      <w:r w:rsidRPr="009C3A2B">
        <w:rPr>
          <w:rStyle w:val="Refdenotaalpie"/>
          <w:rFonts w:ascii="Arial" w:hAnsi="Arial" w:cs="Arial"/>
          <w:color w:val="000000" w:themeColor="text1"/>
          <w:sz w:val="21"/>
          <w:szCs w:val="21"/>
        </w:rPr>
        <w:footnoteReference w:id="6"/>
      </w:r>
      <w:r w:rsidRPr="009C3A2B">
        <w:rPr>
          <w:rFonts w:ascii="Arial" w:hAnsi="Arial" w:cs="Arial"/>
          <w:color w:val="000000" w:themeColor="text1"/>
          <w:sz w:val="21"/>
          <w:szCs w:val="21"/>
        </w:rPr>
        <w:t>.</w:t>
      </w:r>
    </w:p>
    <w:p w:rsidRPr="009C3A2B" w:rsidR="0079612B" w:rsidP="000E2ABF" w:rsidRDefault="0079612B" w14:paraId="32E13DCD" w14:textId="0532BE13">
      <w:pPr>
        <w:pStyle w:val="Sinespaciado"/>
        <w:spacing w:line="276" w:lineRule="auto"/>
        <w:jc w:val="both"/>
        <w:rPr>
          <w:rFonts w:ascii="Arial" w:hAnsi="Arial" w:cs="Arial"/>
          <w:color w:val="000000" w:themeColor="text1"/>
          <w:sz w:val="22"/>
          <w:lang w:val="es-ES"/>
        </w:rPr>
      </w:pPr>
    </w:p>
    <w:p w:rsidRPr="009C3A2B" w:rsidR="0079612B" w:rsidP="0079612B" w:rsidRDefault="00453B7B" w14:paraId="7B1AC174" w14:textId="163175E0">
      <w:pPr>
        <w:spacing w:line="276" w:lineRule="auto"/>
        <w:ind w:firstLine="708"/>
        <w:jc w:val="both"/>
        <w:rPr>
          <w:rFonts w:ascii="Arial" w:hAnsi="Arial" w:cs="Arial"/>
          <w:color w:val="000000" w:themeColor="text1"/>
          <w:sz w:val="22"/>
        </w:rPr>
      </w:pPr>
      <w:r w:rsidRPr="009C3A2B">
        <w:rPr>
          <w:rFonts w:ascii="Arial" w:hAnsi="Arial" w:cs="Arial"/>
          <w:color w:val="000000" w:themeColor="text1"/>
          <w:sz w:val="22"/>
        </w:rPr>
        <w:lastRenderedPageBreak/>
        <w:t>También c</w:t>
      </w:r>
      <w:r w:rsidRPr="009C3A2B" w:rsidR="0079612B">
        <w:rPr>
          <w:rFonts w:ascii="Arial" w:hAnsi="Arial" w:cs="Arial"/>
          <w:color w:val="000000" w:themeColor="text1"/>
          <w:sz w:val="22"/>
        </w:rPr>
        <w:t xml:space="preserve">onviene acudir a la distinción que se ha trazado en torno a la fuente de las inhabilidades, las cuales han sido clasificadas en dos grupos: i) inhabilidades-sanción y </w:t>
      </w:r>
      <w:proofErr w:type="spellStart"/>
      <w:r w:rsidRPr="009C3A2B" w:rsidR="0079612B">
        <w:rPr>
          <w:rFonts w:ascii="Arial" w:hAnsi="Arial" w:cs="Arial"/>
          <w:color w:val="000000" w:themeColor="text1"/>
          <w:sz w:val="22"/>
        </w:rPr>
        <w:t>ii</w:t>
      </w:r>
      <w:proofErr w:type="spellEnd"/>
      <w:r w:rsidRPr="009C3A2B" w:rsidR="0079612B">
        <w:rPr>
          <w:rFonts w:ascii="Arial" w:hAnsi="Arial" w:cs="Arial"/>
          <w:color w:val="000000" w:themeColor="text1"/>
          <w:sz w:val="22"/>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sidRPr="009C3A2B" w:rsidR="0079612B">
        <w:rPr>
          <w:rStyle w:val="Refdenotaalpie"/>
          <w:rFonts w:ascii="Arial" w:hAnsi="Arial" w:cs="Arial"/>
          <w:color w:val="000000" w:themeColor="text1"/>
          <w:sz w:val="22"/>
        </w:rPr>
        <w:footnoteReference w:id="7"/>
      </w:r>
      <w:r w:rsidRPr="009C3A2B" w:rsidR="0079612B">
        <w:rPr>
          <w:rFonts w:ascii="Arial" w:hAnsi="Arial" w:cs="Arial"/>
          <w:color w:val="000000" w:themeColor="text1"/>
          <w:sz w:val="22"/>
        </w:rPr>
        <w:t xml:space="preserve">. </w:t>
      </w:r>
    </w:p>
    <w:p w:rsidRPr="009C3A2B" w:rsidR="0079612B" w:rsidP="0079612B" w:rsidRDefault="0079612B" w14:paraId="06B28977" w14:textId="6E6B6D92">
      <w:pPr>
        <w:spacing w:line="276" w:lineRule="auto"/>
        <w:ind w:firstLine="708"/>
        <w:jc w:val="both"/>
        <w:rPr>
          <w:rFonts w:ascii="Arial" w:hAnsi="Arial" w:cs="Arial"/>
          <w:color w:val="000000" w:themeColor="text1"/>
          <w:sz w:val="22"/>
          <w:lang w:val="es-ES"/>
        </w:rPr>
      </w:pPr>
      <w:r w:rsidRPr="009C3A2B">
        <w:rPr>
          <w:rFonts w:ascii="Arial" w:hAnsi="Arial" w:cs="Arial"/>
          <w:color w:val="000000" w:themeColor="text1"/>
          <w:sz w:val="22"/>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rsidRPr="009C3A2B" w:rsidR="003B09C2" w:rsidP="00DE2630" w:rsidRDefault="0079612B" w14:paraId="138A82E4" w14:textId="1601DA15">
      <w:pPr>
        <w:spacing w:line="276" w:lineRule="auto"/>
        <w:ind w:firstLine="708"/>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Al margen de la clasificación mencionada, e</w:t>
      </w:r>
      <w:r w:rsidRPr="009C3A2B" w:rsidR="00A06E51">
        <w:rPr>
          <w:rFonts w:ascii="Arial" w:hAnsi="Arial" w:eastAsia="Calibri" w:cs="Arial"/>
          <w:color w:val="000000" w:themeColor="text1"/>
          <w:sz w:val="22"/>
          <w:lang w:val="es-ES_tradnl"/>
        </w:rPr>
        <w:t>l</w:t>
      </w:r>
      <w:r w:rsidRPr="009C3A2B" w:rsidR="00E91454">
        <w:rPr>
          <w:rFonts w:ascii="Arial" w:hAnsi="Arial" w:eastAsia="Calibri" w:cs="Arial"/>
          <w:color w:val="000000" w:themeColor="text1"/>
          <w:sz w:val="22"/>
          <w:lang w:val="es-ES_tradnl"/>
        </w:rPr>
        <w:t xml:space="preserve"> carácter reconocidamente taxativo y restrictivo </w:t>
      </w:r>
      <w:r w:rsidRPr="009C3A2B" w:rsidR="00A06E51">
        <w:rPr>
          <w:rFonts w:ascii="Arial" w:hAnsi="Arial" w:eastAsia="Calibri" w:cs="Arial"/>
          <w:color w:val="000000" w:themeColor="text1"/>
          <w:sz w:val="22"/>
          <w:lang w:val="es-ES_tradnl"/>
        </w:rPr>
        <w:t>de régimen de inhabilidades</w:t>
      </w:r>
      <w:r w:rsidRPr="009C3A2B" w:rsidR="00E91454">
        <w:rPr>
          <w:rFonts w:ascii="Arial" w:hAnsi="Arial" w:eastAsia="Calibri" w:cs="Arial"/>
          <w:color w:val="000000" w:themeColor="text1"/>
          <w:sz w:val="22"/>
          <w:lang w:val="es-ES_tradnl"/>
        </w:rPr>
        <w:t xml:space="preserve"> obedece a la necesidad de salvaguardar el interés general inherente en la contratación pública</w:t>
      </w:r>
      <w:r w:rsidRPr="009C3A2B" w:rsidR="00A06E51">
        <w:rPr>
          <w:rFonts w:ascii="Arial" w:hAnsi="Arial" w:eastAsia="Calibri" w:cs="Arial"/>
          <w:color w:val="000000" w:themeColor="text1"/>
          <w:sz w:val="22"/>
          <w:lang w:val="es-ES_tradnl"/>
        </w:rPr>
        <w:t>,</w:t>
      </w:r>
      <w:r w:rsidRPr="009C3A2B" w:rsidR="00E91454">
        <w:rPr>
          <w:rFonts w:ascii="Arial" w:hAnsi="Arial" w:eastAsia="Calibri" w:cs="Arial"/>
          <w:color w:val="000000" w:themeColor="text1"/>
          <w:sz w:val="22"/>
          <w:lang w:val="es-ES_tradnl"/>
        </w:rPr>
        <w:t xml:space="preserve"> de </w:t>
      </w:r>
      <w:r w:rsidRPr="009C3A2B" w:rsidR="00A06E51">
        <w:rPr>
          <w:rFonts w:ascii="Arial" w:hAnsi="Arial" w:eastAsia="Calibri" w:cs="Arial"/>
          <w:color w:val="000000" w:themeColor="text1"/>
          <w:sz w:val="22"/>
          <w:lang w:val="es-ES_tradnl"/>
        </w:rPr>
        <w:t>forma</w:t>
      </w:r>
      <w:r w:rsidRPr="009C3A2B" w:rsidR="00E91454">
        <w:rPr>
          <w:rFonts w:ascii="Arial" w:hAnsi="Arial" w:eastAsia="Calibri" w:cs="Arial"/>
          <w:color w:val="000000" w:themeColor="text1"/>
          <w:sz w:val="22"/>
          <w:lang w:val="es-ES_tradnl"/>
        </w:rPr>
        <w:t xml:space="preserve"> que implique el menor sacrificio posible al derecho de igualdad y de reconocimiento de la personalidad jurídica de quienes aspiran a contratar con el Estado.</w:t>
      </w:r>
      <w:r w:rsidRPr="009C3A2B" w:rsidR="00435489">
        <w:rPr>
          <w:rFonts w:ascii="Arial" w:hAnsi="Arial" w:eastAsia="Calibri" w:cs="Arial"/>
          <w:color w:val="000000" w:themeColor="text1"/>
          <w:sz w:val="22"/>
          <w:lang w:val="es-ES_tradnl"/>
        </w:rPr>
        <w:t xml:space="preserve"> </w:t>
      </w:r>
      <w:r w:rsidRPr="009C3A2B" w:rsidR="00A06E51">
        <w:rPr>
          <w:rFonts w:ascii="Arial" w:hAnsi="Arial" w:eastAsia="Calibri" w:cs="Arial"/>
          <w:color w:val="000000" w:themeColor="text1"/>
          <w:sz w:val="22"/>
          <w:lang w:val="es-ES_tradnl"/>
        </w:rPr>
        <w:t>Bajo estas circunstancias, las entidades públicas no pueden establecer</w:t>
      </w:r>
      <w:r w:rsidRPr="009C3A2B" w:rsidR="00DE2630">
        <w:rPr>
          <w:rFonts w:ascii="Arial" w:hAnsi="Arial" w:eastAsia="Calibri" w:cs="Arial"/>
          <w:color w:val="000000" w:themeColor="text1"/>
          <w:sz w:val="22"/>
          <w:lang w:val="es-ES_tradnl"/>
        </w:rPr>
        <w:t xml:space="preserve"> </w:t>
      </w:r>
      <w:r w:rsidRPr="009C3A2B" w:rsidR="00A06E51">
        <w:rPr>
          <w:rFonts w:ascii="Arial" w:hAnsi="Arial" w:eastAsia="Calibri" w:cs="Arial"/>
          <w:color w:val="000000" w:themeColor="text1"/>
          <w:sz w:val="22"/>
          <w:lang w:val="es-ES_tradnl"/>
        </w:rPr>
        <w:t xml:space="preserve">en el pliego de condiciones causales de inhabilidad no previstas en la Constitución o en la ley. En consecuencia, al tratarse de una materia que tiene reserva legal, no </w:t>
      </w:r>
      <w:r w:rsidRPr="009C3A2B" w:rsidR="006E42E5">
        <w:rPr>
          <w:rFonts w:ascii="Arial" w:hAnsi="Arial" w:eastAsia="Calibri" w:cs="Arial"/>
          <w:color w:val="000000" w:themeColor="text1"/>
          <w:sz w:val="22"/>
          <w:lang w:val="es-ES_tradnl"/>
        </w:rPr>
        <w:t>es</w:t>
      </w:r>
      <w:r w:rsidRPr="009C3A2B" w:rsidR="00A06E51">
        <w:rPr>
          <w:rFonts w:ascii="Arial" w:hAnsi="Arial" w:eastAsia="Calibri" w:cs="Arial"/>
          <w:color w:val="000000" w:themeColor="text1"/>
          <w:sz w:val="22"/>
          <w:lang w:val="es-ES_tradnl"/>
        </w:rPr>
        <w:t xml:space="preserve"> posible que una entidad pública o una </w:t>
      </w:r>
      <w:proofErr w:type="gramStart"/>
      <w:r w:rsidRPr="009C3A2B" w:rsidR="00A06E51">
        <w:rPr>
          <w:rFonts w:ascii="Arial" w:hAnsi="Arial" w:eastAsia="Calibri" w:cs="Arial"/>
          <w:color w:val="000000" w:themeColor="text1"/>
          <w:sz w:val="22"/>
          <w:lang w:val="es-ES_tradnl"/>
        </w:rPr>
        <w:t>autoridad pública</w:t>
      </w:r>
      <w:proofErr w:type="gramEnd"/>
      <w:r w:rsidRPr="009C3A2B" w:rsidR="00A06E51">
        <w:rPr>
          <w:rFonts w:ascii="Arial" w:hAnsi="Arial" w:eastAsia="Calibri" w:cs="Arial"/>
          <w:color w:val="000000" w:themeColor="text1"/>
          <w:sz w:val="22"/>
          <w:lang w:val="es-ES_tradnl"/>
        </w:rPr>
        <w:t xml:space="preserve"> establezcan nuevas causales que afecten la capacidad para contratar con el Estado</w:t>
      </w:r>
      <w:r w:rsidRPr="009C3A2B" w:rsidR="00435489">
        <w:rPr>
          <w:rFonts w:ascii="Arial" w:hAnsi="Arial" w:eastAsia="Calibri" w:cs="Arial"/>
          <w:color w:val="000000" w:themeColor="text1"/>
          <w:sz w:val="22"/>
          <w:lang w:val="es-ES_tradnl"/>
        </w:rPr>
        <w:t>, ni siquiera haciéndolas pasar como causa para rechazar los ofrecimientos realizados a la entidad</w:t>
      </w:r>
      <w:bookmarkEnd w:id="9"/>
      <w:r w:rsidRPr="009C3A2B" w:rsidR="00435489">
        <w:rPr>
          <w:rFonts w:ascii="Arial" w:hAnsi="Arial" w:eastAsia="Calibri" w:cs="Arial"/>
          <w:color w:val="000000" w:themeColor="text1"/>
          <w:sz w:val="22"/>
          <w:lang w:val="es-ES_tradnl"/>
        </w:rPr>
        <w:t xml:space="preserve">; razón por la cual, en el apartado siguiente, corresponde analizar si la inclusión de los proponentes en la Lista Clinton fundamenta o no </w:t>
      </w:r>
      <w:proofErr w:type="spellStart"/>
      <w:r w:rsidRPr="009C3A2B" w:rsidR="00435489">
        <w:rPr>
          <w:rFonts w:ascii="Arial" w:hAnsi="Arial" w:eastAsia="Calibri" w:cs="Arial"/>
          <w:color w:val="000000" w:themeColor="text1"/>
          <w:sz w:val="22"/>
          <w:lang w:val="es-ES_tradnl"/>
        </w:rPr>
        <w:t>esta</w:t>
      </w:r>
      <w:proofErr w:type="spellEnd"/>
      <w:r w:rsidRPr="009C3A2B" w:rsidR="00435489">
        <w:rPr>
          <w:rFonts w:ascii="Arial" w:hAnsi="Arial" w:eastAsia="Calibri" w:cs="Arial"/>
          <w:color w:val="000000" w:themeColor="text1"/>
          <w:sz w:val="22"/>
          <w:lang w:val="es-ES_tradnl"/>
        </w:rPr>
        <w:t xml:space="preserve"> consecuencia jurídica</w:t>
      </w:r>
      <w:r w:rsidRPr="009C3A2B" w:rsidR="00A06E51">
        <w:rPr>
          <w:rFonts w:ascii="Arial" w:hAnsi="Arial" w:eastAsia="Calibri" w:cs="Arial"/>
          <w:color w:val="000000" w:themeColor="text1"/>
          <w:sz w:val="22"/>
          <w:lang w:val="es-ES_tradnl"/>
        </w:rPr>
        <w:t xml:space="preserve">. </w:t>
      </w:r>
    </w:p>
    <w:p w:rsidRPr="009C3A2B" w:rsidR="00D74158" w:rsidP="00D74158" w:rsidRDefault="00D74158" w14:paraId="4A871696" w14:textId="77777777">
      <w:pPr>
        <w:spacing w:line="276" w:lineRule="auto"/>
        <w:jc w:val="both"/>
        <w:rPr>
          <w:rFonts w:ascii="Arial" w:hAnsi="Arial" w:eastAsia="Calibri" w:cs="Arial"/>
          <w:color w:val="000000" w:themeColor="text1"/>
          <w:sz w:val="22"/>
          <w:lang w:val="es-ES_tradnl"/>
        </w:rPr>
      </w:pPr>
    </w:p>
    <w:p w:rsidRPr="009C3A2B" w:rsidR="005323A1" w:rsidP="00136BF7" w:rsidRDefault="00136BF7" w14:paraId="50F6D913" w14:textId="1EBD11D2">
      <w:pPr>
        <w:spacing w:line="276" w:lineRule="auto"/>
        <w:jc w:val="both"/>
        <w:rPr>
          <w:rFonts w:ascii="Arial" w:hAnsi="Arial" w:eastAsia="Calibri" w:cs="Arial"/>
          <w:b/>
          <w:bCs/>
          <w:color w:val="000000" w:themeColor="text1"/>
          <w:sz w:val="22"/>
          <w:lang w:val="es-ES_tradnl"/>
        </w:rPr>
      </w:pPr>
      <w:r w:rsidRPr="009C3A2B">
        <w:rPr>
          <w:rFonts w:ascii="Arial" w:hAnsi="Arial" w:eastAsia="Calibri" w:cs="Arial"/>
          <w:b/>
          <w:bCs/>
          <w:color w:val="000000" w:themeColor="text1"/>
          <w:sz w:val="22"/>
          <w:lang w:val="es-ES_tradnl"/>
        </w:rPr>
        <w:t xml:space="preserve">2.3. </w:t>
      </w:r>
      <w:r w:rsidRPr="009C3A2B" w:rsidR="005323A1">
        <w:rPr>
          <w:rFonts w:ascii="Arial" w:hAnsi="Arial" w:eastAsia="Calibri" w:cs="Arial"/>
          <w:b/>
          <w:bCs/>
          <w:color w:val="000000" w:themeColor="text1"/>
          <w:sz w:val="22"/>
          <w:lang w:val="es-ES_tradnl"/>
        </w:rPr>
        <w:t>Imposibilidad de establecer inhabilidades en los pliegos de condiciones</w:t>
      </w:r>
    </w:p>
    <w:p w:rsidRPr="009C3A2B" w:rsidR="005323A1" w:rsidP="00136BF7" w:rsidRDefault="005323A1" w14:paraId="57F334E0" w14:textId="28404EC4">
      <w:pPr>
        <w:spacing w:line="276" w:lineRule="auto"/>
        <w:jc w:val="both"/>
        <w:rPr>
          <w:rFonts w:ascii="Arial" w:hAnsi="Arial" w:eastAsia="Calibri" w:cs="Arial"/>
          <w:b/>
          <w:bCs/>
          <w:color w:val="000000" w:themeColor="text1"/>
          <w:sz w:val="22"/>
          <w:lang w:val="es-ES_tradnl"/>
        </w:rPr>
      </w:pPr>
    </w:p>
    <w:p w:rsidRPr="009C3A2B" w:rsidR="005323A1" w:rsidP="005323A1" w:rsidRDefault="005323A1" w14:paraId="30CEB24C" w14:textId="6E9BD7C3">
      <w:pPr>
        <w:pStyle w:val="Sinespaciado"/>
        <w:tabs>
          <w:tab w:val="left" w:pos="1532"/>
        </w:tabs>
        <w:spacing w:line="276" w:lineRule="auto"/>
        <w:jc w:val="both"/>
        <w:rPr>
          <w:rFonts w:ascii="Arial" w:hAnsi="Arial" w:cs="Arial"/>
          <w:color w:val="000000" w:themeColor="text1"/>
          <w:sz w:val="22"/>
          <w:lang w:val="es-ES"/>
        </w:rPr>
      </w:pPr>
      <w:r w:rsidRPr="009C3A2B">
        <w:rPr>
          <w:rFonts w:ascii="Arial" w:hAnsi="Arial" w:cs="Arial"/>
          <w:color w:val="000000" w:themeColor="text1"/>
          <w:sz w:val="22"/>
        </w:rPr>
        <w:lastRenderedPageBreak/>
        <w:t xml:space="preserve">De conformidad con el artículo 24.5 de la Ley 80 de 1993, en los pliegos de condiciones se deben definir reglas objetivas, justas, claras y completas que permitan la confección de ofrecimientos de índole similar. La jurisprudencia del Consejo de Estado ha determinado que la claridad, justicia y completitud de las reglas de los pliegos de condiciones deben procurar la selección del mejor oferente. Al respecto, señala que  </w:t>
      </w:r>
    </w:p>
    <w:p w:rsidRPr="009C3A2B" w:rsidR="005323A1" w:rsidP="005323A1" w:rsidRDefault="005323A1" w14:paraId="049ADB17" w14:textId="77777777">
      <w:pPr>
        <w:pStyle w:val="Sinespaciado"/>
        <w:tabs>
          <w:tab w:val="left" w:pos="1532"/>
        </w:tabs>
        <w:spacing w:line="276" w:lineRule="auto"/>
        <w:jc w:val="both"/>
        <w:rPr>
          <w:rFonts w:ascii="Arial" w:hAnsi="Arial" w:cs="Arial"/>
          <w:color w:val="000000" w:themeColor="text1"/>
        </w:rPr>
      </w:pPr>
    </w:p>
    <w:p w:rsidRPr="009C3A2B" w:rsidR="005323A1" w:rsidP="005323A1" w:rsidRDefault="005323A1" w14:paraId="43D3ADCA" w14:textId="33D0E3DB">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En ese orden de ideas, las reglas que de manera previa a la apertura del procedimiento administrativo de selección deben ser fijadas por la Administración y que habrán de gobernarlo hasta su culminación toda vez que a la luz de ellas y sólo de ellas debe adjudicarse el contrato han de ser reglas justas, esto es, que realmente apunten a posibilitar la selección del mejor contratista, a la persona natural o jurídica o al grupo de personas que de mejor manera pueda cumplir con el objeto contractual, haciendo prevalecer, por tanto, las condiciones sustanciales de los proponentes respecto de los meros formalismos; reglas objetivas en la medida en que se establezcan de manera tal que sean ellas y exclusivamente ellas, las que determinen el resultado del procedimiento de selección, cerrando las puertas a que sean las estimaciones o los enfoques y criterios personales de los evaluadores los que devengan definitivos, a tal efecto, en el momento de aplicar las referidas reglas; éstas, por lo demás, como corolario del antes comentado principio de objetividad, deben haber sido fijadas con fundamento en las evaluaciones y en los estudios técnicos, económicos, jurídicos, de conveniencia o de oportunidad que la entidad ha debido llevar a cabo con el propósito de ubicarse en la mejor posición antes de configurar los pliegos de condiciones o sus equivalentes principio de objetividad.</w:t>
      </w:r>
    </w:p>
    <w:p w:rsidRPr="009C3A2B" w:rsidR="005323A1" w:rsidP="005323A1" w:rsidRDefault="005323A1" w14:paraId="2ABEED36" w14:textId="77777777">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w:t>
      </w:r>
    </w:p>
    <w:p w:rsidRPr="009C3A2B" w:rsidR="005323A1" w:rsidP="005323A1" w:rsidRDefault="005323A1" w14:paraId="799EE763" w14:textId="0501FC7D">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xml:space="preserve">Deben ser, así mismo, reglas claras, cuya redacción dé lugar a que la interpretación que de ellas efectúe la instancia que las fijó, sea exactamente la misma que puedan realizar tanto los posibles oferentes como quienes tengan a su cargo la evaluación y calificación de las propuestas, de suerte tal que la univocidad de su configuración conduzca a un único entendimiento posible de su contenido y, finalmente, han de ser reglas completas, esto es, que para efectos de resultar aplicables no remitan a o no precisen de la información o de los conceptos o de los criterios incluidos en otros preceptos o, en general, en fuentes externas o ajenas al propio pliego de condiciones, menos </w:t>
      </w:r>
      <w:proofErr w:type="spellStart"/>
      <w:r w:rsidRPr="009C3A2B">
        <w:rPr>
          <w:rFonts w:ascii="Arial" w:hAnsi="Arial" w:cs="Arial"/>
          <w:color w:val="000000" w:themeColor="text1"/>
          <w:sz w:val="21"/>
          <w:szCs w:val="21"/>
        </w:rPr>
        <w:t>aún</w:t>
      </w:r>
      <w:proofErr w:type="spellEnd"/>
      <w:r w:rsidRPr="009C3A2B">
        <w:rPr>
          <w:rFonts w:ascii="Arial" w:hAnsi="Arial" w:cs="Arial"/>
          <w:color w:val="000000" w:themeColor="text1"/>
          <w:sz w:val="21"/>
          <w:szCs w:val="21"/>
        </w:rPr>
        <w:t xml:space="preserve"> cuando no exista certeza en punto a cuáles son los elementos que integran dichas fuentes externas, lo cual ocurriría, por vía de ejemplo, cuando se remita «al estado del arte o de la ciencia» en un específico ámbito del saber técnico, científico o especializado</w:t>
      </w:r>
      <w:r w:rsidRPr="009C3A2B">
        <w:rPr>
          <w:rStyle w:val="Refdenotaalpie"/>
          <w:rFonts w:ascii="Arial" w:hAnsi="Arial" w:cs="Arial"/>
          <w:color w:val="000000" w:themeColor="text1"/>
          <w:sz w:val="21"/>
          <w:szCs w:val="21"/>
        </w:rPr>
        <w:footnoteReference w:id="8"/>
      </w:r>
      <w:r w:rsidRPr="009C3A2B">
        <w:rPr>
          <w:rFonts w:ascii="Arial" w:hAnsi="Arial" w:cs="Arial"/>
          <w:color w:val="000000" w:themeColor="text1"/>
          <w:sz w:val="21"/>
          <w:szCs w:val="21"/>
        </w:rPr>
        <w:t>.</w:t>
      </w:r>
    </w:p>
    <w:p w:rsidRPr="009C3A2B" w:rsidR="005323A1" w:rsidP="005323A1" w:rsidRDefault="005323A1" w14:paraId="601FB8B3" w14:textId="77777777">
      <w:pPr>
        <w:pStyle w:val="Sinespaciado"/>
        <w:tabs>
          <w:tab w:val="left" w:pos="1532"/>
        </w:tabs>
        <w:jc w:val="both"/>
        <w:rPr>
          <w:rFonts w:ascii="Arial" w:hAnsi="Arial" w:cs="Arial"/>
          <w:color w:val="000000" w:themeColor="text1"/>
          <w:sz w:val="22"/>
        </w:rPr>
      </w:pPr>
    </w:p>
    <w:p w:rsidRPr="009C3A2B" w:rsidR="005323A1" w:rsidP="005323A1" w:rsidRDefault="005323A1" w14:paraId="3BFD8F0F" w14:textId="77777777">
      <w:pPr>
        <w:pStyle w:val="Sinespaciado"/>
        <w:spacing w:line="276" w:lineRule="auto"/>
        <w:jc w:val="both"/>
        <w:rPr>
          <w:rFonts w:ascii="Arial" w:hAnsi="Arial" w:cs="Arial"/>
          <w:color w:val="000000" w:themeColor="text1"/>
          <w:sz w:val="22"/>
        </w:rPr>
      </w:pPr>
      <w:r w:rsidRPr="009C3A2B">
        <w:rPr>
          <w:rFonts w:ascii="Arial" w:hAnsi="Arial" w:cs="Arial"/>
          <w:color w:val="000000" w:themeColor="text1"/>
        </w:rPr>
        <w:tab/>
      </w:r>
      <w:r w:rsidRPr="009C3A2B">
        <w:rPr>
          <w:rFonts w:ascii="Arial" w:hAnsi="Arial" w:cs="Arial"/>
          <w:color w:val="000000" w:themeColor="text1"/>
          <w:sz w:val="22"/>
        </w:rPr>
        <w:t xml:space="preserve">De esta forma, los pliegos de condiciones deben contener de manera clara los criterios y factores de evaluación y selección de las ofertas, los cuales deben ser proporcionados y razonables, pues no de otra manera se garantizarían los principios de </w:t>
      </w:r>
      <w:r w:rsidRPr="009C3A2B">
        <w:rPr>
          <w:rFonts w:ascii="Arial" w:hAnsi="Arial" w:cs="Arial"/>
          <w:color w:val="000000" w:themeColor="text1"/>
          <w:sz w:val="22"/>
        </w:rPr>
        <w:lastRenderedPageBreak/>
        <w:t xml:space="preserve">igualdad, imparcialidad y selección objetiva. Ahora, para la confección de los pliegos de condiciones la entidad contratante debe atender lo dispuesto en los literales d) y e) del artículo 24.5 de la Ley 80 de 1993, según los cuales no es posible i) introducir condiciones o exigencias de imposible cumplimiento, </w:t>
      </w:r>
      <w:proofErr w:type="spellStart"/>
      <w:r w:rsidRPr="009C3A2B">
        <w:rPr>
          <w:rFonts w:ascii="Arial" w:hAnsi="Arial" w:cs="Arial"/>
          <w:color w:val="000000" w:themeColor="text1"/>
          <w:sz w:val="22"/>
        </w:rPr>
        <w:t>ii</w:t>
      </w:r>
      <w:proofErr w:type="spellEnd"/>
      <w:r w:rsidRPr="009C3A2B">
        <w:rPr>
          <w:rFonts w:ascii="Arial" w:hAnsi="Arial" w:cs="Arial"/>
          <w:color w:val="000000" w:themeColor="text1"/>
          <w:sz w:val="22"/>
        </w:rPr>
        <w:t xml:space="preserve">) prever exenciones de responsabilidad derivada de los datos, informes y documentos que se suministren, </w:t>
      </w:r>
      <w:proofErr w:type="spellStart"/>
      <w:r w:rsidRPr="009C3A2B">
        <w:rPr>
          <w:rFonts w:ascii="Arial" w:hAnsi="Arial" w:cs="Arial"/>
          <w:color w:val="000000" w:themeColor="text1"/>
          <w:sz w:val="22"/>
        </w:rPr>
        <w:t>iii</w:t>
      </w:r>
      <w:proofErr w:type="spellEnd"/>
      <w:r w:rsidRPr="009C3A2B">
        <w:rPr>
          <w:rFonts w:ascii="Arial" w:hAnsi="Arial" w:cs="Arial"/>
          <w:color w:val="000000" w:themeColor="text1"/>
          <w:sz w:val="22"/>
        </w:rPr>
        <w:t xml:space="preserve">) establecer reglas que induzcan a error a los oferentes, que permitan la formulación de ofertas de extensión ilimitada o que dependan de la voluntad exclusiva de la entidad contratante. </w:t>
      </w:r>
      <w:r w:rsidRPr="009C3A2B">
        <w:rPr>
          <w:rFonts w:ascii="Arial" w:hAnsi="Arial" w:cs="Arial"/>
          <w:color w:val="000000" w:themeColor="text1"/>
          <w:sz w:val="22"/>
        </w:rPr>
        <w:tab/>
      </w:r>
    </w:p>
    <w:p w:rsidRPr="009C3A2B" w:rsidR="005323A1" w:rsidP="005323A1" w:rsidRDefault="005323A1" w14:paraId="0965F8BC" w14:textId="77777777">
      <w:pPr>
        <w:pStyle w:val="Sinespaciado"/>
        <w:tabs>
          <w:tab w:val="left" w:pos="709"/>
        </w:tabs>
        <w:spacing w:line="276" w:lineRule="auto"/>
        <w:jc w:val="both"/>
        <w:rPr>
          <w:rFonts w:ascii="Arial" w:hAnsi="Arial" w:cs="Arial"/>
          <w:color w:val="000000" w:themeColor="text1"/>
          <w:sz w:val="22"/>
        </w:rPr>
      </w:pPr>
      <w:r w:rsidRPr="009C3A2B">
        <w:rPr>
          <w:rFonts w:ascii="Arial" w:hAnsi="Arial" w:cs="Arial"/>
          <w:color w:val="000000" w:themeColor="text1"/>
          <w:sz w:val="22"/>
        </w:rPr>
        <w:tab/>
      </w:r>
      <w:r w:rsidRPr="009C3A2B">
        <w:rPr>
          <w:rFonts w:ascii="Arial" w:hAnsi="Arial" w:cs="Arial"/>
          <w:color w:val="000000" w:themeColor="text1"/>
          <w:sz w:val="22"/>
        </w:rPr>
        <w:t xml:space="preserve">Además de lo anterior, existen otras prohibiciones legales que debe observar la Administración al estructurar los pliegos de condiciones, por ejemplo, la contenida en el inciso 2º del artículo 6, apartado 6.1, de la Ley 1150 de 2007, según el cual las entidades no podrán exigir a los proponentes que aporten los documentos que se utilizan para la inscripción en el Registro Único de Proponentes. </w:t>
      </w:r>
    </w:p>
    <w:p w:rsidRPr="009C3A2B" w:rsidR="005323A1" w:rsidP="005323A1" w:rsidRDefault="005323A1" w14:paraId="2804064F" w14:textId="08086B00">
      <w:pPr>
        <w:pStyle w:val="Sinespaciado"/>
        <w:spacing w:line="276" w:lineRule="auto"/>
        <w:jc w:val="both"/>
        <w:rPr>
          <w:rFonts w:ascii="Arial" w:hAnsi="Arial" w:cs="Arial"/>
          <w:color w:val="000000" w:themeColor="text1"/>
          <w:sz w:val="22"/>
        </w:rPr>
      </w:pPr>
      <w:r w:rsidRPr="009C3A2B">
        <w:rPr>
          <w:rFonts w:ascii="Arial" w:hAnsi="Arial" w:cs="Arial"/>
          <w:color w:val="000000" w:themeColor="text1"/>
          <w:sz w:val="22"/>
        </w:rPr>
        <w:tab/>
      </w:r>
      <w:r w:rsidRPr="009C3A2B">
        <w:rPr>
          <w:rFonts w:ascii="Arial" w:hAnsi="Arial" w:cs="Arial"/>
          <w:color w:val="000000" w:themeColor="text1"/>
          <w:sz w:val="22"/>
        </w:rPr>
        <w:t xml:space="preserve">Adicionalmente, el Consejo de Estado ha sostenido que no es posible establecer en los pliegos de condiciones prohibiciones que tengan el carácter de inhabilidades o incompatibilidades, o fijar requisitos que bajo la denominación de causales de rechazo o exclusión </w:t>
      </w:r>
      <w:r w:rsidRPr="009C3A2B" w:rsidR="001A1FAE">
        <w:rPr>
          <w:rFonts w:ascii="Arial" w:hAnsi="Arial" w:cs="Arial"/>
          <w:color w:val="000000" w:themeColor="text1"/>
          <w:sz w:val="22"/>
        </w:rPr>
        <w:t xml:space="preserve">encubren </w:t>
      </w:r>
      <w:r w:rsidRPr="009C3A2B">
        <w:rPr>
          <w:rFonts w:ascii="Arial" w:hAnsi="Arial" w:cs="Arial"/>
          <w:color w:val="000000" w:themeColor="text1"/>
          <w:sz w:val="22"/>
        </w:rPr>
        <w:t>estas restricciones</w:t>
      </w:r>
      <w:r w:rsidRPr="009C3A2B" w:rsidR="001A1FAE">
        <w:rPr>
          <w:rFonts w:ascii="Arial" w:hAnsi="Arial" w:cs="Arial"/>
          <w:color w:val="000000" w:themeColor="text1"/>
          <w:sz w:val="22"/>
        </w:rPr>
        <w:t>,</w:t>
      </w:r>
      <w:r w:rsidRPr="009C3A2B">
        <w:rPr>
          <w:rFonts w:ascii="Arial" w:hAnsi="Arial" w:cs="Arial"/>
          <w:color w:val="000000" w:themeColor="text1"/>
          <w:sz w:val="22"/>
        </w:rPr>
        <w:t xml:space="preserve"> que están reservadas al constituyente y el legislador. </w:t>
      </w:r>
    </w:p>
    <w:p w:rsidRPr="009C3A2B" w:rsidR="005323A1" w:rsidP="005323A1" w:rsidRDefault="005323A1" w14:paraId="3D72DF83" w14:textId="77777777">
      <w:pPr>
        <w:pStyle w:val="Sinespaciado"/>
        <w:tabs>
          <w:tab w:val="left" w:pos="1532"/>
        </w:tabs>
        <w:spacing w:line="276" w:lineRule="auto"/>
        <w:jc w:val="both"/>
        <w:rPr>
          <w:rFonts w:ascii="Arial" w:hAnsi="Arial" w:cs="Arial"/>
          <w:color w:val="000000" w:themeColor="text1"/>
        </w:rPr>
      </w:pPr>
    </w:p>
    <w:p w:rsidRPr="009C3A2B" w:rsidR="005323A1" w:rsidP="005323A1" w:rsidRDefault="005323A1" w14:paraId="7AF5841F" w14:textId="38400BAC">
      <w:pPr>
        <w:ind w:left="705" w:right="567"/>
        <w:jc w:val="both"/>
        <w:rPr>
          <w:rFonts w:ascii="Arial" w:hAnsi="Arial" w:cs="Arial"/>
          <w:color w:val="000000" w:themeColor="text1"/>
          <w:sz w:val="21"/>
          <w:szCs w:val="21"/>
        </w:rPr>
      </w:pPr>
      <w:r w:rsidRPr="009C3A2B">
        <w:rPr>
          <w:rFonts w:ascii="Arial" w:hAnsi="Arial" w:cs="Arial"/>
          <w:color w:val="000000" w:themeColor="text1"/>
          <w:sz w:val="21"/>
          <w:szCs w:val="21"/>
        </w:rPr>
        <w:t>Al avanzar en el análisis relacionado con los límites que deben respetarse en la configuración de los pliegos de condiciones que han de regir en cada procedimiento administrativo de selección contractual, hay lugar a precisar que las entidades estatales contratantes no cuentan con facultades para establecer, consagrar o crear prohibiciones como inhabilidades o incompatibilidades no previstas en la Constitución Política o en la ley para impedir la participación de interesados que desean o deciden intervenir en los correspondientes procedimientos administrativos de selección o causales de exclusión o de rechazo de las ofertas respectivas que tampoco correspondan a previsiones previamente consagradas en normas de jerarquía superior a la de los pliegos de condiciones.</w:t>
      </w:r>
    </w:p>
    <w:p w:rsidRPr="009C3A2B" w:rsidR="005323A1" w:rsidP="005323A1" w:rsidRDefault="005323A1" w14:paraId="37DA89CE" w14:textId="77777777">
      <w:pPr>
        <w:jc w:val="both"/>
        <w:rPr>
          <w:rFonts w:ascii="Arial" w:hAnsi="Arial" w:cs="Arial"/>
          <w:color w:val="000000" w:themeColor="text1"/>
          <w:sz w:val="21"/>
          <w:szCs w:val="21"/>
        </w:rPr>
      </w:pPr>
      <w:r w:rsidRPr="009C3A2B">
        <w:rPr>
          <w:rFonts w:ascii="Arial" w:hAnsi="Arial" w:cs="Arial"/>
          <w:color w:val="000000" w:themeColor="text1"/>
          <w:sz w:val="21"/>
          <w:szCs w:val="21"/>
        </w:rPr>
        <w:t> </w:t>
      </w:r>
    </w:p>
    <w:p w:rsidRPr="009C3A2B" w:rsidR="005323A1" w:rsidP="005323A1" w:rsidRDefault="005323A1" w14:paraId="55E57715" w14:textId="5843C79D">
      <w:pPr>
        <w:ind w:left="705" w:right="567"/>
        <w:jc w:val="both"/>
        <w:rPr>
          <w:rFonts w:ascii="Arial" w:hAnsi="Arial" w:cs="Arial"/>
          <w:color w:val="000000" w:themeColor="text1"/>
          <w:sz w:val="21"/>
          <w:szCs w:val="21"/>
        </w:rPr>
      </w:pPr>
      <w:r w:rsidRPr="009C3A2B">
        <w:rPr>
          <w:rFonts w:ascii="Arial" w:hAnsi="Arial" w:cs="Arial"/>
          <w:color w:val="000000" w:themeColor="text1"/>
          <w:sz w:val="21"/>
          <w:szCs w:val="21"/>
        </w:rPr>
        <w:t>De ahí que las entidades estatales contratantes deban ser extremadamente cuidadosas y transparentes al exigir a los oferentes el cumplimiento de requisitos razonables y proporcionales cuya inobservancia, a la vez, determina que tales entidades no pueden seleccionar entonces las ofertas que se encuentren en circunstancias de incumplimiento de requisitos esenciales o indispensables establecidos en el correspondiente pliego de condiciones-lo cual incluye aquellos que hoy la propia ley denomina “requisitos habilitantes”–, por lo cual no será válido que tras la apariencia de tales exigencias en realidad se disfracen u oculten inhabilidades o incompatibilidades distintas a las previstas en la Constitución o en la ley para impedir la participación de ciertos interesados en los respectivos procedimientos administrativos de selección contractual</w:t>
      </w:r>
      <w:r w:rsidRPr="009C3A2B">
        <w:rPr>
          <w:rStyle w:val="Refdenotaalpie"/>
          <w:rFonts w:ascii="Arial" w:hAnsi="Arial" w:cs="Arial"/>
          <w:color w:val="000000" w:themeColor="text1"/>
          <w:sz w:val="21"/>
          <w:szCs w:val="21"/>
        </w:rPr>
        <w:footnoteReference w:id="9"/>
      </w:r>
      <w:r w:rsidRPr="009C3A2B">
        <w:rPr>
          <w:rFonts w:ascii="Arial" w:hAnsi="Arial" w:cs="Arial"/>
          <w:color w:val="000000" w:themeColor="text1"/>
          <w:sz w:val="21"/>
          <w:szCs w:val="21"/>
        </w:rPr>
        <w:t>.</w:t>
      </w:r>
    </w:p>
    <w:p w:rsidRPr="009C3A2B" w:rsidR="005323A1" w:rsidP="005323A1" w:rsidRDefault="005323A1" w14:paraId="5F1632E6" w14:textId="77777777">
      <w:pPr>
        <w:pStyle w:val="Sinespaciado"/>
        <w:tabs>
          <w:tab w:val="left" w:pos="1532"/>
        </w:tabs>
        <w:spacing w:line="276" w:lineRule="auto"/>
        <w:jc w:val="both"/>
        <w:rPr>
          <w:rFonts w:ascii="Arial" w:hAnsi="Arial" w:cs="Arial"/>
          <w:color w:val="000000" w:themeColor="text1"/>
          <w:sz w:val="22"/>
        </w:rPr>
      </w:pPr>
      <w:r w:rsidRPr="009C3A2B">
        <w:rPr>
          <w:rFonts w:ascii="Arial" w:hAnsi="Arial" w:cs="Arial"/>
          <w:color w:val="000000" w:themeColor="text1"/>
        </w:rPr>
        <w:t xml:space="preserve"> </w:t>
      </w:r>
    </w:p>
    <w:p w:rsidRPr="009C3A2B" w:rsidR="005323A1" w:rsidP="005323A1" w:rsidRDefault="005323A1" w14:paraId="71AB8C53" w14:textId="45FD8C55">
      <w:pPr>
        <w:pStyle w:val="Sinespaciado"/>
        <w:tabs>
          <w:tab w:val="left" w:pos="709"/>
        </w:tabs>
        <w:spacing w:line="276" w:lineRule="auto"/>
        <w:jc w:val="both"/>
        <w:rPr>
          <w:rFonts w:ascii="Arial" w:hAnsi="Arial" w:cs="Arial"/>
          <w:color w:val="000000" w:themeColor="text1"/>
          <w:sz w:val="22"/>
        </w:rPr>
      </w:pPr>
      <w:r w:rsidRPr="009C3A2B">
        <w:rPr>
          <w:rFonts w:ascii="Arial" w:hAnsi="Arial" w:cs="Arial"/>
          <w:color w:val="000000" w:themeColor="text1"/>
        </w:rPr>
        <w:lastRenderedPageBreak/>
        <w:tab/>
      </w:r>
      <w:r w:rsidRPr="009C3A2B">
        <w:rPr>
          <w:rFonts w:ascii="Arial" w:hAnsi="Arial" w:cs="Arial"/>
          <w:color w:val="000000" w:themeColor="text1"/>
          <w:sz w:val="22"/>
        </w:rPr>
        <w:t xml:space="preserve">Como fundamento de esta posición, el Consejo de Estado explicó las siguientes razones: i) a pesar del amplio margen de la Administración para configurar los pliegos de condiciones de acuerdo con sus necesidades, también está sujeta al principio de legalidad, en virtud del cual las autoridades públicas solo pueden ejercer las funciones o atribuciones expresamente asignadas por la Constitución y la Ley, y no existe ninguna norma constitucional o legal que autorice a las entidades contratantes para establecer inhabilidades o incompatibilidades diferentes a las consagradas por la Constitución y la Ley.   </w:t>
      </w:r>
    </w:p>
    <w:p w:rsidRPr="009C3A2B" w:rsidR="005323A1" w:rsidP="005323A1" w:rsidRDefault="005323A1" w14:paraId="5D334622" w14:textId="77777777">
      <w:pPr>
        <w:pStyle w:val="Sinespaciado"/>
        <w:tabs>
          <w:tab w:val="left" w:pos="709"/>
        </w:tabs>
        <w:spacing w:line="276" w:lineRule="auto"/>
        <w:jc w:val="both"/>
        <w:rPr>
          <w:rFonts w:ascii="Arial" w:hAnsi="Arial" w:cs="Arial"/>
          <w:color w:val="000000" w:themeColor="text1"/>
          <w:sz w:val="22"/>
        </w:rPr>
      </w:pPr>
      <w:r w:rsidRPr="009C3A2B">
        <w:rPr>
          <w:rFonts w:ascii="Arial" w:hAnsi="Arial" w:cs="Arial"/>
          <w:color w:val="000000" w:themeColor="text1"/>
          <w:sz w:val="22"/>
        </w:rPr>
        <w:tab/>
      </w:r>
      <w:proofErr w:type="spellStart"/>
      <w:r w:rsidRPr="009C3A2B">
        <w:rPr>
          <w:rFonts w:ascii="Arial" w:hAnsi="Arial" w:cs="Arial"/>
          <w:color w:val="000000" w:themeColor="text1"/>
          <w:sz w:val="22"/>
        </w:rPr>
        <w:t>ii</w:t>
      </w:r>
      <w:proofErr w:type="spellEnd"/>
      <w:r w:rsidRPr="009C3A2B">
        <w:rPr>
          <w:rFonts w:ascii="Arial" w:hAnsi="Arial" w:cs="Arial"/>
          <w:color w:val="000000" w:themeColor="text1"/>
          <w:sz w:val="22"/>
        </w:rPr>
        <w:t xml:space="preserve">) El artículo 84 de la Constitución Política establece que cuando un derecho o actividad haya sido reglamentada de manera general, las autoridades no pueden establecer ni exigir permisos, licencias o requisitos adicionales para su ejercicio. Así, teniendo en cuenta que la actividad de las entidades estatales está reglada por el Estatuto General de Contratación Pública, donde se establecen de manera expresa las inhabilidades e incompatibilidades, no es posible que la Administración establezca requisitos adicionales de los que allí fueron consignados. </w:t>
      </w:r>
    </w:p>
    <w:p w:rsidRPr="009C3A2B" w:rsidR="005323A1" w:rsidP="005323A1" w:rsidRDefault="005323A1" w14:paraId="13167B78" w14:textId="2AFD6E99">
      <w:pPr>
        <w:pStyle w:val="Sinespaciado"/>
        <w:tabs>
          <w:tab w:val="left" w:pos="709"/>
        </w:tabs>
        <w:spacing w:line="276" w:lineRule="auto"/>
        <w:jc w:val="both"/>
        <w:rPr>
          <w:rFonts w:ascii="Arial" w:hAnsi="Arial" w:cs="Arial"/>
          <w:color w:val="000000" w:themeColor="text1"/>
          <w:sz w:val="22"/>
        </w:rPr>
      </w:pPr>
      <w:r w:rsidRPr="009C3A2B">
        <w:rPr>
          <w:rFonts w:ascii="Arial" w:hAnsi="Arial" w:cs="Arial"/>
          <w:color w:val="000000" w:themeColor="text1"/>
          <w:sz w:val="22"/>
        </w:rPr>
        <w:tab/>
      </w:r>
      <w:proofErr w:type="spellStart"/>
      <w:r w:rsidRPr="009C3A2B">
        <w:rPr>
          <w:rFonts w:ascii="Arial" w:hAnsi="Arial" w:cs="Arial"/>
          <w:color w:val="000000" w:themeColor="text1"/>
          <w:sz w:val="22"/>
        </w:rPr>
        <w:t>iii</w:t>
      </w:r>
      <w:proofErr w:type="spellEnd"/>
      <w:r w:rsidRPr="009C3A2B">
        <w:rPr>
          <w:rFonts w:ascii="Arial" w:hAnsi="Arial" w:cs="Arial"/>
          <w:color w:val="000000" w:themeColor="text1"/>
          <w:sz w:val="22"/>
        </w:rPr>
        <w:t xml:space="preserve">) El literal a) del numeral 1 del artículo 8 de la Ley 80 de 1993 señala que no pueden participar en licitaciones ni celebrar contratos con las entidades estatales las personas que se hallen inhabilitadas por la Constitución y las Leyes. Para el Consejo de Estado, esta norma debe entenderse como una ratificación de que el régimen de inhabilidades e incompatibilidades es el contenido en la Constitución y la Ley, y en consecuencia no es posible determinar estas restricciones a través de normas de menor jerarquía. </w:t>
      </w:r>
    </w:p>
    <w:p w:rsidRPr="009C3A2B" w:rsidR="005323A1" w:rsidP="005323A1" w:rsidRDefault="005323A1" w14:paraId="608B5A65" w14:textId="77777777">
      <w:pPr>
        <w:pStyle w:val="Sinespaciado"/>
        <w:tabs>
          <w:tab w:val="left" w:pos="709"/>
        </w:tabs>
        <w:spacing w:line="276" w:lineRule="auto"/>
        <w:jc w:val="both"/>
        <w:rPr>
          <w:rFonts w:ascii="Arial" w:hAnsi="Arial" w:cs="Arial"/>
          <w:color w:val="000000" w:themeColor="text1"/>
          <w:sz w:val="22"/>
        </w:rPr>
      </w:pPr>
      <w:r w:rsidRPr="009C3A2B">
        <w:rPr>
          <w:rFonts w:ascii="Arial" w:hAnsi="Arial" w:cs="Arial"/>
          <w:color w:val="000000" w:themeColor="text1"/>
          <w:sz w:val="22"/>
        </w:rPr>
        <w:tab/>
      </w:r>
      <w:r w:rsidRPr="009C3A2B">
        <w:rPr>
          <w:rFonts w:ascii="Arial" w:hAnsi="Arial" w:cs="Arial"/>
          <w:color w:val="000000" w:themeColor="text1"/>
          <w:sz w:val="22"/>
        </w:rPr>
        <w:t>A todo lo anterior se adiciona la naturaleza taxativa y de interpretación restrictiva de las causales de inhabilidad e incompatibilidad. Así las cosas, si bien la Administración tiene facultad para establecer causales de rechazo o exclusión de ofertas en sus procesos de selección, que consulten la necesidad de establecer las exigencias mínimas que deben satisfacer los proponentes para ser idóneos para la ejecución del objeto contractual, lo cierto es que esas facultades no le permiten fijar requerimientos que al ser analizados a fondo constituyen hechos o situaciones propias del régimen de inhabilidades o incompatibilidades.</w:t>
      </w:r>
    </w:p>
    <w:p w:rsidRPr="009C3A2B" w:rsidR="005323A1" w:rsidP="00136BF7" w:rsidRDefault="005323A1" w14:paraId="7CCCA47E" w14:textId="77777777">
      <w:pPr>
        <w:spacing w:line="276" w:lineRule="auto"/>
        <w:jc w:val="both"/>
        <w:rPr>
          <w:rFonts w:ascii="Arial" w:hAnsi="Arial" w:eastAsia="Calibri" w:cs="Arial"/>
          <w:b/>
          <w:bCs/>
          <w:color w:val="000000" w:themeColor="text1"/>
          <w:sz w:val="22"/>
          <w:lang w:val="es-ES_tradnl"/>
        </w:rPr>
      </w:pPr>
    </w:p>
    <w:p w:rsidRPr="009C3A2B" w:rsidR="008C45BD" w:rsidP="00136BF7" w:rsidRDefault="00C04F94" w14:paraId="28FE5ACC" w14:textId="0896E7CD">
      <w:pPr>
        <w:spacing w:line="276" w:lineRule="auto"/>
        <w:jc w:val="both"/>
        <w:rPr>
          <w:rFonts w:ascii="Arial" w:hAnsi="Arial" w:eastAsia="Calibri" w:cs="Arial"/>
          <w:color w:val="000000" w:themeColor="text1"/>
          <w:sz w:val="22"/>
          <w:lang w:val="es-ES_tradnl"/>
        </w:rPr>
      </w:pPr>
      <w:r w:rsidRPr="009C3A2B">
        <w:rPr>
          <w:rFonts w:ascii="Arial" w:hAnsi="Arial" w:eastAsia="Calibri" w:cs="Arial"/>
          <w:b/>
          <w:bCs/>
          <w:color w:val="000000" w:themeColor="text1"/>
          <w:sz w:val="22"/>
          <w:lang w:val="es-ES_tradnl"/>
        </w:rPr>
        <w:t xml:space="preserve">2.4. </w:t>
      </w:r>
      <w:r w:rsidRPr="009C3A2B" w:rsidR="00DE2630">
        <w:rPr>
          <w:rFonts w:ascii="Arial" w:hAnsi="Arial" w:eastAsia="Calibri" w:cs="Arial"/>
          <w:b/>
          <w:bCs/>
          <w:color w:val="000000" w:themeColor="text1"/>
          <w:sz w:val="22"/>
          <w:lang w:val="es-ES_tradnl"/>
        </w:rPr>
        <w:t xml:space="preserve">Naturaleza de la </w:t>
      </w:r>
      <w:bookmarkStart w:name="_Hlk34856220" w:id="10"/>
      <w:r w:rsidRPr="009C3A2B" w:rsidR="00DE2630">
        <w:rPr>
          <w:rFonts w:ascii="Arial" w:hAnsi="Arial" w:eastAsia="Calibri" w:cs="Arial"/>
          <w:b/>
          <w:bCs/>
          <w:color w:val="000000" w:themeColor="text1"/>
          <w:sz w:val="22"/>
          <w:lang w:val="es-ES_tradnl"/>
        </w:rPr>
        <w:t xml:space="preserve">Lista Clinton: al ser un acto soberano de un gobierno extranjero, </w:t>
      </w:r>
      <w:r w:rsidRPr="009C3A2B" w:rsidR="000C75EC">
        <w:rPr>
          <w:rFonts w:ascii="Arial" w:hAnsi="Arial" w:eastAsia="Calibri" w:cs="Arial"/>
          <w:b/>
          <w:bCs/>
          <w:color w:val="000000" w:themeColor="text1"/>
          <w:sz w:val="22"/>
          <w:lang w:val="es-ES_tradnl"/>
        </w:rPr>
        <w:t>no puede fundamentar causales de inhabilidad ni rechazo de las propuestas</w:t>
      </w:r>
      <w:bookmarkEnd w:id="10"/>
    </w:p>
    <w:p w:rsidRPr="009C3A2B" w:rsidR="008C45BD" w:rsidP="00136BF7" w:rsidRDefault="008C45BD" w14:paraId="0A224367" w14:textId="5D763247">
      <w:pPr>
        <w:spacing w:line="276" w:lineRule="auto"/>
        <w:jc w:val="both"/>
        <w:rPr>
          <w:rFonts w:ascii="Arial" w:hAnsi="Arial" w:eastAsia="Calibri" w:cs="Arial"/>
          <w:color w:val="000000" w:themeColor="text1"/>
          <w:sz w:val="22"/>
          <w:lang w:val="es-ES_tradnl"/>
        </w:rPr>
      </w:pPr>
    </w:p>
    <w:p w:rsidRPr="009C3A2B" w:rsidR="000C75EC" w:rsidP="0055305B" w:rsidRDefault="00A91512" w14:paraId="080CDEC6" w14:textId="2702FE0B">
      <w:pPr>
        <w:spacing w:before="120"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 xml:space="preserve">La Lista Clinton, creada a través de la </w:t>
      </w:r>
      <w:r w:rsidRPr="009C3A2B" w:rsidR="00C50CA8">
        <w:rPr>
          <w:rFonts w:ascii="Arial" w:hAnsi="Arial" w:eastAsia="Calibri" w:cs="Arial"/>
          <w:color w:val="000000" w:themeColor="text1"/>
          <w:sz w:val="22"/>
          <w:lang w:val="es-ES_tradnl"/>
        </w:rPr>
        <w:t>O</w:t>
      </w:r>
      <w:r w:rsidRPr="009C3A2B">
        <w:rPr>
          <w:rFonts w:ascii="Arial" w:hAnsi="Arial" w:eastAsia="Calibri" w:cs="Arial"/>
          <w:color w:val="000000" w:themeColor="text1"/>
          <w:sz w:val="22"/>
          <w:lang w:val="es-ES_tradnl"/>
        </w:rPr>
        <w:t xml:space="preserve">rden </w:t>
      </w:r>
      <w:r w:rsidRPr="009C3A2B" w:rsidR="00C50CA8">
        <w:rPr>
          <w:rFonts w:ascii="Arial" w:hAnsi="Arial" w:eastAsia="Calibri" w:cs="Arial"/>
          <w:color w:val="000000" w:themeColor="text1"/>
          <w:sz w:val="22"/>
          <w:lang w:val="es-ES_tradnl"/>
        </w:rPr>
        <w:t>E</w:t>
      </w:r>
      <w:r w:rsidRPr="009C3A2B">
        <w:rPr>
          <w:rFonts w:ascii="Arial" w:hAnsi="Arial" w:eastAsia="Calibri" w:cs="Arial"/>
          <w:color w:val="000000" w:themeColor="text1"/>
          <w:sz w:val="22"/>
          <w:lang w:val="es-ES_tradnl"/>
        </w:rPr>
        <w:t xml:space="preserve">jecutiva </w:t>
      </w:r>
      <w:r w:rsidRPr="009C3A2B" w:rsidR="0055305B">
        <w:rPr>
          <w:rFonts w:ascii="Arial" w:hAnsi="Arial" w:eastAsia="Calibri" w:cs="Arial"/>
          <w:color w:val="000000" w:themeColor="text1"/>
          <w:sz w:val="22"/>
          <w:lang w:val="es-ES_tradnl"/>
        </w:rPr>
        <w:t>12</w:t>
      </w:r>
      <w:r w:rsidRPr="009C3A2B" w:rsidR="00B4347D">
        <w:rPr>
          <w:rFonts w:ascii="Arial" w:hAnsi="Arial" w:eastAsia="Calibri" w:cs="Arial"/>
          <w:color w:val="000000" w:themeColor="text1"/>
          <w:sz w:val="22"/>
          <w:lang w:val="es-ES_tradnl"/>
        </w:rPr>
        <w:t>.</w:t>
      </w:r>
      <w:r w:rsidRPr="009C3A2B" w:rsidR="0055305B">
        <w:rPr>
          <w:rFonts w:ascii="Arial" w:hAnsi="Arial" w:eastAsia="Calibri" w:cs="Arial"/>
          <w:color w:val="000000" w:themeColor="text1"/>
          <w:sz w:val="22"/>
          <w:lang w:val="es-ES_tradnl"/>
        </w:rPr>
        <w:t>978 d</w:t>
      </w:r>
      <w:r w:rsidRPr="009C3A2B">
        <w:rPr>
          <w:rFonts w:ascii="Arial" w:hAnsi="Arial" w:eastAsia="Calibri" w:cs="Arial"/>
          <w:color w:val="000000" w:themeColor="text1"/>
          <w:sz w:val="22"/>
          <w:lang w:val="es-ES_tradnl"/>
        </w:rPr>
        <w:t>el 21 de octubre de 1995</w:t>
      </w:r>
      <w:r w:rsidRPr="009C3A2B" w:rsidR="0055305B">
        <w:rPr>
          <w:rFonts w:ascii="Arial" w:hAnsi="Arial" w:eastAsia="Calibri" w:cs="Arial"/>
          <w:color w:val="000000" w:themeColor="text1"/>
          <w:sz w:val="22"/>
          <w:lang w:val="es-ES_tradnl"/>
        </w:rPr>
        <w:t>,</w:t>
      </w:r>
      <w:r w:rsidRPr="009C3A2B">
        <w:rPr>
          <w:rFonts w:ascii="Arial" w:hAnsi="Arial" w:eastAsia="Calibri" w:cs="Arial"/>
          <w:color w:val="000000" w:themeColor="text1"/>
          <w:sz w:val="22"/>
          <w:lang w:val="es-ES_tradnl"/>
        </w:rPr>
        <w:t xml:space="preserve"> </w:t>
      </w:r>
      <w:r w:rsidRPr="009C3A2B" w:rsidR="0055305B">
        <w:rPr>
          <w:rFonts w:ascii="Arial" w:hAnsi="Arial" w:eastAsia="Calibri" w:cs="Arial"/>
          <w:color w:val="000000" w:themeColor="text1"/>
          <w:sz w:val="22"/>
          <w:lang w:val="es-ES_tradnl"/>
        </w:rPr>
        <w:t>tiene como objetivo</w:t>
      </w:r>
      <w:r w:rsidRPr="009C3A2B">
        <w:rPr>
          <w:rFonts w:ascii="Arial" w:hAnsi="Arial" w:eastAsia="Calibri" w:cs="Arial"/>
          <w:color w:val="000000" w:themeColor="text1"/>
          <w:sz w:val="22"/>
          <w:lang w:val="es-ES_tradnl"/>
        </w:rPr>
        <w:t xml:space="preserve"> </w:t>
      </w:r>
      <w:r w:rsidRPr="009C3A2B" w:rsidR="006B7E79">
        <w:rPr>
          <w:rFonts w:ascii="Arial" w:hAnsi="Arial" w:eastAsia="Calibri" w:cs="Arial"/>
          <w:color w:val="000000" w:themeColor="text1"/>
          <w:sz w:val="22"/>
          <w:lang w:val="es-ES_tradnl"/>
        </w:rPr>
        <w:t>obstaculizar las actividades de</w:t>
      </w:r>
      <w:r w:rsidRPr="009C3A2B">
        <w:rPr>
          <w:rFonts w:ascii="Arial" w:hAnsi="Arial" w:eastAsia="Calibri" w:cs="Arial"/>
          <w:color w:val="000000" w:themeColor="text1"/>
          <w:sz w:val="22"/>
          <w:lang w:val="es-ES_tradnl"/>
        </w:rPr>
        <w:t xml:space="preserve"> empresas donde </w:t>
      </w:r>
      <w:r w:rsidRPr="009C3A2B" w:rsidR="0055305B">
        <w:rPr>
          <w:rFonts w:ascii="Arial" w:hAnsi="Arial" w:eastAsia="Calibri" w:cs="Arial"/>
          <w:color w:val="000000" w:themeColor="text1"/>
          <w:sz w:val="22"/>
          <w:lang w:val="es-ES_tradnl"/>
        </w:rPr>
        <w:t xml:space="preserve">los narcotraficantes </w:t>
      </w:r>
      <w:r w:rsidRPr="009C3A2B" w:rsidR="00B4347D">
        <w:rPr>
          <w:rFonts w:ascii="Arial" w:hAnsi="Arial" w:eastAsia="Calibri" w:cs="Arial"/>
          <w:color w:val="000000" w:themeColor="text1"/>
          <w:sz w:val="22"/>
          <w:lang w:val="es-ES_tradnl"/>
        </w:rPr>
        <w:t>tengan</w:t>
      </w:r>
      <w:r w:rsidRPr="009C3A2B" w:rsidR="0055305B">
        <w:rPr>
          <w:rFonts w:ascii="Arial" w:hAnsi="Arial" w:eastAsia="Calibri" w:cs="Arial"/>
          <w:color w:val="000000" w:themeColor="text1"/>
          <w:sz w:val="22"/>
          <w:lang w:val="es-ES_tradnl"/>
        </w:rPr>
        <w:t xml:space="preserve"> algún</w:t>
      </w:r>
      <w:r w:rsidRPr="009C3A2B">
        <w:rPr>
          <w:rFonts w:ascii="Arial" w:hAnsi="Arial" w:eastAsia="Calibri" w:cs="Arial"/>
          <w:color w:val="000000" w:themeColor="text1"/>
          <w:sz w:val="22"/>
          <w:lang w:val="es-ES_tradnl"/>
        </w:rPr>
        <w:t xml:space="preserve"> </w:t>
      </w:r>
      <w:r w:rsidRPr="009C3A2B" w:rsidR="0055305B">
        <w:rPr>
          <w:rFonts w:ascii="Arial" w:hAnsi="Arial" w:eastAsia="Calibri" w:cs="Arial"/>
          <w:color w:val="000000" w:themeColor="text1"/>
          <w:sz w:val="22"/>
          <w:lang w:val="es-ES_tradnl"/>
        </w:rPr>
        <w:t>interés económico</w:t>
      </w:r>
      <w:r w:rsidRPr="009C3A2B">
        <w:rPr>
          <w:rFonts w:ascii="Arial" w:hAnsi="Arial" w:eastAsia="Calibri" w:cs="Arial"/>
          <w:color w:val="000000" w:themeColor="text1"/>
          <w:sz w:val="22"/>
          <w:lang w:val="es-ES_tradnl"/>
        </w:rPr>
        <w:t xml:space="preserve">. Es elaborada por la Oficina de Control de Bienes Extranjeros </w:t>
      </w:r>
      <w:r w:rsidRPr="009C3A2B" w:rsidR="00DE02B7">
        <w:rPr>
          <w:rFonts w:ascii="Arial" w:hAnsi="Arial" w:eastAsia="Calibri" w:cs="Arial"/>
          <w:color w:val="000000" w:themeColor="text1"/>
          <w:sz w:val="22"/>
          <w:lang w:val="es-ES_tradnl"/>
        </w:rPr>
        <w:t>–</w:t>
      </w:r>
      <w:r w:rsidRPr="009C3A2B" w:rsidR="0055305B">
        <w:rPr>
          <w:rFonts w:ascii="Arial" w:hAnsi="Arial" w:eastAsia="Calibri" w:cs="Arial"/>
          <w:color w:val="000000" w:themeColor="text1"/>
          <w:sz w:val="22"/>
          <w:lang w:val="es-ES_tradnl"/>
        </w:rPr>
        <w:t xml:space="preserve">Office </w:t>
      </w:r>
      <w:proofErr w:type="spellStart"/>
      <w:r w:rsidRPr="009C3A2B" w:rsidR="0055305B">
        <w:rPr>
          <w:rFonts w:ascii="Arial" w:hAnsi="Arial" w:eastAsia="Calibri" w:cs="Arial"/>
          <w:color w:val="000000" w:themeColor="text1"/>
          <w:sz w:val="22"/>
          <w:lang w:val="es-ES_tradnl"/>
        </w:rPr>
        <w:t>of</w:t>
      </w:r>
      <w:proofErr w:type="spellEnd"/>
      <w:r w:rsidRPr="009C3A2B" w:rsidR="0055305B">
        <w:rPr>
          <w:rFonts w:ascii="Arial" w:hAnsi="Arial" w:eastAsia="Calibri" w:cs="Arial"/>
          <w:color w:val="000000" w:themeColor="text1"/>
          <w:sz w:val="22"/>
          <w:lang w:val="es-ES_tradnl"/>
        </w:rPr>
        <w:t xml:space="preserve"> </w:t>
      </w:r>
      <w:proofErr w:type="spellStart"/>
      <w:r w:rsidRPr="009C3A2B" w:rsidR="0055305B">
        <w:rPr>
          <w:rFonts w:ascii="Arial" w:hAnsi="Arial" w:eastAsia="Calibri" w:cs="Arial"/>
          <w:color w:val="000000" w:themeColor="text1"/>
          <w:sz w:val="22"/>
          <w:lang w:val="es-ES_tradnl"/>
        </w:rPr>
        <w:t>Foreign</w:t>
      </w:r>
      <w:proofErr w:type="spellEnd"/>
      <w:r w:rsidRPr="009C3A2B" w:rsidR="0055305B">
        <w:rPr>
          <w:rFonts w:ascii="Arial" w:hAnsi="Arial" w:eastAsia="Calibri" w:cs="Arial"/>
          <w:color w:val="000000" w:themeColor="text1"/>
          <w:sz w:val="22"/>
          <w:lang w:val="es-ES_tradnl"/>
        </w:rPr>
        <w:t xml:space="preserve"> </w:t>
      </w:r>
      <w:proofErr w:type="spellStart"/>
      <w:r w:rsidRPr="009C3A2B" w:rsidR="0055305B">
        <w:rPr>
          <w:rFonts w:ascii="Arial" w:hAnsi="Arial" w:eastAsia="Calibri" w:cs="Arial"/>
          <w:color w:val="000000" w:themeColor="text1"/>
          <w:sz w:val="22"/>
          <w:lang w:val="es-ES_tradnl"/>
        </w:rPr>
        <w:t>Assets</w:t>
      </w:r>
      <w:proofErr w:type="spellEnd"/>
      <w:r w:rsidRPr="009C3A2B" w:rsidR="0055305B">
        <w:rPr>
          <w:rFonts w:ascii="Arial" w:hAnsi="Arial" w:eastAsia="Calibri" w:cs="Arial"/>
          <w:color w:val="000000" w:themeColor="text1"/>
          <w:sz w:val="22"/>
          <w:lang w:val="es-ES_tradnl"/>
        </w:rPr>
        <w:t xml:space="preserve"> Control</w:t>
      </w:r>
      <w:r w:rsidRPr="009C3A2B" w:rsidR="00DE02B7">
        <w:rPr>
          <w:rFonts w:ascii="Arial" w:hAnsi="Arial" w:eastAsia="Calibri" w:cs="Arial"/>
          <w:color w:val="000000" w:themeColor="text1"/>
          <w:sz w:val="22"/>
          <w:lang w:val="es-ES_tradnl"/>
        </w:rPr>
        <w:t xml:space="preserve"> (</w:t>
      </w:r>
      <w:r w:rsidRPr="009C3A2B" w:rsidR="0055305B">
        <w:rPr>
          <w:rFonts w:ascii="Arial" w:hAnsi="Arial" w:eastAsia="Calibri" w:cs="Arial"/>
          <w:color w:val="000000" w:themeColor="text1"/>
          <w:sz w:val="22"/>
          <w:lang w:val="es-ES_tradnl"/>
        </w:rPr>
        <w:t>OFAC</w:t>
      </w:r>
      <w:r w:rsidRPr="009C3A2B" w:rsidR="00DE02B7">
        <w:rPr>
          <w:rFonts w:ascii="Arial" w:hAnsi="Arial" w:eastAsia="Calibri" w:cs="Arial"/>
          <w:color w:val="000000" w:themeColor="text1"/>
          <w:sz w:val="22"/>
          <w:lang w:val="es-ES_tradnl"/>
        </w:rPr>
        <w:t>)– del Departamento del Tesoro de los Estados Unidos,</w:t>
      </w:r>
      <w:r w:rsidRPr="009C3A2B">
        <w:rPr>
          <w:rFonts w:ascii="Arial" w:hAnsi="Arial" w:eastAsia="Calibri" w:cs="Arial"/>
          <w:color w:val="000000" w:themeColor="text1"/>
          <w:sz w:val="22"/>
          <w:lang w:val="es-ES_tradnl"/>
        </w:rPr>
        <w:t xml:space="preserve"> y hace parte de las medidas tomadas por </w:t>
      </w:r>
      <w:proofErr w:type="gramStart"/>
      <w:r w:rsidRPr="009C3A2B" w:rsidR="004F0AEF">
        <w:rPr>
          <w:rFonts w:ascii="Arial" w:hAnsi="Arial" w:eastAsia="Calibri" w:cs="Arial"/>
          <w:color w:val="000000" w:themeColor="text1"/>
          <w:sz w:val="22"/>
          <w:lang w:val="es-ES_tradnl"/>
        </w:rPr>
        <w:t>EE.UU</w:t>
      </w:r>
      <w:proofErr w:type="gramEnd"/>
      <w:r w:rsidRPr="009C3A2B">
        <w:rPr>
          <w:rFonts w:ascii="Arial" w:hAnsi="Arial" w:eastAsia="Calibri" w:cs="Arial"/>
          <w:color w:val="000000" w:themeColor="text1"/>
          <w:sz w:val="22"/>
          <w:lang w:val="es-ES_tradnl"/>
        </w:rPr>
        <w:t xml:space="preserve"> en la guerra contra los carteles de la droga y el lavado de activos. </w:t>
      </w:r>
      <w:r w:rsidRPr="009C3A2B" w:rsidR="000A0158">
        <w:rPr>
          <w:rFonts w:ascii="Arial" w:hAnsi="Arial" w:eastAsia="Calibri" w:cs="Arial"/>
          <w:color w:val="000000" w:themeColor="text1"/>
          <w:sz w:val="22"/>
          <w:lang w:val="es-ES_tradnl"/>
        </w:rPr>
        <w:t xml:space="preserve">Lo importante es que quien se encuentre dentro de la Lista </w:t>
      </w:r>
      <w:r w:rsidRPr="009C3A2B" w:rsidR="00D974C8">
        <w:rPr>
          <w:rFonts w:ascii="Arial" w:hAnsi="Arial" w:eastAsia="Calibri" w:cs="Arial"/>
          <w:color w:val="000000" w:themeColor="text1"/>
          <w:sz w:val="22"/>
          <w:lang w:val="es-ES_tradnl"/>
        </w:rPr>
        <w:t>está</w:t>
      </w:r>
      <w:r w:rsidRPr="009C3A2B" w:rsidR="000A0158">
        <w:rPr>
          <w:rFonts w:ascii="Arial" w:hAnsi="Arial" w:eastAsia="Calibri" w:cs="Arial"/>
          <w:color w:val="000000" w:themeColor="text1"/>
          <w:sz w:val="22"/>
          <w:lang w:val="es-ES_tradnl"/>
        </w:rPr>
        <w:t xml:space="preserve"> vetado por Estados Unidos y, por tanto, no p</w:t>
      </w:r>
      <w:r w:rsidRPr="009C3A2B" w:rsidR="00D974C8">
        <w:rPr>
          <w:rFonts w:ascii="Arial" w:hAnsi="Arial" w:eastAsia="Calibri" w:cs="Arial"/>
          <w:color w:val="000000" w:themeColor="text1"/>
          <w:sz w:val="22"/>
          <w:lang w:val="es-ES_tradnl"/>
        </w:rPr>
        <w:t>uede</w:t>
      </w:r>
      <w:r w:rsidRPr="009C3A2B" w:rsidR="000A0158">
        <w:rPr>
          <w:rFonts w:ascii="Arial" w:hAnsi="Arial" w:eastAsia="Calibri" w:cs="Arial"/>
          <w:color w:val="000000" w:themeColor="text1"/>
          <w:sz w:val="22"/>
          <w:lang w:val="es-ES_tradnl"/>
        </w:rPr>
        <w:t xml:space="preserve"> tener relaciones comerciales con ninguna empresa de ese país</w:t>
      </w:r>
      <w:r w:rsidRPr="009C3A2B" w:rsidR="00F25971">
        <w:rPr>
          <w:rFonts w:ascii="Arial" w:hAnsi="Arial" w:eastAsia="Calibri" w:cs="Arial"/>
          <w:color w:val="000000" w:themeColor="text1"/>
          <w:sz w:val="22"/>
          <w:lang w:val="es-ES_tradnl"/>
        </w:rPr>
        <w:t xml:space="preserve">. </w:t>
      </w:r>
    </w:p>
    <w:p w:rsidRPr="009C3A2B" w:rsidR="00F25971" w:rsidP="000C75EC" w:rsidRDefault="00F25971" w14:paraId="6FFC529D" w14:textId="38D8B99F">
      <w:pPr>
        <w:spacing w:before="120" w:line="276" w:lineRule="auto"/>
        <w:ind w:firstLine="708"/>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lastRenderedPageBreak/>
        <w:t xml:space="preserve">De hecho, pese a que las personas colombianas en lista no incurren en delito dentro </w:t>
      </w:r>
      <w:r w:rsidRPr="009C3A2B" w:rsidR="004F0AEF">
        <w:rPr>
          <w:rFonts w:ascii="Arial" w:hAnsi="Arial" w:eastAsia="Calibri" w:cs="Arial"/>
          <w:color w:val="000000" w:themeColor="text1"/>
          <w:sz w:val="22"/>
          <w:lang w:val="es-ES_tradnl"/>
        </w:rPr>
        <w:t>d</w:t>
      </w:r>
      <w:r w:rsidRPr="009C3A2B">
        <w:rPr>
          <w:rFonts w:ascii="Arial" w:hAnsi="Arial" w:eastAsia="Calibri" w:cs="Arial"/>
          <w:color w:val="000000" w:themeColor="text1"/>
          <w:sz w:val="22"/>
          <w:lang w:val="es-ES_tradnl"/>
        </w:rPr>
        <w:t xml:space="preserve">el territorio, limita toda transacción y relación con el sistema financiero, máxime cuando –conforme a lo dispuesto </w:t>
      </w:r>
      <w:r w:rsidRPr="009C3A2B" w:rsidR="000C75EC">
        <w:rPr>
          <w:rFonts w:ascii="Arial" w:hAnsi="Arial" w:eastAsia="Calibri" w:cs="Arial"/>
          <w:color w:val="000000" w:themeColor="text1"/>
          <w:sz w:val="22"/>
          <w:lang w:val="es-ES_tradnl"/>
        </w:rPr>
        <w:t xml:space="preserve">en </w:t>
      </w:r>
      <w:r w:rsidRPr="009C3A2B">
        <w:rPr>
          <w:rFonts w:ascii="Arial" w:hAnsi="Arial" w:eastAsia="Calibri" w:cs="Arial"/>
          <w:color w:val="000000" w:themeColor="text1"/>
          <w:sz w:val="22"/>
          <w:lang w:val="es-ES_tradnl"/>
        </w:rPr>
        <w:t xml:space="preserve">el artículo </w:t>
      </w:r>
      <w:r w:rsidRPr="009C3A2B" w:rsidR="000C75EC">
        <w:rPr>
          <w:rFonts w:ascii="Arial" w:hAnsi="Arial" w:eastAsia="Calibri" w:cs="Arial"/>
          <w:color w:val="000000" w:themeColor="text1"/>
          <w:sz w:val="22"/>
          <w:lang w:val="es-ES_tradnl"/>
        </w:rPr>
        <w:t>102 del Decreto-Ley 663 de 1993, modificado por la Ley 1121 de 2006– «Las instituciones sometidas al control y vigilancia de la Superintendencia Financiera</w:t>
      </w:r>
      <w:r w:rsidRPr="009C3A2B" w:rsidR="00444883">
        <w:rPr>
          <w:rFonts w:ascii="Arial" w:hAnsi="Arial" w:eastAsia="Calibri" w:cs="Arial"/>
          <w:color w:val="000000" w:themeColor="text1"/>
          <w:sz w:val="22"/>
          <w:lang w:val="es-ES_tradnl"/>
        </w:rPr>
        <w:t>,</w:t>
      </w:r>
      <w:r w:rsidRPr="009C3A2B" w:rsidR="000C75EC">
        <w:rPr>
          <w:rFonts w:ascii="Arial" w:hAnsi="Arial" w:eastAsia="Calibri" w:cs="Arial"/>
          <w:color w:val="000000" w:themeColor="text1"/>
          <w:sz w:val="22"/>
          <w:lang w:val="es-ES_tradnl"/>
        </w:rPr>
        <w:t xml:space="preserve"> o quien haga sus veces, estarán obligadas a adoptar medidas de control apropiadas y suficientes, orientadas a evitar que en la realización de sus operaciones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w:t>
      </w:r>
      <w:r w:rsidRPr="009C3A2B" w:rsidR="0083724E">
        <w:rPr>
          <w:rFonts w:ascii="Arial" w:hAnsi="Arial" w:eastAsia="Calibri" w:cs="Arial"/>
          <w:color w:val="000000" w:themeColor="text1"/>
          <w:sz w:val="22"/>
          <w:lang w:val="es-ES_tradnl"/>
        </w:rPr>
        <w:t xml:space="preserve"> De esta manera, </w:t>
      </w:r>
      <w:proofErr w:type="gramStart"/>
      <w:r w:rsidRPr="009C3A2B" w:rsidR="0083724E">
        <w:rPr>
          <w:rFonts w:ascii="Arial" w:hAnsi="Arial" w:eastAsia="Calibri" w:cs="Arial"/>
          <w:i/>
          <w:iCs/>
          <w:color w:val="000000" w:themeColor="text1"/>
          <w:sz w:val="22"/>
          <w:lang w:val="es-ES_tradnl"/>
        </w:rPr>
        <w:t>in extenso</w:t>
      </w:r>
      <w:proofErr w:type="gramEnd"/>
      <w:r w:rsidRPr="009C3A2B" w:rsidR="0083724E">
        <w:rPr>
          <w:rFonts w:ascii="Arial" w:hAnsi="Arial" w:eastAsia="Calibri" w:cs="Arial"/>
          <w:color w:val="000000" w:themeColor="text1"/>
          <w:sz w:val="22"/>
          <w:lang w:val="es-ES_tradnl"/>
        </w:rPr>
        <w:t>, la Corte Constitucional ha sostenido que:</w:t>
      </w:r>
    </w:p>
    <w:p w:rsidRPr="009C3A2B" w:rsidR="00230E28" w:rsidP="000C75EC" w:rsidRDefault="00230E28" w14:paraId="21CE6F37" w14:textId="77777777">
      <w:pPr>
        <w:spacing w:before="120" w:line="276" w:lineRule="auto"/>
        <w:ind w:firstLine="708"/>
        <w:jc w:val="both"/>
        <w:rPr>
          <w:rFonts w:ascii="Arial" w:hAnsi="Arial" w:eastAsia="Calibri" w:cs="Arial"/>
          <w:color w:val="000000" w:themeColor="text1"/>
          <w:sz w:val="22"/>
          <w:lang w:val="es-ES_tradnl"/>
        </w:rPr>
      </w:pPr>
    </w:p>
    <w:p w:rsidRPr="009C3A2B" w:rsidR="0083724E" w:rsidP="00C50CA8" w:rsidRDefault="0083724E" w14:paraId="0360E980" w14:textId="2D1DE9AE">
      <w:pPr>
        <w:spacing w:before="120"/>
        <w:ind w:left="709" w:right="709"/>
        <w:jc w:val="both"/>
        <w:rPr>
          <w:rFonts w:ascii="Arial" w:hAnsi="Arial" w:eastAsia="Calibri" w:cs="Arial"/>
          <w:color w:val="000000" w:themeColor="text1"/>
          <w:sz w:val="21"/>
          <w:szCs w:val="21"/>
          <w:lang w:val="es-ES_tradnl"/>
        </w:rPr>
      </w:pPr>
      <w:r w:rsidRPr="009C3A2B">
        <w:rPr>
          <w:rFonts w:ascii="Arial" w:hAnsi="Arial" w:eastAsia="Calibri" w:cs="Arial"/>
          <w:color w:val="000000" w:themeColor="text1"/>
          <w:sz w:val="21"/>
          <w:szCs w:val="21"/>
          <w:lang w:val="es-ES_tradnl"/>
        </w:rPr>
        <w:t>[…] la Orden Ejecutiva No. 12.978, no constituye una decisión judicial o administrativa propia de alguna autoridad del orden nacional sino que, por el contrario, es una decisión autónoma de un gobierno extranjero (</w:t>
      </w:r>
      <w:proofErr w:type="gramStart"/>
      <w:r w:rsidRPr="009C3A2B">
        <w:rPr>
          <w:rFonts w:ascii="Arial" w:hAnsi="Arial" w:eastAsia="Calibri" w:cs="Arial"/>
          <w:color w:val="000000" w:themeColor="text1"/>
          <w:sz w:val="21"/>
          <w:szCs w:val="21"/>
          <w:lang w:val="es-ES_tradnl"/>
        </w:rPr>
        <w:t>EE.UU</w:t>
      </w:r>
      <w:proofErr w:type="gramEnd"/>
      <w:r w:rsidRPr="009C3A2B">
        <w:rPr>
          <w:rFonts w:ascii="Arial" w:hAnsi="Arial" w:eastAsia="Calibri" w:cs="Arial"/>
          <w:color w:val="000000" w:themeColor="text1"/>
          <w:sz w:val="21"/>
          <w:szCs w:val="21"/>
          <w:lang w:val="es-ES_tradnl"/>
        </w:rPr>
        <w:t>).</w:t>
      </w:r>
    </w:p>
    <w:p w:rsidRPr="009C3A2B" w:rsidR="0083724E" w:rsidP="00C50CA8" w:rsidRDefault="0083724E" w14:paraId="3A1FDCCF" w14:textId="6F9A7832">
      <w:pPr>
        <w:spacing w:before="120"/>
        <w:ind w:left="709" w:right="709"/>
        <w:jc w:val="both"/>
        <w:rPr>
          <w:rFonts w:ascii="Arial" w:hAnsi="Arial" w:eastAsia="Calibri" w:cs="Arial"/>
          <w:color w:val="000000" w:themeColor="text1"/>
          <w:sz w:val="21"/>
          <w:szCs w:val="21"/>
          <w:lang w:val="es-ES_tradnl"/>
        </w:rPr>
      </w:pPr>
      <w:r w:rsidRPr="009C3A2B">
        <w:rPr>
          <w:rFonts w:ascii="Arial" w:hAnsi="Arial" w:eastAsia="Calibri" w:cs="Arial"/>
          <w:color w:val="000000" w:themeColor="text1"/>
          <w:sz w:val="21"/>
          <w:szCs w:val="21"/>
          <w:lang w:val="es-ES_tradnl"/>
        </w:rPr>
        <w:t>Por esta razón, dicha orden en sí misma considerada no tiene efectos vinculantes en el Estado Colombiano y no puede aplicarse coercitivamente como una norma jurídica al interior del país. Sin embargo, para la Corte es claro que las consecuencias de su incumplimiento por parte de la banca nacional, dada las relaciones comerciales ineludibles que ésta mantiene con la banca norteamericana, puede acarrear una grave alteración en la solidez del mercado financiero colombiano, por lo cual la decisión de las instituciones financieras de negar el acceso a este sistema de la(s) persona(s) que aparezcan incluidas en la Lista Clinton, constituye en realidad una causal objetiva justificada».</w:t>
      </w:r>
    </w:p>
    <w:p w:rsidRPr="009C3A2B" w:rsidR="0083724E" w:rsidP="00C50CA8" w:rsidRDefault="0083724E" w14:paraId="6025B973" w14:textId="2FD31DE1">
      <w:pPr>
        <w:spacing w:before="120"/>
        <w:ind w:left="709" w:right="709"/>
        <w:jc w:val="both"/>
        <w:rPr>
          <w:rFonts w:ascii="Arial" w:hAnsi="Arial" w:eastAsia="Calibri" w:cs="Arial"/>
          <w:color w:val="000000" w:themeColor="text1"/>
          <w:sz w:val="21"/>
          <w:szCs w:val="21"/>
          <w:lang w:val="es-ES_tradnl"/>
        </w:rPr>
      </w:pPr>
      <w:r w:rsidRPr="009C3A2B">
        <w:rPr>
          <w:rFonts w:ascii="Arial" w:hAnsi="Arial" w:eastAsia="Calibri" w:cs="Arial"/>
          <w:color w:val="000000" w:themeColor="text1"/>
          <w:sz w:val="21"/>
          <w:szCs w:val="21"/>
          <w:lang w:val="es-ES_tradnl"/>
        </w:rPr>
        <w:t>Dentro de este contexto, en aplicación a las políticas de prevención del lavado de activos a que hacen referencia la Ley 526 de 1999, el Decreto 1497 de 2002 y la Circular Externa 046 de 2002 (Superintendencia Bancaria), la Lista Clinton debe considerarse como un elemento de valoración probatoria que puede ser tenido en cuenta por las instituciones financieras al momento de evaluar el acceso de los particulares a la prestación de los servicios financieros. Máxime si dichas instituciones están directamente comprometidas a nivel nacional e internacional en las políticas de control y erradicación al lavado de activos</w:t>
      </w:r>
      <w:r w:rsidRPr="009C3A2B">
        <w:rPr>
          <w:rStyle w:val="Refdenotaalpie"/>
          <w:rFonts w:ascii="Arial" w:hAnsi="Arial" w:eastAsia="Calibri" w:cs="Arial"/>
          <w:color w:val="000000" w:themeColor="text1"/>
          <w:sz w:val="21"/>
          <w:szCs w:val="21"/>
          <w:lang w:val="es-ES_tradnl"/>
        </w:rPr>
        <w:footnoteReference w:id="10"/>
      </w:r>
      <w:r w:rsidRPr="009C3A2B">
        <w:rPr>
          <w:rFonts w:ascii="Arial" w:hAnsi="Arial" w:eastAsia="Calibri" w:cs="Arial"/>
          <w:color w:val="000000" w:themeColor="text1"/>
          <w:sz w:val="21"/>
          <w:szCs w:val="21"/>
          <w:lang w:val="es-ES_tradnl"/>
        </w:rPr>
        <w:t>.</w:t>
      </w:r>
    </w:p>
    <w:p w:rsidRPr="009C3A2B" w:rsidR="00C04F94" w:rsidP="00C04F94" w:rsidRDefault="00C04F94" w14:paraId="51A9D783" w14:textId="77777777">
      <w:pPr>
        <w:spacing w:before="120" w:line="276" w:lineRule="auto"/>
        <w:ind w:firstLine="708"/>
        <w:jc w:val="both"/>
        <w:rPr>
          <w:rFonts w:ascii="Arial" w:hAnsi="Arial" w:eastAsia="Calibri" w:cs="Arial"/>
          <w:color w:val="000000" w:themeColor="text1"/>
          <w:sz w:val="22"/>
          <w:lang w:val="es-ES_tradnl"/>
        </w:rPr>
      </w:pPr>
      <w:bookmarkStart w:name="_Hlk34856275" w:id="11"/>
    </w:p>
    <w:p w:rsidRPr="009C3A2B" w:rsidR="00C04F94" w:rsidP="00C04F94" w:rsidRDefault="00C04F94" w14:paraId="1C15DC85" w14:textId="5457F4C7">
      <w:pPr>
        <w:spacing w:before="120" w:line="276" w:lineRule="auto"/>
        <w:ind w:firstLine="708"/>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 xml:space="preserve">No obstante, algunas entidades exigen en los procesos de selección que los interesados no se encuentren incluidos </w:t>
      </w:r>
      <w:r w:rsidRPr="009C3A2B" w:rsidR="00444883">
        <w:rPr>
          <w:rFonts w:ascii="Arial" w:hAnsi="Arial" w:eastAsia="Calibri" w:cs="Arial"/>
          <w:color w:val="000000" w:themeColor="text1"/>
          <w:sz w:val="22"/>
          <w:lang w:val="es-ES_tradnl"/>
        </w:rPr>
        <w:t>en la</w:t>
      </w:r>
      <w:r w:rsidRPr="009C3A2B">
        <w:rPr>
          <w:rFonts w:ascii="Arial" w:hAnsi="Arial" w:eastAsia="Calibri" w:cs="Arial"/>
          <w:color w:val="000000" w:themeColor="text1"/>
          <w:sz w:val="22"/>
          <w:lang w:val="es-ES_tradnl"/>
        </w:rPr>
        <w:t xml:space="preserve"> lista. Al respecto, conforme al anexo de la Circular Conjunta 034 de 2011 de la Procuraduría General de la Nación, la Auditoría General de la Nación y la Contraloría General de Santander, cabe destacar que la Orden Ejecutiva 12.798 del Gobierno de Estados Unidos no rige</w:t>
      </w:r>
      <w:r w:rsidRPr="009C3A2B" w:rsidR="006C488D">
        <w:rPr>
          <w:rFonts w:ascii="Arial" w:hAnsi="Arial" w:eastAsia="Calibri" w:cs="Arial"/>
          <w:color w:val="000000" w:themeColor="text1"/>
          <w:sz w:val="22"/>
          <w:lang w:val="es-ES_tradnl"/>
        </w:rPr>
        <w:t>n C</w:t>
      </w:r>
      <w:r w:rsidRPr="009C3A2B">
        <w:rPr>
          <w:rFonts w:ascii="Arial" w:hAnsi="Arial" w:eastAsia="Calibri" w:cs="Arial"/>
          <w:color w:val="000000" w:themeColor="text1"/>
          <w:sz w:val="22"/>
          <w:lang w:val="es-ES_tradnl"/>
        </w:rPr>
        <w:t xml:space="preserve">olombia. En este contexto, toda vez que la ley ha determinado claramente las restricciones </w:t>
      </w:r>
      <w:r w:rsidRPr="009C3A2B" w:rsidR="006C488D">
        <w:rPr>
          <w:rFonts w:ascii="Arial" w:hAnsi="Arial" w:eastAsia="Calibri" w:cs="Arial"/>
          <w:color w:val="000000" w:themeColor="text1"/>
          <w:sz w:val="22"/>
          <w:lang w:val="es-ES_tradnl"/>
        </w:rPr>
        <w:t>para</w:t>
      </w:r>
      <w:r w:rsidRPr="009C3A2B">
        <w:rPr>
          <w:rFonts w:ascii="Arial" w:hAnsi="Arial" w:eastAsia="Calibri" w:cs="Arial"/>
          <w:color w:val="000000" w:themeColor="text1"/>
          <w:sz w:val="22"/>
          <w:lang w:val="es-ES_tradnl"/>
        </w:rPr>
        <w:t xml:space="preserve"> contratar con el </w:t>
      </w:r>
      <w:r w:rsidRPr="009C3A2B">
        <w:rPr>
          <w:rFonts w:ascii="Arial" w:hAnsi="Arial" w:eastAsia="Calibri" w:cs="Arial"/>
          <w:color w:val="000000" w:themeColor="text1"/>
          <w:sz w:val="22"/>
          <w:lang w:val="es-ES_tradnl"/>
        </w:rPr>
        <w:lastRenderedPageBreak/>
        <w:t>Estado, sea cual sea la modalidad de selección y la legislación aplicable, no es posible acudir a esta normativ</w:t>
      </w:r>
      <w:r w:rsidRPr="009C3A2B" w:rsidR="006C488D">
        <w:rPr>
          <w:rFonts w:ascii="Arial" w:hAnsi="Arial" w:eastAsia="Calibri" w:cs="Arial"/>
          <w:color w:val="000000" w:themeColor="text1"/>
          <w:sz w:val="22"/>
          <w:lang w:val="es-ES_tradnl"/>
        </w:rPr>
        <w:t>a</w:t>
      </w:r>
      <w:r w:rsidRPr="009C3A2B">
        <w:rPr>
          <w:rFonts w:ascii="Arial" w:hAnsi="Arial" w:eastAsia="Calibri" w:cs="Arial"/>
          <w:color w:val="000000" w:themeColor="text1"/>
          <w:sz w:val="22"/>
          <w:lang w:val="es-ES_tradnl"/>
        </w:rPr>
        <w:t xml:space="preserve"> externa como criterio para fundamentar</w:t>
      </w:r>
      <w:r w:rsidRPr="009C3A2B" w:rsidR="006C488D">
        <w:rPr>
          <w:rFonts w:ascii="Arial" w:hAnsi="Arial" w:eastAsia="Calibri" w:cs="Arial"/>
          <w:color w:val="000000" w:themeColor="text1"/>
          <w:sz w:val="22"/>
          <w:lang w:val="es-ES_tradnl"/>
        </w:rPr>
        <w:t>,</w:t>
      </w:r>
      <w:r w:rsidRPr="009C3A2B">
        <w:rPr>
          <w:rFonts w:ascii="Arial" w:hAnsi="Arial" w:eastAsia="Calibri" w:cs="Arial"/>
          <w:color w:val="000000" w:themeColor="text1"/>
          <w:sz w:val="22"/>
          <w:lang w:val="es-ES_tradnl"/>
        </w:rPr>
        <w:t xml:space="preserve"> a través de los pliegos de condiciones</w:t>
      </w:r>
      <w:r w:rsidRPr="009C3A2B" w:rsidR="006C488D">
        <w:rPr>
          <w:rFonts w:ascii="Arial" w:hAnsi="Arial" w:eastAsia="Calibri" w:cs="Arial"/>
          <w:color w:val="000000" w:themeColor="text1"/>
          <w:sz w:val="22"/>
          <w:lang w:val="es-ES_tradnl"/>
        </w:rPr>
        <w:t>,</w:t>
      </w:r>
      <w:r w:rsidRPr="009C3A2B">
        <w:rPr>
          <w:rFonts w:ascii="Arial" w:hAnsi="Arial" w:eastAsia="Calibri" w:cs="Arial"/>
          <w:color w:val="000000" w:themeColor="text1"/>
          <w:sz w:val="22"/>
          <w:lang w:val="es-ES_tradnl"/>
        </w:rPr>
        <w:t xml:space="preserve"> causales de inhabilidad del oferente o de rechazo de la propuesta, lo cual corresponde exclusivamente al legislador. </w:t>
      </w:r>
    </w:p>
    <w:p w:rsidRPr="009C3A2B" w:rsidR="001C5092" w:rsidP="003B429A" w:rsidRDefault="00C04F94" w14:paraId="3E27D0AC" w14:textId="2393322A">
      <w:pPr>
        <w:spacing w:after="120" w:line="276" w:lineRule="auto"/>
        <w:ind w:firstLine="709"/>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 xml:space="preserve">Así las cosas, la Administración, dentro de sus competencias para estructurar </w:t>
      </w:r>
      <w:r w:rsidRPr="009C3A2B" w:rsidR="0005657E">
        <w:rPr>
          <w:rFonts w:ascii="Arial" w:hAnsi="Arial" w:eastAsia="Calibri" w:cs="Arial"/>
          <w:color w:val="000000" w:themeColor="text1"/>
          <w:sz w:val="22"/>
          <w:lang w:val="es-ES_tradnl"/>
        </w:rPr>
        <w:t>p</w:t>
      </w:r>
      <w:r w:rsidRPr="009C3A2B">
        <w:rPr>
          <w:rFonts w:ascii="Arial" w:hAnsi="Arial" w:eastAsia="Calibri" w:cs="Arial"/>
          <w:color w:val="000000" w:themeColor="text1"/>
          <w:sz w:val="22"/>
          <w:lang w:val="es-ES_tradnl"/>
        </w:rPr>
        <w:t xml:space="preserve">liegos de </w:t>
      </w:r>
      <w:r w:rsidRPr="009C3A2B" w:rsidR="0005657E">
        <w:rPr>
          <w:rFonts w:ascii="Arial" w:hAnsi="Arial" w:eastAsia="Calibri" w:cs="Arial"/>
          <w:color w:val="000000" w:themeColor="text1"/>
          <w:sz w:val="22"/>
          <w:lang w:val="es-ES_tradnl"/>
        </w:rPr>
        <w:t>c</w:t>
      </w:r>
      <w:r w:rsidRPr="009C3A2B">
        <w:rPr>
          <w:rFonts w:ascii="Arial" w:hAnsi="Arial" w:eastAsia="Calibri" w:cs="Arial"/>
          <w:color w:val="000000" w:themeColor="text1"/>
          <w:sz w:val="22"/>
          <w:lang w:val="es-ES_tradnl"/>
        </w:rPr>
        <w:t xml:space="preserve">ondiciones, puede determinar </w:t>
      </w:r>
      <w:r w:rsidRPr="009C3A2B" w:rsidR="0005657E">
        <w:rPr>
          <w:rFonts w:ascii="Arial" w:hAnsi="Arial" w:eastAsia="Calibri" w:cs="Arial"/>
          <w:color w:val="000000" w:themeColor="text1"/>
          <w:sz w:val="22"/>
          <w:lang w:val="es-ES_tradnl"/>
        </w:rPr>
        <w:t xml:space="preserve">causales </w:t>
      </w:r>
      <w:r w:rsidRPr="009C3A2B">
        <w:rPr>
          <w:rFonts w:ascii="Arial" w:hAnsi="Arial" w:eastAsia="Calibri" w:cs="Arial"/>
          <w:color w:val="000000" w:themeColor="text1"/>
          <w:sz w:val="22"/>
          <w:lang w:val="es-ES_tradnl"/>
        </w:rPr>
        <w:t>de rechazo de propuestas de acuerdo con su necesidad, el objeto a contratar y demás factores propios del proceso de selección particular. Sin embargo, no puede crear inhabilidades que no se encuentren en la Constitución o la ley. De manera que establecer como causal de rechazo la inclusión del proponente en la Lista Clinton implica crear una inhabilidad para contratar que no tiene sustento legal y que, según lo expuesto, desborda las competencias de la Administración en la configuración de sus pliegos de condiciones.</w:t>
      </w:r>
    </w:p>
    <w:bookmarkEnd w:id="11"/>
    <w:p w:rsidRPr="009C3A2B" w:rsidR="00F1108B" w:rsidP="00F1108B" w:rsidRDefault="00F1108B" w14:paraId="4F43922D" w14:textId="77777777">
      <w:pPr>
        <w:pStyle w:val="Prrafodelista"/>
        <w:tabs>
          <w:tab w:val="left" w:pos="284"/>
        </w:tabs>
        <w:spacing w:line="276" w:lineRule="auto"/>
        <w:ind w:left="0"/>
        <w:jc w:val="both"/>
        <w:rPr>
          <w:rFonts w:ascii="Arial" w:hAnsi="Arial" w:eastAsia="Calibri" w:cs="Arial"/>
          <w:b/>
          <w:color w:val="000000" w:themeColor="text1"/>
          <w:sz w:val="22"/>
        </w:rPr>
      </w:pPr>
    </w:p>
    <w:p w:rsidRPr="009C3A2B" w:rsidR="00F1108B" w:rsidP="00F1108B" w:rsidRDefault="00F1108B" w14:paraId="6E4BB750" w14:textId="3CE75989">
      <w:pPr>
        <w:pStyle w:val="Prrafodelista"/>
        <w:tabs>
          <w:tab w:val="left" w:pos="284"/>
        </w:tabs>
        <w:spacing w:line="276" w:lineRule="auto"/>
        <w:ind w:left="0"/>
        <w:jc w:val="both"/>
        <w:rPr>
          <w:rFonts w:ascii="Arial" w:hAnsi="Arial" w:eastAsia="Calibri" w:cs="Arial"/>
          <w:color w:val="000000" w:themeColor="text1"/>
          <w:sz w:val="22"/>
        </w:rPr>
      </w:pPr>
      <w:r w:rsidRPr="009C3A2B">
        <w:rPr>
          <w:rFonts w:ascii="Arial" w:hAnsi="Arial" w:eastAsia="Calibri" w:cs="Arial"/>
          <w:b/>
          <w:color w:val="000000" w:themeColor="text1"/>
          <w:sz w:val="22"/>
        </w:rPr>
        <w:t>3. Respuesta</w:t>
      </w:r>
    </w:p>
    <w:p w:rsidRPr="009C3A2B" w:rsidR="00FC113C" w:rsidP="00454217" w:rsidRDefault="00FC113C" w14:paraId="4760AC28" w14:textId="77777777">
      <w:pPr>
        <w:tabs>
          <w:tab w:val="left" w:pos="426"/>
        </w:tabs>
        <w:spacing w:line="276" w:lineRule="auto"/>
        <w:ind w:right="709"/>
        <w:jc w:val="both"/>
        <w:rPr>
          <w:rFonts w:ascii="Arial" w:hAnsi="Arial" w:eastAsia="Calibri" w:cs="Arial"/>
          <w:color w:val="000000" w:themeColor="text1"/>
          <w:sz w:val="22"/>
        </w:rPr>
      </w:pPr>
    </w:p>
    <w:p w:rsidRPr="009C3A2B" w:rsidR="00397FF0" w:rsidP="00454217" w:rsidRDefault="00FC113C" w14:paraId="04755E6E" w14:textId="49939405">
      <w:pPr>
        <w:tabs>
          <w:tab w:val="left" w:pos="426"/>
        </w:tabs>
        <w:spacing w:line="276" w:lineRule="auto"/>
        <w:ind w:left="709" w:right="709"/>
        <w:jc w:val="both"/>
        <w:rPr>
          <w:rFonts w:ascii="Arial" w:hAnsi="Arial" w:eastAsia="Calibri" w:cs="Arial"/>
          <w:color w:val="000000" w:themeColor="text1"/>
          <w:sz w:val="22"/>
        </w:rPr>
      </w:pPr>
      <w:r w:rsidRPr="009C3A2B">
        <w:rPr>
          <w:rFonts w:ascii="Arial" w:hAnsi="Arial" w:eastAsia="Calibri" w:cs="Arial"/>
          <w:color w:val="000000" w:themeColor="text1"/>
          <w:sz w:val="22"/>
        </w:rPr>
        <w:t>¿</w:t>
      </w:r>
      <w:r w:rsidRPr="009C3A2B" w:rsidR="00454217">
        <w:rPr>
          <w:rFonts w:ascii="Arial" w:hAnsi="Arial" w:eastAsia="Calibri" w:cs="Arial"/>
          <w:color w:val="000000" w:themeColor="text1"/>
          <w:sz w:val="22"/>
        </w:rPr>
        <w:t>S</w:t>
      </w:r>
      <w:r w:rsidRPr="009C3A2B">
        <w:rPr>
          <w:rFonts w:ascii="Arial" w:hAnsi="Arial" w:eastAsia="Calibri" w:cs="Arial"/>
          <w:color w:val="000000" w:themeColor="text1"/>
          <w:sz w:val="22"/>
        </w:rPr>
        <w:t>i una persona jurídica o su representante legal se encuentra en la Lista Clinton, ello da lugar a no adjudicarle el contrato estatal o al rechazo de la propuesta?</w:t>
      </w:r>
    </w:p>
    <w:p w:rsidRPr="009C3A2B" w:rsidR="00454217" w:rsidP="00454217" w:rsidRDefault="00454217" w14:paraId="7439C460" w14:textId="77777777">
      <w:pPr>
        <w:tabs>
          <w:tab w:val="left" w:pos="426"/>
        </w:tabs>
        <w:spacing w:line="276" w:lineRule="auto"/>
        <w:ind w:left="709" w:right="709"/>
        <w:jc w:val="both"/>
        <w:rPr>
          <w:rFonts w:ascii="Arial" w:hAnsi="Arial" w:eastAsia="Calibri" w:cs="Arial"/>
          <w:color w:val="000000" w:themeColor="text1"/>
          <w:sz w:val="22"/>
        </w:rPr>
      </w:pPr>
    </w:p>
    <w:p w:rsidRPr="009C3A2B" w:rsidR="00230E28" w:rsidP="00FC113C" w:rsidRDefault="001C5092" w14:paraId="200430DF" w14:textId="5B1B1436">
      <w:pPr>
        <w:tabs>
          <w:tab w:val="left" w:pos="426"/>
        </w:tabs>
        <w:spacing w:before="120"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rPr>
        <w:tab/>
      </w:r>
      <w:r w:rsidRPr="009C3A2B">
        <w:rPr>
          <w:rFonts w:ascii="Arial" w:hAnsi="Arial" w:eastAsia="Calibri" w:cs="Arial"/>
          <w:color w:val="000000" w:themeColor="text1"/>
          <w:sz w:val="22"/>
        </w:rPr>
        <w:tab/>
      </w:r>
      <w:r w:rsidRPr="009C3A2B" w:rsidR="00594FFF">
        <w:rPr>
          <w:rFonts w:ascii="Arial" w:hAnsi="Arial" w:eastAsia="Calibri" w:cs="Arial"/>
          <w:color w:val="000000" w:themeColor="text1"/>
          <w:sz w:val="22"/>
        </w:rPr>
        <w:t>Teniendo en cuenta</w:t>
      </w:r>
      <w:r w:rsidRPr="009C3A2B" w:rsidR="00454217">
        <w:rPr>
          <w:rFonts w:ascii="Arial" w:hAnsi="Arial" w:eastAsia="Calibri" w:cs="Arial"/>
          <w:color w:val="000000" w:themeColor="text1"/>
          <w:sz w:val="22"/>
        </w:rPr>
        <w:t xml:space="preserve"> que la ley es la fuente principal de las inhabilidades</w:t>
      </w:r>
      <w:r w:rsidRPr="009C3A2B" w:rsidR="00BB4E5B">
        <w:rPr>
          <w:rFonts w:ascii="Arial" w:hAnsi="Arial" w:eastAsia="Calibri" w:cs="Arial"/>
          <w:color w:val="000000" w:themeColor="text1"/>
          <w:sz w:val="22"/>
        </w:rPr>
        <w:t>,</w:t>
      </w:r>
      <w:r w:rsidRPr="009C3A2B" w:rsidR="00454217">
        <w:rPr>
          <w:rFonts w:ascii="Arial" w:hAnsi="Arial" w:eastAsia="Calibri" w:cs="Arial"/>
          <w:color w:val="000000" w:themeColor="text1"/>
          <w:sz w:val="22"/>
        </w:rPr>
        <w:t xml:space="preserve"> y que las causales de rechazo </w:t>
      </w:r>
      <w:r w:rsidRPr="009C3A2B" w:rsidR="00454217">
        <w:rPr>
          <w:rFonts w:ascii="Arial" w:hAnsi="Arial" w:eastAsia="Calibri" w:cs="Arial"/>
          <w:color w:val="000000" w:themeColor="text1"/>
          <w:sz w:val="22"/>
          <w:lang w:val="es-ES_tradnl"/>
        </w:rPr>
        <w:t>están relacionadas con impedimentos legales o con defectos u omisiones en</w:t>
      </w:r>
      <w:r w:rsidRPr="009C3A2B" w:rsidR="00BB4E5B">
        <w:rPr>
          <w:rFonts w:ascii="Arial" w:hAnsi="Arial" w:eastAsia="Calibri" w:cs="Arial"/>
          <w:color w:val="000000" w:themeColor="text1"/>
          <w:sz w:val="22"/>
          <w:lang w:val="es-ES_tradnl"/>
        </w:rPr>
        <w:t xml:space="preserve"> el contenido o en</w:t>
      </w:r>
      <w:r w:rsidRPr="009C3A2B" w:rsidR="00454217">
        <w:rPr>
          <w:rFonts w:ascii="Arial" w:hAnsi="Arial" w:eastAsia="Calibri" w:cs="Arial"/>
          <w:color w:val="000000" w:themeColor="text1"/>
          <w:sz w:val="22"/>
          <w:lang w:val="es-ES_tradnl"/>
        </w:rPr>
        <w:t xml:space="preserve"> la presentación de los documentos que conforman la propuesta, la inclusión del proponente en la Lista Clinton no vicia el acto de adjudicación ni da lugar </w:t>
      </w:r>
      <w:r w:rsidRPr="009C3A2B" w:rsidR="00EA5464">
        <w:rPr>
          <w:rFonts w:ascii="Arial" w:hAnsi="Arial" w:eastAsia="Calibri" w:cs="Arial"/>
          <w:color w:val="000000" w:themeColor="text1"/>
          <w:sz w:val="22"/>
          <w:lang w:val="es-ES_tradnl"/>
        </w:rPr>
        <w:t xml:space="preserve">a que la propuesta se excluya del proceso de selección. </w:t>
      </w:r>
      <w:r w:rsidRPr="009C3A2B" w:rsidR="00454217">
        <w:rPr>
          <w:rFonts w:ascii="Arial" w:hAnsi="Arial" w:eastAsia="Calibri" w:cs="Arial"/>
          <w:color w:val="000000" w:themeColor="text1"/>
          <w:sz w:val="22"/>
          <w:lang w:val="es-ES_tradnl"/>
        </w:rPr>
        <w:t>Así las cosas, si bien las entidades bancarias tienen un fundamento jurídico para impedir que ciertas personas ingresen o permanezcan en el sistema financiero, esas restricciones no se extienden al sistema de compra pública, pues las causales de inhabilidad o rechazo son interpretación estricta y, por tanto, no se aplican por analogía.</w:t>
      </w:r>
      <w:r w:rsidRPr="009C3A2B">
        <w:rPr>
          <w:rFonts w:ascii="Arial" w:hAnsi="Arial" w:eastAsia="Calibri" w:cs="Arial"/>
          <w:color w:val="000000" w:themeColor="text1"/>
          <w:sz w:val="22"/>
          <w:lang w:val="es-ES_tradnl"/>
        </w:rPr>
        <w:t xml:space="preserve"> </w:t>
      </w:r>
    </w:p>
    <w:p w:rsidRPr="009C3A2B" w:rsidR="00230E28" w:rsidP="00FC113C" w:rsidRDefault="00230E28" w14:paraId="4D07A40B" w14:textId="6DE8CBF8">
      <w:pPr>
        <w:tabs>
          <w:tab w:val="left" w:pos="426"/>
        </w:tabs>
        <w:spacing w:before="120"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ab/>
      </w:r>
      <w:r w:rsidRPr="009C3A2B">
        <w:rPr>
          <w:rFonts w:ascii="Arial" w:hAnsi="Arial" w:eastAsia="Calibri" w:cs="Arial"/>
          <w:color w:val="000000" w:themeColor="text1"/>
          <w:sz w:val="22"/>
          <w:lang w:val="es-ES_tradnl"/>
        </w:rPr>
        <w:tab/>
      </w:r>
      <w:r w:rsidRPr="009C3A2B">
        <w:rPr>
          <w:rFonts w:ascii="Arial" w:hAnsi="Arial" w:eastAsia="Calibri" w:cs="Arial"/>
          <w:color w:val="000000" w:themeColor="text1"/>
          <w:sz w:val="22"/>
          <w:lang w:val="es-ES_tradnl"/>
        </w:rPr>
        <w:t>En este contexto, el SARLAFT no corresponde a una lista restrictiva, sino al Sistema de Administración del Riesgo de Lavado de Activos y de la Financiación del Terrorismo. Este sistema tiene dos fases</w:t>
      </w:r>
      <w:r w:rsidRPr="009C3A2B" w:rsidR="00BB4E5B">
        <w:rPr>
          <w:rFonts w:ascii="Arial" w:hAnsi="Arial" w:eastAsia="Calibri" w:cs="Arial"/>
          <w:color w:val="000000" w:themeColor="text1"/>
          <w:sz w:val="22"/>
          <w:lang w:val="es-ES_tradnl"/>
        </w:rPr>
        <w:t>:</w:t>
      </w:r>
      <w:r w:rsidRPr="009C3A2B">
        <w:rPr>
          <w:rFonts w:ascii="Arial" w:hAnsi="Arial" w:eastAsia="Calibri" w:cs="Arial"/>
          <w:color w:val="000000" w:themeColor="text1"/>
          <w:sz w:val="22"/>
          <w:lang w:val="es-ES_tradnl"/>
        </w:rPr>
        <w:t xml:space="preserve"> i) la que corresponde a la prevención del riesgo y cuyo objetivo es prevenir que se introduzcan al sistema financiero recursos provenientes de actividades relacionadas con el lavado de activos y/o de la financiación del terrorismo </w:t>
      </w:r>
      <w:r w:rsidRPr="009C3A2B" w:rsidR="00BB4E5B">
        <w:rPr>
          <w:rFonts w:ascii="Arial" w:hAnsi="Arial" w:eastAsia="Calibri" w:cs="Arial"/>
          <w:color w:val="000000" w:themeColor="text1"/>
          <w:sz w:val="22"/>
          <w:lang w:val="es-ES_tradnl"/>
        </w:rPr>
        <w:t xml:space="preserve">y </w:t>
      </w:r>
      <w:proofErr w:type="spellStart"/>
      <w:r w:rsidRPr="009C3A2B">
        <w:rPr>
          <w:rFonts w:ascii="Arial" w:hAnsi="Arial" w:eastAsia="Calibri" w:cs="Arial"/>
          <w:color w:val="000000" w:themeColor="text1"/>
          <w:sz w:val="22"/>
          <w:lang w:val="es-ES_tradnl"/>
        </w:rPr>
        <w:t>ii</w:t>
      </w:r>
      <w:proofErr w:type="spellEnd"/>
      <w:r w:rsidRPr="009C3A2B">
        <w:rPr>
          <w:rFonts w:ascii="Arial" w:hAnsi="Arial" w:eastAsia="Calibri" w:cs="Arial"/>
          <w:color w:val="000000" w:themeColor="text1"/>
          <w:sz w:val="22"/>
          <w:lang w:val="es-ES_tradnl"/>
        </w:rPr>
        <w:t>) la correspondiente al control y cuyo propósito consiste en detectar y reportar las operaciones que se pretendan realizar o se hayan realizado, para intentar dar apariencia de legalidad a operaciones vinculadas al lavado de activos o financiación del terrorismo</w:t>
      </w:r>
      <w:r w:rsidRPr="009C3A2B" w:rsidR="00BB4E5B">
        <w:rPr>
          <w:rFonts w:ascii="Arial" w:hAnsi="Arial" w:eastAsia="Calibri" w:cs="Arial"/>
          <w:color w:val="000000" w:themeColor="text1"/>
          <w:sz w:val="22"/>
          <w:lang w:val="es-ES_tradnl"/>
        </w:rPr>
        <w:t>.</w:t>
      </w:r>
    </w:p>
    <w:p w:rsidRPr="009C3A2B" w:rsidR="001C5092" w:rsidP="00FC113C" w:rsidRDefault="00230E28" w14:paraId="6309630E" w14:textId="01917629">
      <w:pPr>
        <w:tabs>
          <w:tab w:val="left" w:pos="426"/>
        </w:tabs>
        <w:spacing w:before="120" w:line="276" w:lineRule="auto"/>
        <w:jc w:val="both"/>
        <w:rPr>
          <w:rFonts w:ascii="Arial" w:hAnsi="Arial" w:eastAsia="Calibri" w:cs="Arial"/>
          <w:color w:val="000000" w:themeColor="text1"/>
          <w:sz w:val="22"/>
          <w:lang w:val="es-ES_tradnl"/>
        </w:rPr>
      </w:pPr>
      <w:r w:rsidRPr="009C3A2B">
        <w:rPr>
          <w:rFonts w:ascii="Arial" w:hAnsi="Arial" w:eastAsia="Calibri" w:cs="Arial"/>
          <w:color w:val="000000" w:themeColor="text1"/>
          <w:sz w:val="22"/>
          <w:lang w:val="es-ES_tradnl"/>
        </w:rPr>
        <w:tab/>
      </w:r>
      <w:r w:rsidRPr="009C3A2B">
        <w:rPr>
          <w:rFonts w:ascii="Arial" w:hAnsi="Arial" w:eastAsia="Calibri" w:cs="Arial"/>
          <w:color w:val="000000" w:themeColor="text1"/>
          <w:sz w:val="22"/>
          <w:lang w:val="es-ES_tradnl"/>
        </w:rPr>
        <w:tab/>
      </w:r>
      <w:r w:rsidRPr="009C3A2B" w:rsidR="003C4B72">
        <w:rPr>
          <w:rFonts w:ascii="Arial" w:hAnsi="Arial" w:eastAsia="Calibri" w:cs="Arial"/>
          <w:color w:val="000000" w:themeColor="text1"/>
          <w:sz w:val="22"/>
          <w:lang w:val="es-ES_tradnl"/>
        </w:rPr>
        <w:t>Por tanto</w:t>
      </w:r>
      <w:r w:rsidRPr="009C3A2B" w:rsidR="001C5092">
        <w:rPr>
          <w:rFonts w:ascii="Arial" w:hAnsi="Arial" w:eastAsia="Calibri" w:cs="Arial"/>
          <w:color w:val="000000" w:themeColor="text1"/>
          <w:sz w:val="22"/>
          <w:lang w:val="es-ES_tradnl"/>
        </w:rPr>
        <w:t>, para la Agencia Nacional de Contratación Pública – Colombia Compra Eficiente</w:t>
      </w:r>
      <w:r w:rsidRPr="009C3A2B" w:rsidR="00BB4E5B">
        <w:rPr>
          <w:rFonts w:ascii="Arial" w:hAnsi="Arial" w:eastAsia="Calibri" w:cs="Arial"/>
          <w:color w:val="000000" w:themeColor="text1"/>
          <w:sz w:val="22"/>
          <w:lang w:val="es-ES_tradnl"/>
        </w:rPr>
        <w:t>,</w:t>
      </w:r>
      <w:r w:rsidRPr="009C3A2B" w:rsidR="001C5092">
        <w:rPr>
          <w:rFonts w:ascii="Arial" w:hAnsi="Arial" w:eastAsia="Calibri" w:cs="Arial"/>
          <w:color w:val="000000" w:themeColor="text1"/>
          <w:sz w:val="22"/>
          <w:lang w:val="es-ES_tradnl"/>
        </w:rPr>
        <w:t xml:space="preserve"> dentro del margen de libertad de configuración de los pliegos de condiciones, las </w:t>
      </w:r>
      <w:r w:rsidRPr="009C3A2B" w:rsidR="001C5092">
        <w:rPr>
          <w:rFonts w:ascii="Arial" w:hAnsi="Arial" w:eastAsia="Calibri" w:cs="Arial"/>
          <w:color w:val="000000" w:themeColor="text1"/>
          <w:sz w:val="22"/>
          <w:lang w:val="es-ES_tradnl"/>
        </w:rPr>
        <w:lastRenderedPageBreak/>
        <w:t>entidades estatales, a pesar del margen amplio de discrecionalidad, no pueden establecer, a través de dicho acto administrativo, causales de inhabilidad o incompatibilidad para contratar que no estén previstas por la Constitución y la Ley.</w:t>
      </w:r>
    </w:p>
    <w:p w:rsidRPr="009C3A2B" w:rsidR="00EC3E71" w:rsidP="003B429A" w:rsidRDefault="00EC3E71" w14:paraId="2519BBF4" w14:textId="77777777">
      <w:pPr>
        <w:tabs>
          <w:tab w:val="left" w:pos="426"/>
        </w:tabs>
        <w:spacing w:line="276" w:lineRule="auto"/>
        <w:jc w:val="both"/>
        <w:rPr>
          <w:rFonts w:ascii="Arial" w:hAnsi="Arial" w:eastAsia="Calibri" w:cs="Arial"/>
          <w:color w:val="000000" w:themeColor="text1"/>
          <w:sz w:val="22"/>
          <w:lang w:val="es-ES_tradnl"/>
        </w:rPr>
      </w:pPr>
    </w:p>
    <w:p w:rsidRPr="009C3A2B" w:rsidR="00F1108B" w:rsidP="003B429A" w:rsidRDefault="00F1108B" w14:paraId="7CC88A7D" w14:textId="77777777">
      <w:pPr>
        <w:spacing w:before="120" w:line="276" w:lineRule="auto"/>
        <w:jc w:val="both"/>
        <w:rPr>
          <w:rFonts w:ascii="Arial" w:hAnsi="Arial" w:eastAsia="Calibri" w:cs="Arial"/>
          <w:color w:val="000000" w:themeColor="text1"/>
          <w:sz w:val="22"/>
        </w:rPr>
      </w:pPr>
      <w:r w:rsidRPr="009C3A2B">
        <w:rPr>
          <w:rFonts w:ascii="Arial" w:hAnsi="Arial" w:eastAsia="Calibri" w:cs="Arial"/>
          <w:color w:val="000000" w:themeColor="text1"/>
          <w:sz w:val="22"/>
        </w:rPr>
        <w:t>Este concepto tiene el alcance previsto en el artículo 28 del Código de Procedimiento Administrativo y de lo Contencioso Administrativo.</w:t>
      </w:r>
    </w:p>
    <w:p w:rsidRPr="009C3A2B" w:rsidR="00A37FB6" w:rsidP="00D01760" w:rsidRDefault="00A37FB6" w14:paraId="43D2F84E" w14:textId="77777777">
      <w:pPr>
        <w:spacing w:line="276" w:lineRule="auto"/>
        <w:jc w:val="both"/>
        <w:rPr>
          <w:rFonts w:ascii="Arial" w:hAnsi="Arial" w:eastAsia="Calibri" w:cs="Arial"/>
          <w:color w:val="000000" w:themeColor="text1"/>
          <w:sz w:val="22"/>
        </w:rPr>
      </w:pPr>
    </w:p>
    <w:p w:rsidRPr="009C3A2B" w:rsidR="00A37FB6" w:rsidP="00D01760" w:rsidRDefault="00A37FB6" w14:paraId="0F8C901F" w14:textId="77777777">
      <w:pPr>
        <w:jc w:val="both"/>
        <w:rPr>
          <w:rFonts w:ascii="Arial" w:hAnsi="Arial" w:eastAsia="Calibri" w:cs="Arial"/>
          <w:color w:val="000000" w:themeColor="text1"/>
          <w:sz w:val="22"/>
        </w:rPr>
      </w:pPr>
      <w:r w:rsidRPr="009C3A2B">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3CE9CC90">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rsidRPr="009C3A2B" w:rsidR="00A37FB6" w:rsidP="00D01760" w:rsidRDefault="00A37FB6" w14:paraId="1E81A930" w14:textId="77777777">
      <w:pPr>
        <w:rPr>
          <w:rFonts w:ascii="Arial" w:hAnsi="Arial" w:eastAsia="Times New Roman" w:cs="Arial"/>
          <w:color w:val="000000" w:themeColor="text1"/>
          <w:sz w:val="22"/>
          <w:lang w:eastAsia="es-CO"/>
        </w:rPr>
      </w:pPr>
      <w:r w:rsidRPr="009C3A2B">
        <w:rPr>
          <w:rFonts w:ascii="Arial" w:hAnsi="Arial" w:eastAsia="Times New Roman" w:cs="Arial"/>
          <w:color w:val="000000" w:themeColor="text1"/>
          <w:sz w:val="22"/>
          <w:lang w:eastAsia="es-CO"/>
        </w:rPr>
        <w:t>Atentamente,</w:t>
      </w:r>
    </w:p>
    <w:p w:rsidR="00746E08" w:rsidP="00746E08" w:rsidRDefault="003C7573" w14:paraId="57DD1EBD" w14:textId="7670D774">
      <w:pPr>
        <w:jc w:val="center"/>
        <w:rPr>
          <w:rFonts w:ascii="Arial" w:hAnsi="Arial" w:eastAsia="Times New Roman" w:cs="Arial"/>
          <w:color w:val="000000" w:themeColor="text1"/>
          <w:sz w:val="18"/>
          <w:szCs w:val="20"/>
          <w:lang w:eastAsia="es-CO"/>
        </w:rPr>
      </w:pPr>
      <w:r w:rsidR="003C7573">
        <w:drawing>
          <wp:inline wp14:editId="118DBC3C" wp14:anchorId="341E92BD">
            <wp:extent cx="2773045" cy="988695"/>
            <wp:effectExtent l="0" t="0" r="0" b="0"/>
            <wp:docPr id="362255841" name="Imagen 4" title=""/>
            <wp:cNvGraphicFramePr>
              <a:graphicFrameLocks/>
            </wp:cNvGraphicFramePr>
            <a:graphic>
              <a:graphicData uri="http://schemas.openxmlformats.org/drawingml/2006/picture">
                <pic:pic>
                  <pic:nvPicPr>
                    <pic:cNvPr id="0" name="Imagen 4"/>
                    <pic:cNvPicPr/>
                  </pic:nvPicPr>
                  <pic:blipFill>
                    <a:blip r:embed="Rb7ce8a24e72d43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9C3A2B" w:rsidR="003C7573" w:rsidP="00746E08" w:rsidRDefault="003C7573" w14:paraId="62067134"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C3A2B" w:rsidR="009C3A2B" w:rsidTr="003432C8" w14:paraId="469202AF" w14:textId="77777777">
        <w:trPr>
          <w:trHeight w:val="315"/>
        </w:trPr>
        <w:tc>
          <w:tcPr>
            <w:tcW w:w="812" w:type="dxa"/>
            <w:vAlign w:val="center"/>
            <w:hideMark/>
          </w:tcPr>
          <w:p w:rsidRPr="009C3A2B" w:rsidR="00746E08" w:rsidRDefault="00746E08" w14:paraId="3F62A0B3" w14:textId="77777777">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9C3A2B" w:rsidR="00746E08" w:rsidRDefault="00A668BA" w14:paraId="0E5D7285" w14:textId="77777777">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 xml:space="preserve">Juan David Montoya Penagos </w:t>
            </w:r>
          </w:p>
          <w:p w:rsidRPr="009C3A2B" w:rsidR="00EC3E71" w:rsidRDefault="00B23228" w14:paraId="51C325E7" w14:textId="39E88FF5">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Contratista Subdirección de Gestión Contractual</w:t>
            </w:r>
          </w:p>
        </w:tc>
      </w:tr>
      <w:tr w:rsidRPr="009C3A2B" w:rsidR="009C3A2B" w:rsidTr="003432C8" w14:paraId="10BC78E8" w14:textId="77777777">
        <w:trPr>
          <w:trHeight w:val="330"/>
        </w:trPr>
        <w:tc>
          <w:tcPr>
            <w:tcW w:w="812" w:type="dxa"/>
            <w:vAlign w:val="center"/>
            <w:hideMark/>
          </w:tcPr>
          <w:p w:rsidRPr="009C3A2B" w:rsidR="00746E08" w:rsidRDefault="00746E08" w14:paraId="6A7DBF66" w14:textId="77777777">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C3A2B" w:rsidR="00746E08" w:rsidP="00746E08" w:rsidRDefault="00746E08" w14:paraId="644949D7" w14:textId="77777777">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Fabián Gonzalo Marín Cortés</w:t>
            </w:r>
          </w:p>
          <w:p w:rsidRPr="009C3A2B" w:rsidR="00746E08" w:rsidRDefault="00746E08" w14:paraId="19E8BD8D" w14:textId="69868F8E">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Subdirector de Gestión Contractual</w:t>
            </w:r>
          </w:p>
        </w:tc>
      </w:tr>
      <w:tr w:rsidRPr="009C3A2B" w:rsidR="00746E08" w:rsidTr="003432C8" w14:paraId="50741B38" w14:textId="77777777">
        <w:trPr>
          <w:trHeight w:val="300"/>
        </w:trPr>
        <w:tc>
          <w:tcPr>
            <w:tcW w:w="812" w:type="dxa"/>
            <w:vAlign w:val="center"/>
            <w:hideMark/>
          </w:tcPr>
          <w:p w:rsidRPr="009C3A2B" w:rsidR="00746E08" w:rsidRDefault="00746E08" w14:paraId="297715FA" w14:textId="77777777">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C3A2B" w:rsidR="00746E08" w:rsidP="00746E08" w:rsidRDefault="00746E08" w14:paraId="036F6A2F" w14:textId="77777777">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Fabián Gonzalo Marín Cortés</w:t>
            </w:r>
          </w:p>
          <w:p w:rsidRPr="009C3A2B" w:rsidR="00746E08" w:rsidRDefault="00746E08" w14:paraId="17847B1F" w14:textId="71EB0D70">
            <w:pPr>
              <w:rPr>
                <w:rFonts w:ascii="Arial" w:hAnsi="Arial" w:eastAsia="Times New Roman" w:cs="Arial"/>
                <w:color w:val="000000" w:themeColor="text1"/>
                <w:sz w:val="16"/>
                <w:szCs w:val="16"/>
                <w:lang w:eastAsia="es-ES"/>
              </w:rPr>
            </w:pPr>
            <w:r w:rsidRPr="009C3A2B">
              <w:rPr>
                <w:rFonts w:ascii="Arial" w:hAnsi="Arial" w:eastAsia="Times New Roman" w:cs="Arial"/>
                <w:color w:val="000000" w:themeColor="text1"/>
                <w:sz w:val="16"/>
                <w:szCs w:val="16"/>
                <w:lang w:eastAsia="es-ES"/>
              </w:rPr>
              <w:t>Subdirector de Gestión Contractual</w:t>
            </w:r>
          </w:p>
        </w:tc>
      </w:tr>
    </w:tbl>
    <w:p w:rsidRPr="009C3A2B" w:rsidR="00746E08" w:rsidP="00746E08" w:rsidRDefault="00746E08" w14:paraId="35B56F46" w14:textId="77777777">
      <w:pPr>
        <w:rPr>
          <w:rFonts w:ascii="Arial" w:hAnsi="Arial" w:eastAsia="Times New Roman" w:cs="Arial"/>
          <w:color w:val="000000" w:themeColor="text1"/>
          <w:sz w:val="16"/>
          <w:szCs w:val="16"/>
          <w:lang w:eastAsia="es-ES"/>
        </w:rPr>
      </w:pPr>
    </w:p>
    <w:sectPr w:rsidRPr="009C3A2B"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5F69" w:rsidRDefault="00C35F69" w14:paraId="0CA42E0C" w14:textId="77777777">
      <w:r>
        <w:separator/>
      </w:r>
    </w:p>
  </w:endnote>
  <w:endnote w:type="continuationSeparator" w:id="0">
    <w:p w:rsidR="00C35F69" w:rsidRDefault="00C35F69" w14:paraId="0BCA1D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8217B7" w14:paraId="62F02A34" w14:textId="77777777">
    <w:pPr>
      <w:pStyle w:val="Sinespaciado"/>
      <w:jc w:val="right"/>
      <w:rPr>
        <w:rFonts w:ascii="Arial" w:hAnsi="Arial" w:cs="Arial"/>
        <w:sz w:val="18"/>
        <w:szCs w:val="18"/>
      </w:rPr>
    </w:pPr>
  </w:p>
  <w:p w:rsidRPr="008217B7" w:rsidR="00FE42ED" w:rsidP="00FE42ED" w:rsidRDefault="008F538E" w14:paraId="7A3785F3" w14:textId="2BD73F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B37EE9">
      <w:rPr>
        <w:rFonts w:ascii="Arial" w:hAnsi="Arial" w:cs="Arial"/>
        <w:b/>
        <w:bCs/>
        <w:noProof/>
        <w:color w:val="7F7F7F" w:themeColor="text1" w:themeTint="80"/>
        <w:sz w:val="16"/>
        <w:szCs w:val="16"/>
      </w:rPr>
      <w:t>13</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B37EE9">
      <w:rPr>
        <w:rFonts w:ascii="Arial" w:hAnsi="Arial" w:cs="Arial"/>
        <w:b/>
        <w:bCs/>
        <w:noProof/>
        <w:color w:val="7F7F7F" w:themeColor="text1" w:themeTint="80"/>
        <w:sz w:val="16"/>
        <w:szCs w:val="16"/>
      </w:rPr>
      <w:t>13</w:t>
    </w:r>
    <w:r w:rsidRPr="00084B97" w:rsidR="00FE42ED">
      <w:rPr>
        <w:rFonts w:ascii="Arial" w:hAnsi="Arial" w:cs="Arial"/>
        <w:b/>
        <w:bCs/>
        <w:color w:val="7F7F7F" w:themeColor="text1" w:themeTint="80"/>
        <w:sz w:val="16"/>
        <w:szCs w:val="16"/>
      </w:rPr>
      <w:fldChar w:fldCharType="end"/>
    </w:r>
  </w:p>
  <w:p w:rsidR="009047C5" w:rsidP="00322937" w:rsidRDefault="007B0854" w14:paraId="48FC6A04" w14:textId="5FD1A7C9">
    <w:pPr>
      <w:pStyle w:val="Piedepgina"/>
      <w:jc w:val="center"/>
      <w:rPr>
        <w:lang w:val="es-ES"/>
      </w:rPr>
    </w:pPr>
    <w:r w:rsidR="52B7F709">
      <w:drawing>
        <wp:inline wp14:editId="6683E62C" wp14:anchorId="608B196D">
          <wp:extent cx="3700130" cy="519139"/>
          <wp:effectExtent l="0" t="0" r="0" b="0"/>
          <wp:docPr id="1890163166" name="Imagen 3" title=""/>
          <wp:cNvGraphicFramePr>
            <a:graphicFrameLocks noChangeAspect="1"/>
          </wp:cNvGraphicFramePr>
          <a:graphic>
            <a:graphicData uri="http://schemas.openxmlformats.org/drawingml/2006/picture">
              <pic:pic>
                <pic:nvPicPr>
                  <pic:cNvPr id="0" name="Imagen 3"/>
                  <pic:cNvPicPr/>
                </pic:nvPicPr>
                <pic:blipFill>
                  <a:blip r:embed="Rc1a6699b9c704fe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2937" w:rsidP="007B0854" w:rsidRDefault="00322937" w14:paraId="5D0E988C" w14:textId="77777777">
    <w:pPr>
      <w:pStyle w:val="Piedepgina"/>
      <w:jc w:val="center"/>
      <w:rPr>
        <w:lang w:val="es-ES"/>
      </w:rPr>
    </w:pP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5F69" w:rsidRDefault="00C35F69" w14:paraId="1BF6A790" w14:textId="77777777">
      <w:r>
        <w:separator/>
      </w:r>
    </w:p>
  </w:footnote>
  <w:footnote w:type="continuationSeparator" w:id="0">
    <w:p w:rsidR="00C35F69" w:rsidRDefault="00C35F69" w14:paraId="362269C7" w14:textId="77777777">
      <w:r>
        <w:continuationSeparator/>
      </w:r>
    </w:p>
  </w:footnote>
  <w:footnote w:id="1">
    <w:p w:rsidRPr="009C3A2B" w:rsidR="00A965EA" w:rsidP="001E17CA" w:rsidRDefault="00A965EA" w14:paraId="5A1418E5" w14:textId="0D36E2EF">
      <w:pPr>
        <w:pStyle w:val="Textonotapie"/>
        <w:ind w:firstLine="708"/>
        <w:jc w:val="both"/>
        <w:rPr>
          <w:rFonts w:ascii="Arial" w:hAnsi="Arial" w:cs="Arial"/>
          <w:color w:val="000000" w:themeColor="text1"/>
          <w:sz w:val="19"/>
          <w:szCs w:val="19"/>
          <w:lang w:val="es-ES"/>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w:t>
      </w:r>
      <w:r w:rsidRPr="009C3A2B" w:rsidR="00FF5FA6">
        <w:rPr>
          <w:rFonts w:ascii="Arial" w:hAnsi="Arial" w:cs="Arial"/>
          <w:color w:val="000000" w:themeColor="text1"/>
          <w:sz w:val="19"/>
          <w:szCs w:val="19"/>
        </w:rPr>
        <w:t xml:space="preserve">CONSEJO DE ESTADO. Sección Tercera. Sentencia </w:t>
      </w:r>
      <w:r w:rsidRPr="009C3A2B" w:rsidR="00245778">
        <w:rPr>
          <w:rFonts w:ascii="Arial" w:hAnsi="Arial" w:cs="Arial"/>
          <w:color w:val="000000" w:themeColor="text1"/>
          <w:sz w:val="19"/>
          <w:szCs w:val="19"/>
        </w:rPr>
        <w:t xml:space="preserve">del </w:t>
      </w:r>
      <w:r w:rsidRPr="009C3A2B" w:rsidR="00FF5FA6">
        <w:rPr>
          <w:rFonts w:ascii="Arial" w:hAnsi="Arial" w:cs="Arial"/>
          <w:color w:val="000000" w:themeColor="text1"/>
          <w:sz w:val="19"/>
          <w:szCs w:val="19"/>
        </w:rPr>
        <w:t xml:space="preserve">4 de junio de 2008. </w:t>
      </w:r>
      <w:proofErr w:type="spellStart"/>
      <w:r w:rsidRPr="009C3A2B" w:rsidR="00FF5FA6">
        <w:rPr>
          <w:rFonts w:ascii="Arial" w:hAnsi="Arial" w:cs="Arial"/>
          <w:color w:val="000000" w:themeColor="text1"/>
          <w:sz w:val="19"/>
          <w:szCs w:val="19"/>
        </w:rPr>
        <w:t>Exp</w:t>
      </w:r>
      <w:proofErr w:type="spellEnd"/>
      <w:r w:rsidRPr="009C3A2B" w:rsidR="00FF5FA6">
        <w:rPr>
          <w:rFonts w:ascii="Arial" w:hAnsi="Arial" w:cs="Arial"/>
          <w:color w:val="000000" w:themeColor="text1"/>
          <w:sz w:val="19"/>
          <w:szCs w:val="19"/>
        </w:rPr>
        <w:t xml:space="preserve">. 17.783. </w:t>
      </w:r>
      <w:r w:rsidRPr="009C3A2B" w:rsidR="001E17CA">
        <w:rPr>
          <w:rFonts w:ascii="Arial" w:hAnsi="Arial" w:cs="Arial"/>
          <w:color w:val="000000" w:themeColor="text1"/>
          <w:sz w:val="19"/>
          <w:szCs w:val="19"/>
        </w:rPr>
        <w:t>C</w:t>
      </w:r>
      <w:r w:rsidRPr="009C3A2B" w:rsidR="00FF5FA6">
        <w:rPr>
          <w:rFonts w:ascii="Arial" w:hAnsi="Arial" w:cs="Arial"/>
          <w:color w:val="000000" w:themeColor="text1"/>
          <w:sz w:val="19"/>
          <w:szCs w:val="19"/>
        </w:rPr>
        <w:t>.P. Myriam Guerrero de Escobar.</w:t>
      </w:r>
    </w:p>
  </w:footnote>
  <w:footnote w:id="2">
    <w:p w:rsidRPr="009C3A2B" w:rsidR="00435489" w:rsidP="001E17CA" w:rsidRDefault="00435489" w14:paraId="53010D74" w14:textId="0D07BE6F">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CONSEJO DE ESTADO. Sección Tercera. Subsección B. Sentencia del 11 de diciembre de 2015. </w:t>
      </w:r>
      <w:proofErr w:type="spellStart"/>
      <w:r w:rsidRPr="009C3A2B">
        <w:rPr>
          <w:rFonts w:ascii="Arial" w:hAnsi="Arial" w:cs="Arial"/>
          <w:color w:val="000000" w:themeColor="text1"/>
          <w:sz w:val="19"/>
          <w:szCs w:val="19"/>
        </w:rPr>
        <w:t>Exp</w:t>
      </w:r>
      <w:proofErr w:type="spellEnd"/>
      <w:r w:rsidRPr="009C3A2B">
        <w:rPr>
          <w:rFonts w:ascii="Arial" w:hAnsi="Arial" w:cs="Arial"/>
          <w:color w:val="000000" w:themeColor="text1"/>
          <w:sz w:val="19"/>
          <w:szCs w:val="19"/>
        </w:rPr>
        <w:t xml:space="preserve">. 26.496. </w:t>
      </w:r>
      <w:r w:rsidRPr="009C3A2B" w:rsidR="001E17CA">
        <w:rPr>
          <w:rFonts w:ascii="Arial" w:hAnsi="Arial" w:cs="Arial"/>
          <w:color w:val="000000" w:themeColor="text1"/>
          <w:sz w:val="19"/>
          <w:szCs w:val="19"/>
        </w:rPr>
        <w:t>C</w:t>
      </w:r>
      <w:r w:rsidRPr="009C3A2B">
        <w:rPr>
          <w:rFonts w:ascii="Arial" w:hAnsi="Arial" w:cs="Arial"/>
          <w:color w:val="000000" w:themeColor="text1"/>
          <w:sz w:val="19"/>
          <w:szCs w:val="19"/>
        </w:rPr>
        <w:t>.P. Ramiro de Jesús Pazos Guerrero.</w:t>
      </w:r>
    </w:p>
    <w:p w:rsidRPr="009C3A2B" w:rsidR="00444883" w:rsidP="001E17CA" w:rsidRDefault="00444883" w14:paraId="7D215F18" w14:textId="77777777">
      <w:pPr>
        <w:pStyle w:val="Textonotapie"/>
        <w:ind w:firstLine="708"/>
        <w:jc w:val="both"/>
        <w:rPr>
          <w:rFonts w:ascii="Arial" w:hAnsi="Arial" w:cs="Arial"/>
          <w:color w:val="000000" w:themeColor="text1"/>
          <w:sz w:val="19"/>
          <w:szCs w:val="19"/>
          <w:lang w:val="es-ES"/>
        </w:rPr>
      </w:pPr>
    </w:p>
  </w:footnote>
  <w:footnote w:id="3">
    <w:p w:rsidRPr="009C3A2B" w:rsidR="000E2ABF" w:rsidP="001E17CA" w:rsidRDefault="000E2ABF" w14:paraId="30177B5B" w14:textId="25425204">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w:t>
      </w:r>
      <w:r w:rsidRPr="009C3A2B" w:rsidR="001E17CA">
        <w:rPr>
          <w:rFonts w:ascii="Arial" w:hAnsi="Arial" w:cs="Arial"/>
          <w:color w:val="000000" w:themeColor="text1"/>
          <w:sz w:val="19"/>
          <w:szCs w:val="19"/>
        </w:rPr>
        <w:t>CORTE CONSTITUCIONAL</w:t>
      </w:r>
      <w:r w:rsidRPr="009C3A2B">
        <w:rPr>
          <w:rFonts w:ascii="Arial" w:hAnsi="Arial" w:cs="Arial"/>
          <w:color w:val="000000" w:themeColor="text1"/>
          <w:sz w:val="19"/>
          <w:szCs w:val="19"/>
        </w:rPr>
        <w:t>. Sentencia C-1016 de 2012. M.P</w:t>
      </w:r>
      <w:r w:rsidRPr="009C3A2B" w:rsidR="001E17CA">
        <w:rPr>
          <w:rFonts w:ascii="Arial" w:hAnsi="Arial" w:cs="Arial"/>
          <w:color w:val="000000" w:themeColor="text1"/>
          <w:sz w:val="19"/>
          <w:szCs w:val="19"/>
        </w:rPr>
        <w:t>.</w:t>
      </w:r>
      <w:r w:rsidRPr="009C3A2B">
        <w:rPr>
          <w:rFonts w:ascii="Arial" w:hAnsi="Arial" w:cs="Arial"/>
          <w:color w:val="000000" w:themeColor="text1"/>
          <w:sz w:val="19"/>
          <w:szCs w:val="19"/>
        </w:rPr>
        <w:t xml:space="preserve"> Jorge Iván Palacio. </w:t>
      </w:r>
    </w:p>
    <w:p w:rsidRPr="009C3A2B" w:rsidR="000E2ABF" w:rsidP="001E17CA" w:rsidRDefault="000E2ABF" w14:paraId="0FE40D08" w14:textId="77777777">
      <w:pPr>
        <w:pStyle w:val="Textonotapie"/>
        <w:ind w:firstLine="708"/>
        <w:jc w:val="both"/>
        <w:rPr>
          <w:rFonts w:ascii="Arial" w:hAnsi="Arial" w:cs="Arial"/>
          <w:color w:val="000000" w:themeColor="text1"/>
          <w:sz w:val="19"/>
          <w:szCs w:val="19"/>
        </w:rPr>
      </w:pPr>
    </w:p>
  </w:footnote>
  <w:footnote w:id="4">
    <w:p w:rsidRPr="009C3A2B" w:rsidR="00CE2D4E" w:rsidP="001E17CA" w:rsidRDefault="00CE2D4E" w14:paraId="6EE23919" w14:textId="3550F832">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w:t>
      </w:r>
      <w:r w:rsidRPr="009C3A2B" w:rsidR="001E17CA">
        <w:rPr>
          <w:rFonts w:ascii="Arial" w:hAnsi="Arial" w:cs="Arial"/>
          <w:color w:val="000000" w:themeColor="text1"/>
          <w:sz w:val="19"/>
          <w:szCs w:val="19"/>
        </w:rPr>
        <w:t>CONSEJO DE ESTADO</w:t>
      </w:r>
      <w:r w:rsidRPr="009C3A2B">
        <w:rPr>
          <w:rFonts w:ascii="Arial" w:hAnsi="Arial" w:cs="Arial"/>
          <w:color w:val="000000" w:themeColor="text1"/>
          <w:sz w:val="19"/>
          <w:szCs w:val="19"/>
        </w:rPr>
        <w:t xml:space="preserve">. Sección Tercera, Subsección A. Sentencia del 13 de noviembre de 2013. </w:t>
      </w:r>
      <w:r w:rsidRPr="009C3A2B" w:rsidR="001E17CA">
        <w:rPr>
          <w:rFonts w:ascii="Arial" w:hAnsi="Arial" w:cs="Arial"/>
          <w:color w:val="000000" w:themeColor="text1"/>
          <w:sz w:val="19"/>
          <w:szCs w:val="19"/>
        </w:rPr>
        <w:t>Rad. 25.646.</w:t>
      </w:r>
      <w:r w:rsidRPr="009C3A2B">
        <w:rPr>
          <w:rFonts w:ascii="Arial" w:hAnsi="Arial" w:cs="Arial"/>
          <w:color w:val="000000" w:themeColor="text1"/>
          <w:sz w:val="19"/>
          <w:szCs w:val="19"/>
        </w:rPr>
        <w:t xml:space="preserve">C.P. Mauricio Fajardo Gómez. </w:t>
      </w:r>
    </w:p>
    <w:p w:rsidRPr="009C3A2B" w:rsidR="00CE2D4E" w:rsidP="001E17CA" w:rsidRDefault="00CE2D4E" w14:paraId="77B56FA3" w14:textId="77777777">
      <w:pPr>
        <w:pStyle w:val="Textonotapie"/>
        <w:ind w:firstLine="708"/>
        <w:jc w:val="both"/>
        <w:rPr>
          <w:rFonts w:ascii="Arial" w:hAnsi="Arial" w:cs="Arial"/>
          <w:color w:val="000000" w:themeColor="text1"/>
          <w:sz w:val="19"/>
          <w:szCs w:val="19"/>
        </w:rPr>
      </w:pPr>
    </w:p>
  </w:footnote>
  <w:footnote w:id="5">
    <w:p w:rsidRPr="009C3A2B" w:rsidR="0079612B" w:rsidP="001E17CA" w:rsidRDefault="0079612B" w14:paraId="5C4B760F" w14:textId="4CC48FD9">
      <w:pPr>
        <w:pStyle w:val="Textonotapie"/>
        <w:ind w:firstLine="708"/>
        <w:jc w:val="both"/>
        <w:rPr>
          <w:rFonts w:ascii="Arial" w:hAnsi="Arial" w:cs="Arial"/>
          <w:color w:val="000000" w:themeColor="text1"/>
          <w:sz w:val="19"/>
          <w:szCs w:val="19"/>
        </w:rPr>
      </w:pPr>
      <w:r w:rsidRPr="009C3A2B">
        <w:rPr>
          <w:rFonts w:ascii="Arial" w:hAnsi="Arial" w:cs="Arial"/>
          <w:color w:val="000000" w:themeColor="text1"/>
          <w:sz w:val="19"/>
          <w:szCs w:val="19"/>
          <w:vertAlign w:val="superscript"/>
        </w:rPr>
        <w:footnoteRef/>
      </w:r>
      <w:r w:rsidRPr="009C3A2B">
        <w:rPr>
          <w:rFonts w:ascii="Arial" w:hAnsi="Arial" w:cs="Arial"/>
          <w:color w:val="000000" w:themeColor="text1"/>
          <w:sz w:val="19"/>
          <w:szCs w:val="19"/>
        </w:rPr>
        <w:t xml:space="preserve"> CORTE CONSTITUCIONAL. Sentencia C-415 de 1994. M.P. Eduardo Cifuentes Muñoz. </w:t>
      </w:r>
    </w:p>
    <w:p w:rsidRPr="009C3A2B" w:rsidR="00EA0714" w:rsidP="001E17CA" w:rsidRDefault="00EA0714" w14:paraId="2BCF5100" w14:textId="77777777">
      <w:pPr>
        <w:pStyle w:val="Textonotapie"/>
        <w:ind w:firstLine="708"/>
        <w:jc w:val="both"/>
        <w:rPr>
          <w:rFonts w:ascii="Arial" w:hAnsi="Arial" w:cs="Arial"/>
          <w:color w:val="000000" w:themeColor="text1"/>
          <w:sz w:val="19"/>
          <w:szCs w:val="19"/>
        </w:rPr>
      </w:pPr>
    </w:p>
  </w:footnote>
  <w:footnote w:id="6">
    <w:p w:rsidRPr="009C3A2B" w:rsidR="0079612B" w:rsidP="001E17CA" w:rsidRDefault="0079612B" w14:paraId="691150BA" w14:textId="182125A3">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w:t>
      </w:r>
      <w:r w:rsidRPr="009C3A2B">
        <w:rPr>
          <w:rFonts w:ascii="Arial" w:hAnsi="Arial" w:cs="Arial"/>
          <w:i/>
          <w:iCs/>
          <w:color w:val="000000" w:themeColor="text1"/>
          <w:sz w:val="19"/>
          <w:szCs w:val="19"/>
        </w:rPr>
        <w:t>Ibid</w:t>
      </w:r>
      <w:r w:rsidRPr="009C3A2B">
        <w:rPr>
          <w:rFonts w:ascii="Arial" w:hAnsi="Arial" w:cs="Arial"/>
          <w:color w:val="000000" w:themeColor="text1"/>
          <w:sz w:val="19"/>
          <w:szCs w:val="19"/>
        </w:rPr>
        <w:t xml:space="preserve">. </w:t>
      </w:r>
    </w:p>
  </w:footnote>
  <w:footnote w:id="7">
    <w:p w:rsidRPr="009C3A2B" w:rsidR="0079612B" w:rsidP="001E17CA" w:rsidRDefault="0079612B" w14:paraId="4C7C711B" w14:textId="3631B552">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Cfr. CORTE CONSTITUCIONAL. Sentencia C-780 de 2001. M.P. Jaime Córdoba Triviño. </w:t>
      </w:r>
    </w:p>
    <w:p w:rsidRPr="009C3A2B" w:rsidR="0079612B" w:rsidP="001E17CA" w:rsidRDefault="0079612B" w14:paraId="5D0BFD49" w14:textId="77777777">
      <w:pPr>
        <w:pStyle w:val="Textonotapie"/>
        <w:ind w:firstLine="708"/>
        <w:jc w:val="both"/>
        <w:rPr>
          <w:rFonts w:ascii="Arial" w:hAnsi="Arial" w:cs="Arial"/>
          <w:color w:val="000000" w:themeColor="text1"/>
          <w:sz w:val="19"/>
          <w:szCs w:val="19"/>
        </w:rPr>
      </w:pPr>
    </w:p>
  </w:footnote>
  <w:footnote w:id="8">
    <w:p w:rsidRPr="009C3A2B" w:rsidR="005323A1" w:rsidP="001E17CA" w:rsidRDefault="005323A1" w14:paraId="5D17D08C" w14:textId="6255E289">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CONSEJO DE ESTADO. Sección Tercera, Subsección A. Sentencia del 14 de marzo de 2013. Rad. 24.059. C.P. Mauricio Fajardo Gómez.</w:t>
      </w:r>
    </w:p>
  </w:footnote>
  <w:footnote w:id="9">
    <w:p w:rsidRPr="009C3A2B" w:rsidR="005323A1" w:rsidP="001E17CA" w:rsidRDefault="005323A1" w14:paraId="75A86E5C" w14:textId="0CD46F79">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w:t>
      </w:r>
      <w:proofErr w:type="spellStart"/>
      <w:r w:rsidRPr="009C3A2B" w:rsidR="001E17CA">
        <w:rPr>
          <w:rFonts w:ascii="Arial" w:hAnsi="Arial" w:cs="Arial"/>
          <w:i/>
          <w:iCs/>
          <w:color w:val="000000" w:themeColor="text1"/>
          <w:sz w:val="19"/>
          <w:szCs w:val="19"/>
        </w:rPr>
        <w:t>Ibíd</w:t>
      </w:r>
      <w:proofErr w:type="spellEnd"/>
      <w:r w:rsidRPr="009C3A2B" w:rsidR="001E17CA">
        <w:rPr>
          <w:rFonts w:ascii="Arial" w:hAnsi="Arial" w:cs="Arial"/>
          <w:color w:val="000000" w:themeColor="text1"/>
          <w:sz w:val="19"/>
          <w:szCs w:val="19"/>
        </w:rPr>
        <w:t>.</w:t>
      </w:r>
    </w:p>
  </w:footnote>
  <w:footnote w:id="10">
    <w:p w:rsidRPr="009C3A2B" w:rsidR="0083724E" w:rsidP="001E17CA" w:rsidRDefault="0083724E" w14:paraId="57062969" w14:textId="40F4F8C5">
      <w:pPr>
        <w:pStyle w:val="Textonotapie"/>
        <w:ind w:firstLine="708"/>
        <w:jc w:val="both"/>
        <w:rPr>
          <w:rFonts w:ascii="Arial" w:hAnsi="Arial" w:cs="Arial"/>
          <w:color w:val="000000" w:themeColor="text1"/>
          <w:sz w:val="19"/>
          <w:szCs w:val="19"/>
          <w:lang w:val="es-ES"/>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CORTE CONSTITUCIONAL. Sentencia T-468 de 2003. M.P. Rodrigo Escobar Gil.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2B7F70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3899"/>
    <w:rsid w:val="000059D3"/>
    <w:rsid w:val="0001035E"/>
    <w:rsid w:val="0005657E"/>
    <w:rsid w:val="000607B8"/>
    <w:rsid w:val="00075B14"/>
    <w:rsid w:val="00080ACD"/>
    <w:rsid w:val="00084B97"/>
    <w:rsid w:val="000942EB"/>
    <w:rsid w:val="000A0158"/>
    <w:rsid w:val="000B103F"/>
    <w:rsid w:val="000B419B"/>
    <w:rsid w:val="000C639D"/>
    <w:rsid w:val="000C75EC"/>
    <w:rsid w:val="000D0ED2"/>
    <w:rsid w:val="000E2ABF"/>
    <w:rsid w:val="000F14E8"/>
    <w:rsid w:val="001019AF"/>
    <w:rsid w:val="00103915"/>
    <w:rsid w:val="001051E5"/>
    <w:rsid w:val="00113705"/>
    <w:rsid w:val="00122B23"/>
    <w:rsid w:val="00125BED"/>
    <w:rsid w:val="00125C59"/>
    <w:rsid w:val="00127AF2"/>
    <w:rsid w:val="00136BF7"/>
    <w:rsid w:val="00137FFA"/>
    <w:rsid w:val="00141245"/>
    <w:rsid w:val="00152F65"/>
    <w:rsid w:val="00160401"/>
    <w:rsid w:val="00160AC8"/>
    <w:rsid w:val="0016200B"/>
    <w:rsid w:val="00165D90"/>
    <w:rsid w:val="001A1FAE"/>
    <w:rsid w:val="001B0444"/>
    <w:rsid w:val="001B2456"/>
    <w:rsid w:val="001C3E5C"/>
    <w:rsid w:val="001C5092"/>
    <w:rsid w:val="001D5E74"/>
    <w:rsid w:val="001E17CA"/>
    <w:rsid w:val="001F2356"/>
    <w:rsid w:val="0020632A"/>
    <w:rsid w:val="002110EB"/>
    <w:rsid w:val="00211338"/>
    <w:rsid w:val="00211388"/>
    <w:rsid w:val="00213A1F"/>
    <w:rsid w:val="002304E7"/>
    <w:rsid w:val="00230E28"/>
    <w:rsid w:val="00234B84"/>
    <w:rsid w:val="00245778"/>
    <w:rsid w:val="00247712"/>
    <w:rsid w:val="00251B96"/>
    <w:rsid w:val="0029794A"/>
    <w:rsid w:val="002C4C0C"/>
    <w:rsid w:val="003033BA"/>
    <w:rsid w:val="00322937"/>
    <w:rsid w:val="00327A5C"/>
    <w:rsid w:val="0033092C"/>
    <w:rsid w:val="00336729"/>
    <w:rsid w:val="0034177C"/>
    <w:rsid w:val="003432C8"/>
    <w:rsid w:val="0034680A"/>
    <w:rsid w:val="00353DD5"/>
    <w:rsid w:val="00361911"/>
    <w:rsid w:val="003829A9"/>
    <w:rsid w:val="003856A6"/>
    <w:rsid w:val="00386456"/>
    <w:rsid w:val="00397FF0"/>
    <w:rsid w:val="003A0878"/>
    <w:rsid w:val="003A581E"/>
    <w:rsid w:val="003B09C2"/>
    <w:rsid w:val="003B3E7C"/>
    <w:rsid w:val="003B429A"/>
    <w:rsid w:val="003C1AF4"/>
    <w:rsid w:val="003C4B72"/>
    <w:rsid w:val="003C7573"/>
    <w:rsid w:val="004068B0"/>
    <w:rsid w:val="00413FFA"/>
    <w:rsid w:val="00423F9F"/>
    <w:rsid w:val="00434787"/>
    <w:rsid w:val="00435489"/>
    <w:rsid w:val="0043561A"/>
    <w:rsid w:val="004422D6"/>
    <w:rsid w:val="00444883"/>
    <w:rsid w:val="0045271D"/>
    <w:rsid w:val="00452803"/>
    <w:rsid w:val="00453B7B"/>
    <w:rsid w:val="00454217"/>
    <w:rsid w:val="00455354"/>
    <w:rsid w:val="00464030"/>
    <w:rsid w:val="00474C5E"/>
    <w:rsid w:val="004808DE"/>
    <w:rsid w:val="004861B4"/>
    <w:rsid w:val="0049241A"/>
    <w:rsid w:val="004A08D1"/>
    <w:rsid w:val="004A34D2"/>
    <w:rsid w:val="004C22F7"/>
    <w:rsid w:val="004F0AEF"/>
    <w:rsid w:val="005042B4"/>
    <w:rsid w:val="0051074C"/>
    <w:rsid w:val="00512C4F"/>
    <w:rsid w:val="00513AF2"/>
    <w:rsid w:val="0052776A"/>
    <w:rsid w:val="005323A1"/>
    <w:rsid w:val="00540068"/>
    <w:rsid w:val="0054413A"/>
    <w:rsid w:val="0055305B"/>
    <w:rsid w:val="005564CA"/>
    <w:rsid w:val="0056182B"/>
    <w:rsid w:val="005756AA"/>
    <w:rsid w:val="005813DE"/>
    <w:rsid w:val="00594FFF"/>
    <w:rsid w:val="005A1976"/>
    <w:rsid w:val="005A5A3D"/>
    <w:rsid w:val="005C5C52"/>
    <w:rsid w:val="005D51FA"/>
    <w:rsid w:val="005D791B"/>
    <w:rsid w:val="005F5F8F"/>
    <w:rsid w:val="00614817"/>
    <w:rsid w:val="00623AC2"/>
    <w:rsid w:val="00633DBF"/>
    <w:rsid w:val="00655371"/>
    <w:rsid w:val="00670B20"/>
    <w:rsid w:val="00676127"/>
    <w:rsid w:val="006908DB"/>
    <w:rsid w:val="00697665"/>
    <w:rsid w:val="006A7CB5"/>
    <w:rsid w:val="006A7FD0"/>
    <w:rsid w:val="006B7E79"/>
    <w:rsid w:val="006C12E9"/>
    <w:rsid w:val="006C488D"/>
    <w:rsid w:val="006D7687"/>
    <w:rsid w:val="006E0572"/>
    <w:rsid w:val="006E42E5"/>
    <w:rsid w:val="00705631"/>
    <w:rsid w:val="00715C29"/>
    <w:rsid w:val="00715EAA"/>
    <w:rsid w:val="0072427F"/>
    <w:rsid w:val="00725AFD"/>
    <w:rsid w:val="00742DD2"/>
    <w:rsid w:val="007441A2"/>
    <w:rsid w:val="00745035"/>
    <w:rsid w:val="00746E08"/>
    <w:rsid w:val="00747C96"/>
    <w:rsid w:val="0075094E"/>
    <w:rsid w:val="007522E8"/>
    <w:rsid w:val="0075647A"/>
    <w:rsid w:val="007634AD"/>
    <w:rsid w:val="00773BC8"/>
    <w:rsid w:val="00780F32"/>
    <w:rsid w:val="0078122E"/>
    <w:rsid w:val="0079381F"/>
    <w:rsid w:val="00795647"/>
    <w:rsid w:val="0079612B"/>
    <w:rsid w:val="007B0854"/>
    <w:rsid w:val="007B2500"/>
    <w:rsid w:val="007B656F"/>
    <w:rsid w:val="007B6EC8"/>
    <w:rsid w:val="007F22A0"/>
    <w:rsid w:val="007F6B46"/>
    <w:rsid w:val="007F72CB"/>
    <w:rsid w:val="007F785F"/>
    <w:rsid w:val="0081766B"/>
    <w:rsid w:val="008217B7"/>
    <w:rsid w:val="0083119B"/>
    <w:rsid w:val="00836EAB"/>
    <w:rsid w:val="0083724E"/>
    <w:rsid w:val="0085092D"/>
    <w:rsid w:val="00850F79"/>
    <w:rsid w:val="00857630"/>
    <w:rsid w:val="008618BB"/>
    <w:rsid w:val="00863832"/>
    <w:rsid w:val="0089774F"/>
    <w:rsid w:val="008A796E"/>
    <w:rsid w:val="008C11F0"/>
    <w:rsid w:val="008C290C"/>
    <w:rsid w:val="008C45BD"/>
    <w:rsid w:val="008D48A4"/>
    <w:rsid w:val="008D69B1"/>
    <w:rsid w:val="008E1C15"/>
    <w:rsid w:val="008E7D6E"/>
    <w:rsid w:val="008F538E"/>
    <w:rsid w:val="00902E5C"/>
    <w:rsid w:val="009047C5"/>
    <w:rsid w:val="00921379"/>
    <w:rsid w:val="00921CBF"/>
    <w:rsid w:val="00933333"/>
    <w:rsid w:val="00937401"/>
    <w:rsid w:val="0095385A"/>
    <w:rsid w:val="0095780A"/>
    <w:rsid w:val="009715D4"/>
    <w:rsid w:val="0098427D"/>
    <w:rsid w:val="009865D5"/>
    <w:rsid w:val="009953AD"/>
    <w:rsid w:val="009C3A2B"/>
    <w:rsid w:val="009E61EA"/>
    <w:rsid w:val="009F59C2"/>
    <w:rsid w:val="00A0188B"/>
    <w:rsid w:val="00A041BC"/>
    <w:rsid w:val="00A06E51"/>
    <w:rsid w:val="00A127D2"/>
    <w:rsid w:val="00A20264"/>
    <w:rsid w:val="00A24560"/>
    <w:rsid w:val="00A34538"/>
    <w:rsid w:val="00A37FB6"/>
    <w:rsid w:val="00A431FE"/>
    <w:rsid w:val="00A53E79"/>
    <w:rsid w:val="00A668BA"/>
    <w:rsid w:val="00A8043B"/>
    <w:rsid w:val="00A91512"/>
    <w:rsid w:val="00A965EA"/>
    <w:rsid w:val="00AA08E7"/>
    <w:rsid w:val="00AA442B"/>
    <w:rsid w:val="00AA669D"/>
    <w:rsid w:val="00AA7416"/>
    <w:rsid w:val="00AB5E07"/>
    <w:rsid w:val="00AC1DFC"/>
    <w:rsid w:val="00AD5BF3"/>
    <w:rsid w:val="00AF26CF"/>
    <w:rsid w:val="00B05A55"/>
    <w:rsid w:val="00B06595"/>
    <w:rsid w:val="00B13EC0"/>
    <w:rsid w:val="00B22E22"/>
    <w:rsid w:val="00B23228"/>
    <w:rsid w:val="00B26D14"/>
    <w:rsid w:val="00B37EE9"/>
    <w:rsid w:val="00B4347D"/>
    <w:rsid w:val="00B46978"/>
    <w:rsid w:val="00B525CB"/>
    <w:rsid w:val="00B63872"/>
    <w:rsid w:val="00B63CB2"/>
    <w:rsid w:val="00B64EDB"/>
    <w:rsid w:val="00B7315F"/>
    <w:rsid w:val="00B91B8E"/>
    <w:rsid w:val="00BA1382"/>
    <w:rsid w:val="00BA22FC"/>
    <w:rsid w:val="00BA4771"/>
    <w:rsid w:val="00BB4E5B"/>
    <w:rsid w:val="00BD78FE"/>
    <w:rsid w:val="00BF23A3"/>
    <w:rsid w:val="00BF7C52"/>
    <w:rsid w:val="00C04F94"/>
    <w:rsid w:val="00C165FC"/>
    <w:rsid w:val="00C32017"/>
    <w:rsid w:val="00C35F69"/>
    <w:rsid w:val="00C419E3"/>
    <w:rsid w:val="00C41E6A"/>
    <w:rsid w:val="00C50CA8"/>
    <w:rsid w:val="00C61558"/>
    <w:rsid w:val="00C624B3"/>
    <w:rsid w:val="00C63E99"/>
    <w:rsid w:val="00C93D8C"/>
    <w:rsid w:val="00CC00CD"/>
    <w:rsid w:val="00CC315F"/>
    <w:rsid w:val="00CE0566"/>
    <w:rsid w:val="00CE2D4E"/>
    <w:rsid w:val="00D01760"/>
    <w:rsid w:val="00D10E7C"/>
    <w:rsid w:val="00D13FEB"/>
    <w:rsid w:val="00D16E39"/>
    <w:rsid w:val="00D17E38"/>
    <w:rsid w:val="00D21BB5"/>
    <w:rsid w:val="00D223B6"/>
    <w:rsid w:val="00D31C6A"/>
    <w:rsid w:val="00D32256"/>
    <w:rsid w:val="00D57940"/>
    <w:rsid w:val="00D60327"/>
    <w:rsid w:val="00D72E9D"/>
    <w:rsid w:val="00D74158"/>
    <w:rsid w:val="00D75E99"/>
    <w:rsid w:val="00D82CE5"/>
    <w:rsid w:val="00D8342C"/>
    <w:rsid w:val="00D93420"/>
    <w:rsid w:val="00D93726"/>
    <w:rsid w:val="00D974C8"/>
    <w:rsid w:val="00DA5AB1"/>
    <w:rsid w:val="00DB1AFF"/>
    <w:rsid w:val="00DC518A"/>
    <w:rsid w:val="00DC62E5"/>
    <w:rsid w:val="00DD5EC6"/>
    <w:rsid w:val="00DD735D"/>
    <w:rsid w:val="00DD7FA3"/>
    <w:rsid w:val="00DE02B7"/>
    <w:rsid w:val="00DE2630"/>
    <w:rsid w:val="00DE3119"/>
    <w:rsid w:val="00DF236B"/>
    <w:rsid w:val="00DF4451"/>
    <w:rsid w:val="00DF58C4"/>
    <w:rsid w:val="00E109DD"/>
    <w:rsid w:val="00E13AB8"/>
    <w:rsid w:val="00E25CB3"/>
    <w:rsid w:val="00E33B62"/>
    <w:rsid w:val="00E36CEB"/>
    <w:rsid w:val="00E4143A"/>
    <w:rsid w:val="00E42B95"/>
    <w:rsid w:val="00E56090"/>
    <w:rsid w:val="00E565B9"/>
    <w:rsid w:val="00E63F11"/>
    <w:rsid w:val="00E82D14"/>
    <w:rsid w:val="00E91454"/>
    <w:rsid w:val="00EA0714"/>
    <w:rsid w:val="00EA5464"/>
    <w:rsid w:val="00EC0E7E"/>
    <w:rsid w:val="00EC1CE7"/>
    <w:rsid w:val="00EC3E71"/>
    <w:rsid w:val="00ED587F"/>
    <w:rsid w:val="00EE59B5"/>
    <w:rsid w:val="00F1108B"/>
    <w:rsid w:val="00F25971"/>
    <w:rsid w:val="00F30727"/>
    <w:rsid w:val="00F57B72"/>
    <w:rsid w:val="00F80936"/>
    <w:rsid w:val="00F84899"/>
    <w:rsid w:val="00F859F0"/>
    <w:rsid w:val="00F87E29"/>
    <w:rsid w:val="00FB27B7"/>
    <w:rsid w:val="00FB6738"/>
    <w:rsid w:val="00FC113C"/>
    <w:rsid w:val="00FC1644"/>
    <w:rsid w:val="00FC18DC"/>
    <w:rsid w:val="00FD1C67"/>
    <w:rsid w:val="00FE141E"/>
    <w:rsid w:val="00FE42ED"/>
    <w:rsid w:val="00FE5C5A"/>
    <w:rsid w:val="00FF5FA6"/>
    <w:rsid w:val="059E63FD"/>
    <w:rsid w:val="1B2582F1"/>
    <w:rsid w:val="325AF831"/>
    <w:rsid w:val="37AF7D6F"/>
    <w:rsid w:val="3A086C72"/>
    <w:rsid w:val="52B7F709"/>
    <w:rsid w:val="5D7607EE"/>
    <w:rsid w:val="68F989BB"/>
    <w:rsid w:val="77CA56F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paragraph" w:styleId="Default" w:customStyle="1">
    <w:name w:val="Default"/>
    <w:rsid w:val="00DF58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9561265">
      <w:bodyDiv w:val="1"/>
      <w:marLeft w:val="0"/>
      <w:marRight w:val="0"/>
      <w:marTop w:val="0"/>
      <w:marBottom w:val="0"/>
      <w:divBdr>
        <w:top w:val="none" w:sz="0" w:space="0" w:color="auto"/>
        <w:left w:val="none" w:sz="0" w:space="0" w:color="auto"/>
        <w:bottom w:val="none" w:sz="0" w:space="0" w:color="auto"/>
        <w:right w:val="none" w:sz="0" w:space="0" w:color="auto"/>
      </w:divBdr>
    </w:div>
    <w:div w:id="55373762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19213531">
      <w:bodyDiv w:val="1"/>
      <w:marLeft w:val="0"/>
      <w:marRight w:val="0"/>
      <w:marTop w:val="0"/>
      <w:marBottom w:val="0"/>
      <w:divBdr>
        <w:top w:val="none" w:sz="0" w:space="0" w:color="auto"/>
        <w:left w:val="none" w:sz="0" w:space="0" w:color="auto"/>
        <w:bottom w:val="none" w:sz="0" w:space="0" w:color="auto"/>
        <w:right w:val="none" w:sz="0" w:space="0" w:color="auto"/>
      </w:divBdr>
    </w:div>
    <w:div w:id="103835417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59228076">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211197080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7ce8a24e72d43ed" /></Relationships>
</file>

<file path=word/_rels/footer1.xml.rels>&#65279;<?xml version="1.0" encoding="utf-8"?><Relationships xmlns="http://schemas.openxmlformats.org/package/2006/relationships"><Relationship Type="http://schemas.openxmlformats.org/officeDocument/2006/relationships/image" Target="/media/image5.png" Id="Rc1a6699b9c704fe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91371FC-5C17-4F62-8286-348143AD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FD025-01EC-48CA-9DA1-22419C8459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109</revision>
  <lastPrinted>2020-01-30T15:05:00.0000000Z</lastPrinted>
  <dcterms:created xsi:type="dcterms:W3CDTF">2020-02-26T18:00:00.0000000Z</dcterms:created>
  <dcterms:modified xsi:type="dcterms:W3CDTF">2020-07-23T22:41:40.7495647Z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