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0034177C" w:rsidP="005D0EC3" w:rsidRDefault="0034177C" w14:paraId="182E957B" w14:textId="2EE7AC5F">
      <w:pPr>
        <w:jc w:val="right"/>
        <w:rPr>
          <w:rFonts w:ascii="Arial" w:hAnsi="Arial" w:cs="Arial"/>
          <w:b/>
          <w:color w:val="000000" w:themeColor="text1"/>
          <w:sz w:val="16"/>
          <w:szCs w:val="16"/>
          <w:lang w:val="es-ES" w:eastAsia="es-ES"/>
        </w:rPr>
      </w:pPr>
      <w:bookmarkStart w:name="_Hlk28946138" w:id="0"/>
      <w:bookmarkStart w:name="_Hlk29548183" w:id="1"/>
      <w:r w:rsidRPr="00B5799D">
        <w:rPr>
          <w:rFonts w:ascii="Arial" w:hAnsi="Arial" w:cs="Arial"/>
          <w:b/>
          <w:color w:val="000000" w:themeColor="text1"/>
          <w:sz w:val="16"/>
          <w:szCs w:val="16"/>
          <w:lang w:val="es-ES" w:eastAsia="es-ES"/>
        </w:rPr>
        <w:t>CCE-DES-FM-17</w:t>
      </w:r>
    </w:p>
    <w:p w:rsidRPr="00B5799D" w:rsidR="00312A6F" w:rsidP="005D0EC3" w:rsidRDefault="00312A6F" w14:paraId="08CC877D" w14:textId="77777777">
      <w:pPr>
        <w:jc w:val="right"/>
        <w:rPr>
          <w:rFonts w:ascii="Arial" w:hAnsi="Arial" w:cs="Arial"/>
          <w:b/>
          <w:color w:val="000000" w:themeColor="text1"/>
          <w:sz w:val="16"/>
          <w:szCs w:val="16"/>
          <w:lang w:val="es-ES" w:eastAsia="es-ES"/>
        </w:rPr>
      </w:pPr>
    </w:p>
    <w:p w:rsidR="0034177C" w:rsidP="005D0EC3" w:rsidRDefault="00B000D8" w14:paraId="33FF83A2" w14:textId="095B7A2A">
      <w:pPr>
        <w:jc w:val="both"/>
        <w:rPr>
          <w:rFonts w:ascii="Arial" w:hAnsi="Arial" w:eastAsia="Calibri" w:cs="Arial"/>
          <w:b/>
          <w:color w:val="000000" w:themeColor="text1"/>
          <w:sz w:val="22"/>
          <w:szCs w:val="22"/>
          <w:lang w:val="es-ES"/>
        </w:rPr>
      </w:pPr>
      <w:r w:rsidRPr="00F42DF4">
        <w:rPr>
          <w:rFonts w:ascii="Arial" w:hAnsi="Arial" w:eastAsia="Calibri" w:cs="Arial"/>
          <w:b/>
          <w:color w:val="000000" w:themeColor="text1"/>
          <w:sz w:val="22"/>
          <w:szCs w:val="22"/>
          <w:lang w:val="es-ES"/>
        </w:rPr>
        <w:t>SERVICIOS PÚBLICOS DOMICILIARIOS</w:t>
      </w:r>
      <w:r w:rsidR="00D262D8">
        <w:rPr>
          <w:rFonts w:ascii="Arial" w:hAnsi="Arial" w:eastAsia="Calibri" w:cs="Arial"/>
          <w:b/>
          <w:color w:val="000000" w:themeColor="text1"/>
          <w:sz w:val="22"/>
          <w:szCs w:val="22"/>
          <w:lang w:val="es-ES"/>
        </w:rPr>
        <w:t xml:space="preserve"> –</w:t>
      </w:r>
      <w:r w:rsidRPr="00F42DF4">
        <w:rPr>
          <w:rFonts w:ascii="Arial" w:hAnsi="Arial" w:eastAsia="Calibri" w:cs="Arial"/>
          <w:b/>
          <w:color w:val="000000" w:themeColor="text1"/>
          <w:sz w:val="22"/>
          <w:szCs w:val="22"/>
          <w:lang w:val="es-ES"/>
        </w:rPr>
        <w:t xml:space="preserve"> Liberalización</w:t>
      </w:r>
    </w:p>
    <w:p w:rsidR="00E86F3E" w:rsidRDefault="00E86F3E" w14:paraId="0D912D75" w14:textId="15899548">
      <w:pPr>
        <w:tabs>
          <w:tab w:val="left" w:pos="426"/>
        </w:tabs>
        <w:jc w:val="both"/>
        <w:rPr>
          <w:rFonts w:ascii="Arial" w:hAnsi="Arial" w:eastAsia="Calibri" w:cs="Arial"/>
          <w:color w:val="000000" w:themeColor="text1"/>
          <w:sz w:val="20"/>
          <w:szCs w:val="20"/>
          <w:lang w:val="es-ES"/>
        </w:rPr>
      </w:pPr>
    </w:p>
    <w:p w:rsidR="00A53D5E" w:rsidP="0094600B" w:rsidRDefault="0094600B" w14:paraId="47EE10DB" w14:textId="088F29E6">
      <w:pPr>
        <w:tabs>
          <w:tab w:val="left" w:pos="426"/>
        </w:tabs>
        <w:jc w:val="both"/>
        <w:rPr>
          <w:rFonts w:ascii="Arial" w:hAnsi="Arial" w:eastAsia="Calibri" w:cs="Arial"/>
          <w:color w:val="000000" w:themeColor="text1"/>
          <w:sz w:val="20"/>
          <w:szCs w:val="20"/>
          <w:lang w:val="es-ES"/>
        </w:rPr>
      </w:pPr>
      <w:r w:rsidRPr="0094600B">
        <w:rPr>
          <w:rFonts w:ascii="Arial" w:hAnsi="Arial" w:eastAsia="Calibri" w:cs="Arial"/>
          <w:color w:val="000000" w:themeColor="text1"/>
          <w:sz w:val="20"/>
          <w:szCs w:val="20"/>
          <w:lang w:val="es-ES"/>
        </w:rPr>
        <w:t xml:space="preserve">El constituyente dejó al legislador definir el marco legal para los servicios públicos. Con base en la posibilidad constitucional de permitir la prestación por parte de particulares, admitió la liberalización de </w:t>
      </w:r>
      <w:proofErr w:type="gramStart"/>
      <w:r w:rsidRPr="0094600B">
        <w:rPr>
          <w:rFonts w:ascii="Arial" w:hAnsi="Arial" w:eastAsia="Calibri" w:cs="Arial"/>
          <w:color w:val="000000" w:themeColor="text1"/>
          <w:sz w:val="20"/>
          <w:szCs w:val="20"/>
          <w:lang w:val="es-ES"/>
        </w:rPr>
        <w:t>los mismos</w:t>
      </w:r>
      <w:proofErr w:type="gramEnd"/>
      <w:r w:rsidRPr="0094600B">
        <w:rPr>
          <w:rFonts w:ascii="Arial" w:hAnsi="Arial" w:eastAsia="Calibri" w:cs="Arial"/>
          <w:color w:val="000000" w:themeColor="text1"/>
          <w:sz w:val="20"/>
          <w:szCs w:val="20"/>
          <w:lang w:val="es-ES"/>
        </w:rPr>
        <w:t>. En otras palabras, se habilitó al legislador la posibilidad de permitir la entrada de los particulares como prestadores de servicios públicos. En este caso, los servicios públicos tendrán una connotación económica que acompañe los fines públicos o la finalidad social del Estado que prescribe el artículo 365 constitucional.</w:t>
      </w:r>
    </w:p>
    <w:p w:rsidRPr="00F42DF4" w:rsidR="0094600B" w:rsidP="00150EAF" w:rsidRDefault="0094600B" w14:paraId="1F54856B" w14:textId="77777777">
      <w:pPr>
        <w:tabs>
          <w:tab w:val="left" w:pos="426"/>
        </w:tabs>
        <w:jc w:val="both"/>
        <w:rPr>
          <w:rFonts w:ascii="Arial" w:hAnsi="Arial" w:eastAsia="Calibri" w:cs="Arial"/>
          <w:color w:val="000000" w:themeColor="text1"/>
          <w:sz w:val="22"/>
          <w:szCs w:val="22"/>
          <w:lang w:val="es-ES"/>
        </w:rPr>
      </w:pPr>
    </w:p>
    <w:p w:rsidR="00B000D8" w:rsidP="00150EAF" w:rsidRDefault="00B000D8" w14:paraId="1C28B49E" w14:textId="5CD3C374">
      <w:pPr>
        <w:jc w:val="both"/>
        <w:rPr>
          <w:rFonts w:ascii="Arial" w:hAnsi="Arial" w:eastAsia="Calibri" w:cs="Arial"/>
          <w:b/>
          <w:color w:val="000000" w:themeColor="text1"/>
          <w:sz w:val="22"/>
          <w:szCs w:val="22"/>
          <w:lang w:val="es-ES"/>
        </w:rPr>
      </w:pPr>
      <w:r w:rsidRPr="00F42DF4">
        <w:rPr>
          <w:rFonts w:ascii="Arial" w:hAnsi="Arial" w:eastAsia="Calibri" w:cs="Arial"/>
          <w:b/>
          <w:color w:val="000000" w:themeColor="text1"/>
          <w:sz w:val="22"/>
          <w:szCs w:val="22"/>
          <w:lang w:val="es-ES"/>
        </w:rPr>
        <w:t>EMPRESAS DE SERVICIOS PÚBLICAS MIXTAS</w:t>
      </w:r>
      <w:r w:rsidR="00D262D8">
        <w:rPr>
          <w:rFonts w:ascii="Arial" w:hAnsi="Arial" w:eastAsia="Calibri" w:cs="Arial"/>
          <w:b/>
          <w:color w:val="000000" w:themeColor="text1"/>
          <w:sz w:val="22"/>
          <w:szCs w:val="22"/>
          <w:lang w:val="es-ES"/>
        </w:rPr>
        <w:t xml:space="preserve"> –</w:t>
      </w:r>
      <w:r w:rsidRPr="00F42DF4">
        <w:rPr>
          <w:rFonts w:ascii="Arial" w:hAnsi="Arial" w:eastAsia="Calibri" w:cs="Arial"/>
          <w:b/>
          <w:color w:val="000000" w:themeColor="text1"/>
          <w:sz w:val="22"/>
          <w:szCs w:val="22"/>
          <w:lang w:val="es-ES"/>
        </w:rPr>
        <w:t xml:space="preserve"> Entidades estatales</w:t>
      </w:r>
      <w:r w:rsidR="00D262D8">
        <w:rPr>
          <w:rFonts w:ascii="Arial" w:hAnsi="Arial" w:eastAsia="Calibri" w:cs="Arial"/>
          <w:b/>
          <w:color w:val="000000" w:themeColor="text1"/>
          <w:sz w:val="22"/>
          <w:szCs w:val="22"/>
          <w:lang w:val="es-ES"/>
        </w:rPr>
        <w:t xml:space="preserve"> </w:t>
      </w:r>
    </w:p>
    <w:p w:rsidRPr="00F42DF4" w:rsidR="00D262D8" w:rsidP="00150EAF" w:rsidRDefault="00D262D8" w14:paraId="3235025F" w14:textId="77777777">
      <w:pPr>
        <w:rPr>
          <w:rFonts w:ascii="Arial" w:hAnsi="Arial" w:eastAsia="Calibri" w:cs="Arial"/>
          <w:b/>
          <w:color w:val="000000" w:themeColor="text1"/>
          <w:sz w:val="22"/>
          <w:szCs w:val="22"/>
          <w:lang w:val="es-ES"/>
        </w:rPr>
      </w:pPr>
    </w:p>
    <w:p w:rsidR="00D262D8" w:rsidP="00150EAF" w:rsidRDefault="00E86F3E" w14:paraId="749B4D54" w14:textId="31A1C3F2">
      <w:pPr>
        <w:tabs>
          <w:tab w:val="left" w:pos="426"/>
        </w:tabs>
        <w:jc w:val="both"/>
        <w:rPr>
          <w:rFonts w:ascii="Arial" w:hAnsi="Arial" w:eastAsia="Calibri" w:cs="Arial"/>
          <w:color w:val="000000" w:themeColor="text1"/>
          <w:sz w:val="20"/>
          <w:szCs w:val="20"/>
          <w:lang w:val="es-ES"/>
        </w:rPr>
      </w:pPr>
      <w:r>
        <w:rPr>
          <w:rFonts w:ascii="Arial" w:hAnsi="Arial" w:eastAsia="Calibri" w:cs="Arial"/>
          <w:color w:val="000000" w:themeColor="text1"/>
          <w:sz w:val="20"/>
          <w:szCs w:val="20"/>
          <w:lang w:val="es-ES"/>
        </w:rPr>
        <w:t>[…]</w:t>
      </w:r>
      <w:r w:rsidRPr="00A53D5E" w:rsidR="00A53D5E">
        <w:rPr>
          <w:rFonts w:ascii="Arial" w:hAnsi="Arial" w:eastAsia="Calibri" w:cs="Arial"/>
          <w:color w:val="000000" w:themeColor="text1"/>
          <w:sz w:val="20"/>
          <w:szCs w:val="20"/>
          <w:lang w:val="es-ES"/>
        </w:rPr>
        <w:t xml:space="preserve"> </w:t>
      </w:r>
      <w:r w:rsidRPr="00D35542" w:rsidR="00D35542">
        <w:rPr>
          <w:rFonts w:ascii="Arial" w:hAnsi="Arial" w:eastAsia="Calibri" w:cs="Arial"/>
          <w:color w:val="000000" w:themeColor="text1"/>
          <w:sz w:val="20"/>
          <w:szCs w:val="20"/>
          <w:lang w:val="es-ES"/>
        </w:rPr>
        <w:t>las empresas de servicios públicos mixtas son entidades estatales, al pertenecer a la rama ejecutiva del poder público, pues se entienden incluidas en el literal g) del artículo 38 de la Ley 489 de 1998. Naturalmente, la categorización de estas entidades como estatales implica la aplicación de reglas y principios del derecho público que integran su régimen jurídico</w:t>
      </w:r>
      <w:r w:rsidR="00D35542">
        <w:rPr>
          <w:rFonts w:ascii="Arial" w:hAnsi="Arial" w:eastAsia="Calibri" w:cs="Arial"/>
          <w:color w:val="000000" w:themeColor="text1"/>
          <w:sz w:val="20"/>
          <w:szCs w:val="20"/>
          <w:lang w:val="es-ES"/>
        </w:rPr>
        <w:t>.</w:t>
      </w:r>
    </w:p>
    <w:p w:rsidRPr="00F42DF4" w:rsidR="00D35542" w:rsidP="00150EAF" w:rsidRDefault="00D35542" w14:paraId="25E6D8FE" w14:textId="77777777">
      <w:pPr>
        <w:tabs>
          <w:tab w:val="left" w:pos="426"/>
        </w:tabs>
        <w:jc w:val="both"/>
        <w:rPr>
          <w:rFonts w:ascii="Arial" w:hAnsi="Arial" w:eastAsia="Calibri" w:cs="Arial"/>
          <w:iCs/>
          <w:color w:val="000000" w:themeColor="text1"/>
          <w:sz w:val="22"/>
          <w:szCs w:val="22"/>
          <w:lang w:val="es-ES"/>
        </w:rPr>
      </w:pPr>
    </w:p>
    <w:p w:rsidR="00E86F3E" w:rsidP="4AD7D661" w:rsidRDefault="00B000D8" w14:paraId="285AAE04" w14:textId="4663EF26">
      <w:pPr>
        <w:tabs>
          <w:tab w:val="left" w:pos="426"/>
        </w:tabs>
        <w:jc w:val="both"/>
        <w:rPr>
          <w:rFonts w:ascii="Arial" w:hAnsi="Arial" w:eastAsia="Calibri" w:cs="Arial"/>
          <w:b/>
          <w:bCs/>
          <w:color w:val="000000" w:themeColor="text1"/>
          <w:sz w:val="22"/>
          <w:szCs w:val="22"/>
          <w:lang w:val="es-ES"/>
        </w:rPr>
      </w:pPr>
      <w:r w:rsidRPr="4AD7D661">
        <w:rPr>
          <w:rFonts w:ascii="Arial" w:hAnsi="Arial" w:eastAsia="Calibri" w:cs="Arial"/>
          <w:b/>
          <w:bCs/>
          <w:color w:val="000000" w:themeColor="text1"/>
          <w:sz w:val="22"/>
          <w:szCs w:val="22"/>
          <w:lang w:val="es-ES"/>
        </w:rPr>
        <w:t>PLAN ANUAL DE ADQUISICIONES</w:t>
      </w:r>
      <w:r w:rsidRPr="4AD7D661" w:rsidR="00A853EC">
        <w:rPr>
          <w:rFonts w:ascii="Arial" w:hAnsi="Arial" w:eastAsia="Calibri" w:cs="Arial"/>
          <w:b/>
          <w:bCs/>
          <w:color w:val="000000" w:themeColor="text1"/>
          <w:sz w:val="22"/>
          <w:szCs w:val="22"/>
          <w:lang w:val="es-ES"/>
        </w:rPr>
        <w:t xml:space="preserve"> –</w:t>
      </w:r>
      <w:r w:rsidRPr="4AD7D661">
        <w:rPr>
          <w:rFonts w:ascii="Arial" w:hAnsi="Arial" w:eastAsia="Calibri" w:cs="Arial"/>
          <w:b/>
          <w:bCs/>
          <w:color w:val="000000" w:themeColor="text1"/>
          <w:sz w:val="22"/>
          <w:szCs w:val="22"/>
          <w:lang w:val="es-ES"/>
        </w:rPr>
        <w:t xml:space="preserve"> </w:t>
      </w:r>
      <w:r w:rsidRPr="4AD7D661" w:rsidR="00E86F3E">
        <w:rPr>
          <w:rFonts w:ascii="Arial" w:hAnsi="Arial" w:eastAsia="Calibri" w:cs="Arial"/>
          <w:b/>
          <w:bCs/>
          <w:color w:val="000000" w:themeColor="text1"/>
          <w:sz w:val="22"/>
          <w:szCs w:val="22"/>
          <w:lang w:val="es-ES"/>
        </w:rPr>
        <w:t xml:space="preserve">Entidades </w:t>
      </w:r>
      <w:r w:rsidRPr="4AD7D661" w:rsidR="26DAD617">
        <w:rPr>
          <w:rFonts w:ascii="Arial" w:hAnsi="Arial" w:eastAsia="Calibri" w:cs="Arial"/>
          <w:b/>
          <w:bCs/>
          <w:color w:val="000000" w:themeColor="text1"/>
          <w:sz w:val="22"/>
          <w:szCs w:val="22"/>
          <w:lang w:val="es-ES"/>
        </w:rPr>
        <w:t>estatales</w:t>
      </w:r>
      <w:r w:rsidRPr="4AD7D661" w:rsidR="00E86F3E">
        <w:rPr>
          <w:rFonts w:ascii="Arial" w:hAnsi="Arial" w:eastAsia="Calibri" w:cs="Arial"/>
          <w:b/>
          <w:bCs/>
          <w:color w:val="000000" w:themeColor="text1"/>
          <w:sz w:val="22"/>
          <w:szCs w:val="22"/>
          <w:lang w:val="es-ES"/>
        </w:rPr>
        <w:t xml:space="preserve"> – Concepto</w:t>
      </w:r>
    </w:p>
    <w:p w:rsidRPr="00F42DF4" w:rsidR="00D262D8" w:rsidP="00150EAF" w:rsidRDefault="00D262D8" w14:paraId="670AA867" w14:textId="77777777">
      <w:pPr>
        <w:tabs>
          <w:tab w:val="left" w:pos="426"/>
        </w:tabs>
        <w:rPr>
          <w:rFonts w:ascii="Arial" w:hAnsi="Arial" w:eastAsia="Calibri" w:cs="Arial"/>
          <w:b/>
          <w:bCs/>
          <w:iCs/>
          <w:color w:val="000000" w:themeColor="text1"/>
          <w:sz w:val="22"/>
          <w:szCs w:val="22"/>
          <w:lang w:val="es-ES"/>
        </w:rPr>
      </w:pPr>
    </w:p>
    <w:p w:rsidR="00A53D5E" w:rsidP="00D35542" w:rsidRDefault="00D35542" w14:paraId="3B60B9C1" w14:textId="092F0947">
      <w:pPr>
        <w:tabs>
          <w:tab w:val="left" w:pos="426"/>
        </w:tabs>
        <w:jc w:val="both"/>
        <w:rPr>
          <w:rFonts w:ascii="Arial" w:hAnsi="Arial" w:eastAsia="Calibri" w:cs="Arial"/>
          <w:color w:val="000000" w:themeColor="text1"/>
          <w:sz w:val="20"/>
          <w:szCs w:val="20"/>
          <w:lang w:val="es-ES"/>
        </w:rPr>
      </w:pPr>
      <w:r w:rsidRPr="00D35542">
        <w:rPr>
          <w:rFonts w:ascii="Arial" w:hAnsi="Arial" w:eastAsia="Calibri" w:cs="Arial"/>
          <w:color w:val="000000" w:themeColor="text1"/>
          <w:sz w:val="20"/>
          <w:szCs w:val="20"/>
          <w:lang w:val="es-ES"/>
        </w:rPr>
        <w:t>De todo lo dicho se desprende que el concepto «entidad del Estado» del artículo 74 de la Ley 1474 de 2011 debe ser entendido en sentido amplio e incluye, entre otras, todas las entidades pertenecientes a la Rama Ejecutiva.</w:t>
      </w:r>
    </w:p>
    <w:p w:rsidRPr="00150EAF" w:rsidR="00D35542" w:rsidP="00150EAF" w:rsidRDefault="00D35542" w14:paraId="6C839320" w14:textId="77777777">
      <w:pPr>
        <w:tabs>
          <w:tab w:val="left" w:pos="426"/>
        </w:tabs>
        <w:jc w:val="both"/>
        <w:rPr>
          <w:rFonts w:ascii="Arial" w:hAnsi="Arial" w:eastAsia="Calibri" w:cs="Arial"/>
          <w:color w:val="000000" w:themeColor="text1"/>
          <w:sz w:val="20"/>
          <w:szCs w:val="20"/>
          <w:lang w:val="es-ES"/>
        </w:rPr>
      </w:pPr>
    </w:p>
    <w:p w:rsidR="00B000D8" w:rsidP="00150EAF" w:rsidRDefault="006C6EE9" w14:paraId="1D39E023" w14:textId="4222C9CD">
      <w:pPr>
        <w:tabs>
          <w:tab w:val="left" w:pos="426"/>
        </w:tabs>
        <w:jc w:val="both"/>
        <w:rPr>
          <w:rFonts w:ascii="Arial" w:hAnsi="Arial" w:eastAsia="Calibri" w:cs="Arial"/>
          <w:b/>
          <w:bCs/>
          <w:iCs/>
          <w:color w:val="000000" w:themeColor="text1"/>
          <w:sz w:val="22"/>
          <w:szCs w:val="22"/>
          <w:lang w:val="es-ES"/>
        </w:rPr>
      </w:pPr>
      <w:r w:rsidRPr="00F42DF4">
        <w:rPr>
          <w:rFonts w:ascii="Arial" w:hAnsi="Arial" w:eastAsia="Calibri" w:cs="Arial"/>
          <w:b/>
          <w:bCs/>
          <w:iCs/>
          <w:color w:val="000000" w:themeColor="text1"/>
          <w:sz w:val="22"/>
          <w:szCs w:val="22"/>
          <w:lang w:val="es-ES"/>
        </w:rPr>
        <w:t>PLAN ANUAL DE ADQUISICIONES</w:t>
      </w:r>
      <w:r w:rsidR="00E162DC">
        <w:rPr>
          <w:rFonts w:ascii="Arial" w:hAnsi="Arial" w:eastAsia="Calibri" w:cs="Arial"/>
          <w:b/>
          <w:bCs/>
          <w:iCs/>
          <w:color w:val="000000" w:themeColor="text1"/>
          <w:sz w:val="22"/>
          <w:szCs w:val="22"/>
          <w:lang w:val="es-ES"/>
        </w:rPr>
        <w:t xml:space="preserve"> –</w:t>
      </w:r>
      <w:r w:rsidRPr="00F42DF4">
        <w:rPr>
          <w:rFonts w:ascii="Arial" w:hAnsi="Arial" w:eastAsia="Calibri" w:cs="Arial"/>
          <w:b/>
          <w:bCs/>
          <w:iCs/>
          <w:color w:val="000000" w:themeColor="text1"/>
          <w:sz w:val="22"/>
          <w:szCs w:val="22"/>
          <w:lang w:val="es-ES"/>
        </w:rPr>
        <w:t xml:space="preserve"> Publicidad</w:t>
      </w:r>
      <w:r w:rsidR="00E162DC">
        <w:rPr>
          <w:rFonts w:ascii="Arial" w:hAnsi="Arial" w:eastAsia="Calibri" w:cs="Arial"/>
          <w:b/>
          <w:bCs/>
          <w:iCs/>
          <w:color w:val="000000" w:themeColor="text1"/>
          <w:sz w:val="22"/>
          <w:szCs w:val="22"/>
          <w:lang w:val="es-ES"/>
        </w:rPr>
        <w:t xml:space="preserve"> –</w:t>
      </w:r>
      <w:r w:rsidRPr="00F42DF4">
        <w:rPr>
          <w:rFonts w:ascii="Arial" w:hAnsi="Arial" w:eastAsia="Calibri" w:cs="Arial"/>
          <w:b/>
          <w:bCs/>
          <w:iCs/>
          <w:color w:val="000000" w:themeColor="text1"/>
          <w:sz w:val="22"/>
          <w:szCs w:val="22"/>
          <w:lang w:val="es-ES"/>
        </w:rPr>
        <w:t xml:space="preserve"> </w:t>
      </w:r>
      <w:r w:rsidR="00E162DC">
        <w:rPr>
          <w:rFonts w:ascii="Arial" w:hAnsi="Arial" w:eastAsia="Calibri" w:cs="Arial"/>
          <w:b/>
          <w:bCs/>
          <w:iCs/>
          <w:color w:val="000000" w:themeColor="text1"/>
          <w:sz w:val="22"/>
          <w:szCs w:val="22"/>
          <w:lang w:val="es-ES"/>
        </w:rPr>
        <w:t>E</w:t>
      </w:r>
      <w:r w:rsidRPr="00F42DF4">
        <w:rPr>
          <w:rFonts w:ascii="Arial" w:hAnsi="Arial" w:eastAsia="Calibri" w:cs="Arial"/>
          <w:b/>
          <w:bCs/>
          <w:iCs/>
          <w:color w:val="000000" w:themeColor="text1"/>
          <w:sz w:val="22"/>
          <w:szCs w:val="22"/>
          <w:lang w:val="es-ES"/>
        </w:rPr>
        <w:t>xcepciones</w:t>
      </w:r>
      <w:r w:rsidR="00E162DC">
        <w:rPr>
          <w:rFonts w:ascii="Arial" w:hAnsi="Arial" w:eastAsia="Calibri" w:cs="Arial"/>
          <w:b/>
          <w:bCs/>
          <w:iCs/>
          <w:color w:val="000000" w:themeColor="text1"/>
          <w:sz w:val="22"/>
          <w:szCs w:val="22"/>
          <w:lang w:val="es-ES"/>
        </w:rPr>
        <w:t xml:space="preserve"> –</w:t>
      </w:r>
      <w:r w:rsidRPr="00F42DF4">
        <w:rPr>
          <w:rFonts w:ascii="Arial" w:hAnsi="Arial" w:eastAsia="Calibri" w:cs="Arial"/>
          <w:b/>
          <w:bCs/>
          <w:iCs/>
          <w:color w:val="000000" w:themeColor="text1"/>
          <w:sz w:val="22"/>
          <w:szCs w:val="22"/>
          <w:lang w:val="es-ES"/>
        </w:rPr>
        <w:t xml:space="preserve"> Empresas de </w:t>
      </w:r>
      <w:r w:rsidR="00E162DC">
        <w:rPr>
          <w:rFonts w:ascii="Arial" w:hAnsi="Arial" w:eastAsia="Calibri" w:cs="Arial"/>
          <w:b/>
          <w:bCs/>
          <w:iCs/>
          <w:color w:val="000000" w:themeColor="text1"/>
          <w:sz w:val="22"/>
          <w:szCs w:val="22"/>
          <w:lang w:val="es-ES"/>
        </w:rPr>
        <w:t>s</w:t>
      </w:r>
      <w:r w:rsidRPr="00F42DF4">
        <w:rPr>
          <w:rFonts w:ascii="Arial" w:hAnsi="Arial" w:eastAsia="Calibri" w:cs="Arial"/>
          <w:b/>
          <w:bCs/>
          <w:iCs/>
          <w:color w:val="000000" w:themeColor="text1"/>
          <w:sz w:val="22"/>
          <w:szCs w:val="22"/>
          <w:lang w:val="es-ES"/>
        </w:rPr>
        <w:t xml:space="preserve">ervicios </w:t>
      </w:r>
      <w:r w:rsidR="00E162DC">
        <w:rPr>
          <w:rFonts w:ascii="Arial" w:hAnsi="Arial" w:eastAsia="Calibri" w:cs="Arial"/>
          <w:b/>
          <w:bCs/>
          <w:iCs/>
          <w:color w:val="000000" w:themeColor="text1"/>
          <w:sz w:val="22"/>
          <w:szCs w:val="22"/>
          <w:lang w:val="es-ES"/>
        </w:rPr>
        <w:t>p</w:t>
      </w:r>
      <w:r w:rsidRPr="00F42DF4">
        <w:rPr>
          <w:rFonts w:ascii="Arial" w:hAnsi="Arial" w:eastAsia="Calibri" w:cs="Arial"/>
          <w:b/>
          <w:bCs/>
          <w:iCs/>
          <w:color w:val="000000" w:themeColor="text1"/>
          <w:sz w:val="22"/>
          <w:szCs w:val="22"/>
          <w:lang w:val="es-ES"/>
        </w:rPr>
        <w:t xml:space="preserve">úblicos </w:t>
      </w:r>
      <w:r w:rsidR="00E162DC">
        <w:rPr>
          <w:rFonts w:ascii="Arial" w:hAnsi="Arial" w:eastAsia="Calibri" w:cs="Arial"/>
          <w:b/>
          <w:bCs/>
          <w:iCs/>
          <w:color w:val="000000" w:themeColor="text1"/>
          <w:sz w:val="22"/>
          <w:szCs w:val="22"/>
          <w:lang w:val="es-ES"/>
        </w:rPr>
        <w:t>m</w:t>
      </w:r>
      <w:r w:rsidRPr="00F42DF4">
        <w:rPr>
          <w:rFonts w:ascii="Arial" w:hAnsi="Arial" w:eastAsia="Calibri" w:cs="Arial"/>
          <w:b/>
          <w:bCs/>
          <w:iCs/>
          <w:color w:val="000000" w:themeColor="text1"/>
          <w:sz w:val="22"/>
          <w:szCs w:val="22"/>
          <w:lang w:val="es-ES"/>
        </w:rPr>
        <w:t>ixtas</w:t>
      </w:r>
      <w:r w:rsidR="00E86F3E">
        <w:rPr>
          <w:rFonts w:ascii="Arial" w:hAnsi="Arial" w:eastAsia="Calibri" w:cs="Arial"/>
          <w:b/>
          <w:bCs/>
          <w:iCs/>
          <w:color w:val="000000" w:themeColor="text1"/>
          <w:sz w:val="22"/>
          <w:szCs w:val="22"/>
          <w:lang w:val="es-ES"/>
        </w:rPr>
        <w:t xml:space="preserve"> </w:t>
      </w:r>
      <w:r w:rsidR="00DC05F1">
        <w:rPr>
          <w:rFonts w:ascii="Arial" w:hAnsi="Arial" w:eastAsia="Calibri" w:cs="Arial"/>
          <w:b/>
          <w:bCs/>
          <w:iCs/>
          <w:color w:val="000000" w:themeColor="text1"/>
          <w:sz w:val="22"/>
          <w:szCs w:val="22"/>
          <w:lang w:val="es-ES"/>
        </w:rPr>
        <w:t>– R</w:t>
      </w:r>
      <w:r w:rsidRPr="00F42DF4">
        <w:rPr>
          <w:rFonts w:ascii="Arial" w:hAnsi="Arial" w:eastAsia="Calibri" w:cs="Arial"/>
          <w:b/>
          <w:bCs/>
          <w:iCs/>
          <w:color w:val="000000" w:themeColor="text1"/>
          <w:sz w:val="22"/>
          <w:szCs w:val="22"/>
          <w:lang w:val="es-ES"/>
        </w:rPr>
        <w:t>ecursos públicos</w:t>
      </w:r>
    </w:p>
    <w:p w:rsidR="00D35542" w:rsidP="00150EAF" w:rsidRDefault="00D35542" w14:paraId="4B61C07C" w14:textId="0022285F">
      <w:pPr>
        <w:tabs>
          <w:tab w:val="left" w:pos="426"/>
          <w:tab w:val="left" w:pos="8505"/>
        </w:tabs>
        <w:jc w:val="both"/>
        <w:rPr>
          <w:rFonts w:ascii="Arial" w:hAnsi="Arial" w:eastAsia="Calibri" w:cs="Arial"/>
          <w:color w:val="000000" w:themeColor="text1"/>
          <w:sz w:val="20"/>
          <w:szCs w:val="20"/>
          <w:lang w:val="es-ES"/>
        </w:rPr>
      </w:pPr>
    </w:p>
    <w:p w:rsidR="00D35542" w:rsidP="00150EAF" w:rsidRDefault="00D35542" w14:paraId="39737764" w14:textId="12161A3B">
      <w:pPr>
        <w:tabs>
          <w:tab w:val="left" w:pos="426"/>
          <w:tab w:val="left" w:pos="8505"/>
        </w:tabs>
        <w:jc w:val="both"/>
        <w:rPr>
          <w:rFonts w:ascii="Arial" w:hAnsi="Arial" w:eastAsia="Calibri" w:cs="Arial"/>
          <w:color w:val="000000" w:themeColor="text1"/>
          <w:sz w:val="20"/>
          <w:szCs w:val="20"/>
          <w:lang w:val="es-ES"/>
        </w:rPr>
      </w:pPr>
      <w:r>
        <w:rPr>
          <w:rFonts w:ascii="Arial" w:hAnsi="Arial" w:eastAsia="Calibri" w:cs="Arial"/>
          <w:color w:val="000000" w:themeColor="text1"/>
          <w:sz w:val="20"/>
          <w:szCs w:val="20"/>
          <w:lang w:val="es-ES"/>
        </w:rPr>
        <w:t>[…]</w:t>
      </w:r>
      <w:r w:rsidRPr="00D35542">
        <w:rPr>
          <w:rFonts w:ascii="Arial" w:hAnsi="Arial" w:eastAsia="Calibri" w:cs="Arial"/>
          <w:color w:val="000000" w:themeColor="text1"/>
          <w:sz w:val="20"/>
          <w:szCs w:val="20"/>
          <w:lang w:val="es-ES"/>
        </w:rPr>
        <w:t xml:space="preserve"> las ESP mixtas se encuentran obligadas a publicar en el SECOP aquella parte del plan anual de adquisiciones que se ejecute con cargo a recursos públicos, excluyendo contrataciones con cargo a recursos privados. Adicionalmente, de la lectura integrada de los artículos 5 y 9 de la Ley 1712 de 2014 se desprende que deben publicar su plan de compras anual en los sistemas de información del Estado, pero «en relación con su actividad propia, industrial o comercial, no están sujetas al deber de información, con respecto a dicha actividad».  En consecuencia, de acuerdo con las reglas que protegen el secreto industrial y comercial, no están obligadas a publicar la información relacionada con estos aspectos en el plan anual de adquisiciones, conclusión que guarda concordancia con el artículo 24.6 de la Ley 1437 de 2011 modificado por la Ley 1755 de 2015.</w:t>
      </w:r>
    </w:p>
    <w:p w:rsidRPr="003550F5" w:rsidR="00E86F3E" w:rsidP="00150EAF" w:rsidRDefault="00E86F3E" w14:paraId="3160C22F" w14:textId="77777777">
      <w:pPr>
        <w:tabs>
          <w:tab w:val="left" w:pos="426"/>
          <w:tab w:val="left" w:pos="8505"/>
        </w:tabs>
        <w:jc w:val="both"/>
        <w:rPr>
          <w:rFonts w:ascii="Arial" w:hAnsi="Arial" w:eastAsia="Calibri" w:cs="Arial"/>
          <w:sz w:val="22"/>
          <w:szCs w:val="22"/>
          <w:lang w:val="es-ES"/>
        </w:rPr>
      </w:pPr>
    </w:p>
    <w:p w:rsidR="006C6EE9" w:rsidP="00150EAF" w:rsidRDefault="006C6EE9" w14:paraId="6AF6BC37" w14:textId="2A9878F6">
      <w:pPr>
        <w:tabs>
          <w:tab w:val="left" w:pos="426"/>
        </w:tabs>
        <w:jc w:val="both"/>
        <w:rPr>
          <w:rFonts w:ascii="Arial" w:hAnsi="Arial" w:eastAsia="Calibri" w:cs="Arial"/>
          <w:b/>
          <w:bCs/>
          <w:iCs/>
          <w:color w:val="000000" w:themeColor="text1"/>
          <w:sz w:val="22"/>
          <w:szCs w:val="22"/>
          <w:lang w:val="es-ES"/>
        </w:rPr>
      </w:pPr>
      <w:r w:rsidRPr="00F42DF4">
        <w:rPr>
          <w:rFonts w:ascii="Arial" w:hAnsi="Arial" w:eastAsia="Calibri" w:cs="Arial"/>
          <w:b/>
          <w:bCs/>
          <w:iCs/>
          <w:color w:val="000000" w:themeColor="text1"/>
          <w:sz w:val="22"/>
          <w:szCs w:val="22"/>
          <w:lang w:val="es-ES"/>
        </w:rPr>
        <w:t>PLAN ANUAL DE ADQUISICIONES</w:t>
      </w:r>
      <w:r w:rsidR="00A853EC">
        <w:rPr>
          <w:rFonts w:ascii="Arial" w:hAnsi="Arial" w:eastAsia="Calibri" w:cs="Arial"/>
          <w:b/>
          <w:bCs/>
          <w:iCs/>
          <w:color w:val="000000" w:themeColor="text1"/>
          <w:sz w:val="22"/>
          <w:szCs w:val="22"/>
          <w:lang w:val="es-ES"/>
        </w:rPr>
        <w:t xml:space="preserve"> –</w:t>
      </w:r>
      <w:r w:rsidRPr="00F42DF4">
        <w:rPr>
          <w:rFonts w:ascii="Arial" w:hAnsi="Arial" w:eastAsia="Calibri" w:cs="Arial"/>
          <w:b/>
          <w:bCs/>
          <w:iCs/>
          <w:color w:val="000000" w:themeColor="text1"/>
          <w:sz w:val="22"/>
          <w:szCs w:val="22"/>
          <w:lang w:val="es-ES"/>
        </w:rPr>
        <w:t xml:space="preserve"> Publicidad</w:t>
      </w:r>
      <w:r w:rsidR="00A853EC">
        <w:rPr>
          <w:rFonts w:ascii="Arial" w:hAnsi="Arial" w:eastAsia="Calibri" w:cs="Arial"/>
          <w:b/>
          <w:bCs/>
          <w:iCs/>
          <w:color w:val="000000" w:themeColor="text1"/>
          <w:sz w:val="22"/>
          <w:szCs w:val="22"/>
          <w:lang w:val="es-ES"/>
        </w:rPr>
        <w:t xml:space="preserve"> –</w:t>
      </w:r>
      <w:r w:rsidRPr="00F42DF4">
        <w:rPr>
          <w:rFonts w:ascii="Arial" w:hAnsi="Arial" w:eastAsia="Calibri" w:cs="Arial"/>
          <w:b/>
          <w:bCs/>
          <w:iCs/>
          <w:color w:val="000000" w:themeColor="text1"/>
          <w:sz w:val="22"/>
          <w:szCs w:val="22"/>
          <w:lang w:val="es-ES"/>
        </w:rPr>
        <w:t xml:space="preserve"> </w:t>
      </w:r>
      <w:r w:rsidR="00A853EC">
        <w:rPr>
          <w:rFonts w:ascii="Arial" w:hAnsi="Arial" w:eastAsia="Calibri" w:cs="Arial"/>
          <w:b/>
          <w:bCs/>
          <w:iCs/>
          <w:color w:val="000000" w:themeColor="text1"/>
          <w:sz w:val="22"/>
          <w:szCs w:val="22"/>
          <w:lang w:val="es-ES"/>
        </w:rPr>
        <w:t>E</w:t>
      </w:r>
      <w:r w:rsidRPr="00F42DF4">
        <w:rPr>
          <w:rFonts w:ascii="Arial" w:hAnsi="Arial" w:eastAsia="Calibri" w:cs="Arial"/>
          <w:b/>
          <w:bCs/>
          <w:iCs/>
          <w:color w:val="000000" w:themeColor="text1"/>
          <w:sz w:val="22"/>
          <w:szCs w:val="22"/>
          <w:lang w:val="es-ES"/>
        </w:rPr>
        <w:t>xcepciones</w:t>
      </w:r>
      <w:r w:rsidR="00A853EC">
        <w:rPr>
          <w:rFonts w:ascii="Arial" w:hAnsi="Arial" w:eastAsia="Calibri" w:cs="Arial"/>
          <w:b/>
          <w:bCs/>
          <w:iCs/>
          <w:color w:val="000000" w:themeColor="text1"/>
          <w:sz w:val="22"/>
          <w:szCs w:val="22"/>
          <w:lang w:val="es-ES"/>
        </w:rPr>
        <w:t xml:space="preserve"> –</w:t>
      </w:r>
      <w:r w:rsidRPr="00F42DF4">
        <w:rPr>
          <w:rFonts w:ascii="Arial" w:hAnsi="Arial" w:eastAsia="Calibri" w:cs="Arial"/>
          <w:b/>
          <w:bCs/>
          <w:iCs/>
          <w:color w:val="000000" w:themeColor="text1"/>
          <w:sz w:val="22"/>
          <w:szCs w:val="22"/>
          <w:lang w:val="es-ES"/>
        </w:rPr>
        <w:t xml:space="preserve"> Empresas de </w:t>
      </w:r>
      <w:r w:rsidRPr="00F42DF4" w:rsidR="00A853EC">
        <w:rPr>
          <w:rFonts w:ascii="Arial" w:hAnsi="Arial" w:eastAsia="Calibri" w:cs="Arial"/>
          <w:b/>
          <w:bCs/>
          <w:iCs/>
          <w:color w:val="000000" w:themeColor="text1"/>
          <w:sz w:val="22"/>
          <w:szCs w:val="22"/>
          <w:lang w:val="es-ES"/>
        </w:rPr>
        <w:t>servicios públicos mixtas</w:t>
      </w:r>
      <w:r w:rsidR="00A853EC">
        <w:rPr>
          <w:rFonts w:ascii="Arial" w:hAnsi="Arial" w:eastAsia="Calibri" w:cs="Arial"/>
          <w:b/>
          <w:bCs/>
          <w:iCs/>
          <w:color w:val="000000" w:themeColor="text1"/>
          <w:sz w:val="22"/>
          <w:szCs w:val="22"/>
          <w:lang w:val="es-ES"/>
        </w:rPr>
        <w:t xml:space="preserve"> –</w:t>
      </w:r>
      <w:r w:rsidRPr="00F42DF4">
        <w:rPr>
          <w:rFonts w:ascii="Arial" w:hAnsi="Arial" w:eastAsia="Calibri" w:cs="Arial"/>
          <w:b/>
          <w:bCs/>
          <w:iCs/>
          <w:color w:val="000000" w:themeColor="text1"/>
          <w:sz w:val="22"/>
          <w:szCs w:val="22"/>
          <w:lang w:val="es-ES"/>
        </w:rPr>
        <w:t xml:space="preserve"> Proyectos de inversión</w:t>
      </w:r>
    </w:p>
    <w:p w:rsidRPr="00F42DF4" w:rsidR="00D262D8" w:rsidP="00150EAF" w:rsidRDefault="00D262D8" w14:paraId="4D518F85" w14:textId="77777777">
      <w:pPr>
        <w:tabs>
          <w:tab w:val="left" w:pos="426"/>
        </w:tabs>
        <w:rPr>
          <w:rFonts w:ascii="Arial" w:hAnsi="Arial" w:eastAsia="Calibri" w:cs="Arial"/>
          <w:b/>
          <w:bCs/>
          <w:iCs/>
          <w:color w:val="000000" w:themeColor="text1"/>
          <w:sz w:val="22"/>
          <w:szCs w:val="22"/>
          <w:lang w:val="es-ES"/>
        </w:rPr>
      </w:pPr>
    </w:p>
    <w:p w:rsidR="00ED6F88" w:rsidP="00A403E6" w:rsidRDefault="00ED6F88" w14:paraId="3214B3EF" w14:textId="49D897D5">
      <w:pPr>
        <w:tabs>
          <w:tab w:val="left" w:pos="426"/>
        </w:tabs>
        <w:spacing w:after="120"/>
        <w:jc w:val="both"/>
        <w:rPr>
          <w:rFonts w:ascii="Arial" w:hAnsi="Arial" w:eastAsia="Calibri" w:cs="Arial"/>
          <w:color w:val="000000" w:themeColor="text1"/>
          <w:sz w:val="20"/>
          <w:szCs w:val="20"/>
          <w:lang w:val="es-ES"/>
        </w:rPr>
      </w:pPr>
      <w:r w:rsidRPr="00ED6F88">
        <w:rPr>
          <w:rFonts w:ascii="Arial" w:hAnsi="Arial" w:eastAsia="Calibri" w:cs="Arial"/>
          <w:color w:val="000000" w:themeColor="text1"/>
          <w:sz w:val="20"/>
          <w:szCs w:val="20"/>
          <w:lang w:val="es-ES"/>
        </w:rPr>
        <w:t>Al respecto, la Corte Constitucional explica que las ESP mixtas no hacen parte del género «sociedades de economía mixta» en la medida en que «vienen a ser entidades de naturaleza especial»</w:t>
      </w:r>
      <w:r>
        <w:rPr>
          <w:rFonts w:ascii="Arial" w:hAnsi="Arial" w:eastAsia="Calibri" w:cs="Arial"/>
          <w:color w:val="000000" w:themeColor="text1"/>
          <w:sz w:val="20"/>
          <w:szCs w:val="20"/>
          <w:lang w:val="es-ES"/>
        </w:rPr>
        <w:t>.</w:t>
      </w:r>
      <w:r w:rsidRPr="00ED6F88">
        <w:rPr>
          <w:rFonts w:ascii="Arial" w:hAnsi="Arial" w:eastAsia="Calibri" w:cs="Arial"/>
          <w:color w:val="000000" w:themeColor="text1"/>
          <w:sz w:val="20"/>
          <w:szCs w:val="20"/>
          <w:lang w:val="es-ES"/>
        </w:rPr>
        <w:t xml:space="preserve"> Esta consideración permite afirmar que estas empresas no se encuentran comprendidas literalmente dentro de la excepción del parágrafo del artículo 74 de la Ley 1474 de 2011. Adicionalmente, en aplicación de la interpretación restrictiva que caracteriza a las excepciones, </w:t>
      </w:r>
      <w:r w:rsidRPr="00ED6F88">
        <w:rPr>
          <w:rFonts w:ascii="Arial" w:hAnsi="Arial" w:eastAsia="Calibri" w:cs="Arial"/>
          <w:color w:val="000000" w:themeColor="text1"/>
          <w:sz w:val="20"/>
          <w:szCs w:val="20"/>
          <w:lang w:val="es-ES"/>
        </w:rPr>
        <w:t xml:space="preserve">como la contenida en el parágrafo analizado, resulta imposible una interpretación extensiva para incluir a las ESP mixtas. </w:t>
      </w:r>
    </w:p>
    <w:p w:rsidRPr="00A53D5E" w:rsidR="00A53D5E" w:rsidP="00A403E6" w:rsidRDefault="0000498E" w14:paraId="7087B2C6" w14:textId="20067073">
      <w:pPr>
        <w:tabs>
          <w:tab w:val="left" w:pos="426"/>
        </w:tabs>
        <w:spacing w:after="120"/>
        <w:jc w:val="both"/>
        <w:rPr>
          <w:rFonts w:ascii="Arial" w:hAnsi="Arial" w:eastAsia="Calibri" w:cs="Arial"/>
          <w:color w:val="000000" w:themeColor="text1"/>
          <w:sz w:val="20"/>
          <w:szCs w:val="20"/>
          <w:lang w:val="es-ES"/>
        </w:rPr>
      </w:pPr>
      <w:r>
        <w:rPr>
          <w:rFonts w:ascii="Arial" w:hAnsi="Arial" w:eastAsia="Calibri" w:cs="Arial"/>
          <w:color w:val="000000" w:themeColor="text1"/>
          <w:sz w:val="20"/>
          <w:szCs w:val="20"/>
          <w:lang w:val="es-ES"/>
        </w:rPr>
        <w:t>[…]</w:t>
      </w:r>
    </w:p>
    <w:p w:rsidRPr="00ED6F88" w:rsidR="00ED6F88" w:rsidP="00ED6F88" w:rsidRDefault="00ED6F88" w14:paraId="43374531" w14:textId="77777777">
      <w:pPr>
        <w:tabs>
          <w:tab w:val="left" w:pos="426"/>
        </w:tabs>
        <w:jc w:val="both"/>
        <w:rPr>
          <w:rFonts w:ascii="Arial" w:hAnsi="Arial" w:eastAsia="Calibri" w:cs="Arial"/>
          <w:color w:val="000000" w:themeColor="text1"/>
          <w:sz w:val="20"/>
          <w:szCs w:val="20"/>
          <w:lang w:val="es-ES"/>
        </w:rPr>
      </w:pPr>
      <w:r w:rsidRPr="00ED6F88">
        <w:rPr>
          <w:rFonts w:ascii="Arial" w:hAnsi="Arial" w:eastAsia="Calibri" w:cs="Arial"/>
          <w:color w:val="000000" w:themeColor="text1"/>
          <w:sz w:val="20"/>
          <w:szCs w:val="20"/>
          <w:lang w:val="es-ES"/>
        </w:rPr>
        <w:t xml:space="preserve">Una interpretación armónica del ordenamiento permite concluir que las ESP no están en obligación de publicar aquella parte de su plan de adquisiciones que se refiera a la información protegida por el secreto industrial o comercial. No obstante, ello no deriva del parágrafo del artículo 74 de la Ley 1474 de 2011, sino que se desprende de las normas sobre información sometida a reserva. De otra parte, los principios de libertad económica, de libre competencia y la necesidad de garantizar igualdad de condiciones en el mercado, y en particular el artículo 30 de la Ley 142 de 1994, obligan a interpretar todas las normas sobre el régimen contractual de las ESP «en la forma que mejor garantice la libre competencia». </w:t>
      </w:r>
    </w:p>
    <w:p w:rsidRPr="00F42DF4" w:rsidR="0000498E" w:rsidP="00A53D5E" w:rsidRDefault="0000498E" w14:paraId="519E9EC7" w14:textId="77777777">
      <w:pPr>
        <w:tabs>
          <w:tab w:val="left" w:pos="426"/>
        </w:tabs>
        <w:jc w:val="both"/>
        <w:rPr>
          <w:rFonts w:ascii="Arial" w:hAnsi="Arial" w:eastAsia="Calibri" w:cs="Arial"/>
          <w:color w:val="000000" w:themeColor="text1"/>
          <w:sz w:val="22"/>
          <w:szCs w:val="22"/>
          <w:lang w:val="es-ES"/>
        </w:rPr>
      </w:pPr>
    </w:p>
    <w:p w:rsidR="00E86F3E" w:rsidP="00150EAF" w:rsidRDefault="00775563" w14:paraId="224CBCB6" w14:textId="2C3E7B95">
      <w:pPr>
        <w:tabs>
          <w:tab w:val="left" w:pos="426"/>
        </w:tabs>
        <w:jc w:val="both"/>
        <w:rPr>
          <w:rFonts w:ascii="Arial" w:hAnsi="Arial" w:eastAsia="Calibri" w:cs="Arial"/>
          <w:b/>
          <w:bCs/>
          <w:iCs/>
          <w:color w:val="000000" w:themeColor="text1"/>
          <w:sz w:val="22"/>
          <w:szCs w:val="22"/>
          <w:lang w:val="es-ES"/>
        </w:rPr>
      </w:pPr>
      <w:r w:rsidRPr="00F42DF4">
        <w:rPr>
          <w:rFonts w:ascii="Arial" w:hAnsi="Arial" w:eastAsia="Calibri" w:cs="Arial"/>
          <w:b/>
          <w:bCs/>
          <w:iCs/>
          <w:color w:val="000000" w:themeColor="text1"/>
          <w:sz w:val="22"/>
          <w:szCs w:val="22"/>
          <w:lang w:val="es-ES"/>
        </w:rPr>
        <w:t xml:space="preserve">PLAN ANUAL DE ADQUISICIONES </w:t>
      </w:r>
      <w:r w:rsidR="00A853EC">
        <w:rPr>
          <w:rFonts w:ascii="Arial" w:hAnsi="Arial" w:eastAsia="Calibri" w:cs="Arial"/>
          <w:b/>
          <w:bCs/>
          <w:iCs/>
          <w:color w:val="000000" w:themeColor="text1"/>
          <w:sz w:val="22"/>
          <w:szCs w:val="22"/>
          <w:lang w:val="es-ES"/>
        </w:rPr>
        <w:t xml:space="preserve">– </w:t>
      </w:r>
      <w:r w:rsidRPr="00F42DF4">
        <w:rPr>
          <w:rFonts w:ascii="Arial" w:hAnsi="Arial" w:eastAsia="Calibri" w:cs="Arial"/>
          <w:b/>
          <w:bCs/>
          <w:iCs/>
          <w:color w:val="000000" w:themeColor="text1"/>
          <w:sz w:val="22"/>
          <w:szCs w:val="22"/>
          <w:lang w:val="es-ES"/>
        </w:rPr>
        <w:t xml:space="preserve">Directrices </w:t>
      </w:r>
      <w:r w:rsidR="00A853EC">
        <w:rPr>
          <w:rFonts w:ascii="Arial" w:hAnsi="Arial" w:eastAsia="Calibri" w:cs="Arial"/>
          <w:b/>
          <w:bCs/>
          <w:iCs/>
          <w:color w:val="000000" w:themeColor="text1"/>
          <w:sz w:val="22"/>
          <w:szCs w:val="22"/>
          <w:lang w:val="es-ES"/>
        </w:rPr>
        <w:t xml:space="preserve">– </w:t>
      </w:r>
      <w:r w:rsidRPr="00F42DF4">
        <w:rPr>
          <w:rFonts w:ascii="Arial" w:hAnsi="Arial" w:eastAsia="Calibri" w:cs="Arial"/>
          <w:b/>
          <w:bCs/>
          <w:iCs/>
          <w:color w:val="000000" w:themeColor="text1"/>
          <w:sz w:val="22"/>
          <w:szCs w:val="22"/>
          <w:lang w:val="es-ES"/>
        </w:rPr>
        <w:t xml:space="preserve">Colombia Compra </w:t>
      </w:r>
      <w:r w:rsidR="00A853EC">
        <w:rPr>
          <w:rFonts w:ascii="Arial" w:hAnsi="Arial" w:eastAsia="Calibri" w:cs="Arial"/>
          <w:b/>
          <w:bCs/>
          <w:iCs/>
          <w:color w:val="000000" w:themeColor="text1"/>
          <w:sz w:val="22"/>
          <w:szCs w:val="22"/>
          <w:lang w:val="es-ES"/>
        </w:rPr>
        <w:t xml:space="preserve">Eficiente </w:t>
      </w:r>
    </w:p>
    <w:p w:rsidR="00E86F3E" w:rsidP="00150EAF" w:rsidRDefault="00E86F3E" w14:paraId="42BB9218" w14:textId="77777777">
      <w:pPr>
        <w:tabs>
          <w:tab w:val="left" w:pos="426"/>
        </w:tabs>
        <w:jc w:val="both"/>
        <w:rPr>
          <w:rFonts w:ascii="Arial" w:hAnsi="Arial" w:eastAsia="Calibri" w:cs="Arial"/>
          <w:b/>
          <w:bCs/>
          <w:iCs/>
          <w:color w:val="000000" w:themeColor="text1"/>
          <w:sz w:val="22"/>
          <w:szCs w:val="22"/>
          <w:lang w:val="es-ES"/>
        </w:rPr>
      </w:pPr>
    </w:p>
    <w:p w:rsidR="001671D5" w:rsidP="00150EAF" w:rsidRDefault="00ED6F88" w14:paraId="22E0E74D" w14:textId="5710D038">
      <w:pPr>
        <w:tabs>
          <w:tab w:val="left" w:pos="426"/>
        </w:tabs>
        <w:jc w:val="both"/>
        <w:rPr>
          <w:rFonts w:ascii="Arial" w:hAnsi="Arial" w:eastAsia="Calibri" w:cs="Arial"/>
          <w:iCs/>
          <w:color w:val="000000" w:themeColor="text1"/>
          <w:sz w:val="20"/>
          <w:szCs w:val="20"/>
          <w:lang w:val="es-ES"/>
        </w:rPr>
      </w:pPr>
      <w:r w:rsidRPr="00ED6F88">
        <w:rPr>
          <w:rFonts w:ascii="Arial" w:hAnsi="Arial" w:eastAsia="Calibri" w:cs="Arial"/>
          <w:iCs/>
          <w:color w:val="000000" w:themeColor="text1"/>
          <w:sz w:val="20"/>
          <w:szCs w:val="20"/>
          <w:lang w:val="es-ES"/>
        </w:rPr>
        <w:t>De otra parte, en sentencia de 3 de abril de 2020, el Consejo de Estado declaró la nulidad total del artículo 158 del Decreto 1510, compilado en el artículo 2.2.1.2.5.1. del decreto 1082 de 2015 que permitía establecer lineamientos y el formato que las entidades estatales debían utilizar para la elaboración del plan. La decisión del Consejo de Estado encontró sustento en que, tanto para el artículo 158 como para el 160, «el reglamento le otorgó a CCE la potestad de reglamentar dos instrumentos puntuales en materia contractual con la expedición de normas de contenido obligatorio, que deben ser acatadas por todas las entidades públicas».</w:t>
      </w:r>
    </w:p>
    <w:p w:rsidR="00ED6F88" w:rsidP="00150EAF" w:rsidRDefault="00ED6F88" w14:paraId="07AE54E7" w14:textId="77777777">
      <w:pPr>
        <w:tabs>
          <w:tab w:val="left" w:pos="426"/>
        </w:tabs>
        <w:jc w:val="both"/>
        <w:rPr>
          <w:rFonts w:ascii="Arial" w:hAnsi="Arial" w:eastAsia="Calibri" w:cs="Arial"/>
          <w:b/>
          <w:bCs/>
          <w:iCs/>
          <w:color w:val="000000" w:themeColor="text1"/>
          <w:sz w:val="22"/>
          <w:szCs w:val="22"/>
          <w:lang w:val="es-ES"/>
        </w:rPr>
      </w:pPr>
    </w:p>
    <w:p w:rsidR="00775563" w:rsidP="00150EAF" w:rsidRDefault="009B616F" w14:paraId="77E556D3" w14:textId="7A6677D9">
      <w:pPr>
        <w:tabs>
          <w:tab w:val="left" w:pos="426"/>
        </w:tabs>
        <w:jc w:val="both"/>
        <w:rPr>
          <w:rFonts w:ascii="Arial" w:hAnsi="Arial" w:eastAsia="Calibri" w:cs="Arial"/>
          <w:b/>
          <w:bCs/>
          <w:iCs/>
          <w:color w:val="000000" w:themeColor="text1"/>
          <w:sz w:val="22"/>
          <w:szCs w:val="22"/>
          <w:lang w:val="es-ES"/>
        </w:rPr>
      </w:pPr>
      <w:r w:rsidRPr="00F42DF4">
        <w:rPr>
          <w:rFonts w:ascii="Arial" w:hAnsi="Arial" w:eastAsia="Calibri" w:cs="Arial"/>
          <w:b/>
          <w:bCs/>
          <w:iCs/>
          <w:color w:val="000000" w:themeColor="text1"/>
          <w:sz w:val="22"/>
          <w:szCs w:val="22"/>
          <w:lang w:val="es-ES"/>
        </w:rPr>
        <w:t>PLAN ANUAL DE ADQUISICIONES</w:t>
      </w:r>
      <w:r>
        <w:rPr>
          <w:rFonts w:ascii="Arial" w:hAnsi="Arial" w:eastAsia="Calibri" w:cs="Arial"/>
          <w:b/>
          <w:bCs/>
          <w:iCs/>
          <w:color w:val="000000" w:themeColor="text1"/>
          <w:sz w:val="22"/>
          <w:szCs w:val="22"/>
          <w:lang w:val="es-ES"/>
        </w:rPr>
        <w:t xml:space="preserve"> </w:t>
      </w:r>
      <w:r w:rsidR="00A853EC">
        <w:rPr>
          <w:rFonts w:ascii="Arial" w:hAnsi="Arial" w:eastAsia="Calibri" w:cs="Arial"/>
          <w:b/>
          <w:bCs/>
          <w:iCs/>
          <w:color w:val="000000" w:themeColor="text1"/>
          <w:sz w:val="22"/>
          <w:szCs w:val="22"/>
          <w:lang w:val="es-ES"/>
        </w:rPr>
        <w:t>–</w:t>
      </w:r>
      <w:r w:rsidRPr="00F42DF4" w:rsidR="00775563">
        <w:rPr>
          <w:rFonts w:ascii="Arial" w:hAnsi="Arial" w:eastAsia="Calibri" w:cs="Arial"/>
          <w:b/>
          <w:bCs/>
          <w:iCs/>
          <w:color w:val="000000" w:themeColor="text1"/>
          <w:sz w:val="22"/>
          <w:szCs w:val="22"/>
          <w:lang w:val="es-ES"/>
        </w:rPr>
        <w:t xml:space="preserve"> Entidades con régimen especial</w:t>
      </w:r>
      <w:r>
        <w:rPr>
          <w:rFonts w:ascii="Arial" w:hAnsi="Arial" w:eastAsia="Calibri" w:cs="Arial"/>
          <w:b/>
          <w:bCs/>
          <w:iCs/>
          <w:color w:val="000000" w:themeColor="text1"/>
          <w:sz w:val="22"/>
          <w:szCs w:val="22"/>
          <w:lang w:val="es-ES"/>
        </w:rPr>
        <w:t xml:space="preserve"> –</w:t>
      </w:r>
      <w:r w:rsidRPr="00F42DF4">
        <w:rPr>
          <w:rFonts w:ascii="Arial" w:hAnsi="Arial" w:eastAsia="Calibri" w:cs="Arial"/>
          <w:b/>
          <w:bCs/>
          <w:iCs/>
          <w:color w:val="000000" w:themeColor="text1"/>
          <w:sz w:val="22"/>
          <w:szCs w:val="22"/>
          <w:lang w:val="es-ES"/>
        </w:rPr>
        <w:t xml:space="preserve"> Empresas de servicios públicos mixtas</w:t>
      </w:r>
    </w:p>
    <w:p w:rsidRPr="00F42DF4" w:rsidR="00D262D8" w:rsidP="00150EAF" w:rsidRDefault="00D262D8" w14:paraId="133E91B1" w14:textId="77777777">
      <w:pPr>
        <w:tabs>
          <w:tab w:val="left" w:pos="426"/>
        </w:tabs>
        <w:rPr>
          <w:rFonts w:ascii="Arial" w:hAnsi="Arial" w:eastAsia="Calibri" w:cs="Arial"/>
          <w:b/>
          <w:bCs/>
          <w:iCs/>
          <w:color w:val="000000" w:themeColor="text1"/>
          <w:sz w:val="22"/>
          <w:szCs w:val="22"/>
          <w:lang w:val="es-ES"/>
        </w:rPr>
      </w:pPr>
    </w:p>
    <w:p w:rsidR="00B20F40" w:rsidP="00A403E6" w:rsidRDefault="00A53D5E" w14:paraId="4A54AEE7" w14:textId="4310F276">
      <w:pPr>
        <w:ind w:right="49"/>
        <w:jc w:val="both"/>
        <w:rPr>
          <w:rFonts w:ascii="Arial" w:hAnsi="Arial" w:eastAsia="Calibri" w:cs="Arial"/>
          <w:color w:val="000000" w:themeColor="text1"/>
          <w:sz w:val="22"/>
          <w:szCs w:val="22"/>
          <w:lang w:val="es-ES"/>
        </w:rPr>
      </w:pPr>
      <w:r>
        <w:rPr>
          <w:rFonts w:ascii="Arial" w:hAnsi="Arial" w:eastAsia="Calibri" w:cs="Arial"/>
          <w:iCs/>
          <w:color w:val="000000" w:themeColor="text1"/>
          <w:sz w:val="20"/>
          <w:szCs w:val="20"/>
          <w:lang w:val="es-ES"/>
        </w:rPr>
        <w:t xml:space="preserve">[…] </w:t>
      </w:r>
      <w:r w:rsidRPr="00ED6F88" w:rsidR="00ED6F88">
        <w:rPr>
          <w:rFonts w:ascii="Arial" w:hAnsi="Arial" w:eastAsia="Calibri" w:cs="Arial"/>
          <w:iCs/>
          <w:color w:val="000000" w:themeColor="text1"/>
          <w:sz w:val="20"/>
          <w:szCs w:val="20"/>
          <w:lang w:val="es-ES"/>
        </w:rPr>
        <w:t>el Decreto 1082 de 2015 en los asuntos relacionados con el plan anual de adquisiciones resulta aplicable a todas las entidades con obligación de publicar dicho plan, y no solamente a las entidades sometidas al Estatuto General de Contratación de la Administración Pública, pues el ámbito de aplicación del reglamento está determinado por el ámbito de aplicación de la ley reglamentada.</w:t>
      </w:r>
    </w:p>
    <w:p w:rsidRPr="005D0EC3" w:rsidR="005F0B8C" w:rsidP="00A403E6" w:rsidRDefault="005F0B8C" w14:paraId="02165A0D" w14:textId="56E8FD18">
      <w:pPr>
        <w:ind w:right="49"/>
        <w:jc w:val="both"/>
        <w:rPr>
          <w:rFonts w:ascii="Arial" w:hAnsi="Arial" w:eastAsia="Calibri" w:cs="Arial"/>
          <w:color w:val="000000" w:themeColor="text1"/>
          <w:sz w:val="20"/>
          <w:szCs w:val="20"/>
          <w:lang w:val="es-ES"/>
        </w:rPr>
      </w:pPr>
    </w:p>
    <w:p w:rsidRPr="005D0EC3" w:rsidR="00BD07C2" w:rsidP="00A403E6" w:rsidRDefault="00BD07C2" w14:paraId="43425749" w14:textId="77777777">
      <w:pPr>
        <w:ind w:right="49"/>
        <w:jc w:val="both"/>
        <w:rPr>
          <w:rFonts w:ascii="Arial" w:hAnsi="Arial" w:eastAsia="Calibri" w:cs="Arial"/>
          <w:color w:val="000000" w:themeColor="text1"/>
          <w:sz w:val="20"/>
          <w:szCs w:val="20"/>
          <w:lang w:val="es-ES"/>
        </w:rPr>
      </w:pPr>
    </w:p>
    <w:p w:rsidR="005E44A2" w:rsidP="00B943C9" w:rsidRDefault="00A37FB6" w14:paraId="34FEFC9D" w14:textId="07F458E0">
      <w:pPr>
        <w:spacing w:line="276" w:lineRule="auto"/>
        <w:jc w:val="both"/>
        <w:rPr>
          <w:rFonts w:ascii="Arial" w:hAnsi="Arial" w:cs="Arial"/>
          <w:b/>
          <w:color w:val="000000" w:themeColor="text1"/>
          <w:sz w:val="22"/>
          <w:szCs w:val="22"/>
          <w:lang w:val="es-ES"/>
        </w:rPr>
      </w:pPr>
      <w:r w:rsidRPr="00406E40">
        <w:rPr>
          <w:rFonts w:ascii="Arial" w:hAnsi="Arial" w:cs="Arial"/>
          <w:color w:val="000000" w:themeColor="text1"/>
          <w:sz w:val="22"/>
          <w:szCs w:val="22"/>
          <w:lang w:val="es-ES"/>
        </w:rPr>
        <w:t xml:space="preserve">Bogotá D.C., </w:t>
      </w:r>
      <w:r w:rsidR="00EF25D1">
        <w:rPr>
          <w:rFonts w:ascii="Arial" w:hAnsi="Arial" w:cs="Arial"/>
          <w:b/>
          <w:color w:val="000000" w:themeColor="text1"/>
          <w:sz w:val="22"/>
          <w:szCs w:val="22"/>
          <w:lang w:val="es-ES"/>
        </w:rPr>
        <w:t>24/06/2020 Hora 14:59:13 s</w:t>
      </w:r>
    </w:p>
    <w:p w:rsidR="00B943C9" w:rsidP="00150EAF" w:rsidRDefault="00B943C9" w14:paraId="4BE7E37A" w14:textId="77777777">
      <w:pPr>
        <w:spacing w:line="276" w:lineRule="auto"/>
        <w:jc w:val="both"/>
        <w:rPr>
          <w:rFonts w:ascii="Arial" w:hAnsi="Arial" w:eastAsia="Calibri" w:cs="Arial"/>
          <w:color w:val="000000" w:themeColor="text1"/>
          <w:sz w:val="22"/>
          <w:szCs w:val="22"/>
          <w:lang w:val="es-ES"/>
        </w:rPr>
      </w:pPr>
    </w:p>
    <w:p w:rsidR="00A37FB6" w:rsidP="00EF25D1" w:rsidRDefault="00A37FB6" w14:paraId="7E80B7C1" w14:textId="12462013">
      <w:pPr>
        <w:spacing w:line="276" w:lineRule="auto"/>
        <w:ind w:left="7371" w:hanging="2133"/>
        <w:jc w:val="both"/>
        <w:rPr>
          <w:rFonts w:ascii="Arial" w:hAnsi="Arial" w:cs="Arial"/>
          <w:b/>
          <w:color w:val="000000" w:themeColor="text1"/>
          <w:sz w:val="22"/>
          <w:szCs w:val="22"/>
          <w:lang w:val="es-ES"/>
        </w:rPr>
      </w:pPr>
      <w:proofErr w:type="spellStart"/>
      <w:r w:rsidRPr="00406E40">
        <w:rPr>
          <w:rFonts w:ascii="Arial" w:hAnsi="Arial" w:cs="Arial"/>
          <w:b/>
          <w:color w:val="000000" w:themeColor="text1"/>
          <w:sz w:val="22"/>
          <w:szCs w:val="22"/>
          <w:lang w:val="es-ES"/>
        </w:rPr>
        <w:t>N°</w:t>
      </w:r>
      <w:proofErr w:type="spellEnd"/>
      <w:r w:rsidRPr="00406E40">
        <w:rPr>
          <w:rFonts w:ascii="Arial" w:hAnsi="Arial" w:cs="Arial"/>
          <w:b/>
          <w:color w:val="000000" w:themeColor="text1"/>
          <w:sz w:val="22"/>
          <w:szCs w:val="22"/>
          <w:lang w:val="es-ES"/>
        </w:rPr>
        <w:t xml:space="preserve"> Radicado: </w:t>
      </w:r>
      <w:r w:rsidR="00EF25D1">
        <w:rPr>
          <w:rFonts w:ascii="Arial" w:hAnsi="Arial" w:cs="Arial"/>
          <w:b/>
          <w:color w:val="000000" w:themeColor="text1"/>
          <w:sz w:val="22"/>
          <w:szCs w:val="22"/>
          <w:lang w:val="es-ES"/>
        </w:rPr>
        <w:t>2202013000005358</w:t>
      </w:r>
    </w:p>
    <w:p w:rsidR="00B943C9" w:rsidP="00A403E6" w:rsidRDefault="00B943C9" w14:paraId="3BBABB37" w14:textId="05AD064D">
      <w:pPr>
        <w:ind w:left="7797" w:hanging="2133"/>
        <w:jc w:val="both"/>
        <w:rPr>
          <w:rFonts w:ascii="Arial" w:hAnsi="Arial" w:cs="Arial"/>
          <w:b/>
          <w:color w:val="000000" w:themeColor="text1"/>
          <w:sz w:val="22"/>
          <w:szCs w:val="22"/>
          <w:lang w:val="es-ES"/>
        </w:rPr>
      </w:pPr>
    </w:p>
    <w:p w:rsidRPr="00406E40" w:rsidR="00A37FB6" w:rsidP="00A403E6" w:rsidRDefault="00A37FB6" w14:paraId="2B166DFC" w14:textId="4DA40DE5">
      <w:pPr>
        <w:jc w:val="both"/>
        <w:rPr>
          <w:rFonts w:ascii="Arial" w:hAnsi="Arial" w:eastAsia="Calibri" w:cs="Arial"/>
          <w:color w:val="000000" w:themeColor="text1"/>
          <w:sz w:val="22"/>
          <w:szCs w:val="22"/>
          <w:lang w:val="es-ES"/>
        </w:rPr>
      </w:pPr>
      <w:r w:rsidRPr="00406E40">
        <w:rPr>
          <w:rFonts w:ascii="Arial" w:hAnsi="Arial" w:eastAsia="Calibri" w:cs="Arial"/>
          <w:color w:val="000000" w:themeColor="text1"/>
          <w:sz w:val="22"/>
          <w:szCs w:val="22"/>
          <w:lang w:val="es-ES"/>
        </w:rPr>
        <w:t>Señor</w:t>
      </w:r>
    </w:p>
    <w:p w:rsidRPr="00406E40" w:rsidR="00A37FB6" w:rsidP="00A403E6" w:rsidRDefault="001D30D8" w14:paraId="16863497" w14:textId="29B5F8CA">
      <w:pPr>
        <w:jc w:val="both"/>
        <w:rPr>
          <w:rFonts w:ascii="Arial" w:hAnsi="Arial" w:eastAsia="Calibri" w:cs="Arial"/>
          <w:b/>
          <w:color w:val="000000" w:themeColor="text1"/>
          <w:sz w:val="22"/>
          <w:szCs w:val="22"/>
          <w:lang w:val="es-ES"/>
        </w:rPr>
      </w:pPr>
      <w:r w:rsidRPr="00406E40">
        <w:rPr>
          <w:rFonts w:ascii="Arial" w:hAnsi="Arial" w:eastAsia="Calibri" w:cs="Arial"/>
          <w:b/>
          <w:color w:val="000000" w:themeColor="text1"/>
          <w:sz w:val="22"/>
          <w:szCs w:val="22"/>
          <w:lang w:val="es-ES"/>
        </w:rPr>
        <w:t xml:space="preserve">Jairo Valencia </w:t>
      </w:r>
      <w:r w:rsidRPr="00406E40" w:rsidR="00B943C9">
        <w:rPr>
          <w:rFonts w:ascii="Arial" w:hAnsi="Arial" w:eastAsia="Calibri" w:cs="Arial"/>
          <w:b/>
          <w:color w:val="000000" w:themeColor="text1"/>
          <w:sz w:val="22"/>
          <w:szCs w:val="22"/>
          <w:lang w:val="es-ES"/>
        </w:rPr>
        <w:t>Gutiérrez</w:t>
      </w:r>
    </w:p>
    <w:p w:rsidRPr="00406E40" w:rsidR="00A37FB6" w:rsidP="00A403E6" w:rsidRDefault="00A37FB6" w14:paraId="359C48BE" w14:textId="77777777">
      <w:pPr>
        <w:jc w:val="both"/>
        <w:rPr>
          <w:rFonts w:ascii="Arial" w:hAnsi="Arial" w:eastAsia="Calibri" w:cs="Arial"/>
          <w:color w:val="000000" w:themeColor="text1"/>
          <w:sz w:val="22"/>
          <w:szCs w:val="22"/>
          <w:lang w:val="es-ES"/>
        </w:rPr>
      </w:pPr>
      <w:r w:rsidRPr="00406E40">
        <w:rPr>
          <w:rFonts w:ascii="Arial" w:hAnsi="Arial" w:eastAsia="Calibri" w:cs="Arial"/>
          <w:color w:val="000000" w:themeColor="text1"/>
          <w:sz w:val="22"/>
          <w:szCs w:val="22"/>
          <w:lang w:val="es-ES"/>
        </w:rPr>
        <w:t>Ciudad</w:t>
      </w:r>
    </w:p>
    <w:p w:rsidR="00B943C9" w:rsidP="00A403E6" w:rsidRDefault="00B943C9" w14:paraId="7FE23C47" w14:textId="77777777">
      <w:pPr>
        <w:jc w:val="both"/>
        <w:rPr>
          <w:rFonts w:ascii="Arial" w:hAnsi="Arial" w:eastAsia="Calibri" w:cs="Arial"/>
          <w:b/>
          <w:color w:val="000000" w:themeColor="text1"/>
          <w:sz w:val="22"/>
          <w:szCs w:val="22"/>
          <w:lang w:val="es-ES"/>
        </w:rPr>
      </w:pPr>
    </w:p>
    <w:p w:rsidR="00B943C9" w:rsidP="00A403E6" w:rsidRDefault="00B943C9" w14:paraId="297DA913" w14:textId="77777777">
      <w:pPr>
        <w:jc w:val="both"/>
        <w:rPr>
          <w:rFonts w:ascii="Arial" w:hAnsi="Arial" w:eastAsia="Calibri" w:cs="Arial"/>
          <w:b/>
          <w:color w:val="000000" w:themeColor="text1"/>
          <w:sz w:val="22"/>
          <w:szCs w:val="22"/>
          <w:lang w:val="es-ES"/>
        </w:rPr>
      </w:pPr>
    </w:p>
    <w:p w:rsidRPr="00406E40" w:rsidR="00A37FB6" w:rsidP="00150EAF" w:rsidRDefault="00B943C9" w14:paraId="479F6A3A" w14:textId="451614C1">
      <w:pPr>
        <w:spacing w:line="276" w:lineRule="auto"/>
        <w:jc w:val="both"/>
        <w:rPr>
          <w:rFonts w:ascii="Arial" w:hAnsi="Arial" w:eastAsia="Calibri" w:cs="Arial"/>
          <w:b/>
          <w:color w:val="000000" w:themeColor="text1"/>
          <w:sz w:val="22"/>
          <w:szCs w:val="22"/>
          <w:lang w:val="es-ES"/>
        </w:rPr>
      </w:pPr>
      <w:r>
        <w:rPr>
          <w:rFonts w:ascii="Arial" w:hAnsi="Arial" w:eastAsia="Calibri" w:cs="Arial"/>
          <w:b/>
          <w:color w:val="000000" w:themeColor="text1"/>
          <w:sz w:val="22"/>
          <w:szCs w:val="22"/>
          <w:lang w:val="es-ES"/>
        </w:rPr>
        <w:t xml:space="preserve">                                            </w:t>
      </w:r>
      <w:r w:rsidRPr="00406E40" w:rsidR="00A37FB6">
        <w:rPr>
          <w:rFonts w:ascii="Arial" w:hAnsi="Arial" w:eastAsia="Calibri" w:cs="Arial"/>
          <w:b/>
          <w:color w:val="000000" w:themeColor="text1"/>
          <w:sz w:val="22"/>
          <w:szCs w:val="22"/>
          <w:lang w:val="es-ES"/>
        </w:rPr>
        <w:t xml:space="preserve">Concepto C </w:t>
      </w:r>
      <w:r w:rsidR="00A52C50">
        <w:rPr>
          <w:rFonts w:ascii="Arial" w:hAnsi="Arial" w:eastAsia="Calibri" w:cs="Arial"/>
          <w:b/>
          <w:color w:val="000000" w:themeColor="text1"/>
          <w:sz w:val="22"/>
          <w:szCs w:val="22"/>
          <w:lang w:val="es-ES"/>
        </w:rPr>
        <w:t>– 232</w:t>
      </w:r>
      <w:r w:rsidRPr="00406E40" w:rsidR="00A37FB6">
        <w:rPr>
          <w:rFonts w:ascii="Arial" w:hAnsi="Arial" w:eastAsia="Calibri" w:cs="Arial"/>
          <w:b/>
          <w:color w:val="000000" w:themeColor="text1"/>
          <w:sz w:val="22"/>
          <w:szCs w:val="22"/>
          <w:lang w:val="es-ES"/>
        </w:rPr>
        <w:t xml:space="preserve"> de 2020</w:t>
      </w:r>
    </w:p>
    <w:p w:rsidRPr="00406E40" w:rsidR="00A37FB6" w:rsidP="00150EAF" w:rsidRDefault="00A37FB6" w14:paraId="49BB1EAB" w14:textId="77777777">
      <w:pPr>
        <w:spacing w:line="276" w:lineRule="auto"/>
        <w:jc w:val="both"/>
        <w:rPr>
          <w:rFonts w:ascii="Arial" w:hAnsi="Arial" w:eastAsia="Calibri" w:cs="Arial"/>
          <w:color w:val="000000" w:themeColor="text1"/>
          <w:sz w:val="22"/>
          <w:szCs w:val="22"/>
          <w:lang w:val="es-ES"/>
        </w:rPr>
      </w:pPr>
    </w:p>
    <w:tbl>
      <w:tblPr>
        <w:tblStyle w:val="Tablaconcuadrcula"/>
        <w:tblW w:w="892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689"/>
        <w:gridCol w:w="6237"/>
      </w:tblGrid>
      <w:tr w:rsidRPr="00B5799D" w:rsidR="00DD47A2" w:rsidTr="00C97AAA" w14:paraId="20C2FA60" w14:textId="77777777">
        <w:tc>
          <w:tcPr>
            <w:tcW w:w="2689" w:type="dxa"/>
            <w:hideMark/>
          </w:tcPr>
          <w:p w:rsidRPr="00406E40" w:rsidR="00A37FB6" w:rsidP="00150EAF" w:rsidRDefault="00A37FB6" w14:paraId="2A9459AB" w14:textId="77777777">
            <w:pPr>
              <w:spacing w:line="276" w:lineRule="auto"/>
              <w:jc w:val="both"/>
              <w:rPr>
                <w:rFonts w:ascii="Arial" w:hAnsi="Arial" w:eastAsia="Calibri" w:cs="Arial"/>
                <w:color w:val="000000" w:themeColor="text1"/>
                <w:sz w:val="22"/>
                <w:szCs w:val="22"/>
                <w:lang w:val="es-ES"/>
              </w:rPr>
            </w:pPr>
            <w:r w:rsidRPr="00406E40">
              <w:rPr>
                <w:rFonts w:ascii="Arial" w:hAnsi="Arial" w:eastAsia="Calibri" w:cs="Arial"/>
                <w:b/>
                <w:color w:val="000000" w:themeColor="text1"/>
                <w:sz w:val="22"/>
                <w:szCs w:val="22"/>
                <w:lang w:val="es-ES"/>
              </w:rPr>
              <w:t>Temas:</w:t>
            </w:r>
            <w:r w:rsidRPr="00406E40">
              <w:rPr>
                <w:rFonts w:ascii="Arial" w:hAnsi="Arial" w:eastAsia="Calibri" w:cs="Arial"/>
                <w:color w:val="000000" w:themeColor="text1"/>
                <w:sz w:val="22"/>
                <w:szCs w:val="22"/>
                <w:lang w:val="es-ES"/>
              </w:rPr>
              <w:t xml:space="preserve">           </w:t>
            </w:r>
          </w:p>
          <w:p w:rsidRPr="00406E40" w:rsidR="00A37FB6" w:rsidP="00150EAF" w:rsidRDefault="00A37FB6" w14:paraId="1840BCE8" w14:textId="77777777">
            <w:pPr>
              <w:spacing w:line="276" w:lineRule="auto"/>
              <w:jc w:val="both"/>
              <w:rPr>
                <w:rFonts w:ascii="Arial" w:hAnsi="Arial" w:eastAsia="Calibri" w:cs="Arial"/>
                <w:color w:val="000000" w:themeColor="text1"/>
                <w:sz w:val="22"/>
                <w:szCs w:val="22"/>
                <w:lang w:val="es-ES"/>
              </w:rPr>
            </w:pPr>
            <w:r w:rsidRPr="00406E40">
              <w:rPr>
                <w:rFonts w:ascii="Arial" w:hAnsi="Arial" w:eastAsia="Calibri" w:cs="Arial"/>
                <w:color w:val="000000" w:themeColor="text1"/>
                <w:sz w:val="22"/>
                <w:szCs w:val="22"/>
                <w:lang w:val="es-ES"/>
              </w:rPr>
              <w:t xml:space="preserve">                           </w:t>
            </w:r>
          </w:p>
        </w:tc>
        <w:tc>
          <w:tcPr>
            <w:tcW w:w="6237" w:type="dxa"/>
            <w:hideMark/>
          </w:tcPr>
          <w:p w:rsidRPr="00406E40" w:rsidR="00E43624" w:rsidP="00150EAF" w:rsidRDefault="009B616F" w14:paraId="069BC436" w14:textId="570B1299">
            <w:pPr>
              <w:spacing w:after="120" w:line="276" w:lineRule="auto"/>
              <w:jc w:val="both"/>
              <w:rPr>
                <w:rFonts w:ascii="Arial" w:hAnsi="Arial" w:eastAsia="Calibri" w:cs="Arial"/>
                <w:color w:val="000000" w:themeColor="text1"/>
                <w:sz w:val="22"/>
                <w:szCs w:val="22"/>
                <w:lang w:val="es-ES"/>
              </w:rPr>
            </w:pPr>
            <w:r w:rsidRPr="009B616F">
              <w:rPr>
                <w:rFonts w:ascii="Arial" w:hAnsi="Arial" w:eastAsia="Calibri" w:cs="Arial"/>
                <w:color w:val="000000" w:themeColor="text1"/>
                <w:sz w:val="22"/>
                <w:szCs w:val="22"/>
                <w:lang w:val="es-ES"/>
              </w:rPr>
              <w:t>SERVICIOS PÚBLICOS DOMICILIARIOS – Liberalización</w:t>
            </w:r>
            <w:r>
              <w:rPr>
                <w:rFonts w:ascii="Arial" w:hAnsi="Arial" w:eastAsia="Calibri" w:cs="Arial"/>
                <w:color w:val="000000" w:themeColor="text1"/>
                <w:sz w:val="22"/>
                <w:szCs w:val="22"/>
                <w:lang w:val="es-ES"/>
              </w:rPr>
              <w:t xml:space="preserve"> / </w:t>
            </w:r>
            <w:r w:rsidRPr="009B616F">
              <w:rPr>
                <w:rFonts w:ascii="Arial" w:hAnsi="Arial" w:eastAsia="Calibri" w:cs="Arial"/>
                <w:color w:val="000000" w:themeColor="text1"/>
                <w:sz w:val="22"/>
                <w:szCs w:val="22"/>
                <w:lang w:val="es-ES"/>
              </w:rPr>
              <w:t>EMPRESAS DE SERVICIOS PÚBLICAS MIXTAS – Entidades estatales</w:t>
            </w:r>
            <w:r>
              <w:rPr>
                <w:rFonts w:ascii="Arial" w:hAnsi="Arial" w:eastAsia="Calibri" w:cs="Arial"/>
                <w:color w:val="000000" w:themeColor="text1"/>
                <w:sz w:val="22"/>
                <w:szCs w:val="22"/>
                <w:lang w:val="es-ES"/>
              </w:rPr>
              <w:t xml:space="preserve"> / </w:t>
            </w:r>
            <w:r w:rsidRPr="009B616F">
              <w:rPr>
                <w:rFonts w:ascii="Arial" w:hAnsi="Arial" w:eastAsia="Calibri" w:cs="Arial"/>
                <w:color w:val="000000" w:themeColor="text1"/>
                <w:sz w:val="22"/>
                <w:szCs w:val="22"/>
                <w:lang w:val="es-ES"/>
              </w:rPr>
              <w:t>PLAN ANUAL DE ADQUISICIONES – Entidades del estado – Concepto</w:t>
            </w:r>
            <w:r>
              <w:rPr>
                <w:rFonts w:ascii="Arial" w:hAnsi="Arial" w:eastAsia="Calibri" w:cs="Arial"/>
                <w:color w:val="000000" w:themeColor="text1"/>
                <w:sz w:val="22"/>
                <w:szCs w:val="22"/>
                <w:lang w:val="es-ES"/>
              </w:rPr>
              <w:t xml:space="preserve"> / </w:t>
            </w:r>
            <w:r w:rsidRPr="009B616F">
              <w:rPr>
                <w:rFonts w:ascii="Arial" w:hAnsi="Arial" w:eastAsia="Calibri" w:cs="Arial"/>
                <w:color w:val="000000" w:themeColor="text1"/>
                <w:sz w:val="22"/>
                <w:szCs w:val="22"/>
                <w:lang w:val="es-ES"/>
              </w:rPr>
              <w:t>PLAN ANUAL DE ADQUISICIONES – Publicidad – Excepciones – Empresas de servicios públicos mixtas – Recursos públicos</w:t>
            </w:r>
            <w:r>
              <w:rPr>
                <w:rFonts w:ascii="Arial" w:hAnsi="Arial" w:eastAsia="Calibri" w:cs="Arial"/>
                <w:color w:val="000000" w:themeColor="text1"/>
                <w:sz w:val="22"/>
                <w:szCs w:val="22"/>
                <w:lang w:val="es-ES"/>
              </w:rPr>
              <w:t xml:space="preserve"> / </w:t>
            </w:r>
            <w:r w:rsidRPr="009B616F">
              <w:rPr>
                <w:rFonts w:ascii="Arial" w:hAnsi="Arial" w:eastAsia="Calibri" w:cs="Arial"/>
                <w:color w:val="000000" w:themeColor="text1"/>
                <w:sz w:val="22"/>
                <w:szCs w:val="22"/>
                <w:lang w:val="es-ES"/>
              </w:rPr>
              <w:t>PLAN ANUAL DE ADQUISICIONES – Publicidad – Excepciones – Empresas de servicios públicos mixtas – Proyectos de inversión</w:t>
            </w:r>
            <w:r>
              <w:rPr>
                <w:rFonts w:ascii="Arial" w:hAnsi="Arial" w:eastAsia="Calibri" w:cs="Arial"/>
                <w:color w:val="000000" w:themeColor="text1"/>
                <w:sz w:val="22"/>
                <w:szCs w:val="22"/>
                <w:lang w:val="es-ES"/>
              </w:rPr>
              <w:t xml:space="preserve"> / </w:t>
            </w:r>
            <w:r w:rsidRPr="009B616F">
              <w:rPr>
                <w:rFonts w:ascii="Arial" w:hAnsi="Arial" w:eastAsia="Calibri" w:cs="Arial"/>
                <w:color w:val="000000" w:themeColor="text1"/>
                <w:sz w:val="22"/>
                <w:szCs w:val="22"/>
                <w:lang w:val="es-ES"/>
              </w:rPr>
              <w:t xml:space="preserve">PLAN ANUAL DE ADQUISICIONES – Directrices – Colombia Compra Eficiente </w:t>
            </w:r>
            <w:r>
              <w:rPr>
                <w:rFonts w:ascii="Arial" w:hAnsi="Arial" w:eastAsia="Calibri" w:cs="Arial"/>
                <w:color w:val="000000" w:themeColor="text1"/>
                <w:sz w:val="22"/>
                <w:szCs w:val="22"/>
                <w:lang w:val="es-ES"/>
              </w:rPr>
              <w:t xml:space="preserve">/ </w:t>
            </w:r>
            <w:r w:rsidRPr="009B616F">
              <w:rPr>
                <w:rFonts w:ascii="Arial" w:hAnsi="Arial" w:eastAsia="Calibri" w:cs="Arial"/>
                <w:color w:val="000000" w:themeColor="text1"/>
                <w:sz w:val="22"/>
                <w:szCs w:val="22"/>
                <w:lang w:val="es-ES"/>
              </w:rPr>
              <w:t>PLAN ANUAL DE ADQUISICIONES – Directrices – Colombia Compra Eficiente</w:t>
            </w:r>
            <w:r>
              <w:rPr>
                <w:rFonts w:ascii="Arial" w:hAnsi="Arial" w:eastAsia="Calibri" w:cs="Arial"/>
                <w:color w:val="000000" w:themeColor="text1"/>
                <w:sz w:val="22"/>
                <w:szCs w:val="22"/>
                <w:lang w:val="es-ES"/>
              </w:rPr>
              <w:t xml:space="preserve"> / </w:t>
            </w:r>
            <w:r w:rsidRPr="009B616F">
              <w:rPr>
                <w:rFonts w:ascii="Arial" w:hAnsi="Arial" w:eastAsia="Calibri" w:cs="Arial"/>
                <w:color w:val="000000" w:themeColor="text1"/>
                <w:sz w:val="22"/>
                <w:szCs w:val="22"/>
                <w:lang w:val="es-ES"/>
              </w:rPr>
              <w:t>PLAN ANUAL DE ADQUISICIONES – Entidades con régimen especial – Empresas de servicios públicos mixtas</w:t>
            </w:r>
          </w:p>
        </w:tc>
      </w:tr>
      <w:tr w:rsidRPr="00406E40" w:rsidR="00A37FB6" w:rsidTr="00C97AAA" w14:paraId="62473A71" w14:textId="77777777">
        <w:tc>
          <w:tcPr>
            <w:tcW w:w="2689" w:type="dxa"/>
          </w:tcPr>
          <w:p w:rsidRPr="00406E40" w:rsidR="00A37FB6" w:rsidP="00150EAF" w:rsidRDefault="00A37FB6" w14:paraId="730BF589" w14:textId="77777777">
            <w:pPr>
              <w:spacing w:line="276" w:lineRule="auto"/>
              <w:jc w:val="both"/>
              <w:rPr>
                <w:rFonts w:ascii="Arial" w:hAnsi="Arial" w:eastAsia="Calibri" w:cs="Arial"/>
                <w:b/>
                <w:color w:val="000000" w:themeColor="text1"/>
                <w:sz w:val="22"/>
                <w:szCs w:val="22"/>
                <w:lang w:val="es-ES"/>
              </w:rPr>
            </w:pPr>
            <w:r w:rsidRPr="00406E40">
              <w:rPr>
                <w:rFonts w:ascii="Arial" w:hAnsi="Arial" w:eastAsia="Calibri" w:cs="Arial"/>
                <w:b/>
                <w:color w:val="000000" w:themeColor="text1"/>
                <w:sz w:val="22"/>
                <w:szCs w:val="22"/>
                <w:lang w:val="es-ES"/>
              </w:rPr>
              <w:t>Radicación:</w:t>
            </w:r>
            <w:r w:rsidRPr="00406E40">
              <w:rPr>
                <w:rFonts w:ascii="Arial" w:hAnsi="Arial" w:eastAsia="Calibri" w:cs="Arial"/>
                <w:color w:val="000000" w:themeColor="text1"/>
                <w:sz w:val="22"/>
                <w:szCs w:val="22"/>
                <w:lang w:val="es-ES"/>
              </w:rPr>
              <w:t xml:space="preserve">                              </w:t>
            </w:r>
          </w:p>
        </w:tc>
        <w:tc>
          <w:tcPr>
            <w:tcW w:w="6237" w:type="dxa"/>
          </w:tcPr>
          <w:p w:rsidRPr="00406E40" w:rsidR="00A37FB6" w:rsidP="00150EAF" w:rsidRDefault="00A37FB6" w14:paraId="2CD77F9B" w14:textId="6A4F355D">
            <w:pPr>
              <w:spacing w:line="276" w:lineRule="auto"/>
              <w:jc w:val="both"/>
              <w:rPr>
                <w:rFonts w:ascii="Arial" w:hAnsi="Arial" w:eastAsia="Calibri" w:cs="Arial"/>
                <w:color w:val="000000" w:themeColor="text1"/>
                <w:sz w:val="22"/>
                <w:szCs w:val="22"/>
                <w:lang w:val="es-ES"/>
              </w:rPr>
            </w:pPr>
            <w:r w:rsidRPr="00406E40">
              <w:rPr>
                <w:rFonts w:ascii="Arial" w:hAnsi="Arial" w:eastAsia="Calibri" w:cs="Arial"/>
                <w:color w:val="000000" w:themeColor="text1"/>
                <w:sz w:val="22"/>
                <w:szCs w:val="22"/>
                <w:lang w:val="es-ES"/>
              </w:rPr>
              <w:t xml:space="preserve">Respuesta a consulta </w:t>
            </w:r>
            <w:r w:rsidRPr="00172DCD" w:rsidR="00172DCD">
              <w:rPr>
                <w:rFonts w:ascii="Arial" w:hAnsi="Arial" w:eastAsia="Calibri" w:cs="Arial"/>
                <w:color w:val="000000" w:themeColor="text1"/>
                <w:sz w:val="22"/>
                <w:szCs w:val="22"/>
                <w:lang w:val="es-ES"/>
              </w:rPr>
              <w:t>4202012000003080</w:t>
            </w:r>
          </w:p>
        </w:tc>
      </w:tr>
    </w:tbl>
    <w:p w:rsidR="00A37FB6" w:rsidP="00150EAF" w:rsidRDefault="00A37FB6" w14:paraId="6AEA1AE6" w14:textId="56706EDF">
      <w:pPr>
        <w:spacing w:line="276" w:lineRule="auto"/>
        <w:jc w:val="both"/>
        <w:rPr>
          <w:rFonts w:ascii="Arial" w:hAnsi="Arial" w:eastAsia="Calibri" w:cs="Arial"/>
          <w:color w:val="000000" w:themeColor="text1"/>
          <w:sz w:val="22"/>
          <w:szCs w:val="22"/>
          <w:lang w:val="es-ES"/>
        </w:rPr>
      </w:pPr>
    </w:p>
    <w:p w:rsidRPr="00406E40" w:rsidR="009B616F" w:rsidP="00150EAF" w:rsidRDefault="009B616F" w14:paraId="325A4A96" w14:textId="77777777">
      <w:pPr>
        <w:spacing w:line="276" w:lineRule="auto"/>
        <w:jc w:val="both"/>
        <w:rPr>
          <w:rFonts w:ascii="Arial" w:hAnsi="Arial" w:eastAsia="Calibri" w:cs="Arial"/>
          <w:color w:val="000000" w:themeColor="text1"/>
          <w:sz w:val="22"/>
          <w:szCs w:val="22"/>
          <w:lang w:val="es-ES"/>
        </w:rPr>
      </w:pPr>
    </w:p>
    <w:p w:rsidRPr="00406E40" w:rsidR="00A37FB6" w:rsidP="00150EAF" w:rsidRDefault="00A37FB6" w14:paraId="3216C844" w14:textId="0E899A59">
      <w:pPr>
        <w:spacing w:line="276" w:lineRule="auto"/>
        <w:jc w:val="both"/>
        <w:rPr>
          <w:rFonts w:ascii="Arial" w:hAnsi="Arial" w:eastAsia="Calibri" w:cs="Arial"/>
          <w:color w:val="000000" w:themeColor="text1"/>
          <w:sz w:val="22"/>
          <w:szCs w:val="22"/>
          <w:lang w:val="es-ES"/>
        </w:rPr>
      </w:pPr>
      <w:r w:rsidRPr="00406E40">
        <w:rPr>
          <w:rFonts w:ascii="Arial" w:hAnsi="Arial" w:eastAsia="Calibri" w:cs="Arial"/>
          <w:color w:val="000000" w:themeColor="text1"/>
          <w:sz w:val="22"/>
          <w:szCs w:val="22"/>
          <w:lang w:val="es-ES"/>
        </w:rPr>
        <w:t>Estimado señor</w:t>
      </w:r>
      <w:r w:rsidRPr="00406E40" w:rsidR="001D30D8">
        <w:rPr>
          <w:rFonts w:ascii="Arial" w:hAnsi="Arial" w:eastAsia="Calibri" w:cs="Arial"/>
          <w:color w:val="000000" w:themeColor="text1"/>
          <w:sz w:val="22"/>
          <w:szCs w:val="22"/>
          <w:lang w:val="es-ES"/>
        </w:rPr>
        <w:t xml:space="preserve"> Valencia</w:t>
      </w:r>
      <w:r w:rsidRPr="00406E40">
        <w:rPr>
          <w:rFonts w:ascii="Arial" w:hAnsi="Arial" w:eastAsia="Calibri" w:cs="Arial"/>
          <w:color w:val="000000" w:themeColor="text1"/>
          <w:sz w:val="22"/>
          <w:szCs w:val="22"/>
          <w:lang w:val="es-ES"/>
        </w:rPr>
        <w:t>,</w:t>
      </w:r>
    </w:p>
    <w:p w:rsidRPr="00406E40" w:rsidR="00A37FB6" w:rsidP="00150EAF" w:rsidRDefault="00A37FB6" w14:paraId="2F0DA2F5" w14:textId="77777777">
      <w:pPr>
        <w:spacing w:line="276" w:lineRule="auto"/>
        <w:jc w:val="both"/>
        <w:rPr>
          <w:rFonts w:ascii="Arial" w:hAnsi="Arial" w:eastAsia="Calibri" w:cs="Arial"/>
          <w:color w:val="000000" w:themeColor="text1"/>
          <w:sz w:val="22"/>
          <w:szCs w:val="22"/>
          <w:lang w:val="es-ES"/>
        </w:rPr>
      </w:pPr>
    </w:p>
    <w:p w:rsidRPr="00406E40" w:rsidR="002B55F0" w:rsidP="00150EAF" w:rsidRDefault="002B55F0" w14:paraId="75EB410A" w14:textId="006219E4">
      <w:pPr>
        <w:spacing w:line="276" w:lineRule="auto"/>
        <w:ind w:right="49"/>
        <w:jc w:val="both"/>
        <w:rPr>
          <w:rFonts w:ascii="Arial" w:hAnsi="Arial" w:eastAsia="Calibri" w:cs="Arial"/>
          <w:color w:val="000000" w:themeColor="text1"/>
          <w:sz w:val="22"/>
          <w:szCs w:val="22"/>
          <w:lang w:val="es-ES"/>
        </w:rPr>
      </w:pPr>
      <w:r w:rsidRPr="002B55F0">
        <w:rPr>
          <w:rFonts w:ascii="Arial" w:hAnsi="Arial" w:eastAsia="Calibri" w:cs="Arial"/>
          <w:color w:val="000000" w:themeColor="text1"/>
          <w:sz w:val="22"/>
          <w:szCs w:val="22"/>
          <w:lang w:val="es-ES"/>
        </w:rPr>
        <w:t xml:space="preserve">En ejercicio de la competencia otorgada por los artículos 11, numeral 8º, y 3º, numeral 5º, del Decreto Ley 4170 de 2011, la Agencia Nacional de Contratación Pública − Colombia Compra Eficiente responde su consulta del </w:t>
      </w:r>
      <w:r>
        <w:rPr>
          <w:rFonts w:ascii="Arial" w:hAnsi="Arial" w:eastAsia="Calibri" w:cs="Arial"/>
          <w:color w:val="000000" w:themeColor="text1"/>
          <w:sz w:val="22"/>
          <w:szCs w:val="22"/>
          <w:lang w:val="es-ES"/>
        </w:rPr>
        <w:t>27 de abril</w:t>
      </w:r>
      <w:r w:rsidRPr="002B55F0">
        <w:rPr>
          <w:rFonts w:ascii="Arial" w:hAnsi="Arial" w:eastAsia="Calibri" w:cs="Arial"/>
          <w:color w:val="000000" w:themeColor="text1"/>
          <w:sz w:val="22"/>
          <w:szCs w:val="22"/>
          <w:lang w:val="es-ES"/>
        </w:rPr>
        <w:t xml:space="preserve"> de 2020. </w:t>
      </w:r>
    </w:p>
    <w:p w:rsidRPr="00406E40" w:rsidR="00A37FB6" w:rsidP="00150EAF" w:rsidRDefault="00A37FB6" w14:paraId="37E551C1" w14:textId="77777777">
      <w:pPr>
        <w:spacing w:line="276" w:lineRule="auto"/>
        <w:jc w:val="both"/>
        <w:rPr>
          <w:rFonts w:ascii="Arial" w:hAnsi="Arial" w:eastAsia="Calibri" w:cs="Arial"/>
          <w:color w:val="000000" w:themeColor="text1"/>
          <w:sz w:val="22"/>
          <w:szCs w:val="22"/>
          <w:lang w:val="es-ES"/>
        </w:rPr>
      </w:pPr>
    </w:p>
    <w:p w:rsidRPr="00406E40" w:rsidR="00A37FB6" w:rsidP="00150EAF" w:rsidRDefault="00A37FB6" w14:paraId="498A026D" w14:textId="35EB9CCB">
      <w:pPr>
        <w:pStyle w:val="Prrafodelista"/>
        <w:numPr>
          <w:ilvl w:val="0"/>
          <w:numId w:val="6"/>
        </w:numPr>
        <w:tabs>
          <w:tab w:val="left" w:pos="284"/>
        </w:tabs>
        <w:spacing w:before="0" w:after="0"/>
        <w:ind w:left="0" w:firstLine="0"/>
        <w:rPr>
          <w:rFonts w:ascii="Arial" w:hAnsi="Arial" w:eastAsia="Calibri" w:cs="Arial"/>
          <w:b/>
          <w:color w:val="000000" w:themeColor="text1"/>
          <w:sz w:val="22"/>
          <w:lang w:val="es-ES"/>
        </w:rPr>
      </w:pPr>
      <w:r w:rsidRPr="00406E40">
        <w:rPr>
          <w:rFonts w:ascii="Arial" w:hAnsi="Arial" w:eastAsia="Calibri" w:cs="Arial"/>
          <w:b/>
          <w:color w:val="000000" w:themeColor="text1"/>
          <w:sz w:val="22"/>
          <w:lang w:val="es-ES"/>
        </w:rPr>
        <w:t xml:space="preserve">Problemas planteados </w:t>
      </w:r>
    </w:p>
    <w:p w:rsidRPr="00406E40" w:rsidR="00130F04" w:rsidP="00150EAF" w:rsidRDefault="00130F04" w14:paraId="2AEAEFB7" w14:textId="77777777">
      <w:pPr>
        <w:pStyle w:val="Prrafodelista"/>
        <w:tabs>
          <w:tab w:val="left" w:pos="284"/>
        </w:tabs>
        <w:spacing w:before="0" w:after="0"/>
        <w:ind w:left="0"/>
        <w:rPr>
          <w:rFonts w:ascii="Arial" w:hAnsi="Arial" w:eastAsia="Calibri" w:cs="Arial"/>
          <w:b/>
          <w:color w:val="000000" w:themeColor="text1"/>
          <w:sz w:val="22"/>
          <w:lang w:val="es-ES"/>
        </w:rPr>
      </w:pPr>
    </w:p>
    <w:p w:rsidRPr="00406E40" w:rsidR="00425FD7" w:rsidP="00150EAF" w:rsidRDefault="00A37FB6" w14:paraId="7D02A582" w14:textId="3DCBCB83">
      <w:pPr>
        <w:tabs>
          <w:tab w:val="left" w:pos="426"/>
        </w:tabs>
        <w:spacing w:line="276" w:lineRule="auto"/>
        <w:jc w:val="both"/>
        <w:rPr>
          <w:rFonts w:ascii="Arial" w:hAnsi="Arial" w:eastAsia="Calibri" w:cs="Arial"/>
          <w:color w:val="000000" w:themeColor="text1"/>
          <w:sz w:val="22"/>
          <w:szCs w:val="22"/>
          <w:lang w:val="es-ES"/>
        </w:rPr>
      </w:pPr>
      <w:bookmarkStart w:name="_Hlk39160062" w:id="2"/>
      <w:r w:rsidRPr="00406E40">
        <w:rPr>
          <w:rFonts w:ascii="Arial" w:hAnsi="Arial" w:eastAsia="Calibri" w:cs="Arial"/>
          <w:color w:val="000000" w:themeColor="text1"/>
          <w:sz w:val="22"/>
          <w:szCs w:val="22"/>
          <w:lang w:val="es-ES"/>
        </w:rPr>
        <w:t xml:space="preserve">Usted </w:t>
      </w:r>
      <w:r w:rsidRPr="00406E40" w:rsidR="00425FD7">
        <w:rPr>
          <w:rFonts w:ascii="Arial" w:hAnsi="Arial" w:eastAsia="Calibri" w:cs="Arial"/>
          <w:color w:val="000000" w:themeColor="text1"/>
          <w:sz w:val="22"/>
          <w:szCs w:val="22"/>
          <w:lang w:val="es-ES"/>
        </w:rPr>
        <w:t>formula</w:t>
      </w:r>
      <w:r w:rsidRPr="00406E40">
        <w:rPr>
          <w:rFonts w:ascii="Arial" w:hAnsi="Arial" w:eastAsia="Calibri" w:cs="Arial"/>
          <w:color w:val="000000" w:themeColor="text1"/>
          <w:sz w:val="22"/>
          <w:szCs w:val="22"/>
          <w:lang w:val="es-ES"/>
        </w:rPr>
        <w:t xml:space="preserve"> las siguientes preguntas: </w:t>
      </w:r>
      <w:r w:rsidRPr="00406E40" w:rsidR="00425FD7">
        <w:rPr>
          <w:rFonts w:ascii="Arial" w:hAnsi="Arial" w:eastAsia="Calibri" w:cs="Arial"/>
          <w:color w:val="000000" w:themeColor="text1"/>
          <w:sz w:val="22"/>
          <w:szCs w:val="22"/>
          <w:lang w:val="es-ES"/>
        </w:rPr>
        <w:t>i) ¿</w:t>
      </w:r>
      <w:r w:rsidR="00641DD3">
        <w:rPr>
          <w:rFonts w:ascii="Arial" w:hAnsi="Arial" w:eastAsia="Calibri" w:cs="Arial"/>
          <w:color w:val="000000" w:themeColor="text1"/>
          <w:sz w:val="22"/>
          <w:szCs w:val="22"/>
          <w:lang w:val="es-ES"/>
        </w:rPr>
        <w:t>s</w:t>
      </w:r>
      <w:r w:rsidRPr="00406E40" w:rsidR="00425FD7">
        <w:rPr>
          <w:rFonts w:ascii="Arial" w:hAnsi="Arial" w:eastAsia="Calibri" w:cs="Arial"/>
          <w:color w:val="000000" w:themeColor="text1"/>
          <w:sz w:val="22"/>
          <w:szCs w:val="22"/>
          <w:lang w:val="es-ES"/>
        </w:rPr>
        <w:t xml:space="preserve">e encuentran obligadas las </w:t>
      </w:r>
      <w:r w:rsidR="00150EAF">
        <w:rPr>
          <w:rFonts w:ascii="Arial" w:hAnsi="Arial" w:eastAsia="Calibri" w:cs="Arial"/>
          <w:color w:val="000000" w:themeColor="text1"/>
          <w:sz w:val="22"/>
          <w:szCs w:val="22"/>
          <w:lang w:val="es-ES"/>
        </w:rPr>
        <w:t>e</w:t>
      </w:r>
      <w:r w:rsidRPr="00406E40" w:rsidR="00425FD7">
        <w:rPr>
          <w:rFonts w:ascii="Arial" w:hAnsi="Arial" w:eastAsia="Calibri" w:cs="Arial"/>
          <w:color w:val="000000" w:themeColor="text1"/>
          <w:sz w:val="22"/>
          <w:szCs w:val="22"/>
          <w:lang w:val="es-ES"/>
        </w:rPr>
        <w:t xml:space="preserve">mpresas de </w:t>
      </w:r>
      <w:r w:rsidRPr="00406E40" w:rsidR="00B00EC0">
        <w:rPr>
          <w:rFonts w:ascii="Arial" w:hAnsi="Arial" w:eastAsia="Calibri" w:cs="Arial"/>
          <w:color w:val="000000" w:themeColor="text1"/>
          <w:sz w:val="22"/>
          <w:szCs w:val="22"/>
          <w:lang w:val="es-ES"/>
        </w:rPr>
        <w:t>servicios públicos mixtas</w:t>
      </w:r>
      <w:r w:rsidR="00150EAF">
        <w:rPr>
          <w:rFonts w:ascii="Arial" w:hAnsi="Arial" w:eastAsia="Calibri" w:cs="Arial"/>
          <w:color w:val="000000" w:themeColor="text1"/>
          <w:sz w:val="22"/>
          <w:szCs w:val="22"/>
          <w:lang w:val="es-ES"/>
        </w:rPr>
        <w:t>,</w:t>
      </w:r>
      <w:r w:rsidRPr="00406E40" w:rsidR="00B00EC0">
        <w:rPr>
          <w:rFonts w:ascii="Arial" w:hAnsi="Arial" w:eastAsia="Calibri" w:cs="Arial"/>
          <w:color w:val="000000" w:themeColor="text1"/>
          <w:sz w:val="22"/>
          <w:szCs w:val="22"/>
          <w:lang w:val="es-ES"/>
        </w:rPr>
        <w:t xml:space="preserve"> </w:t>
      </w:r>
      <w:r w:rsidRPr="00406E40" w:rsidR="00425FD7">
        <w:rPr>
          <w:rFonts w:ascii="Arial" w:hAnsi="Arial" w:eastAsia="Calibri" w:cs="Arial"/>
          <w:color w:val="000000" w:themeColor="text1"/>
          <w:sz w:val="22"/>
          <w:szCs w:val="22"/>
          <w:lang w:val="es-ES"/>
        </w:rPr>
        <w:t>con capital mayoritariamente público</w:t>
      </w:r>
      <w:r w:rsidR="00150EAF">
        <w:rPr>
          <w:rFonts w:ascii="Arial" w:hAnsi="Arial" w:eastAsia="Calibri" w:cs="Arial"/>
          <w:color w:val="000000" w:themeColor="text1"/>
          <w:sz w:val="22"/>
          <w:szCs w:val="22"/>
          <w:lang w:val="es-ES"/>
        </w:rPr>
        <w:t>,</w:t>
      </w:r>
      <w:r w:rsidRPr="00406E40" w:rsidR="00425FD7">
        <w:rPr>
          <w:rFonts w:ascii="Arial" w:hAnsi="Arial" w:eastAsia="Calibri" w:cs="Arial"/>
          <w:color w:val="000000" w:themeColor="text1"/>
          <w:sz w:val="22"/>
          <w:szCs w:val="22"/>
          <w:lang w:val="es-ES"/>
        </w:rPr>
        <w:t xml:space="preserve"> a elaborar, publicar y actualizar el </w:t>
      </w:r>
      <w:r w:rsidRPr="00406E40" w:rsidR="00B00EC0">
        <w:rPr>
          <w:rFonts w:ascii="Arial" w:hAnsi="Arial" w:eastAsia="Calibri" w:cs="Arial"/>
          <w:color w:val="000000" w:themeColor="text1"/>
          <w:sz w:val="22"/>
          <w:szCs w:val="22"/>
          <w:lang w:val="es-ES"/>
        </w:rPr>
        <w:t xml:space="preserve">plan anual de adquisiciones </w:t>
      </w:r>
      <w:r w:rsidRPr="00406E40" w:rsidR="00425FD7">
        <w:rPr>
          <w:rFonts w:ascii="Arial" w:hAnsi="Arial" w:eastAsia="Calibri" w:cs="Arial"/>
          <w:color w:val="000000" w:themeColor="text1"/>
          <w:sz w:val="22"/>
          <w:szCs w:val="22"/>
          <w:lang w:val="es-ES"/>
        </w:rPr>
        <w:t>en el SECOP?</w:t>
      </w:r>
      <w:r w:rsidR="00B00EC0">
        <w:rPr>
          <w:rFonts w:ascii="Arial" w:hAnsi="Arial" w:eastAsia="Calibri" w:cs="Arial"/>
          <w:color w:val="000000" w:themeColor="text1"/>
          <w:sz w:val="22"/>
          <w:szCs w:val="22"/>
          <w:lang w:val="es-ES"/>
        </w:rPr>
        <w:t>,</w:t>
      </w:r>
      <w:r w:rsidRPr="00406E40" w:rsidR="00425FD7">
        <w:rPr>
          <w:rFonts w:ascii="Arial" w:hAnsi="Arial" w:eastAsia="Calibri" w:cs="Arial"/>
          <w:color w:val="000000" w:themeColor="text1"/>
          <w:sz w:val="22"/>
          <w:szCs w:val="22"/>
          <w:lang w:val="es-ES"/>
        </w:rPr>
        <w:t xml:space="preserve"> </w:t>
      </w:r>
      <w:bookmarkStart w:name="_Hlk42702730" w:id="3"/>
      <w:proofErr w:type="spellStart"/>
      <w:r w:rsidRPr="00406E40" w:rsidR="00425FD7">
        <w:rPr>
          <w:rFonts w:ascii="Arial" w:hAnsi="Arial" w:eastAsia="Calibri" w:cs="Arial"/>
          <w:color w:val="000000" w:themeColor="text1"/>
          <w:sz w:val="22"/>
          <w:szCs w:val="22"/>
          <w:lang w:val="es-ES"/>
        </w:rPr>
        <w:t>ii</w:t>
      </w:r>
      <w:proofErr w:type="spellEnd"/>
      <w:r w:rsidRPr="00406E40" w:rsidR="00425FD7">
        <w:rPr>
          <w:rFonts w:ascii="Arial" w:hAnsi="Arial" w:eastAsia="Calibri" w:cs="Arial"/>
          <w:color w:val="000000" w:themeColor="text1"/>
          <w:sz w:val="22"/>
          <w:szCs w:val="22"/>
          <w:lang w:val="es-ES"/>
        </w:rPr>
        <w:t>) ¿</w:t>
      </w:r>
      <w:r w:rsidR="00B00EC0">
        <w:rPr>
          <w:rFonts w:ascii="Arial" w:hAnsi="Arial" w:eastAsia="Calibri" w:cs="Arial"/>
          <w:color w:val="000000" w:themeColor="text1"/>
          <w:sz w:val="22"/>
          <w:szCs w:val="22"/>
          <w:lang w:val="es-ES"/>
        </w:rPr>
        <w:t>e</w:t>
      </w:r>
      <w:r w:rsidRPr="00406E40" w:rsidR="00425FD7">
        <w:rPr>
          <w:rFonts w:ascii="Arial" w:hAnsi="Arial" w:eastAsia="Calibri" w:cs="Arial"/>
          <w:color w:val="000000" w:themeColor="text1"/>
          <w:sz w:val="22"/>
          <w:szCs w:val="22"/>
          <w:lang w:val="es-ES"/>
        </w:rPr>
        <w:t xml:space="preserve">sta entidad forma parte del </w:t>
      </w:r>
      <w:r w:rsidRPr="00406E40" w:rsidR="00B00EC0">
        <w:rPr>
          <w:rFonts w:ascii="Arial" w:hAnsi="Arial" w:eastAsia="Calibri" w:cs="Arial"/>
          <w:color w:val="000000" w:themeColor="text1"/>
          <w:sz w:val="22"/>
          <w:szCs w:val="22"/>
          <w:lang w:val="es-ES"/>
        </w:rPr>
        <w:t>sistema de compras públicas</w:t>
      </w:r>
      <w:r w:rsidRPr="00406E40" w:rsidR="00425FD7">
        <w:rPr>
          <w:rFonts w:ascii="Arial" w:hAnsi="Arial" w:eastAsia="Calibri" w:cs="Arial"/>
          <w:color w:val="000000" w:themeColor="text1"/>
          <w:sz w:val="22"/>
          <w:szCs w:val="22"/>
          <w:lang w:val="es-ES"/>
        </w:rPr>
        <w:t xml:space="preserve"> y se encuentra obligada </w:t>
      </w:r>
      <w:r w:rsidR="00150EAF">
        <w:rPr>
          <w:rFonts w:ascii="Arial" w:hAnsi="Arial" w:eastAsia="Calibri" w:cs="Arial"/>
          <w:color w:val="000000" w:themeColor="text1"/>
          <w:sz w:val="22"/>
          <w:szCs w:val="22"/>
          <w:lang w:val="es-ES"/>
        </w:rPr>
        <w:t>a</w:t>
      </w:r>
      <w:r w:rsidRPr="00406E40" w:rsidR="00425FD7">
        <w:rPr>
          <w:rFonts w:ascii="Arial" w:hAnsi="Arial" w:eastAsia="Calibri" w:cs="Arial"/>
          <w:color w:val="000000" w:themeColor="text1"/>
          <w:sz w:val="22"/>
          <w:szCs w:val="22"/>
          <w:lang w:val="es-ES"/>
        </w:rPr>
        <w:t xml:space="preserve"> </w:t>
      </w:r>
      <w:r w:rsidR="00150EAF">
        <w:rPr>
          <w:rFonts w:ascii="Arial" w:hAnsi="Arial" w:eastAsia="Calibri" w:cs="Arial"/>
          <w:color w:val="000000" w:themeColor="text1"/>
          <w:sz w:val="22"/>
          <w:szCs w:val="22"/>
          <w:lang w:val="es-ES"/>
        </w:rPr>
        <w:t>cumplir</w:t>
      </w:r>
      <w:r w:rsidRPr="00406E40" w:rsidR="00425FD7">
        <w:rPr>
          <w:rFonts w:ascii="Arial" w:hAnsi="Arial" w:eastAsia="Calibri" w:cs="Arial"/>
          <w:color w:val="000000" w:themeColor="text1"/>
          <w:sz w:val="22"/>
          <w:szCs w:val="22"/>
          <w:lang w:val="es-ES"/>
        </w:rPr>
        <w:t xml:space="preserve"> las directrices de Colombia Compra Eficiente en la materia?</w:t>
      </w:r>
      <w:bookmarkEnd w:id="2"/>
      <w:bookmarkEnd w:id="3"/>
    </w:p>
    <w:p w:rsidRPr="00406E40" w:rsidR="00A37FB6" w:rsidP="00150EAF" w:rsidRDefault="00A37FB6" w14:paraId="6A982790" w14:textId="77777777">
      <w:pPr>
        <w:tabs>
          <w:tab w:val="left" w:pos="426"/>
        </w:tabs>
        <w:spacing w:line="276" w:lineRule="auto"/>
        <w:jc w:val="both"/>
        <w:rPr>
          <w:rFonts w:ascii="Arial" w:hAnsi="Arial" w:eastAsia="Calibri" w:cs="Arial"/>
          <w:color w:val="000000" w:themeColor="text1"/>
          <w:sz w:val="22"/>
          <w:szCs w:val="22"/>
          <w:lang w:val="es-ES"/>
        </w:rPr>
      </w:pPr>
    </w:p>
    <w:p w:rsidRPr="00406E40" w:rsidR="00425FD7" w:rsidP="00150EAF" w:rsidRDefault="00A37FB6" w14:paraId="04581001" w14:textId="4E5955FC">
      <w:pPr>
        <w:pStyle w:val="Prrafodelista"/>
        <w:numPr>
          <w:ilvl w:val="0"/>
          <w:numId w:val="6"/>
        </w:numPr>
        <w:tabs>
          <w:tab w:val="left" w:pos="426"/>
        </w:tabs>
        <w:spacing w:before="0" w:after="0"/>
        <w:ind w:left="284" w:hanging="284"/>
        <w:rPr>
          <w:rFonts w:ascii="Arial" w:hAnsi="Arial" w:eastAsia="Calibri" w:cs="Arial"/>
          <w:b/>
          <w:color w:val="000000" w:themeColor="text1"/>
          <w:sz w:val="22"/>
          <w:lang w:val="es-ES"/>
        </w:rPr>
      </w:pPr>
      <w:r w:rsidRPr="00406E40">
        <w:rPr>
          <w:rFonts w:ascii="Arial" w:hAnsi="Arial" w:eastAsia="Calibri" w:cs="Arial"/>
          <w:b/>
          <w:color w:val="000000" w:themeColor="text1"/>
          <w:sz w:val="22"/>
          <w:lang w:val="es-ES"/>
        </w:rPr>
        <w:t>Consideraciones</w:t>
      </w:r>
    </w:p>
    <w:p w:rsidRPr="00406E40" w:rsidR="00130F04" w:rsidP="00150EAF" w:rsidRDefault="00130F04" w14:paraId="544493F7" w14:textId="77777777">
      <w:pPr>
        <w:pStyle w:val="Prrafodelista"/>
        <w:tabs>
          <w:tab w:val="left" w:pos="426"/>
        </w:tabs>
        <w:spacing w:before="0" w:after="0"/>
        <w:ind w:left="284"/>
        <w:rPr>
          <w:rFonts w:ascii="Arial" w:hAnsi="Arial" w:eastAsia="Calibri" w:cs="Arial"/>
          <w:b/>
          <w:color w:val="000000" w:themeColor="text1"/>
          <w:sz w:val="22"/>
          <w:lang w:val="es-ES"/>
        </w:rPr>
      </w:pPr>
    </w:p>
    <w:bookmarkEnd w:id="0"/>
    <w:bookmarkEnd w:id="1"/>
    <w:p w:rsidR="000B4165" w:rsidP="000B4165" w:rsidRDefault="00425FD7" w14:paraId="44D7D79C" w14:textId="75D6DEBD">
      <w:pPr>
        <w:tabs>
          <w:tab w:val="left" w:pos="709"/>
        </w:tabs>
        <w:spacing w:after="120" w:line="276" w:lineRule="auto"/>
        <w:jc w:val="both"/>
        <w:rPr>
          <w:rFonts w:ascii="Arial" w:hAnsi="Arial" w:eastAsia="Calibri" w:cs="Arial"/>
          <w:color w:val="000000" w:themeColor="text1"/>
          <w:sz w:val="22"/>
          <w:szCs w:val="22"/>
          <w:lang w:val="es-ES"/>
        </w:rPr>
      </w:pPr>
      <w:r w:rsidRPr="00406E40">
        <w:rPr>
          <w:rFonts w:ascii="Arial" w:hAnsi="Arial" w:eastAsia="Calibri" w:cs="Arial"/>
          <w:color w:val="000000" w:themeColor="text1"/>
          <w:sz w:val="22"/>
          <w:szCs w:val="22"/>
          <w:lang w:val="es-ES"/>
        </w:rPr>
        <w:t xml:space="preserve">Para resolver los problemas planteados </w:t>
      </w:r>
      <w:r w:rsidR="00C82DAF">
        <w:rPr>
          <w:rFonts w:ascii="Arial" w:hAnsi="Arial" w:eastAsia="Calibri" w:cs="Arial"/>
          <w:color w:val="000000" w:themeColor="text1"/>
          <w:sz w:val="22"/>
          <w:szCs w:val="22"/>
          <w:lang w:val="es-ES"/>
        </w:rPr>
        <w:t>es</w:t>
      </w:r>
      <w:r w:rsidRPr="00406E40" w:rsidR="00C82DAF">
        <w:rPr>
          <w:rFonts w:ascii="Arial" w:hAnsi="Arial" w:eastAsia="Calibri" w:cs="Arial"/>
          <w:color w:val="000000" w:themeColor="text1"/>
          <w:sz w:val="22"/>
          <w:szCs w:val="22"/>
          <w:lang w:val="es-ES"/>
        </w:rPr>
        <w:t xml:space="preserve"> </w:t>
      </w:r>
      <w:r w:rsidRPr="00406E40">
        <w:rPr>
          <w:rFonts w:ascii="Arial" w:hAnsi="Arial" w:eastAsia="Calibri" w:cs="Arial"/>
          <w:color w:val="000000" w:themeColor="text1"/>
          <w:sz w:val="22"/>
          <w:szCs w:val="22"/>
          <w:lang w:val="es-ES"/>
        </w:rPr>
        <w:t xml:space="preserve">necesario analizar la naturaleza de las </w:t>
      </w:r>
      <w:r w:rsidRPr="00406E40" w:rsidR="00DC05F1">
        <w:rPr>
          <w:rFonts w:ascii="Arial" w:hAnsi="Arial" w:eastAsia="Calibri" w:cs="Arial"/>
          <w:color w:val="000000" w:themeColor="text1"/>
          <w:sz w:val="22"/>
          <w:szCs w:val="22"/>
          <w:lang w:val="es-ES"/>
        </w:rPr>
        <w:t xml:space="preserve">empresas de servicios públicos </w:t>
      </w:r>
      <w:r w:rsidRPr="00406E40">
        <w:rPr>
          <w:rFonts w:ascii="Arial" w:hAnsi="Arial" w:eastAsia="Calibri" w:cs="Arial"/>
          <w:color w:val="000000" w:themeColor="text1"/>
          <w:sz w:val="22"/>
          <w:szCs w:val="22"/>
          <w:lang w:val="es-ES"/>
        </w:rPr>
        <w:t xml:space="preserve">mixtas y su régimen contractual, para examinar si </w:t>
      </w:r>
      <w:r w:rsidR="00821303">
        <w:rPr>
          <w:rFonts w:ascii="Arial" w:hAnsi="Arial" w:eastAsia="Calibri" w:cs="Arial"/>
          <w:color w:val="000000" w:themeColor="text1"/>
          <w:sz w:val="22"/>
          <w:szCs w:val="22"/>
          <w:lang w:val="es-ES"/>
        </w:rPr>
        <w:t>están</w:t>
      </w:r>
      <w:r w:rsidRPr="00406E40">
        <w:rPr>
          <w:rFonts w:ascii="Arial" w:hAnsi="Arial" w:eastAsia="Calibri" w:cs="Arial"/>
          <w:color w:val="000000" w:themeColor="text1"/>
          <w:sz w:val="22"/>
          <w:szCs w:val="22"/>
          <w:lang w:val="es-ES"/>
        </w:rPr>
        <w:t xml:space="preserve"> obligadas a </w:t>
      </w:r>
      <w:r w:rsidRPr="00406E40" w:rsidR="006C6EE9">
        <w:rPr>
          <w:rFonts w:ascii="Arial" w:hAnsi="Arial" w:eastAsia="Calibri" w:cs="Arial"/>
          <w:color w:val="000000" w:themeColor="text1"/>
          <w:sz w:val="22"/>
          <w:szCs w:val="22"/>
          <w:lang w:val="es-ES"/>
        </w:rPr>
        <w:t xml:space="preserve">elaborar, </w:t>
      </w:r>
      <w:r w:rsidRPr="00406E40">
        <w:rPr>
          <w:rFonts w:ascii="Arial" w:hAnsi="Arial" w:eastAsia="Calibri" w:cs="Arial"/>
          <w:color w:val="000000" w:themeColor="text1"/>
          <w:sz w:val="22"/>
          <w:szCs w:val="22"/>
          <w:lang w:val="es-ES"/>
        </w:rPr>
        <w:t xml:space="preserve">publicar </w:t>
      </w:r>
      <w:r w:rsidRPr="00406E40" w:rsidR="006C6EE9">
        <w:rPr>
          <w:rFonts w:ascii="Arial" w:hAnsi="Arial" w:eastAsia="Calibri" w:cs="Arial"/>
          <w:color w:val="000000" w:themeColor="text1"/>
          <w:sz w:val="22"/>
          <w:szCs w:val="22"/>
          <w:lang w:val="es-ES"/>
        </w:rPr>
        <w:t xml:space="preserve">y actualizar </w:t>
      </w:r>
      <w:r w:rsidRPr="00406E40">
        <w:rPr>
          <w:rFonts w:ascii="Arial" w:hAnsi="Arial" w:eastAsia="Calibri" w:cs="Arial"/>
          <w:color w:val="000000" w:themeColor="text1"/>
          <w:sz w:val="22"/>
          <w:szCs w:val="22"/>
          <w:lang w:val="es-ES"/>
        </w:rPr>
        <w:t xml:space="preserve">el </w:t>
      </w:r>
      <w:r w:rsidR="00150EAF">
        <w:rPr>
          <w:rFonts w:ascii="Arial" w:hAnsi="Arial" w:eastAsia="Calibri" w:cs="Arial"/>
          <w:color w:val="000000" w:themeColor="text1"/>
          <w:sz w:val="22"/>
          <w:szCs w:val="22"/>
          <w:lang w:val="es-ES"/>
        </w:rPr>
        <w:t>p</w:t>
      </w:r>
      <w:r w:rsidR="00FA706A">
        <w:rPr>
          <w:rFonts w:ascii="Arial" w:hAnsi="Arial" w:eastAsia="Calibri" w:cs="Arial"/>
          <w:color w:val="000000" w:themeColor="text1"/>
          <w:sz w:val="22"/>
          <w:szCs w:val="22"/>
          <w:lang w:val="es-ES"/>
        </w:rPr>
        <w:t>lan anual de adquisiciones</w:t>
      </w:r>
      <w:r w:rsidRPr="00406E40">
        <w:rPr>
          <w:rFonts w:ascii="Arial" w:hAnsi="Arial" w:eastAsia="Calibri" w:cs="Arial"/>
          <w:color w:val="000000" w:themeColor="text1"/>
          <w:sz w:val="22"/>
          <w:szCs w:val="22"/>
          <w:lang w:val="es-ES"/>
        </w:rPr>
        <w:t xml:space="preserve"> en el SECOP. </w:t>
      </w:r>
      <w:r w:rsidR="00821303">
        <w:rPr>
          <w:rFonts w:ascii="Arial" w:hAnsi="Arial" w:eastAsia="Calibri" w:cs="Arial"/>
          <w:color w:val="000000" w:themeColor="text1"/>
          <w:sz w:val="22"/>
          <w:szCs w:val="22"/>
          <w:lang w:val="es-ES"/>
        </w:rPr>
        <w:t>Además, se analizará</w:t>
      </w:r>
      <w:r w:rsidRPr="00406E40">
        <w:rPr>
          <w:rFonts w:ascii="Arial" w:hAnsi="Arial" w:eastAsia="Calibri" w:cs="Arial"/>
          <w:color w:val="000000" w:themeColor="text1"/>
          <w:sz w:val="22"/>
          <w:szCs w:val="22"/>
          <w:lang w:val="es-ES"/>
        </w:rPr>
        <w:t xml:space="preserve"> </w:t>
      </w:r>
      <w:r w:rsidR="00C82DAF">
        <w:rPr>
          <w:rFonts w:ascii="Arial" w:hAnsi="Arial" w:eastAsia="Calibri" w:cs="Arial"/>
          <w:color w:val="000000" w:themeColor="text1"/>
          <w:sz w:val="22"/>
          <w:szCs w:val="22"/>
          <w:lang w:val="es-ES"/>
        </w:rPr>
        <w:t>si</w:t>
      </w:r>
      <w:r w:rsidRPr="00406E40">
        <w:rPr>
          <w:rFonts w:ascii="Arial" w:hAnsi="Arial" w:eastAsia="Calibri" w:cs="Arial"/>
          <w:color w:val="000000" w:themeColor="text1"/>
          <w:sz w:val="22"/>
          <w:szCs w:val="22"/>
          <w:lang w:val="es-ES"/>
        </w:rPr>
        <w:t xml:space="preserve"> este tipo de entidades</w:t>
      </w:r>
      <w:r w:rsidR="00C82DAF">
        <w:rPr>
          <w:rFonts w:ascii="Arial" w:hAnsi="Arial" w:eastAsia="Calibri" w:cs="Arial"/>
          <w:color w:val="000000" w:themeColor="text1"/>
          <w:sz w:val="22"/>
          <w:szCs w:val="22"/>
          <w:lang w:val="es-ES"/>
        </w:rPr>
        <w:t xml:space="preserve"> pertenecen</w:t>
      </w:r>
      <w:r w:rsidRPr="00406E40">
        <w:rPr>
          <w:rFonts w:ascii="Arial" w:hAnsi="Arial" w:eastAsia="Calibri" w:cs="Arial"/>
          <w:color w:val="000000" w:themeColor="text1"/>
          <w:sz w:val="22"/>
          <w:szCs w:val="22"/>
          <w:lang w:val="es-ES"/>
        </w:rPr>
        <w:t xml:space="preserve"> al </w:t>
      </w:r>
      <w:r w:rsidR="00150EAF">
        <w:rPr>
          <w:rFonts w:ascii="Arial" w:hAnsi="Arial" w:eastAsia="Calibri" w:cs="Arial"/>
          <w:color w:val="000000" w:themeColor="text1"/>
          <w:sz w:val="22"/>
          <w:szCs w:val="22"/>
          <w:lang w:val="es-ES"/>
        </w:rPr>
        <w:t>s</w:t>
      </w:r>
      <w:r w:rsidRPr="00406E40">
        <w:rPr>
          <w:rFonts w:ascii="Arial" w:hAnsi="Arial" w:eastAsia="Calibri" w:cs="Arial"/>
          <w:color w:val="000000" w:themeColor="text1"/>
          <w:sz w:val="22"/>
          <w:szCs w:val="22"/>
          <w:lang w:val="es-ES"/>
        </w:rPr>
        <w:t xml:space="preserve">istema de </w:t>
      </w:r>
      <w:r w:rsidR="00150EAF">
        <w:rPr>
          <w:rFonts w:ascii="Arial" w:hAnsi="Arial" w:eastAsia="Calibri" w:cs="Arial"/>
          <w:color w:val="000000" w:themeColor="text1"/>
          <w:sz w:val="22"/>
          <w:szCs w:val="22"/>
          <w:lang w:val="es-ES"/>
        </w:rPr>
        <w:t>c</w:t>
      </w:r>
      <w:r w:rsidRPr="00406E40">
        <w:rPr>
          <w:rFonts w:ascii="Arial" w:hAnsi="Arial" w:eastAsia="Calibri" w:cs="Arial"/>
          <w:color w:val="000000" w:themeColor="text1"/>
          <w:sz w:val="22"/>
          <w:szCs w:val="22"/>
          <w:lang w:val="es-ES"/>
        </w:rPr>
        <w:t xml:space="preserve">ompras </w:t>
      </w:r>
      <w:r w:rsidR="00150EAF">
        <w:rPr>
          <w:rFonts w:ascii="Arial" w:hAnsi="Arial" w:eastAsia="Calibri" w:cs="Arial"/>
          <w:color w:val="000000" w:themeColor="text1"/>
          <w:sz w:val="22"/>
          <w:szCs w:val="22"/>
          <w:lang w:val="es-ES"/>
        </w:rPr>
        <w:t>p</w:t>
      </w:r>
      <w:r w:rsidRPr="00406E40">
        <w:rPr>
          <w:rFonts w:ascii="Arial" w:hAnsi="Arial" w:eastAsia="Calibri" w:cs="Arial"/>
          <w:color w:val="000000" w:themeColor="text1"/>
          <w:sz w:val="22"/>
          <w:szCs w:val="22"/>
          <w:lang w:val="es-ES"/>
        </w:rPr>
        <w:t xml:space="preserve">úblicas y, en particular, la obligación que tienen de cumplir con las directrices de esta </w:t>
      </w:r>
      <w:r w:rsidR="00821303">
        <w:rPr>
          <w:rFonts w:ascii="Arial" w:hAnsi="Arial" w:eastAsia="Calibri" w:cs="Arial"/>
          <w:color w:val="000000" w:themeColor="text1"/>
          <w:sz w:val="22"/>
          <w:szCs w:val="22"/>
          <w:lang w:val="es-ES"/>
        </w:rPr>
        <w:t>A</w:t>
      </w:r>
      <w:r w:rsidRPr="00406E40">
        <w:rPr>
          <w:rFonts w:ascii="Arial" w:hAnsi="Arial" w:eastAsia="Calibri" w:cs="Arial"/>
          <w:color w:val="000000" w:themeColor="text1"/>
          <w:sz w:val="22"/>
          <w:szCs w:val="22"/>
          <w:lang w:val="es-ES"/>
        </w:rPr>
        <w:t xml:space="preserve">gencia </w:t>
      </w:r>
      <w:r w:rsidR="00821303">
        <w:rPr>
          <w:rFonts w:ascii="Arial" w:hAnsi="Arial" w:eastAsia="Calibri" w:cs="Arial"/>
          <w:color w:val="000000" w:themeColor="text1"/>
          <w:sz w:val="22"/>
          <w:szCs w:val="22"/>
          <w:lang w:val="es-ES"/>
        </w:rPr>
        <w:t xml:space="preserve">respecto </w:t>
      </w:r>
      <w:r w:rsidR="00C82DAF">
        <w:rPr>
          <w:rFonts w:ascii="Arial" w:hAnsi="Arial" w:eastAsia="Calibri" w:cs="Arial"/>
          <w:color w:val="000000" w:themeColor="text1"/>
          <w:sz w:val="22"/>
          <w:szCs w:val="22"/>
          <w:lang w:val="es-ES"/>
        </w:rPr>
        <w:t xml:space="preserve">a la </w:t>
      </w:r>
      <w:r w:rsidRPr="00406E40" w:rsidR="00C82DAF">
        <w:rPr>
          <w:rFonts w:ascii="Arial" w:hAnsi="Arial" w:eastAsia="Calibri" w:cs="Arial"/>
          <w:color w:val="000000" w:themeColor="text1"/>
          <w:sz w:val="22"/>
          <w:szCs w:val="22"/>
          <w:lang w:val="es-ES"/>
        </w:rPr>
        <w:t>elaboración, publicación y actualización</w:t>
      </w:r>
      <w:r w:rsidR="00C82DAF">
        <w:rPr>
          <w:rFonts w:ascii="Arial" w:hAnsi="Arial" w:eastAsia="Calibri" w:cs="Arial"/>
          <w:color w:val="000000" w:themeColor="text1"/>
          <w:sz w:val="22"/>
          <w:szCs w:val="22"/>
          <w:lang w:val="es-ES"/>
        </w:rPr>
        <w:t xml:space="preserve"> de</w:t>
      </w:r>
      <w:r w:rsidR="00821303">
        <w:rPr>
          <w:rFonts w:ascii="Arial" w:hAnsi="Arial" w:eastAsia="Calibri" w:cs="Arial"/>
          <w:color w:val="000000" w:themeColor="text1"/>
          <w:sz w:val="22"/>
          <w:szCs w:val="22"/>
          <w:lang w:val="es-ES"/>
        </w:rPr>
        <w:t>l</w:t>
      </w:r>
      <w:r w:rsidRPr="00406E40">
        <w:rPr>
          <w:rFonts w:ascii="Arial" w:hAnsi="Arial" w:eastAsia="Calibri" w:cs="Arial"/>
          <w:color w:val="000000" w:themeColor="text1"/>
          <w:sz w:val="22"/>
          <w:szCs w:val="22"/>
          <w:lang w:val="es-ES"/>
        </w:rPr>
        <w:t xml:space="preserve"> </w:t>
      </w:r>
      <w:r w:rsidR="00FA706A">
        <w:rPr>
          <w:rFonts w:ascii="Arial" w:hAnsi="Arial" w:eastAsia="Calibri" w:cs="Arial"/>
          <w:color w:val="000000" w:themeColor="text1"/>
          <w:sz w:val="22"/>
          <w:szCs w:val="22"/>
          <w:lang w:val="es-ES"/>
        </w:rPr>
        <w:t>plan anual de adquisiciones</w:t>
      </w:r>
      <w:r w:rsidRPr="00406E40">
        <w:rPr>
          <w:rFonts w:ascii="Arial" w:hAnsi="Arial" w:eastAsia="Calibri" w:cs="Arial"/>
          <w:color w:val="000000" w:themeColor="text1"/>
          <w:sz w:val="22"/>
          <w:szCs w:val="22"/>
          <w:lang w:val="es-ES"/>
        </w:rPr>
        <w:t>.</w:t>
      </w:r>
    </w:p>
    <w:p w:rsidRPr="00406E40" w:rsidR="000B4165" w:rsidP="00BE5DCB" w:rsidRDefault="000B4165" w14:paraId="5EA45272" w14:textId="4658E2B7">
      <w:pPr>
        <w:tabs>
          <w:tab w:val="left" w:pos="426"/>
        </w:tabs>
        <w:spacing w:line="276" w:lineRule="auto"/>
        <w:jc w:val="both"/>
        <w:rPr>
          <w:rFonts w:ascii="Arial" w:hAnsi="Arial" w:eastAsia="Calibri" w:cs="Arial"/>
          <w:sz w:val="22"/>
          <w:szCs w:val="22"/>
          <w:lang w:val="es-ES"/>
        </w:rPr>
      </w:pPr>
      <w:r>
        <w:rPr>
          <w:rFonts w:ascii="Arial" w:hAnsi="Arial" w:eastAsia="Calibri" w:cs="Arial"/>
          <w:color w:val="000000" w:themeColor="text1"/>
          <w:sz w:val="22"/>
          <w:szCs w:val="22"/>
          <w:lang w:val="es-ES"/>
        </w:rPr>
        <w:tab/>
      </w:r>
      <w:r>
        <w:rPr>
          <w:rFonts w:ascii="Arial" w:hAnsi="Arial" w:eastAsia="Calibri" w:cs="Arial"/>
          <w:color w:val="000000" w:themeColor="text1"/>
          <w:sz w:val="22"/>
          <w:szCs w:val="22"/>
          <w:lang w:val="es-ES"/>
        </w:rPr>
        <w:t>L</w:t>
      </w:r>
      <w:r w:rsidRPr="00406E40">
        <w:rPr>
          <w:rFonts w:ascii="Arial" w:hAnsi="Arial" w:eastAsia="Calibri" w:cs="Arial"/>
          <w:color w:val="000000" w:themeColor="text1"/>
          <w:sz w:val="22"/>
          <w:szCs w:val="22"/>
          <w:lang w:val="es-ES"/>
        </w:rPr>
        <w:t>a Agencia Nacional de Contratación Pública</w:t>
      </w:r>
      <w:r>
        <w:rPr>
          <w:rFonts w:ascii="Arial" w:hAnsi="Arial" w:eastAsia="Calibri" w:cs="Arial"/>
          <w:color w:val="000000" w:themeColor="text1"/>
          <w:sz w:val="22"/>
          <w:szCs w:val="22"/>
          <w:lang w:val="es-ES"/>
        </w:rPr>
        <w:t xml:space="preserve"> – Colombia Compra Eficiente</w:t>
      </w:r>
      <w:r w:rsidRPr="00406E40">
        <w:rPr>
          <w:rFonts w:ascii="Arial" w:hAnsi="Arial" w:eastAsia="Calibri" w:cs="Arial"/>
          <w:color w:val="000000" w:themeColor="text1"/>
          <w:sz w:val="22"/>
          <w:szCs w:val="22"/>
          <w:lang w:val="es-ES"/>
        </w:rPr>
        <w:t xml:space="preserve"> estudió el régimen jurídico de las </w:t>
      </w:r>
      <w:r w:rsidRPr="00406E40" w:rsidR="00E56B9B">
        <w:rPr>
          <w:rFonts w:ascii="Arial" w:hAnsi="Arial" w:eastAsia="Calibri" w:cs="Arial"/>
          <w:color w:val="000000" w:themeColor="text1"/>
          <w:sz w:val="22"/>
          <w:szCs w:val="22"/>
          <w:lang w:val="es-ES"/>
        </w:rPr>
        <w:t>empresas de servicios públicos</w:t>
      </w:r>
      <w:r w:rsidR="00E56B9B">
        <w:rPr>
          <w:rFonts w:ascii="Arial" w:hAnsi="Arial" w:eastAsia="Calibri" w:cs="Arial"/>
          <w:color w:val="000000" w:themeColor="text1"/>
          <w:sz w:val="22"/>
          <w:szCs w:val="22"/>
          <w:lang w:val="es-ES"/>
        </w:rPr>
        <w:t xml:space="preserve">, </w:t>
      </w:r>
      <w:r>
        <w:rPr>
          <w:rFonts w:ascii="Arial" w:hAnsi="Arial" w:eastAsia="Calibri" w:cs="Arial"/>
          <w:color w:val="000000" w:themeColor="text1"/>
          <w:sz w:val="22"/>
          <w:szCs w:val="22"/>
          <w:lang w:val="es-ES"/>
        </w:rPr>
        <w:t>su</w:t>
      </w:r>
      <w:r w:rsidRPr="00406E40">
        <w:rPr>
          <w:rFonts w:ascii="Arial" w:hAnsi="Arial" w:eastAsia="Calibri" w:cs="Arial"/>
          <w:color w:val="000000" w:themeColor="text1"/>
          <w:sz w:val="22"/>
          <w:szCs w:val="22"/>
          <w:lang w:val="es-ES"/>
        </w:rPr>
        <w:t xml:space="preserve"> naturaleza jurídica y régimen contractual en los conceptos C</w:t>
      </w:r>
      <w:r w:rsidR="00E56B9B">
        <w:rPr>
          <w:rFonts w:ascii="Arial" w:hAnsi="Arial" w:eastAsia="Calibri" w:cs="Arial"/>
          <w:color w:val="000000" w:themeColor="text1"/>
          <w:sz w:val="22"/>
          <w:szCs w:val="22"/>
          <w:lang w:val="es-ES"/>
        </w:rPr>
        <w:t>–</w:t>
      </w:r>
      <w:r w:rsidRPr="00406E40">
        <w:rPr>
          <w:rFonts w:ascii="Arial" w:hAnsi="Arial" w:eastAsia="Calibri" w:cs="Arial"/>
          <w:color w:val="000000" w:themeColor="text1"/>
          <w:sz w:val="22"/>
          <w:szCs w:val="22"/>
          <w:lang w:val="es-ES"/>
        </w:rPr>
        <w:t xml:space="preserve">027 de </w:t>
      </w:r>
      <w:r w:rsidR="00A53D5E">
        <w:rPr>
          <w:rFonts w:ascii="Arial" w:hAnsi="Arial" w:eastAsia="Calibri" w:cs="Arial"/>
          <w:color w:val="000000" w:themeColor="text1"/>
          <w:sz w:val="22"/>
          <w:szCs w:val="22"/>
          <w:lang w:val="es-ES"/>
        </w:rPr>
        <w:t xml:space="preserve">13 de febrero de </w:t>
      </w:r>
      <w:r w:rsidRPr="00406E40">
        <w:rPr>
          <w:rFonts w:ascii="Arial" w:hAnsi="Arial" w:eastAsia="Calibri" w:cs="Arial"/>
          <w:color w:val="000000" w:themeColor="text1"/>
          <w:sz w:val="22"/>
          <w:szCs w:val="22"/>
          <w:lang w:val="es-ES"/>
        </w:rPr>
        <w:t>2020 y C</w:t>
      </w:r>
      <w:r w:rsidR="00E56B9B">
        <w:rPr>
          <w:rFonts w:ascii="Arial" w:hAnsi="Arial" w:eastAsia="Calibri" w:cs="Arial"/>
          <w:color w:val="000000" w:themeColor="text1"/>
          <w:sz w:val="22"/>
          <w:szCs w:val="22"/>
          <w:lang w:val="es-ES"/>
        </w:rPr>
        <w:t>–</w:t>
      </w:r>
      <w:r w:rsidRPr="00406E40">
        <w:rPr>
          <w:rFonts w:ascii="Arial" w:hAnsi="Arial" w:eastAsia="Calibri" w:cs="Arial"/>
          <w:color w:val="000000" w:themeColor="text1"/>
          <w:sz w:val="22"/>
          <w:szCs w:val="22"/>
          <w:lang w:val="es-ES"/>
        </w:rPr>
        <w:t>179 de</w:t>
      </w:r>
      <w:r w:rsidR="00A53D5E">
        <w:rPr>
          <w:rFonts w:ascii="Arial" w:hAnsi="Arial" w:eastAsia="Calibri" w:cs="Arial"/>
          <w:color w:val="000000" w:themeColor="text1"/>
          <w:sz w:val="22"/>
          <w:szCs w:val="22"/>
          <w:lang w:val="es-ES"/>
        </w:rPr>
        <w:t xml:space="preserve"> 16 de marzo de</w:t>
      </w:r>
      <w:r w:rsidRPr="00406E40">
        <w:rPr>
          <w:rFonts w:ascii="Arial" w:hAnsi="Arial" w:eastAsia="Calibri" w:cs="Arial"/>
          <w:color w:val="000000" w:themeColor="text1"/>
          <w:sz w:val="22"/>
          <w:szCs w:val="22"/>
          <w:lang w:val="es-ES"/>
        </w:rPr>
        <w:t xml:space="preserve"> 2020</w:t>
      </w:r>
      <w:r>
        <w:rPr>
          <w:rFonts w:ascii="Arial" w:hAnsi="Arial" w:eastAsia="Calibri" w:cs="Arial"/>
          <w:color w:val="000000" w:themeColor="text1"/>
          <w:sz w:val="22"/>
          <w:szCs w:val="22"/>
          <w:lang w:val="es-ES"/>
        </w:rPr>
        <w:t>, los cuales se reiteran a continuación</w:t>
      </w:r>
      <w:r w:rsidRPr="00406E40">
        <w:rPr>
          <w:rFonts w:ascii="Arial" w:hAnsi="Arial" w:eastAsia="Calibri" w:cs="Arial"/>
          <w:color w:val="000000" w:themeColor="text1"/>
          <w:sz w:val="22"/>
          <w:szCs w:val="22"/>
          <w:lang w:val="es-ES"/>
        </w:rPr>
        <w:t xml:space="preserve">. </w:t>
      </w:r>
      <w:r w:rsidR="00E56B9B">
        <w:rPr>
          <w:rFonts w:ascii="Arial" w:hAnsi="Arial" w:cs="Arial"/>
          <w:sz w:val="22"/>
          <w:szCs w:val="22"/>
          <w:lang w:val="es-ES"/>
        </w:rPr>
        <w:t>Igualmente</w:t>
      </w:r>
      <w:r w:rsidRPr="00406E40">
        <w:rPr>
          <w:rFonts w:ascii="Arial" w:hAnsi="Arial" w:cs="Arial"/>
          <w:sz w:val="22"/>
          <w:szCs w:val="22"/>
          <w:lang w:val="es-ES"/>
        </w:rPr>
        <w:t xml:space="preserve">, </w:t>
      </w:r>
      <w:r w:rsidRPr="00406E40">
        <w:rPr>
          <w:rFonts w:ascii="Arial" w:hAnsi="Arial" w:eastAsia="Calibri" w:cs="Arial"/>
          <w:sz w:val="22"/>
          <w:szCs w:val="22"/>
          <w:lang w:val="es-ES"/>
        </w:rPr>
        <w:t>en el concepto con radicado No. 4201913000006571 del 8 de noviembre de 2019, reiterado y desarrollado en los conceptos identificados con los radicados No. 4201912000007258 del 4 de diciembre de 2019, C</w:t>
      </w:r>
      <w:r w:rsidR="00E56B9B">
        <w:rPr>
          <w:rFonts w:ascii="Arial" w:hAnsi="Arial" w:eastAsia="Calibri" w:cs="Arial"/>
          <w:sz w:val="22"/>
          <w:szCs w:val="22"/>
          <w:lang w:val="es-ES"/>
        </w:rPr>
        <w:t>–</w:t>
      </w:r>
      <w:r w:rsidRPr="00406E40">
        <w:rPr>
          <w:rFonts w:ascii="Arial" w:hAnsi="Arial" w:eastAsia="Calibri" w:cs="Arial"/>
          <w:sz w:val="22"/>
          <w:szCs w:val="22"/>
          <w:lang w:val="es-ES"/>
        </w:rPr>
        <w:t>048 del 13 de enero de 2020 y C</w:t>
      </w:r>
      <w:r w:rsidR="00E56B9B">
        <w:rPr>
          <w:rFonts w:ascii="Arial" w:hAnsi="Arial" w:eastAsia="Calibri" w:cs="Arial"/>
          <w:sz w:val="22"/>
          <w:szCs w:val="22"/>
          <w:lang w:val="es-ES"/>
        </w:rPr>
        <w:t>–</w:t>
      </w:r>
      <w:r w:rsidRPr="00406E40">
        <w:rPr>
          <w:rFonts w:ascii="Arial" w:hAnsi="Arial" w:eastAsia="Calibri" w:cs="Arial"/>
          <w:sz w:val="22"/>
          <w:szCs w:val="22"/>
          <w:lang w:val="es-ES"/>
        </w:rPr>
        <w:t xml:space="preserve">106 de 20 de marzo de 2020 y C–109 de 25 de marzo de 2020, estudió el </w:t>
      </w:r>
      <w:r w:rsidR="00E56B9B">
        <w:rPr>
          <w:rFonts w:ascii="Arial" w:hAnsi="Arial" w:eastAsia="Calibri" w:cs="Arial"/>
          <w:sz w:val="22"/>
          <w:szCs w:val="22"/>
          <w:lang w:val="es-ES"/>
        </w:rPr>
        <w:t>p</w:t>
      </w:r>
      <w:r>
        <w:rPr>
          <w:rFonts w:ascii="Arial" w:hAnsi="Arial" w:eastAsia="Calibri" w:cs="Arial"/>
          <w:sz w:val="22"/>
          <w:szCs w:val="22"/>
          <w:lang w:val="es-ES"/>
        </w:rPr>
        <w:t>lan anual de adquisiciones</w:t>
      </w:r>
      <w:r w:rsidRPr="00406E40">
        <w:rPr>
          <w:rFonts w:ascii="Arial" w:hAnsi="Arial" w:eastAsia="Calibri" w:cs="Arial"/>
          <w:sz w:val="22"/>
          <w:szCs w:val="22"/>
          <w:lang w:val="es-ES"/>
        </w:rPr>
        <w:t xml:space="preserve"> y los responsables de administrarlo. La tesis desarrollada</w:t>
      </w:r>
      <w:r w:rsidR="00E56B9B">
        <w:rPr>
          <w:rFonts w:ascii="Arial" w:hAnsi="Arial" w:eastAsia="Calibri" w:cs="Arial"/>
          <w:sz w:val="22"/>
          <w:szCs w:val="22"/>
          <w:lang w:val="es-ES"/>
        </w:rPr>
        <w:t xml:space="preserve"> en estos conceptos</w:t>
      </w:r>
      <w:r w:rsidRPr="00406E40">
        <w:rPr>
          <w:rFonts w:ascii="Arial" w:hAnsi="Arial" w:eastAsia="Calibri" w:cs="Arial"/>
          <w:sz w:val="22"/>
          <w:szCs w:val="22"/>
          <w:lang w:val="es-ES"/>
        </w:rPr>
        <w:t xml:space="preserve"> se expone a </w:t>
      </w:r>
      <w:r w:rsidR="00E56B9B">
        <w:rPr>
          <w:rFonts w:ascii="Arial" w:hAnsi="Arial" w:eastAsia="Calibri" w:cs="Arial"/>
          <w:sz w:val="22"/>
          <w:szCs w:val="22"/>
          <w:lang w:val="es-ES"/>
        </w:rPr>
        <w:t>continuación:</w:t>
      </w:r>
      <w:r w:rsidRPr="00406E40">
        <w:rPr>
          <w:rFonts w:ascii="Arial" w:hAnsi="Arial" w:eastAsia="Calibri" w:cs="Arial"/>
          <w:sz w:val="22"/>
          <w:szCs w:val="22"/>
          <w:lang w:val="es-ES"/>
        </w:rPr>
        <w:t xml:space="preserve"> </w:t>
      </w:r>
    </w:p>
    <w:p w:rsidRPr="00406E40" w:rsidR="000B4165" w:rsidP="00150EAF" w:rsidRDefault="000B4165" w14:paraId="500EB0E0" w14:textId="77777777">
      <w:pPr>
        <w:tabs>
          <w:tab w:val="left" w:pos="426"/>
        </w:tabs>
        <w:spacing w:line="276" w:lineRule="auto"/>
        <w:jc w:val="both"/>
        <w:rPr>
          <w:rFonts w:ascii="Arial" w:hAnsi="Arial" w:eastAsia="Calibri" w:cs="Arial"/>
          <w:color w:val="000000" w:themeColor="text1"/>
          <w:sz w:val="22"/>
          <w:szCs w:val="22"/>
          <w:lang w:val="es-ES"/>
        </w:rPr>
      </w:pPr>
    </w:p>
    <w:p w:rsidRPr="00406E40" w:rsidR="008C5DB2" w:rsidP="00150EAF" w:rsidRDefault="001D30D8" w14:paraId="4FABC1D6" w14:textId="2B29AB08">
      <w:pPr>
        <w:tabs>
          <w:tab w:val="left" w:pos="426"/>
        </w:tabs>
        <w:spacing w:line="276" w:lineRule="auto"/>
        <w:jc w:val="both"/>
        <w:rPr>
          <w:rFonts w:ascii="Arial" w:hAnsi="Arial" w:eastAsia="Calibri" w:cs="Arial"/>
          <w:b/>
          <w:bCs/>
          <w:color w:val="000000" w:themeColor="text1"/>
          <w:sz w:val="22"/>
          <w:szCs w:val="22"/>
          <w:lang w:val="es-ES"/>
        </w:rPr>
      </w:pPr>
      <w:r w:rsidRPr="00406E40">
        <w:rPr>
          <w:rFonts w:ascii="Arial" w:hAnsi="Arial" w:eastAsia="Calibri" w:cs="Arial"/>
          <w:b/>
          <w:bCs/>
          <w:color w:val="000000" w:themeColor="text1"/>
          <w:sz w:val="22"/>
          <w:szCs w:val="22"/>
          <w:lang w:val="es-ES"/>
        </w:rPr>
        <w:t>2.1.</w:t>
      </w:r>
      <w:r w:rsidRPr="00406E40" w:rsidR="00425FD7">
        <w:rPr>
          <w:rFonts w:ascii="Arial" w:hAnsi="Arial" w:eastAsia="Calibri" w:cs="Arial"/>
          <w:b/>
          <w:bCs/>
          <w:color w:val="000000" w:themeColor="text1"/>
          <w:sz w:val="22"/>
          <w:szCs w:val="22"/>
          <w:lang w:val="es-ES"/>
        </w:rPr>
        <w:t xml:space="preserve"> </w:t>
      </w:r>
      <w:r w:rsidRPr="00406E40" w:rsidR="00AC514C">
        <w:rPr>
          <w:rFonts w:ascii="Arial" w:hAnsi="Arial" w:eastAsia="Calibri" w:cs="Arial"/>
          <w:b/>
          <w:bCs/>
          <w:color w:val="000000" w:themeColor="text1"/>
          <w:sz w:val="22"/>
          <w:szCs w:val="22"/>
          <w:lang w:val="es-ES"/>
        </w:rPr>
        <w:t>Liberalización de los servicios públicos y la libertad económica en la materia</w:t>
      </w:r>
    </w:p>
    <w:p w:rsidRPr="00150EAF" w:rsidR="00150EAF" w:rsidP="00394BD2" w:rsidRDefault="00150EAF" w14:paraId="3B38DAD4" w14:textId="77777777">
      <w:pPr>
        <w:spacing w:line="276" w:lineRule="auto"/>
        <w:jc w:val="both"/>
        <w:rPr>
          <w:rFonts w:ascii="Arial" w:hAnsi="Arial" w:eastAsia="Calibri" w:cs="Arial"/>
          <w:color w:val="000000" w:themeColor="text1"/>
          <w:sz w:val="22"/>
          <w:lang w:val="es-ES"/>
        </w:rPr>
      </w:pPr>
    </w:p>
    <w:p w:rsidR="00394BD2" w:rsidP="000B4165" w:rsidRDefault="00394BD2" w14:paraId="1193DAF6" w14:textId="0C267A92">
      <w:pPr>
        <w:spacing w:line="276" w:lineRule="auto"/>
        <w:jc w:val="both"/>
        <w:rPr>
          <w:rFonts w:ascii="Arial" w:hAnsi="Arial" w:eastAsia="Calibri" w:cs="Arial"/>
          <w:color w:val="000000" w:themeColor="text1"/>
          <w:sz w:val="22"/>
          <w:lang w:val="es-ES_tradnl"/>
        </w:rPr>
      </w:pPr>
      <w:r w:rsidRPr="0039175C">
        <w:rPr>
          <w:rFonts w:ascii="Arial" w:hAnsi="Arial" w:eastAsia="Calibri" w:cs="Arial"/>
          <w:color w:val="000000" w:themeColor="text1"/>
          <w:sz w:val="22"/>
          <w:lang w:val="es-ES_tradnl"/>
        </w:rPr>
        <w:t>La Constitución Política de 1991 incorporó un modelo de liberalización para prestar servicios públicos domiciliarios, con arreglo al cual estos pueden ofrecerse en el mercado, en un esquema de libre competencia, directamente por el Estado, por particulares o por comunidades organizadas</w:t>
      </w:r>
      <w:r w:rsidRPr="0039175C">
        <w:rPr>
          <w:rStyle w:val="Refdenotaalpie"/>
          <w:rFonts w:ascii="Arial" w:hAnsi="Arial" w:eastAsia="Calibri" w:cs="Arial"/>
          <w:color w:val="000000" w:themeColor="text1"/>
          <w:sz w:val="22"/>
          <w:lang w:val="es-ES_tradnl"/>
        </w:rPr>
        <w:footnoteReference w:id="1"/>
      </w:r>
      <w:r w:rsidRPr="0039175C">
        <w:rPr>
          <w:rFonts w:ascii="Arial" w:hAnsi="Arial" w:eastAsia="Calibri" w:cs="Arial"/>
          <w:color w:val="000000" w:themeColor="text1"/>
          <w:sz w:val="22"/>
          <w:lang w:val="es-ES_tradnl"/>
        </w:rPr>
        <w:t>. En tal sentido, el artículo 365 de la Constitución prevé lo siguiente:</w:t>
      </w:r>
    </w:p>
    <w:p w:rsidRPr="0039175C" w:rsidR="00394BD2" w:rsidP="00394BD2" w:rsidRDefault="00394BD2" w14:paraId="18615C23" w14:textId="77777777">
      <w:pPr>
        <w:spacing w:line="276" w:lineRule="auto"/>
        <w:jc w:val="both"/>
        <w:rPr>
          <w:rFonts w:ascii="Arial" w:hAnsi="Arial" w:eastAsia="Calibri" w:cs="Arial"/>
          <w:color w:val="000000" w:themeColor="text1"/>
          <w:sz w:val="22"/>
          <w:lang w:val="es-ES_tradnl"/>
        </w:rPr>
      </w:pPr>
    </w:p>
    <w:p w:rsidRPr="00E80252" w:rsidR="00B44E8E" w:rsidP="00BE5DCB" w:rsidRDefault="00B44E8E" w14:paraId="4CF8D9BE" w14:textId="034EACD8">
      <w:pPr>
        <w:tabs>
          <w:tab w:val="left" w:pos="426"/>
        </w:tabs>
        <w:spacing w:after="120"/>
        <w:ind w:left="709" w:right="709"/>
        <w:jc w:val="both"/>
        <w:rPr>
          <w:rFonts w:ascii="Arial" w:hAnsi="Arial" w:eastAsia="Calibri" w:cs="Arial"/>
          <w:color w:val="000000" w:themeColor="text1"/>
          <w:sz w:val="21"/>
          <w:szCs w:val="21"/>
          <w:lang w:val="es-ES"/>
        </w:rPr>
      </w:pPr>
      <w:r w:rsidRPr="00E80252">
        <w:rPr>
          <w:rFonts w:ascii="Arial" w:hAnsi="Arial" w:eastAsia="Calibri" w:cs="Arial"/>
          <w:color w:val="000000" w:themeColor="text1"/>
          <w:sz w:val="21"/>
          <w:szCs w:val="21"/>
          <w:lang w:val="es-ES"/>
        </w:rPr>
        <w:t>Los servicios públicos son inherentes a la finalidad social del Estado. Es deber del Estado asegurar su prestación eficiente a todos los habitantes del territorio nacional.</w:t>
      </w:r>
    </w:p>
    <w:p w:rsidRPr="00E80252" w:rsidR="00B000D8" w:rsidP="00BE5DCB" w:rsidRDefault="00B44E8E" w14:paraId="4A1E453C" w14:textId="5B82C6C7">
      <w:pPr>
        <w:tabs>
          <w:tab w:val="left" w:pos="426"/>
        </w:tabs>
        <w:spacing w:before="120"/>
        <w:ind w:left="709" w:right="709"/>
        <w:jc w:val="both"/>
        <w:rPr>
          <w:rFonts w:ascii="Arial" w:hAnsi="Arial" w:eastAsia="Calibri" w:cs="Arial"/>
          <w:color w:val="000000" w:themeColor="text1"/>
          <w:sz w:val="21"/>
          <w:szCs w:val="21"/>
          <w:lang w:val="es-ES"/>
        </w:rPr>
      </w:pPr>
      <w:r w:rsidRPr="00E80252">
        <w:rPr>
          <w:rFonts w:ascii="Arial" w:hAnsi="Arial" w:eastAsia="Calibri" w:cs="Arial"/>
          <w:color w:val="000000" w:themeColor="text1"/>
          <w:sz w:val="21"/>
          <w:szCs w:val="21"/>
          <w:lang w:val="es-ES"/>
        </w:rPr>
        <w:t xml:space="preserve">Los servicios públicos estarán sometidos al régimen jurídico que fije la ley, podrán ser prestados por el Estado, directa o indirectamente, por comunidades organizadas, o por particulares. En todo caso, el Estado mantendrá la </w:t>
      </w:r>
      <w:r w:rsidRPr="00E80252">
        <w:rPr>
          <w:rFonts w:ascii="Arial" w:hAnsi="Arial" w:eastAsia="Calibri" w:cs="Arial"/>
          <w:color w:val="000000" w:themeColor="text1"/>
          <w:sz w:val="21"/>
          <w:szCs w:val="21"/>
          <w:lang w:val="es-ES"/>
        </w:rPr>
        <w:t xml:space="preserve">regulación, el control y la vigilancia de dichos servicios. Si por razones de soberanía o de interés social, el Estado, mediante ley aprobada por la mayoría de los miembros de una y otra cámara, por iniciativa del Gobierno decide reservarse determinadas actividades estratégicas o servicios públicos, deberá indemnizar previa y plenamente a las personas </w:t>
      </w:r>
      <w:proofErr w:type="gramStart"/>
      <w:r w:rsidRPr="00E80252">
        <w:rPr>
          <w:rFonts w:ascii="Arial" w:hAnsi="Arial" w:eastAsia="Calibri" w:cs="Arial"/>
          <w:color w:val="000000" w:themeColor="text1"/>
          <w:sz w:val="21"/>
          <w:szCs w:val="21"/>
          <w:lang w:val="es-ES"/>
        </w:rPr>
        <w:t>que</w:t>
      </w:r>
      <w:proofErr w:type="gramEnd"/>
      <w:r w:rsidRPr="00E80252">
        <w:rPr>
          <w:rFonts w:ascii="Arial" w:hAnsi="Arial" w:eastAsia="Calibri" w:cs="Arial"/>
          <w:color w:val="000000" w:themeColor="text1"/>
          <w:sz w:val="21"/>
          <w:szCs w:val="21"/>
          <w:lang w:val="es-ES"/>
        </w:rPr>
        <w:t xml:space="preserve"> en virtud de dicha ley, queden privadas del ejercicio de una actividad lícita.</w:t>
      </w:r>
    </w:p>
    <w:p w:rsidRPr="00406E40" w:rsidR="001A0E7A" w:rsidP="00150EAF" w:rsidRDefault="001A0E7A" w14:paraId="4310970F" w14:textId="77777777">
      <w:pPr>
        <w:tabs>
          <w:tab w:val="left" w:pos="426"/>
        </w:tabs>
        <w:spacing w:line="276" w:lineRule="auto"/>
        <w:ind w:left="709" w:right="709"/>
        <w:jc w:val="both"/>
        <w:rPr>
          <w:rFonts w:ascii="Arial" w:hAnsi="Arial" w:eastAsia="Calibri" w:cs="Arial"/>
          <w:color w:val="000000" w:themeColor="text1"/>
          <w:sz w:val="22"/>
          <w:szCs w:val="22"/>
          <w:lang w:val="es-ES"/>
        </w:rPr>
      </w:pPr>
    </w:p>
    <w:p w:rsidRPr="00406E40" w:rsidR="005622EB" w:rsidP="075DED84" w:rsidRDefault="008C5DB2" w14:paraId="1AB65D53" w14:textId="17F640E9" w14:noSpellErr="1">
      <w:pPr>
        <w:tabs>
          <w:tab w:val="left" w:pos="426"/>
        </w:tabs>
        <w:spacing w:after="120" w:line="276" w:lineRule="auto"/>
        <w:jc w:val="both"/>
        <w:rPr>
          <w:rFonts w:ascii="Arial" w:hAnsi="Arial" w:eastAsia="Calibri" w:cs="Arial"/>
          <w:color w:val="000000" w:themeColor="text1"/>
          <w:sz w:val="22"/>
          <w:szCs w:val="22"/>
          <w:lang w:val="en-GB"/>
        </w:rPr>
      </w:pPr>
      <w:r w:rsidRPr="00406E40">
        <w:rPr>
          <w:rFonts w:ascii="Arial" w:hAnsi="Arial" w:eastAsia="Calibri" w:cs="Arial"/>
          <w:color w:val="000000" w:themeColor="text1"/>
          <w:sz w:val="22"/>
          <w:szCs w:val="22"/>
          <w:lang w:val="es-ES"/>
        </w:rPr>
        <w:tab/>
      </w:r>
      <w:r w:rsidR="00777F8D">
        <w:rPr>
          <w:rFonts w:ascii="Arial" w:hAnsi="Arial" w:eastAsia="Calibri" w:cs="Arial"/>
          <w:color w:val="000000" w:themeColor="text1"/>
          <w:sz w:val="22"/>
          <w:szCs w:val="22"/>
          <w:lang w:val="es-ES"/>
        </w:rPr>
        <w:tab/>
      </w:r>
      <w:r w:rsidRPr="075DED84" w:rsidR="00A96E3A">
        <w:rPr>
          <w:rFonts w:ascii="Arial" w:hAnsi="Arial" w:eastAsia="Calibri" w:cs="Arial"/>
          <w:color w:val="000000" w:themeColor="text1"/>
          <w:sz w:val="22"/>
          <w:szCs w:val="22"/>
          <w:lang w:val="en-GB"/>
        </w:rPr>
        <w:t>D</w:t>
      </w:r>
      <w:r w:rsidRPr="075DED84" w:rsidR="00394BD2">
        <w:rPr>
          <w:rFonts w:ascii="Arial" w:hAnsi="Arial" w:eastAsia="Calibri" w:cs="Arial"/>
          <w:color w:val="000000" w:themeColor="text1"/>
          <w:sz w:val="22"/>
          <w:szCs w:val="22"/>
          <w:lang w:val="en-GB"/>
        </w:rPr>
        <w:t>esde el punto de vista constitucional,</w:t>
      </w:r>
      <w:r w:rsidRPr="075DED84" w:rsidR="000210DF">
        <w:rPr>
          <w:rFonts w:ascii="Arial" w:hAnsi="Arial" w:eastAsia="Calibri" w:cs="Arial"/>
          <w:color w:val="000000" w:themeColor="text1"/>
          <w:sz w:val="22"/>
          <w:szCs w:val="22"/>
          <w:lang w:val="en-GB"/>
        </w:rPr>
        <w:t xml:space="preserve"> los servicios públicos son inherentes a la finalidad social del Estado y, como consecuencia, </w:t>
      </w:r>
      <w:r w:rsidRPr="075DED84" w:rsidR="00394BD2">
        <w:rPr>
          <w:rFonts w:ascii="Arial" w:hAnsi="Arial" w:eastAsia="Calibri" w:cs="Arial"/>
          <w:color w:val="000000" w:themeColor="text1"/>
          <w:sz w:val="22"/>
          <w:szCs w:val="22"/>
          <w:lang w:val="en-GB"/>
        </w:rPr>
        <w:t>el E</w:t>
      </w:r>
      <w:r w:rsidRPr="075DED84" w:rsidR="000210DF">
        <w:rPr>
          <w:rFonts w:ascii="Arial" w:hAnsi="Arial" w:eastAsia="Calibri" w:cs="Arial"/>
          <w:color w:val="000000" w:themeColor="text1"/>
          <w:sz w:val="22"/>
          <w:szCs w:val="22"/>
          <w:lang w:val="en-GB"/>
        </w:rPr>
        <w:t>stado</w:t>
      </w:r>
      <w:r w:rsidRPr="075DED84" w:rsidR="00394BD2">
        <w:rPr>
          <w:rFonts w:ascii="Arial" w:hAnsi="Arial" w:eastAsia="Calibri" w:cs="Arial"/>
          <w:color w:val="000000" w:themeColor="text1"/>
          <w:sz w:val="22"/>
          <w:szCs w:val="22"/>
          <w:lang w:val="en-GB"/>
        </w:rPr>
        <w:t xml:space="preserve"> debe</w:t>
      </w:r>
      <w:r w:rsidRPr="075DED84" w:rsidR="000210DF">
        <w:rPr>
          <w:rFonts w:ascii="Arial" w:hAnsi="Arial" w:eastAsia="Calibri" w:cs="Arial"/>
          <w:color w:val="000000" w:themeColor="text1"/>
          <w:sz w:val="22"/>
          <w:szCs w:val="22"/>
          <w:lang w:val="en-GB"/>
        </w:rPr>
        <w:t xml:space="preserve"> asegurar su prestación eficiente. </w:t>
      </w:r>
      <w:r w:rsidRPr="075DED84" w:rsidR="00394BD2">
        <w:rPr>
          <w:rFonts w:ascii="Arial" w:hAnsi="Arial" w:eastAsia="Calibri" w:cs="Arial"/>
          <w:color w:val="000000" w:themeColor="text1"/>
          <w:sz w:val="22"/>
          <w:szCs w:val="22"/>
          <w:lang w:val="en-GB"/>
        </w:rPr>
        <w:t>Lo anterior</w:t>
      </w:r>
      <w:r w:rsidRPr="075DED84" w:rsidR="000210DF">
        <w:rPr>
          <w:rFonts w:ascii="Arial" w:hAnsi="Arial" w:eastAsia="Calibri" w:cs="Arial"/>
          <w:color w:val="000000" w:themeColor="text1"/>
          <w:sz w:val="22"/>
          <w:szCs w:val="22"/>
          <w:lang w:val="en-GB"/>
        </w:rPr>
        <w:t xml:space="preserve"> no implican que deba, inexorablemente, asumir su prestación directa. Por el contrario, según lo señala expresamente el inciso segundo de la norma citada, </w:t>
      </w:r>
      <w:r w:rsidRPr="075DED84" w:rsidR="00DB49E2">
        <w:rPr>
          <w:rFonts w:ascii="Arial" w:hAnsi="Arial" w:eastAsia="Calibri" w:cs="Arial"/>
          <w:color w:val="000000" w:themeColor="text1"/>
          <w:sz w:val="22"/>
          <w:szCs w:val="22"/>
          <w:lang w:val="en-GB"/>
        </w:rPr>
        <w:t>podrá prestarse</w:t>
      </w:r>
      <w:r w:rsidRPr="075DED84" w:rsidR="000210DF">
        <w:rPr>
          <w:rFonts w:ascii="Arial" w:hAnsi="Arial" w:eastAsia="Calibri" w:cs="Arial"/>
          <w:color w:val="000000" w:themeColor="text1"/>
          <w:sz w:val="22"/>
          <w:szCs w:val="22"/>
          <w:lang w:val="en-GB"/>
        </w:rPr>
        <w:t xml:space="preserve"> directa o indirectamente por el Estado o por los particulares. </w:t>
      </w:r>
      <w:r w:rsidRPr="075DED84" w:rsidR="008C5DB2">
        <w:rPr>
          <w:rFonts w:ascii="Arial" w:hAnsi="Arial" w:eastAsia="Calibri" w:cs="Arial"/>
          <w:color w:val="000000" w:themeColor="text1"/>
          <w:sz w:val="22"/>
          <w:szCs w:val="22"/>
          <w:lang w:val="en-GB"/>
        </w:rPr>
        <w:t xml:space="preserve">La </w:t>
      </w:r>
      <w:r w:rsidRPr="075DED84" w:rsidR="000210DF">
        <w:rPr>
          <w:rFonts w:ascii="Arial" w:hAnsi="Arial" w:eastAsia="Calibri" w:cs="Arial"/>
          <w:color w:val="000000" w:themeColor="text1"/>
          <w:sz w:val="22"/>
          <w:szCs w:val="22"/>
          <w:lang w:val="en-GB"/>
        </w:rPr>
        <w:t xml:space="preserve">misma norma </w:t>
      </w:r>
      <w:r w:rsidRPr="075DED84" w:rsidR="008C5DB2">
        <w:rPr>
          <w:rFonts w:ascii="Arial" w:hAnsi="Arial" w:eastAsia="Calibri" w:cs="Arial"/>
          <w:color w:val="000000" w:themeColor="text1"/>
          <w:sz w:val="22"/>
          <w:szCs w:val="22"/>
          <w:lang w:val="en-GB"/>
        </w:rPr>
        <w:t xml:space="preserve">también prevé que </w:t>
      </w:r>
      <w:r w:rsidRPr="075DED84" w:rsidR="00DB49E2">
        <w:rPr>
          <w:rFonts w:ascii="Arial" w:hAnsi="Arial" w:eastAsia="Calibri" w:cs="Arial"/>
          <w:color w:val="000000" w:themeColor="text1"/>
          <w:sz w:val="22"/>
          <w:szCs w:val="22"/>
          <w:lang w:val="en-GB"/>
        </w:rPr>
        <w:t>«</w:t>
      </w:r>
      <w:r w:rsidRPr="075DED84" w:rsidR="000210DF">
        <w:rPr>
          <w:rFonts w:ascii="Arial" w:hAnsi="Arial" w:eastAsia="Calibri" w:cs="Arial"/>
          <w:color w:val="000000" w:themeColor="text1"/>
          <w:sz w:val="22"/>
          <w:szCs w:val="22"/>
          <w:lang w:val="en-GB"/>
        </w:rPr>
        <w:t xml:space="preserve">los servicios públicos estarán sometidos al régimen jurídico que fije la ley </w:t>
      </w:r>
      <w:r w:rsidRPr="075DED84" w:rsidR="00DB49E2">
        <w:rPr>
          <w:rFonts w:ascii="Arial" w:hAnsi="Arial" w:eastAsia="Calibri" w:cs="Arial"/>
          <w:color w:val="000000" w:themeColor="text1"/>
          <w:sz w:val="22"/>
          <w:szCs w:val="22"/>
          <w:lang w:val="en-GB"/>
        </w:rPr>
        <w:t>[</w:t>
      </w:r>
      <w:r w:rsidRPr="075DED84" w:rsidR="000210DF">
        <w:rPr>
          <w:rFonts w:ascii="Arial" w:hAnsi="Arial" w:eastAsia="Calibri" w:cs="Arial"/>
          <w:color w:val="000000" w:themeColor="text1"/>
          <w:sz w:val="22"/>
          <w:szCs w:val="22"/>
          <w:lang w:val="en-GB"/>
        </w:rPr>
        <w:t>…</w:t>
      </w:r>
      <w:r w:rsidRPr="075DED84" w:rsidR="00DB49E2">
        <w:rPr>
          <w:rFonts w:ascii="Arial" w:hAnsi="Arial" w:eastAsia="Calibri" w:cs="Arial"/>
          <w:color w:val="000000" w:themeColor="text1"/>
          <w:sz w:val="22"/>
          <w:szCs w:val="22"/>
          <w:lang w:val="en-GB"/>
        </w:rPr>
        <w:t>]»</w:t>
      </w:r>
      <w:r w:rsidRPr="075DED84" w:rsidR="000210DF">
        <w:rPr>
          <w:rFonts w:ascii="Arial" w:hAnsi="Arial" w:eastAsia="Calibri" w:cs="Arial"/>
          <w:color w:val="000000" w:themeColor="text1"/>
          <w:sz w:val="22"/>
          <w:szCs w:val="22"/>
          <w:lang w:val="en-GB"/>
        </w:rPr>
        <w:t xml:space="preserve">. </w:t>
      </w:r>
      <w:r w:rsidRPr="075DED84" w:rsidR="00F04156">
        <w:rPr>
          <w:rFonts w:ascii="Arial" w:hAnsi="Arial" w:eastAsia="Calibri" w:cs="Arial"/>
          <w:color w:val="000000" w:themeColor="text1"/>
          <w:sz w:val="22"/>
          <w:szCs w:val="22"/>
          <w:lang w:val="en-GB"/>
        </w:rPr>
        <w:t xml:space="preserve">Sin embargo, </w:t>
      </w:r>
      <w:r w:rsidRPr="075DED84" w:rsidR="004A0F49">
        <w:rPr>
          <w:rFonts w:ascii="Arial" w:hAnsi="Arial" w:eastAsia="Calibri" w:cs="Arial"/>
          <w:color w:val="000000" w:themeColor="text1"/>
          <w:sz w:val="22"/>
          <w:szCs w:val="22"/>
          <w:lang w:val="en-GB"/>
        </w:rPr>
        <w:t xml:space="preserve">el Estado </w:t>
      </w:r>
      <w:r w:rsidRPr="075DED84" w:rsidR="00F04156">
        <w:rPr>
          <w:rFonts w:ascii="Arial" w:hAnsi="Arial" w:eastAsia="Calibri" w:cs="Arial"/>
          <w:color w:val="000000" w:themeColor="text1"/>
          <w:sz w:val="22"/>
          <w:szCs w:val="22"/>
          <w:lang w:val="en-GB"/>
        </w:rPr>
        <w:t>debe mantener la regulación, control y vigilancia</w:t>
      </w:r>
      <w:r w:rsidRPr="075DED84" w:rsidR="00CD66D7">
        <w:rPr>
          <w:rFonts w:ascii="Arial" w:hAnsi="Arial" w:eastAsia="Calibri" w:cs="Arial"/>
          <w:color w:val="000000" w:themeColor="text1"/>
          <w:sz w:val="22"/>
          <w:szCs w:val="22"/>
          <w:lang w:val="en-GB"/>
        </w:rPr>
        <w:t>,</w:t>
      </w:r>
      <w:r w:rsidRPr="075DED84" w:rsidR="00F04156">
        <w:rPr>
          <w:rFonts w:ascii="Arial" w:hAnsi="Arial" w:eastAsia="Calibri" w:cs="Arial"/>
          <w:color w:val="000000" w:themeColor="text1"/>
          <w:sz w:val="22"/>
          <w:szCs w:val="22"/>
          <w:lang w:val="en-GB"/>
        </w:rPr>
        <w:t xml:space="preserve"> situación</w:t>
      </w:r>
      <w:r w:rsidRPr="075DED84" w:rsidR="00497C0D">
        <w:rPr>
          <w:rFonts w:ascii="Arial" w:hAnsi="Arial" w:eastAsia="Calibri" w:cs="Arial"/>
          <w:color w:val="000000" w:themeColor="text1"/>
          <w:sz w:val="22"/>
          <w:szCs w:val="22"/>
          <w:lang w:val="en-GB"/>
        </w:rPr>
        <w:t xml:space="preserve"> </w:t>
      </w:r>
      <w:r w:rsidRPr="075DED84" w:rsidR="00CD66D7">
        <w:rPr>
          <w:rFonts w:ascii="Arial" w:hAnsi="Arial" w:eastAsia="Calibri" w:cs="Arial"/>
          <w:color w:val="000000" w:themeColor="text1"/>
          <w:sz w:val="22"/>
          <w:szCs w:val="22"/>
          <w:lang w:val="en-GB"/>
        </w:rPr>
        <w:t>acorde</w:t>
      </w:r>
      <w:r w:rsidRPr="075DED84" w:rsidR="00F04156">
        <w:rPr>
          <w:rFonts w:ascii="Arial" w:hAnsi="Arial" w:eastAsia="Calibri" w:cs="Arial"/>
          <w:color w:val="000000" w:themeColor="text1"/>
          <w:sz w:val="22"/>
          <w:szCs w:val="22"/>
          <w:lang w:val="en-GB"/>
        </w:rPr>
        <w:t xml:space="preserve"> con sus deberes como garante. </w:t>
      </w:r>
    </w:p>
    <w:p w:rsidRPr="00406E40" w:rsidR="008B3AED" w:rsidP="00150EAF" w:rsidRDefault="008C5DB2" w14:paraId="115029C4" w14:textId="5D0A75B8">
      <w:pPr>
        <w:tabs>
          <w:tab w:val="left" w:pos="426"/>
        </w:tabs>
        <w:spacing w:before="120" w:line="276" w:lineRule="auto"/>
        <w:jc w:val="both"/>
        <w:rPr>
          <w:rFonts w:ascii="Arial" w:hAnsi="Arial" w:eastAsia="Calibri" w:cs="Arial"/>
          <w:color w:val="000000" w:themeColor="text1"/>
          <w:sz w:val="22"/>
          <w:szCs w:val="22"/>
          <w:lang w:val="es-ES"/>
        </w:rPr>
      </w:pPr>
      <w:r w:rsidRPr="00406E40">
        <w:rPr>
          <w:rFonts w:ascii="Arial" w:hAnsi="Arial" w:eastAsia="Calibri" w:cs="Arial"/>
          <w:color w:val="000000" w:themeColor="text1"/>
          <w:sz w:val="22"/>
          <w:szCs w:val="22"/>
          <w:lang w:val="es-ES"/>
        </w:rPr>
        <w:tab/>
      </w:r>
      <w:r w:rsidR="00777F8D">
        <w:rPr>
          <w:rFonts w:ascii="Arial" w:hAnsi="Arial" w:eastAsia="Calibri" w:cs="Arial"/>
          <w:color w:val="000000" w:themeColor="text1"/>
          <w:sz w:val="22"/>
          <w:szCs w:val="22"/>
          <w:lang w:val="es-ES"/>
        </w:rPr>
        <w:tab/>
      </w:r>
      <w:r w:rsidRPr="00406E40">
        <w:rPr>
          <w:rFonts w:ascii="Arial" w:hAnsi="Arial" w:eastAsia="Calibri" w:cs="Arial"/>
          <w:color w:val="000000" w:themeColor="text1"/>
          <w:sz w:val="22"/>
          <w:szCs w:val="22"/>
          <w:lang w:val="es-ES"/>
        </w:rPr>
        <w:t>E</w:t>
      </w:r>
      <w:r w:rsidRPr="00406E40" w:rsidR="000210DF">
        <w:rPr>
          <w:rFonts w:ascii="Arial" w:hAnsi="Arial" w:eastAsia="Calibri" w:cs="Arial"/>
          <w:color w:val="000000" w:themeColor="text1"/>
          <w:sz w:val="22"/>
          <w:szCs w:val="22"/>
          <w:lang w:val="es-ES"/>
        </w:rPr>
        <w:t xml:space="preserve">l constituyente dejó </w:t>
      </w:r>
      <w:r w:rsidR="00DB49E2">
        <w:rPr>
          <w:rFonts w:ascii="Arial" w:hAnsi="Arial" w:eastAsia="Calibri" w:cs="Arial"/>
          <w:color w:val="000000" w:themeColor="text1"/>
          <w:sz w:val="22"/>
          <w:szCs w:val="22"/>
          <w:lang w:val="es-ES"/>
        </w:rPr>
        <w:t>a</w:t>
      </w:r>
      <w:r w:rsidRPr="00406E40" w:rsidR="000210DF">
        <w:rPr>
          <w:rFonts w:ascii="Arial" w:hAnsi="Arial" w:eastAsia="Calibri" w:cs="Arial"/>
          <w:color w:val="000000" w:themeColor="text1"/>
          <w:sz w:val="22"/>
          <w:szCs w:val="22"/>
          <w:lang w:val="es-ES"/>
        </w:rPr>
        <w:t xml:space="preserve">l legislador </w:t>
      </w:r>
      <w:r w:rsidR="00C95DEB">
        <w:rPr>
          <w:rFonts w:ascii="Arial" w:hAnsi="Arial" w:eastAsia="Calibri" w:cs="Arial"/>
          <w:color w:val="000000" w:themeColor="text1"/>
          <w:sz w:val="22"/>
          <w:szCs w:val="22"/>
          <w:lang w:val="es-ES"/>
        </w:rPr>
        <w:t>definir</w:t>
      </w:r>
      <w:r w:rsidR="00DB49E2">
        <w:rPr>
          <w:rFonts w:ascii="Arial" w:hAnsi="Arial" w:eastAsia="Calibri" w:cs="Arial"/>
          <w:color w:val="000000" w:themeColor="text1"/>
          <w:sz w:val="22"/>
          <w:szCs w:val="22"/>
          <w:lang w:val="es-ES"/>
        </w:rPr>
        <w:t xml:space="preserve"> </w:t>
      </w:r>
      <w:r w:rsidR="00C95DEB">
        <w:rPr>
          <w:rFonts w:ascii="Arial" w:hAnsi="Arial" w:eastAsia="Calibri" w:cs="Arial"/>
          <w:color w:val="000000" w:themeColor="text1"/>
          <w:sz w:val="22"/>
          <w:szCs w:val="22"/>
          <w:lang w:val="es-ES"/>
        </w:rPr>
        <w:t>el</w:t>
      </w:r>
      <w:r w:rsidRPr="00406E40" w:rsidR="000210DF">
        <w:rPr>
          <w:rFonts w:ascii="Arial" w:hAnsi="Arial" w:eastAsia="Calibri" w:cs="Arial"/>
          <w:color w:val="000000" w:themeColor="text1"/>
          <w:sz w:val="22"/>
          <w:szCs w:val="22"/>
          <w:lang w:val="es-ES"/>
        </w:rPr>
        <w:t xml:space="preserve"> marco legal </w:t>
      </w:r>
      <w:r w:rsidRPr="00406E40" w:rsidR="00F04156">
        <w:rPr>
          <w:rFonts w:ascii="Arial" w:hAnsi="Arial" w:eastAsia="Calibri" w:cs="Arial"/>
          <w:color w:val="000000" w:themeColor="text1"/>
          <w:sz w:val="22"/>
          <w:szCs w:val="22"/>
          <w:lang w:val="es-ES"/>
        </w:rPr>
        <w:t xml:space="preserve">para los </w:t>
      </w:r>
      <w:r w:rsidR="00C95DEB">
        <w:rPr>
          <w:rFonts w:ascii="Arial" w:hAnsi="Arial" w:eastAsia="Calibri" w:cs="Arial"/>
          <w:color w:val="000000" w:themeColor="text1"/>
          <w:sz w:val="22"/>
          <w:szCs w:val="22"/>
          <w:lang w:val="es-ES"/>
        </w:rPr>
        <w:t>s</w:t>
      </w:r>
      <w:r w:rsidRPr="00406E40" w:rsidR="00F04156">
        <w:rPr>
          <w:rFonts w:ascii="Arial" w:hAnsi="Arial" w:eastAsia="Calibri" w:cs="Arial"/>
          <w:color w:val="000000" w:themeColor="text1"/>
          <w:sz w:val="22"/>
          <w:szCs w:val="22"/>
          <w:lang w:val="es-ES"/>
        </w:rPr>
        <w:t xml:space="preserve">ervicios </w:t>
      </w:r>
      <w:r w:rsidR="00C95DEB">
        <w:rPr>
          <w:rFonts w:ascii="Arial" w:hAnsi="Arial" w:eastAsia="Calibri" w:cs="Arial"/>
          <w:color w:val="000000" w:themeColor="text1"/>
          <w:sz w:val="22"/>
          <w:szCs w:val="22"/>
          <w:lang w:val="es-ES"/>
        </w:rPr>
        <w:t>p</w:t>
      </w:r>
      <w:r w:rsidRPr="00406E40" w:rsidR="00F04156">
        <w:rPr>
          <w:rFonts w:ascii="Arial" w:hAnsi="Arial" w:eastAsia="Calibri" w:cs="Arial"/>
          <w:color w:val="000000" w:themeColor="text1"/>
          <w:sz w:val="22"/>
          <w:szCs w:val="22"/>
          <w:lang w:val="es-ES"/>
        </w:rPr>
        <w:t xml:space="preserve">úblicos. Con base en la posibilidad constitucional de permitir la prestación por parte de particulares, </w:t>
      </w:r>
      <w:r w:rsidR="00C95DEB">
        <w:rPr>
          <w:rFonts w:ascii="Arial" w:hAnsi="Arial" w:eastAsia="Calibri" w:cs="Arial"/>
          <w:color w:val="000000" w:themeColor="text1"/>
          <w:sz w:val="22"/>
          <w:szCs w:val="22"/>
          <w:lang w:val="es-ES"/>
        </w:rPr>
        <w:t>admitió</w:t>
      </w:r>
      <w:r w:rsidRPr="00406E40" w:rsidR="00F04156">
        <w:rPr>
          <w:rFonts w:ascii="Arial" w:hAnsi="Arial" w:eastAsia="Calibri" w:cs="Arial"/>
          <w:color w:val="000000" w:themeColor="text1"/>
          <w:sz w:val="22"/>
          <w:szCs w:val="22"/>
          <w:lang w:val="es-ES"/>
        </w:rPr>
        <w:t xml:space="preserve"> la liberalización </w:t>
      </w:r>
      <w:r w:rsidR="00DB49E2">
        <w:rPr>
          <w:rFonts w:ascii="Arial" w:hAnsi="Arial" w:eastAsia="Calibri" w:cs="Arial"/>
          <w:color w:val="000000" w:themeColor="text1"/>
          <w:sz w:val="22"/>
          <w:szCs w:val="22"/>
          <w:lang w:val="es-ES"/>
        </w:rPr>
        <w:t xml:space="preserve">de </w:t>
      </w:r>
      <w:proofErr w:type="gramStart"/>
      <w:r w:rsidR="00DB49E2">
        <w:rPr>
          <w:rFonts w:ascii="Arial" w:hAnsi="Arial" w:eastAsia="Calibri" w:cs="Arial"/>
          <w:color w:val="000000" w:themeColor="text1"/>
          <w:sz w:val="22"/>
          <w:szCs w:val="22"/>
          <w:lang w:val="es-ES"/>
        </w:rPr>
        <w:t>los mismos</w:t>
      </w:r>
      <w:proofErr w:type="gramEnd"/>
      <w:r w:rsidRPr="00406E40" w:rsidR="00F04156">
        <w:rPr>
          <w:rStyle w:val="Refdenotaalpie"/>
          <w:rFonts w:ascii="Arial" w:hAnsi="Arial" w:eastAsia="Calibri" w:cs="Arial"/>
          <w:color w:val="000000" w:themeColor="text1"/>
          <w:sz w:val="22"/>
          <w:szCs w:val="22"/>
          <w:lang w:val="es-ES"/>
        </w:rPr>
        <w:footnoteReference w:id="2"/>
      </w:r>
      <w:r w:rsidR="00DB49E2">
        <w:rPr>
          <w:rFonts w:ascii="Arial" w:hAnsi="Arial" w:eastAsia="Calibri" w:cs="Arial"/>
          <w:color w:val="000000" w:themeColor="text1"/>
          <w:sz w:val="22"/>
          <w:szCs w:val="22"/>
          <w:lang w:val="es-ES"/>
        </w:rPr>
        <w:t>.</w:t>
      </w:r>
      <w:r w:rsidRPr="00406E40" w:rsidR="004A0F49">
        <w:rPr>
          <w:rFonts w:ascii="Arial" w:hAnsi="Arial" w:eastAsia="Calibri" w:cs="Arial"/>
          <w:color w:val="000000" w:themeColor="text1"/>
          <w:sz w:val="22"/>
          <w:szCs w:val="22"/>
          <w:lang w:val="es-ES"/>
        </w:rPr>
        <w:t xml:space="preserve"> </w:t>
      </w:r>
      <w:r w:rsidRPr="00406E40" w:rsidR="00F04156">
        <w:rPr>
          <w:rFonts w:ascii="Arial" w:hAnsi="Arial" w:eastAsia="Calibri" w:cs="Arial"/>
          <w:color w:val="000000" w:themeColor="text1"/>
          <w:sz w:val="22"/>
          <w:szCs w:val="22"/>
          <w:lang w:val="es-ES"/>
        </w:rPr>
        <w:t xml:space="preserve">En otras palabras, </w:t>
      </w:r>
      <w:r w:rsidRPr="00406E40" w:rsidR="004A0F49">
        <w:rPr>
          <w:rFonts w:ascii="Arial" w:hAnsi="Arial" w:eastAsia="Calibri" w:cs="Arial"/>
          <w:color w:val="000000" w:themeColor="text1"/>
          <w:sz w:val="22"/>
          <w:szCs w:val="22"/>
          <w:lang w:val="es-ES"/>
        </w:rPr>
        <w:t xml:space="preserve">se habilitó al legislador </w:t>
      </w:r>
      <w:r w:rsidRPr="00406E40">
        <w:rPr>
          <w:rFonts w:ascii="Arial" w:hAnsi="Arial" w:eastAsia="Calibri" w:cs="Arial"/>
          <w:color w:val="000000" w:themeColor="text1"/>
          <w:sz w:val="22"/>
          <w:szCs w:val="22"/>
          <w:lang w:val="es-ES"/>
        </w:rPr>
        <w:t>la posibilidad</w:t>
      </w:r>
      <w:r w:rsidRPr="00406E40" w:rsidR="004A0F49">
        <w:rPr>
          <w:rFonts w:ascii="Arial" w:hAnsi="Arial" w:eastAsia="Calibri" w:cs="Arial"/>
          <w:color w:val="000000" w:themeColor="text1"/>
          <w:sz w:val="22"/>
          <w:szCs w:val="22"/>
          <w:lang w:val="es-ES"/>
        </w:rPr>
        <w:t xml:space="preserve"> de</w:t>
      </w:r>
      <w:r w:rsidRPr="00406E40" w:rsidR="00F04156">
        <w:rPr>
          <w:rFonts w:ascii="Arial" w:hAnsi="Arial" w:eastAsia="Calibri" w:cs="Arial"/>
          <w:color w:val="000000" w:themeColor="text1"/>
          <w:sz w:val="22"/>
          <w:szCs w:val="22"/>
          <w:lang w:val="es-ES"/>
        </w:rPr>
        <w:t xml:space="preserve"> permitir la entrada de los particulares como prestadores de servicios públicos</w:t>
      </w:r>
      <w:r w:rsidRPr="00406E40" w:rsidR="004A0F49">
        <w:rPr>
          <w:rFonts w:ascii="Arial" w:hAnsi="Arial" w:eastAsia="Calibri" w:cs="Arial"/>
          <w:color w:val="000000" w:themeColor="text1"/>
          <w:sz w:val="22"/>
          <w:szCs w:val="22"/>
          <w:lang w:val="es-ES"/>
        </w:rPr>
        <w:t>. En este caso,</w:t>
      </w:r>
      <w:r w:rsidRPr="00406E40" w:rsidR="008B3AED">
        <w:rPr>
          <w:rFonts w:ascii="Arial" w:hAnsi="Arial" w:eastAsia="Calibri" w:cs="Arial"/>
          <w:color w:val="000000" w:themeColor="text1"/>
          <w:sz w:val="22"/>
          <w:szCs w:val="22"/>
          <w:lang w:val="es-ES"/>
        </w:rPr>
        <w:t xml:space="preserve"> los </w:t>
      </w:r>
      <w:r w:rsidR="00C95DEB">
        <w:rPr>
          <w:rFonts w:ascii="Arial" w:hAnsi="Arial" w:eastAsia="Calibri" w:cs="Arial"/>
          <w:color w:val="000000" w:themeColor="text1"/>
          <w:sz w:val="22"/>
          <w:szCs w:val="22"/>
          <w:lang w:val="es-ES"/>
        </w:rPr>
        <w:t>s</w:t>
      </w:r>
      <w:r w:rsidRPr="00406E40" w:rsidR="008B3AED">
        <w:rPr>
          <w:rFonts w:ascii="Arial" w:hAnsi="Arial" w:eastAsia="Calibri" w:cs="Arial"/>
          <w:color w:val="000000" w:themeColor="text1"/>
          <w:sz w:val="22"/>
          <w:szCs w:val="22"/>
          <w:lang w:val="es-ES"/>
        </w:rPr>
        <w:t xml:space="preserve">ervicios </w:t>
      </w:r>
      <w:r w:rsidR="00C95DEB">
        <w:rPr>
          <w:rFonts w:ascii="Arial" w:hAnsi="Arial" w:eastAsia="Calibri" w:cs="Arial"/>
          <w:color w:val="000000" w:themeColor="text1"/>
          <w:sz w:val="22"/>
          <w:szCs w:val="22"/>
          <w:lang w:val="es-ES"/>
        </w:rPr>
        <w:t>p</w:t>
      </w:r>
      <w:r w:rsidRPr="00406E40" w:rsidR="008B3AED">
        <w:rPr>
          <w:rFonts w:ascii="Arial" w:hAnsi="Arial" w:eastAsia="Calibri" w:cs="Arial"/>
          <w:color w:val="000000" w:themeColor="text1"/>
          <w:sz w:val="22"/>
          <w:szCs w:val="22"/>
          <w:lang w:val="es-ES"/>
        </w:rPr>
        <w:t>úblicos tendrán una connotación económica que acompañe l</w:t>
      </w:r>
      <w:r w:rsidR="00C95DEB">
        <w:rPr>
          <w:rFonts w:ascii="Arial" w:hAnsi="Arial" w:eastAsia="Calibri" w:cs="Arial"/>
          <w:color w:val="000000" w:themeColor="text1"/>
          <w:sz w:val="22"/>
          <w:szCs w:val="22"/>
          <w:lang w:val="es-ES"/>
        </w:rPr>
        <w:t xml:space="preserve">os fines </w:t>
      </w:r>
      <w:r w:rsidRPr="00406E40" w:rsidR="008B3AED">
        <w:rPr>
          <w:rFonts w:ascii="Arial" w:hAnsi="Arial" w:eastAsia="Calibri" w:cs="Arial"/>
          <w:color w:val="000000" w:themeColor="text1"/>
          <w:sz w:val="22"/>
          <w:szCs w:val="22"/>
          <w:lang w:val="es-ES"/>
        </w:rPr>
        <w:t>públic</w:t>
      </w:r>
      <w:r w:rsidR="00C95DEB">
        <w:rPr>
          <w:rFonts w:ascii="Arial" w:hAnsi="Arial" w:eastAsia="Calibri" w:cs="Arial"/>
          <w:color w:val="000000" w:themeColor="text1"/>
          <w:sz w:val="22"/>
          <w:szCs w:val="22"/>
          <w:lang w:val="es-ES"/>
        </w:rPr>
        <w:t>os</w:t>
      </w:r>
      <w:r w:rsidRPr="00406E40" w:rsidR="008B3AED">
        <w:rPr>
          <w:rFonts w:ascii="Arial" w:hAnsi="Arial" w:eastAsia="Calibri" w:cs="Arial"/>
          <w:color w:val="000000" w:themeColor="text1"/>
          <w:sz w:val="22"/>
          <w:szCs w:val="22"/>
          <w:lang w:val="es-ES"/>
        </w:rPr>
        <w:t xml:space="preserve"> o </w:t>
      </w:r>
      <w:r w:rsidR="00C95DEB">
        <w:rPr>
          <w:rFonts w:ascii="Arial" w:hAnsi="Arial" w:eastAsia="Calibri" w:cs="Arial"/>
          <w:color w:val="000000" w:themeColor="text1"/>
          <w:sz w:val="22"/>
          <w:szCs w:val="22"/>
          <w:lang w:val="es-ES"/>
        </w:rPr>
        <w:t>la</w:t>
      </w:r>
      <w:r w:rsidRPr="00406E40" w:rsidR="008B3AED">
        <w:rPr>
          <w:rFonts w:ascii="Arial" w:hAnsi="Arial" w:eastAsia="Calibri" w:cs="Arial"/>
          <w:color w:val="000000" w:themeColor="text1"/>
          <w:sz w:val="22"/>
          <w:szCs w:val="22"/>
          <w:lang w:val="es-ES"/>
        </w:rPr>
        <w:t xml:space="preserve"> finalidad social del Estado que prescribe el artículo 365 constitucional.</w:t>
      </w:r>
      <w:r w:rsidRPr="00406E40">
        <w:rPr>
          <w:rFonts w:ascii="Arial" w:hAnsi="Arial" w:eastAsia="Calibri" w:cs="Arial"/>
          <w:color w:val="000000" w:themeColor="text1"/>
          <w:sz w:val="22"/>
          <w:szCs w:val="22"/>
          <w:lang w:val="es-ES"/>
        </w:rPr>
        <w:t xml:space="preserve"> </w:t>
      </w:r>
      <w:r w:rsidRPr="00406E40" w:rsidR="00D35FC1">
        <w:rPr>
          <w:rFonts w:ascii="Arial" w:hAnsi="Arial" w:eastAsia="Calibri" w:cs="Arial"/>
          <w:color w:val="000000" w:themeColor="text1"/>
          <w:sz w:val="22"/>
          <w:szCs w:val="22"/>
          <w:lang w:val="es-ES"/>
        </w:rPr>
        <w:t xml:space="preserve">De </w:t>
      </w:r>
      <w:r w:rsidR="00C95DEB">
        <w:rPr>
          <w:rFonts w:ascii="Arial" w:hAnsi="Arial" w:eastAsia="Calibri" w:cs="Arial"/>
          <w:color w:val="000000" w:themeColor="text1"/>
          <w:sz w:val="22"/>
          <w:szCs w:val="22"/>
          <w:lang w:val="es-ES"/>
        </w:rPr>
        <w:t xml:space="preserve">aquella finalidad de orden </w:t>
      </w:r>
      <w:r w:rsidRPr="00406E40" w:rsidR="00D35FC1">
        <w:rPr>
          <w:rFonts w:ascii="Arial" w:hAnsi="Arial" w:eastAsia="Calibri" w:cs="Arial"/>
          <w:color w:val="000000" w:themeColor="text1"/>
          <w:sz w:val="22"/>
          <w:szCs w:val="22"/>
          <w:lang w:val="es-ES"/>
        </w:rPr>
        <w:t>económic</w:t>
      </w:r>
      <w:r w:rsidR="00C95DEB">
        <w:rPr>
          <w:rFonts w:ascii="Arial" w:hAnsi="Arial" w:eastAsia="Calibri" w:cs="Arial"/>
          <w:color w:val="000000" w:themeColor="text1"/>
          <w:sz w:val="22"/>
          <w:szCs w:val="22"/>
          <w:lang w:val="es-ES"/>
        </w:rPr>
        <w:t>o</w:t>
      </w:r>
      <w:r w:rsidRPr="00406E40" w:rsidR="00D35FC1">
        <w:rPr>
          <w:rFonts w:ascii="Arial" w:hAnsi="Arial" w:eastAsia="Calibri" w:cs="Arial"/>
          <w:color w:val="000000" w:themeColor="text1"/>
          <w:sz w:val="22"/>
          <w:szCs w:val="22"/>
          <w:lang w:val="es-ES"/>
        </w:rPr>
        <w:t xml:space="preserve"> se deriva la obligación de respetar las garantías establecidas para la actividad </w:t>
      </w:r>
      <w:r w:rsidRPr="00406E40" w:rsidR="00596896">
        <w:rPr>
          <w:rFonts w:ascii="Arial" w:hAnsi="Arial" w:eastAsia="Calibri" w:cs="Arial"/>
          <w:color w:val="000000" w:themeColor="text1"/>
          <w:sz w:val="22"/>
          <w:szCs w:val="22"/>
          <w:lang w:val="es-ES"/>
        </w:rPr>
        <w:t>económica y</w:t>
      </w:r>
      <w:r w:rsidRPr="00406E40" w:rsidR="00D35FC1">
        <w:rPr>
          <w:rFonts w:ascii="Arial" w:hAnsi="Arial" w:eastAsia="Calibri" w:cs="Arial"/>
          <w:color w:val="000000" w:themeColor="text1"/>
          <w:sz w:val="22"/>
          <w:szCs w:val="22"/>
          <w:lang w:val="es-ES"/>
        </w:rPr>
        <w:t xml:space="preserve"> la iniciativa</w:t>
      </w:r>
      <w:r w:rsidRPr="00406E40" w:rsidR="00596896">
        <w:rPr>
          <w:rFonts w:ascii="Arial" w:hAnsi="Arial" w:eastAsia="Calibri" w:cs="Arial"/>
          <w:color w:val="000000" w:themeColor="text1"/>
          <w:sz w:val="22"/>
          <w:szCs w:val="22"/>
          <w:lang w:val="es-ES"/>
        </w:rPr>
        <w:t xml:space="preserve"> </w:t>
      </w:r>
      <w:r w:rsidRPr="00406E40" w:rsidR="00D35FC1">
        <w:rPr>
          <w:rFonts w:ascii="Arial" w:hAnsi="Arial" w:eastAsia="Calibri" w:cs="Arial"/>
          <w:color w:val="000000" w:themeColor="text1"/>
          <w:sz w:val="22"/>
          <w:szCs w:val="22"/>
          <w:lang w:val="es-ES"/>
        </w:rPr>
        <w:t>privada.</w:t>
      </w:r>
      <w:r w:rsidRPr="00406E40">
        <w:rPr>
          <w:rFonts w:ascii="Arial" w:hAnsi="Arial" w:eastAsia="Calibri" w:cs="Arial"/>
          <w:color w:val="000000" w:themeColor="text1"/>
          <w:sz w:val="22"/>
          <w:szCs w:val="22"/>
          <w:lang w:val="es-ES"/>
        </w:rPr>
        <w:t xml:space="preserve"> </w:t>
      </w:r>
      <w:r w:rsidRPr="00406E40" w:rsidR="00D35FC1">
        <w:rPr>
          <w:rFonts w:ascii="Arial" w:hAnsi="Arial" w:eastAsia="Calibri" w:cs="Arial"/>
          <w:color w:val="000000" w:themeColor="text1"/>
          <w:sz w:val="22"/>
          <w:szCs w:val="22"/>
          <w:lang w:val="es-ES"/>
        </w:rPr>
        <w:t>Por lo mismo, en los términos del artículo 333</w:t>
      </w:r>
      <w:r w:rsidR="00DB49E2">
        <w:rPr>
          <w:rFonts w:ascii="Arial" w:hAnsi="Arial" w:eastAsia="Calibri" w:cs="Arial"/>
          <w:color w:val="000000" w:themeColor="text1"/>
          <w:sz w:val="22"/>
          <w:szCs w:val="22"/>
          <w:lang w:val="es-ES"/>
        </w:rPr>
        <w:t xml:space="preserve"> </w:t>
      </w:r>
      <w:r w:rsidRPr="00406E40" w:rsidR="00D35FC1">
        <w:rPr>
          <w:rFonts w:ascii="Arial" w:hAnsi="Arial" w:eastAsia="Calibri" w:cs="Arial"/>
          <w:color w:val="000000" w:themeColor="text1"/>
          <w:sz w:val="22"/>
          <w:szCs w:val="22"/>
          <w:lang w:val="es-ES"/>
        </w:rPr>
        <w:t>de la Constitución Política</w:t>
      </w:r>
      <w:r w:rsidRPr="00406E40" w:rsidR="00DB49E2">
        <w:rPr>
          <w:rStyle w:val="Refdenotaalpie"/>
          <w:rFonts w:ascii="Arial" w:hAnsi="Arial" w:eastAsia="Calibri" w:cs="Arial"/>
          <w:color w:val="000000" w:themeColor="text1"/>
          <w:sz w:val="22"/>
          <w:szCs w:val="22"/>
          <w:lang w:val="es-ES"/>
        </w:rPr>
        <w:footnoteReference w:id="3"/>
      </w:r>
      <w:r w:rsidRPr="00406E40" w:rsidR="00D35FC1">
        <w:rPr>
          <w:rFonts w:ascii="Arial" w:hAnsi="Arial" w:eastAsia="Calibri" w:cs="Arial"/>
          <w:color w:val="000000" w:themeColor="text1"/>
          <w:sz w:val="22"/>
          <w:szCs w:val="22"/>
          <w:lang w:val="es-ES"/>
        </w:rPr>
        <w:t xml:space="preserve">, la libre competencia económica </w:t>
      </w:r>
      <w:r w:rsidR="00C95DEB">
        <w:rPr>
          <w:rFonts w:ascii="Arial" w:hAnsi="Arial" w:eastAsia="Calibri" w:cs="Arial"/>
          <w:color w:val="000000" w:themeColor="text1"/>
          <w:sz w:val="22"/>
          <w:szCs w:val="22"/>
          <w:lang w:val="es-ES"/>
        </w:rPr>
        <w:t>comprende</w:t>
      </w:r>
      <w:r w:rsidRPr="00406E40" w:rsidR="00D35FC1">
        <w:rPr>
          <w:rFonts w:ascii="Arial" w:hAnsi="Arial" w:eastAsia="Calibri" w:cs="Arial"/>
          <w:color w:val="000000" w:themeColor="text1"/>
          <w:sz w:val="22"/>
          <w:szCs w:val="22"/>
          <w:lang w:val="es-ES"/>
        </w:rPr>
        <w:t xml:space="preserve"> también las actividades de servicio público liberalizadas</w:t>
      </w:r>
      <w:r w:rsidRPr="00406E40" w:rsidR="00D35FC1">
        <w:rPr>
          <w:rStyle w:val="Refdenotaalpie"/>
          <w:rFonts w:ascii="Arial" w:hAnsi="Arial" w:eastAsia="Calibri" w:cs="Arial"/>
          <w:color w:val="000000" w:themeColor="text1"/>
          <w:sz w:val="22"/>
          <w:szCs w:val="22"/>
          <w:lang w:val="es-ES"/>
        </w:rPr>
        <w:footnoteReference w:id="4"/>
      </w:r>
      <w:r w:rsidR="00DB49E2">
        <w:rPr>
          <w:rFonts w:ascii="Arial" w:hAnsi="Arial" w:eastAsia="Calibri" w:cs="Arial"/>
          <w:color w:val="000000" w:themeColor="text1"/>
          <w:sz w:val="22"/>
          <w:szCs w:val="22"/>
          <w:lang w:val="es-ES"/>
        </w:rPr>
        <w:t>.</w:t>
      </w:r>
      <w:r w:rsidRPr="00406E40" w:rsidR="00D35FC1">
        <w:rPr>
          <w:rFonts w:ascii="Arial" w:hAnsi="Arial" w:eastAsia="Calibri" w:cs="Arial"/>
          <w:color w:val="000000" w:themeColor="text1"/>
          <w:sz w:val="22"/>
          <w:szCs w:val="22"/>
          <w:lang w:val="es-ES"/>
        </w:rPr>
        <w:t xml:space="preserve"> </w:t>
      </w:r>
    </w:p>
    <w:p w:rsidRPr="00406E40" w:rsidR="00D35FC1" w:rsidP="00150EAF" w:rsidRDefault="00D35FC1" w14:paraId="566D9CE3" w14:textId="2D9E911D">
      <w:pPr>
        <w:tabs>
          <w:tab w:val="left" w:pos="426"/>
        </w:tabs>
        <w:spacing w:line="276" w:lineRule="auto"/>
        <w:jc w:val="both"/>
        <w:rPr>
          <w:rFonts w:ascii="Arial" w:hAnsi="Arial" w:eastAsia="Calibri" w:cs="Arial"/>
          <w:color w:val="000000" w:themeColor="text1"/>
          <w:sz w:val="22"/>
          <w:szCs w:val="22"/>
          <w:lang w:val="es-ES"/>
        </w:rPr>
      </w:pPr>
    </w:p>
    <w:p w:rsidR="00E80252" w:rsidP="00150EAF" w:rsidRDefault="00AC514C" w14:paraId="402DE9EB" w14:textId="5AD636FD">
      <w:pPr>
        <w:tabs>
          <w:tab w:val="left" w:pos="426"/>
        </w:tabs>
        <w:spacing w:line="276" w:lineRule="auto"/>
        <w:jc w:val="both"/>
        <w:rPr>
          <w:rFonts w:ascii="Arial" w:hAnsi="Arial" w:eastAsia="Calibri" w:cs="Arial"/>
          <w:b/>
          <w:bCs/>
          <w:color w:val="000000" w:themeColor="text1"/>
          <w:sz w:val="22"/>
          <w:szCs w:val="22"/>
          <w:lang w:val="es-ES"/>
        </w:rPr>
      </w:pPr>
      <w:r w:rsidRPr="00406E40">
        <w:rPr>
          <w:rFonts w:ascii="Arial" w:hAnsi="Arial" w:eastAsia="Calibri" w:cs="Arial"/>
          <w:b/>
          <w:bCs/>
          <w:color w:val="000000" w:themeColor="text1"/>
          <w:sz w:val="22"/>
          <w:szCs w:val="22"/>
          <w:lang w:val="es-ES"/>
        </w:rPr>
        <w:t xml:space="preserve">2.2. </w:t>
      </w:r>
      <w:r w:rsidR="00C95DEB">
        <w:rPr>
          <w:rFonts w:ascii="Arial" w:hAnsi="Arial" w:eastAsia="Calibri" w:cs="Arial"/>
          <w:b/>
          <w:bCs/>
          <w:color w:val="000000" w:themeColor="text1"/>
          <w:sz w:val="22"/>
          <w:szCs w:val="22"/>
          <w:lang w:val="es-ES"/>
        </w:rPr>
        <w:t>S</w:t>
      </w:r>
      <w:r w:rsidRPr="00406E40">
        <w:rPr>
          <w:rFonts w:ascii="Arial" w:hAnsi="Arial" w:eastAsia="Calibri" w:cs="Arial"/>
          <w:b/>
          <w:bCs/>
          <w:color w:val="000000" w:themeColor="text1"/>
          <w:sz w:val="22"/>
          <w:szCs w:val="22"/>
          <w:lang w:val="es-ES"/>
        </w:rPr>
        <w:t xml:space="preserve">ujetos autorizados por la </w:t>
      </w:r>
      <w:r w:rsidR="001C7876">
        <w:rPr>
          <w:rFonts w:ascii="Arial" w:hAnsi="Arial" w:eastAsia="Calibri" w:cs="Arial"/>
          <w:b/>
          <w:bCs/>
          <w:color w:val="000000" w:themeColor="text1"/>
          <w:sz w:val="22"/>
          <w:szCs w:val="22"/>
          <w:lang w:val="es-ES"/>
        </w:rPr>
        <w:t>l</w:t>
      </w:r>
      <w:r w:rsidRPr="00406E40">
        <w:rPr>
          <w:rFonts w:ascii="Arial" w:hAnsi="Arial" w:eastAsia="Calibri" w:cs="Arial"/>
          <w:b/>
          <w:bCs/>
          <w:color w:val="000000" w:themeColor="text1"/>
          <w:sz w:val="22"/>
          <w:szCs w:val="22"/>
          <w:lang w:val="es-ES"/>
        </w:rPr>
        <w:t xml:space="preserve">ey para </w:t>
      </w:r>
      <w:r w:rsidR="00C95DEB">
        <w:rPr>
          <w:rFonts w:ascii="Arial" w:hAnsi="Arial" w:eastAsia="Calibri" w:cs="Arial"/>
          <w:b/>
          <w:bCs/>
          <w:color w:val="000000" w:themeColor="text1"/>
          <w:sz w:val="22"/>
          <w:szCs w:val="22"/>
          <w:lang w:val="es-ES"/>
        </w:rPr>
        <w:t>prestar</w:t>
      </w:r>
      <w:r w:rsidRPr="00406E40">
        <w:rPr>
          <w:rFonts w:ascii="Arial" w:hAnsi="Arial" w:eastAsia="Calibri" w:cs="Arial"/>
          <w:b/>
          <w:bCs/>
          <w:color w:val="000000" w:themeColor="text1"/>
          <w:sz w:val="22"/>
          <w:szCs w:val="22"/>
          <w:lang w:val="es-ES"/>
        </w:rPr>
        <w:t xml:space="preserve"> servicios públicos</w:t>
      </w:r>
    </w:p>
    <w:p w:rsidRPr="00406E40" w:rsidR="00E80252" w:rsidP="00150EAF" w:rsidRDefault="00E80252" w14:paraId="7556B0DD" w14:textId="77777777">
      <w:pPr>
        <w:tabs>
          <w:tab w:val="left" w:pos="426"/>
        </w:tabs>
        <w:spacing w:line="276" w:lineRule="auto"/>
        <w:jc w:val="both"/>
        <w:rPr>
          <w:rFonts w:ascii="Arial" w:hAnsi="Arial" w:eastAsia="Calibri" w:cs="Arial"/>
          <w:b/>
          <w:bCs/>
          <w:color w:val="000000" w:themeColor="text1"/>
          <w:sz w:val="22"/>
          <w:szCs w:val="22"/>
          <w:lang w:val="es-ES"/>
        </w:rPr>
      </w:pPr>
    </w:p>
    <w:p w:rsidRPr="00406E40" w:rsidR="001A0A19" w:rsidP="00150EAF" w:rsidRDefault="008E6DB4" w14:paraId="71BC31AF" w14:textId="2B3AC961">
      <w:pPr>
        <w:tabs>
          <w:tab w:val="left" w:pos="426"/>
        </w:tabs>
        <w:spacing w:after="120" w:line="276" w:lineRule="auto"/>
        <w:jc w:val="both"/>
        <w:rPr>
          <w:rFonts w:ascii="Arial" w:hAnsi="Arial" w:eastAsia="Calibri" w:cs="Arial"/>
          <w:color w:val="000000" w:themeColor="text1"/>
          <w:sz w:val="22"/>
          <w:szCs w:val="22"/>
          <w:lang w:val="es-ES"/>
        </w:rPr>
      </w:pPr>
      <w:r>
        <w:rPr>
          <w:rFonts w:ascii="Arial" w:hAnsi="Arial" w:eastAsia="Calibri" w:cs="Arial"/>
          <w:color w:val="000000" w:themeColor="text1"/>
          <w:sz w:val="22"/>
          <w:szCs w:val="22"/>
          <w:lang w:val="es-ES"/>
        </w:rPr>
        <w:t>Después de e</w:t>
      </w:r>
      <w:r w:rsidRPr="00406E40" w:rsidR="00D35FC1">
        <w:rPr>
          <w:rFonts w:ascii="Arial" w:hAnsi="Arial" w:eastAsia="Calibri" w:cs="Arial"/>
          <w:color w:val="000000" w:themeColor="text1"/>
          <w:sz w:val="22"/>
          <w:szCs w:val="22"/>
          <w:lang w:val="es-ES"/>
        </w:rPr>
        <w:t xml:space="preserve">stas consideraciones generales de </w:t>
      </w:r>
      <w:r>
        <w:rPr>
          <w:rFonts w:ascii="Arial" w:hAnsi="Arial" w:eastAsia="Calibri" w:cs="Arial"/>
          <w:color w:val="000000" w:themeColor="text1"/>
          <w:sz w:val="22"/>
          <w:szCs w:val="22"/>
          <w:lang w:val="es-ES"/>
        </w:rPr>
        <w:t>carácter</w:t>
      </w:r>
      <w:r w:rsidRPr="00406E40">
        <w:rPr>
          <w:rFonts w:ascii="Arial" w:hAnsi="Arial" w:eastAsia="Calibri" w:cs="Arial"/>
          <w:color w:val="000000" w:themeColor="text1"/>
          <w:sz w:val="22"/>
          <w:szCs w:val="22"/>
          <w:lang w:val="es-ES"/>
        </w:rPr>
        <w:t xml:space="preserve"> </w:t>
      </w:r>
      <w:r w:rsidRPr="00406E40" w:rsidR="00D35FC1">
        <w:rPr>
          <w:rFonts w:ascii="Arial" w:hAnsi="Arial" w:eastAsia="Calibri" w:cs="Arial"/>
          <w:color w:val="000000" w:themeColor="text1"/>
          <w:sz w:val="22"/>
          <w:szCs w:val="22"/>
          <w:lang w:val="es-ES"/>
        </w:rPr>
        <w:t xml:space="preserve">constitucional </w:t>
      </w:r>
      <w:r>
        <w:rPr>
          <w:rFonts w:ascii="Arial" w:hAnsi="Arial" w:eastAsia="Calibri" w:cs="Arial"/>
          <w:color w:val="000000" w:themeColor="text1"/>
          <w:sz w:val="22"/>
          <w:szCs w:val="22"/>
          <w:lang w:val="es-ES"/>
        </w:rPr>
        <w:t>se analizará</w:t>
      </w:r>
      <w:r w:rsidRPr="00406E40" w:rsidR="001A0A19">
        <w:rPr>
          <w:rFonts w:ascii="Arial" w:hAnsi="Arial" w:eastAsia="Calibri" w:cs="Arial"/>
          <w:color w:val="000000" w:themeColor="text1"/>
          <w:sz w:val="22"/>
          <w:szCs w:val="22"/>
          <w:lang w:val="es-ES"/>
        </w:rPr>
        <w:t xml:space="preserve"> el régimen legal particular de los </w:t>
      </w:r>
      <w:r w:rsidR="00C95DEB">
        <w:rPr>
          <w:rFonts w:ascii="Arial" w:hAnsi="Arial" w:eastAsia="Calibri" w:cs="Arial"/>
          <w:color w:val="000000" w:themeColor="text1"/>
          <w:sz w:val="22"/>
          <w:szCs w:val="22"/>
          <w:lang w:val="es-ES"/>
        </w:rPr>
        <w:t>s</w:t>
      </w:r>
      <w:r w:rsidRPr="00406E40" w:rsidR="001A0A19">
        <w:rPr>
          <w:rFonts w:ascii="Arial" w:hAnsi="Arial" w:eastAsia="Calibri" w:cs="Arial"/>
          <w:color w:val="000000" w:themeColor="text1"/>
          <w:sz w:val="22"/>
          <w:szCs w:val="22"/>
          <w:lang w:val="es-ES"/>
        </w:rPr>
        <w:t xml:space="preserve">ervicios </w:t>
      </w:r>
      <w:r w:rsidR="00C95DEB">
        <w:rPr>
          <w:rFonts w:ascii="Arial" w:hAnsi="Arial" w:eastAsia="Calibri" w:cs="Arial"/>
          <w:color w:val="000000" w:themeColor="text1"/>
          <w:sz w:val="22"/>
          <w:szCs w:val="22"/>
          <w:lang w:val="es-ES"/>
        </w:rPr>
        <w:t>p</w:t>
      </w:r>
      <w:r w:rsidRPr="00406E40" w:rsidR="001A0A19">
        <w:rPr>
          <w:rFonts w:ascii="Arial" w:hAnsi="Arial" w:eastAsia="Calibri" w:cs="Arial"/>
          <w:color w:val="000000" w:themeColor="text1"/>
          <w:sz w:val="22"/>
          <w:szCs w:val="22"/>
          <w:lang w:val="es-ES"/>
        </w:rPr>
        <w:t xml:space="preserve">úblicos </w:t>
      </w:r>
      <w:r w:rsidR="00C95DEB">
        <w:rPr>
          <w:rFonts w:ascii="Arial" w:hAnsi="Arial" w:eastAsia="Calibri" w:cs="Arial"/>
          <w:color w:val="000000" w:themeColor="text1"/>
          <w:sz w:val="22"/>
          <w:szCs w:val="22"/>
          <w:lang w:val="es-ES"/>
        </w:rPr>
        <w:t>d</w:t>
      </w:r>
      <w:r w:rsidRPr="00406E40" w:rsidR="001A0A19">
        <w:rPr>
          <w:rFonts w:ascii="Arial" w:hAnsi="Arial" w:eastAsia="Calibri" w:cs="Arial"/>
          <w:color w:val="000000" w:themeColor="text1"/>
          <w:sz w:val="22"/>
          <w:szCs w:val="22"/>
          <w:lang w:val="es-ES"/>
        </w:rPr>
        <w:t xml:space="preserve">omiciliarios. </w:t>
      </w:r>
      <w:r>
        <w:rPr>
          <w:rFonts w:ascii="Arial" w:hAnsi="Arial" w:eastAsia="Calibri" w:cs="Arial"/>
          <w:color w:val="000000" w:themeColor="text1"/>
          <w:sz w:val="22"/>
          <w:szCs w:val="22"/>
          <w:lang w:val="es-ES"/>
        </w:rPr>
        <w:t>Al respecto, e</w:t>
      </w:r>
      <w:r w:rsidRPr="00406E40" w:rsidR="008C5DB2">
        <w:rPr>
          <w:rFonts w:ascii="Arial" w:hAnsi="Arial" w:eastAsia="Calibri" w:cs="Arial"/>
          <w:color w:val="000000" w:themeColor="text1"/>
          <w:sz w:val="22"/>
          <w:szCs w:val="22"/>
          <w:lang w:val="es-ES"/>
        </w:rPr>
        <w:t xml:space="preserve">l </w:t>
      </w:r>
      <w:r w:rsidRPr="00406E40" w:rsidR="001A0A19">
        <w:rPr>
          <w:rFonts w:ascii="Arial" w:hAnsi="Arial" w:eastAsia="Calibri" w:cs="Arial"/>
          <w:color w:val="000000" w:themeColor="text1"/>
          <w:sz w:val="22"/>
          <w:szCs w:val="22"/>
          <w:lang w:val="es-ES"/>
        </w:rPr>
        <w:t xml:space="preserve">artículo 15 de la Ley 142 de 1994 </w:t>
      </w:r>
      <w:r w:rsidR="00C95DEB">
        <w:rPr>
          <w:rFonts w:ascii="Arial" w:hAnsi="Arial" w:eastAsia="Calibri" w:cs="Arial"/>
          <w:color w:val="000000" w:themeColor="text1"/>
          <w:sz w:val="22"/>
          <w:szCs w:val="22"/>
          <w:lang w:val="es-ES"/>
        </w:rPr>
        <w:t>enuncia</w:t>
      </w:r>
      <w:r w:rsidRPr="00406E40">
        <w:rPr>
          <w:rFonts w:ascii="Arial" w:hAnsi="Arial" w:eastAsia="Calibri" w:cs="Arial"/>
          <w:color w:val="000000" w:themeColor="text1"/>
          <w:sz w:val="22"/>
          <w:szCs w:val="22"/>
          <w:lang w:val="es-ES"/>
        </w:rPr>
        <w:t xml:space="preserve"> </w:t>
      </w:r>
      <w:r w:rsidRPr="00406E40" w:rsidR="001A0A19">
        <w:rPr>
          <w:rFonts w:ascii="Arial" w:hAnsi="Arial" w:eastAsia="Calibri" w:cs="Arial"/>
          <w:color w:val="000000" w:themeColor="text1"/>
          <w:sz w:val="22"/>
          <w:szCs w:val="22"/>
          <w:lang w:val="es-ES"/>
        </w:rPr>
        <w:t xml:space="preserve">las personas autorizadas para prestar los servicios públicos domiciliarios: i) las empresas de servicios públicos, </w:t>
      </w:r>
      <w:proofErr w:type="spellStart"/>
      <w:r w:rsidRPr="00406E40" w:rsidR="001A0A19">
        <w:rPr>
          <w:rFonts w:ascii="Arial" w:hAnsi="Arial" w:eastAsia="Calibri" w:cs="Arial"/>
          <w:color w:val="000000" w:themeColor="text1"/>
          <w:sz w:val="22"/>
          <w:szCs w:val="22"/>
          <w:lang w:val="es-ES"/>
        </w:rPr>
        <w:t>ii</w:t>
      </w:r>
      <w:proofErr w:type="spellEnd"/>
      <w:r w:rsidRPr="00406E40" w:rsidR="001A0A19">
        <w:rPr>
          <w:rFonts w:ascii="Arial" w:hAnsi="Arial" w:eastAsia="Calibri" w:cs="Arial"/>
          <w:color w:val="000000" w:themeColor="text1"/>
          <w:sz w:val="22"/>
          <w:szCs w:val="22"/>
          <w:lang w:val="es-ES"/>
        </w:rPr>
        <w:t xml:space="preserve">) los productores marginales, </w:t>
      </w:r>
      <w:proofErr w:type="spellStart"/>
      <w:r w:rsidRPr="00406E40" w:rsidR="001A0A19">
        <w:rPr>
          <w:rFonts w:ascii="Arial" w:hAnsi="Arial" w:eastAsia="Calibri" w:cs="Arial"/>
          <w:color w:val="000000" w:themeColor="text1"/>
          <w:sz w:val="22"/>
          <w:szCs w:val="22"/>
          <w:lang w:val="es-ES"/>
        </w:rPr>
        <w:t>iii</w:t>
      </w:r>
      <w:proofErr w:type="spellEnd"/>
      <w:r w:rsidRPr="00406E40" w:rsidR="001A0A19">
        <w:rPr>
          <w:rFonts w:ascii="Arial" w:hAnsi="Arial" w:eastAsia="Calibri" w:cs="Arial"/>
          <w:color w:val="000000" w:themeColor="text1"/>
          <w:sz w:val="22"/>
          <w:szCs w:val="22"/>
          <w:lang w:val="es-ES"/>
        </w:rPr>
        <w:t xml:space="preserve">) los municipios, en ciertos casos, </w:t>
      </w:r>
      <w:proofErr w:type="spellStart"/>
      <w:r w:rsidRPr="00406E40" w:rsidR="001A0A19">
        <w:rPr>
          <w:rFonts w:ascii="Arial" w:hAnsi="Arial" w:eastAsia="Calibri" w:cs="Arial"/>
          <w:color w:val="000000" w:themeColor="text1"/>
          <w:sz w:val="22"/>
          <w:szCs w:val="22"/>
          <w:lang w:val="es-ES"/>
        </w:rPr>
        <w:t>iv</w:t>
      </w:r>
      <w:proofErr w:type="spellEnd"/>
      <w:r w:rsidRPr="00406E40" w:rsidR="001A0A19">
        <w:rPr>
          <w:rFonts w:ascii="Arial" w:hAnsi="Arial" w:eastAsia="Calibri" w:cs="Arial"/>
          <w:color w:val="000000" w:themeColor="text1"/>
          <w:sz w:val="22"/>
          <w:szCs w:val="22"/>
          <w:lang w:val="es-ES"/>
        </w:rPr>
        <w:t>) las organizaciones autorizadas y v) las entidades descentralizadas que se encontraran prestándolos y cumplan los requisitos establecidos en la ley</w:t>
      </w:r>
      <w:r w:rsidRPr="00406E40" w:rsidR="001A0A19">
        <w:rPr>
          <w:rStyle w:val="Refdenotaalpie"/>
          <w:rFonts w:ascii="Arial" w:hAnsi="Arial" w:eastAsia="Calibri" w:cs="Arial"/>
          <w:color w:val="000000" w:themeColor="text1"/>
          <w:sz w:val="22"/>
          <w:szCs w:val="22"/>
          <w:lang w:val="es-ES"/>
        </w:rPr>
        <w:footnoteReference w:id="5"/>
      </w:r>
      <w:r w:rsidRPr="00406E40" w:rsidR="001A0A19">
        <w:rPr>
          <w:rFonts w:ascii="Arial" w:hAnsi="Arial" w:eastAsia="Calibri" w:cs="Arial"/>
          <w:color w:val="000000" w:themeColor="text1"/>
          <w:sz w:val="22"/>
          <w:szCs w:val="22"/>
          <w:lang w:val="es-ES"/>
        </w:rPr>
        <w:t xml:space="preserve">. </w:t>
      </w:r>
    </w:p>
    <w:p w:rsidRPr="00406E40" w:rsidR="00861F54" w:rsidP="00E80252" w:rsidRDefault="00777F8D" w14:paraId="45A699AC" w14:textId="71E2132A">
      <w:pPr>
        <w:tabs>
          <w:tab w:val="left" w:pos="426"/>
        </w:tabs>
        <w:spacing w:before="120" w:after="120" w:line="276" w:lineRule="auto"/>
        <w:jc w:val="both"/>
        <w:rPr>
          <w:rFonts w:ascii="Arial" w:hAnsi="Arial" w:eastAsia="Calibri" w:cs="Arial"/>
          <w:color w:val="000000" w:themeColor="text1"/>
          <w:sz w:val="22"/>
          <w:szCs w:val="22"/>
          <w:lang w:val="es-ES"/>
        </w:rPr>
      </w:pPr>
      <w:r>
        <w:rPr>
          <w:rFonts w:ascii="Arial" w:hAnsi="Arial" w:eastAsia="Calibri" w:cs="Arial"/>
          <w:color w:val="000000" w:themeColor="text1"/>
          <w:sz w:val="22"/>
          <w:szCs w:val="22"/>
          <w:lang w:val="es-ES"/>
        </w:rPr>
        <w:tab/>
      </w:r>
      <w:r>
        <w:rPr>
          <w:rFonts w:ascii="Arial" w:hAnsi="Arial" w:eastAsia="Calibri" w:cs="Arial"/>
          <w:color w:val="000000" w:themeColor="text1"/>
          <w:sz w:val="22"/>
          <w:szCs w:val="22"/>
          <w:lang w:val="es-ES"/>
        </w:rPr>
        <w:tab/>
      </w:r>
      <w:r w:rsidR="00C95DEB">
        <w:rPr>
          <w:rFonts w:ascii="Arial" w:hAnsi="Arial" w:eastAsia="Calibri" w:cs="Arial"/>
          <w:color w:val="000000" w:themeColor="text1"/>
          <w:sz w:val="22"/>
          <w:szCs w:val="22"/>
          <w:lang w:val="es-ES"/>
        </w:rPr>
        <w:t>De conformidad con</w:t>
      </w:r>
      <w:r w:rsidRPr="00406E40" w:rsidR="001A0A19">
        <w:rPr>
          <w:rFonts w:ascii="Arial" w:hAnsi="Arial" w:eastAsia="Calibri" w:cs="Arial"/>
          <w:color w:val="000000" w:themeColor="text1"/>
          <w:sz w:val="22"/>
          <w:szCs w:val="22"/>
          <w:lang w:val="es-ES"/>
        </w:rPr>
        <w:t xml:space="preserve"> </w:t>
      </w:r>
      <w:proofErr w:type="spellStart"/>
      <w:r w:rsidRPr="00406E40" w:rsidR="001A0A19">
        <w:rPr>
          <w:rFonts w:ascii="Arial" w:hAnsi="Arial" w:eastAsia="Calibri" w:cs="Arial"/>
          <w:color w:val="000000" w:themeColor="text1"/>
          <w:sz w:val="22"/>
          <w:szCs w:val="22"/>
          <w:lang w:val="es-ES"/>
        </w:rPr>
        <w:t>con</w:t>
      </w:r>
      <w:proofErr w:type="spellEnd"/>
      <w:r w:rsidRPr="00406E40" w:rsidR="001A0A19">
        <w:rPr>
          <w:rFonts w:ascii="Arial" w:hAnsi="Arial" w:eastAsia="Calibri" w:cs="Arial"/>
          <w:color w:val="000000" w:themeColor="text1"/>
          <w:sz w:val="22"/>
          <w:szCs w:val="22"/>
          <w:lang w:val="es-ES"/>
        </w:rPr>
        <w:t xml:space="preserve"> los artículos 14.5, 14.6 y 14.7 de la Ley 142 de 1994, una empresa de servicios públicos domiciliarios puede ser: i) oficial</w:t>
      </w:r>
      <w:r w:rsidR="00C95DEB">
        <w:rPr>
          <w:rFonts w:ascii="Arial" w:hAnsi="Arial" w:eastAsia="Calibri" w:cs="Arial"/>
          <w:color w:val="000000" w:themeColor="text1"/>
          <w:sz w:val="22"/>
          <w:szCs w:val="22"/>
          <w:lang w:val="es-ES"/>
        </w:rPr>
        <w:t>,</w:t>
      </w:r>
      <w:r w:rsidRPr="00406E40" w:rsidR="001A0A19">
        <w:rPr>
          <w:rFonts w:ascii="Arial" w:hAnsi="Arial" w:eastAsia="Calibri" w:cs="Arial"/>
          <w:color w:val="000000" w:themeColor="text1"/>
          <w:sz w:val="22"/>
          <w:szCs w:val="22"/>
          <w:lang w:val="es-ES"/>
        </w:rPr>
        <w:t xml:space="preserve"> «[…] aquella en cuyo capital la Nación, las entidades territoriales, o las entidades descentralizadas de aquella o estas tienen el 100% de los aportes», </w:t>
      </w:r>
      <w:proofErr w:type="spellStart"/>
      <w:r w:rsidRPr="00406E40" w:rsidR="001A0A19">
        <w:rPr>
          <w:rFonts w:ascii="Arial" w:hAnsi="Arial" w:eastAsia="Calibri" w:cs="Arial"/>
          <w:color w:val="000000" w:themeColor="text1"/>
          <w:sz w:val="22"/>
          <w:szCs w:val="22"/>
          <w:lang w:val="es-ES"/>
        </w:rPr>
        <w:t>ii</w:t>
      </w:r>
      <w:proofErr w:type="spellEnd"/>
      <w:r w:rsidRPr="00406E40" w:rsidR="001A0A19">
        <w:rPr>
          <w:rFonts w:ascii="Arial" w:hAnsi="Arial" w:eastAsia="Calibri" w:cs="Arial"/>
          <w:color w:val="000000" w:themeColor="text1"/>
          <w:sz w:val="22"/>
          <w:szCs w:val="22"/>
          <w:lang w:val="es-ES"/>
        </w:rPr>
        <w:t>) mixta</w:t>
      </w:r>
      <w:r w:rsidR="00C95DEB">
        <w:rPr>
          <w:rFonts w:ascii="Arial" w:hAnsi="Arial" w:eastAsia="Calibri" w:cs="Arial"/>
          <w:color w:val="000000" w:themeColor="text1"/>
          <w:sz w:val="22"/>
          <w:szCs w:val="22"/>
          <w:lang w:val="es-ES"/>
        </w:rPr>
        <w:t>,</w:t>
      </w:r>
      <w:r w:rsidRPr="00406E40" w:rsidR="001A0A19">
        <w:rPr>
          <w:rFonts w:ascii="Arial" w:hAnsi="Arial" w:eastAsia="Calibri" w:cs="Arial"/>
          <w:color w:val="000000" w:themeColor="text1"/>
          <w:sz w:val="22"/>
          <w:szCs w:val="22"/>
          <w:lang w:val="es-ES"/>
        </w:rPr>
        <w:t xml:space="preserve"> «[…] aquella en cuyo capital la Nación, las entidades territoriales, o las entidades descentralizadas de aquella o éstas tienen aportes iguales o superiores al 50%» y </w:t>
      </w:r>
      <w:proofErr w:type="spellStart"/>
      <w:r w:rsidRPr="00406E40" w:rsidR="001A0A19">
        <w:rPr>
          <w:rFonts w:ascii="Arial" w:hAnsi="Arial" w:eastAsia="Calibri" w:cs="Arial"/>
          <w:color w:val="000000" w:themeColor="text1"/>
          <w:sz w:val="22"/>
          <w:szCs w:val="22"/>
          <w:lang w:val="es-ES"/>
        </w:rPr>
        <w:t>iii</w:t>
      </w:r>
      <w:proofErr w:type="spellEnd"/>
      <w:r w:rsidRPr="00406E40" w:rsidR="001A0A19">
        <w:rPr>
          <w:rFonts w:ascii="Arial" w:hAnsi="Arial" w:eastAsia="Calibri" w:cs="Arial"/>
          <w:color w:val="000000" w:themeColor="text1"/>
          <w:sz w:val="22"/>
          <w:szCs w:val="22"/>
          <w:lang w:val="es-ES"/>
        </w:rPr>
        <w:t>) privada</w:t>
      </w:r>
      <w:r w:rsidR="00C95DEB">
        <w:rPr>
          <w:rFonts w:ascii="Arial" w:hAnsi="Arial" w:eastAsia="Calibri" w:cs="Arial"/>
          <w:color w:val="000000" w:themeColor="text1"/>
          <w:sz w:val="22"/>
          <w:szCs w:val="22"/>
          <w:lang w:val="es-ES"/>
        </w:rPr>
        <w:t>,</w:t>
      </w:r>
      <w:r w:rsidRPr="00406E40" w:rsidR="001A0A19">
        <w:rPr>
          <w:rFonts w:ascii="Arial" w:hAnsi="Arial" w:eastAsia="Calibri" w:cs="Arial"/>
          <w:color w:val="000000" w:themeColor="text1"/>
          <w:sz w:val="22"/>
          <w:szCs w:val="22"/>
          <w:lang w:val="es-ES"/>
        </w:rPr>
        <w:t xml:space="preserve"> «[…] aquella cuyo capital pertenece mayoritariamente a particulares, o a entidades surgidas de convenios internacionales que deseen someterse íntegramente para estos efectos a las reglas a las que se someten los particulares».</w:t>
      </w:r>
    </w:p>
    <w:p w:rsidR="00984AB9" w:rsidRDefault="00777F8D" w14:paraId="1E7679C2" w14:textId="765519B5">
      <w:pPr>
        <w:tabs>
          <w:tab w:val="left" w:pos="426"/>
        </w:tabs>
        <w:spacing w:before="120" w:line="276" w:lineRule="auto"/>
        <w:jc w:val="both"/>
        <w:rPr>
          <w:rFonts w:ascii="Arial" w:hAnsi="Arial" w:eastAsia="Calibri" w:cs="Arial"/>
          <w:color w:val="000000" w:themeColor="text1"/>
          <w:sz w:val="22"/>
          <w:szCs w:val="22"/>
          <w:lang w:val="es-ES"/>
        </w:rPr>
      </w:pPr>
      <w:r>
        <w:rPr>
          <w:rFonts w:ascii="Arial" w:hAnsi="Arial" w:eastAsia="Calibri" w:cs="Arial"/>
          <w:color w:val="000000" w:themeColor="text1"/>
          <w:sz w:val="22"/>
          <w:szCs w:val="22"/>
          <w:lang w:val="es-ES"/>
        </w:rPr>
        <w:tab/>
      </w:r>
      <w:r>
        <w:rPr>
          <w:rFonts w:ascii="Arial" w:hAnsi="Arial" w:eastAsia="Calibri" w:cs="Arial"/>
          <w:color w:val="000000" w:themeColor="text1"/>
          <w:sz w:val="22"/>
          <w:szCs w:val="22"/>
          <w:lang w:val="es-ES"/>
        </w:rPr>
        <w:tab/>
      </w:r>
      <w:r w:rsidR="00F41A8D">
        <w:rPr>
          <w:rFonts w:ascii="Arial" w:hAnsi="Arial" w:eastAsia="Calibri" w:cs="Arial"/>
          <w:color w:val="000000" w:themeColor="text1"/>
          <w:sz w:val="22"/>
          <w:szCs w:val="22"/>
          <w:lang w:val="es-ES"/>
        </w:rPr>
        <w:t>L</w:t>
      </w:r>
      <w:r w:rsidRPr="00406E40" w:rsidR="00861F54">
        <w:rPr>
          <w:rFonts w:ascii="Arial" w:hAnsi="Arial" w:eastAsia="Calibri" w:cs="Arial"/>
          <w:color w:val="000000" w:themeColor="text1"/>
          <w:sz w:val="22"/>
          <w:szCs w:val="22"/>
          <w:lang w:val="es-ES"/>
        </w:rPr>
        <w:t>a Ley 142 de 1993 estableció</w:t>
      </w:r>
      <w:r w:rsidR="00C95DEB">
        <w:rPr>
          <w:rFonts w:ascii="Arial" w:hAnsi="Arial" w:eastAsia="Calibri" w:cs="Arial"/>
          <w:color w:val="000000" w:themeColor="text1"/>
          <w:sz w:val="22"/>
          <w:szCs w:val="22"/>
          <w:lang w:val="es-ES"/>
        </w:rPr>
        <w:t>,</w:t>
      </w:r>
      <w:r w:rsidRPr="00406E40" w:rsidR="00861F54">
        <w:rPr>
          <w:rFonts w:ascii="Arial" w:hAnsi="Arial" w:eastAsia="Calibri" w:cs="Arial"/>
          <w:color w:val="000000" w:themeColor="text1"/>
          <w:sz w:val="22"/>
          <w:szCs w:val="22"/>
          <w:lang w:val="es-ES"/>
        </w:rPr>
        <w:t xml:space="preserve"> de manera general</w:t>
      </w:r>
      <w:r w:rsidR="00C95DEB">
        <w:rPr>
          <w:rFonts w:ascii="Arial" w:hAnsi="Arial" w:eastAsia="Calibri" w:cs="Arial"/>
          <w:color w:val="000000" w:themeColor="text1"/>
          <w:sz w:val="22"/>
          <w:szCs w:val="22"/>
          <w:lang w:val="es-ES"/>
        </w:rPr>
        <w:t>,</w:t>
      </w:r>
      <w:r w:rsidRPr="00406E40" w:rsidR="00861F54">
        <w:rPr>
          <w:rFonts w:ascii="Arial" w:hAnsi="Arial" w:eastAsia="Calibri" w:cs="Arial"/>
          <w:color w:val="000000" w:themeColor="text1"/>
          <w:sz w:val="22"/>
          <w:szCs w:val="22"/>
          <w:lang w:val="es-ES"/>
        </w:rPr>
        <w:t xml:space="preserve"> una clasificación única de empresas prestadoras de </w:t>
      </w:r>
      <w:r w:rsidR="00C95DEB">
        <w:rPr>
          <w:rFonts w:ascii="Arial" w:hAnsi="Arial" w:eastAsia="Calibri" w:cs="Arial"/>
          <w:color w:val="000000" w:themeColor="text1"/>
          <w:sz w:val="22"/>
          <w:szCs w:val="22"/>
          <w:lang w:val="es-ES"/>
        </w:rPr>
        <w:t>s</w:t>
      </w:r>
      <w:r w:rsidRPr="00406E40" w:rsidR="00861F54">
        <w:rPr>
          <w:rFonts w:ascii="Arial" w:hAnsi="Arial" w:eastAsia="Calibri" w:cs="Arial"/>
          <w:color w:val="000000" w:themeColor="text1"/>
          <w:sz w:val="22"/>
          <w:szCs w:val="22"/>
          <w:lang w:val="es-ES"/>
        </w:rPr>
        <w:t xml:space="preserve">ervicios </w:t>
      </w:r>
      <w:r w:rsidR="00C95DEB">
        <w:rPr>
          <w:rFonts w:ascii="Arial" w:hAnsi="Arial" w:eastAsia="Calibri" w:cs="Arial"/>
          <w:color w:val="000000" w:themeColor="text1"/>
          <w:sz w:val="22"/>
          <w:szCs w:val="22"/>
          <w:lang w:val="es-ES"/>
        </w:rPr>
        <w:t>p</w:t>
      </w:r>
      <w:r w:rsidRPr="00406E40" w:rsidR="00861F54">
        <w:rPr>
          <w:rFonts w:ascii="Arial" w:hAnsi="Arial" w:eastAsia="Calibri" w:cs="Arial"/>
          <w:color w:val="000000" w:themeColor="text1"/>
          <w:sz w:val="22"/>
          <w:szCs w:val="22"/>
          <w:lang w:val="es-ES"/>
        </w:rPr>
        <w:t>úblicos, esto es, un referente organizacional único denominado ESP. No obstante, para establecer algunas diferencias en su régimen</w:t>
      </w:r>
      <w:r w:rsidR="00C95DEB">
        <w:rPr>
          <w:rFonts w:ascii="Arial" w:hAnsi="Arial" w:eastAsia="Calibri" w:cs="Arial"/>
          <w:color w:val="000000" w:themeColor="text1"/>
          <w:sz w:val="22"/>
          <w:szCs w:val="22"/>
          <w:lang w:val="es-ES"/>
        </w:rPr>
        <w:t>,</w:t>
      </w:r>
      <w:r w:rsidRPr="00406E40" w:rsidR="00861F54">
        <w:rPr>
          <w:rFonts w:ascii="Arial" w:hAnsi="Arial" w:eastAsia="Calibri" w:cs="Arial"/>
          <w:color w:val="000000" w:themeColor="text1"/>
          <w:sz w:val="22"/>
          <w:szCs w:val="22"/>
          <w:lang w:val="es-ES"/>
        </w:rPr>
        <w:t xml:space="preserve"> y con el objeto de tener un referente organizacional claro</w:t>
      </w:r>
      <w:r w:rsidR="00C95DEB">
        <w:rPr>
          <w:rFonts w:ascii="Arial" w:hAnsi="Arial" w:eastAsia="Calibri" w:cs="Arial"/>
          <w:color w:val="000000" w:themeColor="text1"/>
          <w:sz w:val="22"/>
          <w:szCs w:val="22"/>
          <w:lang w:val="es-ES"/>
        </w:rPr>
        <w:t>,</w:t>
      </w:r>
      <w:r w:rsidRPr="00406E40" w:rsidR="00861F54">
        <w:rPr>
          <w:rFonts w:ascii="Arial" w:hAnsi="Arial" w:eastAsia="Calibri" w:cs="Arial"/>
          <w:color w:val="000000" w:themeColor="text1"/>
          <w:sz w:val="22"/>
          <w:szCs w:val="22"/>
          <w:lang w:val="es-ES"/>
        </w:rPr>
        <w:t xml:space="preserve"> las clasificó como oficiales, mixtas, o privadas de acuerdo con la composición de</w:t>
      </w:r>
      <w:r w:rsidR="00C95DEB">
        <w:rPr>
          <w:rFonts w:ascii="Arial" w:hAnsi="Arial" w:eastAsia="Calibri" w:cs="Arial"/>
          <w:color w:val="000000" w:themeColor="text1"/>
          <w:sz w:val="22"/>
          <w:szCs w:val="22"/>
          <w:lang w:val="es-ES"/>
        </w:rPr>
        <w:t xml:space="preserve">l </w:t>
      </w:r>
      <w:r w:rsidRPr="00406E40" w:rsidR="00861F54">
        <w:rPr>
          <w:rFonts w:ascii="Arial" w:hAnsi="Arial" w:eastAsia="Calibri" w:cs="Arial"/>
          <w:color w:val="000000" w:themeColor="text1"/>
          <w:sz w:val="22"/>
          <w:szCs w:val="22"/>
          <w:lang w:val="es-ES"/>
        </w:rPr>
        <w:t>capital.</w:t>
      </w:r>
      <w:r w:rsidR="00F41A8D">
        <w:rPr>
          <w:rFonts w:ascii="Arial" w:hAnsi="Arial" w:eastAsia="Calibri" w:cs="Arial"/>
          <w:color w:val="000000" w:themeColor="text1"/>
          <w:sz w:val="22"/>
          <w:szCs w:val="22"/>
          <w:lang w:val="es-ES"/>
        </w:rPr>
        <w:t xml:space="preserve"> </w:t>
      </w:r>
      <w:r w:rsidRPr="00406E40" w:rsidR="00984AB9">
        <w:rPr>
          <w:rFonts w:ascii="Arial" w:hAnsi="Arial" w:eastAsia="Calibri" w:cs="Arial"/>
          <w:color w:val="000000" w:themeColor="text1"/>
          <w:sz w:val="22"/>
          <w:szCs w:val="22"/>
          <w:lang w:val="es-ES"/>
        </w:rPr>
        <w:t xml:space="preserve">La empresa </w:t>
      </w:r>
      <w:r w:rsidR="00F41A8D">
        <w:rPr>
          <w:rFonts w:ascii="Arial" w:hAnsi="Arial" w:eastAsia="Calibri" w:cs="Arial"/>
          <w:color w:val="000000" w:themeColor="text1"/>
          <w:sz w:val="22"/>
          <w:szCs w:val="22"/>
          <w:lang w:val="es-ES"/>
        </w:rPr>
        <w:t xml:space="preserve">a la cual se refiere el </w:t>
      </w:r>
      <w:r w:rsidR="00F41A8D">
        <w:rPr>
          <w:rFonts w:ascii="Arial" w:hAnsi="Arial" w:eastAsia="Calibri" w:cs="Arial"/>
          <w:color w:val="000000" w:themeColor="text1"/>
          <w:sz w:val="22"/>
          <w:szCs w:val="22"/>
          <w:lang w:val="es-ES"/>
        </w:rPr>
        <w:t>objeto de la consulta</w:t>
      </w:r>
      <w:r w:rsidRPr="00406E40" w:rsidR="00984AB9">
        <w:rPr>
          <w:rFonts w:ascii="Arial" w:hAnsi="Arial" w:eastAsia="Calibri" w:cs="Arial"/>
          <w:color w:val="000000" w:themeColor="text1"/>
          <w:sz w:val="22"/>
          <w:szCs w:val="22"/>
          <w:lang w:val="es-ES"/>
        </w:rPr>
        <w:t xml:space="preserve"> es una </w:t>
      </w:r>
      <w:r w:rsidR="00C95DEB">
        <w:rPr>
          <w:rFonts w:ascii="Arial" w:hAnsi="Arial" w:eastAsia="Calibri" w:cs="Arial"/>
          <w:color w:val="000000" w:themeColor="text1"/>
          <w:sz w:val="22"/>
          <w:szCs w:val="22"/>
          <w:lang w:val="es-ES"/>
        </w:rPr>
        <w:t>e</w:t>
      </w:r>
      <w:r w:rsidRPr="00406E40" w:rsidR="00984AB9">
        <w:rPr>
          <w:rFonts w:ascii="Arial" w:hAnsi="Arial" w:eastAsia="Calibri" w:cs="Arial"/>
          <w:color w:val="000000" w:themeColor="text1"/>
          <w:sz w:val="22"/>
          <w:szCs w:val="22"/>
          <w:lang w:val="es-ES"/>
        </w:rPr>
        <w:t xml:space="preserve">mpresa de </w:t>
      </w:r>
      <w:r w:rsidR="00C95DEB">
        <w:rPr>
          <w:rFonts w:ascii="Arial" w:hAnsi="Arial" w:eastAsia="Calibri" w:cs="Arial"/>
          <w:color w:val="000000" w:themeColor="text1"/>
          <w:sz w:val="22"/>
          <w:szCs w:val="22"/>
          <w:lang w:val="es-ES"/>
        </w:rPr>
        <w:t>s</w:t>
      </w:r>
      <w:r w:rsidRPr="00406E40" w:rsidR="00984AB9">
        <w:rPr>
          <w:rFonts w:ascii="Arial" w:hAnsi="Arial" w:eastAsia="Calibri" w:cs="Arial"/>
          <w:color w:val="000000" w:themeColor="text1"/>
          <w:sz w:val="22"/>
          <w:szCs w:val="22"/>
          <w:lang w:val="es-ES"/>
        </w:rPr>
        <w:t xml:space="preserve">ervicios </w:t>
      </w:r>
      <w:r w:rsidR="00C95DEB">
        <w:rPr>
          <w:rFonts w:ascii="Arial" w:hAnsi="Arial" w:eastAsia="Calibri" w:cs="Arial"/>
          <w:color w:val="000000" w:themeColor="text1"/>
          <w:sz w:val="22"/>
          <w:szCs w:val="22"/>
          <w:lang w:val="es-ES"/>
        </w:rPr>
        <w:t>p</w:t>
      </w:r>
      <w:r w:rsidRPr="00406E40" w:rsidR="00984AB9">
        <w:rPr>
          <w:rFonts w:ascii="Arial" w:hAnsi="Arial" w:eastAsia="Calibri" w:cs="Arial"/>
          <w:color w:val="000000" w:themeColor="text1"/>
          <w:sz w:val="22"/>
          <w:szCs w:val="22"/>
          <w:lang w:val="es-ES"/>
        </w:rPr>
        <w:t xml:space="preserve">úblicos </w:t>
      </w:r>
      <w:r w:rsidR="00C95DEB">
        <w:rPr>
          <w:rFonts w:ascii="Arial" w:hAnsi="Arial" w:eastAsia="Calibri" w:cs="Arial"/>
          <w:color w:val="000000" w:themeColor="text1"/>
          <w:sz w:val="22"/>
          <w:szCs w:val="22"/>
          <w:lang w:val="es-ES"/>
        </w:rPr>
        <w:t>m</w:t>
      </w:r>
      <w:r w:rsidRPr="00406E40" w:rsidR="00984AB9">
        <w:rPr>
          <w:rFonts w:ascii="Arial" w:hAnsi="Arial" w:eastAsia="Calibri" w:cs="Arial"/>
          <w:color w:val="000000" w:themeColor="text1"/>
          <w:sz w:val="22"/>
          <w:szCs w:val="22"/>
          <w:lang w:val="es-ES"/>
        </w:rPr>
        <w:t>ixta</w:t>
      </w:r>
      <w:r w:rsidR="00C95DEB">
        <w:rPr>
          <w:rFonts w:ascii="Arial" w:hAnsi="Arial" w:eastAsia="Calibri" w:cs="Arial"/>
          <w:color w:val="000000" w:themeColor="text1"/>
          <w:sz w:val="22"/>
          <w:szCs w:val="22"/>
          <w:lang w:val="es-ES"/>
        </w:rPr>
        <w:t>,</w:t>
      </w:r>
      <w:r w:rsidRPr="00406E40" w:rsidR="00984AB9">
        <w:rPr>
          <w:rFonts w:ascii="Arial" w:hAnsi="Arial" w:eastAsia="Calibri" w:cs="Arial"/>
          <w:color w:val="000000" w:themeColor="text1"/>
          <w:sz w:val="22"/>
          <w:szCs w:val="22"/>
          <w:lang w:val="es-ES"/>
        </w:rPr>
        <w:t xml:space="preserve"> en los términos del artículo 14 de la Ley 142 de 1994, </w:t>
      </w:r>
      <w:r w:rsidR="00744E86">
        <w:rPr>
          <w:rFonts w:ascii="Arial" w:hAnsi="Arial" w:eastAsia="Calibri" w:cs="Arial"/>
          <w:color w:val="000000" w:themeColor="text1"/>
          <w:sz w:val="22"/>
          <w:szCs w:val="22"/>
          <w:lang w:val="es-ES"/>
        </w:rPr>
        <w:t>tema que se analizará en el apartado siguiente</w:t>
      </w:r>
      <w:r w:rsidRPr="00406E40" w:rsidR="00984AB9">
        <w:rPr>
          <w:rFonts w:ascii="Arial" w:hAnsi="Arial" w:eastAsia="Calibri" w:cs="Arial"/>
          <w:color w:val="000000" w:themeColor="text1"/>
          <w:sz w:val="22"/>
          <w:szCs w:val="22"/>
          <w:lang w:val="es-ES"/>
        </w:rPr>
        <w:t xml:space="preserve">. </w:t>
      </w:r>
    </w:p>
    <w:p w:rsidRPr="00406E40" w:rsidR="00855C3A" w:rsidP="00BE5DCB" w:rsidRDefault="00855C3A" w14:paraId="7D5FAB42" w14:textId="77777777">
      <w:pPr>
        <w:tabs>
          <w:tab w:val="left" w:pos="426"/>
        </w:tabs>
        <w:spacing w:line="276" w:lineRule="auto"/>
        <w:jc w:val="both"/>
        <w:rPr>
          <w:rFonts w:ascii="Arial" w:hAnsi="Arial" w:eastAsia="Calibri" w:cs="Arial"/>
          <w:color w:val="000000" w:themeColor="text1"/>
          <w:sz w:val="22"/>
          <w:szCs w:val="22"/>
          <w:lang w:val="es-ES"/>
        </w:rPr>
      </w:pPr>
    </w:p>
    <w:p w:rsidR="00630D7C" w:rsidP="00150EAF" w:rsidRDefault="00434140" w14:paraId="1356645D" w14:textId="51472255">
      <w:pPr>
        <w:tabs>
          <w:tab w:val="left" w:pos="426"/>
        </w:tabs>
        <w:spacing w:line="276" w:lineRule="auto"/>
        <w:jc w:val="both"/>
        <w:rPr>
          <w:rFonts w:ascii="Arial" w:hAnsi="Arial" w:eastAsia="Calibri" w:cs="Arial"/>
          <w:b/>
          <w:bCs/>
          <w:color w:val="000000" w:themeColor="text1"/>
          <w:sz w:val="22"/>
          <w:szCs w:val="22"/>
          <w:lang w:val="es-ES"/>
        </w:rPr>
      </w:pPr>
      <w:r w:rsidRPr="00406E40">
        <w:rPr>
          <w:rFonts w:ascii="Arial" w:hAnsi="Arial" w:eastAsia="Calibri" w:cs="Arial"/>
          <w:b/>
          <w:bCs/>
          <w:color w:val="000000" w:themeColor="text1"/>
          <w:sz w:val="22"/>
          <w:szCs w:val="22"/>
          <w:lang w:val="es-ES"/>
        </w:rPr>
        <w:t xml:space="preserve">2.3. ESP mixtas como entidades estatales </w:t>
      </w:r>
    </w:p>
    <w:p w:rsidRPr="00406E40" w:rsidR="00FD77B5" w:rsidP="00150EAF" w:rsidRDefault="00FD77B5" w14:paraId="45D8841A" w14:textId="77777777">
      <w:pPr>
        <w:tabs>
          <w:tab w:val="left" w:pos="426"/>
        </w:tabs>
        <w:spacing w:line="276" w:lineRule="auto"/>
        <w:jc w:val="both"/>
        <w:rPr>
          <w:rFonts w:ascii="Arial" w:hAnsi="Arial" w:eastAsia="Calibri" w:cs="Arial"/>
          <w:b/>
          <w:bCs/>
          <w:color w:val="000000" w:themeColor="text1"/>
          <w:sz w:val="22"/>
          <w:szCs w:val="22"/>
          <w:lang w:val="es-ES"/>
        </w:rPr>
      </w:pPr>
    </w:p>
    <w:p w:rsidRPr="00406E40" w:rsidR="00984AB9" w:rsidP="00150EAF" w:rsidRDefault="008C5DB2" w14:paraId="41084C10" w14:textId="7C1590C9">
      <w:pPr>
        <w:tabs>
          <w:tab w:val="left" w:pos="426"/>
        </w:tabs>
        <w:spacing w:line="276" w:lineRule="auto"/>
        <w:jc w:val="both"/>
        <w:rPr>
          <w:rFonts w:ascii="Arial" w:hAnsi="Arial" w:eastAsia="Calibri" w:cs="Arial"/>
          <w:color w:val="000000" w:themeColor="text1"/>
          <w:sz w:val="22"/>
          <w:szCs w:val="22"/>
          <w:lang w:val="es-ES"/>
        </w:rPr>
      </w:pPr>
      <w:r w:rsidRPr="00406E40">
        <w:rPr>
          <w:rFonts w:ascii="Arial" w:hAnsi="Arial" w:eastAsia="Calibri" w:cs="Arial"/>
          <w:color w:val="000000" w:themeColor="text1"/>
          <w:sz w:val="22"/>
          <w:szCs w:val="22"/>
          <w:lang w:val="es-ES"/>
        </w:rPr>
        <w:t>La</w:t>
      </w:r>
      <w:r w:rsidRPr="00406E40" w:rsidR="00984AB9">
        <w:rPr>
          <w:rFonts w:ascii="Arial" w:hAnsi="Arial" w:eastAsia="Calibri" w:cs="Arial"/>
          <w:color w:val="000000" w:themeColor="text1"/>
          <w:sz w:val="22"/>
          <w:szCs w:val="22"/>
          <w:lang w:val="es-ES"/>
        </w:rPr>
        <w:t xml:space="preserve"> Ley 142 de 1994 </w:t>
      </w:r>
      <w:r w:rsidRPr="00406E40">
        <w:rPr>
          <w:rFonts w:ascii="Arial" w:hAnsi="Arial" w:eastAsia="Calibri" w:cs="Arial"/>
          <w:color w:val="000000" w:themeColor="text1"/>
          <w:sz w:val="22"/>
          <w:szCs w:val="22"/>
          <w:lang w:val="es-ES"/>
        </w:rPr>
        <w:t>no contiene disposición que permit</w:t>
      </w:r>
      <w:r w:rsidR="00244438">
        <w:rPr>
          <w:rFonts w:ascii="Arial" w:hAnsi="Arial" w:eastAsia="Calibri" w:cs="Arial"/>
          <w:color w:val="000000" w:themeColor="text1"/>
          <w:sz w:val="22"/>
          <w:szCs w:val="22"/>
          <w:lang w:val="es-ES"/>
        </w:rPr>
        <w:t>a</w:t>
      </w:r>
      <w:r w:rsidRPr="00406E40">
        <w:rPr>
          <w:rFonts w:ascii="Arial" w:hAnsi="Arial" w:eastAsia="Calibri" w:cs="Arial"/>
          <w:color w:val="000000" w:themeColor="text1"/>
          <w:sz w:val="22"/>
          <w:szCs w:val="22"/>
          <w:lang w:val="es-ES"/>
        </w:rPr>
        <w:t xml:space="preserve"> establecer</w:t>
      </w:r>
      <w:r w:rsidR="00244438">
        <w:rPr>
          <w:rFonts w:ascii="Arial" w:hAnsi="Arial" w:eastAsia="Calibri" w:cs="Arial"/>
          <w:color w:val="000000" w:themeColor="text1"/>
          <w:sz w:val="22"/>
          <w:szCs w:val="22"/>
          <w:lang w:val="es-ES"/>
        </w:rPr>
        <w:t xml:space="preserve"> fácilmente</w:t>
      </w:r>
      <w:r w:rsidRPr="00406E40">
        <w:rPr>
          <w:rFonts w:ascii="Arial" w:hAnsi="Arial" w:eastAsia="Calibri" w:cs="Arial"/>
          <w:color w:val="000000" w:themeColor="text1"/>
          <w:sz w:val="22"/>
          <w:szCs w:val="22"/>
          <w:lang w:val="es-ES"/>
        </w:rPr>
        <w:t xml:space="preserve"> la naturaleza de las ESP mixtas</w:t>
      </w:r>
      <w:r w:rsidR="00244438">
        <w:rPr>
          <w:rFonts w:ascii="Arial" w:hAnsi="Arial" w:eastAsia="Calibri" w:cs="Arial"/>
          <w:color w:val="000000" w:themeColor="text1"/>
          <w:sz w:val="22"/>
          <w:szCs w:val="22"/>
          <w:lang w:val="es-ES"/>
        </w:rPr>
        <w:t>,</w:t>
      </w:r>
      <w:r w:rsidRPr="00406E40">
        <w:rPr>
          <w:rFonts w:ascii="Arial" w:hAnsi="Arial" w:eastAsia="Calibri" w:cs="Arial"/>
          <w:color w:val="000000" w:themeColor="text1"/>
          <w:sz w:val="22"/>
          <w:szCs w:val="22"/>
          <w:lang w:val="es-ES"/>
        </w:rPr>
        <w:t xml:space="preserve"> y en particular que establezca si se trata de entidades estatales o no. </w:t>
      </w:r>
      <w:r w:rsidRPr="00406E40" w:rsidR="00984AB9">
        <w:rPr>
          <w:rFonts w:ascii="Arial" w:hAnsi="Arial" w:eastAsia="Calibri" w:cs="Arial"/>
          <w:color w:val="000000" w:themeColor="text1"/>
          <w:sz w:val="22"/>
          <w:szCs w:val="22"/>
          <w:lang w:val="es-ES"/>
        </w:rPr>
        <w:t>Para responder estos interrogantes es preciso recurrir a la Ley 489 de 1998. E</w:t>
      </w:r>
      <w:r w:rsidRPr="00406E40">
        <w:rPr>
          <w:rFonts w:ascii="Arial" w:hAnsi="Arial" w:eastAsia="Calibri" w:cs="Arial"/>
          <w:color w:val="000000" w:themeColor="text1"/>
          <w:sz w:val="22"/>
          <w:szCs w:val="22"/>
          <w:lang w:val="es-ES"/>
        </w:rPr>
        <w:t>l</w:t>
      </w:r>
      <w:r w:rsidRPr="00406E40" w:rsidR="00984AB9">
        <w:rPr>
          <w:rFonts w:ascii="Arial" w:hAnsi="Arial" w:eastAsia="Calibri" w:cs="Arial"/>
          <w:color w:val="000000" w:themeColor="text1"/>
          <w:sz w:val="22"/>
          <w:szCs w:val="22"/>
          <w:lang w:val="es-ES"/>
        </w:rPr>
        <w:t xml:space="preserve"> artículo 38 </w:t>
      </w:r>
      <w:r w:rsidR="00244438">
        <w:rPr>
          <w:rFonts w:ascii="Arial" w:hAnsi="Arial" w:eastAsia="Calibri" w:cs="Arial"/>
          <w:color w:val="000000" w:themeColor="text1"/>
          <w:sz w:val="22"/>
          <w:szCs w:val="22"/>
          <w:lang w:val="es-ES"/>
        </w:rPr>
        <w:t>define</w:t>
      </w:r>
      <w:r w:rsidRPr="00406E40" w:rsidR="00984AB9">
        <w:rPr>
          <w:rFonts w:ascii="Arial" w:hAnsi="Arial" w:eastAsia="Calibri" w:cs="Arial"/>
          <w:color w:val="000000" w:themeColor="text1"/>
          <w:sz w:val="22"/>
          <w:szCs w:val="22"/>
          <w:lang w:val="es-ES"/>
        </w:rPr>
        <w:t xml:space="preserve"> la integración de la </w:t>
      </w:r>
      <w:r w:rsidRPr="00406E40" w:rsidR="00614A3A">
        <w:rPr>
          <w:rFonts w:ascii="Arial" w:hAnsi="Arial" w:eastAsia="Calibri" w:cs="Arial"/>
          <w:color w:val="000000" w:themeColor="text1"/>
          <w:sz w:val="22"/>
          <w:szCs w:val="22"/>
          <w:lang w:val="es-ES"/>
        </w:rPr>
        <w:t>rama ejecutiva</w:t>
      </w:r>
      <w:r w:rsidR="00244438">
        <w:rPr>
          <w:rFonts w:ascii="Arial" w:hAnsi="Arial" w:eastAsia="Calibri" w:cs="Arial"/>
          <w:color w:val="000000" w:themeColor="text1"/>
          <w:sz w:val="22"/>
          <w:szCs w:val="22"/>
          <w:lang w:val="es-ES"/>
        </w:rPr>
        <w:t>,</w:t>
      </w:r>
      <w:r w:rsidRPr="00406E40" w:rsidR="00984AB9">
        <w:rPr>
          <w:rFonts w:ascii="Arial" w:hAnsi="Arial" w:eastAsia="Calibri" w:cs="Arial"/>
          <w:color w:val="000000" w:themeColor="text1"/>
          <w:sz w:val="22"/>
          <w:szCs w:val="22"/>
          <w:lang w:val="es-ES"/>
        </w:rPr>
        <w:t xml:space="preserve"> y para el sector descentralizado por servicios establece que harán parte los siguientes organismos y entidades:</w:t>
      </w:r>
    </w:p>
    <w:p w:rsidRPr="00406E40" w:rsidR="00434140" w:rsidP="00150EAF" w:rsidRDefault="00434140" w14:paraId="563A353C" w14:textId="7454EDAB">
      <w:pPr>
        <w:tabs>
          <w:tab w:val="left" w:pos="426"/>
        </w:tabs>
        <w:jc w:val="both"/>
        <w:rPr>
          <w:rFonts w:ascii="Arial" w:hAnsi="Arial" w:eastAsia="Calibri" w:cs="Arial"/>
          <w:color w:val="000000" w:themeColor="text1"/>
          <w:sz w:val="22"/>
          <w:szCs w:val="22"/>
          <w:lang w:val="es-ES"/>
        </w:rPr>
      </w:pPr>
    </w:p>
    <w:p w:rsidRPr="00E80252" w:rsidR="00984AB9" w:rsidP="00150EAF" w:rsidRDefault="00984AB9" w14:paraId="3399212F" w14:textId="77777777">
      <w:pPr>
        <w:tabs>
          <w:tab w:val="left" w:pos="851"/>
        </w:tabs>
        <w:ind w:left="709" w:right="709"/>
        <w:jc w:val="both"/>
        <w:rPr>
          <w:rFonts w:ascii="Arial" w:hAnsi="Arial" w:eastAsia="Calibri" w:cs="Arial"/>
          <w:color w:val="000000" w:themeColor="text1"/>
          <w:sz w:val="21"/>
          <w:szCs w:val="21"/>
          <w:lang w:val="es-ES"/>
        </w:rPr>
      </w:pPr>
      <w:r w:rsidRPr="00E80252">
        <w:rPr>
          <w:rFonts w:ascii="Arial" w:hAnsi="Arial" w:eastAsia="Calibri" w:cs="Arial"/>
          <w:color w:val="000000" w:themeColor="text1"/>
          <w:sz w:val="21"/>
          <w:szCs w:val="21"/>
          <w:lang w:val="es-ES"/>
        </w:rPr>
        <w:t>a) Los establecimientos públicos;</w:t>
      </w:r>
    </w:p>
    <w:p w:rsidRPr="00E80252" w:rsidR="00984AB9" w:rsidP="00150EAF" w:rsidRDefault="00984AB9" w14:paraId="149AD075" w14:textId="77777777">
      <w:pPr>
        <w:tabs>
          <w:tab w:val="left" w:pos="851"/>
        </w:tabs>
        <w:spacing w:before="120" w:after="120"/>
        <w:ind w:left="709" w:right="709"/>
        <w:jc w:val="both"/>
        <w:rPr>
          <w:rFonts w:ascii="Arial" w:hAnsi="Arial" w:eastAsia="Calibri" w:cs="Arial"/>
          <w:color w:val="000000" w:themeColor="text1"/>
          <w:sz w:val="21"/>
          <w:szCs w:val="21"/>
          <w:lang w:val="es-ES"/>
        </w:rPr>
      </w:pPr>
      <w:r w:rsidRPr="00E80252">
        <w:rPr>
          <w:rFonts w:ascii="Arial" w:hAnsi="Arial" w:eastAsia="Calibri" w:cs="Arial"/>
          <w:color w:val="000000" w:themeColor="text1"/>
          <w:sz w:val="21"/>
          <w:szCs w:val="21"/>
          <w:lang w:val="es-ES"/>
        </w:rPr>
        <w:t>b) Las empresas industriales y comerciales del Estado;</w:t>
      </w:r>
    </w:p>
    <w:p w:rsidRPr="00E80252" w:rsidR="00984AB9" w:rsidP="00150EAF" w:rsidRDefault="00984AB9" w14:paraId="691B75EC" w14:textId="4D7990D2">
      <w:pPr>
        <w:tabs>
          <w:tab w:val="left" w:pos="851"/>
        </w:tabs>
        <w:spacing w:before="120" w:after="120"/>
        <w:ind w:left="709" w:right="709"/>
        <w:jc w:val="both"/>
        <w:rPr>
          <w:rFonts w:ascii="Arial" w:hAnsi="Arial" w:eastAsia="Calibri" w:cs="Arial"/>
          <w:color w:val="000000" w:themeColor="text1"/>
          <w:sz w:val="21"/>
          <w:szCs w:val="21"/>
          <w:lang w:val="es-ES"/>
        </w:rPr>
      </w:pPr>
      <w:r w:rsidRPr="00E80252">
        <w:rPr>
          <w:rFonts w:ascii="Arial" w:hAnsi="Arial" w:eastAsia="Calibri" w:cs="Arial"/>
          <w:color w:val="000000" w:themeColor="text1"/>
          <w:sz w:val="21"/>
          <w:szCs w:val="21"/>
          <w:lang w:val="es-ES"/>
        </w:rPr>
        <w:t>c) Las superintendencias y las unidades administrativas especiales con personería jurídica;</w:t>
      </w:r>
    </w:p>
    <w:p w:rsidRPr="00E80252" w:rsidR="00984AB9" w:rsidP="00150EAF" w:rsidRDefault="00984AB9" w14:paraId="5730541C" w14:textId="4BB5AB0B">
      <w:pPr>
        <w:tabs>
          <w:tab w:val="left" w:pos="851"/>
        </w:tabs>
        <w:spacing w:before="120" w:after="120"/>
        <w:ind w:left="709" w:right="709"/>
        <w:jc w:val="both"/>
        <w:rPr>
          <w:rFonts w:ascii="Arial" w:hAnsi="Arial" w:eastAsia="Calibri" w:cs="Arial"/>
          <w:color w:val="000000" w:themeColor="text1"/>
          <w:sz w:val="21"/>
          <w:szCs w:val="21"/>
          <w:lang w:val="es-ES"/>
        </w:rPr>
      </w:pPr>
      <w:r w:rsidRPr="00E80252">
        <w:rPr>
          <w:rFonts w:ascii="Arial" w:hAnsi="Arial" w:eastAsia="Calibri" w:cs="Arial"/>
          <w:color w:val="000000" w:themeColor="text1"/>
          <w:sz w:val="21"/>
          <w:szCs w:val="21"/>
          <w:lang w:val="es-ES"/>
        </w:rPr>
        <w:t>d) Las empresas sociales del Estado y las empresas oficiales de servicios públicos domiciliarios;</w:t>
      </w:r>
    </w:p>
    <w:p w:rsidRPr="00E80252" w:rsidR="00984AB9" w:rsidP="00150EAF" w:rsidRDefault="00984AB9" w14:paraId="74178884" w14:textId="77777777">
      <w:pPr>
        <w:tabs>
          <w:tab w:val="left" w:pos="851"/>
        </w:tabs>
        <w:spacing w:before="120" w:after="120"/>
        <w:ind w:left="709" w:right="709"/>
        <w:jc w:val="both"/>
        <w:rPr>
          <w:rFonts w:ascii="Arial" w:hAnsi="Arial" w:eastAsia="Calibri" w:cs="Arial"/>
          <w:color w:val="000000" w:themeColor="text1"/>
          <w:sz w:val="21"/>
          <w:szCs w:val="21"/>
          <w:lang w:val="es-ES"/>
        </w:rPr>
      </w:pPr>
      <w:r w:rsidRPr="00E80252">
        <w:rPr>
          <w:rFonts w:ascii="Arial" w:hAnsi="Arial" w:eastAsia="Calibri" w:cs="Arial"/>
          <w:color w:val="000000" w:themeColor="text1"/>
          <w:sz w:val="21"/>
          <w:szCs w:val="21"/>
          <w:lang w:val="es-ES"/>
        </w:rPr>
        <w:t>e) Los institutos científicos y tecnológicos;</w:t>
      </w:r>
    </w:p>
    <w:p w:rsidRPr="00E80252" w:rsidR="00984AB9" w:rsidP="00150EAF" w:rsidRDefault="00984AB9" w14:paraId="0FD4CF20" w14:textId="136FAE46">
      <w:pPr>
        <w:tabs>
          <w:tab w:val="left" w:pos="851"/>
        </w:tabs>
        <w:spacing w:before="120" w:after="120"/>
        <w:ind w:left="709" w:right="709"/>
        <w:jc w:val="both"/>
        <w:rPr>
          <w:rFonts w:ascii="Arial" w:hAnsi="Arial" w:eastAsia="Calibri" w:cs="Arial"/>
          <w:color w:val="000000" w:themeColor="text1"/>
          <w:sz w:val="21"/>
          <w:szCs w:val="21"/>
          <w:lang w:val="es-ES"/>
        </w:rPr>
      </w:pPr>
      <w:r w:rsidRPr="00E80252">
        <w:rPr>
          <w:rFonts w:ascii="Arial" w:hAnsi="Arial" w:eastAsia="Calibri" w:cs="Arial"/>
          <w:color w:val="000000" w:themeColor="text1"/>
          <w:sz w:val="21"/>
          <w:szCs w:val="21"/>
          <w:lang w:val="es-ES"/>
        </w:rPr>
        <w:t>f) Las sociedades públicas y las sociedades de economía mixta;</w:t>
      </w:r>
    </w:p>
    <w:p w:rsidR="00984AB9" w:rsidP="00C3184C" w:rsidRDefault="00984AB9" w14:paraId="3ADB9B3D" w14:textId="30FEB663">
      <w:pPr>
        <w:tabs>
          <w:tab w:val="left" w:pos="851"/>
        </w:tabs>
        <w:spacing w:before="120"/>
        <w:ind w:left="709" w:right="709"/>
        <w:jc w:val="both"/>
        <w:rPr>
          <w:rFonts w:ascii="Arial" w:hAnsi="Arial" w:eastAsia="Calibri" w:cs="Arial"/>
          <w:color w:val="000000" w:themeColor="text1"/>
          <w:sz w:val="21"/>
          <w:szCs w:val="21"/>
          <w:lang w:val="es-ES"/>
        </w:rPr>
      </w:pPr>
      <w:r w:rsidRPr="00E80252">
        <w:rPr>
          <w:rFonts w:ascii="Arial" w:hAnsi="Arial" w:eastAsia="Calibri" w:cs="Arial"/>
          <w:color w:val="000000" w:themeColor="text1"/>
          <w:sz w:val="21"/>
          <w:szCs w:val="21"/>
          <w:lang w:val="es-ES"/>
        </w:rPr>
        <w:t xml:space="preserve">g) Las demás entidades administrativas nacionales con personería jurídica que cree, organice o autorice la ley para que formen parte de la Rama Ejecutiva del Poder Público. </w:t>
      </w:r>
    </w:p>
    <w:p w:rsidRPr="00E80252" w:rsidR="00C3184C" w:rsidP="00150EAF" w:rsidRDefault="00C3184C" w14:paraId="19AB19B7" w14:textId="77777777">
      <w:pPr>
        <w:tabs>
          <w:tab w:val="left" w:pos="851"/>
        </w:tabs>
        <w:ind w:left="709" w:right="709"/>
        <w:jc w:val="both"/>
        <w:rPr>
          <w:rFonts w:ascii="Arial" w:hAnsi="Arial" w:eastAsia="Calibri" w:cs="Arial"/>
          <w:color w:val="000000" w:themeColor="text1"/>
          <w:sz w:val="21"/>
          <w:szCs w:val="21"/>
          <w:lang w:val="es-ES"/>
        </w:rPr>
      </w:pPr>
    </w:p>
    <w:p w:rsidRPr="00406E40" w:rsidR="00984AB9" w:rsidP="00150EAF" w:rsidRDefault="00C3184C" w14:paraId="41039A9E" w14:textId="1DB7B6D4">
      <w:pPr>
        <w:tabs>
          <w:tab w:val="left" w:pos="426"/>
        </w:tabs>
        <w:spacing w:line="276" w:lineRule="auto"/>
        <w:jc w:val="both"/>
        <w:rPr>
          <w:rFonts w:ascii="Arial" w:hAnsi="Arial" w:eastAsia="Calibri" w:cs="Arial"/>
          <w:color w:val="000000" w:themeColor="text1"/>
          <w:sz w:val="22"/>
          <w:szCs w:val="22"/>
          <w:lang w:val="es-ES"/>
        </w:rPr>
      </w:pPr>
      <w:r>
        <w:rPr>
          <w:rFonts w:ascii="Arial" w:hAnsi="Arial" w:eastAsia="Calibri" w:cs="Arial"/>
          <w:color w:val="000000" w:themeColor="text1"/>
          <w:sz w:val="22"/>
          <w:szCs w:val="22"/>
          <w:lang w:val="es-ES"/>
        </w:rPr>
        <w:tab/>
      </w:r>
      <w:r>
        <w:rPr>
          <w:rFonts w:ascii="Arial" w:hAnsi="Arial" w:eastAsia="Calibri" w:cs="Arial"/>
          <w:color w:val="000000" w:themeColor="text1"/>
          <w:sz w:val="22"/>
          <w:szCs w:val="22"/>
          <w:lang w:val="es-ES"/>
        </w:rPr>
        <w:tab/>
      </w:r>
      <w:r w:rsidRPr="00406E40" w:rsidR="00A413F1">
        <w:rPr>
          <w:rFonts w:ascii="Arial" w:hAnsi="Arial" w:eastAsia="Calibri" w:cs="Arial"/>
          <w:color w:val="000000" w:themeColor="text1"/>
          <w:sz w:val="22"/>
          <w:szCs w:val="22"/>
          <w:lang w:val="es-ES"/>
        </w:rPr>
        <w:t>Según el literal d)</w:t>
      </w:r>
      <w:r>
        <w:rPr>
          <w:rFonts w:ascii="Arial" w:hAnsi="Arial" w:eastAsia="Calibri" w:cs="Arial"/>
          <w:color w:val="000000" w:themeColor="text1"/>
          <w:sz w:val="22"/>
          <w:szCs w:val="22"/>
          <w:lang w:val="es-ES"/>
        </w:rPr>
        <w:t xml:space="preserve">, </w:t>
      </w:r>
      <w:r w:rsidRPr="00406E40" w:rsidR="00A413F1">
        <w:rPr>
          <w:rFonts w:ascii="Arial" w:hAnsi="Arial" w:eastAsia="Calibri" w:cs="Arial"/>
          <w:color w:val="000000" w:themeColor="text1"/>
          <w:sz w:val="22"/>
          <w:szCs w:val="22"/>
          <w:lang w:val="es-ES"/>
        </w:rPr>
        <w:t>las empresas oficiales</w:t>
      </w:r>
      <w:r w:rsidR="00715C70">
        <w:rPr>
          <w:rFonts w:ascii="Arial" w:hAnsi="Arial" w:eastAsia="Calibri" w:cs="Arial"/>
          <w:color w:val="000000" w:themeColor="text1"/>
          <w:sz w:val="22"/>
          <w:szCs w:val="22"/>
          <w:lang w:val="es-ES"/>
        </w:rPr>
        <w:t xml:space="preserve"> de servicios públicos domiciliarios</w:t>
      </w:r>
      <w:r w:rsidRPr="00715C70" w:rsidR="00715C70">
        <w:rPr>
          <w:rFonts w:ascii="Arial" w:hAnsi="Arial" w:eastAsia="Calibri" w:cs="Arial"/>
          <w:color w:val="000000" w:themeColor="text1"/>
          <w:sz w:val="22"/>
          <w:szCs w:val="22"/>
          <w:lang w:val="es-ES"/>
        </w:rPr>
        <w:t xml:space="preserve"> </w:t>
      </w:r>
      <w:r w:rsidRPr="00406E40" w:rsidR="00715C70">
        <w:rPr>
          <w:rFonts w:ascii="Arial" w:hAnsi="Arial" w:eastAsia="Calibri" w:cs="Arial"/>
          <w:color w:val="000000" w:themeColor="text1"/>
          <w:sz w:val="22"/>
          <w:szCs w:val="22"/>
          <w:lang w:val="es-ES"/>
        </w:rPr>
        <w:t>son entidades estatales</w:t>
      </w:r>
      <w:r w:rsidRPr="00406E40" w:rsidR="00A413F1">
        <w:rPr>
          <w:rFonts w:ascii="Arial" w:hAnsi="Arial" w:eastAsia="Calibri" w:cs="Arial"/>
          <w:color w:val="000000" w:themeColor="text1"/>
          <w:sz w:val="22"/>
          <w:szCs w:val="22"/>
          <w:lang w:val="es-ES"/>
        </w:rPr>
        <w:t xml:space="preserve">, en la medida en que pertenecen a la </w:t>
      </w:r>
      <w:r w:rsidRPr="00406E40" w:rsidR="00855C3A">
        <w:rPr>
          <w:rFonts w:ascii="Arial" w:hAnsi="Arial" w:eastAsia="Calibri" w:cs="Arial"/>
          <w:color w:val="000000" w:themeColor="text1"/>
          <w:sz w:val="22"/>
          <w:szCs w:val="22"/>
          <w:lang w:val="es-ES"/>
        </w:rPr>
        <w:t>rama ejecutiva</w:t>
      </w:r>
      <w:r w:rsidRPr="00406E40" w:rsidR="00984AB9">
        <w:rPr>
          <w:rFonts w:ascii="Arial" w:hAnsi="Arial" w:eastAsia="Calibri" w:cs="Arial"/>
          <w:color w:val="000000" w:themeColor="text1"/>
          <w:sz w:val="22"/>
          <w:szCs w:val="22"/>
          <w:lang w:val="es-ES"/>
        </w:rPr>
        <w:t xml:space="preserve">. Sin embargo, nada </w:t>
      </w:r>
      <w:r w:rsidRPr="00406E40" w:rsidR="00ED05A8">
        <w:rPr>
          <w:rFonts w:ascii="Arial" w:hAnsi="Arial" w:eastAsia="Calibri" w:cs="Arial"/>
          <w:color w:val="000000" w:themeColor="text1"/>
          <w:sz w:val="22"/>
          <w:szCs w:val="22"/>
          <w:lang w:val="es-ES"/>
        </w:rPr>
        <w:t xml:space="preserve">se </w:t>
      </w:r>
      <w:r w:rsidRPr="00406E40" w:rsidR="00984AB9">
        <w:rPr>
          <w:rFonts w:ascii="Arial" w:hAnsi="Arial" w:eastAsia="Calibri" w:cs="Arial"/>
          <w:color w:val="000000" w:themeColor="text1"/>
          <w:sz w:val="22"/>
          <w:szCs w:val="22"/>
          <w:lang w:val="es-ES"/>
        </w:rPr>
        <w:t>dice, al menos de manera expresa, sobre las ESP mixtas.</w:t>
      </w:r>
      <w:r w:rsidRPr="00406E40" w:rsidR="00ED05A8">
        <w:rPr>
          <w:rFonts w:ascii="Arial" w:hAnsi="Arial" w:eastAsia="Calibri" w:cs="Arial"/>
          <w:color w:val="000000" w:themeColor="text1"/>
          <w:sz w:val="22"/>
          <w:szCs w:val="22"/>
          <w:lang w:val="es-ES"/>
        </w:rPr>
        <w:t xml:space="preserve"> </w:t>
      </w:r>
      <w:r w:rsidR="00244438">
        <w:rPr>
          <w:rFonts w:ascii="Arial" w:hAnsi="Arial" w:eastAsia="Calibri" w:cs="Arial"/>
          <w:color w:val="000000" w:themeColor="text1"/>
          <w:sz w:val="22"/>
          <w:szCs w:val="22"/>
          <w:lang w:val="es-ES"/>
        </w:rPr>
        <w:t>P</w:t>
      </w:r>
      <w:r w:rsidR="00715C70">
        <w:rPr>
          <w:rFonts w:ascii="Arial" w:hAnsi="Arial" w:eastAsia="Calibri" w:cs="Arial"/>
          <w:color w:val="000000" w:themeColor="text1"/>
          <w:sz w:val="22"/>
          <w:szCs w:val="22"/>
          <w:lang w:val="es-ES"/>
        </w:rPr>
        <w:t>odría considerarse</w:t>
      </w:r>
      <w:r w:rsidRPr="00406E40" w:rsidR="00984AB9">
        <w:rPr>
          <w:rFonts w:ascii="Arial" w:hAnsi="Arial" w:eastAsia="Calibri" w:cs="Arial"/>
          <w:color w:val="000000" w:themeColor="text1"/>
          <w:sz w:val="22"/>
          <w:szCs w:val="22"/>
          <w:lang w:val="es-ES"/>
        </w:rPr>
        <w:t xml:space="preserve"> que no son entidades estatales. No obstante, la Corte Constitucional</w:t>
      </w:r>
      <w:r w:rsidR="00C43F85">
        <w:rPr>
          <w:rFonts w:ascii="Arial" w:hAnsi="Arial" w:eastAsia="Calibri" w:cs="Arial"/>
          <w:color w:val="000000" w:themeColor="text1"/>
          <w:sz w:val="22"/>
          <w:szCs w:val="22"/>
          <w:lang w:val="es-ES"/>
        </w:rPr>
        <w:t>,</w:t>
      </w:r>
      <w:r w:rsidRPr="00406E40" w:rsidR="00984AB9">
        <w:rPr>
          <w:rFonts w:ascii="Arial" w:hAnsi="Arial" w:eastAsia="Calibri" w:cs="Arial"/>
          <w:color w:val="000000" w:themeColor="text1"/>
          <w:sz w:val="22"/>
          <w:szCs w:val="22"/>
          <w:lang w:val="es-ES"/>
        </w:rPr>
        <w:t xml:space="preserve"> en sentencia C-736 de 2007</w:t>
      </w:r>
      <w:r w:rsidR="00C43F85">
        <w:rPr>
          <w:rFonts w:ascii="Arial" w:hAnsi="Arial" w:eastAsia="Calibri" w:cs="Arial"/>
          <w:color w:val="000000" w:themeColor="text1"/>
          <w:sz w:val="22"/>
          <w:szCs w:val="22"/>
          <w:lang w:val="es-ES"/>
        </w:rPr>
        <w:t>,</w:t>
      </w:r>
      <w:r w:rsidRPr="00406E40" w:rsidR="00984AB9">
        <w:rPr>
          <w:rFonts w:ascii="Arial" w:hAnsi="Arial" w:eastAsia="Calibri" w:cs="Arial"/>
          <w:color w:val="000000" w:themeColor="text1"/>
          <w:sz w:val="22"/>
          <w:szCs w:val="22"/>
          <w:lang w:val="es-ES"/>
        </w:rPr>
        <w:t xml:space="preserve"> aclaró </w:t>
      </w:r>
      <w:r w:rsidR="00715C70">
        <w:rPr>
          <w:rFonts w:ascii="Arial" w:hAnsi="Arial" w:eastAsia="Calibri" w:cs="Arial"/>
          <w:color w:val="000000" w:themeColor="text1"/>
          <w:sz w:val="22"/>
          <w:szCs w:val="22"/>
          <w:lang w:val="es-ES"/>
        </w:rPr>
        <w:t>el tema,</w:t>
      </w:r>
      <w:r w:rsidRPr="00406E40" w:rsidR="00984AB9">
        <w:rPr>
          <w:rFonts w:ascii="Arial" w:hAnsi="Arial" w:eastAsia="Calibri" w:cs="Arial"/>
          <w:color w:val="000000" w:themeColor="text1"/>
          <w:sz w:val="22"/>
          <w:szCs w:val="22"/>
          <w:lang w:val="es-ES"/>
        </w:rPr>
        <w:t xml:space="preserve"> </w:t>
      </w:r>
      <w:r w:rsidR="00715C70">
        <w:rPr>
          <w:rFonts w:ascii="Arial" w:hAnsi="Arial" w:eastAsia="Calibri" w:cs="Arial"/>
          <w:color w:val="000000" w:themeColor="text1"/>
          <w:sz w:val="22"/>
          <w:szCs w:val="22"/>
          <w:lang w:val="es-ES"/>
        </w:rPr>
        <w:t xml:space="preserve">interpretando armónicamente </w:t>
      </w:r>
      <w:r w:rsidRPr="00406E40" w:rsidR="00984AB9">
        <w:rPr>
          <w:rFonts w:ascii="Arial" w:hAnsi="Arial" w:eastAsia="Calibri" w:cs="Arial"/>
          <w:color w:val="000000" w:themeColor="text1"/>
          <w:sz w:val="22"/>
          <w:szCs w:val="22"/>
          <w:lang w:val="es-ES"/>
        </w:rPr>
        <w:t>los diferentes literales del artículo 38</w:t>
      </w:r>
      <w:r w:rsidR="00C43F85">
        <w:rPr>
          <w:rFonts w:ascii="Arial" w:hAnsi="Arial" w:eastAsia="Calibri" w:cs="Arial"/>
          <w:color w:val="000000" w:themeColor="text1"/>
          <w:sz w:val="22"/>
          <w:szCs w:val="22"/>
          <w:lang w:val="es-ES"/>
        </w:rPr>
        <w:t>,</w:t>
      </w:r>
      <w:r w:rsidRPr="00406E40" w:rsidR="00984AB9">
        <w:rPr>
          <w:rFonts w:ascii="Arial" w:hAnsi="Arial" w:eastAsia="Calibri" w:cs="Arial"/>
          <w:color w:val="000000" w:themeColor="text1"/>
          <w:sz w:val="22"/>
          <w:szCs w:val="22"/>
          <w:lang w:val="es-ES"/>
        </w:rPr>
        <w:t xml:space="preserve"> para concluir que</w:t>
      </w:r>
      <w:r w:rsidRPr="00406E40" w:rsidR="003901B3">
        <w:rPr>
          <w:rFonts w:ascii="Arial" w:hAnsi="Arial" w:eastAsia="Calibri" w:cs="Arial"/>
          <w:color w:val="000000" w:themeColor="text1"/>
          <w:sz w:val="22"/>
          <w:szCs w:val="22"/>
          <w:lang w:val="es-ES"/>
        </w:rPr>
        <w:t xml:space="preserve"> </w:t>
      </w:r>
      <w:r w:rsidR="00777F8D">
        <w:rPr>
          <w:rFonts w:ascii="Arial" w:hAnsi="Arial" w:eastAsia="Calibri" w:cs="Arial"/>
          <w:color w:val="000000" w:themeColor="text1"/>
          <w:sz w:val="22"/>
          <w:szCs w:val="22"/>
          <w:lang w:val="es-ES"/>
        </w:rPr>
        <w:t>«l</w:t>
      </w:r>
      <w:r w:rsidRPr="00406E40" w:rsidR="00984AB9">
        <w:rPr>
          <w:rFonts w:ascii="Arial" w:hAnsi="Arial" w:eastAsia="Calibri" w:cs="Arial"/>
          <w:color w:val="000000" w:themeColor="text1"/>
          <w:sz w:val="22"/>
          <w:szCs w:val="22"/>
          <w:lang w:val="es-ES"/>
        </w:rPr>
        <w:t>a voluntad legislativa no fue excluir a las empresas de servicios públicos mixtas o privadas de la pertenencia a la Rama Ejecutiva del poder público</w:t>
      </w:r>
      <w:r w:rsidR="00777F8D">
        <w:rPr>
          <w:rFonts w:ascii="Arial" w:hAnsi="Arial" w:eastAsia="Calibri" w:cs="Arial"/>
          <w:color w:val="000000" w:themeColor="text1"/>
          <w:sz w:val="22"/>
          <w:szCs w:val="22"/>
          <w:lang w:val="es-ES"/>
        </w:rPr>
        <w:t>»</w:t>
      </w:r>
      <w:r w:rsidR="00C43F85">
        <w:rPr>
          <w:rFonts w:ascii="Arial" w:hAnsi="Arial" w:eastAsia="Calibri" w:cs="Arial"/>
          <w:color w:val="000000" w:themeColor="text1"/>
          <w:sz w:val="22"/>
          <w:szCs w:val="22"/>
          <w:lang w:val="es-ES"/>
        </w:rPr>
        <w:t>, l</w:t>
      </w:r>
      <w:r w:rsidRPr="00406E40" w:rsidR="00984AB9">
        <w:rPr>
          <w:rFonts w:ascii="Arial" w:hAnsi="Arial" w:eastAsia="Calibri" w:cs="Arial"/>
          <w:color w:val="000000" w:themeColor="text1"/>
          <w:sz w:val="22"/>
          <w:szCs w:val="22"/>
          <w:lang w:val="es-ES"/>
        </w:rPr>
        <w:t>o anterior</w:t>
      </w:r>
      <w:r w:rsidR="009258D5">
        <w:rPr>
          <w:rFonts w:ascii="Arial" w:hAnsi="Arial" w:eastAsia="Calibri" w:cs="Arial"/>
          <w:color w:val="000000" w:themeColor="text1"/>
          <w:sz w:val="22"/>
          <w:szCs w:val="22"/>
          <w:lang w:val="es-ES"/>
        </w:rPr>
        <w:t>, en considerando que</w:t>
      </w:r>
      <w:r w:rsidRPr="00406E40" w:rsidR="00984AB9">
        <w:rPr>
          <w:rFonts w:ascii="Arial" w:hAnsi="Arial" w:eastAsia="Calibri" w:cs="Arial"/>
          <w:color w:val="000000" w:themeColor="text1"/>
          <w:sz w:val="22"/>
          <w:szCs w:val="22"/>
          <w:lang w:val="es-ES"/>
        </w:rPr>
        <w:t xml:space="preserve">: </w:t>
      </w:r>
    </w:p>
    <w:p w:rsidRPr="00406E40" w:rsidR="00630D7C" w:rsidP="00150EAF" w:rsidRDefault="00630D7C" w14:paraId="49E1A84E" w14:textId="77777777">
      <w:pPr>
        <w:tabs>
          <w:tab w:val="left" w:pos="426"/>
        </w:tabs>
        <w:spacing w:line="276" w:lineRule="auto"/>
        <w:jc w:val="both"/>
        <w:rPr>
          <w:rFonts w:ascii="Arial" w:hAnsi="Arial" w:eastAsia="Calibri" w:cs="Arial"/>
          <w:color w:val="000000" w:themeColor="text1"/>
          <w:sz w:val="22"/>
          <w:szCs w:val="22"/>
          <w:lang w:val="es-ES"/>
        </w:rPr>
      </w:pPr>
    </w:p>
    <w:p w:rsidRPr="00E80252" w:rsidR="00A413F1" w:rsidP="00150EAF" w:rsidRDefault="00984AB9" w14:paraId="3CE7CC41" w14:textId="7CA90782">
      <w:pPr>
        <w:ind w:left="709" w:right="709"/>
        <w:jc w:val="both"/>
        <w:rPr>
          <w:rFonts w:ascii="Arial" w:hAnsi="Arial" w:cs="Arial"/>
          <w:sz w:val="21"/>
          <w:szCs w:val="21"/>
          <w:lang w:val="es-ES"/>
        </w:rPr>
      </w:pPr>
      <w:r w:rsidRPr="00E80252">
        <w:rPr>
          <w:rFonts w:ascii="Arial" w:hAnsi="Arial" w:eastAsia="Calibri" w:cs="Arial"/>
          <w:color w:val="000000" w:themeColor="text1"/>
          <w:sz w:val="21"/>
          <w:szCs w:val="21"/>
          <w:lang w:val="es-ES"/>
        </w:rPr>
        <w:t>Nótese cómo en el literal d)</w:t>
      </w:r>
      <w:r w:rsidRPr="00E80252" w:rsidR="00ED05A8">
        <w:rPr>
          <w:rFonts w:ascii="Arial" w:hAnsi="Arial" w:eastAsia="Calibri" w:cs="Arial"/>
          <w:color w:val="000000" w:themeColor="text1"/>
          <w:sz w:val="21"/>
          <w:szCs w:val="21"/>
          <w:lang w:val="es-ES"/>
        </w:rPr>
        <w:t xml:space="preserve"> [sic]</w:t>
      </w:r>
      <w:r w:rsidRPr="00E80252">
        <w:rPr>
          <w:rFonts w:ascii="Arial" w:hAnsi="Arial" w:eastAsia="Calibri" w:cs="Arial"/>
          <w:color w:val="000000" w:themeColor="text1"/>
          <w:sz w:val="21"/>
          <w:szCs w:val="21"/>
          <w:lang w:val="es-ES"/>
        </w:rPr>
        <w:t xml:space="preserve"> el legislador incluye a las “demás entidades administrativas nacionales con personería jurídica que cree, organice o autorice la ley para que formen parte de la Rama Ejecutiva del Poder Público”, </w:t>
      </w:r>
      <w:r w:rsidRPr="00150EAF">
        <w:rPr>
          <w:rFonts w:ascii="Arial" w:hAnsi="Arial" w:eastAsia="Calibri" w:cs="Arial"/>
          <w:i/>
          <w:iCs/>
          <w:color w:val="000000" w:themeColor="text1"/>
          <w:sz w:val="21"/>
          <w:szCs w:val="21"/>
          <w:lang w:val="es-ES"/>
        </w:rPr>
        <w:t>categoría dentro de la cual deben entenderse incluidas las empresas de servicios públicos mixtas o privadas</w:t>
      </w:r>
      <w:r w:rsidRPr="00E80252">
        <w:rPr>
          <w:rFonts w:ascii="Arial" w:hAnsi="Arial" w:eastAsia="Calibri" w:cs="Arial"/>
          <w:color w:val="000000" w:themeColor="text1"/>
          <w:sz w:val="21"/>
          <w:szCs w:val="21"/>
          <w:lang w:val="es-ES"/>
        </w:rPr>
        <w:t xml:space="preserve">, </w:t>
      </w:r>
      <w:proofErr w:type="gramStart"/>
      <w:r w:rsidRPr="00E80252">
        <w:rPr>
          <w:rFonts w:ascii="Arial" w:hAnsi="Arial" w:eastAsia="Calibri" w:cs="Arial"/>
          <w:color w:val="000000" w:themeColor="text1"/>
          <w:sz w:val="21"/>
          <w:szCs w:val="21"/>
          <w:lang w:val="es-ES"/>
        </w:rPr>
        <w:t>que</w:t>
      </w:r>
      <w:proofErr w:type="gramEnd"/>
      <w:r w:rsidRPr="00E80252">
        <w:rPr>
          <w:rFonts w:ascii="Arial" w:hAnsi="Arial" w:eastAsia="Calibri" w:cs="Arial"/>
          <w:color w:val="000000" w:themeColor="text1"/>
          <w:sz w:val="21"/>
          <w:szCs w:val="21"/>
          <w:lang w:val="es-ES"/>
        </w:rPr>
        <w:t xml:space="preserve"> de esta manera, se entienden como parte de </w:t>
      </w:r>
      <w:r w:rsidRPr="00E80252">
        <w:rPr>
          <w:rFonts w:ascii="Arial" w:hAnsi="Arial" w:eastAsia="Calibri" w:cs="Arial"/>
          <w:color w:val="000000" w:themeColor="text1"/>
          <w:sz w:val="21"/>
          <w:szCs w:val="21"/>
          <w:lang w:val="es-ES"/>
        </w:rPr>
        <w:t>la Rama Ejecutiva en su sector descentralizado nacional</w:t>
      </w:r>
      <w:r w:rsidRPr="00E80252">
        <w:rPr>
          <w:rStyle w:val="Refdenotaalpie"/>
          <w:rFonts w:ascii="Arial" w:hAnsi="Arial" w:cs="Arial"/>
          <w:sz w:val="21"/>
          <w:szCs w:val="21"/>
          <w:lang w:val="es-ES"/>
        </w:rPr>
        <w:footnoteReference w:id="6"/>
      </w:r>
      <w:r w:rsidR="009258D5">
        <w:rPr>
          <w:rFonts w:ascii="Arial" w:hAnsi="Arial" w:cs="Arial"/>
          <w:sz w:val="21"/>
          <w:szCs w:val="21"/>
          <w:lang w:val="es-ES"/>
        </w:rPr>
        <w:t>. (Énfasis fuera de texto)</w:t>
      </w:r>
    </w:p>
    <w:p w:rsidR="00E80252" w:rsidP="00150EAF" w:rsidRDefault="00E80252" w14:paraId="4329B09B" w14:textId="77777777">
      <w:pPr>
        <w:spacing w:line="276" w:lineRule="auto"/>
        <w:jc w:val="both"/>
        <w:rPr>
          <w:rFonts w:ascii="Arial" w:hAnsi="Arial" w:cs="Arial"/>
          <w:sz w:val="22"/>
          <w:szCs w:val="22"/>
          <w:lang w:val="es-ES"/>
        </w:rPr>
      </w:pPr>
    </w:p>
    <w:p w:rsidRPr="00406E40" w:rsidR="00017253" w:rsidP="00150EAF" w:rsidRDefault="00ED05A8" w14:paraId="3CFCFC3D" w14:textId="3F282B81">
      <w:pPr>
        <w:spacing w:line="276" w:lineRule="auto"/>
        <w:ind w:firstLine="708"/>
        <w:jc w:val="both"/>
        <w:rPr>
          <w:rFonts w:ascii="Arial" w:hAnsi="Arial" w:eastAsia="Calibri" w:cs="Arial"/>
          <w:color w:val="000000" w:themeColor="text1"/>
          <w:sz w:val="22"/>
          <w:szCs w:val="22"/>
          <w:lang w:val="es-ES"/>
        </w:rPr>
      </w:pPr>
      <w:r w:rsidRPr="00406E40">
        <w:rPr>
          <w:rFonts w:ascii="Arial" w:hAnsi="Arial" w:eastAsia="Calibri" w:cs="Arial"/>
          <w:color w:val="000000" w:themeColor="text1"/>
          <w:sz w:val="22"/>
          <w:szCs w:val="22"/>
          <w:lang w:val="es-ES"/>
        </w:rPr>
        <w:t xml:space="preserve">En ese orden de ideas, las </w:t>
      </w:r>
      <w:r w:rsidRPr="00406E40" w:rsidR="00855C3A">
        <w:rPr>
          <w:rFonts w:ascii="Arial" w:hAnsi="Arial" w:eastAsia="Calibri" w:cs="Arial"/>
          <w:color w:val="000000" w:themeColor="text1"/>
          <w:sz w:val="22"/>
          <w:szCs w:val="22"/>
          <w:lang w:val="es-ES"/>
        </w:rPr>
        <w:t xml:space="preserve">empresas de servicios públicos mixtas </w:t>
      </w:r>
      <w:r w:rsidRPr="00406E40">
        <w:rPr>
          <w:rFonts w:ascii="Arial" w:hAnsi="Arial" w:eastAsia="Calibri" w:cs="Arial"/>
          <w:color w:val="000000" w:themeColor="text1"/>
          <w:sz w:val="22"/>
          <w:szCs w:val="22"/>
          <w:lang w:val="es-ES"/>
        </w:rPr>
        <w:t>son entidades estatales</w:t>
      </w:r>
      <w:r w:rsidR="00C43F85">
        <w:rPr>
          <w:rFonts w:ascii="Arial" w:hAnsi="Arial" w:eastAsia="Calibri" w:cs="Arial"/>
          <w:color w:val="000000" w:themeColor="text1"/>
          <w:sz w:val="22"/>
          <w:szCs w:val="22"/>
          <w:lang w:val="es-ES"/>
        </w:rPr>
        <w:t>,</w:t>
      </w:r>
      <w:r w:rsidRPr="00406E40">
        <w:rPr>
          <w:rFonts w:ascii="Arial" w:hAnsi="Arial" w:eastAsia="Calibri" w:cs="Arial"/>
          <w:color w:val="000000" w:themeColor="text1"/>
          <w:sz w:val="22"/>
          <w:szCs w:val="22"/>
          <w:lang w:val="es-ES"/>
        </w:rPr>
        <w:t xml:space="preserve"> </w:t>
      </w:r>
      <w:r w:rsidR="009258D5">
        <w:rPr>
          <w:rFonts w:ascii="Arial" w:hAnsi="Arial" w:eastAsia="Calibri" w:cs="Arial"/>
          <w:color w:val="000000" w:themeColor="text1"/>
          <w:sz w:val="22"/>
          <w:szCs w:val="22"/>
          <w:lang w:val="es-ES"/>
        </w:rPr>
        <w:t>al</w:t>
      </w:r>
      <w:r w:rsidRPr="00406E40" w:rsidR="00A413F1">
        <w:rPr>
          <w:rFonts w:ascii="Arial" w:hAnsi="Arial" w:eastAsia="Calibri" w:cs="Arial"/>
          <w:color w:val="000000" w:themeColor="text1"/>
          <w:sz w:val="22"/>
          <w:szCs w:val="22"/>
          <w:lang w:val="es-ES"/>
        </w:rPr>
        <w:t xml:space="preserve"> pertenecer a la </w:t>
      </w:r>
      <w:r w:rsidRPr="00406E40" w:rsidR="00855C3A">
        <w:rPr>
          <w:rFonts w:ascii="Arial" w:hAnsi="Arial" w:eastAsia="Calibri" w:cs="Arial"/>
          <w:color w:val="000000" w:themeColor="text1"/>
          <w:sz w:val="22"/>
          <w:szCs w:val="22"/>
          <w:lang w:val="es-ES"/>
        </w:rPr>
        <w:t>rama ejecutiva</w:t>
      </w:r>
      <w:r w:rsidRPr="00406E40" w:rsidR="00A413F1">
        <w:rPr>
          <w:rFonts w:ascii="Arial" w:hAnsi="Arial" w:eastAsia="Calibri" w:cs="Arial"/>
          <w:color w:val="000000" w:themeColor="text1"/>
          <w:sz w:val="22"/>
          <w:szCs w:val="22"/>
          <w:lang w:val="es-ES"/>
        </w:rPr>
        <w:t xml:space="preserve"> del poder público</w:t>
      </w:r>
      <w:r w:rsidRPr="00406E40">
        <w:rPr>
          <w:rFonts w:ascii="Arial" w:hAnsi="Arial" w:eastAsia="Calibri" w:cs="Arial"/>
          <w:color w:val="000000" w:themeColor="text1"/>
          <w:sz w:val="22"/>
          <w:szCs w:val="22"/>
          <w:lang w:val="es-ES"/>
        </w:rPr>
        <w:t>, pues se entienden incluidas en el literal g</w:t>
      </w:r>
      <w:r w:rsidR="009258D5">
        <w:rPr>
          <w:rFonts w:ascii="Arial" w:hAnsi="Arial" w:eastAsia="Calibri" w:cs="Arial"/>
          <w:color w:val="000000" w:themeColor="text1"/>
          <w:sz w:val="22"/>
          <w:szCs w:val="22"/>
          <w:lang w:val="es-ES"/>
        </w:rPr>
        <w:t>)</w:t>
      </w:r>
      <w:r w:rsidRPr="00406E40">
        <w:rPr>
          <w:rFonts w:ascii="Arial" w:hAnsi="Arial" w:eastAsia="Calibri" w:cs="Arial"/>
          <w:color w:val="000000" w:themeColor="text1"/>
          <w:sz w:val="22"/>
          <w:szCs w:val="22"/>
          <w:lang w:val="es-ES"/>
        </w:rPr>
        <w:t xml:space="preserve"> del artículo 38 de la Ley 489 de 1998. </w:t>
      </w:r>
      <w:r w:rsidR="009258D5">
        <w:rPr>
          <w:rFonts w:ascii="Arial" w:hAnsi="Arial" w:eastAsia="Calibri" w:cs="Arial"/>
          <w:color w:val="000000" w:themeColor="text1"/>
          <w:sz w:val="22"/>
          <w:szCs w:val="22"/>
          <w:lang w:val="es-ES"/>
        </w:rPr>
        <w:t>Naturalmente,</w:t>
      </w:r>
      <w:r w:rsidRPr="00406E40" w:rsidR="00A413F1">
        <w:rPr>
          <w:rFonts w:ascii="Arial" w:hAnsi="Arial" w:eastAsia="Calibri" w:cs="Arial"/>
          <w:color w:val="000000" w:themeColor="text1"/>
          <w:sz w:val="22"/>
          <w:szCs w:val="22"/>
          <w:lang w:val="es-ES"/>
        </w:rPr>
        <w:t xml:space="preserve"> la categorización de estas entidades como estatales </w:t>
      </w:r>
      <w:r w:rsidR="00E86F3E">
        <w:rPr>
          <w:rFonts w:ascii="Arial" w:hAnsi="Arial" w:eastAsia="Calibri" w:cs="Arial"/>
          <w:color w:val="000000" w:themeColor="text1"/>
          <w:sz w:val="22"/>
          <w:szCs w:val="22"/>
          <w:lang w:val="es-ES"/>
        </w:rPr>
        <w:t>implica</w:t>
      </w:r>
      <w:r w:rsidR="009258D5">
        <w:rPr>
          <w:rFonts w:ascii="Arial" w:hAnsi="Arial" w:eastAsia="Calibri" w:cs="Arial"/>
          <w:color w:val="000000" w:themeColor="text1"/>
          <w:sz w:val="22"/>
          <w:szCs w:val="22"/>
          <w:lang w:val="es-ES"/>
        </w:rPr>
        <w:t xml:space="preserve"> </w:t>
      </w:r>
      <w:r w:rsidRPr="00406E40" w:rsidR="00A413F1">
        <w:rPr>
          <w:rFonts w:ascii="Arial" w:hAnsi="Arial" w:eastAsia="Calibri" w:cs="Arial"/>
          <w:color w:val="000000" w:themeColor="text1"/>
          <w:sz w:val="22"/>
          <w:szCs w:val="22"/>
          <w:lang w:val="es-ES"/>
        </w:rPr>
        <w:t>la aplicación de</w:t>
      </w:r>
      <w:r w:rsidR="009258D5">
        <w:rPr>
          <w:rFonts w:ascii="Arial" w:hAnsi="Arial" w:eastAsia="Calibri" w:cs="Arial"/>
          <w:color w:val="000000" w:themeColor="text1"/>
          <w:sz w:val="22"/>
          <w:szCs w:val="22"/>
          <w:lang w:val="es-ES"/>
        </w:rPr>
        <w:t xml:space="preserve"> </w:t>
      </w:r>
      <w:r w:rsidRPr="00406E40" w:rsidR="00A413F1">
        <w:rPr>
          <w:rFonts w:ascii="Arial" w:hAnsi="Arial" w:eastAsia="Calibri" w:cs="Arial"/>
          <w:color w:val="000000" w:themeColor="text1"/>
          <w:sz w:val="22"/>
          <w:szCs w:val="22"/>
          <w:lang w:val="es-ES"/>
        </w:rPr>
        <w:t>reglas y</w:t>
      </w:r>
      <w:r w:rsidR="009258D5">
        <w:rPr>
          <w:rFonts w:ascii="Arial" w:hAnsi="Arial" w:eastAsia="Calibri" w:cs="Arial"/>
          <w:color w:val="000000" w:themeColor="text1"/>
          <w:sz w:val="22"/>
          <w:szCs w:val="22"/>
          <w:lang w:val="es-ES"/>
        </w:rPr>
        <w:t xml:space="preserve"> </w:t>
      </w:r>
      <w:r w:rsidRPr="00406E40" w:rsidR="00A413F1">
        <w:rPr>
          <w:rFonts w:ascii="Arial" w:hAnsi="Arial" w:eastAsia="Calibri" w:cs="Arial"/>
          <w:color w:val="000000" w:themeColor="text1"/>
          <w:sz w:val="22"/>
          <w:szCs w:val="22"/>
          <w:lang w:val="es-ES"/>
        </w:rPr>
        <w:t>principios del derecho público que integran su régimen jurídico</w:t>
      </w:r>
      <w:r w:rsidRPr="00406E40" w:rsidR="00A413F1">
        <w:rPr>
          <w:rStyle w:val="Refdenotaalpie"/>
          <w:rFonts w:ascii="Arial" w:hAnsi="Arial" w:eastAsia="Calibri" w:cs="Arial"/>
          <w:color w:val="000000" w:themeColor="text1"/>
          <w:sz w:val="22"/>
          <w:szCs w:val="22"/>
          <w:lang w:val="es-ES"/>
        </w:rPr>
        <w:footnoteReference w:id="7"/>
      </w:r>
      <w:r w:rsidR="009258D5">
        <w:rPr>
          <w:rStyle w:val="Refdenotaalpie"/>
          <w:rFonts w:ascii="Arial" w:hAnsi="Arial" w:eastAsia="Calibri" w:cs="Arial"/>
          <w:color w:val="000000" w:themeColor="text1"/>
          <w:sz w:val="22"/>
          <w:szCs w:val="22"/>
          <w:lang w:val="es-ES"/>
        </w:rPr>
        <w:t>.</w:t>
      </w:r>
      <w:r w:rsidRPr="00406E40" w:rsidR="00A413F1">
        <w:rPr>
          <w:rFonts w:ascii="Arial" w:hAnsi="Arial" w:eastAsia="Calibri" w:cs="Arial"/>
          <w:color w:val="000000" w:themeColor="text1"/>
          <w:sz w:val="22"/>
          <w:szCs w:val="22"/>
          <w:lang w:val="es-ES"/>
        </w:rPr>
        <w:t xml:space="preserve"> </w:t>
      </w:r>
    </w:p>
    <w:p w:rsidRPr="00406E40" w:rsidR="003901B3" w:rsidP="00150EAF" w:rsidRDefault="003901B3" w14:paraId="72EE2F2F" w14:textId="77777777">
      <w:pPr>
        <w:spacing w:line="276" w:lineRule="auto"/>
        <w:jc w:val="both"/>
        <w:rPr>
          <w:rFonts w:ascii="Arial" w:hAnsi="Arial" w:eastAsia="Calibri" w:cs="Arial"/>
          <w:color w:val="000000" w:themeColor="text1"/>
          <w:sz w:val="22"/>
          <w:szCs w:val="22"/>
          <w:lang w:val="es-ES"/>
        </w:rPr>
      </w:pPr>
    </w:p>
    <w:p w:rsidR="00ED05A8" w:rsidP="009258D5" w:rsidRDefault="00ED05A8" w14:paraId="6000F917" w14:textId="44A8EDED">
      <w:pPr>
        <w:spacing w:line="276" w:lineRule="auto"/>
        <w:jc w:val="both"/>
        <w:rPr>
          <w:rFonts w:ascii="Arial" w:hAnsi="Arial" w:eastAsia="Calibri" w:cs="Arial"/>
          <w:b/>
          <w:bCs/>
          <w:color w:val="000000" w:themeColor="text1"/>
          <w:sz w:val="22"/>
          <w:szCs w:val="22"/>
          <w:lang w:val="es-ES"/>
        </w:rPr>
      </w:pPr>
      <w:r w:rsidRPr="00406E40">
        <w:rPr>
          <w:rFonts w:ascii="Arial" w:hAnsi="Arial" w:eastAsia="Calibri" w:cs="Arial"/>
          <w:b/>
          <w:bCs/>
          <w:color w:val="000000" w:themeColor="text1"/>
          <w:sz w:val="22"/>
          <w:szCs w:val="22"/>
          <w:lang w:val="es-ES"/>
        </w:rPr>
        <w:t xml:space="preserve">2.4. Régimen contractual </w:t>
      </w:r>
      <w:r w:rsidR="00DC05F1">
        <w:rPr>
          <w:rFonts w:ascii="Arial" w:hAnsi="Arial" w:eastAsia="Calibri" w:cs="Arial"/>
          <w:b/>
          <w:bCs/>
          <w:color w:val="000000" w:themeColor="text1"/>
          <w:sz w:val="22"/>
          <w:szCs w:val="22"/>
          <w:lang w:val="es-ES"/>
        </w:rPr>
        <w:t>de</w:t>
      </w:r>
      <w:r w:rsidRPr="00406E40">
        <w:rPr>
          <w:rFonts w:ascii="Arial" w:hAnsi="Arial" w:eastAsia="Calibri" w:cs="Arial"/>
          <w:b/>
          <w:bCs/>
          <w:color w:val="000000" w:themeColor="text1"/>
          <w:sz w:val="22"/>
          <w:szCs w:val="22"/>
          <w:lang w:val="es-ES"/>
        </w:rPr>
        <w:t xml:space="preserve"> las empresas de servicios públicos domiciliarios</w:t>
      </w:r>
    </w:p>
    <w:p w:rsidRPr="00406E40" w:rsidR="009258D5" w:rsidP="00150EAF" w:rsidRDefault="009258D5" w14:paraId="6E22012C" w14:textId="77777777">
      <w:pPr>
        <w:spacing w:line="276" w:lineRule="auto"/>
        <w:jc w:val="both"/>
        <w:rPr>
          <w:rFonts w:ascii="Arial" w:hAnsi="Arial" w:eastAsia="Calibri" w:cs="Arial"/>
          <w:b/>
          <w:bCs/>
          <w:color w:val="000000" w:themeColor="text1"/>
          <w:sz w:val="22"/>
          <w:szCs w:val="22"/>
          <w:lang w:val="es-ES"/>
        </w:rPr>
      </w:pPr>
    </w:p>
    <w:p w:rsidRPr="00406E40" w:rsidR="009173EE" w:rsidP="00C43F85" w:rsidRDefault="00ED05A8" w14:paraId="0B77BB7E" w14:textId="1A3D8751">
      <w:pPr>
        <w:spacing w:after="120" w:line="276" w:lineRule="auto"/>
        <w:jc w:val="both"/>
        <w:rPr>
          <w:rFonts w:ascii="Arial" w:hAnsi="Arial" w:eastAsia="Calibri" w:cs="Arial"/>
          <w:color w:val="000000" w:themeColor="text1"/>
          <w:sz w:val="22"/>
          <w:szCs w:val="22"/>
          <w:lang w:val="es-ES"/>
        </w:rPr>
      </w:pPr>
      <w:r w:rsidRPr="00406E40">
        <w:rPr>
          <w:rFonts w:ascii="Arial" w:hAnsi="Arial" w:eastAsia="Calibri" w:cs="Arial"/>
          <w:color w:val="000000" w:themeColor="text1"/>
          <w:sz w:val="22"/>
          <w:szCs w:val="22"/>
          <w:lang w:val="es-ES"/>
        </w:rPr>
        <w:t>De la caracterizaci</w:t>
      </w:r>
      <w:r w:rsidRPr="00406E40" w:rsidR="00C97AAA">
        <w:rPr>
          <w:rFonts w:ascii="Arial" w:hAnsi="Arial" w:eastAsia="Calibri" w:cs="Arial"/>
          <w:color w:val="000000" w:themeColor="text1"/>
          <w:sz w:val="22"/>
          <w:szCs w:val="22"/>
          <w:lang w:val="es-ES"/>
        </w:rPr>
        <w:t>ón</w:t>
      </w:r>
      <w:r w:rsidR="00C43F85">
        <w:rPr>
          <w:rFonts w:ascii="Arial" w:hAnsi="Arial" w:eastAsia="Calibri" w:cs="Arial"/>
          <w:color w:val="000000" w:themeColor="text1"/>
          <w:sz w:val="22"/>
          <w:szCs w:val="22"/>
          <w:lang w:val="es-ES"/>
        </w:rPr>
        <w:t xml:space="preserve"> de las</w:t>
      </w:r>
      <w:r w:rsidRPr="00406E40">
        <w:rPr>
          <w:rFonts w:ascii="Arial" w:hAnsi="Arial" w:eastAsia="Calibri" w:cs="Arial"/>
          <w:color w:val="000000" w:themeColor="text1"/>
          <w:sz w:val="22"/>
          <w:szCs w:val="22"/>
          <w:lang w:val="es-ES"/>
        </w:rPr>
        <w:t xml:space="preserve"> ESP mixtas como entidades estatales no se </w:t>
      </w:r>
      <w:r w:rsidR="009258D5">
        <w:rPr>
          <w:rFonts w:ascii="Arial" w:hAnsi="Arial" w:eastAsia="Calibri" w:cs="Arial"/>
          <w:color w:val="000000" w:themeColor="text1"/>
          <w:sz w:val="22"/>
          <w:szCs w:val="22"/>
          <w:lang w:val="es-ES"/>
        </w:rPr>
        <w:t>concluye</w:t>
      </w:r>
      <w:r w:rsidRPr="00406E40" w:rsidR="009258D5">
        <w:rPr>
          <w:rFonts w:ascii="Arial" w:hAnsi="Arial" w:eastAsia="Calibri" w:cs="Arial"/>
          <w:color w:val="000000" w:themeColor="text1"/>
          <w:sz w:val="22"/>
          <w:szCs w:val="22"/>
          <w:lang w:val="es-ES"/>
        </w:rPr>
        <w:t xml:space="preserve"> </w:t>
      </w:r>
      <w:r w:rsidRPr="00406E40" w:rsidR="00C97AAA">
        <w:rPr>
          <w:rFonts w:ascii="Arial" w:hAnsi="Arial" w:eastAsia="Calibri" w:cs="Arial"/>
          <w:color w:val="000000" w:themeColor="text1"/>
          <w:sz w:val="22"/>
          <w:szCs w:val="22"/>
          <w:lang w:val="es-ES"/>
        </w:rPr>
        <w:t>la aplicación</w:t>
      </w:r>
      <w:r w:rsidR="009258D5">
        <w:rPr>
          <w:rFonts w:ascii="Arial" w:hAnsi="Arial" w:eastAsia="Calibri" w:cs="Arial"/>
          <w:color w:val="000000" w:themeColor="text1"/>
          <w:sz w:val="22"/>
          <w:szCs w:val="22"/>
          <w:lang w:val="es-ES"/>
        </w:rPr>
        <w:t xml:space="preserve"> necesaria</w:t>
      </w:r>
      <w:r w:rsidRPr="00406E40" w:rsidR="00C97AAA">
        <w:rPr>
          <w:rFonts w:ascii="Arial" w:hAnsi="Arial" w:eastAsia="Calibri" w:cs="Arial"/>
          <w:color w:val="000000" w:themeColor="text1"/>
          <w:sz w:val="22"/>
          <w:szCs w:val="22"/>
          <w:lang w:val="es-ES"/>
        </w:rPr>
        <w:t xml:space="preserve"> del Estatuto General de Contratación de la Administración Pública. </w:t>
      </w:r>
      <w:r w:rsidR="00C43F85">
        <w:rPr>
          <w:rFonts w:ascii="Arial" w:hAnsi="Arial" w:eastAsia="Calibri" w:cs="Arial"/>
          <w:color w:val="000000" w:themeColor="text1"/>
          <w:sz w:val="22"/>
          <w:szCs w:val="22"/>
          <w:lang w:val="es-ES"/>
        </w:rPr>
        <w:t>L</w:t>
      </w:r>
      <w:r w:rsidRPr="00406E40" w:rsidR="000A7358">
        <w:rPr>
          <w:rFonts w:ascii="Arial" w:hAnsi="Arial" w:eastAsia="Calibri" w:cs="Arial"/>
          <w:color w:val="000000" w:themeColor="text1"/>
          <w:sz w:val="22"/>
          <w:szCs w:val="22"/>
          <w:lang w:val="es-ES"/>
        </w:rPr>
        <w:t xml:space="preserve">as normas sobre </w:t>
      </w:r>
      <w:r w:rsidRPr="00406E40" w:rsidR="00FA706A">
        <w:rPr>
          <w:rFonts w:ascii="Arial" w:hAnsi="Arial" w:eastAsia="Calibri" w:cs="Arial"/>
          <w:color w:val="000000" w:themeColor="text1"/>
          <w:sz w:val="22"/>
          <w:szCs w:val="22"/>
          <w:lang w:val="es-ES"/>
        </w:rPr>
        <w:t xml:space="preserve">empresas de servicios públicos </w:t>
      </w:r>
      <w:r w:rsidRPr="00406E40" w:rsidR="000A7358">
        <w:rPr>
          <w:rFonts w:ascii="Arial" w:hAnsi="Arial" w:eastAsia="Calibri" w:cs="Arial"/>
          <w:color w:val="000000" w:themeColor="text1"/>
          <w:sz w:val="22"/>
          <w:szCs w:val="22"/>
          <w:lang w:val="es-ES"/>
        </w:rPr>
        <w:t xml:space="preserve">otorgaron a estas empresas un régimen jurídico contractual </w:t>
      </w:r>
      <w:r w:rsidR="009258D5">
        <w:rPr>
          <w:rFonts w:ascii="Arial" w:hAnsi="Arial" w:eastAsia="Calibri" w:cs="Arial"/>
          <w:color w:val="000000" w:themeColor="text1"/>
          <w:sz w:val="22"/>
          <w:szCs w:val="22"/>
          <w:lang w:val="es-ES"/>
        </w:rPr>
        <w:t>sometido al derecho</w:t>
      </w:r>
      <w:r w:rsidRPr="00406E40" w:rsidR="009258D5">
        <w:rPr>
          <w:rFonts w:ascii="Arial" w:hAnsi="Arial" w:eastAsia="Calibri" w:cs="Arial"/>
          <w:color w:val="000000" w:themeColor="text1"/>
          <w:sz w:val="22"/>
          <w:szCs w:val="22"/>
          <w:lang w:val="es-ES"/>
        </w:rPr>
        <w:t xml:space="preserve"> </w:t>
      </w:r>
      <w:r w:rsidRPr="00406E40" w:rsidR="000A7358">
        <w:rPr>
          <w:rFonts w:ascii="Arial" w:hAnsi="Arial" w:eastAsia="Calibri" w:cs="Arial"/>
          <w:color w:val="000000" w:themeColor="text1"/>
          <w:sz w:val="22"/>
          <w:szCs w:val="22"/>
          <w:lang w:val="es-ES"/>
        </w:rPr>
        <w:t>privado</w:t>
      </w:r>
      <w:r w:rsidR="00C43F85">
        <w:rPr>
          <w:rFonts w:ascii="Arial" w:hAnsi="Arial" w:eastAsia="Calibri" w:cs="Arial"/>
          <w:color w:val="000000" w:themeColor="text1"/>
          <w:sz w:val="22"/>
          <w:szCs w:val="22"/>
          <w:lang w:val="es-ES"/>
        </w:rPr>
        <w:t>, más los principios de la función administrativa y los de la gestión fiscal</w:t>
      </w:r>
      <w:r w:rsidRPr="00406E40" w:rsidR="000A7358">
        <w:rPr>
          <w:rFonts w:ascii="Arial" w:hAnsi="Arial" w:eastAsia="Calibri" w:cs="Arial"/>
          <w:color w:val="000000" w:themeColor="text1"/>
          <w:sz w:val="22"/>
          <w:szCs w:val="22"/>
          <w:lang w:val="es-ES"/>
        </w:rPr>
        <w:t>.</w:t>
      </w:r>
      <w:r w:rsidR="0050010C">
        <w:rPr>
          <w:rStyle w:val="Refdenotaalpie"/>
          <w:rFonts w:ascii="Arial" w:hAnsi="Arial" w:eastAsia="Calibri" w:cs="Arial"/>
          <w:color w:val="000000" w:themeColor="text1"/>
          <w:sz w:val="22"/>
          <w:szCs w:val="22"/>
          <w:lang w:val="es-ES"/>
        </w:rPr>
        <w:footnoteReference w:id="8"/>
      </w:r>
      <w:r w:rsidRPr="00406E40" w:rsidR="000A7358">
        <w:rPr>
          <w:rFonts w:ascii="Arial" w:hAnsi="Arial" w:eastAsia="Calibri" w:cs="Arial"/>
          <w:color w:val="000000" w:themeColor="text1"/>
          <w:sz w:val="22"/>
          <w:szCs w:val="22"/>
          <w:lang w:val="es-ES"/>
        </w:rPr>
        <w:t xml:space="preserve"> </w:t>
      </w:r>
    </w:p>
    <w:p w:rsidRPr="00406E40" w:rsidR="00F42DF4" w:rsidP="00BE5DCB" w:rsidRDefault="00F42DF4" w14:paraId="24149932" w14:textId="59A496E4">
      <w:pPr>
        <w:tabs>
          <w:tab w:val="left" w:pos="426"/>
        </w:tabs>
        <w:spacing w:line="276" w:lineRule="auto"/>
        <w:jc w:val="both"/>
        <w:rPr>
          <w:rFonts w:ascii="Arial" w:hAnsi="Arial" w:eastAsia="Calibri" w:cs="Arial"/>
          <w:color w:val="000000" w:themeColor="text1"/>
          <w:sz w:val="22"/>
          <w:szCs w:val="22"/>
          <w:lang w:val="es-ES"/>
        </w:rPr>
      </w:pPr>
      <w:r w:rsidRPr="00406E40">
        <w:rPr>
          <w:rFonts w:ascii="Arial" w:hAnsi="Arial" w:eastAsia="Calibri" w:cs="Arial"/>
          <w:color w:val="000000" w:themeColor="text1"/>
          <w:sz w:val="22"/>
          <w:szCs w:val="22"/>
          <w:lang w:val="es-ES"/>
        </w:rPr>
        <w:tab/>
      </w:r>
      <w:r w:rsidR="00777F8D">
        <w:rPr>
          <w:rFonts w:ascii="Arial" w:hAnsi="Arial" w:eastAsia="Calibri" w:cs="Arial"/>
          <w:color w:val="000000" w:themeColor="text1"/>
          <w:sz w:val="22"/>
          <w:szCs w:val="22"/>
          <w:lang w:val="es-ES"/>
        </w:rPr>
        <w:tab/>
      </w:r>
      <w:r w:rsidR="0050010C">
        <w:rPr>
          <w:rFonts w:ascii="Arial" w:hAnsi="Arial" w:eastAsia="Calibri" w:cs="Arial"/>
          <w:color w:val="000000" w:themeColor="text1"/>
          <w:sz w:val="22"/>
          <w:szCs w:val="22"/>
          <w:lang w:val="es-ES"/>
        </w:rPr>
        <w:t>E</w:t>
      </w:r>
      <w:r w:rsidRPr="00406E40" w:rsidR="003901B3">
        <w:rPr>
          <w:rFonts w:ascii="Arial" w:hAnsi="Arial" w:eastAsia="Calibri" w:cs="Arial"/>
          <w:color w:val="000000" w:themeColor="text1"/>
          <w:sz w:val="22"/>
          <w:szCs w:val="22"/>
          <w:lang w:val="es-ES"/>
        </w:rPr>
        <w:t xml:space="preserve">l artículo 13 de la Ley 1150 de 2007 </w:t>
      </w:r>
      <w:r w:rsidRPr="00406E40">
        <w:rPr>
          <w:rFonts w:ascii="Arial" w:hAnsi="Arial" w:eastAsia="Calibri" w:cs="Arial"/>
          <w:color w:val="000000" w:themeColor="text1"/>
          <w:sz w:val="22"/>
          <w:szCs w:val="22"/>
          <w:lang w:val="es-ES"/>
        </w:rPr>
        <w:t xml:space="preserve">establece que los principios de la función administrativa y de la gestión fiscal aplicará a todas las entidades estatales no sometidas al Estatuto General </w:t>
      </w:r>
      <w:proofErr w:type="spellStart"/>
      <w:r w:rsidRPr="00406E40">
        <w:rPr>
          <w:rFonts w:ascii="Arial" w:hAnsi="Arial" w:eastAsia="Calibri" w:cs="Arial"/>
          <w:color w:val="000000" w:themeColor="text1"/>
          <w:sz w:val="22"/>
          <w:szCs w:val="22"/>
          <w:lang w:val="es-ES"/>
        </w:rPr>
        <w:t>del</w:t>
      </w:r>
      <w:proofErr w:type="spellEnd"/>
      <w:r w:rsidRPr="00406E40">
        <w:rPr>
          <w:rFonts w:ascii="Arial" w:hAnsi="Arial" w:eastAsia="Calibri" w:cs="Arial"/>
          <w:color w:val="000000" w:themeColor="text1"/>
          <w:sz w:val="22"/>
          <w:szCs w:val="22"/>
          <w:lang w:val="es-ES"/>
        </w:rPr>
        <w:t xml:space="preserve"> la Administración Pública, como las ESP</w:t>
      </w:r>
      <w:r w:rsidRPr="00406E40" w:rsidR="00641DD3">
        <w:rPr>
          <w:rStyle w:val="Refdenotaalpie"/>
          <w:rFonts w:ascii="Arial" w:hAnsi="Arial" w:eastAsia="Calibri" w:cs="Arial"/>
          <w:color w:val="000000" w:themeColor="text1"/>
          <w:sz w:val="22"/>
          <w:szCs w:val="22"/>
          <w:lang w:val="es-ES"/>
        </w:rPr>
        <w:footnoteReference w:id="9"/>
      </w:r>
      <w:r w:rsidRPr="00406E40">
        <w:rPr>
          <w:rFonts w:ascii="Arial" w:hAnsi="Arial" w:eastAsia="Calibri" w:cs="Arial"/>
          <w:color w:val="000000" w:themeColor="text1"/>
          <w:sz w:val="22"/>
          <w:szCs w:val="22"/>
          <w:lang w:val="es-ES"/>
        </w:rPr>
        <w:t>. Est</w:t>
      </w:r>
      <w:r w:rsidR="00641DD3">
        <w:rPr>
          <w:rFonts w:ascii="Arial" w:hAnsi="Arial" w:eastAsia="Calibri" w:cs="Arial"/>
          <w:color w:val="000000" w:themeColor="text1"/>
          <w:sz w:val="22"/>
          <w:szCs w:val="22"/>
          <w:lang w:val="es-ES"/>
        </w:rPr>
        <w:t>a</w:t>
      </w:r>
      <w:r w:rsidRPr="00406E40">
        <w:rPr>
          <w:rFonts w:ascii="Arial" w:hAnsi="Arial" w:eastAsia="Calibri" w:cs="Arial"/>
          <w:color w:val="000000" w:themeColor="text1"/>
          <w:sz w:val="22"/>
          <w:szCs w:val="22"/>
          <w:lang w:val="es-ES"/>
        </w:rPr>
        <w:t xml:space="preserve"> </w:t>
      </w:r>
      <w:r w:rsidR="00641DD3">
        <w:rPr>
          <w:rFonts w:ascii="Arial" w:hAnsi="Arial" w:eastAsia="Calibri" w:cs="Arial"/>
          <w:color w:val="000000" w:themeColor="text1"/>
          <w:sz w:val="22"/>
          <w:szCs w:val="22"/>
          <w:lang w:val="es-ES"/>
        </w:rPr>
        <w:t>norma</w:t>
      </w:r>
      <w:r w:rsidRPr="00406E40">
        <w:rPr>
          <w:rFonts w:ascii="Arial" w:hAnsi="Arial" w:eastAsia="Calibri" w:cs="Arial"/>
          <w:color w:val="000000" w:themeColor="text1"/>
          <w:sz w:val="22"/>
          <w:szCs w:val="22"/>
          <w:lang w:val="es-ES"/>
        </w:rPr>
        <w:t xml:space="preserve"> permite afirmar que el régimen contractual de las ESP es un régimen de derecho privado, pero matizado por estos principios de origen constitucional. Además, con el fin de proteger</w:t>
      </w:r>
      <w:r w:rsidR="00C43F85">
        <w:rPr>
          <w:rFonts w:ascii="Arial" w:hAnsi="Arial" w:eastAsia="Calibri" w:cs="Arial"/>
          <w:color w:val="000000" w:themeColor="text1"/>
          <w:sz w:val="22"/>
          <w:szCs w:val="22"/>
          <w:lang w:val="es-ES"/>
        </w:rPr>
        <w:t>los</w:t>
      </w:r>
      <w:r w:rsidRPr="00406E40">
        <w:rPr>
          <w:rFonts w:ascii="Arial" w:hAnsi="Arial" w:eastAsia="Calibri" w:cs="Arial"/>
          <w:color w:val="000000" w:themeColor="text1"/>
          <w:sz w:val="22"/>
          <w:szCs w:val="22"/>
          <w:lang w:val="es-ES"/>
        </w:rPr>
        <w:t xml:space="preserve"> en la práctica, el régimen contractual puede </w:t>
      </w:r>
      <w:r w:rsidR="00C43F85">
        <w:rPr>
          <w:rFonts w:ascii="Arial" w:hAnsi="Arial" w:eastAsia="Calibri" w:cs="Arial"/>
          <w:color w:val="000000" w:themeColor="text1"/>
          <w:sz w:val="22"/>
          <w:szCs w:val="22"/>
          <w:lang w:val="es-ES"/>
        </w:rPr>
        <w:t xml:space="preserve">contener reglas particulares </w:t>
      </w:r>
      <w:r w:rsidRPr="00406E40">
        <w:rPr>
          <w:rFonts w:ascii="Arial" w:hAnsi="Arial" w:eastAsia="Calibri" w:cs="Arial"/>
          <w:color w:val="000000" w:themeColor="text1"/>
          <w:sz w:val="22"/>
          <w:szCs w:val="22"/>
          <w:lang w:val="es-ES"/>
        </w:rPr>
        <w:t>previstas expresamente por el legislador</w:t>
      </w:r>
      <w:r w:rsidR="00C43F85">
        <w:rPr>
          <w:rFonts w:ascii="Arial" w:hAnsi="Arial" w:eastAsia="Calibri" w:cs="Arial"/>
          <w:color w:val="000000" w:themeColor="text1"/>
          <w:sz w:val="22"/>
          <w:szCs w:val="22"/>
          <w:lang w:val="es-ES"/>
        </w:rPr>
        <w:t xml:space="preserve"> para moderar el régimen puramente privado</w:t>
      </w:r>
      <w:r w:rsidRPr="00406E40">
        <w:rPr>
          <w:rFonts w:ascii="Arial" w:hAnsi="Arial" w:eastAsia="Calibri" w:cs="Arial"/>
          <w:color w:val="000000" w:themeColor="text1"/>
          <w:sz w:val="22"/>
          <w:szCs w:val="22"/>
          <w:lang w:val="es-ES"/>
        </w:rPr>
        <w:t xml:space="preserve">. Entre los ejemplos de reglas que matizan el régimen contractual de derecho privado está, como se explicará, la obligación de publicar el </w:t>
      </w:r>
      <w:r w:rsidR="00641DD3">
        <w:rPr>
          <w:rFonts w:ascii="Arial" w:hAnsi="Arial" w:eastAsia="Calibri" w:cs="Arial"/>
          <w:color w:val="000000" w:themeColor="text1"/>
          <w:sz w:val="22"/>
          <w:szCs w:val="22"/>
          <w:lang w:val="es-ES"/>
        </w:rPr>
        <w:t>p</w:t>
      </w:r>
      <w:r w:rsidR="00FA706A">
        <w:rPr>
          <w:rFonts w:ascii="Arial" w:hAnsi="Arial" w:eastAsia="Calibri" w:cs="Arial"/>
          <w:color w:val="000000" w:themeColor="text1"/>
          <w:sz w:val="22"/>
          <w:szCs w:val="22"/>
          <w:lang w:val="es-ES"/>
        </w:rPr>
        <w:t>lan anual de adquisiciones</w:t>
      </w:r>
      <w:r w:rsidRPr="00406E40">
        <w:rPr>
          <w:rFonts w:ascii="Arial" w:hAnsi="Arial" w:eastAsia="Calibri" w:cs="Arial"/>
          <w:color w:val="000000" w:themeColor="text1"/>
          <w:sz w:val="22"/>
          <w:szCs w:val="22"/>
          <w:lang w:val="es-ES"/>
        </w:rPr>
        <w:t xml:space="preserve">. </w:t>
      </w:r>
    </w:p>
    <w:p w:rsidRPr="00406E40" w:rsidR="00AC514C" w:rsidP="00150EAF" w:rsidRDefault="00AC514C" w14:paraId="2DA26199" w14:textId="0682FB18">
      <w:pPr>
        <w:tabs>
          <w:tab w:val="left" w:pos="426"/>
        </w:tabs>
        <w:spacing w:line="276" w:lineRule="auto"/>
        <w:jc w:val="both"/>
        <w:rPr>
          <w:rFonts w:ascii="Arial" w:hAnsi="Arial" w:eastAsia="Calibri" w:cs="Arial"/>
          <w:color w:val="000000" w:themeColor="text1"/>
          <w:sz w:val="22"/>
          <w:szCs w:val="22"/>
          <w:lang w:val="es-ES"/>
        </w:rPr>
      </w:pPr>
    </w:p>
    <w:p w:rsidR="000641A8" w:rsidP="001A1D43" w:rsidRDefault="000641A8" w14:paraId="50AE4A50" w14:textId="73A39A00">
      <w:pPr>
        <w:tabs>
          <w:tab w:val="left" w:pos="426"/>
        </w:tabs>
        <w:spacing w:line="276" w:lineRule="auto"/>
        <w:jc w:val="both"/>
        <w:rPr>
          <w:rFonts w:ascii="Arial" w:hAnsi="Arial" w:eastAsia="Calibri" w:cs="Arial"/>
          <w:b/>
          <w:bCs/>
          <w:color w:val="000000" w:themeColor="text1"/>
          <w:sz w:val="22"/>
          <w:szCs w:val="22"/>
          <w:lang w:val="es-ES"/>
        </w:rPr>
      </w:pPr>
      <w:r w:rsidRPr="00406E40">
        <w:rPr>
          <w:rFonts w:ascii="Arial" w:hAnsi="Arial" w:eastAsia="Calibri" w:cs="Arial"/>
          <w:b/>
          <w:bCs/>
          <w:color w:val="000000" w:themeColor="text1"/>
          <w:sz w:val="22"/>
          <w:szCs w:val="22"/>
          <w:lang w:val="es-ES"/>
        </w:rPr>
        <w:t xml:space="preserve">2.5. Obligación de elaborar, publicar y actualizar el </w:t>
      </w:r>
      <w:r w:rsidR="00FA706A">
        <w:rPr>
          <w:rFonts w:ascii="Arial" w:hAnsi="Arial" w:eastAsia="Calibri" w:cs="Arial"/>
          <w:b/>
          <w:bCs/>
          <w:color w:val="000000" w:themeColor="text1"/>
          <w:sz w:val="22"/>
          <w:szCs w:val="22"/>
          <w:lang w:val="es-ES"/>
        </w:rPr>
        <w:t>plan anual de adquisiciones</w:t>
      </w:r>
      <w:r w:rsidRPr="00406E40">
        <w:rPr>
          <w:rFonts w:ascii="Arial" w:hAnsi="Arial" w:eastAsia="Calibri" w:cs="Arial"/>
          <w:b/>
          <w:bCs/>
          <w:color w:val="000000" w:themeColor="text1"/>
          <w:sz w:val="22"/>
          <w:szCs w:val="22"/>
          <w:lang w:val="es-ES"/>
        </w:rPr>
        <w:t xml:space="preserve"> de las ESP mixtas en calidad de entidades estatales</w:t>
      </w:r>
    </w:p>
    <w:p w:rsidRPr="00406E40" w:rsidR="001A1D43" w:rsidP="00150EAF" w:rsidRDefault="001A1D43" w14:paraId="0EA1365D" w14:textId="77777777">
      <w:pPr>
        <w:tabs>
          <w:tab w:val="left" w:pos="426"/>
        </w:tabs>
        <w:spacing w:line="276" w:lineRule="auto"/>
        <w:jc w:val="both"/>
        <w:rPr>
          <w:rFonts w:ascii="Arial" w:hAnsi="Arial" w:eastAsia="Calibri" w:cs="Arial"/>
          <w:b/>
          <w:bCs/>
          <w:color w:val="000000" w:themeColor="text1"/>
          <w:sz w:val="22"/>
          <w:szCs w:val="22"/>
          <w:lang w:val="es-ES"/>
        </w:rPr>
      </w:pPr>
    </w:p>
    <w:p w:rsidRPr="00406E40" w:rsidR="00FD46B4" w:rsidP="000B4165" w:rsidRDefault="00737B4D" w14:paraId="5C4AC9C5" w14:textId="24FE5998">
      <w:pPr>
        <w:tabs>
          <w:tab w:val="left" w:pos="426"/>
          <w:tab w:val="left" w:pos="8505"/>
        </w:tabs>
        <w:spacing w:before="120" w:line="276" w:lineRule="auto"/>
        <w:ind w:right="142"/>
        <w:jc w:val="both"/>
        <w:rPr>
          <w:rFonts w:ascii="Arial" w:hAnsi="Arial" w:eastAsia="Calibri" w:cs="Arial"/>
          <w:sz w:val="22"/>
          <w:szCs w:val="22"/>
          <w:lang w:val="es-ES"/>
        </w:rPr>
      </w:pPr>
      <w:r>
        <w:rPr>
          <w:rFonts w:ascii="Arial" w:hAnsi="Arial" w:eastAsia="Calibri" w:cs="Arial"/>
          <w:sz w:val="22"/>
          <w:szCs w:val="22"/>
          <w:lang w:val="es-ES"/>
        </w:rPr>
        <w:t>El</w:t>
      </w:r>
      <w:r w:rsidRPr="00406E40" w:rsidR="00FD46B4">
        <w:rPr>
          <w:rFonts w:ascii="Arial" w:hAnsi="Arial" w:eastAsia="Calibri" w:cs="Arial"/>
          <w:sz w:val="22"/>
          <w:szCs w:val="22"/>
          <w:lang w:val="es-ES"/>
        </w:rPr>
        <w:t xml:space="preserve"> artículo 74 de la Ley 1474 de 2011</w:t>
      </w:r>
      <w:r>
        <w:rPr>
          <w:rFonts w:ascii="Arial" w:hAnsi="Arial" w:eastAsia="Calibri" w:cs="Arial"/>
          <w:sz w:val="22"/>
          <w:szCs w:val="22"/>
          <w:lang w:val="es-ES"/>
        </w:rPr>
        <w:t xml:space="preserve"> regula los </w:t>
      </w:r>
      <w:r w:rsidRPr="00406E40">
        <w:rPr>
          <w:rFonts w:ascii="Arial" w:hAnsi="Arial" w:eastAsia="Calibri" w:cs="Arial"/>
          <w:sz w:val="22"/>
          <w:szCs w:val="22"/>
          <w:lang w:val="es-ES"/>
        </w:rPr>
        <w:t>planes de acción</w:t>
      </w:r>
      <w:r w:rsidR="00A96E3A">
        <w:rPr>
          <w:rFonts w:ascii="Arial" w:hAnsi="Arial" w:eastAsia="Calibri" w:cs="Arial"/>
          <w:sz w:val="22"/>
          <w:szCs w:val="22"/>
          <w:lang w:val="es-ES"/>
        </w:rPr>
        <w:t xml:space="preserve"> y</w:t>
      </w:r>
      <w:r w:rsidRPr="00406E40">
        <w:rPr>
          <w:rFonts w:ascii="Arial" w:hAnsi="Arial" w:eastAsia="Calibri" w:cs="Arial"/>
          <w:sz w:val="22"/>
          <w:szCs w:val="22"/>
          <w:lang w:val="es-ES"/>
        </w:rPr>
        <w:t xml:space="preserve"> de adquisiciones</w:t>
      </w:r>
      <w:r w:rsidRPr="00406E40" w:rsidR="00FD46B4">
        <w:rPr>
          <w:rFonts w:ascii="Arial" w:hAnsi="Arial" w:eastAsia="Calibri" w:cs="Arial"/>
          <w:sz w:val="22"/>
          <w:szCs w:val="22"/>
          <w:lang w:val="es-ES"/>
        </w:rPr>
        <w:t xml:space="preserve">. </w:t>
      </w:r>
      <w:r w:rsidR="00940760">
        <w:rPr>
          <w:rFonts w:ascii="Arial" w:hAnsi="Arial" w:eastAsia="Calibri" w:cs="Arial"/>
          <w:sz w:val="22"/>
          <w:szCs w:val="22"/>
          <w:lang w:val="es-ES"/>
        </w:rPr>
        <w:t>Esta norma dispone lo siguiente</w:t>
      </w:r>
      <w:r w:rsidRPr="00406E40" w:rsidR="00F172E0">
        <w:rPr>
          <w:rFonts w:ascii="Arial" w:hAnsi="Arial" w:eastAsia="Calibri" w:cs="Arial"/>
          <w:sz w:val="22"/>
          <w:szCs w:val="22"/>
          <w:lang w:val="es-ES"/>
        </w:rPr>
        <w:t>:</w:t>
      </w:r>
      <w:r w:rsidRPr="00406E40" w:rsidR="001155B8">
        <w:rPr>
          <w:rFonts w:ascii="Arial" w:hAnsi="Arial" w:eastAsia="Calibri" w:cs="Arial"/>
          <w:sz w:val="22"/>
          <w:szCs w:val="22"/>
          <w:lang w:val="es-ES"/>
        </w:rPr>
        <w:t xml:space="preserve"> </w:t>
      </w:r>
    </w:p>
    <w:p w:rsidRPr="00406E40" w:rsidR="001155B8" w:rsidP="00150EAF" w:rsidRDefault="001155B8" w14:paraId="10553D7F" w14:textId="3124F77F">
      <w:pPr>
        <w:tabs>
          <w:tab w:val="left" w:pos="8505"/>
        </w:tabs>
        <w:spacing w:line="276" w:lineRule="auto"/>
        <w:ind w:right="142"/>
        <w:jc w:val="both"/>
        <w:rPr>
          <w:rFonts w:ascii="Arial" w:hAnsi="Arial" w:eastAsia="Calibri" w:cs="Arial"/>
          <w:sz w:val="22"/>
          <w:szCs w:val="22"/>
          <w:lang w:val="es-ES"/>
        </w:rPr>
      </w:pPr>
    </w:p>
    <w:p w:rsidRPr="00E80252" w:rsidR="00994DF5" w:rsidP="009308FF" w:rsidRDefault="00C43F85" w14:paraId="6D6D444E" w14:textId="24CFA3E7">
      <w:pPr>
        <w:tabs>
          <w:tab w:val="left" w:pos="8505"/>
        </w:tabs>
        <w:ind w:left="709" w:right="709"/>
        <w:jc w:val="both"/>
        <w:rPr>
          <w:rFonts w:ascii="Arial" w:hAnsi="Arial" w:eastAsia="Calibri" w:cs="Arial"/>
          <w:sz w:val="21"/>
          <w:szCs w:val="21"/>
          <w:lang w:val="es-ES"/>
        </w:rPr>
      </w:pPr>
      <w:r>
        <w:rPr>
          <w:rFonts w:ascii="Arial" w:hAnsi="Arial" w:eastAsia="Calibri" w:cs="Arial"/>
          <w:sz w:val="21"/>
          <w:szCs w:val="21"/>
          <w:lang w:val="es-ES"/>
        </w:rPr>
        <w:t xml:space="preserve">Artículo 74. </w:t>
      </w:r>
      <w:r w:rsidRPr="00E80252" w:rsidR="001155B8">
        <w:rPr>
          <w:rFonts w:ascii="Arial" w:hAnsi="Arial" w:eastAsia="Calibri" w:cs="Arial"/>
          <w:sz w:val="21"/>
          <w:szCs w:val="21"/>
          <w:lang w:val="es-ES"/>
        </w:rPr>
        <w:t xml:space="preserve">A partir de la vigencia de la presente ley, </w:t>
      </w:r>
      <w:r w:rsidRPr="00150EAF" w:rsidR="001155B8">
        <w:rPr>
          <w:rFonts w:ascii="Arial" w:hAnsi="Arial" w:eastAsia="Calibri" w:cs="Arial"/>
          <w:sz w:val="21"/>
          <w:szCs w:val="21"/>
          <w:lang w:val="es-ES"/>
        </w:rPr>
        <w:t>todas las entidades del Estado</w:t>
      </w:r>
      <w:r w:rsidRPr="00E80252" w:rsidR="001155B8">
        <w:rPr>
          <w:rFonts w:ascii="Arial" w:hAnsi="Arial" w:eastAsia="Calibri" w:cs="Arial"/>
          <w:sz w:val="21"/>
          <w:szCs w:val="21"/>
          <w:lang w:val="es-ES"/>
        </w:rPr>
        <w:t xml:space="preserve"> a más tardar el 31 de enero de cada </w:t>
      </w:r>
      <w:proofErr w:type="gramStart"/>
      <w:r w:rsidRPr="00E80252" w:rsidR="001155B8">
        <w:rPr>
          <w:rFonts w:ascii="Arial" w:hAnsi="Arial" w:eastAsia="Calibri" w:cs="Arial"/>
          <w:sz w:val="21"/>
          <w:szCs w:val="21"/>
          <w:lang w:val="es-ES"/>
        </w:rPr>
        <w:t>año,</w:t>
      </w:r>
      <w:proofErr w:type="gramEnd"/>
      <w:r w:rsidRPr="00E80252" w:rsidR="001155B8">
        <w:rPr>
          <w:rFonts w:ascii="Arial" w:hAnsi="Arial" w:eastAsia="Calibri" w:cs="Arial"/>
          <w:sz w:val="21"/>
          <w:szCs w:val="21"/>
          <w:lang w:val="es-ES"/>
        </w:rPr>
        <w:t xml:space="preserve"> deberán publicar en su respectiva página web el Plan de Acción para el año siguiente, en el cual se especificarán los objetivos, las estrategias, los proyectos, las metas, los responsables, los planes generales de compras y la distribución presupuestal de sus proyectos de inversión junto a los indicadores de gestión.</w:t>
      </w:r>
    </w:p>
    <w:p w:rsidR="00994DF5" w:rsidP="009308FF" w:rsidRDefault="001155B8" w14:paraId="6C85F2EA" w14:textId="54E6ED3B">
      <w:pPr>
        <w:tabs>
          <w:tab w:val="left" w:pos="8505"/>
        </w:tabs>
        <w:ind w:left="709" w:right="709"/>
        <w:jc w:val="both"/>
        <w:rPr>
          <w:rFonts w:ascii="Arial" w:hAnsi="Arial" w:eastAsia="Calibri" w:cs="Arial"/>
          <w:sz w:val="21"/>
          <w:szCs w:val="21"/>
          <w:lang w:val="es-ES"/>
        </w:rPr>
      </w:pPr>
      <w:r w:rsidRPr="00E80252">
        <w:rPr>
          <w:rFonts w:ascii="Arial" w:hAnsi="Arial" w:eastAsia="Calibri" w:cs="Arial"/>
          <w:sz w:val="21"/>
          <w:szCs w:val="21"/>
          <w:lang w:val="es-ES"/>
        </w:rPr>
        <w:t>A partir del año siguiente, el Plan de Acción deberá estar acompañado del informe de gestión del año inmediatamente anterior.</w:t>
      </w:r>
    </w:p>
    <w:p w:rsidRPr="00E80252" w:rsidR="009308FF" w:rsidP="009308FF" w:rsidRDefault="009308FF" w14:paraId="3A27C960" w14:textId="77777777">
      <w:pPr>
        <w:tabs>
          <w:tab w:val="left" w:pos="8505"/>
        </w:tabs>
        <w:ind w:left="709" w:right="709"/>
        <w:jc w:val="both"/>
        <w:rPr>
          <w:rFonts w:ascii="Arial" w:hAnsi="Arial" w:eastAsia="Calibri" w:cs="Arial"/>
          <w:sz w:val="21"/>
          <w:szCs w:val="21"/>
          <w:lang w:val="es-ES"/>
        </w:rPr>
      </w:pPr>
    </w:p>
    <w:p w:rsidR="000E6766" w:rsidP="009308FF" w:rsidRDefault="001155B8" w14:paraId="0FD06407" w14:textId="77777777">
      <w:pPr>
        <w:tabs>
          <w:tab w:val="left" w:pos="8505"/>
        </w:tabs>
        <w:ind w:left="709" w:right="709"/>
        <w:jc w:val="both"/>
        <w:rPr>
          <w:rFonts w:ascii="Arial" w:hAnsi="Arial" w:eastAsia="Calibri" w:cs="Arial"/>
          <w:sz w:val="21"/>
          <w:szCs w:val="21"/>
          <w:lang w:val="es-ES"/>
        </w:rPr>
      </w:pPr>
      <w:r w:rsidRPr="00E80252">
        <w:rPr>
          <w:rFonts w:ascii="Arial" w:hAnsi="Arial" w:eastAsia="Calibri" w:cs="Arial"/>
          <w:sz w:val="21"/>
          <w:szCs w:val="21"/>
          <w:lang w:val="es-ES"/>
        </w:rPr>
        <w:t>Igualmente publicarán por dicho medio su presupuesto debidamente desagregado, así como las modificaciones a este o a su desagregación.</w:t>
      </w:r>
    </w:p>
    <w:p w:rsidRPr="00E80252" w:rsidR="00994DF5" w:rsidP="009308FF" w:rsidRDefault="00800C47" w14:paraId="449E3BAC" w14:textId="0286FE24">
      <w:pPr>
        <w:tabs>
          <w:tab w:val="left" w:pos="8505"/>
        </w:tabs>
        <w:ind w:left="709" w:right="709"/>
        <w:jc w:val="both"/>
        <w:rPr>
          <w:rFonts w:ascii="Arial" w:hAnsi="Arial" w:eastAsia="Calibri" w:cs="Arial"/>
          <w:sz w:val="21"/>
          <w:szCs w:val="21"/>
          <w:lang w:val="es-ES"/>
        </w:rPr>
      </w:pPr>
      <w:r w:rsidRPr="00E80252">
        <w:rPr>
          <w:rFonts w:ascii="Arial" w:hAnsi="Arial" w:eastAsia="Calibri" w:cs="Arial"/>
          <w:sz w:val="21"/>
          <w:szCs w:val="21"/>
          <w:lang w:val="es-ES"/>
        </w:rPr>
        <w:tab/>
      </w:r>
    </w:p>
    <w:p w:rsidRPr="00E80252" w:rsidR="00940760" w:rsidP="009308FF" w:rsidRDefault="001155B8" w14:paraId="6E18AEF0" w14:textId="4CBFF10A">
      <w:pPr>
        <w:tabs>
          <w:tab w:val="left" w:pos="8505"/>
        </w:tabs>
        <w:ind w:left="709" w:right="709"/>
        <w:jc w:val="both"/>
        <w:rPr>
          <w:rFonts w:ascii="Arial" w:hAnsi="Arial" w:eastAsia="Calibri" w:cs="Arial"/>
          <w:sz w:val="21"/>
          <w:szCs w:val="21"/>
          <w:lang w:val="es-ES"/>
        </w:rPr>
      </w:pPr>
      <w:r w:rsidRPr="00150EAF">
        <w:rPr>
          <w:rFonts w:ascii="Arial" w:hAnsi="Arial" w:eastAsia="Calibri" w:cs="Arial"/>
          <w:sz w:val="21"/>
          <w:szCs w:val="21"/>
          <w:lang w:val="es-ES"/>
        </w:rPr>
        <w:t>PARÁGRAFO.</w:t>
      </w:r>
      <w:r w:rsidRPr="00E80252">
        <w:rPr>
          <w:rFonts w:ascii="Arial" w:hAnsi="Arial" w:eastAsia="Calibri" w:cs="Arial"/>
          <w:sz w:val="21"/>
          <w:szCs w:val="21"/>
          <w:lang w:val="es-ES"/>
        </w:rPr>
        <w:t> Las empresas industriales y comerciales del Estado y las Sociedades de Economía Mixta estarán exentas de publicar la información relacionada con sus proyectos de inversión.</w:t>
      </w:r>
    </w:p>
    <w:p w:rsidRPr="00406E40" w:rsidR="00630D7C" w:rsidP="00150EAF" w:rsidRDefault="00630D7C" w14:paraId="10BCB3A6" w14:textId="77777777">
      <w:pPr>
        <w:tabs>
          <w:tab w:val="left" w:pos="8505"/>
        </w:tabs>
        <w:ind w:left="709" w:right="709"/>
        <w:jc w:val="both"/>
        <w:rPr>
          <w:rFonts w:ascii="Arial" w:hAnsi="Arial" w:eastAsia="Calibri" w:cs="Arial"/>
          <w:sz w:val="22"/>
          <w:szCs w:val="22"/>
          <w:lang w:val="es-ES"/>
        </w:rPr>
      </w:pPr>
    </w:p>
    <w:p w:rsidR="000A26B7" w:rsidP="0050010C" w:rsidRDefault="00A96E3A" w14:paraId="573ABA8D" w14:textId="6708777A">
      <w:pPr>
        <w:tabs>
          <w:tab w:val="left" w:pos="426"/>
          <w:tab w:val="left" w:pos="8505"/>
        </w:tabs>
        <w:spacing w:after="120" w:line="276" w:lineRule="auto"/>
        <w:ind w:right="142" w:firstLine="709"/>
        <w:jc w:val="both"/>
        <w:rPr>
          <w:rFonts w:ascii="Arial" w:hAnsi="Arial" w:eastAsia="Calibri" w:cs="Arial"/>
          <w:sz w:val="22"/>
          <w:szCs w:val="22"/>
          <w:lang w:val="es-ES"/>
        </w:rPr>
      </w:pPr>
      <w:r>
        <w:rPr>
          <w:rFonts w:ascii="Arial" w:hAnsi="Arial" w:eastAsia="Calibri" w:cs="Arial"/>
          <w:sz w:val="22"/>
          <w:szCs w:val="22"/>
          <w:lang w:val="es-ES"/>
        </w:rPr>
        <w:t>Esta norma obliga a</w:t>
      </w:r>
      <w:r w:rsidRPr="00406E40" w:rsidR="00994DF5">
        <w:rPr>
          <w:rFonts w:ascii="Arial" w:hAnsi="Arial" w:eastAsia="Calibri" w:cs="Arial"/>
          <w:sz w:val="22"/>
          <w:szCs w:val="22"/>
          <w:lang w:val="es-ES"/>
        </w:rPr>
        <w:t xml:space="preserve"> las entidades estatales </w:t>
      </w:r>
      <w:r>
        <w:rPr>
          <w:rFonts w:ascii="Arial" w:hAnsi="Arial" w:eastAsia="Calibri" w:cs="Arial"/>
          <w:sz w:val="22"/>
          <w:szCs w:val="22"/>
          <w:lang w:val="es-ES"/>
        </w:rPr>
        <w:t xml:space="preserve">a </w:t>
      </w:r>
      <w:r w:rsidRPr="00406E40" w:rsidR="00994DF5">
        <w:rPr>
          <w:rFonts w:ascii="Arial" w:hAnsi="Arial" w:eastAsia="Calibri" w:cs="Arial"/>
          <w:sz w:val="22"/>
          <w:szCs w:val="22"/>
          <w:lang w:val="es-ES"/>
        </w:rPr>
        <w:t xml:space="preserve">publicar, a más tardar el 31 de enero de cada año, el plan de acción </w:t>
      </w:r>
      <w:r w:rsidR="007C5868">
        <w:rPr>
          <w:rFonts w:ascii="Arial" w:hAnsi="Arial" w:eastAsia="Calibri" w:cs="Arial"/>
          <w:sz w:val="22"/>
          <w:szCs w:val="22"/>
          <w:lang w:val="es-ES"/>
        </w:rPr>
        <w:t>–</w:t>
      </w:r>
      <w:r w:rsidRPr="00406E40" w:rsidR="00994DF5">
        <w:rPr>
          <w:rFonts w:ascii="Arial" w:hAnsi="Arial" w:eastAsia="Calibri" w:cs="Arial"/>
          <w:sz w:val="22"/>
          <w:szCs w:val="22"/>
          <w:lang w:val="es-ES"/>
        </w:rPr>
        <w:t xml:space="preserve">el </w:t>
      </w:r>
      <w:r w:rsidR="007C5868">
        <w:rPr>
          <w:rFonts w:ascii="Arial" w:hAnsi="Arial" w:eastAsia="Calibri" w:cs="Arial"/>
          <w:sz w:val="22"/>
          <w:szCs w:val="22"/>
          <w:lang w:val="es-ES"/>
        </w:rPr>
        <w:t xml:space="preserve">cual incluye el </w:t>
      </w:r>
      <w:r w:rsidRPr="00406E40" w:rsidR="00994DF5">
        <w:rPr>
          <w:rFonts w:ascii="Arial" w:hAnsi="Arial" w:eastAsia="Calibri" w:cs="Arial"/>
          <w:sz w:val="22"/>
          <w:szCs w:val="22"/>
          <w:lang w:val="es-ES"/>
        </w:rPr>
        <w:t>plan general de compras</w:t>
      </w:r>
      <w:r w:rsidR="007C5868">
        <w:rPr>
          <w:rFonts w:ascii="Arial" w:hAnsi="Arial" w:eastAsia="Calibri" w:cs="Arial"/>
          <w:sz w:val="22"/>
          <w:szCs w:val="22"/>
          <w:lang w:val="es-ES"/>
        </w:rPr>
        <w:t>–</w:t>
      </w:r>
      <w:r w:rsidRPr="00406E40" w:rsidR="00994DF5">
        <w:rPr>
          <w:rFonts w:ascii="Arial" w:hAnsi="Arial" w:eastAsia="Calibri" w:cs="Arial"/>
          <w:sz w:val="22"/>
          <w:szCs w:val="22"/>
          <w:lang w:val="es-ES"/>
        </w:rPr>
        <w:t xml:space="preserve"> en </w:t>
      </w:r>
      <w:r>
        <w:rPr>
          <w:rFonts w:ascii="Arial" w:hAnsi="Arial" w:eastAsia="Calibri" w:cs="Arial"/>
          <w:sz w:val="22"/>
          <w:szCs w:val="22"/>
          <w:lang w:val="es-ES"/>
        </w:rPr>
        <w:t>la</w:t>
      </w:r>
      <w:r w:rsidRPr="00406E40" w:rsidR="00994DF5">
        <w:rPr>
          <w:rFonts w:ascii="Arial" w:hAnsi="Arial" w:eastAsia="Calibri" w:cs="Arial"/>
          <w:sz w:val="22"/>
          <w:szCs w:val="22"/>
          <w:lang w:val="es-ES"/>
        </w:rPr>
        <w:t xml:space="preserve"> respectiva página </w:t>
      </w:r>
      <w:r>
        <w:rPr>
          <w:rFonts w:ascii="Arial" w:hAnsi="Arial" w:eastAsia="Calibri" w:cs="Arial"/>
          <w:sz w:val="22"/>
          <w:szCs w:val="22"/>
          <w:lang w:val="es-ES"/>
        </w:rPr>
        <w:t>w</w:t>
      </w:r>
      <w:r w:rsidRPr="00406E40" w:rsidR="00994DF5">
        <w:rPr>
          <w:rFonts w:ascii="Arial" w:hAnsi="Arial" w:eastAsia="Calibri" w:cs="Arial"/>
          <w:sz w:val="22"/>
          <w:szCs w:val="22"/>
          <w:lang w:val="es-ES"/>
        </w:rPr>
        <w:t xml:space="preserve">eb. </w:t>
      </w:r>
      <w:r w:rsidR="009308FF">
        <w:rPr>
          <w:rFonts w:ascii="Arial" w:hAnsi="Arial" w:eastAsia="Calibri" w:cs="Arial"/>
          <w:sz w:val="22"/>
          <w:szCs w:val="22"/>
          <w:lang w:val="es-ES"/>
        </w:rPr>
        <w:t xml:space="preserve">El artículo 74 </w:t>
      </w:r>
      <w:r w:rsidRPr="005D516F" w:rsidR="005D516F">
        <w:rPr>
          <w:rFonts w:ascii="Arial" w:hAnsi="Arial" w:eastAsia="Calibri" w:cs="Arial"/>
          <w:sz w:val="22"/>
          <w:szCs w:val="22"/>
          <w:lang w:val="es-ES"/>
        </w:rPr>
        <w:t xml:space="preserve">utiliza </w:t>
      </w:r>
      <w:r w:rsidR="007C5868">
        <w:rPr>
          <w:rFonts w:ascii="Arial" w:hAnsi="Arial" w:eastAsia="Calibri" w:cs="Arial"/>
          <w:sz w:val="22"/>
          <w:szCs w:val="22"/>
          <w:lang w:val="es-ES"/>
        </w:rPr>
        <w:t>la expresión</w:t>
      </w:r>
      <w:r w:rsidRPr="005D516F" w:rsidR="005D516F">
        <w:rPr>
          <w:rFonts w:ascii="Arial" w:hAnsi="Arial" w:eastAsia="Calibri" w:cs="Arial"/>
          <w:sz w:val="22"/>
          <w:szCs w:val="22"/>
          <w:lang w:val="es-ES"/>
        </w:rPr>
        <w:t xml:space="preserve"> «entidad del Estado» sin definirl</w:t>
      </w:r>
      <w:r w:rsidR="00B13AC3">
        <w:rPr>
          <w:rFonts w:ascii="Arial" w:hAnsi="Arial" w:eastAsia="Calibri" w:cs="Arial"/>
          <w:sz w:val="22"/>
          <w:szCs w:val="22"/>
          <w:lang w:val="es-ES"/>
        </w:rPr>
        <w:t>a</w:t>
      </w:r>
      <w:r w:rsidRPr="005D516F" w:rsidR="005D516F">
        <w:rPr>
          <w:rFonts w:ascii="Arial" w:hAnsi="Arial" w:eastAsia="Calibri" w:cs="Arial"/>
          <w:sz w:val="22"/>
          <w:szCs w:val="22"/>
          <w:lang w:val="es-ES"/>
        </w:rPr>
        <w:t xml:space="preserve">. </w:t>
      </w:r>
      <w:r w:rsidR="007C5868">
        <w:rPr>
          <w:rFonts w:ascii="Arial" w:hAnsi="Arial" w:eastAsia="Calibri" w:cs="Arial"/>
          <w:sz w:val="22"/>
          <w:szCs w:val="22"/>
          <w:lang w:val="es-ES"/>
        </w:rPr>
        <w:t>E</w:t>
      </w:r>
      <w:r w:rsidR="009308FF">
        <w:rPr>
          <w:rFonts w:ascii="Arial" w:hAnsi="Arial" w:eastAsia="Calibri" w:cs="Arial"/>
          <w:sz w:val="22"/>
          <w:szCs w:val="22"/>
          <w:lang w:val="es-ES"/>
        </w:rPr>
        <w:t>llo</w:t>
      </w:r>
      <w:r w:rsidRPr="005D516F" w:rsidR="005D516F">
        <w:rPr>
          <w:rFonts w:ascii="Arial" w:hAnsi="Arial" w:eastAsia="Calibri" w:cs="Arial"/>
          <w:sz w:val="22"/>
          <w:szCs w:val="22"/>
          <w:lang w:val="es-ES"/>
        </w:rPr>
        <w:t xml:space="preserve"> </w:t>
      </w:r>
      <w:r w:rsidR="009308FF">
        <w:rPr>
          <w:rFonts w:ascii="Arial" w:hAnsi="Arial" w:eastAsia="Calibri" w:cs="Arial"/>
          <w:sz w:val="22"/>
          <w:szCs w:val="22"/>
          <w:lang w:val="es-ES"/>
        </w:rPr>
        <w:t xml:space="preserve">podría llevar a dos interpretaciones distintas, de un lado, </w:t>
      </w:r>
      <w:r w:rsidRPr="005D516F" w:rsidR="005D516F">
        <w:rPr>
          <w:rFonts w:ascii="Arial" w:hAnsi="Arial" w:eastAsia="Calibri" w:cs="Arial"/>
          <w:sz w:val="22"/>
          <w:szCs w:val="22"/>
          <w:lang w:val="es-ES"/>
        </w:rPr>
        <w:t xml:space="preserve">podría </w:t>
      </w:r>
      <w:r w:rsidR="00A71774">
        <w:rPr>
          <w:rFonts w:ascii="Arial" w:hAnsi="Arial" w:eastAsia="Calibri" w:cs="Arial"/>
          <w:sz w:val="22"/>
          <w:szCs w:val="22"/>
          <w:lang w:val="es-ES"/>
        </w:rPr>
        <w:t>entenderse</w:t>
      </w:r>
      <w:r w:rsidRPr="005D516F" w:rsidR="005D516F">
        <w:rPr>
          <w:rFonts w:ascii="Arial" w:hAnsi="Arial" w:eastAsia="Calibri" w:cs="Arial"/>
          <w:sz w:val="22"/>
          <w:szCs w:val="22"/>
          <w:lang w:val="es-ES"/>
        </w:rPr>
        <w:t xml:space="preserve"> </w:t>
      </w:r>
      <w:r w:rsidR="009308FF">
        <w:rPr>
          <w:rFonts w:ascii="Arial" w:hAnsi="Arial" w:eastAsia="Calibri" w:cs="Arial"/>
          <w:sz w:val="22"/>
          <w:szCs w:val="22"/>
          <w:lang w:val="es-ES"/>
        </w:rPr>
        <w:t xml:space="preserve">que entidad del </w:t>
      </w:r>
      <w:r w:rsidR="0098627D">
        <w:rPr>
          <w:rFonts w:ascii="Arial" w:hAnsi="Arial" w:eastAsia="Calibri" w:cs="Arial"/>
          <w:sz w:val="22"/>
          <w:szCs w:val="22"/>
          <w:lang w:val="es-ES"/>
        </w:rPr>
        <w:t>E</w:t>
      </w:r>
      <w:r w:rsidR="009308FF">
        <w:rPr>
          <w:rFonts w:ascii="Arial" w:hAnsi="Arial" w:eastAsia="Calibri" w:cs="Arial"/>
          <w:sz w:val="22"/>
          <w:szCs w:val="22"/>
          <w:lang w:val="es-ES"/>
        </w:rPr>
        <w:t xml:space="preserve">stado es un término sinónimo de entidad estatal, como este es definido por el artículo 2 de la Ley 80 de 1993. De otro lado, podría </w:t>
      </w:r>
      <w:r w:rsidR="00C6131A">
        <w:rPr>
          <w:rFonts w:ascii="Arial" w:hAnsi="Arial" w:eastAsia="Calibri" w:cs="Arial"/>
          <w:sz w:val="22"/>
          <w:szCs w:val="22"/>
          <w:lang w:val="es-ES"/>
        </w:rPr>
        <w:t>argumentarse</w:t>
      </w:r>
      <w:r w:rsidR="009308FF">
        <w:rPr>
          <w:rFonts w:ascii="Arial" w:hAnsi="Arial" w:eastAsia="Calibri" w:cs="Arial"/>
          <w:sz w:val="22"/>
          <w:szCs w:val="22"/>
          <w:lang w:val="es-ES"/>
        </w:rPr>
        <w:t xml:space="preserve"> que el vocablo utilizado debe </w:t>
      </w:r>
      <w:r w:rsidR="000A26B7">
        <w:rPr>
          <w:rFonts w:ascii="Arial" w:hAnsi="Arial" w:eastAsia="Calibri" w:cs="Arial"/>
          <w:sz w:val="22"/>
          <w:szCs w:val="22"/>
          <w:lang w:val="es-ES"/>
        </w:rPr>
        <w:t>entenderse</w:t>
      </w:r>
      <w:r w:rsidR="009308FF">
        <w:rPr>
          <w:rFonts w:ascii="Arial" w:hAnsi="Arial" w:eastAsia="Calibri" w:cs="Arial"/>
          <w:sz w:val="22"/>
          <w:szCs w:val="22"/>
          <w:lang w:val="es-ES"/>
        </w:rPr>
        <w:t xml:space="preserve"> de manera más amplia</w:t>
      </w:r>
      <w:r w:rsidR="000A26B7">
        <w:rPr>
          <w:rFonts w:ascii="Arial" w:hAnsi="Arial" w:eastAsia="Calibri" w:cs="Arial"/>
          <w:sz w:val="22"/>
          <w:szCs w:val="22"/>
          <w:lang w:val="es-ES"/>
        </w:rPr>
        <w:t xml:space="preserve"> y sin estar restringido solamente a aquellas entidades sometidas al Estatuto General de Contratación de la Administración Pública. </w:t>
      </w:r>
    </w:p>
    <w:p w:rsidR="000E6766" w:rsidP="0050010C" w:rsidRDefault="009308FF" w14:paraId="662EDCCA" w14:textId="7A3E5FE8">
      <w:pPr>
        <w:tabs>
          <w:tab w:val="left" w:pos="426"/>
          <w:tab w:val="left" w:pos="8505"/>
        </w:tabs>
        <w:spacing w:after="120" w:line="276" w:lineRule="auto"/>
        <w:ind w:right="142" w:firstLine="709"/>
        <w:jc w:val="both"/>
        <w:rPr>
          <w:rFonts w:ascii="Arial" w:hAnsi="Arial" w:eastAsia="Calibri" w:cs="Arial"/>
          <w:sz w:val="22"/>
          <w:szCs w:val="22"/>
          <w:lang w:val="es-ES"/>
        </w:rPr>
      </w:pPr>
      <w:r w:rsidRPr="009308FF">
        <w:rPr>
          <w:rFonts w:ascii="Arial" w:hAnsi="Arial" w:eastAsia="Calibri" w:cs="Arial"/>
          <w:sz w:val="22"/>
          <w:szCs w:val="22"/>
          <w:lang w:val="es-ES"/>
        </w:rPr>
        <w:t xml:space="preserve">La segunda interpretación se considera </w:t>
      </w:r>
      <w:r w:rsidR="005F13E3">
        <w:rPr>
          <w:rFonts w:ascii="Arial" w:hAnsi="Arial" w:eastAsia="Calibri" w:cs="Arial"/>
          <w:sz w:val="22"/>
          <w:szCs w:val="22"/>
          <w:lang w:val="es-ES"/>
        </w:rPr>
        <w:t>se adecúa de mejor manera</w:t>
      </w:r>
      <w:r w:rsidRPr="009308FF">
        <w:rPr>
          <w:rFonts w:ascii="Arial" w:hAnsi="Arial" w:eastAsia="Calibri" w:cs="Arial"/>
          <w:sz w:val="22"/>
          <w:szCs w:val="22"/>
          <w:lang w:val="es-ES"/>
        </w:rPr>
        <w:t xml:space="preserve"> al ordenamiento</w:t>
      </w:r>
      <w:r w:rsidR="000A26B7">
        <w:rPr>
          <w:rFonts w:ascii="Arial" w:hAnsi="Arial" w:eastAsia="Calibri" w:cs="Arial"/>
          <w:sz w:val="22"/>
          <w:szCs w:val="22"/>
          <w:lang w:val="es-ES"/>
        </w:rPr>
        <w:t xml:space="preserve"> </w:t>
      </w:r>
      <w:r w:rsidR="005F13E3">
        <w:rPr>
          <w:rFonts w:ascii="Arial" w:hAnsi="Arial" w:eastAsia="Calibri" w:cs="Arial"/>
          <w:sz w:val="22"/>
          <w:szCs w:val="22"/>
          <w:lang w:val="es-ES"/>
        </w:rPr>
        <w:t xml:space="preserve">vigente </w:t>
      </w:r>
      <w:r w:rsidR="000A26B7">
        <w:rPr>
          <w:rFonts w:ascii="Arial" w:hAnsi="Arial" w:eastAsia="Calibri" w:cs="Arial"/>
          <w:sz w:val="22"/>
          <w:szCs w:val="22"/>
          <w:lang w:val="es-ES"/>
        </w:rPr>
        <w:t xml:space="preserve">por las razones que se pasan a exponer. </w:t>
      </w:r>
      <w:r w:rsidR="005F13E3">
        <w:rPr>
          <w:rFonts w:ascii="Arial" w:hAnsi="Arial" w:eastAsia="Calibri" w:cs="Arial"/>
          <w:sz w:val="22"/>
          <w:szCs w:val="22"/>
          <w:lang w:val="es-ES"/>
        </w:rPr>
        <w:t xml:space="preserve">En primer lugar, el artículo 2 de la Ley 80 de 1993 expresamente establece que la definición es para </w:t>
      </w:r>
      <w:r w:rsidRPr="005F13E3" w:rsidR="005F13E3">
        <w:rPr>
          <w:rFonts w:ascii="Arial" w:hAnsi="Arial" w:eastAsia="Calibri" w:cs="Arial"/>
          <w:sz w:val="22"/>
          <w:szCs w:val="22"/>
          <w:lang w:val="es-ES"/>
        </w:rPr>
        <w:t>los «solos efectos de esta ley»</w:t>
      </w:r>
      <w:r w:rsidR="005F13E3">
        <w:rPr>
          <w:rFonts w:ascii="Arial" w:hAnsi="Arial" w:eastAsia="Calibri" w:cs="Arial"/>
          <w:sz w:val="22"/>
          <w:szCs w:val="22"/>
          <w:lang w:val="es-ES"/>
        </w:rPr>
        <w:t>, por lo tanto resultaría inadecuado trasladar dicho concepto</w:t>
      </w:r>
      <w:r w:rsidR="000E6766">
        <w:rPr>
          <w:rFonts w:ascii="Arial" w:hAnsi="Arial" w:eastAsia="Calibri" w:cs="Arial"/>
          <w:sz w:val="22"/>
          <w:szCs w:val="22"/>
          <w:lang w:val="es-ES"/>
        </w:rPr>
        <w:t>,</w:t>
      </w:r>
      <w:r w:rsidR="005F13E3">
        <w:rPr>
          <w:rFonts w:ascii="Arial" w:hAnsi="Arial" w:eastAsia="Calibri" w:cs="Arial"/>
          <w:sz w:val="22"/>
          <w:szCs w:val="22"/>
          <w:lang w:val="es-ES"/>
        </w:rPr>
        <w:t xml:space="preserve"> que tiene como ámbito</w:t>
      </w:r>
      <w:r w:rsidRPr="000E6766" w:rsidR="000E6766">
        <w:rPr>
          <w:rFonts w:ascii="Arial" w:hAnsi="Arial" w:eastAsia="Calibri" w:cs="Arial"/>
          <w:sz w:val="22"/>
          <w:szCs w:val="22"/>
          <w:lang w:val="es-ES"/>
        </w:rPr>
        <w:t xml:space="preserve"> </w:t>
      </w:r>
      <w:r w:rsidR="000E6766">
        <w:rPr>
          <w:rFonts w:ascii="Arial" w:hAnsi="Arial" w:eastAsia="Calibri" w:cs="Arial"/>
          <w:sz w:val="22"/>
          <w:szCs w:val="22"/>
          <w:lang w:val="es-ES"/>
        </w:rPr>
        <w:t>exclusivo</w:t>
      </w:r>
      <w:r w:rsidR="005F13E3">
        <w:rPr>
          <w:rFonts w:ascii="Arial" w:hAnsi="Arial" w:eastAsia="Calibri" w:cs="Arial"/>
          <w:sz w:val="22"/>
          <w:szCs w:val="22"/>
          <w:lang w:val="es-ES"/>
        </w:rPr>
        <w:t xml:space="preserve"> de aplicación el Estatuto General de Contratación</w:t>
      </w:r>
      <w:r w:rsidR="000E6766">
        <w:rPr>
          <w:rFonts w:ascii="Arial" w:hAnsi="Arial" w:eastAsia="Calibri" w:cs="Arial"/>
          <w:sz w:val="22"/>
          <w:szCs w:val="22"/>
          <w:lang w:val="es-ES"/>
        </w:rPr>
        <w:t>,</w:t>
      </w:r>
      <w:r w:rsidR="005F13E3">
        <w:rPr>
          <w:rFonts w:ascii="Arial" w:hAnsi="Arial" w:eastAsia="Calibri" w:cs="Arial"/>
          <w:sz w:val="22"/>
          <w:szCs w:val="22"/>
          <w:lang w:val="es-ES"/>
        </w:rPr>
        <w:t xml:space="preserve"> a un estatuto anticorrupción como la Ley 1474 de 2011</w:t>
      </w:r>
      <w:r w:rsidR="00C2582C">
        <w:rPr>
          <w:rFonts w:ascii="Arial" w:hAnsi="Arial" w:eastAsia="Calibri" w:cs="Arial"/>
          <w:sz w:val="22"/>
          <w:szCs w:val="22"/>
          <w:lang w:val="es-ES"/>
        </w:rPr>
        <w:t>,</w:t>
      </w:r>
      <w:r w:rsidR="005F13E3">
        <w:rPr>
          <w:rFonts w:ascii="Arial" w:hAnsi="Arial" w:eastAsia="Calibri" w:cs="Arial"/>
          <w:sz w:val="22"/>
          <w:szCs w:val="22"/>
          <w:lang w:val="es-ES"/>
        </w:rPr>
        <w:t xml:space="preserve"> </w:t>
      </w:r>
      <w:r w:rsidRPr="005F13E3" w:rsidR="005F13E3">
        <w:rPr>
          <w:rFonts w:ascii="Arial" w:hAnsi="Arial" w:eastAsia="Calibri" w:cs="Arial"/>
          <w:sz w:val="22"/>
          <w:szCs w:val="22"/>
          <w:lang w:val="es-ES"/>
        </w:rPr>
        <w:t xml:space="preserve">«Por la cual </w:t>
      </w:r>
      <w:r w:rsidR="005F13E3">
        <w:rPr>
          <w:rFonts w:ascii="Arial" w:hAnsi="Arial" w:eastAsia="Calibri" w:cs="Arial"/>
          <w:sz w:val="22"/>
          <w:szCs w:val="22"/>
          <w:lang w:val="es-ES"/>
        </w:rPr>
        <w:t>se dictan normas orientadas a fortalecer los mecanismos de prevención, investigación y sanción de actos de corrupción y la efectividad del control de la gestión pública</w:t>
      </w:r>
      <w:r w:rsidRPr="005F13E3" w:rsidR="005F13E3">
        <w:rPr>
          <w:rFonts w:ascii="Arial" w:hAnsi="Arial" w:eastAsia="Calibri" w:cs="Arial"/>
          <w:sz w:val="22"/>
          <w:szCs w:val="22"/>
          <w:lang w:val="es-ES"/>
        </w:rPr>
        <w:t>»</w:t>
      </w:r>
      <w:r w:rsidRPr="005F13E3" w:rsidR="000A26B7">
        <w:rPr>
          <w:rFonts w:ascii="Arial" w:hAnsi="Arial" w:eastAsia="Calibri" w:cs="Arial"/>
          <w:sz w:val="22"/>
          <w:szCs w:val="22"/>
          <w:lang w:val="es-ES"/>
        </w:rPr>
        <w:t>.</w:t>
      </w:r>
      <w:r w:rsidR="000A26B7">
        <w:rPr>
          <w:rFonts w:ascii="Arial" w:hAnsi="Arial" w:eastAsia="Calibri" w:cs="Arial"/>
          <w:sz w:val="22"/>
          <w:szCs w:val="22"/>
          <w:lang w:val="es-ES"/>
        </w:rPr>
        <w:t xml:space="preserve"> Adicionalmente, no existe en la Ley 1474 de 2011 ninguna disposición </w:t>
      </w:r>
      <w:r w:rsidR="000E6766">
        <w:rPr>
          <w:rFonts w:ascii="Arial" w:hAnsi="Arial" w:eastAsia="Calibri" w:cs="Arial"/>
          <w:sz w:val="22"/>
          <w:szCs w:val="22"/>
          <w:lang w:val="es-ES"/>
        </w:rPr>
        <w:t xml:space="preserve">que permita concluir que entidad del estado es un concepto equivalente a entidad estatal, </w:t>
      </w:r>
      <w:r w:rsidR="00C2582C">
        <w:rPr>
          <w:rFonts w:ascii="Arial" w:hAnsi="Arial" w:eastAsia="Calibri" w:cs="Arial"/>
          <w:sz w:val="22"/>
          <w:szCs w:val="22"/>
          <w:lang w:val="es-ES"/>
        </w:rPr>
        <w:t xml:space="preserve">en el sentido </w:t>
      </w:r>
      <w:r w:rsidR="000E6766">
        <w:rPr>
          <w:rFonts w:ascii="Arial" w:hAnsi="Arial" w:eastAsia="Calibri" w:cs="Arial"/>
          <w:sz w:val="22"/>
          <w:szCs w:val="22"/>
          <w:lang w:val="es-ES"/>
        </w:rPr>
        <w:t xml:space="preserve">utilizado en materia de contratación </w:t>
      </w:r>
      <w:r w:rsidR="002F0DF8">
        <w:rPr>
          <w:rFonts w:ascii="Arial" w:hAnsi="Arial" w:eastAsia="Calibri" w:cs="Arial"/>
          <w:sz w:val="22"/>
          <w:szCs w:val="22"/>
          <w:lang w:val="es-ES"/>
        </w:rPr>
        <w:t>pública</w:t>
      </w:r>
      <w:r w:rsidR="000E6766">
        <w:rPr>
          <w:rFonts w:ascii="Arial" w:hAnsi="Arial" w:eastAsia="Calibri" w:cs="Arial"/>
          <w:sz w:val="22"/>
          <w:szCs w:val="22"/>
          <w:lang w:val="es-ES"/>
        </w:rPr>
        <w:t>.</w:t>
      </w:r>
      <w:r>
        <w:rPr>
          <w:rFonts w:ascii="Arial" w:hAnsi="Arial" w:eastAsia="Calibri" w:cs="Arial"/>
          <w:sz w:val="22"/>
          <w:szCs w:val="22"/>
          <w:lang w:val="es-ES"/>
        </w:rPr>
        <w:t xml:space="preserve"> </w:t>
      </w:r>
    </w:p>
    <w:p w:rsidR="00C2582C" w:rsidP="0050010C" w:rsidRDefault="002F0DF8" w14:paraId="6A97E9D6" w14:textId="7937DC66">
      <w:pPr>
        <w:tabs>
          <w:tab w:val="left" w:pos="426"/>
          <w:tab w:val="left" w:pos="8505"/>
        </w:tabs>
        <w:spacing w:after="120" w:line="276" w:lineRule="auto"/>
        <w:ind w:right="142" w:firstLine="709"/>
        <w:jc w:val="both"/>
        <w:rPr>
          <w:rFonts w:ascii="Arial" w:hAnsi="Arial" w:eastAsia="Calibri" w:cs="Arial"/>
          <w:sz w:val="22"/>
          <w:szCs w:val="22"/>
          <w:lang w:val="es-ES"/>
        </w:rPr>
      </w:pPr>
      <w:r>
        <w:rPr>
          <w:rFonts w:ascii="Arial" w:hAnsi="Arial" w:eastAsia="Calibri" w:cs="Arial"/>
          <w:sz w:val="22"/>
          <w:szCs w:val="22"/>
          <w:lang w:val="es-ES"/>
        </w:rPr>
        <w:t>En segundo lugar</w:t>
      </w:r>
      <w:r w:rsidR="00C2582C">
        <w:rPr>
          <w:rFonts w:ascii="Arial" w:hAnsi="Arial" w:eastAsia="Calibri" w:cs="Arial"/>
          <w:sz w:val="22"/>
          <w:szCs w:val="22"/>
          <w:lang w:val="es-ES"/>
        </w:rPr>
        <w:t xml:space="preserve">, el artículo 74 desarrolla el Capítulo VI </w:t>
      </w:r>
      <w:r w:rsidRPr="009308FF" w:rsidR="00C2582C">
        <w:rPr>
          <w:rFonts w:ascii="Arial" w:hAnsi="Arial" w:eastAsia="Calibri" w:cs="Arial"/>
          <w:sz w:val="22"/>
          <w:szCs w:val="22"/>
          <w:lang w:val="es-ES"/>
        </w:rPr>
        <w:t xml:space="preserve">sobre «Políticas Institucionales y </w:t>
      </w:r>
      <w:r w:rsidR="00C2582C">
        <w:rPr>
          <w:rFonts w:ascii="Arial" w:hAnsi="Arial" w:eastAsia="Calibri" w:cs="Arial"/>
          <w:sz w:val="22"/>
          <w:szCs w:val="22"/>
          <w:lang w:val="es-ES"/>
        </w:rPr>
        <w:t>pedagógicas</w:t>
      </w:r>
      <w:r w:rsidRPr="009308FF" w:rsidR="00C2582C">
        <w:rPr>
          <w:rFonts w:ascii="Arial" w:hAnsi="Arial" w:eastAsia="Calibri" w:cs="Arial"/>
          <w:sz w:val="22"/>
          <w:szCs w:val="22"/>
          <w:lang w:val="es-ES"/>
        </w:rPr>
        <w:t>»</w:t>
      </w:r>
      <w:r w:rsidR="00C2582C">
        <w:rPr>
          <w:rFonts w:ascii="Arial" w:hAnsi="Arial" w:eastAsia="Calibri" w:cs="Arial"/>
          <w:sz w:val="22"/>
          <w:szCs w:val="22"/>
          <w:lang w:val="es-ES"/>
        </w:rPr>
        <w:t>, y no el capítulo VII que se refiere, este sí, a la Contratación P</w:t>
      </w:r>
      <w:r w:rsidR="00C6131A">
        <w:rPr>
          <w:rFonts w:ascii="Arial" w:hAnsi="Arial" w:eastAsia="Calibri" w:cs="Arial"/>
          <w:sz w:val="22"/>
          <w:szCs w:val="22"/>
          <w:lang w:val="es-ES"/>
        </w:rPr>
        <w:t>ú</w:t>
      </w:r>
      <w:r w:rsidR="00C2582C">
        <w:rPr>
          <w:rFonts w:ascii="Arial" w:hAnsi="Arial" w:eastAsia="Calibri" w:cs="Arial"/>
          <w:sz w:val="22"/>
          <w:szCs w:val="22"/>
          <w:lang w:val="es-ES"/>
        </w:rPr>
        <w:t xml:space="preserve">blica. </w:t>
      </w:r>
    </w:p>
    <w:p w:rsidR="002F0DF8" w:rsidP="0050010C" w:rsidRDefault="002F0DF8" w14:paraId="04EF093B" w14:textId="4ADC6EEB">
      <w:pPr>
        <w:tabs>
          <w:tab w:val="left" w:pos="0"/>
          <w:tab w:val="left" w:pos="8505"/>
        </w:tabs>
        <w:spacing w:after="120" w:line="276" w:lineRule="auto"/>
        <w:ind w:right="142" w:firstLine="709"/>
        <w:jc w:val="both"/>
        <w:rPr>
          <w:rFonts w:ascii="Arial" w:hAnsi="Arial" w:eastAsia="Calibri" w:cs="Arial"/>
          <w:sz w:val="22"/>
          <w:szCs w:val="22"/>
          <w:lang w:val="es-ES"/>
        </w:rPr>
      </w:pPr>
      <w:r>
        <w:rPr>
          <w:rFonts w:ascii="Arial" w:hAnsi="Arial" w:eastAsia="Calibri" w:cs="Arial"/>
          <w:sz w:val="22"/>
          <w:szCs w:val="22"/>
          <w:lang w:val="es-ES"/>
        </w:rPr>
        <w:t>En tercer lugar, e</w:t>
      </w:r>
      <w:r w:rsidR="000E6766">
        <w:rPr>
          <w:rFonts w:ascii="Arial" w:hAnsi="Arial" w:eastAsia="Calibri" w:cs="Arial"/>
          <w:sz w:val="22"/>
          <w:szCs w:val="22"/>
          <w:lang w:val="es-ES"/>
        </w:rPr>
        <w:t xml:space="preserve">l parágrafo del artículo 74 establece como excepción la publicación de la información relacionada con los proyectos de inversión de las empresas industriales y comerciales del estado y las sociedades de economía mixta. Luego, si el parágrafo contiene una excepción, la </w:t>
      </w:r>
      <w:r w:rsidR="00C2582C">
        <w:rPr>
          <w:rFonts w:ascii="Arial" w:hAnsi="Arial" w:eastAsia="Calibri" w:cs="Arial"/>
          <w:sz w:val="22"/>
          <w:szCs w:val="22"/>
          <w:lang w:val="es-ES"/>
        </w:rPr>
        <w:t>regla</w:t>
      </w:r>
      <w:r w:rsidR="000E6766">
        <w:rPr>
          <w:rFonts w:ascii="Arial" w:hAnsi="Arial" w:eastAsia="Calibri" w:cs="Arial"/>
          <w:sz w:val="22"/>
          <w:szCs w:val="22"/>
          <w:lang w:val="es-ES"/>
        </w:rPr>
        <w:t xml:space="preserve"> general </w:t>
      </w:r>
      <w:r>
        <w:rPr>
          <w:rFonts w:ascii="Arial" w:hAnsi="Arial" w:eastAsia="Calibri" w:cs="Arial"/>
          <w:sz w:val="22"/>
          <w:szCs w:val="22"/>
          <w:lang w:val="es-ES"/>
        </w:rPr>
        <w:t xml:space="preserve">es que la norma </w:t>
      </w:r>
      <w:r w:rsidR="000E6766">
        <w:rPr>
          <w:rFonts w:ascii="Arial" w:hAnsi="Arial" w:eastAsia="Calibri" w:cs="Arial"/>
          <w:sz w:val="22"/>
          <w:szCs w:val="22"/>
          <w:lang w:val="es-ES"/>
        </w:rPr>
        <w:t xml:space="preserve">comprende a </w:t>
      </w:r>
      <w:r>
        <w:rPr>
          <w:rFonts w:ascii="Arial" w:hAnsi="Arial" w:eastAsia="Calibri" w:cs="Arial"/>
          <w:sz w:val="22"/>
          <w:szCs w:val="22"/>
          <w:lang w:val="es-ES"/>
        </w:rPr>
        <w:t>estas empresas</w:t>
      </w:r>
      <w:r w:rsidR="00C2582C">
        <w:rPr>
          <w:rFonts w:ascii="Arial" w:hAnsi="Arial" w:eastAsia="Calibri" w:cs="Arial"/>
          <w:sz w:val="22"/>
          <w:szCs w:val="22"/>
          <w:lang w:val="es-ES"/>
        </w:rPr>
        <w:t>. Esto</w:t>
      </w:r>
      <w:r w:rsidR="000E6766">
        <w:rPr>
          <w:rFonts w:ascii="Arial" w:hAnsi="Arial" w:eastAsia="Calibri" w:cs="Arial"/>
          <w:sz w:val="22"/>
          <w:szCs w:val="22"/>
          <w:lang w:val="es-ES"/>
        </w:rPr>
        <w:t xml:space="preserve"> </w:t>
      </w:r>
      <w:r w:rsidR="00C2582C">
        <w:rPr>
          <w:rFonts w:ascii="Arial" w:hAnsi="Arial" w:eastAsia="Calibri" w:cs="Arial"/>
          <w:sz w:val="22"/>
          <w:szCs w:val="22"/>
          <w:lang w:val="es-ES"/>
        </w:rPr>
        <w:t xml:space="preserve">apunta en el mismo sentido, </w:t>
      </w:r>
      <w:r>
        <w:rPr>
          <w:rFonts w:ascii="Arial" w:hAnsi="Arial" w:eastAsia="Calibri" w:cs="Arial"/>
          <w:sz w:val="22"/>
          <w:szCs w:val="22"/>
          <w:lang w:val="es-ES"/>
        </w:rPr>
        <w:t xml:space="preserve">en la medida en </w:t>
      </w:r>
      <w:r w:rsidR="00C2582C">
        <w:rPr>
          <w:rFonts w:ascii="Arial" w:hAnsi="Arial" w:eastAsia="Calibri" w:cs="Arial"/>
          <w:sz w:val="22"/>
          <w:szCs w:val="22"/>
          <w:lang w:val="es-ES"/>
        </w:rPr>
        <w:t>que, en principio,</w:t>
      </w:r>
      <w:r>
        <w:rPr>
          <w:rFonts w:ascii="Arial" w:hAnsi="Arial" w:eastAsia="Calibri" w:cs="Arial"/>
          <w:sz w:val="22"/>
          <w:szCs w:val="22"/>
          <w:lang w:val="es-ES"/>
        </w:rPr>
        <w:t xml:space="preserve"> el concepto de entidad estatal de la Ley 80 de 1993</w:t>
      </w:r>
      <w:r w:rsidR="00C2582C">
        <w:rPr>
          <w:rFonts w:ascii="Arial" w:hAnsi="Arial" w:eastAsia="Calibri" w:cs="Arial"/>
          <w:sz w:val="22"/>
          <w:szCs w:val="22"/>
          <w:lang w:val="es-ES"/>
        </w:rPr>
        <w:t xml:space="preserve"> no incluye a dichas empresas de naturaleza pública. Es importante notar que e</w:t>
      </w:r>
      <w:r w:rsidRPr="00406E40" w:rsidR="00C2582C">
        <w:rPr>
          <w:rFonts w:ascii="Arial" w:hAnsi="Arial" w:eastAsia="Calibri" w:cs="Arial"/>
          <w:sz w:val="22"/>
          <w:szCs w:val="22"/>
          <w:lang w:val="es-ES"/>
        </w:rPr>
        <w:t>n ese parágrafo no se incluyeron expresamente las empresas de servicios públicos oficiales, mixtas o privadas con capital público. Esto será objeto de análisis detallado</w:t>
      </w:r>
      <w:r w:rsidR="00C2582C">
        <w:rPr>
          <w:rFonts w:ascii="Arial" w:hAnsi="Arial" w:eastAsia="Calibri" w:cs="Arial"/>
          <w:sz w:val="22"/>
          <w:szCs w:val="22"/>
          <w:lang w:val="es-ES"/>
        </w:rPr>
        <w:t xml:space="preserve">, </w:t>
      </w:r>
      <w:r w:rsidRPr="00406E40" w:rsidR="00C2582C">
        <w:rPr>
          <w:rFonts w:ascii="Arial" w:hAnsi="Arial" w:eastAsia="Calibri" w:cs="Arial"/>
          <w:sz w:val="22"/>
          <w:szCs w:val="22"/>
          <w:lang w:val="es-ES"/>
        </w:rPr>
        <w:t xml:space="preserve">por constituir una excepción particular de cierta parte del </w:t>
      </w:r>
      <w:r w:rsidRPr="00406E40" w:rsidR="00DA046D">
        <w:rPr>
          <w:rFonts w:ascii="Arial" w:hAnsi="Arial" w:eastAsia="Calibri" w:cs="Arial"/>
          <w:sz w:val="22"/>
          <w:szCs w:val="22"/>
          <w:lang w:val="es-ES"/>
        </w:rPr>
        <w:t>plan de compras</w:t>
      </w:r>
      <w:r w:rsidRPr="00406E40" w:rsidR="00C2582C">
        <w:rPr>
          <w:rFonts w:ascii="Arial" w:hAnsi="Arial" w:eastAsia="Calibri" w:cs="Arial"/>
          <w:sz w:val="22"/>
          <w:szCs w:val="22"/>
          <w:lang w:val="es-ES"/>
        </w:rPr>
        <w:t xml:space="preserve">. </w:t>
      </w:r>
    </w:p>
    <w:p w:rsidR="009A2245" w:rsidP="00BE5DCB" w:rsidRDefault="002F0DF8" w14:paraId="74E1EC33" w14:textId="1C3F3EA0">
      <w:pPr>
        <w:tabs>
          <w:tab w:val="left" w:pos="0"/>
          <w:tab w:val="left" w:pos="8505"/>
        </w:tabs>
        <w:spacing w:after="120" w:line="276" w:lineRule="auto"/>
        <w:ind w:right="142" w:firstLine="709"/>
        <w:jc w:val="both"/>
        <w:rPr>
          <w:rFonts w:ascii="Arial" w:hAnsi="Arial" w:eastAsia="Calibri" w:cs="Arial"/>
          <w:sz w:val="22"/>
          <w:szCs w:val="22"/>
          <w:lang w:val="es-ES"/>
        </w:rPr>
      </w:pPr>
      <w:r>
        <w:rPr>
          <w:rFonts w:ascii="Arial" w:hAnsi="Arial" w:eastAsia="Calibri" w:cs="Arial"/>
          <w:sz w:val="22"/>
          <w:szCs w:val="22"/>
          <w:lang w:val="es-ES"/>
        </w:rPr>
        <w:t xml:space="preserve">De todo lo dicho se desprende que el </w:t>
      </w:r>
      <w:r w:rsidRPr="000E6766">
        <w:rPr>
          <w:rFonts w:ascii="Arial" w:hAnsi="Arial" w:eastAsia="Calibri" w:cs="Arial"/>
          <w:sz w:val="22"/>
          <w:szCs w:val="22"/>
          <w:lang w:val="es-ES"/>
        </w:rPr>
        <w:t>concepto «</w:t>
      </w:r>
      <w:r>
        <w:rPr>
          <w:rFonts w:ascii="Arial" w:hAnsi="Arial" w:eastAsia="Calibri" w:cs="Arial"/>
          <w:sz w:val="22"/>
          <w:szCs w:val="22"/>
          <w:lang w:val="es-ES"/>
        </w:rPr>
        <w:t>entidad del Estado</w:t>
      </w:r>
      <w:r w:rsidRPr="000E6766">
        <w:rPr>
          <w:rFonts w:ascii="Arial" w:hAnsi="Arial" w:eastAsia="Calibri" w:cs="Arial"/>
          <w:sz w:val="22"/>
          <w:szCs w:val="22"/>
          <w:lang w:val="es-ES"/>
        </w:rPr>
        <w:t>»</w:t>
      </w:r>
      <w:r>
        <w:rPr>
          <w:rFonts w:ascii="Arial" w:hAnsi="Arial" w:eastAsia="Calibri" w:cs="Arial"/>
          <w:sz w:val="22"/>
          <w:szCs w:val="22"/>
          <w:lang w:val="es-ES"/>
        </w:rPr>
        <w:t xml:space="preserve"> del artículo 74 de la Ley 1474 de 2011 debe ser entendido en sentido amplio e incluye, entre otras, todas las entidades pertenecientes a la Rama Ejecutiva.</w:t>
      </w:r>
      <w:r w:rsidR="00DA046D">
        <w:rPr>
          <w:rFonts w:ascii="Arial" w:hAnsi="Arial" w:eastAsia="Calibri" w:cs="Arial"/>
          <w:sz w:val="22"/>
          <w:szCs w:val="22"/>
          <w:lang w:val="es-ES"/>
        </w:rPr>
        <w:t xml:space="preserve"> </w:t>
      </w:r>
      <w:r w:rsidR="005D516F">
        <w:rPr>
          <w:rFonts w:ascii="Arial" w:hAnsi="Arial" w:eastAsia="Calibri" w:cs="Arial"/>
          <w:sz w:val="22"/>
          <w:szCs w:val="22"/>
          <w:lang w:val="es-ES"/>
        </w:rPr>
        <w:t xml:space="preserve">De conformidad con la lectura </w:t>
      </w:r>
      <w:r w:rsidR="00C43F85">
        <w:rPr>
          <w:rFonts w:ascii="Arial" w:hAnsi="Arial" w:eastAsia="Calibri" w:cs="Arial"/>
          <w:sz w:val="22"/>
          <w:szCs w:val="22"/>
          <w:lang w:val="es-ES"/>
        </w:rPr>
        <w:t>que</w:t>
      </w:r>
      <w:r w:rsidR="005D516F">
        <w:rPr>
          <w:rFonts w:ascii="Arial" w:hAnsi="Arial" w:eastAsia="Calibri" w:cs="Arial"/>
          <w:sz w:val="22"/>
          <w:szCs w:val="22"/>
          <w:lang w:val="es-ES"/>
        </w:rPr>
        <w:t xml:space="preserve"> la Corte Constitucional</w:t>
      </w:r>
      <w:r w:rsidR="00C43F85">
        <w:rPr>
          <w:rFonts w:ascii="Arial" w:hAnsi="Arial" w:eastAsia="Calibri" w:cs="Arial"/>
          <w:sz w:val="22"/>
          <w:szCs w:val="22"/>
          <w:lang w:val="es-ES"/>
        </w:rPr>
        <w:t xml:space="preserve"> hace</w:t>
      </w:r>
      <w:r w:rsidR="005D516F">
        <w:rPr>
          <w:rFonts w:ascii="Arial" w:hAnsi="Arial" w:eastAsia="Calibri" w:cs="Arial"/>
          <w:sz w:val="22"/>
          <w:szCs w:val="22"/>
          <w:lang w:val="es-ES"/>
        </w:rPr>
        <w:t xml:space="preserve"> del </w:t>
      </w:r>
      <w:r w:rsidRPr="00406E40" w:rsidR="00994DF5">
        <w:rPr>
          <w:rFonts w:ascii="Arial" w:hAnsi="Arial" w:eastAsia="Calibri" w:cs="Arial"/>
          <w:sz w:val="22"/>
          <w:szCs w:val="22"/>
          <w:lang w:val="es-ES"/>
        </w:rPr>
        <w:t>artículo 38 de la Ley 489 de 1998</w:t>
      </w:r>
      <w:r w:rsidR="005D516F">
        <w:rPr>
          <w:rFonts w:ascii="Arial" w:hAnsi="Arial" w:eastAsia="Calibri" w:cs="Arial"/>
          <w:sz w:val="22"/>
          <w:szCs w:val="22"/>
          <w:lang w:val="es-ES"/>
        </w:rPr>
        <w:t>,</w:t>
      </w:r>
      <w:r w:rsidRPr="00406E40" w:rsidR="00994DF5">
        <w:rPr>
          <w:rFonts w:ascii="Arial" w:hAnsi="Arial" w:eastAsia="Calibri" w:cs="Arial"/>
          <w:sz w:val="22"/>
          <w:szCs w:val="22"/>
          <w:lang w:val="es-ES"/>
        </w:rPr>
        <w:t xml:space="preserve"> las ESP mixtas </w:t>
      </w:r>
      <w:r w:rsidRPr="00406E40" w:rsidR="00994DF5">
        <w:rPr>
          <w:rFonts w:ascii="Arial" w:hAnsi="Arial" w:eastAsia="Calibri" w:cs="Arial"/>
          <w:sz w:val="22"/>
          <w:szCs w:val="22"/>
          <w:lang w:val="es-ES"/>
        </w:rPr>
        <w:t>están obligadas a publicar su plan de compras en su página Web antes del 31 de enero de cada año</w:t>
      </w:r>
      <w:r w:rsidR="00C43F85">
        <w:rPr>
          <w:rFonts w:ascii="Arial" w:hAnsi="Arial" w:eastAsia="Calibri" w:cs="Arial"/>
          <w:sz w:val="22"/>
          <w:szCs w:val="22"/>
          <w:lang w:val="es-ES"/>
        </w:rPr>
        <w:t>,</w:t>
      </w:r>
      <w:r w:rsidRPr="00406E40" w:rsidR="00994DF5">
        <w:rPr>
          <w:rFonts w:ascii="Arial" w:hAnsi="Arial" w:eastAsia="Calibri" w:cs="Arial"/>
          <w:sz w:val="22"/>
          <w:szCs w:val="22"/>
          <w:lang w:val="es-ES"/>
        </w:rPr>
        <w:t xml:space="preserve"> </w:t>
      </w:r>
      <w:r w:rsidRPr="00BE5DCB" w:rsidR="00A866D7">
        <w:rPr>
          <w:rFonts w:ascii="Arial" w:hAnsi="Arial" w:eastAsia="Calibri" w:cs="Arial"/>
          <w:sz w:val="22"/>
          <w:szCs w:val="22"/>
          <w:lang w:val="es-ES"/>
        </w:rPr>
        <w:t>conforme a</w:t>
      </w:r>
      <w:r w:rsidRPr="00A866D7" w:rsidR="00994DF5">
        <w:rPr>
          <w:rFonts w:ascii="Arial" w:hAnsi="Arial" w:eastAsia="Calibri" w:cs="Arial"/>
          <w:sz w:val="22"/>
          <w:szCs w:val="22"/>
          <w:lang w:val="es-ES"/>
        </w:rPr>
        <w:t xml:space="preserve"> lo ordenado </w:t>
      </w:r>
      <w:r w:rsidRPr="00BE5DCB" w:rsidR="00A866D7">
        <w:rPr>
          <w:rFonts w:ascii="Arial" w:hAnsi="Arial" w:eastAsia="Calibri" w:cs="Arial"/>
          <w:sz w:val="22"/>
          <w:szCs w:val="22"/>
          <w:lang w:val="es-ES"/>
        </w:rPr>
        <w:t>en</w:t>
      </w:r>
      <w:r w:rsidRPr="00A866D7" w:rsidR="00994DF5">
        <w:rPr>
          <w:rFonts w:ascii="Arial" w:hAnsi="Arial" w:eastAsia="Calibri" w:cs="Arial"/>
          <w:sz w:val="22"/>
          <w:szCs w:val="22"/>
          <w:lang w:val="es-ES"/>
        </w:rPr>
        <w:t xml:space="preserve"> este artículo</w:t>
      </w:r>
      <w:r w:rsidRPr="00406E40" w:rsidR="00994DF5">
        <w:rPr>
          <w:rFonts w:ascii="Arial" w:hAnsi="Arial" w:eastAsia="Calibri" w:cs="Arial"/>
          <w:sz w:val="22"/>
          <w:szCs w:val="22"/>
          <w:lang w:val="es-ES"/>
        </w:rPr>
        <w:t xml:space="preserve">. </w:t>
      </w:r>
      <w:r w:rsidRPr="00406E40" w:rsidR="00130F04">
        <w:rPr>
          <w:rFonts w:ascii="Arial" w:hAnsi="Arial" w:eastAsia="Calibri" w:cs="Arial"/>
          <w:sz w:val="22"/>
          <w:szCs w:val="22"/>
          <w:lang w:val="es-ES"/>
        </w:rPr>
        <w:t>De otra parte, el</w:t>
      </w:r>
      <w:r w:rsidRPr="00406E40" w:rsidR="00994DF5">
        <w:rPr>
          <w:rFonts w:ascii="Arial" w:hAnsi="Arial" w:eastAsia="Calibri" w:cs="Arial"/>
          <w:sz w:val="22"/>
          <w:szCs w:val="22"/>
          <w:lang w:val="es-ES"/>
        </w:rPr>
        <w:t xml:space="preserve"> plan general de compras corresponde </w:t>
      </w:r>
      <w:r w:rsidR="009A2245">
        <w:rPr>
          <w:rFonts w:ascii="Arial" w:hAnsi="Arial" w:eastAsia="Calibri" w:cs="Arial"/>
          <w:sz w:val="22"/>
          <w:szCs w:val="22"/>
          <w:lang w:val="es-ES"/>
        </w:rPr>
        <w:t>a</w:t>
      </w:r>
      <w:r w:rsidRPr="00406E40" w:rsidR="00994DF5">
        <w:rPr>
          <w:rFonts w:ascii="Arial" w:hAnsi="Arial" w:eastAsia="Calibri" w:cs="Arial"/>
          <w:sz w:val="22"/>
          <w:szCs w:val="22"/>
          <w:lang w:val="es-ES"/>
        </w:rPr>
        <w:t xml:space="preserve">l concepto de </w:t>
      </w:r>
      <w:r w:rsidR="00C43F85">
        <w:rPr>
          <w:rFonts w:ascii="Arial" w:hAnsi="Arial" w:eastAsia="Calibri" w:cs="Arial"/>
          <w:sz w:val="22"/>
          <w:szCs w:val="22"/>
          <w:lang w:val="es-ES"/>
        </w:rPr>
        <w:t>p</w:t>
      </w:r>
      <w:r w:rsidR="00FA706A">
        <w:rPr>
          <w:rFonts w:ascii="Arial" w:hAnsi="Arial" w:eastAsia="Calibri" w:cs="Arial"/>
          <w:sz w:val="22"/>
          <w:szCs w:val="22"/>
          <w:lang w:val="es-ES"/>
        </w:rPr>
        <w:t>lan anual de adquisiciones</w:t>
      </w:r>
      <w:r w:rsidR="00C43F85">
        <w:rPr>
          <w:rFonts w:ascii="Arial" w:hAnsi="Arial" w:eastAsia="Calibri" w:cs="Arial"/>
          <w:sz w:val="22"/>
          <w:szCs w:val="22"/>
          <w:lang w:val="es-ES"/>
        </w:rPr>
        <w:t>,</w:t>
      </w:r>
      <w:r w:rsidRPr="00406E40" w:rsidR="00994DF5">
        <w:rPr>
          <w:rFonts w:ascii="Arial" w:hAnsi="Arial" w:eastAsia="Calibri" w:cs="Arial"/>
          <w:sz w:val="22"/>
          <w:szCs w:val="22"/>
          <w:lang w:val="es-ES"/>
        </w:rPr>
        <w:t xml:space="preserve"> como lo establece el artículo 2.2.1.1.1.3.1. del Decreto 1082 de 2015</w:t>
      </w:r>
      <w:r w:rsidRPr="00406E40" w:rsidR="00994DF5">
        <w:rPr>
          <w:rStyle w:val="Refdenotaalpie"/>
          <w:rFonts w:ascii="Arial" w:hAnsi="Arial" w:eastAsia="Calibri" w:cs="Arial"/>
          <w:sz w:val="22"/>
          <w:szCs w:val="22"/>
          <w:lang w:val="es-ES"/>
        </w:rPr>
        <w:footnoteReference w:id="10"/>
      </w:r>
      <w:r w:rsidRPr="00406E40" w:rsidR="00994DF5">
        <w:rPr>
          <w:rFonts w:ascii="Arial" w:hAnsi="Arial" w:eastAsia="Calibri" w:cs="Arial"/>
          <w:sz w:val="22"/>
          <w:szCs w:val="22"/>
          <w:lang w:val="es-ES"/>
        </w:rPr>
        <w:t xml:space="preserve">. </w:t>
      </w:r>
    </w:p>
    <w:p w:rsidR="00A757E2" w:rsidP="00BE5DCB" w:rsidRDefault="005D516F" w14:paraId="403A6283" w14:textId="78AE58F0">
      <w:pPr>
        <w:tabs>
          <w:tab w:val="left" w:pos="284"/>
          <w:tab w:val="left" w:pos="8505"/>
        </w:tabs>
        <w:spacing w:line="276" w:lineRule="auto"/>
        <w:ind w:right="142" w:firstLine="709"/>
        <w:jc w:val="both"/>
        <w:rPr>
          <w:rFonts w:ascii="Arial" w:hAnsi="Arial" w:eastAsia="Calibri" w:cs="Arial"/>
          <w:sz w:val="22"/>
          <w:szCs w:val="22"/>
          <w:lang w:val="es-ES"/>
        </w:rPr>
      </w:pPr>
      <w:r w:rsidRPr="005D516F">
        <w:rPr>
          <w:rFonts w:ascii="Arial" w:hAnsi="Arial" w:eastAsia="Calibri" w:cs="Arial"/>
          <w:sz w:val="22"/>
          <w:szCs w:val="22"/>
          <w:lang w:val="es-ES"/>
        </w:rPr>
        <w:t xml:space="preserve">Para continuar con las normas generales sobre la publicidad del plan de compras, se debe analizar la Ley 1712 de 2014. El artículo 9 prescribe que todo sujeto obligado deberá publicar en los sistemas de información del Estado o herramientas que lo sustituyan su respectivo plan </w:t>
      </w:r>
      <w:r w:rsidR="00C43F85">
        <w:rPr>
          <w:rFonts w:ascii="Arial" w:hAnsi="Arial" w:eastAsia="Calibri" w:cs="Arial"/>
          <w:sz w:val="22"/>
          <w:szCs w:val="22"/>
          <w:lang w:val="es-ES"/>
        </w:rPr>
        <w:t xml:space="preserve">anual </w:t>
      </w:r>
      <w:r w:rsidRPr="005D516F">
        <w:rPr>
          <w:rFonts w:ascii="Arial" w:hAnsi="Arial" w:eastAsia="Calibri" w:cs="Arial"/>
          <w:sz w:val="22"/>
          <w:szCs w:val="22"/>
          <w:lang w:val="es-ES"/>
        </w:rPr>
        <w:t>de compras, entre otras</w:t>
      </w:r>
      <w:r w:rsidRPr="005D516F">
        <w:rPr>
          <w:rFonts w:ascii="Arial" w:hAnsi="Arial" w:eastAsia="Calibri" w:cs="Arial"/>
          <w:sz w:val="22"/>
          <w:szCs w:val="22"/>
          <w:vertAlign w:val="superscript"/>
          <w:lang w:val="es-ES"/>
        </w:rPr>
        <w:footnoteReference w:id="11"/>
      </w:r>
      <w:r w:rsidR="00620142">
        <w:rPr>
          <w:rFonts w:ascii="Arial" w:hAnsi="Arial" w:eastAsia="Calibri" w:cs="Arial"/>
          <w:sz w:val="22"/>
          <w:szCs w:val="22"/>
          <w:lang w:val="es-ES"/>
        </w:rPr>
        <w:t>.</w:t>
      </w:r>
      <w:r w:rsidRPr="005D516F">
        <w:rPr>
          <w:rFonts w:ascii="Arial" w:hAnsi="Arial" w:eastAsia="Calibri" w:cs="Arial"/>
          <w:sz w:val="22"/>
          <w:szCs w:val="22"/>
          <w:lang w:val="es-ES"/>
        </w:rPr>
        <w:t xml:space="preserve"> </w:t>
      </w:r>
      <w:r w:rsidR="00C2582C">
        <w:rPr>
          <w:rFonts w:ascii="Arial" w:hAnsi="Arial" w:eastAsia="Calibri" w:cs="Arial"/>
          <w:sz w:val="22"/>
          <w:szCs w:val="22"/>
          <w:lang w:val="es-ES"/>
        </w:rPr>
        <w:t>P</w:t>
      </w:r>
      <w:r w:rsidRPr="005D516F">
        <w:rPr>
          <w:rFonts w:ascii="Arial" w:hAnsi="Arial" w:eastAsia="Calibri" w:cs="Arial"/>
          <w:sz w:val="22"/>
          <w:szCs w:val="22"/>
          <w:lang w:val="es-ES"/>
        </w:rPr>
        <w:t xml:space="preserve">ara determinar si </w:t>
      </w:r>
      <w:r>
        <w:rPr>
          <w:rFonts w:ascii="Arial" w:hAnsi="Arial" w:eastAsia="Calibri" w:cs="Arial"/>
          <w:sz w:val="22"/>
          <w:szCs w:val="22"/>
          <w:lang w:val="es-ES"/>
        </w:rPr>
        <w:t xml:space="preserve">las </w:t>
      </w:r>
      <w:r w:rsidR="00FA706A">
        <w:rPr>
          <w:rFonts w:ascii="Arial" w:hAnsi="Arial" w:eastAsia="Calibri" w:cs="Arial"/>
          <w:sz w:val="22"/>
          <w:szCs w:val="22"/>
          <w:lang w:val="es-ES"/>
        </w:rPr>
        <w:t>empresas de servicios públicos mixtas</w:t>
      </w:r>
      <w:r w:rsidRPr="005D516F" w:rsidR="00FA706A">
        <w:rPr>
          <w:rFonts w:ascii="Arial" w:hAnsi="Arial" w:eastAsia="Calibri" w:cs="Arial"/>
          <w:sz w:val="22"/>
          <w:szCs w:val="22"/>
          <w:lang w:val="es-ES"/>
        </w:rPr>
        <w:t xml:space="preserve"> </w:t>
      </w:r>
      <w:r w:rsidRPr="005D516F">
        <w:rPr>
          <w:rFonts w:ascii="Arial" w:hAnsi="Arial" w:eastAsia="Calibri" w:cs="Arial"/>
          <w:sz w:val="22"/>
          <w:szCs w:val="22"/>
          <w:lang w:val="es-ES"/>
        </w:rPr>
        <w:t>encuadran en el supuesto de hecho de esta norma</w:t>
      </w:r>
      <w:r w:rsidR="00C43F85">
        <w:rPr>
          <w:rFonts w:ascii="Arial" w:hAnsi="Arial" w:eastAsia="Calibri" w:cs="Arial"/>
          <w:sz w:val="22"/>
          <w:szCs w:val="22"/>
          <w:lang w:val="es-ES"/>
        </w:rPr>
        <w:t>,</w:t>
      </w:r>
      <w:r w:rsidRPr="005D516F">
        <w:rPr>
          <w:rFonts w:ascii="Arial" w:hAnsi="Arial" w:eastAsia="Calibri" w:cs="Arial"/>
          <w:sz w:val="22"/>
          <w:szCs w:val="22"/>
          <w:lang w:val="es-ES"/>
        </w:rPr>
        <w:t xml:space="preserve"> es necesario aclarar si se trata de sujetos obligados para los efectos de la Ley 1712 de 2014. </w:t>
      </w:r>
      <w:r w:rsidR="00C43F85">
        <w:rPr>
          <w:rFonts w:ascii="Arial" w:hAnsi="Arial" w:eastAsia="Calibri" w:cs="Arial"/>
          <w:sz w:val="22"/>
          <w:szCs w:val="22"/>
          <w:lang w:val="es-ES"/>
        </w:rPr>
        <w:t>E</w:t>
      </w:r>
      <w:r w:rsidRPr="005D516F">
        <w:rPr>
          <w:rFonts w:ascii="Arial" w:hAnsi="Arial" w:eastAsia="Calibri" w:cs="Arial"/>
          <w:sz w:val="22"/>
          <w:szCs w:val="22"/>
          <w:lang w:val="es-ES"/>
        </w:rPr>
        <w:t xml:space="preserve">l artículo 5 </w:t>
      </w:r>
      <w:r w:rsidR="00620142">
        <w:rPr>
          <w:rFonts w:ascii="Arial" w:hAnsi="Arial" w:eastAsia="Calibri" w:cs="Arial"/>
          <w:sz w:val="22"/>
          <w:szCs w:val="22"/>
          <w:lang w:val="es-ES"/>
        </w:rPr>
        <w:t>dispone que</w:t>
      </w:r>
      <w:r w:rsidRPr="005D516F">
        <w:rPr>
          <w:rFonts w:ascii="Arial" w:hAnsi="Arial" w:eastAsia="Calibri" w:cs="Arial"/>
          <w:sz w:val="22"/>
          <w:szCs w:val="22"/>
          <w:lang w:val="es-ES"/>
        </w:rPr>
        <w:t>:</w:t>
      </w:r>
    </w:p>
    <w:p w:rsidRPr="005D516F" w:rsidR="005D516F" w:rsidP="00150EAF" w:rsidRDefault="005D516F" w14:paraId="4854FD98" w14:textId="77777777">
      <w:pPr>
        <w:tabs>
          <w:tab w:val="left" w:pos="284"/>
          <w:tab w:val="left" w:pos="8505"/>
        </w:tabs>
        <w:spacing w:line="276" w:lineRule="auto"/>
        <w:ind w:right="142"/>
        <w:jc w:val="both"/>
        <w:rPr>
          <w:rFonts w:ascii="Arial" w:hAnsi="Arial" w:eastAsia="Calibri" w:cs="Arial"/>
          <w:sz w:val="22"/>
          <w:szCs w:val="22"/>
          <w:lang w:val="es-ES"/>
        </w:rPr>
      </w:pPr>
    </w:p>
    <w:p w:rsidRPr="00E80252" w:rsidR="00800C47" w:rsidP="00BE5DCB" w:rsidRDefault="00C43F85" w14:paraId="3E35C73F" w14:textId="5CC1AFEF">
      <w:pPr>
        <w:tabs>
          <w:tab w:val="left" w:pos="851"/>
        </w:tabs>
        <w:spacing w:after="120"/>
        <w:ind w:left="709" w:right="709"/>
        <w:jc w:val="both"/>
        <w:rPr>
          <w:rFonts w:ascii="Arial" w:hAnsi="Arial" w:eastAsia="Calibri" w:cs="Arial"/>
          <w:color w:val="000000" w:themeColor="text1"/>
          <w:sz w:val="21"/>
          <w:szCs w:val="21"/>
          <w:lang w:val="es-ES"/>
        </w:rPr>
      </w:pPr>
      <w:r>
        <w:rPr>
          <w:rFonts w:ascii="Arial" w:hAnsi="Arial" w:eastAsia="Calibri" w:cs="Arial"/>
          <w:color w:val="000000" w:themeColor="text1"/>
          <w:sz w:val="21"/>
          <w:szCs w:val="21"/>
          <w:lang w:val="es-ES"/>
        </w:rPr>
        <w:t xml:space="preserve">Artículo 5. </w:t>
      </w:r>
      <w:r w:rsidRPr="00E80252" w:rsidR="00A757E2">
        <w:rPr>
          <w:rFonts w:ascii="Arial" w:hAnsi="Arial" w:eastAsia="Calibri" w:cs="Arial"/>
          <w:color w:val="000000" w:themeColor="text1"/>
          <w:sz w:val="21"/>
          <w:szCs w:val="21"/>
          <w:lang w:val="es-ES"/>
        </w:rPr>
        <w:t>Las disposiciones de esta ley serán aplicables a las siguientes personas en calidad de sujetos obligados:</w:t>
      </w:r>
    </w:p>
    <w:p w:rsidRPr="00E80252" w:rsidR="00A757E2" w:rsidP="00213731" w:rsidRDefault="00A757E2" w14:paraId="6BE1AB36" w14:textId="2284C045">
      <w:pPr>
        <w:tabs>
          <w:tab w:val="left" w:pos="851"/>
        </w:tabs>
        <w:ind w:left="709" w:right="709"/>
        <w:jc w:val="both"/>
        <w:rPr>
          <w:rFonts w:ascii="Arial" w:hAnsi="Arial" w:eastAsia="Calibri" w:cs="Arial"/>
          <w:color w:val="000000" w:themeColor="text1"/>
          <w:sz w:val="21"/>
          <w:szCs w:val="21"/>
          <w:lang w:val="es-ES"/>
        </w:rPr>
      </w:pPr>
      <w:r w:rsidRPr="00E80252">
        <w:rPr>
          <w:rFonts w:ascii="Arial" w:hAnsi="Arial" w:eastAsia="Calibri" w:cs="Arial"/>
          <w:color w:val="000000" w:themeColor="text1"/>
          <w:sz w:val="21"/>
          <w:szCs w:val="21"/>
          <w:lang w:val="es-ES"/>
        </w:rPr>
        <w:t>a) Toda entidad pública, incluyendo las pertenecientes a todas las Ramas del Poder Público, en todos los niveles de la estructura estatal, central o descentralizada por servicios o territorialmente, en los órdenes nacional, departamental, municipal y distrital.</w:t>
      </w:r>
    </w:p>
    <w:p w:rsidRPr="00E80252" w:rsidR="00A757E2" w:rsidP="00BE5DCB" w:rsidRDefault="00A757E2" w14:paraId="59D0DA47" w14:textId="5602C808">
      <w:pPr>
        <w:tabs>
          <w:tab w:val="left" w:pos="851"/>
        </w:tabs>
        <w:spacing w:after="120"/>
        <w:ind w:left="709" w:right="709"/>
        <w:jc w:val="both"/>
        <w:rPr>
          <w:rFonts w:ascii="Arial" w:hAnsi="Arial" w:eastAsia="Calibri" w:cs="Arial"/>
          <w:color w:val="000000" w:themeColor="text1"/>
          <w:sz w:val="21"/>
          <w:szCs w:val="21"/>
          <w:lang w:val="es-ES"/>
        </w:rPr>
      </w:pPr>
      <w:r w:rsidRPr="00E80252">
        <w:rPr>
          <w:rFonts w:ascii="Arial" w:hAnsi="Arial" w:eastAsia="Calibri" w:cs="Arial"/>
          <w:color w:val="000000" w:themeColor="text1"/>
          <w:sz w:val="21"/>
          <w:szCs w:val="21"/>
          <w:lang w:val="es-ES"/>
        </w:rPr>
        <w:t>[…]</w:t>
      </w:r>
    </w:p>
    <w:p w:rsidRPr="00E80252" w:rsidR="00A757E2" w:rsidP="00213731" w:rsidRDefault="00EA0931" w14:paraId="43C0B6C5" w14:textId="5E563B53">
      <w:pPr>
        <w:tabs>
          <w:tab w:val="left" w:pos="851"/>
        </w:tabs>
        <w:ind w:left="709" w:right="709"/>
        <w:jc w:val="both"/>
        <w:rPr>
          <w:rFonts w:ascii="Arial" w:hAnsi="Arial" w:eastAsia="Calibri" w:cs="Arial"/>
          <w:color w:val="000000" w:themeColor="text1"/>
          <w:sz w:val="21"/>
          <w:szCs w:val="21"/>
          <w:lang w:val="es-ES"/>
        </w:rPr>
      </w:pPr>
      <w:r w:rsidRPr="00E80252">
        <w:rPr>
          <w:rFonts w:ascii="Arial" w:hAnsi="Arial" w:eastAsia="Calibri" w:cs="Arial"/>
          <w:color w:val="000000" w:themeColor="text1"/>
          <w:sz w:val="21"/>
          <w:szCs w:val="21"/>
          <w:lang w:val="es-ES"/>
        </w:rPr>
        <w:t>e) Las empresas públicas creadas por ley, las empresas del Estado y sociedades en que este tenga participación.</w:t>
      </w:r>
    </w:p>
    <w:p w:rsidRPr="00406E40" w:rsidR="00EA0931" w:rsidP="00150EAF" w:rsidRDefault="00EA0931" w14:paraId="4CB06B91" w14:textId="4B43E2E6">
      <w:pPr>
        <w:tabs>
          <w:tab w:val="left" w:pos="426"/>
        </w:tabs>
        <w:spacing w:line="276" w:lineRule="auto"/>
        <w:ind w:right="758"/>
        <w:jc w:val="both"/>
        <w:rPr>
          <w:rFonts w:ascii="Arial" w:hAnsi="Arial" w:eastAsia="Calibri" w:cs="Arial"/>
          <w:color w:val="000000" w:themeColor="text1"/>
          <w:sz w:val="22"/>
          <w:szCs w:val="22"/>
          <w:lang w:val="es-ES"/>
        </w:rPr>
      </w:pPr>
    </w:p>
    <w:p w:rsidRPr="0050010C" w:rsidR="00EA0931" w:rsidP="0050010C" w:rsidRDefault="005D516F" w14:paraId="57EB772B" w14:textId="5701588E">
      <w:pPr>
        <w:tabs>
          <w:tab w:val="left" w:pos="426"/>
          <w:tab w:val="left" w:pos="8505"/>
        </w:tabs>
        <w:spacing w:after="120" w:line="276" w:lineRule="auto"/>
        <w:ind w:firstLine="709"/>
        <w:jc w:val="both"/>
        <w:rPr>
          <w:rFonts w:ascii="Arial" w:hAnsi="Arial" w:eastAsia="Calibri" w:cs="Arial"/>
          <w:sz w:val="22"/>
          <w:szCs w:val="22"/>
          <w:lang w:val="es-ES"/>
        </w:rPr>
      </w:pPr>
      <w:r w:rsidRPr="0050010C">
        <w:rPr>
          <w:rFonts w:ascii="Arial" w:hAnsi="Arial" w:eastAsia="Calibri" w:cs="Arial"/>
          <w:sz w:val="22"/>
          <w:szCs w:val="22"/>
          <w:lang w:val="es-ES"/>
        </w:rPr>
        <w:t xml:space="preserve">Este precepto contiene una lista cuyo propósito es incluir a cualquier entidad, órgano, organismo, o persona natural que desempeñe función pública o se desempeñe como autoridad. </w:t>
      </w:r>
      <w:r w:rsidRPr="0050010C" w:rsidR="00C43F85">
        <w:rPr>
          <w:rFonts w:ascii="Arial" w:hAnsi="Arial" w:eastAsia="Calibri" w:cs="Arial"/>
          <w:sz w:val="22"/>
          <w:szCs w:val="22"/>
          <w:lang w:val="es-ES"/>
        </w:rPr>
        <w:t>E</w:t>
      </w:r>
      <w:r w:rsidRPr="0050010C">
        <w:rPr>
          <w:rFonts w:ascii="Arial" w:hAnsi="Arial" w:eastAsia="Calibri" w:cs="Arial"/>
          <w:sz w:val="22"/>
          <w:szCs w:val="22"/>
          <w:lang w:val="es-ES"/>
        </w:rPr>
        <w:t xml:space="preserve">l literal a) estableció que son sujetos obligados </w:t>
      </w:r>
      <w:r w:rsidRPr="0050010C" w:rsidR="00620142">
        <w:rPr>
          <w:rFonts w:ascii="Arial" w:hAnsi="Arial" w:eastAsia="Calibri" w:cs="Arial"/>
          <w:sz w:val="22"/>
          <w:szCs w:val="22"/>
          <w:lang w:val="es-ES"/>
        </w:rPr>
        <w:t>«</w:t>
      </w:r>
      <w:r w:rsidRPr="0050010C">
        <w:rPr>
          <w:rFonts w:ascii="Arial" w:hAnsi="Arial" w:eastAsia="Calibri" w:cs="Arial"/>
          <w:sz w:val="22"/>
          <w:szCs w:val="22"/>
          <w:lang w:val="es-ES"/>
        </w:rPr>
        <w:t>toda entidad pública, incluyendo las pertenecientes a todas las Ramas del Poder Público</w:t>
      </w:r>
      <w:r w:rsidRPr="0050010C" w:rsidR="00620142">
        <w:rPr>
          <w:rFonts w:ascii="Arial" w:hAnsi="Arial" w:eastAsia="Calibri" w:cs="Arial"/>
          <w:sz w:val="22"/>
          <w:szCs w:val="22"/>
          <w:lang w:val="es-ES"/>
        </w:rPr>
        <w:t>»</w:t>
      </w:r>
      <w:r w:rsidRPr="0050010C">
        <w:rPr>
          <w:rFonts w:ascii="Arial" w:hAnsi="Arial" w:eastAsia="Calibri" w:cs="Arial"/>
          <w:sz w:val="22"/>
          <w:szCs w:val="22"/>
          <w:lang w:val="es-ES"/>
        </w:rPr>
        <w:t>. P</w:t>
      </w:r>
      <w:r w:rsidRPr="0050010C" w:rsidR="00EA0931">
        <w:rPr>
          <w:rFonts w:ascii="Arial" w:hAnsi="Arial" w:eastAsia="Calibri" w:cs="Arial"/>
          <w:sz w:val="22"/>
          <w:szCs w:val="22"/>
          <w:lang w:val="es-ES"/>
        </w:rPr>
        <w:t>or lo tanto, las ESP mixtas</w:t>
      </w:r>
      <w:r w:rsidRPr="0050010C" w:rsidR="00C43F85">
        <w:rPr>
          <w:rFonts w:ascii="Arial" w:hAnsi="Arial" w:eastAsia="Calibri" w:cs="Arial"/>
          <w:sz w:val="22"/>
          <w:szCs w:val="22"/>
          <w:lang w:val="es-ES"/>
        </w:rPr>
        <w:t>,</w:t>
      </w:r>
      <w:r w:rsidRPr="0050010C" w:rsidR="00EA0931">
        <w:rPr>
          <w:rFonts w:ascii="Arial" w:hAnsi="Arial" w:eastAsia="Calibri" w:cs="Arial"/>
          <w:sz w:val="22"/>
          <w:szCs w:val="22"/>
          <w:lang w:val="es-ES"/>
        </w:rPr>
        <w:t xml:space="preserve"> en tanto entidades pertenecientes a la Rama Ejecutiva del poder público</w:t>
      </w:r>
      <w:r w:rsidRPr="0050010C" w:rsidR="00C43F85">
        <w:rPr>
          <w:rFonts w:ascii="Arial" w:hAnsi="Arial" w:eastAsia="Calibri" w:cs="Arial"/>
          <w:sz w:val="22"/>
          <w:szCs w:val="22"/>
          <w:lang w:val="es-ES"/>
        </w:rPr>
        <w:t>,</w:t>
      </w:r>
      <w:r w:rsidRPr="0050010C" w:rsidR="00EA0931">
        <w:rPr>
          <w:rFonts w:ascii="Arial" w:hAnsi="Arial" w:eastAsia="Calibri" w:cs="Arial"/>
          <w:sz w:val="22"/>
          <w:szCs w:val="22"/>
          <w:lang w:val="es-ES"/>
        </w:rPr>
        <w:t xml:space="preserve"> son sujetos obligados. De manera más clara, el literal e) señaló que las empresas públicas, del </w:t>
      </w:r>
      <w:r w:rsidRPr="0050010C" w:rsidR="00C43F85">
        <w:rPr>
          <w:rFonts w:ascii="Arial" w:hAnsi="Arial" w:eastAsia="Calibri" w:cs="Arial"/>
          <w:sz w:val="22"/>
          <w:szCs w:val="22"/>
          <w:lang w:val="es-ES"/>
        </w:rPr>
        <w:t>E</w:t>
      </w:r>
      <w:r w:rsidRPr="0050010C" w:rsidR="00EA0931">
        <w:rPr>
          <w:rFonts w:ascii="Arial" w:hAnsi="Arial" w:eastAsia="Calibri" w:cs="Arial"/>
          <w:sz w:val="22"/>
          <w:szCs w:val="22"/>
          <w:lang w:val="es-ES"/>
        </w:rPr>
        <w:t>stado y las sociedades en donde el Estado tenga participación son sujetos obligados. Como consecuencia, las ESP mixtas son sujetos obligados para efectos de la Ley 1712</w:t>
      </w:r>
      <w:r w:rsidRPr="0050010C" w:rsidR="009308FF">
        <w:rPr>
          <w:rFonts w:ascii="Arial" w:hAnsi="Arial" w:eastAsia="Calibri" w:cs="Arial"/>
          <w:sz w:val="22"/>
          <w:szCs w:val="22"/>
          <w:lang w:val="es-ES"/>
        </w:rPr>
        <w:t xml:space="preserve"> de 2014</w:t>
      </w:r>
      <w:r w:rsidRPr="0050010C" w:rsidR="00620142">
        <w:rPr>
          <w:rFonts w:ascii="Arial" w:hAnsi="Arial" w:eastAsia="Calibri" w:cs="Arial"/>
          <w:sz w:val="22"/>
          <w:szCs w:val="22"/>
          <w:lang w:val="es-ES"/>
        </w:rPr>
        <w:t>,</w:t>
      </w:r>
      <w:r w:rsidRPr="0050010C" w:rsidR="00EA0931">
        <w:rPr>
          <w:rFonts w:ascii="Arial" w:hAnsi="Arial" w:eastAsia="Calibri" w:cs="Arial"/>
          <w:sz w:val="22"/>
          <w:szCs w:val="22"/>
          <w:lang w:val="es-ES"/>
        </w:rPr>
        <w:t xml:space="preserve"> pues son empresas en </w:t>
      </w:r>
      <w:r w:rsidRPr="0050010C" w:rsidR="002B1961">
        <w:rPr>
          <w:rFonts w:ascii="Arial" w:hAnsi="Arial" w:eastAsia="Calibri" w:cs="Arial"/>
          <w:sz w:val="22"/>
          <w:szCs w:val="22"/>
          <w:lang w:val="es-ES"/>
        </w:rPr>
        <w:t>donde</w:t>
      </w:r>
      <w:r w:rsidRPr="0050010C" w:rsidR="00EA0931">
        <w:rPr>
          <w:rFonts w:ascii="Arial" w:hAnsi="Arial" w:eastAsia="Calibri" w:cs="Arial"/>
          <w:sz w:val="22"/>
          <w:szCs w:val="22"/>
          <w:lang w:val="es-ES"/>
        </w:rPr>
        <w:t xml:space="preserve"> el Estado tiene participación. </w:t>
      </w:r>
    </w:p>
    <w:p w:rsidRPr="0050010C" w:rsidR="000A5B77" w:rsidP="0050010C" w:rsidRDefault="005D516F" w14:paraId="56D3D204" w14:textId="5CDE54DC">
      <w:pPr>
        <w:tabs>
          <w:tab w:val="left" w:pos="426"/>
          <w:tab w:val="left" w:pos="8505"/>
        </w:tabs>
        <w:spacing w:after="120" w:line="276" w:lineRule="auto"/>
        <w:ind w:firstLine="709"/>
        <w:jc w:val="both"/>
        <w:rPr>
          <w:rFonts w:ascii="Arial" w:hAnsi="Arial" w:eastAsia="Calibri" w:cs="Arial"/>
          <w:sz w:val="22"/>
          <w:szCs w:val="22"/>
          <w:lang w:val="es-ES"/>
        </w:rPr>
      </w:pPr>
      <w:r w:rsidRPr="0050010C">
        <w:rPr>
          <w:rFonts w:ascii="Arial" w:hAnsi="Arial" w:eastAsia="Calibri" w:cs="Arial"/>
          <w:sz w:val="22"/>
          <w:szCs w:val="22"/>
          <w:lang w:val="es-ES"/>
        </w:rPr>
        <w:t>Ahora bien</w:t>
      </w:r>
      <w:r w:rsidRPr="0050010C" w:rsidR="00D7080C">
        <w:rPr>
          <w:rFonts w:ascii="Arial" w:hAnsi="Arial" w:eastAsia="Calibri" w:cs="Arial"/>
          <w:sz w:val="22"/>
          <w:szCs w:val="22"/>
          <w:lang w:val="es-ES"/>
        </w:rPr>
        <w:t xml:space="preserve">, el literal e) del artículo 5 </w:t>
      </w:r>
      <w:r w:rsidRPr="0050010C" w:rsidR="002B1961">
        <w:rPr>
          <w:rFonts w:ascii="Arial" w:hAnsi="Arial" w:eastAsia="Calibri" w:cs="Arial"/>
          <w:sz w:val="22"/>
          <w:szCs w:val="22"/>
          <w:lang w:val="es-ES"/>
        </w:rPr>
        <w:t>que se analiza</w:t>
      </w:r>
      <w:r w:rsidRPr="0050010C" w:rsidR="00D7080C">
        <w:rPr>
          <w:rFonts w:ascii="Arial" w:hAnsi="Arial" w:eastAsia="Calibri" w:cs="Arial"/>
          <w:sz w:val="22"/>
          <w:szCs w:val="22"/>
          <w:lang w:val="es-ES"/>
        </w:rPr>
        <w:t xml:space="preserve"> fue declarado condicionalmente exequible</w:t>
      </w:r>
      <w:r w:rsidRPr="0050010C" w:rsidR="002B1961">
        <w:rPr>
          <w:rFonts w:ascii="Arial" w:hAnsi="Arial" w:eastAsia="Calibri" w:cs="Arial"/>
          <w:sz w:val="22"/>
          <w:szCs w:val="22"/>
          <w:lang w:val="es-ES"/>
        </w:rPr>
        <w:t>,</w:t>
      </w:r>
      <w:r w:rsidRPr="0050010C" w:rsidR="00D7080C">
        <w:rPr>
          <w:rFonts w:ascii="Arial" w:hAnsi="Arial" w:eastAsia="Calibri" w:cs="Arial"/>
          <w:sz w:val="22"/>
          <w:szCs w:val="22"/>
          <w:lang w:val="es-ES"/>
        </w:rPr>
        <w:t xml:space="preserve"> en sentencia C-274 de 2013,</w:t>
      </w:r>
      <w:r w:rsidRPr="0050010C" w:rsidR="00620142">
        <w:rPr>
          <w:rFonts w:ascii="Arial" w:hAnsi="Arial" w:eastAsia="Calibri" w:cs="Arial"/>
          <w:sz w:val="22"/>
          <w:szCs w:val="22"/>
          <w:lang w:val="es-ES"/>
        </w:rPr>
        <w:t xml:space="preserve"> ya que «[…]</w:t>
      </w:r>
      <w:r w:rsidRPr="0050010C" w:rsidR="00D7080C">
        <w:rPr>
          <w:rFonts w:ascii="Arial" w:hAnsi="Arial" w:eastAsia="Calibri" w:cs="Arial"/>
          <w:sz w:val="22"/>
          <w:szCs w:val="22"/>
          <w:lang w:val="es-ES"/>
        </w:rPr>
        <w:t xml:space="preserve"> la información solicitada puede referirse a la actividad propia, industrial o comercial, cuya divulgación facilitaría una ventaja competitiva a otras empresas privadas que operen en el mismo sector, en detrimento de la actividad que las primeras desarrollan</w:t>
      </w:r>
      <w:r w:rsidRPr="0050010C" w:rsidR="00620142">
        <w:rPr>
          <w:rFonts w:ascii="Arial" w:hAnsi="Arial" w:eastAsia="Calibri" w:cs="Arial"/>
          <w:sz w:val="22"/>
          <w:szCs w:val="22"/>
          <w:lang w:val="es-ES"/>
        </w:rPr>
        <w:t>»</w:t>
      </w:r>
      <w:r w:rsidRPr="0050010C" w:rsidR="00D7080C">
        <w:rPr>
          <w:rFonts w:ascii="Arial" w:hAnsi="Arial" w:eastAsia="Calibri" w:cs="Arial"/>
          <w:sz w:val="22"/>
          <w:szCs w:val="22"/>
          <w:lang w:val="es-ES"/>
        </w:rPr>
        <w:t>.</w:t>
      </w:r>
      <w:r w:rsidRPr="0050010C" w:rsidR="00620142">
        <w:rPr>
          <w:rFonts w:ascii="Arial" w:hAnsi="Arial" w:eastAsia="Calibri" w:cs="Arial"/>
          <w:sz w:val="22"/>
          <w:szCs w:val="22"/>
          <w:lang w:val="es-ES"/>
        </w:rPr>
        <w:t xml:space="preserve"> </w:t>
      </w:r>
      <w:r w:rsidRPr="0050010C">
        <w:rPr>
          <w:rFonts w:ascii="Arial" w:hAnsi="Arial" w:eastAsia="Calibri" w:cs="Arial"/>
          <w:sz w:val="22"/>
          <w:szCs w:val="22"/>
          <w:lang w:val="es-ES"/>
        </w:rPr>
        <w:t>Por ello, e</w:t>
      </w:r>
      <w:r w:rsidRPr="0050010C" w:rsidR="000A5B77">
        <w:rPr>
          <w:rFonts w:ascii="Arial" w:hAnsi="Arial" w:eastAsia="Calibri" w:cs="Arial"/>
          <w:sz w:val="22"/>
          <w:szCs w:val="22"/>
          <w:lang w:val="es-ES"/>
        </w:rPr>
        <w:t>l referido literal e) es constitucional</w:t>
      </w:r>
      <w:r w:rsidRPr="0050010C" w:rsidR="00620142">
        <w:rPr>
          <w:rFonts w:ascii="Arial" w:hAnsi="Arial" w:eastAsia="Calibri" w:cs="Arial"/>
          <w:sz w:val="22"/>
          <w:szCs w:val="22"/>
          <w:lang w:val="es-ES"/>
        </w:rPr>
        <w:t xml:space="preserve"> </w:t>
      </w:r>
      <w:r w:rsidRPr="0050010C">
        <w:rPr>
          <w:rFonts w:ascii="Arial" w:hAnsi="Arial" w:eastAsia="Calibri" w:cs="Arial"/>
          <w:sz w:val="22"/>
          <w:szCs w:val="22"/>
          <w:lang w:val="es-ES"/>
        </w:rPr>
        <w:t>«</w:t>
      </w:r>
      <w:r w:rsidRPr="0050010C" w:rsidR="00D7080C">
        <w:rPr>
          <w:rFonts w:ascii="Arial" w:hAnsi="Arial" w:eastAsia="Calibri" w:cs="Arial"/>
          <w:sz w:val="22"/>
          <w:szCs w:val="22"/>
          <w:lang w:val="es-ES"/>
        </w:rPr>
        <w:t>en el entendido de que las personas obligadas, en relación con su actividad propia, industrial o comercial, no están sujetas al deber de información, con respecto a dicha activida</w:t>
      </w:r>
      <w:r w:rsidRPr="0050010C" w:rsidR="000A5B77">
        <w:rPr>
          <w:rFonts w:ascii="Arial" w:hAnsi="Arial" w:eastAsia="Calibri" w:cs="Arial"/>
          <w:sz w:val="22"/>
          <w:szCs w:val="22"/>
          <w:lang w:val="es-ES"/>
        </w:rPr>
        <w:t>d</w:t>
      </w:r>
      <w:r w:rsidRPr="0050010C">
        <w:rPr>
          <w:rFonts w:ascii="Arial" w:hAnsi="Arial" w:eastAsia="Calibri" w:cs="Arial"/>
          <w:sz w:val="22"/>
          <w:szCs w:val="22"/>
          <w:lang w:val="es-ES"/>
        </w:rPr>
        <w:t>»</w:t>
      </w:r>
      <w:r w:rsidRPr="0050010C" w:rsidR="00D7080C">
        <w:rPr>
          <w:rFonts w:ascii="Arial" w:hAnsi="Arial" w:eastAsia="Calibri" w:cs="Arial"/>
          <w:sz w:val="22"/>
          <w:szCs w:val="22"/>
          <w:lang w:val="es-ES"/>
        </w:rPr>
        <w:t xml:space="preserve">. </w:t>
      </w:r>
    </w:p>
    <w:p w:rsidR="0050010C" w:rsidP="0050010C" w:rsidRDefault="008D6A9F" w14:paraId="514690A3" w14:textId="77777777">
      <w:pPr>
        <w:spacing w:after="120" w:line="276" w:lineRule="auto"/>
        <w:ind w:firstLine="709"/>
        <w:jc w:val="both"/>
        <w:rPr>
          <w:rFonts w:ascii="Arial" w:hAnsi="Arial" w:eastAsia="Calibri" w:cs="Arial"/>
          <w:sz w:val="22"/>
          <w:szCs w:val="22"/>
          <w:lang w:val="es-ES"/>
        </w:rPr>
      </w:pPr>
      <w:r w:rsidRPr="0050010C">
        <w:rPr>
          <w:rFonts w:ascii="Arial" w:hAnsi="Arial" w:eastAsia="Calibri" w:cs="Arial"/>
          <w:sz w:val="22"/>
          <w:szCs w:val="22"/>
          <w:lang w:val="es-ES"/>
        </w:rPr>
        <w:t>La</w:t>
      </w:r>
      <w:r w:rsidRPr="0050010C" w:rsidR="008749A9">
        <w:rPr>
          <w:rFonts w:ascii="Arial" w:hAnsi="Arial" w:eastAsia="Calibri" w:cs="Arial"/>
          <w:sz w:val="22"/>
          <w:szCs w:val="22"/>
          <w:lang w:val="es-ES"/>
        </w:rPr>
        <w:t xml:space="preserve"> obligación </w:t>
      </w:r>
      <w:r w:rsidRPr="0050010C">
        <w:rPr>
          <w:rFonts w:ascii="Arial" w:hAnsi="Arial" w:eastAsia="Calibri" w:cs="Arial"/>
          <w:sz w:val="22"/>
          <w:szCs w:val="22"/>
          <w:lang w:val="es-ES"/>
        </w:rPr>
        <w:t xml:space="preserve">de publicar el </w:t>
      </w:r>
      <w:r w:rsidRPr="0050010C" w:rsidR="00071462">
        <w:rPr>
          <w:rFonts w:ascii="Arial" w:hAnsi="Arial" w:eastAsia="Calibri" w:cs="Arial"/>
          <w:sz w:val="22"/>
          <w:szCs w:val="22"/>
          <w:lang w:val="es-ES"/>
        </w:rPr>
        <w:t>p</w:t>
      </w:r>
      <w:r w:rsidRPr="0050010C" w:rsidR="00FA706A">
        <w:rPr>
          <w:rFonts w:ascii="Arial" w:hAnsi="Arial" w:eastAsia="Calibri" w:cs="Arial"/>
          <w:sz w:val="22"/>
          <w:szCs w:val="22"/>
          <w:lang w:val="es-ES"/>
        </w:rPr>
        <w:t>lan anual de adquisiciones</w:t>
      </w:r>
      <w:r w:rsidRPr="0050010C">
        <w:rPr>
          <w:rFonts w:ascii="Arial" w:hAnsi="Arial" w:eastAsia="Calibri" w:cs="Arial"/>
          <w:sz w:val="22"/>
          <w:szCs w:val="22"/>
          <w:lang w:val="es-ES"/>
        </w:rPr>
        <w:t xml:space="preserve">, </w:t>
      </w:r>
      <w:r w:rsidRPr="0050010C" w:rsidR="008749A9">
        <w:rPr>
          <w:rFonts w:ascii="Arial" w:hAnsi="Arial" w:eastAsia="Calibri" w:cs="Arial"/>
          <w:sz w:val="22"/>
          <w:szCs w:val="22"/>
          <w:lang w:val="es-ES"/>
        </w:rPr>
        <w:t>de origen legal</w:t>
      </w:r>
      <w:r w:rsidRPr="0050010C">
        <w:rPr>
          <w:rFonts w:ascii="Arial" w:hAnsi="Arial" w:eastAsia="Calibri" w:cs="Arial"/>
          <w:sz w:val="22"/>
          <w:szCs w:val="22"/>
          <w:lang w:val="es-ES"/>
        </w:rPr>
        <w:t>,</w:t>
      </w:r>
      <w:r w:rsidRPr="0050010C" w:rsidR="008749A9">
        <w:rPr>
          <w:rFonts w:ascii="Arial" w:hAnsi="Arial" w:eastAsia="Calibri" w:cs="Arial"/>
          <w:sz w:val="22"/>
          <w:szCs w:val="22"/>
          <w:lang w:val="es-ES"/>
        </w:rPr>
        <w:t xml:space="preserve"> encuentra desarrollo reglamentario en el Decreto 103 de 2015, compilado por el Decreto 1081 de 2015. En esa norma se establece</w:t>
      </w:r>
      <w:r w:rsidRPr="0050010C" w:rsidR="00007FBD">
        <w:rPr>
          <w:rFonts w:ascii="Arial" w:hAnsi="Arial" w:eastAsia="Calibri" w:cs="Arial"/>
          <w:sz w:val="22"/>
          <w:szCs w:val="22"/>
          <w:lang w:val="es-ES"/>
        </w:rPr>
        <w:t xml:space="preserve"> </w:t>
      </w:r>
      <w:r w:rsidRPr="0050010C" w:rsidR="00007FBD">
        <w:rPr>
          <w:rFonts w:ascii="Arial" w:hAnsi="Arial" w:eastAsia="Calibri" w:cs="Arial"/>
          <w:color w:val="000000" w:themeColor="text1"/>
          <w:sz w:val="22"/>
          <w:szCs w:val="22"/>
          <w:lang w:val="es-ES"/>
        </w:rPr>
        <w:t>que los sujetos obligados que contraten con cargo a recursos públicos tienen la obligación de publicar en el SECOP el plan anual de adquisiciones.</w:t>
      </w:r>
      <w:r w:rsidRPr="0050010C" w:rsidR="00007FBD">
        <w:rPr>
          <w:rStyle w:val="Refdenotaalpie"/>
          <w:rFonts w:ascii="Arial" w:hAnsi="Arial" w:eastAsia="Calibri" w:cs="Arial"/>
          <w:color w:val="000000" w:themeColor="text1"/>
          <w:sz w:val="22"/>
          <w:szCs w:val="22"/>
          <w:lang w:val="es-ES"/>
        </w:rPr>
        <w:footnoteReference w:id="12"/>
      </w:r>
    </w:p>
    <w:p w:rsidRPr="0050010C" w:rsidR="00672272" w:rsidP="00BE5DCB" w:rsidRDefault="00A13886" w14:paraId="0FF4AA80" w14:textId="56388C2B">
      <w:pPr>
        <w:spacing w:line="276" w:lineRule="auto"/>
        <w:ind w:firstLine="709"/>
        <w:jc w:val="both"/>
        <w:rPr>
          <w:rFonts w:ascii="Arial" w:hAnsi="Arial" w:eastAsia="Calibri" w:cs="Arial"/>
          <w:sz w:val="22"/>
          <w:szCs w:val="22"/>
          <w:lang w:val="es-ES"/>
        </w:rPr>
      </w:pPr>
      <w:r w:rsidRPr="0050010C">
        <w:rPr>
          <w:rFonts w:ascii="Arial" w:hAnsi="Arial" w:eastAsia="Calibri" w:cs="Arial"/>
          <w:color w:val="000000" w:themeColor="text1"/>
          <w:sz w:val="22"/>
          <w:szCs w:val="22"/>
          <w:lang w:val="es-ES"/>
        </w:rPr>
        <w:t>Lo anterior, se alinea perfectamente con las normas generales sobre el SECOP, en particular el artículo 3 de la Ley 1150 de 2007,</w:t>
      </w:r>
      <w:r w:rsidRPr="0050010C" w:rsidR="0088434E">
        <w:rPr>
          <w:rFonts w:ascii="Arial" w:hAnsi="Arial" w:eastAsia="Calibri" w:cs="Arial"/>
          <w:color w:val="000000" w:themeColor="text1"/>
          <w:sz w:val="22"/>
          <w:szCs w:val="22"/>
          <w:lang w:val="es-ES"/>
        </w:rPr>
        <w:t xml:space="preserve"> la jurisprudencia del Consejo de </w:t>
      </w:r>
      <w:r w:rsidRPr="0050010C" w:rsidR="0088434E">
        <w:rPr>
          <w:rFonts w:ascii="Arial" w:hAnsi="Arial" w:eastAsia="Calibri" w:cs="Arial"/>
          <w:color w:val="000000" w:themeColor="text1"/>
          <w:sz w:val="22"/>
          <w:szCs w:val="22"/>
          <w:lang w:val="es-ES"/>
        </w:rPr>
        <w:t>Estado</w:t>
      </w:r>
      <w:r w:rsidRPr="0050010C" w:rsidR="0088434E">
        <w:rPr>
          <w:rFonts w:ascii="Arial" w:hAnsi="Arial" w:eastAsia="Calibri" w:cs="Arial"/>
          <w:color w:val="000000" w:themeColor="text1"/>
          <w:sz w:val="22"/>
          <w:szCs w:val="22"/>
          <w:vertAlign w:val="superscript"/>
          <w:lang w:val="es-ES"/>
        </w:rPr>
        <w:footnoteReference w:id="13"/>
      </w:r>
      <w:r w:rsidRPr="0050010C" w:rsidR="0088434E">
        <w:rPr>
          <w:rFonts w:ascii="Arial" w:hAnsi="Arial" w:eastAsia="Calibri" w:cs="Arial"/>
          <w:color w:val="000000" w:themeColor="text1"/>
          <w:sz w:val="22"/>
          <w:szCs w:val="22"/>
          <w:lang w:val="es-ES"/>
        </w:rPr>
        <w:t xml:space="preserve">, </w:t>
      </w:r>
      <w:r w:rsidRPr="0050010C">
        <w:rPr>
          <w:rFonts w:ascii="Arial" w:hAnsi="Arial" w:eastAsia="Calibri" w:cs="Arial"/>
          <w:color w:val="000000" w:themeColor="text1"/>
          <w:sz w:val="22"/>
          <w:szCs w:val="22"/>
          <w:lang w:val="es-ES"/>
        </w:rPr>
        <w:t>así como con los conceptos emitidos por l</w:t>
      </w:r>
      <w:r w:rsidRPr="0050010C">
        <w:rPr>
          <w:rFonts w:ascii="Arial" w:hAnsi="Arial" w:eastAsia="Calibri" w:cs="Arial"/>
          <w:bCs/>
          <w:color w:val="000000" w:themeColor="text1"/>
          <w:sz w:val="22"/>
          <w:szCs w:val="22"/>
          <w:lang w:val="es-ES"/>
        </w:rPr>
        <w:t>a Agencia Nacional de Contratación Pública</w:t>
      </w:r>
      <w:r w:rsidRPr="0050010C" w:rsidR="00007FBD">
        <w:rPr>
          <w:rFonts w:ascii="Arial" w:hAnsi="Arial" w:eastAsia="Calibri" w:cs="Arial"/>
          <w:bCs/>
          <w:color w:val="000000" w:themeColor="text1"/>
          <w:sz w:val="22"/>
          <w:szCs w:val="22"/>
          <w:lang w:val="es-ES"/>
        </w:rPr>
        <w:t>.</w:t>
      </w:r>
      <w:r w:rsidRPr="0050010C" w:rsidR="008D6A9F">
        <w:rPr>
          <w:rFonts w:ascii="Arial" w:hAnsi="Arial" w:eastAsia="Calibri" w:cs="Arial"/>
          <w:sz w:val="22"/>
          <w:szCs w:val="22"/>
          <w:lang w:val="es-ES"/>
        </w:rPr>
        <w:t xml:space="preserve"> </w:t>
      </w:r>
      <w:r w:rsidRPr="0050010C" w:rsidR="00672272">
        <w:rPr>
          <w:rFonts w:ascii="Arial" w:hAnsi="Arial" w:eastAsia="Calibri" w:cs="Arial"/>
          <w:color w:val="000000" w:themeColor="text1"/>
          <w:sz w:val="22"/>
          <w:szCs w:val="22"/>
          <w:lang w:val="es-ES"/>
        </w:rPr>
        <w:t>Sobre el punto</w:t>
      </w:r>
      <w:r w:rsidRPr="0050010C" w:rsidR="00BA6AB6">
        <w:rPr>
          <w:rFonts w:ascii="Arial" w:hAnsi="Arial" w:eastAsia="Calibri" w:cs="Arial"/>
          <w:color w:val="000000" w:themeColor="text1"/>
          <w:sz w:val="22"/>
          <w:szCs w:val="22"/>
          <w:lang w:val="es-ES"/>
        </w:rPr>
        <w:t xml:space="preserve">, </w:t>
      </w:r>
      <w:r w:rsidRPr="0050010C" w:rsidR="00672272">
        <w:rPr>
          <w:rFonts w:ascii="Arial" w:hAnsi="Arial" w:eastAsia="Calibri" w:cs="Arial"/>
          <w:color w:val="000000" w:themeColor="text1"/>
          <w:sz w:val="22"/>
          <w:szCs w:val="22"/>
          <w:lang w:val="es-ES"/>
        </w:rPr>
        <w:t xml:space="preserve">la </w:t>
      </w:r>
      <w:r w:rsidRPr="0050010C" w:rsidR="00FA6C01">
        <w:rPr>
          <w:rFonts w:ascii="Arial" w:hAnsi="Arial" w:eastAsia="Calibri" w:cs="Arial"/>
          <w:color w:val="000000" w:themeColor="text1"/>
          <w:sz w:val="22"/>
          <w:szCs w:val="22"/>
          <w:lang w:val="es-ES"/>
        </w:rPr>
        <w:t xml:space="preserve">guía para las entidades </w:t>
      </w:r>
      <w:r w:rsidRPr="0050010C" w:rsidR="00241AA4">
        <w:rPr>
          <w:rFonts w:ascii="Arial" w:hAnsi="Arial" w:eastAsia="Calibri" w:cs="Arial"/>
          <w:color w:val="000000" w:themeColor="text1"/>
          <w:sz w:val="22"/>
          <w:szCs w:val="22"/>
          <w:lang w:val="es-ES"/>
        </w:rPr>
        <w:t xml:space="preserve">estatales </w:t>
      </w:r>
      <w:r w:rsidRPr="0050010C" w:rsidR="00672272">
        <w:rPr>
          <w:rFonts w:ascii="Arial" w:hAnsi="Arial" w:eastAsia="Calibri" w:cs="Arial"/>
          <w:color w:val="000000" w:themeColor="text1"/>
          <w:sz w:val="22"/>
          <w:szCs w:val="22"/>
          <w:lang w:val="es-ES"/>
        </w:rPr>
        <w:t xml:space="preserve">con régimen especial de contratación de la Agencia de Contratación Colombia Compra </w:t>
      </w:r>
      <w:r w:rsidRPr="0050010C" w:rsidR="00BA6AB6">
        <w:rPr>
          <w:rFonts w:ascii="Arial" w:hAnsi="Arial" w:eastAsia="Calibri" w:cs="Arial"/>
          <w:color w:val="000000" w:themeColor="text1"/>
          <w:sz w:val="22"/>
          <w:szCs w:val="22"/>
          <w:lang w:val="es-ES"/>
        </w:rPr>
        <w:t>explicó que</w:t>
      </w:r>
      <w:r w:rsidRPr="0050010C" w:rsidR="00672272">
        <w:rPr>
          <w:rFonts w:ascii="Arial" w:hAnsi="Arial" w:eastAsia="Calibri" w:cs="Arial"/>
          <w:color w:val="000000" w:themeColor="text1"/>
          <w:sz w:val="22"/>
          <w:szCs w:val="22"/>
          <w:lang w:val="es-ES"/>
        </w:rPr>
        <w:t>:</w:t>
      </w:r>
    </w:p>
    <w:p w:rsidRPr="00406E40" w:rsidR="00E80252" w:rsidP="00150EAF" w:rsidRDefault="00E80252" w14:paraId="23E719D6" w14:textId="77777777">
      <w:pPr>
        <w:tabs>
          <w:tab w:val="left" w:pos="426"/>
        </w:tabs>
        <w:spacing w:line="276" w:lineRule="auto"/>
        <w:jc w:val="both"/>
        <w:rPr>
          <w:rFonts w:ascii="Arial" w:hAnsi="Arial" w:eastAsia="Calibri" w:cs="Arial"/>
          <w:color w:val="000000" w:themeColor="text1"/>
          <w:sz w:val="22"/>
          <w:szCs w:val="22"/>
          <w:lang w:val="es-ES"/>
        </w:rPr>
      </w:pPr>
    </w:p>
    <w:p w:rsidRPr="00E80252" w:rsidR="00672272" w:rsidP="00007FBD" w:rsidRDefault="00672272" w14:paraId="0CA2D17B" w14:textId="257EE0FE">
      <w:pPr>
        <w:tabs>
          <w:tab w:val="left" w:pos="851"/>
        </w:tabs>
        <w:ind w:left="709" w:right="300" w:rightChars="125"/>
        <w:jc w:val="both"/>
        <w:rPr>
          <w:rFonts w:ascii="Arial" w:hAnsi="Arial" w:eastAsia="Calibri" w:cs="Arial"/>
          <w:color w:val="000000" w:themeColor="text1"/>
          <w:sz w:val="21"/>
          <w:szCs w:val="21"/>
          <w:lang w:val="es-ES"/>
        </w:rPr>
      </w:pPr>
      <w:r w:rsidRPr="00E80252">
        <w:rPr>
          <w:rFonts w:ascii="Arial" w:hAnsi="Arial" w:eastAsia="Calibri" w:cs="Arial"/>
          <w:color w:val="000000" w:themeColor="text1"/>
          <w:sz w:val="21"/>
          <w:szCs w:val="21"/>
          <w:lang w:val="es-ES"/>
        </w:rPr>
        <w:t>Todas las Entidades Estatales, incluidas las Entidades Estatales de régimen especial, deben contar con un Plan de Acción, el cual debe contener un plan general de compras.</w:t>
      </w:r>
    </w:p>
    <w:p w:rsidRPr="00E80252" w:rsidR="00672272" w:rsidP="00BE5DCB" w:rsidRDefault="00672272" w14:paraId="75E2FAD9" w14:textId="6404C291">
      <w:pPr>
        <w:tabs>
          <w:tab w:val="left" w:pos="851"/>
        </w:tabs>
        <w:spacing w:after="120"/>
        <w:ind w:left="709" w:right="300" w:rightChars="125"/>
        <w:jc w:val="both"/>
        <w:rPr>
          <w:rFonts w:ascii="Arial" w:hAnsi="Arial" w:eastAsia="Calibri" w:cs="Arial"/>
          <w:color w:val="000000" w:themeColor="text1"/>
          <w:sz w:val="21"/>
          <w:szCs w:val="21"/>
          <w:lang w:val="es-ES"/>
        </w:rPr>
      </w:pPr>
      <w:r w:rsidRPr="00E80252">
        <w:rPr>
          <w:rFonts w:ascii="Arial" w:hAnsi="Arial" w:eastAsia="Calibri" w:cs="Arial"/>
          <w:color w:val="000000" w:themeColor="text1"/>
          <w:sz w:val="21"/>
          <w:szCs w:val="21"/>
          <w:lang w:val="es-ES"/>
        </w:rPr>
        <w:t xml:space="preserve">[…] </w:t>
      </w:r>
    </w:p>
    <w:p w:rsidRPr="00E80252" w:rsidR="00672272" w:rsidP="00007FBD" w:rsidRDefault="00672272" w14:paraId="65441A27" w14:textId="43871788">
      <w:pPr>
        <w:tabs>
          <w:tab w:val="left" w:pos="851"/>
        </w:tabs>
        <w:ind w:left="709" w:right="300" w:rightChars="125"/>
        <w:jc w:val="both"/>
        <w:rPr>
          <w:rFonts w:ascii="Arial" w:hAnsi="Arial" w:eastAsia="Calibri" w:cs="Arial"/>
          <w:color w:val="000000" w:themeColor="text1"/>
          <w:sz w:val="21"/>
          <w:szCs w:val="21"/>
          <w:lang w:val="es-ES"/>
        </w:rPr>
      </w:pPr>
      <w:r w:rsidRPr="00E80252">
        <w:rPr>
          <w:rFonts w:ascii="Arial" w:hAnsi="Arial" w:eastAsia="Calibri" w:cs="Arial"/>
          <w:color w:val="000000" w:themeColor="text1"/>
          <w:sz w:val="21"/>
          <w:szCs w:val="21"/>
          <w:lang w:val="es-ES"/>
        </w:rPr>
        <w:t xml:space="preserve">El Plan Anual debe ser publicado y actualizado en el SECOP y en la página web de cada Entidad Estatal. </w:t>
      </w:r>
    </w:p>
    <w:p w:rsidR="00E80252" w:rsidP="00150EAF" w:rsidRDefault="00E80252" w14:paraId="696109E2" w14:textId="77777777">
      <w:pPr>
        <w:tabs>
          <w:tab w:val="left" w:pos="426"/>
          <w:tab w:val="left" w:pos="8505"/>
        </w:tabs>
        <w:spacing w:line="276" w:lineRule="auto"/>
        <w:jc w:val="both"/>
        <w:rPr>
          <w:rFonts w:ascii="Arial" w:hAnsi="Arial" w:eastAsia="Calibri" w:cs="Arial"/>
          <w:color w:val="000000" w:themeColor="text1"/>
          <w:sz w:val="22"/>
          <w:szCs w:val="22"/>
          <w:lang w:val="es-ES"/>
        </w:rPr>
      </w:pPr>
    </w:p>
    <w:p w:rsidRPr="00BF1C69" w:rsidR="00007FBD" w:rsidP="075DED84" w:rsidRDefault="006B5575" w14:paraId="10CCE83C" w14:textId="21C68F8C" w14:noSpellErr="1">
      <w:pPr>
        <w:tabs>
          <w:tab w:val="left" w:pos="426"/>
        </w:tabs>
        <w:spacing w:after="120" w:line="276" w:lineRule="auto"/>
        <w:jc w:val="both"/>
        <w:rPr>
          <w:rFonts w:ascii="Arial" w:hAnsi="Arial" w:eastAsia="Calibri" w:cs="Arial"/>
          <w:sz w:val="22"/>
          <w:szCs w:val="22"/>
          <w:lang w:val="en-GB"/>
        </w:rPr>
      </w:pPr>
      <w:r w:rsidRPr="00406E40">
        <w:rPr>
          <w:rFonts w:ascii="Arial" w:hAnsi="Arial" w:eastAsia="Calibri" w:cs="Arial"/>
          <w:color w:val="000000" w:themeColor="text1"/>
          <w:sz w:val="22"/>
          <w:szCs w:val="22"/>
          <w:lang w:val="es-ES"/>
        </w:rPr>
        <w:tab/>
      </w:r>
      <w:r w:rsidR="00DA046D">
        <w:rPr>
          <w:rFonts w:ascii="Arial" w:hAnsi="Arial" w:eastAsia="Calibri" w:cs="Arial"/>
          <w:color w:val="000000" w:themeColor="text1"/>
          <w:sz w:val="22"/>
          <w:szCs w:val="22"/>
          <w:lang w:val="es-ES"/>
        </w:rPr>
        <w:tab/>
      </w:r>
      <w:r w:rsidRPr="075DED84" w:rsidR="009308FF">
        <w:rPr>
          <w:rFonts w:ascii="Arial" w:hAnsi="Arial" w:eastAsia="Calibri" w:cs="Arial"/>
          <w:color w:val="000000" w:themeColor="text1"/>
          <w:sz w:val="22"/>
          <w:szCs w:val="22"/>
          <w:lang w:val="en-GB"/>
        </w:rPr>
        <w:t xml:space="preserve">A manera de conclusión, </w:t>
      </w:r>
      <w:r w:rsidRPr="075DED84" w:rsidR="00F05ECE">
        <w:rPr>
          <w:rFonts w:ascii="Arial" w:hAnsi="Arial" w:eastAsia="Calibri" w:cs="Arial"/>
          <w:color w:val="000000" w:themeColor="text1"/>
          <w:sz w:val="22"/>
          <w:szCs w:val="22"/>
          <w:lang w:val="en-GB"/>
        </w:rPr>
        <w:t xml:space="preserve">no </w:t>
      </w:r>
      <w:r w:rsidRPr="075DED84" w:rsidR="009308FF">
        <w:rPr>
          <w:rFonts w:ascii="Arial" w:hAnsi="Arial" w:eastAsia="Calibri" w:cs="Arial"/>
          <w:color w:val="000000" w:themeColor="text1"/>
          <w:sz w:val="22"/>
          <w:szCs w:val="22"/>
          <w:lang w:val="en-GB"/>
        </w:rPr>
        <w:t>queda</w:t>
      </w:r>
      <w:r w:rsidRPr="075DED84" w:rsidR="00F05ECE">
        <w:rPr>
          <w:rFonts w:ascii="Arial" w:hAnsi="Arial" w:eastAsia="Calibri" w:cs="Arial"/>
          <w:color w:val="000000" w:themeColor="text1"/>
          <w:sz w:val="22"/>
          <w:szCs w:val="22"/>
          <w:lang w:val="en-GB"/>
        </w:rPr>
        <w:t xml:space="preserve"> duda sobre la obligación de las empresas de servicios públicos mixtas de publicar el plan anual de adquisiciones con todas las contrataciones que </w:t>
      </w:r>
      <w:r w:rsidRPr="075DED84" w:rsidR="00DA046D">
        <w:rPr>
          <w:rFonts w:ascii="Arial" w:hAnsi="Arial" w:eastAsia="Calibri" w:cs="Arial"/>
          <w:color w:val="000000" w:themeColor="text1"/>
          <w:sz w:val="22"/>
          <w:szCs w:val="22"/>
          <w:lang w:val="en-GB"/>
        </w:rPr>
        <w:t>se realicen</w:t>
      </w:r>
      <w:r w:rsidRPr="075DED84" w:rsidR="00F05ECE">
        <w:rPr>
          <w:rFonts w:ascii="Arial" w:hAnsi="Arial" w:eastAsia="Calibri" w:cs="Arial"/>
          <w:color w:val="000000" w:themeColor="text1"/>
          <w:sz w:val="22"/>
          <w:szCs w:val="22"/>
          <w:lang w:val="en-GB"/>
        </w:rPr>
        <w:t xml:space="preserve"> con cargo a recursos públicos</w:t>
      </w:r>
      <w:r w:rsidRPr="075DED84" w:rsidR="009308FF">
        <w:rPr>
          <w:rFonts w:ascii="Arial" w:hAnsi="Arial" w:eastAsia="Calibri" w:cs="Arial"/>
          <w:color w:val="000000" w:themeColor="text1"/>
          <w:sz w:val="22"/>
          <w:szCs w:val="22"/>
          <w:lang w:val="en-GB"/>
        </w:rPr>
        <w:t xml:space="preserve">, con la aclaración, proveniente de la sentencia de constitucionalidad analizada, según la cual </w:t>
      </w:r>
      <w:r w:rsidRPr="075DED84" w:rsidR="009308FF">
        <w:rPr>
          <w:rFonts w:ascii="Arial" w:hAnsi="Arial" w:eastAsia="Calibri" w:cs="Arial"/>
          <w:sz w:val="22"/>
          <w:szCs w:val="22"/>
          <w:lang w:val="en-GB"/>
        </w:rPr>
        <w:t>«</w:t>
      </w:r>
      <w:r w:rsidRPr="075DED84" w:rsidR="009308FF">
        <w:rPr>
          <w:rFonts w:ascii="Arial" w:hAnsi="Arial" w:eastAsia="Calibri" w:cs="Arial"/>
          <w:sz w:val="22"/>
          <w:szCs w:val="22"/>
          <w:lang w:val="en-GB"/>
        </w:rPr>
        <w:t>no están sujetas al deber de información</w:t>
      </w:r>
      <w:r w:rsidRPr="075DED84" w:rsidR="009308FF">
        <w:rPr>
          <w:rFonts w:ascii="Arial" w:hAnsi="Arial" w:eastAsia="Calibri" w:cs="Arial"/>
          <w:sz w:val="22"/>
          <w:szCs w:val="22"/>
          <w:lang w:val="en-GB"/>
        </w:rPr>
        <w:t>»</w:t>
      </w:r>
      <w:r w:rsidRPr="075DED84" w:rsidR="009308FF">
        <w:rPr>
          <w:rFonts w:ascii="Arial" w:hAnsi="Arial" w:eastAsia="Calibri" w:cs="Arial"/>
          <w:sz w:val="22"/>
          <w:szCs w:val="22"/>
          <w:lang w:val="en-GB"/>
        </w:rPr>
        <w:t xml:space="preserve"> con respecto a su </w:t>
      </w:r>
      <w:r w:rsidRPr="075DED84" w:rsidR="009308FF">
        <w:rPr>
          <w:rFonts w:ascii="Arial" w:hAnsi="Arial" w:eastAsia="Calibri" w:cs="Arial"/>
          <w:sz w:val="22"/>
          <w:szCs w:val="22"/>
          <w:lang w:val="en-GB"/>
        </w:rPr>
        <w:t>«</w:t>
      </w:r>
      <w:r w:rsidRPr="075DED84" w:rsidR="009308FF">
        <w:rPr>
          <w:rFonts w:ascii="Arial" w:hAnsi="Arial" w:eastAsia="Calibri" w:cs="Arial"/>
          <w:sz w:val="22"/>
          <w:szCs w:val="22"/>
          <w:lang w:val="en-GB"/>
        </w:rPr>
        <w:t>actividad propia, industrial y comercial</w:t>
      </w:r>
      <w:r w:rsidRPr="075DED84" w:rsidR="009308FF">
        <w:rPr>
          <w:rFonts w:ascii="Arial" w:hAnsi="Arial" w:eastAsia="Calibri" w:cs="Arial"/>
          <w:sz w:val="22"/>
          <w:szCs w:val="22"/>
          <w:lang w:val="en-GB"/>
        </w:rPr>
        <w:t>»</w:t>
      </w:r>
      <w:r w:rsidRPr="075DED84" w:rsidR="009308FF">
        <w:rPr>
          <w:rFonts w:ascii="Arial" w:hAnsi="Arial" w:eastAsia="Calibri" w:cs="Arial"/>
          <w:sz w:val="22"/>
          <w:szCs w:val="22"/>
          <w:lang w:val="en-GB"/>
        </w:rPr>
        <w:t>.</w:t>
      </w:r>
      <w:r w:rsidRPr="075DED84" w:rsidR="00007FBD">
        <w:rPr>
          <w:rFonts w:ascii="Arial" w:hAnsi="Arial" w:eastAsia="Calibri" w:cs="Arial"/>
          <w:sz w:val="22"/>
          <w:szCs w:val="22"/>
          <w:lang w:val="en-GB"/>
        </w:rPr>
        <w:t xml:space="preserve"> </w:t>
      </w:r>
      <w:r w:rsidRPr="075DED84" w:rsidR="00007FBD">
        <w:rPr>
          <w:rFonts w:ascii="Arial" w:hAnsi="Arial" w:eastAsia="Calibri" w:cs="Arial"/>
          <w:sz w:val="22"/>
          <w:szCs w:val="22"/>
          <w:lang w:val="en-GB"/>
        </w:rPr>
        <w:t>Lo anterior</w:t>
      </w:r>
      <w:r w:rsidRPr="075DED84" w:rsidR="00007FBD">
        <w:rPr>
          <w:rFonts w:ascii="Arial" w:hAnsi="Arial" w:eastAsia="Calibri" w:cs="Arial"/>
          <w:sz w:val="22"/>
          <w:szCs w:val="22"/>
          <w:lang w:val="en-GB"/>
        </w:rPr>
        <w:t xml:space="preserve"> es congruente</w:t>
      </w:r>
      <w:r w:rsidRPr="075DED84" w:rsidR="00007FBD">
        <w:rPr>
          <w:rFonts w:ascii="Arial" w:hAnsi="Arial" w:eastAsia="Calibri" w:cs="Arial"/>
          <w:sz w:val="22"/>
          <w:szCs w:val="22"/>
          <w:lang w:val="en-GB"/>
        </w:rPr>
        <w:t xml:space="preserve"> con otras normas del ordenamiento jurídico</w:t>
      </w:r>
      <w:r w:rsidRPr="075DED84" w:rsidR="00007FBD">
        <w:rPr>
          <w:rFonts w:ascii="Arial" w:hAnsi="Arial" w:eastAsia="Calibri" w:cs="Arial"/>
          <w:sz w:val="22"/>
          <w:szCs w:val="22"/>
          <w:lang w:val="en-GB"/>
        </w:rPr>
        <w:t>,</w:t>
      </w:r>
      <w:r w:rsidRPr="075DED84" w:rsidR="00007FBD">
        <w:rPr>
          <w:rFonts w:ascii="Arial" w:hAnsi="Arial" w:eastAsia="Calibri" w:cs="Arial"/>
          <w:sz w:val="22"/>
          <w:szCs w:val="22"/>
          <w:lang w:val="en-GB"/>
        </w:rPr>
        <w:t xml:space="preserve"> como el artículo 18</w:t>
      </w:r>
      <w:r w:rsidRPr="075DED84" w:rsidR="00007FBD">
        <w:rPr>
          <w:rFonts w:ascii="Arial" w:hAnsi="Arial" w:eastAsia="Calibri" w:cs="Arial"/>
          <w:sz w:val="22"/>
          <w:szCs w:val="22"/>
          <w:lang w:val="en-GB"/>
        </w:rPr>
        <w:t>,</w:t>
      </w:r>
      <w:r w:rsidRPr="075DED84" w:rsidR="00007FBD">
        <w:rPr>
          <w:rFonts w:ascii="Arial" w:hAnsi="Arial" w:eastAsia="Calibri" w:cs="Arial"/>
          <w:sz w:val="22"/>
          <w:szCs w:val="22"/>
          <w:lang w:val="en-GB"/>
        </w:rPr>
        <w:t xml:space="preserve"> literal c)</w:t>
      </w:r>
      <w:r w:rsidRPr="075DED84" w:rsidR="00007FBD">
        <w:rPr>
          <w:rFonts w:ascii="Arial" w:hAnsi="Arial" w:eastAsia="Calibri" w:cs="Arial"/>
          <w:sz w:val="22"/>
          <w:szCs w:val="22"/>
          <w:lang w:val="en-GB"/>
        </w:rPr>
        <w:t>, de la Ley 1712</w:t>
      </w:r>
      <w:r w:rsidRPr="075DED84" w:rsidR="00007FBD">
        <w:rPr>
          <w:rFonts w:ascii="Arial" w:hAnsi="Arial" w:eastAsia="Calibri" w:cs="Arial"/>
          <w:sz w:val="22"/>
          <w:szCs w:val="22"/>
          <w:lang w:val="en-GB"/>
        </w:rPr>
        <w:t xml:space="preserve"> que establece como excepción al acceso a la información </w:t>
      </w:r>
      <w:r w:rsidRPr="075DED84" w:rsidR="00007FBD">
        <w:rPr>
          <w:rFonts w:ascii="Arial" w:hAnsi="Arial" w:eastAsia="Calibri" w:cs="Arial"/>
          <w:sz w:val="22"/>
          <w:szCs w:val="22"/>
          <w:lang w:val="en-GB"/>
        </w:rPr>
        <w:t>«</w:t>
      </w:r>
      <w:r w:rsidRPr="075DED84" w:rsidR="00007FBD">
        <w:rPr>
          <w:rFonts w:ascii="Arial" w:hAnsi="Arial" w:eastAsia="Calibri" w:cs="Arial"/>
          <w:sz w:val="22"/>
          <w:szCs w:val="22"/>
          <w:lang w:val="en-GB"/>
        </w:rPr>
        <w:t>c) Los secretos comerciales, industriales y profesionales</w:t>
      </w:r>
      <w:r w:rsidRPr="075DED84" w:rsidR="00007FBD">
        <w:rPr>
          <w:rFonts w:ascii="Arial" w:hAnsi="Arial" w:eastAsia="Calibri" w:cs="Arial"/>
          <w:sz w:val="22"/>
          <w:szCs w:val="22"/>
          <w:lang w:val="en-GB"/>
        </w:rPr>
        <w:t>»</w:t>
      </w:r>
      <w:r w:rsidRPr="075DED84" w:rsidR="00007FBD">
        <w:rPr>
          <w:rFonts w:ascii="Arial" w:hAnsi="Arial" w:eastAsia="Calibri" w:cs="Arial"/>
          <w:sz w:val="22"/>
          <w:szCs w:val="22"/>
          <w:lang w:val="en-GB"/>
        </w:rPr>
        <w:t xml:space="preserve">. </w:t>
      </w:r>
      <w:r w:rsidRPr="075DED84" w:rsidR="00007FBD">
        <w:rPr>
          <w:rFonts w:ascii="Arial" w:hAnsi="Arial" w:eastAsia="Calibri" w:cs="Arial"/>
          <w:sz w:val="22"/>
          <w:szCs w:val="22"/>
          <w:lang w:val="en-GB"/>
        </w:rPr>
        <w:t>Lo anterior, sumado a que</w:t>
      </w:r>
      <w:r w:rsidRPr="075DED84" w:rsidR="00007FBD">
        <w:rPr>
          <w:rFonts w:ascii="Arial" w:hAnsi="Arial" w:eastAsia="Calibri" w:cs="Arial"/>
          <w:sz w:val="22"/>
          <w:szCs w:val="22"/>
          <w:lang w:val="en-GB"/>
        </w:rPr>
        <w:t xml:space="preserve"> el </w:t>
      </w:r>
      <w:r w:rsidRPr="075DED84" w:rsidR="00007FBD">
        <w:rPr>
          <w:rFonts w:ascii="Arial" w:hAnsi="Arial" w:eastAsia="Calibri" w:cs="Arial"/>
          <w:sz w:val="22"/>
          <w:szCs w:val="22"/>
          <w:lang w:val="en-GB"/>
        </w:rPr>
        <w:t xml:space="preserve">numeral 6 del </w:t>
      </w:r>
      <w:r w:rsidRPr="075DED84" w:rsidR="00007FBD">
        <w:rPr>
          <w:rFonts w:ascii="Arial" w:hAnsi="Arial" w:eastAsia="Calibri" w:cs="Arial"/>
          <w:sz w:val="22"/>
          <w:szCs w:val="22"/>
          <w:lang w:val="en-GB"/>
        </w:rPr>
        <w:t xml:space="preserve">artículo 24 del Código de Procedimiento Administrativo y de lo Contencioso </w:t>
      </w:r>
      <w:r w:rsidRPr="075DED84" w:rsidR="00007FBD">
        <w:rPr>
          <w:rFonts w:ascii="Arial" w:hAnsi="Arial" w:eastAsia="Calibri" w:cs="Arial"/>
          <w:sz w:val="22"/>
          <w:szCs w:val="22"/>
          <w:lang w:val="en-GB"/>
        </w:rPr>
        <w:t>Administrativo otorga carácter reservado a los documentos</w:t>
      </w:r>
      <w:r w:rsidRPr="075DED84" w:rsidR="00007FBD">
        <w:rPr>
          <w:rFonts w:ascii="Arial" w:hAnsi="Arial" w:eastAsia="Calibri" w:cs="Arial"/>
          <w:sz w:val="22"/>
          <w:szCs w:val="22"/>
          <w:lang w:val="en-GB"/>
        </w:rPr>
        <w:t xml:space="preserve"> </w:t>
      </w:r>
      <w:bookmarkStart w:name="OLE_LINK1" w:id="4"/>
      <w:bookmarkStart w:name="OLE_LINK2" w:id="5"/>
      <w:r w:rsidRPr="075DED84" w:rsidR="00007FBD">
        <w:rPr>
          <w:rFonts w:ascii="Arial" w:hAnsi="Arial" w:eastAsia="Calibri" w:cs="Arial"/>
          <w:sz w:val="22"/>
          <w:szCs w:val="22"/>
          <w:lang w:val="en-GB"/>
        </w:rPr>
        <w:t>«[</w:t>
      </w:r>
      <w:r w:rsidRPr="075DED84" w:rsidR="00007FBD">
        <w:rPr>
          <w:rFonts w:ascii="Arial" w:hAnsi="Arial" w:eastAsia="Calibri" w:cs="Arial"/>
          <w:sz w:val="22"/>
          <w:szCs w:val="22"/>
          <w:lang w:val="en-GB"/>
        </w:rPr>
        <w:t>…]</w:t>
      </w:r>
      <w:r w:rsidRPr="075DED84" w:rsidR="00007FBD">
        <w:rPr>
          <w:rFonts w:ascii="Arial" w:hAnsi="Arial" w:eastAsia="Calibri" w:cs="Arial"/>
          <w:sz w:val="22"/>
          <w:szCs w:val="22"/>
          <w:lang w:val="en-GB"/>
        </w:rPr>
        <w:t xml:space="preserve"> protegidos por el secreto comercial o industrial, así como los planes estratégicos de las empresas públicas de servicios públicos</w:t>
      </w:r>
      <w:r w:rsidRPr="075DED84" w:rsidR="00007FBD">
        <w:rPr>
          <w:rFonts w:ascii="Arial" w:hAnsi="Arial" w:eastAsia="Calibri" w:cs="Arial"/>
          <w:sz w:val="22"/>
          <w:szCs w:val="22"/>
          <w:lang w:val="en-GB"/>
        </w:rPr>
        <w:t>»</w:t>
      </w:r>
      <w:bookmarkEnd w:id="4"/>
      <w:bookmarkEnd w:id="5"/>
      <w:r w:rsidRPr="075DED84" w:rsidR="00BF1C69">
        <w:rPr>
          <w:rFonts w:ascii="Arial" w:hAnsi="Arial" w:eastAsia="Calibri" w:cs="Arial"/>
          <w:sz w:val="22"/>
          <w:szCs w:val="22"/>
          <w:lang w:val="en-GB"/>
        </w:rPr>
        <w:t>.</w:t>
      </w:r>
    </w:p>
    <w:p w:rsidRPr="00197ADB" w:rsidR="00197ADB" w:rsidRDefault="00C220CF" w14:paraId="34CE5F94" w14:textId="11238967">
      <w:pPr>
        <w:tabs>
          <w:tab w:val="left" w:pos="426"/>
        </w:tabs>
        <w:spacing w:after="120" w:line="276" w:lineRule="auto"/>
        <w:ind w:firstLine="709"/>
        <w:jc w:val="both"/>
        <w:rPr>
          <w:rFonts w:ascii="Arial" w:hAnsi="Arial" w:eastAsia="Calibri" w:cs="Arial"/>
          <w:color w:val="000000" w:themeColor="text1"/>
          <w:sz w:val="22"/>
          <w:szCs w:val="22"/>
          <w:lang w:val="es-ES"/>
        </w:rPr>
      </w:pPr>
      <w:r>
        <w:rPr>
          <w:rFonts w:ascii="Arial" w:hAnsi="Arial" w:eastAsia="Calibri" w:cs="Arial"/>
          <w:color w:val="000000" w:themeColor="text1"/>
          <w:sz w:val="22"/>
          <w:szCs w:val="22"/>
          <w:lang w:val="es-ES"/>
        </w:rPr>
        <w:t>R</w:t>
      </w:r>
      <w:r w:rsidRPr="00406E40" w:rsidR="0088434E">
        <w:rPr>
          <w:rFonts w:ascii="Arial" w:hAnsi="Arial" w:eastAsia="Calibri" w:cs="Arial"/>
          <w:color w:val="000000" w:themeColor="text1"/>
          <w:sz w:val="22"/>
          <w:szCs w:val="22"/>
          <w:lang w:val="es-ES"/>
        </w:rPr>
        <w:t>esta establecer si la excepción</w:t>
      </w:r>
      <w:r w:rsidRPr="00406E40" w:rsidR="008632AF">
        <w:rPr>
          <w:rFonts w:ascii="Arial" w:hAnsi="Arial" w:eastAsia="Calibri" w:cs="Arial"/>
          <w:color w:val="000000" w:themeColor="text1"/>
          <w:sz w:val="22"/>
          <w:szCs w:val="22"/>
          <w:lang w:val="es-ES"/>
        </w:rPr>
        <w:t xml:space="preserve"> de publicar la información sobre los </w:t>
      </w:r>
      <w:r w:rsidR="00782BE3">
        <w:rPr>
          <w:rFonts w:ascii="Arial" w:hAnsi="Arial" w:eastAsia="Calibri" w:cs="Arial"/>
          <w:color w:val="000000" w:themeColor="text1"/>
          <w:sz w:val="22"/>
          <w:szCs w:val="22"/>
          <w:lang w:val="es-ES"/>
        </w:rPr>
        <w:t>«</w:t>
      </w:r>
      <w:r w:rsidRPr="00406E40" w:rsidR="008632AF">
        <w:rPr>
          <w:rFonts w:ascii="Arial" w:hAnsi="Arial" w:eastAsia="Calibri" w:cs="Arial"/>
          <w:color w:val="000000" w:themeColor="text1"/>
          <w:sz w:val="22"/>
          <w:szCs w:val="22"/>
          <w:lang w:val="es-ES"/>
        </w:rPr>
        <w:t xml:space="preserve">proyectos de </w:t>
      </w:r>
      <w:r w:rsidRPr="0067386C" w:rsidR="008632AF">
        <w:rPr>
          <w:rFonts w:ascii="Arial" w:hAnsi="Arial" w:eastAsia="Calibri" w:cs="Arial"/>
          <w:color w:val="000000" w:themeColor="text1"/>
          <w:sz w:val="22"/>
          <w:szCs w:val="22"/>
          <w:lang w:val="es-ES"/>
        </w:rPr>
        <w:t>inversi</w:t>
      </w:r>
      <w:r w:rsidRPr="0067386C">
        <w:rPr>
          <w:rFonts w:ascii="Arial" w:hAnsi="Arial" w:eastAsia="Calibri" w:cs="Arial"/>
          <w:color w:val="000000" w:themeColor="text1"/>
          <w:sz w:val="22"/>
          <w:szCs w:val="22"/>
          <w:lang w:val="es-ES"/>
        </w:rPr>
        <w:t>ones</w:t>
      </w:r>
      <w:r w:rsidRPr="00BE5DCB" w:rsidR="00782BE3">
        <w:rPr>
          <w:rFonts w:ascii="Arial" w:hAnsi="Arial" w:eastAsia="Calibri" w:cs="Arial"/>
          <w:color w:val="000000" w:themeColor="text1"/>
          <w:sz w:val="22"/>
          <w:szCs w:val="22"/>
          <w:lang w:val="es-ES"/>
        </w:rPr>
        <w:t>»</w:t>
      </w:r>
      <w:r w:rsidRPr="00406E40" w:rsidR="008632AF">
        <w:rPr>
          <w:rFonts w:ascii="Arial" w:hAnsi="Arial" w:eastAsia="Calibri" w:cs="Arial"/>
          <w:color w:val="000000" w:themeColor="text1"/>
          <w:sz w:val="22"/>
          <w:szCs w:val="22"/>
          <w:lang w:val="es-ES"/>
        </w:rPr>
        <w:t xml:space="preserve"> en el </w:t>
      </w:r>
      <w:r>
        <w:rPr>
          <w:rFonts w:ascii="Arial" w:hAnsi="Arial" w:eastAsia="Calibri" w:cs="Arial"/>
          <w:color w:val="000000" w:themeColor="text1"/>
          <w:sz w:val="22"/>
          <w:szCs w:val="22"/>
          <w:lang w:val="es-ES"/>
        </w:rPr>
        <w:t>p</w:t>
      </w:r>
      <w:r w:rsidR="00FA706A">
        <w:rPr>
          <w:rFonts w:ascii="Arial" w:hAnsi="Arial" w:eastAsia="Calibri" w:cs="Arial"/>
          <w:color w:val="000000" w:themeColor="text1"/>
          <w:sz w:val="22"/>
          <w:szCs w:val="22"/>
          <w:lang w:val="es-ES"/>
        </w:rPr>
        <w:t>lan anual de adquisiciones</w:t>
      </w:r>
      <w:r w:rsidRPr="00406E40" w:rsidR="008632AF">
        <w:rPr>
          <w:rFonts w:ascii="Arial" w:hAnsi="Arial" w:eastAsia="Calibri" w:cs="Arial"/>
          <w:color w:val="000000" w:themeColor="text1"/>
          <w:sz w:val="22"/>
          <w:szCs w:val="22"/>
          <w:lang w:val="es-ES"/>
        </w:rPr>
        <w:t xml:space="preserve">, </w:t>
      </w:r>
      <w:r w:rsidR="00007FBD">
        <w:rPr>
          <w:rFonts w:ascii="Arial" w:hAnsi="Arial" w:eastAsia="Calibri" w:cs="Arial"/>
          <w:color w:val="000000" w:themeColor="text1"/>
          <w:sz w:val="22"/>
          <w:szCs w:val="22"/>
          <w:lang w:val="es-ES"/>
        </w:rPr>
        <w:t xml:space="preserve">establecida </w:t>
      </w:r>
      <w:r w:rsidRPr="00406E40" w:rsidR="0088434E">
        <w:rPr>
          <w:rFonts w:ascii="Arial" w:hAnsi="Arial" w:eastAsia="Calibri" w:cs="Arial"/>
          <w:color w:val="000000" w:themeColor="text1"/>
          <w:sz w:val="22"/>
          <w:szCs w:val="22"/>
          <w:lang w:val="es-ES"/>
        </w:rPr>
        <w:t xml:space="preserve">en el artículo 74 de la Ley 1474 de 2011 </w:t>
      </w:r>
      <w:r w:rsidR="00007FBD">
        <w:rPr>
          <w:rFonts w:ascii="Arial" w:hAnsi="Arial" w:eastAsia="Calibri" w:cs="Arial"/>
          <w:color w:val="000000" w:themeColor="text1"/>
          <w:sz w:val="22"/>
          <w:szCs w:val="22"/>
          <w:lang w:val="es-ES"/>
        </w:rPr>
        <w:t>para</w:t>
      </w:r>
      <w:r w:rsidRPr="00406E40" w:rsidR="008632AF">
        <w:rPr>
          <w:rFonts w:ascii="Arial" w:hAnsi="Arial" w:eastAsia="Calibri" w:cs="Arial"/>
          <w:color w:val="000000" w:themeColor="text1"/>
          <w:sz w:val="22"/>
          <w:szCs w:val="22"/>
          <w:lang w:val="es-ES"/>
        </w:rPr>
        <w:t xml:space="preserve"> </w:t>
      </w:r>
      <w:r w:rsidRPr="00406E40" w:rsidR="0088434E">
        <w:rPr>
          <w:rFonts w:ascii="Arial" w:hAnsi="Arial" w:eastAsia="Calibri" w:cs="Arial"/>
          <w:color w:val="000000" w:themeColor="text1"/>
          <w:sz w:val="22"/>
          <w:szCs w:val="22"/>
          <w:lang w:val="es-ES"/>
        </w:rPr>
        <w:t xml:space="preserve">las </w:t>
      </w:r>
      <w:r>
        <w:rPr>
          <w:rFonts w:ascii="Arial" w:hAnsi="Arial" w:eastAsia="Calibri" w:cs="Arial"/>
          <w:color w:val="000000" w:themeColor="text1"/>
          <w:sz w:val="22"/>
          <w:szCs w:val="22"/>
          <w:lang w:val="es-ES"/>
        </w:rPr>
        <w:t>e</w:t>
      </w:r>
      <w:r w:rsidRPr="00406E40" w:rsidR="0088434E">
        <w:rPr>
          <w:rFonts w:ascii="Arial" w:hAnsi="Arial" w:eastAsia="Calibri" w:cs="Arial"/>
          <w:color w:val="000000" w:themeColor="text1"/>
          <w:sz w:val="22"/>
          <w:szCs w:val="22"/>
          <w:lang w:val="es-ES"/>
        </w:rPr>
        <w:t xml:space="preserve">mpresas </w:t>
      </w:r>
      <w:r>
        <w:rPr>
          <w:rFonts w:ascii="Arial" w:hAnsi="Arial" w:eastAsia="Calibri" w:cs="Arial"/>
          <w:color w:val="000000" w:themeColor="text1"/>
          <w:sz w:val="22"/>
          <w:szCs w:val="22"/>
          <w:lang w:val="es-ES"/>
        </w:rPr>
        <w:t>i</w:t>
      </w:r>
      <w:r w:rsidRPr="00406E40" w:rsidR="0088434E">
        <w:rPr>
          <w:rFonts w:ascii="Arial" w:hAnsi="Arial" w:eastAsia="Calibri" w:cs="Arial"/>
          <w:color w:val="000000" w:themeColor="text1"/>
          <w:sz w:val="22"/>
          <w:szCs w:val="22"/>
          <w:lang w:val="es-ES"/>
        </w:rPr>
        <w:t xml:space="preserve">ndustriales y </w:t>
      </w:r>
      <w:r>
        <w:rPr>
          <w:rFonts w:ascii="Arial" w:hAnsi="Arial" w:eastAsia="Calibri" w:cs="Arial"/>
          <w:color w:val="000000" w:themeColor="text1"/>
          <w:sz w:val="22"/>
          <w:szCs w:val="22"/>
          <w:lang w:val="es-ES"/>
        </w:rPr>
        <w:t>c</w:t>
      </w:r>
      <w:r w:rsidRPr="00406E40" w:rsidR="0088434E">
        <w:rPr>
          <w:rFonts w:ascii="Arial" w:hAnsi="Arial" w:eastAsia="Calibri" w:cs="Arial"/>
          <w:color w:val="000000" w:themeColor="text1"/>
          <w:sz w:val="22"/>
          <w:szCs w:val="22"/>
          <w:lang w:val="es-ES"/>
        </w:rPr>
        <w:t xml:space="preserve">omerciales y </w:t>
      </w:r>
      <w:r w:rsidRPr="00406E40" w:rsidR="008632AF">
        <w:rPr>
          <w:rFonts w:ascii="Arial" w:hAnsi="Arial" w:eastAsia="Calibri" w:cs="Arial"/>
          <w:color w:val="000000" w:themeColor="text1"/>
          <w:sz w:val="22"/>
          <w:szCs w:val="22"/>
          <w:lang w:val="es-ES"/>
        </w:rPr>
        <w:t xml:space="preserve">las </w:t>
      </w:r>
      <w:r>
        <w:rPr>
          <w:rFonts w:ascii="Arial" w:hAnsi="Arial" w:eastAsia="Calibri" w:cs="Arial"/>
          <w:color w:val="000000" w:themeColor="text1"/>
          <w:sz w:val="22"/>
          <w:szCs w:val="22"/>
          <w:lang w:val="es-ES"/>
        </w:rPr>
        <w:t>s</w:t>
      </w:r>
      <w:r w:rsidRPr="00406E40" w:rsidR="008632AF">
        <w:rPr>
          <w:rFonts w:ascii="Arial" w:hAnsi="Arial" w:eastAsia="Calibri" w:cs="Arial"/>
          <w:color w:val="000000" w:themeColor="text1"/>
          <w:sz w:val="22"/>
          <w:szCs w:val="22"/>
          <w:lang w:val="es-ES"/>
        </w:rPr>
        <w:t xml:space="preserve">ociedades de </w:t>
      </w:r>
      <w:r>
        <w:rPr>
          <w:rFonts w:ascii="Arial" w:hAnsi="Arial" w:eastAsia="Calibri" w:cs="Arial"/>
          <w:color w:val="000000" w:themeColor="text1"/>
          <w:sz w:val="22"/>
          <w:szCs w:val="22"/>
          <w:lang w:val="es-ES"/>
        </w:rPr>
        <w:t>e</w:t>
      </w:r>
      <w:r w:rsidRPr="00406E40" w:rsidR="008632AF">
        <w:rPr>
          <w:rFonts w:ascii="Arial" w:hAnsi="Arial" w:eastAsia="Calibri" w:cs="Arial"/>
          <w:color w:val="000000" w:themeColor="text1"/>
          <w:sz w:val="22"/>
          <w:szCs w:val="22"/>
          <w:lang w:val="es-ES"/>
        </w:rPr>
        <w:t xml:space="preserve">conomía </w:t>
      </w:r>
      <w:r>
        <w:rPr>
          <w:rFonts w:ascii="Arial" w:hAnsi="Arial" w:eastAsia="Calibri" w:cs="Arial"/>
          <w:color w:val="000000" w:themeColor="text1"/>
          <w:sz w:val="22"/>
          <w:szCs w:val="22"/>
          <w:lang w:val="es-ES"/>
        </w:rPr>
        <w:t>m</w:t>
      </w:r>
      <w:r w:rsidRPr="00406E40" w:rsidR="008632AF">
        <w:rPr>
          <w:rFonts w:ascii="Arial" w:hAnsi="Arial" w:eastAsia="Calibri" w:cs="Arial"/>
          <w:color w:val="000000" w:themeColor="text1"/>
          <w:sz w:val="22"/>
          <w:szCs w:val="22"/>
          <w:lang w:val="es-ES"/>
        </w:rPr>
        <w:t xml:space="preserve">ixta, </w:t>
      </w:r>
      <w:r w:rsidR="00180787">
        <w:rPr>
          <w:rFonts w:ascii="Arial" w:hAnsi="Arial" w:eastAsia="Calibri" w:cs="Arial"/>
          <w:color w:val="000000" w:themeColor="text1"/>
          <w:sz w:val="22"/>
          <w:szCs w:val="22"/>
          <w:lang w:val="es-ES"/>
        </w:rPr>
        <w:t>se extiende</w:t>
      </w:r>
      <w:r w:rsidRPr="00406E40" w:rsidR="008632AF">
        <w:rPr>
          <w:rFonts w:ascii="Arial" w:hAnsi="Arial" w:eastAsia="Calibri" w:cs="Arial"/>
          <w:color w:val="000000" w:themeColor="text1"/>
          <w:sz w:val="22"/>
          <w:szCs w:val="22"/>
          <w:lang w:val="es-ES"/>
        </w:rPr>
        <w:t xml:space="preserve"> a las ESP </w:t>
      </w:r>
      <w:r>
        <w:rPr>
          <w:rFonts w:ascii="Arial" w:hAnsi="Arial" w:eastAsia="Calibri" w:cs="Arial"/>
          <w:color w:val="000000" w:themeColor="text1"/>
          <w:sz w:val="22"/>
          <w:szCs w:val="22"/>
          <w:lang w:val="es-ES"/>
        </w:rPr>
        <w:t>m</w:t>
      </w:r>
      <w:r w:rsidRPr="00406E40" w:rsidR="008632AF">
        <w:rPr>
          <w:rFonts w:ascii="Arial" w:hAnsi="Arial" w:eastAsia="Calibri" w:cs="Arial"/>
          <w:color w:val="000000" w:themeColor="text1"/>
          <w:sz w:val="22"/>
          <w:szCs w:val="22"/>
          <w:lang w:val="es-ES"/>
        </w:rPr>
        <w:t>ixtas</w:t>
      </w:r>
      <w:r w:rsidRPr="00406E40" w:rsidR="0011766B">
        <w:rPr>
          <w:rFonts w:ascii="Arial" w:hAnsi="Arial" w:eastAsia="Calibri" w:cs="Arial"/>
          <w:color w:val="000000" w:themeColor="text1"/>
          <w:sz w:val="22"/>
          <w:szCs w:val="22"/>
          <w:lang w:val="es-ES"/>
        </w:rPr>
        <w:t xml:space="preserve">. </w:t>
      </w:r>
      <w:r w:rsidR="00A20338">
        <w:rPr>
          <w:rFonts w:ascii="Arial" w:hAnsi="Arial" w:eastAsia="Calibri" w:cs="Arial"/>
          <w:color w:val="000000" w:themeColor="text1"/>
          <w:sz w:val="22"/>
          <w:szCs w:val="22"/>
          <w:lang w:val="es-ES"/>
        </w:rPr>
        <w:t>Al respecto, l</w:t>
      </w:r>
      <w:r w:rsidRPr="00197ADB" w:rsidR="00197ADB">
        <w:rPr>
          <w:rFonts w:ascii="Arial" w:hAnsi="Arial" w:eastAsia="Calibri" w:cs="Arial"/>
          <w:color w:val="000000" w:themeColor="text1"/>
          <w:sz w:val="22"/>
          <w:szCs w:val="22"/>
          <w:lang w:val="es-ES"/>
        </w:rPr>
        <w:t xml:space="preserve">a Corte Constitucional </w:t>
      </w:r>
      <w:r w:rsidR="00A20338">
        <w:rPr>
          <w:rFonts w:ascii="Arial" w:hAnsi="Arial" w:eastAsia="Calibri" w:cs="Arial"/>
          <w:color w:val="000000" w:themeColor="text1"/>
          <w:sz w:val="22"/>
          <w:szCs w:val="22"/>
          <w:lang w:val="es-ES"/>
        </w:rPr>
        <w:t>explica</w:t>
      </w:r>
      <w:r w:rsidRPr="00197ADB" w:rsidR="00197ADB">
        <w:rPr>
          <w:rFonts w:ascii="Arial" w:hAnsi="Arial" w:eastAsia="Calibri" w:cs="Arial"/>
          <w:color w:val="000000" w:themeColor="text1"/>
          <w:sz w:val="22"/>
          <w:szCs w:val="22"/>
          <w:lang w:val="es-ES"/>
        </w:rPr>
        <w:t xml:space="preserve"> que las ESP mixtas no hacen parte del género </w:t>
      </w:r>
      <w:r w:rsidR="00A20338">
        <w:rPr>
          <w:rFonts w:ascii="Arial" w:hAnsi="Arial" w:eastAsia="Calibri" w:cs="Arial"/>
          <w:color w:val="000000" w:themeColor="text1"/>
          <w:sz w:val="22"/>
          <w:szCs w:val="22"/>
          <w:lang w:val="es-ES"/>
        </w:rPr>
        <w:t>«</w:t>
      </w:r>
      <w:r w:rsidRPr="00197ADB" w:rsidR="00197ADB">
        <w:rPr>
          <w:rFonts w:ascii="Arial" w:hAnsi="Arial" w:eastAsia="Calibri" w:cs="Arial"/>
          <w:color w:val="000000" w:themeColor="text1"/>
          <w:sz w:val="22"/>
          <w:szCs w:val="22"/>
          <w:lang w:val="es-ES"/>
        </w:rPr>
        <w:t>sociedades de economía mixta</w:t>
      </w:r>
      <w:r w:rsidR="00A20338">
        <w:rPr>
          <w:rFonts w:ascii="Arial" w:hAnsi="Arial" w:eastAsia="Calibri" w:cs="Arial"/>
          <w:color w:val="000000" w:themeColor="text1"/>
          <w:sz w:val="22"/>
          <w:szCs w:val="22"/>
          <w:lang w:val="es-ES"/>
        </w:rPr>
        <w:t>»</w:t>
      </w:r>
      <w:r w:rsidRPr="00197ADB" w:rsidR="00197ADB">
        <w:rPr>
          <w:rFonts w:ascii="Arial" w:hAnsi="Arial" w:eastAsia="Calibri" w:cs="Arial"/>
          <w:color w:val="000000" w:themeColor="text1"/>
          <w:sz w:val="22"/>
          <w:szCs w:val="22"/>
          <w:lang w:val="es-ES"/>
        </w:rPr>
        <w:t xml:space="preserve"> en la medida en que «vienen a ser entidades de naturaleza especial»</w:t>
      </w:r>
      <w:r w:rsidRPr="002C1D80" w:rsidR="00197ADB">
        <w:rPr>
          <w:rFonts w:ascii="Arial" w:hAnsi="Arial" w:eastAsia="Calibri" w:cs="Arial"/>
          <w:color w:val="000000" w:themeColor="text1"/>
          <w:sz w:val="22"/>
          <w:szCs w:val="22"/>
          <w:vertAlign w:val="superscript"/>
          <w:lang w:val="es-ES"/>
        </w:rPr>
        <w:footnoteReference w:id="14"/>
      </w:r>
      <w:r w:rsidRPr="00197ADB" w:rsidR="00197ADB">
        <w:rPr>
          <w:rFonts w:ascii="Arial" w:hAnsi="Arial" w:eastAsia="Calibri" w:cs="Arial"/>
          <w:color w:val="000000" w:themeColor="text1"/>
          <w:sz w:val="22"/>
          <w:szCs w:val="22"/>
          <w:lang w:val="es-ES"/>
        </w:rPr>
        <w:t xml:space="preserve">. Esta consideración permite afirmar que estas empresas no se encuentran comprendidas literalmente dentro de la excepción del parágrafo del artículo 74 de la Ley 1474 de 2011. Adicionalmente, en aplicación de la interpretación restrictiva que caracteriza a las excepciones, como la contenida en el parágrafo analizado, resulta imposible una interpretación extensiva para </w:t>
      </w:r>
      <w:r w:rsidR="00A20338">
        <w:rPr>
          <w:rFonts w:ascii="Arial" w:hAnsi="Arial" w:eastAsia="Calibri" w:cs="Arial"/>
          <w:color w:val="000000" w:themeColor="text1"/>
          <w:sz w:val="22"/>
          <w:szCs w:val="22"/>
          <w:lang w:val="es-ES"/>
        </w:rPr>
        <w:t>incluir</w:t>
      </w:r>
      <w:r w:rsidRPr="00197ADB" w:rsidR="00197ADB">
        <w:rPr>
          <w:rFonts w:ascii="Arial" w:hAnsi="Arial" w:eastAsia="Calibri" w:cs="Arial"/>
          <w:color w:val="000000" w:themeColor="text1"/>
          <w:sz w:val="22"/>
          <w:szCs w:val="22"/>
          <w:lang w:val="es-ES"/>
        </w:rPr>
        <w:t xml:space="preserve"> a las ESP</w:t>
      </w:r>
      <w:r w:rsidR="00FD12FD">
        <w:rPr>
          <w:rFonts w:ascii="Arial" w:hAnsi="Arial" w:eastAsia="Calibri" w:cs="Arial"/>
          <w:color w:val="000000" w:themeColor="text1"/>
          <w:sz w:val="22"/>
          <w:szCs w:val="22"/>
          <w:lang w:val="es-ES"/>
        </w:rPr>
        <w:t xml:space="preserve"> mixtas</w:t>
      </w:r>
      <w:r w:rsidRPr="00197ADB" w:rsidR="00197ADB">
        <w:rPr>
          <w:rFonts w:ascii="Arial" w:hAnsi="Arial" w:eastAsia="Calibri" w:cs="Arial"/>
          <w:color w:val="000000" w:themeColor="text1"/>
          <w:sz w:val="22"/>
          <w:szCs w:val="22"/>
          <w:lang w:val="es-ES"/>
        </w:rPr>
        <w:t>.</w:t>
      </w:r>
    </w:p>
    <w:p w:rsidR="002C1D80" w:rsidP="00197ADB" w:rsidRDefault="00197ADB" w14:paraId="4D41E575" w14:textId="65F9DBE2">
      <w:pPr>
        <w:tabs>
          <w:tab w:val="left" w:pos="426"/>
        </w:tabs>
        <w:spacing w:after="120" w:line="276" w:lineRule="auto"/>
        <w:jc w:val="both"/>
        <w:rPr>
          <w:rFonts w:ascii="Arial" w:hAnsi="Arial" w:eastAsia="Calibri" w:cs="Arial"/>
          <w:sz w:val="22"/>
          <w:szCs w:val="22"/>
          <w:lang w:val="es-ES"/>
        </w:rPr>
      </w:pPr>
      <w:r>
        <w:rPr>
          <w:rFonts w:ascii="Arial" w:hAnsi="Arial" w:eastAsia="Calibri" w:cs="Arial"/>
          <w:color w:val="000000" w:themeColor="text1"/>
          <w:sz w:val="22"/>
          <w:szCs w:val="22"/>
          <w:lang w:val="es-ES"/>
        </w:rPr>
        <w:tab/>
      </w:r>
      <w:r>
        <w:rPr>
          <w:rFonts w:ascii="Arial" w:hAnsi="Arial" w:eastAsia="Calibri" w:cs="Arial"/>
          <w:color w:val="000000" w:themeColor="text1"/>
          <w:sz w:val="22"/>
          <w:szCs w:val="22"/>
          <w:lang w:val="es-ES"/>
        </w:rPr>
        <w:tab/>
      </w:r>
      <w:r w:rsidR="002C1D80">
        <w:rPr>
          <w:rFonts w:ascii="Arial" w:hAnsi="Arial" w:eastAsia="Calibri" w:cs="Arial"/>
          <w:color w:val="000000" w:themeColor="text1"/>
          <w:sz w:val="22"/>
          <w:szCs w:val="22"/>
          <w:lang w:val="es-ES"/>
        </w:rPr>
        <w:t xml:space="preserve">Pese </w:t>
      </w:r>
      <w:r w:rsidR="00FD12FD">
        <w:rPr>
          <w:rFonts w:ascii="Arial" w:hAnsi="Arial" w:eastAsia="Calibri" w:cs="Arial"/>
          <w:color w:val="000000" w:themeColor="text1"/>
          <w:sz w:val="22"/>
          <w:szCs w:val="22"/>
          <w:lang w:val="es-ES"/>
        </w:rPr>
        <w:t>a lo anterior</w:t>
      </w:r>
      <w:r w:rsidR="002C1D80">
        <w:rPr>
          <w:rFonts w:ascii="Arial" w:hAnsi="Arial" w:eastAsia="Calibri" w:cs="Arial"/>
          <w:color w:val="000000" w:themeColor="text1"/>
          <w:sz w:val="22"/>
          <w:szCs w:val="22"/>
          <w:lang w:val="es-ES"/>
        </w:rPr>
        <w:t xml:space="preserve">, el artículo 74 de la Ley 1474 de 2011 no es la única norma en materia de información y documentación reservada. En efecto, como ya se mencionó, el artículo 24, numeral 6, de la Ley 1437 de 2011 </w:t>
      </w:r>
      <w:r w:rsidR="00FD12FD">
        <w:rPr>
          <w:rFonts w:ascii="Arial" w:hAnsi="Arial" w:eastAsia="Calibri" w:cs="Arial"/>
          <w:color w:val="000000" w:themeColor="text1"/>
          <w:sz w:val="22"/>
          <w:szCs w:val="22"/>
          <w:lang w:val="es-ES"/>
        </w:rPr>
        <w:t xml:space="preserve">prescribe </w:t>
      </w:r>
      <w:r w:rsidR="002C1D80">
        <w:rPr>
          <w:rFonts w:ascii="Arial" w:hAnsi="Arial" w:eastAsia="Calibri" w:cs="Arial"/>
          <w:color w:val="000000" w:themeColor="text1"/>
          <w:sz w:val="22"/>
          <w:szCs w:val="22"/>
          <w:lang w:val="es-ES"/>
        </w:rPr>
        <w:t xml:space="preserve">que </w:t>
      </w:r>
      <w:r w:rsidRPr="002C1D80" w:rsidR="002C1D80">
        <w:rPr>
          <w:rFonts w:ascii="Arial" w:hAnsi="Arial" w:eastAsia="Calibri" w:cs="Arial"/>
          <w:color w:val="000000" w:themeColor="text1"/>
          <w:sz w:val="22"/>
          <w:szCs w:val="22"/>
          <w:lang w:val="es-ES"/>
        </w:rPr>
        <w:t>tendrán carácter reservado las informaciones y documentos «[…] protegidos por el secreto comercial o industrial, así como los planes estratégicos de las empresas públicas de servicios públicos».</w:t>
      </w:r>
      <w:r w:rsidR="002C1D80">
        <w:rPr>
          <w:rFonts w:ascii="Arial" w:hAnsi="Arial" w:eastAsia="Calibri" w:cs="Arial"/>
          <w:color w:val="000000" w:themeColor="text1"/>
          <w:sz w:val="22"/>
          <w:szCs w:val="22"/>
          <w:lang w:val="es-ES"/>
        </w:rPr>
        <w:t xml:space="preserve"> En idéntico sentido obra, el artículo 18, literal c), de la Ley 1712 de 2015 </w:t>
      </w:r>
      <w:r w:rsidR="00FD12FD">
        <w:rPr>
          <w:rFonts w:ascii="Arial" w:hAnsi="Arial" w:eastAsia="Calibri" w:cs="Arial"/>
          <w:color w:val="000000" w:themeColor="text1"/>
          <w:sz w:val="22"/>
          <w:szCs w:val="22"/>
          <w:lang w:val="es-ES"/>
        </w:rPr>
        <w:t>según el</w:t>
      </w:r>
      <w:r w:rsidR="002C1D80">
        <w:rPr>
          <w:rFonts w:ascii="Arial" w:hAnsi="Arial" w:eastAsia="Calibri" w:cs="Arial"/>
          <w:color w:val="000000" w:themeColor="text1"/>
          <w:sz w:val="22"/>
          <w:szCs w:val="22"/>
          <w:lang w:val="es-ES"/>
        </w:rPr>
        <w:t xml:space="preserve"> cual </w:t>
      </w:r>
      <w:r w:rsidR="00FD12FD">
        <w:rPr>
          <w:rFonts w:ascii="Arial" w:hAnsi="Arial" w:eastAsia="Calibri" w:cs="Arial"/>
          <w:color w:val="000000" w:themeColor="text1"/>
          <w:sz w:val="22"/>
          <w:szCs w:val="22"/>
          <w:lang w:val="es-ES"/>
        </w:rPr>
        <w:t>constituyen</w:t>
      </w:r>
      <w:r w:rsidR="002C1D80">
        <w:rPr>
          <w:rFonts w:ascii="Arial" w:hAnsi="Arial" w:eastAsia="Calibri" w:cs="Arial"/>
          <w:color w:val="000000" w:themeColor="text1"/>
          <w:sz w:val="22"/>
          <w:szCs w:val="22"/>
          <w:lang w:val="es-ES"/>
        </w:rPr>
        <w:t xml:space="preserve"> excepciones al acceso a la información </w:t>
      </w:r>
      <w:r w:rsidR="002C1D80">
        <w:rPr>
          <w:rFonts w:ascii="Arial" w:hAnsi="Arial" w:eastAsia="Calibri" w:cs="Arial"/>
          <w:sz w:val="22"/>
          <w:szCs w:val="22"/>
          <w:lang w:val="es-ES"/>
        </w:rPr>
        <w:t>«</w:t>
      </w:r>
      <w:r w:rsidRPr="00406E40" w:rsidR="002C1D80">
        <w:rPr>
          <w:rFonts w:ascii="Arial" w:hAnsi="Arial" w:eastAsia="Calibri" w:cs="Arial"/>
          <w:sz w:val="22"/>
          <w:szCs w:val="22"/>
          <w:lang w:val="es-ES"/>
        </w:rPr>
        <w:t>c) Los secretos comerciales, industriales y profesionales</w:t>
      </w:r>
      <w:r w:rsidR="002C1D80">
        <w:rPr>
          <w:rFonts w:ascii="Arial" w:hAnsi="Arial" w:eastAsia="Calibri" w:cs="Arial"/>
          <w:sz w:val="22"/>
          <w:szCs w:val="22"/>
          <w:lang w:val="es-ES"/>
        </w:rPr>
        <w:t>»</w:t>
      </w:r>
      <w:r w:rsidRPr="00406E40" w:rsidR="002C1D80">
        <w:rPr>
          <w:rFonts w:ascii="Arial" w:hAnsi="Arial" w:eastAsia="Calibri" w:cs="Arial"/>
          <w:sz w:val="22"/>
          <w:szCs w:val="22"/>
          <w:lang w:val="es-ES"/>
        </w:rPr>
        <w:t>.</w:t>
      </w:r>
    </w:p>
    <w:p w:rsidRPr="002C1D80" w:rsidR="00EA1C8F" w:rsidRDefault="002C1D80" w14:paraId="6FD672D3" w14:textId="39D71A37">
      <w:pPr>
        <w:tabs>
          <w:tab w:val="left" w:pos="426"/>
        </w:tabs>
        <w:spacing w:after="120" w:line="276" w:lineRule="auto"/>
        <w:ind w:firstLine="709"/>
        <w:jc w:val="both"/>
        <w:rPr>
          <w:rFonts w:ascii="Arial" w:hAnsi="Arial" w:eastAsia="Calibri" w:cs="Arial"/>
          <w:color w:val="000000" w:themeColor="text1"/>
          <w:sz w:val="22"/>
          <w:szCs w:val="22"/>
          <w:lang w:val="es-ES"/>
        </w:rPr>
      </w:pPr>
      <w:r>
        <w:rPr>
          <w:rFonts w:ascii="Arial" w:hAnsi="Arial" w:eastAsia="Calibri" w:cs="Arial"/>
          <w:color w:val="000000" w:themeColor="text1"/>
          <w:sz w:val="22"/>
          <w:szCs w:val="22"/>
          <w:lang w:val="es-ES"/>
        </w:rPr>
        <w:t xml:space="preserve">Una interpretación armónica del ordenamiento permite concluir que las ESP no están en obligación de publicar aquella parte de su plan de adquisiciones que se refiera </w:t>
      </w:r>
      <w:r w:rsidR="009269C1">
        <w:rPr>
          <w:rFonts w:ascii="Arial" w:hAnsi="Arial" w:eastAsia="Calibri" w:cs="Arial"/>
          <w:color w:val="000000" w:themeColor="text1"/>
          <w:sz w:val="22"/>
          <w:szCs w:val="22"/>
          <w:lang w:val="es-ES"/>
        </w:rPr>
        <w:t>a la información</w:t>
      </w:r>
      <w:r w:rsidR="00FD12FD">
        <w:rPr>
          <w:rFonts w:ascii="Arial" w:hAnsi="Arial" w:eastAsia="Calibri" w:cs="Arial"/>
          <w:color w:val="000000" w:themeColor="text1"/>
          <w:sz w:val="22"/>
          <w:szCs w:val="22"/>
          <w:lang w:val="es-ES"/>
        </w:rPr>
        <w:t xml:space="preserve"> protegida por el secreto industrial o comercial</w:t>
      </w:r>
      <w:r>
        <w:rPr>
          <w:rFonts w:ascii="Arial" w:hAnsi="Arial" w:eastAsia="Calibri" w:cs="Arial"/>
          <w:color w:val="000000" w:themeColor="text1"/>
          <w:sz w:val="22"/>
          <w:szCs w:val="22"/>
          <w:lang w:val="es-ES"/>
        </w:rPr>
        <w:t>. No obstante, ello no deriva del parágrafo del artículo 74 de la Ley 1474 de 2011, sino que se desprende de</w:t>
      </w:r>
      <w:r w:rsidR="0000498E">
        <w:rPr>
          <w:rFonts w:ascii="Arial" w:hAnsi="Arial" w:eastAsia="Calibri" w:cs="Arial"/>
          <w:color w:val="000000" w:themeColor="text1"/>
          <w:sz w:val="22"/>
          <w:szCs w:val="22"/>
          <w:lang w:val="es-ES"/>
        </w:rPr>
        <w:t xml:space="preserve"> las normas sobre información </w:t>
      </w:r>
      <w:r w:rsidR="00FD12FD">
        <w:rPr>
          <w:rFonts w:ascii="Arial" w:hAnsi="Arial" w:eastAsia="Calibri" w:cs="Arial"/>
          <w:color w:val="000000" w:themeColor="text1"/>
          <w:sz w:val="22"/>
          <w:szCs w:val="22"/>
          <w:lang w:val="es-ES"/>
        </w:rPr>
        <w:t>sometida a reserva</w:t>
      </w:r>
      <w:r>
        <w:rPr>
          <w:rFonts w:ascii="Arial" w:hAnsi="Arial" w:eastAsia="Calibri" w:cs="Arial"/>
          <w:color w:val="000000" w:themeColor="text1"/>
          <w:sz w:val="22"/>
          <w:szCs w:val="22"/>
          <w:lang w:val="es-ES"/>
        </w:rPr>
        <w:t>. De otra parte, l</w:t>
      </w:r>
      <w:r w:rsidRPr="002C1D80" w:rsidR="00EA1C8F">
        <w:rPr>
          <w:rFonts w:ascii="Arial" w:hAnsi="Arial" w:eastAsia="Calibri" w:cs="Arial"/>
          <w:color w:val="000000" w:themeColor="text1"/>
          <w:sz w:val="22"/>
          <w:szCs w:val="22"/>
          <w:lang w:val="es-ES"/>
        </w:rPr>
        <w:t xml:space="preserve">os principios de libertad económica, de libre competencia y la necesidad de garantizar igualdad de condiciones en el mercado, y en particular el artículo 30 de la Ley 142 de 1994, obligan a interpretar todas las normas sobre el régimen contractual de las ESP «en la forma que mejor garantice la libre competencia». </w:t>
      </w:r>
    </w:p>
    <w:p w:rsidR="00BA6AB6" w:rsidP="00BE5DCB" w:rsidRDefault="00BA6AB6" w14:paraId="1A00FCFA" w14:textId="7201B357">
      <w:pPr>
        <w:tabs>
          <w:tab w:val="left" w:pos="426"/>
          <w:tab w:val="left" w:pos="8505"/>
        </w:tabs>
        <w:spacing w:line="276" w:lineRule="auto"/>
        <w:ind w:firstLine="709"/>
        <w:jc w:val="both"/>
        <w:rPr>
          <w:rFonts w:ascii="Arial" w:hAnsi="Arial" w:eastAsia="Calibri" w:cs="Arial"/>
          <w:sz w:val="22"/>
          <w:szCs w:val="22"/>
          <w:lang w:val="es-ES"/>
        </w:rPr>
      </w:pPr>
      <w:r w:rsidRPr="00BF1E54">
        <w:rPr>
          <w:rFonts w:ascii="Arial" w:hAnsi="Arial" w:eastAsia="Calibri" w:cs="Arial"/>
          <w:color w:val="000000" w:themeColor="text1"/>
          <w:sz w:val="22"/>
          <w:szCs w:val="22"/>
          <w:lang w:val="es-ES"/>
        </w:rPr>
        <w:t>Conforme a lo anterior, se</w:t>
      </w:r>
      <w:r w:rsidRPr="00BF1E54" w:rsidR="006B5575">
        <w:rPr>
          <w:rFonts w:ascii="Arial" w:hAnsi="Arial" w:eastAsia="Calibri" w:cs="Arial"/>
          <w:color w:val="000000" w:themeColor="text1"/>
          <w:sz w:val="22"/>
          <w:szCs w:val="22"/>
          <w:lang w:val="es-ES"/>
        </w:rPr>
        <w:t xml:space="preserve"> conclu</w:t>
      </w:r>
      <w:r w:rsidRPr="00BF1E54">
        <w:rPr>
          <w:rFonts w:ascii="Arial" w:hAnsi="Arial" w:eastAsia="Calibri" w:cs="Arial"/>
          <w:color w:val="000000" w:themeColor="text1"/>
          <w:sz w:val="22"/>
          <w:szCs w:val="22"/>
          <w:lang w:val="es-ES"/>
        </w:rPr>
        <w:t>ye</w:t>
      </w:r>
      <w:r w:rsidRPr="00BF1E54" w:rsidR="006B5575">
        <w:rPr>
          <w:rFonts w:ascii="Arial" w:hAnsi="Arial" w:eastAsia="Calibri" w:cs="Arial"/>
          <w:color w:val="000000" w:themeColor="text1"/>
          <w:sz w:val="22"/>
          <w:szCs w:val="22"/>
          <w:lang w:val="es-ES"/>
        </w:rPr>
        <w:t xml:space="preserve"> que las ESP </w:t>
      </w:r>
      <w:r w:rsidRPr="00BF1E54" w:rsidR="00EA1C8F">
        <w:rPr>
          <w:rFonts w:ascii="Arial" w:hAnsi="Arial" w:eastAsia="Calibri" w:cs="Arial"/>
          <w:color w:val="000000" w:themeColor="text1"/>
          <w:sz w:val="22"/>
          <w:szCs w:val="22"/>
          <w:lang w:val="es-ES"/>
        </w:rPr>
        <w:t>m</w:t>
      </w:r>
      <w:r w:rsidRPr="00BF1E54" w:rsidR="006B5575">
        <w:rPr>
          <w:rFonts w:ascii="Arial" w:hAnsi="Arial" w:eastAsia="Calibri" w:cs="Arial"/>
          <w:color w:val="000000" w:themeColor="text1"/>
          <w:sz w:val="22"/>
          <w:szCs w:val="22"/>
          <w:lang w:val="es-ES"/>
        </w:rPr>
        <w:t xml:space="preserve">ixtas se encuentran obligadas a publicar en el SECOP aquella parte del </w:t>
      </w:r>
      <w:r w:rsidRPr="00BF1E54" w:rsidR="00FA706A">
        <w:rPr>
          <w:rFonts w:ascii="Arial" w:hAnsi="Arial" w:eastAsia="Calibri" w:cs="Arial"/>
          <w:color w:val="000000" w:themeColor="text1"/>
          <w:sz w:val="22"/>
          <w:szCs w:val="22"/>
          <w:lang w:val="es-ES"/>
        </w:rPr>
        <w:t>plan anual de adquisiciones</w:t>
      </w:r>
      <w:r w:rsidRPr="00BF1E54">
        <w:rPr>
          <w:rFonts w:ascii="Arial" w:hAnsi="Arial" w:eastAsia="Calibri" w:cs="Arial"/>
          <w:color w:val="000000" w:themeColor="text1"/>
          <w:sz w:val="22"/>
          <w:szCs w:val="22"/>
          <w:lang w:val="es-ES"/>
        </w:rPr>
        <w:t xml:space="preserve"> que se ejecute con cargo a recursos públicos, excluyendo </w:t>
      </w:r>
      <w:r w:rsidRPr="00BF1E54" w:rsidR="00C6131A">
        <w:rPr>
          <w:rFonts w:ascii="Arial" w:hAnsi="Arial" w:eastAsia="Calibri" w:cs="Arial"/>
          <w:color w:val="000000" w:themeColor="text1"/>
          <w:sz w:val="22"/>
          <w:szCs w:val="22"/>
          <w:lang w:val="es-ES"/>
        </w:rPr>
        <w:t xml:space="preserve">contrataciones con cargo a recursos </w:t>
      </w:r>
      <w:r w:rsidRPr="00BF1E54">
        <w:rPr>
          <w:rFonts w:ascii="Arial" w:hAnsi="Arial" w:eastAsia="Calibri" w:cs="Arial"/>
          <w:color w:val="000000" w:themeColor="text1"/>
          <w:sz w:val="22"/>
          <w:szCs w:val="22"/>
          <w:lang w:val="es-ES"/>
        </w:rPr>
        <w:t xml:space="preserve">privados. </w:t>
      </w:r>
      <w:r w:rsidRPr="00BF1E54">
        <w:rPr>
          <w:rFonts w:ascii="Arial" w:hAnsi="Arial" w:eastAsia="Calibri" w:cs="Arial"/>
          <w:sz w:val="22"/>
          <w:szCs w:val="22"/>
          <w:lang w:val="es-ES"/>
        </w:rPr>
        <w:t xml:space="preserve">Adicionalmente, de la lectura integrada de los artículos 5 y 9 de la Ley 1712 de 2014 se desprende que deben publicar su plan de compras anual en los sistemas de información del Estado, pero «en relación con su actividad propia, industrial o comercial, no están sujetas al deber de información, con respecto a dicha actividad». </w:t>
      </w:r>
      <w:bookmarkStart w:name="_Hlk40968676" w:id="6"/>
      <w:r w:rsidRPr="00A403E6" w:rsidR="00E7774F">
        <w:rPr>
          <w:lang w:val="es-ES"/>
        </w:rPr>
        <w:t xml:space="preserve"> </w:t>
      </w:r>
      <w:r w:rsidRPr="00E7774F" w:rsidR="00E7774F">
        <w:rPr>
          <w:rFonts w:ascii="Arial" w:hAnsi="Arial" w:eastAsia="Calibri" w:cs="Arial"/>
          <w:sz w:val="22"/>
          <w:szCs w:val="22"/>
          <w:lang w:val="es-ES"/>
        </w:rPr>
        <w:t>En consecuencia, de acuerdo con las reglas que protegen el secreto industrial y comercial, no están obligadas a publicar la información relacionada con estos aspectos en el plan anual de adquisiciones, conclusión que guarda concordancia con el artículo 24.6 de la Ley 1437 de 2011 modificado por la Ley 1755 de 2015.</w:t>
      </w:r>
      <w:r w:rsidR="00B41292">
        <w:rPr>
          <w:rFonts w:ascii="Arial" w:hAnsi="Arial" w:eastAsia="Calibri" w:cs="Arial"/>
          <w:sz w:val="22"/>
          <w:szCs w:val="22"/>
          <w:lang w:val="es-ES"/>
        </w:rPr>
        <w:t xml:space="preserve"> </w:t>
      </w:r>
    </w:p>
    <w:bookmarkEnd w:id="6"/>
    <w:p w:rsidRPr="00406E40" w:rsidR="008D6A9F" w:rsidP="00017B02" w:rsidRDefault="008D6A9F" w14:paraId="73356CA5" w14:textId="77777777">
      <w:pPr>
        <w:tabs>
          <w:tab w:val="left" w:pos="426"/>
        </w:tabs>
        <w:spacing w:line="276" w:lineRule="auto"/>
        <w:jc w:val="both"/>
        <w:rPr>
          <w:rFonts w:ascii="Arial" w:hAnsi="Arial" w:eastAsia="Calibri" w:cs="Arial"/>
          <w:color w:val="000000" w:themeColor="text1"/>
          <w:sz w:val="22"/>
          <w:szCs w:val="22"/>
          <w:lang w:val="es-ES"/>
        </w:rPr>
      </w:pPr>
    </w:p>
    <w:p w:rsidRPr="00017B02" w:rsidR="00017B02" w:rsidP="00150EAF" w:rsidRDefault="00180188" w14:paraId="22D45FAD" w14:textId="624D47BD">
      <w:pPr>
        <w:tabs>
          <w:tab w:val="left" w:pos="426"/>
        </w:tabs>
        <w:spacing w:line="276" w:lineRule="auto"/>
        <w:jc w:val="both"/>
        <w:rPr>
          <w:rFonts w:ascii="Arial" w:hAnsi="Arial" w:eastAsia="Calibri" w:cs="Arial"/>
          <w:b/>
          <w:bCs/>
          <w:color w:val="000000" w:themeColor="text1"/>
          <w:sz w:val="22"/>
          <w:szCs w:val="22"/>
          <w:lang w:val="es-ES"/>
        </w:rPr>
      </w:pPr>
      <w:r w:rsidRPr="00017B02">
        <w:rPr>
          <w:rFonts w:ascii="Arial" w:hAnsi="Arial" w:eastAsia="Calibri" w:cs="Arial"/>
          <w:b/>
          <w:bCs/>
          <w:color w:val="000000" w:themeColor="text1"/>
          <w:sz w:val="22"/>
          <w:szCs w:val="22"/>
          <w:lang w:val="es-ES"/>
        </w:rPr>
        <w:t xml:space="preserve">2.6. </w:t>
      </w:r>
      <w:r w:rsidRPr="00017B02" w:rsidR="00017B02">
        <w:rPr>
          <w:rFonts w:ascii="Arial" w:hAnsi="Arial" w:eastAsia="Calibri" w:cs="Arial"/>
          <w:b/>
          <w:bCs/>
          <w:color w:val="000000" w:themeColor="text1"/>
          <w:sz w:val="22"/>
          <w:szCs w:val="22"/>
          <w:lang w:val="es-ES"/>
        </w:rPr>
        <w:t>La competencia de Colombia Compra Eficiente en materia de planes anuales de adquisición</w:t>
      </w:r>
    </w:p>
    <w:p w:rsidR="00017B02" w:rsidP="00150EAF" w:rsidRDefault="00017B02" w14:paraId="49C5FE2B" w14:textId="597F54FE">
      <w:pPr>
        <w:tabs>
          <w:tab w:val="left" w:pos="426"/>
        </w:tabs>
        <w:spacing w:line="276" w:lineRule="auto"/>
        <w:jc w:val="both"/>
        <w:rPr>
          <w:rFonts w:ascii="Arial" w:hAnsi="Arial" w:eastAsia="Calibri" w:cs="Arial"/>
          <w:b/>
          <w:bCs/>
          <w:color w:val="000000" w:themeColor="text1"/>
          <w:sz w:val="22"/>
          <w:szCs w:val="22"/>
          <w:highlight w:val="yellow"/>
          <w:lang w:val="es-ES"/>
        </w:rPr>
      </w:pPr>
    </w:p>
    <w:p w:rsidRPr="00C075BE" w:rsidR="00544048" w:rsidP="00C075BE" w:rsidRDefault="00017B02" w14:paraId="77E335FD" w14:textId="205449CF">
      <w:pPr>
        <w:tabs>
          <w:tab w:val="left" w:pos="426"/>
        </w:tabs>
        <w:spacing w:after="120" w:line="276" w:lineRule="auto"/>
        <w:jc w:val="both"/>
        <w:rPr>
          <w:rFonts w:ascii="Arial" w:hAnsi="Arial" w:eastAsia="Calibri" w:cs="Arial"/>
          <w:color w:val="000000" w:themeColor="text1"/>
          <w:sz w:val="22"/>
          <w:szCs w:val="22"/>
          <w:lang w:val="es-ES"/>
        </w:rPr>
      </w:pPr>
      <w:r w:rsidRPr="00017B02">
        <w:rPr>
          <w:rFonts w:ascii="Arial" w:hAnsi="Arial" w:eastAsia="Calibri" w:cs="Arial"/>
          <w:color w:val="000000" w:themeColor="text1"/>
          <w:sz w:val="22"/>
          <w:szCs w:val="22"/>
          <w:lang w:val="es-ES"/>
        </w:rPr>
        <w:t>Lo</w:t>
      </w:r>
      <w:r>
        <w:rPr>
          <w:rFonts w:ascii="Arial" w:hAnsi="Arial" w:eastAsia="Calibri" w:cs="Arial"/>
          <w:color w:val="000000" w:themeColor="text1"/>
          <w:sz w:val="22"/>
          <w:szCs w:val="22"/>
          <w:lang w:val="es-ES"/>
        </w:rPr>
        <w:t>s artículos 158 y 159 del Decreto 1510 de 2013</w:t>
      </w:r>
      <w:r w:rsidR="00F30646">
        <w:rPr>
          <w:rFonts w:ascii="Arial" w:hAnsi="Arial" w:eastAsia="Calibri" w:cs="Arial"/>
          <w:color w:val="000000" w:themeColor="text1"/>
          <w:sz w:val="22"/>
          <w:szCs w:val="22"/>
          <w:lang w:val="es-ES"/>
        </w:rPr>
        <w:t>, compilados en los artículos 2.2.1.2.5.1. y 2.2.1.2.5.2. del Decreto 1082 de 2015,</w:t>
      </w:r>
      <w:r>
        <w:rPr>
          <w:rFonts w:ascii="Arial" w:hAnsi="Arial" w:eastAsia="Calibri" w:cs="Arial"/>
          <w:color w:val="000000" w:themeColor="text1"/>
          <w:sz w:val="22"/>
          <w:szCs w:val="22"/>
          <w:lang w:val="es-ES"/>
        </w:rPr>
        <w:t xml:space="preserve"> determinaron que era competencia de la Agencia Nacional de Contratación Pública – Colombia Compra Eficiente establecer los lineamientos, diseñar y elaborar el formato que debía ser utilizado por las </w:t>
      </w:r>
      <w:r w:rsidR="00753A16">
        <w:rPr>
          <w:rFonts w:ascii="Arial" w:hAnsi="Arial" w:eastAsia="Calibri" w:cs="Arial"/>
          <w:color w:val="000000" w:themeColor="text1"/>
          <w:sz w:val="22"/>
          <w:szCs w:val="22"/>
          <w:lang w:val="es-ES"/>
        </w:rPr>
        <w:t>entidades estatales para elaborar el plan</w:t>
      </w:r>
      <w:r>
        <w:rPr>
          <w:rFonts w:ascii="Arial" w:hAnsi="Arial" w:eastAsia="Calibri" w:cs="Arial"/>
          <w:color w:val="000000" w:themeColor="text1"/>
          <w:sz w:val="22"/>
          <w:szCs w:val="22"/>
          <w:lang w:val="es-ES"/>
        </w:rPr>
        <w:t xml:space="preserve"> </w:t>
      </w:r>
      <w:r w:rsidR="00753A16">
        <w:rPr>
          <w:rFonts w:ascii="Arial" w:hAnsi="Arial" w:eastAsia="Calibri" w:cs="Arial"/>
          <w:color w:val="000000" w:themeColor="text1"/>
          <w:sz w:val="22"/>
          <w:szCs w:val="22"/>
          <w:lang w:val="es-ES"/>
        </w:rPr>
        <w:t>anual de adquisiciones</w:t>
      </w:r>
      <w:r>
        <w:rPr>
          <w:rFonts w:ascii="Arial" w:hAnsi="Arial" w:eastAsia="Calibri" w:cs="Arial"/>
          <w:color w:val="000000" w:themeColor="text1"/>
          <w:sz w:val="22"/>
          <w:szCs w:val="22"/>
          <w:lang w:val="es-ES"/>
        </w:rPr>
        <w:t xml:space="preserve">, así como expedir manuales y guías </w:t>
      </w:r>
      <w:r>
        <w:rPr>
          <w:rFonts w:ascii="Arial" w:hAnsi="Arial" w:eastAsia="Calibri" w:cs="Arial"/>
          <w:color w:val="000000" w:themeColor="text1"/>
          <w:sz w:val="22"/>
          <w:szCs w:val="22"/>
          <w:lang w:val="es-ES"/>
        </w:rPr>
        <w:t xml:space="preserve">para </w:t>
      </w:r>
      <w:r w:rsidRPr="00017B02">
        <w:rPr>
          <w:rFonts w:ascii="Arial" w:hAnsi="Arial" w:eastAsia="Calibri" w:cs="Arial"/>
          <w:color w:val="000000" w:themeColor="text1"/>
          <w:sz w:val="22"/>
          <w:szCs w:val="22"/>
          <w:lang w:val="es-ES"/>
        </w:rPr>
        <w:t>«la elaboración y actualización»</w:t>
      </w:r>
      <w:r w:rsidR="00C631CB">
        <w:rPr>
          <w:rFonts w:ascii="Arial" w:hAnsi="Arial" w:eastAsia="Calibri" w:cs="Arial"/>
          <w:color w:val="000000" w:themeColor="text1"/>
          <w:sz w:val="22"/>
          <w:szCs w:val="22"/>
          <w:lang w:val="es-ES"/>
        </w:rPr>
        <w:t xml:space="preserve"> de este plan</w:t>
      </w:r>
      <w:r w:rsidRPr="00017B02">
        <w:rPr>
          <w:rFonts w:ascii="Arial" w:hAnsi="Arial" w:eastAsia="Calibri" w:cs="Arial"/>
          <w:color w:val="000000" w:themeColor="text1"/>
          <w:sz w:val="22"/>
          <w:szCs w:val="22"/>
          <w:lang w:val="es-ES"/>
        </w:rPr>
        <w:t>.</w:t>
      </w:r>
      <w:r>
        <w:rPr>
          <w:rFonts w:ascii="Arial" w:hAnsi="Arial" w:eastAsia="Calibri" w:cs="Arial"/>
          <w:color w:val="000000" w:themeColor="text1"/>
          <w:sz w:val="22"/>
          <w:szCs w:val="22"/>
          <w:lang w:val="es-ES"/>
        </w:rPr>
        <w:t xml:space="preserve"> Estas normas fueron compiladas en el Decreto 1082 de 2015</w:t>
      </w:r>
      <w:r w:rsidR="00C075BE">
        <w:rPr>
          <w:rStyle w:val="Refdenotaalpie"/>
          <w:rFonts w:ascii="Arial" w:hAnsi="Arial" w:eastAsia="Calibri" w:cs="Arial"/>
          <w:color w:val="000000" w:themeColor="text1"/>
          <w:sz w:val="22"/>
          <w:szCs w:val="22"/>
          <w:lang w:val="es-ES"/>
        </w:rPr>
        <w:footnoteReference w:id="15"/>
      </w:r>
      <w:r w:rsidR="00FE284D">
        <w:rPr>
          <w:rFonts w:ascii="Arial" w:hAnsi="Arial" w:eastAsia="Calibri" w:cs="Arial"/>
          <w:color w:val="000000" w:themeColor="text1"/>
          <w:sz w:val="22"/>
          <w:szCs w:val="22"/>
          <w:lang w:val="es-ES"/>
        </w:rPr>
        <w:t>.</w:t>
      </w:r>
    </w:p>
    <w:p w:rsidR="00544048" w:rsidP="00BE5DCB" w:rsidRDefault="00017B02" w14:paraId="448E9A97" w14:textId="6949E487">
      <w:pPr>
        <w:tabs>
          <w:tab w:val="left" w:pos="426"/>
        </w:tabs>
        <w:spacing w:line="276" w:lineRule="auto"/>
        <w:ind w:firstLine="709"/>
        <w:jc w:val="both"/>
        <w:rPr>
          <w:rFonts w:ascii="Arial" w:hAnsi="Arial" w:eastAsia="Calibri" w:cs="Arial"/>
          <w:color w:val="000000" w:themeColor="text1"/>
          <w:sz w:val="22"/>
          <w:szCs w:val="22"/>
          <w:lang w:val="es-ES"/>
        </w:rPr>
      </w:pPr>
      <w:r>
        <w:rPr>
          <w:rFonts w:ascii="Arial" w:hAnsi="Arial" w:eastAsia="Calibri" w:cs="Arial"/>
          <w:color w:val="000000" w:themeColor="text1"/>
          <w:sz w:val="22"/>
          <w:szCs w:val="22"/>
          <w:lang w:val="es-ES"/>
        </w:rPr>
        <w:t>El Consejo de Estado</w:t>
      </w:r>
      <w:r w:rsidR="0050010C">
        <w:rPr>
          <w:rFonts w:ascii="Arial" w:hAnsi="Arial" w:eastAsia="Calibri" w:cs="Arial"/>
          <w:color w:val="000000" w:themeColor="text1"/>
          <w:sz w:val="22"/>
          <w:szCs w:val="22"/>
          <w:lang w:val="es-ES"/>
        </w:rPr>
        <w:t xml:space="preserve"> se pronunció sobre la legalidad de estas </w:t>
      </w:r>
      <w:r w:rsidR="00C631CB">
        <w:rPr>
          <w:rFonts w:ascii="Arial" w:hAnsi="Arial" w:eastAsia="Calibri" w:cs="Arial"/>
          <w:color w:val="000000" w:themeColor="text1"/>
          <w:sz w:val="22"/>
          <w:szCs w:val="22"/>
          <w:lang w:val="es-ES"/>
        </w:rPr>
        <w:t>normas</w:t>
      </w:r>
      <w:r w:rsidR="0050010C">
        <w:rPr>
          <w:rFonts w:ascii="Arial" w:hAnsi="Arial" w:eastAsia="Calibri" w:cs="Arial"/>
          <w:color w:val="000000" w:themeColor="text1"/>
          <w:sz w:val="22"/>
          <w:szCs w:val="22"/>
          <w:lang w:val="es-ES"/>
        </w:rPr>
        <w:t>.</w:t>
      </w:r>
      <w:r w:rsidR="00BF1C69">
        <w:rPr>
          <w:rFonts w:ascii="Arial" w:hAnsi="Arial" w:eastAsia="Calibri" w:cs="Arial"/>
          <w:color w:val="000000" w:themeColor="text1"/>
          <w:sz w:val="22"/>
          <w:szCs w:val="22"/>
          <w:lang w:val="es-ES"/>
        </w:rPr>
        <w:t xml:space="preserve"> </w:t>
      </w:r>
      <w:r w:rsidR="00544048">
        <w:rPr>
          <w:rFonts w:ascii="Arial" w:hAnsi="Arial" w:eastAsia="Calibri" w:cs="Arial"/>
          <w:color w:val="000000" w:themeColor="text1"/>
          <w:sz w:val="22"/>
          <w:szCs w:val="22"/>
          <w:lang w:val="es-ES"/>
        </w:rPr>
        <w:t>Cronológicamente, la primera de las decisiones reseñadas fue proferida el 11 de abril de 2019</w:t>
      </w:r>
      <w:r w:rsidR="00544048">
        <w:rPr>
          <w:rStyle w:val="Refdenotaalpie"/>
          <w:rFonts w:ascii="Arial" w:hAnsi="Arial" w:eastAsia="Calibri" w:cs="Arial"/>
          <w:color w:val="000000" w:themeColor="text1"/>
          <w:sz w:val="22"/>
          <w:szCs w:val="22"/>
          <w:lang w:val="es-ES"/>
        </w:rPr>
        <w:footnoteReference w:id="16"/>
      </w:r>
      <w:r w:rsidR="00544048">
        <w:rPr>
          <w:rFonts w:ascii="Arial" w:hAnsi="Arial" w:eastAsia="Calibri" w:cs="Arial"/>
          <w:color w:val="000000" w:themeColor="text1"/>
          <w:sz w:val="22"/>
          <w:szCs w:val="22"/>
          <w:lang w:val="es-ES"/>
        </w:rPr>
        <w:t xml:space="preserve"> y se </w:t>
      </w:r>
      <w:r w:rsidR="00BF1C69">
        <w:rPr>
          <w:rFonts w:ascii="Arial" w:hAnsi="Arial" w:eastAsia="Calibri" w:cs="Arial"/>
          <w:color w:val="000000" w:themeColor="text1"/>
          <w:sz w:val="22"/>
          <w:szCs w:val="22"/>
          <w:lang w:val="es-ES"/>
        </w:rPr>
        <w:t>refirió</w:t>
      </w:r>
      <w:r w:rsidR="00544048">
        <w:rPr>
          <w:rFonts w:ascii="Arial" w:hAnsi="Arial" w:eastAsia="Calibri" w:cs="Arial"/>
          <w:color w:val="000000" w:themeColor="text1"/>
          <w:sz w:val="22"/>
          <w:szCs w:val="22"/>
          <w:lang w:val="es-ES"/>
        </w:rPr>
        <w:t xml:space="preserve"> al artículo 159 del Decreto 1510</w:t>
      </w:r>
      <w:r w:rsidR="00C075BE">
        <w:rPr>
          <w:rFonts w:ascii="Arial" w:hAnsi="Arial" w:eastAsia="Calibri" w:cs="Arial"/>
          <w:color w:val="000000" w:themeColor="text1"/>
          <w:sz w:val="22"/>
          <w:szCs w:val="22"/>
          <w:lang w:val="es-ES"/>
        </w:rPr>
        <w:t xml:space="preserve">. </w:t>
      </w:r>
      <w:r w:rsidR="00544048">
        <w:rPr>
          <w:rFonts w:ascii="Arial" w:hAnsi="Arial" w:eastAsia="Calibri" w:cs="Arial"/>
          <w:color w:val="000000" w:themeColor="text1"/>
          <w:sz w:val="22"/>
          <w:szCs w:val="22"/>
          <w:lang w:val="es-ES"/>
        </w:rPr>
        <w:t xml:space="preserve">En esta providencia el Consejo de Estado consideró ajustado al ordenamiento la facultad de Colombia Compra Eficiente </w:t>
      </w:r>
      <w:r w:rsidR="00C075BE">
        <w:rPr>
          <w:rFonts w:ascii="Arial" w:hAnsi="Arial" w:eastAsia="Calibri" w:cs="Arial"/>
          <w:color w:val="000000" w:themeColor="text1"/>
          <w:sz w:val="22"/>
          <w:szCs w:val="22"/>
          <w:lang w:val="es-ES"/>
        </w:rPr>
        <w:t xml:space="preserve">para </w:t>
      </w:r>
      <w:r w:rsidR="00544048">
        <w:rPr>
          <w:rFonts w:ascii="Arial" w:hAnsi="Arial" w:eastAsia="Calibri" w:cs="Arial"/>
          <w:color w:val="000000" w:themeColor="text1"/>
          <w:sz w:val="22"/>
          <w:szCs w:val="22"/>
          <w:lang w:val="es-ES"/>
        </w:rPr>
        <w:t>expedir manuales y guías para</w:t>
      </w:r>
      <w:r w:rsidR="00BF1C69">
        <w:rPr>
          <w:rFonts w:ascii="Arial" w:hAnsi="Arial" w:eastAsia="Calibri" w:cs="Arial"/>
          <w:color w:val="000000" w:themeColor="text1"/>
          <w:sz w:val="22"/>
          <w:szCs w:val="22"/>
          <w:lang w:val="es-ES"/>
        </w:rPr>
        <w:t xml:space="preserve"> </w:t>
      </w:r>
      <w:r w:rsidRPr="00544048" w:rsidR="00544048">
        <w:rPr>
          <w:rFonts w:ascii="Arial" w:hAnsi="Arial" w:eastAsia="Calibri" w:cs="Arial"/>
          <w:color w:val="000000" w:themeColor="text1"/>
          <w:sz w:val="22"/>
          <w:szCs w:val="22"/>
          <w:lang w:val="es-ES"/>
        </w:rPr>
        <w:t>«la elaboración y actualización del Plan Anual de Adquisiciones»</w:t>
      </w:r>
      <w:r w:rsidR="00BF1C69">
        <w:rPr>
          <w:rFonts w:ascii="Arial" w:hAnsi="Arial" w:eastAsia="Calibri" w:cs="Arial"/>
          <w:color w:val="000000" w:themeColor="text1"/>
          <w:sz w:val="22"/>
          <w:szCs w:val="22"/>
          <w:lang w:val="es-ES"/>
        </w:rPr>
        <w:t xml:space="preserve">. Sobre la legalidad de esta competencia se </w:t>
      </w:r>
      <w:r w:rsidR="00753A16">
        <w:rPr>
          <w:rFonts w:ascii="Arial" w:hAnsi="Arial" w:eastAsia="Calibri" w:cs="Arial"/>
          <w:color w:val="000000" w:themeColor="text1"/>
          <w:sz w:val="22"/>
          <w:szCs w:val="22"/>
          <w:lang w:val="es-ES"/>
        </w:rPr>
        <w:t>explicó lo siguiente</w:t>
      </w:r>
      <w:r w:rsidR="00BF1C69">
        <w:rPr>
          <w:rFonts w:ascii="Arial" w:hAnsi="Arial" w:eastAsia="Calibri" w:cs="Arial"/>
          <w:color w:val="000000" w:themeColor="text1"/>
          <w:sz w:val="22"/>
          <w:szCs w:val="22"/>
          <w:lang w:val="es-ES"/>
        </w:rPr>
        <w:t xml:space="preserve">: </w:t>
      </w:r>
    </w:p>
    <w:p w:rsidRPr="00BF1C69" w:rsidR="00027DBC" w:rsidP="00C075BE" w:rsidRDefault="00027DBC" w14:paraId="424238B1" w14:textId="77777777">
      <w:pPr>
        <w:tabs>
          <w:tab w:val="left" w:pos="426"/>
        </w:tabs>
        <w:ind w:firstLine="709"/>
        <w:jc w:val="both"/>
        <w:rPr>
          <w:rFonts w:ascii="Arial" w:hAnsi="Arial" w:eastAsia="Calibri" w:cs="Arial"/>
          <w:color w:val="000000" w:themeColor="text1"/>
          <w:sz w:val="22"/>
          <w:szCs w:val="22"/>
          <w:lang w:val="es-ES"/>
        </w:rPr>
      </w:pPr>
    </w:p>
    <w:p w:rsidR="00BF1C69" w:rsidP="00C075BE" w:rsidRDefault="00BF1C69" w14:paraId="335E5E94" w14:textId="6EC7672C">
      <w:pPr>
        <w:tabs>
          <w:tab w:val="left" w:pos="426"/>
        </w:tabs>
        <w:ind w:left="709" w:right="709"/>
        <w:jc w:val="both"/>
        <w:rPr>
          <w:rFonts w:ascii="Arial" w:hAnsi="Arial" w:eastAsia="Calibri" w:cs="Arial"/>
          <w:color w:val="000000" w:themeColor="text1"/>
          <w:sz w:val="21"/>
          <w:szCs w:val="21"/>
          <w:lang w:val="es-MX"/>
        </w:rPr>
      </w:pPr>
      <w:r w:rsidRPr="00BF1C69">
        <w:rPr>
          <w:rFonts w:ascii="Arial" w:hAnsi="Arial" w:eastAsia="Calibri" w:cs="Arial"/>
          <w:color w:val="000000" w:themeColor="text1"/>
          <w:sz w:val="21"/>
          <w:szCs w:val="21"/>
          <w:lang w:val="es-MX"/>
        </w:rPr>
        <w:t>Sobre el particular, observa la Sala que el asignar la función de diseño e implementación de un manual o guía para la elaboración y actualización del plan anual de adquisiciones a Colombia Compra Eficiente, no representa un exceso de la facultad reglamentaria, en tanto que los criterios generales fueron definidos previamente por el Presidente de la República, y solo los aspectos relacionados con la gestión de tal actividad, podrían establecerse en el mencionado manual o guía, situaciones que, sin duda, obedecen a la práctica administrativa que puede resultar cambiante y cuya regulación específica por Colombia Compra Eficiente, para nada invade la órbita de competencias a cargo del primer mandatario, como suprema autoridad administrativa.</w:t>
      </w:r>
      <w:r>
        <w:rPr>
          <w:rStyle w:val="Refdenotaalpie"/>
          <w:rFonts w:ascii="Arial" w:hAnsi="Arial" w:eastAsia="Calibri" w:cs="Arial"/>
          <w:color w:val="000000" w:themeColor="text1"/>
          <w:sz w:val="21"/>
          <w:szCs w:val="21"/>
          <w:lang w:val="es-MX"/>
        </w:rPr>
        <w:footnoteReference w:id="17"/>
      </w:r>
    </w:p>
    <w:p w:rsidR="00BF1C69" w:rsidP="00BF1C69" w:rsidRDefault="00BF1C69" w14:paraId="3F8D6B81" w14:textId="2F61FB59">
      <w:pPr>
        <w:tabs>
          <w:tab w:val="left" w:pos="426"/>
        </w:tabs>
        <w:ind w:right="709"/>
        <w:jc w:val="both"/>
        <w:rPr>
          <w:rFonts w:ascii="Arial" w:hAnsi="Arial" w:eastAsia="Calibri" w:cs="Arial"/>
          <w:color w:val="000000" w:themeColor="text1"/>
          <w:sz w:val="21"/>
          <w:szCs w:val="21"/>
          <w:lang w:val="es-MX"/>
        </w:rPr>
      </w:pPr>
    </w:p>
    <w:p w:rsidR="00BF1C69" w:rsidP="00BE5DCB" w:rsidRDefault="00BF1C69" w14:paraId="5CF443BF" w14:textId="056369B0">
      <w:pPr>
        <w:tabs>
          <w:tab w:val="left" w:pos="426"/>
        </w:tabs>
        <w:spacing w:line="276" w:lineRule="auto"/>
        <w:ind w:right="49" w:firstLine="709"/>
        <w:jc w:val="both"/>
        <w:rPr>
          <w:rFonts w:ascii="Arial" w:hAnsi="Arial" w:eastAsia="Calibri" w:cs="Arial"/>
          <w:color w:val="000000" w:themeColor="text1"/>
          <w:sz w:val="22"/>
          <w:szCs w:val="22"/>
          <w:lang w:val="es-MX"/>
        </w:rPr>
      </w:pPr>
      <w:r>
        <w:rPr>
          <w:rFonts w:ascii="Arial" w:hAnsi="Arial" w:eastAsia="Calibri" w:cs="Arial"/>
          <w:color w:val="000000" w:themeColor="text1"/>
          <w:sz w:val="22"/>
          <w:szCs w:val="22"/>
          <w:lang w:val="es-MX"/>
        </w:rPr>
        <w:t>De otra parte, en sentencia de 3 de abril de 2020</w:t>
      </w:r>
      <w:r>
        <w:rPr>
          <w:rStyle w:val="Refdenotaalpie"/>
          <w:rFonts w:ascii="Arial" w:hAnsi="Arial" w:eastAsia="Calibri" w:cs="Arial"/>
          <w:color w:val="000000" w:themeColor="text1"/>
          <w:sz w:val="22"/>
          <w:szCs w:val="22"/>
          <w:lang w:val="es-MX"/>
        </w:rPr>
        <w:footnoteReference w:id="18"/>
      </w:r>
      <w:r>
        <w:rPr>
          <w:rFonts w:ascii="Arial" w:hAnsi="Arial" w:eastAsia="Calibri" w:cs="Arial"/>
          <w:color w:val="000000" w:themeColor="text1"/>
          <w:sz w:val="22"/>
          <w:szCs w:val="22"/>
          <w:lang w:val="es-MX"/>
        </w:rPr>
        <w:t xml:space="preserve">, </w:t>
      </w:r>
      <w:r w:rsidR="00E86F3E">
        <w:rPr>
          <w:rFonts w:ascii="Arial" w:hAnsi="Arial" w:eastAsia="Calibri" w:cs="Arial"/>
          <w:color w:val="000000" w:themeColor="text1"/>
          <w:sz w:val="22"/>
          <w:szCs w:val="22"/>
          <w:lang w:val="es-MX"/>
        </w:rPr>
        <w:t>el Consejo de Estado</w:t>
      </w:r>
      <w:r>
        <w:rPr>
          <w:rFonts w:ascii="Arial" w:hAnsi="Arial" w:eastAsia="Calibri" w:cs="Arial"/>
          <w:color w:val="000000" w:themeColor="text1"/>
          <w:sz w:val="22"/>
          <w:szCs w:val="22"/>
          <w:lang w:val="es-MX"/>
        </w:rPr>
        <w:t xml:space="preserve"> declaró la nulidad</w:t>
      </w:r>
      <w:r w:rsidR="00C631CB">
        <w:rPr>
          <w:rFonts w:ascii="Arial" w:hAnsi="Arial" w:eastAsia="Calibri" w:cs="Arial"/>
          <w:color w:val="000000" w:themeColor="text1"/>
          <w:sz w:val="22"/>
          <w:szCs w:val="22"/>
          <w:lang w:val="es-MX"/>
        </w:rPr>
        <w:t xml:space="preserve"> </w:t>
      </w:r>
      <w:r>
        <w:rPr>
          <w:rFonts w:ascii="Arial" w:hAnsi="Arial" w:eastAsia="Calibri" w:cs="Arial"/>
          <w:color w:val="000000" w:themeColor="text1"/>
          <w:sz w:val="22"/>
          <w:szCs w:val="22"/>
          <w:lang w:val="es-MX"/>
        </w:rPr>
        <w:t>total del artículo 158 del Decreto 1510</w:t>
      </w:r>
      <w:r w:rsidR="00A53D5E">
        <w:rPr>
          <w:rFonts w:ascii="Arial" w:hAnsi="Arial" w:eastAsia="Calibri" w:cs="Arial"/>
          <w:color w:val="000000" w:themeColor="text1"/>
          <w:sz w:val="22"/>
          <w:szCs w:val="22"/>
          <w:lang w:val="es-MX"/>
        </w:rPr>
        <w:t>, compilado en el artículo 2.2.1.2.5.1. del decreto 1082 de 2015</w:t>
      </w:r>
      <w:r w:rsidR="00C631CB">
        <w:rPr>
          <w:rFonts w:ascii="Arial" w:hAnsi="Arial" w:eastAsia="Calibri" w:cs="Arial"/>
          <w:color w:val="000000" w:themeColor="text1"/>
          <w:sz w:val="22"/>
          <w:szCs w:val="22"/>
          <w:lang w:val="es-MX"/>
        </w:rPr>
        <w:t xml:space="preserve"> que permitía establecer lineamientos y el formato que las entidades estatales debían utilizar para la elaboración del </w:t>
      </w:r>
      <w:r w:rsidR="00E86F3E">
        <w:rPr>
          <w:rFonts w:ascii="Arial" w:hAnsi="Arial" w:eastAsia="Calibri" w:cs="Arial"/>
          <w:color w:val="000000" w:themeColor="text1"/>
          <w:sz w:val="22"/>
          <w:szCs w:val="22"/>
          <w:lang w:val="es-MX"/>
        </w:rPr>
        <w:t>p</w:t>
      </w:r>
      <w:r w:rsidR="00C631CB">
        <w:rPr>
          <w:rFonts w:ascii="Arial" w:hAnsi="Arial" w:eastAsia="Calibri" w:cs="Arial"/>
          <w:color w:val="000000" w:themeColor="text1"/>
          <w:sz w:val="22"/>
          <w:szCs w:val="22"/>
          <w:lang w:val="es-MX"/>
        </w:rPr>
        <w:t>lan</w:t>
      </w:r>
      <w:r>
        <w:rPr>
          <w:rFonts w:ascii="Arial" w:hAnsi="Arial" w:eastAsia="Calibri" w:cs="Arial"/>
          <w:color w:val="000000" w:themeColor="text1"/>
          <w:sz w:val="22"/>
          <w:szCs w:val="22"/>
          <w:lang w:val="es-MX"/>
        </w:rPr>
        <w:t>.</w:t>
      </w:r>
      <w:r w:rsidR="00BF63F6">
        <w:rPr>
          <w:rFonts w:ascii="Arial" w:hAnsi="Arial" w:eastAsia="Calibri" w:cs="Arial"/>
          <w:color w:val="000000" w:themeColor="text1"/>
          <w:sz w:val="22"/>
          <w:szCs w:val="22"/>
          <w:lang w:val="es-MX"/>
        </w:rPr>
        <w:t xml:space="preserve"> La decisión del Consejo de Estado encontró sustento en que, tanto</w:t>
      </w:r>
      <w:r w:rsidR="000E7213">
        <w:rPr>
          <w:rFonts w:ascii="Arial" w:hAnsi="Arial" w:eastAsia="Calibri" w:cs="Arial"/>
          <w:color w:val="000000" w:themeColor="text1"/>
          <w:sz w:val="22"/>
          <w:szCs w:val="22"/>
          <w:lang w:val="es-MX"/>
        </w:rPr>
        <w:t xml:space="preserve"> para</w:t>
      </w:r>
      <w:r w:rsidR="00BF63F6">
        <w:rPr>
          <w:rFonts w:ascii="Arial" w:hAnsi="Arial" w:eastAsia="Calibri" w:cs="Arial"/>
          <w:color w:val="000000" w:themeColor="text1"/>
          <w:sz w:val="22"/>
          <w:szCs w:val="22"/>
          <w:lang w:val="es-MX"/>
        </w:rPr>
        <w:t xml:space="preserve"> el artículo 158 como</w:t>
      </w:r>
      <w:r w:rsidR="000E7213">
        <w:rPr>
          <w:rFonts w:ascii="Arial" w:hAnsi="Arial" w:eastAsia="Calibri" w:cs="Arial"/>
          <w:color w:val="000000" w:themeColor="text1"/>
          <w:sz w:val="22"/>
          <w:szCs w:val="22"/>
          <w:lang w:val="es-MX"/>
        </w:rPr>
        <w:t xml:space="preserve"> para</w:t>
      </w:r>
      <w:r w:rsidR="00BF63F6">
        <w:rPr>
          <w:rFonts w:ascii="Arial" w:hAnsi="Arial" w:eastAsia="Calibri" w:cs="Arial"/>
          <w:color w:val="000000" w:themeColor="text1"/>
          <w:sz w:val="22"/>
          <w:szCs w:val="22"/>
          <w:lang w:val="es-MX"/>
        </w:rPr>
        <w:t xml:space="preserve"> el 160, </w:t>
      </w:r>
      <w:r w:rsidRPr="00BF63F6" w:rsidR="00BF63F6">
        <w:rPr>
          <w:rFonts w:ascii="Arial" w:hAnsi="Arial" w:eastAsia="Calibri" w:cs="Arial"/>
          <w:color w:val="000000" w:themeColor="text1"/>
          <w:sz w:val="22"/>
          <w:szCs w:val="22"/>
          <w:lang w:val="es-MX"/>
        </w:rPr>
        <w:t xml:space="preserve">«el reglamento le otorgó a CCE la potestad de reglamentar dos instrumentos puntuales en materia contractual con la expedición de </w:t>
      </w:r>
      <w:r w:rsidRPr="00BE5DCB" w:rsidR="00BF63F6">
        <w:rPr>
          <w:rFonts w:ascii="Arial" w:hAnsi="Arial" w:eastAsia="Calibri" w:cs="Arial"/>
          <w:color w:val="000000" w:themeColor="text1"/>
          <w:sz w:val="22"/>
          <w:szCs w:val="22"/>
          <w:lang w:val="es-MX"/>
        </w:rPr>
        <w:t>normas de contenido obligatorio</w:t>
      </w:r>
      <w:r w:rsidRPr="00BF63F6" w:rsidR="00BF63F6">
        <w:rPr>
          <w:rFonts w:ascii="Arial" w:hAnsi="Arial" w:eastAsia="Calibri" w:cs="Arial"/>
          <w:color w:val="000000" w:themeColor="text1"/>
          <w:sz w:val="22"/>
          <w:szCs w:val="22"/>
          <w:lang w:val="es-MX"/>
        </w:rPr>
        <w:t>, que deben ser acatadas por todas las entidades públicas».</w:t>
      </w:r>
      <w:r w:rsidR="00BF63F6">
        <w:rPr>
          <w:rFonts w:ascii="Verdana" w:hAnsi="Verdana" w:eastAsia="Calibri" w:cs="Arial"/>
          <w:color w:val="000000" w:themeColor="text1"/>
          <w:sz w:val="22"/>
          <w:szCs w:val="22"/>
          <w:lang w:val="es-MX"/>
        </w:rPr>
        <w:t xml:space="preserve"> </w:t>
      </w:r>
      <w:r w:rsidR="003650D9">
        <w:rPr>
          <w:rFonts w:ascii="Arial" w:hAnsi="Arial" w:eastAsia="Calibri" w:cs="Arial"/>
          <w:color w:val="000000" w:themeColor="text1"/>
          <w:sz w:val="22"/>
          <w:szCs w:val="22"/>
          <w:lang w:val="es-MX"/>
        </w:rPr>
        <w:t>En esta medida</w:t>
      </w:r>
      <w:r w:rsidR="00BF63F6">
        <w:rPr>
          <w:rFonts w:ascii="Arial" w:hAnsi="Arial" w:eastAsia="Calibri" w:cs="Arial"/>
          <w:color w:val="000000" w:themeColor="text1"/>
          <w:sz w:val="22"/>
          <w:szCs w:val="22"/>
          <w:lang w:val="es-MX"/>
        </w:rPr>
        <w:t>:</w:t>
      </w:r>
    </w:p>
    <w:p w:rsidR="00BF63F6" w:rsidP="00844CA8" w:rsidRDefault="00BF63F6" w14:paraId="61854B2C" w14:textId="51A1B16C">
      <w:pPr>
        <w:tabs>
          <w:tab w:val="left" w:pos="426"/>
        </w:tabs>
        <w:ind w:right="709" w:firstLine="709"/>
        <w:jc w:val="both"/>
        <w:rPr>
          <w:rFonts w:ascii="Arial" w:hAnsi="Arial" w:eastAsia="Calibri" w:cs="Arial"/>
          <w:color w:val="000000" w:themeColor="text1"/>
          <w:sz w:val="21"/>
          <w:szCs w:val="21"/>
          <w:lang w:val="es-MX"/>
        </w:rPr>
      </w:pPr>
    </w:p>
    <w:p w:rsidRPr="00BF63F6" w:rsidR="00BF63F6" w:rsidP="00844CA8" w:rsidRDefault="00BF63F6" w14:paraId="43205F4A" w14:textId="0AB101EF">
      <w:pPr>
        <w:tabs>
          <w:tab w:val="left" w:pos="426"/>
        </w:tabs>
        <w:ind w:left="709" w:right="709"/>
        <w:jc w:val="both"/>
        <w:rPr>
          <w:rFonts w:ascii="Arial" w:hAnsi="Arial" w:eastAsia="Calibri" w:cs="Arial"/>
          <w:color w:val="000000" w:themeColor="text1"/>
          <w:sz w:val="21"/>
          <w:szCs w:val="21"/>
          <w:lang w:val="es-MX"/>
        </w:rPr>
      </w:pPr>
      <w:r>
        <w:rPr>
          <w:rFonts w:ascii="Arial" w:hAnsi="Arial" w:eastAsia="Calibri" w:cs="Arial"/>
          <w:color w:val="000000" w:themeColor="text1"/>
          <w:sz w:val="21"/>
          <w:szCs w:val="21"/>
          <w:lang w:val="es-MX"/>
        </w:rPr>
        <w:t xml:space="preserve">No resulta procedente que el </w:t>
      </w:r>
      <w:proofErr w:type="gramStart"/>
      <w:r>
        <w:rPr>
          <w:rFonts w:ascii="Arial" w:hAnsi="Arial" w:eastAsia="Calibri" w:cs="Arial"/>
          <w:color w:val="000000" w:themeColor="text1"/>
          <w:sz w:val="21"/>
          <w:szCs w:val="21"/>
          <w:lang w:val="es-MX"/>
        </w:rPr>
        <w:t>Presidente</w:t>
      </w:r>
      <w:proofErr w:type="gramEnd"/>
      <w:r>
        <w:rPr>
          <w:rFonts w:ascii="Arial" w:hAnsi="Arial" w:eastAsia="Calibri" w:cs="Arial"/>
          <w:color w:val="000000" w:themeColor="text1"/>
          <w:sz w:val="21"/>
          <w:szCs w:val="21"/>
          <w:lang w:val="es-MX"/>
        </w:rPr>
        <w:t xml:space="preserve"> de la República, a través de las normas demandadas, traslade a otra entidad, en este caso a Colombia Compra Eficiente, la reglamentación que le corresponde por mandato constitucional (artículo 189, numeral 11 de la Constitución Política de Colombia). Esto es, de las funciones asignadas a CCE en su norma de creación, que se circunscriben a desarrollar, implementar y difundir las políticas públicas, planes, programas, normas, instrumentos y herramientas que faciliten las compras públicas, no se puede pretender derivar una facultad reglamentaria. </w:t>
      </w:r>
    </w:p>
    <w:p w:rsidR="00BF1C69" w:rsidP="00F87C89" w:rsidRDefault="00BF1C69" w14:paraId="3FBCBF04" w14:textId="16E7A604">
      <w:pPr>
        <w:tabs>
          <w:tab w:val="left" w:pos="426"/>
        </w:tabs>
        <w:ind w:right="709"/>
        <w:jc w:val="both"/>
        <w:rPr>
          <w:rFonts w:ascii="Arial" w:hAnsi="Arial" w:eastAsia="Calibri" w:cs="Arial"/>
          <w:color w:val="000000" w:themeColor="text1"/>
          <w:sz w:val="22"/>
          <w:szCs w:val="22"/>
          <w:lang w:val="es-MX"/>
        </w:rPr>
      </w:pPr>
    </w:p>
    <w:p w:rsidR="00F30646" w:rsidP="00A403E6" w:rsidRDefault="00F30646" w14:paraId="1D20A8C8" w14:textId="39CE2219">
      <w:pPr>
        <w:tabs>
          <w:tab w:val="left" w:pos="426"/>
        </w:tabs>
        <w:spacing w:line="276" w:lineRule="auto"/>
        <w:ind w:right="49"/>
        <w:jc w:val="both"/>
        <w:rPr>
          <w:rFonts w:ascii="Arial" w:hAnsi="Arial" w:cs="Arial"/>
          <w:sz w:val="22"/>
          <w:szCs w:val="22"/>
          <w:lang w:val="es-ES"/>
        </w:rPr>
      </w:pPr>
      <w:r>
        <w:rPr>
          <w:rFonts w:ascii="Arial" w:hAnsi="Arial" w:eastAsia="Calibri" w:cs="Arial"/>
          <w:color w:val="000000" w:themeColor="text1"/>
          <w:sz w:val="22"/>
          <w:szCs w:val="22"/>
          <w:lang w:val="es-MX"/>
        </w:rPr>
        <w:t>De conformidad con</w:t>
      </w:r>
      <w:r w:rsidR="003650D9">
        <w:rPr>
          <w:rFonts w:ascii="Arial" w:hAnsi="Arial" w:eastAsia="Calibri" w:cs="Arial"/>
          <w:color w:val="000000" w:themeColor="text1"/>
          <w:sz w:val="22"/>
          <w:szCs w:val="22"/>
          <w:lang w:val="es-MX"/>
        </w:rPr>
        <w:t xml:space="preserve"> lo anterior</w:t>
      </w:r>
      <w:r w:rsidR="00F87C89">
        <w:rPr>
          <w:rFonts w:ascii="Arial" w:hAnsi="Arial" w:eastAsia="Calibri" w:cs="Arial"/>
          <w:color w:val="000000" w:themeColor="text1"/>
          <w:sz w:val="22"/>
          <w:szCs w:val="22"/>
          <w:lang w:val="es-MX"/>
        </w:rPr>
        <w:t>, Colombia Compra Eficiente t</w:t>
      </w:r>
      <w:r w:rsidR="004D055A">
        <w:rPr>
          <w:rFonts w:ascii="Arial" w:hAnsi="Arial" w:eastAsia="Calibri" w:cs="Arial"/>
          <w:color w:val="000000" w:themeColor="text1"/>
          <w:sz w:val="22"/>
          <w:szCs w:val="22"/>
          <w:lang w:val="es-MX"/>
        </w:rPr>
        <w:t>iene</w:t>
      </w:r>
      <w:r w:rsidR="00F87C89">
        <w:rPr>
          <w:rFonts w:ascii="Arial" w:hAnsi="Arial" w:eastAsia="Calibri" w:cs="Arial"/>
          <w:color w:val="000000" w:themeColor="text1"/>
          <w:sz w:val="22"/>
          <w:szCs w:val="22"/>
          <w:lang w:val="es-MX"/>
        </w:rPr>
        <w:t xml:space="preserve"> competencia</w:t>
      </w:r>
      <w:r>
        <w:rPr>
          <w:rFonts w:ascii="Arial" w:hAnsi="Arial" w:eastAsia="Calibri" w:cs="Arial"/>
          <w:color w:val="000000" w:themeColor="text1"/>
          <w:sz w:val="22"/>
          <w:szCs w:val="22"/>
          <w:lang w:val="es-MX"/>
        </w:rPr>
        <w:t>s</w:t>
      </w:r>
      <w:r w:rsidR="00F87C89">
        <w:rPr>
          <w:rFonts w:ascii="Arial" w:hAnsi="Arial" w:eastAsia="Calibri" w:cs="Arial"/>
          <w:color w:val="000000" w:themeColor="text1"/>
          <w:sz w:val="22"/>
          <w:szCs w:val="22"/>
          <w:lang w:val="es-MX"/>
        </w:rPr>
        <w:t xml:space="preserve"> para expedir manuales y guías para la elaboración y actualización del </w:t>
      </w:r>
      <w:r w:rsidR="003650D9">
        <w:rPr>
          <w:rFonts w:ascii="Arial" w:hAnsi="Arial" w:eastAsia="Calibri" w:cs="Arial"/>
          <w:color w:val="000000" w:themeColor="text1"/>
          <w:sz w:val="22"/>
          <w:szCs w:val="22"/>
          <w:lang w:val="es-MX"/>
        </w:rPr>
        <w:t>plan anual de adquisiciones</w:t>
      </w:r>
      <w:r w:rsidR="00F87C89">
        <w:rPr>
          <w:rFonts w:ascii="Arial" w:hAnsi="Arial" w:eastAsia="Calibri" w:cs="Arial"/>
          <w:color w:val="000000" w:themeColor="text1"/>
          <w:sz w:val="22"/>
          <w:szCs w:val="22"/>
          <w:lang w:val="es-MX"/>
        </w:rPr>
        <w:t xml:space="preserve">, pero no para </w:t>
      </w:r>
      <w:r w:rsidRPr="00544048" w:rsidR="00F87C89">
        <w:rPr>
          <w:rFonts w:ascii="Arial" w:hAnsi="Arial" w:cs="Arial"/>
          <w:sz w:val="22"/>
          <w:szCs w:val="22"/>
          <w:lang w:val="es-ES"/>
        </w:rPr>
        <w:t>establecer los lineamientos y diseñar e implementar el formato que debe ser utilizado por las Entidades Estatales para elaborar</w:t>
      </w:r>
      <w:r w:rsidR="00C631CB">
        <w:rPr>
          <w:rFonts w:ascii="Arial" w:hAnsi="Arial" w:cs="Arial"/>
          <w:sz w:val="22"/>
          <w:szCs w:val="22"/>
          <w:lang w:val="es-ES"/>
        </w:rPr>
        <w:t>lo</w:t>
      </w:r>
      <w:r w:rsidR="00F87C89">
        <w:rPr>
          <w:rFonts w:ascii="Arial" w:hAnsi="Arial" w:cs="Arial"/>
          <w:sz w:val="22"/>
          <w:szCs w:val="22"/>
          <w:lang w:val="es-ES"/>
        </w:rPr>
        <w:t xml:space="preserve">. </w:t>
      </w:r>
      <w:bookmarkStart w:name="_Hlk43889491" w:id="7"/>
      <w:r w:rsidR="00671BEA">
        <w:rPr>
          <w:rFonts w:ascii="Arial" w:hAnsi="Arial" w:cs="Arial"/>
          <w:sz w:val="22"/>
          <w:szCs w:val="22"/>
          <w:lang w:val="es-ES"/>
        </w:rPr>
        <w:t>En otras palabras</w:t>
      </w:r>
      <w:r w:rsidRPr="00F30646" w:rsidR="00844CA8">
        <w:rPr>
          <w:rFonts w:ascii="Arial" w:hAnsi="Arial" w:cs="Arial"/>
          <w:sz w:val="22"/>
          <w:szCs w:val="22"/>
          <w:lang w:val="es-ES"/>
        </w:rPr>
        <w:t xml:space="preserve">, la mejor manera en que se pueden armonizar estas dos decisiones </w:t>
      </w:r>
      <w:r w:rsidR="004D055A">
        <w:rPr>
          <w:rFonts w:ascii="Arial" w:hAnsi="Arial" w:cs="Arial"/>
          <w:sz w:val="22"/>
          <w:szCs w:val="22"/>
          <w:lang w:val="es-ES"/>
        </w:rPr>
        <w:t>implica</w:t>
      </w:r>
      <w:r w:rsidRPr="00F30646" w:rsidR="004D055A">
        <w:rPr>
          <w:rFonts w:ascii="Arial" w:hAnsi="Arial" w:cs="Arial"/>
          <w:sz w:val="22"/>
          <w:szCs w:val="22"/>
          <w:lang w:val="es-ES"/>
        </w:rPr>
        <w:t xml:space="preserve"> </w:t>
      </w:r>
      <w:r w:rsidRPr="00F30646" w:rsidR="00844CA8">
        <w:rPr>
          <w:rFonts w:ascii="Arial" w:hAnsi="Arial" w:cs="Arial"/>
          <w:sz w:val="22"/>
          <w:szCs w:val="22"/>
          <w:lang w:val="es-ES"/>
        </w:rPr>
        <w:t xml:space="preserve">considerar que Colombia Compra mantiene la facultad de emitir </w:t>
      </w:r>
      <w:r w:rsidRPr="00F30646" w:rsidR="003650D9">
        <w:rPr>
          <w:rFonts w:ascii="Arial" w:hAnsi="Arial" w:cs="Arial"/>
          <w:sz w:val="22"/>
          <w:szCs w:val="22"/>
          <w:lang w:val="es-ES"/>
        </w:rPr>
        <w:t>guías y manuales</w:t>
      </w:r>
      <w:r w:rsidRPr="00F30646" w:rsidR="00844CA8">
        <w:rPr>
          <w:rFonts w:ascii="Arial" w:hAnsi="Arial" w:cs="Arial"/>
          <w:sz w:val="22"/>
          <w:szCs w:val="22"/>
          <w:lang w:val="es-ES"/>
        </w:rPr>
        <w:t xml:space="preserve"> en materia de plan de adquisiciones de conformidad con el literal c</w:t>
      </w:r>
      <w:r>
        <w:rPr>
          <w:rFonts w:ascii="Arial" w:hAnsi="Arial" w:cs="Arial"/>
          <w:sz w:val="22"/>
          <w:szCs w:val="22"/>
          <w:lang w:val="es-ES"/>
        </w:rPr>
        <w:t>)</w:t>
      </w:r>
      <w:r w:rsidRPr="00F30646" w:rsidR="00844CA8">
        <w:rPr>
          <w:rFonts w:ascii="Arial" w:hAnsi="Arial" w:cs="Arial"/>
          <w:sz w:val="22"/>
          <w:szCs w:val="22"/>
          <w:lang w:val="es-ES"/>
        </w:rPr>
        <w:t xml:space="preserve"> del artículo 159 del Decreto 1510 de 2013</w:t>
      </w:r>
      <w:r w:rsidR="00671BEA">
        <w:rPr>
          <w:rFonts w:ascii="Arial" w:hAnsi="Arial" w:cs="Arial"/>
          <w:sz w:val="22"/>
          <w:szCs w:val="22"/>
          <w:lang w:val="es-ES"/>
        </w:rPr>
        <w:t>, compilado en el Decreto 1082 de 2015,</w:t>
      </w:r>
      <w:r w:rsidRPr="00F30646" w:rsidR="00844CA8">
        <w:rPr>
          <w:rFonts w:ascii="Arial" w:hAnsi="Arial" w:cs="Arial"/>
          <w:sz w:val="22"/>
          <w:szCs w:val="22"/>
          <w:lang w:val="es-ES"/>
        </w:rPr>
        <w:t xml:space="preserve"> declarado válido</w:t>
      </w:r>
      <w:r>
        <w:rPr>
          <w:rFonts w:ascii="Arial" w:hAnsi="Arial" w:cs="Arial"/>
          <w:sz w:val="22"/>
          <w:szCs w:val="22"/>
          <w:lang w:val="es-ES"/>
        </w:rPr>
        <w:t xml:space="preserve">. Sin embargo, no comprende la facultad de establecer lineamientos e implementar el formato que debe ser utilizados por las entidades estatales para elaborar el </w:t>
      </w:r>
      <w:r w:rsidR="003340A1">
        <w:rPr>
          <w:rFonts w:ascii="Arial" w:hAnsi="Arial" w:cs="Arial"/>
          <w:sz w:val="22"/>
          <w:szCs w:val="22"/>
          <w:lang w:val="es-ES"/>
        </w:rPr>
        <w:t>plan anual de adquisiciones</w:t>
      </w:r>
      <w:r>
        <w:rPr>
          <w:rFonts w:ascii="Arial" w:hAnsi="Arial" w:cs="Arial"/>
          <w:sz w:val="22"/>
          <w:szCs w:val="22"/>
          <w:lang w:val="es-ES"/>
        </w:rPr>
        <w:t>.</w:t>
      </w:r>
      <w:bookmarkEnd w:id="7"/>
      <w:r>
        <w:rPr>
          <w:rFonts w:ascii="Arial" w:hAnsi="Arial" w:cs="Arial"/>
          <w:sz w:val="22"/>
          <w:szCs w:val="22"/>
          <w:lang w:val="es-ES"/>
        </w:rPr>
        <w:t xml:space="preserve"> </w:t>
      </w:r>
    </w:p>
    <w:p w:rsidR="001671D5" w:rsidP="001671D5" w:rsidRDefault="001671D5" w14:paraId="06226EA9" w14:textId="77777777">
      <w:pPr>
        <w:spacing w:line="276" w:lineRule="auto"/>
        <w:ind w:right="709" w:firstLine="709"/>
        <w:jc w:val="both"/>
        <w:rPr>
          <w:rFonts w:ascii="Arial" w:hAnsi="Arial" w:cs="Arial"/>
          <w:sz w:val="22"/>
          <w:szCs w:val="22"/>
          <w:lang w:val="es-ES"/>
        </w:rPr>
      </w:pPr>
    </w:p>
    <w:p w:rsidR="001671D5" w:rsidP="001671D5" w:rsidRDefault="001671D5" w14:paraId="2266C8DA" w14:textId="3FB62CC3">
      <w:pPr>
        <w:tabs>
          <w:tab w:val="left" w:pos="426"/>
        </w:tabs>
        <w:spacing w:line="276" w:lineRule="auto"/>
        <w:jc w:val="both"/>
        <w:rPr>
          <w:rFonts w:ascii="Arial" w:hAnsi="Arial" w:eastAsia="Calibri" w:cs="Arial"/>
          <w:b/>
          <w:bCs/>
          <w:color w:val="000000" w:themeColor="text1"/>
          <w:sz w:val="22"/>
          <w:szCs w:val="22"/>
          <w:lang w:val="es-ES"/>
        </w:rPr>
      </w:pPr>
      <w:r w:rsidRPr="00F53451">
        <w:rPr>
          <w:rFonts w:ascii="Arial" w:hAnsi="Arial" w:eastAsia="Calibri" w:cs="Arial"/>
          <w:b/>
          <w:bCs/>
          <w:color w:val="000000" w:themeColor="text1"/>
          <w:sz w:val="22"/>
          <w:szCs w:val="22"/>
          <w:lang w:val="es-ES"/>
        </w:rPr>
        <w:t xml:space="preserve">2.6. </w:t>
      </w:r>
      <w:r w:rsidRPr="00F53451" w:rsidR="00F53451">
        <w:rPr>
          <w:rFonts w:ascii="Arial" w:hAnsi="Arial" w:eastAsia="Calibri" w:cs="Arial"/>
          <w:b/>
          <w:bCs/>
          <w:color w:val="000000" w:themeColor="text1"/>
          <w:sz w:val="22"/>
          <w:szCs w:val="22"/>
          <w:lang w:val="es-ES"/>
        </w:rPr>
        <w:t>O</w:t>
      </w:r>
      <w:r w:rsidRPr="00F53451">
        <w:rPr>
          <w:rFonts w:ascii="Arial" w:hAnsi="Arial" w:eastAsia="Calibri" w:cs="Arial"/>
          <w:b/>
          <w:bCs/>
          <w:color w:val="000000" w:themeColor="text1"/>
          <w:sz w:val="22"/>
          <w:szCs w:val="22"/>
          <w:lang w:val="es-ES"/>
        </w:rPr>
        <w:t>bligación para las ESP mixtas de seguir las directrices de Colombia Compra Eficiente sobre planes anuales de adquisiciones</w:t>
      </w:r>
    </w:p>
    <w:p w:rsidR="001671D5" w:rsidP="001671D5" w:rsidRDefault="001671D5" w14:paraId="42F0D5FA" w14:textId="77777777">
      <w:pPr>
        <w:tabs>
          <w:tab w:val="left" w:pos="1276"/>
        </w:tabs>
        <w:ind w:right="709"/>
        <w:jc w:val="both"/>
        <w:rPr>
          <w:rFonts w:ascii="Arial" w:hAnsi="Arial" w:eastAsia="Calibri" w:cs="Arial"/>
          <w:color w:val="000000" w:themeColor="text1"/>
          <w:sz w:val="21"/>
          <w:szCs w:val="21"/>
          <w:lang w:val="es-ES"/>
        </w:rPr>
      </w:pPr>
    </w:p>
    <w:p w:rsidRPr="00406E40" w:rsidR="006A5544" w:rsidP="009B616F" w:rsidRDefault="006A5544" w14:paraId="250A6687" w14:textId="1318700A">
      <w:pPr>
        <w:tabs>
          <w:tab w:val="left" w:pos="426"/>
        </w:tabs>
        <w:spacing w:line="276" w:lineRule="auto"/>
        <w:jc w:val="both"/>
        <w:rPr>
          <w:rFonts w:ascii="Arial" w:hAnsi="Arial" w:eastAsia="Calibri" w:cs="Arial"/>
          <w:color w:val="000000" w:themeColor="text1"/>
          <w:sz w:val="22"/>
          <w:szCs w:val="22"/>
          <w:lang w:val="es-ES"/>
        </w:rPr>
      </w:pPr>
      <w:r>
        <w:rPr>
          <w:rFonts w:ascii="Arial" w:hAnsi="Arial" w:eastAsia="Calibri" w:cs="Arial"/>
          <w:color w:val="000000" w:themeColor="text1"/>
          <w:sz w:val="22"/>
          <w:szCs w:val="22"/>
          <w:lang w:val="es-ES"/>
        </w:rPr>
        <w:t xml:space="preserve">En materia de plan anual de adquisiciones para las entidades </w:t>
      </w:r>
      <w:r w:rsidR="00284D84">
        <w:rPr>
          <w:rFonts w:ascii="Arial" w:hAnsi="Arial" w:eastAsia="Calibri" w:cs="Arial"/>
          <w:color w:val="000000" w:themeColor="text1"/>
          <w:sz w:val="22"/>
          <w:szCs w:val="22"/>
          <w:lang w:val="es-ES"/>
        </w:rPr>
        <w:t>exceptuadas</w:t>
      </w:r>
      <w:r>
        <w:rPr>
          <w:rFonts w:ascii="Arial" w:hAnsi="Arial" w:eastAsia="Calibri" w:cs="Arial"/>
          <w:color w:val="000000" w:themeColor="text1"/>
          <w:sz w:val="22"/>
          <w:szCs w:val="22"/>
          <w:lang w:val="es-ES"/>
        </w:rPr>
        <w:t xml:space="preserve">, </w:t>
      </w:r>
      <w:r w:rsidRPr="00406E40">
        <w:rPr>
          <w:rFonts w:ascii="Arial" w:hAnsi="Arial" w:eastAsia="Calibri" w:cs="Arial"/>
          <w:color w:val="000000" w:themeColor="text1"/>
          <w:sz w:val="22"/>
          <w:szCs w:val="22"/>
          <w:lang w:val="es-ES"/>
        </w:rPr>
        <w:t xml:space="preserve">la </w:t>
      </w:r>
      <w:r w:rsidRPr="00406E40" w:rsidR="00D76C13">
        <w:rPr>
          <w:rFonts w:ascii="Arial" w:hAnsi="Arial" w:eastAsia="Calibri" w:cs="Arial"/>
          <w:color w:val="000000" w:themeColor="text1"/>
          <w:sz w:val="22"/>
          <w:szCs w:val="22"/>
          <w:lang w:val="es-ES"/>
        </w:rPr>
        <w:t xml:space="preserve">guía para las </w:t>
      </w:r>
      <w:r w:rsidR="00D76C13">
        <w:rPr>
          <w:rFonts w:ascii="Arial" w:hAnsi="Arial" w:eastAsia="Calibri" w:cs="Arial"/>
          <w:color w:val="000000" w:themeColor="text1"/>
          <w:sz w:val="22"/>
          <w:szCs w:val="22"/>
          <w:lang w:val="es-ES"/>
        </w:rPr>
        <w:t xml:space="preserve">entidades estatales </w:t>
      </w:r>
      <w:r w:rsidRPr="00406E40">
        <w:rPr>
          <w:rFonts w:ascii="Arial" w:hAnsi="Arial" w:eastAsia="Calibri" w:cs="Arial"/>
          <w:color w:val="000000" w:themeColor="text1"/>
          <w:sz w:val="22"/>
          <w:szCs w:val="22"/>
          <w:lang w:val="es-ES"/>
        </w:rPr>
        <w:t xml:space="preserve">con régimen especial de contratación de la Agencia de Contratación Colombia Compra </w:t>
      </w:r>
      <w:r w:rsidR="00284D84">
        <w:rPr>
          <w:rFonts w:ascii="Arial" w:hAnsi="Arial" w:eastAsia="Calibri" w:cs="Arial"/>
          <w:color w:val="000000" w:themeColor="text1"/>
          <w:sz w:val="22"/>
          <w:szCs w:val="22"/>
          <w:lang w:val="es-ES"/>
        </w:rPr>
        <w:t>dispuso que</w:t>
      </w:r>
      <w:r w:rsidRPr="00406E40">
        <w:rPr>
          <w:rFonts w:ascii="Arial" w:hAnsi="Arial" w:eastAsia="Calibri" w:cs="Arial"/>
          <w:color w:val="000000" w:themeColor="text1"/>
          <w:sz w:val="22"/>
          <w:szCs w:val="22"/>
          <w:lang w:val="es-ES"/>
        </w:rPr>
        <w:t>:</w:t>
      </w:r>
    </w:p>
    <w:p w:rsidRPr="00406E40" w:rsidR="006A5544" w:rsidP="006A5544" w:rsidRDefault="006A5544" w14:paraId="1B0C165F" w14:textId="77777777">
      <w:pPr>
        <w:tabs>
          <w:tab w:val="left" w:pos="426"/>
        </w:tabs>
        <w:spacing w:line="276" w:lineRule="auto"/>
        <w:jc w:val="both"/>
        <w:rPr>
          <w:rFonts w:ascii="Arial" w:hAnsi="Arial" w:eastAsia="Calibri" w:cs="Arial"/>
          <w:color w:val="000000" w:themeColor="text1"/>
          <w:sz w:val="22"/>
          <w:szCs w:val="22"/>
          <w:lang w:val="es-ES"/>
        </w:rPr>
      </w:pPr>
    </w:p>
    <w:p w:rsidR="006A5544" w:rsidP="006A5544" w:rsidRDefault="006A5544" w14:paraId="39C2FF5F" w14:textId="77777777">
      <w:pPr>
        <w:tabs>
          <w:tab w:val="left" w:pos="1276"/>
        </w:tabs>
        <w:ind w:left="709" w:right="709"/>
        <w:jc w:val="both"/>
        <w:rPr>
          <w:rFonts w:ascii="Arial" w:hAnsi="Arial" w:eastAsia="Calibri" w:cs="Arial"/>
          <w:color w:val="000000" w:themeColor="text1"/>
          <w:sz w:val="21"/>
          <w:szCs w:val="21"/>
          <w:lang w:val="es-ES"/>
        </w:rPr>
      </w:pPr>
      <w:r w:rsidRPr="00150EAF">
        <w:rPr>
          <w:rFonts w:ascii="Arial" w:hAnsi="Arial" w:eastAsia="Calibri" w:cs="Arial"/>
          <w:color w:val="000000" w:themeColor="text1"/>
          <w:sz w:val="21"/>
          <w:szCs w:val="21"/>
          <w:lang w:val="es-ES"/>
        </w:rPr>
        <w:t xml:space="preserve">El Decreto 1082 de 2015, con el objetivo de racionalizar el tiempo y recursos de las Entidades Estatales, incluyendo aquellas de régimen especial, definió́ que el plan general de compras previsto en la Ley 1474 de 2011y el plan de compras previsto en la ley anual de presupuesto es el </w:t>
      </w:r>
      <w:r>
        <w:rPr>
          <w:rFonts w:ascii="Arial" w:hAnsi="Arial" w:eastAsia="Calibri" w:cs="Arial"/>
          <w:color w:val="000000" w:themeColor="text1"/>
          <w:sz w:val="21"/>
          <w:szCs w:val="21"/>
          <w:lang w:val="es-ES"/>
        </w:rPr>
        <w:t>Plan anual de adquisiciones</w:t>
      </w:r>
      <w:r w:rsidRPr="00150EAF">
        <w:rPr>
          <w:rFonts w:ascii="Arial" w:hAnsi="Arial" w:eastAsia="Calibri" w:cs="Arial"/>
          <w:color w:val="000000" w:themeColor="text1"/>
          <w:sz w:val="21"/>
          <w:szCs w:val="21"/>
          <w:lang w:val="es-ES"/>
        </w:rPr>
        <w:t xml:space="preserve"> y encargó a Colombia Compra Eficiente la definición de los lineamientos, el formato que deber ser utilizado para su elaboración, así́ como la forma en la cual debe ser publicado y actualizado. </w:t>
      </w:r>
    </w:p>
    <w:p w:rsidR="006A5544" w:rsidP="00BE5DCB" w:rsidRDefault="006A5544" w14:paraId="314AFE4C" w14:textId="77777777">
      <w:pPr>
        <w:tabs>
          <w:tab w:val="left" w:pos="426"/>
        </w:tabs>
        <w:spacing w:line="276" w:lineRule="auto"/>
        <w:jc w:val="both"/>
        <w:rPr>
          <w:rFonts w:ascii="Arial" w:hAnsi="Arial" w:eastAsia="Calibri" w:cs="Arial"/>
          <w:color w:val="000000" w:themeColor="text1"/>
          <w:sz w:val="22"/>
          <w:szCs w:val="22"/>
          <w:lang w:val="es-ES"/>
        </w:rPr>
      </w:pPr>
    </w:p>
    <w:p w:rsidR="006A5544" w:rsidP="006A5544" w:rsidRDefault="002F3F2A" w14:paraId="65ED00CA" w14:textId="77777777">
      <w:pPr>
        <w:tabs>
          <w:tab w:val="left" w:pos="426"/>
        </w:tabs>
        <w:spacing w:after="120" w:line="276" w:lineRule="auto"/>
        <w:ind w:firstLine="709"/>
        <w:jc w:val="both"/>
        <w:rPr>
          <w:rFonts w:ascii="Arial" w:hAnsi="Arial" w:eastAsia="Calibri" w:cs="Arial"/>
          <w:color w:val="000000" w:themeColor="text1"/>
          <w:sz w:val="22"/>
          <w:szCs w:val="22"/>
          <w:lang w:val="es-ES"/>
        </w:rPr>
      </w:pPr>
      <w:r>
        <w:rPr>
          <w:rFonts w:ascii="Arial" w:hAnsi="Arial" w:eastAsia="Calibri" w:cs="Arial"/>
          <w:color w:val="000000" w:themeColor="text1"/>
          <w:sz w:val="22"/>
          <w:szCs w:val="22"/>
          <w:lang w:val="es-ES"/>
        </w:rPr>
        <w:t xml:space="preserve">Como se explicó en otros apartes de este concepto, las normas que obligan a elaborar y dar publicidad </w:t>
      </w:r>
      <w:r w:rsidR="006A5544">
        <w:rPr>
          <w:rFonts w:ascii="Arial" w:hAnsi="Arial" w:eastAsia="Calibri" w:cs="Arial"/>
          <w:color w:val="000000" w:themeColor="text1"/>
          <w:sz w:val="22"/>
          <w:szCs w:val="22"/>
          <w:lang w:val="es-ES"/>
        </w:rPr>
        <w:t>a</w:t>
      </w:r>
      <w:r>
        <w:rPr>
          <w:rFonts w:ascii="Arial" w:hAnsi="Arial" w:eastAsia="Calibri" w:cs="Arial"/>
          <w:color w:val="000000" w:themeColor="text1"/>
          <w:sz w:val="22"/>
          <w:szCs w:val="22"/>
          <w:lang w:val="es-ES"/>
        </w:rPr>
        <w:t xml:space="preserve">l plan anual de adquisiciones son las leyes 1474 de 2011 y 1712 de 2015; normas que tienen un ámbito de aplicación </w:t>
      </w:r>
      <w:r w:rsidR="006A5544">
        <w:rPr>
          <w:rFonts w:ascii="Arial" w:hAnsi="Arial" w:eastAsia="Calibri" w:cs="Arial"/>
          <w:color w:val="000000" w:themeColor="text1"/>
          <w:sz w:val="22"/>
          <w:szCs w:val="22"/>
          <w:lang w:val="es-ES"/>
        </w:rPr>
        <w:t>más amplio</w:t>
      </w:r>
      <w:r>
        <w:rPr>
          <w:rFonts w:ascii="Arial" w:hAnsi="Arial" w:eastAsia="Calibri" w:cs="Arial"/>
          <w:color w:val="000000" w:themeColor="text1"/>
          <w:sz w:val="22"/>
          <w:szCs w:val="22"/>
          <w:lang w:val="es-ES"/>
        </w:rPr>
        <w:t xml:space="preserve"> al de la Ley 80 de 1993 y sus normas complementarias. </w:t>
      </w:r>
    </w:p>
    <w:p w:rsidR="006A5544" w:rsidRDefault="006A5544" w14:paraId="38A65806" w14:textId="240496D6">
      <w:pPr>
        <w:tabs>
          <w:tab w:val="left" w:pos="426"/>
        </w:tabs>
        <w:spacing w:after="120" w:line="276" w:lineRule="auto"/>
        <w:ind w:firstLine="709"/>
        <w:jc w:val="both"/>
        <w:rPr>
          <w:rFonts w:ascii="Arial" w:hAnsi="Arial" w:eastAsia="Calibri" w:cs="Arial"/>
          <w:color w:val="000000" w:themeColor="text1"/>
          <w:sz w:val="22"/>
          <w:szCs w:val="22"/>
          <w:lang w:val="es-ES"/>
        </w:rPr>
      </w:pPr>
      <w:r>
        <w:rPr>
          <w:rFonts w:ascii="Arial" w:hAnsi="Arial" w:eastAsia="Calibri" w:cs="Arial"/>
          <w:color w:val="000000" w:themeColor="text1"/>
          <w:sz w:val="22"/>
          <w:szCs w:val="22"/>
          <w:lang w:val="es-ES"/>
        </w:rPr>
        <w:t>E</w:t>
      </w:r>
      <w:r w:rsidR="002F3F2A">
        <w:rPr>
          <w:rFonts w:ascii="Arial" w:hAnsi="Arial" w:eastAsia="Calibri" w:cs="Arial"/>
          <w:color w:val="000000" w:themeColor="text1"/>
          <w:sz w:val="22"/>
          <w:szCs w:val="22"/>
          <w:lang w:val="es-ES"/>
        </w:rPr>
        <w:t>l ámbito de aplicación de las normas</w:t>
      </w:r>
      <w:r>
        <w:rPr>
          <w:rFonts w:ascii="Arial" w:hAnsi="Arial" w:eastAsia="Calibri" w:cs="Arial"/>
          <w:color w:val="000000" w:themeColor="text1"/>
          <w:sz w:val="22"/>
          <w:szCs w:val="22"/>
          <w:lang w:val="es-ES"/>
        </w:rPr>
        <w:t xml:space="preserve"> reglamentarias debe tener idéntico ámbito de aplicación de las leyes reglamentadas, pues solamente ese entendimiento permite al reglamento cumplir su objetivo: </w:t>
      </w:r>
      <w:r w:rsidRPr="006A5544">
        <w:rPr>
          <w:rFonts w:ascii="Arial" w:hAnsi="Arial" w:eastAsia="Calibri" w:cs="Arial"/>
          <w:color w:val="000000" w:themeColor="text1"/>
          <w:sz w:val="22"/>
          <w:szCs w:val="22"/>
          <w:lang w:val="es-ES"/>
        </w:rPr>
        <w:t>«la cumplida ejecución de las leyes» como lo ordena el artículo 189</w:t>
      </w:r>
      <w:r w:rsidR="00F53451">
        <w:rPr>
          <w:rFonts w:ascii="Arial" w:hAnsi="Arial" w:eastAsia="Calibri" w:cs="Arial"/>
          <w:color w:val="000000" w:themeColor="text1"/>
          <w:sz w:val="22"/>
          <w:szCs w:val="22"/>
          <w:lang w:val="es-ES"/>
        </w:rPr>
        <w:t xml:space="preserve">, numeral </w:t>
      </w:r>
      <w:r w:rsidRPr="006A5544">
        <w:rPr>
          <w:rFonts w:ascii="Arial" w:hAnsi="Arial" w:eastAsia="Calibri" w:cs="Arial"/>
          <w:color w:val="000000" w:themeColor="text1"/>
          <w:sz w:val="22"/>
          <w:szCs w:val="22"/>
          <w:lang w:val="es-ES"/>
        </w:rPr>
        <w:t>11</w:t>
      </w:r>
      <w:r w:rsidR="00F53451">
        <w:rPr>
          <w:rFonts w:ascii="Arial" w:hAnsi="Arial" w:eastAsia="Calibri" w:cs="Arial"/>
          <w:color w:val="000000" w:themeColor="text1"/>
          <w:sz w:val="22"/>
          <w:szCs w:val="22"/>
          <w:lang w:val="es-ES"/>
        </w:rPr>
        <w:t>,</w:t>
      </w:r>
      <w:r w:rsidRPr="006A5544">
        <w:rPr>
          <w:rFonts w:ascii="Arial" w:hAnsi="Arial" w:eastAsia="Calibri" w:cs="Arial"/>
          <w:color w:val="000000" w:themeColor="text1"/>
          <w:sz w:val="22"/>
          <w:szCs w:val="22"/>
          <w:lang w:val="es-ES"/>
        </w:rPr>
        <w:t xml:space="preserve"> superior.</w:t>
      </w:r>
      <w:r>
        <w:rPr>
          <w:rFonts w:ascii="Verdana" w:hAnsi="Verdana" w:eastAsia="Calibri" w:cs="Arial"/>
          <w:color w:val="000000" w:themeColor="text1"/>
          <w:sz w:val="22"/>
          <w:szCs w:val="22"/>
          <w:lang w:val="es-ES"/>
        </w:rPr>
        <w:t xml:space="preserve"> </w:t>
      </w:r>
      <w:r>
        <w:rPr>
          <w:rFonts w:ascii="Arial" w:hAnsi="Arial" w:eastAsia="Calibri" w:cs="Arial"/>
          <w:color w:val="000000" w:themeColor="text1"/>
          <w:sz w:val="22"/>
          <w:szCs w:val="22"/>
          <w:lang w:val="es-ES"/>
        </w:rPr>
        <w:t xml:space="preserve">En ese orden de ideas, las normas que reglamenten las leyes 1474 de 2011 y la ley 1712 de 2015 son aplicables a todas las entidades sometidas a las obligaciones impuestas en estos cuerpos normativos. </w:t>
      </w:r>
      <w:r w:rsidR="00284D84">
        <w:rPr>
          <w:rFonts w:ascii="Arial" w:hAnsi="Arial" w:eastAsia="Calibri" w:cs="Arial"/>
          <w:color w:val="000000" w:themeColor="text1"/>
          <w:sz w:val="22"/>
          <w:szCs w:val="22"/>
          <w:lang w:val="es-ES"/>
        </w:rPr>
        <w:t>En</w:t>
      </w:r>
      <w:r>
        <w:rPr>
          <w:rFonts w:ascii="Arial" w:hAnsi="Arial" w:eastAsia="Calibri" w:cs="Arial"/>
          <w:color w:val="000000" w:themeColor="text1"/>
          <w:sz w:val="22"/>
          <w:szCs w:val="22"/>
          <w:lang w:val="es-ES"/>
        </w:rPr>
        <w:t xml:space="preserve"> consecuencia, aquellos apartes del Decreto 1082 de 2015 que son reglamentarios de estas leyes, como es el caso de las normas relacionadas con el plan anual de adquisiciones, son aplicables a todas las entidades estatales sin importar su régimen de contratación pues, se reitera, la norma reglamentada en esos casos no es el Estatuto General de Contratación de la Administración Pública, sino leyes con un ámbito de aplicación diferente. </w:t>
      </w:r>
    </w:p>
    <w:p w:rsidRPr="009B616F" w:rsidR="001671D5" w:rsidP="00BE5DCB" w:rsidRDefault="00144718" w14:paraId="37C03D90" w14:textId="2E32448E">
      <w:pPr>
        <w:tabs>
          <w:tab w:val="left" w:pos="426"/>
        </w:tabs>
        <w:spacing w:line="276" w:lineRule="auto"/>
        <w:ind w:firstLine="709"/>
        <w:jc w:val="both"/>
        <w:rPr>
          <w:rFonts w:ascii="Arial" w:hAnsi="Arial" w:eastAsia="Calibri" w:cs="Arial"/>
          <w:color w:val="000000" w:themeColor="text1"/>
          <w:sz w:val="22"/>
          <w:szCs w:val="22"/>
          <w:lang w:val="es-ES"/>
        </w:rPr>
      </w:pPr>
      <w:r>
        <w:rPr>
          <w:rFonts w:ascii="Arial" w:hAnsi="Arial" w:eastAsia="Calibri" w:cs="Arial"/>
          <w:color w:val="000000" w:themeColor="text1"/>
          <w:sz w:val="22"/>
          <w:szCs w:val="22"/>
          <w:lang w:val="es-ES"/>
        </w:rPr>
        <w:t>En consecuencia</w:t>
      </w:r>
      <w:r w:rsidR="006A5544">
        <w:rPr>
          <w:rFonts w:ascii="Arial" w:hAnsi="Arial" w:eastAsia="Calibri" w:cs="Arial"/>
          <w:color w:val="000000" w:themeColor="text1"/>
          <w:sz w:val="22"/>
          <w:szCs w:val="22"/>
          <w:lang w:val="es-ES"/>
        </w:rPr>
        <w:t>, es preciso concluir que el Decreto 1082 de 2015 en los asuntos relacionados con el plan anual de adquisiciones resulta aplicable a todas las entidades con obligación de publicar dicho plan, y no solamente a las entidades sometidas al Estatuto General de Contratación</w:t>
      </w:r>
      <w:r w:rsidR="009B616F">
        <w:rPr>
          <w:rFonts w:ascii="Arial" w:hAnsi="Arial" w:eastAsia="Calibri" w:cs="Arial"/>
          <w:color w:val="000000" w:themeColor="text1"/>
          <w:sz w:val="22"/>
          <w:szCs w:val="22"/>
          <w:lang w:val="es-ES"/>
        </w:rPr>
        <w:t xml:space="preserve"> de la Administración Pública, pues el ámbito de aplicación del reglamento está determinado por el ámbito de aplicación de la ley reglamentada</w:t>
      </w:r>
      <w:r w:rsidR="006A5544">
        <w:rPr>
          <w:rFonts w:ascii="Arial" w:hAnsi="Arial" w:eastAsia="Calibri" w:cs="Arial"/>
          <w:color w:val="000000" w:themeColor="text1"/>
          <w:sz w:val="22"/>
          <w:szCs w:val="22"/>
          <w:lang w:val="es-ES"/>
        </w:rPr>
        <w:t xml:space="preserve">. </w:t>
      </w:r>
    </w:p>
    <w:p w:rsidR="001671D5" w:rsidP="00A403E6" w:rsidRDefault="001671D5" w14:paraId="5B867772" w14:textId="77777777">
      <w:pPr>
        <w:pStyle w:val="Prrafodelista"/>
        <w:tabs>
          <w:tab w:val="left" w:pos="284"/>
        </w:tabs>
        <w:spacing w:before="0"/>
        <w:ind w:left="0"/>
        <w:rPr>
          <w:rFonts w:ascii="Arial" w:hAnsi="Arial" w:eastAsia="Calibri" w:cs="Arial"/>
          <w:b/>
          <w:color w:val="000000" w:themeColor="text1"/>
          <w:sz w:val="22"/>
          <w:lang w:val="es-ES"/>
        </w:rPr>
      </w:pPr>
    </w:p>
    <w:p w:rsidRPr="00406E40" w:rsidR="00F11955" w:rsidP="00150EAF" w:rsidRDefault="00474B96" w14:paraId="1DE0767E" w14:textId="248348A4">
      <w:pPr>
        <w:pStyle w:val="Prrafodelista"/>
        <w:tabs>
          <w:tab w:val="left" w:pos="284"/>
        </w:tabs>
        <w:ind w:left="0"/>
        <w:rPr>
          <w:rFonts w:ascii="Arial" w:hAnsi="Arial" w:eastAsia="Calibri" w:cs="Arial"/>
          <w:color w:val="000000" w:themeColor="text1"/>
          <w:sz w:val="22"/>
          <w:lang w:val="es-ES"/>
        </w:rPr>
      </w:pPr>
      <w:r>
        <w:rPr>
          <w:rFonts w:ascii="Arial" w:hAnsi="Arial" w:eastAsia="Calibri" w:cs="Arial"/>
          <w:b/>
          <w:color w:val="000000" w:themeColor="text1"/>
          <w:sz w:val="22"/>
          <w:lang w:val="es-ES"/>
        </w:rPr>
        <w:t xml:space="preserve">3. </w:t>
      </w:r>
      <w:r w:rsidRPr="00406E40" w:rsidR="00A37FB6">
        <w:rPr>
          <w:rFonts w:ascii="Arial" w:hAnsi="Arial" w:eastAsia="Calibri" w:cs="Arial"/>
          <w:b/>
          <w:color w:val="000000" w:themeColor="text1"/>
          <w:sz w:val="22"/>
          <w:lang w:val="es-ES"/>
        </w:rPr>
        <w:t>Respuestas</w:t>
      </w:r>
    </w:p>
    <w:p w:rsidRPr="00406E40" w:rsidR="00B000D8" w:rsidP="00150EAF" w:rsidRDefault="00B000D8" w14:paraId="71FCF626" w14:textId="77777777">
      <w:pPr>
        <w:pStyle w:val="Prrafodelista"/>
        <w:tabs>
          <w:tab w:val="left" w:pos="284"/>
        </w:tabs>
        <w:spacing w:after="0"/>
        <w:ind w:left="0"/>
        <w:rPr>
          <w:rFonts w:ascii="Arial" w:hAnsi="Arial" w:eastAsia="Calibri" w:cs="Arial"/>
          <w:color w:val="000000" w:themeColor="text1"/>
          <w:sz w:val="22"/>
          <w:lang w:val="es-ES"/>
        </w:rPr>
      </w:pPr>
    </w:p>
    <w:p w:rsidRPr="00641DD3" w:rsidR="0044490E" w:rsidP="00F53451" w:rsidRDefault="00641DD3" w14:paraId="6E8545FD" w14:textId="092F4222">
      <w:pPr>
        <w:tabs>
          <w:tab w:val="left" w:pos="426"/>
        </w:tabs>
        <w:ind w:left="709" w:right="760"/>
        <w:jc w:val="both"/>
        <w:rPr>
          <w:rFonts w:ascii="Arial" w:hAnsi="Arial" w:eastAsia="Calibri" w:cs="Arial"/>
          <w:color w:val="000000" w:themeColor="text1"/>
          <w:sz w:val="21"/>
          <w:szCs w:val="21"/>
          <w:lang w:val="es-ES"/>
        </w:rPr>
      </w:pPr>
      <w:r w:rsidRPr="00150EAF">
        <w:rPr>
          <w:rFonts w:ascii="Arial" w:hAnsi="Arial" w:eastAsia="Calibri" w:cs="Arial"/>
          <w:color w:val="000000" w:themeColor="text1"/>
          <w:sz w:val="21"/>
          <w:szCs w:val="21"/>
          <w:lang w:val="es-ES"/>
        </w:rPr>
        <w:t>i) ¿Se encuentran obligadas las Empresas de servicios públicos mixtas con capital mayoritariamente público obligadas a elaborar, publicar y actualizar el plan anual de adquisiciones en el SECOP?</w:t>
      </w:r>
      <w:r w:rsidRPr="00641DD3" w:rsidR="0044490E">
        <w:rPr>
          <w:rFonts w:ascii="Arial" w:hAnsi="Arial" w:eastAsia="Calibri" w:cs="Arial"/>
          <w:color w:val="000000" w:themeColor="text1"/>
          <w:sz w:val="21"/>
          <w:szCs w:val="21"/>
          <w:lang w:val="es-ES"/>
        </w:rPr>
        <w:t xml:space="preserve"> </w:t>
      </w:r>
    </w:p>
    <w:p w:rsidRPr="00E80252" w:rsidR="00EE3A69" w:rsidP="00BE5DCB" w:rsidRDefault="00EE3A69" w14:paraId="2AA45A4F" w14:textId="77777777">
      <w:pPr>
        <w:tabs>
          <w:tab w:val="left" w:pos="426"/>
        </w:tabs>
        <w:ind w:left="709" w:right="760"/>
        <w:jc w:val="both"/>
        <w:rPr>
          <w:rFonts w:ascii="Arial" w:hAnsi="Arial" w:eastAsia="Calibri" w:cs="Arial"/>
          <w:color w:val="000000" w:themeColor="text1"/>
          <w:sz w:val="21"/>
          <w:szCs w:val="21"/>
          <w:lang w:val="es-ES"/>
        </w:rPr>
      </w:pPr>
    </w:p>
    <w:p w:rsidR="00A840B0" w:rsidP="00150EAF" w:rsidRDefault="00A840B0" w14:paraId="7AE57067" w14:textId="3A5D3AC5">
      <w:pPr>
        <w:tabs>
          <w:tab w:val="left" w:pos="426"/>
        </w:tabs>
        <w:spacing w:line="276" w:lineRule="auto"/>
        <w:jc w:val="both"/>
        <w:rPr>
          <w:rFonts w:ascii="Arial" w:hAnsi="Arial" w:eastAsia="Calibri" w:cs="Arial"/>
          <w:sz w:val="22"/>
          <w:szCs w:val="22"/>
          <w:lang w:val="es-ES"/>
        </w:rPr>
      </w:pPr>
      <w:r>
        <w:rPr>
          <w:rFonts w:ascii="Arial" w:hAnsi="Arial" w:eastAsia="Calibri" w:cs="Arial"/>
          <w:sz w:val="22"/>
          <w:szCs w:val="22"/>
          <w:lang w:val="es-ES"/>
        </w:rPr>
        <w:t>L</w:t>
      </w:r>
      <w:r w:rsidRPr="00BF1E54">
        <w:rPr>
          <w:rFonts w:ascii="Arial" w:hAnsi="Arial" w:eastAsia="Calibri" w:cs="Arial"/>
          <w:color w:val="000000" w:themeColor="text1"/>
          <w:sz w:val="22"/>
          <w:szCs w:val="22"/>
          <w:lang w:val="es-ES"/>
        </w:rPr>
        <w:t xml:space="preserve">as ESP mixtas se encuentran obligadas a publicar en el SECOP aquella parte del plan anual de adquisiciones que se ejecute con cargo a recursos públicos, excluyendo contrataciones con cargo a recursos privados. </w:t>
      </w:r>
      <w:r w:rsidRPr="00BF1E54">
        <w:rPr>
          <w:rFonts w:ascii="Arial" w:hAnsi="Arial" w:eastAsia="Calibri" w:cs="Arial"/>
          <w:sz w:val="22"/>
          <w:szCs w:val="22"/>
          <w:lang w:val="es-ES"/>
        </w:rPr>
        <w:t xml:space="preserve">Adicionalmente, de la lectura integrada de los artículos 5 y 9 de la Ley 1712 de 2014 se desprende que deben publicar su plan de </w:t>
      </w:r>
      <w:r w:rsidRPr="00BF1E54">
        <w:rPr>
          <w:rFonts w:ascii="Arial" w:hAnsi="Arial" w:eastAsia="Calibri" w:cs="Arial"/>
          <w:sz w:val="22"/>
          <w:szCs w:val="22"/>
          <w:lang w:val="es-ES"/>
        </w:rPr>
        <w:t xml:space="preserve">compras anual en los sistemas de información del Estado, pero «en relación con su actividad propia, industrial o comercial, no están sujetas al deber de información, con respecto a dicha actividad». </w:t>
      </w:r>
      <w:bookmarkStart w:name="_Hlk43891186" w:id="8"/>
      <w:r>
        <w:rPr>
          <w:rFonts w:ascii="Arial" w:hAnsi="Arial" w:eastAsia="Calibri" w:cs="Arial"/>
          <w:sz w:val="22"/>
          <w:szCs w:val="22"/>
          <w:lang w:val="es-ES"/>
        </w:rPr>
        <w:t>En consecuencia</w:t>
      </w:r>
      <w:r w:rsidRPr="00BF1E54">
        <w:rPr>
          <w:rFonts w:ascii="Arial" w:hAnsi="Arial" w:eastAsia="Calibri" w:cs="Arial"/>
          <w:sz w:val="22"/>
          <w:szCs w:val="22"/>
          <w:lang w:val="es-ES"/>
        </w:rPr>
        <w:t xml:space="preserve">, de acuerdo con </w:t>
      </w:r>
      <w:r>
        <w:rPr>
          <w:rFonts w:ascii="Arial" w:hAnsi="Arial" w:eastAsia="Calibri" w:cs="Arial"/>
          <w:sz w:val="22"/>
          <w:szCs w:val="22"/>
          <w:lang w:val="es-ES"/>
        </w:rPr>
        <w:t>las reglas que protegen el secreto industrial y comercial</w:t>
      </w:r>
      <w:r w:rsidRPr="00BF1E54">
        <w:rPr>
          <w:rFonts w:ascii="Arial" w:hAnsi="Arial" w:eastAsia="Calibri" w:cs="Arial"/>
          <w:sz w:val="22"/>
          <w:szCs w:val="22"/>
          <w:lang w:val="es-ES"/>
        </w:rPr>
        <w:t xml:space="preserve">, no están obligadas a publicar la información relacionada </w:t>
      </w:r>
      <w:r w:rsidR="00DA2E3C">
        <w:rPr>
          <w:rFonts w:ascii="Arial" w:hAnsi="Arial" w:eastAsia="Calibri" w:cs="Arial"/>
          <w:sz w:val="22"/>
          <w:szCs w:val="22"/>
          <w:lang w:val="es-ES"/>
        </w:rPr>
        <w:t>con estos aspectos</w:t>
      </w:r>
      <w:r w:rsidRPr="00BF1E54">
        <w:rPr>
          <w:rFonts w:ascii="Arial" w:hAnsi="Arial" w:eastAsia="Calibri" w:cs="Arial"/>
          <w:sz w:val="22"/>
          <w:szCs w:val="22"/>
          <w:lang w:val="es-ES"/>
        </w:rPr>
        <w:t xml:space="preserve"> en el plan anual de adquisiciones</w:t>
      </w:r>
      <w:r>
        <w:rPr>
          <w:rFonts w:ascii="Arial" w:hAnsi="Arial" w:eastAsia="Calibri" w:cs="Arial"/>
          <w:sz w:val="22"/>
          <w:szCs w:val="22"/>
          <w:lang w:val="es-ES"/>
        </w:rPr>
        <w:t>, conclusión que guarda concordancia con el artículo 24.6 de la Ley 1437 de 2011 modificado por la Ley 1755 de 2015.</w:t>
      </w:r>
      <w:bookmarkEnd w:id="8"/>
    </w:p>
    <w:p w:rsidRPr="00406E40" w:rsidR="00F30646" w:rsidP="00150EAF" w:rsidRDefault="00F30646" w14:paraId="6C2B0A1B" w14:textId="77777777">
      <w:pPr>
        <w:tabs>
          <w:tab w:val="left" w:pos="426"/>
        </w:tabs>
        <w:spacing w:line="276" w:lineRule="auto"/>
        <w:jc w:val="both"/>
        <w:rPr>
          <w:rFonts w:ascii="Arial" w:hAnsi="Arial" w:eastAsia="Calibri" w:cs="Arial"/>
          <w:color w:val="000000" w:themeColor="text1"/>
          <w:sz w:val="22"/>
          <w:szCs w:val="22"/>
          <w:lang w:val="es-ES"/>
        </w:rPr>
      </w:pPr>
    </w:p>
    <w:p w:rsidR="00641DD3" w:rsidP="00253EC3" w:rsidRDefault="00641DD3" w14:paraId="1124DA38" w14:textId="5529B34C">
      <w:pPr>
        <w:tabs>
          <w:tab w:val="left" w:pos="426"/>
        </w:tabs>
        <w:ind w:left="709" w:right="709"/>
        <w:jc w:val="both"/>
        <w:rPr>
          <w:rFonts w:ascii="Arial" w:hAnsi="Arial" w:eastAsia="Calibri" w:cs="Arial"/>
          <w:color w:val="000000" w:themeColor="text1"/>
          <w:sz w:val="21"/>
          <w:szCs w:val="21"/>
          <w:lang w:val="es-ES"/>
        </w:rPr>
      </w:pPr>
      <w:proofErr w:type="spellStart"/>
      <w:r w:rsidRPr="00641DD3">
        <w:rPr>
          <w:rFonts w:ascii="Arial" w:hAnsi="Arial" w:eastAsia="Calibri" w:cs="Arial"/>
          <w:color w:val="000000" w:themeColor="text1"/>
          <w:sz w:val="21"/>
          <w:szCs w:val="21"/>
          <w:lang w:val="es-ES"/>
        </w:rPr>
        <w:t>ii</w:t>
      </w:r>
      <w:proofErr w:type="spellEnd"/>
      <w:r w:rsidRPr="00641DD3">
        <w:rPr>
          <w:rFonts w:ascii="Arial" w:hAnsi="Arial" w:eastAsia="Calibri" w:cs="Arial"/>
          <w:color w:val="000000" w:themeColor="text1"/>
          <w:sz w:val="21"/>
          <w:szCs w:val="21"/>
          <w:lang w:val="es-ES"/>
        </w:rPr>
        <w:t>) ¿</w:t>
      </w:r>
      <w:r w:rsidR="00A403E6">
        <w:rPr>
          <w:rFonts w:ascii="Arial" w:hAnsi="Arial" w:eastAsia="Calibri" w:cs="Arial"/>
          <w:color w:val="000000" w:themeColor="text1"/>
          <w:sz w:val="21"/>
          <w:szCs w:val="21"/>
          <w:lang w:val="es-ES"/>
        </w:rPr>
        <w:t>E</w:t>
      </w:r>
      <w:r w:rsidRPr="00641DD3">
        <w:rPr>
          <w:rFonts w:ascii="Arial" w:hAnsi="Arial" w:eastAsia="Calibri" w:cs="Arial"/>
          <w:color w:val="000000" w:themeColor="text1"/>
          <w:sz w:val="21"/>
          <w:szCs w:val="21"/>
          <w:lang w:val="es-ES"/>
        </w:rPr>
        <w:t>sta entidad forma parte del sistema de compras públicas y se encuentra obligada al cumplimiento de las directrices de Colombia Compra Eficiente en la materia?</w:t>
      </w:r>
      <w:r w:rsidRPr="00641DD3" w:rsidDel="00641DD3">
        <w:rPr>
          <w:rFonts w:ascii="Arial" w:hAnsi="Arial" w:eastAsia="Calibri" w:cs="Arial"/>
          <w:color w:val="000000" w:themeColor="text1"/>
          <w:sz w:val="21"/>
          <w:szCs w:val="21"/>
          <w:lang w:val="es-ES"/>
        </w:rPr>
        <w:t xml:space="preserve"> </w:t>
      </w:r>
    </w:p>
    <w:p w:rsidRPr="00253EC3" w:rsidR="00253EC3" w:rsidP="00253EC3" w:rsidRDefault="00253EC3" w14:paraId="3BD05D40" w14:textId="77777777">
      <w:pPr>
        <w:tabs>
          <w:tab w:val="left" w:pos="426"/>
        </w:tabs>
        <w:ind w:left="709" w:right="709"/>
        <w:jc w:val="both"/>
        <w:rPr>
          <w:rFonts w:ascii="Arial" w:hAnsi="Arial" w:eastAsia="Calibri" w:cs="Arial"/>
          <w:color w:val="000000" w:themeColor="text1"/>
          <w:sz w:val="21"/>
          <w:szCs w:val="21"/>
          <w:lang w:val="es-ES"/>
        </w:rPr>
      </w:pPr>
    </w:p>
    <w:p w:rsidR="0081647E" w:rsidP="009B616F" w:rsidRDefault="0028541B" w14:paraId="05B97425" w14:textId="6FAC63B9">
      <w:pPr>
        <w:spacing w:after="120" w:line="276" w:lineRule="auto"/>
        <w:ind w:right="51"/>
        <w:jc w:val="both"/>
        <w:rPr>
          <w:rFonts w:ascii="Arial" w:hAnsi="Arial" w:eastAsia="Calibri" w:cs="Arial"/>
          <w:iCs/>
          <w:color w:val="000000" w:themeColor="text1"/>
          <w:sz w:val="22"/>
          <w:szCs w:val="22"/>
          <w:lang w:val="es-ES"/>
        </w:rPr>
      </w:pPr>
      <w:r>
        <w:rPr>
          <w:rFonts w:ascii="Arial" w:hAnsi="Arial" w:eastAsia="Calibri" w:cs="Arial"/>
          <w:iCs/>
          <w:color w:val="000000" w:themeColor="text1"/>
          <w:sz w:val="22"/>
          <w:szCs w:val="22"/>
          <w:lang w:val="es-ES"/>
        </w:rPr>
        <w:t>E</w:t>
      </w:r>
      <w:r w:rsidRPr="0028541B">
        <w:rPr>
          <w:rFonts w:ascii="Arial" w:hAnsi="Arial" w:eastAsia="Calibri" w:cs="Arial"/>
          <w:iCs/>
          <w:color w:val="000000" w:themeColor="text1"/>
          <w:sz w:val="22"/>
          <w:szCs w:val="22"/>
          <w:lang w:val="es-ES"/>
        </w:rPr>
        <w:t>n sentencia de 3 de abril de 2020, el Consejo de Estado declaró la nulidad total del artículo 158 del Decreto 1510</w:t>
      </w:r>
      <w:r w:rsidR="004D055A">
        <w:rPr>
          <w:rFonts w:ascii="Arial" w:hAnsi="Arial" w:eastAsia="Calibri" w:cs="Arial"/>
          <w:iCs/>
          <w:color w:val="000000" w:themeColor="text1"/>
          <w:sz w:val="22"/>
          <w:szCs w:val="22"/>
          <w:lang w:val="es-ES"/>
        </w:rPr>
        <w:t>, compilado en el Decreto 1082 de 2015,</w:t>
      </w:r>
      <w:r w:rsidRPr="0028541B">
        <w:rPr>
          <w:rFonts w:ascii="Arial" w:hAnsi="Arial" w:eastAsia="Calibri" w:cs="Arial"/>
          <w:iCs/>
          <w:color w:val="000000" w:themeColor="text1"/>
          <w:sz w:val="22"/>
          <w:szCs w:val="22"/>
          <w:lang w:val="es-ES"/>
        </w:rPr>
        <w:t xml:space="preserve"> que permitía establecer lineamientos y el formato que las entidades estatales debían utilizar para la elaboración del plan. La decisión del Consejo de Estado encontró sustento en que, tanto para el artículo 158 como para el 160, «el reglamento le otorgó a CCE la potestad de reglamentar dos instrumentos puntuales en materia contractual con la expedición de normas de contenido obligatorio, que deben ser acatadas por todas las entidades públicas».</w:t>
      </w:r>
      <w:r w:rsidR="001E6988">
        <w:rPr>
          <w:rFonts w:ascii="Arial" w:hAnsi="Arial" w:eastAsia="Calibri" w:cs="Arial"/>
          <w:iCs/>
          <w:color w:val="000000" w:themeColor="text1"/>
          <w:sz w:val="22"/>
          <w:szCs w:val="22"/>
          <w:lang w:val="es-ES"/>
        </w:rPr>
        <w:t xml:space="preserve"> </w:t>
      </w:r>
      <w:r w:rsidR="0081647E">
        <w:rPr>
          <w:rFonts w:ascii="Arial" w:hAnsi="Arial" w:eastAsia="Calibri" w:cs="Arial"/>
          <w:iCs/>
          <w:color w:val="000000" w:themeColor="text1"/>
          <w:sz w:val="22"/>
          <w:szCs w:val="22"/>
          <w:lang w:val="es-ES"/>
        </w:rPr>
        <w:t xml:space="preserve">De otra parte, en sentencia de 11 de abril de 2019, la misma corporación judicial </w:t>
      </w:r>
      <w:r w:rsidR="004D055A">
        <w:rPr>
          <w:rFonts w:ascii="Arial" w:hAnsi="Arial" w:eastAsia="Calibri" w:cs="Arial"/>
          <w:iCs/>
          <w:color w:val="000000" w:themeColor="text1"/>
          <w:sz w:val="22"/>
          <w:szCs w:val="22"/>
          <w:lang w:val="es-ES"/>
        </w:rPr>
        <w:t>declaró</w:t>
      </w:r>
      <w:r w:rsidR="0081647E">
        <w:rPr>
          <w:rFonts w:ascii="Arial" w:hAnsi="Arial" w:eastAsia="Calibri" w:cs="Arial"/>
          <w:iCs/>
          <w:color w:val="000000" w:themeColor="text1"/>
          <w:sz w:val="22"/>
          <w:szCs w:val="22"/>
          <w:lang w:val="es-ES"/>
        </w:rPr>
        <w:t xml:space="preserve"> la legalidad del artículo 159 del Decreto 1510 de 2013 que establecía la facultad de Colombia Compra Eficiente de expedir </w:t>
      </w:r>
      <w:r w:rsidR="00B324F1">
        <w:rPr>
          <w:rFonts w:ascii="Arial" w:hAnsi="Arial" w:eastAsia="Calibri" w:cs="Arial"/>
          <w:iCs/>
          <w:color w:val="000000" w:themeColor="text1"/>
          <w:sz w:val="22"/>
          <w:szCs w:val="22"/>
          <w:lang w:val="es-ES"/>
        </w:rPr>
        <w:t xml:space="preserve">guías y manuales </w:t>
      </w:r>
      <w:r w:rsidR="0081647E">
        <w:rPr>
          <w:rFonts w:ascii="Arial" w:hAnsi="Arial" w:eastAsia="Calibri" w:cs="Arial"/>
          <w:iCs/>
          <w:color w:val="000000" w:themeColor="text1"/>
          <w:sz w:val="22"/>
          <w:szCs w:val="22"/>
          <w:lang w:val="es-ES"/>
        </w:rPr>
        <w:t xml:space="preserve">para la elaboración y actualización del </w:t>
      </w:r>
      <w:r w:rsidR="004D055A">
        <w:rPr>
          <w:rFonts w:ascii="Arial" w:hAnsi="Arial" w:eastAsia="Calibri" w:cs="Arial"/>
          <w:iCs/>
          <w:color w:val="000000" w:themeColor="text1"/>
          <w:sz w:val="22"/>
          <w:szCs w:val="22"/>
          <w:lang w:val="es-ES"/>
        </w:rPr>
        <w:t>plan anual de adquisiciones</w:t>
      </w:r>
      <w:r w:rsidR="0081647E">
        <w:rPr>
          <w:rFonts w:ascii="Arial" w:hAnsi="Arial" w:eastAsia="Calibri" w:cs="Arial"/>
          <w:iCs/>
          <w:color w:val="000000" w:themeColor="text1"/>
          <w:sz w:val="22"/>
          <w:szCs w:val="22"/>
          <w:lang w:val="es-ES"/>
        </w:rPr>
        <w:t xml:space="preserve">. </w:t>
      </w:r>
    </w:p>
    <w:p w:rsidR="0081647E" w:rsidP="0094600B" w:rsidRDefault="001E6988" w14:paraId="090446D3" w14:textId="58B0B13B">
      <w:pPr>
        <w:tabs>
          <w:tab w:val="left" w:pos="426"/>
        </w:tabs>
        <w:spacing w:after="120" w:line="276" w:lineRule="auto"/>
        <w:ind w:right="51" w:firstLine="709"/>
        <w:jc w:val="both"/>
        <w:rPr>
          <w:rFonts w:ascii="Arial" w:hAnsi="Arial" w:cs="Arial"/>
          <w:sz w:val="22"/>
          <w:szCs w:val="22"/>
          <w:lang w:val="es-ES"/>
        </w:rPr>
      </w:pPr>
      <w:r>
        <w:rPr>
          <w:rFonts w:ascii="Arial" w:hAnsi="Arial" w:cs="Arial"/>
          <w:sz w:val="22"/>
          <w:szCs w:val="22"/>
          <w:lang w:val="es-ES"/>
        </w:rPr>
        <w:t>En esta medida</w:t>
      </w:r>
      <w:r w:rsidRPr="00B324F1" w:rsidR="00B324F1">
        <w:rPr>
          <w:rFonts w:ascii="Arial" w:hAnsi="Arial" w:cs="Arial"/>
          <w:sz w:val="22"/>
          <w:szCs w:val="22"/>
          <w:lang w:val="es-ES"/>
        </w:rPr>
        <w:t xml:space="preserve">, </w:t>
      </w:r>
      <w:r w:rsidR="00671BEA">
        <w:rPr>
          <w:rFonts w:ascii="Arial" w:hAnsi="Arial" w:eastAsia="Calibri" w:cs="Arial"/>
          <w:color w:val="000000" w:themeColor="text1"/>
          <w:sz w:val="22"/>
          <w:szCs w:val="22"/>
          <w:lang w:val="es-MX"/>
        </w:rPr>
        <w:t xml:space="preserve">Colombia Compra Eficiente tiene competencias para expedir manuales y guías para la elaboración y actualización del plan anual de adquisiciones, pero no para </w:t>
      </w:r>
      <w:r w:rsidRPr="00544048" w:rsidR="00671BEA">
        <w:rPr>
          <w:rFonts w:ascii="Arial" w:hAnsi="Arial" w:cs="Arial"/>
          <w:sz w:val="22"/>
          <w:szCs w:val="22"/>
          <w:lang w:val="es-ES"/>
        </w:rPr>
        <w:t>establecer los lineamientos y diseñar e implementar el formato que debe ser utilizado por las Entidades Estatales para elaborar</w:t>
      </w:r>
      <w:r w:rsidR="00671BEA">
        <w:rPr>
          <w:rFonts w:ascii="Arial" w:hAnsi="Arial" w:cs="Arial"/>
          <w:sz w:val="22"/>
          <w:szCs w:val="22"/>
          <w:lang w:val="es-ES"/>
        </w:rPr>
        <w:t>lo. En otras palabras</w:t>
      </w:r>
      <w:r w:rsidRPr="00F30646" w:rsidR="00671BEA">
        <w:rPr>
          <w:rFonts w:ascii="Arial" w:hAnsi="Arial" w:cs="Arial"/>
          <w:sz w:val="22"/>
          <w:szCs w:val="22"/>
          <w:lang w:val="es-ES"/>
        </w:rPr>
        <w:t xml:space="preserve">, la mejor manera </w:t>
      </w:r>
      <w:r w:rsidR="00671BEA">
        <w:rPr>
          <w:rFonts w:ascii="Arial" w:hAnsi="Arial" w:cs="Arial"/>
          <w:sz w:val="22"/>
          <w:szCs w:val="22"/>
          <w:lang w:val="es-ES"/>
        </w:rPr>
        <w:t>de</w:t>
      </w:r>
      <w:r w:rsidRPr="00F30646" w:rsidR="00671BEA">
        <w:rPr>
          <w:rFonts w:ascii="Arial" w:hAnsi="Arial" w:cs="Arial"/>
          <w:sz w:val="22"/>
          <w:szCs w:val="22"/>
          <w:lang w:val="es-ES"/>
        </w:rPr>
        <w:t xml:space="preserve"> armonizar estas dos decisiones </w:t>
      </w:r>
      <w:r w:rsidR="00671BEA">
        <w:rPr>
          <w:rFonts w:ascii="Arial" w:hAnsi="Arial" w:cs="Arial"/>
          <w:sz w:val="22"/>
          <w:szCs w:val="22"/>
          <w:lang w:val="es-ES"/>
        </w:rPr>
        <w:t>implica</w:t>
      </w:r>
      <w:r w:rsidRPr="00F30646" w:rsidR="00671BEA">
        <w:rPr>
          <w:rFonts w:ascii="Arial" w:hAnsi="Arial" w:cs="Arial"/>
          <w:sz w:val="22"/>
          <w:szCs w:val="22"/>
          <w:lang w:val="es-ES"/>
        </w:rPr>
        <w:t xml:space="preserve"> considerar que Colombia Compra mantiene la facultad de emitir guías y manuales en materia de plan de adquisiciones de conformidad con el literal c</w:t>
      </w:r>
      <w:r w:rsidR="00671BEA">
        <w:rPr>
          <w:rFonts w:ascii="Arial" w:hAnsi="Arial" w:cs="Arial"/>
          <w:sz w:val="22"/>
          <w:szCs w:val="22"/>
          <w:lang w:val="es-ES"/>
        </w:rPr>
        <w:t>)</w:t>
      </w:r>
      <w:r w:rsidRPr="00F30646" w:rsidR="00671BEA">
        <w:rPr>
          <w:rFonts w:ascii="Arial" w:hAnsi="Arial" w:cs="Arial"/>
          <w:sz w:val="22"/>
          <w:szCs w:val="22"/>
          <w:lang w:val="es-ES"/>
        </w:rPr>
        <w:t xml:space="preserve"> del artículo 159 del Decreto 1510 de 2013</w:t>
      </w:r>
      <w:r w:rsidR="00671BEA">
        <w:rPr>
          <w:rFonts w:ascii="Arial" w:hAnsi="Arial" w:cs="Arial"/>
          <w:sz w:val="22"/>
          <w:szCs w:val="22"/>
          <w:lang w:val="es-ES"/>
        </w:rPr>
        <w:t>, compilado en el Decreto 1082 de 2015,</w:t>
      </w:r>
      <w:r w:rsidRPr="00F30646" w:rsidR="00671BEA">
        <w:rPr>
          <w:rFonts w:ascii="Arial" w:hAnsi="Arial" w:cs="Arial"/>
          <w:sz w:val="22"/>
          <w:szCs w:val="22"/>
          <w:lang w:val="es-ES"/>
        </w:rPr>
        <w:t xml:space="preserve"> declarado válido</w:t>
      </w:r>
      <w:r w:rsidR="00671BEA">
        <w:rPr>
          <w:rFonts w:ascii="Arial" w:hAnsi="Arial" w:cs="Arial"/>
          <w:sz w:val="22"/>
          <w:szCs w:val="22"/>
          <w:lang w:val="es-ES"/>
        </w:rPr>
        <w:t>. Sin embargo, no comprende la facultad de establecer lineamientos e implementar el formato que debe ser utilizados por las entidades estatales para elaborar el plan anual de adquisiciones</w:t>
      </w:r>
      <w:r w:rsidRPr="00B324F1" w:rsidR="00B324F1">
        <w:rPr>
          <w:rFonts w:ascii="Arial" w:hAnsi="Arial" w:cs="Arial"/>
          <w:sz w:val="22"/>
          <w:szCs w:val="22"/>
          <w:lang w:val="es-ES"/>
        </w:rPr>
        <w:t>.</w:t>
      </w:r>
    </w:p>
    <w:p w:rsidRPr="00253EC3" w:rsidR="00253EC3" w:rsidP="0094600B" w:rsidRDefault="00253EC3" w14:paraId="00BF7754" w14:textId="6B025EB6">
      <w:pPr>
        <w:tabs>
          <w:tab w:val="left" w:pos="426"/>
        </w:tabs>
        <w:spacing w:after="120" w:line="276" w:lineRule="auto"/>
        <w:ind w:right="49"/>
        <w:jc w:val="both"/>
        <w:rPr>
          <w:rFonts w:ascii="Arial" w:hAnsi="Arial" w:cs="Arial"/>
          <w:sz w:val="22"/>
          <w:szCs w:val="22"/>
          <w:lang w:val="es-ES"/>
        </w:rPr>
      </w:pPr>
      <w:r>
        <w:rPr>
          <w:rFonts w:ascii="Arial" w:hAnsi="Arial" w:cs="Arial"/>
          <w:sz w:val="22"/>
          <w:szCs w:val="22"/>
          <w:lang w:val="es-ES"/>
        </w:rPr>
        <w:tab/>
      </w:r>
      <w:r>
        <w:rPr>
          <w:rFonts w:ascii="Arial" w:hAnsi="Arial" w:cs="Arial"/>
          <w:sz w:val="22"/>
          <w:szCs w:val="22"/>
          <w:lang w:val="es-ES"/>
        </w:rPr>
        <w:tab/>
      </w:r>
      <w:r w:rsidRPr="00253EC3">
        <w:rPr>
          <w:rFonts w:ascii="Arial" w:hAnsi="Arial" w:cs="Arial"/>
          <w:sz w:val="22"/>
          <w:szCs w:val="22"/>
          <w:lang w:val="es-ES"/>
        </w:rPr>
        <w:t xml:space="preserve">Como se explicó en otros apartes de este concepto, las normas que obligan a elaborar y dar publicidad al plan anual de adquisiciones son las leyes 1474 de 2011 y 1712 de 2015; normas que tienen un ámbito de aplicación más amplio al de la Ley 80 de 1993 y sus normas complementarias. </w:t>
      </w:r>
    </w:p>
    <w:p w:rsidRPr="00253EC3" w:rsidR="00253EC3" w:rsidP="0094600B" w:rsidRDefault="00253EC3" w14:paraId="4C518A16" w14:textId="5578048A">
      <w:pPr>
        <w:tabs>
          <w:tab w:val="left" w:pos="426"/>
        </w:tabs>
        <w:spacing w:after="120" w:line="276" w:lineRule="auto"/>
        <w:ind w:right="49"/>
        <w:jc w:val="both"/>
        <w:rPr>
          <w:rFonts w:ascii="Arial" w:hAnsi="Arial" w:cs="Arial"/>
          <w:sz w:val="22"/>
          <w:szCs w:val="22"/>
          <w:lang w:val="es-ES"/>
        </w:rPr>
      </w:pPr>
      <w:r>
        <w:rPr>
          <w:rFonts w:ascii="Arial" w:hAnsi="Arial" w:cs="Arial"/>
          <w:sz w:val="22"/>
          <w:szCs w:val="22"/>
          <w:lang w:val="es-ES"/>
        </w:rPr>
        <w:tab/>
      </w:r>
      <w:r>
        <w:rPr>
          <w:rFonts w:ascii="Arial" w:hAnsi="Arial" w:cs="Arial"/>
          <w:sz w:val="22"/>
          <w:szCs w:val="22"/>
          <w:lang w:val="es-ES"/>
        </w:rPr>
        <w:tab/>
      </w:r>
      <w:r w:rsidRPr="00253EC3">
        <w:rPr>
          <w:rFonts w:ascii="Arial" w:hAnsi="Arial" w:cs="Arial"/>
          <w:sz w:val="22"/>
          <w:szCs w:val="22"/>
          <w:lang w:val="es-ES"/>
        </w:rPr>
        <w:t xml:space="preserve">El ámbito de aplicación de las normas reglamentarias debe tener idéntico ámbito de aplicación de las leyes reglamentadas, pues solamente ese entendimiento permite al </w:t>
      </w:r>
      <w:r w:rsidRPr="00253EC3">
        <w:rPr>
          <w:rFonts w:ascii="Arial" w:hAnsi="Arial" w:cs="Arial"/>
          <w:sz w:val="22"/>
          <w:szCs w:val="22"/>
          <w:lang w:val="es-ES"/>
        </w:rPr>
        <w:t xml:space="preserve">reglamento cumplir su objetivo: «la cumplida ejecución de las leyes» como lo ordena el artículo 189, numeral 11, superior. En ese orden de ideas, las normas que reglamenten las leyes 1474 de 2011 y la ley 1712 de 2015 son aplicables a todas las entidades sometidas a las obligaciones impuestas en estos cuerpos normativos. En consecuencia, aquellos apartes del Decreto 1082 de 2015 que son reglamentarios de estas leyes, como es el caso de las normas relacionadas con el plan anual de adquisiciones, son aplicables a todas las entidades estatales sin importar su régimen de contratación pues, se reitera, la norma reglamentada en esos casos no es el Estatuto General de Contratación de la Administración Pública, sino leyes con un ámbito de aplicación diferente. </w:t>
      </w:r>
    </w:p>
    <w:p w:rsidRPr="00F30646" w:rsidR="00253EC3" w:rsidP="0094600B" w:rsidRDefault="00253EC3" w14:paraId="37EA7C49" w14:textId="25C6CC88">
      <w:pPr>
        <w:tabs>
          <w:tab w:val="left" w:pos="426"/>
        </w:tabs>
        <w:spacing w:after="120" w:line="276" w:lineRule="auto"/>
        <w:ind w:right="49"/>
        <w:jc w:val="both"/>
        <w:rPr>
          <w:rFonts w:ascii="Arial" w:hAnsi="Arial" w:cs="Arial"/>
          <w:sz w:val="22"/>
          <w:szCs w:val="22"/>
          <w:lang w:val="es-ES"/>
        </w:rPr>
      </w:pPr>
      <w:r>
        <w:rPr>
          <w:rFonts w:ascii="Arial" w:hAnsi="Arial" w:cs="Arial"/>
          <w:sz w:val="22"/>
          <w:szCs w:val="22"/>
          <w:lang w:val="es-ES"/>
        </w:rPr>
        <w:tab/>
      </w:r>
      <w:r>
        <w:rPr>
          <w:rFonts w:ascii="Arial" w:hAnsi="Arial" w:cs="Arial"/>
          <w:sz w:val="22"/>
          <w:szCs w:val="22"/>
          <w:lang w:val="es-ES"/>
        </w:rPr>
        <w:tab/>
      </w:r>
      <w:r w:rsidRPr="00253EC3">
        <w:rPr>
          <w:rFonts w:ascii="Arial" w:hAnsi="Arial" w:cs="Arial"/>
          <w:sz w:val="22"/>
          <w:szCs w:val="22"/>
          <w:lang w:val="es-ES"/>
        </w:rPr>
        <w:t>En consecuencia, es preciso concluir que el Decreto 1082 de 2015 en los asuntos relacionados con el plan anual de adquisiciones resulta aplicable a todas las entidades con obligación de publicar dicho plan, y no solamente a las entidades sometidas al Estatuto General de Contratación de la Administración Pública, pues el ámbito de aplicación del reglamento está determinado por el ámbito de aplicación de la ley reglamentada.</w:t>
      </w:r>
    </w:p>
    <w:p w:rsidRPr="001F4B84" w:rsidR="001F4B84" w:rsidP="00253EC3" w:rsidRDefault="001F4B84" w14:paraId="5A58AF69" w14:textId="56A14782">
      <w:pPr>
        <w:spacing w:after="120" w:line="276" w:lineRule="auto"/>
        <w:ind w:right="49"/>
        <w:jc w:val="both"/>
        <w:rPr>
          <w:rFonts w:ascii="Arial" w:hAnsi="Arial" w:eastAsia="Calibri" w:cs="Arial"/>
          <w:color w:val="000000" w:themeColor="text1"/>
          <w:sz w:val="22"/>
          <w:szCs w:val="22"/>
          <w:lang w:val="es-ES_tradnl"/>
        </w:rPr>
      </w:pPr>
      <w:r w:rsidRPr="001F4B84">
        <w:rPr>
          <w:rFonts w:ascii="Arial" w:hAnsi="Arial" w:eastAsia="Calibri" w:cs="Arial"/>
          <w:color w:val="000000" w:themeColor="text1"/>
          <w:sz w:val="22"/>
          <w:szCs w:val="22"/>
          <w:lang w:val="es-ES_tradnl"/>
        </w:rPr>
        <w:t xml:space="preserve">Este concepto tiene el alcance previsto en el artículo 28 del Código de Procedimiento Administrativo y de lo Contencioso Administrativo. </w:t>
      </w:r>
    </w:p>
    <w:p w:rsidRPr="00406E40" w:rsidR="00A37FB6" w:rsidP="003550F5" w:rsidRDefault="00A37FB6" w14:paraId="0F8C901F" w14:textId="1BA8EE3F">
      <w:pPr>
        <w:spacing w:before="120" w:after="120" w:line="276" w:lineRule="auto"/>
        <w:ind w:right="49" w:firstLine="708"/>
        <w:jc w:val="both"/>
        <w:rPr>
          <w:rFonts w:ascii="Arial" w:hAnsi="Arial" w:eastAsia="Calibri" w:cs="Arial"/>
          <w:color w:val="000000" w:themeColor="text1"/>
          <w:sz w:val="22"/>
          <w:szCs w:val="22"/>
          <w:lang w:val="es-ES"/>
        </w:rPr>
      </w:pPr>
      <w:r w:rsidRPr="00406E40">
        <w:rPr>
          <w:rFonts w:ascii="Arial" w:hAnsi="Arial" w:cs="Arial"/>
          <w:noProof/>
          <w:color w:val="000000" w:themeColor="text1"/>
          <w:sz w:val="22"/>
          <w:szCs w:val="22"/>
          <w:lang w:val="en-US" w:eastAsia="en-US"/>
        </w:rPr>
        <mc:AlternateContent>
          <mc:Choice Requires="wps">
            <w:drawing>
              <wp:anchor distT="0" distB="0" distL="114300" distR="114300" simplePos="0" relativeHeight="251658240" behindDoc="0" locked="0" layoutInCell="1" allowOverlap="1" wp14:anchorId="2171F34F" wp14:editId="2B8FE3D5">
                <wp:simplePos x="0" y="0"/>
                <wp:positionH relativeFrom="page">
                  <wp:posOffset>1514475</wp:posOffset>
                </wp:positionH>
                <wp:positionV relativeFrom="paragraph">
                  <wp:posOffset>10160</wp:posOffset>
                </wp:positionV>
                <wp:extent cx="4686300" cy="0"/>
                <wp:effectExtent l="0" t="0" r="0" b="0"/>
                <wp:wrapNone/>
                <wp:docPr id="1" name="Conector recto 1"/>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5BD8486B">
              <v:line id="Conector recto 1"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o:spid="_x0000_s1026" strokecolor="#dbdbdb" from="119.25pt,.8pt" to="488.25pt,.8pt" w14:anchorId="7E8ED9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">
                <w10:wrap anchorx="page"/>
              </v:line>
            </w:pict>
          </mc:Fallback>
        </mc:AlternateContent>
      </w:r>
    </w:p>
    <w:p w:rsidRPr="00F42DF4" w:rsidR="00BC2704" w:rsidP="00CC0FC1" w:rsidRDefault="00A37FB6" w14:paraId="757D8361" w14:textId="7782C690">
      <w:pPr>
        <w:spacing w:before="120" w:after="120" w:line="276" w:lineRule="auto"/>
        <w:jc w:val="both"/>
        <w:rPr>
          <w:rFonts w:ascii="Arial" w:hAnsi="Arial" w:cs="Arial"/>
          <w:color w:val="000000" w:themeColor="text1"/>
          <w:sz w:val="22"/>
          <w:szCs w:val="22"/>
          <w:lang w:val="es-ES" w:eastAsia="es-CO"/>
        </w:rPr>
      </w:pPr>
      <w:r w:rsidRPr="00406E40">
        <w:rPr>
          <w:rFonts w:ascii="Arial" w:hAnsi="Arial" w:cs="Arial"/>
          <w:color w:val="000000" w:themeColor="text1"/>
          <w:sz w:val="22"/>
          <w:szCs w:val="22"/>
          <w:lang w:val="es-ES" w:eastAsia="es-CO"/>
        </w:rPr>
        <w:t>Atentamente,</w:t>
      </w:r>
    </w:p>
    <w:p w:rsidR="0098674C" w:rsidP="00764049" w:rsidRDefault="00764049" w14:paraId="2D74DF3F" w14:textId="5C98D214">
      <w:pPr>
        <w:jc w:val="center"/>
        <w:rPr>
          <w:rFonts w:ascii="Arial" w:hAnsi="Arial" w:cs="Arial"/>
          <w:color w:val="000000" w:themeColor="text1"/>
          <w:sz w:val="22"/>
          <w:szCs w:val="22"/>
          <w:lang w:val="es-ES" w:eastAsia="es-ES"/>
        </w:rPr>
      </w:pPr>
      <w:r>
        <w:rPr>
          <w:noProof/>
        </w:rPr>
        <w:drawing>
          <wp:inline distT="0" distB="0" distL="0" distR="0" wp14:anchorId="309B6893" wp14:editId="71EBFA2C">
            <wp:extent cx="2773144" cy="988695"/>
            <wp:effectExtent l="0" t="0" r="0" b="0"/>
            <wp:docPr id="2028831582"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pic:cNvPicPr/>
                  </pic:nvPicPr>
                  <pic:blipFill>
                    <a:blip r:embed="rId11">
                      <a:extLst>
                        <a:ext uri="{28A0092B-C50C-407E-A947-70E740481C1C}">
                          <a14:useLocalDpi xmlns:a14="http://schemas.microsoft.com/office/drawing/2010/main" val="0"/>
                        </a:ext>
                      </a:extLst>
                    </a:blip>
                    <a:stretch>
                      <a:fillRect/>
                    </a:stretch>
                  </pic:blipFill>
                  <pic:spPr>
                    <a:xfrm>
                      <a:off x="0" y="0"/>
                      <a:ext cx="2773144" cy="988695"/>
                    </a:xfrm>
                    <a:prstGeom prst="rect">
                      <a:avLst/>
                    </a:prstGeom>
                  </pic:spPr>
                </pic:pic>
              </a:graphicData>
            </a:graphic>
          </wp:inline>
        </w:drawing>
      </w:r>
    </w:p>
    <w:p w:rsidRPr="00312A6F" w:rsidR="007E2424" w:rsidP="00764049" w:rsidRDefault="007E2424" w14:paraId="6DC03C0E" w14:textId="77777777">
      <w:pPr>
        <w:jc w:val="center"/>
        <w:rPr>
          <w:rFonts w:ascii="Arial" w:hAnsi="Arial" w:cs="Arial"/>
          <w:color w:val="000000" w:themeColor="text1"/>
          <w:sz w:val="16"/>
          <w:szCs w:val="16"/>
          <w:lang w:val="es-ES" w:eastAsia="es-ES"/>
        </w:rPr>
      </w:pPr>
    </w:p>
    <w:p w:rsidR="00764049" w:rsidP="00764049" w:rsidRDefault="00764049" w14:paraId="6608575C" w14:textId="77777777">
      <w:pPr>
        <w:jc w:val="center"/>
        <w:rPr>
          <w:rFonts w:ascii="Arial" w:hAnsi="Arial" w:cs="Arial"/>
          <w:color w:val="000000" w:themeColor="text1"/>
          <w:sz w:val="22"/>
          <w:szCs w:val="22"/>
          <w:lang w:val="es-ES" w:eastAsia="es-ES"/>
        </w:rPr>
      </w:pPr>
    </w:p>
    <w:tbl>
      <w:tblPr>
        <w:tblStyle w:val="Tablaconcuadrcula"/>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12"/>
        <w:gridCol w:w="4012"/>
        <w:gridCol w:w="3900"/>
      </w:tblGrid>
      <w:tr w:rsidRPr="00B5799D" w:rsidR="007E2424" w:rsidTr="007E2424" w14:paraId="1E4E3EA9" w14:textId="6738DB94">
        <w:trPr>
          <w:trHeight w:val="315"/>
        </w:trPr>
        <w:tc>
          <w:tcPr>
            <w:tcW w:w="812" w:type="dxa"/>
            <w:vAlign w:val="center"/>
            <w:hideMark/>
          </w:tcPr>
          <w:p w:rsidRPr="006C15D5" w:rsidR="007E2424" w:rsidP="00150EAF" w:rsidRDefault="007E2424" w14:paraId="22641A67" w14:textId="77777777">
            <w:pPr>
              <w:rPr>
                <w:rFonts w:ascii="Arial" w:hAnsi="Arial" w:cs="Arial"/>
                <w:color w:val="000000" w:themeColor="text1"/>
                <w:sz w:val="16"/>
                <w:szCs w:val="16"/>
                <w:lang w:eastAsia="es-ES"/>
              </w:rPr>
            </w:pPr>
            <w:proofErr w:type="spellStart"/>
            <w:r w:rsidRPr="006C15D5">
              <w:rPr>
                <w:rFonts w:ascii="Arial" w:hAnsi="Arial" w:cs="Arial"/>
                <w:color w:val="000000" w:themeColor="text1"/>
                <w:sz w:val="16"/>
                <w:szCs w:val="16"/>
                <w:lang w:eastAsia="es-ES"/>
              </w:rPr>
              <w:t>Elaboró</w:t>
            </w:r>
            <w:proofErr w:type="spellEnd"/>
            <w:r w:rsidRPr="006C15D5">
              <w:rPr>
                <w:rFonts w:ascii="Arial" w:hAnsi="Arial" w:cs="Arial"/>
                <w:color w:val="000000" w:themeColor="text1"/>
                <w:sz w:val="16"/>
                <w:szCs w:val="16"/>
                <w:lang w:eastAsia="es-ES"/>
              </w:rPr>
              <w:t>:</w:t>
            </w:r>
          </w:p>
        </w:tc>
        <w:tc>
          <w:tcPr>
            <w:tcW w:w="4012" w:type="dxa"/>
            <w:tcBorders>
              <w:top w:val="nil"/>
              <w:left w:val="nil"/>
              <w:bottom w:val="dotted" w:color="7F7F7F" w:themeColor="text1" w:themeTint="80" w:sz="4" w:space="0"/>
              <w:right w:val="nil"/>
            </w:tcBorders>
            <w:vAlign w:val="center"/>
            <w:hideMark/>
          </w:tcPr>
          <w:p w:rsidRPr="00150EAF" w:rsidR="007E2424" w:rsidP="00150EAF" w:rsidRDefault="007E2424" w14:paraId="4D22D51A" w14:textId="77777777">
            <w:pPr>
              <w:rPr>
                <w:rFonts w:ascii="Arial" w:hAnsi="Arial" w:cs="Arial"/>
                <w:color w:val="000000" w:themeColor="text1"/>
                <w:sz w:val="16"/>
                <w:szCs w:val="16"/>
                <w:lang w:val="es-ES" w:eastAsia="es-ES"/>
              </w:rPr>
            </w:pPr>
            <w:r w:rsidRPr="00150EAF">
              <w:rPr>
                <w:rFonts w:ascii="Arial" w:hAnsi="Arial" w:cs="Arial"/>
                <w:color w:val="000000" w:themeColor="text1"/>
                <w:sz w:val="16"/>
                <w:szCs w:val="16"/>
                <w:lang w:val="es-ES" w:eastAsia="es-ES"/>
              </w:rPr>
              <w:t>Sebastián Barreto Cifuentes</w:t>
            </w:r>
          </w:p>
          <w:p w:rsidRPr="00150EAF" w:rsidR="007E2424" w:rsidP="00150EAF" w:rsidRDefault="007E2424" w14:paraId="74488CCB" w14:textId="049FAB23">
            <w:pPr>
              <w:rPr>
                <w:rFonts w:ascii="Arial" w:hAnsi="Arial" w:cs="Arial"/>
                <w:color w:val="000000" w:themeColor="text1"/>
                <w:sz w:val="16"/>
                <w:szCs w:val="16"/>
                <w:lang w:val="es-ES" w:eastAsia="es-ES"/>
              </w:rPr>
            </w:pPr>
            <w:r w:rsidRPr="00150EAF">
              <w:rPr>
                <w:rFonts w:ascii="Arial" w:hAnsi="Arial" w:cs="Arial"/>
                <w:color w:val="000000" w:themeColor="text1"/>
                <w:sz w:val="16"/>
                <w:szCs w:val="16"/>
                <w:lang w:val="es-ES" w:eastAsia="es-ES"/>
              </w:rPr>
              <w:t>Contratista de la Subdirección de Gestión Contractual</w:t>
            </w:r>
          </w:p>
        </w:tc>
        <w:tc>
          <w:tcPr>
            <w:tcW w:w="3900" w:type="dxa"/>
            <w:tcBorders>
              <w:top w:val="nil"/>
              <w:left w:val="nil"/>
              <w:bottom w:val="dotted" w:color="7F7F7F" w:themeColor="text1" w:themeTint="80" w:sz="4" w:space="0"/>
              <w:right w:val="nil"/>
            </w:tcBorders>
          </w:tcPr>
          <w:p w:rsidRPr="00150EAF" w:rsidR="007E2424" w:rsidP="00150EAF" w:rsidRDefault="007E2424" w14:paraId="0B4CB614" w14:textId="77777777">
            <w:pPr>
              <w:rPr>
                <w:rFonts w:ascii="Arial" w:hAnsi="Arial" w:cs="Arial"/>
                <w:color w:val="000000" w:themeColor="text1"/>
                <w:sz w:val="16"/>
                <w:szCs w:val="16"/>
                <w:lang w:val="es-ES" w:eastAsia="es-ES"/>
              </w:rPr>
            </w:pPr>
          </w:p>
        </w:tc>
      </w:tr>
      <w:tr w:rsidRPr="00B5799D" w:rsidR="007E2424" w:rsidTr="007E2424" w14:paraId="6A73CF9B" w14:textId="3349D9CA">
        <w:trPr>
          <w:trHeight w:val="330"/>
        </w:trPr>
        <w:tc>
          <w:tcPr>
            <w:tcW w:w="812" w:type="dxa"/>
            <w:vAlign w:val="center"/>
            <w:hideMark/>
          </w:tcPr>
          <w:p w:rsidRPr="006C15D5" w:rsidR="007E2424" w:rsidP="00150EAF" w:rsidRDefault="007E2424" w14:paraId="3AC69710" w14:textId="77777777">
            <w:pPr>
              <w:rPr>
                <w:rFonts w:ascii="Arial" w:hAnsi="Arial" w:cs="Arial"/>
                <w:color w:val="000000" w:themeColor="text1"/>
                <w:sz w:val="16"/>
                <w:szCs w:val="16"/>
                <w:lang w:eastAsia="es-ES"/>
              </w:rPr>
            </w:pPr>
            <w:proofErr w:type="spellStart"/>
            <w:r w:rsidRPr="006C15D5">
              <w:rPr>
                <w:rFonts w:ascii="Arial" w:hAnsi="Arial" w:cs="Arial"/>
                <w:color w:val="000000" w:themeColor="text1"/>
                <w:sz w:val="16"/>
                <w:szCs w:val="16"/>
                <w:lang w:eastAsia="es-ES"/>
              </w:rPr>
              <w:t>Revisó</w:t>
            </w:r>
            <w:proofErr w:type="spellEnd"/>
            <w:r w:rsidRPr="006C15D5">
              <w:rPr>
                <w:rFonts w:ascii="Arial" w:hAnsi="Arial" w:cs="Arial"/>
                <w:color w:val="000000" w:themeColor="text1"/>
                <w:sz w:val="16"/>
                <w:szCs w:val="16"/>
                <w:lang w:eastAsia="es-ES"/>
              </w:rPr>
              <w:t>:</w:t>
            </w:r>
          </w:p>
        </w:tc>
        <w:tc>
          <w:tcPr>
            <w:tcW w:w="4012" w:type="dxa"/>
            <w:tcBorders>
              <w:top w:val="dotted" w:color="7F7F7F" w:themeColor="text1" w:themeTint="80" w:sz="4" w:space="0"/>
              <w:left w:val="nil"/>
              <w:bottom w:val="dotted" w:color="7F7F7F" w:themeColor="text1" w:themeTint="80" w:sz="4" w:space="0"/>
              <w:right w:val="nil"/>
            </w:tcBorders>
            <w:vAlign w:val="center"/>
            <w:hideMark/>
          </w:tcPr>
          <w:p w:rsidRPr="00150EAF" w:rsidR="007E2424" w:rsidP="00150EAF" w:rsidRDefault="007E2424" w14:paraId="6F9E0718" w14:textId="3306DB3B">
            <w:pPr>
              <w:rPr>
                <w:rFonts w:ascii="Arial" w:hAnsi="Arial" w:cs="Arial"/>
                <w:color w:val="000000" w:themeColor="text1"/>
                <w:sz w:val="16"/>
                <w:szCs w:val="16"/>
                <w:lang w:val="es-ES" w:eastAsia="es-ES"/>
              </w:rPr>
            </w:pPr>
            <w:r w:rsidRPr="00150EAF">
              <w:rPr>
                <w:rFonts w:ascii="Arial" w:hAnsi="Arial" w:cs="Arial"/>
                <w:color w:val="000000" w:themeColor="text1"/>
                <w:sz w:val="16"/>
                <w:szCs w:val="16"/>
                <w:lang w:val="es-ES" w:eastAsia="es-ES"/>
              </w:rPr>
              <w:t xml:space="preserve">Juan David Montoya Penagos </w:t>
            </w:r>
          </w:p>
          <w:p w:rsidRPr="00150EAF" w:rsidR="007E2424" w:rsidP="00150EAF" w:rsidRDefault="007E2424" w14:paraId="1C830C19" w14:textId="16FF7B3F">
            <w:pPr>
              <w:rPr>
                <w:rFonts w:ascii="Arial" w:hAnsi="Arial" w:cs="Arial"/>
                <w:color w:val="000000" w:themeColor="text1"/>
                <w:sz w:val="16"/>
                <w:szCs w:val="16"/>
                <w:lang w:val="es-ES" w:eastAsia="es-ES"/>
              </w:rPr>
            </w:pPr>
            <w:r w:rsidRPr="00150EAF">
              <w:rPr>
                <w:rFonts w:ascii="Arial" w:hAnsi="Arial" w:cs="Arial"/>
                <w:color w:val="000000" w:themeColor="text1"/>
                <w:sz w:val="16"/>
                <w:szCs w:val="16"/>
                <w:lang w:val="es-ES" w:eastAsia="es-ES"/>
              </w:rPr>
              <w:t>Contratista de la Subdirección de Gestión Contractual</w:t>
            </w:r>
          </w:p>
        </w:tc>
        <w:tc>
          <w:tcPr>
            <w:tcW w:w="3900" w:type="dxa"/>
            <w:tcBorders>
              <w:top w:val="dotted" w:color="7F7F7F" w:themeColor="text1" w:themeTint="80" w:sz="4" w:space="0"/>
              <w:left w:val="nil"/>
              <w:bottom w:val="dotted" w:color="7F7F7F" w:themeColor="text1" w:themeTint="80" w:sz="4" w:space="0"/>
              <w:right w:val="nil"/>
            </w:tcBorders>
          </w:tcPr>
          <w:p w:rsidRPr="00150EAF" w:rsidR="007E2424" w:rsidP="00150EAF" w:rsidRDefault="007E2424" w14:paraId="3334F738" w14:textId="77777777">
            <w:pPr>
              <w:rPr>
                <w:rFonts w:ascii="Arial" w:hAnsi="Arial" w:cs="Arial"/>
                <w:color w:val="000000" w:themeColor="text1"/>
                <w:sz w:val="16"/>
                <w:szCs w:val="16"/>
                <w:lang w:val="es-ES" w:eastAsia="es-ES"/>
              </w:rPr>
            </w:pPr>
          </w:p>
        </w:tc>
      </w:tr>
      <w:tr w:rsidRPr="00B5799D" w:rsidR="007E2424" w:rsidTr="007E2424" w14:paraId="7F2A217A" w14:textId="2FEA10D3">
        <w:trPr>
          <w:trHeight w:val="300"/>
        </w:trPr>
        <w:tc>
          <w:tcPr>
            <w:tcW w:w="812" w:type="dxa"/>
            <w:vAlign w:val="center"/>
            <w:hideMark/>
          </w:tcPr>
          <w:p w:rsidRPr="006C15D5" w:rsidR="007E2424" w:rsidP="00150EAF" w:rsidRDefault="007E2424" w14:paraId="77F053CF" w14:textId="77777777">
            <w:pPr>
              <w:rPr>
                <w:rFonts w:ascii="Arial" w:hAnsi="Arial" w:cs="Arial"/>
                <w:color w:val="000000" w:themeColor="text1"/>
                <w:sz w:val="16"/>
                <w:szCs w:val="16"/>
                <w:lang w:eastAsia="es-ES"/>
              </w:rPr>
            </w:pPr>
            <w:proofErr w:type="spellStart"/>
            <w:r w:rsidRPr="006C15D5">
              <w:rPr>
                <w:rFonts w:ascii="Arial" w:hAnsi="Arial" w:cs="Arial"/>
                <w:color w:val="000000" w:themeColor="text1"/>
                <w:sz w:val="16"/>
                <w:szCs w:val="16"/>
                <w:lang w:eastAsia="es-ES"/>
              </w:rPr>
              <w:t>Aprobó</w:t>
            </w:r>
            <w:proofErr w:type="spellEnd"/>
            <w:r w:rsidRPr="006C15D5">
              <w:rPr>
                <w:rFonts w:ascii="Arial" w:hAnsi="Arial" w:cs="Arial"/>
                <w:color w:val="000000" w:themeColor="text1"/>
                <w:sz w:val="16"/>
                <w:szCs w:val="16"/>
                <w:lang w:eastAsia="es-ES"/>
              </w:rPr>
              <w:t>:</w:t>
            </w:r>
          </w:p>
        </w:tc>
        <w:tc>
          <w:tcPr>
            <w:tcW w:w="4012" w:type="dxa"/>
            <w:tcBorders>
              <w:top w:val="dotted" w:color="7F7F7F" w:themeColor="text1" w:themeTint="80" w:sz="4" w:space="0"/>
              <w:left w:val="nil"/>
              <w:bottom w:val="dotted" w:color="7F7F7F" w:themeColor="text1" w:themeTint="80" w:sz="4" w:space="0"/>
              <w:right w:val="nil"/>
            </w:tcBorders>
            <w:vAlign w:val="center"/>
            <w:hideMark/>
          </w:tcPr>
          <w:p w:rsidRPr="00150EAF" w:rsidR="007E2424" w:rsidP="00150EAF" w:rsidRDefault="007E2424" w14:paraId="59CC189F" w14:textId="77777777">
            <w:pPr>
              <w:rPr>
                <w:rFonts w:ascii="Arial" w:hAnsi="Arial" w:cs="Arial"/>
                <w:color w:val="000000" w:themeColor="text1"/>
                <w:sz w:val="16"/>
                <w:szCs w:val="16"/>
                <w:lang w:val="es-ES" w:eastAsia="es-ES"/>
              </w:rPr>
            </w:pPr>
            <w:r w:rsidRPr="00150EAF">
              <w:rPr>
                <w:rFonts w:ascii="Arial" w:hAnsi="Arial" w:cs="Arial"/>
                <w:color w:val="000000" w:themeColor="text1"/>
                <w:sz w:val="16"/>
                <w:szCs w:val="16"/>
                <w:lang w:val="es-ES" w:eastAsia="es-ES"/>
              </w:rPr>
              <w:t>Fabián Gonzalo Marín Cortés</w:t>
            </w:r>
          </w:p>
          <w:p w:rsidRPr="00150EAF" w:rsidR="007E2424" w:rsidP="00150EAF" w:rsidRDefault="007E2424" w14:paraId="05D95F50" w14:textId="77777777">
            <w:pPr>
              <w:rPr>
                <w:rFonts w:ascii="Arial" w:hAnsi="Arial" w:cs="Arial"/>
                <w:color w:val="000000" w:themeColor="text1"/>
                <w:sz w:val="16"/>
                <w:szCs w:val="16"/>
                <w:lang w:val="es-ES" w:eastAsia="es-ES"/>
              </w:rPr>
            </w:pPr>
            <w:r w:rsidRPr="00150EAF">
              <w:rPr>
                <w:rFonts w:ascii="Arial" w:hAnsi="Arial" w:cs="Arial"/>
                <w:color w:val="000000" w:themeColor="text1"/>
                <w:sz w:val="16"/>
                <w:szCs w:val="16"/>
                <w:lang w:val="es-ES" w:eastAsia="es-ES"/>
              </w:rPr>
              <w:t>Subdirector de Gestión Contractual</w:t>
            </w:r>
          </w:p>
        </w:tc>
        <w:tc>
          <w:tcPr>
            <w:tcW w:w="3900" w:type="dxa"/>
            <w:tcBorders>
              <w:top w:val="dotted" w:color="7F7F7F" w:themeColor="text1" w:themeTint="80" w:sz="4" w:space="0"/>
              <w:left w:val="nil"/>
              <w:bottom w:val="dotted" w:color="7F7F7F" w:themeColor="text1" w:themeTint="80" w:sz="4" w:space="0"/>
              <w:right w:val="nil"/>
            </w:tcBorders>
          </w:tcPr>
          <w:p w:rsidRPr="00150EAF" w:rsidR="007E2424" w:rsidP="00150EAF" w:rsidRDefault="007E2424" w14:paraId="419446FE" w14:textId="77777777">
            <w:pPr>
              <w:rPr>
                <w:rFonts w:ascii="Arial" w:hAnsi="Arial" w:cs="Arial"/>
                <w:color w:val="000000" w:themeColor="text1"/>
                <w:sz w:val="16"/>
                <w:szCs w:val="16"/>
                <w:lang w:val="es-ES" w:eastAsia="es-ES"/>
              </w:rPr>
            </w:pPr>
          </w:p>
        </w:tc>
      </w:tr>
    </w:tbl>
    <w:p w:rsidRPr="00F42DF4" w:rsidR="0098674C" w:rsidP="00E80252" w:rsidRDefault="0098674C" w14:paraId="195664C2" w14:textId="77777777">
      <w:pPr>
        <w:spacing w:before="120" w:after="120" w:line="276" w:lineRule="auto"/>
        <w:rPr>
          <w:rFonts w:ascii="Arial" w:hAnsi="Arial" w:cs="Arial"/>
          <w:color w:val="000000" w:themeColor="text1"/>
          <w:sz w:val="22"/>
          <w:szCs w:val="22"/>
          <w:lang w:val="es-ES" w:eastAsia="es-ES"/>
        </w:rPr>
      </w:pPr>
    </w:p>
    <w:sectPr w:rsidRPr="00F42DF4" w:rsidR="0098674C" w:rsidSect="00CC724D">
      <w:headerReference w:type="default" r:id="rId12"/>
      <w:footerReference w:type="default" r:id="rId13"/>
      <w:pgSz w:w="12240" w:h="15840" w:orient="portrait"/>
      <w:pgMar w:top="2041" w:right="1758" w:bottom="1474" w:left="1758"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000CDA" w:rsidRDefault="00000CDA" w14:paraId="3BDB455C" w14:textId="77777777">
      <w:r>
        <w:separator/>
      </w:r>
    </w:p>
  </w:endnote>
  <w:endnote w:type="continuationSeparator" w:id="0">
    <w:p w:rsidR="00000CDA" w:rsidRDefault="00000CDA" w14:paraId="4183D45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Pr="008217B7" w:rsidR="00BF1C69" w:rsidP="00FE42ED" w:rsidRDefault="00BF1C69" w14:paraId="7A3785F3" w14:textId="4E90E414">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00764049">
      <w:rPr>
        <w:rFonts w:ascii="Arial" w:hAnsi="Arial" w:cs="Arial"/>
        <w:b/>
        <w:bCs/>
        <w:noProof/>
        <w:color w:val="7F7F7F" w:themeColor="text1" w:themeTint="80"/>
        <w:sz w:val="16"/>
        <w:szCs w:val="16"/>
      </w:rPr>
      <w:t>20</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00764049">
      <w:rPr>
        <w:rFonts w:ascii="Arial" w:hAnsi="Arial" w:cs="Arial"/>
        <w:b/>
        <w:bCs/>
        <w:noProof/>
        <w:color w:val="7F7F7F" w:themeColor="text1" w:themeTint="80"/>
        <w:sz w:val="16"/>
        <w:szCs w:val="16"/>
      </w:rPr>
      <w:t>20</w:t>
    </w:r>
    <w:r w:rsidRPr="00084B97">
      <w:rPr>
        <w:rFonts w:ascii="Arial" w:hAnsi="Arial" w:cs="Arial"/>
        <w:b/>
        <w:bCs/>
        <w:color w:val="7F7F7F" w:themeColor="text1" w:themeTint="80"/>
        <w:sz w:val="16"/>
        <w:szCs w:val="16"/>
      </w:rPr>
      <w:fldChar w:fldCharType="end"/>
    </w:r>
  </w:p>
  <w:p w:rsidR="00BF1C69" w:rsidP="00322937" w:rsidRDefault="4AD7D661" w14:paraId="48FC6A04" w14:textId="5FD1A7C9">
    <w:pPr>
      <w:pStyle w:val="Piedepgina"/>
      <w:jc w:val="center"/>
      <w:rPr>
        <w:lang w:val="es-ES"/>
      </w:rPr>
    </w:pPr>
    <w:r>
      <w:rPr>
        <w:noProof/>
      </w:rPr>
      <w:drawing>
        <wp:inline distT="0" distB="0" distL="0" distR="0" wp14:anchorId="608B196D" wp14:editId="122028F5">
          <wp:extent cx="3700130" cy="519139"/>
          <wp:effectExtent l="0" t="0" r="0" b="0"/>
          <wp:docPr id="16450366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rsidR="00BF1C69" w:rsidP="007B0854" w:rsidRDefault="00BF1C69" w14:paraId="5D0E988C" w14:textId="77777777">
    <w:pPr>
      <w:pStyle w:val="Piedepgina"/>
      <w:jc w:val="center"/>
      <w:rPr>
        <w:lang w:val="es-ES"/>
      </w:rPr>
    </w:pPr>
  </w:p>
  <w:p w:rsidRPr="007B0854" w:rsidR="00BF1C69" w:rsidP="007B0854" w:rsidRDefault="00BF1C69" w14:paraId="6C0EFC49" w14:textId="77777777">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000CDA" w:rsidRDefault="00000CDA" w14:paraId="38C669B0" w14:textId="77777777">
      <w:r>
        <w:separator/>
      </w:r>
    </w:p>
  </w:footnote>
  <w:footnote w:type="continuationSeparator" w:id="0">
    <w:p w:rsidR="00000CDA" w:rsidRDefault="00000CDA" w14:paraId="2FD7B95B" w14:textId="77777777">
      <w:r>
        <w:continuationSeparator/>
      </w:r>
    </w:p>
  </w:footnote>
  <w:footnote w:id="1">
    <w:p w:rsidRPr="00007FBD" w:rsidR="00BF1C69" w:rsidP="00150EAF" w:rsidRDefault="00BF1C69" w14:paraId="742ED7C6" w14:textId="77777777">
      <w:pPr>
        <w:pStyle w:val="Textonotapie"/>
        <w:spacing w:before="0" w:after="0" w:line="240" w:lineRule="auto"/>
        <w:ind w:firstLine="709"/>
        <w:rPr>
          <w:rFonts w:ascii="Arial" w:hAnsi="Arial" w:cs="Arial"/>
          <w:color w:val="000000" w:themeColor="text1"/>
          <w:sz w:val="19"/>
          <w:szCs w:val="19"/>
        </w:rPr>
      </w:pPr>
      <w:r w:rsidRPr="00007FBD">
        <w:rPr>
          <w:rStyle w:val="Refdenotaalpie"/>
          <w:rFonts w:ascii="Arial" w:hAnsi="Arial" w:cs="Arial"/>
          <w:color w:val="000000" w:themeColor="text1"/>
          <w:sz w:val="19"/>
          <w:szCs w:val="19"/>
          <w:lang w:val="es-ES_tradnl"/>
        </w:rPr>
        <w:footnoteRef/>
      </w:r>
      <w:r w:rsidRPr="00007FBD">
        <w:rPr>
          <w:rFonts w:ascii="Arial" w:hAnsi="Arial" w:cs="Arial"/>
          <w:color w:val="000000" w:themeColor="text1"/>
          <w:sz w:val="19"/>
          <w:szCs w:val="19"/>
          <w:lang w:val="es-ES_tradnl"/>
        </w:rPr>
        <w:t xml:space="preserve"> </w:t>
      </w:r>
      <w:r w:rsidRPr="00007FBD">
        <w:rPr>
          <w:rFonts w:ascii="Arial" w:hAnsi="Arial" w:cs="Arial"/>
          <w:color w:val="000000" w:themeColor="text1"/>
          <w:sz w:val="19"/>
          <w:szCs w:val="19"/>
        </w:rPr>
        <w:t>Así lo ha reconocido la doctrina en la materia, al afirmar: «El modelo que se adoptó en la Constitución de 1991 para los servicios públicos se caracteriza por la liberalización de su prestación, por un fuerte poder del Estado para intervenir en ellos y por la adopción de instituciones para lidiar con los principales problemas que respecto de las tarifas enfrentaron históricamente estos servicios: la interferencia política en su fijación y el abuso por parte de los prestadores de su posición cuando no tienen suficiente competencia en sus mercados.</w:t>
      </w:r>
    </w:p>
    <w:p w:rsidRPr="00007FBD" w:rsidR="00BF1C69" w:rsidP="00150EAF" w:rsidRDefault="00BF1C69" w14:paraId="4418BCF1" w14:textId="77777777">
      <w:pPr>
        <w:pStyle w:val="Textonotapie"/>
        <w:spacing w:before="0" w:after="0" w:line="240" w:lineRule="auto"/>
        <w:ind w:firstLine="709"/>
        <w:rPr>
          <w:rFonts w:ascii="Arial" w:hAnsi="Arial" w:cs="Arial"/>
          <w:color w:val="000000" w:themeColor="text1"/>
          <w:sz w:val="19"/>
          <w:szCs w:val="19"/>
        </w:rPr>
      </w:pPr>
      <w:r w:rsidRPr="00007FBD">
        <w:rPr>
          <w:rFonts w:ascii="Arial" w:hAnsi="Arial" w:cs="Arial"/>
          <w:color w:val="000000" w:themeColor="text1"/>
          <w:sz w:val="19"/>
          <w:szCs w:val="19"/>
        </w:rPr>
        <w:t>»Como base del modelo de liberalización, la Constitución removió las barreras jurídicas de entrada a la prestación de los servicios públicos y estableció como regla general que ellos “podrán ser prestados por el Estado, directa o indirectamente, por comunidades organizadas o por particulares” […].</w:t>
      </w:r>
    </w:p>
    <w:p w:rsidR="00BF1C69" w:rsidP="00150EAF" w:rsidRDefault="00BF1C69" w14:paraId="3F459F4F" w14:textId="71FFC500">
      <w:pPr>
        <w:pStyle w:val="Textonotapie"/>
        <w:spacing w:before="0" w:after="0" w:line="240" w:lineRule="auto"/>
        <w:ind w:firstLine="709"/>
        <w:rPr>
          <w:rFonts w:ascii="Arial" w:hAnsi="Arial" w:cs="Arial"/>
          <w:color w:val="000000" w:themeColor="text1"/>
          <w:sz w:val="19"/>
          <w:szCs w:val="19"/>
        </w:rPr>
      </w:pPr>
      <w:r w:rsidRPr="00007FBD">
        <w:rPr>
          <w:rFonts w:ascii="Arial" w:hAnsi="Arial" w:cs="Arial"/>
          <w:color w:val="000000" w:themeColor="text1"/>
          <w:sz w:val="19"/>
          <w:szCs w:val="19"/>
        </w:rPr>
        <w:t>»Al establecer esta libertad de entrada, la Constitución abrió la puerta para romper con el modelo de prestación basado exclusivamente en los monopolios estatales que estuvo vigente por más de medio siglo. Y aunque bajo la Constitución de 1991 es posible aún la creación de monopolios de derecho para los servicios públicos, para ello deben cumplirse procedimientos muy exigentes desde el punto de vista político y jurídico: debe hacerse mediante una ley de iniciativa gubernamental aprobada por ambas cámaras del Congreso y, en todo caso, puede ocurrir solo mediando indemnización previa y plena» (NÚÑEZ FORERO, Felipe. Servicios públicos domiciliarios, telecomunicaciones e infraestructura (instituciones, regulación y competencia). Bogotá: Universidad Externado de Colombia, 2017. p. 43).</w:t>
      </w:r>
    </w:p>
    <w:p w:rsidRPr="00007FBD" w:rsidR="00E56B9B" w:rsidP="00150EAF" w:rsidRDefault="00E56B9B" w14:paraId="7C357ED7" w14:textId="77777777">
      <w:pPr>
        <w:pStyle w:val="Textonotapie"/>
        <w:spacing w:before="0" w:after="0" w:line="240" w:lineRule="auto"/>
        <w:ind w:firstLine="709"/>
        <w:rPr>
          <w:rFonts w:ascii="Arial" w:hAnsi="Arial" w:cs="Arial"/>
          <w:color w:val="000000" w:themeColor="text1"/>
          <w:sz w:val="19"/>
          <w:szCs w:val="19"/>
        </w:rPr>
      </w:pPr>
    </w:p>
  </w:footnote>
  <w:footnote w:id="2">
    <w:p w:rsidRPr="00007FBD" w:rsidR="00BF1C69" w:rsidRDefault="00BF1C69" w14:paraId="10671DAD" w14:textId="33F021A7">
      <w:pPr>
        <w:pStyle w:val="Textonotapie"/>
        <w:spacing w:before="0" w:after="0" w:line="240" w:lineRule="auto"/>
        <w:ind w:firstLine="709"/>
        <w:rPr>
          <w:rFonts w:ascii="Arial" w:hAnsi="Arial" w:cs="Arial"/>
          <w:color w:val="000000" w:themeColor="text1"/>
          <w:sz w:val="19"/>
          <w:szCs w:val="19"/>
          <w:lang w:val="es-ES"/>
        </w:rPr>
      </w:pPr>
      <w:r w:rsidRPr="00007FBD">
        <w:rPr>
          <w:rStyle w:val="Refdenotaalpie"/>
          <w:rFonts w:ascii="Arial" w:hAnsi="Arial" w:cs="Arial"/>
          <w:color w:val="000000" w:themeColor="text1"/>
          <w:sz w:val="19"/>
          <w:szCs w:val="19"/>
        </w:rPr>
        <w:footnoteRef/>
      </w:r>
      <w:r w:rsidRPr="00007FBD">
        <w:rPr>
          <w:rFonts w:ascii="Arial" w:hAnsi="Arial" w:cs="Arial"/>
          <w:color w:val="000000" w:themeColor="text1"/>
          <w:sz w:val="19"/>
          <w:szCs w:val="19"/>
        </w:rPr>
        <w:t xml:space="preserve"> </w:t>
      </w:r>
      <w:r w:rsidRPr="00007FBD">
        <w:rPr>
          <w:rFonts w:ascii="Arial" w:hAnsi="Arial" w:cs="Arial"/>
          <w:color w:val="000000" w:themeColor="text1"/>
          <w:sz w:val="19"/>
          <w:szCs w:val="19"/>
          <w:lang w:val="es-ES"/>
        </w:rPr>
        <w:t>Alberto Montaña Plata. El concepto de servicio público en el derecho administrativo. 2ª ed., Universidad Externado de Colombia. Bogotá 2015</w:t>
      </w:r>
      <w:r w:rsidR="0061562B">
        <w:rPr>
          <w:rFonts w:ascii="Arial" w:hAnsi="Arial" w:cs="Arial"/>
          <w:color w:val="000000" w:themeColor="text1"/>
          <w:sz w:val="19"/>
          <w:szCs w:val="19"/>
          <w:lang w:val="es-ES"/>
        </w:rPr>
        <w:t>. p.</w:t>
      </w:r>
      <w:r w:rsidRPr="00007FBD">
        <w:rPr>
          <w:rFonts w:ascii="Arial" w:hAnsi="Arial" w:cs="Arial"/>
          <w:color w:val="000000" w:themeColor="text1"/>
          <w:sz w:val="19"/>
          <w:szCs w:val="19"/>
          <w:lang w:val="es-ES"/>
        </w:rPr>
        <w:t xml:space="preserve"> 102.</w:t>
      </w:r>
    </w:p>
  </w:footnote>
  <w:footnote w:id="3">
    <w:p w:rsidRPr="00007FBD" w:rsidR="00BF1C69" w:rsidRDefault="00BF1C69" w14:paraId="766C9097" w14:textId="77310776">
      <w:pPr>
        <w:pStyle w:val="Textonotapie"/>
        <w:spacing w:before="0" w:after="0" w:line="240" w:lineRule="auto"/>
        <w:ind w:firstLine="709"/>
        <w:rPr>
          <w:rFonts w:ascii="Arial" w:hAnsi="Arial" w:cs="Arial"/>
          <w:color w:val="000000" w:themeColor="text1"/>
          <w:sz w:val="19"/>
          <w:szCs w:val="19"/>
        </w:rPr>
      </w:pPr>
      <w:r w:rsidRPr="00007FBD">
        <w:rPr>
          <w:rStyle w:val="Refdenotaalpie"/>
          <w:rFonts w:ascii="Arial" w:hAnsi="Arial" w:cs="Arial"/>
          <w:color w:val="000000" w:themeColor="text1"/>
          <w:sz w:val="19"/>
          <w:szCs w:val="19"/>
        </w:rPr>
        <w:footnoteRef/>
      </w:r>
      <w:r w:rsidRPr="00007FBD">
        <w:rPr>
          <w:rFonts w:ascii="Arial" w:hAnsi="Arial" w:cs="Arial"/>
          <w:color w:val="000000" w:themeColor="text1"/>
          <w:sz w:val="19"/>
          <w:szCs w:val="19"/>
        </w:rPr>
        <w:t xml:space="preserve"> El artículo 333 de la Constitución dispone: </w:t>
      </w:r>
    </w:p>
    <w:p w:rsidRPr="00007FBD" w:rsidR="00BF1C69" w:rsidP="00150EAF" w:rsidRDefault="00BF1C69" w14:paraId="3DF3F10F" w14:textId="77777777">
      <w:pPr>
        <w:pStyle w:val="Textonotapie"/>
        <w:spacing w:before="0" w:after="0" w:line="240" w:lineRule="auto"/>
        <w:ind w:firstLine="709"/>
        <w:rPr>
          <w:rFonts w:ascii="Arial" w:hAnsi="Arial" w:cs="Arial"/>
          <w:color w:val="000000" w:themeColor="text1"/>
          <w:sz w:val="19"/>
          <w:szCs w:val="19"/>
        </w:rPr>
      </w:pPr>
      <w:r w:rsidRPr="00007FBD">
        <w:rPr>
          <w:rFonts w:ascii="Arial" w:hAnsi="Arial" w:cs="Arial"/>
          <w:color w:val="000000" w:themeColor="text1"/>
          <w:sz w:val="19"/>
          <w:szCs w:val="19"/>
        </w:rPr>
        <w:t>«La actividad económica y la iniciativa privada son libres, dentro de los límites del bien común. Para su ejercicio, nadie podrá exigir permisos previos ni requisitos, sin autorización de la ley.</w:t>
      </w:r>
    </w:p>
    <w:p w:rsidRPr="00007FBD" w:rsidR="00BF1C69" w:rsidP="00150EAF" w:rsidRDefault="00BF1C69" w14:paraId="52739E32" w14:textId="77777777">
      <w:pPr>
        <w:pStyle w:val="Textonotapie"/>
        <w:spacing w:before="0" w:after="0" w:line="240" w:lineRule="auto"/>
        <w:ind w:firstLine="709"/>
        <w:rPr>
          <w:rFonts w:ascii="Arial" w:hAnsi="Arial" w:cs="Arial"/>
          <w:color w:val="000000" w:themeColor="text1"/>
          <w:sz w:val="19"/>
          <w:szCs w:val="19"/>
        </w:rPr>
      </w:pPr>
      <w:r w:rsidRPr="00007FBD">
        <w:rPr>
          <w:rFonts w:ascii="Arial" w:hAnsi="Arial" w:cs="Arial"/>
          <w:color w:val="000000" w:themeColor="text1"/>
          <w:sz w:val="19"/>
          <w:szCs w:val="19"/>
        </w:rPr>
        <w:t>»La libre competencia económica es un derecho de todos que supone responsabilidades.</w:t>
      </w:r>
    </w:p>
    <w:p w:rsidRPr="00007FBD" w:rsidR="00BF1C69" w:rsidP="00150EAF" w:rsidRDefault="00BF1C69" w14:paraId="3888C486" w14:textId="77777777">
      <w:pPr>
        <w:pStyle w:val="Textonotapie"/>
        <w:spacing w:before="0" w:after="0" w:line="240" w:lineRule="auto"/>
        <w:ind w:firstLine="709"/>
        <w:rPr>
          <w:rFonts w:ascii="Arial" w:hAnsi="Arial" w:cs="Arial"/>
          <w:color w:val="000000" w:themeColor="text1"/>
          <w:sz w:val="19"/>
          <w:szCs w:val="19"/>
        </w:rPr>
      </w:pPr>
      <w:r w:rsidRPr="00007FBD">
        <w:rPr>
          <w:rFonts w:ascii="Arial" w:hAnsi="Arial" w:cs="Arial"/>
          <w:color w:val="000000" w:themeColor="text1"/>
          <w:sz w:val="19"/>
          <w:szCs w:val="19"/>
        </w:rPr>
        <w:t>»La empresa, como base del desarrollo, tiene una función social que implica obligaciones. El Estado fortalecerá las organizaciones solidarias y estimulará el desarrollo empresarial.</w:t>
      </w:r>
    </w:p>
    <w:p w:rsidRPr="00007FBD" w:rsidR="00BF1C69" w:rsidP="00150EAF" w:rsidRDefault="00BF1C69" w14:paraId="71E812C8" w14:textId="77777777">
      <w:pPr>
        <w:pStyle w:val="Textonotapie"/>
        <w:spacing w:before="0" w:after="0" w:line="240" w:lineRule="auto"/>
        <w:ind w:firstLine="709"/>
        <w:rPr>
          <w:rFonts w:ascii="Arial" w:hAnsi="Arial" w:cs="Arial"/>
          <w:color w:val="000000" w:themeColor="text1"/>
          <w:sz w:val="19"/>
          <w:szCs w:val="19"/>
        </w:rPr>
      </w:pPr>
      <w:r w:rsidRPr="00007FBD">
        <w:rPr>
          <w:rFonts w:ascii="Arial" w:hAnsi="Arial" w:cs="Arial"/>
          <w:color w:val="000000" w:themeColor="text1"/>
          <w:sz w:val="19"/>
          <w:szCs w:val="19"/>
        </w:rPr>
        <w:t>»El Estado, por mandato de la ley, impedirá que se obstruya o se restrinja la libertad económica y evitará o controlará cualquier abuso que personas o empresas hagan de su posición dominante en el mercado nacional.</w:t>
      </w:r>
    </w:p>
    <w:p w:rsidRPr="00007FBD" w:rsidR="00BF1C69" w:rsidP="00DB49E2" w:rsidRDefault="00BF1C69" w14:paraId="6F257525" w14:textId="34474818">
      <w:pPr>
        <w:pStyle w:val="Textonotapie"/>
        <w:spacing w:before="0" w:after="0" w:line="240" w:lineRule="auto"/>
        <w:ind w:firstLine="709"/>
        <w:rPr>
          <w:rFonts w:ascii="Arial" w:hAnsi="Arial" w:cs="Arial"/>
          <w:color w:val="000000" w:themeColor="text1"/>
          <w:sz w:val="19"/>
          <w:szCs w:val="19"/>
        </w:rPr>
      </w:pPr>
      <w:r w:rsidRPr="00007FBD">
        <w:rPr>
          <w:rFonts w:ascii="Arial" w:hAnsi="Arial" w:cs="Arial"/>
          <w:color w:val="000000" w:themeColor="text1"/>
          <w:sz w:val="19"/>
          <w:szCs w:val="19"/>
        </w:rPr>
        <w:t>»La ley delimitará el alcance de la libertad económica cuando así lo exijan el interés social, el ambiente y el patrimonio cultural de la Nación».</w:t>
      </w:r>
    </w:p>
    <w:p w:rsidRPr="00007FBD" w:rsidR="00BF1C69" w:rsidP="00150EAF" w:rsidRDefault="00BF1C69" w14:paraId="2DA584AE" w14:textId="77777777">
      <w:pPr>
        <w:pStyle w:val="Textonotapie"/>
        <w:spacing w:before="0" w:after="0" w:line="240" w:lineRule="auto"/>
        <w:ind w:firstLine="709"/>
        <w:rPr>
          <w:rFonts w:ascii="Arial" w:hAnsi="Arial" w:cs="Arial"/>
          <w:color w:val="000000" w:themeColor="text1"/>
          <w:sz w:val="19"/>
          <w:szCs w:val="19"/>
        </w:rPr>
      </w:pPr>
    </w:p>
  </w:footnote>
  <w:footnote w:id="4">
    <w:p w:rsidRPr="00007FBD" w:rsidR="00BF1C69" w:rsidRDefault="00BF1C69" w14:paraId="3884FC65" w14:textId="228308BC">
      <w:pPr>
        <w:pStyle w:val="Textonotapie"/>
        <w:spacing w:before="0" w:after="0" w:line="240" w:lineRule="auto"/>
        <w:ind w:firstLine="709"/>
        <w:rPr>
          <w:rFonts w:ascii="Arial" w:hAnsi="Arial" w:cs="Arial"/>
          <w:color w:val="000000" w:themeColor="text1"/>
          <w:sz w:val="19"/>
          <w:szCs w:val="19"/>
          <w:lang w:val="es-ES"/>
        </w:rPr>
      </w:pPr>
      <w:r w:rsidRPr="00007FBD">
        <w:rPr>
          <w:rStyle w:val="Refdenotaalpie"/>
          <w:rFonts w:ascii="Arial" w:hAnsi="Arial" w:cs="Arial"/>
          <w:color w:val="000000" w:themeColor="text1"/>
          <w:sz w:val="19"/>
          <w:szCs w:val="19"/>
        </w:rPr>
        <w:footnoteRef/>
      </w:r>
      <w:r w:rsidRPr="00007FBD">
        <w:rPr>
          <w:rFonts w:ascii="Arial" w:hAnsi="Arial" w:cs="Arial"/>
          <w:color w:val="000000" w:themeColor="text1"/>
          <w:sz w:val="19"/>
          <w:szCs w:val="19"/>
        </w:rPr>
        <w:t xml:space="preserve"> </w:t>
      </w:r>
      <w:r w:rsidRPr="00007FBD">
        <w:rPr>
          <w:rFonts w:ascii="Arial" w:hAnsi="Arial" w:cs="Arial"/>
          <w:color w:val="000000" w:themeColor="text1"/>
          <w:sz w:val="19"/>
          <w:szCs w:val="19"/>
          <w:lang w:val="es-ES"/>
        </w:rPr>
        <w:t>En este sentido se puede ver: Alberto Montaña Plata, El concepto de servicio público en el derecho administrativo, 2ª ed., Universidad Externado de Colombia, Bogotá 2015, 83; Alberto Montaña, Alcances de la libertad económica privada en el régimen de servicios públicos introducido por la Constitución Política de 1991, Rev. Derecho del Estado 14, 2003, 197.</w:t>
      </w:r>
    </w:p>
  </w:footnote>
  <w:footnote w:id="5">
    <w:p w:rsidRPr="00007FBD" w:rsidR="00BF1C69" w:rsidP="00F42DF4" w:rsidRDefault="00BF1C69" w14:paraId="55876946" w14:textId="185C85E7">
      <w:pPr>
        <w:pStyle w:val="Textonotapie"/>
        <w:spacing w:before="0" w:after="0" w:line="240" w:lineRule="auto"/>
        <w:ind w:firstLine="709"/>
        <w:rPr>
          <w:rFonts w:ascii="Arial" w:hAnsi="Arial" w:cs="Arial"/>
          <w:color w:val="000000" w:themeColor="text1"/>
          <w:sz w:val="19"/>
          <w:szCs w:val="19"/>
        </w:rPr>
      </w:pPr>
      <w:r w:rsidRPr="00007FBD">
        <w:rPr>
          <w:rStyle w:val="Refdenotaalpie"/>
          <w:rFonts w:ascii="Arial" w:hAnsi="Arial" w:cs="Arial"/>
          <w:color w:val="000000" w:themeColor="text1"/>
          <w:sz w:val="19"/>
          <w:szCs w:val="19"/>
        </w:rPr>
        <w:footnoteRef/>
      </w:r>
      <w:r w:rsidRPr="00007FBD">
        <w:rPr>
          <w:rFonts w:ascii="Arial" w:hAnsi="Arial" w:cs="Arial"/>
          <w:color w:val="000000" w:themeColor="text1"/>
          <w:sz w:val="19"/>
          <w:szCs w:val="19"/>
        </w:rPr>
        <w:t xml:space="preserve"> El artículo citado establece: «Pueden prestar los servicios públicos:</w:t>
      </w:r>
    </w:p>
    <w:p w:rsidRPr="00007FBD" w:rsidR="00BF1C69" w:rsidP="00BE5DCB" w:rsidRDefault="00BF1C69" w14:paraId="46DE78BF" w14:textId="77777777">
      <w:pPr>
        <w:pStyle w:val="Textonotapie"/>
        <w:spacing w:before="0" w:after="0" w:line="240" w:lineRule="auto"/>
        <w:ind w:firstLine="708"/>
        <w:rPr>
          <w:rFonts w:ascii="Arial" w:hAnsi="Arial" w:cs="Arial"/>
          <w:color w:val="000000" w:themeColor="text1"/>
          <w:sz w:val="19"/>
          <w:szCs w:val="19"/>
        </w:rPr>
      </w:pPr>
      <w:r w:rsidRPr="00007FBD">
        <w:rPr>
          <w:rFonts w:ascii="Arial" w:hAnsi="Arial" w:cs="Arial"/>
          <w:color w:val="000000" w:themeColor="text1"/>
          <w:sz w:val="19"/>
          <w:szCs w:val="19"/>
        </w:rPr>
        <w:t>»15.1. Las empresas de servicios públicos.</w:t>
      </w:r>
    </w:p>
    <w:p w:rsidRPr="00007FBD" w:rsidR="00BF1C69" w:rsidP="00BE5DCB" w:rsidRDefault="00BF1C69" w14:paraId="5FCB1AD1" w14:textId="77777777">
      <w:pPr>
        <w:pStyle w:val="Textonotapie"/>
        <w:spacing w:before="0" w:after="0" w:line="240" w:lineRule="auto"/>
        <w:ind w:firstLine="708"/>
        <w:rPr>
          <w:rFonts w:ascii="Arial" w:hAnsi="Arial" w:cs="Arial"/>
          <w:color w:val="000000" w:themeColor="text1"/>
          <w:sz w:val="19"/>
          <w:szCs w:val="19"/>
        </w:rPr>
      </w:pPr>
      <w:r w:rsidRPr="00007FBD">
        <w:rPr>
          <w:rFonts w:ascii="Arial" w:hAnsi="Arial" w:cs="Arial"/>
          <w:color w:val="000000" w:themeColor="text1"/>
          <w:sz w:val="19"/>
          <w:szCs w:val="19"/>
        </w:rPr>
        <w:t>»15.2. Las personas naturales o jurídicas que produzcan para ellas mismas, o como</w:t>
      </w:r>
    </w:p>
    <w:p w:rsidRPr="00007FBD" w:rsidR="00BF1C69" w:rsidP="00F42DF4" w:rsidRDefault="00BF1C69" w14:paraId="1777D76C" w14:textId="7636A4BF">
      <w:pPr>
        <w:pStyle w:val="Textonotapie"/>
        <w:spacing w:before="0" w:after="0" w:line="240" w:lineRule="auto"/>
        <w:rPr>
          <w:rFonts w:ascii="Arial" w:hAnsi="Arial" w:cs="Arial"/>
          <w:color w:val="000000" w:themeColor="text1"/>
          <w:sz w:val="19"/>
          <w:szCs w:val="19"/>
        </w:rPr>
      </w:pPr>
      <w:r w:rsidRPr="00007FBD">
        <w:rPr>
          <w:rFonts w:ascii="Arial" w:hAnsi="Arial" w:cs="Arial"/>
          <w:color w:val="000000" w:themeColor="text1"/>
          <w:sz w:val="19"/>
          <w:szCs w:val="19"/>
        </w:rPr>
        <w:t>consecuencia o complemento de su actividad principal, los bienes y servicios propios del objeto de las empresas de servicios públicos.</w:t>
      </w:r>
    </w:p>
    <w:p w:rsidRPr="00007FBD" w:rsidR="00BF1C69" w:rsidP="00BE5DCB" w:rsidRDefault="00BF1C69" w14:paraId="6B8FFBAF" w14:textId="77777777">
      <w:pPr>
        <w:pStyle w:val="Textonotapie"/>
        <w:spacing w:before="0" w:after="0" w:line="240" w:lineRule="auto"/>
        <w:ind w:firstLine="708"/>
        <w:rPr>
          <w:rFonts w:ascii="Arial" w:hAnsi="Arial" w:cs="Arial"/>
          <w:color w:val="000000" w:themeColor="text1"/>
          <w:sz w:val="19"/>
          <w:szCs w:val="19"/>
        </w:rPr>
      </w:pPr>
      <w:r w:rsidRPr="00007FBD">
        <w:rPr>
          <w:rFonts w:ascii="Arial" w:hAnsi="Arial" w:cs="Arial"/>
          <w:color w:val="000000" w:themeColor="text1"/>
          <w:sz w:val="19"/>
          <w:szCs w:val="19"/>
        </w:rPr>
        <w:t>»15.3. Los municipios cuando asuman en forma directa, a través de su administración central, la</w:t>
      </w:r>
    </w:p>
    <w:p w:rsidRPr="00007FBD" w:rsidR="00BF1C69" w:rsidP="00F42DF4" w:rsidRDefault="00BF1C69" w14:paraId="0DB76449" w14:textId="77777777">
      <w:pPr>
        <w:pStyle w:val="Textonotapie"/>
        <w:spacing w:before="0" w:after="0" w:line="240" w:lineRule="auto"/>
        <w:rPr>
          <w:rFonts w:ascii="Arial" w:hAnsi="Arial" w:cs="Arial"/>
          <w:color w:val="000000" w:themeColor="text1"/>
          <w:sz w:val="19"/>
          <w:szCs w:val="19"/>
        </w:rPr>
      </w:pPr>
      <w:r w:rsidRPr="00007FBD">
        <w:rPr>
          <w:rFonts w:ascii="Arial" w:hAnsi="Arial" w:cs="Arial"/>
          <w:color w:val="000000" w:themeColor="text1"/>
          <w:sz w:val="19"/>
          <w:szCs w:val="19"/>
        </w:rPr>
        <w:t>prestación de los servicios públicos, conforme a lo dispuesto en esta Ley.</w:t>
      </w:r>
    </w:p>
    <w:p w:rsidRPr="00007FBD" w:rsidR="00BF1C69" w:rsidP="00BE5DCB" w:rsidRDefault="00BF1C69" w14:paraId="3A2BCA8D" w14:textId="7BF04598">
      <w:pPr>
        <w:pStyle w:val="Textonotapie"/>
        <w:spacing w:before="0" w:after="0" w:line="240" w:lineRule="auto"/>
        <w:ind w:firstLine="708"/>
        <w:rPr>
          <w:rFonts w:ascii="Arial" w:hAnsi="Arial" w:cs="Arial"/>
          <w:color w:val="000000" w:themeColor="text1"/>
          <w:sz w:val="19"/>
          <w:szCs w:val="19"/>
        </w:rPr>
      </w:pPr>
      <w:r w:rsidRPr="00007FBD">
        <w:rPr>
          <w:rFonts w:ascii="Arial" w:hAnsi="Arial" w:cs="Arial"/>
          <w:color w:val="000000" w:themeColor="text1"/>
          <w:sz w:val="19"/>
          <w:szCs w:val="19"/>
        </w:rPr>
        <w:t>»15.4. Las organizaciones autorizadas conforme a esta Ley para prestar servicios públicos en municipios menores en zonas rurales y en áreas o zonas urbanas específicas.</w:t>
      </w:r>
    </w:p>
    <w:p w:rsidRPr="00007FBD" w:rsidR="00BF1C69" w:rsidP="00BE5DCB" w:rsidRDefault="00BF1C69" w14:paraId="3832C03A" w14:textId="72660E30">
      <w:pPr>
        <w:pStyle w:val="Textonotapie"/>
        <w:spacing w:before="0" w:after="0" w:line="240" w:lineRule="auto"/>
        <w:ind w:firstLine="708"/>
        <w:rPr>
          <w:rFonts w:ascii="Arial" w:hAnsi="Arial" w:cs="Arial"/>
          <w:color w:val="000000" w:themeColor="text1"/>
          <w:sz w:val="19"/>
          <w:szCs w:val="19"/>
        </w:rPr>
      </w:pPr>
      <w:r w:rsidRPr="00007FBD">
        <w:rPr>
          <w:rFonts w:ascii="Arial" w:hAnsi="Arial" w:cs="Arial"/>
          <w:color w:val="000000" w:themeColor="text1"/>
          <w:sz w:val="19"/>
          <w:szCs w:val="19"/>
        </w:rPr>
        <w:t>»15.5. Las entidades autorizadas para prestar servicios públicos durante los períodos de transición previstos en esta Ley.</w:t>
      </w:r>
    </w:p>
    <w:p w:rsidRPr="00007FBD" w:rsidR="00BF1C69" w:rsidP="00BE5DCB" w:rsidRDefault="00BF1C69" w14:paraId="0E054239" w14:textId="77777777">
      <w:pPr>
        <w:pStyle w:val="Textonotapie"/>
        <w:spacing w:before="0" w:after="0" w:line="240" w:lineRule="auto"/>
        <w:ind w:firstLine="708"/>
        <w:rPr>
          <w:rFonts w:ascii="Arial" w:hAnsi="Arial" w:cs="Arial"/>
          <w:color w:val="000000" w:themeColor="text1"/>
          <w:sz w:val="19"/>
          <w:szCs w:val="19"/>
        </w:rPr>
      </w:pPr>
      <w:r w:rsidRPr="00007FBD">
        <w:rPr>
          <w:rFonts w:ascii="Arial" w:hAnsi="Arial" w:cs="Arial"/>
          <w:color w:val="000000" w:themeColor="text1"/>
          <w:sz w:val="19"/>
          <w:szCs w:val="19"/>
        </w:rPr>
        <w:t>»15.6. Las entidades descentralizadas de cualquier orden territorial o nacional que al momento</w:t>
      </w:r>
    </w:p>
    <w:p w:rsidRPr="00007FBD" w:rsidR="00BF1C69" w:rsidP="00F42DF4" w:rsidRDefault="00BF1C69" w14:paraId="686EA5B1" w14:textId="2F4B54D3">
      <w:pPr>
        <w:pStyle w:val="Textonotapie"/>
        <w:spacing w:before="0" w:after="0" w:line="240" w:lineRule="auto"/>
        <w:rPr>
          <w:rFonts w:ascii="Arial" w:hAnsi="Arial" w:cs="Arial"/>
          <w:color w:val="000000" w:themeColor="text1"/>
          <w:sz w:val="19"/>
          <w:szCs w:val="19"/>
        </w:rPr>
      </w:pPr>
      <w:r w:rsidRPr="00007FBD">
        <w:rPr>
          <w:rFonts w:ascii="Arial" w:hAnsi="Arial" w:cs="Arial"/>
          <w:color w:val="000000" w:themeColor="text1"/>
          <w:sz w:val="19"/>
          <w:szCs w:val="19"/>
        </w:rPr>
        <w:t>de expedirse esta Ley estén prestando cualquiera de los servicios públicos y se ajusten a lo establecido en el parágrafo del artículo 17».</w:t>
      </w:r>
    </w:p>
  </w:footnote>
  <w:footnote w:id="6">
    <w:p w:rsidR="00BF1C69" w:rsidP="00F42DF4" w:rsidRDefault="00BF1C69" w14:paraId="22B463E5" w14:textId="1DA373C1">
      <w:pPr>
        <w:pStyle w:val="Textonotapie"/>
        <w:spacing w:before="0" w:after="0" w:line="240" w:lineRule="auto"/>
        <w:ind w:firstLine="709"/>
        <w:rPr>
          <w:rFonts w:ascii="Arial" w:hAnsi="Arial" w:cs="Arial"/>
          <w:color w:val="000000" w:themeColor="text1"/>
          <w:sz w:val="19"/>
          <w:szCs w:val="19"/>
          <w:lang w:val="es-ES"/>
        </w:rPr>
      </w:pPr>
      <w:r w:rsidRPr="00007FBD">
        <w:rPr>
          <w:rStyle w:val="Refdenotaalpie"/>
          <w:rFonts w:ascii="Arial" w:hAnsi="Arial" w:cs="Arial"/>
          <w:color w:val="000000" w:themeColor="text1"/>
          <w:sz w:val="19"/>
          <w:szCs w:val="19"/>
        </w:rPr>
        <w:footnoteRef/>
      </w:r>
      <w:r w:rsidRPr="00007FBD">
        <w:rPr>
          <w:rFonts w:ascii="Arial" w:hAnsi="Arial" w:cs="Arial"/>
          <w:color w:val="000000" w:themeColor="text1"/>
          <w:sz w:val="19"/>
          <w:szCs w:val="19"/>
          <w:lang w:val="es-ES"/>
        </w:rPr>
        <w:t xml:space="preserve"> Sentencia de la Corte Constitucional C-736 de 2007.</w:t>
      </w:r>
    </w:p>
    <w:p w:rsidRPr="00007FBD" w:rsidR="00614A3A" w:rsidP="00F42DF4" w:rsidRDefault="00614A3A" w14:paraId="229C6564" w14:textId="77777777">
      <w:pPr>
        <w:pStyle w:val="Textonotapie"/>
        <w:spacing w:before="0" w:after="0" w:line="240" w:lineRule="auto"/>
        <w:ind w:firstLine="709"/>
        <w:rPr>
          <w:rFonts w:ascii="Arial" w:hAnsi="Arial" w:cs="Arial"/>
          <w:color w:val="000000" w:themeColor="text1"/>
          <w:sz w:val="19"/>
          <w:szCs w:val="19"/>
          <w:lang w:val="es-ES"/>
        </w:rPr>
      </w:pPr>
    </w:p>
  </w:footnote>
  <w:footnote w:id="7">
    <w:p w:rsidRPr="00007FBD" w:rsidR="00BF1C69" w:rsidP="00BE5DCB" w:rsidRDefault="00BF1C69" w14:paraId="2E6E9F41" w14:textId="0B74BB14">
      <w:pPr>
        <w:pStyle w:val="Textonotapie"/>
        <w:spacing w:before="0" w:line="240" w:lineRule="auto"/>
        <w:ind w:firstLine="709"/>
        <w:rPr>
          <w:rFonts w:ascii="Arial" w:hAnsi="Arial" w:cs="Arial"/>
          <w:sz w:val="19"/>
          <w:szCs w:val="19"/>
        </w:rPr>
      </w:pPr>
      <w:r w:rsidRPr="00007FBD">
        <w:rPr>
          <w:rStyle w:val="Refdenotaalpie"/>
          <w:rFonts w:ascii="Arial" w:hAnsi="Arial" w:cs="Arial"/>
          <w:sz w:val="19"/>
          <w:szCs w:val="19"/>
        </w:rPr>
        <w:footnoteRef/>
      </w:r>
      <w:r w:rsidRPr="00007FBD">
        <w:rPr>
          <w:rFonts w:ascii="Arial" w:hAnsi="Arial" w:cs="Arial"/>
          <w:sz w:val="19"/>
          <w:szCs w:val="19"/>
        </w:rPr>
        <w:t xml:space="preserve"> En consecuencia, en la sentencia C-736 de 2007, Corte explica lo siguiente: «Ahora bien, la vinculación de las sociedades de economía mixta a la Rama Ejecutiva, y su condición de entidades descentralizadas, implica consecuencias que emergen de la propia Constitución cuales son particularmente las siguientes: (i) que están sujetas  un control fiscal en cabeza de la Contraloría General de la República, que toma pie en lo reglado por el artículo 267 de la Constitución, y que incluye el ejercicio de un control financiero, de gestión y de resultados;  (ii) que están sujetas a  un control político, que ejerce directamente el Congreso de la República en virtud de lo reglado por el último inciso del artículo 208 de la Constitución Política. (iii) que de conformidad con lo prescrito por el artículo 150 numeral 7, según el cual al Congreso le corresponde “crear o autorizar la constitución de … sociedades de economía mixta” del orden nacional, su creación o autorización tiene que producirse mediante ley.  Correlativamente, en los órdenes departamental y municipal esta misma facultad se le reconoce a las asambleas y concejos, según  lo prescriben lo artículos 300 numeral 78 y 313 numeral 6, respectivamente, por cual en dichos niveles las empresas de servicios públicos que asumieran la forma de sociedades de economía mixta deben ser creadas o autorizadas mediante ordenanza o acuerdo, según sea el caso; (iv) que les son aplicables las  inhabilidades para la integración de órganos directivos  a que aluden los artículos 180-3, 292 y 323 de la Carta; (v) que en materia presupuestal quedan sujetas a las reglas de la ley orgánica del presupuesto; (vi) que en materia contable quedan sujetas a las reglas de contabilidad oficial».</w:t>
      </w:r>
    </w:p>
  </w:footnote>
  <w:footnote w:id="8">
    <w:p w:rsidRPr="00045152" w:rsidR="00BF1C69" w:rsidP="00D36A4D" w:rsidRDefault="00BF1C69" w14:paraId="08A6E6A2" w14:textId="05EA9585">
      <w:pPr>
        <w:pStyle w:val="Textonotapie"/>
        <w:spacing w:before="0" w:after="0" w:line="240" w:lineRule="auto"/>
        <w:ind w:firstLine="709"/>
        <w:rPr>
          <w:rFonts w:ascii="Arial" w:hAnsi="Arial" w:cs="Arial"/>
          <w:sz w:val="19"/>
          <w:szCs w:val="19"/>
        </w:rPr>
      </w:pPr>
      <w:r w:rsidRPr="00045152">
        <w:rPr>
          <w:rStyle w:val="Refdenotaalpie"/>
          <w:rFonts w:ascii="Arial" w:hAnsi="Arial" w:cs="Arial"/>
          <w:sz w:val="19"/>
          <w:szCs w:val="19"/>
        </w:rPr>
        <w:footnoteRef/>
      </w:r>
      <w:r w:rsidRPr="00045152">
        <w:rPr>
          <w:rFonts w:ascii="Arial" w:hAnsi="Arial" w:cs="Arial"/>
          <w:sz w:val="19"/>
          <w:szCs w:val="19"/>
        </w:rPr>
        <w:t xml:space="preserve"> El artículo 31 de la Ley 142 de 1994 expresamente estableció que los contratos de «las entidades estatales que prestan los servicios públicos a los que se refiere esta ley no estarán sujetos a las disposiciones del Estatuto General de Contratación de la Administración Pública, salvo en lo que la presente ley disponga otra cosa […]».</w:t>
      </w:r>
    </w:p>
    <w:p w:rsidR="00BF1C69" w:rsidP="00045152" w:rsidRDefault="00BF1C69" w14:paraId="32416978" w14:textId="72B1FB67">
      <w:pPr>
        <w:pStyle w:val="Textonotapie"/>
        <w:spacing w:before="0" w:after="0" w:line="240" w:lineRule="auto"/>
        <w:ind w:firstLine="709"/>
        <w:rPr>
          <w:rFonts w:ascii="Arial" w:hAnsi="Arial" w:cs="Arial"/>
          <w:sz w:val="19"/>
          <w:szCs w:val="19"/>
        </w:rPr>
      </w:pPr>
      <w:r>
        <w:rPr>
          <w:rFonts w:ascii="Arial" w:hAnsi="Arial" w:cs="Arial"/>
          <w:sz w:val="19"/>
          <w:szCs w:val="19"/>
        </w:rPr>
        <w:t>E</w:t>
      </w:r>
      <w:r w:rsidRPr="00D36A4D">
        <w:rPr>
          <w:rFonts w:ascii="Arial" w:hAnsi="Arial" w:cs="Arial"/>
          <w:sz w:val="19"/>
          <w:szCs w:val="19"/>
        </w:rPr>
        <w:t xml:space="preserve">l artículo 32 de la Ley 142 de 1994, </w:t>
      </w:r>
      <w:r>
        <w:rPr>
          <w:rFonts w:ascii="Arial" w:hAnsi="Arial" w:cs="Arial"/>
          <w:sz w:val="19"/>
          <w:szCs w:val="19"/>
        </w:rPr>
        <w:t>estableció que</w:t>
      </w:r>
      <w:r w:rsidRPr="00D36A4D">
        <w:rPr>
          <w:rFonts w:ascii="Arial" w:hAnsi="Arial" w:cs="Arial"/>
          <w:sz w:val="19"/>
          <w:szCs w:val="19"/>
        </w:rPr>
        <w:t xml:space="preserve"> «los actos de todas las empresas de servicios públicos […] se regirán exclusivamente por las reglas del derecho privado», lo anterior también con la claridad de que ese régimen de Derecho Privado será aplicable «[s]alvo en cuanto la Constitución Política o esta Ley dispongan expresamente lo contrario, la constitución […]».</w:t>
      </w:r>
    </w:p>
    <w:p w:rsidRPr="00045152" w:rsidR="00BF1C69" w:rsidP="00045152" w:rsidRDefault="00BF1C69" w14:paraId="5AF7FFEB" w14:textId="77777777">
      <w:pPr>
        <w:pStyle w:val="Textonotapie"/>
        <w:spacing w:before="0" w:after="0" w:line="240" w:lineRule="auto"/>
        <w:ind w:firstLine="709"/>
        <w:rPr>
          <w:rFonts w:ascii="Arial" w:hAnsi="Arial" w:cs="Arial"/>
          <w:sz w:val="19"/>
          <w:szCs w:val="19"/>
        </w:rPr>
      </w:pPr>
    </w:p>
  </w:footnote>
  <w:footnote w:id="9">
    <w:p w:rsidRPr="00045152" w:rsidR="00BF1C69" w:rsidP="00045152" w:rsidRDefault="00BF1C69" w14:paraId="55DCDE4D" w14:textId="77777777">
      <w:pPr>
        <w:pStyle w:val="Textonotapie"/>
        <w:spacing w:before="0" w:after="0" w:line="240" w:lineRule="auto"/>
        <w:ind w:firstLine="708"/>
        <w:rPr>
          <w:rFonts w:ascii="Arial" w:hAnsi="Arial" w:cs="Arial"/>
          <w:sz w:val="19"/>
          <w:szCs w:val="19"/>
        </w:rPr>
      </w:pPr>
      <w:r w:rsidRPr="00045152">
        <w:rPr>
          <w:rStyle w:val="Refdenotaalpie"/>
          <w:rFonts w:ascii="Arial" w:hAnsi="Arial" w:cs="Arial"/>
          <w:sz w:val="19"/>
          <w:szCs w:val="19"/>
        </w:rPr>
        <w:footnoteRef/>
      </w:r>
      <w:r w:rsidRPr="00045152">
        <w:rPr>
          <w:rFonts w:ascii="Arial" w:hAnsi="Arial" w:cs="Arial"/>
          <w:sz w:val="19"/>
          <w:szCs w:val="19"/>
        </w:rPr>
        <w:t xml:space="preserve"> Esta norma literalmente establece lo siguiente: «Artículo 13. Principios generales de la actividad contractual para entidades no sometidas al estatuto general de contratación de la administración pública.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  </w:t>
      </w:r>
    </w:p>
  </w:footnote>
  <w:footnote w:id="10">
    <w:p w:rsidRPr="00007FBD" w:rsidR="00BF1C69" w:rsidP="00F42DF4" w:rsidRDefault="00BF1C69" w14:paraId="7F83E2B4" w14:textId="77777777">
      <w:pPr>
        <w:pStyle w:val="Textonotapie"/>
        <w:spacing w:before="0" w:after="0" w:line="240" w:lineRule="auto"/>
        <w:ind w:firstLine="709"/>
        <w:rPr>
          <w:rFonts w:ascii="Arial" w:hAnsi="Arial" w:cs="Arial"/>
          <w:color w:val="000000" w:themeColor="text1"/>
          <w:sz w:val="19"/>
          <w:szCs w:val="19"/>
          <w:shd w:val="clear" w:color="auto" w:fill="FFFFFF"/>
        </w:rPr>
      </w:pPr>
      <w:r w:rsidRPr="00007FBD">
        <w:rPr>
          <w:rStyle w:val="Refdenotaalpie"/>
          <w:rFonts w:ascii="Arial" w:hAnsi="Arial" w:cs="Arial"/>
          <w:color w:val="000000" w:themeColor="text1"/>
          <w:sz w:val="19"/>
          <w:szCs w:val="19"/>
        </w:rPr>
        <w:footnoteRef/>
      </w:r>
      <w:r w:rsidRPr="00007FBD">
        <w:rPr>
          <w:rFonts w:ascii="Arial" w:hAnsi="Arial" w:cs="Arial"/>
          <w:color w:val="000000" w:themeColor="text1"/>
          <w:sz w:val="19"/>
          <w:szCs w:val="19"/>
        </w:rPr>
        <w:t xml:space="preserve"> </w:t>
      </w:r>
      <w:r w:rsidRPr="00007FBD">
        <w:rPr>
          <w:rFonts w:ascii="Arial" w:hAnsi="Arial" w:cs="Arial"/>
          <w:b/>
          <w:color w:val="000000" w:themeColor="text1"/>
          <w:sz w:val="19"/>
          <w:szCs w:val="19"/>
        </w:rPr>
        <w:t>«</w:t>
      </w:r>
      <w:r w:rsidRPr="00007FBD">
        <w:rPr>
          <w:rStyle w:val="Textoennegrita"/>
          <w:rFonts w:ascii="Arial" w:hAnsi="Arial" w:cs="Arial"/>
          <w:b w:val="0"/>
          <w:bCs w:val="0"/>
          <w:color w:val="000000" w:themeColor="text1"/>
          <w:sz w:val="19"/>
          <w:szCs w:val="19"/>
          <w:shd w:val="clear" w:color="auto" w:fill="FFFFFF"/>
        </w:rPr>
        <w:t>Artículo 2.2.1.1.1.3.1.</w:t>
      </w:r>
      <w:r w:rsidRPr="00007FBD">
        <w:rPr>
          <w:rStyle w:val="Textoennegrita"/>
          <w:rFonts w:ascii="Arial" w:hAnsi="Arial" w:cs="Arial"/>
          <w:color w:val="000000" w:themeColor="text1"/>
          <w:sz w:val="19"/>
          <w:szCs w:val="19"/>
          <w:shd w:val="clear" w:color="auto" w:fill="FFFFFF"/>
        </w:rPr>
        <w:t> </w:t>
      </w:r>
      <w:r w:rsidRPr="00007FBD">
        <w:rPr>
          <w:rStyle w:val="nfasis"/>
          <w:rFonts w:ascii="Arial" w:hAnsi="Arial" w:cs="Arial"/>
          <w:color w:val="000000" w:themeColor="text1"/>
          <w:sz w:val="19"/>
          <w:szCs w:val="19"/>
          <w:shd w:val="clear" w:color="auto" w:fill="FFFFFF"/>
        </w:rPr>
        <w:t>Definiciones. </w:t>
      </w:r>
      <w:r w:rsidRPr="00007FBD">
        <w:rPr>
          <w:rFonts w:ascii="Arial" w:hAnsi="Arial" w:cs="Arial"/>
          <w:color w:val="000000" w:themeColor="text1"/>
          <w:sz w:val="19"/>
          <w:szCs w:val="19"/>
          <w:shd w:val="clear" w:color="auto" w:fill="FFFFFF"/>
        </w:rPr>
        <w:t>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p>
    <w:p w:rsidRPr="00007FBD" w:rsidR="00BF1C69" w:rsidP="00F42DF4" w:rsidRDefault="00BF1C69" w14:paraId="019D1C24" w14:textId="77777777">
      <w:pPr>
        <w:pStyle w:val="Textonotapie"/>
        <w:spacing w:before="0" w:after="0" w:line="240" w:lineRule="auto"/>
        <w:ind w:firstLine="709"/>
        <w:rPr>
          <w:rFonts w:ascii="Arial" w:hAnsi="Arial" w:cs="Arial"/>
          <w:color w:val="000000" w:themeColor="text1"/>
          <w:sz w:val="19"/>
          <w:szCs w:val="19"/>
          <w:shd w:val="clear" w:color="auto" w:fill="FFFFFF"/>
        </w:rPr>
      </w:pPr>
      <w:r w:rsidRPr="00007FBD">
        <w:rPr>
          <w:rFonts w:ascii="Arial" w:hAnsi="Arial" w:cs="Arial"/>
          <w:color w:val="000000" w:themeColor="text1"/>
          <w:sz w:val="19"/>
          <w:szCs w:val="19"/>
          <w:shd w:val="clear" w:color="auto" w:fill="FFFFFF"/>
        </w:rPr>
        <w:t>[…]</w:t>
      </w:r>
    </w:p>
    <w:p w:rsidRPr="00007FBD" w:rsidR="00BF1C69" w:rsidP="00F42DF4" w:rsidRDefault="00BF1C69" w14:paraId="034D313A" w14:textId="77777777">
      <w:pPr>
        <w:pStyle w:val="NormalWeb"/>
        <w:shd w:val="clear" w:color="auto" w:fill="FFFFFF"/>
        <w:spacing w:before="0" w:beforeAutospacing="0" w:after="0" w:afterAutospacing="0" w:line="240" w:lineRule="auto"/>
        <w:ind w:firstLine="709"/>
        <w:rPr>
          <w:rFonts w:ascii="Arial" w:hAnsi="Arial" w:cs="Arial"/>
          <w:color w:val="000000" w:themeColor="text1"/>
          <w:sz w:val="19"/>
          <w:szCs w:val="19"/>
        </w:rPr>
      </w:pPr>
      <w:r w:rsidRPr="00007FBD">
        <w:rPr>
          <w:rStyle w:val="nfasis"/>
          <w:rFonts w:ascii="Arial" w:hAnsi="Arial" w:cs="Arial"/>
          <w:color w:val="000000" w:themeColor="text1"/>
          <w:sz w:val="19"/>
          <w:szCs w:val="19"/>
        </w:rPr>
        <w:t>»Plan Anual de Adquisiciones: </w:t>
      </w:r>
      <w:r w:rsidRPr="00007FBD">
        <w:rPr>
          <w:rFonts w:ascii="Arial" w:hAnsi="Arial" w:cs="Arial"/>
          <w:color w:val="000000" w:themeColor="text1"/>
          <w:sz w:val="19"/>
          <w:szCs w:val="19"/>
        </w:rPr>
        <w:t>Plan general de compras al que se refiere el </w:t>
      </w:r>
      <w:hyperlink w:history="1" r:id="rId1">
        <w:r w:rsidRPr="00007FBD">
          <w:rPr>
            <w:rStyle w:val="Hipervnculo"/>
            <w:rFonts w:ascii="Arial" w:hAnsi="Arial" w:cs="Arial"/>
            <w:color w:val="000000" w:themeColor="text1"/>
            <w:sz w:val="19"/>
            <w:szCs w:val="19"/>
            <w:u w:val="none"/>
          </w:rPr>
          <w:t>artículo 74 de la Ley 1474 de 2011</w:t>
        </w:r>
      </w:hyperlink>
      <w:r w:rsidRPr="00007FBD">
        <w:rPr>
          <w:rFonts w:ascii="Arial" w:hAnsi="Arial" w:cs="Arial"/>
          <w:color w:val="000000" w:themeColor="text1"/>
          <w:sz w:val="19"/>
          <w:szCs w:val="19"/>
        </w:rPr>
        <w:t> y el plan de compras al que se refiere la Ley Anual de Presupuesto. Es un instrumento de planeación contractual que las Entidades Estatales deben diligenciar, publicar y actualizar en los términos del presente título».</w:t>
      </w:r>
    </w:p>
    <w:p w:rsidRPr="00007FBD" w:rsidR="00BF1C69" w:rsidP="00150EAF" w:rsidRDefault="00BF1C69" w14:paraId="42178A13" w14:textId="77777777">
      <w:pPr>
        <w:pStyle w:val="Textonotapie"/>
        <w:spacing w:before="0" w:after="0" w:line="240" w:lineRule="auto"/>
        <w:rPr>
          <w:rFonts w:ascii="Arial" w:hAnsi="Arial" w:cs="Arial"/>
          <w:color w:val="000000" w:themeColor="text1"/>
          <w:sz w:val="19"/>
          <w:szCs w:val="19"/>
          <w:lang w:val="es-CO"/>
        </w:rPr>
      </w:pPr>
    </w:p>
  </w:footnote>
  <w:footnote w:id="11">
    <w:p w:rsidRPr="00007FBD" w:rsidR="00BF1C69" w:rsidP="005D516F" w:rsidRDefault="00BF1C69" w14:paraId="4A72F640" w14:textId="77777777">
      <w:pPr>
        <w:pStyle w:val="NormalWeb"/>
        <w:shd w:val="clear" w:color="auto" w:fill="FFFFFF"/>
        <w:spacing w:before="0" w:beforeAutospacing="0" w:after="0" w:afterAutospacing="0" w:line="240" w:lineRule="auto"/>
        <w:ind w:firstLine="709"/>
        <w:rPr>
          <w:rStyle w:val="nfasis"/>
          <w:rFonts w:ascii="Arial" w:hAnsi="Arial" w:cs="Arial"/>
          <w:i w:val="0"/>
          <w:iCs w:val="0"/>
          <w:color w:val="000000" w:themeColor="text1"/>
          <w:sz w:val="19"/>
          <w:szCs w:val="19"/>
        </w:rPr>
      </w:pPr>
      <w:r w:rsidRPr="00007FBD">
        <w:rPr>
          <w:rStyle w:val="Refdenotaalpie"/>
          <w:rFonts w:ascii="Arial" w:hAnsi="Arial" w:cs="Arial"/>
          <w:color w:val="000000" w:themeColor="text1"/>
          <w:sz w:val="19"/>
          <w:szCs w:val="19"/>
        </w:rPr>
        <w:footnoteRef/>
      </w:r>
      <w:r w:rsidRPr="00007FBD">
        <w:rPr>
          <w:rFonts w:ascii="Arial" w:hAnsi="Arial" w:cs="Arial"/>
          <w:color w:val="000000" w:themeColor="text1"/>
          <w:sz w:val="19"/>
          <w:szCs w:val="19"/>
        </w:rPr>
        <w:t xml:space="preserve"> </w:t>
      </w:r>
      <w:r w:rsidRPr="00007FBD">
        <w:rPr>
          <w:rFonts w:ascii="Arial" w:hAnsi="Arial" w:cs="Arial"/>
          <w:b/>
          <w:color w:val="000000" w:themeColor="text1"/>
          <w:sz w:val="19"/>
          <w:szCs w:val="19"/>
        </w:rPr>
        <w:t>«</w:t>
      </w:r>
      <w:r w:rsidRPr="00007FBD">
        <w:rPr>
          <w:rStyle w:val="nfasis"/>
          <w:rFonts w:ascii="Arial" w:hAnsi="Arial" w:cs="Arial"/>
          <w:i w:val="0"/>
          <w:iCs w:val="0"/>
          <w:color w:val="000000" w:themeColor="text1"/>
          <w:sz w:val="19"/>
          <w:szCs w:val="19"/>
        </w:rPr>
        <w:t>Todo sujeto obligado deberá publicar la siguiente información mínima obligatoria de manera proactiva en los sistemas de información del Estado o herramientas que lo sustituyan:</w:t>
      </w:r>
    </w:p>
    <w:p w:rsidRPr="00007FBD" w:rsidR="00BF1C69" w:rsidP="005D516F" w:rsidRDefault="00BF1C69" w14:paraId="375DC460" w14:textId="77777777">
      <w:pPr>
        <w:pStyle w:val="NormalWeb"/>
        <w:shd w:val="clear" w:color="auto" w:fill="FFFFFF"/>
        <w:spacing w:before="0" w:beforeAutospacing="0" w:after="0" w:afterAutospacing="0" w:line="240" w:lineRule="auto"/>
        <w:ind w:firstLine="709"/>
        <w:rPr>
          <w:rStyle w:val="nfasis"/>
          <w:rFonts w:ascii="Arial" w:hAnsi="Arial" w:cs="Arial"/>
          <w:i w:val="0"/>
          <w:iCs w:val="0"/>
          <w:color w:val="000000" w:themeColor="text1"/>
          <w:sz w:val="19"/>
          <w:szCs w:val="19"/>
        </w:rPr>
      </w:pPr>
      <w:r w:rsidRPr="00007FBD">
        <w:rPr>
          <w:rStyle w:val="nfasis"/>
          <w:rFonts w:ascii="Arial" w:hAnsi="Arial" w:cs="Arial"/>
          <w:i w:val="0"/>
          <w:iCs w:val="0"/>
          <w:color w:val="000000" w:themeColor="text1"/>
          <w:sz w:val="19"/>
          <w:szCs w:val="19"/>
        </w:rPr>
        <w:t>[…]</w:t>
      </w:r>
    </w:p>
    <w:p w:rsidRPr="00007FBD" w:rsidR="00BF1C69" w:rsidP="005D516F" w:rsidRDefault="00BF1C69" w14:paraId="23436986" w14:textId="77777777">
      <w:pPr>
        <w:pStyle w:val="NormalWeb"/>
        <w:shd w:val="clear" w:color="auto" w:fill="FFFFFF"/>
        <w:spacing w:before="0" w:beforeAutospacing="0" w:after="0" w:afterAutospacing="0" w:line="240" w:lineRule="auto"/>
        <w:ind w:firstLine="709"/>
        <w:rPr>
          <w:rStyle w:val="nfasis"/>
          <w:rFonts w:ascii="Arial" w:hAnsi="Arial" w:cs="Arial"/>
          <w:i w:val="0"/>
          <w:iCs w:val="0"/>
          <w:color w:val="000000" w:themeColor="text1"/>
          <w:sz w:val="19"/>
          <w:szCs w:val="19"/>
        </w:rPr>
      </w:pPr>
      <w:r w:rsidRPr="00007FBD">
        <w:rPr>
          <w:rStyle w:val="nfasis"/>
          <w:rFonts w:ascii="Arial" w:hAnsi="Arial" w:cs="Arial"/>
          <w:color w:val="000000" w:themeColor="text1"/>
          <w:sz w:val="19"/>
          <w:szCs w:val="19"/>
        </w:rPr>
        <w:t>»</w:t>
      </w:r>
      <w:r w:rsidRPr="00007FBD">
        <w:rPr>
          <w:rStyle w:val="nfasis"/>
          <w:rFonts w:ascii="Arial" w:hAnsi="Arial" w:cs="Arial"/>
          <w:i w:val="0"/>
          <w:iCs w:val="0"/>
          <w:color w:val="000000" w:themeColor="text1"/>
          <w:sz w:val="19"/>
          <w:szCs w:val="19"/>
        </w:rPr>
        <w:t>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74 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 […]</w:t>
      </w:r>
      <w:r w:rsidRPr="00007FBD">
        <w:rPr>
          <w:rFonts w:ascii="Arial" w:hAnsi="Arial" w:cs="Arial"/>
          <w:color w:val="000000" w:themeColor="text1"/>
          <w:sz w:val="19"/>
          <w:szCs w:val="19"/>
        </w:rPr>
        <w:t>»</w:t>
      </w:r>
      <w:r w:rsidRPr="00007FBD">
        <w:rPr>
          <w:rStyle w:val="nfasis"/>
          <w:rFonts w:ascii="Arial" w:hAnsi="Arial" w:cs="Arial"/>
          <w:i w:val="0"/>
          <w:iCs w:val="0"/>
          <w:color w:val="000000" w:themeColor="text1"/>
          <w:sz w:val="19"/>
          <w:szCs w:val="19"/>
        </w:rPr>
        <w:t>.</w:t>
      </w:r>
    </w:p>
  </w:footnote>
  <w:footnote w:id="12">
    <w:p w:rsidRPr="00007FBD" w:rsidR="00BF1C69" w:rsidP="00007FBD" w:rsidRDefault="00BF1C69" w14:paraId="609C21ED" w14:textId="1E47D1D2">
      <w:pPr>
        <w:pStyle w:val="Textonotapie"/>
        <w:spacing w:before="0" w:after="0" w:line="240" w:lineRule="auto"/>
        <w:ind w:firstLine="709"/>
        <w:rPr>
          <w:rFonts w:ascii="Arial" w:hAnsi="Arial" w:cs="Arial"/>
          <w:sz w:val="19"/>
          <w:szCs w:val="19"/>
        </w:rPr>
      </w:pPr>
      <w:r w:rsidRPr="00007FBD">
        <w:rPr>
          <w:rStyle w:val="Refdenotaalpie"/>
          <w:rFonts w:ascii="Arial" w:hAnsi="Arial" w:cs="Arial"/>
          <w:sz w:val="19"/>
          <w:szCs w:val="19"/>
        </w:rPr>
        <w:footnoteRef/>
      </w:r>
      <w:r w:rsidRPr="00007FBD">
        <w:rPr>
          <w:rFonts w:ascii="Arial" w:hAnsi="Arial" w:cs="Arial"/>
          <w:sz w:val="19"/>
          <w:szCs w:val="19"/>
        </w:rPr>
        <w:t xml:space="preserve"> El artículo 10 de este cuerpo normativo preceptúa: «Artículo 10. Publicación del Plan Anual de Adquisiciones. Los sujetos obligados que contratan con cargo a recursos públicos deben publicar en su página web y en el Secop el Plan Anual de Adquisiciones, de acuerdo con lo previsto en el artículo 74 de la Ley 1474 de 2011, el literal e) del artículo 9° de la Ley 1712 de 2014 y el Decreto 1510 de 2013, o el que lo modifique, sustituya o adicione.</w:t>
      </w:r>
    </w:p>
    <w:p w:rsidRPr="00007FBD" w:rsidR="00BF1C69" w:rsidP="00007FBD" w:rsidRDefault="00BF1C69" w14:paraId="6932A775" w14:textId="19A117EC">
      <w:pPr>
        <w:pStyle w:val="Textonotapie"/>
        <w:spacing w:before="0" w:after="0" w:line="240" w:lineRule="auto"/>
        <w:ind w:firstLine="709"/>
        <w:rPr>
          <w:rFonts w:ascii="Arial" w:hAnsi="Arial" w:cs="Arial"/>
          <w:sz w:val="19"/>
          <w:szCs w:val="19"/>
        </w:rPr>
      </w:pPr>
      <w:r>
        <w:rPr>
          <w:rFonts w:ascii="Verdana" w:hAnsi="Verdana" w:cs="Arial"/>
          <w:sz w:val="19"/>
          <w:szCs w:val="19"/>
        </w:rPr>
        <w:t>»</w:t>
      </w:r>
      <w:r w:rsidRPr="00007FBD">
        <w:rPr>
          <w:rFonts w:ascii="Arial" w:hAnsi="Arial" w:cs="Arial"/>
          <w:sz w:val="19"/>
          <w:szCs w:val="19"/>
        </w:rPr>
        <w:t xml:space="preserve">Los sujetos obligados que no contratan con cargo a recursos públicos no están obligados a publicar su Plan Anual de Adquisiciones. </w:t>
      </w:r>
    </w:p>
    <w:p w:rsidRPr="00007FBD" w:rsidR="00BF1C69" w:rsidP="00007FBD" w:rsidRDefault="00BF1C69" w14:paraId="60CE7013" w14:textId="541F8B74">
      <w:pPr>
        <w:pStyle w:val="Textonotapie"/>
        <w:spacing w:before="0" w:after="0" w:line="240" w:lineRule="auto"/>
        <w:ind w:firstLine="709"/>
        <w:rPr>
          <w:rFonts w:ascii="Arial" w:hAnsi="Arial" w:cs="Arial"/>
          <w:sz w:val="19"/>
          <w:szCs w:val="19"/>
        </w:rPr>
      </w:pPr>
      <w:r>
        <w:rPr>
          <w:rFonts w:ascii="Verdana" w:hAnsi="Verdana" w:cs="Arial"/>
          <w:sz w:val="19"/>
          <w:szCs w:val="19"/>
        </w:rPr>
        <w:t>»</w:t>
      </w:r>
      <w:r w:rsidRPr="00007FBD">
        <w:rPr>
          <w:rFonts w:ascii="Arial" w:hAnsi="Arial" w:cs="Arial"/>
          <w:sz w:val="19"/>
          <w:szCs w:val="19"/>
        </w:rPr>
        <w:t xml:space="preserve">Los sujetos obligados que contratan con cargo a recursos públicos y recursos privados, deben publicar en su página web y en el Secop el Plan Anual de Adquisiciones para los recursos de carácter público que ejecutarán en el año. </w:t>
      </w:r>
    </w:p>
    <w:p w:rsidR="00BF1C69" w:rsidP="00007FBD" w:rsidRDefault="00BF1C69" w14:paraId="50D31DBA" w14:textId="4669F062">
      <w:pPr>
        <w:pStyle w:val="Textonotapie"/>
        <w:spacing w:before="0" w:after="0" w:line="240" w:lineRule="auto"/>
        <w:ind w:firstLine="709"/>
        <w:rPr>
          <w:rFonts w:ascii="Arial" w:hAnsi="Arial" w:cs="Arial"/>
          <w:sz w:val="19"/>
          <w:szCs w:val="19"/>
        </w:rPr>
      </w:pPr>
      <w:r>
        <w:rPr>
          <w:rFonts w:ascii="Verdana" w:hAnsi="Verdana" w:cs="Arial"/>
          <w:sz w:val="19"/>
          <w:szCs w:val="19"/>
        </w:rPr>
        <w:t>»</w:t>
      </w:r>
      <w:r w:rsidRPr="00007FBD">
        <w:rPr>
          <w:rFonts w:ascii="Arial" w:hAnsi="Arial" w:cs="Arial"/>
          <w:sz w:val="19"/>
          <w:szCs w:val="19"/>
        </w:rPr>
        <w:t>Se entenderá como definición de Plan Anual de Adquisiciones respecto a todos los sujetos obligados que contratan con recursos públicos, la prevista en el artículo 3° del Decreto 1510 de 2013, o el que lo modifique, sustituya o adicione»</w:t>
      </w:r>
      <w:r>
        <w:rPr>
          <w:rFonts w:ascii="Arial" w:hAnsi="Arial" w:cs="Arial"/>
          <w:sz w:val="19"/>
          <w:szCs w:val="19"/>
        </w:rPr>
        <w:t>.</w:t>
      </w:r>
    </w:p>
    <w:p w:rsidRPr="00007FBD" w:rsidR="00BF1C69" w:rsidP="00007FBD" w:rsidRDefault="00BF1C69" w14:paraId="6937B82A" w14:textId="77777777">
      <w:pPr>
        <w:pStyle w:val="Textonotapie"/>
        <w:spacing w:before="0" w:after="0" w:line="240" w:lineRule="auto"/>
        <w:ind w:firstLine="709"/>
        <w:rPr>
          <w:rFonts w:ascii="Arial" w:hAnsi="Arial" w:cs="Arial"/>
          <w:sz w:val="19"/>
          <w:szCs w:val="19"/>
          <w:lang w:val="es-ES"/>
        </w:rPr>
      </w:pPr>
    </w:p>
  </w:footnote>
  <w:footnote w:id="13">
    <w:p w:rsidRPr="00007FBD" w:rsidR="00BF1C69" w:rsidRDefault="00BF1C69" w14:paraId="6130AC08" w14:textId="44492A13">
      <w:pPr>
        <w:pStyle w:val="Textonotapie"/>
        <w:spacing w:before="0" w:after="0" w:line="240" w:lineRule="auto"/>
        <w:ind w:firstLine="709"/>
        <w:rPr>
          <w:rFonts w:ascii="Arial" w:hAnsi="Arial" w:cs="Arial"/>
          <w:color w:val="000000" w:themeColor="text1"/>
          <w:sz w:val="19"/>
          <w:szCs w:val="19"/>
          <w:lang w:val="es-CO"/>
        </w:rPr>
      </w:pPr>
      <w:r w:rsidRPr="00007FBD">
        <w:rPr>
          <w:rStyle w:val="Refdenotaalpie"/>
          <w:rFonts w:ascii="Arial" w:hAnsi="Arial" w:cs="Arial"/>
          <w:color w:val="000000" w:themeColor="text1"/>
          <w:sz w:val="19"/>
          <w:szCs w:val="19"/>
        </w:rPr>
        <w:footnoteRef/>
      </w:r>
      <w:r w:rsidRPr="00007FBD">
        <w:rPr>
          <w:rFonts w:ascii="Arial" w:hAnsi="Arial" w:cs="Arial"/>
          <w:color w:val="000000" w:themeColor="text1"/>
          <w:sz w:val="19"/>
          <w:szCs w:val="19"/>
        </w:rPr>
        <w:t xml:space="preserve"> Consejo de Estado. Sección Tercera. Subsección C. Auto del 14 de agosto de 2017. Exp. 58.820. C.P. Jaime Orlando Santofimio Gamboa. </w:t>
      </w:r>
    </w:p>
  </w:footnote>
  <w:footnote w:id="14">
    <w:p w:rsidRPr="00007FBD" w:rsidR="00197ADB" w:rsidP="00197ADB" w:rsidRDefault="00197ADB" w14:paraId="184E935B" w14:textId="77777777">
      <w:pPr>
        <w:pStyle w:val="Textonotapie"/>
        <w:spacing w:before="0" w:after="0" w:line="240" w:lineRule="auto"/>
        <w:ind w:firstLine="709"/>
        <w:rPr>
          <w:rFonts w:ascii="Arial" w:hAnsi="Arial" w:cs="Arial"/>
          <w:color w:val="000000" w:themeColor="text1"/>
          <w:sz w:val="19"/>
          <w:szCs w:val="19"/>
          <w:lang w:val="es-ES"/>
        </w:rPr>
      </w:pPr>
      <w:r w:rsidRPr="00007FBD">
        <w:rPr>
          <w:rStyle w:val="Refdenotaalpie"/>
          <w:rFonts w:ascii="Arial" w:hAnsi="Arial" w:cs="Arial"/>
          <w:color w:val="000000" w:themeColor="text1"/>
          <w:sz w:val="19"/>
          <w:szCs w:val="19"/>
        </w:rPr>
        <w:footnoteRef/>
      </w:r>
      <w:r w:rsidRPr="00007FBD">
        <w:rPr>
          <w:rFonts w:ascii="Arial" w:hAnsi="Arial" w:cs="Arial"/>
          <w:color w:val="000000" w:themeColor="text1"/>
          <w:sz w:val="19"/>
          <w:szCs w:val="19"/>
        </w:rPr>
        <w:t xml:space="preserve"> </w:t>
      </w:r>
      <w:r w:rsidRPr="00007FBD">
        <w:rPr>
          <w:rFonts w:ascii="Arial" w:hAnsi="Arial" w:cs="Arial"/>
          <w:color w:val="000000" w:themeColor="text1"/>
          <w:sz w:val="19"/>
          <w:szCs w:val="19"/>
          <w:lang w:val="es-ES"/>
        </w:rPr>
        <w:t xml:space="preserve">Sentencia de la Corte Constitucional C-736 de 2007. </w:t>
      </w:r>
    </w:p>
  </w:footnote>
  <w:footnote w:id="15">
    <w:p w:rsidRPr="00C075BE" w:rsidR="00C075BE" w:rsidP="00C075BE" w:rsidRDefault="00C075BE" w14:paraId="48938363" w14:textId="77777777">
      <w:pPr>
        <w:pStyle w:val="Textonotapie"/>
        <w:spacing w:before="0" w:after="0" w:line="240" w:lineRule="auto"/>
        <w:ind w:firstLine="709"/>
        <w:rPr>
          <w:rFonts w:ascii="Arial" w:hAnsi="Arial" w:cs="Arial"/>
          <w:sz w:val="19"/>
          <w:szCs w:val="19"/>
        </w:rPr>
      </w:pPr>
      <w:r w:rsidRPr="00C075BE">
        <w:rPr>
          <w:rStyle w:val="Refdenotaalpie"/>
          <w:rFonts w:ascii="Arial" w:hAnsi="Arial" w:cs="Arial"/>
          <w:sz w:val="19"/>
          <w:szCs w:val="19"/>
        </w:rPr>
        <w:footnoteRef/>
      </w:r>
      <w:r w:rsidRPr="00C075BE">
        <w:rPr>
          <w:rFonts w:ascii="Arial" w:hAnsi="Arial" w:cs="Arial"/>
          <w:sz w:val="19"/>
          <w:szCs w:val="19"/>
        </w:rPr>
        <w:t xml:space="preserve"> El artículo 2.2.1.2.5.1. del Decreto 1082 de 2015 preceptúa: «Artículo 2.2.1.2.5.1. Implementación del modelo de Plan Anual de Adquisiciones. Colombia Compra Eficiente debe establecer los lineamientos y diseñará e implementará el formato que debe ser utilizado por las Entidades Estatales para elaborar el Plan Anual de Adquisiciones».</w:t>
      </w:r>
    </w:p>
    <w:p w:rsidRPr="00C075BE" w:rsidR="00C075BE" w:rsidP="00C075BE" w:rsidRDefault="00C075BE" w14:paraId="5E244F92" w14:textId="77777777">
      <w:pPr>
        <w:pStyle w:val="Textonotapie"/>
        <w:spacing w:before="0" w:after="0" w:line="240" w:lineRule="auto"/>
        <w:ind w:firstLine="709"/>
        <w:rPr>
          <w:rFonts w:ascii="Arial" w:hAnsi="Arial" w:cs="Arial"/>
          <w:sz w:val="19"/>
          <w:szCs w:val="19"/>
        </w:rPr>
      </w:pPr>
      <w:r w:rsidRPr="00C075BE">
        <w:rPr>
          <w:rFonts w:ascii="Arial" w:hAnsi="Arial" w:cs="Arial"/>
          <w:sz w:val="19"/>
          <w:szCs w:val="19"/>
        </w:rPr>
        <w:t>Por su parte, el artículo 2.2.1.2.5.2. del mismo Decreto establece:</w:t>
      </w:r>
    </w:p>
    <w:p w:rsidRPr="00C075BE" w:rsidR="00C075BE" w:rsidP="00C075BE" w:rsidRDefault="00C075BE" w14:paraId="48769FD3" w14:textId="27A5710F">
      <w:pPr>
        <w:pStyle w:val="Textonotapie"/>
        <w:spacing w:before="0" w:after="0" w:line="240" w:lineRule="auto"/>
        <w:ind w:firstLine="709"/>
        <w:rPr>
          <w:rFonts w:ascii="Arial" w:hAnsi="Arial" w:cs="Arial"/>
          <w:sz w:val="19"/>
          <w:szCs w:val="19"/>
        </w:rPr>
      </w:pPr>
      <w:r>
        <w:rPr>
          <w:rFonts w:ascii="Verdana" w:hAnsi="Verdana" w:cs="Arial"/>
          <w:sz w:val="19"/>
          <w:szCs w:val="19"/>
        </w:rPr>
        <w:t>«</w:t>
      </w:r>
      <w:r w:rsidRPr="00C075BE">
        <w:rPr>
          <w:rFonts w:ascii="Arial" w:hAnsi="Arial" w:cs="Arial"/>
          <w:sz w:val="19"/>
          <w:szCs w:val="19"/>
        </w:rPr>
        <w:t>Artículo 2.2.1.2.5.2. Estándares y documentos tipo. Sin perjuicio de la función permanente que el Decreto-Ley 4170 de 2011 le asigna, Colombia Compra Eficiente debe diseñar e implementar los siguientes instrumentos estandarizados y especializados por tipo de obra, bien o servicio a contratar, así como cualquier otro manual o guía que se estime necesario o sea solicitado por los partícipes de la contratación pública:</w:t>
      </w:r>
    </w:p>
    <w:p w:rsidRPr="00C075BE" w:rsidR="00C075BE" w:rsidP="00C075BE" w:rsidRDefault="00C075BE" w14:paraId="2CB16D0D" w14:textId="34EC1937">
      <w:pPr>
        <w:pStyle w:val="Textonotapie"/>
        <w:spacing w:before="0" w:after="0" w:line="240" w:lineRule="auto"/>
        <w:ind w:firstLine="709"/>
        <w:rPr>
          <w:rFonts w:ascii="Arial" w:hAnsi="Arial" w:cs="Arial"/>
          <w:sz w:val="19"/>
          <w:szCs w:val="19"/>
        </w:rPr>
      </w:pPr>
      <w:r w:rsidRPr="00C075BE">
        <w:rPr>
          <w:rFonts w:ascii="Arial" w:hAnsi="Arial" w:cs="Arial"/>
          <w:sz w:val="19"/>
          <w:szCs w:val="19"/>
        </w:rPr>
        <w:t>[…]</w:t>
      </w:r>
    </w:p>
    <w:p w:rsidRPr="00C075BE" w:rsidR="00C075BE" w:rsidP="00C075BE" w:rsidRDefault="00C075BE" w14:paraId="08672470" w14:textId="48A1D7F3">
      <w:pPr>
        <w:pStyle w:val="Textonotapie"/>
        <w:spacing w:before="0" w:after="0" w:line="240" w:lineRule="auto"/>
        <w:ind w:firstLine="709"/>
        <w:rPr>
          <w:rFonts w:ascii="Arial" w:hAnsi="Arial" w:cs="Arial"/>
          <w:sz w:val="19"/>
          <w:szCs w:val="19"/>
        </w:rPr>
      </w:pPr>
      <w:r>
        <w:rPr>
          <w:rFonts w:ascii="Verdana" w:hAnsi="Verdana" w:cs="Arial"/>
          <w:sz w:val="19"/>
          <w:szCs w:val="19"/>
        </w:rPr>
        <w:t>»</w:t>
      </w:r>
      <w:r w:rsidRPr="00C075BE">
        <w:rPr>
          <w:rFonts w:ascii="Arial" w:hAnsi="Arial" w:cs="Arial"/>
          <w:sz w:val="19"/>
          <w:szCs w:val="19"/>
        </w:rPr>
        <w:t>2. Manuales y guías para: (a) la identificación y cobertura del Riesgo; (b) la determinación de la Capacidad Residual para los contratos de obra pública dependiendo del valor de los mismos; (c) la elaboración y actualización del Plan Anual de Adquisiciones; y (d) el uso del Clasificador de Bienes y Servicios</w:t>
      </w:r>
      <w:r>
        <w:rPr>
          <w:rFonts w:ascii="Verdana" w:hAnsi="Verdana" w:cs="Arial"/>
          <w:sz w:val="19"/>
          <w:szCs w:val="19"/>
        </w:rPr>
        <w:t>»</w:t>
      </w:r>
      <w:r w:rsidRPr="00C075BE">
        <w:rPr>
          <w:rFonts w:ascii="Arial" w:hAnsi="Arial" w:cs="Arial"/>
          <w:sz w:val="19"/>
          <w:szCs w:val="19"/>
        </w:rPr>
        <w:t>.</w:t>
      </w:r>
    </w:p>
    <w:p w:rsidR="00C075BE" w:rsidP="00C075BE" w:rsidRDefault="00C075BE" w14:paraId="0004F3CF" w14:textId="52054500">
      <w:pPr>
        <w:pStyle w:val="Textonotapie"/>
        <w:spacing w:before="0" w:after="0" w:line="240" w:lineRule="auto"/>
        <w:ind w:firstLine="709"/>
        <w:rPr>
          <w:rFonts w:ascii="Arial" w:hAnsi="Arial" w:cs="Arial"/>
          <w:sz w:val="19"/>
          <w:szCs w:val="19"/>
        </w:rPr>
      </w:pPr>
      <w:r w:rsidRPr="00C075BE">
        <w:rPr>
          <w:rFonts w:ascii="Arial" w:hAnsi="Arial" w:cs="Arial"/>
          <w:sz w:val="19"/>
          <w:szCs w:val="19"/>
        </w:rPr>
        <w:t>[…]</w:t>
      </w:r>
    </w:p>
    <w:p w:rsidRPr="00C075BE" w:rsidR="00753A16" w:rsidP="00C075BE" w:rsidRDefault="00753A16" w14:paraId="2F34F268" w14:textId="77777777">
      <w:pPr>
        <w:pStyle w:val="Textonotapie"/>
        <w:spacing w:before="0" w:after="0" w:line="240" w:lineRule="auto"/>
        <w:ind w:firstLine="709"/>
        <w:rPr>
          <w:rFonts w:ascii="Arial" w:hAnsi="Arial" w:cs="Arial"/>
          <w:sz w:val="19"/>
          <w:szCs w:val="19"/>
          <w:lang w:val="es-ES"/>
        </w:rPr>
      </w:pPr>
    </w:p>
  </w:footnote>
  <w:footnote w:id="16">
    <w:p w:rsidRPr="00CC724D" w:rsidR="00753A16" w:rsidP="00CC724D" w:rsidRDefault="00BF1C69" w14:paraId="62F271A3" w14:textId="345AD9BA">
      <w:pPr>
        <w:pStyle w:val="Textonotapie"/>
        <w:spacing w:before="0" w:after="0"/>
        <w:ind w:firstLine="708"/>
        <w:rPr>
          <w:rFonts w:ascii="Arial" w:hAnsi="Arial" w:cs="Arial"/>
          <w:sz w:val="19"/>
          <w:szCs w:val="19"/>
        </w:rPr>
      </w:pPr>
      <w:r w:rsidRPr="00544048">
        <w:rPr>
          <w:rStyle w:val="Refdenotaalpie"/>
          <w:rFonts w:ascii="Arial" w:hAnsi="Arial" w:cs="Arial"/>
          <w:sz w:val="19"/>
          <w:szCs w:val="19"/>
        </w:rPr>
        <w:footnoteRef/>
      </w:r>
      <w:r w:rsidRPr="00544048">
        <w:rPr>
          <w:rFonts w:ascii="Arial" w:hAnsi="Arial" w:cs="Arial"/>
          <w:sz w:val="19"/>
          <w:szCs w:val="19"/>
        </w:rPr>
        <w:t xml:space="preserve"> </w:t>
      </w:r>
      <w:r>
        <w:rPr>
          <w:rFonts w:ascii="Arial" w:hAnsi="Arial" w:cs="Arial"/>
          <w:sz w:val="19"/>
          <w:szCs w:val="19"/>
        </w:rPr>
        <w:t xml:space="preserve">Consejo de Estado. Sección Tercera. Subsección A. Sentencia del 11 de Abril de 2019. Exp. 52.055. C.P. Maria Adriana Marín.  </w:t>
      </w:r>
    </w:p>
  </w:footnote>
  <w:footnote w:id="17">
    <w:p w:rsidRPr="00BF1C69" w:rsidR="00BF1C69" w:rsidP="00CC724D" w:rsidRDefault="00BF1C69" w14:paraId="6E206FA2" w14:textId="54399558">
      <w:pPr>
        <w:pStyle w:val="Textonotapie"/>
        <w:ind w:firstLine="708"/>
        <w:rPr>
          <w:rFonts w:ascii="Arial" w:hAnsi="Arial" w:cs="Arial"/>
          <w:sz w:val="19"/>
          <w:szCs w:val="19"/>
          <w:lang w:val="es-ES"/>
        </w:rPr>
      </w:pPr>
      <w:r w:rsidRPr="00BF1C69">
        <w:rPr>
          <w:rStyle w:val="Refdenotaalpie"/>
          <w:rFonts w:ascii="Arial" w:hAnsi="Arial" w:cs="Arial"/>
          <w:sz w:val="19"/>
          <w:szCs w:val="19"/>
        </w:rPr>
        <w:footnoteRef/>
      </w:r>
      <w:r w:rsidRPr="00BF1C69">
        <w:rPr>
          <w:rFonts w:ascii="Arial" w:hAnsi="Arial" w:cs="Arial"/>
          <w:sz w:val="19"/>
          <w:szCs w:val="19"/>
        </w:rPr>
        <w:t xml:space="preserve"> Ib</w:t>
      </w:r>
      <w:r>
        <w:rPr>
          <w:rFonts w:ascii="Arial" w:hAnsi="Arial" w:cs="Arial"/>
          <w:sz w:val="19"/>
          <w:szCs w:val="19"/>
        </w:rPr>
        <w:t>í</w:t>
      </w:r>
      <w:r w:rsidRPr="00BF1C69">
        <w:rPr>
          <w:rFonts w:ascii="Arial" w:hAnsi="Arial" w:cs="Arial"/>
          <w:sz w:val="19"/>
          <w:szCs w:val="19"/>
        </w:rPr>
        <w:t xml:space="preserve">dem. </w:t>
      </w:r>
    </w:p>
  </w:footnote>
  <w:footnote w:id="18">
    <w:p w:rsidRPr="00BF1C69" w:rsidR="00BF1C69" w:rsidP="00BF1C69" w:rsidRDefault="00BF1C69" w14:paraId="7BD24D15" w14:textId="1B3395C2">
      <w:pPr>
        <w:pStyle w:val="Textonotapie"/>
        <w:ind w:firstLine="708"/>
        <w:rPr>
          <w:rFonts w:ascii="Arial" w:hAnsi="Arial" w:cs="Arial"/>
          <w:sz w:val="19"/>
          <w:szCs w:val="19"/>
          <w:lang w:val="es-ES"/>
        </w:rPr>
      </w:pPr>
      <w:r w:rsidRPr="00BF1C69">
        <w:rPr>
          <w:rStyle w:val="Refdenotaalpie"/>
          <w:rFonts w:ascii="Arial" w:hAnsi="Arial" w:cs="Arial"/>
          <w:sz w:val="19"/>
          <w:szCs w:val="19"/>
        </w:rPr>
        <w:footnoteRef/>
      </w:r>
      <w:r w:rsidRPr="00BF1C69">
        <w:rPr>
          <w:rFonts w:ascii="Arial" w:hAnsi="Arial" w:cs="Arial"/>
          <w:sz w:val="19"/>
          <w:szCs w:val="19"/>
        </w:rPr>
        <w:t xml:space="preserve"> </w:t>
      </w:r>
      <w:r>
        <w:rPr>
          <w:rFonts w:ascii="Arial" w:hAnsi="Arial" w:cs="Arial"/>
          <w:sz w:val="19"/>
          <w:szCs w:val="19"/>
        </w:rPr>
        <w:t xml:space="preserve">Consejo de Estado. Sección Tercera. Subsección B. Sentencia de 3 de abril de 2020. Exp. 50.199. C.P. Alberto Montaña Plata.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BF1C69" w:rsidRDefault="00BF1C69" w14:paraId="6520770B" w14:textId="1A2BB94C">
    <w:pPr>
      <w:pStyle w:val="Encabezado"/>
    </w:pPr>
    <w:r>
      <w:rPr>
        <w:noProof/>
        <w:lang w:val="en-US"/>
      </w:rPr>
      <w:drawing>
        <wp:anchor distT="0" distB="0" distL="114300" distR="114300" simplePos="0" relativeHeight="251661312"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310"/>
    <w:multiLevelType w:val="multilevel"/>
    <w:tmpl w:val="184A2078"/>
    <w:lvl w:ilvl="0">
      <w:start w:val="1"/>
      <w:numFmt w:val="decimal"/>
      <w:lvlText w:val="%1."/>
      <w:lvlJc w:val="left"/>
      <w:pPr>
        <w:ind w:left="6601" w:hanging="360"/>
      </w:pPr>
      <w:rPr>
        <w:b/>
        <w:color w:val="aut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10D7E6C"/>
    <w:multiLevelType w:val="multilevel"/>
    <w:tmpl w:val="836404E2"/>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2" w15:restartNumberingAfterBreak="0">
    <w:nsid w:val="31B41044"/>
    <w:multiLevelType w:val="hybridMultilevel"/>
    <w:tmpl w:val="836404E2"/>
    <w:lvl w:ilvl="0" w:tplc="0C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rPr>
    </w:lvl>
    <w:lvl w:ilvl="8" w:tplc="0C0A0005" w:tentative="1">
      <w:start w:val="1"/>
      <w:numFmt w:val="bullet"/>
      <w:lvlText w:val=""/>
      <w:lvlJc w:val="left"/>
      <w:pPr>
        <w:ind w:left="6480" w:hanging="360"/>
      </w:pPr>
      <w:rPr>
        <w:rFonts w:hint="default" w:ascii="Wingdings" w:hAnsi="Wingdings"/>
      </w:rPr>
    </w:lvl>
  </w:abstractNum>
  <w:abstractNum w:abstractNumId="3" w15:restartNumberingAfterBreak="0">
    <w:nsid w:val="482459AB"/>
    <w:multiLevelType w:val="hybridMultilevel"/>
    <w:tmpl w:val="F7E4801A"/>
    <w:lvl w:ilvl="0" w:tplc="07686820">
      <w:start w:val="1"/>
      <w:numFmt w:val="bullet"/>
      <w:lvlText w:val=""/>
      <w:lvlJc w:val="left"/>
      <w:pPr>
        <w:ind w:left="720" w:hanging="360"/>
      </w:pPr>
      <w:rPr>
        <w:rFonts w:hint="default" w:ascii="Wingdings" w:hAnsi="Wingdings"/>
        <w:color w:val="0E63A8"/>
        <w:sz w:val="28"/>
      </w:rPr>
    </w:lvl>
    <w:lvl w:ilvl="1" w:tplc="0C0A0003" w:tentative="1">
      <w:start w:val="1"/>
      <w:numFmt w:val="bullet"/>
      <w:lvlText w:val="o"/>
      <w:lvlJc w:val="left"/>
      <w:pPr>
        <w:ind w:left="1440" w:hanging="360"/>
      </w:pPr>
      <w:rPr>
        <w:rFonts w:hint="default" w:ascii="Courier New" w:hAnsi="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rPr>
    </w:lvl>
    <w:lvl w:ilvl="8" w:tplc="0C0A0005" w:tentative="1">
      <w:start w:val="1"/>
      <w:numFmt w:val="bullet"/>
      <w:lvlText w:val=""/>
      <w:lvlJc w:val="left"/>
      <w:pPr>
        <w:ind w:left="6480" w:hanging="360"/>
      </w:pPr>
      <w:rPr>
        <w:rFonts w:hint="default" w:ascii="Wingdings" w:hAnsi="Wingdings"/>
      </w:rPr>
    </w:lvl>
  </w:abstractNum>
  <w:abstractNum w:abstractNumId="4"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5"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num w:numId="1">
    <w:abstractNumId w:val="2"/>
  </w:num>
  <w:num w:numId="2">
    <w:abstractNumId w:val="1"/>
  </w:num>
  <w:num w:numId="3">
    <w:abstractNumId w:val="3"/>
  </w:num>
  <w:num w:numId="4">
    <w:abstractNumId w:val="4"/>
  </w:num>
  <w:num w:numId="5">
    <w:abstractNumId w:val="6"/>
  </w:num>
  <w:num w:numId="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14">
  <w:zoom w:percent="120"/>
  <w:proofState w:spelling="clean" w:grammar="dirty"/>
  <w:attachedTemplate r:id="rId1"/>
  <w:trackRevisions w:val="false"/>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CDA"/>
    <w:rsid w:val="0000498E"/>
    <w:rsid w:val="00007FBD"/>
    <w:rsid w:val="00017253"/>
    <w:rsid w:val="00017B02"/>
    <w:rsid w:val="000210DF"/>
    <w:rsid w:val="000220A1"/>
    <w:rsid w:val="00027DBC"/>
    <w:rsid w:val="00032DB9"/>
    <w:rsid w:val="00037839"/>
    <w:rsid w:val="00045152"/>
    <w:rsid w:val="000641A8"/>
    <w:rsid w:val="0006474E"/>
    <w:rsid w:val="00065C09"/>
    <w:rsid w:val="00071462"/>
    <w:rsid w:val="00073FE7"/>
    <w:rsid w:val="000763BC"/>
    <w:rsid w:val="00084B97"/>
    <w:rsid w:val="000942EB"/>
    <w:rsid w:val="000A26B7"/>
    <w:rsid w:val="000A5B77"/>
    <w:rsid w:val="000A7358"/>
    <w:rsid w:val="000B103F"/>
    <w:rsid w:val="000B2F63"/>
    <w:rsid w:val="000B4165"/>
    <w:rsid w:val="000E6766"/>
    <w:rsid w:val="000E7213"/>
    <w:rsid w:val="000F14E8"/>
    <w:rsid w:val="00103915"/>
    <w:rsid w:val="001155B8"/>
    <w:rsid w:val="001175F1"/>
    <w:rsid w:val="0011766B"/>
    <w:rsid w:val="00120D67"/>
    <w:rsid w:val="00122B23"/>
    <w:rsid w:val="00122B9A"/>
    <w:rsid w:val="00127F5F"/>
    <w:rsid w:val="00130F04"/>
    <w:rsid w:val="00137FFA"/>
    <w:rsid w:val="00141B41"/>
    <w:rsid w:val="00144718"/>
    <w:rsid w:val="0014518A"/>
    <w:rsid w:val="00150EAF"/>
    <w:rsid w:val="00155732"/>
    <w:rsid w:val="001671D5"/>
    <w:rsid w:val="00172DCD"/>
    <w:rsid w:val="00180188"/>
    <w:rsid w:val="00180787"/>
    <w:rsid w:val="001855DF"/>
    <w:rsid w:val="0019085D"/>
    <w:rsid w:val="00190961"/>
    <w:rsid w:val="00197ADB"/>
    <w:rsid w:val="00197B5E"/>
    <w:rsid w:val="001A0978"/>
    <w:rsid w:val="001A0A19"/>
    <w:rsid w:val="001A0E7A"/>
    <w:rsid w:val="001A1D43"/>
    <w:rsid w:val="001B0444"/>
    <w:rsid w:val="001C7876"/>
    <w:rsid w:val="001D30D8"/>
    <w:rsid w:val="001E34A0"/>
    <w:rsid w:val="001E6988"/>
    <w:rsid w:val="001E770A"/>
    <w:rsid w:val="001F4B84"/>
    <w:rsid w:val="0020632A"/>
    <w:rsid w:val="002110EB"/>
    <w:rsid w:val="00211338"/>
    <w:rsid w:val="00213731"/>
    <w:rsid w:val="002145BF"/>
    <w:rsid w:val="00226F36"/>
    <w:rsid w:val="00231DA7"/>
    <w:rsid w:val="00234B84"/>
    <w:rsid w:val="00241AA4"/>
    <w:rsid w:val="00244438"/>
    <w:rsid w:val="0025117B"/>
    <w:rsid w:val="00253EC3"/>
    <w:rsid w:val="00254204"/>
    <w:rsid w:val="00265955"/>
    <w:rsid w:val="00284D84"/>
    <w:rsid w:val="0028541B"/>
    <w:rsid w:val="002914E1"/>
    <w:rsid w:val="002A5376"/>
    <w:rsid w:val="002B1961"/>
    <w:rsid w:val="002B55F0"/>
    <w:rsid w:val="002C1D80"/>
    <w:rsid w:val="002C3AAD"/>
    <w:rsid w:val="002C4C0C"/>
    <w:rsid w:val="002D7E38"/>
    <w:rsid w:val="002E1121"/>
    <w:rsid w:val="002E3A12"/>
    <w:rsid w:val="002F037B"/>
    <w:rsid w:val="002F03CA"/>
    <w:rsid w:val="002F0DF8"/>
    <w:rsid w:val="002F3F2A"/>
    <w:rsid w:val="003033BA"/>
    <w:rsid w:val="0030589C"/>
    <w:rsid w:val="003108F9"/>
    <w:rsid w:val="00312A6F"/>
    <w:rsid w:val="00322937"/>
    <w:rsid w:val="003340A1"/>
    <w:rsid w:val="0034177C"/>
    <w:rsid w:val="0034680A"/>
    <w:rsid w:val="00350DA7"/>
    <w:rsid w:val="00353333"/>
    <w:rsid w:val="00353DD5"/>
    <w:rsid w:val="003550F5"/>
    <w:rsid w:val="003650D9"/>
    <w:rsid w:val="00386456"/>
    <w:rsid w:val="003901B3"/>
    <w:rsid w:val="00394BD2"/>
    <w:rsid w:val="003A0073"/>
    <w:rsid w:val="003A0878"/>
    <w:rsid w:val="003A581E"/>
    <w:rsid w:val="003B7A0C"/>
    <w:rsid w:val="003D3D9D"/>
    <w:rsid w:val="00402A37"/>
    <w:rsid w:val="00405297"/>
    <w:rsid w:val="00406E40"/>
    <w:rsid w:val="00413C8D"/>
    <w:rsid w:val="00414AD3"/>
    <w:rsid w:val="0041623A"/>
    <w:rsid w:val="00423F9F"/>
    <w:rsid w:val="00425FD7"/>
    <w:rsid w:val="00432D77"/>
    <w:rsid w:val="00434140"/>
    <w:rsid w:val="004422D6"/>
    <w:rsid w:val="00444539"/>
    <w:rsid w:val="0044490E"/>
    <w:rsid w:val="004609A5"/>
    <w:rsid w:val="00472B01"/>
    <w:rsid w:val="00474B96"/>
    <w:rsid w:val="00480D03"/>
    <w:rsid w:val="0049241A"/>
    <w:rsid w:val="00497C0D"/>
    <w:rsid w:val="004A0F49"/>
    <w:rsid w:val="004A34D2"/>
    <w:rsid w:val="004A7F28"/>
    <w:rsid w:val="004B07A6"/>
    <w:rsid w:val="004D055A"/>
    <w:rsid w:val="004D2B16"/>
    <w:rsid w:val="004E13E3"/>
    <w:rsid w:val="004E1B07"/>
    <w:rsid w:val="004F1E46"/>
    <w:rsid w:val="004F7F74"/>
    <w:rsid w:val="0050010C"/>
    <w:rsid w:val="0051074C"/>
    <w:rsid w:val="00511790"/>
    <w:rsid w:val="00513AF2"/>
    <w:rsid w:val="005216C1"/>
    <w:rsid w:val="00537CC7"/>
    <w:rsid w:val="00544048"/>
    <w:rsid w:val="0054413A"/>
    <w:rsid w:val="005564CA"/>
    <w:rsid w:val="0056182B"/>
    <w:rsid w:val="005622EB"/>
    <w:rsid w:val="00570874"/>
    <w:rsid w:val="005756AA"/>
    <w:rsid w:val="00596896"/>
    <w:rsid w:val="005B485D"/>
    <w:rsid w:val="005B5BE2"/>
    <w:rsid w:val="005C07FD"/>
    <w:rsid w:val="005D0EC3"/>
    <w:rsid w:val="005D4AEF"/>
    <w:rsid w:val="005D516F"/>
    <w:rsid w:val="005D51FA"/>
    <w:rsid w:val="005D76D4"/>
    <w:rsid w:val="005D791B"/>
    <w:rsid w:val="005E3039"/>
    <w:rsid w:val="005E44A2"/>
    <w:rsid w:val="005E5FF2"/>
    <w:rsid w:val="005F0B8C"/>
    <w:rsid w:val="005F13E3"/>
    <w:rsid w:val="005F4551"/>
    <w:rsid w:val="00614817"/>
    <w:rsid w:val="00614A3A"/>
    <w:rsid w:val="0061562B"/>
    <w:rsid w:val="00620142"/>
    <w:rsid w:val="006202B8"/>
    <w:rsid w:val="0062143A"/>
    <w:rsid w:val="00630D7C"/>
    <w:rsid w:val="00633DBF"/>
    <w:rsid w:val="00641DD3"/>
    <w:rsid w:val="00655371"/>
    <w:rsid w:val="0067157B"/>
    <w:rsid w:val="00671BEA"/>
    <w:rsid w:val="00672272"/>
    <w:rsid w:val="0067386C"/>
    <w:rsid w:val="00697665"/>
    <w:rsid w:val="006A0EB7"/>
    <w:rsid w:val="006A5544"/>
    <w:rsid w:val="006A7CB5"/>
    <w:rsid w:val="006A7FD0"/>
    <w:rsid w:val="006B5575"/>
    <w:rsid w:val="006C6EE9"/>
    <w:rsid w:val="006D0AFF"/>
    <w:rsid w:val="006D7687"/>
    <w:rsid w:val="006E0572"/>
    <w:rsid w:val="006E0BCF"/>
    <w:rsid w:val="006E170C"/>
    <w:rsid w:val="006E1E98"/>
    <w:rsid w:val="006E2A99"/>
    <w:rsid w:val="006E6FF6"/>
    <w:rsid w:val="006F08AD"/>
    <w:rsid w:val="006F09F9"/>
    <w:rsid w:val="00705631"/>
    <w:rsid w:val="00715C70"/>
    <w:rsid w:val="00715EAA"/>
    <w:rsid w:val="00733BCA"/>
    <w:rsid w:val="0073441F"/>
    <w:rsid w:val="00737B4D"/>
    <w:rsid w:val="0074103D"/>
    <w:rsid w:val="00742DD2"/>
    <w:rsid w:val="00744E86"/>
    <w:rsid w:val="00746E08"/>
    <w:rsid w:val="00747C96"/>
    <w:rsid w:val="0075094E"/>
    <w:rsid w:val="007522E8"/>
    <w:rsid w:val="00753A16"/>
    <w:rsid w:val="0075647A"/>
    <w:rsid w:val="00760104"/>
    <w:rsid w:val="007634AD"/>
    <w:rsid w:val="00764049"/>
    <w:rsid w:val="00775563"/>
    <w:rsid w:val="00777F8D"/>
    <w:rsid w:val="0078122E"/>
    <w:rsid w:val="00782BE3"/>
    <w:rsid w:val="00786FFD"/>
    <w:rsid w:val="00792E66"/>
    <w:rsid w:val="00795647"/>
    <w:rsid w:val="007B0854"/>
    <w:rsid w:val="007C2357"/>
    <w:rsid w:val="007C5868"/>
    <w:rsid w:val="007D6C71"/>
    <w:rsid w:val="007E1312"/>
    <w:rsid w:val="007E2424"/>
    <w:rsid w:val="007F6B46"/>
    <w:rsid w:val="007F72CB"/>
    <w:rsid w:val="00800C47"/>
    <w:rsid w:val="0081647E"/>
    <w:rsid w:val="0082065D"/>
    <w:rsid w:val="00821303"/>
    <w:rsid w:val="008217B7"/>
    <w:rsid w:val="00830303"/>
    <w:rsid w:val="0083119B"/>
    <w:rsid w:val="00836BC9"/>
    <w:rsid w:val="00836EAB"/>
    <w:rsid w:val="0084110F"/>
    <w:rsid w:val="0084188F"/>
    <w:rsid w:val="008420C6"/>
    <w:rsid w:val="00844CA8"/>
    <w:rsid w:val="0085092D"/>
    <w:rsid w:val="00850F79"/>
    <w:rsid w:val="00854DB7"/>
    <w:rsid w:val="00855C3A"/>
    <w:rsid w:val="00861F54"/>
    <w:rsid w:val="00862BF3"/>
    <w:rsid w:val="008632AF"/>
    <w:rsid w:val="00866A24"/>
    <w:rsid w:val="008749A9"/>
    <w:rsid w:val="00881812"/>
    <w:rsid w:val="00883385"/>
    <w:rsid w:val="0088434E"/>
    <w:rsid w:val="00885098"/>
    <w:rsid w:val="0089774F"/>
    <w:rsid w:val="008B3AED"/>
    <w:rsid w:val="008C5DB2"/>
    <w:rsid w:val="008D44F2"/>
    <w:rsid w:val="008D6A9F"/>
    <w:rsid w:val="008D7CE6"/>
    <w:rsid w:val="008E1C15"/>
    <w:rsid w:val="008E6DB4"/>
    <w:rsid w:val="008F538E"/>
    <w:rsid w:val="008F6F7F"/>
    <w:rsid w:val="008F7D87"/>
    <w:rsid w:val="009037EE"/>
    <w:rsid w:val="009047C5"/>
    <w:rsid w:val="00906A56"/>
    <w:rsid w:val="009173EE"/>
    <w:rsid w:val="009258D5"/>
    <w:rsid w:val="009269C1"/>
    <w:rsid w:val="009308FF"/>
    <w:rsid w:val="00940760"/>
    <w:rsid w:val="00941B91"/>
    <w:rsid w:val="0094600B"/>
    <w:rsid w:val="0095385A"/>
    <w:rsid w:val="00970437"/>
    <w:rsid w:val="00984AB9"/>
    <w:rsid w:val="0098627D"/>
    <w:rsid w:val="0098674C"/>
    <w:rsid w:val="0098700B"/>
    <w:rsid w:val="00994DF5"/>
    <w:rsid w:val="00997C41"/>
    <w:rsid w:val="009A2245"/>
    <w:rsid w:val="009B512E"/>
    <w:rsid w:val="009B5190"/>
    <w:rsid w:val="009B616F"/>
    <w:rsid w:val="009B74BF"/>
    <w:rsid w:val="009D3CF6"/>
    <w:rsid w:val="009E64D5"/>
    <w:rsid w:val="009F59C2"/>
    <w:rsid w:val="00A1140C"/>
    <w:rsid w:val="00A13886"/>
    <w:rsid w:val="00A16ED4"/>
    <w:rsid w:val="00A20338"/>
    <w:rsid w:val="00A24560"/>
    <w:rsid w:val="00A34538"/>
    <w:rsid w:val="00A37B06"/>
    <w:rsid w:val="00A37FB6"/>
    <w:rsid w:val="00A403E6"/>
    <w:rsid w:val="00A413F1"/>
    <w:rsid w:val="00A45FEF"/>
    <w:rsid w:val="00A477E9"/>
    <w:rsid w:val="00A52C50"/>
    <w:rsid w:val="00A531D9"/>
    <w:rsid w:val="00A53D5E"/>
    <w:rsid w:val="00A66EB2"/>
    <w:rsid w:val="00A71774"/>
    <w:rsid w:val="00A7492E"/>
    <w:rsid w:val="00A757E2"/>
    <w:rsid w:val="00A840B0"/>
    <w:rsid w:val="00A853EC"/>
    <w:rsid w:val="00A866D7"/>
    <w:rsid w:val="00A96E3A"/>
    <w:rsid w:val="00AA08E7"/>
    <w:rsid w:val="00AA442B"/>
    <w:rsid w:val="00AA669D"/>
    <w:rsid w:val="00AB5C7F"/>
    <w:rsid w:val="00AC514C"/>
    <w:rsid w:val="00AD0F81"/>
    <w:rsid w:val="00AD1A73"/>
    <w:rsid w:val="00AD55EC"/>
    <w:rsid w:val="00AF5CF6"/>
    <w:rsid w:val="00B000D8"/>
    <w:rsid w:val="00B00EC0"/>
    <w:rsid w:val="00B13AC3"/>
    <w:rsid w:val="00B13EC0"/>
    <w:rsid w:val="00B155CE"/>
    <w:rsid w:val="00B20F40"/>
    <w:rsid w:val="00B22E22"/>
    <w:rsid w:val="00B24114"/>
    <w:rsid w:val="00B2746E"/>
    <w:rsid w:val="00B30673"/>
    <w:rsid w:val="00B324F1"/>
    <w:rsid w:val="00B41292"/>
    <w:rsid w:val="00B44E8E"/>
    <w:rsid w:val="00B525CB"/>
    <w:rsid w:val="00B55AE4"/>
    <w:rsid w:val="00B5799D"/>
    <w:rsid w:val="00B63872"/>
    <w:rsid w:val="00B63CB2"/>
    <w:rsid w:val="00B64EDB"/>
    <w:rsid w:val="00B65FCF"/>
    <w:rsid w:val="00B713CA"/>
    <w:rsid w:val="00B7315F"/>
    <w:rsid w:val="00B85045"/>
    <w:rsid w:val="00B91AF0"/>
    <w:rsid w:val="00B91B8E"/>
    <w:rsid w:val="00B943C9"/>
    <w:rsid w:val="00BA6AB6"/>
    <w:rsid w:val="00BB00C4"/>
    <w:rsid w:val="00BB737E"/>
    <w:rsid w:val="00BC2704"/>
    <w:rsid w:val="00BD07C2"/>
    <w:rsid w:val="00BD3697"/>
    <w:rsid w:val="00BD78FE"/>
    <w:rsid w:val="00BE5DCB"/>
    <w:rsid w:val="00BF1C69"/>
    <w:rsid w:val="00BF1E54"/>
    <w:rsid w:val="00BF5E9C"/>
    <w:rsid w:val="00BF63F6"/>
    <w:rsid w:val="00C0469E"/>
    <w:rsid w:val="00C075BE"/>
    <w:rsid w:val="00C111AF"/>
    <w:rsid w:val="00C119B0"/>
    <w:rsid w:val="00C124EF"/>
    <w:rsid w:val="00C14FF0"/>
    <w:rsid w:val="00C203AB"/>
    <w:rsid w:val="00C220CF"/>
    <w:rsid w:val="00C2560E"/>
    <w:rsid w:val="00C2582C"/>
    <w:rsid w:val="00C27711"/>
    <w:rsid w:val="00C3184C"/>
    <w:rsid w:val="00C42912"/>
    <w:rsid w:val="00C43F85"/>
    <w:rsid w:val="00C4437C"/>
    <w:rsid w:val="00C50BFD"/>
    <w:rsid w:val="00C51E6A"/>
    <w:rsid w:val="00C55D3C"/>
    <w:rsid w:val="00C6131A"/>
    <w:rsid w:val="00C62458"/>
    <w:rsid w:val="00C631CB"/>
    <w:rsid w:val="00C80D3D"/>
    <w:rsid w:val="00C82DAF"/>
    <w:rsid w:val="00C8458D"/>
    <w:rsid w:val="00C95DEB"/>
    <w:rsid w:val="00C97AAA"/>
    <w:rsid w:val="00CC00CD"/>
    <w:rsid w:val="00CC0FC1"/>
    <w:rsid w:val="00CC724D"/>
    <w:rsid w:val="00CD66D7"/>
    <w:rsid w:val="00D01760"/>
    <w:rsid w:val="00D16E39"/>
    <w:rsid w:val="00D176E8"/>
    <w:rsid w:val="00D220D3"/>
    <w:rsid w:val="00D223B6"/>
    <w:rsid w:val="00D25141"/>
    <w:rsid w:val="00D262D8"/>
    <w:rsid w:val="00D35542"/>
    <w:rsid w:val="00D35FC1"/>
    <w:rsid w:val="00D36A4D"/>
    <w:rsid w:val="00D60327"/>
    <w:rsid w:val="00D7080C"/>
    <w:rsid w:val="00D72E9D"/>
    <w:rsid w:val="00D76C13"/>
    <w:rsid w:val="00D82CE5"/>
    <w:rsid w:val="00D92770"/>
    <w:rsid w:val="00DA046D"/>
    <w:rsid w:val="00DA2E3C"/>
    <w:rsid w:val="00DA5AB1"/>
    <w:rsid w:val="00DB49E2"/>
    <w:rsid w:val="00DC05F1"/>
    <w:rsid w:val="00DC3544"/>
    <w:rsid w:val="00DC4DFA"/>
    <w:rsid w:val="00DC62E5"/>
    <w:rsid w:val="00DD47A2"/>
    <w:rsid w:val="00DD735D"/>
    <w:rsid w:val="00DE28EB"/>
    <w:rsid w:val="00DE3119"/>
    <w:rsid w:val="00DF236B"/>
    <w:rsid w:val="00DF7086"/>
    <w:rsid w:val="00E05CC9"/>
    <w:rsid w:val="00E107CC"/>
    <w:rsid w:val="00E13AB8"/>
    <w:rsid w:val="00E162DC"/>
    <w:rsid w:val="00E170DA"/>
    <w:rsid w:val="00E238FC"/>
    <w:rsid w:val="00E25CB3"/>
    <w:rsid w:val="00E33B62"/>
    <w:rsid w:val="00E36139"/>
    <w:rsid w:val="00E4143A"/>
    <w:rsid w:val="00E42164"/>
    <w:rsid w:val="00E43624"/>
    <w:rsid w:val="00E56B9B"/>
    <w:rsid w:val="00E575F2"/>
    <w:rsid w:val="00E64356"/>
    <w:rsid w:val="00E7774F"/>
    <w:rsid w:val="00E80252"/>
    <w:rsid w:val="00E86F3E"/>
    <w:rsid w:val="00EA0931"/>
    <w:rsid w:val="00EA1C8F"/>
    <w:rsid w:val="00EA3DCF"/>
    <w:rsid w:val="00EA601F"/>
    <w:rsid w:val="00EB071D"/>
    <w:rsid w:val="00EB65AB"/>
    <w:rsid w:val="00EC4FAE"/>
    <w:rsid w:val="00ED05A8"/>
    <w:rsid w:val="00ED5792"/>
    <w:rsid w:val="00ED5B26"/>
    <w:rsid w:val="00ED6F88"/>
    <w:rsid w:val="00EE164A"/>
    <w:rsid w:val="00EE3A69"/>
    <w:rsid w:val="00EE59B5"/>
    <w:rsid w:val="00EF22EA"/>
    <w:rsid w:val="00EF25D1"/>
    <w:rsid w:val="00F04156"/>
    <w:rsid w:val="00F05ECE"/>
    <w:rsid w:val="00F11955"/>
    <w:rsid w:val="00F134B1"/>
    <w:rsid w:val="00F172E0"/>
    <w:rsid w:val="00F20FE7"/>
    <w:rsid w:val="00F22920"/>
    <w:rsid w:val="00F25F83"/>
    <w:rsid w:val="00F30646"/>
    <w:rsid w:val="00F34B5C"/>
    <w:rsid w:val="00F41A8D"/>
    <w:rsid w:val="00F42DF4"/>
    <w:rsid w:val="00F53451"/>
    <w:rsid w:val="00F643F2"/>
    <w:rsid w:val="00F72BC0"/>
    <w:rsid w:val="00F824D2"/>
    <w:rsid w:val="00F84899"/>
    <w:rsid w:val="00F859F0"/>
    <w:rsid w:val="00F87C89"/>
    <w:rsid w:val="00F90DB0"/>
    <w:rsid w:val="00FA0BE5"/>
    <w:rsid w:val="00FA6C01"/>
    <w:rsid w:val="00FA706A"/>
    <w:rsid w:val="00FB11D8"/>
    <w:rsid w:val="00FD12FD"/>
    <w:rsid w:val="00FD46B4"/>
    <w:rsid w:val="00FD77B5"/>
    <w:rsid w:val="00FE141E"/>
    <w:rsid w:val="00FE284D"/>
    <w:rsid w:val="00FE42ED"/>
    <w:rsid w:val="00FE7664"/>
    <w:rsid w:val="00FF5ADC"/>
    <w:rsid w:val="075DED84"/>
    <w:rsid w:val="26DAD617"/>
    <w:rsid w:val="4AD7D661"/>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8FC69B5"/>
  <w15:docId w15:val="{C31D0A22-2FF0-4CBA-A8CA-3DB18456D50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p14">
  <w:docDefaults>
    <w:rPrDefault>
      <w:rPr>
        <w:rFonts w:asciiTheme="minorHAnsi" w:hAnsiTheme="minorHAnsi" w:eastAsiaTheme="minorHAnsi" w:cstheme="minorBidi"/>
        <w:sz w:val="22"/>
        <w:szCs w:val="22"/>
        <w:lang w:val="es-CO" w:eastAsia="en-US" w:bidi="ar-SA"/>
      </w:rPr>
    </w:rPrDefault>
    <w:pPrDefault>
      <w:pPr>
        <w:spacing w:before="120" w:after="12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B5575"/>
    <w:pPr>
      <w:spacing w:before="0" w:after="0" w:line="240" w:lineRule="auto"/>
      <w:jc w:val="left"/>
    </w:pPr>
    <w:rPr>
      <w:rFonts w:ascii="Times New Roman" w:hAnsi="Times New Roman" w:eastAsia="Times New Roman" w:cs="Times New Roman"/>
      <w:sz w:val="24"/>
      <w:szCs w:val="24"/>
      <w:lang w:val="en-GB" w:eastAsia="en-GB"/>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spacing w:before="120" w:after="120" w:line="276" w:lineRule="auto"/>
      <w:jc w:val="both"/>
    </w:pPr>
    <w:rPr>
      <w:rFonts w:asciiTheme="minorHAnsi" w:hAnsiTheme="minorHAnsi" w:eastAsiaTheme="minorHAnsi" w:cstheme="minorBidi"/>
      <w:szCs w:val="22"/>
      <w:lang w:val="es-MX" w:eastAsia="en-US"/>
    </w:rPr>
  </w:style>
  <w:style w:type="character" w:styleId="PiedepginaCar" w:customStyle="1">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pPr>
      <w:spacing w:before="120" w:after="120" w:line="276" w:lineRule="auto"/>
      <w:jc w:val="both"/>
    </w:pPr>
    <w:rPr>
      <w:rFonts w:ascii="Tahoma" w:hAnsi="Tahoma" w:cs="Tahoma" w:eastAsiaTheme="minorHAnsi"/>
      <w:sz w:val="16"/>
      <w:szCs w:val="16"/>
      <w:lang w:val="es-MX" w:eastAsia="en-US"/>
    </w:rPr>
  </w:style>
  <w:style w:type="character" w:styleId="TextodegloboCar" w:customStyle="1">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spacing w:before="120" w:after="120" w:line="276" w:lineRule="auto"/>
      <w:jc w:val="both"/>
    </w:pPr>
    <w:rPr>
      <w:rFonts w:asciiTheme="minorHAnsi" w:hAnsiTheme="minorHAnsi" w:eastAsiaTheme="minorHAnsi" w:cstheme="minorBidi"/>
      <w:szCs w:val="22"/>
      <w:lang w:val="es-MX" w:eastAsia="en-US"/>
    </w:rPr>
  </w:style>
  <w:style w:type="character" w:styleId="EncabezadoCar" w:customStyle="1">
    <w:name w:val="Encabezado Car"/>
    <w:basedOn w:val="Fuentedeprrafopredeter"/>
    <w:link w:val="Encabezado"/>
    <w:uiPriority w:val="99"/>
    <w:rsid w:val="009047C5"/>
    <w:rPr>
      <w:sz w:val="24"/>
      <w:lang w:val="es-MX"/>
    </w:rPr>
  </w:style>
  <w:style w:type="table" w:styleId="Tablaconcuadrcula">
    <w:name w:val="Table Grid"/>
    <w:basedOn w:val="Tablanormal"/>
    <w:uiPriority w:val="39"/>
    <w:rsid w:val="009047C5"/>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spacing w:before="120" w:after="120" w:line="276" w:lineRule="auto"/>
      <w:ind w:left="720"/>
      <w:contextualSpacing/>
      <w:jc w:val="both"/>
    </w:pPr>
    <w:rPr>
      <w:rFonts w:asciiTheme="minorHAnsi" w:hAnsiTheme="minorHAnsi" w:eastAsia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semiHidden/>
    <w:unhideWhenUsed/>
    <w:rsid w:val="00DA5AB1"/>
    <w:pPr>
      <w:spacing w:before="120" w:after="120" w:line="276" w:lineRule="auto"/>
      <w:jc w:val="both"/>
    </w:pPr>
    <w:rPr>
      <w:rFonts w:asciiTheme="minorHAnsi" w:hAnsiTheme="minorHAnsi" w:eastAsiaTheme="minorHAnsi" w:cstheme="minorBidi"/>
      <w:sz w:val="20"/>
      <w:szCs w:val="20"/>
      <w:lang w:val="es-MX" w:eastAsia="en-US"/>
    </w:rPr>
  </w:style>
  <w:style w:type="character" w:styleId="TextocomentarioCar" w:customStyle="1">
    <w:name w:val="Texto comentario Car"/>
    <w:basedOn w:val="Fuentedeprrafopredeter"/>
    <w:link w:val="Textocomentario"/>
    <w:uiPriority w:val="99"/>
    <w:semiHidden/>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styleId="AsuntodelcomentarioCar" w:customStyle="1">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semiHidden/>
    <w:unhideWhenUsed/>
    <w:rsid w:val="0085092D"/>
    <w:rPr>
      <w:color w:val="F2F2F2" w:themeColor="hyperlink"/>
      <w:u w:val="single"/>
    </w:rPr>
  </w:style>
  <w:style w:type="paragraph" w:styleId="NormalWeb">
    <w:name w:val="Normal (Web)"/>
    <w:basedOn w:val="Normal"/>
    <w:uiPriority w:val="99"/>
    <w:unhideWhenUsed/>
    <w:rsid w:val="00122B23"/>
    <w:pPr>
      <w:spacing w:before="100" w:beforeAutospacing="1" w:after="100" w:afterAutospacing="1" w:line="276" w:lineRule="auto"/>
      <w:jc w:val="both"/>
    </w:pPr>
    <w:rPr>
      <w:lang w:val="es-CO" w:eastAsia="es-CO"/>
    </w:rPr>
  </w:style>
  <w:style w:type="paragraph" w:styleId="Sinespaciado">
    <w:name w:val="No Spacing"/>
    <w:uiPriority w:val="1"/>
    <w:qFormat/>
    <w:rsid w:val="007B0854"/>
    <w:pPr>
      <w:spacing w:after="0" w:line="240" w:lineRule="auto"/>
    </w:pPr>
    <w:rPr>
      <w:sz w:val="24"/>
      <w:lang w:val="es-MX"/>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
    <w:basedOn w:val="Normal"/>
    <w:link w:val="TextonotapieCar"/>
    <w:uiPriority w:val="99"/>
    <w:unhideWhenUsed/>
    <w:qFormat/>
    <w:rsid w:val="007B0854"/>
    <w:pPr>
      <w:spacing w:before="120" w:after="120" w:line="276" w:lineRule="auto"/>
      <w:jc w:val="both"/>
    </w:pPr>
    <w:rPr>
      <w:rFonts w:asciiTheme="minorHAnsi" w:hAnsiTheme="minorHAnsi" w:eastAsiaTheme="minorHAnsi" w:cstheme="minorBidi"/>
      <w:sz w:val="20"/>
      <w:szCs w:val="20"/>
      <w:lang w:val="es-MX" w:eastAsia="en-US"/>
    </w:rPr>
  </w:style>
  <w:style w:type="character" w:styleId="TextonotapieCar1" w:customStyle="1">
    <w:name w:val="Texto nota pie Car1"/>
    <w:basedOn w:val="Fuentedeprrafopredeter"/>
    <w:uiPriority w:val="99"/>
    <w:semiHidden/>
    <w:rsid w:val="007B0854"/>
    <w:rPr>
      <w:sz w:val="20"/>
      <w:szCs w:val="20"/>
      <w:lang w:val="es-MX"/>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styleId="Capitulo1" w:customStyle="1">
    <w:name w:val="Capitulo 1"/>
    <w:basedOn w:val="Normal"/>
    <w:qFormat/>
    <w:rsid w:val="007B0854"/>
    <w:pPr>
      <w:keepNext/>
      <w:spacing w:before="120" w:after="200" w:line="276" w:lineRule="auto"/>
      <w:ind w:left="720" w:hanging="360"/>
      <w:jc w:val="both"/>
      <w:outlineLvl w:val="1"/>
    </w:pPr>
    <w:rPr>
      <w:rFonts w:ascii="Arial" w:hAnsi="Arial" w:cs="Arial"/>
      <w:b/>
      <w:color w:val="000000"/>
      <w:sz w:val="20"/>
      <w:szCs w:val="20"/>
      <w:lang w:val="es-CO" w:eastAsia="es-CO"/>
    </w:rPr>
  </w:style>
  <w:style w:type="character" w:styleId="Refdenotaalpie">
    <w:name w:val="footnote reference"/>
    <w:aliases w:val="Ref. de nota al pie 2,Ref,de nota al pie,FC,Appel note de bas de p,f,4_G,16 Point,Superscript 6 Point,Texto nota al pie,Pie de Página,Texto de nota al pi,Nota de pie,Footnote symbol,Footnote,Ref. de nota al pie2,Pie de pagina"/>
    <w:basedOn w:val="Fuentedeprrafopredeter"/>
    <w:unhideWhenUsed/>
    <w:qFormat/>
    <w:rsid w:val="007B0854"/>
    <w:rPr>
      <w:vertAlign w:val="superscript"/>
    </w:rPr>
  </w:style>
  <w:style w:type="table" w:styleId="Tablaconcuadrcula1" w:customStyle="1">
    <w:name w:val="Tabla con cuadrícula1"/>
    <w:basedOn w:val="Tablanormal"/>
    <w:next w:val="Tablaconcuadrcula"/>
    <w:uiPriority w:val="59"/>
    <w:rsid w:val="0079564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baj" w:customStyle="1">
    <w:name w:val="b_aj"/>
    <w:basedOn w:val="Fuentedeprrafopredeter"/>
    <w:rsid w:val="00984AB9"/>
  </w:style>
  <w:style w:type="character" w:styleId="Textoennegrita">
    <w:name w:val="Strong"/>
    <w:basedOn w:val="Fuentedeprrafopredeter"/>
    <w:uiPriority w:val="22"/>
    <w:qFormat/>
    <w:rsid w:val="00792E66"/>
    <w:rPr>
      <w:b/>
      <w:bCs/>
    </w:rPr>
  </w:style>
  <w:style w:type="character" w:styleId="nfasis">
    <w:name w:val="Emphasis"/>
    <w:basedOn w:val="Fuentedeprrafopredeter"/>
    <w:uiPriority w:val="20"/>
    <w:qFormat/>
    <w:rsid w:val="00792E66"/>
    <w:rPr>
      <w:i/>
      <w:iCs/>
    </w:rPr>
  </w:style>
  <w:style w:type="paragraph" w:styleId="Revisin">
    <w:name w:val="Revision"/>
    <w:hidden/>
    <w:uiPriority w:val="99"/>
    <w:semiHidden/>
    <w:rsid w:val="00150EAF"/>
    <w:pPr>
      <w:spacing w:before="0" w:after="0" w:line="240" w:lineRule="auto"/>
      <w:jc w:val="left"/>
    </w:pPr>
    <w:rPr>
      <w:rFonts w:ascii="Times New Roman" w:hAnsi="Times New Roman" w:eastAsia="Times New Roman" w:cs="Times New Roman"/>
      <w:sz w:val="24"/>
      <w:szCs w:val="24"/>
      <w:lang w:val="en-GB" w:eastAsia="en-GB"/>
    </w:rPr>
  </w:style>
  <w:style w:type="paragraph" w:styleId="centrado" w:customStyle="1">
    <w:name w:val="centrado"/>
    <w:basedOn w:val="Normal"/>
    <w:rsid w:val="005F13E3"/>
    <w:pPr>
      <w:spacing w:before="100" w:beforeAutospacing="1" w:after="100" w:afterAutospacing="1"/>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450469">
      <w:bodyDiv w:val="1"/>
      <w:marLeft w:val="0"/>
      <w:marRight w:val="0"/>
      <w:marTop w:val="0"/>
      <w:marBottom w:val="0"/>
      <w:divBdr>
        <w:top w:val="none" w:sz="0" w:space="0" w:color="auto"/>
        <w:left w:val="none" w:sz="0" w:space="0" w:color="auto"/>
        <w:bottom w:val="none" w:sz="0" w:space="0" w:color="auto"/>
        <w:right w:val="none" w:sz="0" w:space="0" w:color="auto"/>
      </w:divBdr>
    </w:div>
    <w:div w:id="26376757">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85808315">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79929087">
      <w:bodyDiv w:val="1"/>
      <w:marLeft w:val="0"/>
      <w:marRight w:val="0"/>
      <w:marTop w:val="0"/>
      <w:marBottom w:val="0"/>
      <w:divBdr>
        <w:top w:val="none" w:sz="0" w:space="0" w:color="auto"/>
        <w:left w:val="none" w:sz="0" w:space="0" w:color="auto"/>
        <w:bottom w:val="none" w:sz="0" w:space="0" w:color="auto"/>
        <w:right w:val="none" w:sz="0" w:space="0" w:color="auto"/>
      </w:divBdr>
      <w:divsChild>
        <w:div w:id="404572909">
          <w:marLeft w:val="0"/>
          <w:marRight w:val="0"/>
          <w:marTop w:val="0"/>
          <w:marBottom w:val="0"/>
          <w:divBdr>
            <w:top w:val="none" w:sz="0" w:space="0" w:color="auto"/>
            <w:left w:val="none" w:sz="0" w:space="0" w:color="auto"/>
            <w:bottom w:val="none" w:sz="0" w:space="0" w:color="auto"/>
            <w:right w:val="none" w:sz="0" w:space="0" w:color="auto"/>
          </w:divBdr>
        </w:div>
        <w:div w:id="2088721344">
          <w:marLeft w:val="0"/>
          <w:marRight w:val="0"/>
          <w:marTop w:val="0"/>
          <w:marBottom w:val="0"/>
          <w:divBdr>
            <w:top w:val="none" w:sz="0" w:space="0" w:color="auto"/>
            <w:left w:val="none" w:sz="0" w:space="0" w:color="auto"/>
            <w:bottom w:val="none" w:sz="0" w:space="0" w:color="auto"/>
            <w:right w:val="none" w:sz="0" w:space="0" w:color="auto"/>
          </w:divBdr>
        </w:div>
        <w:div w:id="1807044410">
          <w:marLeft w:val="0"/>
          <w:marRight w:val="0"/>
          <w:marTop w:val="0"/>
          <w:marBottom w:val="0"/>
          <w:divBdr>
            <w:top w:val="none" w:sz="0" w:space="0" w:color="auto"/>
            <w:left w:val="none" w:sz="0" w:space="0" w:color="auto"/>
            <w:bottom w:val="none" w:sz="0" w:space="0" w:color="auto"/>
            <w:right w:val="none" w:sz="0" w:space="0" w:color="auto"/>
          </w:divBdr>
        </w:div>
      </w:divsChild>
    </w:div>
    <w:div w:id="187648092">
      <w:bodyDiv w:val="1"/>
      <w:marLeft w:val="0"/>
      <w:marRight w:val="0"/>
      <w:marTop w:val="0"/>
      <w:marBottom w:val="0"/>
      <w:divBdr>
        <w:top w:val="none" w:sz="0" w:space="0" w:color="auto"/>
        <w:left w:val="none" w:sz="0" w:space="0" w:color="auto"/>
        <w:bottom w:val="none" w:sz="0" w:space="0" w:color="auto"/>
        <w:right w:val="none" w:sz="0" w:space="0" w:color="auto"/>
      </w:divBdr>
    </w:div>
    <w:div w:id="216203386">
      <w:bodyDiv w:val="1"/>
      <w:marLeft w:val="0"/>
      <w:marRight w:val="0"/>
      <w:marTop w:val="0"/>
      <w:marBottom w:val="0"/>
      <w:divBdr>
        <w:top w:val="none" w:sz="0" w:space="0" w:color="auto"/>
        <w:left w:val="none" w:sz="0" w:space="0" w:color="auto"/>
        <w:bottom w:val="none" w:sz="0" w:space="0" w:color="auto"/>
        <w:right w:val="none" w:sz="0" w:space="0" w:color="auto"/>
      </w:divBdr>
    </w:div>
    <w:div w:id="239952070">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7952074">
      <w:bodyDiv w:val="1"/>
      <w:marLeft w:val="0"/>
      <w:marRight w:val="0"/>
      <w:marTop w:val="0"/>
      <w:marBottom w:val="0"/>
      <w:divBdr>
        <w:top w:val="none" w:sz="0" w:space="0" w:color="auto"/>
        <w:left w:val="none" w:sz="0" w:space="0" w:color="auto"/>
        <w:bottom w:val="none" w:sz="0" w:space="0" w:color="auto"/>
        <w:right w:val="none" w:sz="0" w:space="0" w:color="auto"/>
      </w:divBdr>
    </w:div>
    <w:div w:id="362751634">
      <w:bodyDiv w:val="1"/>
      <w:marLeft w:val="0"/>
      <w:marRight w:val="0"/>
      <w:marTop w:val="0"/>
      <w:marBottom w:val="0"/>
      <w:divBdr>
        <w:top w:val="none" w:sz="0" w:space="0" w:color="auto"/>
        <w:left w:val="none" w:sz="0" w:space="0" w:color="auto"/>
        <w:bottom w:val="none" w:sz="0" w:space="0" w:color="auto"/>
        <w:right w:val="none" w:sz="0" w:space="0" w:color="auto"/>
      </w:divBdr>
    </w:div>
    <w:div w:id="363791593">
      <w:bodyDiv w:val="1"/>
      <w:marLeft w:val="0"/>
      <w:marRight w:val="0"/>
      <w:marTop w:val="0"/>
      <w:marBottom w:val="0"/>
      <w:divBdr>
        <w:top w:val="none" w:sz="0" w:space="0" w:color="auto"/>
        <w:left w:val="none" w:sz="0" w:space="0" w:color="auto"/>
        <w:bottom w:val="none" w:sz="0" w:space="0" w:color="auto"/>
        <w:right w:val="none" w:sz="0" w:space="0" w:color="auto"/>
      </w:divBdr>
    </w:div>
    <w:div w:id="530920846">
      <w:bodyDiv w:val="1"/>
      <w:marLeft w:val="0"/>
      <w:marRight w:val="0"/>
      <w:marTop w:val="0"/>
      <w:marBottom w:val="0"/>
      <w:divBdr>
        <w:top w:val="none" w:sz="0" w:space="0" w:color="auto"/>
        <w:left w:val="none" w:sz="0" w:space="0" w:color="auto"/>
        <w:bottom w:val="none" w:sz="0" w:space="0" w:color="auto"/>
        <w:right w:val="none" w:sz="0" w:space="0" w:color="auto"/>
      </w:divBdr>
      <w:divsChild>
        <w:div w:id="767119493">
          <w:marLeft w:val="0"/>
          <w:marRight w:val="0"/>
          <w:marTop w:val="0"/>
          <w:marBottom w:val="0"/>
          <w:divBdr>
            <w:top w:val="none" w:sz="0" w:space="0" w:color="auto"/>
            <w:left w:val="none" w:sz="0" w:space="0" w:color="auto"/>
            <w:bottom w:val="none" w:sz="0" w:space="0" w:color="auto"/>
            <w:right w:val="none" w:sz="0" w:space="0" w:color="auto"/>
          </w:divBdr>
          <w:divsChild>
            <w:div w:id="736517301">
              <w:marLeft w:val="0"/>
              <w:marRight w:val="0"/>
              <w:marTop w:val="0"/>
              <w:marBottom w:val="0"/>
              <w:divBdr>
                <w:top w:val="none" w:sz="0" w:space="0" w:color="auto"/>
                <w:left w:val="none" w:sz="0" w:space="0" w:color="auto"/>
                <w:bottom w:val="none" w:sz="0" w:space="0" w:color="auto"/>
                <w:right w:val="none" w:sz="0" w:space="0" w:color="auto"/>
              </w:divBdr>
              <w:divsChild>
                <w:div w:id="11137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654358">
      <w:bodyDiv w:val="1"/>
      <w:marLeft w:val="0"/>
      <w:marRight w:val="0"/>
      <w:marTop w:val="0"/>
      <w:marBottom w:val="0"/>
      <w:divBdr>
        <w:top w:val="none" w:sz="0" w:space="0" w:color="auto"/>
        <w:left w:val="none" w:sz="0" w:space="0" w:color="auto"/>
        <w:bottom w:val="none" w:sz="0" w:space="0" w:color="auto"/>
        <w:right w:val="none" w:sz="0" w:space="0" w:color="auto"/>
      </w:divBdr>
      <w:divsChild>
        <w:div w:id="1821338746">
          <w:marLeft w:val="0"/>
          <w:marRight w:val="0"/>
          <w:marTop w:val="0"/>
          <w:marBottom w:val="0"/>
          <w:divBdr>
            <w:top w:val="none" w:sz="0" w:space="0" w:color="auto"/>
            <w:left w:val="none" w:sz="0" w:space="0" w:color="auto"/>
            <w:bottom w:val="none" w:sz="0" w:space="0" w:color="auto"/>
            <w:right w:val="none" w:sz="0" w:space="0" w:color="auto"/>
          </w:divBdr>
          <w:divsChild>
            <w:div w:id="1848402016">
              <w:marLeft w:val="0"/>
              <w:marRight w:val="0"/>
              <w:marTop w:val="0"/>
              <w:marBottom w:val="0"/>
              <w:divBdr>
                <w:top w:val="none" w:sz="0" w:space="0" w:color="auto"/>
                <w:left w:val="none" w:sz="0" w:space="0" w:color="auto"/>
                <w:bottom w:val="none" w:sz="0" w:space="0" w:color="auto"/>
                <w:right w:val="none" w:sz="0" w:space="0" w:color="auto"/>
              </w:divBdr>
              <w:divsChild>
                <w:div w:id="175127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2352670">
      <w:bodyDiv w:val="1"/>
      <w:marLeft w:val="0"/>
      <w:marRight w:val="0"/>
      <w:marTop w:val="0"/>
      <w:marBottom w:val="0"/>
      <w:divBdr>
        <w:top w:val="none" w:sz="0" w:space="0" w:color="auto"/>
        <w:left w:val="none" w:sz="0" w:space="0" w:color="auto"/>
        <w:bottom w:val="none" w:sz="0" w:space="0" w:color="auto"/>
        <w:right w:val="none" w:sz="0" w:space="0" w:color="auto"/>
      </w:divBdr>
    </w:div>
    <w:div w:id="636760311">
      <w:bodyDiv w:val="1"/>
      <w:marLeft w:val="0"/>
      <w:marRight w:val="0"/>
      <w:marTop w:val="0"/>
      <w:marBottom w:val="0"/>
      <w:divBdr>
        <w:top w:val="none" w:sz="0" w:space="0" w:color="auto"/>
        <w:left w:val="none" w:sz="0" w:space="0" w:color="auto"/>
        <w:bottom w:val="none" w:sz="0" w:space="0" w:color="auto"/>
        <w:right w:val="none" w:sz="0" w:space="0" w:color="auto"/>
      </w:divBdr>
    </w:div>
    <w:div w:id="660500369">
      <w:bodyDiv w:val="1"/>
      <w:marLeft w:val="0"/>
      <w:marRight w:val="0"/>
      <w:marTop w:val="0"/>
      <w:marBottom w:val="0"/>
      <w:divBdr>
        <w:top w:val="none" w:sz="0" w:space="0" w:color="auto"/>
        <w:left w:val="none" w:sz="0" w:space="0" w:color="auto"/>
        <w:bottom w:val="none" w:sz="0" w:space="0" w:color="auto"/>
        <w:right w:val="none" w:sz="0" w:space="0" w:color="auto"/>
      </w:divBdr>
    </w:div>
    <w:div w:id="674454366">
      <w:bodyDiv w:val="1"/>
      <w:marLeft w:val="0"/>
      <w:marRight w:val="0"/>
      <w:marTop w:val="0"/>
      <w:marBottom w:val="0"/>
      <w:divBdr>
        <w:top w:val="none" w:sz="0" w:space="0" w:color="auto"/>
        <w:left w:val="none" w:sz="0" w:space="0" w:color="auto"/>
        <w:bottom w:val="none" w:sz="0" w:space="0" w:color="auto"/>
        <w:right w:val="none" w:sz="0" w:space="0" w:color="auto"/>
      </w:divBdr>
    </w:div>
    <w:div w:id="681784546">
      <w:bodyDiv w:val="1"/>
      <w:marLeft w:val="0"/>
      <w:marRight w:val="0"/>
      <w:marTop w:val="0"/>
      <w:marBottom w:val="0"/>
      <w:divBdr>
        <w:top w:val="none" w:sz="0" w:space="0" w:color="auto"/>
        <w:left w:val="none" w:sz="0" w:space="0" w:color="auto"/>
        <w:bottom w:val="none" w:sz="0" w:space="0" w:color="auto"/>
        <w:right w:val="none" w:sz="0" w:space="0" w:color="auto"/>
      </w:divBdr>
    </w:div>
    <w:div w:id="695346960">
      <w:bodyDiv w:val="1"/>
      <w:marLeft w:val="0"/>
      <w:marRight w:val="0"/>
      <w:marTop w:val="0"/>
      <w:marBottom w:val="0"/>
      <w:divBdr>
        <w:top w:val="none" w:sz="0" w:space="0" w:color="auto"/>
        <w:left w:val="none" w:sz="0" w:space="0" w:color="auto"/>
        <w:bottom w:val="none" w:sz="0" w:space="0" w:color="auto"/>
        <w:right w:val="none" w:sz="0" w:space="0" w:color="auto"/>
      </w:divBdr>
      <w:divsChild>
        <w:div w:id="1337732821">
          <w:marLeft w:val="0"/>
          <w:marRight w:val="0"/>
          <w:marTop w:val="0"/>
          <w:marBottom w:val="0"/>
          <w:divBdr>
            <w:top w:val="none" w:sz="0" w:space="0" w:color="auto"/>
            <w:left w:val="none" w:sz="0" w:space="0" w:color="auto"/>
            <w:bottom w:val="none" w:sz="0" w:space="0" w:color="auto"/>
            <w:right w:val="none" w:sz="0" w:space="0" w:color="auto"/>
          </w:divBdr>
          <w:divsChild>
            <w:div w:id="1048838927">
              <w:marLeft w:val="0"/>
              <w:marRight w:val="0"/>
              <w:marTop w:val="0"/>
              <w:marBottom w:val="0"/>
              <w:divBdr>
                <w:top w:val="none" w:sz="0" w:space="0" w:color="auto"/>
                <w:left w:val="none" w:sz="0" w:space="0" w:color="auto"/>
                <w:bottom w:val="none" w:sz="0" w:space="0" w:color="auto"/>
                <w:right w:val="none" w:sz="0" w:space="0" w:color="auto"/>
              </w:divBdr>
              <w:divsChild>
                <w:div w:id="1287002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8253688">
      <w:bodyDiv w:val="1"/>
      <w:marLeft w:val="0"/>
      <w:marRight w:val="0"/>
      <w:marTop w:val="0"/>
      <w:marBottom w:val="0"/>
      <w:divBdr>
        <w:top w:val="none" w:sz="0" w:space="0" w:color="auto"/>
        <w:left w:val="none" w:sz="0" w:space="0" w:color="auto"/>
        <w:bottom w:val="none" w:sz="0" w:space="0" w:color="auto"/>
        <w:right w:val="none" w:sz="0" w:space="0" w:color="auto"/>
      </w:divBdr>
    </w:div>
    <w:div w:id="820007151">
      <w:bodyDiv w:val="1"/>
      <w:marLeft w:val="0"/>
      <w:marRight w:val="0"/>
      <w:marTop w:val="0"/>
      <w:marBottom w:val="0"/>
      <w:divBdr>
        <w:top w:val="none" w:sz="0" w:space="0" w:color="auto"/>
        <w:left w:val="none" w:sz="0" w:space="0" w:color="auto"/>
        <w:bottom w:val="none" w:sz="0" w:space="0" w:color="auto"/>
        <w:right w:val="none" w:sz="0" w:space="0" w:color="auto"/>
      </w:divBdr>
    </w:div>
    <w:div w:id="913511195">
      <w:bodyDiv w:val="1"/>
      <w:marLeft w:val="0"/>
      <w:marRight w:val="0"/>
      <w:marTop w:val="0"/>
      <w:marBottom w:val="0"/>
      <w:divBdr>
        <w:top w:val="none" w:sz="0" w:space="0" w:color="auto"/>
        <w:left w:val="none" w:sz="0" w:space="0" w:color="auto"/>
        <w:bottom w:val="none" w:sz="0" w:space="0" w:color="auto"/>
        <w:right w:val="none" w:sz="0" w:space="0" w:color="auto"/>
      </w:divBdr>
    </w:div>
    <w:div w:id="932467858">
      <w:bodyDiv w:val="1"/>
      <w:marLeft w:val="0"/>
      <w:marRight w:val="0"/>
      <w:marTop w:val="0"/>
      <w:marBottom w:val="0"/>
      <w:divBdr>
        <w:top w:val="none" w:sz="0" w:space="0" w:color="auto"/>
        <w:left w:val="none" w:sz="0" w:space="0" w:color="auto"/>
        <w:bottom w:val="none" w:sz="0" w:space="0" w:color="auto"/>
        <w:right w:val="none" w:sz="0" w:space="0" w:color="auto"/>
      </w:divBdr>
    </w:div>
    <w:div w:id="933126585">
      <w:bodyDiv w:val="1"/>
      <w:marLeft w:val="0"/>
      <w:marRight w:val="0"/>
      <w:marTop w:val="0"/>
      <w:marBottom w:val="0"/>
      <w:divBdr>
        <w:top w:val="none" w:sz="0" w:space="0" w:color="auto"/>
        <w:left w:val="none" w:sz="0" w:space="0" w:color="auto"/>
        <w:bottom w:val="none" w:sz="0" w:space="0" w:color="auto"/>
        <w:right w:val="none" w:sz="0" w:space="0" w:color="auto"/>
      </w:divBdr>
    </w:div>
    <w:div w:id="937715469">
      <w:bodyDiv w:val="1"/>
      <w:marLeft w:val="0"/>
      <w:marRight w:val="0"/>
      <w:marTop w:val="0"/>
      <w:marBottom w:val="0"/>
      <w:divBdr>
        <w:top w:val="none" w:sz="0" w:space="0" w:color="auto"/>
        <w:left w:val="none" w:sz="0" w:space="0" w:color="auto"/>
        <w:bottom w:val="none" w:sz="0" w:space="0" w:color="auto"/>
        <w:right w:val="none" w:sz="0" w:space="0" w:color="auto"/>
      </w:divBdr>
    </w:div>
    <w:div w:id="941376504">
      <w:bodyDiv w:val="1"/>
      <w:marLeft w:val="0"/>
      <w:marRight w:val="0"/>
      <w:marTop w:val="0"/>
      <w:marBottom w:val="0"/>
      <w:divBdr>
        <w:top w:val="none" w:sz="0" w:space="0" w:color="auto"/>
        <w:left w:val="none" w:sz="0" w:space="0" w:color="auto"/>
        <w:bottom w:val="none" w:sz="0" w:space="0" w:color="auto"/>
        <w:right w:val="none" w:sz="0" w:space="0" w:color="auto"/>
      </w:divBdr>
    </w:div>
    <w:div w:id="1026054996">
      <w:bodyDiv w:val="1"/>
      <w:marLeft w:val="0"/>
      <w:marRight w:val="0"/>
      <w:marTop w:val="0"/>
      <w:marBottom w:val="0"/>
      <w:divBdr>
        <w:top w:val="none" w:sz="0" w:space="0" w:color="auto"/>
        <w:left w:val="none" w:sz="0" w:space="0" w:color="auto"/>
        <w:bottom w:val="none" w:sz="0" w:space="0" w:color="auto"/>
        <w:right w:val="none" w:sz="0" w:space="0" w:color="auto"/>
      </w:divBdr>
    </w:div>
    <w:div w:id="1052118527">
      <w:bodyDiv w:val="1"/>
      <w:marLeft w:val="0"/>
      <w:marRight w:val="0"/>
      <w:marTop w:val="0"/>
      <w:marBottom w:val="0"/>
      <w:divBdr>
        <w:top w:val="none" w:sz="0" w:space="0" w:color="auto"/>
        <w:left w:val="none" w:sz="0" w:space="0" w:color="auto"/>
        <w:bottom w:val="none" w:sz="0" w:space="0" w:color="auto"/>
        <w:right w:val="none" w:sz="0" w:space="0" w:color="auto"/>
      </w:divBdr>
    </w:div>
    <w:div w:id="1060254862">
      <w:bodyDiv w:val="1"/>
      <w:marLeft w:val="0"/>
      <w:marRight w:val="0"/>
      <w:marTop w:val="0"/>
      <w:marBottom w:val="0"/>
      <w:divBdr>
        <w:top w:val="none" w:sz="0" w:space="0" w:color="auto"/>
        <w:left w:val="none" w:sz="0" w:space="0" w:color="auto"/>
        <w:bottom w:val="none" w:sz="0" w:space="0" w:color="auto"/>
        <w:right w:val="none" w:sz="0" w:space="0" w:color="auto"/>
      </w:divBdr>
    </w:div>
    <w:div w:id="1099907042">
      <w:bodyDiv w:val="1"/>
      <w:marLeft w:val="0"/>
      <w:marRight w:val="0"/>
      <w:marTop w:val="0"/>
      <w:marBottom w:val="0"/>
      <w:divBdr>
        <w:top w:val="none" w:sz="0" w:space="0" w:color="auto"/>
        <w:left w:val="none" w:sz="0" w:space="0" w:color="auto"/>
        <w:bottom w:val="none" w:sz="0" w:space="0" w:color="auto"/>
        <w:right w:val="none" w:sz="0" w:space="0" w:color="auto"/>
      </w:divBdr>
      <w:divsChild>
        <w:div w:id="2032756475">
          <w:marLeft w:val="0"/>
          <w:marRight w:val="0"/>
          <w:marTop w:val="0"/>
          <w:marBottom w:val="0"/>
          <w:divBdr>
            <w:top w:val="none" w:sz="0" w:space="0" w:color="auto"/>
            <w:left w:val="none" w:sz="0" w:space="0" w:color="auto"/>
            <w:bottom w:val="none" w:sz="0" w:space="0" w:color="auto"/>
            <w:right w:val="none" w:sz="0" w:space="0" w:color="auto"/>
          </w:divBdr>
          <w:divsChild>
            <w:div w:id="242109588">
              <w:marLeft w:val="0"/>
              <w:marRight w:val="0"/>
              <w:marTop w:val="0"/>
              <w:marBottom w:val="0"/>
              <w:divBdr>
                <w:top w:val="none" w:sz="0" w:space="0" w:color="auto"/>
                <w:left w:val="none" w:sz="0" w:space="0" w:color="auto"/>
                <w:bottom w:val="none" w:sz="0" w:space="0" w:color="auto"/>
                <w:right w:val="none" w:sz="0" w:space="0" w:color="auto"/>
              </w:divBdr>
              <w:divsChild>
                <w:div w:id="55162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9082876">
      <w:bodyDiv w:val="1"/>
      <w:marLeft w:val="0"/>
      <w:marRight w:val="0"/>
      <w:marTop w:val="0"/>
      <w:marBottom w:val="0"/>
      <w:divBdr>
        <w:top w:val="none" w:sz="0" w:space="0" w:color="auto"/>
        <w:left w:val="none" w:sz="0" w:space="0" w:color="auto"/>
        <w:bottom w:val="none" w:sz="0" w:space="0" w:color="auto"/>
        <w:right w:val="none" w:sz="0" w:space="0" w:color="auto"/>
      </w:divBdr>
    </w:div>
    <w:div w:id="1136071207">
      <w:bodyDiv w:val="1"/>
      <w:marLeft w:val="0"/>
      <w:marRight w:val="0"/>
      <w:marTop w:val="0"/>
      <w:marBottom w:val="0"/>
      <w:divBdr>
        <w:top w:val="none" w:sz="0" w:space="0" w:color="auto"/>
        <w:left w:val="none" w:sz="0" w:space="0" w:color="auto"/>
        <w:bottom w:val="none" w:sz="0" w:space="0" w:color="auto"/>
        <w:right w:val="none" w:sz="0" w:space="0" w:color="auto"/>
      </w:divBdr>
    </w:div>
    <w:div w:id="1153106961">
      <w:bodyDiv w:val="1"/>
      <w:marLeft w:val="0"/>
      <w:marRight w:val="0"/>
      <w:marTop w:val="0"/>
      <w:marBottom w:val="0"/>
      <w:divBdr>
        <w:top w:val="none" w:sz="0" w:space="0" w:color="auto"/>
        <w:left w:val="none" w:sz="0" w:space="0" w:color="auto"/>
        <w:bottom w:val="none" w:sz="0" w:space="0" w:color="auto"/>
        <w:right w:val="none" w:sz="0" w:space="0" w:color="auto"/>
      </w:divBdr>
    </w:div>
    <w:div w:id="1164667138">
      <w:bodyDiv w:val="1"/>
      <w:marLeft w:val="0"/>
      <w:marRight w:val="0"/>
      <w:marTop w:val="0"/>
      <w:marBottom w:val="0"/>
      <w:divBdr>
        <w:top w:val="none" w:sz="0" w:space="0" w:color="auto"/>
        <w:left w:val="none" w:sz="0" w:space="0" w:color="auto"/>
        <w:bottom w:val="none" w:sz="0" w:space="0" w:color="auto"/>
        <w:right w:val="none" w:sz="0" w:space="0" w:color="auto"/>
      </w:divBdr>
    </w:div>
    <w:div w:id="1171330045">
      <w:bodyDiv w:val="1"/>
      <w:marLeft w:val="0"/>
      <w:marRight w:val="0"/>
      <w:marTop w:val="0"/>
      <w:marBottom w:val="0"/>
      <w:divBdr>
        <w:top w:val="none" w:sz="0" w:space="0" w:color="auto"/>
        <w:left w:val="none" w:sz="0" w:space="0" w:color="auto"/>
        <w:bottom w:val="none" w:sz="0" w:space="0" w:color="auto"/>
        <w:right w:val="none" w:sz="0" w:space="0" w:color="auto"/>
      </w:divBdr>
    </w:div>
    <w:div w:id="1203178329">
      <w:bodyDiv w:val="1"/>
      <w:marLeft w:val="0"/>
      <w:marRight w:val="0"/>
      <w:marTop w:val="0"/>
      <w:marBottom w:val="0"/>
      <w:divBdr>
        <w:top w:val="none" w:sz="0" w:space="0" w:color="auto"/>
        <w:left w:val="none" w:sz="0" w:space="0" w:color="auto"/>
        <w:bottom w:val="none" w:sz="0" w:space="0" w:color="auto"/>
        <w:right w:val="none" w:sz="0" w:space="0" w:color="auto"/>
      </w:divBdr>
    </w:div>
    <w:div w:id="1267542854">
      <w:bodyDiv w:val="1"/>
      <w:marLeft w:val="0"/>
      <w:marRight w:val="0"/>
      <w:marTop w:val="0"/>
      <w:marBottom w:val="0"/>
      <w:divBdr>
        <w:top w:val="none" w:sz="0" w:space="0" w:color="auto"/>
        <w:left w:val="none" w:sz="0" w:space="0" w:color="auto"/>
        <w:bottom w:val="none" w:sz="0" w:space="0" w:color="auto"/>
        <w:right w:val="none" w:sz="0" w:space="0" w:color="auto"/>
      </w:divBdr>
    </w:div>
    <w:div w:id="1284966155">
      <w:bodyDiv w:val="1"/>
      <w:marLeft w:val="0"/>
      <w:marRight w:val="0"/>
      <w:marTop w:val="0"/>
      <w:marBottom w:val="0"/>
      <w:divBdr>
        <w:top w:val="none" w:sz="0" w:space="0" w:color="auto"/>
        <w:left w:val="none" w:sz="0" w:space="0" w:color="auto"/>
        <w:bottom w:val="none" w:sz="0" w:space="0" w:color="auto"/>
        <w:right w:val="none" w:sz="0" w:space="0" w:color="auto"/>
      </w:divBdr>
    </w:div>
    <w:div w:id="1286958942">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358236228">
      <w:bodyDiv w:val="1"/>
      <w:marLeft w:val="0"/>
      <w:marRight w:val="0"/>
      <w:marTop w:val="0"/>
      <w:marBottom w:val="0"/>
      <w:divBdr>
        <w:top w:val="none" w:sz="0" w:space="0" w:color="auto"/>
        <w:left w:val="none" w:sz="0" w:space="0" w:color="auto"/>
        <w:bottom w:val="none" w:sz="0" w:space="0" w:color="auto"/>
        <w:right w:val="none" w:sz="0" w:space="0" w:color="auto"/>
      </w:divBdr>
    </w:div>
    <w:div w:id="1386833543">
      <w:bodyDiv w:val="1"/>
      <w:marLeft w:val="0"/>
      <w:marRight w:val="0"/>
      <w:marTop w:val="0"/>
      <w:marBottom w:val="0"/>
      <w:divBdr>
        <w:top w:val="none" w:sz="0" w:space="0" w:color="auto"/>
        <w:left w:val="none" w:sz="0" w:space="0" w:color="auto"/>
        <w:bottom w:val="none" w:sz="0" w:space="0" w:color="auto"/>
        <w:right w:val="none" w:sz="0" w:space="0" w:color="auto"/>
      </w:divBdr>
    </w:div>
    <w:div w:id="1435438175">
      <w:bodyDiv w:val="1"/>
      <w:marLeft w:val="0"/>
      <w:marRight w:val="0"/>
      <w:marTop w:val="0"/>
      <w:marBottom w:val="0"/>
      <w:divBdr>
        <w:top w:val="none" w:sz="0" w:space="0" w:color="auto"/>
        <w:left w:val="none" w:sz="0" w:space="0" w:color="auto"/>
        <w:bottom w:val="none" w:sz="0" w:space="0" w:color="auto"/>
        <w:right w:val="none" w:sz="0" w:space="0" w:color="auto"/>
      </w:divBdr>
    </w:div>
    <w:div w:id="1438791090">
      <w:bodyDiv w:val="1"/>
      <w:marLeft w:val="0"/>
      <w:marRight w:val="0"/>
      <w:marTop w:val="0"/>
      <w:marBottom w:val="0"/>
      <w:divBdr>
        <w:top w:val="none" w:sz="0" w:space="0" w:color="auto"/>
        <w:left w:val="none" w:sz="0" w:space="0" w:color="auto"/>
        <w:bottom w:val="none" w:sz="0" w:space="0" w:color="auto"/>
        <w:right w:val="none" w:sz="0" w:space="0" w:color="auto"/>
      </w:divBdr>
    </w:div>
    <w:div w:id="1460761140">
      <w:bodyDiv w:val="1"/>
      <w:marLeft w:val="0"/>
      <w:marRight w:val="0"/>
      <w:marTop w:val="0"/>
      <w:marBottom w:val="0"/>
      <w:divBdr>
        <w:top w:val="none" w:sz="0" w:space="0" w:color="auto"/>
        <w:left w:val="none" w:sz="0" w:space="0" w:color="auto"/>
        <w:bottom w:val="none" w:sz="0" w:space="0" w:color="auto"/>
        <w:right w:val="none" w:sz="0" w:space="0" w:color="auto"/>
      </w:divBdr>
    </w:div>
    <w:div w:id="1489176895">
      <w:bodyDiv w:val="1"/>
      <w:marLeft w:val="0"/>
      <w:marRight w:val="0"/>
      <w:marTop w:val="0"/>
      <w:marBottom w:val="0"/>
      <w:divBdr>
        <w:top w:val="none" w:sz="0" w:space="0" w:color="auto"/>
        <w:left w:val="none" w:sz="0" w:space="0" w:color="auto"/>
        <w:bottom w:val="none" w:sz="0" w:space="0" w:color="auto"/>
        <w:right w:val="none" w:sz="0" w:space="0" w:color="auto"/>
      </w:divBdr>
      <w:divsChild>
        <w:div w:id="318314957">
          <w:marLeft w:val="0"/>
          <w:marRight w:val="0"/>
          <w:marTop w:val="0"/>
          <w:marBottom w:val="0"/>
          <w:divBdr>
            <w:top w:val="none" w:sz="0" w:space="0" w:color="auto"/>
            <w:left w:val="none" w:sz="0" w:space="0" w:color="auto"/>
            <w:bottom w:val="none" w:sz="0" w:space="0" w:color="auto"/>
            <w:right w:val="none" w:sz="0" w:space="0" w:color="auto"/>
          </w:divBdr>
          <w:divsChild>
            <w:div w:id="2081978473">
              <w:marLeft w:val="0"/>
              <w:marRight w:val="0"/>
              <w:marTop w:val="0"/>
              <w:marBottom w:val="0"/>
              <w:divBdr>
                <w:top w:val="none" w:sz="0" w:space="0" w:color="auto"/>
                <w:left w:val="none" w:sz="0" w:space="0" w:color="auto"/>
                <w:bottom w:val="none" w:sz="0" w:space="0" w:color="auto"/>
                <w:right w:val="none" w:sz="0" w:space="0" w:color="auto"/>
              </w:divBdr>
              <w:divsChild>
                <w:div w:id="90206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022868">
      <w:bodyDiv w:val="1"/>
      <w:marLeft w:val="0"/>
      <w:marRight w:val="0"/>
      <w:marTop w:val="0"/>
      <w:marBottom w:val="0"/>
      <w:divBdr>
        <w:top w:val="none" w:sz="0" w:space="0" w:color="auto"/>
        <w:left w:val="none" w:sz="0" w:space="0" w:color="auto"/>
        <w:bottom w:val="none" w:sz="0" w:space="0" w:color="auto"/>
        <w:right w:val="none" w:sz="0" w:space="0" w:color="auto"/>
      </w:divBdr>
    </w:div>
    <w:div w:id="1519924469">
      <w:bodyDiv w:val="1"/>
      <w:marLeft w:val="0"/>
      <w:marRight w:val="0"/>
      <w:marTop w:val="0"/>
      <w:marBottom w:val="0"/>
      <w:divBdr>
        <w:top w:val="none" w:sz="0" w:space="0" w:color="auto"/>
        <w:left w:val="none" w:sz="0" w:space="0" w:color="auto"/>
        <w:bottom w:val="none" w:sz="0" w:space="0" w:color="auto"/>
        <w:right w:val="none" w:sz="0" w:space="0" w:color="auto"/>
      </w:divBdr>
    </w:div>
    <w:div w:id="1522891932">
      <w:bodyDiv w:val="1"/>
      <w:marLeft w:val="0"/>
      <w:marRight w:val="0"/>
      <w:marTop w:val="0"/>
      <w:marBottom w:val="0"/>
      <w:divBdr>
        <w:top w:val="none" w:sz="0" w:space="0" w:color="auto"/>
        <w:left w:val="none" w:sz="0" w:space="0" w:color="auto"/>
        <w:bottom w:val="none" w:sz="0" w:space="0" w:color="auto"/>
        <w:right w:val="none" w:sz="0" w:space="0" w:color="auto"/>
      </w:divBdr>
    </w:div>
    <w:div w:id="1594165652">
      <w:bodyDiv w:val="1"/>
      <w:marLeft w:val="0"/>
      <w:marRight w:val="0"/>
      <w:marTop w:val="0"/>
      <w:marBottom w:val="0"/>
      <w:divBdr>
        <w:top w:val="none" w:sz="0" w:space="0" w:color="auto"/>
        <w:left w:val="none" w:sz="0" w:space="0" w:color="auto"/>
        <w:bottom w:val="none" w:sz="0" w:space="0" w:color="auto"/>
        <w:right w:val="none" w:sz="0" w:space="0" w:color="auto"/>
      </w:divBdr>
    </w:div>
    <w:div w:id="1605265912">
      <w:bodyDiv w:val="1"/>
      <w:marLeft w:val="0"/>
      <w:marRight w:val="0"/>
      <w:marTop w:val="0"/>
      <w:marBottom w:val="0"/>
      <w:divBdr>
        <w:top w:val="none" w:sz="0" w:space="0" w:color="auto"/>
        <w:left w:val="none" w:sz="0" w:space="0" w:color="auto"/>
        <w:bottom w:val="none" w:sz="0" w:space="0" w:color="auto"/>
        <w:right w:val="none" w:sz="0" w:space="0" w:color="auto"/>
      </w:divBdr>
    </w:div>
    <w:div w:id="1682732533">
      <w:bodyDiv w:val="1"/>
      <w:marLeft w:val="0"/>
      <w:marRight w:val="0"/>
      <w:marTop w:val="0"/>
      <w:marBottom w:val="0"/>
      <w:divBdr>
        <w:top w:val="none" w:sz="0" w:space="0" w:color="auto"/>
        <w:left w:val="none" w:sz="0" w:space="0" w:color="auto"/>
        <w:bottom w:val="none" w:sz="0" w:space="0" w:color="auto"/>
        <w:right w:val="none" w:sz="0" w:space="0" w:color="auto"/>
      </w:divBdr>
    </w:div>
    <w:div w:id="1701280684">
      <w:bodyDiv w:val="1"/>
      <w:marLeft w:val="0"/>
      <w:marRight w:val="0"/>
      <w:marTop w:val="0"/>
      <w:marBottom w:val="0"/>
      <w:divBdr>
        <w:top w:val="none" w:sz="0" w:space="0" w:color="auto"/>
        <w:left w:val="none" w:sz="0" w:space="0" w:color="auto"/>
        <w:bottom w:val="none" w:sz="0" w:space="0" w:color="auto"/>
        <w:right w:val="none" w:sz="0" w:space="0" w:color="auto"/>
      </w:divBdr>
    </w:div>
    <w:div w:id="1707675593">
      <w:bodyDiv w:val="1"/>
      <w:marLeft w:val="0"/>
      <w:marRight w:val="0"/>
      <w:marTop w:val="0"/>
      <w:marBottom w:val="0"/>
      <w:divBdr>
        <w:top w:val="none" w:sz="0" w:space="0" w:color="auto"/>
        <w:left w:val="none" w:sz="0" w:space="0" w:color="auto"/>
        <w:bottom w:val="none" w:sz="0" w:space="0" w:color="auto"/>
        <w:right w:val="none" w:sz="0" w:space="0" w:color="auto"/>
      </w:divBdr>
    </w:div>
    <w:div w:id="1708137212">
      <w:bodyDiv w:val="1"/>
      <w:marLeft w:val="0"/>
      <w:marRight w:val="0"/>
      <w:marTop w:val="0"/>
      <w:marBottom w:val="0"/>
      <w:divBdr>
        <w:top w:val="none" w:sz="0" w:space="0" w:color="auto"/>
        <w:left w:val="none" w:sz="0" w:space="0" w:color="auto"/>
        <w:bottom w:val="none" w:sz="0" w:space="0" w:color="auto"/>
        <w:right w:val="none" w:sz="0" w:space="0" w:color="auto"/>
      </w:divBdr>
    </w:div>
    <w:div w:id="1724064044">
      <w:bodyDiv w:val="1"/>
      <w:marLeft w:val="0"/>
      <w:marRight w:val="0"/>
      <w:marTop w:val="0"/>
      <w:marBottom w:val="0"/>
      <w:divBdr>
        <w:top w:val="none" w:sz="0" w:space="0" w:color="auto"/>
        <w:left w:val="none" w:sz="0" w:space="0" w:color="auto"/>
        <w:bottom w:val="none" w:sz="0" w:space="0" w:color="auto"/>
        <w:right w:val="none" w:sz="0" w:space="0" w:color="auto"/>
      </w:divBdr>
    </w:div>
    <w:div w:id="1744134616">
      <w:bodyDiv w:val="1"/>
      <w:marLeft w:val="0"/>
      <w:marRight w:val="0"/>
      <w:marTop w:val="0"/>
      <w:marBottom w:val="0"/>
      <w:divBdr>
        <w:top w:val="none" w:sz="0" w:space="0" w:color="auto"/>
        <w:left w:val="none" w:sz="0" w:space="0" w:color="auto"/>
        <w:bottom w:val="none" w:sz="0" w:space="0" w:color="auto"/>
        <w:right w:val="none" w:sz="0" w:space="0" w:color="auto"/>
      </w:divBdr>
    </w:div>
    <w:div w:id="1744721494">
      <w:bodyDiv w:val="1"/>
      <w:marLeft w:val="0"/>
      <w:marRight w:val="0"/>
      <w:marTop w:val="0"/>
      <w:marBottom w:val="0"/>
      <w:divBdr>
        <w:top w:val="none" w:sz="0" w:space="0" w:color="auto"/>
        <w:left w:val="none" w:sz="0" w:space="0" w:color="auto"/>
        <w:bottom w:val="none" w:sz="0" w:space="0" w:color="auto"/>
        <w:right w:val="none" w:sz="0" w:space="0" w:color="auto"/>
      </w:divBdr>
    </w:div>
    <w:div w:id="1752657765">
      <w:bodyDiv w:val="1"/>
      <w:marLeft w:val="0"/>
      <w:marRight w:val="0"/>
      <w:marTop w:val="0"/>
      <w:marBottom w:val="0"/>
      <w:divBdr>
        <w:top w:val="none" w:sz="0" w:space="0" w:color="auto"/>
        <w:left w:val="none" w:sz="0" w:space="0" w:color="auto"/>
        <w:bottom w:val="none" w:sz="0" w:space="0" w:color="auto"/>
        <w:right w:val="none" w:sz="0" w:space="0" w:color="auto"/>
      </w:divBdr>
    </w:div>
    <w:div w:id="1869488785">
      <w:bodyDiv w:val="1"/>
      <w:marLeft w:val="0"/>
      <w:marRight w:val="0"/>
      <w:marTop w:val="0"/>
      <w:marBottom w:val="0"/>
      <w:divBdr>
        <w:top w:val="none" w:sz="0" w:space="0" w:color="auto"/>
        <w:left w:val="none" w:sz="0" w:space="0" w:color="auto"/>
        <w:bottom w:val="none" w:sz="0" w:space="0" w:color="auto"/>
        <w:right w:val="none" w:sz="0" w:space="0" w:color="auto"/>
      </w:divBdr>
    </w:div>
    <w:div w:id="1877083599">
      <w:bodyDiv w:val="1"/>
      <w:marLeft w:val="0"/>
      <w:marRight w:val="0"/>
      <w:marTop w:val="0"/>
      <w:marBottom w:val="0"/>
      <w:divBdr>
        <w:top w:val="none" w:sz="0" w:space="0" w:color="auto"/>
        <w:left w:val="none" w:sz="0" w:space="0" w:color="auto"/>
        <w:bottom w:val="none" w:sz="0" w:space="0" w:color="auto"/>
        <w:right w:val="none" w:sz="0" w:space="0" w:color="auto"/>
      </w:divBdr>
      <w:divsChild>
        <w:div w:id="366177294">
          <w:marLeft w:val="0"/>
          <w:marRight w:val="0"/>
          <w:marTop w:val="0"/>
          <w:marBottom w:val="0"/>
          <w:divBdr>
            <w:top w:val="none" w:sz="0" w:space="0" w:color="auto"/>
            <w:left w:val="none" w:sz="0" w:space="0" w:color="auto"/>
            <w:bottom w:val="none" w:sz="0" w:space="0" w:color="auto"/>
            <w:right w:val="none" w:sz="0" w:space="0" w:color="auto"/>
          </w:divBdr>
          <w:divsChild>
            <w:div w:id="127745576">
              <w:marLeft w:val="0"/>
              <w:marRight w:val="0"/>
              <w:marTop w:val="0"/>
              <w:marBottom w:val="0"/>
              <w:divBdr>
                <w:top w:val="none" w:sz="0" w:space="0" w:color="auto"/>
                <w:left w:val="none" w:sz="0" w:space="0" w:color="auto"/>
                <w:bottom w:val="none" w:sz="0" w:space="0" w:color="auto"/>
                <w:right w:val="none" w:sz="0" w:space="0" w:color="auto"/>
              </w:divBdr>
              <w:divsChild>
                <w:div w:id="550969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892474">
      <w:bodyDiv w:val="1"/>
      <w:marLeft w:val="0"/>
      <w:marRight w:val="0"/>
      <w:marTop w:val="0"/>
      <w:marBottom w:val="0"/>
      <w:divBdr>
        <w:top w:val="none" w:sz="0" w:space="0" w:color="auto"/>
        <w:left w:val="none" w:sz="0" w:space="0" w:color="auto"/>
        <w:bottom w:val="none" w:sz="0" w:space="0" w:color="auto"/>
        <w:right w:val="none" w:sz="0" w:space="0" w:color="auto"/>
      </w:divBdr>
    </w:div>
    <w:div w:id="1889685721">
      <w:bodyDiv w:val="1"/>
      <w:marLeft w:val="0"/>
      <w:marRight w:val="0"/>
      <w:marTop w:val="0"/>
      <w:marBottom w:val="0"/>
      <w:divBdr>
        <w:top w:val="none" w:sz="0" w:space="0" w:color="auto"/>
        <w:left w:val="none" w:sz="0" w:space="0" w:color="auto"/>
        <w:bottom w:val="none" w:sz="0" w:space="0" w:color="auto"/>
        <w:right w:val="none" w:sz="0" w:space="0" w:color="auto"/>
      </w:divBdr>
    </w:div>
    <w:div w:id="1895896011">
      <w:bodyDiv w:val="1"/>
      <w:marLeft w:val="0"/>
      <w:marRight w:val="0"/>
      <w:marTop w:val="0"/>
      <w:marBottom w:val="0"/>
      <w:divBdr>
        <w:top w:val="none" w:sz="0" w:space="0" w:color="auto"/>
        <w:left w:val="none" w:sz="0" w:space="0" w:color="auto"/>
        <w:bottom w:val="none" w:sz="0" w:space="0" w:color="auto"/>
        <w:right w:val="none" w:sz="0" w:space="0" w:color="auto"/>
      </w:divBdr>
    </w:div>
    <w:div w:id="1956406866">
      <w:bodyDiv w:val="1"/>
      <w:marLeft w:val="0"/>
      <w:marRight w:val="0"/>
      <w:marTop w:val="0"/>
      <w:marBottom w:val="0"/>
      <w:divBdr>
        <w:top w:val="none" w:sz="0" w:space="0" w:color="auto"/>
        <w:left w:val="none" w:sz="0" w:space="0" w:color="auto"/>
        <w:bottom w:val="none" w:sz="0" w:space="0" w:color="auto"/>
        <w:right w:val="none" w:sz="0" w:space="0" w:color="auto"/>
      </w:divBdr>
      <w:divsChild>
        <w:div w:id="189923678">
          <w:marLeft w:val="0"/>
          <w:marRight w:val="0"/>
          <w:marTop w:val="0"/>
          <w:marBottom w:val="0"/>
          <w:divBdr>
            <w:top w:val="none" w:sz="0" w:space="0" w:color="auto"/>
            <w:left w:val="none" w:sz="0" w:space="0" w:color="auto"/>
            <w:bottom w:val="none" w:sz="0" w:space="0" w:color="auto"/>
            <w:right w:val="none" w:sz="0" w:space="0" w:color="auto"/>
          </w:divBdr>
          <w:divsChild>
            <w:div w:id="347606387">
              <w:marLeft w:val="0"/>
              <w:marRight w:val="0"/>
              <w:marTop w:val="0"/>
              <w:marBottom w:val="0"/>
              <w:divBdr>
                <w:top w:val="none" w:sz="0" w:space="0" w:color="auto"/>
                <w:left w:val="none" w:sz="0" w:space="0" w:color="auto"/>
                <w:bottom w:val="none" w:sz="0" w:space="0" w:color="auto"/>
                <w:right w:val="none" w:sz="0" w:space="0" w:color="auto"/>
              </w:divBdr>
              <w:divsChild>
                <w:div w:id="116752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011783">
      <w:bodyDiv w:val="1"/>
      <w:marLeft w:val="0"/>
      <w:marRight w:val="0"/>
      <w:marTop w:val="0"/>
      <w:marBottom w:val="0"/>
      <w:divBdr>
        <w:top w:val="none" w:sz="0" w:space="0" w:color="auto"/>
        <w:left w:val="none" w:sz="0" w:space="0" w:color="auto"/>
        <w:bottom w:val="none" w:sz="0" w:space="0" w:color="auto"/>
        <w:right w:val="none" w:sz="0" w:space="0" w:color="auto"/>
      </w:divBdr>
    </w:div>
    <w:div w:id="2097166973">
      <w:bodyDiv w:val="1"/>
      <w:marLeft w:val="0"/>
      <w:marRight w:val="0"/>
      <w:marTop w:val="0"/>
      <w:marBottom w:val="0"/>
      <w:divBdr>
        <w:top w:val="none" w:sz="0" w:space="0" w:color="auto"/>
        <w:left w:val="none" w:sz="0" w:space="0" w:color="auto"/>
        <w:bottom w:val="none" w:sz="0" w:space="0" w:color="auto"/>
        <w:right w:val="none" w:sz="0" w:space="0" w:color="auto"/>
      </w:divBdr>
      <w:divsChild>
        <w:div w:id="1772432827">
          <w:marLeft w:val="0"/>
          <w:marRight w:val="0"/>
          <w:marTop w:val="0"/>
          <w:marBottom w:val="0"/>
          <w:divBdr>
            <w:top w:val="none" w:sz="0" w:space="0" w:color="auto"/>
            <w:left w:val="none" w:sz="0" w:space="0" w:color="auto"/>
            <w:bottom w:val="none" w:sz="0" w:space="0" w:color="auto"/>
            <w:right w:val="none" w:sz="0" w:space="0" w:color="auto"/>
          </w:divBdr>
          <w:divsChild>
            <w:div w:id="835607488">
              <w:marLeft w:val="0"/>
              <w:marRight w:val="0"/>
              <w:marTop w:val="0"/>
              <w:marBottom w:val="0"/>
              <w:divBdr>
                <w:top w:val="none" w:sz="0" w:space="0" w:color="auto"/>
                <w:left w:val="none" w:sz="0" w:space="0" w:color="auto"/>
                <w:bottom w:val="none" w:sz="0" w:space="0" w:color="auto"/>
                <w:right w:val="none" w:sz="0" w:space="0" w:color="auto"/>
              </w:divBdr>
              <w:divsChild>
                <w:div w:id="916328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1855061">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43690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theme" Target="theme/theme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ntTable" Target="fontTable.xml" Id="rId14" /></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www.alcaldiabogota.gov.co/sisjur/normas/Norma1.jsp?i=4329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2.xml><?xml version="1.0" encoding="utf-8"?>
<ds:datastoreItem xmlns:ds="http://schemas.openxmlformats.org/officeDocument/2006/customXml" ds:itemID="{14B8449B-2B19-499F-8016-DCEC86B6C800}">
  <ds:schemaRefs>
    <ds:schemaRef ds:uri="http://schemas.microsoft.com/office/2006/metadata/propertie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F17FBCF1-38E0-4F7D-948D-6E090476C894}">
  <ds:schemaRefs>
    <ds:schemaRef ds:uri="http://schemas.openxmlformats.org/officeDocument/2006/bibliography"/>
  </ds:schemaRefs>
</ds:datastoreItem>
</file>

<file path=customXml/itemProps4.xml><?xml version="1.0" encoding="utf-8"?>
<ds:datastoreItem xmlns:ds="http://schemas.openxmlformats.org/officeDocument/2006/customXml" ds:itemID="{DBEAB5C8-3F68-4A05-B444-20498F3376D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Respuesta a consultas</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Diego Jesus Ortega Cruz</cp:lastModifiedBy>
  <cp:revision>12</cp:revision>
  <cp:lastPrinted>2020-01-30T15:05:00Z</cp:lastPrinted>
  <dcterms:created xsi:type="dcterms:W3CDTF">2020-06-24T18:03:00Z</dcterms:created>
  <dcterms:modified xsi:type="dcterms:W3CDTF">2024-10-01T19:29:11Z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