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050476" w14:textId="3242F0C5" w:rsidR="00D36194" w:rsidRPr="00481068" w:rsidRDefault="00D36194" w:rsidP="00046793">
      <w:pPr>
        <w:spacing w:before="120" w:after="120"/>
        <w:contextualSpacing/>
        <w:jc w:val="both"/>
        <w:rPr>
          <w:rFonts w:ascii="Arial" w:eastAsia="Calibri" w:hAnsi="Arial" w:cs="Arial"/>
          <w:b/>
          <w:bCs/>
          <w:color w:val="000000" w:themeColor="text1"/>
          <w:sz w:val="22"/>
          <w:szCs w:val="22"/>
          <w:lang w:val="es-ES_tradnl" w:eastAsia="en-US"/>
        </w:rPr>
      </w:pPr>
      <w:r w:rsidRPr="00481068">
        <w:rPr>
          <w:rFonts w:ascii="Arial" w:eastAsia="Calibri" w:hAnsi="Arial" w:cs="Arial"/>
          <w:b/>
          <w:bCs/>
          <w:color w:val="000000" w:themeColor="text1"/>
          <w:sz w:val="22"/>
          <w:szCs w:val="22"/>
          <w:lang w:val="es-ES_tradnl" w:eastAsia="en-US"/>
        </w:rPr>
        <w:t>LEY DE GARANTÍAS ELECTORALES – Finalidad</w:t>
      </w:r>
    </w:p>
    <w:p w14:paraId="6188F5BC" w14:textId="77777777" w:rsidR="00D36194" w:rsidRPr="00481068" w:rsidRDefault="00D36194" w:rsidP="00046793">
      <w:pPr>
        <w:spacing w:before="120" w:after="120"/>
        <w:contextualSpacing/>
        <w:jc w:val="both"/>
        <w:rPr>
          <w:rFonts w:ascii="Arial" w:eastAsia="Calibri" w:hAnsi="Arial" w:cs="Arial"/>
          <w:color w:val="000000" w:themeColor="text1"/>
          <w:sz w:val="20"/>
          <w:szCs w:val="20"/>
          <w:lang w:val="es-ES_tradnl" w:eastAsia="en-US"/>
        </w:rPr>
      </w:pPr>
    </w:p>
    <w:p w14:paraId="5E482974" w14:textId="39E9FABB" w:rsidR="00D36194" w:rsidRPr="00481068" w:rsidRDefault="00D36194" w:rsidP="00046793">
      <w:pPr>
        <w:tabs>
          <w:tab w:val="left" w:pos="426"/>
        </w:tabs>
        <w:spacing w:before="120" w:after="120"/>
        <w:jc w:val="both"/>
        <w:rPr>
          <w:rFonts w:ascii="Arial" w:hAnsi="Arial" w:cs="Arial"/>
          <w:bCs/>
          <w:color w:val="000000" w:themeColor="text1"/>
          <w:sz w:val="20"/>
          <w:szCs w:val="20"/>
          <w:lang w:eastAsia="es-CO"/>
        </w:rPr>
      </w:pPr>
      <w:r w:rsidRPr="00481068">
        <w:rPr>
          <w:rFonts w:ascii="Arial" w:hAnsi="Arial" w:cs="Arial"/>
          <w:bCs/>
          <w:color w:val="000000" w:themeColor="text1"/>
          <w:sz w:val="20"/>
          <w:szCs w:val="20"/>
          <w:lang w:eastAsia="es-CO"/>
        </w:rPr>
        <w:t>El ordenamiento jurídico colombiano contempla previsiones claras para evitar la obtención de beneficios personales en asuntos propios de la administración pública</w:t>
      </w:r>
      <w:r w:rsidRPr="00481068">
        <w:rPr>
          <w:rFonts w:ascii="Arial" w:hAnsi="Arial" w:cs="Arial"/>
          <w:bCs/>
          <w:i/>
          <w:iCs/>
          <w:color w:val="000000" w:themeColor="text1"/>
          <w:sz w:val="20"/>
          <w:szCs w:val="20"/>
          <w:lang w:eastAsia="es-CO"/>
        </w:rPr>
        <w:t xml:space="preserve">. </w:t>
      </w:r>
      <w:r w:rsidRPr="00481068">
        <w:rPr>
          <w:rFonts w:ascii="Arial" w:hAnsi="Arial" w:cs="Arial"/>
          <w:bCs/>
          <w:color w:val="000000" w:themeColor="text1"/>
          <w:sz w:val="20"/>
          <w:szCs w:val="20"/>
          <w:lang w:eastAsia="es-CO"/>
        </w:rPr>
        <w:t>Por ejemplo, el artículo 127 de la Constitución Política establece una prohibición contractual a los servidores públicos y en cuanto a aspectos políticos consagra restricciones a ciertos empleados del Estado, incluso en época no electoral. En el mismo sentido</w:t>
      </w:r>
      <w:r w:rsidRPr="00481068">
        <w:rPr>
          <w:rFonts w:ascii="Arial" w:hAnsi="Arial" w:cs="Arial"/>
          <w:bCs/>
          <w:color w:val="000000" w:themeColor="text1"/>
          <w:sz w:val="20"/>
          <w:szCs w:val="20"/>
          <w:lang w:val="es-MX" w:eastAsia="es-CO"/>
        </w:rPr>
        <w:t>, 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481068">
        <w:rPr>
          <w:rFonts w:ascii="Arial" w:hAnsi="Arial" w:cs="Arial"/>
          <w:bCs/>
          <w:color w:val="000000" w:themeColor="text1"/>
          <w:sz w:val="20"/>
          <w:szCs w:val="20"/>
          <w:lang w:val="es-ES_tradnl" w:eastAsia="es-CO"/>
        </w:rPr>
        <w:t xml:space="preserve"> </w:t>
      </w:r>
      <w:r w:rsidRPr="00481068">
        <w:rPr>
          <w:rFonts w:ascii="Arial" w:hAnsi="Arial" w:cs="Arial"/>
          <w:bCs/>
          <w:color w:val="000000" w:themeColor="text1"/>
          <w:sz w:val="20"/>
          <w:szCs w:val="20"/>
          <w:lang w:val="es-MX" w:eastAsia="es-CO"/>
        </w:rPr>
        <w:t>En armonía con lo anterior, la Corte Constitucional ha abordado la definición de la Ley de Garantías Electorales</w:t>
      </w:r>
      <w:r w:rsidRPr="00481068">
        <w:rPr>
          <w:rFonts w:ascii="Arial" w:hAnsi="Arial" w:cs="Arial"/>
          <w:bCs/>
          <w:color w:val="000000" w:themeColor="text1"/>
          <w:sz w:val="20"/>
          <w:szCs w:val="20"/>
          <w:lang w:val="es-ES_tradnl" w:eastAsia="es-CO"/>
        </w:rPr>
        <w:t xml:space="preserve">. </w:t>
      </w:r>
      <w:r w:rsidRPr="00481068">
        <w:rPr>
          <w:rFonts w:ascii="Arial" w:hAnsi="Arial" w:cs="Arial"/>
          <w:bCs/>
          <w:color w:val="000000" w:themeColor="text1"/>
          <w:sz w:val="20"/>
          <w:szCs w:val="20"/>
          <w:lang w:val="es-MX" w:eastAsia="es-CO"/>
        </w:rPr>
        <w:t xml:space="preserve">En este contexto,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w:t>
      </w:r>
      <w:r w:rsidR="00046793">
        <w:rPr>
          <w:rFonts w:ascii="Arial" w:hAnsi="Arial" w:cs="Arial"/>
          <w:bCs/>
          <w:color w:val="000000" w:themeColor="text1"/>
          <w:sz w:val="20"/>
          <w:szCs w:val="20"/>
          <w:lang w:val="es-MX" w:eastAsia="es-CO"/>
        </w:rPr>
        <w:t>i</w:t>
      </w:r>
      <w:r w:rsidRPr="00481068">
        <w:rPr>
          <w:rFonts w:ascii="Arial" w:hAnsi="Arial" w:cs="Arial"/>
          <w:bCs/>
          <w:color w:val="000000" w:themeColor="text1"/>
          <w:sz w:val="20"/>
          <w:szCs w:val="20"/>
          <w:lang w:val="es-MX" w:eastAsia="es-CO"/>
        </w:rPr>
        <w:t>nterpretarse restrictivamente</w:t>
      </w:r>
    </w:p>
    <w:p w14:paraId="2CE9BBFF" w14:textId="2EB112BB" w:rsidR="00D36194" w:rsidRPr="00481068" w:rsidRDefault="00046793" w:rsidP="00046793">
      <w:pPr>
        <w:widowControl w:val="0"/>
        <w:autoSpaceDE w:val="0"/>
        <w:autoSpaceDN w:val="0"/>
        <w:spacing w:before="94"/>
        <w:ind w:right="533"/>
        <w:rPr>
          <w:rFonts w:ascii="Arial" w:eastAsia="Calibri" w:hAnsi="Arial" w:cs="Arial"/>
          <w:b/>
          <w:bCs/>
          <w:color w:val="000000" w:themeColor="text1"/>
          <w:sz w:val="22"/>
          <w:szCs w:val="22"/>
          <w:lang w:val="es-ES_tradnl" w:eastAsia="en-US"/>
        </w:rPr>
      </w:pPr>
      <w:bookmarkStart w:id="0" w:name="_Hlk77152637"/>
      <w:bookmarkStart w:id="1" w:name="_Hlk77157066"/>
      <w:r w:rsidRPr="00D05CF9">
        <w:rPr>
          <w:rFonts w:ascii="Arial" w:eastAsia="Arial MT" w:hAnsi="Arial" w:cs="Arial"/>
          <w:b/>
          <w:bCs/>
          <w:color w:val="585858"/>
          <w:sz w:val="22"/>
          <w:szCs w:val="22"/>
          <w:lang w:val="es-ES" w:eastAsia="en-US"/>
        </w:rPr>
        <w:t>L</w:t>
      </w:r>
      <w:r w:rsidR="00D36194" w:rsidRPr="00D05CF9">
        <w:rPr>
          <w:rFonts w:ascii="Arial" w:eastAsia="Calibri" w:hAnsi="Arial" w:cs="Arial"/>
          <w:b/>
          <w:bCs/>
          <w:color w:val="000000" w:themeColor="text1"/>
          <w:sz w:val="22"/>
          <w:szCs w:val="22"/>
          <w:lang w:val="es-ES_tradnl" w:eastAsia="en-US"/>
        </w:rPr>
        <w:t>EY</w:t>
      </w:r>
      <w:r w:rsidR="00D36194" w:rsidRPr="00481068">
        <w:rPr>
          <w:rFonts w:ascii="Arial" w:eastAsia="Calibri" w:hAnsi="Arial" w:cs="Arial"/>
          <w:b/>
          <w:bCs/>
          <w:color w:val="000000" w:themeColor="text1"/>
          <w:sz w:val="22"/>
          <w:szCs w:val="22"/>
          <w:lang w:val="es-ES_tradnl" w:eastAsia="en-US"/>
        </w:rPr>
        <w:t xml:space="preserve"> DE GARANTÍAS ELECTORALES ‒</w:t>
      </w:r>
      <w:bookmarkEnd w:id="0"/>
      <w:r w:rsidR="00D36194" w:rsidRPr="00481068">
        <w:rPr>
          <w:rFonts w:ascii="Arial" w:eastAsia="Calibri" w:hAnsi="Arial" w:cs="Arial"/>
          <w:b/>
          <w:bCs/>
          <w:color w:val="000000" w:themeColor="text1"/>
          <w:sz w:val="22"/>
          <w:szCs w:val="22"/>
          <w:lang w:val="es-ES_tradnl" w:eastAsia="en-US"/>
        </w:rPr>
        <w:t xml:space="preserve"> Restricciones </w:t>
      </w:r>
      <w:bookmarkStart w:id="2" w:name="_Hlk77157034"/>
      <w:r w:rsidR="00D36194" w:rsidRPr="00481068">
        <w:rPr>
          <w:rFonts w:ascii="Arial" w:eastAsia="Calibri" w:hAnsi="Arial" w:cs="Arial"/>
          <w:b/>
          <w:bCs/>
          <w:color w:val="000000" w:themeColor="text1"/>
          <w:sz w:val="22"/>
          <w:szCs w:val="22"/>
          <w:lang w:val="es-ES_tradnl" w:eastAsia="en-US"/>
        </w:rPr>
        <w:t xml:space="preserve">‒ </w:t>
      </w:r>
      <w:bookmarkEnd w:id="2"/>
      <w:r w:rsidR="00D36194" w:rsidRPr="00481068">
        <w:rPr>
          <w:rFonts w:ascii="Arial" w:eastAsia="Calibri" w:hAnsi="Arial" w:cs="Arial"/>
          <w:b/>
          <w:bCs/>
          <w:color w:val="000000" w:themeColor="text1"/>
          <w:sz w:val="22"/>
          <w:szCs w:val="22"/>
          <w:lang w:val="es-ES_tradnl" w:eastAsia="en-US"/>
        </w:rPr>
        <w:t>Contratación</w:t>
      </w:r>
      <w:bookmarkStart w:id="3" w:name="_Hlk77153098"/>
      <w:r w:rsidR="00D36194" w:rsidRPr="00481068">
        <w:rPr>
          <w:rFonts w:ascii="Arial" w:eastAsia="Calibri" w:hAnsi="Arial" w:cs="Arial"/>
          <w:b/>
          <w:bCs/>
          <w:color w:val="000000" w:themeColor="text1"/>
          <w:sz w:val="22"/>
          <w:szCs w:val="22"/>
          <w:lang w:val="es-ES_tradnl" w:eastAsia="en-US"/>
        </w:rPr>
        <w:t xml:space="preserve"> ‒ Tipos de elección</w:t>
      </w:r>
      <w:bookmarkEnd w:id="3"/>
      <w:r w:rsidR="00D36194" w:rsidRPr="00481068">
        <w:rPr>
          <w:rFonts w:ascii="Arial" w:eastAsia="Calibri" w:hAnsi="Arial" w:cs="Arial"/>
          <w:b/>
          <w:bCs/>
          <w:color w:val="000000" w:themeColor="text1"/>
          <w:sz w:val="22"/>
          <w:szCs w:val="22"/>
          <w:lang w:val="es-ES_tradnl" w:eastAsia="en-US"/>
        </w:rPr>
        <w:t xml:space="preserve"> </w:t>
      </w:r>
    </w:p>
    <w:p w14:paraId="689EBCFD" w14:textId="31CB7E15" w:rsidR="00D36194" w:rsidRPr="00481068" w:rsidRDefault="00D36194" w:rsidP="00046793">
      <w:pPr>
        <w:tabs>
          <w:tab w:val="left" w:pos="426"/>
        </w:tabs>
        <w:spacing w:before="120" w:after="120"/>
        <w:jc w:val="both"/>
        <w:rPr>
          <w:rFonts w:ascii="Arial" w:hAnsi="Arial" w:cs="Arial"/>
          <w:bCs/>
          <w:color w:val="000000" w:themeColor="text1"/>
          <w:sz w:val="20"/>
          <w:szCs w:val="20"/>
          <w:lang w:val="es-ES_tradnl" w:eastAsia="es-CO" w:bidi="es-ES"/>
        </w:rPr>
      </w:pPr>
      <w:bookmarkStart w:id="4" w:name="_Hlk77165666"/>
      <w:bookmarkEnd w:id="1"/>
      <w:r w:rsidRPr="00481068">
        <w:rPr>
          <w:rFonts w:ascii="Arial" w:hAnsi="Arial" w:cs="Arial"/>
          <w:bCs/>
          <w:color w:val="000000" w:themeColor="text1"/>
          <w:sz w:val="20"/>
          <w:szCs w:val="20"/>
          <w:lang w:val="es-ES_tradnl" w:eastAsia="es-CO"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 </w:t>
      </w:r>
      <w:r w:rsidRPr="00481068">
        <w:rPr>
          <w:rFonts w:ascii="Arial" w:hAnsi="Arial" w:cs="Arial"/>
          <w:bCs/>
          <w:color w:val="000000" w:themeColor="text1"/>
          <w:sz w:val="20"/>
          <w:szCs w:val="20"/>
          <w:lang w:eastAsia="es-CO"/>
        </w:rPr>
        <w:t>Por un lado,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81068">
        <w:rPr>
          <w:rFonts w:ascii="Arial" w:hAnsi="Arial" w:cs="Arial"/>
          <w:bCs/>
          <w:color w:val="000000" w:themeColor="text1"/>
          <w:sz w:val="20"/>
          <w:szCs w:val="20"/>
          <w:lang w:val="es-ES_tradnl" w:eastAsia="es-CO" w:bidi="es-ES"/>
        </w:rPr>
        <w:t xml:space="preserve"> </w:t>
      </w:r>
      <w:r w:rsidRPr="00481068">
        <w:rPr>
          <w:rFonts w:ascii="Arial" w:hAnsi="Arial" w:cs="Arial"/>
          <w:bCs/>
          <w:color w:val="000000" w:themeColor="text1"/>
          <w:sz w:val="20"/>
          <w:szCs w:val="20"/>
          <w:lang w:eastAsia="es-CO"/>
        </w:rPr>
        <w:t xml:space="preserve">Por otro lado,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w:t>
      </w:r>
      <w:r w:rsidRPr="00481068">
        <w:rPr>
          <w:rFonts w:ascii="Arial" w:hAnsi="Arial" w:cs="Arial"/>
          <w:bCs/>
          <w:color w:val="000000" w:themeColor="text1"/>
          <w:sz w:val="20"/>
          <w:szCs w:val="20"/>
          <w:lang w:val="es-MX" w:eastAsia="es-CO"/>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w:t>
      </w:r>
      <w:r w:rsidR="00046793">
        <w:rPr>
          <w:rFonts w:ascii="Arial" w:hAnsi="Arial" w:cs="Arial"/>
          <w:bCs/>
          <w:color w:val="000000" w:themeColor="text1"/>
          <w:sz w:val="20"/>
          <w:szCs w:val="20"/>
          <w:lang w:val="es-MX" w:eastAsia="es-CO"/>
        </w:rPr>
        <w:t xml:space="preserve">a. </w:t>
      </w:r>
    </w:p>
    <w:p w14:paraId="63F2DA97" w14:textId="77777777" w:rsidR="00D05CF9" w:rsidRDefault="00D05CF9" w:rsidP="00046793">
      <w:pPr>
        <w:tabs>
          <w:tab w:val="left" w:pos="426"/>
        </w:tabs>
        <w:spacing w:before="120" w:after="120"/>
        <w:jc w:val="both"/>
        <w:rPr>
          <w:rFonts w:ascii="Arial" w:eastAsia="Calibri" w:hAnsi="Arial" w:cs="Arial"/>
          <w:b/>
          <w:bCs/>
          <w:sz w:val="22"/>
          <w:szCs w:val="22"/>
          <w:lang w:val="es-ES_tradnl" w:eastAsia="en-US"/>
        </w:rPr>
      </w:pPr>
    </w:p>
    <w:p w14:paraId="29D96B64" w14:textId="77777777" w:rsidR="00D05CF9" w:rsidRDefault="00D05CF9" w:rsidP="00046793">
      <w:pPr>
        <w:tabs>
          <w:tab w:val="left" w:pos="426"/>
        </w:tabs>
        <w:spacing w:before="120" w:after="120"/>
        <w:jc w:val="both"/>
        <w:rPr>
          <w:rFonts w:ascii="Arial" w:eastAsia="Calibri" w:hAnsi="Arial" w:cs="Arial"/>
          <w:b/>
          <w:bCs/>
          <w:sz w:val="22"/>
          <w:szCs w:val="22"/>
          <w:lang w:val="es-ES_tradnl" w:eastAsia="en-US"/>
        </w:rPr>
      </w:pPr>
    </w:p>
    <w:p w14:paraId="2CC535AA" w14:textId="76B8C7E4" w:rsidR="00D36194" w:rsidRPr="00481068" w:rsidRDefault="00D36194" w:rsidP="00046793">
      <w:pPr>
        <w:tabs>
          <w:tab w:val="left" w:pos="426"/>
        </w:tabs>
        <w:spacing w:before="120" w:after="120"/>
        <w:jc w:val="both"/>
        <w:rPr>
          <w:rFonts w:ascii="Arial" w:eastAsia="Calibri" w:hAnsi="Arial" w:cs="Arial"/>
          <w:b/>
          <w:bCs/>
          <w:sz w:val="22"/>
          <w:szCs w:val="22"/>
          <w:lang w:val="es-ES_tradnl" w:eastAsia="en-US"/>
        </w:rPr>
      </w:pPr>
      <w:r w:rsidRPr="00481068">
        <w:rPr>
          <w:rFonts w:ascii="Arial" w:eastAsia="Calibri" w:hAnsi="Arial" w:cs="Arial"/>
          <w:b/>
          <w:bCs/>
          <w:sz w:val="22"/>
          <w:szCs w:val="22"/>
          <w:lang w:val="es-ES_tradnl" w:eastAsia="en-US"/>
        </w:rPr>
        <w:lastRenderedPageBreak/>
        <w:t xml:space="preserve">LEY DE GARANTÍAS ELECTORALES ─ Prohibición artículo 33 ‒ </w:t>
      </w:r>
      <w:bookmarkEnd w:id="4"/>
      <w:r w:rsidRPr="00481068">
        <w:rPr>
          <w:rFonts w:ascii="Arial" w:eastAsia="Calibri" w:hAnsi="Arial" w:cs="Arial"/>
          <w:b/>
          <w:bCs/>
          <w:sz w:val="22"/>
          <w:szCs w:val="22"/>
          <w:lang w:val="es-ES_tradnl" w:eastAsia="en-US"/>
        </w:rPr>
        <w:t xml:space="preserve">Contratación directa ‒ Alcance </w:t>
      </w:r>
    </w:p>
    <w:p w14:paraId="709BF74C" w14:textId="77777777" w:rsidR="00D36194" w:rsidRPr="00481068" w:rsidRDefault="00D36194" w:rsidP="00D36194">
      <w:pPr>
        <w:jc w:val="both"/>
        <w:rPr>
          <w:rFonts w:ascii="Arial" w:hAnsi="Arial" w:cs="Arial"/>
          <w:bCs/>
          <w:sz w:val="20"/>
          <w:szCs w:val="20"/>
          <w:lang w:val="es-ES_tradnl" w:eastAsia="x-none"/>
        </w:rPr>
      </w:pPr>
      <w:r w:rsidRPr="00481068">
        <w:rPr>
          <w:rFonts w:ascii="Arial" w:eastAsia="Calibri" w:hAnsi="Arial" w:cs="Arial"/>
          <w:noProof/>
          <w:sz w:val="20"/>
          <w:szCs w:val="20"/>
          <w:lang w:val="es-ES_tradnl" w:eastAsia="en-US"/>
        </w:rPr>
        <w:t xml:space="preserve">[…] </w:t>
      </w:r>
      <w:r w:rsidRPr="00481068">
        <w:rPr>
          <w:rFonts w:ascii="Arial" w:hAnsi="Arial" w:cs="Arial"/>
          <w:bCs/>
          <w:sz w:val="20"/>
          <w:szCs w:val="20"/>
          <w:lang w:val="es-ES_tradnl" w:eastAsia="x-none"/>
        </w:rPr>
        <w:t>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481068">
        <w:rPr>
          <w:rFonts w:ascii="Arial" w:hAnsi="Arial" w:cs="Arial"/>
          <w:sz w:val="20"/>
          <w:szCs w:val="20"/>
          <w:vertAlign w:val="superscript"/>
          <w:lang w:val="es-ES_tradnl" w:eastAsia="x-none"/>
        </w:rPr>
        <w:t xml:space="preserve">. </w:t>
      </w:r>
      <w:r w:rsidRPr="00481068">
        <w:rPr>
          <w:rFonts w:ascii="Arial" w:hAnsi="Arial" w:cs="Arial"/>
          <w:bCs/>
          <w:sz w:val="20"/>
          <w:szCs w:val="20"/>
          <w:lang w:val="es-ES_tradnl" w:eastAsia="x-none"/>
        </w:rPr>
        <w:t>De lo anterior se desprende que la restricción aplica, sin perjuicio de las excepciones establecidas en la misma ley, para celebrar cualquier contrato de forma directa, esto es, sin que exista un proceso abierto y competitivo.</w:t>
      </w:r>
      <w:r w:rsidRPr="00481068">
        <w:rPr>
          <w:rFonts w:ascii="Arial" w:hAnsi="Arial" w:cs="Arial"/>
          <w:sz w:val="20"/>
          <w:szCs w:val="20"/>
          <w:lang w:val="es-ES_tradnl" w:eastAsia="x-none"/>
        </w:rPr>
        <w:t xml:space="preserve"> Por tanto, no son materia de la prohibición las demás modalidades de selección previstas en la Ley 1150 de 2007, es decir, la licitación pública, el concurso de méritos y la selección abreviada, razón por la cual en ese período preelectoral de que trata la disposición pueden las entidades públicas seguir contratando bajo estos sistemas</w:t>
      </w:r>
    </w:p>
    <w:p w14:paraId="2A6B10F4" w14:textId="77777777" w:rsidR="00D36194" w:rsidRPr="00481068" w:rsidRDefault="00D36194" w:rsidP="00D36194">
      <w:pPr>
        <w:jc w:val="both"/>
        <w:rPr>
          <w:rFonts w:ascii="Arial" w:hAnsi="Arial" w:cs="Arial"/>
          <w:b/>
          <w:bCs/>
          <w:sz w:val="20"/>
          <w:szCs w:val="20"/>
          <w:lang w:val="es-ES_tradnl" w:eastAsia="es-ES"/>
        </w:rPr>
      </w:pPr>
    </w:p>
    <w:p w14:paraId="68761B4F" w14:textId="77777777" w:rsidR="00D36194" w:rsidRPr="00481068" w:rsidRDefault="00D36194" w:rsidP="00D36194">
      <w:pPr>
        <w:shd w:val="clear" w:color="auto" w:fill="FFFFFF"/>
        <w:jc w:val="both"/>
        <w:rPr>
          <w:rFonts w:ascii="Arial" w:hAnsi="Arial" w:cs="Arial"/>
          <w:b/>
          <w:bCs/>
          <w:sz w:val="22"/>
          <w:szCs w:val="22"/>
          <w:lang w:val="es-ES_tradnl" w:eastAsia="es-CO"/>
        </w:rPr>
      </w:pPr>
      <w:r w:rsidRPr="00481068">
        <w:rPr>
          <w:rFonts w:ascii="Arial" w:hAnsi="Arial" w:cs="Arial"/>
          <w:b/>
          <w:bCs/>
          <w:sz w:val="22"/>
          <w:szCs w:val="22"/>
          <w:lang w:val="es-ES_tradnl" w:eastAsia="es-CO"/>
        </w:rPr>
        <w:t xml:space="preserve">LEY DE GARANTÍAS ELECTORALES </w:t>
      </w:r>
      <w:bookmarkStart w:id="5" w:name="_Hlk77022358"/>
      <w:r w:rsidRPr="00481068">
        <w:rPr>
          <w:rFonts w:ascii="Arial" w:hAnsi="Arial" w:cs="Arial"/>
          <w:b/>
          <w:bCs/>
          <w:sz w:val="22"/>
          <w:szCs w:val="22"/>
          <w:lang w:val="es-ES_tradnl" w:eastAsia="es-CO"/>
        </w:rPr>
        <w:t>‒</w:t>
      </w:r>
      <w:bookmarkEnd w:id="5"/>
      <w:r w:rsidRPr="00481068">
        <w:rPr>
          <w:rFonts w:ascii="Arial" w:hAnsi="Arial" w:cs="Arial"/>
          <w:b/>
          <w:bCs/>
          <w:sz w:val="22"/>
          <w:szCs w:val="22"/>
          <w:lang w:val="es-ES_tradnl" w:eastAsia="es-CO"/>
        </w:rPr>
        <w:t xml:space="preserve"> Excepciones</w:t>
      </w:r>
      <w:r w:rsidRPr="00481068">
        <w:rPr>
          <w:rFonts w:ascii="Arial" w:hAnsi="Arial" w:cs="Arial"/>
          <w:b/>
          <w:sz w:val="22"/>
          <w:szCs w:val="22"/>
          <w:lang w:val="es-ES_tradnl" w:eastAsia="es-CO"/>
        </w:rPr>
        <w:t xml:space="preserve"> </w:t>
      </w:r>
    </w:p>
    <w:p w14:paraId="16028828" w14:textId="77777777" w:rsidR="00D36194" w:rsidRPr="00481068" w:rsidRDefault="00D36194" w:rsidP="00D36194">
      <w:pPr>
        <w:shd w:val="clear" w:color="auto" w:fill="FFFFFF"/>
        <w:jc w:val="both"/>
        <w:rPr>
          <w:rFonts w:ascii="Arial" w:hAnsi="Arial" w:cs="Arial"/>
          <w:b/>
          <w:sz w:val="22"/>
          <w:szCs w:val="22"/>
          <w:lang w:val="es-ES_tradnl" w:eastAsia="es-CO"/>
        </w:rPr>
      </w:pPr>
    </w:p>
    <w:p w14:paraId="7A2E33EE" w14:textId="77777777" w:rsidR="00D36194" w:rsidRPr="00481068" w:rsidRDefault="00D36194" w:rsidP="20B61737">
      <w:pPr>
        <w:tabs>
          <w:tab w:val="left" w:pos="426"/>
        </w:tabs>
        <w:jc w:val="both"/>
        <w:rPr>
          <w:rFonts w:ascii="Arial" w:eastAsia="Calibri" w:hAnsi="Arial" w:cs="Arial"/>
          <w:sz w:val="20"/>
          <w:szCs w:val="20"/>
          <w:lang w:val="es-ES" w:eastAsia="en-US"/>
        </w:rPr>
      </w:pPr>
      <w:r w:rsidRPr="20B61737">
        <w:rPr>
          <w:rFonts w:ascii="Arial" w:hAnsi="Arial" w:cs="Arial"/>
          <w:sz w:val="20"/>
          <w:szCs w:val="20"/>
          <w:lang w:val="es-ES"/>
        </w:rPr>
        <w:t xml:space="preserve">[…]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20B61737">
        <w:rPr>
          <w:rFonts w:ascii="Arial" w:hAnsi="Arial" w:cs="Arial"/>
          <w:sz w:val="20"/>
          <w:szCs w:val="20"/>
          <w:lang w:val="es-ES"/>
        </w:rPr>
        <w:t>ii</w:t>
      </w:r>
      <w:proofErr w:type="spellEnd"/>
      <w:r w:rsidRPr="20B61737">
        <w:rPr>
          <w:rFonts w:ascii="Arial" w:hAnsi="Arial" w:cs="Arial"/>
          <w:sz w:val="20"/>
          <w:szCs w:val="20"/>
          <w:lang w:val="es-ES"/>
        </w:rPr>
        <w:t xml:space="preserve">) los contratos de crédito público; </w:t>
      </w:r>
      <w:proofErr w:type="spellStart"/>
      <w:r w:rsidRPr="20B61737">
        <w:rPr>
          <w:rFonts w:ascii="Arial" w:hAnsi="Arial" w:cs="Arial"/>
          <w:sz w:val="20"/>
          <w:szCs w:val="20"/>
          <w:lang w:val="es-ES"/>
        </w:rPr>
        <w:t>iii</w:t>
      </w:r>
      <w:proofErr w:type="spellEnd"/>
      <w:r w:rsidRPr="20B61737">
        <w:rPr>
          <w:rFonts w:ascii="Arial" w:hAnsi="Arial" w:cs="Arial"/>
          <w:sz w:val="20"/>
          <w:szCs w:val="20"/>
          <w:lang w:val="es-ES"/>
        </w:rPr>
        <w:t xml:space="preserve">) los requeridos para cubrir las emergencias educativas, sanitarias y desastres; </w:t>
      </w:r>
      <w:proofErr w:type="spellStart"/>
      <w:r w:rsidRPr="20B61737">
        <w:rPr>
          <w:rFonts w:ascii="Arial" w:hAnsi="Arial" w:cs="Arial"/>
          <w:sz w:val="20"/>
          <w:szCs w:val="20"/>
          <w:lang w:val="es-ES"/>
        </w:rPr>
        <w:t>iv</w:t>
      </w:r>
      <w:proofErr w:type="spellEnd"/>
      <w:r w:rsidRPr="20B61737">
        <w:rPr>
          <w:rFonts w:ascii="Arial" w:hAnsi="Arial" w:cs="Arial"/>
          <w:sz w:val="20"/>
          <w:szCs w:val="20"/>
          <w:lang w:val="es-ES"/>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p>
    <w:p w14:paraId="598B23A7" w14:textId="77777777" w:rsidR="00D36194" w:rsidRPr="00481068" w:rsidRDefault="00D36194" w:rsidP="00D36194">
      <w:pPr>
        <w:tabs>
          <w:tab w:val="left" w:pos="426"/>
        </w:tabs>
        <w:jc w:val="both"/>
        <w:rPr>
          <w:rFonts w:ascii="Arial" w:eastAsia="Calibri" w:hAnsi="Arial" w:cs="Arial"/>
          <w:noProof/>
          <w:sz w:val="20"/>
          <w:szCs w:val="20"/>
          <w:lang w:val="es-ES_tradnl" w:eastAsia="en-US"/>
        </w:rPr>
      </w:pPr>
    </w:p>
    <w:p w14:paraId="49E3909D" w14:textId="77777777" w:rsidR="00D36194" w:rsidRPr="00481068" w:rsidRDefault="00D36194" w:rsidP="00D36194">
      <w:pPr>
        <w:jc w:val="both"/>
        <w:rPr>
          <w:rFonts w:ascii="Arial" w:hAnsi="Arial" w:cs="Arial"/>
          <w:b/>
          <w:sz w:val="22"/>
          <w:szCs w:val="22"/>
          <w:lang w:val="es-ES_tradnl" w:eastAsia="es-CO"/>
        </w:rPr>
      </w:pPr>
      <w:r w:rsidRPr="00481068">
        <w:rPr>
          <w:rFonts w:ascii="Arial" w:hAnsi="Arial" w:cs="Arial"/>
          <w:b/>
          <w:bCs/>
          <w:sz w:val="22"/>
          <w:szCs w:val="22"/>
          <w:lang w:val="es-ES_tradnl" w:eastAsia="es-CO"/>
        </w:rPr>
        <w:t xml:space="preserve">LEY DE GARANTÍAS ELECTORALES </w:t>
      </w:r>
      <w:bookmarkStart w:id="6" w:name="_Hlk77166669"/>
      <w:r w:rsidRPr="00481068">
        <w:rPr>
          <w:rFonts w:ascii="Arial" w:hAnsi="Arial" w:cs="Arial"/>
          <w:b/>
          <w:bCs/>
          <w:sz w:val="22"/>
          <w:szCs w:val="22"/>
          <w:lang w:val="es-ES_tradnl" w:eastAsia="es-CO"/>
        </w:rPr>
        <w:t>‒</w:t>
      </w:r>
      <w:bookmarkEnd w:id="6"/>
      <w:r w:rsidRPr="00481068">
        <w:rPr>
          <w:rFonts w:ascii="Arial" w:hAnsi="Arial" w:cs="Arial"/>
          <w:b/>
          <w:bCs/>
          <w:sz w:val="22"/>
          <w:szCs w:val="22"/>
          <w:lang w:val="es-ES_tradnl" w:eastAsia="es-CO"/>
        </w:rPr>
        <w:t xml:space="preserve"> </w:t>
      </w:r>
      <w:r w:rsidRPr="00481068">
        <w:rPr>
          <w:rFonts w:ascii="Arial" w:hAnsi="Arial" w:cs="Arial"/>
          <w:b/>
          <w:sz w:val="22"/>
          <w:szCs w:val="22"/>
          <w:lang w:val="es-ES_tradnl" w:eastAsia="es-CO"/>
        </w:rPr>
        <w:t xml:space="preserve">Prohibición del artículo 33 </w:t>
      </w:r>
      <w:r w:rsidRPr="00481068">
        <w:rPr>
          <w:rFonts w:ascii="Arial" w:hAnsi="Arial" w:cs="Arial"/>
          <w:b/>
          <w:bCs/>
          <w:sz w:val="22"/>
          <w:szCs w:val="22"/>
          <w:lang w:val="es-ES_tradnl" w:eastAsia="es-CO"/>
        </w:rPr>
        <w:t>‒ Destinatarios</w:t>
      </w:r>
    </w:p>
    <w:p w14:paraId="3A2FB3CC" w14:textId="77777777" w:rsidR="00D36194" w:rsidRPr="00481068" w:rsidRDefault="00D36194" w:rsidP="00D36194">
      <w:pPr>
        <w:tabs>
          <w:tab w:val="left" w:pos="426"/>
        </w:tabs>
        <w:jc w:val="both"/>
        <w:rPr>
          <w:rFonts w:ascii="Arial" w:eastAsia="Calibri" w:hAnsi="Arial" w:cs="Arial"/>
          <w:noProof/>
          <w:sz w:val="22"/>
          <w:szCs w:val="22"/>
          <w:lang w:val="es-ES_tradnl" w:eastAsia="en-US"/>
        </w:rPr>
      </w:pPr>
    </w:p>
    <w:p w14:paraId="53116E01" w14:textId="77777777" w:rsidR="00D36194" w:rsidRPr="00481068" w:rsidRDefault="00D36194" w:rsidP="20B61737">
      <w:pPr>
        <w:tabs>
          <w:tab w:val="left" w:pos="426"/>
        </w:tabs>
        <w:jc w:val="both"/>
        <w:rPr>
          <w:rFonts w:ascii="Arial" w:hAnsi="Arial" w:cs="Arial"/>
          <w:sz w:val="20"/>
          <w:szCs w:val="20"/>
          <w:lang w:val="es-ES"/>
        </w:rPr>
      </w:pPr>
      <w:r w:rsidRPr="20B61737">
        <w:rPr>
          <w:rFonts w:ascii="Arial" w:hAnsi="Arial" w:cs="Arial"/>
          <w:sz w:val="20"/>
          <w:szCs w:val="20"/>
          <w:lang w:val="es-ES"/>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20B61737">
        <w:rPr>
          <w:rFonts w:ascii="Arial" w:eastAsia="Calibri" w:hAnsi="Arial" w:cs="Arial"/>
          <w:sz w:val="20"/>
          <w:szCs w:val="20"/>
          <w:lang w:val="es-ES" w:eastAsia="en-US"/>
        </w:rPr>
        <w:t xml:space="preserve"> </w:t>
      </w:r>
      <w:r w:rsidRPr="20B61737">
        <w:rPr>
          <w:rFonts w:ascii="Arial" w:hAnsi="Arial" w:cs="Arial"/>
          <w:sz w:val="20"/>
          <w:szCs w:val="20"/>
          <w:lang w:val="es-ES"/>
        </w:rPr>
        <w:t>En efecto, tal como lo ha sostenido el Consejo de Estado, el vocablo «todos» utilizado por el legislador comprende</w:t>
      </w:r>
      <w:r w:rsidRPr="20B61737">
        <w:rPr>
          <w:rFonts w:ascii="Arial" w:eastAsia="Calibri" w:hAnsi="Arial" w:cs="Arial"/>
          <w:sz w:val="20"/>
          <w:szCs w:val="20"/>
          <w:lang w:val="es-ES" w:eastAsia="en-US"/>
        </w:rPr>
        <w:t xml:space="preserve"> </w:t>
      </w:r>
      <w:r w:rsidRPr="20B61737">
        <w:rPr>
          <w:rFonts w:ascii="Arial" w:hAnsi="Arial" w:cs="Arial"/>
          <w:sz w:val="20"/>
          <w:szCs w:val="20"/>
          <w:lang w:val="es-ES"/>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p>
    <w:p w14:paraId="5EB5EE7C" w14:textId="77777777" w:rsidR="00D36194" w:rsidRPr="00481068" w:rsidRDefault="00D36194" w:rsidP="00D36194">
      <w:pPr>
        <w:widowControl w:val="0"/>
        <w:autoSpaceDE w:val="0"/>
        <w:autoSpaceDN w:val="0"/>
        <w:jc w:val="both"/>
        <w:rPr>
          <w:rFonts w:ascii="Arial" w:eastAsia="Arial" w:hAnsi="Arial" w:cs="Arial"/>
          <w:color w:val="000000" w:themeColor="text1"/>
          <w:sz w:val="20"/>
          <w:szCs w:val="20"/>
          <w:lang w:val="es-ES_tradnl" w:eastAsia="es-ES" w:bidi="es-ES"/>
        </w:rPr>
      </w:pPr>
    </w:p>
    <w:p w14:paraId="048AE7E3" w14:textId="77777777" w:rsidR="00D36194" w:rsidRPr="00481068" w:rsidRDefault="00D36194" w:rsidP="00D36194">
      <w:pPr>
        <w:tabs>
          <w:tab w:val="left" w:pos="3374"/>
        </w:tabs>
        <w:jc w:val="both"/>
        <w:rPr>
          <w:rFonts w:ascii="Arial" w:eastAsia="Calibri" w:hAnsi="Arial" w:cs="Arial"/>
          <w:b/>
          <w:bCs/>
          <w:sz w:val="22"/>
          <w:szCs w:val="22"/>
          <w:lang w:val="es-MX" w:eastAsia="en-US"/>
        </w:rPr>
      </w:pPr>
      <w:r w:rsidRPr="00481068">
        <w:rPr>
          <w:rFonts w:ascii="Arial" w:eastAsia="Calibri" w:hAnsi="Arial" w:cs="Arial"/>
          <w:b/>
          <w:color w:val="000000" w:themeColor="text1"/>
          <w:sz w:val="22"/>
          <w:szCs w:val="22"/>
        </w:rPr>
        <w:t xml:space="preserve">ORGANISMOS INTERNACIONALES – </w:t>
      </w:r>
      <w:r w:rsidRPr="00481068">
        <w:rPr>
          <w:rFonts w:ascii="Arial" w:eastAsia="Calibri" w:hAnsi="Arial" w:cs="Arial"/>
          <w:b/>
          <w:bCs/>
          <w:sz w:val="22"/>
          <w:szCs w:val="22"/>
          <w:lang w:eastAsia="en-US"/>
        </w:rPr>
        <w:t xml:space="preserve">Régimen de contratación </w:t>
      </w:r>
    </w:p>
    <w:p w14:paraId="5FEEA4F6" w14:textId="77777777" w:rsidR="00D36194" w:rsidRPr="00481068" w:rsidRDefault="00D36194" w:rsidP="00D36194">
      <w:pPr>
        <w:jc w:val="both"/>
        <w:rPr>
          <w:rFonts w:ascii="Arial" w:eastAsia="Calibri" w:hAnsi="Arial" w:cs="Arial"/>
          <w:color w:val="000000" w:themeColor="text1"/>
          <w:sz w:val="20"/>
          <w:szCs w:val="20"/>
        </w:rPr>
      </w:pPr>
    </w:p>
    <w:p w14:paraId="613B65BB" w14:textId="77777777" w:rsidR="00D36194" w:rsidRPr="00481068" w:rsidRDefault="00D36194" w:rsidP="00D36194">
      <w:pPr>
        <w:jc w:val="both"/>
        <w:rPr>
          <w:rFonts w:ascii="Arial" w:hAnsi="Arial" w:cs="Arial"/>
          <w:bCs/>
          <w:sz w:val="20"/>
          <w:szCs w:val="20"/>
          <w:lang w:val="es-MX" w:eastAsia="x-none"/>
        </w:rPr>
      </w:pPr>
      <w:r w:rsidRPr="00481068">
        <w:rPr>
          <w:rFonts w:ascii="Arial" w:hAnsi="Arial" w:cs="Arial"/>
          <w:bCs/>
          <w:sz w:val="20"/>
          <w:szCs w:val="20"/>
          <w:lang w:val="es-ES" w:eastAsia="x-none"/>
        </w:rPr>
        <w:t>Existen dos grupos de supuestos en el artículo 20 de la Ley 1150 de 2007, bajo los cuales es posible someter el régimen contractual aplicable a los reglamentos de los organismos internacionales: el primer grupo, regulado en el inciso primero, donde dicha posibilidad se condiciona a que los contratos o convenios  se financien en el 50% o más con fondos de dichos organismos de cooperación, asistencia o ayudas internacionales y, el segundo grupo, regulado en el inciso segundo, donde dicha posibilidad se condiciona a que se configure alguno de los 6 supuestos enlistados atrás, sin que resulte exigible algún porcentaje de incorporación de recursos. En todo caso, frente a ambos grupos, la aplicación de los reglamentos de tales entidades internacionales es una posibilidad por la que pueden optar o no las partes; es decir, configurados los requisitos indicados, las partes pueden decidir si someten los contratos a los reglamentos de las entidades internacionales o si se rigen por el Estatuto General de Contratación de la Administración Pública</w:t>
      </w:r>
      <w:r w:rsidRPr="00481068">
        <w:rPr>
          <w:rFonts w:ascii="Arial" w:hAnsi="Arial" w:cs="Arial"/>
          <w:bCs/>
          <w:sz w:val="20"/>
          <w:szCs w:val="20"/>
          <w:lang w:val="es-ES_tradnl" w:eastAsia="x-none"/>
        </w:rPr>
        <w:t xml:space="preserve">. </w:t>
      </w:r>
    </w:p>
    <w:p w14:paraId="3EBA9425" w14:textId="77777777" w:rsidR="00D36194" w:rsidRPr="00481068" w:rsidRDefault="00D36194" w:rsidP="00D36194">
      <w:pPr>
        <w:tabs>
          <w:tab w:val="left" w:pos="3374"/>
        </w:tabs>
        <w:jc w:val="both"/>
        <w:rPr>
          <w:rFonts w:ascii="Arial" w:eastAsia="Calibri" w:hAnsi="Arial" w:cs="Arial"/>
          <w:sz w:val="22"/>
          <w:szCs w:val="22"/>
          <w:lang w:val="es-MX" w:eastAsia="en-US"/>
        </w:rPr>
      </w:pPr>
    </w:p>
    <w:p w14:paraId="16D227C9" w14:textId="77777777" w:rsidR="00D36194" w:rsidRPr="00481068" w:rsidRDefault="00D36194" w:rsidP="00D36194">
      <w:pPr>
        <w:tabs>
          <w:tab w:val="left" w:pos="3374"/>
        </w:tabs>
        <w:jc w:val="both"/>
        <w:rPr>
          <w:rFonts w:ascii="Arial" w:eastAsia="Calibri" w:hAnsi="Arial" w:cs="Arial"/>
          <w:b/>
          <w:bCs/>
          <w:sz w:val="22"/>
          <w:szCs w:val="22"/>
          <w:lang w:val="es-MX" w:eastAsia="en-US"/>
        </w:rPr>
      </w:pPr>
      <w:r w:rsidRPr="00481068">
        <w:rPr>
          <w:rFonts w:ascii="Arial" w:eastAsia="Calibri" w:hAnsi="Arial" w:cs="Arial"/>
          <w:b/>
          <w:bCs/>
          <w:sz w:val="22"/>
          <w:szCs w:val="22"/>
          <w:lang w:eastAsia="en-US"/>
        </w:rPr>
        <w:t xml:space="preserve">ORGANISMOS INTERNACIONALES – </w:t>
      </w:r>
      <w:r w:rsidRPr="00481068">
        <w:rPr>
          <w:rFonts w:ascii="Arial" w:eastAsia="Calibri" w:hAnsi="Arial" w:cs="Arial"/>
          <w:b/>
          <w:bCs/>
          <w:sz w:val="22"/>
          <w:szCs w:val="22"/>
          <w:lang w:val="es-MX" w:eastAsia="en-US"/>
        </w:rPr>
        <w:t>Ley de Garantías Electorales – Restricción – Contratación Directa – Artículo 33 – Alcance – Concepto CU – 180 de 2022</w:t>
      </w:r>
    </w:p>
    <w:p w14:paraId="174D036B" w14:textId="77777777" w:rsidR="00D36194" w:rsidRPr="00481068" w:rsidRDefault="00D36194" w:rsidP="00D36194">
      <w:pPr>
        <w:tabs>
          <w:tab w:val="left" w:pos="3374"/>
        </w:tabs>
        <w:jc w:val="both"/>
        <w:rPr>
          <w:rFonts w:ascii="Arial" w:eastAsia="Calibri" w:hAnsi="Arial" w:cs="Arial"/>
          <w:b/>
          <w:bCs/>
          <w:sz w:val="22"/>
          <w:szCs w:val="22"/>
          <w:lang w:val="es-MX" w:eastAsia="en-US"/>
        </w:rPr>
      </w:pPr>
    </w:p>
    <w:p w14:paraId="0088D899" w14:textId="77777777" w:rsidR="00D36194" w:rsidRPr="00481068" w:rsidRDefault="00D36194" w:rsidP="00D36194">
      <w:pPr>
        <w:jc w:val="both"/>
        <w:rPr>
          <w:rFonts w:ascii="Arial" w:hAnsi="Arial" w:cs="Arial"/>
          <w:bCs/>
          <w:sz w:val="20"/>
          <w:szCs w:val="20"/>
          <w:lang w:val="es-ES" w:eastAsia="x-none"/>
        </w:rPr>
      </w:pPr>
      <w:r w:rsidRPr="00481068">
        <w:rPr>
          <w:rFonts w:ascii="Arial" w:hAnsi="Arial" w:cs="Arial"/>
          <w:bCs/>
          <w:sz w:val="20"/>
          <w:szCs w:val="20"/>
          <w:lang w:val="es-ES" w:eastAsia="x-none"/>
        </w:rPr>
        <w:t>La definición del alcance en que operará la variación del régimen normativo en relación con la actividad contractual es determinante para establecer si la restricción consagrada en el artículo 33 de la Ley de Garantías Electorales resulta aplicable o no. Si las partes, habilitadas para hacerlo, optan por aplicar de manera completa y absoluta la normativa contenida en los reglamentos del organismo o sujeto internacional, y si esta normativa consagra disposiciones relacionadas con la oportunidad, tiempos, fases, etapas etc. de los procedimientos de selección, entonces, serán dichas previsiones las que regirán el convenio y la contratación respectiva (bien sean contratos, donaciones, asistencias técnicas y sus derivados) y, por ende, la norma del artículo 33 no será derecho aplicable a la misma. Por el contrario, si las partes no optan por aplicar el reglamento (normativa extranjera) de tales organismos y sujetos internacionales en aspectos que atañen al acuerdo o convenio y el procedimiento para su desarrollo en la selección de contratistas, el artículo 33 de la Ley de Garantías sí será aplicable a la correspondiente contratación. Lo mismo sucederá cuando, por ejemplo, pese a que las partes convengan una variación normativa absoluta hacia el derecho extranjero, pero las disposiciones del reglamento del organismo internacional dejan al derecho nacional la regulación del acuerdo o convenio y los procedimientos de selección, será aplicable la prohibición contenida en el artículo 33 citado</w:t>
      </w:r>
      <w:r w:rsidRPr="00481068">
        <w:rPr>
          <w:rFonts w:ascii="Arial" w:hAnsi="Arial" w:cs="Arial"/>
          <w:bCs/>
          <w:sz w:val="20"/>
          <w:szCs w:val="20"/>
          <w:lang w:val="es-MX" w:eastAsia="x-none"/>
        </w:rPr>
        <w:t>.</w:t>
      </w:r>
    </w:p>
    <w:p w14:paraId="1CEA05F4" w14:textId="77777777" w:rsidR="00D36194" w:rsidRPr="00481068" w:rsidRDefault="00D36194" w:rsidP="00D36194">
      <w:pPr>
        <w:jc w:val="both"/>
        <w:rPr>
          <w:rFonts w:ascii="Arial" w:hAnsi="Arial" w:cs="Arial"/>
          <w:bCs/>
          <w:sz w:val="20"/>
          <w:szCs w:val="20"/>
          <w:lang w:val="es-MX" w:eastAsia="x-none"/>
        </w:rPr>
      </w:pPr>
    </w:p>
    <w:p w14:paraId="7DA48E08" w14:textId="14F9B505" w:rsidR="00D36194" w:rsidRPr="00F42BCD" w:rsidRDefault="00004963" w:rsidP="00D05CF9">
      <w:pPr>
        <w:widowControl w:val="0"/>
        <w:autoSpaceDE w:val="0"/>
        <w:autoSpaceDN w:val="0"/>
        <w:spacing w:before="94"/>
        <w:ind w:right="533"/>
        <w:jc w:val="right"/>
        <w:rPr>
          <w:rFonts w:ascii="Arial" w:eastAsia="Arial MT" w:hAnsi="Arial" w:cs="Arial"/>
          <w:color w:val="585858"/>
          <w:sz w:val="22"/>
          <w:szCs w:val="22"/>
          <w:lang w:val="es-ES" w:eastAsia="en-US"/>
        </w:rPr>
      </w:pPr>
      <w:r>
        <w:rPr>
          <w:noProof/>
        </w:rPr>
        <w:drawing>
          <wp:inline distT="0" distB="0" distL="0" distR="0" wp14:anchorId="5072DC44" wp14:editId="502B30DF">
            <wp:extent cx="3438525" cy="1171575"/>
            <wp:effectExtent l="0" t="0" r="9525" b="9525"/>
            <wp:docPr id="1" name="Imagen 1" descr="Código QR&#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Código QR&#10;&#10;Descripción generada automáticamente con confianza baja"/>
                    <pic:cNvPicPr/>
                  </pic:nvPicPr>
                  <pic:blipFill>
                    <a:blip r:embed="rId11"/>
                    <a:stretch>
                      <a:fillRect/>
                    </a:stretch>
                  </pic:blipFill>
                  <pic:spPr>
                    <a:xfrm>
                      <a:off x="0" y="0"/>
                      <a:ext cx="3438525" cy="1171575"/>
                    </a:xfrm>
                    <a:prstGeom prst="rect">
                      <a:avLst/>
                    </a:prstGeom>
                  </pic:spPr>
                </pic:pic>
              </a:graphicData>
            </a:graphic>
          </wp:inline>
        </w:drawing>
      </w:r>
    </w:p>
    <w:p w14:paraId="311ACB57" w14:textId="77777777" w:rsidR="00D36194" w:rsidRDefault="00D36194" w:rsidP="00300726">
      <w:pPr>
        <w:widowControl w:val="0"/>
        <w:autoSpaceDE w:val="0"/>
        <w:autoSpaceDN w:val="0"/>
        <w:spacing w:before="94"/>
        <w:ind w:right="533"/>
        <w:jc w:val="right"/>
        <w:rPr>
          <w:rFonts w:ascii="Arial" w:eastAsia="Arial MT" w:hAnsi="Arial" w:cs="Arial"/>
          <w:color w:val="585858"/>
          <w:sz w:val="18"/>
          <w:szCs w:val="18"/>
          <w:lang w:val="es-ES" w:eastAsia="en-US"/>
        </w:rPr>
      </w:pPr>
    </w:p>
    <w:p w14:paraId="3CDE9B1F" w14:textId="7ED5B88E" w:rsidR="00300726" w:rsidRPr="009E7A56" w:rsidRDefault="00300726" w:rsidP="00300726">
      <w:pPr>
        <w:widowControl w:val="0"/>
        <w:autoSpaceDE w:val="0"/>
        <w:autoSpaceDN w:val="0"/>
        <w:spacing w:before="94"/>
        <w:ind w:right="533"/>
        <w:jc w:val="right"/>
        <w:rPr>
          <w:rFonts w:ascii="Arial" w:eastAsia="Arial MT" w:hAnsi="Arial" w:cs="Arial"/>
          <w:sz w:val="18"/>
          <w:szCs w:val="18"/>
          <w:lang w:val="es-ES" w:eastAsia="en-US"/>
        </w:rPr>
      </w:pPr>
      <w:r w:rsidRPr="009E7A56">
        <w:rPr>
          <w:rFonts w:ascii="Arial" w:eastAsia="Arial MT" w:hAnsi="Arial" w:cs="Arial"/>
          <w:color w:val="585858"/>
          <w:sz w:val="18"/>
          <w:szCs w:val="18"/>
          <w:lang w:val="es-ES" w:eastAsia="en-US"/>
        </w:rPr>
        <w:t>CCE-DES-FM-17</w:t>
      </w:r>
    </w:p>
    <w:p w14:paraId="51E40876" w14:textId="15249625" w:rsidR="00300726" w:rsidRPr="00F42BCD" w:rsidRDefault="00300726" w:rsidP="00481870">
      <w:pPr>
        <w:widowControl w:val="0"/>
        <w:autoSpaceDE w:val="0"/>
        <w:autoSpaceDN w:val="0"/>
        <w:rPr>
          <w:rFonts w:ascii="Arial" w:eastAsia="Arial MT" w:hAnsi="Arial" w:cs="Arial"/>
          <w:sz w:val="22"/>
          <w:szCs w:val="22"/>
          <w:lang w:val="es-ES" w:eastAsia="en-US"/>
        </w:rPr>
      </w:pPr>
      <w:r w:rsidRPr="00F42BCD">
        <w:rPr>
          <w:rFonts w:ascii="Arial" w:eastAsia="Arial MT" w:hAnsi="Arial" w:cs="Arial"/>
          <w:color w:val="4E4D4D"/>
          <w:sz w:val="22"/>
          <w:szCs w:val="22"/>
          <w:lang w:val="es-ES" w:eastAsia="en-US"/>
        </w:rPr>
        <w:t>Bogotá,</w:t>
      </w:r>
      <w:r w:rsidRPr="00F42BCD">
        <w:rPr>
          <w:rFonts w:ascii="Arial" w:eastAsia="Arial MT" w:hAnsi="Arial" w:cs="Arial"/>
          <w:color w:val="4E4D4D"/>
          <w:spacing w:val="-2"/>
          <w:sz w:val="22"/>
          <w:szCs w:val="22"/>
          <w:lang w:val="es-ES" w:eastAsia="en-US"/>
        </w:rPr>
        <w:t xml:space="preserve"> </w:t>
      </w:r>
    </w:p>
    <w:p w14:paraId="176395FC" w14:textId="29CCCF72" w:rsidR="002F3E4E" w:rsidRPr="00F42BCD" w:rsidRDefault="002F3E4E" w:rsidP="00B95C30">
      <w:pPr>
        <w:jc w:val="both"/>
        <w:rPr>
          <w:rFonts w:ascii="Arial" w:hAnsi="Arial" w:cs="Arial"/>
          <w:bCs/>
          <w:color w:val="000000" w:themeColor="text1"/>
          <w:sz w:val="22"/>
          <w:szCs w:val="22"/>
          <w:lang w:val="es-ES_tradnl"/>
        </w:rPr>
      </w:pPr>
    </w:p>
    <w:p w14:paraId="5F5AE9EF" w14:textId="3470EB92" w:rsidR="00B95C30" w:rsidRPr="00F42BCD" w:rsidRDefault="00C65049" w:rsidP="00B95C30">
      <w:pPr>
        <w:jc w:val="both"/>
        <w:rPr>
          <w:rFonts w:ascii="Arial" w:eastAsia="Calibri" w:hAnsi="Arial" w:cs="Arial"/>
          <w:color w:val="000000" w:themeColor="text1"/>
          <w:sz w:val="22"/>
          <w:szCs w:val="22"/>
        </w:rPr>
      </w:pPr>
      <w:bookmarkStart w:id="7" w:name="_Hlk80951783"/>
      <w:r>
        <w:rPr>
          <w:rFonts w:ascii="Arial" w:eastAsia="Calibri" w:hAnsi="Arial" w:cs="Arial"/>
          <w:color w:val="000000" w:themeColor="text1"/>
          <w:sz w:val="22"/>
          <w:szCs w:val="22"/>
        </w:rPr>
        <w:t>Doctor</w:t>
      </w:r>
    </w:p>
    <w:p w14:paraId="34BF62D2" w14:textId="1F845584" w:rsidR="00A56E1D" w:rsidRDefault="009A1E09" w:rsidP="00B95C30">
      <w:pPr>
        <w:jc w:val="both"/>
        <w:rPr>
          <w:rFonts w:ascii="Arial" w:eastAsia="Calibri" w:hAnsi="Arial" w:cs="Arial"/>
          <w:b/>
          <w:color w:val="000000" w:themeColor="text1"/>
          <w:sz w:val="22"/>
          <w:szCs w:val="22"/>
        </w:rPr>
      </w:pPr>
      <w:r>
        <w:rPr>
          <w:rFonts w:ascii="Arial" w:eastAsia="Calibri" w:hAnsi="Arial" w:cs="Arial"/>
          <w:b/>
          <w:color w:val="000000" w:themeColor="text1"/>
          <w:sz w:val="22"/>
          <w:szCs w:val="22"/>
        </w:rPr>
        <w:t>Fredy Murillo Orrego</w:t>
      </w:r>
    </w:p>
    <w:p w14:paraId="32D16473" w14:textId="1A50AD9B" w:rsidR="009A1E09" w:rsidRPr="009A1E09" w:rsidRDefault="009A1E09" w:rsidP="00B95C30">
      <w:pPr>
        <w:jc w:val="both"/>
        <w:rPr>
          <w:rFonts w:ascii="Arial" w:eastAsia="Calibri" w:hAnsi="Arial" w:cs="Arial"/>
          <w:bCs/>
          <w:color w:val="000000" w:themeColor="text1"/>
          <w:sz w:val="22"/>
          <w:szCs w:val="22"/>
        </w:rPr>
      </w:pPr>
      <w:r w:rsidRPr="009A1E09">
        <w:rPr>
          <w:rFonts w:ascii="Arial" w:eastAsia="Calibri" w:hAnsi="Arial" w:cs="Arial"/>
          <w:bCs/>
          <w:color w:val="000000" w:themeColor="text1"/>
          <w:sz w:val="22"/>
          <w:szCs w:val="22"/>
        </w:rPr>
        <w:t>Secretario General</w:t>
      </w:r>
    </w:p>
    <w:p w14:paraId="57AC53F5" w14:textId="42BAD906" w:rsidR="009A1E09" w:rsidRPr="009A1E09" w:rsidRDefault="009A1E09" w:rsidP="00B95C30">
      <w:pPr>
        <w:jc w:val="both"/>
        <w:rPr>
          <w:rFonts w:ascii="Arial" w:eastAsia="Calibri" w:hAnsi="Arial" w:cs="Arial"/>
          <w:bCs/>
          <w:color w:val="000000" w:themeColor="text1"/>
          <w:sz w:val="22"/>
          <w:szCs w:val="22"/>
        </w:rPr>
      </w:pPr>
      <w:r w:rsidRPr="009A1E09">
        <w:rPr>
          <w:rFonts w:ascii="Arial" w:eastAsia="Calibri" w:hAnsi="Arial" w:cs="Arial"/>
          <w:bCs/>
          <w:color w:val="000000" w:themeColor="text1"/>
          <w:sz w:val="22"/>
          <w:szCs w:val="22"/>
        </w:rPr>
        <w:t>Ministerio de Justicia y del Derecho</w:t>
      </w:r>
    </w:p>
    <w:p w14:paraId="7B32CBBB" w14:textId="59A8DF7C" w:rsidR="00A56E1D" w:rsidRPr="00F42BCD" w:rsidRDefault="00F42BCD" w:rsidP="00B95C30">
      <w:pPr>
        <w:jc w:val="both"/>
        <w:rPr>
          <w:rFonts w:ascii="Arial" w:hAnsi="Arial" w:cs="Arial"/>
          <w:color w:val="000000" w:themeColor="text1"/>
          <w:sz w:val="22"/>
          <w:szCs w:val="22"/>
        </w:rPr>
      </w:pPr>
      <w:r>
        <w:rPr>
          <w:rFonts w:ascii="Arial" w:hAnsi="Arial" w:cs="Arial"/>
          <w:color w:val="000000" w:themeColor="text1"/>
          <w:sz w:val="22"/>
          <w:szCs w:val="22"/>
        </w:rPr>
        <w:t xml:space="preserve">Bogotá D.C. </w:t>
      </w:r>
    </w:p>
    <w:p w14:paraId="34293C12" w14:textId="77777777" w:rsidR="008164D9" w:rsidRPr="00F42BCD" w:rsidRDefault="008164D9" w:rsidP="00B95C30">
      <w:pPr>
        <w:jc w:val="both"/>
        <w:rPr>
          <w:rFonts w:ascii="Arial" w:eastAsia="Calibri" w:hAnsi="Arial" w:cs="Arial"/>
          <w:color w:val="000000" w:themeColor="text1"/>
          <w:sz w:val="22"/>
          <w:szCs w:val="22"/>
        </w:rPr>
      </w:pPr>
    </w:p>
    <w:p w14:paraId="0942E2A4" w14:textId="77777777" w:rsidR="000254DD" w:rsidRPr="00F42BCD" w:rsidRDefault="000254DD" w:rsidP="00B95C30">
      <w:pPr>
        <w:jc w:val="both"/>
        <w:rPr>
          <w:rFonts w:ascii="Arial" w:eastAsia="Calibri" w:hAnsi="Arial" w:cs="Arial"/>
          <w:color w:val="000000" w:themeColor="text1"/>
          <w:sz w:val="22"/>
          <w:szCs w:val="22"/>
        </w:rPr>
      </w:pPr>
    </w:p>
    <w:p w14:paraId="12E66182" w14:textId="29CE49FF" w:rsidR="00B95C30" w:rsidRPr="00F42BCD" w:rsidRDefault="00A25F2F" w:rsidP="004004C2">
      <w:pPr>
        <w:rPr>
          <w:rFonts w:ascii="Arial" w:eastAsia="Calibri" w:hAnsi="Arial" w:cs="Arial"/>
          <w:b/>
          <w:bCs/>
          <w:color w:val="000000" w:themeColor="text1"/>
          <w:sz w:val="22"/>
          <w:szCs w:val="22"/>
          <w:lang w:val="es-ES_tradnl"/>
        </w:rPr>
      </w:pPr>
      <w:r w:rsidRPr="00F42BCD">
        <w:rPr>
          <w:rFonts w:ascii="Arial" w:eastAsia="Calibri" w:hAnsi="Arial" w:cs="Arial"/>
          <w:bCs/>
          <w:color w:val="000000" w:themeColor="text1"/>
          <w:sz w:val="22"/>
          <w:szCs w:val="22"/>
        </w:rPr>
        <w:t xml:space="preserve">                                            </w:t>
      </w:r>
      <w:r w:rsidR="00B95C30" w:rsidRPr="00F42BCD">
        <w:rPr>
          <w:rFonts w:ascii="Arial" w:eastAsia="Calibri" w:hAnsi="Arial" w:cs="Arial"/>
          <w:b/>
          <w:bCs/>
          <w:color w:val="000000" w:themeColor="text1"/>
          <w:sz w:val="22"/>
          <w:szCs w:val="22"/>
          <w:lang w:val="es-ES_tradnl"/>
        </w:rPr>
        <w:t>Concepto C ‒</w:t>
      </w:r>
      <w:r w:rsidR="00856F87" w:rsidRPr="00F42BCD">
        <w:rPr>
          <w:rFonts w:ascii="Arial" w:eastAsia="Calibri" w:hAnsi="Arial" w:cs="Arial"/>
          <w:b/>
          <w:bCs/>
          <w:color w:val="000000" w:themeColor="text1"/>
          <w:sz w:val="22"/>
          <w:szCs w:val="22"/>
          <w:lang w:val="es-ES_tradnl"/>
        </w:rPr>
        <w:t xml:space="preserve"> </w:t>
      </w:r>
      <w:r w:rsidR="00F42BCD">
        <w:rPr>
          <w:rFonts w:ascii="Arial" w:eastAsia="Calibri" w:hAnsi="Arial" w:cs="Arial"/>
          <w:b/>
          <w:bCs/>
          <w:color w:val="000000" w:themeColor="text1"/>
          <w:sz w:val="22"/>
          <w:szCs w:val="22"/>
          <w:lang w:val="es-ES_tradnl"/>
        </w:rPr>
        <w:t xml:space="preserve">233 </w:t>
      </w:r>
      <w:r w:rsidR="005E3AF3" w:rsidRPr="00F42BCD">
        <w:rPr>
          <w:rFonts w:ascii="Arial" w:eastAsia="Calibri" w:hAnsi="Arial" w:cs="Arial"/>
          <w:b/>
          <w:bCs/>
          <w:color w:val="000000" w:themeColor="text1"/>
          <w:sz w:val="22"/>
          <w:szCs w:val="22"/>
          <w:lang w:val="es-ES_tradnl"/>
        </w:rPr>
        <w:t>de 2022</w:t>
      </w:r>
    </w:p>
    <w:p w14:paraId="20200123" w14:textId="461A4C5D" w:rsidR="0096347F" w:rsidRPr="00F42BCD" w:rsidRDefault="0096347F" w:rsidP="00B95C30">
      <w:pPr>
        <w:jc w:val="both"/>
        <w:rPr>
          <w:rFonts w:ascii="Arial" w:eastAsia="Calibri" w:hAnsi="Arial" w:cs="Arial"/>
          <w:color w:val="000000" w:themeColor="text1"/>
          <w:sz w:val="22"/>
          <w:szCs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4E4581" w:rsidRPr="00F42BCD" w14:paraId="19DFC051" w14:textId="77777777" w:rsidTr="008F4163">
        <w:tc>
          <w:tcPr>
            <w:tcW w:w="2689" w:type="dxa"/>
          </w:tcPr>
          <w:p w14:paraId="6BC0D1AC" w14:textId="77777777" w:rsidR="00B95C30" w:rsidRPr="00F42BCD" w:rsidRDefault="00B95C30" w:rsidP="008F4163">
            <w:pPr>
              <w:jc w:val="both"/>
              <w:rPr>
                <w:rFonts w:ascii="Arial" w:eastAsia="Calibri" w:hAnsi="Arial" w:cs="Arial"/>
                <w:b/>
                <w:color w:val="000000" w:themeColor="text1"/>
                <w:sz w:val="22"/>
                <w:szCs w:val="22"/>
                <w:lang w:val="es-ES_tradnl"/>
              </w:rPr>
            </w:pPr>
            <w:r w:rsidRPr="00F42BCD">
              <w:rPr>
                <w:rFonts w:ascii="Arial" w:eastAsia="Calibri" w:hAnsi="Arial" w:cs="Arial"/>
                <w:b/>
                <w:color w:val="000000" w:themeColor="text1"/>
                <w:sz w:val="22"/>
                <w:szCs w:val="22"/>
                <w:lang w:val="es-ES_tradnl"/>
              </w:rPr>
              <w:t xml:space="preserve">Temas:                                      </w:t>
            </w:r>
          </w:p>
        </w:tc>
        <w:tc>
          <w:tcPr>
            <w:tcW w:w="6237" w:type="dxa"/>
          </w:tcPr>
          <w:p w14:paraId="49BF6F39" w14:textId="5DAE740C" w:rsidR="007446F6" w:rsidRPr="000232F4" w:rsidRDefault="00D353F8" w:rsidP="000232F4">
            <w:pPr>
              <w:jc w:val="both"/>
              <w:rPr>
                <w:rFonts w:ascii="Arial" w:eastAsia="Arial" w:hAnsi="Arial" w:cs="Arial"/>
                <w:color w:val="000000"/>
                <w:sz w:val="22"/>
                <w:szCs w:val="22"/>
              </w:rPr>
            </w:pPr>
            <w:r w:rsidRPr="000232F4">
              <w:rPr>
                <w:rFonts w:ascii="Arial" w:eastAsia="Calibri" w:hAnsi="Arial" w:cs="Arial"/>
                <w:bCs/>
                <w:color w:val="000000" w:themeColor="text1"/>
                <w:sz w:val="22"/>
                <w:szCs w:val="22"/>
                <w:lang w:val="es-MX" w:eastAsia="en-US"/>
              </w:rPr>
              <w:t xml:space="preserve">LEY DE GARANTÍAS ELECTORALES – Finalidad / LEY DE GARANTÍAS ELECTORALES ‒ Restricciones ‒ Contratación ‒ Tipos de elección / </w:t>
            </w:r>
            <w:r w:rsidRPr="000232F4">
              <w:rPr>
                <w:rFonts w:ascii="Arial" w:eastAsia="Calibri" w:hAnsi="Arial" w:cs="Arial"/>
                <w:bCs/>
                <w:sz w:val="22"/>
                <w:szCs w:val="22"/>
                <w:lang w:val="es-MX" w:eastAsia="en-US"/>
              </w:rPr>
              <w:t xml:space="preserve">LEY DE GARANTÍAS ELECTORALES ─ Prohibición artículo 33 ‒ Contratación directa ‒ Alcance / </w:t>
            </w:r>
            <w:r w:rsidRPr="000232F4">
              <w:rPr>
                <w:rFonts w:ascii="Arial" w:hAnsi="Arial" w:cs="Arial"/>
                <w:bCs/>
                <w:sz w:val="22"/>
                <w:szCs w:val="22"/>
                <w:lang w:eastAsia="es-CO"/>
              </w:rPr>
              <w:t>LEY DE GARANTÍAS ELECTORALES ‒ Excepciones</w:t>
            </w:r>
            <w:r w:rsidRPr="000232F4">
              <w:rPr>
                <w:rFonts w:ascii="Arial" w:hAnsi="Arial" w:cs="Arial"/>
                <w:sz w:val="22"/>
                <w:szCs w:val="22"/>
                <w:lang w:eastAsia="es-CO"/>
              </w:rPr>
              <w:t xml:space="preserve"> / </w:t>
            </w:r>
            <w:r w:rsidRPr="000232F4">
              <w:rPr>
                <w:rFonts w:ascii="Arial" w:hAnsi="Arial" w:cs="Arial"/>
                <w:bCs/>
                <w:sz w:val="22"/>
                <w:szCs w:val="22"/>
                <w:lang w:eastAsia="es-CO"/>
              </w:rPr>
              <w:t xml:space="preserve">LEY DE </w:t>
            </w:r>
            <w:r w:rsidRPr="000232F4">
              <w:rPr>
                <w:rFonts w:ascii="Arial" w:hAnsi="Arial" w:cs="Arial"/>
                <w:bCs/>
                <w:sz w:val="22"/>
                <w:szCs w:val="22"/>
                <w:lang w:eastAsia="es-CO"/>
              </w:rPr>
              <w:lastRenderedPageBreak/>
              <w:t xml:space="preserve">GARANTÍAS ELECTORALES ‒ </w:t>
            </w:r>
            <w:r w:rsidRPr="000232F4">
              <w:rPr>
                <w:rFonts w:ascii="Arial" w:hAnsi="Arial" w:cs="Arial"/>
                <w:sz w:val="22"/>
                <w:szCs w:val="22"/>
                <w:lang w:val="es-ES" w:eastAsia="es-CO"/>
              </w:rPr>
              <w:t xml:space="preserve">Prohibición del artículo 33 </w:t>
            </w:r>
            <w:r w:rsidRPr="000232F4">
              <w:rPr>
                <w:rFonts w:ascii="Arial" w:hAnsi="Arial" w:cs="Arial"/>
                <w:bCs/>
                <w:sz w:val="22"/>
                <w:szCs w:val="22"/>
                <w:lang w:eastAsia="es-CO"/>
              </w:rPr>
              <w:t>‒ Destinatarios</w:t>
            </w:r>
            <w:r w:rsidR="0096347F" w:rsidRPr="000232F4">
              <w:rPr>
                <w:rFonts w:ascii="Arial" w:hAnsi="Arial" w:cs="Arial"/>
                <w:bCs/>
                <w:sz w:val="22"/>
                <w:szCs w:val="22"/>
                <w:lang w:eastAsia="es-CO"/>
              </w:rPr>
              <w:t xml:space="preserve"> / </w:t>
            </w:r>
            <w:r w:rsidR="0096347F" w:rsidRPr="000232F4">
              <w:rPr>
                <w:rFonts w:ascii="Arial" w:eastAsia="Calibri" w:hAnsi="Arial" w:cs="Arial"/>
                <w:color w:val="000000" w:themeColor="text1"/>
                <w:sz w:val="22"/>
                <w:szCs w:val="22"/>
                <w:lang w:val="es-MX" w:eastAsia="en-US"/>
              </w:rPr>
              <w:t xml:space="preserve">CONTRATOS Y </w:t>
            </w:r>
            <w:r w:rsidR="0096347F" w:rsidRPr="000232F4">
              <w:rPr>
                <w:rFonts w:ascii="Arial" w:eastAsiaTheme="minorHAnsi" w:hAnsi="Arial" w:cs="Arial"/>
                <w:color w:val="000000" w:themeColor="text1"/>
                <w:sz w:val="22"/>
                <w:szCs w:val="22"/>
                <w:lang w:val="es-MX" w:eastAsia="en-US"/>
              </w:rPr>
              <w:t xml:space="preserve">CONVENIOS INTERADMINISTRATIVOS </w:t>
            </w:r>
            <w:r w:rsidR="0096347F" w:rsidRPr="000232F4">
              <w:rPr>
                <w:rFonts w:ascii="Arial" w:eastAsia="Calibri" w:hAnsi="Arial" w:cs="Arial"/>
                <w:color w:val="000000" w:themeColor="text1"/>
                <w:sz w:val="22"/>
                <w:szCs w:val="22"/>
                <w:lang w:val="es-MX" w:eastAsia="en-US"/>
              </w:rPr>
              <w:t>– Definición – Criterio orgánico /</w:t>
            </w:r>
            <w:r w:rsidR="002652C1" w:rsidRPr="000232F4">
              <w:rPr>
                <w:rFonts w:ascii="Arial" w:eastAsia="Calibri" w:hAnsi="Arial" w:cs="Arial"/>
                <w:color w:val="000000" w:themeColor="text1"/>
                <w:sz w:val="22"/>
                <w:szCs w:val="22"/>
                <w:lang w:val="es-MX" w:eastAsia="en-US"/>
              </w:rPr>
              <w:t xml:space="preserve"> </w:t>
            </w:r>
            <w:r w:rsidR="000232F4" w:rsidRPr="000232F4">
              <w:rPr>
                <w:rFonts w:ascii="Arial" w:eastAsia="Arial" w:hAnsi="Arial" w:cs="Arial"/>
                <w:color w:val="000000"/>
                <w:sz w:val="22"/>
                <w:szCs w:val="22"/>
              </w:rPr>
              <w:t>LEY DE GARANTÍAS ELECTORALES – Prohibición - Parágrafo del artículo 38 – Ejecución de recursos públicos</w:t>
            </w:r>
            <w:r w:rsidR="000232F4">
              <w:rPr>
                <w:rFonts w:ascii="Arial" w:eastAsia="Arial" w:hAnsi="Arial" w:cs="Arial"/>
                <w:color w:val="000000"/>
                <w:sz w:val="22"/>
                <w:szCs w:val="22"/>
              </w:rPr>
              <w:t xml:space="preserve"> / </w:t>
            </w:r>
            <w:r w:rsidR="002652C1" w:rsidRPr="000232F4">
              <w:rPr>
                <w:rFonts w:ascii="Arial" w:eastAsia="Calibri" w:hAnsi="Arial" w:cs="Arial"/>
                <w:sz w:val="22"/>
                <w:szCs w:val="22"/>
              </w:rPr>
              <w:t>LEY DE GARANTÍAS – Modificación – Ley 2159 de 2021 – Artículo 124 – A</w:t>
            </w:r>
            <w:r w:rsidR="00DE104F" w:rsidRPr="000232F4">
              <w:rPr>
                <w:rFonts w:ascii="Arial" w:eastAsia="Calibri" w:hAnsi="Arial" w:cs="Arial"/>
                <w:sz w:val="22"/>
                <w:szCs w:val="22"/>
              </w:rPr>
              <w:t>specto temporal</w:t>
            </w:r>
            <w:r w:rsidR="002652C1" w:rsidRPr="000232F4">
              <w:rPr>
                <w:rFonts w:ascii="Arial" w:eastAsia="Calibri" w:hAnsi="Arial" w:cs="Arial"/>
                <w:sz w:val="22"/>
                <w:szCs w:val="22"/>
              </w:rPr>
              <w:t xml:space="preserve"> /</w:t>
            </w:r>
            <w:r w:rsidR="00DE104F" w:rsidRPr="000232F4">
              <w:rPr>
                <w:rFonts w:ascii="Arial" w:eastAsia="Calibri" w:hAnsi="Arial" w:cs="Arial"/>
                <w:sz w:val="22"/>
                <w:szCs w:val="22"/>
              </w:rPr>
              <w:t xml:space="preserve"> LEY DE GARANTÍAS – Modificación – Ley 2159 de 2021 – Artículo 124 – Aspecto subjetivo / LEY DE GARANTÍAS – Modificación – Ley 2159 de 2021 – Artículo 124 – Aspecto teleológico /</w:t>
            </w:r>
            <w:r w:rsidR="002652C1" w:rsidRPr="000232F4">
              <w:rPr>
                <w:rFonts w:ascii="Arial" w:eastAsia="Calibri" w:hAnsi="Arial" w:cs="Arial"/>
                <w:sz w:val="22"/>
                <w:szCs w:val="22"/>
              </w:rPr>
              <w:t xml:space="preserve"> </w:t>
            </w:r>
            <w:r w:rsidR="009E7A56" w:rsidRPr="000232F4">
              <w:rPr>
                <w:rFonts w:ascii="Arial" w:eastAsia="Calibri" w:hAnsi="Arial" w:cs="Arial"/>
                <w:bCs/>
                <w:sz w:val="22"/>
                <w:szCs w:val="22"/>
                <w:lang w:val="es-MX" w:eastAsia="en-US"/>
              </w:rPr>
              <w:t>LEY DE GARANTÍAS ELECTORALES ‒ Restricciones – Artículos 33 y 38 – Convenios de asociación</w:t>
            </w:r>
            <w:r w:rsidR="00552A20" w:rsidRPr="000232F4">
              <w:rPr>
                <w:rFonts w:ascii="Arial" w:eastAsia="Calibri" w:hAnsi="Arial" w:cs="Arial"/>
                <w:bCs/>
                <w:sz w:val="22"/>
                <w:szCs w:val="22"/>
                <w:lang w:val="es-MX" w:eastAsia="en-US"/>
              </w:rPr>
              <w:t xml:space="preserve"> / </w:t>
            </w:r>
            <w:r w:rsidR="00552A20" w:rsidRPr="000232F4">
              <w:rPr>
                <w:rFonts w:ascii="Arial" w:eastAsia="Calibri" w:hAnsi="Arial" w:cs="Arial"/>
                <w:bCs/>
                <w:sz w:val="22"/>
                <w:szCs w:val="22"/>
                <w:lang w:val="es-MX"/>
              </w:rPr>
              <w:t xml:space="preserve">ORGANISMOS INTERNACIONALES – Régimen de Contratación – Especialidad / </w:t>
            </w:r>
            <w:r w:rsidR="00552A20" w:rsidRPr="000232F4">
              <w:rPr>
                <w:rFonts w:ascii="Arial" w:eastAsia="Arial" w:hAnsi="Arial" w:cs="Arial"/>
                <w:bCs/>
                <w:sz w:val="22"/>
                <w:szCs w:val="22"/>
              </w:rPr>
              <w:t xml:space="preserve">ORGANISMOS INTERNACIONALES – </w:t>
            </w:r>
            <w:r w:rsidR="00552A20" w:rsidRPr="000232F4">
              <w:rPr>
                <w:rFonts w:ascii="Arial" w:eastAsia="Calibri" w:hAnsi="Arial" w:cs="Arial"/>
                <w:bCs/>
                <w:sz w:val="22"/>
                <w:szCs w:val="22"/>
                <w:lang w:val="es-MX" w:eastAsia="es-ES"/>
              </w:rPr>
              <w:t xml:space="preserve">Ley de Garantías Electorales – Restricción – Contratación Directa – Artículo 33 – Alcance – Unificación de criterios. </w:t>
            </w:r>
          </w:p>
          <w:p w14:paraId="5F389CAF" w14:textId="75228E71" w:rsidR="009A773A" w:rsidRPr="000232F4" w:rsidRDefault="009A773A" w:rsidP="000232F4">
            <w:pPr>
              <w:jc w:val="both"/>
              <w:rPr>
                <w:rFonts w:ascii="Arial" w:eastAsia="Calibri" w:hAnsi="Arial" w:cs="Arial"/>
                <w:color w:val="000000" w:themeColor="text1"/>
                <w:sz w:val="22"/>
                <w:szCs w:val="22"/>
                <w:lang w:val="es-ES"/>
              </w:rPr>
            </w:pPr>
          </w:p>
        </w:tc>
      </w:tr>
      <w:tr w:rsidR="00B95C30" w:rsidRPr="009A4357" w14:paraId="27CD52AB" w14:textId="77777777" w:rsidTr="0096347F">
        <w:trPr>
          <w:trHeight w:val="391"/>
        </w:trPr>
        <w:tc>
          <w:tcPr>
            <w:tcW w:w="2689" w:type="dxa"/>
          </w:tcPr>
          <w:p w14:paraId="37E195A1" w14:textId="1BA218D5" w:rsidR="00B95C30" w:rsidRPr="009A4357" w:rsidRDefault="00B95C30" w:rsidP="008F4163">
            <w:pPr>
              <w:spacing w:before="120"/>
              <w:jc w:val="both"/>
              <w:rPr>
                <w:rFonts w:ascii="Arial" w:eastAsia="Calibri" w:hAnsi="Arial" w:cs="Arial"/>
                <w:b/>
                <w:sz w:val="22"/>
                <w:szCs w:val="22"/>
                <w:lang w:val="es-ES_tradnl"/>
              </w:rPr>
            </w:pPr>
            <w:r w:rsidRPr="009A4357">
              <w:rPr>
                <w:rFonts w:ascii="Arial" w:eastAsia="Calibri" w:hAnsi="Arial" w:cs="Arial"/>
                <w:b/>
                <w:sz w:val="22"/>
                <w:szCs w:val="22"/>
                <w:lang w:val="es-ES_tradnl"/>
              </w:rPr>
              <w:lastRenderedPageBreak/>
              <w:t xml:space="preserve">Radicación:                              </w:t>
            </w:r>
          </w:p>
        </w:tc>
        <w:tc>
          <w:tcPr>
            <w:tcW w:w="6237" w:type="dxa"/>
          </w:tcPr>
          <w:p w14:paraId="09088B1B" w14:textId="70EC8B54" w:rsidR="00B95C30" w:rsidRPr="009A4357" w:rsidRDefault="00B95C30" w:rsidP="008164D9">
            <w:pPr>
              <w:spacing w:before="120"/>
              <w:jc w:val="both"/>
              <w:rPr>
                <w:rFonts w:ascii="Arial" w:eastAsia="Calibri" w:hAnsi="Arial" w:cs="Arial"/>
                <w:sz w:val="22"/>
                <w:szCs w:val="22"/>
                <w:lang w:val="es-ES_tradnl"/>
              </w:rPr>
            </w:pPr>
            <w:r w:rsidRPr="009A4357">
              <w:rPr>
                <w:rFonts w:ascii="Arial" w:eastAsia="Calibri" w:hAnsi="Arial" w:cs="Arial"/>
                <w:sz w:val="22"/>
                <w:szCs w:val="22"/>
                <w:lang w:val="es-ES_tradnl"/>
              </w:rPr>
              <w:t xml:space="preserve">Respuesta a consulta </w:t>
            </w:r>
            <w:r w:rsidR="00700BDE" w:rsidRPr="009A4357">
              <w:rPr>
                <w:rFonts w:ascii="Arial" w:eastAsia="Calibri" w:hAnsi="Arial" w:cs="Arial"/>
                <w:sz w:val="22"/>
                <w:szCs w:val="22"/>
                <w:lang w:val="es-ES_tradnl"/>
              </w:rPr>
              <w:t xml:space="preserve"># </w:t>
            </w:r>
            <w:r w:rsidR="00F42BCD" w:rsidRPr="009A4357">
              <w:rPr>
                <w:rFonts w:ascii="Arial" w:hAnsi="Arial" w:cs="Arial"/>
                <w:bCs/>
                <w:sz w:val="22"/>
                <w:szCs w:val="22"/>
                <w:shd w:val="clear" w:color="auto" w:fill="FFFFFF"/>
              </w:rPr>
              <w:t>P20220310002405</w:t>
            </w:r>
          </w:p>
        </w:tc>
      </w:tr>
    </w:tbl>
    <w:p w14:paraId="46D083B3" w14:textId="73D9B267" w:rsidR="00700BDE" w:rsidRPr="009A4357" w:rsidRDefault="00700BDE" w:rsidP="003C3339">
      <w:pPr>
        <w:jc w:val="both"/>
        <w:rPr>
          <w:rFonts w:ascii="Arial" w:eastAsia="Calibri" w:hAnsi="Arial" w:cs="Arial"/>
          <w:sz w:val="22"/>
          <w:lang w:val="es-ES_tradnl"/>
        </w:rPr>
      </w:pPr>
    </w:p>
    <w:p w14:paraId="019E1DF8" w14:textId="77777777" w:rsidR="00493CDA" w:rsidRPr="009A4357" w:rsidRDefault="00493CDA" w:rsidP="003C3339">
      <w:pPr>
        <w:jc w:val="both"/>
        <w:rPr>
          <w:rFonts w:ascii="Arial" w:eastAsia="Calibri" w:hAnsi="Arial" w:cs="Arial"/>
          <w:sz w:val="22"/>
          <w:lang w:val="es-ES_tradnl"/>
        </w:rPr>
      </w:pPr>
    </w:p>
    <w:p w14:paraId="1CF4AEA0" w14:textId="3BA401A3" w:rsidR="003C3339" w:rsidRPr="009A4357" w:rsidRDefault="009A1E09" w:rsidP="003C3339">
      <w:pPr>
        <w:jc w:val="both"/>
        <w:rPr>
          <w:rFonts w:ascii="Arial" w:eastAsia="Calibri" w:hAnsi="Arial" w:cs="Arial"/>
          <w:sz w:val="22"/>
          <w:lang w:val="es-ES_tradnl"/>
        </w:rPr>
      </w:pPr>
      <w:r>
        <w:rPr>
          <w:rFonts w:ascii="Arial" w:eastAsia="Calibri" w:hAnsi="Arial" w:cs="Arial"/>
          <w:sz w:val="22"/>
          <w:lang w:val="es-ES_tradnl"/>
        </w:rPr>
        <w:t>Respetado doctor Murillo, reciba un cordial saludo</w:t>
      </w:r>
      <w:r w:rsidR="00E746A6" w:rsidRPr="009A4357">
        <w:rPr>
          <w:rFonts w:ascii="Arial" w:eastAsia="Calibri" w:hAnsi="Arial" w:cs="Arial"/>
          <w:sz w:val="22"/>
          <w:lang w:val="es-ES_tradnl"/>
        </w:rPr>
        <w:t xml:space="preserve">: </w:t>
      </w:r>
    </w:p>
    <w:p w14:paraId="1EAE5543" w14:textId="77777777" w:rsidR="00DD5B04" w:rsidRPr="00481870" w:rsidRDefault="00DD5B04" w:rsidP="00DF76A2">
      <w:pPr>
        <w:jc w:val="both"/>
        <w:rPr>
          <w:rFonts w:ascii="Arial" w:eastAsia="Calibri" w:hAnsi="Arial" w:cs="Arial"/>
          <w:color w:val="000000" w:themeColor="text1"/>
          <w:sz w:val="22"/>
          <w:lang w:val="es-ES_tradnl"/>
        </w:rPr>
      </w:pPr>
    </w:p>
    <w:p w14:paraId="2109B2D3" w14:textId="4783B901" w:rsidR="00DD5B04" w:rsidRPr="00481870" w:rsidRDefault="00DD5B04" w:rsidP="00DF76A2">
      <w:pPr>
        <w:spacing w:line="276" w:lineRule="auto"/>
        <w:jc w:val="both"/>
        <w:rPr>
          <w:rFonts w:ascii="Arial" w:eastAsia="Calibri" w:hAnsi="Arial" w:cs="Arial"/>
          <w:color w:val="000000" w:themeColor="text1"/>
          <w:sz w:val="22"/>
          <w:lang w:val="es-ES_tradnl"/>
        </w:rPr>
      </w:pPr>
      <w:r w:rsidRPr="00481870">
        <w:rPr>
          <w:rFonts w:ascii="Arial" w:eastAsia="Calibri" w:hAnsi="Arial" w:cs="Arial"/>
          <w:color w:val="000000" w:themeColor="text1"/>
          <w:sz w:val="22"/>
          <w:lang w:val="es-ES_tradnl"/>
        </w:rPr>
        <w:t xml:space="preserve">En ejercicio de la competencia otorgada por el numeral 8 del artículo 11 y el numeral 5 del artículo 3 del Decreto Ley 4170 de 2011, la Agencia Nacional de Contratación Pública </w:t>
      </w:r>
      <w:r w:rsidR="00426FB4" w:rsidRPr="00481870">
        <w:rPr>
          <w:rFonts w:ascii="Arial" w:eastAsia="Calibri" w:hAnsi="Arial" w:cs="Arial"/>
          <w:color w:val="000000" w:themeColor="text1"/>
          <w:sz w:val="22"/>
          <w:lang w:val="es-ES_tradnl"/>
        </w:rPr>
        <w:t>–</w:t>
      </w:r>
      <w:r w:rsidRPr="00481870">
        <w:rPr>
          <w:rFonts w:ascii="Arial" w:eastAsia="Calibri" w:hAnsi="Arial" w:cs="Arial"/>
          <w:color w:val="000000" w:themeColor="text1"/>
          <w:sz w:val="22"/>
          <w:lang w:val="es-ES_tradnl"/>
        </w:rPr>
        <w:t xml:space="preserve"> Colombia Compra Eficiente</w:t>
      </w:r>
      <w:r w:rsidR="008C3C57" w:rsidRPr="00481870">
        <w:rPr>
          <w:rFonts w:ascii="Arial" w:eastAsia="Calibri" w:hAnsi="Arial" w:cs="Arial"/>
          <w:color w:val="000000" w:themeColor="text1"/>
          <w:sz w:val="22"/>
          <w:lang w:val="es-ES_tradnl"/>
        </w:rPr>
        <w:t xml:space="preserve"> </w:t>
      </w:r>
      <w:r w:rsidR="00436B3F" w:rsidRPr="00481870">
        <w:rPr>
          <w:rFonts w:ascii="Arial" w:eastAsia="Calibri" w:hAnsi="Arial" w:cs="Arial"/>
          <w:color w:val="000000" w:themeColor="text1"/>
          <w:sz w:val="22"/>
          <w:lang w:val="es-ES_tradnl"/>
        </w:rPr>
        <w:t xml:space="preserve">responde a su consulta del </w:t>
      </w:r>
      <w:r w:rsidR="007F17A4">
        <w:rPr>
          <w:rFonts w:ascii="Arial" w:eastAsia="Calibri" w:hAnsi="Arial" w:cs="Arial"/>
          <w:color w:val="000000" w:themeColor="text1"/>
          <w:sz w:val="22"/>
          <w:lang w:val="es-ES_tradnl"/>
        </w:rPr>
        <w:t xml:space="preserve">10 de marzo </w:t>
      </w:r>
      <w:r w:rsidR="008164D9" w:rsidRPr="00481870">
        <w:rPr>
          <w:rFonts w:ascii="Arial" w:eastAsia="Calibri" w:hAnsi="Arial" w:cs="Arial"/>
          <w:color w:val="000000" w:themeColor="text1"/>
          <w:sz w:val="22"/>
          <w:lang w:val="es-ES_tradnl"/>
        </w:rPr>
        <w:t>de 2022</w:t>
      </w:r>
      <w:r w:rsidR="009A1E09">
        <w:rPr>
          <w:rFonts w:ascii="Arial" w:eastAsia="Calibri" w:hAnsi="Arial" w:cs="Arial"/>
          <w:color w:val="000000" w:themeColor="text1"/>
          <w:sz w:val="22"/>
          <w:lang w:val="es-ES_tradnl"/>
        </w:rPr>
        <w:t xml:space="preserve"> en los siguientes términos:</w:t>
      </w:r>
      <w:r w:rsidR="008164D9" w:rsidRPr="00481870">
        <w:rPr>
          <w:rFonts w:ascii="Arial" w:eastAsia="Calibri" w:hAnsi="Arial" w:cs="Arial"/>
          <w:color w:val="000000" w:themeColor="text1"/>
          <w:sz w:val="22"/>
          <w:lang w:val="es-ES_tradnl"/>
        </w:rPr>
        <w:t xml:space="preserve"> </w:t>
      </w:r>
    </w:p>
    <w:p w14:paraId="2FA4B1AA" w14:textId="544A66F3" w:rsidR="001A3C58" w:rsidRPr="00481870" w:rsidRDefault="001A3C58" w:rsidP="00DF76A2">
      <w:pPr>
        <w:spacing w:line="276" w:lineRule="auto"/>
        <w:jc w:val="both"/>
        <w:rPr>
          <w:rFonts w:ascii="Arial" w:eastAsia="Calibri" w:hAnsi="Arial" w:cs="Arial"/>
          <w:b/>
          <w:color w:val="000000" w:themeColor="text1"/>
          <w:sz w:val="22"/>
          <w:lang w:val="es-ES_tradnl"/>
        </w:rPr>
      </w:pPr>
    </w:p>
    <w:p w14:paraId="7701FCC7" w14:textId="77777777" w:rsidR="00DD5B04" w:rsidRPr="00481870"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481870">
        <w:rPr>
          <w:rFonts w:ascii="Arial" w:eastAsia="Calibri" w:hAnsi="Arial" w:cs="Arial"/>
          <w:b/>
          <w:color w:val="000000" w:themeColor="text1"/>
          <w:sz w:val="22"/>
          <w:lang w:val="es-ES_tradnl"/>
        </w:rPr>
        <w:t xml:space="preserve">Problema planteado </w:t>
      </w:r>
    </w:p>
    <w:p w14:paraId="224B43D3" w14:textId="77777777" w:rsidR="00DD5B04" w:rsidRPr="00481870" w:rsidRDefault="00DD5B04" w:rsidP="00DF76A2">
      <w:pPr>
        <w:tabs>
          <w:tab w:val="left" w:pos="426"/>
        </w:tabs>
        <w:spacing w:line="276" w:lineRule="auto"/>
        <w:jc w:val="both"/>
        <w:rPr>
          <w:rFonts w:ascii="Arial" w:eastAsia="Calibri" w:hAnsi="Arial" w:cs="Arial"/>
          <w:b/>
          <w:color w:val="000000" w:themeColor="text1"/>
          <w:sz w:val="22"/>
          <w:lang w:val="es-ES_tradnl"/>
        </w:rPr>
      </w:pPr>
    </w:p>
    <w:p w14:paraId="733230F4" w14:textId="1C42DB1A" w:rsidR="008D7ED0" w:rsidRDefault="00700BDE" w:rsidP="009A1E09">
      <w:pPr>
        <w:autoSpaceDE w:val="0"/>
        <w:autoSpaceDN w:val="0"/>
        <w:adjustRightInd w:val="0"/>
        <w:spacing w:line="276" w:lineRule="auto"/>
        <w:ind w:firstLine="708"/>
        <w:jc w:val="both"/>
        <w:rPr>
          <w:rFonts w:ascii="Arial" w:hAnsi="Arial" w:cs="Arial"/>
          <w:color w:val="000000" w:themeColor="text1"/>
          <w:sz w:val="22"/>
          <w:szCs w:val="22"/>
          <w:lang w:val="es-ES_tradnl"/>
        </w:rPr>
      </w:pPr>
      <w:r w:rsidRPr="00481870">
        <w:rPr>
          <w:rFonts w:ascii="Arial" w:hAnsi="Arial" w:cs="Arial"/>
          <w:color w:val="000000" w:themeColor="text1"/>
          <w:sz w:val="22"/>
          <w:szCs w:val="22"/>
          <w:lang w:val="es-ES_tradnl"/>
        </w:rPr>
        <w:t>Uste</w:t>
      </w:r>
      <w:r w:rsidR="00481870">
        <w:rPr>
          <w:rFonts w:ascii="Arial" w:hAnsi="Arial" w:cs="Arial"/>
          <w:color w:val="000000" w:themeColor="text1"/>
          <w:sz w:val="22"/>
          <w:szCs w:val="22"/>
          <w:lang w:val="es-ES_tradnl"/>
        </w:rPr>
        <w:t>d</w:t>
      </w:r>
      <w:r w:rsidR="007F17A4">
        <w:rPr>
          <w:rFonts w:ascii="Arial" w:hAnsi="Arial" w:cs="Arial"/>
          <w:color w:val="000000" w:themeColor="text1"/>
          <w:sz w:val="22"/>
          <w:szCs w:val="22"/>
          <w:lang w:val="es-ES_tradnl"/>
        </w:rPr>
        <w:t xml:space="preserve"> realiza</w:t>
      </w:r>
      <w:r w:rsidR="008D7ED0">
        <w:rPr>
          <w:rFonts w:ascii="Arial" w:hAnsi="Arial" w:cs="Arial"/>
          <w:color w:val="000000" w:themeColor="text1"/>
          <w:sz w:val="22"/>
          <w:szCs w:val="22"/>
          <w:lang w:val="es-ES_tradnl"/>
        </w:rPr>
        <w:t xml:space="preserve"> una serie de preguntas en torno a la aplicación de la Ley de garantías en materia de contratación pública, por lo que señala lo siguiente</w:t>
      </w:r>
      <w:r w:rsidR="007F17A4">
        <w:rPr>
          <w:rFonts w:ascii="Arial" w:hAnsi="Arial" w:cs="Arial"/>
          <w:color w:val="000000" w:themeColor="text1"/>
          <w:sz w:val="22"/>
          <w:szCs w:val="22"/>
          <w:lang w:val="es-ES_tradnl"/>
        </w:rPr>
        <w:t>:</w:t>
      </w:r>
      <w:r w:rsidR="00DD18DD">
        <w:rPr>
          <w:rFonts w:ascii="Arial" w:hAnsi="Arial" w:cs="Arial"/>
          <w:color w:val="000000" w:themeColor="text1"/>
          <w:sz w:val="22"/>
          <w:szCs w:val="22"/>
          <w:lang w:val="es-ES_tradnl"/>
        </w:rPr>
        <w:t xml:space="preserve"> </w:t>
      </w:r>
    </w:p>
    <w:p w14:paraId="769D87DD" w14:textId="77777777" w:rsidR="008D7ED0" w:rsidRDefault="008D7ED0" w:rsidP="00DD18DD">
      <w:pPr>
        <w:autoSpaceDE w:val="0"/>
        <w:autoSpaceDN w:val="0"/>
        <w:adjustRightInd w:val="0"/>
        <w:spacing w:line="276" w:lineRule="auto"/>
        <w:jc w:val="both"/>
        <w:rPr>
          <w:rFonts w:ascii="Arial" w:hAnsi="Arial" w:cs="Arial"/>
          <w:color w:val="000000" w:themeColor="text1"/>
          <w:sz w:val="22"/>
          <w:szCs w:val="22"/>
          <w:lang w:val="es-ES_tradnl"/>
        </w:rPr>
      </w:pPr>
    </w:p>
    <w:p w14:paraId="4BD1A156" w14:textId="0BFEE913" w:rsidR="00436B3F" w:rsidRPr="008D7ED0" w:rsidRDefault="00DD18DD" w:rsidP="008D7ED0">
      <w:pPr>
        <w:autoSpaceDE w:val="0"/>
        <w:autoSpaceDN w:val="0"/>
        <w:adjustRightInd w:val="0"/>
        <w:ind w:left="709" w:right="709"/>
        <w:jc w:val="both"/>
        <w:rPr>
          <w:rFonts w:ascii="Arial" w:hAnsi="Arial" w:cs="Arial"/>
          <w:color w:val="000000" w:themeColor="text1"/>
          <w:sz w:val="21"/>
          <w:szCs w:val="21"/>
          <w:lang w:val="es-ES_tradnl"/>
        </w:rPr>
      </w:pPr>
      <w:r w:rsidRPr="008D7ED0">
        <w:rPr>
          <w:rFonts w:ascii="Arial" w:hAnsi="Arial" w:cs="Arial"/>
          <w:bCs/>
          <w:sz w:val="21"/>
          <w:szCs w:val="21"/>
        </w:rPr>
        <w:t>«</w:t>
      </w:r>
      <w:r w:rsidRPr="008D7ED0">
        <w:rPr>
          <w:rFonts w:ascii="Arial" w:hAnsi="Arial" w:cs="Arial"/>
          <w:color w:val="000000" w:themeColor="text1"/>
          <w:sz w:val="21"/>
          <w:szCs w:val="21"/>
          <w:lang w:val="es-ES_tradnl"/>
        </w:rPr>
        <w:t xml:space="preserve">1. </w:t>
      </w:r>
      <w:r w:rsidR="007F17A4" w:rsidRPr="008D7ED0">
        <w:rPr>
          <w:rFonts w:ascii="Arial" w:hAnsi="Arial" w:cs="Arial"/>
          <w:color w:val="000000" w:themeColor="text1"/>
          <w:sz w:val="21"/>
          <w:szCs w:val="21"/>
          <w:lang w:val="es-ES_tradnl"/>
        </w:rPr>
        <w:t xml:space="preserve">¿Para efectos de la ley de garantías, </w:t>
      </w:r>
      <w:proofErr w:type="gramStart"/>
      <w:r w:rsidR="007F17A4" w:rsidRPr="008D7ED0">
        <w:rPr>
          <w:rFonts w:ascii="Arial" w:hAnsi="Arial" w:cs="Arial"/>
          <w:color w:val="000000" w:themeColor="text1"/>
          <w:sz w:val="21"/>
          <w:szCs w:val="21"/>
          <w:lang w:val="es-ES_tradnl"/>
        </w:rPr>
        <w:t>contratos interadministrativos y convenios interadministrativos</w:t>
      </w:r>
      <w:proofErr w:type="gramEnd"/>
      <w:r w:rsidR="007F17A4" w:rsidRPr="008D7ED0">
        <w:rPr>
          <w:rFonts w:ascii="Arial" w:hAnsi="Arial" w:cs="Arial"/>
          <w:color w:val="000000" w:themeColor="text1"/>
          <w:sz w:val="21"/>
          <w:szCs w:val="21"/>
          <w:lang w:val="es-ES_tradnl"/>
        </w:rPr>
        <w:t xml:space="preserve"> son sinónimos? </w:t>
      </w:r>
      <w:r w:rsidRPr="008D7ED0">
        <w:rPr>
          <w:rFonts w:ascii="Arial" w:hAnsi="Arial" w:cs="Arial"/>
          <w:color w:val="000000" w:themeColor="text1"/>
          <w:sz w:val="21"/>
          <w:szCs w:val="21"/>
          <w:lang w:val="es-ES_tradnl"/>
        </w:rPr>
        <w:t xml:space="preserve">2. </w:t>
      </w:r>
      <w:r w:rsidR="007F17A4" w:rsidRPr="008D7ED0">
        <w:rPr>
          <w:rFonts w:ascii="Arial" w:hAnsi="Arial" w:cs="Arial"/>
          <w:color w:val="000000" w:themeColor="text1"/>
          <w:sz w:val="21"/>
          <w:szCs w:val="21"/>
          <w:lang w:val="es-ES_tradnl"/>
        </w:rPr>
        <w:t>¿Existe diferencia entre contrato y convenio interadministrativo?</w:t>
      </w:r>
      <w:r w:rsidRPr="008D7ED0">
        <w:rPr>
          <w:rFonts w:ascii="Arial" w:hAnsi="Arial" w:cs="Arial"/>
          <w:color w:val="000000" w:themeColor="text1"/>
          <w:sz w:val="21"/>
          <w:szCs w:val="21"/>
          <w:lang w:val="es-ES_tradnl"/>
        </w:rPr>
        <w:t xml:space="preserve"> 3. </w:t>
      </w:r>
      <w:r w:rsidR="007F17A4" w:rsidRPr="008D7ED0">
        <w:rPr>
          <w:rFonts w:ascii="Arial" w:hAnsi="Arial" w:cs="Arial"/>
          <w:color w:val="000000" w:themeColor="text1"/>
          <w:sz w:val="21"/>
          <w:szCs w:val="21"/>
          <w:lang w:val="es-ES_tradnl"/>
        </w:rPr>
        <w:t>¿La restricción contenida en el artículo 33 de la Ley 996 de 2005 y de manera especial a los contratos interadministrativos en los términos del Art. 2 numeral 4 de la Ley 1150 de 2007, se debe entender que también aplica a los convenios interadministrativos?</w:t>
      </w:r>
      <w:r w:rsidRPr="008D7ED0">
        <w:rPr>
          <w:rFonts w:ascii="Arial" w:hAnsi="Arial" w:cs="Arial"/>
          <w:color w:val="000000" w:themeColor="text1"/>
          <w:sz w:val="21"/>
          <w:szCs w:val="21"/>
          <w:lang w:val="es-ES_tradnl"/>
        </w:rPr>
        <w:t xml:space="preserve"> 4. </w:t>
      </w:r>
      <w:r w:rsidR="007F17A4" w:rsidRPr="008D7ED0">
        <w:rPr>
          <w:rFonts w:ascii="Arial" w:hAnsi="Arial" w:cs="Arial"/>
          <w:color w:val="000000" w:themeColor="text1"/>
          <w:sz w:val="21"/>
          <w:szCs w:val="21"/>
          <w:lang w:val="es-ES_tradnl"/>
        </w:rPr>
        <w:t>¿Se puede entender que el artículo 38 de la Ley 996 de 2005 realizó una distinción entre contratos y convenios interadministrativos para efectos de darle un tratamiento limitante diferente en época electorales, en los términos de la Sentencia C-005/96 que indica respecto de la preferencia entre una norma general y una norma especial?</w:t>
      </w:r>
      <w:r w:rsidRPr="008D7ED0">
        <w:rPr>
          <w:rFonts w:ascii="Arial" w:hAnsi="Arial" w:cs="Arial"/>
          <w:color w:val="000000" w:themeColor="text1"/>
          <w:sz w:val="21"/>
          <w:szCs w:val="21"/>
          <w:lang w:val="es-ES_tradnl"/>
        </w:rPr>
        <w:t xml:space="preserve"> 5. </w:t>
      </w:r>
      <w:r w:rsidR="007F17A4" w:rsidRPr="008D7ED0">
        <w:rPr>
          <w:rFonts w:ascii="Arial" w:hAnsi="Arial" w:cs="Arial"/>
          <w:color w:val="000000" w:themeColor="text1"/>
          <w:sz w:val="21"/>
          <w:szCs w:val="21"/>
          <w:lang w:val="es-ES_tradnl"/>
        </w:rPr>
        <w:t xml:space="preserve">En ejercicio del ius puniendi del estado y en los términos de la Sentencia T-1039/06, es factible hacer una interpretación extensiva de la definición de contratos interadministrativos para efectos de </w:t>
      </w:r>
      <w:r w:rsidR="007F17A4" w:rsidRPr="008D7ED0">
        <w:rPr>
          <w:rFonts w:ascii="Arial" w:hAnsi="Arial" w:cs="Arial"/>
          <w:color w:val="000000" w:themeColor="text1"/>
          <w:sz w:val="21"/>
          <w:szCs w:val="21"/>
          <w:lang w:val="es-ES_tradnl"/>
        </w:rPr>
        <w:lastRenderedPageBreak/>
        <w:t>entender al convenio como sinónimo?</w:t>
      </w:r>
      <w:r w:rsidRPr="008D7ED0">
        <w:rPr>
          <w:rFonts w:ascii="Arial" w:hAnsi="Arial" w:cs="Arial"/>
          <w:color w:val="000000" w:themeColor="text1"/>
          <w:sz w:val="21"/>
          <w:szCs w:val="21"/>
          <w:lang w:val="es-ES_tradnl"/>
        </w:rPr>
        <w:t xml:space="preserve"> 6. </w:t>
      </w:r>
      <w:r w:rsidR="00A0442F" w:rsidRPr="008D7ED0">
        <w:rPr>
          <w:rFonts w:ascii="Arial" w:hAnsi="Arial" w:cs="Arial"/>
          <w:color w:val="000000" w:themeColor="text1"/>
          <w:sz w:val="21"/>
          <w:szCs w:val="21"/>
          <w:lang w:val="es-ES_tradnl"/>
        </w:rPr>
        <w:t>En los términos establecidos en la ley de garantías, modificada por el artículo 124 de la Ley 2159 de 2021, ¿es factible la suscripción de convenios interadministrativos entre entidades del orden nacional en donde no se ejecute recursos públicos?</w:t>
      </w:r>
      <w:r w:rsidRPr="008D7ED0">
        <w:rPr>
          <w:rFonts w:ascii="Arial" w:hAnsi="Arial" w:cs="Arial"/>
          <w:color w:val="000000" w:themeColor="text1"/>
          <w:sz w:val="21"/>
          <w:szCs w:val="21"/>
          <w:lang w:val="es-ES_tradnl"/>
        </w:rPr>
        <w:t xml:space="preserve"> 7. ¿Se pueden celebrar convenios interadministrativos en los que no existan aportes ni de la Nación ni del ente territorial, esto es, cuya cuantía sea ($0)? 8. </w:t>
      </w:r>
      <w:r w:rsidR="00A0442F" w:rsidRPr="008D7ED0">
        <w:rPr>
          <w:rFonts w:ascii="Arial" w:hAnsi="Arial" w:cs="Arial"/>
          <w:color w:val="000000" w:themeColor="text1"/>
          <w:sz w:val="21"/>
          <w:szCs w:val="21"/>
          <w:lang w:val="es-ES_tradnl"/>
        </w:rPr>
        <w:t xml:space="preserve">¿La expresión </w:t>
      </w:r>
      <w:r w:rsidR="00A0442F" w:rsidRPr="008D7ED0">
        <w:rPr>
          <w:rFonts w:ascii="Arial" w:hAnsi="Arial" w:cs="Arial"/>
          <w:i/>
          <w:color w:val="000000" w:themeColor="text1"/>
          <w:sz w:val="21"/>
          <w:szCs w:val="21"/>
          <w:lang w:val="es-ES_tradnl"/>
        </w:rPr>
        <w:t>“ejecutar programas y proyectos correspondientes al Presupuesto General de la Nación”</w:t>
      </w:r>
      <w:r w:rsidR="00A0442F" w:rsidRPr="008D7ED0">
        <w:rPr>
          <w:rFonts w:ascii="Arial" w:hAnsi="Arial" w:cs="Arial"/>
          <w:color w:val="000000" w:themeColor="text1"/>
          <w:sz w:val="21"/>
          <w:szCs w:val="21"/>
          <w:lang w:val="es-ES_tradnl"/>
        </w:rPr>
        <w:t>, implica necesariamente el compromiso de recursos de la Nación, o solamente con que la actividad a desarrollar esté contemplada en el Presupuesto General de la Nación, se entiende cumplida la condición?</w:t>
      </w:r>
      <w:r w:rsidRPr="008D7ED0">
        <w:rPr>
          <w:rFonts w:ascii="Arial" w:hAnsi="Arial" w:cs="Arial"/>
          <w:color w:val="000000" w:themeColor="text1"/>
          <w:sz w:val="21"/>
          <w:szCs w:val="21"/>
          <w:lang w:val="es-ES_tradnl"/>
        </w:rPr>
        <w:t xml:space="preserve"> 9. </w:t>
      </w:r>
      <w:r w:rsidR="00A0442F" w:rsidRPr="008D7ED0">
        <w:rPr>
          <w:rFonts w:ascii="Arial" w:hAnsi="Arial" w:cs="Arial"/>
          <w:color w:val="000000" w:themeColor="text1"/>
          <w:sz w:val="21"/>
          <w:szCs w:val="21"/>
          <w:lang w:val="es-ES_tradnl"/>
        </w:rPr>
        <w:t>¿Los entes territoriales pueden aportar recursos de su presupuesto para financiar los convenios que se suscriban con la Nación</w:t>
      </w:r>
      <w:r w:rsidR="001C4E20" w:rsidRPr="008D7ED0">
        <w:rPr>
          <w:rFonts w:ascii="Arial" w:hAnsi="Arial" w:cs="Arial"/>
          <w:color w:val="000000" w:themeColor="text1"/>
          <w:sz w:val="21"/>
          <w:szCs w:val="21"/>
          <w:lang w:val="es-ES_tradnl"/>
        </w:rPr>
        <w:t xml:space="preserve"> en el marco de lo establecido en el artículo 124 de la Ley 2159 de 2021, o solo es posible suscribir esta clase de convenios para ejecutar programas y proyectos correspondientes únicamente al Presupuesto General de la Nación? </w:t>
      </w:r>
      <w:r w:rsidRPr="008D7ED0">
        <w:rPr>
          <w:rFonts w:ascii="Arial" w:hAnsi="Arial" w:cs="Arial"/>
          <w:color w:val="000000" w:themeColor="text1"/>
          <w:sz w:val="21"/>
          <w:szCs w:val="21"/>
          <w:lang w:val="es-ES_tradnl"/>
        </w:rPr>
        <w:t xml:space="preserve">10. </w:t>
      </w:r>
      <w:r w:rsidR="001C4E20" w:rsidRPr="008D7ED0">
        <w:rPr>
          <w:rFonts w:ascii="Arial" w:hAnsi="Arial" w:cs="Arial"/>
          <w:color w:val="000000" w:themeColor="text1"/>
          <w:sz w:val="21"/>
          <w:szCs w:val="21"/>
          <w:lang w:val="es-ES_tradnl"/>
        </w:rPr>
        <w:t xml:space="preserve">¿Si se llegare a entender que la finalidad del convenio sea la de ejecutar programas y proyectos del Presupuesto General de la Nación, indicaría de manera genérica que </w:t>
      </w:r>
      <w:r w:rsidRPr="008D7ED0">
        <w:rPr>
          <w:rFonts w:ascii="Arial" w:hAnsi="Arial" w:cs="Arial"/>
          <w:color w:val="000000" w:themeColor="text1"/>
          <w:sz w:val="21"/>
          <w:szCs w:val="21"/>
          <w:lang w:val="es-ES_tradnl"/>
        </w:rPr>
        <w:t>puede</w:t>
      </w:r>
      <w:r w:rsidR="001C4E20" w:rsidRPr="008D7ED0">
        <w:rPr>
          <w:rFonts w:ascii="Arial" w:hAnsi="Arial" w:cs="Arial"/>
          <w:color w:val="000000" w:themeColor="text1"/>
          <w:sz w:val="21"/>
          <w:szCs w:val="21"/>
          <w:lang w:val="es-ES_tradnl"/>
        </w:rPr>
        <w:t xml:space="preserve"> haber aportes de la Nación y del Ente Territorial en dinero, bajo el entendido que la actividad a desarrollar cumple con los cometidos del programa o proyecto que está en el Presupuesto General de la Nación?</w:t>
      </w:r>
      <w:r w:rsidRPr="008D7ED0">
        <w:rPr>
          <w:rFonts w:ascii="Arial" w:hAnsi="Arial" w:cs="Arial"/>
          <w:color w:val="000000" w:themeColor="text1"/>
          <w:sz w:val="21"/>
          <w:szCs w:val="21"/>
          <w:lang w:val="es-ES_tradnl"/>
        </w:rPr>
        <w:t xml:space="preserve"> 11. </w:t>
      </w:r>
      <w:r w:rsidR="001C4E20" w:rsidRPr="008D7ED0">
        <w:rPr>
          <w:rFonts w:ascii="Arial" w:hAnsi="Arial" w:cs="Arial"/>
          <w:color w:val="000000" w:themeColor="text1"/>
          <w:sz w:val="21"/>
          <w:szCs w:val="21"/>
          <w:lang w:val="es-ES_tradnl"/>
        </w:rPr>
        <w:t>¿Ante la restricción establecida en el artículo 33 de la Ley 996 de 2005, el parágrafo del artículo 38 del mismo estatuto y la modificación temporal contenida en el artículo 124 de la Ley 2159 de 2021, es factible suscribir convenios interadministrativos con entidades territoriales para ejecutar recursos del Presupuesto General de la Nación?</w:t>
      </w:r>
      <w:r w:rsidRPr="008D7ED0">
        <w:rPr>
          <w:rFonts w:ascii="Arial" w:hAnsi="Arial" w:cs="Arial"/>
          <w:color w:val="000000" w:themeColor="text1"/>
          <w:sz w:val="21"/>
          <w:szCs w:val="21"/>
          <w:lang w:val="es-ES_tradnl"/>
        </w:rPr>
        <w:t xml:space="preserve"> 12. ¿Es procedente jurídicamente la celebración de convenios de asociación mediante modalidad competitiva durante la etapa de Ley de Garantías Electorales? 13. ¿Se pueden celebrar acuerdos de intercambio de información den Ley de Garantías Electorales en donde no exista erogación presupuestal? 14. </w:t>
      </w:r>
      <w:r w:rsidR="008D7ED0" w:rsidRPr="008D7ED0">
        <w:rPr>
          <w:rFonts w:ascii="Arial" w:hAnsi="Arial" w:cs="Arial"/>
          <w:color w:val="000000" w:themeColor="text1"/>
          <w:sz w:val="21"/>
          <w:szCs w:val="21"/>
          <w:lang w:val="es-ES_tradnl"/>
        </w:rPr>
        <w:t>¿Se pueden celebrar Convenios de Cooperación Internacional con organismos internacionales de que trata el artículo 20 de la Ley 1150 de 2007, en vigencia de la Ley de Garantías Electorales, sea que existan o no aportes, ya sea de los cooperantes o de la Nación?</w:t>
      </w:r>
      <w:r w:rsidR="008D7ED0" w:rsidRPr="00481870">
        <w:rPr>
          <w:rFonts w:ascii="Arial" w:hAnsi="Arial" w:cs="Arial"/>
          <w:bCs/>
          <w:sz w:val="22"/>
        </w:rPr>
        <w:t>»</w:t>
      </w:r>
    </w:p>
    <w:p w14:paraId="037E7D68" w14:textId="0ED44815" w:rsidR="007446F6" w:rsidRPr="00481870" w:rsidRDefault="007446F6" w:rsidP="006B3EB4">
      <w:pPr>
        <w:spacing w:line="276" w:lineRule="auto"/>
        <w:jc w:val="both"/>
        <w:rPr>
          <w:rFonts w:ascii="Arial" w:hAnsi="Arial" w:cs="Arial"/>
          <w:color w:val="000000" w:themeColor="text1"/>
          <w:sz w:val="22"/>
          <w:szCs w:val="22"/>
          <w:lang w:val="es-ES_tradnl"/>
        </w:rPr>
      </w:pPr>
    </w:p>
    <w:p w14:paraId="124D2DCA" w14:textId="77777777" w:rsidR="00DD5B04" w:rsidRPr="00481870" w:rsidRDefault="00DD5B04" w:rsidP="00DF76A2">
      <w:pPr>
        <w:pStyle w:val="Prrafodelista"/>
        <w:numPr>
          <w:ilvl w:val="0"/>
          <w:numId w:val="8"/>
        </w:numPr>
        <w:tabs>
          <w:tab w:val="left" w:pos="0"/>
          <w:tab w:val="left" w:pos="284"/>
        </w:tabs>
        <w:ind w:left="0" w:firstLine="0"/>
        <w:jc w:val="both"/>
        <w:rPr>
          <w:rFonts w:ascii="Arial" w:eastAsia="Calibri" w:hAnsi="Arial" w:cs="Arial"/>
          <w:b/>
          <w:color w:val="000000" w:themeColor="text1"/>
          <w:sz w:val="22"/>
          <w:lang w:val="es-ES_tradnl"/>
        </w:rPr>
      </w:pPr>
      <w:r w:rsidRPr="00481870">
        <w:rPr>
          <w:rFonts w:ascii="Arial" w:eastAsia="Calibri" w:hAnsi="Arial" w:cs="Arial"/>
          <w:b/>
          <w:color w:val="000000" w:themeColor="text1"/>
          <w:sz w:val="22"/>
          <w:lang w:val="es-ES_tradnl"/>
        </w:rPr>
        <w:t>Consideraciones</w:t>
      </w:r>
    </w:p>
    <w:p w14:paraId="7D050D2E" w14:textId="77777777" w:rsidR="00435703" w:rsidRPr="00481870" w:rsidRDefault="00435703" w:rsidP="00DF76A2">
      <w:pPr>
        <w:spacing w:line="276" w:lineRule="auto"/>
        <w:jc w:val="both"/>
        <w:rPr>
          <w:rFonts w:ascii="Arial" w:eastAsia="Calibri" w:hAnsi="Arial" w:cs="Arial"/>
          <w:color w:val="000000" w:themeColor="text1"/>
          <w:sz w:val="22"/>
          <w:szCs w:val="22"/>
          <w:lang w:val="es-ES_tradnl"/>
        </w:rPr>
      </w:pPr>
    </w:p>
    <w:p w14:paraId="718A48D6" w14:textId="4CF95DAA" w:rsidR="00F54C37" w:rsidRDefault="00E85CE0" w:rsidP="00C65049">
      <w:pPr>
        <w:jc w:val="both"/>
        <w:rPr>
          <w:rFonts w:ascii="Arial" w:eastAsia="Calibri" w:hAnsi="Arial" w:cs="Arial"/>
          <w:b/>
          <w:bCs/>
          <w:sz w:val="22"/>
          <w:szCs w:val="22"/>
          <w:lang w:val="es-MX"/>
        </w:rPr>
      </w:pPr>
      <w:r w:rsidRPr="00481870">
        <w:rPr>
          <w:rFonts w:ascii="Arial" w:hAnsi="Arial" w:cs="Arial"/>
          <w:sz w:val="22"/>
          <w:lang w:val="es-ES"/>
        </w:rPr>
        <w:tab/>
      </w:r>
      <w:r w:rsidR="000B04C1" w:rsidRPr="00C65049">
        <w:rPr>
          <w:rFonts w:ascii="Arial" w:hAnsi="Arial" w:cs="Arial"/>
          <w:sz w:val="22"/>
          <w:szCs w:val="22"/>
          <w:lang w:val="es-ES"/>
        </w:rPr>
        <w:t>Atendiendo al cuestionario remitido,</w:t>
      </w:r>
      <w:r w:rsidR="000B04C1" w:rsidRPr="00C65049">
        <w:rPr>
          <w:rFonts w:ascii="Arial" w:hAnsi="Arial" w:cs="Arial"/>
          <w:bCs/>
          <w:sz w:val="22"/>
          <w:szCs w:val="22"/>
        </w:rPr>
        <w:t xml:space="preserve"> en la presente consulta se abordar</w:t>
      </w:r>
      <w:r w:rsidR="009A1E09">
        <w:rPr>
          <w:rFonts w:ascii="Arial" w:hAnsi="Arial" w:cs="Arial"/>
          <w:bCs/>
          <w:sz w:val="22"/>
          <w:szCs w:val="22"/>
        </w:rPr>
        <w:t>á</w:t>
      </w:r>
      <w:r w:rsidR="000B04C1" w:rsidRPr="00C65049">
        <w:rPr>
          <w:rFonts w:ascii="Arial" w:hAnsi="Arial" w:cs="Arial"/>
          <w:bCs/>
          <w:sz w:val="22"/>
          <w:szCs w:val="22"/>
        </w:rPr>
        <w:t>n las siguientes temáticas</w:t>
      </w:r>
      <w:r w:rsidRPr="00C65049">
        <w:rPr>
          <w:rFonts w:ascii="Arial" w:eastAsia="Calibri" w:hAnsi="Arial" w:cs="Arial"/>
          <w:sz w:val="22"/>
          <w:szCs w:val="22"/>
          <w:lang w:val="es-ES"/>
        </w:rPr>
        <w:t>:</w:t>
      </w:r>
      <w:r w:rsidRPr="00C65049">
        <w:rPr>
          <w:rFonts w:ascii="Arial" w:eastAsia="Calibri" w:hAnsi="Arial" w:cs="Arial"/>
          <w:bCs/>
          <w:sz w:val="22"/>
          <w:szCs w:val="22"/>
        </w:rPr>
        <w:t xml:space="preserve"> i) definición y finalidad de </w:t>
      </w:r>
      <w:r w:rsidR="00993B0D" w:rsidRPr="00C65049">
        <w:rPr>
          <w:rFonts w:ascii="Arial" w:eastAsia="Calibri" w:hAnsi="Arial" w:cs="Arial"/>
          <w:bCs/>
          <w:sz w:val="22"/>
          <w:szCs w:val="22"/>
        </w:rPr>
        <w:t>la Ley de Garantías Electorales;</w:t>
      </w:r>
      <w:r w:rsidR="009A1E09">
        <w:rPr>
          <w:rFonts w:ascii="Arial" w:eastAsia="Calibri" w:hAnsi="Arial" w:cs="Arial"/>
          <w:bCs/>
          <w:sz w:val="22"/>
          <w:szCs w:val="22"/>
        </w:rPr>
        <w:t xml:space="preserve"> </w:t>
      </w:r>
      <w:proofErr w:type="spellStart"/>
      <w:r w:rsidR="009A1E09">
        <w:rPr>
          <w:rFonts w:ascii="Arial" w:eastAsia="Calibri" w:hAnsi="Arial" w:cs="Arial"/>
          <w:bCs/>
          <w:sz w:val="22"/>
          <w:szCs w:val="22"/>
        </w:rPr>
        <w:t>ii</w:t>
      </w:r>
      <w:proofErr w:type="spellEnd"/>
      <w:r w:rsidRPr="00C65049">
        <w:rPr>
          <w:rFonts w:ascii="Arial" w:eastAsia="Calibri" w:hAnsi="Arial" w:cs="Arial"/>
          <w:bCs/>
          <w:sz w:val="22"/>
          <w:szCs w:val="22"/>
        </w:rPr>
        <w:t xml:space="preserve">) </w:t>
      </w:r>
      <w:r w:rsidR="00993B0D" w:rsidRPr="00C65049">
        <w:rPr>
          <w:rFonts w:ascii="Arial" w:eastAsia="Arial" w:hAnsi="Arial" w:cs="Arial"/>
          <w:sz w:val="22"/>
          <w:szCs w:val="22"/>
          <w:lang w:val="es-MX"/>
        </w:rPr>
        <w:t>restricciones para la celebración de contratos y convenios interadministrativos en los comicios de cargos de elección popular: prohibición del parágrafo del artículo 38 de la Ley 996 de 2005</w:t>
      </w:r>
      <w:bookmarkStart w:id="8" w:name="_Hlk76110351"/>
      <w:r w:rsidR="00993B0D" w:rsidRPr="00C65049">
        <w:rPr>
          <w:rFonts w:ascii="Arial" w:eastAsia="Arial" w:hAnsi="Arial" w:cs="Arial"/>
          <w:sz w:val="22"/>
          <w:szCs w:val="22"/>
          <w:lang w:val="es-MX"/>
        </w:rPr>
        <w:t xml:space="preserve">; </w:t>
      </w:r>
      <w:bookmarkEnd w:id="8"/>
      <w:proofErr w:type="spellStart"/>
      <w:r w:rsidR="00993B0D" w:rsidRPr="00C65049">
        <w:rPr>
          <w:rFonts w:ascii="Arial" w:eastAsia="Calibri" w:hAnsi="Arial" w:cs="Arial"/>
          <w:bCs/>
          <w:sz w:val="22"/>
          <w:szCs w:val="22"/>
          <w:lang w:val="es-ES"/>
        </w:rPr>
        <w:t>i</w:t>
      </w:r>
      <w:r w:rsidR="00E843E4">
        <w:rPr>
          <w:rFonts w:ascii="Arial" w:eastAsia="Calibri" w:hAnsi="Arial" w:cs="Arial"/>
          <w:bCs/>
          <w:sz w:val="22"/>
          <w:szCs w:val="22"/>
          <w:lang w:val="es-ES"/>
        </w:rPr>
        <w:t>ii</w:t>
      </w:r>
      <w:proofErr w:type="spellEnd"/>
      <w:r w:rsidR="00993B0D" w:rsidRPr="00C65049">
        <w:rPr>
          <w:rFonts w:ascii="Arial" w:eastAsia="Calibri" w:hAnsi="Arial" w:cs="Arial"/>
          <w:bCs/>
          <w:sz w:val="22"/>
          <w:szCs w:val="22"/>
          <w:lang w:val="es-ES"/>
        </w:rPr>
        <w:t xml:space="preserve">) </w:t>
      </w:r>
      <w:r w:rsidR="009A1E09">
        <w:rPr>
          <w:rFonts w:ascii="Arial" w:eastAsia="Arial" w:hAnsi="Arial" w:cs="Arial"/>
          <w:bCs/>
          <w:sz w:val="22"/>
          <w:szCs w:val="22"/>
          <w:lang w:val="es-ES" w:eastAsia="es-ES" w:bidi="es-ES"/>
        </w:rPr>
        <w:t>R</w:t>
      </w:r>
      <w:proofErr w:type="spellStart"/>
      <w:r w:rsidR="00993B0D" w:rsidRPr="00C65049">
        <w:rPr>
          <w:rFonts w:ascii="Arial" w:eastAsia="Calibri" w:hAnsi="Arial" w:cs="Arial"/>
          <w:bCs/>
          <w:sz w:val="22"/>
          <w:szCs w:val="22"/>
          <w:lang w:val="es-MX"/>
        </w:rPr>
        <w:t>égimen</w:t>
      </w:r>
      <w:proofErr w:type="spellEnd"/>
      <w:r w:rsidR="00993B0D" w:rsidRPr="00C65049">
        <w:rPr>
          <w:rFonts w:ascii="Arial" w:eastAsia="Calibri" w:hAnsi="Arial" w:cs="Arial"/>
          <w:bCs/>
          <w:sz w:val="22"/>
          <w:szCs w:val="22"/>
          <w:lang w:val="es-MX"/>
        </w:rPr>
        <w:t xml:space="preserve"> aplicable a la contratación del Estado colombiano con organismos internacionales</w:t>
      </w:r>
      <w:r w:rsidR="00993B0D" w:rsidRPr="00C65049">
        <w:rPr>
          <w:rFonts w:ascii="Arial" w:eastAsia="Calibri" w:hAnsi="Arial" w:cs="Arial"/>
          <w:b/>
          <w:bCs/>
          <w:sz w:val="22"/>
          <w:szCs w:val="22"/>
          <w:lang w:val="es-MX"/>
        </w:rPr>
        <w:t xml:space="preserve">. </w:t>
      </w:r>
    </w:p>
    <w:p w14:paraId="4AB4DE7D" w14:textId="77777777" w:rsidR="009A1E09" w:rsidRPr="00C65049" w:rsidRDefault="009A1E09" w:rsidP="00C65049">
      <w:pPr>
        <w:jc w:val="both"/>
        <w:rPr>
          <w:rFonts w:ascii="Arial" w:eastAsia="Calibri" w:hAnsi="Arial" w:cs="Arial"/>
          <w:b/>
          <w:bCs/>
          <w:sz w:val="22"/>
          <w:szCs w:val="22"/>
          <w:lang w:val="es-MX"/>
        </w:rPr>
      </w:pPr>
    </w:p>
    <w:p w14:paraId="3B82364D" w14:textId="753B3C69" w:rsidR="00AC7B4D" w:rsidRPr="00C65049" w:rsidRDefault="001459D2" w:rsidP="00C65049">
      <w:pPr>
        <w:jc w:val="both"/>
        <w:rPr>
          <w:rFonts w:ascii="Arial" w:eastAsia="Calibri" w:hAnsi="Arial" w:cs="Arial"/>
          <w:sz w:val="22"/>
          <w:szCs w:val="22"/>
        </w:rPr>
      </w:pPr>
      <w:r w:rsidRPr="00C65049">
        <w:rPr>
          <w:rFonts w:ascii="Arial" w:eastAsia="Calibri" w:hAnsi="Arial" w:cs="Arial"/>
          <w:sz w:val="22"/>
          <w:szCs w:val="22"/>
        </w:rPr>
        <w:t>Esta Agencia</w:t>
      </w:r>
      <w:r w:rsidR="00E670DD" w:rsidRPr="00C65049">
        <w:rPr>
          <w:rFonts w:ascii="Arial" w:eastAsia="Calibri" w:hAnsi="Arial" w:cs="Arial"/>
          <w:sz w:val="22"/>
          <w:szCs w:val="22"/>
        </w:rPr>
        <w:t xml:space="preserve"> se ha pronunciado en diferentes ocasiones sobre la Ley de Garantías</w:t>
      </w:r>
      <w:r w:rsidRPr="00C65049">
        <w:rPr>
          <w:rFonts w:ascii="Arial" w:eastAsia="Calibri" w:hAnsi="Arial" w:cs="Arial"/>
          <w:sz w:val="22"/>
          <w:szCs w:val="22"/>
        </w:rPr>
        <w:t xml:space="preserve"> Electorales</w:t>
      </w:r>
      <w:r w:rsidR="00E670DD" w:rsidRPr="00C65049">
        <w:rPr>
          <w:rFonts w:ascii="Arial" w:eastAsia="Calibri" w:hAnsi="Arial" w:cs="Arial"/>
          <w:sz w:val="22"/>
          <w:szCs w:val="22"/>
        </w:rPr>
        <w:t xml:space="preserve">, entre otros, en los Conceptos 4201913000004536 de 17 de julio de 2019, 4201912000005556 del 12 de septiembre de 2019, 4201913000005175 del 13 de septiembre de 2019, 4201913000006452 del 07 de octubre de 2019, 4201913000005082 del 17 de octubre de 2019, 4201913000006306 del 21 de octubre de 2019, </w:t>
      </w:r>
      <w:r w:rsidR="00E670DD" w:rsidRPr="00C65049">
        <w:rPr>
          <w:rFonts w:ascii="Arial" w:eastAsia="Calibri" w:hAnsi="Arial" w:cs="Arial"/>
          <w:sz w:val="22"/>
          <w:szCs w:val="22"/>
        </w:rPr>
        <w:lastRenderedPageBreak/>
        <w:t>4201912000006552 del 07 de noviembre de 2019, 4201913000006604 del 17 de diciembre de 2019</w:t>
      </w:r>
      <w:r w:rsidR="00E746A6" w:rsidRPr="00C65049">
        <w:rPr>
          <w:rFonts w:ascii="Arial" w:eastAsia="Calibri" w:hAnsi="Arial" w:cs="Arial"/>
          <w:sz w:val="22"/>
          <w:szCs w:val="22"/>
        </w:rPr>
        <w:t xml:space="preserve">, </w:t>
      </w:r>
      <w:r w:rsidR="00974B94" w:rsidRPr="00C65049">
        <w:rPr>
          <w:rFonts w:ascii="Arial" w:eastAsia="Calibri" w:hAnsi="Arial" w:cs="Arial"/>
          <w:sz w:val="22"/>
          <w:szCs w:val="22"/>
        </w:rPr>
        <w:t xml:space="preserve"> C-227 del 24 de mayo de 2021</w:t>
      </w:r>
      <w:r w:rsidR="00E746A6" w:rsidRPr="00C65049">
        <w:rPr>
          <w:rFonts w:ascii="Arial" w:eastAsia="Calibri" w:hAnsi="Arial" w:cs="Arial"/>
          <w:sz w:val="22"/>
          <w:szCs w:val="22"/>
        </w:rPr>
        <w:t xml:space="preserve"> y </w:t>
      </w:r>
      <w:r w:rsidR="0030575F" w:rsidRPr="00C65049">
        <w:rPr>
          <w:rFonts w:ascii="Arial" w:eastAsia="Calibri" w:hAnsi="Arial" w:cs="Arial"/>
          <w:sz w:val="22"/>
          <w:szCs w:val="22"/>
        </w:rPr>
        <w:t>3</w:t>
      </w:r>
      <w:r w:rsidR="00E746A6" w:rsidRPr="00C65049">
        <w:rPr>
          <w:rFonts w:ascii="Arial" w:eastAsia="Calibri" w:hAnsi="Arial" w:cs="Arial"/>
          <w:sz w:val="22"/>
          <w:szCs w:val="22"/>
        </w:rPr>
        <w:t>96 de</w:t>
      </w:r>
      <w:r w:rsidR="0030575F" w:rsidRPr="00C65049">
        <w:rPr>
          <w:rFonts w:ascii="Arial" w:eastAsia="Calibri" w:hAnsi="Arial" w:cs="Arial"/>
          <w:sz w:val="22"/>
          <w:szCs w:val="22"/>
        </w:rPr>
        <w:t>l 13 de agosto de</w:t>
      </w:r>
      <w:r w:rsidR="00E746A6" w:rsidRPr="00C65049">
        <w:rPr>
          <w:rFonts w:ascii="Arial" w:eastAsia="Calibri" w:hAnsi="Arial" w:cs="Arial"/>
          <w:sz w:val="22"/>
          <w:szCs w:val="22"/>
        </w:rPr>
        <w:t xml:space="preserve"> 2021</w:t>
      </w:r>
      <w:r w:rsidR="00E552DD" w:rsidRPr="00C65049">
        <w:rPr>
          <w:rFonts w:ascii="Arial" w:eastAsia="Calibri" w:hAnsi="Arial" w:cs="Arial"/>
          <w:sz w:val="22"/>
          <w:szCs w:val="22"/>
        </w:rPr>
        <w:t>, C-429 del 27 de agosto de 2021</w:t>
      </w:r>
      <w:r w:rsidR="00A161D5" w:rsidRPr="00C65049">
        <w:rPr>
          <w:rFonts w:ascii="Arial" w:eastAsia="Calibri" w:hAnsi="Arial" w:cs="Arial"/>
          <w:sz w:val="22"/>
          <w:szCs w:val="22"/>
        </w:rPr>
        <w:t xml:space="preserve">, C-456 del 3 de septiembre, C-481 del 9 de septiembre de 2021, </w:t>
      </w:r>
      <w:r w:rsidR="000A0A18" w:rsidRPr="00C65049">
        <w:rPr>
          <w:rFonts w:ascii="Arial" w:eastAsia="Calibri" w:hAnsi="Arial" w:cs="Arial"/>
          <w:sz w:val="22"/>
          <w:szCs w:val="22"/>
        </w:rPr>
        <w:t>C- 528 del 27 de septiembre de 2021, C-550 del 5 de octubre de 2021</w:t>
      </w:r>
      <w:r w:rsidR="00E552DD" w:rsidRPr="00C65049">
        <w:rPr>
          <w:rFonts w:ascii="Arial" w:eastAsia="Calibri" w:hAnsi="Arial" w:cs="Arial"/>
          <w:sz w:val="22"/>
          <w:szCs w:val="22"/>
        </w:rPr>
        <w:t xml:space="preserve"> y C-523 del </w:t>
      </w:r>
      <w:r w:rsidR="00E17CD1" w:rsidRPr="00C65049">
        <w:rPr>
          <w:rFonts w:ascii="Arial" w:eastAsia="Calibri" w:hAnsi="Arial" w:cs="Arial"/>
          <w:sz w:val="22"/>
          <w:szCs w:val="22"/>
        </w:rPr>
        <w:t>10 de octubre de 2021</w:t>
      </w:r>
      <w:r w:rsidR="008D5CD5" w:rsidRPr="00C65049">
        <w:rPr>
          <w:rFonts w:ascii="Arial" w:eastAsia="Calibri" w:hAnsi="Arial" w:cs="Arial"/>
          <w:sz w:val="22"/>
          <w:szCs w:val="22"/>
        </w:rPr>
        <w:t>, C-606 del 28 de octubre de 2021 y C-614 del 2 de noviembre de 2021, C-636 del 16 de noviembre de 2021, 681 del 7 de diciembre de 2021, C-686 del 21 de diciembre de 2021, C-697 del 3 de enero de 2022</w:t>
      </w:r>
      <w:r w:rsidR="00500CD7" w:rsidRPr="00C65049">
        <w:rPr>
          <w:rFonts w:ascii="Arial" w:eastAsia="Calibri" w:hAnsi="Arial" w:cs="Arial"/>
          <w:sz w:val="22"/>
          <w:szCs w:val="22"/>
        </w:rPr>
        <w:t>, C-002 del 15 de febrero de 2022, C-003 del 1 de abril de 2022, C-004 del 1 de abril de 2022, C-005 del 16 de febrero de 2022, C-014 del 18 de febrero de 2022, C-015 del 12 de enero de 2022, C-023 del 22 de febrero de 2022, C-044 del 4 de marzo de 2022, C-045 del 3 de marzo de 2022, C-055 del 17 de febrero de 2022, C-109 del 14 de marzo de 2022, C-092 del 16 de marzo de 2022,</w:t>
      </w:r>
      <w:r w:rsidR="00076AA9" w:rsidRPr="00C65049">
        <w:rPr>
          <w:rFonts w:ascii="Arial" w:eastAsia="Calibri" w:hAnsi="Arial" w:cs="Arial"/>
          <w:sz w:val="22"/>
          <w:szCs w:val="22"/>
        </w:rPr>
        <w:t xml:space="preserve"> C-107 del 18 de marzo de 2022, C-115 del 22 de marzo de 2022, C-127 del 22 de marzo de 2022, C-141 del 1 de abril de 2022, C-145 del 28 de marzo de 2022, C-148 del 29 de marzo de 2022, C-164 del 22 de marzo de 2022, C-171 del 6 de abril de 2022, C-179 del 8 de abril de 2022,</w:t>
      </w:r>
      <w:r w:rsidR="00500CD7" w:rsidRPr="00C65049">
        <w:rPr>
          <w:rFonts w:ascii="Arial" w:eastAsia="Calibri" w:hAnsi="Arial" w:cs="Arial"/>
          <w:sz w:val="22"/>
          <w:szCs w:val="22"/>
        </w:rPr>
        <w:t xml:space="preserve"> </w:t>
      </w:r>
      <w:r w:rsidR="009E7A56" w:rsidRPr="00C65049">
        <w:rPr>
          <w:rFonts w:ascii="Arial" w:eastAsia="Calibri" w:hAnsi="Arial" w:cs="Arial"/>
          <w:sz w:val="22"/>
          <w:szCs w:val="22"/>
        </w:rPr>
        <w:t xml:space="preserve">C- 216 del 9 de marzo de 2022, </w:t>
      </w:r>
      <w:r w:rsidR="00500CD7" w:rsidRPr="00C65049">
        <w:rPr>
          <w:rFonts w:ascii="Arial" w:eastAsia="Calibri" w:hAnsi="Arial" w:cs="Arial"/>
          <w:sz w:val="22"/>
          <w:szCs w:val="22"/>
        </w:rPr>
        <w:t>C-246 del 29 de marzo de 2022</w:t>
      </w:r>
      <w:r w:rsidR="00076AA9" w:rsidRPr="00C65049">
        <w:rPr>
          <w:rFonts w:ascii="Arial" w:eastAsia="Calibri" w:hAnsi="Arial" w:cs="Arial"/>
          <w:sz w:val="22"/>
          <w:szCs w:val="22"/>
        </w:rPr>
        <w:t>, entre otros conceptos</w:t>
      </w:r>
      <w:r w:rsidR="00974B94" w:rsidRPr="00C65049">
        <w:rPr>
          <w:rFonts w:ascii="Arial" w:eastAsia="Calibri" w:hAnsi="Arial" w:cs="Arial"/>
          <w:sz w:val="22"/>
          <w:szCs w:val="22"/>
        </w:rPr>
        <w:t>.</w:t>
      </w:r>
      <w:r w:rsidR="00993B0D" w:rsidRPr="00C65049">
        <w:rPr>
          <w:rFonts w:ascii="Arial" w:eastAsia="Calibri" w:hAnsi="Arial" w:cs="Arial"/>
          <w:sz w:val="22"/>
          <w:szCs w:val="22"/>
        </w:rPr>
        <w:t xml:space="preserve"> Ahora bien, con respecto a la aplicación de la Ley de Garantías en la contratación con organismos internacionales se remite a la postura del Concepto CU-180 del 8 de abril de 2022. </w:t>
      </w:r>
      <w:r w:rsidR="00A15343" w:rsidRPr="00C65049">
        <w:rPr>
          <w:rFonts w:ascii="Arial" w:eastAsia="Calibri" w:hAnsi="Arial" w:cs="Arial"/>
          <w:sz w:val="22"/>
          <w:szCs w:val="22"/>
        </w:rPr>
        <w:t>Las tesis de estos conceptos se reitera</w:t>
      </w:r>
      <w:r w:rsidR="000D54CC" w:rsidRPr="00C65049">
        <w:rPr>
          <w:rFonts w:ascii="Arial" w:eastAsia="Calibri" w:hAnsi="Arial" w:cs="Arial"/>
          <w:sz w:val="22"/>
          <w:szCs w:val="22"/>
        </w:rPr>
        <w:t>n</w:t>
      </w:r>
      <w:r w:rsidR="00A15343" w:rsidRPr="00C65049">
        <w:rPr>
          <w:rFonts w:ascii="Arial" w:eastAsia="Calibri" w:hAnsi="Arial" w:cs="Arial"/>
          <w:sz w:val="22"/>
          <w:szCs w:val="22"/>
        </w:rPr>
        <w:t xml:space="preserve"> a continuación y se complementa</w:t>
      </w:r>
      <w:r w:rsidR="000D54CC" w:rsidRPr="00C65049">
        <w:rPr>
          <w:rFonts w:ascii="Arial" w:eastAsia="Calibri" w:hAnsi="Arial" w:cs="Arial"/>
          <w:sz w:val="22"/>
          <w:szCs w:val="22"/>
        </w:rPr>
        <w:t>n</w:t>
      </w:r>
      <w:r w:rsidR="00A15343" w:rsidRPr="00C65049">
        <w:rPr>
          <w:rFonts w:ascii="Arial" w:eastAsia="Calibri" w:hAnsi="Arial" w:cs="Arial"/>
          <w:sz w:val="22"/>
          <w:szCs w:val="22"/>
        </w:rPr>
        <w:t xml:space="preserve"> en lo pertinente:</w:t>
      </w:r>
    </w:p>
    <w:p w14:paraId="0D27A697" w14:textId="097040E9" w:rsidR="00F433CB" w:rsidRPr="00C65049" w:rsidRDefault="00F433CB" w:rsidP="00C65049">
      <w:pPr>
        <w:jc w:val="both"/>
        <w:rPr>
          <w:rFonts w:ascii="Arial" w:eastAsia="Calibri" w:hAnsi="Arial" w:cs="Arial"/>
          <w:sz w:val="22"/>
          <w:szCs w:val="22"/>
        </w:rPr>
      </w:pPr>
    </w:p>
    <w:p w14:paraId="100D8D6E" w14:textId="1DBC7C9A" w:rsidR="00A74046" w:rsidRPr="00C65049" w:rsidRDefault="00A74046" w:rsidP="00C65049">
      <w:pPr>
        <w:tabs>
          <w:tab w:val="left" w:pos="426"/>
        </w:tabs>
        <w:jc w:val="both"/>
        <w:rPr>
          <w:rFonts w:ascii="Arial" w:eastAsia="Calibri" w:hAnsi="Arial" w:cs="Arial"/>
          <w:b/>
          <w:bCs/>
          <w:sz w:val="22"/>
          <w:szCs w:val="22"/>
        </w:rPr>
      </w:pPr>
      <w:r w:rsidRPr="00C65049">
        <w:rPr>
          <w:rFonts w:ascii="Arial" w:eastAsia="Calibri" w:hAnsi="Arial" w:cs="Arial"/>
          <w:b/>
          <w:bCs/>
          <w:sz w:val="22"/>
          <w:szCs w:val="22"/>
        </w:rPr>
        <w:t>2.</w:t>
      </w:r>
      <w:r w:rsidR="00145763" w:rsidRPr="00C65049">
        <w:rPr>
          <w:rFonts w:ascii="Arial" w:eastAsia="Calibri" w:hAnsi="Arial" w:cs="Arial"/>
          <w:b/>
          <w:bCs/>
          <w:sz w:val="22"/>
          <w:szCs w:val="22"/>
        </w:rPr>
        <w:t xml:space="preserve">1. </w:t>
      </w:r>
      <w:r w:rsidRPr="00C65049">
        <w:rPr>
          <w:rFonts w:ascii="Arial" w:eastAsia="Calibri" w:hAnsi="Arial" w:cs="Arial"/>
          <w:b/>
          <w:bCs/>
          <w:sz w:val="22"/>
          <w:szCs w:val="22"/>
        </w:rPr>
        <w:t>Definición y finalidad de la Ley de Garantías Electorales: alcance de las restricciones</w:t>
      </w:r>
    </w:p>
    <w:p w14:paraId="72F77206" w14:textId="77777777" w:rsidR="00A74046" w:rsidRPr="00C65049" w:rsidRDefault="00A74046" w:rsidP="00C65049">
      <w:pPr>
        <w:tabs>
          <w:tab w:val="left" w:pos="426"/>
        </w:tabs>
        <w:jc w:val="both"/>
        <w:rPr>
          <w:rFonts w:ascii="Arial" w:eastAsia="Calibri" w:hAnsi="Arial" w:cs="Arial"/>
          <w:bCs/>
          <w:sz w:val="22"/>
          <w:szCs w:val="22"/>
        </w:rPr>
      </w:pPr>
    </w:p>
    <w:p w14:paraId="01246293" w14:textId="17C85028" w:rsidR="00D0545B" w:rsidRDefault="00D0545B" w:rsidP="009A1E09">
      <w:pPr>
        <w:ind w:firstLine="708"/>
        <w:jc w:val="both"/>
        <w:rPr>
          <w:rFonts w:ascii="Arial" w:hAnsi="Arial" w:cs="Arial"/>
          <w:sz w:val="22"/>
          <w:szCs w:val="22"/>
        </w:rPr>
      </w:pPr>
      <w:bookmarkStart w:id="9" w:name="_Hlk75784645"/>
      <w:r w:rsidRPr="00C65049">
        <w:rPr>
          <w:rFonts w:ascii="Arial" w:hAnsi="Arial" w:cs="Arial"/>
          <w:sz w:val="22"/>
          <w:szCs w:val="22"/>
        </w:rPr>
        <w:t>El ordenamiento jurídico colombiano contempla previsiones claras para evitar la obtención de beneficios personales en asuntos propios de la administración pública. Por ejemplo, el artículo 127 de la Constitución Política establece una prohibición contractual a los servidores públicos y en cuanto a aspectos políticos establece restricciones a ciertos empleados del Estado, incluso en época no electoral</w:t>
      </w:r>
      <w:r w:rsidRPr="00C65049">
        <w:rPr>
          <w:rFonts w:ascii="Arial" w:hAnsi="Arial" w:cs="Arial"/>
          <w:sz w:val="22"/>
          <w:szCs w:val="22"/>
          <w:vertAlign w:val="superscript"/>
        </w:rPr>
        <w:footnoteReference w:id="2"/>
      </w:r>
      <w:r w:rsidRPr="00C65049">
        <w:rPr>
          <w:rFonts w:ascii="Arial" w:hAnsi="Arial" w:cs="Arial"/>
          <w:sz w:val="22"/>
          <w:szCs w:val="22"/>
        </w:rPr>
        <w:t xml:space="preserve">. </w:t>
      </w:r>
    </w:p>
    <w:p w14:paraId="7AB7D3D6" w14:textId="77777777" w:rsidR="009A1E09" w:rsidRPr="00C65049" w:rsidRDefault="009A1E09" w:rsidP="009A1E09">
      <w:pPr>
        <w:ind w:firstLine="708"/>
        <w:jc w:val="both"/>
        <w:rPr>
          <w:rFonts w:ascii="Arial" w:hAnsi="Arial" w:cs="Arial"/>
          <w:sz w:val="22"/>
          <w:szCs w:val="22"/>
        </w:rPr>
      </w:pPr>
    </w:p>
    <w:p w14:paraId="6BE649B6" w14:textId="1013C09F" w:rsidR="00D0545B" w:rsidRPr="00C65049" w:rsidRDefault="00D0545B" w:rsidP="009A1E09">
      <w:pPr>
        <w:ind w:firstLine="708"/>
        <w:jc w:val="both"/>
        <w:rPr>
          <w:rFonts w:ascii="Arial" w:hAnsi="Arial" w:cs="Arial"/>
          <w:sz w:val="22"/>
          <w:szCs w:val="22"/>
        </w:rPr>
      </w:pPr>
      <w:r w:rsidRPr="00C65049">
        <w:rPr>
          <w:rFonts w:ascii="Arial" w:hAnsi="Arial" w:cs="Arial"/>
          <w:sz w:val="22"/>
          <w:szCs w:val="22"/>
        </w:rPr>
        <w:t xml:space="preserve">En el mismo sentido, la Ley 996 de 2005 se suma al andamiaje de orden constitucional y legal que se ha ocupado de evitar la injerencia de intereses particulares en el ejercicio de la función pública. Respecto a su finalidad, conforme a la Gaceta del Congreso de la República No. 71 del 2005, tiene como propósito evitar cualquier tipo de arbitrariedad, de ventaja injustificada, de uso irregular de los recursos del Estado en las campañas o falta de garantías en la elección presidencial, introduciendo limitaciones para realizar nombramientos, postulaciones, contrataciones o cualquier otro tipo de actividad que </w:t>
      </w:r>
      <w:r w:rsidRPr="00C65049">
        <w:rPr>
          <w:rFonts w:ascii="Arial" w:hAnsi="Arial" w:cs="Arial"/>
          <w:sz w:val="22"/>
          <w:szCs w:val="22"/>
        </w:rPr>
        <w:lastRenderedPageBreak/>
        <w:t>implique destinación de recursos públicos.  En armonía con lo anterior, la Corte Constitucional –en la Sentencia C-1153 de 2005– considera que:</w:t>
      </w:r>
    </w:p>
    <w:p w14:paraId="30F4EDA8" w14:textId="3244A795" w:rsidR="00D0545B" w:rsidRPr="00C65049" w:rsidRDefault="00D0545B" w:rsidP="00C65049">
      <w:pPr>
        <w:jc w:val="both"/>
        <w:rPr>
          <w:rFonts w:ascii="Arial" w:hAnsi="Arial" w:cs="Arial"/>
          <w:sz w:val="22"/>
          <w:szCs w:val="22"/>
        </w:rPr>
      </w:pPr>
    </w:p>
    <w:p w14:paraId="7CA6C0AD" w14:textId="7D876359" w:rsidR="00D0545B" w:rsidRPr="00A84906" w:rsidRDefault="00A84906" w:rsidP="00A84906">
      <w:pPr>
        <w:ind w:left="851"/>
        <w:jc w:val="both"/>
        <w:rPr>
          <w:rFonts w:ascii="Arial" w:hAnsi="Arial" w:cs="Arial"/>
          <w:i/>
          <w:iCs/>
          <w:sz w:val="20"/>
          <w:szCs w:val="20"/>
        </w:rPr>
      </w:pPr>
      <w:r>
        <w:rPr>
          <w:rFonts w:ascii="Arial" w:hAnsi="Arial" w:cs="Arial"/>
          <w:i/>
          <w:iCs/>
          <w:sz w:val="20"/>
          <w:szCs w:val="20"/>
        </w:rPr>
        <w:t>“</w:t>
      </w:r>
      <w:r w:rsidR="00D0545B" w:rsidRPr="00A84906">
        <w:rPr>
          <w:rFonts w:ascii="Arial" w:hAnsi="Arial" w:cs="Arial"/>
          <w:i/>
          <w:iCs/>
          <w:sz w:val="20"/>
          <w:szCs w:val="20"/>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Pr>
          <w:rFonts w:ascii="Arial" w:hAnsi="Arial" w:cs="Arial"/>
          <w:i/>
          <w:iCs/>
          <w:sz w:val="20"/>
          <w:szCs w:val="20"/>
        </w:rPr>
        <w:t>”</w:t>
      </w:r>
      <w:r w:rsidR="00D0545B" w:rsidRPr="00A84906">
        <w:rPr>
          <w:rFonts w:ascii="Arial" w:hAnsi="Arial" w:cs="Arial"/>
          <w:i/>
          <w:iCs/>
          <w:sz w:val="20"/>
          <w:szCs w:val="20"/>
        </w:rPr>
        <w:t>.</w:t>
      </w:r>
    </w:p>
    <w:p w14:paraId="46C35E79" w14:textId="77777777" w:rsidR="00A84906" w:rsidRPr="00C65049" w:rsidRDefault="00A84906" w:rsidP="00C65049">
      <w:pPr>
        <w:jc w:val="both"/>
        <w:rPr>
          <w:rFonts w:ascii="Arial" w:hAnsi="Arial" w:cs="Arial"/>
          <w:sz w:val="22"/>
          <w:szCs w:val="22"/>
        </w:rPr>
      </w:pPr>
    </w:p>
    <w:p w14:paraId="243AB871" w14:textId="07EAB98A" w:rsidR="00D0545B" w:rsidRDefault="00D0545B" w:rsidP="00A84906">
      <w:pPr>
        <w:ind w:firstLine="708"/>
        <w:jc w:val="both"/>
        <w:rPr>
          <w:rFonts w:ascii="Arial" w:hAnsi="Arial" w:cs="Arial"/>
          <w:sz w:val="22"/>
          <w:szCs w:val="22"/>
        </w:rPr>
      </w:pPr>
      <w:r w:rsidRPr="00C65049">
        <w:rPr>
          <w:rFonts w:ascii="Arial" w:hAnsi="Arial" w:cs="Arial"/>
          <w:sz w:val="22"/>
          <w:szCs w:val="22"/>
        </w:rPr>
        <w:t>Siguiendo el mencionado derrotero, la Ley de Garantías Electorales establece el marco jurídico para el desarrollo de las elecciones, procurando condiciones de igualdad y transparencia para los aspirantes</w:t>
      </w:r>
      <w:r w:rsidR="00A84906">
        <w:rPr>
          <w:rFonts w:ascii="Arial" w:hAnsi="Arial" w:cs="Arial"/>
          <w:sz w:val="22"/>
          <w:szCs w:val="22"/>
        </w:rPr>
        <w:t xml:space="preserve">, </w:t>
      </w:r>
      <w:r w:rsidRPr="00C65049">
        <w:rPr>
          <w:rFonts w:ascii="Arial" w:hAnsi="Arial" w:cs="Arial"/>
          <w:sz w:val="22"/>
          <w:szCs w:val="22"/>
        </w:rPr>
        <w:t>al tiempo que se incluyen restricciones en el actuar de los servidores públicos, evitando interferencias en la contienda electoral, así como la posible desviación de recursos públicos en aspiraciones electorales. Incluso, varias de las disposiciones de la Ley 996 de 2005, al contener normas prohibitivas, no admiten una interpretación amplia, sino que deben interpretarse restrictivamente. En efecto, lo anterior fue indicado por la Sala de Consulta y Servicio Civil del Consejo de Estado al precisar que:</w:t>
      </w:r>
    </w:p>
    <w:p w14:paraId="52DCAA9D" w14:textId="77777777" w:rsidR="00A84906" w:rsidRPr="00C65049" w:rsidRDefault="00A84906" w:rsidP="00A84906">
      <w:pPr>
        <w:ind w:firstLine="708"/>
        <w:jc w:val="both"/>
        <w:rPr>
          <w:rFonts w:ascii="Arial" w:hAnsi="Arial" w:cs="Arial"/>
          <w:sz w:val="22"/>
          <w:szCs w:val="22"/>
        </w:rPr>
      </w:pPr>
    </w:p>
    <w:p w14:paraId="7BC289CF" w14:textId="5DACA712" w:rsidR="00D0545B" w:rsidRPr="00A84906" w:rsidRDefault="00A84906" w:rsidP="00A84906">
      <w:pPr>
        <w:ind w:left="708"/>
        <w:jc w:val="both"/>
        <w:rPr>
          <w:rFonts w:ascii="Arial" w:hAnsi="Arial" w:cs="Arial"/>
          <w:i/>
          <w:iCs/>
          <w:sz w:val="20"/>
          <w:szCs w:val="20"/>
        </w:rPr>
      </w:pPr>
      <w:r w:rsidRPr="00A84906">
        <w:rPr>
          <w:rFonts w:ascii="Arial" w:hAnsi="Arial" w:cs="Arial"/>
          <w:i/>
          <w:iCs/>
          <w:sz w:val="20"/>
          <w:szCs w:val="20"/>
        </w:rPr>
        <w:t>“</w:t>
      </w:r>
      <w:r w:rsidR="00D0545B" w:rsidRPr="00A84906">
        <w:rPr>
          <w:rFonts w:ascii="Arial" w:hAnsi="Arial" w:cs="Arial"/>
          <w:i/>
          <w:iCs/>
          <w:sz w:val="20"/>
          <w:szCs w:val="20"/>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w:t>
      </w:r>
      <w:proofErr w:type="gramStart"/>
      <w:r w:rsidR="00D0545B" w:rsidRPr="00A84906">
        <w:rPr>
          <w:rFonts w:ascii="Arial" w:hAnsi="Arial" w:cs="Arial"/>
          <w:i/>
          <w:iCs/>
          <w:sz w:val="20"/>
          <w:szCs w:val="20"/>
        </w:rPr>
        <w:t xml:space="preserve">analogía  </w:t>
      </w:r>
      <w:proofErr w:type="spellStart"/>
      <w:r w:rsidR="00D0545B" w:rsidRPr="00A84906">
        <w:rPr>
          <w:rFonts w:ascii="Arial" w:hAnsi="Arial" w:cs="Arial"/>
          <w:i/>
          <w:iCs/>
          <w:sz w:val="20"/>
          <w:szCs w:val="20"/>
        </w:rPr>
        <w:t>legis</w:t>
      </w:r>
      <w:proofErr w:type="spellEnd"/>
      <w:proofErr w:type="gramEnd"/>
      <w:r w:rsidR="00D0545B" w:rsidRPr="00A84906">
        <w:rPr>
          <w:rFonts w:ascii="Arial" w:hAnsi="Arial" w:cs="Arial"/>
          <w:i/>
          <w:iCs/>
          <w:sz w:val="20"/>
          <w:szCs w:val="20"/>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r w:rsidRPr="00A84906">
        <w:rPr>
          <w:rFonts w:ascii="Arial" w:hAnsi="Arial" w:cs="Arial"/>
          <w:i/>
          <w:iCs/>
          <w:sz w:val="20"/>
          <w:szCs w:val="20"/>
        </w:rPr>
        <w:t>”</w:t>
      </w:r>
      <w:r w:rsidR="00D0545B" w:rsidRPr="00A84906">
        <w:rPr>
          <w:rFonts w:ascii="Arial" w:hAnsi="Arial" w:cs="Arial"/>
          <w:i/>
          <w:iCs/>
          <w:sz w:val="20"/>
          <w:szCs w:val="20"/>
        </w:rPr>
        <w:t>.</w:t>
      </w:r>
    </w:p>
    <w:p w14:paraId="4392476A" w14:textId="77777777" w:rsidR="00A84906" w:rsidRPr="00C65049" w:rsidRDefault="00A84906" w:rsidP="00A84906">
      <w:pPr>
        <w:ind w:left="708"/>
        <w:jc w:val="both"/>
        <w:rPr>
          <w:rFonts w:ascii="Arial" w:hAnsi="Arial" w:cs="Arial"/>
          <w:sz w:val="22"/>
          <w:szCs w:val="22"/>
        </w:rPr>
      </w:pPr>
    </w:p>
    <w:p w14:paraId="712DC454" w14:textId="19D32592" w:rsidR="00D0545B" w:rsidRDefault="00D0545B" w:rsidP="00A84906">
      <w:pPr>
        <w:ind w:firstLine="708"/>
        <w:jc w:val="both"/>
        <w:rPr>
          <w:rFonts w:ascii="Arial" w:hAnsi="Arial" w:cs="Arial"/>
          <w:sz w:val="22"/>
          <w:szCs w:val="22"/>
        </w:rPr>
      </w:pPr>
      <w:r w:rsidRPr="00C65049">
        <w:rPr>
          <w:rFonts w:ascii="Arial" w:hAnsi="Arial" w:cs="Arial"/>
          <w:sz w:val="22"/>
          <w:szCs w:val="22"/>
        </w:rPr>
        <w:t>La jurisprudencia de la Corte Constitucional</w:t>
      </w:r>
      <w:r w:rsidRPr="00C65049">
        <w:rPr>
          <w:rFonts w:ascii="Arial" w:hAnsi="Arial" w:cs="Arial"/>
          <w:sz w:val="22"/>
          <w:szCs w:val="22"/>
          <w:vertAlign w:val="superscript"/>
        </w:rPr>
        <w:footnoteReference w:id="3"/>
      </w:r>
      <w:r w:rsidRPr="00C65049">
        <w:rPr>
          <w:rFonts w:ascii="Arial" w:hAnsi="Arial" w:cs="Arial"/>
          <w:sz w:val="22"/>
          <w:szCs w:val="22"/>
        </w:rPr>
        <w:t xml:space="preserve">   y del Consejo de Estado</w:t>
      </w:r>
      <w:r w:rsidRPr="00C65049">
        <w:rPr>
          <w:rFonts w:ascii="Arial" w:hAnsi="Arial" w:cs="Arial"/>
          <w:sz w:val="22"/>
          <w:szCs w:val="22"/>
          <w:vertAlign w:val="superscript"/>
        </w:rPr>
        <w:footnoteReference w:id="4"/>
      </w:r>
      <w:r w:rsidRPr="00C65049">
        <w:rPr>
          <w:rFonts w:ascii="Arial" w:hAnsi="Arial" w:cs="Arial"/>
          <w:sz w:val="22"/>
          <w:szCs w:val="22"/>
        </w:rPr>
        <w:t xml:space="preserve"> ,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w:t>
      </w:r>
      <w:r w:rsidRPr="00C65049">
        <w:rPr>
          <w:rFonts w:ascii="Arial" w:hAnsi="Arial" w:cs="Arial"/>
          <w:sz w:val="22"/>
          <w:szCs w:val="22"/>
        </w:rPr>
        <w:lastRenderedPageBreak/>
        <w:t>fuere justificada- a la libertad de actuar o capacidad de obrar, sobrepasar sus precisos términos comporta el desconocimiento de la voluntad del legislador</w:t>
      </w:r>
      <w:r w:rsidRPr="00C65049">
        <w:rPr>
          <w:rFonts w:ascii="Arial" w:hAnsi="Arial" w:cs="Arial"/>
          <w:sz w:val="22"/>
          <w:szCs w:val="22"/>
          <w:vertAlign w:val="superscript"/>
        </w:rPr>
        <w:footnoteReference w:id="5"/>
      </w:r>
      <w:r w:rsidRPr="00C65049">
        <w:rPr>
          <w:rFonts w:ascii="Arial" w:hAnsi="Arial" w:cs="Arial"/>
          <w:sz w:val="22"/>
          <w:szCs w:val="22"/>
        </w:rPr>
        <w:t>.</w:t>
      </w:r>
    </w:p>
    <w:p w14:paraId="54550763" w14:textId="77777777" w:rsidR="00A84906" w:rsidRPr="00C65049" w:rsidRDefault="00A84906" w:rsidP="00A84906">
      <w:pPr>
        <w:ind w:firstLine="708"/>
        <w:jc w:val="both"/>
        <w:rPr>
          <w:rFonts w:ascii="Arial" w:hAnsi="Arial" w:cs="Arial"/>
          <w:sz w:val="22"/>
          <w:szCs w:val="22"/>
        </w:rPr>
      </w:pPr>
    </w:p>
    <w:p w14:paraId="03D1CDB8" w14:textId="5D094764" w:rsidR="00D0545B" w:rsidRDefault="00D0545B" w:rsidP="00A84906">
      <w:pPr>
        <w:ind w:firstLine="708"/>
        <w:jc w:val="both"/>
        <w:rPr>
          <w:rFonts w:ascii="Arial" w:hAnsi="Arial" w:cs="Arial"/>
          <w:sz w:val="22"/>
          <w:szCs w:val="22"/>
        </w:rPr>
      </w:pPr>
      <w:r w:rsidRPr="00C65049">
        <w:rPr>
          <w:rFonts w:ascii="Arial" w:hAnsi="Arial" w:cs="Arial"/>
          <w:sz w:val="22"/>
          <w:szCs w:val="22"/>
        </w:rPr>
        <w:t xml:space="preserve">De conformidad con lo anterior, es claro que la Ley de Garantías Electorales, para el cumplimiento de los objetivos que dieron lugar a su expedición, fijó una serie de regulaciones y prohibiciones dirigidas a los servidores públicos. No obstante, debe aclararse que estas disposiciones se dirigen a dos tipos de campañas electorales claramente diferenciadas: las presidenciales y las demás que se adelanten para la elección de los demás cargos de elección popular, tanto a nivel nacional como territorial. </w:t>
      </w:r>
    </w:p>
    <w:p w14:paraId="4804ACC8" w14:textId="77777777" w:rsidR="00A84906" w:rsidRPr="00C65049" w:rsidRDefault="00A84906" w:rsidP="00A84906">
      <w:pPr>
        <w:ind w:firstLine="708"/>
        <w:jc w:val="both"/>
        <w:rPr>
          <w:rFonts w:ascii="Arial" w:hAnsi="Arial" w:cs="Arial"/>
          <w:sz w:val="22"/>
          <w:szCs w:val="22"/>
        </w:rPr>
      </w:pPr>
    </w:p>
    <w:p w14:paraId="22CDC16B" w14:textId="76654C3F" w:rsidR="00D0545B" w:rsidRDefault="00D0545B" w:rsidP="00A84906">
      <w:pPr>
        <w:ind w:firstLine="708"/>
        <w:jc w:val="both"/>
        <w:rPr>
          <w:rFonts w:ascii="Arial" w:hAnsi="Arial" w:cs="Arial"/>
          <w:sz w:val="22"/>
          <w:szCs w:val="22"/>
        </w:rPr>
      </w:pPr>
      <w:r w:rsidRPr="00C65049">
        <w:rPr>
          <w:rFonts w:ascii="Arial" w:hAnsi="Arial" w:cs="Arial"/>
          <w:sz w:val="22"/>
          <w:szCs w:val="22"/>
        </w:rPr>
        <w:t xml:space="preserve">Conforme a esto, el artículo 33 de la Ley 996 de 2005 prohíbe </w:t>
      </w:r>
      <w:r w:rsidRPr="00A84906">
        <w:rPr>
          <w:rFonts w:ascii="Arial" w:hAnsi="Arial" w:cs="Arial"/>
          <w:i/>
          <w:iCs/>
          <w:sz w:val="22"/>
          <w:szCs w:val="22"/>
        </w:rPr>
        <w:t>«</w:t>
      </w:r>
      <w:proofErr w:type="gramStart"/>
      <w:r w:rsidRPr="00A84906">
        <w:rPr>
          <w:rFonts w:ascii="Arial" w:hAnsi="Arial" w:cs="Arial"/>
          <w:i/>
          <w:iCs/>
          <w:sz w:val="22"/>
          <w:szCs w:val="22"/>
        </w:rPr>
        <w:t>[  …</w:t>
      </w:r>
      <w:proofErr w:type="gramEnd"/>
      <w:r w:rsidRPr="00A84906">
        <w:rPr>
          <w:rFonts w:ascii="Arial" w:hAnsi="Arial" w:cs="Arial"/>
          <w:i/>
          <w:iCs/>
          <w:sz w:val="22"/>
          <w:szCs w:val="22"/>
        </w:rPr>
        <w:t xml:space="preserve"> ]  la contratación directa por parte de todos los entes del </w:t>
      </w:r>
      <w:proofErr w:type="gramStart"/>
      <w:r w:rsidRPr="00A84906">
        <w:rPr>
          <w:rFonts w:ascii="Arial" w:hAnsi="Arial" w:cs="Arial"/>
          <w:i/>
          <w:iCs/>
          <w:sz w:val="22"/>
          <w:szCs w:val="22"/>
        </w:rPr>
        <w:t>Estado »</w:t>
      </w:r>
      <w:proofErr w:type="gramEnd"/>
      <w:r w:rsidRPr="00A84906">
        <w:rPr>
          <w:rFonts w:ascii="Arial" w:hAnsi="Arial" w:cs="Arial"/>
          <w:i/>
          <w:iCs/>
          <w:sz w:val="22"/>
          <w:szCs w:val="22"/>
        </w:rPr>
        <w:t xml:space="preserve"> durante los cuatro (4) meses anteriores a las elecciones presidenciales, </w:t>
      </w:r>
      <w:proofErr w:type="gramStart"/>
      <w:r w:rsidRPr="00A84906">
        <w:rPr>
          <w:rFonts w:ascii="Arial" w:hAnsi="Arial" w:cs="Arial"/>
          <w:i/>
          <w:iCs/>
          <w:sz w:val="22"/>
          <w:szCs w:val="22"/>
        </w:rPr>
        <w:t>salvo  «</w:t>
      </w:r>
      <w:proofErr w:type="gramEnd"/>
      <w:r w:rsidRPr="00A84906">
        <w:rPr>
          <w:rFonts w:ascii="Arial" w:hAnsi="Arial" w:cs="Arial"/>
          <w:i/>
          <w:iCs/>
          <w:sz w:val="22"/>
          <w:szCs w:val="22"/>
        </w:rPr>
        <w:t xml:space="preserve">[ </w:t>
      </w:r>
      <w:proofErr w:type="gramStart"/>
      <w:r w:rsidRPr="00A84906">
        <w:rPr>
          <w:rFonts w:ascii="Arial" w:hAnsi="Arial" w:cs="Arial"/>
          <w:i/>
          <w:iCs/>
          <w:sz w:val="22"/>
          <w:szCs w:val="22"/>
        </w:rPr>
        <w:t>… ]</w:t>
      </w:r>
      <w:proofErr w:type="gramEnd"/>
      <w:r w:rsidRPr="00A84906">
        <w:rPr>
          <w:rFonts w:ascii="Arial" w:hAnsi="Arial" w:cs="Arial"/>
          <w:i/>
          <w:iCs/>
          <w:sz w:val="22"/>
          <w:szCs w:val="22"/>
        </w:rPr>
        <w:t xml:space="preserve">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65049">
        <w:rPr>
          <w:rFonts w:ascii="Arial" w:hAnsi="Arial" w:cs="Arial"/>
          <w:sz w:val="22"/>
          <w:szCs w:val="22"/>
          <w:vertAlign w:val="superscript"/>
        </w:rPr>
        <w:footnoteReference w:id="6"/>
      </w:r>
      <w:r w:rsidRPr="00C65049">
        <w:rPr>
          <w:rFonts w:ascii="Arial" w:hAnsi="Arial" w:cs="Arial"/>
          <w:sz w:val="22"/>
          <w:szCs w:val="22"/>
        </w:rPr>
        <w:t>.</w:t>
      </w:r>
    </w:p>
    <w:p w14:paraId="272AF3B1" w14:textId="77777777" w:rsidR="00A84906" w:rsidRPr="00C65049" w:rsidRDefault="00A84906" w:rsidP="00A84906">
      <w:pPr>
        <w:ind w:firstLine="708"/>
        <w:jc w:val="both"/>
        <w:rPr>
          <w:rFonts w:ascii="Arial" w:hAnsi="Arial" w:cs="Arial"/>
          <w:sz w:val="22"/>
          <w:szCs w:val="22"/>
        </w:rPr>
      </w:pPr>
    </w:p>
    <w:p w14:paraId="50C89FE4" w14:textId="768FCA02" w:rsidR="00AB5D64" w:rsidRPr="00C65049" w:rsidRDefault="00AB5D64" w:rsidP="00A84906">
      <w:pPr>
        <w:ind w:firstLine="708"/>
        <w:jc w:val="both"/>
        <w:rPr>
          <w:rFonts w:ascii="Arial" w:hAnsi="Arial" w:cs="Arial"/>
          <w:sz w:val="22"/>
          <w:szCs w:val="22"/>
          <w:lang w:eastAsia="x-none"/>
        </w:rPr>
      </w:pPr>
      <w:r w:rsidRPr="00C65049">
        <w:rPr>
          <w:rFonts w:ascii="Arial" w:hAnsi="Arial" w:cs="Arial"/>
          <w:sz w:val="22"/>
          <w:szCs w:val="22"/>
          <w:lang w:eastAsia="x-none"/>
        </w:rPr>
        <w:t xml:space="preserve">Cabe destacar que para los efectos de la </w:t>
      </w:r>
      <w:r w:rsidRPr="00A84906">
        <w:rPr>
          <w:rFonts w:ascii="Arial" w:hAnsi="Arial" w:cs="Arial"/>
          <w:i/>
          <w:iCs/>
          <w:sz w:val="22"/>
          <w:szCs w:val="22"/>
          <w:lang w:eastAsia="x-none"/>
        </w:rPr>
        <w:t>“Ley de Garantías Electorales”</w:t>
      </w:r>
      <w:r w:rsidRPr="00C65049">
        <w:rPr>
          <w:rFonts w:ascii="Arial" w:hAnsi="Arial" w:cs="Arial"/>
          <w:sz w:val="22"/>
          <w:szCs w:val="22"/>
          <w:lang w:eastAsia="x-none"/>
        </w:rPr>
        <w:t xml:space="preserve"> y, especialmente, para la prohibición o restricción temporal contenida en su artículo 33, debe entenderse por </w:t>
      </w:r>
      <w:r w:rsidRPr="00A84906">
        <w:rPr>
          <w:rFonts w:ascii="Arial" w:hAnsi="Arial" w:cs="Arial"/>
          <w:i/>
          <w:iCs/>
          <w:sz w:val="22"/>
          <w:szCs w:val="22"/>
          <w:lang w:eastAsia="x-none"/>
        </w:rPr>
        <w:t>“contratación directa”</w:t>
      </w:r>
      <w:r w:rsidRPr="00C65049">
        <w:rPr>
          <w:rFonts w:ascii="Arial" w:hAnsi="Arial" w:cs="Arial"/>
          <w:sz w:val="22"/>
          <w:szCs w:val="22"/>
          <w:lang w:eastAsia="x-none"/>
        </w:rPr>
        <w:t xml:space="preserve"> cualquier sistema de selección o procedimiento de contratación utilizado por las entidades estatales que no incluya la convocatoria pública, en alguna de sus etapas</w:t>
      </w:r>
      <w:r w:rsidRPr="00C65049">
        <w:rPr>
          <w:rStyle w:val="Refdenotaalpie"/>
          <w:rFonts w:ascii="Arial" w:hAnsi="Arial" w:cs="Arial"/>
          <w:sz w:val="22"/>
          <w:szCs w:val="22"/>
          <w:lang w:eastAsia="x-none"/>
        </w:rPr>
        <w:footnoteReference w:id="7"/>
      </w:r>
      <w:r w:rsidRPr="00C65049">
        <w:rPr>
          <w:rFonts w:ascii="Arial" w:hAnsi="Arial" w:cs="Arial"/>
          <w:sz w:val="22"/>
          <w:szCs w:val="22"/>
          <w:lang w:eastAsia="x-none"/>
        </w:rPr>
        <w:t xml:space="preserve">, ni permita la participación de una pluralidad de oferentes. </w:t>
      </w:r>
    </w:p>
    <w:p w14:paraId="0545A2B8" w14:textId="77777777" w:rsidR="00AB5D64" w:rsidRPr="00C65049" w:rsidRDefault="00AB5D64" w:rsidP="00C65049">
      <w:pPr>
        <w:jc w:val="both"/>
        <w:rPr>
          <w:rFonts w:ascii="Arial" w:hAnsi="Arial" w:cs="Arial"/>
          <w:sz w:val="22"/>
          <w:szCs w:val="22"/>
          <w:lang w:eastAsia="x-none"/>
        </w:rPr>
      </w:pPr>
    </w:p>
    <w:p w14:paraId="4A81FAD7" w14:textId="397EFE85" w:rsidR="00D0545B" w:rsidRDefault="00D0545B" w:rsidP="00E716DC">
      <w:pPr>
        <w:ind w:firstLine="708"/>
        <w:jc w:val="both"/>
        <w:rPr>
          <w:rFonts w:ascii="Arial" w:hAnsi="Arial" w:cs="Arial"/>
          <w:sz w:val="22"/>
          <w:szCs w:val="22"/>
        </w:rPr>
      </w:pPr>
      <w:r w:rsidRPr="00C65049">
        <w:rPr>
          <w:rFonts w:ascii="Arial" w:hAnsi="Arial" w:cs="Arial"/>
          <w:sz w:val="22"/>
          <w:szCs w:val="22"/>
        </w:rPr>
        <w:t>Por su parte, el parágrafo del artículo 38 de la Ley 996 de 2005 prevé una restricción, aplicable respecto de cualquier tipo de elección, que prohíbe a los gobernadores, alcaldes municipales o distritales, secretarios, gerentes y directores de entidades descentralizadas del orden municipal, departamental o distrital «</w:t>
      </w:r>
      <w:proofErr w:type="gramStart"/>
      <w:r w:rsidRPr="00C65049">
        <w:rPr>
          <w:rFonts w:ascii="Arial" w:hAnsi="Arial" w:cs="Arial"/>
          <w:sz w:val="22"/>
          <w:szCs w:val="22"/>
        </w:rPr>
        <w:t>[  …</w:t>
      </w:r>
      <w:proofErr w:type="gramEnd"/>
      <w:r w:rsidRPr="00C65049">
        <w:rPr>
          <w:rFonts w:ascii="Arial" w:hAnsi="Arial" w:cs="Arial"/>
          <w:sz w:val="22"/>
          <w:szCs w:val="22"/>
        </w:rPr>
        <w:t xml:space="preserve"> ]  celebrar convenios interadministrativos para la ejecución de recursos públicos, ni participar, promover y destinar recursos públicos </w:t>
      </w:r>
      <w:r w:rsidRPr="00C65049">
        <w:rPr>
          <w:rFonts w:ascii="Arial" w:hAnsi="Arial" w:cs="Arial"/>
          <w:sz w:val="22"/>
          <w:szCs w:val="22"/>
        </w:rPr>
        <w:lastRenderedPageBreak/>
        <w:t xml:space="preserve">de las entidades a su cargo, como tampoco de las que participen como miembros de sus juntas directivas, en o para reuniones de carácter </w:t>
      </w:r>
      <w:proofErr w:type="gramStart"/>
      <w:r w:rsidRPr="00C65049">
        <w:rPr>
          <w:rFonts w:ascii="Arial" w:hAnsi="Arial" w:cs="Arial"/>
          <w:sz w:val="22"/>
          <w:szCs w:val="22"/>
        </w:rPr>
        <w:t>proselitista »</w:t>
      </w:r>
      <w:proofErr w:type="gramEnd"/>
      <w:r w:rsidRPr="00C65049">
        <w:rPr>
          <w:rFonts w:ascii="Arial" w:hAnsi="Arial" w:cs="Arial"/>
          <w:sz w:val="22"/>
          <w:szCs w:val="22"/>
          <w:vertAlign w:val="superscript"/>
        </w:rPr>
        <w:footnoteReference w:id="8"/>
      </w:r>
      <w:r w:rsidRPr="00C65049">
        <w:rPr>
          <w:rFonts w:ascii="Arial" w:hAnsi="Arial" w:cs="Arial"/>
          <w:sz w:val="22"/>
          <w:szCs w:val="22"/>
        </w:rPr>
        <w:t xml:space="preserve">. </w:t>
      </w:r>
      <w:proofErr w:type="gramStart"/>
      <w:r w:rsidRPr="00C65049">
        <w:rPr>
          <w:rFonts w:ascii="Arial" w:hAnsi="Arial" w:cs="Arial"/>
          <w:sz w:val="22"/>
          <w:szCs w:val="22"/>
        </w:rPr>
        <w:t>La  Sala</w:t>
      </w:r>
      <w:proofErr w:type="gramEnd"/>
      <w:r w:rsidRPr="00C65049">
        <w:rPr>
          <w:rFonts w:ascii="Arial" w:hAnsi="Arial" w:cs="Arial"/>
          <w:sz w:val="22"/>
          <w:szCs w:val="22"/>
        </w:rPr>
        <w:t xml:space="preserve"> de Consulta y Servicio Civil del Consejo de Estado aclara la distinción en las prohibiciones de la Ley 996 de 2005, dependiendo del tipo de elección que se trate, en los siguientes términos:</w:t>
      </w:r>
    </w:p>
    <w:p w14:paraId="57F70816" w14:textId="77777777" w:rsidR="00E716DC" w:rsidRPr="00C65049" w:rsidRDefault="00E716DC" w:rsidP="00E716DC">
      <w:pPr>
        <w:ind w:firstLine="708"/>
        <w:jc w:val="both"/>
        <w:rPr>
          <w:rFonts w:ascii="Arial" w:hAnsi="Arial" w:cs="Arial"/>
          <w:sz w:val="22"/>
          <w:szCs w:val="22"/>
        </w:rPr>
      </w:pPr>
    </w:p>
    <w:p w14:paraId="7780E331" w14:textId="42DFB5F5" w:rsidR="00D0545B" w:rsidRPr="00E716DC" w:rsidRDefault="00E716DC" w:rsidP="00E716DC">
      <w:pPr>
        <w:ind w:left="708"/>
        <w:jc w:val="both"/>
        <w:rPr>
          <w:rFonts w:ascii="Arial" w:hAnsi="Arial" w:cs="Arial"/>
          <w:i/>
          <w:iCs/>
          <w:sz w:val="20"/>
          <w:szCs w:val="20"/>
        </w:rPr>
      </w:pPr>
      <w:r w:rsidRPr="00E716DC">
        <w:rPr>
          <w:rFonts w:ascii="Arial" w:hAnsi="Arial" w:cs="Arial"/>
          <w:i/>
          <w:iCs/>
          <w:sz w:val="20"/>
          <w:szCs w:val="20"/>
        </w:rPr>
        <w:t>“</w:t>
      </w:r>
      <w:r w:rsidR="00D0545B" w:rsidRPr="00E716DC">
        <w:rPr>
          <w:rFonts w:ascii="Arial" w:hAnsi="Arial" w:cs="Arial"/>
          <w:i/>
          <w:iCs/>
          <w:sz w:val="20"/>
          <w:szCs w:val="20"/>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 incluido el de Presidente de la República-; de manera que dichas restricciones no se excluyen sino que se integran parcialmente, lo que permite concluir que en periodo preelectoral para elección de Presidente de la República, a todos los entes del Estado, incluidos los territoriales, se aplican las restricciones de los artículos 32 y 33 con sus excepciones, así como las del parágrafo del artículo 38. </w:t>
      </w:r>
      <w:proofErr w:type="gramStart"/>
      <w:r w:rsidR="00D0545B" w:rsidRPr="00E716DC">
        <w:rPr>
          <w:rFonts w:ascii="Arial" w:hAnsi="Arial" w:cs="Arial"/>
          <w:i/>
          <w:iCs/>
          <w:sz w:val="20"/>
          <w:szCs w:val="20"/>
        </w:rPr>
        <w:t>En  cambio</w:t>
      </w:r>
      <w:proofErr w:type="gramEnd"/>
      <w:r w:rsidR="00D0545B" w:rsidRPr="00E716DC">
        <w:rPr>
          <w:rFonts w:ascii="Arial" w:hAnsi="Arial" w:cs="Arial"/>
          <w:i/>
          <w:iCs/>
          <w:sz w:val="20"/>
          <w:szCs w:val="20"/>
        </w:rPr>
        <w:t xml:space="preserve">, para elecciones en general, excluyendo las correspondientes a </w:t>
      </w:r>
      <w:proofErr w:type="gramStart"/>
      <w:r w:rsidR="00D0545B" w:rsidRPr="00E716DC">
        <w:rPr>
          <w:rFonts w:ascii="Arial" w:hAnsi="Arial" w:cs="Arial"/>
          <w:i/>
          <w:iCs/>
          <w:sz w:val="20"/>
          <w:szCs w:val="20"/>
        </w:rPr>
        <w:t>Presidente  de</w:t>
      </w:r>
      <w:proofErr w:type="gramEnd"/>
      <w:r w:rsidR="00D0545B" w:rsidRPr="00E716DC">
        <w:rPr>
          <w:rFonts w:ascii="Arial" w:hAnsi="Arial" w:cs="Arial"/>
          <w:i/>
          <w:iCs/>
          <w:sz w:val="20"/>
          <w:szCs w:val="20"/>
        </w:rPr>
        <w:t xml:space="preserve"> la República, a las autoridades territoriales allí mencionadas sólo se aplican las restricciones contenidas en el parágrafo del artículo 38</w:t>
      </w:r>
      <w:r w:rsidRPr="00E716DC">
        <w:rPr>
          <w:rFonts w:ascii="Arial" w:hAnsi="Arial" w:cs="Arial"/>
          <w:i/>
          <w:iCs/>
          <w:sz w:val="20"/>
          <w:szCs w:val="20"/>
        </w:rPr>
        <w:t>”</w:t>
      </w:r>
      <w:r w:rsidR="00D0545B" w:rsidRPr="00E716DC">
        <w:rPr>
          <w:rFonts w:ascii="Arial" w:hAnsi="Arial" w:cs="Arial"/>
          <w:i/>
          <w:iCs/>
          <w:sz w:val="20"/>
          <w:szCs w:val="20"/>
          <w:vertAlign w:val="superscript"/>
        </w:rPr>
        <w:footnoteReference w:id="9"/>
      </w:r>
      <w:r w:rsidR="00D0545B" w:rsidRPr="00E716DC">
        <w:rPr>
          <w:rFonts w:ascii="Arial" w:hAnsi="Arial" w:cs="Arial"/>
          <w:i/>
          <w:iCs/>
          <w:sz w:val="20"/>
          <w:szCs w:val="20"/>
        </w:rPr>
        <w:t>.</w:t>
      </w:r>
    </w:p>
    <w:p w14:paraId="1A4E449E" w14:textId="77777777" w:rsidR="00E716DC" w:rsidRDefault="00E716DC" w:rsidP="00C65049">
      <w:pPr>
        <w:jc w:val="both"/>
        <w:rPr>
          <w:rFonts w:ascii="Arial" w:hAnsi="Arial" w:cs="Arial"/>
          <w:sz w:val="22"/>
          <w:szCs w:val="22"/>
        </w:rPr>
      </w:pPr>
      <w:bookmarkStart w:id="10" w:name="_Hlk101877678"/>
    </w:p>
    <w:p w14:paraId="6D57BC6D" w14:textId="5E99AF50" w:rsidR="00E716DC" w:rsidRDefault="00D0545B" w:rsidP="00E716DC">
      <w:pPr>
        <w:ind w:firstLine="708"/>
        <w:jc w:val="both"/>
        <w:rPr>
          <w:rFonts w:ascii="Arial" w:hAnsi="Arial" w:cs="Arial"/>
          <w:sz w:val="22"/>
          <w:szCs w:val="22"/>
        </w:rPr>
      </w:pPr>
      <w:r w:rsidRPr="00C65049">
        <w:rPr>
          <w:rFonts w:ascii="Arial" w:hAnsi="Arial" w:cs="Arial"/>
          <w:sz w:val="22"/>
          <w:szCs w:val="22"/>
        </w:rPr>
        <w:t>De lo anterior se desprende que la Ley 996 de 2005 establece dos tipos de restricciones en materia de contratación, las cuales coinciden parcialmente. Por un lado, la del artículo 33 que opera solo respecto de las elecciones presidenciales, en virtud de la cual queda proscrita la contratación directa dentro de los cuatro (4) meses anteriores a la celebración de los comicios, salvo las aludidas excepciones. Por otra parte, la del artículo 38, aplicable respecto de cualquier tipo de elección, que prohíbe la celebración de convenios interadministrativos que impliquen la ejecución de recursos públicos</w:t>
      </w:r>
      <w:r w:rsidR="00E716DC">
        <w:rPr>
          <w:rFonts w:ascii="Arial" w:hAnsi="Arial" w:cs="Arial"/>
          <w:sz w:val="22"/>
          <w:szCs w:val="22"/>
        </w:rPr>
        <w:t xml:space="preserve">, la cual se encuentra dirigida a </w:t>
      </w:r>
      <w:r w:rsidR="00E716DC" w:rsidRPr="00C65049">
        <w:rPr>
          <w:rFonts w:ascii="Arial" w:hAnsi="Arial" w:cs="Arial"/>
          <w:sz w:val="22"/>
          <w:szCs w:val="22"/>
        </w:rPr>
        <w:t>los gobernadores, alcaldes municipales o distritales, secretarios, gerentes y directores de entidades descentralizadas del orden municipal, departamental o distrital</w:t>
      </w:r>
    </w:p>
    <w:p w14:paraId="2C39B243" w14:textId="6C93635C" w:rsidR="00D0545B" w:rsidRPr="00C65049" w:rsidRDefault="00D0545B" w:rsidP="00E716DC">
      <w:pPr>
        <w:ind w:firstLine="708"/>
        <w:jc w:val="both"/>
        <w:rPr>
          <w:rFonts w:ascii="Arial" w:hAnsi="Arial" w:cs="Arial"/>
          <w:sz w:val="22"/>
          <w:szCs w:val="22"/>
        </w:rPr>
      </w:pPr>
      <w:r w:rsidRPr="00C65049">
        <w:rPr>
          <w:rFonts w:ascii="Arial" w:hAnsi="Arial" w:cs="Arial"/>
          <w:sz w:val="22"/>
          <w:szCs w:val="22"/>
        </w:rPr>
        <w:t xml:space="preserve">. </w:t>
      </w:r>
      <w:bookmarkEnd w:id="9"/>
    </w:p>
    <w:p w14:paraId="0D155553" w14:textId="77777777" w:rsidR="00145763" w:rsidRPr="00E716DC" w:rsidRDefault="00145763" w:rsidP="00C65049">
      <w:pPr>
        <w:jc w:val="both"/>
        <w:rPr>
          <w:rFonts w:ascii="Arial" w:hAnsi="Arial" w:cs="Arial"/>
          <w:b/>
          <w:bCs/>
          <w:sz w:val="22"/>
          <w:szCs w:val="22"/>
        </w:rPr>
      </w:pPr>
      <w:r w:rsidRPr="00E716DC">
        <w:rPr>
          <w:rFonts w:ascii="Arial" w:hAnsi="Arial" w:cs="Arial"/>
          <w:b/>
          <w:bCs/>
          <w:sz w:val="22"/>
          <w:szCs w:val="22"/>
        </w:rPr>
        <w:t xml:space="preserve">2.2. </w:t>
      </w:r>
      <w:r w:rsidRPr="00E716DC">
        <w:rPr>
          <w:rFonts w:ascii="Arial" w:hAnsi="Arial" w:cs="Arial"/>
          <w:b/>
          <w:bCs/>
          <w:sz w:val="22"/>
          <w:szCs w:val="22"/>
          <w:lang w:eastAsia="es-CO"/>
        </w:rPr>
        <w:t xml:space="preserve">Restricciones para la celebración de contratos y convenios interadministrativos en los comicios para cargos de elección popular </w:t>
      </w:r>
    </w:p>
    <w:p w14:paraId="06771677" w14:textId="77777777" w:rsidR="00145763" w:rsidRPr="00C65049" w:rsidRDefault="00145763" w:rsidP="00C65049">
      <w:pPr>
        <w:tabs>
          <w:tab w:val="left" w:pos="426"/>
        </w:tabs>
        <w:jc w:val="both"/>
        <w:rPr>
          <w:rFonts w:ascii="Arial" w:eastAsia="Calibri" w:hAnsi="Arial" w:cs="Arial"/>
          <w:bCs/>
          <w:sz w:val="22"/>
          <w:szCs w:val="22"/>
        </w:rPr>
      </w:pPr>
      <w:bookmarkStart w:id="11" w:name="_Hlk88210558"/>
    </w:p>
    <w:p w14:paraId="21A58762" w14:textId="72BC5EBB" w:rsidR="00145763" w:rsidRDefault="00E716DC" w:rsidP="00C65049">
      <w:pPr>
        <w:tabs>
          <w:tab w:val="left" w:pos="426"/>
        </w:tabs>
        <w:jc w:val="both"/>
        <w:rPr>
          <w:rFonts w:ascii="Arial" w:hAnsi="Arial" w:cs="Arial"/>
          <w:sz w:val="22"/>
          <w:szCs w:val="22"/>
        </w:rPr>
      </w:pPr>
      <w:bookmarkStart w:id="12" w:name="_Hlk98856520"/>
      <w:r>
        <w:rPr>
          <w:rFonts w:ascii="Arial" w:eastAsia="Calibri" w:hAnsi="Arial" w:cs="Arial"/>
          <w:bCs/>
          <w:sz w:val="22"/>
          <w:szCs w:val="22"/>
        </w:rPr>
        <w:tab/>
      </w:r>
      <w:r w:rsidR="00145763" w:rsidRPr="00C65049">
        <w:rPr>
          <w:rFonts w:ascii="Arial" w:eastAsia="Calibri" w:hAnsi="Arial" w:cs="Arial"/>
          <w:bCs/>
          <w:sz w:val="22"/>
          <w:szCs w:val="22"/>
        </w:rPr>
        <w:t xml:space="preserve">El parágrafo del artículo 38 de la Ley 996 de 2005 dispone que </w:t>
      </w:r>
      <w:r w:rsidR="00145763" w:rsidRPr="00E716DC">
        <w:rPr>
          <w:rFonts w:ascii="Arial" w:eastAsia="Calibri" w:hAnsi="Arial" w:cs="Arial"/>
          <w:bCs/>
          <w:i/>
          <w:iCs/>
          <w:sz w:val="22"/>
          <w:szCs w:val="22"/>
        </w:rPr>
        <w:t xml:space="preserve">«[l]os Gobernadores, </w:t>
      </w:r>
      <w:proofErr w:type="gramStart"/>
      <w:r w:rsidR="00145763" w:rsidRPr="00E716DC">
        <w:rPr>
          <w:rFonts w:ascii="Arial" w:eastAsia="Calibri" w:hAnsi="Arial" w:cs="Arial"/>
          <w:bCs/>
          <w:i/>
          <w:iCs/>
          <w:sz w:val="22"/>
          <w:szCs w:val="22"/>
        </w:rPr>
        <w:t>Alcaldes</w:t>
      </w:r>
      <w:proofErr w:type="gramEnd"/>
      <w:r w:rsidR="00145763" w:rsidRPr="00E716DC">
        <w:rPr>
          <w:rFonts w:ascii="Arial" w:eastAsia="Calibri" w:hAnsi="Arial" w:cs="Arial"/>
          <w:bCs/>
          <w:i/>
          <w:iCs/>
          <w:sz w:val="22"/>
          <w:szCs w:val="22"/>
        </w:rPr>
        <w:t xml:space="preserve"> Municipales y/o Distritales, </w:t>
      </w:r>
      <w:proofErr w:type="gramStart"/>
      <w:r w:rsidR="00145763" w:rsidRPr="00E716DC">
        <w:rPr>
          <w:rFonts w:ascii="Arial" w:eastAsia="Calibri" w:hAnsi="Arial" w:cs="Arial"/>
          <w:bCs/>
          <w:i/>
          <w:iCs/>
          <w:sz w:val="22"/>
          <w:szCs w:val="22"/>
        </w:rPr>
        <w:t>Secretarios</w:t>
      </w:r>
      <w:proofErr w:type="gramEnd"/>
      <w:r w:rsidR="00145763" w:rsidRPr="00E716DC">
        <w:rPr>
          <w:rFonts w:ascii="Arial" w:eastAsia="Calibri" w:hAnsi="Arial" w:cs="Arial"/>
          <w:bCs/>
          <w:i/>
          <w:iCs/>
          <w:sz w:val="22"/>
          <w:szCs w:val="22"/>
        </w:rPr>
        <w:t xml:space="preserve">, Gerentes y directores de Entidades Descentralizadas del orden Municipal, Departamental o Distrital, dentro de los cuatro (4) </w:t>
      </w:r>
      <w:r w:rsidR="00145763" w:rsidRPr="00E716DC">
        <w:rPr>
          <w:rFonts w:ascii="Arial" w:eastAsia="Calibri" w:hAnsi="Arial" w:cs="Arial"/>
          <w:bCs/>
          <w:i/>
          <w:iCs/>
          <w:sz w:val="22"/>
          <w:szCs w:val="22"/>
        </w:rPr>
        <w:lastRenderedPageBreak/>
        <w:t>meses anteriores a las elecciones, no podrán celebrar convenios interadministrativos para la ejecución de recursos públicos»</w:t>
      </w:r>
      <w:r w:rsidR="00145763" w:rsidRPr="00C65049">
        <w:rPr>
          <w:rFonts w:ascii="Arial" w:eastAsia="Calibri" w:hAnsi="Arial" w:cs="Arial"/>
          <w:bCs/>
          <w:sz w:val="22"/>
          <w:szCs w:val="22"/>
        </w:rPr>
        <w:t>.</w:t>
      </w:r>
      <w:r w:rsidR="00145763" w:rsidRPr="00C65049">
        <w:rPr>
          <w:rFonts w:ascii="Arial" w:hAnsi="Arial" w:cs="Arial"/>
          <w:bCs/>
          <w:iCs/>
          <w:sz w:val="22"/>
          <w:szCs w:val="22"/>
          <w:lang w:eastAsia="x-none"/>
        </w:rPr>
        <w:t xml:space="preserve"> </w:t>
      </w:r>
      <w:bookmarkEnd w:id="11"/>
      <w:r w:rsidR="00145763" w:rsidRPr="00C65049">
        <w:rPr>
          <w:rFonts w:ascii="Arial" w:hAnsi="Arial" w:cs="Arial"/>
          <w:bCs/>
          <w:iCs/>
          <w:sz w:val="22"/>
          <w:szCs w:val="22"/>
          <w:lang w:eastAsia="x-none"/>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bookmarkEnd w:id="12"/>
      <w:r w:rsidR="00145763" w:rsidRPr="00C65049">
        <w:rPr>
          <w:rFonts w:ascii="Arial" w:hAnsi="Arial" w:cs="Arial"/>
          <w:bCs/>
          <w:iCs/>
          <w:sz w:val="22"/>
          <w:szCs w:val="22"/>
          <w:vertAlign w:val="superscript"/>
          <w:lang w:eastAsia="x-none"/>
        </w:rPr>
        <w:footnoteReference w:id="10"/>
      </w:r>
      <w:r w:rsidR="00145763" w:rsidRPr="00C65049">
        <w:rPr>
          <w:rFonts w:ascii="Arial" w:hAnsi="Arial" w:cs="Arial"/>
          <w:bCs/>
          <w:iCs/>
          <w:sz w:val="22"/>
          <w:szCs w:val="22"/>
          <w:lang w:eastAsia="x-none"/>
        </w:rPr>
        <w:t>.</w:t>
      </w:r>
      <w:r w:rsidR="00145763" w:rsidRPr="00C65049">
        <w:rPr>
          <w:rFonts w:ascii="Arial" w:hAnsi="Arial" w:cs="Arial"/>
          <w:sz w:val="22"/>
          <w:szCs w:val="22"/>
        </w:rPr>
        <w:t xml:space="preserve"> </w:t>
      </w:r>
    </w:p>
    <w:p w14:paraId="3F8B25C4" w14:textId="77777777" w:rsidR="00E716DC" w:rsidRPr="00C65049" w:rsidRDefault="00E716DC" w:rsidP="00C65049">
      <w:pPr>
        <w:tabs>
          <w:tab w:val="left" w:pos="426"/>
        </w:tabs>
        <w:jc w:val="both"/>
        <w:rPr>
          <w:rFonts w:ascii="Arial" w:eastAsia="Calibri" w:hAnsi="Arial" w:cs="Arial"/>
          <w:bCs/>
          <w:sz w:val="22"/>
          <w:szCs w:val="22"/>
        </w:rPr>
      </w:pPr>
    </w:p>
    <w:p w14:paraId="66477E43" w14:textId="67A4EA3C" w:rsidR="00145763" w:rsidRDefault="00145763" w:rsidP="00E716DC">
      <w:pPr>
        <w:ind w:firstLine="708"/>
        <w:jc w:val="both"/>
        <w:rPr>
          <w:rFonts w:ascii="Arial" w:eastAsia="MS Mincho" w:hAnsi="Arial" w:cs="Arial"/>
          <w:sz w:val="22"/>
          <w:szCs w:val="22"/>
          <w:lang w:eastAsia="es-CO"/>
        </w:rPr>
      </w:pPr>
      <w:r w:rsidRPr="00C65049">
        <w:rPr>
          <w:rFonts w:ascii="Arial" w:eastAsia="Calibri" w:hAnsi="Arial" w:cs="Arial"/>
          <w:bCs/>
          <w:sz w:val="22"/>
          <w:szCs w:val="22"/>
          <w:lang w:eastAsia="es-CO"/>
        </w:rPr>
        <w:t xml:space="preserve">Ahora bien, </w:t>
      </w:r>
      <w:bookmarkStart w:id="13" w:name="_Hlk78820161"/>
      <w:r w:rsidRPr="00C65049">
        <w:rPr>
          <w:rFonts w:ascii="Arial" w:eastAsia="Calibri" w:hAnsi="Arial" w:cs="Arial"/>
          <w:bCs/>
          <w:sz w:val="22"/>
          <w:szCs w:val="22"/>
          <w:lang w:eastAsia="es-CO"/>
        </w:rPr>
        <w:t xml:space="preserve">para determinar el alcance de la prohibición consagrada por la Ley de Garantías Electorales, </w:t>
      </w:r>
      <w:bookmarkStart w:id="14" w:name="_Hlk98856586"/>
      <w:r w:rsidRPr="00C65049">
        <w:rPr>
          <w:rFonts w:ascii="Arial" w:eastAsia="Calibri" w:hAnsi="Arial" w:cs="Arial"/>
          <w:bCs/>
          <w:sz w:val="22"/>
          <w:szCs w:val="22"/>
          <w:lang w:eastAsia="es-CO"/>
        </w:rPr>
        <w:t xml:space="preserve">conviene precisar la tipología de convenios o contratos interadministrativos. </w:t>
      </w:r>
      <w:r w:rsidRPr="00C65049">
        <w:rPr>
          <w:rFonts w:ascii="Arial" w:eastAsia="MS Mincho" w:hAnsi="Arial" w:cs="Arial"/>
          <w:sz w:val="22"/>
          <w:szCs w:val="22"/>
          <w:lang w:eastAsia="es-CO"/>
        </w:rPr>
        <w:t>Aunque la ley no la definió ni desarrolló, el Decreto 1082 de 2015 califica a los convenios o contratos interadministrativos como aquella contratación entre entidades estatales</w:t>
      </w:r>
      <w:r w:rsidRPr="00C65049">
        <w:rPr>
          <w:rFonts w:ascii="Arial" w:eastAsia="MS Mincho" w:hAnsi="Arial" w:cs="Arial"/>
          <w:sz w:val="22"/>
          <w:szCs w:val="22"/>
          <w:vertAlign w:val="superscript"/>
          <w:lang w:eastAsia="es-CO"/>
        </w:rPr>
        <w:footnoteReference w:id="11"/>
      </w:r>
      <w:r w:rsidRPr="00C65049">
        <w:rPr>
          <w:rFonts w:ascii="Arial" w:eastAsia="MS Mincho" w:hAnsi="Arial" w:cs="Arial"/>
          <w:sz w:val="22"/>
          <w:szCs w:val="22"/>
          <w:lang w:eastAsia="es-CO"/>
        </w:rPr>
        <w:t xml:space="preserve">. De acuerdo con lo anterior, el contrato o el convenio interadministrativo es el acuerdo donde concurre la voluntad de dos o más personas jurídicas de derecho público </w:t>
      </w:r>
      <w:r w:rsidR="00E716DC">
        <w:rPr>
          <w:rFonts w:ascii="Arial" w:eastAsia="MS Mincho" w:hAnsi="Arial" w:cs="Arial"/>
          <w:sz w:val="22"/>
          <w:szCs w:val="22"/>
          <w:lang w:eastAsia="es-CO"/>
        </w:rPr>
        <w:t>para</w:t>
      </w:r>
      <w:r w:rsidRPr="00C65049">
        <w:rPr>
          <w:rFonts w:ascii="Arial" w:eastAsia="MS Mincho" w:hAnsi="Arial" w:cs="Arial"/>
          <w:sz w:val="22"/>
          <w:szCs w:val="22"/>
          <w:lang w:eastAsia="es-CO"/>
        </w:rPr>
        <w:t xml:space="preserve"> cumplir, en el marco de sus objetivos misionales y sus competencias, con los fines del Estado. Es decir, los contratos o convenios interadministrativos están determinados por un criterio orgánico, pues es necesario que los extremos de la relación contractual sean entidades</w:t>
      </w:r>
      <w:r w:rsidRPr="00C65049">
        <w:rPr>
          <w:rFonts w:ascii="Arial" w:eastAsia="MS Mincho" w:hAnsi="Arial" w:cs="Arial"/>
          <w:spacing w:val="-6"/>
          <w:sz w:val="22"/>
          <w:szCs w:val="22"/>
          <w:lang w:eastAsia="es-CO"/>
        </w:rPr>
        <w:t xml:space="preserve"> </w:t>
      </w:r>
      <w:r w:rsidRPr="00C65049">
        <w:rPr>
          <w:rFonts w:ascii="Arial" w:eastAsia="MS Mincho" w:hAnsi="Arial" w:cs="Arial"/>
          <w:sz w:val="22"/>
          <w:szCs w:val="22"/>
          <w:lang w:eastAsia="es-CO"/>
        </w:rPr>
        <w:t>estatales.</w:t>
      </w:r>
      <w:bookmarkEnd w:id="14"/>
    </w:p>
    <w:p w14:paraId="3CBAFF53" w14:textId="77777777" w:rsidR="00E716DC" w:rsidRPr="00C65049" w:rsidRDefault="00E716DC" w:rsidP="00E716DC">
      <w:pPr>
        <w:ind w:firstLine="708"/>
        <w:jc w:val="both"/>
        <w:rPr>
          <w:rFonts w:ascii="Arial" w:eastAsia="MS Mincho" w:hAnsi="Arial" w:cs="Arial"/>
          <w:sz w:val="22"/>
          <w:szCs w:val="22"/>
          <w:lang w:eastAsia="es-CO"/>
        </w:rPr>
      </w:pPr>
    </w:p>
    <w:p w14:paraId="5FC3AB00" w14:textId="7C9906ED" w:rsidR="00145763" w:rsidRDefault="00145763" w:rsidP="00E716DC">
      <w:pPr>
        <w:ind w:firstLine="708"/>
        <w:jc w:val="both"/>
        <w:rPr>
          <w:rFonts w:ascii="Arial" w:eastAsia="MS Mincho" w:hAnsi="Arial" w:cs="Arial"/>
          <w:sz w:val="22"/>
          <w:szCs w:val="22"/>
          <w:lang w:eastAsia="es-CO"/>
        </w:rPr>
      </w:pPr>
      <w:bookmarkStart w:id="15" w:name="_Hlk78820654"/>
      <w:bookmarkEnd w:id="13"/>
      <w:r w:rsidRPr="00C65049">
        <w:rPr>
          <w:rFonts w:ascii="Arial" w:eastAsia="MS Mincho" w:hAnsi="Arial" w:cs="Arial"/>
          <w:sz w:val="22"/>
          <w:szCs w:val="22"/>
          <w:lang w:eastAsia="es-CO"/>
        </w:rPr>
        <w:t>Si bien los contratos o convenios interadministrativos están previstos en la Ley 80 de 1993, en la Ley 1150 de 2007 y en el Decreto en el 1082 de 2015, no quiere decir que solo puedan celebrarse entre entidades estatales que apliquen el régimen de contratación allí previsto, pues bien puede una entidad estatal sometida a la Ley 80 de 1993 celebrar esta clase de convenios con una entidad estatal de régimen especial y no por ello dejará de ser un contrato o convenio interadministrativo.</w:t>
      </w:r>
    </w:p>
    <w:p w14:paraId="15ABA989" w14:textId="77777777" w:rsidR="00E716DC" w:rsidRPr="00C65049" w:rsidRDefault="00E716DC" w:rsidP="00E716DC">
      <w:pPr>
        <w:ind w:firstLine="708"/>
        <w:jc w:val="both"/>
        <w:rPr>
          <w:rFonts w:ascii="Arial" w:eastAsia="MS Mincho" w:hAnsi="Arial" w:cs="Arial"/>
          <w:sz w:val="22"/>
          <w:szCs w:val="22"/>
          <w:lang w:eastAsia="es-CO"/>
        </w:rPr>
      </w:pPr>
    </w:p>
    <w:bookmarkEnd w:id="15"/>
    <w:p w14:paraId="708416F5" w14:textId="0D79CC8A" w:rsidR="00145763" w:rsidRDefault="00145763" w:rsidP="00E716DC">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Dicha tipología contractual no está determinada por la modalidad de selección utilizada para celebrarlo. La Ley 1150 de 2007 establece que pueden celebrarse directamente, siempre que las obligaciones derivadas del mismo tengan relación directa con el objeto de la entidad ejecutora, señalado en la ley o en sus reglamentos, a menos que, según las excepciones previstas en dicha ley, deba adelantarse un procedimiento con pluralidad de oferentes</w:t>
      </w:r>
      <w:r w:rsidRPr="00C65049">
        <w:rPr>
          <w:rFonts w:ascii="Arial" w:eastAsia="MS Mincho" w:hAnsi="Arial" w:cs="Arial"/>
          <w:sz w:val="22"/>
          <w:szCs w:val="22"/>
          <w:vertAlign w:val="superscript"/>
          <w:lang w:eastAsia="es-CO"/>
        </w:rPr>
        <w:footnoteReference w:id="12"/>
      </w:r>
      <w:r w:rsidRPr="00C65049">
        <w:rPr>
          <w:rFonts w:ascii="Arial" w:eastAsia="MS Mincho" w:hAnsi="Arial" w:cs="Arial"/>
          <w:sz w:val="22"/>
          <w:szCs w:val="22"/>
          <w:lang w:eastAsia="es-CO"/>
        </w:rPr>
        <w:t>. Nótese que, en este caso, lo que cambia es la modalidad de selección y no la naturaleza de contrato</w:t>
      </w:r>
      <w:r w:rsidRPr="00C65049">
        <w:rPr>
          <w:rFonts w:ascii="Arial" w:eastAsia="MS Mincho" w:hAnsi="Arial" w:cs="Arial"/>
          <w:spacing w:val="-18"/>
          <w:sz w:val="22"/>
          <w:szCs w:val="22"/>
          <w:lang w:eastAsia="es-CO"/>
        </w:rPr>
        <w:t xml:space="preserve"> </w:t>
      </w:r>
      <w:r w:rsidRPr="00C65049">
        <w:rPr>
          <w:rFonts w:ascii="Arial" w:eastAsia="MS Mincho" w:hAnsi="Arial" w:cs="Arial"/>
          <w:sz w:val="22"/>
          <w:szCs w:val="22"/>
          <w:lang w:eastAsia="es-CO"/>
        </w:rPr>
        <w:t>interadministrativo.</w:t>
      </w:r>
    </w:p>
    <w:p w14:paraId="14A880C2" w14:textId="77777777" w:rsidR="00E716DC" w:rsidRPr="00C65049" w:rsidRDefault="00E716DC" w:rsidP="00E716DC">
      <w:pPr>
        <w:ind w:firstLine="708"/>
        <w:jc w:val="both"/>
        <w:rPr>
          <w:rFonts w:ascii="Arial" w:eastAsia="MS Mincho" w:hAnsi="Arial" w:cs="Arial"/>
          <w:sz w:val="22"/>
          <w:szCs w:val="22"/>
          <w:lang w:eastAsia="es-CO"/>
        </w:rPr>
      </w:pPr>
    </w:p>
    <w:p w14:paraId="1671ADCB" w14:textId="77777777" w:rsidR="00145763" w:rsidRPr="00C65049" w:rsidRDefault="00145763" w:rsidP="00E716DC">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La Corte Constitucional expresó en la Sentencia C–671 de 2015 que «Lo que hace interadministrativo a un contrato o convenio no es el procedimiento de selección aplicable, sino la calidad de los sujetos contratantes, esto es que las dos partes de la relación jurídica contractual formen parte de la administración pública». Así las cosas, esta clase de acuerdos de voluntades se definen por un criterio orgánico, por lo que uno de sus elementos esenciales es que en los extremos de la relación jurídico negocial concurran personas de derecho público. Adicionalmente, el Consejo de Estado ha indicado, frente al convenio interadministrativo y sus características,</w:t>
      </w:r>
      <w:r w:rsidRPr="00C65049">
        <w:rPr>
          <w:rFonts w:ascii="Arial" w:eastAsia="MS Mincho" w:hAnsi="Arial" w:cs="Arial"/>
          <w:spacing w:val="-13"/>
          <w:sz w:val="22"/>
          <w:szCs w:val="22"/>
          <w:lang w:eastAsia="es-CO"/>
        </w:rPr>
        <w:t xml:space="preserve"> </w:t>
      </w:r>
      <w:r w:rsidRPr="00C65049">
        <w:rPr>
          <w:rFonts w:ascii="Arial" w:eastAsia="MS Mincho" w:hAnsi="Arial" w:cs="Arial"/>
          <w:sz w:val="22"/>
          <w:szCs w:val="22"/>
          <w:lang w:eastAsia="es-CO"/>
        </w:rPr>
        <w:t>que:</w:t>
      </w:r>
    </w:p>
    <w:p w14:paraId="2224F0BB" w14:textId="77777777" w:rsidR="00145763" w:rsidRPr="00C65049" w:rsidRDefault="00145763" w:rsidP="00C65049">
      <w:pPr>
        <w:jc w:val="both"/>
        <w:rPr>
          <w:rFonts w:ascii="Arial" w:eastAsia="MS Mincho" w:hAnsi="Arial" w:cs="Arial"/>
          <w:sz w:val="22"/>
          <w:szCs w:val="22"/>
          <w:lang w:eastAsia="es-CO"/>
        </w:rPr>
      </w:pPr>
    </w:p>
    <w:p w14:paraId="7E34014F" w14:textId="3AC3DA77" w:rsidR="00145763" w:rsidRPr="006559C8" w:rsidRDefault="006559C8" w:rsidP="006559C8">
      <w:pPr>
        <w:ind w:left="708"/>
        <w:jc w:val="both"/>
        <w:rPr>
          <w:rFonts w:ascii="Arial" w:hAnsi="Arial" w:cs="Arial"/>
          <w:i/>
          <w:iCs/>
          <w:sz w:val="20"/>
          <w:szCs w:val="20"/>
        </w:rPr>
      </w:pPr>
      <w:r>
        <w:rPr>
          <w:rFonts w:ascii="Arial" w:hAnsi="Arial" w:cs="Arial"/>
          <w:i/>
          <w:iCs/>
          <w:sz w:val="20"/>
          <w:szCs w:val="20"/>
        </w:rPr>
        <w:t>“</w:t>
      </w:r>
      <w:r w:rsidR="00145763" w:rsidRPr="006559C8">
        <w:rPr>
          <w:rFonts w:ascii="Arial" w:hAnsi="Arial" w:cs="Arial"/>
          <w:i/>
          <w:iCs/>
          <w:sz w:val="20"/>
          <w:szCs w:val="20"/>
        </w:rPr>
        <w:t>[…] se puede señalar que los convenios o contratos interadministrativos tienen como características principales las siguientes: (i) constituyen verdaderos contratos en los términos del Código de Comercio cuando su objeto lo constituyen obligaciones patrimoniales; (</w:t>
      </w:r>
      <w:proofErr w:type="spellStart"/>
      <w:r w:rsidR="00145763" w:rsidRPr="006559C8">
        <w:rPr>
          <w:rFonts w:ascii="Arial" w:hAnsi="Arial" w:cs="Arial"/>
          <w:i/>
          <w:iCs/>
          <w:sz w:val="20"/>
          <w:szCs w:val="20"/>
        </w:rPr>
        <w:t>ii</w:t>
      </w:r>
      <w:proofErr w:type="spellEnd"/>
      <w:r w:rsidR="00145763" w:rsidRPr="006559C8">
        <w:rPr>
          <w:rFonts w:ascii="Arial" w:hAnsi="Arial" w:cs="Arial"/>
          <w:i/>
          <w:iCs/>
          <w:sz w:val="20"/>
          <w:szCs w:val="20"/>
        </w:rPr>
        <w:t>) tienen como fuente la autonomía contractual; (</w:t>
      </w:r>
      <w:proofErr w:type="spellStart"/>
      <w:r w:rsidR="00145763" w:rsidRPr="006559C8">
        <w:rPr>
          <w:rFonts w:ascii="Arial" w:hAnsi="Arial" w:cs="Arial"/>
          <w:i/>
          <w:iCs/>
          <w:sz w:val="20"/>
          <w:szCs w:val="20"/>
        </w:rPr>
        <w:t>iii</w:t>
      </w:r>
      <w:proofErr w:type="spellEnd"/>
      <w:r w:rsidR="00145763" w:rsidRPr="006559C8">
        <w:rPr>
          <w:rFonts w:ascii="Arial" w:hAnsi="Arial" w:cs="Arial"/>
          <w:i/>
          <w:iCs/>
          <w:sz w:val="20"/>
          <w:szCs w:val="20"/>
        </w:rPr>
        <w:t>) son contratos nominados puesto que están mencionados en la ley; (</w:t>
      </w:r>
      <w:proofErr w:type="spellStart"/>
      <w:r w:rsidR="00145763" w:rsidRPr="006559C8">
        <w:rPr>
          <w:rFonts w:ascii="Arial" w:hAnsi="Arial" w:cs="Arial"/>
          <w:i/>
          <w:iCs/>
          <w:sz w:val="20"/>
          <w:szCs w:val="20"/>
        </w:rPr>
        <w:t>iv</w:t>
      </w:r>
      <w:proofErr w:type="spellEnd"/>
      <w:r w:rsidR="00145763" w:rsidRPr="006559C8">
        <w:rPr>
          <w:rFonts w:ascii="Arial" w:hAnsi="Arial" w:cs="Arial"/>
          <w:i/>
          <w:iCs/>
          <w:sz w:val="20"/>
          <w:szCs w:val="20"/>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00145763" w:rsidRPr="006559C8">
        <w:rPr>
          <w:rFonts w:ascii="Arial" w:hAnsi="Arial" w:cs="Arial"/>
          <w:i/>
          <w:iCs/>
          <w:sz w:val="20"/>
          <w:szCs w:val="20"/>
        </w:rPr>
        <w:t>vii</w:t>
      </w:r>
      <w:proofErr w:type="spellEnd"/>
      <w:r w:rsidR="00145763" w:rsidRPr="006559C8">
        <w:rPr>
          <w:rFonts w:ascii="Arial" w:hAnsi="Arial" w:cs="Arial"/>
          <w:i/>
          <w:iCs/>
          <w:sz w:val="20"/>
          <w:szCs w:val="20"/>
        </w:rPr>
        <w:t>) persiguen  una finalidad común a través de la realización de intereses compartidos entre las entidades vinculadas; (</w:t>
      </w:r>
      <w:proofErr w:type="spellStart"/>
      <w:r w:rsidR="00145763" w:rsidRPr="006559C8">
        <w:rPr>
          <w:rFonts w:ascii="Arial" w:hAnsi="Arial" w:cs="Arial"/>
          <w:i/>
          <w:iCs/>
          <w:sz w:val="20"/>
          <w:szCs w:val="20"/>
        </w:rPr>
        <w:t>viii</w:t>
      </w:r>
      <w:proofErr w:type="spellEnd"/>
      <w:r w:rsidR="00145763" w:rsidRPr="006559C8">
        <w:rPr>
          <w:rFonts w:ascii="Arial" w:hAnsi="Arial" w:cs="Arial"/>
          <w:i/>
          <w:iCs/>
          <w:sz w:val="20"/>
          <w:szCs w:val="20"/>
        </w:rPr>
        <w:t>) la acción mediante la cual se deben ventilar las diferencias que sobre el particular surjan es la de controversias contractuales</w:t>
      </w:r>
      <w:r>
        <w:rPr>
          <w:rFonts w:ascii="Arial" w:hAnsi="Arial" w:cs="Arial"/>
          <w:i/>
          <w:iCs/>
          <w:sz w:val="20"/>
          <w:szCs w:val="20"/>
        </w:rPr>
        <w:t>”</w:t>
      </w:r>
      <w:r w:rsidR="00145763" w:rsidRPr="006559C8">
        <w:rPr>
          <w:rFonts w:ascii="Arial" w:hAnsi="Arial" w:cs="Arial"/>
          <w:i/>
          <w:iCs/>
          <w:sz w:val="20"/>
          <w:szCs w:val="20"/>
          <w:vertAlign w:val="superscript"/>
        </w:rPr>
        <w:footnoteReference w:id="13"/>
      </w:r>
      <w:r w:rsidR="00145763" w:rsidRPr="006559C8">
        <w:rPr>
          <w:rFonts w:ascii="Arial" w:hAnsi="Arial" w:cs="Arial"/>
          <w:i/>
          <w:iCs/>
          <w:sz w:val="20"/>
          <w:szCs w:val="20"/>
        </w:rPr>
        <w:t>.</w:t>
      </w:r>
    </w:p>
    <w:p w14:paraId="2C232990" w14:textId="77777777" w:rsidR="00145763" w:rsidRPr="00C65049" w:rsidRDefault="00145763" w:rsidP="00C65049">
      <w:pPr>
        <w:jc w:val="both"/>
        <w:rPr>
          <w:rFonts w:ascii="Arial" w:hAnsi="Arial" w:cs="Arial"/>
          <w:sz w:val="22"/>
          <w:szCs w:val="22"/>
        </w:rPr>
      </w:pPr>
    </w:p>
    <w:p w14:paraId="5BFE4883" w14:textId="06A0D250" w:rsidR="00145763" w:rsidRDefault="00145763" w:rsidP="006559C8">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En ese sentido, los convenios interadministrativos se caracterizan por los sujetos que intervienen y por la modalidad de selección que la ley permite aplicar para su celebración, ya que comporta un grado de excepcionalidad frente a las demás tipologías contractuales, donde los sujetos no están restringidos a una cualificación particular y aplican otras modalidades de selección. El Estatuto General de Contratación de la Administración Pública establece la contratación directa como la modalidad de selección aplicable, por regla general, a la celebración de los contratos interadministrativos.</w:t>
      </w:r>
    </w:p>
    <w:p w14:paraId="62B0FAB0" w14:textId="77777777" w:rsidR="006559C8" w:rsidRPr="00C65049" w:rsidRDefault="006559C8" w:rsidP="006559C8">
      <w:pPr>
        <w:ind w:firstLine="708"/>
        <w:jc w:val="both"/>
        <w:rPr>
          <w:rFonts w:ascii="Arial" w:eastAsia="MS Mincho" w:hAnsi="Arial" w:cs="Arial"/>
          <w:sz w:val="22"/>
          <w:szCs w:val="22"/>
          <w:lang w:eastAsia="es-CO"/>
        </w:rPr>
      </w:pPr>
    </w:p>
    <w:p w14:paraId="4530A334" w14:textId="3A8E118C" w:rsidR="00145763" w:rsidRDefault="00145763" w:rsidP="006559C8">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 xml:space="preserve">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w:t>
      </w:r>
      <w:r w:rsidRPr="00C65049">
        <w:rPr>
          <w:rFonts w:ascii="Arial" w:eastAsia="MS Mincho" w:hAnsi="Arial" w:cs="Arial"/>
          <w:sz w:val="22"/>
          <w:szCs w:val="22"/>
          <w:lang w:eastAsia="es-CO"/>
        </w:rPr>
        <w:lastRenderedPageBreak/>
        <w:t>diferentes a la de contratación directa, pues, como se indicó, la existencia de un contrato interadministrativo no está determinada por la modalidad de selección sino, entre otras cosas, de la calidad de las partes que lo suscriben, es decir, debe tratarse de entidades</w:t>
      </w:r>
      <w:r w:rsidRPr="00C65049">
        <w:rPr>
          <w:rFonts w:ascii="Arial" w:eastAsia="MS Mincho" w:hAnsi="Arial" w:cs="Arial"/>
          <w:spacing w:val="-3"/>
          <w:sz w:val="22"/>
          <w:szCs w:val="22"/>
          <w:lang w:eastAsia="es-CO"/>
        </w:rPr>
        <w:t xml:space="preserve"> </w:t>
      </w:r>
      <w:r w:rsidRPr="00C65049">
        <w:rPr>
          <w:rFonts w:ascii="Arial" w:eastAsia="MS Mincho" w:hAnsi="Arial" w:cs="Arial"/>
          <w:sz w:val="22"/>
          <w:szCs w:val="22"/>
          <w:lang w:eastAsia="es-CO"/>
        </w:rPr>
        <w:t>estatales.</w:t>
      </w:r>
    </w:p>
    <w:p w14:paraId="7743F901" w14:textId="77777777" w:rsidR="006559C8" w:rsidRPr="00C65049" w:rsidRDefault="006559C8" w:rsidP="006559C8">
      <w:pPr>
        <w:ind w:firstLine="708"/>
        <w:jc w:val="both"/>
        <w:rPr>
          <w:rFonts w:ascii="Arial" w:eastAsia="MS Mincho" w:hAnsi="Arial" w:cs="Arial"/>
          <w:sz w:val="22"/>
          <w:szCs w:val="22"/>
          <w:lang w:eastAsia="es-CO"/>
        </w:rPr>
      </w:pPr>
    </w:p>
    <w:p w14:paraId="75F1E505" w14:textId="05B490B4" w:rsidR="00145763" w:rsidRDefault="00145763" w:rsidP="006559C8">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Además, es necesario tener en cuenta que para que un contrato o convenio interadministrativo exista, debe cumplir con los siguientes elementos: acuerdo sobre el objeto y la contraprestación, y que se eleve a escrito. Por otra parte, si bien actualmente el EGCAP hace referencia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Por este motivo,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w:t>
      </w:r>
      <w:r w:rsidRPr="00C65049">
        <w:rPr>
          <w:rFonts w:ascii="Arial" w:eastAsia="MS Mincho" w:hAnsi="Arial" w:cs="Arial"/>
          <w:spacing w:val="-4"/>
          <w:sz w:val="22"/>
          <w:szCs w:val="22"/>
          <w:lang w:eastAsia="es-CO"/>
        </w:rPr>
        <w:t xml:space="preserve"> </w:t>
      </w:r>
      <w:r w:rsidRPr="00C65049">
        <w:rPr>
          <w:rFonts w:ascii="Arial" w:eastAsia="MS Mincho" w:hAnsi="Arial" w:cs="Arial"/>
          <w:sz w:val="22"/>
          <w:szCs w:val="22"/>
          <w:lang w:eastAsia="es-CO"/>
        </w:rPr>
        <w:t>estatales.</w:t>
      </w:r>
    </w:p>
    <w:p w14:paraId="7B200E3F" w14:textId="77777777" w:rsidR="006559C8" w:rsidRPr="00C65049" w:rsidRDefault="006559C8" w:rsidP="006559C8">
      <w:pPr>
        <w:ind w:firstLine="708"/>
        <w:jc w:val="both"/>
        <w:rPr>
          <w:rFonts w:ascii="Arial" w:eastAsia="MS Mincho" w:hAnsi="Arial" w:cs="Arial"/>
          <w:sz w:val="22"/>
          <w:szCs w:val="22"/>
          <w:lang w:eastAsia="es-CO"/>
        </w:rPr>
      </w:pPr>
    </w:p>
    <w:p w14:paraId="5BEBD691" w14:textId="17CF8452" w:rsidR="00145763" w:rsidRDefault="00145763" w:rsidP="006559C8">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Es bueno destacar que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De este modo, es posible concluir que en la contratación estatal no existen mayores diferencias entre convenio y contrato y, dando aplicación al derecho privado y a la definición contenida en el Código Civil, puede afirmarse que se trata de figuras equivalentes.</w:t>
      </w:r>
    </w:p>
    <w:p w14:paraId="0F13F3F7" w14:textId="77777777" w:rsidR="006559C8" w:rsidRPr="00C65049" w:rsidRDefault="006559C8" w:rsidP="006559C8">
      <w:pPr>
        <w:ind w:firstLine="708"/>
        <w:jc w:val="both"/>
        <w:rPr>
          <w:rFonts w:ascii="Arial" w:eastAsia="MS Mincho" w:hAnsi="Arial" w:cs="Arial"/>
          <w:sz w:val="22"/>
          <w:szCs w:val="22"/>
          <w:lang w:eastAsia="es-CO"/>
        </w:rPr>
      </w:pPr>
    </w:p>
    <w:p w14:paraId="01936C4B" w14:textId="0B830AB9" w:rsidR="00145763" w:rsidRDefault="00145763" w:rsidP="006559C8">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obligaciones patrimoniales, y las entidades estatales que los conforman están sujetas tanto a la normativa contractual pública, como a las normas del derecho civil</w:t>
      </w:r>
      <w:r w:rsidRPr="00C65049">
        <w:rPr>
          <w:rFonts w:ascii="Arial" w:eastAsia="MS Mincho" w:hAnsi="Arial" w:cs="Arial"/>
          <w:spacing w:val="-4"/>
          <w:sz w:val="22"/>
          <w:szCs w:val="22"/>
          <w:lang w:eastAsia="es-CO"/>
        </w:rPr>
        <w:t xml:space="preserve"> </w:t>
      </w:r>
      <w:r w:rsidRPr="00C65049">
        <w:rPr>
          <w:rFonts w:ascii="Arial" w:eastAsia="MS Mincho" w:hAnsi="Arial" w:cs="Arial"/>
          <w:sz w:val="22"/>
          <w:szCs w:val="22"/>
          <w:lang w:eastAsia="es-CO"/>
        </w:rPr>
        <w:t>[…]»</w:t>
      </w:r>
      <w:r w:rsidRPr="00C65049">
        <w:rPr>
          <w:rFonts w:ascii="Arial" w:eastAsia="MS Mincho" w:hAnsi="Arial" w:cs="Arial"/>
          <w:sz w:val="22"/>
          <w:szCs w:val="22"/>
          <w:vertAlign w:val="superscript"/>
          <w:lang w:eastAsia="es-CO"/>
        </w:rPr>
        <w:footnoteReference w:id="14"/>
      </w:r>
      <w:r w:rsidRPr="00C65049">
        <w:rPr>
          <w:rFonts w:ascii="Arial" w:eastAsia="MS Mincho" w:hAnsi="Arial" w:cs="Arial"/>
          <w:sz w:val="22"/>
          <w:szCs w:val="22"/>
          <w:lang w:eastAsia="es-CO"/>
        </w:rPr>
        <w:t>.</w:t>
      </w:r>
      <w:bookmarkStart w:id="16" w:name="_Hlk77171241"/>
    </w:p>
    <w:p w14:paraId="3D3F1354" w14:textId="77777777" w:rsidR="006559C8" w:rsidRPr="00C65049" w:rsidRDefault="006559C8" w:rsidP="006559C8">
      <w:pPr>
        <w:ind w:firstLine="708"/>
        <w:jc w:val="both"/>
        <w:rPr>
          <w:rFonts w:ascii="Arial" w:eastAsia="Calibri" w:hAnsi="Arial" w:cs="Arial"/>
          <w:bCs/>
          <w:sz w:val="22"/>
          <w:szCs w:val="22"/>
          <w:lang w:eastAsia="es-CO"/>
        </w:rPr>
      </w:pPr>
    </w:p>
    <w:p w14:paraId="0FAE3724" w14:textId="77777777" w:rsidR="00145763" w:rsidRPr="00C65049" w:rsidRDefault="00145763" w:rsidP="006559C8">
      <w:pPr>
        <w:ind w:firstLine="708"/>
        <w:jc w:val="both"/>
        <w:rPr>
          <w:rFonts w:ascii="Arial" w:eastAsia="MS Mincho" w:hAnsi="Arial" w:cs="Arial"/>
          <w:sz w:val="22"/>
          <w:szCs w:val="22"/>
          <w:lang w:eastAsia="es-CO"/>
        </w:rPr>
      </w:pPr>
      <w:r w:rsidRPr="00C65049">
        <w:rPr>
          <w:rFonts w:ascii="Arial" w:eastAsia="MS Mincho" w:hAnsi="Arial" w:cs="Arial"/>
          <w:sz w:val="22"/>
          <w:szCs w:val="22"/>
          <w:lang w:eastAsia="es-CO"/>
        </w:rPr>
        <w:t>Sin perjuicio de lo anterior, vale la pena tener en cuenta que cierto sector de la doctrina y la jurisprudencia han establecido algunas diferencias o caracterización de los contratos interadministrativos frente a los convenios interadministrativos de que trata el artículo 95 de la Ley 489 de 1998. Por ejemplo, el Consejo de Estado en sentencia del 14 de junio de 2019 expresó:</w:t>
      </w:r>
    </w:p>
    <w:p w14:paraId="298614E8" w14:textId="77777777" w:rsidR="00145763" w:rsidRPr="00C65049" w:rsidRDefault="00145763" w:rsidP="00C65049">
      <w:pPr>
        <w:jc w:val="both"/>
        <w:rPr>
          <w:rFonts w:ascii="Arial" w:eastAsia="MS Mincho" w:hAnsi="Arial" w:cs="Arial"/>
          <w:sz w:val="22"/>
          <w:szCs w:val="22"/>
          <w:lang w:eastAsia="es-CO"/>
        </w:rPr>
      </w:pPr>
    </w:p>
    <w:p w14:paraId="17DCC96F" w14:textId="37D5593B" w:rsidR="00145763" w:rsidRDefault="00145763" w:rsidP="006559C8">
      <w:pPr>
        <w:ind w:firstLine="708"/>
        <w:jc w:val="both"/>
        <w:rPr>
          <w:rFonts w:ascii="Arial" w:hAnsi="Arial" w:cs="Arial"/>
          <w:sz w:val="22"/>
          <w:szCs w:val="22"/>
          <w:lang w:val="es-ES_tradnl"/>
        </w:rPr>
      </w:pPr>
      <w:r w:rsidRPr="00C65049">
        <w:rPr>
          <w:rFonts w:ascii="Arial" w:hAnsi="Arial" w:cs="Arial"/>
          <w:sz w:val="22"/>
          <w:szCs w:val="22"/>
          <w:lang w:val="es-ES_tradnl"/>
        </w:rPr>
        <w:lastRenderedPageBreak/>
        <w:t>La Sala de Consulta y Servicio Civil</w:t>
      </w:r>
      <w:r w:rsidRPr="00C65049">
        <w:rPr>
          <w:rFonts w:ascii="Arial" w:hAnsi="Arial" w:cs="Arial"/>
          <w:sz w:val="22"/>
          <w:szCs w:val="22"/>
          <w:vertAlign w:val="superscript"/>
          <w:lang w:val="es-ES_tradnl"/>
        </w:rPr>
        <w:footnoteReference w:id="15"/>
      </w:r>
      <w:r w:rsidRPr="00C65049">
        <w:rPr>
          <w:rFonts w:ascii="Arial" w:hAnsi="Arial" w:cs="Arial"/>
          <w:sz w:val="22"/>
          <w:szCs w:val="22"/>
          <w:lang w:val="es-ES_tradnl"/>
        </w:rPr>
        <w:t xml:space="preserve"> de esta Corporación se ha referido a los </w:t>
      </w:r>
      <w:r w:rsidRPr="00C65049">
        <w:rPr>
          <w:rFonts w:ascii="Arial" w:hAnsi="Arial" w:cs="Arial"/>
          <w:i/>
          <w:sz w:val="22"/>
          <w:szCs w:val="22"/>
          <w:lang w:val="es-ES_tradnl"/>
        </w:rPr>
        <w:t>“convenios interadministrativos”</w:t>
      </w:r>
      <w:r w:rsidRPr="00C65049">
        <w:rPr>
          <w:rFonts w:ascii="Arial" w:hAnsi="Arial" w:cs="Arial"/>
          <w:sz w:val="22"/>
          <w:szCs w:val="22"/>
          <w:lang w:val="es-ES_tradnl"/>
        </w:rPr>
        <w:t xml:space="preserve"> a los cuales alude el artículo 95 de la Ley 489 de 1998, calificándolos de </w:t>
      </w:r>
      <w:r w:rsidRPr="00C65049">
        <w:rPr>
          <w:rFonts w:ascii="Arial" w:hAnsi="Arial" w:cs="Arial"/>
          <w:i/>
          <w:sz w:val="22"/>
          <w:szCs w:val="22"/>
          <w:lang w:val="es-ES_tradnl"/>
        </w:rPr>
        <w:t xml:space="preserve">“puros” </w:t>
      </w:r>
      <w:r w:rsidRPr="00C65049">
        <w:rPr>
          <w:rFonts w:ascii="Arial" w:hAnsi="Arial" w:cs="Arial"/>
          <w:sz w:val="22"/>
          <w:szCs w:val="22"/>
          <w:lang w:val="es-ES_tradnl"/>
        </w:rPr>
        <w:t xml:space="preserve">y entendiendo que estos, además de perseguir la finalidad de cooperación antes indicada, no implican intereses contrapuestos ni tampoco se circunscriben a un </w:t>
      </w:r>
      <w:r w:rsidRPr="00C65049">
        <w:rPr>
          <w:rFonts w:ascii="Arial" w:hAnsi="Arial" w:cs="Arial"/>
          <w:i/>
          <w:sz w:val="22"/>
          <w:szCs w:val="22"/>
          <w:lang w:val="es-ES_tradnl"/>
        </w:rPr>
        <w:t>“intercambio patrimonial”</w:t>
      </w:r>
      <w:r w:rsidRPr="00C65049">
        <w:rPr>
          <w:rFonts w:ascii="Arial" w:hAnsi="Arial" w:cs="Arial"/>
          <w:sz w:val="22"/>
          <w:szCs w:val="22"/>
          <w:lang w:val="es-ES_tradnl"/>
        </w:rPr>
        <w:t>. Sin perjuicio de lo anterior, en otra oportunidad, la misma Sala</w:t>
      </w:r>
      <w:r w:rsidRPr="00C65049">
        <w:rPr>
          <w:rFonts w:ascii="Arial" w:hAnsi="Arial" w:cs="Arial"/>
          <w:sz w:val="22"/>
          <w:szCs w:val="22"/>
          <w:vertAlign w:val="superscript"/>
          <w:lang w:val="es-ES_tradnl"/>
        </w:rPr>
        <w:footnoteReference w:id="16"/>
      </w:r>
      <w:r w:rsidRPr="00C65049">
        <w:rPr>
          <w:rFonts w:ascii="Arial" w:hAnsi="Arial" w:cs="Arial"/>
          <w:sz w:val="22"/>
          <w:szCs w:val="22"/>
          <w:lang w:val="es-ES_tradnl"/>
        </w:rPr>
        <w:t xml:space="preserve"> había indicado que, si bien en dichos convenios no se daba un </w:t>
      </w:r>
      <w:r w:rsidRPr="00C65049">
        <w:rPr>
          <w:rFonts w:ascii="Arial" w:hAnsi="Arial" w:cs="Arial"/>
          <w:i/>
          <w:sz w:val="22"/>
          <w:szCs w:val="22"/>
          <w:lang w:val="es-ES_tradnl"/>
        </w:rPr>
        <w:t>“verdadero intercambio de bienes o servicios (contrato conmutativo)”</w:t>
      </w:r>
      <w:r w:rsidRPr="00C65049">
        <w:rPr>
          <w:rFonts w:ascii="Arial" w:hAnsi="Arial" w:cs="Arial"/>
          <w:sz w:val="22"/>
          <w:szCs w:val="22"/>
          <w:lang w:val="es-ES_tradnl"/>
        </w:rPr>
        <w:t>, ello no impedía que se conviniera una remuneración a cargo de alguna(s) entidad(es).</w:t>
      </w:r>
    </w:p>
    <w:p w14:paraId="0ECCEC80" w14:textId="77777777" w:rsidR="006559C8" w:rsidRPr="00C65049" w:rsidRDefault="006559C8" w:rsidP="006559C8">
      <w:pPr>
        <w:ind w:firstLine="708"/>
        <w:jc w:val="both"/>
        <w:rPr>
          <w:rFonts w:ascii="Arial" w:hAnsi="Arial" w:cs="Arial"/>
          <w:sz w:val="22"/>
          <w:szCs w:val="22"/>
          <w:lang w:val="es-ES_tradnl"/>
        </w:rPr>
      </w:pPr>
    </w:p>
    <w:p w14:paraId="0C286B8D" w14:textId="77777777" w:rsidR="00145763" w:rsidRPr="00C65049" w:rsidRDefault="00145763" w:rsidP="006559C8">
      <w:pPr>
        <w:ind w:firstLine="708"/>
        <w:jc w:val="both"/>
        <w:rPr>
          <w:rFonts w:ascii="Arial" w:eastAsia="MS Mincho" w:hAnsi="Arial" w:cs="Arial"/>
          <w:sz w:val="22"/>
          <w:szCs w:val="22"/>
          <w:lang w:eastAsia="es-CO"/>
        </w:rPr>
      </w:pPr>
      <w:r w:rsidRPr="00C65049">
        <w:rPr>
          <w:rFonts w:ascii="Arial" w:eastAsia="MS Mincho" w:hAnsi="Arial" w:cs="Arial"/>
          <w:sz w:val="22"/>
          <w:szCs w:val="22"/>
          <w:lang w:val="es-ES_tradnl" w:eastAsia="es-CO"/>
        </w:rPr>
        <w:t xml:space="preserve">Lo expuesto evidencia que, en general, las interpretaciones en torno a los </w:t>
      </w:r>
      <w:r w:rsidRPr="00C65049">
        <w:rPr>
          <w:rFonts w:ascii="Arial" w:eastAsia="MS Mincho" w:hAnsi="Arial" w:cs="Arial"/>
          <w:i/>
          <w:sz w:val="22"/>
          <w:szCs w:val="22"/>
          <w:lang w:val="es-ES_tradnl" w:eastAsia="es-CO"/>
        </w:rPr>
        <w:t>“convenios interadministrativos”</w:t>
      </w:r>
      <w:r w:rsidRPr="00C65049">
        <w:rPr>
          <w:rFonts w:ascii="Arial" w:eastAsia="MS Mincho" w:hAnsi="Arial" w:cs="Arial"/>
          <w:sz w:val="22"/>
          <w:szCs w:val="22"/>
          <w:lang w:val="es-ES_tradnl" w:eastAsia="es-CO"/>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C65049">
        <w:rPr>
          <w:rFonts w:ascii="Arial" w:eastAsia="MS Mincho" w:hAnsi="Arial" w:cs="Arial"/>
          <w:sz w:val="22"/>
          <w:szCs w:val="22"/>
          <w:vertAlign w:val="superscript"/>
          <w:lang w:val="es-ES_tradnl" w:eastAsia="es-CO"/>
        </w:rPr>
        <w:footnoteReference w:id="17"/>
      </w:r>
      <w:r w:rsidRPr="00C65049">
        <w:rPr>
          <w:rFonts w:ascii="Arial" w:eastAsia="MS Mincho" w:hAnsi="Arial" w:cs="Arial"/>
          <w:sz w:val="22"/>
          <w:szCs w:val="22"/>
          <w:lang w:val="es-ES_tradnl" w:eastAsia="es-CO"/>
        </w:rPr>
        <w:t xml:space="preserve"> </w:t>
      </w:r>
      <w:r w:rsidRPr="00C65049">
        <w:rPr>
          <w:rFonts w:ascii="Arial" w:eastAsia="MS Mincho" w:hAnsi="Arial" w:cs="Arial"/>
          <w:sz w:val="22"/>
          <w:szCs w:val="22"/>
          <w:vertAlign w:val="superscript"/>
          <w:lang w:val="es-ES_tradnl" w:eastAsia="es-CO"/>
        </w:rPr>
        <w:footnoteReference w:id="18"/>
      </w:r>
      <w:r w:rsidRPr="00C65049">
        <w:rPr>
          <w:rFonts w:ascii="Arial" w:eastAsia="MS Mincho" w:hAnsi="Arial" w:cs="Arial"/>
          <w:sz w:val="22"/>
          <w:szCs w:val="22"/>
          <w:lang w:val="es-ES_tradnl" w:eastAsia="es-CO"/>
        </w:rPr>
        <w:t>.</w:t>
      </w:r>
    </w:p>
    <w:p w14:paraId="05B2AF3E" w14:textId="77777777" w:rsidR="00145763" w:rsidRPr="00C65049" w:rsidRDefault="00145763" w:rsidP="00C65049">
      <w:pPr>
        <w:jc w:val="both"/>
        <w:rPr>
          <w:rFonts w:ascii="Arial" w:eastAsia="MS Mincho" w:hAnsi="Arial" w:cs="Arial"/>
          <w:sz w:val="22"/>
          <w:szCs w:val="22"/>
          <w:lang w:eastAsia="es-CO"/>
        </w:rPr>
      </w:pPr>
    </w:p>
    <w:p w14:paraId="32F9A365" w14:textId="6699A996" w:rsidR="00145763" w:rsidRDefault="00145763" w:rsidP="00C65049">
      <w:pPr>
        <w:jc w:val="both"/>
        <w:rPr>
          <w:rFonts w:ascii="Arial" w:eastAsia="MS Mincho" w:hAnsi="Arial" w:cs="Arial"/>
          <w:sz w:val="22"/>
          <w:szCs w:val="22"/>
          <w:lang w:eastAsia="es-CO"/>
        </w:rPr>
      </w:pPr>
      <w:r w:rsidRPr="00C65049">
        <w:rPr>
          <w:rFonts w:ascii="Arial" w:eastAsia="MS Mincho" w:hAnsi="Arial" w:cs="Arial"/>
          <w:sz w:val="22"/>
          <w:szCs w:val="22"/>
          <w:lang w:eastAsia="es-CO"/>
        </w:rPr>
        <w:tab/>
        <w:t>En todo caso, vale la pena reiterar que el legislador y el ordenamiento jurídico, en general, en distintas ocasiones utiliza de forma indistinta los conceptos de contrato o convenio para referirse a la misma institución jurídica</w:t>
      </w:r>
      <w:r w:rsidRPr="00C65049">
        <w:rPr>
          <w:rFonts w:ascii="Arial" w:eastAsia="MS Mincho" w:hAnsi="Arial" w:cs="Arial"/>
          <w:sz w:val="22"/>
          <w:szCs w:val="22"/>
          <w:vertAlign w:val="superscript"/>
          <w:lang w:eastAsia="es-CO"/>
        </w:rPr>
        <w:footnoteReference w:id="19"/>
      </w:r>
      <w:r w:rsidRPr="00C65049">
        <w:rPr>
          <w:rFonts w:ascii="Arial" w:eastAsia="MS Mincho" w:hAnsi="Arial" w:cs="Arial"/>
          <w:sz w:val="22"/>
          <w:szCs w:val="22"/>
          <w:lang w:eastAsia="es-CO"/>
        </w:rPr>
        <w:t xml:space="preserve">. Incluso vale la pena tener en cuenta como la Corte Constitucional fundamenta la posibilidad de celebrar convenios </w:t>
      </w:r>
      <w:r w:rsidRPr="00C65049">
        <w:rPr>
          <w:rFonts w:ascii="Arial" w:eastAsia="MS Mincho" w:hAnsi="Arial" w:cs="Arial"/>
          <w:sz w:val="22"/>
          <w:szCs w:val="22"/>
          <w:lang w:eastAsia="es-CO"/>
        </w:rPr>
        <w:lastRenderedPageBreak/>
        <w:t>interadministrativos de forma directa, con fundamento en la causal establecida en la Ley 1150 de 2007 respecto a los contratos interadministrativos</w:t>
      </w:r>
      <w:r w:rsidRPr="00C65049">
        <w:rPr>
          <w:rFonts w:ascii="Arial" w:eastAsia="MS Mincho" w:hAnsi="Arial" w:cs="Arial"/>
          <w:sz w:val="22"/>
          <w:szCs w:val="22"/>
          <w:vertAlign w:val="superscript"/>
          <w:lang w:eastAsia="es-CO"/>
        </w:rPr>
        <w:footnoteReference w:id="20"/>
      </w:r>
      <w:r w:rsidRPr="00C65049">
        <w:rPr>
          <w:rFonts w:ascii="Arial" w:eastAsia="MS Mincho" w:hAnsi="Arial" w:cs="Arial"/>
          <w:sz w:val="22"/>
          <w:szCs w:val="22"/>
          <w:lang w:eastAsia="es-CO"/>
        </w:rPr>
        <w:t>.</w:t>
      </w:r>
    </w:p>
    <w:p w14:paraId="300BDD73" w14:textId="77777777" w:rsidR="006559C8" w:rsidRPr="00C65049" w:rsidRDefault="006559C8" w:rsidP="00C65049">
      <w:pPr>
        <w:jc w:val="both"/>
        <w:rPr>
          <w:rFonts w:ascii="Arial" w:eastAsia="MS Mincho" w:hAnsi="Arial" w:cs="Arial"/>
          <w:sz w:val="22"/>
          <w:szCs w:val="22"/>
          <w:lang w:eastAsia="es-CO"/>
        </w:rPr>
      </w:pPr>
    </w:p>
    <w:p w14:paraId="2DFE2EEC" w14:textId="77777777" w:rsidR="00145763" w:rsidRPr="00C65049" w:rsidRDefault="00145763" w:rsidP="00C65049">
      <w:pPr>
        <w:jc w:val="both"/>
        <w:rPr>
          <w:rFonts w:ascii="Arial" w:eastAsia="MS Mincho" w:hAnsi="Arial" w:cs="Arial"/>
          <w:sz w:val="22"/>
          <w:szCs w:val="22"/>
          <w:lang w:eastAsia="es-CO"/>
        </w:rPr>
      </w:pPr>
      <w:r w:rsidRPr="00C65049">
        <w:rPr>
          <w:rFonts w:ascii="Arial" w:eastAsia="MS Mincho" w:hAnsi="Arial" w:cs="Arial"/>
          <w:sz w:val="22"/>
          <w:szCs w:val="22"/>
          <w:lang w:eastAsia="es-CO"/>
        </w:rPr>
        <w:tab/>
        <w:t>En desarrollo de lo anterior, es acertado destacar que la Circular Externa Única de Colombia Compra Eficiente, pese a reconocer que se han realizado algunas distinciones jurisprudenciales en torno a los contratos y convenios interadministrativos, relacionados con el alcance de las obligaciones que los caracterizan, señala que no existe una definición legal que diferencie los conceptos de convenio o de contrato. En tal sentido, de acuerdo con las consideraciones expuestas en este numeral los asimila para efectos de aplicar las disposiciones que tangencialmente se refieren a uno u otro vocablo, por ejemplo, lo que resulta bastante relevante para este concepto, para la aplicación de la Ley de Garantías. En este sentido, la Circular, refiriéndose al parágrafo del artículo 38 de la Ley 996 de 2005, expresa:</w:t>
      </w:r>
    </w:p>
    <w:p w14:paraId="0B5AF209" w14:textId="77777777" w:rsidR="00145763" w:rsidRPr="00C65049" w:rsidRDefault="00145763" w:rsidP="00C65049">
      <w:pPr>
        <w:jc w:val="both"/>
        <w:rPr>
          <w:rFonts w:ascii="Arial" w:eastAsia="MS Mincho" w:hAnsi="Arial" w:cs="Arial"/>
          <w:sz w:val="22"/>
          <w:szCs w:val="22"/>
          <w:lang w:eastAsia="es-CO"/>
        </w:rPr>
      </w:pPr>
    </w:p>
    <w:p w14:paraId="3B03FA61" w14:textId="523B4537" w:rsidR="00145763" w:rsidRDefault="00145763" w:rsidP="006559C8">
      <w:pPr>
        <w:ind w:firstLine="708"/>
        <w:jc w:val="both"/>
        <w:rPr>
          <w:rFonts w:ascii="Arial" w:hAnsi="Arial" w:cs="Arial"/>
          <w:sz w:val="22"/>
          <w:szCs w:val="22"/>
        </w:rPr>
      </w:pPr>
      <w:r w:rsidRPr="00C65049">
        <w:rPr>
          <w:rFonts w:ascii="Arial" w:hAnsi="Arial" w:cs="Arial"/>
          <w:sz w:val="22"/>
          <w:szCs w:val="22"/>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C65049">
        <w:rPr>
          <w:rFonts w:ascii="Arial" w:hAnsi="Arial" w:cs="Arial"/>
          <w:sz w:val="22"/>
          <w:szCs w:val="22"/>
        </w:rPr>
        <w:t xml:space="preserve">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w:t>
      </w:r>
    </w:p>
    <w:p w14:paraId="46DB30E9" w14:textId="77777777" w:rsidR="006559C8" w:rsidRPr="00C65049" w:rsidRDefault="006559C8" w:rsidP="006559C8">
      <w:pPr>
        <w:ind w:firstLine="708"/>
        <w:jc w:val="both"/>
        <w:rPr>
          <w:rFonts w:ascii="Arial" w:hAnsi="Arial" w:cs="Arial"/>
          <w:sz w:val="22"/>
          <w:szCs w:val="22"/>
        </w:rPr>
      </w:pPr>
    </w:p>
    <w:p w14:paraId="22A938CA" w14:textId="61F043FE" w:rsidR="00145763" w:rsidRDefault="00145763" w:rsidP="006559C8">
      <w:pPr>
        <w:ind w:firstLine="708"/>
        <w:jc w:val="both"/>
        <w:rPr>
          <w:rFonts w:ascii="Arial" w:hAnsi="Arial" w:cs="Arial"/>
          <w:sz w:val="22"/>
          <w:szCs w:val="22"/>
        </w:rPr>
      </w:pPr>
      <w:r w:rsidRPr="00C65049">
        <w:rPr>
          <w:rFonts w:ascii="Arial" w:hAnsi="Arial" w:cs="Arial"/>
          <w:sz w:val="22"/>
          <w:szCs w:val="22"/>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596D4FF2" w14:textId="77777777" w:rsidR="006559C8" w:rsidRPr="00C65049" w:rsidRDefault="006559C8" w:rsidP="006559C8">
      <w:pPr>
        <w:ind w:firstLine="708"/>
        <w:jc w:val="both"/>
        <w:rPr>
          <w:rFonts w:ascii="Arial" w:hAnsi="Arial" w:cs="Arial"/>
          <w:sz w:val="22"/>
          <w:szCs w:val="22"/>
        </w:rPr>
      </w:pPr>
    </w:p>
    <w:p w14:paraId="50F45B93" w14:textId="77777777" w:rsidR="00145763" w:rsidRPr="00C65049" w:rsidRDefault="00145763" w:rsidP="006559C8">
      <w:pPr>
        <w:ind w:firstLine="708"/>
        <w:jc w:val="both"/>
        <w:rPr>
          <w:rFonts w:ascii="Arial" w:hAnsi="Arial" w:cs="Arial"/>
          <w:sz w:val="22"/>
          <w:szCs w:val="22"/>
        </w:rPr>
      </w:pPr>
      <w:r w:rsidRPr="00C65049">
        <w:rPr>
          <w:rFonts w:ascii="Arial" w:hAnsi="Arial" w:cs="Arial"/>
          <w:sz w:val="22"/>
          <w:szCs w:val="22"/>
        </w:rPr>
        <w:t xml:space="preserve">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w:t>
      </w:r>
      <w:r w:rsidRPr="00C65049">
        <w:rPr>
          <w:rFonts w:ascii="Arial" w:hAnsi="Arial" w:cs="Arial"/>
          <w:sz w:val="22"/>
          <w:szCs w:val="22"/>
        </w:rPr>
        <w:lastRenderedPageBreak/>
        <w:t>mediante la suscripción de contratos y/o convenios, que para efectos de la Ley de Garantías tienen la misma connotación y propósito.</w:t>
      </w:r>
    </w:p>
    <w:p w14:paraId="4969E71A" w14:textId="77777777" w:rsidR="00145763" w:rsidRPr="00C65049" w:rsidRDefault="00145763" w:rsidP="00C65049">
      <w:pPr>
        <w:jc w:val="both"/>
        <w:rPr>
          <w:rFonts w:ascii="Arial" w:eastAsia="MS Mincho" w:hAnsi="Arial" w:cs="Arial"/>
          <w:sz w:val="22"/>
          <w:szCs w:val="22"/>
          <w:lang w:eastAsia="es-CO"/>
        </w:rPr>
      </w:pPr>
    </w:p>
    <w:p w14:paraId="4B6EE510" w14:textId="51A0ED9A" w:rsidR="00145763" w:rsidRDefault="00145763" w:rsidP="00C65049">
      <w:pPr>
        <w:jc w:val="both"/>
        <w:rPr>
          <w:rFonts w:ascii="Arial" w:eastAsia="MS Mincho" w:hAnsi="Arial" w:cs="Arial"/>
          <w:sz w:val="22"/>
          <w:szCs w:val="22"/>
          <w:lang w:eastAsia="es-CO"/>
        </w:rPr>
      </w:pPr>
      <w:r w:rsidRPr="00C65049">
        <w:rPr>
          <w:rFonts w:ascii="Arial" w:eastAsia="MS Mincho" w:hAnsi="Arial" w:cs="Arial"/>
          <w:sz w:val="22"/>
          <w:szCs w:val="22"/>
          <w:lang w:eastAsia="es-CO"/>
        </w:rPr>
        <w:tab/>
        <w:t>Teniendo en cuenta lo anterior, se reitera la conclusión en el sentido de que lo que define los contratos o convenios interadministrativos es la naturaleza de las partes, de manera que están determinados por un criterio orgánico, en el sentido de que lo serán aquellos celebrados entre entidades estatales. Además, como se indicó en la Circular citada, no existe una definición legal que diferencie los conceptos de contrato y convenio, por lo que se partió de su asimilación para la aplicación de la Ley de Garantías. En tal sentido, las referencias realizadas por el legislador a estos términos deben asimilarse, salvo que de su contenido se logre inferir que se le quiere otorgar un contenido en particular, pues como se expresó, el legislador utiliza estos conceptos de forma indistinta.</w:t>
      </w:r>
      <w:bookmarkEnd w:id="16"/>
    </w:p>
    <w:p w14:paraId="25C7FBFF" w14:textId="77777777" w:rsidR="006559C8" w:rsidRPr="00C65049" w:rsidRDefault="006559C8" w:rsidP="00C65049">
      <w:pPr>
        <w:jc w:val="both"/>
        <w:rPr>
          <w:rFonts w:ascii="Arial" w:eastAsia="Calibri" w:hAnsi="Arial" w:cs="Arial"/>
          <w:bCs/>
          <w:sz w:val="22"/>
          <w:szCs w:val="22"/>
          <w:lang w:eastAsia="es-CO"/>
        </w:rPr>
      </w:pPr>
    </w:p>
    <w:bookmarkEnd w:id="10"/>
    <w:p w14:paraId="50A14253" w14:textId="77777777" w:rsidR="00941415" w:rsidRDefault="00A74046" w:rsidP="00941415">
      <w:pPr>
        <w:tabs>
          <w:tab w:val="left" w:pos="426"/>
        </w:tabs>
        <w:spacing w:line="276" w:lineRule="auto"/>
        <w:jc w:val="both"/>
        <w:outlineLvl w:val="0"/>
        <w:rPr>
          <w:rFonts w:ascii="Arial" w:eastAsia="Calibri" w:hAnsi="Arial" w:cs="Arial"/>
          <w:b/>
          <w:color w:val="000000" w:themeColor="text1"/>
          <w:sz w:val="22"/>
          <w:lang w:val="es-ES_tradnl"/>
        </w:rPr>
      </w:pPr>
      <w:r w:rsidRPr="00C65049">
        <w:rPr>
          <w:rFonts w:ascii="Arial" w:hAnsi="Arial" w:cs="Arial"/>
          <w:b/>
          <w:bCs/>
          <w:sz w:val="22"/>
          <w:szCs w:val="22"/>
          <w:lang w:eastAsia="es-CO"/>
        </w:rPr>
        <w:t>2.</w:t>
      </w:r>
      <w:r w:rsidR="00145763" w:rsidRPr="00C65049">
        <w:rPr>
          <w:rFonts w:ascii="Arial" w:hAnsi="Arial" w:cs="Arial"/>
          <w:b/>
          <w:bCs/>
          <w:sz w:val="22"/>
          <w:szCs w:val="22"/>
          <w:lang w:eastAsia="es-CO"/>
        </w:rPr>
        <w:t>3</w:t>
      </w:r>
      <w:r w:rsidRPr="00C65049">
        <w:rPr>
          <w:rFonts w:ascii="Arial" w:hAnsi="Arial" w:cs="Arial"/>
          <w:b/>
          <w:bCs/>
          <w:sz w:val="22"/>
          <w:szCs w:val="22"/>
          <w:lang w:eastAsia="es-CO"/>
        </w:rPr>
        <w:t>.</w:t>
      </w:r>
      <w:r w:rsidRPr="00C65049">
        <w:rPr>
          <w:rFonts w:ascii="Arial" w:hAnsi="Arial" w:cs="Arial"/>
          <w:sz w:val="22"/>
          <w:szCs w:val="22"/>
          <w:lang w:eastAsia="es-CO"/>
        </w:rPr>
        <w:t xml:space="preserve"> </w:t>
      </w:r>
      <w:r w:rsidR="00941415">
        <w:rPr>
          <w:rFonts w:ascii="Arial" w:eastAsia="Calibri" w:hAnsi="Arial" w:cs="Arial"/>
          <w:b/>
          <w:color w:val="000000" w:themeColor="text1"/>
          <w:sz w:val="22"/>
          <w:lang w:val="es-ES_tradnl"/>
        </w:rPr>
        <w:t xml:space="preserve">Carencia actual de objeto, por sustracción de materia, en virtud de la declaratoria de </w:t>
      </w:r>
      <w:proofErr w:type="spellStart"/>
      <w:r w:rsidR="00941415">
        <w:rPr>
          <w:rFonts w:ascii="Arial" w:eastAsia="Calibri" w:hAnsi="Arial" w:cs="Arial"/>
          <w:b/>
          <w:color w:val="000000" w:themeColor="text1"/>
          <w:sz w:val="22"/>
          <w:lang w:val="es-ES_tradnl"/>
        </w:rPr>
        <w:t>inexequibilidad</w:t>
      </w:r>
      <w:proofErr w:type="spellEnd"/>
      <w:r w:rsidR="00941415">
        <w:rPr>
          <w:rFonts w:ascii="Arial" w:eastAsia="Calibri" w:hAnsi="Arial" w:cs="Arial"/>
          <w:b/>
          <w:color w:val="000000" w:themeColor="text1"/>
          <w:sz w:val="22"/>
          <w:lang w:val="es-ES_tradnl"/>
        </w:rPr>
        <w:t xml:space="preserve"> del artículo 124 de la Ley 2159 de 2021</w:t>
      </w:r>
    </w:p>
    <w:p w14:paraId="557A4FAE" w14:textId="77777777" w:rsidR="00941415" w:rsidRDefault="00941415" w:rsidP="00941415">
      <w:pPr>
        <w:tabs>
          <w:tab w:val="left" w:pos="426"/>
        </w:tabs>
        <w:spacing w:line="276" w:lineRule="auto"/>
        <w:jc w:val="both"/>
        <w:outlineLvl w:val="0"/>
        <w:rPr>
          <w:rFonts w:ascii="Arial" w:eastAsia="Calibri" w:hAnsi="Arial" w:cs="Arial"/>
          <w:b/>
          <w:color w:val="000000" w:themeColor="text1"/>
          <w:sz w:val="22"/>
          <w:lang w:val="es-ES_tradnl"/>
        </w:rPr>
      </w:pPr>
    </w:p>
    <w:p w14:paraId="504FA4C5" w14:textId="5DF5A8A0" w:rsidR="00941415" w:rsidRDefault="00941415" w:rsidP="00DB646B">
      <w:pPr>
        <w:tabs>
          <w:tab w:val="left" w:pos="426"/>
        </w:tabs>
        <w:jc w:val="both"/>
        <w:outlineLvl w:val="0"/>
        <w:rPr>
          <w:rFonts w:ascii="Arial" w:hAnsi="Arial" w:cs="Arial"/>
          <w:sz w:val="22"/>
          <w:szCs w:val="22"/>
        </w:rPr>
      </w:pPr>
      <w:r>
        <w:rPr>
          <w:rFonts w:ascii="Arial" w:eastAsia="Calibri" w:hAnsi="Arial" w:cs="Arial"/>
          <w:bCs/>
          <w:color w:val="000000" w:themeColor="text1"/>
          <w:sz w:val="22"/>
          <w:szCs w:val="22"/>
          <w:lang w:val="es-ES_tradnl"/>
        </w:rPr>
        <w:tab/>
        <w:t>M</w:t>
      </w:r>
      <w:r w:rsidRPr="00B006F9">
        <w:rPr>
          <w:rFonts w:ascii="Arial" w:eastAsia="Calibri" w:hAnsi="Arial" w:cs="Arial"/>
          <w:bCs/>
          <w:color w:val="000000" w:themeColor="text1"/>
          <w:sz w:val="22"/>
          <w:szCs w:val="22"/>
          <w:lang w:val="es-ES_tradnl"/>
        </w:rPr>
        <w:t xml:space="preserve">ediante </w:t>
      </w:r>
      <w:r>
        <w:rPr>
          <w:rFonts w:ascii="Arial" w:eastAsia="Calibri" w:hAnsi="Arial" w:cs="Arial"/>
          <w:bCs/>
          <w:color w:val="000000" w:themeColor="text1"/>
          <w:sz w:val="22"/>
          <w:szCs w:val="22"/>
          <w:lang w:val="es-ES_tradnl"/>
        </w:rPr>
        <w:t>c</w:t>
      </w:r>
      <w:r w:rsidRPr="00B006F9">
        <w:rPr>
          <w:rFonts w:ascii="Arial" w:eastAsia="Calibri" w:hAnsi="Arial" w:cs="Arial"/>
          <w:bCs/>
          <w:color w:val="000000" w:themeColor="text1"/>
          <w:sz w:val="22"/>
          <w:szCs w:val="22"/>
          <w:lang w:val="es-ES_tradnl"/>
        </w:rPr>
        <w:t>omunicado No. 14 del 5 de mayo de 2022</w:t>
      </w:r>
      <w:r>
        <w:rPr>
          <w:rStyle w:val="Refdenotaalpie"/>
          <w:rFonts w:ascii="Arial" w:eastAsia="Calibri" w:hAnsi="Arial" w:cs="Arial"/>
          <w:bCs/>
          <w:color w:val="000000" w:themeColor="text1"/>
          <w:sz w:val="22"/>
          <w:szCs w:val="22"/>
          <w:lang w:val="es-ES_tradnl"/>
        </w:rPr>
        <w:footnoteReference w:id="21"/>
      </w:r>
      <w:r>
        <w:rPr>
          <w:rFonts w:ascii="Arial" w:eastAsia="Calibri" w:hAnsi="Arial" w:cs="Arial"/>
          <w:bCs/>
          <w:color w:val="000000" w:themeColor="text1"/>
          <w:sz w:val="22"/>
          <w:szCs w:val="22"/>
          <w:lang w:val="es-ES_tradnl"/>
        </w:rPr>
        <w:t xml:space="preserve"> l</w:t>
      </w:r>
      <w:r w:rsidRPr="00B006F9">
        <w:rPr>
          <w:rFonts w:ascii="Arial" w:eastAsia="Calibri" w:hAnsi="Arial" w:cs="Arial"/>
          <w:bCs/>
          <w:color w:val="000000" w:themeColor="text1"/>
          <w:sz w:val="22"/>
          <w:szCs w:val="22"/>
          <w:lang w:val="es-ES_tradnl"/>
        </w:rPr>
        <w:t>a Corte Constitucional</w:t>
      </w:r>
      <w:r>
        <w:rPr>
          <w:rFonts w:ascii="Arial" w:eastAsia="Calibri" w:hAnsi="Arial" w:cs="Arial"/>
          <w:bCs/>
          <w:color w:val="000000" w:themeColor="text1"/>
          <w:sz w:val="22"/>
          <w:szCs w:val="22"/>
          <w:lang w:val="es-ES_tradnl"/>
        </w:rPr>
        <w:t xml:space="preserve"> </w:t>
      </w:r>
      <w:r w:rsidRPr="00B006F9">
        <w:rPr>
          <w:rFonts w:ascii="Arial" w:eastAsia="Calibri" w:hAnsi="Arial" w:cs="Arial"/>
          <w:bCs/>
          <w:color w:val="000000" w:themeColor="text1"/>
          <w:sz w:val="22"/>
          <w:szCs w:val="22"/>
          <w:lang w:val="es-ES_tradnl"/>
        </w:rPr>
        <w:t>dio a conocer la decisión tomada</w:t>
      </w:r>
      <w:r>
        <w:rPr>
          <w:rFonts w:ascii="Arial" w:eastAsia="Calibri" w:hAnsi="Arial" w:cs="Arial"/>
          <w:bCs/>
          <w:color w:val="000000" w:themeColor="text1"/>
          <w:sz w:val="22"/>
          <w:szCs w:val="22"/>
          <w:lang w:val="es-ES_tradnl"/>
        </w:rPr>
        <w:t xml:space="preserve"> por su Sala Plena </w:t>
      </w:r>
      <w:r w:rsidRPr="00B006F9">
        <w:rPr>
          <w:rFonts w:ascii="Arial" w:eastAsia="Calibri" w:hAnsi="Arial" w:cs="Arial"/>
          <w:bCs/>
          <w:color w:val="000000" w:themeColor="text1"/>
          <w:sz w:val="22"/>
          <w:szCs w:val="22"/>
          <w:lang w:val="es-ES_tradnl"/>
        </w:rPr>
        <w:t xml:space="preserve">en la </w:t>
      </w:r>
      <w:r>
        <w:rPr>
          <w:rFonts w:ascii="Arial" w:eastAsia="Calibri" w:hAnsi="Arial" w:cs="Arial"/>
          <w:bCs/>
          <w:color w:val="000000" w:themeColor="text1"/>
          <w:sz w:val="22"/>
          <w:szCs w:val="22"/>
          <w:lang w:val="es-ES_tradnl"/>
        </w:rPr>
        <w:t>S</w:t>
      </w:r>
      <w:r w:rsidRPr="00B006F9">
        <w:rPr>
          <w:rFonts w:ascii="Arial" w:eastAsia="Calibri" w:hAnsi="Arial" w:cs="Arial"/>
          <w:bCs/>
          <w:color w:val="000000" w:themeColor="text1"/>
          <w:sz w:val="22"/>
          <w:szCs w:val="22"/>
          <w:lang w:val="es-ES_tradnl"/>
        </w:rPr>
        <w:t>entencia C-153 de 2022</w:t>
      </w:r>
      <w:r>
        <w:rPr>
          <w:rFonts w:ascii="Arial" w:eastAsia="Calibri" w:hAnsi="Arial" w:cs="Arial"/>
          <w:bCs/>
          <w:color w:val="000000" w:themeColor="text1"/>
          <w:sz w:val="22"/>
          <w:szCs w:val="22"/>
          <w:lang w:val="es-ES_tradnl"/>
        </w:rPr>
        <w:t>,</w:t>
      </w:r>
      <w:r w:rsidRPr="00B006F9">
        <w:rPr>
          <w:rFonts w:ascii="Arial" w:eastAsia="Calibri" w:hAnsi="Arial" w:cs="Arial"/>
          <w:bCs/>
          <w:color w:val="000000" w:themeColor="text1"/>
          <w:sz w:val="22"/>
          <w:szCs w:val="22"/>
          <w:lang w:val="es-ES_tradnl"/>
        </w:rPr>
        <w:t xml:space="preserve"> en </w:t>
      </w:r>
      <w:r>
        <w:rPr>
          <w:rFonts w:ascii="Arial" w:eastAsia="Calibri" w:hAnsi="Arial" w:cs="Arial"/>
          <w:bCs/>
          <w:color w:val="000000" w:themeColor="text1"/>
          <w:sz w:val="22"/>
          <w:szCs w:val="22"/>
          <w:lang w:val="es-ES_tradnl"/>
        </w:rPr>
        <w:t>el sentido de</w:t>
      </w:r>
      <w:r w:rsidRPr="00B006F9">
        <w:rPr>
          <w:rFonts w:ascii="Arial" w:eastAsia="Calibri" w:hAnsi="Arial" w:cs="Arial"/>
          <w:bCs/>
          <w:color w:val="000000" w:themeColor="text1"/>
          <w:sz w:val="22"/>
          <w:szCs w:val="22"/>
          <w:lang w:val="es-ES_tradnl"/>
        </w:rPr>
        <w:t xml:space="preserve"> declara</w:t>
      </w:r>
      <w:r>
        <w:rPr>
          <w:rFonts w:ascii="Arial" w:eastAsia="Calibri" w:hAnsi="Arial" w:cs="Arial"/>
          <w:bCs/>
          <w:color w:val="000000" w:themeColor="text1"/>
          <w:sz w:val="22"/>
          <w:szCs w:val="22"/>
          <w:lang w:val="es-ES_tradnl"/>
        </w:rPr>
        <w:t>r</w:t>
      </w:r>
      <w:r w:rsidRPr="00B006F9">
        <w:rPr>
          <w:rFonts w:ascii="Arial" w:eastAsia="Calibri" w:hAnsi="Arial" w:cs="Arial"/>
          <w:bCs/>
          <w:color w:val="000000" w:themeColor="text1"/>
          <w:sz w:val="22"/>
          <w:szCs w:val="22"/>
          <w:lang w:val="es-ES_tradnl"/>
        </w:rPr>
        <w:t xml:space="preserve"> la </w:t>
      </w:r>
      <w:proofErr w:type="spellStart"/>
      <w:r w:rsidRPr="00B006F9">
        <w:rPr>
          <w:rFonts w:ascii="Arial" w:eastAsia="Calibri" w:hAnsi="Arial" w:cs="Arial"/>
          <w:bCs/>
          <w:color w:val="000000" w:themeColor="text1"/>
          <w:sz w:val="22"/>
          <w:szCs w:val="22"/>
          <w:lang w:val="es-ES_tradnl"/>
        </w:rPr>
        <w:t>inexequibilidad</w:t>
      </w:r>
      <w:proofErr w:type="spellEnd"/>
      <w:r w:rsidRPr="00B006F9">
        <w:rPr>
          <w:rFonts w:ascii="Arial" w:eastAsia="Calibri" w:hAnsi="Arial" w:cs="Arial"/>
          <w:bCs/>
          <w:color w:val="000000" w:themeColor="text1"/>
          <w:sz w:val="22"/>
          <w:szCs w:val="22"/>
          <w:lang w:val="es-ES_tradnl"/>
        </w:rPr>
        <w:t xml:space="preserve"> del </w:t>
      </w:r>
      <w:r w:rsidRPr="00B006F9">
        <w:rPr>
          <w:rFonts w:ascii="Arial" w:hAnsi="Arial" w:cs="Arial"/>
          <w:sz w:val="22"/>
          <w:szCs w:val="22"/>
        </w:rPr>
        <w:t>artículo</w:t>
      </w:r>
      <w:r>
        <w:rPr>
          <w:rFonts w:ascii="Arial" w:hAnsi="Arial" w:cs="Arial"/>
          <w:sz w:val="22"/>
          <w:szCs w:val="22"/>
        </w:rPr>
        <w:t xml:space="preserve"> </w:t>
      </w:r>
      <w:r w:rsidRPr="00B006F9">
        <w:rPr>
          <w:rFonts w:ascii="Arial" w:hAnsi="Arial" w:cs="Arial"/>
          <w:sz w:val="22"/>
          <w:szCs w:val="22"/>
        </w:rPr>
        <w:t>124 de la Ley 2159 de 2021 «[p]</w:t>
      </w:r>
      <w:proofErr w:type="spellStart"/>
      <w:r w:rsidRPr="00B006F9">
        <w:rPr>
          <w:rFonts w:ascii="Arial" w:hAnsi="Arial" w:cs="Arial"/>
          <w:sz w:val="22"/>
          <w:szCs w:val="22"/>
        </w:rPr>
        <w:t>or</w:t>
      </w:r>
      <w:proofErr w:type="spellEnd"/>
      <w:r w:rsidRPr="00B006F9">
        <w:rPr>
          <w:rFonts w:ascii="Arial" w:hAnsi="Arial" w:cs="Arial"/>
          <w:sz w:val="22"/>
          <w:szCs w:val="22"/>
        </w:rPr>
        <w:t xml:space="preserve"> la cual se decreta el presupuesto de rentas y recursos de capital y ley de apropiaciones para la vigencia fiscal del 1º de enero al 31 de diciembre de 2022</w:t>
      </w:r>
      <w:r>
        <w:rPr>
          <w:rFonts w:ascii="Arial" w:hAnsi="Arial" w:cs="Arial"/>
          <w:sz w:val="22"/>
          <w:szCs w:val="22"/>
        </w:rPr>
        <w:t xml:space="preserve">», </w:t>
      </w:r>
      <w:r>
        <w:rPr>
          <w:rFonts w:ascii="Arial" w:eastAsia="Calibri" w:hAnsi="Arial" w:cs="Arial"/>
          <w:bCs/>
          <w:color w:val="000000" w:themeColor="text1"/>
          <w:sz w:val="22"/>
          <w:szCs w:val="22"/>
          <w:lang w:val="es-ES_tradnl"/>
        </w:rPr>
        <w:t>con efectos retroactivos, a partir de su expedición</w:t>
      </w:r>
      <w:r>
        <w:rPr>
          <w:rFonts w:ascii="Arial" w:hAnsi="Arial" w:cs="Arial"/>
          <w:sz w:val="22"/>
          <w:szCs w:val="22"/>
        </w:rPr>
        <w:t xml:space="preserve">. Sin perjuicio de la posterior publicación del cuerpo de la providencia, el referido comunicado desarrolla algunas ordenes en relación con los convenios interadministrativos y contratos estatales que se hayan tramitado, celebrado y/o ejecutado con sustento en dicha norma, las cuales comienzan a surtir efectos desde la publicación del comunicado, según ordenó el Alto Tribunal.  </w:t>
      </w:r>
    </w:p>
    <w:p w14:paraId="3452F118" w14:textId="77777777" w:rsidR="00DB646B" w:rsidRDefault="00DB646B" w:rsidP="00DB646B">
      <w:pPr>
        <w:tabs>
          <w:tab w:val="left" w:pos="426"/>
        </w:tabs>
        <w:jc w:val="both"/>
        <w:outlineLvl w:val="0"/>
        <w:rPr>
          <w:rFonts w:ascii="Arial" w:eastAsia="Calibri" w:hAnsi="Arial" w:cs="Arial"/>
          <w:bCs/>
          <w:color w:val="000000" w:themeColor="text1"/>
          <w:sz w:val="22"/>
          <w:lang w:val="es-ES_tradnl"/>
        </w:rPr>
      </w:pPr>
    </w:p>
    <w:p w14:paraId="012241FB" w14:textId="77777777" w:rsidR="00DB646B" w:rsidRDefault="00941415" w:rsidP="20B61737">
      <w:pPr>
        <w:tabs>
          <w:tab w:val="left" w:pos="709"/>
        </w:tabs>
        <w:jc w:val="both"/>
        <w:rPr>
          <w:rFonts w:ascii="Arial" w:eastAsia="Calibri" w:hAnsi="Arial" w:cs="Arial"/>
          <w:color w:val="000000" w:themeColor="text1"/>
          <w:sz w:val="22"/>
          <w:szCs w:val="22"/>
          <w:lang w:val="es-ES"/>
        </w:rPr>
      </w:pPr>
      <w:r>
        <w:rPr>
          <w:rFonts w:ascii="Arial" w:eastAsia="Calibri" w:hAnsi="Arial" w:cs="Arial"/>
          <w:bCs/>
          <w:color w:val="000000" w:themeColor="text1"/>
          <w:sz w:val="22"/>
          <w:lang w:val="es-ES_tradnl"/>
        </w:rPr>
        <w:tab/>
      </w:r>
      <w:r w:rsidRPr="20B61737">
        <w:rPr>
          <w:rFonts w:ascii="Arial" w:eastAsia="Calibri" w:hAnsi="Arial" w:cs="Arial"/>
          <w:color w:val="000000" w:themeColor="text1"/>
          <w:sz w:val="22"/>
          <w:szCs w:val="22"/>
          <w:lang w:val="es-ES"/>
        </w:rPr>
        <w:t xml:space="preserve">Al declararse inexequible el artículo 124 de la Ley 2159 de 2021 por parte de la Corte Constitucional, la Agencia Nacional de Contratación Pública – Colombia Compra Eficiente carece de objeto para pronunciarse sobre este precepto normativo, en ejercicio de su función consultiva, por </w:t>
      </w:r>
      <w:r w:rsidRPr="20B61737">
        <w:rPr>
          <w:rFonts w:ascii="Arial" w:eastAsia="Calibri" w:hAnsi="Arial" w:cs="Arial"/>
          <w:i/>
          <w:iCs/>
          <w:color w:val="000000" w:themeColor="text1"/>
          <w:sz w:val="22"/>
          <w:szCs w:val="22"/>
          <w:lang w:val="es-ES"/>
        </w:rPr>
        <w:t>sustracción de materia</w:t>
      </w:r>
      <w:r w:rsidRPr="20B61737">
        <w:rPr>
          <w:rStyle w:val="Refdenotaalpie"/>
          <w:rFonts w:ascii="Arial" w:eastAsia="Calibri" w:hAnsi="Arial" w:cs="Arial"/>
          <w:color w:val="000000" w:themeColor="text1"/>
          <w:sz w:val="22"/>
          <w:szCs w:val="22"/>
          <w:lang w:val="es-ES"/>
        </w:rPr>
        <w:footnoteReference w:id="22"/>
      </w:r>
      <w:r w:rsidRPr="20B61737">
        <w:rPr>
          <w:rFonts w:ascii="Arial" w:eastAsia="Calibri" w:hAnsi="Arial" w:cs="Arial"/>
          <w:color w:val="000000" w:themeColor="text1"/>
          <w:sz w:val="22"/>
          <w:szCs w:val="22"/>
          <w:lang w:val="es-ES"/>
        </w:rPr>
        <w:t xml:space="preserve">. En efecto, tal como se señala en el referido comunicado, el artículo 45 de la Ley 270 de 1996 establece que «Las sentencias que profiera la Corte Constitucional sobre los actos sujetos a su control en los términos del artículo 241 de la Constitución Política, tienen efectos hacia el futuro a menos que la Corte resuelva lo contrario». En otras palabras, cuando una norma es declarada inconstitucional queda expulsada del ordenamiento jurídico hacia el futuro, a menos que la Corte </w:t>
      </w:r>
      <w:r w:rsidRPr="20B61737">
        <w:rPr>
          <w:rFonts w:ascii="Arial" w:eastAsia="Calibri" w:hAnsi="Arial" w:cs="Arial"/>
          <w:color w:val="000000" w:themeColor="text1"/>
          <w:sz w:val="22"/>
          <w:szCs w:val="22"/>
          <w:lang w:val="es-ES"/>
        </w:rPr>
        <w:lastRenderedPageBreak/>
        <w:t>Constitucional module temporalmente los efectos de su fallo</w:t>
      </w:r>
      <w:r w:rsidRPr="20B61737">
        <w:rPr>
          <w:rStyle w:val="Refdenotaalpie"/>
          <w:rFonts w:ascii="Arial" w:eastAsia="Calibri" w:hAnsi="Arial" w:cs="Arial"/>
          <w:color w:val="000000" w:themeColor="text1"/>
          <w:sz w:val="22"/>
          <w:szCs w:val="22"/>
          <w:lang w:val="es-ES"/>
        </w:rPr>
        <w:footnoteReference w:id="23"/>
      </w:r>
      <w:r w:rsidRPr="20B61737">
        <w:rPr>
          <w:rFonts w:ascii="Arial" w:eastAsia="Calibri" w:hAnsi="Arial" w:cs="Arial"/>
          <w:color w:val="000000" w:themeColor="text1"/>
          <w:sz w:val="22"/>
          <w:szCs w:val="22"/>
          <w:lang w:val="es-ES"/>
        </w:rPr>
        <w:t xml:space="preserve">. En ese sentido, a pesar de que la regla general es que la </w:t>
      </w:r>
      <w:proofErr w:type="spellStart"/>
      <w:r w:rsidRPr="20B61737">
        <w:rPr>
          <w:rFonts w:ascii="Arial" w:eastAsia="Calibri" w:hAnsi="Arial" w:cs="Arial"/>
          <w:color w:val="000000" w:themeColor="text1"/>
          <w:sz w:val="22"/>
          <w:szCs w:val="22"/>
          <w:lang w:val="es-ES"/>
        </w:rPr>
        <w:t>inexequibilidad</w:t>
      </w:r>
      <w:proofErr w:type="spellEnd"/>
      <w:r w:rsidRPr="20B61737">
        <w:rPr>
          <w:rFonts w:ascii="Arial" w:eastAsia="Calibri" w:hAnsi="Arial" w:cs="Arial"/>
          <w:color w:val="000000" w:themeColor="text1"/>
          <w:sz w:val="22"/>
          <w:szCs w:val="22"/>
          <w:lang w:val="es-ES"/>
        </w:rPr>
        <w:t xml:space="preserve"> de las normas produzca su pérdida de vigencia con efectos hacia el futuro –</w:t>
      </w:r>
      <w:r w:rsidRPr="20B61737">
        <w:rPr>
          <w:rFonts w:ascii="Arial" w:eastAsia="Calibri" w:hAnsi="Arial" w:cs="Arial"/>
          <w:i/>
          <w:iCs/>
          <w:color w:val="000000" w:themeColor="text1"/>
          <w:sz w:val="22"/>
          <w:szCs w:val="22"/>
          <w:lang w:val="es-ES"/>
        </w:rPr>
        <w:t>ex nunc</w:t>
      </w:r>
      <w:r w:rsidRPr="20B61737">
        <w:rPr>
          <w:rFonts w:ascii="Arial" w:eastAsia="Calibri" w:hAnsi="Arial" w:cs="Arial"/>
          <w:color w:val="000000" w:themeColor="text1"/>
          <w:sz w:val="22"/>
          <w:szCs w:val="22"/>
          <w:lang w:val="es-ES"/>
        </w:rPr>
        <w:t>–, el alto tribunal constitucional se encuentra facultado para modular los efectos de sus decisiones, lo cual implica la posibilidad de emitir fallos con efectos retroactivos –</w:t>
      </w:r>
      <w:r w:rsidRPr="20B61737">
        <w:rPr>
          <w:rFonts w:ascii="Arial" w:eastAsia="Calibri" w:hAnsi="Arial" w:cs="Arial"/>
          <w:i/>
          <w:iCs/>
          <w:color w:val="000000" w:themeColor="text1"/>
          <w:sz w:val="22"/>
          <w:szCs w:val="22"/>
          <w:lang w:val="es-ES"/>
        </w:rPr>
        <w:t xml:space="preserve">ex </w:t>
      </w:r>
      <w:proofErr w:type="spellStart"/>
      <w:r w:rsidRPr="20B61737">
        <w:rPr>
          <w:rFonts w:ascii="Arial" w:eastAsia="Calibri" w:hAnsi="Arial" w:cs="Arial"/>
          <w:i/>
          <w:iCs/>
          <w:color w:val="000000" w:themeColor="text1"/>
          <w:sz w:val="22"/>
          <w:szCs w:val="22"/>
          <w:lang w:val="es-ES"/>
        </w:rPr>
        <w:t>tunc</w:t>
      </w:r>
      <w:proofErr w:type="spellEnd"/>
      <w:r w:rsidRPr="20B61737">
        <w:rPr>
          <w:rStyle w:val="Refdenotaalpie"/>
          <w:rFonts w:ascii="Arial" w:eastAsia="Calibri" w:hAnsi="Arial" w:cs="Arial"/>
          <w:i/>
          <w:iCs/>
          <w:color w:val="000000" w:themeColor="text1"/>
          <w:sz w:val="22"/>
          <w:szCs w:val="22"/>
          <w:lang w:val="es-ES"/>
        </w:rPr>
        <w:footnoteReference w:id="24"/>
      </w:r>
      <w:r w:rsidRPr="20B61737">
        <w:rPr>
          <w:rFonts w:ascii="Arial" w:eastAsia="Calibri" w:hAnsi="Arial" w:cs="Arial"/>
          <w:color w:val="000000" w:themeColor="text1"/>
          <w:sz w:val="22"/>
          <w:szCs w:val="22"/>
          <w:lang w:val="es-ES"/>
        </w:rPr>
        <w:t xml:space="preserve">–, tal como es el caso de la decisión tomada en la Sentencia C-123 de 2022, respecto del artículo 124 de la Ley 2159 de 2021.  </w:t>
      </w:r>
    </w:p>
    <w:p w14:paraId="1A70FC40" w14:textId="6CF7FFEE" w:rsidR="00941415" w:rsidRDefault="00941415" w:rsidP="00DB646B">
      <w:pPr>
        <w:tabs>
          <w:tab w:val="left" w:pos="709"/>
        </w:tabs>
        <w:jc w:val="both"/>
        <w:rPr>
          <w:rFonts w:ascii="Arial" w:eastAsia="Calibri" w:hAnsi="Arial" w:cs="Arial"/>
          <w:bCs/>
          <w:color w:val="000000" w:themeColor="text1"/>
          <w:sz w:val="22"/>
          <w:lang w:val="es-ES_tradnl"/>
        </w:rPr>
      </w:pPr>
      <w:r>
        <w:rPr>
          <w:rFonts w:ascii="Arial" w:eastAsia="Calibri" w:hAnsi="Arial" w:cs="Arial"/>
          <w:bCs/>
          <w:color w:val="000000" w:themeColor="text1"/>
          <w:sz w:val="22"/>
          <w:lang w:val="es-ES_tradnl"/>
        </w:rPr>
        <w:t xml:space="preserve">     </w:t>
      </w:r>
    </w:p>
    <w:p w14:paraId="7B89DF30" w14:textId="1A49D8AF" w:rsidR="00941415" w:rsidRDefault="00941415" w:rsidP="20B61737">
      <w:pPr>
        <w:jc w:val="both"/>
        <w:rPr>
          <w:rFonts w:ascii="Arial" w:eastAsia="Calibri" w:hAnsi="Arial" w:cs="Arial"/>
          <w:color w:val="000000" w:themeColor="text1"/>
          <w:sz w:val="22"/>
          <w:szCs w:val="22"/>
          <w:lang w:val="es-ES"/>
        </w:rPr>
      </w:pPr>
      <w:r>
        <w:rPr>
          <w:rFonts w:ascii="Arial" w:eastAsia="Calibri" w:hAnsi="Arial" w:cs="Arial"/>
          <w:bCs/>
          <w:color w:val="000000" w:themeColor="text1"/>
          <w:sz w:val="22"/>
          <w:lang w:val="es-ES_tradnl"/>
        </w:rPr>
        <w:tab/>
      </w:r>
      <w:r w:rsidRPr="20B61737">
        <w:rPr>
          <w:rFonts w:ascii="Arial" w:eastAsia="Calibri" w:hAnsi="Arial" w:cs="Arial"/>
          <w:color w:val="000000" w:themeColor="text1"/>
          <w:sz w:val="22"/>
          <w:szCs w:val="22"/>
          <w:lang w:val="es-ES"/>
        </w:rPr>
        <w:t xml:space="preserve">Con todo, el principal efecto de la </w:t>
      </w:r>
      <w:proofErr w:type="spellStart"/>
      <w:r w:rsidRPr="20B61737">
        <w:rPr>
          <w:rFonts w:ascii="Arial" w:eastAsia="Calibri" w:hAnsi="Arial" w:cs="Arial"/>
          <w:color w:val="000000" w:themeColor="text1"/>
          <w:sz w:val="22"/>
          <w:szCs w:val="22"/>
          <w:lang w:val="es-ES"/>
        </w:rPr>
        <w:t>inexequibilidad</w:t>
      </w:r>
      <w:proofErr w:type="spellEnd"/>
      <w:r w:rsidRPr="20B61737">
        <w:rPr>
          <w:rFonts w:ascii="Arial" w:eastAsia="Calibri" w:hAnsi="Arial" w:cs="Arial"/>
          <w:color w:val="000000" w:themeColor="text1"/>
          <w:sz w:val="22"/>
          <w:szCs w:val="22"/>
          <w:lang w:val="es-ES"/>
        </w:rPr>
        <w:t xml:space="preserve"> es la perdida de vigencia de la norma, por ello se afirma que el tribunal constitucional se comporta como una especie de «legislador negativo». </w:t>
      </w:r>
      <w:r w:rsidRPr="20B61737">
        <w:rPr>
          <w:rFonts w:ascii="Arial" w:eastAsia="Calibri" w:hAnsi="Arial" w:cs="Arial"/>
          <w:sz w:val="22"/>
          <w:szCs w:val="22"/>
          <w:lang w:val="es-ES"/>
        </w:rPr>
        <w:t xml:space="preserve">En consecuencia, </w:t>
      </w:r>
      <w:r w:rsidRPr="20B61737">
        <w:rPr>
          <w:rFonts w:ascii="Arial" w:eastAsia="Calibri" w:hAnsi="Arial" w:cs="Arial"/>
          <w:color w:val="000000" w:themeColor="text1"/>
          <w:sz w:val="22"/>
          <w:szCs w:val="22"/>
          <w:lang w:val="es-ES"/>
        </w:rPr>
        <w:t xml:space="preserve">las normas declaradas inexequibles no pueden ser interpretadas, </w:t>
      </w:r>
      <w:r w:rsidRPr="20B61737">
        <w:rPr>
          <w:rFonts w:ascii="Arial" w:eastAsia="Calibri" w:hAnsi="Arial" w:cs="Arial"/>
          <w:i/>
          <w:iCs/>
          <w:color w:val="000000" w:themeColor="text1"/>
          <w:sz w:val="22"/>
          <w:szCs w:val="22"/>
          <w:lang w:val="es-ES"/>
        </w:rPr>
        <w:t>en ejercicio de su función consultiva</w:t>
      </w:r>
      <w:r w:rsidRPr="20B61737">
        <w:rPr>
          <w:rFonts w:ascii="Arial" w:eastAsia="Calibri" w:hAnsi="Arial" w:cs="Arial"/>
          <w:color w:val="000000" w:themeColor="text1"/>
          <w:sz w:val="22"/>
          <w:szCs w:val="22"/>
          <w:lang w:val="es-ES"/>
        </w:rPr>
        <w:t xml:space="preserve">, por parte de la Agencia Nacional de Contratación Pública – Colombia Compra Eficiente. Lo anterior en la medida en que el Decreto-Ley 4170 de 2011 le asigna a esta entidad competencia para resolver consultas sobre normas que sean </w:t>
      </w:r>
      <w:r w:rsidRPr="20B61737">
        <w:rPr>
          <w:rFonts w:ascii="Arial" w:eastAsia="Calibri" w:hAnsi="Arial" w:cs="Arial"/>
          <w:i/>
          <w:iCs/>
          <w:color w:val="000000" w:themeColor="text1"/>
          <w:sz w:val="22"/>
          <w:szCs w:val="22"/>
          <w:lang w:val="es-ES"/>
        </w:rPr>
        <w:t>aplicables</w:t>
      </w:r>
      <w:r w:rsidRPr="20B61737">
        <w:rPr>
          <w:rFonts w:ascii="Arial" w:eastAsia="Calibri" w:hAnsi="Arial" w:cs="Arial"/>
          <w:color w:val="000000" w:themeColor="text1"/>
          <w:sz w:val="22"/>
          <w:szCs w:val="22"/>
          <w:lang w:val="es-ES"/>
        </w:rPr>
        <w:t xml:space="preserve">, es decir, que se encuentren vigentes –lo que no sucede </w:t>
      </w:r>
      <w:r w:rsidRPr="20B61737">
        <w:rPr>
          <w:rFonts w:ascii="Arial" w:eastAsia="Calibri" w:hAnsi="Arial" w:cs="Arial"/>
          <w:color w:val="000000" w:themeColor="text1"/>
          <w:sz w:val="22"/>
          <w:szCs w:val="22"/>
          <w:lang w:val="es-ES"/>
        </w:rPr>
        <w:lastRenderedPageBreak/>
        <w:t xml:space="preserve">con los enunciados normativos que han salido del ordenamiento jurídico, por ser inconstitucionales–. Así se desprende del artículo 3, numeral 5, del referido cuerpo normativo, el cual dispone que una de las funciones de la Agencia es «Absolver consultas sobre la </w:t>
      </w:r>
      <w:r w:rsidRPr="20B61737">
        <w:rPr>
          <w:rFonts w:ascii="Arial" w:eastAsia="Calibri" w:hAnsi="Arial" w:cs="Arial"/>
          <w:i/>
          <w:iCs/>
          <w:color w:val="000000" w:themeColor="text1"/>
          <w:sz w:val="22"/>
          <w:szCs w:val="22"/>
          <w:lang w:val="es-ES"/>
        </w:rPr>
        <w:t>aplicación</w:t>
      </w:r>
      <w:r w:rsidRPr="20B61737">
        <w:rPr>
          <w:rFonts w:ascii="Arial" w:eastAsia="Calibri" w:hAnsi="Arial" w:cs="Arial"/>
          <w:color w:val="000000" w:themeColor="text1"/>
          <w:sz w:val="22"/>
          <w:szCs w:val="22"/>
          <w:lang w:val="es-ES"/>
        </w:rPr>
        <w:t xml:space="preserve"> de normas de carácter general […]» (énfasis fuera de texto); función que se reproduce textualmente en el artículo 11, numeral 8 del mismo Decreto-Ley. Una norma que ha sido declarada inexequible no es </w:t>
      </w:r>
      <w:r w:rsidRPr="20B61737">
        <w:rPr>
          <w:rFonts w:ascii="Arial" w:eastAsia="Calibri" w:hAnsi="Arial" w:cs="Arial"/>
          <w:i/>
          <w:iCs/>
          <w:color w:val="000000" w:themeColor="text1"/>
          <w:sz w:val="22"/>
          <w:szCs w:val="22"/>
          <w:lang w:val="es-ES"/>
        </w:rPr>
        <w:t>aplicable</w:t>
      </w:r>
      <w:r w:rsidRPr="20B61737">
        <w:rPr>
          <w:rFonts w:ascii="Arial" w:eastAsia="Calibri" w:hAnsi="Arial" w:cs="Arial"/>
          <w:color w:val="000000" w:themeColor="text1"/>
          <w:sz w:val="22"/>
          <w:szCs w:val="22"/>
          <w:lang w:val="es-ES"/>
        </w:rPr>
        <w:t xml:space="preserve"> por inexistente; por lo tanto, la Agencia no puede emitir conceptos sobre la misma. </w:t>
      </w:r>
    </w:p>
    <w:p w14:paraId="1E0A6248" w14:textId="77777777" w:rsidR="00DB646B" w:rsidRDefault="00DB646B" w:rsidP="00DB646B">
      <w:pPr>
        <w:jc w:val="both"/>
        <w:rPr>
          <w:rFonts w:ascii="Arial" w:eastAsia="Calibri" w:hAnsi="Arial" w:cs="Arial"/>
          <w:bCs/>
          <w:color w:val="000000" w:themeColor="text1"/>
          <w:sz w:val="22"/>
          <w:szCs w:val="22"/>
          <w:lang w:val="es-ES_tradnl"/>
        </w:rPr>
      </w:pPr>
    </w:p>
    <w:p w14:paraId="734440A0" w14:textId="0F6925AF" w:rsidR="00941415" w:rsidRDefault="00941415" w:rsidP="00DB646B">
      <w:pPr>
        <w:ind w:firstLine="708"/>
        <w:jc w:val="both"/>
        <w:rPr>
          <w:rFonts w:ascii="Arial" w:eastAsia="Calibri" w:hAnsi="Arial" w:cs="Arial"/>
          <w:bCs/>
          <w:color w:val="000000" w:themeColor="text1"/>
          <w:sz w:val="22"/>
          <w:szCs w:val="22"/>
          <w:lang w:val="es-ES_tradnl"/>
        </w:rPr>
      </w:pPr>
      <w:r w:rsidRPr="006322AB">
        <w:rPr>
          <w:rFonts w:ascii="Arial" w:eastAsia="Calibri" w:hAnsi="Arial" w:cs="Arial"/>
          <w:bCs/>
          <w:color w:val="000000" w:themeColor="text1"/>
          <w:sz w:val="22"/>
          <w:szCs w:val="22"/>
          <w:lang w:val="es-ES_tradnl"/>
        </w:rPr>
        <w:t xml:space="preserve">Obsérvese que el legislador extraordinario circunscribió la competencia consultiva de Colombia Compra Eficiente a la </w:t>
      </w:r>
      <w:r w:rsidRPr="006322AB">
        <w:rPr>
          <w:rFonts w:ascii="Arial" w:eastAsia="Calibri" w:hAnsi="Arial" w:cs="Arial"/>
          <w:bCs/>
          <w:i/>
          <w:iCs/>
          <w:color w:val="000000" w:themeColor="text1"/>
          <w:sz w:val="22"/>
          <w:szCs w:val="22"/>
          <w:lang w:val="es-ES_tradnl"/>
        </w:rPr>
        <w:t>vigencia</w:t>
      </w:r>
      <w:r w:rsidRPr="006322AB">
        <w:rPr>
          <w:rFonts w:ascii="Arial" w:eastAsia="Calibri" w:hAnsi="Arial" w:cs="Arial"/>
          <w:bCs/>
          <w:color w:val="000000" w:themeColor="text1"/>
          <w:sz w:val="22"/>
          <w:szCs w:val="22"/>
          <w:lang w:val="es-ES_tradnl"/>
        </w:rPr>
        <w:t xml:space="preserve"> de las normas del sistema de compras y contratación pública, sin permitirle emitir conceptos sobre preceptos derogados o declarados inexequibles. Esta idea guarda coherencia con el alcance </w:t>
      </w:r>
      <w:r w:rsidRPr="006322AB">
        <w:rPr>
          <w:rFonts w:ascii="Arial" w:eastAsia="Calibri" w:hAnsi="Arial" w:cs="Arial"/>
          <w:bCs/>
          <w:i/>
          <w:iCs/>
          <w:color w:val="000000" w:themeColor="text1"/>
          <w:sz w:val="22"/>
          <w:szCs w:val="22"/>
          <w:lang w:val="es-ES_tradnl"/>
        </w:rPr>
        <w:t>erga omnes</w:t>
      </w:r>
      <w:r w:rsidRPr="006322AB">
        <w:rPr>
          <w:rFonts w:ascii="Arial" w:eastAsia="Calibri" w:hAnsi="Arial" w:cs="Arial"/>
          <w:bCs/>
          <w:color w:val="000000" w:themeColor="text1"/>
          <w:sz w:val="22"/>
          <w:szCs w:val="22"/>
          <w:lang w:val="es-ES_tradnl"/>
        </w:rPr>
        <w:t xml:space="preserve"> de las sentencias expedidas en ejercicio del control constitucional consagrado en el artículo 48, numeral 1, de la Ley 270 de 1996, a cuyo tenor las sentencias «dictadas como resultado del examen de las normas legales, ya sea por vía de acción, de revisión previa o con motivo del ejercicio del control automático de constitucionalidad, serán de obligatorio cumplimiento y con efecto erga omnes en su parte resolutiva». Esta norma</w:t>
      </w:r>
      <w:r>
        <w:rPr>
          <w:rFonts w:ascii="Arial" w:eastAsia="Calibri" w:hAnsi="Arial" w:cs="Arial"/>
          <w:bCs/>
          <w:color w:val="000000" w:themeColor="text1"/>
          <w:sz w:val="22"/>
          <w:szCs w:val="22"/>
          <w:lang w:val="es-ES_tradnl"/>
        </w:rPr>
        <w:t xml:space="preserve"> debe entenderse en forma armónica</w:t>
      </w:r>
      <w:r w:rsidRPr="006322AB">
        <w:rPr>
          <w:rFonts w:ascii="Arial" w:eastAsia="Calibri" w:hAnsi="Arial" w:cs="Arial"/>
          <w:bCs/>
          <w:color w:val="000000" w:themeColor="text1"/>
          <w:sz w:val="22"/>
          <w:szCs w:val="22"/>
          <w:lang w:val="es-ES_tradnl"/>
        </w:rPr>
        <w:t xml:space="preserve"> con el artículo 243 de la Constitución, según el cual «Los fallos que la Corte dicte en ejercicio del control jurisdiccional hacen tránsito a cosa juzgada constitucional».</w:t>
      </w:r>
    </w:p>
    <w:p w14:paraId="4FD76B46" w14:textId="77777777" w:rsidR="00DB646B" w:rsidRPr="006322AB" w:rsidRDefault="00DB646B" w:rsidP="00DB646B">
      <w:pPr>
        <w:ind w:firstLine="708"/>
        <w:jc w:val="both"/>
        <w:rPr>
          <w:rFonts w:ascii="Arial" w:eastAsia="Calibri" w:hAnsi="Arial" w:cs="Arial"/>
          <w:bCs/>
          <w:color w:val="000000" w:themeColor="text1"/>
          <w:sz w:val="22"/>
          <w:szCs w:val="22"/>
          <w:lang w:val="es-ES_tradnl"/>
        </w:rPr>
      </w:pPr>
    </w:p>
    <w:p w14:paraId="1C7034A3" w14:textId="77777777" w:rsidR="00941415" w:rsidRDefault="00941415" w:rsidP="00DB646B">
      <w:pPr>
        <w:ind w:firstLine="708"/>
        <w:jc w:val="both"/>
        <w:rPr>
          <w:rFonts w:ascii="Arial" w:eastAsia="Calibri" w:hAnsi="Arial" w:cs="Arial"/>
          <w:sz w:val="22"/>
          <w:szCs w:val="22"/>
          <w:lang w:val="es-ES_tradnl"/>
        </w:rPr>
      </w:pPr>
      <w:r>
        <w:rPr>
          <w:rFonts w:ascii="Arial" w:eastAsia="Calibri" w:hAnsi="Arial" w:cs="Arial"/>
          <w:sz w:val="22"/>
          <w:szCs w:val="22"/>
          <w:lang w:val="es-ES_tradnl"/>
        </w:rPr>
        <w:t xml:space="preserve">De las consideraciones anteriores se concluye que existe carencia actual de objeto, por sustracción de materia, debido a que la norma frente a la cual se formula una consulta a la Agencia Nacional de Contratación Pública – Colombia Compra Eficiente ha sido declarada inexequible por la Corte Constitucional, porque en tal caso la norma no es </w:t>
      </w:r>
      <w:r>
        <w:rPr>
          <w:rFonts w:ascii="Arial" w:eastAsia="Calibri" w:hAnsi="Arial" w:cs="Arial"/>
          <w:i/>
          <w:iCs/>
          <w:sz w:val="22"/>
          <w:szCs w:val="22"/>
          <w:lang w:val="es-ES_tradnl"/>
        </w:rPr>
        <w:t>aplicable</w:t>
      </w:r>
      <w:r>
        <w:rPr>
          <w:rFonts w:ascii="Arial" w:eastAsia="Calibri" w:hAnsi="Arial" w:cs="Arial"/>
          <w:sz w:val="22"/>
          <w:szCs w:val="22"/>
          <w:lang w:val="es-ES_tradnl"/>
        </w:rPr>
        <w:t xml:space="preserve">, como ya se indicó, pues no cumple con la condición establecida en los artículos 3, numeral 5 y 11, numeral 8, del Decreto-Ley 4170 de 2011. Estas disposiciones –se reitera– solo le permiten a la Agencia emitir conceptos sobre la interpretación de normas </w:t>
      </w:r>
      <w:r>
        <w:rPr>
          <w:rFonts w:ascii="Arial" w:eastAsia="Calibri" w:hAnsi="Arial" w:cs="Arial"/>
          <w:i/>
          <w:iCs/>
          <w:sz w:val="22"/>
          <w:szCs w:val="22"/>
          <w:lang w:val="es-ES_tradnl"/>
        </w:rPr>
        <w:t>aplicables</w:t>
      </w:r>
      <w:r>
        <w:rPr>
          <w:rFonts w:ascii="Arial" w:eastAsia="Calibri" w:hAnsi="Arial" w:cs="Arial"/>
          <w:sz w:val="22"/>
          <w:szCs w:val="22"/>
          <w:lang w:val="es-ES_tradnl"/>
        </w:rPr>
        <w:t>, es decir, que estén aún vigentes en el ordenamiento jurídico. Además, las normas que consagran las competencias de las autoridades deben interpretarse de manera restrictiva. Así se deduce del artículo 6 de la Constitución, que hace responsables a los servidores públicos, entre otros eventos, por «</w:t>
      </w:r>
      <w:r w:rsidRPr="00BD5D34">
        <w:rPr>
          <w:rFonts w:ascii="Arial" w:eastAsia="Calibri" w:hAnsi="Arial" w:cs="Arial"/>
          <w:sz w:val="22"/>
          <w:szCs w:val="22"/>
          <w:lang w:val="es-ES_tradnl"/>
        </w:rPr>
        <w:t>extralimitación en el ejercicio de sus funciones</w:t>
      </w:r>
      <w:r>
        <w:rPr>
          <w:rFonts w:ascii="Arial" w:eastAsia="Calibri" w:hAnsi="Arial" w:cs="Arial"/>
          <w:sz w:val="22"/>
          <w:szCs w:val="22"/>
          <w:lang w:val="es-ES_tradnl"/>
        </w:rPr>
        <w:t>», y del artículo 121 de la Carta, según el cual «</w:t>
      </w:r>
      <w:r w:rsidRPr="009A6F0F">
        <w:rPr>
          <w:rFonts w:ascii="Arial" w:eastAsia="Calibri" w:hAnsi="Arial" w:cs="Arial"/>
          <w:sz w:val="22"/>
          <w:szCs w:val="22"/>
          <w:lang w:val="es-ES_tradnl"/>
        </w:rPr>
        <w:t>Ninguna autoridad del Estado podrá ejercer funciones distintas de las que le atribuyen la Constitución y la ley</w:t>
      </w:r>
      <w:r>
        <w:rPr>
          <w:rFonts w:ascii="Arial" w:eastAsia="Calibri" w:hAnsi="Arial" w:cs="Arial"/>
          <w:sz w:val="22"/>
          <w:szCs w:val="22"/>
          <w:lang w:val="es-ES_tradnl"/>
        </w:rPr>
        <w:t>»</w:t>
      </w:r>
      <w:r w:rsidRPr="009A6F0F">
        <w:rPr>
          <w:rFonts w:ascii="Arial" w:eastAsia="Calibri" w:hAnsi="Arial" w:cs="Arial"/>
          <w:sz w:val="22"/>
          <w:szCs w:val="22"/>
          <w:lang w:val="es-ES_tradnl"/>
        </w:rPr>
        <w:t>.</w:t>
      </w:r>
    </w:p>
    <w:p w14:paraId="17A00418" w14:textId="77777777" w:rsidR="00941415" w:rsidRPr="002E7DCA" w:rsidRDefault="00941415" w:rsidP="20B61737">
      <w:pPr>
        <w:ind w:firstLine="708"/>
        <w:jc w:val="both"/>
        <w:rPr>
          <w:rFonts w:ascii="Arial" w:eastAsia="Calibri" w:hAnsi="Arial" w:cs="Arial"/>
          <w:i/>
          <w:iCs/>
          <w:color w:val="000000" w:themeColor="text1"/>
          <w:sz w:val="21"/>
          <w:szCs w:val="21"/>
          <w:lang w:val="es-ES"/>
        </w:rPr>
      </w:pPr>
      <w:r w:rsidRPr="20B61737">
        <w:rPr>
          <w:rFonts w:ascii="Arial" w:eastAsia="Calibri" w:hAnsi="Arial" w:cs="Arial"/>
          <w:sz w:val="22"/>
          <w:szCs w:val="22"/>
          <w:lang w:val="es-ES"/>
        </w:rPr>
        <w:t xml:space="preserve">Por tanto, la declaratoria de </w:t>
      </w:r>
      <w:proofErr w:type="spellStart"/>
      <w:r w:rsidRPr="20B61737">
        <w:rPr>
          <w:rFonts w:ascii="Arial" w:eastAsia="Calibri" w:hAnsi="Arial" w:cs="Arial"/>
          <w:sz w:val="22"/>
          <w:szCs w:val="22"/>
          <w:lang w:val="es-ES"/>
        </w:rPr>
        <w:t>inexequibilidad</w:t>
      </w:r>
      <w:proofErr w:type="spellEnd"/>
      <w:r w:rsidRPr="20B61737">
        <w:rPr>
          <w:rFonts w:ascii="Arial" w:eastAsia="Calibri" w:hAnsi="Arial" w:cs="Arial"/>
          <w:sz w:val="22"/>
          <w:szCs w:val="22"/>
          <w:lang w:val="es-ES"/>
        </w:rPr>
        <w:t xml:space="preserve"> del artículo 124 de la Ley 2159 de 2021 tiene como efecto que el primer inciso del parágrafo del artículo 38 de la Ley 996 de 2005 recobre sus efectos y se convierta en la norma </w:t>
      </w:r>
      <w:r w:rsidRPr="20B61737">
        <w:rPr>
          <w:rFonts w:ascii="Arial" w:eastAsia="Calibri" w:hAnsi="Arial" w:cs="Arial"/>
          <w:i/>
          <w:iCs/>
          <w:sz w:val="22"/>
          <w:szCs w:val="22"/>
          <w:lang w:val="es-ES"/>
        </w:rPr>
        <w:t>aplicable</w:t>
      </w:r>
      <w:r w:rsidRPr="20B61737">
        <w:rPr>
          <w:rFonts w:ascii="Arial" w:eastAsia="Calibri" w:hAnsi="Arial" w:cs="Arial"/>
          <w:sz w:val="22"/>
          <w:szCs w:val="22"/>
          <w:lang w:val="es-ES"/>
        </w:rPr>
        <w:t xml:space="preserve">. En tal sentido, las consultas referidas a este tema deben referirse al contenido vigente del mencionado parágrafo, que establece: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Al ser esta la disposición normativa </w:t>
      </w:r>
      <w:r w:rsidRPr="20B61737">
        <w:rPr>
          <w:rFonts w:ascii="Arial" w:eastAsia="Calibri" w:hAnsi="Arial" w:cs="Arial"/>
          <w:i/>
          <w:iCs/>
          <w:sz w:val="22"/>
          <w:szCs w:val="22"/>
          <w:lang w:val="es-ES"/>
        </w:rPr>
        <w:t>vigente</w:t>
      </w:r>
      <w:r w:rsidRPr="20B61737">
        <w:rPr>
          <w:rFonts w:ascii="Arial" w:eastAsia="Calibri" w:hAnsi="Arial" w:cs="Arial"/>
          <w:sz w:val="22"/>
          <w:szCs w:val="22"/>
          <w:lang w:val="es-ES"/>
        </w:rPr>
        <w:t xml:space="preserve">, es frente a ella que la Agencia Nacional de Contratación Pública – Colombia Compra Eficiente cuenta con competencia para </w:t>
      </w:r>
      <w:r w:rsidRPr="20B61737">
        <w:rPr>
          <w:rFonts w:ascii="Arial" w:eastAsia="Calibri" w:hAnsi="Arial" w:cs="Arial"/>
          <w:sz w:val="22"/>
          <w:szCs w:val="22"/>
          <w:lang w:val="es-ES"/>
        </w:rPr>
        <w:lastRenderedPageBreak/>
        <w:t xml:space="preserve">pronunciarse por vía consultiva; no frente al artículo 124 de la Ley 2195 de 2021, por no ser actualmente </w:t>
      </w:r>
      <w:r w:rsidRPr="20B61737">
        <w:rPr>
          <w:rFonts w:ascii="Arial" w:eastAsia="Calibri" w:hAnsi="Arial" w:cs="Arial"/>
          <w:i/>
          <w:iCs/>
          <w:sz w:val="22"/>
          <w:szCs w:val="22"/>
          <w:lang w:val="es-ES"/>
        </w:rPr>
        <w:t>aplicable.</w:t>
      </w:r>
    </w:p>
    <w:p w14:paraId="5F335049" w14:textId="70C9CD01" w:rsidR="00BC53AD" w:rsidRPr="00C65049" w:rsidRDefault="00BC53AD" w:rsidP="00941415">
      <w:pPr>
        <w:jc w:val="both"/>
        <w:rPr>
          <w:rFonts w:ascii="Arial" w:hAnsi="Arial" w:cs="Arial"/>
          <w:sz w:val="22"/>
          <w:szCs w:val="22"/>
          <w:lang w:val="es-ES_tradnl"/>
        </w:rPr>
      </w:pPr>
    </w:p>
    <w:p w14:paraId="610E8301" w14:textId="0921ABB0" w:rsidR="009212DA" w:rsidRPr="00C65049" w:rsidRDefault="00771B66" w:rsidP="00C65049">
      <w:pPr>
        <w:jc w:val="both"/>
        <w:rPr>
          <w:rFonts w:ascii="Arial" w:eastAsia="Calibri" w:hAnsi="Arial" w:cs="Arial"/>
          <w:b/>
          <w:bCs/>
          <w:sz w:val="22"/>
          <w:szCs w:val="22"/>
          <w:lang w:val="es-MX"/>
        </w:rPr>
      </w:pPr>
      <w:r w:rsidRPr="00C65049">
        <w:rPr>
          <w:rFonts w:ascii="Arial" w:eastAsia="Calibri" w:hAnsi="Arial" w:cs="Arial"/>
          <w:b/>
          <w:bCs/>
          <w:sz w:val="22"/>
          <w:szCs w:val="22"/>
          <w:lang w:val="es-MX"/>
        </w:rPr>
        <w:t>2.</w:t>
      </w:r>
      <w:r w:rsidR="005F774D">
        <w:rPr>
          <w:rFonts w:ascii="Arial" w:eastAsia="Calibri" w:hAnsi="Arial" w:cs="Arial"/>
          <w:b/>
          <w:bCs/>
          <w:sz w:val="22"/>
          <w:szCs w:val="22"/>
          <w:lang w:val="es-MX"/>
        </w:rPr>
        <w:t>4</w:t>
      </w:r>
      <w:r w:rsidRPr="00C65049">
        <w:rPr>
          <w:rFonts w:ascii="Arial" w:eastAsia="Calibri" w:hAnsi="Arial" w:cs="Arial"/>
          <w:b/>
          <w:bCs/>
          <w:sz w:val="22"/>
          <w:szCs w:val="22"/>
          <w:lang w:val="es-MX"/>
        </w:rPr>
        <w:t xml:space="preserve">. </w:t>
      </w:r>
      <w:r w:rsidR="005F774D">
        <w:rPr>
          <w:rFonts w:ascii="Arial" w:eastAsia="Calibri" w:hAnsi="Arial" w:cs="Arial"/>
          <w:b/>
          <w:bCs/>
          <w:sz w:val="22"/>
          <w:szCs w:val="22"/>
          <w:lang w:val="es-MX"/>
        </w:rPr>
        <w:t xml:space="preserve">Reiteración concepto de </w:t>
      </w:r>
      <w:r w:rsidR="009212DA" w:rsidRPr="00C65049">
        <w:rPr>
          <w:rFonts w:ascii="Arial" w:eastAsia="Calibri" w:hAnsi="Arial" w:cs="Arial"/>
          <w:b/>
          <w:bCs/>
          <w:sz w:val="22"/>
          <w:szCs w:val="22"/>
          <w:lang w:val="es-MX"/>
        </w:rPr>
        <w:t xml:space="preserve">Unificación </w:t>
      </w:r>
      <w:r w:rsidR="007D2BE0">
        <w:rPr>
          <w:rFonts w:ascii="Arial" w:eastAsia="Calibri" w:hAnsi="Arial" w:cs="Arial"/>
          <w:b/>
          <w:bCs/>
          <w:sz w:val="22"/>
          <w:szCs w:val="22"/>
          <w:lang w:val="es-MX"/>
        </w:rPr>
        <w:t>CU-180-2022.- A</w:t>
      </w:r>
      <w:r w:rsidR="009212DA" w:rsidRPr="00C65049">
        <w:rPr>
          <w:rFonts w:ascii="Arial" w:eastAsia="Calibri" w:hAnsi="Arial" w:cs="Arial"/>
          <w:b/>
          <w:bCs/>
          <w:sz w:val="22"/>
          <w:szCs w:val="22"/>
          <w:lang w:val="es-MX"/>
        </w:rPr>
        <w:t xml:space="preserve">plicación de la restricción del artículo 33 de la Ley de Garantías Electorales </w:t>
      </w:r>
      <w:r w:rsidR="007D2BE0" w:rsidRPr="00C65049">
        <w:rPr>
          <w:rFonts w:ascii="Arial" w:eastAsia="Calibri" w:hAnsi="Arial" w:cs="Arial"/>
          <w:b/>
          <w:bCs/>
          <w:sz w:val="22"/>
          <w:szCs w:val="22"/>
          <w:lang w:val="es-MX"/>
        </w:rPr>
        <w:t>a los contratos con organismos y sujetos internacionales regulados en el artículo 20 de la Ley 1150 de 2007</w:t>
      </w:r>
    </w:p>
    <w:p w14:paraId="758D9E94" w14:textId="77777777" w:rsidR="00CD3D18" w:rsidRDefault="00CD3D18" w:rsidP="00C65049">
      <w:pPr>
        <w:jc w:val="both"/>
        <w:outlineLvl w:val="0"/>
        <w:rPr>
          <w:rFonts w:ascii="Arial" w:eastAsia="Calibri" w:hAnsi="Arial" w:cs="Arial"/>
          <w:bCs/>
          <w:sz w:val="22"/>
          <w:szCs w:val="22"/>
          <w:lang w:val="es-MX" w:eastAsia="es-CO"/>
        </w:rPr>
      </w:pPr>
    </w:p>
    <w:p w14:paraId="04C4AF42" w14:textId="550978FE" w:rsidR="009212DA" w:rsidRDefault="009212DA" w:rsidP="00CD3D18">
      <w:pPr>
        <w:ind w:firstLine="708"/>
        <w:jc w:val="both"/>
        <w:outlineLvl w:val="0"/>
        <w:rPr>
          <w:rFonts w:ascii="Arial" w:eastAsia="Calibri" w:hAnsi="Arial" w:cs="Arial"/>
          <w:bCs/>
          <w:sz w:val="22"/>
          <w:szCs w:val="22"/>
          <w:lang w:val="es-MX" w:eastAsia="es-CO"/>
        </w:rPr>
      </w:pPr>
      <w:r w:rsidRPr="00C65049">
        <w:rPr>
          <w:rFonts w:ascii="Arial" w:eastAsia="Calibri" w:hAnsi="Arial" w:cs="Arial"/>
          <w:bCs/>
          <w:sz w:val="22"/>
          <w:szCs w:val="22"/>
          <w:lang w:val="es-MX" w:eastAsia="es-CO"/>
        </w:rPr>
        <w:t>Sea lo primero advertir que de cara a la aplicación de la Ley 996 de 2005, es imperativo tener claras sus finalidades y objetivos, de tal manera que al momento de materializar las prohibiciones en ella contenidas no se incurra en el equívoco de extenderlas hasta supuestos en los que la norma no está llamada a ser aplicada. Recuérdese que en materia de normas prohibitivas rige el criterio de interpretación restrictiva. Así, como se dijo, con la Ley de Garantías Electorales se pretende tomar medidas para garantizar la pulcritud de los comicios en el país y para ello, entre otras, se estableció una prohibición, según la cual se proscribe cualquier tipo de contratación directa para todos los entes del Estado, durante los cuatro (4) meses anteriores a la elección presidencial y hasta la realización de la elección en la segunda vuelta, si fuere el caso.</w:t>
      </w:r>
    </w:p>
    <w:p w14:paraId="67739165" w14:textId="77777777" w:rsidR="00CD3D18" w:rsidRPr="00C65049" w:rsidRDefault="00CD3D18" w:rsidP="00CD3D18">
      <w:pPr>
        <w:ind w:firstLine="708"/>
        <w:jc w:val="both"/>
        <w:outlineLvl w:val="0"/>
        <w:rPr>
          <w:rFonts w:ascii="Arial" w:eastAsia="Calibri" w:hAnsi="Arial" w:cs="Arial"/>
          <w:bCs/>
          <w:sz w:val="22"/>
          <w:szCs w:val="22"/>
          <w:lang w:val="es-MX" w:eastAsia="es-CO"/>
        </w:rPr>
      </w:pPr>
    </w:p>
    <w:p w14:paraId="08842E0D" w14:textId="579DC9D3" w:rsidR="009212DA" w:rsidRDefault="009212DA" w:rsidP="00CD3D18">
      <w:pPr>
        <w:ind w:firstLine="708"/>
        <w:jc w:val="both"/>
        <w:outlineLvl w:val="0"/>
        <w:rPr>
          <w:rFonts w:ascii="Arial" w:eastAsia="Calibri" w:hAnsi="Arial" w:cs="Arial"/>
          <w:bCs/>
          <w:sz w:val="22"/>
          <w:szCs w:val="22"/>
          <w:lang w:val="es-MX" w:eastAsia="es-CO"/>
        </w:rPr>
      </w:pPr>
      <w:r w:rsidRPr="00C65049">
        <w:rPr>
          <w:rFonts w:ascii="Arial" w:eastAsia="Calibri" w:hAnsi="Arial" w:cs="Arial"/>
          <w:bCs/>
          <w:sz w:val="22"/>
          <w:szCs w:val="22"/>
          <w:lang w:val="es-MX" w:eastAsia="es-CO"/>
        </w:rPr>
        <w:t xml:space="preserve">En ese sentido, la prohibición del artículo 33 tiene alcances y supuestos claramente definidos y que han sido explicados en múltiples ocasiones por esta Agencia, destacándose, en esta oportunidad, que dicha disposición debe ser comprendida en el contexto y contenido teleológico de la ley a la que pertenece, por lo cual, para el supuesto específico de dicho artículo, el evitar, durante el periodo preelectoral de las elecciones para Presidente y Vicepresidente de la República, la utilización de mecanismos de selección en los que no se realicen convocatorias públicas, se toma como una medida para evitar que a través de dicha manera de contratar se favorezca, con la utilización de recursos públicos, a cierto candidato, partido o movimiento político. </w:t>
      </w:r>
    </w:p>
    <w:p w14:paraId="5B548056" w14:textId="77777777" w:rsidR="00CD3D18" w:rsidRPr="00C65049" w:rsidRDefault="00CD3D18" w:rsidP="00CD3D18">
      <w:pPr>
        <w:ind w:firstLine="708"/>
        <w:jc w:val="both"/>
        <w:outlineLvl w:val="0"/>
        <w:rPr>
          <w:rFonts w:ascii="Arial" w:eastAsia="Calibri" w:hAnsi="Arial" w:cs="Arial"/>
          <w:bCs/>
          <w:sz w:val="22"/>
          <w:szCs w:val="22"/>
          <w:lang w:val="es-MX" w:eastAsia="es-CO"/>
        </w:rPr>
      </w:pPr>
    </w:p>
    <w:p w14:paraId="51E76F9B" w14:textId="53CC5788" w:rsidR="009212DA" w:rsidRDefault="009212DA" w:rsidP="00CD3D18">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MX"/>
        </w:rPr>
        <w:t>L</w:t>
      </w:r>
      <w:r w:rsidRPr="00C65049">
        <w:rPr>
          <w:rFonts w:ascii="Arial" w:eastAsia="Calibri" w:hAnsi="Arial" w:cs="Arial"/>
          <w:sz w:val="22"/>
          <w:szCs w:val="22"/>
          <w:lang w:val="es-ES"/>
        </w:rPr>
        <w:t xml:space="preserve">a proscripción de la contratación directa durante el periodo preelectoral de que trata el artículo 33 de la Ley de Garantías Electorales, es un asunto que atañe a la selección de contratistas por parte del Estado, es decir, afecta la manera como las distintas entidades públicas llevan a cabo la elección de los sujetos que prestarán o entregarán el servicio, obra o bien necesitados por ellas. Esto por cuanto es claro que, en lo referente al procedimiento de selección de contratistas, un aspecto que resulta fundamental en dicho trámite es el de la oportunidad, etapas y tiempos que la entidad pública determina para llevarlo a cabo. De esa forma, en la etapa de planeación la entidad valora y define el momento en que realizará la contratación, y prestablece, dentro del marco de la normatividad aplicable, las distintas fases, oportunidades, etapas, entre otros. que adelantará para que tal selección se realice de manera correcta y garantizando los principios regentes en la contratación estatal. </w:t>
      </w:r>
    </w:p>
    <w:p w14:paraId="6146D2A6" w14:textId="77777777" w:rsidR="00CD3D18" w:rsidRPr="00C65049" w:rsidRDefault="00CD3D18" w:rsidP="00CD3D18">
      <w:pPr>
        <w:ind w:firstLine="708"/>
        <w:jc w:val="both"/>
        <w:outlineLvl w:val="0"/>
        <w:rPr>
          <w:rFonts w:ascii="Arial" w:eastAsia="Calibri" w:hAnsi="Arial" w:cs="Arial"/>
          <w:sz w:val="22"/>
          <w:szCs w:val="22"/>
          <w:lang w:val="es-ES"/>
        </w:rPr>
      </w:pPr>
    </w:p>
    <w:p w14:paraId="36B160B4" w14:textId="750C06C3" w:rsidR="009212DA" w:rsidRDefault="009212DA" w:rsidP="00CD3D18">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t xml:space="preserve">Cuando la Ley 996 de 2005 prohíbe, durante un lapso de 4 meses anteriores a cierto tipo de elecciones, la contratación directa, esto es, aquella que se lleve a cabo sin convocatoria pública, lo que en últimas hace es incidir en la manera como las entidades estatales adelantan sus procesos de selección de contratistas, debiendo, entonces, ante la imposibilidad jurídica impuesta por la norma, postergar el momento en que contratarán </w:t>
      </w:r>
      <w:r w:rsidRPr="00C65049">
        <w:rPr>
          <w:rFonts w:ascii="Arial" w:eastAsia="Calibri" w:hAnsi="Arial" w:cs="Arial"/>
          <w:sz w:val="22"/>
          <w:szCs w:val="22"/>
          <w:lang w:val="es-ES"/>
        </w:rPr>
        <w:lastRenderedPageBreak/>
        <w:t xml:space="preserve">mediante ese mecanismo ciertos objetos contractuales, con la finalidad de evitar que la contratación se utilizada para incidir en las elecciones. </w:t>
      </w:r>
    </w:p>
    <w:p w14:paraId="696C6C96" w14:textId="77777777" w:rsidR="00CD3D18" w:rsidRPr="00C65049" w:rsidRDefault="00CD3D18" w:rsidP="00CD3D18">
      <w:pPr>
        <w:ind w:firstLine="708"/>
        <w:jc w:val="both"/>
        <w:outlineLvl w:val="0"/>
        <w:rPr>
          <w:rFonts w:ascii="Arial" w:eastAsia="Calibri" w:hAnsi="Arial" w:cs="Arial"/>
          <w:sz w:val="22"/>
          <w:szCs w:val="22"/>
          <w:lang w:val="es-ES"/>
        </w:rPr>
      </w:pPr>
    </w:p>
    <w:p w14:paraId="4DD7B999" w14:textId="7F8E992B" w:rsidR="009212DA" w:rsidRDefault="009212DA" w:rsidP="00CD3D18">
      <w:pPr>
        <w:ind w:firstLine="708"/>
        <w:jc w:val="both"/>
        <w:outlineLvl w:val="0"/>
        <w:rPr>
          <w:rFonts w:ascii="Arial" w:eastAsia="Calibri" w:hAnsi="Arial" w:cs="Arial"/>
          <w:sz w:val="22"/>
          <w:szCs w:val="22"/>
          <w:lang w:val="es-ES"/>
        </w:rPr>
      </w:pPr>
      <w:r w:rsidRPr="00591216">
        <w:rPr>
          <w:rFonts w:ascii="Arial" w:eastAsia="Calibri" w:hAnsi="Arial" w:cs="Arial"/>
          <w:sz w:val="22"/>
          <w:szCs w:val="22"/>
          <w:lang w:val="es-ES"/>
        </w:rPr>
        <w:t xml:space="preserve">Significa lo anterior que el artículo 33 de la Ley 996 de 2005 es una norma que impacta los procedimientos de selección, aunque sea de manera transitoria, esto es, cada vez que se presenten elecciones presidenciales, en lo que toca </w:t>
      </w:r>
      <w:bookmarkStart w:id="17" w:name="_Hlk100174799"/>
      <w:r w:rsidRPr="00591216">
        <w:rPr>
          <w:rFonts w:ascii="Arial" w:eastAsia="Calibri" w:hAnsi="Arial" w:cs="Arial"/>
          <w:sz w:val="22"/>
          <w:szCs w:val="22"/>
          <w:lang w:val="es-ES"/>
        </w:rPr>
        <w:t xml:space="preserve">al momento, fases y oportunidades para la selección del contratista </w:t>
      </w:r>
      <w:bookmarkEnd w:id="17"/>
      <w:r w:rsidRPr="00591216">
        <w:rPr>
          <w:rFonts w:ascii="Arial" w:eastAsia="Calibri" w:hAnsi="Arial" w:cs="Arial"/>
          <w:sz w:val="22"/>
          <w:szCs w:val="22"/>
          <w:lang w:val="es-ES"/>
        </w:rPr>
        <w:t>y, en consecuencia, la celebración del contrato estatal.</w:t>
      </w:r>
      <w:r w:rsidRPr="00C65049">
        <w:rPr>
          <w:rFonts w:ascii="Arial" w:eastAsia="Calibri" w:hAnsi="Arial" w:cs="Arial"/>
          <w:sz w:val="22"/>
          <w:szCs w:val="22"/>
          <w:lang w:val="es-ES"/>
        </w:rPr>
        <w:t xml:space="preserve"> </w:t>
      </w:r>
    </w:p>
    <w:p w14:paraId="1C970F4B" w14:textId="73B561F3" w:rsidR="00CD3D18" w:rsidRDefault="00CD3D18" w:rsidP="00CD3D18">
      <w:pPr>
        <w:ind w:firstLine="708"/>
        <w:jc w:val="both"/>
        <w:outlineLvl w:val="0"/>
        <w:rPr>
          <w:rFonts w:ascii="Arial" w:eastAsia="Calibri" w:hAnsi="Arial" w:cs="Arial"/>
          <w:sz w:val="22"/>
          <w:szCs w:val="22"/>
          <w:lang w:val="es-ES"/>
        </w:rPr>
      </w:pPr>
    </w:p>
    <w:p w14:paraId="742EED51" w14:textId="625CBE77" w:rsidR="00507508" w:rsidRDefault="00507508" w:rsidP="00507508">
      <w:pPr>
        <w:ind w:firstLine="708"/>
        <w:jc w:val="both"/>
        <w:outlineLvl w:val="0"/>
        <w:rPr>
          <w:rFonts w:ascii="Arial" w:eastAsia="Calibri" w:hAnsi="Arial" w:cs="Arial"/>
          <w:sz w:val="22"/>
          <w:szCs w:val="22"/>
          <w:lang w:val="es-ES"/>
        </w:rPr>
      </w:pPr>
      <w:r>
        <w:rPr>
          <w:rFonts w:ascii="Arial" w:eastAsia="Calibri" w:hAnsi="Arial" w:cs="Arial"/>
          <w:sz w:val="22"/>
          <w:szCs w:val="22"/>
          <w:lang w:val="es-ES"/>
        </w:rPr>
        <w:t>No obstante</w:t>
      </w:r>
      <w:r w:rsidRPr="00C65049">
        <w:rPr>
          <w:rFonts w:ascii="Arial" w:eastAsia="Calibri" w:hAnsi="Arial" w:cs="Arial"/>
          <w:sz w:val="22"/>
          <w:szCs w:val="22"/>
          <w:lang w:val="es-ES"/>
        </w:rPr>
        <w:t>, si bien la prohibición para la contratación directa contenida en el artículo 33 de la Ley de Garantías Electorales aplica a todos los entes del Estado cualquiera que sea el régimen jurídico de contratación de carácter nacional, no puede obviarse que, de conformidad con el artículo 20 de la Ley 1150 de 2007, el legislador ha permitido que en ciertos casos las partes que pretendan celebrar un contrato regulado por esta última disposición pueden optar por aplicar la normativa nacional o la internacional de manera absoluta o parcial.</w:t>
      </w:r>
    </w:p>
    <w:p w14:paraId="107BAF5A" w14:textId="7402BDC6" w:rsidR="00686AD4" w:rsidRDefault="00686AD4" w:rsidP="00CD3D18">
      <w:pPr>
        <w:ind w:firstLine="708"/>
        <w:jc w:val="both"/>
        <w:outlineLvl w:val="0"/>
        <w:rPr>
          <w:rFonts w:ascii="Arial" w:eastAsia="Calibri" w:hAnsi="Arial" w:cs="Arial"/>
          <w:sz w:val="22"/>
          <w:szCs w:val="22"/>
          <w:lang w:val="es-ES"/>
        </w:rPr>
      </w:pPr>
    </w:p>
    <w:p w14:paraId="2D680FAB" w14:textId="77777777" w:rsidR="00507508" w:rsidRDefault="00507508" w:rsidP="00507508">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t xml:space="preserve">De esa forma, cuando se acuerde la variación del régimen normativo de manera absoluta a la actividad contractual, se aplican íntegramente las normas del reglamento del organismo o sujeto internacional. Esto no quiere decir que en la actividad contractual regida por el derecho extranjero se soslaye o viole la normativa nacional, porque no debe olvidarse que la contratación con organismos internacionales, personas de derecho público extranjero y organismos de cooperación, ayuda y asistencia internacional, se encuentra amparada por previos tratados, convenios o convenciones ratificados por el Estado e incorporados debidamente al ordenamiento jurídico interno. </w:t>
      </w:r>
    </w:p>
    <w:p w14:paraId="0C2DE579" w14:textId="77777777" w:rsidR="00507508" w:rsidRPr="00C65049" w:rsidRDefault="00507508" w:rsidP="00507508">
      <w:pPr>
        <w:ind w:firstLine="708"/>
        <w:jc w:val="both"/>
        <w:outlineLvl w:val="0"/>
        <w:rPr>
          <w:rFonts w:ascii="Arial" w:eastAsia="Calibri" w:hAnsi="Arial" w:cs="Arial"/>
          <w:sz w:val="22"/>
          <w:szCs w:val="22"/>
          <w:lang w:val="es-ES"/>
        </w:rPr>
      </w:pPr>
    </w:p>
    <w:p w14:paraId="57C8F7F8" w14:textId="77777777" w:rsidR="00507508" w:rsidRDefault="00507508" w:rsidP="00507508">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t xml:space="preserve">Por el contrario, este régimen de excepcionalidad obedece a claras </w:t>
      </w:r>
      <w:r w:rsidRPr="00C65049">
        <w:rPr>
          <w:rFonts w:ascii="Arial" w:eastAsia="MS Mincho" w:hAnsi="Arial" w:cs="Arial"/>
          <w:i/>
          <w:iCs/>
          <w:sz w:val="22"/>
          <w:szCs w:val="22"/>
          <w:lang w:val="es-ES_tradnl" w:eastAsia="es-ES"/>
        </w:rPr>
        <w:t>razones de política económica exterior y de apertura para obtener la colaboración efectiva de los organismos multilaterales de crédito, en un mundo globalizado que  requiere de mecanismos jurídicos que permitan el relacionamiento con estas entidades</w:t>
      </w:r>
      <w:r w:rsidRPr="00C65049">
        <w:rPr>
          <w:rFonts w:ascii="Arial" w:eastAsia="MS Mincho" w:hAnsi="Arial" w:cs="Arial"/>
          <w:i/>
          <w:iCs/>
          <w:sz w:val="22"/>
          <w:szCs w:val="22"/>
          <w:vertAlign w:val="superscript"/>
          <w:lang w:val="es-ES_tradnl" w:eastAsia="es-ES"/>
        </w:rPr>
        <w:footnoteReference w:id="25"/>
      </w:r>
      <w:r w:rsidRPr="00C65049">
        <w:rPr>
          <w:rFonts w:ascii="Arial" w:eastAsia="MS Mincho" w:hAnsi="Arial" w:cs="Arial"/>
          <w:i/>
          <w:iCs/>
          <w:sz w:val="22"/>
          <w:szCs w:val="22"/>
          <w:lang w:val="es-ES_tradnl" w:eastAsia="es-ES"/>
        </w:rPr>
        <w:t xml:space="preserve">, lo cual guarda relación con la necesidad y deber que tiene el estado Colombiano </w:t>
      </w:r>
      <w:r w:rsidRPr="00C65049">
        <w:rPr>
          <w:rFonts w:ascii="Arial" w:eastAsia="Calibri" w:hAnsi="Arial" w:cs="Arial"/>
          <w:sz w:val="22"/>
          <w:szCs w:val="22"/>
          <w:lang w:val="es-ES_tradnl"/>
        </w:rPr>
        <w:t xml:space="preserve">de incorporarse al concierto de la contratación internacional para aprovechar todos sus recursos y disponibilidades financieras y tecnológicas, pero dentro de la regulación general prevista para todos los Estados usuarios. </w:t>
      </w:r>
      <w:r w:rsidRPr="00C65049">
        <w:rPr>
          <w:rFonts w:ascii="Arial" w:eastAsia="Calibri" w:hAnsi="Arial" w:cs="Arial"/>
          <w:sz w:val="22"/>
          <w:szCs w:val="22"/>
          <w:lang w:val="es-ES"/>
        </w:rPr>
        <w:t xml:space="preserve">Además, debe tenerse en cuenta que la finalidad de la prohibición del artículo 33 de la Ley de Garantías Electorales es evitar la utilización de la contratación directa como mecanismo para que, con recursos públicos, una entidad estatal favorezca o impulse a cierto candidato, partido o movimiento político. Vista así, dicha finalidad no parecería acomodarse a la contratación con los sujetos internacionales catalogados en el artículo 20 de la Ley 1150 de 2007, menos aún, cuando se trata de contratos financiados con recursos provenientes de los organismos internacionales o de entidades gubernamentales extranjeras. </w:t>
      </w:r>
    </w:p>
    <w:p w14:paraId="53DDDAF4" w14:textId="77777777" w:rsidR="00507508" w:rsidRPr="00C65049" w:rsidRDefault="00507508" w:rsidP="00507508">
      <w:pPr>
        <w:ind w:firstLine="708"/>
        <w:jc w:val="both"/>
        <w:outlineLvl w:val="0"/>
        <w:rPr>
          <w:rFonts w:ascii="Arial" w:eastAsia="Calibri" w:hAnsi="Arial" w:cs="Arial"/>
          <w:sz w:val="22"/>
          <w:szCs w:val="22"/>
          <w:lang w:val="es-ES"/>
        </w:rPr>
      </w:pPr>
    </w:p>
    <w:p w14:paraId="0125B822" w14:textId="77777777" w:rsidR="00507508" w:rsidRDefault="00507508" w:rsidP="00507508">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lastRenderedPageBreak/>
        <w:t xml:space="preserve">En este orden de ideas, </w:t>
      </w:r>
      <w:bookmarkStart w:id="18" w:name="_Hlk100098272"/>
      <w:r w:rsidRPr="00C65049">
        <w:rPr>
          <w:rFonts w:ascii="Arial" w:eastAsia="Calibri" w:hAnsi="Arial" w:cs="Arial"/>
          <w:sz w:val="22"/>
          <w:szCs w:val="22"/>
          <w:lang w:val="es-ES"/>
        </w:rPr>
        <w:t xml:space="preserve">se concluye cuando una entidad pública con fundamento en el artículo 20 de la Ley 1150 de 2007 acuerde la aplicación del reglamento del organismo internacional, de la persona pública extranjera o del organismo de asistencia, ayuda o cooperación internacional, se deberá precisar en el respectivo contrato o convenio el alcance de tal variación de régimen y si ello implica acoger la totalidad de las normas del reglamento extranjero o si, por el contrario, solo se aplicarán ciertos aspectos en él regulados. </w:t>
      </w:r>
    </w:p>
    <w:p w14:paraId="1F159CA3" w14:textId="77777777" w:rsidR="00507508" w:rsidRPr="00C65049" w:rsidRDefault="00507508" w:rsidP="00507508">
      <w:pPr>
        <w:ind w:firstLine="708"/>
        <w:jc w:val="both"/>
        <w:outlineLvl w:val="0"/>
        <w:rPr>
          <w:rFonts w:ascii="Arial" w:eastAsia="Calibri" w:hAnsi="Arial" w:cs="Arial"/>
          <w:sz w:val="22"/>
          <w:szCs w:val="22"/>
          <w:lang w:val="es-ES"/>
        </w:rPr>
      </w:pPr>
    </w:p>
    <w:p w14:paraId="1B26DA1B" w14:textId="77777777" w:rsidR="00507508" w:rsidRDefault="00507508" w:rsidP="00507508">
      <w:pPr>
        <w:ind w:firstLine="708"/>
        <w:jc w:val="both"/>
        <w:outlineLvl w:val="0"/>
        <w:rPr>
          <w:rFonts w:ascii="Arial" w:eastAsia="Calibri" w:hAnsi="Arial" w:cs="Arial"/>
          <w:sz w:val="22"/>
          <w:szCs w:val="22"/>
          <w:lang w:val="es-ES"/>
        </w:rPr>
      </w:pPr>
      <w:bookmarkStart w:id="19" w:name="_Hlk100153804"/>
      <w:r w:rsidRPr="00C65049">
        <w:rPr>
          <w:rFonts w:ascii="Arial" w:eastAsia="Calibri" w:hAnsi="Arial" w:cs="Arial"/>
          <w:sz w:val="22"/>
          <w:szCs w:val="22"/>
          <w:lang w:val="es-ES"/>
        </w:rPr>
        <w:t xml:space="preserve">En uno y otro caso, </w:t>
      </w:r>
      <w:bookmarkStart w:id="20" w:name="_Hlk100317540"/>
      <w:r w:rsidRPr="00C65049">
        <w:rPr>
          <w:rFonts w:ascii="Arial" w:eastAsia="Calibri" w:hAnsi="Arial" w:cs="Arial"/>
          <w:sz w:val="22"/>
          <w:szCs w:val="22"/>
          <w:lang w:val="es-ES"/>
        </w:rPr>
        <w:t>si el reglamento del organismo o sujeto internacional que las partes han convenido en aplicar regula todo lo relacionado con el procedimiento de selección de contratistas y las oportunidades para que sea realizado, la prohibición para contratar directamente establecida en el artículo 33 de la Ley de Garantías Electorales no será derecho aplicable al convenio o contrato y sus derivados. Por el contrario, si el convenio en el que se varíe el régimen normativo toca aspectos o etapas distintas al procedimiento para la selección del contratista, la prohibición del artículo 33 de la Ley de Garantías Electorales sí será derecho aplicable a la actividad contractual.</w:t>
      </w:r>
    </w:p>
    <w:p w14:paraId="3C8A0853" w14:textId="77777777" w:rsidR="00507508" w:rsidRPr="00C65049" w:rsidRDefault="00507508" w:rsidP="00507508">
      <w:pPr>
        <w:jc w:val="both"/>
        <w:outlineLvl w:val="0"/>
        <w:rPr>
          <w:rFonts w:ascii="Arial" w:eastAsia="Calibri" w:hAnsi="Arial" w:cs="Arial"/>
          <w:sz w:val="22"/>
          <w:szCs w:val="22"/>
          <w:lang w:val="es-ES"/>
        </w:rPr>
      </w:pPr>
    </w:p>
    <w:bookmarkEnd w:id="19"/>
    <w:bookmarkEnd w:id="20"/>
    <w:p w14:paraId="166E376D" w14:textId="77777777" w:rsidR="00507508" w:rsidRPr="00C65049" w:rsidRDefault="00507508" w:rsidP="00DB646B">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MX"/>
        </w:rPr>
        <w:t>En ese sentido, se concluye que el supuesto contemplado en el artículo 20 de la Ley 1150 de 2007 resulta ser diferente a los demás regímenes exceptivos del Estatuto General de Contratación de la Administración Pública, dado que el derecho aplicable a estos contratos no es el derecho nacional, sino normas de carácter internacional, que se materializan en los reglamentos expedidos por los organismos de cooperación, asistencia o ayudas internacionales.</w:t>
      </w:r>
    </w:p>
    <w:bookmarkEnd w:id="18"/>
    <w:p w14:paraId="5B56BA28" w14:textId="77777777" w:rsidR="009212DA" w:rsidRPr="00C65049" w:rsidRDefault="009212DA" w:rsidP="00C65049">
      <w:pPr>
        <w:tabs>
          <w:tab w:val="left" w:pos="426"/>
        </w:tabs>
        <w:jc w:val="both"/>
        <w:rPr>
          <w:rFonts w:ascii="Arial" w:hAnsi="Arial" w:cs="Arial"/>
          <w:sz w:val="22"/>
          <w:szCs w:val="22"/>
          <w:lang w:val="es-ES"/>
        </w:rPr>
      </w:pPr>
    </w:p>
    <w:p w14:paraId="293080B3" w14:textId="77777777" w:rsidR="009212DA" w:rsidRPr="00C65049" w:rsidRDefault="009212DA" w:rsidP="00C65049">
      <w:pPr>
        <w:tabs>
          <w:tab w:val="left" w:pos="0"/>
        </w:tabs>
        <w:jc w:val="both"/>
        <w:rPr>
          <w:rFonts w:ascii="Arial" w:eastAsia="Calibri" w:hAnsi="Arial" w:cs="Arial"/>
          <w:b/>
          <w:sz w:val="22"/>
          <w:szCs w:val="22"/>
          <w:lang w:val="es-ES_tradnl"/>
        </w:rPr>
      </w:pPr>
      <w:r w:rsidRPr="00C65049">
        <w:rPr>
          <w:rFonts w:ascii="Arial" w:eastAsia="Calibri" w:hAnsi="Arial" w:cs="Arial"/>
          <w:b/>
          <w:sz w:val="22"/>
          <w:szCs w:val="22"/>
          <w:lang w:val="es-ES_tradnl"/>
        </w:rPr>
        <w:t>3. Respuesta</w:t>
      </w:r>
    </w:p>
    <w:p w14:paraId="44C629A5" w14:textId="77777777" w:rsidR="009212DA" w:rsidRPr="00686AD4" w:rsidRDefault="009212DA" w:rsidP="00C65049">
      <w:pPr>
        <w:tabs>
          <w:tab w:val="left" w:pos="0"/>
        </w:tabs>
        <w:jc w:val="both"/>
        <w:rPr>
          <w:rFonts w:ascii="Arial" w:eastAsia="Calibri" w:hAnsi="Arial" w:cs="Arial"/>
          <w:b/>
          <w:bCs/>
          <w:sz w:val="22"/>
          <w:szCs w:val="22"/>
          <w:lang w:val="es-ES_tradnl"/>
        </w:rPr>
      </w:pPr>
    </w:p>
    <w:p w14:paraId="54788C95" w14:textId="77777777" w:rsidR="00625A4F" w:rsidRDefault="009212DA" w:rsidP="00472B7A">
      <w:pPr>
        <w:autoSpaceDE w:val="0"/>
        <w:autoSpaceDN w:val="0"/>
        <w:adjustRightInd w:val="0"/>
        <w:ind w:left="708"/>
        <w:jc w:val="both"/>
        <w:rPr>
          <w:rFonts w:ascii="Arial" w:hAnsi="Arial" w:cs="Arial"/>
          <w:b/>
          <w:bCs/>
          <w:sz w:val="22"/>
          <w:szCs w:val="22"/>
          <w:lang w:val="es-ES_tradnl"/>
        </w:rPr>
      </w:pPr>
      <w:r w:rsidRPr="00686AD4">
        <w:rPr>
          <w:rFonts w:ascii="Arial" w:hAnsi="Arial" w:cs="Arial"/>
          <w:b/>
          <w:bCs/>
          <w:sz w:val="22"/>
          <w:szCs w:val="22"/>
        </w:rPr>
        <w:t>«</w:t>
      </w:r>
      <w:r w:rsidRPr="00686AD4">
        <w:rPr>
          <w:rFonts w:ascii="Arial" w:hAnsi="Arial" w:cs="Arial"/>
          <w:b/>
          <w:bCs/>
          <w:sz w:val="22"/>
          <w:szCs w:val="22"/>
          <w:lang w:val="es-ES_tradnl"/>
        </w:rPr>
        <w:t xml:space="preserve">1. ¿Para efectos de la ley de garantías, </w:t>
      </w:r>
      <w:proofErr w:type="gramStart"/>
      <w:r w:rsidRPr="00686AD4">
        <w:rPr>
          <w:rFonts w:ascii="Arial" w:hAnsi="Arial" w:cs="Arial"/>
          <w:b/>
          <w:bCs/>
          <w:sz w:val="22"/>
          <w:szCs w:val="22"/>
          <w:lang w:val="es-ES_tradnl"/>
        </w:rPr>
        <w:t>contratos interadministrativos y convenios interadministrativos</w:t>
      </w:r>
      <w:proofErr w:type="gramEnd"/>
      <w:r w:rsidRPr="00686AD4">
        <w:rPr>
          <w:rFonts w:ascii="Arial" w:hAnsi="Arial" w:cs="Arial"/>
          <w:b/>
          <w:bCs/>
          <w:sz w:val="22"/>
          <w:szCs w:val="22"/>
          <w:lang w:val="es-ES_tradnl"/>
        </w:rPr>
        <w:t xml:space="preserve"> son sinónimos? </w:t>
      </w:r>
    </w:p>
    <w:p w14:paraId="77BFE8B5" w14:textId="77777777" w:rsidR="00625A4F" w:rsidRDefault="00625A4F" w:rsidP="00472B7A">
      <w:pPr>
        <w:autoSpaceDE w:val="0"/>
        <w:autoSpaceDN w:val="0"/>
        <w:adjustRightInd w:val="0"/>
        <w:ind w:left="708"/>
        <w:jc w:val="both"/>
        <w:rPr>
          <w:rFonts w:ascii="Arial" w:hAnsi="Arial" w:cs="Arial"/>
          <w:b/>
          <w:bCs/>
          <w:sz w:val="22"/>
          <w:szCs w:val="22"/>
          <w:lang w:val="es-ES_tradnl"/>
        </w:rPr>
      </w:pPr>
    </w:p>
    <w:p w14:paraId="395F733C" w14:textId="77777777" w:rsidR="00625A4F" w:rsidRDefault="009212DA" w:rsidP="00472B7A">
      <w:pPr>
        <w:autoSpaceDE w:val="0"/>
        <w:autoSpaceDN w:val="0"/>
        <w:adjustRightInd w:val="0"/>
        <w:ind w:left="708"/>
        <w:jc w:val="both"/>
        <w:rPr>
          <w:rFonts w:ascii="Arial" w:hAnsi="Arial" w:cs="Arial"/>
          <w:b/>
          <w:bCs/>
          <w:sz w:val="22"/>
          <w:szCs w:val="22"/>
          <w:lang w:val="es-ES_tradnl"/>
        </w:rPr>
      </w:pPr>
      <w:r w:rsidRPr="00686AD4">
        <w:rPr>
          <w:rFonts w:ascii="Arial" w:hAnsi="Arial" w:cs="Arial"/>
          <w:b/>
          <w:bCs/>
          <w:sz w:val="22"/>
          <w:szCs w:val="22"/>
          <w:lang w:val="es-ES_tradnl"/>
        </w:rPr>
        <w:t xml:space="preserve">2. ¿Existe diferencia entre contrato y convenio interadministrativo? </w:t>
      </w:r>
    </w:p>
    <w:p w14:paraId="7F585615" w14:textId="77777777" w:rsidR="00625A4F" w:rsidRDefault="00625A4F" w:rsidP="00472B7A">
      <w:pPr>
        <w:autoSpaceDE w:val="0"/>
        <w:autoSpaceDN w:val="0"/>
        <w:adjustRightInd w:val="0"/>
        <w:ind w:left="708"/>
        <w:jc w:val="both"/>
        <w:rPr>
          <w:rFonts w:ascii="Arial" w:hAnsi="Arial" w:cs="Arial"/>
          <w:b/>
          <w:bCs/>
          <w:sz w:val="22"/>
          <w:szCs w:val="22"/>
          <w:lang w:val="es-ES_tradnl"/>
        </w:rPr>
      </w:pPr>
    </w:p>
    <w:p w14:paraId="34F701D1" w14:textId="77777777" w:rsidR="00625A4F" w:rsidRDefault="009212DA" w:rsidP="00472B7A">
      <w:pPr>
        <w:autoSpaceDE w:val="0"/>
        <w:autoSpaceDN w:val="0"/>
        <w:adjustRightInd w:val="0"/>
        <w:ind w:left="708"/>
        <w:jc w:val="both"/>
        <w:rPr>
          <w:rFonts w:ascii="Arial" w:hAnsi="Arial" w:cs="Arial"/>
          <w:b/>
          <w:bCs/>
          <w:sz w:val="22"/>
          <w:szCs w:val="22"/>
          <w:lang w:val="es-ES_tradnl"/>
        </w:rPr>
      </w:pPr>
      <w:r w:rsidRPr="00686AD4">
        <w:rPr>
          <w:rFonts w:ascii="Arial" w:hAnsi="Arial" w:cs="Arial"/>
          <w:b/>
          <w:bCs/>
          <w:sz w:val="22"/>
          <w:szCs w:val="22"/>
          <w:lang w:val="es-ES_tradnl"/>
        </w:rPr>
        <w:t xml:space="preserve">3. ¿La restricción contenida en el artículo 33 de la Ley 996 de 2005 y de manera especial a los contratos interadministrativos en los términos del Art. 2 numeral 4 de la Ley 1150 de 2007, se debe entender que también aplica a los convenios interadministrativos? </w:t>
      </w:r>
    </w:p>
    <w:p w14:paraId="385EA339" w14:textId="77777777" w:rsidR="00625A4F" w:rsidRDefault="00625A4F" w:rsidP="00472B7A">
      <w:pPr>
        <w:autoSpaceDE w:val="0"/>
        <w:autoSpaceDN w:val="0"/>
        <w:adjustRightInd w:val="0"/>
        <w:ind w:left="708"/>
        <w:jc w:val="both"/>
        <w:rPr>
          <w:rFonts w:ascii="Arial" w:hAnsi="Arial" w:cs="Arial"/>
          <w:b/>
          <w:bCs/>
          <w:sz w:val="22"/>
          <w:szCs w:val="22"/>
          <w:lang w:val="es-ES_tradnl"/>
        </w:rPr>
      </w:pPr>
    </w:p>
    <w:p w14:paraId="59FD0E35" w14:textId="77777777" w:rsidR="00625A4F" w:rsidRDefault="009212DA" w:rsidP="20B61737">
      <w:pPr>
        <w:autoSpaceDE w:val="0"/>
        <w:autoSpaceDN w:val="0"/>
        <w:adjustRightInd w:val="0"/>
        <w:ind w:left="708"/>
        <w:jc w:val="both"/>
        <w:rPr>
          <w:rFonts w:ascii="Arial" w:hAnsi="Arial" w:cs="Arial"/>
          <w:b/>
          <w:bCs/>
          <w:sz w:val="22"/>
          <w:szCs w:val="22"/>
          <w:lang w:val="es-ES"/>
        </w:rPr>
      </w:pPr>
      <w:r w:rsidRPr="20B61737">
        <w:rPr>
          <w:rFonts w:ascii="Arial" w:hAnsi="Arial" w:cs="Arial"/>
          <w:b/>
          <w:bCs/>
          <w:sz w:val="22"/>
          <w:szCs w:val="22"/>
          <w:lang w:val="es-ES"/>
        </w:rPr>
        <w:t xml:space="preserve">4. ¿Se puede entender que el artículo 38 de la Ley 996 de 2005 realizó una distinción entre contratos y convenios interadministrativos para efectos de darle un tratamiento limitante diferente en época electorales, en los términos de la Sentencia C-005/96 que indica respecto de la preferencia entre una norma general y una norma especial? </w:t>
      </w:r>
    </w:p>
    <w:p w14:paraId="7907965F" w14:textId="77777777" w:rsidR="00625A4F" w:rsidRDefault="00625A4F" w:rsidP="00472B7A">
      <w:pPr>
        <w:autoSpaceDE w:val="0"/>
        <w:autoSpaceDN w:val="0"/>
        <w:adjustRightInd w:val="0"/>
        <w:ind w:left="708"/>
        <w:jc w:val="both"/>
        <w:rPr>
          <w:rFonts w:ascii="Arial" w:hAnsi="Arial" w:cs="Arial"/>
          <w:b/>
          <w:bCs/>
          <w:sz w:val="22"/>
          <w:szCs w:val="22"/>
          <w:lang w:val="es-ES_tradnl"/>
        </w:rPr>
      </w:pPr>
    </w:p>
    <w:p w14:paraId="013877E3" w14:textId="5C16FD7D" w:rsidR="009212DA" w:rsidRPr="00686AD4" w:rsidRDefault="009212DA" w:rsidP="20B61737">
      <w:pPr>
        <w:autoSpaceDE w:val="0"/>
        <w:autoSpaceDN w:val="0"/>
        <w:adjustRightInd w:val="0"/>
        <w:ind w:left="708"/>
        <w:jc w:val="both"/>
        <w:rPr>
          <w:rFonts w:ascii="Arial" w:hAnsi="Arial" w:cs="Arial"/>
          <w:b/>
          <w:bCs/>
          <w:sz w:val="22"/>
          <w:szCs w:val="22"/>
          <w:lang w:val="es-ES"/>
        </w:rPr>
      </w:pPr>
      <w:r w:rsidRPr="20B61737">
        <w:rPr>
          <w:rFonts w:ascii="Arial" w:hAnsi="Arial" w:cs="Arial"/>
          <w:b/>
          <w:bCs/>
          <w:sz w:val="22"/>
          <w:szCs w:val="22"/>
          <w:lang w:val="es-ES"/>
        </w:rPr>
        <w:t xml:space="preserve">5. En ejercicio del ius puniendi del estado y en los términos de la Sentencia T-1039/06, es factible hacer una interpretación extensiva de la definición de contratos interadministrativos para efectos de entender al convenio como sinónimo? </w:t>
      </w:r>
    </w:p>
    <w:p w14:paraId="6E5BE3E1" w14:textId="77777777" w:rsidR="009212DA" w:rsidRPr="00C65049" w:rsidRDefault="009212DA" w:rsidP="00C65049">
      <w:pPr>
        <w:autoSpaceDE w:val="0"/>
        <w:autoSpaceDN w:val="0"/>
        <w:adjustRightInd w:val="0"/>
        <w:jc w:val="both"/>
        <w:rPr>
          <w:rFonts w:ascii="Arial" w:hAnsi="Arial" w:cs="Arial"/>
          <w:sz w:val="22"/>
          <w:szCs w:val="22"/>
          <w:lang w:val="es-ES_tradnl"/>
        </w:rPr>
      </w:pPr>
    </w:p>
    <w:p w14:paraId="56421338" w14:textId="29AFE4B6" w:rsidR="009212DA" w:rsidRDefault="009212DA" w:rsidP="00472B7A">
      <w:pPr>
        <w:autoSpaceDE w:val="0"/>
        <w:autoSpaceDN w:val="0"/>
        <w:adjustRightInd w:val="0"/>
        <w:ind w:firstLine="708"/>
        <w:jc w:val="both"/>
        <w:rPr>
          <w:rFonts w:ascii="Arial" w:eastAsia="Arial" w:hAnsi="Arial" w:cs="Arial"/>
          <w:sz w:val="22"/>
          <w:szCs w:val="22"/>
          <w:lang w:val="es-MX"/>
        </w:rPr>
      </w:pPr>
      <w:proofErr w:type="gramStart"/>
      <w:r w:rsidRPr="00C65049">
        <w:rPr>
          <w:rFonts w:ascii="Arial" w:hAnsi="Arial" w:cs="Arial"/>
          <w:sz w:val="22"/>
          <w:szCs w:val="22"/>
          <w:lang w:val="es-ES_tradnl"/>
        </w:rPr>
        <w:t>De acuerdo a</w:t>
      </w:r>
      <w:proofErr w:type="gramEnd"/>
      <w:r w:rsidRPr="00C65049">
        <w:rPr>
          <w:rFonts w:ascii="Arial" w:hAnsi="Arial" w:cs="Arial"/>
          <w:sz w:val="22"/>
          <w:szCs w:val="22"/>
          <w:lang w:val="es-ES_tradnl"/>
        </w:rPr>
        <w:t xml:space="preserve"> las consideraciones </w:t>
      </w:r>
      <w:r w:rsidR="00472B7A">
        <w:rPr>
          <w:rFonts w:ascii="Arial" w:hAnsi="Arial" w:cs="Arial"/>
          <w:sz w:val="22"/>
          <w:szCs w:val="22"/>
          <w:lang w:val="es-ES_tradnl"/>
        </w:rPr>
        <w:t>expuestas</w:t>
      </w:r>
      <w:r w:rsidRPr="00C65049">
        <w:rPr>
          <w:rFonts w:ascii="Arial" w:hAnsi="Arial" w:cs="Arial"/>
          <w:sz w:val="22"/>
          <w:szCs w:val="22"/>
          <w:lang w:val="es-ES_tradnl"/>
        </w:rPr>
        <w:t xml:space="preserve">, </w:t>
      </w:r>
      <w:r w:rsidRPr="00C65049">
        <w:rPr>
          <w:rFonts w:ascii="Arial" w:eastAsia="Arial" w:hAnsi="Arial" w:cs="Arial"/>
          <w:sz w:val="22"/>
          <w:szCs w:val="22"/>
          <w:lang w:val="es-MX"/>
        </w:rPr>
        <w:t>se reitera la conclusión en el sentido de que lo que define los contratos o convenios interadministrativos es la naturaleza de las partes, de manera que están determinados por un criterio orgánico, en el sentido de que lo serán aquellos celebrados entre entidades estatales. Además, como se indicó en la Circular Externa Única de Colombia Compra Eficiente no existe una definición legal que diferencie los conceptos de contrato y convenio, por lo que se partió de su asimilación para la aplicación de la Ley de Garantías. En tal sentido, las referencias realizadas por el legislador a estos términos deben asimilarse, salvo que de su contenido se logre inferir que se le quiere otorgar un contenido en particular, pues como se expresó, el legislador utiliza estos conceptos de forma indistinta.</w:t>
      </w:r>
    </w:p>
    <w:p w14:paraId="621BF0C6" w14:textId="77777777" w:rsidR="00472B7A" w:rsidRPr="00C65049" w:rsidRDefault="00472B7A" w:rsidP="00C65049">
      <w:pPr>
        <w:autoSpaceDE w:val="0"/>
        <w:autoSpaceDN w:val="0"/>
        <w:adjustRightInd w:val="0"/>
        <w:jc w:val="both"/>
        <w:rPr>
          <w:rFonts w:ascii="Arial" w:hAnsi="Arial" w:cs="Arial"/>
          <w:sz w:val="22"/>
          <w:szCs w:val="22"/>
          <w:lang w:val="es-ES_tradnl"/>
        </w:rPr>
      </w:pPr>
    </w:p>
    <w:p w14:paraId="3FE820B0" w14:textId="77777777" w:rsidR="009212DA" w:rsidRPr="00C65049" w:rsidRDefault="009212DA" w:rsidP="00472B7A">
      <w:pPr>
        <w:widowControl w:val="0"/>
        <w:pBdr>
          <w:top w:val="nil"/>
          <w:left w:val="nil"/>
          <w:bottom w:val="nil"/>
          <w:right w:val="nil"/>
          <w:between w:val="nil"/>
        </w:pBdr>
        <w:ind w:firstLine="708"/>
        <w:jc w:val="both"/>
        <w:rPr>
          <w:rFonts w:ascii="Arial" w:eastAsia="Arial" w:hAnsi="Arial" w:cs="Arial"/>
          <w:sz w:val="22"/>
          <w:szCs w:val="22"/>
          <w:lang w:val="es-MX"/>
        </w:rPr>
      </w:pPr>
      <w:r w:rsidRPr="00C65049">
        <w:rPr>
          <w:rFonts w:ascii="Arial" w:eastAsia="Arial" w:hAnsi="Arial" w:cs="Arial"/>
          <w:sz w:val="22"/>
          <w:szCs w:val="22"/>
          <w:lang w:val="es-MX"/>
        </w:rPr>
        <w:t xml:space="preserve">Se observa entonces que el parágrafo del artículo 38 de la Ley 996 de 2005 prohíbe a los alcaldes, gobernadores, secretarios, gerentes y directores de las entidades del orden municipal, departamental o distrital celebrar convenios y contratos interadministrativos para la ejecución de recursos públicos. En este sentido, si una o ambas partes de la relación contractual es una entidad de aquellas descritas en el parágrafo </w:t>
      </w:r>
      <w:r w:rsidRPr="00C65049">
        <w:rPr>
          <w:rFonts w:ascii="Arial" w:eastAsia="Arial" w:hAnsi="Arial" w:cs="Arial"/>
          <w:i/>
          <w:sz w:val="22"/>
          <w:szCs w:val="22"/>
          <w:lang w:val="es-MX"/>
        </w:rPr>
        <w:t>ibidem</w:t>
      </w:r>
      <w:r w:rsidRPr="00C65049">
        <w:rPr>
          <w:rFonts w:ascii="Arial" w:eastAsia="Arial" w:hAnsi="Arial" w:cs="Arial"/>
          <w:sz w:val="22"/>
          <w:szCs w:val="22"/>
          <w:lang w:val="es-MX"/>
        </w:rPr>
        <w:t>, no podrá celebrar tales convenios o contratos durante la aplicación de la ley de garantías, toda vez que la citada disposición hace referencia a dicha tipología contractual sin que el legislador hubiere contemplado excepción alguna frente a la modalidad de selección o naturaleza de su objeto.</w:t>
      </w:r>
    </w:p>
    <w:p w14:paraId="100B30B4" w14:textId="77777777" w:rsidR="00686AD4" w:rsidRDefault="00686AD4" w:rsidP="009664EC">
      <w:pPr>
        <w:widowControl w:val="0"/>
        <w:pBdr>
          <w:top w:val="nil"/>
          <w:left w:val="nil"/>
          <w:bottom w:val="nil"/>
          <w:right w:val="nil"/>
          <w:between w:val="nil"/>
        </w:pBdr>
        <w:jc w:val="both"/>
        <w:rPr>
          <w:rFonts w:ascii="Arial" w:eastAsia="Arial" w:hAnsi="Arial" w:cs="Arial"/>
          <w:sz w:val="22"/>
          <w:szCs w:val="22"/>
          <w:lang w:val="es-MX"/>
        </w:rPr>
      </w:pPr>
    </w:p>
    <w:p w14:paraId="473AD581" w14:textId="556147C5" w:rsidR="009212DA" w:rsidRPr="00C65049" w:rsidRDefault="009212DA" w:rsidP="00472B7A">
      <w:pPr>
        <w:widowControl w:val="0"/>
        <w:pBdr>
          <w:top w:val="nil"/>
          <w:left w:val="nil"/>
          <w:bottom w:val="nil"/>
          <w:right w:val="nil"/>
          <w:between w:val="nil"/>
        </w:pBdr>
        <w:ind w:firstLine="708"/>
        <w:jc w:val="both"/>
        <w:rPr>
          <w:rFonts w:ascii="Arial" w:eastAsia="Arial" w:hAnsi="Arial" w:cs="Arial"/>
          <w:sz w:val="22"/>
          <w:szCs w:val="22"/>
          <w:lang w:val="es-MX"/>
        </w:rPr>
      </w:pPr>
      <w:r w:rsidRPr="00C65049">
        <w:rPr>
          <w:rFonts w:ascii="Arial" w:eastAsia="Arial" w:hAnsi="Arial" w:cs="Arial"/>
          <w:sz w:val="22"/>
          <w:szCs w:val="22"/>
          <w:lang w:val="es-MX"/>
        </w:rPr>
        <w:t xml:space="preserve">Finalmente, en lo referente al alcance de la prohibición del artículo 33 de la Ley 996 de 2005,  </w:t>
      </w:r>
      <w:r w:rsidRPr="00C65049">
        <w:rPr>
          <w:rFonts w:ascii="Arial" w:hAnsi="Arial" w:cs="Arial"/>
          <w:sz w:val="22"/>
          <w:szCs w:val="22"/>
          <w:lang w:eastAsia="x-none"/>
        </w:rPr>
        <w:t xml:space="preserve">debe entenderse por “contratación directa”, cualquier sistema de selección o procedimiento de contratación utilizado por las entidades estatales que no incluya la convocatoria pública, en alguna de sus etapas, ni permita la participación de una pluralidad de oferentes, por lo que no hace referencia de manera exclusiva a la modalidad de selección de contratación directa contemplada en el numeral 4 del artículo 2 de la Ley 1150 de 2007. </w:t>
      </w:r>
    </w:p>
    <w:p w14:paraId="069CE15B" w14:textId="77777777" w:rsidR="009212DA" w:rsidRPr="00C65049" w:rsidRDefault="009212DA" w:rsidP="00C65049">
      <w:pPr>
        <w:widowControl w:val="0"/>
        <w:pBdr>
          <w:top w:val="nil"/>
          <w:left w:val="nil"/>
          <w:bottom w:val="nil"/>
          <w:right w:val="nil"/>
          <w:between w:val="nil"/>
        </w:pBdr>
        <w:jc w:val="both"/>
        <w:rPr>
          <w:rFonts w:ascii="Arial" w:eastAsia="Arial" w:hAnsi="Arial" w:cs="Arial"/>
          <w:sz w:val="22"/>
          <w:szCs w:val="22"/>
          <w:lang w:val="es-MX"/>
        </w:rPr>
      </w:pPr>
    </w:p>
    <w:p w14:paraId="4B7E18EE" w14:textId="4AD31C54" w:rsidR="009212DA" w:rsidRDefault="00472B7A" w:rsidP="00472B7A">
      <w:pPr>
        <w:autoSpaceDE w:val="0"/>
        <w:autoSpaceDN w:val="0"/>
        <w:adjustRightInd w:val="0"/>
        <w:ind w:left="708"/>
        <w:jc w:val="both"/>
        <w:rPr>
          <w:rFonts w:ascii="Arial" w:hAnsi="Arial" w:cs="Arial"/>
          <w:b/>
          <w:sz w:val="22"/>
          <w:szCs w:val="22"/>
          <w:lang w:eastAsia="es-CO"/>
        </w:rPr>
      </w:pPr>
      <w:r w:rsidRPr="00686AD4">
        <w:rPr>
          <w:rFonts w:ascii="Arial" w:hAnsi="Arial" w:cs="Arial"/>
          <w:b/>
          <w:sz w:val="22"/>
          <w:szCs w:val="22"/>
        </w:rPr>
        <w:t>«</w:t>
      </w:r>
      <w:r w:rsidR="009212DA" w:rsidRPr="00686AD4">
        <w:rPr>
          <w:rFonts w:ascii="Arial" w:hAnsi="Arial" w:cs="Arial"/>
          <w:b/>
          <w:sz w:val="22"/>
          <w:szCs w:val="22"/>
          <w:lang w:eastAsia="es-CO"/>
        </w:rPr>
        <w:t xml:space="preserve">6. En los términos establecidos en la ley de garantías, modificada por el artículo 124 de la Ley 2159 de 2021, ¿Es factible la suscripción de convenios interadministrativos entre entidades del orden Nacional en donde no se ejecute recursos públicos? </w:t>
      </w:r>
    </w:p>
    <w:p w14:paraId="70653C19" w14:textId="77777777" w:rsidR="00941415" w:rsidRDefault="00941415" w:rsidP="00472B7A">
      <w:pPr>
        <w:autoSpaceDE w:val="0"/>
        <w:autoSpaceDN w:val="0"/>
        <w:adjustRightInd w:val="0"/>
        <w:ind w:left="708"/>
        <w:jc w:val="both"/>
        <w:rPr>
          <w:rFonts w:ascii="Arial" w:hAnsi="Arial" w:cs="Arial"/>
          <w:b/>
          <w:sz w:val="22"/>
          <w:szCs w:val="22"/>
          <w:lang w:eastAsia="es-CO"/>
        </w:rPr>
      </w:pPr>
    </w:p>
    <w:p w14:paraId="1FF2990F" w14:textId="5F10AE23" w:rsidR="00941415" w:rsidRDefault="00941415" w:rsidP="00472B7A">
      <w:pPr>
        <w:autoSpaceDE w:val="0"/>
        <w:autoSpaceDN w:val="0"/>
        <w:adjustRightInd w:val="0"/>
        <w:ind w:left="708"/>
        <w:jc w:val="both"/>
        <w:rPr>
          <w:rFonts w:ascii="Arial" w:hAnsi="Arial" w:cs="Arial"/>
          <w:b/>
          <w:sz w:val="22"/>
          <w:szCs w:val="22"/>
          <w:lang w:eastAsia="es-CO"/>
        </w:rPr>
      </w:pPr>
      <w:r>
        <w:rPr>
          <w:rFonts w:ascii="Arial" w:hAnsi="Arial" w:cs="Arial"/>
          <w:b/>
          <w:sz w:val="22"/>
          <w:szCs w:val="22"/>
          <w:lang w:eastAsia="es-CO"/>
        </w:rPr>
        <w:t>(…)</w:t>
      </w:r>
    </w:p>
    <w:p w14:paraId="2A13EE98" w14:textId="77777777" w:rsidR="00625A4F" w:rsidRPr="00C65049" w:rsidRDefault="00625A4F" w:rsidP="00625A4F">
      <w:pPr>
        <w:autoSpaceDE w:val="0"/>
        <w:autoSpaceDN w:val="0"/>
        <w:adjustRightInd w:val="0"/>
        <w:jc w:val="both"/>
        <w:rPr>
          <w:rFonts w:ascii="Arial" w:hAnsi="Arial" w:cs="Arial"/>
          <w:bCs/>
          <w:sz w:val="22"/>
          <w:szCs w:val="22"/>
          <w:lang w:eastAsia="es-CO"/>
        </w:rPr>
      </w:pPr>
    </w:p>
    <w:p w14:paraId="59B507C5" w14:textId="10F80682" w:rsidR="00625A4F" w:rsidRDefault="00625A4F" w:rsidP="00625A4F">
      <w:pPr>
        <w:autoSpaceDE w:val="0"/>
        <w:autoSpaceDN w:val="0"/>
        <w:adjustRightInd w:val="0"/>
        <w:ind w:left="708"/>
        <w:jc w:val="both"/>
        <w:rPr>
          <w:rFonts w:ascii="Arial" w:hAnsi="Arial" w:cs="Arial"/>
          <w:b/>
          <w:sz w:val="22"/>
          <w:szCs w:val="22"/>
          <w:lang w:val="es-ES_tradnl"/>
        </w:rPr>
      </w:pPr>
      <w:r w:rsidRPr="00686AD4">
        <w:rPr>
          <w:rFonts w:ascii="Arial" w:hAnsi="Arial" w:cs="Arial"/>
          <w:b/>
          <w:sz w:val="22"/>
          <w:szCs w:val="22"/>
        </w:rPr>
        <w:t>«</w:t>
      </w:r>
      <w:r w:rsidRPr="00686AD4">
        <w:rPr>
          <w:rFonts w:ascii="Arial" w:hAnsi="Arial" w:cs="Arial"/>
          <w:b/>
          <w:sz w:val="22"/>
          <w:szCs w:val="22"/>
          <w:lang w:val="es-ES_tradnl"/>
        </w:rPr>
        <w:t xml:space="preserve">8. ¿La expresión </w:t>
      </w:r>
      <w:r w:rsidRPr="00686AD4">
        <w:rPr>
          <w:rFonts w:ascii="Arial" w:hAnsi="Arial" w:cs="Arial"/>
          <w:b/>
          <w:i/>
          <w:sz w:val="22"/>
          <w:szCs w:val="22"/>
          <w:lang w:val="es-ES_tradnl"/>
        </w:rPr>
        <w:t>“ejecutar programas y proyectos correspondientes al Presupuesto General de la Nación”</w:t>
      </w:r>
      <w:r w:rsidRPr="00686AD4">
        <w:rPr>
          <w:rFonts w:ascii="Arial" w:hAnsi="Arial" w:cs="Arial"/>
          <w:b/>
          <w:sz w:val="22"/>
          <w:szCs w:val="22"/>
          <w:lang w:val="es-ES_tradnl"/>
        </w:rPr>
        <w:t>, implica necesariamente el compromiso de recursos de la Nación, o solamente con que la actividad a desarrollar esté contemplada en el Presupuesto General de la Nación, se entiende cumplida la condición?</w:t>
      </w:r>
    </w:p>
    <w:p w14:paraId="161E58F5" w14:textId="25477D88" w:rsidR="00625A4F" w:rsidRDefault="00625A4F" w:rsidP="00625A4F">
      <w:pPr>
        <w:autoSpaceDE w:val="0"/>
        <w:autoSpaceDN w:val="0"/>
        <w:adjustRightInd w:val="0"/>
        <w:ind w:left="708"/>
        <w:jc w:val="both"/>
        <w:rPr>
          <w:rFonts w:ascii="Arial" w:hAnsi="Arial" w:cs="Arial"/>
          <w:b/>
          <w:sz w:val="22"/>
          <w:szCs w:val="22"/>
          <w:lang w:val="es-ES_tradnl"/>
        </w:rPr>
      </w:pPr>
    </w:p>
    <w:p w14:paraId="42A78BAB" w14:textId="17CA88CC" w:rsidR="00625A4F" w:rsidRPr="00686AD4" w:rsidRDefault="00625A4F" w:rsidP="00625A4F">
      <w:pPr>
        <w:autoSpaceDE w:val="0"/>
        <w:autoSpaceDN w:val="0"/>
        <w:adjustRightInd w:val="0"/>
        <w:ind w:left="708"/>
        <w:jc w:val="both"/>
        <w:rPr>
          <w:rFonts w:ascii="Arial" w:hAnsi="Arial" w:cs="Arial"/>
          <w:b/>
          <w:sz w:val="22"/>
          <w:szCs w:val="22"/>
          <w:lang w:eastAsia="es-CO"/>
        </w:rPr>
      </w:pPr>
      <w:r>
        <w:rPr>
          <w:rFonts w:ascii="Arial" w:hAnsi="Arial" w:cs="Arial"/>
          <w:b/>
          <w:sz w:val="22"/>
          <w:szCs w:val="22"/>
          <w:lang w:val="es-ES_tradnl"/>
        </w:rPr>
        <w:t>(…)</w:t>
      </w:r>
    </w:p>
    <w:p w14:paraId="289517CA" w14:textId="7ABE6A09" w:rsidR="00941415" w:rsidRDefault="00941415" w:rsidP="00625A4F">
      <w:pPr>
        <w:autoSpaceDE w:val="0"/>
        <w:autoSpaceDN w:val="0"/>
        <w:adjustRightInd w:val="0"/>
        <w:jc w:val="both"/>
        <w:rPr>
          <w:rFonts w:ascii="Arial" w:hAnsi="Arial" w:cs="Arial"/>
          <w:b/>
          <w:sz w:val="22"/>
          <w:szCs w:val="22"/>
          <w:lang w:eastAsia="es-CO"/>
        </w:rPr>
      </w:pPr>
    </w:p>
    <w:p w14:paraId="797D022E" w14:textId="77777777" w:rsidR="00941415" w:rsidRDefault="00941415" w:rsidP="00941415">
      <w:pPr>
        <w:autoSpaceDE w:val="0"/>
        <w:autoSpaceDN w:val="0"/>
        <w:adjustRightInd w:val="0"/>
        <w:ind w:left="709"/>
        <w:jc w:val="both"/>
        <w:rPr>
          <w:rFonts w:ascii="Arial" w:hAnsi="Arial" w:cs="Arial"/>
          <w:b/>
          <w:sz w:val="22"/>
          <w:szCs w:val="22"/>
          <w:lang w:val="es-ES_tradnl"/>
        </w:rPr>
      </w:pPr>
      <w:r w:rsidRPr="00686AD4">
        <w:rPr>
          <w:rFonts w:ascii="Arial" w:hAnsi="Arial" w:cs="Arial"/>
          <w:b/>
          <w:sz w:val="22"/>
          <w:szCs w:val="22"/>
        </w:rPr>
        <w:t>«</w:t>
      </w:r>
      <w:r w:rsidRPr="00686AD4">
        <w:rPr>
          <w:rFonts w:ascii="Arial" w:hAnsi="Arial" w:cs="Arial"/>
          <w:b/>
          <w:sz w:val="22"/>
          <w:szCs w:val="22"/>
          <w:lang w:val="es-ES_tradnl"/>
        </w:rPr>
        <w:t xml:space="preserve">9. ¿Los entes territoriales pueden aportar recursos de su presupuesto para financiar los convenios que se suscriban con la Nación en el marco de lo establecido en el artículo 124 de la Ley 2159 de 2021, o solo es posible </w:t>
      </w:r>
      <w:r w:rsidRPr="00686AD4">
        <w:rPr>
          <w:rFonts w:ascii="Arial" w:hAnsi="Arial" w:cs="Arial"/>
          <w:b/>
          <w:sz w:val="22"/>
          <w:szCs w:val="22"/>
          <w:lang w:val="es-ES_tradnl"/>
        </w:rPr>
        <w:lastRenderedPageBreak/>
        <w:t xml:space="preserve">suscribir esta clase de convenios para ejecutar programas y proyectos correspondientes únicamente al Presupuesto General de la Nación? </w:t>
      </w:r>
    </w:p>
    <w:p w14:paraId="0E642578" w14:textId="77777777" w:rsidR="00941415" w:rsidRDefault="00941415" w:rsidP="00941415">
      <w:pPr>
        <w:autoSpaceDE w:val="0"/>
        <w:autoSpaceDN w:val="0"/>
        <w:adjustRightInd w:val="0"/>
        <w:ind w:left="709"/>
        <w:jc w:val="both"/>
        <w:rPr>
          <w:rFonts w:ascii="Arial" w:hAnsi="Arial" w:cs="Arial"/>
          <w:b/>
          <w:sz w:val="22"/>
          <w:szCs w:val="22"/>
          <w:lang w:val="es-ES_tradnl"/>
        </w:rPr>
      </w:pPr>
    </w:p>
    <w:p w14:paraId="17BC4066" w14:textId="4BC98E47" w:rsidR="00941415" w:rsidRPr="00686AD4" w:rsidRDefault="00941415" w:rsidP="00941415">
      <w:pPr>
        <w:autoSpaceDE w:val="0"/>
        <w:autoSpaceDN w:val="0"/>
        <w:adjustRightInd w:val="0"/>
        <w:ind w:left="709"/>
        <w:jc w:val="both"/>
        <w:rPr>
          <w:rFonts w:ascii="Arial" w:hAnsi="Arial" w:cs="Arial"/>
          <w:b/>
          <w:sz w:val="22"/>
          <w:szCs w:val="22"/>
          <w:lang w:eastAsia="es-CO"/>
        </w:rPr>
      </w:pPr>
      <w:r w:rsidRPr="00686AD4">
        <w:rPr>
          <w:rFonts w:ascii="Arial" w:hAnsi="Arial" w:cs="Arial"/>
          <w:b/>
          <w:sz w:val="22"/>
          <w:szCs w:val="22"/>
          <w:lang w:val="es-ES_tradnl"/>
        </w:rPr>
        <w:t>10. ¿Si se llegare a entender que la finalidad del convenio sea la de ejecutar programas y proyectos del Presupuesto General de la Nación, indicaría de manera genérica que puede haber aportes de la Nación y del Ente Territorial en dinero, bajo el entendido que la actividad a desarrollar cumple con los cometidos del programa o proyecto que está en el Presupuesto General de la Nación?</w:t>
      </w:r>
    </w:p>
    <w:p w14:paraId="3F8F3721" w14:textId="4C664197" w:rsidR="009212DA" w:rsidRDefault="009212DA" w:rsidP="00C65049">
      <w:pPr>
        <w:autoSpaceDE w:val="0"/>
        <w:autoSpaceDN w:val="0"/>
        <w:adjustRightInd w:val="0"/>
        <w:jc w:val="both"/>
        <w:rPr>
          <w:rFonts w:ascii="Arial" w:hAnsi="Arial" w:cs="Arial"/>
          <w:bCs/>
          <w:sz w:val="22"/>
          <w:szCs w:val="22"/>
          <w:lang w:eastAsia="es-CO"/>
        </w:rPr>
      </w:pPr>
    </w:p>
    <w:p w14:paraId="333C270C" w14:textId="77777777" w:rsidR="00625A4F" w:rsidRPr="00686AD4" w:rsidRDefault="00625A4F" w:rsidP="00625A4F">
      <w:pPr>
        <w:autoSpaceDE w:val="0"/>
        <w:autoSpaceDN w:val="0"/>
        <w:adjustRightInd w:val="0"/>
        <w:ind w:left="708"/>
        <w:jc w:val="both"/>
        <w:rPr>
          <w:rFonts w:ascii="Arial" w:hAnsi="Arial" w:cs="Arial"/>
          <w:b/>
          <w:bCs/>
          <w:sz w:val="22"/>
          <w:szCs w:val="22"/>
          <w:lang w:val="es-ES_tradnl"/>
        </w:rPr>
      </w:pPr>
      <w:r w:rsidRPr="00686AD4">
        <w:rPr>
          <w:rFonts w:ascii="Arial" w:hAnsi="Arial" w:cs="Arial"/>
          <w:b/>
          <w:bCs/>
          <w:sz w:val="22"/>
          <w:szCs w:val="22"/>
          <w:lang w:val="es-ES_tradnl"/>
        </w:rPr>
        <w:t xml:space="preserve">11. ¿Ante la restricción establecida en el artículo 33 de la Ley 996 de 2005, el parágrafo del artículo 38 del mismo estatuto y la modificación temporal contenida en el artículo 124 de la Ley 2159 de 2021, es factible suscribir convenios interadministrativos con entidades territoriales para ejecutar recursos del Presupuesto General de la Nación? </w:t>
      </w:r>
    </w:p>
    <w:p w14:paraId="09EF0FC1" w14:textId="77777777" w:rsidR="00625A4F" w:rsidRPr="00625A4F" w:rsidRDefault="00625A4F" w:rsidP="00C65049">
      <w:pPr>
        <w:autoSpaceDE w:val="0"/>
        <w:autoSpaceDN w:val="0"/>
        <w:adjustRightInd w:val="0"/>
        <w:jc w:val="both"/>
        <w:rPr>
          <w:rFonts w:ascii="Arial" w:hAnsi="Arial" w:cs="Arial"/>
          <w:bCs/>
          <w:sz w:val="22"/>
          <w:szCs w:val="22"/>
          <w:lang w:val="es-ES_tradnl" w:eastAsia="es-CO"/>
        </w:rPr>
      </w:pPr>
    </w:p>
    <w:p w14:paraId="0A95EF01" w14:textId="18BBF92C" w:rsidR="00941415" w:rsidRDefault="00941415" w:rsidP="00941415">
      <w:pPr>
        <w:spacing w:before="120" w:after="120" w:line="276" w:lineRule="auto"/>
        <w:ind w:firstLine="709"/>
        <w:jc w:val="both"/>
        <w:rPr>
          <w:rFonts w:ascii="Arial" w:eastAsia="Calibri" w:hAnsi="Arial" w:cs="Arial"/>
          <w:sz w:val="22"/>
          <w:szCs w:val="22"/>
          <w:lang w:val="es-ES_tradnl"/>
        </w:rPr>
      </w:pPr>
      <w:r>
        <w:rPr>
          <w:rFonts w:ascii="Arial" w:eastAsia="Calibri" w:hAnsi="Arial" w:cs="Arial"/>
          <w:sz w:val="22"/>
          <w:szCs w:val="22"/>
          <w:lang w:val="es-ES_tradnl"/>
        </w:rPr>
        <w:t xml:space="preserve">Existe carencia actual de objeto, por sustracción de materia, debido a que la norma frente a la cual se formula una consulta a la Agencia Nacional de Contratación Pública – Colombia Compra Eficiente ha sido declarada inexequible por la Corte Constitucional, porque en tal caso la norma no es </w:t>
      </w:r>
      <w:r>
        <w:rPr>
          <w:rFonts w:ascii="Arial" w:eastAsia="Calibri" w:hAnsi="Arial" w:cs="Arial"/>
          <w:i/>
          <w:iCs/>
          <w:sz w:val="22"/>
          <w:szCs w:val="22"/>
          <w:lang w:val="es-ES_tradnl"/>
        </w:rPr>
        <w:t>aplicable</w:t>
      </w:r>
      <w:r>
        <w:rPr>
          <w:rFonts w:ascii="Arial" w:eastAsia="Calibri" w:hAnsi="Arial" w:cs="Arial"/>
          <w:sz w:val="22"/>
          <w:szCs w:val="22"/>
          <w:lang w:val="es-ES_tradnl"/>
        </w:rPr>
        <w:t xml:space="preserve">, como ya se indicó, pues no cumple con la condición establecida en los artículos 3, numeral 5 y 11, numeral 8, del Decreto-Ley 4170 de 2011. Estas disposiciones –se reitera– solo le permiten a la Agencia emitir conceptos sobre la interpretación de normas </w:t>
      </w:r>
      <w:r>
        <w:rPr>
          <w:rFonts w:ascii="Arial" w:eastAsia="Calibri" w:hAnsi="Arial" w:cs="Arial"/>
          <w:i/>
          <w:iCs/>
          <w:sz w:val="22"/>
          <w:szCs w:val="22"/>
          <w:lang w:val="es-ES_tradnl"/>
        </w:rPr>
        <w:t>aplicables</w:t>
      </w:r>
      <w:r>
        <w:rPr>
          <w:rFonts w:ascii="Arial" w:eastAsia="Calibri" w:hAnsi="Arial" w:cs="Arial"/>
          <w:sz w:val="22"/>
          <w:szCs w:val="22"/>
          <w:lang w:val="es-ES_tradnl"/>
        </w:rPr>
        <w:t>, es decir, que estén aún vigentes en el ordenamiento jurídico. Además, las normas que consagran las competencias de las autoridades deben interpretarse de manera restrictiva. Así se deduce del artículo 6 de la Constitución, que hace responsables a los servidores públicos, entre otros eventos, por «</w:t>
      </w:r>
      <w:r w:rsidRPr="00BD5D34">
        <w:rPr>
          <w:rFonts w:ascii="Arial" w:eastAsia="Calibri" w:hAnsi="Arial" w:cs="Arial"/>
          <w:sz w:val="22"/>
          <w:szCs w:val="22"/>
          <w:lang w:val="es-ES_tradnl"/>
        </w:rPr>
        <w:t>extralimitación en el ejercicio de sus funciones</w:t>
      </w:r>
      <w:r>
        <w:rPr>
          <w:rFonts w:ascii="Arial" w:eastAsia="Calibri" w:hAnsi="Arial" w:cs="Arial"/>
          <w:sz w:val="22"/>
          <w:szCs w:val="22"/>
          <w:lang w:val="es-ES_tradnl"/>
        </w:rPr>
        <w:t>», y del artículo 121 de la Carta, según el cual «</w:t>
      </w:r>
      <w:r w:rsidRPr="009A6F0F">
        <w:rPr>
          <w:rFonts w:ascii="Arial" w:eastAsia="Calibri" w:hAnsi="Arial" w:cs="Arial"/>
          <w:sz w:val="22"/>
          <w:szCs w:val="22"/>
          <w:lang w:val="es-ES_tradnl"/>
        </w:rPr>
        <w:t>Ninguna autoridad del Estado podrá ejercer funciones distintas de las que le atribuyen la Constitución y la ley</w:t>
      </w:r>
      <w:r>
        <w:rPr>
          <w:rFonts w:ascii="Arial" w:eastAsia="Calibri" w:hAnsi="Arial" w:cs="Arial"/>
          <w:sz w:val="22"/>
          <w:szCs w:val="22"/>
          <w:lang w:val="es-ES_tradnl"/>
        </w:rPr>
        <w:t>»</w:t>
      </w:r>
      <w:r w:rsidRPr="009A6F0F">
        <w:rPr>
          <w:rFonts w:ascii="Arial" w:eastAsia="Calibri" w:hAnsi="Arial" w:cs="Arial"/>
          <w:sz w:val="22"/>
          <w:szCs w:val="22"/>
          <w:lang w:val="es-ES_tradnl"/>
        </w:rPr>
        <w:t>.</w:t>
      </w:r>
    </w:p>
    <w:p w14:paraId="7DE50C9D" w14:textId="3320C548" w:rsidR="00760D89" w:rsidRPr="00625A4F" w:rsidRDefault="00941415" w:rsidP="20B61737">
      <w:pPr>
        <w:spacing w:after="120" w:line="276" w:lineRule="auto"/>
        <w:ind w:firstLine="709"/>
        <w:jc w:val="both"/>
        <w:rPr>
          <w:rFonts w:ascii="Arial" w:eastAsia="Calibri" w:hAnsi="Arial" w:cs="Arial"/>
          <w:i/>
          <w:iCs/>
          <w:color w:val="000000" w:themeColor="text1"/>
          <w:sz w:val="21"/>
          <w:szCs w:val="21"/>
          <w:lang w:val="es-ES"/>
        </w:rPr>
      </w:pPr>
      <w:r w:rsidRPr="20B61737">
        <w:rPr>
          <w:rFonts w:ascii="Arial" w:eastAsia="Calibri" w:hAnsi="Arial" w:cs="Arial"/>
          <w:sz w:val="22"/>
          <w:szCs w:val="22"/>
          <w:lang w:val="es-ES"/>
        </w:rPr>
        <w:t xml:space="preserve">Por tanto, la declaratoria de </w:t>
      </w:r>
      <w:proofErr w:type="spellStart"/>
      <w:r w:rsidRPr="20B61737">
        <w:rPr>
          <w:rFonts w:ascii="Arial" w:eastAsia="Calibri" w:hAnsi="Arial" w:cs="Arial"/>
          <w:sz w:val="22"/>
          <w:szCs w:val="22"/>
          <w:lang w:val="es-ES"/>
        </w:rPr>
        <w:t>inexequibilidad</w:t>
      </w:r>
      <w:proofErr w:type="spellEnd"/>
      <w:r w:rsidRPr="20B61737">
        <w:rPr>
          <w:rFonts w:ascii="Arial" w:eastAsia="Calibri" w:hAnsi="Arial" w:cs="Arial"/>
          <w:sz w:val="22"/>
          <w:szCs w:val="22"/>
          <w:lang w:val="es-ES"/>
        </w:rPr>
        <w:t xml:space="preserve"> del artículo 124 de la Ley 2159 de 2021 tiene como efecto que el primer inciso del parágrafo del artículo 38 de la Ley 996 de 2005 recobre sus efectos y se convierta en la norma </w:t>
      </w:r>
      <w:r w:rsidRPr="20B61737">
        <w:rPr>
          <w:rFonts w:ascii="Arial" w:eastAsia="Calibri" w:hAnsi="Arial" w:cs="Arial"/>
          <w:i/>
          <w:iCs/>
          <w:sz w:val="22"/>
          <w:szCs w:val="22"/>
          <w:lang w:val="es-ES"/>
        </w:rPr>
        <w:t>aplicable</w:t>
      </w:r>
      <w:r w:rsidRPr="20B61737">
        <w:rPr>
          <w:rFonts w:ascii="Arial" w:eastAsia="Calibri" w:hAnsi="Arial" w:cs="Arial"/>
          <w:sz w:val="22"/>
          <w:szCs w:val="22"/>
          <w:lang w:val="es-ES"/>
        </w:rPr>
        <w:t xml:space="preserve">. En tal sentido, las consultas referidas a este tema deben referirse al contenido vigente del mencionado parágrafo, que establece: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 Al ser esta la disposición normativa </w:t>
      </w:r>
      <w:r w:rsidRPr="20B61737">
        <w:rPr>
          <w:rFonts w:ascii="Arial" w:eastAsia="Calibri" w:hAnsi="Arial" w:cs="Arial"/>
          <w:i/>
          <w:iCs/>
          <w:sz w:val="22"/>
          <w:szCs w:val="22"/>
          <w:lang w:val="es-ES"/>
        </w:rPr>
        <w:t>vigente</w:t>
      </w:r>
      <w:r w:rsidRPr="20B61737">
        <w:rPr>
          <w:rFonts w:ascii="Arial" w:eastAsia="Calibri" w:hAnsi="Arial" w:cs="Arial"/>
          <w:sz w:val="22"/>
          <w:szCs w:val="22"/>
          <w:lang w:val="es-ES"/>
        </w:rPr>
        <w:t xml:space="preserve">, es frente a ella que la Agencia Nacional de Contratación Pública – Colombia Compra Eficiente cuenta con competencia para </w:t>
      </w:r>
      <w:r w:rsidRPr="20B61737">
        <w:rPr>
          <w:rFonts w:ascii="Arial" w:eastAsia="Calibri" w:hAnsi="Arial" w:cs="Arial"/>
          <w:sz w:val="22"/>
          <w:szCs w:val="22"/>
          <w:lang w:val="es-ES"/>
        </w:rPr>
        <w:lastRenderedPageBreak/>
        <w:t xml:space="preserve">pronunciarse por vía consultiva; no frente al artículo 124 de la Ley 2195 de 2021, por no ser actualmente </w:t>
      </w:r>
      <w:r w:rsidRPr="20B61737">
        <w:rPr>
          <w:rFonts w:ascii="Arial" w:eastAsia="Calibri" w:hAnsi="Arial" w:cs="Arial"/>
          <w:i/>
          <w:iCs/>
          <w:sz w:val="22"/>
          <w:szCs w:val="22"/>
          <w:lang w:val="es-ES"/>
        </w:rPr>
        <w:t>aplicable.</w:t>
      </w:r>
    </w:p>
    <w:p w14:paraId="4B6D7D97" w14:textId="4E86A029" w:rsidR="00760D89" w:rsidRPr="00686AD4" w:rsidRDefault="00472B7A" w:rsidP="00686AD4">
      <w:pPr>
        <w:autoSpaceDE w:val="0"/>
        <w:autoSpaceDN w:val="0"/>
        <w:adjustRightInd w:val="0"/>
        <w:ind w:left="708"/>
        <w:jc w:val="both"/>
        <w:rPr>
          <w:rFonts w:ascii="Arial" w:hAnsi="Arial" w:cs="Arial"/>
          <w:b/>
          <w:sz w:val="22"/>
          <w:szCs w:val="22"/>
          <w:lang w:val="es-ES_tradnl"/>
        </w:rPr>
      </w:pPr>
      <w:r w:rsidRPr="00686AD4">
        <w:rPr>
          <w:rFonts w:ascii="Arial" w:hAnsi="Arial" w:cs="Arial"/>
          <w:b/>
          <w:sz w:val="22"/>
          <w:szCs w:val="22"/>
        </w:rPr>
        <w:t>«</w:t>
      </w:r>
      <w:r w:rsidR="00760D89" w:rsidRPr="00686AD4">
        <w:rPr>
          <w:rFonts w:ascii="Arial" w:hAnsi="Arial" w:cs="Arial"/>
          <w:b/>
          <w:sz w:val="22"/>
          <w:szCs w:val="22"/>
          <w:lang w:val="es-ES_tradnl"/>
        </w:rPr>
        <w:t>7. ¿Se pueden celebrar convenios interadministrativos en los que no existan aportes ni de la Nación ni del ente territorial, esto es, cuya cuantía sea ($0)?</w:t>
      </w:r>
    </w:p>
    <w:p w14:paraId="3EE91BD1" w14:textId="77777777" w:rsidR="00760D89" w:rsidRPr="00C65049" w:rsidRDefault="00760D89" w:rsidP="00C65049">
      <w:pPr>
        <w:autoSpaceDE w:val="0"/>
        <w:autoSpaceDN w:val="0"/>
        <w:adjustRightInd w:val="0"/>
        <w:jc w:val="both"/>
        <w:rPr>
          <w:rFonts w:ascii="Arial" w:hAnsi="Arial" w:cs="Arial"/>
          <w:bCs/>
          <w:sz w:val="22"/>
          <w:szCs w:val="22"/>
          <w:lang w:eastAsia="es-CO"/>
        </w:rPr>
      </w:pPr>
    </w:p>
    <w:p w14:paraId="0DEC9AFD" w14:textId="77777777" w:rsidR="00686AD4" w:rsidRDefault="00686AD4" w:rsidP="00686AD4">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t xml:space="preserve">Cuando la Ley 996 de 2005 prohíbe, durante un lapso de 4 meses anteriores a cierto tipo de elecciones, la contratación directa, esto es, aquella que se lleve a cabo sin convocatoria pública, lo que en últimas hace es incidir en la manera como las entidades estatales adelantan sus procesos de selección de contratistas, debiendo, entonces, ante la imposibilidad jurídica impuesta por la norma, postergar el momento en que contratarán mediante ese mecanismo ciertos objetos contractuales, con la finalidad de evitar que la contratación se utilizada para incidir en las elecciones. </w:t>
      </w:r>
    </w:p>
    <w:p w14:paraId="4902839F" w14:textId="77777777" w:rsidR="00686AD4" w:rsidRPr="00C65049" w:rsidRDefault="00686AD4" w:rsidP="00686AD4">
      <w:pPr>
        <w:ind w:firstLine="708"/>
        <w:jc w:val="both"/>
        <w:outlineLvl w:val="0"/>
        <w:rPr>
          <w:rFonts w:ascii="Arial" w:eastAsia="Calibri" w:hAnsi="Arial" w:cs="Arial"/>
          <w:sz w:val="22"/>
          <w:szCs w:val="22"/>
          <w:lang w:val="es-ES"/>
        </w:rPr>
      </w:pPr>
    </w:p>
    <w:p w14:paraId="00804EF2" w14:textId="1DE45FA0" w:rsidR="00686AD4" w:rsidRDefault="00686AD4" w:rsidP="00686AD4">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t xml:space="preserve">Significa lo anterior que el artículo 33 de la Ley 996 de 2005 es una norma que impacta los procedimientos de selección, aunque sea de manera transitoria, esto es, cada vez que se presenten elecciones presidenciales, en lo que toca al momento, fases y oportunidades para la selección del contratista y, en consecuencia, la celebración del contrato estatal. </w:t>
      </w:r>
    </w:p>
    <w:p w14:paraId="5D3542E2" w14:textId="5F53B60F" w:rsidR="00686AD4" w:rsidRDefault="00686AD4" w:rsidP="00686AD4">
      <w:pPr>
        <w:ind w:firstLine="708"/>
        <w:jc w:val="both"/>
        <w:outlineLvl w:val="0"/>
        <w:rPr>
          <w:rFonts w:ascii="Arial" w:eastAsia="Calibri" w:hAnsi="Arial" w:cs="Arial"/>
          <w:sz w:val="22"/>
          <w:szCs w:val="22"/>
          <w:lang w:val="es-ES"/>
        </w:rPr>
      </w:pPr>
    </w:p>
    <w:p w14:paraId="297C551D" w14:textId="04B146F2" w:rsidR="00686AD4" w:rsidRDefault="00686AD4" w:rsidP="00686AD4">
      <w:pPr>
        <w:ind w:firstLine="708"/>
        <w:jc w:val="both"/>
        <w:outlineLvl w:val="0"/>
        <w:rPr>
          <w:rFonts w:ascii="Arial" w:eastAsia="Calibri" w:hAnsi="Arial" w:cs="Arial"/>
          <w:sz w:val="22"/>
          <w:szCs w:val="22"/>
          <w:lang w:val="es-ES"/>
        </w:rPr>
      </w:pPr>
      <w:r>
        <w:rPr>
          <w:rFonts w:ascii="Arial" w:eastAsia="Calibri" w:hAnsi="Arial" w:cs="Arial"/>
          <w:sz w:val="22"/>
          <w:szCs w:val="22"/>
          <w:lang w:val="es-ES"/>
        </w:rPr>
        <w:t xml:space="preserve">En ese sentido, cuando la celebración de convenios en los que no exista aportes de la Nación y el Ente Territorial se realice de manera directa, este supuesto de hecho queda incluido dentro del ámbito de aplicación del artículo 33 de la Ley 996 de 2005, en los términos explicados en los considerandos de este concepto. </w:t>
      </w:r>
    </w:p>
    <w:p w14:paraId="335A754E" w14:textId="77777777" w:rsidR="00663A26" w:rsidRPr="00C65049" w:rsidRDefault="00663A26" w:rsidP="00C65049">
      <w:pPr>
        <w:autoSpaceDE w:val="0"/>
        <w:autoSpaceDN w:val="0"/>
        <w:adjustRightInd w:val="0"/>
        <w:jc w:val="both"/>
        <w:rPr>
          <w:rFonts w:ascii="Arial" w:hAnsi="Arial" w:cs="Arial"/>
          <w:sz w:val="22"/>
          <w:szCs w:val="22"/>
          <w:lang w:val="es-ES_tradnl"/>
        </w:rPr>
      </w:pPr>
    </w:p>
    <w:p w14:paraId="3157878E" w14:textId="77777777" w:rsidR="00663A26" w:rsidRPr="00686AD4" w:rsidRDefault="00663A26" w:rsidP="00686AD4">
      <w:pPr>
        <w:autoSpaceDE w:val="0"/>
        <w:autoSpaceDN w:val="0"/>
        <w:adjustRightInd w:val="0"/>
        <w:ind w:firstLine="708"/>
        <w:jc w:val="both"/>
        <w:rPr>
          <w:rFonts w:ascii="Arial" w:hAnsi="Arial" w:cs="Arial"/>
          <w:b/>
          <w:bCs/>
          <w:sz w:val="22"/>
          <w:szCs w:val="22"/>
          <w:lang w:val="es-ES_tradnl"/>
        </w:rPr>
      </w:pPr>
      <w:r w:rsidRPr="00686AD4">
        <w:rPr>
          <w:rFonts w:ascii="Arial" w:hAnsi="Arial" w:cs="Arial"/>
          <w:b/>
          <w:bCs/>
          <w:sz w:val="22"/>
          <w:szCs w:val="22"/>
          <w:lang w:val="es-ES_tradnl"/>
        </w:rPr>
        <w:t xml:space="preserve">12. ¿Es procedente jurídicamente la celebración de convenios de asociación mediante modalidad competitiva durante la etapa de Ley de Garantías Electorales? </w:t>
      </w:r>
    </w:p>
    <w:p w14:paraId="1D9C19F6" w14:textId="44E10002" w:rsidR="00663A26" w:rsidRPr="00C65049" w:rsidRDefault="00663A26" w:rsidP="00C65049">
      <w:pPr>
        <w:autoSpaceDE w:val="0"/>
        <w:autoSpaceDN w:val="0"/>
        <w:adjustRightInd w:val="0"/>
        <w:jc w:val="both"/>
        <w:rPr>
          <w:rFonts w:ascii="Arial" w:hAnsi="Arial" w:cs="Arial"/>
          <w:sz w:val="22"/>
          <w:szCs w:val="22"/>
          <w:lang w:val="es-ES_tradnl"/>
        </w:rPr>
      </w:pPr>
    </w:p>
    <w:p w14:paraId="1DA65286" w14:textId="1B21057A" w:rsidR="00227149" w:rsidRDefault="00796D63" w:rsidP="00686AD4">
      <w:pPr>
        <w:ind w:firstLine="708"/>
        <w:jc w:val="both"/>
        <w:rPr>
          <w:rFonts w:ascii="Arial" w:eastAsia="Calibri" w:hAnsi="Arial" w:cs="Arial"/>
          <w:sz w:val="22"/>
          <w:szCs w:val="22"/>
        </w:rPr>
      </w:pPr>
      <w:r w:rsidRPr="00C65049">
        <w:rPr>
          <w:rFonts w:ascii="Arial" w:hAnsi="Arial" w:cs="Arial"/>
          <w:sz w:val="22"/>
          <w:szCs w:val="22"/>
        </w:rPr>
        <w:t>El artículo 33 de la Ley 996 de 2005 prohíbe «</w:t>
      </w:r>
      <w:proofErr w:type="gramStart"/>
      <w:r w:rsidRPr="00C65049">
        <w:rPr>
          <w:rFonts w:ascii="Arial" w:hAnsi="Arial" w:cs="Arial"/>
          <w:sz w:val="22"/>
          <w:szCs w:val="22"/>
        </w:rPr>
        <w:t>[  …</w:t>
      </w:r>
      <w:proofErr w:type="gramEnd"/>
      <w:r w:rsidRPr="00C65049">
        <w:rPr>
          <w:rFonts w:ascii="Arial" w:hAnsi="Arial" w:cs="Arial"/>
          <w:sz w:val="22"/>
          <w:szCs w:val="22"/>
        </w:rPr>
        <w:t xml:space="preserve"> ]  la contratación directa por parte de todos los entes del </w:t>
      </w:r>
      <w:proofErr w:type="gramStart"/>
      <w:r w:rsidRPr="00C65049">
        <w:rPr>
          <w:rFonts w:ascii="Arial" w:hAnsi="Arial" w:cs="Arial"/>
          <w:sz w:val="22"/>
          <w:szCs w:val="22"/>
        </w:rPr>
        <w:t>Estado »</w:t>
      </w:r>
      <w:proofErr w:type="gramEnd"/>
      <w:r w:rsidRPr="00C65049">
        <w:rPr>
          <w:rFonts w:ascii="Arial" w:hAnsi="Arial" w:cs="Arial"/>
          <w:sz w:val="22"/>
          <w:szCs w:val="22"/>
        </w:rPr>
        <w:t xml:space="preserve"> durante los cuatro (4) meses anteriores a las elecciones presidenciales. </w:t>
      </w:r>
      <w:r w:rsidRPr="00C65049">
        <w:rPr>
          <w:rFonts w:ascii="Arial" w:hAnsi="Arial" w:cs="Arial"/>
          <w:sz w:val="22"/>
          <w:szCs w:val="22"/>
          <w:lang w:eastAsia="x-none"/>
        </w:rPr>
        <w:t xml:space="preserve">Cabe destacar que para los efectos de la “Ley de Garantías Electorales” y, especialmente, para la prohibición o restricción temporal contenida en su artículo 33, debe entenderse por “contratación directa” cualquier sistema de selección o procedimiento de contratación utilizado por las entidades estatales que no incluya la convocatoria pública, en alguna de sus etapas, ni permita la participación de una pluralidad de oferentes. </w:t>
      </w:r>
      <w:r w:rsidRPr="00C65049">
        <w:rPr>
          <w:rFonts w:ascii="Arial" w:hAnsi="Arial" w:cs="Arial"/>
          <w:sz w:val="22"/>
          <w:szCs w:val="22"/>
          <w:lang w:val="es-ES_tradnl"/>
        </w:rPr>
        <w:t xml:space="preserve">En ese sentido, </w:t>
      </w:r>
      <w:r w:rsidR="00227149" w:rsidRPr="00C65049">
        <w:rPr>
          <w:rFonts w:ascii="Arial" w:eastAsia="Calibri" w:hAnsi="Arial" w:cs="Arial"/>
          <w:sz w:val="22"/>
          <w:szCs w:val="22"/>
        </w:rPr>
        <w:t xml:space="preserve">la restricción del artículo 33 no aplicaría a los convenios de asociación que celebren las entidades estatales y las ESALES bajo el procedimiento </w:t>
      </w:r>
      <w:r w:rsidR="00227149" w:rsidRPr="00C65049">
        <w:rPr>
          <w:rFonts w:ascii="Arial" w:eastAsia="Calibri" w:hAnsi="Arial" w:cs="Arial"/>
          <w:i/>
          <w:iCs/>
          <w:sz w:val="22"/>
          <w:szCs w:val="22"/>
        </w:rPr>
        <w:t>competitivo</w:t>
      </w:r>
      <w:r w:rsidR="00227149" w:rsidRPr="00C65049">
        <w:rPr>
          <w:rFonts w:ascii="Arial" w:eastAsia="Calibri" w:hAnsi="Arial" w:cs="Arial"/>
          <w:sz w:val="22"/>
          <w:szCs w:val="22"/>
        </w:rPr>
        <w:t>.</w:t>
      </w:r>
    </w:p>
    <w:p w14:paraId="54AEA09D" w14:textId="77777777" w:rsidR="00686AD4" w:rsidRPr="00C65049" w:rsidRDefault="00686AD4" w:rsidP="00686AD4">
      <w:pPr>
        <w:ind w:firstLine="708"/>
        <w:jc w:val="both"/>
        <w:rPr>
          <w:rFonts w:ascii="Arial" w:eastAsia="Calibri" w:hAnsi="Arial" w:cs="Arial"/>
          <w:sz w:val="22"/>
          <w:szCs w:val="22"/>
        </w:rPr>
      </w:pPr>
    </w:p>
    <w:p w14:paraId="7495F105" w14:textId="4A548EBC" w:rsidR="00796D63" w:rsidRPr="00C65049" w:rsidRDefault="00227149" w:rsidP="00625A4F">
      <w:pPr>
        <w:ind w:firstLine="708"/>
        <w:jc w:val="both"/>
        <w:rPr>
          <w:rFonts w:ascii="Arial" w:hAnsi="Arial" w:cs="Arial"/>
          <w:sz w:val="22"/>
          <w:szCs w:val="22"/>
        </w:rPr>
      </w:pPr>
      <w:r w:rsidRPr="00C65049">
        <w:rPr>
          <w:rFonts w:ascii="Arial" w:eastAsia="Calibri" w:hAnsi="Arial" w:cs="Arial"/>
          <w:sz w:val="22"/>
          <w:szCs w:val="22"/>
          <w:lang w:val="es-MX" w:eastAsia="en-US"/>
        </w:rPr>
        <w:t>De otra parte, en cuanto a la restricción del parágrafo del artículo 38 de la Ley de 996 de 2005, conforme se explicó</w:t>
      </w:r>
      <w:r w:rsidRPr="00C65049">
        <w:rPr>
          <w:rFonts w:ascii="Arial" w:eastAsia="Calibri" w:hAnsi="Arial" w:cs="Arial"/>
          <w:i/>
          <w:iCs/>
          <w:sz w:val="22"/>
          <w:szCs w:val="22"/>
          <w:lang w:val="es-MX" w:eastAsia="en-US"/>
        </w:rPr>
        <w:t xml:space="preserve"> ut supra,</w:t>
      </w:r>
      <w:r w:rsidRPr="00C65049">
        <w:rPr>
          <w:rFonts w:ascii="Arial" w:eastAsia="Calibri" w:hAnsi="Arial" w:cs="Arial"/>
          <w:sz w:val="22"/>
          <w:szCs w:val="22"/>
          <w:lang w:val="es-MX" w:eastAsia="en-US"/>
        </w:rPr>
        <w:t xml:space="preserve"> se reitera que la misma solo aplica a convenios interadministrativos, es decir, a aquellos en los que ambos extremos de la relación contractual están conformados por entidades estatales. Esto significa que esta restricción no es aplicable a la celebración de </w:t>
      </w:r>
      <w:r w:rsidRPr="00C65049">
        <w:rPr>
          <w:rFonts w:ascii="Arial" w:eastAsia="Calibri" w:hAnsi="Arial" w:cs="Arial"/>
          <w:i/>
          <w:iCs/>
          <w:sz w:val="22"/>
          <w:szCs w:val="22"/>
          <w:lang w:val="es-MX" w:eastAsia="en-US"/>
        </w:rPr>
        <w:t>convenios de asociación</w:t>
      </w:r>
      <w:r w:rsidRPr="00C65049">
        <w:rPr>
          <w:rFonts w:ascii="Arial" w:eastAsia="Calibri" w:hAnsi="Arial" w:cs="Arial"/>
          <w:sz w:val="22"/>
          <w:szCs w:val="22"/>
          <w:lang w:val="es-MX" w:eastAsia="en-US"/>
        </w:rPr>
        <w:t>, ya que este tipo de acuerdos son celebrados entre entidades estatales y ESALES, es decir, que no cumplen con el criterio orgánico que determina la calidad de interadministrativo.</w:t>
      </w:r>
    </w:p>
    <w:p w14:paraId="4D55A285" w14:textId="77777777" w:rsidR="00686AD4" w:rsidRDefault="00686AD4" w:rsidP="00C65049">
      <w:pPr>
        <w:autoSpaceDE w:val="0"/>
        <w:autoSpaceDN w:val="0"/>
        <w:adjustRightInd w:val="0"/>
        <w:jc w:val="both"/>
        <w:rPr>
          <w:rFonts w:ascii="Arial" w:hAnsi="Arial" w:cs="Arial"/>
          <w:sz w:val="22"/>
          <w:szCs w:val="22"/>
          <w:lang w:val="es-ES_tradnl"/>
        </w:rPr>
      </w:pPr>
    </w:p>
    <w:p w14:paraId="392E572C" w14:textId="425EDD8D" w:rsidR="00663A26" w:rsidRPr="00686AD4" w:rsidRDefault="00686AD4" w:rsidP="00686AD4">
      <w:pPr>
        <w:autoSpaceDE w:val="0"/>
        <w:autoSpaceDN w:val="0"/>
        <w:adjustRightInd w:val="0"/>
        <w:ind w:firstLine="708"/>
        <w:jc w:val="both"/>
        <w:rPr>
          <w:rFonts w:ascii="Arial" w:hAnsi="Arial" w:cs="Arial"/>
          <w:b/>
          <w:sz w:val="22"/>
          <w:szCs w:val="22"/>
          <w:lang w:val="es-ES_tradnl"/>
        </w:rPr>
      </w:pPr>
      <w:r w:rsidRPr="00686AD4">
        <w:rPr>
          <w:rFonts w:ascii="Arial" w:hAnsi="Arial" w:cs="Arial"/>
          <w:b/>
          <w:sz w:val="22"/>
          <w:szCs w:val="22"/>
        </w:rPr>
        <w:lastRenderedPageBreak/>
        <w:t>«</w:t>
      </w:r>
      <w:r w:rsidR="00663A26" w:rsidRPr="00686AD4">
        <w:rPr>
          <w:rFonts w:ascii="Arial" w:hAnsi="Arial" w:cs="Arial"/>
          <w:b/>
          <w:sz w:val="22"/>
          <w:szCs w:val="22"/>
          <w:lang w:val="es-ES_tradnl"/>
        </w:rPr>
        <w:t>13. ¿Se pueden celebrar acuerdos de intercambio de información den</w:t>
      </w:r>
      <w:r w:rsidR="00625A4F">
        <w:rPr>
          <w:rFonts w:ascii="Arial" w:hAnsi="Arial" w:cs="Arial"/>
          <w:b/>
          <w:sz w:val="22"/>
          <w:szCs w:val="22"/>
          <w:lang w:val="es-ES_tradnl"/>
        </w:rPr>
        <w:t>tro de la</w:t>
      </w:r>
      <w:r w:rsidR="00663A26" w:rsidRPr="00686AD4">
        <w:rPr>
          <w:rFonts w:ascii="Arial" w:hAnsi="Arial" w:cs="Arial"/>
          <w:b/>
          <w:sz w:val="22"/>
          <w:szCs w:val="22"/>
          <w:lang w:val="es-ES_tradnl"/>
        </w:rPr>
        <w:t xml:space="preserve"> Ley de Garantías Electorales en donde no exista erogación presupuestal?</w:t>
      </w:r>
    </w:p>
    <w:p w14:paraId="57F35415" w14:textId="7966F785" w:rsidR="00663A26" w:rsidRPr="00C65049" w:rsidRDefault="00663A26" w:rsidP="00C65049">
      <w:pPr>
        <w:autoSpaceDE w:val="0"/>
        <w:autoSpaceDN w:val="0"/>
        <w:adjustRightInd w:val="0"/>
        <w:jc w:val="both"/>
        <w:rPr>
          <w:rFonts w:ascii="Arial" w:hAnsi="Arial" w:cs="Arial"/>
          <w:sz w:val="22"/>
          <w:szCs w:val="22"/>
          <w:lang w:val="es-ES_tradnl"/>
        </w:rPr>
      </w:pPr>
    </w:p>
    <w:p w14:paraId="7E32B55B" w14:textId="00E6F37E" w:rsidR="00227149" w:rsidRPr="00C65049" w:rsidRDefault="00227149" w:rsidP="00686AD4">
      <w:pPr>
        <w:autoSpaceDE w:val="0"/>
        <w:autoSpaceDN w:val="0"/>
        <w:adjustRightInd w:val="0"/>
        <w:ind w:firstLine="708"/>
        <w:jc w:val="both"/>
        <w:rPr>
          <w:rFonts w:ascii="Arial" w:hAnsi="Arial" w:cs="Arial"/>
          <w:sz w:val="22"/>
          <w:szCs w:val="22"/>
          <w:lang w:val="es-ES" w:eastAsia="es-CO"/>
        </w:rPr>
      </w:pPr>
      <w:r w:rsidRPr="00C65049">
        <w:rPr>
          <w:rFonts w:ascii="Arial" w:eastAsia="Calibri" w:hAnsi="Arial" w:cs="Arial"/>
          <w:sz w:val="22"/>
          <w:szCs w:val="22"/>
          <w:lang w:val="es-ES"/>
        </w:rPr>
        <w:t xml:space="preserve">En torno a su pregunta, se precisa que la Agencia Nacional de Contratación Pública </w:t>
      </w:r>
      <w:r w:rsidRPr="00C65049">
        <w:rPr>
          <w:rFonts w:ascii="Arial" w:hAnsi="Arial" w:cs="Arial"/>
          <w:sz w:val="22"/>
          <w:szCs w:val="22"/>
          <w:lang w:val="es-ES"/>
        </w:rPr>
        <w:t>tiene competencia para atender consultas relativas a temas contractuales, pero solo para «absolver consultas sobre la aplicación de normas de carácter general»</w:t>
      </w:r>
      <w:r w:rsidRPr="00C65049">
        <w:rPr>
          <w:rFonts w:ascii="Arial" w:eastAsia="Calibri" w:hAnsi="Arial" w:cs="Arial"/>
          <w:sz w:val="22"/>
          <w:szCs w:val="22"/>
          <w:vertAlign w:val="superscript"/>
          <w:lang w:val="es-ES"/>
        </w:rPr>
        <w:footnoteReference w:id="26"/>
      </w:r>
      <w:r w:rsidRPr="00C65049">
        <w:rPr>
          <w:rFonts w:ascii="Arial" w:hAnsi="Arial" w:cs="Arial"/>
          <w:sz w:val="22"/>
          <w:szCs w:val="22"/>
          <w:lang w:val="es-ES"/>
        </w:rPr>
        <w:t xml:space="preserve">. Esto significa que no podemos pronunciarnos sobre casos particulares o sobre preguntas que no contengan dudas sobre la aplicación de una norma general en </w:t>
      </w:r>
      <w:r w:rsidRPr="00C65049">
        <w:rPr>
          <w:rFonts w:ascii="Arial" w:hAnsi="Arial" w:cs="Arial"/>
          <w:sz w:val="22"/>
          <w:szCs w:val="22"/>
          <w:lang w:val="es-ES" w:eastAsia="es-CO"/>
        </w:rPr>
        <w:t>materia de contratación pública.</w:t>
      </w:r>
    </w:p>
    <w:p w14:paraId="3717EB50" w14:textId="77777777" w:rsidR="00227149" w:rsidRPr="00686AD4" w:rsidRDefault="00227149" w:rsidP="00C65049">
      <w:pPr>
        <w:autoSpaceDE w:val="0"/>
        <w:autoSpaceDN w:val="0"/>
        <w:adjustRightInd w:val="0"/>
        <w:jc w:val="both"/>
        <w:rPr>
          <w:rFonts w:ascii="Arial" w:hAnsi="Arial" w:cs="Arial"/>
          <w:b/>
          <w:bCs/>
          <w:sz w:val="22"/>
          <w:szCs w:val="22"/>
          <w:lang w:val="es-ES_tradnl"/>
        </w:rPr>
      </w:pPr>
    </w:p>
    <w:p w14:paraId="09F8C220" w14:textId="256748D7" w:rsidR="009212DA" w:rsidRPr="00686AD4" w:rsidRDefault="00663A26" w:rsidP="00C65049">
      <w:pPr>
        <w:autoSpaceDE w:val="0"/>
        <w:autoSpaceDN w:val="0"/>
        <w:adjustRightInd w:val="0"/>
        <w:jc w:val="both"/>
        <w:rPr>
          <w:rFonts w:ascii="Arial" w:hAnsi="Arial" w:cs="Arial"/>
          <w:b/>
          <w:bCs/>
          <w:sz w:val="22"/>
          <w:szCs w:val="22"/>
          <w:lang w:val="es-ES_tradnl"/>
        </w:rPr>
      </w:pPr>
      <w:r w:rsidRPr="00686AD4">
        <w:rPr>
          <w:rFonts w:ascii="Arial" w:hAnsi="Arial" w:cs="Arial"/>
          <w:b/>
          <w:bCs/>
          <w:sz w:val="22"/>
          <w:szCs w:val="22"/>
          <w:lang w:val="es-ES_tradnl"/>
        </w:rPr>
        <w:t xml:space="preserve"> </w:t>
      </w:r>
      <w:r w:rsidR="00686AD4" w:rsidRPr="00686AD4">
        <w:rPr>
          <w:rFonts w:ascii="Arial" w:hAnsi="Arial" w:cs="Arial"/>
          <w:b/>
          <w:bCs/>
          <w:sz w:val="22"/>
          <w:szCs w:val="22"/>
          <w:lang w:val="es-ES_tradnl"/>
        </w:rPr>
        <w:tab/>
      </w:r>
      <w:r w:rsidRPr="00686AD4">
        <w:rPr>
          <w:rFonts w:ascii="Arial" w:hAnsi="Arial" w:cs="Arial"/>
          <w:b/>
          <w:bCs/>
          <w:sz w:val="22"/>
          <w:szCs w:val="22"/>
          <w:lang w:val="es-ES_tradnl"/>
        </w:rPr>
        <w:t xml:space="preserve">14. ¿Se pueden celebrar Convenios de Cooperación Internacional con organismos internacionales de que trata el artículo 20 de la Ley 1150 de 2007, </w:t>
      </w:r>
    </w:p>
    <w:p w14:paraId="273BF462" w14:textId="77777777" w:rsidR="009212DA" w:rsidRPr="00C65049" w:rsidRDefault="009212DA" w:rsidP="00C65049">
      <w:pPr>
        <w:tabs>
          <w:tab w:val="left" w:pos="0"/>
        </w:tabs>
        <w:jc w:val="both"/>
        <w:rPr>
          <w:rFonts w:ascii="Arial" w:eastAsia="Calibri" w:hAnsi="Arial" w:cs="Arial"/>
          <w:sz w:val="22"/>
          <w:szCs w:val="22"/>
          <w:lang w:val="es-ES_tradnl"/>
        </w:rPr>
      </w:pPr>
    </w:p>
    <w:p w14:paraId="482F22AD" w14:textId="0B3D1DEC" w:rsidR="009212DA" w:rsidRDefault="00C65049" w:rsidP="00686AD4">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t>C</w:t>
      </w:r>
      <w:r w:rsidR="009212DA" w:rsidRPr="00C65049">
        <w:rPr>
          <w:rFonts w:ascii="Arial" w:eastAsia="Calibri" w:hAnsi="Arial" w:cs="Arial"/>
          <w:sz w:val="22"/>
          <w:szCs w:val="22"/>
          <w:lang w:val="es-ES"/>
        </w:rPr>
        <w:t xml:space="preserve">uando una entidad pública con fundamento en el artículo 20 de la Ley 1150 de 2007 acuerde la aplicación del reglamento del organismo internacional, de la persona pública extranjera o del organismo de asistencia, ayuda o cooperación internacional, se deberá precisar en el respectivo contrato o convenio el alcance de tal variación de régimen y si ello implica acoger la totalidad de las normas del reglamento extranjero o si, por el contrario, solo se aplicarán ciertos aspectos en él regulados. </w:t>
      </w:r>
    </w:p>
    <w:p w14:paraId="42B19424" w14:textId="77777777" w:rsidR="00625A4F" w:rsidRPr="00C65049" w:rsidRDefault="00625A4F" w:rsidP="00686AD4">
      <w:pPr>
        <w:ind w:firstLine="708"/>
        <w:jc w:val="both"/>
        <w:outlineLvl w:val="0"/>
        <w:rPr>
          <w:rFonts w:ascii="Arial" w:eastAsia="Calibri" w:hAnsi="Arial" w:cs="Arial"/>
          <w:sz w:val="22"/>
          <w:szCs w:val="22"/>
          <w:lang w:val="es-ES"/>
        </w:rPr>
      </w:pPr>
    </w:p>
    <w:p w14:paraId="535232F8" w14:textId="77777777" w:rsidR="009212DA" w:rsidRPr="00C65049" w:rsidRDefault="009212DA" w:rsidP="00625A4F">
      <w:pPr>
        <w:ind w:firstLine="708"/>
        <w:jc w:val="both"/>
        <w:outlineLvl w:val="0"/>
        <w:rPr>
          <w:rFonts w:ascii="Arial" w:eastAsia="Calibri" w:hAnsi="Arial" w:cs="Arial"/>
          <w:sz w:val="22"/>
          <w:szCs w:val="22"/>
          <w:lang w:val="es-ES"/>
        </w:rPr>
      </w:pPr>
      <w:r w:rsidRPr="00C65049">
        <w:rPr>
          <w:rFonts w:ascii="Arial" w:eastAsia="Calibri" w:hAnsi="Arial" w:cs="Arial"/>
          <w:sz w:val="22"/>
          <w:szCs w:val="22"/>
          <w:lang w:val="es-ES"/>
        </w:rPr>
        <w:t>En uno y otro caso, si el reglamento del organismo o sujeto internacional que las partes han convenido en aplicar regula todo lo relacionado con el procedimiento de selección de contratistas y las oportunidades para que sea realizado, la prohibición para contratar directamente establecida en el artículo 33 de la Ley de Garantías Electorales no será derecho aplicable al convenio o contrato y sus derivados. Por el contrario, si el convenio en el que se varíe el régimen normativo toca aspectos o etapas distintas al procedimiento para la selección del contratista, la prohibición del artículo 33 de la Ley de Garantías Electorales sí será derecho aplicable a la actividad contractual.</w:t>
      </w:r>
    </w:p>
    <w:p w14:paraId="51DF1462" w14:textId="77777777" w:rsidR="009212DA" w:rsidRPr="00C65049" w:rsidRDefault="009212DA" w:rsidP="00C65049">
      <w:pPr>
        <w:jc w:val="both"/>
        <w:rPr>
          <w:rFonts w:ascii="Arial" w:hAnsi="Arial" w:cs="Arial"/>
          <w:sz w:val="22"/>
          <w:szCs w:val="22"/>
          <w:lang w:val="es-ES_tradnl"/>
        </w:rPr>
      </w:pPr>
    </w:p>
    <w:p w14:paraId="761DD082" w14:textId="77777777" w:rsidR="009212DA" w:rsidRPr="00C65049" w:rsidRDefault="009212DA" w:rsidP="005F7701">
      <w:pPr>
        <w:ind w:firstLine="708"/>
        <w:jc w:val="both"/>
        <w:rPr>
          <w:rFonts w:ascii="Arial" w:hAnsi="Arial" w:cs="Arial"/>
          <w:sz w:val="22"/>
          <w:szCs w:val="22"/>
          <w:lang w:val="es-ES_tradnl"/>
        </w:rPr>
      </w:pPr>
      <w:r w:rsidRPr="00C65049">
        <w:rPr>
          <w:rFonts w:ascii="Arial" w:hAnsi="Arial" w:cs="Arial"/>
          <w:sz w:val="22"/>
          <w:szCs w:val="22"/>
          <w:lang w:val="es-ES_tradnl"/>
        </w:rPr>
        <w:t>Este concepto tiene el alcance previsto en el artículo 28 del Código de Procedimiento Administrativo y de lo Contencioso Administrativo.</w:t>
      </w:r>
    </w:p>
    <w:p w14:paraId="70D5146B" w14:textId="77777777" w:rsidR="009212DA" w:rsidRPr="00C65049" w:rsidRDefault="009212DA" w:rsidP="00C65049">
      <w:pPr>
        <w:pStyle w:val="NormalWeb"/>
        <w:spacing w:before="0" w:beforeAutospacing="0" w:after="0" w:afterAutospacing="0"/>
        <w:jc w:val="both"/>
        <w:rPr>
          <w:rFonts w:ascii="Arial" w:hAnsi="Arial" w:cs="Arial"/>
          <w:sz w:val="22"/>
          <w:szCs w:val="22"/>
          <w:lang w:val="es-ES_tradnl"/>
        </w:rPr>
      </w:pPr>
    </w:p>
    <w:p w14:paraId="397D3D30" w14:textId="2F39EBE8" w:rsidR="009212DA" w:rsidRDefault="009212DA" w:rsidP="00C65049">
      <w:pPr>
        <w:pStyle w:val="NormalWeb"/>
        <w:spacing w:before="0" w:beforeAutospacing="0" w:after="0" w:afterAutospacing="0"/>
        <w:jc w:val="both"/>
        <w:rPr>
          <w:rFonts w:ascii="Arial" w:hAnsi="Arial" w:cs="Arial"/>
          <w:sz w:val="22"/>
          <w:szCs w:val="22"/>
          <w:lang w:val="es-ES_tradnl"/>
        </w:rPr>
      </w:pPr>
      <w:r w:rsidRPr="00C65049">
        <w:rPr>
          <w:rFonts w:ascii="Arial" w:hAnsi="Arial" w:cs="Arial"/>
          <w:sz w:val="22"/>
          <w:szCs w:val="22"/>
          <w:lang w:val="es-ES_tradnl"/>
        </w:rPr>
        <w:t>Atentamente,</w:t>
      </w:r>
    </w:p>
    <w:p w14:paraId="5C1BF95F" w14:textId="383AA667" w:rsidR="00DB646B" w:rsidRDefault="00DB646B" w:rsidP="00C65049">
      <w:pPr>
        <w:pStyle w:val="NormalWeb"/>
        <w:spacing w:before="0" w:beforeAutospacing="0" w:after="0" w:afterAutospacing="0"/>
        <w:jc w:val="both"/>
        <w:rPr>
          <w:rFonts w:ascii="Arial" w:hAnsi="Arial" w:cs="Arial"/>
          <w:sz w:val="22"/>
          <w:szCs w:val="22"/>
          <w:lang w:val="es-ES_tradnl"/>
        </w:rPr>
      </w:pPr>
    </w:p>
    <w:p w14:paraId="3D0E7EAE" w14:textId="77777777" w:rsidR="00DB646B" w:rsidRPr="00C65049" w:rsidRDefault="00DB646B" w:rsidP="00C65049">
      <w:pPr>
        <w:pStyle w:val="NormalWeb"/>
        <w:spacing w:before="0" w:beforeAutospacing="0" w:after="0" w:afterAutospacing="0"/>
        <w:jc w:val="both"/>
        <w:rPr>
          <w:rFonts w:ascii="Arial" w:hAnsi="Arial" w:cs="Arial"/>
          <w:sz w:val="22"/>
          <w:szCs w:val="22"/>
          <w:lang w:val="es-ES_tradnl"/>
        </w:rPr>
      </w:pPr>
    </w:p>
    <w:p w14:paraId="09B17289" w14:textId="126D9170" w:rsidR="009212DA" w:rsidRDefault="009212DA" w:rsidP="009664EC">
      <w:pPr>
        <w:pStyle w:val="NormalWeb"/>
        <w:spacing w:before="0" w:beforeAutospacing="0" w:after="0" w:afterAutospacing="0" w:line="276" w:lineRule="auto"/>
        <w:jc w:val="both"/>
        <w:rPr>
          <w:rFonts w:ascii="Arial" w:hAnsi="Arial" w:cs="Arial"/>
          <w:color w:val="FF0000"/>
          <w:sz w:val="22"/>
          <w:szCs w:val="22"/>
          <w:lang w:val="es-ES_tradnl"/>
        </w:rPr>
      </w:pPr>
    </w:p>
    <w:p w14:paraId="5C632A14" w14:textId="320D0FAD" w:rsidR="009664EC" w:rsidRPr="009664EC" w:rsidRDefault="00004963" w:rsidP="009664EC">
      <w:pPr>
        <w:pStyle w:val="NormalWeb"/>
        <w:spacing w:before="0" w:beforeAutospacing="0" w:after="0" w:afterAutospacing="0" w:line="276" w:lineRule="auto"/>
        <w:jc w:val="both"/>
        <w:rPr>
          <w:rFonts w:ascii="Arial" w:hAnsi="Arial" w:cs="Arial"/>
          <w:color w:val="FF0000"/>
          <w:sz w:val="22"/>
          <w:szCs w:val="22"/>
          <w:lang w:val="es-ES_tradnl"/>
        </w:rPr>
      </w:pPr>
      <w:r>
        <w:rPr>
          <w:rFonts w:ascii="Arial" w:hAnsi="Arial" w:cs="Arial"/>
          <w:color w:val="FF0000"/>
          <w:sz w:val="22"/>
          <w:szCs w:val="22"/>
          <w:lang w:val="es-ES_tradnl"/>
        </w:rPr>
        <w:lastRenderedPageBreak/>
        <w:t xml:space="preserve">                                </w:t>
      </w:r>
      <w:r w:rsidRPr="009000E4">
        <w:rPr>
          <w:rFonts w:ascii="Arial" w:hAnsi="Arial" w:cs="Arial"/>
          <w:noProof/>
          <w:lang w:val="es-ES_tradnl"/>
        </w:rPr>
        <w:drawing>
          <wp:inline distT="0" distB="0" distL="0" distR="0" wp14:anchorId="3A1F22E9" wp14:editId="578B0DEC">
            <wp:extent cx="2514600" cy="1114425"/>
            <wp:effectExtent l="0" t="0" r="0" b="9525"/>
            <wp:docPr id="2" name="Imagen 2"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10;&#10;Descripción generada automáticament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4600" cy="1114425"/>
                    </a:xfrm>
                    <a:prstGeom prst="rect">
                      <a:avLst/>
                    </a:prstGeom>
                    <a:noFill/>
                    <a:ln>
                      <a:noFill/>
                    </a:ln>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9212DA" w:rsidRPr="00481870" w14:paraId="2B5C623D" w14:textId="77777777" w:rsidTr="00527E67">
        <w:trPr>
          <w:trHeight w:val="315"/>
        </w:trPr>
        <w:tc>
          <w:tcPr>
            <w:tcW w:w="812" w:type="dxa"/>
            <w:vAlign w:val="center"/>
            <w:hideMark/>
          </w:tcPr>
          <w:p w14:paraId="77839907" w14:textId="77777777" w:rsidR="009212DA" w:rsidRPr="00481870" w:rsidRDefault="009212DA" w:rsidP="00527E67">
            <w:pPr>
              <w:jc w:val="both"/>
              <w:rPr>
                <w:rFonts w:ascii="Arial" w:hAnsi="Arial" w:cs="Arial"/>
                <w:color w:val="000000" w:themeColor="text1"/>
                <w:sz w:val="16"/>
                <w:szCs w:val="16"/>
                <w:lang w:val="es-ES_tradnl" w:eastAsia="es-ES"/>
              </w:rPr>
            </w:pPr>
            <w:r w:rsidRPr="00481870">
              <w:rPr>
                <w:rFonts w:ascii="Arial" w:hAnsi="Arial" w:cs="Arial"/>
                <w:color w:val="000000" w:themeColor="text1"/>
                <w:sz w:val="16"/>
                <w:szCs w:val="16"/>
                <w:lang w:val="es-ES_tradnl" w:eastAsia="es-ES"/>
              </w:rPr>
              <w:t>Elaboró:</w:t>
            </w:r>
          </w:p>
        </w:tc>
        <w:tc>
          <w:tcPr>
            <w:tcW w:w="4413" w:type="dxa"/>
            <w:tcBorders>
              <w:top w:val="nil"/>
              <w:left w:val="nil"/>
              <w:bottom w:val="dotted" w:sz="4" w:space="0" w:color="7F7F7F" w:themeColor="text1" w:themeTint="80"/>
              <w:right w:val="nil"/>
            </w:tcBorders>
            <w:vAlign w:val="center"/>
            <w:hideMark/>
          </w:tcPr>
          <w:p w14:paraId="0DEB9D78" w14:textId="77777777" w:rsidR="009212DA" w:rsidRDefault="00625A4F" w:rsidP="00527E67">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Juan David Marín López</w:t>
            </w:r>
          </w:p>
          <w:p w14:paraId="0E92A8A4" w14:textId="66656B74" w:rsidR="00625A4F" w:rsidRPr="00481870" w:rsidRDefault="00625A4F" w:rsidP="00527E67">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Asesor Jurídico</w:t>
            </w:r>
          </w:p>
        </w:tc>
      </w:tr>
      <w:tr w:rsidR="009212DA" w:rsidRPr="00481870" w14:paraId="0416D998" w14:textId="77777777" w:rsidTr="00527E67">
        <w:trPr>
          <w:trHeight w:val="330"/>
        </w:trPr>
        <w:tc>
          <w:tcPr>
            <w:tcW w:w="812" w:type="dxa"/>
            <w:vAlign w:val="center"/>
            <w:hideMark/>
          </w:tcPr>
          <w:p w14:paraId="12317CA7" w14:textId="77777777" w:rsidR="009212DA" w:rsidRPr="00481870" w:rsidRDefault="009212DA" w:rsidP="00527E67">
            <w:pPr>
              <w:jc w:val="both"/>
              <w:rPr>
                <w:rFonts w:ascii="Arial" w:hAnsi="Arial" w:cs="Arial"/>
                <w:color w:val="000000" w:themeColor="text1"/>
                <w:sz w:val="16"/>
                <w:szCs w:val="16"/>
                <w:lang w:val="es-ES_tradnl" w:eastAsia="es-ES"/>
              </w:rPr>
            </w:pPr>
            <w:r w:rsidRPr="00481870">
              <w:rPr>
                <w:rFonts w:ascii="Arial" w:hAnsi="Arial" w:cs="Arial"/>
                <w:color w:val="000000" w:themeColor="text1"/>
                <w:sz w:val="16"/>
                <w:szCs w:val="16"/>
                <w:lang w:val="es-ES_tradnl" w:eastAsia="es-ES"/>
              </w:rPr>
              <w:t>Revisó: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0F87D8E1" w14:textId="571E86FC" w:rsidR="009212DA" w:rsidRPr="00481870" w:rsidRDefault="00625A4F" w:rsidP="00527E67">
            <w:pPr>
              <w:jc w:val="both"/>
              <w:rPr>
                <w:rFonts w:ascii="Arial" w:hAnsi="Arial" w:cs="Arial"/>
                <w:color w:val="000000" w:themeColor="text1"/>
                <w:sz w:val="16"/>
                <w:szCs w:val="16"/>
                <w:lang w:val="es-ES_tradnl" w:eastAsia="es-ES"/>
              </w:rPr>
            </w:pPr>
            <w:r>
              <w:rPr>
                <w:rFonts w:ascii="Arial" w:hAnsi="Arial" w:cs="Arial"/>
                <w:color w:val="000000" w:themeColor="text1"/>
                <w:sz w:val="16"/>
                <w:szCs w:val="16"/>
                <w:lang w:val="es-ES_tradnl" w:eastAsia="es-ES"/>
              </w:rPr>
              <w:t>Jorge Augusto Tirado</w:t>
            </w:r>
          </w:p>
          <w:p w14:paraId="6997EAC8" w14:textId="263F97E4" w:rsidR="009212DA" w:rsidRPr="00481870" w:rsidRDefault="009212DA" w:rsidP="00527E67">
            <w:pPr>
              <w:jc w:val="both"/>
              <w:rPr>
                <w:rFonts w:ascii="Arial" w:hAnsi="Arial" w:cs="Arial"/>
                <w:color w:val="000000" w:themeColor="text1"/>
                <w:sz w:val="16"/>
                <w:szCs w:val="16"/>
                <w:lang w:val="es-ES_tradnl" w:eastAsia="es-ES"/>
              </w:rPr>
            </w:pPr>
            <w:r w:rsidRPr="00481870">
              <w:rPr>
                <w:rFonts w:ascii="Arial" w:hAnsi="Arial" w:cs="Arial"/>
                <w:color w:val="000000" w:themeColor="text1"/>
                <w:sz w:val="16"/>
                <w:szCs w:val="16"/>
                <w:lang w:val="es-ES_tradnl" w:eastAsia="es-ES"/>
              </w:rPr>
              <w:t xml:space="preserve"> </w:t>
            </w:r>
            <w:r w:rsidR="00625A4F" w:rsidRPr="00481870">
              <w:rPr>
                <w:rFonts w:ascii="Arial" w:hAnsi="Arial" w:cs="Arial"/>
                <w:color w:val="000000" w:themeColor="text1"/>
                <w:sz w:val="16"/>
                <w:szCs w:val="16"/>
                <w:lang w:val="es-ES_tradnl" w:eastAsia="es-ES"/>
              </w:rPr>
              <w:t>Subdirector de Gestión Contractual ANCP – CCE</w:t>
            </w:r>
          </w:p>
        </w:tc>
      </w:tr>
      <w:tr w:rsidR="009212DA" w:rsidRPr="004E4581" w14:paraId="2092F859" w14:textId="77777777" w:rsidTr="00527E67">
        <w:trPr>
          <w:trHeight w:val="300"/>
        </w:trPr>
        <w:tc>
          <w:tcPr>
            <w:tcW w:w="812" w:type="dxa"/>
            <w:vAlign w:val="center"/>
            <w:hideMark/>
          </w:tcPr>
          <w:p w14:paraId="7BA65503" w14:textId="77777777" w:rsidR="009212DA" w:rsidRPr="00481870" w:rsidRDefault="009212DA" w:rsidP="00527E67">
            <w:pPr>
              <w:jc w:val="both"/>
              <w:rPr>
                <w:rFonts w:ascii="Arial" w:hAnsi="Arial" w:cs="Arial"/>
                <w:color w:val="000000" w:themeColor="text1"/>
                <w:sz w:val="16"/>
                <w:szCs w:val="16"/>
                <w:lang w:val="es-ES_tradnl" w:eastAsia="es-ES"/>
              </w:rPr>
            </w:pPr>
            <w:r w:rsidRPr="00481870">
              <w:rPr>
                <w:rFonts w:ascii="Arial" w:hAnsi="Arial" w:cs="Arial"/>
                <w:color w:val="000000" w:themeColor="text1"/>
                <w:sz w:val="16"/>
                <w:szCs w:val="16"/>
                <w:lang w:val="es-ES_tradnl" w:eastAsia="es-ES"/>
              </w:rPr>
              <w:t>Aprobó:</w:t>
            </w:r>
          </w:p>
        </w:tc>
        <w:tc>
          <w:tcPr>
            <w:tcW w:w="4413" w:type="dxa"/>
            <w:tcBorders>
              <w:top w:val="dotted" w:sz="4" w:space="0" w:color="7F7F7F" w:themeColor="text1" w:themeTint="80"/>
              <w:left w:val="nil"/>
              <w:bottom w:val="dotted" w:sz="4" w:space="0" w:color="7F7F7F" w:themeColor="text1" w:themeTint="80"/>
              <w:right w:val="nil"/>
            </w:tcBorders>
            <w:vAlign w:val="center"/>
            <w:hideMark/>
          </w:tcPr>
          <w:p w14:paraId="37184828" w14:textId="77777777" w:rsidR="009212DA" w:rsidRPr="00481870" w:rsidRDefault="009212DA" w:rsidP="00527E67">
            <w:pPr>
              <w:jc w:val="both"/>
              <w:rPr>
                <w:rFonts w:ascii="Arial" w:hAnsi="Arial" w:cs="Arial"/>
                <w:color w:val="000000" w:themeColor="text1"/>
                <w:sz w:val="16"/>
                <w:szCs w:val="16"/>
                <w:lang w:val="es-ES_tradnl" w:eastAsia="es-ES"/>
              </w:rPr>
            </w:pPr>
            <w:r w:rsidRPr="00481870">
              <w:rPr>
                <w:rFonts w:ascii="Arial" w:hAnsi="Arial" w:cs="Arial"/>
                <w:color w:val="000000" w:themeColor="text1"/>
                <w:sz w:val="16"/>
                <w:szCs w:val="16"/>
                <w:lang w:val="es-ES_tradnl" w:eastAsia="es-ES"/>
              </w:rPr>
              <w:t>Jorge Augusto Tirado Navarro</w:t>
            </w:r>
          </w:p>
          <w:p w14:paraId="3994E7F2" w14:textId="77777777" w:rsidR="009212DA" w:rsidRPr="004E4581" w:rsidRDefault="009212DA" w:rsidP="00527E67">
            <w:pPr>
              <w:jc w:val="both"/>
              <w:rPr>
                <w:rFonts w:ascii="Arial" w:hAnsi="Arial" w:cs="Arial"/>
                <w:color w:val="000000" w:themeColor="text1"/>
                <w:sz w:val="16"/>
                <w:szCs w:val="16"/>
                <w:lang w:val="es-ES_tradnl" w:eastAsia="es-ES"/>
              </w:rPr>
            </w:pPr>
            <w:r w:rsidRPr="00481870">
              <w:rPr>
                <w:rFonts w:ascii="Arial" w:hAnsi="Arial" w:cs="Arial"/>
                <w:color w:val="000000" w:themeColor="text1"/>
                <w:sz w:val="16"/>
                <w:szCs w:val="16"/>
                <w:lang w:val="es-ES_tradnl" w:eastAsia="es-ES"/>
              </w:rPr>
              <w:t>Subdirector de Gestión Contractual ANCP – CCE</w:t>
            </w:r>
          </w:p>
        </w:tc>
      </w:tr>
    </w:tbl>
    <w:p w14:paraId="414E221C" w14:textId="77777777" w:rsidR="009212DA" w:rsidRPr="004E4581" w:rsidRDefault="009212DA" w:rsidP="009212DA">
      <w:pPr>
        <w:rPr>
          <w:rFonts w:ascii="Arial" w:hAnsi="Arial" w:cs="Arial"/>
          <w:color w:val="000000" w:themeColor="text1"/>
          <w:lang w:val="es-ES_tradnl"/>
        </w:rPr>
      </w:pPr>
    </w:p>
    <w:bookmarkEnd w:id="7"/>
    <w:p w14:paraId="5E9C37DB" w14:textId="43934813" w:rsidR="00746E08" w:rsidRPr="004E4581" w:rsidRDefault="00746E08" w:rsidP="00322342">
      <w:pPr>
        <w:tabs>
          <w:tab w:val="left" w:pos="3795"/>
        </w:tabs>
        <w:rPr>
          <w:rFonts w:ascii="Arial" w:hAnsi="Arial" w:cs="Arial"/>
          <w:color w:val="000000" w:themeColor="text1"/>
          <w:lang w:val="es-ES_tradnl"/>
        </w:rPr>
      </w:pPr>
    </w:p>
    <w:sectPr w:rsidR="00746E08" w:rsidRPr="004E4581" w:rsidSect="005F7701">
      <w:headerReference w:type="default" r:id="rId13"/>
      <w:footerReference w:type="default" r:id="rId14"/>
      <w:pgSz w:w="12240" w:h="15840"/>
      <w:pgMar w:top="2041"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A4017A" w14:textId="77777777" w:rsidR="0028745C" w:rsidRDefault="0028745C">
      <w:r>
        <w:separator/>
      </w:r>
    </w:p>
  </w:endnote>
  <w:endnote w:type="continuationSeparator" w:id="0">
    <w:p w14:paraId="38AB9F33" w14:textId="77777777" w:rsidR="0028745C" w:rsidRDefault="0028745C">
      <w:r>
        <w:continuationSeparator/>
      </w:r>
    </w:p>
  </w:endnote>
  <w:endnote w:type="continuationNotice" w:id="1">
    <w:p w14:paraId="51D09465" w14:textId="77777777" w:rsidR="0028745C" w:rsidRDefault="0028745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Bookman Old Style">
    <w:panose1 w:val="02050604050505020204"/>
    <w:charset w:val="00"/>
    <w:family w:val="roman"/>
    <w:pitch w:val="variable"/>
    <w:sig w:usb0="00000287" w:usb1="00000000" w:usb2="00000000" w:usb3="00000000" w:csb0="0000009F" w:csb1="00000000"/>
  </w:font>
  <w:font w:name="Arial MT">
    <w:altName w:val="Arial"/>
    <w:charset w:val="01"/>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F02A34" w14:textId="77777777" w:rsidR="00993B0D" w:rsidRDefault="00993B0D" w:rsidP="00322937">
    <w:pPr>
      <w:pStyle w:val="Sinespaciado"/>
      <w:jc w:val="right"/>
      <w:rPr>
        <w:rFonts w:ascii="Arial" w:hAnsi="Arial" w:cs="Arial"/>
        <w:sz w:val="18"/>
        <w:szCs w:val="18"/>
      </w:rPr>
    </w:pPr>
  </w:p>
  <w:p w14:paraId="7A3785F3" w14:textId="7CA3CCBF" w:rsidR="00993B0D" w:rsidRPr="008217B7" w:rsidRDefault="00993B0D" w:rsidP="00FE42ED">
    <w:pPr>
      <w:pStyle w:val="Piedepgina"/>
      <w:jc w:val="right"/>
      <w:rPr>
        <w:rFonts w:ascii="Arial" w:hAnsi="Arial" w:cs="Arial"/>
        <w:color w:val="7F7F7F" w:themeColor="text1" w:themeTint="80"/>
        <w:sz w:val="16"/>
        <w:szCs w:val="16"/>
      </w:rPr>
    </w:pPr>
    <w:r w:rsidRPr="008217B7">
      <w:rPr>
        <w:rFonts w:ascii="Arial" w:hAnsi="Arial" w:cs="Arial"/>
        <w:bCs/>
        <w:color w:val="7F7F7F" w:themeColor="text1" w:themeTint="80"/>
        <w:sz w:val="16"/>
        <w:szCs w:val="16"/>
      </w:rPr>
      <w:t xml:space="preserve">Página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PAGE  \* Arabic  \* MERGEFORMAT</w:instrText>
    </w:r>
    <w:r w:rsidRPr="00084B97">
      <w:rPr>
        <w:rFonts w:ascii="Arial" w:hAnsi="Arial" w:cs="Arial"/>
        <w:b/>
        <w:bCs/>
        <w:color w:val="7F7F7F" w:themeColor="text1" w:themeTint="80"/>
        <w:sz w:val="16"/>
        <w:szCs w:val="16"/>
      </w:rPr>
      <w:fldChar w:fldCharType="separate"/>
    </w:r>
    <w:r w:rsidR="000E5A33">
      <w:rPr>
        <w:rFonts w:ascii="Arial" w:hAnsi="Arial" w:cs="Arial"/>
        <w:b/>
        <w:bCs/>
        <w:noProof/>
        <w:color w:val="7F7F7F" w:themeColor="text1" w:themeTint="80"/>
        <w:sz w:val="16"/>
        <w:szCs w:val="16"/>
      </w:rPr>
      <w:t>56</w:t>
    </w:r>
    <w:r w:rsidRPr="00084B97">
      <w:rPr>
        <w:rFonts w:ascii="Arial" w:hAnsi="Arial" w:cs="Arial"/>
        <w:b/>
        <w:bCs/>
        <w:color w:val="7F7F7F" w:themeColor="text1" w:themeTint="80"/>
        <w:sz w:val="16"/>
        <w:szCs w:val="16"/>
      </w:rPr>
      <w:fldChar w:fldCharType="end"/>
    </w:r>
    <w:r w:rsidRPr="008217B7">
      <w:rPr>
        <w:rFonts w:ascii="Arial" w:hAnsi="Arial" w:cs="Arial"/>
        <w:color w:val="7F7F7F" w:themeColor="text1" w:themeTint="80"/>
        <w:sz w:val="16"/>
        <w:szCs w:val="16"/>
      </w:rPr>
      <w:t xml:space="preserve"> de </w:t>
    </w:r>
    <w:r w:rsidRPr="00084B97">
      <w:rPr>
        <w:rFonts w:ascii="Arial" w:hAnsi="Arial" w:cs="Arial"/>
        <w:b/>
        <w:bCs/>
        <w:color w:val="7F7F7F" w:themeColor="text1" w:themeTint="80"/>
        <w:sz w:val="16"/>
        <w:szCs w:val="16"/>
      </w:rPr>
      <w:fldChar w:fldCharType="begin"/>
    </w:r>
    <w:r w:rsidRPr="00084B97">
      <w:rPr>
        <w:rFonts w:ascii="Arial" w:hAnsi="Arial" w:cs="Arial"/>
        <w:b/>
        <w:bCs/>
        <w:color w:val="7F7F7F" w:themeColor="text1" w:themeTint="80"/>
        <w:sz w:val="16"/>
        <w:szCs w:val="16"/>
      </w:rPr>
      <w:instrText>NUMPAGES  \* Arabic  \* MERGEFORMAT</w:instrText>
    </w:r>
    <w:r w:rsidRPr="00084B97">
      <w:rPr>
        <w:rFonts w:ascii="Arial" w:hAnsi="Arial" w:cs="Arial"/>
        <w:b/>
        <w:bCs/>
        <w:color w:val="7F7F7F" w:themeColor="text1" w:themeTint="80"/>
        <w:sz w:val="16"/>
        <w:szCs w:val="16"/>
      </w:rPr>
      <w:fldChar w:fldCharType="separate"/>
    </w:r>
    <w:r w:rsidR="000E5A33">
      <w:rPr>
        <w:rFonts w:ascii="Arial" w:hAnsi="Arial" w:cs="Arial"/>
        <w:b/>
        <w:bCs/>
        <w:noProof/>
        <w:color w:val="7F7F7F" w:themeColor="text1" w:themeTint="80"/>
        <w:sz w:val="16"/>
        <w:szCs w:val="16"/>
      </w:rPr>
      <w:t>69</w:t>
    </w:r>
    <w:r w:rsidRPr="00084B97">
      <w:rPr>
        <w:rFonts w:ascii="Arial" w:hAnsi="Arial" w:cs="Arial"/>
        <w:b/>
        <w:bCs/>
        <w:color w:val="7F7F7F" w:themeColor="text1" w:themeTint="80"/>
        <w:sz w:val="16"/>
        <w:szCs w:val="16"/>
      </w:rPr>
      <w:fldChar w:fldCharType="end"/>
    </w:r>
  </w:p>
  <w:p w14:paraId="48FC6A04" w14:textId="5FD1A7C9" w:rsidR="00993B0D" w:rsidRDefault="00993B0D" w:rsidP="00322937">
    <w:pPr>
      <w:pStyle w:val="Piedepgina"/>
      <w:jc w:val="center"/>
      <w:rPr>
        <w:lang w:val="es-ES"/>
      </w:rPr>
    </w:pPr>
    <w:r>
      <w:rPr>
        <w:noProof/>
        <w:lang w:val="en-US"/>
      </w:rPr>
      <w:drawing>
        <wp:inline distT="0" distB="0" distL="0" distR="0" wp14:anchorId="608B196D" wp14:editId="0DC5B948">
          <wp:extent cx="3700130" cy="519139"/>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e_pagina_pie_pagina_excel.png"/>
                  <pic:cNvPicPr/>
                </pic:nvPicPr>
                <pic:blipFill>
                  <a:blip r:embed="rId1">
                    <a:extLst>
                      <a:ext uri="{28A0092B-C50C-407E-A947-70E740481C1C}">
                        <a14:useLocalDpi xmlns:a14="http://schemas.microsoft.com/office/drawing/2010/main" val="0"/>
                      </a:ext>
                    </a:extLst>
                  </a:blip>
                  <a:stretch>
                    <a:fillRect/>
                  </a:stretch>
                </pic:blipFill>
                <pic:spPr>
                  <a:xfrm>
                    <a:off x="0" y="0"/>
                    <a:ext cx="3779589" cy="530287"/>
                  </a:xfrm>
                  <a:prstGeom prst="rect">
                    <a:avLst/>
                  </a:prstGeom>
                </pic:spPr>
              </pic:pic>
            </a:graphicData>
          </a:graphic>
        </wp:inline>
      </w:drawing>
    </w:r>
  </w:p>
  <w:p w14:paraId="5D0E988C" w14:textId="77777777" w:rsidR="00993B0D" w:rsidRDefault="00993B0D" w:rsidP="007B0854">
    <w:pPr>
      <w:pStyle w:val="Piedepgina"/>
      <w:jc w:val="center"/>
      <w:rPr>
        <w:lang w:val="es-ES"/>
      </w:rPr>
    </w:pPr>
  </w:p>
  <w:p w14:paraId="6C0EFC49" w14:textId="77777777" w:rsidR="00993B0D" w:rsidRPr="007B0854" w:rsidRDefault="00993B0D" w:rsidP="007B0854">
    <w:pPr>
      <w:pStyle w:val="Piedepgina"/>
      <w:jc w:val="center"/>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220230" w14:textId="77777777" w:rsidR="0028745C" w:rsidRDefault="0028745C">
      <w:r>
        <w:separator/>
      </w:r>
    </w:p>
  </w:footnote>
  <w:footnote w:type="continuationSeparator" w:id="0">
    <w:p w14:paraId="5F600FC6" w14:textId="77777777" w:rsidR="0028745C" w:rsidRDefault="0028745C">
      <w:r>
        <w:continuationSeparator/>
      </w:r>
    </w:p>
  </w:footnote>
  <w:footnote w:type="continuationNotice" w:id="1">
    <w:p w14:paraId="4C00FF63" w14:textId="77777777" w:rsidR="0028745C" w:rsidRDefault="0028745C"/>
  </w:footnote>
  <w:footnote w:id="2">
    <w:p w14:paraId="4F1F0CF9" w14:textId="77777777" w:rsidR="00D0545B" w:rsidRPr="00DB646B" w:rsidRDefault="00D0545B" w:rsidP="00DB646B">
      <w:pPr>
        <w:pStyle w:val="footnotedescription"/>
        <w:spacing w:after="0" w:line="240" w:lineRule="auto"/>
        <w:ind w:right="0" w:firstLine="0"/>
        <w:rPr>
          <w:sz w:val="20"/>
          <w:szCs w:val="20"/>
        </w:rPr>
      </w:pPr>
      <w:r w:rsidRPr="00DB646B">
        <w:rPr>
          <w:rStyle w:val="footnotemark"/>
          <w:sz w:val="20"/>
          <w:szCs w:val="20"/>
        </w:rPr>
        <w:footnoteRef/>
      </w:r>
      <w:r w:rsidRPr="00DB646B">
        <w:rPr>
          <w:sz w:val="20"/>
          <w:szCs w:val="20"/>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5419D4C" w14:textId="77777777" w:rsidR="00D0545B" w:rsidRPr="00DB646B" w:rsidRDefault="00D0545B" w:rsidP="00DB646B">
      <w:pPr>
        <w:pStyle w:val="footnotedescription"/>
        <w:spacing w:after="0" w:line="240" w:lineRule="auto"/>
        <w:ind w:right="0" w:firstLine="0"/>
        <w:rPr>
          <w:sz w:val="20"/>
          <w:szCs w:val="20"/>
        </w:rPr>
      </w:pPr>
      <w:r w:rsidRPr="00DB646B">
        <w:rPr>
          <w:sz w:val="20"/>
          <w:szCs w:val="20"/>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  Los empleados no contemplados en esta prohibición solo podrán participar en dichas actividades y controversias en las condiciones que señale la Ley Estatutaria».</w:t>
      </w:r>
    </w:p>
  </w:footnote>
  <w:footnote w:id="3">
    <w:p w14:paraId="713C5B93" w14:textId="77777777" w:rsidR="00D0545B" w:rsidRPr="00DB646B" w:rsidRDefault="00D0545B" w:rsidP="00DB646B">
      <w:pPr>
        <w:pStyle w:val="footnotedescription"/>
        <w:spacing w:after="0" w:line="240" w:lineRule="auto"/>
        <w:ind w:right="0" w:firstLine="0"/>
        <w:rPr>
          <w:sz w:val="20"/>
          <w:szCs w:val="20"/>
        </w:rPr>
      </w:pPr>
      <w:r w:rsidRPr="00DB646B">
        <w:rPr>
          <w:rStyle w:val="footnotemark"/>
          <w:sz w:val="20"/>
          <w:szCs w:val="20"/>
        </w:rPr>
        <w:footnoteRef/>
      </w:r>
      <w:r w:rsidRPr="00DB646B">
        <w:rPr>
          <w:sz w:val="20"/>
          <w:szCs w:val="20"/>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4">
    <w:p w14:paraId="3392170E" w14:textId="77777777" w:rsidR="00D0545B" w:rsidRPr="00DB646B" w:rsidRDefault="00D0545B" w:rsidP="00DB646B">
      <w:pPr>
        <w:pStyle w:val="footnotedescription"/>
        <w:spacing w:after="0" w:line="240" w:lineRule="auto"/>
        <w:ind w:right="0" w:firstLine="0"/>
        <w:rPr>
          <w:sz w:val="20"/>
          <w:szCs w:val="20"/>
        </w:rPr>
      </w:pPr>
      <w:r w:rsidRPr="00DB646B">
        <w:rPr>
          <w:rStyle w:val="footnotemark"/>
          <w:sz w:val="20"/>
          <w:szCs w:val="20"/>
        </w:rPr>
        <w:footnoteRef/>
      </w:r>
      <w:r w:rsidRPr="00DB646B">
        <w:rPr>
          <w:sz w:val="20"/>
          <w:szCs w:val="20"/>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5">
    <w:p w14:paraId="068B4949" w14:textId="77777777" w:rsidR="00D0545B" w:rsidRPr="00DB646B" w:rsidRDefault="00D0545B" w:rsidP="00DB646B">
      <w:pPr>
        <w:pStyle w:val="footnotedescription"/>
        <w:spacing w:after="0" w:line="240" w:lineRule="auto"/>
        <w:ind w:right="0" w:firstLine="0"/>
        <w:rPr>
          <w:sz w:val="20"/>
          <w:szCs w:val="20"/>
        </w:rPr>
      </w:pPr>
      <w:r w:rsidRPr="00DB646B">
        <w:rPr>
          <w:rStyle w:val="footnotemark"/>
          <w:sz w:val="20"/>
          <w:szCs w:val="20"/>
        </w:rPr>
        <w:footnoteRef/>
      </w:r>
      <w:r w:rsidRPr="00DB646B">
        <w:rPr>
          <w:sz w:val="20"/>
          <w:szCs w:val="20"/>
        </w:rPr>
        <w:t xml:space="preserve"> Consejo de Estado, Sala de Consulta y Servicio Civil de fecha 24 de julio de 2013, radicado 2166, Consejero Ponente Álvaro Namén Vargas.  </w:t>
      </w:r>
    </w:p>
  </w:footnote>
  <w:footnote w:id="6">
    <w:p w14:paraId="61820FBC" w14:textId="2E433C3C" w:rsidR="00D0545B" w:rsidRPr="00DB646B" w:rsidRDefault="00D0545B" w:rsidP="00DB646B">
      <w:pPr>
        <w:pStyle w:val="footnotedescription"/>
        <w:spacing w:after="0" w:line="240" w:lineRule="auto"/>
        <w:ind w:right="0" w:firstLine="0"/>
        <w:rPr>
          <w:sz w:val="20"/>
          <w:szCs w:val="20"/>
        </w:rPr>
      </w:pPr>
      <w:r w:rsidRPr="00DB646B">
        <w:rPr>
          <w:rStyle w:val="footnotemark"/>
          <w:sz w:val="20"/>
          <w:szCs w:val="20"/>
        </w:rPr>
        <w:footnoteRef/>
      </w:r>
      <w:r w:rsidRPr="00DB646B">
        <w:rPr>
          <w:sz w:val="20"/>
          <w:szCs w:val="20"/>
        </w:rPr>
        <w:t xml:space="preserve"> </w:t>
      </w:r>
      <w:r w:rsidR="00A84906" w:rsidRPr="00DB646B">
        <w:rPr>
          <w:sz w:val="20"/>
          <w:szCs w:val="20"/>
        </w:rPr>
        <w:t>«Artículo</w:t>
      </w:r>
      <w:r w:rsidRPr="00DB646B">
        <w:rPr>
          <w:sz w:val="20"/>
          <w:szCs w:val="20"/>
        </w:rPr>
        <w:t xml:space="preserve"> 33. Restricciones a la contratación pública.  Durante los cu</w:t>
      </w:r>
      <w:r w:rsidR="00A84906" w:rsidRPr="00DB646B">
        <w:rPr>
          <w:sz w:val="20"/>
          <w:szCs w:val="20"/>
        </w:rPr>
        <w:t>a</w:t>
      </w:r>
      <w:r w:rsidRPr="00DB646B">
        <w:rPr>
          <w:sz w:val="20"/>
          <w:szCs w:val="20"/>
        </w:rPr>
        <w:t>tro (4) meses anteriores a la elección presidencial y hasta la realización de la elección en la segunda vuelta, si fuere el caso, queda prohibida la contratación directa por parte de todos los entes del Estado.</w:t>
      </w:r>
      <w:r w:rsidR="00A84906" w:rsidRPr="00DB646B">
        <w:rPr>
          <w:sz w:val="20"/>
          <w:szCs w:val="20"/>
        </w:rPr>
        <w:t xml:space="preserve"> </w:t>
      </w:r>
      <w:r w:rsidRPr="00DB646B">
        <w:rPr>
          <w:sz w:val="20"/>
          <w:szCs w:val="20"/>
        </w:rPr>
        <w:t>» 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footnote>
  <w:footnote w:id="7">
    <w:p w14:paraId="21B50885" w14:textId="77777777" w:rsidR="00AB5D64" w:rsidRPr="00DB646B" w:rsidRDefault="00AB5D64" w:rsidP="00DB646B">
      <w:pPr>
        <w:pStyle w:val="Textonotapie"/>
        <w:jc w:val="both"/>
        <w:rPr>
          <w:rFonts w:ascii="Arial" w:hAnsi="Arial" w:cs="Arial"/>
          <w:lang w:val="es-ES"/>
        </w:rPr>
      </w:pPr>
      <w:r w:rsidRPr="00DB646B">
        <w:rPr>
          <w:rStyle w:val="Refdenotaalpie"/>
          <w:rFonts w:ascii="Arial" w:hAnsi="Arial" w:cs="Arial"/>
        </w:rPr>
        <w:footnoteRef/>
      </w:r>
      <w:r w:rsidRPr="00DB646B">
        <w:rPr>
          <w:rFonts w:ascii="Arial" w:hAnsi="Arial" w:cs="Arial"/>
        </w:rPr>
        <w:t xml:space="preserve"> </w:t>
      </w:r>
      <w:r w:rsidRPr="00DB646B">
        <w:rPr>
          <w:rFonts w:ascii="Arial" w:hAnsi="Arial" w:cs="Arial"/>
          <w:lang w:val="es-ES"/>
        </w:rPr>
        <w:t xml:space="preserve">En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w:t>
      </w:r>
      <w:r w:rsidRPr="00DB646B">
        <w:rPr>
          <w:rFonts w:ascii="Arial" w:hAnsi="Arial" w:cs="Arial"/>
          <w:b/>
          <w:lang w:val="es-ES"/>
        </w:rPr>
        <w:t>pública</w:t>
      </w:r>
      <w:r w:rsidRPr="00DB646B">
        <w:rPr>
          <w:rFonts w:ascii="Arial" w:hAnsi="Arial" w:cs="Arial"/>
          <w:lang w:val="es-ES"/>
        </w:rPr>
        <w:t xml:space="preserve">, y que se permita la participación de una pluralidad de oferentes.    </w:t>
      </w:r>
    </w:p>
  </w:footnote>
  <w:footnote w:id="8">
    <w:p w14:paraId="55A27CA8" w14:textId="77777777" w:rsidR="00D0545B" w:rsidRPr="00DB646B" w:rsidRDefault="00D0545B" w:rsidP="00DB646B">
      <w:pPr>
        <w:pStyle w:val="footnotedescription"/>
        <w:spacing w:after="0" w:line="240" w:lineRule="auto"/>
        <w:ind w:right="0" w:firstLine="0"/>
        <w:rPr>
          <w:sz w:val="20"/>
          <w:szCs w:val="20"/>
        </w:rPr>
      </w:pPr>
      <w:r w:rsidRPr="00DB646B">
        <w:rPr>
          <w:rStyle w:val="footnotemark"/>
          <w:sz w:val="20"/>
          <w:szCs w:val="20"/>
        </w:rPr>
        <w:footnoteRef/>
      </w:r>
      <w:r w:rsidRPr="00DB646B">
        <w:rPr>
          <w:sz w:val="20"/>
          <w:szCs w:val="20"/>
        </w:rPr>
        <w:t xml:space="preserve"> «Artículo </w:t>
      </w:r>
      <w:r w:rsidRPr="00DB646B">
        <w:rPr>
          <w:sz w:val="20"/>
          <w:szCs w:val="20"/>
        </w:rPr>
        <w:tab/>
        <w:t xml:space="preserve"> 38. Prohibiciones para los servidores públicos.   A los empleados del Estado les está prohibido:</w:t>
      </w:r>
    </w:p>
    <w:p w14:paraId="55951F4F" w14:textId="77777777" w:rsidR="00D0545B" w:rsidRPr="00DB646B" w:rsidRDefault="00D0545B" w:rsidP="00DB646B">
      <w:pPr>
        <w:pStyle w:val="footnotedescription"/>
        <w:spacing w:after="0" w:line="240" w:lineRule="auto"/>
        <w:ind w:right="0" w:firstLine="0"/>
        <w:rPr>
          <w:sz w:val="20"/>
          <w:szCs w:val="20"/>
        </w:rPr>
      </w:pPr>
      <w:r w:rsidRPr="00DB646B">
        <w:rPr>
          <w:sz w:val="20"/>
          <w:szCs w:val="20"/>
        </w:rPr>
        <w:t>»[…]</w:t>
      </w:r>
    </w:p>
    <w:p w14:paraId="54DEF137" w14:textId="77777777" w:rsidR="00D0545B" w:rsidRPr="00DB646B" w:rsidRDefault="00D0545B" w:rsidP="00DB646B">
      <w:pPr>
        <w:pStyle w:val="footnotedescription"/>
        <w:spacing w:after="0" w:line="240" w:lineRule="auto"/>
        <w:ind w:right="0" w:firstLine="0"/>
        <w:rPr>
          <w:sz w:val="20"/>
          <w:szCs w:val="20"/>
        </w:rPr>
      </w:pPr>
      <w:r w:rsidRPr="00DB646B">
        <w:rPr>
          <w:sz w:val="20"/>
          <w:szCs w:val="20"/>
        </w:rPr>
        <w:t>» Parágrafo .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p>
  </w:footnote>
  <w:footnote w:id="9">
    <w:p w14:paraId="07D8AAD1" w14:textId="77777777" w:rsidR="00D0545B" w:rsidRPr="00DB646B" w:rsidRDefault="00D0545B" w:rsidP="00DB646B">
      <w:pPr>
        <w:pStyle w:val="footnotedescription"/>
        <w:spacing w:after="0" w:line="240" w:lineRule="auto"/>
        <w:ind w:right="0" w:firstLine="0"/>
        <w:rPr>
          <w:sz w:val="20"/>
          <w:szCs w:val="20"/>
        </w:rPr>
      </w:pPr>
      <w:r w:rsidRPr="00DB646B">
        <w:rPr>
          <w:rStyle w:val="footnotemark"/>
          <w:sz w:val="20"/>
          <w:szCs w:val="20"/>
        </w:rPr>
        <w:footnoteRef/>
      </w:r>
      <w:r w:rsidRPr="00DB646B">
        <w:rPr>
          <w:sz w:val="20"/>
          <w:szCs w:val="20"/>
        </w:rPr>
        <w:t xml:space="preserve"> Consejo de Estado. Sala de Consulta y Servicio Civil. Concepto del 17 de febrero de 2015. C.P. William Zambrano Cetina. Radicación No. 11001-03-06-000-2015-00164-00(2269).</w:t>
      </w:r>
    </w:p>
  </w:footnote>
  <w:footnote w:id="10">
    <w:p w14:paraId="61AB2426" w14:textId="77777777" w:rsidR="00145763" w:rsidRPr="00DB646B" w:rsidRDefault="00145763" w:rsidP="00DB646B">
      <w:pPr>
        <w:pStyle w:val="Car1"/>
        <w:contextualSpacing/>
        <w:jc w:val="both"/>
        <w:rPr>
          <w:rFonts w:ascii="Arial" w:hAnsi="Arial" w:cs="Arial"/>
        </w:rPr>
      </w:pPr>
      <w:r w:rsidRPr="00DB646B">
        <w:rPr>
          <w:rStyle w:val="Refdenotaalpie"/>
          <w:rFonts w:ascii="Arial" w:hAnsi="Arial" w:cs="Arial"/>
        </w:rPr>
        <w:footnoteRef/>
      </w:r>
      <w:r w:rsidRPr="00DB646B">
        <w:rPr>
          <w:rFonts w:ascii="Arial" w:hAnsi="Arial" w:cs="Arial"/>
        </w:rPr>
        <w:t xml:space="preserve"> Consejo de Estado. Sala de Consulta y Servicio Civil. Concepto de 20 de febrero de2006. Radicación 11001-03-06-000-2006-00023-00(1724). Consejero Ponente: Flavio Augusto Rodríguez Arce.</w:t>
      </w:r>
    </w:p>
  </w:footnote>
  <w:footnote w:id="11">
    <w:p w14:paraId="7D96A02A" w14:textId="77777777" w:rsidR="00145763" w:rsidRPr="00DB646B" w:rsidRDefault="00145763" w:rsidP="00DB646B">
      <w:pPr>
        <w:jc w:val="both"/>
        <w:rPr>
          <w:rFonts w:ascii="Arial" w:hAnsi="Arial" w:cs="Arial"/>
          <w:sz w:val="20"/>
          <w:szCs w:val="20"/>
        </w:rPr>
      </w:pPr>
      <w:r w:rsidRPr="00DB646B">
        <w:rPr>
          <w:rStyle w:val="Refdenotaalpie"/>
          <w:rFonts w:ascii="Arial" w:hAnsi="Arial" w:cs="Arial"/>
          <w:sz w:val="20"/>
          <w:szCs w:val="20"/>
        </w:rPr>
        <w:footnoteRef/>
      </w:r>
      <w:r w:rsidRPr="00DB646B">
        <w:rPr>
          <w:rFonts w:ascii="Arial" w:hAnsi="Arial" w:cs="Arial"/>
          <w:sz w:val="20"/>
          <w:szCs w:val="20"/>
        </w:rPr>
        <w:t xml:space="preserve"> Decreto 1082 de 2015: «Artículo 2.2.1.2.1.4.4. Convenios o contratos interadministrativos. La modalidad de selección para la contratación entre Entidades Estatales es la contratación directa; y en consecuencia, le es aplicable lo establecido en el artículo 2.2.1.2.1.4.1 del presente decreto.</w:t>
      </w:r>
    </w:p>
    <w:p w14:paraId="168B6DB6" w14:textId="77777777" w:rsidR="00145763" w:rsidRPr="00DB646B" w:rsidRDefault="00145763" w:rsidP="00DB646B">
      <w:pPr>
        <w:contextualSpacing/>
        <w:jc w:val="both"/>
        <w:rPr>
          <w:rFonts w:ascii="Arial" w:hAnsi="Arial" w:cs="Arial"/>
          <w:sz w:val="20"/>
          <w:szCs w:val="20"/>
        </w:rPr>
      </w:pPr>
      <w:r w:rsidRPr="00DB646B">
        <w:rPr>
          <w:rFonts w:ascii="Arial" w:hAnsi="Arial" w:cs="Arial"/>
          <w:sz w:val="20"/>
          <w:szCs w:val="20"/>
        </w:rPr>
        <w:t>»Cuando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w:t>
      </w:r>
      <w:r w:rsidRPr="00DB646B">
        <w:rPr>
          <w:rFonts w:ascii="Arial" w:hAnsi="Arial" w:cs="Arial"/>
          <w:spacing w:val="-1"/>
          <w:sz w:val="20"/>
          <w:szCs w:val="20"/>
        </w:rPr>
        <w:t xml:space="preserve"> </w:t>
      </w:r>
      <w:r w:rsidRPr="00DB646B">
        <w:rPr>
          <w:rFonts w:ascii="Arial" w:hAnsi="Arial" w:cs="Arial"/>
          <w:sz w:val="20"/>
          <w:szCs w:val="20"/>
        </w:rPr>
        <w:t>Estatales».</w:t>
      </w:r>
    </w:p>
  </w:footnote>
  <w:footnote w:id="12">
    <w:p w14:paraId="7DFC9BBB" w14:textId="77777777" w:rsidR="00145763" w:rsidRPr="00DB646B" w:rsidRDefault="00145763" w:rsidP="00DB646B">
      <w:pPr>
        <w:contextualSpacing/>
        <w:jc w:val="both"/>
        <w:rPr>
          <w:rFonts w:ascii="Arial" w:hAnsi="Arial" w:cs="Arial"/>
          <w:sz w:val="20"/>
          <w:szCs w:val="20"/>
        </w:rPr>
      </w:pPr>
      <w:r w:rsidRPr="00DB646B">
        <w:rPr>
          <w:rStyle w:val="Refdenotaalpie"/>
          <w:rFonts w:ascii="Arial" w:hAnsi="Arial" w:cs="Arial"/>
          <w:sz w:val="20"/>
          <w:szCs w:val="20"/>
        </w:rPr>
        <w:footnoteRef/>
      </w:r>
      <w:r w:rsidRPr="00DB646B">
        <w:rPr>
          <w:rFonts w:ascii="Arial" w:hAnsi="Arial" w:cs="Arial"/>
          <w:sz w:val="20"/>
          <w:szCs w:val="20"/>
        </w:rPr>
        <w:t xml:space="preserve"> Ley 1150 de 2007: «Artículo 2, numeral 4, literal c. […] Se exceptúan los contratos de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Estos contratos podrán ser ejecutados por las mismas, siempre que participen en procesos de licitación pública o contratación abreviada de acuerdo con lo dispuesto por los numerales 1 y 2 del presente</w:t>
      </w:r>
      <w:r w:rsidRPr="00DB646B">
        <w:rPr>
          <w:rFonts w:ascii="Arial" w:hAnsi="Arial" w:cs="Arial"/>
          <w:spacing w:val="-6"/>
          <w:sz w:val="20"/>
          <w:szCs w:val="20"/>
        </w:rPr>
        <w:t xml:space="preserve"> </w:t>
      </w:r>
      <w:r w:rsidRPr="00DB646B">
        <w:rPr>
          <w:rFonts w:ascii="Arial" w:hAnsi="Arial" w:cs="Arial"/>
          <w:sz w:val="20"/>
          <w:szCs w:val="20"/>
        </w:rPr>
        <w:t>artículo».</w:t>
      </w:r>
    </w:p>
  </w:footnote>
  <w:footnote w:id="13">
    <w:p w14:paraId="5EEF531C" w14:textId="77777777" w:rsidR="00145763" w:rsidRPr="00DB646B" w:rsidRDefault="00145763" w:rsidP="00DB646B">
      <w:pPr>
        <w:contextualSpacing/>
        <w:jc w:val="both"/>
        <w:rPr>
          <w:rFonts w:ascii="Arial" w:hAnsi="Arial" w:cs="Arial"/>
          <w:sz w:val="20"/>
          <w:szCs w:val="20"/>
        </w:rPr>
      </w:pPr>
      <w:r w:rsidRPr="00DB646B">
        <w:rPr>
          <w:rStyle w:val="Refdenotaalpie"/>
          <w:rFonts w:ascii="Arial" w:hAnsi="Arial" w:cs="Arial"/>
          <w:sz w:val="20"/>
          <w:szCs w:val="20"/>
        </w:rPr>
        <w:footnoteRef/>
      </w:r>
      <w:r w:rsidRPr="00DB646B">
        <w:rPr>
          <w:rFonts w:ascii="Arial" w:hAnsi="Arial" w:cs="Arial"/>
          <w:position w:val="7"/>
          <w:sz w:val="20"/>
          <w:szCs w:val="20"/>
        </w:rPr>
        <w:t xml:space="preserve"> </w:t>
      </w:r>
      <w:r w:rsidRPr="00DB646B">
        <w:rPr>
          <w:rFonts w:ascii="Arial" w:hAnsi="Arial" w:cs="Arial"/>
          <w:sz w:val="20"/>
          <w:szCs w:val="20"/>
        </w:rPr>
        <w:t>Consejo de Estado. Sección Tercera. Sentencia del 23 de junio de 2010. Radicación No. 66001-23-31-000-1998-00261-01(17.860). Consejero Ponente: Mauricio Fajardo Gómez.</w:t>
      </w:r>
    </w:p>
  </w:footnote>
  <w:footnote w:id="14">
    <w:p w14:paraId="1E5454E2" w14:textId="77777777" w:rsidR="00145763" w:rsidRPr="00DB646B" w:rsidRDefault="00145763" w:rsidP="00DB646B">
      <w:pPr>
        <w:contextualSpacing/>
        <w:jc w:val="both"/>
        <w:rPr>
          <w:rFonts w:ascii="Arial" w:hAnsi="Arial" w:cs="Arial"/>
          <w:sz w:val="20"/>
          <w:szCs w:val="20"/>
        </w:rPr>
      </w:pPr>
      <w:r w:rsidRPr="00DB646B">
        <w:rPr>
          <w:rStyle w:val="Refdenotaalpie"/>
          <w:rFonts w:ascii="Arial" w:hAnsi="Arial" w:cs="Arial"/>
          <w:sz w:val="20"/>
          <w:szCs w:val="20"/>
        </w:rPr>
        <w:footnoteRef/>
      </w:r>
      <w:r w:rsidRPr="00DB646B">
        <w:rPr>
          <w:rFonts w:ascii="Arial" w:hAnsi="Arial" w:cs="Arial"/>
          <w:sz w:val="20"/>
          <w:szCs w:val="20"/>
        </w:rPr>
        <w:t xml:space="preserve"> Consejo de Estado. Sección Tercera. Subsección C. Sentencia del 11 de diciembre de 2019. Exp. 46.986. C.P. Jaime Enrique Rodríguez Navas.</w:t>
      </w:r>
    </w:p>
  </w:footnote>
  <w:footnote w:id="15">
    <w:p w14:paraId="2449114F" w14:textId="77777777" w:rsidR="00145763" w:rsidRPr="00DB646B" w:rsidRDefault="00145763" w:rsidP="00DB646B">
      <w:pPr>
        <w:pStyle w:val="Car1"/>
        <w:contextualSpacing/>
        <w:jc w:val="both"/>
        <w:rPr>
          <w:rFonts w:ascii="Arial" w:hAnsi="Arial" w:cs="Arial"/>
        </w:rPr>
      </w:pPr>
      <w:r w:rsidRPr="00DB646B">
        <w:rPr>
          <w:rStyle w:val="Refdenotaalpie"/>
          <w:rFonts w:ascii="Arial" w:hAnsi="Arial" w:cs="Arial"/>
        </w:rPr>
        <w:footnoteRef/>
      </w:r>
      <w:r w:rsidRPr="00DB646B">
        <w:rPr>
          <w:rFonts w:ascii="Arial" w:hAnsi="Arial" w:cs="Arial"/>
        </w:rPr>
        <w:t xml:space="preserve"> [Referencia propia de la cita] «CE. SCSC. Concepto de 1 de noviembre de 2016 [Rad. 11001-03-06-000-2016-00125-00(2305)]. MP. Germán Alberto Bula Escobar».</w:t>
      </w:r>
    </w:p>
  </w:footnote>
  <w:footnote w:id="16">
    <w:p w14:paraId="2229C7D0" w14:textId="77777777" w:rsidR="00145763" w:rsidRPr="00DB646B" w:rsidRDefault="00145763" w:rsidP="00DB646B">
      <w:pPr>
        <w:pStyle w:val="Car1"/>
        <w:contextualSpacing/>
        <w:jc w:val="both"/>
        <w:rPr>
          <w:rFonts w:ascii="Arial" w:hAnsi="Arial" w:cs="Arial"/>
        </w:rPr>
      </w:pPr>
      <w:r w:rsidRPr="00DB646B">
        <w:rPr>
          <w:rStyle w:val="Refdenotaalpie"/>
          <w:rFonts w:ascii="Arial" w:hAnsi="Arial" w:cs="Arial"/>
        </w:rPr>
        <w:footnoteRef/>
      </w:r>
      <w:r w:rsidRPr="00DB646B">
        <w:rPr>
          <w:rFonts w:ascii="Arial" w:hAnsi="Arial" w:cs="Arial"/>
        </w:rPr>
        <w:t xml:space="preserve"> [Referencia propia de la cita] «CE. SCSC. Concepto de 30 de abril de 2008 [Rad. 11001-03-06-000-2008-00013-00(1881)]. MP. Enrique José Arboleda Perdomo. En esta oportunidad, la Sala indicó que el contenido </w:t>
      </w:r>
      <w:r w:rsidRPr="00DB646B">
        <w:rPr>
          <w:rFonts w:ascii="Arial" w:hAnsi="Arial" w:cs="Arial"/>
          <w:i/>
        </w:rPr>
        <w:t>“obligacional”</w:t>
      </w:r>
      <w:r w:rsidRPr="00DB646B">
        <w:rPr>
          <w:rFonts w:ascii="Arial" w:hAnsi="Arial" w:cs="Arial"/>
        </w:rPr>
        <w:t xml:space="preserve"> de los convenios se estructura definiendo el resultado querido por las partes y los medios que cada entidad despliega para la obtención del respectivo objeto».</w:t>
      </w:r>
    </w:p>
  </w:footnote>
  <w:footnote w:id="17">
    <w:p w14:paraId="37E32E4F" w14:textId="77777777" w:rsidR="00145763" w:rsidRPr="00DB646B" w:rsidRDefault="00145763" w:rsidP="00DB646B">
      <w:pPr>
        <w:pStyle w:val="Car1"/>
        <w:contextualSpacing/>
        <w:jc w:val="both"/>
        <w:rPr>
          <w:rFonts w:ascii="Arial" w:hAnsi="Arial" w:cs="Arial"/>
        </w:rPr>
      </w:pPr>
      <w:r w:rsidRPr="00DB646B">
        <w:rPr>
          <w:rStyle w:val="Refdenotaalpie"/>
          <w:rFonts w:ascii="Arial" w:hAnsi="Arial" w:cs="Arial"/>
        </w:rPr>
        <w:footnoteRef/>
      </w:r>
      <w:r w:rsidRPr="00DB646B">
        <w:rPr>
          <w:rFonts w:ascii="Arial" w:hAnsi="Arial" w:cs="Arial"/>
        </w:rPr>
        <w:t xml:space="preserve"> [Referencia propia de la cita] «La normativa vigente del EGCAP </w:t>
      </w:r>
      <w:r w:rsidRPr="00DB646B">
        <w:rPr>
          <w:rFonts w:ascii="Arial" w:hAnsi="Arial" w:cs="Arial"/>
          <w:i/>
        </w:rPr>
        <w:t>[literal c) del numeral 4. del artículo 2 de la Ley 1150/07]</w:t>
      </w:r>
      <w:r w:rsidRPr="00DB646B">
        <w:rPr>
          <w:rFonts w:ascii="Arial" w:hAnsi="Arial" w:cs="Arial"/>
        </w:rPr>
        <w:t xml:space="preserve"> se refiere a </w:t>
      </w:r>
      <w:r w:rsidRPr="00DB646B">
        <w:rPr>
          <w:rFonts w:ascii="Arial" w:hAnsi="Arial" w:cs="Arial"/>
          <w:i/>
        </w:rPr>
        <w:t>“contratos interadministrativos”</w:t>
      </w:r>
      <w:r w:rsidRPr="00DB646B">
        <w:rPr>
          <w:rFonts w:ascii="Arial" w:hAnsi="Arial" w:cs="Arial"/>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8">
    <w:p w14:paraId="21746BEF" w14:textId="77777777" w:rsidR="00145763" w:rsidRPr="00DB646B" w:rsidRDefault="00145763" w:rsidP="00DB646B">
      <w:pPr>
        <w:pStyle w:val="Car1"/>
        <w:contextualSpacing/>
        <w:jc w:val="both"/>
        <w:rPr>
          <w:rFonts w:ascii="Arial" w:hAnsi="Arial" w:cs="Arial"/>
        </w:rPr>
      </w:pPr>
      <w:r w:rsidRPr="00DB646B">
        <w:rPr>
          <w:rStyle w:val="Refdenotaalpie"/>
          <w:rFonts w:ascii="Arial" w:hAnsi="Arial" w:cs="Arial"/>
        </w:rPr>
        <w:footnoteRef/>
      </w:r>
      <w:r w:rsidRPr="00DB646B">
        <w:rPr>
          <w:rFonts w:ascii="Arial" w:hAnsi="Arial" w:cs="Arial"/>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M.P. Álvaro Namén Vargas).</w:t>
      </w:r>
    </w:p>
  </w:footnote>
  <w:footnote w:id="19">
    <w:p w14:paraId="0A5D847F" w14:textId="77777777" w:rsidR="00145763" w:rsidRPr="00DB646B" w:rsidRDefault="00145763" w:rsidP="00DB646B">
      <w:pPr>
        <w:pStyle w:val="Car1"/>
        <w:contextualSpacing/>
        <w:jc w:val="both"/>
        <w:rPr>
          <w:rFonts w:ascii="Arial" w:hAnsi="Arial" w:cs="Arial"/>
        </w:rPr>
      </w:pPr>
      <w:r w:rsidRPr="00DB646B">
        <w:rPr>
          <w:rStyle w:val="Refdenotaalpie"/>
          <w:rFonts w:ascii="Arial" w:hAnsi="Arial" w:cs="Arial"/>
        </w:rPr>
        <w:footnoteRef/>
      </w:r>
      <w:r w:rsidRPr="00DB646B">
        <w:rPr>
          <w:rFonts w:ascii="Arial" w:hAnsi="Arial" w:cs="Arial"/>
        </w:rPr>
        <w:t xml:space="preserve"> Es lo que sucede, por ejemplo, con el Decreto 092 de 2017, que en su desarrollo hace referencia tanto a los «contratos» como a los «convenios». </w:t>
      </w:r>
    </w:p>
  </w:footnote>
  <w:footnote w:id="20">
    <w:p w14:paraId="40B0B95A" w14:textId="77777777" w:rsidR="00145763" w:rsidRPr="00DB646B" w:rsidRDefault="00145763" w:rsidP="00DB646B">
      <w:pPr>
        <w:pStyle w:val="Car1"/>
        <w:contextualSpacing/>
        <w:jc w:val="both"/>
        <w:rPr>
          <w:rFonts w:ascii="Arial" w:hAnsi="Arial" w:cs="Arial"/>
          <w:lang w:val="es-CO"/>
        </w:rPr>
      </w:pPr>
      <w:r w:rsidRPr="00DB646B">
        <w:rPr>
          <w:rStyle w:val="Refdenotaalpie"/>
          <w:rFonts w:ascii="Arial" w:hAnsi="Arial" w:cs="Arial"/>
        </w:rPr>
        <w:footnoteRef/>
      </w:r>
      <w:r w:rsidRPr="00DB646B">
        <w:rPr>
          <w:rFonts w:ascii="Arial" w:hAnsi="Arial" w:cs="Arial"/>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(Corte Constitucional. Sentencia C-671 de 2015. M.P. Alberto Rojas Ríos).</w:t>
      </w:r>
    </w:p>
  </w:footnote>
  <w:footnote w:id="21">
    <w:p w14:paraId="08CA99BA" w14:textId="77777777" w:rsidR="00941415" w:rsidRPr="00DB646B" w:rsidRDefault="00941415" w:rsidP="00DB646B">
      <w:pPr>
        <w:pStyle w:val="Textonotapie"/>
        <w:jc w:val="both"/>
        <w:rPr>
          <w:rFonts w:ascii="Arial" w:hAnsi="Arial" w:cs="Arial"/>
        </w:rPr>
      </w:pPr>
      <w:r w:rsidRPr="00DB646B">
        <w:rPr>
          <w:rStyle w:val="Refdenotaalpie"/>
          <w:rFonts w:ascii="Arial" w:hAnsi="Arial" w:cs="Arial"/>
        </w:rPr>
        <w:footnoteRef/>
      </w:r>
      <w:r w:rsidRPr="00DB646B">
        <w:rPr>
          <w:rFonts w:ascii="Arial" w:hAnsi="Arial" w:cs="Arial"/>
        </w:rPr>
        <w:t xml:space="preserve"> Publicado en: </w:t>
      </w:r>
      <w:hyperlink r:id="rId1" w:history="1">
        <w:r w:rsidRPr="00DB646B">
          <w:rPr>
            <w:rStyle w:val="Hipervnculo"/>
            <w:rFonts w:ascii="Arial" w:hAnsi="Arial" w:cs="Arial"/>
            <w:color w:val="auto"/>
          </w:rPr>
          <w:t>https://www.corteconstitucional.gov.co/comu nicados/Comunicado%20No.%2014%20-%20Mayo%2005%20de%202022.pdf</w:t>
        </w:r>
      </w:hyperlink>
      <w:r w:rsidRPr="00DB646B">
        <w:rPr>
          <w:rFonts w:ascii="Arial" w:hAnsi="Arial" w:cs="Arial"/>
        </w:rPr>
        <w:t xml:space="preserve"> </w:t>
      </w:r>
    </w:p>
    <w:p w14:paraId="5F781982" w14:textId="77777777" w:rsidR="00941415" w:rsidRPr="00DB646B" w:rsidRDefault="00941415" w:rsidP="00DB646B">
      <w:pPr>
        <w:pStyle w:val="Textonotapie"/>
        <w:jc w:val="both"/>
        <w:rPr>
          <w:rFonts w:ascii="Arial" w:hAnsi="Arial" w:cs="Arial"/>
          <w:lang w:val="es-CO"/>
        </w:rPr>
      </w:pPr>
    </w:p>
  </w:footnote>
  <w:footnote w:id="22">
    <w:p w14:paraId="1D777F1F" w14:textId="77777777" w:rsidR="00941415" w:rsidRPr="00DB646B" w:rsidRDefault="00941415" w:rsidP="00DB646B">
      <w:pPr>
        <w:pStyle w:val="Textonotapie"/>
        <w:jc w:val="both"/>
        <w:rPr>
          <w:rFonts w:ascii="Arial" w:hAnsi="Arial" w:cs="Arial"/>
          <w:lang w:val="es-ES"/>
        </w:rPr>
      </w:pPr>
      <w:r w:rsidRPr="00DB646B">
        <w:rPr>
          <w:rStyle w:val="Refdenotaalpie"/>
          <w:rFonts w:ascii="Arial" w:hAnsi="Arial" w:cs="Arial"/>
        </w:rPr>
        <w:footnoteRef/>
      </w:r>
      <w:r w:rsidRPr="00DB646B">
        <w:rPr>
          <w:rFonts w:ascii="Arial" w:hAnsi="Arial" w:cs="Arial"/>
        </w:rPr>
        <w:t xml:space="preserve"> </w:t>
      </w:r>
      <w:r w:rsidRPr="00DB646B">
        <w:rPr>
          <w:rFonts w:ascii="Arial" w:hAnsi="Arial" w:cs="Arial"/>
          <w:lang w:val="es-ES"/>
        </w:rPr>
        <w:t xml:space="preserve">La </w:t>
      </w:r>
      <w:r w:rsidRPr="00DB646B">
        <w:rPr>
          <w:rFonts w:ascii="Arial" w:hAnsi="Arial" w:cs="Arial"/>
          <w:i/>
          <w:iCs/>
          <w:lang w:val="es-ES"/>
        </w:rPr>
        <w:t>sustracción de materia</w:t>
      </w:r>
      <w:r w:rsidRPr="00DB646B">
        <w:rPr>
          <w:rFonts w:ascii="Arial" w:hAnsi="Arial" w:cs="Arial"/>
          <w:lang w:val="es-ES"/>
        </w:rPr>
        <w:t>, según el Diccionario del Español Jurídico, es la «Desaparición de los supuestos fácticos o jurídicos que sustentan una acción jurisdiccional o administrativa», lo que impide a la autoridad pronunciarse sobre el asunto. En: https://dpej.rae.es/lema/sustracci%C3%B3n-de-materia</w:t>
      </w:r>
    </w:p>
  </w:footnote>
  <w:footnote w:id="23">
    <w:p w14:paraId="24DE9C80" w14:textId="65FB5D8E" w:rsidR="00941415" w:rsidRPr="00DB646B" w:rsidRDefault="00941415" w:rsidP="00DB646B">
      <w:pPr>
        <w:tabs>
          <w:tab w:val="left" w:pos="709"/>
        </w:tabs>
        <w:jc w:val="both"/>
        <w:rPr>
          <w:rFonts w:ascii="Arial" w:eastAsia="Calibri" w:hAnsi="Arial" w:cs="Arial"/>
          <w:bCs/>
          <w:sz w:val="20"/>
          <w:szCs w:val="20"/>
          <w:lang w:val="es-ES_tradnl"/>
        </w:rPr>
      </w:pPr>
      <w:r w:rsidRPr="00DB646B">
        <w:rPr>
          <w:rStyle w:val="Refdenotaalpie"/>
          <w:rFonts w:ascii="Arial" w:hAnsi="Arial" w:cs="Arial"/>
          <w:sz w:val="20"/>
          <w:szCs w:val="20"/>
        </w:rPr>
        <w:footnoteRef/>
      </w:r>
      <w:r w:rsidRPr="00DB646B">
        <w:rPr>
          <w:rFonts w:ascii="Arial" w:hAnsi="Arial" w:cs="Arial"/>
          <w:sz w:val="20"/>
          <w:szCs w:val="20"/>
        </w:rPr>
        <w:t xml:space="preserve"> </w:t>
      </w:r>
      <w:r w:rsidRPr="00DB646B">
        <w:rPr>
          <w:rFonts w:ascii="Arial" w:eastAsia="Calibri" w:hAnsi="Arial" w:cs="Arial"/>
          <w:bCs/>
          <w:sz w:val="20"/>
          <w:szCs w:val="20"/>
          <w:lang w:val="es-ES_tradnl"/>
        </w:rPr>
        <w:t>Así lo ha indicado la Corte en su jurisprudencia, al afirmar lo siguiente: «[…], en la actualidad, por regla general y salvo que se indique expresamente algo diferente en el fallo, la declaratoria de inexequibilidad de una disposición tiene efectos hacia futuro (</w:t>
      </w:r>
      <w:r w:rsidRPr="00DB646B">
        <w:rPr>
          <w:rFonts w:ascii="Arial" w:eastAsia="Calibri" w:hAnsi="Arial" w:cs="Arial"/>
          <w:bCs/>
          <w:i/>
          <w:iCs/>
          <w:sz w:val="20"/>
          <w:szCs w:val="20"/>
          <w:lang w:val="es-ES_tradnl"/>
        </w:rPr>
        <w:t>ex nunc</w:t>
      </w:r>
      <w:r w:rsidRPr="00DB646B">
        <w:rPr>
          <w:rFonts w:ascii="Arial" w:eastAsia="Calibri" w:hAnsi="Arial" w:cs="Arial"/>
          <w:bCs/>
          <w:sz w:val="20"/>
          <w:szCs w:val="20"/>
          <w:lang w:val="es-ES_tradnl"/>
        </w:rPr>
        <w:t>) y esto, según lo ha explicado esta Corte, encuentra sustento en los principios de seguridad jurídica y democrático, los cuales implican “la presunción de constitucionalidad de las normas que integran el sistema jurídico” mientras ella no sea desvirtuada por este Tribunal en una providencia con fuerza erga omnes, luego de surtirse un proceso de constitucionalidad abstracta.</w:t>
      </w:r>
    </w:p>
    <w:p w14:paraId="0B269EEA" w14:textId="77777777" w:rsidR="00941415" w:rsidRPr="00DB646B" w:rsidRDefault="00941415" w:rsidP="00DB646B">
      <w:pPr>
        <w:pStyle w:val="Textonotapie"/>
        <w:jc w:val="both"/>
        <w:rPr>
          <w:rFonts w:ascii="Arial" w:hAnsi="Arial" w:cs="Arial"/>
          <w:lang w:val="es-CO"/>
        </w:rPr>
      </w:pPr>
      <w:r w:rsidRPr="00DB646B">
        <w:rPr>
          <w:rFonts w:ascii="Arial" w:eastAsia="Calibri" w:hAnsi="Arial" w:cs="Arial"/>
          <w:bCs/>
          <w:lang w:val="es-ES_tradnl"/>
        </w:rPr>
        <w:t xml:space="preserve">»En este orden de ideas, cuando esta Corporación declara la inconstitucionalidad de una norma sin retrotraer los efectos de su determinación, convalida de contera las situaciones jurídicas consolidadas a su amparo entre el instante en el que entró en vigencia y la fecha de la sentencia, pues las actuaciones adelantadas en ese lapso, en principio, se reputan como legítimas por haber sido ejecutadas en consonancia con el derecho positivo vigente». </w:t>
      </w:r>
      <w:r w:rsidRPr="00DB646B">
        <w:rPr>
          <w:rFonts w:ascii="Arial" w:hAnsi="Arial" w:cs="Arial"/>
          <w:lang w:val="es-ES"/>
        </w:rPr>
        <w:t>Sentencia SU-037 de 2019. M.P. Luis Guillermo Guerrero Pérez.</w:t>
      </w:r>
    </w:p>
  </w:footnote>
  <w:footnote w:id="24">
    <w:p w14:paraId="63AB2443" w14:textId="77777777" w:rsidR="00941415" w:rsidRPr="00DB646B" w:rsidRDefault="00941415" w:rsidP="00DB646B">
      <w:pPr>
        <w:pStyle w:val="Textonotapie"/>
        <w:jc w:val="both"/>
        <w:rPr>
          <w:rFonts w:ascii="Arial" w:hAnsi="Arial" w:cs="Arial"/>
        </w:rPr>
      </w:pPr>
      <w:r w:rsidRPr="00DB646B">
        <w:rPr>
          <w:rStyle w:val="Refdenotaalpie"/>
          <w:rFonts w:ascii="Arial" w:hAnsi="Arial" w:cs="Arial"/>
        </w:rPr>
        <w:footnoteRef/>
      </w:r>
      <w:r w:rsidRPr="00DB646B">
        <w:rPr>
          <w:rFonts w:ascii="Arial" w:hAnsi="Arial" w:cs="Arial"/>
        </w:rPr>
        <w:t xml:space="preserve"> La jurisprudencia constitucional indica que: «la Corte ha insistido en que la modulación de los efectos de sus sentencias, bien desde el punto de vista del contenido de su decisión, o bien desde el punto de vista de sus efectos temporales, es una tarea ineludible para asegurar la integridad del texto constitucional. Así, en lo que respecta a la fijación de los efectos temporales, es sabido que por regla general las decisiones de la Corte tienen efectos hacia futuro o ex nunc, pues, en principio, ello tributa en beneficio de los principios de seguridad jurídica y buena fe. Sin embargo, en reiteradas providencias, la Corporación ha sostenido que hay casos especiales en los que “reconocer solamente efectos hacia futuro a las sentencias de inconstitucionalidad” consolidaría situaciones jurídicas abiertamente incompatibles con la Carta Política, habida cuenta de que existen normas que, aun cuando han sido expulsadas del ordenamiento jurídico, tienen la posibilidad de surtir efectos antes de que la declaración de inconstitucionalidad se produzca.</w:t>
      </w:r>
    </w:p>
    <w:p w14:paraId="379B1374" w14:textId="77777777" w:rsidR="00941415" w:rsidRPr="00DB646B" w:rsidRDefault="00941415" w:rsidP="00DB646B">
      <w:pPr>
        <w:pStyle w:val="Textonotapie"/>
        <w:jc w:val="both"/>
        <w:rPr>
          <w:rFonts w:ascii="Arial" w:hAnsi="Arial" w:cs="Arial"/>
          <w:lang w:val="es-CO"/>
        </w:rPr>
      </w:pPr>
      <w:r w:rsidRPr="00DB646B">
        <w:rPr>
          <w:rFonts w:ascii="Arial" w:hAnsi="Arial" w:cs="Arial"/>
        </w:rPr>
        <w:t>» 8.  Bajo ese marco de referencia, “una decisión de inexequibilidad de la Corte con efectos ex tunc –desde siempre–, tiene fundamento en la exigencia de deshacer las consecuencias de normas contrarias a la Carta dentro del ordenamiento jurídico”. De ahí que la Corte justifique los efectos retroactivos a las sentencias que declaran la inconstitucionalidad de un precepto normativo en tres escenarios en particular: (i) en los casos en que, desde la entrada en vigor de la Constitución de 1991, era evidente que la disposición acusada resultaba contraria al texto superior; (ii) en el evento en que los alcances retroactivos del fallo son indispensables para asegurar la protección de derechos constitucionales abiertamente desconocidos; y, (iii) en aquellas circunstancias en las que el efecto retroactivo del fallo es imprescindible para sancionar una violación flagrante y deliberada de la Constitución». Sentencia C-507 de 2020. M.P. Jorge Enrique Ibáñez Najar.</w:t>
      </w:r>
    </w:p>
  </w:footnote>
  <w:footnote w:id="25">
    <w:p w14:paraId="1D511589" w14:textId="77777777" w:rsidR="00507508" w:rsidRPr="00DB646B" w:rsidRDefault="00507508" w:rsidP="00DB646B">
      <w:pPr>
        <w:pStyle w:val="Textonotapie"/>
        <w:jc w:val="both"/>
        <w:rPr>
          <w:rFonts w:ascii="Arial" w:hAnsi="Arial" w:cs="Arial"/>
        </w:rPr>
      </w:pPr>
      <w:r w:rsidRPr="00DB646B">
        <w:rPr>
          <w:rStyle w:val="Refdenotaalpie"/>
          <w:rFonts w:ascii="Arial" w:hAnsi="Arial" w:cs="Arial"/>
        </w:rPr>
        <w:footnoteRef/>
      </w:r>
      <w:r w:rsidRPr="00DB646B">
        <w:rPr>
          <w:rFonts w:ascii="Arial" w:hAnsi="Arial" w:cs="Arial"/>
        </w:rPr>
        <w:t xml:space="preserve"> Consejo de Estado, Sala Contencioso Administrativa, Sección Tercera, </w:t>
      </w:r>
      <w:r w:rsidRPr="00DB646B">
        <w:rPr>
          <w:rFonts w:ascii="Arial" w:eastAsia="MS Mincho" w:hAnsi="Arial" w:cs="Arial"/>
          <w:color w:val="000000"/>
          <w:lang w:val="es-ES_tradnl" w:eastAsia="es-ES"/>
        </w:rPr>
        <w:t xml:space="preserve">subsección C, sentencia de 26 de noviembre de 2015, radicado No. </w:t>
      </w:r>
      <w:r w:rsidRPr="00DB646B">
        <w:rPr>
          <w:rFonts w:ascii="Arial" w:hAnsi="Arial" w:cs="Arial"/>
          <w:bCs/>
          <w:lang w:val="es-ES_tradnl"/>
        </w:rPr>
        <w:t>05001-23-31-000-2001-03849-01(54069)</w:t>
      </w:r>
    </w:p>
  </w:footnote>
  <w:footnote w:id="26">
    <w:p w14:paraId="4D9C3D12" w14:textId="77777777" w:rsidR="00227149" w:rsidRPr="00DB646B" w:rsidRDefault="00227149" w:rsidP="00DB646B">
      <w:pPr>
        <w:pStyle w:val="Textonotapie"/>
        <w:jc w:val="both"/>
        <w:rPr>
          <w:rFonts w:ascii="Arial" w:hAnsi="Arial" w:cs="Arial"/>
        </w:rPr>
      </w:pPr>
      <w:r w:rsidRPr="00DB646B">
        <w:rPr>
          <w:rStyle w:val="Refdenotaalpie"/>
          <w:rFonts w:ascii="Arial" w:hAnsi="Arial" w:cs="Arial"/>
        </w:rPr>
        <w:footnoteRef/>
      </w:r>
      <w:r w:rsidRPr="00DB646B">
        <w:rPr>
          <w:rFonts w:ascii="Arial" w:hAnsi="Arial" w:cs="Arial"/>
        </w:rPr>
        <w:t xml:space="preserve"> «Artículo 3°. Funciones. La Agencia Nacional de Contratación Pública –Colombia Compra Eficiente– ejercerá las siguientes funciones: </w:t>
      </w:r>
    </w:p>
    <w:p w14:paraId="7DDFBD9E" w14:textId="77777777" w:rsidR="00227149" w:rsidRPr="00DB646B" w:rsidRDefault="00227149" w:rsidP="00DB646B">
      <w:pPr>
        <w:pStyle w:val="Textonotapie"/>
        <w:jc w:val="both"/>
        <w:rPr>
          <w:rFonts w:ascii="Arial" w:hAnsi="Arial" w:cs="Arial"/>
          <w:lang w:val="es-ES"/>
        </w:rPr>
      </w:pPr>
      <w:r w:rsidRPr="00DB646B">
        <w:rPr>
          <w:rFonts w:ascii="Arial" w:hAnsi="Arial" w:cs="Arial"/>
          <w:lang w:val="es-ES"/>
        </w:rPr>
        <w:t xml:space="preserve">»[...] </w:t>
      </w:r>
    </w:p>
    <w:p w14:paraId="6E031301" w14:textId="365E7EA1" w:rsidR="00227149" w:rsidRPr="00DB646B" w:rsidRDefault="00227149" w:rsidP="00DB646B">
      <w:pPr>
        <w:pStyle w:val="Textonotapie"/>
        <w:jc w:val="both"/>
        <w:rPr>
          <w:rFonts w:ascii="Arial" w:hAnsi="Arial" w:cs="Arial"/>
          <w:lang w:val="es-ES"/>
        </w:rPr>
      </w:pPr>
      <w:r w:rsidRPr="00DB646B">
        <w:rPr>
          <w:rFonts w:ascii="Arial" w:hAnsi="Arial" w:cs="Arial"/>
          <w:lang w:val="es-ES"/>
        </w:rPr>
        <w:t xml:space="preserve"> »5. Absolver consultas sobre la aplicación de normas de carácter general y expedir circulares externas en materia de compras y contratación pública».</w:t>
      </w:r>
    </w:p>
    <w:p w14:paraId="06FD04CE" w14:textId="77777777" w:rsidR="00227149" w:rsidRPr="00DB646B" w:rsidRDefault="00227149" w:rsidP="00DB646B">
      <w:pPr>
        <w:pStyle w:val="Textonotapie"/>
        <w:jc w:val="both"/>
        <w:rPr>
          <w:rFonts w:ascii="Arial" w:hAnsi="Arial" w:cs="Arial"/>
          <w:lang w:val="es-ES"/>
        </w:rPr>
      </w:pPr>
      <w:r w:rsidRPr="00DB646B">
        <w:rPr>
          <w:rFonts w:ascii="Arial" w:eastAsia="Times New Roman" w:hAnsi="Arial" w:cs="Arial"/>
          <w:lang w:val="es-CO" w:eastAsia="es-ES_tradnl"/>
        </w:rPr>
        <w:t>»</w:t>
      </w:r>
      <w:r w:rsidRPr="00DB646B">
        <w:rPr>
          <w:rFonts w:ascii="Arial" w:hAnsi="Arial" w:cs="Arial"/>
          <w:lang w:val="es-ES"/>
        </w:rPr>
        <w:t xml:space="preserve">Artículo 11. Subdirección de Gestión Contractual. Son funciones de la Subdirección de Gestión Contractual las siguientes: </w:t>
      </w:r>
    </w:p>
    <w:p w14:paraId="33ADF4A1" w14:textId="77777777" w:rsidR="00227149" w:rsidRPr="00DB646B" w:rsidRDefault="00227149" w:rsidP="00DB646B">
      <w:pPr>
        <w:pStyle w:val="Textonotapie"/>
        <w:jc w:val="both"/>
        <w:rPr>
          <w:rFonts w:ascii="Arial" w:hAnsi="Arial" w:cs="Arial"/>
          <w:lang w:val="es-ES"/>
        </w:rPr>
      </w:pPr>
      <w:r w:rsidRPr="00DB646B">
        <w:rPr>
          <w:rFonts w:ascii="Arial" w:hAnsi="Arial" w:cs="Arial"/>
          <w:lang w:val="es-ES"/>
        </w:rPr>
        <w:t xml:space="preserve">»[...] </w:t>
      </w:r>
    </w:p>
    <w:p w14:paraId="338E9B42" w14:textId="77777777" w:rsidR="00227149" w:rsidRPr="00DB646B" w:rsidRDefault="00227149" w:rsidP="00DB646B">
      <w:pPr>
        <w:pStyle w:val="Textonotapie"/>
        <w:jc w:val="both"/>
        <w:rPr>
          <w:rFonts w:ascii="Arial" w:hAnsi="Arial" w:cs="Arial"/>
          <w:lang w:val="es-ES"/>
        </w:rPr>
      </w:pPr>
      <w:r w:rsidRPr="00DB646B">
        <w:rPr>
          <w:rFonts w:ascii="Arial" w:eastAsia="Times New Roman" w:hAnsi="Arial" w:cs="Arial"/>
          <w:lang w:val="es-CO" w:eastAsia="es-ES_tradnl"/>
        </w:rPr>
        <w:t>»</w:t>
      </w:r>
      <w:r w:rsidRPr="00DB646B">
        <w:rPr>
          <w:rFonts w:ascii="Arial" w:hAnsi="Arial" w:cs="Arial"/>
          <w:lang w:val="es-ES"/>
        </w:rPr>
        <w:t xml:space="preserve">8. Absolver consultas sobre la aplicación de normas de carácter general».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0770B" w14:textId="1A2BB94C" w:rsidR="00993B0D" w:rsidRDefault="00993B0D">
    <w:pPr>
      <w:pStyle w:val="Encabezado"/>
    </w:pPr>
    <w:r>
      <w:rPr>
        <w:noProof/>
        <w:lang w:val="en-US"/>
      </w:rPr>
      <w:drawing>
        <wp:anchor distT="0" distB="0" distL="114300" distR="114300" simplePos="0" relativeHeight="251658240" behindDoc="1" locked="0" layoutInCell="1" allowOverlap="1" wp14:anchorId="1A706351" wp14:editId="1A8F82B0">
          <wp:simplePos x="0" y="0"/>
          <wp:positionH relativeFrom="column">
            <wp:posOffset>4382135</wp:posOffset>
          </wp:positionH>
          <wp:positionV relativeFrom="paragraph">
            <wp:posOffset>483226</wp:posOffset>
          </wp:positionV>
          <wp:extent cx="1257300" cy="516255"/>
          <wp:effectExtent l="0" t="0" r="0" b="0"/>
          <wp:wrapTight wrapText="bothSides">
            <wp:wrapPolygon edited="0">
              <wp:start x="327" y="0"/>
              <wp:lineTo x="327" y="18332"/>
              <wp:lineTo x="1964" y="19129"/>
              <wp:lineTo x="11127" y="20723"/>
              <wp:lineTo x="12764" y="20723"/>
              <wp:lineTo x="19636" y="19129"/>
              <wp:lineTo x="21273" y="18332"/>
              <wp:lineTo x="20945" y="0"/>
              <wp:lineTo x="327" y="0"/>
            </wp:wrapPolygon>
          </wp:wrapTight>
          <wp:docPr id="4"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257300" cy="51625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C9B5458"/>
    <w:multiLevelType w:val="hybridMultilevel"/>
    <w:tmpl w:val="D4AA268A"/>
    <w:lvl w:ilvl="0" w:tplc="08726664">
      <w:start w:val="1"/>
      <w:numFmt w:val="decimal"/>
      <w:lvlText w:val="%1."/>
      <w:lvlJc w:val="left"/>
      <w:pPr>
        <w:ind w:left="850" w:hanging="371"/>
        <w:jc w:val="right"/>
      </w:pPr>
      <w:rPr>
        <w:rFonts w:ascii="Arial" w:eastAsia="Arial" w:hAnsi="Arial" w:cs="Arial" w:hint="default"/>
        <w:b w:val="0"/>
        <w:bCs w:val="0"/>
        <w:i w:val="0"/>
        <w:iCs w:val="0"/>
        <w:spacing w:val="-1"/>
        <w:w w:val="76"/>
        <w:sz w:val="22"/>
        <w:szCs w:val="22"/>
      </w:rPr>
    </w:lvl>
    <w:lvl w:ilvl="1" w:tplc="959602BE">
      <w:numFmt w:val="bullet"/>
      <w:lvlText w:val="•"/>
      <w:lvlJc w:val="left"/>
      <w:pPr>
        <w:ind w:left="5640" w:hanging="371"/>
      </w:pPr>
      <w:rPr>
        <w:rFonts w:hint="default"/>
      </w:rPr>
    </w:lvl>
    <w:lvl w:ilvl="2" w:tplc="AECC590A">
      <w:numFmt w:val="bullet"/>
      <w:lvlText w:val="•"/>
      <w:lvlJc w:val="left"/>
      <w:pPr>
        <w:ind w:left="5860" w:hanging="371"/>
      </w:pPr>
      <w:rPr>
        <w:rFonts w:hint="default"/>
      </w:rPr>
    </w:lvl>
    <w:lvl w:ilvl="3" w:tplc="3C18AE0C">
      <w:numFmt w:val="bullet"/>
      <w:lvlText w:val="•"/>
      <w:lvlJc w:val="left"/>
      <w:pPr>
        <w:ind w:left="6260" w:hanging="371"/>
      </w:pPr>
      <w:rPr>
        <w:rFonts w:hint="default"/>
      </w:rPr>
    </w:lvl>
    <w:lvl w:ilvl="4" w:tplc="A8FC80C4">
      <w:numFmt w:val="bullet"/>
      <w:lvlText w:val="•"/>
      <w:lvlJc w:val="left"/>
      <w:pPr>
        <w:ind w:left="6660" w:hanging="371"/>
      </w:pPr>
      <w:rPr>
        <w:rFonts w:hint="default"/>
      </w:rPr>
    </w:lvl>
    <w:lvl w:ilvl="5" w:tplc="6B0C2F44">
      <w:numFmt w:val="bullet"/>
      <w:lvlText w:val="•"/>
      <w:lvlJc w:val="left"/>
      <w:pPr>
        <w:ind w:left="7060" w:hanging="371"/>
      </w:pPr>
      <w:rPr>
        <w:rFonts w:hint="default"/>
      </w:rPr>
    </w:lvl>
    <w:lvl w:ilvl="6" w:tplc="AEA8E4D0">
      <w:numFmt w:val="bullet"/>
      <w:lvlText w:val="•"/>
      <w:lvlJc w:val="left"/>
      <w:pPr>
        <w:ind w:left="7460" w:hanging="371"/>
      </w:pPr>
      <w:rPr>
        <w:rFonts w:hint="default"/>
      </w:rPr>
    </w:lvl>
    <w:lvl w:ilvl="7" w:tplc="7CC877DA">
      <w:numFmt w:val="bullet"/>
      <w:lvlText w:val="•"/>
      <w:lvlJc w:val="left"/>
      <w:pPr>
        <w:ind w:left="7860" w:hanging="371"/>
      </w:pPr>
      <w:rPr>
        <w:rFonts w:hint="default"/>
      </w:rPr>
    </w:lvl>
    <w:lvl w:ilvl="8" w:tplc="4C864642">
      <w:numFmt w:val="bullet"/>
      <w:lvlText w:val="•"/>
      <w:lvlJc w:val="left"/>
      <w:pPr>
        <w:ind w:left="8260" w:hanging="371"/>
      </w:pPr>
      <w:rPr>
        <w:rFonts w:hint="default"/>
      </w:rPr>
    </w:lvl>
  </w:abstractNum>
  <w:abstractNum w:abstractNumId="2"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 w15:restartNumberingAfterBreak="0">
    <w:nsid w:val="10F66E4D"/>
    <w:multiLevelType w:val="hybridMultilevel"/>
    <w:tmpl w:val="0B2A92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5" w15:restartNumberingAfterBreak="0">
    <w:nsid w:val="19C6709D"/>
    <w:multiLevelType w:val="hybridMultilevel"/>
    <w:tmpl w:val="1FDA541E"/>
    <w:lvl w:ilvl="0" w:tplc="5A0C052C">
      <w:start w:val="1"/>
      <w:numFmt w:val="bullet"/>
      <w:lvlText w:val=""/>
      <w:lvlJc w:val="left"/>
      <w:pPr>
        <w:ind w:left="720" w:hanging="360"/>
      </w:pPr>
      <w:rPr>
        <w:rFonts w:ascii="Symbol" w:hAnsi="Symbol" w:hint="default"/>
      </w:rPr>
    </w:lvl>
    <w:lvl w:ilvl="1" w:tplc="C2862920">
      <w:start w:val="1"/>
      <w:numFmt w:val="bullet"/>
      <w:lvlText w:val="o"/>
      <w:lvlJc w:val="left"/>
      <w:pPr>
        <w:ind w:left="1440" w:hanging="360"/>
      </w:pPr>
      <w:rPr>
        <w:rFonts w:ascii="Courier New" w:hAnsi="Courier New" w:hint="default"/>
      </w:rPr>
    </w:lvl>
    <w:lvl w:ilvl="2" w:tplc="15F82430">
      <w:start w:val="1"/>
      <w:numFmt w:val="bullet"/>
      <w:lvlText w:val=""/>
      <w:lvlJc w:val="left"/>
      <w:pPr>
        <w:ind w:left="2160" w:hanging="360"/>
      </w:pPr>
      <w:rPr>
        <w:rFonts w:ascii="Wingdings" w:hAnsi="Wingdings" w:hint="default"/>
      </w:rPr>
    </w:lvl>
    <w:lvl w:ilvl="3" w:tplc="A0823E82">
      <w:start w:val="1"/>
      <w:numFmt w:val="bullet"/>
      <w:lvlText w:val=""/>
      <w:lvlJc w:val="left"/>
      <w:pPr>
        <w:ind w:left="2880" w:hanging="360"/>
      </w:pPr>
      <w:rPr>
        <w:rFonts w:ascii="Symbol" w:hAnsi="Symbol" w:hint="default"/>
      </w:rPr>
    </w:lvl>
    <w:lvl w:ilvl="4" w:tplc="4A46BDF6">
      <w:start w:val="1"/>
      <w:numFmt w:val="bullet"/>
      <w:lvlText w:val="o"/>
      <w:lvlJc w:val="left"/>
      <w:pPr>
        <w:ind w:left="3600" w:hanging="360"/>
      </w:pPr>
      <w:rPr>
        <w:rFonts w:ascii="Courier New" w:hAnsi="Courier New" w:hint="default"/>
      </w:rPr>
    </w:lvl>
    <w:lvl w:ilvl="5" w:tplc="28FE1CAE">
      <w:start w:val="1"/>
      <w:numFmt w:val="bullet"/>
      <w:lvlText w:val=""/>
      <w:lvlJc w:val="left"/>
      <w:pPr>
        <w:ind w:left="4320" w:hanging="360"/>
      </w:pPr>
      <w:rPr>
        <w:rFonts w:ascii="Wingdings" w:hAnsi="Wingdings" w:hint="default"/>
      </w:rPr>
    </w:lvl>
    <w:lvl w:ilvl="6" w:tplc="C5E42D50">
      <w:start w:val="1"/>
      <w:numFmt w:val="bullet"/>
      <w:lvlText w:val=""/>
      <w:lvlJc w:val="left"/>
      <w:pPr>
        <w:ind w:left="5040" w:hanging="360"/>
      </w:pPr>
      <w:rPr>
        <w:rFonts w:ascii="Symbol" w:hAnsi="Symbol" w:hint="default"/>
      </w:rPr>
    </w:lvl>
    <w:lvl w:ilvl="7" w:tplc="E168116C">
      <w:start w:val="1"/>
      <w:numFmt w:val="bullet"/>
      <w:lvlText w:val="o"/>
      <w:lvlJc w:val="left"/>
      <w:pPr>
        <w:ind w:left="5760" w:hanging="360"/>
      </w:pPr>
      <w:rPr>
        <w:rFonts w:ascii="Courier New" w:hAnsi="Courier New" w:hint="default"/>
      </w:rPr>
    </w:lvl>
    <w:lvl w:ilvl="8" w:tplc="C8865674">
      <w:start w:val="1"/>
      <w:numFmt w:val="bullet"/>
      <w:lvlText w:val=""/>
      <w:lvlJc w:val="left"/>
      <w:pPr>
        <w:ind w:left="6480" w:hanging="360"/>
      </w:pPr>
      <w:rPr>
        <w:rFonts w:ascii="Wingdings" w:hAnsi="Wingdings" w:hint="default"/>
      </w:rPr>
    </w:lvl>
  </w:abstractNum>
  <w:abstractNum w:abstractNumId="6" w15:restartNumberingAfterBreak="0">
    <w:nsid w:val="19EB0DD7"/>
    <w:multiLevelType w:val="hybridMultilevel"/>
    <w:tmpl w:val="1E76F794"/>
    <w:lvl w:ilvl="0" w:tplc="96C6A1CA">
      <w:start w:val="1"/>
      <w:numFmt w:val="decimal"/>
      <w:lvlText w:val="%1."/>
      <w:lvlJc w:val="left"/>
      <w:pPr>
        <w:ind w:left="720" w:hanging="360"/>
      </w:pPr>
      <w:rPr>
        <w:rFonts w:cs="Times New Roman"/>
        <w:b/>
        <w:bCs/>
        <w:i w:val="0"/>
        <w:iCs w:val="0"/>
        <w:sz w:val="22"/>
        <w:szCs w:val="22"/>
      </w:rPr>
    </w:lvl>
    <w:lvl w:ilvl="1" w:tplc="240A0019" w:tentative="1">
      <w:start w:val="1"/>
      <w:numFmt w:val="lowerLetter"/>
      <w:lvlText w:val="%2."/>
      <w:lvlJc w:val="left"/>
      <w:pPr>
        <w:ind w:left="1440" w:hanging="360"/>
      </w:pPr>
      <w:rPr>
        <w:rFonts w:cs="Times New Roman"/>
      </w:rPr>
    </w:lvl>
    <w:lvl w:ilvl="2" w:tplc="240A001B" w:tentative="1">
      <w:start w:val="1"/>
      <w:numFmt w:val="lowerRoman"/>
      <w:lvlText w:val="%3."/>
      <w:lvlJc w:val="right"/>
      <w:pPr>
        <w:ind w:left="2160" w:hanging="180"/>
      </w:pPr>
      <w:rPr>
        <w:rFonts w:cs="Times New Roman"/>
      </w:rPr>
    </w:lvl>
    <w:lvl w:ilvl="3" w:tplc="240A000F" w:tentative="1">
      <w:start w:val="1"/>
      <w:numFmt w:val="decimal"/>
      <w:lvlText w:val="%4."/>
      <w:lvlJc w:val="left"/>
      <w:pPr>
        <w:ind w:left="2880" w:hanging="360"/>
      </w:pPr>
      <w:rPr>
        <w:rFonts w:cs="Times New Roman"/>
      </w:rPr>
    </w:lvl>
    <w:lvl w:ilvl="4" w:tplc="240A0019" w:tentative="1">
      <w:start w:val="1"/>
      <w:numFmt w:val="lowerLetter"/>
      <w:lvlText w:val="%5."/>
      <w:lvlJc w:val="left"/>
      <w:pPr>
        <w:ind w:left="3600" w:hanging="360"/>
      </w:pPr>
      <w:rPr>
        <w:rFonts w:cs="Times New Roman"/>
      </w:rPr>
    </w:lvl>
    <w:lvl w:ilvl="5" w:tplc="240A001B" w:tentative="1">
      <w:start w:val="1"/>
      <w:numFmt w:val="lowerRoman"/>
      <w:lvlText w:val="%6."/>
      <w:lvlJc w:val="right"/>
      <w:pPr>
        <w:ind w:left="4320" w:hanging="180"/>
      </w:pPr>
      <w:rPr>
        <w:rFonts w:cs="Times New Roman"/>
      </w:rPr>
    </w:lvl>
    <w:lvl w:ilvl="6" w:tplc="240A000F" w:tentative="1">
      <w:start w:val="1"/>
      <w:numFmt w:val="decimal"/>
      <w:lvlText w:val="%7."/>
      <w:lvlJc w:val="left"/>
      <w:pPr>
        <w:ind w:left="5040" w:hanging="360"/>
      </w:pPr>
      <w:rPr>
        <w:rFonts w:cs="Times New Roman"/>
      </w:rPr>
    </w:lvl>
    <w:lvl w:ilvl="7" w:tplc="240A0019" w:tentative="1">
      <w:start w:val="1"/>
      <w:numFmt w:val="lowerLetter"/>
      <w:lvlText w:val="%8."/>
      <w:lvlJc w:val="left"/>
      <w:pPr>
        <w:ind w:left="5760" w:hanging="360"/>
      </w:pPr>
      <w:rPr>
        <w:rFonts w:cs="Times New Roman"/>
      </w:rPr>
    </w:lvl>
    <w:lvl w:ilvl="8" w:tplc="240A001B" w:tentative="1">
      <w:start w:val="1"/>
      <w:numFmt w:val="lowerRoman"/>
      <w:lvlText w:val="%9."/>
      <w:lvlJc w:val="right"/>
      <w:pPr>
        <w:ind w:left="6480" w:hanging="180"/>
      </w:pPr>
      <w:rPr>
        <w:rFonts w:cs="Times New Roman"/>
      </w:rPr>
    </w:lvl>
  </w:abstractNum>
  <w:abstractNum w:abstractNumId="7"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0" w15:restartNumberingAfterBreak="0">
    <w:nsid w:val="2D7C35A2"/>
    <w:multiLevelType w:val="hybridMultilevel"/>
    <w:tmpl w:val="7B68B14E"/>
    <w:lvl w:ilvl="0" w:tplc="7378467C">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AC2FC80">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3C62768">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41D630EC">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3020B4C8">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E438D32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307EE0A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47C1F5E">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A590EF86">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6"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6E3367"/>
    <w:multiLevelType w:val="hybridMultilevel"/>
    <w:tmpl w:val="5BBE210E"/>
    <w:lvl w:ilvl="0" w:tplc="240A0001">
      <w:start w:val="1"/>
      <w:numFmt w:val="bullet"/>
      <w:lvlText w:val=""/>
      <w:lvlJc w:val="left"/>
      <w:pPr>
        <w:ind w:left="1429" w:hanging="360"/>
      </w:pPr>
      <w:rPr>
        <w:rFonts w:ascii="Symbol" w:hAnsi="Symbol" w:hint="default"/>
      </w:rPr>
    </w:lvl>
    <w:lvl w:ilvl="1" w:tplc="240A0003" w:tentative="1">
      <w:start w:val="1"/>
      <w:numFmt w:val="bullet"/>
      <w:lvlText w:val="o"/>
      <w:lvlJc w:val="left"/>
      <w:pPr>
        <w:ind w:left="2149" w:hanging="360"/>
      </w:pPr>
      <w:rPr>
        <w:rFonts w:ascii="Courier New" w:hAnsi="Courier New" w:cs="Courier New" w:hint="default"/>
      </w:rPr>
    </w:lvl>
    <w:lvl w:ilvl="2" w:tplc="240A0005" w:tentative="1">
      <w:start w:val="1"/>
      <w:numFmt w:val="bullet"/>
      <w:lvlText w:val=""/>
      <w:lvlJc w:val="left"/>
      <w:pPr>
        <w:ind w:left="2869" w:hanging="360"/>
      </w:pPr>
      <w:rPr>
        <w:rFonts w:ascii="Wingdings" w:hAnsi="Wingdings" w:hint="default"/>
      </w:rPr>
    </w:lvl>
    <w:lvl w:ilvl="3" w:tplc="240A0001" w:tentative="1">
      <w:start w:val="1"/>
      <w:numFmt w:val="bullet"/>
      <w:lvlText w:val=""/>
      <w:lvlJc w:val="left"/>
      <w:pPr>
        <w:ind w:left="3589" w:hanging="360"/>
      </w:pPr>
      <w:rPr>
        <w:rFonts w:ascii="Symbol" w:hAnsi="Symbol" w:hint="default"/>
      </w:rPr>
    </w:lvl>
    <w:lvl w:ilvl="4" w:tplc="240A0003" w:tentative="1">
      <w:start w:val="1"/>
      <w:numFmt w:val="bullet"/>
      <w:lvlText w:val="o"/>
      <w:lvlJc w:val="left"/>
      <w:pPr>
        <w:ind w:left="4309" w:hanging="360"/>
      </w:pPr>
      <w:rPr>
        <w:rFonts w:ascii="Courier New" w:hAnsi="Courier New" w:cs="Courier New" w:hint="default"/>
      </w:rPr>
    </w:lvl>
    <w:lvl w:ilvl="5" w:tplc="240A0005" w:tentative="1">
      <w:start w:val="1"/>
      <w:numFmt w:val="bullet"/>
      <w:lvlText w:val=""/>
      <w:lvlJc w:val="left"/>
      <w:pPr>
        <w:ind w:left="5029" w:hanging="360"/>
      </w:pPr>
      <w:rPr>
        <w:rFonts w:ascii="Wingdings" w:hAnsi="Wingdings" w:hint="default"/>
      </w:rPr>
    </w:lvl>
    <w:lvl w:ilvl="6" w:tplc="240A0001" w:tentative="1">
      <w:start w:val="1"/>
      <w:numFmt w:val="bullet"/>
      <w:lvlText w:val=""/>
      <w:lvlJc w:val="left"/>
      <w:pPr>
        <w:ind w:left="5749" w:hanging="360"/>
      </w:pPr>
      <w:rPr>
        <w:rFonts w:ascii="Symbol" w:hAnsi="Symbol" w:hint="default"/>
      </w:rPr>
    </w:lvl>
    <w:lvl w:ilvl="7" w:tplc="240A0003" w:tentative="1">
      <w:start w:val="1"/>
      <w:numFmt w:val="bullet"/>
      <w:lvlText w:val="o"/>
      <w:lvlJc w:val="left"/>
      <w:pPr>
        <w:ind w:left="6469" w:hanging="360"/>
      </w:pPr>
      <w:rPr>
        <w:rFonts w:ascii="Courier New" w:hAnsi="Courier New" w:cs="Courier New" w:hint="default"/>
      </w:rPr>
    </w:lvl>
    <w:lvl w:ilvl="8" w:tplc="240A0005" w:tentative="1">
      <w:start w:val="1"/>
      <w:numFmt w:val="bullet"/>
      <w:lvlText w:val=""/>
      <w:lvlJc w:val="left"/>
      <w:pPr>
        <w:ind w:left="7189" w:hanging="360"/>
      </w:pPr>
      <w:rPr>
        <w:rFonts w:ascii="Wingdings" w:hAnsi="Wingdings" w:hint="default"/>
      </w:rPr>
    </w:lvl>
  </w:abstractNum>
  <w:abstractNum w:abstractNumId="18"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BDC0906"/>
    <w:multiLevelType w:val="hybridMultilevel"/>
    <w:tmpl w:val="CCCEB75C"/>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21"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449462E"/>
    <w:multiLevelType w:val="hybridMultilevel"/>
    <w:tmpl w:val="F4EC8D0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7B33A33"/>
    <w:multiLevelType w:val="hybridMultilevel"/>
    <w:tmpl w:val="D308716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5" w15:restartNumberingAfterBreak="0">
    <w:nsid w:val="597D4B97"/>
    <w:multiLevelType w:val="multilevel"/>
    <w:tmpl w:val="576C4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7"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8"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29" w15:restartNumberingAfterBreak="0">
    <w:nsid w:val="70C9241D"/>
    <w:multiLevelType w:val="hybridMultilevel"/>
    <w:tmpl w:val="B0B487B8"/>
    <w:lvl w:ilvl="0" w:tplc="AAC4AE08">
      <w:start w:val="1"/>
      <w:numFmt w:val="lowerRoman"/>
      <w:lvlText w:val="%1."/>
      <w:lvlJc w:val="right"/>
      <w:pPr>
        <w:ind w:left="1429" w:hanging="360"/>
      </w:pPr>
      <w:rPr>
        <w:rFonts w:ascii="Arial" w:eastAsia="Calibri" w:hAnsi="Arial" w:cs="Arial"/>
      </w:rPr>
    </w:lvl>
    <w:lvl w:ilvl="1" w:tplc="040A0019" w:tentative="1">
      <w:start w:val="1"/>
      <w:numFmt w:val="lowerLetter"/>
      <w:lvlText w:val="%2."/>
      <w:lvlJc w:val="left"/>
      <w:pPr>
        <w:ind w:left="2149" w:hanging="360"/>
      </w:pPr>
    </w:lvl>
    <w:lvl w:ilvl="2" w:tplc="040A001B" w:tentative="1">
      <w:start w:val="1"/>
      <w:numFmt w:val="lowerRoman"/>
      <w:lvlText w:val="%3."/>
      <w:lvlJc w:val="right"/>
      <w:pPr>
        <w:ind w:left="2869" w:hanging="180"/>
      </w:pPr>
    </w:lvl>
    <w:lvl w:ilvl="3" w:tplc="040A000F" w:tentative="1">
      <w:start w:val="1"/>
      <w:numFmt w:val="decimal"/>
      <w:lvlText w:val="%4."/>
      <w:lvlJc w:val="left"/>
      <w:pPr>
        <w:ind w:left="3589" w:hanging="360"/>
      </w:pPr>
    </w:lvl>
    <w:lvl w:ilvl="4" w:tplc="040A0019" w:tentative="1">
      <w:start w:val="1"/>
      <w:numFmt w:val="lowerLetter"/>
      <w:lvlText w:val="%5."/>
      <w:lvlJc w:val="left"/>
      <w:pPr>
        <w:ind w:left="4309" w:hanging="360"/>
      </w:pPr>
    </w:lvl>
    <w:lvl w:ilvl="5" w:tplc="040A001B" w:tentative="1">
      <w:start w:val="1"/>
      <w:numFmt w:val="lowerRoman"/>
      <w:lvlText w:val="%6."/>
      <w:lvlJc w:val="right"/>
      <w:pPr>
        <w:ind w:left="5029" w:hanging="180"/>
      </w:pPr>
    </w:lvl>
    <w:lvl w:ilvl="6" w:tplc="040A000F" w:tentative="1">
      <w:start w:val="1"/>
      <w:numFmt w:val="decimal"/>
      <w:lvlText w:val="%7."/>
      <w:lvlJc w:val="left"/>
      <w:pPr>
        <w:ind w:left="5749" w:hanging="360"/>
      </w:pPr>
    </w:lvl>
    <w:lvl w:ilvl="7" w:tplc="040A0019" w:tentative="1">
      <w:start w:val="1"/>
      <w:numFmt w:val="lowerLetter"/>
      <w:lvlText w:val="%8."/>
      <w:lvlJc w:val="left"/>
      <w:pPr>
        <w:ind w:left="6469" w:hanging="360"/>
      </w:pPr>
    </w:lvl>
    <w:lvl w:ilvl="8" w:tplc="040A001B" w:tentative="1">
      <w:start w:val="1"/>
      <w:numFmt w:val="lowerRoman"/>
      <w:lvlText w:val="%9."/>
      <w:lvlJc w:val="right"/>
      <w:pPr>
        <w:ind w:left="7189" w:hanging="180"/>
      </w:pPr>
    </w:lvl>
  </w:abstractNum>
  <w:abstractNum w:abstractNumId="30" w15:restartNumberingAfterBreak="0">
    <w:nsid w:val="723B1079"/>
    <w:multiLevelType w:val="hybridMultilevel"/>
    <w:tmpl w:val="2E0CD9C4"/>
    <w:lvl w:ilvl="0" w:tplc="E3DC3302">
      <w:start w:val="2"/>
      <w:numFmt w:val="bullet"/>
      <w:lvlText w:val="-"/>
      <w:lvlJc w:val="left"/>
      <w:pPr>
        <w:ind w:left="720" w:hanging="360"/>
      </w:pPr>
      <w:rPr>
        <w:rFonts w:ascii="Arial" w:eastAsia="Calibri" w:hAnsi="Arial"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1"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2"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57628407">
    <w:abstractNumId w:val="14"/>
  </w:num>
  <w:num w:numId="2" w16cid:durableId="596212549">
    <w:abstractNumId w:val="12"/>
  </w:num>
  <w:num w:numId="3" w16cid:durableId="1681856638">
    <w:abstractNumId w:val="18"/>
  </w:num>
  <w:num w:numId="4" w16cid:durableId="1834835857">
    <w:abstractNumId w:val="24"/>
  </w:num>
  <w:num w:numId="5" w16cid:durableId="586428898">
    <w:abstractNumId w:val="28"/>
  </w:num>
  <w:num w:numId="6" w16cid:durableId="11104995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0682783">
    <w:abstractNumId w:val="26"/>
  </w:num>
  <w:num w:numId="8" w16cid:durableId="130754162">
    <w:abstractNumId w:val="0"/>
  </w:num>
  <w:num w:numId="9" w16cid:durableId="214045276">
    <w:abstractNumId w:val="7"/>
  </w:num>
  <w:num w:numId="10" w16cid:durableId="137175907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58754529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45810356">
    <w:abstractNumId w:val="13"/>
  </w:num>
  <w:num w:numId="13" w16cid:durableId="1395466287">
    <w:abstractNumId w:val="16"/>
  </w:num>
  <w:num w:numId="14" w16cid:durableId="567767759">
    <w:abstractNumId w:val="11"/>
  </w:num>
  <w:num w:numId="15" w16cid:durableId="1979453158">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79740058">
    <w:abstractNumId w:val="3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896969750">
    <w:abstractNumId w:val="31"/>
  </w:num>
  <w:num w:numId="18" w16cid:durableId="360320729">
    <w:abstractNumId w:val="19"/>
  </w:num>
  <w:num w:numId="19" w16cid:durableId="1042558364">
    <w:abstractNumId w:val="4"/>
  </w:num>
  <w:num w:numId="20" w16cid:durableId="730425685">
    <w:abstractNumId w:val="32"/>
  </w:num>
  <w:num w:numId="21" w16cid:durableId="2028286867">
    <w:abstractNumId w:val="21"/>
  </w:num>
  <w:num w:numId="22" w16cid:durableId="75174091">
    <w:abstractNumId w:val="9"/>
  </w:num>
  <w:num w:numId="23" w16cid:durableId="2077392231">
    <w:abstractNumId w:val="8"/>
  </w:num>
  <w:num w:numId="24" w16cid:durableId="460734384">
    <w:abstractNumId w:val="29"/>
  </w:num>
  <w:num w:numId="25" w16cid:durableId="1479179873">
    <w:abstractNumId w:val="25"/>
  </w:num>
  <w:num w:numId="26" w16cid:durableId="1425951765">
    <w:abstractNumId w:val="5"/>
  </w:num>
  <w:num w:numId="27" w16cid:durableId="1124929492">
    <w:abstractNumId w:val="20"/>
  </w:num>
  <w:num w:numId="28" w16cid:durableId="1033729312">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359819872">
    <w:abstractNumId w:val="17"/>
  </w:num>
  <w:num w:numId="30" w16cid:durableId="36322112">
    <w:abstractNumId w:val="3"/>
  </w:num>
  <w:num w:numId="31" w16cid:durableId="1070925102">
    <w:abstractNumId w:val="10"/>
  </w:num>
  <w:num w:numId="32" w16cid:durableId="467474100">
    <w:abstractNumId w:val="30"/>
  </w:num>
  <w:num w:numId="33" w16cid:durableId="1316565108">
    <w:abstractNumId w:val="6"/>
  </w:num>
  <w:num w:numId="34" w16cid:durableId="447621727">
    <w:abstractNumId w:val="22"/>
  </w:num>
  <w:num w:numId="35" w16cid:durableId="954948938">
    <w:abstractNumId w:val="23"/>
  </w:num>
  <w:num w:numId="36" w16cid:durableId="24677416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0F5"/>
    <w:rsid w:val="00000559"/>
    <w:rsid w:val="0000162E"/>
    <w:rsid w:val="00001A1C"/>
    <w:rsid w:val="00001E00"/>
    <w:rsid w:val="00001FFD"/>
    <w:rsid w:val="00002027"/>
    <w:rsid w:val="000020FE"/>
    <w:rsid w:val="00002173"/>
    <w:rsid w:val="000031A8"/>
    <w:rsid w:val="00003C5C"/>
    <w:rsid w:val="00003D39"/>
    <w:rsid w:val="000040D7"/>
    <w:rsid w:val="00004556"/>
    <w:rsid w:val="00004963"/>
    <w:rsid w:val="00004AAC"/>
    <w:rsid w:val="000051AF"/>
    <w:rsid w:val="000059D3"/>
    <w:rsid w:val="00005B6D"/>
    <w:rsid w:val="0000600A"/>
    <w:rsid w:val="00006081"/>
    <w:rsid w:val="00007750"/>
    <w:rsid w:val="000077D0"/>
    <w:rsid w:val="000077FD"/>
    <w:rsid w:val="00007E37"/>
    <w:rsid w:val="00010A1F"/>
    <w:rsid w:val="00010C40"/>
    <w:rsid w:val="00011215"/>
    <w:rsid w:val="000112B4"/>
    <w:rsid w:val="00011DCC"/>
    <w:rsid w:val="00012532"/>
    <w:rsid w:val="00012B9E"/>
    <w:rsid w:val="00012F37"/>
    <w:rsid w:val="00012FBA"/>
    <w:rsid w:val="0001316F"/>
    <w:rsid w:val="00013C6B"/>
    <w:rsid w:val="0001406B"/>
    <w:rsid w:val="000143F8"/>
    <w:rsid w:val="00014624"/>
    <w:rsid w:val="000150B1"/>
    <w:rsid w:val="00015642"/>
    <w:rsid w:val="00015B44"/>
    <w:rsid w:val="00015E3E"/>
    <w:rsid w:val="00016081"/>
    <w:rsid w:val="000165AC"/>
    <w:rsid w:val="00016651"/>
    <w:rsid w:val="000171A2"/>
    <w:rsid w:val="00017B65"/>
    <w:rsid w:val="00020158"/>
    <w:rsid w:val="000207E0"/>
    <w:rsid w:val="000207FF"/>
    <w:rsid w:val="000209E2"/>
    <w:rsid w:val="00020F8F"/>
    <w:rsid w:val="00021A95"/>
    <w:rsid w:val="0002256F"/>
    <w:rsid w:val="000232F4"/>
    <w:rsid w:val="00023DAE"/>
    <w:rsid w:val="00024855"/>
    <w:rsid w:val="00024896"/>
    <w:rsid w:val="000254DD"/>
    <w:rsid w:val="00025726"/>
    <w:rsid w:val="00025D0A"/>
    <w:rsid w:val="00026203"/>
    <w:rsid w:val="000263F0"/>
    <w:rsid w:val="00026407"/>
    <w:rsid w:val="00026608"/>
    <w:rsid w:val="00027787"/>
    <w:rsid w:val="000278D2"/>
    <w:rsid w:val="0002797C"/>
    <w:rsid w:val="00031364"/>
    <w:rsid w:val="000315E1"/>
    <w:rsid w:val="0003236E"/>
    <w:rsid w:val="0003339A"/>
    <w:rsid w:val="000341F2"/>
    <w:rsid w:val="000345D6"/>
    <w:rsid w:val="00035046"/>
    <w:rsid w:val="000351F2"/>
    <w:rsid w:val="000368A6"/>
    <w:rsid w:val="00036E03"/>
    <w:rsid w:val="00037AD5"/>
    <w:rsid w:val="000406DB"/>
    <w:rsid w:val="0004094D"/>
    <w:rsid w:val="00041029"/>
    <w:rsid w:val="00041357"/>
    <w:rsid w:val="0004149B"/>
    <w:rsid w:val="00041FC6"/>
    <w:rsid w:val="00042961"/>
    <w:rsid w:val="00042C25"/>
    <w:rsid w:val="00042D03"/>
    <w:rsid w:val="0004302F"/>
    <w:rsid w:val="00043086"/>
    <w:rsid w:val="000430A0"/>
    <w:rsid w:val="00043D3B"/>
    <w:rsid w:val="0004418C"/>
    <w:rsid w:val="00044204"/>
    <w:rsid w:val="000449D4"/>
    <w:rsid w:val="00045BF5"/>
    <w:rsid w:val="000463B5"/>
    <w:rsid w:val="00046717"/>
    <w:rsid w:val="00046793"/>
    <w:rsid w:val="00046A63"/>
    <w:rsid w:val="00046C09"/>
    <w:rsid w:val="0004716A"/>
    <w:rsid w:val="00047385"/>
    <w:rsid w:val="000473E8"/>
    <w:rsid w:val="000504DE"/>
    <w:rsid w:val="00051074"/>
    <w:rsid w:val="00051302"/>
    <w:rsid w:val="00051DC3"/>
    <w:rsid w:val="000526F0"/>
    <w:rsid w:val="0005273D"/>
    <w:rsid w:val="00052B79"/>
    <w:rsid w:val="00052E4B"/>
    <w:rsid w:val="00052EA0"/>
    <w:rsid w:val="000536A7"/>
    <w:rsid w:val="000536E3"/>
    <w:rsid w:val="00053896"/>
    <w:rsid w:val="00053A00"/>
    <w:rsid w:val="0005474D"/>
    <w:rsid w:val="00054D74"/>
    <w:rsid w:val="00055612"/>
    <w:rsid w:val="00055CB9"/>
    <w:rsid w:val="0005602F"/>
    <w:rsid w:val="00056565"/>
    <w:rsid w:val="00056F66"/>
    <w:rsid w:val="0005702F"/>
    <w:rsid w:val="00057930"/>
    <w:rsid w:val="000606AC"/>
    <w:rsid w:val="00061010"/>
    <w:rsid w:val="00061470"/>
    <w:rsid w:val="00061D06"/>
    <w:rsid w:val="00062BDF"/>
    <w:rsid w:val="00062CDD"/>
    <w:rsid w:val="00063AD6"/>
    <w:rsid w:val="000640AF"/>
    <w:rsid w:val="00064940"/>
    <w:rsid w:val="00064CAE"/>
    <w:rsid w:val="00064D2E"/>
    <w:rsid w:val="00064DB7"/>
    <w:rsid w:val="00064FA7"/>
    <w:rsid w:val="00065195"/>
    <w:rsid w:val="0006536C"/>
    <w:rsid w:val="00065D20"/>
    <w:rsid w:val="0006626E"/>
    <w:rsid w:val="000701A0"/>
    <w:rsid w:val="00070AF1"/>
    <w:rsid w:val="000714DE"/>
    <w:rsid w:val="0007254F"/>
    <w:rsid w:val="00072878"/>
    <w:rsid w:val="0007357C"/>
    <w:rsid w:val="00073C30"/>
    <w:rsid w:val="00074305"/>
    <w:rsid w:val="000744D0"/>
    <w:rsid w:val="00074B2A"/>
    <w:rsid w:val="00074EEE"/>
    <w:rsid w:val="000753D5"/>
    <w:rsid w:val="00075761"/>
    <w:rsid w:val="00075B3E"/>
    <w:rsid w:val="00076456"/>
    <w:rsid w:val="00076AA9"/>
    <w:rsid w:val="00076B92"/>
    <w:rsid w:val="0007779B"/>
    <w:rsid w:val="000777E7"/>
    <w:rsid w:val="0007790A"/>
    <w:rsid w:val="0008017B"/>
    <w:rsid w:val="00080ACD"/>
    <w:rsid w:val="000811ED"/>
    <w:rsid w:val="0008139C"/>
    <w:rsid w:val="00081D62"/>
    <w:rsid w:val="00082B74"/>
    <w:rsid w:val="00083099"/>
    <w:rsid w:val="00083EDC"/>
    <w:rsid w:val="0008457F"/>
    <w:rsid w:val="00084B97"/>
    <w:rsid w:val="0008510E"/>
    <w:rsid w:val="000856DE"/>
    <w:rsid w:val="00085F17"/>
    <w:rsid w:val="00085FB0"/>
    <w:rsid w:val="00085FB3"/>
    <w:rsid w:val="0008686B"/>
    <w:rsid w:val="00086B2A"/>
    <w:rsid w:val="00086C11"/>
    <w:rsid w:val="00086ED2"/>
    <w:rsid w:val="0009044C"/>
    <w:rsid w:val="000914D6"/>
    <w:rsid w:val="00091569"/>
    <w:rsid w:val="00092057"/>
    <w:rsid w:val="00092CDB"/>
    <w:rsid w:val="00092DCA"/>
    <w:rsid w:val="000936F7"/>
    <w:rsid w:val="00093CA0"/>
    <w:rsid w:val="00093ECD"/>
    <w:rsid w:val="000942EB"/>
    <w:rsid w:val="000954FA"/>
    <w:rsid w:val="00095607"/>
    <w:rsid w:val="00095B70"/>
    <w:rsid w:val="00095E38"/>
    <w:rsid w:val="0009617E"/>
    <w:rsid w:val="0009628D"/>
    <w:rsid w:val="0009670F"/>
    <w:rsid w:val="00097022"/>
    <w:rsid w:val="000979CF"/>
    <w:rsid w:val="00097CAD"/>
    <w:rsid w:val="000A03C8"/>
    <w:rsid w:val="000A05F2"/>
    <w:rsid w:val="000A06C4"/>
    <w:rsid w:val="000A0861"/>
    <w:rsid w:val="000A0A18"/>
    <w:rsid w:val="000A0EC4"/>
    <w:rsid w:val="000A0ED1"/>
    <w:rsid w:val="000A1258"/>
    <w:rsid w:val="000A12DB"/>
    <w:rsid w:val="000A1417"/>
    <w:rsid w:val="000A17C8"/>
    <w:rsid w:val="000A1B74"/>
    <w:rsid w:val="000A20AD"/>
    <w:rsid w:val="000A20D7"/>
    <w:rsid w:val="000A2128"/>
    <w:rsid w:val="000A2142"/>
    <w:rsid w:val="000A2E46"/>
    <w:rsid w:val="000A31FB"/>
    <w:rsid w:val="000A362F"/>
    <w:rsid w:val="000A3B49"/>
    <w:rsid w:val="000A464B"/>
    <w:rsid w:val="000A46FE"/>
    <w:rsid w:val="000A47E6"/>
    <w:rsid w:val="000A4810"/>
    <w:rsid w:val="000A52C0"/>
    <w:rsid w:val="000A5836"/>
    <w:rsid w:val="000A5AAF"/>
    <w:rsid w:val="000A5F97"/>
    <w:rsid w:val="000A600A"/>
    <w:rsid w:val="000A648E"/>
    <w:rsid w:val="000A73BB"/>
    <w:rsid w:val="000A73E8"/>
    <w:rsid w:val="000A79C2"/>
    <w:rsid w:val="000A7C27"/>
    <w:rsid w:val="000A7EF4"/>
    <w:rsid w:val="000B04C1"/>
    <w:rsid w:val="000B081A"/>
    <w:rsid w:val="000B0A15"/>
    <w:rsid w:val="000B103F"/>
    <w:rsid w:val="000B1437"/>
    <w:rsid w:val="000B1470"/>
    <w:rsid w:val="000B17EC"/>
    <w:rsid w:val="000B244D"/>
    <w:rsid w:val="000B2B86"/>
    <w:rsid w:val="000B3051"/>
    <w:rsid w:val="000B419B"/>
    <w:rsid w:val="000B5781"/>
    <w:rsid w:val="000B5CB1"/>
    <w:rsid w:val="000B68EA"/>
    <w:rsid w:val="000B75F4"/>
    <w:rsid w:val="000C0185"/>
    <w:rsid w:val="000C088D"/>
    <w:rsid w:val="000C0AD9"/>
    <w:rsid w:val="000C0F81"/>
    <w:rsid w:val="000C128D"/>
    <w:rsid w:val="000C137A"/>
    <w:rsid w:val="000C15EE"/>
    <w:rsid w:val="000C17A3"/>
    <w:rsid w:val="000C1D4B"/>
    <w:rsid w:val="000C2CB7"/>
    <w:rsid w:val="000C2DC4"/>
    <w:rsid w:val="000C3260"/>
    <w:rsid w:val="000C3B77"/>
    <w:rsid w:val="000C3F6D"/>
    <w:rsid w:val="000C4F49"/>
    <w:rsid w:val="000C5861"/>
    <w:rsid w:val="000C5BDE"/>
    <w:rsid w:val="000C6076"/>
    <w:rsid w:val="000C639D"/>
    <w:rsid w:val="000C6C31"/>
    <w:rsid w:val="000C6DBC"/>
    <w:rsid w:val="000C6F79"/>
    <w:rsid w:val="000C7476"/>
    <w:rsid w:val="000C7480"/>
    <w:rsid w:val="000C7711"/>
    <w:rsid w:val="000C7AA2"/>
    <w:rsid w:val="000D022A"/>
    <w:rsid w:val="000D0462"/>
    <w:rsid w:val="000D053D"/>
    <w:rsid w:val="000D0ED2"/>
    <w:rsid w:val="000D1CEB"/>
    <w:rsid w:val="000D218D"/>
    <w:rsid w:val="000D2563"/>
    <w:rsid w:val="000D25BF"/>
    <w:rsid w:val="000D3582"/>
    <w:rsid w:val="000D3FDC"/>
    <w:rsid w:val="000D490B"/>
    <w:rsid w:val="000D4E38"/>
    <w:rsid w:val="000D50DB"/>
    <w:rsid w:val="000D54CC"/>
    <w:rsid w:val="000D6288"/>
    <w:rsid w:val="000D7541"/>
    <w:rsid w:val="000D75E1"/>
    <w:rsid w:val="000E1FF3"/>
    <w:rsid w:val="000E22CF"/>
    <w:rsid w:val="000E2977"/>
    <w:rsid w:val="000E2CC0"/>
    <w:rsid w:val="000E30AC"/>
    <w:rsid w:val="000E3B46"/>
    <w:rsid w:val="000E3E11"/>
    <w:rsid w:val="000E4596"/>
    <w:rsid w:val="000E4B94"/>
    <w:rsid w:val="000E4D50"/>
    <w:rsid w:val="000E5768"/>
    <w:rsid w:val="000E5843"/>
    <w:rsid w:val="000E5A33"/>
    <w:rsid w:val="000E6139"/>
    <w:rsid w:val="000E653C"/>
    <w:rsid w:val="000E6BE1"/>
    <w:rsid w:val="000E7E0B"/>
    <w:rsid w:val="000F0136"/>
    <w:rsid w:val="000F0367"/>
    <w:rsid w:val="000F078A"/>
    <w:rsid w:val="000F122D"/>
    <w:rsid w:val="000F1450"/>
    <w:rsid w:val="000F14E8"/>
    <w:rsid w:val="000F1BBD"/>
    <w:rsid w:val="000F290F"/>
    <w:rsid w:val="000F4403"/>
    <w:rsid w:val="000F480B"/>
    <w:rsid w:val="000F4E17"/>
    <w:rsid w:val="000F5615"/>
    <w:rsid w:val="000F6578"/>
    <w:rsid w:val="000F709C"/>
    <w:rsid w:val="000F722C"/>
    <w:rsid w:val="000F7E8F"/>
    <w:rsid w:val="000F7FBB"/>
    <w:rsid w:val="001000FB"/>
    <w:rsid w:val="00100A9E"/>
    <w:rsid w:val="00100F6A"/>
    <w:rsid w:val="00102463"/>
    <w:rsid w:val="00102605"/>
    <w:rsid w:val="00102686"/>
    <w:rsid w:val="00102745"/>
    <w:rsid w:val="00103795"/>
    <w:rsid w:val="00103915"/>
    <w:rsid w:val="00103EA0"/>
    <w:rsid w:val="0010496C"/>
    <w:rsid w:val="00104B7E"/>
    <w:rsid w:val="00104F1C"/>
    <w:rsid w:val="001051E5"/>
    <w:rsid w:val="00105A74"/>
    <w:rsid w:val="00105ACB"/>
    <w:rsid w:val="00105AEF"/>
    <w:rsid w:val="00106259"/>
    <w:rsid w:val="001068EB"/>
    <w:rsid w:val="001078CE"/>
    <w:rsid w:val="00107EB3"/>
    <w:rsid w:val="00110A86"/>
    <w:rsid w:val="00110F61"/>
    <w:rsid w:val="001111BD"/>
    <w:rsid w:val="0011165A"/>
    <w:rsid w:val="00111B2B"/>
    <w:rsid w:val="001124C3"/>
    <w:rsid w:val="00112774"/>
    <w:rsid w:val="00112B2E"/>
    <w:rsid w:val="00113003"/>
    <w:rsid w:val="00113062"/>
    <w:rsid w:val="00113705"/>
    <w:rsid w:val="00113975"/>
    <w:rsid w:val="00113A17"/>
    <w:rsid w:val="00113CFC"/>
    <w:rsid w:val="00113FEA"/>
    <w:rsid w:val="00114A22"/>
    <w:rsid w:val="00114D04"/>
    <w:rsid w:val="00114E9D"/>
    <w:rsid w:val="0011507B"/>
    <w:rsid w:val="00115819"/>
    <w:rsid w:val="00116328"/>
    <w:rsid w:val="001163CF"/>
    <w:rsid w:val="001166B1"/>
    <w:rsid w:val="00116A1C"/>
    <w:rsid w:val="001174C9"/>
    <w:rsid w:val="00117E69"/>
    <w:rsid w:val="00121103"/>
    <w:rsid w:val="00121A9B"/>
    <w:rsid w:val="00121BAB"/>
    <w:rsid w:val="00121E3C"/>
    <w:rsid w:val="00122B23"/>
    <w:rsid w:val="00122B7E"/>
    <w:rsid w:val="00123E27"/>
    <w:rsid w:val="00123FB5"/>
    <w:rsid w:val="0012400F"/>
    <w:rsid w:val="001249DC"/>
    <w:rsid w:val="00125630"/>
    <w:rsid w:val="0012572D"/>
    <w:rsid w:val="00125BED"/>
    <w:rsid w:val="00125C59"/>
    <w:rsid w:val="00125D4F"/>
    <w:rsid w:val="00127004"/>
    <w:rsid w:val="00127AF2"/>
    <w:rsid w:val="00127EDC"/>
    <w:rsid w:val="00127F42"/>
    <w:rsid w:val="00127F6D"/>
    <w:rsid w:val="00130355"/>
    <w:rsid w:val="00130365"/>
    <w:rsid w:val="001304E5"/>
    <w:rsid w:val="00131B5A"/>
    <w:rsid w:val="00132C30"/>
    <w:rsid w:val="00132EFD"/>
    <w:rsid w:val="00133AED"/>
    <w:rsid w:val="001345AE"/>
    <w:rsid w:val="00134BCD"/>
    <w:rsid w:val="00134E09"/>
    <w:rsid w:val="001350AB"/>
    <w:rsid w:val="00135DB9"/>
    <w:rsid w:val="0013695C"/>
    <w:rsid w:val="00136BF7"/>
    <w:rsid w:val="00136C78"/>
    <w:rsid w:val="001378B9"/>
    <w:rsid w:val="00137E75"/>
    <w:rsid w:val="00137FFA"/>
    <w:rsid w:val="00140109"/>
    <w:rsid w:val="0014029B"/>
    <w:rsid w:val="00140464"/>
    <w:rsid w:val="00140A4F"/>
    <w:rsid w:val="001413AB"/>
    <w:rsid w:val="00141DBF"/>
    <w:rsid w:val="00142E96"/>
    <w:rsid w:val="00142EFD"/>
    <w:rsid w:val="00143AD6"/>
    <w:rsid w:val="00144335"/>
    <w:rsid w:val="0014502F"/>
    <w:rsid w:val="00145282"/>
    <w:rsid w:val="001453B0"/>
    <w:rsid w:val="001454D9"/>
    <w:rsid w:val="0014553F"/>
    <w:rsid w:val="00145763"/>
    <w:rsid w:val="001459D2"/>
    <w:rsid w:val="00145D8E"/>
    <w:rsid w:val="00146083"/>
    <w:rsid w:val="001462F7"/>
    <w:rsid w:val="00146312"/>
    <w:rsid w:val="00146418"/>
    <w:rsid w:val="001471AB"/>
    <w:rsid w:val="001474D7"/>
    <w:rsid w:val="00147F35"/>
    <w:rsid w:val="00150005"/>
    <w:rsid w:val="001500B0"/>
    <w:rsid w:val="00151274"/>
    <w:rsid w:val="00151AEB"/>
    <w:rsid w:val="00151B99"/>
    <w:rsid w:val="001521B2"/>
    <w:rsid w:val="00152EDD"/>
    <w:rsid w:val="00153491"/>
    <w:rsid w:val="0015361C"/>
    <w:rsid w:val="0015372F"/>
    <w:rsid w:val="00153A51"/>
    <w:rsid w:val="00153BFB"/>
    <w:rsid w:val="0015407E"/>
    <w:rsid w:val="0015448E"/>
    <w:rsid w:val="00154A6F"/>
    <w:rsid w:val="00155D08"/>
    <w:rsid w:val="0015623B"/>
    <w:rsid w:val="00156BE5"/>
    <w:rsid w:val="00157226"/>
    <w:rsid w:val="00157232"/>
    <w:rsid w:val="00160401"/>
    <w:rsid w:val="00160D4E"/>
    <w:rsid w:val="00161CD6"/>
    <w:rsid w:val="00161DDA"/>
    <w:rsid w:val="00161E62"/>
    <w:rsid w:val="00161F1C"/>
    <w:rsid w:val="0016200B"/>
    <w:rsid w:val="0016204B"/>
    <w:rsid w:val="00162552"/>
    <w:rsid w:val="00163786"/>
    <w:rsid w:val="00163C03"/>
    <w:rsid w:val="00163D7A"/>
    <w:rsid w:val="00164281"/>
    <w:rsid w:val="00164BA2"/>
    <w:rsid w:val="00165703"/>
    <w:rsid w:val="00166204"/>
    <w:rsid w:val="0016685F"/>
    <w:rsid w:val="0016712F"/>
    <w:rsid w:val="00167503"/>
    <w:rsid w:val="001676A9"/>
    <w:rsid w:val="00167A15"/>
    <w:rsid w:val="00167A50"/>
    <w:rsid w:val="00167D1A"/>
    <w:rsid w:val="00167DF5"/>
    <w:rsid w:val="00170001"/>
    <w:rsid w:val="00170472"/>
    <w:rsid w:val="00172198"/>
    <w:rsid w:val="0017236C"/>
    <w:rsid w:val="00172612"/>
    <w:rsid w:val="00172817"/>
    <w:rsid w:val="001734E3"/>
    <w:rsid w:val="00173FB5"/>
    <w:rsid w:val="001742BF"/>
    <w:rsid w:val="001742E1"/>
    <w:rsid w:val="001745FB"/>
    <w:rsid w:val="001759ED"/>
    <w:rsid w:val="00175E49"/>
    <w:rsid w:val="0017649F"/>
    <w:rsid w:val="0017655B"/>
    <w:rsid w:val="001805C1"/>
    <w:rsid w:val="00180A2E"/>
    <w:rsid w:val="001813AF"/>
    <w:rsid w:val="001817E9"/>
    <w:rsid w:val="001829CD"/>
    <w:rsid w:val="00182F01"/>
    <w:rsid w:val="001833C2"/>
    <w:rsid w:val="001841E2"/>
    <w:rsid w:val="00184219"/>
    <w:rsid w:val="00184F27"/>
    <w:rsid w:val="0018519B"/>
    <w:rsid w:val="00185966"/>
    <w:rsid w:val="00185A2D"/>
    <w:rsid w:val="00185AFE"/>
    <w:rsid w:val="00185E78"/>
    <w:rsid w:val="00185F7F"/>
    <w:rsid w:val="001870F4"/>
    <w:rsid w:val="00187177"/>
    <w:rsid w:val="00187ABD"/>
    <w:rsid w:val="001904E3"/>
    <w:rsid w:val="0019087A"/>
    <w:rsid w:val="00191C5A"/>
    <w:rsid w:val="00191CEB"/>
    <w:rsid w:val="00191DB3"/>
    <w:rsid w:val="00191E63"/>
    <w:rsid w:val="00192D68"/>
    <w:rsid w:val="00192E04"/>
    <w:rsid w:val="00192F9B"/>
    <w:rsid w:val="0019388B"/>
    <w:rsid w:val="00193ADE"/>
    <w:rsid w:val="00193B9A"/>
    <w:rsid w:val="001940ED"/>
    <w:rsid w:val="001946AE"/>
    <w:rsid w:val="001946D5"/>
    <w:rsid w:val="00194E8C"/>
    <w:rsid w:val="001962EC"/>
    <w:rsid w:val="001963DD"/>
    <w:rsid w:val="001965DB"/>
    <w:rsid w:val="0019673D"/>
    <w:rsid w:val="00196D01"/>
    <w:rsid w:val="00196DC9"/>
    <w:rsid w:val="00196E95"/>
    <w:rsid w:val="001A0236"/>
    <w:rsid w:val="001A0915"/>
    <w:rsid w:val="001A0929"/>
    <w:rsid w:val="001A0AF8"/>
    <w:rsid w:val="001A147D"/>
    <w:rsid w:val="001A1490"/>
    <w:rsid w:val="001A18D5"/>
    <w:rsid w:val="001A1A38"/>
    <w:rsid w:val="001A1BE0"/>
    <w:rsid w:val="001A1D4A"/>
    <w:rsid w:val="001A1E17"/>
    <w:rsid w:val="001A25D3"/>
    <w:rsid w:val="001A3011"/>
    <w:rsid w:val="001A3284"/>
    <w:rsid w:val="001A3C58"/>
    <w:rsid w:val="001A3E7D"/>
    <w:rsid w:val="001A4A9B"/>
    <w:rsid w:val="001A4DAF"/>
    <w:rsid w:val="001A54CD"/>
    <w:rsid w:val="001A66DF"/>
    <w:rsid w:val="001A67D0"/>
    <w:rsid w:val="001A6863"/>
    <w:rsid w:val="001A7591"/>
    <w:rsid w:val="001A75B1"/>
    <w:rsid w:val="001A7B06"/>
    <w:rsid w:val="001A7C04"/>
    <w:rsid w:val="001B0366"/>
    <w:rsid w:val="001B0444"/>
    <w:rsid w:val="001B096B"/>
    <w:rsid w:val="001B0F9F"/>
    <w:rsid w:val="001B123C"/>
    <w:rsid w:val="001B19D8"/>
    <w:rsid w:val="001B1A0D"/>
    <w:rsid w:val="001B1BF1"/>
    <w:rsid w:val="001B2456"/>
    <w:rsid w:val="001B449C"/>
    <w:rsid w:val="001B4AA2"/>
    <w:rsid w:val="001B4ADE"/>
    <w:rsid w:val="001B5530"/>
    <w:rsid w:val="001B5EF8"/>
    <w:rsid w:val="001B5F4C"/>
    <w:rsid w:val="001B71E8"/>
    <w:rsid w:val="001C07C6"/>
    <w:rsid w:val="001C15C9"/>
    <w:rsid w:val="001C19CD"/>
    <w:rsid w:val="001C22D5"/>
    <w:rsid w:val="001C2515"/>
    <w:rsid w:val="001C26FB"/>
    <w:rsid w:val="001C2D24"/>
    <w:rsid w:val="001C33C1"/>
    <w:rsid w:val="001C3801"/>
    <w:rsid w:val="001C3E30"/>
    <w:rsid w:val="001C3E5C"/>
    <w:rsid w:val="001C4E20"/>
    <w:rsid w:val="001C5072"/>
    <w:rsid w:val="001C5B2A"/>
    <w:rsid w:val="001C600B"/>
    <w:rsid w:val="001C6476"/>
    <w:rsid w:val="001C6898"/>
    <w:rsid w:val="001C6DD8"/>
    <w:rsid w:val="001C7C7B"/>
    <w:rsid w:val="001D068D"/>
    <w:rsid w:val="001D12D1"/>
    <w:rsid w:val="001D15DF"/>
    <w:rsid w:val="001D2131"/>
    <w:rsid w:val="001D2EEE"/>
    <w:rsid w:val="001D30F3"/>
    <w:rsid w:val="001D31A0"/>
    <w:rsid w:val="001D338E"/>
    <w:rsid w:val="001D4238"/>
    <w:rsid w:val="001D56E9"/>
    <w:rsid w:val="001D6006"/>
    <w:rsid w:val="001D65AC"/>
    <w:rsid w:val="001D716B"/>
    <w:rsid w:val="001D796A"/>
    <w:rsid w:val="001D7A84"/>
    <w:rsid w:val="001D7C79"/>
    <w:rsid w:val="001E003B"/>
    <w:rsid w:val="001E1CC4"/>
    <w:rsid w:val="001E1D38"/>
    <w:rsid w:val="001E1EC3"/>
    <w:rsid w:val="001E28A0"/>
    <w:rsid w:val="001E320D"/>
    <w:rsid w:val="001E3FFE"/>
    <w:rsid w:val="001E4258"/>
    <w:rsid w:val="001E47D6"/>
    <w:rsid w:val="001E5140"/>
    <w:rsid w:val="001E5D6A"/>
    <w:rsid w:val="001E600E"/>
    <w:rsid w:val="001E6A94"/>
    <w:rsid w:val="001E70FB"/>
    <w:rsid w:val="001E780A"/>
    <w:rsid w:val="001F08BB"/>
    <w:rsid w:val="001F0D15"/>
    <w:rsid w:val="001F0FA0"/>
    <w:rsid w:val="001F1349"/>
    <w:rsid w:val="001F1863"/>
    <w:rsid w:val="001F2356"/>
    <w:rsid w:val="001F2A68"/>
    <w:rsid w:val="001F4773"/>
    <w:rsid w:val="001F5008"/>
    <w:rsid w:val="001F56AA"/>
    <w:rsid w:val="001F58AA"/>
    <w:rsid w:val="001F5A4E"/>
    <w:rsid w:val="001F5EF6"/>
    <w:rsid w:val="001F657F"/>
    <w:rsid w:val="001F6FB6"/>
    <w:rsid w:val="001F72BB"/>
    <w:rsid w:val="001F7978"/>
    <w:rsid w:val="001F7A0E"/>
    <w:rsid w:val="001F7A4B"/>
    <w:rsid w:val="0020022E"/>
    <w:rsid w:val="0020054E"/>
    <w:rsid w:val="002007A8"/>
    <w:rsid w:val="00200D7F"/>
    <w:rsid w:val="00201435"/>
    <w:rsid w:val="00201AC4"/>
    <w:rsid w:val="00201BB9"/>
    <w:rsid w:val="00201F1E"/>
    <w:rsid w:val="00202761"/>
    <w:rsid w:val="002027CC"/>
    <w:rsid w:val="0020299B"/>
    <w:rsid w:val="00202E44"/>
    <w:rsid w:val="002037AA"/>
    <w:rsid w:val="00203FE3"/>
    <w:rsid w:val="002042D8"/>
    <w:rsid w:val="00204515"/>
    <w:rsid w:val="00204BF5"/>
    <w:rsid w:val="00204E6B"/>
    <w:rsid w:val="002053EF"/>
    <w:rsid w:val="002058D4"/>
    <w:rsid w:val="0020632A"/>
    <w:rsid w:val="00206812"/>
    <w:rsid w:val="0020697F"/>
    <w:rsid w:val="00207262"/>
    <w:rsid w:val="0020726E"/>
    <w:rsid w:val="00210656"/>
    <w:rsid w:val="00210D98"/>
    <w:rsid w:val="002110EB"/>
    <w:rsid w:val="00211338"/>
    <w:rsid w:val="00211388"/>
    <w:rsid w:val="0021148C"/>
    <w:rsid w:val="00211694"/>
    <w:rsid w:val="0021201A"/>
    <w:rsid w:val="002138FE"/>
    <w:rsid w:val="00213A1F"/>
    <w:rsid w:val="00213C63"/>
    <w:rsid w:val="00214502"/>
    <w:rsid w:val="00214741"/>
    <w:rsid w:val="00214938"/>
    <w:rsid w:val="0021539A"/>
    <w:rsid w:val="00215852"/>
    <w:rsid w:val="00215B01"/>
    <w:rsid w:val="00215B8E"/>
    <w:rsid w:val="00216264"/>
    <w:rsid w:val="002176B6"/>
    <w:rsid w:val="0021792D"/>
    <w:rsid w:val="00217DB8"/>
    <w:rsid w:val="002202CE"/>
    <w:rsid w:val="0022032A"/>
    <w:rsid w:val="00220B61"/>
    <w:rsid w:val="00220FD8"/>
    <w:rsid w:val="0022194E"/>
    <w:rsid w:val="002220B1"/>
    <w:rsid w:val="0022210B"/>
    <w:rsid w:val="002221CE"/>
    <w:rsid w:val="00222BE8"/>
    <w:rsid w:val="00223102"/>
    <w:rsid w:val="002232CB"/>
    <w:rsid w:val="00224022"/>
    <w:rsid w:val="0022595D"/>
    <w:rsid w:val="00226055"/>
    <w:rsid w:val="0022609C"/>
    <w:rsid w:val="0022613F"/>
    <w:rsid w:val="00226236"/>
    <w:rsid w:val="002270C9"/>
    <w:rsid w:val="00227149"/>
    <w:rsid w:val="00227A8B"/>
    <w:rsid w:val="00230F0B"/>
    <w:rsid w:val="00231466"/>
    <w:rsid w:val="0023146B"/>
    <w:rsid w:val="002315A0"/>
    <w:rsid w:val="00231748"/>
    <w:rsid w:val="00231E5D"/>
    <w:rsid w:val="00231EC7"/>
    <w:rsid w:val="002320F9"/>
    <w:rsid w:val="00232E15"/>
    <w:rsid w:val="00233079"/>
    <w:rsid w:val="0023382C"/>
    <w:rsid w:val="00233977"/>
    <w:rsid w:val="00233C58"/>
    <w:rsid w:val="00233C71"/>
    <w:rsid w:val="002345B6"/>
    <w:rsid w:val="002347A6"/>
    <w:rsid w:val="00234B84"/>
    <w:rsid w:val="00236016"/>
    <w:rsid w:val="00237065"/>
    <w:rsid w:val="00237589"/>
    <w:rsid w:val="0023758D"/>
    <w:rsid w:val="002375A7"/>
    <w:rsid w:val="0024019A"/>
    <w:rsid w:val="00240DFC"/>
    <w:rsid w:val="00240EC1"/>
    <w:rsid w:val="0024120F"/>
    <w:rsid w:val="0024131D"/>
    <w:rsid w:val="002415B8"/>
    <w:rsid w:val="00241816"/>
    <w:rsid w:val="00242D5F"/>
    <w:rsid w:val="00242D62"/>
    <w:rsid w:val="002430D0"/>
    <w:rsid w:val="002431D7"/>
    <w:rsid w:val="00244058"/>
    <w:rsid w:val="00244631"/>
    <w:rsid w:val="002451A6"/>
    <w:rsid w:val="00245718"/>
    <w:rsid w:val="00245E07"/>
    <w:rsid w:val="00246001"/>
    <w:rsid w:val="00246E0D"/>
    <w:rsid w:val="00247712"/>
    <w:rsid w:val="00250A9E"/>
    <w:rsid w:val="00250EC6"/>
    <w:rsid w:val="002515C7"/>
    <w:rsid w:val="00251866"/>
    <w:rsid w:val="00251A9F"/>
    <w:rsid w:val="00251ABD"/>
    <w:rsid w:val="00252492"/>
    <w:rsid w:val="00252B35"/>
    <w:rsid w:val="00253070"/>
    <w:rsid w:val="0025316D"/>
    <w:rsid w:val="00253A02"/>
    <w:rsid w:val="00253B81"/>
    <w:rsid w:val="002540D8"/>
    <w:rsid w:val="00254AE9"/>
    <w:rsid w:val="002554DE"/>
    <w:rsid w:val="00255575"/>
    <w:rsid w:val="00255E11"/>
    <w:rsid w:val="00255EA6"/>
    <w:rsid w:val="00256835"/>
    <w:rsid w:val="002569F0"/>
    <w:rsid w:val="00256C01"/>
    <w:rsid w:val="00256D3E"/>
    <w:rsid w:val="00256E1A"/>
    <w:rsid w:val="00256ECF"/>
    <w:rsid w:val="00257730"/>
    <w:rsid w:val="00257999"/>
    <w:rsid w:val="002604AA"/>
    <w:rsid w:val="0026129B"/>
    <w:rsid w:val="00261560"/>
    <w:rsid w:val="00261715"/>
    <w:rsid w:val="00261CF9"/>
    <w:rsid w:val="00261EC0"/>
    <w:rsid w:val="0026231B"/>
    <w:rsid w:val="00263101"/>
    <w:rsid w:val="002631D1"/>
    <w:rsid w:val="00263201"/>
    <w:rsid w:val="00263A37"/>
    <w:rsid w:val="00264266"/>
    <w:rsid w:val="0026471F"/>
    <w:rsid w:val="0026480D"/>
    <w:rsid w:val="002652C1"/>
    <w:rsid w:val="002653A6"/>
    <w:rsid w:val="00265EB4"/>
    <w:rsid w:val="002661F1"/>
    <w:rsid w:val="00266DB6"/>
    <w:rsid w:val="002679AB"/>
    <w:rsid w:val="002711A4"/>
    <w:rsid w:val="00271230"/>
    <w:rsid w:val="00271A92"/>
    <w:rsid w:val="00271F13"/>
    <w:rsid w:val="002725C3"/>
    <w:rsid w:val="00272945"/>
    <w:rsid w:val="0027482E"/>
    <w:rsid w:val="00274DB5"/>
    <w:rsid w:val="00275BB1"/>
    <w:rsid w:val="00276839"/>
    <w:rsid w:val="00276A51"/>
    <w:rsid w:val="0027770B"/>
    <w:rsid w:val="00277933"/>
    <w:rsid w:val="00277F8D"/>
    <w:rsid w:val="00277FA7"/>
    <w:rsid w:val="00280046"/>
    <w:rsid w:val="0028008D"/>
    <w:rsid w:val="00280B4F"/>
    <w:rsid w:val="00280F3D"/>
    <w:rsid w:val="0028106A"/>
    <w:rsid w:val="002815C0"/>
    <w:rsid w:val="00281EB4"/>
    <w:rsid w:val="00282D16"/>
    <w:rsid w:val="00282E03"/>
    <w:rsid w:val="0028308E"/>
    <w:rsid w:val="002834E9"/>
    <w:rsid w:val="00283A52"/>
    <w:rsid w:val="00283C5E"/>
    <w:rsid w:val="00283E26"/>
    <w:rsid w:val="0028428F"/>
    <w:rsid w:val="00284CFC"/>
    <w:rsid w:val="00285832"/>
    <w:rsid w:val="00285969"/>
    <w:rsid w:val="00286245"/>
    <w:rsid w:val="0028663B"/>
    <w:rsid w:val="00286CEC"/>
    <w:rsid w:val="002870F9"/>
    <w:rsid w:val="002871A9"/>
    <w:rsid w:val="0028745C"/>
    <w:rsid w:val="00287505"/>
    <w:rsid w:val="002879EB"/>
    <w:rsid w:val="00287BDB"/>
    <w:rsid w:val="0029031D"/>
    <w:rsid w:val="00290781"/>
    <w:rsid w:val="00291454"/>
    <w:rsid w:val="00291470"/>
    <w:rsid w:val="00291784"/>
    <w:rsid w:val="00291CF4"/>
    <w:rsid w:val="002920DF"/>
    <w:rsid w:val="002929BB"/>
    <w:rsid w:val="00294238"/>
    <w:rsid w:val="00294368"/>
    <w:rsid w:val="00294B78"/>
    <w:rsid w:val="00295416"/>
    <w:rsid w:val="002956FB"/>
    <w:rsid w:val="00295949"/>
    <w:rsid w:val="00295D7C"/>
    <w:rsid w:val="0029624A"/>
    <w:rsid w:val="00296922"/>
    <w:rsid w:val="0029697B"/>
    <w:rsid w:val="00297098"/>
    <w:rsid w:val="002A05D4"/>
    <w:rsid w:val="002A06DB"/>
    <w:rsid w:val="002A09FF"/>
    <w:rsid w:val="002A0E60"/>
    <w:rsid w:val="002A1310"/>
    <w:rsid w:val="002A1A58"/>
    <w:rsid w:val="002A1B02"/>
    <w:rsid w:val="002A1C53"/>
    <w:rsid w:val="002A244B"/>
    <w:rsid w:val="002A28FC"/>
    <w:rsid w:val="002A2B44"/>
    <w:rsid w:val="002A2C29"/>
    <w:rsid w:val="002A2EA5"/>
    <w:rsid w:val="002A3132"/>
    <w:rsid w:val="002A3482"/>
    <w:rsid w:val="002A39B5"/>
    <w:rsid w:val="002A3D94"/>
    <w:rsid w:val="002A41AD"/>
    <w:rsid w:val="002A4736"/>
    <w:rsid w:val="002A4B1C"/>
    <w:rsid w:val="002A55FE"/>
    <w:rsid w:val="002A6AFB"/>
    <w:rsid w:val="002A733D"/>
    <w:rsid w:val="002A774A"/>
    <w:rsid w:val="002A78F3"/>
    <w:rsid w:val="002A7E5C"/>
    <w:rsid w:val="002A7F6D"/>
    <w:rsid w:val="002B08BA"/>
    <w:rsid w:val="002B1342"/>
    <w:rsid w:val="002B1F83"/>
    <w:rsid w:val="002B27C8"/>
    <w:rsid w:val="002B2A7F"/>
    <w:rsid w:val="002B2F69"/>
    <w:rsid w:val="002B330B"/>
    <w:rsid w:val="002B35A7"/>
    <w:rsid w:val="002B39BE"/>
    <w:rsid w:val="002B3F99"/>
    <w:rsid w:val="002B438C"/>
    <w:rsid w:val="002B48DB"/>
    <w:rsid w:val="002B4B34"/>
    <w:rsid w:val="002B541A"/>
    <w:rsid w:val="002B5A82"/>
    <w:rsid w:val="002B5EAB"/>
    <w:rsid w:val="002B5F2E"/>
    <w:rsid w:val="002B6407"/>
    <w:rsid w:val="002B6416"/>
    <w:rsid w:val="002B6459"/>
    <w:rsid w:val="002B7014"/>
    <w:rsid w:val="002B73B0"/>
    <w:rsid w:val="002B7C20"/>
    <w:rsid w:val="002C24B4"/>
    <w:rsid w:val="002C2B3A"/>
    <w:rsid w:val="002C2B87"/>
    <w:rsid w:val="002C3CF4"/>
    <w:rsid w:val="002C441A"/>
    <w:rsid w:val="002C4A73"/>
    <w:rsid w:val="002C4B84"/>
    <w:rsid w:val="002C4C0C"/>
    <w:rsid w:val="002C5016"/>
    <w:rsid w:val="002C5C2F"/>
    <w:rsid w:val="002C5D0F"/>
    <w:rsid w:val="002C5F40"/>
    <w:rsid w:val="002C60B9"/>
    <w:rsid w:val="002C6F77"/>
    <w:rsid w:val="002C704D"/>
    <w:rsid w:val="002C7102"/>
    <w:rsid w:val="002D0845"/>
    <w:rsid w:val="002D0933"/>
    <w:rsid w:val="002D18C5"/>
    <w:rsid w:val="002D19BB"/>
    <w:rsid w:val="002D1A9B"/>
    <w:rsid w:val="002D1ABF"/>
    <w:rsid w:val="002D20F8"/>
    <w:rsid w:val="002D22BD"/>
    <w:rsid w:val="002D22C5"/>
    <w:rsid w:val="002D233E"/>
    <w:rsid w:val="002D283F"/>
    <w:rsid w:val="002D302A"/>
    <w:rsid w:val="002D36C6"/>
    <w:rsid w:val="002D37C1"/>
    <w:rsid w:val="002D444B"/>
    <w:rsid w:val="002D46B4"/>
    <w:rsid w:val="002D4A45"/>
    <w:rsid w:val="002D4B42"/>
    <w:rsid w:val="002D4B43"/>
    <w:rsid w:val="002D4BC1"/>
    <w:rsid w:val="002D5A1B"/>
    <w:rsid w:val="002D64CE"/>
    <w:rsid w:val="002D65BC"/>
    <w:rsid w:val="002D6BBD"/>
    <w:rsid w:val="002D7EB2"/>
    <w:rsid w:val="002E055C"/>
    <w:rsid w:val="002E1050"/>
    <w:rsid w:val="002E107E"/>
    <w:rsid w:val="002E18E5"/>
    <w:rsid w:val="002E1953"/>
    <w:rsid w:val="002E1DC6"/>
    <w:rsid w:val="002E2C3F"/>
    <w:rsid w:val="002E2CB5"/>
    <w:rsid w:val="002E2D7D"/>
    <w:rsid w:val="002E32D0"/>
    <w:rsid w:val="002E3C26"/>
    <w:rsid w:val="002E3D76"/>
    <w:rsid w:val="002E3FF4"/>
    <w:rsid w:val="002E40A1"/>
    <w:rsid w:val="002E48EC"/>
    <w:rsid w:val="002E4B44"/>
    <w:rsid w:val="002E4ECB"/>
    <w:rsid w:val="002E4F23"/>
    <w:rsid w:val="002E635A"/>
    <w:rsid w:val="002E6D68"/>
    <w:rsid w:val="002E7847"/>
    <w:rsid w:val="002F0073"/>
    <w:rsid w:val="002F1C67"/>
    <w:rsid w:val="002F2077"/>
    <w:rsid w:val="002F240B"/>
    <w:rsid w:val="002F27DE"/>
    <w:rsid w:val="002F2F50"/>
    <w:rsid w:val="002F2FBC"/>
    <w:rsid w:val="002F33EC"/>
    <w:rsid w:val="002F34E3"/>
    <w:rsid w:val="002F3601"/>
    <w:rsid w:val="002F3C19"/>
    <w:rsid w:val="002F3E4E"/>
    <w:rsid w:val="002F40E2"/>
    <w:rsid w:val="002F45F6"/>
    <w:rsid w:val="002F5A6F"/>
    <w:rsid w:val="002F692F"/>
    <w:rsid w:val="002F7575"/>
    <w:rsid w:val="002F7961"/>
    <w:rsid w:val="002F7B66"/>
    <w:rsid w:val="002F7C8C"/>
    <w:rsid w:val="00300726"/>
    <w:rsid w:val="00300CB4"/>
    <w:rsid w:val="00300E24"/>
    <w:rsid w:val="003033BA"/>
    <w:rsid w:val="00303C19"/>
    <w:rsid w:val="003043A3"/>
    <w:rsid w:val="00304BD4"/>
    <w:rsid w:val="00304C25"/>
    <w:rsid w:val="0030500A"/>
    <w:rsid w:val="003052EB"/>
    <w:rsid w:val="0030575F"/>
    <w:rsid w:val="00305FCB"/>
    <w:rsid w:val="003063C3"/>
    <w:rsid w:val="003069DC"/>
    <w:rsid w:val="00306B44"/>
    <w:rsid w:val="00307C44"/>
    <w:rsid w:val="003100E1"/>
    <w:rsid w:val="0031088E"/>
    <w:rsid w:val="00310C45"/>
    <w:rsid w:val="00310D01"/>
    <w:rsid w:val="00311376"/>
    <w:rsid w:val="0031184C"/>
    <w:rsid w:val="00311A1F"/>
    <w:rsid w:val="00311B47"/>
    <w:rsid w:val="00311D52"/>
    <w:rsid w:val="00312190"/>
    <w:rsid w:val="003125E0"/>
    <w:rsid w:val="0031271D"/>
    <w:rsid w:val="003132BB"/>
    <w:rsid w:val="00313337"/>
    <w:rsid w:val="00313447"/>
    <w:rsid w:val="00313748"/>
    <w:rsid w:val="003137DE"/>
    <w:rsid w:val="00313C96"/>
    <w:rsid w:val="00313EA3"/>
    <w:rsid w:val="003141AD"/>
    <w:rsid w:val="0031443A"/>
    <w:rsid w:val="00314CA8"/>
    <w:rsid w:val="00315365"/>
    <w:rsid w:val="00315457"/>
    <w:rsid w:val="003161A4"/>
    <w:rsid w:val="00316955"/>
    <w:rsid w:val="0031704E"/>
    <w:rsid w:val="0031713F"/>
    <w:rsid w:val="0031720A"/>
    <w:rsid w:val="0031749B"/>
    <w:rsid w:val="003174CD"/>
    <w:rsid w:val="003174E5"/>
    <w:rsid w:val="003176C8"/>
    <w:rsid w:val="00317C9D"/>
    <w:rsid w:val="00317CD2"/>
    <w:rsid w:val="00317D99"/>
    <w:rsid w:val="0032078D"/>
    <w:rsid w:val="00320876"/>
    <w:rsid w:val="00320ADF"/>
    <w:rsid w:val="00320F55"/>
    <w:rsid w:val="0032137B"/>
    <w:rsid w:val="00321BD6"/>
    <w:rsid w:val="00321F37"/>
    <w:rsid w:val="00321FA3"/>
    <w:rsid w:val="00322342"/>
    <w:rsid w:val="003227D3"/>
    <w:rsid w:val="00322937"/>
    <w:rsid w:val="00323881"/>
    <w:rsid w:val="00324885"/>
    <w:rsid w:val="003251A8"/>
    <w:rsid w:val="003254B1"/>
    <w:rsid w:val="00325AD9"/>
    <w:rsid w:val="00325AE7"/>
    <w:rsid w:val="00325D98"/>
    <w:rsid w:val="0032682A"/>
    <w:rsid w:val="00327A5C"/>
    <w:rsid w:val="0033092C"/>
    <w:rsid w:val="0033122A"/>
    <w:rsid w:val="003315AC"/>
    <w:rsid w:val="00331932"/>
    <w:rsid w:val="00331F74"/>
    <w:rsid w:val="00332096"/>
    <w:rsid w:val="00332382"/>
    <w:rsid w:val="00332453"/>
    <w:rsid w:val="0033251B"/>
    <w:rsid w:val="00333712"/>
    <w:rsid w:val="00333A88"/>
    <w:rsid w:val="003343FF"/>
    <w:rsid w:val="00334C39"/>
    <w:rsid w:val="00335B15"/>
    <w:rsid w:val="00335B21"/>
    <w:rsid w:val="00335D3F"/>
    <w:rsid w:val="00336104"/>
    <w:rsid w:val="00336729"/>
    <w:rsid w:val="003368D6"/>
    <w:rsid w:val="00336CD9"/>
    <w:rsid w:val="0033726D"/>
    <w:rsid w:val="00337C00"/>
    <w:rsid w:val="00337CA8"/>
    <w:rsid w:val="00340D3F"/>
    <w:rsid w:val="0034174B"/>
    <w:rsid w:val="0034177C"/>
    <w:rsid w:val="003420E9"/>
    <w:rsid w:val="00342345"/>
    <w:rsid w:val="00342C27"/>
    <w:rsid w:val="003430C8"/>
    <w:rsid w:val="003432C8"/>
    <w:rsid w:val="003434B3"/>
    <w:rsid w:val="00343536"/>
    <w:rsid w:val="0034399A"/>
    <w:rsid w:val="00343EFB"/>
    <w:rsid w:val="00344760"/>
    <w:rsid w:val="003454E8"/>
    <w:rsid w:val="00345574"/>
    <w:rsid w:val="0034680A"/>
    <w:rsid w:val="00346C62"/>
    <w:rsid w:val="00347202"/>
    <w:rsid w:val="0034778E"/>
    <w:rsid w:val="00347A5A"/>
    <w:rsid w:val="003501E2"/>
    <w:rsid w:val="00351716"/>
    <w:rsid w:val="00351E10"/>
    <w:rsid w:val="0035213C"/>
    <w:rsid w:val="00353081"/>
    <w:rsid w:val="003533F4"/>
    <w:rsid w:val="003536F6"/>
    <w:rsid w:val="00353DD5"/>
    <w:rsid w:val="0035463F"/>
    <w:rsid w:val="00355131"/>
    <w:rsid w:val="00355F74"/>
    <w:rsid w:val="003560DB"/>
    <w:rsid w:val="003564DB"/>
    <w:rsid w:val="00356F87"/>
    <w:rsid w:val="00357198"/>
    <w:rsid w:val="00357E83"/>
    <w:rsid w:val="00360CF3"/>
    <w:rsid w:val="0036137C"/>
    <w:rsid w:val="00361A59"/>
    <w:rsid w:val="00361ED9"/>
    <w:rsid w:val="003622B1"/>
    <w:rsid w:val="00363348"/>
    <w:rsid w:val="00363857"/>
    <w:rsid w:val="00363D59"/>
    <w:rsid w:val="003640F7"/>
    <w:rsid w:val="00364E04"/>
    <w:rsid w:val="003650AA"/>
    <w:rsid w:val="00365457"/>
    <w:rsid w:val="00365D3A"/>
    <w:rsid w:val="003664FF"/>
    <w:rsid w:val="00366BD2"/>
    <w:rsid w:val="003670B8"/>
    <w:rsid w:val="00370127"/>
    <w:rsid w:val="003704A3"/>
    <w:rsid w:val="0037058F"/>
    <w:rsid w:val="003706F2"/>
    <w:rsid w:val="003707CB"/>
    <w:rsid w:val="0037124F"/>
    <w:rsid w:val="00373827"/>
    <w:rsid w:val="0037401C"/>
    <w:rsid w:val="0037507B"/>
    <w:rsid w:val="003754B0"/>
    <w:rsid w:val="00375C7C"/>
    <w:rsid w:val="00375DA0"/>
    <w:rsid w:val="00377027"/>
    <w:rsid w:val="00377135"/>
    <w:rsid w:val="00380272"/>
    <w:rsid w:val="003805DB"/>
    <w:rsid w:val="0038152A"/>
    <w:rsid w:val="00382BAD"/>
    <w:rsid w:val="003835FD"/>
    <w:rsid w:val="00384DF1"/>
    <w:rsid w:val="00384FF3"/>
    <w:rsid w:val="00386456"/>
    <w:rsid w:val="003865A9"/>
    <w:rsid w:val="0039091C"/>
    <w:rsid w:val="0039092B"/>
    <w:rsid w:val="00390F32"/>
    <w:rsid w:val="0039135E"/>
    <w:rsid w:val="00391EFC"/>
    <w:rsid w:val="0039285D"/>
    <w:rsid w:val="0039319C"/>
    <w:rsid w:val="0039346A"/>
    <w:rsid w:val="00393577"/>
    <w:rsid w:val="00393CAE"/>
    <w:rsid w:val="003945F4"/>
    <w:rsid w:val="00394EB5"/>
    <w:rsid w:val="003953B4"/>
    <w:rsid w:val="0039615F"/>
    <w:rsid w:val="003966A0"/>
    <w:rsid w:val="00396837"/>
    <w:rsid w:val="00396A29"/>
    <w:rsid w:val="00397FF0"/>
    <w:rsid w:val="003A0455"/>
    <w:rsid w:val="003A0878"/>
    <w:rsid w:val="003A0B08"/>
    <w:rsid w:val="003A11E5"/>
    <w:rsid w:val="003A1561"/>
    <w:rsid w:val="003A1CB2"/>
    <w:rsid w:val="003A1D25"/>
    <w:rsid w:val="003A22A2"/>
    <w:rsid w:val="003A22FC"/>
    <w:rsid w:val="003A2447"/>
    <w:rsid w:val="003A2AA1"/>
    <w:rsid w:val="003A31A5"/>
    <w:rsid w:val="003A329A"/>
    <w:rsid w:val="003A3603"/>
    <w:rsid w:val="003A3851"/>
    <w:rsid w:val="003A39DD"/>
    <w:rsid w:val="003A3C6E"/>
    <w:rsid w:val="003A40DB"/>
    <w:rsid w:val="003A4199"/>
    <w:rsid w:val="003A493F"/>
    <w:rsid w:val="003A4A8E"/>
    <w:rsid w:val="003A563C"/>
    <w:rsid w:val="003A581E"/>
    <w:rsid w:val="003A6160"/>
    <w:rsid w:val="003A65A5"/>
    <w:rsid w:val="003A72F5"/>
    <w:rsid w:val="003A78E5"/>
    <w:rsid w:val="003B0341"/>
    <w:rsid w:val="003B1961"/>
    <w:rsid w:val="003B1E57"/>
    <w:rsid w:val="003B2EF3"/>
    <w:rsid w:val="003B534F"/>
    <w:rsid w:val="003B5391"/>
    <w:rsid w:val="003B54E3"/>
    <w:rsid w:val="003B58CE"/>
    <w:rsid w:val="003B65D7"/>
    <w:rsid w:val="003B65E0"/>
    <w:rsid w:val="003B6BD4"/>
    <w:rsid w:val="003B6F4D"/>
    <w:rsid w:val="003B6FE7"/>
    <w:rsid w:val="003B70CE"/>
    <w:rsid w:val="003C0C0F"/>
    <w:rsid w:val="003C0D1F"/>
    <w:rsid w:val="003C116A"/>
    <w:rsid w:val="003C1AF4"/>
    <w:rsid w:val="003C1CB8"/>
    <w:rsid w:val="003C20BB"/>
    <w:rsid w:val="003C22DA"/>
    <w:rsid w:val="003C2550"/>
    <w:rsid w:val="003C287F"/>
    <w:rsid w:val="003C2F48"/>
    <w:rsid w:val="003C3146"/>
    <w:rsid w:val="003C3251"/>
    <w:rsid w:val="003C3339"/>
    <w:rsid w:val="003C375A"/>
    <w:rsid w:val="003C4317"/>
    <w:rsid w:val="003C4C1F"/>
    <w:rsid w:val="003C4D9F"/>
    <w:rsid w:val="003C5247"/>
    <w:rsid w:val="003C5E8A"/>
    <w:rsid w:val="003C622C"/>
    <w:rsid w:val="003C6505"/>
    <w:rsid w:val="003C696A"/>
    <w:rsid w:val="003C6EBA"/>
    <w:rsid w:val="003C73C7"/>
    <w:rsid w:val="003C7CFB"/>
    <w:rsid w:val="003D050B"/>
    <w:rsid w:val="003D0A1F"/>
    <w:rsid w:val="003D0B98"/>
    <w:rsid w:val="003D0C3C"/>
    <w:rsid w:val="003D0DE5"/>
    <w:rsid w:val="003D1351"/>
    <w:rsid w:val="003D21C1"/>
    <w:rsid w:val="003D281F"/>
    <w:rsid w:val="003D2F21"/>
    <w:rsid w:val="003D369D"/>
    <w:rsid w:val="003D3B15"/>
    <w:rsid w:val="003D3B2E"/>
    <w:rsid w:val="003D4101"/>
    <w:rsid w:val="003D484D"/>
    <w:rsid w:val="003D49CB"/>
    <w:rsid w:val="003D6B8F"/>
    <w:rsid w:val="003D7566"/>
    <w:rsid w:val="003E0224"/>
    <w:rsid w:val="003E09BB"/>
    <w:rsid w:val="003E159D"/>
    <w:rsid w:val="003E20EA"/>
    <w:rsid w:val="003E210C"/>
    <w:rsid w:val="003E2F55"/>
    <w:rsid w:val="003E34DB"/>
    <w:rsid w:val="003E3833"/>
    <w:rsid w:val="003E3AF9"/>
    <w:rsid w:val="003E4A70"/>
    <w:rsid w:val="003E4C48"/>
    <w:rsid w:val="003E4CD9"/>
    <w:rsid w:val="003E52C2"/>
    <w:rsid w:val="003E54B3"/>
    <w:rsid w:val="003E5780"/>
    <w:rsid w:val="003E5B9F"/>
    <w:rsid w:val="003E5CE4"/>
    <w:rsid w:val="003E6072"/>
    <w:rsid w:val="003E6AB6"/>
    <w:rsid w:val="003E6E0B"/>
    <w:rsid w:val="003E6EF6"/>
    <w:rsid w:val="003E71CD"/>
    <w:rsid w:val="003E78DA"/>
    <w:rsid w:val="003E7A8B"/>
    <w:rsid w:val="003F0567"/>
    <w:rsid w:val="003F060E"/>
    <w:rsid w:val="003F0F7F"/>
    <w:rsid w:val="003F115C"/>
    <w:rsid w:val="003F153A"/>
    <w:rsid w:val="003F1767"/>
    <w:rsid w:val="003F1C15"/>
    <w:rsid w:val="003F23D1"/>
    <w:rsid w:val="003F2789"/>
    <w:rsid w:val="003F2A86"/>
    <w:rsid w:val="003F300D"/>
    <w:rsid w:val="003F391F"/>
    <w:rsid w:val="003F3DE6"/>
    <w:rsid w:val="003F3FA1"/>
    <w:rsid w:val="003F4599"/>
    <w:rsid w:val="003F45E1"/>
    <w:rsid w:val="003F4A81"/>
    <w:rsid w:val="003F4F6C"/>
    <w:rsid w:val="003F541C"/>
    <w:rsid w:val="003F559E"/>
    <w:rsid w:val="003F6098"/>
    <w:rsid w:val="003F6181"/>
    <w:rsid w:val="003F6B40"/>
    <w:rsid w:val="003F6BFC"/>
    <w:rsid w:val="003F6CE8"/>
    <w:rsid w:val="003F6D87"/>
    <w:rsid w:val="003F7343"/>
    <w:rsid w:val="00400002"/>
    <w:rsid w:val="00400054"/>
    <w:rsid w:val="00400134"/>
    <w:rsid w:val="004002C6"/>
    <w:rsid w:val="004004C2"/>
    <w:rsid w:val="00400707"/>
    <w:rsid w:val="004016A3"/>
    <w:rsid w:val="00401B31"/>
    <w:rsid w:val="00401BB8"/>
    <w:rsid w:val="0040202B"/>
    <w:rsid w:val="00402DE1"/>
    <w:rsid w:val="00402EEB"/>
    <w:rsid w:val="004037C2"/>
    <w:rsid w:val="00404041"/>
    <w:rsid w:val="00404B43"/>
    <w:rsid w:val="00404C61"/>
    <w:rsid w:val="00404F5D"/>
    <w:rsid w:val="00405487"/>
    <w:rsid w:val="00405730"/>
    <w:rsid w:val="00405B8A"/>
    <w:rsid w:val="0040602B"/>
    <w:rsid w:val="0040606C"/>
    <w:rsid w:val="004060DC"/>
    <w:rsid w:val="00406DF5"/>
    <w:rsid w:val="00406F35"/>
    <w:rsid w:val="004077D0"/>
    <w:rsid w:val="00407A7A"/>
    <w:rsid w:val="00407ABC"/>
    <w:rsid w:val="00407F1E"/>
    <w:rsid w:val="00410A88"/>
    <w:rsid w:val="00411317"/>
    <w:rsid w:val="00411692"/>
    <w:rsid w:val="00411A9E"/>
    <w:rsid w:val="00411F80"/>
    <w:rsid w:val="0041259F"/>
    <w:rsid w:val="00412B1B"/>
    <w:rsid w:val="00412B4D"/>
    <w:rsid w:val="00412C51"/>
    <w:rsid w:val="00413262"/>
    <w:rsid w:val="0041329C"/>
    <w:rsid w:val="004139F4"/>
    <w:rsid w:val="00413FFA"/>
    <w:rsid w:val="00414246"/>
    <w:rsid w:val="00414D9A"/>
    <w:rsid w:val="00415194"/>
    <w:rsid w:val="00415816"/>
    <w:rsid w:val="00415B88"/>
    <w:rsid w:val="00415D32"/>
    <w:rsid w:val="004160A2"/>
    <w:rsid w:val="0041674B"/>
    <w:rsid w:val="004170D7"/>
    <w:rsid w:val="004177A6"/>
    <w:rsid w:val="00417C23"/>
    <w:rsid w:val="00417EFD"/>
    <w:rsid w:val="004200EE"/>
    <w:rsid w:val="00420478"/>
    <w:rsid w:val="00420786"/>
    <w:rsid w:val="004209D2"/>
    <w:rsid w:val="00420D6E"/>
    <w:rsid w:val="0042158C"/>
    <w:rsid w:val="00421617"/>
    <w:rsid w:val="00421BD2"/>
    <w:rsid w:val="00421E00"/>
    <w:rsid w:val="00421FCB"/>
    <w:rsid w:val="0042244C"/>
    <w:rsid w:val="00422DCA"/>
    <w:rsid w:val="00423D04"/>
    <w:rsid w:val="00423F9F"/>
    <w:rsid w:val="00425C43"/>
    <w:rsid w:val="0042639C"/>
    <w:rsid w:val="00426FB4"/>
    <w:rsid w:val="004273FA"/>
    <w:rsid w:val="004275A7"/>
    <w:rsid w:val="00430186"/>
    <w:rsid w:val="00430F17"/>
    <w:rsid w:val="0043269A"/>
    <w:rsid w:val="004333C2"/>
    <w:rsid w:val="00433415"/>
    <w:rsid w:val="00434787"/>
    <w:rsid w:val="00434C13"/>
    <w:rsid w:val="00435128"/>
    <w:rsid w:val="0043549E"/>
    <w:rsid w:val="00435703"/>
    <w:rsid w:val="00435BD5"/>
    <w:rsid w:val="00436323"/>
    <w:rsid w:val="0043683F"/>
    <w:rsid w:val="00436B3F"/>
    <w:rsid w:val="00436F40"/>
    <w:rsid w:val="004370FA"/>
    <w:rsid w:val="00440096"/>
    <w:rsid w:val="004403DD"/>
    <w:rsid w:val="004405F1"/>
    <w:rsid w:val="00440CF3"/>
    <w:rsid w:val="00440DB0"/>
    <w:rsid w:val="00440DDC"/>
    <w:rsid w:val="00440FAD"/>
    <w:rsid w:val="00441291"/>
    <w:rsid w:val="00441E04"/>
    <w:rsid w:val="004420AB"/>
    <w:rsid w:val="004422D6"/>
    <w:rsid w:val="004427AC"/>
    <w:rsid w:val="00442C7D"/>
    <w:rsid w:val="00442D13"/>
    <w:rsid w:val="00442D4D"/>
    <w:rsid w:val="00442D77"/>
    <w:rsid w:val="004430D7"/>
    <w:rsid w:val="0044374D"/>
    <w:rsid w:val="00443B55"/>
    <w:rsid w:val="00443D27"/>
    <w:rsid w:val="00444038"/>
    <w:rsid w:val="0044500B"/>
    <w:rsid w:val="00446037"/>
    <w:rsid w:val="004463DB"/>
    <w:rsid w:val="0044642F"/>
    <w:rsid w:val="0044772C"/>
    <w:rsid w:val="00447C11"/>
    <w:rsid w:val="00450846"/>
    <w:rsid w:val="00451847"/>
    <w:rsid w:val="00451A52"/>
    <w:rsid w:val="00452045"/>
    <w:rsid w:val="004521DA"/>
    <w:rsid w:val="00452361"/>
    <w:rsid w:val="0045271D"/>
    <w:rsid w:val="00452755"/>
    <w:rsid w:val="00452803"/>
    <w:rsid w:val="004529C6"/>
    <w:rsid w:val="00452EAD"/>
    <w:rsid w:val="004533D1"/>
    <w:rsid w:val="004534D1"/>
    <w:rsid w:val="00453E0E"/>
    <w:rsid w:val="00454548"/>
    <w:rsid w:val="00454717"/>
    <w:rsid w:val="00455004"/>
    <w:rsid w:val="00455047"/>
    <w:rsid w:val="00455354"/>
    <w:rsid w:val="0045558D"/>
    <w:rsid w:val="00455BD3"/>
    <w:rsid w:val="004567DA"/>
    <w:rsid w:val="00456970"/>
    <w:rsid w:val="00456BB1"/>
    <w:rsid w:val="00456CD4"/>
    <w:rsid w:val="00456DDB"/>
    <w:rsid w:val="00456E61"/>
    <w:rsid w:val="00457031"/>
    <w:rsid w:val="00457882"/>
    <w:rsid w:val="00460915"/>
    <w:rsid w:val="00460946"/>
    <w:rsid w:val="00461321"/>
    <w:rsid w:val="004614A9"/>
    <w:rsid w:val="00461E97"/>
    <w:rsid w:val="0046268F"/>
    <w:rsid w:val="0046284F"/>
    <w:rsid w:val="00462B10"/>
    <w:rsid w:val="00462BB1"/>
    <w:rsid w:val="00462C04"/>
    <w:rsid w:val="0046320A"/>
    <w:rsid w:val="00463515"/>
    <w:rsid w:val="004636CC"/>
    <w:rsid w:val="004638E2"/>
    <w:rsid w:val="00464030"/>
    <w:rsid w:val="004647F8"/>
    <w:rsid w:val="004647FB"/>
    <w:rsid w:val="00465347"/>
    <w:rsid w:val="00465677"/>
    <w:rsid w:val="00466616"/>
    <w:rsid w:val="00466A0C"/>
    <w:rsid w:val="00466A53"/>
    <w:rsid w:val="00470A6A"/>
    <w:rsid w:val="00470D73"/>
    <w:rsid w:val="00470D92"/>
    <w:rsid w:val="00470E92"/>
    <w:rsid w:val="0047179C"/>
    <w:rsid w:val="00471DF7"/>
    <w:rsid w:val="004721A4"/>
    <w:rsid w:val="00472B7A"/>
    <w:rsid w:val="004734CF"/>
    <w:rsid w:val="0047586C"/>
    <w:rsid w:val="00475C5A"/>
    <w:rsid w:val="00475C9C"/>
    <w:rsid w:val="0047676B"/>
    <w:rsid w:val="0047773C"/>
    <w:rsid w:val="004777DF"/>
    <w:rsid w:val="00477C5F"/>
    <w:rsid w:val="00480050"/>
    <w:rsid w:val="0048011C"/>
    <w:rsid w:val="00480170"/>
    <w:rsid w:val="004808DE"/>
    <w:rsid w:val="00481870"/>
    <w:rsid w:val="00481AC4"/>
    <w:rsid w:val="00481DC1"/>
    <w:rsid w:val="00482507"/>
    <w:rsid w:val="0048268A"/>
    <w:rsid w:val="004831B1"/>
    <w:rsid w:val="00483379"/>
    <w:rsid w:val="004835CA"/>
    <w:rsid w:val="004836F8"/>
    <w:rsid w:val="004836FE"/>
    <w:rsid w:val="00484F0F"/>
    <w:rsid w:val="00484F40"/>
    <w:rsid w:val="0048540C"/>
    <w:rsid w:val="00485996"/>
    <w:rsid w:val="004861B4"/>
    <w:rsid w:val="00486226"/>
    <w:rsid w:val="00486BD0"/>
    <w:rsid w:val="00486D00"/>
    <w:rsid w:val="00486FF7"/>
    <w:rsid w:val="00487263"/>
    <w:rsid w:val="0048734F"/>
    <w:rsid w:val="0048742E"/>
    <w:rsid w:val="0049029D"/>
    <w:rsid w:val="0049030C"/>
    <w:rsid w:val="004903C0"/>
    <w:rsid w:val="00490D3C"/>
    <w:rsid w:val="0049114B"/>
    <w:rsid w:val="004912A8"/>
    <w:rsid w:val="00491577"/>
    <w:rsid w:val="004918E1"/>
    <w:rsid w:val="0049196A"/>
    <w:rsid w:val="0049196E"/>
    <w:rsid w:val="0049241A"/>
    <w:rsid w:val="00492C1F"/>
    <w:rsid w:val="00492E4C"/>
    <w:rsid w:val="00493664"/>
    <w:rsid w:val="004938FD"/>
    <w:rsid w:val="00493CDA"/>
    <w:rsid w:val="00493E04"/>
    <w:rsid w:val="004940E3"/>
    <w:rsid w:val="00494515"/>
    <w:rsid w:val="0049530F"/>
    <w:rsid w:val="00496664"/>
    <w:rsid w:val="00496786"/>
    <w:rsid w:val="0049695B"/>
    <w:rsid w:val="00496D8F"/>
    <w:rsid w:val="00497463"/>
    <w:rsid w:val="00497BF4"/>
    <w:rsid w:val="004A054C"/>
    <w:rsid w:val="004A08D1"/>
    <w:rsid w:val="004A0905"/>
    <w:rsid w:val="004A0F5B"/>
    <w:rsid w:val="004A16C1"/>
    <w:rsid w:val="004A1CE2"/>
    <w:rsid w:val="004A31BD"/>
    <w:rsid w:val="004A34D2"/>
    <w:rsid w:val="004A4301"/>
    <w:rsid w:val="004A4587"/>
    <w:rsid w:val="004A45E5"/>
    <w:rsid w:val="004A46AC"/>
    <w:rsid w:val="004A4D93"/>
    <w:rsid w:val="004A5719"/>
    <w:rsid w:val="004A58EE"/>
    <w:rsid w:val="004A59B7"/>
    <w:rsid w:val="004A6051"/>
    <w:rsid w:val="004A623B"/>
    <w:rsid w:val="004A6A04"/>
    <w:rsid w:val="004A6A52"/>
    <w:rsid w:val="004B07B2"/>
    <w:rsid w:val="004B0A44"/>
    <w:rsid w:val="004B0F0B"/>
    <w:rsid w:val="004B2197"/>
    <w:rsid w:val="004B298A"/>
    <w:rsid w:val="004B4DE8"/>
    <w:rsid w:val="004B50CB"/>
    <w:rsid w:val="004B512B"/>
    <w:rsid w:val="004B578D"/>
    <w:rsid w:val="004B5BE7"/>
    <w:rsid w:val="004B5E2D"/>
    <w:rsid w:val="004B6C07"/>
    <w:rsid w:val="004B74D3"/>
    <w:rsid w:val="004B755E"/>
    <w:rsid w:val="004B788E"/>
    <w:rsid w:val="004B7E5D"/>
    <w:rsid w:val="004C0F94"/>
    <w:rsid w:val="004C22F7"/>
    <w:rsid w:val="004C2A3E"/>
    <w:rsid w:val="004C2B27"/>
    <w:rsid w:val="004C3929"/>
    <w:rsid w:val="004C5212"/>
    <w:rsid w:val="004C5EF0"/>
    <w:rsid w:val="004C64C9"/>
    <w:rsid w:val="004C7226"/>
    <w:rsid w:val="004C74C9"/>
    <w:rsid w:val="004C7915"/>
    <w:rsid w:val="004C7D70"/>
    <w:rsid w:val="004D02F9"/>
    <w:rsid w:val="004D03FE"/>
    <w:rsid w:val="004D0446"/>
    <w:rsid w:val="004D06A3"/>
    <w:rsid w:val="004D0AEA"/>
    <w:rsid w:val="004D0F95"/>
    <w:rsid w:val="004D106A"/>
    <w:rsid w:val="004D1B3A"/>
    <w:rsid w:val="004D1C7E"/>
    <w:rsid w:val="004D1FB0"/>
    <w:rsid w:val="004D245A"/>
    <w:rsid w:val="004D2571"/>
    <w:rsid w:val="004D25EB"/>
    <w:rsid w:val="004D31EE"/>
    <w:rsid w:val="004D36AF"/>
    <w:rsid w:val="004D3BD1"/>
    <w:rsid w:val="004D4A64"/>
    <w:rsid w:val="004D4BA1"/>
    <w:rsid w:val="004D584D"/>
    <w:rsid w:val="004D5A7E"/>
    <w:rsid w:val="004D6120"/>
    <w:rsid w:val="004D6826"/>
    <w:rsid w:val="004D688D"/>
    <w:rsid w:val="004E023F"/>
    <w:rsid w:val="004E0546"/>
    <w:rsid w:val="004E0742"/>
    <w:rsid w:val="004E0C64"/>
    <w:rsid w:val="004E0F6B"/>
    <w:rsid w:val="004E133F"/>
    <w:rsid w:val="004E1545"/>
    <w:rsid w:val="004E1F1C"/>
    <w:rsid w:val="004E25C7"/>
    <w:rsid w:val="004E2A35"/>
    <w:rsid w:val="004E40CE"/>
    <w:rsid w:val="004E4581"/>
    <w:rsid w:val="004E5736"/>
    <w:rsid w:val="004E5A3C"/>
    <w:rsid w:val="004E5B36"/>
    <w:rsid w:val="004E5D5D"/>
    <w:rsid w:val="004E6045"/>
    <w:rsid w:val="004E6F43"/>
    <w:rsid w:val="004E7200"/>
    <w:rsid w:val="004E787E"/>
    <w:rsid w:val="004E7AA1"/>
    <w:rsid w:val="004F0960"/>
    <w:rsid w:val="004F0A5C"/>
    <w:rsid w:val="004F1596"/>
    <w:rsid w:val="004F163F"/>
    <w:rsid w:val="004F18A0"/>
    <w:rsid w:val="004F1A08"/>
    <w:rsid w:val="004F2B64"/>
    <w:rsid w:val="004F31B8"/>
    <w:rsid w:val="004F375E"/>
    <w:rsid w:val="004F3764"/>
    <w:rsid w:val="004F3EEF"/>
    <w:rsid w:val="004F5180"/>
    <w:rsid w:val="004F57C9"/>
    <w:rsid w:val="004F5930"/>
    <w:rsid w:val="004F5970"/>
    <w:rsid w:val="004F5F0C"/>
    <w:rsid w:val="004F6121"/>
    <w:rsid w:val="004F6161"/>
    <w:rsid w:val="004F66BC"/>
    <w:rsid w:val="004F6C26"/>
    <w:rsid w:val="004F7AC9"/>
    <w:rsid w:val="0050039C"/>
    <w:rsid w:val="0050062F"/>
    <w:rsid w:val="00500CD7"/>
    <w:rsid w:val="00500E74"/>
    <w:rsid w:val="0050160F"/>
    <w:rsid w:val="0050273B"/>
    <w:rsid w:val="0050284E"/>
    <w:rsid w:val="00502911"/>
    <w:rsid w:val="0050306F"/>
    <w:rsid w:val="00503EC8"/>
    <w:rsid w:val="00505DCB"/>
    <w:rsid w:val="00507508"/>
    <w:rsid w:val="005075CA"/>
    <w:rsid w:val="00507B06"/>
    <w:rsid w:val="00507BF1"/>
    <w:rsid w:val="0051074C"/>
    <w:rsid w:val="0051099D"/>
    <w:rsid w:val="00510DE9"/>
    <w:rsid w:val="00510E2B"/>
    <w:rsid w:val="005111E2"/>
    <w:rsid w:val="00511231"/>
    <w:rsid w:val="00512C4F"/>
    <w:rsid w:val="00513042"/>
    <w:rsid w:val="0051334F"/>
    <w:rsid w:val="00513399"/>
    <w:rsid w:val="00513AF2"/>
    <w:rsid w:val="00514575"/>
    <w:rsid w:val="00514C03"/>
    <w:rsid w:val="00514D67"/>
    <w:rsid w:val="0051522A"/>
    <w:rsid w:val="00515515"/>
    <w:rsid w:val="0051635C"/>
    <w:rsid w:val="00516C5B"/>
    <w:rsid w:val="00516FA0"/>
    <w:rsid w:val="00517612"/>
    <w:rsid w:val="00517CFB"/>
    <w:rsid w:val="00517F85"/>
    <w:rsid w:val="00520235"/>
    <w:rsid w:val="00520899"/>
    <w:rsid w:val="00520922"/>
    <w:rsid w:val="005209FC"/>
    <w:rsid w:val="00520C09"/>
    <w:rsid w:val="00521A30"/>
    <w:rsid w:val="005224E5"/>
    <w:rsid w:val="00523903"/>
    <w:rsid w:val="005239B6"/>
    <w:rsid w:val="00523C45"/>
    <w:rsid w:val="00523EE1"/>
    <w:rsid w:val="00523F41"/>
    <w:rsid w:val="00524165"/>
    <w:rsid w:val="00524657"/>
    <w:rsid w:val="005246E7"/>
    <w:rsid w:val="00524B08"/>
    <w:rsid w:val="00524C38"/>
    <w:rsid w:val="00524FD2"/>
    <w:rsid w:val="00525621"/>
    <w:rsid w:val="00526431"/>
    <w:rsid w:val="00526807"/>
    <w:rsid w:val="00526BBF"/>
    <w:rsid w:val="00527532"/>
    <w:rsid w:val="00527DEB"/>
    <w:rsid w:val="00527E57"/>
    <w:rsid w:val="00527F2C"/>
    <w:rsid w:val="005302C8"/>
    <w:rsid w:val="00530405"/>
    <w:rsid w:val="00530522"/>
    <w:rsid w:val="005305E5"/>
    <w:rsid w:val="0053080E"/>
    <w:rsid w:val="0053086F"/>
    <w:rsid w:val="00530CBA"/>
    <w:rsid w:val="00530DD7"/>
    <w:rsid w:val="00530DFE"/>
    <w:rsid w:val="00530F38"/>
    <w:rsid w:val="00531E9A"/>
    <w:rsid w:val="00531F26"/>
    <w:rsid w:val="0053277C"/>
    <w:rsid w:val="005327C0"/>
    <w:rsid w:val="00532B61"/>
    <w:rsid w:val="00532D63"/>
    <w:rsid w:val="00533101"/>
    <w:rsid w:val="00533CA9"/>
    <w:rsid w:val="005346AD"/>
    <w:rsid w:val="00534A10"/>
    <w:rsid w:val="00534EFB"/>
    <w:rsid w:val="00534F60"/>
    <w:rsid w:val="005357F1"/>
    <w:rsid w:val="00535D15"/>
    <w:rsid w:val="00536053"/>
    <w:rsid w:val="005369E6"/>
    <w:rsid w:val="005371AC"/>
    <w:rsid w:val="00537672"/>
    <w:rsid w:val="0053772F"/>
    <w:rsid w:val="00537A70"/>
    <w:rsid w:val="00537B64"/>
    <w:rsid w:val="00537B77"/>
    <w:rsid w:val="00540C4C"/>
    <w:rsid w:val="00541469"/>
    <w:rsid w:val="00541571"/>
    <w:rsid w:val="00541B1F"/>
    <w:rsid w:val="0054275A"/>
    <w:rsid w:val="005428B8"/>
    <w:rsid w:val="005428BE"/>
    <w:rsid w:val="00542BD7"/>
    <w:rsid w:val="00543084"/>
    <w:rsid w:val="00543584"/>
    <w:rsid w:val="00543A9E"/>
    <w:rsid w:val="0054413A"/>
    <w:rsid w:val="00544288"/>
    <w:rsid w:val="005446BB"/>
    <w:rsid w:val="00544DA5"/>
    <w:rsid w:val="00544F43"/>
    <w:rsid w:val="00545753"/>
    <w:rsid w:val="00545E30"/>
    <w:rsid w:val="00545EA3"/>
    <w:rsid w:val="00546C9B"/>
    <w:rsid w:val="00547BF6"/>
    <w:rsid w:val="00547FB3"/>
    <w:rsid w:val="00551098"/>
    <w:rsid w:val="00551598"/>
    <w:rsid w:val="0055162B"/>
    <w:rsid w:val="005516B3"/>
    <w:rsid w:val="00551A56"/>
    <w:rsid w:val="00551BFF"/>
    <w:rsid w:val="00551D68"/>
    <w:rsid w:val="00551DFF"/>
    <w:rsid w:val="005525C9"/>
    <w:rsid w:val="00552A20"/>
    <w:rsid w:val="00552B3E"/>
    <w:rsid w:val="005535B9"/>
    <w:rsid w:val="005546CD"/>
    <w:rsid w:val="00554D57"/>
    <w:rsid w:val="005551AA"/>
    <w:rsid w:val="0055604C"/>
    <w:rsid w:val="005564CA"/>
    <w:rsid w:val="005568EA"/>
    <w:rsid w:val="00557140"/>
    <w:rsid w:val="0055715A"/>
    <w:rsid w:val="0055729E"/>
    <w:rsid w:val="00557984"/>
    <w:rsid w:val="00557A3F"/>
    <w:rsid w:val="00560C87"/>
    <w:rsid w:val="00560F51"/>
    <w:rsid w:val="00561249"/>
    <w:rsid w:val="0056182B"/>
    <w:rsid w:val="00561A88"/>
    <w:rsid w:val="00561AF3"/>
    <w:rsid w:val="00561E0B"/>
    <w:rsid w:val="00562141"/>
    <w:rsid w:val="00562A19"/>
    <w:rsid w:val="00562D86"/>
    <w:rsid w:val="00564704"/>
    <w:rsid w:val="00564712"/>
    <w:rsid w:val="005657A8"/>
    <w:rsid w:val="00565952"/>
    <w:rsid w:val="00566866"/>
    <w:rsid w:val="00566E9D"/>
    <w:rsid w:val="005670A5"/>
    <w:rsid w:val="00567285"/>
    <w:rsid w:val="00567368"/>
    <w:rsid w:val="00567723"/>
    <w:rsid w:val="0056772D"/>
    <w:rsid w:val="005678F5"/>
    <w:rsid w:val="00567AB8"/>
    <w:rsid w:val="00570A26"/>
    <w:rsid w:val="00570C49"/>
    <w:rsid w:val="00570CFD"/>
    <w:rsid w:val="00570D7D"/>
    <w:rsid w:val="00571872"/>
    <w:rsid w:val="00571993"/>
    <w:rsid w:val="0057221F"/>
    <w:rsid w:val="00572421"/>
    <w:rsid w:val="00572539"/>
    <w:rsid w:val="00573355"/>
    <w:rsid w:val="0057337D"/>
    <w:rsid w:val="00573504"/>
    <w:rsid w:val="00573BA3"/>
    <w:rsid w:val="005746B2"/>
    <w:rsid w:val="00574708"/>
    <w:rsid w:val="00574D81"/>
    <w:rsid w:val="005756AA"/>
    <w:rsid w:val="0057696F"/>
    <w:rsid w:val="00576DB6"/>
    <w:rsid w:val="00577379"/>
    <w:rsid w:val="005774FE"/>
    <w:rsid w:val="005776CB"/>
    <w:rsid w:val="00577D2E"/>
    <w:rsid w:val="005803E7"/>
    <w:rsid w:val="0058040C"/>
    <w:rsid w:val="00580D6D"/>
    <w:rsid w:val="005813DE"/>
    <w:rsid w:val="00581796"/>
    <w:rsid w:val="00581B45"/>
    <w:rsid w:val="00582480"/>
    <w:rsid w:val="00582805"/>
    <w:rsid w:val="0058290E"/>
    <w:rsid w:val="00582CAB"/>
    <w:rsid w:val="00582FA6"/>
    <w:rsid w:val="005836D5"/>
    <w:rsid w:val="0058375E"/>
    <w:rsid w:val="00584233"/>
    <w:rsid w:val="005842D0"/>
    <w:rsid w:val="005843E8"/>
    <w:rsid w:val="005845FB"/>
    <w:rsid w:val="005855AE"/>
    <w:rsid w:val="00585829"/>
    <w:rsid w:val="00585CA8"/>
    <w:rsid w:val="00586412"/>
    <w:rsid w:val="005864B9"/>
    <w:rsid w:val="005866C4"/>
    <w:rsid w:val="00590F1A"/>
    <w:rsid w:val="0059114D"/>
    <w:rsid w:val="00591216"/>
    <w:rsid w:val="00591C03"/>
    <w:rsid w:val="00591E2A"/>
    <w:rsid w:val="00592181"/>
    <w:rsid w:val="005923C4"/>
    <w:rsid w:val="005938C3"/>
    <w:rsid w:val="00593EA2"/>
    <w:rsid w:val="00593F75"/>
    <w:rsid w:val="005940A0"/>
    <w:rsid w:val="0059429A"/>
    <w:rsid w:val="00594A54"/>
    <w:rsid w:val="00594BC9"/>
    <w:rsid w:val="00594CBE"/>
    <w:rsid w:val="00595AF6"/>
    <w:rsid w:val="00596AF7"/>
    <w:rsid w:val="00596CCE"/>
    <w:rsid w:val="005A1976"/>
    <w:rsid w:val="005A2120"/>
    <w:rsid w:val="005A2501"/>
    <w:rsid w:val="005A2C80"/>
    <w:rsid w:val="005A3066"/>
    <w:rsid w:val="005A3B35"/>
    <w:rsid w:val="005A3C4B"/>
    <w:rsid w:val="005A3E5A"/>
    <w:rsid w:val="005A43F3"/>
    <w:rsid w:val="005A456C"/>
    <w:rsid w:val="005A47B3"/>
    <w:rsid w:val="005A496F"/>
    <w:rsid w:val="005A4A56"/>
    <w:rsid w:val="005A4F69"/>
    <w:rsid w:val="005A5608"/>
    <w:rsid w:val="005A5A3D"/>
    <w:rsid w:val="005A6035"/>
    <w:rsid w:val="005A6B75"/>
    <w:rsid w:val="005A6E00"/>
    <w:rsid w:val="005A718A"/>
    <w:rsid w:val="005A7885"/>
    <w:rsid w:val="005B12B2"/>
    <w:rsid w:val="005B143B"/>
    <w:rsid w:val="005B19BD"/>
    <w:rsid w:val="005B1E45"/>
    <w:rsid w:val="005B21C4"/>
    <w:rsid w:val="005B2206"/>
    <w:rsid w:val="005B2A28"/>
    <w:rsid w:val="005B3621"/>
    <w:rsid w:val="005B3EBE"/>
    <w:rsid w:val="005B4948"/>
    <w:rsid w:val="005B501D"/>
    <w:rsid w:val="005B54CC"/>
    <w:rsid w:val="005B74AD"/>
    <w:rsid w:val="005B7E96"/>
    <w:rsid w:val="005C0297"/>
    <w:rsid w:val="005C0429"/>
    <w:rsid w:val="005C084F"/>
    <w:rsid w:val="005C0EE9"/>
    <w:rsid w:val="005C0FC4"/>
    <w:rsid w:val="005C16A8"/>
    <w:rsid w:val="005C1716"/>
    <w:rsid w:val="005C1954"/>
    <w:rsid w:val="005C1C0B"/>
    <w:rsid w:val="005C1F78"/>
    <w:rsid w:val="005C2011"/>
    <w:rsid w:val="005C3EA3"/>
    <w:rsid w:val="005C44DE"/>
    <w:rsid w:val="005C5011"/>
    <w:rsid w:val="005C5241"/>
    <w:rsid w:val="005C529E"/>
    <w:rsid w:val="005C57BA"/>
    <w:rsid w:val="005C5C52"/>
    <w:rsid w:val="005C5D3D"/>
    <w:rsid w:val="005C5F05"/>
    <w:rsid w:val="005C6186"/>
    <w:rsid w:val="005C6247"/>
    <w:rsid w:val="005C67B5"/>
    <w:rsid w:val="005C7E45"/>
    <w:rsid w:val="005C7EFA"/>
    <w:rsid w:val="005C7F3E"/>
    <w:rsid w:val="005D065E"/>
    <w:rsid w:val="005D06D3"/>
    <w:rsid w:val="005D0C3B"/>
    <w:rsid w:val="005D1051"/>
    <w:rsid w:val="005D1606"/>
    <w:rsid w:val="005D2044"/>
    <w:rsid w:val="005D209E"/>
    <w:rsid w:val="005D2917"/>
    <w:rsid w:val="005D2EB2"/>
    <w:rsid w:val="005D2F48"/>
    <w:rsid w:val="005D3795"/>
    <w:rsid w:val="005D3B32"/>
    <w:rsid w:val="005D464B"/>
    <w:rsid w:val="005D466F"/>
    <w:rsid w:val="005D49F0"/>
    <w:rsid w:val="005D51F7"/>
    <w:rsid w:val="005D51FA"/>
    <w:rsid w:val="005D53E8"/>
    <w:rsid w:val="005D5A9D"/>
    <w:rsid w:val="005D5D15"/>
    <w:rsid w:val="005D6651"/>
    <w:rsid w:val="005D691D"/>
    <w:rsid w:val="005D6A72"/>
    <w:rsid w:val="005D6F38"/>
    <w:rsid w:val="005D7544"/>
    <w:rsid w:val="005D789F"/>
    <w:rsid w:val="005D791B"/>
    <w:rsid w:val="005D7CF2"/>
    <w:rsid w:val="005D7F92"/>
    <w:rsid w:val="005E062C"/>
    <w:rsid w:val="005E0D7B"/>
    <w:rsid w:val="005E1595"/>
    <w:rsid w:val="005E1F1D"/>
    <w:rsid w:val="005E273D"/>
    <w:rsid w:val="005E3278"/>
    <w:rsid w:val="005E363B"/>
    <w:rsid w:val="005E3736"/>
    <w:rsid w:val="005E38E9"/>
    <w:rsid w:val="005E3AF3"/>
    <w:rsid w:val="005E4B72"/>
    <w:rsid w:val="005E52C9"/>
    <w:rsid w:val="005F02D8"/>
    <w:rsid w:val="005F1D88"/>
    <w:rsid w:val="005F24CC"/>
    <w:rsid w:val="005F305B"/>
    <w:rsid w:val="005F3361"/>
    <w:rsid w:val="005F3ACA"/>
    <w:rsid w:val="005F3B47"/>
    <w:rsid w:val="005F4481"/>
    <w:rsid w:val="005F47AC"/>
    <w:rsid w:val="005F49AF"/>
    <w:rsid w:val="005F4A58"/>
    <w:rsid w:val="005F54DF"/>
    <w:rsid w:val="005F5888"/>
    <w:rsid w:val="005F5984"/>
    <w:rsid w:val="005F5EAB"/>
    <w:rsid w:val="005F6CE2"/>
    <w:rsid w:val="005F6EC8"/>
    <w:rsid w:val="005F6F24"/>
    <w:rsid w:val="005F72E9"/>
    <w:rsid w:val="005F7701"/>
    <w:rsid w:val="005F774D"/>
    <w:rsid w:val="005F780B"/>
    <w:rsid w:val="0060009B"/>
    <w:rsid w:val="006003E9"/>
    <w:rsid w:val="00600473"/>
    <w:rsid w:val="0060079A"/>
    <w:rsid w:val="0060083D"/>
    <w:rsid w:val="0060139A"/>
    <w:rsid w:val="006013C9"/>
    <w:rsid w:val="00601B66"/>
    <w:rsid w:val="00601FC4"/>
    <w:rsid w:val="00602B45"/>
    <w:rsid w:val="00603499"/>
    <w:rsid w:val="006035F5"/>
    <w:rsid w:val="00603CC2"/>
    <w:rsid w:val="006042CD"/>
    <w:rsid w:val="006047D1"/>
    <w:rsid w:val="006048A4"/>
    <w:rsid w:val="00604A55"/>
    <w:rsid w:val="00604D4E"/>
    <w:rsid w:val="00604E3E"/>
    <w:rsid w:val="00605AC3"/>
    <w:rsid w:val="00606908"/>
    <w:rsid w:val="00607996"/>
    <w:rsid w:val="00607A37"/>
    <w:rsid w:val="00607E9F"/>
    <w:rsid w:val="0061085E"/>
    <w:rsid w:val="00610FBF"/>
    <w:rsid w:val="00611398"/>
    <w:rsid w:val="006113B4"/>
    <w:rsid w:val="0061186D"/>
    <w:rsid w:val="00611DA7"/>
    <w:rsid w:val="00612322"/>
    <w:rsid w:val="006123C0"/>
    <w:rsid w:val="00613191"/>
    <w:rsid w:val="006133F9"/>
    <w:rsid w:val="006134B3"/>
    <w:rsid w:val="00613DE1"/>
    <w:rsid w:val="0061401F"/>
    <w:rsid w:val="00614166"/>
    <w:rsid w:val="00614817"/>
    <w:rsid w:val="006149CC"/>
    <w:rsid w:val="006157A9"/>
    <w:rsid w:val="0061591D"/>
    <w:rsid w:val="00615ED0"/>
    <w:rsid w:val="0061604C"/>
    <w:rsid w:val="00616C2B"/>
    <w:rsid w:val="00616D7F"/>
    <w:rsid w:val="006178D1"/>
    <w:rsid w:val="00617A5B"/>
    <w:rsid w:val="00620210"/>
    <w:rsid w:val="00620719"/>
    <w:rsid w:val="006212C9"/>
    <w:rsid w:val="00621A72"/>
    <w:rsid w:val="00621D0C"/>
    <w:rsid w:val="00622229"/>
    <w:rsid w:val="00622470"/>
    <w:rsid w:val="00622725"/>
    <w:rsid w:val="006231AA"/>
    <w:rsid w:val="00623482"/>
    <w:rsid w:val="00623AC2"/>
    <w:rsid w:val="00623EBC"/>
    <w:rsid w:val="006251D3"/>
    <w:rsid w:val="00625642"/>
    <w:rsid w:val="00625A4F"/>
    <w:rsid w:val="00626133"/>
    <w:rsid w:val="006266D7"/>
    <w:rsid w:val="00626D1E"/>
    <w:rsid w:val="00626D42"/>
    <w:rsid w:val="00626EE3"/>
    <w:rsid w:val="006274AD"/>
    <w:rsid w:val="00627519"/>
    <w:rsid w:val="00627532"/>
    <w:rsid w:val="006302AA"/>
    <w:rsid w:val="00630778"/>
    <w:rsid w:val="006307FD"/>
    <w:rsid w:val="00630845"/>
    <w:rsid w:val="00631059"/>
    <w:rsid w:val="006310C3"/>
    <w:rsid w:val="00631245"/>
    <w:rsid w:val="006312E1"/>
    <w:rsid w:val="0063161E"/>
    <w:rsid w:val="00631BB5"/>
    <w:rsid w:val="00631DD0"/>
    <w:rsid w:val="00633DBF"/>
    <w:rsid w:val="00634122"/>
    <w:rsid w:val="0063444B"/>
    <w:rsid w:val="00635E32"/>
    <w:rsid w:val="006360FC"/>
    <w:rsid w:val="006361C9"/>
    <w:rsid w:val="0063625F"/>
    <w:rsid w:val="006365DE"/>
    <w:rsid w:val="00636BE4"/>
    <w:rsid w:val="00636F88"/>
    <w:rsid w:val="0063732C"/>
    <w:rsid w:val="00637802"/>
    <w:rsid w:val="00637836"/>
    <w:rsid w:val="00637C26"/>
    <w:rsid w:val="00637F44"/>
    <w:rsid w:val="00641078"/>
    <w:rsid w:val="00641242"/>
    <w:rsid w:val="00642A32"/>
    <w:rsid w:val="00642CD5"/>
    <w:rsid w:val="00642D7A"/>
    <w:rsid w:val="006433D5"/>
    <w:rsid w:val="00643412"/>
    <w:rsid w:val="00645CEB"/>
    <w:rsid w:val="00646B20"/>
    <w:rsid w:val="00646D0F"/>
    <w:rsid w:val="00646D57"/>
    <w:rsid w:val="00646D69"/>
    <w:rsid w:val="00647A36"/>
    <w:rsid w:val="00647DCC"/>
    <w:rsid w:val="00647E07"/>
    <w:rsid w:val="00647EFA"/>
    <w:rsid w:val="00647F14"/>
    <w:rsid w:val="00650027"/>
    <w:rsid w:val="00650BBF"/>
    <w:rsid w:val="00650E89"/>
    <w:rsid w:val="00651B9C"/>
    <w:rsid w:val="00651C47"/>
    <w:rsid w:val="00651D91"/>
    <w:rsid w:val="00652E70"/>
    <w:rsid w:val="0065339A"/>
    <w:rsid w:val="00653469"/>
    <w:rsid w:val="00653A14"/>
    <w:rsid w:val="0065443A"/>
    <w:rsid w:val="00654A38"/>
    <w:rsid w:val="00655301"/>
    <w:rsid w:val="00655371"/>
    <w:rsid w:val="00655502"/>
    <w:rsid w:val="00655507"/>
    <w:rsid w:val="006559C8"/>
    <w:rsid w:val="00656855"/>
    <w:rsid w:val="00656C4B"/>
    <w:rsid w:val="00656EEE"/>
    <w:rsid w:val="006572A7"/>
    <w:rsid w:val="006573EA"/>
    <w:rsid w:val="006606A4"/>
    <w:rsid w:val="00660748"/>
    <w:rsid w:val="00661029"/>
    <w:rsid w:val="006610C3"/>
    <w:rsid w:val="0066135A"/>
    <w:rsid w:val="006618E4"/>
    <w:rsid w:val="00661A38"/>
    <w:rsid w:val="0066272D"/>
    <w:rsid w:val="00662E58"/>
    <w:rsid w:val="00662F39"/>
    <w:rsid w:val="006635A0"/>
    <w:rsid w:val="00663A26"/>
    <w:rsid w:val="00663D26"/>
    <w:rsid w:val="00664351"/>
    <w:rsid w:val="00665968"/>
    <w:rsid w:val="00665BF7"/>
    <w:rsid w:val="006660F0"/>
    <w:rsid w:val="00666178"/>
    <w:rsid w:val="0066639E"/>
    <w:rsid w:val="00666473"/>
    <w:rsid w:val="00666C72"/>
    <w:rsid w:val="00666E6C"/>
    <w:rsid w:val="0066707F"/>
    <w:rsid w:val="0066711D"/>
    <w:rsid w:val="00667ED8"/>
    <w:rsid w:val="00667F76"/>
    <w:rsid w:val="0067064C"/>
    <w:rsid w:val="00670B20"/>
    <w:rsid w:val="00670E12"/>
    <w:rsid w:val="00670F27"/>
    <w:rsid w:val="00671BF1"/>
    <w:rsid w:val="00671E42"/>
    <w:rsid w:val="0067271C"/>
    <w:rsid w:val="00672E80"/>
    <w:rsid w:val="0067333F"/>
    <w:rsid w:val="006739E4"/>
    <w:rsid w:val="00673DD7"/>
    <w:rsid w:val="00673ECF"/>
    <w:rsid w:val="0067426B"/>
    <w:rsid w:val="00674800"/>
    <w:rsid w:val="00674A1B"/>
    <w:rsid w:val="00674F1C"/>
    <w:rsid w:val="006754F8"/>
    <w:rsid w:val="00676127"/>
    <w:rsid w:val="00676AED"/>
    <w:rsid w:val="006771DA"/>
    <w:rsid w:val="00677212"/>
    <w:rsid w:val="00677B26"/>
    <w:rsid w:val="00677F26"/>
    <w:rsid w:val="006800EE"/>
    <w:rsid w:val="006802A7"/>
    <w:rsid w:val="00680A86"/>
    <w:rsid w:val="006811C9"/>
    <w:rsid w:val="006812CE"/>
    <w:rsid w:val="00682640"/>
    <w:rsid w:val="006826C1"/>
    <w:rsid w:val="00682C89"/>
    <w:rsid w:val="006832B8"/>
    <w:rsid w:val="006837B2"/>
    <w:rsid w:val="00683800"/>
    <w:rsid w:val="00684462"/>
    <w:rsid w:val="00684C0D"/>
    <w:rsid w:val="00684C8A"/>
    <w:rsid w:val="00684CF5"/>
    <w:rsid w:val="0068553E"/>
    <w:rsid w:val="0068557F"/>
    <w:rsid w:val="00685D37"/>
    <w:rsid w:val="00685E7B"/>
    <w:rsid w:val="00686551"/>
    <w:rsid w:val="00686AD4"/>
    <w:rsid w:val="00686CAB"/>
    <w:rsid w:val="0068717F"/>
    <w:rsid w:val="0068730C"/>
    <w:rsid w:val="00687504"/>
    <w:rsid w:val="00687A14"/>
    <w:rsid w:val="00687A8C"/>
    <w:rsid w:val="00690839"/>
    <w:rsid w:val="006908DB"/>
    <w:rsid w:val="00690DE9"/>
    <w:rsid w:val="00691563"/>
    <w:rsid w:val="00691DE9"/>
    <w:rsid w:val="00691EAA"/>
    <w:rsid w:val="00692245"/>
    <w:rsid w:val="00692745"/>
    <w:rsid w:val="00692FCD"/>
    <w:rsid w:val="00692FFA"/>
    <w:rsid w:val="00693772"/>
    <w:rsid w:val="00693984"/>
    <w:rsid w:val="00693B77"/>
    <w:rsid w:val="00694160"/>
    <w:rsid w:val="006959A5"/>
    <w:rsid w:val="00695C0C"/>
    <w:rsid w:val="00696603"/>
    <w:rsid w:val="00696736"/>
    <w:rsid w:val="00696A05"/>
    <w:rsid w:val="00697665"/>
    <w:rsid w:val="006978E1"/>
    <w:rsid w:val="00697C9A"/>
    <w:rsid w:val="00697E68"/>
    <w:rsid w:val="00697FC1"/>
    <w:rsid w:val="006A0274"/>
    <w:rsid w:val="006A112B"/>
    <w:rsid w:val="006A1137"/>
    <w:rsid w:val="006A27BC"/>
    <w:rsid w:val="006A2948"/>
    <w:rsid w:val="006A2A43"/>
    <w:rsid w:val="006A2BF1"/>
    <w:rsid w:val="006A2F9A"/>
    <w:rsid w:val="006A34E4"/>
    <w:rsid w:val="006A3A5A"/>
    <w:rsid w:val="006A44CF"/>
    <w:rsid w:val="006A457D"/>
    <w:rsid w:val="006A4C06"/>
    <w:rsid w:val="006A55EE"/>
    <w:rsid w:val="006A575B"/>
    <w:rsid w:val="006A59DE"/>
    <w:rsid w:val="006A5DEE"/>
    <w:rsid w:val="006A64C6"/>
    <w:rsid w:val="006A6655"/>
    <w:rsid w:val="006A6BF9"/>
    <w:rsid w:val="006A7CB5"/>
    <w:rsid w:val="006A7FD0"/>
    <w:rsid w:val="006B025C"/>
    <w:rsid w:val="006B08ED"/>
    <w:rsid w:val="006B2534"/>
    <w:rsid w:val="006B28DE"/>
    <w:rsid w:val="006B2CB2"/>
    <w:rsid w:val="006B347D"/>
    <w:rsid w:val="006B3E19"/>
    <w:rsid w:val="006B3EB4"/>
    <w:rsid w:val="006B4488"/>
    <w:rsid w:val="006B50C4"/>
    <w:rsid w:val="006B53AE"/>
    <w:rsid w:val="006B56FA"/>
    <w:rsid w:val="006B58B4"/>
    <w:rsid w:val="006B67AC"/>
    <w:rsid w:val="006B786A"/>
    <w:rsid w:val="006B7E4E"/>
    <w:rsid w:val="006C003A"/>
    <w:rsid w:val="006C0630"/>
    <w:rsid w:val="006C0AB9"/>
    <w:rsid w:val="006C107C"/>
    <w:rsid w:val="006C189C"/>
    <w:rsid w:val="006C1E1F"/>
    <w:rsid w:val="006C2454"/>
    <w:rsid w:val="006C2551"/>
    <w:rsid w:val="006C37CA"/>
    <w:rsid w:val="006C40D2"/>
    <w:rsid w:val="006C4684"/>
    <w:rsid w:val="006C4B85"/>
    <w:rsid w:val="006C4BBD"/>
    <w:rsid w:val="006C5B15"/>
    <w:rsid w:val="006C5D32"/>
    <w:rsid w:val="006C5DCB"/>
    <w:rsid w:val="006C6475"/>
    <w:rsid w:val="006C6D82"/>
    <w:rsid w:val="006C70C4"/>
    <w:rsid w:val="006C741F"/>
    <w:rsid w:val="006D04DA"/>
    <w:rsid w:val="006D10F6"/>
    <w:rsid w:val="006D1544"/>
    <w:rsid w:val="006D1688"/>
    <w:rsid w:val="006D1BE1"/>
    <w:rsid w:val="006D1DD3"/>
    <w:rsid w:val="006D1FF3"/>
    <w:rsid w:val="006D2C65"/>
    <w:rsid w:val="006D2DB7"/>
    <w:rsid w:val="006D32C6"/>
    <w:rsid w:val="006D360E"/>
    <w:rsid w:val="006D3697"/>
    <w:rsid w:val="006D39D2"/>
    <w:rsid w:val="006D3A94"/>
    <w:rsid w:val="006D3F2A"/>
    <w:rsid w:val="006D4370"/>
    <w:rsid w:val="006D46A3"/>
    <w:rsid w:val="006D4AB2"/>
    <w:rsid w:val="006D4E32"/>
    <w:rsid w:val="006D5B5C"/>
    <w:rsid w:val="006D5DCB"/>
    <w:rsid w:val="006D62E0"/>
    <w:rsid w:val="006D658F"/>
    <w:rsid w:val="006D6A12"/>
    <w:rsid w:val="006D712D"/>
    <w:rsid w:val="006D7687"/>
    <w:rsid w:val="006D7D1F"/>
    <w:rsid w:val="006D7D8A"/>
    <w:rsid w:val="006E046C"/>
    <w:rsid w:val="006E0572"/>
    <w:rsid w:val="006E05D8"/>
    <w:rsid w:val="006E0628"/>
    <w:rsid w:val="006E08EE"/>
    <w:rsid w:val="006E155A"/>
    <w:rsid w:val="006E2C34"/>
    <w:rsid w:val="006E359B"/>
    <w:rsid w:val="006E39D1"/>
    <w:rsid w:val="006E3B05"/>
    <w:rsid w:val="006E437F"/>
    <w:rsid w:val="006E4D5B"/>
    <w:rsid w:val="006E53CB"/>
    <w:rsid w:val="006E602F"/>
    <w:rsid w:val="006E6720"/>
    <w:rsid w:val="006E7275"/>
    <w:rsid w:val="006E77B8"/>
    <w:rsid w:val="006E77DF"/>
    <w:rsid w:val="006E7AAF"/>
    <w:rsid w:val="006F0F74"/>
    <w:rsid w:val="006F13BA"/>
    <w:rsid w:val="006F15CC"/>
    <w:rsid w:val="006F15F6"/>
    <w:rsid w:val="006F275F"/>
    <w:rsid w:val="006F2AE6"/>
    <w:rsid w:val="006F36EA"/>
    <w:rsid w:val="006F3D9B"/>
    <w:rsid w:val="006F4147"/>
    <w:rsid w:val="006F4315"/>
    <w:rsid w:val="006F4CB0"/>
    <w:rsid w:val="006F4F78"/>
    <w:rsid w:val="006F547E"/>
    <w:rsid w:val="006F5CCF"/>
    <w:rsid w:val="006F6469"/>
    <w:rsid w:val="006F6F04"/>
    <w:rsid w:val="006F71F5"/>
    <w:rsid w:val="007000A6"/>
    <w:rsid w:val="00700610"/>
    <w:rsid w:val="00700BDE"/>
    <w:rsid w:val="00700D8C"/>
    <w:rsid w:val="0070138A"/>
    <w:rsid w:val="0070157E"/>
    <w:rsid w:val="007030D4"/>
    <w:rsid w:val="00703279"/>
    <w:rsid w:val="00703B61"/>
    <w:rsid w:val="00703E11"/>
    <w:rsid w:val="00703F76"/>
    <w:rsid w:val="00704102"/>
    <w:rsid w:val="0070437C"/>
    <w:rsid w:val="007045D8"/>
    <w:rsid w:val="0070461C"/>
    <w:rsid w:val="00704B3D"/>
    <w:rsid w:val="00705631"/>
    <w:rsid w:val="00705818"/>
    <w:rsid w:val="00705F62"/>
    <w:rsid w:val="00706942"/>
    <w:rsid w:val="0070773F"/>
    <w:rsid w:val="00707ED3"/>
    <w:rsid w:val="007101B7"/>
    <w:rsid w:val="00710668"/>
    <w:rsid w:val="00711019"/>
    <w:rsid w:val="007110F4"/>
    <w:rsid w:val="007112B1"/>
    <w:rsid w:val="0071130F"/>
    <w:rsid w:val="00712714"/>
    <w:rsid w:val="007129AB"/>
    <w:rsid w:val="00712B63"/>
    <w:rsid w:val="00712BC4"/>
    <w:rsid w:val="00713526"/>
    <w:rsid w:val="00713FC5"/>
    <w:rsid w:val="00714DCA"/>
    <w:rsid w:val="00715BBF"/>
    <w:rsid w:val="00715C29"/>
    <w:rsid w:val="00715CBD"/>
    <w:rsid w:val="00715EAA"/>
    <w:rsid w:val="00716119"/>
    <w:rsid w:val="00716630"/>
    <w:rsid w:val="00716CAD"/>
    <w:rsid w:val="00716F18"/>
    <w:rsid w:val="00717363"/>
    <w:rsid w:val="00717786"/>
    <w:rsid w:val="00717ACB"/>
    <w:rsid w:val="00720CDE"/>
    <w:rsid w:val="0072138B"/>
    <w:rsid w:val="00721BFF"/>
    <w:rsid w:val="00722C51"/>
    <w:rsid w:val="00723040"/>
    <w:rsid w:val="00723251"/>
    <w:rsid w:val="00723475"/>
    <w:rsid w:val="007236C4"/>
    <w:rsid w:val="00724635"/>
    <w:rsid w:val="00724F21"/>
    <w:rsid w:val="00725134"/>
    <w:rsid w:val="0072554B"/>
    <w:rsid w:val="00725AFD"/>
    <w:rsid w:val="00726603"/>
    <w:rsid w:val="007266AC"/>
    <w:rsid w:val="00726E89"/>
    <w:rsid w:val="00727B1D"/>
    <w:rsid w:val="00727DDC"/>
    <w:rsid w:val="00730CD6"/>
    <w:rsid w:val="00730F74"/>
    <w:rsid w:val="0073114B"/>
    <w:rsid w:val="00731380"/>
    <w:rsid w:val="00732029"/>
    <w:rsid w:val="00732151"/>
    <w:rsid w:val="007341D8"/>
    <w:rsid w:val="00734952"/>
    <w:rsid w:val="00734990"/>
    <w:rsid w:val="00734FF5"/>
    <w:rsid w:val="00735B78"/>
    <w:rsid w:val="00735DA7"/>
    <w:rsid w:val="00736700"/>
    <w:rsid w:val="007368B4"/>
    <w:rsid w:val="00737229"/>
    <w:rsid w:val="007378E0"/>
    <w:rsid w:val="00740529"/>
    <w:rsid w:val="00740876"/>
    <w:rsid w:val="00740C34"/>
    <w:rsid w:val="00740F18"/>
    <w:rsid w:val="00741358"/>
    <w:rsid w:val="00741626"/>
    <w:rsid w:val="00742332"/>
    <w:rsid w:val="00742886"/>
    <w:rsid w:val="00742C7F"/>
    <w:rsid w:val="00742DD2"/>
    <w:rsid w:val="007437C6"/>
    <w:rsid w:val="007441A2"/>
    <w:rsid w:val="007446F6"/>
    <w:rsid w:val="00744E80"/>
    <w:rsid w:val="00745035"/>
    <w:rsid w:val="0074531C"/>
    <w:rsid w:val="00745547"/>
    <w:rsid w:val="007459D0"/>
    <w:rsid w:val="0074623A"/>
    <w:rsid w:val="00746420"/>
    <w:rsid w:val="00746A60"/>
    <w:rsid w:val="00746E04"/>
    <w:rsid w:val="00746E08"/>
    <w:rsid w:val="00746E3D"/>
    <w:rsid w:val="007473B9"/>
    <w:rsid w:val="00747C96"/>
    <w:rsid w:val="00747CC7"/>
    <w:rsid w:val="00750075"/>
    <w:rsid w:val="007502EC"/>
    <w:rsid w:val="00750382"/>
    <w:rsid w:val="007503F1"/>
    <w:rsid w:val="0075094E"/>
    <w:rsid w:val="00750FA8"/>
    <w:rsid w:val="00750FB5"/>
    <w:rsid w:val="007520F0"/>
    <w:rsid w:val="007522E8"/>
    <w:rsid w:val="00752688"/>
    <w:rsid w:val="007529DB"/>
    <w:rsid w:val="00753479"/>
    <w:rsid w:val="007534AD"/>
    <w:rsid w:val="00753A7F"/>
    <w:rsid w:val="00753BAC"/>
    <w:rsid w:val="00754A0B"/>
    <w:rsid w:val="00755229"/>
    <w:rsid w:val="007552DB"/>
    <w:rsid w:val="0075549F"/>
    <w:rsid w:val="00755B08"/>
    <w:rsid w:val="00755DD0"/>
    <w:rsid w:val="0075647A"/>
    <w:rsid w:val="00756A2F"/>
    <w:rsid w:val="00756A7E"/>
    <w:rsid w:val="00756F05"/>
    <w:rsid w:val="007573E1"/>
    <w:rsid w:val="0075749E"/>
    <w:rsid w:val="00757722"/>
    <w:rsid w:val="00757945"/>
    <w:rsid w:val="00757B2D"/>
    <w:rsid w:val="00757BAD"/>
    <w:rsid w:val="00757D62"/>
    <w:rsid w:val="00757EB2"/>
    <w:rsid w:val="00760021"/>
    <w:rsid w:val="00760561"/>
    <w:rsid w:val="00760867"/>
    <w:rsid w:val="00760D89"/>
    <w:rsid w:val="00760EB6"/>
    <w:rsid w:val="007616DB"/>
    <w:rsid w:val="007619AB"/>
    <w:rsid w:val="00761AB7"/>
    <w:rsid w:val="00761CE6"/>
    <w:rsid w:val="0076228A"/>
    <w:rsid w:val="00762440"/>
    <w:rsid w:val="00762499"/>
    <w:rsid w:val="0076275B"/>
    <w:rsid w:val="007629B7"/>
    <w:rsid w:val="00762E60"/>
    <w:rsid w:val="007634AD"/>
    <w:rsid w:val="0076445F"/>
    <w:rsid w:val="00764EC5"/>
    <w:rsid w:val="007651EF"/>
    <w:rsid w:val="00765E92"/>
    <w:rsid w:val="00766D49"/>
    <w:rsid w:val="00766ECC"/>
    <w:rsid w:val="007672F3"/>
    <w:rsid w:val="007674AC"/>
    <w:rsid w:val="007677B5"/>
    <w:rsid w:val="007678B1"/>
    <w:rsid w:val="00767BE6"/>
    <w:rsid w:val="007708A8"/>
    <w:rsid w:val="00771B66"/>
    <w:rsid w:val="00772100"/>
    <w:rsid w:val="00772137"/>
    <w:rsid w:val="00772275"/>
    <w:rsid w:val="00772CD5"/>
    <w:rsid w:val="007734E4"/>
    <w:rsid w:val="00773719"/>
    <w:rsid w:val="0077380D"/>
    <w:rsid w:val="00773BC8"/>
    <w:rsid w:val="00774549"/>
    <w:rsid w:val="0077466F"/>
    <w:rsid w:val="007752B7"/>
    <w:rsid w:val="007759A8"/>
    <w:rsid w:val="00775C27"/>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86B"/>
    <w:rsid w:val="00782D2C"/>
    <w:rsid w:val="00782FC2"/>
    <w:rsid w:val="0078347A"/>
    <w:rsid w:val="00783EB0"/>
    <w:rsid w:val="00784938"/>
    <w:rsid w:val="00784FC4"/>
    <w:rsid w:val="00785BBB"/>
    <w:rsid w:val="00786937"/>
    <w:rsid w:val="00786FAD"/>
    <w:rsid w:val="00787A27"/>
    <w:rsid w:val="00787B1B"/>
    <w:rsid w:val="00787D90"/>
    <w:rsid w:val="00787F5E"/>
    <w:rsid w:val="00790164"/>
    <w:rsid w:val="007905C6"/>
    <w:rsid w:val="007906F9"/>
    <w:rsid w:val="00790A24"/>
    <w:rsid w:val="00790A37"/>
    <w:rsid w:val="00790A60"/>
    <w:rsid w:val="0079146D"/>
    <w:rsid w:val="00791C32"/>
    <w:rsid w:val="00791FF0"/>
    <w:rsid w:val="007923D0"/>
    <w:rsid w:val="007930D3"/>
    <w:rsid w:val="0079381F"/>
    <w:rsid w:val="007938E6"/>
    <w:rsid w:val="00793A57"/>
    <w:rsid w:val="00793B2E"/>
    <w:rsid w:val="007948F5"/>
    <w:rsid w:val="00795647"/>
    <w:rsid w:val="00795887"/>
    <w:rsid w:val="007963F6"/>
    <w:rsid w:val="00796D63"/>
    <w:rsid w:val="00796DC8"/>
    <w:rsid w:val="00796E80"/>
    <w:rsid w:val="00797001"/>
    <w:rsid w:val="0079744F"/>
    <w:rsid w:val="0079776F"/>
    <w:rsid w:val="007979AD"/>
    <w:rsid w:val="00797A9C"/>
    <w:rsid w:val="007A0EAB"/>
    <w:rsid w:val="007A233D"/>
    <w:rsid w:val="007A2341"/>
    <w:rsid w:val="007A2754"/>
    <w:rsid w:val="007A38A1"/>
    <w:rsid w:val="007A3BBE"/>
    <w:rsid w:val="007A4766"/>
    <w:rsid w:val="007A556C"/>
    <w:rsid w:val="007A5947"/>
    <w:rsid w:val="007A717B"/>
    <w:rsid w:val="007A7714"/>
    <w:rsid w:val="007B0313"/>
    <w:rsid w:val="007B0487"/>
    <w:rsid w:val="007B0854"/>
    <w:rsid w:val="007B0E48"/>
    <w:rsid w:val="007B1D1B"/>
    <w:rsid w:val="007B21AA"/>
    <w:rsid w:val="007B2504"/>
    <w:rsid w:val="007B303E"/>
    <w:rsid w:val="007B32C0"/>
    <w:rsid w:val="007B32F7"/>
    <w:rsid w:val="007B3659"/>
    <w:rsid w:val="007B38B5"/>
    <w:rsid w:val="007B3BF3"/>
    <w:rsid w:val="007B431B"/>
    <w:rsid w:val="007B43C6"/>
    <w:rsid w:val="007B4558"/>
    <w:rsid w:val="007B4632"/>
    <w:rsid w:val="007B46A2"/>
    <w:rsid w:val="007B4828"/>
    <w:rsid w:val="007B4B2D"/>
    <w:rsid w:val="007B4D4A"/>
    <w:rsid w:val="007B5428"/>
    <w:rsid w:val="007B54F3"/>
    <w:rsid w:val="007B59B7"/>
    <w:rsid w:val="007B655A"/>
    <w:rsid w:val="007B68ED"/>
    <w:rsid w:val="007B6C64"/>
    <w:rsid w:val="007B6CD8"/>
    <w:rsid w:val="007B6EC8"/>
    <w:rsid w:val="007B6F81"/>
    <w:rsid w:val="007B7A88"/>
    <w:rsid w:val="007B7EA2"/>
    <w:rsid w:val="007C097D"/>
    <w:rsid w:val="007C0AF2"/>
    <w:rsid w:val="007C1672"/>
    <w:rsid w:val="007C17AE"/>
    <w:rsid w:val="007C312A"/>
    <w:rsid w:val="007C3570"/>
    <w:rsid w:val="007C3F3B"/>
    <w:rsid w:val="007C4241"/>
    <w:rsid w:val="007C425E"/>
    <w:rsid w:val="007C55FF"/>
    <w:rsid w:val="007C6339"/>
    <w:rsid w:val="007C6CAE"/>
    <w:rsid w:val="007C753F"/>
    <w:rsid w:val="007C7C43"/>
    <w:rsid w:val="007C7F0D"/>
    <w:rsid w:val="007D05EF"/>
    <w:rsid w:val="007D06E3"/>
    <w:rsid w:val="007D09E4"/>
    <w:rsid w:val="007D0C4B"/>
    <w:rsid w:val="007D1134"/>
    <w:rsid w:val="007D231B"/>
    <w:rsid w:val="007D23F7"/>
    <w:rsid w:val="007D2566"/>
    <w:rsid w:val="007D2BE0"/>
    <w:rsid w:val="007D2C18"/>
    <w:rsid w:val="007D2D74"/>
    <w:rsid w:val="007D3693"/>
    <w:rsid w:val="007D3C6D"/>
    <w:rsid w:val="007D4050"/>
    <w:rsid w:val="007D481A"/>
    <w:rsid w:val="007D4ED0"/>
    <w:rsid w:val="007D5648"/>
    <w:rsid w:val="007D58C5"/>
    <w:rsid w:val="007D5DE8"/>
    <w:rsid w:val="007D7A62"/>
    <w:rsid w:val="007D7B1C"/>
    <w:rsid w:val="007D7CFC"/>
    <w:rsid w:val="007E0812"/>
    <w:rsid w:val="007E18DF"/>
    <w:rsid w:val="007E2C36"/>
    <w:rsid w:val="007E3141"/>
    <w:rsid w:val="007E350D"/>
    <w:rsid w:val="007E39C8"/>
    <w:rsid w:val="007E3ACA"/>
    <w:rsid w:val="007E564D"/>
    <w:rsid w:val="007E5C4A"/>
    <w:rsid w:val="007E6314"/>
    <w:rsid w:val="007E64D4"/>
    <w:rsid w:val="007E66E9"/>
    <w:rsid w:val="007E69F2"/>
    <w:rsid w:val="007E7432"/>
    <w:rsid w:val="007E74BF"/>
    <w:rsid w:val="007E77D2"/>
    <w:rsid w:val="007E7D2E"/>
    <w:rsid w:val="007F00BD"/>
    <w:rsid w:val="007F0721"/>
    <w:rsid w:val="007F14D3"/>
    <w:rsid w:val="007F17A4"/>
    <w:rsid w:val="007F1D9D"/>
    <w:rsid w:val="007F1E28"/>
    <w:rsid w:val="007F1F63"/>
    <w:rsid w:val="007F22A0"/>
    <w:rsid w:val="007F2902"/>
    <w:rsid w:val="007F2903"/>
    <w:rsid w:val="007F2F90"/>
    <w:rsid w:val="007F3320"/>
    <w:rsid w:val="007F3AC1"/>
    <w:rsid w:val="007F4976"/>
    <w:rsid w:val="007F5A56"/>
    <w:rsid w:val="007F5D42"/>
    <w:rsid w:val="007F616E"/>
    <w:rsid w:val="007F6B46"/>
    <w:rsid w:val="007F72CB"/>
    <w:rsid w:val="007F736A"/>
    <w:rsid w:val="007F7635"/>
    <w:rsid w:val="007F785F"/>
    <w:rsid w:val="007F7961"/>
    <w:rsid w:val="007F7AF6"/>
    <w:rsid w:val="007F7E36"/>
    <w:rsid w:val="008008C6"/>
    <w:rsid w:val="00800DB7"/>
    <w:rsid w:val="00800E6D"/>
    <w:rsid w:val="008014D9"/>
    <w:rsid w:val="0080150F"/>
    <w:rsid w:val="0080153A"/>
    <w:rsid w:val="00801A2A"/>
    <w:rsid w:val="00802041"/>
    <w:rsid w:val="008022A4"/>
    <w:rsid w:val="008022C9"/>
    <w:rsid w:val="00802605"/>
    <w:rsid w:val="00802F9E"/>
    <w:rsid w:val="00803298"/>
    <w:rsid w:val="00803700"/>
    <w:rsid w:val="00803A7A"/>
    <w:rsid w:val="00803AB0"/>
    <w:rsid w:val="00803CEF"/>
    <w:rsid w:val="00803D9D"/>
    <w:rsid w:val="00805898"/>
    <w:rsid w:val="008059C6"/>
    <w:rsid w:val="00805AD7"/>
    <w:rsid w:val="00805BD6"/>
    <w:rsid w:val="00805CEF"/>
    <w:rsid w:val="00805DE3"/>
    <w:rsid w:val="00807C35"/>
    <w:rsid w:val="00807F35"/>
    <w:rsid w:val="00807F69"/>
    <w:rsid w:val="008100F7"/>
    <w:rsid w:val="00810206"/>
    <w:rsid w:val="0081022B"/>
    <w:rsid w:val="00811898"/>
    <w:rsid w:val="00811CDC"/>
    <w:rsid w:val="008124D8"/>
    <w:rsid w:val="00813A41"/>
    <w:rsid w:val="00813A7B"/>
    <w:rsid w:val="00813F04"/>
    <w:rsid w:val="0081513E"/>
    <w:rsid w:val="00815DA5"/>
    <w:rsid w:val="00816221"/>
    <w:rsid w:val="008164D9"/>
    <w:rsid w:val="0081766B"/>
    <w:rsid w:val="008205AC"/>
    <w:rsid w:val="00820705"/>
    <w:rsid w:val="00820CBF"/>
    <w:rsid w:val="00820FA8"/>
    <w:rsid w:val="008212FD"/>
    <w:rsid w:val="00821489"/>
    <w:rsid w:val="008217B7"/>
    <w:rsid w:val="0082217E"/>
    <w:rsid w:val="0082239B"/>
    <w:rsid w:val="0082292E"/>
    <w:rsid w:val="00822D06"/>
    <w:rsid w:val="00822EC4"/>
    <w:rsid w:val="0082348D"/>
    <w:rsid w:val="00823549"/>
    <w:rsid w:val="008236BE"/>
    <w:rsid w:val="00823EC5"/>
    <w:rsid w:val="008241CE"/>
    <w:rsid w:val="0082479F"/>
    <w:rsid w:val="00825240"/>
    <w:rsid w:val="00825B43"/>
    <w:rsid w:val="0082633B"/>
    <w:rsid w:val="008268FB"/>
    <w:rsid w:val="00826BCC"/>
    <w:rsid w:val="00826F71"/>
    <w:rsid w:val="00827CC0"/>
    <w:rsid w:val="008306AB"/>
    <w:rsid w:val="00831026"/>
    <w:rsid w:val="0083119B"/>
    <w:rsid w:val="00831BAE"/>
    <w:rsid w:val="00832216"/>
    <w:rsid w:val="008328D4"/>
    <w:rsid w:val="00832CD0"/>
    <w:rsid w:val="00833430"/>
    <w:rsid w:val="008338D0"/>
    <w:rsid w:val="00833ADA"/>
    <w:rsid w:val="00834128"/>
    <w:rsid w:val="0083417F"/>
    <w:rsid w:val="00835143"/>
    <w:rsid w:val="0083569B"/>
    <w:rsid w:val="00835741"/>
    <w:rsid w:val="00836E74"/>
    <w:rsid w:val="00836EAB"/>
    <w:rsid w:val="00837673"/>
    <w:rsid w:val="00837937"/>
    <w:rsid w:val="00837D82"/>
    <w:rsid w:val="00840893"/>
    <w:rsid w:val="00840E88"/>
    <w:rsid w:val="008410B1"/>
    <w:rsid w:val="00841379"/>
    <w:rsid w:val="008423EC"/>
    <w:rsid w:val="00842640"/>
    <w:rsid w:val="008429A6"/>
    <w:rsid w:val="00843615"/>
    <w:rsid w:val="00843698"/>
    <w:rsid w:val="00843A4B"/>
    <w:rsid w:val="00843B57"/>
    <w:rsid w:val="00843B60"/>
    <w:rsid w:val="00843D33"/>
    <w:rsid w:val="008444F0"/>
    <w:rsid w:val="00844D4F"/>
    <w:rsid w:val="00844F38"/>
    <w:rsid w:val="00845AE3"/>
    <w:rsid w:val="008466A0"/>
    <w:rsid w:val="00847535"/>
    <w:rsid w:val="00847B6D"/>
    <w:rsid w:val="00850542"/>
    <w:rsid w:val="0085092D"/>
    <w:rsid w:val="008509A5"/>
    <w:rsid w:val="00850C79"/>
    <w:rsid w:val="00850D82"/>
    <w:rsid w:val="00850EA3"/>
    <w:rsid w:val="00850F79"/>
    <w:rsid w:val="0085100B"/>
    <w:rsid w:val="008527D6"/>
    <w:rsid w:val="0085304C"/>
    <w:rsid w:val="008536BB"/>
    <w:rsid w:val="00853A3C"/>
    <w:rsid w:val="008548CA"/>
    <w:rsid w:val="00856C06"/>
    <w:rsid w:val="00856F87"/>
    <w:rsid w:val="0085790B"/>
    <w:rsid w:val="008579B9"/>
    <w:rsid w:val="00857C95"/>
    <w:rsid w:val="00857E78"/>
    <w:rsid w:val="00860AEF"/>
    <w:rsid w:val="00860B18"/>
    <w:rsid w:val="00860D5E"/>
    <w:rsid w:val="0086122C"/>
    <w:rsid w:val="00861310"/>
    <w:rsid w:val="00861F53"/>
    <w:rsid w:val="00861F5C"/>
    <w:rsid w:val="008623A7"/>
    <w:rsid w:val="0086289E"/>
    <w:rsid w:val="008629CB"/>
    <w:rsid w:val="0086394E"/>
    <w:rsid w:val="00863F8A"/>
    <w:rsid w:val="00863FE3"/>
    <w:rsid w:val="008640C4"/>
    <w:rsid w:val="00864241"/>
    <w:rsid w:val="00864423"/>
    <w:rsid w:val="0086468A"/>
    <w:rsid w:val="00864F24"/>
    <w:rsid w:val="008650BE"/>
    <w:rsid w:val="00865EAF"/>
    <w:rsid w:val="0086633B"/>
    <w:rsid w:val="00866495"/>
    <w:rsid w:val="00866881"/>
    <w:rsid w:val="00866931"/>
    <w:rsid w:val="00867512"/>
    <w:rsid w:val="008678A3"/>
    <w:rsid w:val="00867C13"/>
    <w:rsid w:val="00867C1D"/>
    <w:rsid w:val="0087033C"/>
    <w:rsid w:val="008715ED"/>
    <w:rsid w:val="008717D8"/>
    <w:rsid w:val="00871E3C"/>
    <w:rsid w:val="00872F97"/>
    <w:rsid w:val="008734A1"/>
    <w:rsid w:val="00874607"/>
    <w:rsid w:val="008747E9"/>
    <w:rsid w:val="00874915"/>
    <w:rsid w:val="00874B89"/>
    <w:rsid w:val="00875403"/>
    <w:rsid w:val="00875434"/>
    <w:rsid w:val="00875C1F"/>
    <w:rsid w:val="00876083"/>
    <w:rsid w:val="00876215"/>
    <w:rsid w:val="0087646C"/>
    <w:rsid w:val="00876815"/>
    <w:rsid w:val="00876B1C"/>
    <w:rsid w:val="00877932"/>
    <w:rsid w:val="00877E1A"/>
    <w:rsid w:val="008808C7"/>
    <w:rsid w:val="0088106B"/>
    <w:rsid w:val="0088107D"/>
    <w:rsid w:val="0088187A"/>
    <w:rsid w:val="00881E64"/>
    <w:rsid w:val="00882E39"/>
    <w:rsid w:val="00883CE1"/>
    <w:rsid w:val="008850EB"/>
    <w:rsid w:val="00885224"/>
    <w:rsid w:val="00885228"/>
    <w:rsid w:val="008857E3"/>
    <w:rsid w:val="0088662A"/>
    <w:rsid w:val="00886DF2"/>
    <w:rsid w:val="00886FB9"/>
    <w:rsid w:val="00887057"/>
    <w:rsid w:val="00887080"/>
    <w:rsid w:val="00887C79"/>
    <w:rsid w:val="0089016B"/>
    <w:rsid w:val="0089107B"/>
    <w:rsid w:val="008913CC"/>
    <w:rsid w:val="008914AE"/>
    <w:rsid w:val="008919CF"/>
    <w:rsid w:val="00891F84"/>
    <w:rsid w:val="00891FC3"/>
    <w:rsid w:val="008928EC"/>
    <w:rsid w:val="00892E5D"/>
    <w:rsid w:val="008935CF"/>
    <w:rsid w:val="00893CD7"/>
    <w:rsid w:val="0089436B"/>
    <w:rsid w:val="00894436"/>
    <w:rsid w:val="00894BB1"/>
    <w:rsid w:val="008951D0"/>
    <w:rsid w:val="0089582D"/>
    <w:rsid w:val="008959C6"/>
    <w:rsid w:val="00895DCC"/>
    <w:rsid w:val="0089606D"/>
    <w:rsid w:val="00896129"/>
    <w:rsid w:val="00896316"/>
    <w:rsid w:val="0089774F"/>
    <w:rsid w:val="00897875"/>
    <w:rsid w:val="00897B8F"/>
    <w:rsid w:val="008A00D9"/>
    <w:rsid w:val="008A07D5"/>
    <w:rsid w:val="008A1FB7"/>
    <w:rsid w:val="008A229A"/>
    <w:rsid w:val="008A2A23"/>
    <w:rsid w:val="008A2AF5"/>
    <w:rsid w:val="008A2B5A"/>
    <w:rsid w:val="008A3F9D"/>
    <w:rsid w:val="008A4769"/>
    <w:rsid w:val="008A5474"/>
    <w:rsid w:val="008A5C9A"/>
    <w:rsid w:val="008A6005"/>
    <w:rsid w:val="008A614F"/>
    <w:rsid w:val="008A6A55"/>
    <w:rsid w:val="008A6AA1"/>
    <w:rsid w:val="008A6DF0"/>
    <w:rsid w:val="008A6F6E"/>
    <w:rsid w:val="008A7888"/>
    <w:rsid w:val="008A796E"/>
    <w:rsid w:val="008B0862"/>
    <w:rsid w:val="008B088C"/>
    <w:rsid w:val="008B108E"/>
    <w:rsid w:val="008B1BF5"/>
    <w:rsid w:val="008B1CED"/>
    <w:rsid w:val="008B263F"/>
    <w:rsid w:val="008B3045"/>
    <w:rsid w:val="008B47A6"/>
    <w:rsid w:val="008B5C7C"/>
    <w:rsid w:val="008B63FE"/>
    <w:rsid w:val="008B672C"/>
    <w:rsid w:val="008B7781"/>
    <w:rsid w:val="008C065F"/>
    <w:rsid w:val="008C0743"/>
    <w:rsid w:val="008C0B4C"/>
    <w:rsid w:val="008C11F0"/>
    <w:rsid w:val="008C165C"/>
    <w:rsid w:val="008C1DBA"/>
    <w:rsid w:val="008C24E7"/>
    <w:rsid w:val="008C2500"/>
    <w:rsid w:val="008C2CAC"/>
    <w:rsid w:val="008C2F01"/>
    <w:rsid w:val="008C3C57"/>
    <w:rsid w:val="008C3E2A"/>
    <w:rsid w:val="008C45BD"/>
    <w:rsid w:val="008C4B19"/>
    <w:rsid w:val="008C4F47"/>
    <w:rsid w:val="008C5194"/>
    <w:rsid w:val="008C62D4"/>
    <w:rsid w:val="008C6B0C"/>
    <w:rsid w:val="008C6B89"/>
    <w:rsid w:val="008C6B97"/>
    <w:rsid w:val="008C7EF7"/>
    <w:rsid w:val="008D18AA"/>
    <w:rsid w:val="008D1A2A"/>
    <w:rsid w:val="008D1ADE"/>
    <w:rsid w:val="008D2986"/>
    <w:rsid w:val="008D35D9"/>
    <w:rsid w:val="008D3B36"/>
    <w:rsid w:val="008D3B85"/>
    <w:rsid w:val="008D462D"/>
    <w:rsid w:val="008D5CD5"/>
    <w:rsid w:val="008D6084"/>
    <w:rsid w:val="008D64AC"/>
    <w:rsid w:val="008D66CA"/>
    <w:rsid w:val="008D69B1"/>
    <w:rsid w:val="008D7338"/>
    <w:rsid w:val="008D785E"/>
    <w:rsid w:val="008D7D22"/>
    <w:rsid w:val="008D7D66"/>
    <w:rsid w:val="008D7ED0"/>
    <w:rsid w:val="008E0012"/>
    <w:rsid w:val="008E0DF7"/>
    <w:rsid w:val="008E0FAD"/>
    <w:rsid w:val="008E11E4"/>
    <w:rsid w:val="008E1252"/>
    <w:rsid w:val="008E1347"/>
    <w:rsid w:val="008E16E0"/>
    <w:rsid w:val="008E1C15"/>
    <w:rsid w:val="008E1C9A"/>
    <w:rsid w:val="008E28BD"/>
    <w:rsid w:val="008E2FD2"/>
    <w:rsid w:val="008E30C4"/>
    <w:rsid w:val="008E38B4"/>
    <w:rsid w:val="008E3BA4"/>
    <w:rsid w:val="008E3CC4"/>
    <w:rsid w:val="008E44AB"/>
    <w:rsid w:val="008E4CAE"/>
    <w:rsid w:val="008E5179"/>
    <w:rsid w:val="008E57FE"/>
    <w:rsid w:val="008E6598"/>
    <w:rsid w:val="008E7214"/>
    <w:rsid w:val="008E7497"/>
    <w:rsid w:val="008E7884"/>
    <w:rsid w:val="008E795C"/>
    <w:rsid w:val="008E7D6E"/>
    <w:rsid w:val="008E7E04"/>
    <w:rsid w:val="008E7EAA"/>
    <w:rsid w:val="008F1056"/>
    <w:rsid w:val="008F1E70"/>
    <w:rsid w:val="008F220A"/>
    <w:rsid w:val="008F28B8"/>
    <w:rsid w:val="008F2E8D"/>
    <w:rsid w:val="008F361D"/>
    <w:rsid w:val="008F387B"/>
    <w:rsid w:val="008F3DD9"/>
    <w:rsid w:val="008F4163"/>
    <w:rsid w:val="008F4814"/>
    <w:rsid w:val="008F4B18"/>
    <w:rsid w:val="008F4DA6"/>
    <w:rsid w:val="008F538E"/>
    <w:rsid w:val="008F546F"/>
    <w:rsid w:val="008F58BE"/>
    <w:rsid w:val="008F5A20"/>
    <w:rsid w:val="008F5ABA"/>
    <w:rsid w:val="008F71AB"/>
    <w:rsid w:val="008F7905"/>
    <w:rsid w:val="008F7989"/>
    <w:rsid w:val="00900A23"/>
    <w:rsid w:val="00901F1D"/>
    <w:rsid w:val="009028E8"/>
    <w:rsid w:val="00902E5C"/>
    <w:rsid w:val="0090363E"/>
    <w:rsid w:val="00903E0D"/>
    <w:rsid w:val="009046E5"/>
    <w:rsid w:val="009047C5"/>
    <w:rsid w:val="00905CE5"/>
    <w:rsid w:val="00910683"/>
    <w:rsid w:val="00910E00"/>
    <w:rsid w:val="00910E04"/>
    <w:rsid w:val="00911142"/>
    <w:rsid w:val="009116CE"/>
    <w:rsid w:val="00911714"/>
    <w:rsid w:val="00911D04"/>
    <w:rsid w:val="00911EFF"/>
    <w:rsid w:val="00912294"/>
    <w:rsid w:val="0091310F"/>
    <w:rsid w:val="009136D4"/>
    <w:rsid w:val="0091480F"/>
    <w:rsid w:val="00914B9A"/>
    <w:rsid w:val="00914C3F"/>
    <w:rsid w:val="00914F33"/>
    <w:rsid w:val="00915A9E"/>
    <w:rsid w:val="00915EFE"/>
    <w:rsid w:val="00915FCE"/>
    <w:rsid w:val="00916528"/>
    <w:rsid w:val="00916A4C"/>
    <w:rsid w:val="00916AFE"/>
    <w:rsid w:val="00916FC8"/>
    <w:rsid w:val="009170D3"/>
    <w:rsid w:val="0091759C"/>
    <w:rsid w:val="00917720"/>
    <w:rsid w:val="00920026"/>
    <w:rsid w:val="009203E2"/>
    <w:rsid w:val="00920F61"/>
    <w:rsid w:val="0092119E"/>
    <w:rsid w:val="009212DA"/>
    <w:rsid w:val="00921304"/>
    <w:rsid w:val="00921395"/>
    <w:rsid w:val="00921805"/>
    <w:rsid w:val="00921E63"/>
    <w:rsid w:val="00922379"/>
    <w:rsid w:val="0092257D"/>
    <w:rsid w:val="00922B4A"/>
    <w:rsid w:val="00923396"/>
    <w:rsid w:val="00923F56"/>
    <w:rsid w:val="009241AE"/>
    <w:rsid w:val="00924770"/>
    <w:rsid w:val="00925346"/>
    <w:rsid w:val="009253D2"/>
    <w:rsid w:val="00925743"/>
    <w:rsid w:val="0092579F"/>
    <w:rsid w:val="00926068"/>
    <w:rsid w:val="00927DD3"/>
    <w:rsid w:val="00927E8D"/>
    <w:rsid w:val="00927F23"/>
    <w:rsid w:val="00930521"/>
    <w:rsid w:val="009307CD"/>
    <w:rsid w:val="00931364"/>
    <w:rsid w:val="00931365"/>
    <w:rsid w:val="00931451"/>
    <w:rsid w:val="009314FA"/>
    <w:rsid w:val="0093194F"/>
    <w:rsid w:val="00931BF3"/>
    <w:rsid w:val="00931C55"/>
    <w:rsid w:val="00932014"/>
    <w:rsid w:val="00933333"/>
    <w:rsid w:val="00933390"/>
    <w:rsid w:val="0093349A"/>
    <w:rsid w:val="0093352B"/>
    <w:rsid w:val="009338BA"/>
    <w:rsid w:val="00933FCB"/>
    <w:rsid w:val="00934396"/>
    <w:rsid w:val="009346C8"/>
    <w:rsid w:val="00934927"/>
    <w:rsid w:val="00934BEF"/>
    <w:rsid w:val="00934CEC"/>
    <w:rsid w:val="00934E69"/>
    <w:rsid w:val="009355CF"/>
    <w:rsid w:val="00935CF8"/>
    <w:rsid w:val="00935E70"/>
    <w:rsid w:val="00935FEA"/>
    <w:rsid w:val="0093609A"/>
    <w:rsid w:val="00937401"/>
    <w:rsid w:val="009376FB"/>
    <w:rsid w:val="0093795B"/>
    <w:rsid w:val="00937D6B"/>
    <w:rsid w:val="00940477"/>
    <w:rsid w:val="00940876"/>
    <w:rsid w:val="00940A53"/>
    <w:rsid w:val="00940F3C"/>
    <w:rsid w:val="009410E0"/>
    <w:rsid w:val="00941415"/>
    <w:rsid w:val="009419E9"/>
    <w:rsid w:val="00941A2D"/>
    <w:rsid w:val="00941FA9"/>
    <w:rsid w:val="00942DD0"/>
    <w:rsid w:val="009439B6"/>
    <w:rsid w:val="00943FCD"/>
    <w:rsid w:val="009444B4"/>
    <w:rsid w:val="00944644"/>
    <w:rsid w:val="009467DC"/>
    <w:rsid w:val="00946A24"/>
    <w:rsid w:val="009470D4"/>
    <w:rsid w:val="00947337"/>
    <w:rsid w:val="00947E6E"/>
    <w:rsid w:val="0095041D"/>
    <w:rsid w:val="00950EF2"/>
    <w:rsid w:val="009512FA"/>
    <w:rsid w:val="009516A9"/>
    <w:rsid w:val="00951E57"/>
    <w:rsid w:val="00952350"/>
    <w:rsid w:val="00952505"/>
    <w:rsid w:val="00953018"/>
    <w:rsid w:val="009533E2"/>
    <w:rsid w:val="00953554"/>
    <w:rsid w:val="0095385A"/>
    <w:rsid w:val="0095473B"/>
    <w:rsid w:val="00954F3A"/>
    <w:rsid w:val="00955539"/>
    <w:rsid w:val="009570C8"/>
    <w:rsid w:val="0095780A"/>
    <w:rsid w:val="009578C3"/>
    <w:rsid w:val="009579E4"/>
    <w:rsid w:val="00957AA4"/>
    <w:rsid w:val="00957ACB"/>
    <w:rsid w:val="00957F27"/>
    <w:rsid w:val="00957F86"/>
    <w:rsid w:val="00960BDB"/>
    <w:rsid w:val="0096105C"/>
    <w:rsid w:val="0096147D"/>
    <w:rsid w:val="00961D53"/>
    <w:rsid w:val="00961E5F"/>
    <w:rsid w:val="009625C6"/>
    <w:rsid w:val="009629B5"/>
    <w:rsid w:val="00962A50"/>
    <w:rsid w:val="00962FA0"/>
    <w:rsid w:val="0096347F"/>
    <w:rsid w:val="00963550"/>
    <w:rsid w:val="00964138"/>
    <w:rsid w:val="0096470C"/>
    <w:rsid w:val="009648D6"/>
    <w:rsid w:val="009649AE"/>
    <w:rsid w:val="00964B3F"/>
    <w:rsid w:val="00964C98"/>
    <w:rsid w:val="009664EC"/>
    <w:rsid w:val="00967BEF"/>
    <w:rsid w:val="00971441"/>
    <w:rsid w:val="009715D4"/>
    <w:rsid w:val="0097179A"/>
    <w:rsid w:val="009731F4"/>
    <w:rsid w:val="009732A4"/>
    <w:rsid w:val="00973C05"/>
    <w:rsid w:val="00973CFF"/>
    <w:rsid w:val="00973F3A"/>
    <w:rsid w:val="0097494E"/>
    <w:rsid w:val="00974999"/>
    <w:rsid w:val="00974B58"/>
    <w:rsid w:val="00974B94"/>
    <w:rsid w:val="00974CBD"/>
    <w:rsid w:val="00975390"/>
    <w:rsid w:val="00975445"/>
    <w:rsid w:val="009761ED"/>
    <w:rsid w:val="0098022F"/>
    <w:rsid w:val="009810DE"/>
    <w:rsid w:val="00981B91"/>
    <w:rsid w:val="009822D7"/>
    <w:rsid w:val="009827E6"/>
    <w:rsid w:val="00982F84"/>
    <w:rsid w:val="009831C3"/>
    <w:rsid w:val="0098427D"/>
    <w:rsid w:val="0098450A"/>
    <w:rsid w:val="00984567"/>
    <w:rsid w:val="00985102"/>
    <w:rsid w:val="009854BC"/>
    <w:rsid w:val="00985A66"/>
    <w:rsid w:val="0098606C"/>
    <w:rsid w:val="009865D5"/>
    <w:rsid w:val="00987123"/>
    <w:rsid w:val="009876F2"/>
    <w:rsid w:val="00987C77"/>
    <w:rsid w:val="00987F55"/>
    <w:rsid w:val="00987FED"/>
    <w:rsid w:val="00990345"/>
    <w:rsid w:val="00990701"/>
    <w:rsid w:val="0099119C"/>
    <w:rsid w:val="0099137A"/>
    <w:rsid w:val="00991CFE"/>
    <w:rsid w:val="00991D3D"/>
    <w:rsid w:val="0099211C"/>
    <w:rsid w:val="00993013"/>
    <w:rsid w:val="00993B0D"/>
    <w:rsid w:val="00993B78"/>
    <w:rsid w:val="00994F3F"/>
    <w:rsid w:val="00995119"/>
    <w:rsid w:val="0099531F"/>
    <w:rsid w:val="009953AD"/>
    <w:rsid w:val="00995485"/>
    <w:rsid w:val="009957D7"/>
    <w:rsid w:val="0099583D"/>
    <w:rsid w:val="00996020"/>
    <w:rsid w:val="0099629E"/>
    <w:rsid w:val="00996992"/>
    <w:rsid w:val="00996E1E"/>
    <w:rsid w:val="00997148"/>
    <w:rsid w:val="00997392"/>
    <w:rsid w:val="0099747C"/>
    <w:rsid w:val="0099771C"/>
    <w:rsid w:val="00997899"/>
    <w:rsid w:val="009A01E4"/>
    <w:rsid w:val="009A022C"/>
    <w:rsid w:val="009A0917"/>
    <w:rsid w:val="009A0A33"/>
    <w:rsid w:val="009A1351"/>
    <w:rsid w:val="009A1E09"/>
    <w:rsid w:val="009A2041"/>
    <w:rsid w:val="009A2435"/>
    <w:rsid w:val="009A35DC"/>
    <w:rsid w:val="009A38AB"/>
    <w:rsid w:val="009A39EE"/>
    <w:rsid w:val="009A3D47"/>
    <w:rsid w:val="009A4357"/>
    <w:rsid w:val="009A4D63"/>
    <w:rsid w:val="009A5356"/>
    <w:rsid w:val="009A5468"/>
    <w:rsid w:val="009A5D99"/>
    <w:rsid w:val="009A608C"/>
    <w:rsid w:val="009A6FDF"/>
    <w:rsid w:val="009A715F"/>
    <w:rsid w:val="009A76D6"/>
    <w:rsid w:val="009A773A"/>
    <w:rsid w:val="009B0B1E"/>
    <w:rsid w:val="009B231D"/>
    <w:rsid w:val="009B2374"/>
    <w:rsid w:val="009B2E29"/>
    <w:rsid w:val="009B3163"/>
    <w:rsid w:val="009B35AE"/>
    <w:rsid w:val="009B37CD"/>
    <w:rsid w:val="009B422F"/>
    <w:rsid w:val="009B46BC"/>
    <w:rsid w:val="009B4D1A"/>
    <w:rsid w:val="009B519D"/>
    <w:rsid w:val="009B558B"/>
    <w:rsid w:val="009B5981"/>
    <w:rsid w:val="009B6D21"/>
    <w:rsid w:val="009B78ED"/>
    <w:rsid w:val="009C0D57"/>
    <w:rsid w:val="009C181C"/>
    <w:rsid w:val="009C1A44"/>
    <w:rsid w:val="009C1C7F"/>
    <w:rsid w:val="009C1EC7"/>
    <w:rsid w:val="009C28A2"/>
    <w:rsid w:val="009C3239"/>
    <w:rsid w:val="009C37CC"/>
    <w:rsid w:val="009C3828"/>
    <w:rsid w:val="009C3AD3"/>
    <w:rsid w:val="009C3AF4"/>
    <w:rsid w:val="009C3D2C"/>
    <w:rsid w:val="009C3E47"/>
    <w:rsid w:val="009C48C9"/>
    <w:rsid w:val="009C4987"/>
    <w:rsid w:val="009C4FDE"/>
    <w:rsid w:val="009C523F"/>
    <w:rsid w:val="009C59BF"/>
    <w:rsid w:val="009C5E4F"/>
    <w:rsid w:val="009C5F64"/>
    <w:rsid w:val="009C5F82"/>
    <w:rsid w:val="009C60EA"/>
    <w:rsid w:val="009C6BFC"/>
    <w:rsid w:val="009C70F8"/>
    <w:rsid w:val="009C78A3"/>
    <w:rsid w:val="009C7E68"/>
    <w:rsid w:val="009D00D7"/>
    <w:rsid w:val="009D0156"/>
    <w:rsid w:val="009D05DA"/>
    <w:rsid w:val="009D11F6"/>
    <w:rsid w:val="009D138F"/>
    <w:rsid w:val="009D1A14"/>
    <w:rsid w:val="009D1E2A"/>
    <w:rsid w:val="009D1FA0"/>
    <w:rsid w:val="009D28AB"/>
    <w:rsid w:val="009D2BDF"/>
    <w:rsid w:val="009D3736"/>
    <w:rsid w:val="009D4529"/>
    <w:rsid w:val="009D604F"/>
    <w:rsid w:val="009D61BB"/>
    <w:rsid w:val="009D6410"/>
    <w:rsid w:val="009D68BB"/>
    <w:rsid w:val="009D6909"/>
    <w:rsid w:val="009D7049"/>
    <w:rsid w:val="009D70C2"/>
    <w:rsid w:val="009D7244"/>
    <w:rsid w:val="009D7ADB"/>
    <w:rsid w:val="009D7B33"/>
    <w:rsid w:val="009D7D06"/>
    <w:rsid w:val="009E020C"/>
    <w:rsid w:val="009E06C3"/>
    <w:rsid w:val="009E0703"/>
    <w:rsid w:val="009E1035"/>
    <w:rsid w:val="009E16C2"/>
    <w:rsid w:val="009E16DA"/>
    <w:rsid w:val="009E1CD4"/>
    <w:rsid w:val="009E2391"/>
    <w:rsid w:val="009E476A"/>
    <w:rsid w:val="009E4E05"/>
    <w:rsid w:val="009E56FF"/>
    <w:rsid w:val="009E59A3"/>
    <w:rsid w:val="009E5CB1"/>
    <w:rsid w:val="009E5E56"/>
    <w:rsid w:val="009E61EA"/>
    <w:rsid w:val="009E6990"/>
    <w:rsid w:val="009E6FEE"/>
    <w:rsid w:val="009E7924"/>
    <w:rsid w:val="009E7A56"/>
    <w:rsid w:val="009F00B9"/>
    <w:rsid w:val="009F060F"/>
    <w:rsid w:val="009F0781"/>
    <w:rsid w:val="009F0850"/>
    <w:rsid w:val="009F1BDF"/>
    <w:rsid w:val="009F1EAE"/>
    <w:rsid w:val="009F369D"/>
    <w:rsid w:val="009F36FE"/>
    <w:rsid w:val="009F3D92"/>
    <w:rsid w:val="009F4990"/>
    <w:rsid w:val="009F4F25"/>
    <w:rsid w:val="009F59C2"/>
    <w:rsid w:val="009F5A2A"/>
    <w:rsid w:val="009F5ABB"/>
    <w:rsid w:val="009F6797"/>
    <w:rsid w:val="009F7263"/>
    <w:rsid w:val="009F76EA"/>
    <w:rsid w:val="009F78EB"/>
    <w:rsid w:val="009F7DB2"/>
    <w:rsid w:val="009F7F32"/>
    <w:rsid w:val="009F7FEB"/>
    <w:rsid w:val="00A003D5"/>
    <w:rsid w:val="00A0056C"/>
    <w:rsid w:val="00A00BEF"/>
    <w:rsid w:val="00A00F5E"/>
    <w:rsid w:val="00A0120D"/>
    <w:rsid w:val="00A01852"/>
    <w:rsid w:val="00A0188B"/>
    <w:rsid w:val="00A01C35"/>
    <w:rsid w:val="00A01E73"/>
    <w:rsid w:val="00A023E7"/>
    <w:rsid w:val="00A02B88"/>
    <w:rsid w:val="00A03160"/>
    <w:rsid w:val="00A0329E"/>
    <w:rsid w:val="00A036AC"/>
    <w:rsid w:val="00A03C54"/>
    <w:rsid w:val="00A03DE5"/>
    <w:rsid w:val="00A041BC"/>
    <w:rsid w:val="00A0442F"/>
    <w:rsid w:val="00A0447F"/>
    <w:rsid w:val="00A046D2"/>
    <w:rsid w:val="00A04A54"/>
    <w:rsid w:val="00A058B8"/>
    <w:rsid w:val="00A05B4B"/>
    <w:rsid w:val="00A066C3"/>
    <w:rsid w:val="00A06754"/>
    <w:rsid w:val="00A069E0"/>
    <w:rsid w:val="00A06E4A"/>
    <w:rsid w:val="00A06FDE"/>
    <w:rsid w:val="00A070E9"/>
    <w:rsid w:val="00A07327"/>
    <w:rsid w:val="00A078FB"/>
    <w:rsid w:val="00A101E1"/>
    <w:rsid w:val="00A1036D"/>
    <w:rsid w:val="00A1069F"/>
    <w:rsid w:val="00A10ACA"/>
    <w:rsid w:val="00A10D08"/>
    <w:rsid w:val="00A11BB6"/>
    <w:rsid w:val="00A11E78"/>
    <w:rsid w:val="00A12355"/>
    <w:rsid w:val="00A12574"/>
    <w:rsid w:val="00A127D2"/>
    <w:rsid w:val="00A1284E"/>
    <w:rsid w:val="00A131F8"/>
    <w:rsid w:val="00A13CF5"/>
    <w:rsid w:val="00A143EC"/>
    <w:rsid w:val="00A149E8"/>
    <w:rsid w:val="00A14E6E"/>
    <w:rsid w:val="00A1500F"/>
    <w:rsid w:val="00A15343"/>
    <w:rsid w:val="00A15621"/>
    <w:rsid w:val="00A15670"/>
    <w:rsid w:val="00A157A0"/>
    <w:rsid w:val="00A1585B"/>
    <w:rsid w:val="00A15C19"/>
    <w:rsid w:val="00A15FE9"/>
    <w:rsid w:val="00A1615C"/>
    <w:rsid w:val="00A161D5"/>
    <w:rsid w:val="00A16809"/>
    <w:rsid w:val="00A17584"/>
    <w:rsid w:val="00A17769"/>
    <w:rsid w:val="00A177ED"/>
    <w:rsid w:val="00A17EA2"/>
    <w:rsid w:val="00A20264"/>
    <w:rsid w:val="00A20946"/>
    <w:rsid w:val="00A20997"/>
    <w:rsid w:val="00A210D4"/>
    <w:rsid w:val="00A213DD"/>
    <w:rsid w:val="00A21454"/>
    <w:rsid w:val="00A216CE"/>
    <w:rsid w:val="00A22025"/>
    <w:rsid w:val="00A22498"/>
    <w:rsid w:val="00A22571"/>
    <w:rsid w:val="00A2298D"/>
    <w:rsid w:val="00A23BE1"/>
    <w:rsid w:val="00A24560"/>
    <w:rsid w:val="00A25B0F"/>
    <w:rsid w:val="00A25BBB"/>
    <w:rsid w:val="00A25F2F"/>
    <w:rsid w:val="00A26C59"/>
    <w:rsid w:val="00A277E2"/>
    <w:rsid w:val="00A27FB6"/>
    <w:rsid w:val="00A30121"/>
    <w:rsid w:val="00A30368"/>
    <w:rsid w:val="00A3043A"/>
    <w:rsid w:val="00A30E02"/>
    <w:rsid w:val="00A30F6A"/>
    <w:rsid w:val="00A31C3E"/>
    <w:rsid w:val="00A31CE1"/>
    <w:rsid w:val="00A32254"/>
    <w:rsid w:val="00A32A8C"/>
    <w:rsid w:val="00A34538"/>
    <w:rsid w:val="00A34677"/>
    <w:rsid w:val="00A3540F"/>
    <w:rsid w:val="00A35630"/>
    <w:rsid w:val="00A3570E"/>
    <w:rsid w:val="00A35914"/>
    <w:rsid w:val="00A36189"/>
    <w:rsid w:val="00A37054"/>
    <w:rsid w:val="00A37E73"/>
    <w:rsid w:val="00A37FB6"/>
    <w:rsid w:val="00A409E2"/>
    <w:rsid w:val="00A4104A"/>
    <w:rsid w:val="00A41081"/>
    <w:rsid w:val="00A411CA"/>
    <w:rsid w:val="00A41AE8"/>
    <w:rsid w:val="00A41C35"/>
    <w:rsid w:val="00A42080"/>
    <w:rsid w:val="00A42096"/>
    <w:rsid w:val="00A426F3"/>
    <w:rsid w:val="00A42FDF"/>
    <w:rsid w:val="00A430A9"/>
    <w:rsid w:val="00A431FE"/>
    <w:rsid w:val="00A439E5"/>
    <w:rsid w:val="00A4414E"/>
    <w:rsid w:val="00A4497A"/>
    <w:rsid w:val="00A44AB5"/>
    <w:rsid w:val="00A44BE8"/>
    <w:rsid w:val="00A44C96"/>
    <w:rsid w:val="00A44CDD"/>
    <w:rsid w:val="00A44E33"/>
    <w:rsid w:val="00A44F54"/>
    <w:rsid w:val="00A45F9B"/>
    <w:rsid w:val="00A46574"/>
    <w:rsid w:val="00A47849"/>
    <w:rsid w:val="00A500B1"/>
    <w:rsid w:val="00A52A53"/>
    <w:rsid w:val="00A52EE5"/>
    <w:rsid w:val="00A53037"/>
    <w:rsid w:val="00A532B9"/>
    <w:rsid w:val="00A5351D"/>
    <w:rsid w:val="00A53E79"/>
    <w:rsid w:val="00A54031"/>
    <w:rsid w:val="00A5426D"/>
    <w:rsid w:val="00A54E62"/>
    <w:rsid w:val="00A54FC2"/>
    <w:rsid w:val="00A55122"/>
    <w:rsid w:val="00A55CEA"/>
    <w:rsid w:val="00A56DE7"/>
    <w:rsid w:val="00A56E1D"/>
    <w:rsid w:val="00A57EB2"/>
    <w:rsid w:val="00A6009E"/>
    <w:rsid w:val="00A60265"/>
    <w:rsid w:val="00A60540"/>
    <w:rsid w:val="00A60B1F"/>
    <w:rsid w:val="00A6109E"/>
    <w:rsid w:val="00A61C60"/>
    <w:rsid w:val="00A62589"/>
    <w:rsid w:val="00A62AD0"/>
    <w:rsid w:val="00A62B4D"/>
    <w:rsid w:val="00A62C3A"/>
    <w:rsid w:val="00A6319C"/>
    <w:rsid w:val="00A63812"/>
    <w:rsid w:val="00A63DF7"/>
    <w:rsid w:val="00A6454D"/>
    <w:rsid w:val="00A64F2F"/>
    <w:rsid w:val="00A65DBF"/>
    <w:rsid w:val="00A6611E"/>
    <w:rsid w:val="00A668BA"/>
    <w:rsid w:val="00A66DDA"/>
    <w:rsid w:val="00A66FA7"/>
    <w:rsid w:val="00A67D7D"/>
    <w:rsid w:val="00A67E16"/>
    <w:rsid w:val="00A67EB1"/>
    <w:rsid w:val="00A7025C"/>
    <w:rsid w:val="00A703CC"/>
    <w:rsid w:val="00A70C5C"/>
    <w:rsid w:val="00A710A2"/>
    <w:rsid w:val="00A71EA7"/>
    <w:rsid w:val="00A730AD"/>
    <w:rsid w:val="00A73690"/>
    <w:rsid w:val="00A73855"/>
    <w:rsid w:val="00A73D39"/>
    <w:rsid w:val="00A73D64"/>
    <w:rsid w:val="00A74046"/>
    <w:rsid w:val="00A74216"/>
    <w:rsid w:val="00A74360"/>
    <w:rsid w:val="00A744B4"/>
    <w:rsid w:val="00A751E3"/>
    <w:rsid w:val="00A753B9"/>
    <w:rsid w:val="00A7549A"/>
    <w:rsid w:val="00A75504"/>
    <w:rsid w:val="00A75FD7"/>
    <w:rsid w:val="00A769E6"/>
    <w:rsid w:val="00A77168"/>
    <w:rsid w:val="00A7723B"/>
    <w:rsid w:val="00A773C3"/>
    <w:rsid w:val="00A7793C"/>
    <w:rsid w:val="00A779BF"/>
    <w:rsid w:val="00A77B7F"/>
    <w:rsid w:val="00A77D21"/>
    <w:rsid w:val="00A80085"/>
    <w:rsid w:val="00A8043B"/>
    <w:rsid w:val="00A80849"/>
    <w:rsid w:val="00A80DA0"/>
    <w:rsid w:val="00A81323"/>
    <w:rsid w:val="00A814B8"/>
    <w:rsid w:val="00A820CB"/>
    <w:rsid w:val="00A821C2"/>
    <w:rsid w:val="00A82342"/>
    <w:rsid w:val="00A8236F"/>
    <w:rsid w:val="00A82C87"/>
    <w:rsid w:val="00A83BEF"/>
    <w:rsid w:val="00A840C9"/>
    <w:rsid w:val="00A84443"/>
    <w:rsid w:val="00A8483D"/>
    <w:rsid w:val="00A8487F"/>
    <w:rsid w:val="00A84906"/>
    <w:rsid w:val="00A849A3"/>
    <w:rsid w:val="00A84A0E"/>
    <w:rsid w:val="00A8575D"/>
    <w:rsid w:val="00A86E0B"/>
    <w:rsid w:val="00A87FAC"/>
    <w:rsid w:val="00A90792"/>
    <w:rsid w:val="00A90F12"/>
    <w:rsid w:val="00A91690"/>
    <w:rsid w:val="00A91DAA"/>
    <w:rsid w:val="00A91EFC"/>
    <w:rsid w:val="00A93101"/>
    <w:rsid w:val="00A93239"/>
    <w:rsid w:val="00A9413E"/>
    <w:rsid w:val="00A941C0"/>
    <w:rsid w:val="00A94293"/>
    <w:rsid w:val="00A9496E"/>
    <w:rsid w:val="00A949F0"/>
    <w:rsid w:val="00A94BDE"/>
    <w:rsid w:val="00A94FCA"/>
    <w:rsid w:val="00A950EC"/>
    <w:rsid w:val="00A95E4C"/>
    <w:rsid w:val="00A9609B"/>
    <w:rsid w:val="00A9643B"/>
    <w:rsid w:val="00A96C60"/>
    <w:rsid w:val="00A970A1"/>
    <w:rsid w:val="00A9740B"/>
    <w:rsid w:val="00A9766C"/>
    <w:rsid w:val="00A977F8"/>
    <w:rsid w:val="00A979DB"/>
    <w:rsid w:val="00A97C93"/>
    <w:rsid w:val="00AA02C6"/>
    <w:rsid w:val="00AA03E8"/>
    <w:rsid w:val="00AA08E7"/>
    <w:rsid w:val="00AA0A06"/>
    <w:rsid w:val="00AA1351"/>
    <w:rsid w:val="00AA184C"/>
    <w:rsid w:val="00AA19B8"/>
    <w:rsid w:val="00AA1AF4"/>
    <w:rsid w:val="00AA1C84"/>
    <w:rsid w:val="00AA3036"/>
    <w:rsid w:val="00AA3D7B"/>
    <w:rsid w:val="00AA42A0"/>
    <w:rsid w:val="00AA442B"/>
    <w:rsid w:val="00AA46A4"/>
    <w:rsid w:val="00AA5779"/>
    <w:rsid w:val="00AA58A1"/>
    <w:rsid w:val="00AA5C07"/>
    <w:rsid w:val="00AA61C7"/>
    <w:rsid w:val="00AA669D"/>
    <w:rsid w:val="00AA66ED"/>
    <w:rsid w:val="00AA6B59"/>
    <w:rsid w:val="00AA6BE1"/>
    <w:rsid w:val="00AA7416"/>
    <w:rsid w:val="00AA7A60"/>
    <w:rsid w:val="00AA7AF0"/>
    <w:rsid w:val="00AA7B42"/>
    <w:rsid w:val="00AB041C"/>
    <w:rsid w:val="00AB0CFD"/>
    <w:rsid w:val="00AB14E8"/>
    <w:rsid w:val="00AB1B1D"/>
    <w:rsid w:val="00AB2216"/>
    <w:rsid w:val="00AB358D"/>
    <w:rsid w:val="00AB37A1"/>
    <w:rsid w:val="00AB3BAD"/>
    <w:rsid w:val="00AB3CFD"/>
    <w:rsid w:val="00AB49BC"/>
    <w:rsid w:val="00AB4DEE"/>
    <w:rsid w:val="00AB4E32"/>
    <w:rsid w:val="00AB5BE7"/>
    <w:rsid w:val="00AB5C19"/>
    <w:rsid w:val="00AB5D64"/>
    <w:rsid w:val="00AB5DF8"/>
    <w:rsid w:val="00AB724B"/>
    <w:rsid w:val="00AB726C"/>
    <w:rsid w:val="00AB72B4"/>
    <w:rsid w:val="00AB7411"/>
    <w:rsid w:val="00AB7A7A"/>
    <w:rsid w:val="00AC02AA"/>
    <w:rsid w:val="00AC0537"/>
    <w:rsid w:val="00AC0A84"/>
    <w:rsid w:val="00AC1508"/>
    <w:rsid w:val="00AC1600"/>
    <w:rsid w:val="00AC2A0B"/>
    <w:rsid w:val="00AC2BEE"/>
    <w:rsid w:val="00AC2E53"/>
    <w:rsid w:val="00AC46B0"/>
    <w:rsid w:val="00AC484F"/>
    <w:rsid w:val="00AC4B20"/>
    <w:rsid w:val="00AC5159"/>
    <w:rsid w:val="00AC56F2"/>
    <w:rsid w:val="00AC5897"/>
    <w:rsid w:val="00AC71C3"/>
    <w:rsid w:val="00AC7B4D"/>
    <w:rsid w:val="00AD09F7"/>
    <w:rsid w:val="00AD0D42"/>
    <w:rsid w:val="00AD186F"/>
    <w:rsid w:val="00AD1EFA"/>
    <w:rsid w:val="00AD2072"/>
    <w:rsid w:val="00AD2DBD"/>
    <w:rsid w:val="00AD2FBF"/>
    <w:rsid w:val="00AD340E"/>
    <w:rsid w:val="00AD3B81"/>
    <w:rsid w:val="00AD455D"/>
    <w:rsid w:val="00AD463C"/>
    <w:rsid w:val="00AD4F60"/>
    <w:rsid w:val="00AD5044"/>
    <w:rsid w:val="00AD50ED"/>
    <w:rsid w:val="00AD5114"/>
    <w:rsid w:val="00AD6236"/>
    <w:rsid w:val="00AD69D5"/>
    <w:rsid w:val="00AD7619"/>
    <w:rsid w:val="00AD76A1"/>
    <w:rsid w:val="00AD7770"/>
    <w:rsid w:val="00AE1772"/>
    <w:rsid w:val="00AE1990"/>
    <w:rsid w:val="00AE25E8"/>
    <w:rsid w:val="00AE2AD4"/>
    <w:rsid w:val="00AE2CA7"/>
    <w:rsid w:val="00AE2F1D"/>
    <w:rsid w:val="00AE4C81"/>
    <w:rsid w:val="00AE586F"/>
    <w:rsid w:val="00AE6582"/>
    <w:rsid w:val="00AE6DC5"/>
    <w:rsid w:val="00AE7686"/>
    <w:rsid w:val="00AE7899"/>
    <w:rsid w:val="00AE799A"/>
    <w:rsid w:val="00AE7A7C"/>
    <w:rsid w:val="00AF0E81"/>
    <w:rsid w:val="00AF117A"/>
    <w:rsid w:val="00AF16CA"/>
    <w:rsid w:val="00AF186E"/>
    <w:rsid w:val="00AF19DF"/>
    <w:rsid w:val="00AF1D41"/>
    <w:rsid w:val="00AF26CF"/>
    <w:rsid w:val="00AF2EE8"/>
    <w:rsid w:val="00AF3124"/>
    <w:rsid w:val="00AF344D"/>
    <w:rsid w:val="00AF39B3"/>
    <w:rsid w:val="00AF4402"/>
    <w:rsid w:val="00AF4639"/>
    <w:rsid w:val="00AF4E92"/>
    <w:rsid w:val="00AF554B"/>
    <w:rsid w:val="00AF55C5"/>
    <w:rsid w:val="00AF5BAB"/>
    <w:rsid w:val="00AF5C9B"/>
    <w:rsid w:val="00AF5D53"/>
    <w:rsid w:val="00AF5E2D"/>
    <w:rsid w:val="00AF644B"/>
    <w:rsid w:val="00AF69C8"/>
    <w:rsid w:val="00AF69EB"/>
    <w:rsid w:val="00AF6CA6"/>
    <w:rsid w:val="00AF6EB6"/>
    <w:rsid w:val="00AF7796"/>
    <w:rsid w:val="00B011A9"/>
    <w:rsid w:val="00B01BAF"/>
    <w:rsid w:val="00B024ED"/>
    <w:rsid w:val="00B0265B"/>
    <w:rsid w:val="00B02668"/>
    <w:rsid w:val="00B026B8"/>
    <w:rsid w:val="00B02EB3"/>
    <w:rsid w:val="00B02FCB"/>
    <w:rsid w:val="00B033F8"/>
    <w:rsid w:val="00B03C1E"/>
    <w:rsid w:val="00B04400"/>
    <w:rsid w:val="00B04835"/>
    <w:rsid w:val="00B05A55"/>
    <w:rsid w:val="00B05DE1"/>
    <w:rsid w:val="00B06595"/>
    <w:rsid w:val="00B06862"/>
    <w:rsid w:val="00B10109"/>
    <w:rsid w:val="00B1023F"/>
    <w:rsid w:val="00B1085E"/>
    <w:rsid w:val="00B10E5B"/>
    <w:rsid w:val="00B10FD1"/>
    <w:rsid w:val="00B112D5"/>
    <w:rsid w:val="00B1130C"/>
    <w:rsid w:val="00B1219D"/>
    <w:rsid w:val="00B12735"/>
    <w:rsid w:val="00B12F44"/>
    <w:rsid w:val="00B13C48"/>
    <w:rsid w:val="00B13E35"/>
    <w:rsid w:val="00B13EC0"/>
    <w:rsid w:val="00B14102"/>
    <w:rsid w:val="00B141BD"/>
    <w:rsid w:val="00B14D32"/>
    <w:rsid w:val="00B14E14"/>
    <w:rsid w:val="00B1507C"/>
    <w:rsid w:val="00B1557C"/>
    <w:rsid w:val="00B155DC"/>
    <w:rsid w:val="00B15766"/>
    <w:rsid w:val="00B15E4A"/>
    <w:rsid w:val="00B1666A"/>
    <w:rsid w:val="00B167C8"/>
    <w:rsid w:val="00B1686D"/>
    <w:rsid w:val="00B16BF7"/>
    <w:rsid w:val="00B16FB6"/>
    <w:rsid w:val="00B17129"/>
    <w:rsid w:val="00B1741D"/>
    <w:rsid w:val="00B17447"/>
    <w:rsid w:val="00B1771D"/>
    <w:rsid w:val="00B17B91"/>
    <w:rsid w:val="00B20209"/>
    <w:rsid w:val="00B203C9"/>
    <w:rsid w:val="00B2088D"/>
    <w:rsid w:val="00B208FF"/>
    <w:rsid w:val="00B20A58"/>
    <w:rsid w:val="00B20E8F"/>
    <w:rsid w:val="00B22E22"/>
    <w:rsid w:val="00B22F5F"/>
    <w:rsid w:val="00B232BD"/>
    <w:rsid w:val="00B23353"/>
    <w:rsid w:val="00B23813"/>
    <w:rsid w:val="00B23FD9"/>
    <w:rsid w:val="00B24591"/>
    <w:rsid w:val="00B245D5"/>
    <w:rsid w:val="00B245EF"/>
    <w:rsid w:val="00B24C36"/>
    <w:rsid w:val="00B24F94"/>
    <w:rsid w:val="00B25126"/>
    <w:rsid w:val="00B25A52"/>
    <w:rsid w:val="00B25AED"/>
    <w:rsid w:val="00B25FC3"/>
    <w:rsid w:val="00B2754F"/>
    <w:rsid w:val="00B27875"/>
    <w:rsid w:val="00B3008D"/>
    <w:rsid w:val="00B30884"/>
    <w:rsid w:val="00B30E11"/>
    <w:rsid w:val="00B30EAE"/>
    <w:rsid w:val="00B30EEB"/>
    <w:rsid w:val="00B31423"/>
    <w:rsid w:val="00B317AE"/>
    <w:rsid w:val="00B323E0"/>
    <w:rsid w:val="00B32DC0"/>
    <w:rsid w:val="00B3346C"/>
    <w:rsid w:val="00B335E4"/>
    <w:rsid w:val="00B33C23"/>
    <w:rsid w:val="00B345B4"/>
    <w:rsid w:val="00B348B1"/>
    <w:rsid w:val="00B34A28"/>
    <w:rsid w:val="00B35046"/>
    <w:rsid w:val="00B35B6A"/>
    <w:rsid w:val="00B35F1B"/>
    <w:rsid w:val="00B36C99"/>
    <w:rsid w:val="00B36D2B"/>
    <w:rsid w:val="00B37657"/>
    <w:rsid w:val="00B37AFD"/>
    <w:rsid w:val="00B37B07"/>
    <w:rsid w:val="00B4046F"/>
    <w:rsid w:val="00B406B3"/>
    <w:rsid w:val="00B40714"/>
    <w:rsid w:val="00B40A36"/>
    <w:rsid w:val="00B40D1D"/>
    <w:rsid w:val="00B41BCA"/>
    <w:rsid w:val="00B41D39"/>
    <w:rsid w:val="00B41D66"/>
    <w:rsid w:val="00B422C0"/>
    <w:rsid w:val="00B426CA"/>
    <w:rsid w:val="00B426E1"/>
    <w:rsid w:val="00B428F5"/>
    <w:rsid w:val="00B43820"/>
    <w:rsid w:val="00B4387A"/>
    <w:rsid w:val="00B44746"/>
    <w:rsid w:val="00B44854"/>
    <w:rsid w:val="00B44BA5"/>
    <w:rsid w:val="00B4554E"/>
    <w:rsid w:val="00B458D0"/>
    <w:rsid w:val="00B46062"/>
    <w:rsid w:val="00B46696"/>
    <w:rsid w:val="00B46D11"/>
    <w:rsid w:val="00B4792C"/>
    <w:rsid w:val="00B50CAE"/>
    <w:rsid w:val="00B512AD"/>
    <w:rsid w:val="00B5196C"/>
    <w:rsid w:val="00B51DCA"/>
    <w:rsid w:val="00B525CB"/>
    <w:rsid w:val="00B52697"/>
    <w:rsid w:val="00B54215"/>
    <w:rsid w:val="00B549B3"/>
    <w:rsid w:val="00B54D8F"/>
    <w:rsid w:val="00B55857"/>
    <w:rsid w:val="00B55C69"/>
    <w:rsid w:val="00B56851"/>
    <w:rsid w:val="00B56D6E"/>
    <w:rsid w:val="00B572F7"/>
    <w:rsid w:val="00B576D3"/>
    <w:rsid w:val="00B57B9D"/>
    <w:rsid w:val="00B57DAF"/>
    <w:rsid w:val="00B60094"/>
    <w:rsid w:val="00B6022C"/>
    <w:rsid w:val="00B6040C"/>
    <w:rsid w:val="00B60AC0"/>
    <w:rsid w:val="00B614F8"/>
    <w:rsid w:val="00B61994"/>
    <w:rsid w:val="00B61FD4"/>
    <w:rsid w:val="00B62880"/>
    <w:rsid w:val="00B63872"/>
    <w:rsid w:val="00B63CB2"/>
    <w:rsid w:val="00B64246"/>
    <w:rsid w:val="00B64EDB"/>
    <w:rsid w:val="00B65938"/>
    <w:rsid w:val="00B65C8A"/>
    <w:rsid w:val="00B65CE2"/>
    <w:rsid w:val="00B660AD"/>
    <w:rsid w:val="00B66109"/>
    <w:rsid w:val="00B66349"/>
    <w:rsid w:val="00B66606"/>
    <w:rsid w:val="00B67050"/>
    <w:rsid w:val="00B67FBF"/>
    <w:rsid w:val="00B70832"/>
    <w:rsid w:val="00B71376"/>
    <w:rsid w:val="00B716D7"/>
    <w:rsid w:val="00B717E5"/>
    <w:rsid w:val="00B72110"/>
    <w:rsid w:val="00B72B91"/>
    <w:rsid w:val="00B73019"/>
    <w:rsid w:val="00B7315F"/>
    <w:rsid w:val="00B7323A"/>
    <w:rsid w:val="00B7353B"/>
    <w:rsid w:val="00B737FB"/>
    <w:rsid w:val="00B73E5D"/>
    <w:rsid w:val="00B73EF3"/>
    <w:rsid w:val="00B7423D"/>
    <w:rsid w:val="00B746FC"/>
    <w:rsid w:val="00B74D05"/>
    <w:rsid w:val="00B74EF8"/>
    <w:rsid w:val="00B75893"/>
    <w:rsid w:val="00B764C9"/>
    <w:rsid w:val="00B771F4"/>
    <w:rsid w:val="00B7762A"/>
    <w:rsid w:val="00B777FA"/>
    <w:rsid w:val="00B77850"/>
    <w:rsid w:val="00B7796B"/>
    <w:rsid w:val="00B80476"/>
    <w:rsid w:val="00B80C72"/>
    <w:rsid w:val="00B80D5D"/>
    <w:rsid w:val="00B81964"/>
    <w:rsid w:val="00B81D46"/>
    <w:rsid w:val="00B81E6F"/>
    <w:rsid w:val="00B82123"/>
    <w:rsid w:val="00B821D4"/>
    <w:rsid w:val="00B8225B"/>
    <w:rsid w:val="00B82BB5"/>
    <w:rsid w:val="00B83182"/>
    <w:rsid w:val="00B839F0"/>
    <w:rsid w:val="00B850C2"/>
    <w:rsid w:val="00B851E4"/>
    <w:rsid w:val="00B854CE"/>
    <w:rsid w:val="00B85681"/>
    <w:rsid w:val="00B857EB"/>
    <w:rsid w:val="00B858AD"/>
    <w:rsid w:val="00B86162"/>
    <w:rsid w:val="00B86877"/>
    <w:rsid w:val="00B8695D"/>
    <w:rsid w:val="00B86E66"/>
    <w:rsid w:val="00B873BA"/>
    <w:rsid w:val="00B8746F"/>
    <w:rsid w:val="00B8760D"/>
    <w:rsid w:val="00B87706"/>
    <w:rsid w:val="00B90A49"/>
    <w:rsid w:val="00B90A73"/>
    <w:rsid w:val="00B91B8E"/>
    <w:rsid w:val="00B91F2B"/>
    <w:rsid w:val="00B920AD"/>
    <w:rsid w:val="00B924D3"/>
    <w:rsid w:val="00B92531"/>
    <w:rsid w:val="00B92618"/>
    <w:rsid w:val="00B92751"/>
    <w:rsid w:val="00B92B69"/>
    <w:rsid w:val="00B92CC6"/>
    <w:rsid w:val="00B935C9"/>
    <w:rsid w:val="00B93616"/>
    <w:rsid w:val="00B93E3D"/>
    <w:rsid w:val="00B95464"/>
    <w:rsid w:val="00B95C30"/>
    <w:rsid w:val="00B95E3D"/>
    <w:rsid w:val="00B95ED6"/>
    <w:rsid w:val="00B9691F"/>
    <w:rsid w:val="00B96D9F"/>
    <w:rsid w:val="00B96EEC"/>
    <w:rsid w:val="00B97392"/>
    <w:rsid w:val="00B976C7"/>
    <w:rsid w:val="00B97A73"/>
    <w:rsid w:val="00B97F6C"/>
    <w:rsid w:val="00BA0C54"/>
    <w:rsid w:val="00BA11C4"/>
    <w:rsid w:val="00BA1382"/>
    <w:rsid w:val="00BA15E3"/>
    <w:rsid w:val="00BA1A8C"/>
    <w:rsid w:val="00BA20B6"/>
    <w:rsid w:val="00BA20D8"/>
    <w:rsid w:val="00BA22A1"/>
    <w:rsid w:val="00BA22FC"/>
    <w:rsid w:val="00BA271E"/>
    <w:rsid w:val="00BA2C2A"/>
    <w:rsid w:val="00BA2CF9"/>
    <w:rsid w:val="00BA2F30"/>
    <w:rsid w:val="00BA3982"/>
    <w:rsid w:val="00BA405F"/>
    <w:rsid w:val="00BA4771"/>
    <w:rsid w:val="00BA482B"/>
    <w:rsid w:val="00BA4BDA"/>
    <w:rsid w:val="00BA5027"/>
    <w:rsid w:val="00BA5A74"/>
    <w:rsid w:val="00BA661F"/>
    <w:rsid w:val="00BA665B"/>
    <w:rsid w:val="00BA6FE8"/>
    <w:rsid w:val="00BA732D"/>
    <w:rsid w:val="00BA7370"/>
    <w:rsid w:val="00BA7491"/>
    <w:rsid w:val="00BA778B"/>
    <w:rsid w:val="00BB0888"/>
    <w:rsid w:val="00BB0DF1"/>
    <w:rsid w:val="00BB0E9B"/>
    <w:rsid w:val="00BB2410"/>
    <w:rsid w:val="00BB2841"/>
    <w:rsid w:val="00BB300F"/>
    <w:rsid w:val="00BB32C9"/>
    <w:rsid w:val="00BB35C5"/>
    <w:rsid w:val="00BB4048"/>
    <w:rsid w:val="00BB4C8E"/>
    <w:rsid w:val="00BB57ED"/>
    <w:rsid w:val="00BB596B"/>
    <w:rsid w:val="00BB5A2D"/>
    <w:rsid w:val="00BB606C"/>
    <w:rsid w:val="00BB65C3"/>
    <w:rsid w:val="00BB662E"/>
    <w:rsid w:val="00BB67A9"/>
    <w:rsid w:val="00BB6C01"/>
    <w:rsid w:val="00BB7942"/>
    <w:rsid w:val="00BB7CD1"/>
    <w:rsid w:val="00BC0F33"/>
    <w:rsid w:val="00BC14A7"/>
    <w:rsid w:val="00BC17CC"/>
    <w:rsid w:val="00BC2898"/>
    <w:rsid w:val="00BC2928"/>
    <w:rsid w:val="00BC29BD"/>
    <w:rsid w:val="00BC2BB1"/>
    <w:rsid w:val="00BC34A3"/>
    <w:rsid w:val="00BC3FF9"/>
    <w:rsid w:val="00BC43CC"/>
    <w:rsid w:val="00BC4834"/>
    <w:rsid w:val="00BC4A97"/>
    <w:rsid w:val="00BC4EC9"/>
    <w:rsid w:val="00BC53AD"/>
    <w:rsid w:val="00BC5A25"/>
    <w:rsid w:val="00BC5FDD"/>
    <w:rsid w:val="00BC68B4"/>
    <w:rsid w:val="00BC6CBE"/>
    <w:rsid w:val="00BC7277"/>
    <w:rsid w:val="00BD0140"/>
    <w:rsid w:val="00BD02CC"/>
    <w:rsid w:val="00BD061A"/>
    <w:rsid w:val="00BD088E"/>
    <w:rsid w:val="00BD0F18"/>
    <w:rsid w:val="00BD182E"/>
    <w:rsid w:val="00BD1BAB"/>
    <w:rsid w:val="00BD2063"/>
    <w:rsid w:val="00BD2950"/>
    <w:rsid w:val="00BD337A"/>
    <w:rsid w:val="00BD33D9"/>
    <w:rsid w:val="00BD38C5"/>
    <w:rsid w:val="00BD3AF1"/>
    <w:rsid w:val="00BD3DEA"/>
    <w:rsid w:val="00BD3E97"/>
    <w:rsid w:val="00BD3E9F"/>
    <w:rsid w:val="00BD40E4"/>
    <w:rsid w:val="00BD52FE"/>
    <w:rsid w:val="00BD62CF"/>
    <w:rsid w:val="00BD67B2"/>
    <w:rsid w:val="00BD68E2"/>
    <w:rsid w:val="00BD6D41"/>
    <w:rsid w:val="00BD76E5"/>
    <w:rsid w:val="00BD78FE"/>
    <w:rsid w:val="00BE0149"/>
    <w:rsid w:val="00BE0767"/>
    <w:rsid w:val="00BE07A6"/>
    <w:rsid w:val="00BE0CDF"/>
    <w:rsid w:val="00BE12D7"/>
    <w:rsid w:val="00BE1372"/>
    <w:rsid w:val="00BE1432"/>
    <w:rsid w:val="00BE1775"/>
    <w:rsid w:val="00BE18DA"/>
    <w:rsid w:val="00BE26C0"/>
    <w:rsid w:val="00BE3442"/>
    <w:rsid w:val="00BE37CD"/>
    <w:rsid w:val="00BE47B2"/>
    <w:rsid w:val="00BE48C7"/>
    <w:rsid w:val="00BE4F66"/>
    <w:rsid w:val="00BE4FBF"/>
    <w:rsid w:val="00BE50D0"/>
    <w:rsid w:val="00BE5238"/>
    <w:rsid w:val="00BE5742"/>
    <w:rsid w:val="00BE6074"/>
    <w:rsid w:val="00BE6D73"/>
    <w:rsid w:val="00BE7257"/>
    <w:rsid w:val="00BF020D"/>
    <w:rsid w:val="00BF0609"/>
    <w:rsid w:val="00BF0EE8"/>
    <w:rsid w:val="00BF0F4A"/>
    <w:rsid w:val="00BF10ED"/>
    <w:rsid w:val="00BF1DD2"/>
    <w:rsid w:val="00BF23A3"/>
    <w:rsid w:val="00BF2A7E"/>
    <w:rsid w:val="00BF3331"/>
    <w:rsid w:val="00BF3A45"/>
    <w:rsid w:val="00BF436F"/>
    <w:rsid w:val="00BF5C05"/>
    <w:rsid w:val="00BF6FC6"/>
    <w:rsid w:val="00BF7C52"/>
    <w:rsid w:val="00BF7F99"/>
    <w:rsid w:val="00C00713"/>
    <w:rsid w:val="00C009A0"/>
    <w:rsid w:val="00C01557"/>
    <w:rsid w:val="00C01F74"/>
    <w:rsid w:val="00C02558"/>
    <w:rsid w:val="00C0285F"/>
    <w:rsid w:val="00C028F5"/>
    <w:rsid w:val="00C02F35"/>
    <w:rsid w:val="00C03305"/>
    <w:rsid w:val="00C03515"/>
    <w:rsid w:val="00C03738"/>
    <w:rsid w:val="00C037A6"/>
    <w:rsid w:val="00C043F5"/>
    <w:rsid w:val="00C044E3"/>
    <w:rsid w:val="00C04607"/>
    <w:rsid w:val="00C04BDB"/>
    <w:rsid w:val="00C052C6"/>
    <w:rsid w:val="00C05987"/>
    <w:rsid w:val="00C05A61"/>
    <w:rsid w:val="00C05FBA"/>
    <w:rsid w:val="00C05FEE"/>
    <w:rsid w:val="00C06B5A"/>
    <w:rsid w:val="00C06CCF"/>
    <w:rsid w:val="00C0794D"/>
    <w:rsid w:val="00C10E78"/>
    <w:rsid w:val="00C10EF1"/>
    <w:rsid w:val="00C1159D"/>
    <w:rsid w:val="00C11B78"/>
    <w:rsid w:val="00C1233E"/>
    <w:rsid w:val="00C128B2"/>
    <w:rsid w:val="00C12FB3"/>
    <w:rsid w:val="00C13728"/>
    <w:rsid w:val="00C138BC"/>
    <w:rsid w:val="00C13D85"/>
    <w:rsid w:val="00C1427C"/>
    <w:rsid w:val="00C145FE"/>
    <w:rsid w:val="00C14639"/>
    <w:rsid w:val="00C14E82"/>
    <w:rsid w:val="00C14FF6"/>
    <w:rsid w:val="00C15A85"/>
    <w:rsid w:val="00C1637C"/>
    <w:rsid w:val="00C1641B"/>
    <w:rsid w:val="00C165FC"/>
    <w:rsid w:val="00C176D5"/>
    <w:rsid w:val="00C17830"/>
    <w:rsid w:val="00C17D24"/>
    <w:rsid w:val="00C2082C"/>
    <w:rsid w:val="00C20B85"/>
    <w:rsid w:val="00C20EB0"/>
    <w:rsid w:val="00C21004"/>
    <w:rsid w:val="00C21005"/>
    <w:rsid w:val="00C220B6"/>
    <w:rsid w:val="00C22D7C"/>
    <w:rsid w:val="00C22DDE"/>
    <w:rsid w:val="00C2338B"/>
    <w:rsid w:val="00C233CE"/>
    <w:rsid w:val="00C237DD"/>
    <w:rsid w:val="00C238F4"/>
    <w:rsid w:val="00C23926"/>
    <w:rsid w:val="00C2393A"/>
    <w:rsid w:val="00C23A99"/>
    <w:rsid w:val="00C245EE"/>
    <w:rsid w:val="00C24850"/>
    <w:rsid w:val="00C24AE1"/>
    <w:rsid w:val="00C24B8D"/>
    <w:rsid w:val="00C24BD7"/>
    <w:rsid w:val="00C24BF1"/>
    <w:rsid w:val="00C24D71"/>
    <w:rsid w:val="00C25813"/>
    <w:rsid w:val="00C26942"/>
    <w:rsid w:val="00C27143"/>
    <w:rsid w:val="00C27490"/>
    <w:rsid w:val="00C27CB7"/>
    <w:rsid w:val="00C27D37"/>
    <w:rsid w:val="00C309E8"/>
    <w:rsid w:val="00C32017"/>
    <w:rsid w:val="00C32571"/>
    <w:rsid w:val="00C325CD"/>
    <w:rsid w:val="00C3322E"/>
    <w:rsid w:val="00C337F5"/>
    <w:rsid w:val="00C3383E"/>
    <w:rsid w:val="00C33B90"/>
    <w:rsid w:val="00C33C81"/>
    <w:rsid w:val="00C34161"/>
    <w:rsid w:val="00C34B32"/>
    <w:rsid w:val="00C34B5F"/>
    <w:rsid w:val="00C34C1D"/>
    <w:rsid w:val="00C358D4"/>
    <w:rsid w:val="00C365C6"/>
    <w:rsid w:val="00C366F4"/>
    <w:rsid w:val="00C36785"/>
    <w:rsid w:val="00C3711C"/>
    <w:rsid w:val="00C37256"/>
    <w:rsid w:val="00C378CD"/>
    <w:rsid w:val="00C37A7B"/>
    <w:rsid w:val="00C37DC1"/>
    <w:rsid w:val="00C37FFE"/>
    <w:rsid w:val="00C40B50"/>
    <w:rsid w:val="00C419E3"/>
    <w:rsid w:val="00C419F4"/>
    <w:rsid w:val="00C41E6A"/>
    <w:rsid w:val="00C42247"/>
    <w:rsid w:val="00C428E7"/>
    <w:rsid w:val="00C432FB"/>
    <w:rsid w:val="00C438A2"/>
    <w:rsid w:val="00C439BE"/>
    <w:rsid w:val="00C4539B"/>
    <w:rsid w:val="00C45466"/>
    <w:rsid w:val="00C455C1"/>
    <w:rsid w:val="00C4581D"/>
    <w:rsid w:val="00C4635B"/>
    <w:rsid w:val="00C47472"/>
    <w:rsid w:val="00C500F0"/>
    <w:rsid w:val="00C50421"/>
    <w:rsid w:val="00C504A7"/>
    <w:rsid w:val="00C505D5"/>
    <w:rsid w:val="00C506C9"/>
    <w:rsid w:val="00C50A16"/>
    <w:rsid w:val="00C51C97"/>
    <w:rsid w:val="00C51C9A"/>
    <w:rsid w:val="00C52C68"/>
    <w:rsid w:val="00C52D98"/>
    <w:rsid w:val="00C52DA1"/>
    <w:rsid w:val="00C53D24"/>
    <w:rsid w:val="00C54640"/>
    <w:rsid w:val="00C546D1"/>
    <w:rsid w:val="00C547A6"/>
    <w:rsid w:val="00C54A3A"/>
    <w:rsid w:val="00C55340"/>
    <w:rsid w:val="00C55C32"/>
    <w:rsid w:val="00C56A67"/>
    <w:rsid w:val="00C56CC2"/>
    <w:rsid w:val="00C56D8D"/>
    <w:rsid w:val="00C57498"/>
    <w:rsid w:val="00C5763C"/>
    <w:rsid w:val="00C5780C"/>
    <w:rsid w:val="00C5796B"/>
    <w:rsid w:val="00C57C64"/>
    <w:rsid w:val="00C60CE0"/>
    <w:rsid w:val="00C612C4"/>
    <w:rsid w:val="00C619A1"/>
    <w:rsid w:val="00C62370"/>
    <w:rsid w:val="00C6249B"/>
    <w:rsid w:val="00C62BBB"/>
    <w:rsid w:val="00C6305F"/>
    <w:rsid w:val="00C6325B"/>
    <w:rsid w:val="00C63DDD"/>
    <w:rsid w:val="00C63E99"/>
    <w:rsid w:val="00C649B8"/>
    <w:rsid w:val="00C64A64"/>
    <w:rsid w:val="00C65049"/>
    <w:rsid w:val="00C65151"/>
    <w:rsid w:val="00C657F4"/>
    <w:rsid w:val="00C6598D"/>
    <w:rsid w:val="00C660FE"/>
    <w:rsid w:val="00C66119"/>
    <w:rsid w:val="00C66292"/>
    <w:rsid w:val="00C66B7D"/>
    <w:rsid w:val="00C67265"/>
    <w:rsid w:val="00C672A3"/>
    <w:rsid w:val="00C672F1"/>
    <w:rsid w:val="00C673D0"/>
    <w:rsid w:val="00C6742E"/>
    <w:rsid w:val="00C67B0B"/>
    <w:rsid w:val="00C67C0E"/>
    <w:rsid w:val="00C70012"/>
    <w:rsid w:val="00C71E2A"/>
    <w:rsid w:val="00C71F62"/>
    <w:rsid w:val="00C733BA"/>
    <w:rsid w:val="00C74306"/>
    <w:rsid w:val="00C760DC"/>
    <w:rsid w:val="00C8082B"/>
    <w:rsid w:val="00C818DA"/>
    <w:rsid w:val="00C81A88"/>
    <w:rsid w:val="00C81BD5"/>
    <w:rsid w:val="00C81D46"/>
    <w:rsid w:val="00C82298"/>
    <w:rsid w:val="00C8331F"/>
    <w:rsid w:val="00C833B4"/>
    <w:rsid w:val="00C83C3E"/>
    <w:rsid w:val="00C84284"/>
    <w:rsid w:val="00C84887"/>
    <w:rsid w:val="00C84E33"/>
    <w:rsid w:val="00C856A1"/>
    <w:rsid w:val="00C85ACB"/>
    <w:rsid w:val="00C85E5A"/>
    <w:rsid w:val="00C85FFC"/>
    <w:rsid w:val="00C861FC"/>
    <w:rsid w:val="00C86C87"/>
    <w:rsid w:val="00C9005E"/>
    <w:rsid w:val="00C90111"/>
    <w:rsid w:val="00C9038E"/>
    <w:rsid w:val="00C9077B"/>
    <w:rsid w:val="00C90CA9"/>
    <w:rsid w:val="00C90F88"/>
    <w:rsid w:val="00C915F2"/>
    <w:rsid w:val="00C917B1"/>
    <w:rsid w:val="00C9193C"/>
    <w:rsid w:val="00C91B77"/>
    <w:rsid w:val="00C920E2"/>
    <w:rsid w:val="00C9370F"/>
    <w:rsid w:val="00C93765"/>
    <w:rsid w:val="00C93877"/>
    <w:rsid w:val="00C93D8C"/>
    <w:rsid w:val="00C93E07"/>
    <w:rsid w:val="00C946CC"/>
    <w:rsid w:val="00C959BD"/>
    <w:rsid w:val="00C95DFE"/>
    <w:rsid w:val="00C95F44"/>
    <w:rsid w:val="00C96D1B"/>
    <w:rsid w:val="00C97106"/>
    <w:rsid w:val="00C978D4"/>
    <w:rsid w:val="00CA0031"/>
    <w:rsid w:val="00CA0413"/>
    <w:rsid w:val="00CA043A"/>
    <w:rsid w:val="00CA084B"/>
    <w:rsid w:val="00CA0E51"/>
    <w:rsid w:val="00CA1691"/>
    <w:rsid w:val="00CA22BA"/>
    <w:rsid w:val="00CA41E7"/>
    <w:rsid w:val="00CA4A99"/>
    <w:rsid w:val="00CA4AD7"/>
    <w:rsid w:val="00CA4D7D"/>
    <w:rsid w:val="00CA5520"/>
    <w:rsid w:val="00CA5812"/>
    <w:rsid w:val="00CA5BD4"/>
    <w:rsid w:val="00CA5C14"/>
    <w:rsid w:val="00CA5CF3"/>
    <w:rsid w:val="00CA76FC"/>
    <w:rsid w:val="00CA7E7B"/>
    <w:rsid w:val="00CB0236"/>
    <w:rsid w:val="00CB1881"/>
    <w:rsid w:val="00CB1969"/>
    <w:rsid w:val="00CB19E3"/>
    <w:rsid w:val="00CB2C3A"/>
    <w:rsid w:val="00CB2D38"/>
    <w:rsid w:val="00CB31B4"/>
    <w:rsid w:val="00CB3725"/>
    <w:rsid w:val="00CB4137"/>
    <w:rsid w:val="00CB50D0"/>
    <w:rsid w:val="00CB52D0"/>
    <w:rsid w:val="00CB5578"/>
    <w:rsid w:val="00CB5671"/>
    <w:rsid w:val="00CB591C"/>
    <w:rsid w:val="00CB5943"/>
    <w:rsid w:val="00CB61B3"/>
    <w:rsid w:val="00CB6F83"/>
    <w:rsid w:val="00CB72AE"/>
    <w:rsid w:val="00CB7B08"/>
    <w:rsid w:val="00CC00CD"/>
    <w:rsid w:val="00CC0579"/>
    <w:rsid w:val="00CC09B4"/>
    <w:rsid w:val="00CC0AF3"/>
    <w:rsid w:val="00CC0BC6"/>
    <w:rsid w:val="00CC0E68"/>
    <w:rsid w:val="00CC1409"/>
    <w:rsid w:val="00CC1780"/>
    <w:rsid w:val="00CC1897"/>
    <w:rsid w:val="00CC194E"/>
    <w:rsid w:val="00CC21AC"/>
    <w:rsid w:val="00CC2242"/>
    <w:rsid w:val="00CC232E"/>
    <w:rsid w:val="00CC2514"/>
    <w:rsid w:val="00CC2D34"/>
    <w:rsid w:val="00CC2F69"/>
    <w:rsid w:val="00CC315F"/>
    <w:rsid w:val="00CC3D38"/>
    <w:rsid w:val="00CC40C3"/>
    <w:rsid w:val="00CC4751"/>
    <w:rsid w:val="00CC4CB4"/>
    <w:rsid w:val="00CC4E5D"/>
    <w:rsid w:val="00CC50AE"/>
    <w:rsid w:val="00CC5444"/>
    <w:rsid w:val="00CC5E38"/>
    <w:rsid w:val="00CC5FFE"/>
    <w:rsid w:val="00CC61B7"/>
    <w:rsid w:val="00CC61CA"/>
    <w:rsid w:val="00CC69EC"/>
    <w:rsid w:val="00CC71D3"/>
    <w:rsid w:val="00CC743D"/>
    <w:rsid w:val="00CD02ED"/>
    <w:rsid w:val="00CD050A"/>
    <w:rsid w:val="00CD0E58"/>
    <w:rsid w:val="00CD1017"/>
    <w:rsid w:val="00CD19EA"/>
    <w:rsid w:val="00CD1D44"/>
    <w:rsid w:val="00CD205D"/>
    <w:rsid w:val="00CD2A22"/>
    <w:rsid w:val="00CD2B50"/>
    <w:rsid w:val="00CD3172"/>
    <w:rsid w:val="00CD3A6D"/>
    <w:rsid w:val="00CD3D18"/>
    <w:rsid w:val="00CD4506"/>
    <w:rsid w:val="00CD520B"/>
    <w:rsid w:val="00CD5663"/>
    <w:rsid w:val="00CD592E"/>
    <w:rsid w:val="00CD5982"/>
    <w:rsid w:val="00CD5A1A"/>
    <w:rsid w:val="00CD6438"/>
    <w:rsid w:val="00CD73C6"/>
    <w:rsid w:val="00CD7EFA"/>
    <w:rsid w:val="00CE020E"/>
    <w:rsid w:val="00CE0566"/>
    <w:rsid w:val="00CE1CD4"/>
    <w:rsid w:val="00CE2761"/>
    <w:rsid w:val="00CE28FC"/>
    <w:rsid w:val="00CE314E"/>
    <w:rsid w:val="00CE3A85"/>
    <w:rsid w:val="00CE3B81"/>
    <w:rsid w:val="00CE3D5C"/>
    <w:rsid w:val="00CE3E09"/>
    <w:rsid w:val="00CE3E14"/>
    <w:rsid w:val="00CE44C7"/>
    <w:rsid w:val="00CE53CC"/>
    <w:rsid w:val="00CE5F60"/>
    <w:rsid w:val="00CE65A7"/>
    <w:rsid w:val="00CE68FE"/>
    <w:rsid w:val="00CE69CC"/>
    <w:rsid w:val="00CE6EC4"/>
    <w:rsid w:val="00CE7F26"/>
    <w:rsid w:val="00CE7F71"/>
    <w:rsid w:val="00CF1226"/>
    <w:rsid w:val="00CF1A9B"/>
    <w:rsid w:val="00CF1ABB"/>
    <w:rsid w:val="00CF1E1D"/>
    <w:rsid w:val="00CF24FE"/>
    <w:rsid w:val="00CF287F"/>
    <w:rsid w:val="00CF35D0"/>
    <w:rsid w:val="00CF3B57"/>
    <w:rsid w:val="00CF3DD5"/>
    <w:rsid w:val="00CF497B"/>
    <w:rsid w:val="00CF4AF7"/>
    <w:rsid w:val="00CF4D20"/>
    <w:rsid w:val="00CF5E78"/>
    <w:rsid w:val="00CF729B"/>
    <w:rsid w:val="00CF73F8"/>
    <w:rsid w:val="00CF7928"/>
    <w:rsid w:val="00CF7CA2"/>
    <w:rsid w:val="00D00911"/>
    <w:rsid w:val="00D00A8E"/>
    <w:rsid w:val="00D00DE0"/>
    <w:rsid w:val="00D00F79"/>
    <w:rsid w:val="00D012BF"/>
    <w:rsid w:val="00D01760"/>
    <w:rsid w:val="00D034D1"/>
    <w:rsid w:val="00D0368E"/>
    <w:rsid w:val="00D03AC3"/>
    <w:rsid w:val="00D03D2D"/>
    <w:rsid w:val="00D03E7B"/>
    <w:rsid w:val="00D03E9B"/>
    <w:rsid w:val="00D0401A"/>
    <w:rsid w:val="00D047E0"/>
    <w:rsid w:val="00D04B9F"/>
    <w:rsid w:val="00D04D43"/>
    <w:rsid w:val="00D04FFB"/>
    <w:rsid w:val="00D0545B"/>
    <w:rsid w:val="00D055FE"/>
    <w:rsid w:val="00D058E9"/>
    <w:rsid w:val="00D05CF9"/>
    <w:rsid w:val="00D0612A"/>
    <w:rsid w:val="00D068CD"/>
    <w:rsid w:val="00D07BF6"/>
    <w:rsid w:val="00D07E10"/>
    <w:rsid w:val="00D1060D"/>
    <w:rsid w:val="00D10D14"/>
    <w:rsid w:val="00D10E7C"/>
    <w:rsid w:val="00D11182"/>
    <w:rsid w:val="00D1137B"/>
    <w:rsid w:val="00D11807"/>
    <w:rsid w:val="00D11DB3"/>
    <w:rsid w:val="00D126C8"/>
    <w:rsid w:val="00D12D82"/>
    <w:rsid w:val="00D12E9B"/>
    <w:rsid w:val="00D12F77"/>
    <w:rsid w:val="00D1306E"/>
    <w:rsid w:val="00D130B7"/>
    <w:rsid w:val="00D134CD"/>
    <w:rsid w:val="00D14B5F"/>
    <w:rsid w:val="00D14E13"/>
    <w:rsid w:val="00D14F23"/>
    <w:rsid w:val="00D160F6"/>
    <w:rsid w:val="00D16740"/>
    <w:rsid w:val="00D16A8B"/>
    <w:rsid w:val="00D16B96"/>
    <w:rsid w:val="00D16E39"/>
    <w:rsid w:val="00D171DE"/>
    <w:rsid w:val="00D172A4"/>
    <w:rsid w:val="00D17951"/>
    <w:rsid w:val="00D17AD8"/>
    <w:rsid w:val="00D20FDE"/>
    <w:rsid w:val="00D2104A"/>
    <w:rsid w:val="00D21BB5"/>
    <w:rsid w:val="00D21FFC"/>
    <w:rsid w:val="00D223B6"/>
    <w:rsid w:val="00D223E8"/>
    <w:rsid w:val="00D224E1"/>
    <w:rsid w:val="00D22DC8"/>
    <w:rsid w:val="00D22F18"/>
    <w:rsid w:val="00D2477B"/>
    <w:rsid w:val="00D2522A"/>
    <w:rsid w:val="00D2531C"/>
    <w:rsid w:val="00D25428"/>
    <w:rsid w:val="00D2553E"/>
    <w:rsid w:val="00D2742F"/>
    <w:rsid w:val="00D2754F"/>
    <w:rsid w:val="00D277C5"/>
    <w:rsid w:val="00D279D9"/>
    <w:rsid w:val="00D31011"/>
    <w:rsid w:val="00D312DC"/>
    <w:rsid w:val="00D31AA2"/>
    <w:rsid w:val="00D31B84"/>
    <w:rsid w:val="00D31C6A"/>
    <w:rsid w:val="00D31EDF"/>
    <w:rsid w:val="00D31FF9"/>
    <w:rsid w:val="00D32149"/>
    <w:rsid w:val="00D32256"/>
    <w:rsid w:val="00D325D2"/>
    <w:rsid w:val="00D32A27"/>
    <w:rsid w:val="00D32ABC"/>
    <w:rsid w:val="00D33100"/>
    <w:rsid w:val="00D33178"/>
    <w:rsid w:val="00D33FA4"/>
    <w:rsid w:val="00D34B25"/>
    <w:rsid w:val="00D34C7F"/>
    <w:rsid w:val="00D34F4E"/>
    <w:rsid w:val="00D353F8"/>
    <w:rsid w:val="00D357F3"/>
    <w:rsid w:val="00D35A63"/>
    <w:rsid w:val="00D35C0E"/>
    <w:rsid w:val="00D36194"/>
    <w:rsid w:val="00D36FBF"/>
    <w:rsid w:val="00D373A8"/>
    <w:rsid w:val="00D379A5"/>
    <w:rsid w:val="00D37BB3"/>
    <w:rsid w:val="00D401BE"/>
    <w:rsid w:val="00D4043A"/>
    <w:rsid w:val="00D40DB0"/>
    <w:rsid w:val="00D41093"/>
    <w:rsid w:val="00D41858"/>
    <w:rsid w:val="00D422DB"/>
    <w:rsid w:val="00D42AC2"/>
    <w:rsid w:val="00D4498E"/>
    <w:rsid w:val="00D4515F"/>
    <w:rsid w:val="00D451E8"/>
    <w:rsid w:val="00D45230"/>
    <w:rsid w:val="00D466C9"/>
    <w:rsid w:val="00D47275"/>
    <w:rsid w:val="00D517F6"/>
    <w:rsid w:val="00D51AB7"/>
    <w:rsid w:val="00D51E15"/>
    <w:rsid w:val="00D5211B"/>
    <w:rsid w:val="00D52B7E"/>
    <w:rsid w:val="00D52E2F"/>
    <w:rsid w:val="00D52F59"/>
    <w:rsid w:val="00D53445"/>
    <w:rsid w:val="00D53D54"/>
    <w:rsid w:val="00D53E3E"/>
    <w:rsid w:val="00D54620"/>
    <w:rsid w:val="00D55904"/>
    <w:rsid w:val="00D5614E"/>
    <w:rsid w:val="00D5616F"/>
    <w:rsid w:val="00D5636D"/>
    <w:rsid w:val="00D56C96"/>
    <w:rsid w:val="00D57940"/>
    <w:rsid w:val="00D60327"/>
    <w:rsid w:val="00D61384"/>
    <w:rsid w:val="00D61526"/>
    <w:rsid w:val="00D61B44"/>
    <w:rsid w:val="00D61C39"/>
    <w:rsid w:val="00D61F81"/>
    <w:rsid w:val="00D620A6"/>
    <w:rsid w:val="00D62BE6"/>
    <w:rsid w:val="00D63766"/>
    <w:rsid w:val="00D63912"/>
    <w:rsid w:val="00D63923"/>
    <w:rsid w:val="00D6451B"/>
    <w:rsid w:val="00D64776"/>
    <w:rsid w:val="00D64B57"/>
    <w:rsid w:val="00D651A1"/>
    <w:rsid w:val="00D652C0"/>
    <w:rsid w:val="00D65DEA"/>
    <w:rsid w:val="00D6650F"/>
    <w:rsid w:val="00D66579"/>
    <w:rsid w:val="00D676D3"/>
    <w:rsid w:val="00D67B06"/>
    <w:rsid w:val="00D67BC7"/>
    <w:rsid w:val="00D701F1"/>
    <w:rsid w:val="00D705D3"/>
    <w:rsid w:val="00D70E00"/>
    <w:rsid w:val="00D70F7C"/>
    <w:rsid w:val="00D715AC"/>
    <w:rsid w:val="00D71851"/>
    <w:rsid w:val="00D718CF"/>
    <w:rsid w:val="00D720DD"/>
    <w:rsid w:val="00D728F5"/>
    <w:rsid w:val="00D72E9D"/>
    <w:rsid w:val="00D73249"/>
    <w:rsid w:val="00D7329A"/>
    <w:rsid w:val="00D73419"/>
    <w:rsid w:val="00D73881"/>
    <w:rsid w:val="00D73CA9"/>
    <w:rsid w:val="00D751B7"/>
    <w:rsid w:val="00D7524B"/>
    <w:rsid w:val="00D75396"/>
    <w:rsid w:val="00D759C0"/>
    <w:rsid w:val="00D75E99"/>
    <w:rsid w:val="00D76353"/>
    <w:rsid w:val="00D765CE"/>
    <w:rsid w:val="00D766C7"/>
    <w:rsid w:val="00D7692B"/>
    <w:rsid w:val="00D7734F"/>
    <w:rsid w:val="00D7791D"/>
    <w:rsid w:val="00D8039E"/>
    <w:rsid w:val="00D8044C"/>
    <w:rsid w:val="00D805D6"/>
    <w:rsid w:val="00D8075E"/>
    <w:rsid w:val="00D80860"/>
    <w:rsid w:val="00D80D4C"/>
    <w:rsid w:val="00D8184D"/>
    <w:rsid w:val="00D81A7B"/>
    <w:rsid w:val="00D8223C"/>
    <w:rsid w:val="00D82B57"/>
    <w:rsid w:val="00D82CE5"/>
    <w:rsid w:val="00D831E3"/>
    <w:rsid w:val="00D8342C"/>
    <w:rsid w:val="00D834BC"/>
    <w:rsid w:val="00D83948"/>
    <w:rsid w:val="00D84669"/>
    <w:rsid w:val="00D84983"/>
    <w:rsid w:val="00D84C00"/>
    <w:rsid w:val="00D85494"/>
    <w:rsid w:val="00D8582C"/>
    <w:rsid w:val="00D85D61"/>
    <w:rsid w:val="00D8616D"/>
    <w:rsid w:val="00D868FE"/>
    <w:rsid w:val="00D8711B"/>
    <w:rsid w:val="00D87384"/>
    <w:rsid w:val="00D8771B"/>
    <w:rsid w:val="00D90683"/>
    <w:rsid w:val="00D90B2A"/>
    <w:rsid w:val="00D911B3"/>
    <w:rsid w:val="00D91483"/>
    <w:rsid w:val="00D915C8"/>
    <w:rsid w:val="00D9310B"/>
    <w:rsid w:val="00D931F3"/>
    <w:rsid w:val="00D93726"/>
    <w:rsid w:val="00D93F3E"/>
    <w:rsid w:val="00D9405B"/>
    <w:rsid w:val="00D94942"/>
    <w:rsid w:val="00D95145"/>
    <w:rsid w:val="00D96594"/>
    <w:rsid w:val="00D967CB"/>
    <w:rsid w:val="00D968D4"/>
    <w:rsid w:val="00D96DEE"/>
    <w:rsid w:val="00D96EE0"/>
    <w:rsid w:val="00D9771D"/>
    <w:rsid w:val="00D97BD1"/>
    <w:rsid w:val="00DA00C3"/>
    <w:rsid w:val="00DA01E9"/>
    <w:rsid w:val="00DA06B8"/>
    <w:rsid w:val="00DA0E8A"/>
    <w:rsid w:val="00DA14A9"/>
    <w:rsid w:val="00DA286D"/>
    <w:rsid w:val="00DA2969"/>
    <w:rsid w:val="00DA29B7"/>
    <w:rsid w:val="00DA2E5F"/>
    <w:rsid w:val="00DA337C"/>
    <w:rsid w:val="00DA4187"/>
    <w:rsid w:val="00DA4842"/>
    <w:rsid w:val="00DA4C97"/>
    <w:rsid w:val="00DA530A"/>
    <w:rsid w:val="00DA5989"/>
    <w:rsid w:val="00DA5AB1"/>
    <w:rsid w:val="00DA5F9D"/>
    <w:rsid w:val="00DA69B2"/>
    <w:rsid w:val="00DA6A57"/>
    <w:rsid w:val="00DA7462"/>
    <w:rsid w:val="00DA7AD0"/>
    <w:rsid w:val="00DB02D7"/>
    <w:rsid w:val="00DB03CC"/>
    <w:rsid w:val="00DB12D4"/>
    <w:rsid w:val="00DB14F0"/>
    <w:rsid w:val="00DB1745"/>
    <w:rsid w:val="00DB19BB"/>
    <w:rsid w:val="00DB1AFF"/>
    <w:rsid w:val="00DB219A"/>
    <w:rsid w:val="00DB3009"/>
    <w:rsid w:val="00DB3165"/>
    <w:rsid w:val="00DB3909"/>
    <w:rsid w:val="00DB4292"/>
    <w:rsid w:val="00DB5023"/>
    <w:rsid w:val="00DB646B"/>
    <w:rsid w:val="00DB6895"/>
    <w:rsid w:val="00DB6E46"/>
    <w:rsid w:val="00DB7117"/>
    <w:rsid w:val="00DB7760"/>
    <w:rsid w:val="00DB7DD4"/>
    <w:rsid w:val="00DC00B4"/>
    <w:rsid w:val="00DC0585"/>
    <w:rsid w:val="00DC0954"/>
    <w:rsid w:val="00DC0DF8"/>
    <w:rsid w:val="00DC15BA"/>
    <w:rsid w:val="00DC18CD"/>
    <w:rsid w:val="00DC1A68"/>
    <w:rsid w:val="00DC30B8"/>
    <w:rsid w:val="00DC3B6B"/>
    <w:rsid w:val="00DC478F"/>
    <w:rsid w:val="00DC62E5"/>
    <w:rsid w:val="00DC6D70"/>
    <w:rsid w:val="00DC6F33"/>
    <w:rsid w:val="00DC7349"/>
    <w:rsid w:val="00DD0EA9"/>
    <w:rsid w:val="00DD14D8"/>
    <w:rsid w:val="00DD1599"/>
    <w:rsid w:val="00DD16F1"/>
    <w:rsid w:val="00DD18DD"/>
    <w:rsid w:val="00DD1B03"/>
    <w:rsid w:val="00DD1E43"/>
    <w:rsid w:val="00DD26BA"/>
    <w:rsid w:val="00DD2A62"/>
    <w:rsid w:val="00DD2CEF"/>
    <w:rsid w:val="00DD2F2F"/>
    <w:rsid w:val="00DD2F7A"/>
    <w:rsid w:val="00DD31EF"/>
    <w:rsid w:val="00DD3885"/>
    <w:rsid w:val="00DD5808"/>
    <w:rsid w:val="00DD5946"/>
    <w:rsid w:val="00DD5B04"/>
    <w:rsid w:val="00DD5DAE"/>
    <w:rsid w:val="00DD5EC6"/>
    <w:rsid w:val="00DD605F"/>
    <w:rsid w:val="00DD6C99"/>
    <w:rsid w:val="00DD7024"/>
    <w:rsid w:val="00DD72A0"/>
    <w:rsid w:val="00DD735D"/>
    <w:rsid w:val="00DD7F7D"/>
    <w:rsid w:val="00DE0159"/>
    <w:rsid w:val="00DE064A"/>
    <w:rsid w:val="00DE082D"/>
    <w:rsid w:val="00DE0D15"/>
    <w:rsid w:val="00DE104F"/>
    <w:rsid w:val="00DE106B"/>
    <w:rsid w:val="00DE1410"/>
    <w:rsid w:val="00DE20C6"/>
    <w:rsid w:val="00DE3119"/>
    <w:rsid w:val="00DE3E0B"/>
    <w:rsid w:val="00DE3FF0"/>
    <w:rsid w:val="00DE4105"/>
    <w:rsid w:val="00DE5189"/>
    <w:rsid w:val="00DE56F3"/>
    <w:rsid w:val="00DE7108"/>
    <w:rsid w:val="00DE771D"/>
    <w:rsid w:val="00DE78D1"/>
    <w:rsid w:val="00DE78FF"/>
    <w:rsid w:val="00DF00C7"/>
    <w:rsid w:val="00DF0263"/>
    <w:rsid w:val="00DF098F"/>
    <w:rsid w:val="00DF0EB4"/>
    <w:rsid w:val="00DF146A"/>
    <w:rsid w:val="00DF158B"/>
    <w:rsid w:val="00DF193C"/>
    <w:rsid w:val="00DF1E36"/>
    <w:rsid w:val="00DF236B"/>
    <w:rsid w:val="00DF2A91"/>
    <w:rsid w:val="00DF3889"/>
    <w:rsid w:val="00DF3CC9"/>
    <w:rsid w:val="00DF4451"/>
    <w:rsid w:val="00DF49FF"/>
    <w:rsid w:val="00DF4FFB"/>
    <w:rsid w:val="00DF5236"/>
    <w:rsid w:val="00DF5FDB"/>
    <w:rsid w:val="00DF651F"/>
    <w:rsid w:val="00DF6F43"/>
    <w:rsid w:val="00DF71EA"/>
    <w:rsid w:val="00DF752F"/>
    <w:rsid w:val="00DF76A2"/>
    <w:rsid w:val="00E00B7A"/>
    <w:rsid w:val="00E02186"/>
    <w:rsid w:val="00E025C2"/>
    <w:rsid w:val="00E026BB"/>
    <w:rsid w:val="00E027C5"/>
    <w:rsid w:val="00E03124"/>
    <w:rsid w:val="00E031C3"/>
    <w:rsid w:val="00E03951"/>
    <w:rsid w:val="00E03DB8"/>
    <w:rsid w:val="00E03F17"/>
    <w:rsid w:val="00E0420C"/>
    <w:rsid w:val="00E047D5"/>
    <w:rsid w:val="00E04DD3"/>
    <w:rsid w:val="00E04EDD"/>
    <w:rsid w:val="00E05AA3"/>
    <w:rsid w:val="00E05E70"/>
    <w:rsid w:val="00E064BC"/>
    <w:rsid w:val="00E07225"/>
    <w:rsid w:val="00E076B4"/>
    <w:rsid w:val="00E07B55"/>
    <w:rsid w:val="00E10579"/>
    <w:rsid w:val="00E10855"/>
    <w:rsid w:val="00E109DD"/>
    <w:rsid w:val="00E11229"/>
    <w:rsid w:val="00E114CA"/>
    <w:rsid w:val="00E127D1"/>
    <w:rsid w:val="00E13867"/>
    <w:rsid w:val="00E1397F"/>
    <w:rsid w:val="00E13AB8"/>
    <w:rsid w:val="00E1482E"/>
    <w:rsid w:val="00E162D7"/>
    <w:rsid w:val="00E16382"/>
    <w:rsid w:val="00E1699C"/>
    <w:rsid w:val="00E16E75"/>
    <w:rsid w:val="00E17122"/>
    <w:rsid w:val="00E1746D"/>
    <w:rsid w:val="00E174E8"/>
    <w:rsid w:val="00E17CD1"/>
    <w:rsid w:val="00E2012A"/>
    <w:rsid w:val="00E205A2"/>
    <w:rsid w:val="00E205DC"/>
    <w:rsid w:val="00E20BA4"/>
    <w:rsid w:val="00E20E22"/>
    <w:rsid w:val="00E210D0"/>
    <w:rsid w:val="00E224B6"/>
    <w:rsid w:val="00E23137"/>
    <w:rsid w:val="00E23980"/>
    <w:rsid w:val="00E241E9"/>
    <w:rsid w:val="00E257C3"/>
    <w:rsid w:val="00E25A2C"/>
    <w:rsid w:val="00E25CB3"/>
    <w:rsid w:val="00E25DA4"/>
    <w:rsid w:val="00E25EB2"/>
    <w:rsid w:val="00E26237"/>
    <w:rsid w:val="00E26CB8"/>
    <w:rsid w:val="00E26D16"/>
    <w:rsid w:val="00E26FCF"/>
    <w:rsid w:val="00E27165"/>
    <w:rsid w:val="00E2721E"/>
    <w:rsid w:val="00E275D9"/>
    <w:rsid w:val="00E30444"/>
    <w:rsid w:val="00E3044A"/>
    <w:rsid w:val="00E30E49"/>
    <w:rsid w:val="00E31A4A"/>
    <w:rsid w:val="00E3344A"/>
    <w:rsid w:val="00E33B29"/>
    <w:rsid w:val="00E33B62"/>
    <w:rsid w:val="00E33F67"/>
    <w:rsid w:val="00E3403D"/>
    <w:rsid w:val="00E344BD"/>
    <w:rsid w:val="00E34E6C"/>
    <w:rsid w:val="00E353E2"/>
    <w:rsid w:val="00E36345"/>
    <w:rsid w:val="00E36C86"/>
    <w:rsid w:val="00E36CEB"/>
    <w:rsid w:val="00E37A28"/>
    <w:rsid w:val="00E40430"/>
    <w:rsid w:val="00E40690"/>
    <w:rsid w:val="00E40AEB"/>
    <w:rsid w:val="00E40E82"/>
    <w:rsid w:val="00E41141"/>
    <w:rsid w:val="00E4143A"/>
    <w:rsid w:val="00E4159B"/>
    <w:rsid w:val="00E4186F"/>
    <w:rsid w:val="00E424C8"/>
    <w:rsid w:val="00E4251D"/>
    <w:rsid w:val="00E436BF"/>
    <w:rsid w:val="00E43D00"/>
    <w:rsid w:val="00E443B4"/>
    <w:rsid w:val="00E445E4"/>
    <w:rsid w:val="00E457CB"/>
    <w:rsid w:val="00E45D47"/>
    <w:rsid w:val="00E45DE4"/>
    <w:rsid w:val="00E45E63"/>
    <w:rsid w:val="00E4759C"/>
    <w:rsid w:val="00E50A7B"/>
    <w:rsid w:val="00E50B0B"/>
    <w:rsid w:val="00E50C57"/>
    <w:rsid w:val="00E510FE"/>
    <w:rsid w:val="00E514BA"/>
    <w:rsid w:val="00E51E25"/>
    <w:rsid w:val="00E5205B"/>
    <w:rsid w:val="00E521AE"/>
    <w:rsid w:val="00E529A3"/>
    <w:rsid w:val="00E53A21"/>
    <w:rsid w:val="00E53BCA"/>
    <w:rsid w:val="00E53DE2"/>
    <w:rsid w:val="00E53F02"/>
    <w:rsid w:val="00E54276"/>
    <w:rsid w:val="00E5428D"/>
    <w:rsid w:val="00E54534"/>
    <w:rsid w:val="00E548C3"/>
    <w:rsid w:val="00E54F27"/>
    <w:rsid w:val="00E552DD"/>
    <w:rsid w:val="00E55FF1"/>
    <w:rsid w:val="00E56090"/>
    <w:rsid w:val="00E565B9"/>
    <w:rsid w:val="00E56E7B"/>
    <w:rsid w:val="00E5733B"/>
    <w:rsid w:val="00E5756C"/>
    <w:rsid w:val="00E57811"/>
    <w:rsid w:val="00E601BE"/>
    <w:rsid w:val="00E608EC"/>
    <w:rsid w:val="00E60B5F"/>
    <w:rsid w:val="00E60D8D"/>
    <w:rsid w:val="00E60FF7"/>
    <w:rsid w:val="00E6101C"/>
    <w:rsid w:val="00E613AE"/>
    <w:rsid w:val="00E61429"/>
    <w:rsid w:val="00E61ABB"/>
    <w:rsid w:val="00E61FD7"/>
    <w:rsid w:val="00E623E6"/>
    <w:rsid w:val="00E630A2"/>
    <w:rsid w:val="00E630C0"/>
    <w:rsid w:val="00E63107"/>
    <w:rsid w:val="00E6312C"/>
    <w:rsid w:val="00E634E6"/>
    <w:rsid w:val="00E63DCE"/>
    <w:rsid w:val="00E64700"/>
    <w:rsid w:val="00E65074"/>
    <w:rsid w:val="00E65B0D"/>
    <w:rsid w:val="00E65E70"/>
    <w:rsid w:val="00E66087"/>
    <w:rsid w:val="00E66B2D"/>
    <w:rsid w:val="00E66D79"/>
    <w:rsid w:val="00E66F5A"/>
    <w:rsid w:val="00E66FF9"/>
    <w:rsid w:val="00E6706F"/>
    <w:rsid w:val="00E670DD"/>
    <w:rsid w:val="00E673A2"/>
    <w:rsid w:val="00E67856"/>
    <w:rsid w:val="00E679C8"/>
    <w:rsid w:val="00E70314"/>
    <w:rsid w:val="00E70730"/>
    <w:rsid w:val="00E70D71"/>
    <w:rsid w:val="00E716DC"/>
    <w:rsid w:val="00E71704"/>
    <w:rsid w:val="00E719F2"/>
    <w:rsid w:val="00E724E7"/>
    <w:rsid w:val="00E72B41"/>
    <w:rsid w:val="00E732C1"/>
    <w:rsid w:val="00E7347B"/>
    <w:rsid w:val="00E73792"/>
    <w:rsid w:val="00E73D03"/>
    <w:rsid w:val="00E746A6"/>
    <w:rsid w:val="00E7471C"/>
    <w:rsid w:val="00E7498A"/>
    <w:rsid w:val="00E7514E"/>
    <w:rsid w:val="00E76537"/>
    <w:rsid w:val="00E77784"/>
    <w:rsid w:val="00E77AF5"/>
    <w:rsid w:val="00E807B5"/>
    <w:rsid w:val="00E8143D"/>
    <w:rsid w:val="00E820F4"/>
    <w:rsid w:val="00E823F9"/>
    <w:rsid w:val="00E82C1F"/>
    <w:rsid w:val="00E83671"/>
    <w:rsid w:val="00E839C4"/>
    <w:rsid w:val="00E840EE"/>
    <w:rsid w:val="00E84314"/>
    <w:rsid w:val="00E843E4"/>
    <w:rsid w:val="00E849CA"/>
    <w:rsid w:val="00E84A71"/>
    <w:rsid w:val="00E8556F"/>
    <w:rsid w:val="00E85CE0"/>
    <w:rsid w:val="00E86556"/>
    <w:rsid w:val="00E86D35"/>
    <w:rsid w:val="00E86DC2"/>
    <w:rsid w:val="00E86E32"/>
    <w:rsid w:val="00E86F2E"/>
    <w:rsid w:val="00E8732E"/>
    <w:rsid w:val="00E9011F"/>
    <w:rsid w:val="00E906EB"/>
    <w:rsid w:val="00E90AEC"/>
    <w:rsid w:val="00E914C8"/>
    <w:rsid w:val="00E9170E"/>
    <w:rsid w:val="00E919FB"/>
    <w:rsid w:val="00E91E47"/>
    <w:rsid w:val="00E9241E"/>
    <w:rsid w:val="00E92460"/>
    <w:rsid w:val="00E924FE"/>
    <w:rsid w:val="00E92E62"/>
    <w:rsid w:val="00E93804"/>
    <w:rsid w:val="00E9429D"/>
    <w:rsid w:val="00E95434"/>
    <w:rsid w:val="00E96467"/>
    <w:rsid w:val="00E966DA"/>
    <w:rsid w:val="00E96948"/>
    <w:rsid w:val="00E9737B"/>
    <w:rsid w:val="00E97A3F"/>
    <w:rsid w:val="00E97F0A"/>
    <w:rsid w:val="00EA0100"/>
    <w:rsid w:val="00EA0BCE"/>
    <w:rsid w:val="00EA1532"/>
    <w:rsid w:val="00EA22FA"/>
    <w:rsid w:val="00EA2744"/>
    <w:rsid w:val="00EA37B9"/>
    <w:rsid w:val="00EA38CD"/>
    <w:rsid w:val="00EA39F7"/>
    <w:rsid w:val="00EA3DC2"/>
    <w:rsid w:val="00EA434E"/>
    <w:rsid w:val="00EA4395"/>
    <w:rsid w:val="00EA45F1"/>
    <w:rsid w:val="00EA4757"/>
    <w:rsid w:val="00EA560B"/>
    <w:rsid w:val="00EA5669"/>
    <w:rsid w:val="00EA57BD"/>
    <w:rsid w:val="00EA5CC6"/>
    <w:rsid w:val="00EA63EF"/>
    <w:rsid w:val="00EA7CBF"/>
    <w:rsid w:val="00EB0329"/>
    <w:rsid w:val="00EB0A89"/>
    <w:rsid w:val="00EB1573"/>
    <w:rsid w:val="00EB185F"/>
    <w:rsid w:val="00EB1910"/>
    <w:rsid w:val="00EB2D83"/>
    <w:rsid w:val="00EB2E97"/>
    <w:rsid w:val="00EB3416"/>
    <w:rsid w:val="00EB45AE"/>
    <w:rsid w:val="00EB4AE1"/>
    <w:rsid w:val="00EB4D92"/>
    <w:rsid w:val="00EB52F4"/>
    <w:rsid w:val="00EB5694"/>
    <w:rsid w:val="00EB5779"/>
    <w:rsid w:val="00EB5D2F"/>
    <w:rsid w:val="00EB67F1"/>
    <w:rsid w:val="00EB6ADA"/>
    <w:rsid w:val="00EB72CD"/>
    <w:rsid w:val="00EB749A"/>
    <w:rsid w:val="00EB76B6"/>
    <w:rsid w:val="00EB7D8A"/>
    <w:rsid w:val="00EC04F7"/>
    <w:rsid w:val="00EC05E2"/>
    <w:rsid w:val="00EC0E84"/>
    <w:rsid w:val="00EC16E2"/>
    <w:rsid w:val="00EC1CE7"/>
    <w:rsid w:val="00EC1DAE"/>
    <w:rsid w:val="00EC26F1"/>
    <w:rsid w:val="00EC30E7"/>
    <w:rsid w:val="00EC3C94"/>
    <w:rsid w:val="00EC44DF"/>
    <w:rsid w:val="00EC4FB9"/>
    <w:rsid w:val="00EC5393"/>
    <w:rsid w:val="00EC5394"/>
    <w:rsid w:val="00EC5741"/>
    <w:rsid w:val="00EC5DA3"/>
    <w:rsid w:val="00EC6014"/>
    <w:rsid w:val="00EC6B3E"/>
    <w:rsid w:val="00EC6F2D"/>
    <w:rsid w:val="00EC73DE"/>
    <w:rsid w:val="00EC7637"/>
    <w:rsid w:val="00EC7CF2"/>
    <w:rsid w:val="00ED046C"/>
    <w:rsid w:val="00ED053A"/>
    <w:rsid w:val="00ED17B8"/>
    <w:rsid w:val="00ED1F03"/>
    <w:rsid w:val="00ED249D"/>
    <w:rsid w:val="00ED2998"/>
    <w:rsid w:val="00ED2D27"/>
    <w:rsid w:val="00ED3347"/>
    <w:rsid w:val="00ED3441"/>
    <w:rsid w:val="00ED3860"/>
    <w:rsid w:val="00ED3954"/>
    <w:rsid w:val="00ED43A2"/>
    <w:rsid w:val="00ED4967"/>
    <w:rsid w:val="00ED5140"/>
    <w:rsid w:val="00ED538C"/>
    <w:rsid w:val="00ED5771"/>
    <w:rsid w:val="00ED587F"/>
    <w:rsid w:val="00ED5964"/>
    <w:rsid w:val="00ED623F"/>
    <w:rsid w:val="00ED63A5"/>
    <w:rsid w:val="00ED69BA"/>
    <w:rsid w:val="00ED6D1A"/>
    <w:rsid w:val="00ED72E9"/>
    <w:rsid w:val="00ED732E"/>
    <w:rsid w:val="00ED77F0"/>
    <w:rsid w:val="00ED7FBC"/>
    <w:rsid w:val="00EE0253"/>
    <w:rsid w:val="00EE0297"/>
    <w:rsid w:val="00EE050A"/>
    <w:rsid w:val="00EE1258"/>
    <w:rsid w:val="00EE12EA"/>
    <w:rsid w:val="00EE13DA"/>
    <w:rsid w:val="00EE1668"/>
    <w:rsid w:val="00EE168D"/>
    <w:rsid w:val="00EE1EDB"/>
    <w:rsid w:val="00EE24E2"/>
    <w:rsid w:val="00EE2BF0"/>
    <w:rsid w:val="00EE3295"/>
    <w:rsid w:val="00EE366D"/>
    <w:rsid w:val="00EE5454"/>
    <w:rsid w:val="00EE54C4"/>
    <w:rsid w:val="00EE59B5"/>
    <w:rsid w:val="00EE5CF1"/>
    <w:rsid w:val="00EE5FB7"/>
    <w:rsid w:val="00EE62AB"/>
    <w:rsid w:val="00EE6783"/>
    <w:rsid w:val="00EE6AC4"/>
    <w:rsid w:val="00EE7B54"/>
    <w:rsid w:val="00EE7C47"/>
    <w:rsid w:val="00EE7C88"/>
    <w:rsid w:val="00EE7C8B"/>
    <w:rsid w:val="00EF0209"/>
    <w:rsid w:val="00EF0EA4"/>
    <w:rsid w:val="00EF1E97"/>
    <w:rsid w:val="00EF2436"/>
    <w:rsid w:val="00EF2547"/>
    <w:rsid w:val="00EF2942"/>
    <w:rsid w:val="00EF29D9"/>
    <w:rsid w:val="00EF2AD4"/>
    <w:rsid w:val="00EF2B2B"/>
    <w:rsid w:val="00EF2E1C"/>
    <w:rsid w:val="00EF2FD6"/>
    <w:rsid w:val="00EF326A"/>
    <w:rsid w:val="00EF427A"/>
    <w:rsid w:val="00EF45DF"/>
    <w:rsid w:val="00EF4952"/>
    <w:rsid w:val="00EF498F"/>
    <w:rsid w:val="00EF4A42"/>
    <w:rsid w:val="00EF507B"/>
    <w:rsid w:val="00EF510C"/>
    <w:rsid w:val="00EF55C4"/>
    <w:rsid w:val="00EF57BC"/>
    <w:rsid w:val="00EF5CA8"/>
    <w:rsid w:val="00EF6784"/>
    <w:rsid w:val="00EF688A"/>
    <w:rsid w:val="00EF6A03"/>
    <w:rsid w:val="00EF6DC2"/>
    <w:rsid w:val="00EF7506"/>
    <w:rsid w:val="00EF760B"/>
    <w:rsid w:val="00EF7BF4"/>
    <w:rsid w:val="00F0030F"/>
    <w:rsid w:val="00F00674"/>
    <w:rsid w:val="00F014F5"/>
    <w:rsid w:val="00F01657"/>
    <w:rsid w:val="00F01D40"/>
    <w:rsid w:val="00F01E67"/>
    <w:rsid w:val="00F02744"/>
    <w:rsid w:val="00F02BFD"/>
    <w:rsid w:val="00F02D25"/>
    <w:rsid w:val="00F03C3D"/>
    <w:rsid w:val="00F0435D"/>
    <w:rsid w:val="00F04580"/>
    <w:rsid w:val="00F04ECA"/>
    <w:rsid w:val="00F04F8B"/>
    <w:rsid w:val="00F0502B"/>
    <w:rsid w:val="00F06E19"/>
    <w:rsid w:val="00F06F84"/>
    <w:rsid w:val="00F076E7"/>
    <w:rsid w:val="00F07AA1"/>
    <w:rsid w:val="00F105AE"/>
    <w:rsid w:val="00F10618"/>
    <w:rsid w:val="00F1108B"/>
    <w:rsid w:val="00F114FA"/>
    <w:rsid w:val="00F11768"/>
    <w:rsid w:val="00F11951"/>
    <w:rsid w:val="00F12262"/>
    <w:rsid w:val="00F12564"/>
    <w:rsid w:val="00F12AF8"/>
    <w:rsid w:val="00F12C52"/>
    <w:rsid w:val="00F13828"/>
    <w:rsid w:val="00F13E62"/>
    <w:rsid w:val="00F13F51"/>
    <w:rsid w:val="00F148B7"/>
    <w:rsid w:val="00F14960"/>
    <w:rsid w:val="00F14E28"/>
    <w:rsid w:val="00F14EA9"/>
    <w:rsid w:val="00F15505"/>
    <w:rsid w:val="00F15BFF"/>
    <w:rsid w:val="00F16E4F"/>
    <w:rsid w:val="00F17244"/>
    <w:rsid w:val="00F20ECE"/>
    <w:rsid w:val="00F2121A"/>
    <w:rsid w:val="00F213A0"/>
    <w:rsid w:val="00F21D54"/>
    <w:rsid w:val="00F21EF4"/>
    <w:rsid w:val="00F23113"/>
    <w:rsid w:val="00F23255"/>
    <w:rsid w:val="00F23393"/>
    <w:rsid w:val="00F23759"/>
    <w:rsid w:val="00F24644"/>
    <w:rsid w:val="00F25947"/>
    <w:rsid w:val="00F25DE0"/>
    <w:rsid w:val="00F25F9F"/>
    <w:rsid w:val="00F262D6"/>
    <w:rsid w:val="00F26F33"/>
    <w:rsid w:val="00F2748A"/>
    <w:rsid w:val="00F300A8"/>
    <w:rsid w:val="00F302C6"/>
    <w:rsid w:val="00F30400"/>
    <w:rsid w:val="00F3079E"/>
    <w:rsid w:val="00F30B5E"/>
    <w:rsid w:val="00F3399B"/>
    <w:rsid w:val="00F33F4B"/>
    <w:rsid w:val="00F346ED"/>
    <w:rsid w:val="00F34945"/>
    <w:rsid w:val="00F34E1E"/>
    <w:rsid w:val="00F3570C"/>
    <w:rsid w:val="00F363A4"/>
    <w:rsid w:val="00F36613"/>
    <w:rsid w:val="00F36765"/>
    <w:rsid w:val="00F368FF"/>
    <w:rsid w:val="00F37068"/>
    <w:rsid w:val="00F37F3F"/>
    <w:rsid w:val="00F40992"/>
    <w:rsid w:val="00F409C4"/>
    <w:rsid w:val="00F409C6"/>
    <w:rsid w:val="00F40C84"/>
    <w:rsid w:val="00F40F72"/>
    <w:rsid w:val="00F41596"/>
    <w:rsid w:val="00F41B60"/>
    <w:rsid w:val="00F41D8B"/>
    <w:rsid w:val="00F42121"/>
    <w:rsid w:val="00F424B3"/>
    <w:rsid w:val="00F428B1"/>
    <w:rsid w:val="00F428B4"/>
    <w:rsid w:val="00F42BCD"/>
    <w:rsid w:val="00F433CB"/>
    <w:rsid w:val="00F4345D"/>
    <w:rsid w:val="00F4387B"/>
    <w:rsid w:val="00F45921"/>
    <w:rsid w:val="00F45B91"/>
    <w:rsid w:val="00F46639"/>
    <w:rsid w:val="00F476FD"/>
    <w:rsid w:val="00F50183"/>
    <w:rsid w:val="00F50D92"/>
    <w:rsid w:val="00F51765"/>
    <w:rsid w:val="00F51A51"/>
    <w:rsid w:val="00F51BC6"/>
    <w:rsid w:val="00F51CB4"/>
    <w:rsid w:val="00F520CB"/>
    <w:rsid w:val="00F52324"/>
    <w:rsid w:val="00F52950"/>
    <w:rsid w:val="00F52C9D"/>
    <w:rsid w:val="00F533F1"/>
    <w:rsid w:val="00F53B8B"/>
    <w:rsid w:val="00F54C37"/>
    <w:rsid w:val="00F55679"/>
    <w:rsid w:val="00F561DA"/>
    <w:rsid w:val="00F561E3"/>
    <w:rsid w:val="00F565E6"/>
    <w:rsid w:val="00F56AFA"/>
    <w:rsid w:val="00F575E2"/>
    <w:rsid w:val="00F579FF"/>
    <w:rsid w:val="00F600E0"/>
    <w:rsid w:val="00F605EC"/>
    <w:rsid w:val="00F60F60"/>
    <w:rsid w:val="00F612CE"/>
    <w:rsid w:val="00F6133C"/>
    <w:rsid w:val="00F61405"/>
    <w:rsid w:val="00F62227"/>
    <w:rsid w:val="00F624A7"/>
    <w:rsid w:val="00F62AB6"/>
    <w:rsid w:val="00F65A3C"/>
    <w:rsid w:val="00F66009"/>
    <w:rsid w:val="00F66282"/>
    <w:rsid w:val="00F6639E"/>
    <w:rsid w:val="00F66D0B"/>
    <w:rsid w:val="00F670E9"/>
    <w:rsid w:val="00F67AF1"/>
    <w:rsid w:val="00F67D8B"/>
    <w:rsid w:val="00F701C5"/>
    <w:rsid w:val="00F70961"/>
    <w:rsid w:val="00F70A8F"/>
    <w:rsid w:val="00F71397"/>
    <w:rsid w:val="00F72389"/>
    <w:rsid w:val="00F72516"/>
    <w:rsid w:val="00F7289D"/>
    <w:rsid w:val="00F72FB4"/>
    <w:rsid w:val="00F735E5"/>
    <w:rsid w:val="00F73B82"/>
    <w:rsid w:val="00F73E80"/>
    <w:rsid w:val="00F7469C"/>
    <w:rsid w:val="00F7492E"/>
    <w:rsid w:val="00F74945"/>
    <w:rsid w:val="00F749A3"/>
    <w:rsid w:val="00F74AE8"/>
    <w:rsid w:val="00F74C4D"/>
    <w:rsid w:val="00F76C11"/>
    <w:rsid w:val="00F76C69"/>
    <w:rsid w:val="00F77021"/>
    <w:rsid w:val="00F770AB"/>
    <w:rsid w:val="00F77E61"/>
    <w:rsid w:val="00F80221"/>
    <w:rsid w:val="00F80A0A"/>
    <w:rsid w:val="00F80C81"/>
    <w:rsid w:val="00F80ED3"/>
    <w:rsid w:val="00F815AC"/>
    <w:rsid w:val="00F8297B"/>
    <w:rsid w:val="00F83B33"/>
    <w:rsid w:val="00F83CAE"/>
    <w:rsid w:val="00F840BF"/>
    <w:rsid w:val="00F8427A"/>
    <w:rsid w:val="00F843DF"/>
    <w:rsid w:val="00F84646"/>
    <w:rsid w:val="00F84899"/>
    <w:rsid w:val="00F85585"/>
    <w:rsid w:val="00F859F0"/>
    <w:rsid w:val="00F85CC1"/>
    <w:rsid w:val="00F86602"/>
    <w:rsid w:val="00F86B5D"/>
    <w:rsid w:val="00F87634"/>
    <w:rsid w:val="00F87C13"/>
    <w:rsid w:val="00F87C5A"/>
    <w:rsid w:val="00F87E29"/>
    <w:rsid w:val="00F87F18"/>
    <w:rsid w:val="00F87F68"/>
    <w:rsid w:val="00F90C4D"/>
    <w:rsid w:val="00F9167D"/>
    <w:rsid w:val="00F91CB2"/>
    <w:rsid w:val="00F927E8"/>
    <w:rsid w:val="00F9289C"/>
    <w:rsid w:val="00F93DBC"/>
    <w:rsid w:val="00F93E41"/>
    <w:rsid w:val="00F94644"/>
    <w:rsid w:val="00F952E4"/>
    <w:rsid w:val="00F9537B"/>
    <w:rsid w:val="00F96079"/>
    <w:rsid w:val="00F963FC"/>
    <w:rsid w:val="00F97CF1"/>
    <w:rsid w:val="00FA015F"/>
    <w:rsid w:val="00FA0EBD"/>
    <w:rsid w:val="00FA0FAC"/>
    <w:rsid w:val="00FA10F7"/>
    <w:rsid w:val="00FA1DA2"/>
    <w:rsid w:val="00FA3414"/>
    <w:rsid w:val="00FA347A"/>
    <w:rsid w:val="00FA3CDE"/>
    <w:rsid w:val="00FA49B7"/>
    <w:rsid w:val="00FA5043"/>
    <w:rsid w:val="00FA5130"/>
    <w:rsid w:val="00FA60C1"/>
    <w:rsid w:val="00FA65A3"/>
    <w:rsid w:val="00FA6F8B"/>
    <w:rsid w:val="00FA727C"/>
    <w:rsid w:val="00FA7A30"/>
    <w:rsid w:val="00FB033F"/>
    <w:rsid w:val="00FB06B8"/>
    <w:rsid w:val="00FB0880"/>
    <w:rsid w:val="00FB12E3"/>
    <w:rsid w:val="00FB1570"/>
    <w:rsid w:val="00FB193B"/>
    <w:rsid w:val="00FB1FBC"/>
    <w:rsid w:val="00FB27B7"/>
    <w:rsid w:val="00FB35E3"/>
    <w:rsid w:val="00FB3FBE"/>
    <w:rsid w:val="00FB403C"/>
    <w:rsid w:val="00FB43BC"/>
    <w:rsid w:val="00FB4727"/>
    <w:rsid w:val="00FB4C98"/>
    <w:rsid w:val="00FB4CE3"/>
    <w:rsid w:val="00FB4E26"/>
    <w:rsid w:val="00FB583C"/>
    <w:rsid w:val="00FB630E"/>
    <w:rsid w:val="00FB66DD"/>
    <w:rsid w:val="00FB6738"/>
    <w:rsid w:val="00FB691B"/>
    <w:rsid w:val="00FB6BE6"/>
    <w:rsid w:val="00FB731C"/>
    <w:rsid w:val="00FB7628"/>
    <w:rsid w:val="00FB7F2C"/>
    <w:rsid w:val="00FC05A0"/>
    <w:rsid w:val="00FC0811"/>
    <w:rsid w:val="00FC09B3"/>
    <w:rsid w:val="00FC0AFF"/>
    <w:rsid w:val="00FC1196"/>
    <w:rsid w:val="00FC15EB"/>
    <w:rsid w:val="00FC162C"/>
    <w:rsid w:val="00FC18DC"/>
    <w:rsid w:val="00FC2477"/>
    <w:rsid w:val="00FC2AC4"/>
    <w:rsid w:val="00FC2F73"/>
    <w:rsid w:val="00FC3216"/>
    <w:rsid w:val="00FC3A9B"/>
    <w:rsid w:val="00FC3AE1"/>
    <w:rsid w:val="00FC3DFC"/>
    <w:rsid w:val="00FC3EAA"/>
    <w:rsid w:val="00FC3EF4"/>
    <w:rsid w:val="00FC431B"/>
    <w:rsid w:val="00FC434C"/>
    <w:rsid w:val="00FC472C"/>
    <w:rsid w:val="00FC4FDF"/>
    <w:rsid w:val="00FC56C7"/>
    <w:rsid w:val="00FC5B0B"/>
    <w:rsid w:val="00FC5CF4"/>
    <w:rsid w:val="00FC5D64"/>
    <w:rsid w:val="00FC6A39"/>
    <w:rsid w:val="00FC6DB9"/>
    <w:rsid w:val="00FC76A9"/>
    <w:rsid w:val="00FC79AB"/>
    <w:rsid w:val="00FC7BE7"/>
    <w:rsid w:val="00FC7DAC"/>
    <w:rsid w:val="00FD005D"/>
    <w:rsid w:val="00FD013F"/>
    <w:rsid w:val="00FD04AE"/>
    <w:rsid w:val="00FD0DFA"/>
    <w:rsid w:val="00FD1854"/>
    <w:rsid w:val="00FD1890"/>
    <w:rsid w:val="00FD1994"/>
    <w:rsid w:val="00FD3508"/>
    <w:rsid w:val="00FD393C"/>
    <w:rsid w:val="00FD3AFF"/>
    <w:rsid w:val="00FD43BB"/>
    <w:rsid w:val="00FD47F6"/>
    <w:rsid w:val="00FD4AF3"/>
    <w:rsid w:val="00FD4B22"/>
    <w:rsid w:val="00FD72B1"/>
    <w:rsid w:val="00FD798D"/>
    <w:rsid w:val="00FE0EFF"/>
    <w:rsid w:val="00FE141E"/>
    <w:rsid w:val="00FE144E"/>
    <w:rsid w:val="00FE1768"/>
    <w:rsid w:val="00FE1DD5"/>
    <w:rsid w:val="00FE1E72"/>
    <w:rsid w:val="00FE24F4"/>
    <w:rsid w:val="00FE2560"/>
    <w:rsid w:val="00FE2F15"/>
    <w:rsid w:val="00FE35D0"/>
    <w:rsid w:val="00FE3FB7"/>
    <w:rsid w:val="00FE42ED"/>
    <w:rsid w:val="00FE4E06"/>
    <w:rsid w:val="00FE55A7"/>
    <w:rsid w:val="00FE5C5A"/>
    <w:rsid w:val="00FE6432"/>
    <w:rsid w:val="00FE72A0"/>
    <w:rsid w:val="00FF0050"/>
    <w:rsid w:val="00FF045F"/>
    <w:rsid w:val="00FF0490"/>
    <w:rsid w:val="00FF13CE"/>
    <w:rsid w:val="00FF13D4"/>
    <w:rsid w:val="00FF2053"/>
    <w:rsid w:val="00FF3B37"/>
    <w:rsid w:val="00FF3CC7"/>
    <w:rsid w:val="00FF3D6F"/>
    <w:rsid w:val="00FF4BD8"/>
    <w:rsid w:val="00FF4D11"/>
    <w:rsid w:val="00FF4DDC"/>
    <w:rsid w:val="00FF5214"/>
    <w:rsid w:val="00FF596E"/>
    <w:rsid w:val="00FF5B59"/>
    <w:rsid w:val="00FF5BFD"/>
    <w:rsid w:val="00FF6095"/>
    <w:rsid w:val="00FF62FE"/>
    <w:rsid w:val="00FF6553"/>
    <w:rsid w:val="00FF6574"/>
    <w:rsid w:val="00FF7A39"/>
    <w:rsid w:val="20B61737"/>
  </w:rsids>
  <m:mathPr>
    <m:mathFont m:val="Cambria Math"/>
    <m:brkBin m:val="before"/>
    <m:brkBinSub m:val="--"/>
    <m:smallFrac m:val="0"/>
    <m:dispDef/>
    <m:lMargin m:val="0"/>
    <m:rMargin m:val="0"/>
    <m:defJc m:val="centerGroup"/>
    <m:wrapIndent m:val="1440"/>
    <m:intLim m:val="subSup"/>
    <m:naryLim m:val="undOvr"/>
  </m:mathPr>
  <w:themeFontLang w:val="es-C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7552A153-DFC2-41AB-99DE-0D9B090A9B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7B5"/>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84314"/>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character" w:customStyle="1" w:styleId="baj">
    <w:name w:val="b_aj"/>
    <w:basedOn w:val="Fuentedeprrafopredeter"/>
    <w:rsid w:val="00470D73"/>
  </w:style>
  <w:style w:type="character" w:customStyle="1" w:styleId="Ttulo2Car">
    <w:name w:val="Título 2 Car"/>
    <w:basedOn w:val="Fuentedeprrafopredeter"/>
    <w:link w:val="Ttulo2"/>
    <w:uiPriority w:val="9"/>
    <w:semiHidden/>
    <w:rsid w:val="00E84314"/>
    <w:rPr>
      <w:rFonts w:asciiTheme="majorHAnsi" w:eastAsiaTheme="majorEastAsia" w:hAnsiTheme="majorHAnsi" w:cstheme="majorBidi"/>
      <w:color w:val="365F91" w:themeColor="accent1" w:themeShade="BF"/>
      <w:sz w:val="26"/>
      <w:szCs w:val="26"/>
      <w:lang w:eastAsia="es-ES_tradnl"/>
    </w:rPr>
  </w:style>
  <w:style w:type="paragraph" w:customStyle="1" w:styleId="Sangra2detindependiente2">
    <w:name w:val="Sangría 2 de t. independiente2"/>
    <w:basedOn w:val="Normal"/>
    <w:uiPriority w:val="99"/>
    <w:rsid w:val="00146418"/>
    <w:pPr>
      <w:overflowPunct w:val="0"/>
      <w:autoSpaceDE w:val="0"/>
      <w:autoSpaceDN w:val="0"/>
      <w:adjustRightInd w:val="0"/>
      <w:ind w:left="1418"/>
      <w:jc w:val="both"/>
      <w:textAlignment w:val="baseline"/>
    </w:pPr>
    <w:rPr>
      <w:rFonts w:ascii="Arial" w:hAnsi="Arial"/>
      <w:szCs w:val="20"/>
      <w:lang w:val="es-ES" w:eastAsia="es-ES"/>
    </w:rPr>
  </w:style>
  <w:style w:type="character" w:customStyle="1" w:styleId="CEDAContenidoCar">
    <w:name w:val="CEDA Contenido Car"/>
    <w:basedOn w:val="Fuentedeprrafopredeter"/>
    <w:link w:val="CEDAContenido"/>
    <w:locked/>
    <w:rsid w:val="00470E92"/>
    <w:rPr>
      <w:rFonts w:ascii="Bookman Old Style" w:hAnsi="Bookman Old Style"/>
    </w:rPr>
  </w:style>
  <w:style w:type="paragraph" w:customStyle="1" w:styleId="CEDAContenido">
    <w:name w:val="CEDA Contenido"/>
    <w:basedOn w:val="Normal"/>
    <w:link w:val="CEDAContenidoCar"/>
    <w:qFormat/>
    <w:rsid w:val="00470E92"/>
    <w:pPr>
      <w:spacing w:line="276" w:lineRule="auto"/>
      <w:jc w:val="both"/>
    </w:pPr>
    <w:rPr>
      <w:rFonts w:ascii="Bookman Old Style" w:eastAsiaTheme="minorHAnsi" w:hAnsi="Bookman Old Style" w:cstheme="minorBidi"/>
      <w:sz w:val="22"/>
      <w:szCs w:val="22"/>
      <w:lang w:eastAsia="en-US"/>
    </w:rPr>
  </w:style>
  <w:style w:type="paragraph" w:styleId="Revisin">
    <w:name w:val="Revision"/>
    <w:hidden/>
    <w:uiPriority w:val="99"/>
    <w:semiHidden/>
    <w:rsid w:val="002B35A7"/>
    <w:pPr>
      <w:spacing w:after="0"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276839"/>
  </w:style>
  <w:style w:type="paragraph" w:customStyle="1" w:styleId="footnotedescription">
    <w:name w:val="footnote description"/>
    <w:next w:val="Normal"/>
    <w:link w:val="footnotedescriptionChar"/>
    <w:hidden/>
    <w:rsid w:val="00771B66"/>
    <w:pPr>
      <w:spacing w:after="14" w:line="246" w:lineRule="auto"/>
      <w:ind w:right="55" w:firstLine="709"/>
      <w:jc w:val="both"/>
    </w:pPr>
    <w:rPr>
      <w:rFonts w:ascii="Arial" w:eastAsia="Arial" w:hAnsi="Arial" w:cs="Arial"/>
      <w:color w:val="000000"/>
      <w:sz w:val="19"/>
      <w:lang w:eastAsia="es-CO"/>
    </w:rPr>
  </w:style>
  <w:style w:type="character" w:customStyle="1" w:styleId="footnotedescriptionChar">
    <w:name w:val="footnote description Char"/>
    <w:link w:val="footnotedescription"/>
    <w:rsid w:val="00771B66"/>
    <w:rPr>
      <w:rFonts w:ascii="Arial" w:eastAsia="Arial" w:hAnsi="Arial" w:cs="Arial"/>
      <w:color w:val="000000"/>
      <w:sz w:val="19"/>
      <w:lang w:eastAsia="es-CO"/>
    </w:rPr>
  </w:style>
  <w:style w:type="character" w:customStyle="1" w:styleId="footnotemark">
    <w:name w:val="footnote mark"/>
    <w:hidden/>
    <w:rsid w:val="00771B66"/>
    <w:rPr>
      <w:rFonts w:ascii="Arial" w:eastAsia="Arial" w:hAnsi="Arial" w:cs="Arial"/>
      <w:color w:val="000000"/>
      <w:sz w:val="19"/>
      <w:vertAlign w:val="superscript"/>
    </w:rPr>
  </w:style>
  <w:style w:type="paragraph" w:styleId="Textosinformato">
    <w:name w:val="Plain Text"/>
    <w:basedOn w:val="Normal"/>
    <w:link w:val="TextosinformatoCar"/>
    <w:uiPriority w:val="99"/>
    <w:semiHidden/>
    <w:unhideWhenUsed/>
    <w:rsid w:val="00AA5C07"/>
    <w:rPr>
      <w:rFonts w:ascii="Calibri" w:eastAsiaTheme="minorHAnsi" w:hAnsi="Calibri" w:cstheme="minorBidi"/>
      <w:sz w:val="22"/>
      <w:szCs w:val="21"/>
      <w:lang w:eastAsia="en-US"/>
    </w:rPr>
  </w:style>
  <w:style w:type="character" w:customStyle="1" w:styleId="TextosinformatoCar">
    <w:name w:val="Texto sin formato Car"/>
    <w:basedOn w:val="Fuentedeprrafopredeter"/>
    <w:link w:val="Textosinformato"/>
    <w:uiPriority w:val="99"/>
    <w:semiHidden/>
    <w:rsid w:val="00AA5C07"/>
    <w:rPr>
      <w:rFonts w:ascii="Calibri" w:hAnsi="Calibri"/>
      <w:szCs w:val="21"/>
    </w:rPr>
  </w:style>
  <w:style w:type="paragraph" w:customStyle="1" w:styleId="Car1">
    <w:name w:val="Car1"/>
    <w:basedOn w:val="Normal"/>
    <w:next w:val="Textonotapie"/>
    <w:uiPriority w:val="99"/>
    <w:unhideWhenUsed/>
    <w:qFormat/>
    <w:rsid w:val="00145763"/>
    <w:rPr>
      <w:rFonts w:asciiTheme="minorHAnsi" w:eastAsiaTheme="minorHAnsi" w:hAnsiTheme="minorHAnsi" w:cstheme="minorBidi"/>
      <w:sz w:val="20"/>
      <w:szCs w:val="20"/>
      <w:lang w:val="es-MX"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48305046">
      <w:bodyDiv w:val="1"/>
      <w:marLeft w:val="0"/>
      <w:marRight w:val="0"/>
      <w:marTop w:val="0"/>
      <w:marBottom w:val="0"/>
      <w:divBdr>
        <w:top w:val="none" w:sz="0" w:space="0" w:color="auto"/>
        <w:left w:val="none" w:sz="0" w:space="0" w:color="auto"/>
        <w:bottom w:val="none" w:sz="0" w:space="0" w:color="auto"/>
        <w:right w:val="none" w:sz="0" w:space="0" w:color="auto"/>
      </w:divBdr>
      <w:divsChild>
        <w:div w:id="262299518">
          <w:marLeft w:val="0"/>
          <w:marRight w:val="0"/>
          <w:marTop w:val="0"/>
          <w:marBottom w:val="0"/>
          <w:divBdr>
            <w:top w:val="none" w:sz="0" w:space="0" w:color="auto"/>
            <w:left w:val="none" w:sz="0" w:space="0" w:color="auto"/>
            <w:bottom w:val="none" w:sz="0" w:space="0" w:color="auto"/>
            <w:right w:val="none" w:sz="0" w:space="0" w:color="auto"/>
          </w:divBdr>
          <w:divsChild>
            <w:div w:id="1744986443">
              <w:marLeft w:val="0"/>
              <w:marRight w:val="0"/>
              <w:marTop w:val="0"/>
              <w:marBottom w:val="0"/>
              <w:divBdr>
                <w:top w:val="none" w:sz="0" w:space="0" w:color="auto"/>
                <w:left w:val="none" w:sz="0" w:space="0" w:color="auto"/>
                <w:bottom w:val="none" w:sz="0" w:space="0" w:color="auto"/>
                <w:right w:val="none" w:sz="0" w:space="0" w:color="auto"/>
              </w:divBdr>
              <w:divsChild>
                <w:div w:id="1957247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63646489">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79496941">
      <w:bodyDiv w:val="1"/>
      <w:marLeft w:val="0"/>
      <w:marRight w:val="0"/>
      <w:marTop w:val="0"/>
      <w:marBottom w:val="0"/>
      <w:divBdr>
        <w:top w:val="none" w:sz="0" w:space="0" w:color="auto"/>
        <w:left w:val="none" w:sz="0" w:space="0" w:color="auto"/>
        <w:bottom w:val="none" w:sz="0" w:space="0" w:color="auto"/>
        <w:right w:val="none" w:sz="0" w:space="0" w:color="auto"/>
      </w:divBdr>
      <w:divsChild>
        <w:div w:id="689528428">
          <w:marLeft w:val="0"/>
          <w:marRight w:val="0"/>
          <w:marTop w:val="0"/>
          <w:marBottom w:val="0"/>
          <w:divBdr>
            <w:top w:val="none" w:sz="0" w:space="0" w:color="auto"/>
            <w:left w:val="none" w:sz="0" w:space="0" w:color="auto"/>
            <w:bottom w:val="none" w:sz="0" w:space="0" w:color="auto"/>
            <w:right w:val="none" w:sz="0" w:space="0" w:color="auto"/>
          </w:divBdr>
          <w:divsChild>
            <w:div w:id="237062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37725">
      <w:bodyDiv w:val="1"/>
      <w:marLeft w:val="0"/>
      <w:marRight w:val="0"/>
      <w:marTop w:val="0"/>
      <w:marBottom w:val="0"/>
      <w:divBdr>
        <w:top w:val="none" w:sz="0" w:space="0" w:color="auto"/>
        <w:left w:val="none" w:sz="0" w:space="0" w:color="auto"/>
        <w:bottom w:val="none" w:sz="0" w:space="0" w:color="auto"/>
        <w:right w:val="none" w:sz="0" w:space="0" w:color="auto"/>
      </w:divBdr>
    </w:div>
    <w:div w:id="83377532">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94985693">
      <w:bodyDiv w:val="1"/>
      <w:marLeft w:val="0"/>
      <w:marRight w:val="0"/>
      <w:marTop w:val="0"/>
      <w:marBottom w:val="0"/>
      <w:divBdr>
        <w:top w:val="none" w:sz="0" w:space="0" w:color="auto"/>
        <w:left w:val="none" w:sz="0" w:space="0" w:color="auto"/>
        <w:bottom w:val="none" w:sz="0" w:space="0" w:color="auto"/>
        <w:right w:val="none" w:sz="0" w:space="0" w:color="auto"/>
      </w:divBdr>
    </w:div>
    <w:div w:id="122775619">
      <w:bodyDiv w:val="1"/>
      <w:marLeft w:val="0"/>
      <w:marRight w:val="0"/>
      <w:marTop w:val="0"/>
      <w:marBottom w:val="0"/>
      <w:divBdr>
        <w:top w:val="none" w:sz="0" w:space="0" w:color="auto"/>
        <w:left w:val="none" w:sz="0" w:space="0" w:color="auto"/>
        <w:bottom w:val="none" w:sz="0" w:space="0" w:color="auto"/>
        <w:right w:val="none" w:sz="0" w:space="0" w:color="auto"/>
      </w:divBdr>
      <w:divsChild>
        <w:div w:id="2062821963">
          <w:marLeft w:val="0"/>
          <w:marRight w:val="0"/>
          <w:marTop w:val="0"/>
          <w:marBottom w:val="0"/>
          <w:divBdr>
            <w:top w:val="none" w:sz="0" w:space="0" w:color="auto"/>
            <w:left w:val="none" w:sz="0" w:space="0" w:color="auto"/>
            <w:bottom w:val="none" w:sz="0" w:space="0" w:color="auto"/>
            <w:right w:val="none" w:sz="0" w:space="0" w:color="auto"/>
          </w:divBdr>
        </w:div>
      </w:divsChild>
    </w:div>
    <w:div w:id="129980973">
      <w:bodyDiv w:val="1"/>
      <w:marLeft w:val="0"/>
      <w:marRight w:val="0"/>
      <w:marTop w:val="0"/>
      <w:marBottom w:val="0"/>
      <w:divBdr>
        <w:top w:val="none" w:sz="0" w:space="0" w:color="auto"/>
        <w:left w:val="none" w:sz="0" w:space="0" w:color="auto"/>
        <w:bottom w:val="none" w:sz="0" w:space="0" w:color="auto"/>
        <w:right w:val="none" w:sz="0" w:space="0" w:color="auto"/>
      </w:divBdr>
      <w:divsChild>
        <w:div w:id="522939710">
          <w:marLeft w:val="0"/>
          <w:marRight w:val="0"/>
          <w:marTop w:val="0"/>
          <w:marBottom w:val="0"/>
          <w:divBdr>
            <w:top w:val="none" w:sz="0" w:space="0" w:color="auto"/>
            <w:left w:val="none" w:sz="0" w:space="0" w:color="auto"/>
            <w:bottom w:val="none" w:sz="0" w:space="0" w:color="auto"/>
            <w:right w:val="none" w:sz="0" w:space="0" w:color="auto"/>
          </w:divBdr>
          <w:divsChild>
            <w:div w:id="1560894338">
              <w:marLeft w:val="0"/>
              <w:marRight w:val="0"/>
              <w:marTop w:val="0"/>
              <w:marBottom w:val="0"/>
              <w:divBdr>
                <w:top w:val="none" w:sz="0" w:space="0" w:color="auto"/>
                <w:left w:val="none" w:sz="0" w:space="0" w:color="auto"/>
                <w:bottom w:val="none" w:sz="0" w:space="0" w:color="auto"/>
                <w:right w:val="none" w:sz="0" w:space="0" w:color="auto"/>
              </w:divBdr>
              <w:divsChild>
                <w:div w:id="110832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4615700">
      <w:bodyDiv w:val="1"/>
      <w:marLeft w:val="0"/>
      <w:marRight w:val="0"/>
      <w:marTop w:val="0"/>
      <w:marBottom w:val="0"/>
      <w:divBdr>
        <w:top w:val="none" w:sz="0" w:space="0" w:color="auto"/>
        <w:left w:val="none" w:sz="0" w:space="0" w:color="auto"/>
        <w:bottom w:val="none" w:sz="0" w:space="0" w:color="auto"/>
        <w:right w:val="none" w:sz="0" w:space="0" w:color="auto"/>
      </w:divBdr>
    </w:div>
    <w:div w:id="159540112">
      <w:bodyDiv w:val="1"/>
      <w:marLeft w:val="0"/>
      <w:marRight w:val="0"/>
      <w:marTop w:val="0"/>
      <w:marBottom w:val="0"/>
      <w:divBdr>
        <w:top w:val="none" w:sz="0" w:space="0" w:color="auto"/>
        <w:left w:val="none" w:sz="0" w:space="0" w:color="auto"/>
        <w:bottom w:val="none" w:sz="0" w:space="0" w:color="auto"/>
        <w:right w:val="none" w:sz="0" w:space="0" w:color="auto"/>
      </w:divBdr>
    </w:div>
    <w:div w:id="165049908">
      <w:bodyDiv w:val="1"/>
      <w:marLeft w:val="0"/>
      <w:marRight w:val="0"/>
      <w:marTop w:val="0"/>
      <w:marBottom w:val="0"/>
      <w:divBdr>
        <w:top w:val="none" w:sz="0" w:space="0" w:color="auto"/>
        <w:left w:val="none" w:sz="0" w:space="0" w:color="auto"/>
        <w:bottom w:val="none" w:sz="0" w:space="0" w:color="auto"/>
        <w:right w:val="none" w:sz="0" w:space="0" w:color="auto"/>
      </w:divBdr>
      <w:divsChild>
        <w:div w:id="1656226426">
          <w:marLeft w:val="0"/>
          <w:marRight w:val="0"/>
          <w:marTop w:val="0"/>
          <w:marBottom w:val="0"/>
          <w:divBdr>
            <w:top w:val="none" w:sz="0" w:space="0" w:color="auto"/>
            <w:left w:val="none" w:sz="0" w:space="0" w:color="auto"/>
            <w:bottom w:val="none" w:sz="0" w:space="0" w:color="auto"/>
            <w:right w:val="none" w:sz="0" w:space="0" w:color="auto"/>
          </w:divBdr>
          <w:divsChild>
            <w:div w:id="148638913">
              <w:marLeft w:val="0"/>
              <w:marRight w:val="0"/>
              <w:marTop w:val="0"/>
              <w:marBottom w:val="0"/>
              <w:divBdr>
                <w:top w:val="none" w:sz="0" w:space="0" w:color="auto"/>
                <w:left w:val="none" w:sz="0" w:space="0" w:color="auto"/>
                <w:bottom w:val="none" w:sz="0" w:space="0" w:color="auto"/>
                <w:right w:val="none" w:sz="0" w:space="0" w:color="auto"/>
              </w:divBdr>
              <w:divsChild>
                <w:div w:id="712195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69032022">
      <w:bodyDiv w:val="1"/>
      <w:marLeft w:val="0"/>
      <w:marRight w:val="0"/>
      <w:marTop w:val="0"/>
      <w:marBottom w:val="0"/>
      <w:divBdr>
        <w:top w:val="none" w:sz="0" w:space="0" w:color="auto"/>
        <w:left w:val="none" w:sz="0" w:space="0" w:color="auto"/>
        <w:bottom w:val="none" w:sz="0" w:space="0" w:color="auto"/>
        <w:right w:val="none" w:sz="0" w:space="0" w:color="auto"/>
      </w:divBdr>
    </w:div>
    <w:div w:id="182325225">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056181">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58679361">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88053694">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0133555">
      <w:bodyDiv w:val="1"/>
      <w:marLeft w:val="0"/>
      <w:marRight w:val="0"/>
      <w:marTop w:val="0"/>
      <w:marBottom w:val="0"/>
      <w:divBdr>
        <w:top w:val="none" w:sz="0" w:space="0" w:color="auto"/>
        <w:left w:val="none" w:sz="0" w:space="0" w:color="auto"/>
        <w:bottom w:val="none" w:sz="0" w:space="0" w:color="auto"/>
        <w:right w:val="none" w:sz="0" w:space="0" w:color="auto"/>
      </w:divBdr>
    </w:div>
    <w:div w:id="310521259">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14844853">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23051629">
      <w:bodyDiv w:val="1"/>
      <w:marLeft w:val="0"/>
      <w:marRight w:val="0"/>
      <w:marTop w:val="0"/>
      <w:marBottom w:val="0"/>
      <w:divBdr>
        <w:top w:val="none" w:sz="0" w:space="0" w:color="auto"/>
        <w:left w:val="none" w:sz="0" w:space="0" w:color="auto"/>
        <w:bottom w:val="none" w:sz="0" w:space="0" w:color="auto"/>
        <w:right w:val="none" w:sz="0" w:space="0" w:color="auto"/>
      </w:divBdr>
    </w:div>
    <w:div w:id="331881237">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39620751">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48802467">
      <w:bodyDiv w:val="1"/>
      <w:marLeft w:val="0"/>
      <w:marRight w:val="0"/>
      <w:marTop w:val="0"/>
      <w:marBottom w:val="0"/>
      <w:divBdr>
        <w:top w:val="none" w:sz="0" w:space="0" w:color="auto"/>
        <w:left w:val="none" w:sz="0" w:space="0" w:color="auto"/>
        <w:bottom w:val="none" w:sz="0" w:space="0" w:color="auto"/>
        <w:right w:val="none" w:sz="0" w:space="0" w:color="auto"/>
      </w:divBdr>
    </w:div>
    <w:div w:id="350959634">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15446229">
      <w:bodyDiv w:val="1"/>
      <w:marLeft w:val="0"/>
      <w:marRight w:val="0"/>
      <w:marTop w:val="0"/>
      <w:marBottom w:val="0"/>
      <w:divBdr>
        <w:top w:val="none" w:sz="0" w:space="0" w:color="auto"/>
        <w:left w:val="none" w:sz="0" w:space="0" w:color="auto"/>
        <w:bottom w:val="none" w:sz="0" w:space="0" w:color="auto"/>
        <w:right w:val="none" w:sz="0" w:space="0" w:color="auto"/>
      </w:divBdr>
      <w:divsChild>
        <w:div w:id="1042360156">
          <w:marLeft w:val="0"/>
          <w:marRight w:val="0"/>
          <w:marTop w:val="0"/>
          <w:marBottom w:val="0"/>
          <w:divBdr>
            <w:top w:val="none" w:sz="0" w:space="0" w:color="auto"/>
            <w:left w:val="none" w:sz="0" w:space="0" w:color="auto"/>
            <w:bottom w:val="none" w:sz="0" w:space="0" w:color="auto"/>
            <w:right w:val="none" w:sz="0" w:space="0" w:color="auto"/>
          </w:divBdr>
          <w:divsChild>
            <w:div w:id="469910124">
              <w:marLeft w:val="0"/>
              <w:marRight w:val="0"/>
              <w:marTop w:val="0"/>
              <w:marBottom w:val="0"/>
              <w:divBdr>
                <w:top w:val="none" w:sz="0" w:space="0" w:color="auto"/>
                <w:left w:val="none" w:sz="0" w:space="0" w:color="auto"/>
                <w:bottom w:val="none" w:sz="0" w:space="0" w:color="auto"/>
                <w:right w:val="none" w:sz="0" w:space="0" w:color="auto"/>
              </w:divBdr>
              <w:divsChild>
                <w:div w:id="1034884912">
                  <w:marLeft w:val="0"/>
                  <w:marRight w:val="0"/>
                  <w:marTop w:val="0"/>
                  <w:marBottom w:val="0"/>
                  <w:divBdr>
                    <w:top w:val="none" w:sz="0" w:space="0" w:color="auto"/>
                    <w:left w:val="none" w:sz="0" w:space="0" w:color="auto"/>
                    <w:bottom w:val="none" w:sz="0" w:space="0" w:color="auto"/>
                    <w:right w:val="none" w:sz="0" w:space="0" w:color="auto"/>
                  </w:divBdr>
                  <w:divsChild>
                    <w:div w:id="172166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74681217">
      <w:bodyDiv w:val="1"/>
      <w:marLeft w:val="0"/>
      <w:marRight w:val="0"/>
      <w:marTop w:val="0"/>
      <w:marBottom w:val="0"/>
      <w:divBdr>
        <w:top w:val="none" w:sz="0" w:space="0" w:color="auto"/>
        <w:left w:val="none" w:sz="0" w:space="0" w:color="auto"/>
        <w:bottom w:val="none" w:sz="0" w:space="0" w:color="auto"/>
        <w:right w:val="none" w:sz="0" w:space="0" w:color="auto"/>
      </w:divBdr>
    </w:div>
    <w:div w:id="478150842">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488137663">
      <w:bodyDiv w:val="1"/>
      <w:marLeft w:val="0"/>
      <w:marRight w:val="0"/>
      <w:marTop w:val="0"/>
      <w:marBottom w:val="0"/>
      <w:divBdr>
        <w:top w:val="none" w:sz="0" w:space="0" w:color="auto"/>
        <w:left w:val="none" w:sz="0" w:space="0" w:color="auto"/>
        <w:bottom w:val="none" w:sz="0" w:space="0" w:color="auto"/>
        <w:right w:val="none" w:sz="0" w:space="0" w:color="auto"/>
      </w:divBdr>
      <w:divsChild>
        <w:div w:id="12804751">
          <w:marLeft w:val="0"/>
          <w:marRight w:val="0"/>
          <w:marTop w:val="0"/>
          <w:marBottom w:val="0"/>
          <w:divBdr>
            <w:top w:val="none" w:sz="0" w:space="0" w:color="auto"/>
            <w:left w:val="none" w:sz="0" w:space="0" w:color="auto"/>
            <w:bottom w:val="none" w:sz="0" w:space="0" w:color="auto"/>
            <w:right w:val="none" w:sz="0" w:space="0" w:color="auto"/>
          </w:divBdr>
          <w:divsChild>
            <w:div w:id="1757092539">
              <w:marLeft w:val="0"/>
              <w:marRight w:val="0"/>
              <w:marTop w:val="0"/>
              <w:marBottom w:val="0"/>
              <w:divBdr>
                <w:top w:val="none" w:sz="0" w:space="0" w:color="auto"/>
                <w:left w:val="none" w:sz="0" w:space="0" w:color="auto"/>
                <w:bottom w:val="none" w:sz="0" w:space="0" w:color="auto"/>
                <w:right w:val="none" w:sz="0" w:space="0" w:color="auto"/>
              </w:divBdr>
              <w:divsChild>
                <w:div w:id="905916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25819">
          <w:marLeft w:val="0"/>
          <w:marRight w:val="0"/>
          <w:marTop w:val="0"/>
          <w:marBottom w:val="0"/>
          <w:divBdr>
            <w:top w:val="none" w:sz="0" w:space="0" w:color="auto"/>
            <w:left w:val="none" w:sz="0" w:space="0" w:color="auto"/>
            <w:bottom w:val="none" w:sz="0" w:space="0" w:color="auto"/>
            <w:right w:val="none" w:sz="0" w:space="0" w:color="auto"/>
          </w:divBdr>
          <w:divsChild>
            <w:div w:id="526329996">
              <w:marLeft w:val="0"/>
              <w:marRight w:val="0"/>
              <w:marTop w:val="0"/>
              <w:marBottom w:val="0"/>
              <w:divBdr>
                <w:top w:val="none" w:sz="0" w:space="0" w:color="auto"/>
                <w:left w:val="none" w:sz="0" w:space="0" w:color="auto"/>
                <w:bottom w:val="none" w:sz="0" w:space="0" w:color="auto"/>
                <w:right w:val="none" w:sz="0" w:space="0" w:color="auto"/>
              </w:divBdr>
              <w:divsChild>
                <w:div w:id="52779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151323">
          <w:marLeft w:val="0"/>
          <w:marRight w:val="0"/>
          <w:marTop w:val="0"/>
          <w:marBottom w:val="0"/>
          <w:divBdr>
            <w:top w:val="none" w:sz="0" w:space="0" w:color="auto"/>
            <w:left w:val="none" w:sz="0" w:space="0" w:color="auto"/>
            <w:bottom w:val="none" w:sz="0" w:space="0" w:color="auto"/>
            <w:right w:val="none" w:sz="0" w:space="0" w:color="auto"/>
          </w:divBdr>
          <w:divsChild>
            <w:div w:id="1997612402">
              <w:marLeft w:val="0"/>
              <w:marRight w:val="0"/>
              <w:marTop w:val="0"/>
              <w:marBottom w:val="0"/>
              <w:divBdr>
                <w:top w:val="none" w:sz="0" w:space="0" w:color="auto"/>
                <w:left w:val="none" w:sz="0" w:space="0" w:color="auto"/>
                <w:bottom w:val="none" w:sz="0" w:space="0" w:color="auto"/>
                <w:right w:val="none" w:sz="0" w:space="0" w:color="auto"/>
              </w:divBdr>
              <w:divsChild>
                <w:div w:id="1496068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9274498">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12846565">
      <w:bodyDiv w:val="1"/>
      <w:marLeft w:val="0"/>
      <w:marRight w:val="0"/>
      <w:marTop w:val="0"/>
      <w:marBottom w:val="0"/>
      <w:divBdr>
        <w:top w:val="none" w:sz="0" w:space="0" w:color="auto"/>
        <w:left w:val="none" w:sz="0" w:space="0" w:color="auto"/>
        <w:bottom w:val="none" w:sz="0" w:space="0" w:color="auto"/>
        <w:right w:val="none" w:sz="0" w:space="0" w:color="auto"/>
      </w:divBdr>
    </w:div>
    <w:div w:id="512959422">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409728">
      <w:bodyDiv w:val="1"/>
      <w:marLeft w:val="0"/>
      <w:marRight w:val="0"/>
      <w:marTop w:val="0"/>
      <w:marBottom w:val="0"/>
      <w:divBdr>
        <w:top w:val="none" w:sz="0" w:space="0" w:color="auto"/>
        <w:left w:val="none" w:sz="0" w:space="0" w:color="auto"/>
        <w:bottom w:val="none" w:sz="0" w:space="0" w:color="auto"/>
        <w:right w:val="none" w:sz="0" w:space="0" w:color="auto"/>
      </w:divBdr>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2449049">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59361122">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140375">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5214150">
      <w:bodyDiv w:val="1"/>
      <w:marLeft w:val="0"/>
      <w:marRight w:val="0"/>
      <w:marTop w:val="0"/>
      <w:marBottom w:val="0"/>
      <w:divBdr>
        <w:top w:val="none" w:sz="0" w:space="0" w:color="auto"/>
        <w:left w:val="none" w:sz="0" w:space="0" w:color="auto"/>
        <w:bottom w:val="none" w:sz="0" w:space="0" w:color="auto"/>
        <w:right w:val="none" w:sz="0" w:space="0" w:color="auto"/>
      </w:divBdr>
      <w:divsChild>
        <w:div w:id="1768114359">
          <w:marLeft w:val="0"/>
          <w:marRight w:val="0"/>
          <w:marTop w:val="0"/>
          <w:marBottom w:val="0"/>
          <w:divBdr>
            <w:top w:val="none" w:sz="0" w:space="0" w:color="auto"/>
            <w:left w:val="none" w:sz="0" w:space="0" w:color="auto"/>
            <w:bottom w:val="none" w:sz="0" w:space="0" w:color="auto"/>
            <w:right w:val="none" w:sz="0" w:space="0" w:color="auto"/>
          </w:divBdr>
          <w:divsChild>
            <w:div w:id="1456832263">
              <w:marLeft w:val="0"/>
              <w:marRight w:val="0"/>
              <w:marTop w:val="0"/>
              <w:marBottom w:val="0"/>
              <w:divBdr>
                <w:top w:val="none" w:sz="0" w:space="0" w:color="auto"/>
                <w:left w:val="none" w:sz="0" w:space="0" w:color="auto"/>
                <w:bottom w:val="none" w:sz="0" w:space="0" w:color="auto"/>
                <w:right w:val="none" w:sz="0" w:space="0" w:color="auto"/>
              </w:divBdr>
              <w:divsChild>
                <w:div w:id="401178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119038">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40422574">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897">
      <w:bodyDiv w:val="1"/>
      <w:marLeft w:val="0"/>
      <w:marRight w:val="0"/>
      <w:marTop w:val="0"/>
      <w:marBottom w:val="0"/>
      <w:divBdr>
        <w:top w:val="none" w:sz="0" w:space="0" w:color="auto"/>
        <w:left w:val="none" w:sz="0" w:space="0" w:color="auto"/>
        <w:bottom w:val="none" w:sz="0" w:space="0" w:color="auto"/>
        <w:right w:val="none" w:sz="0" w:space="0" w:color="auto"/>
      </w:divBdr>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0984687">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682512875">
      <w:bodyDiv w:val="1"/>
      <w:marLeft w:val="0"/>
      <w:marRight w:val="0"/>
      <w:marTop w:val="0"/>
      <w:marBottom w:val="0"/>
      <w:divBdr>
        <w:top w:val="none" w:sz="0" w:space="0" w:color="auto"/>
        <w:left w:val="none" w:sz="0" w:space="0" w:color="auto"/>
        <w:bottom w:val="none" w:sz="0" w:space="0" w:color="auto"/>
        <w:right w:val="none" w:sz="0" w:space="0" w:color="auto"/>
      </w:divBdr>
    </w:div>
    <w:div w:id="697975505">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1863278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47657133">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0279955">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58064703">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08321035">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38158970">
      <w:bodyDiv w:val="1"/>
      <w:marLeft w:val="0"/>
      <w:marRight w:val="0"/>
      <w:marTop w:val="0"/>
      <w:marBottom w:val="0"/>
      <w:divBdr>
        <w:top w:val="none" w:sz="0" w:space="0" w:color="auto"/>
        <w:left w:val="none" w:sz="0" w:space="0" w:color="auto"/>
        <w:bottom w:val="none" w:sz="0" w:space="0" w:color="auto"/>
        <w:right w:val="none" w:sz="0" w:space="0" w:color="auto"/>
      </w:divBdr>
    </w:div>
    <w:div w:id="841503518">
      <w:bodyDiv w:val="1"/>
      <w:marLeft w:val="0"/>
      <w:marRight w:val="0"/>
      <w:marTop w:val="0"/>
      <w:marBottom w:val="0"/>
      <w:divBdr>
        <w:top w:val="none" w:sz="0" w:space="0" w:color="auto"/>
        <w:left w:val="none" w:sz="0" w:space="0" w:color="auto"/>
        <w:bottom w:val="none" w:sz="0" w:space="0" w:color="auto"/>
        <w:right w:val="none" w:sz="0" w:space="0" w:color="auto"/>
      </w:divBdr>
      <w:divsChild>
        <w:div w:id="1472594732">
          <w:marLeft w:val="0"/>
          <w:marRight w:val="0"/>
          <w:marTop w:val="0"/>
          <w:marBottom w:val="0"/>
          <w:divBdr>
            <w:top w:val="none" w:sz="0" w:space="0" w:color="auto"/>
            <w:left w:val="none" w:sz="0" w:space="0" w:color="auto"/>
            <w:bottom w:val="none" w:sz="0" w:space="0" w:color="auto"/>
            <w:right w:val="none" w:sz="0" w:space="0" w:color="auto"/>
          </w:divBdr>
          <w:divsChild>
            <w:div w:id="558857304">
              <w:marLeft w:val="0"/>
              <w:marRight w:val="0"/>
              <w:marTop w:val="0"/>
              <w:marBottom w:val="0"/>
              <w:divBdr>
                <w:top w:val="none" w:sz="0" w:space="0" w:color="auto"/>
                <w:left w:val="none" w:sz="0" w:space="0" w:color="auto"/>
                <w:bottom w:val="none" w:sz="0" w:space="0" w:color="auto"/>
                <w:right w:val="none" w:sz="0" w:space="0" w:color="auto"/>
              </w:divBdr>
              <w:divsChild>
                <w:div w:id="1644502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830520">
      <w:bodyDiv w:val="1"/>
      <w:marLeft w:val="0"/>
      <w:marRight w:val="0"/>
      <w:marTop w:val="0"/>
      <w:marBottom w:val="0"/>
      <w:divBdr>
        <w:top w:val="none" w:sz="0" w:space="0" w:color="auto"/>
        <w:left w:val="none" w:sz="0" w:space="0" w:color="auto"/>
        <w:bottom w:val="none" w:sz="0" w:space="0" w:color="auto"/>
        <w:right w:val="none" w:sz="0" w:space="0" w:color="auto"/>
      </w:divBdr>
    </w:div>
    <w:div w:id="850337716">
      <w:bodyDiv w:val="1"/>
      <w:marLeft w:val="0"/>
      <w:marRight w:val="0"/>
      <w:marTop w:val="0"/>
      <w:marBottom w:val="0"/>
      <w:divBdr>
        <w:top w:val="none" w:sz="0" w:space="0" w:color="auto"/>
        <w:left w:val="none" w:sz="0" w:space="0" w:color="auto"/>
        <w:bottom w:val="none" w:sz="0" w:space="0" w:color="auto"/>
        <w:right w:val="none" w:sz="0" w:space="0" w:color="auto"/>
      </w:divBdr>
      <w:divsChild>
        <w:div w:id="1303539871">
          <w:marLeft w:val="0"/>
          <w:marRight w:val="0"/>
          <w:marTop w:val="0"/>
          <w:marBottom w:val="0"/>
          <w:divBdr>
            <w:top w:val="none" w:sz="0" w:space="0" w:color="auto"/>
            <w:left w:val="none" w:sz="0" w:space="0" w:color="auto"/>
            <w:bottom w:val="none" w:sz="0" w:space="0" w:color="auto"/>
            <w:right w:val="none" w:sz="0" w:space="0" w:color="auto"/>
          </w:divBdr>
          <w:divsChild>
            <w:div w:id="494688211">
              <w:marLeft w:val="0"/>
              <w:marRight w:val="0"/>
              <w:marTop w:val="0"/>
              <w:marBottom w:val="0"/>
              <w:divBdr>
                <w:top w:val="none" w:sz="0" w:space="0" w:color="auto"/>
                <w:left w:val="none" w:sz="0" w:space="0" w:color="auto"/>
                <w:bottom w:val="none" w:sz="0" w:space="0" w:color="auto"/>
                <w:right w:val="none" w:sz="0" w:space="0" w:color="auto"/>
              </w:divBdr>
              <w:divsChild>
                <w:div w:id="1644038439">
                  <w:marLeft w:val="0"/>
                  <w:marRight w:val="0"/>
                  <w:marTop w:val="0"/>
                  <w:marBottom w:val="0"/>
                  <w:divBdr>
                    <w:top w:val="none" w:sz="0" w:space="0" w:color="auto"/>
                    <w:left w:val="none" w:sz="0" w:space="0" w:color="auto"/>
                    <w:bottom w:val="none" w:sz="0" w:space="0" w:color="auto"/>
                    <w:right w:val="none" w:sz="0" w:space="0" w:color="auto"/>
                  </w:divBdr>
                  <w:divsChild>
                    <w:div w:id="93240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048670">
      <w:bodyDiv w:val="1"/>
      <w:marLeft w:val="0"/>
      <w:marRight w:val="0"/>
      <w:marTop w:val="0"/>
      <w:marBottom w:val="0"/>
      <w:divBdr>
        <w:top w:val="none" w:sz="0" w:space="0" w:color="auto"/>
        <w:left w:val="none" w:sz="0" w:space="0" w:color="auto"/>
        <w:bottom w:val="none" w:sz="0" w:space="0" w:color="auto"/>
        <w:right w:val="none" w:sz="0" w:space="0" w:color="auto"/>
      </w:divBdr>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4200762">
      <w:bodyDiv w:val="1"/>
      <w:marLeft w:val="0"/>
      <w:marRight w:val="0"/>
      <w:marTop w:val="0"/>
      <w:marBottom w:val="0"/>
      <w:divBdr>
        <w:top w:val="none" w:sz="0" w:space="0" w:color="auto"/>
        <w:left w:val="none" w:sz="0" w:space="0" w:color="auto"/>
        <w:bottom w:val="none" w:sz="0" w:space="0" w:color="auto"/>
        <w:right w:val="none" w:sz="0" w:space="0" w:color="auto"/>
      </w:divBdr>
    </w:div>
    <w:div w:id="903639335">
      <w:bodyDiv w:val="1"/>
      <w:marLeft w:val="0"/>
      <w:marRight w:val="0"/>
      <w:marTop w:val="0"/>
      <w:marBottom w:val="0"/>
      <w:divBdr>
        <w:top w:val="none" w:sz="0" w:space="0" w:color="auto"/>
        <w:left w:val="none" w:sz="0" w:space="0" w:color="auto"/>
        <w:bottom w:val="none" w:sz="0" w:space="0" w:color="auto"/>
        <w:right w:val="none" w:sz="0" w:space="0" w:color="auto"/>
      </w:divBdr>
    </w:div>
    <w:div w:id="908031242">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2814326">
      <w:bodyDiv w:val="1"/>
      <w:marLeft w:val="0"/>
      <w:marRight w:val="0"/>
      <w:marTop w:val="0"/>
      <w:marBottom w:val="0"/>
      <w:divBdr>
        <w:top w:val="none" w:sz="0" w:space="0" w:color="auto"/>
        <w:left w:val="none" w:sz="0" w:space="0" w:color="auto"/>
        <w:bottom w:val="none" w:sz="0" w:space="0" w:color="auto"/>
        <w:right w:val="none" w:sz="0" w:space="0" w:color="auto"/>
      </w:divBdr>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5843760">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492648">
      <w:bodyDiv w:val="1"/>
      <w:marLeft w:val="0"/>
      <w:marRight w:val="0"/>
      <w:marTop w:val="0"/>
      <w:marBottom w:val="0"/>
      <w:divBdr>
        <w:top w:val="none" w:sz="0" w:space="0" w:color="auto"/>
        <w:left w:val="none" w:sz="0" w:space="0" w:color="auto"/>
        <w:bottom w:val="none" w:sz="0" w:space="0" w:color="auto"/>
        <w:right w:val="none" w:sz="0" w:space="0" w:color="auto"/>
      </w:divBdr>
      <w:divsChild>
        <w:div w:id="1802075241">
          <w:marLeft w:val="0"/>
          <w:marRight w:val="0"/>
          <w:marTop w:val="0"/>
          <w:marBottom w:val="0"/>
          <w:divBdr>
            <w:top w:val="none" w:sz="0" w:space="0" w:color="auto"/>
            <w:left w:val="none" w:sz="0" w:space="0" w:color="auto"/>
            <w:bottom w:val="none" w:sz="0" w:space="0" w:color="auto"/>
            <w:right w:val="none" w:sz="0" w:space="0" w:color="auto"/>
          </w:divBdr>
        </w:div>
        <w:div w:id="1661468700">
          <w:marLeft w:val="0"/>
          <w:marRight w:val="0"/>
          <w:marTop w:val="0"/>
          <w:marBottom w:val="0"/>
          <w:divBdr>
            <w:top w:val="none" w:sz="0" w:space="0" w:color="auto"/>
            <w:left w:val="none" w:sz="0" w:space="0" w:color="auto"/>
            <w:bottom w:val="none" w:sz="0" w:space="0" w:color="auto"/>
            <w:right w:val="none" w:sz="0" w:space="0" w:color="auto"/>
          </w:divBdr>
        </w:div>
      </w:divsChild>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1285824">
      <w:bodyDiv w:val="1"/>
      <w:marLeft w:val="0"/>
      <w:marRight w:val="0"/>
      <w:marTop w:val="0"/>
      <w:marBottom w:val="0"/>
      <w:divBdr>
        <w:top w:val="none" w:sz="0" w:space="0" w:color="auto"/>
        <w:left w:val="none" w:sz="0" w:space="0" w:color="auto"/>
        <w:bottom w:val="none" w:sz="0" w:space="0" w:color="auto"/>
        <w:right w:val="none" w:sz="0" w:space="0" w:color="auto"/>
      </w:divBdr>
    </w:div>
    <w:div w:id="961688723">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9262557">
      <w:bodyDiv w:val="1"/>
      <w:marLeft w:val="0"/>
      <w:marRight w:val="0"/>
      <w:marTop w:val="0"/>
      <w:marBottom w:val="0"/>
      <w:divBdr>
        <w:top w:val="none" w:sz="0" w:space="0" w:color="auto"/>
        <w:left w:val="none" w:sz="0" w:space="0" w:color="auto"/>
        <w:bottom w:val="none" w:sz="0" w:space="0" w:color="auto"/>
        <w:right w:val="none" w:sz="0" w:space="0" w:color="auto"/>
      </w:divBdr>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1757469">
      <w:bodyDiv w:val="1"/>
      <w:marLeft w:val="0"/>
      <w:marRight w:val="0"/>
      <w:marTop w:val="0"/>
      <w:marBottom w:val="0"/>
      <w:divBdr>
        <w:top w:val="none" w:sz="0" w:space="0" w:color="auto"/>
        <w:left w:val="none" w:sz="0" w:space="0" w:color="auto"/>
        <w:bottom w:val="none" w:sz="0" w:space="0" w:color="auto"/>
        <w:right w:val="none" w:sz="0" w:space="0" w:color="auto"/>
      </w:divBdr>
    </w:div>
    <w:div w:id="995498117">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2952161">
      <w:bodyDiv w:val="1"/>
      <w:marLeft w:val="0"/>
      <w:marRight w:val="0"/>
      <w:marTop w:val="0"/>
      <w:marBottom w:val="0"/>
      <w:divBdr>
        <w:top w:val="none" w:sz="0" w:space="0" w:color="auto"/>
        <w:left w:val="none" w:sz="0" w:space="0" w:color="auto"/>
        <w:bottom w:val="none" w:sz="0" w:space="0" w:color="auto"/>
        <w:right w:val="none" w:sz="0" w:space="0" w:color="auto"/>
      </w:divBdr>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25904290">
      <w:bodyDiv w:val="1"/>
      <w:marLeft w:val="0"/>
      <w:marRight w:val="0"/>
      <w:marTop w:val="0"/>
      <w:marBottom w:val="0"/>
      <w:divBdr>
        <w:top w:val="none" w:sz="0" w:space="0" w:color="auto"/>
        <w:left w:val="none" w:sz="0" w:space="0" w:color="auto"/>
        <w:bottom w:val="none" w:sz="0" w:space="0" w:color="auto"/>
        <w:right w:val="none" w:sz="0" w:space="0" w:color="auto"/>
      </w:divBdr>
    </w:div>
    <w:div w:id="1034961633">
      <w:bodyDiv w:val="1"/>
      <w:marLeft w:val="0"/>
      <w:marRight w:val="0"/>
      <w:marTop w:val="0"/>
      <w:marBottom w:val="0"/>
      <w:divBdr>
        <w:top w:val="none" w:sz="0" w:space="0" w:color="auto"/>
        <w:left w:val="none" w:sz="0" w:space="0" w:color="auto"/>
        <w:bottom w:val="none" w:sz="0" w:space="0" w:color="auto"/>
        <w:right w:val="none" w:sz="0" w:space="0" w:color="auto"/>
      </w:divBdr>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48801666">
      <w:bodyDiv w:val="1"/>
      <w:marLeft w:val="0"/>
      <w:marRight w:val="0"/>
      <w:marTop w:val="0"/>
      <w:marBottom w:val="0"/>
      <w:divBdr>
        <w:top w:val="none" w:sz="0" w:space="0" w:color="auto"/>
        <w:left w:val="none" w:sz="0" w:space="0" w:color="auto"/>
        <w:bottom w:val="none" w:sz="0" w:space="0" w:color="auto"/>
        <w:right w:val="none" w:sz="0" w:space="0" w:color="auto"/>
      </w:divBdr>
    </w:div>
    <w:div w:id="1058092731">
      <w:bodyDiv w:val="1"/>
      <w:marLeft w:val="0"/>
      <w:marRight w:val="0"/>
      <w:marTop w:val="0"/>
      <w:marBottom w:val="0"/>
      <w:divBdr>
        <w:top w:val="none" w:sz="0" w:space="0" w:color="auto"/>
        <w:left w:val="none" w:sz="0" w:space="0" w:color="auto"/>
        <w:bottom w:val="none" w:sz="0" w:space="0" w:color="auto"/>
        <w:right w:val="none" w:sz="0" w:space="0" w:color="auto"/>
      </w:divBdr>
      <w:divsChild>
        <w:div w:id="808011002">
          <w:marLeft w:val="0"/>
          <w:marRight w:val="0"/>
          <w:marTop w:val="0"/>
          <w:marBottom w:val="0"/>
          <w:divBdr>
            <w:top w:val="none" w:sz="0" w:space="0" w:color="auto"/>
            <w:left w:val="none" w:sz="0" w:space="0" w:color="auto"/>
            <w:bottom w:val="none" w:sz="0" w:space="0" w:color="auto"/>
            <w:right w:val="none" w:sz="0" w:space="0" w:color="auto"/>
          </w:divBdr>
          <w:divsChild>
            <w:div w:id="681082843">
              <w:marLeft w:val="0"/>
              <w:marRight w:val="0"/>
              <w:marTop w:val="0"/>
              <w:marBottom w:val="0"/>
              <w:divBdr>
                <w:top w:val="none" w:sz="0" w:space="0" w:color="auto"/>
                <w:left w:val="none" w:sz="0" w:space="0" w:color="auto"/>
                <w:bottom w:val="none" w:sz="0" w:space="0" w:color="auto"/>
                <w:right w:val="none" w:sz="0" w:space="0" w:color="auto"/>
              </w:divBdr>
              <w:divsChild>
                <w:div w:id="1184633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086416888">
      <w:bodyDiv w:val="1"/>
      <w:marLeft w:val="0"/>
      <w:marRight w:val="0"/>
      <w:marTop w:val="0"/>
      <w:marBottom w:val="0"/>
      <w:divBdr>
        <w:top w:val="none" w:sz="0" w:space="0" w:color="auto"/>
        <w:left w:val="none" w:sz="0" w:space="0" w:color="auto"/>
        <w:bottom w:val="none" w:sz="0" w:space="0" w:color="auto"/>
        <w:right w:val="none" w:sz="0" w:space="0" w:color="auto"/>
      </w:divBdr>
    </w:div>
    <w:div w:id="1102533683">
      <w:bodyDiv w:val="1"/>
      <w:marLeft w:val="0"/>
      <w:marRight w:val="0"/>
      <w:marTop w:val="0"/>
      <w:marBottom w:val="0"/>
      <w:divBdr>
        <w:top w:val="none" w:sz="0" w:space="0" w:color="auto"/>
        <w:left w:val="none" w:sz="0" w:space="0" w:color="auto"/>
        <w:bottom w:val="none" w:sz="0" w:space="0" w:color="auto"/>
        <w:right w:val="none" w:sz="0" w:space="0" w:color="auto"/>
      </w:divBdr>
      <w:divsChild>
        <w:div w:id="937952928">
          <w:marLeft w:val="0"/>
          <w:marRight w:val="0"/>
          <w:marTop w:val="0"/>
          <w:marBottom w:val="0"/>
          <w:divBdr>
            <w:top w:val="none" w:sz="0" w:space="0" w:color="auto"/>
            <w:left w:val="none" w:sz="0" w:space="0" w:color="auto"/>
            <w:bottom w:val="none" w:sz="0" w:space="0" w:color="auto"/>
            <w:right w:val="none" w:sz="0" w:space="0" w:color="auto"/>
          </w:divBdr>
          <w:divsChild>
            <w:div w:id="266161672">
              <w:marLeft w:val="0"/>
              <w:marRight w:val="0"/>
              <w:marTop w:val="0"/>
              <w:marBottom w:val="0"/>
              <w:divBdr>
                <w:top w:val="none" w:sz="0" w:space="0" w:color="auto"/>
                <w:left w:val="none" w:sz="0" w:space="0" w:color="auto"/>
                <w:bottom w:val="none" w:sz="0" w:space="0" w:color="auto"/>
                <w:right w:val="none" w:sz="0" w:space="0" w:color="auto"/>
              </w:divBdr>
              <w:divsChild>
                <w:div w:id="1082483636">
                  <w:marLeft w:val="0"/>
                  <w:marRight w:val="0"/>
                  <w:marTop w:val="0"/>
                  <w:marBottom w:val="0"/>
                  <w:divBdr>
                    <w:top w:val="none" w:sz="0" w:space="0" w:color="auto"/>
                    <w:left w:val="none" w:sz="0" w:space="0" w:color="auto"/>
                    <w:bottom w:val="none" w:sz="0" w:space="0" w:color="auto"/>
                    <w:right w:val="none" w:sz="0" w:space="0" w:color="auto"/>
                  </w:divBdr>
                  <w:divsChild>
                    <w:div w:id="167137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10005402">
      <w:bodyDiv w:val="1"/>
      <w:marLeft w:val="0"/>
      <w:marRight w:val="0"/>
      <w:marTop w:val="0"/>
      <w:marBottom w:val="0"/>
      <w:divBdr>
        <w:top w:val="none" w:sz="0" w:space="0" w:color="auto"/>
        <w:left w:val="none" w:sz="0" w:space="0" w:color="auto"/>
        <w:bottom w:val="none" w:sz="0" w:space="0" w:color="auto"/>
        <w:right w:val="none" w:sz="0" w:space="0" w:color="auto"/>
      </w:divBdr>
    </w:div>
    <w:div w:id="1112481275">
      <w:bodyDiv w:val="1"/>
      <w:marLeft w:val="0"/>
      <w:marRight w:val="0"/>
      <w:marTop w:val="0"/>
      <w:marBottom w:val="0"/>
      <w:divBdr>
        <w:top w:val="none" w:sz="0" w:space="0" w:color="auto"/>
        <w:left w:val="none" w:sz="0" w:space="0" w:color="auto"/>
        <w:bottom w:val="none" w:sz="0" w:space="0" w:color="auto"/>
        <w:right w:val="none" w:sz="0" w:space="0" w:color="auto"/>
      </w:divBdr>
    </w:div>
    <w:div w:id="1115715178">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80585647">
      <w:bodyDiv w:val="1"/>
      <w:marLeft w:val="0"/>
      <w:marRight w:val="0"/>
      <w:marTop w:val="0"/>
      <w:marBottom w:val="0"/>
      <w:divBdr>
        <w:top w:val="none" w:sz="0" w:space="0" w:color="auto"/>
        <w:left w:val="none" w:sz="0" w:space="0" w:color="auto"/>
        <w:bottom w:val="none" w:sz="0" w:space="0" w:color="auto"/>
        <w:right w:val="none" w:sz="0" w:space="0" w:color="auto"/>
      </w:divBdr>
    </w:div>
    <w:div w:id="1191649574">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2572790">
      <w:bodyDiv w:val="1"/>
      <w:marLeft w:val="0"/>
      <w:marRight w:val="0"/>
      <w:marTop w:val="0"/>
      <w:marBottom w:val="0"/>
      <w:divBdr>
        <w:top w:val="none" w:sz="0" w:space="0" w:color="auto"/>
        <w:left w:val="none" w:sz="0" w:space="0" w:color="auto"/>
        <w:bottom w:val="none" w:sz="0" w:space="0" w:color="auto"/>
        <w:right w:val="none" w:sz="0" w:space="0" w:color="auto"/>
      </w:divBdr>
    </w:div>
    <w:div w:id="1213425965">
      <w:bodyDiv w:val="1"/>
      <w:marLeft w:val="0"/>
      <w:marRight w:val="0"/>
      <w:marTop w:val="0"/>
      <w:marBottom w:val="0"/>
      <w:divBdr>
        <w:top w:val="none" w:sz="0" w:space="0" w:color="auto"/>
        <w:left w:val="none" w:sz="0" w:space="0" w:color="auto"/>
        <w:bottom w:val="none" w:sz="0" w:space="0" w:color="auto"/>
        <w:right w:val="none" w:sz="0" w:space="0" w:color="auto"/>
      </w:divBdr>
      <w:divsChild>
        <w:div w:id="1898123514">
          <w:marLeft w:val="0"/>
          <w:marRight w:val="0"/>
          <w:marTop w:val="0"/>
          <w:marBottom w:val="0"/>
          <w:divBdr>
            <w:top w:val="none" w:sz="0" w:space="0" w:color="auto"/>
            <w:left w:val="none" w:sz="0" w:space="0" w:color="auto"/>
            <w:bottom w:val="none" w:sz="0" w:space="0" w:color="auto"/>
            <w:right w:val="none" w:sz="0" w:space="0" w:color="auto"/>
          </w:divBdr>
          <w:divsChild>
            <w:div w:id="577178891">
              <w:marLeft w:val="0"/>
              <w:marRight w:val="0"/>
              <w:marTop w:val="0"/>
              <w:marBottom w:val="0"/>
              <w:divBdr>
                <w:top w:val="none" w:sz="0" w:space="0" w:color="auto"/>
                <w:left w:val="none" w:sz="0" w:space="0" w:color="auto"/>
                <w:bottom w:val="none" w:sz="0" w:space="0" w:color="auto"/>
                <w:right w:val="none" w:sz="0" w:space="0" w:color="auto"/>
              </w:divBdr>
              <w:divsChild>
                <w:div w:id="1346323552">
                  <w:marLeft w:val="0"/>
                  <w:marRight w:val="0"/>
                  <w:marTop w:val="0"/>
                  <w:marBottom w:val="0"/>
                  <w:divBdr>
                    <w:top w:val="none" w:sz="0" w:space="0" w:color="auto"/>
                    <w:left w:val="none" w:sz="0" w:space="0" w:color="auto"/>
                    <w:bottom w:val="none" w:sz="0" w:space="0" w:color="auto"/>
                    <w:right w:val="none" w:sz="0" w:space="0" w:color="auto"/>
                  </w:divBdr>
                  <w:divsChild>
                    <w:div w:id="53616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27375474">
      <w:bodyDiv w:val="1"/>
      <w:marLeft w:val="0"/>
      <w:marRight w:val="0"/>
      <w:marTop w:val="0"/>
      <w:marBottom w:val="0"/>
      <w:divBdr>
        <w:top w:val="none" w:sz="0" w:space="0" w:color="auto"/>
        <w:left w:val="none" w:sz="0" w:space="0" w:color="auto"/>
        <w:bottom w:val="none" w:sz="0" w:space="0" w:color="auto"/>
        <w:right w:val="none" w:sz="0" w:space="0" w:color="auto"/>
      </w:divBdr>
    </w:div>
    <w:div w:id="1246646857">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09088797">
      <w:bodyDiv w:val="1"/>
      <w:marLeft w:val="0"/>
      <w:marRight w:val="0"/>
      <w:marTop w:val="0"/>
      <w:marBottom w:val="0"/>
      <w:divBdr>
        <w:top w:val="none" w:sz="0" w:space="0" w:color="auto"/>
        <w:left w:val="none" w:sz="0" w:space="0" w:color="auto"/>
        <w:bottom w:val="none" w:sz="0" w:space="0" w:color="auto"/>
        <w:right w:val="none" w:sz="0" w:space="0" w:color="auto"/>
      </w:divBdr>
    </w:div>
    <w:div w:id="1312295347">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20426134">
      <w:bodyDiv w:val="1"/>
      <w:marLeft w:val="0"/>
      <w:marRight w:val="0"/>
      <w:marTop w:val="0"/>
      <w:marBottom w:val="0"/>
      <w:divBdr>
        <w:top w:val="none" w:sz="0" w:space="0" w:color="auto"/>
        <w:left w:val="none" w:sz="0" w:space="0" w:color="auto"/>
        <w:bottom w:val="none" w:sz="0" w:space="0" w:color="auto"/>
        <w:right w:val="none" w:sz="0" w:space="0" w:color="auto"/>
      </w:divBdr>
    </w:div>
    <w:div w:id="1327973237">
      <w:bodyDiv w:val="1"/>
      <w:marLeft w:val="0"/>
      <w:marRight w:val="0"/>
      <w:marTop w:val="0"/>
      <w:marBottom w:val="0"/>
      <w:divBdr>
        <w:top w:val="none" w:sz="0" w:space="0" w:color="auto"/>
        <w:left w:val="none" w:sz="0" w:space="0" w:color="auto"/>
        <w:bottom w:val="none" w:sz="0" w:space="0" w:color="auto"/>
        <w:right w:val="none" w:sz="0" w:space="0" w:color="auto"/>
      </w:divBdr>
    </w:div>
    <w:div w:id="1329864676">
      <w:bodyDiv w:val="1"/>
      <w:marLeft w:val="0"/>
      <w:marRight w:val="0"/>
      <w:marTop w:val="0"/>
      <w:marBottom w:val="0"/>
      <w:divBdr>
        <w:top w:val="none" w:sz="0" w:space="0" w:color="auto"/>
        <w:left w:val="none" w:sz="0" w:space="0" w:color="auto"/>
        <w:bottom w:val="none" w:sz="0" w:space="0" w:color="auto"/>
        <w:right w:val="none" w:sz="0" w:space="0" w:color="auto"/>
      </w:divBdr>
      <w:divsChild>
        <w:div w:id="385421705">
          <w:marLeft w:val="0"/>
          <w:marRight w:val="0"/>
          <w:marTop w:val="0"/>
          <w:marBottom w:val="0"/>
          <w:divBdr>
            <w:top w:val="none" w:sz="0" w:space="0" w:color="auto"/>
            <w:left w:val="none" w:sz="0" w:space="0" w:color="auto"/>
            <w:bottom w:val="none" w:sz="0" w:space="0" w:color="auto"/>
            <w:right w:val="none" w:sz="0" w:space="0" w:color="auto"/>
          </w:divBdr>
          <w:divsChild>
            <w:div w:id="179666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61666678">
      <w:bodyDiv w:val="1"/>
      <w:marLeft w:val="0"/>
      <w:marRight w:val="0"/>
      <w:marTop w:val="0"/>
      <w:marBottom w:val="0"/>
      <w:divBdr>
        <w:top w:val="none" w:sz="0" w:space="0" w:color="auto"/>
        <w:left w:val="none" w:sz="0" w:space="0" w:color="auto"/>
        <w:bottom w:val="none" w:sz="0" w:space="0" w:color="auto"/>
        <w:right w:val="none" w:sz="0" w:space="0" w:color="auto"/>
      </w:divBdr>
      <w:divsChild>
        <w:div w:id="1027023326">
          <w:marLeft w:val="0"/>
          <w:marRight w:val="0"/>
          <w:marTop w:val="0"/>
          <w:marBottom w:val="0"/>
          <w:divBdr>
            <w:top w:val="none" w:sz="0" w:space="0" w:color="auto"/>
            <w:left w:val="none" w:sz="0" w:space="0" w:color="auto"/>
            <w:bottom w:val="none" w:sz="0" w:space="0" w:color="auto"/>
            <w:right w:val="none" w:sz="0" w:space="0" w:color="auto"/>
          </w:divBdr>
          <w:divsChild>
            <w:div w:id="2137526825">
              <w:marLeft w:val="0"/>
              <w:marRight w:val="0"/>
              <w:marTop w:val="0"/>
              <w:marBottom w:val="0"/>
              <w:divBdr>
                <w:top w:val="none" w:sz="0" w:space="0" w:color="auto"/>
                <w:left w:val="none" w:sz="0" w:space="0" w:color="auto"/>
                <w:bottom w:val="none" w:sz="0" w:space="0" w:color="auto"/>
                <w:right w:val="none" w:sz="0" w:space="0" w:color="auto"/>
              </w:divBdr>
              <w:divsChild>
                <w:div w:id="1553811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2215439">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2169294">
      <w:bodyDiv w:val="1"/>
      <w:marLeft w:val="0"/>
      <w:marRight w:val="0"/>
      <w:marTop w:val="0"/>
      <w:marBottom w:val="0"/>
      <w:divBdr>
        <w:top w:val="none" w:sz="0" w:space="0" w:color="auto"/>
        <w:left w:val="none" w:sz="0" w:space="0" w:color="auto"/>
        <w:bottom w:val="none" w:sz="0" w:space="0" w:color="auto"/>
        <w:right w:val="none" w:sz="0" w:space="0" w:color="auto"/>
      </w:divBdr>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48960988">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79611762">
      <w:bodyDiv w:val="1"/>
      <w:marLeft w:val="0"/>
      <w:marRight w:val="0"/>
      <w:marTop w:val="0"/>
      <w:marBottom w:val="0"/>
      <w:divBdr>
        <w:top w:val="none" w:sz="0" w:space="0" w:color="auto"/>
        <w:left w:val="none" w:sz="0" w:space="0" w:color="auto"/>
        <w:bottom w:val="none" w:sz="0" w:space="0" w:color="auto"/>
        <w:right w:val="none" w:sz="0" w:space="0" w:color="auto"/>
      </w:divBdr>
    </w:div>
    <w:div w:id="1482842812">
      <w:bodyDiv w:val="1"/>
      <w:marLeft w:val="0"/>
      <w:marRight w:val="0"/>
      <w:marTop w:val="0"/>
      <w:marBottom w:val="0"/>
      <w:divBdr>
        <w:top w:val="none" w:sz="0" w:space="0" w:color="auto"/>
        <w:left w:val="none" w:sz="0" w:space="0" w:color="auto"/>
        <w:bottom w:val="none" w:sz="0" w:space="0" w:color="auto"/>
        <w:right w:val="none" w:sz="0" w:space="0" w:color="auto"/>
      </w:divBdr>
    </w:div>
    <w:div w:id="1489908005">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7138254">
      <w:bodyDiv w:val="1"/>
      <w:marLeft w:val="0"/>
      <w:marRight w:val="0"/>
      <w:marTop w:val="0"/>
      <w:marBottom w:val="0"/>
      <w:divBdr>
        <w:top w:val="none" w:sz="0" w:space="0" w:color="auto"/>
        <w:left w:val="none" w:sz="0" w:space="0" w:color="auto"/>
        <w:bottom w:val="none" w:sz="0" w:space="0" w:color="auto"/>
        <w:right w:val="none" w:sz="0" w:space="0" w:color="auto"/>
      </w:divBdr>
    </w:div>
    <w:div w:id="1508133523">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1788581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39202002">
      <w:bodyDiv w:val="1"/>
      <w:marLeft w:val="0"/>
      <w:marRight w:val="0"/>
      <w:marTop w:val="0"/>
      <w:marBottom w:val="0"/>
      <w:divBdr>
        <w:top w:val="none" w:sz="0" w:space="0" w:color="auto"/>
        <w:left w:val="none" w:sz="0" w:space="0" w:color="auto"/>
        <w:bottom w:val="none" w:sz="0" w:space="0" w:color="auto"/>
        <w:right w:val="none" w:sz="0" w:space="0" w:color="auto"/>
      </w:divBdr>
      <w:divsChild>
        <w:div w:id="289094325">
          <w:marLeft w:val="0"/>
          <w:marRight w:val="0"/>
          <w:marTop w:val="0"/>
          <w:marBottom w:val="0"/>
          <w:divBdr>
            <w:top w:val="none" w:sz="0" w:space="0" w:color="auto"/>
            <w:left w:val="none" w:sz="0" w:space="0" w:color="auto"/>
            <w:bottom w:val="none" w:sz="0" w:space="0" w:color="auto"/>
            <w:right w:val="none" w:sz="0" w:space="0" w:color="auto"/>
          </w:divBdr>
          <w:divsChild>
            <w:div w:id="101149594">
              <w:marLeft w:val="0"/>
              <w:marRight w:val="0"/>
              <w:marTop w:val="0"/>
              <w:marBottom w:val="0"/>
              <w:divBdr>
                <w:top w:val="none" w:sz="0" w:space="0" w:color="auto"/>
                <w:left w:val="none" w:sz="0" w:space="0" w:color="auto"/>
                <w:bottom w:val="none" w:sz="0" w:space="0" w:color="auto"/>
                <w:right w:val="none" w:sz="0" w:space="0" w:color="auto"/>
              </w:divBdr>
              <w:divsChild>
                <w:div w:id="565646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66140219">
      <w:bodyDiv w:val="1"/>
      <w:marLeft w:val="0"/>
      <w:marRight w:val="0"/>
      <w:marTop w:val="0"/>
      <w:marBottom w:val="0"/>
      <w:divBdr>
        <w:top w:val="none" w:sz="0" w:space="0" w:color="auto"/>
        <w:left w:val="none" w:sz="0" w:space="0" w:color="auto"/>
        <w:bottom w:val="none" w:sz="0" w:space="0" w:color="auto"/>
        <w:right w:val="none" w:sz="0" w:space="0" w:color="auto"/>
      </w:divBdr>
    </w:div>
    <w:div w:id="1573925530">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07592">
      <w:bodyDiv w:val="1"/>
      <w:marLeft w:val="0"/>
      <w:marRight w:val="0"/>
      <w:marTop w:val="0"/>
      <w:marBottom w:val="0"/>
      <w:divBdr>
        <w:top w:val="none" w:sz="0" w:space="0" w:color="auto"/>
        <w:left w:val="none" w:sz="0" w:space="0" w:color="auto"/>
        <w:bottom w:val="none" w:sz="0" w:space="0" w:color="auto"/>
        <w:right w:val="none" w:sz="0" w:space="0" w:color="auto"/>
      </w:divBdr>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9067109">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3413945">
      <w:bodyDiv w:val="1"/>
      <w:marLeft w:val="0"/>
      <w:marRight w:val="0"/>
      <w:marTop w:val="0"/>
      <w:marBottom w:val="0"/>
      <w:divBdr>
        <w:top w:val="none" w:sz="0" w:space="0" w:color="auto"/>
        <w:left w:val="none" w:sz="0" w:space="0" w:color="auto"/>
        <w:bottom w:val="none" w:sz="0" w:space="0" w:color="auto"/>
        <w:right w:val="none" w:sz="0" w:space="0" w:color="auto"/>
      </w:divBdr>
    </w:div>
    <w:div w:id="1655529074">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66326183">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8800704">
      <w:bodyDiv w:val="1"/>
      <w:marLeft w:val="0"/>
      <w:marRight w:val="0"/>
      <w:marTop w:val="0"/>
      <w:marBottom w:val="0"/>
      <w:divBdr>
        <w:top w:val="none" w:sz="0" w:space="0" w:color="auto"/>
        <w:left w:val="none" w:sz="0" w:space="0" w:color="auto"/>
        <w:bottom w:val="none" w:sz="0" w:space="0" w:color="auto"/>
        <w:right w:val="none" w:sz="0" w:space="0" w:color="auto"/>
      </w:divBdr>
      <w:divsChild>
        <w:div w:id="572349956">
          <w:marLeft w:val="0"/>
          <w:marRight w:val="0"/>
          <w:marTop w:val="0"/>
          <w:marBottom w:val="0"/>
          <w:divBdr>
            <w:top w:val="none" w:sz="0" w:space="0" w:color="auto"/>
            <w:left w:val="none" w:sz="0" w:space="0" w:color="auto"/>
            <w:bottom w:val="none" w:sz="0" w:space="0" w:color="auto"/>
            <w:right w:val="none" w:sz="0" w:space="0" w:color="auto"/>
          </w:divBdr>
        </w:div>
      </w:divsChild>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1369992">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5423701">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08410328">
      <w:bodyDiv w:val="1"/>
      <w:marLeft w:val="0"/>
      <w:marRight w:val="0"/>
      <w:marTop w:val="0"/>
      <w:marBottom w:val="0"/>
      <w:divBdr>
        <w:top w:val="none" w:sz="0" w:space="0" w:color="auto"/>
        <w:left w:val="none" w:sz="0" w:space="0" w:color="auto"/>
        <w:bottom w:val="none" w:sz="0" w:space="0" w:color="auto"/>
        <w:right w:val="none" w:sz="0" w:space="0" w:color="auto"/>
      </w:divBdr>
      <w:divsChild>
        <w:div w:id="932855324">
          <w:marLeft w:val="0"/>
          <w:marRight w:val="0"/>
          <w:marTop w:val="0"/>
          <w:marBottom w:val="0"/>
          <w:divBdr>
            <w:top w:val="none" w:sz="0" w:space="0" w:color="auto"/>
            <w:left w:val="none" w:sz="0" w:space="0" w:color="auto"/>
            <w:bottom w:val="none" w:sz="0" w:space="0" w:color="auto"/>
            <w:right w:val="none" w:sz="0" w:space="0" w:color="auto"/>
          </w:divBdr>
          <w:divsChild>
            <w:div w:id="984509499">
              <w:marLeft w:val="0"/>
              <w:marRight w:val="0"/>
              <w:marTop w:val="0"/>
              <w:marBottom w:val="0"/>
              <w:divBdr>
                <w:top w:val="none" w:sz="0" w:space="0" w:color="auto"/>
                <w:left w:val="none" w:sz="0" w:space="0" w:color="auto"/>
                <w:bottom w:val="none" w:sz="0" w:space="0" w:color="auto"/>
                <w:right w:val="none" w:sz="0" w:space="0" w:color="auto"/>
              </w:divBdr>
              <w:divsChild>
                <w:div w:id="1891262088">
                  <w:marLeft w:val="0"/>
                  <w:marRight w:val="0"/>
                  <w:marTop w:val="0"/>
                  <w:marBottom w:val="0"/>
                  <w:divBdr>
                    <w:top w:val="none" w:sz="0" w:space="0" w:color="auto"/>
                    <w:left w:val="none" w:sz="0" w:space="0" w:color="auto"/>
                    <w:bottom w:val="none" w:sz="0" w:space="0" w:color="auto"/>
                    <w:right w:val="none" w:sz="0" w:space="0" w:color="auto"/>
                  </w:divBdr>
                  <w:divsChild>
                    <w:div w:id="691953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41976763">
      <w:bodyDiv w:val="1"/>
      <w:marLeft w:val="0"/>
      <w:marRight w:val="0"/>
      <w:marTop w:val="0"/>
      <w:marBottom w:val="0"/>
      <w:divBdr>
        <w:top w:val="none" w:sz="0" w:space="0" w:color="auto"/>
        <w:left w:val="none" w:sz="0" w:space="0" w:color="auto"/>
        <w:bottom w:val="none" w:sz="0" w:space="0" w:color="auto"/>
        <w:right w:val="none" w:sz="0" w:space="0" w:color="auto"/>
      </w:divBdr>
    </w:div>
    <w:div w:id="1759400849">
      <w:bodyDiv w:val="1"/>
      <w:marLeft w:val="0"/>
      <w:marRight w:val="0"/>
      <w:marTop w:val="0"/>
      <w:marBottom w:val="0"/>
      <w:divBdr>
        <w:top w:val="none" w:sz="0" w:space="0" w:color="auto"/>
        <w:left w:val="none" w:sz="0" w:space="0" w:color="auto"/>
        <w:bottom w:val="none" w:sz="0" w:space="0" w:color="auto"/>
        <w:right w:val="none" w:sz="0" w:space="0" w:color="auto"/>
      </w:divBdr>
      <w:divsChild>
        <w:div w:id="2108649876">
          <w:marLeft w:val="0"/>
          <w:marRight w:val="0"/>
          <w:marTop w:val="0"/>
          <w:marBottom w:val="0"/>
          <w:divBdr>
            <w:top w:val="none" w:sz="0" w:space="0" w:color="auto"/>
            <w:left w:val="none" w:sz="0" w:space="0" w:color="auto"/>
            <w:bottom w:val="none" w:sz="0" w:space="0" w:color="auto"/>
            <w:right w:val="none" w:sz="0" w:space="0" w:color="auto"/>
          </w:divBdr>
          <w:divsChild>
            <w:div w:id="955403916">
              <w:marLeft w:val="0"/>
              <w:marRight w:val="0"/>
              <w:marTop w:val="0"/>
              <w:marBottom w:val="0"/>
              <w:divBdr>
                <w:top w:val="none" w:sz="0" w:space="0" w:color="auto"/>
                <w:left w:val="none" w:sz="0" w:space="0" w:color="auto"/>
                <w:bottom w:val="none" w:sz="0" w:space="0" w:color="auto"/>
                <w:right w:val="none" w:sz="0" w:space="0" w:color="auto"/>
              </w:divBdr>
              <w:divsChild>
                <w:div w:id="933324785">
                  <w:marLeft w:val="0"/>
                  <w:marRight w:val="0"/>
                  <w:marTop w:val="0"/>
                  <w:marBottom w:val="0"/>
                  <w:divBdr>
                    <w:top w:val="none" w:sz="0" w:space="0" w:color="auto"/>
                    <w:left w:val="none" w:sz="0" w:space="0" w:color="auto"/>
                    <w:bottom w:val="none" w:sz="0" w:space="0" w:color="auto"/>
                    <w:right w:val="none" w:sz="0" w:space="0" w:color="auto"/>
                  </w:divBdr>
                  <w:divsChild>
                    <w:div w:id="31676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4474261">
      <w:bodyDiv w:val="1"/>
      <w:marLeft w:val="0"/>
      <w:marRight w:val="0"/>
      <w:marTop w:val="0"/>
      <w:marBottom w:val="0"/>
      <w:divBdr>
        <w:top w:val="none" w:sz="0" w:space="0" w:color="auto"/>
        <w:left w:val="none" w:sz="0" w:space="0" w:color="auto"/>
        <w:bottom w:val="none" w:sz="0" w:space="0" w:color="auto"/>
        <w:right w:val="none" w:sz="0" w:space="0" w:color="auto"/>
      </w:divBdr>
    </w:div>
    <w:div w:id="1776827981">
      <w:bodyDiv w:val="1"/>
      <w:marLeft w:val="0"/>
      <w:marRight w:val="0"/>
      <w:marTop w:val="0"/>
      <w:marBottom w:val="0"/>
      <w:divBdr>
        <w:top w:val="none" w:sz="0" w:space="0" w:color="auto"/>
        <w:left w:val="none" w:sz="0" w:space="0" w:color="auto"/>
        <w:bottom w:val="none" w:sz="0" w:space="0" w:color="auto"/>
        <w:right w:val="none" w:sz="0" w:space="0" w:color="auto"/>
      </w:divBdr>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946305">
      <w:bodyDiv w:val="1"/>
      <w:marLeft w:val="0"/>
      <w:marRight w:val="0"/>
      <w:marTop w:val="0"/>
      <w:marBottom w:val="0"/>
      <w:divBdr>
        <w:top w:val="none" w:sz="0" w:space="0" w:color="auto"/>
        <w:left w:val="none" w:sz="0" w:space="0" w:color="auto"/>
        <w:bottom w:val="none" w:sz="0" w:space="0" w:color="auto"/>
        <w:right w:val="none" w:sz="0" w:space="0" w:color="auto"/>
      </w:divBdr>
    </w:div>
    <w:div w:id="1789466845">
      <w:bodyDiv w:val="1"/>
      <w:marLeft w:val="0"/>
      <w:marRight w:val="0"/>
      <w:marTop w:val="0"/>
      <w:marBottom w:val="0"/>
      <w:divBdr>
        <w:top w:val="none" w:sz="0" w:space="0" w:color="auto"/>
        <w:left w:val="none" w:sz="0" w:space="0" w:color="auto"/>
        <w:bottom w:val="none" w:sz="0" w:space="0" w:color="auto"/>
        <w:right w:val="none" w:sz="0" w:space="0" w:color="auto"/>
      </w:divBdr>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1071208">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6777416">
      <w:bodyDiv w:val="1"/>
      <w:marLeft w:val="0"/>
      <w:marRight w:val="0"/>
      <w:marTop w:val="0"/>
      <w:marBottom w:val="0"/>
      <w:divBdr>
        <w:top w:val="none" w:sz="0" w:space="0" w:color="auto"/>
        <w:left w:val="none" w:sz="0" w:space="0" w:color="auto"/>
        <w:bottom w:val="none" w:sz="0" w:space="0" w:color="auto"/>
        <w:right w:val="none" w:sz="0" w:space="0" w:color="auto"/>
      </w:divBdr>
      <w:divsChild>
        <w:div w:id="878473400">
          <w:marLeft w:val="0"/>
          <w:marRight w:val="0"/>
          <w:marTop w:val="0"/>
          <w:marBottom w:val="0"/>
          <w:divBdr>
            <w:top w:val="none" w:sz="0" w:space="0" w:color="auto"/>
            <w:left w:val="none" w:sz="0" w:space="0" w:color="auto"/>
            <w:bottom w:val="none" w:sz="0" w:space="0" w:color="auto"/>
            <w:right w:val="none" w:sz="0" w:space="0" w:color="auto"/>
          </w:divBdr>
          <w:divsChild>
            <w:div w:id="636031269">
              <w:marLeft w:val="0"/>
              <w:marRight w:val="0"/>
              <w:marTop w:val="0"/>
              <w:marBottom w:val="0"/>
              <w:divBdr>
                <w:top w:val="none" w:sz="0" w:space="0" w:color="auto"/>
                <w:left w:val="none" w:sz="0" w:space="0" w:color="auto"/>
                <w:bottom w:val="none" w:sz="0" w:space="0" w:color="auto"/>
                <w:right w:val="none" w:sz="0" w:space="0" w:color="auto"/>
              </w:divBdr>
              <w:divsChild>
                <w:div w:id="990787999">
                  <w:marLeft w:val="0"/>
                  <w:marRight w:val="0"/>
                  <w:marTop w:val="0"/>
                  <w:marBottom w:val="0"/>
                  <w:divBdr>
                    <w:top w:val="none" w:sz="0" w:space="0" w:color="auto"/>
                    <w:left w:val="none" w:sz="0" w:space="0" w:color="auto"/>
                    <w:bottom w:val="none" w:sz="0" w:space="0" w:color="auto"/>
                    <w:right w:val="none" w:sz="0" w:space="0" w:color="auto"/>
                  </w:divBdr>
                  <w:divsChild>
                    <w:div w:id="210045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1539483">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28783605">
      <w:bodyDiv w:val="1"/>
      <w:marLeft w:val="0"/>
      <w:marRight w:val="0"/>
      <w:marTop w:val="0"/>
      <w:marBottom w:val="0"/>
      <w:divBdr>
        <w:top w:val="none" w:sz="0" w:space="0" w:color="auto"/>
        <w:left w:val="none" w:sz="0" w:space="0" w:color="auto"/>
        <w:bottom w:val="none" w:sz="0" w:space="0" w:color="auto"/>
        <w:right w:val="none" w:sz="0" w:space="0" w:color="auto"/>
      </w:divBdr>
      <w:divsChild>
        <w:div w:id="144781512">
          <w:marLeft w:val="0"/>
          <w:marRight w:val="0"/>
          <w:marTop w:val="0"/>
          <w:marBottom w:val="0"/>
          <w:divBdr>
            <w:top w:val="none" w:sz="0" w:space="0" w:color="auto"/>
            <w:left w:val="none" w:sz="0" w:space="0" w:color="auto"/>
            <w:bottom w:val="none" w:sz="0" w:space="0" w:color="auto"/>
            <w:right w:val="none" w:sz="0" w:space="0" w:color="auto"/>
          </w:divBdr>
        </w:div>
      </w:divsChild>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916467">
      <w:bodyDiv w:val="1"/>
      <w:marLeft w:val="0"/>
      <w:marRight w:val="0"/>
      <w:marTop w:val="0"/>
      <w:marBottom w:val="0"/>
      <w:divBdr>
        <w:top w:val="none" w:sz="0" w:space="0" w:color="auto"/>
        <w:left w:val="none" w:sz="0" w:space="0" w:color="auto"/>
        <w:bottom w:val="none" w:sz="0" w:space="0" w:color="auto"/>
        <w:right w:val="none" w:sz="0" w:space="0" w:color="auto"/>
      </w:divBdr>
    </w:div>
    <w:div w:id="1836918185">
      <w:bodyDiv w:val="1"/>
      <w:marLeft w:val="0"/>
      <w:marRight w:val="0"/>
      <w:marTop w:val="0"/>
      <w:marBottom w:val="0"/>
      <w:divBdr>
        <w:top w:val="none" w:sz="0" w:space="0" w:color="auto"/>
        <w:left w:val="none" w:sz="0" w:space="0" w:color="auto"/>
        <w:bottom w:val="none" w:sz="0" w:space="0" w:color="auto"/>
        <w:right w:val="none" w:sz="0" w:space="0" w:color="auto"/>
      </w:divBdr>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4857320">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3664025">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7567204">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67008671">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0964369">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09597345">
      <w:bodyDiv w:val="1"/>
      <w:marLeft w:val="0"/>
      <w:marRight w:val="0"/>
      <w:marTop w:val="0"/>
      <w:marBottom w:val="0"/>
      <w:divBdr>
        <w:top w:val="none" w:sz="0" w:space="0" w:color="auto"/>
        <w:left w:val="none" w:sz="0" w:space="0" w:color="auto"/>
        <w:bottom w:val="none" w:sz="0" w:space="0" w:color="auto"/>
        <w:right w:val="none" w:sz="0" w:space="0" w:color="auto"/>
      </w:divBdr>
    </w:div>
    <w:div w:id="2012828402">
      <w:bodyDiv w:val="1"/>
      <w:marLeft w:val="0"/>
      <w:marRight w:val="0"/>
      <w:marTop w:val="0"/>
      <w:marBottom w:val="0"/>
      <w:divBdr>
        <w:top w:val="none" w:sz="0" w:space="0" w:color="auto"/>
        <w:left w:val="none" w:sz="0" w:space="0" w:color="auto"/>
        <w:bottom w:val="none" w:sz="0" w:space="0" w:color="auto"/>
        <w:right w:val="none" w:sz="0" w:space="0" w:color="auto"/>
      </w:divBdr>
    </w:div>
    <w:div w:id="2017071947">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398012">
      <w:bodyDiv w:val="1"/>
      <w:marLeft w:val="0"/>
      <w:marRight w:val="0"/>
      <w:marTop w:val="0"/>
      <w:marBottom w:val="0"/>
      <w:divBdr>
        <w:top w:val="none" w:sz="0" w:space="0" w:color="auto"/>
        <w:left w:val="none" w:sz="0" w:space="0" w:color="auto"/>
        <w:bottom w:val="none" w:sz="0" w:space="0" w:color="auto"/>
        <w:right w:val="none" w:sz="0" w:space="0" w:color="auto"/>
      </w:divBdr>
    </w:div>
    <w:div w:id="2096586429">
      <w:bodyDiv w:val="1"/>
      <w:marLeft w:val="0"/>
      <w:marRight w:val="0"/>
      <w:marTop w:val="0"/>
      <w:marBottom w:val="0"/>
      <w:divBdr>
        <w:top w:val="none" w:sz="0" w:space="0" w:color="auto"/>
        <w:left w:val="none" w:sz="0" w:space="0" w:color="auto"/>
        <w:bottom w:val="none" w:sz="0" w:space="0" w:color="auto"/>
        <w:right w:val="none" w:sz="0" w:space="0" w:color="auto"/>
      </w:divBdr>
      <w:divsChild>
        <w:div w:id="245185707">
          <w:blockQuote w:val="1"/>
          <w:marLeft w:val="75"/>
          <w:marRight w:val="720"/>
          <w:marTop w:val="100"/>
          <w:marBottom w:val="100"/>
          <w:divBdr>
            <w:top w:val="none" w:sz="0" w:space="0" w:color="auto"/>
            <w:left w:val="single" w:sz="12" w:space="4" w:color="144FAE"/>
            <w:bottom w:val="none" w:sz="0" w:space="0" w:color="auto"/>
            <w:right w:val="none" w:sz="0" w:space="0" w:color="auto"/>
          </w:divBdr>
          <w:divsChild>
            <w:div w:id="1823423683">
              <w:marLeft w:val="0"/>
              <w:marRight w:val="0"/>
              <w:marTop w:val="0"/>
              <w:marBottom w:val="0"/>
              <w:divBdr>
                <w:top w:val="none" w:sz="0" w:space="0" w:color="auto"/>
                <w:left w:val="none" w:sz="0" w:space="0" w:color="auto"/>
                <w:bottom w:val="none" w:sz="0" w:space="0" w:color="auto"/>
                <w:right w:val="none" w:sz="0" w:space="0" w:color="auto"/>
              </w:divBdr>
              <w:divsChild>
                <w:div w:id="161848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8744137">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650556">
      <w:bodyDiv w:val="1"/>
      <w:marLeft w:val="0"/>
      <w:marRight w:val="0"/>
      <w:marTop w:val="0"/>
      <w:marBottom w:val="0"/>
      <w:divBdr>
        <w:top w:val="none" w:sz="0" w:space="0" w:color="auto"/>
        <w:left w:val="none" w:sz="0" w:space="0" w:color="auto"/>
        <w:bottom w:val="none" w:sz="0" w:space="0" w:color="auto"/>
        <w:right w:val="none" w:sz="0" w:space="0" w:color="auto"/>
      </w:divBdr>
    </w:div>
    <w:div w:id="2132896349">
      <w:bodyDiv w:val="1"/>
      <w:marLeft w:val="0"/>
      <w:marRight w:val="0"/>
      <w:marTop w:val="0"/>
      <w:marBottom w:val="0"/>
      <w:divBdr>
        <w:top w:val="none" w:sz="0" w:space="0" w:color="auto"/>
        <w:left w:val="none" w:sz="0" w:space="0" w:color="auto"/>
        <w:bottom w:val="none" w:sz="0" w:space="0" w:color="auto"/>
        <w:right w:val="none" w:sz="0" w:space="0" w:color="auto"/>
      </w:divBdr>
    </w:div>
    <w:div w:id="2133672778">
      <w:bodyDiv w:val="1"/>
      <w:marLeft w:val="0"/>
      <w:marRight w:val="0"/>
      <w:marTop w:val="0"/>
      <w:marBottom w:val="0"/>
      <w:divBdr>
        <w:top w:val="none" w:sz="0" w:space="0" w:color="auto"/>
        <w:left w:val="none" w:sz="0" w:space="0" w:color="auto"/>
        <w:bottom w:val="none" w:sz="0" w:space="0" w:color="auto"/>
        <w:right w:val="none" w:sz="0" w:space="0" w:color="auto"/>
      </w:divBdr>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s://www.corteconstitucional.gov.co/comu%20nicados/Comunicado%20No.%2014%20-%20Mayo%2005%20de%202022.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4414C5-DEED-4B13-A7CA-6B19E7E10D7B}">
  <ds:schemaRefs>
    <ds:schemaRef ds:uri="http://purl.org/dc/terms/"/>
    <ds:schemaRef ds:uri="9d85dbaf-23eb-4e57-a637-93dcacc8b1a1"/>
    <ds:schemaRef ds:uri="http://schemas.openxmlformats.org/package/2006/metadata/core-properties"/>
    <ds:schemaRef ds:uri="http://purl.org/dc/dcmitype/"/>
    <ds:schemaRef ds:uri="http://schemas.microsoft.com/office/2006/documentManagement/types"/>
    <ds:schemaRef ds:uri="http://purl.org/dc/elements/1.1/"/>
    <ds:schemaRef ds:uri="http://schemas.microsoft.com/office/2006/metadata/properties"/>
    <ds:schemaRef ds:uri="http://schemas.microsoft.com/office/infopath/2007/PartnerControls"/>
    <ds:schemaRef ds:uri="a6cb9e4b-f1d1-4245-83ec-6cad768d538a"/>
    <ds:schemaRef ds:uri="http://www.w3.org/XML/1998/namespace"/>
  </ds:schemaRefs>
</ds:datastoreItem>
</file>

<file path=customXml/itemProps2.xml><?xml version="1.0" encoding="utf-8"?>
<ds:datastoreItem xmlns:ds="http://schemas.openxmlformats.org/officeDocument/2006/customXml" ds:itemID="{8FEF3C7A-402C-4452-B8BE-819351574E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4.xml><?xml version="1.0" encoding="utf-8"?>
<ds:datastoreItem xmlns:ds="http://schemas.openxmlformats.org/officeDocument/2006/customXml" ds:itemID="{01F53EAF-347D-41D4-B754-09B2C8035C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4</TotalTime>
  <Pages>25</Pages>
  <Words>10498</Words>
  <Characters>56482</Characters>
  <Application>Microsoft Office Word</Application>
  <DocSecurity>0</DocSecurity>
  <Lines>957</Lines>
  <Paragraphs>153</Paragraphs>
  <ScaleCrop>false</ScaleCrop>
  <Company/>
  <LinksUpToDate>false</LinksUpToDate>
  <CharactersWithSpaces>66827</CharactersWithSpaces>
  <SharedDoc>false</SharedDoc>
  <HLinks>
    <vt:vector size="6" baseType="variant">
      <vt:variant>
        <vt:i4>6815780</vt:i4>
      </vt:variant>
      <vt:variant>
        <vt:i4>0</vt:i4>
      </vt:variant>
      <vt:variant>
        <vt:i4>0</vt:i4>
      </vt:variant>
      <vt:variant>
        <vt:i4>5</vt:i4>
      </vt:variant>
      <vt:variant>
        <vt:lpwstr>https://www.corteconstitucional.gov.co/comu nicados/Comunicado No. 14 - Mayo 05 de 2022.pdf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Sergio Andrés Rivera Cano</cp:lastModifiedBy>
  <cp:revision>2</cp:revision>
  <cp:lastPrinted>2021-08-27T20:19:00Z</cp:lastPrinted>
  <dcterms:created xsi:type="dcterms:W3CDTF">2025-09-26T16:41:00Z</dcterms:created>
  <dcterms:modified xsi:type="dcterms:W3CDTF">2025-09-26T16:41:00Z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