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04191" w:rsidR="005A79FE" w:rsidP="00647E5F" w:rsidRDefault="005A79FE" w14:paraId="21F87225" w14:textId="3066CD13">
      <w:pPr>
        <w:jc w:val="right"/>
        <w:rPr>
          <w:rFonts w:ascii="Arial" w:hAnsi="Arial" w:eastAsia="Calibri" w:cs="Arial"/>
          <w:b/>
          <w:bCs/>
          <w:color w:val="000000" w:themeColor="text1"/>
          <w:sz w:val="16"/>
          <w:szCs w:val="16"/>
        </w:rPr>
      </w:pPr>
      <w:r w:rsidRPr="00E04191">
        <w:rPr>
          <w:rFonts w:ascii="Arial" w:hAnsi="Arial" w:eastAsia="Times New Roman" w:cs="Arial"/>
          <w:b/>
          <w:bCs/>
          <w:color w:val="000000" w:themeColor="text1"/>
          <w:sz w:val="16"/>
          <w:szCs w:val="16"/>
          <w:lang w:eastAsia="es-ES"/>
        </w:rPr>
        <w:t>CCE-DES-FM-17</w:t>
      </w:r>
    </w:p>
    <w:p w:rsidRPr="00E04191" w:rsidR="005A79FE" w:rsidP="00647E5F" w:rsidRDefault="005A79FE" w14:paraId="36768CD0" w14:textId="5FF43224">
      <w:pPr>
        <w:jc w:val="both"/>
        <w:rPr>
          <w:rFonts w:ascii="Arial" w:hAnsi="Arial" w:cs="Arial"/>
          <w:color w:val="000000" w:themeColor="text1"/>
          <w:sz w:val="20"/>
          <w:szCs w:val="20"/>
        </w:rPr>
      </w:pPr>
    </w:p>
    <w:p w:rsidRPr="00E04191" w:rsidR="0007454E" w:rsidP="220E6C25" w:rsidRDefault="0070208A" w14:paraId="6A70228F" w14:textId="586B285B">
      <w:pPr>
        <w:pStyle w:val="Sinespaciado"/>
        <w:jc w:val="both"/>
        <w:rPr>
          <w:rFonts w:ascii="Arial" w:hAnsi="Arial" w:cs="Arial"/>
          <w:b w:val="1"/>
          <w:bCs w:val="1"/>
          <w:color w:val="000000" w:themeColor="text1"/>
          <w:sz w:val="22"/>
          <w:szCs w:val="22"/>
        </w:rPr>
      </w:pPr>
      <w:r w:rsidRPr="220E6C25" w:rsidR="0070208A">
        <w:rPr>
          <w:rFonts w:ascii="Arial" w:hAnsi="Arial" w:cs="Arial"/>
          <w:b w:val="1"/>
          <w:bCs w:val="1"/>
          <w:color w:val="000000" w:themeColor="text1" w:themeTint="FF" w:themeShade="FF"/>
          <w:sz w:val="22"/>
          <w:szCs w:val="22"/>
        </w:rPr>
        <w:t xml:space="preserve">INHABILIDAD </w:t>
      </w:r>
      <w:bookmarkStart w:name="_Hlk39666823" w:id="0"/>
      <w:r w:rsidRPr="220E6C25" w:rsidR="006655D4">
        <w:rPr>
          <w:rFonts w:ascii="Arial" w:hAnsi="Arial" w:eastAsia="Calibri" w:cs="Arial"/>
          <w:b w:val="1"/>
          <w:bCs w:val="1"/>
          <w:color w:val="000000" w:themeColor="text1" w:themeTint="FF" w:themeShade="FF"/>
          <w:sz w:val="22"/>
          <w:szCs w:val="22"/>
        </w:rPr>
        <w:t>–</w:t>
      </w:r>
      <w:bookmarkEnd w:id="0"/>
      <w:r w:rsidRPr="220E6C25" w:rsidR="0070208A">
        <w:rPr>
          <w:rFonts w:ascii="Arial" w:hAnsi="Arial" w:cs="Arial"/>
          <w:b w:val="1"/>
          <w:bCs w:val="1"/>
          <w:color w:val="000000" w:themeColor="text1" w:themeTint="FF" w:themeShade="FF"/>
          <w:sz w:val="22"/>
          <w:szCs w:val="22"/>
        </w:rPr>
        <w:t xml:space="preserve"> </w:t>
      </w:r>
      <w:r w:rsidRPr="220E6C25" w:rsidR="00CD1E0D">
        <w:rPr>
          <w:rFonts w:ascii="Arial" w:hAnsi="Arial" w:cs="Arial"/>
          <w:b w:val="1"/>
          <w:bCs w:val="1"/>
          <w:color w:val="000000" w:themeColor="text1" w:themeTint="FF" w:themeShade="FF"/>
          <w:sz w:val="22"/>
          <w:szCs w:val="22"/>
        </w:rPr>
        <w:t>Régimen de inhabilidad</w:t>
      </w:r>
      <w:r w:rsidRPr="220E6C25" w:rsidR="00FC6A37">
        <w:rPr>
          <w:rFonts w:ascii="Arial" w:hAnsi="Arial" w:cs="Arial"/>
          <w:b w:val="1"/>
          <w:bCs w:val="1"/>
          <w:color w:val="000000" w:themeColor="text1" w:themeTint="FF" w:themeShade="FF"/>
          <w:sz w:val="22"/>
          <w:szCs w:val="22"/>
        </w:rPr>
        <w:t>es</w:t>
      </w:r>
    </w:p>
    <w:p w:rsidRPr="00E04191" w:rsidR="0007454E" w:rsidP="006655D4" w:rsidRDefault="0007454E" w14:paraId="4B83580C" w14:textId="77777777">
      <w:pPr>
        <w:pStyle w:val="Sinespaciado"/>
        <w:jc w:val="both"/>
        <w:rPr>
          <w:rFonts w:ascii="Arial" w:hAnsi="Arial" w:cs="Arial"/>
          <w:color w:val="000000" w:themeColor="text1"/>
          <w:sz w:val="20"/>
          <w:szCs w:val="20"/>
        </w:rPr>
      </w:pPr>
    </w:p>
    <w:p w:rsidR="000A0F5A" w:rsidP="000A0F5A" w:rsidRDefault="0007454E" w14:paraId="6EBA96CA" w14:textId="77777777">
      <w:pPr>
        <w:pStyle w:val="Sinespaciado"/>
        <w:spacing w:after="120"/>
        <w:jc w:val="both"/>
        <w:rPr>
          <w:rFonts w:ascii="Arial" w:hAnsi="Arial" w:cs="Arial"/>
          <w:color w:val="000000" w:themeColor="text1"/>
          <w:sz w:val="20"/>
          <w:szCs w:val="20"/>
        </w:rPr>
      </w:pPr>
      <w:r w:rsidRPr="00E04191">
        <w:rPr>
          <w:rFonts w:ascii="Arial" w:hAnsi="Arial" w:cs="Arial"/>
          <w:color w:val="000000" w:themeColor="text1"/>
          <w:sz w:val="20"/>
          <w:szCs w:val="20"/>
        </w:rPr>
        <w:t>Las inhabilidades son circunstancias establecidas por la Constitución o la Ley que impiden que personas naturales o jurídicas sean elegidas o designadas en un cargo público o puedan celebrar contratos con el Estado, con el objetivo de garantizar la idoneidad, imparcialidad, probidad, transparencia y moralidad de la función pública, y lograr garantizar el interés general.</w:t>
      </w:r>
    </w:p>
    <w:p w:rsidRPr="00E04191" w:rsidR="0007454E" w:rsidP="006655D4" w:rsidRDefault="0007454E" w14:paraId="06FD5260" w14:textId="0737A910">
      <w:pPr>
        <w:pStyle w:val="Sinespaciado"/>
        <w:jc w:val="both"/>
        <w:rPr>
          <w:rFonts w:ascii="Arial" w:hAnsi="Arial" w:cs="Arial"/>
          <w:color w:val="000000" w:themeColor="text1"/>
          <w:sz w:val="20"/>
          <w:szCs w:val="20"/>
        </w:rPr>
      </w:pPr>
      <w:r w:rsidRPr="00E04191">
        <w:rPr>
          <w:rFonts w:ascii="Arial" w:hAnsi="Arial" w:cs="Arial"/>
          <w:color w:val="000000" w:themeColor="text1"/>
          <w:sz w:val="20"/>
          <w:szCs w:val="20"/>
        </w:rPr>
        <w:t xml:space="preserve">El régimen de inhabilidades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w:t>
      </w:r>
    </w:p>
    <w:p w:rsidRPr="00E04191" w:rsidR="00CD1E0D" w:rsidP="006655D4" w:rsidRDefault="00CD1E0D" w14:paraId="374E56F2" w14:textId="021B4417">
      <w:pPr>
        <w:pStyle w:val="Sinespaciado"/>
        <w:jc w:val="both"/>
        <w:rPr>
          <w:rFonts w:ascii="Arial" w:hAnsi="Arial" w:cs="Arial"/>
          <w:color w:val="000000" w:themeColor="text1"/>
          <w:sz w:val="20"/>
          <w:szCs w:val="20"/>
        </w:rPr>
      </w:pPr>
    </w:p>
    <w:p w:rsidRPr="00E04191" w:rsidR="00CD1E0D" w:rsidP="220E6C25" w:rsidRDefault="00CD1E0D" w14:paraId="6B0FD8EE" w14:textId="5A72429F">
      <w:pPr>
        <w:pStyle w:val="Sinespaciado"/>
        <w:jc w:val="both"/>
        <w:rPr>
          <w:rFonts w:ascii="Arial" w:hAnsi="Arial" w:cs="Arial"/>
          <w:b w:val="1"/>
          <w:bCs w:val="1"/>
          <w:color w:val="000000" w:themeColor="text1"/>
          <w:sz w:val="22"/>
          <w:szCs w:val="22"/>
        </w:rPr>
      </w:pPr>
      <w:r w:rsidRPr="220E6C25" w:rsidR="00CD1E0D">
        <w:rPr>
          <w:rFonts w:ascii="Arial" w:hAnsi="Arial" w:cs="Arial"/>
          <w:b w:val="1"/>
          <w:bCs w:val="1"/>
          <w:color w:val="000000" w:themeColor="text1" w:themeTint="FF" w:themeShade="FF"/>
          <w:sz w:val="22"/>
          <w:szCs w:val="22"/>
        </w:rPr>
        <w:t>INHABILI</w:t>
      </w:r>
      <w:r w:rsidRPr="220E6C25" w:rsidR="00DA5292">
        <w:rPr>
          <w:rFonts w:ascii="Arial" w:hAnsi="Arial" w:cs="Arial"/>
          <w:b w:val="1"/>
          <w:bCs w:val="1"/>
          <w:color w:val="000000" w:themeColor="text1" w:themeTint="FF" w:themeShade="FF"/>
          <w:sz w:val="22"/>
          <w:szCs w:val="22"/>
        </w:rPr>
        <w:t xml:space="preserve">DAD </w:t>
      </w:r>
      <w:r w:rsidRPr="220E6C25" w:rsidR="006655D4">
        <w:rPr>
          <w:rFonts w:ascii="Arial" w:hAnsi="Arial" w:eastAsia="Calibri" w:cs="Arial"/>
          <w:b w:val="1"/>
          <w:bCs w:val="1"/>
          <w:color w:val="000000" w:themeColor="text1" w:themeTint="FF" w:themeShade="FF"/>
          <w:sz w:val="22"/>
          <w:szCs w:val="22"/>
        </w:rPr>
        <w:t>–</w:t>
      </w:r>
      <w:r w:rsidRPr="220E6C25" w:rsidR="00DA5292">
        <w:rPr>
          <w:rFonts w:ascii="Arial" w:hAnsi="Arial" w:cs="Arial"/>
          <w:b w:val="1"/>
          <w:bCs w:val="1"/>
          <w:color w:val="000000" w:themeColor="text1" w:themeTint="FF" w:themeShade="FF"/>
          <w:sz w:val="22"/>
          <w:szCs w:val="22"/>
        </w:rPr>
        <w:t xml:space="preserve"> Limitación</w:t>
      </w:r>
      <w:r w:rsidRPr="220E6C25" w:rsidR="001D6109">
        <w:rPr>
          <w:rFonts w:ascii="Arial" w:hAnsi="Arial" w:cs="Arial"/>
          <w:b w:val="1"/>
          <w:bCs w:val="1"/>
          <w:color w:val="000000" w:themeColor="text1" w:themeTint="FF" w:themeShade="FF"/>
          <w:sz w:val="22"/>
          <w:szCs w:val="22"/>
        </w:rPr>
        <w:t xml:space="preserve"> </w:t>
      </w:r>
      <w:r w:rsidRPr="220E6C25" w:rsidR="006655D4">
        <w:rPr>
          <w:rFonts w:ascii="Arial" w:hAnsi="Arial" w:eastAsia="Calibri" w:cs="Arial"/>
          <w:b w:val="1"/>
          <w:bCs w:val="1"/>
          <w:color w:val="000000" w:themeColor="text1" w:themeTint="FF" w:themeShade="FF"/>
          <w:sz w:val="22"/>
          <w:szCs w:val="22"/>
        </w:rPr>
        <w:t>–</w:t>
      </w:r>
      <w:r w:rsidRPr="220E6C25" w:rsidR="00507A90">
        <w:rPr>
          <w:rFonts w:ascii="Arial" w:hAnsi="Arial" w:cs="Arial"/>
          <w:b w:val="1"/>
          <w:bCs w:val="1"/>
          <w:color w:val="000000" w:themeColor="text1" w:themeTint="FF" w:themeShade="FF"/>
          <w:sz w:val="22"/>
          <w:szCs w:val="22"/>
        </w:rPr>
        <w:t xml:space="preserve"> </w:t>
      </w:r>
      <w:r w:rsidRPr="220E6C25" w:rsidR="001D6109">
        <w:rPr>
          <w:rFonts w:ascii="Arial" w:hAnsi="Arial" w:cs="Arial"/>
          <w:b w:val="1"/>
          <w:bCs w:val="1"/>
          <w:color w:val="000000" w:themeColor="text1" w:themeTint="FF" w:themeShade="FF"/>
          <w:sz w:val="22"/>
          <w:szCs w:val="22"/>
        </w:rPr>
        <w:t>C</w:t>
      </w:r>
      <w:r w:rsidRPr="220E6C25" w:rsidR="00507A90">
        <w:rPr>
          <w:rFonts w:ascii="Arial" w:hAnsi="Arial" w:cs="Arial"/>
          <w:b w:val="1"/>
          <w:bCs w:val="1"/>
          <w:color w:val="000000" w:themeColor="text1" w:themeTint="FF" w:themeShade="FF"/>
          <w:sz w:val="22"/>
          <w:szCs w:val="22"/>
        </w:rPr>
        <w:t xml:space="preserve">apacidad jurídica </w:t>
      </w:r>
      <w:r w:rsidRPr="220E6C25" w:rsidR="006655D4">
        <w:rPr>
          <w:rFonts w:ascii="Arial" w:hAnsi="Arial" w:eastAsia="Calibri" w:cs="Arial"/>
          <w:b w:val="1"/>
          <w:bCs w:val="1"/>
          <w:color w:val="000000" w:themeColor="text1" w:themeTint="FF" w:themeShade="FF"/>
          <w:sz w:val="22"/>
          <w:szCs w:val="22"/>
        </w:rPr>
        <w:t>–</w:t>
      </w:r>
      <w:r w:rsidRPr="220E6C25" w:rsidR="00507A90">
        <w:rPr>
          <w:rFonts w:ascii="Arial" w:hAnsi="Arial" w:cs="Arial"/>
          <w:b w:val="1"/>
          <w:bCs w:val="1"/>
          <w:color w:val="000000" w:themeColor="text1" w:themeTint="FF" w:themeShade="FF"/>
          <w:sz w:val="22"/>
          <w:szCs w:val="22"/>
        </w:rPr>
        <w:t xml:space="preserve"> Finalidad</w:t>
      </w:r>
    </w:p>
    <w:p w:rsidRPr="00E04191" w:rsidR="00CD1E0D" w:rsidP="006655D4" w:rsidRDefault="00CD1E0D" w14:paraId="33C75BD8" w14:textId="77777777">
      <w:pPr>
        <w:pStyle w:val="Sinespaciado"/>
        <w:jc w:val="both"/>
        <w:rPr>
          <w:rFonts w:ascii="Arial" w:hAnsi="Arial" w:cs="Arial"/>
          <w:color w:val="000000" w:themeColor="text1"/>
          <w:sz w:val="20"/>
          <w:szCs w:val="20"/>
        </w:rPr>
      </w:pPr>
    </w:p>
    <w:p w:rsidR="00D64579" w:rsidP="00D64579" w:rsidRDefault="0007454E" w14:paraId="6F16BCE9" w14:textId="77777777">
      <w:pPr>
        <w:pStyle w:val="Sinespaciado"/>
        <w:spacing w:after="120"/>
        <w:jc w:val="both"/>
        <w:rPr>
          <w:rFonts w:ascii="Arial" w:hAnsi="Arial" w:cs="Arial"/>
          <w:color w:val="000000" w:themeColor="text1"/>
          <w:sz w:val="20"/>
          <w:szCs w:val="20"/>
        </w:rPr>
      </w:pPr>
      <w:r w:rsidRPr="00E04191">
        <w:rPr>
          <w:rFonts w:ascii="Arial" w:hAnsi="Arial" w:cs="Arial"/>
          <w:color w:val="000000" w:themeColor="text1"/>
          <w:sz w:val="20"/>
          <w:szCs w:val="20"/>
        </w:rPr>
        <w:t>La Corte Constitucional ha determinado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rsidR="00686494" w:rsidP="00D64579" w:rsidRDefault="0007454E" w14:paraId="3FEE7058" w14:textId="2AF78338">
      <w:pPr>
        <w:pStyle w:val="Sinespaciado"/>
        <w:spacing w:after="120"/>
        <w:jc w:val="both"/>
        <w:rPr>
          <w:rFonts w:ascii="Arial" w:hAnsi="Arial" w:cs="Arial"/>
          <w:color w:val="000000" w:themeColor="text1"/>
          <w:sz w:val="20"/>
          <w:szCs w:val="20"/>
        </w:rPr>
      </w:pPr>
      <w:r w:rsidRPr="00E04191">
        <w:rPr>
          <w:rFonts w:ascii="Arial" w:hAnsi="Arial" w:cs="Arial"/>
          <w:color w:val="000000" w:themeColor="text1"/>
          <w:sz w:val="20"/>
          <w:szCs w:val="20"/>
        </w:rPr>
        <w:t>La consagración de estas restricciones o limitaciones que afectan la capacidad jurídica de la persona para contratar busca la realización de los principios de la función administrativa, consagrados en el artículo 209 de la Constitución Política, con especial énfasis en el de moralidad. Así lo ha entendido el Consejo de Estado</w:t>
      </w:r>
      <w:r w:rsidRPr="00E04191" w:rsidR="0068226C">
        <w:rPr>
          <w:rFonts w:ascii="Arial" w:hAnsi="Arial" w:cs="Arial"/>
          <w:color w:val="000000" w:themeColor="text1"/>
          <w:sz w:val="20"/>
          <w:szCs w:val="20"/>
        </w:rPr>
        <w:t xml:space="preserve"> </w:t>
      </w:r>
      <w:r w:rsidRPr="00E04191" w:rsidR="00507A90">
        <w:rPr>
          <w:rFonts w:ascii="Arial" w:hAnsi="Arial" w:cs="Arial"/>
          <w:color w:val="000000" w:themeColor="text1"/>
          <w:sz w:val="20"/>
          <w:szCs w:val="20"/>
        </w:rPr>
        <w:t>[…]</w:t>
      </w:r>
    </w:p>
    <w:p w:rsidRPr="00E04191" w:rsidR="00F67886" w:rsidP="00D64579" w:rsidRDefault="00F67886" w14:paraId="7471BD94" w14:textId="12ACA765">
      <w:pPr>
        <w:pStyle w:val="Sinespaciado"/>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E04191" w:rsidR="0007454E" w:rsidP="006655D4" w:rsidRDefault="0007454E" w14:paraId="440C37CE" w14:textId="23C10BCD">
      <w:pPr>
        <w:pStyle w:val="Sinespaciado"/>
        <w:jc w:val="both"/>
        <w:rPr>
          <w:rFonts w:ascii="Arial" w:hAnsi="Arial" w:cs="Arial"/>
          <w:color w:val="000000" w:themeColor="text1"/>
          <w:sz w:val="20"/>
          <w:szCs w:val="20"/>
        </w:rPr>
      </w:pPr>
      <w:r w:rsidRPr="00E04191">
        <w:rPr>
          <w:rFonts w:ascii="Arial" w:hAnsi="Arial" w:cs="Arial"/>
          <w:color w:val="000000" w:themeColor="text1"/>
          <w:sz w:val="20"/>
          <w:szCs w:val="20"/>
        </w:rPr>
        <w:t xml:space="preserve">Así las cosas, las inhabilidades son medios que buscan garantizar la transparencia y eficiencia en la actividad contractual del Estado y para ello imponen restricciones en la personalidad jurídica, la igualdad, la libre empresa y, particularmente, </w:t>
      </w:r>
      <w:r w:rsidRPr="00E04191" w:rsidR="00D2560D">
        <w:rPr>
          <w:rFonts w:ascii="Arial" w:hAnsi="Arial" w:cs="Arial"/>
          <w:color w:val="000000" w:themeColor="text1"/>
          <w:sz w:val="20"/>
          <w:szCs w:val="20"/>
        </w:rPr>
        <w:t>a</w:t>
      </w:r>
      <w:r w:rsidRPr="00E04191">
        <w:rPr>
          <w:rFonts w:ascii="Arial" w:hAnsi="Arial" w:cs="Arial"/>
          <w:color w:val="000000" w:themeColor="text1"/>
          <w:sz w:val="20"/>
          <w:szCs w:val="20"/>
        </w:rPr>
        <w:t>l derecho a participar en procesos de</w:t>
      </w:r>
      <w:r w:rsidRPr="00E04191" w:rsidR="00D2560D">
        <w:rPr>
          <w:rFonts w:ascii="Arial" w:hAnsi="Arial" w:cs="Arial"/>
          <w:color w:val="000000" w:themeColor="text1"/>
          <w:sz w:val="20"/>
          <w:szCs w:val="20"/>
        </w:rPr>
        <w:t xml:space="preserve"> selección </w:t>
      </w:r>
      <w:r w:rsidRPr="00E04191">
        <w:rPr>
          <w:rFonts w:ascii="Arial" w:hAnsi="Arial" w:cs="Arial"/>
          <w:color w:val="000000" w:themeColor="text1"/>
          <w:sz w:val="20"/>
          <w:szCs w:val="20"/>
        </w:rPr>
        <w:t xml:space="preserve">y celebrar contratos con </w:t>
      </w:r>
      <w:r w:rsidRPr="00E04191" w:rsidR="00D2560D">
        <w:rPr>
          <w:rFonts w:ascii="Arial" w:hAnsi="Arial" w:cs="Arial"/>
          <w:color w:val="000000" w:themeColor="text1"/>
          <w:sz w:val="20"/>
          <w:szCs w:val="20"/>
        </w:rPr>
        <w:t>e</w:t>
      </w:r>
      <w:r w:rsidRPr="00E04191">
        <w:rPr>
          <w:rFonts w:ascii="Arial" w:hAnsi="Arial" w:cs="Arial"/>
          <w:color w:val="000000" w:themeColor="text1"/>
          <w:sz w:val="20"/>
          <w:szCs w:val="20"/>
        </w:rPr>
        <w:t xml:space="preserve">l </w:t>
      </w:r>
      <w:r w:rsidRPr="00E04191" w:rsidR="00D2560D">
        <w:rPr>
          <w:rFonts w:ascii="Arial" w:hAnsi="Arial" w:cs="Arial"/>
          <w:color w:val="000000" w:themeColor="text1"/>
          <w:sz w:val="20"/>
          <w:szCs w:val="20"/>
        </w:rPr>
        <w:t>Estado</w:t>
      </w:r>
      <w:r w:rsidRPr="00E04191">
        <w:rPr>
          <w:rFonts w:ascii="Arial" w:hAnsi="Arial" w:cs="Arial"/>
          <w:color w:val="000000" w:themeColor="text1"/>
          <w:sz w:val="20"/>
          <w:szCs w:val="20"/>
        </w:rPr>
        <w:t>. La Corte Constitucional ha reconocido que estas limitaciones deben estar justificadas en la salvaguarda del interés general y que su lectura e interpretación debe ser taxativa y restrictiva</w:t>
      </w:r>
      <w:r w:rsidRPr="00E04191" w:rsidR="00507A90">
        <w:rPr>
          <w:rFonts w:ascii="Arial" w:hAnsi="Arial" w:cs="Arial"/>
          <w:color w:val="000000" w:themeColor="text1"/>
          <w:sz w:val="20"/>
          <w:szCs w:val="20"/>
        </w:rPr>
        <w:t xml:space="preserve"> […]</w:t>
      </w:r>
    </w:p>
    <w:p w:rsidRPr="00E04191" w:rsidR="00C64D4C" w:rsidP="006655D4" w:rsidRDefault="00C64D4C" w14:paraId="3452BFA8" w14:textId="0206F530">
      <w:pPr>
        <w:pStyle w:val="Sinespaciado"/>
        <w:jc w:val="both"/>
        <w:rPr>
          <w:rFonts w:ascii="Arial" w:hAnsi="Arial" w:cs="Arial"/>
          <w:color w:val="000000" w:themeColor="text1"/>
          <w:sz w:val="20"/>
          <w:szCs w:val="20"/>
        </w:rPr>
      </w:pPr>
    </w:p>
    <w:p w:rsidRPr="00E04191" w:rsidR="00C64D4C" w:rsidP="220E6C25" w:rsidRDefault="00C64D4C" w14:paraId="5FF8F187" w14:textId="28A11483">
      <w:pPr>
        <w:pStyle w:val="Sinespaciado"/>
        <w:jc w:val="both"/>
        <w:rPr>
          <w:rFonts w:ascii="Arial" w:hAnsi="Arial" w:cs="Arial"/>
          <w:b w:val="1"/>
          <w:bCs w:val="1"/>
          <w:color w:val="000000" w:themeColor="text1"/>
          <w:sz w:val="22"/>
          <w:szCs w:val="22"/>
        </w:rPr>
      </w:pPr>
      <w:r w:rsidRPr="220E6C25" w:rsidR="00C64D4C">
        <w:rPr>
          <w:rFonts w:ascii="Arial" w:hAnsi="Arial" w:cs="Arial"/>
          <w:b w:val="1"/>
          <w:bCs w:val="1"/>
          <w:color w:val="000000" w:themeColor="text1" w:themeTint="FF" w:themeShade="FF"/>
          <w:sz w:val="22"/>
          <w:szCs w:val="22"/>
        </w:rPr>
        <w:t>INHABILIDAD</w:t>
      </w:r>
      <w:r w:rsidRPr="220E6C25" w:rsidR="65DAD8AD">
        <w:rPr>
          <w:rFonts w:ascii="Arial" w:hAnsi="Arial" w:cs="Arial"/>
          <w:b w:val="1"/>
          <w:bCs w:val="1"/>
          <w:color w:val="000000" w:themeColor="text1" w:themeTint="FF" w:themeShade="FF"/>
          <w:sz w:val="22"/>
          <w:szCs w:val="22"/>
        </w:rPr>
        <w:t xml:space="preserve"> </w:t>
      </w:r>
      <w:r w:rsidRPr="220E6C25" w:rsidR="006655D4">
        <w:rPr>
          <w:rFonts w:ascii="Arial" w:hAnsi="Arial" w:eastAsia="Calibri" w:cs="Arial"/>
          <w:b w:val="1"/>
          <w:bCs w:val="1"/>
          <w:color w:val="000000" w:themeColor="text1" w:themeTint="FF" w:themeShade="FF"/>
          <w:sz w:val="22"/>
          <w:szCs w:val="22"/>
        </w:rPr>
        <w:t>–</w:t>
      </w:r>
      <w:r w:rsidRPr="220E6C25" w:rsidR="00C64D4C">
        <w:rPr>
          <w:rFonts w:ascii="Arial" w:hAnsi="Arial" w:cs="Arial"/>
          <w:b w:val="1"/>
          <w:bCs w:val="1"/>
          <w:color w:val="000000" w:themeColor="text1" w:themeTint="FF" w:themeShade="FF"/>
          <w:sz w:val="22"/>
          <w:szCs w:val="22"/>
        </w:rPr>
        <w:t xml:space="preserve"> Competencia </w:t>
      </w:r>
      <w:r w:rsidRPr="220E6C25" w:rsidR="68614B7F">
        <w:rPr>
          <w:rFonts w:ascii="Arial" w:hAnsi="Arial" w:cs="Arial"/>
          <w:b w:val="1"/>
          <w:bCs w:val="1"/>
          <w:color w:val="000000" w:themeColor="text1" w:themeTint="FF" w:themeShade="FF"/>
          <w:sz w:val="22"/>
          <w:szCs w:val="22"/>
        </w:rPr>
        <w:t>definición</w:t>
      </w:r>
      <w:r w:rsidRPr="220E6C25" w:rsidR="00C64D4C">
        <w:rPr>
          <w:rFonts w:ascii="Arial" w:hAnsi="Arial" w:cs="Arial"/>
          <w:b w:val="1"/>
          <w:bCs w:val="1"/>
          <w:color w:val="000000" w:themeColor="text1" w:themeTint="FF" w:themeShade="FF"/>
          <w:sz w:val="22"/>
          <w:szCs w:val="22"/>
        </w:rPr>
        <w:t xml:space="preserve"> </w:t>
      </w:r>
      <w:r w:rsidRPr="220E6C25" w:rsidR="006655D4">
        <w:rPr>
          <w:rFonts w:ascii="Arial" w:hAnsi="Arial" w:eastAsia="Calibri" w:cs="Arial"/>
          <w:b w:val="1"/>
          <w:bCs w:val="1"/>
          <w:color w:val="000000" w:themeColor="text1" w:themeTint="FF" w:themeShade="FF"/>
          <w:sz w:val="22"/>
          <w:szCs w:val="22"/>
        </w:rPr>
        <w:t>–</w:t>
      </w:r>
      <w:r w:rsidRPr="220E6C25" w:rsidR="00C64D4C">
        <w:rPr>
          <w:rFonts w:ascii="Arial" w:hAnsi="Arial" w:cs="Arial"/>
          <w:b w:val="1"/>
          <w:bCs w:val="1"/>
          <w:color w:val="000000" w:themeColor="text1" w:themeTint="FF" w:themeShade="FF"/>
          <w:sz w:val="22"/>
          <w:szCs w:val="22"/>
        </w:rPr>
        <w:t xml:space="preserve"> Principio de legalidad</w:t>
      </w:r>
    </w:p>
    <w:p w:rsidRPr="00E04191" w:rsidR="0007454E" w:rsidP="006655D4" w:rsidRDefault="0007454E" w14:paraId="23C5B03C" w14:textId="77777777">
      <w:pPr>
        <w:jc w:val="both"/>
        <w:rPr>
          <w:rFonts w:ascii="Arial" w:hAnsi="Arial" w:eastAsia="Times New Roman" w:cs="Arial"/>
          <w:color w:val="000000" w:themeColor="text1"/>
          <w:sz w:val="20"/>
          <w:szCs w:val="20"/>
          <w:shd w:val="clear" w:color="auto" w:fill="FFFFFF"/>
          <w:lang w:val="es-CO" w:eastAsia="es-ES_tradnl"/>
        </w:rPr>
      </w:pPr>
    </w:p>
    <w:p w:rsidRPr="00E04191" w:rsidR="0007454E" w:rsidP="006655D4" w:rsidRDefault="0007454E" w14:paraId="7206A278" w14:textId="68B7A98C">
      <w:pPr>
        <w:jc w:val="both"/>
        <w:rPr>
          <w:rFonts w:ascii="Arial" w:hAnsi="Arial" w:cs="Arial"/>
          <w:color w:val="000000" w:themeColor="text1"/>
          <w:sz w:val="20"/>
          <w:szCs w:val="20"/>
        </w:rPr>
      </w:pPr>
      <w:r w:rsidRPr="00E04191">
        <w:rPr>
          <w:rFonts w:ascii="Arial" w:hAnsi="Arial" w:cs="Arial"/>
          <w:color w:val="000000" w:themeColor="text1"/>
          <w:sz w:val="20"/>
          <w:szCs w:val="20"/>
        </w:rPr>
        <w:t>Asimismo, la Corte Constitucional ha resaltado que la competencia para determinar qué hechos o situaciones generan inhabilidad para contratar con el Estado la tiene el legislador, pues este régimen es un aspecto propio del Estatuto General de la Contratación Pública, cuya expedición compete al Congreso de la República, a la luz del artículo 150 de la Constitución Política, y que en esta materia rige el principio de legalidad</w:t>
      </w:r>
      <w:r w:rsidRPr="00E04191" w:rsidR="00C64D4C">
        <w:rPr>
          <w:rFonts w:ascii="Arial" w:hAnsi="Arial" w:cs="Arial"/>
          <w:color w:val="000000" w:themeColor="text1"/>
          <w:sz w:val="20"/>
          <w:szCs w:val="20"/>
        </w:rPr>
        <w:t xml:space="preserve"> […]</w:t>
      </w:r>
    </w:p>
    <w:p w:rsidRPr="00E04191" w:rsidR="0007454E" w:rsidP="006655D4" w:rsidRDefault="0007454E" w14:paraId="5B0756BB" w14:textId="57070E90">
      <w:pPr>
        <w:jc w:val="both"/>
        <w:rPr>
          <w:rFonts w:ascii="Arial" w:hAnsi="Arial" w:eastAsia="Times New Roman" w:cs="Arial"/>
          <w:color w:val="000000" w:themeColor="text1"/>
          <w:sz w:val="20"/>
          <w:szCs w:val="20"/>
          <w:shd w:val="clear" w:color="auto" w:fill="FFFFFF"/>
          <w:lang w:val="es-CO" w:eastAsia="es-ES_tradnl"/>
        </w:rPr>
      </w:pPr>
    </w:p>
    <w:p w:rsidRPr="00E04191" w:rsidR="00C64D4C" w:rsidP="220E6C25" w:rsidRDefault="00C64D4C" w14:paraId="44C68AF8" w14:textId="7905CAB0">
      <w:pPr>
        <w:jc w:val="both"/>
        <w:rPr>
          <w:rFonts w:ascii="Arial" w:hAnsi="Arial" w:eastAsia="Times New Roman" w:cs="Arial"/>
          <w:b w:val="1"/>
          <w:bCs w:val="1"/>
          <w:color w:val="000000" w:themeColor="text1"/>
          <w:sz w:val="22"/>
          <w:szCs w:val="22"/>
          <w:shd w:val="clear" w:color="auto" w:fill="FFFFFF"/>
          <w:lang w:val="es-CO" w:eastAsia="es-ES"/>
        </w:rPr>
      </w:pPr>
      <w:r w:rsidRPr="220E6C25" w:rsidR="00C64D4C">
        <w:rPr>
          <w:rFonts w:ascii="Arial" w:hAnsi="Arial" w:eastAsia="Times New Roman" w:cs="Arial"/>
          <w:b w:val="1"/>
          <w:bCs w:val="1"/>
          <w:color w:val="000000" w:themeColor="text1"/>
          <w:sz w:val="22"/>
          <w:szCs w:val="22"/>
          <w:shd w:val="clear" w:color="auto" w:fill="FFFFFF"/>
          <w:lang w:val="es-CO" w:eastAsia="es-ES"/>
        </w:rPr>
        <w:t>I</w:t>
      </w:r>
      <w:r w:rsidRPr="220E6C25" w:rsidR="00C93209">
        <w:rPr>
          <w:rFonts w:ascii="Arial" w:hAnsi="Arial" w:eastAsia="Times New Roman" w:cs="Arial"/>
          <w:b w:val="1"/>
          <w:bCs w:val="1"/>
          <w:color w:val="000000" w:themeColor="text1"/>
          <w:sz w:val="22"/>
          <w:szCs w:val="22"/>
          <w:shd w:val="clear" w:color="auto" w:fill="FFFFFF"/>
          <w:lang w:val="es-CO" w:eastAsia="es-ES"/>
        </w:rPr>
        <w:t xml:space="preserve">NHABILIDAD </w:t>
      </w:r>
      <w:r w:rsidRPr="220E6C25" w:rsidR="006655D4">
        <w:rPr>
          <w:rFonts w:ascii="Arial" w:hAnsi="Arial" w:eastAsia="Calibri" w:cs="Arial"/>
          <w:b w:val="1"/>
          <w:bCs w:val="1"/>
          <w:color w:val="000000" w:themeColor="text1"/>
          <w:sz w:val="22"/>
          <w:szCs w:val="22"/>
        </w:rPr>
        <w:t>–</w:t>
      </w:r>
      <w:r w:rsidRPr="220E6C25" w:rsidR="00C93209">
        <w:rPr>
          <w:rFonts w:ascii="Arial" w:hAnsi="Arial" w:eastAsia="Times New Roman" w:cs="Arial"/>
          <w:b w:val="1"/>
          <w:bCs w:val="1"/>
          <w:color w:val="000000" w:themeColor="text1"/>
          <w:sz w:val="22"/>
          <w:szCs w:val="22"/>
          <w:shd w:val="clear" w:color="auto" w:fill="FFFFFF"/>
          <w:lang w:val="es-CO" w:eastAsia="es-ES"/>
        </w:rPr>
        <w:t xml:space="preserve"> Clases</w:t>
      </w:r>
      <w:r w:rsidRPr="220E6C25" w:rsidR="008263B7">
        <w:rPr>
          <w:rFonts w:ascii="Arial" w:hAnsi="Arial" w:eastAsia="Times New Roman" w:cs="Arial"/>
          <w:b w:val="1"/>
          <w:bCs w:val="1"/>
          <w:color w:val="000000" w:themeColor="text1"/>
          <w:sz w:val="22"/>
          <w:szCs w:val="22"/>
          <w:shd w:val="clear" w:color="auto" w:fill="FFFFFF"/>
          <w:lang w:val="es-CO" w:eastAsia="es-ES"/>
        </w:rPr>
        <w:t xml:space="preserve"> </w:t>
      </w:r>
      <w:r w:rsidRPr="220E6C25" w:rsidR="006655D4">
        <w:rPr>
          <w:rFonts w:ascii="Arial" w:hAnsi="Arial" w:eastAsia="Calibri" w:cs="Arial"/>
          <w:b w:val="1"/>
          <w:bCs w:val="1"/>
          <w:color w:val="000000" w:themeColor="text1"/>
          <w:sz w:val="22"/>
          <w:szCs w:val="22"/>
        </w:rPr>
        <w:t>–</w:t>
      </w:r>
      <w:r w:rsidRPr="220E6C25" w:rsidR="008263B7">
        <w:rPr>
          <w:rFonts w:ascii="Arial" w:hAnsi="Arial" w:eastAsia="Times New Roman" w:cs="Arial"/>
          <w:b w:val="1"/>
          <w:bCs w:val="1"/>
          <w:color w:val="000000" w:themeColor="text1"/>
          <w:sz w:val="22"/>
          <w:szCs w:val="22"/>
          <w:shd w:val="clear" w:color="auto" w:fill="FFFFFF"/>
          <w:lang w:val="es-CO" w:eastAsia="es-ES"/>
        </w:rPr>
        <w:t xml:space="preserve"> Distinción</w:t>
      </w:r>
    </w:p>
    <w:p w:rsidRPr="00E04191" w:rsidR="00C64D4C" w:rsidP="006655D4" w:rsidRDefault="00C64D4C" w14:paraId="305564C1" w14:textId="77777777">
      <w:pPr>
        <w:ind w:firstLine="709"/>
        <w:jc w:val="both"/>
        <w:rPr>
          <w:rFonts w:ascii="Arial" w:hAnsi="Arial" w:cs="Arial"/>
          <w:color w:val="000000" w:themeColor="text1"/>
          <w:sz w:val="20"/>
          <w:szCs w:val="20"/>
        </w:rPr>
      </w:pPr>
    </w:p>
    <w:p w:rsidRPr="00E04191" w:rsidR="0007454E" w:rsidP="006655D4" w:rsidRDefault="0007454E" w14:paraId="43971E86" w14:textId="11055D48">
      <w:pPr>
        <w:jc w:val="both"/>
        <w:rPr>
          <w:rFonts w:ascii="Arial" w:hAnsi="Arial" w:cs="Arial"/>
          <w:color w:val="000000" w:themeColor="text1"/>
          <w:sz w:val="20"/>
          <w:szCs w:val="20"/>
        </w:rPr>
      </w:pPr>
      <w:r w:rsidRPr="00E04191">
        <w:rPr>
          <w:rFonts w:ascii="Arial" w:hAnsi="Arial" w:cs="Arial"/>
          <w:color w:val="000000" w:themeColor="text1"/>
          <w:sz w:val="20"/>
          <w:szCs w:val="20"/>
        </w:rPr>
        <w:t xml:space="preserve">Conviene también acudir a la distinción que se ha trazado en torno a la fuente de las inhabilidades, las cuales han sido clasificadas en dos grupos: i) inhabilidades-sanción y </w:t>
      </w:r>
      <w:proofErr w:type="spellStart"/>
      <w:r w:rsidRPr="00E04191">
        <w:rPr>
          <w:rFonts w:ascii="Arial" w:hAnsi="Arial" w:cs="Arial"/>
          <w:color w:val="000000" w:themeColor="text1"/>
          <w:sz w:val="20"/>
          <w:szCs w:val="20"/>
        </w:rPr>
        <w:t>ii</w:t>
      </w:r>
      <w:proofErr w:type="spellEnd"/>
      <w:r w:rsidRPr="00E04191">
        <w:rPr>
          <w:rFonts w:ascii="Arial" w:hAnsi="Arial" w:cs="Arial"/>
          <w:color w:val="000000" w:themeColor="text1"/>
          <w:sz w:val="20"/>
          <w:szCs w:val="20"/>
        </w:rPr>
        <w:t xml:space="preserve">)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 </w:t>
      </w:r>
    </w:p>
    <w:p w:rsidRPr="00E04191" w:rsidR="0007454E" w:rsidP="006655D4" w:rsidRDefault="0007454E" w14:paraId="12A5EBC5" w14:textId="4532E647">
      <w:pPr>
        <w:jc w:val="both"/>
        <w:rPr>
          <w:rFonts w:ascii="Arial" w:hAnsi="Arial" w:cs="Arial"/>
          <w:color w:val="000000" w:themeColor="text1"/>
          <w:sz w:val="20"/>
          <w:szCs w:val="20"/>
        </w:rPr>
      </w:pPr>
    </w:p>
    <w:p w:rsidRPr="00E04191" w:rsidR="0007454E" w:rsidP="220E6C25" w:rsidRDefault="001205B5" w14:paraId="61914ED0" w14:textId="47A75D0B">
      <w:pPr>
        <w:pStyle w:val="Normal"/>
        <w:jc w:val="both"/>
        <w:rPr>
          <w:rFonts w:ascii="Arial" w:hAnsi="Arial" w:cs="Arial"/>
          <w:b w:val="1"/>
          <w:bCs w:val="1"/>
          <w:color w:val="000000" w:themeColor="text1"/>
          <w:sz w:val="22"/>
          <w:szCs w:val="22"/>
        </w:rPr>
      </w:pPr>
      <w:r w:rsidRPr="220E6C25" w:rsidR="001205B5">
        <w:rPr>
          <w:rFonts w:ascii="Arial" w:hAnsi="Arial" w:cs="Arial"/>
          <w:b w:val="1"/>
          <w:bCs w:val="1"/>
          <w:color w:val="000000" w:themeColor="text1" w:themeTint="FF" w:themeShade="FF"/>
          <w:sz w:val="22"/>
          <w:szCs w:val="22"/>
        </w:rPr>
        <w:t xml:space="preserve">INHABILIDAD </w:t>
      </w:r>
      <w:r w:rsidRPr="220E6C25" w:rsidR="006655D4">
        <w:rPr>
          <w:rFonts w:ascii="Arial" w:hAnsi="Arial" w:eastAsia="Calibri" w:cs="Arial"/>
          <w:b w:val="1"/>
          <w:bCs w:val="1"/>
          <w:color w:val="000000" w:themeColor="text1" w:themeTint="FF" w:themeShade="FF"/>
          <w:sz w:val="22"/>
          <w:szCs w:val="22"/>
        </w:rPr>
        <w:t>–</w:t>
      </w:r>
      <w:r w:rsidRPr="220E6C25" w:rsidR="0030003A">
        <w:rPr>
          <w:rFonts w:ascii="Arial" w:hAnsi="Arial" w:cs="Arial"/>
          <w:b w:val="1"/>
          <w:bCs w:val="1"/>
          <w:color w:val="000000" w:themeColor="text1" w:themeTint="FF" w:themeShade="FF"/>
          <w:sz w:val="22"/>
          <w:szCs w:val="22"/>
        </w:rPr>
        <w:t xml:space="preserve"> </w:t>
      </w:r>
      <w:r w:rsidRPr="220E6C25" w:rsidR="000E454F">
        <w:rPr>
          <w:rFonts w:ascii="Arial" w:hAnsi="Arial" w:cs="Arial"/>
          <w:b w:val="1"/>
          <w:bCs w:val="1"/>
          <w:color w:val="000000" w:themeColor="text1" w:themeTint="FF" w:themeShade="FF"/>
          <w:sz w:val="22"/>
          <w:szCs w:val="22"/>
        </w:rPr>
        <w:t>Prohibici</w:t>
      </w:r>
      <w:r w:rsidRPr="220E6C25" w:rsidR="00EA667A">
        <w:rPr>
          <w:rFonts w:ascii="Arial" w:hAnsi="Arial" w:cs="Arial"/>
          <w:b w:val="1"/>
          <w:bCs w:val="1"/>
          <w:color w:val="000000" w:themeColor="text1" w:themeTint="FF" w:themeShade="FF"/>
          <w:sz w:val="22"/>
          <w:szCs w:val="22"/>
        </w:rPr>
        <w:t xml:space="preserve">ones </w:t>
      </w:r>
      <w:r w:rsidRPr="220E6C25" w:rsidR="006655D4">
        <w:rPr>
          <w:rFonts w:ascii="Arial" w:hAnsi="Arial" w:eastAsia="Calibri" w:cs="Arial"/>
          <w:b w:val="1"/>
          <w:bCs w:val="1"/>
          <w:color w:val="000000" w:themeColor="text1" w:themeTint="FF" w:themeShade="FF"/>
          <w:sz w:val="22"/>
          <w:szCs w:val="22"/>
        </w:rPr>
        <w:t>–</w:t>
      </w:r>
      <w:r w:rsidRPr="220E6C25" w:rsidR="00EA667A">
        <w:rPr>
          <w:rFonts w:ascii="Arial" w:hAnsi="Arial" w:cs="Arial"/>
          <w:b w:val="1"/>
          <w:bCs w:val="1"/>
          <w:color w:val="000000" w:themeColor="text1" w:themeTint="FF" w:themeShade="FF"/>
          <w:sz w:val="22"/>
          <w:szCs w:val="22"/>
        </w:rPr>
        <w:t xml:space="preserve"> Procedimientos </w:t>
      </w:r>
      <w:r w:rsidRPr="220E6C25" w:rsidR="001D6109">
        <w:rPr>
          <w:rFonts w:ascii="Arial" w:hAnsi="Arial" w:cs="Arial"/>
          <w:b w:val="1"/>
          <w:bCs w:val="1"/>
          <w:color w:val="000000" w:themeColor="text1" w:themeTint="FF" w:themeShade="FF"/>
          <w:sz w:val="22"/>
          <w:szCs w:val="22"/>
        </w:rPr>
        <w:t xml:space="preserve">de selección </w:t>
      </w:r>
      <w:r w:rsidRPr="220E6C25" w:rsidR="006655D4">
        <w:rPr>
          <w:rFonts w:ascii="Arial" w:hAnsi="Arial" w:eastAsia="Calibri" w:cs="Arial"/>
          <w:b w:val="1"/>
          <w:bCs w:val="1"/>
          <w:color w:val="000000" w:themeColor="text1" w:themeTint="FF" w:themeShade="FF"/>
          <w:sz w:val="22"/>
          <w:szCs w:val="22"/>
        </w:rPr>
        <w:t>–</w:t>
      </w:r>
      <w:r w:rsidRPr="220E6C25" w:rsidR="001D6109">
        <w:rPr>
          <w:rFonts w:ascii="Arial" w:hAnsi="Arial" w:cs="Arial"/>
          <w:b w:val="1"/>
          <w:bCs w:val="1"/>
          <w:color w:val="000000" w:themeColor="text1" w:themeTint="FF" w:themeShade="FF"/>
          <w:sz w:val="22"/>
          <w:szCs w:val="22"/>
        </w:rPr>
        <w:t xml:space="preserve"> C</w:t>
      </w:r>
      <w:r w:rsidRPr="220E6C25" w:rsidR="085B9F11">
        <w:rPr>
          <w:rFonts w:ascii="Arial" w:hAnsi="Arial" w:cs="Arial"/>
          <w:b w:val="1"/>
          <w:bCs w:val="1"/>
          <w:color w:val="000000" w:themeColor="text1" w:themeTint="FF" w:themeShade="FF"/>
          <w:sz w:val="22"/>
          <w:szCs w:val="22"/>
        </w:rPr>
        <w:t>elebración de contratos – Eventos</w:t>
      </w:r>
    </w:p>
    <w:p w:rsidRPr="00E04191" w:rsidR="00EA667A" w:rsidP="006655D4" w:rsidRDefault="00EA667A" w14:paraId="57F710BA" w14:textId="77777777">
      <w:pPr>
        <w:jc w:val="both"/>
        <w:rPr>
          <w:rFonts w:ascii="Arial" w:hAnsi="Arial" w:eastAsia="Calibri" w:cs="Arial"/>
          <w:color w:val="000000" w:themeColor="text1"/>
          <w:sz w:val="20"/>
          <w:szCs w:val="20"/>
          <w:lang w:val="es-ES_tradnl"/>
        </w:rPr>
      </w:pPr>
    </w:p>
    <w:p w:rsidRPr="00E04191" w:rsidR="0007454E" w:rsidP="006655D4" w:rsidRDefault="0007454E" w14:paraId="1E896884" w14:textId="36DCCF5D">
      <w:pPr>
        <w:jc w:val="both"/>
        <w:rPr>
          <w:rFonts w:ascii="Arial" w:hAnsi="Arial" w:eastAsia="Calibri" w:cs="Arial"/>
          <w:color w:val="000000" w:themeColor="text1"/>
          <w:sz w:val="20"/>
          <w:szCs w:val="20"/>
          <w:lang w:val="es-ES_tradnl"/>
        </w:rPr>
      </w:pPr>
      <w:r w:rsidRPr="00E04191">
        <w:rPr>
          <w:rFonts w:ascii="Arial" w:hAnsi="Arial" w:eastAsia="Calibri" w:cs="Arial"/>
          <w:color w:val="000000" w:themeColor="text1"/>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E04191">
        <w:rPr>
          <w:rFonts w:ascii="Arial" w:hAnsi="Arial" w:eastAsia="Calibri" w:cs="Arial"/>
          <w:color w:val="000000" w:themeColor="text1"/>
          <w:sz w:val="20"/>
          <w:szCs w:val="20"/>
          <w:lang w:val="es-ES_tradnl"/>
        </w:rPr>
        <w:t>ii</w:t>
      </w:r>
      <w:proofErr w:type="spellEnd"/>
      <w:r w:rsidRPr="00E04191">
        <w:rPr>
          <w:rFonts w:ascii="Arial" w:hAnsi="Arial" w:eastAsia="Calibri" w:cs="Arial"/>
          <w:color w:val="000000" w:themeColor="text1"/>
          <w:sz w:val="20"/>
          <w:szCs w:val="20"/>
          <w:lang w:val="es-ES_tradnl"/>
        </w:rPr>
        <w:t xml:space="preserve">) de vínculos personales relativos al parentesco o al estado civil o </w:t>
      </w:r>
      <w:proofErr w:type="spellStart"/>
      <w:r w:rsidRPr="00E04191">
        <w:rPr>
          <w:rFonts w:ascii="Arial" w:hAnsi="Arial" w:eastAsia="Calibri" w:cs="Arial"/>
          <w:color w:val="000000" w:themeColor="text1"/>
          <w:sz w:val="20"/>
          <w:szCs w:val="20"/>
          <w:lang w:val="es-ES_tradnl"/>
        </w:rPr>
        <w:t>iii</w:t>
      </w:r>
      <w:proofErr w:type="spellEnd"/>
      <w:r w:rsidRPr="00E04191">
        <w:rPr>
          <w:rFonts w:ascii="Arial" w:hAnsi="Arial" w:eastAsia="Calibri" w:cs="Arial"/>
          <w:color w:val="000000" w:themeColor="text1"/>
          <w:sz w:val="20"/>
          <w:szCs w:val="20"/>
          <w:lang w:val="es-ES_tradnl"/>
        </w:rPr>
        <w:t xml:space="preserve">)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rsidRPr="00E04191" w:rsidR="000E454F" w:rsidP="006655D4" w:rsidRDefault="000E454F" w14:paraId="76717D19" w14:textId="20FF6F45">
      <w:pPr>
        <w:jc w:val="both"/>
        <w:rPr>
          <w:rFonts w:ascii="Arial" w:hAnsi="Arial" w:eastAsia="Calibri" w:cs="Arial"/>
          <w:color w:val="000000" w:themeColor="text1"/>
          <w:sz w:val="20"/>
          <w:szCs w:val="20"/>
          <w:lang w:val="es-ES_tradnl"/>
        </w:rPr>
      </w:pPr>
    </w:p>
    <w:p w:rsidRPr="00E04191" w:rsidR="000E454F" w:rsidP="220E6C25" w:rsidRDefault="000E454F" w14:paraId="025C7DEA" w14:textId="33AC6B0F">
      <w:pPr>
        <w:pStyle w:val="Normal"/>
        <w:jc w:val="both"/>
        <w:rPr>
          <w:rFonts w:ascii="Arial" w:hAnsi="Arial" w:eastAsia="Calibri" w:cs="Arial"/>
          <w:b w:val="1"/>
          <w:bCs w:val="1"/>
          <w:color w:val="000000" w:themeColor="text1"/>
          <w:sz w:val="22"/>
          <w:szCs w:val="22"/>
          <w:lang w:val="es-ES"/>
        </w:rPr>
      </w:pPr>
      <w:r w:rsidRPr="220E6C25" w:rsidR="000E454F">
        <w:rPr>
          <w:rFonts w:ascii="Arial" w:hAnsi="Arial" w:eastAsia="Calibri" w:cs="Arial"/>
          <w:b w:val="1"/>
          <w:bCs w:val="1"/>
          <w:color w:val="000000" w:themeColor="text1" w:themeTint="FF" w:themeShade="FF"/>
          <w:sz w:val="22"/>
          <w:szCs w:val="22"/>
          <w:lang w:val="es-ES"/>
        </w:rPr>
        <w:t xml:space="preserve">INHABILIDAD </w:t>
      </w:r>
      <w:r w:rsidRPr="220E6C25" w:rsidR="006655D4">
        <w:rPr>
          <w:rFonts w:ascii="Arial" w:hAnsi="Arial" w:eastAsia="Calibri" w:cs="Arial"/>
          <w:b w:val="1"/>
          <w:bCs w:val="1"/>
          <w:color w:val="000000" w:themeColor="text1" w:themeTint="FF" w:themeShade="FF"/>
          <w:sz w:val="22"/>
          <w:szCs w:val="22"/>
        </w:rPr>
        <w:t>–</w:t>
      </w:r>
      <w:r w:rsidRPr="220E6C25" w:rsidR="000E454F">
        <w:rPr>
          <w:rFonts w:ascii="Arial" w:hAnsi="Arial" w:eastAsia="Calibri" w:cs="Arial"/>
          <w:b w:val="1"/>
          <w:bCs w:val="1"/>
          <w:color w:val="000000" w:themeColor="text1" w:themeTint="FF" w:themeShade="FF"/>
          <w:sz w:val="22"/>
          <w:szCs w:val="22"/>
          <w:lang w:val="es-ES"/>
        </w:rPr>
        <w:t xml:space="preserve"> </w:t>
      </w:r>
      <w:r w:rsidRPr="220E6C25" w:rsidR="0000489B">
        <w:rPr>
          <w:rFonts w:ascii="Arial" w:hAnsi="Arial" w:eastAsia="Calibri" w:cs="Arial"/>
          <w:b w:val="1"/>
          <w:bCs w:val="1"/>
          <w:color w:val="000000" w:themeColor="text1" w:themeTint="FF" w:themeShade="FF"/>
          <w:sz w:val="22"/>
          <w:szCs w:val="22"/>
          <w:lang w:val="es-ES"/>
        </w:rPr>
        <w:t>Garantía</w:t>
      </w:r>
      <w:r w:rsidRPr="220E6C25" w:rsidR="00D44A75">
        <w:rPr>
          <w:rFonts w:ascii="Arial" w:hAnsi="Arial" w:eastAsia="Calibri" w:cs="Arial"/>
          <w:b w:val="1"/>
          <w:bCs w:val="1"/>
          <w:color w:val="000000" w:themeColor="text1" w:themeTint="FF" w:themeShade="FF"/>
          <w:sz w:val="22"/>
          <w:szCs w:val="22"/>
          <w:lang w:val="es-ES"/>
        </w:rPr>
        <w:t xml:space="preserve"> </w:t>
      </w:r>
      <w:r w:rsidRPr="220E6C25" w:rsidR="006655D4">
        <w:rPr>
          <w:rFonts w:ascii="Arial" w:hAnsi="Arial" w:eastAsia="Calibri" w:cs="Arial"/>
          <w:b w:val="1"/>
          <w:bCs w:val="1"/>
          <w:color w:val="000000" w:themeColor="text1" w:themeTint="FF" w:themeShade="FF"/>
          <w:sz w:val="22"/>
          <w:szCs w:val="22"/>
        </w:rPr>
        <w:t>–</w:t>
      </w:r>
      <w:r w:rsidRPr="220E6C25" w:rsidR="00D44A75">
        <w:rPr>
          <w:rFonts w:ascii="Arial" w:hAnsi="Arial" w:eastAsia="Calibri" w:cs="Arial"/>
          <w:b w:val="1"/>
          <w:bCs w:val="1"/>
          <w:color w:val="000000" w:themeColor="text1" w:themeTint="FF" w:themeShade="FF"/>
          <w:sz w:val="22"/>
          <w:szCs w:val="22"/>
          <w:lang w:val="es-ES"/>
        </w:rPr>
        <w:t xml:space="preserve"> Pr</w:t>
      </w:r>
      <w:r w:rsidRPr="220E6C25" w:rsidR="0000489B">
        <w:rPr>
          <w:rFonts w:ascii="Arial" w:hAnsi="Arial" w:eastAsia="Calibri" w:cs="Arial"/>
          <w:b w:val="1"/>
          <w:bCs w:val="1"/>
          <w:color w:val="000000" w:themeColor="text1" w:themeTint="FF" w:themeShade="FF"/>
          <w:sz w:val="22"/>
          <w:szCs w:val="22"/>
          <w:lang w:val="es-ES"/>
        </w:rPr>
        <w:t xml:space="preserve">incipios </w:t>
      </w:r>
      <w:r w:rsidRPr="220E6C25" w:rsidR="7E9D9ABE">
        <w:rPr>
          <w:rFonts w:ascii="Arial" w:hAnsi="Arial" w:eastAsia="Calibri" w:cs="Arial"/>
          <w:b w:val="1"/>
          <w:bCs w:val="1"/>
          <w:color w:val="000000" w:themeColor="text1" w:themeTint="FF" w:themeShade="FF"/>
          <w:sz w:val="22"/>
          <w:szCs w:val="22"/>
        </w:rPr>
        <w:t>– F</w:t>
      </w:r>
      <w:r w:rsidRPr="220E6C25" w:rsidR="0000489B">
        <w:rPr>
          <w:rFonts w:ascii="Arial" w:hAnsi="Arial" w:eastAsia="Calibri" w:cs="Arial"/>
          <w:b w:val="1"/>
          <w:bCs w:val="1"/>
          <w:color w:val="000000" w:themeColor="text1" w:themeTint="FF" w:themeShade="FF"/>
          <w:sz w:val="22"/>
          <w:szCs w:val="22"/>
          <w:lang w:val="es-ES"/>
        </w:rPr>
        <w:t xml:space="preserve">unción administrativa </w:t>
      </w:r>
      <w:r w:rsidRPr="220E6C25" w:rsidR="006655D4">
        <w:rPr>
          <w:rFonts w:ascii="Arial" w:hAnsi="Arial" w:eastAsia="Calibri" w:cs="Arial"/>
          <w:b w:val="1"/>
          <w:bCs w:val="1"/>
          <w:color w:val="000000" w:themeColor="text1" w:themeTint="FF" w:themeShade="FF"/>
          <w:sz w:val="22"/>
          <w:szCs w:val="22"/>
        </w:rPr>
        <w:t>–</w:t>
      </w:r>
      <w:r w:rsidRPr="220E6C25" w:rsidR="0000489B">
        <w:rPr>
          <w:rFonts w:ascii="Arial" w:hAnsi="Arial" w:eastAsia="Calibri" w:cs="Arial"/>
          <w:b w:val="1"/>
          <w:bCs w:val="1"/>
          <w:color w:val="000000" w:themeColor="text1" w:themeTint="FF" w:themeShade="FF"/>
          <w:sz w:val="22"/>
          <w:szCs w:val="22"/>
          <w:lang w:val="es-ES"/>
        </w:rPr>
        <w:t xml:space="preserve"> Instrumento</w:t>
      </w:r>
      <w:r w:rsidRPr="220E6C25" w:rsidR="00D44A75">
        <w:rPr>
          <w:rFonts w:ascii="Arial" w:hAnsi="Arial" w:eastAsia="Calibri" w:cs="Arial"/>
          <w:b w:val="1"/>
          <w:bCs w:val="1"/>
          <w:color w:val="000000" w:themeColor="text1" w:themeTint="FF" w:themeShade="FF"/>
          <w:sz w:val="22"/>
          <w:szCs w:val="22"/>
          <w:lang w:val="es-ES"/>
        </w:rPr>
        <w:t xml:space="preserve"> contra corrupción</w:t>
      </w:r>
    </w:p>
    <w:p w:rsidRPr="00E04191" w:rsidR="000E454F" w:rsidP="006655D4" w:rsidRDefault="000E454F" w14:paraId="746D5269" w14:textId="77777777">
      <w:pPr>
        <w:jc w:val="both"/>
        <w:rPr>
          <w:rFonts w:ascii="Arial" w:hAnsi="Arial" w:eastAsia="Calibri" w:cs="Arial"/>
          <w:color w:val="000000" w:themeColor="text1"/>
          <w:sz w:val="20"/>
          <w:szCs w:val="20"/>
          <w:lang w:val="es-ES_tradnl"/>
        </w:rPr>
      </w:pPr>
    </w:p>
    <w:p w:rsidRPr="00E04191" w:rsidR="0007454E" w:rsidP="006655D4" w:rsidRDefault="0007454E" w14:paraId="187B5976" w14:textId="7A3BD23E">
      <w:pPr>
        <w:jc w:val="both"/>
        <w:rPr>
          <w:rFonts w:ascii="Arial" w:hAnsi="Arial" w:eastAsia="Calibri" w:cs="Arial"/>
          <w:color w:val="000000" w:themeColor="text1"/>
          <w:sz w:val="20"/>
          <w:szCs w:val="20"/>
          <w:lang w:val="es-ES_tradnl"/>
        </w:rPr>
      </w:pPr>
      <w:r w:rsidRPr="00E04191">
        <w:rPr>
          <w:rFonts w:ascii="Arial" w:hAnsi="Arial" w:eastAsia="Calibri" w:cs="Arial"/>
          <w:color w:val="000000" w:themeColor="text1"/>
          <w:sz w:val="20"/>
          <w:szCs w:val="20"/>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w:t>
      </w:r>
      <w:proofErr w:type="gramStart"/>
      <w:r w:rsidRPr="00E04191">
        <w:rPr>
          <w:rFonts w:ascii="Arial" w:hAnsi="Arial" w:eastAsia="Calibri" w:cs="Arial"/>
          <w:color w:val="000000" w:themeColor="text1"/>
          <w:sz w:val="20"/>
          <w:szCs w:val="20"/>
          <w:lang w:val="es-ES_tradnl"/>
        </w:rPr>
        <w:t>que</w:t>
      </w:r>
      <w:proofErr w:type="gramEnd"/>
      <w:r w:rsidRPr="00E04191">
        <w:rPr>
          <w:rFonts w:ascii="Arial" w:hAnsi="Arial" w:eastAsia="Calibri" w:cs="Arial"/>
          <w:color w:val="000000" w:themeColor="text1"/>
          <w:sz w:val="20"/>
          <w:szCs w:val="20"/>
          <w:lang w:val="es-ES_tradnl"/>
        </w:rPr>
        <w:t>, como lo ha destacado la doctrina, las inhabilidades e incompatibilidades se han convertido en herramientas en la lucha contra la corrupción, adoptando paulatinamente un cariz sancionatorio o «</w:t>
      </w:r>
      <w:proofErr w:type="spellStart"/>
      <w:r w:rsidRPr="00E04191">
        <w:rPr>
          <w:rFonts w:ascii="Arial" w:hAnsi="Arial" w:eastAsia="Calibri" w:cs="Arial"/>
          <w:color w:val="000000" w:themeColor="text1"/>
          <w:sz w:val="20"/>
          <w:szCs w:val="20"/>
          <w:lang w:val="es-ES_tradnl"/>
        </w:rPr>
        <w:t>neopunitivo</w:t>
      </w:r>
      <w:proofErr w:type="spellEnd"/>
      <w:r w:rsidRPr="00E04191">
        <w:rPr>
          <w:rFonts w:ascii="Arial" w:hAnsi="Arial" w:eastAsia="Calibri" w:cs="Arial"/>
          <w:color w:val="000000" w:themeColor="text1"/>
          <w:sz w:val="20"/>
          <w:szCs w:val="20"/>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rsidRPr="00E04191" w:rsidR="00173B4E" w:rsidP="006655D4" w:rsidRDefault="00173B4E" w14:paraId="759661D9" w14:textId="3CAA3A05">
      <w:pPr>
        <w:jc w:val="both"/>
        <w:rPr>
          <w:rFonts w:ascii="Arial" w:hAnsi="Arial" w:eastAsia="Calibri" w:cs="Arial"/>
          <w:color w:val="000000" w:themeColor="text1"/>
          <w:sz w:val="20"/>
          <w:szCs w:val="20"/>
          <w:lang w:val="es-ES_tradnl"/>
        </w:rPr>
      </w:pPr>
    </w:p>
    <w:p w:rsidRPr="00E04191" w:rsidR="00173B4E" w:rsidP="220E6C25" w:rsidRDefault="00173B4E" w14:paraId="69809660" w14:textId="01F02C69">
      <w:pPr>
        <w:jc w:val="both"/>
        <w:rPr>
          <w:rFonts w:ascii="Arial" w:hAnsi="Arial" w:eastAsia="Calibri" w:cs="Arial"/>
          <w:b w:val="1"/>
          <w:bCs w:val="1"/>
          <w:i w:val="1"/>
          <w:iCs w:val="1"/>
          <w:color w:val="000000" w:themeColor="text1"/>
          <w:sz w:val="22"/>
          <w:szCs w:val="22"/>
          <w:lang w:val="es-ES"/>
        </w:rPr>
      </w:pPr>
      <w:r w:rsidRPr="220E6C25" w:rsidR="00173B4E">
        <w:rPr>
          <w:rFonts w:ascii="Arial" w:hAnsi="Arial" w:eastAsia="Calibri" w:cs="Arial"/>
          <w:b w:val="1"/>
          <w:bCs w:val="1"/>
          <w:color w:val="000000" w:themeColor="text1" w:themeTint="FF" w:themeShade="FF"/>
          <w:sz w:val="22"/>
          <w:szCs w:val="22"/>
          <w:lang w:val="es-ES"/>
        </w:rPr>
        <w:t xml:space="preserve">INHABILIDAD </w:t>
      </w:r>
      <w:r w:rsidRPr="220E6C25" w:rsidR="006655D4">
        <w:rPr>
          <w:rFonts w:ascii="Arial" w:hAnsi="Arial" w:eastAsia="Calibri" w:cs="Arial"/>
          <w:b w:val="1"/>
          <w:bCs w:val="1"/>
          <w:color w:val="000000" w:themeColor="text1" w:themeTint="FF" w:themeShade="FF"/>
          <w:sz w:val="22"/>
          <w:szCs w:val="22"/>
        </w:rPr>
        <w:t>–</w:t>
      </w:r>
      <w:r w:rsidRPr="220E6C25" w:rsidR="00173B4E">
        <w:rPr>
          <w:rFonts w:ascii="Arial" w:hAnsi="Arial" w:eastAsia="Calibri" w:cs="Arial"/>
          <w:b w:val="1"/>
          <w:bCs w:val="1"/>
          <w:color w:val="000000" w:themeColor="text1" w:themeTint="FF" w:themeShade="FF"/>
          <w:sz w:val="22"/>
          <w:szCs w:val="22"/>
          <w:lang w:val="es-ES"/>
        </w:rPr>
        <w:t xml:space="preserve"> Principio de legalidad </w:t>
      </w:r>
      <w:r w:rsidRPr="220E6C25" w:rsidR="006655D4">
        <w:rPr>
          <w:rFonts w:ascii="Arial" w:hAnsi="Arial" w:eastAsia="Calibri" w:cs="Arial"/>
          <w:b w:val="1"/>
          <w:bCs w:val="1"/>
          <w:color w:val="000000" w:themeColor="text1" w:themeTint="FF" w:themeShade="FF"/>
          <w:sz w:val="22"/>
          <w:szCs w:val="22"/>
        </w:rPr>
        <w:t>–</w:t>
      </w:r>
      <w:r w:rsidRPr="220E6C25" w:rsidR="003B1FE2">
        <w:rPr>
          <w:rFonts w:ascii="Arial" w:hAnsi="Arial" w:eastAsia="Calibri" w:cs="Arial"/>
          <w:b w:val="1"/>
          <w:bCs w:val="1"/>
          <w:color w:val="000000" w:themeColor="text1" w:themeTint="FF" w:themeShade="FF"/>
          <w:sz w:val="22"/>
          <w:szCs w:val="22"/>
          <w:lang w:val="es-ES"/>
        </w:rPr>
        <w:t xml:space="preserve"> Interpretación restrictiva </w:t>
      </w:r>
      <w:r w:rsidRPr="220E6C25" w:rsidR="006655D4">
        <w:rPr>
          <w:rFonts w:ascii="Arial" w:hAnsi="Arial" w:eastAsia="Calibri" w:cs="Arial"/>
          <w:b w:val="1"/>
          <w:bCs w:val="1"/>
          <w:color w:val="000000" w:themeColor="text1" w:themeTint="FF" w:themeShade="FF"/>
          <w:sz w:val="22"/>
          <w:szCs w:val="22"/>
        </w:rPr>
        <w:t>–</w:t>
      </w:r>
      <w:r w:rsidRPr="220E6C25" w:rsidR="00C27C7D">
        <w:rPr>
          <w:rFonts w:ascii="Arial" w:hAnsi="Arial" w:eastAsia="Calibri" w:cs="Arial"/>
          <w:b w:val="1"/>
          <w:bCs w:val="1"/>
          <w:color w:val="000000" w:themeColor="text1" w:themeTint="FF" w:themeShade="FF"/>
          <w:sz w:val="22"/>
          <w:szCs w:val="22"/>
          <w:lang w:val="es-ES"/>
        </w:rPr>
        <w:t xml:space="preserve"> Principio </w:t>
      </w:r>
      <w:r w:rsidRPr="220E6C25" w:rsidR="00C27C7D">
        <w:rPr>
          <w:rFonts w:ascii="Arial" w:hAnsi="Arial" w:eastAsia="Calibri" w:cs="Arial"/>
          <w:b w:val="1"/>
          <w:bCs w:val="1"/>
          <w:i w:val="1"/>
          <w:iCs w:val="1"/>
          <w:color w:val="000000" w:themeColor="text1" w:themeTint="FF" w:themeShade="FF"/>
          <w:sz w:val="22"/>
          <w:szCs w:val="22"/>
          <w:lang w:val="es-ES"/>
        </w:rPr>
        <w:t xml:space="preserve">pro </w:t>
      </w:r>
      <w:proofErr w:type="spellStart"/>
      <w:r w:rsidRPr="220E6C25" w:rsidR="00C27C7D">
        <w:rPr>
          <w:rFonts w:ascii="Arial" w:hAnsi="Arial" w:eastAsia="Calibri" w:cs="Arial"/>
          <w:b w:val="1"/>
          <w:bCs w:val="1"/>
          <w:i w:val="1"/>
          <w:iCs w:val="1"/>
          <w:color w:val="000000" w:themeColor="text1" w:themeTint="FF" w:themeShade="FF"/>
          <w:sz w:val="22"/>
          <w:szCs w:val="22"/>
          <w:lang w:val="es-ES"/>
        </w:rPr>
        <w:t>libertate</w:t>
      </w:r>
      <w:proofErr w:type="spellEnd"/>
    </w:p>
    <w:p w:rsidRPr="00E04191" w:rsidR="00173B4E" w:rsidP="006655D4" w:rsidRDefault="00173B4E" w14:paraId="70670EA8" w14:textId="77777777">
      <w:pPr>
        <w:jc w:val="both"/>
        <w:rPr>
          <w:rFonts w:ascii="Arial" w:hAnsi="Arial" w:eastAsia="Calibri" w:cs="Arial"/>
          <w:color w:val="000000" w:themeColor="text1"/>
          <w:sz w:val="20"/>
          <w:szCs w:val="20"/>
          <w:lang w:val="es-ES_tradnl"/>
        </w:rPr>
      </w:pPr>
    </w:p>
    <w:p w:rsidRPr="00E04191" w:rsidR="00E87AD4" w:rsidP="00D64579" w:rsidRDefault="0007454E" w14:paraId="0DF66D9D" w14:textId="261330FE">
      <w:pPr>
        <w:spacing w:after="120"/>
        <w:jc w:val="both"/>
        <w:rPr>
          <w:rFonts w:ascii="Arial" w:hAnsi="Arial" w:eastAsia="Calibri" w:cs="Arial"/>
          <w:color w:val="000000" w:themeColor="text1"/>
          <w:sz w:val="20"/>
          <w:szCs w:val="20"/>
          <w:lang w:val="es-ES_tradnl"/>
        </w:rPr>
      </w:pPr>
      <w:r w:rsidRPr="00E04191">
        <w:rPr>
          <w:rFonts w:ascii="Arial" w:hAnsi="Arial" w:eastAsia="Calibri" w:cs="Arial"/>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E04191">
        <w:rPr>
          <w:rFonts w:ascii="Arial" w:hAnsi="Arial" w:eastAsia="Calibri" w:cs="Arial"/>
          <w:i/>
          <w:iCs/>
          <w:color w:val="000000" w:themeColor="text1"/>
          <w:sz w:val="20"/>
          <w:szCs w:val="20"/>
          <w:lang w:val="es-ES_tradnl"/>
        </w:rPr>
        <w:t>restrictiva</w:t>
      </w:r>
      <w:r w:rsidRPr="00E04191">
        <w:rPr>
          <w:rFonts w:ascii="Arial" w:hAnsi="Arial" w:eastAsia="Calibri" w:cs="Arial"/>
          <w:color w:val="000000" w:themeColor="text1"/>
          <w:sz w:val="20"/>
          <w:szCs w:val="20"/>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rsidRPr="00E04191" w:rsidR="0007454E" w:rsidP="00C024B3" w:rsidRDefault="0007454E" w14:paraId="29545019" w14:textId="5B05BB6B">
      <w:pPr>
        <w:spacing w:after="120"/>
        <w:jc w:val="both"/>
        <w:rPr>
          <w:rFonts w:ascii="Arial" w:hAnsi="Arial" w:eastAsia="Calibri" w:cs="Arial"/>
          <w:color w:val="000000" w:themeColor="text1"/>
          <w:sz w:val="20"/>
          <w:szCs w:val="20"/>
          <w:lang w:val="es-ES_tradnl"/>
        </w:rPr>
      </w:pPr>
      <w:r w:rsidRPr="00E04191">
        <w:rPr>
          <w:rFonts w:ascii="Arial" w:hAnsi="Arial" w:eastAsia="Calibri" w:cs="Arial"/>
          <w:color w:val="000000" w:themeColor="text1"/>
          <w:sz w:val="20"/>
          <w:szCs w:val="20"/>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00C024B3">
        <w:rPr>
          <w:rFonts w:ascii="Arial" w:hAnsi="Arial" w:eastAsia="Calibri" w:cs="Arial"/>
          <w:color w:val="000000" w:themeColor="text1"/>
          <w:sz w:val="20"/>
          <w:szCs w:val="20"/>
          <w:lang w:val="es-ES_tradnl"/>
        </w:rPr>
        <w:t>.</w:t>
      </w:r>
    </w:p>
    <w:p w:rsidRPr="00E04191" w:rsidR="00535196" w:rsidP="006655D4" w:rsidRDefault="00535196" w14:paraId="56F1BA35" w14:textId="096C030B">
      <w:pPr>
        <w:jc w:val="both"/>
        <w:rPr>
          <w:rFonts w:ascii="Arial" w:hAnsi="Arial" w:eastAsia="Calibri" w:cs="Arial"/>
          <w:color w:val="000000" w:themeColor="text1"/>
          <w:sz w:val="20"/>
          <w:szCs w:val="20"/>
          <w:lang w:val="es-ES_tradnl"/>
        </w:rPr>
      </w:pPr>
    </w:p>
    <w:p w:rsidRPr="00E04191" w:rsidR="0007454E" w:rsidP="006655D4" w:rsidRDefault="0007454E" w14:paraId="1BCDA4B5" w14:textId="6B4F2956">
      <w:pPr>
        <w:jc w:val="both"/>
        <w:rPr>
          <w:rFonts w:ascii="Arial" w:hAnsi="Arial" w:eastAsia="Calibri" w:cs="Arial"/>
          <w:color w:val="000000" w:themeColor="text1"/>
          <w:sz w:val="20"/>
          <w:szCs w:val="20"/>
          <w:lang w:val="es-ES_tradnl"/>
        </w:rPr>
      </w:pPr>
      <w:r w:rsidRPr="00E04191">
        <w:rPr>
          <w:rFonts w:ascii="Arial" w:hAnsi="Arial" w:eastAsia="Calibri" w:cs="Arial"/>
          <w:color w:val="000000" w:themeColor="text1"/>
          <w:sz w:val="20"/>
          <w:szCs w:val="20"/>
          <w:lang w:val="es-ES_tradnl"/>
        </w:rPr>
        <w:lastRenderedPageBreak/>
        <w:t xml:space="preserve">Como se aprecia, el principio </w:t>
      </w:r>
      <w:r w:rsidRPr="00E04191">
        <w:rPr>
          <w:rFonts w:ascii="Arial" w:hAnsi="Arial" w:eastAsia="Calibri" w:cs="Arial"/>
          <w:i/>
          <w:iCs/>
          <w:color w:val="000000" w:themeColor="text1"/>
          <w:sz w:val="20"/>
          <w:szCs w:val="20"/>
          <w:lang w:val="es-ES_tradnl"/>
        </w:rPr>
        <w:t xml:space="preserve">pro </w:t>
      </w:r>
      <w:proofErr w:type="spellStart"/>
      <w:r w:rsidRPr="00E04191">
        <w:rPr>
          <w:rFonts w:ascii="Arial" w:hAnsi="Arial" w:eastAsia="Calibri" w:cs="Arial"/>
          <w:i/>
          <w:iCs/>
          <w:color w:val="000000" w:themeColor="text1"/>
          <w:sz w:val="20"/>
          <w:szCs w:val="20"/>
          <w:lang w:val="es-ES_tradnl"/>
        </w:rPr>
        <w:t>libertate</w:t>
      </w:r>
      <w:proofErr w:type="spellEnd"/>
      <w:r w:rsidRPr="00E04191">
        <w:rPr>
          <w:rFonts w:ascii="Arial" w:hAnsi="Arial" w:eastAsia="Calibri"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p>
    <w:p w:rsidRPr="00E04191" w:rsidR="0007454E" w:rsidP="006655D4" w:rsidRDefault="0007454E" w14:paraId="3B346AAD" w14:textId="77777777">
      <w:pPr>
        <w:jc w:val="both"/>
        <w:rPr>
          <w:rFonts w:ascii="Arial" w:hAnsi="Arial" w:eastAsia="Calibri" w:cs="Arial"/>
          <w:color w:val="000000" w:themeColor="text1"/>
          <w:sz w:val="20"/>
          <w:szCs w:val="20"/>
          <w:lang w:val="es-ES_tradnl"/>
        </w:rPr>
      </w:pPr>
    </w:p>
    <w:p w:rsidRPr="00E04191" w:rsidR="00C27C7D" w:rsidP="006655D4" w:rsidRDefault="00C27C7D" w14:paraId="7B4D690B" w14:textId="5A7E9E88">
      <w:pPr>
        <w:jc w:val="both"/>
        <w:rPr>
          <w:rFonts w:ascii="Arial" w:hAnsi="Arial" w:cs="Arial"/>
          <w:b/>
          <w:bCs/>
          <w:color w:val="000000" w:themeColor="text1"/>
          <w:sz w:val="22"/>
        </w:rPr>
      </w:pPr>
      <w:r w:rsidRPr="00E04191">
        <w:rPr>
          <w:rFonts w:ascii="Arial" w:hAnsi="Arial" w:cs="Arial"/>
          <w:b/>
          <w:bCs/>
          <w:color w:val="000000" w:themeColor="text1"/>
          <w:sz w:val="22"/>
        </w:rPr>
        <w:t xml:space="preserve">CÓDIGO NACIONAL DE TRÁNSITO </w:t>
      </w:r>
      <w:r w:rsidRPr="006C15D5" w:rsidR="006655D4">
        <w:rPr>
          <w:rFonts w:ascii="Arial" w:hAnsi="Arial" w:eastAsia="Calibri" w:cs="Arial"/>
          <w:b/>
          <w:color w:val="000000" w:themeColor="text1"/>
          <w:sz w:val="22"/>
        </w:rPr>
        <w:t>–</w:t>
      </w:r>
      <w:r w:rsidRPr="00E04191" w:rsidR="00692433">
        <w:rPr>
          <w:rFonts w:ascii="Arial" w:hAnsi="Arial" w:cs="Arial"/>
          <w:b/>
          <w:bCs/>
          <w:color w:val="000000" w:themeColor="text1"/>
          <w:sz w:val="22"/>
        </w:rPr>
        <w:t xml:space="preserve"> </w:t>
      </w:r>
      <w:r w:rsidRPr="00E04191" w:rsidR="00D44A75">
        <w:rPr>
          <w:rFonts w:ascii="Arial" w:hAnsi="Arial" w:cs="Arial"/>
          <w:b/>
          <w:bCs/>
          <w:color w:val="000000" w:themeColor="text1"/>
          <w:sz w:val="22"/>
        </w:rPr>
        <w:t>L</w:t>
      </w:r>
      <w:r w:rsidRPr="00E04191" w:rsidR="00692433">
        <w:rPr>
          <w:rFonts w:ascii="Arial" w:hAnsi="Arial" w:cs="Arial"/>
          <w:b/>
          <w:bCs/>
          <w:color w:val="000000" w:themeColor="text1"/>
          <w:sz w:val="22"/>
        </w:rPr>
        <w:t xml:space="preserve">ibertad de circulación </w:t>
      </w:r>
      <w:r w:rsidRPr="006C15D5" w:rsidR="006655D4">
        <w:rPr>
          <w:rFonts w:ascii="Arial" w:hAnsi="Arial" w:eastAsia="Calibri" w:cs="Arial"/>
          <w:b/>
          <w:color w:val="000000" w:themeColor="text1"/>
          <w:sz w:val="22"/>
        </w:rPr>
        <w:t>–</w:t>
      </w:r>
      <w:r w:rsidRPr="00E04191" w:rsidR="00692433">
        <w:rPr>
          <w:rFonts w:ascii="Arial" w:hAnsi="Arial" w:cs="Arial"/>
          <w:b/>
          <w:bCs/>
          <w:color w:val="000000" w:themeColor="text1"/>
          <w:sz w:val="22"/>
        </w:rPr>
        <w:t xml:space="preserve"> Finalidad</w:t>
      </w:r>
    </w:p>
    <w:p w:rsidRPr="00E04191" w:rsidR="00692433" w:rsidP="006655D4" w:rsidRDefault="00692433" w14:paraId="6B1F5CCC" w14:textId="77777777">
      <w:pPr>
        <w:jc w:val="both"/>
        <w:rPr>
          <w:rFonts w:ascii="Arial" w:hAnsi="Arial" w:cs="Arial"/>
          <w:b/>
          <w:bCs/>
          <w:color w:val="000000" w:themeColor="text1"/>
          <w:sz w:val="20"/>
          <w:szCs w:val="20"/>
        </w:rPr>
      </w:pPr>
    </w:p>
    <w:p w:rsidRPr="00E04191" w:rsidR="0007454E" w:rsidP="006655D4" w:rsidRDefault="0007454E" w14:paraId="6030C114" w14:textId="1E98E5DB">
      <w:pPr>
        <w:jc w:val="both"/>
        <w:rPr>
          <w:rFonts w:ascii="Arial" w:hAnsi="Arial" w:cs="Arial"/>
          <w:color w:val="000000" w:themeColor="text1"/>
          <w:sz w:val="20"/>
          <w:szCs w:val="20"/>
        </w:rPr>
      </w:pPr>
      <w:r w:rsidRPr="00E04191">
        <w:rPr>
          <w:rFonts w:ascii="Arial" w:hAnsi="Arial" w:cs="Arial"/>
          <w:color w:val="000000" w:themeColor="text1"/>
          <w:sz w:val="20"/>
          <w:szCs w:val="20"/>
        </w:rPr>
        <w:t>La Constitución Política de Colombia garantiza, entre otros</w:t>
      </w:r>
      <w:r w:rsidRPr="00E04191" w:rsidR="009E3F9D">
        <w:rPr>
          <w:rFonts w:ascii="Arial" w:hAnsi="Arial" w:cs="Arial"/>
          <w:color w:val="000000" w:themeColor="text1"/>
          <w:sz w:val="20"/>
          <w:szCs w:val="20"/>
        </w:rPr>
        <w:t xml:space="preserve"> derechos fundamentales,</w:t>
      </w:r>
      <w:r w:rsidRPr="00E04191">
        <w:rPr>
          <w:rFonts w:ascii="Arial" w:hAnsi="Arial" w:cs="Arial"/>
          <w:color w:val="000000" w:themeColor="text1"/>
          <w:sz w:val="20"/>
          <w:szCs w:val="20"/>
        </w:rPr>
        <w:t xml:space="preserve"> la libertad de circulación. En ejercicio de la función legislativa del poder público, el Congreso de la República profirió la Ley 769 de 2002 «Por la cual se expide el Código Nacional de Tránsito Terrestre y se dictan otras disposiciones», cuerpo normativo que tiene como propósito desarrollar el mencionado derecho fundamental en el ámbito relacionado con el comportamiento de los denominados actores viales [peatones, pasajeros y conductores] en uso de vías públicas o privadas.</w:t>
      </w:r>
    </w:p>
    <w:p w:rsidRPr="00E04191" w:rsidR="005C0368" w:rsidP="006655D4" w:rsidRDefault="005C0368" w14:paraId="00861D77" w14:textId="4429822F">
      <w:pPr>
        <w:jc w:val="both"/>
        <w:rPr>
          <w:rFonts w:ascii="Arial" w:hAnsi="Arial" w:cs="Arial"/>
          <w:color w:val="000000" w:themeColor="text1"/>
          <w:sz w:val="20"/>
          <w:szCs w:val="20"/>
        </w:rPr>
      </w:pPr>
    </w:p>
    <w:p w:rsidRPr="00E04191" w:rsidR="005C0368" w:rsidP="006655D4" w:rsidRDefault="005C0368" w14:paraId="077421A7" w14:textId="21EB59D5">
      <w:pPr>
        <w:jc w:val="both"/>
        <w:rPr>
          <w:rFonts w:ascii="Arial" w:hAnsi="Arial" w:cs="Arial"/>
          <w:b/>
          <w:bCs/>
          <w:color w:val="000000" w:themeColor="text1"/>
          <w:sz w:val="22"/>
        </w:rPr>
      </w:pPr>
      <w:r w:rsidRPr="00E04191">
        <w:rPr>
          <w:rFonts w:ascii="Arial" w:hAnsi="Arial" w:cs="Arial"/>
          <w:b/>
          <w:bCs/>
          <w:color w:val="000000" w:themeColor="text1"/>
          <w:sz w:val="22"/>
        </w:rPr>
        <w:t xml:space="preserve">CÓDIGO NACIONAL DE TRÁNSITO </w:t>
      </w:r>
      <w:r w:rsidRPr="006C15D5" w:rsidR="006655D4">
        <w:rPr>
          <w:rFonts w:ascii="Arial" w:hAnsi="Arial" w:eastAsia="Calibri" w:cs="Arial"/>
          <w:b/>
          <w:color w:val="000000" w:themeColor="text1"/>
          <w:sz w:val="22"/>
        </w:rPr>
        <w:t>–</w:t>
      </w:r>
      <w:r w:rsidRPr="00E04191">
        <w:rPr>
          <w:rFonts w:ascii="Arial" w:hAnsi="Arial" w:cs="Arial"/>
          <w:b/>
          <w:bCs/>
          <w:color w:val="000000" w:themeColor="text1"/>
          <w:sz w:val="22"/>
        </w:rPr>
        <w:t xml:space="preserve"> </w:t>
      </w:r>
      <w:r w:rsidRPr="00E04191" w:rsidR="00940227">
        <w:rPr>
          <w:rFonts w:ascii="Arial" w:hAnsi="Arial" w:cs="Arial"/>
          <w:b/>
          <w:bCs/>
          <w:color w:val="000000" w:themeColor="text1"/>
          <w:sz w:val="22"/>
        </w:rPr>
        <w:t xml:space="preserve">Régimen sancionatorio </w:t>
      </w:r>
      <w:r w:rsidRPr="006C15D5" w:rsidR="006655D4">
        <w:rPr>
          <w:rFonts w:ascii="Arial" w:hAnsi="Arial" w:eastAsia="Calibri" w:cs="Arial"/>
          <w:b/>
          <w:color w:val="000000" w:themeColor="text1"/>
          <w:sz w:val="22"/>
        </w:rPr>
        <w:t>–</w:t>
      </w:r>
      <w:r w:rsidRPr="00E04191" w:rsidR="00940227">
        <w:rPr>
          <w:rFonts w:ascii="Arial" w:hAnsi="Arial" w:cs="Arial"/>
          <w:b/>
          <w:bCs/>
          <w:color w:val="000000" w:themeColor="text1"/>
          <w:sz w:val="22"/>
        </w:rPr>
        <w:t xml:space="preserve"> </w:t>
      </w:r>
      <w:r w:rsidRPr="00E04191" w:rsidR="003B02AC">
        <w:rPr>
          <w:rFonts w:ascii="Arial" w:hAnsi="Arial" w:cs="Arial"/>
          <w:b/>
          <w:bCs/>
          <w:color w:val="000000" w:themeColor="text1"/>
          <w:sz w:val="22"/>
        </w:rPr>
        <w:t>Inhabilidades e incompatibilidades</w:t>
      </w:r>
      <w:r w:rsidRPr="00E04191" w:rsidR="00D44A75">
        <w:rPr>
          <w:rFonts w:ascii="Arial" w:hAnsi="Arial" w:cs="Arial"/>
          <w:b/>
          <w:bCs/>
          <w:color w:val="000000" w:themeColor="text1"/>
          <w:sz w:val="22"/>
        </w:rPr>
        <w:t xml:space="preserve"> </w:t>
      </w:r>
      <w:r w:rsidRPr="006C15D5" w:rsidR="006655D4">
        <w:rPr>
          <w:rFonts w:ascii="Arial" w:hAnsi="Arial" w:eastAsia="Calibri" w:cs="Arial"/>
          <w:b/>
          <w:color w:val="000000" w:themeColor="text1"/>
          <w:sz w:val="22"/>
        </w:rPr>
        <w:t>–</w:t>
      </w:r>
      <w:r w:rsidRPr="00E04191" w:rsidR="003B02AC">
        <w:rPr>
          <w:rFonts w:ascii="Arial" w:hAnsi="Arial" w:cs="Arial"/>
          <w:b/>
          <w:bCs/>
          <w:color w:val="000000" w:themeColor="text1"/>
          <w:sz w:val="22"/>
        </w:rPr>
        <w:t xml:space="preserve"> Ley 769 de 2002</w:t>
      </w:r>
    </w:p>
    <w:p w:rsidRPr="00E04191" w:rsidR="005C0368" w:rsidP="006655D4" w:rsidRDefault="005C0368" w14:paraId="0F6F840C" w14:textId="77777777">
      <w:pPr>
        <w:jc w:val="both"/>
        <w:rPr>
          <w:rFonts w:ascii="Arial" w:hAnsi="Arial" w:cs="Arial"/>
          <w:color w:val="000000" w:themeColor="text1"/>
          <w:sz w:val="20"/>
          <w:szCs w:val="20"/>
        </w:rPr>
      </w:pPr>
    </w:p>
    <w:p w:rsidRPr="00E04191" w:rsidR="00D44A75" w:rsidP="00C024B3" w:rsidRDefault="0007454E" w14:paraId="1CFEED18" w14:textId="180C90F7">
      <w:pPr>
        <w:spacing w:after="120"/>
        <w:jc w:val="both"/>
        <w:rPr>
          <w:rFonts w:ascii="Arial" w:hAnsi="Arial" w:cs="Arial"/>
          <w:color w:val="000000" w:themeColor="text1"/>
          <w:sz w:val="20"/>
          <w:szCs w:val="20"/>
        </w:rPr>
      </w:pPr>
      <w:r w:rsidRPr="00E04191">
        <w:rPr>
          <w:rFonts w:ascii="Arial" w:hAnsi="Arial" w:cs="Arial"/>
          <w:color w:val="000000" w:themeColor="text1"/>
          <w:sz w:val="20"/>
          <w:szCs w:val="20"/>
        </w:rPr>
        <w:t>El incumplimiento de esos preceptos normativos, entre ellos, los relacionados con la conducción de vehículos</w:t>
      </w:r>
      <w:r w:rsidRPr="00E04191" w:rsidR="00865C94">
        <w:rPr>
          <w:rFonts w:ascii="Arial" w:hAnsi="Arial" w:cs="Arial"/>
          <w:color w:val="000000" w:themeColor="text1"/>
          <w:sz w:val="20"/>
          <w:szCs w:val="20"/>
        </w:rPr>
        <w:t>,</w:t>
      </w:r>
      <w:r w:rsidRPr="00E04191">
        <w:rPr>
          <w:rFonts w:ascii="Arial" w:hAnsi="Arial" w:cs="Arial"/>
          <w:color w:val="000000" w:themeColor="text1"/>
          <w:sz w:val="20"/>
          <w:szCs w:val="20"/>
        </w:rPr>
        <w:t xml:space="preserve"> hará acreedor al infractor </w:t>
      </w:r>
      <w:r w:rsidRPr="00E04191" w:rsidR="00AE1909">
        <w:rPr>
          <w:rFonts w:ascii="Arial" w:hAnsi="Arial" w:cs="Arial"/>
          <w:color w:val="000000" w:themeColor="text1"/>
          <w:sz w:val="20"/>
          <w:szCs w:val="20"/>
        </w:rPr>
        <w:t>a</w:t>
      </w:r>
      <w:r w:rsidRPr="00E04191">
        <w:rPr>
          <w:rFonts w:ascii="Arial" w:hAnsi="Arial" w:cs="Arial"/>
          <w:color w:val="000000" w:themeColor="text1"/>
          <w:sz w:val="20"/>
          <w:szCs w:val="20"/>
        </w:rPr>
        <w:t xml:space="preserve"> las sanciones allí establecidas, que pueden consistir en amonestación, multa, retención preventiva de la licencia de conducción, suspensión de la licencia de conducción, suspensión o cancelación del permiso o registro, inmovilización del vehículo, retención preventiva del vehículo y/o cancelación definitiva de la licencia de conducción; esto implica que el derecho a conducir vehículos no es absoluto, pues el mismo ordenamiento jurídico contempló límites a su ejercicio.</w:t>
      </w:r>
    </w:p>
    <w:p w:rsidRPr="00E04191" w:rsidR="00D44A75" w:rsidP="00C024B3" w:rsidRDefault="0007454E" w14:paraId="50F2F101" w14:textId="13FAC6B9">
      <w:pPr>
        <w:spacing w:after="120"/>
        <w:jc w:val="both"/>
        <w:rPr>
          <w:rFonts w:ascii="Arial" w:hAnsi="Arial" w:cs="Arial"/>
          <w:color w:val="000000" w:themeColor="text1"/>
          <w:sz w:val="20"/>
          <w:szCs w:val="20"/>
        </w:rPr>
      </w:pPr>
      <w:r w:rsidRPr="2D99B1DF">
        <w:rPr>
          <w:rFonts w:ascii="Arial" w:hAnsi="Arial" w:cs="Arial"/>
          <w:color w:val="000000" w:themeColor="text1"/>
          <w:sz w:val="20"/>
          <w:szCs w:val="20"/>
        </w:rPr>
        <w:t>Dentro de los límites establecidos en la Ley 769 de 2002 al ejercicio del derecho a la conducción de vehículos, se establecieron inhabilidades e incompatibilidades de carácter temporal o permanente, que consisten en la suspensión temporal o cancelación definitiva de la licencia de conducción</w:t>
      </w:r>
      <w:r w:rsidRPr="2D99B1DF" w:rsidR="00DF75F3">
        <w:rPr>
          <w:rFonts w:ascii="Arial" w:hAnsi="Arial" w:cs="Arial"/>
          <w:color w:val="000000" w:themeColor="text1"/>
          <w:sz w:val="20"/>
          <w:szCs w:val="20"/>
        </w:rPr>
        <w:t>; sin embargo, ninguna de esas limitaciones guarda relación directa o indirecta con las disposiciones que regulan la contratación de las Entidades Públicas.</w:t>
      </w:r>
    </w:p>
    <w:p w:rsidRPr="00E04191" w:rsidR="0007454E" w:rsidP="006655D4" w:rsidRDefault="00D44A75" w14:paraId="36348098" w14:textId="702C640A">
      <w:pPr>
        <w:jc w:val="both"/>
        <w:rPr>
          <w:rFonts w:ascii="Arial" w:hAnsi="Arial" w:cs="Arial"/>
          <w:color w:val="000000" w:themeColor="text1"/>
          <w:sz w:val="20"/>
          <w:szCs w:val="20"/>
        </w:rPr>
      </w:pPr>
      <w:r w:rsidRPr="00E04191">
        <w:rPr>
          <w:rFonts w:ascii="Arial" w:hAnsi="Arial" w:cs="Arial"/>
          <w:color w:val="000000" w:themeColor="text1"/>
          <w:sz w:val="20"/>
          <w:szCs w:val="20"/>
        </w:rPr>
        <w:t>E</w:t>
      </w:r>
      <w:r w:rsidRPr="00E04191" w:rsidR="00DF75F3">
        <w:rPr>
          <w:rFonts w:ascii="Arial" w:hAnsi="Arial" w:cs="Arial"/>
          <w:color w:val="000000" w:themeColor="text1"/>
          <w:sz w:val="20"/>
          <w:szCs w:val="20"/>
        </w:rPr>
        <w:t>n conclusión</w:t>
      </w:r>
      <w:r w:rsidRPr="00E04191" w:rsidR="0007454E">
        <w:rPr>
          <w:rFonts w:ascii="Arial" w:hAnsi="Arial" w:cs="Arial"/>
          <w:color w:val="000000" w:themeColor="text1"/>
          <w:sz w:val="20"/>
          <w:szCs w:val="20"/>
        </w:rPr>
        <w:t xml:space="preserve">, se debe señalar que la Ley 769 de 2002 no contempló ninguna prohibición, inhabilidad o incompatibilidad para suscribir contratos con </w:t>
      </w:r>
      <w:r w:rsidRPr="00E04191">
        <w:rPr>
          <w:rFonts w:ascii="Arial" w:hAnsi="Arial" w:cs="Arial"/>
          <w:color w:val="000000" w:themeColor="text1"/>
          <w:sz w:val="20"/>
          <w:szCs w:val="20"/>
        </w:rPr>
        <w:t>e</w:t>
      </w:r>
      <w:r w:rsidRPr="00E04191" w:rsidR="0007454E">
        <w:rPr>
          <w:rFonts w:ascii="Arial" w:hAnsi="Arial" w:cs="Arial"/>
          <w:color w:val="000000" w:themeColor="text1"/>
          <w:sz w:val="20"/>
          <w:szCs w:val="20"/>
        </w:rPr>
        <w:t xml:space="preserve">ntidades </w:t>
      </w:r>
      <w:r w:rsidRPr="00E04191">
        <w:rPr>
          <w:rFonts w:ascii="Arial" w:hAnsi="Arial" w:cs="Arial"/>
          <w:color w:val="000000" w:themeColor="text1"/>
          <w:sz w:val="20"/>
          <w:szCs w:val="20"/>
        </w:rPr>
        <w:t>p</w:t>
      </w:r>
      <w:r w:rsidRPr="00E04191" w:rsidR="0007454E">
        <w:rPr>
          <w:rFonts w:ascii="Arial" w:hAnsi="Arial" w:cs="Arial"/>
          <w:color w:val="000000" w:themeColor="text1"/>
          <w:sz w:val="20"/>
          <w:szCs w:val="20"/>
        </w:rPr>
        <w:t xml:space="preserve">úblicas que tenga origen o causa en las sanciones impuestas por las </w:t>
      </w:r>
      <w:r w:rsidRPr="00E04191">
        <w:rPr>
          <w:rFonts w:ascii="Arial" w:hAnsi="Arial" w:cs="Arial"/>
          <w:color w:val="000000" w:themeColor="text1"/>
          <w:sz w:val="20"/>
          <w:szCs w:val="20"/>
        </w:rPr>
        <w:t>a</w:t>
      </w:r>
      <w:r w:rsidRPr="00E04191" w:rsidR="0007454E">
        <w:rPr>
          <w:rFonts w:ascii="Arial" w:hAnsi="Arial" w:cs="Arial"/>
          <w:color w:val="000000" w:themeColor="text1"/>
          <w:sz w:val="20"/>
          <w:szCs w:val="20"/>
        </w:rPr>
        <w:t>utoridades</w:t>
      </w:r>
      <w:r w:rsidRPr="00E04191">
        <w:rPr>
          <w:rFonts w:ascii="Arial" w:hAnsi="Arial" w:cs="Arial"/>
          <w:color w:val="000000" w:themeColor="text1"/>
          <w:sz w:val="20"/>
          <w:szCs w:val="20"/>
        </w:rPr>
        <w:t xml:space="preserve"> de</w:t>
      </w:r>
      <w:r w:rsidRPr="00E04191" w:rsidR="0007454E">
        <w:rPr>
          <w:rFonts w:ascii="Arial" w:hAnsi="Arial" w:cs="Arial"/>
          <w:color w:val="000000" w:themeColor="text1"/>
          <w:sz w:val="20"/>
          <w:szCs w:val="20"/>
        </w:rPr>
        <w:t xml:space="preserve"> </w:t>
      </w:r>
      <w:r w:rsidRPr="00E04191">
        <w:rPr>
          <w:rFonts w:ascii="Arial" w:hAnsi="Arial" w:cs="Arial"/>
          <w:color w:val="000000" w:themeColor="text1"/>
          <w:sz w:val="20"/>
          <w:szCs w:val="20"/>
        </w:rPr>
        <w:t>t</w:t>
      </w:r>
      <w:r w:rsidRPr="00E04191" w:rsidR="0007454E">
        <w:rPr>
          <w:rFonts w:ascii="Arial" w:hAnsi="Arial" w:cs="Arial"/>
          <w:color w:val="000000" w:themeColor="text1"/>
          <w:sz w:val="20"/>
          <w:szCs w:val="20"/>
        </w:rPr>
        <w:t>ránsito a los infractores de los preceptos del ordenamiento jurídico que regulan las actividades de tránsito y transporte en el territorio nacional.</w:t>
      </w:r>
    </w:p>
    <w:p w:rsidRPr="00C024B3" w:rsidR="0007454E" w:rsidP="005A79FE" w:rsidRDefault="0007454E" w14:paraId="13B021D7" w14:textId="670EE043">
      <w:pPr>
        <w:spacing w:line="276" w:lineRule="auto"/>
        <w:jc w:val="both"/>
        <w:rPr>
          <w:rFonts w:ascii="Arial" w:hAnsi="Arial" w:cs="Arial"/>
          <w:color w:val="000000" w:themeColor="text1"/>
          <w:sz w:val="20"/>
          <w:szCs w:val="20"/>
        </w:rPr>
      </w:pPr>
    </w:p>
    <w:p w:rsidRPr="00C024B3" w:rsidR="0007454E" w:rsidP="005A79FE" w:rsidRDefault="0007454E" w14:paraId="40BE5C28" w14:textId="61E240FF">
      <w:pPr>
        <w:spacing w:line="276" w:lineRule="auto"/>
        <w:jc w:val="both"/>
        <w:rPr>
          <w:rFonts w:ascii="Arial" w:hAnsi="Arial" w:cs="Arial"/>
          <w:color w:val="000000" w:themeColor="text1"/>
          <w:sz w:val="20"/>
          <w:szCs w:val="20"/>
        </w:rPr>
      </w:pPr>
    </w:p>
    <w:p w:rsidRPr="00E04191" w:rsidR="005A79FE" w:rsidP="00FC0065" w:rsidRDefault="005A79FE" w14:paraId="23C1B978" w14:textId="55BD5697">
      <w:pPr>
        <w:pStyle w:val="Default"/>
        <w:rPr>
          <w:rFonts w:eastAsia="Calibri"/>
          <w:color w:val="000000" w:themeColor="text1"/>
          <w:sz w:val="20"/>
        </w:rPr>
      </w:pPr>
      <w:r w:rsidRPr="00E04191">
        <w:rPr>
          <w:color w:val="000000" w:themeColor="text1"/>
          <w:sz w:val="22"/>
        </w:rPr>
        <w:t xml:space="preserve">Bogotá D.C., </w:t>
      </w:r>
      <w:r w:rsidRPr="00E04191" w:rsidR="00ED319B">
        <w:rPr>
          <w:b/>
          <w:bCs/>
          <w:color w:val="000000" w:themeColor="text1"/>
          <w:sz w:val="22"/>
        </w:rPr>
        <w:t>16/04/2020</w:t>
      </w:r>
      <w:r w:rsidR="00FC0065">
        <w:t xml:space="preserve"> </w:t>
      </w:r>
      <w:r w:rsidR="00FC0065">
        <w:rPr>
          <w:b/>
          <w:bCs/>
          <w:sz w:val="22"/>
          <w:szCs w:val="22"/>
        </w:rPr>
        <w:t>Hora 10:46:25s</w:t>
      </w:r>
    </w:p>
    <w:p w:rsidRPr="00E04191" w:rsidR="005A79FE" w:rsidP="005A79FE" w:rsidRDefault="005A79FE" w14:paraId="59F5087C" w14:textId="682F6C8E">
      <w:pPr>
        <w:jc w:val="right"/>
        <w:rPr>
          <w:rFonts w:ascii="Arial" w:hAnsi="Arial" w:cs="Arial"/>
          <w:b/>
          <w:color w:val="000000" w:themeColor="text1"/>
          <w:sz w:val="22"/>
        </w:rPr>
      </w:pPr>
      <w:proofErr w:type="spellStart"/>
      <w:r w:rsidRPr="00E04191">
        <w:rPr>
          <w:rFonts w:ascii="Arial" w:hAnsi="Arial" w:cs="Arial"/>
          <w:b/>
          <w:color w:val="000000" w:themeColor="text1"/>
          <w:sz w:val="22"/>
        </w:rPr>
        <w:t>N°</w:t>
      </w:r>
      <w:proofErr w:type="spellEnd"/>
      <w:r w:rsidRPr="00E04191">
        <w:rPr>
          <w:rFonts w:ascii="Arial" w:hAnsi="Arial" w:cs="Arial"/>
          <w:b/>
          <w:color w:val="000000" w:themeColor="text1"/>
          <w:sz w:val="22"/>
        </w:rPr>
        <w:t xml:space="preserve"> Radicado: </w:t>
      </w:r>
      <w:r w:rsidRPr="00E04191" w:rsidR="00E04191">
        <w:rPr>
          <w:rFonts w:ascii="Arial" w:hAnsi="Arial" w:cs="Arial"/>
          <w:b/>
          <w:color w:val="000000" w:themeColor="text1"/>
          <w:sz w:val="22"/>
        </w:rPr>
        <w:t>2202013000002735</w:t>
      </w:r>
    </w:p>
    <w:p w:rsidRPr="00E04191" w:rsidR="005A79FE" w:rsidP="005A79FE" w:rsidRDefault="005A79FE" w14:paraId="2853595C" w14:textId="77777777">
      <w:pPr>
        <w:tabs>
          <w:tab w:val="left" w:pos="3374"/>
        </w:tabs>
        <w:rPr>
          <w:rFonts w:ascii="Arial" w:hAnsi="Arial" w:eastAsia="Calibri" w:cs="Arial"/>
          <w:color w:val="000000" w:themeColor="text1"/>
          <w:sz w:val="22"/>
        </w:rPr>
      </w:pPr>
      <w:r w:rsidRPr="00E04191">
        <w:rPr>
          <w:rFonts w:ascii="Arial" w:hAnsi="Arial" w:eastAsia="Calibri" w:cs="Arial"/>
          <w:color w:val="000000" w:themeColor="text1"/>
          <w:sz w:val="22"/>
        </w:rPr>
        <w:tab/>
      </w:r>
    </w:p>
    <w:p w:rsidRPr="00E04191" w:rsidR="005A79FE" w:rsidP="005A79FE" w:rsidRDefault="005A79FE" w14:paraId="2097EFDF" w14:textId="089529EE">
      <w:pPr>
        <w:rPr>
          <w:rFonts w:ascii="Arial" w:hAnsi="Arial" w:eastAsia="Calibri" w:cs="Arial"/>
          <w:color w:val="000000" w:themeColor="text1"/>
          <w:sz w:val="22"/>
        </w:rPr>
      </w:pPr>
      <w:r w:rsidRPr="00E04191">
        <w:rPr>
          <w:rFonts w:ascii="Arial" w:hAnsi="Arial" w:eastAsia="Calibri" w:cs="Arial"/>
          <w:color w:val="000000" w:themeColor="text1"/>
          <w:sz w:val="22"/>
        </w:rPr>
        <w:t>Señor</w:t>
      </w:r>
    </w:p>
    <w:p w:rsidRPr="00E04191" w:rsidR="005A79FE" w:rsidP="005A79FE" w:rsidRDefault="00F46812" w14:paraId="7FDA027E" w14:textId="482B1386">
      <w:pPr>
        <w:rPr>
          <w:rFonts w:ascii="Arial" w:hAnsi="Arial" w:eastAsia="Calibri" w:cs="Arial"/>
          <w:b/>
          <w:color w:val="000000" w:themeColor="text1"/>
          <w:sz w:val="22"/>
        </w:rPr>
      </w:pPr>
      <w:r w:rsidRPr="00E04191">
        <w:rPr>
          <w:rFonts w:ascii="Arial" w:hAnsi="Arial" w:eastAsia="Calibri" w:cs="Arial"/>
          <w:b/>
          <w:color w:val="000000" w:themeColor="text1"/>
          <w:sz w:val="22"/>
        </w:rPr>
        <w:t>ALFRED JHOSSEF GARAY</w:t>
      </w:r>
    </w:p>
    <w:p w:rsidRPr="00E04191" w:rsidR="005A79FE" w:rsidP="005A79FE" w:rsidRDefault="005A79FE" w14:paraId="699E9CB9" w14:textId="77777777">
      <w:pPr>
        <w:rPr>
          <w:rFonts w:ascii="Arial" w:hAnsi="Arial" w:eastAsia="Calibri" w:cs="Arial"/>
          <w:color w:val="000000" w:themeColor="text1"/>
          <w:sz w:val="22"/>
        </w:rPr>
      </w:pPr>
      <w:r w:rsidRPr="00E04191">
        <w:rPr>
          <w:rFonts w:ascii="Arial" w:hAnsi="Arial" w:eastAsia="Calibri" w:cs="Arial"/>
          <w:color w:val="000000" w:themeColor="text1"/>
          <w:sz w:val="22"/>
        </w:rPr>
        <w:t>Ciudad</w:t>
      </w:r>
    </w:p>
    <w:p w:rsidRPr="00E04191" w:rsidR="005A79FE" w:rsidP="005A79FE" w:rsidRDefault="005A79FE" w14:paraId="04EF5647" w14:textId="5FF23F78">
      <w:pPr>
        <w:jc w:val="center"/>
        <w:rPr>
          <w:rFonts w:ascii="Arial" w:hAnsi="Arial" w:eastAsia="Calibri" w:cs="Arial"/>
          <w:b/>
          <w:color w:val="000000" w:themeColor="text1"/>
          <w:sz w:val="22"/>
        </w:rPr>
      </w:pPr>
      <w:r w:rsidRPr="00E04191">
        <w:rPr>
          <w:rFonts w:ascii="Arial" w:hAnsi="Arial" w:eastAsia="Calibri" w:cs="Arial"/>
          <w:b/>
          <w:color w:val="000000" w:themeColor="text1"/>
          <w:sz w:val="22"/>
        </w:rPr>
        <w:t xml:space="preserve">Concepto C ─ </w:t>
      </w:r>
      <w:r w:rsidRPr="00E04191" w:rsidR="005C1A9C">
        <w:rPr>
          <w:rFonts w:ascii="Arial" w:hAnsi="Arial" w:eastAsia="Calibri" w:cs="Arial"/>
          <w:b/>
          <w:color w:val="000000" w:themeColor="text1"/>
          <w:sz w:val="22"/>
        </w:rPr>
        <w:t>239</w:t>
      </w:r>
      <w:r w:rsidRPr="00E04191">
        <w:rPr>
          <w:rFonts w:ascii="Arial" w:hAnsi="Arial" w:eastAsia="Calibri" w:cs="Arial"/>
          <w:b/>
          <w:color w:val="000000" w:themeColor="text1"/>
          <w:sz w:val="22"/>
        </w:rPr>
        <w:t xml:space="preserve"> de 2020</w:t>
      </w:r>
    </w:p>
    <w:p w:rsidRPr="00E04191" w:rsidR="005A79FE" w:rsidP="005A79FE" w:rsidRDefault="005A79FE" w14:paraId="6CCD98F0"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04191" w:rsidR="00E04191" w:rsidTr="00266042" w14:paraId="21699201" w14:textId="77777777">
        <w:tc>
          <w:tcPr>
            <w:tcW w:w="2689" w:type="dxa"/>
            <w:hideMark/>
          </w:tcPr>
          <w:p w:rsidRPr="00E04191" w:rsidR="005A79FE" w:rsidP="00266042" w:rsidRDefault="005A79FE" w14:paraId="26712367" w14:textId="77777777">
            <w:pPr>
              <w:rPr>
                <w:rFonts w:ascii="Arial" w:hAnsi="Arial" w:eastAsia="Calibri" w:cs="Arial"/>
                <w:color w:val="000000" w:themeColor="text1"/>
                <w:sz w:val="22"/>
              </w:rPr>
            </w:pPr>
            <w:r w:rsidRPr="00E04191">
              <w:rPr>
                <w:rFonts w:ascii="Arial" w:hAnsi="Arial" w:eastAsia="Calibri" w:cs="Arial"/>
                <w:b/>
                <w:color w:val="000000" w:themeColor="text1"/>
                <w:sz w:val="22"/>
              </w:rPr>
              <w:t>Temas:</w:t>
            </w:r>
            <w:r w:rsidRPr="00E04191">
              <w:rPr>
                <w:rFonts w:ascii="Arial" w:hAnsi="Arial" w:eastAsia="Calibri" w:cs="Arial"/>
                <w:color w:val="000000" w:themeColor="text1"/>
                <w:sz w:val="22"/>
              </w:rPr>
              <w:t xml:space="preserve">           </w:t>
            </w:r>
          </w:p>
          <w:p w:rsidRPr="00E04191" w:rsidR="005A79FE" w:rsidP="00266042" w:rsidRDefault="005A79FE" w14:paraId="5D67F5C4" w14:textId="77777777">
            <w:pPr>
              <w:rPr>
                <w:rFonts w:ascii="Arial" w:hAnsi="Arial" w:eastAsia="Calibri" w:cs="Arial"/>
                <w:color w:val="000000" w:themeColor="text1"/>
                <w:sz w:val="22"/>
              </w:rPr>
            </w:pPr>
            <w:r w:rsidRPr="00E04191">
              <w:rPr>
                <w:rFonts w:ascii="Arial" w:hAnsi="Arial" w:eastAsia="Calibri" w:cs="Arial"/>
                <w:color w:val="000000" w:themeColor="text1"/>
                <w:sz w:val="22"/>
              </w:rPr>
              <w:t xml:space="preserve">                           </w:t>
            </w:r>
          </w:p>
        </w:tc>
        <w:tc>
          <w:tcPr>
            <w:tcW w:w="6237" w:type="dxa"/>
            <w:hideMark/>
          </w:tcPr>
          <w:p w:rsidRPr="00E04191" w:rsidR="00FC6A37" w:rsidP="00FC6A37" w:rsidRDefault="00FC6A37" w14:paraId="1B3CD18D" w14:textId="2D60CB9D">
            <w:pPr>
              <w:pStyle w:val="Sinespaciado"/>
              <w:jc w:val="both"/>
              <w:rPr>
                <w:rFonts w:ascii="Arial" w:hAnsi="Arial" w:cs="Arial"/>
                <w:color w:val="000000" w:themeColor="text1"/>
                <w:sz w:val="22"/>
              </w:rPr>
            </w:pPr>
            <w:r w:rsidRPr="00E04191">
              <w:rPr>
                <w:rFonts w:ascii="Arial" w:hAnsi="Arial" w:cs="Arial"/>
                <w:color w:val="000000" w:themeColor="text1"/>
                <w:sz w:val="22"/>
              </w:rPr>
              <w:t xml:space="preserve">INHABILIDADES ─ Régimen de inhabilidades ─ Limitación ─ Capacidad jurídica ─ Finalidad ─ Competencia para establecerlas ─ Principio de legalidad </w:t>
            </w:r>
            <w:r w:rsidRPr="00E04191">
              <w:rPr>
                <w:rFonts w:ascii="Arial" w:hAnsi="Arial" w:eastAsia="Times New Roman" w:cs="Arial"/>
                <w:color w:val="000000" w:themeColor="text1"/>
                <w:sz w:val="22"/>
                <w:shd w:val="clear" w:color="auto" w:fill="FFFFFF"/>
                <w:lang w:val="es-CO" w:eastAsia="es-ES_tradnl"/>
              </w:rPr>
              <w:t xml:space="preserve">─ Clases ─ Distinción </w:t>
            </w:r>
            <w:r w:rsidRPr="00E04191">
              <w:rPr>
                <w:rFonts w:ascii="Arial" w:hAnsi="Arial" w:cs="Arial"/>
                <w:color w:val="000000" w:themeColor="text1"/>
                <w:sz w:val="22"/>
              </w:rPr>
              <w:t xml:space="preserve">─ Prohibiciones ─ Procedimientos de selección ─ Contratar </w:t>
            </w:r>
            <w:r w:rsidRPr="00E04191">
              <w:rPr>
                <w:rFonts w:ascii="Arial" w:hAnsi="Arial" w:eastAsia="Calibri" w:cs="Arial"/>
                <w:color w:val="000000" w:themeColor="text1"/>
                <w:sz w:val="22"/>
                <w:lang w:val="es-ES_tradnl"/>
              </w:rPr>
              <w:t>─ Garantía ─ Principios función administrativa ─ Instrumento contra corrupción</w:t>
            </w:r>
            <w:r w:rsidRPr="00E04191" w:rsidR="008B3030">
              <w:rPr>
                <w:rFonts w:ascii="Arial" w:hAnsi="Arial" w:eastAsia="Calibri" w:cs="Arial"/>
                <w:color w:val="000000" w:themeColor="text1"/>
                <w:sz w:val="22"/>
                <w:lang w:val="es-ES_tradnl"/>
              </w:rPr>
              <w:t xml:space="preserve"> ─ Principio de legalidad ─ Interpretación </w:t>
            </w:r>
            <w:r w:rsidRPr="00E04191" w:rsidR="008B3030">
              <w:rPr>
                <w:rFonts w:ascii="Arial" w:hAnsi="Arial" w:eastAsia="Calibri" w:cs="Arial"/>
                <w:color w:val="000000" w:themeColor="text1"/>
                <w:sz w:val="22"/>
                <w:lang w:val="es-ES_tradnl"/>
              </w:rPr>
              <w:lastRenderedPageBreak/>
              <w:t xml:space="preserve">restrictiva ─ Principio </w:t>
            </w:r>
            <w:r w:rsidRPr="00E04191" w:rsidR="008B3030">
              <w:rPr>
                <w:rFonts w:ascii="Arial" w:hAnsi="Arial" w:eastAsia="Calibri" w:cs="Arial"/>
                <w:i/>
                <w:iCs/>
                <w:color w:val="000000" w:themeColor="text1"/>
                <w:sz w:val="22"/>
                <w:lang w:val="es-ES_tradnl"/>
              </w:rPr>
              <w:t xml:space="preserve">pro </w:t>
            </w:r>
            <w:proofErr w:type="spellStart"/>
            <w:r w:rsidRPr="00E04191" w:rsidR="008B3030">
              <w:rPr>
                <w:rFonts w:ascii="Arial" w:hAnsi="Arial" w:eastAsia="Calibri" w:cs="Arial"/>
                <w:i/>
                <w:iCs/>
                <w:color w:val="000000" w:themeColor="text1"/>
                <w:sz w:val="22"/>
                <w:lang w:val="es-ES_tradnl"/>
              </w:rPr>
              <w:t>libertate</w:t>
            </w:r>
            <w:proofErr w:type="spellEnd"/>
            <w:r w:rsidRPr="00E04191" w:rsidR="008B3030">
              <w:rPr>
                <w:rFonts w:ascii="Arial" w:hAnsi="Arial" w:eastAsia="Calibri" w:cs="Arial"/>
                <w:i/>
                <w:iCs/>
                <w:color w:val="000000" w:themeColor="text1"/>
                <w:sz w:val="22"/>
                <w:lang w:val="es-ES_tradnl"/>
              </w:rPr>
              <w:t xml:space="preserve"> </w:t>
            </w:r>
            <w:r w:rsidRPr="00E04191" w:rsidR="008B3030">
              <w:rPr>
                <w:rFonts w:ascii="Arial" w:hAnsi="Arial" w:eastAsia="Calibri" w:cs="Arial"/>
                <w:color w:val="000000" w:themeColor="text1"/>
                <w:sz w:val="22"/>
                <w:lang w:val="es-ES_tradnl"/>
              </w:rPr>
              <w:t xml:space="preserve">/ </w:t>
            </w:r>
            <w:r w:rsidRPr="00E04191" w:rsidR="008B3030">
              <w:rPr>
                <w:rFonts w:ascii="Arial" w:hAnsi="Arial" w:cs="Arial"/>
                <w:color w:val="000000" w:themeColor="text1"/>
                <w:sz w:val="22"/>
              </w:rPr>
              <w:t>CÓDIGO NACIONAL DE TRÁNSITO ─ Libertad de circulación ─ Finalidad ─ Régimen sancionatorio ─ Inhabilidades e incompatibilidades ─ Ley 769 de 2002</w:t>
            </w:r>
          </w:p>
          <w:p w:rsidRPr="00E04191" w:rsidR="005A79FE" w:rsidP="00266042" w:rsidRDefault="005A79FE" w14:paraId="784C47C0" w14:textId="62100280">
            <w:pPr>
              <w:jc w:val="both"/>
              <w:rPr>
                <w:rFonts w:ascii="Arial" w:hAnsi="Arial" w:eastAsia="Calibri" w:cs="Arial"/>
                <w:color w:val="000000" w:themeColor="text1"/>
                <w:sz w:val="22"/>
              </w:rPr>
            </w:pPr>
          </w:p>
        </w:tc>
      </w:tr>
      <w:tr w:rsidRPr="00E04191" w:rsidR="005A79FE" w:rsidTr="00266042" w14:paraId="7C0A7D18" w14:textId="77777777">
        <w:tc>
          <w:tcPr>
            <w:tcW w:w="2689" w:type="dxa"/>
          </w:tcPr>
          <w:p w:rsidRPr="00E04191" w:rsidR="005A79FE" w:rsidP="00266042" w:rsidRDefault="005A79FE" w14:paraId="6A12F093" w14:textId="77777777">
            <w:pPr>
              <w:rPr>
                <w:rFonts w:ascii="Arial" w:hAnsi="Arial" w:eastAsia="Calibri" w:cs="Arial"/>
                <w:b/>
                <w:color w:val="000000" w:themeColor="text1"/>
                <w:sz w:val="22"/>
              </w:rPr>
            </w:pPr>
            <w:r w:rsidRPr="00E04191">
              <w:rPr>
                <w:rFonts w:ascii="Arial" w:hAnsi="Arial" w:eastAsia="Calibri" w:cs="Arial"/>
                <w:b/>
                <w:color w:val="000000" w:themeColor="text1"/>
                <w:sz w:val="22"/>
              </w:rPr>
              <w:lastRenderedPageBreak/>
              <w:t>Radicación:</w:t>
            </w:r>
            <w:r w:rsidRPr="00E04191">
              <w:rPr>
                <w:rFonts w:ascii="Arial" w:hAnsi="Arial" w:eastAsia="Calibri" w:cs="Arial"/>
                <w:color w:val="000000" w:themeColor="text1"/>
                <w:sz w:val="22"/>
              </w:rPr>
              <w:t xml:space="preserve">                              </w:t>
            </w:r>
          </w:p>
        </w:tc>
        <w:tc>
          <w:tcPr>
            <w:tcW w:w="6237" w:type="dxa"/>
          </w:tcPr>
          <w:p w:rsidRPr="00E04191" w:rsidR="005A79FE" w:rsidP="00266042" w:rsidRDefault="005A79FE" w14:paraId="73A42ACA" w14:textId="5D50FFED">
            <w:pPr>
              <w:jc w:val="both"/>
              <w:rPr>
                <w:rFonts w:ascii="Arial" w:hAnsi="Arial" w:eastAsia="Calibri" w:cs="Arial"/>
                <w:color w:val="000000" w:themeColor="text1"/>
                <w:sz w:val="22"/>
              </w:rPr>
            </w:pPr>
            <w:r w:rsidRPr="00E04191">
              <w:rPr>
                <w:rFonts w:ascii="Arial" w:hAnsi="Arial" w:eastAsia="Calibri" w:cs="Arial"/>
                <w:color w:val="000000" w:themeColor="text1"/>
                <w:sz w:val="22"/>
              </w:rPr>
              <w:t>Respuesta a consulta # 42020</w:t>
            </w:r>
            <w:r w:rsidRPr="00E04191" w:rsidR="005C1A9C">
              <w:rPr>
                <w:rFonts w:ascii="Arial" w:hAnsi="Arial" w:eastAsia="Calibri" w:cs="Arial"/>
                <w:color w:val="000000" w:themeColor="text1"/>
                <w:sz w:val="22"/>
              </w:rPr>
              <w:t>13000001873</w:t>
            </w:r>
          </w:p>
        </w:tc>
      </w:tr>
    </w:tbl>
    <w:p w:rsidRPr="00E04191" w:rsidR="005A79FE" w:rsidP="005A79FE" w:rsidRDefault="005A79FE" w14:paraId="396DE958" w14:textId="77777777">
      <w:pPr>
        <w:jc w:val="both"/>
        <w:rPr>
          <w:rFonts w:ascii="Arial" w:hAnsi="Arial" w:eastAsia="Calibri" w:cs="Arial"/>
          <w:color w:val="000000" w:themeColor="text1"/>
          <w:sz w:val="22"/>
        </w:rPr>
      </w:pPr>
    </w:p>
    <w:p w:rsidRPr="00E04191" w:rsidR="005A79FE" w:rsidP="005A79FE" w:rsidRDefault="005A79FE" w14:paraId="489DB6E6" w14:textId="77777777">
      <w:pPr>
        <w:rPr>
          <w:rFonts w:ascii="Arial" w:hAnsi="Arial" w:eastAsia="Calibri" w:cs="Arial"/>
          <w:color w:val="000000" w:themeColor="text1"/>
          <w:sz w:val="22"/>
        </w:rPr>
      </w:pPr>
    </w:p>
    <w:p w:rsidRPr="00E04191" w:rsidR="005A79FE" w:rsidP="005A79FE" w:rsidRDefault="005A79FE" w14:paraId="657E7EE7" w14:textId="522BA5EB">
      <w:pPr>
        <w:rPr>
          <w:rFonts w:ascii="Arial" w:hAnsi="Arial" w:eastAsia="Calibri" w:cs="Arial"/>
          <w:color w:val="000000" w:themeColor="text1"/>
          <w:sz w:val="22"/>
        </w:rPr>
      </w:pPr>
      <w:r w:rsidRPr="00E04191">
        <w:rPr>
          <w:rFonts w:ascii="Arial" w:hAnsi="Arial" w:eastAsia="Calibri" w:cs="Arial"/>
          <w:color w:val="000000" w:themeColor="text1"/>
          <w:sz w:val="22"/>
        </w:rPr>
        <w:t>Estimado</w:t>
      </w:r>
      <w:r w:rsidRPr="00E04191" w:rsidR="00F46812">
        <w:rPr>
          <w:rFonts w:ascii="Arial" w:hAnsi="Arial" w:eastAsia="Calibri" w:cs="Arial"/>
          <w:color w:val="000000" w:themeColor="text1"/>
          <w:sz w:val="22"/>
        </w:rPr>
        <w:t xml:space="preserve"> señor Garay,</w:t>
      </w:r>
    </w:p>
    <w:p w:rsidRPr="00E04191" w:rsidR="005A79FE" w:rsidP="005A79FE" w:rsidRDefault="005A79FE" w14:paraId="40D74C98" w14:textId="77777777">
      <w:pPr>
        <w:rPr>
          <w:rFonts w:ascii="Arial" w:hAnsi="Arial" w:eastAsia="Calibri" w:cs="Arial"/>
          <w:color w:val="000000" w:themeColor="text1"/>
          <w:sz w:val="22"/>
        </w:rPr>
      </w:pPr>
    </w:p>
    <w:p w:rsidRPr="00E04191" w:rsidR="005A79FE" w:rsidP="005A79FE" w:rsidRDefault="005A79FE" w14:paraId="1EA2338B" w14:textId="11730BB6">
      <w:pPr>
        <w:spacing w:line="276" w:lineRule="auto"/>
        <w:ind w:right="49"/>
        <w:jc w:val="both"/>
        <w:rPr>
          <w:rFonts w:ascii="Arial" w:hAnsi="Arial" w:eastAsia="Calibri" w:cs="Arial"/>
          <w:color w:val="000000" w:themeColor="text1"/>
          <w:sz w:val="22"/>
        </w:rPr>
      </w:pPr>
      <w:r w:rsidRPr="00E04191">
        <w:rPr>
          <w:rFonts w:ascii="Arial" w:hAnsi="Arial" w:eastAsia="Calibri" w:cs="Arial"/>
          <w:color w:val="000000" w:themeColor="text1"/>
          <w:sz w:val="22"/>
        </w:rPr>
        <w:t xml:space="preserve">La Agencia Nacional de Contratación Pública ―Colombia Compra Eficiente― responde su consulta del </w:t>
      </w:r>
      <w:r w:rsidRPr="00E04191" w:rsidR="00661FAC">
        <w:rPr>
          <w:rFonts w:ascii="Arial" w:hAnsi="Arial" w:eastAsia="Calibri" w:cs="Arial"/>
          <w:color w:val="000000" w:themeColor="text1"/>
          <w:sz w:val="22"/>
        </w:rPr>
        <w:t>12</w:t>
      </w:r>
      <w:r w:rsidRPr="00E04191">
        <w:rPr>
          <w:rFonts w:ascii="Arial" w:hAnsi="Arial" w:eastAsia="Calibri" w:cs="Arial"/>
          <w:color w:val="000000" w:themeColor="text1"/>
          <w:sz w:val="22"/>
        </w:rPr>
        <w:t xml:space="preserve"> de</w:t>
      </w:r>
      <w:r w:rsidRPr="00E04191" w:rsidR="00661FAC">
        <w:rPr>
          <w:rFonts w:ascii="Arial" w:hAnsi="Arial" w:eastAsia="Calibri" w:cs="Arial"/>
          <w:color w:val="000000" w:themeColor="text1"/>
          <w:sz w:val="22"/>
        </w:rPr>
        <w:t xml:space="preserve"> marzo</w:t>
      </w:r>
      <w:r w:rsidRPr="00E04191">
        <w:rPr>
          <w:rFonts w:ascii="Arial" w:hAnsi="Arial" w:eastAsia="Calibri" w:cs="Arial"/>
          <w:color w:val="000000" w:themeColor="text1"/>
          <w:sz w:val="22"/>
        </w:rPr>
        <w:t xml:space="preserve"> de 20</w:t>
      </w:r>
      <w:r w:rsidRPr="00E04191" w:rsidR="00661FAC">
        <w:rPr>
          <w:rFonts w:ascii="Arial" w:hAnsi="Arial" w:eastAsia="Calibri" w:cs="Arial"/>
          <w:color w:val="000000" w:themeColor="text1"/>
          <w:sz w:val="22"/>
        </w:rPr>
        <w:t>20</w:t>
      </w:r>
      <w:r w:rsidRPr="00E04191">
        <w:rPr>
          <w:rFonts w:ascii="Arial" w:hAnsi="Arial" w:eastAsia="Calibri" w:cs="Arial"/>
          <w:color w:val="000000" w:themeColor="text1"/>
          <w:sz w:val="22"/>
        </w:rPr>
        <w:t xml:space="preserve">, en ejercicio de la competencia otorgada por el numeral 8 del artículo 11 y el numeral 5 del artículo 3 del Decreto Ley 4170 de 2011. </w:t>
      </w:r>
    </w:p>
    <w:p w:rsidRPr="00E04191" w:rsidR="005A79FE" w:rsidP="005A79FE" w:rsidRDefault="005A79FE" w14:paraId="4FA02A8B" w14:textId="77777777">
      <w:pPr>
        <w:spacing w:line="276" w:lineRule="auto"/>
        <w:jc w:val="both"/>
        <w:rPr>
          <w:rFonts w:ascii="Arial" w:hAnsi="Arial" w:eastAsia="Calibri" w:cs="Arial"/>
          <w:color w:val="000000" w:themeColor="text1"/>
          <w:sz w:val="22"/>
        </w:rPr>
      </w:pPr>
    </w:p>
    <w:p w:rsidRPr="00E04191" w:rsidR="005A79FE" w:rsidP="005A79FE" w:rsidRDefault="005A79FE" w14:paraId="4E8D0889"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E04191">
        <w:rPr>
          <w:rFonts w:ascii="Arial" w:hAnsi="Arial" w:eastAsia="Calibri" w:cs="Arial"/>
          <w:b/>
          <w:color w:val="000000" w:themeColor="text1"/>
          <w:sz w:val="22"/>
        </w:rPr>
        <w:t xml:space="preserve">Problemas planteados </w:t>
      </w:r>
    </w:p>
    <w:p w:rsidRPr="00E04191" w:rsidR="005A79FE" w:rsidP="005A79FE" w:rsidRDefault="005A79FE" w14:paraId="138D5B25" w14:textId="77777777">
      <w:pPr>
        <w:tabs>
          <w:tab w:val="left" w:pos="426"/>
        </w:tabs>
        <w:spacing w:line="276" w:lineRule="auto"/>
        <w:jc w:val="both"/>
        <w:rPr>
          <w:rFonts w:ascii="Arial" w:hAnsi="Arial" w:eastAsia="Calibri" w:cs="Arial"/>
          <w:b/>
          <w:color w:val="000000" w:themeColor="text1"/>
          <w:sz w:val="22"/>
        </w:rPr>
      </w:pPr>
    </w:p>
    <w:p w:rsidRPr="00E04191" w:rsidR="005A79FE" w:rsidP="005A79FE" w:rsidRDefault="005A79FE" w14:paraId="30EE5915" w14:textId="3F0C5283">
      <w:pPr>
        <w:tabs>
          <w:tab w:val="left" w:pos="426"/>
        </w:tabs>
        <w:spacing w:line="276" w:lineRule="auto"/>
        <w:jc w:val="both"/>
        <w:rPr>
          <w:rFonts w:ascii="Arial" w:hAnsi="Arial" w:eastAsia="Calibri" w:cs="Arial"/>
          <w:color w:val="000000" w:themeColor="text1"/>
          <w:sz w:val="22"/>
        </w:rPr>
      </w:pPr>
      <w:r w:rsidRPr="00E04191">
        <w:rPr>
          <w:rFonts w:ascii="Arial" w:hAnsi="Arial" w:eastAsia="Calibri" w:cs="Arial"/>
          <w:color w:val="000000" w:themeColor="text1"/>
          <w:sz w:val="22"/>
        </w:rPr>
        <w:t xml:space="preserve">Usted realiza la siguiente pregunta: i) </w:t>
      </w:r>
      <w:r w:rsidRPr="00E04191" w:rsidR="00964178">
        <w:rPr>
          <w:rFonts w:ascii="Arial" w:hAnsi="Arial" w:eastAsia="Calibri" w:cs="Arial"/>
          <w:color w:val="000000" w:themeColor="text1"/>
          <w:sz w:val="22"/>
        </w:rPr>
        <w:t>«</w:t>
      </w:r>
      <w:r w:rsidRPr="00E04191">
        <w:rPr>
          <w:rFonts w:ascii="Arial" w:hAnsi="Arial" w:eastAsia="Calibri" w:cs="Arial"/>
          <w:color w:val="000000" w:themeColor="text1"/>
          <w:sz w:val="22"/>
        </w:rPr>
        <w:t>¿</w:t>
      </w:r>
      <w:r w:rsidRPr="00E04191" w:rsidR="00964178">
        <w:rPr>
          <w:rFonts w:ascii="Arial" w:hAnsi="Arial" w:eastAsia="Calibri" w:cs="Arial"/>
          <w:color w:val="000000" w:themeColor="text1"/>
          <w:sz w:val="22"/>
        </w:rPr>
        <w:t xml:space="preserve">Existe alguna prohibición, inhabilidad o incompatibilidad para contratar con una persona que tiene multas de </w:t>
      </w:r>
      <w:proofErr w:type="spellStart"/>
      <w:r w:rsidRPr="00E04191" w:rsidR="00964178">
        <w:rPr>
          <w:rFonts w:ascii="Arial" w:hAnsi="Arial" w:eastAsia="Calibri" w:cs="Arial"/>
          <w:color w:val="000000" w:themeColor="text1"/>
          <w:sz w:val="22"/>
        </w:rPr>
        <w:t>transito</w:t>
      </w:r>
      <w:proofErr w:type="spellEnd"/>
      <w:r w:rsidRPr="00E04191" w:rsidR="00964178">
        <w:rPr>
          <w:rFonts w:ascii="Arial" w:hAnsi="Arial" w:eastAsia="Calibri" w:cs="Arial"/>
          <w:color w:val="000000" w:themeColor="text1"/>
          <w:sz w:val="22"/>
        </w:rPr>
        <w:t xml:space="preserve"> </w:t>
      </w:r>
      <w:r w:rsidRPr="00E04191" w:rsidR="000432D7">
        <w:rPr>
          <w:rFonts w:ascii="Arial" w:hAnsi="Arial" w:eastAsia="Calibri" w:cs="Arial"/>
          <w:color w:val="000000" w:themeColor="text1"/>
          <w:sz w:val="22"/>
        </w:rPr>
        <w:t>(sic)</w:t>
      </w:r>
      <w:r w:rsidRPr="00E04191" w:rsidR="00964178">
        <w:rPr>
          <w:rFonts w:ascii="Arial" w:hAnsi="Arial" w:eastAsia="Calibri" w:cs="Arial"/>
          <w:color w:val="000000" w:themeColor="text1"/>
          <w:sz w:val="22"/>
        </w:rPr>
        <w:t>?»</w:t>
      </w:r>
    </w:p>
    <w:p w:rsidRPr="00E04191" w:rsidR="005A79FE" w:rsidP="005A79FE" w:rsidRDefault="005A79FE" w14:paraId="42DC4EC6" w14:textId="77777777">
      <w:pPr>
        <w:tabs>
          <w:tab w:val="left" w:pos="426"/>
        </w:tabs>
        <w:spacing w:line="276" w:lineRule="auto"/>
        <w:jc w:val="both"/>
        <w:rPr>
          <w:rFonts w:ascii="Arial" w:hAnsi="Arial" w:eastAsia="Calibri" w:cs="Arial"/>
          <w:color w:val="000000" w:themeColor="text1"/>
          <w:sz w:val="22"/>
        </w:rPr>
      </w:pPr>
    </w:p>
    <w:p w:rsidRPr="00E04191" w:rsidR="005A79FE" w:rsidP="005A79FE" w:rsidRDefault="005A79FE" w14:paraId="18C6DB19" w14:textId="77777777">
      <w:pPr>
        <w:pStyle w:val="Prrafodelista"/>
        <w:numPr>
          <w:ilvl w:val="0"/>
          <w:numId w:val="6"/>
        </w:numPr>
        <w:tabs>
          <w:tab w:val="left" w:pos="426"/>
        </w:tabs>
        <w:spacing w:line="276" w:lineRule="auto"/>
        <w:ind w:left="284" w:hanging="284"/>
        <w:jc w:val="both"/>
        <w:rPr>
          <w:rFonts w:ascii="Arial" w:hAnsi="Arial" w:eastAsia="Calibri" w:cs="Arial"/>
          <w:b/>
          <w:color w:val="000000" w:themeColor="text1"/>
          <w:sz w:val="22"/>
        </w:rPr>
      </w:pPr>
      <w:r w:rsidRPr="00E04191">
        <w:rPr>
          <w:rFonts w:ascii="Arial" w:hAnsi="Arial" w:eastAsia="Calibri" w:cs="Arial"/>
          <w:b/>
          <w:color w:val="000000" w:themeColor="text1"/>
          <w:sz w:val="22"/>
        </w:rPr>
        <w:t>Consideraciones</w:t>
      </w:r>
    </w:p>
    <w:p w:rsidRPr="00E04191" w:rsidR="005A79FE" w:rsidP="005A79FE" w:rsidRDefault="005A79FE" w14:paraId="1FD00768" w14:textId="3412C60C">
      <w:pPr>
        <w:spacing w:before="120" w:line="276" w:lineRule="auto"/>
        <w:jc w:val="both"/>
        <w:rPr>
          <w:rFonts w:ascii="Arial" w:hAnsi="Arial" w:eastAsia="Calibri" w:cs="Arial"/>
          <w:color w:val="000000" w:themeColor="text1"/>
          <w:sz w:val="22"/>
        </w:rPr>
      </w:pPr>
      <w:r w:rsidRPr="00E04191">
        <w:rPr>
          <w:rFonts w:ascii="Arial" w:hAnsi="Arial" w:cs="Arial"/>
          <w:color w:val="000000" w:themeColor="text1"/>
          <w:sz w:val="22"/>
        </w:rPr>
        <w:t xml:space="preserve">La Agencia Nacional de Contratación Pública ― Colombia Compra Eficiente </w:t>
      </w:r>
      <w:r w:rsidRPr="00E04191">
        <w:rPr>
          <w:rFonts w:ascii="Arial" w:hAnsi="Arial" w:eastAsia="Calibri" w:cs="Arial"/>
          <w:color w:val="000000" w:themeColor="text1"/>
          <w:sz w:val="22"/>
        </w:rPr>
        <w:t xml:space="preserve">en </w:t>
      </w:r>
      <w:r w:rsidRPr="00E04191" w:rsidR="00936C4C">
        <w:rPr>
          <w:rFonts w:ascii="Arial" w:hAnsi="Arial" w:eastAsia="Calibri" w:cs="Arial"/>
          <w:color w:val="000000" w:themeColor="text1"/>
          <w:sz w:val="22"/>
        </w:rPr>
        <w:t>los</w:t>
      </w:r>
      <w:r w:rsidRPr="00E04191">
        <w:rPr>
          <w:rFonts w:ascii="Arial" w:hAnsi="Arial" w:eastAsia="Calibri" w:cs="Arial"/>
          <w:color w:val="000000" w:themeColor="text1"/>
          <w:sz w:val="22"/>
        </w:rPr>
        <w:t xml:space="preserve"> concepto</w:t>
      </w:r>
      <w:r w:rsidRPr="00E04191" w:rsidR="00936C4C">
        <w:rPr>
          <w:rFonts w:ascii="Arial" w:hAnsi="Arial" w:eastAsia="Calibri" w:cs="Arial"/>
          <w:color w:val="000000" w:themeColor="text1"/>
          <w:sz w:val="22"/>
        </w:rPr>
        <w:t>s</w:t>
      </w:r>
      <w:r w:rsidRPr="00E04191">
        <w:rPr>
          <w:rFonts w:ascii="Arial" w:hAnsi="Arial" w:eastAsia="Calibri" w:cs="Arial"/>
          <w:color w:val="000000" w:themeColor="text1"/>
          <w:sz w:val="22"/>
        </w:rPr>
        <w:t xml:space="preserve"> con radicado</w:t>
      </w:r>
      <w:r w:rsidRPr="00E04191" w:rsidR="00936C4C">
        <w:rPr>
          <w:rFonts w:ascii="Arial" w:hAnsi="Arial" w:eastAsia="Calibri" w:cs="Arial"/>
          <w:color w:val="000000" w:themeColor="text1"/>
          <w:sz w:val="22"/>
        </w:rPr>
        <w:t>s</w:t>
      </w:r>
      <w:r w:rsidRPr="00E04191" w:rsidR="0009209C">
        <w:rPr>
          <w:rFonts w:ascii="Arial" w:hAnsi="Arial" w:eastAsia="Calibri" w:cs="Arial"/>
          <w:color w:val="000000" w:themeColor="text1"/>
          <w:sz w:val="22"/>
        </w:rPr>
        <w:t xml:space="preserve"> </w:t>
      </w:r>
      <w:r w:rsidRPr="00E04191" w:rsidR="00DB6A4C">
        <w:rPr>
          <w:rFonts w:ascii="Arial" w:hAnsi="Arial" w:eastAsia="Calibri" w:cs="Arial"/>
          <w:color w:val="000000" w:themeColor="text1"/>
          <w:sz w:val="22"/>
        </w:rPr>
        <w:t>número</w:t>
      </w:r>
      <w:r w:rsidRPr="00E04191" w:rsidR="002979F7">
        <w:rPr>
          <w:rFonts w:ascii="Arial" w:hAnsi="Arial" w:eastAsia="Calibri" w:cs="Arial"/>
          <w:color w:val="000000" w:themeColor="text1"/>
          <w:sz w:val="22"/>
        </w:rPr>
        <w:t>s</w:t>
      </w:r>
      <w:r w:rsidRPr="00E04191" w:rsidR="00DB6A4C">
        <w:rPr>
          <w:rFonts w:ascii="Arial" w:hAnsi="Arial" w:eastAsia="Calibri" w:cs="Arial"/>
          <w:color w:val="000000" w:themeColor="text1"/>
          <w:sz w:val="22"/>
        </w:rPr>
        <w:t xml:space="preserve"> 4201912000003592 del 28 de agosto de 2019</w:t>
      </w:r>
      <w:r w:rsidRPr="00E04191" w:rsidR="00936C4C">
        <w:rPr>
          <w:rFonts w:ascii="Arial" w:hAnsi="Arial" w:eastAsia="Calibri" w:cs="Arial"/>
          <w:color w:val="000000" w:themeColor="text1"/>
          <w:sz w:val="22"/>
        </w:rPr>
        <w:t>, 42019</w:t>
      </w:r>
      <w:r w:rsidRPr="00E04191" w:rsidR="00B41DD7">
        <w:rPr>
          <w:rFonts w:ascii="Arial" w:hAnsi="Arial" w:eastAsia="Calibri" w:cs="Arial"/>
          <w:color w:val="000000" w:themeColor="text1"/>
          <w:sz w:val="22"/>
        </w:rPr>
        <w:t>13000005649 del 17 septiembre de 2019, 4201912000006692 del 12 de noviembre de 2019</w:t>
      </w:r>
      <w:r w:rsidRPr="00E04191" w:rsidR="005C1D7D">
        <w:rPr>
          <w:rFonts w:ascii="Arial" w:hAnsi="Arial" w:eastAsia="Calibri" w:cs="Arial"/>
          <w:color w:val="000000" w:themeColor="text1"/>
          <w:sz w:val="22"/>
        </w:rPr>
        <w:t xml:space="preserve">, 4201913000006917 del 21 de noviembre de 2019, C ─ 001 de 2020, </w:t>
      </w:r>
      <w:r w:rsidRPr="00E04191" w:rsidR="007B4FB0">
        <w:rPr>
          <w:rFonts w:ascii="Arial" w:hAnsi="Arial" w:eastAsia="Calibri" w:cs="Arial"/>
          <w:color w:val="000000" w:themeColor="text1"/>
          <w:sz w:val="22"/>
        </w:rPr>
        <w:t>C ─ 007 de 2020, C ─ 011 de 2020, C</w:t>
      </w:r>
      <w:r w:rsidRPr="00E04191" w:rsidR="002B56F5">
        <w:rPr>
          <w:rFonts w:ascii="Arial" w:hAnsi="Arial" w:eastAsia="Calibri" w:cs="Arial"/>
          <w:color w:val="000000" w:themeColor="text1"/>
          <w:sz w:val="22"/>
        </w:rPr>
        <w:t xml:space="preserve"> ─ 085 de 2020, C ─</w:t>
      </w:r>
      <w:r w:rsidRPr="00E04191" w:rsidR="000B7588">
        <w:rPr>
          <w:rFonts w:ascii="Arial" w:hAnsi="Arial" w:eastAsia="Calibri" w:cs="Arial"/>
          <w:color w:val="000000" w:themeColor="text1"/>
          <w:sz w:val="22"/>
        </w:rPr>
        <w:t xml:space="preserve"> 090 de 2020, C ─ 125 de 2020 y C ─ 157 de 2020</w:t>
      </w:r>
      <w:r w:rsidRPr="00E04191">
        <w:rPr>
          <w:rFonts w:ascii="Arial" w:hAnsi="Arial" w:eastAsia="Calibri" w:cs="Arial"/>
          <w:color w:val="000000" w:themeColor="text1"/>
          <w:sz w:val="22"/>
        </w:rPr>
        <w:t>, estudió</w:t>
      </w:r>
      <w:r w:rsidRPr="00E04191" w:rsidR="00D8050A">
        <w:rPr>
          <w:rFonts w:ascii="Arial" w:hAnsi="Arial" w:eastAsia="Calibri" w:cs="Arial"/>
          <w:color w:val="000000" w:themeColor="text1"/>
          <w:sz w:val="22"/>
        </w:rPr>
        <w:t xml:space="preserve"> la naturaleza jurídica del régimen de inhabilidades e incompatibilidades</w:t>
      </w:r>
      <w:r w:rsidRPr="00E04191" w:rsidR="00404159">
        <w:rPr>
          <w:rFonts w:ascii="Arial" w:hAnsi="Arial" w:eastAsia="Calibri" w:cs="Arial"/>
          <w:color w:val="000000" w:themeColor="text1"/>
          <w:sz w:val="22"/>
        </w:rPr>
        <w:t xml:space="preserve"> para contratar con el Estado</w:t>
      </w:r>
      <w:r w:rsidRPr="00E04191" w:rsidR="00D8050A">
        <w:rPr>
          <w:rFonts w:ascii="Arial" w:hAnsi="Arial" w:eastAsia="Calibri" w:cs="Arial"/>
          <w:color w:val="000000" w:themeColor="text1"/>
          <w:sz w:val="22"/>
        </w:rPr>
        <w:t>, así como</w:t>
      </w:r>
      <w:r w:rsidRPr="00E04191" w:rsidR="005A2125">
        <w:rPr>
          <w:rFonts w:ascii="Arial" w:hAnsi="Arial" w:eastAsia="Calibri" w:cs="Arial"/>
          <w:color w:val="000000" w:themeColor="text1"/>
          <w:sz w:val="22"/>
        </w:rPr>
        <w:t xml:space="preserve"> el mismo se erige como un límite a la capacidad contractua</w:t>
      </w:r>
      <w:r w:rsidRPr="00E04191" w:rsidR="003C0BDF">
        <w:rPr>
          <w:rFonts w:ascii="Arial" w:hAnsi="Arial" w:eastAsia="Calibri" w:cs="Arial"/>
          <w:color w:val="000000" w:themeColor="text1"/>
          <w:sz w:val="22"/>
        </w:rPr>
        <w:t xml:space="preserve">l y </w:t>
      </w:r>
      <w:r w:rsidRPr="00E04191" w:rsidR="007D6B17">
        <w:rPr>
          <w:rFonts w:ascii="Arial" w:hAnsi="Arial" w:eastAsia="Calibri" w:cs="Arial"/>
          <w:color w:val="000000" w:themeColor="text1"/>
          <w:sz w:val="22"/>
        </w:rPr>
        <w:t>la forma en que debe</w:t>
      </w:r>
      <w:r w:rsidRPr="00E04191" w:rsidR="00272230">
        <w:rPr>
          <w:rFonts w:ascii="Arial" w:hAnsi="Arial" w:eastAsia="Calibri" w:cs="Arial"/>
          <w:color w:val="000000" w:themeColor="text1"/>
          <w:sz w:val="22"/>
        </w:rPr>
        <w:t xml:space="preserve"> interpretarse el régimen de inhabilidades e incompatibilidades</w:t>
      </w:r>
      <w:r w:rsidRPr="00E04191">
        <w:rPr>
          <w:rFonts w:ascii="Arial" w:hAnsi="Arial" w:eastAsia="Calibri" w:cs="Arial"/>
          <w:color w:val="000000" w:themeColor="text1"/>
          <w:sz w:val="22"/>
        </w:rPr>
        <w:t>. La tesis desarrollada en estos conceptos es la que se expone</w:t>
      </w:r>
      <w:r w:rsidRPr="00E04191" w:rsidR="008564C0">
        <w:rPr>
          <w:rFonts w:ascii="Arial" w:hAnsi="Arial" w:eastAsia="Calibri" w:cs="Arial"/>
          <w:color w:val="000000" w:themeColor="text1"/>
          <w:sz w:val="22"/>
        </w:rPr>
        <w:t xml:space="preserve"> y reitera</w:t>
      </w:r>
      <w:r w:rsidRPr="00E04191">
        <w:rPr>
          <w:rFonts w:ascii="Arial" w:hAnsi="Arial" w:eastAsia="Calibri" w:cs="Arial"/>
          <w:color w:val="000000" w:themeColor="text1"/>
          <w:sz w:val="22"/>
        </w:rPr>
        <w:t xml:space="preserve"> a continuación. </w:t>
      </w:r>
    </w:p>
    <w:p w:rsidRPr="00E04191" w:rsidR="00F8649C" w:rsidP="00F8649C" w:rsidRDefault="00F8649C" w14:paraId="38F4D42D" w14:textId="77777777">
      <w:pPr>
        <w:pStyle w:val="Sinespaciado"/>
        <w:spacing w:line="276" w:lineRule="auto"/>
        <w:jc w:val="both"/>
        <w:rPr>
          <w:rFonts w:ascii="Arial" w:hAnsi="Arial" w:cs="Arial"/>
          <w:color w:val="000000" w:themeColor="text1"/>
          <w:sz w:val="22"/>
        </w:rPr>
      </w:pPr>
    </w:p>
    <w:p w:rsidRPr="00E04191" w:rsidR="00F8649C" w:rsidP="00A22BDF" w:rsidRDefault="00A22BDF" w14:paraId="237C9E5D" w14:textId="4117D6B1">
      <w:pPr>
        <w:pStyle w:val="Sinespaciado"/>
        <w:widowControl w:val="0"/>
        <w:autoSpaceDE w:val="0"/>
        <w:autoSpaceDN w:val="0"/>
        <w:spacing w:line="276" w:lineRule="auto"/>
        <w:jc w:val="both"/>
        <w:rPr>
          <w:rFonts w:ascii="Arial" w:hAnsi="Arial" w:cs="Arial"/>
          <w:b/>
          <w:color w:val="000000" w:themeColor="text1"/>
          <w:sz w:val="22"/>
        </w:rPr>
      </w:pPr>
      <w:r w:rsidRPr="00E04191">
        <w:rPr>
          <w:rFonts w:ascii="Arial" w:hAnsi="Arial" w:cs="Arial"/>
          <w:b/>
          <w:color w:val="000000" w:themeColor="text1"/>
          <w:sz w:val="22"/>
        </w:rPr>
        <w:t xml:space="preserve">2.1. </w:t>
      </w:r>
      <w:r w:rsidRPr="00E04191" w:rsidR="00F8649C">
        <w:rPr>
          <w:rFonts w:ascii="Arial" w:hAnsi="Arial" w:cs="Arial"/>
          <w:b/>
          <w:color w:val="000000" w:themeColor="text1"/>
          <w:sz w:val="22"/>
        </w:rPr>
        <w:t xml:space="preserve">Régimen de inhabilidades e incompatibilidades para contratar con el Estado </w:t>
      </w:r>
    </w:p>
    <w:p w:rsidRPr="00E04191" w:rsidR="00F8649C" w:rsidP="00F77764" w:rsidRDefault="00F8649C" w14:paraId="7ED40B5B" w14:textId="77777777">
      <w:pPr>
        <w:pStyle w:val="Sinespaciado"/>
        <w:spacing w:line="276" w:lineRule="auto"/>
        <w:jc w:val="both"/>
        <w:rPr>
          <w:rFonts w:ascii="Arial" w:hAnsi="Arial" w:cs="Arial"/>
          <w:color w:val="000000" w:themeColor="text1"/>
          <w:sz w:val="22"/>
        </w:rPr>
      </w:pPr>
    </w:p>
    <w:p w:rsidRPr="00E04191" w:rsidR="00F8649C" w:rsidP="00173739" w:rsidRDefault="00F8649C" w14:paraId="27C49D64" w14:textId="560819DC">
      <w:pPr>
        <w:pStyle w:val="Sinespaciado"/>
        <w:spacing w:after="120" w:line="276" w:lineRule="auto"/>
        <w:jc w:val="both"/>
        <w:rPr>
          <w:rFonts w:ascii="Arial" w:hAnsi="Arial" w:cs="Arial"/>
          <w:color w:val="000000" w:themeColor="text1"/>
          <w:sz w:val="22"/>
        </w:rPr>
      </w:pPr>
      <w:r w:rsidRPr="00E04191">
        <w:rPr>
          <w:rFonts w:ascii="Arial" w:hAnsi="Arial" w:cs="Arial"/>
          <w:color w:val="000000" w:themeColor="text1"/>
          <w:sz w:val="22"/>
        </w:rPr>
        <w:t xml:space="preserve">Las inhabilidades son circunstancias establecidas por la Constitución o la Ley que impiden que personas naturales o jurídicas sean elegidas o designadas en un cargo público o puedan celebrar contratos con el Estado, con el objetivo de garantizar la idoneidad, imparcialidad, probidad, transparencia y moralidad de la función pública, y lograr garantizar el interés general.  </w:t>
      </w:r>
    </w:p>
    <w:p w:rsidRPr="00E04191" w:rsidR="00F8649C" w:rsidP="00F8649C" w:rsidRDefault="00F8649C" w14:paraId="3CD6DE91" w14:textId="77777777">
      <w:pPr>
        <w:pStyle w:val="Sinespaciado"/>
        <w:spacing w:before="120" w:after="120" w:line="276" w:lineRule="auto"/>
        <w:ind w:firstLine="708"/>
        <w:jc w:val="both"/>
        <w:rPr>
          <w:rFonts w:ascii="Arial" w:hAnsi="Arial" w:cs="Arial"/>
          <w:color w:val="000000" w:themeColor="text1"/>
          <w:sz w:val="22"/>
        </w:rPr>
      </w:pPr>
      <w:r w:rsidRPr="00E04191">
        <w:rPr>
          <w:rFonts w:ascii="Arial" w:hAnsi="Arial" w:cs="Arial"/>
          <w:color w:val="000000" w:themeColor="text1"/>
          <w:sz w:val="22"/>
        </w:rPr>
        <w:t xml:space="preserve">El régimen de inhabilidades para contratar con el Estado es un conjunto de restricciones establecidas por el constituyente o por el legislador que afectan directamente la capacidad de las personas para establecer una relación jurídica contractual con el </w:t>
      </w:r>
      <w:r w:rsidRPr="00E04191">
        <w:rPr>
          <w:rFonts w:ascii="Arial" w:hAnsi="Arial" w:cs="Arial"/>
          <w:color w:val="000000" w:themeColor="text1"/>
          <w:sz w:val="22"/>
        </w:rPr>
        <w:lastRenderedPageBreak/>
        <w:t xml:space="preserve">Estado, que pueden resultar de condenas, sanciones o situaciones previamente establecidas por el ordenamiento jurídico. </w:t>
      </w:r>
    </w:p>
    <w:p w:rsidRPr="00E04191" w:rsidR="00F8649C" w:rsidP="00F8649C" w:rsidRDefault="00F8649C" w14:paraId="1A254755" w14:textId="77777777">
      <w:pPr>
        <w:pStyle w:val="Sinespaciado"/>
        <w:spacing w:before="120" w:after="120" w:line="276" w:lineRule="auto"/>
        <w:ind w:firstLine="708"/>
        <w:jc w:val="both"/>
        <w:rPr>
          <w:rFonts w:ascii="Arial" w:hAnsi="Arial" w:cs="Arial"/>
          <w:color w:val="000000" w:themeColor="text1"/>
          <w:sz w:val="22"/>
        </w:rPr>
      </w:pPr>
      <w:r w:rsidRPr="00E04191">
        <w:rPr>
          <w:rFonts w:ascii="Arial" w:hAnsi="Arial" w:cs="Arial"/>
          <w:color w:val="000000" w:themeColor="text1"/>
          <w:sz w:val="22"/>
        </w:rPr>
        <w:t>La Corte Constitucional ha determinado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E04191">
        <w:rPr>
          <w:rFonts w:ascii="Arial" w:hAnsi="Arial" w:cs="Arial"/>
          <w:color w:val="000000" w:themeColor="text1"/>
          <w:sz w:val="22"/>
          <w:vertAlign w:val="superscript"/>
        </w:rPr>
        <w:footnoteReference w:id="1"/>
      </w:r>
      <w:r w:rsidRPr="00E04191">
        <w:rPr>
          <w:rFonts w:ascii="Arial" w:hAnsi="Arial" w:cs="Arial"/>
          <w:color w:val="000000" w:themeColor="text1"/>
          <w:sz w:val="22"/>
        </w:rPr>
        <w:t xml:space="preserve">. </w:t>
      </w:r>
    </w:p>
    <w:p w:rsidRPr="00E04191" w:rsidR="00F8649C" w:rsidP="00173739" w:rsidRDefault="00F8649C" w14:paraId="232E3583" w14:textId="77777777">
      <w:pPr>
        <w:pStyle w:val="Sinespaciado"/>
        <w:spacing w:before="120" w:line="276" w:lineRule="auto"/>
        <w:ind w:firstLine="709"/>
        <w:jc w:val="both"/>
        <w:rPr>
          <w:rFonts w:ascii="Arial" w:hAnsi="Arial" w:cs="Arial"/>
          <w:color w:val="000000" w:themeColor="text1"/>
          <w:sz w:val="22"/>
        </w:rPr>
      </w:pPr>
      <w:r w:rsidRPr="00E04191">
        <w:rPr>
          <w:rFonts w:ascii="Arial" w:hAnsi="Arial" w:cs="Arial"/>
          <w:color w:val="000000" w:themeColor="text1"/>
          <w:sz w:val="22"/>
        </w:rPr>
        <w:t xml:space="preserve">La consagración de estas restricciones o limitaciones que afectan la capacidad jurídica de la persona para contratar busca la realización de los principios de la función administrativa, consagrados en el artículo 209 de la Constitución Política, con especial énfasis en el de moralidad. Así lo ha entendido el Consejo de Estado: </w:t>
      </w:r>
    </w:p>
    <w:p w:rsidRPr="00E04191" w:rsidR="00F8649C" w:rsidP="00173739" w:rsidRDefault="00F8649C" w14:paraId="3EC7ADD1" w14:textId="77777777">
      <w:pPr>
        <w:pStyle w:val="Sinespaciado"/>
        <w:spacing w:line="276" w:lineRule="auto"/>
        <w:jc w:val="both"/>
        <w:rPr>
          <w:rFonts w:ascii="Arial" w:hAnsi="Arial" w:cs="Arial"/>
          <w:color w:val="000000" w:themeColor="text1"/>
          <w:sz w:val="22"/>
        </w:rPr>
      </w:pPr>
    </w:p>
    <w:p w:rsidRPr="00E04191" w:rsidR="00F8649C" w:rsidP="00173739" w:rsidRDefault="00F8649C" w14:paraId="0D6412DB" w14:textId="77777777">
      <w:pPr>
        <w:pStyle w:val="NormalWeb"/>
        <w:shd w:val="clear" w:color="auto" w:fill="FFFFFF"/>
        <w:spacing w:before="0" w:beforeAutospacing="0" w:after="0" w:afterAutospacing="0"/>
        <w:ind w:left="709" w:right="709"/>
        <w:jc w:val="both"/>
        <w:rPr>
          <w:rFonts w:ascii="Arial" w:hAnsi="Arial" w:cs="Arial" w:eastAsiaTheme="minorHAnsi"/>
          <w:color w:val="000000" w:themeColor="text1"/>
          <w:sz w:val="21"/>
          <w:szCs w:val="21"/>
          <w:lang w:val="es-ES" w:eastAsia="en-US"/>
        </w:rPr>
      </w:pPr>
      <w:r w:rsidRPr="00E04191">
        <w:rPr>
          <w:rFonts w:ascii="Arial" w:hAnsi="Arial" w:cs="Arial" w:eastAsiaTheme="minorHAnsi"/>
          <w:color w:val="000000" w:themeColor="text1"/>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rsidRPr="00E04191" w:rsidR="00F8649C" w:rsidP="00173739" w:rsidRDefault="00F8649C" w14:paraId="53340C90" w14:textId="77777777">
      <w:pPr>
        <w:pStyle w:val="NormalWeb"/>
        <w:shd w:val="clear" w:color="auto" w:fill="FFFFFF"/>
        <w:spacing w:before="0" w:beforeAutospacing="0" w:after="0" w:afterAutospacing="0"/>
        <w:ind w:left="709" w:right="709"/>
        <w:jc w:val="both"/>
        <w:rPr>
          <w:rFonts w:ascii="Arial" w:hAnsi="Arial" w:cs="Arial" w:eastAsiaTheme="minorHAnsi"/>
          <w:color w:val="000000" w:themeColor="text1"/>
          <w:sz w:val="21"/>
          <w:szCs w:val="21"/>
          <w:lang w:val="es-ES" w:eastAsia="en-US"/>
        </w:rPr>
      </w:pPr>
    </w:p>
    <w:p w:rsidRPr="00E04191" w:rsidR="00F8649C" w:rsidP="00173739" w:rsidRDefault="00F8649C" w14:paraId="0ED2C236" w14:textId="77777777">
      <w:pPr>
        <w:pStyle w:val="NormalWeb"/>
        <w:shd w:val="clear" w:color="auto" w:fill="FFFFFF"/>
        <w:spacing w:before="0" w:beforeAutospacing="0" w:after="0" w:afterAutospacing="0"/>
        <w:ind w:left="709" w:right="709"/>
        <w:jc w:val="both"/>
        <w:rPr>
          <w:rFonts w:ascii="Arial" w:hAnsi="Arial" w:cs="Arial" w:eastAsiaTheme="minorHAnsi"/>
          <w:color w:val="000000" w:themeColor="text1"/>
          <w:sz w:val="21"/>
          <w:szCs w:val="21"/>
          <w:lang w:val="es-ES" w:eastAsia="en-US"/>
        </w:rPr>
      </w:pPr>
      <w:r w:rsidRPr="00E04191">
        <w:rPr>
          <w:rFonts w:ascii="Arial" w:hAnsi="Arial" w:cs="Arial" w:eastAsiaTheme="minorHAnsi"/>
          <w:color w:val="000000" w:themeColor="text1"/>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E04191">
        <w:rPr>
          <w:rStyle w:val="Refdenotaalpie"/>
          <w:rFonts w:ascii="Arial" w:hAnsi="Arial" w:cs="Arial" w:eastAsiaTheme="minorHAnsi"/>
          <w:color w:val="000000" w:themeColor="text1"/>
          <w:sz w:val="21"/>
          <w:szCs w:val="21"/>
          <w:lang w:val="es-ES" w:eastAsia="en-US"/>
        </w:rPr>
        <w:footnoteReference w:id="2"/>
      </w:r>
      <w:r w:rsidRPr="00E04191">
        <w:rPr>
          <w:rFonts w:ascii="Arial" w:hAnsi="Arial" w:cs="Arial" w:eastAsiaTheme="minorHAnsi"/>
          <w:color w:val="000000" w:themeColor="text1"/>
          <w:sz w:val="21"/>
          <w:szCs w:val="21"/>
          <w:lang w:val="es-ES" w:eastAsia="en-US"/>
        </w:rPr>
        <w:t xml:space="preserve">. </w:t>
      </w:r>
    </w:p>
    <w:p w:rsidRPr="00E04191" w:rsidR="00F8649C" w:rsidP="00173739" w:rsidRDefault="00F8649C" w14:paraId="4671598C" w14:textId="77777777">
      <w:pPr>
        <w:pStyle w:val="Sinespaciado"/>
        <w:spacing w:line="276" w:lineRule="auto"/>
        <w:jc w:val="both"/>
        <w:rPr>
          <w:rFonts w:ascii="Arial" w:hAnsi="Arial" w:cs="Arial"/>
          <w:color w:val="000000" w:themeColor="text1"/>
          <w:sz w:val="22"/>
        </w:rPr>
      </w:pPr>
    </w:p>
    <w:p w:rsidRPr="00E04191" w:rsidR="00F8649C" w:rsidP="00173739" w:rsidRDefault="00F8649C" w14:paraId="05853817" w14:textId="237DAD83">
      <w:pPr>
        <w:pStyle w:val="Sinespaciado"/>
        <w:spacing w:line="276" w:lineRule="auto"/>
        <w:ind w:firstLine="709"/>
        <w:jc w:val="both"/>
        <w:rPr>
          <w:rFonts w:ascii="Arial" w:hAnsi="Arial" w:cs="Arial"/>
          <w:color w:val="000000" w:themeColor="text1"/>
          <w:sz w:val="22"/>
        </w:rPr>
      </w:pPr>
      <w:r w:rsidRPr="00E04191">
        <w:rPr>
          <w:rFonts w:ascii="Arial" w:hAnsi="Arial" w:cs="Arial"/>
          <w:color w:val="000000" w:themeColor="text1"/>
          <w:sz w:val="22"/>
        </w:rPr>
        <w:t xml:space="preserve">Así las cosas, las inhabilidades son medios que buscan garantizar la transparencia y eficiencia en la actividad contractual del Estado y para ello imponen restricciones en la personalidad jurídica, la igualdad, la libre empresa y, particularmente, </w:t>
      </w:r>
      <w:r w:rsidRPr="00E04191" w:rsidR="003B7A26">
        <w:rPr>
          <w:rFonts w:ascii="Arial" w:hAnsi="Arial" w:cs="Arial"/>
          <w:color w:val="000000" w:themeColor="text1"/>
          <w:sz w:val="22"/>
        </w:rPr>
        <w:t>al derecho a participar en procesos de selección y celebrar contratos con el Estado</w:t>
      </w:r>
      <w:r w:rsidRPr="00E04191">
        <w:rPr>
          <w:rFonts w:ascii="Arial" w:hAnsi="Arial" w:cs="Arial"/>
          <w:color w:val="000000" w:themeColor="text1"/>
          <w:sz w:val="22"/>
        </w:rPr>
        <w:t xml:space="preserve">. La Corte Constitucional ha reconocido que estas limitaciones deben estar justificadas en la </w:t>
      </w:r>
      <w:r w:rsidRPr="00E04191">
        <w:rPr>
          <w:rFonts w:ascii="Arial" w:hAnsi="Arial" w:cs="Arial"/>
          <w:color w:val="000000" w:themeColor="text1"/>
          <w:sz w:val="22"/>
        </w:rPr>
        <w:lastRenderedPageBreak/>
        <w:t xml:space="preserve">salvaguarda del interés general y que su lectura e interpretación debe ser taxativa y restrictiva: </w:t>
      </w:r>
    </w:p>
    <w:p w:rsidRPr="00E04191" w:rsidR="00F8649C" w:rsidP="00F8649C" w:rsidRDefault="00F8649C" w14:paraId="62C570DE" w14:textId="77777777">
      <w:pPr>
        <w:rPr>
          <w:rFonts w:ascii="Arial" w:hAnsi="Arial" w:eastAsia="Times New Roman" w:cs="Arial"/>
          <w:color w:val="000000" w:themeColor="text1"/>
          <w:sz w:val="22"/>
          <w:shd w:val="clear" w:color="auto" w:fill="FFFFFF"/>
          <w:lang w:val="es-CO" w:eastAsia="es-ES_tradnl"/>
        </w:rPr>
      </w:pPr>
    </w:p>
    <w:p w:rsidRPr="00E04191" w:rsidR="00F8649C" w:rsidP="00173739" w:rsidRDefault="00F8649C" w14:paraId="4B87DC6C" w14:textId="77777777">
      <w:pPr>
        <w:ind w:left="709" w:right="709"/>
        <w:jc w:val="both"/>
        <w:rPr>
          <w:rFonts w:ascii="Arial" w:hAnsi="Arial" w:cs="Arial"/>
          <w:color w:val="000000" w:themeColor="text1"/>
          <w:sz w:val="21"/>
          <w:szCs w:val="21"/>
        </w:rPr>
      </w:pPr>
      <w:r w:rsidRPr="00E04191">
        <w:rPr>
          <w:rFonts w:ascii="Arial" w:hAnsi="Arial" w:cs="Arial"/>
          <w:color w:val="000000" w:themeColor="text1"/>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E04191">
        <w:rPr>
          <w:rFonts w:ascii="Arial" w:hAnsi="Arial" w:cs="Arial"/>
          <w:color w:val="000000" w:themeColor="text1"/>
          <w:sz w:val="21"/>
          <w:szCs w:val="21"/>
        </w:rPr>
        <w:t>incompatibilidades,</w:t>
      </w:r>
      <w:proofErr w:type="gramEnd"/>
      <w:r w:rsidRPr="00E04191">
        <w:rPr>
          <w:rFonts w:ascii="Arial" w:hAnsi="Arial" w:cs="Arial"/>
          <w:color w:val="000000" w:themeColor="text1"/>
          <w:sz w:val="21"/>
          <w:szCs w:val="21"/>
        </w:rPr>
        <w:t xml:space="preserve"> se erige en causal de nulidad del contrato celebrado en esas condiciones (ley 80 de 1993, art. 44).</w:t>
      </w:r>
    </w:p>
    <w:p w:rsidRPr="00E04191" w:rsidR="00F8649C" w:rsidP="00173739" w:rsidRDefault="00F8649C" w14:paraId="36200B07" w14:textId="77777777">
      <w:pPr>
        <w:ind w:left="709" w:right="709"/>
        <w:jc w:val="both"/>
        <w:rPr>
          <w:rFonts w:ascii="Arial" w:hAnsi="Arial" w:cs="Arial"/>
          <w:color w:val="000000" w:themeColor="text1"/>
          <w:sz w:val="21"/>
          <w:szCs w:val="21"/>
        </w:rPr>
      </w:pPr>
      <w:r w:rsidRPr="00E04191">
        <w:rPr>
          <w:rFonts w:ascii="Arial" w:hAnsi="Arial" w:cs="Arial"/>
          <w:color w:val="000000" w:themeColor="text1"/>
          <w:sz w:val="21"/>
          <w:szCs w:val="21"/>
        </w:rPr>
        <w:t> </w:t>
      </w:r>
    </w:p>
    <w:p w:rsidRPr="00E04191" w:rsidR="00F8649C" w:rsidP="00173739" w:rsidRDefault="00F8649C" w14:paraId="0653E5B0" w14:textId="77777777">
      <w:pPr>
        <w:ind w:left="709" w:right="709"/>
        <w:jc w:val="both"/>
        <w:rPr>
          <w:rFonts w:ascii="Arial" w:hAnsi="Arial" w:cs="Arial"/>
          <w:color w:val="000000" w:themeColor="text1"/>
          <w:sz w:val="21"/>
          <w:szCs w:val="21"/>
        </w:rPr>
      </w:pPr>
      <w:r w:rsidRPr="00E04191">
        <w:rPr>
          <w:rFonts w:ascii="Arial" w:hAnsi="Arial" w:cs="Arial"/>
          <w:color w:val="000000" w:themeColor="text1"/>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E04191">
        <w:rPr>
          <w:rStyle w:val="Refdenotaalpie"/>
          <w:rFonts w:ascii="Arial" w:hAnsi="Arial" w:cs="Arial"/>
          <w:color w:val="000000" w:themeColor="text1"/>
          <w:sz w:val="21"/>
          <w:szCs w:val="21"/>
        </w:rPr>
        <w:footnoteReference w:id="3"/>
      </w:r>
      <w:r w:rsidRPr="00E04191">
        <w:rPr>
          <w:rFonts w:ascii="Arial" w:hAnsi="Arial" w:cs="Arial"/>
          <w:color w:val="000000" w:themeColor="text1"/>
          <w:sz w:val="21"/>
          <w:szCs w:val="21"/>
        </w:rPr>
        <w:t>.</w:t>
      </w:r>
    </w:p>
    <w:p w:rsidRPr="00E04191" w:rsidR="00F8649C" w:rsidP="00173739" w:rsidRDefault="00F8649C" w14:paraId="5B9F31C1" w14:textId="77777777">
      <w:pPr>
        <w:spacing w:line="276" w:lineRule="auto"/>
        <w:ind w:left="709" w:right="709"/>
        <w:rPr>
          <w:rFonts w:ascii="Arial" w:hAnsi="Arial" w:eastAsia="Times New Roman" w:cs="Arial"/>
          <w:color w:val="000000" w:themeColor="text1"/>
          <w:sz w:val="22"/>
          <w:shd w:val="clear" w:color="auto" w:fill="FFFFFF"/>
          <w:lang w:val="es-CO" w:eastAsia="es-ES_tradnl"/>
        </w:rPr>
      </w:pPr>
    </w:p>
    <w:p w:rsidRPr="00E04191" w:rsidR="00F8649C" w:rsidP="00A978F3" w:rsidRDefault="00F8649C" w14:paraId="0544A863" w14:textId="77777777">
      <w:pPr>
        <w:spacing w:line="276" w:lineRule="auto"/>
        <w:ind w:firstLine="709"/>
        <w:jc w:val="both"/>
        <w:rPr>
          <w:rFonts w:ascii="Arial" w:hAnsi="Arial" w:cs="Arial"/>
          <w:color w:val="000000" w:themeColor="text1"/>
          <w:sz w:val="22"/>
        </w:rPr>
      </w:pPr>
      <w:r w:rsidRPr="00E04191">
        <w:rPr>
          <w:rFonts w:ascii="Arial" w:hAnsi="Arial" w:cs="Arial"/>
          <w:color w:val="000000" w:themeColor="text1"/>
          <w:sz w:val="22"/>
        </w:rPr>
        <w:t>Asimismo, la Corte Constitucional ha resaltado que la competencia para determinar qué hechos o situaciones generan inhabilidad para contratar con el Estado la tiene el legislador, pues este régimen es un aspecto propio del Estatuto General de la Contratación Pública, cuya expedición compete al Congreso de la República, a la luz del artículo 150 de la Constitución Política, y que en esta materia rige el principio de legalidad:</w:t>
      </w:r>
    </w:p>
    <w:p w:rsidRPr="00E04191" w:rsidR="00F8649C" w:rsidP="00A978F3" w:rsidRDefault="00F8649C" w14:paraId="35FC8754" w14:textId="290C5D76">
      <w:pPr>
        <w:pStyle w:val="Sinespaciado"/>
        <w:tabs>
          <w:tab w:val="left" w:pos="1532"/>
        </w:tabs>
        <w:spacing w:line="276" w:lineRule="auto"/>
        <w:jc w:val="both"/>
        <w:rPr>
          <w:rFonts w:ascii="Arial" w:hAnsi="Arial" w:cs="Arial"/>
          <w:color w:val="000000" w:themeColor="text1"/>
          <w:sz w:val="22"/>
        </w:rPr>
      </w:pPr>
    </w:p>
    <w:p w:rsidRPr="00E04191" w:rsidR="00F8649C" w:rsidP="008D572D" w:rsidRDefault="00F8649C" w14:paraId="33E05F2F" w14:textId="77777777">
      <w:pPr>
        <w:ind w:left="709" w:right="709"/>
        <w:jc w:val="both"/>
        <w:rPr>
          <w:rFonts w:ascii="Arial" w:hAnsi="Arial" w:cs="Arial"/>
          <w:color w:val="000000" w:themeColor="text1"/>
          <w:sz w:val="21"/>
          <w:szCs w:val="21"/>
        </w:rPr>
      </w:pPr>
      <w:r w:rsidRPr="00E04191">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E04191">
        <w:rPr>
          <w:rFonts w:ascii="Arial" w:hAnsi="Arial" w:cs="Arial"/>
          <w:color w:val="000000" w:themeColor="text1"/>
          <w:sz w:val="21"/>
          <w:szCs w:val="21"/>
        </w:rPr>
        <w:t>libertate</w:t>
      </w:r>
      <w:proofErr w:type="spellEnd"/>
      <w:r w:rsidRPr="00E04191">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rsidRPr="00E04191" w:rsidR="00B87FFA" w:rsidP="008D572D" w:rsidRDefault="00B87FFA" w14:paraId="257C74B7" w14:textId="77777777">
      <w:pPr>
        <w:ind w:left="709" w:right="709"/>
        <w:jc w:val="both"/>
        <w:rPr>
          <w:rFonts w:ascii="Arial" w:hAnsi="Arial" w:cs="Arial"/>
          <w:color w:val="000000" w:themeColor="text1"/>
          <w:sz w:val="21"/>
          <w:szCs w:val="21"/>
        </w:rPr>
      </w:pPr>
    </w:p>
    <w:p w:rsidRPr="00E04191" w:rsidR="00F8649C" w:rsidP="008D572D" w:rsidRDefault="00F8649C" w14:paraId="41B0545B" w14:textId="75785C5E">
      <w:pPr>
        <w:ind w:left="709" w:right="709"/>
        <w:jc w:val="both"/>
        <w:rPr>
          <w:rFonts w:ascii="Arial" w:hAnsi="Arial" w:cs="Arial"/>
          <w:color w:val="000000" w:themeColor="text1"/>
          <w:sz w:val="21"/>
          <w:szCs w:val="21"/>
        </w:rPr>
      </w:pPr>
      <w:r w:rsidRPr="00E04191">
        <w:rPr>
          <w:rFonts w:ascii="Arial" w:hAnsi="Arial" w:cs="Arial"/>
          <w:color w:val="000000" w:themeColor="text1"/>
          <w:sz w:val="21"/>
          <w:szCs w:val="21"/>
        </w:rPr>
        <w:t xml:space="preserve">[…] </w:t>
      </w:r>
    </w:p>
    <w:p w:rsidRPr="00E04191" w:rsidR="00F8649C" w:rsidP="008D572D" w:rsidRDefault="00F8649C" w14:paraId="24A10F70" w14:textId="77777777">
      <w:pPr>
        <w:ind w:left="709" w:right="709"/>
        <w:jc w:val="both"/>
        <w:rPr>
          <w:rFonts w:ascii="Arial" w:hAnsi="Arial" w:cs="Arial"/>
          <w:color w:val="000000" w:themeColor="text1"/>
          <w:sz w:val="21"/>
          <w:szCs w:val="21"/>
        </w:rPr>
      </w:pPr>
    </w:p>
    <w:p w:rsidRPr="00E04191" w:rsidR="00F8649C" w:rsidP="008D572D" w:rsidRDefault="00F8649C" w14:paraId="51D9F023" w14:textId="77777777">
      <w:pPr>
        <w:ind w:left="709" w:right="709"/>
        <w:jc w:val="both"/>
        <w:rPr>
          <w:rFonts w:ascii="Arial" w:hAnsi="Arial" w:cs="Arial"/>
          <w:color w:val="000000" w:themeColor="text1"/>
          <w:sz w:val="21"/>
          <w:szCs w:val="21"/>
        </w:rPr>
      </w:pPr>
      <w:r w:rsidRPr="00E04191">
        <w:rPr>
          <w:rFonts w:ascii="Arial" w:hAnsi="Arial" w:cs="Arial"/>
          <w:color w:val="000000" w:themeColor="text1"/>
          <w:sz w:val="21"/>
          <w:szCs w:val="21"/>
        </w:rPr>
        <w:lastRenderedPageBreak/>
        <w:t xml:space="preserve">Se comprende con facilidad que el régimen de inhabilidades e </w:t>
      </w:r>
      <w:proofErr w:type="gramStart"/>
      <w:r w:rsidRPr="00E04191">
        <w:rPr>
          <w:rFonts w:ascii="Arial" w:hAnsi="Arial" w:cs="Arial"/>
          <w:color w:val="000000" w:themeColor="text1"/>
          <w:sz w:val="21"/>
          <w:szCs w:val="21"/>
        </w:rPr>
        <w:t>incompatibilidades,</w:t>
      </w:r>
      <w:proofErr w:type="gramEnd"/>
      <w:r w:rsidRPr="00E04191">
        <w:rPr>
          <w:rFonts w:ascii="Arial" w:hAnsi="Arial" w:cs="Arial"/>
          <w:color w:val="000000" w:themeColor="text1"/>
          <w:sz w:val="21"/>
          <w:szCs w:val="21"/>
        </w:rPr>
        <w:t xml:space="preserve"> corresponde a una materia de normal y obligada inclusión en un estatuto contractual. El legislador, a quien se ha confiado expedir el indicado estatuto, tiene, pues, competencia para establecerlo (CP art. 150)</w:t>
      </w:r>
      <w:r w:rsidRPr="00E04191">
        <w:rPr>
          <w:rStyle w:val="Refdenotaalpie"/>
          <w:rFonts w:ascii="Arial" w:hAnsi="Arial" w:cs="Arial"/>
          <w:color w:val="000000" w:themeColor="text1"/>
          <w:sz w:val="21"/>
          <w:szCs w:val="21"/>
        </w:rPr>
        <w:footnoteReference w:id="4"/>
      </w:r>
      <w:r w:rsidRPr="00E04191">
        <w:rPr>
          <w:rFonts w:ascii="Arial" w:hAnsi="Arial" w:cs="Arial"/>
          <w:color w:val="000000" w:themeColor="text1"/>
          <w:sz w:val="21"/>
          <w:szCs w:val="21"/>
        </w:rPr>
        <w:t>.</w:t>
      </w:r>
    </w:p>
    <w:p w:rsidRPr="00E04191" w:rsidR="00F8649C" w:rsidP="008D572D" w:rsidRDefault="00F8649C" w14:paraId="30DE4E40" w14:textId="77777777">
      <w:pPr>
        <w:ind w:left="709" w:right="709"/>
        <w:rPr>
          <w:rFonts w:ascii="Arial" w:hAnsi="Arial" w:eastAsia="Times New Roman" w:cs="Arial"/>
          <w:color w:val="000000" w:themeColor="text1"/>
          <w:sz w:val="22"/>
          <w:shd w:val="clear" w:color="auto" w:fill="FFFFFF"/>
          <w:lang w:val="es-CO" w:eastAsia="es-ES_tradnl"/>
        </w:rPr>
      </w:pPr>
    </w:p>
    <w:p w:rsidRPr="00E04191" w:rsidR="00F8649C" w:rsidP="008D572D" w:rsidRDefault="00F8649C" w14:paraId="5B6CB76D" w14:textId="77777777">
      <w:pPr>
        <w:spacing w:after="120" w:line="276" w:lineRule="auto"/>
        <w:ind w:firstLine="709"/>
        <w:jc w:val="both"/>
        <w:rPr>
          <w:rFonts w:ascii="Arial" w:hAnsi="Arial" w:cs="Arial"/>
          <w:color w:val="000000" w:themeColor="text1"/>
          <w:sz w:val="22"/>
        </w:rPr>
      </w:pPr>
      <w:r w:rsidRPr="00E04191">
        <w:rPr>
          <w:rFonts w:ascii="Arial" w:hAnsi="Arial" w:cs="Arial"/>
          <w:color w:val="000000" w:themeColor="text1"/>
          <w:sz w:val="22"/>
        </w:rPr>
        <w:t xml:space="preserve">Conviene también acudir a la distinción que se ha trazado en torno a la fuente de las inhabilidades, las cuales han sido clasificadas en dos grupos: i) inhabilidades-sanción y </w:t>
      </w:r>
      <w:proofErr w:type="spellStart"/>
      <w:r w:rsidRPr="00E04191">
        <w:rPr>
          <w:rFonts w:ascii="Arial" w:hAnsi="Arial" w:cs="Arial"/>
          <w:color w:val="000000" w:themeColor="text1"/>
          <w:sz w:val="22"/>
        </w:rPr>
        <w:t>ii</w:t>
      </w:r>
      <w:proofErr w:type="spellEnd"/>
      <w:r w:rsidRPr="00E04191">
        <w:rPr>
          <w:rFonts w:ascii="Arial" w:hAnsi="Arial" w:cs="Arial"/>
          <w:color w:val="000000" w:themeColor="text1"/>
          <w:sz w:val="22"/>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E04191">
        <w:rPr>
          <w:rStyle w:val="Refdenotaalpie"/>
          <w:rFonts w:ascii="Arial" w:hAnsi="Arial" w:cs="Arial"/>
          <w:color w:val="000000" w:themeColor="text1"/>
          <w:sz w:val="22"/>
        </w:rPr>
        <w:footnoteReference w:id="5"/>
      </w:r>
      <w:r w:rsidRPr="00E04191">
        <w:rPr>
          <w:rFonts w:ascii="Arial" w:hAnsi="Arial" w:cs="Arial"/>
          <w:color w:val="000000" w:themeColor="text1"/>
          <w:sz w:val="22"/>
        </w:rPr>
        <w:t xml:space="preserve">. </w:t>
      </w:r>
    </w:p>
    <w:p w:rsidRPr="00E04191" w:rsidR="00F8649C" w:rsidP="00F8649C" w:rsidRDefault="00F8649C" w14:paraId="74C5CA0E" w14:textId="77777777">
      <w:pPr>
        <w:spacing w:before="120" w:after="120" w:line="276" w:lineRule="auto"/>
        <w:ind w:firstLine="708"/>
        <w:jc w:val="both"/>
        <w:rPr>
          <w:rFonts w:ascii="Arial" w:hAnsi="Arial" w:cs="Arial"/>
          <w:color w:val="000000" w:themeColor="text1"/>
          <w:sz w:val="22"/>
        </w:rPr>
      </w:pPr>
      <w:r w:rsidRPr="00E04191">
        <w:rPr>
          <w:rFonts w:ascii="Arial" w:hAnsi="Arial" w:cs="Arial"/>
          <w:color w:val="000000" w:themeColor="text1"/>
          <w:sz w:val="22"/>
        </w:rPr>
        <w:t>A manera de ejemplo, en materia contractual, los literales c), d) y j) del numeral 1 del artículo 8 de la Ley 80 de 1993</w:t>
      </w:r>
      <w:r w:rsidRPr="00E04191">
        <w:rPr>
          <w:rFonts w:ascii="Arial" w:hAnsi="Arial" w:cs="Arial"/>
          <w:color w:val="000000" w:themeColor="text1"/>
          <w:sz w:val="22"/>
          <w:vertAlign w:val="superscript"/>
        </w:rPr>
        <w:footnoteReference w:id="6"/>
      </w:r>
      <w:r w:rsidRPr="00E04191">
        <w:rPr>
          <w:rFonts w:ascii="Arial" w:hAnsi="Arial" w:cs="Arial"/>
          <w:color w:val="000000" w:themeColor="text1"/>
          <w:sz w:val="22"/>
        </w:rPr>
        <w:t xml:space="preserve"> establecen inhabilidades-sanción, porque la prohibición </w:t>
      </w:r>
      <w:r w:rsidRPr="00E04191">
        <w:rPr>
          <w:rFonts w:ascii="Arial" w:hAnsi="Arial" w:cs="Arial"/>
          <w:color w:val="000000" w:themeColor="text1"/>
          <w:sz w:val="22"/>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w:t>
      </w:r>
      <w:r w:rsidRPr="00E04191">
        <w:rPr>
          <w:rFonts w:ascii="Arial" w:hAnsi="Arial" w:cs="Arial"/>
          <w:color w:val="000000" w:themeColor="text1"/>
          <w:sz w:val="22"/>
        </w:rPr>
        <w:lastRenderedPageBreak/>
        <w:t xml:space="preserve">una falta o un delito que dio lugar a una declaratoria por parte de la Administración o el juez, sino de aspectos propios de la persona, derivados, por ejemplo, del parentesco o la afinidad o de la condición de servidor público. </w:t>
      </w:r>
    </w:p>
    <w:p w:rsidRPr="00E04191" w:rsidR="00F8649C" w:rsidP="00F77764" w:rsidRDefault="00F8649C" w14:paraId="62E565C8" w14:textId="77777777">
      <w:pPr>
        <w:spacing w:before="120" w:line="276" w:lineRule="auto"/>
        <w:ind w:firstLine="709"/>
        <w:jc w:val="both"/>
        <w:rPr>
          <w:rFonts w:ascii="Arial" w:hAnsi="Arial" w:cs="Arial"/>
          <w:color w:val="000000" w:themeColor="text1"/>
          <w:sz w:val="22"/>
        </w:rPr>
      </w:pPr>
      <w:r w:rsidRPr="00E04191">
        <w:rPr>
          <w:rFonts w:ascii="Arial" w:hAnsi="Arial" w:cs="Arial"/>
          <w:color w:val="000000" w:themeColor="text1"/>
          <w:sz w:val="22"/>
        </w:rPr>
        <w:t xml:space="preserve">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 </w:t>
      </w:r>
    </w:p>
    <w:p w:rsidRPr="00E04191" w:rsidR="00F8649C" w:rsidP="00F77764" w:rsidRDefault="00F8649C" w14:paraId="735A2E0F" w14:textId="481B7F03">
      <w:pPr>
        <w:spacing w:line="276" w:lineRule="auto"/>
        <w:jc w:val="both"/>
        <w:rPr>
          <w:rFonts w:ascii="Arial" w:hAnsi="Arial" w:cs="Arial"/>
          <w:color w:val="000000" w:themeColor="text1"/>
          <w:sz w:val="22"/>
        </w:rPr>
      </w:pPr>
    </w:p>
    <w:p w:rsidRPr="00E04191" w:rsidR="00D20CF9" w:rsidP="00D20CF9" w:rsidRDefault="00D20CF9" w14:paraId="13451EFF" w14:textId="02F1C2F8">
      <w:pPr>
        <w:tabs>
          <w:tab w:val="left" w:pos="426"/>
        </w:tabs>
        <w:spacing w:line="276" w:lineRule="auto"/>
        <w:jc w:val="both"/>
        <w:rPr>
          <w:rFonts w:ascii="Arial" w:hAnsi="Arial" w:eastAsia="Calibri" w:cs="Arial"/>
          <w:b/>
          <w:color w:val="000000" w:themeColor="text1"/>
          <w:sz w:val="22"/>
          <w:lang w:val="es-ES_tradnl"/>
        </w:rPr>
      </w:pPr>
      <w:r w:rsidRPr="00E04191">
        <w:rPr>
          <w:rFonts w:ascii="Arial" w:hAnsi="Arial" w:eastAsia="Calibri" w:cs="Arial"/>
          <w:b/>
          <w:color w:val="000000" w:themeColor="text1"/>
          <w:sz w:val="22"/>
          <w:lang w:val="es-ES_tradnl"/>
        </w:rPr>
        <w:t>2.</w:t>
      </w:r>
      <w:r w:rsidRPr="00E04191" w:rsidR="00F77764">
        <w:rPr>
          <w:rFonts w:ascii="Arial" w:hAnsi="Arial" w:eastAsia="Calibri" w:cs="Arial"/>
          <w:b/>
          <w:color w:val="000000" w:themeColor="text1"/>
          <w:sz w:val="22"/>
          <w:lang w:val="es-ES_tradnl"/>
        </w:rPr>
        <w:t xml:space="preserve">2. </w:t>
      </w:r>
      <w:r w:rsidRPr="00E04191">
        <w:rPr>
          <w:rFonts w:ascii="Arial" w:hAnsi="Arial" w:eastAsia="Calibri" w:cs="Arial"/>
          <w:b/>
          <w:color w:val="000000" w:themeColor="text1"/>
          <w:sz w:val="22"/>
          <w:lang w:val="es-ES_tradnl"/>
        </w:rPr>
        <w:t xml:space="preserve">Régimen de inhabilidades e incompatibilidades en la contratación estatal: un límite a la capacidad contractual. La interpretación restrictiva como criterio hermenéutico de los enunciados normativos gravosos </w:t>
      </w:r>
    </w:p>
    <w:p w:rsidRPr="00E04191" w:rsidR="00D20CF9" w:rsidP="00D20CF9" w:rsidRDefault="00D20CF9" w14:paraId="5DC2E0AC" w14:textId="77777777">
      <w:pPr>
        <w:spacing w:line="276" w:lineRule="auto"/>
        <w:jc w:val="both"/>
        <w:rPr>
          <w:rFonts w:ascii="Arial" w:hAnsi="Arial" w:eastAsia="Calibri" w:cs="Arial"/>
          <w:color w:val="000000" w:themeColor="text1"/>
          <w:sz w:val="22"/>
          <w:lang w:val="es-ES_tradnl"/>
        </w:rPr>
      </w:pPr>
    </w:p>
    <w:p w:rsidRPr="00E04191" w:rsidR="00D20CF9" w:rsidP="00D20CF9" w:rsidRDefault="00D20CF9" w14:paraId="1831FDA1" w14:textId="77777777">
      <w:pPr>
        <w:spacing w:line="276" w:lineRule="auto"/>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t xml:space="preserve">En la contratación estatal, la </w:t>
      </w:r>
      <w:r w:rsidRPr="00E04191">
        <w:rPr>
          <w:rFonts w:ascii="Arial" w:hAnsi="Arial" w:eastAsia="Calibri" w:cs="Arial"/>
          <w:i/>
          <w:iCs/>
          <w:color w:val="000000" w:themeColor="text1"/>
          <w:sz w:val="22"/>
          <w:lang w:val="es-ES_tradnl"/>
        </w:rPr>
        <w:t>capacidad</w:t>
      </w:r>
      <w:r w:rsidRPr="00E04191">
        <w:rPr>
          <w:rFonts w:ascii="Arial" w:hAnsi="Arial" w:eastAsia="Calibri" w:cs="Arial"/>
          <w:color w:val="000000" w:themeColor="text1"/>
          <w:sz w:val="22"/>
          <w:lang w:val="es-ES_tradnl"/>
        </w:rPr>
        <w:t xml:space="preserve"> también es un requisito de validez de los contratos, tanto en el régimen de las entidades sujetas al Estatuto General de Contratación de la Administración Pública</w:t>
      </w:r>
      <w:r w:rsidRPr="00E04191">
        <w:rPr>
          <w:rFonts w:ascii="Arial" w:hAnsi="Arial" w:eastAsia="Calibri" w:cs="Arial"/>
          <w:color w:val="000000" w:themeColor="text1"/>
          <w:sz w:val="22"/>
          <w:vertAlign w:val="superscript"/>
          <w:lang w:val="es-ES_tradnl"/>
        </w:rPr>
        <w:footnoteReference w:id="7"/>
      </w:r>
      <w:r w:rsidRPr="00E04191">
        <w:rPr>
          <w:rFonts w:ascii="Arial" w:hAnsi="Arial" w:eastAsia="Calibri" w:cs="Arial"/>
          <w:color w:val="000000" w:themeColor="text1"/>
          <w:sz w:val="22"/>
          <w:lang w:val="es-ES_tradnl"/>
        </w:rPr>
        <w:t xml:space="preserve"> como en el de las entidades exceptuadas de aquel</w:t>
      </w:r>
      <w:r w:rsidRPr="00E04191">
        <w:rPr>
          <w:rFonts w:ascii="Arial" w:hAnsi="Arial" w:eastAsia="Calibri" w:cs="Arial"/>
          <w:color w:val="000000" w:themeColor="text1"/>
          <w:sz w:val="22"/>
          <w:vertAlign w:val="superscript"/>
          <w:lang w:val="es-ES_tradnl"/>
        </w:rPr>
        <w:footnoteReference w:id="8"/>
      </w:r>
      <w:r w:rsidRPr="00E04191">
        <w:rPr>
          <w:rFonts w:ascii="Arial" w:hAnsi="Arial" w:eastAsia="Calibri" w:cs="Arial"/>
          <w:color w:val="000000" w:themeColor="text1"/>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E04191">
        <w:rPr>
          <w:rFonts w:ascii="Arial" w:hAnsi="Arial" w:eastAsia="Calibri" w:cs="Arial"/>
          <w:color w:val="000000" w:themeColor="text1"/>
          <w:sz w:val="22"/>
          <w:vertAlign w:val="superscript"/>
          <w:lang w:val="es-ES_tradnl"/>
        </w:rPr>
        <w:footnoteReference w:id="9"/>
      </w:r>
      <w:r w:rsidRPr="00E04191">
        <w:rPr>
          <w:rFonts w:ascii="Arial" w:hAnsi="Arial" w:eastAsia="Calibri" w:cs="Arial"/>
          <w:color w:val="000000" w:themeColor="text1"/>
          <w:sz w:val="22"/>
          <w:lang w:val="es-ES_tradnl"/>
        </w:rPr>
        <w:t xml:space="preserve">–, se destaca el régimen de inhabilidades e incompatibilidades </w:t>
      </w:r>
      <w:r w:rsidRPr="00E04191">
        <w:rPr>
          <w:rFonts w:ascii="Arial" w:hAnsi="Arial" w:eastAsia="Calibri" w:cs="Arial"/>
          <w:color w:val="000000" w:themeColor="text1"/>
          <w:sz w:val="22"/>
          <w:lang w:val="es-ES_tradnl"/>
        </w:rPr>
        <w:lastRenderedPageBreak/>
        <w:t>como un conjunto de enunciados normativos que imponen restricciones para los sujetos que, eventualmente, pretendan participar en los procedimientos de selección o celebrar contratos con las entidades estatales</w:t>
      </w:r>
      <w:r w:rsidRPr="00E04191">
        <w:rPr>
          <w:rFonts w:ascii="Arial" w:hAnsi="Arial" w:eastAsia="Calibri" w:cs="Arial"/>
          <w:color w:val="000000" w:themeColor="text1"/>
          <w:sz w:val="22"/>
          <w:vertAlign w:val="superscript"/>
          <w:lang w:val="es-ES_tradnl"/>
        </w:rPr>
        <w:footnoteReference w:id="10"/>
      </w:r>
      <w:r w:rsidRPr="00E04191">
        <w:rPr>
          <w:rFonts w:ascii="Arial" w:hAnsi="Arial" w:eastAsia="Calibri" w:cs="Arial"/>
          <w:color w:val="000000" w:themeColor="text1"/>
          <w:sz w:val="22"/>
          <w:lang w:val="es-ES_tradnl"/>
        </w:rPr>
        <w:t>.</w:t>
      </w:r>
    </w:p>
    <w:p w:rsidRPr="00E04191" w:rsidR="00D20CF9" w:rsidP="00D20CF9" w:rsidRDefault="00D20CF9" w14:paraId="50DBC67B" w14:textId="77777777">
      <w:pPr>
        <w:spacing w:before="120" w:after="120" w:line="276" w:lineRule="auto"/>
        <w:ind w:firstLine="709"/>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E04191">
        <w:rPr>
          <w:rFonts w:ascii="Arial" w:hAnsi="Arial" w:eastAsia="Calibri" w:cs="Arial"/>
          <w:color w:val="000000" w:themeColor="text1"/>
          <w:sz w:val="22"/>
          <w:vertAlign w:val="superscript"/>
          <w:lang w:val="es-ES_tradnl"/>
        </w:rPr>
        <w:footnoteReference w:id="11"/>
      </w:r>
      <w:r w:rsidRPr="00E04191">
        <w:rPr>
          <w:rFonts w:ascii="Arial" w:hAnsi="Arial" w:eastAsia="Calibri" w:cs="Arial"/>
          <w:color w:val="000000" w:themeColor="text1"/>
          <w:sz w:val="22"/>
          <w:lang w:val="es-ES_tradnl"/>
        </w:rPr>
        <w:t xml:space="preserve">, </w:t>
      </w:r>
      <w:proofErr w:type="spellStart"/>
      <w:r w:rsidRPr="00E04191">
        <w:rPr>
          <w:rFonts w:ascii="Arial" w:hAnsi="Arial" w:eastAsia="Calibri" w:cs="Arial"/>
          <w:color w:val="000000" w:themeColor="text1"/>
          <w:sz w:val="22"/>
          <w:lang w:val="es-ES_tradnl"/>
        </w:rPr>
        <w:t>ii</w:t>
      </w:r>
      <w:proofErr w:type="spellEnd"/>
      <w:r w:rsidRPr="00E04191">
        <w:rPr>
          <w:rFonts w:ascii="Arial" w:hAnsi="Arial" w:eastAsia="Calibri" w:cs="Arial"/>
          <w:color w:val="000000" w:themeColor="text1"/>
          <w:sz w:val="22"/>
          <w:lang w:val="es-ES_tradnl"/>
        </w:rPr>
        <w:t>) de vínculos personales relativos al parentesco o al estado civil</w:t>
      </w:r>
      <w:r w:rsidRPr="00E04191">
        <w:rPr>
          <w:rFonts w:ascii="Arial" w:hAnsi="Arial" w:eastAsia="Calibri" w:cs="Arial"/>
          <w:color w:val="000000" w:themeColor="text1"/>
          <w:sz w:val="22"/>
          <w:vertAlign w:val="superscript"/>
          <w:lang w:val="es-ES_tradnl"/>
        </w:rPr>
        <w:footnoteReference w:id="12"/>
      </w:r>
      <w:r w:rsidRPr="00E04191">
        <w:rPr>
          <w:rFonts w:ascii="Arial" w:hAnsi="Arial" w:eastAsia="Calibri" w:cs="Arial"/>
          <w:color w:val="000000" w:themeColor="text1"/>
          <w:sz w:val="22"/>
          <w:lang w:val="es-ES_tradnl"/>
        </w:rPr>
        <w:t xml:space="preserve"> o </w:t>
      </w:r>
      <w:proofErr w:type="spellStart"/>
      <w:r w:rsidRPr="00E04191">
        <w:rPr>
          <w:rFonts w:ascii="Arial" w:hAnsi="Arial" w:eastAsia="Calibri" w:cs="Arial"/>
          <w:color w:val="000000" w:themeColor="text1"/>
          <w:sz w:val="22"/>
          <w:lang w:val="es-ES_tradnl"/>
        </w:rPr>
        <w:t>iii</w:t>
      </w:r>
      <w:proofErr w:type="spellEnd"/>
      <w:r w:rsidRPr="00E04191">
        <w:rPr>
          <w:rFonts w:ascii="Arial" w:hAnsi="Arial" w:eastAsia="Calibri" w:cs="Arial"/>
          <w:color w:val="000000" w:themeColor="text1"/>
          <w:sz w:val="22"/>
          <w:lang w:val="es-ES_tradnl"/>
        </w:rPr>
        <w:t xml:space="preserve">) de una actividad u oficio que se </w:t>
      </w:r>
      <w:r w:rsidRPr="00E04191">
        <w:rPr>
          <w:rFonts w:ascii="Arial" w:hAnsi="Arial" w:eastAsia="Calibri" w:cs="Arial"/>
          <w:color w:val="000000" w:themeColor="text1"/>
          <w:sz w:val="22"/>
          <w:lang w:val="es-ES_tradnl"/>
        </w:rPr>
        <w:lastRenderedPageBreak/>
        <w:t>desempeñó en el pasado</w:t>
      </w:r>
      <w:r w:rsidRPr="00E04191">
        <w:rPr>
          <w:rFonts w:ascii="Arial" w:hAnsi="Arial" w:eastAsia="Calibri" w:cs="Arial"/>
          <w:color w:val="000000" w:themeColor="text1"/>
          <w:sz w:val="22"/>
          <w:vertAlign w:val="superscript"/>
          <w:lang w:val="es-ES_tradnl"/>
        </w:rPr>
        <w:footnoteReference w:id="13"/>
      </w:r>
      <w:r w:rsidRPr="00E04191">
        <w:rPr>
          <w:rFonts w:ascii="Arial" w:hAnsi="Arial" w:eastAsia="Calibri" w:cs="Arial"/>
          <w:color w:val="000000" w:themeColor="text1"/>
          <w:sz w:val="22"/>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E04191">
        <w:rPr>
          <w:rFonts w:ascii="Arial" w:hAnsi="Arial" w:eastAsia="Calibri" w:cs="Arial"/>
          <w:color w:val="000000" w:themeColor="text1"/>
          <w:sz w:val="22"/>
          <w:vertAlign w:val="superscript"/>
          <w:lang w:val="es-ES_tradnl"/>
        </w:rPr>
        <w:footnoteReference w:id="14"/>
      </w:r>
      <w:r w:rsidRPr="00E04191">
        <w:rPr>
          <w:rFonts w:ascii="Arial" w:hAnsi="Arial" w:eastAsia="Calibri" w:cs="Arial"/>
          <w:color w:val="000000" w:themeColor="text1"/>
          <w:sz w:val="22"/>
          <w:lang w:val="es-ES_tradnl"/>
        </w:rPr>
        <w:t xml:space="preserve">. </w:t>
      </w:r>
    </w:p>
    <w:p w:rsidRPr="00E04191" w:rsidR="00D20CF9" w:rsidP="00D20CF9" w:rsidRDefault="00D20CF9" w14:paraId="1A5A30FB" w14:textId="77777777">
      <w:pPr>
        <w:spacing w:before="120" w:after="120" w:line="276" w:lineRule="auto"/>
        <w:ind w:firstLine="709"/>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lastRenderedPageBreak/>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w:t>
      </w:r>
      <w:proofErr w:type="gramStart"/>
      <w:r w:rsidRPr="00E04191">
        <w:rPr>
          <w:rFonts w:ascii="Arial" w:hAnsi="Arial" w:eastAsia="Calibri" w:cs="Arial"/>
          <w:color w:val="000000" w:themeColor="text1"/>
          <w:sz w:val="22"/>
          <w:lang w:val="es-ES_tradnl"/>
        </w:rPr>
        <w:t>que</w:t>
      </w:r>
      <w:proofErr w:type="gramEnd"/>
      <w:r w:rsidRPr="00E04191">
        <w:rPr>
          <w:rFonts w:ascii="Arial" w:hAnsi="Arial" w:eastAsia="Calibri" w:cs="Arial"/>
          <w:color w:val="000000" w:themeColor="text1"/>
          <w:sz w:val="22"/>
          <w:lang w:val="es-ES_tradnl"/>
        </w:rPr>
        <w:t>, como lo ha destacado la doctrina, las inhabilidades e incompatibilidades se han convertido en herramientas en la lucha contra la corrupción, adoptando paulatinamente un cariz sancionatorio o «</w:t>
      </w:r>
      <w:proofErr w:type="spellStart"/>
      <w:r w:rsidRPr="00E04191">
        <w:rPr>
          <w:rFonts w:ascii="Arial" w:hAnsi="Arial" w:eastAsia="Calibri" w:cs="Arial"/>
          <w:color w:val="000000" w:themeColor="text1"/>
          <w:sz w:val="22"/>
          <w:lang w:val="es-ES_tradnl"/>
        </w:rPr>
        <w:t>neopunitivo</w:t>
      </w:r>
      <w:proofErr w:type="spellEnd"/>
      <w:r w:rsidRPr="00E04191">
        <w:rPr>
          <w:rFonts w:ascii="Arial" w:hAnsi="Arial" w:eastAsia="Calibri" w:cs="Arial"/>
          <w:color w:val="000000" w:themeColor="text1"/>
          <w:sz w:val="22"/>
          <w:lang w:val="es-ES_tradnl"/>
        </w:rPr>
        <w:t>»</w:t>
      </w:r>
      <w:r w:rsidRPr="00E04191">
        <w:rPr>
          <w:rFonts w:ascii="Arial" w:hAnsi="Arial" w:eastAsia="Calibri" w:cs="Arial"/>
          <w:color w:val="000000" w:themeColor="text1"/>
          <w:sz w:val="22"/>
          <w:vertAlign w:val="superscript"/>
          <w:lang w:val="es-ES_tradnl"/>
        </w:rPr>
        <w:footnoteReference w:id="15"/>
      </w:r>
      <w:r w:rsidRPr="00E04191">
        <w:rPr>
          <w:rFonts w:ascii="Arial" w:hAnsi="Arial" w:eastAsia="Calibri"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rsidRPr="00E04191" w:rsidR="00D20CF9" w:rsidP="00D20CF9" w:rsidRDefault="00D20CF9" w14:paraId="1115CDED" w14:textId="77777777">
      <w:pPr>
        <w:spacing w:before="120" w:after="120" w:line="276" w:lineRule="auto"/>
        <w:ind w:firstLine="709"/>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E04191">
        <w:rPr>
          <w:rFonts w:ascii="Arial" w:hAnsi="Arial" w:eastAsia="Calibri" w:cs="Arial"/>
          <w:i/>
          <w:iCs/>
          <w:color w:val="000000" w:themeColor="text1"/>
          <w:sz w:val="22"/>
          <w:lang w:val="es-ES_tradnl"/>
        </w:rPr>
        <w:t>restrictiva</w:t>
      </w:r>
      <w:r w:rsidRPr="00E04191">
        <w:rPr>
          <w:rFonts w:ascii="Arial" w:hAnsi="Arial" w:eastAsia="Calibri" w:cs="Arial"/>
          <w:color w:val="000000" w:themeColor="text1"/>
          <w:sz w:val="22"/>
          <w:vertAlign w:val="superscript"/>
          <w:lang w:val="es-ES_tradnl"/>
        </w:rPr>
        <w:footnoteReference w:id="16"/>
      </w:r>
      <w:r w:rsidRPr="00E04191">
        <w:rPr>
          <w:rFonts w:ascii="Arial" w:hAnsi="Arial" w:eastAsia="Calibri"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rsidRPr="00E04191" w:rsidR="00D20CF9" w:rsidP="00D20CF9" w:rsidRDefault="00D20CF9" w14:paraId="0C89AE2E" w14:textId="77777777">
      <w:pPr>
        <w:spacing w:line="276" w:lineRule="auto"/>
        <w:ind w:firstLine="709"/>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E04191">
        <w:rPr>
          <w:rFonts w:ascii="Arial" w:hAnsi="Arial" w:eastAsia="Calibri" w:cs="Arial"/>
          <w:color w:val="000000" w:themeColor="text1"/>
          <w:sz w:val="22"/>
          <w:vertAlign w:val="superscript"/>
          <w:lang w:val="es-ES_tradnl"/>
        </w:rPr>
        <w:footnoteReference w:id="17"/>
      </w:r>
      <w:r w:rsidRPr="00E04191">
        <w:rPr>
          <w:rFonts w:ascii="Arial" w:hAnsi="Arial" w:eastAsia="Calibri" w:cs="Arial"/>
          <w:color w:val="000000" w:themeColor="text1"/>
          <w:sz w:val="22"/>
          <w:lang w:val="es-ES_tradnl"/>
        </w:rPr>
        <w:t xml:space="preserve">. Por su parte, el Consejo de Estado ha acogido también este criterio, considerando –como expresa la Sala de Consulta y Servicio Civil–, que «La interpretación </w:t>
      </w:r>
      <w:r w:rsidRPr="00E04191">
        <w:rPr>
          <w:rFonts w:ascii="Arial" w:hAnsi="Arial" w:eastAsia="Calibri" w:cs="Arial"/>
          <w:color w:val="000000" w:themeColor="text1"/>
          <w:sz w:val="22"/>
          <w:lang w:val="es-ES_tradnl"/>
        </w:rPr>
        <w:lastRenderedPageBreak/>
        <w:t>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E04191">
        <w:rPr>
          <w:rFonts w:ascii="Arial" w:hAnsi="Arial" w:eastAsia="Calibri" w:cs="Arial"/>
          <w:color w:val="000000" w:themeColor="text1"/>
          <w:sz w:val="22"/>
          <w:vertAlign w:val="superscript"/>
          <w:lang w:val="es-ES_tradnl"/>
        </w:rPr>
        <w:footnoteReference w:id="18"/>
      </w:r>
      <w:r w:rsidRPr="00E04191">
        <w:rPr>
          <w:rFonts w:ascii="Arial" w:hAnsi="Arial" w:eastAsia="Calibri" w:cs="Arial"/>
          <w:color w:val="000000" w:themeColor="text1"/>
          <w:sz w:val="22"/>
          <w:lang w:val="es-ES_tradnl"/>
        </w:rPr>
        <w:t>. En tal sentido, la Sección Tercera ha señalado que:</w:t>
      </w:r>
    </w:p>
    <w:p w:rsidRPr="00E04191" w:rsidR="00D20CF9" w:rsidP="00D20CF9" w:rsidRDefault="00D20CF9" w14:paraId="18EBCD37" w14:textId="77777777">
      <w:pPr>
        <w:spacing w:line="276" w:lineRule="auto"/>
        <w:ind w:firstLine="709"/>
        <w:jc w:val="both"/>
        <w:rPr>
          <w:rFonts w:ascii="Arial" w:hAnsi="Arial" w:eastAsia="Calibri" w:cs="Arial"/>
          <w:color w:val="000000" w:themeColor="text1"/>
          <w:sz w:val="22"/>
          <w:lang w:val="es-ES_tradnl"/>
        </w:rPr>
      </w:pPr>
    </w:p>
    <w:p w:rsidRPr="00E04191" w:rsidR="00D20CF9" w:rsidP="00A17A79" w:rsidRDefault="00D20CF9" w14:paraId="292C7ACB" w14:textId="77777777">
      <w:pPr>
        <w:ind w:left="709" w:right="709"/>
        <w:jc w:val="both"/>
        <w:rPr>
          <w:rFonts w:ascii="Arial" w:hAnsi="Arial" w:cs="Arial"/>
          <w:bCs/>
          <w:color w:val="000000" w:themeColor="text1"/>
          <w:sz w:val="21"/>
          <w:szCs w:val="21"/>
          <w:lang w:val="es-ES_tradnl"/>
        </w:rPr>
      </w:pPr>
      <w:r w:rsidRPr="00E04191">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04191">
        <w:rPr>
          <w:rFonts w:ascii="Arial" w:hAnsi="Arial" w:cs="Arial"/>
          <w:color w:val="000000" w:themeColor="text1"/>
          <w:sz w:val="21"/>
          <w:szCs w:val="21"/>
          <w:vertAlign w:val="superscript"/>
          <w:lang w:val="es-ES_tradnl"/>
        </w:rPr>
        <w:footnoteReference w:id="19"/>
      </w:r>
      <w:r w:rsidRPr="00E04191">
        <w:rPr>
          <w:rFonts w:ascii="Arial" w:hAnsi="Arial" w:cs="Arial"/>
          <w:color w:val="000000" w:themeColor="text1"/>
          <w:sz w:val="21"/>
          <w:szCs w:val="21"/>
          <w:lang w:val="es-ES_tradnl"/>
        </w:rPr>
        <w:t>.</w:t>
      </w:r>
    </w:p>
    <w:p w:rsidRPr="00E04191" w:rsidR="00D20CF9" w:rsidP="00FF2C1B" w:rsidRDefault="00D20CF9" w14:paraId="2A6F7FFC" w14:textId="77777777">
      <w:pPr>
        <w:ind w:firstLine="709"/>
        <w:jc w:val="both"/>
        <w:rPr>
          <w:rFonts w:ascii="Arial" w:hAnsi="Arial" w:eastAsia="Calibri" w:cs="Arial"/>
          <w:color w:val="000000" w:themeColor="text1"/>
          <w:sz w:val="22"/>
          <w:lang w:val="es-ES_tradnl"/>
        </w:rPr>
      </w:pPr>
    </w:p>
    <w:p w:rsidRPr="00E04191" w:rsidR="00D20CF9" w:rsidP="00A17A79" w:rsidRDefault="00D20CF9" w14:paraId="128DAFE8" w14:textId="77777777">
      <w:pPr>
        <w:ind w:firstLine="709"/>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t>También ha dicho que:</w:t>
      </w:r>
    </w:p>
    <w:p w:rsidRPr="00E04191" w:rsidR="00D20CF9" w:rsidP="00FF2C1B" w:rsidRDefault="00D20CF9" w14:paraId="60A20416" w14:textId="77777777">
      <w:pPr>
        <w:ind w:firstLine="709"/>
        <w:jc w:val="both"/>
        <w:rPr>
          <w:rFonts w:ascii="Arial" w:hAnsi="Arial" w:eastAsia="Calibri" w:cs="Arial"/>
          <w:color w:val="000000" w:themeColor="text1"/>
          <w:sz w:val="22"/>
          <w:lang w:val="es-ES_tradnl"/>
        </w:rPr>
      </w:pPr>
    </w:p>
    <w:p w:rsidRPr="00E04191" w:rsidR="00D20CF9" w:rsidP="00A17A79" w:rsidRDefault="00D20CF9" w14:paraId="4283B1A9" w14:textId="77777777">
      <w:pPr>
        <w:ind w:left="709" w:right="709"/>
        <w:jc w:val="both"/>
        <w:rPr>
          <w:rFonts w:ascii="Arial" w:hAnsi="Arial" w:cs="Arial"/>
          <w:color w:val="000000" w:themeColor="text1"/>
          <w:sz w:val="21"/>
          <w:szCs w:val="21"/>
          <w:lang w:val="es-ES_tradnl"/>
        </w:rPr>
      </w:pPr>
      <w:r w:rsidRPr="00E04191">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E04191">
        <w:rPr>
          <w:rFonts w:ascii="Arial" w:hAnsi="Arial" w:cs="Arial"/>
          <w:i/>
          <w:iCs/>
          <w:color w:val="000000" w:themeColor="text1"/>
          <w:sz w:val="21"/>
          <w:szCs w:val="21"/>
          <w:lang w:val="es-ES_tradnl"/>
        </w:rPr>
        <w:t xml:space="preserve">pro </w:t>
      </w:r>
      <w:proofErr w:type="spellStart"/>
      <w:r w:rsidRPr="00E04191">
        <w:rPr>
          <w:rFonts w:ascii="Arial" w:hAnsi="Arial" w:cs="Arial"/>
          <w:i/>
          <w:iCs/>
          <w:color w:val="000000" w:themeColor="text1"/>
          <w:sz w:val="21"/>
          <w:szCs w:val="21"/>
          <w:lang w:val="es-ES_tradnl"/>
        </w:rPr>
        <w:t>libertate</w:t>
      </w:r>
      <w:proofErr w:type="spellEnd"/>
      <w:r w:rsidRPr="00E04191">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E04191">
        <w:rPr>
          <w:rFonts w:ascii="Arial" w:hAnsi="Arial" w:cs="Arial"/>
          <w:color w:val="000000" w:themeColor="text1"/>
          <w:sz w:val="21"/>
          <w:szCs w:val="21"/>
          <w:vertAlign w:val="superscript"/>
          <w:lang w:val="es-ES_tradnl"/>
        </w:rPr>
        <w:footnoteReference w:id="20"/>
      </w:r>
      <w:r w:rsidRPr="00E04191">
        <w:rPr>
          <w:rFonts w:ascii="Arial" w:hAnsi="Arial" w:cs="Arial"/>
          <w:color w:val="000000" w:themeColor="text1"/>
          <w:sz w:val="21"/>
          <w:szCs w:val="21"/>
          <w:lang w:val="es-ES_tradnl"/>
        </w:rPr>
        <w:t>.</w:t>
      </w:r>
    </w:p>
    <w:p w:rsidRPr="00E04191" w:rsidR="00D20CF9" w:rsidP="00D20CF9" w:rsidRDefault="00D20CF9" w14:paraId="514368ED" w14:textId="77777777">
      <w:pPr>
        <w:spacing w:line="276" w:lineRule="auto"/>
        <w:jc w:val="both"/>
        <w:rPr>
          <w:rFonts w:ascii="Arial" w:hAnsi="Arial" w:eastAsia="Calibri" w:cs="Arial"/>
          <w:color w:val="000000" w:themeColor="text1"/>
          <w:sz w:val="22"/>
          <w:lang w:val="es-ES_tradnl"/>
        </w:rPr>
      </w:pPr>
    </w:p>
    <w:p w:rsidRPr="00E04191" w:rsidR="00D20CF9" w:rsidP="00B932D1" w:rsidRDefault="00D20CF9" w14:paraId="61E46D61" w14:textId="4E5CE0D9">
      <w:pPr>
        <w:spacing w:before="120" w:line="276" w:lineRule="auto"/>
        <w:ind w:firstLine="709"/>
        <w:jc w:val="both"/>
        <w:rPr>
          <w:rFonts w:ascii="Arial" w:hAnsi="Arial" w:eastAsia="Calibri" w:cs="Arial"/>
          <w:color w:val="000000" w:themeColor="text1"/>
          <w:sz w:val="22"/>
          <w:lang w:val="es-ES_tradnl"/>
        </w:rPr>
      </w:pPr>
      <w:r w:rsidRPr="00E04191">
        <w:rPr>
          <w:rFonts w:ascii="Arial" w:hAnsi="Arial" w:eastAsia="Calibri" w:cs="Arial"/>
          <w:color w:val="000000" w:themeColor="text1"/>
          <w:sz w:val="22"/>
          <w:lang w:val="es-ES_tradnl"/>
        </w:rPr>
        <w:t xml:space="preserve">Como se aprecia, el principio </w:t>
      </w:r>
      <w:r w:rsidRPr="00E04191">
        <w:rPr>
          <w:rFonts w:ascii="Arial" w:hAnsi="Arial" w:eastAsia="Calibri" w:cs="Arial"/>
          <w:i/>
          <w:iCs/>
          <w:color w:val="000000" w:themeColor="text1"/>
          <w:sz w:val="22"/>
          <w:lang w:val="es-ES_tradnl"/>
        </w:rPr>
        <w:t xml:space="preserve">pro </w:t>
      </w:r>
      <w:proofErr w:type="spellStart"/>
      <w:r w:rsidRPr="00E04191">
        <w:rPr>
          <w:rFonts w:ascii="Arial" w:hAnsi="Arial" w:eastAsia="Calibri" w:cs="Arial"/>
          <w:i/>
          <w:iCs/>
          <w:color w:val="000000" w:themeColor="text1"/>
          <w:sz w:val="22"/>
          <w:lang w:val="es-ES_tradnl"/>
        </w:rPr>
        <w:t>libertate</w:t>
      </w:r>
      <w:proofErr w:type="spellEnd"/>
      <w:r w:rsidRPr="00E04191">
        <w:rPr>
          <w:rFonts w:ascii="Arial" w:hAnsi="Arial" w:eastAsia="Calibri"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p>
    <w:p w:rsidRPr="00E04191" w:rsidR="00A22BDF" w:rsidP="00B932D1" w:rsidRDefault="00A22BDF" w14:paraId="5C2ABFDE" w14:textId="6F0F9C16">
      <w:pPr>
        <w:spacing w:line="276" w:lineRule="auto"/>
        <w:jc w:val="both"/>
        <w:rPr>
          <w:rFonts w:ascii="Arial" w:hAnsi="Arial" w:eastAsia="Calibri" w:cs="Arial"/>
          <w:color w:val="000000" w:themeColor="text1"/>
          <w:sz w:val="22"/>
          <w:lang w:val="es-ES_tradnl"/>
        </w:rPr>
      </w:pPr>
    </w:p>
    <w:p w:rsidRPr="00E04191" w:rsidR="00A22BDF" w:rsidP="00B932D1" w:rsidRDefault="00A22BDF" w14:paraId="44E3DC2C" w14:textId="5601F6A2">
      <w:pPr>
        <w:spacing w:line="276" w:lineRule="auto"/>
        <w:jc w:val="both"/>
        <w:rPr>
          <w:rFonts w:ascii="Arial" w:hAnsi="Arial" w:cs="Arial"/>
          <w:b/>
          <w:bCs/>
          <w:color w:val="000000" w:themeColor="text1"/>
          <w:sz w:val="22"/>
        </w:rPr>
      </w:pPr>
      <w:r w:rsidRPr="00E04191">
        <w:rPr>
          <w:rFonts w:ascii="Arial" w:hAnsi="Arial" w:cs="Arial"/>
          <w:b/>
          <w:bCs/>
          <w:color w:val="000000" w:themeColor="text1"/>
          <w:sz w:val="22"/>
        </w:rPr>
        <w:t xml:space="preserve">2.3. </w:t>
      </w:r>
      <w:r w:rsidRPr="00E04191" w:rsidR="002E20BB">
        <w:rPr>
          <w:rFonts w:ascii="Arial" w:hAnsi="Arial" w:cs="Arial"/>
          <w:b/>
          <w:bCs/>
          <w:color w:val="000000" w:themeColor="text1"/>
          <w:sz w:val="22"/>
        </w:rPr>
        <w:t xml:space="preserve">Ley </w:t>
      </w:r>
      <w:r w:rsidRPr="00E04191" w:rsidR="008C09D0">
        <w:rPr>
          <w:rFonts w:ascii="Arial" w:hAnsi="Arial" w:cs="Arial"/>
          <w:b/>
          <w:bCs/>
          <w:color w:val="000000" w:themeColor="text1"/>
          <w:sz w:val="22"/>
        </w:rPr>
        <w:t>769 de 20</w:t>
      </w:r>
      <w:r w:rsidRPr="00E04191" w:rsidR="00D34E42">
        <w:rPr>
          <w:rFonts w:ascii="Arial" w:hAnsi="Arial" w:cs="Arial"/>
          <w:b/>
          <w:bCs/>
          <w:color w:val="000000" w:themeColor="text1"/>
          <w:sz w:val="22"/>
        </w:rPr>
        <w:t>02</w:t>
      </w:r>
      <w:r w:rsidRPr="00E04191" w:rsidR="008C09D0">
        <w:rPr>
          <w:rFonts w:ascii="Arial" w:hAnsi="Arial" w:cs="Arial"/>
          <w:b/>
          <w:bCs/>
          <w:color w:val="000000" w:themeColor="text1"/>
          <w:sz w:val="22"/>
        </w:rPr>
        <w:t xml:space="preserve"> ─ Código Nacional de Tránsito</w:t>
      </w:r>
    </w:p>
    <w:p w:rsidRPr="00E04191" w:rsidR="008C09D0" w:rsidP="00B932D1" w:rsidRDefault="008C09D0" w14:paraId="76A481D8" w14:textId="20163172">
      <w:pPr>
        <w:spacing w:line="276" w:lineRule="auto"/>
        <w:jc w:val="both"/>
        <w:rPr>
          <w:rFonts w:ascii="Arial" w:hAnsi="Arial" w:cs="Arial"/>
          <w:b/>
          <w:bCs/>
          <w:color w:val="000000" w:themeColor="text1"/>
          <w:sz w:val="22"/>
        </w:rPr>
      </w:pPr>
    </w:p>
    <w:p w:rsidRPr="00E04191" w:rsidR="008C09D0" w:rsidP="00945D7C" w:rsidRDefault="00EC64DD" w14:paraId="0E73A8ED" w14:textId="15200D29">
      <w:pPr>
        <w:spacing w:after="120" w:line="276" w:lineRule="auto"/>
        <w:jc w:val="both"/>
        <w:rPr>
          <w:rFonts w:ascii="Arial" w:hAnsi="Arial" w:cs="Arial"/>
          <w:color w:val="000000" w:themeColor="text1"/>
          <w:sz w:val="22"/>
        </w:rPr>
      </w:pPr>
      <w:r w:rsidRPr="00E04191">
        <w:rPr>
          <w:rFonts w:ascii="Arial" w:hAnsi="Arial" w:cs="Arial"/>
          <w:color w:val="000000" w:themeColor="text1"/>
          <w:sz w:val="22"/>
        </w:rPr>
        <w:t xml:space="preserve">La Constitución Política de Colombia </w:t>
      </w:r>
      <w:r w:rsidRPr="00E04191" w:rsidR="006F1118">
        <w:rPr>
          <w:rFonts w:ascii="Arial" w:hAnsi="Arial" w:cs="Arial"/>
          <w:color w:val="000000" w:themeColor="text1"/>
          <w:sz w:val="22"/>
        </w:rPr>
        <w:t>garantiza</w:t>
      </w:r>
      <w:r w:rsidRPr="00E04191">
        <w:rPr>
          <w:rFonts w:ascii="Arial" w:hAnsi="Arial" w:cs="Arial"/>
          <w:color w:val="000000" w:themeColor="text1"/>
          <w:sz w:val="22"/>
        </w:rPr>
        <w:t>, entre otros</w:t>
      </w:r>
      <w:r w:rsidRPr="00E04191" w:rsidR="0094332A">
        <w:rPr>
          <w:rFonts w:ascii="Arial" w:hAnsi="Arial" w:cs="Arial"/>
          <w:color w:val="000000" w:themeColor="text1"/>
          <w:sz w:val="22"/>
        </w:rPr>
        <w:t xml:space="preserve"> derechos fundamentales</w:t>
      </w:r>
      <w:r w:rsidRPr="00E04191">
        <w:rPr>
          <w:rFonts w:ascii="Arial" w:hAnsi="Arial" w:cs="Arial"/>
          <w:color w:val="000000" w:themeColor="text1"/>
          <w:sz w:val="22"/>
        </w:rPr>
        <w:t>, la libertad de circulación</w:t>
      </w:r>
      <w:r w:rsidRPr="00E04191" w:rsidR="00D71DDD">
        <w:rPr>
          <w:rStyle w:val="Refdenotaalpie"/>
          <w:rFonts w:ascii="Arial" w:hAnsi="Arial" w:cs="Arial"/>
          <w:color w:val="000000" w:themeColor="text1"/>
          <w:sz w:val="22"/>
        </w:rPr>
        <w:footnoteReference w:id="21"/>
      </w:r>
      <w:r w:rsidRPr="00E04191" w:rsidR="006F1118">
        <w:rPr>
          <w:rFonts w:ascii="Arial" w:hAnsi="Arial" w:cs="Arial"/>
          <w:color w:val="000000" w:themeColor="text1"/>
          <w:sz w:val="22"/>
        </w:rPr>
        <w:t>.</w:t>
      </w:r>
      <w:r w:rsidRPr="00E04191" w:rsidR="00D20698">
        <w:rPr>
          <w:rFonts w:ascii="Arial" w:hAnsi="Arial" w:cs="Arial"/>
          <w:color w:val="000000" w:themeColor="text1"/>
          <w:sz w:val="22"/>
        </w:rPr>
        <w:t xml:space="preserve"> </w:t>
      </w:r>
      <w:r w:rsidRPr="00E04191" w:rsidR="006F1118">
        <w:rPr>
          <w:rFonts w:ascii="Arial" w:hAnsi="Arial" w:cs="Arial"/>
          <w:color w:val="000000" w:themeColor="text1"/>
          <w:sz w:val="22"/>
        </w:rPr>
        <w:t>E</w:t>
      </w:r>
      <w:r w:rsidRPr="00E04191" w:rsidR="007030BD">
        <w:rPr>
          <w:rFonts w:ascii="Arial" w:hAnsi="Arial" w:cs="Arial"/>
          <w:color w:val="000000" w:themeColor="text1"/>
          <w:sz w:val="22"/>
        </w:rPr>
        <w:t>n ejercicio de la función legislativa del poder públic</w:t>
      </w:r>
      <w:r w:rsidRPr="00E04191" w:rsidR="0097289A">
        <w:rPr>
          <w:rFonts w:ascii="Arial" w:hAnsi="Arial" w:cs="Arial"/>
          <w:color w:val="000000" w:themeColor="text1"/>
          <w:sz w:val="22"/>
        </w:rPr>
        <w:t>o</w:t>
      </w:r>
      <w:r w:rsidRPr="00E04191" w:rsidR="007030BD">
        <w:rPr>
          <w:rFonts w:ascii="Arial" w:hAnsi="Arial" w:cs="Arial"/>
          <w:color w:val="000000" w:themeColor="text1"/>
          <w:sz w:val="22"/>
        </w:rPr>
        <w:t xml:space="preserve">, </w:t>
      </w:r>
      <w:r w:rsidRPr="00E04191" w:rsidR="00D20698">
        <w:rPr>
          <w:rFonts w:ascii="Arial" w:hAnsi="Arial" w:cs="Arial"/>
          <w:color w:val="000000" w:themeColor="text1"/>
          <w:sz w:val="22"/>
        </w:rPr>
        <w:t xml:space="preserve">el Congreso </w:t>
      </w:r>
      <w:r w:rsidRPr="00E04191" w:rsidR="00D20698">
        <w:rPr>
          <w:rFonts w:ascii="Arial" w:hAnsi="Arial" w:cs="Arial"/>
          <w:color w:val="000000" w:themeColor="text1"/>
          <w:sz w:val="22"/>
        </w:rPr>
        <w:lastRenderedPageBreak/>
        <w:t xml:space="preserve">de la República </w:t>
      </w:r>
      <w:r w:rsidRPr="00E04191" w:rsidR="00D34E42">
        <w:rPr>
          <w:rFonts w:ascii="Arial" w:hAnsi="Arial" w:cs="Arial"/>
          <w:color w:val="000000" w:themeColor="text1"/>
          <w:sz w:val="22"/>
        </w:rPr>
        <w:t xml:space="preserve">profirió la Ley 769 de </w:t>
      </w:r>
      <w:r w:rsidRPr="00E04191" w:rsidR="008A5BE1">
        <w:rPr>
          <w:rFonts w:ascii="Arial" w:hAnsi="Arial" w:cs="Arial"/>
          <w:color w:val="000000" w:themeColor="text1"/>
          <w:sz w:val="22"/>
        </w:rPr>
        <w:t>2002 «Por la cual se expide el Código Nacional de Tránsito Terrestre y se dictan otras disposiciones»</w:t>
      </w:r>
      <w:r w:rsidRPr="00E04191" w:rsidR="004D6FB0">
        <w:rPr>
          <w:rFonts w:ascii="Arial" w:hAnsi="Arial" w:cs="Arial"/>
          <w:color w:val="000000" w:themeColor="text1"/>
          <w:sz w:val="22"/>
        </w:rPr>
        <w:t>, cuerpo normativo</w:t>
      </w:r>
      <w:r w:rsidRPr="00E04191" w:rsidR="00E6266F">
        <w:rPr>
          <w:rFonts w:ascii="Arial" w:hAnsi="Arial" w:cs="Arial"/>
          <w:color w:val="000000" w:themeColor="text1"/>
          <w:sz w:val="22"/>
        </w:rPr>
        <w:t xml:space="preserve"> que tiene como</w:t>
      </w:r>
      <w:r w:rsidRPr="00E04191" w:rsidR="004D6FB0">
        <w:rPr>
          <w:rFonts w:ascii="Arial" w:hAnsi="Arial" w:cs="Arial"/>
          <w:color w:val="000000" w:themeColor="text1"/>
          <w:sz w:val="22"/>
        </w:rPr>
        <w:t xml:space="preserve"> propósito </w:t>
      </w:r>
      <w:r w:rsidRPr="00E04191" w:rsidR="009D1508">
        <w:rPr>
          <w:rFonts w:ascii="Arial" w:hAnsi="Arial" w:cs="Arial"/>
          <w:color w:val="000000" w:themeColor="text1"/>
          <w:sz w:val="22"/>
        </w:rPr>
        <w:t xml:space="preserve">desarrollar </w:t>
      </w:r>
      <w:r w:rsidRPr="00E04191" w:rsidR="00E6266F">
        <w:rPr>
          <w:rFonts w:ascii="Arial" w:hAnsi="Arial" w:cs="Arial"/>
          <w:color w:val="000000" w:themeColor="text1"/>
          <w:sz w:val="22"/>
        </w:rPr>
        <w:t>el mencionado derecho fundamental</w:t>
      </w:r>
      <w:r w:rsidRPr="00E04191" w:rsidR="00871E1E">
        <w:rPr>
          <w:rFonts w:ascii="Arial" w:hAnsi="Arial" w:cs="Arial"/>
          <w:color w:val="000000" w:themeColor="text1"/>
          <w:sz w:val="22"/>
        </w:rPr>
        <w:t xml:space="preserve"> en el ámbito </w:t>
      </w:r>
      <w:r w:rsidRPr="00E04191" w:rsidR="00DF3582">
        <w:rPr>
          <w:rFonts w:ascii="Arial" w:hAnsi="Arial" w:cs="Arial"/>
          <w:color w:val="000000" w:themeColor="text1"/>
          <w:sz w:val="22"/>
        </w:rPr>
        <w:t xml:space="preserve">relacionado con el comportamiento de los </w:t>
      </w:r>
      <w:r w:rsidRPr="00E04191" w:rsidR="00205585">
        <w:rPr>
          <w:rFonts w:ascii="Arial" w:hAnsi="Arial" w:cs="Arial"/>
          <w:color w:val="000000" w:themeColor="text1"/>
          <w:sz w:val="22"/>
        </w:rPr>
        <w:t>denominados actores</w:t>
      </w:r>
      <w:r w:rsidRPr="00E04191" w:rsidR="00755BBB">
        <w:rPr>
          <w:rFonts w:ascii="Arial" w:hAnsi="Arial" w:cs="Arial"/>
          <w:color w:val="000000" w:themeColor="text1"/>
          <w:sz w:val="22"/>
        </w:rPr>
        <w:t xml:space="preserve"> viales</w:t>
      </w:r>
      <w:r w:rsidRPr="00E04191" w:rsidR="004145E9">
        <w:rPr>
          <w:rFonts w:ascii="Arial" w:hAnsi="Arial" w:cs="Arial"/>
          <w:color w:val="000000" w:themeColor="text1"/>
          <w:sz w:val="22"/>
        </w:rPr>
        <w:t xml:space="preserve"> [</w:t>
      </w:r>
      <w:r w:rsidRPr="00E04191" w:rsidR="00755BBB">
        <w:rPr>
          <w:rFonts w:ascii="Arial" w:hAnsi="Arial" w:cs="Arial"/>
          <w:color w:val="000000" w:themeColor="text1"/>
          <w:sz w:val="22"/>
        </w:rPr>
        <w:t>peatones, pasajeros y conductores]</w:t>
      </w:r>
      <w:r w:rsidRPr="00E04191" w:rsidR="00205585">
        <w:rPr>
          <w:rFonts w:ascii="Arial" w:hAnsi="Arial" w:cs="Arial"/>
          <w:color w:val="000000" w:themeColor="text1"/>
          <w:sz w:val="22"/>
        </w:rPr>
        <w:t xml:space="preserve"> </w:t>
      </w:r>
      <w:r w:rsidRPr="00E04191" w:rsidR="002E6795">
        <w:rPr>
          <w:rFonts w:ascii="Arial" w:hAnsi="Arial" w:cs="Arial"/>
          <w:color w:val="000000" w:themeColor="text1"/>
          <w:sz w:val="22"/>
        </w:rPr>
        <w:t>en uso de vías públicas o privadas</w:t>
      </w:r>
      <w:r w:rsidRPr="00E04191" w:rsidR="00354A5E">
        <w:rPr>
          <w:rStyle w:val="Refdenotaalpie"/>
          <w:rFonts w:ascii="Arial" w:hAnsi="Arial" w:cs="Arial"/>
          <w:color w:val="000000" w:themeColor="text1"/>
          <w:sz w:val="22"/>
        </w:rPr>
        <w:footnoteReference w:id="22"/>
      </w:r>
      <w:r w:rsidRPr="00E04191" w:rsidR="00692DFF">
        <w:rPr>
          <w:rFonts w:ascii="Arial" w:hAnsi="Arial" w:cs="Arial"/>
          <w:color w:val="000000" w:themeColor="text1"/>
          <w:sz w:val="22"/>
        </w:rPr>
        <w:t>.</w:t>
      </w:r>
    </w:p>
    <w:p w:rsidRPr="00E04191" w:rsidR="009823E3" w:rsidP="00692DFF" w:rsidRDefault="00392650" w14:paraId="36258321" w14:textId="6B5B1F9A">
      <w:pPr>
        <w:spacing w:before="120" w:after="120" w:line="276" w:lineRule="auto"/>
        <w:ind w:firstLine="709"/>
        <w:jc w:val="both"/>
        <w:rPr>
          <w:rFonts w:ascii="Arial" w:hAnsi="Arial" w:cs="Arial"/>
          <w:color w:val="000000" w:themeColor="text1"/>
          <w:sz w:val="22"/>
        </w:rPr>
      </w:pPr>
      <w:r w:rsidRPr="00E04191">
        <w:rPr>
          <w:rFonts w:ascii="Arial" w:hAnsi="Arial" w:cs="Arial"/>
          <w:color w:val="000000" w:themeColor="text1"/>
          <w:sz w:val="22"/>
        </w:rPr>
        <w:t xml:space="preserve">Dentro de las disposiciones contenidas en la Ley </w:t>
      </w:r>
      <w:r w:rsidRPr="00E04191" w:rsidR="00086063">
        <w:rPr>
          <w:rFonts w:ascii="Arial" w:hAnsi="Arial" w:cs="Arial"/>
          <w:color w:val="000000" w:themeColor="text1"/>
          <w:sz w:val="22"/>
        </w:rPr>
        <w:t>769 de 2002</w:t>
      </w:r>
      <w:r w:rsidRPr="00E04191" w:rsidR="002B6435">
        <w:rPr>
          <w:rFonts w:ascii="Arial" w:hAnsi="Arial" w:cs="Arial"/>
          <w:color w:val="000000" w:themeColor="text1"/>
          <w:sz w:val="22"/>
        </w:rPr>
        <w:t xml:space="preserve"> encontramos </w:t>
      </w:r>
      <w:r w:rsidRPr="00E04191" w:rsidR="00BA3693">
        <w:rPr>
          <w:rFonts w:ascii="Arial" w:hAnsi="Arial" w:cs="Arial"/>
          <w:color w:val="000000" w:themeColor="text1"/>
          <w:sz w:val="22"/>
        </w:rPr>
        <w:t>que</w:t>
      </w:r>
      <w:r w:rsidRPr="00E04191" w:rsidR="00176A24">
        <w:rPr>
          <w:rFonts w:ascii="Arial" w:hAnsi="Arial" w:cs="Arial"/>
          <w:color w:val="000000" w:themeColor="text1"/>
          <w:sz w:val="22"/>
        </w:rPr>
        <w:t xml:space="preserve">, por regla general, </w:t>
      </w:r>
      <w:r w:rsidRPr="00E04191" w:rsidR="00BA3693">
        <w:rPr>
          <w:rFonts w:ascii="Arial" w:hAnsi="Arial" w:cs="Arial"/>
          <w:color w:val="000000" w:themeColor="text1"/>
          <w:sz w:val="22"/>
        </w:rPr>
        <w:t xml:space="preserve">los conductores de vehículos </w:t>
      </w:r>
      <w:r w:rsidRPr="00E04191" w:rsidR="009913B2">
        <w:rPr>
          <w:rFonts w:ascii="Arial" w:hAnsi="Arial" w:cs="Arial"/>
          <w:color w:val="000000" w:themeColor="text1"/>
          <w:sz w:val="22"/>
        </w:rPr>
        <w:t>requieren de habilitación legal para el desarroll</w:t>
      </w:r>
      <w:r w:rsidRPr="00E04191" w:rsidR="00B03A04">
        <w:rPr>
          <w:rFonts w:ascii="Arial" w:hAnsi="Arial" w:cs="Arial"/>
          <w:color w:val="000000" w:themeColor="text1"/>
          <w:sz w:val="22"/>
        </w:rPr>
        <w:t>o</w:t>
      </w:r>
      <w:r w:rsidRPr="00E04191" w:rsidR="009913B2">
        <w:rPr>
          <w:rFonts w:ascii="Arial" w:hAnsi="Arial" w:cs="Arial"/>
          <w:color w:val="000000" w:themeColor="text1"/>
          <w:sz w:val="22"/>
        </w:rPr>
        <w:t xml:space="preserve"> de esa actividad</w:t>
      </w:r>
      <w:r w:rsidRPr="00E04191" w:rsidR="00B03A04">
        <w:rPr>
          <w:rFonts w:ascii="Arial" w:hAnsi="Arial" w:cs="Arial"/>
          <w:color w:val="000000" w:themeColor="text1"/>
          <w:sz w:val="22"/>
        </w:rPr>
        <w:t>; habilitación que se logra</w:t>
      </w:r>
      <w:r w:rsidRPr="00E04191" w:rsidR="00DE67F8">
        <w:rPr>
          <w:rFonts w:ascii="Arial" w:hAnsi="Arial" w:cs="Arial"/>
          <w:color w:val="000000" w:themeColor="text1"/>
          <w:sz w:val="22"/>
        </w:rPr>
        <w:t xml:space="preserve"> con la obtención de la correspondiente licencia de conducción, previo cumplimiento de los requisitos </w:t>
      </w:r>
      <w:r w:rsidRPr="00E04191" w:rsidR="009823E3">
        <w:rPr>
          <w:rFonts w:ascii="Arial" w:hAnsi="Arial" w:cs="Arial"/>
          <w:color w:val="000000" w:themeColor="text1"/>
          <w:sz w:val="22"/>
        </w:rPr>
        <w:t>allí establecidos</w:t>
      </w:r>
      <w:r w:rsidRPr="00E04191" w:rsidR="00DC33EB">
        <w:rPr>
          <w:rFonts w:ascii="Arial" w:hAnsi="Arial" w:cs="Arial"/>
          <w:color w:val="000000" w:themeColor="text1"/>
          <w:sz w:val="22"/>
        </w:rPr>
        <w:t>. Igualmente, encontramos el establecimiento de un régimen sancionatorio</w:t>
      </w:r>
      <w:r w:rsidRPr="00E04191" w:rsidR="00CE341C">
        <w:rPr>
          <w:rFonts w:ascii="Arial" w:hAnsi="Arial" w:cs="Arial"/>
          <w:color w:val="000000" w:themeColor="text1"/>
          <w:sz w:val="22"/>
        </w:rPr>
        <w:t xml:space="preserve"> y </w:t>
      </w:r>
      <w:r w:rsidRPr="00E04191" w:rsidR="00840837">
        <w:rPr>
          <w:rFonts w:ascii="Arial" w:hAnsi="Arial" w:cs="Arial"/>
          <w:color w:val="000000" w:themeColor="text1"/>
          <w:sz w:val="22"/>
        </w:rPr>
        <w:t>su procedimiento</w:t>
      </w:r>
      <w:r w:rsidRPr="00E04191" w:rsidR="00DC33EB">
        <w:rPr>
          <w:rFonts w:ascii="Arial" w:hAnsi="Arial" w:cs="Arial"/>
          <w:color w:val="000000" w:themeColor="text1"/>
          <w:sz w:val="22"/>
        </w:rPr>
        <w:t xml:space="preserve"> </w:t>
      </w:r>
      <w:r w:rsidRPr="00E04191" w:rsidR="00F613EE">
        <w:rPr>
          <w:rFonts w:ascii="Arial" w:hAnsi="Arial" w:cs="Arial"/>
          <w:color w:val="000000" w:themeColor="text1"/>
          <w:sz w:val="22"/>
        </w:rPr>
        <w:t>aplicable a aquellos que incumplan normas que regulan</w:t>
      </w:r>
      <w:r w:rsidRPr="00E04191" w:rsidR="00C10318">
        <w:rPr>
          <w:rFonts w:ascii="Arial" w:hAnsi="Arial" w:cs="Arial"/>
          <w:color w:val="000000" w:themeColor="text1"/>
          <w:sz w:val="22"/>
        </w:rPr>
        <w:t xml:space="preserve"> las actividades de tránsito y transporte.</w:t>
      </w:r>
    </w:p>
    <w:p w:rsidRPr="00E04191" w:rsidR="00BA2400" w:rsidP="00692DFF" w:rsidRDefault="00B03A04" w14:paraId="7F6BEAED" w14:textId="65B69E7C">
      <w:pPr>
        <w:spacing w:before="120" w:after="120" w:line="276" w:lineRule="auto"/>
        <w:ind w:firstLine="709"/>
        <w:jc w:val="both"/>
        <w:rPr>
          <w:rFonts w:ascii="Arial" w:hAnsi="Arial" w:cs="Arial"/>
          <w:color w:val="000000" w:themeColor="text1"/>
          <w:sz w:val="22"/>
        </w:rPr>
      </w:pPr>
      <w:r w:rsidRPr="00E04191">
        <w:rPr>
          <w:rFonts w:ascii="Arial" w:hAnsi="Arial" w:cs="Arial"/>
          <w:color w:val="000000" w:themeColor="text1"/>
          <w:sz w:val="22"/>
        </w:rPr>
        <w:t xml:space="preserve"> </w:t>
      </w:r>
      <w:r w:rsidRPr="00E04191" w:rsidR="001F44FA">
        <w:rPr>
          <w:rFonts w:ascii="Arial" w:hAnsi="Arial" w:cs="Arial"/>
          <w:color w:val="000000" w:themeColor="text1"/>
          <w:sz w:val="22"/>
        </w:rPr>
        <w:t xml:space="preserve">El incumplimiento </w:t>
      </w:r>
      <w:r w:rsidRPr="00E04191" w:rsidR="00753988">
        <w:rPr>
          <w:rFonts w:ascii="Arial" w:hAnsi="Arial" w:cs="Arial"/>
          <w:color w:val="000000" w:themeColor="text1"/>
          <w:sz w:val="22"/>
        </w:rPr>
        <w:t xml:space="preserve">de </w:t>
      </w:r>
      <w:r w:rsidRPr="00E04191" w:rsidR="00C10318">
        <w:rPr>
          <w:rFonts w:ascii="Arial" w:hAnsi="Arial" w:cs="Arial"/>
          <w:color w:val="000000" w:themeColor="text1"/>
          <w:sz w:val="22"/>
        </w:rPr>
        <w:t>esos preceptos normativos</w:t>
      </w:r>
      <w:r w:rsidRPr="00E04191" w:rsidR="00C00E37">
        <w:rPr>
          <w:rFonts w:ascii="Arial" w:hAnsi="Arial" w:cs="Arial"/>
          <w:color w:val="000000" w:themeColor="text1"/>
          <w:sz w:val="22"/>
        </w:rPr>
        <w:t>, entre ell</w:t>
      </w:r>
      <w:r w:rsidRPr="00E04191" w:rsidR="0020764F">
        <w:rPr>
          <w:rFonts w:ascii="Arial" w:hAnsi="Arial" w:cs="Arial"/>
          <w:color w:val="000000" w:themeColor="text1"/>
          <w:sz w:val="22"/>
        </w:rPr>
        <w:t>o</w:t>
      </w:r>
      <w:r w:rsidRPr="00E04191" w:rsidR="00C00E37">
        <w:rPr>
          <w:rFonts w:ascii="Arial" w:hAnsi="Arial" w:cs="Arial"/>
          <w:color w:val="000000" w:themeColor="text1"/>
          <w:sz w:val="22"/>
        </w:rPr>
        <w:t>s,</w:t>
      </w:r>
      <w:r w:rsidRPr="00E04191" w:rsidR="0020764F">
        <w:rPr>
          <w:rFonts w:ascii="Arial" w:hAnsi="Arial" w:cs="Arial"/>
          <w:color w:val="000000" w:themeColor="text1"/>
          <w:sz w:val="22"/>
        </w:rPr>
        <w:t xml:space="preserve"> los relacionados con </w:t>
      </w:r>
      <w:r w:rsidRPr="00E04191" w:rsidR="00C81CC6">
        <w:rPr>
          <w:rFonts w:ascii="Arial" w:hAnsi="Arial" w:cs="Arial"/>
          <w:color w:val="000000" w:themeColor="text1"/>
          <w:sz w:val="22"/>
        </w:rPr>
        <w:t xml:space="preserve">la conducción de </w:t>
      </w:r>
      <w:r w:rsidRPr="00E04191" w:rsidR="00CE4F94">
        <w:rPr>
          <w:rFonts w:ascii="Arial" w:hAnsi="Arial" w:cs="Arial"/>
          <w:color w:val="000000" w:themeColor="text1"/>
          <w:sz w:val="22"/>
        </w:rPr>
        <w:t>vehículos</w:t>
      </w:r>
      <w:r w:rsidRPr="00E04191" w:rsidR="00AE1909">
        <w:rPr>
          <w:rFonts w:ascii="Arial" w:hAnsi="Arial" w:cs="Arial"/>
          <w:color w:val="000000" w:themeColor="text1"/>
          <w:sz w:val="22"/>
        </w:rPr>
        <w:t>,</w:t>
      </w:r>
      <w:r w:rsidRPr="00E04191" w:rsidR="00C81CC6">
        <w:rPr>
          <w:rFonts w:ascii="Arial" w:hAnsi="Arial" w:cs="Arial"/>
          <w:color w:val="000000" w:themeColor="text1"/>
          <w:sz w:val="22"/>
        </w:rPr>
        <w:t xml:space="preserve"> </w:t>
      </w:r>
      <w:r w:rsidRPr="00E04191" w:rsidR="005A29EB">
        <w:rPr>
          <w:rFonts w:ascii="Arial" w:hAnsi="Arial" w:cs="Arial"/>
          <w:color w:val="000000" w:themeColor="text1"/>
          <w:sz w:val="22"/>
        </w:rPr>
        <w:t xml:space="preserve">hará </w:t>
      </w:r>
      <w:r w:rsidRPr="00E04191" w:rsidR="00467AFC">
        <w:rPr>
          <w:rFonts w:ascii="Arial" w:hAnsi="Arial" w:cs="Arial"/>
          <w:color w:val="000000" w:themeColor="text1"/>
          <w:sz w:val="22"/>
        </w:rPr>
        <w:t>acr</w:t>
      </w:r>
      <w:r w:rsidRPr="00E04191" w:rsidR="005A29EB">
        <w:rPr>
          <w:rFonts w:ascii="Arial" w:hAnsi="Arial" w:cs="Arial"/>
          <w:color w:val="000000" w:themeColor="text1"/>
          <w:sz w:val="22"/>
        </w:rPr>
        <w:t>eedor al infractor</w:t>
      </w:r>
      <w:r w:rsidRPr="00E04191" w:rsidR="00AE1909">
        <w:rPr>
          <w:rFonts w:ascii="Arial" w:hAnsi="Arial" w:cs="Arial"/>
          <w:color w:val="000000" w:themeColor="text1"/>
          <w:sz w:val="22"/>
        </w:rPr>
        <w:t xml:space="preserve"> a</w:t>
      </w:r>
      <w:r w:rsidRPr="00E04191" w:rsidR="0093062D">
        <w:rPr>
          <w:rFonts w:ascii="Arial" w:hAnsi="Arial" w:cs="Arial"/>
          <w:color w:val="000000" w:themeColor="text1"/>
          <w:sz w:val="22"/>
        </w:rPr>
        <w:t xml:space="preserve"> las sanciones</w:t>
      </w:r>
      <w:r w:rsidRPr="00E04191" w:rsidR="00467AFC">
        <w:rPr>
          <w:rFonts w:ascii="Arial" w:hAnsi="Arial" w:cs="Arial"/>
          <w:color w:val="000000" w:themeColor="text1"/>
          <w:sz w:val="22"/>
        </w:rPr>
        <w:t xml:space="preserve"> allí </w:t>
      </w:r>
      <w:r w:rsidRPr="00E04191" w:rsidR="00C24C6F">
        <w:rPr>
          <w:rFonts w:ascii="Arial" w:hAnsi="Arial" w:cs="Arial"/>
          <w:color w:val="000000" w:themeColor="text1"/>
          <w:sz w:val="22"/>
        </w:rPr>
        <w:t>establecidas</w:t>
      </w:r>
      <w:r w:rsidRPr="00E04191" w:rsidR="00565D22">
        <w:rPr>
          <w:rFonts w:ascii="Arial" w:hAnsi="Arial" w:cs="Arial"/>
          <w:color w:val="000000" w:themeColor="text1"/>
          <w:sz w:val="22"/>
        </w:rPr>
        <w:t>,</w:t>
      </w:r>
      <w:r w:rsidRPr="00E04191" w:rsidR="003E3B96">
        <w:rPr>
          <w:rFonts w:ascii="Arial" w:hAnsi="Arial" w:cs="Arial"/>
          <w:color w:val="000000" w:themeColor="text1"/>
          <w:sz w:val="22"/>
        </w:rPr>
        <w:t xml:space="preserve"> que pueden consistir en</w:t>
      </w:r>
      <w:r w:rsidRPr="00E04191" w:rsidR="00CE4F94">
        <w:rPr>
          <w:rFonts w:ascii="Arial" w:hAnsi="Arial" w:cs="Arial"/>
          <w:color w:val="000000" w:themeColor="text1"/>
          <w:sz w:val="22"/>
        </w:rPr>
        <w:t xml:space="preserve"> amonestación, multa, retención preventiva de la licencia de conducción, suspensión de la licencia de conducción</w:t>
      </w:r>
      <w:r w:rsidRPr="00E04191" w:rsidR="0011311B">
        <w:rPr>
          <w:rFonts w:ascii="Arial" w:hAnsi="Arial" w:cs="Arial"/>
          <w:color w:val="000000" w:themeColor="text1"/>
          <w:sz w:val="22"/>
        </w:rPr>
        <w:t>, suspensión o cancelación del permiso o registro, inmovilización</w:t>
      </w:r>
      <w:r w:rsidRPr="00E04191" w:rsidR="00082D96">
        <w:rPr>
          <w:rFonts w:ascii="Arial" w:hAnsi="Arial" w:cs="Arial"/>
          <w:color w:val="000000" w:themeColor="text1"/>
          <w:sz w:val="22"/>
        </w:rPr>
        <w:t xml:space="preserve"> del vehículo, retención preventiva del vehículo y/o cancelación definitiva de la licencia de conducción</w:t>
      </w:r>
      <w:r w:rsidRPr="00E04191" w:rsidR="009815CD">
        <w:rPr>
          <w:rStyle w:val="Refdenotaalpie"/>
          <w:rFonts w:ascii="Arial" w:hAnsi="Arial" w:cs="Arial"/>
          <w:color w:val="000000" w:themeColor="text1"/>
          <w:sz w:val="22"/>
        </w:rPr>
        <w:footnoteReference w:id="23"/>
      </w:r>
      <w:r w:rsidRPr="00E04191" w:rsidR="000061E5">
        <w:rPr>
          <w:rFonts w:ascii="Arial" w:hAnsi="Arial" w:cs="Arial"/>
          <w:color w:val="000000" w:themeColor="text1"/>
          <w:sz w:val="22"/>
        </w:rPr>
        <w:t>.</w:t>
      </w:r>
      <w:r w:rsidRPr="00E04191" w:rsidR="00A96F3E">
        <w:rPr>
          <w:rFonts w:ascii="Arial" w:hAnsi="Arial" w:cs="Arial"/>
          <w:color w:val="000000" w:themeColor="text1"/>
          <w:sz w:val="22"/>
        </w:rPr>
        <w:t xml:space="preserve"> </w:t>
      </w:r>
      <w:r w:rsidRPr="00E04191" w:rsidR="000061E5">
        <w:rPr>
          <w:rFonts w:ascii="Arial" w:hAnsi="Arial" w:cs="Arial"/>
          <w:color w:val="000000" w:themeColor="text1"/>
          <w:sz w:val="22"/>
        </w:rPr>
        <w:t>E</w:t>
      </w:r>
      <w:r w:rsidRPr="00E04191" w:rsidR="00A96F3E">
        <w:rPr>
          <w:rFonts w:ascii="Arial" w:hAnsi="Arial" w:cs="Arial"/>
          <w:color w:val="000000" w:themeColor="text1"/>
          <w:sz w:val="22"/>
        </w:rPr>
        <w:t xml:space="preserve">sto </w:t>
      </w:r>
      <w:r w:rsidRPr="00E04191" w:rsidR="00B13B8B">
        <w:rPr>
          <w:rFonts w:ascii="Arial" w:hAnsi="Arial" w:cs="Arial"/>
          <w:color w:val="000000" w:themeColor="text1"/>
          <w:sz w:val="22"/>
        </w:rPr>
        <w:t xml:space="preserve">implica que el derecho a conducir vehículos </w:t>
      </w:r>
      <w:r w:rsidRPr="00E04191" w:rsidR="00CB69DA">
        <w:rPr>
          <w:rFonts w:ascii="Arial" w:hAnsi="Arial" w:cs="Arial"/>
          <w:color w:val="000000" w:themeColor="text1"/>
          <w:sz w:val="22"/>
        </w:rPr>
        <w:t>no es absoluto, pues el mismo ordenamiento jurídico contempló límites a</w:t>
      </w:r>
      <w:r w:rsidRPr="00E04191" w:rsidR="005E1CE2">
        <w:rPr>
          <w:rFonts w:ascii="Arial" w:hAnsi="Arial" w:cs="Arial"/>
          <w:color w:val="000000" w:themeColor="text1"/>
          <w:sz w:val="22"/>
        </w:rPr>
        <w:t xml:space="preserve"> su</w:t>
      </w:r>
      <w:r w:rsidRPr="00E04191" w:rsidR="00CB69DA">
        <w:rPr>
          <w:rFonts w:ascii="Arial" w:hAnsi="Arial" w:cs="Arial"/>
          <w:color w:val="000000" w:themeColor="text1"/>
          <w:sz w:val="22"/>
        </w:rPr>
        <w:t xml:space="preserve"> ejercicio</w:t>
      </w:r>
      <w:r w:rsidRPr="00E04191" w:rsidR="007B6DA0">
        <w:rPr>
          <w:rFonts w:ascii="Arial" w:hAnsi="Arial" w:cs="Arial"/>
          <w:color w:val="000000" w:themeColor="text1"/>
          <w:sz w:val="22"/>
        </w:rPr>
        <w:t>.</w:t>
      </w:r>
    </w:p>
    <w:p w:rsidRPr="00E04191" w:rsidR="00B13B8B" w:rsidP="00692DFF" w:rsidRDefault="005E1CE2" w14:paraId="79F28823" w14:textId="3C5C22C9">
      <w:pPr>
        <w:spacing w:before="120" w:after="120" w:line="276" w:lineRule="auto"/>
        <w:ind w:firstLine="709"/>
        <w:jc w:val="both"/>
        <w:rPr>
          <w:rFonts w:ascii="Arial" w:hAnsi="Arial" w:cs="Arial"/>
          <w:color w:val="000000" w:themeColor="text1"/>
          <w:sz w:val="22"/>
        </w:rPr>
      </w:pPr>
      <w:r w:rsidRPr="00E04191">
        <w:rPr>
          <w:rFonts w:ascii="Arial" w:hAnsi="Arial" w:cs="Arial"/>
          <w:color w:val="000000" w:themeColor="text1"/>
          <w:sz w:val="22"/>
        </w:rPr>
        <w:t>Dentro de</w:t>
      </w:r>
      <w:r w:rsidRPr="00E04191" w:rsidR="00B078E6">
        <w:rPr>
          <w:rFonts w:ascii="Arial" w:hAnsi="Arial" w:cs="Arial"/>
          <w:color w:val="000000" w:themeColor="text1"/>
          <w:sz w:val="22"/>
        </w:rPr>
        <w:t xml:space="preserve"> los límites establecidos en la Ley 769 de 2002 al ejercicio del derecho a la conducción de vehículos, </w:t>
      </w:r>
      <w:r w:rsidRPr="00E04191" w:rsidR="00A663FB">
        <w:rPr>
          <w:rFonts w:ascii="Arial" w:hAnsi="Arial" w:cs="Arial"/>
          <w:color w:val="000000" w:themeColor="text1"/>
          <w:sz w:val="22"/>
        </w:rPr>
        <w:t>se establecieron</w:t>
      </w:r>
      <w:r w:rsidRPr="00E04191" w:rsidR="00613803">
        <w:rPr>
          <w:rFonts w:ascii="Arial" w:hAnsi="Arial" w:cs="Arial"/>
          <w:color w:val="000000" w:themeColor="text1"/>
          <w:sz w:val="22"/>
        </w:rPr>
        <w:t xml:space="preserve"> medidas </w:t>
      </w:r>
      <w:r w:rsidRPr="00E04191" w:rsidR="00A663FB">
        <w:rPr>
          <w:rFonts w:ascii="Arial" w:hAnsi="Arial" w:cs="Arial"/>
          <w:color w:val="000000" w:themeColor="text1"/>
          <w:sz w:val="22"/>
        </w:rPr>
        <w:t>de carácter temporal o permanente, que consisten en la suspens</w:t>
      </w:r>
      <w:r w:rsidRPr="00E04191" w:rsidR="00A633D9">
        <w:rPr>
          <w:rFonts w:ascii="Arial" w:hAnsi="Arial" w:cs="Arial"/>
          <w:color w:val="000000" w:themeColor="text1"/>
          <w:sz w:val="22"/>
        </w:rPr>
        <w:t xml:space="preserve">ión temporal o </w:t>
      </w:r>
      <w:r w:rsidRPr="00E04191" w:rsidR="007D74E6">
        <w:rPr>
          <w:rFonts w:ascii="Arial" w:hAnsi="Arial" w:cs="Arial"/>
          <w:color w:val="000000" w:themeColor="text1"/>
          <w:sz w:val="22"/>
        </w:rPr>
        <w:t>cancelación definitiva</w:t>
      </w:r>
      <w:r w:rsidRPr="00E04191" w:rsidR="00A633D9">
        <w:rPr>
          <w:rFonts w:ascii="Arial" w:hAnsi="Arial" w:cs="Arial"/>
          <w:color w:val="000000" w:themeColor="text1"/>
          <w:sz w:val="22"/>
        </w:rPr>
        <w:t xml:space="preserve"> </w:t>
      </w:r>
      <w:r w:rsidRPr="00E04191" w:rsidR="00EF5836">
        <w:rPr>
          <w:rFonts w:ascii="Arial" w:hAnsi="Arial" w:cs="Arial"/>
          <w:color w:val="000000" w:themeColor="text1"/>
          <w:sz w:val="22"/>
        </w:rPr>
        <w:t>de la licencia de conducción</w:t>
      </w:r>
      <w:r w:rsidRPr="00E04191" w:rsidR="007B1FDA">
        <w:rPr>
          <w:rStyle w:val="Refdenotaalpie"/>
          <w:rFonts w:ascii="Arial" w:hAnsi="Arial" w:cs="Arial"/>
          <w:color w:val="000000" w:themeColor="text1"/>
          <w:sz w:val="22"/>
        </w:rPr>
        <w:footnoteReference w:id="24"/>
      </w:r>
      <w:r w:rsidRPr="00E04191" w:rsidR="00EE2903">
        <w:rPr>
          <w:rFonts w:ascii="Arial" w:hAnsi="Arial" w:cs="Arial"/>
          <w:color w:val="000000" w:themeColor="text1"/>
          <w:sz w:val="22"/>
        </w:rPr>
        <w:t xml:space="preserve">; sin embargo, ninguna de esas limitaciones </w:t>
      </w:r>
      <w:r w:rsidRPr="00E04191" w:rsidR="00274FBC">
        <w:rPr>
          <w:rFonts w:ascii="Arial" w:hAnsi="Arial" w:cs="Arial"/>
          <w:color w:val="000000" w:themeColor="text1"/>
          <w:sz w:val="22"/>
        </w:rPr>
        <w:t xml:space="preserve">guarda relación directa o indirecta </w:t>
      </w:r>
      <w:r w:rsidRPr="00E04191" w:rsidR="00F50C08">
        <w:rPr>
          <w:rFonts w:ascii="Arial" w:hAnsi="Arial" w:cs="Arial"/>
          <w:color w:val="000000" w:themeColor="text1"/>
          <w:sz w:val="22"/>
        </w:rPr>
        <w:t xml:space="preserve">con </w:t>
      </w:r>
      <w:r w:rsidRPr="00E04191" w:rsidR="000A5C06">
        <w:rPr>
          <w:rFonts w:ascii="Arial" w:hAnsi="Arial" w:cs="Arial"/>
          <w:color w:val="000000" w:themeColor="text1"/>
          <w:sz w:val="22"/>
        </w:rPr>
        <w:t xml:space="preserve">las disposiciones que regulan la contratación de las </w:t>
      </w:r>
      <w:r w:rsidRPr="00E04191" w:rsidR="0026187C">
        <w:rPr>
          <w:rFonts w:ascii="Arial" w:hAnsi="Arial" w:cs="Arial"/>
          <w:color w:val="000000" w:themeColor="text1"/>
          <w:sz w:val="22"/>
        </w:rPr>
        <w:t>e</w:t>
      </w:r>
      <w:r w:rsidRPr="00E04191" w:rsidR="000A5C06">
        <w:rPr>
          <w:rFonts w:ascii="Arial" w:hAnsi="Arial" w:cs="Arial"/>
          <w:color w:val="000000" w:themeColor="text1"/>
          <w:sz w:val="22"/>
        </w:rPr>
        <w:t xml:space="preserve">ntidades </w:t>
      </w:r>
      <w:r w:rsidRPr="00E04191" w:rsidR="0026187C">
        <w:rPr>
          <w:rFonts w:ascii="Arial" w:hAnsi="Arial" w:cs="Arial"/>
          <w:color w:val="000000" w:themeColor="text1"/>
          <w:sz w:val="22"/>
        </w:rPr>
        <w:t>p</w:t>
      </w:r>
      <w:r w:rsidRPr="00E04191" w:rsidR="000A5C06">
        <w:rPr>
          <w:rFonts w:ascii="Arial" w:hAnsi="Arial" w:cs="Arial"/>
          <w:color w:val="000000" w:themeColor="text1"/>
          <w:sz w:val="22"/>
        </w:rPr>
        <w:t>úblicas.</w:t>
      </w:r>
    </w:p>
    <w:p w:rsidRPr="00E04191" w:rsidR="0016482D" w:rsidP="00C50638" w:rsidRDefault="00DF75F3" w14:paraId="715F4753" w14:textId="0A0923BF">
      <w:pPr>
        <w:spacing w:before="120" w:line="276" w:lineRule="auto"/>
        <w:ind w:firstLine="709"/>
        <w:jc w:val="both"/>
        <w:rPr>
          <w:rFonts w:ascii="Arial" w:hAnsi="Arial" w:cs="Arial"/>
          <w:color w:val="000000" w:themeColor="text1"/>
          <w:sz w:val="22"/>
        </w:rPr>
      </w:pPr>
      <w:r w:rsidRPr="00E04191">
        <w:rPr>
          <w:rFonts w:ascii="Arial" w:hAnsi="Arial" w:cs="Arial"/>
          <w:color w:val="000000" w:themeColor="text1"/>
          <w:sz w:val="22"/>
        </w:rPr>
        <w:lastRenderedPageBreak/>
        <w:t>En conclusión</w:t>
      </w:r>
      <w:r w:rsidRPr="00E04191" w:rsidR="000B6665">
        <w:rPr>
          <w:rFonts w:ascii="Arial" w:hAnsi="Arial" w:cs="Arial"/>
          <w:color w:val="000000" w:themeColor="text1"/>
          <w:sz w:val="22"/>
        </w:rPr>
        <w:t xml:space="preserve">, </w:t>
      </w:r>
      <w:r w:rsidRPr="00E04191" w:rsidR="00504444">
        <w:rPr>
          <w:rFonts w:ascii="Arial" w:hAnsi="Arial" w:cs="Arial"/>
          <w:color w:val="000000" w:themeColor="text1"/>
          <w:sz w:val="22"/>
        </w:rPr>
        <w:t xml:space="preserve">se </w:t>
      </w:r>
      <w:r w:rsidRPr="00E04191" w:rsidR="00062F73">
        <w:rPr>
          <w:rFonts w:ascii="Arial" w:hAnsi="Arial" w:cs="Arial"/>
          <w:color w:val="000000" w:themeColor="text1"/>
          <w:sz w:val="22"/>
        </w:rPr>
        <w:t>debe señalar</w:t>
      </w:r>
      <w:r w:rsidRPr="00E04191" w:rsidR="00504444">
        <w:rPr>
          <w:rFonts w:ascii="Arial" w:hAnsi="Arial" w:cs="Arial"/>
          <w:color w:val="000000" w:themeColor="text1"/>
          <w:sz w:val="22"/>
        </w:rPr>
        <w:t xml:space="preserve"> que la Ley 769 de 2002 no contempló ninguna</w:t>
      </w:r>
      <w:r w:rsidRPr="00E04191" w:rsidR="00A64DFE">
        <w:rPr>
          <w:rFonts w:ascii="Arial" w:hAnsi="Arial" w:cs="Arial"/>
          <w:color w:val="000000" w:themeColor="text1"/>
          <w:sz w:val="22"/>
        </w:rPr>
        <w:t xml:space="preserve"> prohibición, inhabilidad o incompatibilidad </w:t>
      </w:r>
      <w:r w:rsidRPr="00E04191" w:rsidR="00767F14">
        <w:rPr>
          <w:rFonts w:ascii="Arial" w:hAnsi="Arial" w:cs="Arial"/>
          <w:color w:val="000000" w:themeColor="text1"/>
          <w:sz w:val="22"/>
        </w:rPr>
        <w:t>para suscribir contratos con</w:t>
      </w:r>
      <w:r w:rsidRPr="00E04191" w:rsidR="00023701">
        <w:rPr>
          <w:rFonts w:ascii="Arial" w:hAnsi="Arial" w:cs="Arial"/>
          <w:color w:val="000000" w:themeColor="text1"/>
          <w:sz w:val="22"/>
        </w:rPr>
        <w:t xml:space="preserve"> </w:t>
      </w:r>
      <w:r w:rsidRPr="00E04191" w:rsidR="005618C1">
        <w:rPr>
          <w:rFonts w:ascii="Arial" w:hAnsi="Arial" w:cs="Arial"/>
          <w:color w:val="000000" w:themeColor="text1"/>
          <w:sz w:val="22"/>
        </w:rPr>
        <w:t>e</w:t>
      </w:r>
      <w:r w:rsidRPr="00E04191" w:rsidR="00023701">
        <w:rPr>
          <w:rFonts w:ascii="Arial" w:hAnsi="Arial" w:cs="Arial"/>
          <w:color w:val="000000" w:themeColor="text1"/>
          <w:sz w:val="22"/>
        </w:rPr>
        <w:t xml:space="preserve">ntidades </w:t>
      </w:r>
      <w:r w:rsidRPr="00E04191" w:rsidR="005618C1">
        <w:rPr>
          <w:rFonts w:ascii="Arial" w:hAnsi="Arial" w:cs="Arial"/>
          <w:color w:val="000000" w:themeColor="text1"/>
          <w:sz w:val="22"/>
        </w:rPr>
        <w:t>pú</w:t>
      </w:r>
      <w:r w:rsidRPr="00E04191" w:rsidR="00023701">
        <w:rPr>
          <w:rFonts w:ascii="Arial" w:hAnsi="Arial" w:cs="Arial"/>
          <w:color w:val="000000" w:themeColor="text1"/>
          <w:sz w:val="22"/>
        </w:rPr>
        <w:t>blicas</w:t>
      </w:r>
      <w:r w:rsidRPr="00E04191" w:rsidR="00DF3C0F">
        <w:rPr>
          <w:rFonts w:ascii="Arial" w:hAnsi="Arial" w:cs="Arial"/>
          <w:color w:val="000000" w:themeColor="text1"/>
          <w:sz w:val="22"/>
        </w:rPr>
        <w:t xml:space="preserve"> que tenga origen o causa en </w:t>
      </w:r>
      <w:r w:rsidRPr="00E04191" w:rsidR="00F97E47">
        <w:rPr>
          <w:rFonts w:ascii="Arial" w:hAnsi="Arial" w:cs="Arial"/>
          <w:color w:val="000000" w:themeColor="text1"/>
          <w:sz w:val="22"/>
        </w:rPr>
        <w:t xml:space="preserve">las sanciones </w:t>
      </w:r>
      <w:r w:rsidRPr="00E04191" w:rsidR="00031C37">
        <w:rPr>
          <w:rFonts w:ascii="Arial" w:hAnsi="Arial" w:cs="Arial"/>
          <w:color w:val="000000" w:themeColor="text1"/>
          <w:sz w:val="22"/>
        </w:rPr>
        <w:t>impuestas</w:t>
      </w:r>
      <w:r w:rsidRPr="00E04191" w:rsidR="00F97E47">
        <w:rPr>
          <w:rFonts w:ascii="Arial" w:hAnsi="Arial" w:cs="Arial"/>
          <w:color w:val="000000" w:themeColor="text1"/>
          <w:sz w:val="22"/>
        </w:rPr>
        <w:t xml:space="preserve"> por las </w:t>
      </w:r>
      <w:r w:rsidRPr="00E04191" w:rsidR="005618C1">
        <w:rPr>
          <w:rFonts w:ascii="Arial" w:hAnsi="Arial" w:cs="Arial"/>
          <w:color w:val="000000" w:themeColor="text1"/>
          <w:sz w:val="22"/>
        </w:rPr>
        <w:t>a</w:t>
      </w:r>
      <w:r w:rsidRPr="00E04191" w:rsidR="00F97E47">
        <w:rPr>
          <w:rFonts w:ascii="Arial" w:hAnsi="Arial" w:cs="Arial"/>
          <w:color w:val="000000" w:themeColor="text1"/>
          <w:sz w:val="22"/>
        </w:rPr>
        <w:t xml:space="preserve">utoridades </w:t>
      </w:r>
      <w:r w:rsidRPr="00E04191" w:rsidR="005618C1">
        <w:rPr>
          <w:rFonts w:ascii="Arial" w:hAnsi="Arial" w:cs="Arial"/>
          <w:color w:val="000000" w:themeColor="text1"/>
          <w:sz w:val="22"/>
        </w:rPr>
        <w:t>de t</w:t>
      </w:r>
      <w:r w:rsidRPr="00E04191" w:rsidR="00F97E47">
        <w:rPr>
          <w:rFonts w:ascii="Arial" w:hAnsi="Arial" w:cs="Arial"/>
          <w:color w:val="000000" w:themeColor="text1"/>
          <w:sz w:val="22"/>
        </w:rPr>
        <w:t>ránsito</w:t>
      </w:r>
      <w:r w:rsidRPr="00E04191" w:rsidR="00D150EF">
        <w:rPr>
          <w:rFonts w:ascii="Arial" w:hAnsi="Arial" w:cs="Arial"/>
          <w:color w:val="000000" w:themeColor="text1"/>
          <w:sz w:val="22"/>
        </w:rPr>
        <w:t xml:space="preserve"> a los infractores</w:t>
      </w:r>
      <w:r w:rsidRPr="00E04191" w:rsidR="00031C37">
        <w:rPr>
          <w:rFonts w:ascii="Arial" w:hAnsi="Arial" w:cs="Arial"/>
          <w:color w:val="000000" w:themeColor="text1"/>
          <w:sz w:val="22"/>
        </w:rPr>
        <w:t xml:space="preserve"> de los preceptos del ordenamiento jurídico que regulan las actividades de tránsito y transporte en el territorio nacional.</w:t>
      </w:r>
    </w:p>
    <w:p w:rsidRPr="00E04191" w:rsidR="005A79FE" w:rsidP="00C50638" w:rsidRDefault="005A79FE" w14:paraId="5E6B8351" w14:textId="4DBEADBF">
      <w:pPr>
        <w:spacing w:line="276" w:lineRule="auto"/>
        <w:jc w:val="both"/>
        <w:rPr>
          <w:rFonts w:ascii="Arial" w:hAnsi="Arial" w:eastAsia="Calibri" w:cs="Arial"/>
          <w:b/>
          <w:color w:val="000000" w:themeColor="text1"/>
          <w:sz w:val="22"/>
        </w:rPr>
      </w:pPr>
    </w:p>
    <w:p w:rsidRPr="00E04191" w:rsidR="005A79FE" w:rsidP="00C50638" w:rsidRDefault="005A79FE" w14:paraId="5D99A3C6" w14:textId="2554B123">
      <w:pPr>
        <w:pStyle w:val="Prrafodelista"/>
        <w:numPr>
          <w:ilvl w:val="0"/>
          <w:numId w:val="6"/>
        </w:numPr>
        <w:tabs>
          <w:tab w:val="left" w:pos="284"/>
        </w:tabs>
        <w:spacing w:line="276" w:lineRule="auto"/>
        <w:ind w:left="0" w:firstLine="0"/>
        <w:jc w:val="both"/>
        <w:rPr>
          <w:rFonts w:ascii="Arial" w:hAnsi="Arial" w:eastAsia="Calibri" w:cs="Arial"/>
          <w:color w:val="000000" w:themeColor="text1"/>
          <w:sz w:val="22"/>
        </w:rPr>
      </w:pPr>
      <w:r w:rsidRPr="00E04191">
        <w:rPr>
          <w:rFonts w:ascii="Arial" w:hAnsi="Arial" w:eastAsia="Calibri" w:cs="Arial"/>
          <w:b/>
          <w:color w:val="000000" w:themeColor="text1"/>
          <w:sz w:val="22"/>
        </w:rPr>
        <w:t>Respuesta</w:t>
      </w:r>
    </w:p>
    <w:p w:rsidRPr="00E04191" w:rsidR="005A79FE" w:rsidP="00C50638" w:rsidRDefault="005A79FE" w14:paraId="6A2CCB9A" w14:textId="77777777">
      <w:pPr>
        <w:spacing w:line="276" w:lineRule="auto"/>
        <w:ind w:right="709"/>
        <w:jc w:val="both"/>
        <w:rPr>
          <w:rFonts w:ascii="Arial" w:hAnsi="Arial" w:eastAsia="Calibri" w:cs="Arial"/>
          <w:iCs/>
          <w:color w:val="000000" w:themeColor="text1"/>
          <w:sz w:val="22"/>
        </w:rPr>
      </w:pPr>
    </w:p>
    <w:p w:rsidRPr="00E04191" w:rsidR="005A79FE" w:rsidP="005A79FE" w:rsidRDefault="00A27EAE" w14:paraId="538BC9A1" w14:textId="6602E5CE">
      <w:pPr>
        <w:spacing w:line="276" w:lineRule="auto"/>
        <w:ind w:left="709" w:right="709"/>
        <w:jc w:val="both"/>
        <w:rPr>
          <w:rFonts w:ascii="Arial" w:hAnsi="Arial" w:eastAsia="Calibri" w:cs="Arial"/>
          <w:color w:val="000000" w:themeColor="text1"/>
          <w:sz w:val="22"/>
        </w:rPr>
      </w:pPr>
      <w:r w:rsidRPr="00E04191">
        <w:rPr>
          <w:rFonts w:ascii="Arial" w:hAnsi="Arial" w:eastAsia="Calibri" w:cs="Arial"/>
          <w:color w:val="000000" w:themeColor="text1"/>
          <w:sz w:val="22"/>
        </w:rPr>
        <w:t>«</w:t>
      </w:r>
      <w:r w:rsidRPr="00E04191" w:rsidR="005A79FE">
        <w:rPr>
          <w:rFonts w:ascii="Arial" w:hAnsi="Arial" w:eastAsia="Calibri" w:cs="Arial"/>
          <w:color w:val="000000" w:themeColor="text1"/>
          <w:sz w:val="22"/>
        </w:rPr>
        <w:t>¿</w:t>
      </w:r>
      <w:r w:rsidRPr="00E04191" w:rsidR="00C50638">
        <w:rPr>
          <w:rFonts w:ascii="Arial" w:hAnsi="Arial" w:eastAsia="Calibri" w:cs="Arial"/>
          <w:color w:val="000000" w:themeColor="text1"/>
          <w:sz w:val="22"/>
        </w:rPr>
        <w:t xml:space="preserve">Existe alguna prohibición, inhabilidad o incompatibilidad para contratar con una persona que tiene multas de </w:t>
      </w:r>
      <w:proofErr w:type="spellStart"/>
      <w:r w:rsidRPr="00E04191" w:rsidR="00C50638">
        <w:rPr>
          <w:rFonts w:ascii="Arial" w:hAnsi="Arial" w:eastAsia="Calibri" w:cs="Arial"/>
          <w:color w:val="000000" w:themeColor="text1"/>
          <w:sz w:val="22"/>
        </w:rPr>
        <w:t>transito</w:t>
      </w:r>
      <w:proofErr w:type="spellEnd"/>
      <w:r w:rsidRPr="00E04191" w:rsidR="00C50638">
        <w:rPr>
          <w:rFonts w:ascii="Arial" w:hAnsi="Arial" w:eastAsia="Calibri" w:cs="Arial"/>
          <w:color w:val="000000" w:themeColor="text1"/>
          <w:sz w:val="22"/>
        </w:rPr>
        <w:t xml:space="preserve"> (sic)</w:t>
      </w:r>
      <w:r w:rsidRPr="00E04191" w:rsidR="005A79FE">
        <w:rPr>
          <w:rFonts w:ascii="Arial" w:hAnsi="Arial" w:eastAsia="Calibri" w:cs="Arial"/>
          <w:color w:val="000000" w:themeColor="text1"/>
          <w:sz w:val="22"/>
        </w:rPr>
        <w:t>?</w:t>
      </w:r>
      <w:r w:rsidRPr="00E04191">
        <w:rPr>
          <w:rFonts w:ascii="Arial" w:hAnsi="Arial" w:eastAsia="Calibri" w:cs="Arial"/>
          <w:color w:val="000000" w:themeColor="text1"/>
          <w:sz w:val="22"/>
        </w:rPr>
        <w:t>»</w:t>
      </w:r>
    </w:p>
    <w:p w:rsidRPr="00E04191" w:rsidR="005A79FE" w:rsidP="005A79FE" w:rsidRDefault="005A79FE" w14:paraId="34C31AE7" w14:textId="77777777">
      <w:pPr>
        <w:spacing w:line="276" w:lineRule="auto"/>
        <w:ind w:left="708" w:right="709"/>
        <w:jc w:val="both"/>
        <w:rPr>
          <w:rFonts w:ascii="Arial" w:hAnsi="Arial" w:eastAsia="Calibri" w:cs="Arial"/>
          <w:color w:val="000000" w:themeColor="text1"/>
          <w:sz w:val="22"/>
        </w:rPr>
      </w:pPr>
    </w:p>
    <w:p w:rsidRPr="00E04191" w:rsidR="005A79FE" w:rsidP="008C154C" w:rsidRDefault="007E7D57" w14:paraId="46CA704A" w14:textId="655C35A3">
      <w:pPr>
        <w:spacing w:line="276" w:lineRule="auto"/>
        <w:jc w:val="both"/>
        <w:rPr>
          <w:rFonts w:ascii="Arial" w:hAnsi="Arial" w:eastAsia="Calibri" w:cs="Arial"/>
          <w:color w:val="000000" w:themeColor="text1"/>
          <w:sz w:val="22"/>
        </w:rPr>
      </w:pPr>
      <w:r w:rsidRPr="00E04191">
        <w:rPr>
          <w:rFonts w:ascii="Arial" w:hAnsi="Arial" w:eastAsia="Calibri" w:cs="Arial"/>
          <w:color w:val="000000" w:themeColor="text1"/>
          <w:sz w:val="22"/>
        </w:rPr>
        <w:t>El Congreso de la República, en ejercicio de la función legislativa, no ha contemplado en nuestro ordenamiento jurídico vigente</w:t>
      </w:r>
      <w:r w:rsidRPr="00E04191" w:rsidR="003A5107">
        <w:rPr>
          <w:rFonts w:ascii="Arial" w:hAnsi="Arial" w:eastAsia="Calibri" w:cs="Arial"/>
          <w:color w:val="000000" w:themeColor="text1"/>
          <w:sz w:val="22"/>
        </w:rPr>
        <w:t xml:space="preserve"> alguna</w:t>
      </w:r>
      <w:r w:rsidRPr="00E04191" w:rsidR="00C14856">
        <w:rPr>
          <w:rFonts w:ascii="Arial" w:hAnsi="Arial" w:eastAsia="Calibri" w:cs="Arial"/>
          <w:color w:val="000000" w:themeColor="text1"/>
          <w:sz w:val="22"/>
        </w:rPr>
        <w:t xml:space="preserve"> causal de prohibición, inhabilidad o incompatibilidad</w:t>
      </w:r>
      <w:r w:rsidRPr="00E04191" w:rsidR="003605BA">
        <w:rPr>
          <w:rFonts w:ascii="Arial" w:hAnsi="Arial" w:eastAsia="Calibri" w:cs="Arial"/>
          <w:color w:val="000000" w:themeColor="text1"/>
          <w:sz w:val="22"/>
        </w:rPr>
        <w:t>, que tenga causa u origen en la comisión de infracciones al régimen legal de tránsito y transporte,</w:t>
      </w:r>
      <w:r w:rsidRPr="00E04191" w:rsidR="00BC032E">
        <w:rPr>
          <w:rFonts w:ascii="Arial" w:hAnsi="Arial" w:eastAsia="Calibri" w:cs="Arial"/>
          <w:color w:val="000000" w:themeColor="text1"/>
          <w:sz w:val="22"/>
        </w:rPr>
        <w:t xml:space="preserve"> que limite la capacidad de una persona par</w:t>
      </w:r>
      <w:r w:rsidRPr="00E04191" w:rsidR="001D3800">
        <w:rPr>
          <w:rFonts w:ascii="Arial" w:hAnsi="Arial" w:eastAsia="Calibri" w:cs="Arial"/>
          <w:color w:val="000000" w:themeColor="text1"/>
          <w:sz w:val="22"/>
        </w:rPr>
        <w:t>a suscribir contratos estatales</w:t>
      </w:r>
      <w:r w:rsidRPr="00E04191" w:rsidR="008C154C">
        <w:rPr>
          <w:rFonts w:ascii="Arial" w:hAnsi="Arial" w:eastAsia="Calibri" w:cs="Arial"/>
          <w:color w:val="000000" w:themeColor="text1"/>
          <w:sz w:val="22"/>
        </w:rPr>
        <w:t>.</w:t>
      </w:r>
    </w:p>
    <w:p w:rsidRPr="00E04191" w:rsidR="008C154C" w:rsidP="00A549DC" w:rsidRDefault="008C154C" w14:paraId="06D53680" w14:textId="3C988871">
      <w:pPr>
        <w:jc w:val="both"/>
        <w:rPr>
          <w:rFonts w:ascii="Arial" w:hAnsi="Arial" w:eastAsia="Calibri" w:cs="Arial"/>
          <w:color w:val="000000" w:themeColor="text1"/>
          <w:sz w:val="22"/>
        </w:rPr>
      </w:pPr>
    </w:p>
    <w:p w:rsidRPr="00E04191" w:rsidR="008C154C" w:rsidP="00A549DC" w:rsidRDefault="008C154C" w14:paraId="42B73CE1" w14:textId="77777777">
      <w:pPr>
        <w:jc w:val="both"/>
        <w:rPr>
          <w:rFonts w:ascii="Arial" w:hAnsi="Arial" w:cs="Arial"/>
          <w:color w:val="000000" w:themeColor="text1"/>
          <w:sz w:val="22"/>
        </w:rPr>
      </w:pPr>
    </w:p>
    <w:p w:rsidRPr="00E04191" w:rsidR="005A79FE" w:rsidP="00A549DC" w:rsidRDefault="005A79FE" w14:paraId="5F429EFF" w14:textId="77777777">
      <w:pPr>
        <w:spacing w:before="120" w:after="120" w:line="276" w:lineRule="auto"/>
        <w:jc w:val="both"/>
        <w:rPr>
          <w:rFonts w:ascii="Arial" w:hAnsi="Arial" w:eastAsia="Calibri" w:cs="Arial"/>
          <w:color w:val="000000" w:themeColor="text1"/>
          <w:sz w:val="22"/>
        </w:rPr>
      </w:pPr>
      <w:r w:rsidRPr="00E04191">
        <w:rPr>
          <w:rFonts w:ascii="Arial" w:hAnsi="Arial" w:eastAsia="Calibri" w:cs="Arial"/>
          <w:color w:val="000000" w:themeColor="text1"/>
          <w:sz w:val="22"/>
        </w:rPr>
        <w:t>Este concepto tiene el alcance previsto en el artículo 28 del Código de Procedimiento Administrativo y de lo Contencioso Administrativo.</w:t>
      </w:r>
    </w:p>
    <w:p w:rsidRPr="00E04191" w:rsidR="005A79FE" w:rsidP="005A79FE" w:rsidRDefault="005A79FE" w14:paraId="19DA8DDB" w14:textId="77777777">
      <w:pPr>
        <w:spacing w:line="276" w:lineRule="auto"/>
        <w:jc w:val="both"/>
        <w:rPr>
          <w:rFonts w:ascii="Arial" w:hAnsi="Arial" w:eastAsia="Calibri" w:cs="Arial"/>
          <w:color w:val="000000" w:themeColor="text1"/>
          <w:sz w:val="22"/>
        </w:rPr>
      </w:pPr>
    </w:p>
    <w:p w:rsidRPr="00E04191" w:rsidR="005A79FE" w:rsidP="005A79FE" w:rsidRDefault="005A79FE" w14:paraId="7080CFA4" w14:textId="77777777">
      <w:pPr>
        <w:jc w:val="both"/>
        <w:rPr>
          <w:rFonts w:ascii="Arial" w:hAnsi="Arial" w:eastAsia="Calibri" w:cs="Arial"/>
          <w:color w:val="000000" w:themeColor="text1"/>
          <w:sz w:val="22"/>
        </w:rPr>
      </w:pPr>
      <w:r w:rsidRPr="00E04191">
        <w:rPr>
          <w:noProof/>
          <w:color w:val="000000" w:themeColor="text1"/>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F72D88">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9FD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E04191" w:rsidR="005A79FE" w:rsidP="005A79FE" w:rsidRDefault="005A79FE" w14:paraId="18AAB28D" w14:textId="77777777">
      <w:pPr>
        <w:rPr>
          <w:rFonts w:ascii="Arial" w:hAnsi="Arial" w:eastAsia="Times New Roman" w:cs="Arial"/>
          <w:color w:val="000000" w:themeColor="text1"/>
          <w:sz w:val="22"/>
          <w:lang w:eastAsia="es-CO"/>
        </w:rPr>
      </w:pPr>
      <w:r w:rsidRPr="00E04191">
        <w:rPr>
          <w:rFonts w:ascii="Arial" w:hAnsi="Arial" w:eastAsia="Times New Roman" w:cs="Arial"/>
          <w:color w:val="000000" w:themeColor="text1"/>
          <w:sz w:val="22"/>
          <w:lang w:eastAsia="es-CO"/>
        </w:rPr>
        <w:t>Atentamente,</w:t>
      </w:r>
    </w:p>
    <w:p w:rsidR="005A79FE" w:rsidP="008D5500" w:rsidRDefault="008D5500" w14:paraId="640E419B" w14:textId="6CDA7E71">
      <w:pPr>
        <w:jc w:val="center"/>
        <w:rPr>
          <w:rFonts w:ascii="Arial" w:hAnsi="Arial" w:eastAsia="Times New Roman" w:cs="Arial"/>
          <w:color w:val="000000" w:themeColor="text1"/>
          <w:sz w:val="22"/>
          <w:lang w:eastAsia="es-CO"/>
        </w:rPr>
      </w:pPr>
      <w:r w:rsidR="008D5500">
        <w:drawing>
          <wp:inline wp14:editId="327DBA3C" wp14:anchorId="3148C3DB">
            <wp:extent cx="2773045" cy="988695"/>
            <wp:effectExtent l="0" t="0" r="0" b="0"/>
            <wp:docPr id="922742424" name="Imagen 1" title=""/>
            <wp:cNvGraphicFramePr>
              <a:graphicFrameLocks/>
            </wp:cNvGraphicFramePr>
            <a:graphic>
              <a:graphicData uri="http://schemas.openxmlformats.org/drawingml/2006/picture">
                <pic:pic>
                  <pic:nvPicPr>
                    <pic:cNvPr id="0" name="Imagen 1"/>
                    <pic:cNvPicPr/>
                  </pic:nvPicPr>
                  <pic:blipFill>
                    <a:blip r:embed="Rf1fcb0db94e14e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04191" w:rsidR="008D5500" w:rsidP="008D5500" w:rsidRDefault="008D5500" w14:paraId="1531AAFE" w14:textId="77777777">
      <w:pPr>
        <w:jc w:val="center"/>
        <w:rPr>
          <w:rFonts w:ascii="Arial" w:hAnsi="Arial" w:eastAsia="Times New Roman" w:cs="Arial"/>
          <w:color w:val="000000" w:themeColor="text1"/>
          <w:sz w:val="22"/>
          <w:lang w:eastAsia="es-CO"/>
        </w:rPr>
      </w:pPr>
    </w:p>
    <w:p w:rsidRPr="00E04191" w:rsidR="005A79FE" w:rsidP="005A79FE" w:rsidRDefault="005A79FE" w14:paraId="11F7B1FA"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04191" w:rsidR="00E04191" w:rsidTr="00266042" w14:paraId="047B79DC" w14:textId="77777777">
        <w:trPr>
          <w:trHeight w:val="315"/>
        </w:trPr>
        <w:tc>
          <w:tcPr>
            <w:tcW w:w="488" w:type="dxa"/>
            <w:vAlign w:val="center"/>
            <w:hideMark/>
          </w:tcPr>
          <w:p w:rsidRPr="00E04191" w:rsidR="005A79FE" w:rsidP="00266042" w:rsidRDefault="005A79FE" w14:paraId="66736F0D" w14:textId="77777777">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E04191" w:rsidR="005A79FE" w:rsidP="00266042" w:rsidRDefault="00422DDB" w14:paraId="75783E81" w14:textId="5A2A3F72">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Juan Manuel Castillo López</w:t>
            </w:r>
          </w:p>
          <w:p w:rsidRPr="00E04191" w:rsidR="005A79FE" w:rsidP="00266042" w:rsidRDefault="00422DDB" w14:paraId="2102D393" w14:textId="3EF985ED">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Contratista ─ Subdirección de Gestión Contractual</w:t>
            </w:r>
          </w:p>
        </w:tc>
      </w:tr>
      <w:tr w:rsidRPr="00E04191" w:rsidR="00E04191" w:rsidTr="00266042" w14:paraId="7B1DF477" w14:textId="77777777">
        <w:trPr>
          <w:trHeight w:val="330"/>
        </w:trPr>
        <w:tc>
          <w:tcPr>
            <w:tcW w:w="488" w:type="dxa"/>
            <w:vAlign w:val="center"/>
            <w:hideMark/>
          </w:tcPr>
          <w:p w:rsidRPr="00E04191" w:rsidR="005A79FE" w:rsidP="00266042" w:rsidRDefault="005A79FE" w14:paraId="0FFE9D07" w14:textId="77777777">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04191" w:rsidR="005A79FE" w:rsidP="00266042" w:rsidRDefault="00A549DC" w14:paraId="35DAE08C" w14:textId="58F2D829">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Cristian Andrés Díaz Díez</w:t>
            </w:r>
          </w:p>
          <w:p w:rsidRPr="00E04191" w:rsidR="005A79FE" w:rsidP="00266042" w:rsidRDefault="00A549DC" w14:paraId="28E52DE2" w14:textId="100859E1">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 xml:space="preserve">Contratista ─ </w:t>
            </w:r>
            <w:r w:rsidRPr="00E04191" w:rsidR="005A79FE">
              <w:rPr>
                <w:rFonts w:ascii="Arial" w:hAnsi="Arial" w:eastAsia="Times New Roman" w:cs="Arial"/>
                <w:color w:val="000000" w:themeColor="text1"/>
                <w:sz w:val="16"/>
                <w:szCs w:val="16"/>
                <w:lang w:eastAsia="es-ES"/>
              </w:rPr>
              <w:t>Subdire</w:t>
            </w:r>
            <w:r w:rsidRPr="00E04191" w:rsidR="003B6C7B">
              <w:rPr>
                <w:rFonts w:ascii="Arial" w:hAnsi="Arial" w:eastAsia="Times New Roman" w:cs="Arial"/>
                <w:color w:val="000000" w:themeColor="text1"/>
                <w:sz w:val="16"/>
                <w:szCs w:val="16"/>
                <w:lang w:eastAsia="es-ES"/>
              </w:rPr>
              <w:t>cción</w:t>
            </w:r>
            <w:r w:rsidRPr="00E04191" w:rsidR="005A79FE">
              <w:rPr>
                <w:rFonts w:ascii="Arial" w:hAnsi="Arial" w:eastAsia="Times New Roman" w:cs="Arial"/>
                <w:color w:val="000000" w:themeColor="text1"/>
                <w:sz w:val="16"/>
                <w:szCs w:val="16"/>
                <w:lang w:eastAsia="es-ES"/>
              </w:rPr>
              <w:t xml:space="preserve"> de Gestión Contractual</w:t>
            </w:r>
          </w:p>
        </w:tc>
      </w:tr>
      <w:tr w:rsidRPr="00E04191" w:rsidR="005A79FE" w:rsidTr="00266042" w14:paraId="711E3E03" w14:textId="77777777">
        <w:trPr>
          <w:trHeight w:val="300"/>
        </w:trPr>
        <w:tc>
          <w:tcPr>
            <w:tcW w:w="488" w:type="dxa"/>
            <w:vAlign w:val="center"/>
            <w:hideMark/>
          </w:tcPr>
          <w:p w:rsidRPr="00E04191" w:rsidR="005A79FE" w:rsidP="00266042" w:rsidRDefault="005A79FE" w14:paraId="4738705E" w14:textId="77777777">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04191" w:rsidR="005A79FE" w:rsidP="00266042" w:rsidRDefault="005A79FE" w14:paraId="5B3B98CB" w14:textId="77777777">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Fabián Gonzalo Marín Cortés</w:t>
            </w:r>
          </w:p>
          <w:p w:rsidRPr="00E04191" w:rsidR="005A79FE" w:rsidP="00266042" w:rsidRDefault="005A79FE" w14:paraId="18618B00" w14:textId="77777777">
            <w:pPr>
              <w:rPr>
                <w:rFonts w:ascii="Arial" w:hAnsi="Arial" w:eastAsia="Times New Roman" w:cs="Arial"/>
                <w:color w:val="000000" w:themeColor="text1"/>
                <w:sz w:val="16"/>
                <w:szCs w:val="16"/>
                <w:lang w:eastAsia="es-ES"/>
              </w:rPr>
            </w:pPr>
            <w:r w:rsidRPr="00E04191">
              <w:rPr>
                <w:rFonts w:ascii="Arial" w:hAnsi="Arial" w:eastAsia="Times New Roman" w:cs="Arial"/>
                <w:color w:val="000000" w:themeColor="text1"/>
                <w:sz w:val="16"/>
                <w:szCs w:val="16"/>
                <w:lang w:eastAsia="es-ES"/>
              </w:rPr>
              <w:t>Subdirector de Gestión Contractual</w:t>
            </w:r>
          </w:p>
        </w:tc>
      </w:tr>
    </w:tbl>
    <w:p w:rsidRPr="00E04191" w:rsidR="007B0854" w:rsidP="00CA287E" w:rsidRDefault="007B0854" w14:paraId="7EBF297E" w14:textId="77777777">
      <w:pPr>
        <w:jc w:val="both"/>
        <w:rPr>
          <w:rFonts w:ascii="Arial" w:hAnsi="Arial" w:eastAsia="Calibri" w:cs="Arial"/>
          <w:color w:val="000000" w:themeColor="text1"/>
          <w:sz w:val="22"/>
        </w:rPr>
      </w:pPr>
      <w:bookmarkStart w:name="_Hlk29890381" w:id="1"/>
      <w:bookmarkEnd w:id="1"/>
    </w:p>
    <w:sectPr w:rsidRPr="00E04191"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4A68" w:rsidRDefault="00314A68" w14:paraId="3B116508" w14:textId="77777777">
      <w:r>
        <w:separator/>
      </w:r>
    </w:p>
  </w:endnote>
  <w:endnote w:type="continuationSeparator" w:id="0">
    <w:p w:rsidR="00314A68" w:rsidRDefault="00314A68" w14:paraId="160354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2D99B1DF" w14:paraId="48FC6A04" w14:textId="0E0B8C38">
    <w:pPr>
      <w:pStyle w:val="Piedepgina"/>
      <w:jc w:val="center"/>
      <w:rPr>
        <w:lang w:val="es-ES"/>
      </w:rPr>
    </w:pPr>
    <w:r w:rsidR="220E6C25">
      <w:drawing>
        <wp:inline wp14:editId="165DF6A4" wp14:anchorId="608B196D">
          <wp:extent cx="4241994" cy="595165"/>
          <wp:effectExtent l="0" t="0" r="6350" b="0"/>
          <wp:docPr id="350107288" name="Imagen 12" title=""/>
          <wp:cNvGraphicFramePr>
            <a:graphicFrameLocks noChangeAspect="1"/>
          </wp:cNvGraphicFramePr>
          <a:graphic>
            <a:graphicData uri="http://schemas.openxmlformats.org/drawingml/2006/picture">
              <pic:pic>
                <pic:nvPicPr>
                  <pic:cNvPr id="0" name="Imagen 12"/>
                  <pic:cNvPicPr/>
                </pic:nvPicPr>
                <pic:blipFill>
                  <a:blip r:embed="Rdb3da08bbaa14ef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4A68" w:rsidRDefault="00314A68" w14:paraId="423910BB" w14:textId="77777777">
      <w:r>
        <w:separator/>
      </w:r>
    </w:p>
  </w:footnote>
  <w:footnote w:type="continuationSeparator" w:id="0">
    <w:p w:rsidR="00314A68" w:rsidRDefault="00314A68" w14:paraId="1B339FAA" w14:textId="77777777">
      <w:r>
        <w:continuationSeparator/>
      </w:r>
    </w:p>
  </w:footnote>
  <w:footnote w:id="1">
    <w:p w:rsidRPr="00E04191" w:rsidR="00F8649C" w:rsidP="00692DFF" w:rsidRDefault="00F8649C" w14:paraId="157E9CAD" w14:textId="6D8049FF">
      <w:pPr>
        <w:pStyle w:val="Textonotapie"/>
        <w:ind w:firstLine="708"/>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Corte Constitucional. Sentencia C</w:t>
      </w:r>
      <w:r w:rsidRPr="00E04191" w:rsidR="00B34E7A">
        <w:rPr>
          <w:rFonts w:ascii="Arial" w:hAnsi="Arial" w:cs="Arial"/>
          <w:color w:val="000000" w:themeColor="text1"/>
          <w:sz w:val="19"/>
          <w:szCs w:val="19"/>
        </w:rPr>
        <w:t xml:space="preserve"> ─ </w:t>
      </w:r>
      <w:r w:rsidRPr="00E04191">
        <w:rPr>
          <w:rFonts w:ascii="Arial" w:hAnsi="Arial" w:cs="Arial"/>
          <w:color w:val="000000" w:themeColor="text1"/>
          <w:sz w:val="19"/>
          <w:szCs w:val="19"/>
        </w:rPr>
        <w:t>1016 de 2012.</w:t>
      </w:r>
      <w:r w:rsidRPr="00E04191" w:rsidR="00B34E7A">
        <w:rPr>
          <w:rFonts w:ascii="Arial" w:hAnsi="Arial" w:cs="Arial"/>
          <w:color w:val="000000" w:themeColor="text1"/>
          <w:sz w:val="19"/>
          <w:szCs w:val="19"/>
        </w:rPr>
        <w:t xml:space="preserve"> Magistrado Ponente:</w:t>
      </w:r>
      <w:r w:rsidRPr="00E04191">
        <w:rPr>
          <w:rFonts w:ascii="Arial" w:hAnsi="Arial" w:cs="Arial"/>
          <w:color w:val="000000" w:themeColor="text1"/>
          <w:sz w:val="19"/>
          <w:szCs w:val="19"/>
        </w:rPr>
        <w:t xml:space="preserve"> Jorge Iván Palacio. </w:t>
      </w:r>
    </w:p>
    <w:p w:rsidRPr="00E04191" w:rsidR="00F8649C" w:rsidP="00692DFF" w:rsidRDefault="00F8649C" w14:paraId="354D455B" w14:textId="77777777">
      <w:pPr>
        <w:pStyle w:val="Textonotapie"/>
        <w:ind w:firstLine="708"/>
        <w:jc w:val="both"/>
        <w:rPr>
          <w:rFonts w:ascii="Arial" w:hAnsi="Arial" w:cs="Arial"/>
          <w:color w:val="000000" w:themeColor="text1"/>
          <w:sz w:val="19"/>
          <w:szCs w:val="19"/>
        </w:rPr>
      </w:pPr>
    </w:p>
  </w:footnote>
  <w:footnote w:id="2">
    <w:p w:rsidRPr="00E04191" w:rsidR="00F8649C" w:rsidP="00692DFF" w:rsidRDefault="00F8649C" w14:paraId="706A89D9" w14:textId="494A18EE">
      <w:pPr>
        <w:pStyle w:val="Textonotapie"/>
        <w:ind w:firstLine="708"/>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Consejo de Estado. Sección Tercera</w:t>
      </w:r>
      <w:r w:rsidRPr="00E04191" w:rsidR="00A34606">
        <w:rPr>
          <w:rFonts w:ascii="Arial" w:hAnsi="Arial" w:cs="Arial"/>
          <w:color w:val="000000" w:themeColor="text1"/>
          <w:sz w:val="19"/>
          <w:szCs w:val="19"/>
        </w:rPr>
        <w:t>.</w:t>
      </w:r>
      <w:r w:rsidRPr="00E04191">
        <w:rPr>
          <w:rFonts w:ascii="Arial" w:hAnsi="Arial" w:cs="Arial"/>
          <w:color w:val="000000" w:themeColor="text1"/>
          <w:sz w:val="19"/>
          <w:szCs w:val="19"/>
        </w:rPr>
        <w:t xml:space="preserve"> Subsección A. Sentencia del 13 de noviembre de 2013. </w:t>
      </w:r>
      <w:proofErr w:type="spellStart"/>
      <w:r w:rsidRPr="00E04191" w:rsidR="00373F7B">
        <w:rPr>
          <w:rFonts w:ascii="Arial" w:hAnsi="Arial" w:cs="Arial"/>
          <w:color w:val="000000" w:themeColor="text1"/>
          <w:sz w:val="19"/>
          <w:szCs w:val="19"/>
        </w:rPr>
        <w:t>Exp</w:t>
      </w:r>
      <w:proofErr w:type="spellEnd"/>
      <w:r w:rsidRPr="00E04191" w:rsidR="00373F7B">
        <w:rPr>
          <w:rFonts w:ascii="Arial" w:hAnsi="Arial" w:cs="Arial"/>
          <w:color w:val="000000" w:themeColor="text1"/>
          <w:sz w:val="19"/>
          <w:szCs w:val="19"/>
        </w:rPr>
        <w:t xml:space="preserve">. </w:t>
      </w:r>
      <w:r w:rsidRPr="00E04191">
        <w:rPr>
          <w:rFonts w:ascii="Arial" w:hAnsi="Arial" w:cs="Arial"/>
          <w:color w:val="000000" w:themeColor="text1"/>
          <w:sz w:val="19"/>
          <w:szCs w:val="19"/>
        </w:rPr>
        <w:t>25.646.</w:t>
      </w:r>
      <w:r w:rsidRPr="00E04191" w:rsidR="004B7587">
        <w:rPr>
          <w:rFonts w:ascii="Arial" w:hAnsi="Arial" w:cs="Arial"/>
          <w:color w:val="000000" w:themeColor="text1"/>
          <w:sz w:val="19"/>
          <w:szCs w:val="19"/>
        </w:rPr>
        <w:t xml:space="preserve"> Consejero Ponente: Mauricio Fajardo Gómez. </w:t>
      </w:r>
      <w:r w:rsidRPr="00E04191">
        <w:rPr>
          <w:rFonts w:ascii="Arial" w:hAnsi="Arial" w:cs="Arial"/>
          <w:color w:val="000000" w:themeColor="text1"/>
          <w:sz w:val="19"/>
          <w:szCs w:val="19"/>
        </w:rPr>
        <w:t xml:space="preserve"> </w:t>
      </w:r>
    </w:p>
    <w:p w:rsidRPr="00E04191" w:rsidR="00F8649C" w:rsidP="00692DFF" w:rsidRDefault="00F8649C" w14:paraId="42374936" w14:textId="77777777">
      <w:pPr>
        <w:pStyle w:val="Textonotapie"/>
        <w:ind w:firstLine="708"/>
        <w:jc w:val="both"/>
        <w:rPr>
          <w:rFonts w:ascii="Arial" w:hAnsi="Arial" w:cs="Arial"/>
          <w:color w:val="000000" w:themeColor="text1"/>
          <w:sz w:val="19"/>
          <w:szCs w:val="19"/>
        </w:rPr>
      </w:pPr>
    </w:p>
  </w:footnote>
  <w:footnote w:id="3">
    <w:p w:rsidRPr="00E04191" w:rsidR="00F8649C" w:rsidP="00692DFF" w:rsidRDefault="00F8649C" w14:paraId="5E006E5D" w14:textId="7FF98693">
      <w:pPr>
        <w:pStyle w:val="Textonotapie"/>
        <w:ind w:firstLine="708"/>
        <w:jc w:val="both"/>
        <w:rPr>
          <w:rFonts w:ascii="Arial" w:hAnsi="Arial" w:cs="Arial"/>
          <w:color w:val="000000" w:themeColor="text1"/>
          <w:sz w:val="19"/>
          <w:szCs w:val="19"/>
        </w:rPr>
      </w:pPr>
      <w:r w:rsidRPr="00E04191">
        <w:rPr>
          <w:rFonts w:ascii="Arial" w:hAnsi="Arial" w:cs="Arial"/>
          <w:color w:val="000000" w:themeColor="text1"/>
          <w:sz w:val="19"/>
          <w:szCs w:val="19"/>
          <w:vertAlign w:val="superscript"/>
        </w:rPr>
        <w:footnoteRef/>
      </w:r>
      <w:r w:rsidRPr="00E04191">
        <w:rPr>
          <w:rFonts w:ascii="Arial" w:hAnsi="Arial" w:cs="Arial"/>
          <w:color w:val="000000" w:themeColor="text1"/>
          <w:sz w:val="19"/>
          <w:szCs w:val="19"/>
        </w:rPr>
        <w:t xml:space="preserve"> Corte Constitucional. Sentencia C</w:t>
      </w:r>
      <w:r w:rsidRPr="00E04191" w:rsidR="00B62EF8">
        <w:rPr>
          <w:rFonts w:ascii="Arial" w:hAnsi="Arial" w:cs="Arial"/>
          <w:color w:val="000000" w:themeColor="text1"/>
          <w:sz w:val="19"/>
          <w:szCs w:val="19"/>
        </w:rPr>
        <w:t xml:space="preserve"> ─ </w:t>
      </w:r>
      <w:r w:rsidRPr="00E04191">
        <w:rPr>
          <w:rFonts w:ascii="Arial" w:hAnsi="Arial" w:cs="Arial"/>
          <w:color w:val="000000" w:themeColor="text1"/>
          <w:sz w:val="19"/>
          <w:szCs w:val="19"/>
        </w:rPr>
        <w:t xml:space="preserve">415 de 1994. </w:t>
      </w:r>
      <w:r w:rsidRPr="00E04191" w:rsidR="004B7587">
        <w:rPr>
          <w:rFonts w:ascii="Arial" w:hAnsi="Arial" w:cs="Arial"/>
          <w:color w:val="000000" w:themeColor="text1"/>
          <w:sz w:val="19"/>
          <w:szCs w:val="19"/>
        </w:rPr>
        <w:t>Magistrado Ponente:</w:t>
      </w:r>
      <w:r w:rsidRPr="00E04191">
        <w:rPr>
          <w:rFonts w:ascii="Arial" w:hAnsi="Arial" w:cs="Arial"/>
          <w:color w:val="000000" w:themeColor="text1"/>
          <w:sz w:val="19"/>
          <w:szCs w:val="19"/>
        </w:rPr>
        <w:t xml:space="preserve"> Eduardo Cifuentes Muñoz. </w:t>
      </w:r>
    </w:p>
    <w:p w:rsidRPr="00E04191" w:rsidR="00F8649C" w:rsidP="00692DFF" w:rsidRDefault="00F8649C" w14:paraId="5196C624" w14:textId="77777777">
      <w:pPr>
        <w:pStyle w:val="Textonotapie"/>
        <w:ind w:firstLine="708"/>
        <w:jc w:val="both"/>
        <w:rPr>
          <w:rFonts w:ascii="Arial" w:hAnsi="Arial" w:cs="Arial"/>
          <w:color w:val="000000" w:themeColor="text1"/>
          <w:sz w:val="19"/>
          <w:szCs w:val="19"/>
        </w:rPr>
      </w:pPr>
    </w:p>
  </w:footnote>
  <w:footnote w:id="4">
    <w:p w:rsidRPr="00E04191" w:rsidR="00F8649C" w:rsidP="00692DFF" w:rsidRDefault="00F8649C" w14:paraId="203C438C" w14:textId="77777777">
      <w:pPr>
        <w:pStyle w:val="Textonotapie"/>
        <w:ind w:firstLine="708"/>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proofErr w:type="spellStart"/>
      <w:r w:rsidRPr="00E04191">
        <w:rPr>
          <w:rFonts w:ascii="Arial" w:hAnsi="Arial" w:cs="Arial"/>
          <w:color w:val="000000" w:themeColor="text1"/>
          <w:sz w:val="19"/>
          <w:szCs w:val="19"/>
        </w:rPr>
        <w:t>Ibídem</w:t>
      </w:r>
      <w:proofErr w:type="spellEnd"/>
      <w:r w:rsidRPr="00E04191">
        <w:rPr>
          <w:rFonts w:ascii="Arial" w:hAnsi="Arial" w:cs="Arial"/>
          <w:color w:val="000000" w:themeColor="text1"/>
          <w:sz w:val="19"/>
          <w:szCs w:val="19"/>
        </w:rPr>
        <w:t xml:space="preserve">. </w:t>
      </w:r>
    </w:p>
    <w:p w:rsidRPr="00E04191" w:rsidR="00F8649C" w:rsidP="00692DFF" w:rsidRDefault="00F8649C" w14:paraId="42F81DFD" w14:textId="77777777">
      <w:pPr>
        <w:pStyle w:val="Textonotapie"/>
        <w:ind w:firstLine="708"/>
        <w:jc w:val="both"/>
        <w:rPr>
          <w:rFonts w:ascii="Arial" w:hAnsi="Arial" w:cs="Arial"/>
          <w:color w:val="000000" w:themeColor="text1"/>
          <w:sz w:val="19"/>
          <w:szCs w:val="19"/>
        </w:rPr>
      </w:pPr>
    </w:p>
  </w:footnote>
  <w:footnote w:id="5">
    <w:p w:rsidRPr="00E04191" w:rsidR="00F8649C" w:rsidP="00692DFF" w:rsidRDefault="00F8649C" w14:paraId="43A33B5E" w14:textId="2C79EA90">
      <w:pPr>
        <w:pStyle w:val="Textonotapie"/>
        <w:ind w:firstLine="708"/>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Corte Constitucional. Sentencia C</w:t>
      </w:r>
      <w:r w:rsidRPr="00E04191" w:rsidR="00B62EF8">
        <w:rPr>
          <w:rFonts w:ascii="Arial" w:hAnsi="Arial" w:cs="Arial"/>
          <w:color w:val="000000" w:themeColor="text1"/>
          <w:sz w:val="19"/>
          <w:szCs w:val="19"/>
        </w:rPr>
        <w:t xml:space="preserve"> ─ </w:t>
      </w:r>
      <w:r w:rsidRPr="00E04191">
        <w:rPr>
          <w:rFonts w:ascii="Arial" w:hAnsi="Arial" w:cs="Arial"/>
          <w:color w:val="000000" w:themeColor="text1"/>
          <w:sz w:val="19"/>
          <w:szCs w:val="19"/>
        </w:rPr>
        <w:t>780 de 2001.</w:t>
      </w:r>
      <w:r w:rsidRPr="00E04191" w:rsidR="00B62EF8">
        <w:rPr>
          <w:rFonts w:ascii="Arial" w:hAnsi="Arial" w:cs="Arial"/>
          <w:color w:val="000000" w:themeColor="text1"/>
          <w:sz w:val="19"/>
          <w:szCs w:val="19"/>
        </w:rPr>
        <w:t xml:space="preserve"> Magistrado Ponente:</w:t>
      </w:r>
      <w:r w:rsidRPr="00E04191">
        <w:rPr>
          <w:rFonts w:ascii="Arial" w:hAnsi="Arial" w:cs="Arial"/>
          <w:color w:val="000000" w:themeColor="text1"/>
          <w:sz w:val="19"/>
          <w:szCs w:val="19"/>
        </w:rPr>
        <w:t xml:space="preserve"> Jaime Córdoba Triviño. </w:t>
      </w:r>
    </w:p>
    <w:p w:rsidRPr="00E04191" w:rsidR="00F8649C" w:rsidP="00692DFF" w:rsidRDefault="00F8649C" w14:paraId="6829516C" w14:textId="77777777">
      <w:pPr>
        <w:pStyle w:val="Textonotapie"/>
        <w:ind w:firstLine="708"/>
        <w:jc w:val="both"/>
        <w:rPr>
          <w:rFonts w:ascii="Arial" w:hAnsi="Arial" w:cs="Arial"/>
          <w:color w:val="000000" w:themeColor="text1"/>
          <w:sz w:val="19"/>
          <w:szCs w:val="19"/>
        </w:rPr>
      </w:pPr>
    </w:p>
  </w:footnote>
  <w:footnote w:id="6">
    <w:p w:rsidRPr="00E04191" w:rsidR="00F8649C" w:rsidP="00692DFF" w:rsidRDefault="00F8649C" w14:paraId="142598FE" w14:textId="12F98128">
      <w:pPr>
        <w:pStyle w:val="NormalWeb"/>
        <w:spacing w:before="0" w:beforeAutospacing="0" w:after="0" w:afterAutospacing="0"/>
        <w:ind w:firstLine="708"/>
        <w:jc w:val="both"/>
        <w:rPr>
          <w:rFonts w:ascii="Arial" w:hAnsi="Arial" w:cs="Arial" w:eastAsiaTheme="minorHAnsi"/>
          <w:color w:val="000000" w:themeColor="text1"/>
          <w:sz w:val="19"/>
          <w:szCs w:val="19"/>
          <w:lang w:val="es-ES" w:eastAsia="en-U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eastAsiaTheme="minorHAnsi"/>
          <w:color w:val="000000" w:themeColor="text1"/>
          <w:sz w:val="19"/>
          <w:szCs w:val="19"/>
          <w:lang w:val="es-ES" w:eastAsia="en-US"/>
        </w:rPr>
        <w:t>Ley 80 de 1993</w:t>
      </w:r>
      <w:r w:rsidRPr="00E04191" w:rsidR="00B62EF8">
        <w:rPr>
          <w:rFonts w:ascii="Arial" w:hAnsi="Arial" w:cs="Arial" w:eastAsiaTheme="minorHAnsi"/>
          <w:color w:val="000000" w:themeColor="text1"/>
          <w:sz w:val="19"/>
          <w:szCs w:val="19"/>
          <w:lang w:val="es-ES" w:eastAsia="en-US"/>
        </w:rPr>
        <w:t>:</w:t>
      </w:r>
      <w:r w:rsidRPr="00E04191">
        <w:rPr>
          <w:rFonts w:ascii="Arial" w:hAnsi="Arial" w:cs="Arial" w:eastAsiaTheme="minorHAnsi"/>
          <w:color w:val="000000" w:themeColor="text1"/>
          <w:sz w:val="19"/>
          <w:szCs w:val="19"/>
          <w:lang w:val="es-ES" w:eastAsia="en-US"/>
        </w:rPr>
        <w:t xml:space="preserve"> «Artículo 8: 1o. Son inhábiles para participar en licitaciones o concursos y para celebrar contratos con las entidades estatales: </w:t>
      </w:r>
    </w:p>
    <w:p w:rsidRPr="00E04191" w:rsidR="00F8649C" w:rsidP="00692DFF" w:rsidRDefault="00F8649C" w14:paraId="016B0C50"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»a</w:t>
      </w:r>
      <w:proofErr w:type="gramEnd"/>
      <w:r w:rsidRPr="00E04191">
        <w:rPr>
          <w:rFonts w:ascii="Arial" w:hAnsi="Arial" w:cs="Arial" w:eastAsiaTheme="minorHAnsi"/>
          <w:color w:val="000000" w:themeColor="text1"/>
          <w:sz w:val="19"/>
          <w:szCs w:val="19"/>
          <w:lang w:val="es-ES" w:eastAsia="en-US"/>
        </w:rPr>
        <w:t>) Las personas que se hallen inhabilitadas para contratar por la Constitución y las leyes. </w:t>
      </w:r>
    </w:p>
    <w:p w:rsidRPr="00E04191" w:rsidR="00F8649C" w:rsidP="00692DFF" w:rsidRDefault="00F8649C" w14:paraId="02C409D8"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»b</w:t>
      </w:r>
      <w:proofErr w:type="gramEnd"/>
      <w:r w:rsidRPr="00E04191">
        <w:rPr>
          <w:rFonts w:ascii="Arial" w:hAnsi="Arial" w:cs="Arial" w:eastAsiaTheme="minorHAnsi"/>
          <w:color w:val="000000" w:themeColor="text1"/>
          <w:sz w:val="19"/>
          <w:szCs w:val="19"/>
          <w:lang w:val="es-ES" w:eastAsia="en-US"/>
        </w:rPr>
        <w:t>) Quienes participaron en las licitaciones o concursos o celebraron los contratos de que trata el literal anterior estando inhabilitados. </w:t>
      </w:r>
    </w:p>
    <w:p w:rsidRPr="00E04191" w:rsidR="00F8649C" w:rsidP="00692DFF" w:rsidRDefault="00F8649C" w14:paraId="35BA6076"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r w:rsidRPr="00E04191">
        <w:rPr>
          <w:rFonts w:ascii="Arial" w:hAnsi="Arial" w:cs="Arial" w:eastAsiaTheme="minorHAnsi"/>
          <w:color w:val="000000" w:themeColor="text1"/>
          <w:sz w:val="19"/>
          <w:szCs w:val="19"/>
          <w:lang w:val="es-ES" w:eastAsia="en-US"/>
        </w:rPr>
        <w:t>»c) Quienes dieron lugar a la declaratoria de caducidad. </w:t>
      </w:r>
    </w:p>
    <w:p w:rsidRPr="00E04191" w:rsidR="00F8649C" w:rsidP="00692DFF" w:rsidRDefault="00F8649C" w14:paraId="4A136EA9"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»d</w:t>
      </w:r>
      <w:proofErr w:type="gramEnd"/>
      <w:r w:rsidRPr="00E04191">
        <w:rPr>
          <w:rFonts w:ascii="Arial" w:hAnsi="Arial" w:cs="Arial" w:eastAsiaTheme="minorHAnsi"/>
          <w:color w:val="000000" w:themeColor="text1"/>
          <w:sz w:val="19"/>
          <w:szCs w:val="19"/>
          <w:lang w:val="es-ES" w:eastAsia="en-US"/>
        </w:rPr>
        <w:t>) Quienes en sentencia judicial hayan sido condenados a la pena accesoria de interdicción de derechos y funciones públicas y quienes hayan sido sancionados disciplinariamente con destitución. </w:t>
      </w:r>
    </w:p>
    <w:p w:rsidRPr="00E04191" w:rsidR="00F8649C" w:rsidP="00692DFF" w:rsidRDefault="00F8649C" w14:paraId="6689282D"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»e</w:t>
      </w:r>
      <w:proofErr w:type="gramEnd"/>
      <w:r w:rsidRPr="00E04191">
        <w:rPr>
          <w:rFonts w:ascii="Arial" w:hAnsi="Arial" w:cs="Arial" w:eastAsiaTheme="minorHAnsi"/>
          <w:color w:val="000000" w:themeColor="text1"/>
          <w:sz w:val="19"/>
          <w:szCs w:val="19"/>
          <w:lang w:val="es-ES" w:eastAsia="en-US"/>
        </w:rPr>
        <w:t>) Quienes sin justa causa se abstengan de suscribir el contrato estatal adjudicado. </w:t>
      </w:r>
    </w:p>
    <w:p w:rsidRPr="00E04191" w:rsidR="00F8649C" w:rsidP="00692DFF" w:rsidRDefault="00F8649C" w14:paraId="36D73DEF"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»f</w:t>
      </w:r>
      <w:proofErr w:type="gramEnd"/>
      <w:r w:rsidRPr="00E04191">
        <w:rPr>
          <w:rFonts w:ascii="Arial" w:hAnsi="Arial" w:cs="Arial" w:eastAsiaTheme="minorHAnsi"/>
          <w:color w:val="000000" w:themeColor="text1"/>
          <w:sz w:val="19"/>
          <w:szCs w:val="19"/>
          <w:lang w:val="es-ES" w:eastAsia="en-US"/>
        </w:rPr>
        <w:t>) Los servidores públicos. </w:t>
      </w:r>
    </w:p>
    <w:p w:rsidRPr="00E04191" w:rsidR="00F8649C" w:rsidP="00692DFF" w:rsidRDefault="00F8649C" w14:paraId="7A6FCFC4"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»g</w:t>
      </w:r>
      <w:proofErr w:type="gramEnd"/>
      <w:r w:rsidRPr="00E04191">
        <w:rPr>
          <w:rFonts w:ascii="Arial" w:hAnsi="Arial" w:cs="Arial" w:eastAsiaTheme="minorHAnsi"/>
          <w:color w:val="000000" w:themeColor="text1"/>
          <w:sz w:val="19"/>
          <w:szCs w:val="19"/>
          <w:lang w:val="es-ES" w:eastAsia="en-US"/>
        </w:rPr>
        <w:t>) Quienes sean cónyuges o compañeros permanentes y quienes se encuentren dentro del segundo grado de consanguinidad o segundo de afinidad con cualquier otra persona que formalmente haya presentado propuesta para una misma licitación o concurso. </w:t>
      </w:r>
    </w:p>
    <w:p w:rsidRPr="00E04191" w:rsidR="00F8649C" w:rsidP="00692DFF" w:rsidRDefault="00F8649C" w14:paraId="2E827928" w14:textId="77777777">
      <w:pPr>
        <w:pStyle w:val="NormalWeb"/>
        <w:spacing w:before="0" w:beforeAutospacing="0" w:after="0" w:afterAutospacing="0"/>
        <w:ind w:firstLine="708"/>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rsidRPr="00E04191" w:rsidR="00F8649C" w:rsidP="00692DFF" w:rsidRDefault="00F8649C" w14:paraId="5E6EBD2F"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»i</w:t>
      </w:r>
      <w:proofErr w:type="gramEnd"/>
      <w:r w:rsidRPr="00E04191">
        <w:rPr>
          <w:rFonts w:ascii="Arial" w:hAnsi="Arial" w:cs="Arial" w:eastAsiaTheme="minorHAnsi"/>
          <w:color w:val="000000" w:themeColor="text1"/>
          <w:sz w:val="19"/>
          <w:szCs w:val="19"/>
          <w:lang w:val="es-ES" w:eastAsia="en-US"/>
        </w:rPr>
        <w:t>) Los socios de sociedades de personas a las cuales se haya declarado la caducidad, así como las sociedades de personas de las que aquellos formen parte con posterioridad a dicha declaratoria. </w:t>
      </w:r>
    </w:p>
    <w:p w:rsidRPr="00E04191" w:rsidR="00F8649C" w:rsidP="00692DFF" w:rsidRDefault="00F8649C" w14:paraId="595CA31E"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r w:rsidRPr="00E04191">
        <w:rPr>
          <w:rFonts w:ascii="Arial" w:hAnsi="Arial" w:cs="Arial" w:eastAsiaTheme="minorHAnsi"/>
          <w:color w:val="000000" w:themeColor="text1"/>
          <w:sz w:val="19"/>
          <w:szCs w:val="19"/>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rsidRPr="00E04191" w:rsidR="00F8649C" w:rsidP="00692DFF" w:rsidRDefault="00F8649C" w14:paraId="51EA9714"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r w:rsidRPr="00E04191">
        <w:rPr>
          <w:rFonts w:ascii="Arial" w:hAnsi="Arial" w:cs="Arial" w:eastAsiaTheme="minorHAnsi"/>
          <w:color w:val="000000" w:themeColor="text1"/>
          <w:sz w:val="19"/>
          <w:szCs w:val="19"/>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Pr="00E04191" w:rsidR="00F8649C" w:rsidP="00692DFF" w:rsidRDefault="00F8649C" w14:paraId="2FB2CAA9"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»Esta</w:t>
      </w:r>
      <w:proofErr w:type="gramEnd"/>
      <w:r w:rsidRPr="00E04191">
        <w:rPr>
          <w:rFonts w:ascii="Arial" w:hAnsi="Arial" w:cs="Arial" w:eastAsiaTheme="minorHAnsi"/>
          <w:color w:val="000000" w:themeColor="text1"/>
          <w:sz w:val="19"/>
          <w:szCs w:val="19"/>
          <w:lang w:val="es-ES" w:eastAsia="en-US"/>
        </w:rPr>
        <w:t xml:space="preserve">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E04191">
        <w:rPr>
          <w:rFonts w:ascii="Arial" w:hAnsi="Arial" w:cs="Arial" w:eastAsiaTheme="minorHAnsi"/>
          <w:color w:val="000000" w:themeColor="text1"/>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E04191">
        <w:rPr>
          <w:rFonts w:ascii="Arial" w:hAnsi="Arial" w:cs="Arial" w:eastAsiaTheme="minorHAnsi"/>
          <w:color w:val="000000" w:themeColor="text1"/>
          <w:sz w:val="19"/>
          <w:szCs w:val="19"/>
          <w:lang w:val="es-ES" w:eastAsia="en-US"/>
        </w:rPr>
        <w:softHyphen/>
        <w:t>cepción de las sociedades anónimas abiertas. También se considerarán inhabilitadas para contratar, las personas jurídicas sobre las cuales se haya ordenado la suspensión de la perso</w:t>
      </w:r>
      <w:r w:rsidRPr="00E04191">
        <w:rPr>
          <w:rFonts w:ascii="Arial" w:hAnsi="Arial" w:cs="Arial" w:eastAsiaTheme="minorHAnsi"/>
          <w:color w:val="000000" w:themeColor="text1"/>
          <w:sz w:val="19"/>
          <w:szCs w:val="19"/>
          <w:lang w:val="es-ES" w:eastAsia="en-US"/>
        </w:rPr>
        <w:softHyphen/>
        <w:t>nería jurídica en los términos de ley, o cuyos representantes legales, ad</w:t>
      </w:r>
      <w:r w:rsidRPr="00E04191">
        <w:rPr>
          <w:rFonts w:ascii="Arial" w:hAnsi="Arial" w:cs="Arial" w:eastAsiaTheme="minorHAnsi"/>
          <w:color w:val="000000" w:themeColor="text1"/>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E04191">
        <w:rPr>
          <w:rFonts w:ascii="Arial" w:hAnsi="Arial" w:cs="Arial" w:eastAsiaTheme="minorHAnsi"/>
          <w:color w:val="000000" w:themeColor="text1"/>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rsidRPr="00E04191" w:rsidR="00F8649C" w:rsidP="00692DFF" w:rsidRDefault="00F8649C" w14:paraId="79157A8D"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w:t>
      </w:r>
    </w:p>
    <w:p w:rsidRPr="00E04191" w:rsidR="00F8649C" w:rsidP="00692DFF" w:rsidRDefault="00F8649C" w14:paraId="480B662A" w14:textId="77777777">
      <w:pPr>
        <w:pStyle w:val="NormalWeb"/>
        <w:spacing w:before="0" w:beforeAutospacing="0" w:after="0" w:afterAutospacing="0"/>
        <w:ind w:firstLine="708"/>
        <w:jc w:val="both"/>
        <w:rPr>
          <w:rFonts w:ascii="Arial" w:hAnsi="Arial" w:cs="Arial" w:eastAsiaTheme="minorHAnsi"/>
          <w:color w:val="000000" w:themeColor="text1"/>
          <w:sz w:val="19"/>
          <w:szCs w:val="19"/>
          <w:lang w:val="es-ES" w:eastAsia="en-US"/>
        </w:rPr>
      </w:pPr>
      <w:proofErr w:type="gramStart"/>
      <w:r w:rsidRPr="00E04191">
        <w:rPr>
          <w:rFonts w:ascii="Arial" w:hAnsi="Arial" w:cs="Arial" w:eastAsiaTheme="minorHAnsi"/>
          <w:color w:val="000000" w:themeColor="text1"/>
          <w:sz w:val="19"/>
          <w:szCs w:val="19"/>
          <w:lang w:val="es-ES" w:eastAsia="en-US"/>
        </w:rPr>
        <w:t>»2o.</w:t>
      </w:r>
      <w:proofErr w:type="gramEnd"/>
      <w:r w:rsidRPr="00E04191">
        <w:rPr>
          <w:rFonts w:ascii="Arial" w:hAnsi="Arial" w:cs="Arial" w:eastAsiaTheme="minorHAnsi"/>
          <w:color w:val="000000" w:themeColor="text1"/>
          <w:sz w:val="19"/>
          <w:szCs w:val="19"/>
          <w:lang w:val="es-ES" w:eastAsia="en-US"/>
        </w:rPr>
        <w:t xml:space="preserve"> Tampoco podrán participar en licitaciones o concursos ni celebrar contratos estatales con la entidad respectiva: </w:t>
      </w:r>
    </w:p>
    <w:p w:rsidRPr="00E04191" w:rsidR="00F8649C" w:rsidP="00692DFF" w:rsidRDefault="00F8649C" w14:paraId="785B254F"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»a</w:t>
      </w:r>
      <w:proofErr w:type="gramEnd"/>
      <w:r w:rsidRPr="00E04191">
        <w:rPr>
          <w:rFonts w:ascii="Arial" w:hAnsi="Arial" w:cs="Arial" w:eastAsiaTheme="minorHAnsi"/>
          <w:color w:val="000000" w:themeColor="text1"/>
          <w:sz w:val="19"/>
          <w:szCs w:val="19"/>
          <w:lang w:val="es-ES" w:eastAsia="en-US"/>
        </w:rPr>
        <w:t>)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rsidRPr="00E04191" w:rsidR="00F8649C" w:rsidP="00692DFF" w:rsidRDefault="00F8649C" w14:paraId="5BB32F8C"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»b</w:t>
      </w:r>
      <w:proofErr w:type="gramEnd"/>
      <w:r w:rsidRPr="00E04191">
        <w:rPr>
          <w:rFonts w:ascii="Arial" w:hAnsi="Arial" w:cs="Arial" w:eastAsiaTheme="minorHAnsi"/>
          <w:color w:val="000000" w:themeColor="text1"/>
          <w:sz w:val="19"/>
          <w:szCs w:val="19"/>
          <w:lang w:val="es-ES" w:eastAsia="en-US"/>
        </w:rPr>
        <w:t>)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rsidRPr="00E04191" w:rsidR="00F8649C" w:rsidP="00692DFF" w:rsidRDefault="00F8649C" w14:paraId="043404C6"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r w:rsidRPr="00E04191">
        <w:rPr>
          <w:rFonts w:ascii="Arial" w:hAnsi="Arial" w:cs="Arial" w:eastAsiaTheme="minorHAnsi"/>
          <w:color w:val="000000" w:themeColor="text1"/>
          <w:sz w:val="19"/>
          <w:szCs w:val="19"/>
          <w:lang w:val="es-ES" w:eastAsia="en-US"/>
        </w:rPr>
        <w:t>»c) El cónyuge, compañero o compañera permanente del servidor público en los niveles directivo, asesor, ejecutivo, o de un miembro de la junta o consejo directivo, o de quien ejerza funciones de control interno o de control fiscal. </w:t>
      </w:r>
    </w:p>
    <w:p w:rsidRPr="00E04191" w:rsidR="00F8649C" w:rsidP="00692DFF" w:rsidRDefault="00F8649C" w14:paraId="5AA7DD85"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r w:rsidRPr="00E04191">
        <w:rPr>
          <w:rFonts w:ascii="Arial" w:hAnsi="Arial" w:cs="Arial" w:eastAsiaTheme="minorHAnsi"/>
          <w:color w:val="000000" w:themeColor="text1"/>
          <w:sz w:val="19"/>
          <w:szCs w:val="19"/>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rsidRPr="00E04191" w:rsidR="00F8649C" w:rsidP="00692DFF" w:rsidRDefault="00F8649C" w14:paraId="74EA1CFE" w14:textId="77777777">
      <w:pPr>
        <w:pStyle w:val="NormalWeb"/>
        <w:spacing w:before="0" w:beforeAutospacing="0" w:after="0" w:afterAutospacing="0"/>
        <w:jc w:val="both"/>
        <w:rPr>
          <w:rFonts w:ascii="Arial" w:hAnsi="Arial" w:cs="Arial" w:eastAsiaTheme="minorHAnsi"/>
          <w:color w:val="000000" w:themeColor="text1"/>
          <w:sz w:val="19"/>
          <w:szCs w:val="19"/>
          <w:lang w:val="es-ES" w:eastAsia="en-US"/>
        </w:rPr>
      </w:pPr>
      <w:r w:rsidRPr="00E04191">
        <w:rPr>
          <w:rFonts w:ascii="Arial" w:hAnsi="Arial" w:cs="Arial" w:eastAsiaTheme="minorHAnsi"/>
          <w:color w:val="000000" w:themeColor="text1"/>
          <w:sz w:val="19"/>
          <w:szCs w:val="19"/>
          <w:lang w:val="es-ES" w:eastAsia="en-US"/>
        </w:rPr>
        <w:t>  </w:t>
      </w:r>
      <w:r w:rsidRPr="00E04191">
        <w:rPr>
          <w:rFonts w:ascii="Arial" w:hAnsi="Arial" w:cs="Arial" w:eastAsiaTheme="minorHAnsi"/>
          <w:color w:val="000000" w:themeColor="text1"/>
          <w:sz w:val="19"/>
          <w:szCs w:val="19"/>
          <w:lang w:val="es-ES" w:eastAsia="en-US"/>
        </w:rPr>
        <w:tab/>
      </w:r>
      <w:proofErr w:type="gramStart"/>
      <w:r w:rsidRPr="00E04191">
        <w:rPr>
          <w:rFonts w:ascii="Arial" w:hAnsi="Arial" w:cs="Arial" w:eastAsiaTheme="minorHAnsi"/>
          <w:color w:val="000000" w:themeColor="text1"/>
          <w:sz w:val="19"/>
          <w:szCs w:val="19"/>
          <w:lang w:val="es-ES" w:eastAsia="en-US"/>
        </w:rPr>
        <w:t>»e</w:t>
      </w:r>
      <w:proofErr w:type="gramEnd"/>
      <w:r w:rsidRPr="00E04191">
        <w:rPr>
          <w:rFonts w:ascii="Arial" w:hAnsi="Arial" w:cs="Arial" w:eastAsiaTheme="minorHAnsi"/>
          <w:color w:val="000000" w:themeColor="text1"/>
          <w:sz w:val="19"/>
          <w:szCs w:val="19"/>
          <w:lang w:val="es-ES" w:eastAsia="en-US"/>
        </w:rPr>
        <w:t>) Los miembros de las juntas o consejos directivos. Esta incompatibilidad sólo se predica respecto de la entidad a la cual prestan sus servicios y de las del sector administrativo al que la misma esté adscrita o vinculada. </w:t>
      </w:r>
    </w:p>
    <w:p w:rsidRPr="00E04191" w:rsidR="00F8649C" w:rsidP="00692DFF" w:rsidRDefault="00F8649C" w14:paraId="546728C5" w14:textId="77777777">
      <w:pPr>
        <w:pStyle w:val="NormalWeb"/>
        <w:spacing w:before="0" w:beforeAutospacing="0" w:after="0" w:afterAutospacing="0"/>
        <w:ind w:firstLine="708"/>
        <w:jc w:val="both"/>
        <w:rPr>
          <w:rFonts w:ascii="Arial" w:hAnsi="Arial" w:cs="Arial" w:eastAsiaTheme="minorHAnsi"/>
          <w:color w:val="000000" w:themeColor="text1"/>
          <w:sz w:val="19"/>
          <w:szCs w:val="19"/>
          <w:lang w:val="es-ES" w:eastAsia="en-US"/>
        </w:rPr>
      </w:pPr>
      <w:proofErr w:type="gramStart"/>
      <w:r w:rsidRPr="00E04191">
        <w:rPr>
          <w:rFonts w:ascii="Arial" w:hAnsi="Arial" w:cs="Arial" w:eastAsiaTheme="minorHAnsi"/>
          <w:color w:val="000000" w:themeColor="text1"/>
          <w:sz w:val="19"/>
          <w:szCs w:val="19"/>
          <w:lang w:val="es-ES" w:eastAsia="en-US"/>
        </w:rPr>
        <w:t>»f</w:t>
      </w:r>
      <w:proofErr w:type="gramEnd"/>
      <w:r w:rsidRPr="00E04191">
        <w:rPr>
          <w:rFonts w:ascii="Arial" w:hAnsi="Arial" w:cs="Arial" w:eastAsiaTheme="minorHAnsi"/>
          <w:color w:val="000000" w:themeColor="text1"/>
          <w:sz w:val="19"/>
          <w:szCs w:val="19"/>
          <w:lang w:val="es-ES" w:eastAsia="en-US"/>
        </w:rPr>
        <w:t xml:space="preserve">)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E04191">
        <w:rPr>
          <w:rFonts w:ascii="Arial" w:hAnsi="Arial" w:cs="Arial" w:eastAsiaTheme="minorHAnsi"/>
          <w:color w:val="000000" w:themeColor="text1"/>
          <w:sz w:val="19"/>
          <w:szCs w:val="19"/>
          <w:lang w:val="es-ES" w:eastAsia="en-US"/>
        </w:rPr>
        <w:t>ex empleado</w:t>
      </w:r>
      <w:proofErr w:type="gramEnd"/>
      <w:r w:rsidRPr="00E04191">
        <w:rPr>
          <w:rFonts w:ascii="Arial" w:hAnsi="Arial" w:cs="Arial" w:eastAsiaTheme="minorHAnsi"/>
          <w:color w:val="000000" w:themeColor="text1"/>
          <w:sz w:val="19"/>
          <w:szCs w:val="19"/>
          <w:lang w:val="es-ES" w:eastAsia="en-US"/>
        </w:rPr>
        <w:t xml:space="preserve"> público». (…). </w:t>
      </w:r>
    </w:p>
    <w:p w:rsidRPr="00E04191" w:rsidR="00F8649C" w:rsidP="00692DFF" w:rsidRDefault="00F8649C" w14:paraId="0938516C" w14:textId="61DBE3ED">
      <w:pPr>
        <w:pStyle w:val="NormalWeb"/>
        <w:spacing w:before="0" w:beforeAutospacing="0" w:after="0" w:afterAutospacing="0"/>
        <w:jc w:val="both"/>
        <w:rPr>
          <w:rFonts w:ascii="Arial" w:hAnsi="Arial" w:cs="Arial"/>
          <w:color w:val="000000" w:themeColor="text1"/>
          <w:sz w:val="19"/>
          <w:szCs w:val="19"/>
        </w:rPr>
      </w:pPr>
      <w:r w:rsidRPr="00E04191">
        <w:rPr>
          <w:rFonts w:ascii="Arial" w:hAnsi="Arial" w:cs="Arial" w:eastAsiaTheme="minorHAnsi"/>
          <w:color w:val="000000" w:themeColor="text1"/>
          <w:sz w:val="19"/>
          <w:szCs w:val="19"/>
          <w:lang w:val="es-ES" w:eastAsia="en-US"/>
        </w:rPr>
        <w:t>  </w:t>
      </w:r>
    </w:p>
  </w:footnote>
  <w:footnote w:id="7">
    <w:p w:rsidRPr="00E04191" w:rsidR="00D20CF9" w:rsidP="00692DFF" w:rsidRDefault="00D20CF9" w14:paraId="5248453D" w14:textId="0EC13020">
      <w:pPr>
        <w:pStyle w:val="Textonotapie"/>
        <w:ind w:firstLine="709"/>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sidR="00BA57A7">
        <w:rPr>
          <w:rFonts w:ascii="Arial" w:hAnsi="Arial" w:cs="Arial"/>
          <w:color w:val="000000" w:themeColor="text1"/>
          <w:sz w:val="19"/>
          <w:szCs w:val="19"/>
        </w:rPr>
        <w:t xml:space="preserve">Ley 80 de 1993: </w:t>
      </w:r>
      <w:r w:rsidRPr="00E04191">
        <w:rPr>
          <w:rFonts w:ascii="Arial" w:hAnsi="Arial" w:cs="Arial"/>
          <w:color w:val="000000" w:themeColor="text1"/>
          <w:sz w:val="19"/>
          <w:szCs w:val="19"/>
        </w:rPr>
        <w:t>«</w:t>
      </w:r>
      <w:r w:rsidRPr="00E04191" w:rsidR="00A23B79">
        <w:rPr>
          <w:rFonts w:ascii="Arial" w:hAnsi="Arial" w:cs="Arial"/>
          <w:color w:val="000000" w:themeColor="text1"/>
          <w:sz w:val="19"/>
          <w:szCs w:val="19"/>
        </w:rPr>
        <w:t xml:space="preserve">Artículo </w:t>
      </w:r>
      <w:r w:rsidRPr="00E04191" w:rsidR="00457E45">
        <w:rPr>
          <w:rFonts w:ascii="Arial" w:hAnsi="Arial" w:cs="Arial"/>
          <w:color w:val="000000" w:themeColor="text1"/>
          <w:sz w:val="19"/>
          <w:szCs w:val="19"/>
        </w:rPr>
        <w:t xml:space="preserve">6. De la capacidad para contratar. </w:t>
      </w:r>
      <w:r w:rsidRPr="00E04191">
        <w:rPr>
          <w:rFonts w:ascii="Arial" w:hAnsi="Arial" w:cs="Arial"/>
          <w:color w:val="000000" w:themeColor="text1"/>
          <w:sz w:val="19"/>
          <w:szCs w:val="19"/>
        </w:rPr>
        <w:t>Pueden celebrar contratos con las entidades estatales las personas consideradas legalmente capaces en las disposiciones vigentes. También podrán celebrar contratos con las entidades estatales, los consorcios y uniones temporales.</w:t>
      </w:r>
    </w:p>
    <w:p w:rsidRPr="00E04191" w:rsidR="00D20CF9" w:rsidP="00692DFF" w:rsidRDefault="00D20CF9" w14:paraId="39951FEF" w14:textId="77777777">
      <w:pPr>
        <w:pStyle w:val="Textonotapie"/>
        <w:ind w:firstLine="709"/>
        <w:jc w:val="both"/>
        <w:rPr>
          <w:rFonts w:ascii="Arial" w:hAnsi="Arial" w:cs="Arial"/>
          <w:color w:val="000000" w:themeColor="text1"/>
          <w:sz w:val="19"/>
          <w:szCs w:val="19"/>
        </w:rPr>
      </w:pPr>
      <w:proofErr w:type="gramStart"/>
      <w:r w:rsidRPr="00E04191">
        <w:rPr>
          <w:rFonts w:ascii="Arial" w:hAnsi="Arial" w:cs="Arial"/>
          <w:color w:val="000000" w:themeColor="text1"/>
          <w:sz w:val="19"/>
          <w:szCs w:val="19"/>
        </w:rPr>
        <w:t>»Las</w:t>
      </w:r>
      <w:proofErr w:type="gramEnd"/>
      <w:r w:rsidRPr="00E04191">
        <w:rPr>
          <w:rFonts w:ascii="Arial" w:hAnsi="Arial" w:cs="Arial"/>
          <w:color w:val="000000" w:themeColor="text1"/>
          <w:sz w:val="19"/>
          <w:szCs w:val="19"/>
        </w:rPr>
        <w:t xml:space="preserve"> personas jurídicas nacionales y extranjeras deberán acreditar que su duración no será inferior a la del plazo del contrato y un año más».</w:t>
      </w:r>
    </w:p>
    <w:p w:rsidRPr="00E04191" w:rsidR="00D20CF9" w:rsidP="00692DFF" w:rsidRDefault="00D20CF9" w14:paraId="28F6E772" w14:textId="77777777">
      <w:pPr>
        <w:pStyle w:val="Textonotapie"/>
        <w:ind w:firstLine="709"/>
        <w:jc w:val="both"/>
        <w:rPr>
          <w:rFonts w:ascii="Arial" w:hAnsi="Arial" w:cs="Arial"/>
          <w:color w:val="000000" w:themeColor="text1"/>
          <w:sz w:val="19"/>
          <w:szCs w:val="19"/>
        </w:rPr>
      </w:pPr>
    </w:p>
  </w:footnote>
  <w:footnote w:id="8">
    <w:p w:rsidRPr="00E04191" w:rsidR="00D20CF9" w:rsidP="00692DFF" w:rsidRDefault="00D20CF9" w14:paraId="2319CF2A" w14:textId="2EFA2022">
      <w:pPr>
        <w:pStyle w:val="Textonotapie"/>
        <w:ind w:firstLine="709"/>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sidR="00457E45">
        <w:rPr>
          <w:rFonts w:ascii="Arial" w:hAnsi="Arial" w:cs="Arial"/>
          <w:color w:val="000000" w:themeColor="text1"/>
          <w:sz w:val="19"/>
          <w:szCs w:val="19"/>
        </w:rPr>
        <w:t>Código Civil</w:t>
      </w:r>
      <w:r w:rsidRPr="00E04191" w:rsidR="009D2F32">
        <w:rPr>
          <w:rFonts w:ascii="Arial" w:hAnsi="Arial" w:cs="Arial"/>
          <w:color w:val="000000" w:themeColor="text1"/>
          <w:sz w:val="19"/>
          <w:szCs w:val="19"/>
        </w:rPr>
        <w:t xml:space="preserve">: </w:t>
      </w:r>
      <w:r w:rsidRPr="00E04191" w:rsidR="00D643F2">
        <w:rPr>
          <w:rFonts w:ascii="Arial" w:hAnsi="Arial" w:cs="Arial"/>
          <w:color w:val="000000" w:themeColor="text1"/>
          <w:sz w:val="19"/>
          <w:szCs w:val="19"/>
        </w:rPr>
        <w:t>«A</w:t>
      </w:r>
      <w:r w:rsidRPr="00E04191">
        <w:rPr>
          <w:rFonts w:ascii="Arial" w:hAnsi="Arial" w:cs="Arial"/>
          <w:color w:val="000000" w:themeColor="text1"/>
          <w:sz w:val="19"/>
          <w:szCs w:val="19"/>
        </w:rPr>
        <w:t>rtículo 1502</w:t>
      </w:r>
      <w:r w:rsidRPr="00E04191" w:rsidR="00D643F2">
        <w:rPr>
          <w:rFonts w:ascii="Arial" w:hAnsi="Arial" w:cs="Arial"/>
          <w:color w:val="000000" w:themeColor="text1"/>
          <w:sz w:val="19"/>
          <w:szCs w:val="19"/>
        </w:rPr>
        <w:t xml:space="preserve">. Requisitos para obligarse. </w:t>
      </w:r>
      <w:r w:rsidRPr="00E04191">
        <w:rPr>
          <w:rFonts w:ascii="Arial" w:hAnsi="Arial" w:cs="Arial"/>
          <w:color w:val="000000" w:themeColor="text1"/>
          <w:sz w:val="19"/>
          <w:szCs w:val="19"/>
        </w:rPr>
        <w:t>Para que una persona se obligue a otra por un acto o declaración de voluntad, es necesario:</w:t>
      </w:r>
    </w:p>
    <w:p w:rsidRPr="00E04191" w:rsidR="00D20CF9" w:rsidP="00692DFF" w:rsidRDefault="00D20CF9" w14:paraId="302D546D" w14:textId="77777777">
      <w:pPr>
        <w:pStyle w:val="Textonotapie"/>
        <w:ind w:firstLine="709"/>
        <w:jc w:val="both"/>
        <w:rPr>
          <w:rFonts w:ascii="Arial" w:hAnsi="Arial" w:cs="Arial"/>
          <w:color w:val="000000" w:themeColor="text1"/>
          <w:sz w:val="19"/>
          <w:szCs w:val="19"/>
        </w:rPr>
      </w:pPr>
      <w:proofErr w:type="gramStart"/>
      <w:r w:rsidRPr="00E04191">
        <w:rPr>
          <w:rFonts w:ascii="Arial" w:hAnsi="Arial" w:cs="Arial"/>
          <w:color w:val="000000" w:themeColor="text1"/>
          <w:sz w:val="19"/>
          <w:szCs w:val="19"/>
        </w:rPr>
        <w:t>»1o.</w:t>
      </w:r>
      <w:proofErr w:type="gramEnd"/>
      <w:r w:rsidRPr="00E04191">
        <w:rPr>
          <w:rFonts w:ascii="Arial" w:hAnsi="Arial" w:cs="Arial"/>
          <w:color w:val="000000" w:themeColor="text1"/>
          <w:sz w:val="19"/>
          <w:szCs w:val="19"/>
        </w:rPr>
        <w:t>) que sea legalmente capaz.</w:t>
      </w:r>
    </w:p>
    <w:p w:rsidRPr="00E04191" w:rsidR="00D20CF9" w:rsidP="00692DFF" w:rsidRDefault="00D20CF9" w14:paraId="560CAF17" w14:textId="77777777">
      <w:pPr>
        <w:pStyle w:val="Textonotapie"/>
        <w:ind w:firstLine="709"/>
        <w:jc w:val="both"/>
        <w:rPr>
          <w:rFonts w:ascii="Arial" w:hAnsi="Arial" w:cs="Arial"/>
          <w:color w:val="000000" w:themeColor="text1"/>
          <w:sz w:val="19"/>
          <w:szCs w:val="19"/>
        </w:rPr>
      </w:pPr>
      <w:r w:rsidRPr="00E04191">
        <w:rPr>
          <w:rFonts w:ascii="Arial" w:hAnsi="Arial" w:cs="Arial"/>
          <w:color w:val="000000" w:themeColor="text1"/>
          <w:sz w:val="19"/>
          <w:szCs w:val="19"/>
        </w:rPr>
        <w:t>[…]</w:t>
      </w:r>
    </w:p>
    <w:p w:rsidRPr="00E04191" w:rsidR="00D20CF9" w:rsidP="00692DFF" w:rsidRDefault="00D20CF9" w14:paraId="3FA5E8DC" w14:textId="77777777">
      <w:pPr>
        <w:pStyle w:val="Textonotapie"/>
        <w:ind w:firstLine="709"/>
        <w:jc w:val="both"/>
        <w:rPr>
          <w:rFonts w:ascii="Arial" w:hAnsi="Arial" w:cs="Arial"/>
          <w:color w:val="000000" w:themeColor="text1"/>
          <w:sz w:val="19"/>
          <w:szCs w:val="19"/>
        </w:rPr>
      </w:pPr>
      <w:proofErr w:type="gramStart"/>
      <w:r w:rsidRPr="00E04191">
        <w:rPr>
          <w:rFonts w:ascii="Arial" w:hAnsi="Arial" w:cs="Arial"/>
          <w:color w:val="000000" w:themeColor="text1"/>
          <w:sz w:val="19"/>
          <w:szCs w:val="19"/>
        </w:rPr>
        <w:t>»La</w:t>
      </w:r>
      <w:proofErr w:type="gramEnd"/>
      <w:r w:rsidRPr="00E04191">
        <w:rPr>
          <w:rFonts w:ascii="Arial" w:hAnsi="Arial" w:cs="Arial"/>
          <w:color w:val="000000" w:themeColor="text1"/>
          <w:sz w:val="19"/>
          <w:szCs w:val="19"/>
        </w:rPr>
        <w:t xml:space="preserve"> capacidad legal de una persona consiste en poderse obligar por sí misma, sin el ministerio o la autorización de otra».</w:t>
      </w:r>
    </w:p>
    <w:p w:rsidRPr="00E04191" w:rsidR="00D20CF9" w:rsidP="00692DFF" w:rsidRDefault="00D20CF9" w14:paraId="5AE32227" w14:textId="77777777">
      <w:pPr>
        <w:pStyle w:val="Textonotapie"/>
        <w:ind w:firstLine="709"/>
        <w:jc w:val="both"/>
        <w:rPr>
          <w:rFonts w:ascii="Arial" w:hAnsi="Arial" w:cs="Arial"/>
          <w:color w:val="000000" w:themeColor="text1"/>
          <w:sz w:val="19"/>
          <w:szCs w:val="19"/>
        </w:rPr>
      </w:pPr>
    </w:p>
  </w:footnote>
  <w:footnote w:id="9">
    <w:p w:rsidRPr="00E04191" w:rsidR="00CB53E6" w:rsidP="00692DFF" w:rsidRDefault="00D20CF9" w14:paraId="04A8A446" w14:textId="0440CA88">
      <w:pPr>
        <w:pStyle w:val="Textonotapie"/>
        <w:ind w:firstLine="709"/>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sidR="006D73FE">
        <w:rPr>
          <w:rFonts w:ascii="Arial" w:hAnsi="Arial" w:cs="Arial"/>
          <w:color w:val="000000" w:themeColor="text1"/>
          <w:sz w:val="19"/>
          <w:szCs w:val="19"/>
        </w:rPr>
        <w:t xml:space="preserve">Decreto Ley 19 de 2012: </w:t>
      </w:r>
      <w:r w:rsidRPr="00E04191" w:rsidR="00665943">
        <w:rPr>
          <w:rFonts w:ascii="Arial" w:hAnsi="Arial" w:cs="Arial"/>
          <w:color w:val="000000" w:themeColor="text1"/>
          <w:sz w:val="19"/>
          <w:szCs w:val="19"/>
        </w:rPr>
        <w:t>«Artículo 221.</w:t>
      </w:r>
      <w:r w:rsidRPr="00E04191" w:rsidR="002F44B3">
        <w:rPr>
          <w:rFonts w:ascii="Arial" w:hAnsi="Arial" w:cs="Arial"/>
          <w:color w:val="000000" w:themeColor="text1"/>
          <w:sz w:val="19"/>
          <w:szCs w:val="19"/>
        </w:rPr>
        <w:t xml:space="preserve"> El artículo 6 de la Ley 1150 de 2007, quedará así:</w:t>
      </w:r>
    </w:p>
    <w:p w:rsidRPr="00E04191" w:rsidR="00D20CF9" w:rsidP="00692DFF" w:rsidRDefault="00CB53E6" w14:paraId="56A21107" w14:textId="4823BCA0">
      <w:pPr>
        <w:pStyle w:val="Textonotapie"/>
        <w:ind w:firstLine="709"/>
        <w:jc w:val="both"/>
        <w:rPr>
          <w:rFonts w:ascii="Arial" w:hAnsi="Arial" w:cs="Arial"/>
          <w:color w:val="000000" w:themeColor="text1"/>
          <w:sz w:val="19"/>
          <w:szCs w:val="19"/>
          <w:lang w:val="es-ES"/>
        </w:rPr>
      </w:pPr>
      <w:proofErr w:type="gramStart"/>
      <w:r w:rsidRPr="00E04191">
        <w:rPr>
          <w:rFonts w:ascii="Arial" w:hAnsi="Arial" w:cs="Arial"/>
          <w:color w:val="000000" w:themeColor="text1"/>
          <w:sz w:val="19"/>
          <w:szCs w:val="19"/>
        </w:rPr>
        <w:t>»Artículo</w:t>
      </w:r>
      <w:proofErr w:type="gramEnd"/>
      <w:r w:rsidRPr="00E04191">
        <w:rPr>
          <w:rFonts w:ascii="Arial" w:hAnsi="Arial" w:cs="Arial"/>
          <w:color w:val="000000" w:themeColor="text1"/>
          <w:sz w:val="19"/>
          <w:szCs w:val="19"/>
        </w:rPr>
        <w:t xml:space="preserve"> 6.</w:t>
      </w:r>
      <w:r w:rsidRPr="00E04191" w:rsidR="004A53F4">
        <w:rPr>
          <w:rFonts w:ascii="Arial" w:hAnsi="Arial" w:cs="Arial"/>
          <w:color w:val="000000" w:themeColor="text1"/>
          <w:sz w:val="19"/>
          <w:szCs w:val="19"/>
        </w:rPr>
        <w:t xml:space="preserve"> De la verificación de las condiciones de los proponentes.</w:t>
      </w:r>
      <w:r w:rsidRPr="00E04191">
        <w:rPr>
          <w:rFonts w:ascii="Arial" w:hAnsi="Arial" w:cs="Arial"/>
          <w:color w:val="000000" w:themeColor="text1"/>
          <w:sz w:val="19"/>
          <w:szCs w:val="19"/>
        </w:rPr>
        <w:t xml:space="preserve"> </w:t>
      </w:r>
      <w:r w:rsidRPr="00E04191" w:rsidR="004A53F4">
        <w:rPr>
          <w:rFonts w:ascii="Arial" w:hAnsi="Arial" w:cs="Arial"/>
          <w:color w:val="000000" w:themeColor="text1"/>
          <w:sz w:val="19"/>
          <w:szCs w:val="19"/>
        </w:rPr>
        <w:t>T</w:t>
      </w:r>
      <w:proofErr w:type="spellStart"/>
      <w:r w:rsidRPr="00E04191" w:rsidR="00D20CF9">
        <w:rPr>
          <w:rFonts w:ascii="Arial" w:hAnsi="Arial" w:cs="Arial"/>
          <w:color w:val="000000" w:themeColor="text1"/>
          <w:sz w:val="19"/>
          <w:szCs w:val="19"/>
          <w:lang w:val="es-ES"/>
        </w:rPr>
        <w:t>odas</w:t>
      </w:r>
      <w:proofErr w:type="spellEnd"/>
      <w:r w:rsidRPr="00E04191" w:rsidR="00D20CF9">
        <w:rPr>
          <w:rFonts w:ascii="Arial" w:hAnsi="Arial" w:cs="Arial"/>
          <w:color w:val="000000" w:themeColor="text1"/>
          <w:sz w:val="19"/>
          <w:szCs w:val="19"/>
          <w:lang w:val="es-ES"/>
        </w:rPr>
        <w:t xml:space="preserve">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E04191" w:rsidR="00D20CF9" w:rsidP="00692DFF" w:rsidRDefault="00D20CF9" w14:paraId="227411BC" w14:textId="77777777">
      <w:pPr>
        <w:pStyle w:val="Textonotapie"/>
        <w:ind w:firstLine="709"/>
        <w:jc w:val="both"/>
        <w:rPr>
          <w:rFonts w:ascii="Arial" w:hAnsi="Arial" w:cs="Arial"/>
          <w:color w:val="000000" w:themeColor="text1"/>
          <w:sz w:val="19"/>
          <w:szCs w:val="19"/>
          <w:lang w:val="es-ES"/>
        </w:rPr>
      </w:pPr>
      <w:r w:rsidRPr="00E04191">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E04191" w:rsidR="00D20CF9" w:rsidP="00692DFF" w:rsidRDefault="00D20CF9" w14:paraId="59D92B1E" w14:textId="77777777">
      <w:pPr>
        <w:pStyle w:val="Textonotapie"/>
        <w:ind w:firstLine="709"/>
        <w:jc w:val="both"/>
        <w:rPr>
          <w:rFonts w:ascii="Arial" w:hAnsi="Arial" w:cs="Arial"/>
          <w:color w:val="000000" w:themeColor="text1"/>
          <w:sz w:val="19"/>
          <w:szCs w:val="19"/>
        </w:rPr>
      </w:pPr>
    </w:p>
  </w:footnote>
  <w:footnote w:id="10">
    <w:p w:rsidRPr="00E04191" w:rsidR="00D20CF9" w:rsidP="00692DFF" w:rsidRDefault="00D20CF9" w14:paraId="7B580539" w14:textId="77777777">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E04191">
        <w:rPr>
          <w:rFonts w:ascii="Arial" w:hAnsi="Arial" w:cs="Arial"/>
          <w:i/>
          <w:iCs/>
          <w:color w:val="000000" w:themeColor="text1"/>
          <w:sz w:val="19"/>
          <w:szCs w:val="19"/>
          <w:lang w:val="es-ES"/>
        </w:rPr>
        <w:t>el régimen de inhabilidades e incompatibilidades</w:t>
      </w:r>
      <w:r w:rsidRPr="00E04191">
        <w:rPr>
          <w:rFonts w:ascii="Arial" w:hAnsi="Arial" w:cs="Arial"/>
          <w:color w:val="000000" w:themeColor="text1"/>
          <w:sz w:val="19"/>
          <w:szCs w:val="19"/>
          <w:lang w:val="es-ES"/>
        </w:rPr>
        <w:t xml:space="preserve"> (1) y la obligación de ciertos proponentes de inscribirse en el </w:t>
      </w:r>
      <w:r w:rsidRPr="00E04191">
        <w:rPr>
          <w:rFonts w:ascii="Arial" w:hAnsi="Arial" w:cs="Arial"/>
          <w:i/>
          <w:iCs/>
          <w:color w:val="000000" w:themeColor="text1"/>
          <w:sz w:val="19"/>
          <w:szCs w:val="19"/>
          <w:lang w:val="es-ES"/>
        </w:rPr>
        <w:t>registro único</w:t>
      </w:r>
      <w:r w:rsidRPr="00E04191">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rsidRPr="00E04191" w:rsidR="00D20CF9" w:rsidP="00692DFF" w:rsidRDefault="00D20CF9" w14:paraId="7ACD480D" w14:textId="77777777">
      <w:pPr>
        <w:pStyle w:val="Textonotapie"/>
        <w:ind w:firstLine="709"/>
        <w:jc w:val="both"/>
        <w:rPr>
          <w:rFonts w:ascii="Arial" w:hAnsi="Arial" w:cs="Arial"/>
          <w:color w:val="000000" w:themeColor="text1"/>
          <w:sz w:val="19"/>
          <w:szCs w:val="19"/>
          <w:lang w:val="es-ES"/>
        </w:rPr>
      </w:pPr>
    </w:p>
  </w:footnote>
  <w:footnote w:id="11">
    <w:p w:rsidRPr="00E04191" w:rsidR="00D20CF9" w:rsidP="00692DFF" w:rsidRDefault="00D20CF9" w14:paraId="30520DBD" w14:textId="77777777">
      <w:pPr>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b, Ley 80/93); «Quienes dieron lugar a la declaratoria de caducidad»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d), Ley 80/93); «Quienes sin justa causa se abstengan de suscribir el contrato estatal adjudicado»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a), b) y c), Ley 1474/11, modificado por el art. 43, Ley 1955/19).</w:t>
      </w:r>
    </w:p>
    <w:p w:rsidRPr="00E04191" w:rsidR="00D20CF9" w:rsidP="00692DFF" w:rsidRDefault="00D20CF9" w14:paraId="56E5DE9B" w14:textId="77777777">
      <w:pPr>
        <w:ind w:firstLine="709"/>
        <w:jc w:val="both"/>
        <w:rPr>
          <w:rFonts w:ascii="Arial" w:hAnsi="Arial" w:cs="Arial"/>
          <w:color w:val="000000" w:themeColor="text1"/>
          <w:sz w:val="19"/>
          <w:szCs w:val="19"/>
          <w:lang w:val="es-ES"/>
        </w:rPr>
      </w:pPr>
    </w:p>
  </w:footnote>
  <w:footnote w:id="12">
    <w:p w:rsidRPr="00E04191" w:rsidR="00D20CF9" w:rsidP="00692DFF" w:rsidRDefault="00D20CF9" w14:paraId="4B99BD12" w14:textId="77777777">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d), Ley 80/93).</w:t>
      </w:r>
    </w:p>
    <w:p w:rsidRPr="00E04191" w:rsidR="00D20CF9" w:rsidP="00692DFF" w:rsidRDefault="00D20CF9" w14:paraId="63F7306E" w14:textId="77777777">
      <w:pPr>
        <w:pStyle w:val="Textonotapie"/>
        <w:ind w:firstLine="709"/>
        <w:jc w:val="both"/>
        <w:rPr>
          <w:rFonts w:ascii="Arial" w:hAnsi="Arial" w:cs="Arial"/>
          <w:color w:val="000000" w:themeColor="text1"/>
          <w:sz w:val="19"/>
          <w:szCs w:val="19"/>
        </w:rPr>
      </w:pPr>
    </w:p>
  </w:footnote>
  <w:footnote w:id="13">
    <w:p w:rsidRPr="00E04191" w:rsidR="00D20CF9" w:rsidP="00692DFF" w:rsidRDefault="00D20CF9" w14:paraId="1D09E473" w14:textId="77777777">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k), Ley 80/93, modificado por el art. 33, Ley 1778/16); «Quienes fueron miembros de la junta o consejo directivo o servidores públicos de la entidad contratante»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w:rsidRPr="00E04191" w:rsidR="00D20CF9" w:rsidP="00692DFF" w:rsidRDefault="00D20CF9" w14:paraId="1F8DC641" w14:textId="77777777">
      <w:pPr>
        <w:pStyle w:val="Textonotapie"/>
        <w:ind w:firstLine="709"/>
        <w:jc w:val="both"/>
        <w:rPr>
          <w:rFonts w:ascii="Arial" w:hAnsi="Arial" w:cs="Arial"/>
          <w:color w:val="000000" w:themeColor="text1"/>
          <w:sz w:val="19"/>
          <w:szCs w:val="19"/>
        </w:rPr>
      </w:pPr>
      <w:r w:rsidRPr="00E04191">
        <w:rPr>
          <w:rFonts w:ascii="Arial" w:hAnsi="Arial" w:cs="Arial"/>
          <w:color w:val="000000" w:themeColor="text1"/>
          <w:sz w:val="19"/>
          <w:szCs w:val="19"/>
          <w:lang w:val="es-ES"/>
        </w:rPr>
        <w:t xml:space="preserve">  </w:t>
      </w:r>
    </w:p>
  </w:footnote>
  <w:footnote w:id="14">
    <w:p w:rsidRPr="00E04191" w:rsidR="00D20CF9" w:rsidP="00692DFF" w:rsidRDefault="00D20CF9" w14:paraId="1CFB611D" w14:textId="77777777">
      <w:pPr>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Como las señaladas a continuación: «Los servidores públicos»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1º,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E04191">
        <w:rPr>
          <w:rFonts w:ascii="Arial" w:hAnsi="Arial" w:cs="Arial"/>
          <w:color w:val="000000" w:themeColor="text1"/>
          <w:sz w:val="19"/>
          <w:szCs w:val="19"/>
          <w:lang w:val="es-ES"/>
        </w:rPr>
        <w:t>num</w:t>
      </w:r>
      <w:proofErr w:type="spellEnd"/>
      <w:r w:rsidRPr="00E04191">
        <w:rPr>
          <w:rFonts w:ascii="Arial" w:hAnsi="Arial" w:cs="Arial"/>
          <w:color w:val="000000" w:themeColor="text1"/>
          <w:sz w:val="19"/>
          <w:szCs w:val="19"/>
          <w:lang w:val="es-ES"/>
        </w:rPr>
        <w:t xml:space="preserve">. 2º, </w:t>
      </w:r>
      <w:proofErr w:type="spellStart"/>
      <w:r w:rsidRPr="00E04191">
        <w:rPr>
          <w:rFonts w:ascii="Arial" w:hAnsi="Arial" w:cs="Arial"/>
          <w:color w:val="000000" w:themeColor="text1"/>
          <w:sz w:val="19"/>
          <w:szCs w:val="19"/>
          <w:lang w:val="es-ES"/>
        </w:rPr>
        <w:t>lit.</w:t>
      </w:r>
      <w:proofErr w:type="spellEnd"/>
      <w:r w:rsidRPr="00E04191">
        <w:rPr>
          <w:rFonts w:ascii="Arial" w:hAnsi="Arial" w:cs="Arial"/>
          <w:color w:val="000000" w:themeColor="text1"/>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E04191">
        <w:rPr>
          <w:rFonts w:ascii="Arial" w:hAnsi="Arial" w:cs="Arial"/>
          <w:color w:val="000000" w:themeColor="text1"/>
          <w:sz w:val="19"/>
          <w:szCs w:val="19"/>
          <w:lang w:val="es-ES"/>
        </w:rPr>
        <w:t>consaguinidad</w:t>
      </w:r>
      <w:proofErr w:type="spellEnd"/>
      <w:r w:rsidRPr="00E04191">
        <w:rPr>
          <w:rFonts w:ascii="Arial" w:hAnsi="Arial" w:cs="Arial"/>
          <w:color w:val="000000" w:themeColor="text1"/>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rsidRPr="00E04191" w:rsidR="00D20CF9" w:rsidP="00692DFF" w:rsidRDefault="00D20CF9" w14:paraId="72C96388" w14:textId="77777777">
      <w:pPr>
        <w:ind w:firstLine="709"/>
        <w:jc w:val="both"/>
        <w:rPr>
          <w:rFonts w:ascii="Arial" w:hAnsi="Arial" w:cs="Arial"/>
          <w:color w:val="000000" w:themeColor="text1"/>
          <w:sz w:val="19"/>
          <w:szCs w:val="19"/>
          <w:lang w:val="es-ES"/>
        </w:rPr>
      </w:pPr>
    </w:p>
  </w:footnote>
  <w:footnote w:id="15">
    <w:p w:rsidRPr="00E04191" w:rsidR="00D20CF9" w:rsidP="00692DFF" w:rsidRDefault="00D20CF9" w14:paraId="32FC5BFB" w14:textId="77777777">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BARRETO ROZO, Antonio Alejandro. Inhabilidades de la contratación estatal, efectos y </w:t>
      </w:r>
      <w:proofErr w:type="spellStart"/>
      <w:r w:rsidRPr="00E04191">
        <w:rPr>
          <w:rFonts w:ascii="Arial" w:hAnsi="Arial" w:cs="Arial"/>
          <w:color w:val="000000" w:themeColor="text1"/>
          <w:sz w:val="19"/>
          <w:szCs w:val="19"/>
          <w:lang w:val="es-ES"/>
        </w:rPr>
        <w:t>neopunitivismo</w:t>
      </w:r>
      <w:proofErr w:type="spellEnd"/>
      <w:r w:rsidRPr="00E04191">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rsidRPr="00E04191" w:rsidR="00D20CF9" w:rsidP="00692DFF" w:rsidRDefault="00D20CF9" w14:paraId="16618487" w14:textId="77777777">
      <w:pPr>
        <w:pStyle w:val="Textonotapie"/>
        <w:ind w:firstLine="709"/>
        <w:jc w:val="both"/>
        <w:rPr>
          <w:rFonts w:ascii="Arial" w:hAnsi="Arial" w:cs="Arial"/>
          <w:color w:val="000000" w:themeColor="text1"/>
          <w:sz w:val="19"/>
          <w:szCs w:val="19"/>
          <w:lang w:val="es-ES"/>
        </w:rPr>
      </w:pPr>
    </w:p>
  </w:footnote>
  <w:footnote w:id="16">
    <w:p w:rsidRPr="00E04191" w:rsidR="00D20CF9" w:rsidP="00692DFF" w:rsidRDefault="00D20CF9" w14:paraId="3625E870" w14:textId="5A647D8E">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proofErr w:type="spellStart"/>
      <w:r w:rsidRPr="00E04191">
        <w:rPr>
          <w:rFonts w:ascii="Arial" w:hAnsi="Arial" w:cs="Arial"/>
          <w:color w:val="000000" w:themeColor="text1"/>
          <w:sz w:val="19"/>
          <w:szCs w:val="19"/>
          <w:lang w:val="es-ES"/>
        </w:rPr>
        <w:t>Ibíd</w:t>
      </w:r>
      <w:r w:rsidRPr="00E04191" w:rsidR="005F03E0">
        <w:rPr>
          <w:rFonts w:ascii="Arial" w:hAnsi="Arial" w:cs="Arial"/>
          <w:color w:val="000000" w:themeColor="text1"/>
          <w:sz w:val="19"/>
          <w:szCs w:val="19"/>
          <w:lang w:val="es-ES"/>
        </w:rPr>
        <w:t>em</w:t>
      </w:r>
      <w:proofErr w:type="spellEnd"/>
      <w:r w:rsidRPr="00E04191">
        <w:rPr>
          <w:rFonts w:ascii="Arial" w:hAnsi="Arial" w:cs="Arial"/>
          <w:color w:val="000000" w:themeColor="text1"/>
          <w:sz w:val="19"/>
          <w:szCs w:val="19"/>
          <w:lang w:val="es-ES"/>
        </w:rPr>
        <w:t>. p. 69.</w:t>
      </w:r>
    </w:p>
    <w:p w:rsidRPr="00E04191" w:rsidR="00D20CF9" w:rsidP="00692DFF" w:rsidRDefault="00D20CF9" w14:paraId="6752EFC5" w14:textId="77777777">
      <w:pPr>
        <w:pStyle w:val="Textonotapie"/>
        <w:ind w:firstLine="709"/>
        <w:jc w:val="both"/>
        <w:rPr>
          <w:rFonts w:ascii="Arial" w:hAnsi="Arial" w:cs="Arial"/>
          <w:color w:val="000000" w:themeColor="text1"/>
          <w:sz w:val="19"/>
          <w:szCs w:val="19"/>
          <w:lang w:val="es-ES"/>
        </w:rPr>
      </w:pPr>
    </w:p>
  </w:footnote>
  <w:footnote w:id="17">
    <w:p w:rsidRPr="00E04191" w:rsidR="00D20CF9" w:rsidP="00692DFF" w:rsidRDefault="00D20CF9" w14:paraId="73C545A9" w14:textId="4A38AC8D">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Corte Constitucional. Sentencia T</w:t>
      </w:r>
      <w:r w:rsidRPr="00E04191" w:rsidR="00C205EA">
        <w:rPr>
          <w:rFonts w:ascii="Arial" w:hAnsi="Arial" w:cs="Arial"/>
          <w:color w:val="000000" w:themeColor="text1"/>
          <w:sz w:val="19"/>
          <w:szCs w:val="19"/>
          <w:lang w:val="es-ES"/>
        </w:rPr>
        <w:t xml:space="preserve"> ─ </w:t>
      </w:r>
      <w:r w:rsidRPr="00E04191">
        <w:rPr>
          <w:rFonts w:ascii="Arial" w:hAnsi="Arial" w:cs="Arial"/>
          <w:color w:val="000000" w:themeColor="text1"/>
          <w:sz w:val="19"/>
          <w:szCs w:val="19"/>
          <w:lang w:val="es-ES"/>
        </w:rPr>
        <w:t>1039 de 2006. Magistrado Ponente: Humberto Sierra Porto. La Corte</w:t>
      </w:r>
      <w:r w:rsidRPr="00E04191" w:rsidR="00C205EA">
        <w:rPr>
          <w:rFonts w:ascii="Arial" w:hAnsi="Arial" w:cs="Arial"/>
          <w:color w:val="000000" w:themeColor="text1"/>
          <w:sz w:val="19"/>
          <w:szCs w:val="19"/>
          <w:lang w:val="es-ES"/>
        </w:rPr>
        <w:t xml:space="preserve"> Constitucional</w:t>
      </w:r>
      <w:r w:rsidRPr="00E04191">
        <w:rPr>
          <w:rFonts w:ascii="Arial" w:hAnsi="Arial" w:cs="Arial"/>
          <w:color w:val="000000" w:themeColor="text1"/>
          <w:sz w:val="19"/>
          <w:szCs w:val="19"/>
          <w:lang w:val="es-ES"/>
        </w:rPr>
        <w:t xml:space="preserve"> ha mantenido este criterio en las sentencias: C</w:t>
      </w:r>
      <w:r w:rsidRPr="00E04191" w:rsidR="00C205EA">
        <w:rPr>
          <w:rFonts w:ascii="Arial" w:hAnsi="Arial" w:cs="Arial"/>
          <w:color w:val="000000" w:themeColor="text1"/>
          <w:sz w:val="19"/>
          <w:szCs w:val="19"/>
          <w:lang w:val="es-ES"/>
        </w:rPr>
        <w:t xml:space="preserve"> ─ </w:t>
      </w:r>
      <w:r w:rsidRPr="00E04191">
        <w:rPr>
          <w:rFonts w:ascii="Arial" w:hAnsi="Arial" w:cs="Arial"/>
          <w:color w:val="000000" w:themeColor="text1"/>
          <w:sz w:val="19"/>
          <w:szCs w:val="19"/>
          <w:lang w:val="es-ES"/>
        </w:rPr>
        <w:t>903 de 2008. Magistrado Ponente: Jaime Araujo Rentería; C</w:t>
      </w:r>
      <w:r w:rsidRPr="00E04191" w:rsidR="00C205EA">
        <w:rPr>
          <w:rFonts w:ascii="Arial" w:hAnsi="Arial" w:cs="Arial"/>
          <w:color w:val="000000" w:themeColor="text1"/>
          <w:sz w:val="19"/>
          <w:szCs w:val="19"/>
          <w:lang w:val="es-ES"/>
        </w:rPr>
        <w:t xml:space="preserve"> ─ </w:t>
      </w:r>
      <w:r w:rsidRPr="00E04191">
        <w:rPr>
          <w:rFonts w:ascii="Arial" w:hAnsi="Arial" w:cs="Arial"/>
          <w:color w:val="000000" w:themeColor="text1"/>
          <w:sz w:val="19"/>
          <w:szCs w:val="19"/>
          <w:lang w:val="es-ES"/>
        </w:rPr>
        <w:t xml:space="preserve">101 de 2018. Magistrada Ponente Gloria Stella Ortiz Delgado; entre otras. </w:t>
      </w:r>
    </w:p>
    <w:p w:rsidRPr="00E04191" w:rsidR="00D20CF9" w:rsidP="00692DFF" w:rsidRDefault="00D20CF9" w14:paraId="720E5037" w14:textId="77777777">
      <w:pPr>
        <w:pStyle w:val="Textonotapie"/>
        <w:ind w:firstLine="709"/>
        <w:jc w:val="both"/>
        <w:rPr>
          <w:rFonts w:ascii="Arial" w:hAnsi="Arial" w:cs="Arial"/>
          <w:color w:val="000000" w:themeColor="text1"/>
          <w:sz w:val="19"/>
          <w:szCs w:val="19"/>
          <w:lang w:val="es-ES"/>
        </w:rPr>
      </w:pPr>
    </w:p>
  </w:footnote>
  <w:footnote w:id="18">
    <w:p w:rsidRPr="00E04191" w:rsidR="00D20CF9" w:rsidP="00692DFF" w:rsidRDefault="00D20CF9" w14:paraId="2A283682" w14:textId="298990C1">
      <w:pPr>
        <w:pStyle w:val="Textonotapie"/>
        <w:ind w:firstLine="709"/>
        <w:jc w:val="both"/>
        <w:rPr>
          <w:rFonts w:ascii="Arial" w:hAnsi="Arial" w:cs="Arial"/>
          <w:color w:val="000000" w:themeColor="text1"/>
          <w:sz w:val="19"/>
          <w:szCs w:val="19"/>
          <w:lang w:val="es-ES"/>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ES"/>
        </w:rPr>
        <w:t xml:space="preserve">Consejo de Estado. Sala de Consulta y Servicio Civil. Concepto del 30 de abril de 2015. </w:t>
      </w:r>
      <w:proofErr w:type="spellStart"/>
      <w:r w:rsidRPr="00E04191">
        <w:rPr>
          <w:rFonts w:ascii="Arial" w:hAnsi="Arial" w:cs="Arial"/>
          <w:color w:val="000000" w:themeColor="text1"/>
          <w:sz w:val="19"/>
          <w:szCs w:val="19"/>
          <w:lang w:val="es-ES"/>
        </w:rPr>
        <w:t>Exp</w:t>
      </w:r>
      <w:proofErr w:type="spellEnd"/>
      <w:r w:rsidRPr="00E04191" w:rsidR="00C205EA">
        <w:rPr>
          <w:rFonts w:ascii="Arial" w:hAnsi="Arial" w:cs="Arial"/>
          <w:color w:val="000000" w:themeColor="text1"/>
          <w:sz w:val="19"/>
          <w:szCs w:val="19"/>
          <w:lang w:val="es-ES"/>
        </w:rPr>
        <w:t>.</w:t>
      </w:r>
      <w:r w:rsidRPr="00E04191">
        <w:rPr>
          <w:rFonts w:ascii="Arial" w:hAnsi="Arial" w:cs="Arial"/>
          <w:color w:val="000000" w:themeColor="text1"/>
          <w:sz w:val="19"/>
          <w:szCs w:val="19"/>
          <w:lang w:val="es-ES"/>
        </w:rPr>
        <w:t xml:space="preserve"> 2251. Consejero Ponente: Álvaro </w:t>
      </w:r>
      <w:proofErr w:type="spellStart"/>
      <w:r w:rsidRPr="00E04191">
        <w:rPr>
          <w:rFonts w:ascii="Arial" w:hAnsi="Arial" w:cs="Arial"/>
          <w:color w:val="000000" w:themeColor="text1"/>
          <w:sz w:val="19"/>
          <w:szCs w:val="19"/>
          <w:lang w:val="es-ES"/>
        </w:rPr>
        <w:t>Namén</w:t>
      </w:r>
      <w:proofErr w:type="spellEnd"/>
      <w:r w:rsidRPr="00E04191">
        <w:rPr>
          <w:rFonts w:ascii="Arial" w:hAnsi="Arial" w:cs="Arial"/>
          <w:color w:val="000000" w:themeColor="text1"/>
          <w:sz w:val="19"/>
          <w:szCs w:val="19"/>
          <w:lang w:val="es-ES"/>
        </w:rPr>
        <w:t xml:space="preserve"> Vargas.</w:t>
      </w:r>
    </w:p>
    <w:p w:rsidRPr="00E04191" w:rsidR="00D20CF9" w:rsidP="00692DFF" w:rsidRDefault="00D20CF9" w14:paraId="63BFDBB0" w14:textId="77777777">
      <w:pPr>
        <w:pStyle w:val="Textonotapie"/>
        <w:ind w:firstLine="709"/>
        <w:jc w:val="both"/>
        <w:rPr>
          <w:rFonts w:ascii="Arial" w:hAnsi="Arial" w:cs="Arial"/>
          <w:color w:val="000000" w:themeColor="text1"/>
          <w:sz w:val="19"/>
          <w:szCs w:val="19"/>
          <w:lang w:val="es-ES"/>
        </w:rPr>
      </w:pPr>
    </w:p>
  </w:footnote>
  <w:footnote w:id="19">
    <w:p w:rsidRPr="00E04191" w:rsidR="00D20CF9" w:rsidP="00692DFF" w:rsidRDefault="00D20CF9" w14:paraId="525BCD32" w14:textId="77777777">
      <w:pPr>
        <w:pStyle w:val="Textonotapie"/>
        <w:ind w:firstLine="709"/>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Consejo de Estado. Sección Tercera. Subsección A. Sentencia del 24 de junio de 2015. </w:t>
      </w:r>
      <w:proofErr w:type="spellStart"/>
      <w:r w:rsidRPr="00E04191">
        <w:rPr>
          <w:rFonts w:ascii="Arial" w:hAnsi="Arial" w:cs="Arial"/>
          <w:color w:val="000000" w:themeColor="text1"/>
          <w:sz w:val="19"/>
          <w:szCs w:val="19"/>
        </w:rPr>
        <w:t>Exp</w:t>
      </w:r>
      <w:proofErr w:type="spellEnd"/>
      <w:r w:rsidRPr="00E04191">
        <w:rPr>
          <w:rFonts w:ascii="Arial" w:hAnsi="Arial" w:cs="Arial"/>
          <w:color w:val="000000" w:themeColor="text1"/>
          <w:sz w:val="19"/>
          <w:szCs w:val="19"/>
        </w:rPr>
        <w:t>. 40.635. Consejero Ponente: Hernán Andrade Rincón (E).</w:t>
      </w:r>
    </w:p>
    <w:p w:rsidRPr="00E04191" w:rsidR="00D20CF9" w:rsidP="00692DFF" w:rsidRDefault="00D20CF9" w14:paraId="26DBE456" w14:textId="77777777">
      <w:pPr>
        <w:pStyle w:val="Textonotapie"/>
        <w:ind w:firstLine="709"/>
        <w:jc w:val="both"/>
        <w:rPr>
          <w:rFonts w:ascii="Arial" w:hAnsi="Arial" w:cs="Arial"/>
          <w:color w:val="000000" w:themeColor="text1"/>
          <w:sz w:val="19"/>
          <w:szCs w:val="19"/>
          <w:lang w:val="es-ES"/>
        </w:rPr>
      </w:pPr>
    </w:p>
  </w:footnote>
  <w:footnote w:id="20">
    <w:p w:rsidRPr="00E04191" w:rsidR="00D20CF9" w:rsidP="00692DFF" w:rsidRDefault="00D20CF9" w14:paraId="5CD383AB" w14:textId="77777777">
      <w:pPr>
        <w:pStyle w:val="Textonotapie"/>
        <w:ind w:firstLine="709"/>
        <w:jc w:val="both"/>
        <w:rPr>
          <w:rFonts w:ascii="Arial" w:hAnsi="Arial" w:cs="Arial"/>
          <w:color w:val="000000" w:themeColor="text1"/>
          <w:sz w:val="19"/>
          <w:szCs w:val="19"/>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Consejo de Estado. Sección Tercera. Subsección C. Sentencia del 22 de mayo de 2013. </w:t>
      </w:r>
      <w:proofErr w:type="spellStart"/>
      <w:r w:rsidRPr="00E04191">
        <w:rPr>
          <w:rFonts w:ascii="Arial" w:hAnsi="Arial" w:cs="Arial"/>
          <w:color w:val="000000" w:themeColor="text1"/>
          <w:sz w:val="19"/>
          <w:szCs w:val="19"/>
        </w:rPr>
        <w:t>Exp</w:t>
      </w:r>
      <w:proofErr w:type="spellEnd"/>
      <w:r w:rsidRPr="00E04191">
        <w:rPr>
          <w:rFonts w:ascii="Arial" w:hAnsi="Arial" w:cs="Arial"/>
          <w:color w:val="000000" w:themeColor="text1"/>
          <w:sz w:val="19"/>
          <w:szCs w:val="19"/>
        </w:rPr>
        <w:t xml:space="preserve">. 24.057. Consejera Ponente: Olga </w:t>
      </w:r>
      <w:proofErr w:type="spellStart"/>
      <w:r w:rsidRPr="00E04191">
        <w:rPr>
          <w:rFonts w:ascii="Arial" w:hAnsi="Arial" w:cs="Arial"/>
          <w:color w:val="000000" w:themeColor="text1"/>
          <w:sz w:val="19"/>
          <w:szCs w:val="19"/>
        </w:rPr>
        <w:t>Melida</w:t>
      </w:r>
      <w:proofErr w:type="spellEnd"/>
      <w:r w:rsidRPr="00E04191">
        <w:rPr>
          <w:rFonts w:ascii="Arial" w:hAnsi="Arial" w:cs="Arial"/>
          <w:color w:val="000000" w:themeColor="text1"/>
          <w:sz w:val="19"/>
          <w:szCs w:val="19"/>
        </w:rPr>
        <w:t xml:space="preserve"> Valle De </w:t>
      </w:r>
      <w:proofErr w:type="spellStart"/>
      <w:r w:rsidRPr="00E04191">
        <w:rPr>
          <w:rFonts w:ascii="Arial" w:hAnsi="Arial" w:cs="Arial"/>
          <w:color w:val="000000" w:themeColor="text1"/>
          <w:sz w:val="19"/>
          <w:szCs w:val="19"/>
        </w:rPr>
        <w:t>De</w:t>
      </w:r>
      <w:proofErr w:type="spellEnd"/>
      <w:r w:rsidRPr="00E04191">
        <w:rPr>
          <w:rFonts w:ascii="Arial" w:hAnsi="Arial" w:cs="Arial"/>
          <w:color w:val="000000" w:themeColor="text1"/>
          <w:sz w:val="19"/>
          <w:szCs w:val="19"/>
        </w:rPr>
        <w:t xml:space="preserve"> La Hoz.</w:t>
      </w:r>
    </w:p>
    <w:p w:rsidRPr="00E04191" w:rsidR="00D20CF9" w:rsidP="00692DFF" w:rsidRDefault="00D20CF9" w14:paraId="396F1B73" w14:textId="77777777">
      <w:pPr>
        <w:pStyle w:val="Textonotapie"/>
        <w:ind w:firstLine="709"/>
        <w:jc w:val="both"/>
        <w:rPr>
          <w:rFonts w:ascii="Arial" w:hAnsi="Arial" w:cs="Arial"/>
          <w:color w:val="000000" w:themeColor="text1"/>
          <w:sz w:val="19"/>
          <w:szCs w:val="19"/>
          <w:lang w:val="es-ES"/>
        </w:rPr>
      </w:pPr>
    </w:p>
  </w:footnote>
  <w:footnote w:id="21">
    <w:p w:rsidRPr="00E04191" w:rsidR="00D71DDD" w:rsidP="00692DFF" w:rsidRDefault="00D71DDD" w14:paraId="72602460" w14:textId="4CCB3E9E">
      <w:pPr>
        <w:pStyle w:val="Textonotapie"/>
        <w:ind w:firstLine="709"/>
        <w:jc w:val="both"/>
        <w:rPr>
          <w:rFonts w:ascii="Arial" w:hAnsi="Arial" w:cs="Arial"/>
          <w:color w:val="000000" w:themeColor="text1"/>
          <w:sz w:val="19"/>
          <w:szCs w:val="19"/>
          <w:lang w:val="es-CO"/>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CO"/>
        </w:rPr>
        <w:t>C</w:t>
      </w:r>
      <w:r w:rsidRPr="00E04191" w:rsidR="00E16B88">
        <w:rPr>
          <w:rFonts w:ascii="Arial" w:hAnsi="Arial" w:cs="Arial"/>
          <w:color w:val="000000" w:themeColor="text1"/>
          <w:sz w:val="19"/>
          <w:szCs w:val="19"/>
          <w:lang w:val="es-CO"/>
        </w:rPr>
        <w:t xml:space="preserve">onstitución Política de Colombia: «Artículo 24. </w:t>
      </w:r>
      <w:r w:rsidRPr="00E04191" w:rsidR="00180EE4">
        <w:rPr>
          <w:rFonts w:ascii="Arial" w:hAnsi="Arial" w:cs="Arial"/>
          <w:color w:val="000000" w:themeColor="text1"/>
          <w:sz w:val="19"/>
          <w:szCs w:val="19"/>
          <w:lang w:val="es-CO"/>
        </w:rPr>
        <w:t>Todo colombiano, con las limitaciones que establezca la ley, tiene derecho a circular libremente por el territorio nacional, a entrar y salir de él, y a permanecer y residenciarse en Colombia».</w:t>
      </w:r>
    </w:p>
  </w:footnote>
  <w:footnote w:id="22">
    <w:p w:rsidRPr="00E04191" w:rsidR="009E2660" w:rsidP="00C12452" w:rsidRDefault="00354A5E" w14:paraId="0D903CE5" w14:textId="7C3ABEA5">
      <w:pPr>
        <w:pStyle w:val="Textonotapie"/>
        <w:ind w:firstLine="709"/>
        <w:jc w:val="both"/>
        <w:rPr>
          <w:rFonts w:ascii="Arial" w:hAnsi="Arial" w:cs="Arial"/>
          <w:color w:val="000000" w:themeColor="text1"/>
          <w:sz w:val="19"/>
          <w:szCs w:val="19"/>
          <w:lang w:val="es-CO"/>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CO"/>
        </w:rPr>
        <w:t xml:space="preserve">Ley 769 de 2002: «Artículo </w:t>
      </w:r>
      <w:r w:rsidRPr="00E04191" w:rsidR="00BD7D73">
        <w:rPr>
          <w:rFonts w:ascii="Arial" w:hAnsi="Arial" w:cs="Arial"/>
          <w:color w:val="000000" w:themeColor="text1"/>
          <w:sz w:val="19"/>
          <w:szCs w:val="19"/>
          <w:lang w:val="es-CO"/>
        </w:rPr>
        <w:t>1. Ámbito de aplicación y principios.</w:t>
      </w:r>
      <w:r w:rsidRPr="00E04191" w:rsidR="00C12452">
        <w:rPr>
          <w:rFonts w:ascii="Arial" w:hAnsi="Arial" w:cs="Arial"/>
          <w:color w:val="000000" w:themeColor="text1"/>
          <w:sz w:val="19"/>
          <w:szCs w:val="19"/>
          <w:lang w:val="es-CO"/>
        </w:rPr>
        <w:t xml:space="preserve"> Las normas del presente Código rigen en todo el territorio nacional y regulan la circulación de los peatones, usuarios, pasajeros, conductores, motociclistas, ciclistas, agentes de tránsito, y vehículos por las vías públicas o privadas que están abiertas al público, o en las vías privadas, que internamente circulen vehículos; así como la actuación y procedimientos de las autoridades de tránsito.</w:t>
      </w:r>
    </w:p>
    <w:p w:rsidRPr="00E04191" w:rsidR="009E2660" w:rsidP="00692DFF" w:rsidRDefault="009E2660" w14:paraId="78CE3251" w14:textId="6B86C623">
      <w:pPr>
        <w:pStyle w:val="Textonotapie"/>
        <w:ind w:firstLine="709"/>
        <w:jc w:val="both"/>
        <w:rPr>
          <w:rFonts w:ascii="Arial" w:hAnsi="Arial" w:cs="Arial"/>
          <w:color w:val="000000" w:themeColor="text1"/>
          <w:sz w:val="19"/>
          <w:szCs w:val="19"/>
          <w:lang w:val="es-CO"/>
        </w:rPr>
      </w:pPr>
      <w:proofErr w:type="gramStart"/>
      <w:r w:rsidRPr="00E04191">
        <w:rPr>
          <w:rFonts w:ascii="Arial" w:hAnsi="Arial" w:cs="Arial"/>
          <w:color w:val="000000" w:themeColor="text1"/>
          <w:sz w:val="19"/>
          <w:szCs w:val="19"/>
          <w:lang w:val="es-CO"/>
        </w:rPr>
        <w:t>»En</w:t>
      </w:r>
      <w:proofErr w:type="gramEnd"/>
      <w:r w:rsidRPr="00E04191">
        <w:rPr>
          <w:rFonts w:ascii="Arial" w:hAnsi="Arial" w:cs="Arial"/>
          <w:color w:val="000000" w:themeColor="text1"/>
          <w:sz w:val="19"/>
          <w:szCs w:val="19"/>
          <w:lang w:val="es-CO"/>
        </w:rPr>
        <w:t xml:space="preserve"> desarrollo de lo dispuesto por el artículo 24 de la Constitución Política, todo colombiano tiene derecho a circular libremente por el territorio nacional, pero está sujeto a la intervención y reglamentación de las autoridades para garantía de la seguridad y comodidad de los habitantes, especialmente de los peatones y de los discapacitados físicos y mentales, para la preservación de un ambiente sano y la protección del uso común del espacio público.</w:t>
      </w:r>
    </w:p>
    <w:p w:rsidRPr="00E04191" w:rsidR="00613EA9" w:rsidP="00692DFF" w:rsidRDefault="00613EA9" w14:paraId="2C6C0AE7" w14:textId="0A92A09A">
      <w:pPr>
        <w:pStyle w:val="Textonotapie"/>
        <w:ind w:firstLine="709"/>
        <w:jc w:val="both"/>
        <w:rPr>
          <w:rFonts w:ascii="Arial" w:hAnsi="Arial" w:cs="Arial"/>
          <w:color w:val="000000" w:themeColor="text1"/>
          <w:sz w:val="19"/>
          <w:szCs w:val="19"/>
          <w:lang w:val="es-CO"/>
        </w:rPr>
      </w:pPr>
      <w:r w:rsidRPr="00E04191">
        <w:rPr>
          <w:rFonts w:ascii="Arial" w:hAnsi="Arial" w:cs="Arial"/>
          <w:color w:val="000000" w:themeColor="text1"/>
          <w:sz w:val="19"/>
          <w:szCs w:val="19"/>
          <w:lang w:val="es-CO"/>
        </w:rPr>
        <w:t>[…]</w:t>
      </w:r>
    </w:p>
    <w:p w:rsidRPr="00E04191" w:rsidR="00871E1E" w:rsidP="00692DFF" w:rsidRDefault="00871E1E" w14:paraId="3627EC84" w14:textId="4E45D1B6">
      <w:pPr>
        <w:pStyle w:val="Textonotapie"/>
        <w:ind w:firstLine="709"/>
        <w:jc w:val="both"/>
        <w:rPr>
          <w:rFonts w:ascii="Arial" w:hAnsi="Arial" w:cs="Arial"/>
          <w:color w:val="000000" w:themeColor="text1"/>
          <w:sz w:val="19"/>
          <w:szCs w:val="19"/>
          <w:lang w:val="es-CO"/>
        </w:rPr>
      </w:pPr>
      <w:proofErr w:type="gramStart"/>
      <w:r w:rsidRPr="00E04191">
        <w:rPr>
          <w:rFonts w:ascii="Arial" w:hAnsi="Arial" w:cs="Arial"/>
          <w:color w:val="000000" w:themeColor="text1"/>
          <w:sz w:val="19"/>
          <w:szCs w:val="19"/>
          <w:lang w:val="es-CO"/>
        </w:rPr>
        <w:t>»Los</w:t>
      </w:r>
      <w:proofErr w:type="gramEnd"/>
      <w:r w:rsidRPr="00E04191">
        <w:rPr>
          <w:rFonts w:ascii="Arial" w:hAnsi="Arial" w:cs="Arial"/>
          <w:color w:val="000000" w:themeColor="text1"/>
          <w:sz w:val="19"/>
          <w:szCs w:val="19"/>
          <w:lang w:val="es-CO"/>
        </w:rPr>
        <w:t xml:space="preserve"> principios rectores de este código son: seguridad de los usuarios, la movilidad, la calidad, la oportunidad, el cubrimiento, la libertad de acceso, la plena identificación, libre circulación, educación y descentralización».</w:t>
      </w:r>
    </w:p>
  </w:footnote>
  <w:footnote w:id="23">
    <w:p w:rsidRPr="00E04191" w:rsidR="009815CD" w:rsidP="008624A4" w:rsidRDefault="009815CD" w14:paraId="17842031" w14:textId="3C36E592">
      <w:pPr>
        <w:pStyle w:val="Textonotapie"/>
        <w:ind w:firstLine="709"/>
        <w:jc w:val="both"/>
        <w:rPr>
          <w:rFonts w:ascii="Arial" w:hAnsi="Arial" w:cs="Arial"/>
          <w:color w:val="000000" w:themeColor="text1"/>
          <w:sz w:val="19"/>
          <w:szCs w:val="19"/>
          <w:lang w:val="es-CO"/>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Pr>
          <w:rFonts w:ascii="Arial" w:hAnsi="Arial" w:cs="Arial"/>
          <w:color w:val="000000" w:themeColor="text1"/>
          <w:sz w:val="19"/>
          <w:szCs w:val="19"/>
          <w:lang w:val="es-CO"/>
        </w:rPr>
        <w:t>Ley 769</w:t>
      </w:r>
      <w:r w:rsidRPr="00E04191" w:rsidR="000E305A">
        <w:rPr>
          <w:rFonts w:ascii="Arial" w:hAnsi="Arial" w:cs="Arial"/>
          <w:color w:val="000000" w:themeColor="text1"/>
          <w:sz w:val="19"/>
          <w:szCs w:val="19"/>
          <w:lang w:val="es-CO"/>
        </w:rPr>
        <w:t xml:space="preserve"> de 2002: «Artículo</w:t>
      </w:r>
      <w:r w:rsidRPr="00E04191" w:rsidR="00BB780C">
        <w:rPr>
          <w:rFonts w:ascii="Arial" w:hAnsi="Arial" w:cs="Arial"/>
          <w:color w:val="000000" w:themeColor="text1"/>
          <w:sz w:val="19"/>
          <w:szCs w:val="19"/>
          <w:lang w:val="es-CO"/>
        </w:rPr>
        <w:t xml:space="preserve"> 122 y siguientes»</w:t>
      </w:r>
      <w:r w:rsidRPr="00E04191" w:rsidR="005A2A0D">
        <w:rPr>
          <w:rFonts w:ascii="Arial" w:hAnsi="Arial" w:cs="Arial"/>
          <w:color w:val="000000" w:themeColor="text1"/>
          <w:sz w:val="19"/>
          <w:szCs w:val="19"/>
          <w:lang w:val="es-CO"/>
        </w:rPr>
        <w:t>.</w:t>
      </w:r>
    </w:p>
    <w:p w:rsidRPr="00E04191" w:rsidR="005A2A0D" w:rsidP="008624A4" w:rsidRDefault="005A2A0D" w14:paraId="2111D4A7" w14:textId="77777777">
      <w:pPr>
        <w:pStyle w:val="Textonotapie"/>
        <w:ind w:firstLine="709"/>
        <w:jc w:val="both"/>
        <w:rPr>
          <w:rFonts w:ascii="Arial" w:hAnsi="Arial" w:cs="Arial"/>
          <w:color w:val="000000" w:themeColor="text1"/>
          <w:sz w:val="19"/>
          <w:szCs w:val="19"/>
          <w:lang w:val="es-CO"/>
        </w:rPr>
      </w:pPr>
    </w:p>
  </w:footnote>
  <w:footnote w:id="24">
    <w:p w:rsidRPr="00E04191" w:rsidR="00E40DA9" w:rsidP="00E40DA9" w:rsidRDefault="007B1FDA" w14:paraId="6E800343" w14:textId="135E7913">
      <w:pPr>
        <w:pStyle w:val="Textonotapie"/>
        <w:ind w:firstLine="709"/>
        <w:jc w:val="both"/>
        <w:rPr>
          <w:color w:val="000000" w:themeColor="text1"/>
          <w:lang w:val="es-CO"/>
        </w:rPr>
      </w:pPr>
      <w:r w:rsidRPr="00E04191">
        <w:rPr>
          <w:rStyle w:val="Refdenotaalpie"/>
          <w:rFonts w:ascii="Arial" w:hAnsi="Arial" w:cs="Arial"/>
          <w:color w:val="000000" w:themeColor="text1"/>
          <w:sz w:val="19"/>
          <w:szCs w:val="19"/>
        </w:rPr>
        <w:footnoteRef/>
      </w:r>
      <w:r w:rsidRPr="00E04191">
        <w:rPr>
          <w:rFonts w:ascii="Arial" w:hAnsi="Arial" w:cs="Arial"/>
          <w:color w:val="000000" w:themeColor="text1"/>
          <w:sz w:val="19"/>
          <w:szCs w:val="19"/>
        </w:rPr>
        <w:t xml:space="preserve"> </w:t>
      </w:r>
      <w:r w:rsidRPr="00E04191" w:rsidR="001E03A5">
        <w:rPr>
          <w:rFonts w:ascii="Arial" w:hAnsi="Arial" w:cs="Arial"/>
          <w:color w:val="000000" w:themeColor="text1"/>
          <w:sz w:val="19"/>
          <w:szCs w:val="19"/>
          <w:lang w:val="es-CO"/>
        </w:rPr>
        <w:t>Ley 769 de 2002: «</w:t>
      </w:r>
      <w:r w:rsidRPr="00E04191" w:rsidR="00E40DA9">
        <w:rPr>
          <w:rFonts w:ascii="Arial" w:hAnsi="Arial" w:cs="Arial"/>
          <w:color w:val="000000" w:themeColor="text1"/>
          <w:sz w:val="19"/>
          <w:szCs w:val="19"/>
          <w:lang w:val="es-CO"/>
        </w:rPr>
        <w:t>A</w:t>
      </w:r>
      <w:r w:rsidRPr="00E04191" w:rsidR="001E03A5">
        <w:rPr>
          <w:rFonts w:ascii="Arial" w:hAnsi="Arial" w:cs="Arial"/>
          <w:color w:val="000000" w:themeColor="text1"/>
          <w:sz w:val="19"/>
          <w:szCs w:val="19"/>
          <w:lang w:val="es-CO"/>
        </w:rPr>
        <w:t>rtículo 26</w:t>
      </w:r>
      <w:r w:rsidRPr="00E04191" w:rsidR="00E40DA9">
        <w:rPr>
          <w:rFonts w:ascii="Arial" w:hAnsi="Arial" w:cs="Arial"/>
          <w:color w:val="000000" w:themeColor="text1"/>
          <w:sz w:val="19"/>
          <w:szCs w:val="19"/>
          <w:lang w:val="es-CO"/>
        </w:rPr>
        <w:t>, Artículo</w:t>
      </w:r>
      <w:r w:rsidRPr="00E04191" w:rsidR="001E1B3E">
        <w:rPr>
          <w:rFonts w:ascii="Arial" w:hAnsi="Arial" w:cs="Arial"/>
          <w:color w:val="000000" w:themeColor="text1"/>
          <w:sz w:val="19"/>
          <w:szCs w:val="19"/>
          <w:lang w:val="es-CO"/>
        </w:rPr>
        <w:t xml:space="preserve"> 122 y siguientes».</w:t>
      </w:r>
      <w:r w:rsidRPr="00E04191" w:rsidR="00E40DA9">
        <w:rPr>
          <w:rFonts w:ascii="Arial" w:hAnsi="Arial" w:cs="Arial"/>
          <w:color w:val="000000" w:themeColor="text1"/>
          <w:sz w:val="19"/>
          <w:szCs w:val="19"/>
          <w:lang w:val="es-CO"/>
        </w:rPr>
        <w:t xml:space="preserve"> </w:t>
      </w:r>
    </w:p>
    <w:p w:rsidRPr="00E04191" w:rsidR="007B1FDA" w:rsidP="005A2A0D" w:rsidRDefault="007B1FDA" w14:paraId="6311EB13" w14:textId="5A400B34">
      <w:pPr>
        <w:pStyle w:val="Textonotapie"/>
        <w:ind w:firstLine="709"/>
        <w:jc w:val="both"/>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20E6C25">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31656D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B8B5997"/>
    <w:multiLevelType w:val="multilevel"/>
    <w:tmpl w:val="7F30F5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489B"/>
    <w:rsid w:val="000061E5"/>
    <w:rsid w:val="00023701"/>
    <w:rsid w:val="00026AD9"/>
    <w:rsid w:val="00027774"/>
    <w:rsid w:val="00031C37"/>
    <w:rsid w:val="000432D7"/>
    <w:rsid w:val="00061AD2"/>
    <w:rsid w:val="00062F73"/>
    <w:rsid w:val="0007454E"/>
    <w:rsid w:val="00076370"/>
    <w:rsid w:val="00082D96"/>
    <w:rsid w:val="00086063"/>
    <w:rsid w:val="0009209C"/>
    <w:rsid w:val="0009306A"/>
    <w:rsid w:val="000942EB"/>
    <w:rsid w:val="000A0F5A"/>
    <w:rsid w:val="000A20E8"/>
    <w:rsid w:val="000A5C06"/>
    <w:rsid w:val="000B103F"/>
    <w:rsid w:val="000B6665"/>
    <w:rsid w:val="000B7588"/>
    <w:rsid w:val="000C48FA"/>
    <w:rsid w:val="000E305A"/>
    <w:rsid w:val="000E454F"/>
    <w:rsid w:val="000F14E8"/>
    <w:rsid w:val="00103915"/>
    <w:rsid w:val="0011311B"/>
    <w:rsid w:val="001205B5"/>
    <w:rsid w:val="001219AA"/>
    <w:rsid w:val="00122B23"/>
    <w:rsid w:val="00137FFA"/>
    <w:rsid w:val="00140B9F"/>
    <w:rsid w:val="0016482D"/>
    <w:rsid w:val="001728F2"/>
    <w:rsid w:val="00173739"/>
    <w:rsid w:val="00173B4E"/>
    <w:rsid w:val="00176A24"/>
    <w:rsid w:val="00180EE4"/>
    <w:rsid w:val="001861B8"/>
    <w:rsid w:val="001A5A43"/>
    <w:rsid w:val="001B1276"/>
    <w:rsid w:val="001B2D09"/>
    <w:rsid w:val="001D3800"/>
    <w:rsid w:val="001D6109"/>
    <w:rsid w:val="001E03A5"/>
    <w:rsid w:val="001E1B3E"/>
    <w:rsid w:val="001F44FA"/>
    <w:rsid w:val="00205585"/>
    <w:rsid w:val="0020764F"/>
    <w:rsid w:val="00234B84"/>
    <w:rsid w:val="00260377"/>
    <w:rsid w:val="0026187C"/>
    <w:rsid w:val="00272230"/>
    <w:rsid w:val="00274FBC"/>
    <w:rsid w:val="002979F7"/>
    <w:rsid w:val="002B56F5"/>
    <w:rsid w:val="002B6435"/>
    <w:rsid w:val="002E12E1"/>
    <w:rsid w:val="002E20BB"/>
    <w:rsid w:val="002E6795"/>
    <w:rsid w:val="002F44B3"/>
    <w:rsid w:val="0030003A"/>
    <w:rsid w:val="003033BA"/>
    <w:rsid w:val="00314A68"/>
    <w:rsid w:val="00345A97"/>
    <w:rsid w:val="0034680A"/>
    <w:rsid w:val="00354A5E"/>
    <w:rsid w:val="003605BA"/>
    <w:rsid w:val="00361827"/>
    <w:rsid w:val="00365EA4"/>
    <w:rsid w:val="00373F7B"/>
    <w:rsid w:val="00374A29"/>
    <w:rsid w:val="00386456"/>
    <w:rsid w:val="00392650"/>
    <w:rsid w:val="003A5107"/>
    <w:rsid w:val="003A581E"/>
    <w:rsid w:val="003B02AC"/>
    <w:rsid w:val="003B1FE2"/>
    <w:rsid w:val="003B6C7B"/>
    <w:rsid w:val="003B7A26"/>
    <w:rsid w:val="003C0BDF"/>
    <w:rsid w:val="003E3B96"/>
    <w:rsid w:val="0040177F"/>
    <w:rsid w:val="00404159"/>
    <w:rsid w:val="004145E9"/>
    <w:rsid w:val="00422DDB"/>
    <w:rsid w:val="00436D09"/>
    <w:rsid w:val="004422D6"/>
    <w:rsid w:val="0044365F"/>
    <w:rsid w:val="00447595"/>
    <w:rsid w:val="00457E45"/>
    <w:rsid w:val="00467AFC"/>
    <w:rsid w:val="004A34D2"/>
    <w:rsid w:val="004A53F4"/>
    <w:rsid w:val="004B1ED7"/>
    <w:rsid w:val="004B7587"/>
    <w:rsid w:val="004D0033"/>
    <w:rsid w:val="004D6FB0"/>
    <w:rsid w:val="004F69E6"/>
    <w:rsid w:val="00504444"/>
    <w:rsid w:val="00507A90"/>
    <w:rsid w:val="0051074C"/>
    <w:rsid w:val="00513AF2"/>
    <w:rsid w:val="005226BC"/>
    <w:rsid w:val="00535196"/>
    <w:rsid w:val="0054413A"/>
    <w:rsid w:val="00544986"/>
    <w:rsid w:val="00550C2B"/>
    <w:rsid w:val="005564CA"/>
    <w:rsid w:val="005618C1"/>
    <w:rsid w:val="00565D22"/>
    <w:rsid w:val="005A2125"/>
    <w:rsid w:val="005A29EB"/>
    <w:rsid w:val="005A2A0D"/>
    <w:rsid w:val="005A79FE"/>
    <w:rsid w:val="005B50AD"/>
    <w:rsid w:val="005C0368"/>
    <w:rsid w:val="005C1A9C"/>
    <w:rsid w:val="005C1D7D"/>
    <w:rsid w:val="005D3DFF"/>
    <w:rsid w:val="005E1CE2"/>
    <w:rsid w:val="005F03E0"/>
    <w:rsid w:val="00613803"/>
    <w:rsid w:val="00613EA9"/>
    <w:rsid w:val="00647E5F"/>
    <w:rsid w:val="006533F8"/>
    <w:rsid w:val="00655371"/>
    <w:rsid w:val="00661FAC"/>
    <w:rsid w:val="006655D4"/>
    <w:rsid w:val="00665943"/>
    <w:rsid w:val="0068226C"/>
    <w:rsid w:val="0068612E"/>
    <w:rsid w:val="00686494"/>
    <w:rsid w:val="00692433"/>
    <w:rsid w:val="00692DFF"/>
    <w:rsid w:val="00697665"/>
    <w:rsid w:val="006A456D"/>
    <w:rsid w:val="006A7FD0"/>
    <w:rsid w:val="006B0A07"/>
    <w:rsid w:val="006B34B2"/>
    <w:rsid w:val="006C53C8"/>
    <w:rsid w:val="006D73FE"/>
    <w:rsid w:val="006D7687"/>
    <w:rsid w:val="006E0572"/>
    <w:rsid w:val="006F1118"/>
    <w:rsid w:val="0070208A"/>
    <w:rsid w:val="007030BD"/>
    <w:rsid w:val="00705631"/>
    <w:rsid w:val="00710061"/>
    <w:rsid w:val="0072092B"/>
    <w:rsid w:val="00742DD2"/>
    <w:rsid w:val="00753988"/>
    <w:rsid w:val="00755BBB"/>
    <w:rsid w:val="0075647A"/>
    <w:rsid w:val="007621BE"/>
    <w:rsid w:val="007634AD"/>
    <w:rsid w:val="00767F14"/>
    <w:rsid w:val="0078122E"/>
    <w:rsid w:val="00792BFB"/>
    <w:rsid w:val="007B0854"/>
    <w:rsid w:val="007B1FDA"/>
    <w:rsid w:val="007B43FC"/>
    <w:rsid w:val="007B4FB0"/>
    <w:rsid w:val="007B6DA0"/>
    <w:rsid w:val="007D6B17"/>
    <w:rsid w:val="007D74E6"/>
    <w:rsid w:val="007E7C33"/>
    <w:rsid w:val="007E7D57"/>
    <w:rsid w:val="007F72CB"/>
    <w:rsid w:val="00812A4A"/>
    <w:rsid w:val="008231A0"/>
    <w:rsid w:val="008263B7"/>
    <w:rsid w:val="0083119B"/>
    <w:rsid w:val="00836EAB"/>
    <w:rsid w:val="00840837"/>
    <w:rsid w:val="00845BA0"/>
    <w:rsid w:val="0085092D"/>
    <w:rsid w:val="0085488A"/>
    <w:rsid w:val="008564C0"/>
    <w:rsid w:val="008624A4"/>
    <w:rsid w:val="00865C94"/>
    <w:rsid w:val="008676D8"/>
    <w:rsid w:val="00871E1E"/>
    <w:rsid w:val="008915FD"/>
    <w:rsid w:val="008A5BE1"/>
    <w:rsid w:val="008B3030"/>
    <w:rsid w:val="008C09D0"/>
    <w:rsid w:val="008C154C"/>
    <w:rsid w:val="008C2EA7"/>
    <w:rsid w:val="008D4CE0"/>
    <w:rsid w:val="008D5500"/>
    <w:rsid w:val="008D572D"/>
    <w:rsid w:val="008E1C15"/>
    <w:rsid w:val="00901C6D"/>
    <w:rsid w:val="009047C5"/>
    <w:rsid w:val="00911219"/>
    <w:rsid w:val="0093062D"/>
    <w:rsid w:val="00934116"/>
    <w:rsid w:val="00936C4C"/>
    <w:rsid w:val="00940227"/>
    <w:rsid w:val="009432BB"/>
    <w:rsid w:val="0094332A"/>
    <w:rsid w:val="00945D7C"/>
    <w:rsid w:val="0095385A"/>
    <w:rsid w:val="00956C4B"/>
    <w:rsid w:val="00961280"/>
    <w:rsid w:val="00964178"/>
    <w:rsid w:val="0097289A"/>
    <w:rsid w:val="009815CD"/>
    <w:rsid w:val="009823E3"/>
    <w:rsid w:val="00982FEA"/>
    <w:rsid w:val="009913B2"/>
    <w:rsid w:val="009D1508"/>
    <w:rsid w:val="009D2F32"/>
    <w:rsid w:val="009D54EC"/>
    <w:rsid w:val="009E2660"/>
    <w:rsid w:val="009E3F9D"/>
    <w:rsid w:val="00A135AE"/>
    <w:rsid w:val="00A17A79"/>
    <w:rsid w:val="00A22BDF"/>
    <w:rsid w:val="00A23B79"/>
    <w:rsid w:val="00A24560"/>
    <w:rsid w:val="00A249A9"/>
    <w:rsid w:val="00A27EAE"/>
    <w:rsid w:val="00A34538"/>
    <w:rsid w:val="00A34606"/>
    <w:rsid w:val="00A549DC"/>
    <w:rsid w:val="00A61841"/>
    <w:rsid w:val="00A633D9"/>
    <w:rsid w:val="00A64DFE"/>
    <w:rsid w:val="00A663FB"/>
    <w:rsid w:val="00A773B8"/>
    <w:rsid w:val="00A83FCE"/>
    <w:rsid w:val="00A96F3E"/>
    <w:rsid w:val="00A978F3"/>
    <w:rsid w:val="00AA442B"/>
    <w:rsid w:val="00AA453F"/>
    <w:rsid w:val="00AE1909"/>
    <w:rsid w:val="00B03A04"/>
    <w:rsid w:val="00B078E6"/>
    <w:rsid w:val="00B13B8B"/>
    <w:rsid w:val="00B21140"/>
    <w:rsid w:val="00B22E22"/>
    <w:rsid w:val="00B343D1"/>
    <w:rsid w:val="00B34E7A"/>
    <w:rsid w:val="00B41D89"/>
    <w:rsid w:val="00B41DD7"/>
    <w:rsid w:val="00B4322F"/>
    <w:rsid w:val="00B525CB"/>
    <w:rsid w:val="00B62EF8"/>
    <w:rsid w:val="00B63CB2"/>
    <w:rsid w:val="00B769CD"/>
    <w:rsid w:val="00B80DBF"/>
    <w:rsid w:val="00B812D2"/>
    <w:rsid w:val="00B87FFA"/>
    <w:rsid w:val="00B932D1"/>
    <w:rsid w:val="00BA2400"/>
    <w:rsid w:val="00BA3693"/>
    <w:rsid w:val="00BA57A7"/>
    <w:rsid w:val="00BB780C"/>
    <w:rsid w:val="00BC032E"/>
    <w:rsid w:val="00BC46FA"/>
    <w:rsid w:val="00BD6043"/>
    <w:rsid w:val="00BD6210"/>
    <w:rsid w:val="00BD78FE"/>
    <w:rsid w:val="00BD7D73"/>
    <w:rsid w:val="00C00E37"/>
    <w:rsid w:val="00C024B3"/>
    <w:rsid w:val="00C10318"/>
    <w:rsid w:val="00C12452"/>
    <w:rsid w:val="00C14856"/>
    <w:rsid w:val="00C1667C"/>
    <w:rsid w:val="00C205EA"/>
    <w:rsid w:val="00C2341D"/>
    <w:rsid w:val="00C24C6F"/>
    <w:rsid w:val="00C27C7D"/>
    <w:rsid w:val="00C3403F"/>
    <w:rsid w:val="00C50638"/>
    <w:rsid w:val="00C64D4C"/>
    <w:rsid w:val="00C81CC6"/>
    <w:rsid w:val="00C93209"/>
    <w:rsid w:val="00CA287E"/>
    <w:rsid w:val="00CB53E6"/>
    <w:rsid w:val="00CB69DA"/>
    <w:rsid w:val="00CC00CD"/>
    <w:rsid w:val="00CC43FB"/>
    <w:rsid w:val="00CD1E0D"/>
    <w:rsid w:val="00CE341C"/>
    <w:rsid w:val="00CE4F94"/>
    <w:rsid w:val="00CF1E98"/>
    <w:rsid w:val="00D05987"/>
    <w:rsid w:val="00D14D37"/>
    <w:rsid w:val="00D150EF"/>
    <w:rsid w:val="00D16E39"/>
    <w:rsid w:val="00D20698"/>
    <w:rsid w:val="00D20CF9"/>
    <w:rsid w:val="00D250B7"/>
    <w:rsid w:val="00D2560D"/>
    <w:rsid w:val="00D34E42"/>
    <w:rsid w:val="00D35D5C"/>
    <w:rsid w:val="00D44A75"/>
    <w:rsid w:val="00D46880"/>
    <w:rsid w:val="00D626D0"/>
    <w:rsid w:val="00D643F2"/>
    <w:rsid w:val="00D64579"/>
    <w:rsid w:val="00D674F3"/>
    <w:rsid w:val="00D71DDD"/>
    <w:rsid w:val="00D72E9D"/>
    <w:rsid w:val="00D8050A"/>
    <w:rsid w:val="00D82CE5"/>
    <w:rsid w:val="00DA5292"/>
    <w:rsid w:val="00DA5750"/>
    <w:rsid w:val="00DA5AB1"/>
    <w:rsid w:val="00DB08D0"/>
    <w:rsid w:val="00DB0C71"/>
    <w:rsid w:val="00DB2CD9"/>
    <w:rsid w:val="00DB6A4C"/>
    <w:rsid w:val="00DC33EB"/>
    <w:rsid w:val="00DC62E5"/>
    <w:rsid w:val="00DD735D"/>
    <w:rsid w:val="00DE3119"/>
    <w:rsid w:val="00DE6039"/>
    <w:rsid w:val="00DE67F8"/>
    <w:rsid w:val="00DE71DE"/>
    <w:rsid w:val="00DF236B"/>
    <w:rsid w:val="00DF3582"/>
    <w:rsid w:val="00DF3C0F"/>
    <w:rsid w:val="00DF75F3"/>
    <w:rsid w:val="00E04191"/>
    <w:rsid w:val="00E13AB8"/>
    <w:rsid w:val="00E16B88"/>
    <w:rsid w:val="00E265CC"/>
    <w:rsid w:val="00E33B62"/>
    <w:rsid w:val="00E37985"/>
    <w:rsid w:val="00E40DA9"/>
    <w:rsid w:val="00E6266F"/>
    <w:rsid w:val="00E627F0"/>
    <w:rsid w:val="00E75448"/>
    <w:rsid w:val="00E87AD4"/>
    <w:rsid w:val="00EA667A"/>
    <w:rsid w:val="00EB26CE"/>
    <w:rsid w:val="00EC4886"/>
    <w:rsid w:val="00EC4F1A"/>
    <w:rsid w:val="00EC64DD"/>
    <w:rsid w:val="00ED319B"/>
    <w:rsid w:val="00EE2903"/>
    <w:rsid w:val="00EE57BD"/>
    <w:rsid w:val="00EF5836"/>
    <w:rsid w:val="00EF5B06"/>
    <w:rsid w:val="00F46812"/>
    <w:rsid w:val="00F50C08"/>
    <w:rsid w:val="00F5188C"/>
    <w:rsid w:val="00F613EE"/>
    <w:rsid w:val="00F67886"/>
    <w:rsid w:val="00F77764"/>
    <w:rsid w:val="00F84899"/>
    <w:rsid w:val="00F859F0"/>
    <w:rsid w:val="00F8649C"/>
    <w:rsid w:val="00F97E47"/>
    <w:rsid w:val="00FC0065"/>
    <w:rsid w:val="00FC6A37"/>
    <w:rsid w:val="00FE141E"/>
    <w:rsid w:val="00FF04C4"/>
    <w:rsid w:val="00FF2C1B"/>
    <w:rsid w:val="06AC3AB5"/>
    <w:rsid w:val="085B9F11"/>
    <w:rsid w:val="220E6C25"/>
    <w:rsid w:val="2D99B1DF"/>
    <w:rsid w:val="3919F3F8"/>
    <w:rsid w:val="50553599"/>
    <w:rsid w:val="65DAD8AD"/>
    <w:rsid w:val="68614B7F"/>
    <w:rsid w:val="6F908478"/>
    <w:rsid w:val="7560908F"/>
    <w:rsid w:val="7E9D9AB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Default" w:customStyle="1">
    <w:name w:val="Default"/>
    <w:rsid w:val="00FC00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90673752">
      <w:bodyDiv w:val="1"/>
      <w:marLeft w:val="0"/>
      <w:marRight w:val="0"/>
      <w:marTop w:val="0"/>
      <w:marBottom w:val="0"/>
      <w:divBdr>
        <w:top w:val="none" w:sz="0" w:space="0" w:color="auto"/>
        <w:left w:val="none" w:sz="0" w:space="0" w:color="auto"/>
        <w:bottom w:val="none" w:sz="0" w:space="0" w:color="auto"/>
        <w:right w:val="none" w:sz="0" w:space="0" w:color="auto"/>
      </w:divBdr>
    </w:div>
    <w:div w:id="21098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f1fcb0db94e14ec1" /></Relationships>
</file>

<file path=word/_rels/footer1.xml.rels>&#65279;<?xml version="1.0" encoding="utf-8"?><Relationships xmlns="http://schemas.openxmlformats.org/package/2006/relationships"><Relationship Type="http://schemas.openxmlformats.org/officeDocument/2006/relationships/image" Target="/media/image5.png" Id="Rdb3da08bbaa14ef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C9D1DB5-3FD2-429D-B038-BA69180C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9AD63F5-42A9-4D58-B0C5-211202C9398C}">
  <ds:schemaRefs>
    <ds:schemaRef ds:uri="http://schemas.openxmlformats.org/officeDocument/2006/bibliography"/>
  </ds:schemaRefs>
</ds:datastoreItem>
</file>

<file path=customXml/itemProps4.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13</revision>
  <dcterms:created xsi:type="dcterms:W3CDTF">2020-04-16T19:15:00.0000000Z</dcterms:created>
  <dcterms:modified xsi:type="dcterms:W3CDTF">2020-07-24T00:14:37.9207876Z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