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Pr="00227C91" w:rsidR="00C60B22" w:rsidP="00C60B22" w:rsidRDefault="00E245AB" w14:paraId="7E3AE9A0" w14:textId="77777777">
      <w:pPr>
        <w:tabs>
          <w:tab w:val="left" w:pos="426"/>
        </w:tabs>
        <w:spacing w:line="240" w:lineRule="auto"/>
        <w:contextualSpacing/>
        <w:jc w:val="both"/>
        <w:rPr>
          <w:rFonts w:ascii="Arial" w:hAnsi="Arial" w:eastAsia="Calibri" w:cs="Arial"/>
          <w:b/>
          <w:bCs/>
          <w:lang w:val="es-MX"/>
        </w:rPr>
      </w:pPr>
      <w:r w:rsidRPr="00610CBB">
        <w:t xml:space="preserve"> </w:t>
      </w:r>
      <w:bookmarkStart w:name="_Hlk77152637" w:id="0"/>
      <w:bookmarkStart w:name="_Hlk77157066" w:id="1"/>
      <w:bookmarkStart w:name="_Hlk78821436" w:id="2"/>
      <w:r w:rsidRPr="00227C91" w:rsidR="00C60B22">
        <w:rPr>
          <w:rFonts w:ascii="Arial" w:hAnsi="Arial" w:eastAsia="Calibri" w:cs="Arial"/>
          <w:b/>
          <w:bCs/>
          <w:lang w:val="es-MX"/>
        </w:rPr>
        <w:t>LEY DE GARANTÍAS ELECTORALES ‒ Finalidad</w:t>
      </w:r>
    </w:p>
    <w:p w:rsidRPr="00227C91" w:rsidR="00C60B22" w:rsidP="00C60B22" w:rsidRDefault="00C60B22" w14:paraId="352192E4" w14:textId="77777777">
      <w:pPr>
        <w:tabs>
          <w:tab w:val="left" w:pos="426"/>
        </w:tabs>
        <w:spacing w:line="240" w:lineRule="auto"/>
        <w:contextualSpacing/>
        <w:jc w:val="both"/>
        <w:rPr>
          <w:rFonts w:ascii="Arial" w:hAnsi="Arial" w:eastAsia="Calibri" w:cs="Arial"/>
          <w:b/>
          <w:bCs/>
          <w:sz w:val="20"/>
          <w:szCs w:val="20"/>
          <w:lang w:val="es-MX"/>
        </w:rPr>
      </w:pPr>
    </w:p>
    <w:p w:rsidRPr="00227C91" w:rsidR="00C60B22" w:rsidP="00C60B22" w:rsidRDefault="00C60B22" w14:paraId="640D00BB" w14:textId="77777777">
      <w:pPr>
        <w:tabs>
          <w:tab w:val="left" w:pos="426"/>
        </w:tabs>
        <w:spacing w:line="240" w:lineRule="auto"/>
        <w:contextualSpacing/>
        <w:jc w:val="both"/>
        <w:rPr>
          <w:rFonts w:ascii="Arial" w:hAnsi="Arial" w:eastAsia="Times New Roman" w:cs="Arial"/>
          <w:bCs/>
          <w:sz w:val="20"/>
          <w:szCs w:val="20"/>
          <w:lang w:val="es-MX" w:eastAsia="es-CO"/>
        </w:rPr>
      </w:pPr>
      <w:r w:rsidRPr="00227C91">
        <w:rPr>
          <w:rFonts w:ascii="Arial" w:hAnsi="Arial" w:eastAsia="Calibri" w:cs="Arial"/>
          <w:noProof/>
          <w:sz w:val="20"/>
          <w:szCs w:val="20"/>
          <w:lang w:val="es-ES_tradnl"/>
        </w:rPr>
        <w:t xml:space="preserve">[…], </w:t>
      </w:r>
      <w:r w:rsidRPr="00227C91">
        <w:rPr>
          <w:rFonts w:ascii="Arial" w:hAnsi="Arial" w:eastAsia="Times New Roman" w:cs="Arial"/>
          <w:bCs/>
          <w:sz w:val="20"/>
          <w:szCs w:val="20"/>
          <w:lang w:val="es-MX" w:eastAsia="es-CO"/>
        </w:rPr>
        <w:t>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p>
    <w:p w:rsidRPr="00227C91" w:rsidR="00C60B22" w:rsidP="00C60B22" w:rsidRDefault="00C60B22" w14:paraId="61E1DFD9" w14:textId="77777777">
      <w:pPr>
        <w:tabs>
          <w:tab w:val="left" w:pos="426"/>
        </w:tabs>
        <w:spacing w:line="240" w:lineRule="auto"/>
        <w:contextualSpacing/>
        <w:jc w:val="both"/>
        <w:rPr>
          <w:rFonts w:ascii="Arial" w:hAnsi="Arial" w:eastAsia="Calibri" w:cs="Arial"/>
          <w:b/>
          <w:bCs/>
          <w:sz w:val="20"/>
          <w:szCs w:val="20"/>
          <w:lang w:val="es-MX"/>
        </w:rPr>
      </w:pPr>
    </w:p>
    <w:p w:rsidRPr="00227C91" w:rsidR="00C60B22" w:rsidP="00C60B22" w:rsidRDefault="00C60B22" w14:paraId="31556079" w14:textId="77777777">
      <w:pPr>
        <w:tabs>
          <w:tab w:val="left" w:pos="426"/>
        </w:tabs>
        <w:spacing w:line="240" w:lineRule="auto"/>
        <w:contextualSpacing/>
        <w:jc w:val="both"/>
        <w:rPr>
          <w:rFonts w:ascii="Arial" w:hAnsi="Arial" w:eastAsia="Calibri" w:cs="Arial"/>
          <w:b/>
          <w:bCs/>
          <w:lang w:val="es-MX"/>
        </w:rPr>
      </w:pPr>
      <w:r w:rsidRPr="00227C91">
        <w:rPr>
          <w:rFonts w:ascii="Arial" w:hAnsi="Arial" w:eastAsia="Calibri" w:cs="Arial"/>
          <w:b/>
          <w:bCs/>
          <w:lang w:val="es-MX"/>
        </w:rPr>
        <w:t>LEY DE GARANTÍAS ELECTORALES ‒</w:t>
      </w:r>
      <w:bookmarkEnd w:id="0"/>
      <w:r w:rsidRPr="00227C91">
        <w:rPr>
          <w:rFonts w:ascii="Arial" w:hAnsi="Arial" w:eastAsia="Calibri" w:cs="Arial"/>
          <w:b/>
          <w:bCs/>
          <w:lang w:val="es-MX"/>
        </w:rPr>
        <w:t xml:space="preserve"> Tipos de restricciones </w:t>
      </w:r>
      <w:bookmarkStart w:name="_Hlk77157034" w:id="3"/>
      <w:r w:rsidRPr="00227C91">
        <w:rPr>
          <w:rFonts w:ascii="Arial" w:hAnsi="Arial" w:eastAsia="Calibri" w:cs="Arial"/>
          <w:b/>
          <w:bCs/>
          <w:lang w:val="es-MX"/>
        </w:rPr>
        <w:t xml:space="preserve">‒ </w:t>
      </w:r>
      <w:bookmarkStart w:name="_Hlk77153098" w:id="4"/>
      <w:bookmarkEnd w:id="3"/>
      <w:r w:rsidRPr="00227C91">
        <w:rPr>
          <w:rFonts w:ascii="Arial" w:hAnsi="Arial" w:eastAsia="Calibri" w:cs="Arial"/>
          <w:b/>
          <w:bCs/>
          <w:lang w:val="es-MX"/>
        </w:rPr>
        <w:t xml:space="preserve">Ámbito temporal </w:t>
      </w:r>
      <w:bookmarkEnd w:id="4"/>
    </w:p>
    <w:p w:rsidRPr="00227C91" w:rsidR="00C60B22" w:rsidP="00C60B22" w:rsidRDefault="00C60B22" w14:paraId="3362D73A" w14:textId="77777777">
      <w:pPr>
        <w:tabs>
          <w:tab w:val="left" w:pos="426"/>
        </w:tabs>
        <w:spacing w:line="240" w:lineRule="auto"/>
        <w:contextualSpacing/>
        <w:jc w:val="both"/>
        <w:rPr>
          <w:rFonts w:ascii="Arial" w:hAnsi="Arial" w:eastAsia="Calibri" w:cs="Arial"/>
          <w:b/>
          <w:bCs/>
          <w:sz w:val="20"/>
          <w:szCs w:val="20"/>
          <w:lang w:val="es-MX"/>
        </w:rPr>
      </w:pPr>
    </w:p>
    <w:bookmarkEnd w:id="1"/>
    <w:p w:rsidRPr="00227C91" w:rsidR="00C60B22" w:rsidP="00C60B22" w:rsidRDefault="00C60B22" w14:paraId="71E79AAB" w14:textId="77777777">
      <w:pPr>
        <w:spacing w:line="240" w:lineRule="auto"/>
        <w:contextualSpacing/>
        <w:jc w:val="both"/>
        <w:rPr>
          <w:rFonts w:ascii="Arial" w:hAnsi="Arial" w:eastAsia="Arial" w:cs="Arial"/>
          <w:sz w:val="20"/>
          <w:szCs w:val="20"/>
          <w:lang w:val="es-ES" w:eastAsia="es-ES" w:bidi="es-ES"/>
        </w:rPr>
      </w:pPr>
      <w:r w:rsidRPr="00227C91">
        <w:rPr>
          <w:rFonts w:ascii="Arial" w:hAnsi="Arial" w:eastAsia="Calibri" w:cs="Arial"/>
          <w:noProof/>
          <w:sz w:val="20"/>
          <w:szCs w:val="20"/>
          <w:lang w:val="es-ES_tradnl"/>
        </w:rPr>
        <w:t xml:space="preserve">[…] </w:t>
      </w:r>
      <w:bookmarkStart w:name="_Hlk77165666" w:id="5"/>
      <w:r w:rsidRPr="00227C91">
        <w:rPr>
          <w:rFonts w:ascii="Arial" w:hAnsi="Arial" w:eastAsia="Arial" w:cs="Arial"/>
          <w:sz w:val="20"/>
          <w:szCs w:val="20"/>
          <w:lang w:val="es-ES" w:eastAsia="es-ES" w:bidi="es-ES"/>
        </w:rPr>
        <w:t xml:space="preserve">la Ley 996 de 2005 establece dos (2) tipos de restricciones en materia de contratación, las cuales coinciden parcialmente. </w:t>
      </w:r>
      <w:r w:rsidRPr="00227C91">
        <w:rPr>
          <w:rFonts w:ascii="Arial" w:hAnsi="Arial" w:eastAsia="Arial" w:cs="Arial"/>
          <w:i/>
          <w:iCs/>
          <w:sz w:val="20"/>
          <w:szCs w:val="20"/>
          <w:lang w:val="es-ES" w:eastAsia="es-ES" w:bidi="es-ES"/>
        </w:rPr>
        <w:t>En primer lugar</w:t>
      </w:r>
      <w:r w:rsidRPr="00227C91">
        <w:rPr>
          <w:rFonts w:ascii="Arial" w:hAnsi="Arial" w:eastAsia="Arial" w:cs="Arial"/>
          <w:sz w:val="20"/>
          <w:szCs w:val="20"/>
          <w:lang w:val="es-ES" w:eastAsia="es-ES" w:bidi="es-ES"/>
        </w:rPr>
        <w:t xml:space="preserve">,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227C91">
        <w:rPr>
          <w:rFonts w:ascii="Arial" w:hAnsi="Arial" w:eastAsia="Arial" w:cs="Arial"/>
          <w:i/>
          <w:iCs/>
          <w:sz w:val="20"/>
          <w:szCs w:val="20"/>
          <w:lang w:val="es-ES" w:eastAsia="es-ES" w:bidi="es-ES"/>
        </w:rPr>
        <w:t>En segundo lugar</w:t>
      </w:r>
      <w:r w:rsidRPr="00227C91">
        <w:rPr>
          <w:rFonts w:ascii="Arial" w:hAnsi="Arial" w:eastAsia="Arial" w:cs="Arial"/>
          <w:sz w:val="20"/>
          <w:szCs w:val="20"/>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rsidRPr="00227C91" w:rsidR="00C60B22" w:rsidP="00C60B22" w:rsidRDefault="00C60B22" w14:paraId="5D2580B7" w14:textId="77777777">
      <w:pPr>
        <w:tabs>
          <w:tab w:val="left" w:pos="426"/>
        </w:tabs>
        <w:spacing w:after="0" w:line="240" w:lineRule="auto"/>
        <w:ind w:left="426" w:hanging="426"/>
        <w:contextualSpacing/>
        <w:jc w:val="both"/>
        <w:rPr>
          <w:rFonts w:ascii="Arial" w:hAnsi="Arial" w:eastAsia="Calibri" w:cs="Arial"/>
          <w:b/>
          <w:bCs/>
          <w:sz w:val="20"/>
          <w:szCs w:val="20"/>
          <w:lang w:val="es-MX"/>
        </w:rPr>
      </w:pPr>
    </w:p>
    <w:p w:rsidRPr="00227C91" w:rsidR="00C60B22" w:rsidP="00C60B22" w:rsidRDefault="00C60B22" w14:paraId="02C7CA38" w14:textId="77777777">
      <w:pPr>
        <w:tabs>
          <w:tab w:val="left" w:pos="426"/>
        </w:tabs>
        <w:spacing w:after="0" w:line="240" w:lineRule="auto"/>
        <w:ind w:left="426" w:hanging="426"/>
        <w:contextualSpacing/>
        <w:jc w:val="both"/>
        <w:rPr>
          <w:rFonts w:ascii="Arial" w:hAnsi="Arial" w:eastAsia="Calibri" w:cs="Arial"/>
          <w:b/>
          <w:bCs/>
          <w:lang w:val="es-MX"/>
        </w:rPr>
      </w:pPr>
      <w:r w:rsidRPr="00227C91">
        <w:rPr>
          <w:rFonts w:ascii="Arial" w:hAnsi="Arial" w:eastAsia="Calibri" w:cs="Arial"/>
          <w:b/>
          <w:bCs/>
          <w:lang w:val="es-MX"/>
        </w:rPr>
        <w:t xml:space="preserve">LEY DE GARANTÍAS ELECTORALES ─ Prohibición ‒ </w:t>
      </w:r>
      <w:bookmarkEnd w:id="5"/>
      <w:r w:rsidRPr="00227C91">
        <w:rPr>
          <w:rFonts w:ascii="Arial" w:hAnsi="Arial" w:eastAsia="Calibri" w:cs="Arial"/>
          <w:b/>
          <w:bCs/>
          <w:lang w:val="es-MX"/>
        </w:rPr>
        <w:t xml:space="preserve">Contratación directa ‒ Alcance </w:t>
      </w:r>
    </w:p>
    <w:p w:rsidRPr="00227C91" w:rsidR="00C60B22" w:rsidP="00C60B22" w:rsidRDefault="00C60B22" w14:paraId="45A582BC" w14:textId="77777777">
      <w:pPr>
        <w:tabs>
          <w:tab w:val="left" w:pos="426"/>
        </w:tabs>
        <w:spacing w:line="240" w:lineRule="auto"/>
        <w:contextualSpacing/>
        <w:jc w:val="both"/>
        <w:rPr>
          <w:rFonts w:ascii="Arial" w:hAnsi="Arial" w:eastAsia="Calibri" w:cs="Arial"/>
          <w:noProof/>
          <w:sz w:val="20"/>
          <w:szCs w:val="20"/>
          <w:lang w:val="es-MX"/>
        </w:rPr>
      </w:pPr>
    </w:p>
    <w:p w:rsidRPr="00227C91" w:rsidR="00C60B22" w:rsidP="00C60B22" w:rsidRDefault="00C60B22" w14:paraId="79954F92" w14:textId="77777777">
      <w:pPr>
        <w:spacing w:line="240" w:lineRule="auto"/>
        <w:contextualSpacing/>
        <w:jc w:val="both"/>
        <w:rPr>
          <w:rFonts w:ascii="Arial" w:hAnsi="Arial" w:eastAsia="Times New Roman" w:cs="Arial"/>
          <w:bCs/>
          <w:sz w:val="20"/>
          <w:szCs w:val="20"/>
          <w:lang w:val="es-MX" w:eastAsia="x-none"/>
        </w:rPr>
      </w:pPr>
      <w:r w:rsidRPr="00227C91">
        <w:rPr>
          <w:rFonts w:ascii="Arial" w:hAnsi="Arial" w:eastAsia="Calibri" w:cs="Arial"/>
          <w:noProof/>
          <w:sz w:val="20"/>
          <w:szCs w:val="20"/>
          <w:lang w:val="es-ES_tradnl"/>
        </w:rPr>
        <w:t xml:space="preserve">[…] </w:t>
      </w:r>
      <w:r w:rsidRPr="00227C91">
        <w:rPr>
          <w:rFonts w:ascii="Arial" w:hAnsi="Arial" w:eastAsia="Times New Roman" w:cs="Arial"/>
          <w:bCs/>
          <w:sz w:val="20"/>
          <w:szCs w:val="20"/>
          <w:lang w:val="es-MX" w:eastAsia="x-none"/>
        </w:rPr>
        <w:t>ha de entenderse que, para los efectos de la Ley de Garantías Electorales y, en particular, para la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227C91">
        <w:rPr>
          <w:rFonts w:ascii="Arial" w:hAnsi="Arial" w:eastAsia="Times New Roman" w:cs="Arial"/>
          <w:sz w:val="20"/>
          <w:szCs w:val="20"/>
          <w:vertAlign w:val="superscript"/>
          <w:lang w:eastAsia="x-none"/>
        </w:rPr>
        <w:t xml:space="preserve"> </w:t>
      </w:r>
    </w:p>
    <w:p w:rsidRPr="00227C91" w:rsidR="00C60B22" w:rsidP="00C60B22" w:rsidRDefault="00C60B22" w14:paraId="701A8CBF" w14:textId="77777777">
      <w:pPr>
        <w:spacing w:line="240" w:lineRule="auto"/>
        <w:contextualSpacing/>
        <w:jc w:val="both"/>
        <w:rPr>
          <w:rFonts w:ascii="Arial" w:hAnsi="Arial" w:eastAsia="Times New Roman" w:cs="Arial"/>
          <w:bCs/>
          <w:sz w:val="20"/>
          <w:szCs w:val="20"/>
          <w:lang w:val="es-MX" w:eastAsia="x-none"/>
        </w:rPr>
      </w:pPr>
    </w:p>
    <w:p w:rsidRPr="00227C91" w:rsidR="00C60B22" w:rsidP="00C60B22" w:rsidRDefault="00C60B22" w14:paraId="45966D34" w14:textId="77777777">
      <w:pPr>
        <w:spacing w:line="240" w:lineRule="auto"/>
        <w:contextualSpacing/>
        <w:jc w:val="both"/>
        <w:rPr>
          <w:rFonts w:ascii="Arial" w:hAnsi="Arial" w:eastAsia="Times New Roman" w:cs="Arial"/>
          <w:sz w:val="20"/>
          <w:szCs w:val="20"/>
          <w:lang w:eastAsia="x-none"/>
        </w:rPr>
      </w:pPr>
      <w:r w:rsidRPr="00227C91">
        <w:rPr>
          <w:rFonts w:ascii="Arial" w:hAnsi="Arial" w:eastAsia="Times New Roman" w:cs="Arial"/>
          <w:bCs/>
          <w:sz w:val="20"/>
          <w:szCs w:val="20"/>
          <w:lang w:val="es-MX" w:eastAsia="x-none"/>
        </w:rPr>
        <w:t>De lo anterior se desprende que la restricción aplica, sin perjuicio de las excepciones establecidas en la misma ley, para celebrar cualquier contrato de forma directa, esto es, sin que exista un proceso abierto y competitivo.</w:t>
      </w:r>
      <w:r w:rsidRPr="00227C91">
        <w:rPr>
          <w:rFonts w:ascii="Arial" w:hAnsi="Arial" w:eastAsia="Times New Roman" w:cs="Arial"/>
          <w:sz w:val="20"/>
          <w:szCs w:val="20"/>
          <w:lang w:eastAsia="x-none"/>
        </w:rPr>
        <w:t xml:space="preserve"> Por tanto, no son materia de la prohibición las demás modalidades de selección previstas en la Ley 1150 de 2007, es decir, la licitación pública, el concurso de méritos y la selección abreviada, razón por la cual en ese período preelectoral de que trata la disposición las entidades públicas pueden seguir contratando bajo estos sistemas.</w:t>
      </w:r>
    </w:p>
    <w:p w:rsidRPr="00227C91" w:rsidR="00C60B22" w:rsidP="00C60B22" w:rsidRDefault="00C60B22" w14:paraId="36E83A6F" w14:textId="77777777">
      <w:pPr>
        <w:spacing w:line="240" w:lineRule="auto"/>
        <w:contextualSpacing/>
        <w:jc w:val="both"/>
        <w:rPr>
          <w:rFonts w:ascii="Arial" w:hAnsi="Arial" w:eastAsia="Times New Roman" w:cs="Arial"/>
          <w:lang w:eastAsia="x-none"/>
        </w:rPr>
      </w:pPr>
    </w:p>
    <w:p w:rsidRPr="00227C91" w:rsidR="00C60B22" w:rsidP="00C60B22" w:rsidRDefault="00C60B22" w14:paraId="0616864D" w14:textId="77777777">
      <w:pPr>
        <w:tabs>
          <w:tab w:val="left" w:pos="426"/>
        </w:tabs>
        <w:spacing w:line="240" w:lineRule="auto"/>
        <w:contextualSpacing/>
        <w:jc w:val="both"/>
        <w:rPr>
          <w:rFonts w:ascii="Arial" w:hAnsi="Arial" w:eastAsia="Calibri" w:cs="Arial"/>
          <w:b/>
          <w:bCs/>
          <w:sz w:val="20"/>
          <w:szCs w:val="20"/>
          <w:lang w:val="es-MX"/>
        </w:rPr>
      </w:pPr>
      <w:r w:rsidRPr="00227C91">
        <w:rPr>
          <w:rFonts w:ascii="Arial" w:hAnsi="Arial" w:eastAsia="Calibri" w:cs="Arial"/>
          <w:b/>
          <w:bCs/>
          <w:lang w:val="es-MX"/>
        </w:rPr>
        <w:t xml:space="preserve">LEY DE GARANTÍAS ELECTORALES ─ Prohibición ‒ Contratación directa ‒ </w:t>
      </w:r>
      <w:r w:rsidRPr="00227C91">
        <w:rPr>
          <w:rFonts w:ascii="Arial" w:hAnsi="Arial" w:eastAsia="Times New Roman" w:cs="Arial"/>
          <w:b/>
          <w:bCs/>
          <w:lang w:eastAsia="es-CO"/>
        </w:rPr>
        <w:t>Excepciones</w:t>
      </w:r>
      <w:r w:rsidRPr="00227C91">
        <w:rPr>
          <w:rFonts w:ascii="Arial" w:hAnsi="Arial" w:eastAsia="Calibri" w:cs="Arial"/>
          <w:b/>
          <w:bCs/>
          <w:lang w:val="es-MX"/>
        </w:rPr>
        <w:t xml:space="preserve"> </w:t>
      </w:r>
    </w:p>
    <w:p w:rsidRPr="00227C91" w:rsidR="00C60B22" w:rsidP="00C60B22" w:rsidRDefault="00C60B22" w14:paraId="292AE083" w14:textId="77777777">
      <w:pPr>
        <w:tabs>
          <w:tab w:val="left" w:pos="426"/>
        </w:tabs>
        <w:spacing w:line="240" w:lineRule="auto"/>
        <w:contextualSpacing/>
        <w:jc w:val="both"/>
        <w:rPr>
          <w:rFonts w:ascii="Arial" w:hAnsi="Arial" w:eastAsia="Times New Roman" w:cs="Arial"/>
          <w:sz w:val="20"/>
          <w:szCs w:val="20"/>
          <w:lang w:eastAsia="x-none"/>
        </w:rPr>
      </w:pPr>
    </w:p>
    <w:p w:rsidRPr="00227C91" w:rsidR="00C60B22" w:rsidP="00C60B22" w:rsidRDefault="00C60B22" w14:paraId="6CF3BF54" w14:textId="77777777">
      <w:pPr>
        <w:spacing w:line="240" w:lineRule="auto"/>
        <w:contextualSpacing/>
        <w:jc w:val="both"/>
        <w:rPr>
          <w:rFonts w:ascii="Arial" w:hAnsi="Arial" w:eastAsia="Times New Roman" w:cs="Arial"/>
          <w:bCs/>
          <w:sz w:val="20"/>
          <w:szCs w:val="20"/>
          <w:lang w:val="es-MX" w:eastAsia="es-CO"/>
        </w:rPr>
      </w:pPr>
      <w:r w:rsidRPr="00227C91">
        <w:rPr>
          <w:rFonts w:ascii="Arial" w:hAnsi="Arial" w:eastAsia="Calibri" w:cs="Arial"/>
          <w:noProof/>
          <w:sz w:val="20"/>
          <w:szCs w:val="20"/>
          <w:lang w:val="es-ES_tradnl"/>
        </w:rPr>
        <w:t xml:space="preserve">[…] </w:t>
      </w:r>
      <w:r w:rsidRPr="00227C91">
        <w:rPr>
          <w:rFonts w:ascii="Arial" w:hAnsi="Arial" w:eastAsia="Times New Roman" w:cs="Arial"/>
          <w:bCs/>
          <w:sz w:val="20"/>
          <w:szCs w:val="20"/>
          <w:lang w:val="es-MX" w:eastAsia="x-none"/>
        </w:rPr>
        <w:t xml:space="preserve">las excepciones a la restricción prevista en la Ley de Garantías Electorales, con fundamento en las cuales podrán las entidades públicas adelantar procedimientos de selección directa en períodos previos a la contienda electoral por la Presidencia, se encuentran consagradas de manera taxativa en el inciso final del citado artículo 33 de la Ley 996 de 2005 en lo referente a: i) la defensa y seguridad del Estado; </w:t>
      </w:r>
      <w:proofErr w:type="spellStart"/>
      <w:r w:rsidRPr="00227C91">
        <w:rPr>
          <w:rFonts w:ascii="Arial" w:hAnsi="Arial" w:eastAsia="Times New Roman" w:cs="Arial"/>
          <w:bCs/>
          <w:sz w:val="20"/>
          <w:szCs w:val="20"/>
          <w:lang w:val="es-MX" w:eastAsia="x-none"/>
        </w:rPr>
        <w:t>ii</w:t>
      </w:r>
      <w:proofErr w:type="spellEnd"/>
      <w:r w:rsidRPr="00227C91">
        <w:rPr>
          <w:rFonts w:ascii="Arial" w:hAnsi="Arial" w:eastAsia="Times New Roman" w:cs="Arial"/>
          <w:bCs/>
          <w:sz w:val="20"/>
          <w:szCs w:val="20"/>
          <w:lang w:val="es-MX" w:eastAsia="x-none"/>
        </w:rPr>
        <w:t xml:space="preserve">) los contratos de crédito público; </w:t>
      </w:r>
      <w:proofErr w:type="spellStart"/>
      <w:r w:rsidRPr="00227C91">
        <w:rPr>
          <w:rFonts w:ascii="Arial" w:hAnsi="Arial" w:eastAsia="Times New Roman" w:cs="Arial"/>
          <w:bCs/>
          <w:sz w:val="20"/>
          <w:szCs w:val="20"/>
          <w:lang w:val="es-MX" w:eastAsia="x-none"/>
        </w:rPr>
        <w:t>iii</w:t>
      </w:r>
      <w:proofErr w:type="spellEnd"/>
      <w:r w:rsidRPr="00227C91">
        <w:rPr>
          <w:rFonts w:ascii="Arial" w:hAnsi="Arial" w:eastAsia="Times New Roman" w:cs="Arial"/>
          <w:bCs/>
          <w:sz w:val="20"/>
          <w:szCs w:val="20"/>
          <w:lang w:val="es-MX" w:eastAsia="x-none"/>
        </w:rPr>
        <w:t xml:space="preserve">) los requeridos para cubrir las </w:t>
      </w:r>
      <w:r w:rsidRPr="00227C91">
        <w:rPr>
          <w:rFonts w:ascii="Arial" w:hAnsi="Arial" w:eastAsia="Times New Roman" w:cs="Arial"/>
          <w:bCs/>
          <w:sz w:val="20"/>
          <w:szCs w:val="20"/>
          <w:lang w:val="es-MX" w:eastAsia="x-none"/>
        </w:rPr>
        <w:t xml:space="preserve">emergencias educativas, sanitarias y desastres; </w:t>
      </w:r>
      <w:proofErr w:type="spellStart"/>
      <w:r w:rsidRPr="00227C91">
        <w:rPr>
          <w:rFonts w:ascii="Arial" w:hAnsi="Arial" w:eastAsia="Times New Roman" w:cs="Arial"/>
          <w:bCs/>
          <w:sz w:val="20"/>
          <w:szCs w:val="20"/>
          <w:lang w:val="es-MX" w:eastAsia="x-none"/>
        </w:rPr>
        <w:t>iv</w:t>
      </w:r>
      <w:proofErr w:type="spellEnd"/>
      <w:r w:rsidRPr="00227C91">
        <w:rPr>
          <w:rFonts w:ascii="Arial" w:hAnsi="Arial" w:eastAsia="Times New Roman" w:cs="Arial"/>
          <w:bCs/>
          <w:sz w:val="20"/>
          <w:szCs w:val="20"/>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227C91">
        <w:rPr>
          <w:rFonts w:ascii="Arial" w:hAnsi="Arial" w:eastAsia="Times New Roman" w:cs="Arial"/>
          <w:bCs/>
          <w:sz w:val="20"/>
          <w:szCs w:val="20"/>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rsidRPr="00227C91" w:rsidR="00C60B22" w:rsidP="00C60B22" w:rsidRDefault="00C60B22" w14:paraId="5DFFED21" w14:textId="77777777">
      <w:pPr>
        <w:spacing w:line="240" w:lineRule="auto"/>
        <w:contextualSpacing/>
        <w:jc w:val="both"/>
        <w:rPr>
          <w:rFonts w:ascii="Arial" w:hAnsi="Arial" w:eastAsia="Times New Roman" w:cs="Arial"/>
          <w:bCs/>
          <w:sz w:val="20"/>
          <w:szCs w:val="20"/>
          <w:lang w:val="es-MX" w:eastAsia="es-CO"/>
        </w:rPr>
      </w:pPr>
    </w:p>
    <w:p w:rsidRPr="00227C91" w:rsidR="00C60B22" w:rsidP="00C60B22" w:rsidRDefault="00C60B22" w14:paraId="3E38EF51" w14:textId="77777777">
      <w:pPr>
        <w:spacing w:line="240" w:lineRule="auto"/>
        <w:contextualSpacing/>
        <w:jc w:val="both"/>
        <w:rPr>
          <w:rFonts w:ascii="Arial" w:hAnsi="Arial" w:eastAsia="Times New Roman" w:cs="Arial"/>
          <w:b/>
          <w:lang w:val="es-ES" w:eastAsia="es-CO"/>
        </w:rPr>
      </w:pPr>
      <w:r w:rsidRPr="00227C91">
        <w:rPr>
          <w:rFonts w:ascii="Arial" w:hAnsi="Arial" w:eastAsia="Times New Roman" w:cs="Arial"/>
          <w:b/>
          <w:bCs/>
          <w:lang w:eastAsia="es-CO"/>
        </w:rPr>
        <w:t xml:space="preserve">LEY DE GARANTÍAS ELECTORALES </w:t>
      </w:r>
      <w:bookmarkStart w:name="_Hlk77166669" w:id="6"/>
      <w:r w:rsidRPr="00227C91">
        <w:rPr>
          <w:rFonts w:ascii="Arial" w:hAnsi="Arial" w:eastAsia="Times New Roman" w:cs="Arial"/>
          <w:b/>
          <w:bCs/>
          <w:lang w:eastAsia="es-CO"/>
        </w:rPr>
        <w:t>‒</w:t>
      </w:r>
      <w:bookmarkEnd w:id="6"/>
      <w:r w:rsidRPr="00227C91">
        <w:rPr>
          <w:rFonts w:ascii="Arial" w:hAnsi="Arial" w:eastAsia="Times New Roman" w:cs="Arial"/>
          <w:b/>
          <w:bCs/>
          <w:lang w:eastAsia="es-CO"/>
        </w:rPr>
        <w:t xml:space="preserve"> </w:t>
      </w:r>
      <w:r w:rsidRPr="00227C91">
        <w:rPr>
          <w:rFonts w:ascii="Arial" w:hAnsi="Arial" w:eastAsia="Times New Roman" w:cs="Arial"/>
          <w:b/>
          <w:lang w:val="es-ES" w:eastAsia="es-CO"/>
        </w:rPr>
        <w:t xml:space="preserve">Prohibición del artículo 33 </w:t>
      </w:r>
      <w:r w:rsidRPr="00227C91">
        <w:rPr>
          <w:rFonts w:ascii="Arial" w:hAnsi="Arial" w:eastAsia="Times New Roman" w:cs="Arial"/>
          <w:b/>
          <w:bCs/>
          <w:lang w:eastAsia="es-CO"/>
        </w:rPr>
        <w:t>‒ Destinatarios</w:t>
      </w:r>
    </w:p>
    <w:p w:rsidRPr="00227C91" w:rsidR="00C60B22" w:rsidP="00C60B22" w:rsidRDefault="00C60B22" w14:paraId="2941D895" w14:textId="77777777">
      <w:pPr>
        <w:tabs>
          <w:tab w:val="left" w:pos="426"/>
        </w:tabs>
        <w:spacing w:line="240" w:lineRule="auto"/>
        <w:contextualSpacing/>
        <w:jc w:val="both"/>
        <w:rPr>
          <w:rFonts w:ascii="Arial" w:hAnsi="Arial" w:eastAsia="Calibri" w:cs="Arial"/>
          <w:noProof/>
          <w:sz w:val="20"/>
          <w:szCs w:val="20"/>
          <w:lang w:val="es-ES"/>
        </w:rPr>
      </w:pPr>
    </w:p>
    <w:p w:rsidRPr="00227C91" w:rsidR="00C60B22" w:rsidP="00C60B22" w:rsidRDefault="00C60B22" w14:paraId="5E1EA405" w14:textId="77777777">
      <w:pPr>
        <w:tabs>
          <w:tab w:val="left" w:pos="426"/>
        </w:tabs>
        <w:spacing w:line="240" w:lineRule="auto"/>
        <w:contextualSpacing/>
        <w:jc w:val="both"/>
        <w:rPr>
          <w:rFonts w:ascii="Arial" w:hAnsi="Arial" w:eastAsia="Times New Roman" w:cs="Arial"/>
          <w:bCs/>
          <w:sz w:val="20"/>
          <w:szCs w:val="20"/>
          <w:lang w:val="es-MX" w:eastAsia="x-none"/>
        </w:rPr>
      </w:pPr>
      <w:r w:rsidRPr="00227C91">
        <w:rPr>
          <w:rFonts w:ascii="Arial" w:hAnsi="Arial" w:eastAsia="Times New Roman" w:cs="Arial"/>
          <w:bCs/>
          <w:sz w:val="20"/>
          <w:szCs w:val="20"/>
          <w:lang w:val="es-MX" w:eastAsia="x-none"/>
        </w:rPr>
        <w:t>El artículo 33 de la Ley 996 de 2005 señala expresamente a los destinatarios de la prohibición, en el sentido de que son “todos los entes del Estado”, expresión que contempla a los diferentes organismos o entidades autorizadas por la ley para suscribir contratos.</w:t>
      </w:r>
      <w:r w:rsidRPr="00227C91">
        <w:rPr>
          <w:rFonts w:ascii="Arial" w:hAnsi="Arial" w:eastAsia="Calibri" w:cs="Arial"/>
          <w:sz w:val="20"/>
          <w:szCs w:val="20"/>
          <w:lang w:val="es-MX"/>
        </w:rPr>
        <w:t xml:space="preserve"> </w:t>
      </w:r>
      <w:r w:rsidRPr="00227C91">
        <w:rPr>
          <w:rFonts w:ascii="Arial" w:hAnsi="Arial" w:eastAsia="Times New Roman" w:cs="Arial"/>
          <w:bCs/>
          <w:sz w:val="20"/>
          <w:szCs w:val="20"/>
          <w:lang w:val="es-MX" w:eastAsia="x-none"/>
        </w:rPr>
        <w:t>En efecto, como ha sostenido el Consejo de Estado, el vocablo “todos” utilizado por el legislador comprende</w:t>
      </w:r>
      <w:r w:rsidRPr="00227C91">
        <w:rPr>
          <w:rFonts w:ascii="Arial" w:hAnsi="Arial" w:eastAsia="Calibri" w:cs="Arial"/>
          <w:sz w:val="20"/>
          <w:szCs w:val="20"/>
          <w:lang w:val="es-MX"/>
        </w:rPr>
        <w:t xml:space="preserve"> </w:t>
      </w:r>
      <w:r w:rsidRPr="00227C91">
        <w:rPr>
          <w:rFonts w:ascii="Arial" w:hAnsi="Arial" w:eastAsia="Times New Roman" w:cs="Arial"/>
          <w:bCs/>
          <w:sz w:val="20"/>
          <w:szCs w:val="20"/>
          <w:lang w:val="es-MX" w:eastAsia="x-none"/>
        </w:rPr>
        <w:t>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p>
    <w:p w:rsidRPr="00227C91" w:rsidR="00C60B22" w:rsidP="00C60B22" w:rsidRDefault="00C60B22" w14:paraId="58873020" w14:textId="77777777">
      <w:pPr>
        <w:tabs>
          <w:tab w:val="left" w:pos="426"/>
        </w:tabs>
        <w:spacing w:line="240" w:lineRule="auto"/>
        <w:contextualSpacing/>
        <w:jc w:val="both"/>
        <w:rPr>
          <w:rFonts w:ascii="Arial" w:hAnsi="Arial" w:eastAsia="Calibri" w:cs="Arial"/>
          <w:sz w:val="20"/>
          <w:szCs w:val="20"/>
          <w:lang w:val="es-MX"/>
        </w:rPr>
      </w:pPr>
    </w:p>
    <w:p w:rsidRPr="00227C91" w:rsidR="00C60B22" w:rsidP="00C60B22" w:rsidRDefault="00C60B22" w14:paraId="554E336F" w14:textId="77777777">
      <w:pPr>
        <w:tabs>
          <w:tab w:val="left" w:pos="426"/>
        </w:tabs>
        <w:spacing w:line="240" w:lineRule="auto"/>
        <w:contextualSpacing/>
        <w:jc w:val="both"/>
        <w:rPr>
          <w:rFonts w:ascii="Arial" w:hAnsi="Arial" w:eastAsia="Calibri" w:cs="Arial"/>
          <w:b/>
          <w:bCs/>
          <w:lang w:val="es-MX"/>
        </w:rPr>
      </w:pPr>
      <w:r w:rsidRPr="00227C91">
        <w:rPr>
          <w:rFonts w:ascii="Arial" w:hAnsi="Arial" w:eastAsia="Calibri" w:cs="Arial"/>
          <w:b/>
          <w:bCs/>
          <w:lang w:val="es-MX"/>
        </w:rPr>
        <w:t xml:space="preserve">LEY DE GARANTÍAS ELECTORALES ‒ Prohibición por elección de cargos populares – Convenios y contratos interadministrativos </w:t>
      </w:r>
      <w:r w:rsidRPr="00227C91">
        <w:rPr>
          <w:rFonts w:ascii="Arial" w:hAnsi="Arial" w:eastAsia="Calibri" w:cs="Arial"/>
          <w:b/>
          <w:lang w:val="es-MX"/>
        </w:rPr>
        <w:t>– Definición – Criterio orgánico</w:t>
      </w:r>
    </w:p>
    <w:p w:rsidRPr="00227C91" w:rsidR="00C60B22" w:rsidP="00C60B22" w:rsidRDefault="00C60B22" w14:paraId="3418142C" w14:textId="77777777">
      <w:pPr>
        <w:tabs>
          <w:tab w:val="left" w:pos="426"/>
        </w:tabs>
        <w:spacing w:line="240" w:lineRule="auto"/>
        <w:contextualSpacing/>
        <w:jc w:val="both"/>
        <w:rPr>
          <w:rFonts w:ascii="Arial" w:hAnsi="Arial" w:eastAsia="Calibri" w:cs="Arial"/>
          <w:sz w:val="20"/>
          <w:szCs w:val="20"/>
          <w:lang w:val="es-MX"/>
        </w:rPr>
      </w:pPr>
    </w:p>
    <w:p w:rsidRPr="00227C91" w:rsidR="00C60B22" w:rsidP="00C60B22" w:rsidRDefault="00C60B22" w14:paraId="1ACAB693" w14:textId="77777777">
      <w:pPr>
        <w:tabs>
          <w:tab w:val="left" w:pos="426"/>
        </w:tabs>
        <w:spacing w:line="240" w:lineRule="auto"/>
        <w:contextualSpacing/>
        <w:jc w:val="both"/>
        <w:rPr>
          <w:rFonts w:ascii="Arial" w:hAnsi="Arial" w:eastAsia="Calibri" w:cs="Arial"/>
          <w:sz w:val="20"/>
          <w:szCs w:val="20"/>
          <w:lang w:val="es-MX"/>
        </w:rPr>
      </w:pPr>
      <w:r w:rsidRPr="00227C91">
        <w:rPr>
          <w:rFonts w:ascii="Arial" w:hAnsi="Arial" w:eastAsia="Calibri" w:cs="Arial"/>
          <w:sz w:val="20"/>
          <w:szCs w:val="20"/>
          <w:lang w:val="es-MX"/>
        </w:rPr>
        <w:t xml:space="preserve">Los convenios o contratos interadministrativos que se restringen en el parágrafo del artículo 38 de la Ley 996 de 2005, son únicamente aquellos en que se dispone la ejecución de recursos públicos, para evitar que mediante la suscripción de estos se comprometa el erario con fines políticos o partidistas. </w:t>
      </w:r>
    </w:p>
    <w:p w:rsidRPr="00227C91" w:rsidR="00C60B22" w:rsidP="00C60B22" w:rsidRDefault="00C60B22" w14:paraId="6DCAF007" w14:textId="77777777">
      <w:pPr>
        <w:tabs>
          <w:tab w:val="left" w:pos="426"/>
        </w:tabs>
        <w:spacing w:line="240" w:lineRule="auto"/>
        <w:contextualSpacing/>
        <w:jc w:val="both"/>
        <w:rPr>
          <w:rFonts w:ascii="Arial" w:hAnsi="Arial" w:eastAsia="Calibri" w:cs="Arial"/>
          <w:sz w:val="20"/>
          <w:szCs w:val="20"/>
          <w:lang w:val="es-MX"/>
        </w:rPr>
      </w:pPr>
    </w:p>
    <w:p w:rsidRPr="00227C91" w:rsidR="00C60B22" w:rsidP="00C60B22" w:rsidRDefault="00C60B22" w14:paraId="1D673973" w14:textId="77777777">
      <w:pPr>
        <w:widowControl w:val="0"/>
        <w:autoSpaceDE w:val="0"/>
        <w:autoSpaceDN w:val="0"/>
        <w:spacing w:line="240" w:lineRule="auto"/>
        <w:contextualSpacing/>
        <w:jc w:val="both"/>
        <w:rPr>
          <w:rFonts w:ascii="Arial" w:hAnsi="Arial" w:eastAsia="Arial" w:cs="Arial"/>
          <w:sz w:val="20"/>
          <w:szCs w:val="20"/>
          <w:lang w:val="es-ES" w:eastAsia="es-ES" w:bidi="es-ES"/>
        </w:rPr>
      </w:pPr>
      <w:r w:rsidRPr="00227C91">
        <w:rPr>
          <w:rFonts w:ascii="Arial" w:hAnsi="Arial" w:eastAsia="Calibri" w:cs="Arial"/>
          <w:sz w:val="20"/>
          <w:szCs w:val="20"/>
          <w:lang w:val="es-MX"/>
        </w:rPr>
        <w:t xml:space="preserve">[…] </w:t>
      </w:r>
      <w:r w:rsidRPr="00227C91">
        <w:rPr>
          <w:rFonts w:ascii="Arial" w:hAnsi="Arial" w:eastAsia="Calibri" w:cs="Arial"/>
          <w:bCs/>
          <w:sz w:val="20"/>
          <w:szCs w:val="20"/>
          <w:lang w:eastAsia="es-ES" w:bidi="es-ES"/>
        </w:rPr>
        <w:t xml:space="preserve">para determinar el alcance de la prohibición consagrada por la Ley de Garantías Electorales, conviene precisar la tipología de convenios o contratos interadministrativos. </w:t>
      </w:r>
      <w:r w:rsidRPr="00227C91">
        <w:rPr>
          <w:rFonts w:ascii="Arial" w:hAnsi="Arial" w:eastAsia="Arial" w:cs="Arial"/>
          <w:sz w:val="20"/>
          <w:szCs w:val="20"/>
          <w:lang w:val="es-ES" w:eastAsia="es-ES" w:bidi="es-ES"/>
        </w:rPr>
        <w:t>Aunque la ley no la definió ni desarrolló, el Decreto 1082 de 2015 califica a los convenios o contratos interadministrativos como aquella contratación entre entidades estatales. De acuerdo con lo anterior, el contrato o el convenio interadministrativo es el acuerdo donde concurre la voluntad de dos o más personas jurídicas de derecho público con la finalidad de cumplir, en el marco de sus objetivos misionales y sus competencias, con los fines del Estado. Es decir, los contratos o convenios interadministrativos están determinados por un criterio orgánico, pues es necesario que los extremos de la relación contractual sean entidades</w:t>
      </w:r>
      <w:r w:rsidRPr="00227C91">
        <w:rPr>
          <w:rFonts w:ascii="Arial" w:hAnsi="Arial" w:eastAsia="Arial" w:cs="Arial"/>
          <w:spacing w:val="-6"/>
          <w:sz w:val="20"/>
          <w:szCs w:val="20"/>
          <w:lang w:val="es-ES" w:eastAsia="es-ES" w:bidi="es-ES"/>
        </w:rPr>
        <w:t xml:space="preserve"> </w:t>
      </w:r>
      <w:r w:rsidRPr="00227C91">
        <w:rPr>
          <w:rFonts w:ascii="Arial" w:hAnsi="Arial" w:eastAsia="Arial" w:cs="Arial"/>
          <w:sz w:val="20"/>
          <w:szCs w:val="20"/>
          <w:lang w:val="es-ES" w:eastAsia="es-ES" w:bidi="es-ES"/>
        </w:rPr>
        <w:t>estatales.</w:t>
      </w:r>
      <w:bookmarkEnd w:id="2"/>
    </w:p>
    <w:p w:rsidR="00C60B22" w:rsidP="00C60B22" w:rsidRDefault="00C60B22" w14:paraId="1C13C2D4" w14:textId="77777777">
      <w:pPr>
        <w:spacing w:after="0" w:line="240" w:lineRule="auto"/>
        <w:jc w:val="both"/>
        <w:rPr>
          <w:rFonts w:ascii="Arial" w:hAnsi="Arial" w:eastAsia="Arial" w:cs="Arial"/>
          <w:b/>
          <w:color w:val="000000"/>
          <w:lang w:eastAsia="es-CO"/>
        </w:rPr>
      </w:pPr>
    </w:p>
    <w:p w:rsidR="00C60B22" w:rsidP="00C60B22" w:rsidRDefault="00C60B22" w14:paraId="3D25EE85" w14:textId="77777777">
      <w:pPr>
        <w:spacing w:after="0" w:line="240" w:lineRule="auto"/>
        <w:jc w:val="both"/>
        <w:rPr>
          <w:rFonts w:ascii="Arial" w:hAnsi="Arial" w:eastAsia="Arial" w:cs="Arial"/>
          <w:b/>
          <w:color w:val="000000"/>
          <w:lang w:eastAsia="es-CO"/>
        </w:rPr>
      </w:pPr>
      <w:r>
        <w:rPr>
          <w:rFonts w:ascii="Arial" w:hAnsi="Arial" w:eastAsia="Arial" w:cs="Arial"/>
          <w:b/>
          <w:color w:val="000000"/>
          <w:lang w:eastAsia="es-CO"/>
        </w:rPr>
        <w:t>CONTRATOS DE CRÉDITO PÚBLICO – Definición - Alcance Legal</w:t>
      </w:r>
    </w:p>
    <w:p w:rsidRPr="007B3060" w:rsidR="00C60B22" w:rsidP="00C60B22" w:rsidRDefault="00C60B22" w14:paraId="733C444C" w14:textId="77777777">
      <w:pPr>
        <w:spacing w:after="0" w:line="240" w:lineRule="auto"/>
        <w:jc w:val="both"/>
        <w:rPr>
          <w:rFonts w:ascii="Arial" w:hAnsi="Arial" w:eastAsia="Arial" w:cs="Arial"/>
          <w:b/>
          <w:color w:val="000000"/>
          <w:lang w:eastAsia="es-CO"/>
        </w:rPr>
      </w:pPr>
    </w:p>
    <w:p w:rsidR="00C60B22" w:rsidP="00C60B22" w:rsidRDefault="00C60B22" w14:paraId="6A150B99" w14:textId="77777777">
      <w:pPr>
        <w:spacing w:after="0" w:line="240" w:lineRule="auto"/>
        <w:jc w:val="both"/>
        <w:rPr>
          <w:rFonts w:ascii="Arial" w:hAnsi="Arial" w:eastAsia="Arial" w:cs="Arial"/>
          <w:color w:val="000000"/>
          <w:sz w:val="20"/>
          <w:szCs w:val="20"/>
          <w:lang w:eastAsia="es-CO"/>
        </w:rPr>
      </w:pPr>
      <w:r>
        <w:rPr>
          <w:rFonts w:ascii="Arial" w:hAnsi="Arial" w:eastAsia="Arial" w:cs="Arial"/>
          <w:color w:val="000000"/>
          <w:sz w:val="20"/>
          <w:szCs w:val="20"/>
          <w:lang w:eastAsia="es-CO"/>
        </w:rPr>
        <w:t xml:space="preserve">Las </w:t>
      </w:r>
      <w:r w:rsidRPr="007B3060">
        <w:rPr>
          <w:rFonts w:ascii="Arial" w:hAnsi="Arial" w:eastAsia="Arial" w:cs="Arial"/>
          <w:color w:val="000000"/>
          <w:sz w:val="20"/>
          <w:szCs w:val="20"/>
          <w:lang w:eastAsia="es-CO"/>
        </w:rPr>
        <w:t>operaciones de crédito público los actos o contratos que tienen por objeto dotar a la entidad estatal de recursos, bienes o servicios con plazo para su pago o aquellas mediante las cuales la entidad actúa como deudor solidario o garante de obligaciones de pago.</w:t>
      </w:r>
      <w:r>
        <w:rPr>
          <w:rFonts w:ascii="Arial" w:hAnsi="Arial" w:eastAsia="Arial" w:cs="Arial"/>
          <w:color w:val="000000"/>
          <w:sz w:val="20"/>
          <w:szCs w:val="20"/>
          <w:lang w:eastAsia="es-CO"/>
        </w:rPr>
        <w:t xml:space="preserve">  </w:t>
      </w:r>
    </w:p>
    <w:p w:rsidR="00C60B22" w:rsidP="00C60B22" w:rsidRDefault="00C60B22" w14:paraId="446ACD51" w14:textId="77777777">
      <w:pPr>
        <w:spacing w:after="0" w:line="240" w:lineRule="auto"/>
        <w:jc w:val="both"/>
        <w:rPr>
          <w:rFonts w:ascii="Arial" w:hAnsi="Arial" w:eastAsia="Arial" w:cs="Arial"/>
          <w:color w:val="000000"/>
          <w:sz w:val="20"/>
          <w:szCs w:val="20"/>
          <w:lang w:eastAsia="es-CO"/>
        </w:rPr>
      </w:pPr>
    </w:p>
    <w:p w:rsidRPr="007B3060" w:rsidR="00C60B22" w:rsidP="00C60B22" w:rsidRDefault="00C60B22" w14:paraId="50536302" w14:textId="77777777">
      <w:pPr>
        <w:spacing w:after="0" w:line="240" w:lineRule="auto"/>
        <w:jc w:val="both"/>
        <w:rPr>
          <w:rFonts w:ascii="Arial" w:hAnsi="Arial" w:eastAsia="Arial" w:cs="Arial"/>
          <w:color w:val="000000"/>
          <w:sz w:val="20"/>
          <w:szCs w:val="20"/>
          <w:lang w:eastAsia="es-CO"/>
        </w:rPr>
      </w:pPr>
      <w:r w:rsidRPr="007B3060">
        <w:rPr>
          <w:rFonts w:ascii="Arial" w:hAnsi="Arial" w:eastAsia="Arial" w:cs="Arial"/>
          <w:color w:val="000000"/>
          <w:sz w:val="20"/>
          <w:szCs w:val="20"/>
          <w:lang w:eastAsia="es-CO"/>
        </w:rPr>
        <w:t>De acuerdo con la L</w:t>
      </w:r>
      <w:r>
        <w:rPr>
          <w:rFonts w:ascii="Arial" w:hAnsi="Arial" w:eastAsia="Arial" w:cs="Arial"/>
          <w:color w:val="000000"/>
          <w:sz w:val="20"/>
          <w:szCs w:val="20"/>
          <w:lang w:eastAsia="es-CO"/>
        </w:rPr>
        <w:t>ey 80 de 1993, el Decreto 2681 de 1993, reglamentado por el Decreto 2283 de 2003, Decreto 4712 de 2008, Decreto 1068 de 2015 y el Decreto 1575 de 2022</w:t>
      </w:r>
      <w:r w:rsidRPr="007B3060">
        <w:rPr>
          <w:rFonts w:ascii="Arial" w:hAnsi="Arial" w:eastAsia="Arial" w:cs="Arial"/>
          <w:color w:val="000000"/>
          <w:sz w:val="20"/>
          <w:szCs w:val="20"/>
          <w:lang w:eastAsia="es-CO"/>
        </w:rPr>
        <w:t>, las operaciones de crédito</w:t>
      </w:r>
      <w:r>
        <w:rPr>
          <w:rFonts w:ascii="Arial" w:hAnsi="Arial" w:eastAsia="Arial" w:cs="Arial"/>
          <w:color w:val="000000"/>
          <w:sz w:val="20"/>
          <w:szCs w:val="20"/>
          <w:lang w:eastAsia="es-CO"/>
        </w:rPr>
        <w:t xml:space="preserve"> </w:t>
      </w:r>
      <w:r w:rsidRPr="007B3060">
        <w:rPr>
          <w:rFonts w:ascii="Arial" w:hAnsi="Arial" w:eastAsia="Arial" w:cs="Arial"/>
          <w:color w:val="000000"/>
          <w:sz w:val="20"/>
          <w:szCs w:val="20"/>
          <w:lang w:eastAsia="es-CO"/>
        </w:rPr>
        <w:t>público se definen como los actos o contratos que tienen por objeto dotar a la entidad estatal de</w:t>
      </w:r>
      <w:r>
        <w:rPr>
          <w:rFonts w:ascii="Arial" w:hAnsi="Arial" w:eastAsia="Arial" w:cs="Arial"/>
          <w:color w:val="000000"/>
          <w:sz w:val="20"/>
          <w:szCs w:val="20"/>
          <w:lang w:eastAsia="es-CO"/>
        </w:rPr>
        <w:t xml:space="preserve"> </w:t>
      </w:r>
      <w:r w:rsidRPr="007B3060">
        <w:rPr>
          <w:rFonts w:ascii="Arial" w:hAnsi="Arial" w:eastAsia="Arial" w:cs="Arial"/>
          <w:color w:val="000000"/>
          <w:sz w:val="20"/>
          <w:szCs w:val="20"/>
          <w:lang w:eastAsia="es-CO"/>
        </w:rPr>
        <w:t xml:space="preserve">recursos, bienes o servicios con plazo para su pago o aquellas mediante las cuales la entidad </w:t>
      </w:r>
      <w:r>
        <w:rPr>
          <w:rFonts w:ascii="Arial" w:hAnsi="Arial" w:eastAsia="Arial" w:cs="Arial"/>
          <w:color w:val="000000"/>
          <w:sz w:val="20"/>
          <w:szCs w:val="20"/>
          <w:lang w:eastAsia="es-CO"/>
        </w:rPr>
        <w:t>a</w:t>
      </w:r>
      <w:r w:rsidRPr="007B3060">
        <w:rPr>
          <w:rFonts w:ascii="Arial" w:hAnsi="Arial" w:eastAsia="Arial" w:cs="Arial"/>
          <w:color w:val="000000"/>
          <w:sz w:val="20"/>
          <w:szCs w:val="20"/>
          <w:lang w:eastAsia="es-CO"/>
        </w:rPr>
        <w:t>ctúa</w:t>
      </w:r>
      <w:r>
        <w:rPr>
          <w:rFonts w:ascii="Arial" w:hAnsi="Arial" w:eastAsia="Arial" w:cs="Arial"/>
          <w:color w:val="000000"/>
          <w:sz w:val="20"/>
          <w:szCs w:val="20"/>
          <w:lang w:eastAsia="es-CO"/>
        </w:rPr>
        <w:t xml:space="preserve"> </w:t>
      </w:r>
      <w:r w:rsidRPr="007B3060">
        <w:rPr>
          <w:rFonts w:ascii="Arial" w:hAnsi="Arial" w:eastAsia="Arial" w:cs="Arial"/>
          <w:color w:val="000000"/>
          <w:sz w:val="20"/>
          <w:szCs w:val="20"/>
          <w:lang w:eastAsia="es-CO"/>
        </w:rPr>
        <w:t>como deudor solidario o garante de obligaciones de pago. Dentro de estas operaciones están</w:t>
      </w:r>
      <w:r>
        <w:rPr>
          <w:rFonts w:ascii="Arial" w:hAnsi="Arial" w:eastAsia="Arial" w:cs="Arial"/>
          <w:color w:val="000000"/>
          <w:sz w:val="20"/>
          <w:szCs w:val="20"/>
          <w:lang w:eastAsia="es-CO"/>
        </w:rPr>
        <w:t xml:space="preserve"> </w:t>
      </w:r>
      <w:r w:rsidRPr="007B3060">
        <w:rPr>
          <w:rFonts w:ascii="Arial" w:hAnsi="Arial" w:eastAsia="Arial" w:cs="Arial"/>
          <w:color w:val="000000"/>
          <w:sz w:val="20"/>
          <w:szCs w:val="20"/>
          <w:lang w:eastAsia="es-CO"/>
        </w:rPr>
        <w:t>comprendidas la contratación de empréstitos, la emisión, suscripción y colocación de títulos de</w:t>
      </w:r>
      <w:r>
        <w:rPr>
          <w:rFonts w:ascii="Arial" w:hAnsi="Arial" w:eastAsia="Arial" w:cs="Arial"/>
          <w:color w:val="000000"/>
          <w:sz w:val="20"/>
          <w:szCs w:val="20"/>
          <w:lang w:eastAsia="es-CO"/>
        </w:rPr>
        <w:t xml:space="preserve"> d</w:t>
      </w:r>
      <w:r w:rsidRPr="007B3060">
        <w:rPr>
          <w:rFonts w:ascii="Arial" w:hAnsi="Arial" w:eastAsia="Arial" w:cs="Arial"/>
          <w:color w:val="000000"/>
          <w:sz w:val="20"/>
          <w:szCs w:val="20"/>
          <w:lang w:eastAsia="es-CO"/>
        </w:rPr>
        <w:t xml:space="preserve">euda </w:t>
      </w:r>
      <w:r w:rsidRPr="007B3060">
        <w:rPr>
          <w:rFonts w:ascii="Arial" w:hAnsi="Arial" w:eastAsia="Arial" w:cs="Arial"/>
          <w:color w:val="000000"/>
          <w:sz w:val="20"/>
          <w:szCs w:val="20"/>
          <w:lang w:eastAsia="es-CO"/>
        </w:rPr>
        <w:t>pública, los créditos de proveedores y el otorgamiento de garantías para obligaciones de</w:t>
      </w:r>
      <w:r>
        <w:rPr>
          <w:rFonts w:ascii="Arial" w:hAnsi="Arial" w:eastAsia="Arial" w:cs="Arial"/>
          <w:color w:val="000000"/>
          <w:sz w:val="20"/>
          <w:szCs w:val="20"/>
          <w:lang w:eastAsia="es-CO"/>
        </w:rPr>
        <w:t xml:space="preserve"> </w:t>
      </w:r>
      <w:r w:rsidRPr="007B3060">
        <w:rPr>
          <w:rFonts w:ascii="Arial" w:hAnsi="Arial" w:eastAsia="Arial" w:cs="Arial"/>
          <w:color w:val="000000"/>
          <w:sz w:val="20"/>
          <w:szCs w:val="20"/>
          <w:lang w:eastAsia="es-CO"/>
        </w:rPr>
        <w:t>pago a cargo de entidades estatales.</w:t>
      </w:r>
    </w:p>
    <w:p w:rsidR="00C60B22" w:rsidP="00C60B22" w:rsidRDefault="00C60B22" w14:paraId="2A0A219D" w14:textId="77777777">
      <w:pPr>
        <w:spacing w:after="0" w:line="240" w:lineRule="auto"/>
        <w:jc w:val="both"/>
        <w:rPr>
          <w:rFonts w:ascii="Arial" w:hAnsi="Arial" w:eastAsia="Arial" w:cs="Arial"/>
          <w:b/>
          <w:color w:val="000000"/>
          <w:lang w:eastAsia="es-CO"/>
        </w:rPr>
      </w:pPr>
    </w:p>
    <w:p w:rsidR="00C60B22" w:rsidP="00C60B22" w:rsidRDefault="00C60B22" w14:paraId="61B84E5D" w14:textId="77777777">
      <w:pPr>
        <w:spacing w:after="0" w:line="240" w:lineRule="auto"/>
        <w:jc w:val="both"/>
        <w:rPr>
          <w:rFonts w:ascii="Arial" w:hAnsi="Arial" w:eastAsia="Arial" w:cs="Arial"/>
          <w:b/>
          <w:color w:val="000000"/>
          <w:lang w:eastAsia="es-CO"/>
        </w:rPr>
      </w:pPr>
    </w:p>
    <w:p w:rsidRPr="00224199" w:rsidR="00C60B22" w:rsidP="00C60B22" w:rsidRDefault="00C60B22" w14:paraId="76A326D0" w14:textId="77777777">
      <w:pPr>
        <w:spacing w:after="0" w:line="240" w:lineRule="auto"/>
        <w:rPr>
          <w:rFonts w:ascii="Arial" w:hAnsi="Arial" w:eastAsia="Times New Roman" w:cs="Arial"/>
          <w:shd w:val="clear" w:color="auto" w:fill="E6E6E6"/>
          <w:lang w:val="es-MX" w:eastAsia="es-CO"/>
        </w:rPr>
      </w:pPr>
    </w:p>
    <w:p w:rsidRPr="00224199" w:rsidR="00C60B22" w:rsidP="00C60B22" w:rsidRDefault="00C60B22" w14:paraId="6C150261" w14:textId="77777777">
      <w:pPr>
        <w:spacing w:after="0" w:line="240" w:lineRule="auto"/>
        <w:rPr>
          <w:rFonts w:ascii="Arial" w:hAnsi="Arial" w:eastAsia="Times New Roman" w:cs="Arial"/>
          <w:shd w:val="clear" w:color="auto" w:fill="E6E6E6"/>
          <w:lang w:val="es-MX" w:eastAsia="es-CO"/>
        </w:rPr>
      </w:pPr>
    </w:p>
    <w:p w:rsidRPr="00224199" w:rsidR="00C60B22" w:rsidP="00C60B22" w:rsidRDefault="00C60B22" w14:paraId="7D093726" w14:textId="77777777">
      <w:pPr>
        <w:spacing w:after="0" w:line="240" w:lineRule="auto"/>
        <w:rPr>
          <w:rFonts w:ascii="Arial" w:hAnsi="Arial" w:eastAsia="Times New Roman" w:cs="Arial"/>
          <w:shd w:val="clear" w:color="auto" w:fill="E6E6E6"/>
          <w:lang w:val="es-MX" w:eastAsia="es-CO"/>
        </w:rPr>
      </w:pPr>
    </w:p>
    <w:p w:rsidRPr="00224199" w:rsidR="00C60B22" w:rsidP="14D48936" w:rsidRDefault="00C60B22" w14:paraId="276C837E" w14:noSpellErr="1" w14:textId="11BFA227">
      <w:pPr>
        <w:pStyle w:val="Normal"/>
        <w:spacing w:after="0" w:line="240" w:lineRule="auto"/>
        <w:rPr>
          <w:rFonts w:ascii="Arial" w:hAnsi="Arial" w:eastAsia="Times New Roman" w:cs="Arial"/>
          <w:lang w:val="es-MX" w:eastAsia="es-CO"/>
        </w:rPr>
      </w:pPr>
    </w:p>
    <w:p w:rsidR="00C60B22" w:rsidP="00C60B22" w:rsidRDefault="00C60B22" w14:paraId="08FD5337" w14:textId="77777777">
      <w:pPr>
        <w:spacing w:after="0" w:line="240" w:lineRule="auto"/>
        <w:rPr>
          <w:rStyle w:val="normaltextrun"/>
          <w:rFonts w:ascii="Arial" w:hAnsi="Arial" w:cs="Arial"/>
          <w:color w:val="000000"/>
          <w:shd w:val="clear" w:color="auto" w:fill="FFFFFF"/>
        </w:rPr>
      </w:pPr>
    </w:p>
    <w:p w:rsidR="46B3B898" w:rsidP="14D48936" w:rsidRDefault="46B3B898" w14:paraId="11251BDA" w14:textId="2E9A07E3">
      <w:pPr>
        <w:pStyle w:val="Normal"/>
        <w:spacing w:after="0" w:line="240" w:lineRule="auto"/>
        <w:rPr>
          <w:rFonts w:ascii="Arial" w:hAnsi="Arial" w:eastAsia="Arial" w:cs="Arial"/>
          <w:noProof w:val="0"/>
          <w:sz w:val="22"/>
          <w:szCs w:val="22"/>
          <w:lang w:val="es-ES"/>
        </w:rPr>
      </w:pPr>
      <w:r w:rsidRPr="14D48936" w:rsidR="46B3B898">
        <w:rPr>
          <w:rFonts w:ascii="Arial" w:hAnsi="Arial" w:eastAsia="Arial" w:cs="Arial"/>
          <w:noProof w:val="0"/>
          <w:sz w:val="22"/>
          <w:szCs w:val="22"/>
          <w:lang w:val="es"/>
        </w:rPr>
        <w:t>Bogotá D.C., 16 Agosto 2023</w:t>
      </w:r>
    </w:p>
    <w:p w:rsidR="14D48936" w:rsidP="14D48936" w:rsidRDefault="14D48936" w14:paraId="791BBAAC" w14:textId="33EE8C4A">
      <w:pPr>
        <w:pStyle w:val="Normal"/>
        <w:spacing w:after="0" w:line="240" w:lineRule="auto"/>
        <w:rPr>
          <w:rFonts w:ascii="Arial" w:hAnsi="Arial" w:eastAsia="Calibri" w:cs="Arial"/>
          <w:lang w:val="es-ES" w:eastAsia="es-ES"/>
        </w:rPr>
      </w:pPr>
    </w:p>
    <w:p w:rsidR="5CE2B688" w:rsidP="14D48936" w:rsidRDefault="5CE2B688" w14:paraId="39A32BD5" w14:textId="2649A9CC">
      <w:pPr>
        <w:pStyle w:val="Normal"/>
        <w:spacing w:after="0" w:line="240" w:lineRule="auto"/>
        <w:jc w:val="right"/>
      </w:pPr>
      <w:r w:rsidR="5CE2B688">
        <w:drawing>
          <wp:inline wp14:editId="596FB8BC" wp14:anchorId="6AC138EE">
            <wp:extent cx="3295650" cy="844824"/>
            <wp:effectExtent l="0" t="0" r="0" b="0"/>
            <wp:docPr id="1348602177" name="" title=""/>
            <wp:cNvGraphicFramePr>
              <a:graphicFrameLocks noChangeAspect="1"/>
            </wp:cNvGraphicFramePr>
            <a:graphic>
              <a:graphicData uri="http://schemas.openxmlformats.org/drawingml/2006/picture">
                <pic:pic>
                  <pic:nvPicPr>
                    <pic:cNvPr id="0" name=""/>
                    <pic:cNvPicPr/>
                  </pic:nvPicPr>
                  <pic:blipFill>
                    <a:blip r:embed="R77463979f84d4c2c">
                      <a:extLst>
                        <a:ext xmlns:a="http://schemas.openxmlformats.org/drawingml/2006/main" uri="{28A0092B-C50C-407E-A947-70E740481C1C}">
                          <a14:useLocalDpi val="0"/>
                        </a:ext>
                      </a:extLst>
                    </a:blip>
                    <a:stretch>
                      <a:fillRect/>
                    </a:stretch>
                  </pic:blipFill>
                  <pic:spPr>
                    <a:xfrm>
                      <a:off x="0" y="0"/>
                      <a:ext cx="3295650" cy="844824"/>
                    </a:xfrm>
                    <a:prstGeom prst="rect">
                      <a:avLst/>
                    </a:prstGeom>
                  </pic:spPr>
                </pic:pic>
              </a:graphicData>
            </a:graphic>
          </wp:inline>
        </w:drawing>
      </w:r>
    </w:p>
    <w:p w:rsidR="00C60B22" w:rsidP="00C60B22" w:rsidRDefault="00C60B22" w14:paraId="110EA246" w14:textId="77777777">
      <w:pPr>
        <w:spacing w:after="0" w:line="240" w:lineRule="auto"/>
        <w:rPr>
          <w:rFonts w:ascii="Arial" w:hAnsi="Arial" w:eastAsia="Calibri" w:cs="Arial"/>
          <w:lang w:val="es-ES" w:eastAsia="es-ES_tradnl"/>
        </w:rPr>
      </w:pPr>
    </w:p>
    <w:p w:rsidRPr="00224199" w:rsidR="00C60B22" w:rsidP="00C60B22" w:rsidRDefault="00C60B22" w14:paraId="7974025C" w14:textId="77777777">
      <w:pPr>
        <w:spacing w:after="0" w:line="240" w:lineRule="auto"/>
        <w:rPr>
          <w:rFonts w:ascii="Arial" w:hAnsi="Arial" w:eastAsia="Calibri" w:cs="Arial"/>
          <w:lang w:val="es-ES" w:eastAsia="es-ES_tradnl"/>
        </w:rPr>
      </w:pPr>
      <w:r w:rsidRPr="00224199">
        <w:rPr>
          <w:rFonts w:ascii="Arial" w:hAnsi="Arial" w:eastAsia="Calibri" w:cs="Arial"/>
          <w:lang w:val="es-ES" w:eastAsia="es-ES_tradnl"/>
        </w:rPr>
        <w:t>Señor</w:t>
      </w:r>
    </w:p>
    <w:p w:rsidRPr="00224199" w:rsidR="00C60B22" w:rsidP="00C60B22" w:rsidRDefault="00C60B22" w14:paraId="728B86B2" w14:textId="77777777">
      <w:pPr>
        <w:spacing w:after="0" w:line="240" w:lineRule="auto"/>
        <w:rPr>
          <w:rFonts w:ascii="Arial" w:hAnsi="Arial" w:eastAsia="Calibri" w:cs="Arial"/>
          <w:b/>
          <w:lang w:val="es-ES" w:eastAsia="es-ES_tradnl"/>
        </w:rPr>
      </w:pPr>
      <w:r>
        <w:rPr>
          <w:rFonts w:ascii="Arial" w:hAnsi="Arial" w:eastAsia="Calibri" w:cs="Arial"/>
          <w:b/>
          <w:lang w:val="es-ES" w:eastAsia="es-ES_tradnl"/>
        </w:rPr>
        <w:t>Juan David Peláez Henao</w:t>
      </w:r>
    </w:p>
    <w:p w:rsidRPr="00224199" w:rsidR="00C60B22" w:rsidP="00C60B22" w:rsidRDefault="00C60B22" w14:paraId="6DBB3D7E" w14:textId="77777777">
      <w:pPr>
        <w:spacing w:after="0" w:line="240" w:lineRule="auto"/>
        <w:rPr>
          <w:rFonts w:ascii="Arial" w:hAnsi="Arial" w:eastAsia="Calibri" w:cs="Arial"/>
          <w:szCs w:val="24"/>
          <w:lang w:val="es-ES_tradnl" w:eastAsia="es-ES_tradnl"/>
        </w:rPr>
      </w:pPr>
      <w:r w:rsidRPr="00224199">
        <w:rPr>
          <w:rFonts w:ascii="Arial" w:hAnsi="Arial" w:eastAsia="Calibri" w:cs="Arial"/>
          <w:lang w:val="es-ES" w:eastAsia="es-ES_tradnl"/>
        </w:rPr>
        <w:t xml:space="preserve">Bogotá </w:t>
      </w:r>
    </w:p>
    <w:p w:rsidRPr="00224199" w:rsidR="00C60B22" w:rsidP="00C60B22" w:rsidRDefault="00C60B22" w14:paraId="4332FB17" w14:textId="77777777">
      <w:pPr>
        <w:spacing w:after="0" w:line="240" w:lineRule="auto"/>
        <w:jc w:val="center"/>
        <w:rPr>
          <w:rFonts w:ascii="Arial" w:hAnsi="Arial" w:eastAsia="Calibri" w:cs="Arial"/>
          <w:b/>
          <w:bCs/>
          <w:lang w:val="es-ES" w:eastAsia="es-ES_tradnl"/>
        </w:rPr>
      </w:pPr>
      <w:r w:rsidRPr="00224199">
        <w:rPr>
          <w:rFonts w:ascii="Arial" w:hAnsi="Arial" w:eastAsia="Calibri" w:cs="Arial"/>
          <w:b/>
          <w:bCs/>
          <w:lang w:val="es-ES" w:eastAsia="es-ES_tradnl"/>
        </w:rPr>
        <w:t>Concepto C</w:t>
      </w:r>
      <w:r w:rsidRPr="00224199">
        <w:rPr>
          <w:rFonts w:ascii="Arial" w:hAnsi="Arial" w:eastAsia="Calibri" w:cs="Arial"/>
          <w:b/>
          <w:szCs w:val="24"/>
          <w:lang w:val="es-ES_tradnl" w:eastAsia="es-ES_tradnl"/>
        </w:rPr>
        <w:t>-</w:t>
      </w:r>
      <w:r>
        <w:rPr>
          <w:rFonts w:ascii="Arial" w:hAnsi="Arial" w:eastAsia="Calibri" w:cs="Arial"/>
          <w:b/>
          <w:szCs w:val="24"/>
          <w:lang w:val="es-ES_tradnl" w:eastAsia="es-ES_tradnl"/>
        </w:rPr>
        <w:t>257</w:t>
      </w:r>
      <w:r w:rsidRPr="00224199">
        <w:rPr>
          <w:rFonts w:ascii="Arial" w:hAnsi="Arial" w:eastAsia="Calibri" w:cs="Arial"/>
          <w:b/>
          <w:bCs/>
          <w:lang w:val="es-ES" w:eastAsia="es-ES_tradnl"/>
        </w:rPr>
        <w:t xml:space="preserve"> de 2023</w:t>
      </w:r>
    </w:p>
    <w:p w:rsidRPr="00224199" w:rsidR="00C60B22" w:rsidP="00C60B22" w:rsidRDefault="00C60B22" w14:paraId="15D785FD" w14:textId="77777777">
      <w:pPr>
        <w:spacing w:after="0" w:line="240" w:lineRule="auto"/>
        <w:jc w:val="both"/>
        <w:rPr>
          <w:rFonts w:ascii="Arial" w:hAnsi="Arial" w:eastAsia="Calibri" w:cs="Arial"/>
          <w:szCs w:val="24"/>
          <w:lang w:val="es-ES_tradnl" w:eastAsia="es-ES_tradnl"/>
        </w:rPr>
      </w:pPr>
    </w:p>
    <w:tbl>
      <w:tblPr>
        <w:tblStyle w:val="Tablaconcuadrcula1"/>
        <w:tblW w:w="8075" w:type="dxa"/>
        <w:jc w:val="right"/>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left w:w="0" w:type="dxa"/>
          <w:right w:w="0" w:type="dxa"/>
        </w:tblCellMar>
        <w:tblLook w:val="04A0" w:firstRow="1" w:lastRow="0" w:firstColumn="1" w:lastColumn="0" w:noHBand="0" w:noVBand="1"/>
      </w:tblPr>
      <w:tblGrid>
        <w:gridCol w:w="2410"/>
        <w:gridCol w:w="5665"/>
      </w:tblGrid>
      <w:tr w:rsidRPr="00464D1C" w:rsidR="00C60B22" w:rsidTr="00CE1932" w14:paraId="58C4D0C6" w14:textId="77777777">
        <w:trPr>
          <w:jc w:val="right"/>
        </w:trPr>
        <w:tc>
          <w:tcPr>
            <w:tcW w:w="2410" w:type="dxa"/>
          </w:tcPr>
          <w:p w:rsidRPr="00224199" w:rsidR="00C60B22" w:rsidP="00CE1932" w:rsidRDefault="00C60B22" w14:paraId="083BEC37" w14:textId="77777777">
            <w:pPr>
              <w:spacing w:before="100" w:beforeAutospacing="1" w:afterAutospacing="1"/>
              <w:jc w:val="center"/>
              <w:rPr>
                <w:rFonts w:ascii="Arial" w:hAnsi="Arial" w:eastAsia="Calibri" w:cs="Arial"/>
                <w:szCs w:val="24"/>
                <w:lang w:val="es-ES_tradnl" w:eastAsia="es-ES_tradnl"/>
              </w:rPr>
            </w:pPr>
            <w:r w:rsidRPr="00224199">
              <w:rPr>
                <w:rFonts w:ascii="Arial" w:hAnsi="Arial" w:eastAsia="Calibri" w:cs="Arial"/>
                <w:b/>
                <w:szCs w:val="24"/>
                <w:lang w:val="es-ES_tradnl" w:eastAsia="es-ES_tradnl"/>
              </w:rPr>
              <w:t>Temas:</w:t>
            </w:r>
          </w:p>
        </w:tc>
        <w:tc>
          <w:tcPr>
            <w:tcW w:w="5665" w:type="dxa"/>
          </w:tcPr>
          <w:p w:rsidRPr="00464D1C" w:rsidR="00C60B22" w:rsidP="00CE1932" w:rsidRDefault="00C60B22" w14:paraId="7DE1C162" w14:textId="77777777">
            <w:pPr>
              <w:contextualSpacing/>
              <w:jc w:val="both"/>
              <w:rPr>
                <w:rFonts w:ascii="Arial" w:hAnsi="Arial" w:eastAsia="Calibri" w:cs="Arial"/>
                <w:b/>
                <w:noProof/>
                <w:lang w:val="es-ES_tradnl"/>
              </w:rPr>
            </w:pPr>
            <w:r w:rsidRPr="00D12008">
              <w:rPr>
                <w:rFonts w:ascii="Arial" w:hAnsi="Arial" w:eastAsia="Calibri" w:cs="Arial"/>
                <w:lang w:eastAsia="es-ES"/>
              </w:rPr>
              <w:t>LEY DE GARANTÍAS ELECTORALES ‒ Finalidad</w:t>
            </w:r>
            <w:r>
              <w:rPr>
                <w:rFonts w:ascii="Arial" w:hAnsi="Arial" w:eastAsia="Calibri" w:cs="Arial"/>
                <w:lang w:eastAsia="es-ES"/>
              </w:rPr>
              <w:t xml:space="preserve"> / </w:t>
            </w:r>
            <w:r w:rsidRPr="00D12008">
              <w:rPr>
                <w:rFonts w:ascii="Arial" w:hAnsi="Arial" w:eastAsia="Calibri" w:cs="Arial"/>
                <w:lang w:eastAsia="es-ES"/>
              </w:rPr>
              <w:t>LEY DE GARANTÍAS ELECTORALES ‒ Tipos de restricciones ‒ Ámbito temporal</w:t>
            </w:r>
            <w:r>
              <w:rPr>
                <w:rFonts w:ascii="Arial" w:hAnsi="Arial" w:eastAsia="Calibri" w:cs="Arial"/>
                <w:lang w:eastAsia="es-ES"/>
              </w:rPr>
              <w:t xml:space="preserve"> / LE</w:t>
            </w:r>
            <w:r w:rsidRPr="00D12008">
              <w:rPr>
                <w:rFonts w:ascii="Arial" w:hAnsi="Arial" w:eastAsia="Calibri" w:cs="Arial"/>
                <w:lang w:eastAsia="es-ES"/>
              </w:rPr>
              <w:t>Y DE GARANTÍAS ELECTORALES ─ Prohibición ‒ Contratación directa ‒ Alcance</w:t>
            </w:r>
            <w:r>
              <w:rPr>
                <w:rFonts w:ascii="Arial" w:hAnsi="Arial" w:eastAsia="Calibri" w:cs="Arial"/>
                <w:lang w:eastAsia="es-ES"/>
              </w:rPr>
              <w:t xml:space="preserve"> / </w:t>
            </w:r>
            <w:r w:rsidRPr="00D12008">
              <w:rPr>
                <w:rFonts w:ascii="Arial" w:hAnsi="Arial" w:eastAsia="Calibri" w:cs="Arial"/>
                <w:lang w:eastAsia="es-ES"/>
              </w:rPr>
              <w:t>LEY DE GARANTÍAS ELECTORALES ─ Prohibición ‒ Contratación directa ‒ Excepciones</w:t>
            </w:r>
            <w:r>
              <w:rPr>
                <w:rFonts w:ascii="Arial" w:hAnsi="Arial" w:eastAsia="Calibri" w:cs="Arial"/>
                <w:lang w:eastAsia="es-ES"/>
              </w:rPr>
              <w:t xml:space="preserve"> /</w:t>
            </w:r>
            <w:r>
              <w:t xml:space="preserve"> </w:t>
            </w:r>
            <w:r w:rsidRPr="00D12008">
              <w:rPr>
                <w:rFonts w:ascii="Arial" w:hAnsi="Arial" w:eastAsia="Calibri" w:cs="Arial"/>
                <w:lang w:eastAsia="es-ES"/>
              </w:rPr>
              <w:t>LEY DE GARANTÍAS ELECTORALES ‒ Prohibición del artículo 33 ‒ Destinatarios</w:t>
            </w:r>
            <w:r>
              <w:rPr>
                <w:rFonts w:ascii="Arial" w:hAnsi="Arial" w:eastAsia="Calibri" w:cs="Arial"/>
                <w:lang w:eastAsia="es-ES"/>
              </w:rPr>
              <w:t xml:space="preserve"> / </w:t>
            </w:r>
            <w:r w:rsidRPr="00D12008">
              <w:rPr>
                <w:rFonts w:ascii="Arial" w:hAnsi="Arial" w:eastAsia="Calibri" w:cs="Arial"/>
                <w:lang w:eastAsia="es-ES"/>
              </w:rPr>
              <w:t>LEY DE GARANTÍAS ELECTORALES ‒ Prohibición por elección de cargos populares – Convenios y contratos interadministrativos – Definición – Criterio orgánico</w:t>
            </w:r>
            <w:r w:rsidRPr="00464D1C">
              <w:rPr>
                <w:rFonts w:ascii="Arial" w:hAnsi="Arial" w:eastAsia="Calibri" w:cs="Arial"/>
                <w:lang w:val="es-ES" w:eastAsia="es-ES"/>
              </w:rPr>
              <w:t>.</w:t>
            </w:r>
          </w:p>
        </w:tc>
      </w:tr>
      <w:tr w:rsidRPr="00224199" w:rsidR="00C60B22" w:rsidTr="00CE1932" w14:paraId="769CC65E" w14:textId="77777777">
        <w:trPr>
          <w:jc w:val="right"/>
        </w:trPr>
        <w:tc>
          <w:tcPr>
            <w:tcW w:w="2410" w:type="dxa"/>
          </w:tcPr>
          <w:p w:rsidRPr="00224199" w:rsidR="00C60B22" w:rsidP="00CE1932" w:rsidRDefault="00C60B22" w14:paraId="118A25A8" w14:textId="77777777">
            <w:pPr>
              <w:spacing w:before="120" w:beforeAutospacing="1" w:afterAutospacing="1"/>
              <w:jc w:val="center"/>
              <w:rPr>
                <w:rFonts w:ascii="Arial" w:hAnsi="Arial" w:eastAsia="Calibri" w:cs="Arial"/>
                <w:b/>
                <w:lang w:val="es-ES" w:eastAsia="es-ES_tradnl"/>
              </w:rPr>
            </w:pPr>
            <w:r w:rsidRPr="00224199">
              <w:rPr>
                <w:rFonts w:ascii="Arial" w:hAnsi="Arial" w:eastAsia="Calibri" w:cs="Arial"/>
                <w:b/>
                <w:lang w:val="es-ES" w:eastAsia="es-ES_tradnl"/>
              </w:rPr>
              <w:t>Radicación:</w:t>
            </w:r>
          </w:p>
        </w:tc>
        <w:tc>
          <w:tcPr>
            <w:tcW w:w="5665" w:type="dxa"/>
          </w:tcPr>
          <w:p w:rsidRPr="00224199" w:rsidR="00C60B22" w:rsidP="00CE1932" w:rsidRDefault="00C60B22" w14:paraId="7BD35CD1" w14:textId="77777777">
            <w:pPr>
              <w:spacing w:before="120" w:beforeAutospacing="1" w:afterAutospacing="1"/>
              <w:jc w:val="both"/>
              <w:rPr>
                <w:rFonts w:ascii="Arial" w:hAnsi="Arial" w:eastAsia="Calibri" w:cs="Arial"/>
                <w:lang w:val="es-ES" w:eastAsia="es-ES_tradnl"/>
              </w:rPr>
            </w:pPr>
            <w:r w:rsidRPr="00224199">
              <w:rPr>
                <w:rFonts w:ascii="Arial" w:hAnsi="Arial" w:eastAsia="Calibri" w:cs="Arial"/>
                <w:lang w:val="es-ES" w:eastAsia="es-ES_tradnl"/>
              </w:rPr>
              <w:t xml:space="preserve">Respuesta a consulta </w:t>
            </w:r>
            <w:r w:rsidRPr="00D12008">
              <w:rPr>
                <w:rFonts w:ascii="Arial" w:hAnsi="Arial" w:eastAsia="Calibri" w:cs="Arial"/>
                <w:lang w:val="es-ES" w:eastAsia="es-ES_tradnl"/>
              </w:rPr>
              <w:t>P20230704012888</w:t>
            </w:r>
            <w:r w:rsidRPr="00224199">
              <w:rPr>
                <w:rFonts w:ascii="Arial" w:hAnsi="Arial" w:eastAsia="Calibri" w:cs="Arial"/>
                <w:lang w:val="es-ES" w:eastAsia="es-ES_tradnl"/>
              </w:rPr>
              <w:tab/>
            </w:r>
          </w:p>
        </w:tc>
      </w:tr>
    </w:tbl>
    <w:p w:rsidRPr="00224199" w:rsidR="00C60B22" w:rsidP="00C60B22" w:rsidRDefault="00C60B22" w14:paraId="7772FB82" w14:textId="77777777">
      <w:pPr>
        <w:spacing w:after="0" w:line="240" w:lineRule="auto"/>
        <w:jc w:val="both"/>
        <w:rPr>
          <w:rFonts w:ascii="Arial" w:hAnsi="Arial" w:eastAsia="Calibri" w:cs="Arial"/>
          <w:lang w:val="es-ES" w:eastAsia="es-ES_tradnl"/>
        </w:rPr>
      </w:pPr>
    </w:p>
    <w:p w:rsidRPr="00224199" w:rsidR="00C60B22" w:rsidP="00C60B22" w:rsidRDefault="00C60B22" w14:paraId="112791B5" w14:textId="77777777">
      <w:pPr>
        <w:spacing w:after="0" w:line="240" w:lineRule="auto"/>
        <w:jc w:val="both"/>
        <w:rPr>
          <w:rFonts w:ascii="Arial" w:hAnsi="Arial" w:eastAsia="Calibri" w:cs="Arial"/>
          <w:szCs w:val="24"/>
          <w:lang w:val="es-ES_tradnl" w:eastAsia="es-ES_tradnl"/>
        </w:rPr>
      </w:pPr>
    </w:p>
    <w:p w:rsidR="00C60B22" w:rsidP="00C60B22" w:rsidRDefault="00C60B22" w14:paraId="360D7A63" w14:textId="77777777">
      <w:pPr>
        <w:autoSpaceDE w:val="0"/>
        <w:autoSpaceDN w:val="0"/>
        <w:adjustRightInd w:val="0"/>
        <w:spacing w:after="0" w:line="276" w:lineRule="auto"/>
        <w:jc w:val="both"/>
        <w:rPr>
          <w:rFonts w:ascii="Arial" w:hAnsi="Arial" w:eastAsia="Calibri" w:cs="Arial"/>
          <w:szCs w:val="24"/>
          <w:lang w:val="es-ES_tradnl" w:eastAsia="es-ES_tradnl"/>
        </w:rPr>
      </w:pPr>
      <w:r w:rsidRPr="00224199">
        <w:rPr>
          <w:rFonts w:ascii="Arial" w:hAnsi="Arial" w:eastAsia="Calibri" w:cs="Arial"/>
          <w:szCs w:val="24"/>
          <w:lang w:val="es-ES_tradnl" w:eastAsia="es-ES_tradnl"/>
        </w:rPr>
        <w:t xml:space="preserve">Estimado señor </w:t>
      </w:r>
      <w:r>
        <w:rPr>
          <w:rFonts w:ascii="Arial" w:hAnsi="Arial" w:eastAsia="Calibri" w:cs="Arial"/>
          <w:szCs w:val="24"/>
          <w:lang w:val="es-ES_tradnl" w:eastAsia="es-ES_tradnl"/>
        </w:rPr>
        <w:t xml:space="preserve">David </w:t>
      </w:r>
      <w:proofErr w:type="spellStart"/>
      <w:r>
        <w:rPr>
          <w:rFonts w:ascii="Arial" w:hAnsi="Arial" w:eastAsia="Calibri" w:cs="Arial"/>
          <w:szCs w:val="24"/>
          <w:lang w:val="es-ES_tradnl" w:eastAsia="es-ES_tradnl"/>
        </w:rPr>
        <w:t>Pelaez</w:t>
      </w:r>
      <w:proofErr w:type="spellEnd"/>
      <w:r>
        <w:rPr>
          <w:rFonts w:ascii="Arial" w:hAnsi="Arial" w:eastAsia="Calibri" w:cs="Arial"/>
          <w:szCs w:val="24"/>
          <w:lang w:val="es-ES_tradnl" w:eastAsia="es-ES_tradnl"/>
        </w:rPr>
        <w:t>:</w:t>
      </w:r>
    </w:p>
    <w:p w:rsidR="00C60B22" w:rsidP="00C60B22" w:rsidRDefault="00C60B22" w14:paraId="3E1CF331" w14:textId="77777777">
      <w:pPr>
        <w:autoSpaceDE w:val="0"/>
        <w:autoSpaceDN w:val="0"/>
        <w:adjustRightInd w:val="0"/>
        <w:spacing w:after="0" w:line="276" w:lineRule="auto"/>
        <w:jc w:val="both"/>
        <w:rPr>
          <w:rFonts w:ascii="Arial" w:hAnsi="Arial" w:eastAsia="Calibri" w:cs="Arial"/>
          <w:szCs w:val="24"/>
          <w:lang w:val="es-ES_tradnl" w:eastAsia="es-ES_tradnl"/>
        </w:rPr>
      </w:pPr>
    </w:p>
    <w:p w:rsidRPr="00224199" w:rsidR="00C60B22" w:rsidP="00C60B22" w:rsidRDefault="00C60B22" w14:paraId="77AA86B9" w14:textId="77777777">
      <w:pPr>
        <w:autoSpaceDE w:val="0"/>
        <w:autoSpaceDN w:val="0"/>
        <w:adjustRightInd w:val="0"/>
        <w:spacing w:after="0" w:line="276" w:lineRule="auto"/>
        <w:jc w:val="both"/>
        <w:rPr>
          <w:rFonts w:ascii="Arial" w:hAnsi="Arial" w:cs="Arial"/>
          <w:color w:val="000000"/>
        </w:rPr>
      </w:pPr>
      <w:r w:rsidRPr="00224199">
        <w:rPr>
          <w:rFonts w:ascii="Arial" w:hAnsi="Arial" w:cs="Arial"/>
          <w:color w:val="000000"/>
        </w:rPr>
        <w:t>En ejercicio de la competencia otorgada por el numeral 8° del artículo 11 y el numeral 5° del artículo 3 del Decreto Ley 4170 de 2011, la Agencia Nacional de Contratación Pública – Colombia Compra Efici</w:t>
      </w:r>
      <w:r>
        <w:rPr>
          <w:rFonts w:ascii="Arial" w:hAnsi="Arial" w:cs="Arial"/>
          <w:color w:val="000000"/>
        </w:rPr>
        <w:t>ente responde su petición del 4 de julio</w:t>
      </w:r>
      <w:r w:rsidRPr="00224199">
        <w:rPr>
          <w:rFonts w:ascii="Arial" w:hAnsi="Arial" w:cs="Arial"/>
          <w:color w:val="000000"/>
        </w:rPr>
        <w:t xml:space="preserve"> de 2023, </w:t>
      </w:r>
      <w:r w:rsidRPr="00417D3F">
        <w:rPr>
          <w:rFonts w:ascii="Arial" w:hAnsi="Arial" w:cs="Arial"/>
          <w:color w:val="000000"/>
        </w:rPr>
        <w:t>se otorgará respuesta frente a lo planteado en su escrito, en la que formuló la siguiente consulta:</w:t>
      </w:r>
    </w:p>
    <w:p w:rsidRPr="00224199" w:rsidR="00C60B22" w:rsidP="00C60B22" w:rsidRDefault="00C60B22" w14:paraId="63FF64EF" w14:textId="77777777">
      <w:pPr>
        <w:spacing w:after="0" w:line="276" w:lineRule="auto"/>
        <w:jc w:val="both"/>
        <w:rPr>
          <w:rFonts w:ascii="Arial" w:hAnsi="Arial" w:eastAsia="Calibri" w:cs="Arial"/>
          <w:b/>
          <w:szCs w:val="24"/>
          <w:lang w:val="es-ES_tradnl" w:eastAsia="es-ES_tradnl"/>
        </w:rPr>
      </w:pPr>
    </w:p>
    <w:p w:rsidR="00C60B22" w:rsidP="00C60B22" w:rsidRDefault="00C60B22" w14:paraId="57D01D3C" w14:textId="77777777">
      <w:pPr>
        <w:numPr>
          <w:ilvl w:val="0"/>
          <w:numId w:val="6"/>
        </w:numPr>
        <w:tabs>
          <w:tab w:val="left" w:pos="0"/>
          <w:tab w:val="left" w:pos="142"/>
          <w:tab w:val="left" w:pos="284"/>
        </w:tabs>
        <w:spacing w:after="0" w:line="276" w:lineRule="auto"/>
        <w:ind w:left="0" w:firstLine="0"/>
        <w:contextualSpacing/>
        <w:jc w:val="both"/>
        <w:rPr>
          <w:rFonts w:ascii="Arial" w:hAnsi="Arial" w:eastAsia="Calibri" w:cs="Arial"/>
          <w:b/>
          <w:szCs w:val="24"/>
          <w:lang w:val="es-ES_tradnl" w:eastAsia="es-ES_tradnl"/>
        </w:rPr>
      </w:pPr>
      <w:r w:rsidRPr="00224199">
        <w:rPr>
          <w:rFonts w:ascii="Arial" w:hAnsi="Arial" w:eastAsia="Calibri" w:cs="Arial"/>
          <w:b/>
          <w:szCs w:val="24"/>
          <w:lang w:val="es-ES_tradnl" w:eastAsia="es-ES_tradnl"/>
        </w:rPr>
        <w:t xml:space="preserve">Problema planteado </w:t>
      </w:r>
    </w:p>
    <w:p w:rsidR="00C60B22" w:rsidP="00C60B22" w:rsidRDefault="00C60B22" w14:paraId="65FE5CAA" w14:textId="77777777">
      <w:pPr>
        <w:tabs>
          <w:tab w:val="left" w:pos="0"/>
          <w:tab w:val="left" w:pos="142"/>
          <w:tab w:val="left" w:pos="284"/>
        </w:tabs>
        <w:spacing w:after="0" w:line="276" w:lineRule="auto"/>
        <w:contextualSpacing/>
        <w:jc w:val="both"/>
        <w:rPr>
          <w:rFonts w:ascii="Arial" w:hAnsi="Arial" w:eastAsia="Calibri" w:cs="Arial"/>
          <w:b/>
          <w:szCs w:val="24"/>
          <w:lang w:val="es-ES_tradnl" w:eastAsia="es-ES_tradnl"/>
        </w:rPr>
      </w:pPr>
    </w:p>
    <w:p w:rsidRPr="008C3D2D" w:rsidR="00C60B22" w:rsidP="00C60B22" w:rsidRDefault="00C60B22" w14:paraId="6A35C5BD" w14:textId="77777777">
      <w:pPr>
        <w:tabs>
          <w:tab w:val="left" w:pos="0"/>
          <w:tab w:val="left" w:pos="142"/>
          <w:tab w:val="left" w:pos="284"/>
        </w:tabs>
        <w:spacing w:after="0" w:line="276" w:lineRule="auto"/>
        <w:contextualSpacing/>
        <w:jc w:val="both"/>
        <w:rPr>
          <w:rFonts w:ascii="Arial" w:hAnsi="Arial" w:eastAsia="Calibri" w:cs="Arial"/>
          <w:bCs/>
          <w:szCs w:val="24"/>
          <w:lang w:val="es-ES_tradnl" w:eastAsia="es-ES_tradnl"/>
        </w:rPr>
      </w:pPr>
      <w:r w:rsidRPr="008C3D2D">
        <w:rPr>
          <w:rFonts w:ascii="Arial" w:hAnsi="Arial" w:eastAsia="Calibri" w:cs="Arial"/>
          <w:lang w:val="es-ES" w:eastAsia="es-ES"/>
        </w:rPr>
        <w:t>Usted formula la siguiente consulta:</w:t>
      </w:r>
    </w:p>
    <w:p w:rsidRPr="00224199" w:rsidR="00C60B22" w:rsidP="00C60B22" w:rsidRDefault="00C60B22" w14:paraId="2BEFD7A7" w14:textId="77777777">
      <w:pPr>
        <w:spacing w:after="0" w:line="240" w:lineRule="auto"/>
        <w:ind w:right="851"/>
        <w:jc w:val="both"/>
        <w:rPr>
          <w:rFonts w:ascii="Arial" w:hAnsi="Arial" w:eastAsia="Times New Roman" w:cs="Arial"/>
          <w:szCs w:val="24"/>
          <w:lang w:val="es-ES_tradnl" w:eastAsia="es-ES_tradnl"/>
        </w:rPr>
      </w:pPr>
    </w:p>
    <w:p w:rsidR="00C60B22" w:rsidP="00C60B22" w:rsidRDefault="00C60B22" w14:paraId="2B30DC0A" w14:textId="77777777">
      <w:pPr>
        <w:autoSpaceDE w:val="0"/>
        <w:autoSpaceDN w:val="0"/>
        <w:adjustRightInd w:val="0"/>
        <w:spacing w:after="0" w:line="240" w:lineRule="auto"/>
        <w:ind w:left="709" w:right="709"/>
        <w:jc w:val="both"/>
        <w:rPr>
          <w:rFonts w:ascii="Arial" w:hAnsi="Arial" w:cs="Arial"/>
          <w:color w:val="000000"/>
        </w:rPr>
      </w:pPr>
      <w:r w:rsidRPr="002B1413">
        <w:rPr>
          <w:rFonts w:ascii="Arial" w:hAnsi="Arial" w:cs="Arial"/>
          <w:color w:val="000000"/>
        </w:rPr>
        <w:t>“</w:t>
      </w:r>
      <w:r w:rsidRPr="00253AC1">
        <w:rPr>
          <w:rFonts w:ascii="Arial" w:hAnsi="Arial" w:cs="Arial"/>
          <w:color w:val="000000"/>
          <w:sz w:val="21"/>
          <w:szCs w:val="21"/>
        </w:rPr>
        <w:t xml:space="preserve">De manera reiterada desde la propia doctrina del ANCP- CCE e igualmente pronunciamientos del CE se puede interpretar que cuando se trata de contratos suscritos entre entidades públicas, ya sea territoriales , sociedades de economía mixta, empresas industriales y comerciales del Estado etc., la tipología contractual se define por el carácter organice de estas entidades independientemente de las actividades a ejecutar, es decir así sea un contrato de obra , de consultoría , de prestación de servicios, siempre que sean suscritos por estas entidades, la tipología estará enmarcada en convenio o contrato interadministrativo. ¿Es correcta esta interpretación? ¿De ser correcta la interpretación anterior, en el caso de los coloquialmente llamados bancos de segundo piso, como Findeter, </w:t>
      </w:r>
      <w:proofErr w:type="spellStart"/>
      <w:r w:rsidRPr="00253AC1">
        <w:rPr>
          <w:rFonts w:ascii="Arial" w:hAnsi="Arial" w:cs="Arial"/>
          <w:color w:val="000000"/>
          <w:sz w:val="21"/>
          <w:szCs w:val="21"/>
        </w:rPr>
        <w:t>Bancoldex</w:t>
      </w:r>
      <w:proofErr w:type="spellEnd"/>
      <w:r w:rsidRPr="00253AC1">
        <w:rPr>
          <w:rFonts w:ascii="Arial" w:hAnsi="Arial" w:cs="Arial"/>
          <w:color w:val="000000"/>
          <w:sz w:val="21"/>
          <w:szCs w:val="21"/>
        </w:rPr>
        <w:t xml:space="preserve">, Finagro que son sociedades de </w:t>
      </w:r>
      <w:r w:rsidRPr="00253AC1">
        <w:rPr>
          <w:rFonts w:ascii="Arial" w:hAnsi="Arial" w:cs="Arial"/>
          <w:color w:val="000000"/>
          <w:sz w:val="21"/>
          <w:szCs w:val="21"/>
        </w:rPr>
        <w:t xml:space="preserve">economía mixta, los contratos de crédito público o empréstito que se suscriban con </w:t>
      </w:r>
      <w:proofErr w:type="gramStart"/>
      <w:r w:rsidRPr="00253AC1">
        <w:rPr>
          <w:rFonts w:ascii="Arial" w:hAnsi="Arial" w:cs="Arial"/>
          <w:color w:val="000000"/>
          <w:sz w:val="21"/>
          <w:szCs w:val="21"/>
        </w:rPr>
        <w:t>estos,</w:t>
      </w:r>
      <w:proofErr w:type="gramEnd"/>
      <w:r w:rsidRPr="00253AC1">
        <w:rPr>
          <w:rFonts w:ascii="Arial" w:hAnsi="Arial" w:cs="Arial"/>
          <w:color w:val="000000"/>
          <w:sz w:val="21"/>
          <w:szCs w:val="21"/>
        </w:rPr>
        <w:t xml:space="preserve"> son necesariamente contratos interadministrativos? ¿De ser así, estos contratos de crédito público o empréstito son cobijados por la Ley de Garantías Electorales?”</w:t>
      </w:r>
    </w:p>
    <w:p w:rsidR="00C60B22" w:rsidP="00C60B22" w:rsidRDefault="00C60B22" w14:paraId="0C763238" w14:textId="77777777">
      <w:pPr>
        <w:autoSpaceDE w:val="0"/>
        <w:autoSpaceDN w:val="0"/>
        <w:adjustRightInd w:val="0"/>
        <w:spacing w:after="0" w:line="240" w:lineRule="auto"/>
        <w:ind w:right="709"/>
        <w:jc w:val="both"/>
        <w:rPr>
          <w:rFonts w:ascii="Arial" w:hAnsi="Arial" w:cs="Arial"/>
          <w:color w:val="000000"/>
        </w:rPr>
      </w:pPr>
    </w:p>
    <w:p w:rsidRPr="00224199" w:rsidR="00C60B22" w:rsidP="004518EC" w:rsidRDefault="00C60B22" w14:paraId="2D7145DE" w14:textId="4227034D">
      <w:pPr>
        <w:pStyle w:val="Prrafodelista"/>
        <w:numPr>
          <w:ilvl w:val="0"/>
          <w:numId w:val="6"/>
        </w:numPr>
        <w:autoSpaceDE w:val="0"/>
        <w:autoSpaceDN w:val="0"/>
        <w:adjustRightInd w:val="0"/>
        <w:spacing w:after="0" w:line="240" w:lineRule="auto"/>
        <w:ind w:left="426" w:right="709" w:hanging="422"/>
        <w:jc w:val="both"/>
        <w:rPr>
          <w:rFonts w:ascii="Arial" w:hAnsi="Arial" w:eastAsia="Calibri" w:cs="Arial"/>
          <w:b/>
          <w:szCs w:val="24"/>
          <w:lang w:val="es-ES_tradnl" w:eastAsia="es-ES_tradnl"/>
        </w:rPr>
      </w:pPr>
      <w:r w:rsidRPr="004518EC">
        <w:rPr>
          <w:rFonts w:ascii="Arial" w:hAnsi="Arial" w:eastAsia="Calibri" w:cs="Arial"/>
          <w:b/>
          <w:lang w:eastAsia="es-ES"/>
        </w:rPr>
        <w:t>Consideraciones</w:t>
      </w:r>
    </w:p>
    <w:p w:rsidRPr="00224199" w:rsidR="00C60B22" w:rsidP="00C60B22" w:rsidRDefault="00C60B22" w14:paraId="6D921FFA" w14:textId="77777777">
      <w:pPr>
        <w:tabs>
          <w:tab w:val="left" w:pos="0"/>
          <w:tab w:val="left" w:pos="284"/>
        </w:tabs>
        <w:spacing w:after="0" w:line="240" w:lineRule="auto"/>
        <w:jc w:val="both"/>
        <w:rPr>
          <w:rFonts w:ascii="Arial" w:hAnsi="Arial" w:eastAsia="Calibri" w:cs="Arial"/>
          <w:b/>
          <w:szCs w:val="24"/>
          <w:lang w:val="es-ES_tradnl" w:eastAsia="es-ES_tradnl"/>
        </w:rPr>
      </w:pPr>
    </w:p>
    <w:p w:rsidRPr="00E137B8" w:rsidR="00C60B22" w:rsidP="00C60B22" w:rsidRDefault="00C60B22" w14:paraId="19E19ADB" w14:textId="77777777">
      <w:pPr>
        <w:spacing w:line="276" w:lineRule="auto"/>
        <w:jc w:val="both"/>
        <w:rPr>
          <w:rFonts w:ascii="Arial" w:hAnsi="Arial" w:cs="Arial"/>
          <w:color w:val="000000" w:themeColor="text1"/>
          <w:lang w:val="es-ES"/>
        </w:rPr>
      </w:pPr>
      <w:r w:rsidRPr="00E137B8">
        <w:rPr>
          <w:rFonts w:ascii="Arial" w:hAnsi="Arial" w:cs="Arial"/>
        </w:rPr>
        <w:t>L</w:t>
      </w:r>
      <w:r w:rsidRPr="00E137B8">
        <w:rPr>
          <w:rFonts w:ascii="Arial" w:hAnsi="Arial" w:eastAsia="Calibri" w:cs="Arial"/>
        </w:rPr>
        <w:t xml:space="preserve">a Subdirección resolverá la petición conforme a las normas generales en materia de contratación estatal. Con este objetivo se abordarán </w:t>
      </w:r>
      <w:r w:rsidRPr="00E137B8">
        <w:rPr>
          <w:rFonts w:ascii="Arial" w:hAnsi="Arial" w:eastAsia="Calibri" w:cs="Arial"/>
          <w:lang w:val="es-ES"/>
        </w:rPr>
        <w:t>los siguientes temas:</w:t>
      </w:r>
      <w:r w:rsidRPr="00E137B8">
        <w:rPr>
          <w:rFonts w:ascii="Arial" w:hAnsi="Arial" w:cs="Arial"/>
          <w:color w:val="000000" w:themeColor="text1"/>
          <w:lang w:val="es-ES"/>
        </w:rPr>
        <w:t xml:space="preserve"> </w:t>
      </w:r>
      <w:r w:rsidRPr="00E137B8">
        <w:rPr>
          <w:rFonts w:ascii="Arial" w:hAnsi="Arial" w:cs="Arial"/>
          <w:color w:val="000000" w:themeColor="text1"/>
          <w:lang w:val="es-ES_tradnl"/>
        </w:rPr>
        <w:t xml:space="preserve">i) definición y finalidad de la Ley de Garantías Electorales, </w:t>
      </w:r>
      <w:proofErr w:type="spellStart"/>
      <w:r w:rsidRPr="00E137B8">
        <w:rPr>
          <w:rFonts w:ascii="Arial" w:hAnsi="Arial" w:cs="Arial"/>
          <w:color w:val="000000" w:themeColor="text1"/>
          <w:lang w:val="es-ES_tradnl"/>
        </w:rPr>
        <w:t>ii</w:t>
      </w:r>
      <w:proofErr w:type="spellEnd"/>
      <w:r w:rsidRPr="00E137B8">
        <w:rPr>
          <w:rFonts w:ascii="Arial" w:hAnsi="Arial" w:cs="Arial"/>
          <w:color w:val="000000" w:themeColor="text1"/>
          <w:lang w:val="es-ES_tradnl"/>
        </w:rPr>
        <w:t xml:space="preserve">) restricciones para elecciones presidenciales, </w:t>
      </w:r>
      <w:proofErr w:type="spellStart"/>
      <w:r w:rsidRPr="00E137B8">
        <w:rPr>
          <w:rFonts w:ascii="Arial" w:hAnsi="Arial" w:cs="Arial"/>
          <w:color w:val="000000" w:themeColor="text1"/>
          <w:lang w:val="es-ES_tradnl"/>
        </w:rPr>
        <w:t>iii</w:t>
      </w:r>
      <w:proofErr w:type="spellEnd"/>
      <w:r w:rsidRPr="00E137B8">
        <w:rPr>
          <w:rFonts w:ascii="Arial" w:hAnsi="Arial" w:cs="Arial"/>
          <w:color w:val="000000" w:themeColor="text1"/>
          <w:lang w:val="es-ES_tradnl"/>
        </w:rPr>
        <w:t xml:space="preserve">) destinatarios de la prohibición del artículo 33 de la Ley 996 de 2005, </w:t>
      </w:r>
      <w:proofErr w:type="spellStart"/>
      <w:r w:rsidRPr="00E137B8">
        <w:rPr>
          <w:rFonts w:ascii="Arial" w:hAnsi="Arial" w:cs="Arial"/>
          <w:color w:val="000000" w:themeColor="text1"/>
          <w:lang w:val="es-ES_tradnl"/>
        </w:rPr>
        <w:t>iv</w:t>
      </w:r>
      <w:proofErr w:type="spellEnd"/>
      <w:r w:rsidRPr="00E137B8">
        <w:rPr>
          <w:rFonts w:ascii="Arial" w:hAnsi="Arial" w:cs="Arial"/>
          <w:color w:val="000000" w:themeColor="text1"/>
          <w:lang w:val="es-ES_tradnl"/>
        </w:rPr>
        <w:t>) restricciones en los comicios</w:t>
      </w:r>
      <w:r>
        <w:rPr>
          <w:rFonts w:ascii="Arial" w:hAnsi="Arial" w:cs="Arial"/>
          <w:color w:val="000000" w:themeColor="text1"/>
          <w:lang w:val="es-ES_tradnl"/>
        </w:rPr>
        <w:t xml:space="preserve"> para cargos de elección popular</w:t>
      </w:r>
      <w:r w:rsidRPr="00E137B8">
        <w:rPr>
          <w:rFonts w:ascii="Arial" w:hAnsi="Arial" w:cs="Arial"/>
          <w:color w:val="000000" w:themeColor="text1"/>
          <w:lang w:val="es-ES_tradnl"/>
        </w:rPr>
        <w:t>.</w:t>
      </w:r>
      <w:r>
        <w:rPr>
          <w:rFonts w:ascii="Arial" w:hAnsi="Arial" w:cs="Arial"/>
          <w:color w:val="000000" w:themeColor="text1"/>
          <w:lang w:val="es-ES_tradnl"/>
        </w:rPr>
        <w:t xml:space="preserve"> V) Tipología del contrato de crédito público y alcance normativo aplicable.  </w:t>
      </w:r>
      <w:r w:rsidRPr="00E137B8">
        <w:rPr>
          <w:rFonts w:ascii="Arial" w:hAnsi="Arial" w:cs="Arial"/>
          <w:color w:val="000000" w:themeColor="text1"/>
          <w:lang w:val="es-ES_tradnl"/>
        </w:rPr>
        <w:t xml:space="preserve">   </w:t>
      </w:r>
    </w:p>
    <w:p w:rsidRPr="00F070E2" w:rsidR="00C60B22" w:rsidP="00C60B22" w:rsidRDefault="00C60B22" w14:paraId="7EFE7FB9" w14:textId="77777777">
      <w:pPr>
        <w:spacing w:after="0" w:line="276" w:lineRule="auto"/>
        <w:ind w:right="49" w:firstLine="708"/>
        <w:jc w:val="both"/>
        <w:rPr>
          <w:rFonts w:ascii="Arial MT" w:hAnsi="Arial MT" w:eastAsia="Arial MT" w:cs="Arial MT"/>
          <w:lang w:eastAsia="es-CO"/>
        </w:rPr>
      </w:pPr>
      <w:r w:rsidRPr="00E137B8">
        <w:rPr>
          <w:rFonts w:ascii="Arial" w:hAnsi="Arial" w:eastAsia="Calibri" w:cs="Arial"/>
          <w:color w:val="000000" w:themeColor="text1"/>
          <w:lang w:val="es-ES"/>
        </w:rPr>
        <w:t>La Agencia Nacional de Contratación Pública – Colombia Compra Eficiente, en los Conceptos</w:t>
      </w:r>
      <w:r w:rsidRPr="00E137B8">
        <w:rPr>
          <w:rFonts w:ascii="Arial" w:hAnsi="Arial" w:eastAsia="Calibri" w:cs="Arial"/>
          <w:color w:val="000000" w:themeColor="text1"/>
          <w:lang w:val="es-MX" w:eastAsia="en-GB"/>
        </w:rPr>
        <w:t xml:space="preserve"> </w:t>
      </w:r>
      <w:r w:rsidRPr="00E137B8">
        <w:rPr>
          <w:rFonts w:ascii="Arial" w:hAnsi="Arial" w:cs="Arial"/>
          <w:color w:val="000000"/>
          <w:shd w:val="clear" w:color="auto" w:fill="FFFFFF"/>
          <w:lang w:val="es-ES"/>
        </w:rPr>
        <w:t xml:space="preserve">4201912000004632 del 6 de agosto de 2019, 2201913000005655 del 8 de agosto de 2019, 2201913000006283 del 27 de agosto de 2019, 2201913000006521 del 3 de septiembre de 2019, 2201913000006634 del 6 de septiembre de 2019, 2201913000006639 del 9 de septiembre de 2019, 2201913000007430 del 7 de octubre de 2019, 2201913000007565 del 10 de octubre de 2019, 2201913000008259 del 6 de noviembre de 2019, C-074 del 17 de marzo de 2021, C-075 del 16 de marzo de 2021, C-227 de 2021 del 5 de mayo de 2021, C-259 del 2 de junio de 2021, C-296 del 22 de junio de 2021, C-337 del 13 de julio de 2021, C-350 del 16 de julio de 2021, C-352 del 27 de julio de 2021, C-374 del 16 de septiembre de 2021, C-381 del 2 de agosto de 2021, C-391 del 11 de agosto de 2021, C-396 del 13 de agosto de 2021, C-401 del 10 de agosto de 2021, C-413 del 17 de agosto de 2021, C-439  del 27 de agosto de 2021, C-456 del 3 de septiembre de 2021, C-481 del 98 de septiembre de 2021, C-495 del 15 de septiembre de 2021, C-497 del 15 de septiembre de 2021, C-499 del 15 de septiembre de 2021, C-523 del 10 de octubre de 2021, C-528 del 27 de septiembre de 2021, C-543 del 9 de noviembre de 2021, C-550 del 5 de octubre de 2021, C-557 del 7 de octubre de 2021, C-563 del 8 de octubre de 2021, C-606 del 3 de noviembre de 2021, C-614 del 2 de noviembre de 2021, C-633 del 11 de noviembre de 2021, C-634 del 11 de noviembre de 2021, C-636 del 16 de noviembre de 2021, C-674 del 6 de diciembre de 2021, C-675 del 6 de enero de 2022, C-677 del 4 de diciembre de 2021, C-695 del 22 de diciembre de 2021, C-699 del 6 de enero de 2022, C-700 del 6 de enero de 2021, C-723 del 28 de diciembre de 2021, </w:t>
      </w:r>
      <w:r w:rsidRPr="00E137B8">
        <w:rPr>
          <w:rFonts w:ascii="Arial" w:hAnsi="Arial" w:cs="Arial"/>
          <w:color w:val="000000"/>
          <w:shd w:val="clear" w:color="auto" w:fill="FFFFFF"/>
        </w:rPr>
        <w:t xml:space="preserve">C-715 del 21 de enero de 2022, C-718 del 24 de enero de 2022 y C-726 del 24 de enero de 2022, C-002 del 15 de febrero de 2022, C–005 del 16 de febrero de 2022, C-009 del 15 de febrero de 2022, C-014 del 18 de febrero de 2022, C-022 del 21 de febrero de 2022, C-023 del 22 de febrero de 2022, C-008 del 24 de febrero de 2022, C-045 del 3 de marzo de 2022, C-054 del 7 de marzo de 2022, C-064 del 8 de marzo de 2022, C-072 del 11 de marzo de 2022, C-109 del 14 de marzo de 2022, C-073 del 14 de marzo de 2022, C-075 del 10 de marzo </w:t>
      </w:r>
      <w:r w:rsidRPr="00E137B8">
        <w:rPr>
          <w:rFonts w:ascii="Arial" w:hAnsi="Arial" w:cs="Arial"/>
          <w:color w:val="000000"/>
          <w:shd w:val="clear" w:color="auto" w:fill="FFFFFF"/>
        </w:rPr>
        <w:t>de 2022, C-077 del 17 de marzo de 2022, C-092 del 16 de marzo de 2022, C-094 del 16 de marzo de 2022, C-096 del 22 de marzo de 2022, C-097 del 18 de marzo de 2022, C-098 del 9 de marzo de 2022, C-099 del 22 de marzo de 2022, C-102 del 22 de marzo de 2022, C-107 del 18 de marzo de 2022, C-111 del 22 de marzo de 2022. C-115 del 22 de marzo de 2022, C-116 del 18 de marzo de 2022, C-127 del 22 de marzo de 2022, C-134 del 1° de abril de 2022, C-164 del 22 de marzo de 2022, C-170 del 5 de abril de 2022, C-175 del 17 de mayo de 2022, C-329 del 24 de mayo de 2022, C-027 del 22 de marzo de 2023, C-049 del 13 de abril de 2023, C-075 del 25 de abril de 2023, C-076 del 25 de abril de 2023, C-098 del 4 de mayo de 2023, C-105 del 14 de junio de 2023, C-107 del 8 de mayo de 2023, C-115 del 8 de junio de 2023, C-116 del 8 de junio de 2023, C-118 del 9 de junio de 2023, C-134 del 26 de mayo de 2023, C-145 del 18 de mayo de 2023 y C-149 del 1° de junio de 2023, se ha pronunciado sobre la aplicación de la Ley de garantías</w:t>
      </w:r>
      <w:r w:rsidRPr="00E137B8">
        <w:rPr>
          <w:rFonts w:ascii="Arial" w:hAnsi="Arial" w:eastAsia="Calibri" w:cs="Arial"/>
          <w:vertAlign w:val="superscript"/>
        </w:rPr>
        <w:footnoteReference w:id="2"/>
      </w:r>
      <w:r w:rsidRPr="00E137B8">
        <w:rPr>
          <w:rFonts w:ascii="Arial" w:hAnsi="Arial" w:cs="Arial"/>
          <w:color w:val="000000"/>
          <w:shd w:val="clear" w:color="auto" w:fill="FFFFFF"/>
        </w:rPr>
        <w:t xml:space="preserve">. </w:t>
      </w:r>
      <w:r w:rsidRPr="00E137B8">
        <w:rPr>
          <w:rFonts w:ascii="Arial" w:hAnsi="Arial" w:eastAsia="Calibri" w:cs="Arial"/>
          <w:color w:val="000000" w:themeColor="text1"/>
          <w:lang w:val="es-ES_tradnl"/>
        </w:rPr>
        <w:t>La tesis propuesta en estos conceptos se reitera a continuación y se complementa en lo pertinente.</w:t>
      </w:r>
    </w:p>
    <w:p w:rsidR="00C60B22" w:rsidP="00C60B22" w:rsidRDefault="00C60B22" w14:paraId="0476D6F2" w14:textId="77777777">
      <w:pPr>
        <w:tabs>
          <w:tab w:val="left" w:pos="426"/>
        </w:tabs>
        <w:spacing w:after="0" w:line="276" w:lineRule="auto"/>
        <w:contextualSpacing/>
        <w:jc w:val="both"/>
        <w:rPr>
          <w:rFonts w:ascii="Arial" w:hAnsi="Arial" w:eastAsia="Calibri" w:cs="Arial"/>
          <w:color w:val="000000" w:themeColor="text1"/>
        </w:rPr>
      </w:pPr>
    </w:p>
    <w:p w:rsidRPr="00B0204F" w:rsidR="00C60B22" w:rsidP="00C60B22" w:rsidRDefault="00C60B22" w14:paraId="5E20A368" w14:textId="77777777">
      <w:pPr>
        <w:spacing w:after="0" w:line="276" w:lineRule="auto"/>
        <w:contextualSpacing/>
        <w:jc w:val="both"/>
        <w:rPr>
          <w:rFonts w:ascii="Arial" w:hAnsi="Arial" w:eastAsia="Calibri" w:cs="Arial"/>
          <w:b/>
        </w:rPr>
      </w:pPr>
      <w:bookmarkStart w:name="_Hlk117695077" w:id="7"/>
      <w:r w:rsidRPr="00B0204F">
        <w:rPr>
          <w:rFonts w:ascii="Arial" w:hAnsi="Arial" w:eastAsia="Times New Roman" w:cs="Arial"/>
          <w:b/>
          <w:szCs w:val="24"/>
          <w:lang w:eastAsia="es-ES_tradnl"/>
        </w:rPr>
        <w:t xml:space="preserve">2.1. </w:t>
      </w:r>
      <w:r w:rsidRPr="00B0204F">
        <w:rPr>
          <w:rFonts w:ascii="Arial" w:hAnsi="Arial" w:eastAsia="Calibri" w:cs="Arial"/>
          <w:b/>
        </w:rPr>
        <w:t>Definición y finalidad de la Ley de Garantías Electorales: alcance de las restricciones</w:t>
      </w:r>
    </w:p>
    <w:p w:rsidRPr="00B0204F" w:rsidR="00C60B22" w:rsidP="00C60B22" w:rsidRDefault="00C60B22" w14:paraId="2529AE0A" w14:textId="77777777">
      <w:pPr>
        <w:tabs>
          <w:tab w:val="left" w:pos="426"/>
        </w:tabs>
        <w:spacing w:after="0" w:line="276" w:lineRule="auto"/>
        <w:ind w:firstLine="709"/>
        <w:contextualSpacing/>
        <w:jc w:val="both"/>
        <w:rPr>
          <w:rFonts w:ascii="Arial" w:hAnsi="Arial" w:eastAsia="Calibri" w:cs="Arial"/>
        </w:rPr>
      </w:pPr>
    </w:p>
    <w:p w:rsidRPr="00B0204F" w:rsidR="00C60B22" w:rsidP="00C60B22" w:rsidRDefault="00C60B22" w14:paraId="4B0686A1" w14:textId="77777777">
      <w:pPr>
        <w:tabs>
          <w:tab w:val="left" w:pos="426"/>
        </w:tabs>
        <w:spacing w:after="120" w:line="276" w:lineRule="auto"/>
        <w:jc w:val="both"/>
        <w:rPr>
          <w:rFonts w:ascii="Arial" w:hAnsi="Arial" w:eastAsia="Times New Roman" w:cs="Arial"/>
          <w:lang w:eastAsia="es-CO"/>
        </w:rPr>
      </w:pPr>
      <w:r w:rsidRPr="00B0204F">
        <w:rPr>
          <w:rFonts w:ascii="Arial" w:hAnsi="Arial" w:eastAsia="Calibri" w:cs="Arial"/>
        </w:rPr>
        <w:t>El ordenamiento jurídico colombiano contempla previsiones claras para evitar la obtención de beneficios personales en asuntos propios de la administración pública</w:t>
      </w:r>
      <w:r w:rsidRPr="00B0204F">
        <w:rPr>
          <w:rFonts w:ascii="Arial" w:hAnsi="Arial" w:eastAsia="Calibri" w:cs="Arial"/>
          <w:i/>
        </w:rPr>
        <w:t xml:space="preserve">. </w:t>
      </w:r>
      <w:r w:rsidRPr="00B0204F">
        <w:rPr>
          <w:rFonts w:ascii="Arial" w:hAnsi="Arial" w:eastAsia="Calibri" w:cs="Arial"/>
        </w:rPr>
        <w:t>Por ejemplo, el artículo 127 de la Constitución Política establece una prohibición contractual a los servidores públicos y en cuanto a aspectos políticos consagra restricciones a ciertos empleados del Estado, incluso en época no electoral</w:t>
      </w:r>
      <w:r w:rsidRPr="00B0204F">
        <w:rPr>
          <w:rFonts w:ascii="Arial" w:hAnsi="Arial" w:eastAsia="Calibri" w:cs="Arial"/>
          <w:vertAlign w:val="superscript"/>
        </w:rPr>
        <w:footnoteReference w:id="3"/>
      </w:r>
      <w:r w:rsidRPr="00B0204F">
        <w:rPr>
          <w:rFonts w:ascii="Arial" w:hAnsi="Arial" w:eastAsia="Calibri" w:cs="Arial"/>
        </w:rPr>
        <w:t xml:space="preserve">. </w:t>
      </w:r>
    </w:p>
    <w:p w:rsidRPr="00B0204F" w:rsidR="00C60B22" w:rsidP="00C60B22" w:rsidRDefault="00C60B22" w14:paraId="5467B5E3" w14:textId="77777777">
      <w:pPr>
        <w:tabs>
          <w:tab w:val="left" w:pos="426"/>
        </w:tabs>
        <w:spacing w:after="0" w:line="276" w:lineRule="auto"/>
        <w:ind w:firstLine="709"/>
        <w:jc w:val="both"/>
        <w:rPr>
          <w:rFonts w:ascii="Arial" w:hAnsi="Arial" w:eastAsia="Times New Roman" w:cs="Arial"/>
          <w:lang w:val="es-MX" w:eastAsia="es-CO"/>
        </w:rPr>
      </w:pPr>
      <w:r w:rsidRPr="00B0204F">
        <w:rPr>
          <w:rFonts w:ascii="Arial" w:hAnsi="Arial" w:eastAsia="Times New Roman" w:cs="Arial"/>
          <w:lang w:eastAsia="es-CO"/>
        </w:rPr>
        <w:t>En el mismo sentido</w:t>
      </w:r>
      <w:r w:rsidRPr="00B0204F">
        <w:rPr>
          <w:rFonts w:ascii="Arial" w:hAnsi="Arial" w:eastAsia="Times New Roman" w:cs="Arial"/>
          <w:lang w:val="es-MX" w:eastAsia="es-CO"/>
        </w:rPr>
        <w:t xml:space="preserve">, </w:t>
      </w:r>
      <w:bookmarkStart w:name="_Hlk99576829" w:id="8"/>
      <w:r w:rsidRPr="00B0204F">
        <w:rPr>
          <w:rFonts w:ascii="Arial" w:hAnsi="Arial" w:eastAsia="Times New Roman" w:cs="Arial"/>
          <w:lang w:val="es-MX" w:eastAsia="es-CO"/>
        </w:rPr>
        <w:t>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B0204F">
        <w:rPr>
          <w:rFonts w:ascii="Arial" w:hAnsi="Arial" w:eastAsia="Times New Roman" w:cs="Arial"/>
          <w:vertAlign w:val="superscript"/>
          <w:lang w:val="es-MX" w:eastAsia="es-CO"/>
        </w:rPr>
        <w:footnoteReference w:id="4"/>
      </w:r>
      <w:r w:rsidRPr="00B0204F">
        <w:rPr>
          <w:rFonts w:ascii="Arial" w:hAnsi="Arial" w:eastAsia="Times New Roman"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00B0204F">
        <w:rPr>
          <w:rFonts w:ascii="Arial" w:hAnsi="Arial" w:eastAsia="Calibri" w:cs="Arial"/>
          <w:lang w:val="es-ES_tradnl"/>
        </w:rPr>
        <w:t xml:space="preserve"> </w:t>
      </w:r>
      <w:bookmarkEnd w:id="8"/>
      <w:r w:rsidRPr="00B0204F">
        <w:rPr>
          <w:rFonts w:ascii="Arial" w:hAnsi="Arial" w:eastAsia="Times New Roman" w:cs="Arial"/>
          <w:lang w:val="es-MX" w:eastAsia="es-CO"/>
        </w:rPr>
        <w:t xml:space="preserve">En armonía con lo </w:t>
      </w:r>
      <w:r w:rsidRPr="00B0204F">
        <w:rPr>
          <w:rFonts w:ascii="Arial" w:hAnsi="Arial" w:eastAsia="Times New Roman" w:cs="Arial"/>
          <w:lang w:val="es-MX" w:eastAsia="es-CO"/>
        </w:rPr>
        <w:t>anterior, la Corte Constitucional ha abordado la definición de la Ley de Garantías Electorales. De esta manera, explica que tiene como propósito:</w:t>
      </w:r>
    </w:p>
    <w:p w:rsidRPr="00B0204F" w:rsidR="00C60B22" w:rsidP="00C60B22" w:rsidRDefault="00C60B22" w14:paraId="29B9B8C8" w14:textId="77777777">
      <w:pPr>
        <w:spacing w:after="0" w:line="276" w:lineRule="auto"/>
        <w:ind w:right="709"/>
        <w:contextualSpacing/>
        <w:jc w:val="both"/>
        <w:rPr>
          <w:rFonts w:ascii="Arial" w:hAnsi="Arial" w:eastAsia="Times New Roman" w:cs="Arial"/>
          <w:sz w:val="21"/>
          <w:szCs w:val="21"/>
          <w:lang w:val="es-ES" w:eastAsia="es-CO"/>
        </w:rPr>
      </w:pPr>
    </w:p>
    <w:p w:rsidRPr="00B0204F" w:rsidR="00C60B22" w:rsidP="00C60B22" w:rsidRDefault="00C60B22" w14:paraId="54F29909" w14:textId="77777777">
      <w:pPr>
        <w:spacing w:after="0" w:line="240" w:lineRule="auto"/>
        <w:ind w:left="709" w:right="709"/>
        <w:contextualSpacing/>
        <w:jc w:val="both"/>
        <w:rPr>
          <w:rFonts w:ascii="Arial" w:hAnsi="Arial" w:eastAsia="Times New Roman" w:cs="Arial"/>
          <w:sz w:val="21"/>
          <w:szCs w:val="21"/>
          <w:lang w:val="es-MX" w:eastAsia="es-CO"/>
        </w:rPr>
      </w:pPr>
      <w:r w:rsidRPr="00B0204F">
        <w:rPr>
          <w:rFonts w:ascii="Arial" w:hAnsi="Arial" w:eastAsia="Times New Roman" w:cs="Arial"/>
          <w:sz w:val="21"/>
          <w:szCs w:val="21"/>
          <w:lang w:val="es-ES" w:eastAsia="es-CO"/>
        </w:rPr>
        <w:t xml:space="preserve">“[…] </w:t>
      </w:r>
      <w:r w:rsidRPr="00B0204F">
        <w:rPr>
          <w:rFonts w:ascii="Arial" w:hAnsi="Arial" w:eastAsia="Times New Roman" w:cs="Arial"/>
          <w:sz w:val="21"/>
          <w:szCs w:val="21"/>
          <w:lang w:val="es-MX" w:eastAsia="es-CO"/>
        </w:rPr>
        <w:t>la definición de reglas claras que permitan acceder a los canales de expresión democrática de manera efectiva e igualitaria. El objetivo de una ley de garantías es definir esas reglas.</w:t>
      </w:r>
    </w:p>
    <w:p w:rsidRPr="00B0204F" w:rsidR="00C60B22" w:rsidP="00C60B22" w:rsidRDefault="00C60B22" w14:paraId="79E5D9F0" w14:textId="77777777">
      <w:pPr>
        <w:spacing w:after="0" w:line="240" w:lineRule="auto"/>
        <w:ind w:left="709" w:right="709"/>
        <w:contextualSpacing/>
        <w:jc w:val="both"/>
        <w:rPr>
          <w:rFonts w:ascii="Arial" w:hAnsi="Arial" w:eastAsia="Times New Roman" w:cs="Arial"/>
          <w:sz w:val="21"/>
          <w:szCs w:val="21"/>
          <w:lang w:val="es-MX" w:eastAsia="es-CO"/>
        </w:rPr>
      </w:pPr>
      <w:r w:rsidRPr="00B0204F">
        <w:rPr>
          <w:rFonts w:ascii="Arial" w:hAnsi="Arial" w:eastAsia="Times New Roman" w:cs="Arial"/>
          <w:sz w:val="21"/>
          <w:szCs w:val="21"/>
          <w:lang w:val="es-MX" w:eastAsia="es-CO"/>
        </w:rPr>
        <w:t xml:space="preserve">[…] </w:t>
      </w:r>
    </w:p>
    <w:p w:rsidRPr="00B0204F" w:rsidR="00C60B22" w:rsidP="00C60B22" w:rsidRDefault="00C60B22" w14:paraId="01E6CD11" w14:textId="77777777">
      <w:pPr>
        <w:spacing w:after="0" w:line="240" w:lineRule="auto"/>
        <w:ind w:right="709"/>
        <w:contextualSpacing/>
        <w:jc w:val="both"/>
        <w:rPr>
          <w:rFonts w:ascii="Arial" w:hAnsi="Arial" w:eastAsia="Times New Roman" w:cs="Arial"/>
          <w:sz w:val="12"/>
          <w:szCs w:val="12"/>
          <w:lang w:val="es-MX" w:eastAsia="es-CO"/>
        </w:rPr>
      </w:pPr>
    </w:p>
    <w:p w:rsidRPr="00B0204F" w:rsidR="00C60B22" w:rsidP="00C60B22" w:rsidRDefault="00C60B22" w14:paraId="0E55C8D7" w14:textId="77777777">
      <w:pPr>
        <w:spacing w:after="0" w:line="240" w:lineRule="auto"/>
        <w:ind w:left="709" w:right="709"/>
        <w:contextualSpacing/>
        <w:jc w:val="both"/>
        <w:rPr>
          <w:rFonts w:ascii="Arial" w:hAnsi="Arial" w:eastAsia="Times New Roman" w:cs="Arial"/>
          <w:sz w:val="21"/>
          <w:szCs w:val="21"/>
          <w:lang w:val="es-MX" w:eastAsia="es-CO"/>
        </w:rPr>
      </w:pPr>
      <w:r w:rsidRPr="00B0204F">
        <w:rPr>
          <w:rFonts w:ascii="Arial" w:hAnsi="Arial" w:eastAsia="Times New Roman" w:cs="Arial"/>
          <w:sz w:val="21"/>
          <w:szCs w:val="21"/>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B0204F">
        <w:rPr>
          <w:rFonts w:ascii="Arial" w:hAnsi="Arial" w:eastAsia="Calibri" w:cs="Arial"/>
          <w:sz w:val="20"/>
          <w:szCs w:val="20"/>
          <w:vertAlign w:val="superscript"/>
          <w:lang w:val="es-MX"/>
        </w:rPr>
        <w:footnoteReference w:id="5"/>
      </w:r>
    </w:p>
    <w:p w:rsidRPr="00B0204F" w:rsidR="00C60B22" w:rsidP="00C60B22" w:rsidRDefault="00C60B22" w14:paraId="0C069469" w14:textId="77777777">
      <w:pPr>
        <w:spacing w:after="0" w:line="276" w:lineRule="auto"/>
        <w:ind w:left="709" w:right="709"/>
        <w:contextualSpacing/>
        <w:jc w:val="both"/>
        <w:rPr>
          <w:rFonts w:ascii="Arial" w:hAnsi="Arial" w:eastAsia="Times New Roman" w:cs="Arial"/>
          <w:sz w:val="21"/>
          <w:szCs w:val="21"/>
          <w:lang w:val="es-MX" w:eastAsia="es-CO"/>
        </w:rPr>
      </w:pPr>
    </w:p>
    <w:p w:rsidRPr="00B0204F" w:rsidR="00C60B22" w:rsidP="00C60B22" w:rsidRDefault="00C60B22" w14:paraId="73784261" w14:textId="77777777">
      <w:pPr>
        <w:spacing w:after="0" w:line="276" w:lineRule="auto"/>
        <w:ind w:firstLine="709"/>
        <w:jc w:val="both"/>
        <w:rPr>
          <w:rFonts w:ascii="Arial" w:hAnsi="Arial" w:eastAsia="Times New Roman" w:cs="Arial"/>
          <w:lang w:val="es-MX" w:eastAsia="es-CO"/>
        </w:rPr>
      </w:pPr>
      <w:bookmarkStart w:name="_Hlk78818186" w:id="9"/>
      <w:r w:rsidRPr="00B0204F">
        <w:rPr>
          <w:rFonts w:ascii="Arial" w:hAnsi="Arial" w:eastAsia="Times New Roman" w:cs="Arial"/>
          <w:lang w:val="es-MX" w:eastAsia="es-CO"/>
        </w:rPr>
        <w:t xml:space="preserve">En este contexto, la Ley de Garantías Electorales establece el marco jurídico para el desarrollo de las elecciones, procurando condiciones de igualdad y transparencia para los aspirantes y paralelamente se incluyen restricciones en el actuar de los servidores públicos, evitando interferencias en la contienda electoral, así como la posible desviación de recursos públicos en aspiraciones electorales. </w:t>
      </w:r>
      <w:bookmarkEnd w:id="9"/>
      <w:r w:rsidRPr="00B0204F">
        <w:rPr>
          <w:rFonts w:ascii="Arial" w:hAnsi="Arial" w:eastAsia="Times New Roman" w:cs="Arial"/>
          <w:lang w:val="es-MX" w:eastAsia="es-CO"/>
        </w:rPr>
        <w:t>Por ello, varias de las disposiciones de la Ley 996 de 2005, al contener normas prohibitivas, no admiten una interpretación amplia, sino que deben interpretarse restrictivamente. En efecto, la Sala de Consulta y Servicio Civil del Consejo de Estado, precisó lo siguiente:</w:t>
      </w:r>
    </w:p>
    <w:p w:rsidRPr="00B0204F" w:rsidR="00C60B22" w:rsidP="00C60B22" w:rsidRDefault="00C60B22" w14:paraId="679772F4" w14:textId="77777777">
      <w:pPr>
        <w:spacing w:after="0" w:line="276" w:lineRule="auto"/>
        <w:ind w:firstLine="709"/>
        <w:contextualSpacing/>
        <w:jc w:val="both"/>
        <w:rPr>
          <w:rFonts w:ascii="Arial" w:hAnsi="Arial" w:eastAsia="Times New Roman" w:cs="Arial"/>
          <w:lang w:val="es-MX" w:eastAsia="es-CO"/>
        </w:rPr>
      </w:pPr>
    </w:p>
    <w:p w:rsidRPr="00B0204F" w:rsidR="00C60B22" w:rsidP="00C60B22" w:rsidRDefault="00C60B22" w14:paraId="3821F440" w14:textId="77777777">
      <w:pPr>
        <w:spacing w:after="0" w:line="240" w:lineRule="auto"/>
        <w:ind w:left="709" w:right="709"/>
        <w:contextualSpacing/>
        <w:jc w:val="both"/>
        <w:rPr>
          <w:rFonts w:ascii="Arial" w:hAnsi="Arial" w:eastAsia="Times New Roman" w:cs="Arial"/>
          <w:sz w:val="21"/>
          <w:szCs w:val="21"/>
          <w:lang w:val="es-MX" w:eastAsia="es-CO"/>
        </w:rPr>
      </w:pPr>
      <w:r w:rsidRPr="00B0204F">
        <w:rPr>
          <w:rFonts w:ascii="Arial" w:hAnsi="Arial" w:eastAsia="Times New Roman" w:cs="Arial"/>
          <w:sz w:val="21"/>
          <w:szCs w:val="21"/>
          <w:lang w:val="es-MX"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B0204F">
        <w:rPr>
          <w:rFonts w:ascii="Arial" w:hAnsi="Arial" w:eastAsia="Times New Roman" w:cs="Arial"/>
          <w:sz w:val="21"/>
          <w:szCs w:val="21"/>
          <w:lang w:val="es-MX" w:eastAsia="es-CO"/>
        </w:rPr>
        <w:t>legis</w:t>
      </w:r>
      <w:proofErr w:type="spellEnd"/>
      <w:r w:rsidRPr="00B0204F">
        <w:rPr>
          <w:rFonts w:ascii="Arial" w:hAnsi="Arial" w:eastAsia="Times New Roman" w:cs="Arial"/>
          <w:sz w:val="21"/>
          <w:szCs w:val="21"/>
          <w:lang w:val="es-MX"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rsidRPr="00B0204F" w:rsidR="00C60B22" w:rsidP="00C60B22" w:rsidRDefault="00C60B22" w14:paraId="09A40D86" w14:textId="77777777">
      <w:pPr>
        <w:spacing w:after="0" w:line="240" w:lineRule="auto"/>
        <w:ind w:right="709"/>
        <w:contextualSpacing/>
        <w:jc w:val="both"/>
        <w:rPr>
          <w:rFonts w:ascii="Arial" w:hAnsi="Arial" w:eastAsia="Times New Roman" w:cs="Arial"/>
          <w:sz w:val="12"/>
          <w:szCs w:val="12"/>
          <w:lang w:val="es-MX" w:eastAsia="es-CO"/>
        </w:rPr>
      </w:pPr>
    </w:p>
    <w:p w:rsidRPr="00B0204F" w:rsidR="00C60B22" w:rsidP="00C60B22" w:rsidRDefault="00C60B22" w14:paraId="75A79216" w14:textId="77777777">
      <w:pPr>
        <w:spacing w:after="0" w:line="240" w:lineRule="auto"/>
        <w:ind w:left="709" w:right="709"/>
        <w:contextualSpacing/>
        <w:jc w:val="both"/>
        <w:rPr>
          <w:rFonts w:ascii="Arial" w:hAnsi="Arial" w:eastAsia="Times New Roman" w:cs="Arial"/>
          <w:sz w:val="21"/>
          <w:szCs w:val="21"/>
          <w:lang w:val="es-MX" w:eastAsia="es-CO"/>
        </w:rPr>
      </w:pPr>
      <w:r w:rsidRPr="00B0204F">
        <w:rPr>
          <w:rFonts w:ascii="Arial" w:hAnsi="Arial" w:eastAsia="Times New Roman" w:cs="Arial"/>
          <w:sz w:val="21"/>
          <w:szCs w:val="21"/>
          <w:lang w:val="es-MX" w:eastAsia="es-CO"/>
        </w:rPr>
        <w:t>La jurisprudencia de la Corte Constitucional</w:t>
      </w:r>
      <w:r w:rsidRPr="00B0204F">
        <w:rPr>
          <w:rFonts w:ascii="Arial" w:hAnsi="Arial" w:eastAsia="Times New Roman" w:cs="Arial"/>
          <w:sz w:val="21"/>
          <w:szCs w:val="21"/>
          <w:vertAlign w:val="superscript"/>
          <w:lang w:val="es-MX" w:eastAsia="es-CO"/>
        </w:rPr>
        <w:footnoteReference w:id="6"/>
      </w:r>
      <w:r w:rsidRPr="00B0204F">
        <w:rPr>
          <w:rFonts w:ascii="Arial" w:hAnsi="Arial" w:eastAsia="Times New Roman" w:cs="Arial"/>
          <w:sz w:val="21"/>
          <w:szCs w:val="21"/>
          <w:lang w:val="es-MX" w:eastAsia="es-CO"/>
        </w:rPr>
        <w:t> y del Consejo de Estado</w:t>
      </w:r>
      <w:r w:rsidRPr="00B0204F">
        <w:rPr>
          <w:rFonts w:ascii="Arial" w:hAnsi="Arial" w:eastAsia="Times New Roman" w:cs="Arial"/>
          <w:sz w:val="21"/>
          <w:szCs w:val="21"/>
          <w:vertAlign w:val="superscript"/>
          <w:lang w:val="es-MX" w:eastAsia="es-CO"/>
        </w:rPr>
        <w:footnoteReference w:id="7"/>
      </w:r>
      <w:r w:rsidRPr="00B0204F">
        <w:rPr>
          <w:rFonts w:ascii="Arial" w:hAnsi="Arial" w:eastAsia="Times New Roman" w:cs="Arial"/>
          <w:sz w:val="21"/>
          <w:szCs w:val="21"/>
          <w:lang w:val="es-MX" w:eastAsia="es-CO"/>
        </w:rPr>
        <w:t xml:space="preserve">, coinciden en que las normas que establecen prohibiciones deben estar de manera explícita </w:t>
      </w:r>
      <w:r w:rsidRPr="00B0204F">
        <w:rPr>
          <w:rFonts w:ascii="Arial" w:hAnsi="Arial" w:eastAsia="Times New Roman" w:cs="Arial"/>
          <w:sz w:val="21"/>
          <w:szCs w:val="21"/>
          <w:lang w:val="es-MX" w:eastAsia="es-CO"/>
        </w:rPr>
        <w:t>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B0204F">
        <w:rPr>
          <w:rFonts w:ascii="Arial" w:hAnsi="Arial" w:eastAsia="Times New Roman" w:cs="Arial"/>
          <w:vertAlign w:val="superscript"/>
          <w:lang w:val="es-MX" w:eastAsia="es-CO"/>
        </w:rPr>
        <w:footnoteReference w:id="8"/>
      </w:r>
      <w:r w:rsidRPr="00B0204F">
        <w:rPr>
          <w:rFonts w:ascii="Arial" w:hAnsi="Arial" w:eastAsia="Times New Roman" w:cs="Arial"/>
          <w:sz w:val="21"/>
          <w:szCs w:val="21"/>
          <w:lang w:val="es-MX" w:eastAsia="es-CO"/>
        </w:rPr>
        <w:t>.</w:t>
      </w:r>
    </w:p>
    <w:p w:rsidRPr="00B0204F" w:rsidR="00C60B22" w:rsidP="00C60B22" w:rsidRDefault="00C60B22" w14:paraId="389C4FFA" w14:textId="77777777">
      <w:pPr>
        <w:spacing w:after="0" w:line="276" w:lineRule="auto"/>
        <w:ind w:right="709"/>
        <w:contextualSpacing/>
        <w:jc w:val="both"/>
        <w:rPr>
          <w:rFonts w:ascii="Arial" w:hAnsi="Arial" w:eastAsia="Times New Roman" w:cs="Arial"/>
          <w:sz w:val="21"/>
          <w:szCs w:val="21"/>
          <w:lang w:val="es-MX" w:eastAsia="es-CO"/>
        </w:rPr>
      </w:pPr>
    </w:p>
    <w:p w:rsidRPr="00B0204F" w:rsidR="00C60B22" w:rsidP="00C60B22" w:rsidRDefault="00C60B22" w14:paraId="5FB4F891" w14:textId="77777777">
      <w:pPr>
        <w:spacing w:after="120" w:line="276" w:lineRule="auto"/>
        <w:jc w:val="both"/>
        <w:rPr>
          <w:rFonts w:ascii="Arial" w:hAnsi="Arial" w:eastAsia="Arial" w:cs="Arial"/>
          <w:lang w:val="es-ES" w:eastAsia="es-ES" w:bidi="es-ES"/>
        </w:rPr>
      </w:pPr>
      <w:r w:rsidRPr="00B0204F">
        <w:rPr>
          <w:rFonts w:ascii="Arial" w:hAnsi="Arial" w:eastAsia="Times New Roman" w:cs="Arial"/>
          <w:lang w:val="es-MX" w:eastAsia="es-CO"/>
        </w:rPr>
        <w:tab/>
      </w:r>
      <w:r w:rsidRPr="00B0204F">
        <w:rPr>
          <w:rFonts w:ascii="Arial" w:hAnsi="Arial" w:eastAsia="Times New Roman" w:cs="Arial"/>
          <w:lang w:val="es-MX" w:eastAsia="es-CO"/>
        </w:rPr>
        <w:t>De</w:t>
      </w:r>
      <w:r w:rsidRPr="00B0204F">
        <w:rPr>
          <w:rFonts w:ascii="Arial" w:hAnsi="Arial" w:eastAsia="Arial" w:cs="Arial"/>
          <w:lang w:val="es-ES" w:eastAsia="es-ES" w:bidi="es-ES"/>
        </w:rPr>
        <w:t xml:space="preserve"> conformidad con lo anterior, </w:t>
      </w:r>
      <w:bookmarkStart w:name="_Hlk77236098" w:id="10"/>
      <w:bookmarkStart w:name="_Hlk100679383" w:id="11"/>
      <w:r w:rsidRPr="00B0204F">
        <w:rPr>
          <w:rFonts w:ascii="Arial" w:hAnsi="Arial" w:eastAsia="Arial" w:cs="Arial"/>
          <w:lang w:val="es-ES" w:eastAsia="es-ES" w:bidi="es-ES"/>
        </w:rPr>
        <w:t>la Ley de Garantías Electorales fijó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Específicamente, las restricciones consagradas en la citada ley se dirigen a dos (2) tipos de campañas electorales claramente diferenciadas: las presidenciales y las demás que se adelanten para la elección de los demás cargos de elección popular, tanto a nivel nacional como territorial.</w:t>
      </w:r>
      <w:bookmarkEnd w:id="10"/>
    </w:p>
    <w:p w:rsidRPr="00B0204F" w:rsidR="00C60B22" w:rsidP="00C60B22" w:rsidRDefault="00C60B22" w14:paraId="3CB0CF35" w14:textId="77777777">
      <w:pPr>
        <w:spacing w:after="120" w:line="276" w:lineRule="auto"/>
        <w:ind w:firstLine="708"/>
        <w:jc w:val="both"/>
        <w:rPr>
          <w:rFonts w:ascii="Arial" w:hAnsi="Arial" w:eastAsia="Calibri" w:cs="Arial"/>
        </w:rPr>
      </w:pPr>
      <w:r w:rsidRPr="00B0204F">
        <w:rPr>
          <w:rFonts w:ascii="Arial" w:hAnsi="Arial" w:eastAsia="Calibri" w:cs="Arial"/>
        </w:rPr>
        <w:t>Por un lado, el artículo 33 de la Ley 996 de 2005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B0204F">
        <w:rPr>
          <w:rFonts w:ascii="Arial" w:hAnsi="Arial" w:eastAsia="Calibri" w:cs="Arial"/>
          <w:vertAlign w:val="superscript"/>
        </w:rPr>
        <w:footnoteReference w:id="9"/>
      </w:r>
      <w:r w:rsidRPr="00B0204F">
        <w:rPr>
          <w:rFonts w:ascii="Arial" w:hAnsi="Arial" w:eastAsia="Calibri" w:cs="Arial"/>
        </w:rPr>
        <w:t>.</w:t>
      </w:r>
    </w:p>
    <w:p w:rsidRPr="00B0204F" w:rsidR="00C60B22" w:rsidP="00C60B22" w:rsidRDefault="00C60B22" w14:paraId="6609F9BF" w14:textId="77777777">
      <w:pPr>
        <w:widowControl w:val="0"/>
        <w:autoSpaceDE w:val="0"/>
        <w:autoSpaceDN w:val="0"/>
        <w:spacing w:after="0" w:line="276" w:lineRule="auto"/>
        <w:ind w:right="113" w:firstLine="708"/>
        <w:contextualSpacing/>
        <w:jc w:val="both"/>
        <w:rPr>
          <w:rFonts w:ascii="Arial" w:hAnsi="Arial" w:eastAsia="Arial" w:cs="Arial"/>
          <w:lang w:val="es-ES" w:eastAsia="es-ES" w:bidi="es-ES"/>
        </w:rPr>
      </w:pPr>
      <w:r w:rsidRPr="00B0204F">
        <w:rPr>
          <w:rFonts w:ascii="Arial" w:hAnsi="Arial" w:eastAsia="Calibri" w:cs="Arial"/>
        </w:rPr>
        <w:t xml:space="preserve">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B0204F">
        <w:rPr>
          <w:rFonts w:ascii="Arial" w:hAnsi="Arial" w:eastAsia="Calibri" w:cs="Arial"/>
          <w:lang w:val="es-MX"/>
        </w:rPr>
        <w:t xml:space="preserve">celebrar convenios interadministrativos para la ejecución de recursos públicos, ni participar, promover y destinar recursos públicos de las entidades a su cargo, como tampoco de las que participen como miembros de sus juntas directivas, en o para reuniones de carácter </w:t>
      </w:r>
      <w:r w:rsidRPr="00B0204F">
        <w:rPr>
          <w:rFonts w:ascii="Arial" w:hAnsi="Arial" w:eastAsia="Calibri" w:cs="Arial"/>
          <w:lang w:val="es-MX"/>
        </w:rPr>
        <w:t>proselitista</w:t>
      </w:r>
      <w:r w:rsidRPr="00B0204F">
        <w:rPr>
          <w:rFonts w:ascii="Arial" w:hAnsi="Arial" w:eastAsia="Calibri" w:cs="Arial"/>
          <w:sz w:val="19"/>
          <w:szCs w:val="19"/>
        </w:rPr>
        <w:t>”</w:t>
      </w:r>
      <w:bookmarkEnd w:id="11"/>
      <w:r w:rsidRPr="00B0204F">
        <w:rPr>
          <w:rFonts w:ascii="Arial" w:hAnsi="Arial" w:eastAsia="Calibri" w:cs="Arial"/>
          <w:sz w:val="19"/>
          <w:szCs w:val="19"/>
          <w:vertAlign w:val="superscript"/>
        </w:rPr>
        <w:footnoteReference w:id="10"/>
      </w:r>
      <w:r w:rsidRPr="00B0204F">
        <w:rPr>
          <w:rFonts w:ascii="Arial" w:hAnsi="Arial" w:eastAsia="Calibri" w:cs="Arial"/>
          <w:lang w:val="es-MX"/>
        </w:rPr>
        <w:t>.</w:t>
      </w:r>
      <w:r w:rsidRPr="00B0204F">
        <w:rPr>
          <w:rFonts w:ascii="Arial" w:hAnsi="Arial" w:eastAsia="Arial" w:cs="Arial"/>
          <w:lang w:val="es-ES" w:eastAsia="es-ES" w:bidi="es-ES"/>
        </w:rPr>
        <w:t xml:space="preserve"> La Sala de Consulta y Servicio Civil del Consejo de Estado ha aclarado la distinción en la aplicación de las prohibiciones de la Ley 996 de 2005, dependiendo del tipo de elección que se trate. Al respecto, considera que:</w:t>
      </w:r>
    </w:p>
    <w:p w:rsidRPr="00B0204F" w:rsidR="00C60B22" w:rsidP="00C60B22" w:rsidRDefault="00C60B22" w14:paraId="27BEF7E5" w14:textId="77777777">
      <w:pPr>
        <w:widowControl w:val="0"/>
        <w:autoSpaceDE w:val="0"/>
        <w:autoSpaceDN w:val="0"/>
        <w:spacing w:after="0" w:line="276" w:lineRule="auto"/>
        <w:ind w:left="805" w:right="812"/>
        <w:contextualSpacing/>
        <w:jc w:val="both"/>
        <w:rPr>
          <w:rFonts w:ascii="Arial" w:hAnsi="Arial" w:eastAsia="Arial" w:cs="Arial"/>
          <w:lang w:val="es-ES" w:eastAsia="es-ES" w:bidi="es-ES"/>
        </w:rPr>
      </w:pPr>
    </w:p>
    <w:p w:rsidRPr="00B0204F" w:rsidR="00C60B22" w:rsidP="00C60B22" w:rsidRDefault="00C60B22" w14:paraId="6438C80F" w14:textId="77777777">
      <w:pPr>
        <w:widowControl w:val="0"/>
        <w:autoSpaceDE w:val="0"/>
        <w:autoSpaceDN w:val="0"/>
        <w:spacing w:after="0" w:line="240" w:lineRule="auto"/>
        <w:ind w:left="709" w:right="709"/>
        <w:contextualSpacing/>
        <w:jc w:val="both"/>
        <w:rPr>
          <w:rFonts w:ascii="Arial" w:hAnsi="Arial" w:eastAsia="Arial" w:cs="Arial"/>
          <w:sz w:val="21"/>
          <w:szCs w:val="21"/>
          <w:lang w:val="es-ES" w:eastAsia="es-ES" w:bidi="es-ES"/>
        </w:rPr>
      </w:pPr>
      <w:r w:rsidRPr="00B0204F">
        <w:rPr>
          <w:rFonts w:ascii="Arial" w:hAnsi="Arial" w:eastAsia="Arial" w:cs="Arial"/>
          <w:sz w:val="21"/>
          <w:szCs w:val="21"/>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name="_Hlk76109421" w:id="14"/>
      <w:r w:rsidRPr="00B0204F">
        <w:rPr>
          <w:rFonts w:ascii="Arial" w:hAnsi="Arial" w:eastAsia="Arial" w:cs="Arial"/>
          <w:sz w:val="21"/>
          <w:szCs w:val="21"/>
          <w:lang w:val="es-ES" w:eastAsia="es-ES" w:bidi="es-ES"/>
        </w:rPr>
        <w:t>se integran parcialmente</w:t>
      </w:r>
      <w:bookmarkEnd w:id="14"/>
      <w:r w:rsidRPr="00B0204F">
        <w:rPr>
          <w:rFonts w:ascii="Arial" w:hAnsi="Arial" w:eastAsia="Arial" w:cs="Arial"/>
          <w:sz w:val="21"/>
          <w:szCs w:val="21"/>
          <w:lang w:val="es-ES" w:eastAsia="es-ES" w:bidi="es-ES"/>
        </w:rPr>
        <w:t>,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contenidas en el parágrafo del artículo 38”.</w:t>
      </w:r>
      <w:r w:rsidRPr="00B0204F">
        <w:rPr>
          <w:rFonts w:ascii="Arial" w:hAnsi="Arial" w:eastAsia="Arial" w:cs="Arial"/>
          <w:sz w:val="21"/>
          <w:szCs w:val="21"/>
          <w:vertAlign w:val="superscript"/>
          <w:lang w:val="es-ES" w:eastAsia="es-ES" w:bidi="es-ES"/>
        </w:rPr>
        <w:footnoteReference w:id="11"/>
      </w:r>
    </w:p>
    <w:p w:rsidRPr="00B0204F" w:rsidR="00C60B22" w:rsidP="00C60B22" w:rsidRDefault="00C60B22" w14:paraId="715FC64E" w14:textId="77777777">
      <w:pPr>
        <w:widowControl w:val="0"/>
        <w:autoSpaceDE w:val="0"/>
        <w:autoSpaceDN w:val="0"/>
        <w:spacing w:after="0" w:line="276" w:lineRule="auto"/>
        <w:contextualSpacing/>
        <w:rPr>
          <w:rFonts w:ascii="Arial" w:hAnsi="Arial" w:eastAsia="Arial" w:cs="Arial"/>
          <w:lang w:val="es-ES" w:eastAsia="es-ES" w:bidi="es-ES"/>
        </w:rPr>
      </w:pPr>
    </w:p>
    <w:p w:rsidRPr="00B0204F" w:rsidR="00C60B22" w:rsidP="00C60B22" w:rsidRDefault="00C60B22" w14:paraId="02479CE5" w14:textId="77777777">
      <w:pPr>
        <w:spacing w:after="120" w:line="276" w:lineRule="auto"/>
        <w:ind w:firstLine="709"/>
        <w:jc w:val="both"/>
        <w:rPr>
          <w:rFonts w:ascii="Arial" w:hAnsi="Arial" w:eastAsia="Arial" w:cs="Arial"/>
          <w:lang w:val="es-ES" w:eastAsia="es-ES" w:bidi="es-ES"/>
        </w:rPr>
      </w:pPr>
      <w:r w:rsidRPr="00B0204F">
        <w:rPr>
          <w:rFonts w:ascii="Arial" w:hAnsi="Arial" w:eastAsia="Arial" w:cs="Arial"/>
          <w:lang w:val="es-ES" w:eastAsia="es-ES" w:bidi="es-ES"/>
        </w:rPr>
        <w:t xml:space="preserve">De conformidad con lo anterior, </w:t>
      </w:r>
      <w:bookmarkStart w:name="_Hlk77236420" w:id="15"/>
      <w:bookmarkStart w:name="_Hlk78818435" w:id="16"/>
      <w:bookmarkStart w:name="_Hlk75780333" w:id="17"/>
      <w:r w:rsidRPr="00B0204F">
        <w:rPr>
          <w:rFonts w:ascii="Arial" w:hAnsi="Arial" w:eastAsia="Arial" w:cs="Arial"/>
          <w:lang w:val="es-ES" w:eastAsia="es-ES" w:bidi="es-ES"/>
        </w:rPr>
        <w:t xml:space="preserve">la Ley 996 de 2005 establece dos (2) tipos de restricciones en materia de contratación, las cuales coinciden parcialmente. </w:t>
      </w:r>
      <w:r w:rsidRPr="00B0204F">
        <w:rPr>
          <w:rFonts w:ascii="Arial" w:hAnsi="Arial" w:eastAsia="Arial" w:cs="Arial"/>
          <w:i/>
          <w:lang w:val="es-ES" w:eastAsia="es-ES" w:bidi="es-ES"/>
        </w:rPr>
        <w:t>En primer lugar</w:t>
      </w:r>
      <w:r w:rsidRPr="00B0204F">
        <w:rPr>
          <w:rFonts w:ascii="Arial" w:hAnsi="Arial" w:eastAsia="Arial" w:cs="Arial"/>
          <w:lang w:val="es-ES" w:eastAsia="es-ES" w:bidi="es-ES"/>
        </w:rPr>
        <w:t xml:space="preserve">,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B0204F">
        <w:rPr>
          <w:rFonts w:ascii="Arial" w:hAnsi="Arial" w:eastAsia="Arial" w:cs="Arial"/>
          <w:i/>
          <w:lang w:val="es-ES" w:eastAsia="es-ES" w:bidi="es-ES"/>
        </w:rPr>
        <w:t>En segundo lugar</w:t>
      </w:r>
      <w:r w:rsidRPr="00B0204F">
        <w:rPr>
          <w:rFonts w:ascii="Arial" w:hAnsi="Arial" w:eastAsia="Arial"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15"/>
    </w:p>
    <w:bookmarkEnd w:id="16"/>
    <w:p w:rsidRPr="00B0204F" w:rsidR="00C60B22" w:rsidP="00C60B22" w:rsidRDefault="00C60B22" w14:paraId="105AA8BA" w14:textId="77777777">
      <w:pPr>
        <w:spacing w:after="120" w:line="276" w:lineRule="auto"/>
        <w:ind w:firstLine="709"/>
        <w:jc w:val="both"/>
        <w:rPr>
          <w:rFonts w:ascii="Arial" w:hAnsi="Arial" w:eastAsia="Arial" w:cs="Arial"/>
          <w:lang w:val="es-ES" w:eastAsia="es-ES" w:bidi="es-ES"/>
        </w:rPr>
      </w:pPr>
      <w:r w:rsidRPr="00B0204F">
        <w:rPr>
          <w:rFonts w:ascii="Arial" w:hAnsi="Arial" w:eastAsia="Arial" w:cs="Arial"/>
          <w:lang w:val="es-ES" w:eastAsia="es-ES" w:bidi="es-ES"/>
        </w:rPr>
        <w:t>Ambas restricciones no son excluyentes, lo que permite concluir que en el período preelectoral para elección de Presidente de la República, a todos los entes del Estado, incluidos los territoriales, aplican las restricciones del artículo 33 con sus excepciones, así como las del parágrafo del artículo 38. En cambio, tratándose de elecciones en general, excluyendo las correspondientes al Presidente de la República, las autoridades allí mencionadas sólo deben aplicar las restricciones contenidas en el parágrafo del artículo 38.</w:t>
      </w:r>
    </w:p>
    <w:bookmarkEnd w:id="17"/>
    <w:p w:rsidRPr="00B0204F" w:rsidR="00C60B22" w:rsidP="00C60B22" w:rsidRDefault="00C60B22" w14:paraId="0107AF82" w14:textId="77777777">
      <w:pPr>
        <w:spacing w:after="0" w:line="276" w:lineRule="auto"/>
        <w:ind w:firstLine="708"/>
        <w:jc w:val="both"/>
        <w:rPr>
          <w:rFonts w:ascii="Arial" w:hAnsi="Arial" w:eastAsia="Arial" w:cs="Arial"/>
          <w:lang w:val="es-ES" w:eastAsia="es-ES" w:bidi="es-ES"/>
        </w:rPr>
      </w:pPr>
      <w:r w:rsidRPr="00B0204F">
        <w:rPr>
          <w:rFonts w:ascii="Arial" w:hAnsi="Arial" w:eastAsia="Arial" w:cs="Arial"/>
          <w:lang w:val="es-ES" w:eastAsia="es-ES" w:bidi="es-ES"/>
        </w:rPr>
        <w:t xml:space="preserve">La Corte Constitucional, en la Sentencia C-1153 del 11 de noviembre de 2005, señaló que, para que la garantía sea plena, era necesario que la prohibición se aplicara para el Presidente o el Vicepresidente desde que éstos –estando en ejercicio de su cargo– manifiesten el interés de ser candidato presidencial, lo cual debe ocurrir seis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excepto para el Vicepresidente que no haya ejercido la presidencia o que la haya ejercido por un tiempo inferior a tres (3) meses durante el respectivo cuatrienio, en forma continua o discontinua, conforme al artículo 197 de la Constitución Política.  </w:t>
      </w:r>
    </w:p>
    <w:p w:rsidRPr="00B0204F" w:rsidR="00C60B22" w:rsidP="00C60B22" w:rsidRDefault="00C60B22" w14:paraId="1EE4C0BB" w14:textId="77777777">
      <w:pPr>
        <w:spacing w:after="0" w:line="276" w:lineRule="auto"/>
        <w:contextualSpacing/>
        <w:jc w:val="both"/>
        <w:rPr>
          <w:rFonts w:ascii="Arial" w:hAnsi="Arial" w:eastAsia="Times New Roman" w:cs="Arial"/>
          <w:lang w:val="es-ES" w:eastAsia="es-CO"/>
        </w:rPr>
      </w:pPr>
    </w:p>
    <w:p w:rsidRPr="00B0204F" w:rsidR="00C60B22" w:rsidP="00C60B22" w:rsidRDefault="00C60B22" w14:paraId="48C289BF" w14:textId="77777777">
      <w:pPr>
        <w:spacing w:after="0" w:line="276" w:lineRule="auto"/>
        <w:contextualSpacing/>
        <w:jc w:val="both"/>
        <w:rPr>
          <w:rFonts w:ascii="Arial" w:hAnsi="Arial" w:eastAsia="Times New Roman" w:cs="Arial"/>
          <w:b/>
          <w:lang w:val="es-ES" w:eastAsia="es-CO"/>
        </w:rPr>
      </w:pPr>
      <w:r w:rsidRPr="00B0204F">
        <w:rPr>
          <w:rFonts w:ascii="Arial" w:hAnsi="Arial" w:eastAsia="Times New Roman" w:cs="Arial"/>
          <w:b/>
          <w:lang w:val="es-ES" w:eastAsia="es-CO"/>
        </w:rPr>
        <w:t xml:space="preserve">2.2. </w:t>
      </w:r>
      <w:r w:rsidRPr="00B0204F">
        <w:rPr>
          <w:rFonts w:ascii="Arial" w:hAnsi="Arial" w:eastAsia="Times New Roman" w:cs="Arial"/>
          <w:b/>
          <w:lang w:val="es-MX" w:eastAsia="es-CO"/>
        </w:rPr>
        <w:t>Restricciones en elecciones presidenciales: prohibición del artículo 33 de la Ley 996 de 2005</w:t>
      </w:r>
    </w:p>
    <w:p w:rsidRPr="00B0204F" w:rsidR="00C60B22" w:rsidP="00C60B22" w:rsidRDefault="00C60B22" w14:paraId="6A2B321F" w14:textId="77777777">
      <w:pPr>
        <w:spacing w:after="0" w:line="276" w:lineRule="auto"/>
        <w:contextualSpacing/>
        <w:jc w:val="both"/>
        <w:rPr>
          <w:rFonts w:ascii="Arial" w:hAnsi="Arial" w:eastAsia="Times New Roman" w:cs="Arial"/>
          <w:lang w:val="es-MX" w:eastAsia="x-none"/>
        </w:rPr>
      </w:pPr>
    </w:p>
    <w:p w:rsidRPr="00B0204F" w:rsidR="00C60B22" w:rsidP="00C60B22" w:rsidRDefault="00C60B22" w14:paraId="162ECD98" w14:textId="77777777">
      <w:pPr>
        <w:spacing w:after="0" w:line="276" w:lineRule="auto"/>
        <w:contextualSpacing/>
        <w:jc w:val="both"/>
        <w:rPr>
          <w:rFonts w:ascii="Arial" w:hAnsi="Arial" w:eastAsia="Times New Roman" w:cs="Arial"/>
          <w:lang w:val="es-MX" w:eastAsia="es-CO"/>
        </w:rPr>
      </w:pPr>
      <w:r w:rsidRPr="00B0204F">
        <w:rPr>
          <w:rFonts w:ascii="Arial" w:hAnsi="Arial" w:eastAsia="Times New Roman" w:cs="Arial"/>
          <w:lang w:val="es-MX" w:eastAsia="x-none"/>
        </w:rPr>
        <w:t xml:space="preserve">El ámbito material de la prohibición contenida </w:t>
      </w:r>
      <w:bookmarkStart w:name="_Hlk75628761" w:id="18"/>
      <w:r w:rsidRPr="00B0204F">
        <w:rPr>
          <w:rFonts w:ascii="Arial" w:hAnsi="Arial" w:eastAsia="Times New Roman" w:cs="Arial"/>
          <w:lang w:val="es-MX" w:eastAsia="x-none"/>
        </w:rPr>
        <w:t xml:space="preserve">en el artículo 33 de la Ley 996 de 2005 </w:t>
      </w:r>
      <w:bookmarkEnd w:id="18"/>
      <w:r w:rsidRPr="00B0204F">
        <w:rPr>
          <w:rFonts w:ascii="Arial" w:hAnsi="Arial" w:eastAsia="Times New Roman" w:cs="Arial"/>
          <w:lang w:val="es-MX" w:eastAsia="x-none"/>
        </w:rPr>
        <w:t xml:space="preserve">está delimitado por la expresión </w:t>
      </w:r>
      <w:r w:rsidRPr="00B0204F">
        <w:rPr>
          <w:rFonts w:ascii="Arial" w:hAnsi="Arial" w:eastAsia="Calibri" w:cs="Arial"/>
          <w:sz w:val="20"/>
          <w:szCs w:val="20"/>
          <w:lang w:val="es-MX"/>
        </w:rPr>
        <w:t>“</w:t>
      </w:r>
      <w:r w:rsidRPr="00B0204F">
        <w:rPr>
          <w:rFonts w:ascii="Arial" w:hAnsi="Arial" w:eastAsia="Times New Roman" w:cs="Arial"/>
          <w:lang w:val="es-MX" w:eastAsia="x-none"/>
        </w:rPr>
        <w:t>queda prohibida la contratación directa</w:t>
      </w:r>
      <w:r w:rsidRPr="00B0204F">
        <w:rPr>
          <w:rFonts w:ascii="Arial" w:hAnsi="Arial" w:eastAsia="Calibri" w:cs="Arial"/>
          <w:sz w:val="20"/>
          <w:szCs w:val="20"/>
          <w:lang w:val="es-MX"/>
        </w:rPr>
        <w:t>”</w:t>
      </w:r>
      <w:r w:rsidRPr="00B0204F">
        <w:rPr>
          <w:rFonts w:ascii="Arial" w:hAnsi="Arial" w:eastAsia="Times New Roman" w:cs="Arial"/>
          <w:lang w:val="es-MX" w:eastAsia="x-none"/>
        </w:rPr>
        <w:t>.</w:t>
      </w:r>
      <w:r w:rsidRPr="00B0204F">
        <w:rPr>
          <w:rFonts w:ascii="Arial" w:hAnsi="Arial" w:eastAsia="Times New Roman" w:cs="Arial"/>
          <w:lang w:val="es-MX" w:eastAsia="es-CO"/>
        </w:rPr>
        <w:t xml:space="preserve"> A propósito de </w:t>
      </w:r>
      <w:r w:rsidRPr="00B0204F">
        <w:rPr>
          <w:rFonts w:ascii="Arial" w:hAnsi="Arial" w:eastAsia="Times New Roman" w:cs="Arial"/>
          <w:lang w:eastAsia="es-CO"/>
        </w:rPr>
        <w:t>esta restricción de la Ley de Garantías Electorales, la Sala de Consulta y Servicio Civil del Consejo de Estado ha considerado que:</w:t>
      </w:r>
    </w:p>
    <w:p w:rsidRPr="00B0204F" w:rsidR="00C60B22" w:rsidP="00C60B22" w:rsidRDefault="00C60B22" w14:paraId="1C91FD23" w14:textId="77777777">
      <w:pPr>
        <w:spacing w:after="0" w:line="276" w:lineRule="auto"/>
        <w:ind w:left="708" w:right="709"/>
        <w:contextualSpacing/>
        <w:jc w:val="both"/>
        <w:rPr>
          <w:rFonts w:ascii="Arial" w:hAnsi="Arial" w:eastAsia="Calibri" w:cs="Arial"/>
          <w:sz w:val="21"/>
          <w:szCs w:val="21"/>
          <w:lang w:val="es-MX"/>
        </w:rPr>
      </w:pPr>
    </w:p>
    <w:p w:rsidRPr="00B0204F" w:rsidR="00C60B22" w:rsidP="00C60B22" w:rsidRDefault="00C60B22" w14:paraId="27A8F50B" w14:textId="77777777">
      <w:pPr>
        <w:spacing w:after="0" w:line="240" w:lineRule="auto"/>
        <w:ind w:left="709" w:right="709"/>
        <w:contextualSpacing/>
        <w:jc w:val="both"/>
        <w:rPr>
          <w:rFonts w:ascii="Arial" w:hAnsi="Arial" w:eastAsia="Calibri" w:cs="Arial"/>
          <w:sz w:val="21"/>
          <w:szCs w:val="21"/>
          <w:lang w:val="es-MX"/>
        </w:rPr>
      </w:pPr>
      <w:r w:rsidRPr="00B0204F">
        <w:rPr>
          <w:rFonts w:ascii="Arial" w:hAnsi="Arial" w:eastAsia="Calibri" w:cs="Arial"/>
          <w:sz w:val="21"/>
          <w:szCs w:val="21"/>
          <w:lang w:val="es-MX"/>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B0204F">
        <w:rPr>
          <w:rFonts w:ascii="Arial" w:hAnsi="Arial" w:eastAsia="Times New Roman" w:cs="Arial"/>
          <w:vertAlign w:val="superscript"/>
          <w:lang w:eastAsia="es-CO"/>
        </w:rPr>
        <w:footnoteReference w:id="12"/>
      </w:r>
      <w:r w:rsidRPr="00B0204F">
        <w:rPr>
          <w:rFonts w:ascii="Arial" w:hAnsi="Arial" w:eastAsia="Calibri" w:cs="Arial"/>
          <w:sz w:val="21"/>
          <w:szCs w:val="21"/>
          <w:lang w:val="es-MX"/>
        </w:rPr>
        <w:t>.</w:t>
      </w:r>
    </w:p>
    <w:p w:rsidRPr="00B0204F" w:rsidR="00C60B22" w:rsidP="00C60B22" w:rsidRDefault="00C60B22" w14:paraId="17CD6BDC" w14:textId="77777777">
      <w:pPr>
        <w:spacing w:after="0" w:line="240" w:lineRule="auto"/>
        <w:ind w:left="709" w:right="709"/>
        <w:contextualSpacing/>
        <w:jc w:val="both"/>
        <w:rPr>
          <w:rFonts w:ascii="Arial" w:hAnsi="Arial" w:eastAsia="Calibri" w:cs="Arial"/>
          <w:sz w:val="12"/>
          <w:szCs w:val="12"/>
          <w:lang w:val="es-MX"/>
        </w:rPr>
      </w:pPr>
    </w:p>
    <w:p w:rsidRPr="00B0204F" w:rsidR="00C60B22" w:rsidP="00C60B22" w:rsidRDefault="00C60B22" w14:paraId="3EAF87A0" w14:textId="77777777">
      <w:pPr>
        <w:spacing w:after="0" w:line="240" w:lineRule="auto"/>
        <w:ind w:left="708" w:right="709"/>
        <w:contextualSpacing/>
        <w:jc w:val="both"/>
        <w:rPr>
          <w:rFonts w:ascii="Arial" w:hAnsi="Arial" w:eastAsia="Calibri" w:cs="Arial"/>
          <w:sz w:val="21"/>
          <w:szCs w:val="21"/>
          <w:lang w:val="es-MX"/>
        </w:rPr>
      </w:pPr>
      <w:r w:rsidRPr="00B0204F">
        <w:rPr>
          <w:rFonts w:ascii="Arial" w:hAnsi="Arial" w:eastAsia="Calibri" w:cs="Arial"/>
          <w:sz w:val="21"/>
          <w:szCs w:val="21"/>
          <w:lang w:val="es-MX"/>
        </w:rPr>
        <w:t xml:space="preserve">Esta Sala ha entendido </w:t>
      </w:r>
      <w:proofErr w:type="gramStart"/>
      <w:r w:rsidRPr="00B0204F">
        <w:rPr>
          <w:rFonts w:ascii="Arial" w:hAnsi="Arial" w:eastAsia="Calibri" w:cs="Arial"/>
          <w:sz w:val="21"/>
          <w:szCs w:val="21"/>
          <w:lang w:val="es-MX"/>
        </w:rPr>
        <w:t>que</w:t>
      </w:r>
      <w:proofErr w:type="gramEnd"/>
      <w:r w:rsidRPr="00B0204F">
        <w:rPr>
          <w:rFonts w:ascii="Arial" w:hAnsi="Arial" w:eastAsia="Calibri" w:cs="Arial"/>
          <w:sz w:val="21"/>
          <w:szCs w:val="21"/>
          <w:lang w:val="es-MX"/>
        </w:rPr>
        <w:t xml:space="preserve"> para los efectos de la ley de garantías, y dada su finalidad, el enunciado ´contratación directa´ es sinónimo </w:t>
      </w:r>
      <w:bookmarkStart w:name="_Hlk75741738" w:id="19"/>
      <w:r w:rsidRPr="00B0204F">
        <w:rPr>
          <w:rFonts w:ascii="Arial" w:hAnsi="Arial" w:eastAsia="Calibri" w:cs="Arial"/>
          <w:sz w:val="21"/>
          <w:szCs w:val="21"/>
          <w:lang w:val="es-MX"/>
        </w:rPr>
        <w:t xml:space="preserve">de cualquier sistema que no implique convocatoria pública y posibilidad de pluralidad de oferentes, </w:t>
      </w:r>
      <w:bookmarkEnd w:id="19"/>
      <w:r w:rsidRPr="00B0204F">
        <w:rPr>
          <w:rFonts w:ascii="Arial" w:hAnsi="Arial" w:eastAsia="Calibri" w:cs="Arial"/>
          <w:sz w:val="21"/>
          <w:szCs w:val="21"/>
          <w:lang w:val="es-MX"/>
        </w:rPr>
        <w:t xml:space="preserve">y que, además, no necesariamente hace referencia al procedimiento especial regulado por la ley de contratación estatal, sino a cualquier otro que prescinda </w:t>
      </w:r>
      <w:r w:rsidRPr="00B0204F">
        <w:rPr>
          <w:rFonts w:ascii="Arial" w:hAnsi="Arial" w:eastAsia="Calibri" w:cs="Arial"/>
          <w:sz w:val="21"/>
          <w:szCs w:val="21"/>
          <w:lang w:val="es-MX"/>
        </w:rPr>
        <w:t>de un proceso de licitación pública o concurso</w:t>
      </w:r>
      <w:r w:rsidRPr="00B0204F">
        <w:rPr>
          <w:rFonts w:ascii="Arial" w:hAnsi="Arial" w:eastAsia="Times New Roman" w:cs="Arial"/>
          <w:sz w:val="21"/>
          <w:szCs w:val="21"/>
          <w:vertAlign w:val="superscript"/>
          <w:lang w:val="es-MX"/>
        </w:rPr>
        <w:footnoteReference w:id="13"/>
      </w:r>
      <w:r w:rsidRPr="00B0204F">
        <w:rPr>
          <w:rFonts w:ascii="Arial" w:hAnsi="Arial" w:eastAsia="Times New Roman" w:cs="Arial"/>
          <w:sz w:val="21"/>
          <w:szCs w:val="21"/>
          <w:vertAlign w:val="superscript"/>
          <w:lang w:val="es-MX"/>
        </w:rPr>
        <w:t>.</w:t>
      </w:r>
      <w:r w:rsidRPr="00B0204F">
        <w:rPr>
          <w:rFonts w:ascii="Arial" w:hAnsi="Arial" w:eastAsia="Calibri" w:cs="Arial"/>
          <w:sz w:val="21"/>
          <w:szCs w:val="21"/>
          <w:lang w:val="es-MX"/>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B0204F">
        <w:rPr>
          <w:rFonts w:ascii="Arial" w:hAnsi="Arial" w:eastAsia="Times New Roman" w:cs="Arial"/>
          <w:vertAlign w:val="superscript"/>
          <w:lang w:eastAsia="es-CO"/>
        </w:rPr>
        <w:footnoteReference w:id="14"/>
      </w:r>
      <w:r w:rsidRPr="00B0204F">
        <w:rPr>
          <w:rFonts w:ascii="Arial" w:hAnsi="Arial" w:eastAsia="Calibri" w:cs="Arial"/>
          <w:sz w:val="21"/>
          <w:szCs w:val="21"/>
          <w:lang w:val="es-MX"/>
        </w:rPr>
        <w:t xml:space="preserve"> .</w:t>
      </w:r>
    </w:p>
    <w:p w:rsidRPr="00B0204F" w:rsidR="00C60B22" w:rsidP="00C60B22" w:rsidRDefault="00C60B22" w14:paraId="6EF2E182" w14:textId="77777777">
      <w:pPr>
        <w:shd w:val="clear" w:color="auto" w:fill="FFFFFF"/>
        <w:spacing w:after="0" w:line="276" w:lineRule="auto"/>
        <w:ind w:firstLine="709"/>
        <w:contextualSpacing/>
        <w:jc w:val="both"/>
        <w:rPr>
          <w:rFonts w:ascii="Arial" w:hAnsi="Arial" w:eastAsia="Times New Roman" w:cs="Arial"/>
          <w:lang w:eastAsia="x-none"/>
        </w:rPr>
      </w:pPr>
    </w:p>
    <w:p w:rsidRPr="00B0204F" w:rsidR="00C60B22" w:rsidP="00C60B22" w:rsidRDefault="00C60B22" w14:paraId="76C23701" w14:textId="77777777">
      <w:pPr>
        <w:spacing w:after="120" w:line="276" w:lineRule="auto"/>
        <w:ind w:firstLine="709"/>
        <w:jc w:val="both"/>
        <w:rPr>
          <w:rFonts w:ascii="Arial" w:hAnsi="Arial" w:eastAsia="Times New Roman" w:cs="Arial"/>
          <w:lang w:eastAsia="x-none"/>
        </w:rPr>
      </w:pPr>
      <w:bookmarkStart w:name="_Hlk94521748" w:id="21"/>
      <w:r w:rsidRPr="00B0204F">
        <w:rPr>
          <w:rFonts w:ascii="Arial" w:hAnsi="Arial" w:eastAsia="Times New Roman" w:cs="Arial"/>
          <w:lang w:eastAsia="x-none"/>
        </w:rPr>
        <w:t xml:space="preserve">De conformidad con el citado concepto, </w:t>
      </w:r>
      <w:bookmarkStart w:name="_Hlk78818702" w:id="22"/>
      <w:r w:rsidRPr="00B0204F">
        <w:rPr>
          <w:rFonts w:ascii="Arial" w:hAnsi="Arial" w:eastAsia="Times New Roman" w:cs="Arial"/>
          <w:lang w:eastAsia="x-none"/>
        </w:rPr>
        <w:t xml:space="preserve">la prohibición del artículo 33 de la Ley de Garantías Electorales se refiere a </w:t>
      </w:r>
      <w:r w:rsidRPr="00B0204F">
        <w:rPr>
          <w:rFonts w:ascii="Arial" w:hAnsi="Arial" w:eastAsia="Times New Roman" w:cs="Arial"/>
          <w:sz w:val="19"/>
          <w:szCs w:val="19"/>
          <w:lang w:eastAsia="en-GB"/>
        </w:rPr>
        <w:t>“</w:t>
      </w:r>
      <w:r w:rsidRPr="00B0204F">
        <w:rPr>
          <w:rFonts w:ascii="Arial" w:hAnsi="Arial" w:eastAsia="Times New Roman" w:cs="Arial"/>
          <w:lang w:eastAsia="x-none"/>
        </w:rPr>
        <w:t>cualquier sistema que no implique convocatoria pública y posibilidad de pluralidad de oferentes</w:t>
      </w:r>
      <w:r w:rsidRPr="00B0204F">
        <w:rPr>
          <w:rFonts w:ascii="Arial" w:hAnsi="Arial" w:eastAsia="Times New Roman" w:cs="Arial"/>
          <w:lang w:eastAsia="en-GB"/>
        </w:rPr>
        <w:t>”</w:t>
      </w:r>
      <w:r w:rsidRPr="00B0204F">
        <w:rPr>
          <w:rFonts w:ascii="Arial" w:hAnsi="Arial" w:eastAsia="Times New Roman" w:cs="Arial"/>
          <w:lang w:eastAsia="x-none"/>
        </w:rPr>
        <w:t xml:space="preserve">, por lo que excluye las demás modalidades de contratación previstas en la Ley 1150 de 2007, es decir, la licitación pública, la selección abreviada y el concurso de méritos u otros previstos en normas especiales. </w:t>
      </w:r>
      <w:bookmarkEnd w:id="21"/>
      <w:bookmarkEnd w:id="22"/>
      <w:r w:rsidRPr="00B0204F">
        <w:rPr>
          <w:rFonts w:ascii="Arial" w:hAnsi="Arial" w:eastAsia="Times New Roman" w:cs="Arial"/>
          <w:lang w:eastAsia="x-none"/>
        </w:rPr>
        <w:t>Esta posición es congruente con la expedición de la Ley 1150 de 2007 que, entre otras reformas, introdujo la selección abreviada, rediseñó el concurso de méritos</w:t>
      </w:r>
      <w:r w:rsidRPr="00B0204F">
        <w:rPr>
          <w:rFonts w:ascii="Arial" w:hAnsi="Arial" w:eastAsia="Times New Roman" w:cs="Arial"/>
          <w:vertAlign w:val="superscript"/>
          <w:lang w:val="en-GB" w:eastAsia="x-none"/>
        </w:rPr>
        <w:footnoteReference w:id="15"/>
      </w:r>
      <w:r w:rsidRPr="00B0204F">
        <w:rPr>
          <w:rFonts w:ascii="Arial" w:hAnsi="Arial" w:eastAsia="Times New Roman" w:cs="Arial"/>
          <w:lang w:eastAsia="x-none"/>
        </w:rPr>
        <w:t xml:space="preserve"> y sistematizó las causales de contratación directa</w:t>
      </w:r>
      <w:r w:rsidRPr="00B0204F">
        <w:rPr>
          <w:rFonts w:ascii="Arial" w:hAnsi="Arial" w:eastAsia="Times New Roman" w:cs="Arial"/>
          <w:vertAlign w:val="superscript"/>
          <w:lang w:val="en-GB" w:eastAsia="x-none"/>
        </w:rPr>
        <w:footnoteReference w:id="16"/>
      </w:r>
      <w:r w:rsidRPr="00B0204F">
        <w:rPr>
          <w:rFonts w:ascii="Arial" w:hAnsi="Arial" w:eastAsia="Times New Roman" w:cs="Arial"/>
          <w:lang w:eastAsia="x-none"/>
        </w:rPr>
        <w:t xml:space="preserve">. </w:t>
      </w:r>
    </w:p>
    <w:p w:rsidRPr="00B0204F" w:rsidR="00C60B22" w:rsidP="00C60B22" w:rsidRDefault="00C60B22" w14:paraId="13C50818" w14:textId="77777777">
      <w:pPr>
        <w:spacing w:after="120" w:line="276" w:lineRule="auto"/>
        <w:ind w:firstLine="709"/>
        <w:jc w:val="both"/>
        <w:rPr>
          <w:rFonts w:ascii="Arial" w:hAnsi="Arial" w:eastAsia="Times New Roman" w:cs="Arial"/>
          <w:lang w:val="es-MX" w:eastAsia="x-none"/>
        </w:rPr>
      </w:pPr>
      <w:r w:rsidRPr="00B0204F">
        <w:rPr>
          <w:rFonts w:ascii="Arial" w:hAnsi="Arial" w:eastAsia="Times New Roman" w:cs="Arial"/>
          <w:lang w:eastAsia="x-none"/>
        </w:rPr>
        <w:t xml:space="preserve">De esta forma, se ha depurado la noción de </w:t>
      </w:r>
      <w:r w:rsidRPr="00B0204F">
        <w:rPr>
          <w:rFonts w:ascii="Arial" w:hAnsi="Arial" w:eastAsia="Times New Roman" w:cs="Arial"/>
          <w:sz w:val="19"/>
          <w:szCs w:val="19"/>
          <w:lang w:eastAsia="en-GB"/>
        </w:rPr>
        <w:t>“</w:t>
      </w:r>
      <w:r w:rsidRPr="00B0204F">
        <w:rPr>
          <w:rFonts w:ascii="Arial" w:hAnsi="Arial" w:eastAsia="Times New Roman" w:cs="Arial"/>
          <w:lang w:eastAsia="x-none"/>
        </w:rPr>
        <w:t>contratación directa</w:t>
      </w:r>
      <w:r w:rsidRPr="00B0204F">
        <w:rPr>
          <w:rFonts w:ascii="Arial" w:hAnsi="Arial" w:eastAsia="Times New Roman" w:cs="Arial"/>
          <w:lang w:eastAsia="en-GB"/>
        </w:rPr>
        <w:t>”</w:t>
      </w:r>
      <w:r w:rsidRPr="00B0204F">
        <w:rPr>
          <w:rFonts w:ascii="Arial" w:hAnsi="Arial" w:eastAsia="Times New Roman" w:cs="Arial"/>
          <w:lang w:eastAsia="x-none"/>
        </w:rPr>
        <w:t>, precisando el Consejo de Estado –en el concepto citado– que, “aun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B0204F">
        <w:rPr>
          <w:rFonts w:ascii="Arial" w:hAnsi="Arial" w:eastAsia="Times New Roman" w:cs="Arial"/>
          <w:vertAlign w:val="superscript"/>
          <w:lang w:val="en-GB" w:eastAsia="x-none"/>
        </w:rPr>
        <w:footnoteReference w:id="17"/>
      </w:r>
      <w:r w:rsidRPr="00B0204F">
        <w:rPr>
          <w:rFonts w:ascii="Arial" w:hAnsi="Arial" w:eastAsia="Times New Roman" w:cs="Arial"/>
          <w:lang w:eastAsia="x-none"/>
        </w:rPr>
        <w:t>, han establecido sistemas de contratación que implican convocatoria pública y participación de varios oferentes</w:t>
      </w:r>
      <w:r w:rsidRPr="00B0204F">
        <w:rPr>
          <w:rFonts w:ascii="Arial" w:hAnsi="Arial" w:eastAsia="Times New Roman" w:cs="Arial"/>
          <w:lang w:eastAsia="en-GB"/>
        </w:rPr>
        <w:t>”</w:t>
      </w:r>
      <w:r w:rsidRPr="00B0204F">
        <w:rPr>
          <w:rFonts w:ascii="Arial" w:hAnsi="Arial" w:eastAsia="Times New Roman" w:cs="Arial"/>
          <w:lang w:eastAsia="x-none"/>
        </w:rPr>
        <w:t xml:space="preserve">. </w:t>
      </w:r>
    </w:p>
    <w:p w:rsidRPr="00B0204F" w:rsidR="00C60B22" w:rsidP="00C60B22" w:rsidRDefault="00C60B22" w14:paraId="08D43566" w14:textId="77777777">
      <w:pPr>
        <w:spacing w:after="120" w:line="276" w:lineRule="auto"/>
        <w:ind w:firstLine="709"/>
        <w:jc w:val="both"/>
        <w:rPr>
          <w:rFonts w:ascii="Arial" w:hAnsi="Arial" w:eastAsia="Times New Roman" w:cs="Arial"/>
          <w:lang w:val="es-MX" w:eastAsia="es-CO"/>
        </w:rPr>
      </w:pPr>
      <w:r w:rsidRPr="00B0204F">
        <w:rPr>
          <w:rFonts w:ascii="Arial" w:hAnsi="Arial" w:eastAsia="Times New Roman" w:cs="Arial"/>
          <w:lang w:val="es-MX" w:eastAsia="x-none"/>
        </w:rPr>
        <w:t>E</w:t>
      </w:r>
      <w:r w:rsidRPr="00B0204F">
        <w:rPr>
          <w:rFonts w:ascii="Arial" w:hAnsi="Arial" w:eastAsia="Times New Roman" w:cs="Arial"/>
          <w:lang w:eastAsia="x-none"/>
        </w:rPr>
        <w:t xml:space="preserve">n efecto, vale la pena mencionar que, </w:t>
      </w:r>
      <w:bookmarkStart w:name="_Hlk75636073" w:id="23"/>
      <w:r w:rsidRPr="00B0204F">
        <w:rPr>
          <w:rFonts w:ascii="Arial" w:hAnsi="Arial" w:eastAsia="Times New Roman" w:cs="Arial"/>
          <w:lang w:eastAsia="x-none"/>
        </w:rPr>
        <w:t>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w:t>
      </w:r>
      <w:bookmarkEnd w:id="23"/>
      <w:r w:rsidRPr="00B0204F">
        <w:rPr>
          <w:rFonts w:ascii="Arial" w:hAnsi="Arial" w:eastAsia="Times New Roman" w:cs="Arial"/>
          <w:vertAlign w:val="superscript"/>
          <w:lang w:eastAsia="x-none"/>
        </w:rPr>
        <w:footnoteReference w:id="18"/>
      </w:r>
      <w:r w:rsidRPr="00B0204F">
        <w:rPr>
          <w:rFonts w:ascii="Arial" w:hAnsi="Arial" w:eastAsia="Times New Roman" w:cs="Arial"/>
          <w:lang w:eastAsia="x-none"/>
        </w:rPr>
        <w:t xml:space="preserve">. </w:t>
      </w:r>
    </w:p>
    <w:p w:rsidRPr="00B0204F" w:rsidR="00C60B22" w:rsidP="00C60B22" w:rsidRDefault="00C60B22" w14:paraId="501131C4" w14:textId="77777777">
      <w:pPr>
        <w:spacing w:after="120" w:line="276" w:lineRule="auto"/>
        <w:ind w:firstLine="709"/>
        <w:jc w:val="both"/>
        <w:rPr>
          <w:rFonts w:ascii="Arial" w:hAnsi="Arial" w:eastAsia="Times New Roman" w:cs="Arial"/>
          <w:lang w:val="es-MX" w:eastAsia="es-CO"/>
        </w:rPr>
      </w:pPr>
      <w:r w:rsidRPr="00B0204F">
        <w:rPr>
          <w:rFonts w:ascii="Arial" w:hAnsi="Arial" w:eastAsia="Times New Roman" w:cs="Arial"/>
          <w:lang w:val="es-MX" w:eastAsia="es-CO"/>
        </w:rPr>
        <w:t>Como se advierte de lo anterior, el Consejo de Estado realiza una interpretación amplia de la contratación directa, para efectos de aplicar las restricciones establecidas en la Ley de Garantías Electorales,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“contratación directa”.</w:t>
      </w:r>
    </w:p>
    <w:p w:rsidRPr="00B0204F" w:rsidR="00C60B22" w:rsidP="00C60B22" w:rsidRDefault="00C60B22" w14:paraId="3EAF1062" w14:textId="77777777">
      <w:pPr>
        <w:spacing w:after="120" w:line="276" w:lineRule="auto"/>
        <w:ind w:firstLine="709"/>
        <w:jc w:val="both"/>
        <w:rPr>
          <w:rFonts w:ascii="Arial" w:hAnsi="Arial" w:eastAsia="Times New Roman" w:cs="Arial"/>
          <w:lang w:val="es-MX" w:eastAsia="x-none"/>
        </w:rPr>
      </w:pPr>
      <w:bookmarkStart w:name="_Hlk78818796" w:id="24"/>
      <w:r w:rsidRPr="00B0204F">
        <w:rPr>
          <w:rFonts w:ascii="Arial" w:hAnsi="Arial" w:eastAsia="Times New Roman" w:cs="Arial"/>
          <w:lang w:val="es-MX" w:eastAsia="x-none"/>
        </w:rPr>
        <w:t xml:space="preserve"> Así las cosas, </w:t>
      </w:r>
      <w:bookmarkStart w:name="_Hlk99577798" w:id="25"/>
      <w:r w:rsidRPr="00B0204F">
        <w:rPr>
          <w:rFonts w:ascii="Arial" w:hAnsi="Arial" w:eastAsia="Times New Roman" w:cs="Arial"/>
          <w:lang w:val="es-MX" w:eastAsia="x-none"/>
        </w:rPr>
        <w:t>ha de entenderse que, para los efectos de la Ley de Garantías Electorales y, en particular, para la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B0204F">
        <w:rPr>
          <w:rFonts w:ascii="Arial" w:hAnsi="Arial" w:eastAsia="Times New Roman" w:cs="Arial"/>
          <w:vertAlign w:val="superscript"/>
          <w:lang w:eastAsia="x-none"/>
        </w:rPr>
        <w:footnoteReference w:id="19"/>
      </w:r>
      <w:r w:rsidRPr="00B0204F">
        <w:rPr>
          <w:rFonts w:ascii="Arial" w:hAnsi="Arial" w:eastAsia="Times New Roman" w:cs="Arial"/>
          <w:lang w:val="es-MX" w:eastAsia="x-none"/>
        </w:rPr>
        <w:t>.</w:t>
      </w:r>
      <w:r w:rsidRPr="00B0204F">
        <w:rPr>
          <w:rFonts w:ascii="Arial" w:hAnsi="Arial" w:eastAsia="Times New Roman" w:cs="Arial"/>
          <w:vertAlign w:val="superscript"/>
          <w:lang w:eastAsia="x-none"/>
        </w:rPr>
        <w:t xml:space="preserve"> </w:t>
      </w:r>
    </w:p>
    <w:bookmarkEnd w:id="24"/>
    <w:p w:rsidRPr="00B0204F" w:rsidR="00C60B22" w:rsidP="00C60B22" w:rsidRDefault="00C60B22" w14:paraId="5D1453D2" w14:textId="77777777">
      <w:pPr>
        <w:spacing w:after="120" w:line="276" w:lineRule="auto"/>
        <w:ind w:firstLine="709"/>
        <w:jc w:val="both"/>
        <w:rPr>
          <w:rFonts w:ascii="Arial" w:hAnsi="Arial" w:eastAsia="Times New Roman" w:cs="Arial"/>
          <w:lang w:eastAsia="x-none"/>
        </w:rPr>
      </w:pPr>
      <w:r w:rsidRPr="00B0204F">
        <w:rPr>
          <w:rFonts w:ascii="Arial" w:hAnsi="Arial" w:eastAsia="Times New Roman" w:cs="Arial"/>
          <w:lang w:val="es-MX" w:eastAsia="x-none"/>
        </w:rPr>
        <w:t>De lo anterior se desprende que la restricción aplica, sin perjuicio de las excepciones establecidas en la misma ley, para celebrar cualquier contrato de forma directa, esto es, sin que exista un proceso abierto y competitivo.</w:t>
      </w:r>
      <w:r w:rsidRPr="00B0204F">
        <w:rPr>
          <w:rFonts w:ascii="Arial" w:hAnsi="Arial" w:eastAsia="Times New Roman" w:cs="Arial"/>
          <w:lang w:eastAsia="x-none"/>
        </w:rPr>
        <w:t xml:space="preserve">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rsidRPr="00B0204F" w:rsidR="00C60B22" w:rsidP="00C60B22" w:rsidRDefault="00C60B22" w14:paraId="6FE07F6B" w14:textId="77777777">
      <w:pPr>
        <w:spacing w:after="120" w:line="276" w:lineRule="auto"/>
        <w:ind w:firstLine="709"/>
        <w:jc w:val="both"/>
        <w:rPr>
          <w:rFonts w:ascii="Arial" w:hAnsi="Arial" w:eastAsia="Times New Roman" w:cs="Arial"/>
          <w:lang w:val="es-MX" w:eastAsia="x-none"/>
        </w:rPr>
      </w:pPr>
      <w:bookmarkStart w:name="_Hlk77237094" w:id="26"/>
      <w:bookmarkEnd w:id="25"/>
      <w:r w:rsidRPr="00B0204F">
        <w:rPr>
          <w:rFonts w:ascii="Arial" w:hAnsi="Arial" w:eastAsia="Times New Roman" w:cs="Arial"/>
          <w:lang w:val="es-MX" w:eastAsia="es-CO"/>
        </w:rPr>
        <w:t xml:space="preserve">Como en otras oportunidades lo ha manifestado esta Agencia, las prórrogas, modificaciones o adiciones de los contratos suscritos antes de la </w:t>
      </w:r>
      <w:proofErr w:type="gramStart"/>
      <w:r w:rsidRPr="00B0204F">
        <w:rPr>
          <w:rFonts w:ascii="Arial" w:hAnsi="Arial" w:eastAsia="Times New Roman" w:cs="Arial"/>
          <w:lang w:val="es-MX" w:eastAsia="es-CO"/>
        </w:rPr>
        <w:t>entrada en vigencia</w:t>
      </w:r>
      <w:proofErr w:type="gramEnd"/>
      <w:r w:rsidRPr="00B0204F">
        <w:rPr>
          <w:rFonts w:ascii="Arial" w:hAnsi="Arial" w:eastAsia="Times New Roman" w:cs="Arial"/>
          <w:lang w:val="es-MX" w:eastAsia="es-CO"/>
        </w:rPr>
        <w:t xml:space="preserve"> de las prohibiciones anotadas, así como la cesión de los mismos, pueden tener lugar en el período de aplicación de la Ley de Garantías, sin que ello haga nugatoria la restricción de la contratación directa y siempre que cumplan los principios de planeación, transparencia y responsabilidad.</w:t>
      </w:r>
      <w:bookmarkEnd w:id="26"/>
    </w:p>
    <w:p w:rsidRPr="00B0204F" w:rsidR="00C60B22" w:rsidP="00C60B22" w:rsidRDefault="00C60B22" w14:paraId="12852DCD" w14:textId="77777777">
      <w:pPr>
        <w:spacing w:after="120" w:line="276" w:lineRule="auto"/>
        <w:ind w:firstLine="709"/>
        <w:jc w:val="both"/>
        <w:rPr>
          <w:rFonts w:ascii="Arial" w:hAnsi="Arial" w:eastAsia="Times New Roman" w:cs="Arial"/>
          <w:lang w:val="es-MX" w:eastAsia="es-CO"/>
        </w:rPr>
      </w:pPr>
      <w:r w:rsidRPr="00B0204F">
        <w:rPr>
          <w:rFonts w:ascii="Arial" w:hAnsi="Arial" w:eastAsia="Times New Roman" w:cs="Arial"/>
          <w:lang w:val="es-MX" w:eastAsia="x-none"/>
        </w:rPr>
        <w:t xml:space="preserve">De otro lado, </w:t>
      </w:r>
      <w:bookmarkStart w:name="_Hlk99577887" w:id="27"/>
      <w:bookmarkStart w:name="_Hlk100679762" w:id="28"/>
      <w:r w:rsidRPr="00B0204F">
        <w:rPr>
          <w:rFonts w:ascii="Arial" w:hAnsi="Arial" w:eastAsia="Times New Roman" w:cs="Arial"/>
          <w:lang w:val="es-MX" w:eastAsia="x-none"/>
        </w:rPr>
        <w:t xml:space="preserve">las excepciones a la restricción prevista en la Ley de Garantías Electorales, con fundamento en las cuales podrán las entidades públicas adelantar procedimientos de selección directa en períodos previos a la contienda electoral por la Presidencia, se encuentran consagradas de manera taxativa en el inciso final del citado artículo 33 de la Ley 996 de 2005 en lo referente a: i) la defensa y seguridad del Estado; </w:t>
      </w:r>
      <w:proofErr w:type="spellStart"/>
      <w:r w:rsidRPr="00B0204F">
        <w:rPr>
          <w:rFonts w:ascii="Arial" w:hAnsi="Arial" w:eastAsia="Times New Roman" w:cs="Arial"/>
          <w:lang w:val="es-MX" w:eastAsia="x-none"/>
        </w:rPr>
        <w:t>ii</w:t>
      </w:r>
      <w:proofErr w:type="spellEnd"/>
      <w:r w:rsidRPr="00B0204F">
        <w:rPr>
          <w:rFonts w:ascii="Arial" w:hAnsi="Arial" w:eastAsia="Times New Roman" w:cs="Arial"/>
          <w:lang w:val="es-MX" w:eastAsia="x-none"/>
        </w:rPr>
        <w:t xml:space="preserve">) los contratos de crédito público; </w:t>
      </w:r>
      <w:proofErr w:type="spellStart"/>
      <w:r w:rsidRPr="00B0204F">
        <w:rPr>
          <w:rFonts w:ascii="Arial" w:hAnsi="Arial" w:eastAsia="Times New Roman" w:cs="Arial"/>
          <w:lang w:val="es-MX" w:eastAsia="x-none"/>
        </w:rPr>
        <w:t>iii</w:t>
      </w:r>
      <w:proofErr w:type="spellEnd"/>
      <w:r w:rsidRPr="00B0204F">
        <w:rPr>
          <w:rFonts w:ascii="Arial" w:hAnsi="Arial" w:eastAsia="Times New Roman" w:cs="Arial"/>
          <w:lang w:val="es-MX" w:eastAsia="x-none"/>
        </w:rPr>
        <w:t xml:space="preserve">) los requeridos para cubrir las emergencias educativas, sanitarias y desastres; </w:t>
      </w:r>
      <w:proofErr w:type="spellStart"/>
      <w:r w:rsidRPr="00B0204F">
        <w:rPr>
          <w:rFonts w:ascii="Arial" w:hAnsi="Arial" w:eastAsia="Times New Roman" w:cs="Arial"/>
          <w:lang w:val="es-MX" w:eastAsia="x-none"/>
        </w:rPr>
        <w:t>iv</w:t>
      </w:r>
      <w:proofErr w:type="spellEnd"/>
      <w:r w:rsidRPr="00B0204F">
        <w:rPr>
          <w:rFonts w:ascii="Arial" w:hAnsi="Arial" w:eastAsia="Times New Roman" w:cs="Arial"/>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B0204F">
        <w:rPr>
          <w:rFonts w:ascii="Arial" w:hAnsi="Arial" w:eastAsia="Times New Roman" w:cs="Arial"/>
          <w:lang w:val="es-MX" w:eastAsia="es-CO"/>
        </w:rPr>
        <w:t xml:space="preserve"> Es responsabilidad del respectivo </w:t>
      </w:r>
      <w:r w:rsidRPr="00B0204F">
        <w:rPr>
          <w:rFonts w:ascii="Arial" w:hAnsi="Arial" w:eastAsia="Times New Roman" w:cs="Arial"/>
          <w:lang w:val="es-MX" w:eastAsia="es-CO"/>
        </w:rPr>
        <w:t>ente del Estado, examinar en cada caso la naturaleza de las actividades que adelanta y determinar si las mismas se enmarcan en alguna de las mencionadas excepciones, de manera que se le permita realizar la contratación que necesite en forma directa.</w:t>
      </w:r>
      <w:bookmarkEnd w:id="27"/>
    </w:p>
    <w:bookmarkEnd w:id="28"/>
    <w:p w:rsidRPr="00B0204F" w:rsidR="00C60B22" w:rsidP="00C60B22" w:rsidRDefault="00C60B22" w14:paraId="1A3AC3C1" w14:textId="77777777">
      <w:pPr>
        <w:spacing w:after="0" w:line="276" w:lineRule="auto"/>
        <w:ind w:firstLine="708"/>
        <w:jc w:val="both"/>
        <w:rPr>
          <w:rFonts w:ascii="Arial" w:hAnsi="Arial" w:eastAsia="Times New Roman" w:cs="Arial"/>
          <w:lang w:val="es-MX" w:eastAsia="x-none"/>
        </w:rPr>
      </w:pPr>
      <w:r w:rsidRPr="00B0204F">
        <w:rPr>
          <w:rFonts w:ascii="Arial" w:hAnsi="Arial" w:eastAsia="Times New Roman" w:cs="Arial"/>
          <w:lang w:val="es-MX" w:eastAsia="x-none"/>
        </w:rPr>
        <w:t>En esta labor es importante tener en cuenta, como lo anotó la Corte Constitucional, en Sentencia C-1153 de noviembre 11 de 2005</w:t>
      </w:r>
      <w:r w:rsidRPr="00B0204F">
        <w:rPr>
          <w:rFonts w:ascii="Arial" w:hAnsi="Arial" w:eastAsia="Calibri" w:cs="Arial"/>
          <w:sz w:val="24"/>
          <w:lang w:val="es-MX"/>
        </w:rPr>
        <w:t>,</w:t>
      </w:r>
      <w:r w:rsidRPr="00B0204F">
        <w:rPr>
          <w:rFonts w:ascii="Arial" w:hAnsi="Arial" w:eastAsia="Times New Roman" w:cs="Arial"/>
          <w:lang w:val="es-MX" w:eastAsia="x-none"/>
        </w:rPr>
        <w:t xml:space="preserve"> </w:t>
      </w:r>
      <w:bookmarkStart w:name="_Hlk74309042" w:id="29"/>
      <w:r w:rsidRPr="00B0204F">
        <w:rPr>
          <w:rFonts w:ascii="Arial" w:hAnsi="Arial" w:eastAsia="Times New Roman" w:cs="Arial"/>
          <w:lang w:val="es-MX" w:eastAsia="x-none"/>
        </w:rPr>
        <w:t>que “</w:t>
      </w:r>
      <w:bookmarkEnd w:id="29"/>
      <w:r w:rsidRPr="00B0204F">
        <w:rPr>
          <w:rFonts w:ascii="Arial" w:hAnsi="Arial" w:eastAsia="Times New Roman" w:cs="Arial"/>
          <w:lang w:val="es-MX" w:eastAsia="x-none"/>
        </w:rPr>
        <w:t xml:space="preserve">si bien la limitación garantiza la igualdad de condiciones, también es necesario que tal limitación que pretende la igualdad </w:t>
      </w:r>
      <w:bookmarkStart w:name="_Hlk75768308" w:id="30"/>
      <w:r w:rsidRPr="00B0204F">
        <w:rPr>
          <w:rFonts w:ascii="Arial" w:hAnsi="Arial" w:eastAsia="Times New Roman" w:cs="Arial"/>
          <w:lang w:val="es-MX" w:eastAsia="x-none"/>
        </w:rPr>
        <w:t>no termine yendo en detrimento de intereses públicos, cuya garantía está en cabeza del ejecutivo, como son los inmersos en las excepciones para la prohibición de contratación”</w:t>
      </w:r>
      <w:r w:rsidRPr="00B0204F">
        <w:rPr>
          <w:rFonts w:ascii="Arial" w:hAnsi="Arial" w:eastAsia="Calibri" w:cs="Arial"/>
          <w:vertAlign w:val="superscript"/>
          <w:lang w:val="es-MX"/>
        </w:rPr>
        <w:footnoteReference w:id="20"/>
      </w:r>
      <w:r w:rsidRPr="00B0204F">
        <w:rPr>
          <w:rFonts w:ascii="Arial" w:hAnsi="Arial" w:eastAsia="Times New Roman" w:cs="Arial"/>
          <w:lang w:val="es-MX" w:eastAsia="x-none"/>
        </w:rPr>
        <w:t>. De ahí que la Corte haya hecho particular énfasis en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bookmarkStart w:name="_Hlk75783800" w:id="31"/>
      <w:bookmarkEnd w:id="30"/>
    </w:p>
    <w:p w:rsidRPr="00B0204F" w:rsidR="00C60B22" w:rsidP="00C60B22" w:rsidRDefault="00C60B22" w14:paraId="5B747204" w14:textId="77777777">
      <w:pPr>
        <w:spacing w:after="0" w:line="276" w:lineRule="auto"/>
        <w:ind w:firstLine="708"/>
        <w:jc w:val="both"/>
        <w:rPr>
          <w:rFonts w:ascii="Arial" w:hAnsi="Arial" w:eastAsia="Times New Roman" w:cs="Arial"/>
          <w:lang w:val="es-MX" w:eastAsia="x-none"/>
        </w:rPr>
      </w:pPr>
    </w:p>
    <w:p w:rsidRPr="00B0204F" w:rsidR="00C60B22" w:rsidP="00C60B22" w:rsidRDefault="00C60B22" w14:paraId="1D46F86B" w14:textId="77777777">
      <w:pPr>
        <w:spacing w:after="0" w:line="276" w:lineRule="auto"/>
        <w:jc w:val="both"/>
        <w:rPr>
          <w:rFonts w:ascii="Arial" w:hAnsi="Arial" w:eastAsia="Times New Roman" w:cs="Arial"/>
          <w:b/>
          <w:lang w:val="es-MX" w:eastAsia="x-none"/>
        </w:rPr>
      </w:pPr>
      <w:r w:rsidRPr="00B0204F">
        <w:rPr>
          <w:rFonts w:ascii="Arial" w:hAnsi="Arial" w:eastAsia="Times New Roman" w:cs="Arial"/>
          <w:b/>
          <w:lang w:val="es-MX" w:eastAsia="x-none"/>
        </w:rPr>
        <w:t>2.3.  Destinatarios de la restricción del artículo 33 de la Ley 996 de 2005</w:t>
      </w:r>
    </w:p>
    <w:p w:rsidRPr="00B0204F" w:rsidR="00C60B22" w:rsidP="00C60B22" w:rsidRDefault="00C60B22" w14:paraId="46B4E91A" w14:textId="77777777">
      <w:pPr>
        <w:spacing w:after="0" w:line="276" w:lineRule="auto"/>
        <w:jc w:val="both"/>
        <w:rPr>
          <w:rFonts w:ascii="Arial" w:hAnsi="Arial" w:eastAsia="Times New Roman" w:cs="Arial"/>
          <w:lang w:val="es-MX" w:eastAsia="x-none"/>
        </w:rPr>
      </w:pPr>
    </w:p>
    <w:p w:rsidRPr="00B0204F" w:rsidR="00C60B22" w:rsidP="00C60B22" w:rsidRDefault="00C60B22" w14:paraId="255F682F" w14:textId="77777777">
      <w:pPr>
        <w:spacing w:after="0" w:line="276" w:lineRule="auto"/>
        <w:jc w:val="both"/>
        <w:rPr>
          <w:rFonts w:ascii="Arial" w:hAnsi="Arial" w:eastAsia="Times New Roman" w:cs="Arial"/>
          <w:lang w:val="es-MX" w:eastAsia="x-none"/>
        </w:rPr>
      </w:pPr>
      <w:bookmarkStart w:name="_Hlk99578018" w:id="32"/>
      <w:r w:rsidRPr="00B0204F">
        <w:rPr>
          <w:rFonts w:ascii="Arial" w:hAnsi="Arial" w:eastAsia="Times New Roman" w:cs="Arial"/>
          <w:lang w:val="es-MX" w:eastAsia="x-none"/>
        </w:rPr>
        <w:t>El artículo 33 de la Ley 996 de 2005 señala expresamente a los destinatarios de la prohibición, en el sentido de que son “todos los entes del Estado”, expresión que contempla a los diferentes organismos o entidades autorizadas por la ley para suscribir contratos.</w:t>
      </w:r>
      <w:r w:rsidRPr="00B0204F">
        <w:rPr>
          <w:rFonts w:ascii="Arial" w:hAnsi="Arial" w:eastAsia="Calibri" w:cs="Arial"/>
          <w:sz w:val="24"/>
          <w:lang w:val="es-MX"/>
        </w:rPr>
        <w:t xml:space="preserve"> </w:t>
      </w:r>
      <w:r w:rsidRPr="00B0204F">
        <w:rPr>
          <w:rFonts w:ascii="Arial" w:hAnsi="Arial" w:eastAsia="Times New Roman" w:cs="Arial"/>
          <w:lang w:val="es-MX" w:eastAsia="x-none"/>
        </w:rPr>
        <w:t>En efecto, como ha sostenido el Consejo de Estado, el vocablo “todos” utilizado por el legislador comprende</w:t>
      </w:r>
      <w:r w:rsidRPr="00B0204F">
        <w:rPr>
          <w:rFonts w:ascii="Arial" w:hAnsi="Arial" w:eastAsia="Calibri" w:cs="Arial"/>
          <w:sz w:val="24"/>
          <w:lang w:val="es-MX"/>
        </w:rPr>
        <w:t xml:space="preserve"> </w:t>
      </w:r>
      <w:r w:rsidRPr="00B0204F">
        <w:rPr>
          <w:rFonts w:ascii="Arial" w:hAnsi="Arial" w:eastAsia="Times New Roman" w:cs="Arial"/>
          <w:lang w:val="es-MX" w:eastAsia="x-none"/>
        </w:rPr>
        <w:t>a la totalidad de los entes del Estado, sin distinción del régimen jurídico, forma de organización o naturaleza, su pertenencia a una u otra rama del poder público o su autonomía</w:t>
      </w:r>
      <w:bookmarkEnd w:id="31"/>
      <w:r w:rsidRPr="00B0204F">
        <w:rPr>
          <w:rFonts w:ascii="Arial" w:hAnsi="Arial" w:eastAsia="Times New Roman" w:cs="Arial"/>
          <w:lang w:val="es-MX" w:eastAsia="x-none"/>
        </w:rPr>
        <w:t xml:space="preserve">, e incluso si las entidades estatales tienen régimen especial de contratación y están exceptuadas del ámbito de aplicación del Estatuto General de Contratación de la Administración Pública. </w:t>
      </w:r>
      <w:bookmarkEnd w:id="32"/>
      <w:r w:rsidRPr="00B0204F">
        <w:rPr>
          <w:rFonts w:ascii="Arial" w:hAnsi="Arial" w:eastAsia="Times New Roman" w:cs="Arial"/>
          <w:lang w:val="es-MX" w:eastAsia="x-none"/>
        </w:rPr>
        <w:t xml:space="preserve">El Consejo de Estado, en Concepto con radicado 1727 de fecha 20 de febrero de 2006, consideró que: </w:t>
      </w:r>
    </w:p>
    <w:p w:rsidRPr="00B0204F" w:rsidR="00C60B22" w:rsidP="00C60B22" w:rsidRDefault="00C60B22" w14:paraId="582C8F77" w14:textId="77777777">
      <w:pPr>
        <w:spacing w:after="0" w:line="276" w:lineRule="auto"/>
        <w:ind w:firstLine="708"/>
        <w:contextualSpacing/>
        <w:jc w:val="both"/>
        <w:rPr>
          <w:rFonts w:ascii="Arial" w:hAnsi="Arial" w:eastAsia="Times New Roman" w:cs="Arial"/>
          <w:lang w:val="es-MX" w:eastAsia="x-none"/>
        </w:rPr>
      </w:pPr>
    </w:p>
    <w:p w:rsidRPr="00B0204F" w:rsidR="00C60B22" w:rsidP="00C60B22" w:rsidRDefault="00C60B22" w14:paraId="4088B181" w14:textId="77777777">
      <w:pPr>
        <w:spacing w:after="0" w:line="240" w:lineRule="auto"/>
        <w:ind w:left="708" w:right="709"/>
        <w:contextualSpacing/>
        <w:jc w:val="both"/>
        <w:rPr>
          <w:rFonts w:ascii="Arial" w:hAnsi="Arial" w:eastAsia="Times New Roman" w:cs="Arial"/>
          <w:sz w:val="21"/>
          <w:szCs w:val="21"/>
          <w:lang w:val="es-MX" w:eastAsia="es-CO"/>
        </w:rPr>
      </w:pPr>
      <w:r w:rsidRPr="00B0204F">
        <w:rPr>
          <w:rFonts w:ascii="Arial" w:hAnsi="Arial" w:eastAsia="Times New Roman" w:cs="Arial"/>
          <w:sz w:val="21"/>
          <w:szCs w:val="21"/>
          <w:lang w:val="es-MX" w:eastAsia="x-none"/>
        </w:rPr>
        <w:t xml:space="preserve">“El artículo 33 de la ley 996 de 2005, </w:t>
      </w:r>
      <w:bookmarkStart w:name="_Hlk75787147" w:id="33"/>
      <w:r w:rsidRPr="00B0204F">
        <w:rPr>
          <w:rFonts w:ascii="Arial" w:hAnsi="Arial" w:eastAsia="Times New Roman" w:cs="Arial"/>
          <w:sz w:val="21"/>
          <w:szCs w:val="21"/>
          <w:lang w:val="es-MX" w:eastAsia="x-none"/>
        </w:rPr>
        <w:t xml:space="preserve">efectivamente se aplica </w:t>
      </w:r>
      <w:bookmarkStart w:name="_Hlk76074089" w:id="34"/>
      <w:r w:rsidRPr="00B0204F">
        <w:rPr>
          <w:rFonts w:ascii="Arial" w:hAnsi="Arial" w:eastAsia="Times New Roman" w:cs="Arial"/>
          <w:sz w:val="21"/>
          <w:szCs w:val="21"/>
          <w:lang w:val="es-MX" w:eastAsia="x-none"/>
        </w:rPr>
        <w:t>incluso a las entidades estatales con régimen especial de contratación y que están exceptuadas del ámbito de aplicación del Estatuto General de Contratación de la Administración Pública</w:t>
      </w:r>
      <w:bookmarkEnd w:id="34"/>
      <w:r w:rsidRPr="00B0204F">
        <w:rPr>
          <w:rFonts w:ascii="Arial" w:hAnsi="Arial" w:eastAsia="Times New Roman" w:cs="Arial"/>
          <w:sz w:val="21"/>
          <w:szCs w:val="21"/>
          <w:lang w:val="es-MX" w:eastAsia="x-none"/>
        </w:rPr>
        <w:t>,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Pr="00B0204F">
        <w:rPr>
          <w:rFonts w:ascii="Arial" w:hAnsi="Arial" w:eastAsia="Times New Roman" w:cs="Arial"/>
          <w:sz w:val="21"/>
          <w:szCs w:val="21"/>
          <w:vertAlign w:val="superscript"/>
          <w:lang w:val="es-MX" w:eastAsia="x-none"/>
        </w:rPr>
        <w:footnoteReference w:id="21"/>
      </w:r>
      <w:r w:rsidRPr="00B0204F">
        <w:rPr>
          <w:rFonts w:ascii="Arial" w:hAnsi="Arial" w:eastAsia="Times New Roman" w:cs="Arial"/>
          <w:sz w:val="21"/>
          <w:szCs w:val="21"/>
          <w:lang w:val="es-MX" w:eastAsia="x-none"/>
        </w:rPr>
        <w:t>.</w:t>
      </w:r>
      <w:r w:rsidRPr="00B0204F">
        <w:rPr>
          <w:rFonts w:ascii="Arial" w:hAnsi="Arial" w:eastAsia="Times New Roman" w:cs="Arial"/>
          <w:sz w:val="21"/>
          <w:szCs w:val="21"/>
          <w:lang w:val="es-MX" w:eastAsia="es-CO"/>
        </w:rPr>
        <w:t xml:space="preserve"> </w:t>
      </w:r>
    </w:p>
    <w:p w:rsidRPr="00B0204F" w:rsidR="00C60B22" w:rsidP="00C60B22" w:rsidRDefault="00C60B22" w14:paraId="570E8392" w14:textId="77777777">
      <w:pPr>
        <w:spacing w:after="0" w:line="276" w:lineRule="auto"/>
        <w:ind w:firstLine="708"/>
        <w:contextualSpacing/>
        <w:jc w:val="both"/>
        <w:rPr>
          <w:rFonts w:ascii="Arial" w:hAnsi="Arial" w:eastAsia="Times New Roman" w:cs="Arial"/>
          <w:lang w:val="es-MX" w:eastAsia="es-CO"/>
        </w:rPr>
      </w:pPr>
    </w:p>
    <w:p w:rsidRPr="00B0204F" w:rsidR="00C60B22" w:rsidP="00C60B22" w:rsidRDefault="00C60B22" w14:paraId="62DA4C7B" w14:textId="77777777">
      <w:pPr>
        <w:spacing w:after="0" w:line="276" w:lineRule="auto"/>
        <w:ind w:firstLine="708"/>
        <w:contextualSpacing/>
        <w:jc w:val="both"/>
        <w:rPr>
          <w:rFonts w:ascii="Arial" w:hAnsi="Arial" w:eastAsia="Calibri" w:cs="Arial"/>
          <w:lang w:val="es-MX"/>
        </w:rPr>
      </w:pPr>
      <w:r w:rsidRPr="00B0204F">
        <w:rPr>
          <w:rFonts w:ascii="Arial" w:hAnsi="Arial" w:eastAsia="Times New Roman" w:cs="Arial"/>
          <w:lang w:val="es-MX" w:eastAsia="x-none"/>
        </w:rPr>
        <w:t>En Concepto con radicado 1738 de 6 de abril de 2006, esa misma Corporación manifestó que “Las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ambas partes, por el Legislador”</w:t>
      </w:r>
      <w:bookmarkStart w:name="_Hlk75758868" w:id="35"/>
      <w:bookmarkStart w:name="_Hlk75741220" w:id="36"/>
      <w:r w:rsidRPr="00B0204F">
        <w:rPr>
          <w:rFonts w:ascii="Arial" w:hAnsi="Arial" w:eastAsia="Calibri" w:cs="Arial"/>
          <w:sz w:val="24"/>
          <w:vertAlign w:val="superscript"/>
          <w:lang w:val="es-MX"/>
        </w:rPr>
        <w:footnoteReference w:id="22"/>
      </w:r>
      <w:bookmarkEnd w:id="35"/>
      <w:bookmarkEnd w:id="36"/>
      <w:r w:rsidRPr="00B0204F">
        <w:rPr>
          <w:rFonts w:ascii="Arial" w:hAnsi="Arial" w:eastAsia="Times New Roman" w:cs="Arial"/>
          <w:lang w:val="es-MX" w:eastAsia="x-none"/>
        </w:rPr>
        <w:t>.</w:t>
      </w:r>
      <w:r w:rsidRPr="00B0204F">
        <w:rPr>
          <w:rFonts w:ascii="Arial" w:hAnsi="Arial" w:eastAsia="Calibri" w:cs="Arial"/>
          <w:lang w:val="es-MX"/>
        </w:rPr>
        <w:t xml:space="preserve"> Sin embargo, debe precisarse el siguiente aspecto que distinguió la Sala de Consulta y Servicio Civil:</w:t>
      </w:r>
    </w:p>
    <w:p w:rsidRPr="00B0204F" w:rsidR="00C60B22" w:rsidP="00C60B22" w:rsidRDefault="00C60B22" w14:paraId="6BB4FFB8" w14:textId="77777777">
      <w:pPr>
        <w:spacing w:after="0" w:line="276" w:lineRule="auto"/>
        <w:contextualSpacing/>
        <w:jc w:val="both"/>
        <w:rPr>
          <w:rFonts w:ascii="Arial" w:hAnsi="Arial" w:eastAsia="Calibri" w:cs="Arial"/>
          <w:lang w:val="es-MX"/>
        </w:rPr>
      </w:pPr>
    </w:p>
    <w:p w:rsidRPr="00B0204F" w:rsidR="00C60B22" w:rsidP="00C60B22" w:rsidRDefault="00C60B22" w14:paraId="19C32B69" w14:textId="77777777">
      <w:pPr>
        <w:spacing w:after="0" w:line="240" w:lineRule="auto"/>
        <w:ind w:left="708" w:right="709"/>
        <w:contextualSpacing/>
        <w:jc w:val="both"/>
        <w:rPr>
          <w:rFonts w:ascii="Arial" w:hAnsi="Arial" w:eastAsia="Calibri" w:cs="Arial"/>
          <w:sz w:val="21"/>
          <w:szCs w:val="21"/>
          <w:lang w:val="es-MX"/>
        </w:rPr>
      </w:pPr>
      <w:bookmarkStart w:name="_Hlk75811446" w:id="38"/>
      <w:r w:rsidRPr="00B0204F">
        <w:rPr>
          <w:rFonts w:ascii="Arial" w:hAnsi="Arial" w:eastAsia="Calibri" w:cs="Arial"/>
          <w:sz w:val="21"/>
          <w:szCs w:val="21"/>
          <w:lang w:val="es-MX"/>
        </w:rPr>
        <w:t>“En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bookmarkEnd w:id="38"/>
      <w:r w:rsidRPr="00B0204F">
        <w:rPr>
          <w:rFonts w:ascii="Arial" w:hAnsi="Arial" w:eastAsia="Calibri" w:cs="Arial"/>
          <w:sz w:val="21"/>
          <w:szCs w:val="21"/>
          <w:lang w:val="es-MX"/>
        </w:rPr>
        <w:t>”</w:t>
      </w:r>
      <w:r w:rsidRPr="00B0204F">
        <w:rPr>
          <w:rFonts w:ascii="Arial" w:hAnsi="Arial" w:eastAsia="Calibri" w:cs="Arial"/>
          <w:sz w:val="24"/>
          <w:vertAlign w:val="superscript"/>
          <w:lang w:val="es-MX"/>
        </w:rPr>
        <w:footnoteReference w:id="23"/>
      </w:r>
      <w:r w:rsidRPr="00B0204F">
        <w:rPr>
          <w:rFonts w:ascii="Arial" w:hAnsi="Arial" w:eastAsia="Times New Roman" w:cs="Arial"/>
          <w:lang w:val="es-MX" w:eastAsia="x-none"/>
        </w:rPr>
        <w:t>.</w:t>
      </w:r>
    </w:p>
    <w:p w:rsidRPr="00B0204F" w:rsidR="00C60B22" w:rsidP="00C60B22" w:rsidRDefault="00C60B22" w14:paraId="6F650E78" w14:textId="77777777">
      <w:pPr>
        <w:spacing w:after="0" w:line="276" w:lineRule="auto"/>
        <w:contextualSpacing/>
        <w:jc w:val="both"/>
        <w:rPr>
          <w:rFonts w:ascii="Arial" w:hAnsi="Arial" w:eastAsia="Calibri" w:cs="Arial"/>
          <w:lang w:val="es-MX"/>
        </w:rPr>
      </w:pPr>
    </w:p>
    <w:p w:rsidRPr="00B0204F" w:rsidR="00C60B22" w:rsidP="00C60B22" w:rsidRDefault="00C60B22" w14:paraId="12E8FBB2" w14:textId="77777777">
      <w:pPr>
        <w:spacing w:after="120" w:line="276" w:lineRule="auto"/>
        <w:ind w:firstLine="709"/>
        <w:jc w:val="both"/>
        <w:rPr>
          <w:rFonts w:ascii="Arial" w:hAnsi="Arial" w:eastAsia="Times New Roman" w:cs="Arial"/>
          <w:lang w:val="es-MX" w:eastAsia="x-none"/>
        </w:rPr>
      </w:pPr>
      <w:r w:rsidRPr="00B0204F">
        <w:rPr>
          <w:rFonts w:ascii="Arial" w:hAnsi="Arial" w:eastAsia="Calibri" w:cs="Arial"/>
          <w:lang w:val="es-MX"/>
        </w:rPr>
        <w:t>Aplicando este razonamiento,</w:t>
      </w:r>
      <w:bookmarkStart w:name="_Hlk75811096" w:id="39"/>
      <w:r w:rsidRPr="00B0204F">
        <w:rPr>
          <w:rFonts w:ascii="Arial" w:hAnsi="Arial" w:eastAsia="Calibri" w:cs="Arial"/>
          <w:lang w:val="es-MX"/>
        </w:rPr>
        <w:t xml:space="preserve"> se tiene que las empresas industriales y comerciales del estado y las empresas de servicios públicos oficiales y mixtas no pueden adquirir los suministros de bienes y servicios necesarios para la realización de su actividad por contratación directa sino por mecanismos competitivos que impliquen convocatoria pública y la posibilidad de pluralidad de oferentes, pero, “es obvio que si una de estas entidades va a prestar un servicio a un particular, lo puede hacer, pues estos se ofrecen a toda la comunidad en condiciones de igualdad. Si se supusiera que está prohibida su contratación directa, significaría la parálisis de tal actividad de interés público, lo que de ninguna manera es lo querido por la Ley 996 de 2005</w:t>
      </w:r>
      <w:bookmarkEnd w:id="39"/>
      <w:r w:rsidRPr="00B0204F">
        <w:rPr>
          <w:rFonts w:ascii="Arial" w:hAnsi="Arial" w:eastAsia="Calibri" w:cs="Arial"/>
          <w:lang w:val="es-MX"/>
        </w:rPr>
        <w:t>”</w:t>
      </w:r>
      <w:r w:rsidRPr="00B0204F">
        <w:rPr>
          <w:rFonts w:ascii="Arial" w:hAnsi="Arial" w:eastAsia="Calibri" w:cs="Arial"/>
          <w:sz w:val="24"/>
          <w:vertAlign w:val="superscript"/>
          <w:lang w:val="es-MX"/>
        </w:rPr>
        <w:t xml:space="preserve"> </w:t>
      </w:r>
      <w:r w:rsidRPr="00B0204F">
        <w:rPr>
          <w:rFonts w:ascii="Arial" w:hAnsi="Arial" w:eastAsia="Calibri" w:cs="Arial"/>
          <w:vertAlign w:val="superscript"/>
          <w:lang w:val="es-MX"/>
        </w:rPr>
        <w:footnoteReference w:id="24"/>
      </w:r>
      <w:r w:rsidRPr="00B0204F">
        <w:rPr>
          <w:rFonts w:ascii="Arial" w:hAnsi="Arial" w:eastAsia="Calibri" w:cs="Arial"/>
          <w:lang w:val="es-MX"/>
        </w:rPr>
        <w:t>.</w:t>
      </w:r>
    </w:p>
    <w:p w:rsidRPr="00B0204F" w:rsidR="00C60B22" w:rsidP="00C60B22" w:rsidRDefault="00C60B22" w14:paraId="0F0C96F0" w14:textId="77777777">
      <w:pPr>
        <w:spacing w:after="0" w:line="276" w:lineRule="auto"/>
        <w:ind w:firstLine="708"/>
        <w:jc w:val="both"/>
        <w:rPr>
          <w:rFonts w:ascii="Arial" w:hAnsi="Arial" w:eastAsia="Times New Roman" w:cs="Arial"/>
          <w:lang w:val="es-MX" w:eastAsia="x-none"/>
        </w:rPr>
      </w:pPr>
      <w:bookmarkStart w:name="_Hlk77237229" w:id="40"/>
      <w:bookmarkEnd w:id="33"/>
      <w:r w:rsidRPr="00B0204F">
        <w:rPr>
          <w:rFonts w:ascii="Arial" w:hAnsi="Arial" w:eastAsia="Calibri" w:cs="Arial"/>
          <w:lang w:val="es-MX"/>
        </w:rPr>
        <w:t>Por lo tanto, la restricción prevista en la Ley 996 de 200</w:t>
      </w:r>
      <w:bookmarkStart w:name="_Hlk75741539" w:id="41"/>
      <w:r w:rsidRPr="00B0204F">
        <w:rPr>
          <w:rFonts w:ascii="Arial" w:hAnsi="Arial" w:eastAsia="Calibri" w:cs="Arial"/>
          <w:lang w:val="es-MX"/>
        </w:rPr>
        <w:t xml:space="preserve">5, </w:t>
      </w:r>
      <w:r w:rsidRPr="00B0204F">
        <w:rPr>
          <w:rFonts w:ascii="Arial" w:hAnsi="Arial" w:eastAsia="Times New Roman" w:cs="Arial"/>
          <w:lang w:val="es-MX" w:eastAsia="x-none"/>
        </w:rPr>
        <w:t>teniendo en cuenta la finalidad de la ley de garantías electorales, cobija a cualquier ente público que pueda a través de la contratación directa romper el equilibrio entre los partidos y los candidatos en las elecciones presidenciales. 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se puede presentar tanto en la contratación regulada por la Ley 80 de 1993 como en la regida por el derecho privado.</w:t>
      </w:r>
    </w:p>
    <w:bookmarkEnd w:id="40"/>
    <w:bookmarkEnd w:id="41"/>
    <w:p w:rsidRPr="00B0204F" w:rsidR="00C60B22" w:rsidP="00C60B22" w:rsidRDefault="00C60B22" w14:paraId="71071C4C" w14:textId="77777777">
      <w:pPr>
        <w:spacing w:after="0" w:line="276" w:lineRule="auto"/>
        <w:jc w:val="both"/>
        <w:rPr>
          <w:rFonts w:ascii="Arial" w:hAnsi="Arial" w:eastAsia="Calibri" w:cs="Arial"/>
          <w:lang w:val="es-MX"/>
        </w:rPr>
      </w:pPr>
    </w:p>
    <w:p w:rsidRPr="002D2E80" w:rsidR="00A26C80" w:rsidP="00A26C80" w:rsidRDefault="00C60B22" w14:paraId="08ECFDFA" w14:textId="445D7AF7">
      <w:pPr>
        <w:spacing w:line="276" w:lineRule="auto"/>
        <w:jc w:val="both"/>
        <w:rPr>
          <w:rFonts w:ascii="Arial" w:hAnsi="Arial" w:eastAsia="Arial" w:cs="Arial"/>
          <w:b/>
          <w:bCs/>
          <w:lang w:val="es-ES" w:eastAsia="es-ES" w:bidi="es-ES"/>
        </w:rPr>
      </w:pPr>
      <w:r w:rsidRPr="00B0204F">
        <w:rPr>
          <w:rFonts w:ascii="Arial" w:hAnsi="Arial" w:eastAsia="Calibri" w:cs="Arial"/>
          <w:b/>
          <w:lang w:val="es-MX"/>
        </w:rPr>
        <w:t xml:space="preserve">2.4. </w:t>
      </w:r>
      <w:bookmarkStart w:name="_Hlk77153296" w:id="42"/>
      <w:r w:rsidRPr="002D2E80" w:rsidR="00A26C80">
        <w:rPr>
          <w:rFonts w:ascii="Arial" w:hAnsi="Arial" w:eastAsia="Arial" w:cs="Arial"/>
          <w:b/>
          <w:bCs/>
          <w:lang w:val="es-ES" w:eastAsia="es-ES" w:bidi="es-ES"/>
        </w:rPr>
        <w:t>Operaciones de crédito y sus operaciones conexas: aplicabilidad de la Ley de Garantías Electorales</w:t>
      </w:r>
    </w:p>
    <w:p w:rsidRPr="002D2E80" w:rsidR="00A26C80" w:rsidP="00A26C80" w:rsidRDefault="00A26C80" w14:paraId="2A1B7FC6" w14:textId="64F97A01">
      <w:pPr>
        <w:spacing w:after="120" w:line="276" w:lineRule="auto"/>
        <w:jc w:val="both"/>
        <w:rPr>
          <w:rFonts w:ascii="Arial" w:hAnsi="Arial" w:eastAsia="Calibri" w:cs="Arial"/>
          <w:lang w:val="es-ES"/>
        </w:rPr>
      </w:pPr>
      <w:r w:rsidRPr="002D2E80">
        <w:rPr>
          <w:rFonts w:ascii="Arial" w:hAnsi="Arial" w:eastAsia="Calibri" w:cs="Arial"/>
          <w:lang w:val="es-ES"/>
        </w:rPr>
        <w:t xml:space="preserve">La Ley 80 de 1993, en el parágrafo segundo del artículo 41, definió a las operaciones de crédito público como aquellas que </w:t>
      </w:r>
      <w:r w:rsidR="00963AFD">
        <w:rPr>
          <w:rFonts w:ascii="Arial" w:hAnsi="Arial" w:eastAsia="Calibri" w:cs="Arial"/>
          <w:lang w:val="es-ES"/>
        </w:rPr>
        <w:t>“</w:t>
      </w:r>
      <w:r w:rsidRPr="002D2E80">
        <w:rPr>
          <w:rFonts w:ascii="Arial" w:hAnsi="Arial" w:eastAsia="Calibri" w:cs="Arial"/>
          <w:lang w:val="es-ES"/>
        </w:rPr>
        <w:t>[…] tienen por objeto dotar a la entidad de recursos con plazo para su pago, entre las que se encuentran la contratación de empréstitos, la emisión, suscripción y colocación de bonos y títulos valores, los créditos de proveedores y el otorgamiento de garantías para obligaciones de pago a cargo de las entidades estatales</w:t>
      </w:r>
      <w:r w:rsidR="00963AFD">
        <w:rPr>
          <w:rFonts w:ascii="Arial" w:hAnsi="Arial" w:eastAsia="Calibri" w:cs="Arial"/>
          <w:lang w:val="es-ES"/>
        </w:rPr>
        <w:t>”</w:t>
      </w:r>
      <w:r w:rsidRPr="002D2E80">
        <w:rPr>
          <w:rFonts w:ascii="Arial" w:hAnsi="Arial" w:eastAsia="Calibri" w:cs="Arial"/>
          <w:lang w:val="es-ES"/>
        </w:rPr>
        <w:t>. Además, esta norma dispone que dichas operaciones y las conexas con éstas se contratarán en forma directa.</w:t>
      </w:r>
    </w:p>
    <w:p w:rsidRPr="002D2E80" w:rsidR="00A26C80" w:rsidP="00A26C80" w:rsidRDefault="00A26C80" w14:paraId="7C01A47F" w14:textId="43997A25">
      <w:pPr>
        <w:spacing w:after="120" w:line="276" w:lineRule="auto"/>
        <w:ind w:firstLine="709"/>
        <w:jc w:val="both"/>
        <w:rPr>
          <w:rFonts w:ascii="Arial" w:hAnsi="Arial" w:eastAsia="Calibri" w:cs="Arial"/>
        </w:rPr>
      </w:pPr>
      <w:r w:rsidRPr="002D2E80">
        <w:rPr>
          <w:rFonts w:ascii="Arial" w:hAnsi="Arial" w:eastAsia="Calibri" w:cs="Arial"/>
          <w:lang w:val="es-ES"/>
        </w:rPr>
        <w:t>En ejercicio de sus facultades reglamentarias, el Gobierno Nacional recogió la definición legal de este tipo de operaciones y la amplió mediante el Decreto 2681 de 1993</w:t>
      </w:r>
      <w:r w:rsidRPr="002D2E80">
        <w:rPr>
          <w:rFonts w:ascii="Arial" w:hAnsi="Arial" w:eastAsia="Calibri" w:cs="Arial"/>
          <w:vertAlign w:val="superscript"/>
          <w:lang w:val="es-ES"/>
        </w:rPr>
        <w:footnoteReference w:id="25"/>
      </w:r>
      <w:r w:rsidRPr="002D2E80">
        <w:rPr>
          <w:rFonts w:ascii="Arial" w:hAnsi="Arial" w:eastAsia="Calibri" w:cs="Arial"/>
          <w:lang w:val="es-ES"/>
        </w:rPr>
        <w:t>, norma compilada, a su vez, en el artículo 2.2.1.1.1. del Decreto 1068 de 2015</w:t>
      </w:r>
      <w:r w:rsidRPr="002D2E80">
        <w:rPr>
          <w:rFonts w:ascii="Arial" w:hAnsi="Arial" w:eastAsia="Calibri" w:cs="Arial"/>
          <w:vertAlign w:val="superscript"/>
          <w:lang w:val="es-ES"/>
        </w:rPr>
        <w:footnoteReference w:id="26"/>
      </w:r>
      <w:r w:rsidRPr="002D2E80">
        <w:rPr>
          <w:rFonts w:ascii="Arial" w:hAnsi="Arial" w:eastAsia="Calibri" w:cs="Arial"/>
          <w:lang w:val="es-ES"/>
        </w:rPr>
        <w:t xml:space="preserve">. Este último dispuso que </w:t>
      </w:r>
      <w:r w:rsidR="00963AFD">
        <w:rPr>
          <w:rFonts w:ascii="Arial" w:hAnsi="Arial" w:eastAsia="Calibri" w:cs="Arial"/>
        </w:rPr>
        <w:t>“</w:t>
      </w:r>
      <w:r w:rsidRPr="002D2E80">
        <w:rPr>
          <w:rFonts w:ascii="Arial" w:hAnsi="Arial" w:eastAsia="Calibri" w:cs="Arial"/>
        </w:rPr>
        <w:t>[s]</w:t>
      </w:r>
      <w:proofErr w:type="spellStart"/>
      <w:r w:rsidRPr="002D2E80">
        <w:rPr>
          <w:rFonts w:ascii="Arial" w:hAnsi="Arial" w:eastAsia="Calibri" w:cs="Arial"/>
        </w:rPr>
        <w:t>on</w:t>
      </w:r>
      <w:proofErr w:type="spellEnd"/>
      <w:r w:rsidRPr="002D2E80">
        <w:rPr>
          <w:rFonts w:ascii="Arial" w:hAnsi="Arial" w:eastAsia="Calibri" w:cs="Arial"/>
        </w:rPr>
        <w:t xml:space="preserve"> operaciones de crédito público los actos o contratos que tienen por objeto dotar a la entidad estatal de recursos, bienes o servicios con plazo para su pago o aquellas mediante las cuales la entidad actúa como deudor solidario o garante de obligaciones de pago</w:t>
      </w:r>
      <w:r w:rsidR="00963AFD">
        <w:rPr>
          <w:rFonts w:ascii="Arial" w:hAnsi="Arial" w:eastAsia="Calibri" w:cs="Arial"/>
        </w:rPr>
        <w:t>”</w:t>
      </w:r>
      <w:r w:rsidRPr="002D2E80">
        <w:rPr>
          <w:rFonts w:ascii="Arial" w:hAnsi="Arial" w:eastAsia="Calibri" w:cs="Arial"/>
        </w:rPr>
        <w:t>. La norma reglamentaria agregó que dentro de estas operaciones están comprendidas, entre otras, la contratación de empréstitos, la emisión, suscripción y colocación de títulos de deuda pública, los créditos de proveedores y el otorgamiento de garantías para obligaciones de pago a cargo de entidades estatales.</w:t>
      </w:r>
    </w:p>
    <w:p w:rsidRPr="002D2E80" w:rsidR="00A26C80" w:rsidP="00A26C80" w:rsidRDefault="00A26C80" w14:paraId="6610869C" w14:textId="77777777">
      <w:pPr>
        <w:spacing w:line="276" w:lineRule="auto"/>
        <w:ind w:firstLine="709"/>
        <w:jc w:val="both"/>
        <w:rPr>
          <w:rFonts w:ascii="Arial" w:hAnsi="Arial" w:eastAsia="Calibri" w:cs="Arial"/>
          <w:lang w:val="es-ES"/>
        </w:rPr>
      </w:pPr>
      <w:r w:rsidRPr="002D2E80">
        <w:rPr>
          <w:rFonts w:ascii="Arial" w:hAnsi="Arial" w:eastAsia="Calibri" w:cs="Arial"/>
          <w:lang w:val="es-ES"/>
        </w:rPr>
        <w:t xml:space="preserve">Al comparar el texto legal y el reglamentario, se concluye que el Gobierno Nacional ahondó en la definición de las operaciones de crédito público, agregándoles que también son aquellas en donde una entidad estatal actúa como deudora solidaria o garante de una obligación. Adicionalmente, incluyó la clasificación de operaciones de crédito internas y </w:t>
      </w:r>
      <w:r w:rsidRPr="002D2E80">
        <w:rPr>
          <w:rFonts w:ascii="Arial" w:hAnsi="Arial" w:eastAsia="Calibri" w:cs="Arial"/>
          <w:lang w:val="es-ES"/>
        </w:rPr>
        <w:t xml:space="preserve">externas, de acuerdo con el lugar en donde se celebren y la moneda en la que se deban pagar las obligaciones adquiridas, en atención a las regulaciones cambiarias, en los siguientes términos: </w:t>
      </w:r>
    </w:p>
    <w:p w:rsidR="00A26C80" w:rsidP="00A26C80" w:rsidRDefault="00146E9C" w14:paraId="287373C3" w14:textId="7B64674F">
      <w:pPr>
        <w:ind w:left="709" w:right="709"/>
        <w:contextualSpacing/>
        <w:jc w:val="both"/>
        <w:rPr>
          <w:rFonts w:ascii="Arial" w:hAnsi="Arial" w:eastAsia="Calibri" w:cs="Arial"/>
          <w:sz w:val="21"/>
          <w:szCs w:val="21"/>
        </w:rPr>
      </w:pPr>
      <w:r>
        <w:rPr>
          <w:rFonts w:ascii="Arial" w:hAnsi="Arial" w:eastAsia="Calibri" w:cs="Arial"/>
          <w:sz w:val="21"/>
          <w:szCs w:val="21"/>
        </w:rPr>
        <w:t>“</w:t>
      </w:r>
      <w:r w:rsidRPr="002D2E80" w:rsidR="00A26C80">
        <w:rPr>
          <w:rFonts w:ascii="Arial" w:hAnsi="Arial" w:eastAsia="Calibri" w:cs="Arial"/>
          <w:sz w:val="21"/>
          <w:szCs w:val="21"/>
        </w:rPr>
        <w:t>Para efectos de lo dispuesto en el presente título, las operaciones de crédito público pueden ser internas o externas. Son operaciones de crédito público internas las que, de conformidad con las disposiciones cambiarias, se celebren exclusivamente entre residentes del territorio colombiano para ser pagaderas en moneda legal colombiana. Son operaciones de crédito público externas todas las demás […]</w:t>
      </w:r>
      <w:r>
        <w:rPr>
          <w:rFonts w:ascii="Arial" w:hAnsi="Arial" w:eastAsia="Calibri" w:cs="Arial"/>
          <w:sz w:val="21"/>
          <w:szCs w:val="21"/>
        </w:rPr>
        <w:t>”.</w:t>
      </w:r>
    </w:p>
    <w:p w:rsidRPr="002D2E80" w:rsidR="00146E9C" w:rsidP="00A26C80" w:rsidRDefault="00146E9C" w14:paraId="7A3AED9D" w14:textId="77777777">
      <w:pPr>
        <w:ind w:left="709" w:right="709"/>
        <w:contextualSpacing/>
        <w:jc w:val="both"/>
        <w:rPr>
          <w:rFonts w:ascii="Arial" w:hAnsi="Arial" w:eastAsia="Calibri" w:cs="Arial"/>
          <w:sz w:val="21"/>
          <w:szCs w:val="21"/>
        </w:rPr>
      </w:pPr>
    </w:p>
    <w:p w:rsidRPr="002D2E80" w:rsidR="00A26C80" w:rsidP="00A26C80" w:rsidRDefault="00A26C80" w14:paraId="024349EC" w14:textId="77777777">
      <w:pPr>
        <w:spacing w:line="276" w:lineRule="auto"/>
        <w:ind w:firstLine="709"/>
        <w:jc w:val="both"/>
        <w:rPr>
          <w:rFonts w:ascii="Arial" w:hAnsi="Arial" w:eastAsia="Calibri" w:cs="Arial"/>
          <w:lang w:val="es-ES"/>
        </w:rPr>
      </w:pPr>
      <w:r w:rsidRPr="002D2E80">
        <w:rPr>
          <w:rFonts w:ascii="Arial" w:hAnsi="Arial" w:eastAsia="Calibri" w:cs="Arial"/>
          <w:lang w:val="es-ES"/>
        </w:rPr>
        <w:t>La jurisprudencia constitucional a partir de las anteriores disposiciones ha definido las operaciones en cuestión brindando algunos ejemplos de este tipo de actos, así como de las operaciones asimiladas a las de crédito público y definiendo las operaciones de manejo de deuda pública</w:t>
      </w:r>
      <w:r w:rsidRPr="002D2E80">
        <w:rPr>
          <w:rFonts w:ascii="Arial" w:hAnsi="Arial" w:eastAsia="Calibri" w:cs="Arial"/>
          <w:vertAlign w:val="superscript"/>
          <w:lang w:val="es-ES"/>
        </w:rPr>
        <w:footnoteReference w:id="27"/>
      </w:r>
      <w:r w:rsidRPr="002D2E80">
        <w:rPr>
          <w:rFonts w:ascii="Arial" w:hAnsi="Arial" w:eastAsia="Calibri" w:cs="Arial"/>
          <w:lang w:val="es-ES"/>
        </w:rPr>
        <w:t xml:space="preserve">. Esta Agencia también ha reiterado estas definiciones normativas al considerar, dentro de los Conceptos </w:t>
      </w:r>
      <w:r w:rsidRPr="002D2E80">
        <w:rPr>
          <w:rFonts w:ascii="Arial" w:hAnsi="Arial" w:eastAsia="Calibri" w:cs="Arial"/>
          <w:lang w:val="es-MX"/>
        </w:rPr>
        <w:t xml:space="preserve">2201913000009289 y </w:t>
      </w:r>
      <w:r w:rsidRPr="002D2E80">
        <w:rPr>
          <w:rFonts w:ascii="Arial" w:hAnsi="Arial" w:eastAsia="Calibri" w:cs="Arial"/>
        </w:rPr>
        <w:t>201913000007443 de 2019, lo siguiente</w:t>
      </w:r>
      <w:r w:rsidRPr="002D2E80">
        <w:rPr>
          <w:rFonts w:ascii="Arial" w:hAnsi="Arial" w:eastAsia="Calibri" w:cs="Arial"/>
          <w:lang w:val="es-ES"/>
        </w:rPr>
        <w:t xml:space="preserve">: </w:t>
      </w:r>
    </w:p>
    <w:p w:rsidRPr="002D2E80" w:rsidR="00A26C80" w:rsidP="00A26C80" w:rsidRDefault="00146E9C" w14:paraId="0A96529A" w14:textId="3DCB8FEE">
      <w:pPr>
        <w:spacing w:after="120"/>
        <w:ind w:left="709" w:right="709"/>
        <w:jc w:val="both"/>
        <w:rPr>
          <w:rFonts w:ascii="Arial" w:hAnsi="Arial" w:eastAsia="Calibri" w:cs="Arial"/>
          <w:sz w:val="21"/>
          <w:szCs w:val="21"/>
          <w:lang w:val="es-ES"/>
        </w:rPr>
      </w:pPr>
      <w:r>
        <w:rPr>
          <w:rFonts w:ascii="Arial" w:hAnsi="Arial" w:eastAsia="Calibri" w:cs="Arial"/>
          <w:sz w:val="21"/>
          <w:szCs w:val="21"/>
          <w:lang w:val="es-MX"/>
        </w:rPr>
        <w:t>“</w:t>
      </w:r>
      <w:r w:rsidRPr="002D2E80" w:rsidR="00A26C80">
        <w:rPr>
          <w:rFonts w:ascii="Arial" w:hAnsi="Arial" w:eastAsia="Calibri" w:cs="Arial"/>
          <w:sz w:val="21"/>
          <w:szCs w:val="21"/>
          <w:lang w:val="es-MX"/>
        </w:rPr>
        <w:t>El parágrafo 2 del artículo 41 de la Ley 80 de 1993, define las operaciones de crédito público como aquellas que tienen por objeto dotar a la entidad de recursos con plazo para su pago, entre las que se encuentran la contratación de empréstitos, la emisión, suscripción y colocación de bonos y títulos valores, los créditos de proveedores y el otorgamiento de garantías para obligaciones de pago a cargo de las entidades estatales.</w:t>
      </w:r>
      <w:r w:rsidRPr="002D2E80" w:rsidR="00A26C80">
        <w:rPr>
          <w:rFonts w:ascii="Arial" w:hAnsi="Arial" w:eastAsia="Calibri" w:cs="Arial"/>
          <w:sz w:val="21"/>
          <w:szCs w:val="21"/>
          <w:lang w:val="es-ES"/>
        </w:rPr>
        <w:t xml:space="preserve"> […]</w:t>
      </w:r>
    </w:p>
    <w:p w:rsidRPr="002D2E80" w:rsidR="00A26C80" w:rsidP="00A26C80" w:rsidRDefault="00A26C80" w14:paraId="43EBA0C8" w14:textId="4585097D">
      <w:pPr>
        <w:ind w:left="720" w:right="851"/>
        <w:jc w:val="both"/>
        <w:rPr>
          <w:rFonts w:ascii="Arial" w:hAnsi="Arial" w:eastAsia="Calibri" w:cs="Arial"/>
          <w:sz w:val="21"/>
          <w:szCs w:val="21"/>
          <w:lang w:val="es-ES"/>
        </w:rPr>
      </w:pPr>
      <w:r w:rsidRPr="002D2E80">
        <w:rPr>
          <w:rFonts w:ascii="Arial" w:hAnsi="Arial" w:eastAsia="Calibri" w:cs="Arial"/>
          <w:sz w:val="21"/>
          <w:szCs w:val="21"/>
          <w:lang w:val="es-MX"/>
        </w:rPr>
        <w:t>De acuerdo con la definición de la Ley 80 de 1993</w:t>
      </w:r>
      <w:r w:rsidRPr="002D2E80">
        <w:rPr>
          <w:rFonts w:ascii="Arial" w:hAnsi="Arial" w:eastAsia="Calibri" w:cs="Arial"/>
          <w:sz w:val="21"/>
          <w:szCs w:val="21"/>
          <w:lang w:val="es-ES"/>
        </w:rPr>
        <w:t xml:space="preserve"> y</w:t>
      </w:r>
      <w:r w:rsidRPr="002D2E80">
        <w:rPr>
          <w:rFonts w:ascii="Arial" w:hAnsi="Arial" w:eastAsia="Calibri" w:cs="Arial"/>
          <w:sz w:val="21"/>
          <w:szCs w:val="21"/>
          <w:lang w:val="es-MX"/>
        </w:rPr>
        <w:t xml:space="preserve"> del Decreto 1068 de 2015, las operaciones de crédito </w:t>
      </w:r>
      <w:proofErr w:type="spellStart"/>
      <w:r w:rsidRPr="002D2E80">
        <w:rPr>
          <w:rFonts w:ascii="Arial" w:hAnsi="Arial" w:eastAsia="Calibri" w:cs="Arial"/>
          <w:sz w:val="21"/>
          <w:szCs w:val="21"/>
          <w:lang w:val="es-MX"/>
        </w:rPr>
        <w:t>publico</w:t>
      </w:r>
      <w:proofErr w:type="spellEnd"/>
      <w:r w:rsidRPr="002D2E80">
        <w:rPr>
          <w:rFonts w:ascii="Arial" w:hAnsi="Arial" w:eastAsia="Calibri" w:cs="Arial"/>
          <w:sz w:val="21"/>
          <w:szCs w:val="21"/>
          <w:lang w:val="es-MX"/>
        </w:rPr>
        <w:t xml:space="preserve"> permiten dotar a la entidad de recursos líquidos, suministrar bienes o la prestación de servicios</w:t>
      </w:r>
      <w:r w:rsidR="00146E9C">
        <w:rPr>
          <w:rFonts w:ascii="Arial" w:hAnsi="Arial" w:eastAsia="Calibri" w:cs="Arial"/>
          <w:sz w:val="21"/>
          <w:szCs w:val="21"/>
          <w:lang w:val="es-MX"/>
        </w:rPr>
        <w:t>”</w:t>
      </w:r>
      <w:r w:rsidRPr="002D2E80">
        <w:rPr>
          <w:rFonts w:ascii="Arial" w:hAnsi="Arial" w:eastAsia="Calibri" w:cs="Arial"/>
          <w:sz w:val="21"/>
          <w:szCs w:val="21"/>
          <w:vertAlign w:val="superscript"/>
          <w:lang w:val="es-ES"/>
        </w:rPr>
        <w:footnoteReference w:id="28"/>
      </w:r>
      <w:r w:rsidRPr="002D2E80">
        <w:rPr>
          <w:rFonts w:ascii="Arial" w:hAnsi="Arial" w:eastAsia="Calibri" w:cs="Arial"/>
          <w:sz w:val="21"/>
          <w:szCs w:val="21"/>
          <w:lang w:val="es-ES"/>
        </w:rPr>
        <w:t>.</w:t>
      </w:r>
    </w:p>
    <w:p w:rsidRPr="002D2E80" w:rsidR="00A26C80" w:rsidP="00A26C80" w:rsidRDefault="00A26C80" w14:paraId="7E1D4241" w14:textId="77777777">
      <w:pPr>
        <w:spacing w:after="120" w:line="276" w:lineRule="auto"/>
        <w:ind w:firstLine="709"/>
        <w:jc w:val="both"/>
        <w:rPr>
          <w:rFonts w:ascii="Arial" w:hAnsi="Arial" w:eastAsia="Calibri" w:cs="Arial"/>
          <w:lang w:val="es-ES"/>
        </w:rPr>
      </w:pPr>
      <w:r w:rsidRPr="002D2E80">
        <w:rPr>
          <w:rFonts w:ascii="Arial" w:hAnsi="Arial" w:eastAsia="Calibri" w:cs="Arial"/>
          <w:lang w:val="es-ES"/>
        </w:rPr>
        <w:t>El tráfico jurídico de este tipo de contratos y operaciones muestra que suelen ser complejos, pues cubren actos de variada naturaleza, no solamente en el campo contractual, sino también sobre actuaciones financieras y de la hacienda pública que, en algunas ocasiones, usan títulos valores como vehículos de sus transacciones. El contrato de empréstito usualmente es el acto jurídico estatal por excelencia asociado con una operación de crédito público</w:t>
      </w:r>
      <w:r w:rsidRPr="002D2E80">
        <w:rPr>
          <w:rFonts w:ascii="Arial" w:hAnsi="Arial" w:eastAsia="Calibri" w:cs="Arial"/>
          <w:vertAlign w:val="superscript"/>
          <w:lang w:val="es-ES"/>
        </w:rPr>
        <w:footnoteReference w:id="29"/>
      </w:r>
      <w:r w:rsidRPr="002D2E80">
        <w:rPr>
          <w:rFonts w:ascii="Arial" w:hAnsi="Arial" w:eastAsia="Calibri" w:cs="Arial"/>
          <w:lang w:val="es-ES"/>
        </w:rPr>
        <w:t xml:space="preserve">; sin embargo, existen otros de diferente naturaleza que también son </w:t>
      </w:r>
      <w:r w:rsidRPr="002D2E80">
        <w:rPr>
          <w:rFonts w:ascii="Arial" w:hAnsi="Arial" w:eastAsia="Calibri" w:cs="Arial"/>
          <w:lang w:val="es-ES"/>
        </w:rPr>
        <w:t>comunes, como lo son las líneas de crédito contingentes, los créditos de proveedores, la emisión, suscripción y colación de títulos de deuda pública, las operaciones de manejo de deuda, entre otros</w:t>
      </w:r>
      <w:r w:rsidRPr="002D2E80">
        <w:rPr>
          <w:rFonts w:ascii="Arial" w:hAnsi="Arial" w:eastAsia="Calibri" w:cs="Arial"/>
          <w:vertAlign w:val="superscript"/>
          <w:lang w:val="es-ES"/>
        </w:rPr>
        <w:footnoteReference w:id="30"/>
      </w:r>
      <w:r w:rsidRPr="002D2E80">
        <w:rPr>
          <w:rFonts w:ascii="Arial" w:hAnsi="Arial" w:eastAsia="Calibri" w:cs="Arial"/>
          <w:lang w:val="es-ES"/>
        </w:rPr>
        <w:t>.</w:t>
      </w:r>
    </w:p>
    <w:p w:rsidRPr="002D2E80" w:rsidR="00A26C80" w:rsidP="00A26C80" w:rsidRDefault="00A26C80" w14:paraId="4383AC47" w14:textId="77777777">
      <w:pPr>
        <w:spacing w:after="120" w:line="276" w:lineRule="auto"/>
        <w:ind w:firstLine="709"/>
        <w:jc w:val="both"/>
        <w:rPr>
          <w:rFonts w:ascii="Arial" w:hAnsi="Arial" w:eastAsia="Calibri" w:cs="Arial"/>
          <w:b/>
          <w:bCs/>
          <w:i/>
          <w:iCs/>
        </w:rPr>
      </w:pPr>
      <w:r w:rsidRPr="002D2E80">
        <w:rPr>
          <w:rFonts w:ascii="Arial" w:hAnsi="Arial" w:eastAsia="Calibri" w:cs="Arial"/>
          <w:lang w:val="es-ES"/>
        </w:rPr>
        <w:t>Las reglas aplicables a este tipo de operaciones dejan claro que, independientemente de la modalidad negocial adoptada, estas siempre se contratan de manera directa. Lo anterior deriva de la habilitación del citado artículo 41 de la Ley 80 de 1993 y del artículo 2.2.1.5.1 del Decreto 1068 de 2015</w:t>
      </w:r>
      <w:r w:rsidRPr="002D2E80">
        <w:rPr>
          <w:rFonts w:ascii="Arial" w:hAnsi="Arial" w:eastAsia="Calibri" w:cs="Arial"/>
          <w:bCs/>
          <w:vertAlign w:val="superscript"/>
        </w:rPr>
        <w:footnoteReference w:id="31"/>
      </w:r>
      <w:r w:rsidRPr="002D2E80">
        <w:rPr>
          <w:rFonts w:ascii="Arial" w:hAnsi="Arial" w:eastAsia="Calibri" w:cs="Arial"/>
          <w:lang w:val="es-ES"/>
        </w:rPr>
        <w:t xml:space="preserve">. Estas operaciones, de carácter complejo, revisten distintas formas y modalidades, pero todas encaminadas a </w:t>
      </w:r>
      <w:r w:rsidRPr="002D2E80">
        <w:rPr>
          <w:rFonts w:ascii="Arial" w:hAnsi="Arial" w:eastAsia="Calibri" w:cs="Arial"/>
        </w:rPr>
        <w:t xml:space="preserve">dotar a una entidad estatal de recursos, con plazo para su pago, por regla general. A su vez, la ley y su </w:t>
      </w:r>
      <w:r w:rsidRPr="002D2E80">
        <w:rPr>
          <w:rFonts w:ascii="Arial" w:hAnsi="Arial" w:eastAsia="Calibri" w:cs="Arial"/>
        </w:rPr>
        <w:t xml:space="preserve">reglamento han dictaminado que este tipo de operaciones se contraten directamente, </w:t>
      </w:r>
      <w:r w:rsidRPr="002D2E80">
        <w:rPr>
          <w:rFonts w:ascii="Arial" w:hAnsi="Arial" w:eastAsia="Calibri" w:cs="Arial"/>
          <w:bCs/>
        </w:rPr>
        <w:t xml:space="preserve">sin necesidad de acudir al procedimiento de licitación o concurso de méritos u </w:t>
      </w:r>
      <w:r w:rsidRPr="002D2E80">
        <w:rPr>
          <w:rFonts w:ascii="Arial" w:hAnsi="Arial" w:eastAsia="Calibri" w:cs="Arial"/>
        </w:rPr>
        <w:t>otros contemplados en la ley para garantizar la participación plural de oferentes, dado su particular objeto y naturaleza especial, que hacen difícil al Estado establecer las condiciones generales para realizar este tipo de contratación. Sin embargo, la entidad cont</w:t>
      </w:r>
      <w:r w:rsidRPr="002D2E80">
        <w:rPr>
          <w:rFonts w:ascii="Arial" w:hAnsi="Arial" w:eastAsia="Calibri" w:cs="Arial"/>
          <w:bCs/>
        </w:rPr>
        <w:t xml:space="preserve">ratante, al suscribir este tipo de contratos, deberá aplicar los principios de economía, transparencia y selección objetiva, consagrados en el Estatuto General de Contratación de la Administración Pública. </w:t>
      </w:r>
    </w:p>
    <w:p w:rsidRPr="002D2E80" w:rsidR="00A26C80" w:rsidP="00A26C80" w:rsidRDefault="00A26C80" w14:paraId="2D74F297" w14:textId="3CB7406F">
      <w:pPr>
        <w:spacing w:after="120" w:line="276" w:lineRule="auto"/>
        <w:ind w:firstLine="709"/>
        <w:jc w:val="both"/>
        <w:rPr>
          <w:rFonts w:ascii="Arial" w:hAnsi="Arial" w:eastAsia="Calibri" w:cs="Arial"/>
        </w:rPr>
      </w:pPr>
      <w:r w:rsidRPr="002D2E80">
        <w:rPr>
          <w:rFonts w:ascii="Arial" w:hAnsi="Arial" w:eastAsia="Calibri" w:cs="Arial"/>
        </w:rPr>
        <w:t xml:space="preserve">Ahora bien, pese a que </w:t>
      </w:r>
      <w:bookmarkStart w:name="_Hlk80119235" w:id="44"/>
      <w:r w:rsidRPr="002D2E80">
        <w:rPr>
          <w:rFonts w:ascii="Arial" w:hAnsi="Arial" w:eastAsia="Calibri" w:cs="Arial"/>
        </w:rPr>
        <w:t xml:space="preserve">el artículo 41 de la Ley 80 de 1993 hace referencia a las operaciones conexas a las de crédito público, el legislador no definió el alcance de estas últimas. Sin embargo, </w:t>
      </w:r>
      <w:bookmarkStart w:name="_Hlk79357116" w:id="45"/>
      <w:r w:rsidRPr="002D2E80">
        <w:rPr>
          <w:rFonts w:ascii="Arial" w:hAnsi="Arial" w:eastAsia="Calibri" w:cs="Arial"/>
        </w:rPr>
        <w:t xml:space="preserve">el artículo 2.2.1.1.4 del Decreto Único Reglamentario –que compila el artículo 6 del Decreto 2681 de 1993– dispone que </w:t>
      </w:r>
      <w:bookmarkStart w:name="_Hlk79334231" w:id="46"/>
      <w:r w:rsidR="00963AFD">
        <w:rPr>
          <w:rFonts w:ascii="Arial" w:hAnsi="Arial" w:eastAsia="Calibri" w:cs="Arial"/>
          <w:lang w:val="es-ES"/>
        </w:rPr>
        <w:t>“</w:t>
      </w:r>
      <w:r w:rsidRPr="002D2E80">
        <w:rPr>
          <w:rFonts w:ascii="Arial" w:hAnsi="Arial" w:eastAsia="Calibri" w:cs="Arial"/>
          <w:lang w:val="es-MX"/>
        </w:rPr>
        <w:t xml:space="preserve">[s]e consideran conexas a las operaciones de crédito público […] </w:t>
      </w:r>
      <w:bookmarkStart w:name="_Hlk79341798" w:id="47"/>
      <w:r w:rsidRPr="002D2E80">
        <w:rPr>
          <w:rFonts w:ascii="Arial" w:hAnsi="Arial" w:eastAsia="Calibri" w:cs="Arial"/>
          <w:lang w:val="es-MX"/>
        </w:rPr>
        <w:t>los actos o contratos relacionados que constituyen un medio necesario para la realización de tales operaciones</w:t>
      </w:r>
      <w:r w:rsidR="00963AFD">
        <w:rPr>
          <w:rFonts w:ascii="Arial" w:hAnsi="Arial" w:eastAsia="Calibri" w:cs="Arial"/>
          <w:lang w:val="es-MX"/>
        </w:rPr>
        <w:t>”</w:t>
      </w:r>
      <w:r w:rsidRPr="002D2E80">
        <w:rPr>
          <w:rFonts w:ascii="Arial" w:hAnsi="Arial" w:eastAsia="Calibri" w:cs="Arial"/>
          <w:lang w:val="es-MX"/>
        </w:rPr>
        <w:t xml:space="preserve">. </w:t>
      </w:r>
      <w:bookmarkEnd w:id="46"/>
      <w:bookmarkEnd w:id="47"/>
    </w:p>
    <w:p w:rsidRPr="002D2E80" w:rsidR="00A26C80" w:rsidP="00A26C80" w:rsidRDefault="00A26C80" w14:paraId="7A8B59AD" w14:textId="77777777">
      <w:pPr>
        <w:spacing w:after="120" w:line="276" w:lineRule="auto"/>
        <w:ind w:firstLine="709"/>
        <w:jc w:val="both"/>
        <w:rPr>
          <w:rFonts w:ascii="Arial" w:hAnsi="Arial" w:eastAsia="Calibri" w:cs="Arial"/>
          <w:lang w:val="es-MX"/>
        </w:rPr>
      </w:pPr>
      <w:r w:rsidRPr="002D2E80">
        <w:rPr>
          <w:rFonts w:ascii="Arial" w:hAnsi="Arial" w:eastAsia="Calibri" w:cs="Arial"/>
        </w:rPr>
        <w:t xml:space="preserve">De acuerdo con la citada disposición reglamentaria son </w:t>
      </w:r>
      <w:r w:rsidRPr="002D2E80">
        <w:rPr>
          <w:rFonts w:ascii="Arial" w:hAnsi="Arial" w:eastAsia="Calibri" w:cs="Arial"/>
          <w:lang w:val="es-MX"/>
        </w:rPr>
        <w:t xml:space="preserve">conexos a las operaciones de crédito público, entre otros, los contratos necesarios para el otorgamiento de garantías o contragarantías a operaciones de crédito público; los contratos de edición, colocación, incluida la colocación garantizada, fideicomiso, encargo fiduciario, garantía y administración de títulos de deuda pública en el mercado de valores, así como los contratos para la calificación de la inversión o de valores, requeridos para la emisión y colocación de tales títulos en los mercados de capitales. </w:t>
      </w:r>
    </w:p>
    <w:p w:rsidRPr="002D2E80" w:rsidR="00A26C80" w:rsidP="00A26C80" w:rsidRDefault="00A26C80" w14:paraId="4EFC4559" w14:textId="7A8DA4BB">
      <w:pPr>
        <w:spacing w:line="276" w:lineRule="auto"/>
        <w:ind w:firstLine="708"/>
        <w:jc w:val="both"/>
        <w:rPr>
          <w:rFonts w:ascii="Arial" w:hAnsi="Arial" w:eastAsia="Calibri" w:cs="Arial"/>
          <w:lang w:val="es-ES"/>
        </w:rPr>
      </w:pPr>
      <w:r w:rsidRPr="002D2E80">
        <w:rPr>
          <w:rFonts w:ascii="Arial" w:hAnsi="Arial" w:eastAsia="Calibri" w:cs="Arial"/>
          <w:lang w:val="es-MX"/>
        </w:rPr>
        <w:t xml:space="preserve">Igualmente, la norma en mención indica que también son conexos a operaciones de crédito público </w:t>
      </w:r>
      <w:r w:rsidR="00963AFD">
        <w:rPr>
          <w:rFonts w:ascii="Arial" w:hAnsi="Arial" w:eastAsia="Calibri" w:cs="Arial"/>
          <w:lang w:val="es-MX"/>
        </w:rPr>
        <w:t>“</w:t>
      </w:r>
      <w:r w:rsidRPr="002D2E80">
        <w:rPr>
          <w:rFonts w:ascii="Arial" w:hAnsi="Arial" w:eastAsia="Calibri" w:cs="Arial"/>
          <w:lang w:val="es-MX"/>
        </w:rPr>
        <w:t>[…] los contratos de intermediación necesarios para llevar a cabo tales operaciones y los de asistencia o asesoría necesarios para la negociación, contratación, o representación de la entidad estatal en el exterior que deban realizarse por personas o entidades expertas en estas materias</w:t>
      </w:r>
      <w:r w:rsidR="00963AFD">
        <w:rPr>
          <w:rFonts w:ascii="Arial" w:hAnsi="Arial" w:eastAsia="Calibri" w:cs="Arial"/>
          <w:lang w:val="es-MX"/>
        </w:rPr>
        <w:t>”</w:t>
      </w:r>
      <w:r w:rsidRPr="002D2E80">
        <w:rPr>
          <w:rFonts w:ascii="Arial" w:hAnsi="Arial" w:eastAsia="Calibri" w:cs="Arial"/>
          <w:lang w:val="es-MX"/>
        </w:rPr>
        <w:t>. Además, el precepto reglamentario prescribe que las operaciones conexas se contratarán en forma directa, sin someterse al procedimiento de licitación o concurso de méritos.</w:t>
      </w:r>
      <w:bookmarkEnd w:id="44"/>
      <w:r w:rsidRPr="002D2E80">
        <w:rPr>
          <w:rFonts w:ascii="Arial" w:hAnsi="Arial" w:eastAsia="Calibri" w:cs="Arial"/>
          <w:lang w:val="es-ES"/>
        </w:rPr>
        <w:t xml:space="preserve"> En este sentido</w:t>
      </w:r>
      <w:bookmarkEnd w:id="45"/>
      <w:r w:rsidRPr="002D2E80">
        <w:rPr>
          <w:rFonts w:ascii="Arial" w:hAnsi="Arial" w:eastAsia="Calibri" w:cs="Arial"/>
          <w:lang w:val="es-ES"/>
        </w:rPr>
        <w:t>, los lineamientos técnicos del Departamento Nacional de Planeación han dado una pauta similar a aquella fijada en la norma reglamentaria, explicando que las operaciones conexas:</w:t>
      </w:r>
    </w:p>
    <w:p w:rsidRPr="002D2E80" w:rsidR="00A26C80" w:rsidP="00A26C80" w:rsidRDefault="00146E9C" w14:paraId="13781525" w14:textId="76DDB91F">
      <w:pPr>
        <w:ind w:left="720" w:right="709"/>
        <w:jc w:val="both"/>
        <w:rPr>
          <w:rFonts w:ascii="Arial" w:hAnsi="Arial" w:eastAsia="Calibri" w:cs="Arial"/>
          <w:sz w:val="21"/>
          <w:szCs w:val="21"/>
          <w:lang w:val="es-MX"/>
        </w:rPr>
      </w:pPr>
      <w:r>
        <w:rPr>
          <w:rFonts w:ascii="Arial" w:hAnsi="Arial" w:eastAsia="Calibri" w:cs="Arial"/>
          <w:sz w:val="21"/>
          <w:szCs w:val="21"/>
          <w:lang w:val="es-ES"/>
        </w:rPr>
        <w:t>“</w:t>
      </w:r>
      <w:r w:rsidRPr="002D2E80" w:rsidR="00A26C80">
        <w:rPr>
          <w:rFonts w:ascii="Arial" w:hAnsi="Arial" w:eastAsia="Calibri" w:cs="Arial"/>
          <w:sz w:val="21"/>
          <w:szCs w:val="21"/>
          <w:lang w:val="es-ES"/>
        </w:rPr>
        <w:t>S</w:t>
      </w:r>
      <w:proofErr w:type="spellStart"/>
      <w:r w:rsidRPr="002D2E80" w:rsidR="00A26C80">
        <w:rPr>
          <w:rFonts w:ascii="Arial" w:hAnsi="Arial" w:eastAsia="Calibri" w:cs="Arial"/>
          <w:sz w:val="21"/>
          <w:szCs w:val="21"/>
          <w:u w:val="single"/>
          <w:lang w:val="es-MX"/>
        </w:rPr>
        <w:t>on</w:t>
      </w:r>
      <w:proofErr w:type="spellEnd"/>
      <w:r w:rsidRPr="002D2E80" w:rsidR="00A26C80">
        <w:rPr>
          <w:rFonts w:ascii="Arial" w:hAnsi="Arial" w:eastAsia="Calibri" w:cs="Arial"/>
          <w:sz w:val="21"/>
          <w:szCs w:val="21"/>
          <w:u w:val="single"/>
          <w:lang w:val="es-MX"/>
        </w:rPr>
        <w:t xml:space="preserve"> todos los actos o contratos necesarios para la realización de operaciones de crédito</w:t>
      </w:r>
      <w:r w:rsidRPr="002D2E80" w:rsidR="00A26C80">
        <w:rPr>
          <w:rFonts w:ascii="Arial" w:hAnsi="Arial" w:eastAsia="Calibri" w:cs="Arial"/>
          <w:sz w:val="21"/>
          <w:szCs w:val="21"/>
          <w:u w:val="single"/>
          <w:lang w:val="es-ES"/>
        </w:rPr>
        <w:t xml:space="preserve"> </w:t>
      </w:r>
      <w:r w:rsidRPr="002D2E80" w:rsidR="00A26C80">
        <w:rPr>
          <w:rFonts w:ascii="Arial" w:hAnsi="Arial" w:eastAsia="Calibri" w:cs="Arial"/>
          <w:sz w:val="21"/>
          <w:szCs w:val="21"/>
          <w:u w:val="single"/>
          <w:lang w:val="es-MX"/>
        </w:rPr>
        <w:t>público […]. Se contratan en forma directa sin</w:t>
      </w:r>
      <w:r w:rsidRPr="002D2E80" w:rsidR="00A26C80">
        <w:rPr>
          <w:rFonts w:ascii="Arial" w:hAnsi="Arial" w:eastAsia="Calibri" w:cs="Arial"/>
          <w:sz w:val="21"/>
          <w:szCs w:val="21"/>
          <w:u w:val="single"/>
          <w:lang w:val="es-ES"/>
        </w:rPr>
        <w:t xml:space="preserve"> </w:t>
      </w:r>
      <w:r w:rsidRPr="002D2E80" w:rsidR="00A26C80">
        <w:rPr>
          <w:rFonts w:ascii="Arial" w:hAnsi="Arial" w:eastAsia="Calibri" w:cs="Arial"/>
          <w:sz w:val="21"/>
          <w:szCs w:val="21"/>
          <w:u w:val="single"/>
          <w:lang w:val="es-MX"/>
        </w:rPr>
        <w:t>someterse al procedimiento de licitación o concurso de méritos, por cuanto la</w:t>
      </w:r>
      <w:r w:rsidRPr="002D2E80" w:rsidR="00A26C80">
        <w:rPr>
          <w:rFonts w:ascii="Arial" w:hAnsi="Arial" w:eastAsia="Calibri" w:cs="Arial"/>
          <w:sz w:val="21"/>
          <w:szCs w:val="21"/>
          <w:u w:val="single"/>
          <w:lang w:val="es-ES"/>
        </w:rPr>
        <w:t xml:space="preserve"> </w:t>
      </w:r>
      <w:r w:rsidRPr="002D2E80" w:rsidR="00A26C80">
        <w:rPr>
          <w:rFonts w:ascii="Arial" w:hAnsi="Arial" w:eastAsia="Calibri" w:cs="Arial"/>
          <w:sz w:val="21"/>
          <w:szCs w:val="21"/>
          <w:u w:val="single"/>
          <w:lang w:val="es-MX"/>
        </w:rPr>
        <w:t>autorización está dada implícitamente en la operación a la que es conexa</w:t>
      </w:r>
      <w:r w:rsidRPr="002D2E80" w:rsidR="00A26C80">
        <w:rPr>
          <w:rFonts w:ascii="Arial" w:hAnsi="Arial" w:eastAsia="Calibri" w:cs="Arial"/>
          <w:sz w:val="21"/>
          <w:szCs w:val="21"/>
          <w:lang w:val="es-MX"/>
        </w:rPr>
        <w:t>.</w:t>
      </w:r>
    </w:p>
    <w:p w:rsidRPr="002D2E80" w:rsidR="00A26C80" w:rsidP="00A26C80" w:rsidRDefault="00A26C80" w14:paraId="00CFE0AC" w14:textId="77777777">
      <w:pPr>
        <w:ind w:left="720" w:right="709"/>
        <w:contextualSpacing/>
        <w:jc w:val="both"/>
        <w:rPr>
          <w:rFonts w:ascii="Arial" w:hAnsi="Arial" w:eastAsia="Calibri" w:cs="Arial"/>
          <w:sz w:val="21"/>
          <w:szCs w:val="21"/>
          <w:lang w:val="es-MX"/>
        </w:rPr>
      </w:pPr>
    </w:p>
    <w:p w:rsidRPr="002D2E80" w:rsidR="00A26C80" w:rsidP="00A26C80" w:rsidRDefault="00A26C80" w14:paraId="41EACAC0" w14:textId="77777777">
      <w:pPr>
        <w:ind w:left="720" w:right="709"/>
        <w:contextualSpacing/>
        <w:jc w:val="both"/>
        <w:rPr>
          <w:rFonts w:ascii="Arial" w:hAnsi="Arial" w:eastAsia="Calibri" w:cs="Arial"/>
          <w:sz w:val="21"/>
          <w:szCs w:val="21"/>
          <w:lang w:val="es-MX"/>
        </w:rPr>
      </w:pPr>
      <w:r w:rsidRPr="002D2E80">
        <w:rPr>
          <w:rFonts w:ascii="Arial" w:hAnsi="Arial" w:eastAsia="Calibri" w:cs="Arial"/>
          <w:sz w:val="21"/>
          <w:szCs w:val="21"/>
          <w:lang w:val="es-MX"/>
        </w:rPr>
        <w:t>Tipos de Operaciones (Entre Otras)</w:t>
      </w:r>
    </w:p>
    <w:p w:rsidRPr="002D2E80" w:rsidR="00A26C80" w:rsidP="00A26C80" w:rsidRDefault="00A26C80" w14:paraId="6770FE4B" w14:textId="77777777">
      <w:pPr>
        <w:ind w:left="720" w:right="709" w:firstLine="360"/>
        <w:contextualSpacing/>
        <w:jc w:val="both"/>
        <w:rPr>
          <w:rFonts w:ascii="Arial" w:hAnsi="Arial" w:eastAsia="Calibri" w:cs="Arial"/>
          <w:sz w:val="21"/>
          <w:szCs w:val="21"/>
          <w:lang w:val="es-MX"/>
        </w:rPr>
      </w:pPr>
    </w:p>
    <w:p w:rsidRPr="002D2E80" w:rsidR="00A26C80" w:rsidP="00A26C80" w:rsidRDefault="00A26C80" w14:paraId="74D860AE" w14:textId="77777777">
      <w:pPr>
        <w:numPr>
          <w:ilvl w:val="0"/>
          <w:numId w:val="7"/>
        </w:numPr>
        <w:spacing w:after="200" w:line="240" w:lineRule="auto"/>
        <w:ind w:left="1134" w:right="709" w:hanging="425"/>
        <w:contextualSpacing/>
        <w:jc w:val="both"/>
        <w:rPr>
          <w:rFonts w:ascii="Arial" w:hAnsi="Arial" w:eastAsia="Calibri" w:cs="Arial"/>
          <w:sz w:val="21"/>
          <w:szCs w:val="21"/>
          <w:lang w:val="es-MX"/>
        </w:rPr>
      </w:pPr>
      <w:r w:rsidRPr="002D2E80">
        <w:rPr>
          <w:rFonts w:ascii="Arial" w:hAnsi="Arial" w:eastAsia="Calibri" w:cs="Arial"/>
          <w:sz w:val="21"/>
          <w:szCs w:val="21"/>
          <w:lang w:val="es-MX"/>
        </w:rPr>
        <w:t>Los contratos necesarios para el otorgamiento de garantías o contragarantías a</w:t>
      </w:r>
      <w:r w:rsidRPr="002D2E80">
        <w:rPr>
          <w:rFonts w:ascii="Arial" w:hAnsi="Arial" w:eastAsia="Calibri" w:cs="Arial"/>
          <w:sz w:val="21"/>
          <w:szCs w:val="21"/>
          <w:lang w:val="es-ES"/>
        </w:rPr>
        <w:t xml:space="preserve"> </w:t>
      </w:r>
      <w:r w:rsidRPr="002D2E80">
        <w:rPr>
          <w:rFonts w:ascii="Arial" w:hAnsi="Arial" w:eastAsia="Calibri" w:cs="Arial"/>
          <w:sz w:val="21"/>
          <w:szCs w:val="21"/>
          <w:lang w:val="es-MX"/>
        </w:rPr>
        <w:t>operaciones de crédito público.</w:t>
      </w:r>
    </w:p>
    <w:p w:rsidRPr="002D2E80" w:rsidR="00A26C80" w:rsidP="00A26C80" w:rsidRDefault="00A26C80" w14:paraId="2C01E075" w14:textId="77777777">
      <w:pPr>
        <w:numPr>
          <w:ilvl w:val="0"/>
          <w:numId w:val="7"/>
        </w:numPr>
        <w:spacing w:after="200" w:line="240" w:lineRule="auto"/>
        <w:ind w:left="1134" w:right="709" w:hanging="425"/>
        <w:contextualSpacing/>
        <w:jc w:val="both"/>
        <w:rPr>
          <w:rFonts w:ascii="Arial" w:hAnsi="Arial" w:eastAsia="Calibri" w:cs="Arial"/>
          <w:sz w:val="21"/>
          <w:szCs w:val="21"/>
          <w:lang w:val="es-MX"/>
        </w:rPr>
      </w:pPr>
      <w:r w:rsidRPr="002D2E80">
        <w:rPr>
          <w:rFonts w:ascii="Arial" w:hAnsi="Arial" w:eastAsia="Calibri" w:cs="Arial"/>
          <w:sz w:val="21"/>
          <w:szCs w:val="21"/>
          <w:lang w:val="es-MX"/>
        </w:rPr>
        <w:t>Los contratos de edición, colocación, colocación garantizada, fideicomiso o</w:t>
      </w:r>
      <w:r w:rsidRPr="002D2E80">
        <w:rPr>
          <w:rFonts w:ascii="Arial" w:hAnsi="Arial" w:eastAsia="Calibri" w:cs="Arial"/>
          <w:sz w:val="21"/>
          <w:szCs w:val="21"/>
          <w:lang w:val="es-ES"/>
        </w:rPr>
        <w:t xml:space="preserve"> </w:t>
      </w:r>
      <w:r w:rsidRPr="002D2E80">
        <w:rPr>
          <w:rFonts w:ascii="Arial" w:hAnsi="Arial" w:eastAsia="Calibri" w:cs="Arial"/>
          <w:sz w:val="21"/>
          <w:szCs w:val="21"/>
          <w:lang w:val="es-MX"/>
        </w:rPr>
        <w:t>encargo fiduciarios, garantía y administración de títulos de deuda pública en el</w:t>
      </w:r>
      <w:r w:rsidRPr="002D2E80">
        <w:rPr>
          <w:rFonts w:ascii="Arial" w:hAnsi="Arial" w:eastAsia="Calibri" w:cs="Arial"/>
          <w:sz w:val="21"/>
          <w:szCs w:val="21"/>
          <w:lang w:val="es-ES"/>
        </w:rPr>
        <w:t xml:space="preserve"> </w:t>
      </w:r>
      <w:r w:rsidRPr="002D2E80">
        <w:rPr>
          <w:rFonts w:ascii="Arial" w:hAnsi="Arial" w:eastAsia="Calibri" w:cs="Arial"/>
          <w:sz w:val="21"/>
          <w:szCs w:val="21"/>
          <w:lang w:val="es-MX"/>
        </w:rPr>
        <w:t>mercado de valores.</w:t>
      </w:r>
    </w:p>
    <w:p w:rsidRPr="002D2E80" w:rsidR="00A26C80" w:rsidP="00A26C80" w:rsidRDefault="00A26C80" w14:paraId="5F0CBC0C" w14:textId="77777777">
      <w:pPr>
        <w:numPr>
          <w:ilvl w:val="0"/>
          <w:numId w:val="7"/>
        </w:numPr>
        <w:spacing w:after="200" w:line="240" w:lineRule="auto"/>
        <w:ind w:left="1134" w:right="709" w:hanging="425"/>
        <w:contextualSpacing/>
        <w:jc w:val="both"/>
        <w:rPr>
          <w:rFonts w:ascii="Arial" w:hAnsi="Arial" w:eastAsia="Calibri" w:cs="Arial"/>
          <w:sz w:val="21"/>
          <w:szCs w:val="21"/>
          <w:lang w:val="es-MX"/>
        </w:rPr>
      </w:pPr>
      <w:r w:rsidRPr="002D2E80">
        <w:rPr>
          <w:rFonts w:ascii="Arial" w:hAnsi="Arial" w:eastAsia="Calibri" w:cs="Arial"/>
          <w:sz w:val="21"/>
          <w:szCs w:val="21"/>
          <w:lang w:val="es-MX"/>
        </w:rPr>
        <w:t>Los contratos para la calificación de la inversión o de valores, requeridos para la</w:t>
      </w:r>
      <w:r w:rsidRPr="002D2E80">
        <w:rPr>
          <w:rFonts w:ascii="Arial" w:hAnsi="Arial" w:eastAsia="Calibri" w:cs="Arial"/>
          <w:sz w:val="21"/>
          <w:szCs w:val="21"/>
          <w:lang w:val="es-ES"/>
        </w:rPr>
        <w:t xml:space="preserve"> </w:t>
      </w:r>
      <w:r w:rsidRPr="002D2E80">
        <w:rPr>
          <w:rFonts w:ascii="Arial" w:hAnsi="Arial" w:eastAsia="Calibri" w:cs="Arial"/>
          <w:sz w:val="21"/>
          <w:szCs w:val="21"/>
          <w:lang w:val="es-MX"/>
        </w:rPr>
        <w:t>emisión y colocación de títulos en los mercados de capitales.</w:t>
      </w:r>
    </w:p>
    <w:p w:rsidRPr="002D2E80" w:rsidR="00A26C80" w:rsidP="00A26C80" w:rsidRDefault="00A26C80" w14:paraId="06970682" w14:textId="4AB02084">
      <w:pPr>
        <w:numPr>
          <w:ilvl w:val="0"/>
          <w:numId w:val="7"/>
        </w:numPr>
        <w:spacing w:after="200" w:line="240" w:lineRule="auto"/>
        <w:ind w:left="1134" w:right="709" w:hanging="425"/>
        <w:contextualSpacing/>
        <w:jc w:val="both"/>
        <w:rPr>
          <w:rFonts w:ascii="Arial" w:hAnsi="Arial" w:eastAsia="Calibri" w:cs="Arial"/>
          <w:sz w:val="21"/>
          <w:szCs w:val="21"/>
          <w:lang w:val="es-MX"/>
        </w:rPr>
      </w:pPr>
      <w:r w:rsidRPr="002D2E80">
        <w:rPr>
          <w:rFonts w:ascii="Arial" w:hAnsi="Arial" w:eastAsia="Calibri" w:cs="Arial"/>
          <w:sz w:val="21"/>
          <w:szCs w:val="21"/>
          <w:lang w:val="es-MX"/>
        </w:rPr>
        <w:t>Los contratos de intermediación necesarios para llevar a cabo operaciones de</w:t>
      </w:r>
      <w:r w:rsidRPr="002D2E80">
        <w:rPr>
          <w:rFonts w:ascii="Arial" w:hAnsi="Arial" w:eastAsia="Calibri" w:cs="Arial"/>
          <w:sz w:val="21"/>
          <w:szCs w:val="21"/>
          <w:lang w:val="es-ES"/>
        </w:rPr>
        <w:t xml:space="preserve"> </w:t>
      </w:r>
      <w:r w:rsidRPr="002D2E80">
        <w:rPr>
          <w:rFonts w:ascii="Arial" w:hAnsi="Arial" w:eastAsia="Calibri" w:cs="Arial"/>
          <w:sz w:val="21"/>
          <w:szCs w:val="21"/>
          <w:lang w:val="es-MX"/>
        </w:rPr>
        <w:t>crédito público</w:t>
      </w:r>
      <w:r w:rsidR="00146E9C">
        <w:rPr>
          <w:rFonts w:ascii="Arial" w:hAnsi="Arial" w:eastAsia="Calibri" w:cs="Arial"/>
          <w:sz w:val="21"/>
          <w:szCs w:val="21"/>
          <w:lang w:val="es-MX"/>
        </w:rPr>
        <w:t>”</w:t>
      </w:r>
      <w:r w:rsidRPr="002D2E80">
        <w:rPr>
          <w:rFonts w:ascii="Arial" w:hAnsi="Arial" w:eastAsia="Calibri" w:cs="Arial"/>
          <w:sz w:val="21"/>
          <w:szCs w:val="21"/>
          <w:vertAlign w:val="superscript"/>
          <w:lang w:val="es-ES"/>
        </w:rPr>
        <w:footnoteReference w:id="32"/>
      </w:r>
      <w:r w:rsidRPr="002D2E80">
        <w:rPr>
          <w:rFonts w:ascii="Arial" w:hAnsi="Arial" w:eastAsia="Calibri" w:cs="Arial"/>
          <w:sz w:val="21"/>
          <w:szCs w:val="21"/>
          <w:lang w:val="es-ES"/>
        </w:rPr>
        <w:t>. (subraya fuera del texto original)</w:t>
      </w:r>
    </w:p>
    <w:p w:rsidR="00146E9C" w:rsidP="00A26C80" w:rsidRDefault="00146E9C" w14:paraId="590CA29A" w14:textId="77777777">
      <w:pPr>
        <w:spacing w:after="120" w:line="276" w:lineRule="auto"/>
        <w:ind w:firstLine="709"/>
        <w:jc w:val="both"/>
        <w:rPr>
          <w:rFonts w:ascii="Arial" w:hAnsi="Arial" w:eastAsia="Calibri" w:cs="Arial"/>
          <w:lang w:val="es-ES"/>
        </w:rPr>
      </w:pPr>
    </w:p>
    <w:p w:rsidRPr="002D2E80" w:rsidR="00A26C80" w:rsidP="00A26C80" w:rsidRDefault="00A26C80" w14:paraId="62BF7649" w14:textId="6730DFF5">
      <w:pPr>
        <w:spacing w:after="120" w:line="276" w:lineRule="auto"/>
        <w:ind w:firstLine="709"/>
        <w:jc w:val="both"/>
        <w:rPr>
          <w:rFonts w:ascii="Arial" w:hAnsi="Arial" w:eastAsia="Calibri" w:cs="Arial"/>
          <w:lang w:val="es-ES"/>
        </w:rPr>
      </w:pPr>
      <w:r w:rsidRPr="002D2E80">
        <w:rPr>
          <w:rFonts w:ascii="Arial" w:hAnsi="Arial" w:eastAsia="Calibri" w:cs="Arial"/>
          <w:lang w:val="es-ES"/>
        </w:rPr>
        <w:t xml:space="preserve">Por consiguiente, </w:t>
      </w:r>
      <w:bookmarkStart w:name="_Hlk79357198" w:id="48"/>
      <w:bookmarkStart w:name="_Hlk80119480" w:id="49"/>
      <w:r w:rsidRPr="002D2E80">
        <w:rPr>
          <w:rFonts w:ascii="Arial" w:hAnsi="Arial" w:eastAsia="Calibri" w:cs="Arial"/>
          <w:lang w:val="es-ES"/>
        </w:rPr>
        <w:t>las operaciones conexas corresponden a actos y contratos celebrados durante el proceso que se adelanta para lograr la operación de crédito público y no se entienden de manera aislada a la actuación económica perseguida, dado que, su esencia, es la de servir de instrumento que facilita y permite la operación. Por eso, incluso, pueden ser también contratadas directamente, en el entendido que, al tener una relación inescindible, se les extiende la autorización que tiene el contrato de la operación de crédito público a la que es conexa.</w:t>
      </w:r>
    </w:p>
    <w:bookmarkEnd w:id="48"/>
    <w:p w:rsidRPr="002D2E80" w:rsidR="00A26C80" w:rsidP="00A26C80" w:rsidRDefault="00A26C80" w14:paraId="6629B58B" w14:textId="51FCABBD">
      <w:pPr>
        <w:spacing w:after="120" w:line="276" w:lineRule="auto"/>
        <w:jc w:val="both"/>
        <w:rPr>
          <w:rFonts w:ascii="Arial" w:hAnsi="Arial" w:eastAsia="Calibri" w:cs="Arial"/>
        </w:rPr>
      </w:pPr>
      <w:r w:rsidRPr="002D2E80">
        <w:rPr>
          <w:rFonts w:ascii="Arial" w:hAnsi="Arial" w:eastAsia="Calibri" w:cs="Arial"/>
          <w:lang w:val="es-ES"/>
        </w:rPr>
        <w:tab/>
      </w:r>
      <w:bookmarkStart w:name="_Hlk79357306" w:id="50"/>
      <w:r w:rsidRPr="002D2E80">
        <w:rPr>
          <w:rFonts w:ascii="Arial" w:hAnsi="Arial" w:eastAsia="Calibri" w:cs="Arial"/>
          <w:lang w:val="es-ES"/>
        </w:rPr>
        <w:t xml:space="preserve">De las nomas analizadas se colige que las operaciones conexas son actos y contratos sin los cuales las operaciones principales de crédito público no podrían concretarse o materializarse. De ahí que resulten </w:t>
      </w:r>
      <w:r w:rsidR="00963AFD">
        <w:rPr>
          <w:rFonts w:ascii="Arial" w:hAnsi="Arial" w:eastAsia="Calibri" w:cs="Arial"/>
          <w:lang w:val="es-ES"/>
        </w:rPr>
        <w:t>“</w:t>
      </w:r>
      <w:r w:rsidRPr="002D2E80">
        <w:rPr>
          <w:rFonts w:ascii="Arial" w:hAnsi="Arial" w:eastAsia="Calibri" w:cs="Arial"/>
          <w:lang w:val="es-ES"/>
        </w:rPr>
        <w:t>necesarias</w:t>
      </w:r>
      <w:r w:rsidR="00963AFD">
        <w:rPr>
          <w:rFonts w:ascii="Arial" w:hAnsi="Arial" w:eastAsia="Calibri" w:cs="Arial"/>
          <w:lang w:val="es-ES"/>
        </w:rPr>
        <w:t>”</w:t>
      </w:r>
      <w:r w:rsidRPr="002D2E80">
        <w:rPr>
          <w:rFonts w:ascii="Arial" w:hAnsi="Arial" w:eastAsia="Calibri" w:cs="Arial"/>
          <w:lang w:val="es-ES"/>
        </w:rPr>
        <w:t xml:space="preserve"> para su realización, pues constituyen un medio para alcanzar el fin de estas operaciones, es decir, para la obtención del crédito público y, por lo tanto, para la celebración del contrato con ese objeto. </w:t>
      </w:r>
      <w:bookmarkEnd w:id="50"/>
      <w:r w:rsidRPr="002D2E80">
        <w:rPr>
          <w:rFonts w:ascii="Arial" w:hAnsi="Arial" w:eastAsia="Calibri" w:cs="Arial"/>
          <w:lang w:val="es-ES"/>
        </w:rPr>
        <w:t xml:space="preserve">En efecto, se reitera que la ley y el reglamento definen las actividades de crédito público y dentro de ese marco establecen las actividades u operaciones conexas a aquellas, en el entendido de que son necesarias e imprescindibles para la realización de las primeras. Dicha relación entre las actividades de crédito público y sus operaciones conexas permite concluir que para que las primeras sean llevadas a cabo resulta indispensable, también, efectuar las segundas. </w:t>
      </w:r>
    </w:p>
    <w:p w:rsidRPr="002D2E80" w:rsidR="00A26C80" w:rsidP="00A26C80" w:rsidRDefault="00A26C80" w14:paraId="69268C55" w14:textId="77777777">
      <w:pPr>
        <w:tabs>
          <w:tab w:val="left" w:pos="-720"/>
          <w:tab w:val="left" w:pos="851"/>
          <w:tab w:val="left" w:pos="1701"/>
          <w:tab w:val="left" w:pos="1985"/>
          <w:tab w:val="left" w:pos="2410"/>
        </w:tabs>
        <w:suppressAutoHyphens/>
        <w:spacing w:after="120" w:line="276" w:lineRule="auto"/>
        <w:ind w:firstLine="709"/>
        <w:jc w:val="both"/>
        <w:rPr>
          <w:rFonts w:ascii="Arial" w:hAnsi="Arial" w:eastAsia="Calibri" w:cs="Arial"/>
          <w:lang w:val="es-ES"/>
        </w:rPr>
      </w:pPr>
      <w:r w:rsidRPr="002D2E80">
        <w:rPr>
          <w:rFonts w:ascii="Arial" w:hAnsi="Arial" w:eastAsia="Calibri" w:cs="Arial"/>
        </w:rPr>
        <w:t xml:space="preserve">Por este motivo, </w:t>
      </w:r>
      <w:bookmarkStart w:name="_Hlk79357606" w:id="51"/>
      <w:r w:rsidRPr="002D2E80">
        <w:rPr>
          <w:rFonts w:ascii="Arial" w:hAnsi="Arial" w:eastAsia="Calibri" w:cs="Arial"/>
        </w:rPr>
        <w:t xml:space="preserve">la excepción del artículo 33 de la Ley 996 de 2005 a la prohibición a la contratación directa en el periodo previo a la elección presidencial, cobija no solo los contratos de crédito público sino también los contratos conexos que permiten su celebración. Esto en la medida que tienen una interdependencia funcional y teleológica y, aun cuando cada tipo negocial conserva su individualidad normativa, su relación es de medio a fin. En otras palabras, las operaciones conexas son una </w:t>
      </w:r>
      <w:proofErr w:type="spellStart"/>
      <w:r w:rsidRPr="002D2E80">
        <w:rPr>
          <w:rFonts w:ascii="Arial" w:hAnsi="Arial" w:eastAsia="Calibri" w:cs="Arial"/>
          <w:i/>
          <w:iCs/>
        </w:rPr>
        <w:t>conditio</w:t>
      </w:r>
      <w:proofErr w:type="spellEnd"/>
      <w:r w:rsidRPr="002D2E80">
        <w:rPr>
          <w:rFonts w:ascii="Arial" w:hAnsi="Arial" w:eastAsia="Calibri" w:cs="Arial"/>
          <w:i/>
          <w:iCs/>
        </w:rPr>
        <w:t xml:space="preserve"> sine qua non</w:t>
      </w:r>
      <w:r w:rsidRPr="002D2E80">
        <w:rPr>
          <w:rFonts w:ascii="Arial" w:hAnsi="Arial" w:eastAsia="Calibri" w:cs="Arial"/>
        </w:rPr>
        <w:t xml:space="preserve"> de las operaciones principales de crédito público.</w:t>
      </w:r>
      <w:bookmarkEnd w:id="51"/>
      <w:r w:rsidRPr="002D2E80">
        <w:rPr>
          <w:rFonts w:ascii="Arial" w:hAnsi="Arial" w:eastAsia="Calibri" w:cs="Arial"/>
          <w:lang w:val="es-ES"/>
        </w:rPr>
        <w:t xml:space="preserve"> En igual sentido, una lectura en conjunto de los artículos </w:t>
      </w:r>
      <w:r w:rsidRPr="002D2E80">
        <w:rPr>
          <w:rFonts w:ascii="Arial" w:hAnsi="Arial" w:eastAsia="Calibri" w:cs="Arial"/>
        </w:rPr>
        <w:t xml:space="preserve">2.2.1.1.4. y </w:t>
      </w:r>
      <w:r w:rsidRPr="002D2E80">
        <w:rPr>
          <w:rFonts w:ascii="Arial" w:hAnsi="Arial" w:eastAsia="Calibri" w:cs="Arial"/>
          <w:lang w:val="es-ES"/>
        </w:rPr>
        <w:t xml:space="preserve">2.2.1.5.1. del Decreto 1068 de 2015 muestra la intención clara y reiterativa de la norma reglamentaria de someter las operaciones conexas al mismo </w:t>
      </w:r>
      <w:r w:rsidRPr="002D2E80">
        <w:rPr>
          <w:rFonts w:ascii="Arial" w:hAnsi="Arial" w:eastAsia="Calibri" w:cs="Arial"/>
          <w:lang w:val="es-ES"/>
        </w:rPr>
        <w:t>régimen contractual de las operaciones principales, es decir, a la modalidad de contratación directa.</w:t>
      </w:r>
    </w:p>
    <w:bookmarkEnd w:id="49"/>
    <w:p w:rsidRPr="002D2E80" w:rsidR="00A26C80" w:rsidP="00A26C80" w:rsidRDefault="00A26C80" w14:paraId="06E275DE" w14:textId="77777777">
      <w:pPr>
        <w:spacing w:after="120" w:line="276" w:lineRule="auto"/>
        <w:ind w:firstLine="709"/>
        <w:jc w:val="both"/>
        <w:rPr>
          <w:rFonts w:ascii="Arial" w:hAnsi="Arial" w:eastAsia="Calibri" w:cs="Arial"/>
          <w:lang w:val="es-ES"/>
        </w:rPr>
      </w:pPr>
      <w:r w:rsidRPr="002D2E80">
        <w:rPr>
          <w:rFonts w:ascii="Arial" w:hAnsi="Arial" w:eastAsia="Calibri" w:cs="Arial"/>
          <w:lang w:val="es-ES"/>
        </w:rPr>
        <w:t xml:space="preserve">De todo lo dicho, se advierte, primero, que la restricción para la contratación directa del artículo 33 de la Ley 996 de 2005 obedece a una finalidad primordial de garantizar la seguridad, transparencia e integridad de la actividad electoral. Por esa razón, el legislador decidió prohibir que las entidades públicas lleven a cabo procesos de selección mediante contratación directa durante los 4 meses anteriores a la elección presidencial y hasta la realización de la elección en la segunda vuelta, si hubiere lugar a ello. </w:t>
      </w:r>
    </w:p>
    <w:p w:rsidRPr="002D2E80" w:rsidR="00A26C80" w:rsidP="00A26C80" w:rsidRDefault="00A26C80" w14:paraId="38D08916" w14:textId="77777777">
      <w:pPr>
        <w:spacing w:after="120" w:line="276" w:lineRule="auto"/>
        <w:ind w:firstLine="709"/>
        <w:jc w:val="both"/>
        <w:rPr>
          <w:rFonts w:ascii="Arial" w:hAnsi="Arial" w:eastAsia="Calibri" w:cs="Arial"/>
          <w:lang w:val="es-ES"/>
        </w:rPr>
      </w:pPr>
      <w:r w:rsidRPr="002D2E80">
        <w:rPr>
          <w:rFonts w:ascii="Arial" w:hAnsi="Arial" w:eastAsia="Calibri" w:cs="Arial"/>
          <w:lang w:val="es-ES"/>
        </w:rPr>
        <w:t xml:space="preserve">Sin embargo, el propio artículo 33 dispone de ciertos casos en los cuales resulta exceptuada dicha prohibición. Así, excluye a lo referente a las operaciones de crédito público, lo que significa que pueden contratarse directamente durante el periodo preelectoral. Como se explicó </w:t>
      </w:r>
      <w:r w:rsidRPr="002D2E80">
        <w:rPr>
          <w:rFonts w:ascii="Arial" w:hAnsi="Arial" w:eastAsia="Calibri" w:cs="Arial"/>
          <w:i/>
          <w:iCs/>
          <w:lang w:val="es-ES"/>
        </w:rPr>
        <w:t>ut supra</w:t>
      </w:r>
      <w:r w:rsidRPr="002D2E80">
        <w:rPr>
          <w:rFonts w:ascii="Arial" w:hAnsi="Arial" w:eastAsia="Calibri" w:cs="Arial"/>
          <w:lang w:val="es-ES"/>
        </w:rPr>
        <w:t>, las excepciones a la prohibición obedecen a distintos criterios como la naturaleza de la actividad, su urgencia o gravedad, etc. En otras palabras, la intención del legislador al establecer tales excepciones es la de permitir la contratación directa de actividades cuya prohibición durante el periodo preelectoral no resulta justificable o razonable.</w:t>
      </w:r>
    </w:p>
    <w:p w:rsidR="00A26C80" w:rsidP="00A26C80" w:rsidRDefault="00A26C80" w14:paraId="1A6661B6" w14:textId="09E00F0E">
      <w:pPr>
        <w:spacing w:after="120" w:line="276" w:lineRule="auto"/>
        <w:ind w:firstLine="709"/>
        <w:jc w:val="both"/>
        <w:rPr>
          <w:rFonts w:ascii="Arial" w:hAnsi="Arial" w:eastAsia="Calibri" w:cs="Arial"/>
          <w:lang w:val="es-ES"/>
        </w:rPr>
      </w:pPr>
      <w:r w:rsidRPr="002D2E80">
        <w:rPr>
          <w:rFonts w:ascii="Arial" w:hAnsi="Arial" w:eastAsia="Calibri" w:cs="Arial"/>
          <w:lang w:val="es-ES"/>
        </w:rPr>
        <w:t xml:space="preserve">Así las cosas, </w:t>
      </w:r>
      <w:bookmarkStart w:name="_Hlk79357593" w:id="52"/>
      <w:r w:rsidRPr="002D2E80">
        <w:rPr>
          <w:rFonts w:ascii="Arial" w:hAnsi="Arial" w:eastAsia="Calibri" w:cs="Arial"/>
          <w:lang w:val="es-ES"/>
        </w:rPr>
        <w:t xml:space="preserve">si el legislador ha optado por permitir que durante el periodo preelectoral pueda contratarse directamente operaciones de crédito público por resultar particularmente necesarias e importantes, y en la medida en que para que estas puedan llevarse a cabo es necesaria la realización de operaciones conexas a estas, no podría concluirse nada distinto a que estas últimas también pueden ser contratadas durante el periodo preelectoral. </w:t>
      </w:r>
      <w:bookmarkEnd w:id="52"/>
      <w:r w:rsidRPr="002D2E80">
        <w:rPr>
          <w:rFonts w:ascii="Arial" w:hAnsi="Arial" w:eastAsia="Calibri" w:cs="Arial"/>
          <w:lang w:val="es-ES"/>
        </w:rPr>
        <w:t>Una conclusión distinta desconocería las finalidades perseguidas por el legislador al exceptuar las actividades de crédito público de la prohibición del artículo 33 de la Ley 996 de 2005, por cuanto de nada serviría autorizar la contratación directa de dichas actividades durante el periodo electoral, si la contratación de las operaciones conexas estuviera restringida. La finalidad de la norma y el principio del efecto útil de las disposiciones implican interpretar el contenido de las operaciones de crédito público de manera que al aplicar la excepción se produzca el efecto deseado por el legislador.</w:t>
      </w:r>
    </w:p>
    <w:p w:rsidRPr="002D2E80" w:rsidR="00A26C80" w:rsidP="00A26C80" w:rsidRDefault="00A26C80" w14:paraId="64BF546A" w14:textId="77777777">
      <w:pPr>
        <w:spacing w:line="276" w:lineRule="auto"/>
        <w:ind w:firstLine="709"/>
        <w:jc w:val="both"/>
        <w:rPr>
          <w:rFonts w:ascii="Arial" w:hAnsi="Arial" w:eastAsia="Calibri" w:cs="Arial"/>
          <w:lang w:val="es-ES"/>
        </w:rPr>
      </w:pPr>
      <w:r w:rsidRPr="002D2E80">
        <w:rPr>
          <w:rFonts w:ascii="Arial" w:hAnsi="Arial" w:eastAsia="Calibri" w:cs="Arial"/>
          <w:lang w:val="es-ES"/>
        </w:rPr>
        <w:t>No obstante, las entidades estatales deben ser cuidadosas en el análisis de cada caso concreto, para determinar si las actividades que van a realizar están amparadas por las excepciones del artículo 33 de la Ley de Garantías. Bajo la posición adoptada en el presente concepto, solamente estarían cobijadas las operaciones conexas que cumplan con el carácter de necesarias para lograr las operaciones principales de crédito público.</w:t>
      </w:r>
    </w:p>
    <w:bookmarkEnd w:id="42"/>
    <w:p w:rsidR="00524048" w:rsidP="00524048" w:rsidRDefault="00C60B22" w14:paraId="30BBE217" w14:textId="29F65F6B">
      <w:pPr>
        <w:spacing w:after="120" w:line="276" w:lineRule="auto"/>
        <w:jc w:val="both"/>
        <w:rPr>
          <w:rFonts w:ascii="Arial" w:hAnsi="Arial" w:eastAsia="Arial" w:cs="Arial"/>
          <w:lang w:val="es-ES" w:eastAsia="es-ES" w:bidi="es-ES"/>
        </w:rPr>
      </w:pPr>
      <w:r>
        <w:rPr>
          <w:rFonts w:ascii="Arial" w:hAnsi="Arial" w:eastAsia="Arial" w:cs="Arial"/>
          <w:lang w:val="es-ES"/>
        </w:rPr>
        <w:tab/>
      </w:r>
      <w:r w:rsidR="00911A1B">
        <w:rPr>
          <w:rFonts w:ascii="Arial" w:hAnsi="Arial" w:eastAsia="Arial" w:cs="Arial"/>
          <w:lang w:val="es-ES"/>
        </w:rPr>
        <w:t xml:space="preserve">Por otro lado, </w:t>
      </w:r>
      <w:r w:rsidR="00524048">
        <w:rPr>
          <w:rFonts w:ascii="Arial" w:hAnsi="Arial" w:eastAsia="Arial" w:cs="Arial"/>
          <w:lang w:val="es-ES"/>
        </w:rPr>
        <w:t xml:space="preserve">en lo referente a la restricción prevista en el parágrafo del artículo 38 de la Ley 996 de 2005, es preciso advertir que, en principio, la misma no resultaría aplicable a las operaciones de crédito público. No obstante, tratándose de operaciones de crédito </w:t>
      </w:r>
      <w:r w:rsidR="00EB3B23">
        <w:rPr>
          <w:rFonts w:ascii="Arial" w:hAnsi="Arial" w:eastAsia="Arial" w:cs="Arial"/>
          <w:lang w:val="es-ES"/>
        </w:rPr>
        <w:t>público</w:t>
      </w:r>
      <w:r w:rsidR="00524048">
        <w:rPr>
          <w:rFonts w:ascii="Arial" w:hAnsi="Arial" w:eastAsia="Arial" w:cs="Arial"/>
          <w:lang w:val="es-ES"/>
        </w:rPr>
        <w:t xml:space="preserve"> en los que el financiamiento requerido por la entidad estatal, lo ofrece una entidad </w:t>
      </w:r>
      <w:r w:rsidR="00524048">
        <w:rPr>
          <w:rFonts w:ascii="Arial" w:hAnsi="Arial" w:eastAsia="Arial" w:cs="Arial"/>
          <w:lang w:val="es-ES"/>
        </w:rPr>
        <w:t xml:space="preserve">financiera de carácter estatal, podría ser aplicable esta última restricción aludida, </w:t>
      </w:r>
      <w:r w:rsidR="00524048">
        <w:rPr>
          <w:rFonts w:ascii="Arial" w:hAnsi="Arial" w:eastAsia="Calibri" w:cs="Arial"/>
          <w:bCs/>
          <w:lang w:val="es-MX" w:eastAsia="es-ES" w:bidi="es-ES"/>
        </w:rPr>
        <w:t xml:space="preserve">como quiera que, de acuerdo con lo explicado en el acápite anterior, </w:t>
      </w:r>
      <w:r w:rsidRPr="00AA70B2" w:rsidR="00524048">
        <w:rPr>
          <w:rFonts w:ascii="Arial" w:hAnsi="Arial" w:eastAsia="Arial" w:cs="Arial"/>
          <w:lang w:val="es-ES" w:eastAsia="es-ES" w:bidi="es-ES"/>
        </w:rPr>
        <w:t>los contratos o convenios interadministrativos están determinados por un criterio orgánico, pues es necesario que los extremos de la relación contractual sean entidades</w:t>
      </w:r>
      <w:r w:rsidRPr="00AA70B2" w:rsidR="00524048">
        <w:rPr>
          <w:rFonts w:ascii="Arial" w:hAnsi="Arial" w:eastAsia="Arial" w:cs="Arial"/>
          <w:spacing w:val="-6"/>
          <w:lang w:val="es-ES" w:eastAsia="es-ES" w:bidi="es-ES"/>
        </w:rPr>
        <w:t xml:space="preserve"> </w:t>
      </w:r>
      <w:r w:rsidRPr="00AA70B2" w:rsidR="00524048">
        <w:rPr>
          <w:rFonts w:ascii="Arial" w:hAnsi="Arial" w:eastAsia="Arial" w:cs="Arial"/>
          <w:lang w:val="es-ES" w:eastAsia="es-ES" w:bidi="es-ES"/>
        </w:rPr>
        <w:t>estatales.</w:t>
      </w:r>
    </w:p>
    <w:p w:rsidR="00524048" w:rsidP="00524048" w:rsidRDefault="00524048" w14:paraId="32DD5D6E" w14:textId="77777777">
      <w:pPr>
        <w:spacing w:after="120" w:line="276" w:lineRule="auto"/>
        <w:jc w:val="both"/>
        <w:rPr>
          <w:rFonts w:ascii="Arial" w:hAnsi="Arial" w:eastAsia="Arial" w:cs="Arial"/>
          <w:lang w:val="es-ES" w:eastAsia="es-ES" w:bidi="es-ES"/>
        </w:rPr>
      </w:pPr>
      <w:r>
        <w:rPr>
          <w:rFonts w:ascii="Arial" w:hAnsi="Arial" w:eastAsia="Arial" w:cs="Arial"/>
          <w:lang w:val="es-ES" w:eastAsia="es-ES" w:bidi="es-ES"/>
        </w:rPr>
        <w:tab/>
      </w:r>
      <w:r>
        <w:rPr>
          <w:rFonts w:ascii="Arial" w:hAnsi="Arial" w:eastAsia="Arial" w:cs="Arial"/>
          <w:lang w:val="es-ES" w:eastAsia="es-ES" w:bidi="es-ES"/>
        </w:rPr>
        <w:t xml:space="preserve">Sin embargo, la aludida restricción a la contratación interadministrativa solo resultaría aplicable en los casos en los que al menos uno de los extremos de la relación contractual fuere una entidad </w:t>
      </w:r>
      <w:r w:rsidRPr="006B3B36">
        <w:rPr>
          <w:rFonts w:ascii="Arial" w:hAnsi="Arial" w:eastAsia="Arial" w:cs="Arial"/>
          <w:lang w:val="es-ES" w:eastAsia="es-ES" w:bidi="es-ES"/>
        </w:rPr>
        <w:t>descentralizada del orden municipal, departamental o distrital</w:t>
      </w:r>
      <w:r>
        <w:rPr>
          <w:rFonts w:ascii="Arial" w:hAnsi="Arial" w:eastAsia="Arial" w:cs="Arial"/>
          <w:lang w:val="es-ES" w:eastAsia="es-ES" w:bidi="es-ES"/>
        </w:rPr>
        <w:t xml:space="preserve">. En ese sentido, la restricción no sería aplicable a entidades del nivel central, ni a entidades descentralizadas del orden nacional, así como tampoco a entidades que no hacen parte de la rama ejecutiva.    </w:t>
      </w:r>
      <w:r>
        <w:rPr>
          <w:rFonts w:ascii="Arial" w:hAnsi="Arial" w:eastAsia="Arial" w:cs="Arial"/>
          <w:lang w:val="es-ES" w:eastAsia="es-ES" w:bidi="es-ES"/>
        </w:rPr>
        <w:tab/>
      </w:r>
      <w:r>
        <w:rPr>
          <w:rFonts w:ascii="Arial" w:hAnsi="Arial" w:eastAsia="Arial" w:cs="Arial"/>
          <w:lang w:val="es-ES" w:eastAsia="es-ES" w:bidi="es-ES"/>
        </w:rPr>
        <w:t xml:space="preserve">Con todo, es importante reiterar que, cualquiera que fuera la situación, en principio, corresponde a las entidades suscribientes estudiar las condiciones particulares del contrato a celebrar, así como la naturaleza jurídica de las entidades involucradas, a efectos de determinar cuál es el alcance de las mencionadas restricciones respecto del contrato a celebrar. </w:t>
      </w:r>
    </w:p>
    <w:p w:rsidRPr="00224199" w:rsidR="00C60B22" w:rsidP="00524048" w:rsidRDefault="00C60B22" w14:paraId="0F37995E" w14:textId="77777777">
      <w:pPr>
        <w:spacing w:after="120" w:line="276" w:lineRule="auto"/>
        <w:jc w:val="both"/>
        <w:rPr>
          <w:rFonts w:ascii="Arial" w:hAnsi="Arial" w:eastAsia="Arial" w:cs="Arial"/>
          <w:lang w:val="es-ES"/>
        </w:rPr>
      </w:pPr>
    </w:p>
    <w:p w:rsidRPr="00224199" w:rsidR="00C60B22" w:rsidP="00C60B22" w:rsidRDefault="00C60B22" w14:paraId="63035D20" w14:textId="77777777">
      <w:pPr>
        <w:tabs>
          <w:tab w:val="left" w:pos="0"/>
        </w:tabs>
        <w:spacing w:after="0" w:line="240" w:lineRule="auto"/>
        <w:jc w:val="both"/>
        <w:rPr>
          <w:rFonts w:ascii="Arial" w:hAnsi="Arial" w:eastAsia="Calibri" w:cs="Arial"/>
          <w:b/>
          <w:szCs w:val="24"/>
          <w:lang w:val="es-ES_tradnl" w:eastAsia="es-ES_tradnl"/>
        </w:rPr>
      </w:pPr>
      <w:r w:rsidRPr="00224199">
        <w:rPr>
          <w:rFonts w:ascii="Arial" w:hAnsi="Arial" w:eastAsia="Calibri" w:cs="Arial"/>
          <w:b/>
          <w:szCs w:val="24"/>
          <w:lang w:val="es-ES_tradnl" w:eastAsia="es-ES_tradnl"/>
        </w:rPr>
        <w:t>3. Respuesta:</w:t>
      </w:r>
    </w:p>
    <w:p w:rsidRPr="00224199" w:rsidR="00C60B22" w:rsidP="00C60B22" w:rsidRDefault="00C60B22" w14:paraId="13187463" w14:textId="77777777">
      <w:pPr>
        <w:tabs>
          <w:tab w:val="left" w:pos="0"/>
        </w:tabs>
        <w:spacing w:after="0" w:line="240" w:lineRule="auto"/>
        <w:jc w:val="both"/>
        <w:rPr>
          <w:rFonts w:ascii="Arial" w:hAnsi="Arial" w:eastAsia="Calibri" w:cs="Arial"/>
          <w:b/>
          <w:szCs w:val="24"/>
          <w:lang w:val="es-ES_tradnl" w:eastAsia="es-ES_tradnl"/>
        </w:rPr>
      </w:pPr>
    </w:p>
    <w:p w:rsidR="00C60B22" w:rsidP="00C60B22" w:rsidRDefault="00C60B22" w14:paraId="2C35B2B0" w14:textId="77777777">
      <w:pPr>
        <w:autoSpaceDE w:val="0"/>
        <w:autoSpaceDN w:val="0"/>
        <w:adjustRightInd w:val="0"/>
        <w:spacing w:after="0" w:line="240" w:lineRule="auto"/>
        <w:ind w:left="709" w:right="709"/>
        <w:jc w:val="both"/>
        <w:rPr>
          <w:rFonts w:ascii="Arial" w:hAnsi="Arial" w:cs="Arial"/>
          <w:color w:val="000000"/>
        </w:rPr>
      </w:pPr>
      <w:r w:rsidRPr="00224199">
        <w:rPr>
          <w:rFonts w:ascii="Arial" w:hAnsi="Arial" w:cs="Arial"/>
          <w:sz w:val="21"/>
          <w:szCs w:val="21"/>
        </w:rPr>
        <w:t>“</w:t>
      </w:r>
      <w:r w:rsidRPr="00253AC1">
        <w:rPr>
          <w:rFonts w:ascii="Arial" w:hAnsi="Arial" w:cs="Arial"/>
          <w:color w:val="000000"/>
          <w:sz w:val="21"/>
          <w:szCs w:val="21"/>
        </w:rPr>
        <w:t xml:space="preserve">De manera reiterada desde la propia doctrina del ANCP- CCE e igualmente pronunciamientos del CE se puede interpretar que cuando se trata de contratos suscritos entre entidades públicas, ya sea territoriales , sociedades de economía mixta, empresas industriales y comerciales del Estado etc., la tipología contractual se define por el carácter organice de estas entidades independientemente de las actividades a ejecutar, es decir así sea un contrato de obra , de consultoría , de prestación de servicios, siempre que sean suscritos por estas entidades, la tipología estará enmarcada en convenio o contrato interadministrativo. ¿Es correcta esta interpretación? ¿De ser correcta la interpretación anterior, en el caso de los coloquialmente llamados bancos de segundo piso, como Findeter, </w:t>
      </w:r>
      <w:proofErr w:type="spellStart"/>
      <w:r w:rsidRPr="00253AC1">
        <w:rPr>
          <w:rFonts w:ascii="Arial" w:hAnsi="Arial" w:cs="Arial"/>
          <w:color w:val="000000"/>
          <w:sz w:val="21"/>
          <w:szCs w:val="21"/>
        </w:rPr>
        <w:t>Bancoldex</w:t>
      </w:r>
      <w:proofErr w:type="spellEnd"/>
      <w:r w:rsidRPr="00253AC1">
        <w:rPr>
          <w:rFonts w:ascii="Arial" w:hAnsi="Arial" w:cs="Arial"/>
          <w:color w:val="000000"/>
          <w:sz w:val="21"/>
          <w:szCs w:val="21"/>
        </w:rPr>
        <w:t xml:space="preserve">, Finagro que son sociedades de economía mixta, los contratos de crédito público o empréstito que se suscriban con </w:t>
      </w:r>
      <w:proofErr w:type="gramStart"/>
      <w:r w:rsidRPr="00253AC1">
        <w:rPr>
          <w:rFonts w:ascii="Arial" w:hAnsi="Arial" w:cs="Arial"/>
          <w:color w:val="000000"/>
          <w:sz w:val="21"/>
          <w:szCs w:val="21"/>
        </w:rPr>
        <w:t>estos,</w:t>
      </w:r>
      <w:proofErr w:type="gramEnd"/>
      <w:r w:rsidRPr="00253AC1">
        <w:rPr>
          <w:rFonts w:ascii="Arial" w:hAnsi="Arial" w:cs="Arial"/>
          <w:color w:val="000000"/>
          <w:sz w:val="21"/>
          <w:szCs w:val="21"/>
        </w:rPr>
        <w:t xml:space="preserve"> son necesariamente contratos interadministrativos? ¿De ser así, estos contratos de crédito público o empréstito son cobijados por la Ley de Garantías Electorales?</w:t>
      </w:r>
      <w:r>
        <w:rPr>
          <w:rFonts w:ascii="Arial" w:hAnsi="Arial" w:cs="Arial"/>
          <w:color w:val="000000"/>
        </w:rPr>
        <w:t>”</w:t>
      </w:r>
      <w:r w:rsidRPr="002B1413">
        <w:rPr>
          <w:rFonts w:ascii="Arial" w:hAnsi="Arial" w:cs="Arial"/>
          <w:color w:val="000000"/>
        </w:rPr>
        <w:t xml:space="preserve"> </w:t>
      </w:r>
    </w:p>
    <w:p w:rsidRPr="00224199" w:rsidR="00C60B22" w:rsidP="00C60B22" w:rsidRDefault="00C60B22" w14:paraId="2314D0AC" w14:textId="77777777">
      <w:pPr>
        <w:autoSpaceDE w:val="0"/>
        <w:autoSpaceDN w:val="0"/>
        <w:adjustRightInd w:val="0"/>
        <w:spacing w:after="0" w:line="240" w:lineRule="auto"/>
        <w:ind w:right="850"/>
        <w:jc w:val="both"/>
        <w:rPr>
          <w:rFonts w:ascii="Arial" w:hAnsi="Arial" w:eastAsia="Times New Roman" w:cs="Arial"/>
          <w:sz w:val="21"/>
          <w:szCs w:val="21"/>
          <w:lang w:eastAsia="es-ES_tradnl"/>
        </w:rPr>
      </w:pPr>
    </w:p>
    <w:p w:rsidR="00A37F3C" w:rsidP="00A37F3C" w:rsidRDefault="008B6612" w14:paraId="79285E87" w14:textId="0765B597">
      <w:pPr>
        <w:spacing w:after="120" w:line="276" w:lineRule="auto"/>
        <w:jc w:val="both"/>
        <w:rPr>
          <w:rFonts w:ascii="Arial" w:hAnsi="Arial" w:eastAsia="Arial" w:cs="Arial"/>
          <w:lang w:val="es-ES" w:eastAsia="es-ES" w:bidi="es-ES"/>
        </w:rPr>
      </w:pPr>
      <w:r>
        <w:rPr>
          <w:rFonts w:ascii="Arial" w:hAnsi="Arial" w:eastAsia="Arial" w:cs="Arial"/>
          <w:lang w:val="es-ES" w:eastAsia="es-ES" w:bidi="es-ES"/>
        </w:rPr>
        <w:t xml:space="preserve">Según </w:t>
      </w:r>
      <w:r w:rsidRPr="00262D58" w:rsidR="00A37F3C">
        <w:rPr>
          <w:rFonts w:ascii="Arial" w:hAnsi="Arial" w:eastAsia="Arial" w:cs="Arial"/>
          <w:lang w:val="es-ES" w:eastAsia="es-ES" w:bidi="es-ES"/>
        </w:rPr>
        <w:t>la interpretación de las normas generales del sistema de compras públicas</w:t>
      </w:r>
      <w:r w:rsidRPr="00262D58" w:rsidR="00A37F3C">
        <w:rPr>
          <w:rFonts w:ascii="Arial" w:hAnsi="Arial" w:eastAsia="Calibri" w:cs="Arial"/>
        </w:rPr>
        <w:t xml:space="preserve">,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262D58" w:rsidR="00A37F3C">
        <w:rPr>
          <w:rFonts w:ascii="Arial" w:hAnsi="Arial" w:eastAsia="Calibri" w:cs="Arial"/>
          <w:lang w:val="es-MX"/>
        </w:rPr>
        <w:t>celebrar convenios interadministrativos para la ejecución de recursos públicos […]”</w:t>
      </w:r>
      <w:r w:rsidRPr="00262D58" w:rsidR="00A37F3C">
        <w:rPr>
          <w:rFonts w:ascii="Arial" w:hAnsi="Arial" w:eastAsia="Arial" w:cs="Arial"/>
          <w:lang w:val="es-ES" w:eastAsia="es-ES" w:bidi="es-ES"/>
        </w:rPr>
        <w:t>dentro de los cuatro (4) meses anteriores a la respectiva jornada de votaciones.</w:t>
      </w:r>
    </w:p>
    <w:p w:rsidR="00206DFD" w:rsidP="00206DFD" w:rsidRDefault="00206DFD" w14:paraId="598B257B" w14:textId="636CF13E">
      <w:pPr>
        <w:widowControl w:val="0"/>
        <w:autoSpaceDE w:val="0"/>
        <w:autoSpaceDN w:val="0"/>
        <w:spacing w:after="120" w:line="276" w:lineRule="auto"/>
        <w:jc w:val="both"/>
        <w:rPr>
          <w:rFonts w:ascii="Arial" w:hAnsi="Arial" w:eastAsia="Times New Roman" w:cs="Arial"/>
          <w:lang w:val="es-MX" w:eastAsia="es-CO"/>
        </w:rPr>
      </w:pPr>
      <w:r>
        <w:rPr>
          <w:rFonts w:ascii="Arial" w:hAnsi="Arial" w:eastAsia="Arial" w:cs="Arial"/>
          <w:lang w:val="es-ES" w:eastAsia="es-ES" w:bidi="es-ES"/>
        </w:rPr>
        <w:tab/>
      </w:r>
      <w:r w:rsidR="005F55F7">
        <w:rPr>
          <w:rFonts w:ascii="Arial" w:hAnsi="Arial" w:eastAsia="Arial" w:cs="Arial"/>
          <w:lang w:val="es-ES" w:eastAsia="es-ES" w:bidi="es-ES"/>
        </w:rPr>
        <w:t>Ahora bien, de acuerdo con</w:t>
      </w:r>
      <w:r>
        <w:rPr>
          <w:rFonts w:ascii="Arial" w:hAnsi="Arial" w:eastAsia="Arial" w:cs="Arial"/>
          <w:lang w:val="es-ES" w:eastAsia="es-ES" w:bidi="es-ES"/>
        </w:rPr>
        <w:t xml:space="preserve"> las consideraciones expuestas, l</w:t>
      </w:r>
      <w:r w:rsidRPr="00262D58">
        <w:rPr>
          <w:rFonts w:ascii="Arial" w:hAnsi="Arial" w:eastAsia="Arial" w:cs="Arial"/>
          <w:lang w:val="es-ES" w:eastAsia="es-ES" w:bidi="es-ES"/>
        </w:rPr>
        <w:t xml:space="preserve">o que define los </w:t>
      </w:r>
      <w:r w:rsidRPr="00262D58">
        <w:rPr>
          <w:rFonts w:ascii="Arial" w:hAnsi="Arial" w:eastAsia="Arial" w:cs="Arial"/>
          <w:lang w:val="es-ES" w:eastAsia="es-ES" w:bidi="es-ES"/>
        </w:rPr>
        <w:t xml:space="preserve">contratos o convenios interadministrativos es la naturaleza de las partes, de manera que están determinados por un criterio orgánico, en el sentido de que lo serán aquellos celebrados entre entidades estatales. </w:t>
      </w:r>
      <w:r w:rsidRPr="00262D58">
        <w:rPr>
          <w:rFonts w:ascii="Arial" w:hAnsi="Arial" w:eastAsia="Times New Roman" w:cs="Arial"/>
          <w:lang w:eastAsia="es-CO"/>
        </w:rPr>
        <w:t xml:space="preserve">Se observa entonces que </w:t>
      </w:r>
      <w:r w:rsidRPr="00262D58">
        <w:rPr>
          <w:rFonts w:ascii="Arial" w:hAnsi="Arial" w:eastAsia="Times New Roman" w:cs="Arial"/>
          <w:lang w:val="es-MX" w:eastAsia="es-CO"/>
        </w:rPr>
        <w:t xml:space="preserve">el parágrafo del artículo 38 de la Ley 996 de 2005 prohíbe a los alcaldes, gobernadores, secretarios, gerentes y directores de las entidades del orden municipal, departamental o distrital celebrar convenios y contratos interadministrativos para la ejecución de recursos públicos. En este sentido, si una o ambas partes de la relación contractual es una entidad de aquellas descritas en el parágrafo </w:t>
      </w:r>
      <w:r w:rsidRPr="00262D58">
        <w:rPr>
          <w:rFonts w:ascii="Arial" w:hAnsi="Arial" w:eastAsia="Times New Roman" w:cs="Arial"/>
          <w:i/>
          <w:lang w:val="es-MX" w:eastAsia="es-CO"/>
        </w:rPr>
        <w:t>ibidem</w:t>
      </w:r>
      <w:r w:rsidRPr="00262D58">
        <w:rPr>
          <w:rFonts w:ascii="Arial" w:hAnsi="Arial" w:eastAsia="Times New Roman" w:cs="Arial"/>
          <w:lang w:val="es-MX" w:eastAsia="es-CO"/>
        </w:rPr>
        <w:t>, no podrá celebrar tales convenios o contratos durante la aplicación de la Ley de Garantías Electorales, toda vez que la citada disposición hace referencia a dicha tipología contractual sin que el legislador hubiere contemplado excepción alguna frente a la modalidad de selección o naturaleza de su objeto.</w:t>
      </w:r>
    </w:p>
    <w:p w:rsidR="00A04D74" w:rsidP="00A04D74" w:rsidRDefault="00524048" w14:paraId="57CB273D" w14:textId="77777777">
      <w:pPr>
        <w:spacing w:after="120" w:line="276" w:lineRule="auto"/>
        <w:jc w:val="both"/>
        <w:rPr>
          <w:rFonts w:ascii="Arial" w:hAnsi="Arial" w:eastAsia="Arial" w:cs="Arial"/>
          <w:lang w:val="es-ES" w:eastAsia="es-ES" w:bidi="es-ES"/>
        </w:rPr>
      </w:pPr>
      <w:r>
        <w:rPr>
          <w:rFonts w:ascii="Arial" w:hAnsi="Arial" w:eastAsia="Times New Roman" w:cs="Arial"/>
          <w:lang w:val="es-MX" w:eastAsia="es-CO"/>
        </w:rPr>
        <w:tab/>
      </w:r>
      <w:r w:rsidR="005F55F7">
        <w:rPr>
          <w:rFonts w:ascii="Arial" w:hAnsi="Arial" w:eastAsia="Times New Roman" w:cs="Arial"/>
          <w:lang w:val="es-MX" w:eastAsia="es-CO"/>
        </w:rPr>
        <w:t xml:space="preserve">Conforme a lo anterior, </w:t>
      </w:r>
      <w:r w:rsidR="00015318">
        <w:rPr>
          <w:rFonts w:ascii="Arial" w:hAnsi="Arial" w:eastAsia="Arial" w:cs="Arial"/>
          <w:lang w:val="es-ES"/>
        </w:rPr>
        <w:t xml:space="preserve">la restricción prevista en el inciso primero </w:t>
      </w:r>
      <w:proofErr w:type="gramStart"/>
      <w:r w:rsidR="00015318">
        <w:rPr>
          <w:rFonts w:ascii="Arial" w:hAnsi="Arial" w:eastAsia="Arial" w:cs="Arial"/>
          <w:lang w:val="es-ES"/>
        </w:rPr>
        <w:t xml:space="preserve">del </w:t>
      </w:r>
      <w:r>
        <w:rPr>
          <w:rFonts w:ascii="Arial" w:hAnsi="Arial" w:eastAsia="Arial" w:cs="Arial"/>
          <w:lang w:val="es-ES"/>
        </w:rPr>
        <w:t xml:space="preserve"> parágrafo</w:t>
      </w:r>
      <w:proofErr w:type="gramEnd"/>
      <w:r>
        <w:rPr>
          <w:rFonts w:ascii="Arial" w:hAnsi="Arial" w:eastAsia="Arial" w:cs="Arial"/>
          <w:lang w:val="es-ES"/>
        </w:rPr>
        <w:t xml:space="preserve"> del artículo 38 de la Ley 996 de 2005, </w:t>
      </w:r>
      <w:r w:rsidR="00111F03">
        <w:rPr>
          <w:rFonts w:ascii="Arial" w:hAnsi="Arial" w:eastAsia="Arial" w:cs="Arial"/>
          <w:lang w:val="es-ES"/>
        </w:rPr>
        <w:t>en principio no resulta aplicable a las operaciones del crédito público a las que se refiere el parágrafo del artículo 41 de la Ley 80 de 1993.</w:t>
      </w:r>
      <w:r>
        <w:rPr>
          <w:rFonts w:ascii="Arial" w:hAnsi="Arial" w:eastAsia="Arial" w:cs="Arial"/>
          <w:lang w:val="es-ES"/>
        </w:rPr>
        <w:t xml:space="preserve"> No obstante, tratándose de operaciones en l</w:t>
      </w:r>
      <w:r w:rsidR="00CB7DD3">
        <w:rPr>
          <w:rFonts w:ascii="Arial" w:hAnsi="Arial" w:eastAsia="Arial" w:cs="Arial"/>
          <w:lang w:val="es-ES"/>
        </w:rPr>
        <w:t>a</w:t>
      </w:r>
      <w:r>
        <w:rPr>
          <w:rFonts w:ascii="Arial" w:hAnsi="Arial" w:eastAsia="Arial" w:cs="Arial"/>
          <w:lang w:val="es-ES"/>
        </w:rPr>
        <w:t>s que el financiamiento requerido por la entidad estatal</w:t>
      </w:r>
      <w:r w:rsidR="00CB7DD3">
        <w:rPr>
          <w:rFonts w:ascii="Arial" w:hAnsi="Arial" w:eastAsia="Arial" w:cs="Arial"/>
          <w:lang w:val="es-ES"/>
        </w:rPr>
        <w:t xml:space="preserve"> es brindado</w:t>
      </w:r>
      <w:r>
        <w:rPr>
          <w:rFonts w:ascii="Arial" w:hAnsi="Arial" w:eastAsia="Arial" w:cs="Arial"/>
          <w:lang w:val="es-ES"/>
        </w:rPr>
        <w:t xml:space="preserve"> </w:t>
      </w:r>
      <w:r w:rsidR="00CB7DD3">
        <w:rPr>
          <w:rFonts w:ascii="Arial" w:hAnsi="Arial" w:eastAsia="Arial" w:cs="Arial"/>
          <w:lang w:val="es-ES"/>
        </w:rPr>
        <w:t>por</w:t>
      </w:r>
      <w:r>
        <w:rPr>
          <w:rFonts w:ascii="Arial" w:hAnsi="Arial" w:eastAsia="Arial" w:cs="Arial"/>
          <w:lang w:val="es-ES"/>
        </w:rPr>
        <w:t xml:space="preserve"> una entidad financiera de carácter estatal</w:t>
      </w:r>
      <w:r w:rsidR="00A04D74">
        <w:rPr>
          <w:rFonts w:ascii="Arial" w:hAnsi="Arial" w:eastAsia="Arial" w:cs="Arial"/>
          <w:lang w:val="es-ES"/>
        </w:rPr>
        <w:t xml:space="preserve"> si </w:t>
      </w:r>
      <w:proofErr w:type="gramStart"/>
      <w:r w:rsidR="00A04D74">
        <w:rPr>
          <w:rFonts w:ascii="Arial" w:hAnsi="Arial" w:eastAsia="Arial" w:cs="Arial"/>
          <w:lang w:val="es-ES"/>
        </w:rPr>
        <w:t>podría</w:t>
      </w:r>
      <w:proofErr w:type="gramEnd"/>
      <w:r w:rsidR="00A04D74">
        <w:rPr>
          <w:rFonts w:ascii="Arial" w:hAnsi="Arial" w:eastAsia="Arial" w:cs="Arial"/>
          <w:lang w:val="es-ES"/>
        </w:rPr>
        <w:t xml:space="preserve"> resulta aplicable la restricción, si </w:t>
      </w:r>
      <w:r>
        <w:rPr>
          <w:rFonts w:ascii="Arial" w:hAnsi="Arial" w:eastAsia="Arial" w:cs="Arial"/>
          <w:lang w:val="es-ES" w:eastAsia="es-ES" w:bidi="es-ES"/>
        </w:rPr>
        <w:t xml:space="preserve">al menos uno de los extremos de la relación contractual fuere una entidad </w:t>
      </w:r>
      <w:r w:rsidRPr="006B3B36">
        <w:rPr>
          <w:rFonts w:ascii="Arial" w:hAnsi="Arial" w:eastAsia="Arial" w:cs="Arial"/>
          <w:lang w:val="es-ES" w:eastAsia="es-ES" w:bidi="es-ES"/>
        </w:rPr>
        <w:t>descentralizada del orden municipal, departamental o distrital</w:t>
      </w:r>
      <w:r>
        <w:rPr>
          <w:rFonts w:ascii="Arial" w:hAnsi="Arial" w:eastAsia="Arial" w:cs="Arial"/>
          <w:lang w:val="es-ES" w:eastAsia="es-ES" w:bidi="es-ES"/>
        </w:rPr>
        <w:t xml:space="preserve">.    </w:t>
      </w:r>
    </w:p>
    <w:p w:rsidR="00524048" w:rsidP="00A04D74" w:rsidRDefault="00524048" w14:paraId="70135E95" w14:textId="6036EF2E">
      <w:pPr>
        <w:spacing w:after="120" w:line="276" w:lineRule="auto"/>
        <w:jc w:val="both"/>
        <w:rPr>
          <w:rFonts w:ascii="Arial" w:hAnsi="Arial" w:eastAsia="Arial" w:cs="Arial"/>
          <w:lang w:val="es-ES" w:eastAsia="es-ES" w:bidi="es-ES"/>
        </w:rPr>
      </w:pPr>
      <w:r>
        <w:rPr>
          <w:rFonts w:ascii="Arial" w:hAnsi="Arial" w:eastAsia="Arial" w:cs="Arial"/>
          <w:lang w:val="es-ES" w:eastAsia="es-ES" w:bidi="es-ES"/>
        </w:rPr>
        <w:tab/>
      </w:r>
      <w:r w:rsidR="00A04D74">
        <w:rPr>
          <w:rFonts w:ascii="Arial" w:hAnsi="Arial" w:eastAsia="Arial" w:cs="Arial"/>
          <w:lang w:val="es-ES" w:eastAsia="es-ES" w:bidi="es-ES"/>
        </w:rPr>
        <w:t>Sin perjuicio de lo anterior</w:t>
      </w:r>
      <w:r>
        <w:rPr>
          <w:rFonts w:ascii="Arial" w:hAnsi="Arial" w:eastAsia="Arial" w:cs="Arial"/>
          <w:lang w:val="es-ES" w:eastAsia="es-ES" w:bidi="es-ES"/>
        </w:rPr>
        <w:t xml:space="preserve">, </w:t>
      </w:r>
      <w:r w:rsidR="00A04D74">
        <w:rPr>
          <w:rFonts w:ascii="Arial" w:hAnsi="Arial" w:eastAsia="Arial" w:cs="Arial"/>
          <w:lang w:val="es-ES" w:eastAsia="es-ES" w:bidi="es-ES"/>
        </w:rPr>
        <w:t xml:space="preserve">es </w:t>
      </w:r>
      <w:r>
        <w:rPr>
          <w:rFonts w:ascii="Arial" w:hAnsi="Arial" w:eastAsia="Arial" w:cs="Arial"/>
          <w:lang w:val="es-ES" w:eastAsia="es-ES" w:bidi="es-ES"/>
        </w:rPr>
        <w:t xml:space="preserve">corresponde a las entidades suscribientes estudiar las condiciones particulares del contrato a celebrar, así como la naturaleza jurídica de las entidades involucradas, a efectos de determinar cuál es el alcance de las mencionadas restricciones respecto del contrato a celebrar. </w:t>
      </w:r>
    </w:p>
    <w:p w:rsidRPr="00262D58" w:rsidR="00206DFD" w:rsidP="00EB3B23" w:rsidRDefault="00206DFD" w14:paraId="58848F71" w14:textId="4A29CFDA">
      <w:pPr>
        <w:spacing w:after="120" w:line="276" w:lineRule="auto"/>
        <w:jc w:val="both"/>
        <w:rPr>
          <w:rFonts w:ascii="Arial" w:hAnsi="Arial" w:eastAsia="Arial" w:cs="Arial"/>
          <w:lang w:val="es-ES" w:eastAsia="es-ES" w:bidi="es-ES"/>
        </w:rPr>
      </w:pPr>
    </w:p>
    <w:p w:rsidRPr="00224199" w:rsidR="00C60B22" w:rsidP="00EB3B23" w:rsidRDefault="00C60B22" w14:paraId="693F2FB2" w14:textId="77777777">
      <w:pPr>
        <w:spacing w:after="0" w:line="276" w:lineRule="auto"/>
        <w:jc w:val="both"/>
        <w:rPr>
          <w:rFonts w:ascii="Arial" w:hAnsi="Arial" w:eastAsia="Calibri" w:cs="Arial"/>
          <w:color w:val="000000" w:themeColor="text1"/>
          <w:szCs w:val="24"/>
          <w:lang w:val="es-ES_tradnl" w:eastAsia="es-ES_tradnl"/>
        </w:rPr>
      </w:pPr>
      <w:r w:rsidRPr="00224199">
        <w:rPr>
          <w:rFonts w:ascii="Arial" w:hAnsi="Arial" w:eastAsia="Calibri" w:cs="Arial"/>
          <w:color w:val="000000" w:themeColor="text1"/>
          <w:szCs w:val="24"/>
          <w:lang w:val="es-ES_tradnl" w:eastAsia="es-ES_tradnl"/>
        </w:rPr>
        <w:t>Este concepto tiene el alcance previsto en el artículo 28 del Código de Procedimiento Administrativo y de lo Contencioso Administrativo.</w:t>
      </w:r>
    </w:p>
    <w:p w:rsidRPr="00224199" w:rsidR="00C60B22" w:rsidP="00C60B22" w:rsidRDefault="00C60B22" w14:paraId="3815B514" w14:textId="77777777">
      <w:pPr>
        <w:spacing w:after="0" w:line="276" w:lineRule="auto"/>
        <w:jc w:val="both"/>
        <w:rPr>
          <w:rFonts w:ascii="Arial" w:hAnsi="Arial" w:eastAsia="Times New Roman" w:cs="Arial"/>
          <w:lang w:val="es-ES_tradnl" w:eastAsia="es-CO"/>
        </w:rPr>
      </w:pPr>
    </w:p>
    <w:p w:rsidRPr="00224199" w:rsidR="00C60B22" w:rsidP="00C60B22" w:rsidRDefault="00C60B22" w14:paraId="33D08BF2" w14:textId="77777777">
      <w:pPr>
        <w:spacing w:after="0" w:line="276" w:lineRule="auto"/>
        <w:jc w:val="both"/>
        <w:rPr>
          <w:rFonts w:ascii="Arial" w:hAnsi="Arial" w:eastAsia="Times New Roman" w:cs="Arial"/>
          <w:lang w:val="es-ES_tradnl" w:eastAsia="es-CO"/>
        </w:rPr>
      </w:pPr>
    </w:p>
    <w:p w:rsidRPr="00224199" w:rsidR="00C60B22" w:rsidP="00C60B22" w:rsidRDefault="00C60B22" w14:paraId="629587EC" w14:textId="77777777">
      <w:pPr>
        <w:spacing w:after="0" w:line="276" w:lineRule="auto"/>
        <w:jc w:val="both"/>
        <w:rPr>
          <w:rFonts w:ascii="Arial" w:hAnsi="Arial" w:eastAsia="Times New Roman" w:cs="Arial"/>
          <w:lang w:val="es-ES_tradnl" w:eastAsia="es-CO"/>
        </w:rPr>
      </w:pPr>
      <w:r w:rsidRPr="14D48936" w:rsidR="00C60B22">
        <w:rPr>
          <w:rFonts w:ascii="Arial" w:hAnsi="Arial" w:eastAsia="Times New Roman" w:cs="Arial"/>
          <w:lang w:val="es-ES" w:eastAsia="es-CO"/>
        </w:rPr>
        <w:t>Atentamente,</w:t>
      </w:r>
    </w:p>
    <w:p w:rsidRPr="00224199" w:rsidR="00C60B22" w:rsidP="14D48936" w:rsidRDefault="00C60B22" w14:paraId="1D8C4DBD" w14:textId="5F2DC002">
      <w:pPr>
        <w:pStyle w:val="Normal"/>
        <w:spacing w:before="240" w:after="120" w:line="276" w:lineRule="auto"/>
        <w:jc w:val="center"/>
        <w:rPr>
          <w:rFonts w:ascii="Arial" w:hAnsi="Arial" w:eastAsia="Calibri" w:cs="Arial"/>
          <w:sz w:val="24"/>
          <w:szCs w:val="24"/>
          <w:lang w:eastAsia="es-ES"/>
        </w:rPr>
      </w:pPr>
      <w:r w:rsidR="65D2A4BA">
        <w:drawing>
          <wp:inline wp14:editId="06B98432" wp14:anchorId="55D2E958">
            <wp:extent cx="3533775" cy="1354614"/>
            <wp:effectExtent l="0" t="0" r="0" b="0"/>
            <wp:docPr id="2027747182" name="" title=""/>
            <wp:cNvGraphicFramePr>
              <a:graphicFrameLocks noChangeAspect="1"/>
            </wp:cNvGraphicFramePr>
            <a:graphic>
              <a:graphicData uri="http://schemas.openxmlformats.org/drawingml/2006/picture">
                <pic:pic>
                  <pic:nvPicPr>
                    <pic:cNvPr id="0" name=""/>
                    <pic:cNvPicPr/>
                  </pic:nvPicPr>
                  <pic:blipFill>
                    <a:blip r:embed="R20a323f9098841cf">
                      <a:extLst>
                        <a:ext xmlns:a="http://schemas.openxmlformats.org/drawingml/2006/main" uri="{28A0092B-C50C-407E-A947-70E740481C1C}">
                          <a14:useLocalDpi val="0"/>
                        </a:ext>
                      </a:extLst>
                    </a:blip>
                    <a:stretch>
                      <a:fillRect/>
                    </a:stretch>
                  </pic:blipFill>
                  <pic:spPr>
                    <a:xfrm>
                      <a:off x="0" y="0"/>
                      <a:ext cx="3533775" cy="1354614"/>
                    </a:xfrm>
                    <a:prstGeom prst="rect">
                      <a:avLst/>
                    </a:prstGeom>
                  </pic:spPr>
                </pic:pic>
              </a:graphicData>
            </a:graphic>
          </wp:inline>
        </w:drawing>
      </w:r>
      <w:r>
        <w:br/>
      </w:r>
    </w:p>
    <w:tbl>
      <w:tblPr>
        <w:tblStyle w:val="Tablaconcuadrcula11"/>
        <w:tblpPr w:leftFromText="141" w:rightFromText="141" w:vertAnchor="text" w:horzAnchor="margin" w:tblpY="-79"/>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817"/>
        <w:gridCol w:w="4445"/>
      </w:tblGrid>
      <w:tr w:rsidRPr="00224199" w:rsidR="00C60B22" w:rsidTr="00CE1932" w14:paraId="6F887C27" w14:textId="77777777">
        <w:trPr>
          <w:trHeight w:val="286"/>
        </w:trPr>
        <w:tc>
          <w:tcPr>
            <w:tcW w:w="817" w:type="dxa"/>
            <w:vAlign w:val="center"/>
          </w:tcPr>
          <w:p w:rsidRPr="00224199" w:rsidR="00C60B22" w:rsidP="00CE1932" w:rsidRDefault="00C60B22" w14:paraId="2A8F1FCE" w14:textId="77777777">
            <w:pPr>
              <w:rPr>
                <w:rFonts w:ascii="Arial" w:hAnsi="Arial" w:eastAsia="Times New Roman" w:cs="Arial"/>
                <w:sz w:val="15"/>
                <w:szCs w:val="15"/>
                <w:lang w:eastAsia="es-ES_tradnl"/>
              </w:rPr>
            </w:pPr>
            <w:r w:rsidRPr="00224199">
              <w:rPr>
                <w:rFonts w:ascii="Arial" w:hAnsi="Arial" w:eastAsia="Times New Roman" w:cs="Arial"/>
                <w:sz w:val="15"/>
                <w:szCs w:val="15"/>
                <w:lang w:eastAsia="es-ES_tradnl"/>
              </w:rPr>
              <w:t>Elaboró:</w:t>
            </w:r>
          </w:p>
        </w:tc>
        <w:tc>
          <w:tcPr>
            <w:tcW w:w="4445" w:type="dxa"/>
            <w:tcBorders>
              <w:bottom w:val="dotted" w:color="7F7F7F" w:themeColor="text1" w:themeTint="80" w:sz="4" w:space="0"/>
            </w:tcBorders>
            <w:vAlign w:val="center"/>
          </w:tcPr>
          <w:p w:rsidRPr="00224199" w:rsidR="00C60B22" w:rsidP="00CE1932" w:rsidRDefault="00C60B22" w14:paraId="4FC3FB00" w14:textId="77777777">
            <w:pPr>
              <w:rPr>
                <w:rFonts w:ascii="Arial" w:hAnsi="Arial" w:eastAsia="Times New Roman" w:cs="Arial"/>
                <w:sz w:val="15"/>
                <w:szCs w:val="15"/>
                <w:lang w:eastAsia="es-ES_tradnl"/>
              </w:rPr>
            </w:pPr>
          </w:p>
          <w:p w:rsidRPr="00224199" w:rsidR="00C60B22" w:rsidP="00CE1932" w:rsidRDefault="00C60B22" w14:paraId="2C810EAF" w14:textId="77777777">
            <w:pPr>
              <w:rPr>
                <w:rFonts w:ascii="Arial" w:hAnsi="Arial" w:eastAsia="Times New Roman" w:cs="Arial"/>
                <w:sz w:val="15"/>
                <w:szCs w:val="15"/>
                <w:lang w:eastAsia="es-ES_tradnl"/>
              </w:rPr>
            </w:pPr>
            <w:r w:rsidRPr="00224199">
              <w:rPr>
                <w:rFonts w:ascii="Arial" w:hAnsi="Arial" w:eastAsia="Times New Roman" w:cs="Arial"/>
                <w:sz w:val="15"/>
                <w:szCs w:val="15"/>
                <w:lang w:eastAsia="es-ES_tradnl"/>
              </w:rPr>
              <w:t>Sergio Luis Mondragón Duarte</w:t>
            </w:r>
          </w:p>
          <w:p w:rsidRPr="00224199" w:rsidR="00C60B22" w:rsidP="00CE1932" w:rsidRDefault="00C60B22" w14:paraId="6E1D27B0" w14:textId="77777777">
            <w:pPr>
              <w:rPr>
                <w:rFonts w:ascii="Arial" w:hAnsi="Arial" w:eastAsia="Times New Roman" w:cs="Arial"/>
                <w:sz w:val="15"/>
                <w:szCs w:val="15"/>
                <w:lang w:eastAsia="es-ES_tradnl"/>
              </w:rPr>
            </w:pPr>
            <w:r w:rsidRPr="00224199">
              <w:rPr>
                <w:rFonts w:ascii="Arial" w:hAnsi="Arial" w:eastAsia="Times New Roman" w:cs="Arial"/>
                <w:sz w:val="15"/>
                <w:szCs w:val="15"/>
                <w:lang w:eastAsia="es-ES_tradnl"/>
              </w:rPr>
              <w:t>Contratista de la Subdirección de Gestión Contractual</w:t>
            </w:r>
          </w:p>
        </w:tc>
      </w:tr>
      <w:tr w:rsidRPr="00224199" w:rsidR="00C60B22" w:rsidTr="00CE1932" w14:paraId="3933DB62" w14:textId="77777777">
        <w:trPr>
          <w:trHeight w:val="286"/>
        </w:trPr>
        <w:tc>
          <w:tcPr>
            <w:tcW w:w="817" w:type="dxa"/>
            <w:vAlign w:val="center"/>
          </w:tcPr>
          <w:p w:rsidRPr="00224199" w:rsidR="00C60B22" w:rsidP="00CE1932" w:rsidRDefault="00C60B22" w14:paraId="620FCFB0" w14:textId="77777777">
            <w:pPr>
              <w:rPr>
                <w:rFonts w:ascii="Arial" w:hAnsi="Arial" w:eastAsia="Times New Roman" w:cs="Arial"/>
                <w:sz w:val="15"/>
                <w:szCs w:val="15"/>
                <w:lang w:eastAsia="es-ES_tradnl"/>
              </w:rPr>
            </w:pPr>
            <w:r w:rsidRPr="00224199">
              <w:rPr>
                <w:rFonts w:ascii="Arial" w:hAnsi="Arial" w:eastAsia="Times New Roman" w:cs="Arial"/>
                <w:sz w:val="15"/>
                <w:szCs w:val="15"/>
                <w:lang w:eastAsia="es-ES_tradnl"/>
              </w:rPr>
              <w:t>Revisó:</w:t>
            </w:r>
          </w:p>
        </w:tc>
        <w:tc>
          <w:tcPr>
            <w:tcW w:w="4445" w:type="dxa"/>
            <w:tcBorders>
              <w:bottom w:val="dotted" w:color="7F7F7F" w:themeColor="text1" w:themeTint="80" w:sz="4" w:space="0"/>
            </w:tcBorders>
            <w:vAlign w:val="center"/>
          </w:tcPr>
          <w:p w:rsidRPr="00BB5652" w:rsidR="00C60B22" w:rsidP="00CE1932" w:rsidRDefault="00C60B22" w14:paraId="139F85F5" w14:textId="77777777">
            <w:pPr>
              <w:rPr>
                <w:rFonts w:ascii="Arial" w:hAnsi="Arial" w:eastAsia="Times New Roman" w:cs="Arial"/>
                <w:color w:val="000000" w:themeColor="text1"/>
                <w:sz w:val="16"/>
                <w:szCs w:val="16"/>
                <w:lang w:val="es-ES_tradnl" w:eastAsia="es-ES"/>
              </w:rPr>
            </w:pPr>
            <w:r w:rsidRPr="00BB5652">
              <w:rPr>
                <w:rFonts w:ascii="Arial" w:hAnsi="Arial" w:eastAsia="Times New Roman" w:cs="Arial"/>
                <w:color w:val="000000" w:themeColor="text1"/>
                <w:sz w:val="16"/>
                <w:szCs w:val="16"/>
                <w:lang w:val="es-ES_tradnl" w:eastAsia="es-ES"/>
              </w:rPr>
              <w:t xml:space="preserve">Alejandro Sarmiento Cantillo </w:t>
            </w:r>
          </w:p>
          <w:p w:rsidRPr="00224199" w:rsidR="00C60B22" w:rsidP="00CE1932" w:rsidRDefault="00C60B22" w14:paraId="69E2B482" w14:textId="77777777">
            <w:pPr>
              <w:spacing w:line="276" w:lineRule="auto"/>
              <w:textAlignment w:val="baseline"/>
              <w:rPr>
                <w:rFonts w:ascii="Arial" w:hAnsi="Arial" w:eastAsia="Times New Roman" w:cs="Arial"/>
                <w:sz w:val="15"/>
                <w:szCs w:val="15"/>
                <w:lang w:eastAsia="es-CO"/>
              </w:rPr>
            </w:pPr>
            <w:r w:rsidRPr="74DD02C2">
              <w:rPr>
                <w:rFonts w:ascii="Arial" w:hAnsi="Arial" w:eastAsia="Times New Roman" w:cs="Arial"/>
                <w:color w:val="000000" w:themeColor="text1"/>
                <w:sz w:val="16"/>
                <w:szCs w:val="16"/>
                <w:lang w:val="es-ES" w:eastAsia="es-ES"/>
              </w:rPr>
              <w:t>Gestor T1 – 15 de la Subdirección de Gestión Contractual</w:t>
            </w:r>
          </w:p>
        </w:tc>
      </w:tr>
      <w:tr w:rsidRPr="00224199" w:rsidR="00C60B22" w:rsidTr="00CE1932" w14:paraId="41658B94" w14:textId="77777777">
        <w:trPr>
          <w:trHeight w:val="299"/>
        </w:trPr>
        <w:tc>
          <w:tcPr>
            <w:tcW w:w="817" w:type="dxa"/>
            <w:vAlign w:val="center"/>
          </w:tcPr>
          <w:p w:rsidRPr="00224199" w:rsidR="00C60B22" w:rsidP="00CE1932" w:rsidRDefault="00C60B22" w14:paraId="1574179F" w14:textId="77777777">
            <w:pPr>
              <w:rPr>
                <w:rFonts w:ascii="Arial" w:hAnsi="Arial" w:eastAsia="Times New Roman" w:cs="Arial"/>
                <w:sz w:val="15"/>
                <w:szCs w:val="15"/>
                <w:lang w:eastAsia="es-ES_tradnl"/>
              </w:rPr>
            </w:pPr>
            <w:r w:rsidRPr="00224199">
              <w:rPr>
                <w:rFonts w:ascii="Arial" w:hAnsi="Arial" w:eastAsia="Times New Roman" w:cs="Arial"/>
                <w:sz w:val="15"/>
                <w:szCs w:val="15"/>
                <w:lang w:eastAsia="es-ES_tradnl"/>
              </w:rPr>
              <w:t>Aprobó:</w:t>
            </w:r>
          </w:p>
        </w:tc>
        <w:tc>
          <w:tcPr>
            <w:tcW w:w="4445" w:type="dxa"/>
            <w:tcBorders>
              <w:top w:val="dotted" w:color="7F7F7F" w:themeColor="text1" w:themeTint="80" w:sz="4" w:space="0"/>
              <w:bottom w:val="dotted" w:color="7F7F7F" w:themeColor="text1" w:themeTint="80" w:sz="4" w:space="0"/>
            </w:tcBorders>
            <w:vAlign w:val="center"/>
          </w:tcPr>
          <w:p w:rsidRPr="00224199" w:rsidR="00C60B22" w:rsidP="00CE1932" w:rsidRDefault="00C60B22" w14:paraId="21BADA26" w14:textId="77777777">
            <w:pPr>
              <w:rPr>
                <w:rFonts w:ascii="Arial" w:hAnsi="Arial" w:eastAsia="Times New Roman" w:cs="Arial"/>
                <w:sz w:val="15"/>
                <w:szCs w:val="15"/>
                <w:lang w:eastAsia="es-ES_tradnl"/>
              </w:rPr>
            </w:pPr>
            <w:r w:rsidRPr="00224199">
              <w:rPr>
                <w:rFonts w:ascii="Arial" w:hAnsi="Arial" w:eastAsia="Times New Roman" w:cs="Arial"/>
                <w:sz w:val="15"/>
                <w:szCs w:val="15"/>
                <w:lang w:eastAsia="es-ES_tradnl"/>
              </w:rPr>
              <w:t>Nohelia Del Carmen Zawady Palacio</w:t>
            </w:r>
          </w:p>
          <w:p w:rsidRPr="00224199" w:rsidR="00C60B22" w:rsidP="00CE1932" w:rsidRDefault="00C60B22" w14:paraId="184F9DCD" w14:textId="77777777">
            <w:pPr>
              <w:rPr>
                <w:rFonts w:ascii="Arial" w:hAnsi="Arial" w:eastAsia="Times New Roman" w:cs="Arial"/>
                <w:sz w:val="15"/>
                <w:szCs w:val="15"/>
                <w:lang w:eastAsia="es-ES_tradnl"/>
              </w:rPr>
            </w:pPr>
            <w:r w:rsidRPr="00224199">
              <w:rPr>
                <w:rFonts w:ascii="Arial" w:hAnsi="Arial" w:eastAsia="Times New Roman" w:cs="Arial"/>
                <w:sz w:val="15"/>
                <w:szCs w:val="15"/>
                <w:lang w:eastAsia="es-ES_tradnl"/>
              </w:rPr>
              <w:t>Subdirectora de Gestión Contractual ANCP – CCE</w:t>
            </w:r>
            <w:r w:rsidRPr="00224199">
              <w:rPr>
                <w:rFonts w:ascii="Arial" w:hAnsi="Arial" w:eastAsia="Times New Roman" w:cs="Arial"/>
                <w:sz w:val="15"/>
                <w:szCs w:val="15"/>
                <w:shd w:val="clear" w:color="auto" w:fill="E6E6E6"/>
                <w:lang w:eastAsia="es-ES_tradnl"/>
              </w:rPr>
              <w:t xml:space="preserve"> </w:t>
            </w:r>
          </w:p>
        </w:tc>
      </w:tr>
    </w:tbl>
    <w:p w:rsidRPr="00224199" w:rsidR="00C60B22" w:rsidP="00C60B22" w:rsidRDefault="00C60B22" w14:paraId="6FA878E4" w14:textId="77777777">
      <w:pPr>
        <w:tabs>
          <w:tab w:val="left" w:pos="3795"/>
        </w:tabs>
        <w:spacing w:after="0" w:line="240" w:lineRule="auto"/>
        <w:rPr>
          <w:rFonts w:ascii="Arial" w:hAnsi="Arial" w:eastAsia="Times New Roman" w:cs="Arial"/>
          <w:sz w:val="24"/>
          <w:szCs w:val="24"/>
          <w:lang w:val="es-ES_tradnl" w:eastAsia="es-ES_tradnl"/>
        </w:rPr>
      </w:pPr>
    </w:p>
    <w:p w:rsidRPr="00224199" w:rsidR="00C60B22" w:rsidP="00C60B22" w:rsidRDefault="00C60B22" w14:paraId="2D32B1A6" w14:textId="77777777">
      <w:pPr>
        <w:spacing w:after="0" w:line="240" w:lineRule="auto"/>
        <w:rPr>
          <w:rFonts w:ascii="Arial" w:hAnsi="Arial" w:eastAsia="Times New Roman" w:cs="Arial"/>
          <w:sz w:val="24"/>
          <w:szCs w:val="24"/>
          <w:lang w:eastAsia="es-ES_tradnl"/>
        </w:rPr>
      </w:pPr>
    </w:p>
    <w:bookmarkEnd w:id="7"/>
    <w:p w:rsidRPr="00224199" w:rsidR="00C60B22" w:rsidP="00C60B22" w:rsidRDefault="00C60B22" w14:paraId="0CD5F9A9" w14:textId="77777777">
      <w:pPr>
        <w:spacing w:after="0" w:line="240" w:lineRule="auto"/>
        <w:rPr>
          <w:rFonts w:ascii="Arial" w:hAnsi="Arial" w:eastAsia="Times New Roman" w:cs="Arial"/>
          <w:sz w:val="24"/>
          <w:szCs w:val="24"/>
          <w:lang w:eastAsia="es-ES_tradnl"/>
        </w:rPr>
      </w:pPr>
    </w:p>
    <w:p w:rsidRPr="00224199" w:rsidR="00C60B22" w:rsidP="00C60B22" w:rsidRDefault="00C60B22" w14:paraId="07D77F65" w14:textId="77777777">
      <w:pPr>
        <w:spacing w:after="0" w:line="240" w:lineRule="auto"/>
        <w:rPr>
          <w:rFonts w:ascii="Times New Roman" w:hAnsi="Times New Roman" w:eastAsia="Times New Roman" w:cs="Times New Roman"/>
          <w:sz w:val="24"/>
          <w:szCs w:val="24"/>
          <w:lang w:eastAsia="es-ES_tradnl"/>
        </w:rPr>
      </w:pPr>
    </w:p>
    <w:p w:rsidRPr="00224199" w:rsidR="00C60B22" w:rsidP="00C60B22" w:rsidRDefault="00C60B22" w14:paraId="713F059A" w14:textId="77777777"/>
    <w:p w:rsidRPr="00610CBB" w:rsidR="00127233" w:rsidP="00610CBB" w:rsidRDefault="00127233" w14:paraId="0F293BF4" w14:textId="19C6E2D4"/>
    <w:sectPr w:rsidRPr="00610CBB" w:rsidR="00127233" w:rsidSect="00923EEF">
      <w:headerReference w:type="default" r:id="rId11"/>
      <w:footerReference w:type="default" r:id="rId12"/>
      <w:pgSz w:w="12240" w:h="15840" w:orient="portrait" w:code="1"/>
      <w:pgMar w:top="1418" w:right="1701" w:bottom="1418" w:left="1701" w:header="709"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F204AB" w:rsidP="004A1847" w:rsidRDefault="00F204AB" w14:paraId="2DAF0486" w14:textId="77777777">
      <w:pPr>
        <w:spacing w:after="0" w:line="240" w:lineRule="auto"/>
      </w:pPr>
      <w:r>
        <w:separator/>
      </w:r>
    </w:p>
  </w:endnote>
  <w:endnote w:type="continuationSeparator" w:id="0">
    <w:p w:rsidR="00F204AB" w:rsidP="004A1847" w:rsidRDefault="00F204AB" w14:paraId="6884889A" w14:textId="77777777">
      <w:pPr>
        <w:spacing w:after="0" w:line="240" w:lineRule="auto"/>
      </w:pPr>
      <w:r>
        <w:continuationSeparator/>
      </w:r>
    </w:p>
  </w:endnote>
  <w:endnote w:type="continuationNotice" w:id="1">
    <w:p w:rsidR="00B5730B" w:rsidRDefault="00B5730B" w14:paraId="2D97A949"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2000503000000020004"/>
    <w:charset w:val="00"/>
    <w:family w:val="modern"/>
    <w:notTrueType/>
    <w:pitch w:val="variable"/>
    <w:sig w:usb0="A000002F" w:usb1="1000004A" w:usb2="00000000" w:usb3="00000000" w:csb0="00000193" w:csb1="00000000"/>
  </w:font>
  <w:font w:name="Geomanist">
    <w:altName w:val="Calibri"/>
    <w:panose1 w:val="02000503000000020004"/>
    <w:charset w:val="00"/>
    <w:family w:val="modern"/>
    <w:notTrueType/>
    <w:pitch w:val="variable"/>
    <w:sig w:usb0="A000002F" w:usb1="1000004A" w:usb2="00000000" w:usb3="00000000" w:csb0="00000193" w:csb1="00000000"/>
  </w:font>
  <w:font w:name="Arial MT">
    <w:altName w:val="Arial"/>
    <w:charset w:val="01"/>
    <w:family w:val="swiss"/>
    <w:pitch w:val="variable"/>
  </w:font>
  <w:font w:name="Geomanist Bold">
    <w:altName w:val="Calibri"/>
    <w:panose1 w:val="02000503000000020004"/>
    <w:charset w:val="00"/>
    <w:family w:val="modern"/>
    <w:notTrueType/>
    <w:pitch w:val="variable"/>
    <w:sig w:usb0="A000002F" w:usb1="1000004A" w:usb2="00000000" w:usb3="00000000" w:csb0="00000193" w:csb1="00000000"/>
  </w:font>
  <w:font w:name="Century Gothic">
    <w:panose1 w:val="020B0502020202020204"/>
    <w:charset w:val="00"/>
    <w:family w:val="swiss"/>
    <w:pitch w:val="variable"/>
    <w:sig w:usb0="00000287" w:usb1="00000000" w:usb2="00000000" w:usb3="00000000" w:csb0="0000009F"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p w:rsidR="004A1847" w:rsidRDefault="009419F9" w14:paraId="18911A32" w14:textId="3BA5BB2D">
    <w:pPr>
      <w:pStyle w:val="Piedepgina"/>
    </w:pPr>
    <w:r>
      <w:rPr>
        <w:noProof/>
      </w:rPr>
      <w:drawing>
        <wp:inline distT="0" distB="0" distL="0" distR="0" wp14:anchorId="600A8696" wp14:editId="357635FE">
          <wp:extent cx="5612130" cy="650240"/>
          <wp:effectExtent l="0" t="0" r="7620" b="0"/>
          <wp:docPr id="1013471023" name="Imagen 1013471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3471023" name="Imagen 11"/>
                  <pic:cNvPicPr/>
                </pic:nvPicPr>
                <pic:blipFill>
                  <a:blip r:embed="rId1">
                    <a:extLst>
                      <a:ext uri="{28A0092B-C50C-407E-A947-70E740481C1C}">
                        <a14:useLocalDpi xmlns:a14="http://schemas.microsoft.com/office/drawing/2010/main" val="0"/>
                      </a:ext>
                    </a:extLst>
                  </a:blip>
                  <a:stretch>
                    <a:fillRect/>
                  </a:stretch>
                </pic:blipFill>
                <pic:spPr>
                  <a:xfrm>
                    <a:off x="0" y="0"/>
                    <a:ext cx="5612130" cy="650240"/>
                  </a:xfrm>
                  <a:prstGeom prst="rect">
                    <a:avLst/>
                  </a:prstGeom>
                </pic:spPr>
              </pic:pic>
            </a:graphicData>
          </a:graphic>
        </wp:inline>
      </w:drawing>
    </w:r>
    <w:r>
      <w:rPr>
        <w:rFonts w:ascii="Geomanist Bold" w:hAnsi="Geomanist Bold"/>
        <w:b/>
        <w:bCs/>
        <w:noProof/>
        <w:color w:val="002060"/>
        <w:sz w:val="24"/>
        <w:szCs w:val="24"/>
      </w:rPr>
      <w:drawing>
        <wp:anchor distT="0" distB="0" distL="114300" distR="114300" simplePos="0" relativeHeight="251658243" behindDoc="0" locked="0" layoutInCell="1" allowOverlap="1" wp14:anchorId="197AA269" wp14:editId="277B7D17">
          <wp:simplePos x="0" y="0"/>
          <wp:positionH relativeFrom="leftMargin">
            <wp:posOffset>-186690</wp:posOffset>
          </wp:positionH>
          <wp:positionV relativeFrom="margin">
            <wp:posOffset>6526530</wp:posOffset>
          </wp:positionV>
          <wp:extent cx="665480" cy="3098800"/>
          <wp:effectExtent l="0" t="0" r="1270" b="6350"/>
          <wp:wrapThrough wrapText="bothSides">
            <wp:wrapPolygon edited="0">
              <wp:start x="4947" y="0"/>
              <wp:lineTo x="0" y="1328"/>
              <wp:lineTo x="0" y="4913"/>
              <wp:lineTo x="5565" y="6374"/>
              <wp:lineTo x="0" y="7967"/>
              <wp:lineTo x="0" y="11818"/>
              <wp:lineTo x="3092" y="12748"/>
              <wp:lineTo x="0" y="14739"/>
              <wp:lineTo x="0" y="15138"/>
              <wp:lineTo x="3710" y="16997"/>
              <wp:lineTo x="0" y="17926"/>
              <wp:lineTo x="0" y="18590"/>
              <wp:lineTo x="1237" y="19121"/>
              <wp:lineTo x="9275" y="21246"/>
              <wp:lineTo x="11130" y="21511"/>
              <wp:lineTo x="15458" y="21511"/>
              <wp:lineTo x="21023" y="20184"/>
              <wp:lineTo x="21023" y="19918"/>
              <wp:lineTo x="17931" y="19121"/>
              <wp:lineTo x="21023" y="16864"/>
              <wp:lineTo x="21023" y="16466"/>
              <wp:lineTo x="14221" y="14872"/>
              <wp:lineTo x="21023" y="13544"/>
              <wp:lineTo x="21023" y="9693"/>
              <wp:lineTo x="16076" y="8498"/>
              <wp:lineTo x="21023" y="6772"/>
              <wp:lineTo x="21023" y="6241"/>
              <wp:lineTo x="17931" y="4249"/>
              <wp:lineTo x="21023" y="3452"/>
              <wp:lineTo x="21023" y="2789"/>
              <wp:lineTo x="9275" y="0"/>
              <wp:lineTo x="4947" y="0"/>
            </wp:wrapPolygon>
          </wp:wrapThrough>
          <wp:docPr id="1567040523" name="Imagen 15670405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tbl>
    <w:tblPr>
      <w:tblStyle w:val="Tablaconcuadrcula"/>
      <w:tblW w:w="893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Look w:val="04A0" w:firstRow="1" w:lastRow="0" w:firstColumn="1" w:lastColumn="0" w:noHBand="0" w:noVBand="1"/>
    </w:tblPr>
    <w:tblGrid>
      <w:gridCol w:w="1271"/>
      <w:gridCol w:w="2693"/>
      <w:gridCol w:w="2699"/>
      <w:gridCol w:w="2268"/>
    </w:tblGrid>
    <w:tr w:rsidRPr="00080DA3" w:rsidR="00FC2B5D" w:rsidTr="00B72CD3" w14:paraId="0534DA7F" w14:textId="77777777">
      <w:trPr>
        <w:trHeight w:val="229"/>
        <w:jc w:val="center"/>
      </w:trPr>
      <w:tc>
        <w:tcPr>
          <w:tcW w:w="1271" w:type="dxa"/>
          <w:tcBorders>
            <w:top w:val="dotted" w:color="808080" w:themeColor="background1" w:themeShade="80" w:sz="4" w:space="0"/>
            <w:left w:val="dotted" w:color="808080" w:themeColor="background1" w:themeShade="80" w:sz="4" w:space="0"/>
            <w:bottom w:val="dotted" w:color="808080" w:themeColor="background1" w:themeShade="80" w:sz="4" w:space="0"/>
          </w:tcBorders>
        </w:tcPr>
        <w:p w:rsidRPr="003F3941" w:rsidR="00FC2B5D" w:rsidP="006219F8" w:rsidRDefault="003F3941" w14:paraId="171D456F" w14:textId="62368336">
          <w:pPr>
            <w:pStyle w:val="Piedepgina"/>
            <w:jc w:val="center"/>
            <w:rPr>
              <w:rFonts w:ascii="Century Gothic" w:hAnsi="Century Gothic"/>
              <w:sz w:val="16"/>
              <w:szCs w:val="16"/>
            </w:rPr>
          </w:pPr>
          <w:r w:rsidRPr="003F3941">
            <w:rPr>
              <w:rFonts w:ascii="Century Gothic" w:hAnsi="Century Gothic"/>
              <w:sz w:val="16"/>
              <w:szCs w:val="16"/>
            </w:rPr>
            <w:t>VERSIÓN: 0</w:t>
          </w:r>
          <w:r w:rsidR="00B72CD3">
            <w:rPr>
              <w:rFonts w:ascii="Century Gothic" w:hAnsi="Century Gothic"/>
              <w:sz w:val="16"/>
              <w:szCs w:val="16"/>
            </w:rPr>
            <w:t>1</w:t>
          </w:r>
        </w:p>
      </w:tc>
      <w:tc>
        <w:tcPr>
          <w:tcW w:w="2693" w:type="dxa"/>
          <w:tcBorders>
            <w:top w:val="dotted" w:color="808080" w:themeColor="background1" w:themeShade="80" w:sz="4" w:space="0"/>
            <w:left w:val="dotted" w:color="808080" w:themeColor="background1" w:themeShade="80" w:sz="4" w:space="0"/>
            <w:bottom w:val="dotted" w:color="808080" w:themeColor="background1" w:themeShade="80" w:sz="4" w:space="0"/>
          </w:tcBorders>
        </w:tcPr>
        <w:p w:rsidRPr="003F3941" w:rsidR="00FC2B5D" w:rsidP="006219F8" w:rsidRDefault="003F3941" w14:paraId="10C74553" w14:textId="3F78C758">
          <w:pPr>
            <w:pStyle w:val="Piedepgina"/>
            <w:jc w:val="center"/>
            <w:rPr>
              <w:rFonts w:ascii="Century Gothic" w:hAnsi="Century Gothic"/>
              <w:sz w:val="16"/>
              <w:szCs w:val="16"/>
            </w:rPr>
          </w:pPr>
          <w:r w:rsidRPr="003F3941">
            <w:rPr>
              <w:rFonts w:ascii="Century Gothic" w:hAnsi="Century Gothic"/>
              <w:sz w:val="16"/>
              <w:szCs w:val="16"/>
            </w:rPr>
            <w:t xml:space="preserve">CÓDIGO: </w:t>
          </w:r>
          <w:r w:rsidRPr="003F3941">
            <w:rPr>
              <w:rFonts w:ascii="Century Gothic" w:hAnsi="Century Gothic" w:eastAsia="Geo" w:cs="Geo"/>
              <w:b/>
              <w:color w:val="000000"/>
              <w:sz w:val="16"/>
              <w:szCs w:val="16"/>
              <w:lang w:eastAsia="es-CO"/>
            </w:rPr>
            <w:t>CCE-</w:t>
          </w:r>
          <w:r w:rsidR="00B72CD3">
            <w:rPr>
              <w:rFonts w:ascii="Century Gothic" w:hAnsi="Century Gothic" w:eastAsia="Geo" w:cs="Geo"/>
              <w:b/>
              <w:color w:val="000000"/>
              <w:sz w:val="16"/>
              <w:szCs w:val="16"/>
              <w:lang w:eastAsia="es-CO"/>
            </w:rPr>
            <w:t>REC</w:t>
          </w:r>
          <w:r w:rsidRPr="003F3941">
            <w:rPr>
              <w:rFonts w:ascii="Century Gothic" w:hAnsi="Century Gothic" w:eastAsia="Geo" w:cs="Geo"/>
              <w:b/>
              <w:color w:val="000000"/>
              <w:sz w:val="16"/>
              <w:szCs w:val="16"/>
              <w:lang w:eastAsia="es-CO"/>
            </w:rPr>
            <w:t>-FM-</w:t>
          </w:r>
          <w:r w:rsidR="00CB6357">
            <w:rPr>
              <w:rFonts w:ascii="Century Gothic" w:hAnsi="Century Gothic" w:eastAsia="Geo" w:cs="Geo"/>
              <w:b/>
              <w:color w:val="000000"/>
              <w:sz w:val="16"/>
              <w:szCs w:val="16"/>
              <w:lang w:eastAsia="es-CO"/>
            </w:rPr>
            <w:t>13</w:t>
          </w:r>
        </w:p>
      </w:tc>
      <w:tc>
        <w:tcPr>
          <w:tcW w:w="2699" w:type="dxa"/>
          <w:tcBorders>
            <w:top w:val="dotted" w:color="808080" w:themeColor="background1" w:themeShade="80" w:sz="4" w:space="0"/>
            <w:left w:val="dotted" w:color="808080" w:themeColor="background1" w:themeShade="80" w:sz="4" w:space="0"/>
            <w:bottom w:val="dotted" w:color="808080" w:themeColor="background1" w:themeShade="80" w:sz="4" w:space="0"/>
          </w:tcBorders>
        </w:tcPr>
        <w:p w:rsidRPr="003F3941" w:rsidR="00FC2B5D" w:rsidP="00FC2B5D" w:rsidRDefault="003F3941" w14:paraId="5B51611F" w14:textId="5E0DB946">
          <w:pPr>
            <w:pStyle w:val="Piedepgina"/>
            <w:rPr>
              <w:rFonts w:ascii="Century Gothic" w:hAnsi="Century Gothic"/>
              <w:sz w:val="16"/>
              <w:szCs w:val="16"/>
            </w:rPr>
          </w:pPr>
          <w:r w:rsidRPr="003F3941">
            <w:rPr>
              <w:rFonts w:ascii="Century Gothic" w:hAnsi="Century Gothic"/>
              <w:sz w:val="16"/>
              <w:szCs w:val="16"/>
            </w:rPr>
            <w:t xml:space="preserve">FECHA: </w:t>
          </w:r>
          <w:r w:rsidR="00961B09">
            <w:rPr>
              <w:rFonts w:ascii="Century Gothic" w:hAnsi="Century Gothic"/>
              <w:sz w:val="16"/>
              <w:szCs w:val="16"/>
            </w:rPr>
            <w:t>15</w:t>
          </w:r>
          <w:r w:rsidRPr="003F3941">
            <w:rPr>
              <w:rFonts w:ascii="Century Gothic" w:hAnsi="Century Gothic"/>
              <w:sz w:val="16"/>
              <w:szCs w:val="16"/>
            </w:rPr>
            <w:t xml:space="preserve"> DE </w:t>
          </w:r>
          <w:r w:rsidR="00961B09">
            <w:rPr>
              <w:rFonts w:ascii="Century Gothic" w:hAnsi="Century Gothic"/>
              <w:sz w:val="16"/>
              <w:szCs w:val="16"/>
            </w:rPr>
            <w:t>JUNIO</w:t>
          </w:r>
          <w:r w:rsidRPr="003F3941">
            <w:rPr>
              <w:rFonts w:ascii="Century Gothic" w:hAnsi="Century Gothic"/>
              <w:sz w:val="16"/>
              <w:szCs w:val="16"/>
            </w:rPr>
            <w:t xml:space="preserve">  2023 </w:t>
          </w:r>
        </w:p>
      </w:tc>
      <w:tc>
        <w:tcPr>
          <w:tcW w:w="2268" w:type="dxa"/>
          <w:tcBorders>
            <w:top w:val="dotted" w:color="808080" w:themeColor="background1" w:themeShade="80" w:sz="4" w:space="0"/>
            <w:left w:val="dotted" w:color="808080" w:themeColor="background1" w:themeShade="80" w:sz="4" w:space="0"/>
            <w:bottom w:val="dotted" w:color="808080" w:themeColor="background1" w:themeShade="80" w:sz="4" w:space="0"/>
            <w:right w:val="dotted" w:color="808080" w:themeColor="background1" w:themeShade="80" w:sz="4" w:space="0"/>
          </w:tcBorders>
          <w:shd w:val="clear" w:color="auto" w:fill="auto"/>
        </w:tcPr>
        <w:p w:rsidRPr="003F3941" w:rsidR="00FC2B5D" w:rsidP="00820278" w:rsidRDefault="003F3941" w14:paraId="6C25E7A7" w14:textId="6039C9C7">
          <w:pPr>
            <w:pStyle w:val="Piedepgina"/>
            <w:rPr>
              <w:rFonts w:ascii="Century Gothic" w:hAnsi="Century Gothic"/>
              <w:sz w:val="16"/>
              <w:szCs w:val="16"/>
            </w:rPr>
          </w:pPr>
          <w:r w:rsidRPr="003F3941">
            <w:rPr>
              <w:rFonts w:ascii="Century Gothic" w:hAnsi="Century Gothic"/>
              <w:sz w:val="16"/>
              <w:szCs w:val="16"/>
            </w:rPr>
            <w:t xml:space="preserve">  PÁGINA </w:t>
          </w:r>
          <w:r w:rsidRPr="003F3941" w:rsidR="00FC2B5D">
            <w:rPr>
              <w:rFonts w:ascii="Century Gothic" w:hAnsi="Century Gothic"/>
              <w:b/>
              <w:bCs/>
              <w:sz w:val="16"/>
              <w:szCs w:val="16"/>
            </w:rPr>
            <w:fldChar w:fldCharType="begin"/>
          </w:r>
          <w:r w:rsidRPr="003F3941" w:rsidR="00FC2B5D">
            <w:rPr>
              <w:rFonts w:ascii="Century Gothic" w:hAnsi="Century Gothic"/>
              <w:b/>
              <w:bCs/>
              <w:sz w:val="16"/>
              <w:szCs w:val="16"/>
            </w:rPr>
            <w:instrText>PAGE  \* Arabic  \* MERGEFORMAT</w:instrText>
          </w:r>
          <w:r w:rsidRPr="003F3941" w:rsidR="00FC2B5D">
            <w:rPr>
              <w:rFonts w:ascii="Century Gothic" w:hAnsi="Century Gothic"/>
              <w:b/>
              <w:bCs/>
              <w:sz w:val="16"/>
              <w:szCs w:val="16"/>
            </w:rPr>
            <w:fldChar w:fldCharType="separate"/>
          </w:r>
          <w:r w:rsidRPr="003F3941">
            <w:rPr>
              <w:rFonts w:ascii="Century Gothic" w:hAnsi="Century Gothic"/>
              <w:b/>
              <w:bCs/>
              <w:sz w:val="16"/>
              <w:szCs w:val="16"/>
            </w:rPr>
            <w:t>1</w:t>
          </w:r>
          <w:r w:rsidRPr="003F3941" w:rsidR="00FC2B5D">
            <w:rPr>
              <w:rFonts w:ascii="Century Gothic" w:hAnsi="Century Gothic"/>
              <w:b/>
              <w:bCs/>
              <w:sz w:val="16"/>
              <w:szCs w:val="16"/>
            </w:rPr>
            <w:fldChar w:fldCharType="end"/>
          </w:r>
          <w:r w:rsidRPr="003F3941">
            <w:rPr>
              <w:rFonts w:ascii="Century Gothic" w:hAnsi="Century Gothic"/>
              <w:sz w:val="16"/>
              <w:szCs w:val="16"/>
            </w:rPr>
            <w:t xml:space="preserve"> DE </w:t>
          </w:r>
          <w:r w:rsidRPr="003F3941" w:rsidR="00FC2B5D">
            <w:rPr>
              <w:rFonts w:ascii="Century Gothic" w:hAnsi="Century Gothic"/>
              <w:b/>
              <w:bCs/>
              <w:sz w:val="16"/>
              <w:szCs w:val="16"/>
            </w:rPr>
            <w:fldChar w:fldCharType="begin"/>
          </w:r>
          <w:r w:rsidRPr="003F3941" w:rsidR="00FC2B5D">
            <w:rPr>
              <w:rFonts w:ascii="Century Gothic" w:hAnsi="Century Gothic"/>
              <w:b/>
              <w:bCs/>
              <w:sz w:val="16"/>
              <w:szCs w:val="16"/>
            </w:rPr>
            <w:instrText>NUMPAGES  \* Arabic  \* MERGEFORMAT</w:instrText>
          </w:r>
          <w:r w:rsidRPr="003F3941" w:rsidR="00FC2B5D">
            <w:rPr>
              <w:rFonts w:ascii="Century Gothic" w:hAnsi="Century Gothic"/>
              <w:b/>
              <w:bCs/>
              <w:sz w:val="16"/>
              <w:szCs w:val="16"/>
            </w:rPr>
            <w:fldChar w:fldCharType="separate"/>
          </w:r>
          <w:r w:rsidRPr="003F3941">
            <w:rPr>
              <w:rFonts w:ascii="Century Gothic" w:hAnsi="Century Gothic"/>
              <w:b/>
              <w:bCs/>
              <w:sz w:val="16"/>
              <w:szCs w:val="16"/>
            </w:rPr>
            <w:t>2</w:t>
          </w:r>
          <w:r w:rsidRPr="003F3941" w:rsidR="00FC2B5D">
            <w:rPr>
              <w:rFonts w:ascii="Century Gothic" w:hAnsi="Century Gothic"/>
              <w:b/>
              <w:bCs/>
              <w:sz w:val="16"/>
              <w:szCs w:val="16"/>
            </w:rPr>
            <w:fldChar w:fldCharType="end"/>
          </w:r>
        </w:p>
      </w:tc>
    </w:tr>
  </w:tbl>
  <w:p w:rsidR="006219F8" w:rsidP="003E0499" w:rsidRDefault="006219F8" w14:paraId="744661F5" w14:textId="3FCEADD6">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F204AB" w:rsidP="004A1847" w:rsidRDefault="00F204AB" w14:paraId="5CAD43E8" w14:textId="77777777">
      <w:pPr>
        <w:spacing w:after="0" w:line="240" w:lineRule="auto"/>
      </w:pPr>
      <w:r>
        <w:separator/>
      </w:r>
    </w:p>
  </w:footnote>
  <w:footnote w:type="continuationSeparator" w:id="0">
    <w:p w:rsidR="00F204AB" w:rsidP="004A1847" w:rsidRDefault="00F204AB" w14:paraId="3C93E6EB" w14:textId="77777777">
      <w:pPr>
        <w:spacing w:after="0" w:line="240" w:lineRule="auto"/>
      </w:pPr>
      <w:r>
        <w:continuationSeparator/>
      </w:r>
    </w:p>
  </w:footnote>
  <w:footnote w:type="continuationNotice" w:id="1">
    <w:p w:rsidR="00B5730B" w:rsidRDefault="00B5730B" w14:paraId="7A96D9EC" w14:textId="77777777">
      <w:pPr>
        <w:spacing w:after="0" w:line="240" w:lineRule="auto"/>
      </w:pPr>
    </w:p>
  </w:footnote>
  <w:footnote w:id="2">
    <w:p w:rsidRPr="00262D58" w:rsidR="00C60B22" w:rsidP="00C60B22" w:rsidRDefault="00C60B22" w14:paraId="7A29AF34" w14:textId="77777777">
      <w:pPr>
        <w:pStyle w:val="Textonotapie"/>
        <w:ind w:firstLine="708"/>
        <w:jc w:val="both"/>
        <w:rPr>
          <w:rFonts w:ascii="Arial" w:hAnsi="Arial" w:cs="Arial"/>
          <w:sz w:val="16"/>
          <w:szCs w:val="16"/>
        </w:rPr>
      </w:pPr>
      <w:r w:rsidRPr="00262D58">
        <w:rPr>
          <w:rStyle w:val="Refdenotaalpie"/>
          <w:rFonts w:ascii="Arial" w:hAnsi="Arial" w:cs="Arial"/>
          <w:sz w:val="16"/>
          <w:szCs w:val="16"/>
        </w:rPr>
        <w:footnoteRef/>
      </w:r>
      <w:r w:rsidRPr="00262D58">
        <w:rPr>
          <w:rFonts w:ascii="Arial" w:hAnsi="Arial" w:cs="Arial"/>
          <w:sz w:val="16"/>
          <w:szCs w:val="16"/>
        </w:rPr>
        <w:t xml:space="preserve"> Los conceptos referenciados, así como otros expedidos por la Subdirección se encuentran disponibles para consulta pública en el portal de relatoría de la Agencia, al cual se puede acceder a través del siguiente enlace: </w:t>
      </w:r>
      <w:hyperlink w:history="1" r:id="rId1">
        <w:r w:rsidRPr="00262D58">
          <w:rPr>
            <w:rStyle w:val="Hipervnculo"/>
            <w:rFonts w:ascii="Arial" w:hAnsi="Arial" w:cs="Arial"/>
            <w:sz w:val="16"/>
            <w:szCs w:val="16"/>
          </w:rPr>
          <w:t>https://relatoria.colombiacompra.gov.co/busqueda/conceptos</w:t>
        </w:r>
      </w:hyperlink>
      <w:r w:rsidRPr="00262D58">
        <w:rPr>
          <w:rStyle w:val="Hipervnculo"/>
          <w:rFonts w:ascii="Arial" w:hAnsi="Arial" w:cs="Arial"/>
          <w:sz w:val="16"/>
          <w:szCs w:val="16"/>
        </w:rPr>
        <w:t xml:space="preserve">. </w:t>
      </w:r>
      <w:r w:rsidRPr="00262D58">
        <w:rPr>
          <w:rFonts w:ascii="Arial" w:hAnsi="Arial" w:cs="Arial"/>
          <w:sz w:val="16"/>
          <w:szCs w:val="16"/>
          <w:shd w:val="clear" w:color="auto" w:fill="E6E6E6"/>
        </w:rPr>
        <w:t xml:space="preserve"> </w:t>
      </w:r>
    </w:p>
  </w:footnote>
  <w:footnote w:id="3">
    <w:p w:rsidRPr="00262D58" w:rsidR="00C60B22" w:rsidP="00C60B22" w:rsidRDefault="00C60B22" w14:paraId="2C335806" w14:textId="77777777">
      <w:pPr>
        <w:pStyle w:val="Textonotapie"/>
        <w:ind w:firstLine="709"/>
        <w:contextualSpacing/>
        <w:jc w:val="both"/>
        <w:rPr>
          <w:rFonts w:ascii="Arial" w:hAnsi="Arial" w:cs="Arial"/>
          <w:sz w:val="16"/>
          <w:szCs w:val="16"/>
        </w:rPr>
      </w:pPr>
      <w:r w:rsidRPr="00262D58">
        <w:rPr>
          <w:rStyle w:val="Refdenotaalpie"/>
          <w:rFonts w:ascii="Arial" w:hAnsi="Arial" w:cs="Arial"/>
          <w:sz w:val="16"/>
          <w:szCs w:val="16"/>
        </w:rPr>
        <w:footnoteRef/>
      </w:r>
      <w:r w:rsidRPr="00262D58">
        <w:rPr>
          <w:rFonts w:ascii="Arial" w:hAnsi="Arial"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rsidRPr="00262D58" w:rsidR="00C60B22" w:rsidP="00C60B22" w:rsidRDefault="00C60B22" w14:paraId="48C4BB04" w14:textId="77777777">
      <w:pPr>
        <w:pStyle w:val="Textonotapie"/>
        <w:ind w:firstLine="709"/>
        <w:contextualSpacing/>
        <w:jc w:val="both"/>
        <w:rPr>
          <w:rFonts w:ascii="Arial" w:hAnsi="Arial" w:cs="Arial"/>
          <w:sz w:val="16"/>
          <w:szCs w:val="16"/>
        </w:rPr>
      </w:pPr>
      <w:r w:rsidRPr="00262D58">
        <w:rPr>
          <w:rFonts w:ascii="Arial" w:hAnsi="Arial"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4">
    <w:p w:rsidRPr="00262D58" w:rsidR="00C60B22" w:rsidP="00C60B22" w:rsidRDefault="00C60B22" w14:paraId="3E476451" w14:textId="77777777">
      <w:pPr>
        <w:pStyle w:val="Textonotapie"/>
        <w:ind w:firstLine="709"/>
        <w:contextualSpacing/>
        <w:jc w:val="both"/>
        <w:rPr>
          <w:rFonts w:ascii="Arial" w:hAnsi="Arial" w:cs="Arial"/>
          <w:sz w:val="16"/>
          <w:szCs w:val="16"/>
        </w:rPr>
      </w:pPr>
      <w:r w:rsidRPr="00262D58">
        <w:rPr>
          <w:rStyle w:val="Refdenotaalpie"/>
          <w:rFonts w:ascii="Arial" w:hAnsi="Arial" w:cs="Arial"/>
          <w:sz w:val="16"/>
          <w:szCs w:val="16"/>
        </w:rPr>
        <w:footnoteRef/>
      </w:r>
      <w:r w:rsidRPr="00262D58">
        <w:rPr>
          <w:rFonts w:ascii="Arial" w:hAnsi="Arial" w:cs="Arial"/>
          <w:sz w:val="16"/>
          <w:szCs w:val="16"/>
        </w:rPr>
        <w:t xml:space="preserve"> Gaceta del Congreso de la República No. 71 del 2005.</w:t>
      </w:r>
    </w:p>
  </w:footnote>
  <w:footnote w:id="5">
    <w:p w:rsidR="00C60B22" w:rsidP="00C60B22" w:rsidRDefault="00C60B22" w14:paraId="53E0456D" w14:textId="77777777">
      <w:pPr>
        <w:pStyle w:val="Textonotapie"/>
        <w:ind w:firstLine="709"/>
        <w:contextualSpacing/>
        <w:jc w:val="both"/>
        <w:rPr>
          <w:rFonts w:ascii="Arial" w:hAnsi="Arial" w:cs="Arial"/>
          <w:sz w:val="16"/>
          <w:szCs w:val="16"/>
        </w:rPr>
      </w:pPr>
      <w:r w:rsidRPr="00262D58">
        <w:rPr>
          <w:rStyle w:val="Refdenotaalpie"/>
          <w:rFonts w:ascii="Arial" w:hAnsi="Arial" w:cs="Arial"/>
          <w:sz w:val="16"/>
          <w:szCs w:val="16"/>
        </w:rPr>
        <w:footnoteRef/>
      </w:r>
      <w:r w:rsidRPr="00262D58">
        <w:rPr>
          <w:rFonts w:ascii="Arial" w:hAnsi="Arial" w:cs="Arial"/>
          <w:sz w:val="16"/>
          <w:szCs w:val="16"/>
        </w:rPr>
        <w:t xml:space="preserve"> Corte Constitucional, Sentencia C- 1153 de 2005, M.P. Marco Gerardo Monroy Cabra.</w:t>
      </w:r>
    </w:p>
    <w:p w:rsidRPr="00C744C3" w:rsidR="00C60B22" w:rsidP="00C60B22" w:rsidRDefault="00C60B22" w14:paraId="5DD443CF" w14:textId="77777777">
      <w:pPr>
        <w:pStyle w:val="Textonotapie"/>
        <w:ind w:firstLine="709"/>
        <w:contextualSpacing/>
        <w:jc w:val="both"/>
        <w:rPr>
          <w:rFonts w:ascii="Arial" w:hAnsi="Arial" w:cs="Arial"/>
          <w:sz w:val="16"/>
          <w:szCs w:val="16"/>
        </w:rPr>
      </w:pPr>
    </w:p>
  </w:footnote>
  <w:footnote w:id="6">
    <w:p w:rsidRPr="00C744C3" w:rsidR="00C60B22" w:rsidP="00C60B22" w:rsidRDefault="00C60B22" w14:paraId="333A348A" w14:textId="77777777">
      <w:pPr>
        <w:pStyle w:val="Textonotapie"/>
        <w:ind w:firstLine="709"/>
        <w:contextualSpacing/>
        <w:jc w:val="both"/>
        <w:rPr>
          <w:rFonts w:ascii="Arial" w:hAnsi="Arial" w:cs="Arial"/>
          <w:sz w:val="16"/>
          <w:szCs w:val="16"/>
        </w:rPr>
      </w:pPr>
      <w:r w:rsidRPr="00262D58">
        <w:rPr>
          <w:rStyle w:val="Refdenotaalpie"/>
          <w:rFonts w:ascii="Arial" w:hAnsi="Arial" w:cs="Arial"/>
          <w:sz w:val="16"/>
          <w:szCs w:val="16"/>
        </w:rPr>
        <w:footnoteRef/>
      </w:r>
      <w:r w:rsidRPr="00262D58">
        <w:rPr>
          <w:rFonts w:ascii="Arial" w:hAnsi="Arial" w:cs="Arial"/>
          <w:sz w:val="16"/>
          <w:szCs w:val="16"/>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7">
    <w:p w:rsidRPr="00C744C3" w:rsidR="00C60B22" w:rsidP="00C60B22" w:rsidRDefault="00C60B22" w14:paraId="5AFE71E4" w14:textId="77777777">
      <w:pPr>
        <w:pStyle w:val="Textonotapie"/>
        <w:ind w:firstLine="709"/>
        <w:contextualSpacing/>
        <w:jc w:val="both"/>
        <w:rPr>
          <w:rFonts w:ascii="Arial" w:hAnsi="Arial" w:cs="Arial"/>
          <w:sz w:val="16"/>
          <w:szCs w:val="16"/>
          <w:lang w:val="es-CO"/>
        </w:rPr>
      </w:pPr>
      <w:r w:rsidRPr="00262D58">
        <w:rPr>
          <w:rStyle w:val="Refdenotaalpie"/>
          <w:rFonts w:ascii="Arial" w:hAnsi="Arial" w:cs="Arial"/>
          <w:sz w:val="16"/>
          <w:szCs w:val="16"/>
        </w:rPr>
        <w:footnoteRef/>
      </w:r>
      <w:r w:rsidRPr="00262D58">
        <w:rPr>
          <w:rFonts w:ascii="Arial" w:hAnsi="Arial"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8">
    <w:p w:rsidRPr="00C744C3" w:rsidR="00C60B22" w:rsidP="00C60B22" w:rsidRDefault="00C60B22" w14:paraId="6E6416E9" w14:textId="77777777">
      <w:pPr>
        <w:pStyle w:val="Textonotapie"/>
        <w:ind w:firstLine="709"/>
        <w:contextualSpacing/>
        <w:jc w:val="both"/>
        <w:rPr>
          <w:rFonts w:ascii="Arial" w:hAnsi="Arial" w:cs="Arial"/>
          <w:sz w:val="16"/>
          <w:szCs w:val="16"/>
        </w:rPr>
      </w:pPr>
      <w:r w:rsidRPr="00262D58">
        <w:rPr>
          <w:rStyle w:val="Refdenotaalpie"/>
          <w:rFonts w:ascii="Arial" w:hAnsi="Arial" w:cs="Arial"/>
          <w:sz w:val="16"/>
          <w:szCs w:val="16"/>
        </w:rPr>
        <w:footnoteRef/>
      </w:r>
      <w:r w:rsidRPr="00262D58">
        <w:rPr>
          <w:rFonts w:ascii="Arial" w:hAnsi="Arial" w:cs="Arial"/>
          <w:sz w:val="16"/>
          <w:szCs w:val="16"/>
        </w:rPr>
        <w:t xml:space="preserve"> Consejo de Estado, Sala de Consulta y Servicio Civil de fecha 24 de julio de 2013, radicado 2166, Consejero Ponente: Álvaro </w:t>
      </w:r>
      <w:proofErr w:type="spellStart"/>
      <w:r w:rsidRPr="00262D58">
        <w:rPr>
          <w:rFonts w:ascii="Arial" w:hAnsi="Arial" w:cs="Arial"/>
          <w:sz w:val="16"/>
          <w:szCs w:val="16"/>
        </w:rPr>
        <w:t>Namén</w:t>
      </w:r>
      <w:proofErr w:type="spellEnd"/>
      <w:r w:rsidRPr="00262D58">
        <w:rPr>
          <w:rFonts w:ascii="Arial" w:hAnsi="Arial" w:cs="Arial"/>
          <w:sz w:val="16"/>
          <w:szCs w:val="16"/>
        </w:rPr>
        <w:t xml:space="preserve"> Vargas.  </w:t>
      </w:r>
    </w:p>
  </w:footnote>
  <w:footnote w:id="9">
    <w:p w:rsidRPr="00262D58" w:rsidR="00C60B22" w:rsidP="00C60B22" w:rsidRDefault="00C60B22" w14:paraId="10CFD5BE" w14:textId="77777777">
      <w:pPr>
        <w:spacing w:after="0" w:line="240" w:lineRule="auto"/>
        <w:ind w:firstLine="709"/>
        <w:contextualSpacing/>
        <w:jc w:val="both"/>
        <w:rPr>
          <w:rFonts w:ascii="Arial" w:hAnsi="Arial" w:eastAsia="Times New Roman" w:cs="Arial"/>
          <w:sz w:val="16"/>
          <w:szCs w:val="16"/>
        </w:rPr>
      </w:pPr>
      <w:r w:rsidRPr="00262D58">
        <w:rPr>
          <w:rStyle w:val="Refdenotaalpie"/>
          <w:rFonts w:ascii="Arial" w:hAnsi="Arial" w:cs="Arial"/>
          <w:sz w:val="16"/>
          <w:szCs w:val="16"/>
        </w:rPr>
        <w:footnoteRef/>
      </w:r>
      <w:r w:rsidRPr="00262D58">
        <w:rPr>
          <w:rFonts w:ascii="Arial" w:hAnsi="Arial" w:cs="Arial"/>
          <w:sz w:val="16"/>
          <w:szCs w:val="16"/>
        </w:rPr>
        <w:t xml:space="preserve"> </w:t>
      </w:r>
      <w:bookmarkStart w:name="33" w:id="12"/>
      <w:r w:rsidRPr="00262D58">
        <w:rPr>
          <w:rFonts w:ascii="Arial" w:hAnsi="Arial" w:eastAsia="Calibri" w:cs="Arial"/>
          <w:color w:val="000000"/>
          <w:sz w:val="16"/>
          <w:szCs w:val="16"/>
        </w:rPr>
        <w:t>“</w:t>
      </w:r>
      <w:r w:rsidRPr="00262D58">
        <w:rPr>
          <w:rFonts w:ascii="Arial" w:hAnsi="Arial" w:eastAsia="Times New Roman" w:cs="Arial"/>
          <w:sz w:val="16"/>
          <w:szCs w:val="16"/>
        </w:rPr>
        <w:t>Artículo 33. Restricciones a la contratación pública.</w:t>
      </w:r>
      <w:bookmarkEnd w:id="12"/>
      <w:r w:rsidRPr="00262D58">
        <w:rPr>
          <w:rFonts w:ascii="Arial" w:hAnsi="Arial" w:eastAsia="Times New Roman" w:cs="Arial"/>
          <w:sz w:val="16"/>
          <w:szCs w:val="16"/>
        </w:rPr>
        <w:t> Durante los cuatro (4) meses anteriores a la elección presidencial y hasta la realización de la elección en la segunda vuelta, si fuere el caso, queda prohibida la contratación directa por parte de todos los entes del Estado.</w:t>
      </w:r>
    </w:p>
    <w:p w:rsidRPr="00262D58" w:rsidR="00C60B22" w:rsidP="00C60B22" w:rsidRDefault="00C60B22" w14:paraId="10479F7C" w14:textId="77777777">
      <w:pPr>
        <w:spacing w:after="0" w:line="240" w:lineRule="auto"/>
        <w:ind w:firstLine="709"/>
        <w:contextualSpacing/>
        <w:jc w:val="both"/>
        <w:rPr>
          <w:rFonts w:ascii="Arial" w:hAnsi="Arial" w:eastAsia="Times New Roman" w:cs="Arial"/>
          <w:sz w:val="16"/>
          <w:szCs w:val="16"/>
        </w:rPr>
      </w:pPr>
      <w:r w:rsidRPr="00262D58">
        <w:rPr>
          <w:rFonts w:ascii="Arial" w:hAnsi="Arial" w:eastAsia="Times New Roman"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262D58">
        <w:rPr>
          <w:rFonts w:ascii="Arial" w:hAnsi="Arial" w:eastAsia="Calibri" w:cs="Arial"/>
          <w:color w:val="000000"/>
          <w:sz w:val="16"/>
          <w:szCs w:val="16"/>
        </w:rPr>
        <w:t>”</w:t>
      </w:r>
      <w:r w:rsidRPr="00262D58">
        <w:rPr>
          <w:rFonts w:ascii="Arial" w:hAnsi="Arial" w:eastAsia="Times New Roman" w:cs="Arial"/>
          <w:sz w:val="16"/>
          <w:szCs w:val="16"/>
        </w:rPr>
        <w:t>.</w:t>
      </w:r>
    </w:p>
  </w:footnote>
  <w:footnote w:id="10">
    <w:p w:rsidRPr="00262D58" w:rsidR="00C60B22" w:rsidP="00C60B22" w:rsidRDefault="00C60B22" w14:paraId="26BE1A23" w14:textId="77777777">
      <w:pPr>
        <w:pStyle w:val="NormalWeb"/>
        <w:spacing w:before="0" w:beforeAutospacing="0" w:after="0" w:afterAutospacing="0"/>
        <w:ind w:firstLine="709"/>
        <w:contextualSpacing/>
        <w:jc w:val="both"/>
        <w:rPr>
          <w:rFonts w:ascii="Arial" w:hAnsi="Arial" w:cs="Arial"/>
          <w:sz w:val="16"/>
          <w:szCs w:val="16"/>
          <w:lang w:val="es-MX"/>
        </w:rPr>
      </w:pPr>
      <w:r w:rsidRPr="00262D58">
        <w:rPr>
          <w:rStyle w:val="Refdenotaalpie"/>
          <w:rFonts w:ascii="Arial" w:hAnsi="Arial" w:cs="Arial"/>
          <w:sz w:val="16"/>
          <w:szCs w:val="16"/>
        </w:rPr>
        <w:footnoteRef/>
      </w:r>
      <w:r w:rsidRPr="00262D58">
        <w:rPr>
          <w:rFonts w:ascii="Arial" w:hAnsi="Arial" w:cs="Arial"/>
          <w:sz w:val="16"/>
          <w:szCs w:val="16"/>
        </w:rPr>
        <w:t xml:space="preserve"> </w:t>
      </w:r>
      <w:bookmarkStart w:name="38" w:id="13"/>
      <w:r w:rsidRPr="00262D58">
        <w:rPr>
          <w:rFonts w:ascii="Arial" w:hAnsi="Arial" w:eastAsia="Calibri" w:cs="Arial"/>
          <w:color w:val="000000"/>
          <w:sz w:val="16"/>
          <w:szCs w:val="16"/>
        </w:rPr>
        <w:t>“</w:t>
      </w:r>
      <w:r w:rsidRPr="00262D58">
        <w:rPr>
          <w:rFonts w:ascii="Arial" w:hAnsi="Arial" w:cs="Arial"/>
          <w:sz w:val="16"/>
          <w:szCs w:val="16"/>
          <w:lang w:val="es-MX"/>
        </w:rPr>
        <w:t>Artículo 38. Prohibiciones para los servidores públicos. A los empleados del Estado les está prohibido:</w:t>
      </w:r>
      <w:bookmarkEnd w:id="13"/>
    </w:p>
    <w:p w:rsidRPr="00262D58" w:rsidR="00C60B22" w:rsidP="00C60B22" w:rsidRDefault="00C60B22" w14:paraId="65FD6C22" w14:textId="77777777">
      <w:pPr>
        <w:pStyle w:val="NormalWeb"/>
        <w:spacing w:before="0" w:beforeAutospacing="0" w:after="0" w:afterAutospacing="0"/>
        <w:ind w:firstLine="709"/>
        <w:contextualSpacing/>
        <w:jc w:val="both"/>
        <w:rPr>
          <w:rFonts w:ascii="Arial" w:hAnsi="Arial" w:cs="Arial"/>
          <w:sz w:val="16"/>
          <w:szCs w:val="16"/>
          <w:lang w:val="es-MX"/>
        </w:rPr>
      </w:pPr>
      <w:r w:rsidRPr="00262D58">
        <w:rPr>
          <w:rFonts w:ascii="Arial" w:hAnsi="Arial" w:cs="Arial"/>
          <w:sz w:val="16"/>
          <w:szCs w:val="16"/>
          <w:lang w:val="es-MX"/>
        </w:rPr>
        <w:t>[…]</w:t>
      </w:r>
    </w:p>
    <w:p w:rsidRPr="00262D58" w:rsidR="00C60B22" w:rsidP="00C60B22" w:rsidRDefault="00C60B22" w14:paraId="462A2FC4" w14:textId="77777777">
      <w:pPr>
        <w:pStyle w:val="NormalWeb"/>
        <w:spacing w:before="0" w:beforeAutospacing="0" w:after="0" w:afterAutospacing="0"/>
        <w:ind w:firstLine="709"/>
        <w:contextualSpacing/>
        <w:jc w:val="both"/>
        <w:rPr>
          <w:rFonts w:ascii="Arial" w:hAnsi="Arial" w:cs="Arial"/>
          <w:sz w:val="16"/>
          <w:szCs w:val="16"/>
          <w:lang w:val="es-MX"/>
        </w:rPr>
      </w:pPr>
      <w:r w:rsidRPr="00262D58">
        <w:rPr>
          <w:rStyle w:val="baj"/>
          <w:rFonts w:ascii="Arial" w:hAnsi="Arial" w:cs="Arial"/>
          <w:sz w:val="16"/>
          <w:szCs w:val="16"/>
          <w:lang w:val="es-MX"/>
        </w:rPr>
        <w:t>Parágrafo.</w:t>
      </w:r>
      <w:r w:rsidRPr="00262D58">
        <w:rPr>
          <w:rFonts w:ascii="Arial" w:hAnsi="Arial"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262D58">
        <w:rPr>
          <w:rFonts w:ascii="Arial" w:hAnsi="Arial" w:eastAsia="Calibri" w:cs="Arial"/>
          <w:color w:val="000000"/>
          <w:sz w:val="16"/>
          <w:szCs w:val="16"/>
        </w:rPr>
        <w:t>”</w:t>
      </w:r>
      <w:r w:rsidRPr="00262D58">
        <w:rPr>
          <w:rFonts w:ascii="Arial" w:hAnsi="Arial" w:cs="Arial"/>
          <w:sz w:val="16"/>
          <w:szCs w:val="16"/>
          <w:lang w:val="es-MX"/>
        </w:rPr>
        <w:t>.</w:t>
      </w:r>
    </w:p>
  </w:footnote>
  <w:footnote w:id="11">
    <w:p w:rsidRPr="00262D58" w:rsidR="00C60B22" w:rsidP="00C60B22" w:rsidRDefault="00C60B22" w14:paraId="5B773CC1" w14:textId="77777777">
      <w:pPr>
        <w:spacing w:after="0" w:line="240" w:lineRule="auto"/>
        <w:ind w:left="100" w:right="244" w:firstLine="709"/>
        <w:contextualSpacing/>
        <w:jc w:val="both"/>
        <w:rPr>
          <w:rFonts w:ascii="Arial" w:hAnsi="Arial" w:cs="Arial"/>
          <w:sz w:val="16"/>
          <w:szCs w:val="16"/>
          <w:lang w:val="es-ES"/>
        </w:rPr>
      </w:pPr>
      <w:r w:rsidRPr="00262D58">
        <w:rPr>
          <w:rStyle w:val="Refdenotaalpie"/>
          <w:rFonts w:ascii="Arial" w:hAnsi="Arial" w:cs="Arial"/>
          <w:sz w:val="16"/>
          <w:szCs w:val="16"/>
        </w:rPr>
        <w:footnoteRef/>
      </w:r>
      <w:r w:rsidRPr="00262D58">
        <w:rPr>
          <w:rFonts w:ascii="Arial" w:hAnsi="Arial" w:cs="Arial"/>
          <w:sz w:val="16"/>
          <w:szCs w:val="16"/>
        </w:rPr>
        <w:t xml:space="preserve"> Consejo de Estado. Sala de Consulta y Servicio Civil. Concepto del 17 de febrero de 2015. C.P. William Zambrano Cetina. Radicación No. 11001-03-06-000-2015-00164-00(2269).</w:t>
      </w:r>
    </w:p>
  </w:footnote>
  <w:footnote w:id="12">
    <w:p w:rsidRPr="00262D58" w:rsidR="00C60B22" w:rsidP="00C60B22" w:rsidRDefault="00C60B22" w14:paraId="0862AE0E" w14:textId="77777777">
      <w:pPr>
        <w:pStyle w:val="Textonotapie"/>
        <w:ind w:right="51" w:firstLine="709"/>
        <w:contextualSpacing/>
        <w:jc w:val="both"/>
        <w:rPr>
          <w:rFonts w:ascii="Arial" w:hAnsi="Arial" w:cs="Arial"/>
          <w:sz w:val="16"/>
          <w:szCs w:val="16"/>
        </w:rPr>
      </w:pPr>
      <w:r w:rsidRPr="00262D58">
        <w:rPr>
          <w:rStyle w:val="Refdenotaalpie"/>
          <w:rFonts w:ascii="Arial" w:hAnsi="Arial" w:cs="Arial"/>
          <w:sz w:val="16"/>
          <w:szCs w:val="16"/>
        </w:rPr>
        <w:footnoteRef/>
      </w:r>
      <w:r w:rsidRPr="00262D58">
        <w:rPr>
          <w:rFonts w:ascii="Arial" w:hAnsi="Arial" w:cs="Arial"/>
          <w:sz w:val="16"/>
          <w:szCs w:val="16"/>
        </w:rPr>
        <w:t xml:space="preserve"> “</w:t>
      </w:r>
      <w:r w:rsidRPr="00262D58">
        <w:rPr>
          <w:rFonts w:ascii="Arial" w:hAnsi="Arial" w:cs="Arial"/>
          <w:sz w:val="16"/>
          <w:szCs w:val="16"/>
          <w:lang w:val="es-ES"/>
        </w:rPr>
        <w:t xml:space="preserve">[25] </w:t>
      </w:r>
      <w:r w:rsidRPr="00262D58">
        <w:rPr>
          <w:rFonts w:ascii="Arial" w:hAnsi="Arial" w:cs="Arial"/>
          <w:sz w:val="16"/>
          <w:szCs w:val="16"/>
        </w:rPr>
        <w:t>Cfr. Consejo de Estado. Sección Tercera. Sentencia de 3 de diciembre de 2007. Radicados: 24.715, 25.206, 25.409, 24.524, 27.834, 25.410, 26.105, 28.244, 31.447 -acumulados-”.</w:t>
      </w:r>
    </w:p>
  </w:footnote>
  <w:footnote w:id="13">
    <w:p w:rsidRPr="00262D58" w:rsidR="00C60B22" w:rsidP="00C60B22" w:rsidRDefault="00C60B22" w14:paraId="4CBBFED1" w14:textId="77777777">
      <w:pPr>
        <w:pStyle w:val="Textonotapie"/>
        <w:ind w:right="51" w:firstLine="709"/>
        <w:contextualSpacing/>
        <w:jc w:val="both"/>
        <w:rPr>
          <w:rFonts w:ascii="Arial" w:hAnsi="Arial" w:cs="Arial"/>
          <w:sz w:val="16"/>
          <w:szCs w:val="16"/>
        </w:rPr>
      </w:pPr>
      <w:r w:rsidRPr="00262D58">
        <w:rPr>
          <w:rStyle w:val="Refdenotaalpie"/>
          <w:rFonts w:ascii="Arial" w:hAnsi="Arial" w:cs="Arial"/>
          <w:sz w:val="16"/>
          <w:szCs w:val="16"/>
        </w:rPr>
        <w:footnoteRef/>
      </w:r>
      <w:r w:rsidRPr="00262D58">
        <w:rPr>
          <w:rFonts w:ascii="Arial" w:hAnsi="Arial" w:cs="Arial"/>
          <w:sz w:val="16"/>
          <w:szCs w:val="16"/>
        </w:rPr>
        <w:t xml:space="preserve"> </w:t>
      </w:r>
      <w:bookmarkStart w:name="_Hlk74294506" w:id="20"/>
      <w:r w:rsidRPr="00262D58">
        <w:rPr>
          <w:rFonts w:ascii="Arial" w:hAnsi="Arial" w:cs="Arial"/>
          <w:sz w:val="16"/>
          <w:szCs w:val="16"/>
        </w:rPr>
        <w:t>“</w:t>
      </w:r>
      <w:r w:rsidRPr="00262D58">
        <w:rPr>
          <w:rFonts w:ascii="Arial" w:hAnsi="Arial" w:cs="Arial"/>
          <w:sz w:val="16"/>
          <w:szCs w:val="16"/>
          <w:lang w:val="es-ES"/>
        </w:rPr>
        <w:t xml:space="preserve">[26] </w:t>
      </w:r>
      <w:bookmarkEnd w:id="20"/>
      <w:r w:rsidRPr="00262D58">
        <w:rPr>
          <w:rFonts w:ascii="Arial" w:hAnsi="Arial" w:cs="Arial"/>
          <w:sz w:val="16"/>
          <w:szCs w:val="16"/>
        </w:rPr>
        <w:t>Al respecto ver el concepto 1712 de 2 de febrero de 2006. Consejo de Estado Sala de Consulta y Servicio Civil”.</w:t>
      </w:r>
    </w:p>
  </w:footnote>
  <w:footnote w:id="14">
    <w:p w:rsidRPr="00262D58" w:rsidR="00C60B22" w:rsidP="00C60B22" w:rsidRDefault="00C60B22" w14:paraId="632B6673" w14:textId="77777777">
      <w:pPr>
        <w:pStyle w:val="Textonotapie"/>
        <w:ind w:firstLine="709"/>
        <w:contextualSpacing/>
        <w:jc w:val="both"/>
        <w:rPr>
          <w:rFonts w:ascii="Arial" w:hAnsi="Arial" w:cs="Arial"/>
          <w:sz w:val="16"/>
          <w:szCs w:val="16"/>
        </w:rPr>
      </w:pPr>
      <w:r w:rsidRPr="00262D58">
        <w:rPr>
          <w:rStyle w:val="Refdenotaalpie"/>
          <w:rFonts w:ascii="Arial" w:hAnsi="Arial" w:cs="Arial"/>
          <w:sz w:val="16"/>
          <w:szCs w:val="16"/>
        </w:rPr>
        <w:footnoteRef/>
      </w:r>
      <w:r w:rsidRPr="00262D58">
        <w:rPr>
          <w:rFonts w:ascii="Arial" w:hAnsi="Arial" w:cs="Arial"/>
          <w:sz w:val="16"/>
          <w:szCs w:val="16"/>
        </w:rPr>
        <w:t xml:space="preserve"> Consejo de Estado. Sala de Consulta y Servicio Civil. Concepto del 2 de septiembre de 2013. Radicación número: 11001-03-06-000-2013-00412-00 (2168). Consejero Ponente: Álvaro </w:t>
      </w:r>
      <w:proofErr w:type="spellStart"/>
      <w:r w:rsidRPr="00262D58">
        <w:rPr>
          <w:rFonts w:ascii="Arial" w:hAnsi="Arial" w:cs="Arial"/>
          <w:sz w:val="16"/>
          <w:szCs w:val="16"/>
        </w:rPr>
        <w:t>Namén</w:t>
      </w:r>
      <w:proofErr w:type="spellEnd"/>
      <w:r w:rsidRPr="00262D58">
        <w:rPr>
          <w:rFonts w:ascii="Arial" w:hAnsi="Arial" w:cs="Arial"/>
          <w:sz w:val="16"/>
          <w:szCs w:val="16"/>
        </w:rPr>
        <w:t xml:space="preserve"> Vargas.</w:t>
      </w:r>
    </w:p>
  </w:footnote>
  <w:footnote w:id="15">
    <w:p w:rsidRPr="00262D58" w:rsidR="00C60B22" w:rsidP="00C60B22" w:rsidRDefault="00C60B22" w14:paraId="13063168" w14:textId="77777777">
      <w:pPr>
        <w:pStyle w:val="Textonotapie"/>
        <w:ind w:firstLine="709"/>
        <w:contextualSpacing/>
        <w:jc w:val="both"/>
        <w:rPr>
          <w:rFonts w:ascii="Arial" w:hAnsi="Arial" w:cs="Arial"/>
          <w:sz w:val="16"/>
          <w:szCs w:val="16"/>
          <w:lang w:val="es-ES"/>
        </w:rPr>
      </w:pPr>
      <w:r w:rsidRPr="00262D58">
        <w:rPr>
          <w:rStyle w:val="Refdenotaalpie"/>
          <w:rFonts w:ascii="Arial" w:hAnsi="Arial" w:cs="Arial"/>
          <w:sz w:val="16"/>
          <w:szCs w:val="16"/>
        </w:rPr>
        <w:footnoteRef/>
      </w:r>
      <w:r w:rsidRPr="00262D58">
        <w:rPr>
          <w:rFonts w:ascii="Arial" w:hAnsi="Arial" w:cs="Arial"/>
          <w:sz w:val="16"/>
          <w:szCs w:val="16"/>
        </w:rPr>
        <w:t xml:space="preserve"> </w:t>
      </w:r>
      <w:r w:rsidRPr="00262D58">
        <w:rPr>
          <w:rFonts w:ascii="Arial" w:hAnsi="Arial" w:cs="Arial"/>
          <w:sz w:val="16"/>
          <w:szCs w:val="16"/>
          <w:lang w:val="es-ES"/>
        </w:rPr>
        <w:t xml:space="preserve">Artículo 2. </w:t>
      </w:r>
    </w:p>
  </w:footnote>
  <w:footnote w:id="16">
    <w:p w:rsidRPr="00262D58" w:rsidR="00C60B22" w:rsidP="00C60B22" w:rsidRDefault="00C60B22" w14:paraId="6FA21E46" w14:textId="77777777">
      <w:pPr>
        <w:pStyle w:val="Textonotapie"/>
        <w:ind w:firstLine="709"/>
        <w:contextualSpacing/>
        <w:jc w:val="both"/>
        <w:rPr>
          <w:rFonts w:ascii="Arial" w:hAnsi="Arial" w:cs="Arial"/>
          <w:sz w:val="16"/>
          <w:szCs w:val="16"/>
          <w:lang w:val="es-ES"/>
        </w:rPr>
      </w:pPr>
      <w:r w:rsidRPr="00262D58">
        <w:rPr>
          <w:rStyle w:val="Refdenotaalpie"/>
          <w:rFonts w:ascii="Arial" w:hAnsi="Arial" w:cs="Arial"/>
          <w:sz w:val="16"/>
          <w:szCs w:val="16"/>
        </w:rPr>
        <w:footnoteRef/>
      </w:r>
      <w:r w:rsidRPr="00262D58">
        <w:rPr>
          <w:rFonts w:ascii="Arial" w:hAnsi="Arial" w:cs="Arial"/>
          <w:sz w:val="16"/>
          <w:szCs w:val="16"/>
        </w:rPr>
        <w:t xml:space="preserve"> </w:t>
      </w:r>
      <w:r w:rsidRPr="00262D58">
        <w:rPr>
          <w:rFonts w:ascii="Arial" w:hAnsi="Arial" w:cs="Arial"/>
          <w:i/>
          <w:sz w:val="16"/>
          <w:szCs w:val="16"/>
          <w:lang w:val="es-ES"/>
        </w:rPr>
        <w:t>Ídem</w:t>
      </w:r>
      <w:r w:rsidRPr="00262D58">
        <w:rPr>
          <w:rFonts w:ascii="Arial" w:hAnsi="Arial" w:cs="Arial"/>
          <w:sz w:val="16"/>
          <w:szCs w:val="16"/>
          <w:lang w:val="es-ES"/>
        </w:rPr>
        <w:t>.</w:t>
      </w:r>
    </w:p>
  </w:footnote>
  <w:footnote w:id="17">
    <w:p w:rsidRPr="00262D58" w:rsidR="00C60B22" w:rsidP="00C60B22" w:rsidRDefault="00C60B22" w14:paraId="397045D0" w14:textId="77777777">
      <w:pPr>
        <w:pStyle w:val="Textonotapie"/>
        <w:ind w:firstLine="709"/>
        <w:contextualSpacing/>
        <w:jc w:val="both"/>
        <w:rPr>
          <w:rFonts w:ascii="Arial" w:hAnsi="Arial" w:cs="Arial"/>
          <w:sz w:val="16"/>
          <w:szCs w:val="16"/>
          <w:lang w:val="es-ES"/>
        </w:rPr>
      </w:pPr>
      <w:r w:rsidRPr="00262D58">
        <w:rPr>
          <w:rStyle w:val="Refdenotaalpie"/>
          <w:rFonts w:ascii="Arial" w:hAnsi="Arial" w:cs="Arial"/>
          <w:sz w:val="16"/>
          <w:szCs w:val="16"/>
        </w:rPr>
        <w:footnoteRef/>
      </w:r>
      <w:r w:rsidRPr="00262D58">
        <w:rPr>
          <w:rStyle w:val="Refdenotaalpie"/>
          <w:rFonts w:ascii="Arial" w:hAnsi="Arial" w:cs="Arial"/>
          <w:sz w:val="16"/>
          <w:szCs w:val="16"/>
        </w:rPr>
        <w:t xml:space="preserve"> </w:t>
      </w:r>
      <w:r w:rsidRPr="00262D58">
        <w:rPr>
          <w:rFonts w:ascii="Arial" w:hAnsi="Arial" w:cs="Arial"/>
          <w:sz w:val="16"/>
          <w:szCs w:val="16"/>
          <w:lang w:val="es-ES"/>
        </w:rPr>
        <w:t xml:space="preserve">“[…] A este respecto, cabe recordar que el artículo 860 del Código de Comercio regula la licitación en el derecho privado”. </w:t>
      </w:r>
    </w:p>
  </w:footnote>
  <w:footnote w:id="18">
    <w:p w:rsidRPr="00262D58" w:rsidR="00C60B22" w:rsidP="00C60B22" w:rsidRDefault="00C60B22" w14:paraId="23330312" w14:textId="77777777">
      <w:pPr>
        <w:shd w:val="clear" w:color="auto" w:fill="FFFFFF"/>
        <w:spacing w:after="0" w:line="240" w:lineRule="auto"/>
        <w:ind w:firstLine="709"/>
        <w:contextualSpacing/>
        <w:jc w:val="both"/>
        <w:rPr>
          <w:rFonts w:ascii="Arial" w:hAnsi="Arial" w:cs="Arial"/>
          <w:sz w:val="16"/>
          <w:szCs w:val="16"/>
          <w:lang w:val="es-ES"/>
        </w:rPr>
      </w:pPr>
      <w:r w:rsidRPr="00262D58">
        <w:rPr>
          <w:rStyle w:val="Refdenotaalpie"/>
          <w:rFonts w:ascii="Arial" w:hAnsi="Arial" w:cs="Arial"/>
          <w:sz w:val="16"/>
          <w:szCs w:val="16"/>
        </w:rPr>
        <w:footnoteRef/>
      </w:r>
      <w:r w:rsidRPr="00262D58">
        <w:rPr>
          <w:rStyle w:val="Refdenotaalpie"/>
          <w:rFonts w:ascii="Arial" w:hAnsi="Arial" w:cs="Arial"/>
          <w:sz w:val="16"/>
          <w:szCs w:val="16"/>
        </w:rPr>
        <w:t xml:space="preserve"> </w:t>
      </w:r>
      <w:r w:rsidRPr="00262D58">
        <w:rPr>
          <w:rFonts w:ascii="Arial" w:hAnsi="Arial" w:cs="Arial"/>
          <w:sz w:val="16"/>
          <w:szCs w:val="16"/>
          <w:lang w:val="es-ES"/>
        </w:rPr>
        <w:t xml:space="preserve">Consejo de Estado. Sala de Consulta y Servicio Civil, Concepto de 8 de mayo de 2018. Radicación Número: 11001-03-06-000-2018-00095-00(2382). Consejero Ponente: Álvaro </w:t>
      </w:r>
      <w:proofErr w:type="spellStart"/>
      <w:r w:rsidRPr="00262D58">
        <w:rPr>
          <w:rFonts w:ascii="Arial" w:hAnsi="Arial" w:cs="Arial"/>
          <w:sz w:val="16"/>
          <w:szCs w:val="16"/>
          <w:lang w:val="es-ES"/>
        </w:rPr>
        <w:t>Namén</w:t>
      </w:r>
      <w:proofErr w:type="spellEnd"/>
      <w:r w:rsidRPr="00262D58">
        <w:rPr>
          <w:rFonts w:ascii="Arial" w:hAnsi="Arial" w:cs="Arial"/>
          <w:sz w:val="16"/>
          <w:szCs w:val="16"/>
          <w:lang w:val="es-ES"/>
        </w:rPr>
        <w:t xml:space="preserve"> Vargas.</w:t>
      </w:r>
    </w:p>
  </w:footnote>
  <w:footnote w:id="19">
    <w:p w:rsidRPr="00262D58" w:rsidR="00C60B22" w:rsidP="00C60B22" w:rsidRDefault="00C60B22" w14:paraId="7709A074" w14:textId="77777777">
      <w:pPr>
        <w:pStyle w:val="Textonotapie"/>
        <w:ind w:firstLine="709"/>
        <w:contextualSpacing/>
        <w:jc w:val="both"/>
        <w:rPr>
          <w:rFonts w:ascii="Arial" w:hAnsi="Arial" w:cs="Arial"/>
          <w:sz w:val="16"/>
          <w:szCs w:val="16"/>
        </w:rPr>
      </w:pPr>
      <w:r w:rsidRPr="00262D58">
        <w:rPr>
          <w:rStyle w:val="Refdenotaalpie"/>
          <w:rFonts w:ascii="Arial" w:hAnsi="Arial" w:cs="Arial"/>
          <w:sz w:val="16"/>
          <w:szCs w:val="16"/>
        </w:rPr>
        <w:footnoteRef/>
      </w:r>
      <w:r w:rsidRPr="00262D58">
        <w:rPr>
          <w:rFonts w:ascii="Arial" w:hAnsi="Arial" w:cs="Arial"/>
          <w:sz w:val="16"/>
          <w:szCs w:val="16"/>
        </w:rPr>
        <w:t xml:space="preserve"> Consejo de Estado. Sala de Consulta y Servicio Civil. Concepto del 08 de mayo de 2018. </w:t>
      </w:r>
      <w:proofErr w:type="spellStart"/>
      <w:r w:rsidRPr="00262D58">
        <w:rPr>
          <w:rFonts w:ascii="Arial" w:hAnsi="Arial" w:cs="Arial"/>
          <w:sz w:val="16"/>
          <w:szCs w:val="16"/>
        </w:rPr>
        <w:t>Exp</w:t>
      </w:r>
      <w:proofErr w:type="spellEnd"/>
      <w:r w:rsidRPr="00262D58">
        <w:rPr>
          <w:rFonts w:ascii="Arial" w:hAnsi="Arial" w:cs="Arial"/>
          <w:sz w:val="16"/>
          <w:szCs w:val="16"/>
        </w:rPr>
        <w:t xml:space="preserve">. 2.382. C.P. Álvaro </w:t>
      </w:r>
      <w:proofErr w:type="spellStart"/>
      <w:r w:rsidRPr="00262D58">
        <w:rPr>
          <w:rFonts w:ascii="Arial" w:hAnsi="Arial" w:cs="Arial"/>
          <w:sz w:val="16"/>
          <w:szCs w:val="16"/>
        </w:rPr>
        <w:t>Namén</w:t>
      </w:r>
      <w:proofErr w:type="spellEnd"/>
      <w:r w:rsidRPr="00262D58">
        <w:rPr>
          <w:rFonts w:ascii="Arial" w:hAnsi="Arial" w:cs="Arial"/>
          <w:sz w:val="16"/>
          <w:szCs w:val="16"/>
        </w:rPr>
        <w:t xml:space="preserve"> Vargas.</w:t>
      </w:r>
    </w:p>
  </w:footnote>
  <w:footnote w:id="20">
    <w:p w:rsidRPr="00262D58" w:rsidR="00C60B22" w:rsidP="00C60B22" w:rsidRDefault="00C60B22" w14:paraId="475D76F4" w14:textId="77777777">
      <w:pPr>
        <w:pStyle w:val="Textonotapie"/>
        <w:ind w:firstLine="709"/>
        <w:contextualSpacing/>
        <w:jc w:val="both"/>
        <w:rPr>
          <w:rFonts w:ascii="Arial" w:hAnsi="Arial" w:cs="Arial"/>
          <w:sz w:val="16"/>
          <w:szCs w:val="16"/>
        </w:rPr>
      </w:pPr>
      <w:r w:rsidRPr="00262D58">
        <w:rPr>
          <w:rStyle w:val="Refdenotaalpie"/>
          <w:rFonts w:ascii="Arial" w:hAnsi="Arial" w:cs="Arial"/>
          <w:sz w:val="16"/>
          <w:szCs w:val="16"/>
        </w:rPr>
        <w:footnoteRef/>
      </w:r>
      <w:r w:rsidRPr="00262D58">
        <w:rPr>
          <w:rFonts w:ascii="Arial" w:hAnsi="Arial" w:cs="Arial"/>
          <w:sz w:val="16"/>
          <w:szCs w:val="16"/>
        </w:rPr>
        <w:t xml:space="preserve"> La Corte Constitucional mediante Sentencia C-1153-05 de 11 de noviembre de 2005, Magistrado Ponente Marco Gerardo Monroy Cabra, efectuó el Control constitucional al Proyecto de Ley Estatutaria </w:t>
      </w:r>
      <w:proofErr w:type="spellStart"/>
      <w:r w:rsidRPr="00262D58">
        <w:rPr>
          <w:rFonts w:ascii="Arial" w:hAnsi="Arial" w:cs="Arial"/>
          <w:sz w:val="16"/>
          <w:szCs w:val="16"/>
        </w:rPr>
        <w:t>N°</w:t>
      </w:r>
      <w:proofErr w:type="spellEnd"/>
      <w:r w:rsidRPr="00262D58">
        <w:rPr>
          <w:rFonts w:ascii="Arial" w:hAnsi="Arial" w:cs="Arial"/>
          <w:sz w:val="16"/>
          <w:szCs w:val="16"/>
        </w:rPr>
        <w:t xml:space="preserve"> 216/05 Senado, </w:t>
      </w:r>
      <w:proofErr w:type="spellStart"/>
      <w:r w:rsidRPr="00262D58">
        <w:rPr>
          <w:rFonts w:ascii="Arial" w:hAnsi="Arial" w:cs="Arial"/>
          <w:sz w:val="16"/>
          <w:szCs w:val="16"/>
        </w:rPr>
        <w:t>N°</w:t>
      </w:r>
      <w:proofErr w:type="spellEnd"/>
      <w:r w:rsidRPr="00262D58">
        <w:rPr>
          <w:rFonts w:ascii="Arial" w:hAnsi="Arial" w:cs="Arial"/>
          <w:sz w:val="16"/>
          <w:szCs w:val="16"/>
        </w:rPr>
        <w:t xml:space="preserve"> 235-Cámara que dio lugar a la Ley de Garantías Electorales.</w:t>
      </w:r>
    </w:p>
  </w:footnote>
  <w:footnote w:id="21">
    <w:p w:rsidRPr="00262D58" w:rsidR="00C60B22" w:rsidP="00C60B22" w:rsidRDefault="00C60B22" w14:paraId="67A94F5F" w14:textId="77777777">
      <w:pPr>
        <w:spacing w:after="0" w:line="240" w:lineRule="auto"/>
        <w:ind w:firstLine="709"/>
        <w:contextualSpacing/>
        <w:jc w:val="both"/>
        <w:rPr>
          <w:rFonts w:ascii="Arial" w:hAnsi="Arial" w:cs="Arial"/>
          <w:sz w:val="16"/>
          <w:szCs w:val="16"/>
        </w:rPr>
      </w:pPr>
      <w:r w:rsidRPr="00262D58">
        <w:rPr>
          <w:rStyle w:val="Refdenotaalpie"/>
          <w:rFonts w:ascii="Arial" w:hAnsi="Arial" w:cs="Arial"/>
          <w:sz w:val="16"/>
          <w:szCs w:val="16"/>
        </w:rPr>
        <w:footnoteRef/>
      </w:r>
      <w:r w:rsidRPr="00262D58">
        <w:rPr>
          <w:rFonts w:ascii="Arial" w:hAnsi="Arial" w:cs="Arial"/>
          <w:sz w:val="16"/>
          <w:szCs w:val="16"/>
        </w:rPr>
        <w:t xml:space="preserve"> Consejo de Estado. Sala de Consulta y Servicio Civil. Concepto de 20 de febrero de 2006. Radicación Número: 11001-03-06-000-2006-00026-00(1727). Consejero Ponente: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22">
    <w:p w:rsidRPr="00262D58" w:rsidR="00C60B22" w:rsidP="00C60B22" w:rsidRDefault="00C60B22" w14:paraId="6556DC75" w14:textId="77777777">
      <w:pPr>
        <w:pStyle w:val="Textonotapie"/>
        <w:ind w:right="51" w:firstLine="709"/>
        <w:contextualSpacing/>
        <w:jc w:val="both"/>
        <w:rPr>
          <w:rFonts w:ascii="Arial" w:hAnsi="Arial" w:cs="Arial"/>
          <w:sz w:val="16"/>
          <w:szCs w:val="16"/>
        </w:rPr>
      </w:pPr>
      <w:r w:rsidRPr="00262D58">
        <w:rPr>
          <w:rStyle w:val="Refdenotaalpie"/>
          <w:rFonts w:ascii="Arial" w:hAnsi="Arial" w:cs="Arial"/>
          <w:sz w:val="16"/>
          <w:szCs w:val="16"/>
        </w:rPr>
        <w:footnoteRef/>
      </w:r>
      <w:r w:rsidRPr="00262D58">
        <w:rPr>
          <w:rFonts w:ascii="Arial" w:hAnsi="Arial" w:cs="Arial"/>
          <w:sz w:val="16"/>
          <w:szCs w:val="16"/>
        </w:rPr>
        <w:t xml:space="preserve"> </w:t>
      </w:r>
      <w:bookmarkStart w:name="_Hlk75633115" w:id="37"/>
      <w:r w:rsidRPr="00262D58">
        <w:rPr>
          <w:rFonts w:ascii="Arial" w:hAnsi="Arial" w:cs="Arial"/>
          <w:sz w:val="16"/>
          <w:szCs w:val="16"/>
        </w:rPr>
        <w:t xml:space="preserve">Consejo de Estado. Sala de Consulta y Servicio Civil. Concepto </w:t>
      </w:r>
      <w:bookmarkEnd w:id="37"/>
      <w:r w:rsidRPr="00262D58">
        <w:rPr>
          <w:rFonts w:ascii="Arial" w:hAnsi="Arial" w:cs="Arial"/>
          <w:sz w:val="16"/>
          <w:szCs w:val="16"/>
        </w:rPr>
        <w:t>de 6 de abril de 2006. Radicación Número: 11001-03-06-000-2006-00038-00(1738). Consejero Ponente: Enrique José Arboleda Perdomo:</w:t>
      </w:r>
      <w:r w:rsidRPr="00262D58">
        <w:rPr>
          <w:rFonts w:ascii="Arial" w:hAnsi="Arial" w:eastAsia="Times New Roman" w:cs="Arial"/>
          <w:sz w:val="16"/>
          <w:szCs w:val="16"/>
          <w:lang w:eastAsia="x-none"/>
        </w:rPr>
        <w:t xml:space="preserve"> “</w:t>
      </w:r>
      <w:r w:rsidRPr="00262D58">
        <w:rPr>
          <w:rFonts w:ascii="Arial" w:hAnsi="Arial" w:cs="Arial"/>
          <w:sz w:val="16"/>
          <w:szCs w:val="16"/>
        </w:rPr>
        <w:t>Si bien en el tema del concepto del que se extractaron 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sidRPr="00262D58">
        <w:rPr>
          <w:rFonts w:ascii="Arial" w:hAnsi="Arial" w:eastAsia="Times New Roman" w:cs="Arial"/>
          <w:sz w:val="16"/>
          <w:szCs w:val="16"/>
          <w:lang w:eastAsia="x-none"/>
        </w:rPr>
        <w:t>”.</w:t>
      </w:r>
    </w:p>
  </w:footnote>
  <w:footnote w:id="23">
    <w:p w:rsidRPr="00262D58" w:rsidR="00C60B22" w:rsidP="00C60B22" w:rsidRDefault="00C60B22" w14:paraId="50545263" w14:textId="77777777">
      <w:pPr>
        <w:pStyle w:val="Textonotapie"/>
        <w:ind w:right="51" w:firstLine="709"/>
        <w:contextualSpacing/>
        <w:jc w:val="both"/>
        <w:rPr>
          <w:rFonts w:ascii="Arial" w:hAnsi="Arial" w:cs="Arial"/>
          <w:sz w:val="16"/>
          <w:szCs w:val="16"/>
        </w:rPr>
      </w:pPr>
      <w:r w:rsidRPr="00262D58">
        <w:rPr>
          <w:rStyle w:val="Refdenotaalpie"/>
          <w:rFonts w:ascii="Arial" w:hAnsi="Arial" w:cs="Arial"/>
          <w:sz w:val="16"/>
          <w:szCs w:val="16"/>
        </w:rPr>
        <w:footnoteRef/>
      </w:r>
      <w:r w:rsidRPr="00262D58">
        <w:rPr>
          <w:rFonts w:ascii="Arial" w:hAnsi="Arial" w:cs="Arial"/>
          <w:sz w:val="16"/>
          <w:szCs w:val="16"/>
        </w:rPr>
        <w:t xml:space="preserve"> Consejo de Estado. Sala de Consulta y Servicio Civil. Concepto de 6 de abril de 2006. Radicación Número: 11001-03-06-000-2006-00038-00(1738). Consejero Ponente: Enrique José Arboleda Perdomo.</w:t>
      </w:r>
    </w:p>
  </w:footnote>
  <w:footnote w:id="24">
    <w:p w:rsidRPr="00262D58" w:rsidR="00C60B22" w:rsidP="00C60B22" w:rsidRDefault="00C60B22" w14:paraId="4DE990A8" w14:textId="77777777">
      <w:pPr>
        <w:pStyle w:val="Textonotapie"/>
        <w:ind w:right="51" w:firstLine="709"/>
        <w:contextualSpacing/>
        <w:jc w:val="both"/>
        <w:rPr>
          <w:rFonts w:ascii="Arial" w:hAnsi="Arial" w:cs="Arial"/>
          <w:sz w:val="16"/>
          <w:szCs w:val="16"/>
        </w:rPr>
      </w:pPr>
      <w:r w:rsidRPr="00262D58">
        <w:rPr>
          <w:rStyle w:val="Refdenotaalpie"/>
          <w:rFonts w:ascii="Arial" w:hAnsi="Arial" w:cs="Arial"/>
          <w:sz w:val="16"/>
          <w:szCs w:val="16"/>
        </w:rPr>
        <w:footnoteRef/>
      </w:r>
      <w:r w:rsidRPr="00262D58">
        <w:rPr>
          <w:rFonts w:ascii="Arial" w:hAnsi="Arial" w:cs="Arial"/>
          <w:sz w:val="16"/>
          <w:szCs w:val="16"/>
        </w:rPr>
        <w:t xml:space="preserve"> Consejo de Estado. Sala de Consulta y Servicio Civil, ídem.</w:t>
      </w:r>
    </w:p>
  </w:footnote>
  <w:footnote w:id="25">
    <w:p w:rsidRPr="00B05E9D" w:rsidR="00A26C80" w:rsidP="00A26C80" w:rsidRDefault="00A26C80" w14:paraId="402542B4" w14:textId="77777777">
      <w:pPr>
        <w:pStyle w:val="Textonotapie"/>
        <w:ind w:firstLine="709"/>
        <w:jc w:val="both"/>
        <w:rPr>
          <w:rFonts w:ascii="Arial" w:hAnsi="Arial" w:cs="Arial"/>
          <w:sz w:val="19"/>
          <w:szCs w:val="19"/>
          <w:lang w:val="es-ES"/>
        </w:rPr>
      </w:pPr>
      <w:r w:rsidRPr="00B05E9D">
        <w:rPr>
          <w:rStyle w:val="Refdenotaalpie"/>
          <w:rFonts w:ascii="Arial" w:hAnsi="Arial" w:cs="Arial"/>
          <w:sz w:val="19"/>
          <w:szCs w:val="19"/>
        </w:rPr>
        <w:footnoteRef/>
      </w:r>
      <w:r w:rsidRPr="00B05E9D">
        <w:rPr>
          <w:rFonts w:ascii="Arial" w:hAnsi="Arial" w:cs="Arial"/>
          <w:sz w:val="19"/>
          <w:szCs w:val="19"/>
        </w:rPr>
        <w:t xml:space="preserve"> </w:t>
      </w:r>
      <w:r w:rsidRPr="00B05E9D">
        <w:rPr>
          <w:rFonts w:ascii="Arial" w:hAnsi="Arial" w:cs="Arial"/>
          <w:sz w:val="19"/>
          <w:szCs w:val="19"/>
          <w:lang w:val="es-ES"/>
        </w:rPr>
        <w:t>Por medio del cual se reglamentan parcialmente las operaciones de crédito público, las de manejo de la deuda pública, sus asimiladas y conexas y la contratación directa de las mismas.</w:t>
      </w:r>
    </w:p>
    <w:p w:rsidRPr="00B05E9D" w:rsidR="00A26C80" w:rsidP="00A26C80" w:rsidRDefault="00A26C80" w14:paraId="707CBD44" w14:textId="77777777">
      <w:pPr>
        <w:pStyle w:val="Textonotapie"/>
        <w:ind w:firstLine="709"/>
        <w:jc w:val="both"/>
        <w:rPr>
          <w:rFonts w:ascii="Arial" w:hAnsi="Arial" w:cs="Arial"/>
          <w:sz w:val="19"/>
          <w:szCs w:val="19"/>
        </w:rPr>
      </w:pPr>
    </w:p>
  </w:footnote>
  <w:footnote w:id="26">
    <w:p w:rsidRPr="00B05E9D" w:rsidR="00A26C80" w:rsidP="00A26C80" w:rsidRDefault="00A26C80" w14:paraId="7C75DDA6" w14:textId="77777777">
      <w:pPr>
        <w:pStyle w:val="Textonotapie"/>
        <w:ind w:firstLine="709"/>
        <w:jc w:val="both"/>
        <w:rPr>
          <w:rFonts w:ascii="Arial" w:hAnsi="Arial" w:cs="Arial"/>
          <w:sz w:val="19"/>
          <w:szCs w:val="19"/>
          <w:lang w:val="es-ES"/>
        </w:rPr>
      </w:pPr>
      <w:r w:rsidRPr="00B05E9D">
        <w:rPr>
          <w:rStyle w:val="Refdenotaalpie"/>
          <w:rFonts w:ascii="Arial" w:hAnsi="Arial" w:cs="Arial"/>
          <w:sz w:val="19"/>
          <w:szCs w:val="19"/>
        </w:rPr>
        <w:footnoteRef/>
      </w:r>
      <w:r w:rsidRPr="00B05E9D">
        <w:rPr>
          <w:rFonts w:ascii="Arial" w:hAnsi="Arial" w:cs="Arial"/>
          <w:sz w:val="19"/>
          <w:szCs w:val="19"/>
        </w:rPr>
        <w:t xml:space="preserve"> </w:t>
      </w:r>
      <w:r w:rsidRPr="00B05E9D">
        <w:rPr>
          <w:rFonts w:ascii="Arial" w:hAnsi="Arial" w:cs="Arial"/>
          <w:sz w:val="19"/>
          <w:szCs w:val="19"/>
          <w:lang w:val="es-ES"/>
        </w:rPr>
        <w:t>Por medio del cual se expide el Decreto Único Reglamentario del Sector Hacienda y Crédito Público.</w:t>
      </w:r>
    </w:p>
  </w:footnote>
  <w:footnote w:id="27">
    <w:p w:rsidRPr="00B05E9D" w:rsidR="00A26C80" w:rsidP="00A26C80" w:rsidRDefault="00A26C80" w14:paraId="50C52490" w14:textId="77777777">
      <w:pPr>
        <w:pStyle w:val="Textonotapie"/>
        <w:ind w:firstLine="709"/>
        <w:jc w:val="both"/>
        <w:rPr>
          <w:rFonts w:ascii="Arial" w:hAnsi="Arial" w:cs="Arial"/>
          <w:sz w:val="19"/>
          <w:szCs w:val="19"/>
          <w:lang w:val="es-ES"/>
        </w:rPr>
      </w:pPr>
      <w:r w:rsidRPr="00B05E9D">
        <w:rPr>
          <w:rStyle w:val="Refdenotaalpie"/>
          <w:rFonts w:ascii="Arial" w:hAnsi="Arial" w:cs="Arial"/>
          <w:sz w:val="19"/>
          <w:szCs w:val="19"/>
        </w:rPr>
        <w:footnoteRef/>
      </w:r>
      <w:r w:rsidRPr="00B05E9D">
        <w:rPr>
          <w:rFonts w:ascii="Arial" w:hAnsi="Arial" w:cs="Arial"/>
          <w:sz w:val="19"/>
          <w:szCs w:val="19"/>
        </w:rPr>
        <w:t xml:space="preserve"> </w:t>
      </w:r>
      <w:r w:rsidRPr="00B05E9D">
        <w:rPr>
          <w:rFonts w:ascii="Arial" w:hAnsi="Arial" w:cs="Arial"/>
          <w:sz w:val="19"/>
          <w:szCs w:val="19"/>
          <w:lang w:val="es-ES"/>
        </w:rPr>
        <w:t>Corte Constitucional, Sentencia C–670 de 2014, M.P. María Victoria Calle Correa, para. 13.1.</w:t>
      </w:r>
    </w:p>
    <w:p w:rsidRPr="00B05E9D" w:rsidR="00A26C80" w:rsidP="00A26C80" w:rsidRDefault="00A26C80" w14:paraId="36187A83" w14:textId="77777777">
      <w:pPr>
        <w:pStyle w:val="Textonotapie"/>
        <w:ind w:firstLine="709"/>
        <w:jc w:val="both"/>
        <w:rPr>
          <w:rFonts w:ascii="Arial" w:hAnsi="Arial" w:cs="Arial"/>
          <w:sz w:val="19"/>
          <w:szCs w:val="19"/>
          <w:lang w:val="es-ES"/>
        </w:rPr>
      </w:pPr>
    </w:p>
  </w:footnote>
  <w:footnote w:id="28">
    <w:p w:rsidRPr="00B05E9D" w:rsidR="00A26C80" w:rsidP="00A26C80" w:rsidRDefault="00A26C80" w14:paraId="6420B107" w14:textId="77777777">
      <w:pPr>
        <w:pStyle w:val="Textonotapie"/>
        <w:ind w:firstLine="709"/>
        <w:jc w:val="both"/>
        <w:rPr>
          <w:rFonts w:ascii="Arial" w:hAnsi="Arial" w:cs="Arial"/>
          <w:sz w:val="19"/>
          <w:szCs w:val="19"/>
          <w:lang w:val="es-ES"/>
        </w:rPr>
      </w:pPr>
      <w:r w:rsidRPr="00B05E9D">
        <w:rPr>
          <w:rStyle w:val="Refdenotaalpie"/>
          <w:rFonts w:ascii="Arial" w:hAnsi="Arial" w:cs="Arial"/>
          <w:sz w:val="19"/>
          <w:szCs w:val="19"/>
        </w:rPr>
        <w:footnoteRef/>
      </w:r>
      <w:r w:rsidRPr="00B05E9D">
        <w:rPr>
          <w:rFonts w:ascii="Arial" w:hAnsi="Arial" w:cs="Arial"/>
          <w:sz w:val="19"/>
          <w:szCs w:val="19"/>
        </w:rPr>
        <w:t xml:space="preserve"> </w:t>
      </w:r>
      <w:bookmarkStart w:name="_Hlk79226058" w:id="43"/>
      <w:r w:rsidRPr="00B05E9D">
        <w:rPr>
          <w:rFonts w:ascii="Arial" w:hAnsi="Arial" w:cs="Arial"/>
          <w:sz w:val="19"/>
          <w:szCs w:val="19"/>
        </w:rPr>
        <w:t xml:space="preserve">Colombia Compra Eficiente, </w:t>
      </w:r>
      <w:bookmarkEnd w:id="43"/>
      <w:r w:rsidRPr="00B05E9D">
        <w:rPr>
          <w:rFonts w:ascii="Arial" w:hAnsi="Arial" w:cs="Arial"/>
          <w:sz w:val="19"/>
          <w:szCs w:val="19"/>
        </w:rPr>
        <w:t>Conceptos con</w:t>
      </w:r>
      <w:r w:rsidRPr="00B05E9D">
        <w:rPr>
          <w:rStyle w:val="Refdenotaalpie"/>
          <w:rFonts w:ascii="Arial" w:hAnsi="Arial" w:cs="Arial"/>
          <w:sz w:val="19"/>
          <w:szCs w:val="19"/>
          <w:lang w:val="es-ES"/>
        </w:rPr>
        <w:t xml:space="preserve"> </w:t>
      </w:r>
      <w:r w:rsidRPr="00B05E9D">
        <w:rPr>
          <w:rFonts w:ascii="Arial" w:hAnsi="Arial" w:eastAsia="Calibri" w:cs="Arial"/>
          <w:sz w:val="19"/>
          <w:szCs w:val="19"/>
          <w:lang w:val="es-CO"/>
        </w:rPr>
        <w:t xml:space="preserve">Rad. </w:t>
      </w:r>
      <w:r w:rsidRPr="00B05E9D">
        <w:rPr>
          <w:rFonts w:ascii="Arial" w:hAnsi="Arial" w:cs="Arial"/>
          <w:sz w:val="19"/>
          <w:szCs w:val="19"/>
        </w:rPr>
        <w:t>2201913000009289</w:t>
      </w:r>
      <w:r w:rsidRPr="00B05E9D">
        <w:rPr>
          <w:rFonts w:ascii="Arial" w:hAnsi="Arial" w:eastAsia="Calibri" w:cs="Arial"/>
          <w:sz w:val="19"/>
          <w:szCs w:val="19"/>
          <w:lang w:val="es-CO"/>
        </w:rPr>
        <w:t xml:space="preserve"> y Rad. 4201913000007443 de 2019.</w:t>
      </w:r>
    </w:p>
  </w:footnote>
  <w:footnote w:id="29">
    <w:p w:rsidRPr="00B05E9D" w:rsidR="00A26C80" w:rsidP="00A26C80" w:rsidRDefault="00A26C80" w14:paraId="553457A5" w14:textId="54AEFD10">
      <w:pPr>
        <w:pStyle w:val="Textonotapie"/>
        <w:ind w:firstLine="709"/>
        <w:jc w:val="both"/>
        <w:rPr>
          <w:rFonts w:ascii="Arial" w:hAnsi="Arial" w:cs="Arial"/>
          <w:sz w:val="19"/>
          <w:szCs w:val="19"/>
        </w:rPr>
      </w:pPr>
      <w:r w:rsidRPr="00B05E9D">
        <w:rPr>
          <w:rStyle w:val="Refdenotaalpie"/>
          <w:rFonts w:ascii="Arial" w:hAnsi="Arial" w:cs="Arial"/>
          <w:sz w:val="19"/>
          <w:szCs w:val="19"/>
        </w:rPr>
        <w:footnoteRef/>
      </w:r>
      <w:r w:rsidRPr="00B05E9D">
        <w:rPr>
          <w:rFonts w:ascii="Arial" w:hAnsi="Arial" w:cs="Arial"/>
          <w:sz w:val="19"/>
          <w:szCs w:val="19"/>
        </w:rPr>
        <w:t xml:space="preserve"> “[P] ara los contratos de empréstito, cuyo propósito es proveer a las entidades contratantes de recursos en moneda nacional o extranjera con plazo para su pago [artículo 7 Decreto 2681 de 1993], la Ley dispuso que estos se realizan de forma directa, pues de acuerdo con su naturaleza, le es difícil al Estado establecer las condiciones generales para realizar este tipo de contratación, esto, sin quedar desprovisto de su deber de selección objetiva. Así las cosas, nos encontramos frente a una tipología contractual cuyo origen se da confluencia de la voluntad por parte del Estado y quienes proveen los recursos, en este caso, sus acreedores y de contenido oneroso.  […] Continuando con el desarrollo del citado Decreto, los contratos de empréstito se encuentran una clasificación </w:t>
      </w:r>
      <w:proofErr w:type="gramStart"/>
      <w:r w:rsidRPr="00B05E9D">
        <w:rPr>
          <w:rFonts w:ascii="Arial" w:hAnsi="Arial" w:cs="Arial"/>
          <w:sz w:val="19"/>
          <w:szCs w:val="19"/>
        </w:rPr>
        <w:t>de acuerdo a</w:t>
      </w:r>
      <w:proofErr w:type="gramEnd"/>
      <w:r w:rsidRPr="00B05E9D">
        <w:rPr>
          <w:rFonts w:ascii="Arial" w:hAnsi="Arial" w:cs="Arial"/>
          <w:sz w:val="19"/>
          <w:szCs w:val="19"/>
        </w:rPr>
        <w:t xml:space="preserve"> dos componentes: el primero obedece a si el empréstito es interno o externo y el segundo a la naturaleza de la entidad contratante. Se tiene entonces que las operaciones de crédito público </w:t>
      </w:r>
      <w:proofErr w:type="gramStart"/>
      <w:r w:rsidRPr="00B05E9D">
        <w:rPr>
          <w:rFonts w:ascii="Arial" w:hAnsi="Arial" w:cs="Arial"/>
          <w:sz w:val="19"/>
          <w:szCs w:val="19"/>
        </w:rPr>
        <w:t>internas,</w:t>
      </w:r>
      <w:proofErr w:type="gramEnd"/>
      <w:r w:rsidRPr="00B05E9D">
        <w:rPr>
          <w:rFonts w:ascii="Arial" w:hAnsi="Arial" w:cs="Arial"/>
          <w:sz w:val="19"/>
          <w:szCs w:val="19"/>
        </w:rPr>
        <w:t xml:space="preserve"> son las que se celebren exclusivamente entre residentes del territorio colombiano para ser pagaderas en moneda legal colombiana y las operaciones de crédito público las demás. Su clasificación también se realiza conforme a su temporalidad, siendo los contratos de empréstito a largo plazo aquellos cuyo plazo es superior a un año y se buscan financiar inversiones a largo plazo, y los contratos de empréstito a corto plazo cuyo objetivo es financiar gastos a corto plazo y son inferiores a un año. El artículo 7 del Decreto 2681 de 1993, delimita la posibilidad de realizar estos contratos de empréstito a </w:t>
      </w:r>
      <w:r w:rsidR="00963AFD">
        <w:rPr>
          <w:rFonts w:ascii="Arial" w:hAnsi="Arial" w:cs="Arial"/>
          <w:sz w:val="19"/>
          <w:szCs w:val="19"/>
        </w:rPr>
        <w:t>“</w:t>
      </w:r>
      <w:r w:rsidRPr="00B05E9D">
        <w:rPr>
          <w:rFonts w:ascii="Arial" w:hAnsi="Arial" w:cs="Arial"/>
          <w:sz w:val="19"/>
          <w:szCs w:val="19"/>
        </w:rPr>
        <w:t>entidades estatales</w:t>
      </w:r>
      <w:r w:rsidR="00963AFD">
        <w:rPr>
          <w:rFonts w:ascii="Arial" w:hAnsi="Arial" w:cs="Arial"/>
          <w:sz w:val="19"/>
          <w:szCs w:val="19"/>
        </w:rPr>
        <w:t>”</w:t>
      </w:r>
      <w:r w:rsidRPr="00B05E9D">
        <w:rPr>
          <w:rFonts w:ascii="Arial" w:hAnsi="Arial" w:cs="Arial"/>
          <w:sz w:val="19"/>
          <w:szCs w:val="19"/>
        </w:rPr>
        <w:t>, lo que lleva a la conclusión que su administración estará a cargo de la entidad contratante, cuya naturaleza será la de entidad estatal o bajo las figuras jurídicas en las que el Estado cuenta con participación en su capital.”   (Colombia Compra Eficiente, Conceptos C-370 de 2 de julio de 2020).</w:t>
      </w:r>
    </w:p>
    <w:p w:rsidRPr="00B05E9D" w:rsidR="00A26C80" w:rsidP="00A26C80" w:rsidRDefault="00A26C80" w14:paraId="541349AE" w14:textId="77777777">
      <w:pPr>
        <w:pStyle w:val="Textonotapie"/>
        <w:ind w:firstLine="709"/>
        <w:jc w:val="both"/>
        <w:rPr>
          <w:rFonts w:ascii="Arial" w:hAnsi="Arial" w:cs="Arial"/>
          <w:sz w:val="19"/>
          <w:szCs w:val="19"/>
        </w:rPr>
      </w:pPr>
    </w:p>
  </w:footnote>
  <w:footnote w:id="30">
    <w:p w:rsidRPr="00B05E9D" w:rsidR="00A26C80" w:rsidP="00A26C80" w:rsidRDefault="00A26C80" w14:paraId="02FE71E7" w14:textId="3E302E06">
      <w:pPr>
        <w:pStyle w:val="Textonotapie"/>
        <w:ind w:firstLine="709"/>
        <w:jc w:val="both"/>
        <w:rPr>
          <w:rFonts w:ascii="Arial" w:hAnsi="Arial" w:cs="Arial"/>
          <w:sz w:val="19"/>
          <w:szCs w:val="19"/>
          <w:lang w:val="es-ES"/>
        </w:rPr>
      </w:pPr>
      <w:r w:rsidRPr="00B05E9D">
        <w:rPr>
          <w:rStyle w:val="Refdenotaalpie"/>
          <w:rFonts w:ascii="Arial" w:hAnsi="Arial" w:cs="Arial"/>
          <w:sz w:val="19"/>
          <w:szCs w:val="19"/>
        </w:rPr>
        <w:footnoteRef/>
      </w:r>
      <w:r w:rsidRPr="00B05E9D">
        <w:rPr>
          <w:rFonts w:ascii="Arial" w:hAnsi="Arial" w:cs="Arial"/>
          <w:sz w:val="19"/>
          <w:szCs w:val="19"/>
        </w:rPr>
        <w:t xml:space="preserve"> </w:t>
      </w:r>
      <w:r w:rsidRPr="00B05E9D">
        <w:rPr>
          <w:rFonts w:ascii="Arial" w:hAnsi="Arial" w:cs="Arial"/>
          <w:sz w:val="19"/>
          <w:szCs w:val="19"/>
          <w:lang w:val="es-ES"/>
        </w:rPr>
        <w:t xml:space="preserve">La regulación </w:t>
      </w:r>
      <w:proofErr w:type="gramStart"/>
      <w:r w:rsidRPr="00B05E9D">
        <w:rPr>
          <w:rFonts w:ascii="Arial" w:hAnsi="Arial" w:cs="Arial"/>
          <w:i/>
          <w:iCs/>
          <w:sz w:val="19"/>
          <w:szCs w:val="19"/>
          <w:lang w:val="es-ES"/>
        </w:rPr>
        <w:t>in extenso</w:t>
      </w:r>
      <w:proofErr w:type="gramEnd"/>
      <w:r w:rsidRPr="00B05E9D">
        <w:rPr>
          <w:rFonts w:ascii="Arial" w:hAnsi="Arial" w:cs="Arial"/>
          <w:sz w:val="19"/>
          <w:szCs w:val="19"/>
          <w:lang w:val="es-ES"/>
        </w:rPr>
        <w:t xml:space="preserve"> de la materia se encuentra entre los capítulos 1 y 4 del libro 2, parte 2 título 1del Decreto 1068 de 2015</w:t>
      </w:r>
      <w:r>
        <w:rPr>
          <w:rFonts w:ascii="Arial" w:hAnsi="Arial" w:cs="Arial"/>
          <w:sz w:val="19"/>
          <w:szCs w:val="19"/>
          <w:lang w:val="es-ES"/>
        </w:rPr>
        <w:t>.</w:t>
      </w:r>
      <w:r w:rsidRPr="00B05E9D">
        <w:rPr>
          <w:rFonts w:ascii="Arial" w:hAnsi="Arial" w:cs="Arial"/>
          <w:sz w:val="19"/>
          <w:szCs w:val="19"/>
          <w:lang w:val="es-ES"/>
        </w:rPr>
        <w:t xml:space="preserve"> </w:t>
      </w:r>
      <w:r>
        <w:rPr>
          <w:rFonts w:ascii="Arial" w:hAnsi="Arial" w:cs="Arial"/>
          <w:sz w:val="19"/>
          <w:szCs w:val="19"/>
          <w:lang w:val="es-ES"/>
        </w:rPr>
        <w:t>V</w:t>
      </w:r>
      <w:r w:rsidRPr="00B05E9D">
        <w:rPr>
          <w:rFonts w:ascii="Arial" w:hAnsi="Arial" w:cs="Arial"/>
          <w:sz w:val="19"/>
          <w:szCs w:val="19"/>
          <w:lang w:val="es-ES"/>
        </w:rPr>
        <w:t>er, Consejo de Estado</w:t>
      </w:r>
      <w:r>
        <w:rPr>
          <w:rFonts w:ascii="Arial" w:hAnsi="Arial" w:cs="Arial"/>
          <w:sz w:val="19"/>
          <w:szCs w:val="19"/>
          <w:lang w:val="es-ES"/>
        </w:rPr>
        <w:t>.</w:t>
      </w:r>
      <w:r w:rsidRPr="00B05E9D">
        <w:rPr>
          <w:rFonts w:ascii="Arial" w:hAnsi="Arial" w:cs="Arial"/>
          <w:sz w:val="19"/>
          <w:szCs w:val="19"/>
          <w:lang w:val="es-ES"/>
        </w:rPr>
        <w:t xml:space="preserve"> Sección Cuarta</w:t>
      </w:r>
      <w:r>
        <w:rPr>
          <w:rFonts w:ascii="Arial" w:hAnsi="Arial" w:cs="Arial"/>
          <w:sz w:val="19"/>
          <w:szCs w:val="19"/>
          <w:lang w:val="es-ES"/>
        </w:rPr>
        <w:t>.</w:t>
      </w:r>
      <w:r w:rsidRPr="00B05E9D">
        <w:rPr>
          <w:rFonts w:ascii="Arial" w:hAnsi="Arial" w:cs="Arial"/>
          <w:sz w:val="19"/>
          <w:szCs w:val="19"/>
          <w:lang w:val="es-ES"/>
        </w:rPr>
        <w:t xml:space="preserve"> Sentencia de 13 de junio de 2013</w:t>
      </w:r>
      <w:r>
        <w:rPr>
          <w:rFonts w:ascii="Arial" w:hAnsi="Arial" w:cs="Arial"/>
          <w:sz w:val="19"/>
          <w:szCs w:val="19"/>
          <w:lang w:val="es-ES"/>
        </w:rPr>
        <w:t>.</w:t>
      </w:r>
      <w:r w:rsidRPr="00B05E9D">
        <w:rPr>
          <w:rFonts w:ascii="Arial" w:hAnsi="Arial" w:cs="Arial"/>
          <w:sz w:val="19"/>
          <w:szCs w:val="19"/>
          <w:lang w:val="es-ES"/>
        </w:rPr>
        <w:t xml:space="preserve"> Rad. 19028</w:t>
      </w:r>
      <w:r>
        <w:rPr>
          <w:rFonts w:ascii="Arial" w:hAnsi="Arial" w:cs="Arial"/>
          <w:sz w:val="19"/>
          <w:szCs w:val="19"/>
          <w:lang w:val="es-ES"/>
        </w:rPr>
        <w:t>.</w:t>
      </w:r>
      <w:r w:rsidRPr="00B05E9D">
        <w:rPr>
          <w:rFonts w:ascii="Arial" w:hAnsi="Arial" w:cs="Arial"/>
          <w:sz w:val="19"/>
          <w:szCs w:val="19"/>
          <w:lang w:val="es-ES"/>
        </w:rPr>
        <w:t xml:space="preserve"> C.P. Carmen Teresa Ortiz de Rodríguez: </w:t>
      </w:r>
      <w:r w:rsidR="00963AFD">
        <w:rPr>
          <w:rFonts w:ascii="Arial" w:hAnsi="Arial" w:cs="Arial"/>
          <w:sz w:val="19"/>
          <w:szCs w:val="19"/>
          <w:lang w:val="es-ES"/>
        </w:rPr>
        <w:t>“</w:t>
      </w:r>
      <w:r w:rsidRPr="00B05E9D">
        <w:rPr>
          <w:rFonts w:ascii="Arial" w:hAnsi="Arial" w:cs="Arial"/>
          <w:sz w:val="19"/>
          <w:szCs w:val="19"/>
          <w:lang w:val="es-ES"/>
        </w:rPr>
        <w:t xml:space="preserve">Se tiene entonces que </w:t>
      </w:r>
      <w:r w:rsidRPr="00B05E9D">
        <w:rPr>
          <w:rFonts w:ascii="Arial" w:hAnsi="Arial" w:cs="Arial"/>
          <w:sz w:val="19"/>
          <w:szCs w:val="19"/>
          <w:u w:val="single"/>
          <w:lang w:val="es-ES"/>
        </w:rPr>
        <w:t>los créditos a proveedores ciertamente hacen parte de las operaciones de crédito público</w:t>
      </w:r>
      <w:r w:rsidRPr="00B05E9D">
        <w:rPr>
          <w:rFonts w:ascii="Arial" w:hAnsi="Arial" w:cs="Arial"/>
          <w:sz w:val="19"/>
          <w:szCs w:val="19"/>
          <w:lang w:val="es-ES"/>
        </w:rPr>
        <w:t>, distinguidas por las únicas y categóricas finalidades de dotar a la entidad contratante de recursos, bienes o servicios, con la mediación de un plazo para pagarlos, o de garantizar obligaciones de pago, inclusive bajo la forma de la solidaridad; y, en todo caso, los actos o contratos análogos a esas unívocas finalidades, que obliguen a la entidad estatal bajo un determinado plazo de pago</w:t>
      </w:r>
      <w:r w:rsidR="00963AFD">
        <w:rPr>
          <w:rFonts w:ascii="Arial" w:hAnsi="Arial" w:cs="Arial"/>
          <w:sz w:val="19"/>
          <w:szCs w:val="19"/>
          <w:lang w:val="es-ES"/>
        </w:rPr>
        <w:t>”</w:t>
      </w:r>
      <w:r w:rsidRPr="00B05E9D">
        <w:rPr>
          <w:rFonts w:ascii="Arial" w:hAnsi="Arial" w:cs="Arial"/>
          <w:sz w:val="19"/>
          <w:szCs w:val="19"/>
          <w:lang w:val="es-ES"/>
        </w:rPr>
        <w:t>. (subraya fuera del texto original)</w:t>
      </w:r>
      <w:r>
        <w:rPr>
          <w:rFonts w:ascii="Arial" w:hAnsi="Arial" w:cs="Arial"/>
          <w:sz w:val="19"/>
          <w:szCs w:val="19"/>
          <w:lang w:val="es-ES"/>
        </w:rPr>
        <w:t>.</w:t>
      </w:r>
      <w:r w:rsidRPr="00B05E9D">
        <w:rPr>
          <w:rFonts w:ascii="Arial" w:hAnsi="Arial" w:cs="Arial"/>
          <w:sz w:val="19"/>
          <w:szCs w:val="19"/>
          <w:lang w:val="es-ES"/>
        </w:rPr>
        <w:t xml:space="preserve"> </w:t>
      </w:r>
      <w:r>
        <w:rPr>
          <w:rFonts w:ascii="Arial" w:hAnsi="Arial" w:cs="Arial"/>
          <w:sz w:val="19"/>
          <w:szCs w:val="19"/>
          <w:lang w:val="es-ES"/>
        </w:rPr>
        <w:t>V</w:t>
      </w:r>
      <w:r w:rsidRPr="00B05E9D">
        <w:rPr>
          <w:rFonts w:ascii="Arial" w:hAnsi="Arial" w:cs="Arial"/>
          <w:sz w:val="19"/>
          <w:szCs w:val="19"/>
          <w:lang w:val="es-ES"/>
        </w:rPr>
        <w:t>er también, Consejo de Estado</w:t>
      </w:r>
      <w:r>
        <w:rPr>
          <w:rFonts w:ascii="Arial" w:hAnsi="Arial" w:cs="Arial"/>
          <w:sz w:val="19"/>
          <w:szCs w:val="19"/>
          <w:lang w:val="es-ES"/>
        </w:rPr>
        <w:t>.</w:t>
      </w:r>
      <w:r w:rsidRPr="00B05E9D">
        <w:rPr>
          <w:rFonts w:ascii="Arial" w:hAnsi="Arial" w:cs="Arial"/>
          <w:sz w:val="19"/>
          <w:szCs w:val="19"/>
          <w:lang w:val="es-ES"/>
        </w:rPr>
        <w:t xml:space="preserve"> Sala de Consulta y Servicio Civil</w:t>
      </w:r>
      <w:r>
        <w:rPr>
          <w:rFonts w:ascii="Arial" w:hAnsi="Arial" w:cs="Arial"/>
          <w:sz w:val="19"/>
          <w:szCs w:val="19"/>
          <w:lang w:val="es-ES"/>
        </w:rPr>
        <w:t>.</w:t>
      </w:r>
      <w:r w:rsidRPr="00B05E9D">
        <w:rPr>
          <w:rFonts w:ascii="Arial" w:hAnsi="Arial" w:cs="Arial"/>
          <w:sz w:val="19"/>
          <w:szCs w:val="19"/>
          <w:lang w:val="es-ES"/>
        </w:rPr>
        <w:t xml:space="preserve"> Concepto </w:t>
      </w:r>
      <w:r>
        <w:rPr>
          <w:rFonts w:ascii="Arial" w:hAnsi="Arial" w:cs="Arial"/>
          <w:sz w:val="19"/>
          <w:szCs w:val="19"/>
          <w:lang w:val="es-ES"/>
        </w:rPr>
        <w:t xml:space="preserve">del </w:t>
      </w:r>
      <w:r w:rsidRPr="00B05E9D">
        <w:rPr>
          <w:rFonts w:ascii="Arial" w:hAnsi="Arial" w:cs="Arial"/>
          <w:sz w:val="19"/>
          <w:szCs w:val="19"/>
          <w:lang w:val="es-ES"/>
        </w:rPr>
        <w:t>6 de octubre de 2005</w:t>
      </w:r>
      <w:r>
        <w:rPr>
          <w:rFonts w:ascii="Arial" w:hAnsi="Arial" w:cs="Arial"/>
          <w:sz w:val="19"/>
          <w:szCs w:val="19"/>
          <w:lang w:val="es-ES"/>
        </w:rPr>
        <w:t>.</w:t>
      </w:r>
      <w:r w:rsidRPr="00B05E9D">
        <w:rPr>
          <w:rFonts w:ascii="Arial" w:hAnsi="Arial" w:cs="Arial"/>
          <w:sz w:val="19"/>
          <w:szCs w:val="19"/>
          <w:lang w:val="es-ES"/>
        </w:rPr>
        <w:t xml:space="preserve"> Rad. 1684</w:t>
      </w:r>
      <w:r>
        <w:rPr>
          <w:rFonts w:ascii="Arial" w:hAnsi="Arial" w:cs="Arial"/>
          <w:sz w:val="19"/>
          <w:szCs w:val="19"/>
          <w:lang w:val="es-ES"/>
        </w:rPr>
        <w:t>.</w:t>
      </w:r>
      <w:r w:rsidRPr="00B05E9D">
        <w:rPr>
          <w:rFonts w:ascii="Arial" w:hAnsi="Arial" w:cs="Arial"/>
          <w:sz w:val="19"/>
          <w:szCs w:val="19"/>
          <w:lang w:val="es-ES"/>
        </w:rPr>
        <w:t xml:space="preserve"> C.P. Luis Fernando Álvarez Jaramillo: </w:t>
      </w:r>
      <w:r w:rsidR="00963AFD">
        <w:rPr>
          <w:rFonts w:ascii="Arial" w:hAnsi="Arial" w:cs="Arial"/>
          <w:sz w:val="19"/>
          <w:szCs w:val="19"/>
          <w:lang w:val="es-ES"/>
        </w:rPr>
        <w:t>“</w:t>
      </w:r>
      <w:r w:rsidRPr="00B05E9D">
        <w:rPr>
          <w:rFonts w:ascii="Arial" w:hAnsi="Arial" w:cs="Arial"/>
          <w:sz w:val="19"/>
          <w:szCs w:val="19"/>
          <w:lang w:val="es-ES"/>
        </w:rPr>
        <w:t xml:space="preserve">La emisión de títulos de deuda pública autorizada por la ley 487, </w:t>
      </w:r>
      <w:proofErr w:type="gramStart"/>
      <w:r w:rsidRPr="00B05E9D">
        <w:rPr>
          <w:rFonts w:ascii="Arial" w:hAnsi="Arial" w:cs="Arial"/>
          <w:sz w:val="19"/>
          <w:szCs w:val="19"/>
          <w:lang w:val="es-ES"/>
        </w:rPr>
        <w:t>se enmarca dentro de</w:t>
      </w:r>
      <w:proofErr w:type="gramEnd"/>
      <w:r w:rsidRPr="00B05E9D">
        <w:rPr>
          <w:rFonts w:ascii="Arial" w:hAnsi="Arial" w:cs="Arial"/>
          <w:sz w:val="19"/>
          <w:szCs w:val="19"/>
          <w:lang w:val="es-ES"/>
        </w:rPr>
        <w:t xml:space="preserve"> las operaciones de crédito público definidas por el Estatuto de Contratación de la Administración Pública […]  </w:t>
      </w:r>
      <w:r w:rsidRPr="00B05E9D">
        <w:rPr>
          <w:rFonts w:ascii="Arial" w:hAnsi="Arial" w:cs="Arial"/>
          <w:sz w:val="19"/>
          <w:szCs w:val="19"/>
          <w:u w:val="single"/>
          <w:lang w:val="es-ES"/>
        </w:rPr>
        <w:t>Estos Bonos que comparten la naturaleza jurídica de empréstito</w:t>
      </w:r>
      <w:r w:rsidRPr="00B05E9D">
        <w:rPr>
          <w:rFonts w:ascii="Arial" w:hAnsi="Arial" w:cs="Arial"/>
          <w:sz w:val="19"/>
          <w:szCs w:val="19"/>
          <w:lang w:val="es-ES"/>
        </w:rPr>
        <w:t>, serían títulos a la orden con un plazo de cinco (5) años y devengarían un rendimiento anual igual al 80 % de la variación del índice de precios al consumidor ingresos medios certificados por el DANE</w:t>
      </w:r>
      <w:r w:rsidR="00963AFD">
        <w:rPr>
          <w:rFonts w:ascii="Arial" w:hAnsi="Arial" w:cs="Arial"/>
          <w:sz w:val="19"/>
          <w:szCs w:val="19"/>
          <w:lang w:val="es-ES"/>
        </w:rPr>
        <w:t>”</w:t>
      </w:r>
      <w:r w:rsidRPr="00B05E9D">
        <w:rPr>
          <w:rFonts w:ascii="Arial" w:hAnsi="Arial" w:cs="Arial"/>
          <w:sz w:val="19"/>
          <w:szCs w:val="19"/>
          <w:lang w:val="es-ES"/>
        </w:rPr>
        <w:t xml:space="preserve">. (subraya fuera del texto original) </w:t>
      </w:r>
    </w:p>
  </w:footnote>
  <w:footnote w:id="31">
    <w:p w:rsidRPr="00B05E9D" w:rsidR="00A26C80" w:rsidP="00A26C80" w:rsidRDefault="00A26C80" w14:paraId="76646EA6" w14:textId="77777777">
      <w:pPr>
        <w:pStyle w:val="Textonotapie"/>
        <w:ind w:firstLine="709"/>
        <w:jc w:val="both"/>
        <w:rPr>
          <w:rFonts w:ascii="Arial" w:hAnsi="Arial" w:eastAsia="Calibri" w:cs="Arial"/>
          <w:bCs/>
          <w:color w:val="000000"/>
          <w:sz w:val="19"/>
          <w:szCs w:val="19"/>
        </w:rPr>
      </w:pPr>
      <w:r w:rsidRPr="00B05E9D">
        <w:rPr>
          <w:rStyle w:val="Refdenotaalpie"/>
          <w:rFonts w:ascii="Arial" w:hAnsi="Arial" w:cs="Arial"/>
          <w:sz w:val="19"/>
          <w:szCs w:val="19"/>
        </w:rPr>
        <w:footnoteRef/>
      </w:r>
      <w:r w:rsidRPr="00B05E9D">
        <w:rPr>
          <w:rFonts w:ascii="Arial" w:hAnsi="Arial" w:cs="Arial"/>
          <w:sz w:val="19"/>
          <w:szCs w:val="19"/>
        </w:rPr>
        <w:t xml:space="preserve"> Decreto 1068 de 2015: </w:t>
      </w:r>
      <w:r w:rsidRPr="00B05E9D">
        <w:rPr>
          <w:rFonts w:ascii="Arial" w:hAnsi="Arial" w:cs="Arial"/>
          <w:color w:val="000000"/>
          <w:sz w:val="19"/>
          <w:szCs w:val="19"/>
        </w:rPr>
        <w:t>«</w:t>
      </w:r>
      <w:r w:rsidRPr="00B05E9D">
        <w:rPr>
          <w:rFonts w:ascii="Arial" w:hAnsi="Arial" w:eastAsia="Calibri" w:cs="Arial"/>
          <w:bCs/>
          <w:color w:val="000000"/>
          <w:sz w:val="19"/>
          <w:szCs w:val="19"/>
        </w:rPr>
        <w:t xml:space="preserve">Artículo 2.2.1.5.1. Contratación directa y selección de contratistas. Las operaciones de crédito público, las operaciones asimiladas, las operaciones de manejo de la deuda y las conexas con las anteriores, se contratarán de forma directa, sin someterse al procedimiento de licitación o concurso de méritos. </w:t>
      </w:r>
    </w:p>
    <w:p w:rsidRPr="00B05E9D" w:rsidR="00A26C80" w:rsidP="00A26C80" w:rsidRDefault="00EB3B23" w14:paraId="05F5DE4E" w14:textId="06F14B5E">
      <w:pPr>
        <w:pStyle w:val="Textonotapie"/>
        <w:ind w:firstLine="709"/>
        <w:jc w:val="both"/>
        <w:rPr>
          <w:rFonts w:ascii="Arial" w:hAnsi="Arial" w:cs="Arial"/>
          <w:color w:val="000000"/>
          <w:sz w:val="19"/>
          <w:szCs w:val="19"/>
        </w:rPr>
      </w:pPr>
      <w:r>
        <w:rPr>
          <w:rFonts w:ascii="Arial" w:hAnsi="Arial" w:cs="Arial"/>
          <w:color w:val="000000"/>
          <w:sz w:val="19"/>
          <w:szCs w:val="19"/>
        </w:rPr>
        <w:t>“</w:t>
      </w:r>
      <w:r w:rsidRPr="00B05E9D" w:rsidR="00A26C80">
        <w:rPr>
          <w:rFonts w:ascii="Arial" w:hAnsi="Arial" w:eastAsia="Calibri" w:cs="Arial"/>
          <w:bCs/>
          <w:color w:val="000000"/>
          <w:sz w:val="19"/>
          <w:szCs w:val="19"/>
        </w:rPr>
        <w:t>Para la selección de los contratistas se aplicarán los principios de economía, transparencia y selección objetiva contenidos en la Ley 80 de 1993, según lo dispuesto en el Capítulo en desarrollo de lo previsto en el parágrafo 2º del artículo 24 de la citada ley</w:t>
      </w:r>
      <w:r>
        <w:rPr>
          <w:rFonts w:ascii="Arial" w:hAnsi="Arial" w:cs="Arial"/>
          <w:color w:val="000000"/>
          <w:sz w:val="19"/>
          <w:szCs w:val="19"/>
        </w:rPr>
        <w:t>”</w:t>
      </w:r>
      <w:r w:rsidRPr="00B05E9D" w:rsidR="00A26C80">
        <w:rPr>
          <w:rFonts w:ascii="Arial" w:hAnsi="Arial" w:cs="Arial"/>
          <w:color w:val="000000"/>
          <w:sz w:val="19"/>
          <w:szCs w:val="19"/>
        </w:rPr>
        <w:t>.</w:t>
      </w:r>
    </w:p>
    <w:p w:rsidRPr="00B05E9D" w:rsidR="00A26C80" w:rsidP="00A26C80" w:rsidRDefault="00A26C80" w14:paraId="445E1474" w14:textId="77777777">
      <w:pPr>
        <w:pStyle w:val="Textonotapie"/>
        <w:ind w:firstLine="709"/>
        <w:jc w:val="both"/>
        <w:rPr>
          <w:rFonts w:ascii="Arial" w:hAnsi="Arial" w:cs="Arial"/>
          <w:sz w:val="19"/>
          <w:szCs w:val="19"/>
        </w:rPr>
      </w:pPr>
    </w:p>
  </w:footnote>
  <w:footnote w:id="32">
    <w:p w:rsidRPr="00B05E9D" w:rsidR="00A26C80" w:rsidP="00A26C80" w:rsidRDefault="00A26C80" w14:paraId="68436FDE" w14:textId="77777777">
      <w:pPr>
        <w:pStyle w:val="Textonotapie"/>
        <w:ind w:firstLine="709"/>
        <w:jc w:val="both"/>
        <w:rPr>
          <w:rFonts w:ascii="Arial" w:hAnsi="Arial" w:cs="Arial"/>
          <w:sz w:val="19"/>
          <w:szCs w:val="19"/>
          <w:lang w:val="es-ES"/>
        </w:rPr>
      </w:pPr>
      <w:r w:rsidRPr="00B05E9D">
        <w:rPr>
          <w:rStyle w:val="Refdenotaalpie"/>
          <w:rFonts w:ascii="Arial" w:hAnsi="Arial" w:cs="Arial"/>
          <w:sz w:val="19"/>
          <w:szCs w:val="19"/>
        </w:rPr>
        <w:footnoteRef/>
      </w:r>
      <w:r w:rsidRPr="00B05E9D">
        <w:rPr>
          <w:rFonts w:ascii="Arial" w:hAnsi="Arial" w:cs="Arial"/>
          <w:sz w:val="19"/>
          <w:szCs w:val="19"/>
        </w:rPr>
        <w:t xml:space="preserve"> </w:t>
      </w:r>
      <w:r w:rsidRPr="00B05E9D">
        <w:rPr>
          <w:rFonts w:ascii="Arial" w:hAnsi="Arial" w:cs="Arial"/>
          <w:sz w:val="19"/>
          <w:szCs w:val="19"/>
          <w:lang w:val="es-ES"/>
        </w:rPr>
        <w:t>Departamento Nacional de Planeación, Subdirección de Crédito, Bogotá D.C., mayo de 2013, Manual de Operaciones de Crédito Público, acápite 1.1.3.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p w:rsidR="00756841" w:rsidRDefault="00961B09" w14:paraId="6ED12154" w14:textId="43B6B0B6">
    <w:pPr>
      <w:pStyle w:val="Encabezado"/>
    </w:pPr>
    <w:r>
      <w:rPr>
        <w:noProof/>
      </w:rPr>
      <w:drawing>
        <wp:anchor distT="0" distB="0" distL="114300" distR="114300" simplePos="0" relativeHeight="251658240" behindDoc="1" locked="0" layoutInCell="1" allowOverlap="1" wp14:anchorId="748FC4A6" wp14:editId="75ADBD22">
          <wp:simplePos x="0" y="0"/>
          <wp:positionH relativeFrom="margin">
            <wp:align>right</wp:align>
          </wp:positionH>
          <wp:positionV relativeFrom="margin">
            <wp:posOffset>-1135380</wp:posOffset>
          </wp:positionV>
          <wp:extent cx="1757045" cy="628650"/>
          <wp:effectExtent l="0" t="0" r="0" b="0"/>
          <wp:wrapNone/>
          <wp:docPr id="864305913" name="Imagen 864305913" descr="Imagen que contiene 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4305913" name="Imagen 7" descr="Imagen que contiene Logotip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757045" cy="628650"/>
                  </a:xfrm>
                  <a:prstGeom prst="rect">
                    <a:avLst/>
                  </a:prstGeom>
                </pic:spPr>
              </pic:pic>
            </a:graphicData>
          </a:graphic>
          <wp14:sizeRelH relativeFrom="margin">
            <wp14:pctWidth>0</wp14:pctWidth>
          </wp14:sizeRelH>
          <wp14:sizeRelV relativeFrom="margin">
            <wp14:pctHeight>0</wp14:pctHeight>
          </wp14:sizeRelV>
        </wp:anchor>
      </w:drawing>
    </w:r>
    <w:r w:rsidRPr="00852E0B" w:rsidR="002962BC">
      <w:rPr>
        <w:rFonts w:ascii="Geomanist Bold" w:hAnsi="Geomanist Bold"/>
        <w:b/>
        <w:bCs/>
        <w:noProof/>
        <w:color w:val="46589C"/>
        <w:sz w:val="24"/>
        <w:szCs w:val="24"/>
      </w:rPr>
      <w:drawing>
        <wp:anchor distT="0" distB="0" distL="114300" distR="114300" simplePos="0" relativeHeight="251658244" behindDoc="0" locked="0" layoutInCell="1" allowOverlap="1" wp14:anchorId="7E9042C1" wp14:editId="4CC480E9">
          <wp:simplePos x="0" y="0"/>
          <wp:positionH relativeFrom="page">
            <wp:posOffset>7338060</wp:posOffset>
          </wp:positionH>
          <wp:positionV relativeFrom="margin">
            <wp:posOffset>-1644650</wp:posOffset>
          </wp:positionV>
          <wp:extent cx="665480" cy="3098800"/>
          <wp:effectExtent l="0" t="0" r="1270" b="6350"/>
          <wp:wrapThrough wrapText="bothSides">
            <wp:wrapPolygon edited="0">
              <wp:start x="4947" y="0"/>
              <wp:lineTo x="0" y="1328"/>
              <wp:lineTo x="0" y="1593"/>
              <wp:lineTo x="2473" y="2125"/>
              <wp:lineTo x="0" y="4648"/>
              <wp:lineTo x="0" y="4913"/>
              <wp:lineTo x="5565" y="6374"/>
              <wp:lineTo x="0" y="7967"/>
              <wp:lineTo x="0" y="11818"/>
              <wp:lineTo x="3092" y="12748"/>
              <wp:lineTo x="0" y="14739"/>
              <wp:lineTo x="0" y="15138"/>
              <wp:lineTo x="3710" y="16997"/>
              <wp:lineTo x="0" y="17926"/>
              <wp:lineTo x="0" y="18590"/>
              <wp:lineTo x="1237" y="19121"/>
              <wp:lineTo x="9275" y="21246"/>
              <wp:lineTo x="11130" y="21511"/>
              <wp:lineTo x="15458" y="21511"/>
              <wp:lineTo x="21023" y="20184"/>
              <wp:lineTo x="21023" y="19918"/>
              <wp:lineTo x="17931" y="19121"/>
              <wp:lineTo x="21023" y="16864"/>
              <wp:lineTo x="21023" y="16466"/>
              <wp:lineTo x="14221" y="14872"/>
              <wp:lineTo x="21023" y="13544"/>
              <wp:lineTo x="21023" y="9693"/>
              <wp:lineTo x="16076" y="8498"/>
              <wp:lineTo x="21023" y="6772"/>
              <wp:lineTo x="21023" y="6241"/>
              <wp:lineTo x="17931" y="4249"/>
              <wp:lineTo x="21023" y="3452"/>
              <wp:lineTo x="21023" y="2789"/>
              <wp:lineTo x="9275" y="0"/>
              <wp:lineTo x="4947" y="0"/>
            </wp:wrapPolygon>
          </wp:wrapThrough>
          <wp:docPr id="1644356580" name="Imagen 16443565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2" behindDoc="0" locked="0" layoutInCell="1" allowOverlap="1" wp14:anchorId="4F745D08" wp14:editId="59122E37">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r w:rsidR="00FB5DD1">
      <w:rPr>
        <w:noProof/>
      </w:rPr>
      <w:drawing>
        <wp:anchor distT="0" distB="0" distL="114300" distR="114300" simplePos="0" relativeHeight="251658241" behindDoc="0" locked="0" layoutInCell="1" allowOverlap="1" wp14:anchorId="38EA71DA" wp14:editId="78EBA255">
          <wp:simplePos x="0" y="0"/>
          <wp:positionH relativeFrom="margin">
            <wp:align>left</wp:align>
          </wp:positionH>
          <wp:positionV relativeFrom="paragraph">
            <wp:posOffset>-77470</wp:posOffset>
          </wp:positionV>
          <wp:extent cx="1399540" cy="485775"/>
          <wp:effectExtent l="0" t="0" r="0" b="0"/>
          <wp:wrapThrough wrapText="bothSides">
            <wp:wrapPolygon edited="0">
              <wp:start x="0" y="0"/>
              <wp:lineTo x="0" y="20329"/>
              <wp:lineTo x="21169" y="20329"/>
              <wp:lineTo x="21169" y="0"/>
              <wp:lineTo x="0" y="0"/>
            </wp:wrapPolygon>
          </wp:wrapThrough>
          <wp:docPr id="910553655" name="Imagen 910553655" descr="Un dibujo con letras&#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0553655" name="Imagen 6" descr="Un dibujo con letras&#10;&#10;Descripción generada automáticamente con confianza media"/>
                  <pic:cNvPicPr/>
                </pic:nvPicPr>
                <pic:blipFill>
                  <a:blip r:embed="rId3">
                    <a:extLst>
                      <a:ext uri="{28A0092B-C50C-407E-A947-70E740481C1C}">
                        <a14:useLocalDpi xmlns:a14="http://schemas.microsoft.com/office/drawing/2010/main" val="0"/>
                      </a:ext>
                    </a:extLst>
                  </a:blip>
                  <a:stretch>
                    <a:fillRect/>
                  </a:stretch>
                </pic:blipFill>
                <pic:spPr>
                  <a:xfrm>
                    <a:off x="0" y="0"/>
                    <a:ext cx="1405747" cy="487770"/>
                  </a:xfrm>
                  <a:prstGeom prst="rect">
                    <a:avLst/>
                  </a:prstGeom>
                </pic:spPr>
              </pic:pic>
            </a:graphicData>
          </a:graphic>
          <wp14:sizeRelH relativeFrom="page">
            <wp14:pctWidth>0</wp14:pctWidth>
          </wp14:sizeRelH>
          <wp14:sizeRelV relativeFrom="page">
            <wp14:pctHeight>0</wp14:pctHeight>
          </wp14:sizeRelV>
        </wp:anchor>
      </w:drawing>
    </w:r>
  </w:p>
  <w:p w:rsidR="00756841" w:rsidRDefault="00756841" w14:paraId="435F4D03" w14:textId="67DABC48">
    <w:pPr>
      <w:pStyle w:val="Encabezado"/>
    </w:pPr>
  </w:p>
  <w:p w:rsidR="00756841" w:rsidRDefault="00756841" w14:paraId="1BE2B9AE" w14:textId="4B94DB3B">
    <w:pPr>
      <w:pStyle w:val="Encabezado"/>
    </w:pPr>
  </w:p>
  <w:p w:rsidRPr="004A305D" w:rsidR="004A305D" w:rsidP="004A305D" w:rsidRDefault="004A305D" w14:paraId="7FE1230C" w14:textId="77777777">
    <w:pPr>
      <w:spacing w:after="0"/>
      <w:rPr>
        <w:rFonts w:ascii="Century Gothic" w:hAnsi="Century Gothic"/>
        <w:color w:val="002060"/>
        <w:sz w:val="16"/>
        <w:szCs w:val="16"/>
      </w:rPr>
    </w:pPr>
    <w:r w:rsidRPr="004A305D">
      <w:rPr>
        <w:rFonts w:ascii="Century Gothic" w:hAnsi="Century Gothic"/>
        <w:color w:val="002060"/>
        <w:sz w:val="16"/>
        <w:szCs w:val="16"/>
      </w:rPr>
      <w:t>FORMATO PQRSD</w:t>
    </w:r>
  </w:p>
  <w:p w:rsidRPr="004A305D" w:rsidR="004A305D" w:rsidP="004A305D" w:rsidRDefault="004A305D" w14:paraId="7B0A8834" w14:textId="37E5E717">
    <w:pPr>
      <w:pBdr>
        <w:top w:val="nil"/>
        <w:left w:val="nil"/>
        <w:bottom w:val="nil"/>
        <w:right w:val="nil"/>
        <w:between w:val="nil"/>
      </w:pBdr>
      <w:tabs>
        <w:tab w:val="center" w:pos="4419"/>
        <w:tab w:val="right" w:pos="8838"/>
        <w:tab w:val="center" w:pos="5400"/>
      </w:tabs>
      <w:spacing w:after="0"/>
      <w:rPr>
        <w:rFonts w:ascii="Century Gothic" w:hAnsi="Century Gothic" w:eastAsia="Geo" w:cs="Geo"/>
        <w:b/>
        <w:color w:val="002060"/>
        <w:sz w:val="16"/>
        <w:szCs w:val="16"/>
        <w:lang w:eastAsia="es-CO"/>
      </w:rPr>
    </w:pPr>
    <w:r w:rsidRPr="004A305D">
      <w:rPr>
        <w:rFonts w:ascii="Century Gothic" w:hAnsi="Century Gothic" w:eastAsia="Geo" w:cs="Geo"/>
        <w:b/>
        <w:color w:val="000000"/>
        <w:sz w:val="16"/>
        <w:szCs w:val="16"/>
        <w:lang w:eastAsia="es-CO"/>
      </w:rPr>
      <w:t xml:space="preserve">Código: </w:t>
    </w:r>
    <w:r w:rsidRPr="004A305D">
      <w:rPr>
        <w:rFonts w:ascii="Century Gothic" w:hAnsi="Century Gothic" w:eastAsia="Geo" w:cs="Geo"/>
        <w:bCs/>
        <w:color w:val="000000"/>
        <w:sz w:val="16"/>
        <w:szCs w:val="16"/>
        <w:lang w:eastAsia="es-CO"/>
      </w:rPr>
      <w:t>CCE-</w:t>
    </w:r>
    <w:r w:rsidR="00CB6357">
      <w:rPr>
        <w:rFonts w:ascii="Century Gothic" w:hAnsi="Century Gothic" w:eastAsia="Geo" w:cs="Geo"/>
        <w:bCs/>
        <w:color w:val="000000"/>
        <w:sz w:val="16"/>
        <w:szCs w:val="16"/>
        <w:lang w:eastAsia="es-CO"/>
      </w:rPr>
      <w:t>REC</w:t>
    </w:r>
    <w:r w:rsidRPr="004A305D">
      <w:rPr>
        <w:rFonts w:ascii="Century Gothic" w:hAnsi="Century Gothic" w:eastAsia="Geo" w:cs="Geo"/>
        <w:bCs/>
        <w:color w:val="000000"/>
        <w:sz w:val="16"/>
        <w:szCs w:val="16"/>
        <w:lang w:eastAsia="es-CO"/>
      </w:rPr>
      <w:t>-FM-</w:t>
    </w:r>
    <w:r w:rsidR="00CB6357">
      <w:rPr>
        <w:rFonts w:ascii="Century Gothic" w:hAnsi="Century Gothic" w:eastAsia="Geo" w:cs="Geo"/>
        <w:bCs/>
        <w:color w:val="000000"/>
        <w:sz w:val="16"/>
        <w:szCs w:val="16"/>
        <w:lang w:eastAsia="es-CO"/>
      </w:rPr>
      <w:t>13</w:t>
    </w:r>
  </w:p>
  <w:p w:rsidRPr="004A305D" w:rsidR="004A305D" w:rsidP="004A305D" w:rsidRDefault="004A305D" w14:paraId="5E18350A" w14:textId="3833E343">
    <w:pPr>
      <w:spacing w:after="0"/>
      <w:rPr>
        <w:rFonts w:ascii="Century Gothic" w:hAnsi="Century Gothic" w:eastAsia="Geo" w:cs="Geo"/>
        <w:sz w:val="16"/>
        <w:szCs w:val="16"/>
        <w:lang w:eastAsia="es-CO"/>
      </w:rPr>
    </w:pPr>
    <w:r w:rsidRPr="004A305D">
      <w:rPr>
        <w:rFonts w:ascii="Century Gothic" w:hAnsi="Century Gothic" w:eastAsia="Geo" w:cs="Geo"/>
        <w:b/>
        <w:color w:val="000000"/>
        <w:sz w:val="16"/>
        <w:szCs w:val="16"/>
        <w:lang w:eastAsia="es-CO"/>
      </w:rPr>
      <w:t>Versión</w:t>
    </w:r>
    <w:r w:rsidRPr="004A305D">
      <w:rPr>
        <w:rFonts w:ascii="Century Gothic" w:hAnsi="Century Gothic" w:eastAsia="Arial Nova" w:cs="Arial Nova"/>
        <w:b/>
        <w:color w:val="000000"/>
        <w:sz w:val="16"/>
        <w:szCs w:val="16"/>
        <w:lang w:eastAsia="es-CO"/>
      </w:rPr>
      <w:t xml:space="preserve">: </w:t>
    </w:r>
    <w:r w:rsidRPr="004A305D">
      <w:rPr>
        <w:rFonts w:ascii="Century Gothic" w:hAnsi="Century Gothic" w:eastAsia="Geo" w:cs="Geo"/>
        <w:sz w:val="16"/>
        <w:szCs w:val="16"/>
        <w:lang w:eastAsia="es-CO"/>
      </w:rPr>
      <w:t>0</w:t>
    </w:r>
    <w:r w:rsidR="00CB6357">
      <w:rPr>
        <w:rFonts w:ascii="Century Gothic" w:hAnsi="Century Gothic" w:eastAsia="Geo" w:cs="Geo"/>
        <w:sz w:val="16"/>
        <w:szCs w:val="16"/>
        <w:lang w:eastAsia="es-CO"/>
      </w:rPr>
      <w:t>1</w:t>
    </w:r>
    <w:r w:rsidRPr="004A305D">
      <w:rPr>
        <w:rFonts w:ascii="Century Gothic" w:hAnsi="Century Gothic" w:eastAsia="Geo" w:cs="Geo"/>
        <w:sz w:val="16"/>
        <w:szCs w:val="16"/>
        <w:lang w:eastAsia="es-CO"/>
      </w:rPr>
      <w:t xml:space="preserve"> DEL </w:t>
    </w:r>
    <w:r w:rsidR="00CB6357">
      <w:rPr>
        <w:rFonts w:ascii="Century Gothic" w:hAnsi="Century Gothic" w:eastAsia="Geo" w:cs="Geo"/>
        <w:sz w:val="16"/>
        <w:szCs w:val="16"/>
        <w:lang w:eastAsia="es-CO"/>
      </w:rPr>
      <w:t xml:space="preserve">15 </w:t>
    </w:r>
    <w:r w:rsidRPr="004A305D">
      <w:rPr>
        <w:rFonts w:ascii="Century Gothic" w:hAnsi="Century Gothic" w:eastAsia="Geo" w:cs="Geo"/>
        <w:sz w:val="16"/>
        <w:szCs w:val="16"/>
        <w:lang w:eastAsia="es-CO"/>
      </w:rPr>
      <w:t xml:space="preserve">DE </w:t>
    </w:r>
    <w:r w:rsidR="00961B09">
      <w:rPr>
        <w:rFonts w:ascii="Century Gothic" w:hAnsi="Century Gothic" w:eastAsia="Geo" w:cs="Geo"/>
        <w:sz w:val="16"/>
        <w:szCs w:val="16"/>
        <w:lang w:eastAsia="es-CO"/>
      </w:rPr>
      <w:t>JUNIO</w:t>
    </w:r>
    <w:r w:rsidRPr="004A305D">
      <w:rPr>
        <w:rFonts w:ascii="Century Gothic" w:hAnsi="Century Gothic" w:eastAsia="Geo" w:cs="Geo"/>
        <w:sz w:val="16"/>
        <w:szCs w:val="16"/>
        <w:lang w:eastAsia="es-CO"/>
      </w:rPr>
      <w:t xml:space="preserve"> DE 202</w:t>
    </w:r>
    <w:r w:rsidR="00961B09">
      <w:rPr>
        <w:rFonts w:ascii="Century Gothic" w:hAnsi="Century Gothic" w:eastAsia="Geo" w:cs="Geo"/>
        <w:sz w:val="16"/>
        <w:szCs w:val="16"/>
        <w:lang w:eastAsia="es-CO"/>
      </w:rPr>
      <w:t>3</w:t>
    </w:r>
  </w:p>
  <w:p w:rsidR="008A446D" w:rsidRDefault="008A446D" w14:paraId="1FD1C243" w14:textId="6D74A3CF">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hint="default" w:ascii="Arial" w:hAnsi="Arial" w:eastAsia="Times New Roman" w:cs="Arial"/>
        <w:b/>
      </w:rPr>
    </w:lvl>
    <w:lvl w:ilvl="1" w:tplc="0C0A0003" w:tentative="1">
      <w:start w:val="1"/>
      <w:numFmt w:val="bullet"/>
      <w:lvlText w:val="o"/>
      <w:lvlJc w:val="left"/>
      <w:pPr>
        <w:ind w:left="1800" w:hanging="360"/>
      </w:pPr>
      <w:rPr>
        <w:rFonts w:hint="default" w:ascii="Courier New" w:hAnsi="Courier New" w:cs="Courier New"/>
      </w:rPr>
    </w:lvl>
    <w:lvl w:ilvl="2" w:tplc="0C0A0005" w:tentative="1">
      <w:start w:val="1"/>
      <w:numFmt w:val="bullet"/>
      <w:lvlText w:val=""/>
      <w:lvlJc w:val="left"/>
      <w:pPr>
        <w:ind w:left="2520" w:hanging="360"/>
      </w:pPr>
      <w:rPr>
        <w:rFonts w:hint="default" w:ascii="Wingdings" w:hAnsi="Wingdings"/>
      </w:rPr>
    </w:lvl>
    <w:lvl w:ilvl="3" w:tplc="0C0A0001" w:tentative="1">
      <w:start w:val="1"/>
      <w:numFmt w:val="bullet"/>
      <w:lvlText w:val=""/>
      <w:lvlJc w:val="left"/>
      <w:pPr>
        <w:ind w:left="3240" w:hanging="360"/>
      </w:pPr>
      <w:rPr>
        <w:rFonts w:hint="default" w:ascii="Symbol" w:hAnsi="Symbol"/>
      </w:rPr>
    </w:lvl>
    <w:lvl w:ilvl="4" w:tplc="0C0A0003" w:tentative="1">
      <w:start w:val="1"/>
      <w:numFmt w:val="bullet"/>
      <w:lvlText w:val="o"/>
      <w:lvlJc w:val="left"/>
      <w:pPr>
        <w:ind w:left="3960" w:hanging="360"/>
      </w:pPr>
      <w:rPr>
        <w:rFonts w:hint="default" w:ascii="Courier New" w:hAnsi="Courier New" w:cs="Courier New"/>
      </w:rPr>
    </w:lvl>
    <w:lvl w:ilvl="5" w:tplc="0C0A0005" w:tentative="1">
      <w:start w:val="1"/>
      <w:numFmt w:val="bullet"/>
      <w:lvlText w:val=""/>
      <w:lvlJc w:val="left"/>
      <w:pPr>
        <w:ind w:left="4680" w:hanging="360"/>
      </w:pPr>
      <w:rPr>
        <w:rFonts w:hint="default" w:ascii="Wingdings" w:hAnsi="Wingdings"/>
      </w:rPr>
    </w:lvl>
    <w:lvl w:ilvl="6" w:tplc="0C0A0001" w:tentative="1">
      <w:start w:val="1"/>
      <w:numFmt w:val="bullet"/>
      <w:lvlText w:val=""/>
      <w:lvlJc w:val="left"/>
      <w:pPr>
        <w:ind w:left="5400" w:hanging="360"/>
      </w:pPr>
      <w:rPr>
        <w:rFonts w:hint="default" w:ascii="Symbol" w:hAnsi="Symbol"/>
      </w:rPr>
    </w:lvl>
    <w:lvl w:ilvl="7" w:tplc="0C0A0003" w:tentative="1">
      <w:start w:val="1"/>
      <w:numFmt w:val="bullet"/>
      <w:lvlText w:val="o"/>
      <w:lvlJc w:val="left"/>
      <w:pPr>
        <w:ind w:left="6120" w:hanging="360"/>
      </w:pPr>
      <w:rPr>
        <w:rFonts w:hint="default" w:ascii="Courier New" w:hAnsi="Courier New" w:cs="Courier New"/>
      </w:rPr>
    </w:lvl>
    <w:lvl w:ilvl="8" w:tplc="0C0A0005" w:tentative="1">
      <w:start w:val="1"/>
      <w:numFmt w:val="bullet"/>
      <w:lvlText w:val=""/>
      <w:lvlJc w:val="left"/>
      <w:pPr>
        <w:ind w:left="6840" w:hanging="360"/>
      </w:pPr>
      <w:rPr>
        <w:rFonts w:hint="default" w:ascii="Wingdings" w:hAnsi="Wingdings"/>
      </w:rPr>
    </w:lvl>
  </w:abstractNum>
  <w:abstractNum w:abstractNumId="2"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384C7A8E"/>
    <w:multiLevelType w:val="hybridMultilevel"/>
    <w:tmpl w:val="484E2984"/>
    <w:lvl w:ilvl="0" w:tplc="096A7C5C">
      <w:start w:val="1"/>
      <w:numFmt w:val="bullet"/>
      <w:lvlText w:val=""/>
      <w:lvlJc w:val="left"/>
      <w:pPr>
        <w:ind w:left="1080" w:hanging="360"/>
      </w:pPr>
      <w:rPr>
        <w:rFonts w:hint="default" w:ascii="Symbol" w:hAnsi="Symbol" w:cs="Times New Roman" w:eastAsiaTheme="minorHAnsi"/>
      </w:rPr>
    </w:lvl>
    <w:lvl w:ilvl="1" w:tplc="04090003" w:tentative="1">
      <w:start w:val="1"/>
      <w:numFmt w:val="bullet"/>
      <w:lvlText w:val="o"/>
      <w:lvlJc w:val="left"/>
      <w:pPr>
        <w:ind w:left="1800" w:hanging="360"/>
      </w:pPr>
      <w:rPr>
        <w:rFonts w:hint="default" w:ascii="Courier New" w:hAnsi="Courier New" w:cs="Courier New"/>
      </w:rPr>
    </w:lvl>
    <w:lvl w:ilvl="2" w:tplc="04090005" w:tentative="1">
      <w:start w:val="1"/>
      <w:numFmt w:val="bullet"/>
      <w:lvlText w:val=""/>
      <w:lvlJc w:val="left"/>
      <w:pPr>
        <w:ind w:left="2520" w:hanging="360"/>
      </w:pPr>
      <w:rPr>
        <w:rFonts w:hint="default" w:ascii="Wingdings" w:hAnsi="Wingdings"/>
      </w:rPr>
    </w:lvl>
    <w:lvl w:ilvl="3" w:tplc="04090001" w:tentative="1">
      <w:start w:val="1"/>
      <w:numFmt w:val="bullet"/>
      <w:lvlText w:val=""/>
      <w:lvlJc w:val="left"/>
      <w:pPr>
        <w:ind w:left="3240" w:hanging="360"/>
      </w:pPr>
      <w:rPr>
        <w:rFonts w:hint="default" w:ascii="Symbol" w:hAnsi="Symbol"/>
      </w:rPr>
    </w:lvl>
    <w:lvl w:ilvl="4" w:tplc="04090003" w:tentative="1">
      <w:start w:val="1"/>
      <w:numFmt w:val="bullet"/>
      <w:lvlText w:val="o"/>
      <w:lvlJc w:val="left"/>
      <w:pPr>
        <w:ind w:left="3960" w:hanging="360"/>
      </w:pPr>
      <w:rPr>
        <w:rFonts w:hint="default" w:ascii="Courier New" w:hAnsi="Courier New" w:cs="Courier New"/>
      </w:rPr>
    </w:lvl>
    <w:lvl w:ilvl="5" w:tplc="04090005" w:tentative="1">
      <w:start w:val="1"/>
      <w:numFmt w:val="bullet"/>
      <w:lvlText w:val=""/>
      <w:lvlJc w:val="left"/>
      <w:pPr>
        <w:ind w:left="4680" w:hanging="360"/>
      </w:pPr>
      <w:rPr>
        <w:rFonts w:hint="default" w:ascii="Wingdings" w:hAnsi="Wingdings"/>
      </w:rPr>
    </w:lvl>
    <w:lvl w:ilvl="6" w:tplc="04090001" w:tentative="1">
      <w:start w:val="1"/>
      <w:numFmt w:val="bullet"/>
      <w:lvlText w:val=""/>
      <w:lvlJc w:val="left"/>
      <w:pPr>
        <w:ind w:left="5400" w:hanging="360"/>
      </w:pPr>
      <w:rPr>
        <w:rFonts w:hint="default" w:ascii="Symbol" w:hAnsi="Symbol"/>
      </w:rPr>
    </w:lvl>
    <w:lvl w:ilvl="7" w:tplc="04090003" w:tentative="1">
      <w:start w:val="1"/>
      <w:numFmt w:val="bullet"/>
      <w:lvlText w:val="o"/>
      <w:lvlJc w:val="left"/>
      <w:pPr>
        <w:ind w:left="6120" w:hanging="360"/>
      </w:pPr>
      <w:rPr>
        <w:rFonts w:hint="default" w:ascii="Courier New" w:hAnsi="Courier New" w:cs="Courier New"/>
      </w:rPr>
    </w:lvl>
    <w:lvl w:ilvl="8" w:tplc="04090005" w:tentative="1">
      <w:start w:val="1"/>
      <w:numFmt w:val="bullet"/>
      <w:lvlText w:val=""/>
      <w:lvlJc w:val="left"/>
      <w:pPr>
        <w:ind w:left="6840" w:hanging="360"/>
      </w:pPr>
      <w:rPr>
        <w:rFonts w:hint="default" w:ascii="Wingdings" w:hAnsi="Wingdings"/>
      </w:rPr>
    </w:lvl>
  </w:abstractNum>
  <w:num w:numId="1" w16cid:durableId="948779781">
    <w:abstractNumId w:val="3"/>
  </w:num>
  <w:num w:numId="2" w16cid:durableId="19822139">
    <w:abstractNumId w:val="1"/>
  </w:num>
  <w:num w:numId="3" w16cid:durableId="876742304">
    <w:abstractNumId w:val="2"/>
  </w:num>
  <w:num w:numId="4" w16cid:durableId="24518640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226695335">
    <w:abstractNumId w:val="0"/>
  </w:num>
  <w:num w:numId="7" w16cid:durableId="1859345855">
    <w:abstractNumId w:val="4"/>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40"/>
  <w:trackRevisions w:val="false"/>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5318"/>
    <w:rsid w:val="00097726"/>
    <w:rsid w:val="000A2161"/>
    <w:rsid w:val="000A683E"/>
    <w:rsid w:val="000B19B9"/>
    <w:rsid w:val="000D0334"/>
    <w:rsid w:val="000F6486"/>
    <w:rsid w:val="000F6DD9"/>
    <w:rsid w:val="00111F03"/>
    <w:rsid w:val="00125105"/>
    <w:rsid w:val="00127233"/>
    <w:rsid w:val="00146E9C"/>
    <w:rsid w:val="00174A50"/>
    <w:rsid w:val="001D78D6"/>
    <w:rsid w:val="001E4177"/>
    <w:rsid w:val="00206DFD"/>
    <w:rsid w:val="0026242B"/>
    <w:rsid w:val="002951A0"/>
    <w:rsid w:val="002962BC"/>
    <w:rsid w:val="002A093D"/>
    <w:rsid w:val="002A49AC"/>
    <w:rsid w:val="002A64FD"/>
    <w:rsid w:val="002C33E3"/>
    <w:rsid w:val="002C7A84"/>
    <w:rsid w:val="00310DCB"/>
    <w:rsid w:val="003448F4"/>
    <w:rsid w:val="0035052E"/>
    <w:rsid w:val="003825C6"/>
    <w:rsid w:val="003855CD"/>
    <w:rsid w:val="00393D2C"/>
    <w:rsid w:val="003A53B8"/>
    <w:rsid w:val="003A5BD1"/>
    <w:rsid w:val="003A779E"/>
    <w:rsid w:val="003D0F4D"/>
    <w:rsid w:val="003E0499"/>
    <w:rsid w:val="003F3941"/>
    <w:rsid w:val="00400548"/>
    <w:rsid w:val="00403905"/>
    <w:rsid w:val="004223BC"/>
    <w:rsid w:val="004518EC"/>
    <w:rsid w:val="004718EE"/>
    <w:rsid w:val="004A1847"/>
    <w:rsid w:val="004A305D"/>
    <w:rsid w:val="004E0DFA"/>
    <w:rsid w:val="004F21C4"/>
    <w:rsid w:val="004F685F"/>
    <w:rsid w:val="00504DA9"/>
    <w:rsid w:val="00511663"/>
    <w:rsid w:val="00524048"/>
    <w:rsid w:val="00536B0E"/>
    <w:rsid w:val="005566E8"/>
    <w:rsid w:val="0056425D"/>
    <w:rsid w:val="00574867"/>
    <w:rsid w:val="005B1BC3"/>
    <w:rsid w:val="005C5CDC"/>
    <w:rsid w:val="005D476C"/>
    <w:rsid w:val="005F55F7"/>
    <w:rsid w:val="00610CBB"/>
    <w:rsid w:val="006219F8"/>
    <w:rsid w:val="00665D70"/>
    <w:rsid w:val="006B3B36"/>
    <w:rsid w:val="006E69FF"/>
    <w:rsid w:val="006E7BD5"/>
    <w:rsid w:val="007030BF"/>
    <w:rsid w:val="007041BB"/>
    <w:rsid w:val="00706C16"/>
    <w:rsid w:val="007345CE"/>
    <w:rsid w:val="00756841"/>
    <w:rsid w:val="007649AB"/>
    <w:rsid w:val="007833AC"/>
    <w:rsid w:val="007A53E8"/>
    <w:rsid w:val="007B7171"/>
    <w:rsid w:val="007C3DC2"/>
    <w:rsid w:val="007E5497"/>
    <w:rsid w:val="007F6B0F"/>
    <w:rsid w:val="00806F5F"/>
    <w:rsid w:val="00820278"/>
    <w:rsid w:val="00827774"/>
    <w:rsid w:val="008316FD"/>
    <w:rsid w:val="0085009A"/>
    <w:rsid w:val="008843B6"/>
    <w:rsid w:val="00891928"/>
    <w:rsid w:val="008A446D"/>
    <w:rsid w:val="008B6612"/>
    <w:rsid w:val="008F0EA7"/>
    <w:rsid w:val="00911A1B"/>
    <w:rsid w:val="00923EEF"/>
    <w:rsid w:val="009419F9"/>
    <w:rsid w:val="00961B09"/>
    <w:rsid w:val="00963AFD"/>
    <w:rsid w:val="00965334"/>
    <w:rsid w:val="0097093E"/>
    <w:rsid w:val="009C71FA"/>
    <w:rsid w:val="009C72E7"/>
    <w:rsid w:val="00A04D74"/>
    <w:rsid w:val="00A17F13"/>
    <w:rsid w:val="00A20739"/>
    <w:rsid w:val="00A26C80"/>
    <w:rsid w:val="00A33C78"/>
    <w:rsid w:val="00A37F3C"/>
    <w:rsid w:val="00AB0ADB"/>
    <w:rsid w:val="00AE3017"/>
    <w:rsid w:val="00AE6A1E"/>
    <w:rsid w:val="00B5730B"/>
    <w:rsid w:val="00B72CD3"/>
    <w:rsid w:val="00B72FFF"/>
    <w:rsid w:val="00BC3A6D"/>
    <w:rsid w:val="00BC72DC"/>
    <w:rsid w:val="00BD0ACC"/>
    <w:rsid w:val="00BD7F72"/>
    <w:rsid w:val="00C04FB3"/>
    <w:rsid w:val="00C22F62"/>
    <w:rsid w:val="00C330EB"/>
    <w:rsid w:val="00C60B22"/>
    <w:rsid w:val="00C754BE"/>
    <w:rsid w:val="00C81D50"/>
    <w:rsid w:val="00CB6357"/>
    <w:rsid w:val="00CB7DD3"/>
    <w:rsid w:val="00CC1B26"/>
    <w:rsid w:val="00D11B14"/>
    <w:rsid w:val="00D32DB0"/>
    <w:rsid w:val="00D423A2"/>
    <w:rsid w:val="00D50D7A"/>
    <w:rsid w:val="00D63AC2"/>
    <w:rsid w:val="00D7383B"/>
    <w:rsid w:val="00DA231B"/>
    <w:rsid w:val="00DF3F73"/>
    <w:rsid w:val="00E16408"/>
    <w:rsid w:val="00E20894"/>
    <w:rsid w:val="00E20B1B"/>
    <w:rsid w:val="00E245AB"/>
    <w:rsid w:val="00E50AFE"/>
    <w:rsid w:val="00E55822"/>
    <w:rsid w:val="00E771DC"/>
    <w:rsid w:val="00E8772A"/>
    <w:rsid w:val="00E90F6B"/>
    <w:rsid w:val="00E92C27"/>
    <w:rsid w:val="00EA0E3D"/>
    <w:rsid w:val="00EB1172"/>
    <w:rsid w:val="00EB3B23"/>
    <w:rsid w:val="00EB5100"/>
    <w:rsid w:val="00EE1AA8"/>
    <w:rsid w:val="00F204AB"/>
    <w:rsid w:val="00F31EDC"/>
    <w:rsid w:val="00F5664F"/>
    <w:rsid w:val="00F601E5"/>
    <w:rsid w:val="00F76AFC"/>
    <w:rsid w:val="00FB5DD1"/>
    <w:rsid w:val="00FC2B5D"/>
    <w:rsid w:val="00FF1449"/>
    <w:rsid w:val="14D48936"/>
    <w:rsid w:val="196A26A7"/>
    <w:rsid w:val="46B3B898"/>
    <w:rsid w:val="4976E847"/>
    <w:rsid w:val="4F3A204E"/>
    <w:rsid w:val="5411EC76"/>
    <w:rsid w:val="5CE2B688"/>
    <w:rsid w:val="631EB771"/>
    <w:rsid w:val="65D2A4BA"/>
    <w:rsid w:val="7BE23EC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E245AB"/>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styleId="EncabezadoCar" w:customStyle="1">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styleId="PiedepginaCar" w:customStyle="1">
    <w:name w:val="Pie de página Car"/>
    <w:basedOn w:val="Fuentedeprrafopredeter"/>
    <w:link w:val="Piedepgina"/>
    <w:uiPriority w:val="99"/>
    <w:rsid w:val="004A1847"/>
  </w:style>
  <w:style w:type="paragraph" w:styleId="Default" w:customStyle="1">
    <w:name w:val="Default"/>
    <w:rsid w:val="006219F8"/>
    <w:pPr>
      <w:autoSpaceDE w:val="0"/>
      <w:autoSpaceDN w:val="0"/>
      <w:adjustRightInd w:val="0"/>
      <w:spacing w:after="0" w:line="240" w:lineRule="auto"/>
    </w:pPr>
    <w:rPr>
      <w:rFonts w:ascii="Arial" w:hAnsi="Arial" w:cs="Arial"/>
      <w:color w:val="000000"/>
      <w:sz w:val="24"/>
      <w:szCs w:val="24"/>
    </w:rPr>
  </w:style>
  <w:style w:type="character" w:styleId="TextonotapieCar" w:customStyle="1">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styleId="TextonotapieCar1" w:customStyle="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styleId="normaltextrun" w:customStyle="1">
    <w:name w:val="normaltextrun"/>
    <w:basedOn w:val="Fuentedeprrafopredeter"/>
    <w:rsid w:val="006219F8"/>
  </w:style>
  <w:style w:type="table" w:styleId="Tablaconcuadrcula">
    <w:name w:val="Table Grid"/>
    <w:basedOn w:val="Tablanormal"/>
    <w:uiPriority w:val="39"/>
    <w:rsid w:val="006219F8"/>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hAnsi="Geomanist" w:eastAsiaTheme="majorEastAsia" w:cstheme="majorBidi"/>
      <w:spacing w:val="-10"/>
      <w:kern w:val="28"/>
      <w:szCs w:val="56"/>
      <w:lang w:val="es-ES"/>
    </w:rPr>
  </w:style>
  <w:style w:type="character" w:styleId="TtuloCar" w:customStyle="1">
    <w:name w:val="Título Car"/>
    <w:basedOn w:val="Fuentedeprrafopredeter"/>
    <w:link w:val="Ttulo"/>
    <w:uiPriority w:val="10"/>
    <w:rsid w:val="005566E8"/>
    <w:rPr>
      <w:rFonts w:ascii="Geomanist" w:hAnsi="Geomanist" w:eastAsiaTheme="majorEastAsia" w:cstheme="majorBidi"/>
      <w:spacing w:val="-10"/>
      <w:kern w:val="28"/>
      <w:szCs w:val="56"/>
      <w:lang w:val="es-ES"/>
    </w:rPr>
  </w:style>
  <w:style w:type="character" w:styleId="ui-provider" w:customStyle="1">
    <w:name w:val="ui-provider"/>
    <w:basedOn w:val="Fuentedeprrafopredeter"/>
    <w:rsid w:val="00DA231B"/>
  </w:style>
  <w:style w:type="character" w:styleId="Hipervnculo">
    <w:name w:val="Hyperlink"/>
    <w:basedOn w:val="Fuentedeprrafopredeter"/>
    <w:uiPriority w:val="99"/>
    <w:semiHidden/>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table" w:styleId="Tablaconcuadrcula1" w:customStyle="1">
    <w:name w:val="Tabla con cuadrícula1"/>
    <w:basedOn w:val="Tablanormal"/>
    <w:next w:val="Tablaconcuadrcula"/>
    <w:uiPriority w:val="59"/>
    <w:rsid w:val="00C60B22"/>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NormalWeb">
    <w:name w:val="Normal (Web)"/>
    <w:basedOn w:val="Normal"/>
    <w:link w:val="NormalWebCar"/>
    <w:uiPriority w:val="99"/>
    <w:unhideWhenUsed/>
    <w:rsid w:val="00C60B22"/>
    <w:pPr>
      <w:spacing w:before="100" w:beforeAutospacing="1" w:after="100" w:afterAutospacing="1" w:line="240" w:lineRule="auto"/>
    </w:pPr>
    <w:rPr>
      <w:rFonts w:ascii="Times New Roman" w:hAnsi="Times New Roman" w:eastAsia="Times New Roman" w:cs="Times New Roman"/>
      <w:sz w:val="24"/>
      <w:szCs w:val="24"/>
      <w:lang w:eastAsia="es-CO"/>
    </w:rPr>
  </w:style>
  <w:style w:type="table" w:styleId="Tablaconcuadrcula11" w:customStyle="1">
    <w:name w:val="Tabla con cuadrícula11"/>
    <w:basedOn w:val="Tablanormal"/>
    <w:next w:val="Tablaconcuadrcula"/>
    <w:uiPriority w:val="59"/>
    <w:rsid w:val="00C60B22"/>
    <w:pPr>
      <w:spacing w:after="0" w:line="24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Appelnotedebasde" w:customStyle="1">
    <w:name w:val="Appel note de bas de..."/>
    <w:basedOn w:val="Normal"/>
    <w:link w:val="Refdenotaalpie"/>
    <w:uiPriority w:val="99"/>
    <w:rsid w:val="00C60B22"/>
    <w:pPr>
      <w:spacing w:line="240" w:lineRule="exact"/>
    </w:pPr>
    <w:rPr>
      <w:vertAlign w:val="superscript"/>
    </w:rPr>
  </w:style>
  <w:style w:type="character" w:styleId="NormalWebCar" w:customStyle="1">
    <w:name w:val="Normal (Web) Car"/>
    <w:link w:val="NormalWeb"/>
    <w:uiPriority w:val="99"/>
    <w:rsid w:val="00C60B22"/>
    <w:rPr>
      <w:rFonts w:ascii="Times New Roman" w:hAnsi="Times New Roman" w:eastAsia="Times New Roman" w:cs="Times New Roman"/>
      <w:sz w:val="24"/>
      <w:szCs w:val="24"/>
      <w:lang w:eastAsia="es-CO"/>
    </w:rPr>
  </w:style>
  <w:style w:type="character" w:styleId="baj" w:customStyle="1">
    <w:name w:val="b_aj"/>
    <w:basedOn w:val="Fuentedeprrafopredeter"/>
    <w:rsid w:val="00C60B22"/>
  </w:style>
  <w:style w:type="paragraph" w:styleId="Revisin">
    <w:name w:val="Revision"/>
    <w:hidden/>
    <w:uiPriority w:val="99"/>
    <w:semiHidden/>
    <w:rsid w:val="00B5730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fontTable" Target="fontTable.xml" Id="rId13"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footer" Target="footer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eader" Target="header1.xml" Id="rId11" /><Relationship Type="http://schemas.openxmlformats.org/officeDocument/2006/relationships/styles" Target="styles.xml" Id="rId5"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theme" Target="theme/theme1.xml" Id="rId14" /><Relationship Type="http://schemas.openxmlformats.org/officeDocument/2006/relationships/image" Target="/media/image6.png" Id="R77463979f84d4c2c" /><Relationship Type="http://schemas.openxmlformats.org/officeDocument/2006/relationships/image" Target="/media/image7.png" Id="R20a323f9098841cf" /></Relationships>
</file>

<file path=word/_rels/foot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5.png"/></Relationships>
</file>

<file path=word/_rels/footnotes.xml.rels><?xml version="1.0" encoding="UTF-8" standalone="yes"?>
<Relationships xmlns="http://schemas.openxmlformats.org/package/2006/relationships"><Relationship Id="rId1" Type="http://schemas.openxmlformats.org/officeDocument/2006/relationships/hyperlink" Target="https://relatoria.colombiacompra.gov.co/busqueda/conceptos%20"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7" ma:contentTypeDescription="Crear nuevo documento." ma:contentTypeScope="" ma:versionID="a34407833354fcfc312bad70d6c34599">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2b353d508bfaf3d48e66d044e463fff7"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B627E7D6-AF98-4B3E-95B6-688C5AC5E68D}"/>
</file>

<file path=customXml/itemProps3.xml><?xml version="1.0" encoding="utf-8"?>
<ds:datastoreItem xmlns:ds="http://schemas.openxmlformats.org/officeDocument/2006/customXml" ds:itemID="{163618BE-28CB-4D69-955E-CDA788483BED}">
  <ds:schemaRefs>
    <ds:schemaRef ds:uri="http://schemas.microsoft.com/office/2006/documentManagement/types"/>
    <ds:schemaRef ds:uri="http://schemas.microsoft.com/office/2006/metadata/properties"/>
    <ds:schemaRef ds:uri="8ae15d26-076e-464e-81a7-6f76a0fb3917"/>
    <ds:schemaRef ds:uri="http://purl.org/dc/terms/"/>
    <ds:schemaRef ds:uri="http://purl.org/dc/elements/1.1/"/>
    <ds:schemaRef ds:uri="cabc2350-70b2-4dba-bb42-96a3175f4d5a"/>
    <ds:schemaRef ds:uri="http://www.w3.org/XML/1998/namespace"/>
    <ds:schemaRef ds:uri="http://purl.org/dc/dcmitype/"/>
    <ds:schemaRef ds:uri="http://schemas.microsoft.com/office/infopath/2007/PartnerControls"/>
    <ds:schemaRef ds:uri="http://schemas.openxmlformats.org/package/2006/metadata/core-propertie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Andrés Felipe Ospina Acosta</dc:creator>
  <keywords/>
  <dc:description/>
  <lastModifiedBy>Johanna Ovalle Clavijo</lastModifiedBy>
  <revision>3</revision>
  <lastPrinted>2023-01-10T21:18:00.0000000Z</lastPrinted>
  <dcterms:created xsi:type="dcterms:W3CDTF">2023-08-16T16:09:00.0000000Z</dcterms:created>
  <dcterms:modified xsi:type="dcterms:W3CDTF">2023-08-30T16:43:41.1702673Z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