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31493" w:rsidR="00D31493" w:rsidP="00D31493" w:rsidRDefault="00D31493" w14:paraId="17283BC4" w14:textId="77777777">
      <w:pPr>
        <w:tabs>
          <w:tab w:val="left" w:pos="3374"/>
        </w:tabs>
        <w:spacing w:after="0" w:line="240" w:lineRule="auto"/>
        <w:jc w:val="both"/>
        <w:rPr>
          <w:rFonts w:ascii="Century Gothic" w:hAnsi="Century Gothic" w:cs="Arial"/>
          <w:b/>
          <w:bCs/>
          <w:sz w:val="20"/>
          <w:szCs w:val="20"/>
        </w:rPr>
      </w:pPr>
      <w:bookmarkStart w:name="_Hlk94281581" w:id="0"/>
      <w:bookmarkStart w:name="_Hlk102489058" w:id="1"/>
      <w:bookmarkStart w:name="_Hlk34951122" w:id="2"/>
    </w:p>
    <w:p w:rsidRPr="00D31493" w:rsidR="00D31493" w:rsidP="00D31493" w:rsidRDefault="00D31493" w14:paraId="7D89893E" w14:textId="77777777">
      <w:pPr>
        <w:spacing w:after="0" w:line="240" w:lineRule="auto"/>
        <w:contextualSpacing/>
        <w:jc w:val="both"/>
        <w:rPr>
          <w:rFonts w:ascii="Century Gothic" w:hAnsi="Century Gothic" w:eastAsia="Calibri" w:cs="Arial"/>
          <w:b/>
          <w:lang w:eastAsia="es-ES_tradnl"/>
        </w:rPr>
      </w:pPr>
      <w:r w:rsidRPr="00D31493">
        <w:rPr>
          <w:rFonts w:ascii="Century Gothic" w:hAnsi="Century Gothic" w:eastAsia="Calibri" w:cs="Arial"/>
          <w:b/>
          <w:lang w:eastAsia="es-ES_tradnl"/>
        </w:rPr>
        <w:t xml:space="preserve">ORGANISMOS INTERNACIONALES – Concepto </w:t>
      </w:r>
    </w:p>
    <w:p w:rsidRPr="00D31493" w:rsidR="00D31493" w:rsidP="00D31493" w:rsidRDefault="00D31493" w14:paraId="206314D3" w14:textId="77777777">
      <w:pPr>
        <w:spacing w:after="0" w:line="240" w:lineRule="auto"/>
        <w:contextualSpacing/>
        <w:jc w:val="both"/>
        <w:rPr>
          <w:rFonts w:ascii="Century Gothic" w:hAnsi="Century Gothic" w:eastAsia="Calibri" w:cs="Arial"/>
          <w:bCs/>
          <w:sz w:val="20"/>
          <w:szCs w:val="20"/>
          <w:lang w:val="es-MX" w:eastAsia="es-MX"/>
        </w:rPr>
      </w:pPr>
    </w:p>
    <w:p w:rsidRPr="00D31493" w:rsidR="00D31493" w:rsidP="00D31493" w:rsidRDefault="00D31493" w14:paraId="14229B87" w14:textId="77777777">
      <w:pPr>
        <w:spacing w:after="0" w:line="240" w:lineRule="auto"/>
        <w:contextualSpacing/>
        <w:jc w:val="both"/>
        <w:rPr>
          <w:rFonts w:ascii="Century Gothic" w:hAnsi="Century Gothic" w:eastAsia="Calibri" w:cs="Arial"/>
          <w:bCs/>
          <w:sz w:val="20"/>
          <w:szCs w:val="20"/>
          <w:lang w:val="es-MX" w:eastAsia="es-MX"/>
        </w:rPr>
      </w:pPr>
      <w:r w:rsidRPr="00D31493">
        <w:rPr>
          <w:rFonts w:ascii="Century Gothic" w:hAnsi="Century Gothic" w:eastAsia="Calibri" w:cs="Arial"/>
          <w:bCs/>
          <w:sz w:val="20"/>
          <w:szCs w:val="20"/>
          <w:lang w:val="es-MX" w:eastAsia="es-MX"/>
        </w:rPr>
        <w:t xml:space="preserve">Por organismo internacional se entiende aquella organización, grupo o asociación que se extiende más allá de las fronteras de un Estado y cuenta con órganos gubernamentales permanentes distintos e independientes de los Estados miembros de la organización que garantizan su vigencia y operatividad, con el propósito de cumplir objetivos comunes entre los Estados miembros. Conforme a su naturaleza, los organismos internacionales están facultados para suscribir contratos o convenios con los Estados, lo que supone un incidente frente a la aplicabilidad de los regímenes tanto de los Estados contratantes como de los organismos en su celebración. </w:t>
      </w:r>
    </w:p>
    <w:p w:rsidRPr="00D31493" w:rsidR="00D31493" w:rsidP="00D31493" w:rsidRDefault="00D31493" w14:paraId="0EB5385A" w14:textId="77777777">
      <w:pPr>
        <w:spacing w:after="0" w:line="240" w:lineRule="auto"/>
        <w:contextualSpacing/>
        <w:jc w:val="both"/>
        <w:rPr>
          <w:rFonts w:ascii="Century Gothic" w:hAnsi="Century Gothic" w:eastAsia="Calibri" w:cs="Arial"/>
          <w:bCs/>
          <w:sz w:val="20"/>
          <w:szCs w:val="20"/>
          <w:lang w:val="es-MX" w:eastAsia="es-MX"/>
        </w:rPr>
      </w:pPr>
    </w:p>
    <w:p w:rsidRPr="00D31493" w:rsidR="00D31493" w:rsidP="00D31493" w:rsidRDefault="00D31493" w14:paraId="593F91E9" w14:textId="77777777">
      <w:pPr>
        <w:spacing w:after="0" w:line="240" w:lineRule="auto"/>
        <w:contextualSpacing/>
        <w:jc w:val="both"/>
        <w:rPr>
          <w:rFonts w:ascii="Century Gothic" w:hAnsi="Century Gothic" w:eastAsia="Calibri" w:cs="Arial"/>
          <w:bCs/>
          <w:sz w:val="20"/>
          <w:szCs w:val="20"/>
          <w:lang w:val="es-MX" w:eastAsia="es-MX"/>
        </w:rPr>
      </w:pPr>
      <w:r w:rsidRPr="00D31493">
        <w:rPr>
          <w:rFonts w:ascii="Century Gothic" w:hAnsi="Century Gothic" w:eastAsia="Calibri" w:cs="Arial"/>
          <w:bCs/>
          <w:sz w:val="20"/>
          <w:szCs w:val="20"/>
          <w:lang w:val="es-MX" w:eastAsia="es-MX"/>
        </w:rPr>
        <w:t xml:space="preserve">El artículo 13 de la Ley 80 de 1993 regula de forma general el régimen aplicable a los contratos que celebren las entidades referidas en el artículo segundo del estatuto, señalando en el inciso primero, como primer criterio, la aplicabilidad de las disposiciones civiles y comerciales nacionales, sin perjuicio de la aplicación prevalente de las contenidas en el Estatuto General de Contratación de la Administración Pública. Sin embargo, en su segundo inciso, respecto a los contratos celebrados en el exterior, permite que su ejecución se realice de conformidad con las normas del país donde se hayan suscrito, salvo que deban cumplirse en Colombia, caso en el que se aplicaría el esquema señalado respecto al inciso primero. Por último, el inciso tercero permite que los contratos que se celebren en Colombia, pero deban ejecutarse o cumplirse en el extranjero, se sometan a la ley extranjera. </w:t>
      </w:r>
    </w:p>
    <w:p w:rsidRPr="00D31493" w:rsidR="00D31493" w:rsidP="00D31493" w:rsidRDefault="00D31493" w14:paraId="76CD80D7" w14:textId="77777777">
      <w:pPr>
        <w:spacing w:after="0" w:line="240" w:lineRule="auto"/>
        <w:jc w:val="both"/>
        <w:rPr>
          <w:rFonts w:ascii="Century Gothic" w:hAnsi="Century Gothic" w:eastAsia="Calibri" w:cs="Arial"/>
          <w:bCs/>
          <w:color w:val="000000" w:themeColor="text1"/>
          <w:sz w:val="20"/>
          <w:szCs w:val="20"/>
        </w:rPr>
      </w:pPr>
    </w:p>
    <w:p w:rsidRPr="00D31493" w:rsidR="00D31493" w:rsidP="00D31493" w:rsidRDefault="00D31493" w14:paraId="44D4B935" w14:textId="77777777">
      <w:pPr>
        <w:spacing w:after="0" w:line="240" w:lineRule="auto"/>
        <w:contextualSpacing/>
        <w:jc w:val="both"/>
        <w:rPr>
          <w:rFonts w:ascii="Century Gothic" w:hAnsi="Century Gothic" w:eastAsia="Arial" w:cs="Arial"/>
          <w:b/>
          <w:bCs/>
          <w:lang w:val="es-ES" w:eastAsia="es-ES" w:bidi="es-ES"/>
        </w:rPr>
      </w:pPr>
      <w:r w:rsidRPr="00D31493">
        <w:rPr>
          <w:rFonts w:ascii="Century Gothic" w:hAnsi="Century Gothic" w:eastAsia="Arial" w:cs="Arial"/>
          <w:b/>
          <w:bCs/>
          <w:lang w:val="es-ES" w:eastAsia="es-ES" w:bidi="es-ES"/>
        </w:rPr>
        <w:t>RÉGIMEN CONTRACTUAL – Ley 1150 de 2007 – Artículo 20</w:t>
      </w:r>
    </w:p>
    <w:p w:rsidRPr="00D31493" w:rsidR="00D31493" w:rsidP="00D31493" w:rsidRDefault="00D31493" w14:paraId="2FD1FEE5" w14:textId="77777777">
      <w:pPr>
        <w:spacing w:after="0" w:line="240" w:lineRule="auto"/>
        <w:contextualSpacing/>
        <w:jc w:val="both"/>
        <w:rPr>
          <w:rFonts w:ascii="Century Gothic" w:hAnsi="Century Gothic" w:eastAsia="Arial" w:cs="Arial"/>
          <w:b/>
          <w:bCs/>
          <w:sz w:val="20"/>
          <w:szCs w:val="20"/>
          <w:lang w:val="es-ES" w:eastAsia="es-ES" w:bidi="es-ES"/>
        </w:rPr>
      </w:pPr>
    </w:p>
    <w:p w:rsidRPr="00D31493" w:rsidR="00D31493" w:rsidP="00D31493" w:rsidRDefault="00D31493" w14:paraId="262C6C76" w14:textId="77777777">
      <w:pPr>
        <w:spacing w:after="0" w:line="240" w:lineRule="auto"/>
        <w:jc w:val="both"/>
        <w:rPr>
          <w:rFonts w:ascii="Century Gothic" w:hAnsi="Century Gothic" w:eastAsia="Calibri" w:cs="Arial"/>
          <w:color w:val="000000" w:themeColor="text1"/>
          <w:sz w:val="20"/>
          <w:szCs w:val="20"/>
          <w:lang w:val="es-ES_tradnl"/>
        </w:rPr>
      </w:pPr>
      <w:r w:rsidRPr="00D31493">
        <w:rPr>
          <w:rFonts w:ascii="Century Gothic" w:hAnsi="Century Gothic" w:eastAsia="Calibri" w:cs="Arial"/>
          <w:color w:val="000000" w:themeColor="text1"/>
          <w:sz w:val="20"/>
          <w:szCs w:val="20"/>
          <w:lang w:val="es-ES_tradnl"/>
        </w:rPr>
        <w:t xml:space="preserve">[…] en lo que tiene que ver con el </w:t>
      </w:r>
      <w:r w:rsidRPr="00D31493">
        <w:rPr>
          <w:rFonts w:ascii="Century Gothic" w:hAnsi="Century Gothic" w:eastAsia="Calibri" w:cs="Arial"/>
          <w:i/>
          <w:iCs/>
          <w:color w:val="000000" w:themeColor="text1"/>
          <w:sz w:val="20"/>
          <w:szCs w:val="20"/>
          <w:lang w:val="es-ES_tradnl"/>
        </w:rPr>
        <w:t>inciso primero</w:t>
      </w:r>
      <w:r w:rsidRPr="00D31493">
        <w:rPr>
          <w:rFonts w:ascii="Century Gothic" w:hAnsi="Century Gothic" w:eastAsia="Calibri" w:cs="Arial"/>
          <w:color w:val="000000" w:themeColor="text1"/>
          <w:sz w:val="20"/>
          <w:szCs w:val="20"/>
          <w:lang w:val="es-ES_tradnl"/>
        </w:rPr>
        <w:t xml:space="preserve"> [del artículo 20 de la Ley 1150 de 2007],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w:t>
      </w:r>
    </w:p>
    <w:p w:rsidRPr="00D31493" w:rsidR="00D31493" w:rsidP="00D31493" w:rsidRDefault="00D31493" w14:paraId="1149B978" w14:textId="77777777">
      <w:pPr>
        <w:spacing w:after="0" w:line="240" w:lineRule="auto"/>
        <w:jc w:val="both"/>
        <w:rPr>
          <w:rFonts w:ascii="Century Gothic" w:hAnsi="Century Gothic" w:eastAsia="Calibri" w:cs="Arial"/>
          <w:color w:val="000000" w:themeColor="text1"/>
          <w:sz w:val="20"/>
          <w:szCs w:val="20"/>
          <w:lang w:val="es-ES_tradnl"/>
        </w:rPr>
      </w:pPr>
      <w:r w:rsidRPr="00D31493">
        <w:rPr>
          <w:rFonts w:ascii="Century Gothic" w:hAnsi="Century Gothic" w:eastAsia="Calibri" w:cs="Arial"/>
          <w:color w:val="000000" w:themeColor="text1"/>
          <w:sz w:val="20"/>
          <w:szCs w:val="20"/>
          <w:lang w:val="es-ES_tradnl"/>
        </w:rPr>
        <w:t>[…]</w:t>
      </w:r>
    </w:p>
    <w:p w:rsidRPr="00D31493" w:rsidR="00D31493" w:rsidP="00D31493" w:rsidRDefault="00D31493" w14:paraId="545CF8D3" w14:textId="77777777">
      <w:pPr>
        <w:spacing w:after="0" w:line="240" w:lineRule="auto"/>
        <w:jc w:val="both"/>
        <w:rPr>
          <w:rFonts w:ascii="Century Gothic" w:hAnsi="Century Gothic" w:eastAsia="Calibri" w:cs="Arial"/>
          <w:color w:val="000000" w:themeColor="text1"/>
          <w:sz w:val="20"/>
          <w:szCs w:val="20"/>
          <w:lang w:val="es-ES_tradnl"/>
        </w:rPr>
      </w:pPr>
    </w:p>
    <w:p w:rsidRPr="00D31493" w:rsidR="00D31493" w:rsidP="2AD5AC53" w:rsidRDefault="00D31493" w14:paraId="0DC29464" w14:textId="77777777" w14:noSpellErr="1">
      <w:pPr>
        <w:spacing w:after="0" w:line="240" w:lineRule="auto"/>
        <w:jc w:val="both"/>
        <w:rPr>
          <w:rFonts w:ascii="Century Gothic" w:hAnsi="Century Gothic" w:eastAsia="Calibri" w:cs="Arial"/>
          <w:color w:val="000000" w:themeColor="text1"/>
          <w:sz w:val="20"/>
          <w:szCs w:val="20"/>
          <w:lang w:val="es-ES"/>
        </w:rPr>
      </w:pPr>
      <w:r w:rsidRPr="2AD5AC53" w:rsidR="00D31493">
        <w:rPr>
          <w:rFonts w:ascii="Century Gothic" w:hAnsi="Century Gothic" w:eastAsia="Calibri" w:cs="Arial"/>
          <w:color w:val="000000" w:themeColor="text1" w:themeTint="FF" w:themeShade="FF"/>
          <w:sz w:val="20"/>
          <w:szCs w:val="20"/>
          <w:lang w:val="es-ES"/>
        </w:rPr>
        <w:t>En los supuestos anteriores, regulados en el inciso segundo del artículo 20, independientemente del monto de los aportes de cada una de las partes, es posible optar por someter el contrato a los reglamentos de dichos organismos o bien someterlos al EGCAP, es decir, configurado alguno de los presupuestos anteriores es posible elegir cualquiera de los dos (2) regímenes indicados.</w:t>
      </w:r>
    </w:p>
    <w:p w:rsidRPr="00D31493" w:rsidR="00D31493" w:rsidP="00D31493" w:rsidRDefault="00D31493" w14:paraId="7CC37CB8" w14:textId="77777777">
      <w:pPr>
        <w:spacing w:after="0" w:line="240" w:lineRule="auto"/>
        <w:jc w:val="both"/>
        <w:rPr>
          <w:rFonts w:ascii="Century Gothic" w:hAnsi="Century Gothic" w:eastAsia="Calibri" w:cs="Arial"/>
          <w:color w:val="000000" w:themeColor="text1"/>
          <w:sz w:val="20"/>
          <w:szCs w:val="20"/>
          <w:lang w:val="es-ES_tradnl"/>
        </w:rPr>
      </w:pPr>
      <w:r w:rsidRPr="00D31493">
        <w:rPr>
          <w:rFonts w:ascii="Century Gothic" w:hAnsi="Century Gothic" w:eastAsia="Calibri" w:cs="Arial"/>
          <w:color w:val="000000" w:themeColor="text1"/>
          <w:sz w:val="20"/>
          <w:szCs w:val="20"/>
          <w:lang w:val="es-ES_tradnl"/>
        </w:rPr>
        <w:t>[…]</w:t>
      </w:r>
    </w:p>
    <w:p w:rsidRPr="00D31493" w:rsidR="00D31493" w:rsidP="00D31493" w:rsidRDefault="00D31493" w14:paraId="7294881E" w14:textId="77777777">
      <w:pPr>
        <w:spacing w:after="0" w:line="240" w:lineRule="auto"/>
        <w:jc w:val="both"/>
        <w:rPr>
          <w:rFonts w:ascii="Century Gothic" w:hAnsi="Century Gothic" w:eastAsia="Calibri" w:cs="Arial"/>
          <w:color w:val="000000" w:themeColor="text1"/>
          <w:sz w:val="20"/>
          <w:szCs w:val="20"/>
          <w:lang w:val="es-ES_tradnl"/>
        </w:rPr>
      </w:pPr>
    </w:p>
    <w:p w:rsidRPr="00D31493" w:rsidR="00D31493" w:rsidP="2AD5AC53" w:rsidRDefault="00D31493" w14:paraId="4736C8AE" w14:textId="77777777" w14:noSpellErr="1">
      <w:pPr>
        <w:spacing w:after="0" w:line="240" w:lineRule="auto"/>
        <w:jc w:val="both"/>
        <w:rPr>
          <w:rFonts w:ascii="Century Gothic" w:hAnsi="Century Gothic" w:eastAsia="Calibri" w:cs="Arial"/>
          <w:color w:val="000000" w:themeColor="text1"/>
          <w:sz w:val="20"/>
          <w:szCs w:val="20"/>
          <w:lang w:val="es-ES"/>
        </w:rPr>
      </w:pPr>
      <w:r w:rsidRPr="2AD5AC53" w:rsidR="00D31493">
        <w:rPr>
          <w:rFonts w:ascii="Century Gothic" w:hAnsi="Century Gothic" w:eastAsia="Calibri" w:cs="Arial"/>
          <w:color w:val="000000" w:themeColor="text1" w:themeTint="FF" w:themeShade="FF"/>
          <w:sz w:val="20"/>
          <w:szCs w:val="20"/>
          <w:lang w:val="es-ES"/>
        </w:rPr>
        <w:t xml:space="preserve">Asimismo, el parágrafo primero del artículo 20 de la Ley 1150 de 2007 establece un tercer criterio para determinar el régimen contractual aplicable. De acuerdo con la norma, “Los contratos o acuerdos celebrados con personas extranjeras de derecho público, podrán someterse a las reglas de tales organismos”. Estos negocios jurídicos, a diferencia de los contratos del inciso primero ibidem, son independientes del monto de los aportes realizados </w:t>
      </w:r>
      <w:r w:rsidRPr="2AD5AC53" w:rsidR="00D31493">
        <w:rPr>
          <w:rFonts w:ascii="Century Gothic" w:hAnsi="Century Gothic" w:eastAsia="Calibri" w:cs="Arial"/>
          <w:color w:val="000000" w:themeColor="text1" w:themeTint="FF" w:themeShade="FF"/>
          <w:sz w:val="20"/>
          <w:szCs w:val="20"/>
          <w:lang w:val="es-ES"/>
        </w:rPr>
        <w:t>por el organismo. Igualmente, en contraste con los contratos del inciso segundo ibidem, son negocios jurídicos independientes del objeto convenido. No obstante, al igual de los dos (2) supuestos explicados ut supra, en esta hipótesis también es posible optar por someter el contrato a los reglamentos de dichos organismos o bien someterlos a la Ley 80 de 1993.</w:t>
      </w:r>
    </w:p>
    <w:p w:rsidRPr="00D31493" w:rsidR="00D31493" w:rsidP="00D31493" w:rsidRDefault="00D31493" w14:paraId="1BBD96B3" w14:textId="77777777">
      <w:pPr>
        <w:spacing w:after="0" w:line="240" w:lineRule="auto"/>
        <w:jc w:val="both"/>
        <w:rPr>
          <w:rFonts w:ascii="Century Gothic" w:hAnsi="Century Gothic" w:eastAsia="Calibri" w:cs="Arial"/>
          <w:color w:val="000000" w:themeColor="text1"/>
          <w:sz w:val="20"/>
          <w:szCs w:val="20"/>
        </w:rPr>
      </w:pPr>
      <w:r w:rsidRPr="00D31493">
        <w:rPr>
          <w:rFonts w:ascii="Century Gothic" w:hAnsi="Century Gothic" w:eastAsia="Calibri" w:cs="Arial"/>
          <w:color w:val="000000" w:themeColor="text1"/>
          <w:sz w:val="20"/>
          <w:szCs w:val="20"/>
        </w:rPr>
        <w:t xml:space="preserve"> </w:t>
      </w:r>
    </w:p>
    <w:p w:rsidRPr="00D31493" w:rsidR="00D31493" w:rsidP="00D31493" w:rsidRDefault="00D31493" w14:paraId="534B228C" w14:textId="77777777">
      <w:pPr>
        <w:tabs>
          <w:tab w:val="left" w:pos="426"/>
        </w:tabs>
        <w:spacing w:after="0" w:line="240" w:lineRule="auto"/>
        <w:contextualSpacing/>
        <w:jc w:val="both"/>
        <w:rPr>
          <w:rFonts w:ascii="Century Gothic" w:hAnsi="Century Gothic" w:eastAsia="Calibri" w:cs="Arial"/>
          <w:b/>
          <w:bCs/>
          <w:lang w:val="es-MX"/>
        </w:rPr>
      </w:pPr>
      <w:bookmarkStart w:name="_Hlk77152637" w:id="3"/>
      <w:bookmarkStart w:name="_Hlk77157066" w:id="4"/>
      <w:r w:rsidRPr="00D31493">
        <w:rPr>
          <w:rFonts w:ascii="Century Gothic" w:hAnsi="Century Gothic" w:eastAsia="Calibri" w:cs="Arial"/>
          <w:b/>
          <w:bCs/>
          <w:lang w:val="es-MX"/>
        </w:rPr>
        <w:t>SISTEMA NACIONAL DE COOPERACIÓN INTERNACIONAL – Decreto 603 de 2022 – Alcance</w:t>
      </w:r>
    </w:p>
    <w:p w:rsidRPr="00D31493" w:rsidR="00D31493" w:rsidP="00D31493" w:rsidRDefault="00D31493" w14:paraId="047946AE" w14:textId="77777777">
      <w:pPr>
        <w:tabs>
          <w:tab w:val="left" w:pos="426"/>
        </w:tabs>
        <w:spacing w:after="0" w:line="240" w:lineRule="auto"/>
        <w:contextualSpacing/>
        <w:jc w:val="both"/>
        <w:rPr>
          <w:rFonts w:ascii="Century Gothic" w:hAnsi="Century Gothic" w:eastAsia="Calibri" w:cs="Arial"/>
          <w:b/>
          <w:bCs/>
          <w:sz w:val="20"/>
          <w:szCs w:val="20"/>
          <w:lang w:val="es-MX"/>
        </w:rPr>
      </w:pPr>
    </w:p>
    <w:p w:rsidRPr="00D31493" w:rsidR="00D31493" w:rsidP="00D31493" w:rsidRDefault="00D31493" w14:paraId="3B993151" w14:textId="77777777">
      <w:pPr>
        <w:tabs>
          <w:tab w:val="left" w:pos="426"/>
        </w:tabs>
        <w:spacing w:after="0" w:line="240" w:lineRule="auto"/>
        <w:contextualSpacing/>
        <w:jc w:val="both"/>
        <w:rPr>
          <w:rFonts w:ascii="Century Gothic" w:hAnsi="Century Gothic" w:eastAsia="Calibri" w:cs="Arial"/>
          <w:noProof/>
          <w:sz w:val="20"/>
          <w:szCs w:val="20"/>
          <w:lang w:val="es-ES_tradnl"/>
        </w:rPr>
      </w:pPr>
      <w:r w:rsidRPr="00D31493">
        <w:rPr>
          <w:rFonts w:ascii="Century Gothic" w:hAnsi="Century Gothic" w:eastAsia="Calibri" w:cs="Arial"/>
          <w:noProof/>
          <w:sz w:val="20"/>
          <w:szCs w:val="20"/>
          <w:lang w:val="es-ES_tradnl"/>
        </w:rPr>
        <w:t>[…] el tope del 30% establecido en la norma precitada, que determina las condiciones de participación de los socios cooperantes en condición de ejecutor del proyecto o programa, aplica para las contrapartidas dinerarias. Dicho en otras palabras, solo podrán ejecutar programas, proyectos o iniciativas en los que estén involucrados recursos del presupuesto general de la nación, aquellos socios de cooperación internacional que aporte una contrapartida de no menos del 30% de dicho programa, proyecto o iniciativa, que deberá efectuarse únicamente en sumas líquidas de dinero. Además, en cada caso deberán establecerse mecanismos de administración de las condiciones del contrato que permitan hacerle seguimiento al cumplimiento de las obligaciones contractuales.</w:t>
      </w:r>
    </w:p>
    <w:p w:rsidRPr="00D31493" w:rsidR="00D31493" w:rsidP="00D31493" w:rsidRDefault="00D31493" w14:paraId="7F05BB6D" w14:textId="77777777">
      <w:pPr>
        <w:tabs>
          <w:tab w:val="left" w:pos="426"/>
        </w:tabs>
        <w:spacing w:after="0" w:line="240" w:lineRule="auto"/>
        <w:contextualSpacing/>
        <w:jc w:val="both"/>
        <w:rPr>
          <w:rFonts w:ascii="Century Gothic" w:hAnsi="Century Gothic" w:eastAsia="Calibri" w:cs="Arial"/>
          <w:noProof/>
          <w:sz w:val="20"/>
          <w:szCs w:val="20"/>
          <w:lang w:val="es-ES_tradnl"/>
        </w:rPr>
      </w:pPr>
    </w:p>
    <w:p w:rsidRPr="00D31493" w:rsidR="00D31493" w:rsidP="00D31493" w:rsidRDefault="00D31493" w14:paraId="19F43DFC" w14:textId="77777777">
      <w:pPr>
        <w:tabs>
          <w:tab w:val="left" w:pos="426"/>
        </w:tabs>
        <w:spacing w:after="0" w:line="240" w:lineRule="auto"/>
        <w:contextualSpacing/>
        <w:jc w:val="both"/>
        <w:rPr>
          <w:rFonts w:ascii="Century Gothic" w:hAnsi="Century Gothic" w:eastAsia="Calibri" w:cs="Arial"/>
          <w:noProof/>
          <w:sz w:val="20"/>
          <w:szCs w:val="20"/>
          <w:lang w:val="es-ES_tradnl"/>
        </w:rPr>
      </w:pPr>
      <w:r w:rsidRPr="00D31493">
        <w:rPr>
          <w:rFonts w:ascii="Century Gothic" w:hAnsi="Century Gothic" w:eastAsia="Calibri" w:cs="Arial"/>
          <w:noProof/>
          <w:sz w:val="20"/>
          <w:szCs w:val="20"/>
          <w:lang w:val="es-ES_tradnl"/>
        </w:rPr>
        <w:t>En este orden de ideas, las entidades estatales, en ejercicio de la autonomía de la voluntad, pueden suscribir convenios de cooperación internacional que involucre recursos del Presupuesto General de la Nación, siempre y cuando el 30% del valor del proyecto sea aportado en dinero por el organismo internacional, pues el reglamento, como se indicó, estableció un umbral para que las entidades estatales puedan realizar proyectos, iniciativas o programas financiados con presupuesto general de la Nación en convenio con organismos internacionales. De este modo, si el socio cooperante cumple con este umbral, da lugar a suscribir el convenio.</w:t>
      </w:r>
    </w:p>
    <w:p w:rsidRPr="00D31493" w:rsidR="00D31493" w:rsidP="00D31493" w:rsidRDefault="00D31493" w14:paraId="49FAA9EA" w14:textId="77777777">
      <w:pPr>
        <w:tabs>
          <w:tab w:val="left" w:pos="426"/>
        </w:tabs>
        <w:spacing w:after="0" w:line="240" w:lineRule="auto"/>
        <w:contextualSpacing/>
        <w:jc w:val="both"/>
        <w:rPr>
          <w:rFonts w:ascii="Century Gothic" w:hAnsi="Century Gothic" w:eastAsia="Calibri" w:cs="Arial"/>
          <w:b/>
          <w:bCs/>
          <w:sz w:val="20"/>
          <w:szCs w:val="20"/>
          <w:lang w:val="es-MX"/>
        </w:rPr>
      </w:pPr>
    </w:p>
    <w:p w:rsidRPr="00D31493" w:rsidR="00D31493" w:rsidP="00D31493" w:rsidRDefault="00D31493" w14:paraId="305546C8" w14:textId="77777777">
      <w:pPr>
        <w:tabs>
          <w:tab w:val="left" w:pos="426"/>
        </w:tabs>
        <w:spacing w:after="0" w:line="240" w:lineRule="auto"/>
        <w:contextualSpacing/>
        <w:jc w:val="both"/>
        <w:rPr>
          <w:rFonts w:ascii="Century Gothic" w:hAnsi="Century Gothic" w:eastAsia="Calibri" w:cs="Arial"/>
          <w:b/>
          <w:bCs/>
          <w:lang w:val="es-MX"/>
        </w:rPr>
      </w:pPr>
      <w:r w:rsidRPr="00D31493">
        <w:rPr>
          <w:rFonts w:ascii="Century Gothic" w:hAnsi="Century Gothic" w:eastAsia="Calibri" w:cs="Arial"/>
          <w:b/>
          <w:bCs/>
          <w:lang w:val="es-MX"/>
        </w:rPr>
        <w:t xml:space="preserve">SOCIOS DE COOPERACIÓN INTERNACIONAL </w:t>
      </w:r>
      <w:r w:rsidRPr="00D31493">
        <w:rPr>
          <w:rFonts w:ascii="Arial" w:hAnsi="Arial" w:eastAsia="Calibri" w:cs="Arial"/>
          <w:b/>
          <w:bCs/>
          <w:lang w:val="es-MX"/>
        </w:rPr>
        <w:t>‒</w:t>
      </w:r>
      <w:bookmarkEnd w:id="3"/>
      <w:r w:rsidRPr="00D31493">
        <w:rPr>
          <w:rFonts w:ascii="Century Gothic" w:hAnsi="Century Gothic" w:eastAsia="Calibri" w:cs="Arial"/>
          <w:b/>
          <w:bCs/>
          <w:lang w:val="es-MX"/>
        </w:rPr>
        <w:t xml:space="preserve"> </w:t>
      </w:r>
      <w:bookmarkStart w:name="_Hlk77153098" w:id="5"/>
      <w:r w:rsidRPr="00D31493">
        <w:rPr>
          <w:rFonts w:ascii="Century Gothic" w:hAnsi="Century Gothic" w:eastAsia="Calibri" w:cs="Arial"/>
          <w:b/>
          <w:bCs/>
          <w:lang w:val="es-MX"/>
        </w:rPr>
        <w:t xml:space="preserve">Interpretación amplia </w:t>
      </w:r>
      <w:bookmarkEnd w:id="5"/>
    </w:p>
    <w:p w:rsidRPr="00D31493" w:rsidR="00D31493" w:rsidP="00D31493" w:rsidRDefault="00D31493" w14:paraId="52893927" w14:textId="77777777">
      <w:pPr>
        <w:tabs>
          <w:tab w:val="left" w:pos="426"/>
        </w:tabs>
        <w:spacing w:after="0" w:line="240" w:lineRule="auto"/>
        <w:contextualSpacing/>
        <w:jc w:val="both"/>
        <w:rPr>
          <w:rFonts w:ascii="Century Gothic" w:hAnsi="Century Gothic" w:eastAsia="Calibri" w:cs="Arial"/>
          <w:b/>
          <w:bCs/>
          <w:sz w:val="20"/>
          <w:szCs w:val="20"/>
          <w:lang w:val="es-MX"/>
        </w:rPr>
      </w:pPr>
    </w:p>
    <w:bookmarkEnd w:id="4"/>
    <w:p w:rsidR="00D31493" w:rsidP="00D31493" w:rsidRDefault="00D31493" w14:paraId="7562667B" w14:textId="77777777">
      <w:pPr>
        <w:tabs>
          <w:tab w:val="left" w:pos="426"/>
        </w:tabs>
        <w:spacing w:after="0" w:line="240" w:lineRule="auto"/>
        <w:contextualSpacing/>
        <w:jc w:val="both"/>
        <w:rPr>
          <w:rFonts w:ascii="Arial" w:hAnsi="Arial" w:eastAsia="Calibri" w:cs="Arial"/>
          <w:noProof/>
          <w:sz w:val="20"/>
          <w:szCs w:val="20"/>
          <w:lang w:val="es-ES_tradnl"/>
        </w:rPr>
      </w:pPr>
      <w:r w:rsidRPr="00D31493">
        <w:rPr>
          <w:rFonts w:ascii="Century Gothic" w:hAnsi="Century Gothic" w:eastAsia="Calibri" w:cs="Arial"/>
          <w:noProof/>
          <w:sz w:val="20"/>
          <w:szCs w:val="20"/>
          <w:lang w:val="es-ES_tradnl"/>
        </w:rPr>
        <w:t>[…] el artículo 20 de la Ley 1150 de 2007 define el régimen contractual de los convenios suscritos con “organismos de cooperación, asistencia o ayudas internacionales” en los porcentajes del inciso primero, con “personas extranjeras de derecho público u organismos de derecho internacional” respecto a los objetivos señalados en el inciso segundo, o con “personas extranjeras de derecho público” en las condiciones señaladas en el parágrafo primero. Así, la naturaleza jurídica del organismo internacional es relevante para la aplicación de la norma citada. En contraste, el artículo 2.2.8.3.4 del Decreto 603 de 2022 se refiere, en sentido amplio, a los “</w:t>
      </w:r>
      <w:bookmarkStart w:name="_Hlk148448432" w:id="6"/>
      <w:r w:rsidRPr="00D31493">
        <w:rPr>
          <w:rFonts w:ascii="Century Gothic" w:hAnsi="Century Gothic" w:eastAsia="Calibri" w:cs="Arial"/>
          <w:noProof/>
          <w:sz w:val="20"/>
          <w:szCs w:val="20"/>
          <w:lang w:val="es-ES_tradnl"/>
        </w:rPr>
        <w:t>Socios de Cooperación internacional</w:t>
      </w:r>
      <w:bookmarkEnd w:id="6"/>
      <w:r w:rsidRPr="00D31493">
        <w:rPr>
          <w:rFonts w:ascii="Century Gothic" w:hAnsi="Century Gothic" w:eastAsia="Calibri" w:cs="Arial"/>
          <w:noProof/>
          <w:sz w:val="20"/>
          <w:szCs w:val="20"/>
          <w:lang w:val="es-ES_tradnl"/>
        </w:rPr>
        <w:t>”, categoría dentro de la cual se engloban todos los organismos internacionales del artículo 20 de la Ley 1150 de 2007, especialmente cuando las bases del Plan Nacional de Desarrollo 2018 – 2022 no realizan distinción alguna sobre la naturaleza jurídica del órgano cooperante respecto al aporte mínimo que la norma hace obligatorio.</w:t>
      </w:r>
      <w:r w:rsidRPr="00CB6B02">
        <w:rPr>
          <w:rFonts w:ascii="Arial" w:hAnsi="Arial" w:eastAsia="Calibri" w:cs="Arial"/>
          <w:noProof/>
          <w:sz w:val="20"/>
          <w:szCs w:val="20"/>
          <w:lang w:val="es-ES_tradnl"/>
        </w:rPr>
        <w:t xml:space="preserve">  </w:t>
      </w:r>
    </w:p>
    <w:p w:rsidR="00D31493" w:rsidP="00AF36D0" w:rsidRDefault="00D31493" w14:paraId="196BF365" w14:textId="77777777">
      <w:pPr>
        <w:spacing w:after="0"/>
        <w:rPr>
          <w:rFonts w:ascii="Century Gothic" w:hAnsi="Century Gothic" w:eastAsia="Geomanist Light" w:cs="Arial"/>
          <w:color w:val="000000" w:themeColor="text1"/>
          <w:lang w:val="es-MX"/>
        </w:rPr>
      </w:pPr>
    </w:p>
    <w:p w:rsidR="00D31493" w:rsidP="00AF36D0" w:rsidRDefault="00D31493" w14:paraId="0CF716F5" w14:textId="77777777">
      <w:pPr>
        <w:spacing w:after="0"/>
        <w:rPr>
          <w:rFonts w:ascii="Century Gothic" w:hAnsi="Century Gothic" w:eastAsia="Geomanist Light" w:cs="Arial"/>
          <w:color w:val="000000" w:themeColor="text1"/>
          <w:lang w:val="es-MX"/>
        </w:rPr>
      </w:pPr>
    </w:p>
    <w:p w:rsidR="00D31493" w:rsidP="00AF36D0" w:rsidRDefault="00D31493" w14:paraId="569116E5" w14:textId="77777777">
      <w:pPr>
        <w:spacing w:after="0"/>
        <w:rPr>
          <w:rFonts w:ascii="Century Gothic" w:hAnsi="Century Gothic" w:eastAsia="Geomanist Light" w:cs="Arial"/>
          <w:color w:val="000000" w:themeColor="text1"/>
          <w:lang w:val="es-MX"/>
        </w:rPr>
      </w:pPr>
    </w:p>
    <w:p w:rsidR="00D31493" w:rsidP="00AF36D0" w:rsidRDefault="00D31493" w14:paraId="63230D16" w14:textId="77777777">
      <w:pPr>
        <w:spacing w:after="0"/>
        <w:rPr>
          <w:rFonts w:ascii="Century Gothic" w:hAnsi="Century Gothic" w:eastAsia="Geomanist Light" w:cs="Arial"/>
          <w:color w:val="000000" w:themeColor="text1"/>
          <w:lang w:val="es-MX"/>
        </w:rPr>
      </w:pPr>
    </w:p>
    <w:p w:rsidR="00D31493" w:rsidP="00AF36D0" w:rsidRDefault="00D31493" w14:paraId="411EF21C" w14:textId="77777777">
      <w:pPr>
        <w:spacing w:after="0"/>
        <w:rPr>
          <w:rFonts w:ascii="Century Gothic" w:hAnsi="Century Gothic" w:eastAsia="Geomanist Light" w:cs="Arial"/>
          <w:color w:val="000000" w:themeColor="text1"/>
          <w:lang w:val="es-MX"/>
        </w:rPr>
      </w:pPr>
    </w:p>
    <w:p w:rsidRPr="0071238F" w:rsidR="00AF36D0" w:rsidP="00AF36D0" w:rsidRDefault="00AF36D0" w14:paraId="192DFD50" w14:textId="7E387297">
      <w:pPr>
        <w:spacing w:after="0"/>
        <w:rPr>
          <w:rFonts w:ascii="Century Gothic" w:hAnsi="Century Gothic" w:eastAsia="Geomanist Light" w:cs="Arial"/>
          <w:color w:val="201F1E"/>
          <w:lang w:val="es-MX"/>
        </w:rPr>
      </w:pPr>
      <w:r w:rsidRPr="0071238F">
        <w:rPr>
          <w:rFonts w:ascii="Century Gothic" w:hAnsi="Century Gothic" w:eastAsia="Geomanist Light" w:cs="Arial"/>
          <w:color w:val="000000" w:themeColor="text1"/>
          <w:lang w:val="es-MX"/>
        </w:rPr>
        <w:lastRenderedPageBreak/>
        <w:t>Bogotá D.C., </w:t>
      </w:r>
      <w:r w:rsidRPr="00D8227D" w:rsidR="00D8227D">
        <w:rPr>
          <w:rFonts w:ascii="Century Gothic" w:hAnsi="Century Gothic" w:eastAsia="Geomanist Light" w:cs="Arial"/>
          <w:color w:val="000000" w:themeColor="text1"/>
          <w:lang w:val="es-MX"/>
        </w:rPr>
        <w:t xml:space="preserve">18 de </w:t>
      </w:r>
      <w:proofErr w:type="gramStart"/>
      <w:r w:rsidRPr="00D8227D" w:rsidR="00D8227D">
        <w:rPr>
          <w:rFonts w:ascii="Century Gothic" w:hAnsi="Century Gothic" w:eastAsia="Geomanist Light" w:cs="Arial"/>
          <w:color w:val="000000" w:themeColor="text1"/>
          <w:lang w:val="es-MX"/>
        </w:rPr>
        <w:t>Octubre</w:t>
      </w:r>
      <w:proofErr w:type="gramEnd"/>
      <w:r w:rsidRPr="00D8227D" w:rsidR="00D8227D">
        <w:rPr>
          <w:rFonts w:ascii="Century Gothic" w:hAnsi="Century Gothic" w:eastAsia="Geomanist Light" w:cs="Arial"/>
          <w:color w:val="000000" w:themeColor="text1"/>
          <w:lang w:val="es-MX"/>
        </w:rPr>
        <w:t xml:space="preserve"> de 2023</w:t>
      </w:r>
    </w:p>
    <w:p w:rsidR="00AF36D0" w:rsidP="00AF36D0" w:rsidRDefault="00AF36D0" w14:paraId="145BB604" w14:textId="77777777">
      <w:pPr>
        <w:spacing w:after="0"/>
        <w:rPr>
          <w:rFonts w:ascii="Century Gothic" w:hAnsi="Century Gothic" w:eastAsia="Geomanist Light" w:cs="Arial"/>
          <w:color w:val="201F1E"/>
          <w:lang w:val="es-MX"/>
        </w:rPr>
      </w:pPr>
    </w:p>
    <w:p w:rsidRPr="0071238F" w:rsidR="00D8227D" w:rsidP="00D8227D" w:rsidRDefault="00D8227D" w14:paraId="3560EE85" w14:textId="6B823D0A">
      <w:pPr>
        <w:spacing w:after="0"/>
        <w:jc w:val="right"/>
        <w:rPr>
          <w:rFonts w:ascii="Century Gothic" w:hAnsi="Century Gothic" w:eastAsia="Geomanist Light" w:cs="Arial"/>
          <w:color w:val="201F1E"/>
          <w:lang w:val="es-MX"/>
        </w:rPr>
      </w:pPr>
      <w:r>
        <w:rPr>
          <w:noProof/>
        </w:rPr>
        <w:drawing>
          <wp:inline distT="0" distB="0" distL="0" distR="0" wp14:anchorId="7E6C9F18" wp14:editId="7B45B5A4">
            <wp:extent cx="2686676" cy="657225"/>
            <wp:effectExtent l="0" t="0" r="0" b="0"/>
            <wp:docPr id="20480675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067571" name=""/>
                    <pic:cNvPicPr/>
                  </pic:nvPicPr>
                  <pic:blipFill>
                    <a:blip r:embed="rId10"/>
                    <a:stretch>
                      <a:fillRect/>
                    </a:stretch>
                  </pic:blipFill>
                  <pic:spPr>
                    <a:xfrm>
                      <a:off x="0" y="0"/>
                      <a:ext cx="2689037" cy="657802"/>
                    </a:xfrm>
                    <a:prstGeom prst="rect">
                      <a:avLst/>
                    </a:prstGeom>
                  </pic:spPr>
                </pic:pic>
              </a:graphicData>
            </a:graphic>
          </wp:inline>
        </w:drawing>
      </w:r>
    </w:p>
    <w:p w:rsidRPr="0071238F" w:rsidR="00AF36D0" w:rsidP="00AF36D0" w:rsidRDefault="00AF36D0" w14:paraId="1D6263AA" w14:textId="77777777">
      <w:pPr>
        <w:spacing w:after="0"/>
        <w:contextualSpacing/>
        <w:jc w:val="both"/>
        <w:rPr>
          <w:rFonts w:ascii="Century Gothic" w:hAnsi="Century Gothic" w:eastAsia="Calibri" w:cs="Arial"/>
          <w:lang w:val="es-ES_tradnl" w:eastAsia="es-ES_tradnl"/>
        </w:rPr>
      </w:pPr>
    </w:p>
    <w:p w:rsidRPr="0071238F" w:rsidR="00AF36D0" w:rsidP="00AF36D0" w:rsidRDefault="00AF36D0" w14:paraId="62962AAD" w14:textId="77777777">
      <w:pPr>
        <w:contextualSpacing/>
        <w:jc w:val="both"/>
        <w:rPr>
          <w:rFonts w:ascii="Century Gothic" w:hAnsi="Century Gothic" w:eastAsia="Calibri" w:cs="Arial"/>
          <w:lang w:eastAsia="es-ES_tradnl"/>
        </w:rPr>
      </w:pPr>
      <w:r w:rsidRPr="0071238F">
        <w:rPr>
          <w:rFonts w:ascii="Century Gothic" w:hAnsi="Century Gothic" w:eastAsia="Calibri" w:cs="Arial"/>
          <w:lang w:eastAsia="es-ES_tradnl"/>
        </w:rPr>
        <w:t>Doctor</w:t>
      </w:r>
    </w:p>
    <w:p w:rsidRPr="0071238F" w:rsidR="00AF36D0" w:rsidP="00AF36D0" w:rsidRDefault="00AF36D0" w14:paraId="35F01859" w14:textId="77777777">
      <w:pPr>
        <w:contextualSpacing/>
        <w:jc w:val="both"/>
        <w:rPr>
          <w:rFonts w:ascii="Century Gothic" w:hAnsi="Century Gothic" w:eastAsia="Calibri" w:cs="Arial"/>
          <w:b/>
          <w:lang w:eastAsia="es-ES_tradnl"/>
        </w:rPr>
      </w:pPr>
      <w:r w:rsidRPr="0071238F">
        <w:rPr>
          <w:rFonts w:ascii="Century Gothic" w:hAnsi="Century Gothic" w:eastAsia="Calibri" w:cs="Arial"/>
          <w:b/>
          <w:lang w:eastAsia="es-ES_tradnl"/>
        </w:rPr>
        <w:t xml:space="preserve">Oscar Gustavo </w:t>
      </w:r>
      <w:bookmarkStart w:name="_Hlk148429351" w:id="7"/>
      <w:r w:rsidRPr="0071238F">
        <w:rPr>
          <w:rFonts w:ascii="Century Gothic" w:hAnsi="Century Gothic" w:eastAsia="Calibri" w:cs="Arial"/>
          <w:b/>
          <w:lang w:eastAsia="es-ES_tradnl"/>
        </w:rPr>
        <w:t>Sánchez Jaramillo</w:t>
      </w:r>
      <w:bookmarkEnd w:id="7"/>
    </w:p>
    <w:p w:rsidRPr="0071238F" w:rsidR="00AF36D0" w:rsidP="00AF36D0" w:rsidRDefault="00AF36D0" w14:paraId="56E2DE94" w14:textId="77777777">
      <w:pPr>
        <w:contextualSpacing/>
        <w:jc w:val="both"/>
        <w:rPr>
          <w:rFonts w:ascii="Century Gothic" w:hAnsi="Century Gothic" w:eastAsia="Geomanist Light" w:cs="Arial"/>
          <w:color w:val="000000" w:themeColor="text1"/>
          <w:lang w:val="es-MX"/>
        </w:rPr>
      </w:pPr>
      <w:r w:rsidRPr="0071238F">
        <w:rPr>
          <w:rFonts w:ascii="Century Gothic" w:hAnsi="Century Gothic" w:eastAsia="Geomanist Light" w:cs="Arial"/>
          <w:color w:val="000000" w:themeColor="text1"/>
          <w:lang w:val="es-MX"/>
        </w:rPr>
        <w:t>Viceministro de Educación Preescolar, Básica y Media</w:t>
      </w:r>
    </w:p>
    <w:p w:rsidRPr="0071238F" w:rsidR="00AF36D0" w:rsidP="00AF36D0" w:rsidRDefault="00AF36D0" w14:paraId="5881C235" w14:textId="77777777">
      <w:pPr>
        <w:contextualSpacing/>
        <w:jc w:val="both"/>
        <w:rPr>
          <w:rFonts w:ascii="Century Gothic" w:hAnsi="Century Gothic" w:eastAsia="Geomanist Light" w:cs="Arial"/>
          <w:color w:val="000000" w:themeColor="text1"/>
          <w:lang w:val="es-MX"/>
        </w:rPr>
      </w:pPr>
      <w:r w:rsidRPr="0071238F">
        <w:rPr>
          <w:rFonts w:ascii="Century Gothic" w:hAnsi="Century Gothic" w:eastAsia="Geomanist Light" w:cs="Arial"/>
          <w:color w:val="000000" w:themeColor="text1"/>
          <w:lang w:val="es-MX"/>
        </w:rPr>
        <w:t>Ministerio de Educación Nacional</w:t>
      </w:r>
    </w:p>
    <w:p w:rsidRPr="0071238F" w:rsidR="00AF36D0" w:rsidP="00AF36D0" w:rsidRDefault="00AF36D0" w14:paraId="0504616B" w14:textId="77777777">
      <w:pPr>
        <w:contextualSpacing/>
        <w:jc w:val="both"/>
        <w:rPr>
          <w:rFonts w:ascii="Century Gothic" w:hAnsi="Century Gothic" w:eastAsia="Calibri" w:cs="Arial"/>
          <w:lang w:eastAsia="es-ES_tradnl"/>
        </w:rPr>
      </w:pPr>
      <w:r w:rsidRPr="0071238F">
        <w:rPr>
          <w:rFonts w:ascii="Century Gothic" w:hAnsi="Century Gothic" w:eastAsia="Geomanist Light" w:cs="Arial"/>
          <w:color w:val="000000" w:themeColor="text1"/>
          <w:lang w:val="es-MX"/>
        </w:rPr>
        <w:t>Bogotá D.C.</w:t>
      </w:r>
      <w:r w:rsidRPr="0071238F">
        <w:rPr>
          <w:rFonts w:ascii="Century Gothic" w:hAnsi="Century Gothic" w:eastAsia="Calibri" w:cs="Arial"/>
          <w:lang w:eastAsia="es-ES_tradnl"/>
        </w:rPr>
        <w:t xml:space="preserve">  </w:t>
      </w:r>
    </w:p>
    <w:p w:rsidRPr="0071238F" w:rsidR="00AF36D0" w:rsidP="00AF36D0" w:rsidRDefault="00AF36D0" w14:paraId="141A0A82" w14:textId="77777777">
      <w:pPr>
        <w:contextualSpacing/>
        <w:jc w:val="both"/>
        <w:rPr>
          <w:rFonts w:ascii="Century Gothic" w:hAnsi="Century Gothic" w:eastAsia="Calibri" w:cs="Arial"/>
          <w:lang w:val="es-ES_tradnl" w:eastAsia="es-ES_tradnl"/>
        </w:rPr>
      </w:pPr>
    </w:p>
    <w:p w:rsidRPr="0071238F" w:rsidR="00AF36D0" w:rsidP="00AF36D0" w:rsidRDefault="00AF36D0" w14:paraId="4611DF63" w14:textId="77777777">
      <w:pPr>
        <w:contextualSpacing/>
        <w:rPr>
          <w:rFonts w:ascii="Century Gothic" w:hAnsi="Century Gothic" w:eastAsia="Calibri" w:cs="Arial"/>
          <w:b/>
          <w:lang w:val="es-ES_tradnl" w:eastAsia="es-ES_tradnl"/>
        </w:rPr>
      </w:pPr>
    </w:p>
    <w:p w:rsidRPr="0071238F" w:rsidR="00AF36D0" w:rsidP="00AF36D0" w:rsidRDefault="00AF36D0" w14:paraId="36B3C1B7" w14:textId="5CD82BE2">
      <w:pPr>
        <w:ind w:left="2124" w:firstLine="570"/>
        <w:contextualSpacing/>
        <w:rPr>
          <w:rFonts w:ascii="Century Gothic" w:hAnsi="Century Gothic" w:eastAsia="Calibri" w:cs="Arial"/>
          <w:b/>
          <w:lang w:val="es-ES_tradnl" w:eastAsia="es-ES_tradnl"/>
        </w:rPr>
      </w:pPr>
      <w:r w:rsidRPr="0071238F">
        <w:rPr>
          <w:rFonts w:ascii="Century Gothic" w:hAnsi="Century Gothic" w:eastAsia="Calibri" w:cs="Arial"/>
          <w:b/>
          <w:lang w:val="es-ES_tradnl" w:eastAsia="es-ES_tradnl"/>
        </w:rPr>
        <w:t xml:space="preserve">Concepto C – </w:t>
      </w:r>
      <w:r w:rsidR="00580287">
        <w:rPr>
          <w:rFonts w:ascii="Century Gothic" w:hAnsi="Century Gothic" w:eastAsia="Calibri" w:cs="Arial"/>
          <w:b/>
          <w:lang w:val="es-ES_tradnl" w:eastAsia="es-ES_tradnl"/>
        </w:rPr>
        <w:t>264</w:t>
      </w:r>
      <w:r w:rsidRPr="0071238F">
        <w:rPr>
          <w:rFonts w:ascii="Century Gothic" w:hAnsi="Century Gothic" w:eastAsia="Calibri" w:cs="Arial"/>
          <w:b/>
          <w:lang w:val="es-ES_tradnl" w:eastAsia="es-ES_tradnl"/>
        </w:rPr>
        <w:t xml:space="preserve"> de 2023</w:t>
      </w:r>
    </w:p>
    <w:p w:rsidRPr="0071238F" w:rsidR="00AF36D0" w:rsidP="00AF36D0" w:rsidRDefault="00AF36D0" w14:paraId="291B60C6" w14:textId="77777777">
      <w:pPr>
        <w:contextualSpacing/>
        <w:jc w:val="both"/>
        <w:rPr>
          <w:rFonts w:ascii="Century Gothic" w:hAnsi="Century Gothic" w:eastAsia="Calibri" w:cs="Arial"/>
          <w:lang w:val="es-ES_tradnl" w:eastAsia="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C046D8" w:rsidR="00AF36D0" w:rsidTr="002528FF" w14:paraId="1689C81A" w14:textId="77777777">
        <w:tc>
          <w:tcPr>
            <w:tcW w:w="2689" w:type="dxa"/>
          </w:tcPr>
          <w:p w:rsidRPr="0071238F" w:rsidR="00AF36D0" w:rsidP="002528FF" w:rsidRDefault="00AF36D0" w14:paraId="1A5C56DC" w14:textId="77777777">
            <w:pPr>
              <w:contextualSpacing/>
              <w:jc w:val="both"/>
              <w:rPr>
                <w:rFonts w:ascii="Century Gothic" w:hAnsi="Century Gothic" w:eastAsia="Calibri" w:cs="Arial"/>
                <w:lang w:val="es-ES_tradnl" w:eastAsia="es-ES_tradnl"/>
              </w:rPr>
            </w:pPr>
            <w:r w:rsidRPr="0071238F">
              <w:rPr>
                <w:rFonts w:ascii="Century Gothic" w:hAnsi="Century Gothic" w:eastAsia="Calibri" w:cs="Arial"/>
                <w:b/>
                <w:lang w:val="es-ES_tradnl" w:eastAsia="es-ES_tradnl"/>
              </w:rPr>
              <w:t>Temas:</w:t>
            </w:r>
            <w:r w:rsidRPr="0071238F">
              <w:rPr>
                <w:rFonts w:ascii="Century Gothic" w:hAnsi="Century Gothic" w:eastAsia="Calibri" w:cs="Arial"/>
                <w:lang w:val="es-ES_tradnl" w:eastAsia="es-ES_tradnl"/>
              </w:rPr>
              <w:t xml:space="preserve">                                      </w:t>
            </w:r>
          </w:p>
        </w:tc>
        <w:tc>
          <w:tcPr>
            <w:tcW w:w="6237" w:type="dxa"/>
          </w:tcPr>
          <w:p w:rsidRPr="0071238F" w:rsidR="00AF36D0" w:rsidP="002528FF" w:rsidRDefault="00AF36D0" w14:paraId="637D01F9" w14:textId="77777777">
            <w:pPr>
              <w:spacing w:after="120"/>
              <w:contextualSpacing/>
              <w:jc w:val="both"/>
              <w:rPr>
                <w:rFonts w:ascii="Century Gothic" w:hAnsi="Century Gothic" w:eastAsia="Calibri" w:cs="Arial"/>
                <w:lang w:val="es-MX" w:eastAsia="es-ES_tradnl"/>
              </w:rPr>
            </w:pPr>
            <w:r w:rsidRPr="0071238F">
              <w:rPr>
                <w:rFonts w:ascii="Century Gothic" w:hAnsi="Century Gothic" w:eastAsia="Calibri" w:cs="Arial"/>
                <w:lang w:val="es-MX" w:eastAsia="es-ES_tradnl"/>
              </w:rPr>
              <w:t xml:space="preserve">ORGANISMOS INTERNACIONALES – Concepto / RÉGIMEN CONTRACTUAL – Ley 1150 de 2007 – Artículo 20 / SISTEMA NACIONAL DE COOPERACIÓN INTERNACIONAL – Decreto 603 de 2022 – Alcance / SOCIOS DE COOPERACIÓN INTERNACIONAL </w:t>
            </w:r>
            <w:r w:rsidRPr="000F3257">
              <w:rPr>
                <w:rFonts w:ascii="Arial" w:hAnsi="Arial" w:eastAsia="Calibri" w:cs="Arial"/>
                <w:bCs/>
                <w:lang w:val="es-MX" w:eastAsia="es-ES_tradnl"/>
              </w:rPr>
              <w:t>‒</w:t>
            </w:r>
            <w:r w:rsidRPr="0071238F">
              <w:rPr>
                <w:rFonts w:ascii="Century Gothic" w:hAnsi="Century Gothic" w:eastAsia="Calibri" w:cs="Arial"/>
                <w:lang w:val="es-MX" w:eastAsia="es-ES_tradnl"/>
              </w:rPr>
              <w:t xml:space="preserve"> Interpretaci</w:t>
            </w:r>
            <w:r w:rsidRPr="0071238F">
              <w:rPr>
                <w:rFonts w:ascii="Century Gothic" w:hAnsi="Century Gothic" w:eastAsia="Calibri" w:cs="Century Gothic"/>
                <w:lang w:val="es-MX" w:eastAsia="es-ES_tradnl"/>
              </w:rPr>
              <w:t>ó</w:t>
            </w:r>
            <w:r w:rsidRPr="0071238F">
              <w:rPr>
                <w:rFonts w:ascii="Century Gothic" w:hAnsi="Century Gothic" w:eastAsia="Calibri" w:cs="Arial"/>
                <w:lang w:val="es-MX" w:eastAsia="es-ES_tradnl"/>
              </w:rPr>
              <w:t>n amplia</w:t>
            </w:r>
          </w:p>
          <w:p w:rsidRPr="0071238F" w:rsidR="00AF36D0" w:rsidP="002528FF" w:rsidRDefault="00AF36D0" w14:paraId="4DC1954F" w14:textId="77777777">
            <w:pPr>
              <w:spacing w:after="120"/>
              <w:contextualSpacing/>
              <w:jc w:val="both"/>
              <w:rPr>
                <w:rFonts w:ascii="Century Gothic" w:hAnsi="Century Gothic" w:eastAsia="Calibri" w:cs="Arial"/>
                <w:sz w:val="12"/>
                <w:szCs w:val="12"/>
                <w:lang w:val="es-ES_tradnl" w:eastAsia="es-ES_tradnl"/>
              </w:rPr>
            </w:pPr>
          </w:p>
        </w:tc>
      </w:tr>
      <w:tr w:rsidRPr="00C046D8" w:rsidR="00AF36D0" w:rsidTr="002528FF" w14:paraId="7FC0A9BE" w14:textId="77777777">
        <w:trPr>
          <w:trHeight w:val="227"/>
        </w:trPr>
        <w:tc>
          <w:tcPr>
            <w:tcW w:w="2689" w:type="dxa"/>
          </w:tcPr>
          <w:p w:rsidRPr="0071238F" w:rsidR="00AF36D0" w:rsidP="002528FF" w:rsidRDefault="00AF36D0" w14:paraId="3ECE3D1A" w14:textId="77777777">
            <w:pPr>
              <w:contextualSpacing/>
              <w:jc w:val="both"/>
              <w:rPr>
                <w:rFonts w:ascii="Century Gothic" w:hAnsi="Century Gothic" w:eastAsia="Calibri" w:cs="Arial"/>
                <w:b/>
                <w:lang w:val="es-ES_tradnl" w:eastAsia="es-ES_tradnl"/>
              </w:rPr>
            </w:pPr>
            <w:r w:rsidRPr="0071238F">
              <w:rPr>
                <w:rFonts w:ascii="Century Gothic" w:hAnsi="Century Gothic" w:eastAsia="Calibri" w:cs="Arial"/>
                <w:b/>
                <w:lang w:val="es-ES_tradnl" w:eastAsia="es-ES_tradnl"/>
              </w:rPr>
              <w:t>Radicación:</w:t>
            </w:r>
            <w:r w:rsidRPr="0071238F">
              <w:rPr>
                <w:rFonts w:ascii="Century Gothic" w:hAnsi="Century Gothic" w:eastAsia="Calibri" w:cs="Arial"/>
                <w:lang w:val="es-ES_tradnl" w:eastAsia="es-ES_tradnl"/>
              </w:rPr>
              <w:t xml:space="preserve">                             </w:t>
            </w:r>
          </w:p>
        </w:tc>
        <w:tc>
          <w:tcPr>
            <w:tcW w:w="6237" w:type="dxa"/>
          </w:tcPr>
          <w:p w:rsidRPr="0071238F" w:rsidR="00AF36D0" w:rsidP="002528FF" w:rsidRDefault="00AF36D0" w14:paraId="090AD601" w14:textId="77777777">
            <w:pPr>
              <w:contextualSpacing/>
              <w:jc w:val="both"/>
              <w:rPr>
                <w:rFonts w:ascii="Century Gothic" w:hAnsi="Century Gothic" w:eastAsia="Calibri" w:cs="Arial"/>
                <w:lang w:val="es-ES_tradnl" w:eastAsia="es-ES_tradnl"/>
              </w:rPr>
            </w:pPr>
            <w:r w:rsidRPr="0071238F">
              <w:rPr>
                <w:rFonts w:ascii="Century Gothic" w:hAnsi="Century Gothic" w:eastAsia="Calibri" w:cs="Arial"/>
                <w:lang w:val="es-ES_tradnl" w:eastAsia="es-ES_tradnl"/>
              </w:rPr>
              <w:t>Respuesta a la consulta P20231009015847</w:t>
            </w:r>
          </w:p>
        </w:tc>
      </w:tr>
    </w:tbl>
    <w:p w:rsidRPr="0071238F" w:rsidR="00AF36D0" w:rsidP="00AF36D0" w:rsidRDefault="00AF36D0" w14:paraId="1D3CE5DF" w14:textId="77777777">
      <w:pPr>
        <w:contextualSpacing/>
        <w:jc w:val="both"/>
        <w:rPr>
          <w:rFonts w:ascii="Century Gothic" w:hAnsi="Century Gothic" w:eastAsia="Calibri" w:cs="Arial"/>
          <w:lang w:val="es-ES_tradnl" w:eastAsia="es-ES_tradnl"/>
        </w:rPr>
      </w:pPr>
    </w:p>
    <w:p w:rsidRPr="0071238F" w:rsidR="00AF36D0" w:rsidP="00AF36D0" w:rsidRDefault="00AF36D0" w14:paraId="444B5BA0" w14:textId="77777777">
      <w:pPr>
        <w:contextualSpacing/>
        <w:jc w:val="both"/>
        <w:rPr>
          <w:rFonts w:ascii="Century Gothic" w:hAnsi="Century Gothic" w:eastAsia="Calibri" w:cs="Arial"/>
          <w:lang w:val="es-ES_tradnl" w:eastAsia="es-ES_tradnl"/>
        </w:rPr>
      </w:pPr>
    </w:p>
    <w:p w:rsidRPr="0071238F" w:rsidR="00AF36D0" w:rsidP="00AF36D0" w:rsidRDefault="00AF36D0" w14:paraId="1A06EB22" w14:textId="77777777">
      <w:pPr>
        <w:contextualSpacing/>
        <w:jc w:val="both"/>
        <w:rPr>
          <w:rFonts w:ascii="Century Gothic" w:hAnsi="Century Gothic" w:eastAsia="Calibri" w:cs="Arial"/>
          <w:lang w:val="es-ES" w:eastAsia="es-ES"/>
        </w:rPr>
      </w:pPr>
      <w:r w:rsidRPr="0071238F">
        <w:rPr>
          <w:rFonts w:ascii="Century Gothic" w:hAnsi="Century Gothic" w:eastAsia="Calibri" w:cs="Arial"/>
          <w:lang w:val="es-ES" w:eastAsia="es-ES"/>
        </w:rPr>
        <w:t xml:space="preserve">Respetado doctor Sánchez Jaramillo: </w:t>
      </w:r>
    </w:p>
    <w:p w:rsidRPr="0071238F" w:rsidR="00AF36D0" w:rsidP="00AF36D0" w:rsidRDefault="00AF36D0" w14:paraId="1677414F" w14:textId="77777777">
      <w:pPr>
        <w:spacing w:line="276" w:lineRule="auto"/>
        <w:contextualSpacing/>
        <w:jc w:val="both"/>
        <w:rPr>
          <w:rFonts w:ascii="Century Gothic" w:hAnsi="Century Gothic" w:eastAsia="Calibri" w:cs="Arial"/>
          <w:szCs w:val="24"/>
          <w:lang w:val="es-ES_tradnl" w:eastAsia="es-ES_tradnl"/>
        </w:rPr>
      </w:pPr>
    </w:p>
    <w:bookmarkEnd w:id="0"/>
    <w:bookmarkEnd w:id="1"/>
    <w:p w:rsidRPr="0071238F" w:rsidR="00AF36D0" w:rsidP="00AF36D0" w:rsidRDefault="00AF36D0" w14:paraId="781131E3" w14:textId="77777777">
      <w:pPr>
        <w:spacing w:after="0" w:line="276" w:lineRule="auto"/>
        <w:jc w:val="both"/>
        <w:rPr>
          <w:rFonts w:ascii="Century Gothic" w:hAnsi="Century Gothic" w:eastAsia="Calibri" w:cs="Arial"/>
          <w:color w:val="000000" w:themeColor="text1"/>
          <w:lang w:val="es-ES_tradnl"/>
        </w:rPr>
      </w:pPr>
      <w:r w:rsidRPr="0071238F">
        <w:rPr>
          <w:rFonts w:ascii="Century Gothic" w:hAnsi="Century Gothic" w:eastAsia="Calibri" w:cs="Arial"/>
          <w:color w:val="000000" w:themeColor="text1"/>
          <w:lang w:val="es-ES_tradnl"/>
        </w:rPr>
        <w:t>En ejercicio de la competencia otorgada por el numeral 8 del artículo 11 y el numeral 5 del artículo 3 del Decreto Ley 4170 de 2011</w:t>
      </w:r>
      <w:bookmarkStart w:name="_Hlk99120496" w:id="8"/>
      <w:r w:rsidRPr="0071238F">
        <w:rPr>
          <w:rFonts w:ascii="Century Gothic" w:hAnsi="Century Gothic" w:eastAsia="Arial MT" w:cs="Arial MT"/>
          <w:lang w:val="es-ES"/>
        </w:rPr>
        <w:t xml:space="preserve">, </w:t>
      </w:r>
      <w:bookmarkEnd w:id="8"/>
      <w:r w:rsidRPr="0071238F">
        <w:rPr>
          <w:rFonts w:ascii="Century Gothic" w:hAnsi="Century Gothic" w:eastAsia="Calibri" w:cs="Arial"/>
          <w:color w:val="000000" w:themeColor="text1"/>
          <w:lang w:val="es-ES_tradnl"/>
        </w:rPr>
        <w:t>la Agencia Nacional de Contratación Pública – Colombia Compra Eficiente responde la consulta radicada el 9 de octubre de 2023.</w:t>
      </w:r>
    </w:p>
    <w:p w:rsidRPr="0071238F" w:rsidR="00AF36D0" w:rsidP="00AF36D0" w:rsidRDefault="00AF36D0" w14:paraId="46B3C887" w14:textId="77777777">
      <w:pPr>
        <w:spacing w:after="0" w:line="276" w:lineRule="auto"/>
        <w:jc w:val="both"/>
        <w:rPr>
          <w:rFonts w:ascii="Century Gothic" w:hAnsi="Century Gothic" w:eastAsia="Calibri" w:cs="Arial"/>
          <w:b/>
          <w:color w:val="000000" w:themeColor="text1"/>
          <w:lang w:val="es-ES_tradnl"/>
        </w:rPr>
      </w:pPr>
    </w:p>
    <w:p w:rsidRPr="0071238F" w:rsidR="00AF36D0" w:rsidP="00AF36D0" w:rsidRDefault="00AF36D0" w14:paraId="7A20AEA4" w14:textId="77777777">
      <w:pPr>
        <w:pStyle w:val="Prrafodelista"/>
        <w:numPr>
          <w:ilvl w:val="0"/>
          <w:numId w:val="17"/>
        </w:numPr>
        <w:tabs>
          <w:tab w:val="left" w:pos="0"/>
          <w:tab w:val="left" w:pos="142"/>
          <w:tab w:val="left" w:pos="284"/>
        </w:tabs>
        <w:spacing w:after="0" w:line="276" w:lineRule="auto"/>
        <w:ind w:left="0" w:firstLine="0"/>
        <w:jc w:val="both"/>
        <w:rPr>
          <w:rFonts w:ascii="Century Gothic" w:hAnsi="Century Gothic" w:eastAsia="Calibri" w:cs="Arial"/>
          <w:b/>
          <w:color w:val="000000" w:themeColor="text1"/>
          <w:lang w:val="es-ES_tradnl"/>
        </w:rPr>
      </w:pPr>
      <w:r w:rsidRPr="0071238F">
        <w:rPr>
          <w:rFonts w:ascii="Century Gothic" w:hAnsi="Century Gothic" w:eastAsia="Calibri" w:cs="Arial"/>
          <w:b/>
          <w:color w:val="000000" w:themeColor="text1"/>
          <w:lang w:val="es-ES_tradnl"/>
        </w:rPr>
        <w:t xml:space="preserve">Problemas planteados </w:t>
      </w:r>
    </w:p>
    <w:p w:rsidRPr="0071238F" w:rsidR="00AF36D0" w:rsidP="00AF36D0" w:rsidRDefault="00AF36D0" w14:paraId="52D8D458" w14:textId="77777777">
      <w:pPr>
        <w:tabs>
          <w:tab w:val="left" w:pos="426"/>
        </w:tabs>
        <w:spacing w:after="0" w:line="276" w:lineRule="auto"/>
        <w:jc w:val="both"/>
        <w:rPr>
          <w:rFonts w:ascii="Century Gothic" w:hAnsi="Century Gothic" w:eastAsia="Calibri" w:cs="Arial"/>
          <w:b/>
          <w:color w:val="000000" w:themeColor="text1"/>
          <w:lang w:val="es-ES_tradnl"/>
        </w:rPr>
      </w:pPr>
    </w:p>
    <w:p w:rsidRPr="0071238F" w:rsidR="00AF36D0" w:rsidP="00AF36D0" w:rsidRDefault="00AF36D0" w14:paraId="63571D17" w14:textId="77777777">
      <w:pPr>
        <w:spacing w:after="0" w:line="276" w:lineRule="auto"/>
        <w:jc w:val="both"/>
        <w:rPr>
          <w:rFonts w:ascii="Century Gothic" w:hAnsi="Century Gothic" w:cs="Arial"/>
          <w:color w:val="000000" w:themeColor="text1"/>
          <w:lang w:val="es-ES_tradnl"/>
        </w:rPr>
      </w:pPr>
      <w:bookmarkStart w:name="_Hlk132728388" w:id="9"/>
      <w:r w:rsidRPr="0071238F">
        <w:rPr>
          <w:rFonts w:ascii="Century Gothic" w:hAnsi="Century Gothic" w:cs="Arial"/>
          <w:color w:val="000000" w:themeColor="text1"/>
          <w:lang w:val="es-ES_tradnl"/>
        </w:rPr>
        <w:t>Usted realiza las siguientes preguntas:</w:t>
      </w:r>
      <w:bookmarkEnd w:id="9"/>
      <w:r w:rsidRPr="0071238F">
        <w:rPr>
          <w:rFonts w:ascii="Century Gothic" w:hAnsi="Century Gothic"/>
          <w:color w:val="000000" w:themeColor="text1"/>
        </w:rPr>
        <w:t xml:space="preserve"> </w:t>
      </w:r>
      <w:bookmarkStart w:name="_Hlk132728466" w:id="10"/>
      <w:bookmarkStart w:name="_Hlk134095577" w:id="11"/>
      <w:bookmarkStart w:name="_Hlk137047447" w:id="12"/>
      <w:bookmarkStart w:name="_Hlk148445785" w:id="13"/>
      <w:r w:rsidRPr="0071238F">
        <w:rPr>
          <w:rFonts w:ascii="Century Gothic" w:hAnsi="Century Gothic" w:cs="Arial"/>
          <w:color w:val="000000" w:themeColor="text1"/>
          <w:lang w:val="es-ES_tradnl"/>
        </w:rPr>
        <w:t>i)</w:t>
      </w:r>
      <w:bookmarkEnd w:id="10"/>
      <w:bookmarkEnd w:id="11"/>
      <w:bookmarkEnd w:id="12"/>
      <w:r w:rsidRPr="0071238F">
        <w:rPr>
          <w:rFonts w:ascii="Century Gothic" w:hAnsi="Century Gothic" w:cs="Arial"/>
          <w:color w:val="000000" w:themeColor="text1"/>
          <w:lang w:val="es-ES_tradnl"/>
        </w:rPr>
        <w:t xml:space="preserve"> “¿Es válido afirmar que la exigencia de que: ‘</w:t>
      </w:r>
      <w:r w:rsidRPr="0071238F">
        <w:rPr>
          <w:rFonts w:ascii="Century Gothic" w:hAnsi="Century Gothic" w:cs="Arial"/>
          <w:i/>
          <w:color w:val="000000" w:themeColor="text1"/>
          <w:lang w:val="es-ES_tradnl"/>
        </w:rPr>
        <w:t>Todo proyecto, programa y/o iniciativa de cooperación internacional que sea implementada por un socio de cooperación internacional y que involucre recursos del Presupuesto General de la Nación, debe tener una contrapartida de recursos financieros mínimo del 30%, del socio de cooperación internacional</w:t>
      </w:r>
      <w:r w:rsidRPr="0071238F">
        <w:rPr>
          <w:rFonts w:ascii="Century Gothic" w:hAnsi="Century Gothic" w:cs="Arial"/>
          <w:color w:val="000000" w:themeColor="text1"/>
          <w:lang w:val="es-ES_tradnl"/>
        </w:rPr>
        <w:t xml:space="preserve">’, en los términos del artículo 2.2.8.3.4. del Decreto Nacional 603 de 2022, aplica únicamente </w:t>
      </w:r>
      <w:r w:rsidRPr="0071238F">
        <w:rPr>
          <w:rFonts w:ascii="Century Gothic" w:hAnsi="Century Gothic" w:cs="Arial"/>
          <w:color w:val="000000" w:themeColor="text1"/>
          <w:lang w:val="es-ES_tradnl"/>
        </w:rPr>
        <w:lastRenderedPageBreak/>
        <w:t xml:space="preserve">a los contratos o convenios financiados totalmente o en parte con fondos de los organismos de cooperación, asistencia o ayudas internacionales, esto es, organizaciones internacionales privadas u organizaciones no gubernamentales (ONG), o debe aplicarse a todo proyecto, programa y/o iniciativa de cooperación internacional sin importar la naturaleza jurídica del aliado, es decir, incluyendo a las personas extranjeras de derecho público?” (Énfasis dentro del texto) y </w:t>
      </w:r>
      <w:proofErr w:type="spellStart"/>
      <w:r w:rsidRPr="0071238F">
        <w:rPr>
          <w:rFonts w:ascii="Century Gothic" w:hAnsi="Century Gothic" w:cs="Arial"/>
          <w:color w:val="000000" w:themeColor="text1"/>
          <w:lang w:val="es-ES_tradnl"/>
        </w:rPr>
        <w:t>ii</w:t>
      </w:r>
      <w:proofErr w:type="spellEnd"/>
      <w:r w:rsidRPr="0071238F">
        <w:rPr>
          <w:rFonts w:ascii="Century Gothic" w:hAnsi="Century Gothic" w:cs="Arial"/>
          <w:color w:val="000000" w:themeColor="text1"/>
          <w:lang w:val="es-ES_tradnl"/>
        </w:rPr>
        <w:t>) “En caso de que la respuesta a la pregunta anterior sea afirmativa, ¿cómo es jurídicamente posible que un decreto reglamentario incluya requisitos sustanciales para la celebración de convenios de cooperación internacional que no están incluidos en la ley reglamentada (art. 20 Ley 1150 de 2007)?”</w:t>
      </w:r>
      <w:bookmarkEnd w:id="13"/>
      <w:r w:rsidRPr="0071238F">
        <w:rPr>
          <w:rFonts w:ascii="Century Gothic" w:hAnsi="Century Gothic" w:cs="Arial"/>
          <w:color w:val="000000" w:themeColor="text1"/>
          <w:lang w:val="es-ES_tradnl"/>
        </w:rPr>
        <w:t xml:space="preserve">.  </w:t>
      </w:r>
    </w:p>
    <w:p w:rsidRPr="0071238F" w:rsidR="00AF36D0" w:rsidP="00AF36D0" w:rsidRDefault="00AF36D0" w14:paraId="2003F57E" w14:textId="77777777">
      <w:pPr>
        <w:spacing w:after="0" w:line="276" w:lineRule="auto"/>
        <w:ind w:right="709"/>
        <w:jc w:val="both"/>
        <w:rPr>
          <w:rFonts w:ascii="Century Gothic" w:hAnsi="Century Gothic" w:cs="Arial"/>
          <w:color w:val="000000" w:themeColor="text1"/>
          <w:sz w:val="21"/>
          <w:szCs w:val="21"/>
        </w:rPr>
      </w:pPr>
    </w:p>
    <w:p w:rsidRPr="0071238F" w:rsidR="00AF36D0" w:rsidP="00AF36D0" w:rsidRDefault="00AF36D0" w14:paraId="52ED9918" w14:textId="77777777">
      <w:pPr>
        <w:pStyle w:val="Prrafodelista"/>
        <w:numPr>
          <w:ilvl w:val="0"/>
          <w:numId w:val="17"/>
        </w:numPr>
        <w:tabs>
          <w:tab w:val="left" w:pos="0"/>
          <w:tab w:val="left" w:pos="284"/>
        </w:tabs>
        <w:spacing w:after="0" w:line="240" w:lineRule="auto"/>
        <w:ind w:left="0" w:firstLine="0"/>
        <w:jc w:val="both"/>
        <w:rPr>
          <w:rFonts w:ascii="Century Gothic" w:hAnsi="Century Gothic" w:eastAsia="Calibri" w:cs="Arial"/>
          <w:b/>
          <w:color w:val="000000" w:themeColor="text1"/>
          <w:lang w:val="es-ES_tradnl"/>
        </w:rPr>
      </w:pPr>
      <w:r w:rsidRPr="0071238F">
        <w:rPr>
          <w:rFonts w:ascii="Century Gothic" w:hAnsi="Century Gothic" w:eastAsia="Calibri" w:cs="Arial"/>
          <w:b/>
          <w:color w:val="000000" w:themeColor="text1"/>
          <w:lang w:val="es-ES_tradnl"/>
        </w:rPr>
        <w:t>Consideraciones</w:t>
      </w:r>
    </w:p>
    <w:p w:rsidRPr="0071238F" w:rsidR="00AF36D0" w:rsidP="00AF36D0" w:rsidRDefault="00AF36D0" w14:paraId="00172203" w14:textId="77777777">
      <w:pPr>
        <w:spacing w:after="0" w:line="276" w:lineRule="auto"/>
        <w:jc w:val="both"/>
        <w:rPr>
          <w:rFonts w:ascii="Century Gothic" w:hAnsi="Century Gothic" w:eastAsia="Calibri" w:cs="Arial"/>
          <w:color w:val="000000" w:themeColor="text1"/>
          <w:lang w:val="es-ES"/>
        </w:rPr>
      </w:pPr>
    </w:p>
    <w:p w:rsidRPr="0071238F" w:rsidR="00AF36D0" w:rsidP="00AF36D0" w:rsidRDefault="00AF36D0" w14:paraId="12807CF9" w14:textId="77777777">
      <w:pPr>
        <w:spacing w:after="120" w:line="276" w:lineRule="auto"/>
        <w:jc w:val="both"/>
        <w:rPr>
          <w:rFonts w:ascii="Century Gothic" w:hAnsi="Century Gothic" w:cs="Arial"/>
          <w:lang w:val="es-ES"/>
        </w:rPr>
      </w:pPr>
      <w:r w:rsidRPr="0071238F">
        <w:rPr>
          <w:rFonts w:ascii="Century Gothic" w:hAnsi="Century Gothic" w:cs="Arial"/>
        </w:rPr>
        <w:t xml:space="preserve">En ejercicio de las competencias establecidas en los artículos 3.5 y 11.8 del Decreto 4170 de 2011, la Agencia Nacional de Contratación Pública – Colombia Compra Eficiente resuelve consultas sobre </w:t>
      </w:r>
      <w:r w:rsidRPr="0071238F">
        <w:rPr>
          <w:rFonts w:ascii="Century Gothic" w:hAnsi="Century Gothic" w:cs="Arial"/>
          <w:lang w:val="es-ES"/>
        </w:rPr>
        <w:t>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w:t>
      </w:r>
      <w:r w:rsidRPr="0071238F">
        <w:rPr>
          <w:rFonts w:ascii="Century Gothic" w:hAnsi="Century Gothic" w:cs="Arial"/>
        </w:rPr>
        <w:t xml:space="preserve"> de todos los partícipes de la contratación estatal.</w:t>
      </w:r>
    </w:p>
    <w:p w:rsidRPr="0071238F" w:rsidR="00AF36D0" w:rsidP="00AF36D0" w:rsidRDefault="00AF36D0" w14:paraId="6647128E" w14:textId="77777777">
      <w:pPr>
        <w:spacing w:after="120" w:line="276" w:lineRule="auto"/>
        <w:ind w:firstLine="708"/>
        <w:jc w:val="both"/>
        <w:rPr>
          <w:rFonts w:ascii="Century Gothic" w:hAnsi="Century Gothic" w:cs="Arial"/>
          <w:lang w:val="es-ES"/>
        </w:rPr>
      </w:pPr>
      <w:r w:rsidRPr="0071238F">
        <w:rPr>
          <w:rFonts w:ascii="Century Gothic"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71238F">
        <w:rPr>
          <w:rFonts w:ascii="Century Gothic" w:hAnsi="Century Gothic" w:cs="Arial"/>
          <w:vertAlign w:val="superscript"/>
          <w:lang w:val="es-ES"/>
        </w:rPr>
        <w:footnoteReference w:id="2"/>
      </w:r>
      <w:r w:rsidRPr="0071238F">
        <w:rPr>
          <w:rFonts w:ascii="Century Gothic" w:hAnsi="Century Gothic" w:cs="Arial"/>
          <w:lang w:val="es-ES"/>
        </w:rPr>
        <w:t>.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celebrar determinado negocio en específico.</w:t>
      </w:r>
    </w:p>
    <w:p w:rsidRPr="0071238F" w:rsidR="00AF36D0" w:rsidP="00AF36D0" w:rsidRDefault="00AF36D0" w14:paraId="4F9FBEA0" w14:textId="77777777">
      <w:pPr>
        <w:spacing w:line="276" w:lineRule="auto"/>
        <w:ind w:firstLine="708"/>
        <w:jc w:val="both"/>
        <w:rPr>
          <w:rFonts w:ascii="Century Gothic" w:hAnsi="Century Gothic" w:cs="Arial"/>
          <w:color w:val="000000" w:themeColor="text1"/>
          <w:lang w:val="es-ES"/>
        </w:rPr>
      </w:pPr>
      <w:r w:rsidRPr="0071238F">
        <w:rPr>
          <w:rFonts w:ascii="Century Gothic" w:hAnsi="Century Gothic" w:eastAsia="Calibri" w:cs="Arial"/>
        </w:rPr>
        <w:lastRenderedPageBreak/>
        <w:t xml:space="preserve">Sin perjuicio de lo anterior, la Agencia –dentro de los límites de sus atribuciones– resolverá la consulta conforme a las normas generales del sistema de compras públicas. Con este objetivo se abordarán </w:t>
      </w:r>
      <w:r w:rsidRPr="0071238F">
        <w:rPr>
          <w:rFonts w:ascii="Century Gothic" w:hAnsi="Century Gothic" w:eastAsia="Calibri" w:cs="Arial"/>
          <w:lang w:val="es-ES"/>
        </w:rPr>
        <w:t>los siguientes temas:</w:t>
      </w:r>
      <w:r w:rsidRPr="0071238F">
        <w:rPr>
          <w:rFonts w:ascii="Century Gothic" w:hAnsi="Century Gothic" w:cs="Arial"/>
          <w:color w:val="000000" w:themeColor="text1"/>
          <w:lang w:val="es-ES"/>
        </w:rPr>
        <w:t xml:space="preserve"> </w:t>
      </w:r>
      <w:r w:rsidRPr="0071238F">
        <w:rPr>
          <w:rFonts w:ascii="Century Gothic" w:hAnsi="Century Gothic" w:cs="Arial"/>
          <w:color w:val="000000" w:themeColor="text1"/>
          <w:lang w:val="es-ES_tradnl"/>
        </w:rPr>
        <w:t xml:space="preserve">i) régimen jurídico de los contratos con organismos internacionales y </w:t>
      </w:r>
      <w:proofErr w:type="spellStart"/>
      <w:r w:rsidRPr="0071238F">
        <w:rPr>
          <w:rFonts w:ascii="Century Gothic" w:hAnsi="Century Gothic" w:cs="Arial"/>
          <w:color w:val="000000" w:themeColor="text1"/>
          <w:lang w:val="es-ES_tradnl"/>
        </w:rPr>
        <w:t>ii</w:t>
      </w:r>
      <w:proofErr w:type="spellEnd"/>
      <w:r w:rsidRPr="0071238F">
        <w:rPr>
          <w:rFonts w:ascii="Century Gothic" w:hAnsi="Century Gothic" w:cs="Arial"/>
          <w:color w:val="000000" w:themeColor="text1"/>
          <w:lang w:val="es-ES_tradnl"/>
        </w:rPr>
        <w:t xml:space="preserve">) alcance del artículo 2.2.8.3.4 del Decreto 603 de 2022.   </w:t>
      </w:r>
    </w:p>
    <w:p w:rsidRPr="0071238F" w:rsidR="00AF36D0" w:rsidP="00AF36D0" w:rsidRDefault="00AF36D0" w14:paraId="3E60DD1D" w14:textId="77777777">
      <w:pPr>
        <w:spacing w:before="120" w:after="0" w:line="276" w:lineRule="auto"/>
        <w:ind w:firstLine="709"/>
        <w:jc w:val="both"/>
        <w:rPr>
          <w:rFonts w:ascii="Century Gothic" w:hAnsi="Century Gothic" w:eastAsia="Calibri" w:cs="Arial"/>
          <w:color w:val="000000" w:themeColor="text1"/>
          <w:lang w:val="es-ES"/>
        </w:rPr>
      </w:pPr>
      <w:r w:rsidRPr="0071238F">
        <w:rPr>
          <w:rFonts w:ascii="Century Gothic" w:hAnsi="Century Gothic" w:eastAsia="Calibri" w:cs="Arial"/>
          <w:color w:val="000000" w:themeColor="text1"/>
          <w:lang w:val="es-ES"/>
        </w:rPr>
        <w:t xml:space="preserve">La Agencia Nacional de Contratación Pública – Colombia Compra Eficiente, en los Conceptos C-185 del 13 de abril de 2020, C-372 del 30 de junio de 2020, C-374 del 23 de julio de 2020, C-680 del 18 de noviembre de 2020, C-771 del 13 de enero de 2021, C-781 del 19 de enero de 2021, C-049 del 8 de marzo de 2021, C-296 del 22 de junio de 2021, C-377 del 28 de julio de 2021, </w:t>
      </w:r>
      <w:r w:rsidRPr="0071238F">
        <w:rPr>
          <w:rFonts w:ascii="Century Gothic" w:hAnsi="Century Gothic" w:eastAsia="Calibri" w:cs="Arial"/>
        </w:rPr>
        <w:t xml:space="preserve">C-559 del 31 de agosto de 2021, C-233 del 6 de junio de 2022, </w:t>
      </w:r>
      <w:r w:rsidRPr="0071238F">
        <w:rPr>
          <w:rFonts w:ascii="Century Gothic" w:hAnsi="Century Gothic" w:eastAsia="Calibri" w:cs="Arial"/>
          <w:color w:val="000000" w:themeColor="text1"/>
          <w:lang w:val="es-ES"/>
        </w:rPr>
        <w:t xml:space="preserve">C-241 del 12 de mayo de 2022, C-305 del 16 de mayo de 2022, C-313 del 17 de mayo de 2022, C-358 del 27 de mayo de 2022, C-362 del 27 de mayo de 2022, C-367 del 7 de junio de 2022, C-368 del 13 de mayo de 2022, C-461 del 19 de julio de 2022 estudió el contenido del artículo 20 de la Ley 1150 de 2007, e hizo especial énfasis en el </w:t>
      </w:r>
      <w:r w:rsidRPr="0071238F">
        <w:rPr>
          <w:rFonts w:ascii="Century Gothic" w:hAnsi="Century Gothic" w:cs="Arial"/>
          <w:color w:val="000000" w:themeColor="text1"/>
          <w:lang w:val="es-ES_tradnl"/>
        </w:rPr>
        <w:t>Decreto 603 de 2022 en los Conceptos C-942 del 7 de marzo de 2023, C-012 del 7 de marzo de 2023, C-223 del 14 de agosto de 2023 y C-228 del 21 de septiembre de 2023</w:t>
      </w:r>
      <w:r w:rsidRPr="0071238F">
        <w:rPr>
          <w:rStyle w:val="Refdenotaalpie"/>
          <w:rFonts w:ascii="Century Gothic" w:hAnsi="Century Gothic" w:eastAsia="Calibri" w:cs="Arial"/>
        </w:rPr>
        <w:footnoteReference w:id="3"/>
      </w:r>
      <w:r w:rsidRPr="0071238F">
        <w:rPr>
          <w:rStyle w:val="normaltextrun"/>
          <w:rFonts w:ascii="Century Gothic" w:hAnsi="Century Gothic" w:cs="Arial"/>
          <w:color w:val="000000"/>
          <w:shd w:val="clear" w:color="auto" w:fill="FFFFFF"/>
        </w:rPr>
        <w:t xml:space="preserve">. </w:t>
      </w:r>
      <w:r w:rsidRPr="0071238F">
        <w:rPr>
          <w:rFonts w:ascii="Century Gothic" w:hAnsi="Century Gothic" w:eastAsia="Calibri" w:cs="Arial"/>
          <w:color w:val="000000" w:themeColor="text1"/>
          <w:lang w:val="es-ES_tradnl"/>
        </w:rPr>
        <w:t xml:space="preserve">La tesis propuesta en estos conceptos se reitera a continuación y se complementa en lo pertinente. </w:t>
      </w:r>
    </w:p>
    <w:p w:rsidRPr="0071238F" w:rsidR="00AF36D0" w:rsidP="00AF36D0" w:rsidRDefault="00AF36D0" w14:paraId="250F64F9" w14:textId="77777777">
      <w:pPr>
        <w:spacing w:after="0" w:line="276" w:lineRule="auto"/>
        <w:contextualSpacing/>
        <w:jc w:val="both"/>
        <w:rPr>
          <w:rFonts w:ascii="Century Gothic" w:hAnsi="Century Gothic" w:eastAsia="Times New Roman" w:cs="Arial"/>
          <w:b/>
          <w:szCs w:val="24"/>
          <w:lang w:eastAsia="es-ES_tradnl"/>
        </w:rPr>
      </w:pPr>
    </w:p>
    <w:p w:rsidRPr="0071238F" w:rsidR="00AF36D0" w:rsidP="00AF36D0" w:rsidRDefault="00AF36D0" w14:paraId="5AA16A37" w14:textId="77777777">
      <w:pPr>
        <w:spacing w:after="0" w:line="276" w:lineRule="auto"/>
        <w:jc w:val="both"/>
        <w:rPr>
          <w:rFonts w:ascii="Century Gothic" w:hAnsi="Century Gothic" w:eastAsia="Calibri" w:cs="Arial"/>
          <w:b/>
          <w:color w:val="000000" w:themeColor="text1"/>
        </w:rPr>
      </w:pPr>
      <w:r w:rsidRPr="0071238F">
        <w:rPr>
          <w:rFonts w:ascii="Century Gothic" w:hAnsi="Century Gothic" w:eastAsia="Times New Roman" w:cs="Arial"/>
          <w:b/>
          <w:szCs w:val="24"/>
          <w:lang w:eastAsia="es-ES_tradnl"/>
        </w:rPr>
        <w:t xml:space="preserve">2.1. </w:t>
      </w:r>
      <w:r w:rsidRPr="0071238F">
        <w:rPr>
          <w:rFonts w:ascii="Century Gothic" w:hAnsi="Century Gothic" w:eastAsia="Calibri" w:cs="Arial"/>
          <w:b/>
          <w:color w:val="000000" w:themeColor="text1"/>
        </w:rPr>
        <w:t>Régimen jurídico de los contratos con organismos internacionales</w:t>
      </w:r>
    </w:p>
    <w:p w:rsidRPr="0071238F" w:rsidR="00AF36D0" w:rsidP="00AF36D0" w:rsidRDefault="00AF36D0" w14:paraId="7D749DF0" w14:textId="77777777">
      <w:pPr>
        <w:spacing w:after="0" w:line="276" w:lineRule="auto"/>
        <w:jc w:val="both"/>
        <w:rPr>
          <w:rFonts w:ascii="Century Gothic" w:hAnsi="Century Gothic" w:eastAsia="Calibri" w:cs="Arial"/>
          <w:b/>
          <w:color w:val="000000" w:themeColor="text1"/>
        </w:rPr>
      </w:pPr>
    </w:p>
    <w:p w:rsidRPr="0071238F" w:rsidR="00AF36D0" w:rsidP="00AF36D0" w:rsidRDefault="00AF36D0" w14:paraId="7DDBF7D8" w14:textId="77777777">
      <w:pPr>
        <w:spacing w:after="120" w:line="276" w:lineRule="auto"/>
        <w:jc w:val="both"/>
        <w:rPr>
          <w:rFonts w:ascii="Century Gothic" w:hAnsi="Century Gothic" w:cs="Arial"/>
          <w:lang w:val="es-ES"/>
        </w:rPr>
      </w:pPr>
      <w:bookmarkStart w:name="_Hlk99449041" w:id="14"/>
      <w:r w:rsidRPr="0071238F">
        <w:rPr>
          <w:rFonts w:ascii="Century Gothic" w:hAnsi="Century Gothic" w:cs="Arial"/>
          <w:lang w:val="es-ES"/>
        </w:rPr>
        <w:t>Por organismo internacional se entiende aquella organización, grupo o asociación que se extiende más allá de las fronteras de un Estado y cuenta con órganos gubernamentales permanentes distintos e independientes de los Estados miembros de la organización que garantizan su vigencia y operatividad, con el propósito de cumplir objetivos comunes entre los Estados miembros</w:t>
      </w:r>
      <w:r w:rsidRPr="0071238F">
        <w:rPr>
          <w:rStyle w:val="Refdenotaalpie"/>
          <w:rFonts w:ascii="Century Gothic" w:hAnsi="Century Gothic" w:cs="Arial"/>
        </w:rPr>
        <w:footnoteReference w:id="4"/>
      </w:r>
      <w:r w:rsidRPr="0071238F">
        <w:rPr>
          <w:rFonts w:ascii="Century Gothic" w:hAnsi="Century Gothic" w:cs="Arial"/>
          <w:lang w:val="es-ES"/>
        </w:rPr>
        <w:t xml:space="preserve">. Conforme a su naturaleza, los organismos internacionales están facultados para suscribir contratos o convenios con los Estados, lo que supone un incidente frente a la aplicabilidad de los regímenes tanto de los Estados contratantes como de los organismos en su celebración. </w:t>
      </w:r>
    </w:p>
    <w:p w:rsidRPr="0071238F" w:rsidR="00AF36D0" w:rsidP="00AF36D0" w:rsidRDefault="00AF36D0" w14:paraId="7AC01CD1" w14:textId="77777777">
      <w:pPr>
        <w:pStyle w:val="Prrafodelista"/>
        <w:snapToGrid w:val="0"/>
        <w:spacing w:before="120" w:after="120"/>
        <w:ind w:left="0" w:firstLine="709"/>
        <w:jc w:val="both"/>
        <w:rPr>
          <w:rFonts w:ascii="Century Gothic" w:hAnsi="Century Gothic" w:eastAsia="Calibri" w:cs="Arial"/>
        </w:rPr>
      </w:pPr>
      <w:bookmarkStart w:name="_Hlk99449078" w:id="15"/>
      <w:bookmarkEnd w:id="14"/>
      <w:r w:rsidRPr="0071238F">
        <w:rPr>
          <w:rFonts w:ascii="Century Gothic" w:hAnsi="Century Gothic" w:eastAsia="Calibri" w:cs="Arial"/>
        </w:rPr>
        <w:t xml:space="preserve">El artículo 13 de la Ley 80 de 1993 regula de forma general el régimen aplicable a los contratos que celebren las entidades referidas en el artículo segundo del estatuto, señalando en el inciso primero, como primer criterio, la aplicabilidad de las disposiciones civiles y comerciales nacionales, sin perjuicio de </w:t>
      </w:r>
      <w:r w:rsidRPr="0071238F">
        <w:rPr>
          <w:rFonts w:ascii="Century Gothic" w:hAnsi="Century Gothic" w:eastAsia="Calibri" w:cs="Arial"/>
        </w:rPr>
        <w:lastRenderedPageBreak/>
        <w:t>la aplicación prevalente de las contenidas en el Estatuto General de Contratación de la Administración Pública</w:t>
      </w:r>
      <w:r w:rsidRPr="0071238F">
        <w:rPr>
          <w:rStyle w:val="Refdenotaalpie"/>
          <w:rFonts w:ascii="Century Gothic" w:hAnsi="Century Gothic" w:cs="Arial"/>
        </w:rPr>
        <w:footnoteReference w:id="5"/>
      </w:r>
      <w:r w:rsidRPr="0071238F">
        <w:rPr>
          <w:rFonts w:ascii="Century Gothic" w:hAnsi="Century Gothic" w:eastAsia="Calibri" w:cs="Arial"/>
        </w:rPr>
        <w:t xml:space="preserve">. Sin embargo, en su segundo inciso, respecto a los contratos celebrados en el exterior, permite que su ejecución se realice de conformidad con las normas del país donde se hayan suscrito, salvo que deban cumplirse en Colombia, caso en el que se aplicaría el esquema señalado respecto al inciso primero. Por último, el inciso tercero permite que los contratos que se celebren en Colombia, pero deban ejecutarse o cumplirse en el extranjero, se sometan a la ley extranjera. </w:t>
      </w:r>
    </w:p>
    <w:bookmarkEnd w:id="15"/>
    <w:p w:rsidRPr="0071238F" w:rsidR="00AF36D0" w:rsidP="00AF36D0" w:rsidRDefault="00AF36D0" w14:paraId="371E67CD" w14:textId="77777777">
      <w:pPr>
        <w:pStyle w:val="Prrafodelista"/>
        <w:snapToGrid w:val="0"/>
        <w:spacing w:before="120" w:after="120"/>
        <w:ind w:left="0" w:firstLine="709"/>
        <w:rPr>
          <w:rFonts w:ascii="Century Gothic" w:hAnsi="Century Gothic" w:eastAsia="Calibri" w:cs="Arial"/>
          <w:sz w:val="12"/>
          <w:szCs w:val="12"/>
        </w:rPr>
      </w:pPr>
    </w:p>
    <w:p w:rsidRPr="0071238F" w:rsidR="00AF36D0" w:rsidP="00AF36D0" w:rsidRDefault="00AF36D0" w14:paraId="2480F047" w14:textId="77777777">
      <w:pPr>
        <w:pStyle w:val="Prrafodelista"/>
        <w:snapToGrid w:val="0"/>
        <w:ind w:left="0" w:firstLine="709"/>
        <w:jc w:val="both"/>
        <w:rPr>
          <w:rFonts w:ascii="Century Gothic" w:hAnsi="Century Gothic" w:eastAsia="Calibri" w:cs="Arial"/>
        </w:rPr>
      </w:pPr>
      <w:r w:rsidRPr="0071238F">
        <w:rPr>
          <w:rFonts w:ascii="Century Gothic" w:hAnsi="Century Gothic" w:eastAsia="Calibri" w:cs="Arial"/>
        </w:rPr>
        <w:t>Nótese cómo el artículo citado permite que las entidades estatales no se rijan siempre por la normativa colombiana, permitiendo, en algunos casos, la aplicación de la ley extranjera. Además de los supuestos anteriores, el Consejo de Estado explica, en general, los siguientes escenarios, en los cuales el régimen jurídico puede ser uno diferente al prescrito en el derecho nacional, pese a tratarse de contratos sometidos, en principio, a la Ley 80 de 1993:</w:t>
      </w:r>
    </w:p>
    <w:p w:rsidRPr="0071238F" w:rsidR="00AF36D0" w:rsidP="00AF36D0" w:rsidRDefault="00AF36D0" w14:paraId="018E8E3E" w14:textId="77777777">
      <w:pPr>
        <w:pStyle w:val="Prrafodelista"/>
        <w:snapToGrid w:val="0"/>
        <w:ind w:left="0" w:firstLine="709"/>
        <w:jc w:val="both"/>
        <w:rPr>
          <w:rFonts w:ascii="Century Gothic" w:hAnsi="Century Gothic" w:eastAsia="Calibri" w:cs="Arial"/>
        </w:rPr>
      </w:pPr>
    </w:p>
    <w:p w:rsidRPr="0071238F" w:rsidR="00AF36D0" w:rsidP="00AF36D0" w:rsidRDefault="00AF36D0" w14:paraId="54F387B6" w14:textId="77777777">
      <w:pPr>
        <w:pStyle w:val="Prrafodelista"/>
        <w:spacing w:after="0" w:line="240" w:lineRule="auto"/>
        <w:ind w:left="709" w:right="709"/>
        <w:jc w:val="both"/>
        <w:rPr>
          <w:rFonts w:ascii="Century Gothic" w:hAnsi="Century Gothic" w:eastAsia="MS Mincho" w:cs="Arial"/>
          <w:sz w:val="21"/>
          <w:szCs w:val="21"/>
          <w:lang w:eastAsia="es-ES"/>
        </w:rPr>
      </w:pPr>
      <w:r w:rsidRPr="0071238F">
        <w:rPr>
          <w:rFonts w:ascii="Century Gothic" w:hAnsi="Century Gothic" w:eastAsia="MS Mincho" w:cs="Arial"/>
          <w:sz w:val="21"/>
          <w:szCs w:val="21"/>
          <w:lang w:eastAsia="es-ES"/>
        </w:rPr>
        <w:t xml:space="preserve">“i) Contratos celebrados en el exterior, los cuales se podrán regir en su ejecución por las reglas del país donde se ha suscrito, salvo cuando su cumplimiento deba hacerse en Colombia, caso en el cual se aplicará la legislación nacional, </w:t>
      </w:r>
      <w:proofErr w:type="spellStart"/>
      <w:r w:rsidRPr="0071238F">
        <w:rPr>
          <w:rFonts w:ascii="Century Gothic" w:hAnsi="Century Gothic" w:eastAsia="MS Mincho" w:cs="Arial"/>
          <w:sz w:val="21"/>
          <w:szCs w:val="21"/>
          <w:lang w:eastAsia="es-ES"/>
        </w:rPr>
        <w:t>ii</w:t>
      </w:r>
      <w:proofErr w:type="spellEnd"/>
      <w:r w:rsidRPr="0071238F">
        <w:rPr>
          <w:rFonts w:ascii="Century Gothic" w:hAnsi="Century Gothic" w:eastAsia="MS Mincho" w:cs="Arial"/>
          <w:sz w:val="21"/>
          <w:szCs w:val="21"/>
          <w:lang w:eastAsia="es-ES"/>
        </w:rPr>
        <w:t xml:space="preserve">) Contratos celebrados en territorio colombiano que deben ejecutarse o cumplirse en el extranjero, en tal caso podrá regirse bajo legislación foránea, salvo aquella parte que deba ejecutarse o cumplirse en Colombia, la cual se regirá por el derecho nacional, </w:t>
      </w:r>
      <w:proofErr w:type="spellStart"/>
      <w:r w:rsidRPr="0071238F">
        <w:rPr>
          <w:rFonts w:ascii="Century Gothic" w:hAnsi="Century Gothic" w:eastAsia="MS Mincho" w:cs="Arial"/>
          <w:sz w:val="21"/>
          <w:szCs w:val="21"/>
          <w:lang w:eastAsia="es-ES"/>
        </w:rPr>
        <w:t>iii</w:t>
      </w:r>
      <w:proofErr w:type="spellEnd"/>
      <w:r w:rsidRPr="0071238F">
        <w:rPr>
          <w:rFonts w:ascii="Century Gothic" w:hAnsi="Century Gothic" w:eastAsia="MS Mincho" w:cs="Arial"/>
          <w:sz w:val="21"/>
          <w:szCs w:val="21"/>
          <w:lang w:eastAsia="es-ES"/>
        </w:rPr>
        <w:t>) a) los contratos financiados con fondos de organismos multilaterales de crédito y b) aquellos celebrados con personas extranjeras de derecho público u organismos de cooperación, asistencia o ayudas internacionales, los cuales ‘podrán someterse a los reglamentos de tales entidades en todo lo relacionado con procedimientos de formación y adjudicación y cláusulas especiales de ejecución, cumplimiento, pagos y ajustes’”</w:t>
      </w:r>
      <w:r w:rsidRPr="0071238F">
        <w:rPr>
          <w:rStyle w:val="Refdenotaalpie"/>
          <w:rFonts w:ascii="Century Gothic" w:hAnsi="Century Gothic" w:cs="Arial"/>
          <w:sz w:val="21"/>
          <w:szCs w:val="21"/>
        </w:rPr>
        <w:footnoteReference w:id="6"/>
      </w:r>
      <w:r w:rsidRPr="0071238F">
        <w:rPr>
          <w:rFonts w:ascii="Century Gothic" w:hAnsi="Century Gothic" w:eastAsia="MS Mincho" w:cs="Arial"/>
          <w:sz w:val="21"/>
          <w:szCs w:val="21"/>
          <w:lang w:eastAsia="es-ES"/>
        </w:rPr>
        <w:t xml:space="preserve">. </w:t>
      </w:r>
    </w:p>
    <w:p w:rsidRPr="0071238F" w:rsidR="00AF36D0" w:rsidP="00AF36D0" w:rsidRDefault="00AF36D0" w14:paraId="1DAA2AE3" w14:textId="77777777">
      <w:pPr>
        <w:pStyle w:val="Prrafodelista"/>
        <w:spacing w:before="120" w:after="0" w:line="240" w:lineRule="auto"/>
        <w:ind w:left="851" w:right="709"/>
        <w:rPr>
          <w:rFonts w:ascii="Century Gothic" w:hAnsi="Century Gothic" w:eastAsia="Calibri" w:cs="Arial"/>
        </w:rPr>
      </w:pPr>
    </w:p>
    <w:p w:rsidRPr="0071238F" w:rsidR="00AF36D0" w:rsidP="00AF36D0" w:rsidRDefault="00AF36D0" w14:paraId="243BF645" w14:textId="77777777">
      <w:pPr>
        <w:spacing w:line="276" w:lineRule="auto"/>
        <w:ind w:firstLine="709"/>
        <w:jc w:val="both"/>
        <w:rPr>
          <w:rFonts w:ascii="Century Gothic" w:hAnsi="Century Gothic" w:eastAsia="Calibri" w:cs="Arial"/>
          <w:lang w:val="es-ES"/>
        </w:rPr>
      </w:pPr>
      <w:r w:rsidRPr="0071238F">
        <w:rPr>
          <w:rFonts w:ascii="Century Gothic" w:hAnsi="Century Gothic" w:eastAsia="Calibri" w:cs="Arial"/>
          <w:lang w:val="es-ES"/>
        </w:rPr>
        <w:t xml:space="preserve">La redacción original del artículo 13 de la Ley 80 de 1993 incluía un inciso cuarto en el que se regulaba el régimen aplicable a los contratos suscritos con organismos internacionales, estableciendo otros supuestos donde era posible aplicar un régimen distinto al del Estatuto General de Contratación de la </w:t>
      </w:r>
      <w:r w:rsidRPr="0071238F">
        <w:rPr>
          <w:rFonts w:ascii="Century Gothic" w:hAnsi="Century Gothic" w:eastAsia="Calibri" w:cs="Arial"/>
          <w:lang w:val="es-ES"/>
        </w:rPr>
        <w:lastRenderedPageBreak/>
        <w:t>Administración Pública –en adelante EGCAP–</w:t>
      </w:r>
      <w:r w:rsidRPr="0071238F">
        <w:rPr>
          <w:rStyle w:val="Refdenotaalpie"/>
          <w:rFonts w:ascii="Century Gothic" w:hAnsi="Century Gothic" w:eastAsia="Calibri" w:cs="Arial"/>
        </w:rPr>
        <w:footnoteReference w:id="7"/>
      </w:r>
      <w:r w:rsidRPr="0071238F">
        <w:rPr>
          <w:rFonts w:ascii="Century Gothic" w:hAnsi="Century Gothic" w:eastAsia="Calibri" w:cs="Arial"/>
          <w:lang w:val="es-ES"/>
        </w:rPr>
        <w:t xml:space="preserve">. Sin embargo, el artículo 20 de la Ley 1150 de 2007 modificó el régimen contractual aplicable a los contratos o convenios suscritos con organismos internacionales, estableciendo, para algunos casos, la posible definición del régimen dependiendo del porcentaje de participación que el organismo internacional tuviera frente a dichos contratos, a partir del cual establece una potestad discrecional en torno a la elección del régimen contractual aplicable. Así, el artículo 20 de la citada norma señala que “podrán” someterse a los reglamentos de tales entidades, en lo que tiene que ver con el inciso primero de dicho artículo. </w:t>
      </w:r>
    </w:p>
    <w:p w:rsidRPr="0071238F" w:rsidR="00AF36D0" w:rsidP="00AF36D0" w:rsidRDefault="00AF36D0" w14:paraId="2B638A90" w14:textId="77777777">
      <w:pPr>
        <w:spacing w:before="120" w:after="120" w:line="276" w:lineRule="auto"/>
        <w:ind w:firstLine="709"/>
        <w:jc w:val="both"/>
        <w:rPr>
          <w:rFonts w:ascii="Century Gothic" w:hAnsi="Century Gothic" w:eastAsia="Calibri" w:cs="Arial"/>
          <w:lang w:val="es-ES"/>
        </w:rPr>
      </w:pPr>
      <w:r w:rsidRPr="0071238F">
        <w:rPr>
          <w:rFonts w:ascii="Century Gothic" w:hAnsi="Century Gothic" w:eastAsia="Calibri" w:cs="Arial"/>
          <w:lang w:val="es-ES"/>
        </w:rPr>
        <w:t>Para comprender el alcance del régimen aplicable a los contratos o convenios que se suscriban con organismos internacionales, de acuerdo con la financiación de estos, resulta necesario analizar el artículo 20 de la Ley 1150 de 2007</w:t>
      </w:r>
      <w:r w:rsidRPr="0071238F">
        <w:rPr>
          <w:rStyle w:val="Refdenotaalpie"/>
          <w:rFonts w:ascii="Century Gothic" w:hAnsi="Century Gothic" w:eastAsia="Calibri" w:cs="Arial"/>
        </w:rPr>
        <w:footnoteReference w:id="8"/>
      </w:r>
      <w:r w:rsidRPr="0071238F">
        <w:rPr>
          <w:rFonts w:ascii="Century Gothic" w:hAnsi="Century Gothic" w:eastAsia="Calibri" w:cs="Arial"/>
          <w:lang w:val="es-ES"/>
        </w:rPr>
        <w:t xml:space="preserve">. De conformidad con este artículo, en lo que tiene que ver con el </w:t>
      </w:r>
      <w:r w:rsidRPr="0071238F">
        <w:rPr>
          <w:rFonts w:ascii="Century Gothic" w:hAnsi="Century Gothic" w:eastAsia="Calibri" w:cs="Arial"/>
          <w:i/>
          <w:lang w:val="es-ES"/>
        </w:rPr>
        <w:t>inciso primero</w:t>
      </w:r>
      <w:r w:rsidRPr="0071238F">
        <w:rPr>
          <w:rFonts w:ascii="Century Gothic" w:hAnsi="Century Gothic" w:eastAsia="Calibri" w:cs="Arial"/>
          <w:lang w:val="es-ES"/>
        </w:rPr>
        <w:t xml:space="preserve">,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 </w:t>
      </w:r>
    </w:p>
    <w:p w:rsidRPr="0071238F" w:rsidR="00AF36D0" w:rsidP="00AF36D0" w:rsidRDefault="00AF36D0" w14:paraId="24C77375" w14:textId="77777777">
      <w:pPr>
        <w:spacing w:after="120" w:line="276" w:lineRule="auto"/>
        <w:ind w:firstLine="709"/>
        <w:jc w:val="both"/>
        <w:rPr>
          <w:rFonts w:ascii="Century Gothic" w:hAnsi="Century Gothic" w:cs="Arial"/>
        </w:rPr>
      </w:pPr>
      <w:r w:rsidRPr="0071238F">
        <w:rPr>
          <w:rFonts w:ascii="Century Gothic" w:hAnsi="Century Gothic" w:eastAsia="Calibri" w:cs="Arial"/>
          <w:lang w:val="es-ES"/>
        </w:rPr>
        <w:t xml:space="preserve">Conviene mencionar que dentro de la ejecución del contrato o convenio pueden presentarse situaciones en las que el porcentaje de los aportes sea </w:t>
      </w:r>
      <w:r w:rsidRPr="0071238F">
        <w:rPr>
          <w:rFonts w:ascii="Century Gothic" w:hAnsi="Century Gothic" w:eastAsia="Calibri" w:cs="Arial"/>
          <w:lang w:val="es-ES"/>
        </w:rPr>
        <w:lastRenderedPageBreak/>
        <w:t>modificado, en virtud de su adición o no ejecución en los términos pactados. Previendo este escenario, el artículo 2.2.1.2.4.4.1 del Decreto 1082 de 2015 dispuso que se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71238F">
        <w:rPr>
          <w:rStyle w:val="Refdenotaalpie"/>
          <w:rFonts w:ascii="Century Gothic" w:hAnsi="Century Gothic" w:eastAsia="Calibri" w:cs="Arial"/>
        </w:rPr>
        <w:footnoteReference w:id="9"/>
      </w:r>
      <w:r w:rsidRPr="0071238F">
        <w:rPr>
          <w:rFonts w:ascii="Century Gothic" w:hAnsi="Century Gothic" w:eastAsia="Calibri" w:cs="Arial"/>
          <w:lang w:val="es-ES"/>
        </w:rPr>
        <w:t>. Así las cosas, la entidad contratante debe realizar un constante monitoreo respecto de los aportes de cada una de las partes para determinar si se debe realizar un ajuste frente al régimen aplicable, esto es, en relación con los contratos regulados en el inciso primero del artículo 20 de la Ley 1150 de 2007</w:t>
      </w:r>
      <w:r w:rsidRPr="0071238F">
        <w:rPr>
          <w:rFonts w:ascii="Century Gothic" w:hAnsi="Century Gothic" w:cs="Arial"/>
        </w:rPr>
        <w:t xml:space="preserve">. </w:t>
      </w:r>
    </w:p>
    <w:p w:rsidRPr="0071238F" w:rsidR="00AF36D0" w:rsidP="00AF36D0" w:rsidRDefault="00AF36D0" w14:paraId="12A50B60" w14:textId="77777777">
      <w:pPr>
        <w:spacing w:after="120" w:line="276" w:lineRule="auto"/>
        <w:ind w:firstLine="709"/>
        <w:jc w:val="both"/>
        <w:rPr>
          <w:rFonts w:ascii="Century Gothic" w:hAnsi="Century Gothic" w:cs="Arial"/>
          <w:lang w:val="es-MX"/>
        </w:rPr>
      </w:pPr>
      <w:r w:rsidRPr="0071238F">
        <w:rPr>
          <w:rStyle w:val="normaltextrun"/>
          <w:rFonts w:ascii="Century Gothic" w:hAnsi="Century Gothic" w:cs="Arial"/>
          <w:color w:val="000000"/>
          <w:shd w:val="clear" w:color="auto" w:fill="FFFFFF"/>
          <w:lang w:val="es-ES"/>
        </w:rPr>
        <w:t>De conformidad con lo expuesto, los contratos o convenios suscritos con organismos de cooperación, asistencia o ayudas internacionales pueden financiarse con aportes en sumas liquidas de dinero o en especie, pues el parágrafo 3 de la misma disposición así lo permite al establecer la obligación de cuantificar en moneda colombiana los aportes en especie realizados por estos organismos. En caso de que supere el 50% de la totalidad del presupuesto de la contratación, la entidad podrá someter el convenio o contrato a las reglas de contratación del referido organismo.</w:t>
      </w:r>
      <w:r w:rsidRPr="0071238F">
        <w:rPr>
          <w:rStyle w:val="eop"/>
          <w:rFonts w:ascii="Century Gothic" w:hAnsi="Century Gothic" w:cs="Arial"/>
          <w:color w:val="000000"/>
          <w:shd w:val="clear" w:color="auto" w:fill="FFFFFF"/>
        </w:rPr>
        <w:t> </w:t>
      </w:r>
    </w:p>
    <w:p w:rsidRPr="0071238F" w:rsidR="00AF36D0" w:rsidP="00AF36D0" w:rsidRDefault="00AF36D0" w14:paraId="60B21A5F" w14:textId="77777777">
      <w:pPr>
        <w:spacing w:before="120" w:after="0" w:line="276" w:lineRule="auto"/>
        <w:ind w:firstLine="709"/>
        <w:jc w:val="both"/>
        <w:rPr>
          <w:rFonts w:ascii="Century Gothic" w:hAnsi="Century Gothic" w:eastAsia="Calibri" w:cs="Arial"/>
          <w:lang w:val="es-ES"/>
        </w:rPr>
      </w:pPr>
      <w:r w:rsidRPr="0071238F">
        <w:rPr>
          <w:rFonts w:ascii="Century Gothic" w:hAnsi="Century Gothic" w:eastAsia="Calibri" w:cs="Arial"/>
          <w:lang w:val="es-ES"/>
        </w:rPr>
        <w:t xml:space="preserve">Por otro lado, la norma establece un criterio adicional en el </w:t>
      </w:r>
      <w:r w:rsidRPr="0071238F">
        <w:rPr>
          <w:rFonts w:ascii="Century Gothic" w:hAnsi="Century Gothic" w:eastAsia="Calibri" w:cs="Arial"/>
          <w:i/>
          <w:lang w:val="es-ES"/>
        </w:rPr>
        <w:t>inciso segundo,</w:t>
      </w:r>
      <w:r w:rsidRPr="0071238F">
        <w:rPr>
          <w:rFonts w:ascii="Century Gothic" w:hAnsi="Century Gothic" w:eastAsia="Calibri" w:cs="Arial"/>
          <w:lang w:val="es-ES"/>
        </w:rPr>
        <w:t xml:space="preserve"> para determinar la posible aplicación de los reglamentos de los organismos internacionales. Este segundo criterio depende del objeto del convenio o contrato a celebrar con personas extranjeras de derecho público u organismos de derecho </w:t>
      </w:r>
      <w:r w:rsidRPr="0071238F">
        <w:rPr>
          <w:rFonts w:ascii="Century Gothic" w:hAnsi="Century Gothic" w:eastAsia="Calibri" w:cs="Arial"/>
          <w:lang w:val="es-ES"/>
        </w:rPr>
        <w:lastRenderedPageBreak/>
        <w:t xml:space="preserve">internacional, de manera que en dichos casos puede pactarse el sometimiento a los reglamentos de estas entidades. En tal sentido, los supuestos en que es posible someter el régimen contractual a los reglamentos de los organismos internacionales son los siguientes: </w:t>
      </w:r>
    </w:p>
    <w:p w:rsidRPr="0071238F" w:rsidR="00AF36D0" w:rsidP="00AF36D0" w:rsidRDefault="00AF36D0" w14:paraId="2BAA86B4" w14:textId="77777777">
      <w:pPr>
        <w:spacing w:after="0" w:line="276" w:lineRule="auto"/>
        <w:ind w:firstLine="709"/>
        <w:jc w:val="both"/>
        <w:rPr>
          <w:rFonts w:ascii="Century Gothic" w:hAnsi="Century Gothic" w:eastAsia="Calibri" w:cs="Arial"/>
          <w:lang w:val="es-ES"/>
        </w:rPr>
      </w:pPr>
    </w:p>
    <w:p w:rsidRPr="0071238F" w:rsidR="00AF36D0" w:rsidP="00AF36D0" w:rsidRDefault="00AF36D0" w14:paraId="47FE7936" w14:textId="77777777">
      <w:pPr>
        <w:pStyle w:val="Prrafodelista"/>
        <w:numPr>
          <w:ilvl w:val="0"/>
          <w:numId w:val="18"/>
        </w:numPr>
        <w:spacing w:after="200" w:line="276" w:lineRule="auto"/>
        <w:ind w:left="1134" w:right="709" w:hanging="141"/>
        <w:jc w:val="both"/>
        <w:rPr>
          <w:rFonts w:ascii="Century Gothic" w:hAnsi="Century Gothic" w:eastAsia="Calibri" w:cs="Arial"/>
          <w:sz w:val="21"/>
          <w:szCs w:val="21"/>
        </w:rPr>
      </w:pPr>
      <w:r w:rsidRPr="0071238F">
        <w:rPr>
          <w:rFonts w:ascii="Century Gothic" w:hAnsi="Century Gothic" w:eastAsia="Calibri" w:cs="Arial"/>
          <w:sz w:val="21"/>
          <w:szCs w:val="21"/>
        </w:rPr>
        <w:t xml:space="preserve">Desarrollo de programas de promoción, prevención y atención en salud. </w:t>
      </w:r>
    </w:p>
    <w:p w:rsidRPr="0071238F" w:rsidR="00AF36D0" w:rsidP="00AF36D0" w:rsidRDefault="00AF36D0" w14:paraId="087CF3F2" w14:textId="77777777">
      <w:pPr>
        <w:pStyle w:val="Prrafodelista"/>
        <w:numPr>
          <w:ilvl w:val="0"/>
          <w:numId w:val="18"/>
        </w:numPr>
        <w:spacing w:after="0" w:line="276" w:lineRule="auto"/>
        <w:ind w:left="1134" w:right="709" w:hanging="141"/>
        <w:jc w:val="both"/>
        <w:rPr>
          <w:rFonts w:ascii="Century Gothic" w:hAnsi="Century Gothic" w:cs="Arial"/>
          <w:sz w:val="21"/>
          <w:szCs w:val="21"/>
        </w:rPr>
      </w:pPr>
      <w:r w:rsidRPr="0071238F">
        <w:rPr>
          <w:rFonts w:ascii="Century Gothic" w:hAnsi="Century Gothic" w:cs="Arial"/>
          <w:sz w:val="21"/>
          <w:szCs w:val="21"/>
        </w:rPr>
        <w:t>Contratos y convenios necesarios para la operación de la OIT.</w:t>
      </w:r>
    </w:p>
    <w:p w:rsidRPr="0071238F" w:rsidR="00AF36D0" w:rsidP="00AF36D0" w:rsidRDefault="00AF36D0" w14:paraId="3CA750E6" w14:textId="77777777">
      <w:pPr>
        <w:pStyle w:val="Prrafodelista"/>
        <w:numPr>
          <w:ilvl w:val="0"/>
          <w:numId w:val="18"/>
        </w:numPr>
        <w:spacing w:after="0" w:line="276" w:lineRule="auto"/>
        <w:ind w:left="1134" w:right="709" w:hanging="141"/>
        <w:jc w:val="both"/>
        <w:rPr>
          <w:rFonts w:ascii="Century Gothic" w:hAnsi="Century Gothic" w:cs="Arial"/>
          <w:sz w:val="21"/>
          <w:szCs w:val="21"/>
        </w:rPr>
      </w:pPr>
      <w:r w:rsidRPr="0071238F">
        <w:rPr>
          <w:rFonts w:ascii="Century Gothic" w:hAnsi="Century Gothic" w:cs="Arial"/>
          <w:sz w:val="21"/>
          <w:szCs w:val="21"/>
        </w:rPr>
        <w:t>Contratos y convenios que se ejecuten en desarrollo del sistema integrado de monitoreo de cultivos ilícitos.</w:t>
      </w:r>
    </w:p>
    <w:p w:rsidRPr="0071238F" w:rsidR="00AF36D0" w:rsidP="00AF36D0" w:rsidRDefault="00AF36D0" w14:paraId="79D7540E" w14:textId="77777777">
      <w:pPr>
        <w:pStyle w:val="Prrafodelista"/>
        <w:numPr>
          <w:ilvl w:val="0"/>
          <w:numId w:val="18"/>
        </w:numPr>
        <w:spacing w:after="0" w:line="276" w:lineRule="auto"/>
        <w:ind w:left="1134" w:right="709" w:hanging="141"/>
        <w:jc w:val="both"/>
        <w:rPr>
          <w:rFonts w:ascii="Century Gothic" w:hAnsi="Century Gothic" w:cs="Arial"/>
          <w:sz w:val="21"/>
          <w:szCs w:val="21"/>
        </w:rPr>
      </w:pPr>
      <w:r w:rsidRPr="0071238F">
        <w:rPr>
          <w:rFonts w:ascii="Century Gothic" w:hAnsi="Century Gothic" w:cs="Arial"/>
          <w:sz w:val="21"/>
          <w:szCs w:val="21"/>
        </w:rPr>
        <w:t>Contratos y convenios para la operación del programa mundial de alimentos.</w:t>
      </w:r>
    </w:p>
    <w:p w:rsidRPr="0071238F" w:rsidR="00AF36D0" w:rsidP="00AF36D0" w:rsidRDefault="00AF36D0" w14:paraId="54C08862" w14:textId="77777777">
      <w:pPr>
        <w:pStyle w:val="Prrafodelista"/>
        <w:numPr>
          <w:ilvl w:val="0"/>
          <w:numId w:val="18"/>
        </w:numPr>
        <w:spacing w:after="0" w:line="276" w:lineRule="auto"/>
        <w:ind w:left="1134" w:right="709" w:hanging="141"/>
        <w:jc w:val="both"/>
        <w:rPr>
          <w:rFonts w:ascii="Century Gothic" w:hAnsi="Century Gothic" w:cs="Arial"/>
          <w:sz w:val="21"/>
          <w:szCs w:val="21"/>
        </w:rPr>
      </w:pPr>
      <w:r w:rsidRPr="0071238F">
        <w:rPr>
          <w:rFonts w:ascii="Century Gothic" w:hAnsi="Century Gothic" w:cs="Arial"/>
          <w:sz w:val="21"/>
          <w:szCs w:val="21"/>
        </w:rPr>
        <w:t>Contratos y convenios para el desarrollo de programas de apoyo educativo a población desplazada y vulnerable adelantados por la Unesco y la OIM.</w:t>
      </w:r>
    </w:p>
    <w:p w:rsidRPr="0071238F" w:rsidR="00AF36D0" w:rsidP="00AF36D0" w:rsidRDefault="00AF36D0" w14:paraId="793CF5A2" w14:textId="77777777">
      <w:pPr>
        <w:pStyle w:val="Prrafodelista"/>
        <w:numPr>
          <w:ilvl w:val="0"/>
          <w:numId w:val="18"/>
        </w:numPr>
        <w:spacing w:after="0" w:line="276" w:lineRule="auto"/>
        <w:ind w:left="1134" w:right="709" w:hanging="141"/>
        <w:jc w:val="both"/>
        <w:rPr>
          <w:rFonts w:ascii="Century Gothic" w:hAnsi="Century Gothic" w:cs="Arial"/>
        </w:rPr>
      </w:pPr>
      <w:r w:rsidRPr="0071238F">
        <w:rPr>
          <w:rFonts w:ascii="Century Gothic" w:hAnsi="Century Gothic" w:cs="Arial"/>
          <w:sz w:val="21"/>
          <w:szCs w:val="21"/>
        </w:rPr>
        <w:t>Los contratos o convenios financiados con fondos de los organismos multilaterales de crédito y entes gubernamentales extranjeros.</w:t>
      </w:r>
      <w:r w:rsidRPr="0071238F">
        <w:rPr>
          <w:rFonts w:ascii="Century Gothic" w:hAnsi="Century Gothic" w:cs="Arial"/>
        </w:rPr>
        <w:t xml:space="preserve"> </w:t>
      </w:r>
    </w:p>
    <w:p w:rsidRPr="0071238F" w:rsidR="00AF36D0" w:rsidP="00AF36D0" w:rsidRDefault="00AF36D0" w14:paraId="32A8467B" w14:textId="77777777">
      <w:pPr>
        <w:pStyle w:val="Prrafodelista"/>
        <w:spacing w:after="0"/>
        <w:ind w:left="1429"/>
        <w:rPr>
          <w:rFonts w:ascii="Century Gothic" w:hAnsi="Century Gothic" w:cs="Arial"/>
        </w:rPr>
      </w:pPr>
    </w:p>
    <w:p w:rsidRPr="0071238F" w:rsidR="00AF36D0" w:rsidP="00AF36D0" w:rsidRDefault="00AF36D0" w14:paraId="7CA4B59F" w14:textId="77777777">
      <w:pPr>
        <w:spacing w:after="0" w:line="276" w:lineRule="auto"/>
        <w:ind w:firstLine="709"/>
        <w:jc w:val="both"/>
        <w:rPr>
          <w:rFonts w:ascii="Century Gothic" w:hAnsi="Century Gothic" w:eastAsia="Calibri" w:cs="Arial"/>
          <w:lang w:val="es-ES"/>
        </w:rPr>
      </w:pPr>
      <w:bookmarkStart w:name="_Hlk148447946" w:id="18"/>
      <w:r w:rsidRPr="0071238F">
        <w:rPr>
          <w:rFonts w:ascii="Century Gothic" w:hAnsi="Century Gothic" w:eastAsia="Calibri" w:cs="Arial"/>
          <w:lang w:val="es-ES"/>
        </w:rPr>
        <w:t>En los supuestos anteriores, regulados en el inciso segundo del artículo 20, independientemente del monto de los aportes de cada una de las partes, es posible optar por someter el contrato a los reglamentos de dichos organismos o bien someterlos al EGCAP, es decir, configurado alguno de los presupuestos anteriores es posible elegir cualquiera de los dos (2) regímenes indicados</w:t>
      </w:r>
      <w:bookmarkEnd w:id="18"/>
      <w:r w:rsidRPr="0071238F">
        <w:rPr>
          <w:rFonts w:ascii="Century Gothic" w:hAnsi="Century Gothic" w:eastAsia="Calibri" w:cs="Arial"/>
          <w:lang w:val="es-ES"/>
        </w:rPr>
        <w:t>. Al respecto, en el Concepto C-374 del 27 de julio de 2020, esta Agencia –después de analizar el artículo 20 de la Ley 1150 de 2007– concluyó que:</w:t>
      </w:r>
    </w:p>
    <w:p w:rsidRPr="0071238F" w:rsidR="00AF36D0" w:rsidP="00AF36D0" w:rsidRDefault="00AF36D0" w14:paraId="55D885E7" w14:textId="77777777">
      <w:pPr>
        <w:spacing w:after="0" w:line="276" w:lineRule="auto"/>
        <w:ind w:firstLine="709"/>
        <w:jc w:val="both"/>
        <w:rPr>
          <w:rFonts w:ascii="Century Gothic" w:hAnsi="Century Gothic" w:eastAsia="Calibri" w:cs="Arial"/>
          <w:lang w:val="es-ES"/>
        </w:rPr>
      </w:pPr>
    </w:p>
    <w:p w:rsidRPr="0071238F" w:rsidR="00AF36D0" w:rsidP="00AF36D0" w:rsidRDefault="00AF36D0" w14:paraId="6E95D38B" w14:textId="77777777">
      <w:pPr>
        <w:spacing w:after="0" w:line="240" w:lineRule="auto"/>
        <w:ind w:left="709" w:right="709"/>
        <w:jc w:val="both"/>
        <w:rPr>
          <w:rFonts w:ascii="Century Gothic" w:hAnsi="Century Gothic" w:eastAsia="Calibri" w:cs="Arial"/>
          <w:sz w:val="21"/>
          <w:szCs w:val="21"/>
          <w:lang w:val="es-ES"/>
        </w:rPr>
      </w:pPr>
      <w:r w:rsidRPr="0071238F">
        <w:rPr>
          <w:rFonts w:ascii="Century Gothic" w:hAnsi="Century Gothic" w:eastAsia="Calibri" w:cs="Arial"/>
          <w:sz w:val="21"/>
          <w:szCs w:val="21"/>
          <w:lang w:val="es-ES"/>
        </w:rPr>
        <w:t xml:space="preserve">“[…] existen dos grupos de supuestos en el artículo 20 de la Ley 1150 de 2007, bajo los cuales es posible someter el régimen contractual aplicable a los reglamentos de los organismos internacionales: el primer grupo, regulado en el inciso primero, donde dicha posibilidad se condiciona a que los contratos o convenios  se financien en el 50% o más con fondos de dichos organismos de cooperación, asistencia o ayudas internacionales y, el segundo grupo, regulado en el inciso segundo, donde dicha posibilidad se condiciona a que se configure alguno de los 6 supuestos enlistados atrás, sin que resulte exigible algún porcentaje de incorporación de recursos. En todo caso, frente a ambos grupos, la aplicación de los reglamentos de tales entidades internacionales es una posibilidad por la que pueden optar o no las partes; es decir, configurados los requisitos indicados, las partes pueden decidir si someten los contratos a los reglamentos de las entidades internacionales </w:t>
      </w:r>
      <w:r w:rsidRPr="0071238F">
        <w:rPr>
          <w:rFonts w:ascii="Century Gothic" w:hAnsi="Century Gothic" w:eastAsia="Calibri" w:cs="Arial"/>
          <w:sz w:val="21"/>
          <w:szCs w:val="21"/>
          <w:lang w:val="es-ES"/>
        </w:rPr>
        <w:lastRenderedPageBreak/>
        <w:t>o si se rigen por el Estatuto General de Contratación de la Administración Pública”.</w:t>
      </w:r>
    </w:p>
    <w:p w:rsidRPr="0071238F" w:rsidR="00AF36D0" w:rsidP="00AF36D0" w:rsidRDefault="00AF36D0" w14:paraId="04E17988" w14:textId="77777777">
      <w:pPr>
        <w:spacing w:after="0"/>
        <w:ind w:left="709" w:right="709"/>
        <w:jc w:val="both"/>
        <w:rPr>
          <w:rFonts w:ascii="Century Gothic" w:hAnsi="Century Gothic" w:eastAsia="Calibri" w:cs="Arial"/>
          <w:sz w:val="21"/>
          <w:szCs w:val="21"/>
          <w:lang w:val="es-ES"/>
        </w:rPr>
      </w:pPr>
    </w:p>
    <w:p w:rsidRPr="0071238F" w:rsidR="00AF36D0" w:rsidP="00AF36D0" w:rsidRDefault="00AF36D0" w14:paraId="58FFF799" w14:textId="77777777">
      <w:pPr>
        <w:spacing w:after="120" w:line="276" w:lineRule="auto"/>
        <w:ind w:firstLine="709"/>
        <w:jc w:val="both"/>
        <w:rPr>
          <w:rFonts w:ascii="Century Gothic" w:hAnsi="Century Gothic" w:eastAsia="Calibri" w:cs="Arial"/>
          <w:lang w:val="es-ES"/>
        </w:rPr>
      </w:pPr>
      <w:r w:rsidRPr="0071238F">
        <w:rPr>
          <w:rFonts w:ascii="Century Gothic" w:hAnsi="Century Gothic" w:eastAsia="Calibri" w:cs="Arial"/>
          <w:lang w:val="es-ES"/>
        </w:rPr>
        <w:t xml:space="preserve">Asimismo, el parágrafo primero del artículo 20 de la Ley 1150 de 2007 establece un tercer criterio para determinar el régimen contractual aplicable. De acuerdo con la norma, “Los contratos o acuerdos celebrados con personas extranjeras de derecho público, podrán someterse a las reglas de tales organismos”. Estos negocios jurídicos, a diferencia de los contratos del inciso primero </w:t>
      </w:r>
      <w:r w:rsidRPr="0071238F">
        <w:rPr>
          <w:rFonts w:ascii="Century Gothic" w:hAnsi="Century Gothic" w:eastAsia="Calibri" w:cs="Arial"/>
          <w:i/>
          <w:lang w:val="es-ES"/>
        </w:rPr>
        <w:t>ibidem</w:t>
      </w:r>
      <w:r w:rsidRPr="0071238F">
        <w:rPr>
          <w:rFonts w:ascii="Century Gothic" w:hAnsi="Century Gothic" w:eastAsia="Calibri" w:cs="Arial"/>
          <w:lang w:val="es-ES"/>
        </w:rPr>
        <w:t xml:space="preserve">, son independientes del monto de los aportes realizados por el organismo. Igualmente, en contraste con los contratos del inciso segundo </w:t>
      </w:r>
      <w:r w:rsidRPr="0071238F">
        <w:rPr>
          <w:rFonts w:ascii="Century Gothic" w:hAnsi="Century Gothic" w:eastAsia="Calibri" w:cs="Arial"/>
          <w:i/>
          <w:lang w:val="es-ES"/>
        </w:rPr>
        <w:t>ibidem</w:t>
      </w:r>
      <w:r w:rsidRPr="0071238F">
        <w:rPr>
          <w:rFonts w:ascii="Century Gothic" w:hAnsi="Century Gothic" w:eastAsia="Calibri" w:cs="Arial"/>
          <w:lang w:val="es-ES"/>
        </w:rPr>
        <w:t xml:space="preserve">, son negocios jurídicos independientes del objeto convenido. No obstante, al igual de los dos (2) supuestos explicados </w:t>
      </w:r>
      <w:r w:rsidRPr="0071238F">
        <w:rPr>
          <w:rFonts w:ascii="Century Gothic" w:hAnsi="Century Gothic" w:eastAsia="Calibri" w:cs="Arial"/>
          <w:i/>
          <w:lang w:val="es-ES"/>
        </w:rPr>
        <w:t>ut supra</w:t>
      </w:r>
      <w:r w:rsidRPr="0071238F">
        <w:rPr>
          <w:rFonts w:ascii="Century Gothic" w:hAnsi="Century Gothic" w:eastAsia="Calibri" w:cs="Arial"/>
          <w:lang w:val="es-ES"/>
        </w:rPr>
        <w:t xml:space="preserve">, en esta hipótesis también es posible optar por someter el contrato a los reglamentos de dichos organismos o bien someterlos a la Ley 80 de 1993. </w:t>
      </w:r>
    </w:p>
    <w:p w:rsidRPr="0071238F" w:rsidR="00AF36D0" w:rsidP="00AF36D0" w:rsidRDefault="00AF36D0" w14:paraId="6ECA9454" w14:textId="77777777">
      <w:pPr>
        <w:spacing w:after="0" w:line="276" w:lineRule="auto"/>
        <w:ind w:firstLine="709"/>
        <w:jc w:val="both"/>
        <w:rPr>
          <w:rFonts w:ascii="Century Gothic" w:hAnsi="Century Gothic" w:eastAsia="Calibri" w:cs="Arial"/>
          <w:lang w:val="es-ES"/>
        </w:rPr>
      </w:pPr>
      <w:r w:rsidRPr="0071238F">
        <w:rPr>
          <w:rFonts w:ascii="Century Gothic" w:hAnsi="Century Gothic" w:eastAsia="Calibri" w:cs="Arial"/>
          <w:lang w:val="es-ES"/>
        </w:rPr>
        <w:t xml:space="preserve">Como se observa, la norma en comento no exige aportes mínimos de los organismos internacionales en alguna de las tres (3) hipótesis explicadas, especialmente, cuando el objeto del artículo 20 de la Ley 1150 de 2007 es precisar los casos en que aplica o no el Estatuto General de Contratación. No obstante, esto cambia con el </w:t>
      </w:r>
      <w:bookmarkStart w:name="_Hlk148442847" w:id="19"/>
      <w:r w:rsidRPr="0071238F">
        <w:rPr>
          <w:rFonts w:ascii="Century Gothic" w:hAnsi="Century Gothic" w:eastAsia="Calibri" w:cs="Arial"/>
          <w:lang w:val="es-ES"/>
        </w:rPr>
        <w:t>Sistema Nacional de Cooperación Internacional</w:t>
      </w:r>
      <w:bookmarkEnd w:id="19"/>
      <w:r w:rsidRPr="0071238F">
        <w:rPr>
          <w:rFonts w:ascii="Century Gothic" w:hAnsi="Century Gothic" w:eastAsia="Calibri" w:cs="Arial"/>
          <w:lang w:val="es-ES"/>
        </w:rPr>
        <w:t xml:space="preserve">, el cual fue previsto en las bases del Plan Nacional de Desarrollo 2018-2022 y reglamentado por el Decreto 603 de 2022. Dicho aspecto se explica a continuación.    </w:t>
      </w:r>
    </w:p>
    <w:p w:rsidRPr="0071238F" w:rsidR="00AF36D0" w:rsidP="00AF36D0" w:rsidRDefault="00AF36D0" w14:paraId="6CA93BFF" w14:textId="77777777">
      <w:pPr>
        <w:spacing w:after="0" w:line="276" w:lineRule="auto"/>
        <w:ind w:firstLine="709"/>
        <w:jc w:val="both"/>
        <w:rPr>
          <w:rFonts w:ascii="Century Gothic" w:hAnsi="Century Gothic" w:eastAsia="Calibri" w:cs="Arial"/>
          <w:lang w:val="es-ES"/>
        </w:rPr>
      </w:pPr>
      <w:r w:rsidRPr="0071238F">
        <w:rPr>
          <w:rFonts w:ascii="Century Gothic" w:hAnsi="Century Gothic" w:eastAsia="Calibri" w:cs="Arial"/>
          <w:lang w:val="es-ES"/>
        </w:rPr>
        <w:t xml:space="preserve"> </w:t>
      </w:r>
    </w:p>
    <w:p w:rsidRPr="0071238F" w:rsidR="00AF36D0" w:rsidP="00AF36D0" w:rsidRDefault="00AF36D0" w14:paraId="336F8B9D" w14:textId="77777777">
      <w:pPr>
        <w:spacing w:after="0" w:line="276" w:lineRule="auto"/>
        <w:jc w:val="both"/>
        <w:rPr>
          <w:rFonts w:ascii="Century Gothic" w:hAnsi="Century Gothic" w:cs="Arial"/>
          <w:b/>
        </w:rPr>
      </w:pPr>
      <w:r w:rsidRPr="0071238F">
        <w:rPr>
          <w:rFonts w:ascii="Century Gothic" w:hAnsi="Century Gothic" w:cs="Arial"/>
          <w:b/>
        </w:rPr>
        <w:t xml:space="preserve">2.2. </w:t>
      </w:r>
      <w:bookmarkStart w:name="_Hlk148438412" w:id="20"/>
      <w:r w:rsidRPr="0071238F">
        <w:rPr>
          <w:rFonts w:ascii="Century Gothic" w:hAnsi="Century Gothic" w:cs="Arial"/>
          <w:b/>
        </w:rPr>
        <w:t>Sistema Nacional de Cooperación Internacional en la Bases de Plan Nacional de Desarrollo de la Ley 1955 de 2019: alcance del artículo 2.2.8.3.4 del Decreto 603 de 2022</w:t>
      </w:r>
      <w:bookmarkEnd w:id="20"/>
    </w:p>
    <w:p w:rsidRPr="0071238F" w:rsidR="00AF36D0" w:rsidP="00AF36D0" w:rsidRDefault="00AF36D0" w14:paraId="594BE81D" w14:textId="77777777">
      <w:pPr>
        <w:spacing w:after="0" w:line="276" w:lineRule="auto"/>
        <w:jc w:val="both"/>
        <w:rPr>
          <w:rFonts w:ascii="Century Gothic" w:hAnsi="Century Gothic" w:cs="Arial"/>
        </w:rPr>
      </w:pPr>
    </w:p>
    <w:p w:rsidRPr="0071238F" w:rsidR="00AF36D0" w:rsidP="00AF36D0" w:rsidRDefault="00AF36D0" w14:paraId="501497D2" w14:textId="77777777">
      <w:pPr>
        <w:spacing w:after="0" w:line="276" w:lineRule="auto"/>
        <w:jc w:val="both"/>
        <w:rPr>
          <w:rStyle w:val="Textoennegrita"/>
          <w:rFonts w:ascii="Century Gothic" w:hAnsi="Century Gothic" w:cs="Arial"/>
          <w:b w:val="0"/>
          <w:shd w:val="clear" w:color="auto" w:fill="FFFFFF"/>
        </w:rPr>
      </w:pPr>
      <w:r w:rsidRPr="0071238F">
        <w:rPr>
          <w:rFonts w:ascii="Century Gothic" w:hAnsi="Century Gothic" w:cs="Arial"/>
        </w:rPr>
        <w:t xml:space="preserve">El Decreto 603 de 2022, </w:t>
      </w:r>
      <w:r w:rsidRPr="0071238F">
        <w:rPr>
          <w:rFonts w:ascii="Century Gothic" w:hAnsi="Century Gothic" w:eastAsia="Calibri" w:cs="Arial"/>
          <w:b/>
          <w:sz w:val="21"/>
          <w:szCs w:val="21"/>
          <w:lang w:val="es-ES_tradnl" w:eastAsia="es-CO"/>
        </w:rPr>
        <w:t>“</w:t>
      </w:r>
      <w:r w:rsidRPr="0071238F">
        <w:rPr>
          <w:rStyle w:val="Textoennegrita"/>
          <w:rFonts w:ascii="Century Gothic" w:hAnsi="Century Gothic" w:cs="Arial"/>
          <w:b w:val="0"/>
          <w:shd w:val="clear" w:color="auto" w:fill="FFFFFF"/>
        </w:rPr>
        <w:t xml:space="preserve">Por medio del cual se adiciona el Título 8 en la Parte 2 del Libro 2 del Decreto 1067 de 2015, Único Reglamentario del Sector Administrativo de Relaciones Exteriores, para crear el Sistema Nacional de Cooperación Internacional de Colombia y se dictan disposiciones relacionadas con el desarrollo del mismo”, estableció algunos lineamientos para la cooperación internacional en Colombia, determinando su  objetivo –art. 2.2.8.3.1–, naturaleza –art. 2.2.8.3.2–, efectividad –art. 2.2.8.3.3–, participación de socios –art. 2.2.8.3.4– y destinación –art.  2.2.8.3.5–. En lo que se refiere a la participación de los socios, estableció lo siguiente: </w:t>
      </w:r>
    </w:p>
    <w:p w:rsidRPr="0071238F" w:rsidR="00AF36D0" w:rsidP="00AF36D0" w:rsidRDefault="00AF36D0" w14:paraId="411133B9" w14:textId="77777777">
      <w:pPr>
        <w:spacing w:after="0" w:line="276" w:lineRule="auto"/>
        <w:jc w:val="both"/>
        <w:rPr>
          <w:rStyle w:val="Textoennegrita"/>
          <w:rFonts w:ascii="Century Gothic" w:hAnsi="Century Gothic" w:cs="Arial"/>
          <w:b w:val="0"/>
          <w:shd w:val="clear" w:color="auto" w:fill="FFFFFF"/>
        </w:rPr>
      </w:pPr>
    </w:p>
    <w:p w:rsidRPr="0071238F" w:rsidR="00AF36D0" w:rsidP="00AF36D0" w:rsidRDefault="00AF36D0" w14:paraId="4BFA1147" w14:textId="77777777">
      <w:pPr>
        <w:shd w:val="clear" w:color="auto" w:fill="FFFFFF"/>
        <w:spacing w:after="120" w:line="240" w:lineRule="auto"/>
        <w:ind w:left="709" w:right="709"/>
        <w:jc w:val="both"/>
        <w:rPr>
          <w:rFonts w:ascii="Century Gothic" w:hAnsi="Century Gothic" w:cs="Arial"/>
          <w:sz w:val="21"/>
          <w:szCs w:val="21"/>
        </w:rPr>
      </w:pPr>
      <w:r w:rsidRPr="0071238F">
        <w:rPr>
          <w:rStyle w:val="Textoennegrita"/>
          <w:rFonts w:ascii="Century Gothic" w:hAnsi="Century Gothic" w:cs="Arial"/>
          <w:b w:val="0"/>
          <w:sz w:val="21"/>
          <w:szCs w:val="21"/>
        </w:rPr>
        <w:t>“Artículo</w:t>
      </w:r>
      <w:r w:rsidRPr="0071238F">
        <w:rPr>
          <w:rStyle w:val="Textoennegrita"/>
          <w:rFonts w:ascii="Century Gothic" w:hAnsi="Century Gothic" w:cs="Arial"/>
          <w:sz w:val="21"/>
          <w:szCs w:val="21"/>
        </w:rPr>
        <w:t xml:space="preserve"> </w:t>
      </w:r>
      <w:r w:rsidRPr="0071238F">
        <w:rPr>
          <w:rFonts w:ascii="Century Gothic" w:hAnsi="Century Gothic" w:cs="Arial"/>
          <w:sz w:val="21"/>
          <w:szCs w:val="21"/>
        </w:rPr>
        <w:t>2.2.8.3.4</w:t>
      </w:r>
      <w:r w:rsidRPr="0071238F">
        <w:rPr>
          <w:rStyle w:val="Textoennegrita"/>
          <w:rFonts w:ascii="Century Gothic" w:hAnsi="Century Gothic" w:cs="Arial"/>
          <w:sz w:val="21"/>
          <w:szCs w:val="21"/>
        </w:rPr>
        <w:t xml:space="preserve">. </w:t>
      </w:r>
      <w:r w:rsidRPr="0071238F">
        <w:rPr>
          <w:rStyle w:val="Textoennegrita"/>
          <w:rFonts w:ascii="Century Gothic" w:hAnsi="Century Gothic" w:cs="Arial"/>
          <w:b w:val="0"/>
          <w:sz w:val="21"/>
          <w:szCs w:val="21"/>
        </w:rPr>
        <w:t>Participación de los Socios de la cooperación Internacional.</w:t>
      </w:r>
      <w:r w:rsidRPr="0071238F">
        <w:rPr>
          <w:rFonts w:ascii="Century Gothic" w:hAnsi="Century Gothic" w:cs="Arial"/>
          <w:sz w:val="21"/>
          <w:szCs w:val="21"/>
        </w:rPr>
        <w:t xml:space="preserve"> Todo proyecto, programa y/o iniciativa de cooperación internacional que sea implementada por un socio de cooperación </w:t>
      </w:r>
      <w:r w:rsidRPr="0071238F">
        <w:rPr>
          <w:rFonts w:ascii="Century Gothic" w:hAnsi="Century Gothic" w:cs="Arial"/>
          <w:sz w:val="21"/>
          <w:szCs w:val="21"/>
        </w:rPr>
        <w:lastRenderedPageBreak/>
        <w:t xml:space="preserve">internacional y que involucre recursos del Presupuesto General de la Nación, debe tener una contrapartida de </w:t>
      </w:r>
      <w:r w:rsidRPr="0071238F">
        <w:rPr>
          <w:rFonts w:ascii="Century Gothic" w:hAnsi="Century Gothic" w:cs="Arial"/>
          <w:i/>
          <w:sz w:val="21"/>
          <w:szCs w:val="21"/>
        </w:rPr>
        <w:t>recursos financieros</w:t>
      </w:r>
      <w:r w:rsidRPr="0071238F">
        <w:rPr>
          <w:rFonts w:ascii="Century Gothic" w:hAnsi="Century Gothic" w:cs="Arial"/>
          <w:sz w:val="21"/>
          <w:szCs w:val="21"/>
        </w:rPr>
        <w:t xml:space="preserve"> mínimo del 30%, del socio de cooperación internacional.</w:t>
      </w:r>
    </w:p>
    <w:p w:rsidRPr="0071238F" w:rsidR="00AF36D0" w:rsidP="00AF36D0" w:rsidRDefault="00AF36D0" w14:paraId="5375BF29" w14:textId="77777777">
      <w:pPr>
        <w:shd w:val="clear" w:color="auto" w:fill="FFFFFF"/>
        <w:spacing w:after="0" w:line="240" w:lineRule="auto"/>
        <w:ind w:left="709" w:right="709"/>
        <w:jc w:val="both"/>
        <w:rPr>
          <w:rStyle w:val="Textoennegrita"/>
          <w:rFonts w:ascii="Century Gothic" w:hAnsi="Century Gothic" w:cs="Arial"/>
          <w:sz w:val="21"/>
          <w:szCs w:val="21"/>
        </w:rPr>
      </w:pPr>
      <w:r w:rsidRPr="0071238F">
        <w:rPr>
          <w:rStyle w:val="Textoennegrita"/>
          <w:rFonts w:ascii="Century Gothic" w:hAnsi="Century Gothic" w:cs="Arial"/>
          <w:b w:val="0"/>
          <w:sz w:val="21"/>
          <w:szCs w:val="21"/>
        </w:rPr>
        <w:t>Parágrafo.</w:t>
      </w:r>
      <w:r w:rsidRPr="0071238F">
        <w:rPr>
          <w:rStyle w:val="Textoennegrita"/>
          <w:rFonts w:ascii="Century Gothic" w:hAnsi="Century Gothic" w:cs="Arial"/>
          <w:sz w:val="21"/>
          <w:szCs w:val="21"/>
        </w:rPr>
        <w:t xml:space="preserve"> </w:t>
      </w:r>
      <w:r w:rsidRPr="0071238F">
        <w:rPr>
          <w:rFonts w:ascii="Century Gothic" w:hAnsi="Century Gothic" w:cs="Arial"/>
          <w:sz w:val="21"/>
          <w:szCs w:val="21"/>
        </w:rPr>
        <w:t>Cuando más del 40% del financiamiento proviene del Presupuesto Nacional, el Socio de Cooperación internacional debe presentar estados financieros detallados o documento equivalente, a la entidad nacional o territorial líder del proyecto”.</w:t>
      </w:r>
      <w:r w:rsidRPr="0071238F">
        <w:rPr>
          <w:rStyle w:val="Textoennegrita"/>
          <w:rFonts w:ascii="Century Gothic" w:hAnsi="Century Gothic" w:cs="Arial"/>
          <w:sz w:val="21"/>
          <w:szCs w:val="21"/>
        </w:rPr>
        <w:t xml:space="preserve"> </w:t>
      </w:r>
      <w:r w:rsidRPr="0071238F">
        <w:rPr>
          <w:rStyle w:val="Textoennegrita"/>
          <w:rFonts w:ascii="Century Gothic" w:hAnsi="Century Gothic" w:cs="Arial"/>
          <w:b w:val="0"/>
          <w:sz w:val="21"/>
          <w:szCs w:val="21"/>
        </w:rPr>
        <w:t>(Énfasis fuera del texto)</w:t>
      </w:r>
      <w:r w:rsidRPr="0071238F">
        <w:rPr>
          <w:rStyle w:val="Textoennegrita"/>
          <w:rFonts w:ascii="Century Gothic" w:hAnsi="Century Gothic" w:cs="Arial"/>
          <w:sz w:val="21"/>
          <w:szCs w:val="21"/>
        </w:rPr>
        <w:t xml:space="preserve"> </w:t>
      </w:r>
    </w:p>
    <w:p w:rsidRPr="0071238F" w:rsidR="00AF36D0" w:rsidP="00AF36D0" w:rsidRDefault="00AF36D0" w14:paraId="67337716" w14:textId="77777777">
      <w:pPr>
        <w:shd w:val="clear" w:color="auto" w:fill="FFFFFF"/>
        <w:spacing w:after="0" w:line="240" w:lineRule="auto"/>
        <w:ind w:left="709" w:right="709"/>
        <w:jc w:val="both"/>
        <w:rPr>
          <w:rStyle w:val="Textoennegrita"/>
          <w:rFonts w:ascii="Century Gothic" w:hAnsi="Century Gothic" w:cs="Arial"/>
          <w:b w:val="0"/>
          <w:sz w:val="21"/>
          <w:szCs w:val="21"/>
        </w:rPr>
      </w:pPr>
    </w:p>
    <w:p w:rsidRPr="0071238F" w:rsidR="00AF36D0" w:rsidP="00AF36D0" w:rsidRDefault="00AF36D0" w14:paraId="3C6C761D" w14:textId="77777777">
      <w:pPr>
        <w:shd w:val="clear" w:color="auto" w:fill="FFFFFF"/>
        <w:spacing w:after="120" w:line="276" w:lineRule="auto"/>
        <w:ind w:firstLine="709"/>
        <w:jc w:val="both"/>
        <w:rPr>
          <w:rStyle w:val="Textoennegrita"/>
          <w:rFonts w:ascii="Century Gothic" w:hAnsi="Century Gothic" w:cs="Arial"/>
          <w:b w:val="0"/>
          <w:shd w:val="clear" w:color="auto" w:fill="FFFFFF"/>
        </w:rPr>
      </w:pPr>
      <w:r w:rsidRPr="0071238F">
        <w:rPr>
          <w:rStyle w:val="Textoennegrita"/>
          <w:rFonts w:ascii="Century Gothic" w:hAnsi="Century Gothic" w:cs="Arial"/>
          <w:b w:val="0"/>
          <w:shd w:val="clear" w:color="auto" w:fill="FFFFFF"/>
        </w:rPr>
        <w:t>La norma estableció los lineamientos para la ejecución de proyectos, programas o iniciativas</w:t>
      </w:r>
      <w:r w:rsidRPr="0071238F">
        <w:rPr>
          <w:rStyle w:val="Textoennegrita"/>
          <w:rFonts w:ascii="Century Gothic" w:hAnsi="Century Gothic" w:cs="Arial"/>
          <w:b w:val="0"/>
        </w:rPr>
        <w:t xml:space="preserve"> de cooperación internacional en los que se involucren recursos del Presupuesto General de la Nación, precisando que los socios de cooperación internacional que pretendan ejecutar dichos </w:t>
      </w:r>
      <w:r w:rsidRPr="0071238F">
        <w:rPr>
          <w:rStyle w:val="Textoennegrita"/>
          <w:rFonts w:ascii="Century Gothic" w:hAnsi="Century Gothic" w:cs="Arial"/>
          <w:b w:val="0"/>
          <w:shd w:val="clear" w:color="auto" w:fill="FFFFFF"/>
        </w:rPr>
        <w:t>proyectos deben aportar una contrapartida de mínimo el 30% de recursos financieros. De lo anterior entonces, se encuentra que esta norma reglamentó parcialmente la Ley 1955 de 2019, “por el cual se expide el Plan Nacional de Desarrollo 2018-2022 pacto por Colombia, pacto por la equidad”.</w:t>
      </w:r>
    </w:p>
    <w:p w:rsidRPr="0071238F" w:rsidR="00AF36D0" w:rsidP="00AF36D0" w:rsidRDefault="00AF36D0" w14:paraId="27FBF853" w14:textId="77777777">
      <w:pPr>
        <w:shd w:val="clear" w:color="auto" w:fill="FFFFFF"/>
        <w:spacing w:after="120" w:line="276" w:lineRule="auto"/>
        <w:ind w:firstLine="709"/>
        <w:jc w:val="both"/>
        <w:rPr>
          <w:rStyle w:val="Textoennegrita"/>
          <w:rFonts w:ascii="Century Gothic" w:hAnsi="Century Gothic" w:cs="Arial"/>
          <w:b w:val="0"/>
          <w:shd w:val="clear" w:color="auto" w:fill="FFFFFF"/>
        </w:rPr>
      </w:pPr>
      <w:r w:rsidRPr="0071238F">
        <w:rPr>
          <w:rStyle w:val="Textoennegrita"/>
          <w:rFonts w:ascii="Century Gothic" w:hAnsi="Century Gothic" w:cs="Arial"/>
          <w:b w:val="0"/>
          <w:shd w:val="clear" w:color="auto" w:fill="FFFFFF"/>
        </w:rPr>
        <w:t>Al respecto,</w:t>
      </w:r>
      <w:r w:rsidRPr="0071238F">
        <w:rPr>
          <w:rStyle w:val="Textoennegrita"/>
          <w:rFonts w:ascii="Century Gothic" w:hAnsi="Century Gothic" w:cs="Arial"/>
          <w:shd w:val="clear" w:color="auto" w:fill="FFFFFF"/>
        </w:rPr>
        <w:t xml:space="preserve"> </w:t>
      </w:r>
      <w:r w:rsidRPr="0071238F">
        <w:rPr>
          <w:rFonts w:ascii="Century Gothic" w:hAnsi="Century Gothic" w:cs="Arial"/>
        </w:rPr>
        <w:t>las Bases del Plan Nacional de Desarrollo 2018 – 2022 disponen que “El Gobierno nacional creará el Sistema Nacional de Cooperación Internacional como estrategia para la orientación y coordinación de las entidades del nivel nacional, departamental, distrital y municipal, así como del sector privado y no gubernamental, para alcanzar la mayor alineación, pertinencia y eficacia de la cooperación internacional no reembolsable y técnica, cuya secretaría técnica será ejercida por APC-Colombia. Las acciones desarrolladas en el marco de este sistema estarán articuladas con la agenda de política exterior”</w:t>
      </w:r>
      <w:r w:rsidRPr="0071238F">
        <w:rPr>
          <w:rStyle w:val="Refdenotaalpie"/>
          <w:rFonts w:ascii="Century Gothic" w:hAnsi="Century Gothic" w:cs="Arial"/>
          <w:shd w:val="clear" w:color="auto" w:fill="FFFFFF"/>
        </w:rPr>
        <w:footnoteReference w:id="10"/>
      </w:r>
      <w:r w:rsidRPr="0071238F">
        <w:rPr>
          <w:rFonts w:ascii="Century Gothic" w:hAnsi="Century Gothic" w:cs="Arial"/>
        </w:rPr>
        <w:t>.</w:t>
      </w:r>
      <w:r w:rsidRPr="0071238F">
        <w:rPr>
          <w:rStyle w:val="Textoennegrita"/>
          <w:rFonts w:ascii="Century Gothic" w:hAnsi="Century Gothic" w:cs="Arial"/>
          <w:shd w:val="clear" w:color="auto" w:fill="FFFFFF"/>
        </w:rPr>
        <w:t xml:space="preserve"> </w:t>
      </w:r>
      <w:r w:rsidRPr="0071238F">
        <w:rPr>
          <w:rFonts w:ascii="Century Gothic" w:hAnsi="Century Gothic" w:cs="Arial"/>
        </w:rPr>
        <w:t>Asimismo, el artículo 2 de la Ley 1955 de 2019 dispone que “El documento denominado ‘Bases del Plan Nacional de Desarrollo 2018 - 2022: Pacto por Colombia, pacto por la equidad’, elaborado por el Gobierno nacional con la participación del Consejo Superior de la Judicatura y del Consejo Nacional de Planeación, y construido desde los territorios, con las modificaciones realizadas en el trámite legislativo, es parte integral del Plan Nacional de Desarrollo, y se incorpora a la presente Ley como un anexo”.</w:t>
      </w:r>
      <w:r w:rsidRPr="0071238F">
        <w:rPr>
          <w:rStyle w:val="Textoennegrita"/>
          <w:rFonts w:ascii="Century Gothic" w:hAnsi="Century Gothic" w:cs="Arial"/>
          <w:shd w:val="clear" w:color="auto" w:fill="FFFFFF"/>
        </w:rPr>
        <w:t xml:space="preserve"> </w:t>
      </w:r>
    </w:p>
    <w:p w:rsidRPr="0071238F" w:rsidR="00AF36D0" w:rsidP="00AF36D0" w:rsidRDefault="00AF36D0" w14:paraId="08724E10" w14:textId="77777777">
      <w:pPr>
        <w:shd w:val="clear" w:color="auto" w:fill="FFFFFF"/>
        <w:spacing w:after="120" w:line="276" w:lineRule="auto"/>
        <w:ind w:firstLine="709"/>
        <w:jc w:val="both"/>
        <w:rPr>
          <w:rStyle w:val="Textoennegrita"/>
          <w:rFonts w:ascii="Century Gothic" w:hAnsi="Century Gothic" w:cs="Arial"/>
          <w:b w:val="0"/>
          <w:shd w:val="clear" w:color="auto" w:fill="FFFFFF"/>
        </w:rPr>
      </w:pPr>
      <w:r w:rsidRPr="0071238F">
        <w:rPr>
          <w:rStyle w:val="Textoennegrita"/>
          <w:rFonts w:ascii="Century Gothic" w:hAnsi="Century Gothic" w:cs="Arial"/>
          <w:b w:val="0"/>
          <w:shd w:val="clear" w:color="auto" w:fill="FFFFFF"/>
        </w:rPr>
        <w:t xml:space="preserve">En todo caso, para el correcto entendimiento del artículo 2.2.8.3.4 del Decreto 603 de 2022 es necesario determinar el alcance del concepto “recursos financieros”. </w:t>
      </w:r>
      <w:r w:rsidRPr="0071238F">
        <w:rPr>
          <w:rStyle w:val="Textoennegrita"/>
          <w:rFonts w:ascii="Century Gothic" w:hAnsi="Century Gothic" w:cs="Arial"/>
          <w:b w:val="0"/>
        </w:rPr>
        <w:t xml:space="preserve">Es importante precisar que el Estatuto General de Contratación de la Administración Pública no definió el concepto </w:t>
      </w:r>
      <w:r w:rsidRPr="0071238F">
        <w:rPr>
          <w:rStyle w:val="Textoennegrita"/>
          <w:rFonts w:ascii="Century Gothic" w:hAnsi="Century Gothic" w:cs="Arial"/>
          <w:b w:val="0"/>
          <w:shd w:val="clear" w:color="auto" w:fill="FFFFFF"/>
        </w:rPr>
        <w:t>“recursos financieros”</w:t>
      </w:r>
      <w:r w:rsidRPr="0071238F">
        <w:rPr>
          <w:rStyle w:val="Textoennegrita"/>
          <w:rFonts w:ascii="Century Gothic" w:hAnsi="Century Gothic" w:cs="Arial"/>
          <w:b w:val="0"/>
        </w:rPr>
        <w:t>. No obstante, el programa “Gerencia de recursos físicos y financieros”</w:t>
      </w:r>
      <w:r w:rsidRPr="0071238F">
        <w:rPr>
          <w:rStyle w:val="Textoennegrita"/>
          <w:rFonts w:ascii="Century Gothic" w:hAnsi="Century Gothic" w:cs="Arial"/>
          <w:b w:val="0"/>
          <w:vertAlign w:val="superscript"/>
        </w:rPr>
        <w:t xml:space="preserve"> </w:t>
      </w:r>
      <w:r w:rsidRPr="0071238F">
        <w:rPr>
          <w:rStyle w:val="Textoennegrita"/>
          <w:rFonts w:ascii="Century Gothic" w:hAnsi="Century Gothic" w:cs="Arial"/>
          <w:b w:val="0"/>
        </w:rPr>
        <w:t xml:space="preserve">de la Escuela Superior de </w:t>
      </w:r>
      <w:r w:rsidRPr="0071238F">
        <w:rPr>
          <w:rStyle w:val="Textoennegrita"/>
          <w:rFonts w:ascii="Century Gothic" w:hAnsi="Century Gothic" w:cs="Arial"/>
          <w:b w:val="0"/>
        </w:rPr>
        <w:lastRenderedPageBreak/>
        <w:t>Administración Pública trae una aproximación a la definición de los recursos financieros del Estado, según el cual son “todos aquellos recursos económicos que le permiten al sector público desarrollar sus actividades. El estudio de las operaciones propias para la consecución y administración de dichos recursos corresponde a las Finanzas Públicas” y precisa que estos recursos se clasifican, a su vez, en ingresos corrientes, contribuciones parafiscales y recursos de capital</w:t>
      </w:r>
      <w:r w:rsidRPr="0071238F">
        <w:rPr>
          <w:rStyle w:val="Textoennegrita"/>
          <w:rFonts w:ascii="Century Gothic" w:hAnsi="Century Gothic" w:cs="Arial"/>
          <w:b w:val="0"/>
          <w:vertAlign w:val="superscript"/>
        </w:rPr>
        <w:footnoteReference w:id="11"/>
      </w:r>
      <w:r w:rsidRPr="0071238F">
        <w:rPr>
          <w:rStyle w:val="Textoennegrita"/>
          <w:rFonts w:ascii="Century Gothic" w:hAnsi="Century Gothic" w:cs="Arial"/>
          <w:b w:val="0"/>
        </w:rPr>
        <w:t xml:space="preserve">. </w:t>
      </w:r>
    </w:p>
    <w:p w:rsidRPr="0071238F" w:rsidR="00AF36D0" w:rsidP="00AF36D0" w:rsidRDefault="00AF36D0" w14:paraId="24298159" w14:textId="77777777">
      <w:pPr>
        <w:shd w:val="clear" w:color="auto" w:fill="FFFFFF"/>
        <w:spacing w:after="120" w:line="276" w:lineRule="auto"/>
        <w:ind w:firstLine="709"/>
        <w:jc w:val="both"/>
        <w:rPr>
          <w:rStyle w:val="Textoennegrita"/>
          <w:rFonts w:ascii="Century Gothic" w:hAnsi="Century Gothic" w:cs="Arial"/>
          <w:b w:val="0"/>
        </w:rPr>
      </w:pPr>
      <w:r w:rsidRPr="0071238F">
        <w:rPr>
          <w:rStyle w:val="Textoennegrita"/>
          <w:rFonts w:ascii="Century Gothic" w:hAnsi="Century Gothic" w:cs="Arial"/>
          <w:b w:val="0"/>
        </w:rPr>
        <w:t>Estas tres categorías, a diferencia de lo señalado en relación con la definición de recursos financieros, fueron definidas por el legislador. De un lado, los ingresos corrientes corresponden a los “ingresos que recaudan los establecimientos por bienes y servicios y los tributos que reciben por norma legal”</w:t>
      </w:r>
      <w:r w:rsidRPr="0071238F">
        <w:rPr>
          <w:rStyle w:val="Refdenotaalpie"/>
          <w:rFonts w:ascii="Century Gothic" w:hAnsi="Century Gothic" w:cs="Arial"/>
          <w:b/>
        </w:rPr>
        <w:footnoteReference w:id="12"/>
      </w:r>
      <w:r w:rsidRPr="0071238F">
        <w:rPr>
          <w:rStyle w:val="Textoennegrita"/>
          <w:rFonts w:ascii="Century Gothic" w:hAnsi="Century Gothic" w:cs="Arial"/>
          <w:b w:val="0"/>
        </w:rPr>
        <w:t>. El artículo 27 del Decreto 111 de 1996 señala que se clasifican en ingresos tributarios y no tributarios. Entendiendo por tributarios los impuestos y por no tributarios las tasas y multas</w:t>
      </w:r>
      <w:r w:rsidRPr="0071238F">
        <w:rPr>
          <w:rStyle w:val="Refdenotaalpie"/>
          <w:rFonts w:ascii="Century Gothic" w:hAnsi="Century Gothic" w:cs="Arial"/>
          <w:b/>
        </w:rPr>
        <w:footnoteReference w:id="13"/>
      </w:r>
      <w:r w:rsidRPr="0071238F">
        <w:rPr>
          <w:rStyle w:val="Textoennegrita"/>
          <w:rFonts w:ascii="Century Gothic" w:hAnsi="Century Gothic" w:cs="Arial"/>
          <w:b w:val="0"/>
        </w:rPr>
        <w:t xml:space="preserve">. </w:t>
      </w:r>
    </w:p>
    <w:p w:rsidRPr="0071238F" w:rsidR="00AF36D0" w:rsidP="00AF36D0" w:rsidRDefault="00AF36D0" w14:paraId="6753FC63" w14:textId="77777777">
      <w:pPr>
        <w:shd w:val="clear" w:color="auto" w:fill="FFFFFF"/>
        <w:spacing w:after="120" w:line="276" w:lineRule="auto"/>
        <w:ind w:firstLine="709"/>
        <w:jc w:val="both"/>
        <w:rPr>
          <w:rStyle w:val="Textoennegrita"/>
          <w:rFonts w:ascii="Century Gothic" w:hAnsi="Century Gothic" w:cs="Arial"/>
          <w:b w:val="0"/>
        </w:rPr>
      </w:pPr>
      <w:r w:rsidRPr="0071238F">
        <w:rPr>
          <w:rStyle w:val="Textoennegrita"/>
          <w:rFonts w:ascii="Century Gothic" w:hAnsi="Century Gothic" w:cs="Arial"/>
          <w:b w:val="0"/>
        </w:rPr>
        <w:t xml:space="preserve"> Por su parte, las contribuciones parafiscales son “una institución intermedia entre la tasa administrativa y el impuesto. Se trata de pagos que deben hacer los usuarios de ciertos organismos públicos o semipúblicos para asegurar el financiamiento de estas entidades de manera autónoma”</w:t>
      </w:r>
      <w:r w:rsidRPr="0071238F">
        <w:rPr>
          <w:rStyle w:val="Refdenotaalpie"/>
          <w:rFonts w:ascii="Century Gothic" w:hAnsi="Century Gothic" w:cs="Arial"/>
          <w:b/>
        </w:rPr>
        <w:footnoteReference w:id="14"/>
      </w:r>
      <w:r w:rsidRPr="0071238F">
        <w:rPr>
          <w:rStyle w:val="Textoennegrita"/>
          <w:rFonts w:ascii="Century Gothic" w:hAnsi="Century Gothic" w:cs="Arial"/>
          <w:b w:val="0"/>
        </w:rPr>
        <w:t>. El artículo 28 del Decreto 111 de 1996, las define como los gravámenes obligatorios definidos en la Ley, utilizados para beneficio de un sector específico que afectan al grupo social y económico del referido sector</w:t>
      </w:r>
      <w:r w:rsidRPr="0071238F">
        <w:rPr>
          <w:rStyle w:val="Refdenotaalpie"/>
          <w:rFonts w:ascii="Century Gothic" w:hAnsi="Century Gothic" w:cs="Arial"/>
          <w:b/>
        </w:rPr>
        <w:footnoteReference w:id="15"/>
      </w:r>
      <w:r w:rsidRPr="0071238F">
        <w:rPr>
          <w:rStyle w:val="Textoennegrita"/>
          <w:rFonts w:ascii="Century Gothic" w:hAnsi="Century Gothic" w:cs="Arial"/>
          <w:b w:val="0"/>
        </w:rPr>
        <w:t>.</w:t>
      </w:r>
    </w:p>
    <w:p w:rsidRPr="0071238F" w:rsidR="00AF36D0" w:rsidP="00AF36D0" w:rsidRDefault="00AF36D0" w14:paraId="1C063FA1" w14:textId="77777777">
      <w:pPr>
        <w:shd w:val="clear" w:color="auto" w:fill="FFFFFF"/>
        <w:spacing w:after="120" w:line="276" w:lineRule="auto"/>
        <w:ind w:firstLine="709"/>
        <w:jc w:val="both"/>
        <w:rPr>
          <w:rStyle w:val="Textoennegrita"/>
          <w:rFonts w:ascii="Century Gothic" w:hAnsi="Century Gothic" w:cs="Arial"/>
          <w:b w:val="0"/>
        </w:rPr>
      </w:pPr>
      <w:r w:rsidRPr="0071238F">
        <w:rPr>
          <w:rStyle w:val="Textoennegrita"/>
          <w:rFonts w:ascii="Century Gothic" w:hAnsi="Century Gothic" w:cs="Arial"/>
          <w:b w:val="0"/>
        </w:rPr>
        <w:t>Los recursos de capital son “los recursos que se obtienen del crédito interno, del crédito externo, los que se generan como recursos del balance, los rendimientos financieros, las donaciones y otros recursos esporádicos”</w:t>
      </w:r>
      <w:r w:rsidRPr="0071238F">
        <w:rPr>
          <w:rStyle w:val="Refdenotaalpie"/>
          <w:rFonts w:ascii="Century Gothic" w:hAnsi="Century Gothic" w:cs="Arial"/>
          <w:b/>
        </w:rPr>
        <w:footnoteReference w:id="16"/>
      </w:r>
      <w:r w:rsidRPr="0071238F">
        <w:rPr>
          <w:rStyle w:val="Textoennegrita"/>
          <w:rFonts w:ascii="Century Gothic" w:hAnsi="Century Gothic" w:cs="Arial"/>
          <w:b w:val="0"/>
        </w:rPr>
        <w:t xml:space="preserve">. El artículo 31 del referido Decreto señala que comprenden “los recursos del balance, los recursos del crédito interno y externo con vencimiento mayor a un año de acuerdo con los cupos autorizados por el Congreso de la República, los rendimientos financieros, el diferencial cambiario originado por la monetización de los desembolsos del crédito </w:t>
      </w:r>
      <w:r w:rsidRPr="0071238F">
        <w:rPr>
          <w:rStyle w:val="Textoennegrita"/>
          <w:rFonts w:ascii="Century Gothic" w:hAnsi="Century Gothic" w:cs="Arial"/>
          <w:b w:val="0"/>
        </w:rPr>
        <w:lastRenderedPageBreak/>
        <w:t>externo y de las inversiones en moneda extranjera, las donaciones, el excedente financiero de los establecimientos públicos del orden nacional y de las empresas industriales y comerciales del Estado del orden nacional, y de las sociedades de economía mixta con el régimen de aquéllas, sin perjuicio de la autonomía que la Constitución y la ley les otorga, y las utilidades del Banco de la República, descontadas las reservas de estabilización cambiaria y monetaria”</w:t>
      </w:r>
      <w:r w:rsidRPr="0071238F">
        <w:rPr>
          <w:rStyle w:val="Refdenotaalpie"/>
          <w:rFonts w:ascii="Century Gothic" w:hAnsi="Century Gothic" w:cs="Arial"/>
          <w:b/>
        </w:rPr>
        <w:footnoteReference w:id="17"/>
      </w:r>
      <w:r w:rsidRPr="0071238F">
        <w:rPr>
          <w:rStyle w:val="Textoennegrita"/>
          <w:rFonts w:ascii="Century Gothic" w:hAnsi="Century Gothic" w:cs="Arial"/>
          <w:b w:val="0"/>
        </w:rPr>
        <w:t>.</w:t>
      </w:r>
    </w:p>
    <w:p w:rsidRPr="0071238F" w:rsidR="00AF36D0" w:rsidP="00AF36D0" w:rsidRDefault="00AF36D0" w14:paraId="36C3B8EA" w14:textId="77777777">
      <w:pPr>
        <w:shd w:val="clear" w:color="auto" w:fill="FFFFFF"/>
        <w:spacing w:after="120" w:line="276" w:lineRule="auto"/>
        <w:ind w:firstLine="709"/>
        <w:jc w:val="both"/>
        <w:rPr>
          <w:rFonts w:ascii="Century Gothic" w:hAnsi="Century Gothic" w:cs="Arial"/>
        </w:rPr>
      </w:pPr>
      <w:r w:rsidRPr="0071238F">
        <w:rPr>
          <w:rStyle w:val="Textoennegrita"/>
          <w:rFonts w:ascii="Century Gothic" w:hAnsi="Century Gothic" w:cs="Arial"/>
          <w:b w:val="0"/>
        </w:rPr>
        <w:t>Además, el Estatuto Orgánico del Presupuesto dispone que las tipologías referidas componen el presupuesto de rentas del presupuesto general de la Nación. En los términos del literal a) del artículo 11 del Decreto 111 de 1996, este “[…]</w:t>
      </w:r>
      <w:r w:rsidRPr="0071238F">
        <w:rPr>
          <w:rStyle w:val="Textoennegrita"/>
          <w:rFonts w:ascii="Century Gothic" w:hAnsi="Century Gothic" w:cs="Arial"/>
        </w:rPr>
        <w:t xml:space="preserve"> </w:t>
      </w:r>
      <w:r w:rsidRPr="0071238F">
        <w:rPr>
          <w:rFonts w:ascii="Century Gothic" w:hAnsi="Century Gothic" w:cs="Arial"/>
        </w:rPr>
        <w:t xml:space="preserve">contendrá la estimación de los ingresos corrientes de la Nación; de las contribuciones parafiscales cuando sean administradas por un órgano que haga parte del presupuesto, de los fondos especiales, los recursos de capital y los ingresos de los establecimientos públicos del orden nacional”. </w:t>
      </w:r>
    </w:p>
    <w:p w:rsidRPr="0071238F" w:rsidR="00AF36D0" w:rsidP="00AF36D0" w:rsidRDefault="00AF36D0" w14:paraId="0D99B00B" w14:textId="77777777">
      <w:pPr>
        <w:shd w:val="clear" w:color="auto" w:fill="FFFFFF"/>
        <w:spacing w:after="120" w:line="276" w:lineRule="auto"/>
        <w:ind w:firstLine="709"/>
        <w:jc w:val="both"/>
        <w:rPr>
          <w:rStyle w:val="Textoennegrita"/>
          <w:rFonts w:ascii="Century Gothic" w:hAnsi="Century Gothic" w:cs="Arial"/>
          <w:b w:val="0"/>
        </w:rPr>
      </w:pPr>
      <w:r w:rsidRPr="0071238F">
        <w:rPr>
          <w:rStyle w:val="Textoennegrita"/>
          <w:rFonts w:ascii="Century Gothic" w:hAnsi="Century Gothic" w:cs="Arial"/>
          <w:b w:val="0"/>
        </w:rPr>
        <w:t xml:space="preserve">De las aproximaciones conceptuales anteriores, se encuentra que los ingresos corrientes, las contribuciones parafiscales y los recursos de capital hacen parte del presupuesto de rentas del presupuesto general de la nación, de manera que constituyen partidas dinerarias. De esta manera, puede concluirse que los recursos financieros del Estado constituyen aquellos ingresos que tienen liquidez. Entonces, debe entenderse que, aunque el legislador también guardó silencio en relación con la definición de los recursos financieros de organismos internacionales, la aproximación anterior permite concluir que cuando la norma se refiere a recursos financieros alude a aquellos ingresos que constituyen sumas dinerarias.  </w:t>
      </w:r>
    </w:p>
    <w:p w:rsidRPr="0071238F" w:rsidR="00AF36D0" w:rsidP="00AF36D0" w:rsidRDefault="00AF36D0" w14:paraId="5C0350F7" w14:textId="77777777">
      <w:pPr>
        <w:autoSpaceDE w:val="0"/>
        <w:autoSpaceDN w:val="0"/>
        <w:adjustRightInd w:val="0"/>
        <w:spacing w:after="120" w:line="276" w:lineRule="auto"/>
        <w:ind w:firstLine="708"/>
        <w:jc w:val="both"/>
        <w:rPr>
          <w:rStyle w:val="Textoennegrita"/>
          <w:rFonts w:ascii="Century Gothic" w:hAnsi="Century Gothic" w:cs="Arial"/>
          <w:b w:val="0"/>
        </w:rPr>
      </w:pPr>
      <w:r w:rsidRPr="0071238F">
        <w:rPr>
          <w:rFonts w:ascii="Century Gothic" w:hAnsi="Century Gothic" w:cs="Arial"/>
        </w:rPr>
        <w:t>Si se contrasta esta conclusión, esto es, la relativa a que los recursos financieros son sumas liquidas de dinero, con lo dispuesto en el parágrafo tercero del artículo 20 de la Ley 1150 de 2007 y con el artículo 2.2.1.2.4.4.1 del Decreto 1082 de 2015, se encuentra que, a diferencia de tales disposiciones, para efectos del cálculo del umbral establecido en el artículo 2.2.8.3.4 del Decreto 603 de 2022 no resultan relevantes los aportes en especie. Esto dado que esta última disposición es clara al señalar que solo resulta aplicable a recursos financieros, mientras que el parágrafo tercero del artículo 20 de la Ley 1150 de 2007, referido señala que los aportes en especie deben ser monetizados.</w:t>
      </w:r>
    </w:p>
    <w:p w:rsidRPr="0071238F" w:rsidR="00AF36D0" w:rsidP="00AF36D0" w:rsidRDefault="00AF36D0" w14:paraId="0645EBB3" w14:textId="77777777">
      <w:pPr>
        <w:shd w:val="clear" w:color="auto" w:fill="FFFFFF"/>
        <w:spacing w:after="120" w:line="276" w:lineRule="auto"/>
        <w:ind w:firstLine="709"/>
        <w:jc w:val="both"/>
        <w:rPr>
          <w:rStyle w:val="Textoennegrita"/>
          <w:rFonts w:ascii="Century Gothic" w:hAnsi="Century Gothic" w:cs="Arial"/>
          <w:b w:val="0"/>
        </w:rPr>
      </w:pPr>
      <w:r w:rsidRPr="0071238F">
        <w:rPr>
          <w:rStyle w:val="Textoennegrita"/>
          <w:rFonts w:ascii="Century Gothic" w:hAnsi="Century Gothic" w:cs="Arial"/>
          <w:b w:val="0"/>
        </w:rPr>
        <w:t xml:space="preserve">Así las cosas, el artículo 2.2.8.3.4 del Decreto 603 de 2022 reglamentó parcialmente lo establecido en la Ley 1955 de 2019, “por el cual se expide el Plan Nacional de Desarrollo 2018-2022 pacto por Colombia, pacto por la equidad”. Por </w:t>
      </w:r>
      <w:r w:rsidRPr="0071238F">
        <w:rPr>
          <w:rStyle w:val="Textoennegrita"/>
          <w:rFonts w:ascii="Century Gothic" w:hAnsi="Century Gothic" w:cs="Arial"/>
          <w:b w:val="0"/>
        </w:rPr>
        <w:lastRenderedPageBreak/>
        <w:t>lo demás, el tope del 30% establecido en la norma precitada, que determina las condiciones de participación de los socios cooperantes en condición de ejecutor del proyecto o programa, aplica para las contrapartidas dinerarias. Dicho en otras palabras, solo podrán ejecutar programas, proyectos o iniciativas en los que estén involucrados recursos del presupuesto general de la nación, aquellos socios de cooperación internacional que aporte una contrapartida de no menos del 30% de dicho programa, proyecto o iniciativa, que deberá efectuarse únicamente en sumas líquidas de dinero. Además, en cada caso deberán establecerse mecanismos de administración de las condiciones del contrato que permitan hacerle seguimiento al cumplimiento de las obligaciones contractuales.</w:t>
      </w:r>
    </w:p>
    <w:p w:rsidRPr="0071238F" w:rsidR="00AF36D0" w:rsidP="00AF36D0" w:rsidRDefault="00AF36D0" w14:paraId="436FEEF2" w14:textId="77777777">
      <w:pPr>
        <w:shd w:val="clear" w:color="auto" w:fill="FFFFFF"/>
        <w:spacing w:after="120" w:line="276" w:lineRule="auto"/>
        <w:ind w:firstLine="709"/>
        <w:jc w:val="both"/>
        <w:rPr>
          <w:rStyle w:val="Textoennegrita"/>
          <w:rFonts w:ascii="Century Gothic" w:hAnsi="Century Gothic" w:cs="Arial"/>
          <w:b w:val="0"/>
        </w:rPr>
      </w:pPr>
      <w:r w:rsidRPr="0071238F">
        <w:rPr>
          <w:rStyle w:val="Textoennegrita"/>
          <w:rFonts w:ascii="Century Gothic" w:hAnsi="Century Gothic" w:cs="Arial"/>
          <w:b w:val="0"/>
        </w:rPr>
        <w:t>En este orden de ideas, las entidades estatales, en ejercicio de la autonomía de la voluntad, pueden suscribir convenios de cooperación internacional</w:t>
      </w:r>
      <w:r w:rsidRPr="0071238F">
        <w:rPr>
          <w:rStyle w:val="Textoennegrita"/>
          <w:rFonts w:ascii="Century Gothic" w:hAnsi="Century Gothic" w:cs="Arial"/>
        </w:rPr>
        <w:t xml:space="preserve"> </w:t>
      </w:r>
      <w:r w:rsidRPr="0071238F">
        <w:rPr>
          <w:rFonts w:ascii="Century Gothic" w:hAnsi="Century Gothic" w:cs="Arial"/>
        </w:rPr>
        <w:t>que involucre recursos del Presupuesto General de la Nación</w:t>
      </w:r>
      <w:r w:rsidRPr="0071238F">
        <w:rPr>
          <w:rStyle w:val="Textoennegrita"/>
          <w:rFonts w:ascii="Century Gothic" w:hAnsi="Century Gothic" w:cs="Arial"/>
          <w:b w:val="0"/>
        </w:rPr>
        <w:t xml:space="preserve">, siempre y cuando el 30% del valor del proyecto sea aportado en dinero por el organismo internacional, pues el reglamento, como se indicó, estableció un umbral para que las entidades estatales puedan realizar proyectos, iniciativas o programas financiados con presupuesto general de la Nación en convenio con organismos internacionales. De este modo, si el socio cooperante cumple con este umbral, da lugar a suscribir el convenio. </w:t>
      </w:r>
    </w:p>
    <w:p w:rsidRPr="0071238F" w:rsidR="00AF36D0" w:rsidP="00AF36D0" w:rsidRDefault="00AF36D0" w14:paraId="382E873E" w14:textId="77777777">
      <w:pPr>
        <w:shd w:val="clear" w:color="auto" w:fill="FFFFFF"/>
        <w:spacing w:after="120" w:line="276" w:lineRule="auto"/>
        <w:ind w:firstLine="709"/>
        <w:jc w:val="both"/>
        <w:rPr>
          <w:rStyle w:val="Textoennegrita"/>
          <w:rFonts w:ascii="Century Gothic" w:hAnsi="Century Gothic" w:cs="Arial"/>
          <w:b w:val="0"/>
        </w:rPr>
      </w:pPr>
      <w:r w:rsidRPr="0071238F">
        <w:rPr>
          <w:rStyle w:val="Textoennegrita"/>
          <w:rFonts w:ascii="Century Gothic" w:hAnsi="Century Gothic" w:cs="Arial"/>
          <w:b w:val="0"/>
        </w:rPr>
        <w:t>Lo anterior en ningún momento afecta las reglas sobre el régimen de contratación que le sea aplicable al convenio financiados con presupuesto general de la Nación, esto es, si está sometido al Estatuto General de la Administración Pública o al régimen de contratación con el que contratan el organismo cooperante, pues ello aún se rige por las reglas de los establecido en el artículo 20 de la Ley 1150 de 2007 y en el</w:t>
      </w:r>
      <w:r w:rsidRPr="0071238F">
        <w:rPr>
          <w:rStyle w:val="Textoennegrita"/>
          <w:rFonts w:ascii="Century Gothic" w:hAnsi="Century Gothic" w:cs="Arial"/>
        </w:rPr>
        <w:t xml:space="preserve"> </w:t>
      </w:r>
      <w:r w:rsidRPr="0071238F">
        <w:rPr>
          <w:rFonts w:ascii="Century Gothic" w:hAnsi="Century Gothic" w:cs="Arial"/>
          <w:lang w:val="es-ES_tradnl"/>
        </w:rPr>
        <w:t xml:space="preserve">artículo </w:t>
      </w:r>
      <w:bookmarkStart w:name="_Hlk146187072" w:id="21"/>
      <w:r w:rsidRPr="0071238F">
        <w:rPr>
          <w:rFonts w:ascii="Century Gothic" w:hAnsi="Century Gothic" w:cs="Arial"/>
          <w:lang w:val="es-ES_tradnl"/>
        </w:rPr>
        <w:t xml:space="preserve">2.2.1.2.4.4.1 del Decreto 1082 de 2015. Desde esta perspectiva, las reglas precitadas se complementan con </w:t>
      </w:r>
      <w:r w:rsidRPr="0071238F">
        <w:rPr>
          <w:rStyle w:val="Textoennegrita"/>
          <w:rFonts w:ascii="Century Gothic" w:hAnsi="Century Gothic" w:cs="Arial"/>
          <w:b w:val="0"/>
        </w:rPr>
        <w:t>el artículo 2.2.8.3.4 del Decreto 603 de 2022. En efecto, mientras las primeras definen el marco jurídico aplicable, este último define los aportes mínimos en recursos financieros del organismo internacional.</w:t>
      </w:r>
    </w:p>
    <w:p w:rsidRPr="0071238F" w:rsidR="00AF36D0" w:rsidP="00AF36D0" w:rsidRDefault="00AF36D0" w14:paraId="6C071A61" w14:textId="77777777">
      <w:pPr>
        <w:shd w:val="clear" w:color="auto" w:fill="FFFFFF"/>
        <w:spacing w:after="0" w:line="276" w:lineRule="auto"/>
        <w:ind w:firstLine="709"/>
        <w:jc w:val="both"/>
        <w:rPr>
          <w:rStyle w:val="Textoennegrita"/>
          <w:rFonts w:ascii="Century Gothic" w:hAnsi="Century Gothic" w:cs="Arial"/>
          <w:b w:val="0"/>
        </w:rPr>
      </w:pPr>
      <w:r w:rsidRPr="0071238F">
        <w:rPr>
          <w:rStyle w:val="Textoennegrita"/>
          <w:rFonts w:ascii="Century Gothic" w:hAnsi="Century Gothic" w:cs="Arial"/>
          <w:b w:val="0"/>
        </w:rPr>
        <w:t>De esta manera, el artículo 20 de la Ley 1150 de 2007 define el régimen contractual de los convenios suscritos con “organismos de cooperación, asistencia o ayudas internacionales” en los porcentajes del inciso primero, con “</w:t>
      </w:r>
      <w:bookmarkStart w:name="_Hlk148443677" w:id="22"/>
      <w:r w:rsidRPr="0071238F">
        <w:rPr>
          <w:rStyle w:val="Textoennegrita"/>
          <w:rFonts w:ascii="Century Gothic" w:hAnsi="Century Gothic" w:cs="Arial"/>
          <w:b w:val="0"/>
        </w:rPr>
        <w:t>personas extranjeras de derecho público</w:t>
      </w:r>
      <w:bookmarkEnd w:id="22"/>
      <w:r w:rsidRPr="0071238F">
        <w:rPr>
          <w:rStyle w:val="Textoennegrita"/>
          <w:rFonts w:ascii="Century Gothic" w:hAnsi="Century Gothic" w:cs="Arial"/>
          <w:b w:val="0"/>
        </w:rPr>
        <w:t xml:space="preserve"> u organismos de derecho internacional” respecto a los objetivos señalados en el inciso segundo, o con “personas extranjeras de derecho público” en las condiciones señaladas en el parágrafo primero. Así, la naturaleza jurídica del organismo internacional es relevante para la aplicación de </w:t>
      </w:r>
      <w:r w:rsidRPr="0071238F">
        <w:rPr>
          <w:rStyle w:val="Textoennegrita"/>
          <w:rFonts w:ascii="Century Gothic" w:hAnsi="Century Gothic" w:cs="Arial"/>
          <w:b w:val="0"/>
        </w:rPr>
        <w:lastRenderedPageBreak/>
        <w:t>la norma citada. En contraste, el artículo 2.2.8.3.4 del Decreto 603 de 2022 se refiere, en sentido amplio, a los “Socios de Cooperación internacional”, categoría dentro de la cual se engloban todos los organismos internacionales del artículo 20 de la Ley 1150 de 2007, especialmente cuando las bases</w:t>
      </w:r>
      <w:r w:rsidRPr="0071238F">
        <w:rPr>
          <w:rStyle w:val="Textoennegrita"/>
          <w:rFonts w:ascii="Century Gothic" w:hAnsi="Century Gothic" w:cs="Arial"/>
        </w:rPr>
        <w:t xml:space="preserve"> </w:t>
      </w:r>
      <w:r w:rsidRPr="0071238F">
        <w:rPr>
          <w:rFonts w:ascii="Century Gothic" w:hAnsi="Century Gothic" w:cs="Arial"/>
        </w:rPr>
        <w:t>del Plan Nacional de Desarrollo 2018 – 2022 no realizan distinción alguna sobre la naturaleza jurídica del órgano cooperante respecto al aporte mínimo que la norma hace obligatorio.</w:t>
      </w:r>
      <w:r w:rsidRPr="0071238F">
        <w:rPr>
          <w:rStyle w:val="Textoennegrita"/>
          <w:rFonts w:ascii="Century Gothic" w:hAnsi="Century Gothic" w:cs="Arial"/>
        </w:rPr>
        <w:t xml:space="preserve">    </w:t>
      </w:r>
    </w:p>
    <w:bookmarkEnd w:id="21"/>
    <w:p w:rsidRPr="0071238F" w:rsidR="00AF36D0" w:rsidP="00AF36D0" w:rsidRDefault="00AF36D0" w14:paraId="678BF8AB" w14:textId="77777777">
      <w:pPr>
        <w:spacing w:after="0" w:line="276" w:lineRule="auto"/>
        <w:contextualSpacing/>
        <w:jc w:val="both"/>
        <w:rPr>
          <w:rFonts w:ascii="Century Gothic" w:hAnsi="Century Gothic" w:cs="Arial"/>
          <w:color w:val="000000" w:themeColor="text1"/>
          <w:lang w:eastAsia="es-MX"/>
        </w:rPr>
      </w:pPr>
    </w:p>
    <w:p w:rsidRPr="0071238F" w:rsidR="00AF36D0" w:rsidP="00AF36D0" w:rsidRDefault="00AF36D0" w14:paraId="7FCF94A7" w14:textId="77777777">
      <w:pPr>
        <w:tabs>
          <w:tab w:val="left" w:pos="0"/>
        </w:tabs>
        <w:spacing w:after="0"/>
        <w:jc w:val="both"/>
        <w:rPr>
          <w:rFonts w:ascii="Century Gothic" w:hAnsi="Century Gothic" w:eastAsia="Calibri" w:cs="Arial"/>
          <w:b/>
          <w:color w:val="000000" w:themeColor="text1"/>
          <w:lang w:val="es-ES_tradnl"/>
        </w:rPr>
      </w:pPr>
      <w:r w:rsidRPr="0071238F">
        <w:rPr>
          <w:rFonts w:ascii="Century Gothic" w:hAnsi="Century Gothic" w:eastAsia="Calibri" w:cs="Arial"/>
          <w:b/>
          <w:color w:val="000000" w:themeColor="text1"/>
          <w:lang w:val="es-ES_tradnl"/>
        </w:rPr>
        <w:t>3. Respuesta</w:t>
      </w:r>
    </w:p>
    <w:p w:rsidRPr="0071238F" w:rsidR="00AF36D0" w:rsidP="00AF36D0" w:rsidRDefault="00AF36D0" w14:paraId="5986D762" w14:textId="77777777">
      <w:pPr>
        <w:spacing w:after="0" w:line="276" w:lineRule="auto"/>
        <w:jc w:val="both"/>
        <w:rPr>
          <w:rFonts w:ascii="Century Gothic" w:hAnsi="Century Gothic" w:cs="Arial"/>
          <w:color w:val="000000" w:themeColor="text1"/>
        </w:rPr>
      </w:pPr>
    </w:p>
    <w:p w:rsidRPr="0071238F" w:rsidR="00AF36D0" w:rsidP="00AF36D0" w:rsidRDefault="00AF36D0" w14:paraId="2501A93D" w14:textId="77777777">
      <w:pPr>
        <w:spacing w:after="120" w:line="240" w:lineRule="auto"/>
        <w:ind w:left="709" w:right="709"/>
        <w:jc w:val="both"/>
        <w:rPr>
          <w:rFonts w:ascii="Century Gothic" w:hAnsi="Century Gothic" w:cs="Arial"/>
          <w:color w:val="000000" w:themeColor="text1"/>
          <w:sz w:val="21"/>
          <w:szCs w:val="21"/>
          <w:lang w:val="es-ES_tradnl"/>
        </w:rPr>
      </w:pPr>
      <w:r w:rsidRPr="0071238F">
        <w:rPr>
          <w:rFonts w:ascii="Century Gothic" w:hAnsi="Century Gothic" w:cs="Arial"/>
          <w:color w:val="000000" w:themeColor="text1"/>
          <w:sz w:val="21"/>
          <w:szCs w:val="21"/>
          <w:lang w:val="es-ES_tradnl"/>
        </w:rPr>
        <w:t>i) “¿Es válido afirmar que la exigencia de que: ‘</w:t>
      </w:r>
      <w:r w:rsidRPr="0071238F">
        <w:rPr>
          <w:rFonts w:ascii="Century Gothic" w:hAnsi="Century Gothic" w:cs="Arial"/>
          <w:i/>
          <w:color w:val="000000" w:themeColor="text1"/>
          <w:sz w:val="21"/>
          <w:szCs w:val="21"/>
          <w:lang w:val="es-ES_tradnl"/>
        </w:rPr>
        <w:t>Todo proyecto, programa y/o iniciativa de cooperación internacional que sea implementada por un socio de cooperación internacional y que involucre recursos del Presupuesto General de la Nación, debe tener una contrapartida de recursos financieros mínimo del 30%, del socio de cooperación internacional</w:t>
      </w:r>
      <w:r w:rsidRPr="0071238F">
        <w:rPr>
          <w:rFonts w:ascii="Century Gothic" w:hAnsi="Century Gothic" w:cs="Arial"/>
          <w:color w:val="000000" w:themeColor="text1"/>
          <w:sz w:val="21"/>
          <w:szCs w:val="21"/>
          <w:lang w:val="es-ES_tradnl"/>
        </w:rPr>
        <w:t>’, en los términos del artículo 2.2.8.3.4. del Decreto Nacional 603 de 2022, aplica únicamente a los contratos o convenios financiados totalmente o en parte con fondos de los organismos de cooperación, asistencia o ayudas internacionales, esto es, organizaciones internacionales privadas u organizaciones no gubernamentales (ONG), o debe aplicarse a todo proyecto, programa y/o iniciativa de cooperación internacional sin importar la naturaleza jurídica del aliado, es decir, incluyendo a las personas extranjeras de derecho público?” (Énfasis dentro del texto).</w:t>
      </w:r>
    </w:p>
    <w:p w:rsidRPr="0071238F" w:rsidR="00AF36D0" w:rsidP="00AF36D0" w:rsidRDefault="00AF36D0" w14:paraId="4BC64C72" w14:textId="77777777">
      <w:pPr>
        <w:spacing w:after="0" w:line="240" w:lineRule="auto"/>
        <w:ind w:left="709" w:right="709"/>
        <w:jc w:val="both"/>
        <w:rPr>
          <w:rFonts w:ascii="Century Gothic" w:hAnsi="Century Gothic" w:cs="Arial"/>
          <w:color w:val="000000" w:themeColor="text1"/>
          <w:sz w:val="21"/>
          <w:szCs w:val="21"/>
        </w:rPr>
      </w:pPr>
      <w:proofErr w:type="spellStart"/>
      <w:r w:rsidRPr="0071238F">
        <w:rPr>
          <w:rFonts w:ascii="Century Gothic" w:hAnsi="Century Gothic" w:cs="Arial"/>
          <w:color w:val="000000" w:themeColor="text1"/>
          <w:sz w:val="21"/>
          <w:szCs w:val="21"/>
          <w:lang w:val="es-ES_tradnl"/>
        </w:rPr>
        <w:t>ii</w:t>
      </w:r>
      <w:proofErr w:type="spellEnd"/>
      <w:r w:rsidRPr="0071238F">
        <w:rPr>
          <w:rFonts w:ascii="Century Gothic" w:hAnsi="Century Gothic" w:cs="Arial"/>
          <w:color w:val="000000" w:themeColor="text1"/>
          <w:sz w:val="21"/>
          <w:szCs w:val="21"/>
          <w:lang w:val="es-ES_tradnl"/>
        </w:rPr>
        <w:t>) “En caso de que la respuesta a la pregunta anterior sea afirmativa, ¿cómo es jurídicamente posible que un decreto reglamentario incluya requisitos sustanciales para la celebración de convenios de cooperación internacional que no están incluidos en la ley reglamentada (art. 20 Ley 1150 de 2007)?”.</w:t>
      </w:r>
    </w:p>
    <w:p w:rsidRPr="0071238F" w:rsidR="00AF36D0" w:rsidP="00AF36D0" w:rsidRDefault="00AF36D0" w14:paraId="116F8F9A" w14:textId="77777777">
      <w:pPr>
        <w:spacing w:after="0" w:line="276" w:lineRule="auto"/>
        <w:ind w:left="709" w:right="709"/>
        <w:jc w:val="both"/>
        <w:rPr>
          <w:rFonts w:ascii="Century Gothic" w:hAnsi="Century Gothic" w:cs="Arial"/>
          <w:color w:val="000000" w:themeColor="text1"/>
        </w:rPr>
      </w:pPr>
      <w:r w:rsidRPr="0071238F">
        <w:rPr>
          <w:rFonts w:ascii="Century Gothic" w:hAnsi="Century Gothic" w:cs="Arial"/>
          <w:color w:val="000000" w:themeColor="text1"/>
          <w:sz w:val="21"/>
          <w:szCs w:val="21"/>
        </w:rPr>
        <w:t xml:space="preserve">  </w:t>
      </w:r>
    </w:p>
    <w:p w:rsidRPr="0071238F" w:rsidR="00AF36D0" w:rsidP="00AF36D0" w:rsidRDefault="00AF36D0" w14:paraId="7FE4C6C8" w14:textId="77777777">
      <w:pPr>
        <w:shd w:val="clear" w:color="auto" w:fill="FFFFFF"/>
        <w:spacing w:after="120" w:line="276" w:lineRule="auto"/>
        <w:jc w:val="both"/>
        <w:rPr>
          <w:rStyle w:val="Textoennegrita"/>
          <w:rFonts w:ascii="Century Gothic" w:hAnsi="Century Gothic" w:cs="Arial"/>
          <w:b w:val="0"/>
        </w:rPr>
      </w:pPr>
      <w:bookmarkStart w:name="_Hlk131064197" w:id="23"/>
      <w:r w:rsidRPr="0071238F">
        <w:rPr>
          <w:rStyle w:val="Textoennegrita"/>
          <w:rFonts w:ascii="Century Gothic" w:hAnsi="Century Gothic" w:cs="Arial"/>
          <w:b w:val="0"/>
          <w:shd w:val="clear" w:color="auto" w:fill="FFFFFF"/>
        </w:rPr>
        <w:t xml:space="preserve">De acuerdo con la interpretación general de las normas que conforman el sistema de compras públicas, </w:t>
      </w:r>
      <w:r w:rsidRPr="0071238F">
        <w:rPr>
          <w:rStyle w:val="Textoennegrita"/>
          <w:rFonts w:ascii="Century Gothic" w:hAnsi="Century Gothic" w:cs="Arial"/>
          <w:b w:val="0"/>
        </w:rPr>
        <w:t xml:space="preserve">el artículo 2.2.8.3.4 del Decreto 603 de 2022, </w:t>
      </w:r>
      <w:r w:rsidRPr="0071238F">
        <w:rPr>
          <w:rFonts w:ascii="Century Gothic" w:hAnsi="Century Gothic" w:eastAsia="Calibri" w:cs="Arial"/>
          <w:b/>
          <w:sz w:val="21"/>
          <w:szCs w:val="21"/>
          <w:lang w:val="es-ES_tradnl" w:eastAsia="es-CO"/>
        </w:rPr>
        <w:t>“</w:t>
      </w:r>
      <w:r w:rsidRPr="0071238F">
        <w:rPr>
          <w:rStyle w:val="Textoennegrita"/>
          <w:rFonts w:ascii="Century Gothic" w:hAnsi="Century Gothic" w:cs="Arial"/>
          <w:b w:val="0"/>
          <w:shd w:val="clear" w:color="auto" w:fill="FFFFFF"/>
        </w:rPr>
        <w:t>Por medio del cual se adiciona el Título 8 en la Parte 2 del Libro 2 del Decreto 1067 de 2015, Único Reglamentario del Sector Administrativo de Relaciones Exteriores, para crear el Sistema Nacional de Cooperación Internacional de Colombia y se dictan disposiciones relacionadas con el desarrollo del mismo”,</w:t>
      </w:r>
      <w:r w:rsidRPr="0071238F">
        <w:rPr>
          <w:rStyle w:val="Textoennegrita"/>
          <w:rFonts w:ascii="Century Gothic" w:hAnsi="Century Gothic" w:cs="Arial"/>
          <w:b w:val="0"/>
        </w:rPr>
        <w:t xml:space="preserve"> desarrolló parcialmente lo establecido en la Ley 1955 de 2019, “por el cual se expide el Plan Nacional de Desarrollo 2018-2022 pacto por Colombia, pacto por la equidad”. </w:t>
      </w:r>
    </w:p>
    <w:p w:rsidRPr="0071238F" w:rsidR="00AF36D0" w:rsidP="00AF36D0" w:rsidRDefault="00AF36D0" w14:paraId="06AADD92" w14:textId="0E926097">
      <w:pPr>
        <w:shd w:val="clear" w:color="auto" w:fill="FFFFFF"/>
        <w:spacing w:after="120" w:line="276" w:lineRule="auto"/>
        <w:ind w:firstLine="709"/>
        <w:jc w:val="both"/>
        <w:rPr>
          <w:rStyle w:val="Textoennegrita"/>
          <w:rFonts w:ascii="Century Gothic" w:hAnsi="Century Gothic" w:cs="Arial"/>
          <w:shd w:val="clear" w:color="auto" w:fill="FFFFFF"/>
        </w:rPr>
      </w:pPr>
      <w:r w:rsidRPr="0071238F">
        <w:rPr>
          <w:rStyle w:val="Textoennegrita"/>
          <w:rFonts w:ascii="Century Gothic" w:hAnsi="Century Gothic" w:cs="Arial"/>
          <w:b w:val="0"/>
          <w:shd w:val="clear" w:color="auto" w:fill="FFFFFF"/>
        </w:rPr>
        <w:t>Al respecto,</w:t>
      </w:r>
      <w:r w:rsidRPr="0071238F">
        <w:rPr>
          <w:rStyle w:val="Textoennegrita"/>
          <w:rFonts w:ascii="Century Gothic" w:hAnsi="Century Gothic" w:cs="Arial"/>
          <w:shd w:val="clear" w:color="auto" w:fill="FFFFFF"/>
        </w:rPr>
        <w:t xml:space="preserve"> </w:t>
      </w:r>
      <w:r w:rsidRPr="0071238F">
        <w:rPr>
          <w:rFonts w:ascii="Century Gothic" w:hAnsi="Century Gothic" w:cs="Arial"/>
        </w:rPr>
        <w:t xml:space="preserve">las Bases del Plan Nacional de Desarrollo 2018 – 2022 disponen que “El Gobierno nacional creará el Sistema Nacional de Cooperación Internacional como estrategia para la orientación y coordinación de las entidades </w:t>
      </w:r>
      <w:r w:rsidRPr="0071238F">
        <w:rPr>
          <w:rFonts w:ascii="Century Gothic" w:hAnsi="Century Gothic" w:cs="Arial"/>
        </w:rPr>
        <w:lastRenderedPageBreak/>
        <w:t>del nivel nacional, departamental, distrital y municipal, así como del sector privado y no gubernamental, para alcanzar la mayor alineación, pertinencia y eficacia de la cooperación internacional no reembolsable y técnica, cuya secretaría técnica será ejercida por APC-Colombia. Las acciones desarrolladas en el marco de este sistema estarán articuladas con la agenda de política exterior”.</w:t>
      </w:r>
      <w:r w:rsidRPr="0071238F">
        <w:rPr>
          <w:rStyle w:val="Textoennegrita"/>
          <w:rFonts w:ascii="Century Gothic" w:hAnsi="Century Gothic" w:cs="Arial"/>
          <w:shd w:val="clear" w:color="auto" w:fill="FFFFFF"/>
        </w:rPr>
        <w:t xml:space="preserve"> </w:t>
      </w:r>
      <w:r w:rsidRPr="0071238F">
        <w:rPr>
          <w:rFonts w:ascii="Century Gothic" w:hAnsi="Century Gothic" w:cs="Arial"/>
        </w:rPr>
        <w:t>Asimismo, el artículo 2 de la Ley 1955 de 2019 dispone que “El documento denominado ‘Bases del Plan Nacional de Desarrollo 2018 - 2022: Pacto por Colombia, pacto por la equidad’, elaborado por el Gobierno nacional con la participación del Consejo Superior de la Judicatura y del Consejo Nacional de Planeación, y construido desde los territorios, con las modificaciones realizadas en el trámite legislativo, es parte integral del Plan Nacional de Desarrollo, y se incorpora a la presente Ley como un anexo”.</w:t>
      </w:r>
      <w:r w:rsidRPr="0071238F">
        <w:rPr>
          <w:rStyle w:val="Textoennegrita"/>
          <w:rFonts w:ascii="Century Gothic" w:hAnsi="Century Gothic" w:cs="Arial"/>
          <w:shd w:val="clear" w:color="auto" w:fill="FFFFFF"/>
        </w:rPr>
        <w:t xml:space="preserve"> </w:t>
      </w:r>
    </w:p>
    <w:p w:rsidRPr="0071238F" w:rsidR="00AF36D0" w:rsidP="00AF36D0" w:rsidRDefault="00AF36D0" w14:paraId="6402E7B4" w14:textId="77777777">
      <w:pPr>
        <w:shd w:val="clear" w:color="auto" w:fill="FFFFFF"/>
        <w:spacing w:after="120" w:line="276" w:lineRule="auto"/>
        <w:ind w:firstLine="708"/>
        <w:jc w:val="both"/>
        <w:rPr>
          <w:rStyle w:val="Textoennegrita"/>
          <w:rFonts w:ascii="Century Gothic" w:hAnsi="Century Gothic" w:cs="Arial"/>
          <w:b w:val="0"/>
        </w:rPr>
      </w:pPr>
      <w:r w:rsidRPr="0071238F">
        <w:rPr>
          <w:rStyle w:val="Textoennegrita"/>
          <w:rFonts w:ascii="Century Gothic" w:hAnsi="Century Gothic" w:cs="Arial"/>
          <w:b w:val="0"/>
        </w:rPr>
        <w:t>Por lo demás, el tope del 30% establecido en la norma precitada, que determina las condiciones de participación de los socios cooperantes en condición de ejecutor del proyecto o programa, aplica para las contrapartidas dinerarias. Dicho en otras palabras, solo podrán ejecutar programas, proyectos o iniciativas en los que estén involucrados recursos del presupuesto general de la nación, aquellos socios de cooperación internacional que aporte una contrapartida de no menos del 30% de dicho programa, proyecto o iniciativa, que deberá efectuarse únicamente en sumas líquidas de dinero. Además, en cada caso deberán establecerse mecanismos de administración de las condiciones del contrato que permitan hacerle seguimiento al cumplimiento de las obligaciones contractuales.</w:t>
      </w:r>
    </w:p>
    <w:p w:rsidRPr="0071238F" w:rsidR="00AF36D0" w:rsidP="00AF36D0" w:rsidRDefault="00AF36D0" w14:paraId="5E7FD109" w14:textId="77777777">
      <w:pPr>
        <w:shd w:val="clear" w:color="auto" w:fill="FFFFFF"/>
        <w:spacing w:after="120" w:line="276" w:lineRule="auto"/>
        <w:ind w:firstLine="709"/>
        <w:jc w:val="both"/>
        <w:rPr>
          <w:rStyle w:val="Textoennegrita"/>
          <w:rFonts w:ascii="Century Gothic" w:hAnsi="Century Gothic" w:cs="Arial"/>
          <w:b w:val="0"/>
        </w:rPr>
      </w:pPr>
      <w:r w:rsidRPr="0071238F">
        <w:rPr>
          <w:rStyle w:val="Textoennegrita"/>
          <w:rFonts w:ascii="Century Gothic" w:hAnsi="Century Gothic" w:cs="Arial"/>
          <w:b w:val="0"/>
        </w:rPr>
        <w:t>En este orden de ideas, las entidades estatales, en ejercicio de la autonomía de la voluntad, pueden suscribir convenios de cooperación internacional</w:t>
      </w:r>
      <w:r w:rsidRPr="0071238F">
        <w:rPr>
          <w:rStyle w:val="Textoennegrita"/>
          <w:rFonts w:ascii="Century Gothic" w:hAnsi="Century Gothic" w:cs="Arial"/>
        </w:rPr>
        <w:t xml:space="preserve"> </w:t>
      </w:r>
      <w:r w:rsidRPr="0071238F">
        <w:rPr>
          <w:rFonts w:ascii="Century Gothic" w:hAnsi="Century Gothic" w:cs="Arial"/>
        </w:rPr>
        <w:t>que involucre recursos del Presupuesto General de la Nación</w:t>
      </w:r>
      <w:r w:rsidRPr="0071238F">
        <w:rPr>
          <w:rStyle w:val="Textoennegrita"/>
          <w:rFonts w:ascii="Century Gothic" w:hAnsi="Century Gothic" w:cs="Arial"/>
          <w:b w:val="0"/>
        </w:rPr>
        <w:t xml:space="preserve">, siempre y cuando el 30% del valor del proyecto sea aportado en dinero por el organismo internacional, pues el reglamento, como se indicó, estableció un umbral para que las entidades estatales puedan realizar proyectos, iniciativas o programas financiados con presupuesto general de la Nación en convenio con organismos internacionales. De este modo, si el socio cooperante cumple con este umbral, da lugar a suscribir el convenio. </w:t>
      </w:r>
    </w:p>
    <w:p w:rsidRPr="0071238F" w:rsidR="00AF36D0" w:rsidP="00AF36D0" w:rsidRDefault="00AF36D0" w14:paraId="68832EA4" w14:textId="77777777">
      <w:pPr>
        <w:shd w:val="clear" w:color="auto" w:fill="FFFFFF"/>
        <w:spacing w:after="120" w:line="276" w:lineRule="auto"/>
        <w:ind w:firstLine="709"/>
        <w:jc w:val="both"/>
        <w:rPr>
          <w:rStyle w:val="Textoennegrita"/>
          <w:rFonts w:ascii="Century Gothic" w:hAnsi="Century Gothic" w:cs="Arial"/>
          <w:b w:val="0"/>
        </w:rPr>
      </w:pPr>
      <w:r w:rsidRPr="0071238F">
        <w:rPr>
          <w:rStyle w:val="Textoennegrita"/>
          <w:rFonts w:ascii="Century Gothic" w:hAnsi="Century Gothic" w:cs="Arial"/>
          <w:b w:val="0"/>
        </w:rPr>
        <w:t xml:space="preserve">Lo anterior en ningún momento afecta las reglas sobre el régimen de contratación que le sea aplicable al convenio financiados con presupuesto general de la Nación, esto es, si está sometido al Estatuto General de la Administración Pública o al régimen de contratación con el que contratan el organismo cooperante, pues ello aún se rige por las reglas de los establecido en el </w:t>
      </w:r>
      <w:r w:rsidRPr="0071238F">
        <w:rPr>
          <w:rStyle w:val="Textoennegrita"/>
          <w:rFonts w:ascii="Century Gothic" w:hAnsi="Century Gothic" w:cs="Arial"/>
          <w:b w:val="0"/>
        </w:rPr>
        <w:lastRenderedPageBreak/>
        <w:t>artículo 20 de la Ley 1150 de 2007 y en el</w:t>
      </w:r>
      <w:r w:rsidRPr="0071238F">
        <w:rPr>
          <w:rStyle w:val="Textoennegrita"/>
          <w:rFonts w:ascii="Century Gothic" w:hAnsi="Century Gothic" w:cs="Arial"/>
        </w:rPr>
        <w:t xml:space="preserve"> </w:t>
      </w:r>
      <w:r w:rsidRPr="0071238F">
        <w:rPr>
          <w:rFonts w:ascii="Century Gothic" w:hAnsi="Century Gothic" w:cs="Arial"/>
          <w:lang w:val="es-ES_tradnl"/>
        </w:rPr>
        <w:t xml:space="preserve">artículo 2.2.1.2.4.4.1 del Decreto 1082 de 2015. Desde esta perspectiva, las reglas precitadas se complementan con </w:t>
      </w:r>
      <w:r w:rsidRPr="0071238F">
        <w:rPr>
          <w:rStyle w:val="Textoennegrita"/>
          <w:rFonts w:ascii="Century Gothic" w:hAnsi="Century Gothic" w:cs="Arial"/>
          <w:b w:val="0"/>
        </w:rPr>
        <w:t>el artículo 2.2.8.3.4 del Decreto 603 de 2022. En efecto, mientras las primeras definen el marco jurídico aplicable, este último define los aportes mínimos en recursos financieros del organismo internacional.</w:t>
      </w:r>
    </w:p>
    <w:p w:rsidRPr="0071238F" w:rsidR="00AF36D0" w:rsidP="00AF36D0" w:rsidRDefault="00AF36D0" w14:paraId="0BA14AC2" w14:textId="77777777">
      <w:pPr>
        <w:shd w:val="clear" w:color="auto" w:fill="FFFFFF"/>
        <w:spacing w:after="0" w:line="276" w:lineRule="auto"/>
        <w:ind w:firstLine="709"/>
        <w:jc w:val="both"/>
        <w:rPr>
          <w:rFonts w:ascii="Century Gothic" w:hAnsi="Century Gothic" w:cs="Arial"/>
        </w:rPr>
      </w:pPr>
      <w:r w:rsidRPr="0071238F">
        <w:rPr>
          <w:rStyle w:val="Textoennegrita"/>
          <w:rFonts w:ascii="Century Gothic" w:hAnsi="Century Gothic" w:cs="Arial"/>
          <w:b w:val="0"/>
        </w:rPr>
        <w:t>De esta manera, el artículo 20 de la Ley 1150 de 2007 define el régimen contractual de los convenios suscritos con “organismos de cooperación, asistencia o ayudas internacionales” en los porcentajes del inciso primero, con “personas extranjeras de derecho público u organismos de derecho internacional” respecto a los objetivos señalados en el inciso segundo, o con “personas extranjeras de derecho público” en las condiciones señaladas en el parágrafo primero. Así, la naturaleza jurídica del organismo internacional es relevante para la aplicación de la norma citada. En contraste, el artículo 2.2.8.3.4 del Decreto 603 de 2022 se refiere, en sentido amplio, a los “Socios de Cooperación internacional”, categoría dentro de la cual se engloban todos los organismos internacionales del artículo 20 de la Ley 1150 de 2007, especialmente cuando las bases del</w:t>
      </w:r>
      <w:r w:rsidRPr="0071238F">
        <w:rPr>
          <w:rStyle w:val="Textoennegrita"/>
          <w:rFonts w:ascii="Century Gothic" w:hAnsi="Century Gothic" w:cs="Arial"/>
        </w:rPr>
        <w:t xml:space="preserve"> </w:t>
      </w:r>
      <w:r w:rsidRPr="0071238F">
        <w:rPr>
          <w:rFonts w:ascii="Century Gothic" w:hAnsi="Century Gothic" w:cs="Arial"/>
        </w:rPr>
        <w:t>Plan Nacional de Desarrollo 2018 – 2022 no realizan distinción alguna sobre la naturaleza jurídica del órgano cooperante respecto al aporte mínimo que la norma hace obligatorio.</w:t>
      </w:r>
      <w:r w:rsidRPr="0071238F">
        <w:rPr>
          <w:rStyle w:val="Textoennegrita"/>
          <w:rFonts w:ascii="Century Gothic" w:hAnsi="Century Gothic" w:cs="Arial"/>
        </w:rPr>
        <w:t xml:space="preserve">    </w:t>
      </w:r>
    </w:p>
    <w:bookmarkEnd w:id="23"/>
    <w:p w:rsidRPr="0071238F" w:rsidR="00AF36D0" w:rsidP="00AF36D0" w:rsidRDefault="00AF36D0" w14:paraId="45BDADA6" w14:textId="77777777">
      <w:pPr>
        <w:tabs>
          <w:tab w:val="left" w:pos="426"/>
        </w:tabs>
        <w:spacing w:after="120" w:line="276" w:lineRule="auto"/>
        <w:jc w:val="both"/>
        <w:rPr>
          <w:rFonts w:ascii="Century Gothic" w:hAnsi="Century Gothic" w:eastAsia="Arial" w:cs="Arial"/>
          <w:lang w:val="es-ES" w:eastAsia="es-ES" w:bidi="es-ES"/>
        </w:rPr>
      </w:pPr>
    </w:p>
    <w:p w:rsidRPr="0071238F" w:rsidR="00AF36D0" w:rsidP="00AF36D0" w:rsidRDefault="00AF36D0" w14:paraId="18BB837D" w14:textId="77777777">
      <w:pPr>
        <w:widowControl w:val="0"/>
        <w:autoSpaceDE w:val="0"/>
        <w:autoSpaceDN w:val="0"/>
        <w:spacing w:after="0" w:line="276" w:lineRule="auto"/>
        <w:jc w:val="both"/>
        <w:rPr>
          <w:rFonts w:ascii="Century Gothic" w:hAnsi="Century Gothic" w:cs="Arial"/>
          <w:color w:val="000000" w:themeColor="text1"/>
          <w:lang w:val="es-ES_tradnl" w:bidi="es-ES"/>
        </w:rPr>
      </w:pPr>
      <w:r w:rsidRPr="0071238F">
        <w:rPr>
          <w:rFonts w:ascii="Century Gothic" w:hAnsi="Century Gothic" w:cs="Arial"/>
          <w:color w:val="000000" w:themeColor="text1"/>
          <w:lang w:val="es-ES_tradnl"/>
        </w:rPr>
        <w:t>Este concepto tiene el alcance previsto en el artículo 28 del Código de Procedimiento Administrativo y de lo Contencioso Administrativo.</w:t>
      </w:r>
    </w:p>
    <w:p w:rsidRPr="0071238F" w:rsidR="00AF36D0" w:rsidP="00AF36D0" w:rsidRDefault="00AF36D0" w14:paraId="6CAFFF24" w14:textId="77777777">
      <w:pPr>
        <w:widowControl w:val="0"/>
        <w:autoSpaceDE w:val="0"/>
        <w:autoSpaceDN w:val="0"/>
        <w:spacing w:after="0" w:line="276" w:lineRule="auto"/>
        <w:jc w:val="both"/>
        <w:rPr>
          <w:rFonts w:ascii="Century Gothic" w:hAnsi="Century Gothic" w:cs="Arial"/>
          <w:color w:val="000000" w:themeColor="text1"/>
          <w:lang w:val="es-ES_tradnl" w:bidi="es-ES"/>
        </w:rPr>
      </w:pPr>
    </w:p>
    <w:p w:rsidRPr="0071238F" w:rsidR="00AF36D0" w:rsidP="00AF36D0" w:rsidRDefault="00AF36D0" w14:paraId="36DBF2C7" w14:textId="77777777">
      <w:pPr>
        <w:tabs>
          <w:tab w:val="left" w:pos="426"/>
        </w:tabs>
        <w:spacing w:line="276" w:lineRule="auto"/>
        <w:jc w:val="both"/>
        <w:rPr>
          <w:rFonts w:ascii="Century Gothic" w:hAnsi="Century Gothic" w:eastAsia="Times New Roman" w:cs="Arial"/>
          <w:color w:val="000000" w:themeColor="text1"/>
        </w:rPr>
      </w:pPr>
      <w:r w:rsidRPr="0071238F">
        <w:rPr>
          <w:rFonts w:ascii="Century Gothic" w:hAnsi="Century Gothic" w:eastAsia="Times New Roman" w:cs="Arial"/>
          <w:color w:val="000000" w:themeColor="text1"/>
        </w:rPr>
        <w:t>Atentamente,</w:t>
      </w:r>
    </w:p>
    <w:p w:rsidRPr="0071238F" w:rsidR="00AF36D0" w:rsidP="00AF36D0" w:rsidRDefault="00301085" w14:paraId="2EFD88F2" w14:textId="13A98063">
      <w:pPr>
        <w:jc w:val="center"/>
        <w:rPr>
          <w:rFonts w:ascii="Century Gothic" w:hAnsi="Century Gothic" w:eastAsia="Times New Roman" w:cs="Arial"/>
          <w:lang w:eastAsia="es-CO"/>
        </w:rPr>
      </w:pPr>
      <w:r>
        <w:rPr>
          <w:noProof/>
        </w:rPr>
        <w:drawing>
          <wp:inline distT="0" distB="0" distL="0" distR="0" wp14:anchorId="68AF1BF2" wp14:editId="20D01148">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7"/>
        <w:gridCol w:w="4937"/>
      </w:tblGrid>
      <w:tr w:rsidRPr="003F5F71" w:rsidR="00AF36D0" w:rsidTr="002528FF" w14:paraId="7B6F7D82" w14:textId="77777777">
        <w:trPr>
          <w:trHeight w:val="409"/>
        </w:trPr>
        <w:tc>
          <w:tcPr>
            <w:tcW w:w="817" w:type="dxa"/>
            <w:tcBorders>
              <w:top w:val="nil"/>
              <w:left w:val="nil"/>
              <w:bottom w:val="nil"/>
              <w:right w:val="nil"/>
            </w:tcBorders>
            <w:vAlign w:val="center"/>
            <w:hideMark/>
          </w:tcPr>
          <w:p w:rsidRPr="0071238F" w:rsidR="00AF36D0" w:rsidP="002528FF" w:rsidRDefault="00AF36D0" w14:paraId="4F7B7EC9" w14:textId="77777777">
            <w:pPr>
              <w:spacing w:after="0" w:line="240" w:lineRule="auto"/>
              <w:jc w:val="both"/>
              <w:rPr>
                <w:rFonts w:ascii="Century Gothic" w:hAnsi="Century Gothic" w:cs="Arial"/>
                <w:sz w:val="16"/>
                <w:szCs w:val="16"/>
              </w:rPr>
            </w:pPr>
            <w:r w:rsidRPr="0071238F">
              <w:rPr>
                <w:rFonts w:ascii="Century Gothic" w:hAnsi="Century Gothic" w:cs="Arial"/>
                <w:sz w:val="16"/>
                <w:szCs w:val="16"/>
              </w:rPr>
              <w:t>Elaboró: </w:t>
            </w:r>
          </w:p>
        </w:tc>
        <w:tc>
          <w:tcPr>
            <w:tcW w:w="4937" w:type="dxa"/>
            <w:tcBorders>
              <w:top w:val="nil"/>
              <w:left w:val="nil"/>
              <w:bottom w:val="dotted" w:color="7F7F7F" w:themeColor="text1" w:themeTint="80" w:sz="6" w:space="0"/>
              <w:right w:val="nil"/>
            </w:tcBorders>
            <w:vAlign w:val="center"/>
            <w:hideMark/>
          </w:tcPr>
          <w:p w:rsidRPr="0071238F" w:rsidR="00AF36D0" w:rsidP="002528FF" w:rsidRDefault="00AF36D0" w14:paraId="4FBBBAD0" w14:textId="77777777">
            <w:pPr>
              <w:spacing w:after="0" w:line="240" w:lineRule="auto"/>
              <w:jc w:val="both"/>
              <w:rPr>
                <w:rFonts w:ascii="Century Gothic" w:hAnsi="Century Gothic" w:cs="Arial"/>
                <w:sz w:val="16"/>
                <w:szCs w:val="16"/>
              </w:rPr>
            </w:pPr>
            <w:r w:rsidRPr="0071238F">
              <w:rPr>
                <w:rFonts w:ascii="Century Gothic" w:hAnsi="Century Gothic" w:cs="Arial"/>
                <w:sz w:val="16"/>
                <w:szCs w:val="16"/>
              </w:rPr>
              <w:t>Juan David Montoya Penagos</w:t>
            </w:r>
          </w:p>
          <w:p w:rsidRPr="0071238F" w:rsidR="00AF36D0" w:rsidP="002528FF" w:rsidRDefault="00AF36D0" w14:paraId="6FFA9693" w14:textId="77777777">
            <w:pPr>
              <w:spacing w:after="0" w:line="240" w:lineRule="auto"/>
              <w:jc w:val="both"/>
              <w:rPr>
                <w:rFonts w:ascii="Century Gothic" w:hAnsi="Century Gothic" w:cs="Arial"/>
                <w:sz w:val="16"/>
                <w:szCs w:val="16"/>
              </w:rPr>
            </w:pPr>
            <w:r w:rsidRPr="0071238F">
              <w:rPr>
                <w:rFonts w:ascii="Century Gothic" w:hAnsi="Century Gothic" w:cs="Arial"/>
                <w:sz w:val="16"/>
                <w:szCs w:val="16"/>
              </w:rPr>
              <w:t>Contratista de la Subdirección de Gestión Contractual</w:t>
            </w:r>
          </w:p>
        </w:tc>
      </w:tr>
      <w:tr w:rsidRPr="003F5F71" w:rsidR="00AF36D0" w:rsidTr="002528FF" w14:paraId="73BC7D5A" w14:textId="77777777">
        <w:trPr>
          <w:trHeight w:val="409"/>
        </w:trPr>
        <w:tc>
          <w:tcPr>
            <w:tcW w:w="817" w:type="dxa"/>
            <w:tcBorders>
              <w:top w:val="nil"/>
              <w:left w:val="nil"/>
              <w:right w:val="nil"/>
            </w:tcBorders>
            <w:vAlign w:val="center"/>
          </w:tcPr>
          <w:p w:rsidRPr="0071238F" w:rsidR="00AF36D0" w:rsidP="002528FF" w:rsidRDefault="00AF36D0" w14:paraId="7F2EEB05" w14:textId="77777777">
            <w:pPr>
              <w:jc w:val="both"/>
              <w:rPr>
                <w:rFonts w:ascii="Century Gothic" w:hAnsi="Century Gothic" w:cs="Arial"/>
                <w:sz w:val="16"/>
                <w:szCs w:val="16"/>
              </w:rPr>
            </w:pPr>
            <w:r w:rsidRPr="0071238F">
              <w:rPr>
                <w:rFonts w:ascii="Century Gothic" w:hAnsi="Century Gothic" w:cs="Arial"/>
                <w:sz w:val="16"/>
                <w:szCs w:val="16"/>
              </w:rPr>
              <w:t>Revisó</w:t>
            </w:r>
          </w:p>
        </w:tc>
        <w:tc>
          <w:tcPr>
            <w:tcW w:w="4937" w:type="dxa"/>
            <w:tcBorders>
              <w:top w:val="dotted" w:color="7F7F7F" w:themeColor="text1" w:themeTint="80" w:sz="6" w:space="0"/>
              <w:left w:val="nil"/>
              <w:bottom w:val="dotted" w:color="7F7F7F" w:themeColor="text1" w:themeTint="80" w:sz="6" w:space="0"/>
              <w:right w:val="nil"/>
            </w:tcBorders>
            <w:vAlign w:val="center"/>
          </w:tcPr>
          <w:p w:rsidRPr="0071238F" w:rsidR="00AF36D0" w:rsidP="002528FF" w:rsidRDefault="00AF36D0" w14:paraId="45FB1654" w14:textId="77777777">
            <w:pPr>
              <w:spacing w:after="0" w:line="240" w:lineRule="auto"/>
              <w:jc w:val="both"/>
              <w:rPr>
                <w:rFonts w:ascii="Century Gothic" w:hAnsi="Century Gothic" w:cs="Arial"/>
                <w:sz w:val="16"/>
                <w:szCs w:val="16"/>
              </w:rPr>
            </w:pPr>
            <w:r w:rsidRPr="0071238F">
              <w:rPr>
                <w:rFonts w:ascii="Century Gothic" w:hAnsi="Century Gothic" w:cs="Arial"/>
                <w:sz w:val="16"/>
                <w:szCs w:val="16"/>
              </w:rPr>
              <w:t>Alejandro Sarmiento Cantillo</w:t>
            </w:r>
          </w:p>
          <w:p w:rsidRPr="0071238F" w:rsidR="00AF36D0" w:rsidP="002528FF" w:rsidRDefault="00AF36D0" w14:paraId="4C946391" w14:textId="77777777">
            <w:pPr>
              <w:spacing w:after="0" w:line="240" w:lineRule="auto"/>
              <w:jc w:val="both"/>
              <w:rPr>
                <w:rFonts w:ascii="Century Gothic" w:hAnsi="Century Gothic" w:cs="Arial"/>
                <w:sz w:val="16"/>
                <w:szCs w:val="16"/>
              </w:rPr>
            </w:pPr>
            <w:r w:rsidRPr="0071238F">
              <w:rPr>
                <w:rFonts w:ascii="Century Gothic" w:hAnsi="Century Gothic" w:cs="Arial"/>
                <w:sz w:val="16"/>
                <w:szCs w:val="16"/>
              </w:rPr>
              <w:t xml:space="preserve">Gestor T1 </w:t>
            </w:r>
            <w:r w:rsidRPr="00A25BE4">
              <w:rPr>
                <w:rFonts w:ascii="Arial" w:hAnsi="Arial" w:cs="Arial"/>
                <w:sz w:val="16"/>
                <w:szCs w:val="16"/>
              </w:rPr>
              <w:t>‒</w:t>
            </w:r>
            <w:r w:rsidRPr="0071238F">
              <w:rPr>
                <w:rFonts w:ascii="Century Gothic" w:hAnsi="Century Gothic" w:cs="Arial"/>
                <w:sz w:val="16"/>
                <w:szCs w:val="16"/>
              </w:rPr>
              <w:t xml:space="preserve"> 15 de la Subdirecci</w:t>
            </w:r>
            <w:r w:rsidRPr="0071238F">
              <w:rPr>
                <w:rFonts w:ascii="Century Gothic" w:hAnsi="Century Gothic" w:cs="Century Gothic"/>
                <w:sz w:val="16"/>
                <w:szCs w:val="16"/>
              </w:rPr>
              <w:t>ó</w:t>
            </w:r>
            <w:r w:rsidRPr="0071238F">
              <w:rPr>
                <w:rFonts w:ascii="Century Gothic" w:hAnsi="Century Gothic" w:cs="Arial"/>
                <w:sz w:val="16"/>
                <w:szCs w:val="16"/>
              </w:rPr>
              <w:t>n de Gesti</w:t>
            </w:r>
            <w:r w:rsidRPr="0071238F">
              <w:rPr>
                <w:rFonts w:ascii="Century Gothic" w:hAnsi="Century Gothic" w:cs="Century Gothic"/>
                <w:sz w:val="16"/>
                <w:szCs w:val="16"/>
              </w:rPr>
              <w:t>ó</w:t>
            </w:r>
            <w:r w:rsidRPr="0071238F">
              <w:rPr>
                <w:rFonts w:ascii="Century Gothic" w:hAnsi="Century Gothic" w:cs="Arial"/>
                <w:sz w:val="16"/>
                <w:szCs w:val="16"/>
              </w:rPr>
              <w:t>n Contractual</w:t>
            </w:r>
          </w:p>
        </w:tc>
      </w:tr>
      <w:tr w:rsidRPr="003F5F71" w:rsidR="00AF36D0" w:rsidTr="002528FF" w14:paraId="156BBA9E" w14:textId="77777777">
        <w:trPr>
          <w:trHeight w:val="389"/>
        </w:trPr>
        <w:tc>
          <w:tcPr>
            <w:tcW w:w="817" w:type="dxa"/>
            <w:tcBorders>
              <w:top w:val="nil"/>
              <w:left w:val="nil"/>
              <w:bottom w:val="nil"/>
              <w:right w:val="nil"/>
            </w:tcBorders>
            <w:vAlign w:val="center"/>
            <w:hideMark/>
          </w:tcPr>
          <w:p w:rsidRPr="0071238F" w:rsidR="00AF36D0" w:rsidP="002528FF" w:rsidRDefault="00AF36D0" w14:paraId="2121D112" w14:textId="77777777">
            <w:pPr>
              <w:spacing w:after="0" w:line="240" w:lineRule="auto"/>
              <w:jc w:val="both"/>
              <w:rPr>
                <w:rFonts w:ascii="Century Gothic" w:hAnsi="Century Gothic" w:cs="Arial"/>
                <w:sz w:val="16"/>
                <w:szCs w:val="16"/>
              </w:rPr>
            </w:pPr>
            <w:r w:rsidRPr="0071238F">
              <w:rPr>
                <w:rFonts w:ascii="Century Gothic" w:hAnsi="Century Gothic" w:cs="Arial"/>
                <w:sz w:val="16"/>
                <w:szCs w:val="16"/>
              </w:rPr>
              <w:t>Aprobó: </w:t>
            </w:r>
          </w:p>
        </w:tc>
        <w:tc>
          <w:tcPr>
            <w:tcW w:w="4937" w:type="dxa"/>
            <w:tcBorders>
              <w:top w:val="dotted" w:color="7F7F7F" w:themeColor="text1" w:themeTint="80" w:sz="6" w:space="0"/>
              <w:left w:val="nil"/>
              <w:bottom w:val="dotted" w:color="7F7F7F" w:themeColor="text1" w:themeTint="80" w:sz="6" w:space="0"/>
              <w:right w:val="nil"/>
            </w:tcBorders>
            <w:vAlign w:val="center"/>
            <w:hideMark/>
          </w:tcPr>
          <w:p w:rsidRPr="0071238F" w:rsidR="00AF36D0" w:rsidP="002528FF" w:rsidRDefault="00AF36D0" w14:paraId="295E5E41" w14:textId="77777777">
            <w:pPr>
              <w:spacing w:after="0" w:line="240" w:lineRule="auto"/>
              <w:jc w:val="both"/>
              <w:rPr>
                <w:rFonts w:ascii="Century Gothic" w:hAnsi="Century Gothic" w:cs="Arial"/>
                <w:sz w:val="16"/>
                <w:szCs w:val="16"/>
              </w:rPr>
            </w:pPr>
            <w:r w:rsidRPr="0071238F">
              <w:rPr>
                <w:rFonts w:ascii="Century Gothic" w:hAnsi="Century Gothic" w:cs="Arial"/>
                <w:sz w:val="16"/>
                <w:szCs w:val="16"/>
              </w:rPr>
              <w:t xml:space="preserve">Nohelia del Carmen </w:t>
            </w:r>
            <w:proofErr w:type="spellStart"/>
            <w:r w:rsidRPr="0071238F">
              <w:rPr>
                <w:rFonts w:ascii="Century Gothic" w:hAnsi="Century Gothic" w:cs="Arial"/>
                <w:sz w:val="16"/>
                <w:szCs w:val="16"/>
              </w:rPr>
              <w:t>Zawady</w:t>
            </w:r>
            <w:proofErr w:type="spellEnd"/>
            <w:r w:rsidRPr="0071238F">
              <w:rPr>
                <w:rFonts w:ascii="Century Gothic" w:hAnsi="Century Gothic" w:cs="Arial"/>
                <w:sz w:val="16"/>
                <w:szCs w:val="16"/>
              </w:rPr>
              <w:t xml:space="preserve"> Palacio</w:t>
            </w:r>
          </w:p>
          <w:p w:rsidRPr="0071238F" w:rsidR="00AF36D0" w:rsidP="002528FF" w:rsidRDefault="00AF36D0" w14:paraId="2452BEBA" w14:textId="09F18465">
            <w:pPr>
              <w:spacing w:after="0" w:line="240" w:lineRule="auto"/>
              <w:jc w:val="both"/>
              <w:rPr>
                <w:rFonts w:ascii="Century Gothic" w:hAnsi="Century Gothic" w:cs="Arial"/>
                <w:sz w:val="16"/>
                <w:szCs w:val="16"/>
              </w:rPr>
            </w:pPr>
            <w:r w:rsidRPr="0071238F">
              <w:rPr>
                <w:rFonts w:ascii="Century Gothic" w:hAnsi="Century Gothic" w:cs="Arial"/>
                <w:sz w:val="16"/>
                <w:szCs w:val="16"/>
              </w:rPr>
              <w:t xml:space="preserve">Subdirectora de Gestión Contractual ANCP </w:t>
            </w:r>
            <w:r w:rsidR="00A908FF">
              <w:rPr>
                <w:rFonts w:ascii="Century Gothic" w:hAnsi="Century Gothic" w:cs="Arial"/>
                <w:sz w:val="16"/>
                <w:szCs w:val="16"/>
              </w:rPr>
              <w:t>–</w:t>
            </w:r>
            <w:r w:rsidRPr="0071238F">
              <w:rPr>
                <w:rFonts w:ascii="Century Gothic" w:hAnsi="Century Gothic" w:cs="Arial"/>
                <w:sz w:val="16"/>
                <w:szCs w:val="16"/>
              </w:rPr>
              <w:t xml:space="preserve"> CCE</w:t>
            </w:r>
          </w:p>
        </w:tc>
      </w:tr>
      <w:bookmarkEnd w:id="2"/>
    </w:tbl>
    <w:p w:rsidRPr="0071238F" w:rsidR="00AF36D0" w:rsidP="00AF36D0" w:rsidRDefault="00AF36D0" w14:paraId="60E2F917" w14:textId="77777777">
      <w:pPr>
        <w:tabs>
          <w:tab w:val="left" w:pos="0"/>
        </w:tabs>
        <w:spacing w:line="276" w:lineRule="auto"/>
        <w:contextualSpacing/>
        <w:jc w:val="both"/>
        <w:rPr>
          <w:rFonts w:ascii="Century Gothic" w:hAnsi="Century Gothic"/>
          <w:lang w:val="es-MX"/>
        </w:rPr>
      </w:pPr>
    </w:p>
    <w:p w:rsidRPr="0071238F" w:rsidR="00127233" w:rsidP="004C065D" w:rsidRDefault="00127233" w14:paraId="0F293BF4" w14:textId="7BBFAB11">
      <w:pPr>
        <w:rPr>
          <w:rFonts w:ascii="Century Gothic" w:hAnsi="Century Gothic"/>
        </w:rPr>
      </w:pPr>
    </w:p>
    <w:sectPr w:rsidRPr="0071238F" w:rsidR="00127233" w:rsidSect="002E4FD9">
      <w:headerReference w:type="default" r:id="rId12"/>
      <w:footerReference w:type="default" r:id="rId13"/>
      <w:pgSz w:w="12240" w:h="15840" w:orient="portrait"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1292" w:rsidP="004A1847" w:rsidRDefault="00BD1292" w14:paraId="6F555F6F" w14:textId="77777777">
      <w:pPr>
        <w:spacing w:after="0" w:line="240" w:lineRule="auto"/>
      </w:pPr>
      <w:r>
        <w:separator/>
      </w:r>
    </w:p>
  </w:endnote>
  <w:endnote w:type="continuationSeparator" w:id="0">
    <w:p w:rsidR="00BD1292" w:rsidP="004A1847" w:rsidRDefault="00BD1292" w14:paraId="2D355C8D" w14:textId="77777777">
      <w:pPr>
        <w:spacing w:after="0" w:line="240" w:lineRule="auto"/>
      </w:pPr>
      <w:r>
        <w:continuationSeparator/>
      </w:r>
    </w:p>
  </w:endnote>
  <w:endnote w:type="continuationNotice" w:id="1">
    <w:p w:rsidR="00BD1292" w:rsidRDefault="00BD1292" w14:paraId="099A411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00000001"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9419F9" w14:paraId="18911A32" w14:textId="3BA5BB2D">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322A85" w:rsidP="00322A85" w:rsidRDefault="003F3941" w14:paraId="171D456F" w14:textId="56C74A82">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5415501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w:t>
          </w:r>
          <w:r w:rsidR="00061B2A">
            <w:rPr>
              <w:rFonts w:ascii="Century Gothic" w:hAnsi="Century Gothic" w:eastAsia="Geo" w:cs="Geo"/>
              <w:b/>
              <w:color w:val="000000"/>
              <w:sz w:val="16"/>
              <w:szCs w:val="16"/>
              <w:lang w:eastAsia="es-CO"/>
            </w:rPr>
            <w:t>7</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5F4E4C24">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6039C9C7">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1</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1292" w:rsidP="004A1847" w:rsidRDefault="00BD1292" w14:paraId="1526AB64" w14:textId="77777777">
      <w:pPr>
        <w:spacing w:after="0" w:line="240" w:lineRule="auto"/>
      </w:pPr>
      <w:r>
        <w:separator/>
      </w:r>
    </w:p>
  </w:footnote>
  <w:footnote w:type="continuationSeparator" w:id="0">
    <w:p w:rsidR="00BD1292" w:rsidP="004A1847" w:rsidRDefault="00BD1292" w14:paraId="4F36AAD5" w14:textId="77777777">
      <w:pPr>
        <w:spacing w:after="0" w:line="240" w:lineRule="auto"/>
      </w:pPr>
      <w:r>
        <w:continuationSeparator/>
      </w:r>
    </w:p>
  </w:footnote>
  <w:footnote w:type="continuationNotice" w:id="1">
    <w:p w:rsidR="00BD1292" w:rsidRDefault="00BD1292" w14:paraId="03044105" w14:textId="77777777">
      <w:pPr>
        <w:spacing w:after="0" w:line="240" w:lineRule="auto"/>
      </w:pPr>
    </w:p>
  </w:footnote>
  <w:footnote w:id="2">
    <w:p w:rsidRPr="0071238F" w:rsidR="00AF36D0" w:rsidP="00AF36D0" w:rsidRDefault="00AF36D0" w14:paraId="273AFF9E" w14:textId="77777777">
      <w:pPr>
        <w:pStyle w:val="Textonotapie"/>
        <w:ind w:firstLine="708"/>
        <w:jc w:val="both"/>
        <w:rPr>
          <w:rFonts w:ascii="Century Gothic" w:hAnsi="Century Gothic" w:cs="Arial"/>
          <w:sz w:val="14"/>
          <w:szCs w:val="14"/>
          <w:lang w:val="es-ES"/>
        </w:rPr>
      </w:pPr>
      <w:r w:rsidRPr="0071238F">
        <w:rPr>
          <w:rStyle w:val="Refdenotaalpie"/>
          <w:rFonts w:ascii="Century Gothic" w:hAnsi="Century Gothic" w:cs="Arial"/>
          <w:sz w:val="14"/>
          <w:szCs w:val="14"/>
        </w:rPr>
        <w:footnoteRef/>
      </w:r>
      <w:r w:rsidRPr="0071238F">
        <w:rPr>
          <w:rFonts w:ascii="Century Gothic" w:hAnsi="Century Gothic" w:cs="Arial"/>
          <w:sz w:val="14"/>
          <w:szCs w:val="14"/>
        </w:rPr>
        <w:t xml:space="preserve"> La Agencia Nacional de Contratación Pública </w:t>
      </w:r>
      <w:r w:rsidRPr="0071238F">
        <w:rPr>
          <w:rFonts w:ascii="Arial" w:hAnsi="Arial" w:cs="Arial"/>
          <w:sz w:val="14"/>
          <w:szCs w:val="14"/>
        </w:rPr>
        <w:t>‒</w:t>
      </w:r>
      <w:r w:rsidRPr="0071238F">
        <w:rPr>
          <w:rFonts w:ascii="Century Gothic" w:hAnsi="Century Gothic" w:cs="Arial"/>
          <w:sz w:val="14"/>
          <w:szCs w:val="14"/>
        </w:rPr>
        <w:t xml:space="preserve"> Colombia Compra Eficiente fue creada por el Decreto Ley 4170 de 2011. Su objetivo es servir como ente rector de la pol</w:t>
      </w:r>
      <w:r w:rsidRPr="0071238F">
        <w:rPr>
          <w:rFonts w:ascii="Century Gothic" w:hAnsi="Century Gothic" w:cs="Century Gothic"/>
          <w:sz w:val="14"/>
          <w:szCs w:val="14"/>
        </w:rPr>
        <w:t>í</w:t>
      </w:r>
      <w:r w:rsidRPr="0071238F">
        <w:rPr>
          <w:rFonts w:ascii="Century Gothic" w:hAnsi="Century Gothic" w:cs="Arial"/>
          <w:sz w:val="14"/>
          <w:szCs w:val="14"/>
        </w:rPr>
        <w:t>tica de compras y contrataci</w:t>
      </w:r>
      <w:r w:rsidRPr="0071238F">
        <w:rPr>
          <w:rFonts w:ascii="Century Gothic" w:hAnsi="Century Gothic" w:cs="Century Gothic"/>
          <w:sz w:val="14"/>
          <w:szCs w:val="14"/>
        </w:rPr>
        <w:t>ó</w:t>
      </w:r>
      <w:r w:rsidRPr="0071238F">
        <w:rPr>
          <w:rFonts w:ascii="Century Gothic" w:hAnsi="Century Gothic" w:cs="Arial"/>
          <w:sz w:val="14"/>
          <w:szCs w:val="14"/>
        </w:rPr>
        <w:t xml:space="preserve">n del Estado. Para tales fines, como </w:t>
      </w:r>
      <w:r w:rsidRPr="0071238F">
        <w:rPr>
          <w:rFonts w:ascii="Century Gothic" w:hAnsi="Century Gothic" w:cs="Century Gothic"/>
          <w:sz w:val="14"/>
          <w:szCs w:val="14"/>
        </w:rPr>
        <w:t>ó</w:t>
      </w:r>
      <w:r w:rsidRPr="0071238F">
        <w:rPr>
          <w:rFonts w:ascii="Century Gothic" w:hAnsi="Century Gothic" w:cs="Arial"/>
          <w:sz w:val="14"/>
          <w:szCs w:val="14"/>
        </w:rPr>
        <w:t>rgano t</w:t>
      </w:r>
      <w:r w:rsidRPr="0071238F">
        <w:rPr>
          <w:rFonts w:ascii="Century Gothic" w:hAnsi="Century Gothic" w:cs="Century Gothic"/>
          <w:sz w:val="14"/>
          <w:szCs w:val="14"/>
        </w:rPr>
        <w:t>é</w:t>
      </w:r>
      <w:r w:rsidRPr="0071238F">
        <w:rPr>
          <w:rFonts w:ascii="Century Gothic" w:hAnsi="Century Gothic" w:cs="Arial"/>
          <w:sz w:val="14"/>
          <w:szCs w:val="14"/>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71238F">
        <w:rPr>
          <w:rFonts w:ascii="Century Gothic" w:hAnsi="Century Gothic" w:cs="Arial"/>
          <w:i/>
          <w:sz w:val="14"/>
          <w:szCs w:val="14"/>
        </w:rPr>
        <w:t xml:space="preserve">ibidem </w:t>
      </w:r>
      <w:r w:rsidRPr="0071238F">
        <w:rPr>
          <w:rFonts w:ascii="Century Gothic" w:hAnsi="Century Gothic" w:cs="Arial"/>
          <w:sz w:val="14"/>
          <w:szCs w:val="14"/>
        </w:rPr>
        <w:t>señala, de manera precisa, las funciones de Colombia Compra Eficiente. Concretamente, el numeral 5º de este artículo establece que le corresponde a esta entidad: “[a]</w:t>
      </w:r>
      <w:proofErr w:type="spellStart"/>
      <w:r w:rsidRPr="0071238F">
        <w:rPr>
          <w:rFonts w:ascii="Century Gothic" w:hAnsi="Century Gothic" w:cs="Arial"/>
          <w:sz w:val="14"/>
          <w:szCs w:val="14"/>
        </w:rPr>
        <w:t>bsolver</w:t>
      </w:r>
      <w:proofErr w:type="spellEnd"/>
      <w:r w:rsidRPr="0071238F">
        <w:rPr>
          <w:rFonts w:ascii="Century Gothic" w:hAnsi="Century Gothic" w:cs="Arial"/>
          <w:sz w:val="14"/>
          <w:szCs w:val="14"/>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71238F">
        <w:rPr>
          <w:rFonts w:ascii="Century Gothic" w:hAnsi="Century Gothic" w:cs="Arial"/>
          <w:sz w:val="14"/>
          <w:szCs w:val="14"/>
        </w:rPr>
        <w:t>bsolver</w:t>
      </w:r>
      <w:proofErr w:type="spellEnd"/>
      <w:r w:rsidRPr="0071238F">
        <w:rPr>
          <w:rFonts w:ascii="Century Gothic" w:hAnsi="Century Gothic" w:cs="Arial"/>
          <w:sz w:val="14"/>
          <w:szCs w:val="14"/>
        </w:rPr>
        <w:t xml:space="preserve"> consultas sobre la aplicación de normas de carácter general”.</w:t>
      </w:r>
    </w:p>
  </w:footnote>
  <w:footnote w:id="3">
    <w:p w:rsidRPr="0071238F" w:rsidR="00AF36D0" w:rsidP="00AF36D0" w:rsidRDefault="00AF36D0" w14:paraId="1D6D0D05" w14:textId="77777777">
      <w:pPr>
        <w:pStyle w:val="Textonotapie"/>
        <w:ind w:firstLine="708"/>
        <w:jc w:val="both"/>
        <w:rPr>
          <w:rFonts w:ascii="Century Gothic" w:hAnsi="Century Gothic" w:cs="Arial"/>
          <w:sz w:val="14"/>
          <w:szCs w:val="14"/>
        </w:rPr>
      </w:pPr>
      <w:r w:rsidRPr="0071238F">
        <w:rPr>
          <w:rStyle w:val="Refdenotaalpie"/>
          <w:rFonts w:ascii="Century Gothic" w:hAnsi="Century Gothic" w:cs="Arial"/>
          <w:sz w:val="14"/>
          <w:szCs w:val="14"/>
        </w:rPr>
        <w:footnoteRef/>
      </w:r>
      <w:r w:rsidRPr="0071238F">
        <w:rPr>
          <w:rFonts w:ascii="Century Gothic" w:hAnsi="Century Gothic" w:cs="Arial"/>
          <w:sz w:val="14"/>
          <w:szCs w:val="14"/>
        </w:rPr>
        <w:t xml:space="preserve"> Los conceptos referenciados, así como otros expedidos por la Subdirección se encuentran disponibles para consulta pública en el portal de relatoría de la Agencia, al cual se puede acceder a través del siguiente enlace: </w:t>
      </w:r>
      <w:hyperlink w:history="1" r:id="rId1">
        <w:r w:rsidRPr="0071238F">
          <w:rPr>
            <w:rStyle w:val="Hipervnculo"/>
            <w:rFonts w:ascii="Century Gothic" w:hAnsi="Century Gothic" w:cs="Arial"/>
            <w:sz w:val="14"/>
            <w:szCs w:val="14"/>
          </w:rPr>
          <w:t>https://relatoria.colombiacompra.gov.co/busqueda/conceptos</w:t>
        </w:r>
      </w:hyperlink>
      <w:r w:rsidRPr="0071238F">
        <w:rPr>
          <w:rStyle w:val="Hipervnculo"/>
          <w:rFonts w:ascii="Century Gothic" w:hAnsi="Century Gothic" w:cs="Arial"/>
          <w:sz w:val="14"/>
          <w:szCs w:val="14"/>
        </w:rPr>
        <w:t xml:space="preserve">. </w:t>
      </w:r>
      <w:r w:rsidRPr="0071238F">
        <w:rPr>
          <w:rFonts w:ascii="Century Gothic" w:hAnsi="Century Gothic" w:cs="Arial"/>
          <w:sz w:val="14"/>
          <w:szCs w:val="14"/>
          <w:shd w:val="clear" w:color="auto" w:fill="E6E6E6"/>
        </w:rPr>
        <w:t xml:space="preserve"> </w:t>
      </w:r>
    </w:p>
  </w:footnote>
  <w:footnote w:id="4">
    <w:p w:rsidRPr="0071238F" w:rsidR="00AF36D0" w:rsidP="00AF36D0" w:rsidRDefault="00AF36D0" w14:paraId="7B992A44" w14:textId="77777777">
      <w:pPr>
        <w:pStyle w:val="Textonotapie"/>
        <w:ind w:firstLine="709"/>
        <w:jc w:val="both"/>
        <w:rPr>
          <w:rFonts w:ascii="Century Gothic" w:hAnsi="Century Gothic" w:cs="Arial"/>
          <w:color w:val="000000" w:themeColor="text1"/>
          <w:sz w:val="14"/>
          <w:szCs w:val="14"/>
          <w:lang w:val="es-CO"/>
        </w:rPr>
      </w:pPr>
      <w:r w:rsidRPr="0071238F">
        <w:rPr>
          <w:rStyle w:val="Refdenotaalpie"/>
          <w:rFonts w:ascii="Century Gothic" w:hAnsi="Century Gothic" w:cs="Arial"/>
          <w:sz w:val="14"/>
          <w:szCs w:val="14"/>
        </w:rPr>
        <w:footnoteRef/>
      </w:r>
      <w:r w:rsidRPr="0071238F">
        <w:rPr>
          <w:rFonts w:ascii="Century Gothic" w:hAnsi="Century Gothic" w:cs="Arial"/>
          <w:color w:val="000000" w:themeColor="text1"/>
          <w:sz w:val="14"/>
          <w:szCs w:val="14"/>
          <w:lang w:val="es-CO"/>
        </w:rPr>
        <w:t xml:space="preserve"> FIGUEROA U. Organismos internacionales. 2ª edición. Santiago de Chile: Editorial RIL editores, 2010.</w:t>
      </w:r>
    </w:p>
  </w:footnote>
  <w:footnote w:id="5">
    <w:p w:rsidRPr="0071238F" w:rsidR="00AF36D0" w:rsidP="00AF36D0" w:rsidRDefault="00AF36D0" w14:paraId="3DF76E69" w14:textId="77777777">
      <w:pPr>
        <w:pStyle w:val="NormalWeb"/>
        <w:spacing w:before="0" w:beforeAutospacing="0" w:after="0" w:afterAutospacing="0"/>
        <w:ind w:firstLine="709"/>
        <w:jc w:val="both"/>
        <w:rPr>
          <w:rFonts w:ascii="Century Gothic" w:hAnsi="Century Gothic" w:cs="Arial"/>
          <w:color w:val="000000" w:themeColor="text1"/>
          <w:sz w:val="14"/>
          <w:szCs w:val="14"/>
        </w:rPr>
      </w:pPr>
      <w:r w:rsidRPr="0071238F">
        <w:rPr>
          <w:rStyle w:val="Refdenotaalpie"/>
          <w:rFonts w:ascii="Century Gothic" w:hAnsi="Century Gothic" w:cs="Arial"/>
          <w:sz w:val="14"/>
          <w:szCs w:val="14"/>
        </w:rPr>
        <w:footnoteRef/>
      </w:r>
      <w:r w:rsidRPr="0071238F">
        <w:rPr>
          <w:rFonts w:ascii="Century Gothic" w:hAnsi="Century Gothic" w:cs="Arial"/>
          <w:color w:val="000000" w:themeColor="text1"/>
          <w:sz w:val="14"/>
          <w:szCs w:val="14"/>
        </w:rPr>
        <w:t xml:space="preserve"> Ley 80 de 1993: “Artículo 13. De la normatividad aplicable a los contratos estatales. Los contratos que celebren las entidades a que se refiere el artículo </w:t>
      </w:r>
      <w:hyperlink w:history="1" w:anchor="2" r:id="rId2">
        <w:r w:rsidRPr="0071238F">
          <w:rPr>
            <w:rStyle w:val="Hipervnculo"/>
            <w:rFonts w:ascii="Century Gothic" w:hAnsi="Century Gothic" w:cs="Arial"/>
            <w:color w:val="000000" w:themeColor="text1"/>
            <w:sz w:val="14"/>
            <w:szCs w:val="14"/>
          </w:rPr>
          <w:t>2</w:t>
        </w:r>
      </w:hyperlink>
      <w:r w:rsidRPr="0071238F">
        <w:rPr>
          <w:rFonts w:ascii="Century Gothic" w:hAnsi="Century Gothic" w:cs="Arial"/>
          <w:color w:val="000000" w:themeColor="text1"/>
          <w:sz w:val="14"/>
          <w:szCs w:val="14"/>
        </w:rPr>
        <w:t>o. del presente estatuto se regirán por las disposiciones comerciales y civiles pertinentes, salvo en las materias particularmente reguladas en esta ley.</w:t>
      </w:r>
    </w:p>
    <w:p w:rsidRPr="0071238F" w:rsidR="00AF36D0" w:rsidP="00AF36D0" w:rsidRDefault="00AF36D0" w14:paraId="585387C9" w14:textId="77777777">
      <w:pPr>
        <w:pStyle w:val="NormalWeb"/>
        <w:spacing w:before="0" w:beforeAutospacing="0" w:after="0" w:afterAutospacing="0"/>
        <w:ind w:firstLine="709"/>
        <w:jc w:val="both"/>
        <w:rPr>
          <w:rFonts w:ascii="Century Gothic" w:hAnsi="Century Gothic" w:cs="Arial"/>
          <w:color w:val="000000" w:themeColor="text1"/>
          <w:sz w:val="14"/>
          <w:szCs w:val="14"/>
        </w:rPr>
      </w:pPr>
      <w:r w:rsidRPr="0071238F">
        <w:rPr>
          <w:rFonts w:ascii="Century Gothic" w:hAnsi="Century Gothic" w:cs="Arial"/>
          <w:color w:val="000000" w:themeColor="text1"/>
          <w:sz w:val="14"/>
          <w:szCs w:val="14"/>
        </w:rPr>
        <w:t>Los contratos celebrados en el exterior se podrán regir en su ejecución por las reglas del país en donde se hayan suscrito, a menos que deban cumplirse en Colombia.</w:t>
      </w:r>
    </w:p>
    <w:p w:rsidRPr="0071238F" w:rsidR="00AF36D0" w:rsidP="00AF36D0" w:rsidRDefault="00AF36D0" w14:paraId="178D1B77" w14:textId="77777777">
      <w:pPr>
        <w:pStyle w:val="NormalWeb"/>
        <w:spacing w:before="0" w:beforeAutospacing="0" w:after="0" w:afterAutospacing="0"/>
        <w:ind w:firstLine="709"/>
        <w:jc w:val="both"/>
        <w:rPr>
          <w:rFonts w:ascii="Century Gothic" w:hAnsi="Century Gothic" w:cs="Arial"/>
          <w:color w:val="000000" w:themeColor="text1"/>
          <w:sz w:val="14"/>
          <w:szCs w:val="14"/>
        </w:rPr>
      </w:pPr>
      <w:r w:rsidRPr="0071238F">
        <w:rPr>
          <w:rFonts w:ascii="Century Gothic" w:hAnsi="Century Gothic" w:cs="Arial"/>
          <w:color w:val="000000" w:themeColor="text1"/>
          <w:sz w:val="14"/>
          <w:szCs w:val="14"/>
        </w:rPr>
        <w:t>Los contratos que se celebren en Colombia y deban ejecutarse o cumplirse en el extranjero, podrán someterse a la ley extranjera”.</w:t>
      </w:r>
    </w:p>
  </w:footnote>
  <w:footnote w:id="6">
    <w:p w:rsidRPr="0071238F" w:rsidR="00AF36D0" w:rsidP="00AF36D0" w:rsidRDefault="00AF36D0" w14:paraId="1B6357DC" w14:textId="77777777">
      <w:pPr>
        <w:pStyle w:val="Textonotapie"/>
        <w:ind w:firstLine="709"/>
        <w:jc w:val="both"/>
        <w:rPr>
          <w:rFonts w:ascii="Century Gothic" w:hAnsi="Century Gothic" w:cs="Arial"/>
          <w:color w:val="000000" w:themeColor="text1"/>
          <w:sz w:val="14"/>
          <w:szCs w:val="14"/>
          <w:lang w:val="es-ES_tradnl"/>
        </w:rPr>
      </w:pPr>
      <w:r w:rsidRPr="0071238F">
        <w:rPr>
          <w:rStyle w:val="Refdenotaalpie"/>
          <w:rFonts w:ascii="Century Gothic" w:hAnsi="Century Gothic" w:cs="Arial"/>
          <w:sz w:val="14"/>
          <w:szCs w:val="14"/>
        </w:rPr>
        <w:footnoteRef/>
      </w:r>
      <w:r w:rsidRPr="0071238F">
        <w:rPr>
          <w:rFonts w:ascii="Century Gothic" w:hAnsi="Century Gothic" w:cs="Arial"/>
          <w:color w:val="000000" w:themeColor="text1"/>
          <w:sz w:val="14"/>
          <w:szCs w:val="14"/>
        </w:rPr>
        <w:t xml:space="preserve"> Consejo de Estado. Sección Tercera, Subsección C. Sentencia del 26 de noviembre de 2015. </w:t>
      </w:r>
      <w:proofErr w:type="spellStart"/>
      <w:r w:rsidRPr="0071238F">
        <w:rPr>
          <w:rFonts w:ascii="Century Gothic" w:hAnsi="Century Gothic" w:cs="Arial"/>
          <w:color w:val="000000" w:themeColor="text1"/>
          <w:sz w:val="14"/>
          <w:szCs w:val="14"/>
          <w:lang w:val="es-ES_tradnl"/>
        </w:rPr>
        <w:t>Exp</w:t>
      </w:r>
      <w:proofErr w:type="spellEnd"/>
      <w:r w:rsidRPr="0071238F">
        <w:rPr>
          <w:rFonts w:ascii="Century Gothic" w:hAnsi="Century Gothic" w:cs="Arial"/>
          <w:color w:val="000000" w:themeColor="text1"/>
          <w:sz w:val="14"/>
          <w:szCs w:val="14"/>
          <w:lang w:val="es-ES_tradnl"/>
        </w:rPr>
        <w:t xml:space="preserve">. </w:t>
      </w:r>
      <w:r w:rsidRPr="0071238F">
        <w:rPr>
          <w:rFonts w:ascii="Century Gothic" w:hAnsi="Century Gothic" w:cs="Arial"/>
          <w:color w:val="000000" w:themeColor="text1"/>
          <w:sz w:val="14"/>
          <w:szCs w:val="14"/>
          <w:lang w:val="es-CO"/>
        </w:rPr>
        <w:t xml:space="preserve">54.069. C.P Jaime Orlando Santofimio Gamboa. </w:t>
      </w:r>
    </w:p>
  </w:footnote>
  <w:footnote w:id="7">
    <w:p w:rsidRPr="0071238F" w:rsidR="00AF36D0" w:rsidP="00AF36D0" w:rsidRDefault="00AF36D0" w14:paraId="4D2E4C2B" w14:textId="77777777">
      <w:pPr>
        <w:pStyle w:val="Textonotapie"/>
        <w:ind w:firstLine="709"/>
        <w:jc w:val="both"/>
        <w:rPr>
          <w:rFonts w:ascii="Century Gothic" w:hAnsi="Century Gothic" w:cs="Arial"/>
          <w:color w:val="000000" w:themeColor="text1"/>
          <w:sz w:val="14"/>
          <w:szCs w:val="14"/>
          <w:lang w:eastAsia="es-CO"/>
        </w:rPr>
      </w:pPr>
      <w:r w:rsidRPr="0071238F">
        <w:rPr>
          <w:rStyle w:val="Refdenotaalpie"/>
          <w:rFonts w:ascii="Century Gothic" w:hAnsi="Century Gothic" w:cs="Arial"/>
          <w:sz w:val="14"/>
          <w:szCs w:val="14"/>
        </w:rPr>
        <w:footnoteRef/>
      </w:r>
      <w:r w:rsidRPr="0071238F">
        <w:rPr>
          <w:rFonts w:ascii="Century Gothic" w:hAnsi="Century Gothic" w:cs="Arial"/>
          <w:color w:val="000000" w:themeColor="text1"/>
          <w:sz w:val="14"/>
          <w:szCs w:val="14"/>
        </w:rPr>
        <w:t xml:space="preserve"> </w:t>
      </w:r>
      <w:r w:rsidRPr="0071238F">
        <w:rPr>
          <w:rFonts w:ascii="Century Gothic" w:hAnsi="Century Gothic" w:cs="Arial"/>
          <w:color w:val="000000" w:themeColor="text1"/>
          <w:sz w:val="14"/>
          <w:szCs w:val="14"/>
          <w:lang w:eastAsia="es-CO"/>
        </w:rPr>
        <w:t>“Los contratos financiados con fondos de los organismos multilaterales de crédito o celebrados con personas extranjeras de derecho público u organismos de cooperación, asistencia o ayuda internacionales, podrán someterse a los reglamentos de tales entidades en todo lo relacionado con procedimientos de formación y</w:t>
      </w:r>
      <w:r w:rsidRPr="0071238F">
        <w:rPr>
          <w:rFonts w:ascii="Century Gothic" w:hAnsi="Century Gothic" w:cs="Arial"/>
          <w:color w:val="000000" w:themeColor="text1"/>
          <w:sz w:val="14"/>
          <w:szCs w:val="14"/>
          <w:lang w:eastAsia="es-CO"/>
        </w:rPr>
        <w:t xml:space="preserve"> adjudicación y cláusulas especiales de ejecución, cumplimiento, pago y ajustes”. (Derogado por el artículo 32 de la Ley 1150 de 2007).</w:t>
      </w:r>
    </w:p>
  </w:footnote>
  <w:footnote w:id="8">
    <w:p w:rsidRPr="0071238F" w:rsidR="00AF36D0" w:rsidP="00AF36D0" w:rsidRDefault="00AF36D0" w14:paraId="042CDEC6" w14:textId="77777777">
      <w:pPr>
        <w:pStyle w:val="NormalWeb"/>
        <w:spacing w:before="0" w:beforeAutospacing="0" w:after="0" w:afterAutospacing="0"/>
        <w:ind w:firstLine="709"/>
        <w:jc w:val="both"/>
        <w:rPr>
          <w:rFonts w:ascii="Century Gothic" w:hAnsi="Century Gothic" w:cs="Arial"/>
          <w:color w:val="000000" w:themeColor="text1"/>
          <w:sz w:val="14"/>
          <w:szCs w:val="14"/>
        </w:rPr>
      </w:pPr>
      <w:r w:rsidRPr="0071238F">
        <w:rPr>
          <w:rStyle w:val="Refdenotaalpie"/>
          <w:rFonts w:ascii="Century Gothic" w:hAnsi="Century Gothic" w:cs="Arial"/>
          <w:sz w:val="14"/>
          <w:szCs w:val="14"/>
        </w:rPr>
        <w:footnoteRef/>
      </w:r>
      <w:r w:rsidRPr="0071238F">
        <w:rPr>
          <w:rFonts w:ascii="Century Gothic" w:hAnsi="Century Gothic" w:cs="Arial"/>
          <w:color w:val="000000" w:themeColor="text1"/>
          <w:sz w:val="14"/>
          <w:szCs w:val="14"/>
        </w:rPr>
        <w:t xml:space="preserve"> Ley 1150 de 2007. “Artículo 20: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de 1993. Los recursos de contrapartida vinculados a estas operaciones podrán tener el mismo tratamiento.</w:t>
      </w:r>
    </w:p>
    <w:p w:rsidRPr="0071238F" w:rsidR="00AF36D0" w:rsidP="00AF36D0" w:rsidRDefault="00AF36D0" w14:paraId="486AFA8A" w14:textId="77777777">
      <w:pPr>
        <w:pStyle w:val="NormalWeb"/>
        <w:spacing w:before="0" w:beforeAutospacing="0" w:after="0" w:afterAutospacing="0"/>
        <w:ind w:firstLine="709"/>
        <w:jc w:val="both"/>
        <w:rPr>
          <w:rFonts w:ascii="Century Gothic" w:hAnsi="Century Gothic" w:cs="Arial"/>
          <w:color w:val="000000" w:themeColor="text1"/>
          <w:sz w:val="14"/>
          <w:szCs w:val="14"/>
        </w:rPr>
      </w:pPr>
      <w:r w:rsidRPr="0071238F">
        <w:rPr>
          <w:rFonts w:ascii="Century Gothic" w:hAnsi="Century Gothic" w:cs="Arial"/>
          <w:color w:val="000000" w:themeColor="text1"/>
          <w:sz w:val="14"/>
          <w:szCs w:val="14"/>
        </w:rPr>
        <w:t xml:space="preserve">Los contratos o convenios celebrados con </w:t>
      </w:r>
      <w:bookmarkStart w:name="_Hlk148436103" w:id="16"/>
      <w:r w:rsidRPr="0071238F">
        <w:rPr>
          <w:rFonts w:ascii="Century Gothic" w:hAnsi="Century Gothic" w:cs="Arial"/>
          <w:color w:val="000000" w:themeColor="text1"/>
          <w:sz w:val="14"/>
          <w:szCs w:val="14"/>
        </w:rPr>
        <w:t>personas extranjeras de derecho público u organismos de derecho internacional</w:t>
      </w:r>
      <w:bookmarkEnd w:id="16"/>
      <w:r w:rsidRPr="0071238F">
        <w:rPr>
          <w:rFonts w:ascii="Century Gothic" w:hAnsi="Century Gothic" w:cs="Arial"/>
          <w:color w:val="000000" w:themeColor="text1"/>
          <w:sz w:val="14"/>
          <w:szCs w:val="14"/>
        </w:rPr>
        <w:t xml:space="preserve">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rsidRPr="0071238F" w:rsidR="00AF36D0" w:rsidP="00AF36D0" w:rsidRDefault="00AF36D0" w14:paraId="4B1A6B34" w14:textId="77777777">
      <w:pPr>
        <w:pStyle w:val="NormalWeb"/>
        <w:spacing w:before="0" w:beforeAutospacing="0" w:after="0" w:afterAutospacing="0"/>
        <w:ind w:firstLine="709"/>
        <w:jc w:val="both"/>
        <w:rPr>
          <w:rFonts w:ascii="Century Gothic" w:hAnsi="Century Gothic" w:cs="Arial"/>
          <w:color w:val="000000" w:themeColor="text1"/>
          <w:sz w:val="14"/>
          <w:szCs w:val="14"/>
        </w:rPr>
      </w:pPr>
      <w:r w:rsidRPr="0071238F">
        <w:rPr>
          <w:rFonts w:ascii="Century Gothic" w:hAnsi="Century Gothic" w:cs="Arial"/>
          <w:color w:val="000000" w:themeColor="text1"/>
          <w:sz w:val="14"/>
          <w:szCs w:val="14"/>
        </w:rPr>
        <w:t>Las entidades estatales no podrán celebrar contratos o convenios para la administración o gerencia de sus recursos propios o de aquellos que les asignen los presupuestos públicos, con organismos de cooperación, asistencia o ayuda internacional.</w:t>
      </w:r>
    </w:p>
    <w:p w:rsidRPr="0071238F" w:rsidR="00AF36D0" w:rsidP="00AF36D0" w:rsidRDefault="00AF36D0" w14:paraId="4F8F9962" w14:textId="77777777">
      <w:pPr>
        <w:pStyle w:val="NormalWeb"/>
        <w:spacing w:before="0" w:beforeAutospacing="0" w:after="0" w:afterAutospacing="0"/>
        <w:ind w:firstLine="709"/>
        <w:jc w:val="both"/>
        <w:rPr>
          <w:rFonts w:ascii="Century Gothic" w:hAnsi="Century Gothic" w:cs="Arial"/>
          <w:color w:val="000000" w:themeColor="text1"/>
          <w:sz w:val="14"/>
          <w:szCs w:val="14"/>
        </w:rPr>
      </w:pPr>
      <w:r w:rsidRPr="0071238F">
        <w:rPr>
          <w:rStyle w:val="baj"/>
          <w:rFonts w:ascii="Century Gothic" w:hAnsi="Century Gothic" w:cs="Arial"/>
          <w:color w:val="000000" w:themeColor="text1"/>
          <w:sz w:val="14"/>
          <w:szCs w:val="14"/>
        </w:rPr>
        <w:t>PARÁGRAFO 1o.</w:t>
      </w:r>
      <w:r w:rsidRPr="0071238F">
        <w:rPr>
          <w:rFonts w:ascii="Century Gothic" w:hAnsi="Century Gothic" w:cs="Arial"/>
          <w:color w:val="000000" w:themeColor="text1"/>
          <w:sz w:val="14"/>
          <w:szCs w:val="14"/>
        </w:rPr>
        <w:t> </w:t>
      </w:r>
      <w:bookmarkStart w:name="_Hlk148436375" w:id="17"/>
      <w:r w:rsidRPr="0071238F">
        <w:rPr>
          <w:rFonts w:ascii="Century Gothic" w:hAnsi="Century Gothic" w:cs="Arial"/>
          <w:color w:val="000000" w:themeColor="text1"/>
          <w:sz w:val="14"/>
          <w:szCs w:val="14"/>
        </w:rPr>
        <w:t xml:space="preserve">Los contratos o acuerdos celebrados con personas extranjeras de derecho </w:t>
      </w:r>
      <w:proofErr w:type="gramStart"/>
      <w:r w:rsidRPr="0071238F">
        <w:rPr>
          <w:rFonts w:ascii="Century Gothic" w:hAnsi="Century Gothic" w:cs="Arial"/>
          <w:color w:val="000000" w:themeColor="text1"/>
          <w:sz w:val="14"/>
          <w:szCs w:val="14"/>
        </w:rPr>
        <w:t>público,</w:t>
      </w:r>
      <w:proofErr w:type="gramEnd"/>
      <w:r w:rsidRPr="0071238F">
        <w:rPr>
          <w:rFonts w:ascii="Century Gothic" w:hAnsi="Century Gothic" w:cs="Arial"/>
          <w:color w:val="000000" w:themeColor="text1"/>
          <w:sz w:val="14"/>
          <w:szCs w:val="14"/>
        </w:rPr>
        <w:t xml:space="preserve"> podrán someterse a las reglas de tales organismos</w:t>
      </w:r>
      <w:bookmarkEnd w:id="17"/>
      <w:r w:rsidRPr="0071238F">
        <w:rPr>
          <w:rFonts w:ascii="Century Gothic" w:hAnsi="Century Gothic" w:cs="Arial"/>
          <w:color w:val="000000" w:themeColor="text1"/>
          <w:sz w:val="14"/>
          <w:szCs w:val="14"/>
        </w:rPr>
        <w:t>.</w:t>
      </w:r>
    </w:p>
    <w:p w:rsidRPr="0071238F" w:rsidR="00AF36D0" w:rsidP="00AF36D0" w:rsidRDefault="00AF36D0" w14:paraId="52FC293B" w14:textId="77777777">
      <w:pPr>
        <w:pStyle w:val="NormalWeb"/>
        <w:spacing w:before="0" w:beforeAutospacing="0" w:after="0" w:afterAutospacing="0"/>
        <w:ind w:firstLine="709"/>
        <w:jc w:val="both"/>
        <w:rPr>
          <w:rFonts w:ascii="Century Gothic" w:hAnsi="Century Gothic" w:cs="Arial"/>
          <w:color w:val="000000" w:themeColor="text1"/>
          <w:sz w:val="14"/>
          <w:szCs w:val="14"/>
        </w:rPr>
      </w:pPr>
      <w:r w:rsidRPr="0071238F">
        <w:rPr>
          <w:rStyle w:val="baj"/>
          <w:rFonts w:ascii="Century Gothic" w:hAnsi="Century Gothic" w:cs="Arial"/>
          <w:color w:val="000000" w:themeColor="text1"/>
          <w:sz w:val="14"/>
          <w:szCs w:val="14"/>
        </w:rPr>
        <w:t>PARÁGRAFO 2o.</w:t>
      </w:r>
      <w:r w:rsidRPr="0071238F">
        <w:rPr>
          <w:rFonts w:ascii="Century Gothic" w:hAnsi="Century Gothic" w:cs="Arial"/>
          <w:color w:val="000000" w:themeColor="text1"/>
          <w:sz w:val="14"/>
          <w:szCs w:val="14"/>
        </w:rPr>
        <w:t> Las entidades estatales tendrán la obligación de reportar la información a los organismos de control y al Secop relativa a la ejecución de los contratos a los que se refiere el presente artículo.</w:t>
      </w:r>
    </w:p>
    <w:p w:rsidRPr="0071238F" w:rsidR="00AF36D0" w:rsidP="00AF36D0" w:rsidRDefault="00AF36D0" w14:paraId="2EC6941A" w14:textId="77777777">
      <w:pPr>
        <w:pStyle w:val="NormalWeb"/>
        <w:spacing w:before="0" w:beforeAutospacing="0" w:after="0" w:afterAutospacing="0"/>
        <w:ind w:firstLine="709"/>
        <w:jc w:val="both"/>
        <w:rPr>
          <w:rFonts w:ascii="Century Gothic" w:hAnsi="Century Gothic" w:cs="Arial"/>
          <w:color w:val="000000" w:themeColor="text1"/>
          <w:sz w:val="14"/>
          <w:szCs w:val="14"/>
        </w:rPr>
      </w:pPr>
      <w:r w:rsidRPr="0071238F">
        <w:rPr>
          <w:rStyle w:val="baj"/>
          <w:rFonts w:ascii="Century Gothic" w:hAnsi="Century Gothic" w:cs="Arial"/>
          <w:color w:val="000000" w:themeColor="text1"/>
          <w:sz w:val="14"/>
          <w:szCs w:val="14"/>
        </w:rPr>
        <w:t>PARÁGRAFO 3o.</w:t>
      </w:r>
      <w:r w:rsidRPr="0071238F">
        <w:rPr>
          <w:rFonts w:ascii="Century Gothic" w:hAnsi="Century Gothic" w:cs="Arial"/>
          <w:color w:val="000000" w:themeColor="text1"/>
          <w:sz w:val="14"/>
          <w:szCs w:val="14"/>
        </w:rPr>
        <w:t>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p>
  </w:footnote>
  <w:footnote w:id="9">
    <w:p w:rsidRPr="0071238F" w:rsidR="00AF36D0" w:rsidP="00AF36D0" w:rsidRDefault="00AF36D0" w14:paraId="132C70DB" w14:textId="77777777">
      <w:pPr>
        <w:pStyle w:val="NormalWeb"/>
        <w:shd w:val="clear" w:color="auto" w:fill="FFFFFF"/>
        <w:spacing w:before="0" w:beforeAutospacing="0" w:after="0" w:afterAutospacing="0"/>
        <w:ind w:firstLine="709"/>
        <w:jc w:val="both"/>
        <w:rPr>
          <w:rFonts w:ascii="Century Gothic" w:hAnsi="Century Gothic" w:cs="Arial"/>
          <w:color w:val="000000" w:themeColor="text1"/>
          <w:sz w:val="14"/>
          <w:szCs w:val="14"/>
        </w:rPr>
      </w:pPr>
      <w:r w:rsidRPr="0071238F">
        <w:rPr>
          <w:rStyle w:val="Refdenotaalpie"/>
          <w:rFonts w:ascii="Century Gothic" w:hAnsi="Century Gothic" w:cs="Arial"/>
          <w:sz w:val="14"/>
          <w:szCs w:val="14"/>
        </w:rPr>
        <w:footnoteRef/>
      </w:r>
      <w:r w:rsidRPr="0071238F">
        <w:rPr>
          <w:rFonts w:ascii="Century Gothic" w:hAnsi="Century Gothic" w:cs="Arial"/>
          <w:color w:val="000000" w:themeColor="text1"/>
          <w:sz w:val="14"/>
          <w:szCs w:val="14"/>
        </w:rPr>
        <w:t xml:space="preserve"> Decreto 1082 de 2015. “Artículo </w:t>
      </w:r>
      <w:r w:rsidRPr="0071238F">
        <w:rPr>
          <w:rStyle w:val="Textoennegrita"/>
          <w:rFonts w:ascii="Century Gothic" w:hAnsi="Century Gothic" w:cs="Arial"/>
          <w:b w:val="0"/>
          <w:color w:val="000000" w:themeColor="text1"/>
          <w:sz w:val="14"/>
          <w:szCs w:val="14"/>
        </w:rPr>
        <w:t>2.2.1.2.4.4.1.</w:t>
      </w:r>
      <w:r w:rsidRPr="0071238F">
        <w:rPr>
          <w:rStyle w:val="Textoennegrita"/>
          <w:rFonts w:ascii="Century Gothic" w:hAnsi="Century Gothic" w:cs="Arial"/>
          <w:color w:val="000000" w:themeColor="text1"/>
          <w:sz w:val="14"/>
          <w:szCs w:val="14"/>
        </w:rPr>
        <w:t> </w:t>
      </w:r>
      <w:r w:rsidRPr="0071238F">
        <w:rPr>
          <w:rStyle w:val="nfasis"/>
          <w:rFonts w:ascii="Century Gothic" w:hAnsi="Century Gothic" w:cs="Arial"/>
          <w:color w:val="000000" w:themeColor="text1"/>
          <w:sz w:val="14"/>
          <w:szCs w:val="14"/>
        </w:rPr>
        <w:t>Régimen aplicable a los contratos o convenios de cooperación Internacional. </w:t>
      </w:r>
      <w:r w:rsidRPr="0071238F">
        <w:rPr>
          <w:rFonts w:ascii="Century Gothic" w:hAnsi="Century Gothic" w:cs="Arial"/>
          <w:color w:val="000000" w:themeColor="text1"/>
          <w:sz w:val="14"/>
          <w:szCs w:val="14"/>
        </w:rPr>
        <w:t>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 título.</w:t>
      </w:r>
    </w:p>
    <w:p w:rsidRPr="0071238F" w:rsidR="00AF36D0" w:rsidP="00AF36D0" w:rsidRDefault="00AF36D0" w14:paraId="2AF23902" w14:textId="77777777">
      <w:pPr>
        <w:pStyle w:val="NormalWeb"/>
        <w:shd w:val="clear" w:color="auto" w:fill="FFFFFF"/>
        <w:spacing w:before="0" w:beforeAutospacing="0" w:after="0" w:afterAutospacing="0"/>
        <w:ind w:firstLine="709"/>
        <w:jc w:val="both"/>
        <w:rPr>
          <w:rFonts w:ascii="Century Gothic" w:hAnsi="Century Gothic" w:cs="Arial"/>
          <w:color w:val="000000" w:themeColor="text1"/>
          <w:sz w:val="14"/>
          <w:szCs w:val="14"/>
        </w:rPr>
      </w:pPr>
      <w:r w:rsidRPr="0071238F">
        <w:rPr>
          <w:rFonts w:ascii="Century Gothic" w:hAnsi="Century Gothic" w:cs="Arial"/>
          <w:i/>
          <w:color w:val="000000" w:themeColor="text1"/>
          <w:sz w:val="14"/>
          <w:szCs w:val="14"/>
        </w:rPr>
        <w:t>Si el aporte de fuente nacional o internacional de un contrato o convenio de cooperación internacional es modificado o los aportes no se ejecutan en los términos pactados, las Entidades Estatales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71238F">
        <w:rPr>
          <w:rFonts w:ascii="Century Gothic" w:hAnsi="Century Gothic" w:cs="Arial"/>
          <w:color w:val="000000" w:themeColor="text1"/>
          <w:sz w:val="14"/>
          <w:szCs w:val="14"/>
        </w:rPr>
        <w:t>.</w:t>
      </w:r>
    </w:p>
    <w:p w:rsidRPr="0071238F" w:rsidR="00AF36D0" w:rsidP="00AF36D0" w:rsidRDefault="00AF36D0" w14:paraId="2981C517" w14:textId="77777777">
      <w:pPr>
        <w:pStyle w:val="NormalWeb"/>
        <w:shd w:val="clear" w:color="auto" w:fill="FFFFFF"/>
        <w:spacing w:before="0" w:beforeAutospacing="0" w:after="0" w:afterAutospacing="0"/>
        <w:ind w:firstLine="709"/>
        <w:jc w:val="both"/>
        <w:rPr>
          <w:rFonts w:ascii="Century Gothic" w:hAnsi="Century Gothic" w:cs="Arial"/>
          <w:color w:val="000000" w:themeColor="text1"/>
          <w:sz w:val="14"/>
          <w:szCs w:val="14"/>
        </w:rPr>
      </w:pPr>
      <w:r w:rsidRPr="0071238F">
        <w:rPr>
          <w:rFonts w:ascii="Century Gothic" w:hAnsi="Century Gothic" w:cs="Arial"/>
          <w:color w:val="000000" w:themeColor="text1"/>
          <w:sz w:val="14"/>
          <w:szCs w:val="14"/>
        </w:rPr>
        <w:t>Cuando la variación de la participación de los aportes de las partes es consecuencia de las fluctuaciones de la tasa de cambio de la moneda pactada en el convenio o contrato de cooperación internacional, este seguirá sometido a las reglas establecidas en el momento de su suscripción.</w:t>
      </w:r>
    </w:p>
    <w:p w:rsidRPr="0071238F" w:rsidR="00AF36D0" w:rsidP="00AF36D0" w:rsidRDefault="00AF36D0" w14:paraId="7272C225" w14:textId="77777777">
      <w:pPr>
        <w:pStyle w:val="NormalWeb"/>
        <w:shd w:val="clear" w:color="auto" w:fill="FFFFFF"/>
        <w:spacing w:before="0" w:beforeAutospacing="0" w:after="0" w:afterAutospacing="0"/>
        <w:ind w:firstLine="709"/>
        <w:jc w:val="both"/>
        <w:rPr>
          <w:rFonts w:ascii="Century Gothic" w:hAnsi="Century Gothic" w:cs="Arial"/>
          <w:color w:val="000000" w:themeColor="text1"/>
          <w:sz w:val="14"/>
          <w:szCs w:val="14"/>
        </w:rPr>
      </w:pPr>
      <w:r w:rsidRPr="0071238F">
        <w:rPr>
          <w:rFonts w:ascii="Century Gothic" w:hAnsi="Century Gothic" w:cs="Arial"/>
          <w:color w:val="000000" w:themeColor="text1"/>
          <w:sz w:val="14"/>
          <w:szCs w:val="14"/>
        </w:rPr>
        <w:t>Los recursos generados en desarrollo de los contratos o convenios financiados con fondos de los organismos de cooperación, asistencia o ayudas internacionales no deben ser tenidos en cuenta para determinar los porcentajes de los aportes de las partes». (Cursiva fuera del original).</w:t>
      </w:r>
    </w:p>
    <w:p w:rsidRPr="0071238F" w:rsidR="00AF36D0" w:rsidP="00AF36D0" w:rsidRDefault="00AF36D0" w14:paraId="378EE786" w14:textId="77777777">
      <w:pPr>
        <w:pStyle w:val="NormalWeb"/>
        <w:shd w:val="clear" w:color="auto" w:fill="FFFFFF"/>
        <w:spacing w:before="0" w:beforeAutospacing="0" w:after="0" w:afterAutospacing="0"/>
        <w:ind w:firstLine="709"/>
        <w:jc w:val="both"/>
        <w:rPr>
          <w:rFonts w:ascii="Century Gothic" w:hAnsi="Century Gothic" w:cs="Arial"/>
          <w:color w:val="000000" w:themeColor="text1"/>
          <w:sz w:val="14"/>
          <w:szCs w:val="14"/>
        </w:rPr>
      </w:pPr>
      <w:r w:rsidRPr="0071238F">
        <w:rPr>
          <w:rFonts w:ascii="Century Gothic" w:hAnsi="Century Gothic" w:cs="Arial"/>
          <w:color w:val="000000" w:themeColor="text1"/>
          <w:sz w:val="14"/>
          <w:szCs w:val="14"/>
        </w:rPr>
        <w:t>Los contratos o convenios financiados con fondos de los organismos multilaterales de crédito, entes gubernamentales extranjeros o personas extranjeras de derecho público, así como aquellos a los que se refiere el inciso 2 del artículo 20 de la </w:t>
      </w:r>
      <w:r w:rsidRPr="0071238F">
        <w:rPr>
          <w:rFonts w:ascii="Century Gothic" w:hAnsi="Century Gothic" w:cs="Arial"/>
          <w:sz w:val="14"/>
          <w:szCs w:val="14"/>
        </w:rPr>
        <w:t>Ley 1150 de 2007</w:t>
      </w:r>
      <w:r w:rsidRPr="0071238F">
        <w:rPr>
          <w:rFonts w:ascii="Century Gothic" w:hAnsi="Century Gothic" w:cs="Arial"/>
          <w:color w:val="000000" w:themeColor="text1"/>
          <w:sz w:val="14"/>
          <w:szCs w:val="14"/>
        </w:rPr>
        <w:t>,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w:t>
      </w:r>
      <w:r w:rsidRPr="0071238F">
        <w:rPr>
          <w:rFonts w:ascii="Century Gothic" w:hAnsi="Century Gothic" w:cs="Arial"/>
          <w:sz w:val="14"/>
          <w:szCs w:val="14"/>
        </w:rPr>
        <w:t> Ley 1150 de 2007</w:t>
      </w:r>
      <w:r w:rsidRPr="0071238F">
        <w:rPr>
          <w:rFonts w:ascii="Century Gothic" w:hAnsi="Century Gothic" w:cs="Arial"/>
          <w:color w:val="000000" w:themeColor="text1"/>
          <w:sz w:val="14"/>
          <w:szCs w:val="14"/>
        </w:rPr>
        <w:t>.</w:t>
      </w:r>
    </w:p>
    <w:p w:rsidRPr="0071238F" w:rsidR="00AF36D0" w:rsidP="00AF36D0" w:rsidRDefault="00AF36D0" w14:paraId="0054D0AE" w14:textId="77777777">
      <w:pPr>
        <w:pStyle w:val="NormalWeb"/>
        <w:shd w:val="clear" w:color="auto" w:fill="FFFFFF"/>
        <w:spacing w:before="0" w:beforeAutospacing="0" w:after="0" w:afterAutospacing="0"/>
        <w:ind w:firstLine="709"/>
        <w:jc w:val="both"/>
        <w:rPr>
          <w:rFonts w:ascii="Century Gothic" w:hAnsi="Century Gothic" w:cs="Arial"/>
          <w:color w:val="000000" w:themeColor="text1"/>
          <w:sz w:val="14"/>
          <w:szCs w:val="14"/>
        </w:rPr>
      </w:pPr>
      <w:r w:rsidRPr="0071238F">
        <w:rPr>
          <w:rFonts w:ascii="Century Gothic" w:hAnsi="Century Gothic" w:cs="Arial"/>
          <w:color w:val="000000" w:themeColor="text1"/>
          <w:sz w:val="14"/>
          <w:szCs w:val="14"/>
        </w:rPr>
        <w:t>Los contratos con personas extranjeras de derecho público se deben celebrar y ejecutar según se acuerde entre las partes” (Énfasis fuera de texto).</w:t>
      </w:r>
    </w:p>
  </w:footnote>
  <w:footnote w:id="10">
    <w:p w:rsidRPr="0071238F" w:rsidR="00AF36D0" w:rsidP="00AF36D0" w:rsidRDefault="00AF36D0" w14:paraId="50D6643F" w14:textId="77777777">
      <w:pPr>
        <w:pStyle w:val="Textonotapie"/>
        <w:ind w:firstLine="708"/>
        <w:jc w:val="both"/>
        <w:rPr>
          <w:rFonts w:ascii="Century Gothic" w:hAnsi="Century Gothic" w:cs="Arial"/>
          <w:sz w:val="14"/>
          <w:szCs w:val="14"/>
        </w:rPr>
      </w:pPr>
      <w:r w:rsidRPr="0071238F">
        <w:rPr>
          <w:rStyle w:val="Refdenotaalpie"/>
          <w:rFonts w:ascii="Century Gothic" w:hAnsi="Century Gothic" w:cs="Arial"/>
          <w:sz w:val="14"/>
          <w:szCs w:val="14"/>
        </w:rPr>
        <w:footnoteRef/>
      </w:r>
      <w:r w:rsidRPr="0071238F">
        <w:rPr>
          <w:rFonts w:ascii="Century Gothic" w:hAnsi="Century Gothic" w:cs="Arial"/>
          <w:sz w:val="14"/>
          <w:szCs w:val="14"/>
        </w:rPr>
        <w:t xml:space="preserve"> Cfr. </w:t>
      </w:r>
      <w:hyperlink w:history="1" r:id="rId3">
        <w:r w:rsidRPr="0071238F">
          <w:rPr>
            <w:rStyle w:val="Hipervnculo"/>
            <w:rFonts w:ascii="Century Gothic" w:hAnsi="Century Gothic" w:cs="Arial"/>
            <w:sz w:val="14"/>
            <w:szCs w:val="14"/>
          </w:rPr>
          <w:t>https://colaboracion.dnp.gov.co/CDT/portalDNP/PND-2023/PND_2018-2022/pdf/bases-pnd-2018-2022.pdf</w:t>
        </w:r>
      </w:hyperlink>
      <w:r w:rsidRPr="0071238F">
        <w:rPr>
          <w:rFonts w:ascii="Century Gothic" w:hAnsi="Century Gothic" w:cs="Arial"/>
          <w:sz w:val="14"/>
          <w:szCs w:val="14"/>
        </w:rPr>
        <w:t xml:space="preserve">. </w:t>
      </w:r>
    </w:p>
    <w:p w:rsidRPr="0071238F" w:rsidR="00AF36D0" w:rsidP="00AF36D0" w:rsidRDefault="00AF36D0" w14:paraId="4BD0B834" w14:textId="77777777">
      <w:pPr>
        <w:pStyle w:val="Textonotapie"/>
        <w:ind w:firstLine="708"/>
        <w:jc w:val="both"/>
        <w:rPr>
          <w:rFonts w:ascii="Century Gothic" w:hAnsi="Century Gothic" w:cs="Arial"/>
          <w:sz w:val="14"/>
          <w:szCs w:val="14"/>
        </w:rPr>
      </w:pPr>
      <w:r w:rsidRPr="0071238F">
        <w:rPr>
          <w:rFonts w:ascii="Century Gothic" w:hAnsi="Century Gothic" w:cs="Arial"/>
          <w:sz w:val="14"/>
          <w:szCs w:val="14"/>
        </w:rPr>
        <w:t>.</w:t>
      </w:r>
    </w:p>
  </w:footnote>
  <w:footnote w:id="11">
    <w:p w:rsidRPr="0071238F" w:rsidR="00AF36D0" w:rsidP="00AF36D0" w:rsidRDefault="00AF36D0" w14:paraId="213779A9" w14:textId="77777777">
      <w:pPr>
        <w:pStyle w:val="Textonotapie"/>
        <w:ind w:firstLine="709"/>
        <w:jc w:val="both"/>
        <w:rPr>
          <w:rFonts w:ascii="Century Gothic" w:hAnsi="Century Gothic" w:cs="Arial"/>
          <w:sz w:val="14"/>
          <w:szCs w:val="14"/>
        </w:rPr>
      </w:pPr>
      <w:r w:rsidRPr="0071238F">
        <w:rPr>
          <w:rStyle w:val="Refdenotaalpie"/>
          <w:rFonts w:ascii="Century Gothic" w:hAnsi="Century Gothic" w:cs="Arial"/>
          <w:sz w:val="14"/>
          <w:szCs w:val="14"/>
        </w:rPr>
        <w:footnoteRef/>
      </w:r>
      <w:r w:rsidRPr="0071238F">
        <w:rPr>
          <w:rFonts w:ascii="Century Gothic" w:hAnsi="Century Gothic" w:cs="Arial"/>
          <w:sz w:val="14"/>
          <w:szCs w:val="14"/>
        </w:rPr>
        <w:t xml:space="preserve"> Gerencia de Recursos Físicos y Financieros. Programa Administración pública territorial. Escuela Superior de Administración Pública. Bogotá. 2008. Pág. 22.</w:t>
      </w:r>
    </w:p>
  </w:footnote>
  <w:footnote w:id="12">
    <w:p w:rsidRPr="0071238F" w:rsidR="00AF36D0" w:rsidP="00AF36D0" w:rsidRDefault="00AF36D0" w14:paraId="684308E8" w14:textId="77777777">
      <w:pPr>
        <w:pStyle w:val="Textonotapie"/>
        <w:ind w:firstLine="709"/>
        <w:jc w:val="both"/>
        <w:rPr>
          <w:rFonts w:ascii="Century Gothic" w:hAnsi="Century Gothic" w:cs="Arial"/>
          <w:sz w:val="14"/>
          <w:szCs w:val="14"/>
        </w:rPr>
      </w:pPr>
      <w:r w:rsidRPr="0071238F">
        <w:rPr>
          <w:rStyle w:val="Refdenotaalpie"/>
          <w:rFonts w:ascii="Century Gothic" w:hAnsi="Century Gothic" w:cs="Arial"/>
          <w:sz w:val="14"/>
          <w:szCs w:val="14"/>
        </w:rPr>
        <w:footnoteRef/>
      </w:r>
      <w:r w:rsidRPr="0071238F">
        <w:rPr>
          <w:rFonts w:ascii="Century Gothic" w:hAnsi="Century Gothic" w:cs="Arial"/>
          <w:sz w:val="14"/>
          <w:szCs w:val="14"/>
        </w:rPr>
        <w:t xml:space="preserve"> ROMERO ROMERO, Enrique. </w:t>
      </w:r>
      <w:r w:rsidRPr="0071238F">
        <w:rPr>
          <w:rFonts w:ascii="Century Gothic" w:hAnsi="Century Gothic" w:cs="Arial"/>
          <w:i/>
          <w:sz w:val="14"/>
          <w:szCs w:val="14"/>
        </w:rPr>
        <w:t xml:space="preserve">Presupuesto Público y Contabilidad Gubernamental.ECOE ediciones. </w:t>
      </w:r>
      <w:r w:rsidRPr="0071238F">
        <w:rPr>
          <w:rFonts w:ascii="Century Gothic" w:hAnsi="Century Gothic" w:cs="Arial"/>
          <w:sz w:val="14"/>
          <w:szCs w:val="14"/>
        </w:rPr>
        <w:t xml:space="preserve">Quinta Edición. Bogotá. 2013. </w:t>
      </w:r>
    </w:p>
  </w:footnote>
  <w:footnote w:id="13">
    <w:p w:rsidRPr="0071238F" w:rsidR="00AF36D0" w:rsidP="00AF36D0" w:rsidRDefault="00AF36D0" w14:paraId="6EB9952E" w14:textId="77777777">
      <w:pPr>
        <w:pStyle w:val="Textonotapie"/>
        <w:ind w:firstLine="709"/>
        <w:jc w:val="both"/>
        <w:rPr>
          <w:rFonts w:ascii="Century Gothic" w:hAnsi="Century Gothic" w:cs="Arial"/>
          <w:sz w:val="14"/>
          <w:szCs w:val="14"/>
        </w:rPr>
      </w:pPr>
      <w:r w:rsidRPr="0071238F">
        <w:rPr>
          <w:rStyle w:val="Refdenotaalpie"/>
          <w:rFonts w:ascii="Century Gothic" w:hAnsi="Century Gothic" w:cs="Arial"/>
          <w:sz w:val="14"/>
          <w:szCs w:val="14"/>
        </w:rPr>
        <w:footnoteRef/>
      </w:r>
      <w:r w:rsidRPr="0071238F">
        <w:rPr>
          <w:rFonts w:ascii="Century Gothic" w:hAnsi="Century Gothic" w:cs="Arial"/>
          <w:sz w:val="14"/>
          <w:szCs w:val="14"/>
        </w:rPr>
        <w:t xml:space="preserve"> ARTÍCULO 27. Los ingresos corrientes se clasificarán en tributarios y no tributarios. Los ingresos tributarios se subclasificarán en impuestos directos e indirectos, y los ingresos no tributarios comprenderán las tasas y las multas (L. 38/89, art. 20; L. 179/94, art. 55, inc. 10, y arts. 67 y 71).</w:t>
      </w:r>
    </w:p>
  </w:footnote>
  <w:footnote w:id="14">
    <w:p w:rsidRPr="0071238F" w:rsidR="00AF36D0" w:rsidP="00AF36D0" w:rsidRDefault="00AF36D0" w14:paraId="609CEAF0" w14:textId="77777777">
      <w:pPr>
        <w:pStyle w:val="Textonotapie"/>
        <w:ind w:firstLine="709"/>
        <w:jc w:val="both"/>
        <w:rPr>
          <w:rFonts w:ascii="Century Gothic" w:hAnsi="Century Gothic" w:cs="Arial"/>
          <w:sz w:val="14"/>
          <w:szCs w:val="14"/>
        </w:rPr>
      </w:pPr>
      <w:r w:rsidRPr="0071238F">
        <w:rPr>
          <w:rStyle w:val="Refdenotaalpie"/>
          <w:rFonts w:ascii="Century Gothic" w:hAnsi="Century Gothic" w:cs="Arial"/>
          <w:sz w:val="14"/>
          <w:szCs w:val="14"/>
        </w:rPr>
        <w:footnoteRef/>
      </w:r>
      <w:r w:rsidRPr="0071238F">
        <w:rPr>
          <w:rFonts w:ascii="Century Gothic" w:hAnsi="Century Gothic" w:cs="Arial"/>
          <w:sz w:val="14"/>
          <w:szCs w:val="14"/>
        </w:rPr>
        <w:t xml:space="preserve"> RESTREPO, Juan Camilo. </w:t>
      </w:r>
      <w:r w:rsidRPr="0071238F">
        <w:rPr>
          <w:rFonts w:ascii="Century Gothic" w:hAnsi="Century Gothic" w:cs="Arial"/>
          <w:i/>
          <w:sz w:val="14"/>
          <w:szCs w:val="14"/>
        </w:rPr>
        <w:t>Hacienda Pública.</w:t>
      </w:r>
      <w:r w:rsidRPr="0071238F">
        <w:rPr>
          <w:rFonts w:ascii="Century Gothic" w:hAnsi="Century Gothic" w:cs="Arial"/>
          <w:sz w:val="14"/>
          <w:szCs w:val="14"/>
        </w:rPr>
        <w:t xml:space="preserve"> Ed. Universidad Externado de Colombia. Decimo primera Edición. Bogotá. 2020. </w:t>
      </w:r>
    </w:p>
  </w:footnote>
  <w:footnote w:id="15">
    <w:p w:rsidRPr="0071238F" w:rsidR="00AF36D0" w:rsidP="00AF36D0" w:rsidRDefault="00AF36D0" w14:paraId="7EEDE24F" w14:textId="77777777">
      <w:pPr>
        <w:pStyle w:val="Textonotapie"/>
        <w:ind w:firstLine="709"/>
        <w:jc w:val="both"/>
        <w:rPr>
          <w:rFonts w:ascii="Century Gothic" w:hAnsi="Century Gothic" w:cs="Arial"/>
          <w:sz w:val="14"/>
          <w:szCs w:val="14"/>
        </w:rPr>
      </w:pPr>
      <w:r w:rsidRPr="0071238F">
        <w:rPr>
          <w:rStyle w:val="Refdenotaalpie"/>
          <w:rFonts w:ascii="Century Gothic" w:hAnsi="Century Gothic" w:cs="Arial"/>
          <w:sz w:val="14"/>
          <w:szCs w:val="14"/>
        </w:rPr>
        <w:footnoteRef/>
      </w:r>
      <w:r w:rsidRPr="0071238F">
        <w:rPr>
          <w:rFonts w:ascii="Century Gothic" w:hAnsi="Century Gothic" w:cs="Arial"/>
          <w:sz w:val="14"/>
          <w:szCs w:val="14"/>
        </w:rPr>
        <w:t xml:space="preserve"> “Artículo 29. Son contribuciones parafiscales los gravámenes establecidos con carácter obligatorio por la ley, que afectan a un determinado y único grupo social y económico y se utilizan para beneficio del propio sector. El manejo, administración y ejecución de estos recursos se hará exclusivamente en forma dispuesta en la ley que los crea y se destinarán sólo al objeto previsto en ella, lo mismo que los rendimientos y excedentes financieros que resulten al cierre del ejercicio contable.</w:t>
      </w:r>
    </w:p>
    <w:p w:rsidRPr="0071238F" w:rsidR="00AF36D0" w:rsidP="00AF36D0" w:rsidRDefault="00AF36D0" w14:paraId="070FEAD6" w14:textId="77777777">
      <w:pPr>
        <w:pStyle w:val="Textonotapie"/>
        <w:ind w:firstLine="709"/>
        <w:jc w:val="both"/>
        <w:rPr>
          <w:rFonts w:ascii="Century Gothic" w:hAnsi="Century Gothic" w:cs="Arial"/>
          <w:sz w:val="14"/>
          <w:szCs w:val="14"/>
        </w:rPr>
      </w:pPr>
      <w:r w:rsidRPr="0071238F">
        <w:rPr>
          <w:rFonts w:ascii="Century Gothic" w:hAnsi="Century Gothic" w:cs="Arial"/>
          <w:sz w:val="14"/>
          <w:szCs w:val="14"/>
        </w:rPr>
        <w:t>“Las contribuciones parafiscales administradas por los órganos que formen parte del presupuesto general de la Nación se incorporarán al presupuesto solamente para registrar la estimación de su cuantía y en capítulo separado de las rentas fiscales y su recaudo será efectuado por los órganos encargados de su administración (L. 179/94, art. 12; L. 225/95, art. 2)”.</w:t>
      </w:r>
    </w:p>
  </w:footnote>
  <w:footnote w:id="16">
    <w:p w:rsidRPr="0071238F" w:rsidR="00AF36D0" w:rsidP="00AF36D0" w:rsidRDefault="00AF36D0" w14:paraId="08B0CA38" w14:textId="77777777">
      <w:pPr>
        <w:pStyle w:val="Textonotapie"/>
        <w:ind w:firstLine="709"/>
        <w:jc w:val="both"/>
        <w:rPr>
          <w:rFonts w:ascii="Century Gothic" w:hAnsi="Century Gothic" w:cs="Arial"/>
          <w:i/>
          <w:sz w:val="14"/>
          <w:szCs w:val="14"/>
        </w:rPr>
      </w:pPr>
      <w:r w:rsidRPr="0071238F">
        <w:rPr>
          <w:rStyle w:val="Refdenotaalpie"/>
          <w:rFonts w:ascii="Century Gothic" w:hAnsi="Century Gothic" w:cs="Arial"/>
          <w:sz w:val="14"/>
          <w:szCs w:val="14"/>
        </w:rPr>
        <w:footnoteRef/>
      </w:r>
      <w:r w:rsidRPr="0071238F">
        <w:rPr>
          <w:rFonts w:ascii="Century Gothic" w:hAnsi="Century Gothic" w:cs="Arial"/>
          <w:sz w:val="14"/>
          <w:szCs w:val="14"/>
        </w:rPr>
        <w:t xml:space="preserve"> </w:t>
      </w:r>
      <w:r w:rsidRPr="0071238F">
        <w:rPr>
          <w:rFonts w:ascii="Century Gothic" w:hAnsi="Century Gothic" w:cs="Arial"/>
          <w:i/>
          <w:sz w:val="14"/>
          <w:szCs w:val="14"/>
        </w:rPr>
        <w:t xml:space="preserve">Ibíd. </w:t>
      </w:r>
    </w:p>
  </w:footnote>
  <w:footnote w:id="17">
    <w:p w:rsidRPr="0071238F" w:rsidR="00AF36D0" w:rsidP="00AF36D0" w:rsidRDefault="00AF36D0" w14:paraId="014A7BD9" w14:textId="77777777">
      <w:pPr>
        <w:pStyle w:val="Textonotapie"/>
        <w:ind w:firstLine="708"/>
        <w:rPr>
          <w:rFonts w:ascii="Century Gothic" w:hAnsi="Century Gothic" w:cs="Arial"/>
          <w:sz w:val="14"/>
          <w:szCs w:val="14"/>
        </w:rPr>
      </w:pPr>
      <w:r w:rsidRPr="0071238F">
        <w:rPr>
          <w:rStyle w:val="Refdenotaalpie"/>
          <w:rFonts w:ascii="Century Gothic" w:hAnsi="Century Gothic" w:cs="Arial"/>
          <w:sz w:val="14"/>
          <w:szCs w:val="14"/>
        </w:rPr>
        <w:footnoteRef/>
      </w:r>
      <w:r w:rsidRPr="0071238F">
        <w:rPr>
          <w:rFonts w:ascii="Century Gothic" w:hAnsi="Century Gothic" w:cs="Arial"/>
          <w:sz w:val="14"/>
          <w:szCs w:val="14"/>
        </w:rPr>
        <w:t xml:space="preserve"> Artículo 27 del Decreto 111 de 1996.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6841" w:rsidRDefault="00961B09" w14:paraId="6ED12154" w14:textId="43B6B0B6">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67DABC48">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4A305D" w:rsidRDefault="004A305D" w14:paraId="7B0A8834" w14:textId="3D6F55FC">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w:t>
    </w:r>
    <w:r w:rsidR="00061B2A">
      <w:rPr>
        <w:rFonts w:ascii="Century Gothic" w:hAnsi="Century Gothic" w:eastAsia="Geo" w:cs="Geo"/>
        <w:bCs/>
        <w:color w:val="000000"/>
        <w:sz w:val="16"/>
        <w:szCs w:val="16"/>
        <w:lang w:eastAsia="es-CO"/>
      </w:rPr>
      <w:t>7</w:t>
    </w:r>
  </w:p>
  <w:p w:rsidRPr="004A305D" w:rsidR="004A305D" w:rsidP="004A305D" w:rsidRDefault="004A305D" w14:paraId="5E18350A" w14:textId="39FD735C">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sidR="00322A85">
      <w:rPr>
        <w:rFonts w:ascii="Century Gothic" w:hAnsi="Century Gothic" w:eastAsia="Geo" w:cs="Geo"/>
        <w:sz w:val="16"/>
        <w:szCs w:val="16"/>
        <w:lang w:eastAsia="es-CO"/>
      </w:rPr>
      <w:t>2</w:t>
    </w:r>
    <w:r w:rsidRPr="004A305D">
      <w:rPr>
        <w:rFonts w:ascii="Century Gothic" w:hAnsi="Century Gothic" w:eastAsia="Geo" w:cs="Geo"/>
        <w:sz w:val="16"/>
        <w:szCs w:val="16"/>
        <w:lang w:eastAsia="es-CO"/>
      </w:rPr>
      <w:t xml:space="preserve"> DEL </w:t>
    </w:r>
    <w:r w:rsidR="002E4FD9">
      <w:rPr>
        <w:rFonts w:ascii="Century Gothic" w:hAnsi="Century Gothic" w:eastAsia="Geo" w:cs="Geo"/>
        <w:sz w:val="16"/>
        <w:szCs w:val="16"/>
        <w:lang w:eastAsia="es-CO"/>
      </w:rPr>
      <w:t>31</w:t>
    </w:r>
    <w:r w:rsidR="00CB6357">
      <w:rPr>
        <w:rFonts w:ascii="Century Gothic" w:hAnsi="Century Gothic" w:eastAsia="Geo" w:cs="Geo"/>
        <w:sz w:val="16"/>
        <w:szCs w:val="16"/>
        <w:lang w:eastAsia="es-CO"/>
      </w:rPr>
      <w:t xml:space="preserve"> </w:t>
    </w:r>
    <w:r w:rsidRPr="004A305D">
      <w:rPr>
        <w:rFonts w:ascii="Century Gothic" w:hAnsi="Century Gothic" w:eastAsia="Geo" w:cs="Geo"/>
        <w:sz w:val="16"/>
        <w:szCs w:val="16"/>
        <w:lang w:eastAsia="es-CO"/>
      </w:rPr>
      <w:t xml:space="preserve">DE </w:t>
    </w:r>
    <w:r w:rsidR="00322A85">
      <w:rPr>
        <w:rFonts w:ascii="Century Gothic" w:hAnsi="Century Gothic" w:eastAsia="Geo" w:cs="Geo"/>
        <w:sz w:val="16"/>
        <w:szCs w:val="16"/>
        <w:lang w:eastAsia="es-CO"/>
      </w:rPr>
      <w:t>AGOSTO</w:t>
    </w:r>
    <w:r w:rsidRPr="004A305D">
      <w:rPr>
        <w:rFonts w:ascii="Century Gothic" w:hAnsi="Century Gothic" w:eastAsia="Geo" w:cs="Geo"/>
        <w:sz w:val="16"/>
        <w:szCs w:val="16"/>
        <w:lang w:eastAsia="es-CO"/>
      </w:rPr>
      <w:t xml:space="preserve"> DE 202</w:t>
    </w:r>
    <w:r w:rsidR="00961B09">
      <w:rPr>
        <w:rFonts w:ascii="Century Gothic" w:hAnsi="Century Gothic" w:eastAsia="Geo" w:cs="Geo"/>
        <w:sz w:val="16"/>
        <w:szCs w:val="16"/>
        <w:lang w:eastAsia="es-CO"/>
      </w:rPr>
      <w:t>3</w:t>
    </w:r>
  </w:p>
  <w:p w:rsidR="008A446D" w:rsidP="00061B2A" w:rsidRDefault="008A446D"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600" style="width:11.25pt;height:11.25pt" o:bullet="t" type="#_x0000_t75">
        <v:imagedata o:title="mso1B13" r:id="rId1"/>
      </v:shape>
    </w:pict>
  </w:numPicBullet>
  <w:abstractNum w:abstractNumId="0"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C9241D"/>
    <w:multiLevelType w:val="hybridMultilevel"/>
    <w:tmpl w:val="B0B487B8"/>
    <w:lvl w:ilvl="0" w:tplc="AAC4AE08">
      <w:start w:val="1"/>
      <w:numFmt w:val="lowerRoman"/>
      <w:lvlText w:val="%1."/>
      <w:lvlJc w:val="right"/>
      <w:pPr>
        <w:ind w:left="1429" w:hanging="360"/>
      </w:pPr>
      <w:rPr>
        <w:rFonts w:ascii="Arial" w:hAnsi="Arial" w:eastAsia="Calibri"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num w:numId="1" w16cid:durableId="583297128">
    <w:abstractNumId w:val="7"/>
  </w:num>
  <w:num w:numId="2" w16cid:durableId="445544208">
    <w:abstractNumId w:val="3"/>
  </w:num>
  <w:num w:numId="3" w16cid:durableId="805388967">
    <w:abstractNumId w:val="5"/>
  </w:num>
  <w:num w:numId="4" w16cid:durableId="8641747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4836356">
    <w:abstractNumId w:val="3"/>
  </w:num>
  <w:num w:numId="6" w16cid:durableId="279265817">
    <w:abstractNumId w:val="13"/>
  </w:num>
  <w:num w:numId="7" w16cid:durableId="1703896953">
    <w:abstractNumId w:val="6"/>
  </w:num>
  <w:num w:numId="8" w16cid:durableId="2131699474">
    <w:abstractNumId w:val="12"/>
  </w:num>
  <w:num w:numId="9" w16cid:durableId="471943214">
    <w:abstractNumId w:val="8"/>
  </w:num>
  <w:num w:numId="10" w16cid:durableId="1745106200">
    <w:abstractNumId w:val="11"/>
  </w:num>
  <w:num w:numId="11" w16cid:durableId="1930113978">
    <w:abstractNumId w:val="9"/>
  </w:num>
  <w:num w:numId="12" w16cid:durableId="1400009255">
    <w:abstractNumId w:val="2"/>
  </w:num>
  <w:num w:numId="13" w16cid:durableId="2021882546">
    <w:abstractNumId w:val="4"/>
  </w:num>
  <w:num w:numId="14" w16cid:durableId="938369549">
    <w:abstractNumId w:val="14"/>
  </w:num>
  <w:num w:numId="15" w16cid:durableId="512956490">
    <w:abstractNumId w:val="10"/>
  </w:num>
  <w:num w:numId="16" w16cid:durableId="302320425">
    <w:abstractNumId w:val="0"/>
  </w:num>
  <w:num w:numId="17" w16cid:durableId="1103645313">
    <w:abstractNumId w:val="1"/>
  </w:num>
  <w:num w:numId="18" w16cid:durableId="12346555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50D88"/>
    <w:rsid w:val="00061B2A"/>
    <w:rsid w:val="00082362"/>
    <w:rsid w:val="000A683E"/>
    <w:rsid w:val="000B19B9"/>
    <w:rsid w:val="000C3BA2"/>
    <w:rsid w:val="000D0334"/>
    <w:rsid w:val="000F6486"/>
    <w:rsid w:val="00125105"/>
    <w:rsid w:val="00127233"/>
    <w:rsid w:val="001E4177"/>
    <w:rsid w:val="001F7DC6"/>
    <w:rsid w:val="002421BB"/>
    <w:rsid w:val="002707A2"/>
    <w:rsid w:val="002951A0"/>
    <w:rsid w:val="002962BC"/>
    <w:rsid w:val="002A093D"/>
    <w:rsid w:val="002A0DD0"/>
    <w:rsid w:val="002A49AC"/>
    <w:rsid w:val="002A64FD"/>
    <w:rsid w:val="002B3EE6"/>
    <w:rsid w:val="002C7A84"/>
    <w:rsid w:val="002E4FD9"/>
    <w:rsid w:val="00301085"/>
    <w:rsid w:val="00322A85"/>
    <w:rsid w:val="003448F4"/>
    <w:rsid w:val="00374F5E"/>
    <w:rsid w:val="00377E3E"/>
    <w:rsid w:val="003A779E"/>
    <w:rsid w:val="003D0F4D"/>
    <w:rsid w:val="003D5B0D"/>
    <w:rsid w:val="003E0499"/>
    <w:rsid w:val="003E1F8D"/>
    <w:rsid w:val="003F3941"/>
    <w:rsid w:val="00406575"/>
    <w:rsid w:val="0042722E"/>
    <w:rsid w:val="00435C39"/>
    <w:rsid w:val="004A1847"/>
    <w:rsid w:val="004A305D"/>
    <w:rsid w:val="004C065D"/>
    <w:rsid w:val="004F21C4"/>
    <w:rsid w:val="004F685F"/>
    <w:rsid w:val="005343A2"/>
    <w:rsid w:val="005566E8"/>
    <w:rsid w:val="00574867"/>
    <w:rsid w:val="00580287"/>
    <w:rsid w:val="00585D1D"/>
    <w:rsid w:val="00591460"/>
    <w:rsid w:val="005A2340"/>
    <w:rsid w:val="005C3777"/>
    <w:rsid w:val="005C5CDC"/>
    <w:rsid w:val="005D476C"/>
    <w:rsid w:val="006219F8"/>
    <w:rsid w:val="00665D70"/>
    <w:rsid w:val="006900D9"/>
    <w:rsid w:val="00706C16"/>
    <w:rsid w:val="0071238F"/>
    <w:rsid w:val="00756841"/>
    <w:rsid w:val="007649AB"/>
    <w:rsid w:val="00771D0C"/>
    <w:rsid w:val="007833AC"/>
    <w:rsid w:val="007845D3"/>
    <w:rsid w:val="007B268C"/>
    <w:rsid w:val="007B4E3B"/>
    <w:rsid w:val="007B7171"/>
    <w:rsid w:val="007C3DC2"/>
    <w:rsid w:val="007E5497"/>
    <w:rsid w:val="00806F5F"/>
    <w:rsid w:val="00820278"/>
    <w:rsid w:val="008843B6"/>
    <w:rsid w:val="00891928"/>
    <w:rsid w:val="008A446D"/>
    <w:rsid w:val="008D180B"/>
    <w:rsid w:val="008F0EA7"/>
    <w:rsid w:val="009045CC"/>
    <w:rsid w:val="00923EEF"/>
    <w:rsid w:val="009401F8"/>
    <w:rsid w:val="009419F9"/>
    <w:rsid w:val="00961B09"/>
    <w:rsid w:val="00965334"/>
    <w:rsid w:val="0097093E"/>
    <w:rsid w:val="009A6976"/>
    <w:rsid w:val="009C71FA"/>
    <w:rsid w:val="009C72E7"/>
    <w:rsid w:val="009E0689"/>
    <w:rsid w:val="009F3A13"/>
    <w:rsid w:val="00A122D3"/>
    <w:rsid w:val="00A17F13"/>
    <w:rsid w:val="00A20739"/>
    <w:rsid w:val="00A33C78"/>
    <w:rsid w:val="00A908FF"/>
    <w:rsid w:val="00AB02C6"/>
    <w:rsid w:val="00AB0ADB"/>
    <w:rsid w:val="00AF36D0"/>
    <w:rsid w:val="00B72CD3"/>
    <w:rsid w:val="00B72FFF"/>
    <w:rsid w:val="00BC3D36"/>
    <w:rsid w:val="00BD1292"/>
    <w:rsid w:val="00BD7F72"/>
    <w:rsid w:val="00C04FB3"/>
    <w:rsid w:val="00C079EC"/>
    <w:rsid w:val="00C330EB"/>
    <w:rsid w:val="00C633A0"/>
    <w:rsid w:val="00C754BE"/>
    <w:rsid w:val="00C76B1C"/>
    <w:rsid w:val="00CB6357"/>
    <w:rsid w:val="00CC1B26"/>
    <w:rsid w:val="00D31493"/>
    <w:rsid w:val="00D423A2"/>
    <w:rsid w:val="00D63AC2"/>
    <w:rsid w:val="00D7383B"/>
    <w:rsid w:val="00D8227D"/>
    <w:rsid w:val="00DA231B"/>
    <w:rsid w:val="00DF5254"/>
    <w:rsid w:val="00E16408"/>
    <w:rsid w:val="00E20894"/>
    <w:rsid w:val="00E245AB"/>
    <w:rsid w:val="00E2764C"/>
    <w:rsid w:val="00E27F2E"/>
    <w:rsid w:val="00E50AFE"/>
    <w:rsid w:val="00E771DC"/>
    <w:rsid w:val="00E8772A"/>
    <w:rsid w:val="00E90F6B"/>
    <w:rsid w:val="00E92C27"/>
    <w:rsid w:val="00E97D30"/>
    <w:rsid w:val="00EA0E3D"/>
    <w:rsid w:val="00EE1AA8"/>
    <w:rsid w:val="00F31EDC"/>
    <w:rsid w:val="00F462B3"/>
    <w:rsid w:val="00F5664F"/>
    <w:rsid w:val="00F666C4"/>
    <w:rsid w:val="00F76AFC"/>
    <w:rsid w:val="00FB5DD1"/>
    <w:rsid w:val="00FC2B5D"/>
    <w:rsid w:val="00FC4E9D"/>
    <w:rsid w:val="00FF1449"/>
    <w:rsid w:val="2AD5AC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styleId="Refdecomentario">
    <w:name w:val="annotation reference"/>
    <w:basedOn w:val="Fuentedeprrafopredeter"/>
    <w:uiPriority w:val="99"/>
    <w:semiHidden/>
    <w:unhideWhenUsed/>
    <w:rsid w:val="00AF36D0"/>
    <w:rPr>
      <w:sz w:val="16"/>
      <w:szCs w:val="16"/>
    </w:rPr>
  </w:style>
  <w:style w:type="paragraph" w:styleId="Textocomentario">
    <w:name w:val="annotation text"/>
    <w:basedOn w:val="Normal"/>
    <w:link w:val="TextocomentarioCar"/>
    <w:uiPriority w:val="99"/>
    <w:unhideWhenUsed/>
    <w:rsid w:val="00AF36D0"/>
    <w:pPr>
      <w:spacing w:line="240" w:lineRule="auto"/>
    </w:pPr>
    <w:rPr>
      <w:sz w:val="20"/>
      <w:szCs w:val="20"/>
    </w:rPr>
  </w:style>
  <w:style w:type="character" w:styleId="TextocomentarioCar" w:customStyle="1">
    <w:name w:val="Texto comentario Car"/>
    <w:basedOn w:val="Fuentedeprrafopredeter"/>
    <w:link w:val="Textocomentario"/>
    <w:uiPriority w:val="99"/>
    <w:rsid w:val="00AF36D0"/>
    <w:rPr>
      <w:sz w:val="20"/>
      <w:szCs w:val="20"/>
    </w:rPr>
  </w:style>
  <w:style w:type="paragraph" w:styleId="Appelnotedebasde" w:customStyle="1">
    <w:name w:val="Appel note de bas de..."/>
    <w:basedOn w:val="Normal"/>
    <w:link w:val="Refdenotaalpie"/>
    <w:rsid w:val="00AF36D0"/>
    <w:pPr>
      <w:spacing w:line="240" w:lineRule="exact"/>
    </w:pPr>
    <w:rPr>
      <w:vertAlign w:val="superscript"/>
    </w:rPr>
  </w:style>
  <w:style w:type="character" w:styleId="NormalWebCar" w:customStyle="1">
    <w:name w:val="Normal (Web) Car"/>
    <w:link w:val="NormalWeb"/>
    <w:uiPriority w:val="99"/>
    <w:rsid w:val="00AF36D0"/>
    <w:rPr>
      <w:rFonts w:ascii="Times New Roman" w:hAnsi="Times New Roman" w:eastAsia="Times New Roman" w:cs="Times New Roman"/>
      <w:sz w:val="24"/>
      <w:szCs w:val="24"/>
      <w:lang w:eastAsia="es-CO"/>
    </w:rPr>
  </w:style>
  <w:style w:type="character" w:styleId="baj" w:customStyle="1">
    <w:name w:val="b_aj"/>
    <w:basedOn w:val="Fuentedeprrafopredeter"/>
    <w:rsid w:val="00AF36D0"/>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F36D0"/>
    <w:rPr>
      <w:rFonts w:ascii="Geomanist Light" w:hAnsi="Geomanist Light"/>
      <w:lang w:val="es-ES"/>
    </w:rPr>
  </w:style>
  <w:style w:type="character" w:styleId="Textoennegrita">
    <w:name w:val="Strong"/>
    <w:basedOn w:val="Fuentedeprrafopredeter"/>
    <w:uiPriority w:val="22"/>
    <w:qFormat/>
    <w:rsid w:val="00AF36D0"/>
    <w:rPr>
      <w:b/>
      <w:bCs/>
    </w:rPr>
  </w:style>
  <w:style w:type="character" w:styleId="nfasis">
    <w:name w:val="Emphasis"/>
    <w:basedOn w:val="Fuentedeprrafopredeter"/>
    <w:uiPriority w:val="20"/>
    <w:qFormat/>
    <w:rsid w:val="00AF36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3.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2.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colaboracion.dnp.gov.co/CDT/portalDNP/PND-2023/PND_2018-2022/pdf/bases-pnd-2018-2022.pdf" TargetMode="External"/><Relationship Id="rId2" Type="http://schemas.openxmlformats.org/officeDocument/2006/relationships/hyperlink" Target="http://www.secretariasenado.gov.co/senado/basedoc/ley_0080_1993.html"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3.xml><?xml version="1.0" encoding="utf-8"?>
<ds:datastoreItem xmlns:ds="http://schemas.openxmlformats.org/officeDocument/2006/customXml" ds:itemID="{58F134B3-B098-4C49-84D5-8EA60AB07E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Ximena Ríos López</cp:lastModifiedBy>
  <cp:revision>6</cp:revision>
  <cp:lastPrinted>2023-01-10T21:18:00Z</cp:lastPrinted>
  <dcterms:created xsi:type="dcterms:W3CDTF">2023-10-18T15:00:00Z</dcterms:created>
  <dcterms:modified xsi:type="dcterms:W3CDTF">2024-06-06T21:53:48Z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