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027C9" w:rsidR="000920F0" w:rsidP="000920F0" w:rsidRDefault="000920F0" w14:paraId="6B426F4D" w14:textId="77777777">
      <w:pPr>
        <w:jc w:val="right"/>
        <w:rPr>
          <w:rFonts w:ascii="Arial" w:hAnsi="Arial" w:cs="Arial"/>
          <w:b/>
          <w:color w:val="000000" w:themeColor="text1"/>
          <w:sz w:val="16"/>
          <w:szCs w:val="16"/>
          <w:lang w:val="es-ES_tradnl" w:eastAsia="es-ES"/>
        </w:rPr>
      </w:pPr>
      <w:bookmarkStart w:name="_Hlk28946138" w:id="0"/>
      <w:bookmarkStart w:name="_Hlk29548183" w:id="1"/>
      <w:bookmarkStart w:name="_Hlk29890381" w:id="2"/>
      <w:r w:rsidRPr="00A027C9">
        <w:rPr>
          <w:rFonts w:ascii="Arial" w:hAnsi="Arial" w:cs="Arial"/>
          <w:b/>
          <w:color w:val="000000" w:themeColor="text1"/>
          <w:sz w:val="21"/>
          <w:szCs w:val="21"/>
          <w:lang w:val="es-ES_tradnl" w:eastAsia="es-ES"/>
        </w:rPr>
        <w:tab/>
      </w:r>
      <w:r w:rsidRPr="00A027C9">
        <w:rPr>
          <w:rFonts w:ascii="Arial" w:hAnsi="Arial" w:cs="Arial"/>
          <w:b/>
          <w:color w:val="000000" w:themeColor="text1"/>
          <w:sz w:val="16"/>
          <w:szCs w:val="16"/>
          <w:lang w:val="es-ES_tradnl" w:eastAsia="es-ES"/>
        </w:rPr>
        <w:t>CCE-DES-FM-17</w:t>
      </w:r>
    </w:p>
    <w:p w:rsidRPr="00A709B2" w:rsidR="00111BBD" w:rsidP="000920F0" w:rsidRDefault="00111BBD" w14:paraId="77C0A69C" w14:textId="77777777">
      <w:pPr>
        <w:spacing w:line="276" w:lineRule="auto"/>
        <w:jc w:val="both"/>
        <w:rPr>
          <w:rFonts w:ascii="Arial" w:hAnsi="Arial" w:eastAsia="Calibri" w:cs="Arial"/>
          <w:b/>
          <w:color w:val="000000" w:themeColor="text1"/>
          <w:sz w:val="16"/>
          <w:szCs w:val="16"/>
        </w:rPr>
      </w:pPr>
    </w:p>
    <w:p w:rsidRPr="00A027C9" w:rsidR="00D60C9D" w:rsidP="2A72CF1A" w:rsidRDefault="00D60C9D" w14:paraId="4CF72224" w14:textId="113A1B27">
      <w:pPr>
        <w:spacing w:line="276" w:lineRule="auto"/>
        <w:jc w:val="both"/>
        <w:rPr>
          <w:rFonts w:ascii="Arial" w:hAnsi="Arial" w:eastAsia="Calibri" w:cs="Arial"/>
          <w:color w:val="000000" w:themeColor="text1"/>
          <w:sz w:val="22"/>
        </w:rPr>
      </w:pPr>
      <w:r w:rsidRPr="2A72CF1A">
        <w:rPr>
          <w:rFonts w:ascii="Arial" w:hAnsi="Arial" w:eastAsia="Calibri" w:cs="Arial"/>
          <w:b/>
          <w:bCs/>
          <w:color w:val="000000" w:themeColor="text1"/>
          <w:sz w:val="22"/>
        </w:rPr>
        <w:t xml:space="preserve">SECOP – Publicidad – Entidades de régimen especial – Reiteración </w:t>
      </w:r>
      <w:r w:rsidRPr="2A72CF1A" w:rsidR="6458B28C">
        <w:rPr>
          <w:rFonts w:ascii="Arial" w:hAnsi="Arial" w:eastAsia="Calibri" w:cs="Arial"/>
          <w:b/>
          <w:bCs/>
          <w:color w:val="000000" w:themeColor="text1"/>
          <w:sz w:val="22"/>
        </w:rPr>
        <w:t>–</w:t>
      </w:r>
      <w:r w:rsidRPr="2A72CF1A">
        <w:rPr>
          <w:rFonts w:ascii="Arial" w:hAnsi="Arial" w:eastAsia="Calibri" w:cs="Arial"/>
          <w:b/>
          <w:bCs/>
          <w:color w:val="000000" w:themeColor="text1"/>
          <w:sz w:val="22"/>
        </w:rPr>
        <w:t xml:space="preserve"> Concepto unificado </w:t>
      </w:r>
      <w:r w:rsidRPr="2A72CF1A" w:rsidR="448AABEF">
        <w:rPr>
          <w:rFonts w:ascii="Arial" w:hAnsi="Arial" w:eastAsia="Calibri" w:cs="Arial"/>
          <w:b/>
          <w:bCs/>
          <w:color w:val="000000" w:themeColor="text1"/>
          <w:sz w:val="22"/>
        </w:rPr>
        <w:t xml:space="preserve">– </w:t>
      </w:r>
      <w:r w:rsidRPr="2A72CF1A">
        <w:rPr>
          <w:rFonts w:ascii="Arial" w:hAnsi="Arial" w:eastAsia="Calibri" w:cs="Arial"/>
          <w:b/>
          <w:bCs/>
          <w:color w:val="000000" w:themeColor="text1"/>
          <w:sz w:val="22"/>
        </w:rPr>
        <w:t>CU-003 de 2020</w:t>
      </w:r>
    </w:p>
    <w:p w:rsidRPr="00721176" w:rsidR="00D60C9D" w:rsidP="00D60C9D" w:rsidRDefault="00D60C9D" w14:paraId="3FE5ACC6" w14:textId="77777777">
      <w:pPr>
        <w:spacing w:line="276" w:lineRule="auto"/>
        <w:jc w:val="both"/>
        <w:rPr>
          <w:rFonts w:ascii="Arial" w:hAnsi="Arial" w:cs="Arial"/>
          <w:color w:val="000000" w:themeColor="text1"/>
          <w:sz w:val="20"/>
          <w:szCs w:val="20"/>
        </w:rPr>
      </w:pPr>
    </w:p>
    <w:p w:rsidRPr="00A027C9" w:rsidR="00D60C9D" w:rsidP="00D60C9D" w:rsidRDefault="00D60C9D" w14:paraId="6921FEC5" w14:textId="77777777">
      <w:pPr>
        <w:jc w:val="both"/>
        <w:rPr>
          <w:rFonts w:ascii="Arial" w:hAnsi="Arial" w:eastAsia="Calibri" w:cs="Arial"/>
          <w:color w:val="000000" w:themeColor="text1"/>
          <w:sz w:val="20"/>
          <w:szCs w:val="20"/>
          <w:lang w:val="es-ES"/>
        </w:rPr>
      </w:pPr>
      <w:r w:rsidRPr="00A027C9">
        <w:rPr>
          <w:rFonts w:ascii="Arial" w:hAnsi="Arial" w:eastAsia="Calibri" w:cs="Arial"/>
          <w:color w:val="000000" w:themeColor="text1"/>
          <w:sz w:val="20"/>
          <w:szCs w:val="20"/>
        </w:rPr>
        <w:t xml:space="preserve">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 Así también lo indicó la Agencia Nacional de Contratación Pública en Concepto unificado CU-003 de 2020, que se reitera en esta oportunidad. </w:t>
      </w:r>
    </w:p>
    <w:p w:rsidRPr="00A027C9" w:rsidR="00D60C9D" w:rsidP="00D60C9D" w:rsidRDefault="00D60C9D" w14:paraId="5837B969" w14:textId="77777777">
      <w:pPr>
        <w:pStyle w:val="ListParagraph"/>
        <w:spacing w:line="276" w:lineRule="auto"/>
        <w:ind w:left="0"/>
        <w:jc w:val="both"/>
        <w:rPr>
          <w:rFonts w:ascii="Arial" w:hAnsi="Arial" w:eastAsia="Calibri" w:cs="Arial"/>
          <w:color w:val="000000" w:themeColor="text1"/>
          <w:sz w:val="20"/>
          <w:szCs w:val="20"/>
        </w:rPr>
      </w:pPr>
    </w:p>
    <w:p w:rsidRPr="00A027C9" w:rsidR="00D60C9D" w:rsidP="00D60C9D" w:rsidRDefault="00D60C9D" w14:paraId="6CD0D5EC" w14:textId="77777777">
      <w:pPr>
        <w:pStyle w:val="ListParagraph"/>
        <w:spacing w:line="276" w:lineRule="auto"/>
        <w:ind w:left="0"/>
        <w:jc w:val="both"/>
        <w:rPr>
          <w:rFonts w:ascii="Arial" w:hAnsi="Arial" w:eastAsia="Calibri" w:cs="Arial"/>
          <w:b/>
          <w:color w:val="000000" w:themeColor="text1"/>
          <w:sz w:val="22"/>
          <w:szCs w:val="20"/>
        </w:rPr>
      </w:pPr>
      <w:r w:rsidRPr="00A027C9">
        <w:rPr>
          <w:rFonts w:ascii="Arial" w:hAnsi="Arial" w:eastAsia="Calibri" w:cs="Arial"/>
          <w:b/>
          <w:color w:val="000000" w:themeColor="text1"/>
          <w:sz w:val="22"/>
          <w:szCs w:val="20"/>
        </w:rPr>
        <w:t xml:space="preserve">SECOP – Publicidad </w:t>
      </w:r>
      <w:r w:rsidRPr="00A027C9">
        <w:rPr>
          <w:rFonts w:ascii="Arial" w:hAnsi="Arial" w:eastAsia="Calibri" w:cs="Arial"/>
          <w:b/>
          <w:color w:val="000000" w:themeColor="text1"/>
          <w:sz w:val="22"/>
          <w:szCs w:val="20"/>
        </w:rPr>
        <w:softHyphen/>
        <w:t xml:space="preserve">– Documentos </w:t>
      </w:r>
    </w:p>
    <w:p w:rsidRPr="00A027C9" w:rsidR="00D60C9D" w:rsidP="00D60C9D" w:rsidRDefault="00D60C9D" w14:paraId="22ABA457" w14:textId="77777777">
      <w:pPr>
        <w:pStyle w:val="ListParagraph"/>
        <w:spacing w:line="276" w:lineRule="auto"/>
        <w:ind w:left="0"/>
        <w:jc w:val="both"/>
        <w:rPr>
          <w:rFonts w:ascii="Arial" w:hAnsi="Arial" w:eastAsia="Calibri" w:cs="Arial"/>
          <w:color w:val="000000" w:themeColor="text1"/>
          <w:sz w:val="20"/>
          <w:szCs w:val="20"/>
        </w:rPr>
      </w:pPr>
    </w:p>
    <w:p w:rsidR="00085C98" w:rsidP="003C70BC" w:rsidRDefault="00085C98" w14:paraId="028FD5A3" w14:textId="40A86DB3">
      <w:pPr>
        <w:spacing w:after="120"/>
        <w:jc w:val="both"/>
        <w:rPr>
          <w:rFonts w:ascii="Arial" w:hAnsi="Arial" w:eastAsia="Calibri" w:cs="Arial"/>
          <w:color w:val="000000" w:themeColor="text1"/>
          <w:sz w:val="20"/>
          <w:szCs w:val="20"/>
        </w:rPr>
      </w:pPr>
      <w:r w:rsidRPr="2512CC28">
        <w:rPr>
          <w:rFonts w:ascii="Arial" w:hAnsi="Arial" w:eastAsia="Calibri" w:cs="Arial"/>
          <w:color w:val="000000" w:themeColor="text1"/>
          <w:sz w:val="20"/>
          <w:szCs w:val="20"/>
        </w:rPr>
        <w:t xml:space="preserve">[…] </w:t>
      </w:r>
      <w:r w:rsidRPr="2512CC28" w:rsidR="174949B8">
        <w:rPr>
          <w:rFonts w:ascii="Arial" w:hAnsi="Arial" w:eastAsia="Calibri" w:cs="Arial"/>
          <w:color w:val="000000" w:themeColor="text1"/>
          <w:sz w:val="20"/>
          <w:szCs w:val="20"/>
        </w:rPr>
        <w:t>e</w:t>
      </w:r>
      <w:r w:rsidRPr="2512CC28" w:rsidR="00D60C9D">
        <w:rPr>
          <w:rFonts w:ascii="Arial" w:hAnsi="Arial" w:eastAsia="Calibri" w:cs="Arial"/>
          <w:color w:val="000000" w:themeColor="text1"/>
          <w:sz w:val="20"/>
          <w:szCs w:val="20"/>
        </w:rPr>
        <w:t>l Decreto 103 de 2015 señala que los documentos que deberán publicar las entidades estatales, entre estas las empresas industriales y comerciales del Estado, son: i) las autorizaciones, requerimientos, aprobaciones o informes del supervisor o del interventor, que prueben la ejecución del contrato, ii) en relación con los procedimientos, lineamientos y políticas en materia de adquisición se deberán publicar los documentos previstos en el manual de contratación de la entidad y, finalmente, iii) el plan anual de adquisiciones.</w:t>
      </w:r>
    </w:p>
    <w:p w:rsidRPr="00A027C9" w:rsidR="00D60C9D" w:rsidP="003C70BC" w:rsidRDefault="00D60C9D" w14:paraId="2DCC5CC5" w14:textId="63037327">
      <w:pPr>
        <w:spacing w:after="120"/>
        <w:jc w:val="both"/>
        <w:rPr>
          <w:rFonts w:ascii="Arial" w:hAnsi="Arial" w:eastAsia="Calibri" w:cs="Arial"/>
          <w:color w:val="000000" w:themeColor="text1"/>
          <w:sz w:val="20"/>
          <w:szCs w:val="20"/>
        </w:rPr>
      </w:pPr>
      <w:r w:rsidRPr="00A027C9">
        <w:rPr>
          <w:rFonts w:ascii="Arial" w:hAnsi="Arial" w:eastAsia="Calibri" w:cs="Arial"/>
          <w:color w:val="000000" w:themeColor="text1"/>
          <w:sz w:val="20"/>
          <w:szCs w:val="20"/>
        </w:rPr>
        <w:t xml:space="preserve">Frente al segundo grupo de documentos, debido a que estas entidades están sometidas al derecho privado, y por lo tanto no celebran sus procesos de contratación con las modalidades de contratación previstas en la Ley 80 de 1993; cada una definirá en su manual de contratación el procedimiento para la contratación de sus bienes y servicios. </w:t>
      </w:r>
    </w:p>
    <w:p w:rsidRPr="00A027C9" w:rsidR="00D60C9D" w:rsidP="00A2549D" w:rsidRDefault="00D60C9D" w14:paraId="61299E9A" w14:textId="77777777">
      <w:pPr>
        <w:pStyle w:val="ListParagraph"/>
        <w:ind w:left="0"/>
        <w:jc w:val="both"/>
        <w:rPr>
          <w:rFonts w:ascii="Arial" w:hAnsi="Arial" w:eastAsia="Calibri" w:cs="Arial"/>
          <w:color w:val="000000" w:themeColor="text1"/>
          <w:sz w:val="20"/>
          <w:szCs w:val="20"/>
        </w:rPr>
      </w:pPr>
    </w:p>
    <w:p w:rsidRPr="00A027C9" w:rsidR="00D60C9D" w:rsidP="00D60C9D" w:rsidRDefault="00D60C9D" w14:paraId="11DF1F47" w14:textId="77777777">
      <w:pPr>
        <w:pStyle w:val="ListParagraph"/>
        <w:spacing w:line="276" w:lineRule="auto"/>
        <w:ind w:left="0"/>
        <w:jc w:val="both"/>
        <w:rPr>
          <w:rFonts w:ascii="Arial" w:hAnsi="Arial" w:eastAsia="Calibri" w:cs="Arial"/>
          <w:b/>
          <w:color w:val="000000" w:themeColor="text1"/>
          <w:sz w:val="22"/>
          <w:szCs w:val="20"/>
        </w:rPr>
      </w:pPr>
      <w:r w:rsidRPr="00A027C9">
        <w:rPr>
          <w:rFonts w:ascii="Arial" w:hAnsi="Arial" w:eastAsia="Calibri" w:cs="Arial"/>
          <w:b/>
          <w:color w:val="000000" w:themeColor="text1"/>
          <w:sz w:val="22"/>
          <w:szCs w:val="20"/>
        </w:rPr>
        <w:t xml:space="preserve">SECOP – Publicidad </w:t>
      </w:r>
      <w:r w:rsidRPr="00A027C9">
        <w:rPr>
          <w:rFonts w:ascii="Arial" w:hAnsi="Arial" w:eastAsia="Calibri" w:cs="Arial"/>
          <w:b/>
          <w:color w:val="000000" w:themeColor="text1"/>
          <w:sz w:val="22"/>
          <w:szCs w:val="20"/>
        </w:rPr>
        <w:softHyphen/>
        <w:t>– Oportunidad – 3 días</w:t>
      </w:r>
    </w:p>
    <w:p w:rsidRPr="00A027C9" w:rsidR="00D60C9D" w:rsidP="00D60C9D" w:rsidRDefault="00D60C9D" w14:paraId="37BF909B" w14:textId="77777777">
      <w:pPr>
        <w:pStyle w:val="ListParagraph"/>
        <w:spacing w:line="276" w:lineRule="auto"/>
        <w:ind w:left="0"/>
        <w:jc w:val="both"/>
        <w:rPr>
          <w:rFonts w:ascii="Arial" w:hAnsi="Arial" w:eastAsia="Calibri" w:cs="Arial"/>
          <w:color w:val="000000" w:themeColor="text1"/>
          <w:sz w:val="20"/>
          <w:szCs w:val="20"/>
        </w:rPr>
      </w:pPr>
    </w:p>
    <w:p w:rsidRPr="00A027C9" w:rsidR="00D60C9D" w:rsidP="00D60C9D" w:rsidRDefault="00D60C9D" w14:paraId="4B1B4B6C" w14:textId="7EEF1A82">
      <w:pPr>
        <w:jc w:val="both"/>
        <w:rPr>
          <w:rFonts w:ascii="Arial" w:hAnsi="Arial" w:eastAsia="Calibri" w:cs="Arial"/>
          <w:color w:val="000000" w:themeColor="text1"/>
          <w:sz w:val="20"/>
          <w:szCs w:val="20"/>
        </w:rPr>
      </w:pPr>
      <w:r w:rsidRPr="00A027C9">
        <w:rPr>
          <w:rFonts w:ascii="Arial" w:hAnsi="Arial" w:eastAsia="Calibri" w:cs="Arial"/>
          <w:color w:val="000000" w:themeColor="text1"/>
          <w:sz w:val="20"/>
          <w:szCs w:val="20"/>
        </w:rPr>
        <w:t>El artículo 2.2.1.1.1.7.1. del Decreto 1082 de 2015 establece: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 Por su parte, el artículo 2.2.1.1.1.3.1. del Decreto 1082 de 2015 dice que los «Documentos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 A su vez, el artículo 2.2.1.2.1.4.3. del mismo Decreto establece excepciones a la publicidad de los estudios y documentos previos, indicando: «Los estudios y documentos previos elaborados para los siguientes Procesos de Contratación no son públicos: a) la contratación de empréstitos; b) los contratos interadministrativos que celebre el Ministerio de Hacienda y Crédito Público con el Banco de la República, y c) los contratos a los que se refiere el 2.2.1.2.1.4.6 del presente decreto». Como puede observarse, el gobierno nacional estableció algunas excepciones a la publicidad de los documentos del proceso en el SECOP durante los tres (3) días siguientes a su expedición en la modalidad de contratación directa; lo que permite concluir que aquellos casos que no estén exceptuados en forma explícita de dicho deber ingresan dentro de la regla general. Con fundamento en esta idea, cabe precisar que en la contratación directa los documentos del proceso también deben ser publicados en la oportunidad indicada, teniendo en cuenta la causal de que se trate. Verbigracia, para la celebración de contratos de prestación de servicios profesionales, de apoyo a la gestión o para la realización de actividades artísticas que solo pueden encomendarse a determinadas personas naturales no se requiere expedir previamente el acto administrativo de justificación de la contratación directa. Por lo tanto, en este supuesto, por sustracción de materia, no hay que publicar dicho documento en el SECOP. Algo similar sucede en la contratación de urgencia manifiesta, en la cual no se requiere de la elaboración de estudios y documentos previos, de manera que, obviamente, estos no se publican.</w:t>
      </w:r>
    </w:p>
    <w:p w:rsidRPr="00A027C9" w:rsidR="00D60C9D" w:rsidP="00D60C9D" w:rsidRDefault="00D60C9D" w14:paraId="71294227" w14:textId="77777777">
      <w:pPr>
        <w:jc w:val="both"/>
        <w:rPr>
          <w:rFonts w:ascii="Arial" w:hAnsi="Arial" w:cs="Arial"/>
          <w:color w:val="000000" w:themeColor="text1"/>
          <w:sz w:val="20"/>
          <w:szCs w:val="20"/>
          <w:lang w:val="es-ES_tradnl"/>
        </w:rPr>
      </w:pPr>
    </w:p>
    <w:p w:rsidRPr="00A027C9" w:rsidR="00D60C9D" w:rsidP="2A72CF1A" w:rsidRDefault="00D60C9D" w14:paraId="079D42E1" w14:textId="57C2AC72">
      <w:pPr>
        <w:pStyle w:val="ListParagraph"/>
        <w:spacing w:line="276" w:lineRule="auto"/>
        <w:ind w:left="0"/>
        <w:jc w:val="both"/>
        <w:rPr>
          <w:rFonts w:ascii="Arial" w:hAnsi="Arial" w:eastAsia="Calibri" w:cs="Arial"/>
          <w:b/>
          <w:bCs/>
          <w:color w:val="000000" w:themeColor="text1"/>
          <w:sz w:val="22"/>
        </w:rPr>
      </w:pPr>
      <w:r w:rsidRPr="2A72CF1A">
        <w:rPr>
          <w:rFonts w:ascii="Arial" w:hAnsi="Arial" w:eastAsia="Calibri" w:cs="Arial"/>
          <w:b/>
          <w:bCs/>
          <w:color w:val="000000" w:themeColor="text1"/>
          <w:sz w:val="22"/>
        </w:rPr>
        <w:t xml:space="preserve">SECOP </w:t>
      </w:r>
      <w:r w:rsidRPr="2A72CF1A" w:rsidR="00521CF7">
        <w:rPr>
          <w:rFonts w:ascii="Arial" w:hAnsi="Arial" w:eastAsia="Calibri" w:cs="Arial"/>
          <w:b/>
          <w:bCs/>
          <w:color w:val="000000" w:themeColor="text1"/>
          <w:sz w:val="22"/>
        </w:rPr>
        <w:t>–</w:t>
      </w:r>
      <w:r w:rsidRPr="2A72CF1A">
        <w:rPr>
          <w:rFonts w:ascii="Arial" w:hAnsi="Arial" w:eastAsia="Calibri" w:cs="Arial"/>
          <w:b/>
          <w:bCs/>
          <w:color w:val="000000" w:themeColor="text1"/>
          <w:sz w:val="22"/>
        </w:rPr>
        <w:t xml:space="preserve"> Publicidad </w:t>
      </w:r>
      <w:r w:rsidRPr="00A027C9">
        <w:rPr>
          <w:rFonts w:ascii="Arial" w:hAnsi="Arial" w:eastAsia="Calibri" w:cs="Arial"/>
          <w:b/>
          <w:color w:val="000000" w:themeColor="text1"/>
          <w:sz w:val="22"/>
          <w:szCs w:val="20"/>
        </w:rPr>
        <w:softHyphen/>
      </w:r>
      <w:r w:rsidRPr="2A72CF1A" w:rsidR="00521CF7">
        <w:rPr>
          <w:rFonts w:ascii="Arial" w:hAnsi="Arial" w:eastAsia="Calibri" w:cs="Arial"/>
          <w:b/>
          <w:bCs/>
          <w:color w:val="000000" w:themeColor="text1"/>
          <w:sz w:val="22"/>
        </w:rPr>
        <w:t>–</w:t>
      </w:r>
      <w:r w:rsidRPr="2A72CF1A">
        <w:rPr>
          <w:rFonts w:ascii="Arial" w:hAnsi="Arial" w:eastAsia="Calibri" w:cs="Arial"/>
          <w:b/>
          <w:bCs/>
          <w:color w:val="000000" w:themeColor="text1"/>
          <w:sz w:val="22"/>
        </w:rPr>
        <w:t xml:space="preserve"> </w:t>
      </w:r>
      <w:r w:rsidRPr="2A72CF1A" w:rsidR="00E00615">
        <w:rPr>
          <w:rFonts w:ascii="Arial" w:hAnsi="Arial" w:eastAsia="Calibri" w:cs="Arial"/>
          <w:b/>
          <w:bCs/>
          <w:color w:val="000000" w:themeColor="text1"/>
          <w:sz w:val="22"/>
        </w:rPr>
        <w:t>Contratos fiduciarios</w:t>
      </w:r>
    </w:p>
    <w:p w:rsidRPr="00A027C9" w:rsidR="00D60C9D" w:rsidP="00D60C9D" w:rsidRDefault="00D60C9D" w14:paraId="371B789F" w14:textId="77777777">
      <w:pPr>
        <w:pStyle w:val="ListParagraph"/>
        <w:spacing w:line="276" w:lineRule="auto"/>
        <w:ind w:left="0"/>
        <w:jc w:val="both"/>
        <w:rPr>
          <w:rFonts w:ascii="Arial" w:hAnsi="Arial" w:eastAsia="Calibri" w:cs="Arial"/>
          <w:color w:val="000000" w:themeColor="text1"/>
          <w:sz w:val="20"/>
          <w:szCs w:val="20"/>
        </w:rPr>
      </w:pPr>
    </w:p>
    <w:p w:rsidRPr="00A027C9" w:rsidR="00D60C9D" w:rsidP="00D60C9D" w:rsidRDefault="00AF6DC6" w14:paraId="7C56C1BC" w14:textId="702ED33E">
      <w:pPr>
        <w:jc w:val="both"/>
        <w:rPr>
          <w:rFonts w:ascii="Arial" w:hAnsi="Arial" w:cs="Arial"/>
          <w:color w:val="000000" w:themeColor="text1"/>
          <w:sz w:val="20"/>
          <w:szCs w:val="20"/>
          <w:lang w:val="es-ES"/>
        </w:rPr>
      </w:pPr>
      <w:r w:rsidRPr="2512CC28">
        <w:rPr>
          <w:rFonts w:ascii="Arial" w:hAnsi="Arial" w:eastAsia="Calibri" w:cs="Arial"/>
          <w:color w:val="000000" w:themeColor="text1"/>
          <w:sz w:val="20"/>
          <w:szCs w:val="20"/>
        </w:rPr>
        <w:t xml:space="preserve">[…] </w:t>
      </w:r>
      <w:r w:rsidRPr="2512CC28" w:rsidR="4873F3EC">
        <w:rPr>
          <w:rFonts w:ascii="Arial" w:hAnsi="Arial" w:eastAsia="Calibri" w:cs="Arial"/>
          <w:color w:val="000000" w:themeColor="text1"/>
          <w:sz w:val="20"/>
          <w:szCs w:val="20"/>
        </w:rPr>
        <w:t>l</w:t>
      </w:r>
      <w:r w:rsidRPr="2512CC28" w:rsidR="004C58AC">
        <w:rPr>
          <w:rFonts w:ascii="Arial" w:hAnsi="Arial" w:eastAsia="Calibri" w:cs="Arial"/>
          <w:color w:val="000000" w:themeColor="text1"/>
          <w:sz w:val="20"/>
          <w:szCs w:val="20"/>
        </w:rPr>
        <w:t xml:space="preserve">os contratos fiduciarios deberán ser publicados por la Entidad Estatal que lo suscriba, </w:t>
      </w:r>
      <w:proofErr w:type="gramStart"/>
      <w:r w:rsidRPr="2512CC28" w:rsidR="004C58AC">
        <w:rPr>
          <w:rFonts w:ascii="Arial" w:hAnsi="Arial" w:eastAsia="Calibri" w:cs="Arial"/>
          <w:color w:val="000000" w:themeColor="text1"/>
          <w:sz w:val="20"/>
          <w:szCs w:val="20"/>
        </w:rPr>
        <w:t>de acuerdo al</w:t>
      </w:r>
      <w:proofErr w:type="gramEnd"/>
      <w:r w:rsidRPr="2512CC28" w:rsidR="004C58AC">
        <w:rPr>
          <w:rFonts w:ascii="Arial" w:hAnsi="Arial" w:eastAsia="Calibri" w:cs="Arial"/>
          <w:color w:val="000000" w:themeColor="text1"/>
          <w:sz w:val="20"/>
          <w:szCs w:val="20"/>
        </w:rPr>
        <w:t xml:space="preserve"> régimen jurídico aplicable al contrato y según lo visto en párrafos precedentes. Igualmente, la publicación de la «contratación derivada» de los contratos de fiducia deberá realizarse, o por la Entidad Estatal fideicomitente con intervención de la fiduciaria para efectos de la firma del contrato −sería lo ideal−, o por la fiduciaria que actúe como vocero de los patrimonios autónomos en calidad de contratante, también teniendo en cuenta el régimen del contrato y lo explicado en el presente documento.</w:t>
      </w:r>
    </w:p>
    <w:p w:rsidRPr="00A027C9" w:rsidR="00D60C9D" w:rsidP="00A2549D" w:rsidRDefault="00D60C9D" w14:paraId="2A579BC0" w14:textId="77777777">
      <w:pPr>
        <w:pStyle w:val="ListParagraph"/>
        <w:ind w:left="0"/>
        <w:jc w:val="both"/>
        <w:rPr>
          <w:rFonts w:ascii="Arial" w:hAnsi="Arial" w:eastAsia="Calibri" w:cs="Arial"/>
          <w:color w:val="000000" w:themeColor="text1"/>
          <w:sz w:val="20"/>
          <w:szCs w:val="20"/>
        </w:rPr>
      </w:pPr>
    </w:p>
    <w:p w:rsidRPr="00AF6DC6" w:rsidR="000920F0" w:rsidP="000920F0" w:rsidRDefault="000920F0" w14:paraId="4C86C4F8" w14:textId="77777777">
      <w:pPr>
        <w:spacing w:line="276" w:lineRule="auto"/>
        <w:jc w:val="both"/>
        <w:rPr>
          <w:rFonts w:ascii="Arial" w:hAnsi="Arial" w:cs="Arial"/>
          <w:color w:val="000000" w:themeColor="text1"/>
          <w:sz w:val="20"/>
          <w:szCs w:val="20"/>
        </w:rPr>
      </w:pPr>
    </w:p>
    <w:p w:rsidRPr="00A027C9" w:rsidR="000920F0" w:rsidP="000049C7" w:rsidRDefault="000920F0" w14:paraId="693F4604" w14:textId="206300E2">
      <w:pPr>
        <w:pStyle w:val="Default"/>
        <w:rPr>
          <w:rFonts w:eastAsia="Calibri"/>
          <w:color w:val="000000" w:themeColor="text1"/>
          <w:sz w:val="20"/>
          <w:lang w:val="es-ES_tradnl"/>
        </w:rPr>
      </w:pPr>
      <w:r w:rsidRPr="00A027C9">
        <w:rPr>
          <w:color w:val="000000" w:themeColor="text1"/>
          <w:sz w:val="22"/>
          <w:lang w:val="es-ES_tradnl"/>
        </w:rPr>
        <w:t xml:space="preserve">Bogotá D.C., </w:t>
      </w:r>
      <w:r w:rsidRPr="000E5774" w:rsidR="000E5774">
        <w:rPr>
          <w:b/>
          <w:bCs/>
          <w:color w:val="000000" w:themeColor="text1"/>
          <w:sz w:val="22"/>
          <w:lang w:val="es-ES_tradnl"/>
        </w:rPr>
        <w:t>3/04/2020</w:t>
      </w:r>
      <w:r w:rsidR="000049C7">
        <w:rPr>
          <w:b/>
          <w:bCs/>
          <w:color w:val="000000" w:themeColor="text1"/>
          <w:sz w:val="22"/>
          <w:lang w:val="es-ES_tradnl"/>
        </w:rPr>
        <w:t xml:space="preserve"> </w:t>
      </w:r>
      <w:r w:rsidR="000049C7">
        <w:rPr>
          <w:b/>
          <w:bCs/>
          <w:sz w:val="22"/>
          <w:szCs w:val="22"/>
        </w:rPr>
        <w:t>Hora 14:8:18s</w:t>
      </w:r>
    </w:p>
    <w:p w:rsidRPr="00A027C9" w:rsidR="000920F0" w:rsidP="000920F0" w:rsidRDefault="000920F0" w14:paraId="3B6E052F" w14:textId="79E86EA6">
      <w:pPr>
        <w:spacing w:line="276" w:lineRule="auto"/>
        <w:jc w:val="right"/>
        <w:rPr>
          <w:rFonts w:ascii="Arial" w:hAnsi="Arial" w:cs="Arial"/>
          <w:b/>
          <w:color w:val="000000" w:themeColor="text1"/>
          <w:sz w:val="22"/>
          <w:lang w:val="es-ES_tradnl"/>
        </w:rPr>
      </w:pPr>
      <w:r w:rsidRPr="00A027C9">
        <w:rPr>
          <w:rFonts w:ascii="Arial" w:hAnsi="Arial" w:cs="Arial"/>
          <w:b/>
          <w:color w:val="000000" w:themeColor="text1"/>
          <w:sz w:val="22"/>
          <w:lang w:val="es-ES_tradnl"/>
        </w:rPr>
        <w:t xml:space="preserve">N° Radicado: </w:t>
      </w:r>
      <w:r w:rsidRPr="000E5774" w:rsidR="000E5774">
        <w:rPr>
          <w:rFonts w:ascii="Arial" w:hAnsi="Arial" w:cs="Arial"/>
          <w:b/>
          <w:color w:val="000000" w:themeColor="text1"/>
          <w:sz w:val="22"/>
          <w:lang w:val="es-ES_tradnl"/>
        </w:rPr>
        <w:t>2202013000002427</w:t>
      </w:r>
    </w:p>
    <w:p w:rsidRPr="00A027C9" w:rsidR="001A7B0C" w:rsidP="000920F0" w:rsidRDefault="001A7B0C" w14:paraId="1C331D89" w14:textId="77777777">
      <w:pPr>
        <w:spacing w:line="276" w:lineRule="auto"/>
        <w:rPr>
          <w:rFonts w:ascii="Arial" w:hAnsi="Arial" w:eastAsia="Calibri" w:cs="Arial"/>
          <w:color w:val="000000" w:themeColor="text1"/>
          <w:sz w:val="22"/>
          <w:lang w:val="es-ES_tradnl"/>
        </w:rPr>
      </w:pPr>
    </w:p>
    <w:p w:rsidRPr="00A027C9" w:rsidR="000920F0" w:rsidP="000920F0" w:rsidRDefault="000920F0" w14:paraId="0223F164" w14:textId="370F894F">
      <w:pPr>
        <w:spacing w:line="276" w:lineRule="auto"/>
        <w:rPr>
          <w:rFonts w:ascii="Arial" w:hAnsi="Arial" w:eastAsia="Calibri" w:cs="Arial"/>
          <w:color w:val="000000" w:themeColor="text1"/>
          <w:sz w:val="22"/>
          <w:lang w:val="es-ES_tradnl"/>
        </w:rPr>
      </w:pPr>
      <w:r w:rsidRPr="00A027C9">
        <w:rPr>
          <w:rFonts w:ascii="Arial" w:hAnsi="Arial" w:eastAsia="Calibri" w:cs="Arial"/>
          <w:color w:val="000000" w:themeColor="text1"/>
          <w:sz w:val="22"/>
          <w:lang w:val="es-ES_tradnl"/>
        </w:rPr>
        <w:t>Señor</w:t>
      </w:r>
      <w:r w:rsidRPr="00A027C9" w:rsidR="00D60C9D">
        <w:rPr>
          <w:rFonts w:ascii="Arial" w:hAnsi="Arial" w:eastAsia="Calibri" w:cs="Arial"/>
          <w:color w:val="000000" w:themeColor="text1"/>
          <w:sz w:val="22"/>
          <w:lang w:val="es-ES_tradnl"/>
        </w:rPr>
        <w:t>a</w:t>
      </w:r>
    </w:p>
    <w:p w:rsidRPr="00A027C9" w:rsidR="000920F0" w:rsidP="000920F0" w:rsidRDefault="00D60C9D" w14:paraId="37F04B31" w14:textId="4218AC60">
      <w:pPr>
        <w:spacing w:line="276" w:lineRule="auto"/>
        <w:rPr>
          <w:rFonts w:ascii="Arial" w:hAnsi="Arial" w:eastAsia="Calibri" w:cs="Arial"/>
          <w:b/>
          <w:color w:val="000000" w:themeColor="text1"/>
          <w:sz w:val="22"/>
          <w:lang w:val="es-ES_tradnl"/>
        </w:rPr>
      </w:pPr>
      <w:r w:rsidRPr="00A027C9">
        <w:rPr>
          <w:rFonts w:ascii="Arial" w:hAnsi="Arial" w:eastAsia="Calibri" w:cs="Arial"/>
          <w:b/>
          <w:color w:val="000000" w:themeColor="text1"/>
          <w:sz w:val="22"/>
          <w:lang w:val="es-ES_tradnl"/>
        </w:rPr>
        <w:t>Luisa Mora</w:t>
      </w:r>
    </w:p>
    <w:p w:rsidRPr="00A027C9" w:rsidR="000920F0" w:rsidP="000920F0" w:rsidRDefault="00D60C9D" w14:paraId="188163AF" w14:textId="74AD4A7D">
      <w:pPr>
        <w:spacing w:line="276" w:lineRule="auto"/>
        <w:rPr>
          <w:rFonts w:ascii="Arial" w:hAnsi="Arial" w:eastAsia="Calibri" w:cs="Arial"/>
          <w:color w:val="000000" w:themeColor="text1"/>
          <w:sz w:val="22"/>
          <w:lang w:val="es-ES_tradnl"/>
        </w:rPr>
      </w:pPr>
      <w:r w:rsidRPr="00A027C9">
        <w:rPr>
          <w:rFonts w:ascii="Arial" w:hAnsi="Arial" w:eastAsia="Calibri" w:cs="Arial"/>
          <w:color w:val="000000" w:themeColor="text1"/>
          <w:sz w:val="22"/>
          <w:lang w:val="es-ES_tradnl"/>
        </w:rPr>
        <w:t>Bogotá</w:t>
      </w:r>
    </w:p>
    <w:p w:rsidRPr="00A027C9" w:rsidR="001A7B0C" w:rsidP="000920F0" w:rsidRDefault="001A7B0C" w14:paraId="27266D97" w14:textId="77777777">
      <w:pPr>
        <w:spacing w:line="276" w:lineRule="auto"/>
        <w:jc w:val="center"/>
        <w:rPr>
          <w:rFonts w:ascii="Arial" w:hAnsi="Arial" w:eastAsia="Calibri" w:cs="Arial"/>
          <w:b/>
          <w:color w:val="000000" w:themeColor="text1"/>
          <w:sz w:val="22"/>
          <w:lang w:val="es-ES_tradnl"/>
        </w:rPr>
      </w:pPr>
    </w:p>
    <w:p w:rsidRPr="00A027C9" w:rsidR="000920F0" w:rsidP="000920F0" w:rsidRDefault="000920F0" w14:paraId="36D9E2A1" w14:textId="125A29E1">
      <w:pPr>
        <w:spacing w:line="276" w:lineRule="auto"/>
        <w:jc w:val="center"/>
        <w:rPr>
          <w:rFonts w:ascii="Arial" w:hAnsi="Arial" w:eastAsia="Calibri" w:cs="Arial"/>
          <w:b/>
          <w:color w:val="000000" w:themeColor="text1"/>
          <w:sz w:val="22"/>
          <w:lang w:val="es-ES_tradnl"/>
        </w:rPr>
      </w:pPr>
      <w:r w:rsidRPr="00A027C9">
        <w:rPr>
          <w:rFonts w:ascii="Arial" w:hAnsi="Arial" w:eastAsia="Calibri" w:cs="Arial"/>
          <w:b/>
          <w:color w:val="000000" w:themeColor="text1"/>
          <w:sz w:val="22"/>
          <w:lang w:val="es-ES_tradnl"/>
        </w:rPr>
        <w:t>Concepto C─</w:t>
      </w:r>
      <w:r w:rsidRPr="00A027C9" w:rsidR="00D60C9D">
        <w:rPr>
          <w:rFonts w:ascii="Arial" w:hAnsi="Arial" w:eastAsia="Calibri" w:cs="Arial"/>
          <w:b/>
          <w:color w:val="000000" w:themeColor="text1"/>
          <w:sz w:val="22"/>
          <w:lang w:val="es-ES_tradnl"/>
        </w:rPr>
        <w:t>265</w:t>
      </w:r>
      <w:r w:rsidRPr="00A027C9">
        <w:rPr>
          <w:rFonts w:ascii="Arial" w:hAnsi="Arial" w:eastAsia="Calibri" w:cs="Arial"/>
          <w:b/>
          <w:color w:val="000000" w:themeColor="text1"/>
          <w:sz w:val="22"/>
          <w:lang w:val="es-ES_tradnl"/>
        </w:rPr>
        <w:t xml:space="preserve"> de 2020</w:t>
      </w:r>
    </w:p>
    <w:p w:rsidRPr="00A027C9" w:rsidR="000920F0" w:rsidP="000920F0" w:rsidRDefault="000920F0" w14:paraId="5FD7FADA" w14:textId="77777777">
      <w:pPr>
        <w:spacing w:line="276" w:lineRule="auto"/>
        <w:rPr>
          <w:rFonts w:ascii="Arial" w:hAnsi="Arial" w:eastAsia="Calibri" w:cs="Arial"/>
          <w:color w:val="000000" w:themeColor="text1"/>
          <w:sz w:val="22"/>
          <w:lang w:val="es-ES_tradnl"/>
        </w:rPr>
      </w:pPr>
    </w:p>
    <w:tbl>
      <w:tblPr>
        <w:tblStyle w:val="TableGrid"/>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A027C9" w:rsidR="00A027C9" w:rsidTr="0057074D" w14:paraId="16CF89C4" w14:textId="77777777">
        <w:tc>
          <w:tcPr>
            <w:tcW w:w="2689" w:type="dxa"/>
            <w:hideMark/>
          </w:tcPr>
          <w:p w:rsidRPr="00A027C9" w:rsidR="000920F0" w:rsidP="0057074D" w:rsidRDefault="000920F0" w14:paraId="7BBF5828" w14:textId="77777777">
            <w:pPr>
              <w:spacing w:line="276" w:lineRule="auto"/>
              <w:rPr>
                <w:rFonts w:ascii="Arial" w:hAnsi="Arial" w:eastAsia="Calibri" w:cs="Arial"/>
                <w:color w:val="000000" w:themeColor="text1"/>
                <w:sz w:val="22"/>
                <w:lang w:val="es-ES_tradnl"/>
              </w:rPr>
            </w:pPr>
            <w:r w:rsidRPr="00A027C9">
              <w:rPr>
                <w:rFonts w:ascii="Arial" w:hAnsi="Arial" w:eastAsia="Calibri" w:cs="Arial"/>
                <w:b/>
                <w:color w:val="000000" w:themeColor="text1"/>
                <w:sz w:val="22"/>
                <w:lang w:val="es-ES_tradnl"/>
              </w:rPr>
              <w:t>Temas:</w:t>
            </w:r>
            <w:r w:rsidRPr="00A027C9">
              <w:rPr>
                <w:rFonts w:ascii="Arial" w:hAnsi="Arial" w:eastAsia="Calibri" w:cs="Arial"/>
                <w:color w:val="000000" w:themeColor="text1"/>
                <w:sz w:val="22"/>
                <w:lang w:val="es-ES_tradnl"/>
              </w:rPr>
              <w:t xml:space="preserve">           </w:t>
            </w:r>
          </w:p>
          <w:p w:rsidRPr="00A027C9" w:rsidR="000920F0" w:rsidP="0057074D" w:rsidRDefault="000920F0" w14:paraId="76A5E400" w14:textId="77777777">
            <w:pPr>
              <w:spacing w:line="276" w:lineRule="auto"/>
              <w:rPr>
                <w:rFonts w:ascii="Arial" w:hAnsi="Arial" w:eastAsia="Calibri" w:cs="Arial"/>
                <w:color w:val="000000" w:themeColor="text1"/>
                <w:sz w:val="22"/>
                <w:lang w:val="es-ES_tradnl"/>
              </w:rPr>
            </w:pPr>
            <w:r w:rsidRPr="00A027C9">
              <w:rPr>
                <w:rFonts w:ascii="Arial" w:hAnsi="Arial" w:eastAsia="Calibri" w:cs="Arial"/>
                <w:color w:val="000000" w:themeColor="text1"/>
                <w:sz w:val="22"/>
                <w:lang w:val="es-ES_tradnl"/>
              </w:rPr>
              <w:t xml:space="preserve">                           </w:t>
            </w:r>
          </w:p>
        </w:tc>
        <w:tc>
          <w:tcPr>
            <w:tcW w:w="6237" w:type="dxa"/>
            <w:hideMark/>
          </w:tcPr>
          <w:p w:rsidRPr="00A027C9" w:rsidR="000920F0" w:rsidP="00771868" w:rsidRDefault="00771868" w14:paraId="5528BC60" w14:textId="23C76C36">
            <w:pPr>
              <w:spacing w:line="276" w:lineRule="auto"/>
              <w:jc w:val="both"/>
              <w:rPr>
                <w:rFonts w:ascii="Arial" w:hAnsi="Arial" w:eastAsia="Calibri" w:cs="Arial"/>
                <w:color w:val="000000" w:themeColor="text1"/>
                <w:sz w:val="22"/>
              </w:rPr>
            </w:pPr>
            <w:r w:rsidRPr="00A027C9">
              <w:rPr>
                <w:rFonts w:ascii="Arial" w:hAnsi="Arial" w:eastAsia="Calibri" w:cs="Arial"/>
                <w:color w:val="000000" w:themeColor="text1"/>
                <w:sz w:val="22"/>
                <w:lang w:val="es-ES_tradnl"/>
              </w:rPr>
              <w:t>SECOP – Publicidad – Entidades de régimen especial – Reiteración de Concepto unificado CU-003 de 2020 / SECOP –Publicidad – Documentos / SECOP – Publicidad – Oportunidad – 3 días / SECOP – Publicidad – Contratos fiduciarios y la «contratación derivada»</w:t>
            </w:r>
          </w:p>
        </w:tc>
      </w:tr>
      <w:tr w:rsidRPr="00A027C9" w:rsidR="00771868" w:rsidTr="000460C0" w14:paraId="5C0B4203" w14:textId="77777777">
        <w:trPr>
          <w:trHeight w:val="303"/>
        </w:trPr>
        <w:tc>
          <w:tcPr>
            <w:tcW w:w="2689" w:type="dxa"/>
          </w:tcPr>
          <w:p w:rsidRPr="00A027C9" w:rsidR="000920F0" w:rsidP="0062279A" w:rsidRDefault="000920F0" w14:paraId="32E4E458" w14:textId="77777777">
            <w:pPr>
              <w:spacing w:before="60" w:after="60" w:line="276" w:lineRule="auto"/>
              <w:rPr>
                <w:rFonts w:ascii="Arial" w:hAnsi="Arial" w:eastAsia="Calibri" w:cs="Arial"/>
                <w:b/>
                <w:color w:val="000000" w:themeColor="text1"/>
                <w:sz w:val="22"/>
                <w:lang w:val="es-ES_tradnl"/>
              </w:rPr>
            </w:pPr>
            <w:r w:rsidRPr="00A027C9">
              <w:rPr>
                <w:rFonts w:ascii="Arial" w:hAnsi="Arial" w:eastAsia="Calibri" w:cs="Arial"/>
                <w:b/>
                <w:color w:val="000000" w:themeColor="text1"/>
                <w:sz w:val="22"/>
                <w:lang w:val="es-ES_tradnl"/>
              </w:rPr>
              <w:t>Radicación:</w:t>
            </w:r>
            <w:r w:rsidRPr="00A027C9">
              <w:rPr>
                <w:rFonts w:ascii="Arial" w:hAnsi="Arial" w:eastAsia="Calibri" w:cs="Arial"/>
                <w:color w:val="000000" w:themeColor="text1"/>
                <w:sz w:val="22"/>
                <w:lang w:val="es-ES_tradnl"/>
              </w:rPr>
              <w:t xml:space="preserve">                              </w:t>
            </w:r>
          </w:p>
        </w:tc>
        <w:tc>
          <w:tcPr>
            <w:tcW w:w="6237" w:type="dxa"/>
          </w:tcPr>
          <w:p w:rsidRPr="00A027C9" w:rsidR="000920F0" w:rsidP="0062279A" w:rsidRDefault="000920F0" w14:paraId="1218CA08" w14:textId="25A3AD4B">
            <w:pPr>
              <w:spacing w:before="60" w:after="60" w:line="276" w:lineRule="auto"/>
              <w:jc w:val="both"/>
              <w:rPr>
                <w:rFonts w:ascii="Arial" w:hAnsi="Arial" w:eastAsia="Calibri" w:cs="Arial"/>
                <w:color w:val="000000" w:themeColor="text1"/>
                <w:sz w:val="22"/>
                <w:lang w:val="es-ES_tradnl"/>
              </w:rPr>
            </w:pPr>
            <w:r w:rsidRPr="00A027C9">
              <w:rPr>
                <w:rFonts w:ascii="Arial" w:hAnsi="Arial" w:eastAsia="Calibri" w:cs="Arial"/>
                <w:color w:val="000000" w:themeColor="text1"/>
                <w:sz w:val="22"/>
                <w:lang w:val="es-ES_tradnl"/>
              </w:rPr>
              <w:t>Respuesta a consulta</w:t>
            </w:r>
            <w:r w:rsidRPr="00A027C9" w:rsidR="00915A80">
              <w:rPr>
                <w:rFonts w:ascii="Arial" w:hAnsi="Arial" w:eastAsia="Calibri" w:cs="Arial"/>
                <w:color w:val="000000" w:themeColor="text1"/>
                <w:sz w:val="22"/>
                <w:lang w:val="es-ES_tradnl"/>
              </w:rPr>
              <w:t>s</w:t>
            </w:r>
            <w:r w:rsidRPr="00A027C9">
              <w:rPr>
                <w:rFonts w:ascii="Arial" w:hAnsi="Arial" w:eastAsia="Calibri" w:cs="Arial"/>
                <w:color w:val="000000" w:themeColor="text1"/>
                <w:sz w:val="22"/>
                <w:lang w:val="es-ES_tradnl"/>
              </w:rPr>
              <w:t xml:space="preserve"> # </w:t>
            </w:r>
            <w:r w:rsidRPr="00A027C9" w:rsidR="00D60C9D">
              <w:rPr>
                <w:rFonts w:ascii="Arial" w:hAnsi="Arial" w:cs="Arial"/>
                <w:color w:val="000000" w:themeColor="text1"/>
                <w:sz w:val="22"/>
                <w:lang w:val="es-ES_tradnl"/>
              </w:rPr>
              <w:t>4202012000002203</w:t>
            </w:r>
            <w:r w:rsidRPr="00A027C9" w:rsidR="00915A80">
              <w:rPr>
                <w:rFonts w:ascii="Arial" w:hAnsi="Arial" w:cs="Arial"/>
                <w:color w:val="000000" w:themeColor="text1"/>
                <w:sz w:val="22"/>
                <w:lang w:val="es-ES_tradnl"/>
              </w:rPr>
              <w:t xml:space="preserve"> y 4202012000002363</w:t>
            </w:r>
          </w:p>
        </w:tc>
      </w:tr>
    </w:tbl>
    <w:p w:rsidRPr="00A027C9" w:rsidR="000920F0" w:rsidP="000920F0" w:rsidRDefault="000920F0" w14:paraId="3CDD931D" w14:textId="77777777">
      <w:pPr>
        <w:spacing w:line="276" w:lineRule="auto"/>
        <w:rPr>
          <w:rFonts w:ascii="Arial" w:hAnsi="Arial" w:eastAsia="Calibri" w:cs="Arial"/>
          <w:color w:val="000000" w:themeColor="text1"/>
          <w:sz w:val="22"/>
          <w:lang w:val="es-ES_tradnl"/>
        </w:rPr>
      </w:pPr>
    </w:p>
    <w:p w:rsidRPr="00A027C9" w:rsidR="000920F0" w:rsidP="000920F0" w:rsidRDefault="000920F0" w14:paraId="1B619448" w14:textId="6006E583">
      <w:pPr>
        <w:spacing w:line="276" w:lineRule="auto"/>
        <w:rPr>
          <w:rFonts w:ascii="Arial" w:hAnsi="Arial" w:eastAsia="Calibri" w:cs="Arial"/>
          <w:color w:val="000000" w:themeColor="text1"/>
          <w:sz w:val="22"/>
          <w:lang w:val="es-ES_tradnl"/>
        </w:rPr>
      </w:pPr>
      <w:r w:rsidRPr="00A027C9">
        <w:rPr>
          <w:rFonts w:ascii="Arial" w:hAnsi="Arial" w:eastAsia="Calibri" w:cs="Arial"/>
          <w:color w:val="000000" w:themeColor="text1"/>
          <w:sz w:val="22"/>
          <w:lang w:val="es-ES_tradnl"/>
        </w:rPr>
        <w:t xml:space="preserve">Estimado </w:t>
      </w:r>
      <w:r w:rsidRPr="00A027C9" w:rsidR="00D60C9D">
        <w:rPr>
          <w:rFonts w:ascii="Arial" w:hAnsi="Arial" w:eastAsia="Calibri" w:cs="Arial"/>
          <w:color w:val="000000" w:themeColor="text1"/>
          <w:sz w:val="22"/>
          <w:lang w:val="es-ES_tradnl"/>
        </w:rPr>
        <w:t>señora Mora</w:t>
      </w:r>
      <w:r w:rsidRPr="00A027C9">
        <w:rPr>
          <w:rFonts w:ascii="Arial" w:hAnsi="Arial" w:eastAsia="Calibri" w:cs="Arial"/>
          <w:color w:val="000000" w:themeColor="text1"/>
          <w:sz w:val="22"/>
          <w:lang w:val="es-ES_tradnl"/>
        </w:rPr>
        <w:t>,</w:t>
      </w:r>
    </w:p>
    <w:p w:rsidRPr="00A027C9" w:rsidR="000920F0" w:rsidP="000920F0" w:rsidRDefault="000920F0" w14:paraId="09825258" w14:textId="77777777">
      <w:pPr>
        <w:spacing w:line="276" w:lineRule="auto"/>
        <w:rPr>
          <w:rFonts w:ascii="Arial" w:hAnsi="Arial" w:eastAsia="Calibri" w:cs="Arial"/>
          <w:color w:val="000000" w:themeColor="text1"/>
          <w:sz w:val="22"/>
          <w:lang w:val="es-ES_tradnl"/>
        </w:rPr>
      </w:pPr>
    </w:p>
    <w:p w:rsidRPr="00A027C9" w:rsidR="000920F0" w:rsidP="000920F0" w:rsidRDefault="00541157" w14:paraId="679DB8AF" w14:textId="55F342B7">
      <w:pPr>
        <w:tabs>
          <w:tab w:val="left" w:pos="426"/>
        </w:tabs>
        <w:spacing w:line="276" w:lineRule="auto"/>
        <w:jc w:val="both"/>
        <w:rPr>
          <w:rFonts w:ascii="Arial" w:hAnsi="Arial" w:eastAsia="Calibri" w:cs="Arial"/>
          <w:color w:val="000000" w:themeColor="text1"/>
          <w:sz w:val="22"/>
          <w:lang w:val="es-ES_tradnl"/>
        </w:rPr>
      </w:pPr>
      <w:r w:rsidRPr="00A027C9">
        <w:rPr>
          <w:rFonts w:ascii="Arial" w:hAnsi="Arial" w:eastAsia="Calibri" w:cs="Arial"/>
          <w:color w:val="000000" w:themeColor="text1"/>
          <w:sz w:val="22"/>
          <w:lang w:val="es-ES_tradnl"/>
        </w:rPr>
        <w:t>En ejercicio de la competencia otorgada por el numeral 8 del artículo 11 y el numeral 5 del artículo 3 del Decreto Ley 4170 de 2011, la</w:t>
      </w:r>
      <w:r w:rsidRPr="00A027C9" w:rsidR="000920F0">
        <w:rPr>
          <w:rFonts w:ascii="Arial" w:hAnsi="Arial" w:eastAsia="Calibri" w:cs="Arial"/>
          <w:color w:val="000000" w:themeColor="text1"/>
          <w:sz w:val="22"/>
          <w:lang w:val="es-ES_tradnl"/>
        </w:rPr>
        <w:t xml:space="preserve"> Agencia Nacional de Contratación Pública </w:t>
      </w:r>
      <w:r w:rsidRPr="00A027C9" w:rsidR="00771676">
        <w:rPr>
          <w:rFonts w:ascii="Arial" w:hAnsi="Arial" w:eastAsia="Calibri" w:cs="Arial"/>
          <w:color w:val="000000" w:themeColor="text1"/>
          <w:sz w:val="22"/>
          <w:lang w:val="es-ES_tradnl"/>
        </w:rPr>
        <w:t>−</w:t>
      </w:r>
      <w:r w:rsidRPr="00A027C9" w:rsidR="000920F0">
        <w:rPr>
          <w:rFonts w:ascii="Arial" w:hAnsi="Arial" w:eastAsia="Calibri" w:cs="Arial"/>
          <w:color w:val="000000" w:themeColor="text1"/>
          <w:sz w:val="22"/>
          <w:lang w:val="es-ES_tradnl"/>
        </w:rPr>
        <w:t xml:space="preserve"> Colombia Compra Eficiente responde su</w:t>
      </w:r>
      <w:r w:rsidRPr="00A027C9" w:rsidR="00561973">
        <w:rPr>
          <w:rFonts w:ascii="Arial" w:hAnsi="Arial" w:eastAsia="Calibri" w:cs="Arial"/>
          <w:color w:val="000000" w:themeColor="text1"/>
          <w:sz w:val="22"/>
          <w:lang w:val="es-ES_tradnl"/>
        </w:rPr>
        <w:t>s</w:t>
      </w:r>
      <w:r w:rsidRPr="00A027C9" w:rsidR="000920F0">
        <w:rPr>
          <w:rFonts w:ascii="Arial" w:hAnsi="Arial" w:eastAsia="Calibri" w:cs="Arial"/>
          <w:color w:val="000000" w:themeColor="text1"/>
          <w:sz w:val="22"/>
          <w:lang w:val="es-ES_tradnl"/>
        </w:rPr>
        <w:t xml:space="preserve"> consulta</w:t>
      </w:r>
      <w:r w:rsidRPr="00A027C9" w:rsidR="00561973">
        <w:rPr>
          <w:rFonts w:ascii="Arial" w:hAnsi="Arial" w:eastAsia="Calibri" w:cs="Arial"/>
          <w:color w:val="000000" w:themeColor="text1"/>
          <w:sz w:val="22"/>
          <w:lang w:val="es-ES_tradnl"/>
        </w:rPr>
        <w:t>s</w:t>
      </w:r>
      <w:r w:rsidRPr="00A027C9" w:rsidR="000920F0">
        <w:rPr>
          <w:rFonts w:ascii="Arial" w:hAnsi="Arial" w:eastAsia="Calibri" w:cs="Arial"/>
          <w:color w:val="000000" w:themeColor="text1"/>
          <w:sz w:val="22"/>
          <w:lang w:val="es-ES_tradnl"/>
        </w:rPr>
        <w:t xml:space="preserve"> del </w:t>
      </w:r>
      <w:r w:rsidRPr="00A027C9" w:rsidR="005003FA">
        <w:rPr>
          <w:rFonts w:ascii="Arial" w:hAnsi="Arial" w:eastAsia="Calibri" w:cs="Arial"/>
          <w:color w:val="000000" w:themeColor="text1"/>
          <w:sz w:val="22"/>
          <w:lang w:val="es-ES_tradnl"/>
        </w:rPr>
        <w:t>26 de marzo</w:t>
      </w:r>
      <w:r w:rsidRPr="00A027C9" w:rsidR="000920F0">
        <w:rPr>
          <w:rFonts w:ascii="Arial" w:hAnsi="Arial" w:eastAsia="Calibri" w:cs="Arial"/>
          <w:color w:val="000000" w:themeColor="text1"/>
          <w:sz w:val="22"/>
          <w:lang w:val="es-ES_tradnl"/>
        </w:rPr>
        <w:t xml:space="preserve"> </w:t>
      </w:r>
      <w:r w:rsidRPr="00A027C9" w:rsidR="00561973">
        <w:rPr>
          <w:rFonts w:ascii="Arial" w:hAnsi="Arial" w:eastAsia="Calibri" w:cs="Arial"/>
          <w:color w:val="000000" w:themeColor="text1"/>
          <w:sz w:val="22"/>
          <w:lang w:val="es-ES_tradnl"/>
        </w:rPr>
        <w:t xml:space="preserve">y el 1 de abril </w:t>
      </w:r>
      <w:r w:rsidRPr="00A027C9" w:rsidR="000920F0">
        <w:rPr>
          <w:rFonts w:ascii="Arial" w:hAnsi="Arial" w:eastAsia="Calibri" w:cs="Arial"/>
          <w:color w:val="000000" w:themeColor="text1"/>
          <w:sz w:val="22"/>
          <w:lang w:val="es-ES_tradnl"/>
        </w:rPr>
        <w:t>de 2020</w:t>
      </w:r>
      <w:r w:rsidRPr="00A027C9" w:rsidR="00207E01">
        <w:rPr>
          <w:rFonts w:ascii="Arial" w:hAnsi="Arial" w:eastAsia="Calibri" w:cs="Arial"/>
          <w:color w:val="000000" w:themeColor="text1"/>
          <w:sz w:val="22"/>
          <w:lang w:val="es-ES_tradnl"/>
        </w:rPr>
        <w:t>.</w:t>
      </w:r>
      <w:r w:rsidRPr="00A027C9" w:rsidR="000920F0">
        <w:rPr>
          <w:rFonts w:ascii="Arial" w:hAnsi="Arial" w:eastAsia="Calibri" w:cs="Arial"/>
          <w:color w:val="000000" w:themeColor="text1"/>
          <w:sz w:val="22"/>
          <w:lang w:val="es-ES_tradnl"/>
        </w:rPr>
        <w:t xml:space="preserve"> </w:t>
      </w:r>
    </w:p>
    <w:p w:rsidRPr="00A027C9" w:rsidR="000920F0" w:rsidP="000920F0" w:rsidRDefault="000920F0" w14:paraId="28C2ECB0" w14:textId="77777777">
      <w:pPr>
        <w:tabs>
          <w:tab w:val="left" w:pos="426"/>
        </w:tabs>
        <w:spacing w:line="276" w:lineRule="auto"/>
        <w:jc w:val="both"/>
        <w:rPr>
          <w:rFonts w:ascii="Arial" w:hAnsi="Arial" w:eastAsia="Calibri" w:cs="Arial"/>
          <w:color w:val="000000" w:themeColor="text1"/>
          <w:sz w:val="22"/>
          <w:lang w:val="es-ES_tradnl"/>
        </w:rPr>
      </w:pPr>
    </w:p>
    <w:p w:rsidRPr="00A027C9" w:rsidR="000920F0" w:rsidP="000920F0" w:rsidRDefault="000920F0" w14:paraId="58FEF0FB" w14:textId="77777777">
      <w:pPr>
        <w:pStyle w:val="ListParagraph"/>
        <w:numPr>
          <w:ilvl w:val="0"/>
          <w:numId w:val="6"/>
        </w:numPr>
        <w:tabs>
          <w:tab w:val="left" w:pos="284"/>
        </w:tabs>
        <w:spacing w:line="276" w:lineRule="auto"/>
        <w:ind w:left="0" w:firstLine="0"/>
        <w:jc w:val="both"/>
        <w:rPr>
          <w:rFonts w:ascii="Arial" w:hAnsi="Arial" w:eastAsia="Calibri" w:cs="Arial"/>
          <w:b/>
          <w:color w:val="000000" w:themeColor="text1"/>
          <w:sz w:val="22"/>
          <w:lang w:val="es-ES_tradnl"/>
        </w:rPr>
      </w:pPr>
      <w:r w:rsidRPr="00A027C9">
        <w:rPr>
          <w:rFonts w:ascii="Arial" w:hAnsi="Arial" w:eastAsia="Calibri" w:cs="Arial"/>
          <w:b/>
          <w:color w:val="000000" w:themeColor="text1"/>
          <w:sz w:val="22"/>
          <w:lang w:val="es-ES_tradnl"/>
        </w:rPr>
        <w:t xml:space="preserve">Problemas planteados </w:t>
      </w:r>
    </w:p>
    <w:p w:rsidRPr="00A027C9" w:rsidR="000920F0" w:rsidP="000920F0" w:rsidRDefault="000920F0" w14:paraId="476FAD3E" w14:textId="77777777">
      <w:pPr>
        <w:tabs>
          <w:tab w:val="left" w:pos="426"/>
        </w:tabs>
        <w:spacing w:line="276" w:lineRule="auto"/>
        <w:jc w:val="both"/>
        <w:rPr>
          <w:rFonts w:ascii="Arial" w:hAnsi="Arial" w:eastAsia="Calibri" w:cs="Arial"/>
          <w:b/>
          <w:color w:val="000000" w:themeColor="text1"/>
          <w:sz w:val="22"/>
          <w:lang w:val="es-ES_tradnl"/>
        </w:rPr>
      </w:pPr>
    </w:p>
    <w:p w:rsidRPr="00A027C9" w:rsidR="00EE4811" w:rsidP="00EE4811" w:rsidRDefault="000920F0" w14:paraId="5A01E3F9" w14:textId="64C87815">
      <w:pPr>
        <w:tabs>
          <w:tab w:val="left" w:pos="426"/>
        </w:tabs>
        <w:spacing w:line="276" w:lineRule="auto"/>
        <w:jc w:val="both"/>
        <w:rPr>
          <w:rFonts w:ascii="Arial" w:hAnsi="Arial" w:eastAsia="Calibri" w:cs="Arial"/>
          <w:color w:val="000000" w:themeColor="text1"/>
          <w:sz w:val="22"/>
          <w:lang w:val="es-ES_tradnl"/>
        </w:rPr>
      </w:pPr>
      <w:r w:rsidRPr="00A027C9">
        <w:rPr>
          <w:rFonts w:ascii="Arial" w:hAnsi="Arial" w:eastAsia="Calibri" w:cs="Arial"/>
          <w:color w:val="000000" w:themeColor="text1"/>
          <w:sz w:val="22"/>
          <w:lang w:val="es-ES_tradnl"/>
        </w:rPr>
        <w:t xml:space="preserve">Usted </w:t>
      </w:r>
      <w:r w:rsidRPr="00A027C9" w:rsidR="00FB710A">
        <w:rPr>
          <w:rFonts w:ascii="Arial" w:hAnsi="Arial" w:eastAsia="Calibri" w:cs="Arial"/>
          <w:color w:val="000000" w:themeColor="text1"/>
          <w:sz w:val="22"/>
          <w:lang w:val="es-ES_tradnl"/>
        </w:rPr>
        <w:t>informa que el Fondo de Energías no Convencionales y Gestión Eficiente de la Energía «FENOFE» está «reglamentado por el Ministerio de Minas y Energía»,</w:t>
      </w:r>
      <w:r w:rsidRPr="00A027C9" w:rsidR="005E7CD7">
        <w:rPr>
          <w:rFonts w:ascii="Arial" w:hAnsi="Arial" w:eastAsia="Calibri" w:cs="Arial"/>
          <w:color w:val="000000" w:themeColor="text1"/>
          <w:sz w:val="22"/>
          <w:lang w:val="es-ES_tradnl"/>
        </w:rPr>
        <w:t xml:space="preserve"> que los recursos de dicho fondo son administrados por la fiduciaria La Previsora S.A. y</w:t>
      </w:r>
      <w:r w:rsidRPr="00A027C9" w:rsidR="0062279A">
        <w:rPr>
          <w:rFonts w:ascii="Arial" w:hAnsi="Arial" w:eastAsia="Calibri" w:cs="Arial"/>
          <w:color w:val="000000" w:themeColor="text1"/>
          <w:sz w:val="22"/>
          <w:lang w:val="es-ES_tradnl"/>
        </w:rPr>
        <w:t xml:space="preserve"> agrega</w:t>
      </w:r>
      <w:r w:rsidRPr="00A027C9" w:rsidR="005E7CD7">
        <w:rPr>
          <w:rFonts w:ascii="Arial" w:hAnsi="Arial" w:eastAsia="Calibri" w:cs="Arial"/>
          <w:color w:val="000000" w:themeColor="text1"/>
          <w:sz w:val="22"/>
          <w:lang w:val="es-ES_tradnl"/>
        </w:rPr>
        <w:t xml:space="preserve"> que esta última actúa como «vocera y administradora del patrimonio autónomo»</w:t>
      </w:r>
      <w:r w:rsidRPr="00A027C9" w:rsidR="00FB710A">
        <w:rPr>
          <w:rFonts w:ascii="Arial" w:hAnsi="Arial" w:eastAsia="Calibri" w:cs="Arial"/>
          <w:color w:val="000000" w:themeColor="text1"/>
          <w:sz w:val="22"/>
          <w:lang w:val="es-ES_tradnl"/>
        </w:rPr>
        <w:t>. Con fundamento en lo anterior, pregunta</w:t>
      </w:r>
      <w:r w:rsidRPr="00A027C9">
        <w:rPr>
          <w:rFonts w:ascii="Arial" w:hAnsi="Arial" w:eastAsia="Calibri" w:cs="Arial"/>
          <w:color w:val="000000" w:themeColor="text1"/>
          <w:sz w:val="22"/>
          <w:lang w:val="es-ES_tradnl"/>
        </w:rPr>
        <w:t xml:space="preserve">: </w:t>
      </w:r>
      <w:r w:rsidRPr="00A027C9" w:rsidR="00EE4811">
        <w:rPr>
          <w:rFonts w:ascii="Arial" w:hAnsi="Arial" w:eastAsia="Calibri" w:cs="Arial"/>
          <w:color w:val="000000" w:themeColor="text1"/>
          <w:sz w:val="22"/>
          <w:lang w:val="es-ES_tradnl"/>
        </w:rPr>
        <w:t>i) «¿</w:t>
      </w:r>
      <w:r w:rsidRPr="00A027C9" w:rsidR="004C14EB">
        <w:rPr>
          <w:rFonts w:ascii="Arial" w:hAnsi="Arial" w:eastAsia="Calibri" w:cs="Arial"/>
          <w:color w:val="000000" w:themeColor="text1"/>
          <w:sz w:val="22"/>
          <w:lang w:val="es-ES_tradnl"/>
        </w:rPr>
        <w:t xml:space="preserve">[…] cómo debe ser la forma correcta de dar publicidad a los procesos de contratación respecto a la creación del proceso y del contrato y la gestión contractual de los mismos, teniendo en cuenta que la selección le corresponde al </w:t>
      </w:r>
      <w:r w:rsidRPr="00A027C9" w:rsidR="00AC3EA8">
        <w:rPr>
          <w:rFonts w:ascii="Arial" w:hAnsi="Arial" w:eastAsia="Calibri" w:cs="Arial"/>
          <w:color w:val="000000" w:themeColor="text1"/>
          <w:sz w:val="22"/>
          <w:lang w:val="es-ES_tradnl"/>
        </w:rPr>
        <w:t>FENOFE</w:t>
      </w:r>
      <w:r w:rsidRPr="00A027C9" w:rsidR="004C14EB">
        <w:rPr>
          <w:rFonts w:ascii="Arial" w:hAnsi="Arial" w:eastAsia="Calibri" w:cs="Arial"/>
          <w:color w:val="000000" w:themeColor="text1"/>
          <w:sz w:val="22"/>
          <w:lang w:val="es-ES_tradnl"/>
        </w:rPr>
        <w:t>, pero es la fiduciaria quien adelanta los trámites precontractuales y contractuales […]</w:t>
      </w:r>
      <w:r w:rsidRPr="00A027C9" w:rsidR="00EE4811">
        <w:rPr>
          <w:rFonts w:ascii="Arial" w:hAnsi="Arial" w:eastAsia="Calibri" w:cs="Arial"/>
          <w:color w:val="000000" w:themeColor="text1"/>
          <w:sz w:val="22"/>
          <w:lang w:val="es-ES_tradnl"/>
        </w:rPr>
        <w:t>?»; ii) «¿</w:t>
      </w:r>
      <w:r w:rsidRPr="00A027C9" w:rsidR="004C14EB">
        <w:rPr>
          <w:rFonts w:ascii="Arial" w:hAnsi="Arial" w:eastAsia="Calibri" w:cs="Arial"/>
          <w:color w:val="000000" w:themeColor="text1"/>
          <w:sz w:val="22"/>
          <w:lang w:val="es-ES_tradnl"/>
        </w:rPr>
        <w:t>[…] cómo podemos publicar dentro de los tres (3) días siguientes a la expedición de los documentos, si por el manejo normal de nuestro régimen de contratación especial no es posible que todo esté en estos términos […]</w:t>
      </w:r>
      <w:r w:rsidRPr="00A027C9" w:rsidR="00EE4811">
        <w:rPr>
          <w:rFonts w:ascii="Arial" w:hAnsi="Arial" w:eastAsia="Calibri" w:cs="Arial"/>
          <w:color w:val="000000" w:themeColor="text1"/>
          <w:sz w:val="22"/>
          <w:lang w:val="es-ES_tradnl"/>
        </w:rPr>
        <w:t>?»;</w:t>
      </w:r>
      <w:r w:rsidRPr="00A027C9" w:rsidR="004C14EB">
        <w:rPr>
          <w:rFonts w:ascii="Arial" w:hAnsi="Arial" w:eastAsia="Calibri" w:cs="Arial"/>
          <w:color w:val="000000" w:themeColor="text1"/>
          <w:sz w:val="22"/>
          <w:lang w:val="es-ES_tradnl"/>
        </w:rPr>
        <w:t xml:space="preserve"> </w:t>
      </w:r>
      <w:r w:rsidRPr="00A027C9" w:rsidR="003F52AD">
        <w:rPr>
          <w:rFonts w:ascii="Arial" w:hAnsi="Arial" w:eastAsia="Calibri" w:cs="Arial"/>
          <w:color w:val="000000" w:themeColor="text1"/>
          <w:sz w:val="22"/>
          <w:lang w:val="es-ES_tradnl"/>
        </w:rPr>
        <w:t>iii) ¿cuál es «la forma de llevar los procesos en nuestras otras dos modalidades (invitación abierta y cerrada) en donde la presentación de ofertas se hace de manera presencial en nuestras instalaciones, por lo que no es posible hacer una apertura de ofertas, publicación de la lista de oferentes y ofertas, posterior a eso subir los informes de evaluación y selección y todo el proceso que se hace normalmente por la plataforma secop ii?»</w:t>
      </w:r>
      <w:r w:rsidRPr="00A027C9" w:rsidR="007F25A8">
        <w:rPr>
          <w:rStyle w:val="FootnoteReference"/>
          <w:rFonts w:ascii="Arial" w:hAnsi="Arial" w:eastAsia="Calibri" w:cs="Arial"/>
          <w:color w:val="000000" w:themeColor="text1"/>
          <w:sz w:val="22"/>
          <w:lang w:val="es-ES_tradnl"/>
        </w:rPr>
        <w:footnoteReference w:id="2"/>
      </w:r>
      <w:r w:rsidRPr="00A027C9" w:rsidR="003F52AD">
        <w:rPr>
          <w:rFonts w:ascii="Arial" w:hAnsi="Arial" w:eastAsia="Calibri" w:cs="Arial"/>
          <w:color w:val="000000" w:themeColor="text1"/>
          <w:sz w:val="22"/>
          <w:lang w:val="es-ES_tradnl"/>
        </w:rPr>
        <w:t xml:space="preserve">; </w:t>
      </w:r>
      <w:r w:rsidRPr="00A027C9" w:rsidR="004C14EB">
        <w:rPr>
          <w:rFonts w:ascii="Arial" w:hAnsi="Arial" w:eastAsia="Calibri" w:cs="Arial"/>
          <w:color w:val="000000" w:themeColor="text1"/>
          <w:sz w:val="22"/>
          <w:lang w:val="es-ES_tradnl"/>
        </w:rPr>
        <w:t>y</w:t>
      </w:r>
      <w:r w:rsidRPr="00A027C9" w:rsidR="00602DAA">
        <w:rPr>
          <w:rFonts w:ascii="Arial" w:hAnsi="Arial" w:eastAsia="Calibri" w:cs="Arial"/>
          <w:color w:val="000000" w:themeColor="text1"/>
          <w:sz w:val="22"/>
          <w:lang w:val="es-ES_tradnl"/>
        </w:rPr>
        <w:t xml:space="preserve"> </w:t>
      </w:r>
      <w:r w:rsidRPr="00A027C9" w:rsidR="00EE4811">
        <w:rPr>
          <w:rFonts w:ascii="Arial" w:hAnsi="Arial" w:eastAsia="Calibri" w:cs="Arial"/>
          <w:color w:val="000000" w:themeColor="text1"/>
          <w:sz w:val="22"/>
          <w:lang w:val="es-ES_tradnl"/>
        </w:rPr>
        <w:t>i</w:t>
      </w:r>
      <w:r w:rsidRPr="00A027C9" w:rsidR="00602DAA">
        <w:rPr>
          <w:rFonts w:ascii="Arial" w:hAnsi="Arial" w:eastAsia="Calibri" w:cs="Arial"/>
          <w:color w:val="000000" w:themeColor="text1"/>
          <w:sz w:val="22"/>
          <w:lang w:val="es-ES_tradnl"/>
        </w:rPr>
        <w:t>v</w:t>
      </w:r>
      <w:r w:rsidRPr="00A027C9" w:rsidR="00EE4811">
        <w:rPr>
          <w:rFonts w:ascii="Arial" w:hAnsi="Arial" w:eastAsia="Calibri" w:cs="Arial"/>
          <w:color w:val="000000" w:themeColor="text1"/>
          <w:sz w:val="22"/>
          <w:lang w:val="es-ES_tradnl"/>
        </w:rPr>
        <w:t>)</w:t>
      </w:r>
      <w:r w:rsidRPr="00A027C9" w:rsidR="004C14EB">
        <w:rPr>
          <w:rFonts w:ascii="Arial" w:hAnsi="Arial" w:eastAsia="Calibri" w:cs="Arial"/>
          <w:color w:val="000000" w:themeColor="text1"/>
          <w:sz w:val="22"/>
          <w:lang w:val="es-ES_tradnl"/>
        </w:rPr>
        <w:t xml:space="preserve"> el SECOP II, particularmente la herramienta para publicar procesos de régimen especial «de forma no transaccional»</w:t>
      </w:r>
      <w:r w:rsidRPr="00A027C9" w:rsidR="00EE4811">
        <w:rPr>
          <w:rFonts w:ascii="Arial" w:hAnsi="Arial" w:eastAsia="Calibri" w:cs="Arial"/>
          <w:color w:val="000000" w:themeColor="text1"/>
          <w:sz w:val="22"/>
          <w:lang w:val="es-ES_tradnl"/>
        </w:rPr>
        <w:t xml:space="preserve"> «¿</w:t>
      </w:r>
      <w:r w:rsidRPr="00A027C9" w:rsidR="004C14EB">
        <w:rPr>
          <w:rFonts w:ascii="Arial" w:hAnsi="Arial" w:eastAsia="Calibri" w:cs="Arial"/>
          <w:color w:val="000000" w:themeColor="text1"/>
          <w:sz w:val="22"/>
          <w:lang w:val="es-ES_tradnl"/>
        </w:rPr>
        <w:t>en este momento se encuentra habilitad[a] y si nuestro fondo puede hacer uso de ella?</w:t>
      </w:r>
      <w:r w:rsidRPr="00A027C9" w:rsidR="00EE4811">
        <w:rPr>
          <w:rFonts w:ascii="Arial" w:hAnsi="Arial" w:eastAsia="Calibri" w:cs="Arial"/>
          <w:color w:val="000000" w:themeColor="text1"/>
          <w:sz w:val="22"/>
          <w:lang w:val="es-ES_tradnl"/>
        </w:rPr>
        <w:t>».</w:t>
      </w:r>
    </w:p>
    <w:p w:rsidRPr="00A027C9" w:rsidR="00EE4811" w:rsidP="00EE4811" w:rsidRDefault="00EE4811" w14:paraId="5B2CB774" w14:textId="77777777">
      <w:pPr>
        <w:tabs>
          <w:tab w:val="left" w:pos="426"/>
        </w:tabs>
        <w:spacing w:line="276" w:lineRule="auto"/>
        <w:jc w:val="both"/>
        <w:rPr>
          <w:rFonts w:ascii="Arial" w:hAnsi="Arial" w:eastAsia="Calibri" w:cs="Arial"/>
          <w:color w:val="000000" w:themeColor="text1"/>
          <w:sz w:val="22"/>
          <w:lang w:val="es-ES_tradnl"/>
        </w:rPr>
      </w:pPr>
    </w:p>
    <w:p w:rsidRPr="00A027C9" w:rsidR="000920F0" w:rsidP="000920F0" w:rsidRDefault="000920F0" w14:paraId="79882F8B" w14:textId="77777777">
      <w:pPr>
        <w:tabs>
          <w:tab w:val="left" w:pos="426"/>
        </w:tabs>
        <w:spacing w:line="276" w:lineRule="auto"/>
        <w:jc w:val="both"/>
        <w:rPr>
          <w:rFonts w:ascii="Arial" w:hAnsi="Arial" w:eastAsia="Calibri" w:cs="Arial"/>
          <w:b/>
          <w:color w:val="000000" w:themeColor="text1"/>
          <w:sz w:val="22"/>
          <w:lang w:val="es-ES_tradnl"/>
        </w:rPr>
      </w:pPr>
      <w:r w:rsidRPr="00A027C9">
        <w:rPr>
          <w:rFonts w:ascii="Arial" w:hAnsi="Arial" w:eastAsia="Calibri" w:cs="Arial"/>
          <w:b/>
          <w:color w:val="000000" w:themeColor="text1"/>
          <w:sz w:val="22"/>
          <w:lang w:val="es-ES_tradnl"/>
        </w:rPr>
        <w:t>2. Consideraciones</w:t>
      </w:r>
    </w:p>
    <w:bookmarkEnd w:id="0"/>
    <w:bookmarkEnd w:id="1"/>
    <w:p w:rsidRPr="00A027C9" w:rsidR="000920F0" w:rsidP="000920F0" w:rsidRDefault="000920F0" w14:paraId="7894E838" w14:textId="77777777">
      <w:pPr>
        <w:spacing w:line="276" w:lineRule="auto"/>
        <w:jc w:val="both"/>
        <w:rPr>
          <w:rFonts w:ascii="Arial" w:hAnsi="Arial" w:cs="Arial"/>
          <w:color w:val="000000" w:themeColor="text1"/>
          <w:sz w:val="22"/>
          <w:lang w:val="es-ES_tradnl"/>
        </w:rPr>
      </w:pPr>
    </w:p>
    <w:p w:rsidRPr="00A027C9" w:rsidR="00005156" w:rsidP="007A7968" w:rsidRDefault="00005156" w14:paraId="00E2DC3C" w14:textId="699FAF12">
      <w:pPr>
        <w:spacing w:before="120" w:line="276" w:lineRule="auto"/>
        <w:jc w:val="both"/>
        <w:rPr>
          <w:rFonts w:ascii="Arial" w:hAnsi="Arial" w:eastAsia="Calibri" w:cs="Arial"/>
          <w:color w:val="000000" w:themeColor="text1"/>
          <w:sz w:val="22"/>
        </w:rPr>
      </w:pPr>
      <w:r w:rsidRPr="00A027C9">
        <w:rPr>
          <w:rFonts w:ascii="Arial" w:hAnsi="Arial" w:eastAsia="Calibri" w:cs="Arial"/>
          <w:bCs/>
          <w:color w:val="000000" w:themeColor="text1"/>
          <w:sz w:val="22"/>
        </w:rPr>
        <w:t xml:space="preserve">La Agencia Nacional de Contratación Pública </w:t>
      </w:r>
      <w:r w:rsidRPr="00A027C9" w:rsidR="006808DB">
        <w:rPr>
          <w:rFonts w:ascii="Arial" w:hAnsi="Arial" w:eastAsia="Calibri" w:cs="Arial"/>
          <w:bCs/>
          <w:color w:val="000000" w:themeColor="text1"/>
          <w:sz w:val="22"/>
        </w:rPr>
        <w:t>se pronunció en relación con</w:t>
      </w:r>
      <w:r w:rsidRPr="00A027C9">
        <w:rPr>
          <w:rFonts w:ascii="Arial" w:hAnsi="Arial" w:eastAsia="Calibri" w:cs="Arial"/>
          <w:bCs/>
          <w:color w:val="000000" w:themeColor="text1"/>
          <w:sz w:val="22"/>
        </w:rPr>
        <w:t xml:space="preserve"> </w:t>
      </w:r>
      <w:r w:rsidRPr="00A027C9" w:rsidR="003462C7">
        <w:rPr>
          <w:rFonts w:ascii="Arial" w:hAnsi="Arial" w:eastAsia="Calibri" w:cs="Arial"/>
          <w:color w:val="000000" w:themeColor="text1"/>
          <w:sz w:val="22"/>
        </w:rPr>
        <w:t xml:space="preserve">el SECOP, como plataforma que las entidades deben utilizar para publicar la actividad contractual, </w:t>
      </w:r>
      <w:r w:rsidRPr="00A027C9">
        <w:rPr>
          <w:rFonts w:ascii="Arial" w:hAnsi="Arial" w:eastAsia="Calibri" w:cs="Arial"/>
          <w:bCs/>
          <w:color w:val="000000" w:themeColor="text1"/>
          <w:sz w:val="22"/>
        </w:rPr>
        <w:t xml:space="preserve">en la consulta </w:t>
      </w:r>
      <w:r w:rsidRPr="00A027C9" w:rsidR="00F62DD5">
        <w:rPr>
          <w:rFonts w:ascii="Arial" w:hAnsi="Arial" w:eastAsia="Calibri" w:cs="Arial"/>
          <w:bCs/>
          <w:color w:val="000000" w:themeColor="text1"/>
          <w:sz w:val="22"/>
        </w:rPr>
        <w:t>del 9 de agosto de 2019 y reiteró la posición en las siguientes consultas: del 25 de septiembre</w:t>
      </w:r>
      <w:r w:rsidRPr="00A027C9" w:rsidR="00700B53">
        <w:rPr>
          <w:rFonts w:ascii="Arial" w:hAnsi="Arial" w:eastAsia="Calibri" w:cs="Arial"/>
          <w:bCs/>
          <w:color w:val="000000" w:themeColor="text1"/>
          <w:sz w:val="22"/>
        </w:rPr>
        <w:t xml:space="preserve"> de 2019, del </w:t>
      </w:r>
      <w:r w:rsidRPr="00A027C9" w:rsidR="00F62DD5">
        <w:rPr>
          <w:rFonts w:ascii="Arial" w:hAnsi="Arial" w:eastAsia="Calibri" w:cs="Arial"/>
          <w:bCs/>
          <w:color w:val="000000" w:themeColor="text1"/>
          <w:sz w:val="22"/>
        </w:rPr>
        <w:t>4 de octubre</w:t>
      </w:r>
      <w:r w:rsidRPr="00A027C9" w:rsidR="00700B53">
        <w:rPr>
          <w:rFonts w:ascii="Arial" w:hAnsi="Arial" w:eastAsia="Calibri" w:cs="Arial"/>
          <w:bCs/>
          <w:color w:val="000000" w:themeColor="text1"/>
          <w:sz w:val="22"/>
        </w:rPr>
        <w:t xml:space="preserve"> de 2019</w:t>
      </w:r>
      <w:r w:rsidRPr="00A027C9" w:rsidR="00F62DD5">
        <w:rPr>
          <w:rFonts w:ascii="Arial" w:hAnsi="Arial" w:eastAsia="Calibri" w:cs="Arial"/>
          <w:bCs/>
          <w:color w:val="000000" w:themeColor="text1"/>
          <w:sz w:val="22"/>
        </w:rPr>
        <w:t xml:space="preserve"> y </w:t>
      </w:r>
      <w:r w:rsidRPr="00A027C9" w:rsidR="00700B53">
        <w:rPr>
          <w:rFonts w:ascii="Arial" w:hAnsi="Arial" w:eastAsia="Calibri" w:cs="Arial"/>
          <w:bCs/>
          <w:color w:val="000000" w:themeColor="text1"/>
          <w:sz w:val="22"/>
        </w:rPr>
        <w:t xml:space="preserve">del </w:t>
      </w:r>
      <w:r w:rsidRPr="00A027C9" w:rsidR="00F62DD5">
        <w:rPr>
          <w:rFonts w:ascii="Arial" w:hAnsi="Arial" w:eastAsia="Calibri" w:cs="Arial"/>
          <w:bCs/>
          <w:color w:val="000000" w:themeColor="text1"/>
          <w:sz w:val="22"/>
        </w:rPr>
        <w:t xml:space="preserve">18 y 13 de noviembre de 2019 −radicados Nos. </w:t>
      </w:r>
      <w:r w:rsidRPr="00A027C9">
        <w:rPr>
          <w:rFonts w:ascii="Arial" w:hAnsi="Arial" w:eastAsia="Calibri" w:cs="Arial"/>
          <w:bCs/>
          <w:color w:val="000000" w:themeColor="text1"/>
          <w:sz w:val="22"/>
        </w:rPr>
        <w:t>4201913000005397</w:t>
      </w:r>
      <w:r w:rsidRPr="00A027C9" w:rsidR="00F62DD5">
        <w:rPr>
          <w:rFonts w:ascii="Arial" w:hAnsi="Arial" w:eastAsia="Calibri" w:cs="Arial"/>
          <w:bCs/>
          <w:color w:val="000000" w:themeColor="text1"/>
          <w:sz w:val="22"/>
        </w:rPr>
        <w:t>,</w:t>
      </w:r>
      <w:r w:rsidRPr="00A027C9">
        <w:rPr>
          <w:rFonts w:ascii="Arial" w:hAnsi="Arial" w:eastAsia="Calibri" w:cs="Arial"/>
          <w:bCs/>
          <w:color w:val="000000" w:themeColor="text1"/>
          <w:sz w:val="22"/>
        </w:rPr>
        <w:t xml:space="preserve"> 4201912000006611</w:t>
      </w:r>
      <w:r w:rsidRPr="00A027C9" w:rsidR="00F62DD5">
        <w:rPr>
          <w:rFonts w:ascii="Arial" w:hAnsi="Arial" w:eastAsia="Calibri" w:cs="Arial"/>
          <w:bCs/>
          <w:color w:val="000000" w:themeColor="text1"/>
          <w:sz w:val="22"/>
        </w:rPr>
        <w:t>,</w:t>
      </w:r>
      <w:r w:rsidRPr="00A027C9">
        <w:rPr>
          <w:rFonts w:ascii="Arial" w:hAnsi="Arial" w:eastAsia="Calibri" w:cs="Arial"/>
          <w:bCs/>
          <w:color w:val="000000" w:themeColor="text1"/>
          <w:sz w:val="22"/>
        </w:rPr>
        <w:t xml:space="preserve"> 4201913000006847, 4201912000007762 y 4201912000007828</w:t>
      </w:r>
      <w:r w:rsidRPr="00A027C9" w:rsidR="00F62DD5">
        <w:rPr>
          <w:rFonts w:ascii="Arial" w:hAnsi="Arial" w:eastAsia="Calibri" w:cs="Arial"/>
          <w:bCs/>
          <w:color w:val="000000" w:themeColor="text1"/>
          <w:sz w:val="22"/>
        </w:rPr>
        <w:t>−</w:t>
      </w:r>
      <w:r w:rsidRPr="00A027C9">
        <w:rPr>
          <w:rFonts w:ascii="Arial" w:hAnsi="Arial" w:eastAsia="Calibri" w:cs="Arial"/>
          <w:bCs/>
          <w:color w:val="000000" w:themeColor="text1"/>
          <w:sz w:val="22"/>
        </w:rPr>
        <w:t xml:space="preserve">. Finalmente, en </w:t>
      </w:r>
      <w:r w:rsidRPr="00A027C9" w:rsidR="00700B53">
        <w:rPr>
          <w:rFonts w:ascii="Arial" w:hAnsi="Arial" w:eastAsia="Calibri" w:cs="Arial"/>
          <w:bCs/>
          <w:color w:val="000000" w:themeColor="text1"/>
          <w:sz w:val="22"/>
        </w:rPr>
        <w:t xml:space="preserve">el </w:t>
      </w:r>
      <w:r w:rsidRPr="00A027C9">
        <w:rPr>
          <w:rFonts w:ascii="Arial" w:hAnsi="Arial" w:eastAsia="Calibri" w:cs="Arial"/>
          <w:bCs/>
          <w:color w:val="000000" w:themeColor="text1"/>
          <w:sz w:val="22"/>
        </w:rPr>
        <w:t xml:space="preserve">Concepto </w:t>
      </w:r>
      <w:r w:rsidRPr="00A027C9" w:rsidR="00700B53">
        <w:rPr>
          <w:rFonts w:ascii="Arial" w:hAnsi="Arial" w:eastAsia="Calibri" w:cs="Arial"/>
          <w:bCs/>
          <w:color w:val="000000" w:themeColor="text1"/>
          <w:sz w:val="22"/>
        </w:rPr>
        <w:t>U</w:t>
      </w:r>
      <w:r w:rsidRPr="00A027C9">
        <w:rPr>
          <w:rFonts w:ascii="Arial" w:hAnsi="Arial" w:eastAsia="Calibri" w:cs="Arial"/>
          <w:bCs/>
          <w:color w:val="000000" w:themeColor="text1"/>
          <w:sz w:val="22"/>
        </w:rPr>
        <w:t>nificado</w:t>
      </w:r>
      <w:r w:rsidRPr="00A027C9" w:rsidR="00700B53">
        <w:rPr>
          <w:rFonts w:ascii="Arial" w:hAnsi="Arial" w:eastAsia="Calibri" w:cs="Arial"/>
          <w:bCs/>
          <w:color w:val="000000" w:themeColor="text1"/>
          <w:sz w:val="22"/>
        </w:rPr>
        <w:t xml:space="preserve"> No.</w:t>
      </w:r>
      <w:r w:rsidRPr="00A027C9">
        <w:rPr>
          <w:rFonts w:ascii="Arial" w:hAnsi="Arial" w:eastAsia="Calibri" w:cs="Arial"/>
          <w:bCs/>
          <w:color w:val="000000" w:themeColor="text1"/>
          <w:sz w:val="22"/>
        </w:rPr>
        <w:t xml:space="preserve"> C-003 de 2020</w:t>
      </w:r>
      <w:r w:rsidRPr="00A027C9" w:rsidR="0030098E">
        <w:rPr>
          <w:rFonts w:ascii="Arial" w:hAnsi="Arial" w:eastAsia="Calibri" w:cs="Arial"/>
          <w:bCs/>
          <w:color w:val="000000" w:themeColor="text1"/>
          <w:sz w:val="22"/>
        </w:rPr>
        <w:t>, cuya tesis se reiteró en los conceptos C-046, C-061, C-079, C-088, C-095, C-116, C-147 y C-149 de 2020,</w:t>
      </w:r>
      <w:r w:rsidRPr="00A027C9">
        <w:rPr>
          <w:rFonts w:ascii="Arial" w:hAnsi="Arial" w:eastAsia="Calibri" w:cs="Arial"/>
          <w:bCs/>
          <w:color w:val="000000" w:themeColor="text1"/>
          <w:sz w:val="22"/>
        </w:rPr>
        <w:t xml:space="preserve"> sostuvo la</w:t>
      </w:r>
      <w:r w:rsidRPr="00A027C9" w:rsidR="00F62DD5">
        <w:rPr>
          <w:rFonts w:ascii="Arial" w:hAnsi="Arial" w:eastAsia="Calibri" w:cs="Arial"/>
          <w:bCs/>
          <w:color w:val="000000" w:themeColor="text1"/>
          <w:sz w:val="22"/>
        </w:rPr>
        <w:t>s</w:t>
      </w:r>
      <w:r w:rsidRPr="00A027C9">
        <w:rPr>
          <w:rFonts w:ascii="Arial" w:hAnsi="Arial" w:eastAsia="Calibri" w:cs="Arial"/>
          <w:bCs/>
          <w:color w:val="000000" w:themeColor="text1"/>
          <w:sz w:val="22"/>
        </w:rPr>
        <w:t xml:space="preserve"> idea</w:t>
      </w:r>
      <w:r w:rsidRPr="00A027C9" w:rsidR="00F62DD5">
        <w:rPr>
          <w:rFonts w:ascii="Arial" w:hAnsi="Arial" w:eastAsia="Calibri" w:cs="Arial"/>
          <w:bCs/>
          <w:color w:val="000000" w:themeColor="text1"/>
          <w:sz w:val="22"/>
        </w:rPr>
        <w:t>s</w:t>
      </w:r>
      <w:r w:rsidRPr="00A027C9">
        <w:rPr>
          <w:rFonts w:ascii="Arial" w:hAnsi="Arial" w:eastAsia="Calibri" w:cs="Arial"/>
          <w:bCs/>
          <w:color w:val="000000" w:themeColor="text1"/>
          <w:sz w:val="22"/>
        </w:rPr>
        <w:t xml:space="preserve"> que se reitera</w:t>
      </w:r>
      <w:r w:rsidRPr="00A027C9" w:rsidR="00F62DD5">
        <w:rPr>
          <w:rFonts w:ascii="Arial" w:hAnsi="Arial" w:eastAsia="Calibri" w:cs="Arial"/>
          <w:bCs/>
          <w:color w:val="000000" w:themeColor="text1"/>
          <w:sz w:val="22"/>
        </w:rPr>
        <w:t>n</w:t>
      </w:r>
      <w:r w:rsidRPr="00A027C9">
        <w:rPr>
          <w:rFonts w:ascii="Arial" w:hAnsi="Arial" w:eastAsia="Calibri" w:cs="Arial"/>
          <w:bCs/>
          <w:color w:val="000000" w:themeColor="text1"/>
          <w:sz w:val="22"/>
        </w:rPr>
        <w:t xml:space="preserve"> a continuación</w:t>
      </w:r>
      <w:r w:rsidRPr="00A027C9" w:rsidR="0051365E">
        <w:rPr>
          <w:rFonts w:ascii="Arial" w:hAnsi="Arial" w:eastAsia="Calibri" w:cs="Arial"/>
          <w:bCs/>
          <w:color w:val="000000" w:themeColor="text1"/>
          <w:sz w:val="22"/>
        </w:rPr>
        <w:t>.</w:t>
      </w:r>
      <w:r w:rsidRPr="00A027C9">
        <w:rPr>
          <w:rFonts w:ascii="Arial" w:hAnsi="Arial" w:eastAsia="Calibri" w:cs="Arial"/>
          <w:bCs/>
          <w:color w:val="000000" w:themeColor="text1"/>
          <w:sz w:val="22"/>
        </w:rPr>
        <w:t xml:space="preserve"> </w:t>
      </w:r>
    </w:p>
    <w:p w:rsidRPr="00A027C9" w:rsidR="0073536E" w:rsidP="0062279A" w:rsidRDefault="0073536E" w14:paraId="06C95F72" w14:textId="3D22E8C8">
      <w:pPr>
        <w:spacing w:before="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Para desarrollar los problemas planteados se explicará cómo el SECOP es la plataforma que las entidades deben utilizar para publicar la actividad contractual, para luego determinar los documentos contractuales que deben publicar las empresas de la naturaleza indicada en la petición, y</w:t>
      </w:r>
      <w:r w:rsidRPr="00A027C9" w:rsidR="00382B7C">
        <w:rPr>
          <w:rFonts w:ascii="Arial" w:hAnsi="Arial" w:eastAsia="Calibri" w:cs="Arial"/>
          <w:color w:val="000000" w:themeColor="text1"/>
          <w:sz w:val="22"/>
        </w:rPr>
        <w:t>,</w:t>
      </w:r>
      <w:r w:rsidRPr="00A027C9">
        <w:rPr>
          <w:rFonts w:ascii="Arial" w:hAnsi="Arial" w:eastAsia="Calibri" w:cs="Arial"/>
          <w:color w:val="000000" w:themeColor="text1"/>
          <w:sz w:val="22"/>
        </w:rPr>
        <w:t xml:space="preserve"> por último, </w:t>
      </w:r>
      <w:r w:rsidRPr="00A027C9" w:rsidR="001B2A19">
        <w:rPr>
          <w:rFonts w:ascii="Arial" w:hAnsi="Arial" w:eastAsia="Calibri" w:cs="Arial"/>
          <w:color w:val="000000" w:themeColor="text1"/>
          <w:sz w:val="22"/>
        </w:rPr>
        <w:t>precisar</w:t>
      </w:r>
      <w:r w:rsidRPr="00A027C9">
        <w:rPr>
          <w:rFonts w:ascii="Arial" w:hAnsi="Arial" w:eastAsia="Calibri" w:cs="Arial"/>
          <w:color w:val="000000" w:themeColor="text1"/>
          <w:sz w:val="22"/>
        </w:rPr>
        <w:t xml:space="preserve"> el momento de su publicación. Finalmente, se informará al peticionario sobre la utilización de la plataforma electrónica SECOP</w:t>
      </w:r>
      <w:r w:rsidRPr="00A027C9" w:rsidR="00F94EA0">
        <w:rPr>
          <w:rFonts w:ascii="Arial" w:hAnsi="Arial" w:eastAsia="Calibri" w:cs="Arial"/>
          <w:color w:val="000000" w:themeColor="text1"/>
          <w:sz w:val="22"/>
        </w:rPr>
        <w:t>, en lo que tiene que ver con los contratos de fiducias</w:t>
      </w:r>
      <w:r w:rsidRPr="00A027C9">
        <w:rPr>
          <w:rFonts w:ascii="Arial" w:hAnsi="Arial" w:eastAsia="Calibri" w:cs="Arial"/>
          <w:color w:val="000000" w:themeColor="text1"/>
          <w:sz w:val="22"/>
        </w:rPr>
        <w:t>.</w:t>
      </w:r>
    </w:p>
    <w:p w:rsidRPr="00A027C9" w:rsidR="0073536E" w:rsidP="0073536E" w:rsidRDefault="0073536E" w14:paraId="765F516E" w14:textId="77777777">
      <w:pPr>
        <w:spacing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 xml:space="preserve"> </w:t>
      </w:r>
    </w:p>
    <w:p w:rsidRPr="00A027C9" w:rsidR="0073536E" w:rsidP="0073536E" w:rsidRDefault="0073536E" w14:paraId="41C3F1EE" w14:textId="77777777">
      <w:pPr>
        <w:tabs>
          <w:tab w:val="left" w:pos="426"/>
        </w:tabs>
        <w:spacing w:line="276" w:lineRule="auto"/>
        <w:jc w:val="both"/>
        <w:rPr>
          <w:rFonts w:ascii="Arial" w:hAnsi="Arial" w:eastAsia="Calibri" w:cs="Arial"/>
          <w:b/>
          <w:color w:val="000000" w:themeColor="text1"/>
          <w:sz w:val="22"/>
        </w:rPr>
      </w:pPr>
      <w:r w:rsidRPr="00A027C9">
        <w:rPr>
          <w:rFonts w:ascii="Arial" w:hAnsi="Arial" w:eastAsia="Calibri" w:cs="Arial"/>
          <w:b/>
          <w:color w:val="000000" w:themeColor="text1"/>
          <w:sz w:val="22"/>
        </w:rPr>
        <w:t>2.1. Publicidad de los contratos en el Sistema Electrónico de Contratación Pública –SECOP–</w:t>
      </w:r>
    </w:p>
    <w:p w:rsidRPr="00A027C9" w:rsidR="00AA5923" w:rsidP="00EF7F78" w:rsidRDefault="00AA5923" w14:paraId="3688FC19" w14:textId="77777777">
      <w:pPr>
        <w:jc w:val="both"/>
        <w:rPr>
          <w:rFonts w:ascii="Arial" w:hAnsi="Arial" w:eastAsia="Calibri" w:cs="Arial"/>
          <w:bCs/>
          <w:color w:val="000000" w:themeColor="text1"/>
          <w:sz w:val="22"/>
        </w:rPr>
      </w:pPr>
    </w:p>
    <w:p w:rsidRPr="00A027C9" w:rsidR="00884552" w:rsidP="00AA5923" w:rsidRDefault="0073536E" w14:paraId="3D93347D" w14:textId="08EE3C39">
      <w:pPr>
        <w:spacing w:line="276" w:lineRule="auto"/>
        <w:jc w:val="both"/>
        <w:rPr>
          <w:rFonts w:ascii="Arial" w:hAnsi="Arial" w:cs="Arial"/>
          <w:color w:val="000000" w:themeColor="text1"/>
          <w:sz w:val="22"/>
        </w:rPr>
      </w:pPr>
      <w:r w:rsidRPr="00A027C9">
        <w:rPr>
          <w:rFonts w:ascii="Arial" w:hAnsi="Arial" w:eastAsia="Calibri" w:cs="Arial"/>
          <w:bCs/>
          <w:color w:val="000000" w:themeColor="text1"/>
          <w:sz w:val="22"/>
        </w:rPr>
        <w:t>La Agencia Nacional de Contratación Pública estudió por primera vez este tema en la consulta del 9 de agosto de 2019</w:t>
      </w:r>
      <w:r w:rsidRPr="00A027C9" w:rsidR="00884552">
        <w:rPr>
          <w:rFonts w:ascii="Arial" w:hAnsi="Arial" w:eastAsia="Calibri" w:cs="Arial"/>
          <w:bCs/>
          <w:color w:val="000000" w:themeColor="text1"/>
          <w:sz w:val="22"/>
        </w:rPr>
        <w:t xml:space="preserve"> −radicado No. 4201913000005397−</w:t>
      </w:r>
      <w:r w:rsidRPr="00A027C9">
        <w:rPr>
          <w:rFonts w:ascii="Arial" w:hAnsi="Arial" w:eastAsia="Calibri" w:cs="Arial"/>
          <w:bCs/>
          <w:color w:val="000000" w:themeColor="text1"/>
          <w:sz w:val="22"/>
        </w:rPr>
        <w:t xml:space="preserve"> y reiteró la posición en las siguientes consultas: del 25 de septiembre de 2019, </w:t>
      </w:r>
      <w:r w:rsidRPr="00A027C9">
        <w:rPr>
          <w:rFonts w:ascii="Arial" w:hAnsi="Arial" w:cs="Arial"/>
          <w:color w:val="000000" w:themeColor="text1"/>
          <w:sz w:val="22"/>
        </w:rPr>
        <w:t xml:space="preserve">del 4 de octubre de 2019, </w:t>
      </w:r>
      <w:r w:rsidRPr="00A027C9" w:rsidR="00884552">
        <w:rPr>
          <w:rFonts w:ascii="Arial" w:hAnsi="Arial" w:cs="Arial"/>
          <w:color w:val="000000" w:themeColor="text1"/>
          <w:sz w:val="22"/>
        </w:rPr>
        <w:t xml:space="preserve">y </w:t>
      </w:r>
      <w:r w:rsidRPr="00A027C9">
        <w:rPr>
          <w:rFonts w:ascii="Arial" w:hAnsi="Arial" w:eastAsia="Calibri" w:cs="Arial"/>
          <w:bCs/>
          <w:color w:val="000000" w:themeColor="text1"/>
          <w:sz w:val="22"/>
        </w:rPr>
        <w:t xml:space="preserve">del </w:t>
      </w:r>
      <w:r w:rsidRPr="00A027C9" w:rsidR="00884552">
        <w:rPr>
          <w:rFonts w:ascii="Arial" w:hAnsi="Arial" w:eastAsia="Calibri" w:cs="Arial"/>
          <w:bCs/>
          <w:color w:val="000000" w:themeColor="text1"/>
          <w:sz w:val="22"/>
        </w:rPr>
        <w:t xml:space="preserve">13 y </w:t>
      </w:r>
      <w:r w:rsidRPr="00A027C9">
        <w:rPr>
          <w:rFonts w:ascii="Arial" w:hAnsi="Arial" w:eastAsia="Calibri" w:cs="Arial"/>
          <w:bCs/>
          <w:color w:val="000000" w:themeColor="text1"/>
          <w:sz w:val="22"/>
        </w:rPr>
        <w:t>18 de noviembre de 2019</w:t>
      </w:r>
      <w:r w:rsidRPr="00A027C9" w:rsidR="00884552">
        <w:rPr>
          <w:rFonts w:ascii="Arial" w:hAnsi="Arial" w:eastAsia="Calibri" w:cs="Arial"/>
          <w:bCs/>
          <w:color w:val="000000" w:themeColor="text1"/>
          <w:sz w:val="22"/>
        </w:rPr>
        <w:t xml:space="preserve"> −radicados Nos. 4201912000006611, </w:t>
      </w:r>
      <w:r w:rsidRPr="00A027C9" w:rsidR="00884552">
        <w:rPr>
          <w:rFonts w:ascii="Arial" w:hAnsi="Arial" w:cs="Arial"/>
          <w:color w:val="000000" w:themeColor="text1"/>
          <w:sz w:val="22"/>
        </w:rPr>
        <w:t>4201913000006847</w:t>
      </w:r>
    </w:p>
    <w:p w:rsidRPr="00A027C9" w:rsidR="0073536E" w:rsidP="00AA5923" w:rsidRDefault="00884552" w14:paraId="152512CD" w14:textId="4AF08A16">
      <w:pPr>
        <w:spacing w:line="276" w:lineRule="auto"/>
        <w:jc w:val="both"/>
        <w:rPr>
          <w:rFonts w:ascii="Arial" w:hAnsi="Arial" w:eastAsia="Calibri" w:cs="Arial"/>
          <w:color w:val="000000" w:themeColor="text1"/>
          <w:sz w:val="22"/>
        </w:rPr>
      </w:pPr>
      <w:r w:rsidRPr="00A027C9">
        <w:rPr>
          <w:rFonts w:ascii="Arial" w:hAnsi="Arial" w:eastAsia="Calibri" w:cs="Arial"/>
          <w:bCs/>
          <w:color w:val="000000" w:themeColor="text1"/>
          <w:sz w:val="22"/>
        </w:rPr>
        <w:t>4201912000007828 y 4201912000007762−</w:t>
      </w:r>
      <w:r w:rsidRPr="00A027C9" w:rsidR="0073536E">
        <w:rPr>
          <w:rFonts w:ascii="Arial" w:hAnsi="Arial" w:cs="Arial"/>
          <w:color w:val="000000" w:themeColor="text1"/>
          <w:sz w:val="22"/>
        </w:rPr>
        <w:t>.</w:t>
      </w:r>
      <w:r w:rsidRPr="00A027C9" w:rsidR="003308BA">
        <w:rPr>
          <w:rFonts w:ascii="Arial" w:hAnsi="Arial" w:cs="Arial"/>
          <w:color w:val="000000" w:themeColor="text1"/>
          <w:sz w:val="22"/>
        </w:rPr>
        <w:t xml:space="preserve"> </w:t>
      </w:r>
      <w:r w:rsidRPr="00A027C9" w:rsidR="0073536E">
        <w:rPr>
          <w:rFonts w:ascii="Arial" w:hAnsi="Arial" w:cs="Arial"/>
          <w:color w:val="000000" w:themeColor="text1"/>
          <w:sz w:val="22"/>
        </w:rPr>
        <w:t>Finalmente, en el Concepto CU</w:t>
      </w:r>
      <w:r w:rsidRPr="00A027C9" w:rsidR="003308BA">
        <w:rPr>
          <w:rFonts w:ascii="Arial" w:hAnsi="Arial" w:cs="Arial"/>
          <w:color w:val="000000" w:themeColor="text1"/>
          <w:sz w:val="22"/>
        </w:rPr>
        <w:t>−</w:t>
      </w:r>
      <w:r w:rsidRPr="00A027C9" w:rsidR="0073536E">
        <w:rPr>
          <w:rFonts w:ascii="Arial" w:hAnsi="Arial" w:cs="Arial"/>
          <w:color w:val="000000" w:themeColor="text1"/>
          <w:sz w:val="22"/>
        </w:rPr>
        <w:t xml:space="preserve">003 de 15 de enero 2020 unificó la tesis. </w:t>
      </w:r>
      <w:r w:rsidRPr="00A027C9" w:rsidR="0073536E">
        <w:rPr>
          <w:rFonts w:ascii="Arial" w:hAnsi="Arial" w:eastAsia="Calibri" w:cs="Arial"/>
          <w:color w:val="000000" w:themeColor="text1"/>
          <w:sz w:val="22"/>
        </w:rPr>
        <w:t>En esta sostuvo la idea que se reitera a continuación:</w:t>
      </w:r>
    </w:p>
    <w:p w:rsidRPr="00A027C9" w:rsidR="0073536E" w:rsidP="00AA5923" w:rsidRDefault="0073536E" w14:paraId="4A4F060F" w14:textId="77777777">
      <w:pPr>
        <w:spacing w:before="120" w:line="276" w:lineRule="auto"/>
        <w:ind w:firstLine="709"/>
        <w:jc w:val="both"/>
        <w:rPr>
          <w:rFonts w:ascii="Arial" w:hAnsi="Arial" w:cs="Arial"/>
          <w:color w:val="000000" w:themeColor="text1"/>
          <w:sz w:val="22"/>
        </w:rPr>
      </w:pPr>
      <w:r w:rsidRPr="00A027C9">
        <w:rPr>
          <w:rFonts w:ascii="Arial" w:hAnsi="Arial" w:eastAsia="Calibri" w:cs="Arial"/>
          <w:color w:val="000000" w:themeColor="text1"/>
          <w:sz w:val="22"/>
        </w:rPr>
        <w:t xml:space="preserve">Para la Corte Constitucional, el principio de publicidad es la garantía que tienen las personas de conocer las actuaciones judiciales y administrativas y con base en ese </w:t>
      </w:r>
      <w:r w:rsidRPr="00A027C9">
        <w:rPr>
          <w:rFonts w:ascii="Arial" w:hAnsi="Arial" w:cs="Arial"/>
          <w:color w:val="000000" w:themeColor="text1"/>
          <w:sz w:val="22"/>
        </w:rPr>
        <w:t xml:space="preserve">conocimiento tener la posibilidad de exigir que se surtan conforme a la ley: </w:t>
      </w:r>
    </w:p>
    <w:p w:rsidRPr="00A027C9" w:rsidR="0073536E" w:rsidP="0073536E" w:rsidRDefault="0073536E" w14:paraId="54A84125" w14:textId="77777777">
      <w:pPr>
        <w:ind w:firstLine="708"/>
        <w:jc w:val="both"/>
        <w:rPr>
          <w:rFonts w:ascii="Arial" w:hAnsi="Arial" w:cs="Arial"/>
          <w:color w:val="000000" w:themeColor="text1"/>
          <w:sz w:val="22"/>
        </w:rPr>
      </w:pPr>
    </w:p>
    <w:p w:rsidRPr="00A027C9" w:rsidR="0073536E" w:rsidP="0073536E" w:rsidRDefault="0073536E" w14:paraId="55D7FE29" w14:textId="164A590F">
      <w:pPr>
        <w:ind w:left="708"/>
        <w:jc w:val="both"/>
        <w:rPr>
          <w:rFonts w:ascii="Arial" w:hAnsi="Arial" w:cs="Arial"/>
          <w:color w:val="000000" w:themeColor="text1"/>
          <w:sz w:val="21"/>
          <w:szCs w:val="21"/>
        </w:rPr>
      </w:pPr>
      <w:r w:rsidRPr="00A027C9">
        <w:rPr>
          <w:rFonts w:ascii="Arial" w:hAnsi="Arial" w:cs="Arial"/>
          <w:color w:val="000000" w:themeColor="text1"/>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rsidRPr="00A027C9" w:rsidR="004C58AC" w:rsidP="0073536E" w:rsidRDefault="004C58AC" w14:paraId="3D47527E" w14:textId="77777777">
      <w:pPr>
        <w:ind w:left="708"/>
        <w:jc w:val="both"/>
        <w:rPr>
          <w:rFonts w:ascii="Arial" w:hAnsi="Arial" w:cs="Arial"/>
          <w:color w:val="000000" w:themeColor="text1"/>
          <w:sz w:val="21"/>
          <w:szCs w:val="21"/>
        </w:rPr>
      </w:pPr>
    </w:p>
    <w:p w:rsidRPr="00A027C9" w:rsidR="0073536E" w:rsidP="0073536E" w:rsidRDefault="0073536E" w14:paraId="5A3E3CF1" w14:textId="77777777">
      <w:pPr>
        <w:ind w:left="708"/>
        <w:jc w:val="both"/>
        <w:rPr>
          <w:rFonts w:ascii="Arial" w:hAnsi="Arial" w:cs="Arial"/>
          <w:color w:val="000000" w:themeColor="text1"/>
          <w:sz w:val="21"/>
          <w:szCs w:val="21"/>
        </w:rPr>
      </w:pPr>
      <w:r w:rsidRPr="00A027C9">
        <w:rPr>
          <w:rFonts w:ascii="Arial" w:hAnsi="Arial" w:cs="Arial"/>
          <w:color w:val="000000" w:themeColor="text1"/>
          <w:sz w:val="21"/>
          <w:szCs w:val="21"/>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A027C9">
        <w:rPr>
          <w:rFonts w:ascii="Arial" w:hAnsi="Arial" w:cs="Arial"/>
          <w:color w:val="000000" w:themeColor="text1"/>
          <w:sz w:val="21"/>
          <w:szCs w:val="21"/>
        </w:rPr>
        <w:t>autoridades públicas</w:t>
      </w:r>
      <w:proofErr w:type="gramEnd"/>
      <w:r w:rsidRPr="00A027C9">
        <w:rPr>
          <w:rFonts w:ascii="Arial" w:hAnsi="Arial" w:cs="Arial"/>
          <w:color w:val="000000" w:themeColor="text1"/>
          <w:sz w:val="21"/>
          <w:szCs w:val="21"/>
        </w:rPr>
        <w:t xml:space="preserve"> y, a través de ese conocimiento, a exigir que ellas se surtan conforme a la ley</w:t>
      </w:r>
      <w:r w:rsidRPr="00A027C9">
        <w:rPr>
          <w:rStyle w:val="FootnoteReference"/>
          <w:rFonts w:ascii="Arial" w:hAnsi="Arial" w:cs="Arial"/>
          <w:color w:val="000000" w:themeColor="text1"/>
          <w:sz w:val="21"/>
          <w:szCs w:val="21"/>
        </w:rPr>
        <w:footnoteReference w:id="3"/>
      </w:r>
      <w:r w:rsidRPr="00A027C9">
        <w:rPr>
          <w:rFonts w:ascii="Arial" w:hAnsi="Arial" w:cs="Arial"/>
          <w:color w:val="000000" w:themeColor="text1"/>
          <w:sz w:val="21"/>
          <w:szCs w:val="21"/>
        </w:rPr>
        <w:t>.</w:t>
      </w:r>
    </w:p>
    <w:p w:rsidRPr="00A027C9" w:rsidR="0073536E" w:rsidP="0073536E" w:rsidRDefault="0073536E" w14:paraId="20B4BF6C" w14:textId="77777777">
      <w:pPr>
        <w:ind w:firstLine="708"/>
        <w:jc w:val="both"/>
        <w:rPr>
          <w:rFonts w:ascii="Arial" w:hAnsi="Arial" w:cs="Arial"/>
          <w:color w:val="000000" w:themeColor="text1"/>
          <w:sz w:val="21"/>
          <w:szCs w:val="21"/>
        </w:rPr>
      </w:pPr>
    </w:p>
    <w:p w:rsidRPr="00A027C9" w:rsidR="0073536E" w:rsidP="0073536E" w:rsidRDefault="0073536E" w14:paraId="51204BDA" w14:textId="77777777">
      <w:pPr>
        <w:spacing w:line="276" w:lineRule="auto"/>
        <w:ind w:firstLine="708"/>
        <w:jc w:val="both"/>
        <w:rPr>
          <w:rFonts w:ascii="Arial" w:hAnsi="Arial" w:eastAsia="Calibri" w:cs="Arial"/>
          <w:color w:val="000000" w:themeColor="text1"/>
          <w:sz w:val="22"/>
        </w:rPr>
      </w:pPr>
      <w:r w:rsidRPr="00A027C9">
        <w:rPr>
          <w:rFonts w:ascii="Arial" w:hAnsi="Arial" w:cs="Arial"/>
          <w:color w:val="000000" w:themeColor="text1"/>
          <w:sz w:val="22"/>
        </w:rPr>
        <w:t>El principio de publicidad impone a las autoridades administrativas el deber de dar</w:t>
      </w:r>
      <w:r w:rsidRPr="00A027C9">
        <w:rPr>
          <w:rFonts w:ascii="Arial" w:hAnsi="Arial" w:eastAsia="Calibri" w:cs="Arial"/>
          <w:color w:val="000000" w:themeColor="text1"/>
          <w:sz w:val="22"/>
        </w:rPr>
        <w:t xml:space="preserve"> a conocer sus actos, contratos y decisiones, para que se divulguen y eventualmente se controlen las actuaciones. </w:t>
      </w:r>
    </w:p>
    <w:p w:rsidRPr="00A027C9" w:rsidR="0073536E" w:rsidP="0073536E" w:rsidRDefault="0073536E" w14:paraId="5F0ADE2F" w14:textId="258D0BDC">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A027C9">
        <w:rPr>
          <w:rFonts w:ascii="Arial" w:hAnsi="Arial" w:eastAsia="Calibri" w:cs="Arial"/>
          <w:color w:val="000000" w:themeColor="text1"/>
          <w:sz w:val="22"/>
          <w:vertAlign w:val="superscript"/>
        </w:rPr>
        <w:footnoteReference w:id="4"/>
      </w:r>
      <w:r w:rsidRPr="00A027C9">
        <w:rPr>
          <w:rFonts w:ascii="Arial" w:hAnsi="Arial" w:eastAsia="Calibri" w:cs="Arial"/>
          <w:color w:val="000000" w:themeColor="text1"/>
          <w:sz w:val="22"/>
        </w:rPr>
        <w:t xml:space="preserve">. </w:t>
      </w:r>
    </w:p>
    <w:p w:rsidRPr="00A027C9" w:rsidR="0073536E" w:rsidP="0073536E" w:rsidRDefault="0073536E" w14:paraId="3EFA91CF" w14:textId="77777777">
      <w:pPr>
        <w:spacing w:before="120" w:after="120" w:line="276" w:lineRule="auto"/>
        <w:ind w:firstLine="709"/>
        <w:jc w:val="both"/>
        <w:rPr>
          <w:rFonts w:ascii="Arial" w:hAnsi="Arial" w:eastAsia="Calibri" w:cs="Arial"/>
          <w:color w:val="000000" w:themeColor="text1"/>
          <w:sz w:val="22"/>
        </w:rPr>
      </w:pPr>
      <w:r w:rsidRPr="00A027C9">
        <w:rPr>
          <w:rFonts w:ascii="Arial" w:hAnsi="Arial" w:cs="Arial"/>
          <w:color w:val="000000" w:themeColor="text1"/>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A027C9">
        <w:rPr>
          <w:rFonts w:ascii="Arial" w:hAnsi="Arial" w:cs="Arial"/>
          <w:color w:val="000000" w:themeColor="text1"/>
          <w:sz w:val="22"/>
          <w:vertAlign w:val="superscript"/>
        </w:rPr>
        <w:footnoteReference w:id="5"/>
      </w:r>
      <w:r w:rsidRPr="00A027C9">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rsidRPr="00A027C9" w:rsidR="0073536E" w:rsidP="0073536E" w:rsidRDefault="0073536E" w14:paraId="2DB878C8" w14:textId="77777777">
      <w:pPr>
        <w:spacing w:before="120" w:after="120" w:line="276" w:lineRule="auto"/>
        <w:ind w:firstLine="709"/>
        <w:jc w:val="both"/>
        <w:rPr>
          <w:rFonts w:ascii="Arial" w:hAnsi="Arial" w:cs="Arial"/>
          <w:color w:val="000000" w:themeColor="text1"/>
          <w:sz w:val="22"/>
        </w:rPr>
      </w:pPr>
      <w:r w:rsidRPr="00A027C9">
        <w:rPr>
          <w:rFonts w:ascii="Arial" w:hAnsi="Arial" w:cs="Arial"/>
          <w:color w:val="000000" w:themeColor="text1"/>
          <w:sz w:val="22"/>
        </w:rPr>
        <w:t>La ley citada establece, en el literal e) del artículo 9, que los sujetos obligados, que son todas las entidades públicas</w:t>
      </w:r>
      <w:r w:rsidRPr="00A027C9">
        <w:rPr>
          <w:rFonts w:ascii="Arial" w:hAnsi="Arial" w:cs="Arial"/>
          <w:color w:val="000000" w:themeColor="text1"/>
          <w:sz w:val="22"/>
          <w:vertAlign w:val="superscript"/>
        </w:rPr>
        <w:footnoteReference w:id="6"/>
      </w:r>
      <w:r w:rsidRPr="00A027C9">
        <w:rPr>
          <w:rFonts w:ascii="Arial" w:hAnsi="Arial" w:cs="Arial"/>
          <w:color w:val="000000" w:themeColor="text1"/>
          <w:sz w:val="22"/>
        </w:rPr>
        <w:t>, deben publicar la información relativa a su contratación. Esta obligación fue desarrollada por el Decreto Único Reglamentario 1081 de 2015</w:t>
      </w:r>
      <w:r w:rsidRPr="00A027C9">
        <w:rPr>
          <w:rFonts w:ascii="Arial" w:hAnsi="Arial" w:cs="Arial"/>
          <w:color w:val="000000" w:themeColor="text1"/>
          <w:sz w:val="22"/>
          <w:vertAlign w:val="superscript"/>
        </w:rPr>
        <w:footnoteReference w:id="7"/>
      </w:r>
      <w:r w:rsidRPr="00A027C9">
        <w:rPr>
          <w:rFonts w:ascii="Arial" w:hAnsi="Arial" w:cs="Arial"/>
          <w:color w:val="000000" w:themeColor="text1"/>
          <w:sz w:val="22"/>
        </w:rPr>
        <w:t>, el cual dispuso que la publicación de la información contractual de los sujetos obligados, que contratan con cargo a recursos públicos, debe hacerse en el Sistema Electrónico de Contratación Pública ─ SECOP.</w:t>
      </w:r>
    </w:p>
    <w:p w:rsidRPr="00A027C9" w:rsidR="0073536E" w:rsidP="0073536E" w:rsidRDefault="0073536E" w14:paraId="18FE6E8B" w14:textId="77777777">
      <w:pPr>
        <w:spacing w:before="120" w:after="120" w:line="276" w:lineRule="auto"/>
        <w:ind w:firstLine="709"/>
        <w:jc w:val="both"/>
        <w:rPr>
          <w:rFonts w:ascii="Arial" w:hAnsi="Arial" w:cs="Arial"/>
          <w:color w:val="000000" w:themeColor="text1"/>
          <w:sz w:val="22"/>
          <w:lang w:val="es-ES"/>
        </w:rPr>
      </w:pPr>
      <w:r w:rsidRPr="00A027C9">
        <w:rPr>
          <w:rFonts w:ascii="Arial" w:hAnsi="Arial" w:cs="Arial"/>
          <w:color w:val="000000" w:themeColor="text1"/>
          <w:sz w:val="22"/>
        </w:rPr>
        <w:t xml:space="preserve">Asimismo, de </w:t>
      </w:r>
      <w:r w:rsidRPr="00A027C9">
        <w:rPr>
          <w:rFonts w:ascii="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rsidRPr="00A027C9" w:rsidR="0073536E" w:rsidP="0073536E" w:rsidRDefault="0073536E" w14:paraId="73E394D2" w14:textId="77777777">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A027C9">
        <w:rPr>
          <w:rFonts w:ascii="Arial" w:hAnsi="Arial" w:eastAsia="Calibri" w:cs="Arial"/>
          <w:color w:val="000000" w:themeColor="text1"/>
          <w:sz w:val="22"/>
          <w:vertAlign w:val="superscript"/>
        </w:rPr>
        <w:footnoteReference w:id="8"/>
      </w:r>
      <w:r w:rsidRPr="00A027C9">
        <w:rPr>
          <w:rFonts w:ascii="Arial" w:hAnsi="Arial" w:eastAsia="Calibri" w:cs="Arial"/>
          <w:color w:val="000000" w:themeColor="text1"/>
          <w:sz w:val="22"/>
        </w:rPr>
        <w:t>.</w:t>
      </w:r>
    </w:p>
    <w:p w:rsidRPr="00A027C9" w:rsidR="0073536E" w:rsidP="0073536E" w:rsidRDefault="0073536E" w14:paraId="7CD143AE" w14:textId="77777777">
      <w:pPr>
        <w:spacing w:before="120" w:after="120" w:line="276" w:lineRule="auto"/>
        <w:ind w:firstLine="709"/>
        <w:jc w:val="both"/>
        <w:rPr>
          <w:rFonts w:ascii="Arial" w:hAnsi="Arial" w:cs="Arial"/>
          <w:color w:val="000000" w:themeColor="text1"/>
          <w:sz w:val="22"/>
          <w:lang w:val="es-ES"/>
        </w:rPr>
      </w:pPr>
      <w:r w:rsidRPr="00A027C9">
        <w:rPr>
          <w:rFonts w:ascii="Arial" w:hAnsi="Arial" w:cs="Arial"/>
          <w:color w:val="000000" w:themeColor="text1"/>
          <w:sz w:val="22"/>
          <w:lang w:val="es-ES"/>
        </w:rPr>
        <w:t>Para el año 2013, la Agencia Nacional de Contratación Pública ─ Colombia Compra Eficiente, mediante la mediante la Circular Externa No 1 del 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A027C9">
        <w:rPr>
          <w:rFonts w:ascii="Arial" w:hAnsi="Arial" w:cs="Arial"/>
          <w:color w:val="000000" w:themeColor="text1"/>
          <w:sz w:val="22"/>
          <w:vertAlign w:val="superscript"/>
          <w:lang w:val="es-ES"/>
        </w:rPr>
        <w:footnoteReference w:id="9"/>
      </w:r>
      <w:r w:rsidRPr="00A027C9">
        <w:rPr>
          <w:rFonts w:ascii="Arial" w:hAnsi="Arial" w:cs="Arial"/>
          <w:color w:val="000000" w:themeColor="text1"/>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rsidRPr="00A027C9" w:rsidR="0073536E" w:rsidP="0073536E" w:rsidRDefault="0073536E" w14:paraId="031E731C" w14:textId="77777777">
      <w:pPr>
        <w:spacing w:line="276" w:lineRule="auto"/>
        <w:ind w:firstLine="709"/>
        <w:jc w:val="both"/>
        <w:rPr>
          <w:rFonts w:ascii="Arial" w:hAnsi="Arial" w:cs="Arial"/>
          <w:color w:val="000000" w:themeColor="text1"/>
          <w:sz w:val="22"/>
          <w:lang w:val="es-ES"/>
        </w:rPr>
      </w:pPr>
      <w:r w:rsidRPr="00A027C9">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rsidRPr="00A027C9" w:rsidR="0073536E" w:rsidP="0073536E" w:rsidRDefault="0073536E" w14:paraId="4232A741" w14:textId="77777777">
      <w:pPr>
        <w:ind w:firstLine="709"/>
        <w:jc w:val="both"/>
        <w:rPr>
          <w:rFonts w:ascii="Arial" w:hAnsi="Arial" w:cs="Arial"/>
          <w:color w:val="000000" w:themeColor="text1"/>
          <w:sz w:val="22"/>
          <w:lang w:val="es-ES"/>
        </w:rPr>
      </w:pPr>
    </w:p>
    <w:p w:rsidRPr="00A027C9" w:rsidR="0073536E" w:rsidP="0073536E" w:rsidRDefault="0073536E" w14:paraId="2C47374B" w14:textId="77777777">
      <w:pPr>
        <w:tabs>
          <w:tab w:val="left" w:pos="3885"/>
        </w:tabs>
        <w:ind w:left="709" w:right="709"/>
        <w:jc w:val="both"/>
        <w:rPr>
          <w:rFonts w:ascii="Arial" w:hAnsi="Arial" w:cs="Arial"/>
          <w:color w:val="000000" w:themeColor="text1"/>
          <w:sz w:val="21"/>
          <w:szCs w:val="21"/>
          <w:lang w:val="es-ES"/>
        </w:rPr>
      </w:pPr>
      <w:r w:rsidRPr="00A027C9">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rsidRPr="00A027C9" w:rsidR="0073536E" w:rsidP="0073536E" w:rsidRDefault="0073536E" w14:paraId="4320F816" w14:textId="77777777">
      <w:pPr>
        <w:tabs>
          <w:tab w:val="left" w:pos="3885"/>
        </w:tabs>
        <w:ind w:left="709" w:right="709"/>
        <w:jc w:val="both"/>
        <w:rPr>
          <w:rFonts w:ascii="Arial" w:hAnsi="Arial" w:cs="Arial"/>
          <w:color w:val="000000" w:themeColor="text1"/>
          <w:sz w:val="21"/>
          <w:szCs w:val="21"/>
          <w:lang w:val="es-ES"/>
        </w:rPr>
      </w:pPr>
    </w:p>
    <w:p w:rsidRPr="00A027C9" w:rsidR="0073536E" w:rsidP="0073536E" w:rsidRDefault="0073536E" w14:paraId="62DA348A" w14:textId="77777777">
      <w:pPr>
        <w:tabs>
          <w:tab w:val="left" w:pos="3885"/>
        </w:tabs>
        <w:ind w:left="709" w:right="709"/>
        <w:jc w:val="both"/>
        <w:rPr>
          <w:rFonts w:ascii="Arial" w:hAnsi="Arial" w:cs="Arial"/>
          <w:color w:val="000000" w:themeColor="text1"/>
          <w:sz w:val="21"/>
          <w:szCs w:val="21"/>
          <w:lang w:val="es-ES"/>
        </w:rPr>
      </w:pPr>
      <w:r w:rsidRPr="00A027C9">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A027C9">
        <w:rPr>
          <w:rFonts w:ascii="Arial" w:hAnsi="Arial" w:cs="Arial"/>
          <w:color w:val="000000" w:themeColor="text1"/>
          <w:sz w:val="21"/>
          <w:szCs w:val="21"/>
          <w:lang w:val="es-ES"/>
        </w:rPr>
        <w:t>en razón de</w:t>
      </w:r>
      <w:proofErr w:type="gramEnd"/>
      <w:r w:rsidRPr="00A027C9">
        <w:rPr>
          <w:rFonts w:ascii="Arial" w:hAnsi="Arial" w:cs="Arial"/>
          <w:color w:val="000000" w:themeColor="text1"/>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rsidRPr="00A027C9" w:rsidR="0073536E" w:rsidP="0073536E" w:rsidRDefault="0073536E" w14:paraId="681E7616" w14:textId="77777777">
      <w:pPr>
        <w:tabs>
          <w:tab w:val="left" w:pos="3885"/>
        </w:tabs>
        <w:ind w:left="709" w:right="709"/>
        <w:jc w:val="both"/>
        <w:rPr>
          <w:rFonts w:ascii="Arial" w:hAnsi="Arial" w:cs="Arial"/>
          <w:color w:val="000000" w:themeColor="text1"/>
          <w:sz w:val="21"/>
          <w:szCs w:val="21"/>
          <w:lang w:val="es-ES"/>
        </w:rPr>
      </w:pPr>
      <w:r w:rsidRPr="00A027C9">
        <w:rPr>
          <w:rFonts w:ascii="Arial" w:hAnsi="Arial" w:cs="Arial"/>
          <w:color w:val="000000" w:themeColor="text1"/>
          <w:sz w:val="21"/>
          <w:szCs w:val="21"/>
          <w:lang w:val="es-ES"/>
        </w:rPr>
        <w:t>[…]</w:t>
      </w:r>
    </w:p>
    <w:p w:rsidRPr="00A027C9" w:rsidR="0073536E" w:rsidP="0073536E" w:rsidRDefault="0073536E" w14:paraId="73A50FAB" w14:textId="77777777">
      <w:pPr>
        <w:tabs>
          <w:tab w:val="left" w:pos="3885"/>
        </w:tabs>
        <w:ind w:left="709" w:right="709"/>
        <w:jc w:val="both"/>
        <w:rPr>
          <w:rFonts w:ascii="Arial" w:hAnsi="Arial" w:cs="Arial"/>
          <w:color w:val="000000" w:themeColor="text1"/>
          <w:sz w:val="21"/>
          <w:szCs w:val="21"/>
          <w:lang w:val="es-ES"/>
        </w:rPr>
      </w:pPr>
    </w:p>
    <w:p w:rsidRPr="00A027C9" w:rsidR="0073536E" w:rsidP="0073536E" w:rsidRDefault="0073536E" w14:paraId="1E56FF9F" w14:textId="77777777">
      <w:pPr>
        <w:tabs>
          <w:tab w:val="left" w:pos="3885"/>
        </w:tabs>
        <w:ind w:left="709" w:right="709"/>
        <w:jc w:val="both"/>
        <w:rPr>
          <w:rFonts w:ascii="Arial" w:hAnsi="Arial" w:cs="Arial"/>
          <w:color w:val="000000" w:themeColor="text1"/>
          <w:sz w:val="21"/>
          <w:szCs w:val="21"/>
          <w:lang w:val="es-ES"/>
        </w:rPr>
      </w:pPr>
      <w:r w:rsidRPr="00A027C9">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A027C9">
        <w:rPr>
          <w:rFonts w:ascii="Arial" w:hAnsi="Arial" w:cs="Arial"/>
          <w:color w:val="000000" w:themeColor="text1"/>
          <w:sz w:val="21"/>
          <w:szCs w:val="21"/>
          <w:vertAlign w:val="superscript"/>
        </w:rPr>
        <w:footnoteReference w:id="10"/>
      </w:r>
      <w:r w:rsidRPr="00A027C9">
        <w:rPr>
          <w:rFonts w:ascii="Arial" w:hAnsi="Arial" w:cs="Arial"/>
          <w:color w:val="000000" w:themeColor="text1"/>
          <w:sz w:val="21"/>
          <w:szCs w:val="21"/>
          <w:lang w:val="es-ES"/>
        </w:rPr>
        <w:t>.</w:t>
      </w:r>
    </w:p>
    <w:p w:rsidRPr="00A027C9" w:rsidR="0073536E" w:rsidP="0073536E" w:rsidRDefault="0073536E" w14:paraId="0A992AD7" w14:textId="77777777">
      <w:pPr>
        <w:tabs>
          <w:tab w:val="left" w:pos="3885"/>
        </w:tabs>
        <w:spacing w:line="276" w:lineRule="auto"/>
        <w:ind w:left="709" w:right="709"/>
        <w:jc w:val="both"/>
        <w:rPr>
          <w:rFonts w:ascii="Arial" w:hAnsi="Arial" w:cs="Arial"/>
          <w:color w:val="000000" w:themeColor="text1"/>
          <w:sz w:val="21"/>
          <w:szCs w:val="21"/>
          <w:lang w:val="es-ES"/>
        </w:rPr>
      </w:pPr>
    </w:p>
    <w:p w:rsidRPr="00A027C9" w:rsidR="0073536E" w:rsidP="0073536E" w:rsidRDefault="0073536E" w14:paraId="310D36CC" w14:textId="77777777">
      <w:pPr>
        <w:spacing w:line="276" w:lineRule="auto"/>
        <w:ind w:firstLine="708"/>
        <w:jc w:val="both"/>
        <w:rPr>
          <w:rFonts w:ascii="Arial" w:hAnsi="Arial" w:cs="Arial"/>
          <w:color w:val="000000" w:themeColor="text1"/>
          <w:sz w:val="22"/>
          <w:lang w:val="es-ES"/>
        </w:rPr>
      </w:pPr>
      <w:r w:rsidRPr="00A027C9">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rsidRPr="00A027C9" w:rsidR="0073536E" w:rsidP="0073536E" w:rsidRDefault="0073536E" w14:paraId="62FC0EE4" w14:textId="77777777">
      <w:pPr>
        <w:ind w:firstLine="708"/>
        <w:jc w:val="both"/>
        <w:rPr>
          <w:rFonts w:ascii="Arial" w:hAnsi="Arial" w:cs="Arial"/>
          <w:color w:val="000000" w:themeColor="text1"/>
          <w:sz w:val="21"/>
          <w:szCs w:val="21"/>
          <w:lang w:val="es-ES"/>
        </w:rPr>
      </w:pPr>
    </w:p>
    <w:p w:rsidRPr="00A027C9" w:rsidR="0073536E" w:rsidP="0073536E" w:rsidRDefault="0073536E" w14:paraId="7AD43869" w14:textId="77777777">
      <w:pPr>
        <w:ind w:left="708" w:leftChars="295" w:right="709"/>
        <w:jc w:val="both"/>
        <w:rPr>
          <w:rFonts w:ascii="Arial" w:hAnsi="Arial" w:cs="Arial"/>
          <w:color w:val="000000" w:themeColor="text1"/>
          <w:sz w:val="21"/>
          <w:szCs w:val="21"/>
          <w:lang w:val="es-ES"/>
        </w:rPr>
      </w:pPr>
      <w:r w:rsidRPr="00A027C9">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rsidRPr="00A027C9" w:rsidR="0073536E" w:rsidP="0073536E" w:rsidRDefault="0073536E" w14:paraId="3A851074" w14:textId="77777777">
      <w:pPr>
        <w:ind w:left="708" w:leftChars="295" w:right="709"/>
        <w:jc w:val="both"/>
        <w:rPr>
          <w:rFonts w:ascii="Arial" w:hAnsi="Arial" w:cs="Arial"/>
          <w:color w:val="000000" w:themeColor="text1"/>
          <w:sz w:val="21"/>
          <w:szCs w:val="21"/>
          <w:lang w:val="es-ES"/>
        </w:rPr>
      </w:pPr>
    </w:p>
    <w:p w:rsidRPr="00A027C9" w:rsidR="0073536E" w:rsidP="0073536E" w:rsidRDefault="0073536E" w14:paraId="1DD4F2CE" w14:textId="48D8346E">
      <w:pPr>
        <w:spacing w:before="120" w:after="120" w:line="276" w:lineRule="auto"/>
        <w:ind w:firstLine="709"/>
        <w:jc w:val="both"/>
        <w:rPr>
          <w:rFonts w:ascii="Arial" w:hAnsi="Arial" w:cs="Arial"/>
          <w:color w:val="000000" w:themeColor="text1"/>
          <w:sz w:val="22"/>
          <w:lang w:val="es-ES"/>
        </w:rPr>
      </w:pPr>
      <w:r w:rsidRPr="00A027C9">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rsidRPr="00A027C9" w:rsidR="0073536E" w:rsidP="0073536E" w:rsidRDefault="0073536E" w14:paraId="0D739950" w14:textId="77777777">
      <w:pPr>
        <w:spacing w:line="276" w:lineRule="auto"/>
        <w:ind w:firstLine="709"/>
        <w:jc w:val="both"/>
        <w:rPr>
          <w:rFonts w:ascii="Arial" w:hAnsi="Arial" w:cs="Arial"/>
          <w:color w:val="000000" w:themeColor="text1"/>
          <w:sz w:val="22"/>
          <w:lang w:val="es-ES"/>
        </w:rPr>
      </w:pPr>
      <w:r w:rsidRPr="00A027C9">
        <w:rPr>
          <w:rFonts w:ascii="Arial" w:hAnsi="Arial" w:cs="Arial"/>
          <w:color w:val="000000" w:themeColor="text1"/>
          <w:sz w:val="22"/>
          <w:lang w:val="es-ES"/>
        </w:rPr>
        <w:t xml:space="preserve">Dentro de los fundamentos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rsidRPr="00A027C9" w:rsidR="0073536E" w:rsidP="0073536E" w:rsidRDefault="0073536E" w14:paraId="26CD48B0" w14:textId="77777777">
      <w:pPr>
        <w:spacing w:line="276" w:lineRule="auto"/>
        <w:ind w:firstLine="709"/>
        <w:jc w:val="both"/>
        <w:rPr>
          <w:rFonts w:ascii="Arial" w:hAnsi="Arial" w:eastAsia="Calibri" w:cs="Arial"/>
          <w:color w:val="000000" w:themeColor="text1"/>
          <w:sz w:val="22"/>
          <w:lang w:val="es-ES"/>
        </w:rPr>
      </w:pPr>
    </w:p>
    <w:p w:rsidRPr="00A027C9" w:rsidR="0073536E" w:rsidP="0073536E" w:rsidRDefault="0073536E" w14:paraId="2C6A4B60" w14:textId="77777777">
      <w:pPr>
        <w:tabs>
          <w:tab w:val="left" w:pos="284"/>
          <w:tab w:val="left" w:pos="426"/>
        </w:tabs>
        <w:spacing w:line="276" w:lineRule="auto"/>
        <w:jc w:val="both"/>
        <w:rPr>
          <w:rFonts w:ascii="Arial" w:hAnsi="Arial" w:cs="Arial"/>
          <w:b/>
          <w:color w:val="000000" w:themeColor="text1"/>
          <w:sz w:val="22"/>
          <w:lang w:val="es-ES"/>
        </w:rPr>
      </w:pPr>
      <w:r w:rsidRPr="00A027C9">
        <w:rPr>
          <w:rFonts w:ascii="Arial" w:hAnsi="Arial" w:cs="Arial"/>
          <w:b/>
          <w:color w:val="000000" w:themeColor="text1"/>
          <w:sz w:val="22"/>
          <w:lang w:val="es-ES"/>
        </w:rPr>
        <w:t>2.2. Documentos que publican las entidades de régimen especial en el SECOP y término para hacerlo</w:t>
      </w:r>
    </w:p>
    <w:p w:rsidRPr="00A027C9" w:rsidR="0073536E" w:rsidP="0073536E" w:rsidRDefault="0073536E" w14:paraId="04DA67A3" w14:textId="77777777">
      <w:pPr>
        <w:tabs>
          <w:tab w:val="left" w:pos="284"/>
          <w:tab w:val="left" w:pos="426"/>
        </w:tabs>
        <w:spacing w:line="276" w:lineRule="auto"/>
        <w:ind w:left="142"/>
        <w:jc w:val="both"/>
        <w:rPr>
          <w:rFonts w:ascii="Arial" w:hAnsi="Arial" w:cs="Arial"/>
          <w:b/>
          <w:color w:val="000000" w:themeColor="text1"/>
          <w:sz w:val="22"/>
          <w:lang w:val="es-ES"/>
        </w:rPr>
      </w:pPr>
    </w:p>
    <w:p w:rsidRPr="00A027C9" w:rsidR="0073536E" w:rsidP="0073536E" w:rsidRDefault="0073536E" w14:paraId="49C68FD0" w14:textId="4619FE9D">
      <w:pPr>
        <w:spacing w:line="276" w:lineRule="auto"/>
        <w:jc w:val="both"/>
        <w:rPr>
          <w:rFonts w:ascii="Arial" w:hAnsi="Arial" w:eastAsia="Calibri" w:cs="Arial"/>
          <w:color w:val="000000" w:themeColor="text1"/>
          <w:sz w:val="22"/>
          <w:lang w:val="es-ES"/>
        </w:rPr>
      </w:pPr>
      <w:r w:rsidRPr="00A027C9">
        <w:rPr>
          <w:rFonts w:ascii="Arial" w:hAnsi="Arial" w:eastAsia="Calibri" w:cs="Arial"/>
          <w:color w:val="000000" w:themeColor="text1"/>
          <w:sz w:val="22"/>
          <w:lang w:val="es-ES"/>
        </w:rPr>
        <w:t xml:space="preserve">Determinada la obligación que tienen las entidades sujetas a un régimen especial de publicar su actividad contractual en el SECOP, a </w:t>
      </w:r>
      <w:proofErr w:type="gramStart"/>
      <w:r w:rsidRPr="00A027C9" w:rsidR="003308BA">
        <w:rPr>
          <w:rFonts w:ascii="Arial" w:hAnsi="Arial" w:eastAsia="Calibri" w:cs="Arial"/>
          <w:color w:val="000000" w:themeColor="text1"/>
          <w:sz w:val="22"/>
          <w:lang w:val="es-ES"/>
        </w:rPr>
        <w:t>continuación</w:t>
      </w:r>
      <w:proofErr w:type="gramEnd"/>
      <w:r w:rsidRPr="00A027C9">
        <w:rPr>
          <w:rFonts w:ascii="Arial" w:hAnsi="Arial" w:eastAsia="Calibri" w:cs="Arial"/>
          <w:color w:val="000000" w:themeColor="text1"/>
          <w:sz w:val="22"/>
          <w:lang w:val="es-ES"/>
        </w:rPr>
        <w:t xml:space="preserve"> se identificarán los documentos que deben publicar, n</w:t>
      </w:r>
      <w:r w:rsidRPr="00A027C9">
        <w:rPr>
          <w:rFonts w:ascii="Arial" w:hAnsi="Arial" w:cs="Arial"/>
          <w:bCs/>
          <w:color w:val="000000" w:themeColor="text1"/>
          <w:sz w:val="22"/>
          <w:lang w:val="es-ES"/>
        </w:rPr>
        <w:t>o sin antes explicar la posición que la Agencia Nacional de Contratación Pública ─ Colombia Compra Eficiente ha adoptado desde el 2016 hasta el 2019.</w:t>
      </w:r>
    </w:p>
    <w:p w:rsidRPr="00A027C9" w:rsidR="0073536E" w:rsidP="0073536E" w:rsidRDefault="0073536E" w14:paraId="6187EFDC" w14:textId="77777777">
      <w:pPr>
        <w:spacing w:line="276" w:lineRule="auto"/>
        <w:ind w:firstLine="708"/>
        <w:jc w:val="both"/>
        <w:rPr>
          <w:rFonts w:ascii="Arial" w:hAnsi="Arial" w:eastAsia="Calibri" w:cs="Arial"/>
          <w:color w:val="000000" w:themeColor="text1"/>
          <w:sz w:val="22"/>
          <w:lang w:val="es-ES"/>
        </w:rPr>
      </w:pPr>
      <w:r w:rsidRPr="00A027C9">
        <w:rPr>
          <w:rFonts w:ascii="Arial" w:hAnsi="Arial" w:cs="Arial"/>
          <w:bCs/>
          <w:color w:val="000000" w:themeColor="text1"/>
          <w:sz w:val="22"/>
          <w:lang w:val="es-ES"/>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A027C9">
        <w:rPr>
          <w:rFonts w:ascii="Arial" w:hAnsi="Arial" w:cs="Arial"/>
          <w:bCs/>
          <w:color w:val="000000" w:themeColor="text1"/>
          <w:sz w:val="22"/>
          <w:vertAlign w:val="superscript"/>
          <w:lang w:val="es-ES"/>
        </w:rPr>
        <w:footnoteReference w:id="11"/>
      </w:r>
      <w:r w:rsidRPr="00A027C9">
        <w:rPr>
          <w:rFonts w:ascii="Arial" w:hAnsi="Arial" w:cs="Arial"/>
          <w:bCs/>
          <w:color w:val="000000" w:themeColor="text1"/>
          <w:sz w:val="22"/>
          <w:lang w:val="es-ES"/>
        </w:rPr>
        <w:t>.</w:t>
      </w:r>
    </w:p>
    <w:p w:rsidRPr="00A027C9" w:rsidR="0073536E" w:rsidP="0073536E" w:rsidRDefault="0073536E" w14:paraId="3709A7D5" w14:textId="77777777">
      <w:pPr>
        <w:spacing w:before="120" w:after="120" w:line="276" w:lineRule="auto"/>
        <w:ind w:firstLine="709"/>
        <w:jc w:val="both"/>
        <w:rPr>
          <w:rFonts w:ascii="Arial" w:hAnsi="Arial" w:eastAsia="Calibri" w:cs="Arial"/>
          <w:color w:val="000000" w:themeColor="text1"/>
          <w:sz w:val="22"/>
          <w:lang w:val="es-ES"/>
        </w:rPr>
      </w:pPr>
      <w:r w:rsidRPr="00A027C9">
        <w:rPr>
          <w:rFonts w:ascii="Arial" w:hAnsi="Arial" w:cs="Arial"/>
          <w:color w:val="000000" w:themeColor="text1"/>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A027C9">
        <w:rPr>
          <w:rFonts w:ascii="Arial" w:hAnsi="Arial" w:eastAsia="Calibri" w:cs="Arial"/>
          <w:color w:val="000000" w:themeColor="text1"/>
          <w:sz w:val="22"/>
          <w:lang w:val="es-ES"/>
        </w:rPr>
        <w:t xml:space="preserve">documentos del proceso que se debían publicar. </w:t>
      </w:r>
    </w:p>
    <w:p w:rsidRPr="00A027C9" w:rsidR="0073536E" w:rsidP="0073536E" w:rsidRDefault="0073536E" w14:paraId="08787937" w14:textId="77777777">
      <w:pPr>
        <w:spacing w:before="120" w:after="120" w:line="276" w:lineRule="auto"/>
        <w:ind w:firstLine="709"/>
        <w:jc w:val="both"/>
        <w:rPr>
          <w:rFonts w:ascii="Arial" w:hAnsi="Arial" w:eastAsia="Calibri" w:cs="Arial"/>
          <w:color w:val="000000" w:themeColor="text1"/>
          <w:sz w:val="22"/>
          <w:lang w:val="es-ES"/>
        </w:rPr>
      </w:pPr>
      <w:r w:rsidRPr="00A027C9">
        <w:rPr>
          <w:rFonts w:ascii="Arial" w:hAnsi="Arial" w:eastAsia="Calibri" w:cs="Arial"/>
          <w:color w:val="000000" w:themeColor="text1"/>
          <w:sz w:val="22"/>
          <w:lang w:val="es-ES"/>
        </w:rPr>
        <w:t>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A027C9">
        <w:rPr>
          <w:rFonts w:ascii="Arial" w:hAnsi="Arial" w:eastAsia="Calibri" w:cs="Arial"/>
          <w:color w:val="000000" w:themeColor="text1"/>
          <w:sz w:val="22"/>
          <w:vertAlign w:val="superscript"/>
          <w:lang w:val="es-ES"/>
        </w:rPr>
        <w:footnoteReference w:id="12"/>
      </w:r>
      <w:r w:rsidRPr="00A027C9">
        <w:rPr>
          <w:rFonts w:ascii="Arial" w:hAnsi="Arial" w:eastAsia="Calibri" w:cs="Arial"/>
          <w:color w:val="000000" w:themeColor="text1"/>
          <w:sz w:val="22"/>
          <w:lang w:val="es-ES"/>
        </w:rPr>
        <w:t xml:space="preserve">. </w:t>
      </w:r>
    </w:p>
    <w:p w:rsidRPr="00A027C9" w:rsidR="0073536E" w:rsidP="0073536E" w:rsidRDefault="0073536E" w14:paraId="10CED680" w14:textId="77777777">
      <w:pPr>
        <w:spacing w:before="120" w:after="120" w:line="276" w:lineRule="auto"/>
        <w:ind w:firstLine="709"/>
        <w:jc w:val="both"/>
        <w:rPr>
          <w:rFonts w:ascii="Arial" w:hAnsi="Arial" w:eastAsia="Calibri" w:cs="Arial"/>
          <w:color w:val="000000" w:themeColor="text1"/>
          <w:sz w:val="22"/>
          <w:lang w:val="es-ES"/>
        </w:rPr>
      </w:pPr>
      <w:r w:rsidRPr="00A027C9">
        <w:rPr>
          <w:rFonts w:ascii="Arial" w:hAnsi="Arial" w:eastAsia="Calibri" w:cs="Arial"/>
          <w:color w:val="000000" w:themeColor="text1"/>
          <w:sz w:val="22"/>
          <w:lang w:val="es-ES"/>
        </w:rPr>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rsidRPr="00A027C9" w:rsidR="0073536E" w:rsidP="0073536E" w:rsidRDefault="0073536E" w14:paraId="6A07A3B8" w14:textId="77777777">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 xml:space="preserve">En efecto, la Ley 1712 de 2014 o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rsidRPr="00A027C9" w:rsidR="0073536E" w:rsidP="0073536E" w:rsidRDefault="0073536E" w14:paraId="4220C507" w14:textId="77777777">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aprueben la ejecución del contrato</w:t>
      </w:r>
      <w:r w:rsidRPr="00A027C9">
        <w:rPr>
          <w:rFonts w:ascii="Arial" w:hAnsi="Arial" w:eastAsia="Calibri" w:cs="Arial"/>
          <w:color w:val="000000" w:themeColor="text1"/>
          <w:sz w:val="22"/>
          <w:vertAlign w:val="superscript"/>
        </w:rPr>
        <w:footnoteReference w:id="13"/>
      </w:r>
      <w:r w:rsidRPr="00A027C9">
        <w:rPr>
          <w:rFonts w:ascii="Arial" w:hAnsi="Arial" w:eastAsia="Calibri" w:cs="Arial"/>
          <w:color w:val="000000" w:themeColor="text1"/>
          <w:sz w:val="22"/>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A027C9">
        <w:rPr>
          <w:rFonts w:ascii="Arial" w:hAnsi="Arial" w:eastAsia="Calibri" w:cs="Arial"/>
          <w:color w:val="000000" w:themeColor="text1"/>
          <w:sz w:val="22"/>
          <w:vertAlign w:val="superscript"/>
        </w:rPr>
        <w:footnoteReference w:id="14"/>
      </w:r>
      <w:r w:rsidRPr="00A027C9">
        <w:rPr>
          <w:rFonts w:ascii="Arial" w:hAnsi="Arial" w:eastAsia="Calibri" w:cs="Arial"/>
          <w:color w:val="000000" w:themeColor="text1"/>
          <w:sz w:val="22"/>
        </w:rPr>
        <w:t>. Finalmente, el artículo 10 establece la obligación que tienen las entidades de publicar en el SECOP el Plan Anual de Adquisiciones</w:t>
      </w:r>
      <w:r w:rsidRPr="00A027C9">
        <w:rPr>
          <w:rFonts w:ascii="Arial" w:hAnsi="Arial" w:eastAsia="Calibri" w:cs="Arial"/>
          <w:color w:val="000000" w:themeColor="text1"/>
          <w:sz w:val="22"/>
          <w:vertAlign w:val="superscript"/>
        </w:rPr>
        <w:footnoteReference w:id="15"/>
      </w:r>
      <w:r w:rsidRPr="00A027C9">
        <w:rPr>
          <w:rFonts w:ascii="Arial" w:hAnsi="Arial" w:eastAsia="Calibri" w:cs="Arial"/>
          <w:color w:val="000000" w:themeColor="text1"/>
          <w:sz w:val="22"/>
        </w:rPr>
        <w:t xml:space="preserve">.  </w:t>
      </w:r>
    </w:p>
    <w:p w:rsidRPr="00A027C9" w:rsidR="0073536E" w:rsidP="0073536E" w:rsidRDefault="0073536E" w14:paraId="7E3368B1" w14:textId="77777777">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 xml:space="preserve">De conformidad con lo anterior, el Decreto 103 de 2015 señala que los documentos que deben publicar las entidades estatales a quienes les aplica la Ley 1712 de 2014, entre estas, por ejemplo, las empresas de servicios públicos mixtas, oficiales y privadas con participación pública,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w:t>
      </w:r>
    </w:p>
    <w:p w:rsidRPr="00A027C9" w:rsidR="0073536E" w:rsidP="0073536E" w:rsidRDefault="0073536E" w14:paraId="154455A0" w14:textId="77777777">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rsidRPr="00A027C9" w:rsidR="0073536E" w:rsidP="0073536E" w:rsidRDefault="0073536E" w14:paraId="79959065" w14:textId="77777777">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rsidRPr="00A027C9" w:rsidR="0073536E" w:rsidP="0073536E" w:rsidRDefault="0073536E" w14:paraId="79D17883" w14:textId="77777777">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Por lo tanto, en estos casos aplica la Ley 1712 de 2014 y el Decreto 103 de 2015, no el Decreto 1082 de 2015, porque esta última norma rige a las entidades sometidas al Estatuto General de Contratación de la Administración Pública, y por lo tanto no aplica, por ejemplo, a las empresas de servicios públicos domiciliarios que, por regla general, se rigen por el derecho privado. Por su parte, la Ley 1712 de 2014 y el Decreto reglamentario 103 de 2015 rigen a cualquier entidad pública, incluyendo</w:t>
      </w:r>
      <w:r w:rsidRPr="00A027C9">
        <w:rPr>
          <w:rFonts w:ascii="Arial" w:hAnsi="Arial" w:cs="Arial"/>
          <w:color w:val="000000" w:themeColor="text1"/>
          <w:sz w:val="22"/>
        </w:rPr>
        <w:t xml:space="preserve"> </w:t>
      </w:r>
      <w:r w:rsidRPr="00A027C9">
        <w:rPr>
          <w:rFonts w:ascii="Arial" w:hAnsi="Arial" w:eastAsia="Times New Roman" w:cs="Arial"/>
          <w:color w:val="000000" w:themeColor="text1"/>
          <w:sz w:val="22"/>
          <w:lang w:val="es-CO" w:eastAsia="es-CO"/>
        </w:rPr>
        <w:t xml:space="preserve">las pertenecientes a todas las Ramas del Poder Público, en todos los niveles de la estructura estatal, central o descentralizada por servicios o territorialmente, en los </w:t>
      </w:r>
      <w:r w:rsidRPr="00A027C9">
        <w:rPr>
          <w:rFonts w:ascii="Arial" w:hAnsi="Arial" w:eastAsia="Calibri" w:cs="Arial"/>
          <w:color w:val="000000" w:themeColor="text1"/>
          <w:sz w:val="22"/>
        </w:rPr>
        <w:t xml:space="preserve">órdenes nacional, departamental, municipal y distrital. </w:t>
      </w:r>
    </w:p>
    <w:p w:rsidRPr="00A027C9" w:rsidR="0073536E" w:rsidP="0073536E" w:rsidRDefault="0073536E" w14:paraId="74092350" w14:textId="3FA0C6E0">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 xml:space="preserve">Identificados los documentos que deben publicar las entidades de régimen especial y su fundamento normativo, a </w:t>
      </w:r>
      <w:proofErr w:type="gramStart"/>
      <w:r w:rsidRPr="00A027C9" w:rsidR="003308BA">
        <w:rPr>
          <w:rFonts w:ascii="Arial" w:hAnsi="Arial" w:eastAsia="Calibri" w:cs="Arial"/>
          <w:color w:val="000000" w:themeColor="text1"/>
          <w:sz w:val="22"/>
        </w:rPr>
        <w:t>continuación</w:t>
      </w:r>
      <w:proofErr w:type="gramEnd"/>
      <w:r w:rsidRPr="00A027C9">
        <w:rPr>
          <w:rFonts w:ascii="Arial" w:hAnsi="Arial" w:eastAsia="Calibri" w:cs="Arial"/>
          <w:color w:val="000000" w:themeColor="text1"/>
          <w:sz w:val="22"/>
        </w:rPr>
        <w:t xml:space="preserve"> se explicará cu</w:t>
      </w:r>
      <w:r w:rsidRPr="00A027C9" w:rsidR="007A3FFB">
        <w:rPr>
          <w:rFonts w:ascii="Arial" w:hAnsi="Arial" w:eastAsia="Calibri" w:cs="Arial"/>
          <w:color w:val="000000" w:themeColor="text1"/>
          <w:sz w:val="22"/>
        </w:rPr>
        <w:t>á</w:t>
      </w:r>
      <w:r w:rsidRPr="00A027C9">
        <w:rPr>
          <w:rFonts w:ascii="Arial" w:hAnsi="Arial" w:eastAsia="Calibri" w:cs="Arial"/>
          <w:color w:val="000000" w:themeColor="text1"/>
          <w:sz w:val="22"/>
        </w:rPr>
        <w:t xml:space="preserve">ndo se deben publicar, no sin antes explicar la posición que Colombia Compra Eficiente ha tenido en relación con este asunto. </w:t>
      </w:r>
    </w:p>
    <w:p w:rsidRPr="00A027C9" w:rsidR="0073536E" w:rsidP="0073536E" w:rsidRDefault="0073536E" w14:paraId="1D9C994B" w14:textId="12141580">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 xml:space="preserve">En el año 2017, en la consulta con radicado No. 4201713000005390 se </w:t>
      </w:r>
      <w:r w:rsidRPr="00A027C9" w:rsidR="00D66920">
        <w:rPr>
          <w:rFonts w:ascii="Arial" w:hAnsi="Arial" w:eastAsia="Calibri" w:cs="Arial"/>
          <w:color w:val="000000" w:themeColor="text1"/>
          <w:sz w:val="22"/>
        </w:rPr>
        <w:t xml:space="preserve">consideró </w:t>
      </w:r>
      <w:r w:rsidRPr="00A027C9">
        <w:rPr>
          <w:rFonts w:ascii="Arial" w:hAnsi="Arial" w:eastAsia="Calibri" w:cs="Arial"/>
          <w:color w:val="000000" w:themeColor="text1"/>
          <w:sz w:val="22"/>
        </w:rPr>
        <w:t>que el plazo para publicar por parte de las entidades de régimen especial es el que se fije en el manual de contratación de la entidad</w:t>
      </w:r>
      <w:r w:rsidRPr="00A027C9">
        <w:rPr>
          <w:rStyle w:val="FootnoteReference"/>
          <w:rFonts w:ascii="Arial" w:hAnsi="Arial" w:eastAsia="Calibri" w:cs="Arial"/>
          <w:color w:val="000000" w:themeColor="text1"/>
          <w:sz w:val="22"/>
        </w:rPr>
        <w:footnoteReference w:id="16"/>
      </w:r>
      <w:r w:rsidRPr="00A027C9">
        <w:rPr>
          <w:rFonts w:ascii="Arial" w:hAnsi="Arial" w:eastAsia="Calibri" w:cs="Arial"/>
          <w:color w:val="000000" w:themeColor="text1"/>
          <w:sz w:val="22"/>
        </w:rPr>
        <w:t>. Por su parte, en el año 2018, con la expedición de la Circular Externa Única, se cambió la postura y se indic</w:t>
      </w:r>
      <w:r w:rsidRPr="00A027C9" w:rsidR="00821EA2">
        <w:rPr>
          <w:rFonts w:ascii="Arial" w:hAnsi="Arial" w:eastAsia="Calibri" w:cs="Arial"/>
          <w:color w:val="000000" w:themeColor="text1"/>
          <w:sz w:val="22"/>
        </w:rPr>
        <w:t>ó que</w:t>
      </w:r>
      <w:r w:rsidRPr="00A027C9">
        <w:rPr>
          <w:rFonts w:ascii="Arial" w:hAnsi="Arial" w:eastAsia="Calibri" w:cs="Arial"/>
          <w:color w:val="000000" w:themeColor="text1"/>
          <w:sz w:val="22"/>
        </w:rPr>
        <w:t xml:space="preserve"> «las entidades que aun utilizan el SECOP I están obligadas a publicar los documentos del proceso dentro de los tres (3) días siguientes a su expedición […]</w:t>
      </w:r>
      <w:r w:rsidRPr="00A027C9">
        <w:rPr>
          <w:rStyle w:val="FootnoteReference"/>
          <w:rFonts w:ascii="Arial" w:hAnsi="Arial" w:eastAsia="Calibri" w:cs="Arial"/>
          <w:color w:val="000000" w:themeColor="text1"/>
          <w:sz w:val="22"/>
        </w:rPr>
        <w:footnoteReference w:id="17"/>
      </w:r>
      <w:r w:rsidRPr="00A027C9">
        <w:rPr>
          <w:rFonts w:ascii="Arial" w:hAnsi="Arial" w:eastAsia="Calibri" w:cs="Arial"/>
          <w:color w:val="000000" w:themeColor="text1"/>
          <w:sz w:val="22"/>
        </w:rPr>
        <w:t xml:space="preserve">». De lo regulado en la Circular Externa Única se infiere que se otorga un tratamiento igualitario a las entidades, independientemente de su régimen de contratación, por lo tanto, aplica el artículo 2.2.1.1.1.7.1. del Decreto 1082 de 2015. </w:t>
      </w:r>
    </w:p>
    <w:p w:rsidRPr="00A027C9" w:rsidR="0073536E" w:rsidP="0073536E" w:rsidRDefault="0073536E" w14:paraId="1BB19502" w14:textId="4BCFA012">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de la Administración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rsidRPr="00A027C9" w:rsidR="0073536E" w:rsidP="0073536E" w:rsidRDefault="0073536E" w14:paraId="06AE4180" w14:textId="12183129">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 xml:space="preserve">La Ley 1712 de 2014 y el Decreto reglamentario 103 de 2015, normativas que </w:t>
      </w:r>
      <w:r w:rsidRPr="00A027C9" w:rsidR="006316C6">
        <w:rPr>
          <w:rFonts w:ascii="Arial" w:hAnsi="Arial" w:eastAsia="Calibri" w:cs="Arial"/>
          <w:color w:val="000000" w:themeColor="text1"/>
          <w:sz w:val="22"/>
        </w:rPr>
        <w:t>identifican</w:t>
      </w:r>
      <w:r w:rsidRPr="00A027C9">
        <w:rPr>
          <w:rFonts w:ascii="Arial" w:hAnsi="Arial" w:eastAsia="Calibri" w:cs="Arial"/>
          <w:color w:val="000000" w:themeColor="text1"/>
          <w:sz w:val="22"/>
        </w:rPr>
        <w:t xml:space="preserve">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 razón de ser de la norma»</w:t>
      </w:r>
      <w:r w:rsidRPr="00A027C9">
        <w:rPr>
          <w:rStyle w:val="FootnoteReference"/>
          <w:rFonts w:ascii="Arial" w:hAnsi="Arial" w:eastAsia="Calibri" w:cs="Arial"/>
          <w:color w:val="000000" w:themeColor="text1"/>
          <w:sz w:val="22"/>
        </w:rPr>
        <w:footnoteReference w:id="18"/>
      </w:r>
      <w:r w:rsidRPr="00A027C9">
        <w:rPr>
          <w:rFonts w:ascii="Arial" w:hAnsi="Arial" w:eastAsia="Calibri" w:cs="Arial"/>
          <w:color w:val="000000" w:themeColor="text1"/>
          <w:sz w:val="22"/>
        </w:rPr>
        <w:t>. En este sentido, el juez razona por analogía, cuando aplica una ley frente una situación no contemplada explícitamente en ella, a partir del estudio de situaciones fácticas que fueron tratadas por el legislador y guardan similitud con el asunto tratado.</w:t>
      </w:r>
    </w:p>
    <w:p w:rsidRPr="00A027C9" w:rsidR="0073536E" w:rsidP="0073536E" w:rsidRDefault="0073536E" w14:paraId="661381D2" w14:textId="77777777">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A027C9">
        <w:rPr>
          <w:rStyle w:val="FootnoteReference"/>
          <w:rFonts w:ascii="Arial" w:hAnsi="Arial" w:eastAsia="Calibri" w:cs="Arial"/>
          <w:color w:val="000000" w:themeColor="text1"/>
          <w:sz w:val="22"/>
        </w:rPr>
        <w:footnoteReference w:id="19"/>
      </w:r>
      <w:r w:rsidRPr="00A027C9">
        <w:rPr>
          <w:rFonts w:ascii="Arial" w:hAnsi="Arial" w:eastAsia="Calibri" w:cs="Arial"/>
          <w:color w:val="000000" w:themeColor="text1"/>
          <w:sz w:val="22"/>
        </w:rPr>
        <w:t xml:space="preserve">. En este sentido, las entidades sometidas al régimen de contratación de Ley 80 de 1993 publican en el SECOP sus documentos dentro de los 3 días siguientes a su expedición. </w:t>
      </w:r>
    </w:p>
    <w:p w:rsidRPr="00A027C9" w:rsidR="0073536E" w:rsidP="0073536E" w:rsidRDefault="0073536E" w14:paraId="15684995" w14:textId="19EEF6B5">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Si bien el Decreto 1082 de 2015 en principio no aplica a las entidades estatales exceptuadas del Estatuto General de Contratación de la Administración Pública, porque su régimen de contratación es el derecho privado, es posible aplicarle el artículo 2.2.1.1.1.7.1. en virtud de la analogía. Lo anterior, debido a que esta norma guarda similitud con el asunto tratado</w:t>
      </w:r>
      <w:r w:rsidRPr="00A027C9" w:rsidR="0061730D">
        <w:rPr>
          <w:rFonts w:ascii="Arial" w:hAnsi="Arial" w:eastAsia="Calibri" w:cs="Arial"/>
          <w:color w:val="000000" w:themeColor="text1"/>
          <w:sz w:val="22"/>
        </w:rPr>
        <w:t>,</w:t>
      </w:r>
      <w:r w:rsidRPr="00A027C9">
        <w:rPr>
          <w:rFonts w:ascii="Arial" w:hAnsi="Arial" w:eastAsia="Calibri" w:cs="Arial"/>
          <w:color w:val="000000" w:themeColor="text1"/>
          <w:sz w:val="22"/>
        </w:rPr>
        <w:t xml:space="preserve"> ya que regula la publicidad de los documentos del SECOP y, por lo tanto, es viable </w:t>
      </w:r>
      <w:r w:rsidRPr="00A027C9" w:rsidR="003308BA">
        <w:rPr>
          <w:rFonts w:ascii="Arial" w:hAnsi="Arial" w:eastAsia="Calibri" w:cs="Arial"/>
          <w:color w:val="000000" w:themeColor="text1"/>
          <w:sz w:val="22"/>
        </w:rPr>
        <w:t>aplicarles</w:t>
      </w:r>
      <w:r w:rsidRPr="00A027C9">
        <w:rPr>
          <w:rFonts w:ascii="Arial" w:hAnsi="Arial" w:eastAsia="Calibri" w:cs="Arial"/>
          <w:color w:val="000000" w:themeColor="text1"/>
          <w:sz w:val="22"/>
        </w:rPr>
        <w:t xml:space="preserve"> su consecuencia jurídica a las entidades de régimen especial. </w:t>
      </w:r>
    </w:p>
    <w:p w:rsidRPr="00A027C9" w:rsidR="0073536E" w:rsidP="0073536E" w:rsidRDefault="0073536E" w14:paraId="5CDB8902" w14:textId="77777777">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 xml:space="preserve">A su vez, no es posible que las entidades definan en su manual de contratación el momento en el cual publicarán sus documentos contractuales, porque este es un asunto que debe definir el legislador o el gobierno por medio de un reglamento. </w:t>
      </w:r>
    </w:p>
    <w:p w:rsidRPr="00A027C9" w:rsidR="0073536E" w:rsidP="0073536E" w:rsidRDefault="0073536E" w14:paraId="6D23EE30" w14:textId="01DB8397">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rsidRPr="00A027C9" w:rsidR="003308BA" w:rsidP="0073536E" w:rsidRDefault="003308BA" w14:paraId="5D53DBE5" w14:textId="01134BF8">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 xml:space="preserve">Es del caso precisar que </w:t>
      </w:r>
      <w:r w:rsidRPr="00A027C9" w:rsidR="009311E9">
        <w:rPr>
          <w:rFonts w:ascii="Arial" w:hAnsi="Arial" w:eastAsia="Calibri" w:cs="Arial"/>
          <w:color w:val="000000" w:themeColor="text1"/>
          <w:sz w:val="22"/>
        </w:rPr>
        <w:t>el deber antes referido es de rango legal</w:t>
      </w:r>
      <w:r w:rsidRPr="00A027C9" w:rsidR="00FA5D0A">
        <w:rPr>
          <w:rFonts w:ascii="Arial" w:hAnsi="Arial" w:eastAsia="Calibri" w:cs="Arial"/>
          <w:color w:val="000000" w:themeColor="text1"/>
          <w:sz w:val="22"/>
        </w:rPr>
        <w:t>. En consecuencia</w:t>
      </w:r>
      <w:r w:rsidRPr="00A027C9" w:rsidR="007B0F6A">
        <w:rPr>
          <w:rFonts w:ascii="Arial" w:hAnsi="Arial" w:eastAsia="Calibri" w:cs="Arial"/>
          <w:color w:val="000000" w:themeColor="text1"/>
          <w:sz w:val="22"/>
        </w:rPr>
        <w:t xml:space="preserve">, </w:t>
      </w:r>
      <w:r w:rsidRPr="00A027C9" w:rsidR="00FA5D0A">
        <w:rPr>
          <w:rFonts w:ascii="Arial" w:hAnsi="Arial" w:eastAsia="Calibri" w:cs="Arial"/>
          <w:color w:val="000000" w:themeColor="text1"/>
          <w:sz w:val="22"/>
        </w:rPr>
        <w:t>su</w:t>
      </w:r>
      <w:r w:rsidRPr="00A027C9" w:rsidR="007B0F6A">
        <w:rPr>
          <w:rFonts w:ascii="Arial" w:hAnsi="Arial" w:eastAsia="Calibri" w:cs="Arial"/>
          <w:color w:val="000000" w:themeColor="text1"/>
          <w:sz w:val="22"/>
        </w:rPr>
        <w:t xml:space="preserve"> cumplimiento </w:t>
      </w:r>
      <w:r w:rsidRPr="00A027C9" w:rsidR="00FA5D0A">
        <w:rPr>
          <w:rFonts w:ascii="Arial" w:hAnsi="Arial" w:eastAsia="Calibri" w:cs="Arial"/>
          <w:color w:val="000000" w:themeColor="text1"/>
          <w:sz w:val="22"/>
        </w:rPr>
        <w:t xml:space="preserve">es imperativo </w:t>
      </w:r>
      <w:r w:rsidRPr="00A027C9" w:rsidR="007B0F6A">
        <w:rPr>
          <w:rFonts w:ascii="Arial" w:hAnsi="Arial" w:eastAsia="Calibri" w:cs="Arial"/>
          <w:color w:val="000000" w:themeColor="text1"/>
          <w:sz w:val="22"/>
        </w:rPr>
        <w:t xml:space="preserve">para las entidades públicas, de lo que se deriva </w:t>
      </w:r>
      <w:r w:rsidRPr="00A027C9" w:rsidR="00FA5D0A">
        <w:rPr>
          <w:rFonts w:ascii="Arial" w:hAnsi="Arial" w:eastAsia="Calibri" w:cs="Arial"/>
          <w:color w:val="000000" w:themeColor="text1"/>
          <w:sz w:val="22"/>
        </w:rPr>
        <w:t xml:space="preserve">que </w:t>
      </w:r>
      <w:r w:rsidRPr="00A027C9" w:rsidR="007B0F6A">
        <w:rPr>
          <w:rFonts w:ascii="Arial" w:hAnsi="Arial" w:eastAsia="Calibri" w:cs="Arial"/>
          <w:color w:val="000000" w:themeColor="text1"/>
          <w:sz w:val="22"/>
        </w:rPr>
        <w:t xml:space="preserve">estas, especialmente las </w:t>
      </w:r>
      <w:r w:rsidRPr="00A027C9" w:rsidR="00FA5D0A">
        <w:rPr>
          <w:rFonts w:ascii="Arial" w:hAnsi="Arial" w:eastAsia="Calibri" w:cs="Arial"/>
          <w:color w:val="000000" w:themeColor="text1"/>
          <w:sz w:val="22"/>
        </w:rPr>
        <w:t>que tienen un</w:t>
      </w:r>
      <w:r w:rsidRPr="00A027C9" w:rsidR="009760A8">
        <w:rPr>
          <w:rFonts w:ascii="Arial" w:hAnsi="Arial" w:eastAsia="Calibri" w:cs="Arial"/>
          <w:color w:val="000000" w:themeColor="text1"/>
          <w:sz w:val="22"/>
        </w:rPr>
        <w:t xml:space="preserve"> régimen </w:t>
      </w:r>
      <w:r w:rsidRPr="00A027C9" w:rsidR="00FA5D0A">
        <w:rPr>
          <w:rFonts w:ascii="Arial" w:hAnsi="Arial" w:eastAsia="Calibri" w:cs="Arial"/>
          <w:color w:val="000000" w:themeColor="text1"/>
          <w:sz w:val="22"/>
        </w:rPr>
        <w:t xml:space="preserve">de contratación </w:t>
      </w:r>
      <w:r w:rsidRPr="00A027C9" w:rsidR="009760A8">
        <w:rPr>
          <w:rFonts w:ascii="Arial" w:hAnsi="Arial" w:eastAsia="Calibri" w:cs="Arial"/>
          <w:color w:val="000000" w:themeColor="text1"/>
          <w:sz w:val="22"/>
        </w:rPr>
        <w:t>especial</w:t>
      </w:r>
      <w:r w:rsidRPr="00A027C9" w:rsidR="007B0F6A">
        <w:rPr>
          <w:rFonts w:ascii="Arial" w:hAnsi="Arial" w:eastAsia="Calibri" w:cs="Arial"/>
          <w:color w:val="000000" w:themeColor="text1"/>
          <w:sz w:val="22"/>
        </w:rPr>
        <w:t>,</w:t>
      </w:r>
      <w:r w:rsidRPr="00A027C9" w:rsidR="009760A8">
        <w:rPr>
          <w:rFonts w:ascii="Arial" w:hAnsi="Arial" w:eastAsia="Calibri" w:cs="Arial"/>
          <w:color w:val="000000" w:themeColor="text1"/>
          <w:sz w:val="22"/>
        </w:rPr>
        <w:t xml:space="preserve"> deben adaptar sus prácticas contractuales para cumplir con </w:t>
      </w:r>
      <w:r w:rsidRPr="00A027C9" w:rsidR="00FA5D0A">
        <w:rPr>
          <w:rFonts w:ascii="Arial" w:hAnsi="Arial" w:eastAsia="Calibri" w:cs="Arial"/>
          <w:color w:val="000000" w:themeColor="text1"/>
          <w:sz w:val="22"/>
        </w:rPr>
        <w:t>el deber de publicar sus documentos del proceso de contratación dentro de los tres (3) días siguientes a su expedición</w:t>
      </w:r>
      <w:r w:rsidRPr="00A027C9" w:rsidR="0062279A">
        <w:rPr>
          <w:rFonts w:ascii="Arial" w:hAnsi="Arial" w:eastAsia="Calibri" w:cs="Arial"/>
          <w:color w:val="000000" w:themeColor="text1"/>
          <w:sz w:val="22"/>
        </w:rPr>
        <w:t xml:space="preserve"> formal</w:t>
      </w:r>
      <w:r w:rsidRPr="00A027C9" w:rsidR="009760A8">
        <w:rPr>
          <w:rFonts w:ascii="Arial" w:hAnsi="Arial" w:eastAsia="Calibri" w:cs="Arial"/>
          <w:color w:val="000000" w:themeColor="text1"/>
          <w:sz w:val="22"/>
        </w:rPr>
        <w:t>. No puede ocurrir</w:t>
      </w:r>
      <w:r w:rsidRPr="00A027C9" w:rsidR="00FA5D0A">
        <w:rPr>
          <w:rFonts w:ascii="Arial" w:hAnsi="Arial" w:eastAsia="Calibri" w:cs="Arial"/>
          <w:color w:val="000000" w:themeColor="text1"/>
          <w:sz w:val="22"/>
        </w:rPr>
        <w:t>, pues,</w:t>
      </w:r>
      <w:r w:rsidRPr="00A027C9" w:rsidR="009760A8">
        <w:rPr>
          <w:rFonts w:ascii="Arial" w:hAnsi="Arial" w:eastAsia="Calibri" w:cs="Arial"/>
          <w:color w:val="000000" w:themeColor="text1"/>
          <w:sz w:val="22"/>
        </w:rPr>
        <w:t xml:space="preserve"> que, amparadas en su régimen, </w:t>
      </w:r>
      <w:r w:rsidRPr="00A027C9" w:rsidR="00FA5D0A">
        <w:rPr>
          <w:rFonts w:ascii="Arial" w:hAnsi="Arial" w:eastAsia="Calibri" w:cs="Arial"/>
          <w:color w:val="000000" w:themeColor="text1"/>
          <w:sz w:val="22"/>
        </w:rPr>
        <w:t xml:space="preserve">algunas entidades </w:t>
      </w:r>
      <w:r w:rsidRPr="00A027C9" w:rsidR="009760A8">
        <w:rPr>
          <w:rFonts w:ascii="Arial" w:hAnsi="Arial" w:eastAsia="Calibri" w:cs="Arial"/>
          <w:color w:val="000000" w:themeColor="text1"/>
          <w:sz w:val="22"/>
        </w:rPr>
        <w:t xml:space="preserve">pretendan incumplir </w:t>
      </w:r>
      <w:r w:rsidRPr="00A027C9" w:rsidR="007E0A81">
        <w:rPr>
          <w:rFonts w:ascii="Arial" w:hAnsi="Arial" w:eastAsia="Calibri" w:cs="Arial"/>
          <w:color w:val="000000" w:themeColor="text1"/>
          <w:sz w:val="22"/>
        </w:rPr>
        <w:t xml:space="preserve">su </w:t>
      </w:r>
      <w:r w:rsidRPr="00A027C9" w:rsidR="009760A8">
        <w:rPr>
          <w:rFonts w:ascii="Arial" w:hAnsi="Arial" w:eastAsia="Calibri" w:cs="Arial"/>
          <w:color w:val="000000" w:themeColor="text1"/>
          <w:sz w:val="22"/>
        </w:rPr>
        <w:t xml:space="preserve">deber legal o cumplirlo de </w:t>
      </w:r>
      <w:r w:rsidRPr="00A027C9" w:rsidR="00FA5D0A">
        <w:rPr>
          <w:rFonts w:ascii="Arial" w:hAnsi="Arial" w:eastAsia="Calibri" w:cs="Arial"/>
          <w:color w:val="000000" w:themeColor="text1"/>
          <w:sz w:val="22"/>
        </w:rPr>
        <w:t xml:space="preserve">tal </w:t>
      </w:r>
      <w:r w:rsidRPr="00A027C9" w:rsidR="009760A8">
        <w:rPr>
          <w:rFonts w:ascii="Arial" w:hAnsi="Arial" w:eastAsia="Calibri" w:cs="Arial"/>
          <w:color w:val="000000" w:themeColor="text1"/>
          <w:sz w:val="22"/>
        </w:rPr>
        <w:t>manera</w:t>
      </w:r>
      <w:r w:rsidRPr="00A027C9" w:rsidR="007E0A81">
        <w:rPr>
          <w:rFonts w:ascii="Arial" w:hAnsi="Arial" w:eastAsia="Calibri" w:cs="Arial"/>
          <w:color w:val="000000" w:themeColor="text1"/>
          <w:sz w:val="22"/>
        </w:rPr>
        <w:t xml:space="preserve"> que se ajuste </w:t>
      </w:r>
      <w:r w:rsidRPr="00A027C9" w:rsidR="00FA5D0A">
        <w:rPr>
          <w:rFonts w:ascii="Arial" w:hAnsi="Arial" w:eastAsia="Calibri" w:cs="Arial"/>
          <w:color w:val="000000" w:themeColor="text1"/>
          <w:sz w:val="22"/>
        </w:rPr>
        <w:t>a las particularidades de sus trámites internos</w:t>
      </w:r>
      <w:r w:rsidRPr="00A027C9" w:rsidR="009760A8">
        <w:rPr>
          <w:rFonts w:ascii="Arial" w:hAnsi="Arial" w:eastAsia="Calibri" w:cs="Arial"/>
          <w:color w:val="000000" w:themeColor="text1"/>
          <w:sz w:val="22"/>
        </w:rPr>
        <w:t xml:space="preserve">, pues </w:t>
      </w:r>
      <w:r w:rsidRPr="00A027C9" w:rsidR="00FA5D0A">
        <w:rPr>
          <w:rFonts w:ascii="Arial" w:hAnsi="Arial" w:eastAsia="Calibri" w:cs="Arial"/>
          <w:color w:val="000000" w:themeColor="text1"/>
          <w:sz w:val="22"/>
        </w:rPr>
        <w:t xml:space="preserve">es la entidad la que </w:t>
      </w:r>
      <w:r w:rsidRPr="00A027C9" w:rsidR="009760A8">
        <w:rPr>
          <w:rFonts w:ascii="Arial" w:hAnsi="Arial" w:eastAsia="Calibri" w:cs="Arial"/>
          <w:color w:val="000000" w:themeColor="text1"/>
          <w:sz w:val="22"/>
        </w:rPr>
        <w:t xml:space="preserve">debe ajustar sus prácticas contractuales al ordenamiento jurídico, </w:t>
      </w:r>
      <w:r w:rsidRPr="00A027C9" w:rsidR="00FA5D0A">
        <w:rPr>
          <w:rFonts w:ascii="Arial" w:hAnsi="Arial" w:eastAsia="Calibri" w:cs="Arial"/>
          <w:color w:val="000000" w:themeColor="text1"/>
          <w:sz w:val="22"/>
        </w:rPr>
        <w:t xml:space="preserve">y no el ordenamiento jurídico el que </w:t>
      </w:r>
      <w:r w:rsidRPr="00A027C9" w:rsidR="00912E23">
        <w:rPr>
          <w:rFonts w:ascii="Arial" w:hAnsi="Arial" w:eastAsia="Calibri" w:cs="Arial"/>
          <w:color w:val="000000" w:themeColor="text1"/>
          <w:sz w:val="22"/>
        </w:rPr>
        <w:t xml:space="preserve">debe adaptarse </w:t>
      </w:r>
      <w:r w:rsidRPr="00A027C9" w:rsidR="00FA5D0A">
        <w:rPr>
          <w:rFonts w:ascii="Arial" w:hAnsi="Arial" w:eastAsia="Calibri" w:cs="Arial"/>
          <w:color w:val="000000" w:themeColor="text1"/>
          <w:sz w:val="22"/>
        </w:rPr>
        <w:t xml:space="preserve">o </w:t>
      </w:r>
      <w:r w:rsidRPr="00A027C9" w:rsidR="009760A8">
        <w:rPr>
          <w:rFonts w:ascii="Arial" w:hAnsi="Arial" w:eastAsia="Calibri" w:cs="Arial"/>
          <w:color w:val="000000" w:themeColor="text1"/>
          <w:sz w:val="22"/>
        </w:rPr>
        <w:t>acondicion</w:t>
      </w:r>
      <w:r w:rsidRPr="00A027C9" w:rsidR="00912E23">
        <w:rPr>
          <w:rFonts w:ascii="Arial" w:hAnsi="Arial" w:eastAsia="Calibri" w:cs="Arial"/>
          <w:color w:val="000000" w:themeColor="text1"/>
          <w:sz w:val="22"/>
        </w:rPr>
        <w:t>arse</w:t>
      </w:r>
      <w:r w:rsidRPr="00A027C9" w:rsidR="009760A8">
        <w:rPr>
          <w:rFonts w:ascii="Arial" w:hAnsi="Arial" w:eastAsia="Calibri" w:cs="Arial"/>
          <w:color w:val="000000" w:themeColor="text1"/>
          <w:sz w:val="22"/>
        </w:rPr>
        <w:t xml:space="preserve"> a las prácticas de aquellas. </w:t>
      </w:r>
    </w:p>
    <w:p w:rsidRPr="00A027C9" w:rsidR="0073536E" w:rsidP="0073536E" w:rsidRDefault="0073536E" w14:paraId="167586D3" w14:textId="31F123C2">
      <w:pPr>
        <w:spacing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w:t>
      </w:r>
      <w:r w:rsidRPr="00A027C9" w:rsidR="003308BA">
        <w:rPr>
          <w:rFonts w:ascii="Arial" w:hAnsi="Arial" w:eastAsia="Calibri" w:cs="Arial"/>
          <w:color w:val="000000" w:themeColor="text1"/>
          <w:sz w:val="22"/>
        </w:rPr>
        <w:t xml:space="preserve"> del Decreto 1082 de 2015.</w:t>
      </w:r>
      <w:r w:rsidRPr="00A027C9">
        <w:rPr>
          <w:rFonts w:ascii="Arial" w:hAnsi="Arial" w:eastAsia="Calibri" w:cs="Arial"/>
          <w:color w:val="000000" w:themeColor="text1"/>
          <w:sz w:val="22"/>
        </w:rPr>
        <w:t xml:space="preserve"> </w:t>
      </w:r>
    </w:p>
    <w:p w:rsidRPr="00A027C9" w:rsidR="0073536E" w:rsidP="0073536E" w:rsidRDefault="0073536E" w14:paraId="6FDEF466" w14:textId="77777777">
      <w:pPr>
        <w:spacing w:line="276" w:lineRule="auto"/>
        <w:jc w:val="both"/>
        <w:rPr>
          <w:rFonts w:ascii="Arial" w:hAnsi="Arial" w:eastAsia="Calibri" w:cs="Arial"/>
          <w:b/>
          <w:color w:val="000000" w:themeColor="text1"/>
          <w:sz w:val="22"/>
        </w:rPr>
      </w:pPr>
    </w:p>
    <w:p w:rsidRPr="00A027C9" w:rsidR="0073536E" w:rsidP="0073536E" w:rsidRDefault="0073536E" w14:paraId="5752D2E2" w14:textId="19D58C3D">
      <w:pPr>
        <w:spacing w:line="276" w:lineRule="auto"/>
        <w:jc w:val="both"/>
        <w:rPr>
          <w:rFonts w:ascii="Arial" w:hAnsi="Arial" w:eastAsia="Calibri" w:cs="Arial"/>
          <w:b/>
          <w:color w:val="000000" w:themeColor="text1"/>
          <w:sz w:val="22"/>
        </w:rPr>
      </w:pPr>
      <w:r w:rsidRPr="00A027C9">
        <w:rPr>
          <w:rFonts w:ascii="Arial" w:hAnsi="Arial" w:eastAsia="Calibri" w:cs="Arial"/>
          <w:b/>
          <w:color w:val="000000" w:themeColor="text1"/>
          <w:sz w:val="22"/>
        </w:rPr>
        <w:t xml:space="preserve">2.3. Publicidad </w:t>
      </w:r>
      <w:r w:rsidRPr="00A027C9" w:rsidR="003308BA">
        <w:rPr>
          <w:rFonts w:ascii="Arial" w:hAnsi="Arial" w:eastAsia="Calibri" w:cs="Arial"/>
          <w:b/>
          <w:color w:val="000000" w:themeColor="text1"/>
          <w:sz w:val="22"/>
        </w:rPr>
        <w:t>de los contratos fiduciarios</w:t>
      </w:r>
      <w:r w:rsidRPr="00A027C9">
        <w:rPr>
          <w:rFonts w:ascii="Arial" w:hAnsi="Arial" w:eastAsia="Calibri" w:cs="Arial"/>
          <w:b/>
          <w:color w:val="000000" w:themeColor="text1"/>
          <w:sz w:val="22"/>
        </w:rPr>
        <w:t xml:space="preserve"> </w:t>
      </w:r>
    </w:p>
    <w:p w:rsidRPr="00A027C9" w:rsidR="0073536E" w:rsidP="0073536E" w:rsidRDefault="0073536E" w14:paraId="1F70FC40" w14:textId="77777777">
      <w:pPr>
        <w:spacing w:line="276" w:lineRule="auto"/>
        <w:jc w:val="both"/>
        <w:rPr>
          <w:rFonts w:ascii="Arial" w:hAnsi="Arial" w:eastAsia="Calibri" w:cs="Arial"/>
          <w:b/>
          <w:color w:val="000000" w:themeColor="text1"/>
          <w:sz w:val="22"/>
        </w:rPr>
      </w:pPr>
    </w:p>
    <w:p w:rsidRPr="00A027C9" w:rsidR="009644A4" w:rsidP="009644A4" w:rsidRDefault="0073536E" w14:paraId="52142C2D" w14:textId="77777777">
      <w:pPr>
        <w:spacing w:before="120" w:after="120" w:line="276" w:lineRule="auto"/>
        <w:jc w:val="both"/>
        <w:rPr>
          <w:rFonts w:ascii="Arial" w:hAnsi="Arial" w:eastAsia="Calibri" w:cs="Arial"/>
          <w:color w:val="000000" w:themeColor="text1"/>
          <w:sz w:val="22"/>
          <w:lang w:val="es-ES"/>
        </w:rPr>
      </w:pPr>
      <w:r w:rsidRPr="00A027C9">
        <w:rPr>
          <w:rFonts w:ascii="Arial" w:hAnsi="Arial" w:eastAsia="Calibri" w:cs="Arial"/>
          <w:color w:val="000000" w:themeColor="text1"/>
          <w:sz w:val="22"/>
          <w:lang w:val="es-ES"/>
        </w:rPr>
        <w:t>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w:t>
      </w:r>
      <w:r w:rsidRPr="00A027C9" w:rsidR="009644A4">
        <w:rPr>
          <w:rFonts w:ascii="Arial" w:hAnsi="Arial" w:eastAsia="Calibri" w:cs="Arial"/>
          <w:color w:val="000000" w:themeColor="text1"/>
          <w:sz w:val="22"/>
          <w:lang w:val="es-ES"/>
        </w:rPr>
        <w:t xml:space="preserve"> L</w:t>
      </w:r>
      <w:r w:rsidRPr="00A027C9">
        <w:rPr>
          <w:rFonts w:ascii="Arial" w:hAnsi="Arial" w:eastAsia="Calibri" w:cs="Arial"/>
          <w:color w:val="000000" w:themeColor="text1"/>
          <w:sz w:val="22"/>
          <w:lang w:val="es-ES"/>
        </w:rPr>
        <w:t xml:space="preserve">a medida aplica para los procesos de contratación que se inicien a partir del 1 de enero de 2020. </w:t>
      </w:r>
    </w:p>
    <w:p w:rsidRPr="00A027C9" w:rsidR="0073536E" w:rsidP="007D3004" w:rsidRDefault="0073536E" w14:paraId="5EE59068" w14:textId="57A7306C">
      <w:pPr>
        <w:spacing w:before="120" w:after="120" w:line="276" w:lineRule="auto"/>
        <w:ind w:firstLine="708"/>
        <w:jc w:val="both"/>
        <w:rPr>
          <w:rFonts w:ascii="Arial" w:hAnsi="Arial" w:eastAsia="Calibri" w:cs="Arial"/>
          <w:color w:val="000000" w:themeColor="text1"/>
          <w:sz w:val="22"/>
          <w:lang w:val="es-ES"/>
        </w:rPr>
      </w:pPr>
      <w:r w:rsidRPr="00A027C9">
        <w:rPr>
          <w:rFonts w:ascii="Arial" w:hAnsi="Arial" w:eastAsia="Calibri" w:cs="Arial"/>
          <w:color w:val="000000" w:themeColor="text1"/>
          <w:sz w:val="22"/>
          <w:lang w:val="es-ES"/>
        </w:rPr>
        <w:t>Est</w:t>
      </w:r>
      <w:r w:rsidRPr="00A027C9" w:rsidR="00E40250">
        <w:rPr>
          <w:rFonts w:ascii="Arial" w:hAnsi="Arial" w:eastAsia="Calibri" w:cs="Arial"/>
          <w:color w:val="000000" w:themeColor="text1"/>
          <w:sz w:val="22"/>
          <w:lang w:val="es-ES"/>
        </w:rPr>
        <w:t>e</w:t>
      </w:r>
      <w:r w:rsidRPr="00A027C9">
        <w:rPr>
          <w:rFonts w:ascii="Arial" w:hAnsi="Arial" w:eastAsia="Calibri" w:cs="Arial"/>
          <w:color w:val="000000" w:themeColor="text1"/>
          <w:sz w:val="22"/>
          <w:lang w:val="es-ES"/>
        </w:rPr>
        <w:t xml:space="preserve"> plazo fue prorrogado por la Agencia Nacional de Contratación Pública – Colombia Compra Eficiente, mediante la Circular Externa No. 2 de 2019, a través de la cual se amplió «la </w:t>
      </w:r>
      <w:proofErr w:type="gramStart"/>
      <w:r w:rsidRPr="00A027C9">
        <w:rPr>
          <w:rFonts w:ascii="Arial" w:hAnsi="Arial" w:eastAsia="Calibri" w:cs="Arial"/>
          <w:color w:val="000000" w:themeColor="text1"/>
          <w:sz w:val="22"/>
          <w:lang w:val="es-ES"/>
        </w:rPr>
        <w:t>entrada en vigencia</w:t>
      </w:r>
      <w:proofErr w:type="gramEnd"/>
      <w:r w:rsidRPr="00A027C9">
        <w:rPr>
          <w:rFonts w:ascii="Arial" w:hAnsi="Arial" w:eastAsia="Calibri" w:cs="Arial"/>
          <w:color w:val="000000" w:themeColor="text1"/>
          <w:sz w:val="22"/>
          <w:lang w:val="es-ES"/>
        </w:rPr>
        <w:t xml:space="preserve"> de la obligatoriedad del SECOP ll. En consecuencia, las alcaldías capitales de departamento (Administración central) y los departamentos (Administración central) gestionarán todos sus procesos de contratación, exclusivamente en el SECOP ll, a partir del 1 de abril de 2020».</w:t>
      </w:r>
      <w:r w:rsidRPr="00A027C9" w:rsidR="007D3004">
        <w:rPr>
          <w:rFonts w:ascii="Arial" w:hAnsi="Arial" w:eastAsia="Calibri" w:cs="Arial"/>
          <w:color w:val="000000" w:themeColor="text1"/>
          <w:sz w:val="22"/>
          <w:lang w:val="es-ES"/>
        </w:rPr>
        <w:t xml:space="preserve">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rsidRPr="00A027C9" w:rsidR="007D3004" w:rsidP="00B1784E" w:rsidRDefault="007D3004" w14:paraId="42D618C5" w14:textId="7ECC2EDC">
      <w:pPr>
        <w:spacing w:before="120" w:after="120" w:line="276" w:lineRule="auto"/>
        <w:ind w:firstLine="708"/>
        <w:jc w:val="both"/>
        <w:rPr>
          <w:rFonts w:ascii="Arial" w:hAnsi="Arial" w:eastAsia="Calibri" w:cs="Arial"/>
          <w:color w:val="000000" w:themeColor="text1"/>
          <w:sz w:val="22"/>
          <w:lang w:val="es-ES"/>
        </w:rPr>
      </w:pPr>
      <w:r w:rsidRPr="00A027C9">
        <w:rPr>
          <w:rFonts w:ascii="Arial" w:hAnsi="Arial" w:eastAsia="Calibri" w:cs="Arial"/>
          <w:color w:val="000000" w:themeColor="text1"/>
          <w:sz w:val="22"/>
          <w:lang w:val="es-ES"/>
        </w:rPr>
        <w:t xml:space="preserve">Los primeros, porque no alcanzaron a ser capacitados en el uso de la plataforma SECOP II, habida cuenta que los programas de formación a cargo de esta entidad se suspendieron por la emergencia en salud pública ocasionada por el Coronavirus - COVID 19. Los segundos, debido a que </w:t>
      </w:r>
      <w:r w:rsidRPr="00A027C9" w:rsidR="00B1784E">
        <w:rPr>
          <w:rFonts w:ascii="Arial" w:hAnsi="Arial" w:eastAsia="Calibri" w:cs="Arial"/>
          <w:color w:val="000000" w:themeColor="text1"/>
          <w:sz w:val="22"/>
          <w:lang w:val="es-ES"/>
        </w:rPr>
        <w:t>«las velocidades de carga son insuficientes para operar la plataforma en [sus] territorios», esto es, por problemas de capacidad técnica de las redes.</w:t>
      </w:r>
    </w:p>
    <w:p w:rsidRPr="00A027C9" w:rsidR="00342280" w:rsidP="00342280" w:rsidRDefault="00E74FEA" w14:paraId="233EA49D" w14:textId="2C71F2E1">
      <w:pPr>
        <w:spacing w:before="120" w:after="120" w:line="276" w:lineRule="auto"/>
        <w:ind w:firstLine="709"/>
        <w:jc w:val="both"/>
        <w:rPr>
          <w:rFonts w:ascii="Arial" w:hAnsi="Arial" w:eastAsia="Calibri" w:cs="Arial"/>
          <w:color w:val="000000" w:themeColor="text1"/>
          <w:sz w:val="22"/>
          <w:lang w:val="es-ES"/>
        </w:rPr>
      </w:pPr>
      <w:r w:rsidRPr="00A027C9">
        <w:rPr>
          <w:rFonts w:ascii="Arial" w:hAnsi="Arial" w:eastAsia="Calibri" w:cs="Arial"/>
          <w:color w:val="000000" w:themeColor="text1"/>
          <w:sz w:val="22"/>
          <w:lang w:val="es-ES"/>
        </w:rPr>
        <w:t>Ahora bien, e</w:t>
      </w:r>
      <w:r w:rsidRPr="00A027C9" w:rsidR="009644A4">
        <w:rPr>
          <w:rFonts w:ascii="Arial" w:hAnsi="Arial" w:eastAsia="Calibri" w:cs="Arial"/>
          <w:color w:val="000000" w:themeColor="text1"/>
          <w:sz w:val="22"/>
          <w:lang w:val="es-ES"/>
        </w:rPr>
        <w:t xml:space="preserve">n relación con </w:t>
      </w:r>
      <w:r w:rsidRPr="00A027C9" w:rsidR="00AF154D">
        <w:rPr>
          <w:rFonts w:ascii="Arial" w:hAnsi="Arial" w:eastAsia="Calibri" w:cs="Arial"/>
          <w:color w:val="000000" w:themeColor="text1"/>
          <w:sz w:val="22"/>
          <w:lang w:val="es-ES"/>
        </w:rPr>
        <w:t>los contratos fiduciarios</w:t>
      </w:r>
      <w:r w:rsidRPr="00A027C9" w:rsidR="00554AF7">
        <w:rPr>
          <w:rFonts w:ascii="Arial" w:hAnsi="Arial" w:eastAsia="Calibri" w:cs="Arial"/>
          <w:color w:val="000000" w:themeColor="text1"/>
          <w:sz w:val="22"/>
          <w:lang w:val="es-ES"/>
        </w:rPr>
        <w:t xml:space="preserve">, por medio de la Circular Externa No. 2 de 2019, </w:t>
      </w:r>
      <w:r w:rsidRPr="00A027C9" w:rsidR="00342280">
        <w:rPr>
          <w:rFonts w:ascii="Arial" w:hAnsi="Arial" w:eastAsia="Calibri" w:cs="Arial"/>
          <w:color w:val="000000" w:themeColor="text1"/>
          <w:sz w:val="22"/>
          <w:lang w:val="es-ES"/>
        </w:rPr>
        <w:t xml:space="preserve">se aclaró que, si bien es cierto que </w:t>
      </w:r>
      <w:r w:rsidRPr="00A027C9" w:rsidR="00AF154D">
        <w:rPr>
          <w:rFonts w:ascii="Arial" w:hAnsi="Arial" w:eastAsia="Calibri" w:cs="Arial"/>
          <w:color w:val="000000" w:themeColor="text1"/>
          <w:sz w:val="22"/>
          <w:lang w:val="es-ES"/>
        </w:rPr>
        <w:t>las sociedades fiduciarias</w:t>
      </w:r>
      <w:r w:rsidRPr="00A027C9" w:rsidR="00342280">
        <w:rPr>
          <w:rFonts w:ascii="Arial" w:hAnsi="Arial" w:eastAsia="Calibri" w:cs="Arial"/>
          <w:color w:val="000000" w:themeColor="text1"/>
          <w:sz w:val="22"/>
          <w:lang w:val="es-ES"/>
        </w:rPr>
        <w:t xml:space="preserve"> no se encuentran obligadas a publicar su actividad contractual en el SECOP II, también lo es que «[…] en relación con los contratos fiduciarios suscritos con las entidades estatales obligadas en el 2020 deberán publicar la actividad contractual derivada de esos negocios en el SECOP ll, pero solo en caso de que la entidad pública que los contrata no lo cumpla, en la forma prevista en el numeral 1.8 de la Circular Externa</w:t>
      </w:r>
      <w:r w:rsidRPr="00A027C9" w:rsidR="00C33C1B">
        <w:rPr>
          <w:rFonts w:ascii="Arial" w:hAnsi="Arial" w:eastAsia="Calibri" w:cs="Arial"/>
          <w:color w:val="000000" w:themeColor="text1"/>
          <w:sz w:val="22"/>
          <w:lang w:val="es-ES"/>
        </w:rPr>
        <w:t xml:space="preserve"> Única</w:t>
      </w:r>
      <w:r w:rsidRPr="00A027C9" w:rsidR="00342280">
        <w:rPr>
          <w:rFonts w:ascii="Arial" w:hAnsi="Arial" w:eastAsia="Calibri" w:cs="Arial"/>
          <w:color w:val="000000" w:themeColor="text1"/>
          <w:sz w:val="22"/>
          <w:lang w:val="es-ES"/>
        </w:rPr>
        <w:t xml:space="preserve">». </w:t>
      </w:r>
      <w:r w:rsidRPr="00A027C9" w:rsidR="00757693">
        <w:rPr>
          <w:rFonts w:ascii="Arial" w:hAnsi="Arial" w:eastAsia="Calibri" w:cs="Arial"/>
          <w:color w:val="000000" w:themeColor="text1"/>
          <w:sz w:val="22"/>
          <w:lang w:val="es-ES"/>
        </w:rPr>
        <w:t>Al respecto</w:t>
      </w:r>
      <w:r w:rsidRPr="00A027C9" w:rsidR="00342280">
        <w:rPr>
          <w:rFonts w:ascii="Arial" w:hAnsi="Arial" w:eastAsia="Calibri" w:cs="Arial"/>
          <w:color w:val="000000" w:themeColor="text1"/>
          <w:sz w:val="22"/>
          <w:lang w:val="es-ES"/>
        </w:rPr>
        <w:t>,</w:t>
      </w:r>
      <w:r w:rsidRPr="00A027C9" w:rsidR="00C33C1B">
        <w:rPr>
          <w:rFonts w:ascii="Arial" w:hAnsi="Arial" w:eastAsia="Calibri" w:cs="Arial"/>
          <w:color w:val="000000" w:themeColor="text1"/>
          <w:sz w:val="22"/>
          <w:lang w:val="es-ES"/>
        </w:rPr>
        <w:t xml:space="preserve"> el literal e) de</w:t>
      </w:r>
      <w:r w:rsidRPr="00A027C9" w:rsidR="00342280">
        <w:rPr>
          <w:rFonts w:ascii="Arial" w:hAnsi="Arial" w:eastAsia="Calibri" w:cs="Arial"/>
          <w:color w:val="000000" w:themeColor="text1"/>
          <w:sz w:val="22"/>
          <w:lang w:val="es-ES"/>
        </w:rPr>
        <w:t xml:space="preserve"> esta última Circular establece lo siguiente:</w:t>
      </w:r>
    </w:p>
    <w:p w:rsidRPr="00A027C9" w:rsidR="00342280" w:rsidP="005150EE" w:rsidRDefault="00342280" w14:paraId="2114F440" w14:textId="3BEB0CC6">
      <w:pPr>
        <w:ind w:firstLine="709"/>
        <w:jc w:val="both"/>
        <w:rPr>
          <w:rFonts w:ascii="Arial" w:hAnsi="Arial" w:eastAsia="Calibri" w:cs="Arial"/>
          <w:color w:val="000000" w:themeColor="text1"/>
          <w:sz w:val="22"/>
          <w:lang w:val="es-ES"/>
        </w:rPr>
      </w:pPr>
    </w:p>
    <w:p w:rsidRPr="00A027C9" w:rsidR="0073536E" w:rsidP="00C33C1B" w:rsidRDefault="00C33C1B" w14:paraId="27E1BDE6" w14:textId="7CA9DC10">
      <w:pPr>
        <w:spacing w:before="120" w:after="120"/>
        <w:ind w:left="709" w:right="709"/>
        <w:jc w:val="both"/>
        <w:rPr>
          <w:rFonts w:ascii="Arial" w:hAnsi="Arial" w:eastAsia="Calibri" w:cs="Arial"/>
          <w:color w:val="000000" w:themeColor="text1"/>
          <w:sz w:val="21"/>
          <w:szCs w:val="21"/>
          <w:lang w:val="es-ES"/>
        </w:rPr>
      </w:pPr>
      <w:r w:rsidRPr="00A027C9">
        <w:rPr>
          <w:rFonts w:ascii="Arial" w:hAnsi="Arial" w:eastAsia="Calibri" w:cs="Arial"/>
          <w:color w:val="000000" w:themeColor="text1"/>
          <w:sz w:val="21"/>
          <w:szCs w:val="21"/>
          <w:lang w:val="es-ES"/>
        </w:rPr>
        <w:t xml:space="preserve">(e) El SECOP debe contar con la información oficial de la contratación realizada con recursos públicos. </w:t>
      </w:r>
      <w:r w:rsidRPr="00A027C9">
        <w:rPr>
          <w:rFonts w:ascii="Arial" w:hAnsi="Arial" w:eastAsia="Calibri" w:cs="Arial"/>
          <w:i/>
          <w:iCs/>
          <w:color w:val="000000" w:themeColor="text1"/>
          <w:sz w:val="21"/>
          <w:szCs w:val="21"/>
          <w:lang w:val="es-ES"/>
        </w:rPr>
        <w:t>Los contratos fiduciarios entendidos como los suscritos entre la Entidad Estatal y la fiduciaria deberán ser publicados por la Entidad Estatal que lo suscriba</w:t>
      </w:r>
      <w:r w:rsidRPr="00A027C9">
        <w:rPr>
          <w:rFonts w:ascii="Arial" w:hAnsi="Arial" w:eastAsia="Calibri" w:cs="Arial"/>
          <w:color w:val="000000" w:themeColor="text1"/>
          <w:sz w:val="21"/>
          <w:szCs w:val="21"/>
          <w:lang w:val="es-ES"/>
        </w:rPr>
        <w:t>. Los contratos que realice la fiduciaria en virtud del contrato de fiducia o encargo fiduciario, es decir, la contratación derivada, también deberán ser publicados por la Entidad Estatal con la intervención de la fiduciaria para efectos de la firma del contrato</w:t>
      </w:r>
      <w:r w:rsidRPr="00A027C9" w:rsidR="009311E9">
        <w:rPr>
          <w:rFonts w:ascii="Arial" w:hAnsi="Arial" w:eastAsia="Calibri" w:cs="Arial"/>
          <w:color w:val="000000" w:themeColor="text1"/>
          <w:sz w:val="21"/>
          <w:szCs w:val="21"/>
          <w:lang w:val="es-ES"/>
        </w:rPr>
        <w:t>.</w:t>
      </w:r>
      <w:r w:rsidRPr="00A027C9" w:rsidR="0073536E">
        <w:rPr>
          <w:rFonts w:ascii="Arial" w:hAnsi="Arial" w:eastAsia="Calibri" w:cs="Arial"/>
          <w:color w:val="000000" w:themeColor="text1"/>
          <w:sz w:val="21"/>
          <w:szCs w:val="21"/>
          <w:lang w:val="es-ES"/>
        </w:rPr>
        <w:t xml:space="preserve"> </w:t>
      </w:r>
      <w:r w:rsidRPr="00A027C9" w:rsidR="00A33957">
        <w:rPr>
          <w:rFonts w:ascii="Arial" w:hAnsi="Arial" w:eastAsia="Calibri" w:cs="Arial"/>
          <w:color w:val="000000" w:themeColor="text1"/>
          <w:sz w:val="21"/>
          <w:szCs w:val="21"/>
          <w:lang w:val="es-ES"/>
        </w:rPr>
        <w:t>(Cursivas propias)</w:t>
      </w:r>
    </w:p>
    <w:p w:rsidRPr="00A027C9" w:rsidR="009311E9" w:rsidP="0073536E" w:rsidRDefault="009311E9" w14:paraId="7AB98A7D" w14:textId="77777777">
      <w:pPr>
        <w:spacing w:line="276" w:lineRule="auto"/>
        <w:ind w:firstLine="709"/>
        <w:jc w:val="both"/>
        <w:rPr>
          <w:rFonts w:ascii="Arial" w:hAnsi="Arial" w:eastAsia="Calibri" w:cs="Arial"/>
          <w:color w:val="000000" w:themeColor="text1"/>
          <w:sz w:val="22"/>
          <w:lang w:val="es-ES"/>
        </w:rPr>
      </w:pPr>
    </w:p>
    <w:p w:rsidRPr="00A027C9" w:rsidR="0074447C" w:rsidP="005150EE" w:rsidRDefault="0074447C" w14:paraId="133C0ACD" w14:textId="0F15B51F">
      <w:pPr>
        <w:spacing w:line="276" w:lineRule="auto"/>
        <w:ind w:firstLine="708"/>
        <w:jc w:val="both"/>
        <w:rPr>
          <w:rFonts w:ascii="Arial" w:hAnsi="Arial" w:eastAsia="Calibri" w:cs="Arial"/>
          <w:color w:val="000000" w:themeColor="text1"/>
          <w:sz w:val="22"/>
          <w:lang w:val="es-ES"/>
        </w:rPr>
      </w:pPr>
      <w:r w:rsidRPr="00A027C9">
        <w:rPr>
          <w:rFonts w:ascii="Arial" w:hAnsi="Arial" w:eastAsia="Calibri" w:cs="Arial"/>
          <w:color w:val="000000" w:themeColor="text1"/>
          <w:sz w:val="22"/>
          <w:lang w:val="es-ES"/>
        </w:rPr>
        <w:t>P</w:t>
      </w:r>
      <w:r w:rsidRPr="00A027C9" w:rsidR="00A33957">
        <w:rPr>
          <w:rFonts w:ascii="Arial" w:hAnsi="Arial" w:eastAsia="Calibri" w:cs="Arial"/>
          <w:color w:val="000000" w:themeColor="text1"/>
          <w:sz w:val="22"/>
          <w:lang w:val="es-ES"/>
        </w:rPr>
        <w:t>ara el cumplimiento de la obligación transcrita se debe distinguir si el contrato a publicar está o no sometido al Régimen General de Contratación de la Administración Pública</w:t>
      </w:r>
      <w:r w:rsidRPr="00A027C9">
        <w:rPr>
          <w:rFonts w:ascii="Arial" w:hAnsi="Arial" w:eastAsia="Calibri" w:cs="Arial"/>
          <w:color w:val="000000" w:themeColor="text1"/>
          <w:sz w:val="22"/>
          <w:lang w:val="es-ES"/>
        </w:rPr>
        <w:t xml:space="preserve">. Si sí lo está, «la Entidad Estatal deberá usar la funcionalidad de la modalidad de selección correspondiente», como lo dispone la Circular Externa Única de Colombia Compra Eficiente. Si no lo está, </w:t>
      </w:r>
      <w:r w:rsidRPr="00A027C9" w:rsidR="00A33957">
        <w:rPr>
          <w:rFonts w:ascii="Arial" w:hAnsi="Arial" w:eastAsia="Calibri" w:cs="Arial"/>
          <w:color w:val="000000" w:themeColor="text1"/>
          <w:sz w:val="22"/>
          <w:lang w:val="es-ES"/>
        </w:rPr>
        <w:t xml:space="preserve">la entidad debe utilizar el módulo «Régimen Especial» del SECOP II, </w:t>
      </w:r>
      <w:r w:rsidRPr="00A027C9" w:rsidR="00A33957">
        <w:rPr>
          <w:rFonts w:ascii="Arial" w:hAnsi="Arial" w:cs="Arial"/>
          <w:color w:val="000000" w:themeColor="text1"/>
          <w:sz w:val="22"/>
          <w:lang w:val="es-ES"/>
        </w:rPr>
        <w:t xml:space="preserve">Para tales fines, la plataforma tiene habilitados dos módulos: i) el </w:t>
      </w:r>
      <w:r w:rsidRPr="00A027C9" w:rsidR="00A33957">
        <w:rPr>
          <w:rFonts w:ascii="Arial" w:hAnsi="Arial" w:cs="Arial"/>
          <w:i/>
          <w:iCs/>
          <w:color w:val="000000" w:themeColor="text1"/>
          <w:sz w:val="22"/>
          <w:lang w:val="es-ES"/>
        </w:rPr>
        <w:t xml:space="preserve">Módulo Régimen Especial </w:t>
      </w:r>
      <w:r w:rsidRPr="00A027C9" w:rsidR="00E96BB0">
        <w:rPr>
          <w:rFonts w:ascii="Arial" w:hAnsi="Arial" w:cs="Arial"/>
          <w:i/>
          <w:iCs/>
          <w:color w:val="000000" w:themeColor="text1"/>
          <w:sz w:val="22"/>
          <w:lang w:val="es-ES"/>
        </w:rPr>
        <w:t>−</w:t>
      </w:r>
      <w:r w:rsidRPr="00A027C9" w:rsidR="00A33957">
        <w:rPr>
          <w:rFonts w:ascii="Arial" w:hAnsi="Arial" w:cs="Arial"/>
          <w:i/>
          <w:iCs/>
          <w:color w:val="000000" w:themeColor="text1"/>
          <w:sz w:val="22"/>
          <w:lang w:val="es-ES"/>
        </w:rPr>
        <w:t>con ofertas</w:t>
      </w:r>
      <w:r w:rsidRPr="00A027C9" w:rsidR="00E96BB0">
        <w:rPr>
          <w:rFonts w:ascii="Arial" w:hAnsi="Arial" w:cs="Arial"/>
          <w:i/>
          <w:iCs/>
          <w:color w:val="000000" w:themeColor="text1"/>
          <w:sz w:val="22"/>
          <w:lang w:val="es-ES"/>
        </w:rPr>
        <w:t>−</w:t>
      </w:r>
      <w:r w:rsidRPr="00A027C9" w:rsidR="00A33957">
        <w:rPr>
          <w:rFonts w:ascii="Arial" w:hAnsi="Arial" w:cs="Arial"/>
          <w:color w:val="000000" w:themeColor="text1"/>
          <w:sz w:val="22"/>
          <w:lang w:val="es-ES"/>
        </w:rPr>
        <w:t xml:space="preserve">, dispuesto para los procesos competitivos; y ii) </w:t>
      </w:r>
      <w:r w:rsidRPr="00A027C9" w:rsidR="00A33957">
        <w:rPr>
          <w:rFonts w:ascii="Arial" w:hAnsi="Arial" w:cs="Arial"/>
          <w:i/>
          <w:iCs/>
          <w:color w:val="000000" w:themeColor="text1"/>
          <w:sz w:val="22"/>
          <w:lang w:val="es-ES"/>
        </w:rPr>
        <w:t xml:space="preserve">Módulo Régimen Especial </w:t>
      </w:r>
      <w:r w:rsidRPr="00A027C9" w:rsidR="00E96BB0">
        <w:rPr>
          <w:rFonts w:ascii="Arial" w:hAnsi="Arial" w:cs="Arial"/>
          <w:i/>
          <w:iCs/>
          <w:color w:val="000000" w:themeColor="text1"/>
          <w:sz w:val="22"/>
          <w:lang w:val="es-ES"/>
        </w:rPr>
        <w:t>−</w:t>
      </w:r>
      <w:r w:rsidRPr="00A027C9" w:rsidR="00A33957">
        <w:rPr>
          <w:rFonts w:ascii="Arial" w:hAnsi="Arial" w:cs="Arial"/>
          <w:i/>
          <w:iCs/>
          <w:color w:val="000000" w:themeColor="text1"/>
          <w:sz w:val="22"/>
          <w:lang w:val="es-ES"/>
        </w:rPr>
        <w:t>sin ofertas</w:t>
      </w:r>
      <w:r w:rsidRPr="00A027C9" w:rsidR="00E96BB0">
        <w:rPr>
          <w:rFonts w:ascii="Arial" w:hAnsi="Arial" w:cs="Arial"/>
          <w:i/>
          <w:iCs/>
          <w:color w:val="000000" w:themeColor="text1"/>
          <w:sz w:val="22"/>
          <w:lang w:val="es-ES"/>
        </w:rPr>
        <w:t>−</w:t>
      </w:r>
      <w:r w:rsidRPr="00A027C9" w:rsidR="00A33957">
        <w:rPr>
          <w:rFonts w:ascii="Arial" w:hAnsi="Arial" w:cs="Arial"/>
          <w:color w:val="000000" w:themeColor="text1"/>
          <w:sz w:val="22"/>
          <w:lang w:val="es-ES"/>
        </w:rPr>
        <w:t>, diseñado para aquellos eventos en los que no se requiere adelantar un proceso competitivo.</w:t>
      </w:r>
      <w:r w:rsidRPr="00A027C9">
        <w:rPr>
          <w:rFonts w:ascii="Arial" w:hAnsi="Arial" w:cs="Arial"/>
          <w:color w:val="000000" w:themeColor="text1"/>
          <w:sz w:val="22"/>
          <w:lang w:val="es-ES"/>
        </w:rPr>
        <w:t xml:space="preserve"> En ambos casos, </w:t>
      </w:r>
      <w:r w:rsidRPr="00A027C9">
        <w:rPr>
          <w:rFonts w:ascii="Arial" w:hAnsi="Arial" w:eastAsia="Calibri" w:cs="Arial"/>
          <w:color w:val="000000" w:themeColor="text1"/>
          <w:sz w:val="22"/>
          <w:lang w:val="es-ES"/>
        </w:rPr>
        <w:t>la entidad puede elegir si firma el contrato electrónicamente, esto es, utiliza el módulo de gestión contractual del SECOP II con registro por parte del Proveedor y firma electrónica, o si firma el contrato en físico y publica los documentos de ejecución en la etapa precontractual del SECOP II «Etapa de Proceso».</w:t>
      </w:r>
    </w:p>
    <w:p w:rsidRPr="00A027C9" w:rsidR="00F718AB" w:rsidP="00B05013" w:rsidRDefault="009311E9" w14:paraId="4EFE4FEB" w14:textId="4ED219E3">
      <w:pPr>
        <w:spacing w:before="120" w:line="276" w:lineRule="auto"/>
        <w:ind w:firstLine="709"/>
        <w:jc w:val="both"/>
        <w:rPr>
          <w:rFonts w:ascii="Arial" w:hAnsi="Arial" w:eastAsia="Calibri" w:cs="Arial"/>
          <w:color w:val="000000" w:themeColor="text1"/>
          <w:sz w:val="22"/>
          <w:lang w:val="es-ES"/>
        </w:rPr>
      </w:pPr>
      <w:r w:rsidRPr="00A027C9">
        <w:rPr>
          <w:rFonts w:ascii="Arial" w:hAnsi="Arial" w:eastAsia="Calibri" w:cs="Arial"/>
          <w:color w:val="000000" w:themeColor="text1"/>
          <w:sz w:val="22"/>
          <w:lang w:val="es-ES"/>
        </w:rPr>
        <w:t xml:space="preserve">En ese sentido, </w:t>
      </w:r>
      <w:r w:rsidRPr="00A027C9" w:rsidR="006709A2">
        <w:rPr>
          <w:rFonts w:ascii="Arial" w:hAnsi="Arial" w:eastAsia="Calibri" w:cs="Arial"/>
          <w:color w:val="000000" w:themeColor="text1"/>
          <w:sz w:val="22"/>
          <w:lang w:val="es-ES"/>
        </w:rPr>
        <w:t>«quien firma por parte de la fiduciaria tendría que crear un usuario del SECOP II y solicitar acceso a la cuenta de la Entidad Estatal para realizar la firma electrónica. En el segundo caso, quien firma por parte de la fiduciaria suscribiría el contrato en físico y la Entidad Estatal cargaría del contrato en la fase de “Proceso”. Para poder publicar el contrato y cualquier documento de ejecución contractual en la fase “Proceso” no se debe finalizar dicha etapa, pues esta acción cierra el expediente contractual impidiendo cualquier publicación posterior», según lo expone la referida Circular Externa.</w:t>
      </w:r>
      <w:r w:rsidRPr="00A027C9" w:rsidR="00F718AB">
        <w:rPr>
          <w:rFonts w:ascii="Arial" w:hAnsi="Arial" w:eastAsia="Calibri" w:cs="Arial"/>
          <w:color w:val="000000" w:themeColor="text1"/>
          <w:sz w:val="22"/>
          <w:lang w:val="es-ES"/>
        </w:rPr>
        <w:t xml:space="preserve"> </w:t>
      </w:r>
    </w:p>
    <w:p w:rsidRPr="00A027C9" w:rsidR="00F718AB" w:rsidP="00B05013" w:rsidRDefault="002E46AB" w14:paraId="4F5603A1" w14:textId="175B1F0D">
      <w:pPr>
        <w:spacing w:before="120" w:line="276" w:lineRule="auto"/>
        <w:ind w:firstLine="709"/>
        <w:jc w:val="both"/>
        <w:rPr>
          <w:rFonts w:ascii="Arial" w:hAnsi="Arial" w:eastAsia="Calibri" w:cs="Arial"/>
          <w:color w:val="000000" w:themeColor="text1"/>
          <w:sz w:val="22"/>
          <w:lang w:val="es-ES"/>
        </w:rPr>
      </w:pPr>
      <w:r w:rsidRPr="00A027C9">
        <w:rPr>
          <w:rFonts w:ascii="Arial" w:hAnsi="Arial" w:eastAsia="Calibri" w:cs="Arial"/>
          <w:color w:val="000000" w:themeColor="text1"/>
          <w:sz w:val="22"/>
          <w:lang w:val="es-ES"/>
        </w:rPr>
        <w:t xml:space="preserve">Es del caso precisar </w:t>
      </w:r>
      <w:proofErr w:type="gramStart"/>
      <w:r w:rsidRPr="00A027C9">
        <w:rPr>
          <w:rFonts w:ascii="Arial" w:hAnsi="Arial" w:eastAsia="Calibri" w:cs="Arial"/>
          <w:color w:val="000000" w:themeColor="text1"/>
          <w:sz w:val="22"/>
          <w:lang w:val="es-ES"/>
        </w:rPr>
        <w:t>que</w:t>
      </w:r>
      <w:proofErr w:type="gramEnd"/>
      <w:r w:rsidRPr="00A027C9" w:rsidR="00A13CD2">
        <w:rPr>
          <w:rFonts w:ascii="Arial" w:hAnsi="Arial" w:eastAsia="Calibri" w:cs="Arial"/>
          <w:color w:val="000000" w:themeColor="text1"/>
          <w:sz w:val="22"/>
          <w:lang w:val="es-ES"/>
        </w:rPr>
        <w:t xml:space="preserve"> si </w:t>
      </w:r>
      <w:r w:rsidRPr="00A027C9">
        <w:rPr>
          <w:rFonts w:ascii="Arial" w:hAnsi="Arial" w:eastAsia="Calibri" w:cs="Arial"/>
          <w:color w:val="000000" w:themeColor="text1"/>
          <w:sz w:val="22"/>
          <w:lang w:val="es-ES"/>
        </w:rPr>
        <w:t xml:space="preserve">la entidad se niega a publicar la «contratación derivada», con la intervención de la fiduciaria para efectos de la firma del contrato a publicar, la fiduciaria que actúe como vocero del patrimonio autónomo en calidad de contratante, </w:t>
      </w:r>
      <w:r w:rsidRPr="00A027C9" w:rsidR="00A13CD2">
        <w:rPr>
          <w:rFonts w:ascii="Arial" w:hAnsi="Arial" w:eastAsia="Calibri" w:cs="Arial"/>
          <w:color w:val="000000" w:themeColor="text1"/>
          <w:sz w:val="22"/>
          <w:lang w:val="es-ES"/>
        </w:rPr>
        <w:t xml:space="preserve">queda en el deber de </w:t>
      </w:r>
      <w:r w:rsidRPr="00A027C9">
        <w:rPr>
          <w:rFonts w:ascii="Arial" w:hAnsi="Arial" w:eastAsia="Calibri" w:cs="Arial"/>
          <w:color w:val="000000" w:themeColor="text1"/>
          <w:sz w:val="22"/>
          <w:lang w:val="es-ES"/>
        </w:rPr>
        <w:t>«publicar toda la actividad contractual derivada en el SECOP I</w:t>
      </w:r>
      <w:r w:rsidRPr="00A027C9" w:rsidR="00B05013">
        <w:rPr>
          <w:rFonts w:ascii="Arial" w:hAnsi="Arial" w:eastAsia="Calibri" w:cs="Arial"/>
          <w:color w:val="000000" w:themeColor="text1"/>
          <w:sz w:val="22"/>
          <w:lang w:val="es-ES"/>
        </w:rPr>
        <w:t xml:space="preserve">, </w:t>
      </w:r>
      <w:r w:rsidRPr="00A027C9">
        <w:rPr>
          <w:rFonts w:ascii="Arial" w:hAnsi="Arial" w:eastAsia="Calibri" w:cs="Arial"/>
          <w:color w:val="000000" w:themeColor="text1"/>
          <w:sz w:val="22"/>
          <w:lang w:val="es-ES"/>
        </w:rPr>
        <w:t>mediante una cuenta de entidad compradora en el módulo de régimen especial»</w:t>
      </w:r>
      <w:r w:rsidRPr="00A027C9">
        <w:rPr>
          <w:rStyle w:val="FootnoteReference"/>
          <w:rFonts w:ascii="Arial" w:hAnsi="Arial" w:eastAsia="Calibri" w:cs="Arial"/>
          <w:color w:val="000000" w:themeColor="text1"/>
          <w:sz w:val="22"/>
          <w:lang w:val="es-ES"/>
        </w:rPr>
        <w:footnoteReference w:id="20"/>
      </w:r>
      <w:r w:rsidRPr="00A027C9" w:rsidR="00A13CD2">
        <w:rPr>
          <w:rFonts w:ascii="Arial" w:hAnsi="Arial" w:eastAsia="Calibri" w:cs="Arial"/>
          <w:color w:val="000000" w:themeColor="text1"/>
          <w:sz w:val="22"/>
          <w:lang w:val="es-ES"/>
        </w:rPr>
        <w:t>.</w:t>
      </w:r>
    </w:p>
    <w:p w:rsidRPr="00A027C9" w:rsidR="005150EE" w:rsidP="005150EE" w:rsidRDefault="00541360" w14:paraId="5DCBE6D3" w14:textId="6A8E60C2">
      <w:pPr>
        <w:spacing w:before="120" w:line="276" w:lineRule="auto"/>
        <w:ind w:firstLine="709"/>
        <w:jc w:val="both"/>
        <w:rPr>
          <w:rFonts w:ascii="Arial" w:hAnsi="Arial" w:eastAsia="Calibri" w:cs="Arial"/>
          <w:color w:val="000000" w:themeColor="text1"/>
          <w:sz w:val="22"/>
          <w:lang w:val="es-ES"/>
        </w:rPr>
      </w:pPr>
      <w:r w:rsidRPr="00A027C9">
        <w:rPr>
          <w:rFonts w:ascii="Arial" w:hAnsi="Arial" w:eastAsia="Calibri" w:cs="Arial"/>
          <w:color w:val="000000" w:themeColor="text1"/>
          <w:sz w:val="22"/>
          <w:lang w:val="es-ES"/>
        </w:rPr>
        <w:t xml:space="preserve">En suma, </w:t>
      </w:r>
      <w:r w:rsidRPr="00A027C9" w:rsidR="005150EE">
        <w:rPr>
          <w:rFonts w:ascii="Arial" w:hAnsi="Arial" w:eastAsia="Calibri" w:cs="Arial"/>
          <w:color w:val="000000" w:themeColor="text1"/>
          <w:sz w:val="22"/>
          <w:lang w:val="es-ES"/>
        </w:rPr>
        <w:t xml:space="preserve">los contratos fiduciarios deberán ser publicados por la Entidad Estatal que lo suscriba, </w:t>
      </w:r>
      <w:proofErr w:type="gramStart"/>
      <w:r w:rsidRPr="00A027C9" w:rsidR="005150EE">
        <w:rPr>
          <w:rFonts w:ascii="Arial" w:hAnsi="Arial" w:eastAsia="Calibri" w:cs="Arial"/>
          <w:color w:val="000000" w:themeColor="text1"/>
          <w:sz w:val="22"/>
          <w:lang w:val="es-ES"/>
        </w:rPr>
        <w:t>de acuerdo al</w:t>
      </w:r>
      <w:proofErr w:type="gramEnd"/>
      <w:r w:rsidRPr="00A027C9" w:rsidR="005150EE">
        <w:rPr>
          <w:rFonts w:ascii="Arial" w:hAnsi="Arial" w:eastAsia="Calibri" w:cs="Arial"/>
          <w:color w:val="000000" w:themeColor="text1"/>
          <w:sz w:val="22"/>
          <w:lang w:val="es-ES"/>
        </w:rPr>
        <w:t xml:space="preserve"> régimen jurídico aplicable al contrato y según lo visto en párrafos precedentes. Igualmente, </w:t>
      </w:r>
      <w:r w:rsidRPr="00A027C9">
        <w:rPr>
          <w:rFonts w:ascii="Arial" w:hAnsi="Arial" w:eastAsia="Calibri" w:cs="Arial"/>
          <w:color w:val="000000" w:themeColor="text1"/>
          <w:sz w:val="22"/>
          <w:lang w:val="es-ES"/>
        </w:rPr>
        <w:t>la publicación de la «contratación derivada» de los contratos de fiducia deberá realizarse, o por la Entidad Estatal fideicomitente</w:t>
      </w:r>
      <w:r w:rsidRPr="00A027C9" w:rsidR="00E33900">
        <w:rPr>
          <w:rFonts w:ascii="Arial" w:hAnsi="Arial" w:eastAsia="Calibri" w:cs="Arial"/>
          <w:color w:val="000000" w:themeColor="text1"/>
          <w:sz w:val="22"/>
          <w:lang w:val="es-ES"/>
        </w:rPr>
        <w:t>,</w:t>
      </w:r>
      <w:r w:rsidRPr="00A027C9">
        <w:rPr>
          <w:rFonts w:ascii="Arial" w:hAnsi="Arial" w:eastAsia="Calibri" w:cs="Arial"/>
          <w:color w:val="000000" w:themeColor="text1"/>
          <w:sz w:val="22"/>
          <w:lang w:val="es-ES"/>
        </w:rPr>
        <w:t xml:space="preserve"> con intervención de la fiduciaria para efectos de la firma del contrato, o por la fiduciaria que actúe como vocero de los patrimonios autónomos en calidad de contratante</w:t>
      </w:r>
      <w:r w:rsidRPr="00A027C9" w:rsidR="005150EE">
        <w:rPr>
          <w:rFonts w:ascii="Arial" w:hAnsi="Arial" w:eastAsia="Calibri" w:cs="Arial"/>
          <w:color w:val="000000" w:themeColor="text1"/>
          <w:sz w:val="22"/>
          <w:lang w:val="es-ES"/>
        </w:rPr>
        <w:t>, también teniendo en cuenta el régimen del contrato y lo explicado en el presente documento</w:t>
      </w:r>
      <w:r w:rsidRPr="00A027C9">
        <w:rPr>
          <w:rFonts w:ascii="Arial" w:hAnsi="Arial" w:eastAsia="Calibri" w:cs="Arial"/>
          <w:color w:val="000000" w:themeColor="text1"/>
          <w:sz w:val="22"/>
          <w:lang w:val="es-ES"/>
        </w:rPr>
        <w:t xml:space="preserve">. </w:t>
      </w:r>
    </w:p>
    <w:p w:rsidRPr="00A027C9" w:rsidR="005150EE" w:rsidP="005150EE" w:rsidRDefault="005150EE" w14:paraId="59B4904F" w14:textId="71206250">
      <w:pPr>
        <w:spacing w:before="120" w:line="276" w:lineRule="auto"/>
        <w:ind w:firstLine="709"/>
        <w:jc w:val="both"/>
        <w:rPr>
          <w:rFonts w:ascii="Arial" w:hAnsi="Arial" w:eastAsia="Calibri" w:cs="Arial"/>
          <w:color w:val="000000" w:themeColor="text1"/>
          <w:sz w:val="22"/>
          <w:lang w:val="es-ES"/>
        </w:rPr>
      </w:pPr>
      <w:r w:rsidRPr="00A027C9">
        <w:rPr>
          <w:rFonts w:ascii="Arial" w:hAnsi="Arial" w:eastAsia="Calibri" w:cs="Arial"/>
          <w:color w:val="000000" w:themeColor="text1"/>
          <w:sz w:val="22"/>
          <w:lang w:val="es-ES"/>
        </w:rPr>
        <w:t>En relación con la «contratación derivada», se debe optar por una de las opciones, esto es, que lo haga la entidad o que lo haga la sociedad fiduciaria, con el objetivo de evitar la duplicidad de la información.</w:t>
      </w:r>
    </w:p>
    <w:p w:rsidRPr="00A027C9" w:rsidR="001A7B0C" w:rsidP="000920F0" w:rsidRDefault="001A7B0C" w14:paraId="30778167" w14:textId="77777777">
      <w:pPr>
        <w:spacing w:line="276" w:lineRule="auto"/>
        <w:jc w:val="both"/>
        <w:rPr>
          <w:rFonts w:ascii="Arial" w:hAnsi="Arial" w:cs="Arial"/>
          <w:color w:val="000000" w:themeColor="text1"/>
          <w:sz w:val="22"/>
          <w:lang w:val="es-ES"/>
        </w:rPr>
      </w:pPr>
    </w:p>
    <w:p w:rsidRPr="00A027C9" w:rsidR="000920F0" w:rsidP="000920F0" w:rsidRDefault="000920F0" w14:paraId="2980998C" w14:textId="77777777">
      <w:pPr>
        <w:pStyle w:val="ListParagraph"/>
        <w:tabs>
          <w:tab w:val="left" w:pos="284"/>
        </w:tabs>
        <w:spacing w:line="276" w:lineRule="auto"/>
        <w:ind w:left="0"/>
        <w:jc w:val="both"/>
        <w:rPr>
          <w:rFonts w:ascii="Arial" w:hAnsi="Arial" w:eastAsia="Calibri" w:cs="Arial"/>
          <w:color w:val="000000" w:themeColor="text1"/>
          <w:sz w:val="22"/>
          <w:lang w:val="es-ES_tradnl"/>
        </w:rPr>
      </w:pPr>
      <w:r w:rsidRPr="00A027C9">
        <w:rPr>
          <w:rFonts w:ascii="Arial" w:hAnsi="Arial" w:eastAsia="Calibri" w:cs="Arial"/>
          <w:b/>
          <w:color w:val="000000" w:themeColor="text1"/>
          <w:sz w:val="22"/>
          <w:lang w:val="es-ES_tradnl"/>
        </w:rPr>
        <w:t>3. Respuesta</w:t>
      </w:r>
    </w:p>
    <w:p w:rsidRPr="00A027C9" w:rsidR="000920F0" w:rsidP="000920F0" w:rsidRDefault="000920F0" w14:paraId="458F619B" w14:textId="77777777">
      <w:pPr>
        <w:spacing w:line="276" w:lineRule="auto"/>
        <w:ind w:left="709" w:right="709"/>
        <w:jc w:val="both"/>
        <w:rPr>
          <w:rFonts w:ascii="Arial" w:hAnsi="Arial" w:eastAsia="Calibri" w:cs="Arial"/>
          <w:i/>
          <w:color w:val="000000" w:themeColor="text1"/>
          <w:sz w:val="22"/>
          <w:lang w:val="es-ES_tradnl"/>
        </w:rPr>
      </w:pPr>
    </w:p>
    <w:p w:rsidRPr="00A027C9" w:rsidR="006B3828" w:rsidP="006B3828" w:rsidRDefault="00481A85" w14:paraId="4DFE33E7" w14:textId="2054368C">
      <w:pPr>
        <w:ind w:left="709" w:right="709"/>
        <w:jc w:val="both"/>
        <w:rPr>
          <w:rFonts w:ascii="Arial" w:hAnsi="Arial" w:eastAsia="Calibri" w:cs="Arial"/>
          <w:color w:val="000000" w:themeColor="text1"/>
          <w:sz w:val="21"/>
          <w:szCs w:val="21"/>
          <w:lang w:val="es-ES_tradnl"/>
        </w:rPr>
      </w:pPr>
      <w:r w:rsidRPr="00A027C9">
        <w:rPr>
          <w:rFonts w:ascii="Arial" w:hAnsi="Arial" w:eastAsia="Calibri" w:cs="Arial"/>
          <w:color w:val="000000" w:themeColor="text1"/>
          <w:sz w:val="21"/>
          <w:szCs w:val="21"/>
          <w:lang w:val="es-ES_tradnl"/>
        </w:rPr>
        <w:t>i) «¿[…] cómo debe ser la forma correcta de dar publicidad a los procesos de contratación respecto a la creación del proceso y del contrato y la gestión contractual de los mismos, teniendo en cuenta que la selección le corresponde al FENOFE, pero es la fiduciaria quien adelanta los trámites precontractuales y contractuales […]?»</w:t>
      </w:r>
      <w:r w:rsidRPr="00A027C9" w:rsidR="00174ED6">
        <w:rPr>
          <w:rFonts w:ascii="Arial" w:hAnsi="Arial" w:eastAsia="Calibri" w:cs="Arial"/>
          <w:color w:val="000000" w:themeColor="text1"/>
          <w:sz w:val="21"/>
          <w:szCs w:val="21"/>
          <w:lang w:val="es-ES_tradnl"/>
        </w:rPr>
        <w:t xml:space="preserve">; y </w:t>
      </w:r>
      <w:r w:rsidRPr="00A027C9" w:rsidR="00174ED6">
        <w:rPr>
          <w:rFonts w:ascii="Arial" w:hAnsi="Arial" w:eastAsia="Calibri" w:cs="Arial"/>
          <w:color w:val="000000" w:themeColor="text1"/>
          <w:sz w:val="22"/>
          <w:lang w:val="es-ES_tradnl"/>
        </w:rPr>
        <w:t>iii) ¿cuál es «la forma de llevar los procesos en nuestras otras dos modalidades (invitación abierta y cerrada) en donde la presentación de ofertas se hace de manera presencial en nuestras instalaciones, por lo que no es posible hacer una apertura de ofertas, publicación de la lista de oferentes y ofertas, posterior a eso subir los informes de evaluación y selección y todo el proceso que se hace normalmente por la plataforma secop ii?»</w:t>
      </w:r>
      <w:r w:rsidRPr="00A027C9" w:rsidR="00E33900">
        <w:rPr>
          <w:rFonts w:ascii="Arial" w:hAnsi="Arial" w:eastAsia="Calibri" w:cs="Arial"/>
          <w:color w:val="000000" w:themeColor="text1"/>
          <w:sz w:val="21"/>
          <w:szCs w:val="21"/>
          <w:lang w:val="es-ES_tradnl"/>
        </w:rPr>
        <w:t>.</w:t>
      </w:r>
    </w:p>
    <w:p w:rsidRPr="00A027C9" w:rsidR="00474C49" w:rsidP="00BC600B" w:rsidRDefault="00474C49" w14:paraId="6E0429F0" w14:textId="77777777">
      <w:pPr>
        <w:jc w:val="both"/>
        <w:rPr>
          <w:rFonts w:ascii="Arial" w:hAnsi="Arial" w:eastAsia="Calibri" w:cs="Arial"/>
          <w:color w:val="000000" w:themeColor="text1"/>
          <w:sz w:val="22"/>
          <w:lang w:val="es-ES_tradnl"/>
        </w:rPr>
      </w:pPr>
    </w:p>
    <w:p w:rsidRPr="00A027C9" w:rsidR="00474C49" w:rsidP="00474C49" w:rsidRDefault="00474C49" w14:paraId="02A1EE7C" w14:textId="2F3DBB17">
      <w:pPr>
        <w:spacing w:line="276" w:lineRule="auto"/>
        <w:jc w:val="both"/>
        <w:rPr>
          <w:rFonts w:ascii="Arial" w:hAnsi="Arial" w:eastAsia="Calibri" w:cs="Arial"/>
          <w:color w:val="000000" w:themeColor="text1"/>
          <w:sz w:val="22"/>
          <w:lang w:val="es-ES_tradnl"/>
        </w:rPr>
      </w:pPr>
      <w:r w:rsidRPr="00A027C9">
        <w:rPr>
          <w:rFonts w:ascii="Arial" w:hAnsi="Arial" w:eastAsia="Calibri" w:cs="Arial"/>
          <w:color w:val="000000" w:themeColor="text1"/>
          <w:sz w:val="22"/>
          <w:lang w:val="es-ES_tradnl"/>
        </w:rPr>
        <w:t xml:space="preserve">Los contratos fiduciarios deben ser publicados por la Entidad Estatal que lo suscriba, </w:t>
      </w:r>
      <w:proofErr w:type="gramStart"/>
      <w:r w:rsidRPr="00A027C9">
        <w:rPr>
          <w:rFonts w:ascii="Arial" w:hAnsi="Arial" w:eastAsia="Calibri" w:cs="Arial"/>
          <w:color w:val="000000" w:themeColor="text1"/>
          <w:sz w:val="22"/>
          <w:lang w:val="es-ES_tradnl"/>
        </w:rPr>
        <w:t>de acuerdo al</w:t>
      </w:r>
      <w:proofErr w:type="gramEnd"/>
      <w:r w:rsidRPr="00A027C9">
        <w:rPr>
          <w:rFonts w:ascii="Arial" w:hAnsi="Arial" w:eastAsia="Calibri" w:cs="Arial"/>
          <w:color w:val="000000" w:themeColor="text1"/>
          <w:sz w:val="22"/>
          <w:lang w:val="es-ES_tradnl"/>
        </w:rPr>
        <w:t xml:space="preserve"> régimen jurídico de la entidad. Igualmente, la publicación de la «contratación derivada» de los contratos de fiducia </w:t>
      </w:r>
      <w:r w:rsidRPr="00A027C9" w:rsidR="002611D5">
        <w:rPr>
          <w:rFonts w:ascii="Arial" w:hAnsi="Arial" w:eastAsia="Calibri" w:cs="Arial"/>
          <w:color w:val="000000" w:themeColor="text1"/>
          <w:sz w:val="22"/>
          <w:lang w:val="es-ES_tradnl"/>
        </w:rPr>
        <w:t>tiene que</w:t>
      </w:r>
      <w:r w:rsidRPr="00A027C9">
        <w:rPr>
          <w:rFonts w:ascii="Arial" w:hAnsi="Arial" w:eastAsia="Calibri" w:cs="Arial"/>
          <w:color w:val="000000" w:themeColor="text1"/>
          <w:sz w:val="22"/>
          <w:lang w:val="es-ES_tradnl"/>
        </w:rPr>
        <w:t xml:space="preserve"> realizar</w:t>
      </w:r>
      <w:r w:rsidRPr="00A027C9" w:rsidR="00E33900">
        <w:rPr>
          <w:rFonts w:ascii="Arial" w:hAnsi="Arial" w:eastAsia="Calibri" w:cs="Arial"/>
          <w:color w:val="000000" w:themeColor="text1"/>
          <w:sz w:val="22"/>
          <w:lang w:val="es-ES_tradnl"/>
        </w:rPr>
        <w:t xml:space="preserve">la </w:t>
      </w:r>
      <w:r w:rsidRPr="00A027C9">
        <w:rPr>
          <w:rFonts w:ascii="Arial" w:hAnsi="Arial" w:eastAsia="Calibri" w:cs="Arial"/>
          <w:color w:val="000000" w:themeColor="text1"/>
          <w:sz w:val="22"/>
          <w:lang w:val="es-ES_tradnl"/>
        </w:rPr>
        <w:t>la Entidad Estatal fideicomitente con intervención de la fiduciaria para efectos de la firma del contrato</w:t>
      </w:r>
      <w:r w:rsidRPr="00A027C9" w:rsidR="00E33900">
        <w:rPr>
          <w:rFonts w:ascii="Arial" w:hAnsi="Arial" w:eastAsia="Calibri" w:cs="Arial"/>
          <w:color w:val="000000" w:themeColor="text1"/>
          <w:sz w:val="22"/>
          <w:lang w:val="es-ES_tradnl"/>
        </w:rPr>
        <w:t>. Si esta no lo hace</w:t>
      </w:r>
      <w:r w:rsidRPr="00A027C9">
        <w:rPr>
          <w:rFonts w:ascii="Arial" w:hAnsi="Arial" w:eastAsia="Calibri" w:cs="Arial"/>
          <w:color w:val="000000" w:themeColor="text1"/>
          <w:sz w:val="22"/>
          <w:lang w:val="es-ES_tradnl"/>
        </w:rPr>
        <w:t>, la fiduciaria que actúe como vocero de los patrimonios autónomos en calidad de contratante,</w:t>
      </w:r>
      <w:r w:rsidRPr="00A027C9" w:rsidR="00E33900">
        <w:rPr>
          <w:rFonts w:ascii="Arial" w:hAnsi="Arial" w:eastAsia="Calibri" w:cs="Arial"/>
          <w:color w:val="000000" w:themeColor="text1"/>
          <w:sz w:val="22"/>
          <w:lang w:val="es-ES_tradnl"/>
        </w:rPr>
        <w:t xml:space="preserve"> está obligada a hacerlo. P</w:t>
      </w:r>
      <w:r w:rsidRPr="00A027C9" w:rsidR="00913B77">
        <w:rPr>
          <w:rFonts w:ascii="Arial" w:hAnsi="Arial" w:eastAsia="Calibri" w:cs="Arial"/>
          <w:color w:val="000000" w:themeColor="text1"/>
          <w:sz w:val="22"/>
          <w:lang w:val="es-ES_tradnl"/>
        </w:rPr>
        <w:t xml:space="preserve">ara el caso de la entidad, </w:t>
      </w:r>
      <w:r w:rsidRPr="00A027C9">
        <w:rPr>
          <w:rFonts w:ascii="Arial" w:hAnsi="Arial" w:eastAsia="Calibri" w:cs="Arial"/>
          <w:color w:val="000000" w:themeColor="text1"/>
          <w:sz w:val="22"/>
          <w:lang w:val="es-ES_tradnl"/>
        </w:rPr>
        <w:t xml:space="preserve">también teniendo en cuenta </w:t>
      </w:r>
      <w:r w:rsidRPr="00A027C9" w:rsidR="00913B77">
        <w:rPr>
          <w:rFonts w:ascii="Arial" w:hAnsi="Arial" w:eastAsia="Calibri" w:cs="Arial"/>
          <w:color w:val="000000" w:themeColor="text1"/>
          <w:sz w:val="22"/>
          <w:lang w:val="es-ES_tradnl"/>
        </w:rPr>
        <w:t>su régimen jurídico</w:t>
      </w:r>
      <w:r w:rsidRPr="00A027C9">
        <w:rPr>
          <w:rFonts w:ascii="Arial" w:hAnsi="Arial" w:eastAsia="Calibri" w:cs="Arial"/>
          <w:color w:val="000000" w:themeColor="text1"/>
          <w:sz w:val="22"/>
          <w:lang w:val="es-ES_tradnl"/>
        </w:rPr>
        <w:t xml:space="preserve">. </w:t>
      </w:r>
      <w:r w:rsidRPr="00A027C9" w:rsidR="00527CAC">
        <w:rPr>
          <w:rFonts w:ascii="Arial" w:hAnsi="Arial" w:eastAsia="Calibri" w:cs="Arial"/>
          <w:color w:val="000000" w:themeColor="text1"/>
          <w:sz w:val="22"/>
          <w:lang w:val="es-ES_tradnl"/>
        </w:rPr>
        <w:t xml:space="preserve">En todo caso, frente a </w:t>
      </w:r>
      <w:r w:rsidRPr="00A027C9">
        <w:rPr>
          <w:rFonts w:ascii="Arial" w:hAnsi="Arial" w:eastAsia="Calibri" w:cs="Arial"/>
          <w:color w:val="000000" w:themeColor="text1"/>
          <w:sz w:val="22"/>
          <w:lang w:val="es-ES_tradnl"/>
        </w:rPr>
        <w:t xml:space="preserve">la «contratación derivada», </w:t>
      </w:r>
      <w:r w:rsidRPr="00A027C9" w:rsidR="00A92252">
        <w:rPr>
          <w:rFonts w:ascii="Arial" w:hAnsi="Arial" w:eastAsia="Calibri" w:cs="Arial"/>
          <w:color w:val="000000" w:themeColor="text1"/>
          <w:sz w:val="22"/>
          <w:lang w:val="es-ES_tradnl"/>
        </w:rPr>
        <w:t>se debe</w:t>
      </w:r>
      <w:r w:rsidRPr="00A027C9">
        <w:rPr>
          <w:rFonts w:ascii="Arial" w:hAnsi="Arial" w:eastAsia="Calibri" w:cs="Arial"/>
          <w:color w:val="000000" w:themeColor="text1"/>
          <w:sz w:val="22"/>
          <w:lang w:val="es-ES_tradnl"/>
        </w:rPr>
        <w:t xml:space="preserve"> evitar la duplicidad de la información.</w:t>
      </w:r>
    </w:p>
    <w:p w:rsidRPr="00A027C9" w:rsidR="00915A80" w:rsidP="00474C49" w:rsidRDefault="00174ED6" w14:paraId="6E3F3B44" w14:textId="1876928B">
      <w:pPr>
        <w:spacing w:line="276" w:lineRule="auto"/>
        <w:jc w:val="both"/>
        <w:rPr>
          <w:rFonts w:ascii="Arial" w:hAnsi="Arial" w:eastAsia="Calibri" w:cs="Arial"/>
          <w:color w:val="000000" w:themeColor="text1"/>
          <w:sz w:val="22"/>
          <w:lang w:val="es-ES_tradnl"/>
        </w:rPr>
      </w:pPr>
      <w:r w:rsidRPr="00A027C9">
        <w:rPr>
          <w:rFonts w:ascii="Arial" w:hAnsi="Arial" w:eastAsia="Calibri" w:cs="Arial"/>
          <w:color w:val="000000" w:themeColor="text1"/>
          <w:sz w:val="22"/>
          <w:lang w:val="es-ES_tradnl"/>
        </w:rPr>
        <w:tab/>
      </w:r>
      <w:r w:rsidRPr="00A027C9">
        <w:rPr>
          <w:rFonts w:ascii="Arial" w:hAnsi="Arial" w:eastAsia="Calibri" w:cs="Arial"/>
          <w:color w:val="000000" w:themeColor="text1"/>
          <w:sz w:val="22"/>
          <w:lang w:val="es-ES_tradnl"/>
        </w:rPr>
        <w:t xml:space="preserve">Es del caso precisar que, sin distingo de la modalidad de selección de contratistas o del régimen contractual aplicable a las entidades públicas, estas se </w:t>
      </w:r>
      <w:r w:rsidRPr="00A027C9" w:rsidR="00826CB5">
        <w:rPr>
          <w:rFonts w:ascii="Arial" w:hAnsi="Arial" w:eastAsia="Calibri" w:cs="Arial"/>
          <w:color w:val="000000" w:themeColor="text1"/>
          <w:sz w:val="22"/>
          <w:lang w:val="es-ES_tradnl"/>
        </w:rPr>
        <w:t>encuentran</w:t>
      </w:r>
      <w:r w:rsidRPr="00A027C9">
        <w:rPr>
          <w:rFonts w:ascii="Arial" w:hAnsi="Arial" w:eastAsia="Calibri" w:cs="Arial"/>
          <w:color w:val="000000" w:themeColor="text1"/>
          <w:sz w:val="22"/>
          <w:lang w:val="es-ES_tradnl"/>
        </w:rPr>
        <w:t xml:space="preserve"> obligadas a </w:t>
      </w:r>
      <w:r w:rsidRPr="00A027C9" w:rsidR="00151919">
        <w:rPr>
          <w:rFonts w:ascii="Arial" w:hAnsi="Arial" w:eastAsia="Calibri" w:cs="Arial"/>
          <w:color w:val="000000" w:themeColor="text1"/>
          <w:sz w:val="22"/>
          <w:lang w:val="es-ES_tradnl"/>
        </w:rPr>
        <w:t>publica</w:t>
      </w:r>
      <w:r w:rsidRPr="00A027C9">
        <w:rPr>
          <w:rFonts w:ascii="Arial" w:hAnsi="Arial" w:eastAsia="Calibri" w:cs="Arial"/>
          <w:color w:val="000000" w:themeColor="text1"/>
          <w:sz w:val="22"/>
          <w:lang w:val="es-ES_tradnl"/>
        </w:rPr>
        <w:t>r en el SECOP los documentos elaborados al interior de sus procesos contractuales. Esto, claro está, atendiendo a las particularidades de cada proceso</w:t>
      </w:r>
      <w:r w:rsidRPr="00A027C9" w:rsidR="00E50C59">
        <w:rPr>
          <w:rFonts w:ascii="Arial" w:hAnsi="Arial" w:eastAsia="Calibri" w:cs="Arial"/>
          <w:color w:val="000000" w:themeColor="text1"/>
          <w:sz w:val="22"/>
          <w:lang w:val="es-ES_tradnl"/>
        </w:rPr>
        <w:t>, esto es, si el trámite se adelanta según las etapas y formalidades establecidas en el Estatuto General de Contratación de la Administración Pública, o s</w:t>
      </w:r>
      <w:r w:rsidRPr="00A027C9" w:rsidR="001C5231">
        <w:rPr>
          <w:rFonts w:ascii="Arial" w:hAnsi="Arial" w:eastAsia="Calibri" w:cs="Arial"/>
          <w:color w:val="000000" w:themeColor="text1"/>
          <w:sz w:val="22"/>
          <w:lang w:val="es-ES_tradnl"/>
        </w:rPr>
        <w:t xml:space="preserve">egún </w:t>
      </w:r>
      <w:r w:rsidRPr="00A027C9" w:rsidR="00E50C59">
        <w:rPr>
          <w:rFonts w:ascii="Arial" w:hAnsi="Arial" w:eastAsia="Calibri" w:cs="Arial"/>
          <w:color w:val="000000" w:themeColor="text1"/>
          <w:sz w:val="22"/>
          <w:lang w:val="es-ES_tradnl"/>
        </w:rPr>
        <w:t xml:space="preserve">el manual interno de contratación de la entidad, pero, de todas formas, </w:t>
      </w:r>
      <w:r w:rsidRPr="00A027C9">
        <w:rPr>
          <w:rFonts w:ascii="Arial" w:hAnsi="Arial" w:eastAsia="Calibri" w:cs="Arial"/>
          <w:color w:val="000000" w:themeColor="text1"/>
          <w:sz w:val="22"/>
          <w:lang w:val="es-ES_tradnl"/>
        </w:rPr>
        <w:t xml:space="preserve">sin exceder el término de tres (3) días con el que se cuenta para hacer </w:t>
      </w:r>
      <w:r w:rsidRPr="00A027C9" w:rsidR="002724BD">
        <w:rPr>
          <w:rFonts w:ascii="Arial" w:hAnsi="Arial" w:eastAsia="Calibri" w:cs="Arial"/>
          <w:color w:val="000000" w:themeColor="text1"/>
          <w:sz w:val="22"/>
          <w:lang w:val="es-ES_tradnl"/>
        </w:rPr>
        <w:t>dicha publicación</w:t>
      </w:r>
      <w:r w:rsidRPr="00A027C9">
        <w:rPr>
          <w:rFonts w:ascii="Arial" w:hAnsi="Arial" w:eastAsia="Calibri" w:cs="Arial"/>
          <w:color w:val="000000" w:themeColor="text1"/>
          <w:sz w:val="22"/>
          <w:lang w:val="es-ES_tradnl"/>
        </w:rPr>
        <w:t>.</w:t>
      </w:r>
    </w:p>
    <w:p w:rsidRPr="00A027C9" w:rsidR="006B3828" w:rsidP="00BC600B" w:rsidRDefault="006B3828" w14:paraId="4DD9061A" w14:textId="77777777">
      <w:pPr>
        <w:jc w:val="both"/>
        <w:rPr>
          <w:rFonts w:ascii="Arial" w:hAnsi="Arial" w:eastAsia="Calibri" w:cs="Arial"/>
          <w:color w:val="000000" w:themeColor="text1"/>
          <w:sz w:val="22"/>
          <w:lang w:val="es-ES_tradnl"/>
        </w:rPr>
      </w:pPr>
    </w:p>
    <w:p w:rsidRPr="00A027C9" w:rsidR="00481A85" w:rsidP="00481A85" w:rsidRDefault="00481A85" w14:paraId="1D0FEF62" w14:textId="1BF7A6FF">
      <w:pPr>
        <w:ind w:left="709" w:right="709"/>
        <w:jc w:val="both"/>
        <w:rPr>
          <w:rFonts w:ascii="Arial" w:hAnsi="Arial" w:eastAsia="Calibri" w:cs="Arial"/>
          <w:color w:val="000000" w:themeColor="text1"/>
          <w:sz w:val="21"/>
          <w:szCs w:val="21"/>
          <w:lang w:val="es-ES_tradnl"/>
        </w:rPr>
      </w:pPr>
      <w:r w:rsidRPr="00A027C9">
        <w:rPr>
          <w:rFonts w:ascii="Arial" w:hAnsi="Arial" w:eastAsia="Calibri" w:cs="Arial"/>
          <w:color w:val="000000" w:themeColor="text1"/>
          <w:sz w:val="21"/>
          <w:szCs w:val="21"/>
          <w:lang w:val="es-ES_tradnl"/>
        </w:rPr>
        <w:t>ii) «¿[…] cómo podemos publicar dentro de los tres (3) días siguientes a la expedición de los documentos, si por el manejo normal de nuestro régimen de contratación especial no es posible que todo esté en estos términos […]?»</w:t>
      </w:r>
      <w:r w:rsidRPr="00A027C9" w:rsidR="00D01AD2">
        <w:rPr>
          <w:rFonts w:ascii="Arial" w:hAnsi="Arial" w:eastAsia="Calibri" w:cs="Arial"/>
          <w:color w:val="000000" w:themeColor="text1"/>
          <w:sz w:val="21"/>
          <w:szCs w:val="21"/>
          <w:lang w:val="es-ES_tradnl"/>
        </w:rPr>
        <w:t>.</w:t>
      </w:r>
    </w:p>
    <w:p w:rsidRPr="00A027C9" w:rsidR="006B3828" w:rsidP="00BC600B" w:rsidRDefault="006B3828" w14:paraId="66FE2888" w14:textId="59BA63A1">
      <w:pPr>
        <w:jc w:val="both"/>
        <w:rPr>
          <w:rFonts w:ascii="Arial" w:hAnsi="Arial" w:eastAsia="Calibri" w:cs="Arial"/>
          <w:color w:val="000000" w:themeColor="text1"/>
          <w:sz w:val="22"/>
          <w:lang w:val="es-ES_tradnl"/>
        </w:rPr>
      </w:pPr>
    </w:p>
    <w:p w:rsidRPr="00A027C9" w:rsidR="00D77376" w:rsidP="00D77376" w:rsidRDefault="00D77376" w14:paraId="4C665C33" w14:textId="33AA0111">
      <w:pPr>
        <w:spacing w:before="120" w:after="120" w:line="276" w:lineRule="auto"/>
        <w:jc w:val="both"/>
        <w:rPr>
          <w:rFonts w:ascii="Arial" w:hAnsi="Arial" w:eastAsia="Calibri" w:cs="Arial"/>
          <w:color w:val="000000" w:themeColor="text1"/>
          <w:sz w:val="22"/>
        </w:rPr>
      </w:pPr>
      <w:r w:rsidRPr="00A027C9">
        <w:rPr>
          <w:rFonts w:ascii="Arial" w:hAnsi="Arial" w:eastAsia="Calibri" w:cs="Arial"/>
          <w:color w:val="000000" w:themeColor="text1"/>
          <w:sz w:val="22"/>
        </w:rPr>
        <w:t>Si bien el Decreto 1082 de 2015, en principio</w:t>
      </w:r>
      <w:r w:rsidRPr="00A027C9" w:rsidR="00D01AD2">
        <w:rPr>
          <w:rFonts w:ascii="Arial" w:hAnsi="Arial" w:eastAsia="Calibri" w:cs="Arial"/>
          <w:color w:val="000000" w:themeColor="text1"/>
          <w:sz w:val="22"/>
        </w:rPr>
        <w:t>,</w:t>
      </w:r>
      <w:r w:rsidRPr="00A027C9">
        <w:rPr>
          <w:rFonts w:ascii="Arial" w:hAnsi="Arial" w:eastAsia="Calibri" w:cs="Arial"/>
          <w:color w:val="000000" w:themeColor="text1"/>
          <w:sz w:val="22"/>
        </w:rPr>
        <w:t xml:space="preserve"> no aplica a las entidades estatales exceptuadas del Estatuto General de Contratación de la Administración Pública, porque su régimen de contratación es el derecho privado, es posible aplicarle el artículo 2.2.1.1.1.7.1. en virtud de la analogía. En ese sentido,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rsidRPr="00A027C9" w:rsidR="006B3828" w:rsidP="00972DC1" w:rsidRDefault="00B91DB6" w14:paraId="5E8CF479" w14:textId="06CE327F">
      <w:pPr>
        <w:spacing w:before="120" w:after="120" w:line="276" w:lineRule="auto"/>
        <w:ind w:firstLine="709"/>
        <w:jc w:val="both"/>
        <w:rPr>
          <w:rFonts w:ascii="Arial" w:hAnsi="Arial" w:eastAsia="Calibri" w:cs="Arial"/>
          <w:color w:val="000000" w:themeColor="text1"/>
          <w:sz w:val="22"/>
        </w:rPr>
      </w:pPr>
      <w:r w:rsidRPr="00A027C9">
        <w:rPr>
          <w:rFonts w:ascii="Arial" w:hAnsi="Arial" w:eastAsia="Calibri" w:cs="Arial"/>
          <w:color w:val="000000" w:themeColor="text1"/>
          <w:sz w:val="22"/>
        </w:rPr>
        <w:t>Este deber</w:t>
      </w:r>
      <w:r w:rsidRPr="00A027C9" w:rsidR="00D77376">
        <w:rPr>
          <w:rFonts w:ascii="Arial" w:hAnsi="Arial" w:eastAsia="Calibri" w:cs="Arial"/>
          <w:color w:val="000000" w:themeColor="text1"/>
          <w:sz w:val="22"/>
        </w:rPr>
        <w:t xml:space="preserve"> es de rango legal. En consecuencia, su cumplimiento es imperativo para las entidades públicas, de lo que se deriva que estas, especialmente las que tienen un régimen de contratación especial, deben adaptar sus prácticas contractuales para cumplir con el deber de publicar sus documentos del proceso de contratación dentro de los tres (3) días siguientes a su expedición. No puede ocurrir, pues, que, amparadas en </w:t>
      </w:r>
      <w:r w:rsidRPr="00A027C9" w:rsidR="00420A12">
        <w:rPr>
          <w:rFonts w:ascii="Arial" w:hAnsi="Arial" w:eastAsia="Calibri" w:cs="Arial"/>
          <w:color w:val="000000" w:themeColor="text1"/>
          <w:sz w:val="22"/>
        </w:rPr>
        <w:t>el carácter especial de su régimen contractual</w:t>
      </w:r>
      <w:r w:rsidRPr="00A027C9" w:rsidR="00D77376">
        <w:rPr>
          <w:rFonts w:ascii="Arial" w:hAnsi="Arial" w:eastAsia="Calibri" w:cs="Arial"/>
          <w:color w:val="000000" w:themeColor="text1"/>
          <w:sz w:val="22"/>
        </w:rPr>
        <w:t xml:space="preserve">, algunas entidades pretendan incumplir su deber legal o cumplirlo de tal manera que se ajuste a las particularidades de sus trámites internos, </w:t>
      </w:r>
      <w:r w:rsidRPr="00A027C9" w:rsidR="00972DC1">
        <w:rPr>
          <w:rFonts w:ascii="Arial" w:hAnsi="Arial" w:eastAsia="Calibri" w:cs="Arial"/>
          <w:color w:val="000000" w:themeColor="text1"/>
          <w:sz w:val="22"/>
        </w:rPr>
        <w:t>pues es la entidad la que debe ajustar sus prácticas contractuales al ordenamiento jurídico, y no el ordenamiento jurídico el que debe adaptarse o acondicionarse a las prácticas de aquellas.</w:t>
      </w:r>
    </w:p>
    <w:p w:rsidRPr="00A027C9" w:rsidR="00BC600B" w:rsidP="00BC600B" w:rsidRDefault="00BC600B" w14:paraId="18B03B2F" w14:textId="77777777">
      <w:pPr>
        <w:ind w:firstLine="709"/>
        <w:jc w:val="both"/>
        <w:rPr>
          <w:rFonts w:ascii="Arial" w:hAnsi="Arial" w:eastAsia="Calibri" w:cs="Arial"/>
          <w:color w:val="000000" w:themeColor="text1"/>
          <w:sz w:val="22"/>
          <w:lang w:val="es-ES"/>
        </w:rPr>
      </w:pPr>
    </w:p>
    <w:p w:rsidRPr="00A027C9" w:rsidR="00481A85" w:rsidP="00481A85" w:rsidRDefault="00481A85" w14:paraId="01D21098" w14:textId="03009F7E">
      <w:pPr>
        <w:ind w:left="709" w:right="709"/>
        <w:jc w:val="both"/>
        <w:rPr>
          <w:rFonts w:ascii="Arial" w:hAnsi="Arial" w:eastAsia="Calibri" w:cs="Arial"/>
          <w:color w:val="000000" w:themeColor="text1"/>
          <w:sz w:val="21"/>
          <w:szCs w:val="21"/>
          <w:lang w:val="es-ES_tradnl"/>
        </w:rPr>
      </w:pPr>
      <w:r w:rsidRPr="00A027C9">
        <w:rPr>
          <w:rFonts w:ascii="Arial" w:hAnsi="Arial" w:eastAsia="Calibri" w:cs="Arial"/>
          <w:color w:val="000000" w:themeColor="text1"/>
          <w:sz w:val="21"/>
          <w:szCs w:val="21"/>
          <w:lang w:val="es-ES_tradnl"/>
        </w:rPr>
        <w:t>iii) el SECOP II, particularmente la herramienta para publicar procesos de régimen especial «de forma no transaccional» «¿en este momento se encuentra habilitad[a] y si nuestro fondo puede hacer uso de ella?».</w:t>
      </w:r>
    </w:p>
    <w:p w:rsidRPr="00A027C9" w:rsidR="006B3828" w:rsidP="00BC600B" w:rsidRDefault="006B3828" w14:paraId="22F009D8" w14:textId="61BF1DE9">
      <w:pPr>
        <w:jc w:val="both"/>
        <w:rPr>
          <w:rFonts w:ascii="Arial" w:hAnsi="Arial" w:eastAsia="Calibri" w:cs="Arial"/>
          <w:color w:val="000000" w:themeColor="text1"/>
          <w:sz w:val="22"/>
          <w:lang w:val="es-ES_tradnl"/>
        </w:rPr>
      </w:pPr>
    </w:p>
    <w:p w:rsidRPr="00A027C9" w:rsidR="006B3828" w:rsidP="000920F0" w:rsidRDefault="00ED3EC1" w14:paraId="7BEB5666" w14:textId="174692E2">
      <w:pPr>
        <w:spacing w:line="276" w:lineRule="auto"/>
        <w:jc w:val="both"/>
        <w:rPr>
          <w:rFonts w:ascii="Arial" w:hAnsi="Arial" w:eastAsia="Calibri" w:cs="Arial"/>
          <w:color w:val="000000" w:themeColor="text1"/>
          <w:sz w:val="22"/>
          <w:lang w:val="es-ES_tradnl"/>
        </w:rPr>
      </w:pPr>
      <w:r w:rsidRPr="00A027C9">
        <w:rPr>
          <w:rFonts w:ascii="Arial" w:hAnsi="Arial" w:eastAsia="Calibri" w:cs="Arial"/>
          <w:color w:val="000000" w:themeColor="text1"/>
          <w:sz w:val="22"/>
          <w:lang w:val="es-ES_tradnl"/>
        </w:rPr>
        <w:t xml:space="preserve">Para cumplir con la publicidad relacionada con los contratos fiduciarios, la plataforma tiene habilitados dos módulos: i) el Módulo Régimen Especial </w:t>
      </w:r>
      <w:r w:rsidRPr="00A027C9" w:rsidR="00D01AD2">
        <w:rPr>
          <w:rFonts w:ascii="Arial" w:hAnsi="Arial" w:eastAsia="Calibri" w:cs="Arial"/>
          <w:color w:val="000000" w:themeColor="text1"/>
          <w:sz w:val="22"/>
          <w:lang w:val="es-ES_tradnl"/>
        </w:rPr>
        <w:t>−</w:t>
      </w:r>
      <w:r w:rsidRPr="00A027C9">
        <w:rPr>
          <w:rFonts w:ascii="Arial" w:hAnsi="Arial" w:eastAsia="Calibri" w:cs="Arial"/>
          <w:color w:val="000000" w:themeColor="text1"/>
          <w:sz w:val="22"/>
          <w:lang w:val="es-ES_tradnl"/>
        </w:rPr>
        <w:t>con ofertas</w:t>
      </w:r>
      <w:r w:rsidRPr="00A027C9" w:rsidR="00D01AD2">
        <w:rPr>
          <w:rFonts w:ascii="Arial" w:hAnsi="Arial" w:eastAsia="Calibri" w:cs="Arial"/>
          <w:color w:val="000000" w:themeColor="text1"/>
          <w:sz w:val="22"/>
          <w:lang w:val="es-ES_tradnl"/>
        </w:rPr>
        <w:t>−</w:t>
      </w:r>
      <w:r w:rsidRPr="00A027C9">
        <w:rPr>
          <w:rFonts w:ascii="Arial" w:hAnsi="Arial" w:eastAsia="Calibri" w:cs="Arial"/>
          <w:color w:val="000000" w:themeColor="text1"/>
          <w:sz w:val="22"/>
          <w:lang w:val="es-ES_tradnl"/>
        </w:rPr>
        <w:t xml:space="preserve">, dispuesto para los procesos competitivos; y ii) Módulo Régimen Especial </w:t>
      </w:r>
      <w:r w:rsidRPr="00A027C9" w:rsidR="00D01AD2">
        <w:rPr>
          <w:rFonts w:ascii="Arial" w:hAnsi="Arial" w:eastAsia="Calibri" w:cs="Arial"/>
          <w:color w:val="000000" w:themeColor="text1"/>
          <w:sz w:val="22"/>
          <w:lang w:val="es-ES_tradnl"/>
        </w:rPr>
        <w:t>−</w:t>
      </w:r>
      <w:r w:rsidRPr="00A027C9">
        <w:rPr>
          <w:rFonts w:ascii="Arial" w:hAnsi="Arial" w:eastAsia="Calibri" w:cs="Arial"/>
          <w:color w:val="000000" w:themeColor="text1"/>
          <w:sz w:val="22"/>
          <w:lang w:val="es-ES_tradnl"/>
        </w:rPr>
        <w:t>sin ofertas</w:t>
      </w:r>
      <w:r w:rsidRPr="00A027C9" w:rsidR="00D01AD2">
        <w:rPr>
          <w:rFonts w:ascii="Arial" w:hAnsi="Arial" w:eastAsia="Calibri" w:cs="Arial"/>
          <w:color w:val="000000" w:themeColor="text1"/>
          <w:sz w:val="22"/>
          <w:lang w:val="es-ES_tradnl"/>
        </w:rPr>
        <w:t>−</w:t>
      </w:r>
      <w:r w:rsidRPr="00A027C9">
        <w:rPr>
          <w:rFonts w:ascii="Arial" w:hAnsi="Arial" w:eastAsia="Calibri" w:cs="Arial"/>
          <w:color w:val="000000" w:themeColor="text1"/>
          <w:sz w:val="22"/>
          <w:lang w:val="es-ES_tradnl"/>
        </w:rPr>
        <w:t>, diseñado para aquellos eventos en los que no se requiere adelantar un proceso competitivo. En ambos casos la entidad puede elegir si firma el contrato electrónicamente, esto es, utiliza el módulo de gestión contractual del SECOP II con registro por parte del Proveedor y firma electrónica, o si firma el contrato en físico y publica los documentos de ejecución en la etapa precontractual del SECOP II «Etapa de Proceso».</w:t>
      </w:r>
    </w:p>
    <w:p w:rsidRPr="00A027C9" w:rsidR="00ED3EC1" w:rsidP="000920F0" w:rsidRDefault="00ED3EC1" w14:paraId="73C490FB" w14:textId="77777777">
      <w:pPr>
        <w:spacing w:line="276" w:lineRule="auto"/>
        <w:jc w:val="both"/>
        <w:rPr>
          <w:rFonts w:ascii="Arial" w:hAnsi="Arial" w:eastAsia="Calibri" w:cs="Arial"/>
          <w:color w:val="000000" w:themeColor="text1"/>
          <w:sz w:val="22"/>
          <w:lang w:val="es-ES"/>
        </w:rPr>
      </w:pPr>
    </w:p>
    <w:p w:rsidRPr="00A027C9" w:rsidR="000920F0" w:rsidP="000920F0" w:rsidRDefault="000920F0" w14:paraId="544609D3" w14:textId="77777777">
      <w:pPr>
        <w:spacing w:line="276" w:lineRule="auto"/>
        <w:jc w:val="both"/>
        <w:rPr>
          <w:rFonts w:ascii="Arial" w:hAnsi="Arial" w:eastAsia="Calibri" w:cs="Arial"/>
          <w:color w:val="000000" w:themeColor="text1"/>
          <w:sz w:val="22"/>
          <w:lang w:val="es-ES_tradnl"/>
        </w:rPr>
      </w:pPr>
      <w:r w:rsidRPr="00A027C9">
        <w:rPr>
          <w:rFonts w:ascii="Arial" w:hAnsi="Arial" w:eastAsia="Calibri" w:cs="Arial"/>
          <w:color w:val="000000" w:themeColor="text1"/>
          <w:sz w:val="22"/>
          <w:lang w:val="es-ES_tradnl"/>
        </w:rPr>
        <w:t>Este concepto tiene el alcance previsto en el artículo 28 del Código de Procedimiento Administrativo y de lo Contencioso Administrativo.</w:t>
      </w:r>
    </w:p>
    <w:p w:rsidRPr="00A027C9" w:rsidR="001A7B0C" w:rsidP="000920F0" w:rsidRDefault="001A7B0C" w14:paraId="069E278A" w14:textId="77777777">
      <w:pPr>
        <w:spacing w:line="276" w:lineRule="auto"/>
        <w:rPr>
          <w:rFonts w:ascii="Arial" w:hAnsi="Arial" w:eastAsia="Calibri" w:cs="Arial"/>
          <w:color w:val="000000" w:themeColor="text1"/>
          <w:sz w:val="22"/>
          <w:lang w:val="es-ES_tradnl"/>
        </w:rPr>
      </w:pPr>
    </w:p>
    <w:p w:rsidRPr="00A027C9" w:rsidR="000920F0" w:rsidP="000920F0" w:rsidRDefault="000920F0" w14:paraId="537553D5" w14:textId="38CF5FE2">
      <w:pPr>
        <w:spacing w:line="276" w:lineRule="auto"/>
        <w:rPr>
          <w:rFonts w:ascii="Arial" w:hAnsi="Arial" w:cs="Arial"/>
          <w:color w:val="000000" w:themeColor="text1"/>
          <w:sz w:val="22"/>
          <w:lang w:val="es-ES_tradnl" w:eastAsia="es-CO"/>
        </w:rPr>
      </w:pPr>
      <w:r w:rsidRPr="00A027C9">
        <w:rPr>
          <w:rFonts w:ascii="Arial" w:hAnsi="Arial" w:cs="Arial"/>
          <w:color w:val="000000" w:themeColor="text1"/>
          <w:sz w:val="22"/>
          <w:lang w:val="es-ES_tradnl" w:eastAsia="es-CO"/>
        </w:rPr>
        <w:t>Atentamente,</w:t>
      </w:r>
    </w:p>
    <w:p w:rsidR="000920F0" w:rsidP="000920F0" w:rsidRDefault="00322728" w14:paraId="571DF5BC" w14:textId="542DCE07">
      <w:pPr>
        <w:spacing w:line="276" w:lineRule="auto"/>
        <w:jc w:val="center"/>
        <w:rPr>
          <w:rFonts w:ascii="Arial" w:hAnsi="Arial" w:cs="Arial"/>
          <w:color w:val="000000" w:themeColor="text1"/>
          <w:sz w:val="18"/>
          <w:szCs w:val="20"/>
          <w:lang w:val="es-ES_tradnl" w:eastAsia="es-CO"/>
        </w:rPr>
      </w:pPr>
      <w:r>
        <w:rPr>
          <w:noProof/>
        </w:rPr>
        <w:drawing>
          <wp:inline distT="0" distB="0" distL="0" distR="0" wp14:anchorId="13E5538B" wp14:editId="5E97F1DC">
            <wp:extent cx="2773144" cy="988695"/>
            <wp:effectExtent l="0" t="0" r="0" b="0"/>
            <wp:docPr id="36079530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rsidRPr="00A027C9" w:rsidR="00721176" w:rsidP="000920F0" w:rsidRDefault="00721176" w14:paraId="7C45CCCA" w14:textId="77777777">
      <w:pPr>
        <w:spacing w:line="276" w:lineRule="auto"/>
        <w:jc w:val="center"/>
        <w:rPr>
          <w:rFonts w:ascii="Arial" w:hAnsi="Arial" w:cs="Arial"/>
          <w:color w:val="000000" w:themeColor="text1"/>
          <w:sz w:val="18"/>
          <w:szCs w:val="20"/>
          <w:lang w:val="es-ES_tradnl" w:eastAsia="es-CO"/>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A027C9" w:rsidR="00A027C9" w:rsidTr="0057074D" w14:paraId="5F526272" w14:textId="77777777">
        <w:trPr>
          <w:trHeight w:val="315"/>
        </w:trPr>
        <w:tc>
          <w:tcPr>
            <w:tcW w:w="812" w:type="dxa"/>
            <w:vAlign w:val="center"/>
            <w:hideMark/>
          </w:tcPr>
          <w:p w:rsidRPr="00A027C9" w:rsidR="000920F0" w:rsidP="0057074D" w:rsidRDefault="000920F0" w14:paraId="33690198" w14:textId="77777777">
            <w:pPr>
              <w:spacing w:line="276" w:lineRule="auto"/>
              <w:rPr>
                <w:rFonts w:ascii="Arial" w:hAnsi="Arial" w:cs="Arial"/>
                <w:color w:val="000000" w:themeColor="text1"/>
                <w:sz w:val="16"/>
                <w:szCs w:val="16"/>
                <w:lang w:val="es-ES_tradnl" w:eastAsia="es-ES"/>
              </w:rPr>
            </w:pPr>
            <w:r w:rsidRPr="00A027C9">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A027C9" w:rsidR="000920F0" w:rsidP="0057074D" w:rsidRDefault="00696A12" w14:paraId="26EF6323" w14:textId="77777777">
            <w:pPr>
              <w:spacing w:line="276" w:lineRule="auto"/>
              <w:rPr>
                <w:rFonts w:ascii="Arial" w:hAnsi="Arial" w:cs="Arial"/>
                <w:color w:val="000000" w:themeColor="text1"/>
                <w:sz w:val="16"/>
                <w:szCs w:val="16"/>
                <w:lang w:val="es-ES_tradnl" w:eastAsia="es-ES"/>
              </w:rPr>
            </w:pPr>
            <w:r w:rsidRPr="00A027C9">
              <w:rPr>
                <w:rFonts w:ascii="Arial" w:hAnsi="Arial" w:cs="Arial"/>
                <w:color w:val="000000" w:themeColor="text1"/>
                <w:sz w:val="16"/>
                <w:szCs w:val="16"/>
                <w:lang w:val="es-ES_tradnl" w:eastAsia="es-ES"/>
              </w:rPr>
              <w:t>David Castellanos Carreño</w:t>
            </w:r>
          </w:p>
          <w:p w:rsidRPr="00A027C9" w:rsidR="00C727E6" w:rsidP="0057074D" w:rsidRDefault="00C727E6" w14:paraId="5E6EE4F5" w14:textId="2A6B5A82">
            <w:pPr>
              <w:spacing w:line="276" w:lineRule="auto"/>
              <w:rPr>
                <w:rFonts w:ascii="Arial" w:hAnsi="Arial" w:cs="Arial"/>
                <w:color w:val="000000" w:themeColor="text1"/>
                <w:sz w:val="16"/>
                <w:szCs w:val="16"/>
                <w:lang w:val="es-ES_tradnl" w:eastAsia="es-ES"/>
              </w:rPr>
            </w:pPr>
            <w:r w:rsidRPr="00A027C9">
              <w:rPr>
                <w:rFonts w:ascii="Arial" w:hAnsi="Arial" w:cs="Arial"/>
                <w:color w:val="000000" w:themeColor="text1"/>
                <w:sz w:val="16"/>
                <w:szCs w:val="16"/>
                <w:lang w:val="es-ES_tradnl" w:eastAsia="es-ES"/>
              </w:rPr>
              <w:t>Contratista de Subdirección de Gestión Contractual</w:t>
            </w:r>
          </w:p>
        </w:tc>
      </w:tr>
      <w:tr w:rsidRPr="00A027C9" w:rsidR="00A027C9" w:rsidTr="0057074D" w14:paraId="0C137F1C" w14:textId="77777777">
        <w:trPr>
          <w:trHeight w:val="330"/>
        </w:trPr>
        <w:tc>
          <w:tcPr>
            <w:tcW w:w="812" w:type="dxa"/>
            <w:vAlign w:val="center"/>
            <w:hideMark/>
          </w:tcPr>
          <w:p w:rsidRPr="00A027C9" w:rsidR="000920F0" w:rsidP="0057074D" w:rsidRDefault="000920F0" w14:paraId="76978847" w14:textId="77777777">
            <w:pPr>
              <w:spacing w:line="276" w:lineRule="auto"/>
              <w:rPr>
                <w:rFonts w:ascii="Arial" w:hAnsi="Arial" w:cs="Arial"/>
                <w:color w:val="000000" w:themeColor="text1"/>
                <w:sz w:val="16"/>
                <w:szCs w:val="16"/>
                <w:lang w:val="es-ES_tradnl" w:eastAsia="es-ES"/>
              </w:rPr>
            </w:pPr>
            <w:r w:rsidRPr="00A027C9">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A027C9" w:rsidR="000920F0" w:rsidP="0057074D" w:rsidRDefault="000920F0" w14:paraId="2E53F5F8" w14:textId="77777777">
            <w:pPr>
              <w:spacing w:line="276" w:lineRule="auto"/>
              <w:rPr>
                <w:rFonts w:ascii="Arial" w:hAnsi="Arial" w:cs="Arial"/>
                <w:color w:val="000000" w:themeColor="text1"/>
                <w:sz w:val="16"/>
                <w:szCs w:val="16"/>
                <w:lang w:val="es-ES_tradnl" w:eastAsia="es-ES"/>
              </w:rPr>
            </w:pPr>
            <w:r w:rsidRPr="00A027C9">
              <w:rPr>
                <w:rFonts w:ascii="Arial" w:hAnsi="Arial" w:cs="Arial"/>
                <w:color w:val="000000" w:themeColor="text1"/>
                <w:sz w:val="16"/>
                <w:szCs w:val="16"/>
                <w:lang w:val="es-ES_tradnl" w:eastAsia="es-ES"/>
              </w:rPr>
              <w:t>Fabián Gonzalo Marín Cortés</w:t>
            </w:r>
          </w:p>
          <w:p w:rsidRPr="00A027C9" w:rsidR="000920F0" w:rsidP="0057074D" w:rsidRDefault="000920F0" w14:paraId="660FED67" w14:textId="77777777">
            <w:pPr>
              <w:spacing w:line="276" w:lineRule="auto"/>
              <w:rPr>
                <w:rFonts w:ascii="Arial" w:hAnsi="Arial" w:cs="Arial"/>
                <w:color w:val="000000" w:themeColor="text1"/>
                <w:sz w:val="16"/>
                <w:szCs w:val="16"/>
                <w:lang w:val="es-ES_tradnl" w:eastAsia="es-ES"/>
              </w:rPr>
            </w:pPr>
            <w:r w:rsidRPr="00A027C9">
              <w:rPr>
                <w:rFonts w:ascii="Arial" w:hAnsi="Arial" w:cs="Arial"/>
                <w:color w:val="000000" w:themeColor="text1"/>
                <w:sz w:val="16"/>
                <w:szCs w:val="16"/>
                <w:lang w:val="es-ES_tradnl" w:eastAsia="es-ES"/>
              </w:rPr>
              <w:t>Subdirector de Gestión Contractual</w:t>
            </w:r>
          </w:p>
        </w:tc>
      </w:tr>
      <w:tr w:rsidRPr="00A027C9" w:rsidR="000920F0" w:rsidTr="0057074D" w14:paraId="59D3F9A5" w14:textId="77777777">
        <w:trPr>
          <w:trHeight w:val="300"/>
        </w:trPr>
        <w:tc>
          <w:tcPr>
            <w:tcW w:w="812" w:type="dxa"/>
            <w:vAlign w:val="center"/>
            <w:hideMark/>
          </w:tcPr>
          <w:p w:rsidRPr="00A027C9" w:rsidR="000920F0" w:rsidP="0057074D" w:rsidRDefault="000920F0" w14:paraId="62FFFDDB" w14:textId="77777777">
            <w:pPr>
              <w:spacing w:line="276" w:lineRule="auto"/>
              <w:rPr>
                <w:rFonts w:ascii="Arial" w:hAnsi="Arial" w:cs="Arial"/>
                <w:color w:val="000000" w:themeColor="text1"/>
                <w:sz w:val="16"/>
                <w:szCs w:val="16"/>
                <w:lang w:val="es-ES_tradnl" w:eastAsia="es-ES"/>
              </w:rPr>
            </w:pPr>
            <w:r w:rsidRPr="00A027C9">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A027C9" w:rsidR="000920F0" w:rsidP="0057074D" w:rsidRDefault="000920F0" w14:paraId="11BAAC9A" w14:textId="77777777">
            <w:pPr>
              <w:spacing w:line="276" w:lineRule="auto"/>
              <w:rPr>
                <w:rFonts w:ascii="Arial" w:hAnsi="Arial" w:cs="Arial"/>
                <w:color w:val="000000" w:themeColor="text1"/>
                <w:sz w:val="16"/>
                <w:szCs w:val="16"/>
                <w:lang w:val="es-ES_tradnl" w:eastAsia="es-ES"/>
              </w:rPr>
            </w:pPr>
            <w:r w:rsidRPr="00A027C9">
              <w:rPr>
                <w:rFonts w:ascii="Arial" w:hAnsi="Arial" w:cs="Arial"/>
                <w:color w:val="000000" w:themeColor="text1"/>
                <w:sz w:val="16"/>
                <w:szCs w:val="16"/>
                <w:lang w:val="es-ES_tradnl" w:eastAsia="es-ES"/>
              </w:rPr>
              <w:t>Fabián Gonzalo Marín Cortés</w:t>
            </w:r>
          </w:p>
          <w:p w:rsidRPr="00A027C9" w:rsidR="000920F0" w:rsidP="0057074D" w:rsidRDefault="000920F0" w14:paraId="417C54F4" w14:textId="77777777">
            <w:pPr>
              <w:spacing w:line="276" w:lineRule="auto"/>
              <w:rPr>
                <w:rFonts w:ascii="Arial" w:hAnsi="Arial" w:cs="Arial"/>
                <w:color w:val="000000" w:themeColor="text1"/>
                <w:sz w:val="16"/>
                <w:szCs w:val="16"/>
                <w:lang w:val="es-ES_tradnl" w:eastAsia="es-ES"/>
              </w:rPr>
            </w:pPr>
            <w:r w:rsidRPr="00A027C9">
              <w:rPr>
                <w:rFonts w:ascii="Arial" w:hAnsi="Arial" w:cs="Arial"/>
                <w:color w:val="000000" w:themeColor="text1"/>
                <w:sz w:val="16"/>
                <w:szCs w:val="16"/>
                <w:lang w:val="es-ES_tradnl" w:eastAsia="es-ES"/>
              </w:rPr>
              <w:t>Subdirector de Gestión Contractual</w:t>
            </w:r>
          </w:p>
        </w:tc>
      </w:tr>
      <w:bookmarkEnd w:id="2"/>
    </w:tbl>
    <w:p w:rsidRPr="00A027C9" w:rsidR="007B0854" w:rsidP="000920F0" w:rsidRDefault="007B0854" w14:paraId="7EBF297E" w14:textId="77777777">
      <w:pPr>
        <w:rPr>
          <w:color w:val="000000" w:themeColor="text1"/>
          <w:lang w:val="es-ES_tradnl"/>
        </w:rPr>
      </w:pPr>
    </w:p>
    <w:sectPr w:rsidRPr="00A027C9" w:rsidR="007B0854"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535A" w:rsidRDefault="00A2535A" w14:paraId="0DE1F4EA" w14:textId="77777777">
      <w:r>
        <w:separator/>
      </w:r>
    </w:p>
  </w:endnote>
  <w:endnote w:type="continuationSeparator" w:id="0">
    <w:p w:rsidR="00A2535A" w:rsidRDefault="00A2535A" w14:paraId="55C232DB" w14:textId="77777777">
      <w:r>
        <w:continuationSeparator/>
      </w:r>
    </w:p>
  </w:endnote>
  <w:endnote w:type="continuationNotice" w:id="1">
    <w:p w:rsidR="00A709B2" w:rsidRDefault="00A709B2" w14:paraId="1801591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72936" w:rsidP="00F72936" w:rsidRDefault="00F72936" w14:paraId="1D1A5F74" w14:textId="77777777">
    <w:pPr>
      <w:pStyle w:val="NoSpacing"/>
      <w:jc w:val="right"/>
      <w:rPr>
        <w:rFonts w:ascii="Arial" w:hAnsi="Arial" w:cs="Arial"/>
        <w:sz w:val="18"/>
        <w:szCs w:val="18"/>
      </w:rPr>
    </w:pPr>
  </w:p>
  <w:p w:rsidRPr="008217B7" w:rsidR="00F72936" w:rsidP="00F72936" w:rsidRDefault="00F72936" w14:paraId="17CC9D90" w14:textId="164E6776">
    <w:pPr>
      <w:pStyle w:val="Footer"/>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22728">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22728">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rsidR="00F72936" w:rsidP="00F72936" w:rsidRDefault="2A72CF1A" w14:paraId="1FC56E89" w14:textId="77777777">
    <w:pPr>
      <w:pStyle w:val="Footer"/>
      <w:jc w:val="center"/>
      <w:rPr>
        <w:lang w:val="es-ES"/>
      </w:rPr>
    </w:pPr>
    <w:r>
      <w:rPr>
        <w:noProof/>
      </w:rPr>
      <w:drawing>
        <wp:inline distT="0" distB="0" distL="0" distR="0" wp14:anchorId="29A046D9" wp14:editId="71E4AD10">
          <wp:extent cx="3700130" cy="519139"/>
          <wp:effectExtent l="0" t="0" r="0" b="0"/>
          <wp:docPr id="8801062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F72936" w:rsidP="00F72936" w:rsidRDefault="00F72936" w14:paraId="742E53B6" w14:textId="77777777">
    <w:pPr>
      <w:pStyle w:val="Footer"/>
      <w:jc w:val="center"/>
      <w:rPr>
        <w:lang w:val="es-ES"/>
      </w:rPr>
    </w:pPr>
  </w:p>
  <w:p w:rsidRPr="007B0854" w:rsidR="00F72936" w:rsidP="00F72936" w:rsidRDefault="00F72936" w14:paraId="304E5412" w14:textId="77777777">
    <w:pPr>
      <w:pStyle w:val="Footer"/>
      <w:jc w:val="center"/>
      <w:rPr>
        <w:lang w:val="es-ES"/>
      </w:rPr>
    </w:pPr>
  </w:p>
  <w:p w:rsidRPr="00856133" w:rsidR="00F72936" w:rsidP="00F72936" w:rsidRDefault="00F72936" w14:paraId="47FC0032" w14:textId="77777777">
    <w:pPr>
      <w:pStyle w:val="Footer"/>
    </w:pPr>
  </w:p>
  <w:p w:rsidRPr="00F72936" w:rsidR="004A34D2" w:rsidP="00F72936" w:rsidRDefault="004A34D2" w14:paraId="6C0EFC4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535A" w:rsidRDefault="00A2535A" w14:paraId="5EA2E270" w14:textId="77777777">
      <w:r>
        <w:separator/>
      </w:r>
    </w:p>
  </w:footnote>
  <w:footnote w:type="continuationSeparator" w:id="0">
    <w:p w:rsidR="00A2535A" w:rsidRDefault="00A2535A" w14:paraId="0999E29B" w14:textId="77777777">
      <w:r>
        <w:continuationSeparator/>
      </w:r>
    </w:p>
  </w:footnote>
  <w:footnote w:type="continuationNotice" w:id="1">
    <w:p w:rsidR="00A709B2" w:rsidRDefault="00A709B2" w14:paraId="38077CE9" w14:textId="77777777"/>
  </w:footnote>
  <w:footnote w:id="2">
    <w:p w:rsidRPr="00A027C9" w:rsidR="007F25A8" w:rsidP="007F25A8" w:rsidRDefault="007F25A8" w14:paraId="79B397FD" w14:textId="7152EEAE">
      <w:pPr>
        <w:pStyle w:val="FootnoteText"/>
        <w:ind w:firstLine="708"/>
        <w:jc w:val="both"/>
        <w:rPr>
          <w:rFonts w:ascii="Arial" w:hAnsi="Arial" w:cs="Arial"/>
          <w:color w:val="000000" w:themeColor="text1"/>
          <w:sz w:val="19"/>
          <w:szCs w:val="19"/>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Esta pregunta solo está en la solicitud con número 4202012000002363.</w:t>
      </w:r>
    </w:p>
  </w:footnote>
  <w:footnote w:id="3">
    <w:p w:rsidRPr="00A027C9" w:rsidR="0073536E" w:rsidP="007F25A8" w:rsidRDefault="0073536E" w14:paraId="7AD9E03A" w14:textId="77777777">
      <w:pPr>
        <w:pStyle w:val="FootnoteText"/>
        <w:ind w:firstLine="708"/>
        <w:jc w:val="both"/>
        <w:rPr>
          <w:rFonts w:ascii="Arial" w:hAnsi="Arial" w:cs="Arial"/>
          <w:color w:val="000000" w:themeColor="text1"/>
          <w:sz w:val="19"/>
          <w:szCs w:val="19"/>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Corte Constitucional. Sentencia C- 341 del 4 de junio de 2014. M. P. Mauricio González Cuervo.</w:t>
      </w:r>
    </w:p>
    <w:p w:rsidRPr="00A027C9" w:rsidR="0073536E" w:rsidP="007F25A8" w:rsidRDefault="0073536E" w14:paraId="137BFD0C" w14:textId="77777777">
      <w:pPr>
        <w:pStyle w:val="FootnoteText"/>
        <w:ind w:firstLine="708"/>
        <w:jc w:val="both"/>
        <w:rPr>
          <w:rFonts w:ascii="Arial" w:hAnsi="Arial" w:cs="Arial"/>
          <w:color w:val="000000" w:themeColor="text1"/>
          <w:sz w:val="19"/>
          <w:szCs w:val="19"/>
          <w:lang w:val="es-CO"/>
        </w:rPr>
      </w:pPr>
    </w:p>
  </w:footnote>
  <w:footnote w:id="4">
    <w:p w:rsidRPr="00A027C9" w:rsidR="0073536E" w:rsidP="007F25A8" w:rsidRDefault="0073536E" w14:paraId="16A75F19" w14:textId="77777777">
      <w:pPr>
        <w:pStyle w:val="FootnoteText"/>
        <w:ind w:firstLine="708"/>
        <w:jc w:val="both"/>
        <w:rPr>
          <w:rFonts w:ascii="Arial" w:hAnsi="Arial" w:cs="Arial"/>
          <w:color w:val="000000" w:themeColor="text1"/>
          <w:sz w:val="19"/>
          <w:szCs w:val="19"/>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A027C9" w:rsidR="0073536E" w:rsidP="007F25A8" w:rsidRDefault="0073536E" w14:paraId="2DF7FC3A" w14:textId="77777777">
      <w:pPr>
        <w:pStyle w:val="FootnoteText"/>
        <w:ind w:firstLine="708"/>
        <w:jc w:val="both"/>
        <w:rPr>
          <w:rFonts w:ascii="Arial" w:hAnsi="Arial" w:cs="Arial"/>
          <w:color w:val="000000" w:themeColor="text1"/>
          <w:sz w:val="19"/>
          <w:szCs w:val="19"/>
        </w:rPr>
      </w:pPr>
      <w:proofErr w:type="gramStart"/>
      <w:r w:rsidRPr="00A027C9">
        <w:rPr>
          <w:rFonts w:ascii="Arial" w:hAnsi="Arial" w:cs="Arial"/>
          <w:color w:val="000000" w:themeColor="text1"/>
          <w:sz w:val="19"/>
          <w:szCs w:val="19"/>
        </w:rPr>
        <w:t>»Lo</w:t>
      </w:r>
      <w:proofErr w:type="gramEnd"/>
      <w:r w:rsidRPr="00A027C9">
        <w:rPr>
          <w:rFonts w:ascii="Arial" w:hAnsi="Arial" w:cs="Arial"/>
          <w:color w:val="000000" w:themeColor="text1"/>
          <w:sz w:val="19"/>
          <w:szCs w:val="19"/>
        </w:rPr>
        <w:t xml:space="preserve"> anterior, sin perjuicio de las publicaciones previstas en el numeral 3 del artículo 30 de la Ley 80 de 1993.</w:t>
      </w:r>
    </w:p>
    <w:p w:rsidRPr="00A027C9" w:rsidR="0073536E" w:rsidP="007F25A8" w:rsidRDefault="0073536E" w14:paraId="1D94151D" w14:textId="77777777">
      <w:pPr>
        <w:pStyle w:val="FootnoteText"/>
        <w:ind w:firstLine="708"/>
        <w:jc w:val="both"/>
        <w:rPr>
          <w:rFonts w:ascii="Arial" w:hAnsi="Arial" w:cs="Arial"/>
          <w:color w:val="000000" w:themeColor="text1"/>
          <w:sz w:val="19"/>
          <w:szCs w:val="19"/>
        </w:rPr>
      </w:pPr>
      <w:proofErr w:type="gramStart"/>
      <w:r w:rsidRPr="00A027C9">
        <w:rPr>
          <w:rFonts w:ascii="Arial" w:hAnsi="Arial" w:cs="Arial"/>
          <w:color w:val="000000" w:themeColor="text1"/>
          <w:sz w:val="19"/>
          <w:szCs w:val="19"/>
        </w:rPr>
        <w:t>»Con</w:t>
      </w:r>
      <w:proofErr w:type="gramEnd"/>
      <w:r w:rsidRPr="00A027C9">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Secop, el cual: </w:t>
      </w:r>
    </w:p>
    <w:p w:rsidRPr="00A027C9" w:rsidR="0073536E" w:rsidP="007F25A8" w:rsidRDefault="0073536E" w14:paraId="54FABD6B" w14:textId="77777777">
      <w:pPr>
        <w:pStyle w:val="FootnoteText"/>
        <w:ind w:firstLine="708"/>
        <w:jc w:val="both"/>
        <w:rPr>
          <w:rFonts w:ascii="Arial" w:hAnsi="Arial" w:cs="Arial"/>
          <w:color w:val="000000" w:themeColor="text1"/>
          <w:sz w:val="19"/>
          <w:szCs w:val="19"/>
        </w:rPr>
      </w:pPr>
      <w:r w:rsidRPr="00A027C9">
        <w:rPr>
          <w:rFonts w:ascii="Arial" w:hAnsi="Arial" w:cs="Arial"/>
          <w:color w:val="000000" w:themeColor="text1"/>
          <w:sz w:val="19"/>
          <w:szCs w:val="19"/>
        </w:rPr>
        <w:t>[…]</w:t>
      </w:r>
    </w:p>
    <w:p w:rsidRPr="00A027C9" w:rsidR="0073536E" w:rsidP="007F25A8" w:rsidRDefault="0073536E" w14:paraId="3241A171" w14:textId="77777777">
      <w:pPr>
        <w:pStyle w:val="FootnoteText"/>
        <w:ind w:firstLine="708"/>
        <w:jc w:val="both"/>
        <w:rPr>
          <w:rFonts w:ascii="Arial" w:hAnsi="Arial" w:cs="Arial"/>
          <w:color w:val="000000" w:themeColor="text1"/>
          <w:sz w:val="19"/>
          <w:szCs w:val="19"/>
        </w:rPr>
      </w:pPr>
      <w:r w:rsidRPr="00A027C9">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rsidRPr="00A027C9" w:rsidR="0073536E" w:rsidP="007F25A8" w:rsidRDefault="0073536E" w14:paraId="1ADB314A" w14:textId="77777777">
      <w:pPr>
        <w:pStyle w:val="FootnoteText"/>
        <w:ind w:firstLine="708"/>
        <w:jc w:val="both"/>
        <w:rPr>
          <w:rFonts w:ascii="Arial" w:hAnsi="Arial" w:cs="Arial"/>
          <w:color w:val="000000" w:themeColor="text1"/>
          <w:sz w:val="19"/>
          <w:szCs w:val="19"/>
        </w:rPr>
      </w:pPr>
    </w:p>
  </w:footnote>
  <w:footnote w:id="5">
    <w:p w:rsidRPr="00A027C9" w:rsidR="0073536E" w:rsidP="007F25A8" w:rsidRDefault="0073536E" w14:paraId="65FE9110" w14:textId="77777777">
      <w:pPr>
        <w:pStyle w:val="FootnoteText"/>
        <w:ind w:firstLine="708"/>
        <w:jc w:val="both"/>
        <w:rPr>
          <w:rFonts w:ascii="Arial" w:hAnsi="Arial" w:cs="Arial"/>
          <w:color w:val="000000" w:themeColor="text1"/>
          <w:sz w:val="19"/>
          <w:szCs w:val="19"/>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rsidRPr="00A027C9" w:rsidR="0073536E" w:rsidP="007F25A8" w:rsidRDefault="0073536E" w14:paraId="721000F4" w14:textId="77777777">
      <w:pPr>
        <w:pStyle w:val="FootnoteText"/>
        <w:ind w:firstLine="708"/>
        <w:jc w:val="both"/>
        <w:rPr>
          <w:rFonts w:ascii="Arial" w:hAnsi="Arial" w:cs="Arial"/>
          <w:color w:val="000000" w:themeColor="text1"/>
          <w:sz w:val="19"/>
          <w:szCs w:val="19"/>
        </w:rPr>
      </w:pPr>
    </w:p>
  </w:footnote>
  <w:footnote w:id="6">
    <w:p w:rsidRPr="00A027C9" w:rsidR="0073536E" w:rsidP="007F25A8" w:rsidRDefault="0073536E" w14:paraId="6B01914A" w14:textId="77777777">
      <w:pPr>
        <w:pStyle w:val="FootnoteText"/>
        <w:ind w:firstLine="708"/>
        <w:jc w:val="both"/>
        <w:rPr>
          <w:rFonts w:ascii="Arial" w:hAnsi="Arial" w:cs="Arial"/>
          <w:color w:val="000000" w:themeColor="text1"/>
          <w:sz w:val="19"/>
          <w:szCs w:val="19"/>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rsidRPr="00A027C9" w:rsidR="0073536E" w:rsidP="007F25A8" w:rsidRDefault="0073536E" w14:paraId="362FBF71" w14:textId="77777777">
      <w:pPr>
        <w:pStyle w:val="FootnoteText"/>
        <w:ind w:firstLine="708"/>
        <w:jc w:val="both"/>
        <w:rPr>
          <w:rFonts w:ascii="Arial" w:hAnsi="Arial" w:cs="Arial"/>
          <w:color w:val="000000" w:themeColor="text1"/>
          <w:sz w:val="19"/>
          <w:szCs w:val="19"/>
        </w:rPr>
      </w:pPr>
      <w:r w:rsidRPr="00A027C9">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rsidRPr="00A027C9" w:rsidR="0073536E" w:rsidP="007F25A8" w:rsidRDefault="0073536E" w14:paraId="60D019C1" w14:textId="77777777">
      <w:pPr>
        <w:pStyle w:val="FootnoteText"/>
        <w:jc w:val="both"/>
        <w:rPr>
          <w:rFonts w:ascii="Arial" w:hAnsi="Arial" w:cs="Arial"/>
          <w:color w:val="000000" w:themeColor="text1"/>
          <w:sz w:val="19"/>
          <w:szCs w:val="19"/>
          <w:lang w:val="es-CO"/>
        </w:rPr>
      </w:pPr>
    </w:p>
  </w:footnote>
  <w:footnote w:id="7">
    <w:p w:rsidRPr="00A027C9" w:rsidR="0073536E" w:rsidP="007F25A8" w:rsidRDefault="0073536E" w14:paraId="2A78FACC" w14:textId="77777777">
      <w:pPr>
        <w:pStyle w:val="FootnoteText"/>
        <w:ind w:firstLine="709"/>
        <w:jc w:val="both"/>
        <w:rPr>
          <w:rFonts w:ascii="Arial" w:hAnsi="Arial" w:cs="Arial"/>
          <w:color w:val="000000" w:themeColor="text1"/>
          <w:sz w:val="19"/>
          <w:szCs w:val="19"/>
        </w:rPr>
      </w:pPr>
      <w:r w:rsidRPr="00A027C9">
        <w:rPr>
          <w:rFonts w:ascii="Arial" w:hAnsi="Arial" w:eastAsia="Times New Roman" w:cs="Arial"/>
          <w:color w:val="000000" w:themeColor="text1"/>
          <w:sz w:val="19"/>
          <w:szCs w:val="19"/>
          <w:vertAlign w:val="superscript"/>
          <w:lang w:val="es-ES" w:eastAsia="es-ES"/>
        </w:rPr>
        <w:footnoteRef/>
      </w:r>
      <w:r w:rsidRPr="00A027C9">
        <w:rPr>
          <w:rFonts w:ascii="Arial" w:hAnsi="Arial" w:eastAsia="Times New Roman" w:cs="Arial"/>
          <w:color w:val="000000" w:themeColor="text1"/>
          <w:sz w:val="19"/>
          <w:szCs w:val="19"/>
          <w:vertAlign w:val="superscript"/>
          <w:lang w:val="es-ES" w:eastAsia="es-ES"/>
        </w:rPr>
        <w:t xml:space="preserve"> </w:t>
      </w:r>
      <w:r w:rsidRPr="00A027C9">
        <w:rPr>
          <w:rFonts w:ascii="Arial" w:hAnsi="Arial" w:eastAsia="Times New Roman" w:cs="Arial"/>
          <w:color w:val="000000" w:themeColor="text1"/>
          <w:sz w:val="19"/>
          <w:szCs w:val="19"/>
          <w:lang w:val="es-ES" w:eastAsia="es-ES"/>
        </w:rPr>
        <w:t>«</w:t>
      </w:r>
      <w:r w:rsidRPr="00A027C9">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A027C9" w:rsidR="0073536E" w:rsidP="007F25A8" w:rsidRDefault="0073536E" w14:paraId="7E3A3D58" w14:textId="77777777">
      <w:pPr>
        <w:pStyle w:val="FootnoteText"/>
        <w:ind w:firstLine="709"/>
        <w:jc w:val="both"/>
        <w:rPr>
          <w:rFonts w:ascii="Arial" w:hAnsi="Arial" w:cs="Arial"/>
          <w:color w:val="000000" w:themeColor="text1"/>
          <w:sz w:val="19"/>
          <w:szCs w:val="19"/>
        </w:rPr>
      </w:pPr>
      <w:r w:rsidRPr="00A027C9">
        <w:rPr>
          <w:rFonts w:ascii="Arial" w:hAnsi="Arial" w:cs="Arial"/>
          <w:color w:val="000000" w:themeColor="text1"/>
          <w:sz w:val="19"/>
          <w:szCs w:val="19"/>
        </w:rPr>
        <w:t>[…]</w:t>
      </w:r>
    </w:p>
    <w:p w:rsidRPr="00A027C9" w:rsidR="0073536E" w:rsidP="007F25A8" w:rsidRDefault="0073536E" w14:paraId="1B5065FD" w14:textId="77777777">
      <w:pPr>
        <w:pStyle w:val="FootnoteText"/>
        <w:ind w:firstLine="709"/>
        <w:jc w:val="both"/>
        <w:rPr>
          <w:rFonts w:ascii="Arial" w:hAnsi="Arial" w:cs="Arial"/>
          <w:color w:val="000000" w:themeColor="text1"/>
          <w:sz w:val="19"/>
          <w:szCs w:val="19"/>
        </w:rPr>
      </w:pPr>
    </w:p>
    <w:p w:rsidRPr="00A027C9" w:rsidR="0073536E" w:rsidP="007F25A8" w:rsidRDefault="0073536E" w14:paraId="766548B0" w14:textId="77777777">
      <w:pPr>
        <w:pStyle w:val="FootnoteText"/>
        <w:ind w:firstLine="709"/>
        <w:jc w:val="both"/>
        <w:rPr>
          <w:rFonts w:ascii="Arial" w:hAnsi="Arial" w:eastAsia="Times New Roman" w:cs="Arial"/>
          <w:color w:val="000000" w:themeColor="text1"/>
          <w:sz w:val="19"/>
          <w:szCs w:val="19"/>
          <w:lang w:val="es-ES" w:eastAsia="es-ES"/>
        </w:rPr>
      </w:pPr>
      <w:proofErr w:type="gramStart"/>
      <w:r w:rsidRPr="00A027C9">
        <w:rPr>
          <w:rFonts w:ascii="Arial" w:hAnsi="Arial" w:eastAsia="Times New Roman" w:cs="Arial"/>
          <w:color w:val="000000" w:themeColor="text1"/>
          <w:sz w:val="19"/>
          <w:szCs w:val="19"/>
          <w:lang w:val="es-ES" w:eastAsia="es-ES"/>
        </w:rPr>
        <w:t>»Los</w:t>
      </w:r>
      <w:proofErr w:type="gramEnd"/>
      <w:r w:rsidRPr="00A027C9">
        <w:rPr>
          <w:rFonts w:ascii="Arial" w:hAnsi="Arial" w:eastAsia="Times New Roman" w:cs="Arial"/>
          <w:color w:val="000000" w:themeColor="text1"/>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rsidRPr="00A027C9" w:rsidR="0073536E" w:rsidP="007F25A8" w:rsidRDefault="0073536E" w14:paraId="26A28778" w14:textId="77777777">
      <w:pPr>
        <w:pStyle w:val="FootnoteText"/>
        <w:ind w:firstLine="709"/>
        <w:jc w:val="both"/>
        <w:rPr>
          <w:rFonts w:ascii="Arial" w:hAnsi="Arial" w:eastAsia="Times New Roman" w:cs="Arial"/>
          <w:color w:val="000000" w:themeColor="text1"/>
          <w:sz w:val="19"/>
          <w:szCs w:val="19"/>
          <w:lang w:val="es-ES" w:eastAsia="es-ES"/>
        </w:rPr>
      </w:pPr>
    </w:p>
  </w:footnote>
  <w:footnote w:id="8">
    <w:p w:rsidRPr="00A027C9" w:rsidR="0073536E" w:rsidP="007F25A8" w:rsidRDefault="0073536E" w14:paraId="4433C010" w14:textId="77777777">
      <w:pPr>
        <w:pStyle w:val="FootnoteText"/>
        <w:ind w:firstLine="708"/>
        <w:jc w:val="both"/>
        <w:rPr>
          <w:rFonts w:ascii="Arial" w:hAnsi="Arial" w:eastAsia="Times New Roman" w:cs="Arial"/>
          <w:color w:val="000000" w:themeColor="text1"/>
          <w:sz w:val="19"/>
          <w:szCs w:val="19"/>
          <w:lang w:val="es-ES" w:eastAsia="es-ES"/>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C</w:t>
      </w:r>
      <w:r w:rsidRPr="00A027C9">
        <w:rPr>
          <w:rFonts w:ascii="Arial" w:hAnsi="Arial" w:eastAsia="Times New Roman" w:cs="Arial"/>
          <w:color w:val="000000" w:themeColor="text1"/>
          <w:sz w:val="19"/>
          <w:szCs w:val="19"/>
          <w:lang w:val="es-ES" w:eastAsia="es-ES"/>
        </w:rPr>
        <w:t xml:space="preserve">orte Constitucional. Sentencia C─274 de 9 de mayo de 2013. M.P. María Victoria Calle Correa. </w:t>
      </w:r>
    </w:p>
    <w:p w:rsidRPr="00A027C9" w:rsidR="0073536E" w:rsidP="007F25A8" w:rsidRDefault="0073536E" w14:paraId="105C0BDE" w14:textId="77777777">
      <w:pPr>
        <w:pStyle w:val="FootnoteText"/>
        <w:ind w:firstLine="708"/>
        <w:jc w:val="both"/>
        <w:rPr>
          <w:rFonts w:ascii="Arial" w:hAnsi="Arial" w:eastAsia="Times New Roman" w:cs="Arial"/>
          <w:color w:val="000000" w:themeColor="text1"/>
          <w:sz w:val="19"/>
          <w:szCs w:val="19"/>
          <w:lang w:val="es-ES" w:eastAsia="es-ES"/>
        </w:rPr>
      </w:pPr>
    </w:p>
  </w:footnote>
  <w:footnote w:id="9">
    <w:p w:rsidRPr="00A027C9" w:rsidR="0073536E" w:rsidP="007F25A8" w:rsidRDefault="0073536E" w14:paraId="36400643" w14:textId="77777777">
      <w:pPr>
        <w:pStyle w:val="FootnoteText"/>
        <w:ind w:firstLine="708"/>
        <w:jc w:val="both"/>
        <w:rPr>
          <w:rFonts w:ascii="Arial" w:hAnsi="Arial" w:cs="Arial"/>
          <w:color w:val="000000" w:themeColor="text1"/>
          <w:sz w:val="19"/>
          <w:szCs w:val="19"/>
          <w:lang w:val="es-CO"/>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10">
    <w:p w:rsidRPr="00A027C9" w:rsidR="0073536E" w:rsidP="007F25A8" w:rsidRDefault="0073536E" w14:paraId="513CFE2C" w14:textId="77777777">
      <w:pPr>
        <w:pStyle w:val="FootnoteText"/>
        <w:ind w:firstLine="708"/>
        <w:jc w:val="both"/>
        <w:rPr>
          <w:rFonts w:ascii="Arial" w:hAnsi="Arial" w:cs="Arial"/>
          <w:color w:val="000000" w:themeColor="text1"/>
          <w:sz w:val="19"/>
          <w:szCs w:val="19"/>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Consejo de Estado. Sección Tercera. Auto del 14 de agosto de 2017.  Exp: 58.820. C.P. Jaime Orlando Santofimio Gamboa. </w:t>
      </w:r>
    </w:p>
    <w:p w:rsidRPr="00A027C9" w:rsidR="0073536E" w:rsidP="007F25A8" w:rsidRDefault="0073536E" w14:paraId="2BEFC2EA" w14:textId="77777777">
      <w:pPr>
        <w:pStyle w:val="FootnoteText"/>
        <w:ind w:firstLine="708"/>
        <w:jc w:val="both"/>
        <w:rPr>
          <w:rFonts w:ascii="Arial" w:hAnsi="Arial" w:cs="Arial"/>
          <w:color w:val="000000" w:themeColor="text1"/>
          <w:sz w:val="19"/>
          <w:szCs w:val="19"/>
          <w:lang w:val="es-CO"/>
        </w:rPr>
      </w:pPr>
    </w:p>
  </w:footnote>
  <w:footnote w:id="11">
    <w:p w:rsidRPr="00A027C9" w:rsidR="0073536E" w:rsidP="007F25A8" w:rsidRDefault="0073536E" w14:paraId="28155830" w14:textId="77777777">
      <w:pPr>
        <w:pStyle w:val="ListParagraph"/>
        <w:ind w:left="0" w:firstLine="708"/>
        <w:jc w:val="both"/>
        <w:rPr>
          <w:rFonts w:ascii="Arial" w:hAnsi="Arial" w:cs="Arial"/>
          <w:bCs/>
          <w:color w:val="000000" w:themeColor="text1"/>
          <w:sz w:val="19"/>
          <w:szCs w:val="19"/>
          <w:lang w:val="es-ES"/>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w:t>
      </w:r>
      <w:r w:rsidRPr="00A027C9">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rsidRPr="00A027C9" w:rsidR="0073536E" w:rsidP="007F25A8" w:rsidRDefault="0073536E" w14:paraId="55E4E05C" w14:textId="77777777">
      <w:pPr>
        <w:pStyle w:val="FootnoteText"/>
        <w:ind w:firstLine="708"/>
        <w:jc w:val="both"/>
        <w:rPr>
          <w:rFonts w:ascii="Arial" w:hAnsi="Arial" w:cs="Arial"/>
          <w:color w:val="000000" w:themeColor="text1"/>
          <w:sz w:val="19"/>
          <w:szCs w:val="19"/>
          <w:lang w:val="es-ES"/>
        </w:rPr>
      </w:pPr>
    </w:p>
  </w:footnote>
  <w:footnote w:id="12">
    <w:p w:rsidRPr="00A027C9" w:rsidR="0073536E" w:rsidP="007F25A8" w:rsidRDefault="0073536E" w14:paraId="488008BB" w14:textId="77777777">
      <w:pPr>
        <w:pStyle w:val="FootnoteText"/>
        <w:ind w:firstLine="708"/>
        <w:jc w:val="both"/>
        <w:rPr>
          <w:rFonts w:ascii="Arial" w:hAnsi="Arial" w:cs="Arial"/>
          <w:color w:val="000000" w:themeColor="text1"/>
          <w:sz w:val="19"/>
          <w:szCs w:val="19"/>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rsidRPr="00A027C9" w:rsidR="0073536E" w:rsidP="007F25A8" w:rsidRDefault="0073536E" w14:paraId="72DBC991" w14:textId="77777777">
      <w:pPr>
        <w:pStyle w:val="FootnoteText"/>
        <w:ind w:firstLine="708"/>
        <w:jc w:val="both"/>
        <w:rPr>
          <w:rFonts w:ascii="Arial" w:hAnsi="Arial" w:eastAsia="Times New Roman" w:cs="Arial"/>
          <w:color w:val="000000" w:themeColor="text1"/>
          <w:sz w:val="19"/>
          <w:szCs w:val="19"/>
          <w:lang w:val="es-ES" w:eastAsia="es-ES"/>
        </w:rPr>
      </w:pPr>
      <w:proofErr w:type="gramStart"/>
      <w:r w:rsidRPr="00A027C9">
        <w:rPr>
          <w:rFonts w:ascii="Arial" w:hAnsi="Arial" w:cs="Arial"/>
          <w:color w:val="000000" w:themeColor="text1"/>
          <w:sz w:val="19"/>
          <w:szCs w:val="19"/>
          <w:lang w:val="es-ES"/>
        </w:rPr>
        <w:t>»</w:t>
      </w:r>
      <w:r w:rsidRPr="00A027C9">
        <w:rPr>
          <w:rFonts w:ascii="Arial" w:hAnsi="Arial" w:cs="Arial"/>
          <w:color w:val="000000" w:themeColor="text1"/>
          <w:sz w:val="19"/>
          <w:szCs w:val="19"/>
        </w:rPr>
        <w:t>Así</w:t>
      </w:r>
      <w:proofErr w:type="gramEnd"/>
      <w:r w:rsidRPr="00A027C9">
        <w:rPr>
          <w:rFonts w:ascii="Arial" w:hAnsi="Arial" w:cs="Arial"/>
          <w:color w:val="000000" w:themeColor="text1"/>
          <w:sz w:val="19"/>
          <w:szCs w:val="19"/>
        </w:rPr>
        <w:t xml:space="preserve">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footnote>
  <w:footnote w:id="13">
    <w:p w:rsidRPr="00A027C9" w:rsidR="0073536E" w:rsidP="007F25A8" w:rsidRDefault="0073536E" w14:paraId="74D0C57F" w14:textId="77777777">
      <w:pPr>
        <w:pStyle w:val="FootnoteText"/>
        <w:ind w:firstLine="708"/>
        <w:jc w:val="both"/>
        <w:rPr>
          <w:rFonts w:ascii="Arial" w:hAnsi="Arial" w:cs="Arial"/>
          <w:color w:val="000000" w:themeColor="text1"/>
          <w:sz w:val="19"/>
          <w:szCs w:val="19"/>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rsidRPr="00A027C9" w:rsidR="0073536E" w:rsidP="007F25A8" w:rsidRDefault="0073536E" w14:paraId="083582DD" w14:textId="77777777">
      <w:pPr>
        <w:pStyle w:val="FootnoteText"/>
        <w:ind w:firstLine="708"/>
        <w:jc w:val="both"/>
        <w:rPr>
          <w:rFonts w:ascii="Arial" w:hAnsi="Arial" w:cs="Arial"/>
          <w:color w:val="000000" w:themeColor="text1"/>
          <w:sz w:val="19"/>
          <w:szCs w:val="19"/>
        </w:rPr>
      </w:pPr>
    </w:p>
  </w:footnote>
  <w:footnote w:id="14">
    <w:p w:rsidRPr="00A027C9" w:rsidR="0073536E" w:rsidP="007F25A8" w:rsidRDefault="0073536E" w14:paraId="07EA1727" w14:textId="77777777">
      <w:pPr>
        <w:pStyle w:val="FootnoteText"/>
        <w:ind w:firstLine="708"/>
        <w:jc w:val="both"/>
        <w:rPr>
          <w:rFonts w:ascii="Arial" w:hAnsi="Arial" w:cs="Arial"/>
          <w:color w:val="000000" w:themeColor="text1"/>
          <w:sz w:val="19"/>
          <w:szCs w:val="19"/>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rsidRPr="00A027C9" w:rsidR="0073536E" w:rsidP="007F25A8" w:rsidRDefault="0073536E" w14:paraId="3A86F5DB" w14:textId="77777777">
      <w:pPr>
        <w:pStyle w:val="FootnoteText"/>
        <w:ind w:firstLine="708"/>
        <w:jc w:val="both"/>
        <w:rPr>
          <w:rFonts w:ascii="Arial" w:hAnsi="Arial" w:cs="Arial"/>
          <w:color w:val="000000" w:themeColor="text1"/>
          <w:sz w:val="19"/>
          <w:szCs w:val="19"/>
        </w:rPr>
      </w:pPr>
    </w:p>
  </w:footnote>
  <w:footnote w:id="15">
    <w:p w:rsidRPr="00A027C9" w:rsidR="0073536E" w:rsidP="007F25A8" w:rsidRDefault="0073536E" w14:paraId="66929F5C" w14:textId="77777777">
      <w:pPr>
        <w:pStyle w:val="FootnoteText"/>
        <w:ind w:firstLine="708"/>
        <w:jc w:val="both"/>
        <w:rPr>
          <w:rFonts w:ascii="Arial" w:hAnsi="Arial" w:cs="Arial"/>
          <w:color w:val="000000" w:themeColor="text1"/>
          <w:sz w:val="19"/>
          <w:szCs w:val="19"/>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rsidRPr="00A027C9" w:rsidR="0073536E" w:rsidP="007F25A8" w:rsidRDefault="0073536E" w14:paraId="21F86D3B" w14:textId="77777777">
      <w:pPr>
        <w:pStyle w:val="FootnoteText"/>
        <w:ind w:firstLine="708"/>
        <w:jc w:val="both"/>
        <w:rPr>
          <w:rFonts w:ascii="Arial" w:hAnsi="Arial" w:cs="Arial"/>
          <w:color w:val="000000" w:themeColor="text1"/>
          <w:sz w:val="19"/>
          <w:szCs w:val="19"/>
        </w:rPr>
      </w:pPr>
      <w:proofErr w:type="gramStart"/>
      <w:r w:rsidRPr="00A027C9">
        <w:rPr>
          <w:rFonts w:ascii="Arial" w:hAnsi="Arial" w:cs="Arial"/>
          <w:color w:val="000000" w:themeColor="text1"/>
          <w:sz w:val="19"/>
          <w:szCs w:val="19"/>
          <w:lang w:val="es-ES"/>
        </w:rPr>
        <w:t>»</w:t>
      </w:r>
      <w:r w:rsidRPr="00A027C9">
        <w:rPr>
          <w:rFonts w:ascii="Arial" w:hAnsi="Arial" w:cs="Arial"/>
          <w:color w:val="000000" w:themeColor="text1"/>
          <w:sz w:val="19"/>
          <w:szCs w:val="19"/>
        </w:rPr>
        <w:t>Los</w:t>
      </w:r>
      <w:proofErr w:type="gramEnd"/>
      <w:r w:rsidRPr="00A027C9">
        <w:rPr>
          <w:rFonts w:ascii="Arial" w:hAnsi="Arial" w:cs="Arial"/>
          <w:color w:val="000000" w:themeColor="text1"/>
          <w:sz w:val="19"/>
          <w:szCs w:val="19"/>
        </w:rPr>
        <w:t xml:space="preserve"> sujetos obligados que no contratan con cargo a recursos públicos no están obligados a publicar su Plan Anual de Adquisiciones.</w:t>
      </w:r>
    </w:p>
    <w:p w:rsidRPr="00A027C9" w:rsidR="0073536E" w:rsidP="007F25A8" w:rsidRDefault="0073536E" w14:paraId="52833DFC" w14:textId="77777777">
      <w:pPr>
        <w:pStyle w:val="FootnoteText"/>
        <w:ind w:firstLine="708"/>
        <w:jc w:val="both"/>
        <w:rPr>
          <w:rFonts w:ascii="Arial" w:hAnsi="Arial" w:cs="Arial"/>
          <w:color w:val="000000" w:themeColor="text1"/>
          <w:sz w:val="19"/>
          <w:szCs w:val="19"/>
        </w:rPr>
      </w:pPr>
      <w:proofErr w:type="gramStart"/>
      <w:r w:rsidRPr="00A027C9">
        <w:rPr>
          <w:rFonts w:ascii="Arial" w:hAnsi="Arial" w:cs="Arial"/>
          <w:color w:val="000000" w:themeColor="text1"/>
          <w:sz w:val="19"/>
          <w:szCs w:val="19"/>
          <w:lang w:val="es-ES"/>
        </w:rPr>
        <w:t>»</w:t>
      </w:r>
      <w:r w:rsidRPr="00A027C9">
        <w:rPr>
          <w:rFonts w:ascii="Arial" w:hAnsi="Arial" w:cs="Arial"/>
          <w:color w:val="000000" w:themeColor="text1"/>
          <w:sz w:val="19"/>
          <w:szCs w:val="19"/>
        </w:rPr>
        <w:t>Los</w:t>
      </w:r>
      <w:proofErr w:type="gramEnd"/>
      <w:r w:rsidRPr="00A027C9">
        <w:rPr>
          <w:rFonts w:ascii="Arial" w:hAnsi="Arial" w:cs="Arial"/>
          <w:color w:val="000000" w:themeColor="text1"/>
          <w:sz w:val="19"/>
          <w:szCs w:val="19"/>
        </w:rPr>
        <w:t xml:space="preserve"> sujetos obligados que contratan con cargo a recursos públicos y recursos privados, deben publicar en su página web y en el SECOP el Plan Anual de Adquisiciones para los recursos de carácter público que ejecutarán en el año.</w:t>
      </w:r>
    </w:p>
    <w:p w:rsidRPr="00A027C9" w:rsidR="0073536E" w:rsidP="007F25A8" w:rsidRDefault="0073536E" w14:paraId="0FEDC650" w14:textId="77777777">
      <w:pPr>
        <w:pStyle w:val="FootnoteText"/>
        <w:ind w:firstLine="708"/>
        <w:jc w:val="both"/>
        <w:rPr>
          <w:rFonts w:ascii="Arial" w:hAnsi="Arial" w:cs="Arial"/>
          <w:color w:val="000000" w:themeColor="text1"/>
          <w:sz w:val="19"/>
          <w:szCs w:val="19"/>
        </w:rPr>
      </w:pPr>
      <w:proofErr w:type="gramStart"/>
      <w:r w:rsidRPr="00A027C9">
        <w:rPr>
          <w:rFonts w:ascii="Arial" w:hAnsi="Arial" w:cs="Arial"/>
          <w:color w:val="000000" w:themeColor="text1"/>
          <w:sz w:val="19"/>
          <w:szCs w:val="19"/>
          <w:lang w:val="es-ES"/>
        </w:rPr>
        <w:t>»</w:t>
      </w:r>
      <w:r w:rsidRPr="00A027C9">
        <w:rPr>
          <w:rFonts w:ascii="Arial" w:hAnsi="Arial" w:cs="Arial"/>
          <w:color w:val="000000" w:themeColor="text1"/>
          <w:sz w:val="19"/>
          <w:szCs w:val="19"/>
        </w:rPr>
        <w:t>Se</w:t>
      </w:r>
      <w:proofErr w:type="gramEnd"/>
      <w:r w:rsidRPr="00A027C9">
        <w:rPr>
          <w:rFonts w:ascii="Arial" w:hAnsi="Arial" w:cs="Arial"/>
          <w:color w:val="000000" w:themeColor="text1"/>
          <w:sz w:val="19"/>
          <w:szCs w:val="19"/>
        </w:rPr>
        <w:t xml:space="preserve"> entenderá como definición de Plan Anual de Adquisiciones respecto a todos los sujetos obligados que contratan con recursos públicos, la prevista en el artículo 3° del Decreto 1510 de 2013, o el que lo modifique, sustituya o adicione».</w:t>
      </w:r>
    </w:p>
  </w:footnote>
  <w:footnote w:id="16">
    <w:p w:rsidRPr="00A027C9" w:rsidR="0073536E" w:rsidP="007F25A8" w:rsidRDefault="0073536E" w14:paraId="2FDDB5C4" w14:textId="77777777">
      <w:pPr>
        <w:pStyle w:val="FootnoteText"/>
        <w:ind w:firstLine="708"/>
        <w:jc w:val="both"/>
        <w:rPr>
          <w:rFonts w:ascii="Arial" w:hAnsi="Arial" w:cs="Arial"/>
          <w:color w:val="000000" w:themeColor="text1"/>
          <w:sz w:val="19"/>
          <w:szCs w:val="19"/>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rsidRPr="00A027C9" w:rsidR="0073536E" w:rsidP="007F25A8" w:rsidRDefault="0073536E" w14:paraId="6792FDB6" w14:textId="77777777">
      <w:pPr>
        <w:pStyle w:val="FootnoteText"/>
        <w:ind w:firstLine="708"/>
        <w:jc w:val="both"/>
        <w:rPr>
          <w:rFonts w:ascii="Arial" w:hAnsi="Arial" w:cs="Arial"/>
          <w:color w:val="000000" w:themeColor="text1"/>
          <w:sz w:val="19"/>
          <w:szCs w:val="19"/>
        </w:rPr>
      </w:pPr>
      <w:proofErr w:type="gramStart"/>
      <w:r w:rsidRPr="00A027C9">
        <w:rPr>
          <w:rFonts w:ascii="Arial" w:hAnsi="Arial" w:eastAsia="Calibri" w:cs="Arial"/>
          <w:color w:val="000000" w:themeColor="text1"/>
          <w:sz w:val="19"/>
          <w:szCs w:val="19"/>
        </w:rPr>
        <w:t>»</w:t>
      </w:r>
      <w:r w:rsidRPr="00A027C9">
        <w:rPr>
          <w:rFonts w:ascii="Arial" w:hAnsi="Arial" w:cs="Arial"/>
          <w:color w:val="000000" w:themeColor="text1"/>
          <w:sz w:val="19"/>
          <w:szCs w:val="19"/>
        </w:rPr>
        <w:t>En</w:t>
      </w:r>
      <w:proofErr w:type="gramEnd"/>
      <w:r w:rsidRPr="00A027C9">
        <w:rPr>
          <w:rFonts w:ascii="Arial" w:hAnsi="Arial" w:cs="Arial"/>
          <w:color w:val="000000" w:themeColor="text1"/>
          <w:sz w:val="19"/>
          <w:szCs w:val="19"/>
        </w:rPr>
        <w:t xml:space="preserve">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rsidRPr="00A027C9" w:rsidR="0073536E" w:rsidP="007F25A8" w:rsidRDefault="0073536E" w14:paraId="0D1C2356" w14:textId="77777777">
      <w:pPr>
        <w:pStyle w:val="FootnoteText"/>
        <w:ind w:firstLine="708"/>
        <w:jc w:val="both"/>
        <w:rPr>
          <w:rFonts w:ascii="Arial" w:hAnsi="Arial" w:cs="Arial"/>
          <w:color w:val="000000" w:themeColor="text1"/>
          <w:sz w:val="19"/>
          <w:szCs w:val="19"/>
          <w:lang w:val="es-CO"/>
        </w:rPr>
      </w:pPr>
    </w:p>
  </w:footnote>
  <w:footnote w:id="17">
    <w:p w:rsidRPr="00A027C9" w:rsidR="0073536E" w:rsidP="007F25A8" w:rsidRDefault="0073536E" w14:paraId="0B844328" w14:textId="77777777">
      <w:pPr>
        <w:pStyle w:val="FootnoteText"/>
        <w:ind w:firstLine="709"/>
        <w:jc w:val="both"/>
        <w:rPr>
          <w:rFonts w:ascii="Arial" w:hAnsi="Arial" w:cs="Arial"/>
          <w:color w:val="000000" w:themeColor="text1"/>
          <w:sz w:val="19"/>
          <w:szCs w:val="19"/>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rsidRPr="00A027C9" w:rsidR="0073536E" w:rsidP="007F25A8" w:rsidRDefault="0073536E" w14:paraId="6C110FC0" w14:textId="77777777">
      <w:pPr>
        <w:pStyle w:val="FootnoteText"/>
        <w:ind w:firstLine="709"/>
        <w:jc w:val="both"/>
        <w:rPr>
          <w:rFonts w:ascii="Arial" w:hAnsi="Arial" w:cs="Arial"/>
          <w:color w:val="000000" w:themeColor="text1"/>
          <w:sz w:val="19"/>
          <w:szCs w:val="19"/>
        </w:rPr>
      </w:pPr>
      <w:proofErr w:type="gramStart"/>
      <w:r w:rsidRPr="00A027C9">
        <w:rPr>
          <w:rFonts w:ascii="Arial" w:hAnsi="Arial" w:eastAsia="Calibri" w:cs="Arial"/>
          <w:color w:val="000000" w:themeColor="text1"/>
          <w:sz w:val="19"/>
          <w:szCs w:val="19"/>
        </w:rPr>
        <w:t>»</w:t>
      </w:r>
      <w:r w:rsidRPr="00A027C9">
        <w:rPr>
          <w:rFonts w:ascii="Arial" w:hAnsi="Arial" w:cs="Arial"/>
          <w:color w:val="000000" w:themeColor="text1"/>
          <w:sz w:val="19"/>
          <w:szCs w:val="19"/>
        </w:rPr>
        <w:t>La</w:t>
      </w:r>
      <w:proofErr w:type="gramEnd"/>
      <w:r w:rsidRPr="00A027C9">
        <w:rPr>
          <w:rFonts w:ascii="Arial" w:hAnsi="Arial" w:cs="Arial"/>
          <w:color w:val="000000" w:themeColor="text1"/>
          <w:sz w:val="19"/>
          <w:szCs w:val="19"/>
        </w:rPr>
        <w:t xml:space="preserve"> información registrada por las Entidades en el SECOP II y en la Tienda Virtual del Estado Colombiano, está disponible en tiempo real en razón a que las actuaciones del Proceso de Contratación tienen lugar electrónicamente a través de dichas plataformas transaccionales</w:t>
      </w:r>
      <w:r w:rsidRPr="00A027C9">
        <w:rPr>
          <w:rFonts w:ascii="Arial" w:hAnsi="Arial" w:eastAsia="Calibri" w:cs="Arial"/>
          <w:color w:val="000000" w:themeColor="text1"/>
          <w:sz w:val="19"/>
          <w:szCs w:val="19"/>
        </w:rPr>
        <w:t>»</w:t>
      </w:r>
      <w:r w:rsidRPr="00A027C9">
        <w:rPr>
          <w:rFonts w:ascii="Arial" w:hAnsi="Arial" w:cs="Arial"/>
          <w:color w:val="000000" w:themeColor="text1"/>
          <w:sz w:val="19"/>
          <w:szCs w:val="19"/>
        </w:rPr>
        <w:t xml:space="preserve">. </w:t>
      </w:r>
    </w:p>
    <w:p w:rsidRPr="00A027C9" w:rsidR="0073536E" w:rsidP="007F25A8" w:rsidRDefault="0073536E" w14:paraId="659617C2" w14:textId="77777777">
      <w:pPr>
        <w:pStyle w:val="FootnoteText"/>
        <w:ind w:firstLine="708"/>
        <w:jc w:val="both"/>
        <w:rPr>
          <w:rFonts w:ascii="Arial" w:hAnsi="Arial" w:cs="Arial"/>
          <w:color w:val="000000" w:themeColor="text1"/>
          <w:sz w:val="19"/>
          <w:szCs w:val="19"/>
        </w:rPr>
      </w:pPr>
      <w:proofErr w:type="gramStart"/>
      <w:r w:rsidRPr="00A027C9">
        <w:rPr>
          <w:rFonts w:ascii="Arial" w:hAnsi="Arial" w:eastAsia="Calibri" w:cs="Arial"/>
          <w:color w:val="000000" w:themeColor="text1"/>
          <w:sz w:val="19"/>
          <w:szCs w:val="19"/>
        </w:rPr>
        <w:t>»</w:t>
      </w:r>
      <w:r w:rsidRPr="00A027C9">
        <w:rPr>
          <w:rFonts w:ascii="Arial" w:hAnsi="Arial" w:cs="Arial"/>
          <w:color w:val="000000" w:themeColor="text1"/>
          <w:sz w:val="19"/>
          <w:szCs w:val="19"/>
        </w:rPr>
        <w:t>Con</w:t>
      </w:r>
      <w:proofErr w:type="gramEnd"/>
      <w:r w:rsidRPr="00A027C9">
        <w:rPr>
          <w:rFonts w:ascii="Arial" w:hAnsi="Arial" w:cs="Arial"/>
          <w:color w:val="000000" w:themeColor="text1"/>
          <w:sz w:val="19"/>
          <w:szCs w:val="19"/>
        </w:rPr>
        <w:t xml:space="preserve">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p w:rsidRPr="00A027C9" w:rsidR="0073536E" w:rsidP="007F25A8" w:rsidRDefault="0073536E" w14:paraId="4A1A539B" w14:textId="77777777">
      <w:pPr>
        <w:pStyle w:val="FootnoteText"/>
        <w:ind w:firstLine="708"/>
        <w:jc w:val="both"/>
        <w:rPr>
          <w:rFonts w:ascii="Arial" w:hAnsi="Arial" w:cs="Arial"/>
          <w:color w:val="000000" w:themeColor="text1"/>
          <w:sz w:val="19"/>
          <w:szCs w:val="19"/>
          <w:lang w:val="es-CO"/>
        </w:rPr>
      </w:pPr>
    </w:p>
  </w:footnote>
  <w:footnote w:id="18">
    <w:p w:rsidRPr="00A027C9" w:rsidR="0073536E" w:rsidP="007F25A8" w:rsidRDefault="0073536E" w14:paraId="6F062AE3" w14:textId="77777777">
      <w:pPr>
        <w:pStyle w:val="FootnoteText"/>
        <w:ind w:firstLine="708"/>
        <w:jc w:val="both"/>
        <w:rPr>
          <w:rFonts w:ascii="Arial" w:hAnsi="Arial" w:cs="Arial"/>
          <w:color w:val="000000" w:themeColor="text1"/>
          <w:sz w:val="19"/>
          <w:szCs w:val="19"/>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Corte Constitucional. Sentencia C- 083 del 1 de marzo de 1995. M.P. Carlos Gaviria Díaz.</w:t>
      </w:r>
    </w:p>
    <w:p w:rsidRPr="00A027C9" w:rsidR="0073536E" w:rsidP="007F25A8" w:rsidRDefault="0073536E" w14:paraId="5AA82E8A" w14:textId="77777777">
      <w:pPr>
        <w:pStyle w:val="FootnoteText"/>
        <w:ind w:firstLine="708"/>
        <w:jc w:val="both"/>
        <w:rPr>
          <w:rFonts w:ascii="Arial" w:hAnsi="Arial" w:cs="Arial"/>
          <w:color w:val="000000" w:themeColor="text1"/>
          <w:sz w:val="19"/>
          <w:szCs w:val="19"/>
          <w:lang w:val="es-CO"/>
        </w:rPr>
      </w:pPr>
    </w:p>
  </w:footnote>
  <w:footnote w:id="19">
    <w:p w:rsidRPr="00A027C9" w:rsidR="0073536E" w:rsidP="007F25A8" w:rsidRDefault="0073536E" w14:paraId="010E4984" w14:textId="77777777">
      <w:pPr>
        <w:pStyle w:val="FootnoteText"/>
        <w:ind w:firstLine="708"/>
        <w:jc w:val="both"/>
        <w:rPr>
          <w:rFonts w:ascii="Arial" w:hAnsi="Arial" w:cs="Arial"/>
          <w:color w:val="000000" w:themeColor="text1"/>
          <w:sz w:val="19"/>
          <w:szCs w:val="19"/>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rsidRPr="00A027C9" w:rsidR="0073536E" w:rsidP="007F25A8" w:rsidRDefault="0073536E" w14:paraId="1C26F737" w14:textId="77777777">
      <w:pPr>
        <w:pStyle w:val="FootnoteText"/>
        <w:ind w:firstLine="708"/>
        <w:jc w:val="both"/>
        <w:rPr>
          <w:rFonts w:ascii="Arial" w:hAnsi="Arial" w:cs="Arial"/>
          <w:color w:val="000000" w:themeColor="text1"/>
          <w:sz w:val="19"/>
          <w:szCs w:val="19"/>
        </w:rPr>
      </w:pPr>
      <w:proofErr w:type="gramStart"/>
      <w:r w:rsidRPr="00A027C9">
        <w:rPr>
          <w:rFonts w:ascii="Arial" w:hAnsi="Arial" w:eastAsia="Calibri" w:cs="Arial"/>
          <w:color w:val="000000" w:themeColor="text1"/>
          <w:sz w:val="19"/>
          <w:szCs w:val="19"/>
        </w:rPr>
        <w:t>»</w:t>
      </w:r>
      <w:r w:rsidRPr="00A027C9">
        <w:rPr>
          <w:rFonts w:ascii="Arial" w:hAnsi="Arial" w:cs="Arial"/>
          <w:color w:val="000000" w:themeColor="text1"/>
          <w:sz w:val="19"/>
          <w:szCs w:val="19"/>
        </w:rPr>
        <w:t>La</w:t>
      </w:r>
      <w:proofErr w:type="gramEnd"/>
      <w:r w:rsidRPr="00A027C9">
        <w:rPr>
          <w:rFonts w:ascii="Arial" w:hAnsi="Arial" w:cs="Arial"/>
          <w:color w:val="000000" w:themeColor="text1"/>
          <w:sz w:val="19"/>
          <w:szCs w:val="19"/>
        </w:rPr>
        <w:t xml:space="preserve">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rsidRPr="00A027C9" w:rsidR="0073536E" w:rsidP="007F25A8" w:rsidRDefault="0073536E" w14:paraId="1DE6BD8B" w14:textId="77777777">
      <w:pPr>
        <w:pStyle w:val="FootnoteText"/>
        <w:ind w:firstLine="708"/>
        <w:jc w:val="both"/>
        <w:rPr>
          <w:rFonts w:ascii="Arial" w:hAnsi="Arial" w:cs="Arial"/>
          <w:color w:val="000000" w:themeColor="text1"/>
          <w:sz w:val="19"/>
          <w:szCs w:val="19"/>
          <w:lang w:val="es-CO"/>
        </w:rPr>
      </w:pPr>
    </w:p>
  </w:footnote>
  <w:footnote w:id="20">
    <w:p w:rsidRPr="00A027C9" w:rsidR="002E46AB" w:rsidP="007F25A8" w:rsidRDefault="002E46AB" w14:paraId="52BC844E" w14:textId="037B40D5">
      <w:pPr>
        <w:pStyle w:val="FootnoteText"/>
        <w:ind w:firstLine="708"/>
        <w:jc w:val="both"/>
        <w:rPr>
          <w:rFonts w:ascii="Arial" w:hAnsi="Arial" w:cs="Arial"/>
          <w:color w:val="000000" w:themeColor="text1"/>
          <w:sz w:val="19"/>
          <w:szCs w:val="19"/>
        </w:rPr>
      </w:pPr>
      <w:r w:rsidRPr="00A027C9">
        <w:rPr>
          <w:rStyle w:val="FootnoteReference"/>
          <w:rFonts w:ascii="Arial" w:hAnsi="Arial" w:cs="Arial"/>
          <w:color w:val="000000" w:themeColor="text1"/>
          <w:sz w:val="19"/>
          <w:szCs w:val="19"/>
        </w:rPr>
        <w:footnoteRef/>
      </w:r>
      <w:r w:rsidRPr="00A027C9">
        <w:rPr>
          <w:rFonts w:ascii="Arial" w:hAnsi="Arial" w:cs="Arial"/>
          <w:color w:val="000000" w:themeColor="text1"/>
          <w:sz w:val="19"/>
          <w:szCs w:val="19"/>
        </w:rPr>
        <w:t xml:space="preserve"> Circular Única Externa de Colombia Compra Eficiente.</w:t>
      </w:r>
      <w:r w:rsidRPr="00A027C9" w:rsidR="00B92A72">
        <w:rPr>
          <w:rFonts w:ascii="Arial" w:hAnsi="Arial" w:cs="Arial"/>
          <w:color w:val="000000" w:themeColor="text1"/>
          <w:sz w:val="19"/>
          <w:szCs w:val="19"/>
        </w:rPr>
        <w:t xml:space="preserve"> Numeral 1.8.</w:t>
      </w:r>
      <w:r w:rsidRPr="00A027C9" w:rsidR="00E96BB0">
        <w:rPr>
          <w:rFonts w:ascii="Arial" w:hAnsi="Arial" w:cs="Arial"/>
          <w:color w:val="000000" w:themeColor="text1"/>
          <w:sz w:val="19"/>
          <w:szCs w:val="19"/>
        </w:rPr>
        <w:t xml:space="preserve"> Literal e). Pág.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7B0854" w14:paraId="6520770B" w14:textId="1A2BB94C">
    <w:pPr>
      <w:pStyle w:val="Header"/>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5707AC6"/>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proofState w:grammar="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49C7"/>
    <w:rsid w:val="00005156"/>
    <w:rsid w:val="00012451"/>
    <w:rsid w:val="00020D7A"/>
    <w:rsid w:val="00025773"/>
    <w:rsid w:val="000460C0"/>
    <w:rsid w:val="000556D4"/>
    <w:rsid w:val="00066BF6"/>
    <w:rsid w:val="0007204C"/>
    <w:rsid w:val="00076993"/>
    <w:rsid w:val="00084290"/>
    <w:rsid w:val="00085C98"/>
    <w:rsid w:val="000920F0"/>
    <w:rsid w:val="000942EB"/>
    <w:rsid w:val="000A15EF"/>
    <w:rsid w:val="000B103F"/>
    <w:rsid w:val="000B6017"/>
    <w:rsid w:val="000B70EA"/>
    <w:rsid w:val="000C1D18"/>
    <w:rsid w:val="000C5863"/>
    <w:rsid w:val="000E5774"/>
    <w:rsid w:val="000E6CFE"/>
    <w:rsid w:val="000F14E8"/>
    <w:rsid w:val="00101355"/>
    <w:rsid w:val="00102851"/>
    <w:rsid w:val="00103915"/>
    <w:rsid w:val="00111BBD"/>
    <w:rsid w:val="00122B23"/>
    <w:rsid w:val="001254E5"/>
    <w:rsid w:val="00133FB0"/>
    <w:rsid w:val="00137FFA"/>
    <w:rsid w:val="00151919"/>
    <w:rsid w:val="0015538A"/>
    <w:rsid w:val="00174ED6"/>
    <w:rsid w:val="00186E05"/>
    <w:rsid w:val="00193089"/>
    <w:rsid w:val="00195DBB"/>
    <w:rsid w:val="001A56A2"/>
    <w:rsid w:val="001A7B0C"/>
    <w:rsid w:val="001B2A19"/>
    <w:rsid w:val="001B32BD"/>
    <w:rsid w:val="001C5231"/>
    <w:rsid w:val="001D7061"/>
    <w:rsid w:val="001E0C6C"/>
    <w:rsid w:val="001F2C77"/>
    <w:rsid w:val="00207E01"/>
    <w:rsid w:val="00211860"/>
    <w:rsid w:val="00213199"/>
    <w:rsid w:val="00216CB4"/>
    <w:rsid w:val="0022745A"/>
    <w:rsid w:val="00234B84"/>
    <w:rsid w:val="002611D5"/>
    <w:rsid w:val="002724BD"/>
    <w:rsid w:val="00293450"/>
    <w:rsid w:val="002A417A"/>
    <w:rsid w:val="002E0383"/>
    <w:rsid w:val="002E375C"/>
    <w:rsid w:val="002E46AB"/>
    <w:rsid w:val="0030098E"/>
    <w:rsid w:val="003033BA"/>
    <w:rsid w:val="00322728"/>
    <w:rsid w:val="003308BA"/>
    <w:rsid w:val="00342280"/>
    <w:rsid w:val="003462C7"/>
    <w:rsid w:val="0034680A"/>
    <w:rsid w:val="00382B7C"/>
    <w:rsid w:val="00386456"/>
    <w:rsid w:val="003A581E"/>
    <w:rsid w:val="003B0003"/>
    <w:rsid w:val="003B27D1"/>
    <w:rsid w:val="003C173E"/>
    <w:rsid w:val="003C70BC"/>
    <w:rsid w:val="003D29C0"/>
    <w:rsid w:val="003D4B59"/>
    <w:rsid w:val="003F52AD"/>
    <w:rsid w:val="004041DC"/>
    <w:rsid w:val="0040673C"/>
    <w:rsid w:val="004108AC"/>
    <w:rsid w:val="004115E9"/>
    <w:rsid w:val="004164A1"/>
    <w:rsid w:val="00420A12"/>
    <w:rsid w:val="00421649"/>
    <w:rsid w:val="00434F7E"/>
    <w:rsid w:val="004422D6"/>
    <w:rsid w:val="00453E19"/>
    <w:rsid w:val="0046011E"/>
    <w:rsid w:val="00474C49"/>
    <w:rsid w:val="004755B2"/>
    <w:rsid w:val="00481A85"/>
    <w:rsid w:val="004A34D2"/>
    <w:rsid w:val="004A571C"/>
    <w:rsid w:val="004C14EB"/>
    <w:rsid w:val="004C58AC"/>
    <w:rsid w:val="004D0366"/>
    <w:rsid w:val="004D04B3"/>
    <w:rsid w:val="004D0D78"/>
    <w:rsid w:val="004E146B"/>
    <w:rsid w:val="005003FA"/>
    <w:rsid w:val="0051074C"/>
    <w:rsid w:val="0051365E"/>
    <w:rsid w:val="00513AF2"/>
    <w:rsid w:val="005150EE"/>
    <w:rsid w:val="005152EB"/>
    <w:rsid w:val="00521CF7"/>
    <w:rsid w:val="00527CAC"/>
    <w:rsid w:val="005347D0"/>
    <w:rsid w:val="00541157"/>
    <w:rsid w:val="00541360"/>
    <w:rsid w:val="0054413A"/>
    <w:rsid w:val="00551CE1"/>
    <w:rsid w:val="00554AF7"/>
    <w:rsid w:val="005564CA"/>
    <w:rsid w:val="00556F01"/>
    <w:rsid w:val="00561973"/>
    <w:rsid w:val="0057074D"/>
    <w:rsid w:val="00581D03"/>
    <w:rsid w:val="005D6B45"/>
    <w:rsid w:val="005E7CD7"/>
    <w:rsid w:val="005F3327"/>
    <w:rsid w:val="005F4E61"/>
    <w:rsid w:val="00602DAA"/>
    <w:rsid w:val="0061730D"/>
    <w:rsid w:val="0062279A"/>
    <w:rsid w:val="006316C6"/>
    <w:rsid w:val="00655371"/>
    <w:rsid w:val="00662755"/>
    <w:rsid w:val="00662AA8"/>
    <w:rsid w:val="00666EB9"/>
    <w:rsid w:val="006709A2"/>
    <w:rsid w:val="006808DB"/>
    <w:rsid w:val="006822ED"/>
    <w:rsid w:val="006956E7"/>
    <w:rsid w:val="00696A12"/>
    <w:rsid w:val="00697665"/>
    <w:rsid w:val="006A7FD0"/>
    <w:rsid w:val="006B3828"/>
    <w:rsid w:val="006D68A5"/>
    <w:rsid w:val="006D7687"/>
    <w:rsid w:val="006E0572"/>
    <w:rsid w:val="00700B53"/>
    <w:rsid w:val="00705631"/>
    <w:rsid w:val="00721176"/>
    <w:rsid w:val="00732E20"/>
    <w:rsid w:val="0073536E"/>
    <w:rsid w:val="00742DD2"/>
    <w:rsid w:val="0074447C"/>
    <w:rsid w:val="0075647A"/>
    <w:rsid w:val="00757693"/>
    <w:rsid w:val="007634AD"/>
    <w:rsid w:val="00765580"/>
    <w:rsid w:val="00771676"/>
    <w:rsid w:val="00771868"/>
    <w:rsid w:val="0078122E"/>
    <w:rsid w:val="0078462A"/>
    <w:rsid w:val="007A2433"/>
    <w:rsid w:val="007A3FFB"/>
    <w:rsid w:val="007A7968"/>
    <w:rsid w:val="007B0854"/>
    <w:rsid w:val="007B0F6A"/>
    <w:rsid w:val="007B2F1D"/>
    <w:rsid w:val="007B6A3C"/>
    <w:rsid w:val="007B7018"/>
    <w:rsid w:val="007C0C92"/>
    <w:rsid w:val="007D3004"/>
    <w:rsid w:val="007E0A81"/>
    <w:rsid w:val="007F25A8"/>
    <w:rsid w:val="007F3C2B"/>
    <w:rsid w:val="007F72CB"/>
    <w:rsid w:val="00811577"/>
    <w:rsid w:val="00812B27"/>
    <w:rsid w:val="0081304C"/>
    <w:rsid w:val="00821EA2"/>
    <w:rsid w:val="00826CB5"/>
    <w:rsid w:val="0083119B"/>
    <w:rsid w:val="00834B5D"/>
    <w:rsid w:val="00836EAB"/>
    <w:rsid w:val="0085092D"/>
    <w:rsid w:val="00851E9A"/>
    <w:rsid w:val="00884552"/>
    <w:rsid w:val="008C0B90"/>
    <w:rsid w:val="008E12EE"/>
    <w:rsid w:val="008E1C15"/>
    <w:rsid w:val="00902D31"/>
    <w:rsid w:val="009047C5"/>
    <w:rsid w:val="00912E23"/>
    <w:rsid w:val="00913B77"/>
    <w:rsid w:val="00915A80"/>
    <w:rsid w:val="009311E9"/>
    <w:rsid w:val="00950143"/>
    <w:rsid w:val="0095385A"/>
    <w:rsid w:val="009575B9"/>
    <w:rsid w:val="009644A4"/>
    <w:rsid w:val="009654FC"/>
    <w:rsid w:val="00972DC1"/>
    <w:rsid w:val="009760A8"/>
    <w:rsid w:val="0097640D"/>
    <w:rsid w:val="00985200"/>
    <w:rsid w:val="00986E16"/>
    <w:rsid w:val="009B16A3"/>
    <w:rsid w:val="009D3207"/>
    <w:rsid w:val="009E0C7E"/>
    <w:rsid w:val="009E0E46"/>
    <w:rsid w:val="009E2162"/>
    <w:rsid w:val="00A027C9"/>
    <w:rsid w:val="00A05D8C"/>
    <w:rsid w:val="00A13CD2"/>
    <w:rsid w:val="00A17B66"/>
    <w:rsid w:val="00A20538"/>
    <w:rsid w:val="00A24560"/>
    <w:rsid w:val="00A2535A"/>
    <w:rsid w:val="00A2549D"/>
    <w:rsid w:val="00A33957"/>
    <w:rsid w:val="00A34538"/>
    <w:rsid w:val="00A6602D"/>
    <w:rsid w:val="00A67203"/>
    <w:rsid w:val="00A709B2"/>
    <w:rsid w:val="00A92252"/>
    <w:rsid w:val="00AA442B"/>
    <w:rsid w:val="00AA5923"/>
    <w:rsid w:val="00AC12F3"/>
    <w:rsid w:val="00AC3EA8"/>
    <w:rsid w:val="00AF154D"/>
    <w:rsid w:val="00AF6DC6"/>
    <w:rsid w:val="00B05013"/>
    <w:rsid w:val="00B0697D"/>
    <w:rsid w:val="00B1784E"/>
    <w:rsid w:val="00B22E22"/>
    <w:rsid w:val="00B525CB"/>
    <w:rsid w:val="00B61B94"/>
    <w:rsid w:val="00B63CB2"/>
    <w:rsid w:val="00B82B59"/>
    <w:rsid w:val="00B91DB6"/>
    <w:rsid w:val="00B92A72"/>
    <w:rsid w:val="00B972B1"/>
    <w:rsid w:val="00BB2313"/>
    <w:rsid w:val="00BC600B"/>
    <w:rsid w:val="00BC6CB0"/>
    <w:rsid w:val="00BD2BBF"/>
    <w:rsid w:val="00BD78FE"/>
    <w:rsid w:val="00BF077E"/>
    <w:rsid w:val="00C120FB"/>
    <w:rsid w:val="00C2219E"/>
    <w:rsid w:val="00C33C1B"/>
    <w:rsid w:val="00C727E6"/>
    <w:rsid w:val="00C95CE7"/>
    <w:rsid w:val="00CA7C1E"/>
    <w:rsid w:val="00CC00CD"/>
    <w:rsid w:val="00CC20B8"/>
    <w:rsid w:val="00CC296B"/>
    <w:rsid w:val="00CD3357"/>
    <w:rsid w:val="00CF7D4A"/>
    <w:rsid w:val="00D01AD2"/>
    <w:rsid w:val="00D04887"/>
    <w:rsid w:val="00D16E39"/>
    <w:rsid w:val="00D52D73"/>
    <w:rsid w:val="00D60C9D"/>
    <w:rsid w:val="00D66920"/>
    <w:rsid w:val="00D72E9D"/>
    <w:rsid w:val="00D77376"/>
    <w:rsid w:val="00D82CE5"/>
    <w:rsid w:val="00DA5AB1"/>
    <w:rsid w:val="00DB200E"/>
    <w:rsid w:val="00DC2F65"/>
    <w:rsid w:val="00DC62E5"/>
    <w:rsid w:val="00DD49E3"/>
    <w:rsid w:val="00DD735D"/>
    <w:rsid w:val="00DE2DF5"/>
    <w:rsid w:val="00DE3119"/>
    <w:rsid w:val="00DF236B"/>
    <w:rsid w:val="00E00615"/>
    <w:rsid w:val="00E03626"/>
    <w:rsid w:val="00E12F0E"/>
    <w:rsid w:val="00E13AB8"/>
    <w:rsid w:val="00E33900"/>
    <w:rsid w:val="00E33B62"/>
    <w:rsid w:val="00E40250"/>
    <w:rsid w:val="00E50C59"/>
    <w:rsid w:val="00E72FB1"/>
    <w:rsid w:val="00E74FEA"/>
    <w:rsid w:val="00E818E7"/>
    <w:rsid w:val="00E96BB0"/>
    <w:rsid w:val="00EA7BBF"/>
    <w:rsid w:val="00EC3ADA"/>
    <w:rsid w:val="00ED3EC1"/>
    <w:rsid w:val="00EE4811"/>
    <w:rsid w:val="00EF7F78"/>
    <w:rsid w:val="00F62DD5"/>
    <w:rsid w:val="00F7146B"/>
    <w:rsid w:val="00F718AB"/>
    <w:rsid w:val="00F72936"/>
    <w:rsid w:val="00F80EF1"/>
    <w:rsid w:val="00F84899"/>
    <w:rsid w:val="00F859F0"/>
    <w:rsid w:val="00F94EA0"/>
    <w:rsid w:val="00FA5D0A"/>
    <w:rsid w:val="00FB710A"/>
    <w:rsid w:val="00FE141E"/>
    <w:rsid w:val="00FE7FF8"/>
    <w:rsid w:val="00FF0FE0"/>
    <w:rsid w:val="00FF155F"/>
    <w:rsid w:val="174949B8"/>
    <w:rsid w:val="2512CC28"/>
    <w:rsid w:val="2A72CF1A"/>
    <w:rsid w:val="37F37D95"/>
    <w:rsid w:val="448AABEF"/>
    <w:rsid w:val="4873F3EC"/>
    <w:rsid w:val="6458B28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1430A04F-EF4B-4579-B3FC-8041A1CC93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A34538"/>
    <w:pPr>
      <w:tabs>
        <w:tab w:val="center" w:pos="4419"/>
        <w:tab w:val="right" w:pos="8838"/>
      </w:tabs>
    </w:pPr>
  </w:style>
  <w:style w:type="character" w:styleId="FooterChar" w:customStyle="1">
    <w:name w:val="Footer Char"/>
    <w:basedOn w:val="DefaultParagraphFont"/>
    <w:link w:val="Footer"/>
    <w:uiPriority w:val="99"/>
    <w:rsid w:val="00A34538"/>
    <w:rPr>
      <w:sz w:val="24"/>
      <w:lang w:val="es-MX"/>
    </w:rPr>
  </w:style>
  <w:style w:type="paragraph" w:styleId="BalloonText">
    <w:name w:val="Balloon Text"/>
    <w:basedOn w:val="Normal"/>
    <w:link w:val="BalloonTextChar"/>
    <w:uiPriority w:val="99"/>
    <w:semiHidden/>
    <w:unhideWhenUsed/>
    <w:rsid w:val="00A34538"/>
    <w:rPr>
      <w:rFonts w:ascii="Tahoma" w:hAnsi="Tahoma" w:cs="Tahoma"/>
      <w:sz w:val="16"/>
      <w:szCs w:val="16"/>
    </w:rPr>
  </w:style>
  <w:style w:type="character" w:styleId="BalloonTextChar" w:customStyle="1">
    <w:name w:val="Balloon Text Char"/>
    <w:basedOn w:val="DefaultParagraphFont"/>
    <w:link w:val="BalloonText"/>
    <w:uiPriority w:val="99"/>
    <w:semiHidden/>
    <w:rsid w:val="00A34538"/>
    <w:rPr>
      <w:rFonts w:ascii="Tahoma" w:hAnsi="Tahoma" w:cs="Tahoma"/>
      <w:sz w:val="16"/>
      <w:szCs w:val="16"/>
      <w:lang w:val="es-MX"/>
    </w:rPr>
  </w:style>
  <w:style w:type="paragraph" w:styleId="Header">
    <w:name w:val="header"/>
    <w:basedOn w:val="Normal"/>
    <w:link w:val="HeaderChar"/>
    <w:uiPriority w:val="99"/>
    <w:unhideWhenUsed/>
    <w:rsid w:val="009047C5"/>
    <w:pPr>
      <w:tabs>
        <w:tab w:val="center" w:pos="4252"/>
        <w:tab w:val="right" w:pos="8504"/>
      </w:tabs>
    </w:pPr>
  </w:style>
  <w:style w:type="character" w:styleId="HeaderChar" w:customStyle="1">
    <w:name w:val="Header Char"/>
    <w:basedOn w:val="DefaultParagraphFont"/>
    <w:link w:val="Header"/>
    <w:uiPriority w:val="99"/>
    <w:rsid w:val="009047C5"/>
    <w:rPr>
      <w:sz w:val="24"/>
      <w:lang w:val="es-MX"/>
    </w:rPr>
  </w:style>
  <w:style w:type="table" w:styleId="TableGrid">
    <w:name w:val="Table Grid"/>
    <w:basedOn w:val="Table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9047C5"/>
    <w:pPr>
      <w:ind w:left="720"/>
      <w:contextualSpacing/>
    </w:pPr>
  </w:style>
  <w:style w:type="character" w:styleId="CommentReference">
    <w:name w:val="annotation reference"/>
    <w:basedOn w:val="DefaultParagraphFont"/>
    <w:uiPriority w:val="99"/>
    <w:semiHidden/>
    <w:unhideWhenUsed/>
    <w:rsid w:val="00DA5AB1"/>
    <w:rPr>
      <w:sz w:val="16"/>
      <w:szCs w:val="16"/>
    </w:rPr>
  </w:style>
  <w:style w:type="paragraph" w:styleId="CommentText">
    <w:name w:val="annotation text"/>
    <w:basedOn w:val="Normal"/>
    <w:link w:val="CommentTextChar"/>
    <w:uiPriority w:val="99"/>
    <w:semiHidden/>
    <w:unhideWhenUsed/>
    <w:rsid w:val="00DA5AB1"/>
    <w:rPr>
      <w:sz w:val="20"/>
      <w:szCs w:val="20"/>
    </w:rPr>
  </w:style>
  <w:style w:type="character" w:styleId="CommentTextChar" w:customStyle="1">
    <w:name w:val="Comment Text Char"/>
    <w:basedOn w:val="DefaultParagraphFont"/>
    <w:link w:val="CommentText"/>
    <w:uiPriority w:val="99"/>
    <w:semiHidden/>
    <w:rsid w:val="00DA5AB1"/>
    <w:rPr>
      <w:sz w:val="20"/>
      <w:szCs w:val="20"/>
      <w:lang w:val="es-MX"/>
    </w:rPr>
  </w:style>
  <w:style w:type="paragraph" w:styleId="CommentSubject">
    <w:name w:val="annotation subject"/>
    <w:basedOn w:val="CommentText"/>
    <w:next w:val="CommentText"/>
    <w:link w:val="CommentSubjectChar"/>
    <w:uiPriority w:val="99"/>
    <w:semiHidden/>
    <w:unhideWhenUsed/>
    <w:rsid w:val="00DA5AB1"/>
    <w:rPr>
      <w:b/>
      <w:bCs/>
    </w:rPr>
  </w:style>
  <w:style w:type="character" w:styleId="CommentSubjectChar" w:customStyle="1">
    <w:name w:val="Comment Subject Char"/>
    <w:basedOn w:val="CommentTextChar"/>
    <w:link w:val="CommentSubject"/>
    <w:uiPriority w:val="99"/>
    <w:semiHidden/>
    <w:rsid w:val="00DA5AB1"/>
    <w:rPr>
      <w:b/>
      <w:bCs/>
      <w:sz w:val="20"/>
      <w:szCs w:val="20"/>
      <w:lang w:val="es-MX"/>
    </w:rPr>
  </w:style>
  <w:style w:type="character" w:styleId="Hyperlink">
    <w:name w:val="Hyperlink"/>
    <w:basedOn w:val="DefaultParagraphFont"/>
    <w:uiPriority w:val="99"/>
    <w:unhideWhenUsed/>
    <w:rsid w:val="0085092D"/>
    <w:rPr>
      <w:color w:val="F2F2F2" w:themeColor="hyperlink"/>
      <w:u w:val="single"/>
    </w:rPr>
  </w:style>
  <w:style w:type="paragraph" w:styleId="NormalWeb">
    <w:name w:val="Normal (Web)"/>
    <w:basedOn w:val="Normal"/>
    <w:link w:val="NormalWebCh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NoSpacing">
    <w:name w:val="No Spacing"/>
    <w:uiPriority w:val="1"/>
    <w:qFormat/>
    <w:rsid w:val="007B0854"/>
    <w:pPr>
      <w:spacing w:after="0" w:line="240" w:lineRule="auto"/>
    </w:pPr>
    <w:rPr>
      <w:sz w:val="24"/>
      <w:lang w:val="es-MX"/>
    </w:rPr>
  </w:style>
  <w:style w:type="character" w:styleId="FootnoteTextChar" w:customStyle="1">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locked/>
    <w:rsid w:val="007B0854"/>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FootnoteTextChar"/>
    <w:uiPriority w:val="99"/>
    <w:unhideWhenUsed/>
    <w:qFormat/>
    <w:rsid w:val="007B0854"/>
    <w:rPr>
      <w:sz w:val="20"/>
      <w:szCs w:val="20"/>
    </w:rPr>
  </w:style>
  <w:style w:type="character" w:styleId="TextonotapieCar1" w:customStyle="1">
    <w:name w:val="Texto nota pie Car1"/>
    <w:basedOn w:val="DefaultParagraphFont"/>
    <w:uiPriority w:val="99"/>
    <w:semiHidden/>
    <w:rsid w:val="007B0854"/>
    <w:rPr>
      <w:sz w:val="20"/>
      <w:szCs w:val="20"/>
      <w:lang w:val="es-MX"/>
    </w:rPr>
  </w:style>
  <w:style w:type="character" w:styleId="ListParagraphChar" w:customStyle="1">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FootnoteReference">
    <w:name w:val="footnote reference"/>
    <w:aliases w:val="Ref. de nota al pie 2,Ref,de nota al pie,FC,Appel note de bas de p,f,4_G,16 Point,Superscript 6 Point,Texto nota al pie,Pie de Página,Texto de nota al pi,Nota de pie,Footnote symbol,Footnote,Ref. de nota al pie2,Pie de pagina"/>
    <w:basedOn w:val="DefaultParagraphFont"/>
    <w:uiPriority w:val="99"/>
    <w:unhideWhenUsed/>
    <w:qFormat/>
    <w:rsid w:val="007B0854"/>
    <w:rPr>
      <w:vertAlign w:val="superscript"/>
    </w:rPr>
  </w:style>
  <w:style w:type="character" w:styleId="NormalWebChar" w:customStyle="1">
    <w:name w:val="Normal (Web) Char"/>
    <w:link w:val="NormalWeb"/>
    <w:uiPriority w:val="99"/>
    <w:rsid w:val="000920F0"/>
    <w:rPr>
      <w:rFonts w:ascii="Times New Roman" w:hAnsi="Times New Roman" w:eastAsia="Times New Roman" w:cs="Times New Roman"/>
      <w:sz w:val="24"/>
      <w:szCs w:val="24"/>
      <w:lang w:eastAsia="es-CO"/>
    </w:rPr>
  </w:style>
  <w:style w:type="character" w:styleId="Mencinsinresolver1" w:customStyle="1">
    <w:name w:val="Mención sin resolver1"/>
    <w:basedOn w:val="DefaultParagraphFont"/>
    <w:uiPriority w:val="99"/>
    <w:rsid w:val="00DE2DF5"/>
    <w:rPr>
      <w:color w:val="605E5C"/>
      <w:shd w:val="clear" w:color="auto" w:fill="E1DFDD"/>
    </w:rPr>
  </w:style>
  <w:style w:type="paragraph" w:styleId="Default" w:customStyle="1">
    <w:name w:val="Default"/>
    <w:rsid w:val="000049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14120956">
      <w:bodyDiv w:val="1"/>
      <w:marLeft w:val="0"/>
      <w:marRight w:val="0"/>
      <w:marTop w:val="0"/>
      <w:marBottom w:val="0"/>
      <w:divBdr>
        <w:top w:val="none" w:sz="0" w:space="0" w:color="auto"/>
        <w:left w:val="none" w:sz="0" w:space="0" w:color="auto"/>
        <w:bottom w:val="none" w:sz="0" w:space="0" w:color="auto"/>
        <w:right w:val="none" w:sz="0" w:space="0" w:color="auto"/>
      </w:divBdr>
    </w:div>
    <w:div w:id="27906768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9107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5033D-810E-4627-9863-79DF8965E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BE09FE3-D346-46EA-9ABA-46079A90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consultas.dotm</Template>
  <TotalTime>0</TotalTime>
  <Pages>1</Pages>
  <Words>6139</Words>
  <Characters>34996</Characters>
  <Application>Microsoft Office Word</Application>
  <DocSecurity>4</DocSecurity>
  <Lines>291</Lines>
  <Paragraphs>82</Paragraphs>
  <ScaleCrop>false</ScaleCrop>
  <Company/>
  <LinksUpToDate>false</LinksUpToDate>
  <CharactersWithSpaces>41053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Nina María Padrón</cp:lastModifiedBy>
  <cp:revision>165</cp:revision>
  <dcterms:created xsi:type="dcterms:W3CDTF">2020-03-17T20:41:00Z</dcterms:created>
  <dcterms:modified xsi:type="dcterms:W3CDTF">2020-08-04T07:17:00Z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