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7307CD45" w14:textId="77777777" w:rsidR="005E6D5A" w:rsidRPr="005E6D5A" w:rsidRDefault="005E6D5A" w:rsidP="00F1108B">
      <w:pPr>
        <w:jc w:val="both"/>
        <w:rPr>
          <w:rFonts w:ascii="Arial" w:eastAsia="Calibri" w:hAnsi="Arial" w:cs="Arial"/>
          <w:b/>
          <w:sz w:val="16"/>
          <w:szCs w:val="16"/>
          <w:lang w:val="es-ES_tradnl"/>
        </w:rPr>
      </w:pPr>
      <w:bookmarkStart w:id="2" w:name="_Hlk35420410"/>
      <w:bookmarkEnd w:id="0"/>
      <w:bookmarkEnd w:id="1"/>
    </w:p>
    <w:p w14:paraId="64F08AF7" w14:textId="069DE932" w:rsidR="00F1108B" w:rsidRPr="00FF1611" w:rsidRDefault="00BB2E7C" w:rsidP="00F1108B">
      <w:pPr>
        <w:jc w:val="both"/>
        <w:rPr>
          <w:rFonts w:ascii="Arial" w:eastAsia="Calibri" w:hAnsi="Arial" w:cs="Arial"/>
          <w:b/>
          <w:sz w:val="22"/>
          <w:lang w:val="es-ES_tradnl"/>
        </w:rPr>
      </w:pPr>
      <w:r>
        <w:rPr>
          <w:rFonts w:ascii="Arial" w:eastAsia="Calibri" w:hAnsi="Arial" w:cs="Arial"/>
          <w:b/>
          <w:sz w:val="22"/>
          <w:lang w:val="es-ES_tradnl"/>
        </w:rPr>
        <w:t>DELEGACIÓN</w:t>
      </w:r>
      <w:r w:rsidR="005E1574" w:rsidRPr="00FF1611">
        <w:rPr>
          <w:rFonts w:ascii="Arial" w:eastAsia="Calibri" w:hAnsi="Arial" w:cs="Arial"/>
          <w:b/>
          <w:sz w:val="22"/>
          <w:lang w:val="es-ES_tradnl"/>
        </w:rPr>
        <w:t xml:space="preserve"> </w:t>
      </w:r>
      <w:bookmarkStart w:id="3" w:name="_Hlk39676694"/>
      <w:r w:rsidR="003B72E9" w:rsidRPr="006C15D5">
        <w:rPr>
          <w:rFonts w:ascii="Arial" w:eastAsia="Calibri" w:hAnsi="Arial" w:cs="Arial"/>
          <w:b/>
          <w:color w:val="000000" w:themeColor="text1"/>
          <w:sz w:val="22"/>
        </w:rPr>
        <w:t>–</w:t>
      </w:r>
      <w:bookmarkEnd w:id="3"/>
      <w:r w:rsidR="00702FE3" w:rsidRPr="00FF1611">
        <w:rPr>
          <w:rFonts w:ascii="Arial" w:eastAsia="Calibri" w:hAnsi="Arial" w:cs="Arial"/>
          <w:b/>
          <w:sz w:val="22"/>
          <w:lang w:val="es-ES_tradnl"/>
        </w:rPr>
        <w:t xml:space="preserve"> </w:t>
      </w:r>
      <w:r w:rsidR="005F4975">
        <w:rPr>
          <w:rFonts w:ascii="Arial" w:eastAsia="Calibri" w:hAnsi="Arial" w:cs="Arial"/>
          <w:b/>
          <w:sz w:val="22"/>
          <w:lang w:val="es-ES_tradnl"/>
        </w:rPr>
        <w:t xml:space="preserve">Fundamento normativo </w:t>
      </w:r>
      <w:r w:rsidR="003B72E9" w:rsidRPr="006C15D5">
        <w:rPr>
          <w:rFonts w:ascii="Arial" w:eastAsia="Calibri" w:hAnsi="Arial" w:cs="Arial"/>
          <w:b/>
          <w:color w:val="000000" w:themeColor="text1"/>
          <w:sz w:val="22"/>
        </w:rPr>
        <w:t>–</w:t>
      </w:r>
      <w:r w:rsidR="005F4975">
        <w:rPr>
          <w:rFonts w:ascii="Arial" w:eastAsia="Calibri" w:hAnsi="Arial" w:cs="Arial"/>
          <w:b/>
          <w:sz w:val="22"/>
          <w:lang w:val="es-ES_tradnl"/>
        </w:rPr>
        <w:t xml:space="preserve"> </w:t>
      </w:r>
      <w:r w:rsidR="00872BEC">
        <w:rPr>
          <w:rFonts w:ascii="Arial" w:eastAsia="Calibri" w:hAnsi="Arial" w:cs="Arial"/>
          <w:b/>
          <w:sz w:val="22"/>
          <w:lang w:val="es-ES_tradnl"/>
        </w:rPr>
        <w:t>Requisitos legales</w:t>
      </w:r>
    </w:p>
    <w:bookmarkEnd w:id="2"/>
    <w:p w14:paraId="6627C2DB" w14:textId="77777777" w:rsidR="006B4D31" w:rsidRPr="00FF1611" w:rsidRDefault="006B4D31" w:rsidP="00F1108B">
      <w:pPr>
        <w:jc w:val="both"/>
        <w:rPr>
          <w:rFonts w:ascii="Arial" w:eastAsia="Calibri" w:hAnsi="Arial" w:cs="Arial"/>
          <w:sz w:val="22"/>
          <w:lang w:val="es-ES_tradnl"/>
        </w:rPr>
      </w:pPr>
    </w:p>
    <w:p w14:paraId="02199F49" w14:textId="66AD884F" w:rsidR="003E583A" w:rsidRDefault="003E583A" w:rsidP="0C7ED9AC">
      <w:pPr>
        <w:spacing w:after="120"/>
        <w:jc w:val="both"/>
        <w:rPr>
          <w:rFonts w:ascii="Arial" w:eastAsia="Calibri" w:hAnsi="Arial" w:cs="Arial"/>
          <w:sz w:val="20"/>
          <w:szCs w:val="20"/>
          <w:lang w:val="es-ES"/>
        </w:rPr>
      </w:pPr>
      <w:r w:rsidRPr="0C7ED9AC">
        <w:rPr>
          <w:rFonts w:ascii="Arial" w:eastAsia="Calibri" w:hAnsi="Arial" w:cs="Arial"/>
          <w:sz w:val="20"/>
          <w:szCs w:val="20"/>
          <w:lang w:val="es-ES"/>
        </w:rPr>
        <w:t xml:space="preserve">[…] </w:t>
      </w:r>
      <w:r w:rsidR="4AE5B05C" w:rsidRPr="0C7ED9AC">
        <w:rPr>
          <w:rFonts w:ascii="Arial" w:eastAsia="Calibri" w:hAnsi="Arial" w:cs="Arial"/>
          <w:sz w:val="20"/>
          <w:szCs w:val="20"/>
          <w:lang w:val="es-ES"/>
        </w:rPr>
        <w:t>e</w:t>
      </w:r>
      <w:r w:rsidR="005F4975" w:rsidRPr="0C7ED9AC">
        <w:rPr>
          <w:rFonts w:ascii="Arial" w:eastAsia="Calibri" w:hAnsi="Arial" w:cs="Arial"/>
          <w:sz w:val="20"/>
          <w:szCs w:val="20"/>
          <w:lang w:val="es-ES"/>
        </w:rPr>
        <w:t>n desarrollo del artículo 211 superior, el artículo 12 del Estatuto General de Contratación contiene una regla especial según la cual «Los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p>
    <w:p w14:paraId="6C2F7E99" w14:textId="77777777" w:rsidR="003E583A" w:rsidRDefault="005F4975" w:rsidP="003E583A">
      <w:pPr>
        <w:spacing w:after="120"/>
        <w:jc w:val="both"/>
        <w:rPr>
          <w:rFonts w:ascii="Arial" w:eastAsia="Calibri" w:hAnsi="Arial" w:cs="Arial"/>
          <w:sz w:val="20"/>
          <w:lang w:val="es-ES_tradnl"/>
        </w:rPr>
      </w:pPr>
      <w:r w:rsidRPr="005F4975">
        <w:rPr>
          <w:rFonts w:ascii="Arial" w:eastAsia="Calibri" w:hAnsi="Arial" w:cs="Arial"/>
          <w:sz w:val="20"/>
          <w:lang w:val="es-ES_tradnl"/>
        </w:rPr>
        <w:t>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w:t>
      </w:r>
    </w:p>
    <w:p w14:paraId="0CCBB2C2" w14:textId="118CEAFA" w:rsidR="00963C15" w:rsidRDefault="005F4975" w:rsidP="005F4975">
      <w:pPr>
        <w:jc w:val="both"/>
        <w:rPr>
          <w:rFonts w:ascii="Arial" w:eastAsia="Calibri" w:hAnsi="Arial" w:cs="Arial"/>
          <w:sz w:val="20"/>
          <w:lang w:val="es-ES_tradnl"/>
        </w:rPr>
      </w:pPr>
      <w:r w:rsidRPr="005F4975">
        <w:rPr>
          <w:rFonts w:ascii="Arial" w:eastAsia="Calibri" w:hAnsi="Arial" w:cs="Arial"/>
          <w:sz w:val="20"/>
          <w:lang w:val="es-ES_tradnl"/>
        </w:rPr>
        <w:t xml:space="preserve">Posteriormente,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  </w:t>
      </w:r>
    </w:p>
    <w:p w14:paraId="09F7E976" w14:textId="77777777" w:rsidR="008D3080" w:rsidRPr="00FF1611" w:rsidRDefault="008D3080" w:rsidP="008D3080">
      <w:pPr>
        <w:jc w:val="both"/>
        <w:rPr>
          <w:rFonts w:ascii="Arial" w:eastAsia="Calibri" w:hAnsi="Arial" w:cs="Arial"/>
          <w:b/>
          <w:sz w:val="22"/>
          <w:lang w:val="es-ES_tradnl"/>
        </w:rPr>
      </w:pPr>
    </w:p>
    <w:p w14:paraId="425E4D16" w14:textId="7C5EADE9" w:rsidR="006B4D31" w:rsidRPr="00FF1611" w:rsidRDefault="00F154E7" w:rsidP="006B4D31">
      <w:pPr>
        <w:jc w:val="both"/>
        <w:rPr>
          <w:rFonts w:ascii="Arial" w:eastAsia="Calibri" w:hAnsi="Arial" w:cs="Arial"/>
          <w:b/>
          <w:sz w:val="22"/>
          <w:lang w:val="es-ES_tradnl"/>
        </w:rPr>
      </w:pPr>
      <w:r>
        <w:rPr>
          <w:rFonts w:ascii="Arial" w:eastAsia="Calibri" w:hAnsi="Arial" w:cs="Arial"/>
          <w:b/>
          <w:sz w:val="22"/>
          <w:lang w:val="es-ES_tradnl"/>
        </w:rPr>
        <w:t>DESCONCENTRACIÓN</w:t>
      </w:r>
      <w:r w:rsidRPr="00FF1611">
        <w:rPr>
          <w:rFonts w:ascii="Arial" w:eastAsia="Calibri" w:hAnsi="Arial" w:cs="Arial"/>
          <w:b/>
          <w:sz w:val="22"/>
          <w:lang w:val="es-ES_tradnl"/>
        </w:rPr>
        <w:t xml:space="preserve"> </w:t>
      </w:r>
      <w:r w:rsidR="003B72E9" w:rsidRPr="006C15D5">
        <w:rPr>
          <w:rFonts w:ascii="Arial" w:eastAsia="Calibri" w:hAnsi="Arial" w:cs="Arial"/>
          <w:b/>
          <w:color w:val="000000" w:themeColor="text1"/>
          <w:sz w:val="22"/>
        </w:rPr>
        <w:t>–</w:t>
      </w:r>
      <w:r w:rsidR="006B4D31" w:rsidRPr="00FF1611">
        <w:rPr>
          <w:rFonts w:ascii="Arial" w:eastAsia="Calibri" w:hAnsi="Arial" w:cs="Arial"/>
          <w:b/>
          <w:sz w:val="22"/>
          <w:lang w:val="es-ES_tradnl"/>
        </w:rPr>
        <w:t xml:space="preserve"> </w:t>
      </w:r>
      <w:bookmarkStart w:id="4" w:name="_Hlk36233079"/>
      <w:r>
        <w:rPr>
          <w:rFonts w:ascii="Arial" w:eastAsia="Calibri" w:hAnsi="Arial" w:cs="Arial"/>
          <w:b/>
          <w:sz w:val="22"/>
          <w:lang w:val="es-ES_tradnl"/>
        </w:rPr>
        <w:t xml:space="preserve">Fundamento normativo </w:t>
      </w:r>
      <w:r w:rsidR="003B72E9" w:rsidRPr="006C15D5">
        <w:rPr>
          <w:rFonts w:ascii="Arial" w:eastAsia="Calibri" w:hAnsi="Arial" w:cs="Arial"/>
          <w:b/>
          <w:color w:val="000000" w:themeColor="text1"/>
          <w:sz w:val="22"/>
        </w:rPr>
        <w:t>–</w:t>
      </w:r>
      <w:r>
        <w:rPr>
          <w:rFonts w:ascii="Arial" w:eastAsia="Calibri" w:hAnsi="Arial" w:cs="Arial"/>
          <w:b/>
          <w:sz w:val="22"/>
          <w:lang w:val="es-ES_tradnl"/>
        </w:rPr>
        <w:t xml:space="preserve"> Concepto</w:t>
      </w:r>
    </w:p>
    <w:bookmarkEnd w:id="4"/>
    <w:p w14:paraId="6DEC82EB" w14:textId="77777777" w:rsidR="006B4D31" w:rsidRPr="00FF1611" w:rsidRDefault="006B4D31" w:rsidP="00320D07">
      <w:pPr>
        <w:jc w:val="both"/>
        <w:rPr>
          <w:rFonts w:ascii="Arial" w:eastAsia="Calibri" w:hAnsi="Arial" w:cs="Arial"/>
          <w:sz w:val="20"/>
          <w:lang w:val="es-ES_tradnl"/>
        </w:rPr>
      </w:pPr>
    </w:p>
    <w:p w14:paraId="6833B029" w14:textId="77777777" w:rsidR="003E583A" w:rsidRDefault="00F154E7" w:rsidP="003E583A">
      <w:pPr>
        <w:spacing w:after="120"/>
        <w:jc w:val="both"/>
        <w:rPr>
          <w:rFonts w:ascii="Arial" w:eastAsia="Calibri" w:hAnsi="Arial" w:cs="Arial"/>
          <w:sz w:val="20"/>
          <w:lang w:val="es-ES_tradnl"/>
        </w:rPr>
      </w:pPr>
      <w:r w:rsidRPr="00F154E7">
        <w:rPr>
          <w:rFonts w:ascii="Arial" w:eastAsia="Calibri" w:hAnsi="Arial" w:cs="Arial"/>
          <w:sz w:val="20"/>
          <w:lang w:val="es-ES_tradnl"/>
        </w:rPr>
        <w:t>Al igual que la delegación, el artículo 209 de la Constitución Política de 1991 autoriza la desconcentración como técnica organizacional que atempera el rigor de la centralización. Prevista en inciso primero del artículo 12 de la Ley 80 de 1993, permite que los representantes legales de las entidades estatales desconcentren el trámite de los procesos de selección en los funcionarios que, dentro de la entidad, ostenten cargos directivos o ejecutivos.</w:t>
      </w:r>
    </w:p>
    <w:p w14:paraId="468B0DB1" w14:textId="4CFEFA22" w:rsidR="00FF0B2F" w:rsidRDefault="00F154E7" w:rsidP="00FF0B2F">
      <w:pPr>
        <w:spacing w:after="120"/>
        <w:jc w:val="both"/>
        <w:rPr>
          <w:rFonts w:ascii="Arial" w:eastAsia="Calibri" w:hAnsi="Arial" w:cs="Arial"/>
          <w:sz w:val="20"/>
          <w:lang w:val="es-ES_tradnl"/>
        </w:rPr>
      </w:pPr>
      <w:r w:rsidRPr="00F154E7">
        <w:rPr>
          <w:rFonts w:ascii="Arial" w:eastAsia="Calibri" w:hAnsi="Arial" w:cs="Arial"/>
          <w:sz w:val="20"/>
          <w:lang w:val="es-ES_tradnl"/>
        </w:rPr>
        <w:t>Para estos efectos, la doctrina la define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proofErr w:type="gramStart"/>
      <w:r w:rsidRPr="00F154E7">
        <w:rPr>
          <w:rFonts w:ascii="Arial" w:eastAsia="Calibri" w:hAnsi="Arial" w:cs="Arial"/>
          <w:sz w:val="20"/>
          <w:lang w:val="es-ES_tradnl"/>
        </w:rPr>
        <w:t>» .</w:t>
      </w:r>
      <w:proofErr w:type="gramEnd"/>
      <w:r w:rsidRPr="00F154E7">
        <w:rPr>
          <w:rFonts w:ascii="Arial" w:eastAsia="Calibri" w:hAnsi="Arial" w:cs="Arial"/>
          <w:sz w:val="20"/>
          <w:lang w:val="es-ES_tradnl"/>
        </w:rPr>
        <w:t xml:space="preserve">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r>
        <w:rPr>
          <w:rFonts w:ascii="Arial" w:eastAsia="Calibri" w:hAnsi="Arial" w:cs="Arial"/>
          <w:sz w:val="20"/>
          <w:lang w:val="es-ES_tradnl"/>
        </w:rPr>
        <w:t>.</w:t>
      </w:r>
    </w:p>
    <w:p w14:paraId="6CCEBCC5" w14:textId="7C7BD275" w:rsidR="0048162D" w:rsidRDefault="0048162D" w:rsidP="00FF0B2F">
      <w:pPr>
        <w:spacing w:after="120"/>
        <w:jc w:val="both"/>
        <w:rPr>
          <w:rFonts w:ascii="Arial" w:eastAsia="Calibri" w:hAnsi="Arial" w:cs="Arial"/>
          <w:sz w:val="20"/>
          <w:lang w:val="es-ES_tradnl"/>
        </w:rPr>
      </w:pPr>
      <w:r>
        <w:rPr>
          <w:rFonts w:ascii="Arial" w:eastAsia="Calibri" w:hAnsi="Arial" w:cs="Arial"/>
          <w:sz w:val="20"/>
          <w:lang w:val="es-ES_tradnl"/>
        </w:rPr>
        <w:t>[…]</w:t>
      </w:r>
    </w:p>
    <w:p w14:paraId="19091BF8" w14:textId="5F990DE6" w:rsidR="00963C15" w:rsidRPr="00FF1611" w:rsidRDefault="00F154E7" w:rsidP="00F154E7">
      <w:pPr>
        <w:jc w:val="both"/>
        <w:rPr>
          <w:rFonts w:ascii="Arial" w:eastAsia="Calibri" w:hAnsi="Arial" w:cs="Arial"/>
          <w:sz w:val="20"/>
          <w:lang w:val="es-ES_tradnl"/>
        </w:rPr>
      </w:pPr>
      <w:r w:rsidRPr="00F154E7">
        <w:rPr>
          <w:rFonts w:ascii="Arial" w:eastAsia="Calibri" w:hAnsi="Arial" w:cs="Arial"/>
          <w:sz w:val="20"/>
          <w:lang w:val="es-ES_tradnl"/>
        </w:rPr>
        <w:lastRenderedPageBreak/>
        <w:t>Con una orientación similar, el parágrafo del artículo 12 del Estatuto General –adicionado por el artículo 21 de la Ley 1150 de 2007– dispone que «[…] se entiende por desconcentración la distribución adecuada del trabajo que realiza el jefe o representante legal de la entidad, sin que ello implique autonomía administrativa en su ejercicio […]». Incluso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 con ponencia del Magistrado Jaime Córdoba Triviño.</w:t>
      </w:r>
    </w:p>
    <w:p w14:paraId="74EC4ED3" w14:textId="77777777" w:rsidR="00F4469E" w:rsidRPr="00F4469E" w:rsidRDefault="00F4469E" w:rsidP="00F4469E">
      <w:pPr>
        <w:jc w:val="both"/>
        <w:rPr>
          <w:rFonts w:ascii="Arial" w:eastAsia="Calibri" w:hAnsi="Arial" w:cs="Arial"/>
          <w:sz w:val="20"/>
          <w:lang w:val="es-ES_tradnl"/>
        </w:rPr>
      </w:pPr>
    </w:p>
    <w:p w14:paraId="29E10BED" w14:textId="77777777" w:rsidR="00B54166" w:rsidRPr="00B54166" w:rsidRDefault="00B54166" w:rsidP="00B54166">
      <w:pPr>
        <w:pStyle w:val="Default"/>
        <w:rPr>
          <w:sz w:val="20"/>
          <w:szCs w:val="20"/>
        </w:rPr>
      </w:pPr>
    </w:p>
    <w:p w14:paraId="39935DE9" w14:textId="31F1C42F" w:rsidR="00B54166" w:rsidRPr="00B54166" w:rsidRDefault="00B54166" w:rsidP="00B54166">
      <w:pPr>
        <w:pStyle w:val="Default"/>
        <w:rPr>
          <w:sz w:val="22"/>
          <w:szCs w:val="22"/>
        </w:rPr>
      </w:pPr>
      <w:r w:rsidRPr="00B54166">
        <w:rPr>
          <w:sz w:val="22"/>
          <w:szCs w:val="22"/>
        </w:rPr>
        <w:t xml:space="preserve">Bogotá D.C., </w:t>
      </w:r>
      <w:r w:rsidRPr="00B54166">
        <w:rPr>
          <w:b/>
          <w:bCs/>
          <w:sz w:val="22"/>
          <w:szCs w:val="22"/>
        </w:rPr>
        <w:t xml:space="preserve">21/04/2020 Hora 17:51:29s </w:t>
      </w:r>
    </w:p>
    <w:p w14:paraId="44FC3668" w14:textId="6586932D" w:rsidR="00F1108B" w:rsidRPr="00B54166" w:rsidRDefault="00B54166" w:rsidP="00B54166">
      <w:pPr>
        <w:jc w:val="right"/>
        <w:rPr>
          <w:rFonts w:ascii="Arial" w:eastAsia="Calibri" w:hAnsi="Arial" w:cs="Arial"/>
          <w:sz w:val="20"/>
          <w:szCs w:val="20"/>
        </w:rPr>
      </w:pPr>
      <w:proofErr w:type="spellStart"/>
      <w:r w:rsidRPr="00B54166">
        <w:rPr>
          <w:rFonts w:ascii="Arial" w:hAnsi="Arial" w:cs="Arial"/>
          <w:b/>
          <w:bCs/>
          <w:sz w:val="22"/>
        </w:rPr>
        <w:t>N°</w:t>
      </w:r>
      <w:proofErr w:type="spellEnd"/>
      <w:r w:rsidRPr="00B54166">
        <w:rPr>
          <w:rFonts w:ascii="Arial" w:hAnsi="Arial" w:cs="Arial"/>
          <w:b/>
          <w:bCs/>
          <w:sz w:val="22"/>
        </w:rPr>
        <w:t xml:space="preserve"> Radicado: 2202013000002905</w:t>
      </w:r>
    </w:p>
    <w:p w14:paraId="07BF2599" w14:textId="77777777" w:rsidR="00FF0B2F" w:rsidRDefault="00FF0B2F" w:rsidP="00F1108B">
      <w:pPr>
        <w:rPr>
          <w:rFonts w:ascii="Arial" w:eastAsia="Calibri" w:hAnsi="Arial" w:cs="Arial"/>
          <w:sz w:val="22"/>
          <w:szCs w:val="20"/>
        </w:rPr>
      </w:pPr>
    </w:p>
    <w:p w14:paraId="1AC01C9C" w14:textId="1B1B775F" w:rsidR="00F1108B" w:rsidRPr="00FF1611" w:rsidRDefault="000A655A" w:rsidP="00F1108B">
      <w:pPr>
        <w:rPr>
          <w:rFonts w:ascii="Arial" w:eastAsia="Calibri" w:hAnsi="Arial" w:cs="Arial"/>
          <w:sz w:val="22"/>
          <w:szCs w:val="20"/>
        </w:rPr>
      </w:pPr>
      <w:r>
        <w:rPr>
          <w:rFonts w:ascii="Arial" w:eastAsia="Calibri" w:hAnsi="Arial" w:cs="Arial"/>
          <w:sz w:val="22"/>
          <w:szCs w:val="20"/>
        </w:rPr>
        <w:t>Doctor</w:t>
      </w:r>
      <w:r w:rsidR="00231AF0">
        <w:rPr>
          <w:rFonts w:ascii="Arial" w:eastAsia="Calibri" w:hAnsi="Arial" w:cs="Arial"/>
          <w:sz w:val="22"/>
          <w:szCs w:val="20"/>
        </w:rPr>
        <w:t xml:space="preserve"> </w:t>
      </w:r>
    </w:p>
    <w:p w14:paraId="7E980325" w14:textId="702B3225" w:rsidR="00D33F51" w:rsidRDefault="00D33F51" w:rsidP="00F1108B">
      <w:pPr>
        <w:rPr>
          <w:rFonts w:ascii="Arial" w:eastAsia="Calibri" w:hAnsi="Arial" w:cs="Arial"/>
          <w:b/>
          <w:sz w:val="22"/>
          <w:szCs w:val="20"/>
        </w:rPr>
      </w:pPr>
      <w:r w:rsidRPr="00D33F51">
        <w:rPr>
          <w:rFonts w:ascii="Arial" w:eastAsia="Calibri" w:hAnsi="Arial" w:cs="Arial"/>
          <w:b/>
          <w:sz w:val="22"/>
          <w:szCs w:val="20"/>
        </w:rPr>
        <w:t xml:space="preserve">LUIS CARLOS </w:t>
      </w:r>
      <w:bookmarkStart w:id="5" w:name="_Hlk36716671"/>
      <w:r>
        <w:rPr>
          <w:rFonts w:ascii="Arial" w:eastAsia="Calibri" w:hAnsi="Arial" w:cs="Arial"/>
          <w:b/>
          <w:sz w:val="22"/>
          <w:szCs w:val="20"/>
        </w:rPr>
        <w:t>Á</w:t>
      </w:r>
      <w:r w:rsidRPr="00D33F51">
        <w:rPr>
          <w:rFonts w:ascii="Arial" w:eastAsia="Calibri" w:hAnsi="Arial" w:cs="Arial"/>
          <w:b/>
          <w:sz w:val="22"/>
          <w:szCs w:val="20"/>
        </w:rPr>
        <w:t>LZATE RÍOS</w:t>
      </w:r>
      <w:bookmarkEnd w:id="5"/>
    </w:p>
    <w:p w14:paraId="0B8EA2DD" w14:textId="06A3DD9E" w:rsidR="00D33F51" w:rsidRDefault="00D33F51" w:rsidP="00F1108B">
      <w:pPr>
        <w:rPr>
          <w:rFonts w:ascii="Arial" w:eastAsia="Calibri" w:hAnsi="Arial" w:cs="Arial"/>
          <w:b/>
          <w:sz w:val="22"/>
          <w:szCs w:val="20"/>
        </w:rPr>
      </w:pPr>
      <w:r>
        <w:rPr>
          <w:rFonts w:ascii="Arial" w:eastAsia="Calibri" w:hAnsi="Arial" w:cs="Arial"/>
          <w:b/>
          <w:sz w:val="22"/>
          <w:szCs w:val="20"/>
        </w:rPr>
        <w:t xml:space="preserve">Magistrado del Tribunal Administrativo del Quindío </w:t>
      </w:r>
    </w:p>
    <w:p w14:paraId="0C515BDA" w14:textId="63458F51" w:rsidR="00F1108B" w:rsidRPr="00FF1611" w:rsidRDefault="00F1108B" w:rsidP="00F1108B">
      <w:pPr>
        <w:rPr>
          <w:rFonts w:ascii="Arial" w:eastAsia="Calibri" w:hAnsi="Arial" w:cs="Arial"/>
          <w:sz w:val="22"/>
          <w:szCs w:val="20"/>
        </w:rPr>
      </w:pPr>
      <w:r w:rsidRPr="00FF1611">
        <w:rPr>
          <w:rFonts w:ascii="Arial" w:eastAsia="Calibri" w:hAnsi="Arial" w:cs="Arial"/>
          <w:sz w:val="22"/>
          <w:szCs w:val="20"/>
        </w:rPr>
        <w:t>Ciudad</w:t>
      </w:r>
    </w:p>
    <w:p w14:paraId="67DB9390" w14:textId="77777777" w:rsidR="003D2C4D" w:rsidRPr="00FF1611" w:rsidRDefault="003D2C4D" w:rsidP="00F1108B">
      <w:pPr>
        <w:rPr>
          <w:rFonts w:ascii="Arial" w:eastAsia="Calibri" w:hAnsi="Arial" w:cs="Arial"/>
          <w:sz w:val="22"/>
          <w:szCs w:val="20"/>
        </w:rPr>
      </w:pPr>
    </w:p>
    <w:p w14:paraId="283D6043" w14:textId="2FD0CB5C" w:rsidR="00F1108B" w:rsidRPr="00FF1611" w:rsidRDefault="00F1108B" w:rsidP="00F1108B">
      <w:pPr>
        <w:jc w:val="center"/>
        <w:rPr>
          <w:rFonts w:ascii="Arial" w:eastAsia="Calibri" w:hAnsi="Arial" w:cs="Arial"/>
          <w:b/>
          <w:sz w:val="22"/>
        </w:rPr>
      </w:pPr>
      <w:r w:rsidRPr="00FF1611">
        <w:rPr>
          <w:rFonts w:ascii="Arial" w:eastAsia="Calibri" w:hAnsi="Arial" w:cs="Arial"/>
          <w:b/>
          <w:sz w:val="22"/>
        </w:rPr>
        <w:t xml:space="preserve">Concepto C ─ </w:t>
      </w:r>
      <w:r w:rsidR="002F7856">
        <w:rPr>
          <w:rFonts w:ascii="Arial" w:eastAsia="Calibri" w:hAnsi="Arial" w:cs="Arial"/>
          <w:b/>
          <w:sz w:val="22"/>
        </w:rPr>
        <w:t xml:space="preserve">268 </w:t>
      </w:r>
      <w:r w:rsidRPr="00FF1611">
        <w:rPr>
          <w:rFonts w:ascii="Arial" w:eastAsia="Calibri" w:hAnsi="Arial" w:cs="Arial"/>
          <w:b/>
          <w:sz w:val="22"/>
        </w:rPr>
        <w:t>de 2020</w:t>
      </w:r>
    </w:p>
    <w:p w14:paraId="55A2A84E" w14:textId="6DB8DB71" w:rsidR="00F1108B" w:rsidRPr="00FF1611" w:rsidRDefault="00F1108B" w:rsidP="00F1108B">
      <w:pPr>
        <w:rPr>
          <w:rFonts w:ascii="Arial" w:eastAsia="Calibri" w:hAnsi="Arial" w:cs="Arial"/>
          <w:sz w:val="22"/>
        </w:rPr>
      </w:pPr>
    </w:p>
    <w:p w14:paraId="67C77FF9" w14:textId="77777777" w:rsidR="003D2C4D" w:rsidRPr="00FF1611" w:rsidRDefault="003D2C4D"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FF1611" w14:paraId="522C04FC" w14:textId="77777777" w:rsidTr="007C4906">
        <w:tc>
          <w:tcPr>
            <w:tcW w:w="2689" w:type="dxa"/>
            <w:hideMark/>
          </w:tcPr>
          <w:p w14:paraId="5C1F9A7E" w14:textId="77777777" w:rsidR="00F1108B" w:rsidRPr="00FF1611" w:rsidRDefault="00F1108B" w:rsidP="007C4906">
            <w:pPr>
              <w:rPr>
                <w:rFonts w:ascii="Arial" w:eastAsia="Calibri" w:hAnsi="Arial" w:cs="Arial"/>
                <w:sz w:val="22"/>
              </w:rPr>
            </w:pPr>
            <w:r w:rsidRPr="00FF1611">
              <w:rPr>
                <w:rFonts w:ascii="Arial" w:eastAsia="Calibri" w:hAnsi="Arial" w:cs="Arial"/>
                <w:b/>
                <w:sz w:val="22"/>
              </w:rPr>
              <w:t>Temas:</w:t>
            </w:r>
            <w:r w:rsidRPr="00FF1611">
              <w:rPr>
                <w:rFonts w:ascii="Arial" w:eastAsia="Calibri" w:hAnsi="Arial" w:cs="Arial"/>
                <w:sz w:val="22"/>
              </w:rPr>
              <w:t xml:space="preserve">           </w:t>
            </w:r>
          </w:p>
          <w:p w14:paraId="4376ABAA" w14:textId="77777777" w:rsidR="00F1108B" w:rsidRPr="00FF1611" w:rsidRDefault="00F1108B" w:rsidP="007C4906">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7A0843AA" w14:textId="721ECFFD" w:rsidR="00F1108B" w:rsidRDefault="00F154E7" w:rsidP="007C4906">
            <w:pPr>
              <w:jc w:val="both"/>
              <w:rPr>
                <w:rFonts w:ascii="Arial" w:eastAsia="Calibri" w:hAnsi="Arial" w:cs="Arial"/>
                <w:sz w:val="22"/>
              </w:rPr>
            </w:pPr>
            <w:r w:rsidRPr="00F154E7">
              <w:rPr>
                <w:rFonts w:ascii="Arial" w:eastAsia="Calibri" w:hAnsi="Arial" w:cs="Arial"/>
                <w:sz w:val="22"/>
              </w:rPr>
              <w:t xml:space="preserve">DELEGACIÓN ― Fundamento normativo ― </w:t>
            </w:r>
            <w:r w:rsidR="00872BEC" w:rsidRPr="00872BEC">
              <w:rPr>
                <w:rFonts w:ascii="Arial" w:eastAsia="Calibri" w:hAnsi="Arial" w:cs="Arial"/>
                <w:sz w:val="22"/>
              </w:rPr>
              <w:t>Requisitos legales</w:t>
            </w:r>
            <w:r>
              <w:rPr>
                <w:rFonts w:ascii="Arial" w:eastAsia="Calibri" w:hAnsi="Arial" w:cs="Arial"/>
                <w:sz w:val="22"/>
              </w:rPr>
              <w:t xml:space="preserve"> </w:t>
            </w:r>
            <w:r w:rsidR="00897F5B" w:rsidRPr="00F154E7">
              <w:rPr>
                <w:rFonts w:ascii="Arial" w:eastAsia="Calibri" w:hAnsi="Arial" w:cs="Arial"/>
                <w:sz w:val="22"/>
              </w:rPr>
              <w:t xml:space="preserve">/ </w:t>
            </w:r>
            <w:r w:rsidRPr="00F154E7">
              <w:rPr>
                <w:rFonts w:ascii="Arial" w:eastAsia="Calibri" w:hAnsi="Arial" w:cs="Arial"/>
                <w:sz w:val="22"/>
              </w:rPr>
              <w:t>DESCONCENTRACIÓN ― Fundamento normativo ― Concepto</w:t>
            </w:r>
          </w:p>
          <w:p w14:paraId="3AA47512" w14:textId="20D72DE4" w:rsidR="00F154E7" w:rsidRPr="00BD0410" w:rsidRDefault="00F154E7" w:rsidP="007C4906">
            <w:pPr>
              <w:jc w:val="both"/>
              <w:rPr>
                <w:rFonts w:ascii="Arial" w:eastAsia="Calibri" w:hAnsi="Arial" w:cs="Arial"/>
                <w:sz w:val="22"/>
                <w:highlight w:val="yellow"/>
              </w:rPr>
            </w:pPr>
          </w:p>
        </w:tc>
      </w:tr>
      <w:tr w:rsidR="00F1108B" w:rsidRPr="00FF1611" w14:paraId="7D0D2FDB" w14:textId="77777777" w:rsidTr="007C4906">
        <w:tc>
          <w:tcPr>
            <w:tcW w:w="2689" w:type="dxa"/>
          </w:tcPr>
          <w:p w14:paraId="7DC82264" w14:textId="77777777" w:rsidR="00F1108B" w:rsidRPr="00FF1611" w:rsidRDefault="00F1108B" w:rsidP="007C4906">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1DC5749" w14:textId="1820BA84" w:rsidR="00F1108B" w:rsidRPr="00FF1611" w:rsidRDefault="00F1108B" w:rsidP="007F785F">
            <w:pPr>
              <w:jc w:val="both"/>
              <w:rPr>
                <w:rFonts w:ascii="Arial" w:eastAsia="Calibri" w:hAnsi="Arial" w:cs="Arial"/>
                <w:sz w:val="22"/>
              </w:rPr>
            </w:pPr>
            <w:r w:rsidRPr="00FF1611">
              <w:rPr>
                <w:rFonts w:ascii="Arial" w:eastAsia="Calibri" w:hAnsi="Arial" w:cs="Arial"/>
                <w:sz w:val="22"/>
              </w:rPr>
              <w:t>Respuesta a</w:t>
            </w:r>
            <w:r w:rsidR="00D33F51">
              <w:rPr>
                <w:rFonts w:ascii="Arial" w:eastAsia="Calibri" w:hAnsi="Arial" w:cs="Arial"/>
                <w:sz w:val="22"/>
              </w:rPr>
              <w:t xml:space="preserve"> la</w:t>
            </w:r>
            <w:r w:rsidRPr="00FF1611">
              <w:rPr>
                <w:rFonts w:ascii="Arial" w:eastAsia="Calibri" w:hAnsi="Arial" w:cs="Arial"/>
                <w:sz w:val="22"/>
              </w:rPr>
              <w:t xml:space="preserve"> consulta # </w:t>
            </w:r>
            <w:r w:rsidR="008A4E5A" w:rsidRPr="008A4E5A">
              <w:rPr>
                <w:rFonts w:ascii="Arial" w:eastAsia="Calibri" w:hAnsi="Arial" w:cs="Arial"/>
                <w:sz w:val="22"/>
              </w:rPr>
              <w:t>4202013000002460</w:t>
            </w:r>
          </w:p>
        </w:tc>
      </w:tr>
    </w:tbl>
    <w:p w14:paraId="7DF1E86E" w14:textId="77777777" w:rsidR="00F1108B" w:rsidRPr="00FF1611" w:rsidRDefault="00F1108B" w:rsidP="00F1108B">
      <w:pPr>
        <w:jc w:val="both"/>
        <w:rPr>
          <w:rFonts w:ascii="Arial" w:eastAsia="Calibri" w:hAnsi="Arial" w:cs="Arial"/>
          <w:sz w:val="22"/>
        </w:rPr>
      </w:pPr>
    </w:p>
    <w:p w14:paraId="446ECF41" w14:textId="77777777" w:rsidR="00F1108B" w:rsidRPr="00FF1611" w:rsidRDefault="00F1108B" w:rsidP="00F1108B">
      <w:pPr>
        <w:jc w:val="both"/>
        <w:rPr>
          <w:rFonts w:ascii="Arial" w:eastAsia="Calibri" w:hAnsi="Arial" w:cs="Arial"/>
          <w:sz w:val="22"/>
        </w:rPr>
      </w:pPr>
    </w:p>
    <w:p w14:paraId="6A11BDDD" w14:textId="60ECFF0C" w:rsidR="00F1108B" w:rsidRPr="00FF1611" w:rsidRDefault="00F1108B" w:rsidP="00F1108B">
      <w:pPr>
        <w:rPr>
          <w:rFonts w:ascii="Arial" w:eastAsia="Calibri" w:hAnsi="Arial" w:cs="Arial"/>
          <w:sz w:val="22"/>
        </w:rPr>
      </w:pPr>
      <w:r w:rsidRPr="00FF1611">
        <w:rPr>
          <w:rFonts w:ascii="Arial" w:eastAsia="Calibri" w:hAnsi="Arial" w:cs="Arial"/>
          <w:sz w:val="22"/>
        </w:rPr>
        <w:t xml:space="preserve">Estimado </w:t>
      </w:r>
      <w:r w:rsidR="00D33F51">
        <w:rPr>
          <w:rFonts w:ascii="Arial" w:eastAsia="Calibri" w:hAnsi="Arial" w:cs="Arial"/>
          <w:sz w:val="22"/>
        </w:rPr>
        <w:t xml:space="preserve">Doctor </w:t>
      </w:r>
      <w:r w:rsidR="00D33F51" w:rsidRPr="00D33F51">
        <w:rPr>
          <w:rFonts w:ascii="Arial" w:eastAsia="Calibri" w:hAnsi="Arial" w:cs="Arial"/>
          <w:sz w:val="22"/>
        </w:rPr>
        <w:t>Álzate Ríos</w:t>
      </w:r>
      <w:r w:rsidRPr="00FF1611">
        <w:rPr>
          <w:rFonts w:ascii="Arial" w:eastAsia="Calibri" w:hAnsi="Arial" w:cs="Arial"/>
          <w:sz w:val="22"/>
        </w:rPr>
        <w:t>,</w:t>
      </w:r>
    </w:p>
    <w:p w14:paraId="45ADAB8A" w14:textId="77777777" w:rsidR="00F1108B" w:rsidRPr="00FF1611" w:rsidRDefault="00F1108B" w:rsidP="00F1108B">
      <w:pPr>
        <w:rPr>
          <w:rFonts w:ascii="Arial" w:eastAsia="Calibri" w:hAnsi="Arial" w:cs="Arial"/>
          <w:sz w:val="22"/>
        </w:rPr>
      </w:pPr>
    </w:p>
    <w:p w14:paraId="329AA852" w14:textId="1B3A94D4" w:rsidR="00F1108B" w:rsidRPr="00FF1611" w:rsidRDefault="00DD464C" w:rsidP="00D65576">
      <w:pPr>
        <w:spacing w:after="120" w:line="276" w:lineRule="auto"/>
        <w:ind w:right="51"/>
        <w:jc w:val="both"/>
        <w:rPr>
          <w:rFonts w:ascii="Arial" w:eastAsia="Calibri" w:hAnsi="Arial" w:cs="Arial"/>
          <w:sz w:val="22"/>
        </w:rPr>
      </w:pPr>
      <w:r w:rsidRPr="00DD464C">
        <w:rPr>
          <w:rFonts w:ascii="Arial" w:eastAsia="Calibri" w:hAnsi="Arial" w:cs="Arial"/>
          <w:sz w:val="22"/>
        </w:rPr>
        <w:t xml:space="preserve">La Agencia Nacional de Contratación Pública ―Colombia Compra Eficiente― responde su consulta del </w:t>
      </w:r>
      <w:r w:rsidR="008A4E5A">
        <w:rPr>
          <w:rFonts w:ascii="Arial" w:eastAsia="Calibri" w:hAnsi="Arial" w:cs="Arial"/>
          <w:sz w:val="22"/>
        </w:rPr>
        <w:t>6 de abril de 2020</w:t>
      </w:r>
      <w:r w:rsidRPr="00DD464C">
        <w:rPr>
          <w:rFonts w:ascii="Arial" w:eastAsia="Calibri" w:hAnsi="Arial" w:cs="Arial"/>
          <w:sz w:val="22"/>
        </w:rPr>
        <w:t>, en ejercicio de la competencia otorgada por el numeral 8 del artículo 11 y el numeral 5 del artículo 3 del Decreto Ley 4170 de 2011.</w:t>
      </w:r>
    </w:p>
    <w:p w14:paraId="72382DCC" w14:textId="77777777" w:rsidR="00F1108B" w:rsidRPr="00FF1611" w:rsidRDefault="00F1108B" w:rsidP="00F1108B">
      <w:pPr>
        <w:pStyle w:val="Prrafodelista"/>
        <w:tabs>
          <w:tab w:val="left" w:pos="284"/>
        </w:tabs>
        <w:spacing w:line="276" w:lineRule="auto"/>
        <w:ind w:left="0"/>
        <w:jc w:val="both"/>
        <w:rPr>
          <w:rFonts w:ascii="Arial" w:eastAsia="Calibri" w:hAnsi="Arial" w:cs="Arial"/>
          <w:sz w:val="22"/>
        </w:rPr>
      </w:pPr>
    </w:p>
    <w:p w14:paraId="7041ED68" w14:textId="77777777" w:rsidR="00F1108B" w:rsidRPr="00FF1611" w:rsidRDefault="00F1108B" w:rsidP="00D65576">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2C3DAA31" w14:textId="77777777" w:rsidR="00F1108B" w:rsidRPr="00FF1611" w:rsidRDefault="00F1108B" w:rsidP="00F1108B">
      <w:pPr>
        <w:tabs>
          <w:tab w:val="left" w:pos="426"/>
        </w:tabs>
        <w:spacing w:line="276" w:lineRule="auto"/>
        <w:jc w:val="both"/>
        <w:rPr>
          <w:rFonts w:ascii="Arial" w:eastAsia="Calibri" w:hAnsi="Arial" w:cs="Arial"/>
          <w:b/>
          <w:sz w:val="22"/>
        </w:rPr>
      </w:pPr>
    </w:p>
    <w:p w14:paraId="54B6D392" w14:textId="15B541C2" w:rsidR="00F1108B" w:rsidRPr="00FF1611" w:rsidRDefault="009F1832" w:rsidP="008A4E5A">
      <w:pPr>
        <w:tabs>
          <w:tab w:val="left" w:pos="426"/>
        </w:tabs>
        <w:spacing w:line="276" w:lineRule="auto"/>
        <w:jc w:val="both"/>
        <w:rPr>
          <w:rFonts w:ascii="Arial" w:eastAsia="Calibri" w:hAnsi="Arial" w:cs="Arial"/>
          <w:sz w:val="22"/>
        </w:rPr>
      </w:pPr>
      <w:r>
        <w:rPr>
          <w:rFonts w:ascii="Arial" w:eastAsia="Calibri" w:hAnsi="Arial" w:cs="Arial"/>
          <w:sz w:val="22"/>
        </w:rPr>
        <w:t xml:space="preserve">Mediante el Auto del 27 de marzo de 2020, en ejercicio de la competencia dispuesta en </w:t>
      </w:r>
      <w:r w:rsidR="009F6E43">
        <w:rPr>
          <w:rFonts w:ascii="Arial" w:eastAsia="Calibri" w:hAnsi="Arial" w:cs="Arial"/>
          <w:sz w:val="22"/>
        </w:rPr>
        <w:t xml:space="preserve">el artículo 151.14 del Código de Procedimiento Administrativo y Contencioso Administrativo, </w:t>
      </w:r>
      <w:r w:rsidR="008E2227">
        <w:rPr>
          <w:rFonts w:ascii="Arial" w:eastAsia="Calibri" w:hAnsi="Arial" w:cs="Arial"/>
          <w:sz w:val="22"/>
        </w:rPr>
        <w:t>el</w:t>
      </w:r>
      <w:r w:rsidR="009F6E43">
        <w:rPr>
          <w:rFonts w:ascii="Arial" w:eastAsia="Calibri" w:hAnsi="Arial" w:cs="Arial"/>
          <w:sz w:val="22"/>
        </w:rPr>
        <w:t xml:space="preserve"> Despacho </w:t>
      </w:r>
      <w:r w:rsidR="008E2227">
        <w:rPr>
          <w:rFonts w:ascii="Arial" w:eastAsia="Calibri" w:hAnsi="Arial" w:cs="Arial"/>
          <w:sz w:val="22"/>
        </w:rPr>
        <w:t>asume</w:t>
      </w:r>
      <w:r w:rsidR="009F6E43">
        <w:rPr>
          <w:rFonts w:ascii="Arial" w:eastAsia="Calibri" w:hAnsi="Arial" w:cs="Arial"/>
          <w:sz w:val="22"/>
        </w:rPr>
        <w:t xml:space="preserve"> el control inmediato de legalidad del Decreto </w:t>
      </w:r>
      <w:r w:rsidR="008A4E5A">
        <w:rPr>
          <w:rFonts w:ascii="Arial" w:eastAsia="Calibri" w:hAnsi="Arial" w:cs="Arial"/>
          <w:sz w:val="22"/>
        </w:rPr>
        <w:t>211</w:t>
      </w:r>
      <w:r w:rsidR="009F6E43">
        <w:rPr>
          <w:rFonts w:ascii="Arial" w:eastAsia="Calibri" w:hAnsi="Arial" w:cs="Arial"/>
          <w:sz w:val="22"/>
        </w:rPr>
        <w:t xml:space="preserve"> del 2</w:t>
      </w:r>
      <w:r w:rsidR="008A4E5A">
        <w:rPr>
          <w:rFonts w:ascii="Arial" w:eastAsia="Calibri" w:hAnsi="Arial" w:cs="Arial"/>
          <w:sz w:val="22"/>
        </w:rPr>
        <w:t>6</w:t>
      </w:r>
      <w:r w:rsidR="009F6E43">
        <w:rPr>
          <w:rFonts w:ascii="Arial" w:eastAsia="Calibri" w:hAnsi="Arial" w:cs="Arial"/>
          <w:sz w:val="22"/>
        </w:rPr>
        <w:t xml:space="preserve"> de marzo de 2020, «</w:t>
      </w:r>
      <w:r w:rsidR="008A4E5A">
        <w:rPr>
          <w:rFonts w:ascii="Arial" w:eastAsia="Calibri" w:hAnsi="Arial" w:cs="Arial"/>
          <w:sz w:val="22"/>
        </w:rPr>
        <w:t>P</w:t>
      </w:r>
      <w:r w:rsidR="008A4E5A" w:rsidRPr="008A4E5A">
        <w:rPr>
          <w:rFonts w:ascii="Arial" w:eastAsia="Calibri" w:hAnsi="Arial" w:cs="Arial"/>
          <w:sz w:val="22"/>
        </w:rPr>
        <w:t>or medio de la cual se realiza una desconcentración y delegación de funciones</w:t>
      </w:r>
      <w:r w:rsidR="008A4E5A">
        <w:rPr>
          <w:rFonts w:ascii="Arial" w:eastAsia="Calibri" w:hAnsi="Arial" w:cs="Arial"/>
          <w:sz w:val="22"/>
        </w:rPr>
        <w:t xml:space="preserve"> </w:t>
      </w:r>
      <w:r w:rsidR="008A4E5A" w:rsidRPr="008A4E5A">
        <w:rPr>
          <w:rFonts w:ascii="Arial" w:eastAsia="Calibri" w:hAnsi="Arial" w:cs="Arial"/>
          <w:sz w:val="22"/>
        </w:rPr>
        <w:t>excepcionales en las actuaciones contractuales en el sector central del</w:t>
      </w:r>
      <w:r w:rsidR="008A4E5A">
        <w:rPr>
          <w:rFonts w:ascii="Arial" w:eastAsia="Calibri" w:hAnsi="Arial" w:cs="Arial"/>
          <w:sz w:val="22"/>
        </w:rPr>
        <w:t xml:space="preserve"> </w:t>
      </w:r>
      <w:r w:rsidR="008A4E5A" w:rsidRPr="008A4E5A">
        <w:rPr>
          <w:rFonts w:ascii="Arial" w:eastAsia="Calibri" w:hAnsi="Arial" w:cs="Arial"/>
          <w:sz w:val="22"/>
        </w:rPr>
        <w:t>Departamento Del Quindío, en atención a la declaratoria de calamidad pública y</w:t>
      </w:r>
      <w:r w:rsidR="008A4E5A">
        <w:rPr>
          <w:rFonts w:ascii="Arial" w:eastAsia="Calibri" w:hAnsi="Arial" w:cs="Arial"/>
          <w:sz w:val="22"/>
        </w:rPr>
        <w:t xml:space="preserve"> </w:t>
      </w:r>
      <w:r w:rsidR="008A4E5A" w:rsidRPr="008A4E5A">
        <w:rPr>
          <w:rFonts w:ascii="Arial" w:eastAsia="Calibri" w:hAnsi="Arial" w:cs="Arial"/>
          <w:sz w:val="22"/>
        </w:rPr>
        <w:t>urgencia manifiesta</w:t>
      </w:r>
      <w:r w:rsidR="009F6E43">
        <w:rPr>
          <w:rFonts w:ascii="Arial" w:eastAsia="Calibri" w:hAnsi="Arial" w:cs="Arial"/>
          <w:sz w:val="22"/>
        </w:rPr>
        <w:t>».</w:t>
      </w:r>
      <w:r w:rsidR="008E2227">
        <w:rPr>
          <w:rFonts w:ascii="Arial" w:eastAsia="Calibri" w:hAnsi="Arial" w:cs="Arial"/>
          <w:sz w:val="22"/>
        </w:rPr>
        <w:t xml:space="preserve"> En consecuencia</w:t>
      </w:r>
      <w:r w:rsidR="00583580">
        <w:rPr>
          <w:rFonts w:ascii="Arial" w:eastAsia="Calibri" w:hAnsi="Arial" w:cs="Arial"/>
          <w:sz w:val="22"/>
        </w:rPr>
        <w:t>, oficia a l</w:t>
      </w:r>
      <w:r w:rsidR="00583580" w:rsidRPr="00DD464C">
        <w:rPr>
          <w:rFonts w:ascii="Arial" w:eastAsia="Calibri" w:hAnsi="Arial" w:cs="Arial"/>
          <w:sz w:val="22"/>
        </w:rPr>
        <w:t>a Agencia Nacional de Contratación Pública</w:t>
      </w:r>
      <w:r w:rsidR="00583580">
        <w:rPr>
          <w:rFonts w:ascii="Arial" w:eastAsia="Calibri" w:hAnsi="Arial" w:cs="Arial"/>
          <w:sz w:val="22"/>
        </w:rPr>
        <w:t xml:space="preserve"> – </w:t>
      </w:r>
      <w:r w:rsidR="00583580" w:rsidRPr="00DD464C">
        <w:rPr>
          <w:rFonts w:ascii="Arial" w:eastAsia="Calibri" w:hAnsi="Arial" w:cs="Arial"/>
          <w:sz w:val="22"/>
        </w:rPr>
        <w:t>Colombia Compra Eficiente</w:t>
      </w:r>
      <w:r w:rsidR="00583580">
        <w:rPr>
          <w:rFonts w:ascii="Arial" w:eastAsia="Calibri" w:hAnsi="Arial" w:cs="Arial"/>
          <w:sz w:val="22"/>
        </w:rPr>
        <w:t xml:space="preserve"> </w:t>
      </w:r>
      <w:r w:rsidR="00583580" w:rsidRPr="00583580">
        <w:rPr>
          <w:rFonts w:ascii="Arial" w:eastAsia="Calibri" w:hAnsi="Arial" w:cs="Arial"/>
          <w:sz w:val="22"/>
        </w:rPr>
        <w:t>a fin de que dentro del término de diez (10) días</w:t>
      </w:r>
      <w:r w:rsidR="00583580">
        <w:rPr>
          <w:rFonts w:ascii="Arial" w:eastAsia="Calibri" w:hAnsi="Arial" w:cs="Arial"/>
          <w:sz w:val="22"/>
        </w:rPr>
        <w:t xml:space="preserve"> </w:t>
      </w:r>
      <w:r w:rsidR="00583580" w:rsidRPr="00583580">
        <w:rPr>
          <w:rFonts w:ascii="Arial" w:eastAsia="Calibri" w:hAnsi="Arial" w:cs="Arial"/>
          <w:sz w:val="22"/>
        </w:rPr>
        <w:t xml:space="preserve">siguientes a la comunicación </w:t>
      </w:r>
      <w:r w:rsidR="00583580">
        <w:rPr>
          <w:rFonts w:ascii="Arial" w:eastAsia="Calibri" w:hAnsi="Arial" w:cs="Arial"/>
          <w:sz w:val="22"/>
        </w:rPr>
        <w:t>del auto</w:t>
      </w:r>
      <w:r w:rsidR="00583580" w:rsidRPr="00583580">
        <w:rPr>
          <w:rFonts w:ascii="Arial" w:eastAsia="Calibri" w:hAnsi="Arial" w:cs="Arial"/>
          <w:sz w:val="22"/>
        </w:rPr>
        <w:t xml:space="preserve">, </w:t>
      </w:r>
      <w:r w:rsidR="008E2227">
        <w:rPr>
          <w:rFonts w:ascii="Arial" w:eastAsia="Calibri" w:hAnsi="Arial" w:cs="Arial"/>
          <w:sz w:val="22"/>
        </w:rPr>
        <w:t>conceptúe sobre el asunto planteado</w:t>
      </w:r>
      <w:r w:rsidR="00583580">
        <w:rPr>
          <w:rFonts w:ascii="Arial" w:eastAsia="Calibri" w:hAnsi="Arial" w:cs="Arial"/>
          <w:sz w:val="22"/>
        </w:rPr>
        <w:t>.</w:t>
      </w:r>
      <w:r w:rsidR="009F6E43">
        <w:rPr>
          <w:rFonts w:ascii="Arial" w:eastAsia="Calibri" w:hAnsi="Arial" w:cs="Arial"/>
          <w:sz w:val="22"/>
        </w:rPr>
        <w:t xml:space="preserve"> </w:t>
      </w:r>
    </w:p>
    <w:p w14:paraId="04DF639B" w14:textId="77777777" w:rsidR="00F1108B" w:rsidRPr="00FF1611" w:rsidRDefault="00F1108B" w:rsidP="00D65576">
      <w:pPr>
        <w:tabs>
          <w:tab w:val="left" w:pos="426"/>
        </w:tabs>
        <w:spacing w:after="120" w:line="276" w:lineRule="auto"/>
        <w:jc w:val="both"/>
        <w:rPr>
          <w:rFonts w:ascii="Arial" w:eastAsia="Calibri" w:hAnsi="Arial" w:cs="Arial"/>
          <w:sz w:val="22"/>
        </w:rPr>
      </w:pPr>
    </w:p>
    <w:p w14:paraId="08FCE370" w14:textId="77777777" w:rsidR="00F1108B" w:rsidRPr="00FF1611" w:rsidRDefault="00F1108B" w:rsidP="00D65576">
      <w:pPr>
        <w:tabs>
          <w:tab w:val="left" w:pos="426"/>
        </w:tabs>
        <w:spacing w:after="120"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F1108B">
      <w:pPr>
        <w:pStyle w:val="Prrafodelista"/>
        <w:tabs>
          <w:tab w:val="left" w:pos="284"/>
        </w:tabs>
        <w:spacing w:line="276" w:lineRule="auto"/>
        <w:ind w:left="0"/>
        <w:jc w:val="both"/>
        <w:rPr>
          <w:rFonts w:ascii="Arial" w:eastAsia="Calibri" w:hAnsi="Arial" w:cs="Arial"/>
          <w:b/>
          <w:sz w:val="22"/>
        </w:rPr>
      </w:pPr>
    </w:p>
    <w:p w14:paraId="077FB263" w14:textId="596B0C11" w:rsidR="001C70DF" w:rsidRDefault="00C24913" w:rsidP="001C70DF">
      <w:pPr>
        <w:spacing w:after="120" w:line="276" w:lineRule="auto"/>
        <w:jc w:val="both"/>
        <w:rPr>
          <w:rFonts w:ascii="Arial" w:eastAsia="Calibri" w:hAnsi="Arial" w:cs="Arial"/>
          <w:b/>
          <w:bCs/>
          <w:sz w:val="22"/>
          <w:lang w:val="es-ES_tradnl"/>
        </w:rPr>
      </w:pPr>
      <w:r>
        <w:rPr>
          <w:rFonts w:ascii="Arial" w:eastAsia="Calibri" w:hAnsi="Arial" w:cs="Arial"/>
          <w:sz w:val="22"/>
          <w:lang w:val="es-ES_tradnl"/>
        </w:rPr>
        <w:t>Para rendir el concepto solicitado</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6" w:name="_Hlk36735667"/>
      <w:r w:rsidR="00F1108B" w:rsidRPr="00FF1611">
        <w:rPr>
          <w:rFonts w:ascii="Arial" w:eastAsia="Calibri" w:hAnsi="Arial" w:cs="Arial"/>
          <w:sz w:val="22"/>
          <w:lang w:val="es-ES_tradnl"/>
        </w:rPr>
        <w:t xml:space="preserve">se explicará </w:t>
      </w:r>
      <w:r w:rsidR="008C4864" w:rsidRPr="00FF1611">
        <w:rPr>
          <w:rFonts w:ascii="Arial" w:eastAsia="Calibri" w:hAnsi="Arial" w:cs="Arial"/>
          <w:sz w:val="22"/>
          <w:lang w:val="es-ES_tradnl"/>
        </w:rPr>
        <w:t xml:space="preserve">el sentido y alcance </w:t>
      </w:r>
      <w:r w:rsidR="008A4E5A">
        <w:rPr>
          <w:rFonts w:ascii="Arial" w:eastAsia="Calibri" w:hAnsi="Arial" w:cs="Arial"/>
          <w:sz w:val="22"/>
          <w:lang w:val="es-ES_tradnl"/>
        </w:rPr>
        <w:t xml:space="preserve">de la </w:t>
      </w:r>
      <w:r w:rsidR="008A4E5A" w:rsidRPr="008A4E5A">
        <w:rPr>
          <w:rFonts w:ascii="Arial" w:eastAsia="Calibri" w:hAnsi="Arial" w:cs="Arial"/>
          <w:i/>
          <w:iCs/>
          <w:sz w:val="22"/>
          <w:lang w:val="es-ES_tradnl"/>
        </w:rPr>
        <w:t>delegación</w:t>
      </w:r>
      <w:r w:rsidR="008A4E5A">
        <w:rPr>
          <w:rFonts w:ascii="Arial" w:eastAsia="Calibri" w:hAnsi="Arial" w:cs="Arial"/>
          <w:sz w:val="22"/>
          <w:lang w:val="es-ES_tradnl"/>
        </w:rPr>
        <w:t xml:space="preserve"> y la </w:t>
      </w:r>
      <w:r w:rsidR="008A4E5A" w:rsidRPr="008A4E5A">
        <w:rPr>
          <w:rFonts w:ascii="Arial" w:eastAsia="Calibri" w:hAnsi="Arial" w:cs="Arial"/>
          <w:i/>
          <w:iCs/>
          <w:sz w:val="22"/>
          <w:lang w:val="es-ES_tradnl"/>
        </w:rPr>
        <w:t>desconcentración</w:t>
      </w:r>
      <w:r w:rsidR="008A4E5A">
        <w:rPr>
          <w:rFonts w:ascii="Arial" w:eastAsia="Calibri" w:hAnsi="Arial" w:cs="Arial"/>
          <w:sz w:val="22"/>
          <w:lang w:val="es-ES_tradnl"/>
        </w:rPr>
        <w:t xml:space="preserve"> en materia contractual</w:t>
      </w:r>
      <w:r w:rsidR="00F63FFD" w:rsidRPr="00FF1611">
        <w:rPr>
          <w:rFonts w:ascii="Arial" w:eastAsia="Calibri" w:hAnsi="Arial" w:cs="Arial"/>
          <w:sz w:val="22"/>
        </w:rPr>
        <w:t xml:space="preserve">.    </w:t>
      </w:r>
      <w:bookmarkEnd w:id="6"/>
    </w:p>
    <w:p w14:paraId="04EFE765" w14:textId="77777777" w:rsidR="001C70DF" w:rsidRDefault="001C70DF" w:rsidP="00C40C6C">
      <w:pPr>
        <w:spacing w:line="276" w:lineRule="auto"/>
        <w:jc w:val="both"/>
        <w:rPr>
          <w:rFonts w:ascii="Arial" w:eastAsia="Calibri" w:hAnsi="Arial" w:cs="Arial"/>
          <w:b/>
          <w:bCs/>
          <w:sz w:val="22"/>
          <w:lang w:val="es-ES_tradnl"/>
        </w:rPr>
      </w:pPr>
    </w:p>
    <w:p w14:paraId="2475AAC0" w14:textId="48EB462C" w:rsidR="00C40C6C" w:rsidRPr="00FF1611" w:rsidRDefault="00C40C6C" w:rsidP="00C40C6C">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sidR="002F6493">
        <w:rPr>
          <w:rFonts w:ascii="Arial" w:eastAsia="Calibri" w:hAnsi="Arial" w:cs="Arial"/>
          <w:b/>
          <w:bCs/>
          <w:sz w:val="22"/>
          <w:lang w:val="es-ES_tradnl"/>
        </w:rPr>
        <w:t xml:space="preserve">Delegación en los contratos estatales </w:t>
      </w:r>
      <w:r w:rsidRPr="00FF1611">
        <w:rPr>
          <w:rFonts w:ascii="Arial" w:eastAsia="Calibri" w:hAnsi="Arial" w:cs="Arial"/>
          <w:b/>
          <w:bCs/>
          <w:sz w:val="22"/>
          <w:lang w:val="es-ES_tradnl"/>
        </w:rPr>
        <w:t xml:space="preserve"> </w:t>
      </w:r>
    </w:p>
    <w:p w14:paraId="51244E68" w14:textId="59B114BE" w:rsidR="00C40C6C" w:rsidRDefault="00C40C6C" w:rsidP="00C40C6C">
      <w:pPr>
        <w:jc w:val="both"/>
        <w:rPr>
          <w:rFonts w:ascii="Arial" w:eastAsia="Calibri" w:hAnsi="Arial" w:cs="Arial"/>
          <w:b/>
          <w:bCs/>
          <w:sz w:val="22"/>
          <w:lang w:val="es-ES_tradnl"/>
        </w:rPr>
      </w:pPr>
    </w:p>
    <w:p w14:paraId="0B8FD955" w14:textId="7A35B825" w:rsidR="002F6493" w:rsidRDefault="00813A2B" w:rsidP="00C40C6C">
      <w:pPr>
        <w:spacing w:before="120" w:line="276" w:lineRule="auto"/>
        <w:jc w:val="both"/>
        <w:rPr>
          <w:rFonts w:ascii="Arial" w:eastAsia="Calibri" w:hAnsi="Arial" w:cs="Arial"/>
          <w:sz w:val="22"/>
          <w:lang w:val="es-ES_tradnl"/>
        </w:rPr>
      </w:pPr>
      <w:bookmarkStart w:id="7" w:name="_Hlk35882939"/>
      <w:r>
        <w:rPr>
          <w:rFonts w:ascii="Arial" w:eastAsia="Calibri" w:hAnsi="Arial" w:cs="Arial"/>
          <w:sz w:val="22"/>
          <w:lang w:val="es-ES_tradnl"/>
        </w:rPr>
        <w:t>Los actos administrativos</w:t>
      </w:r>
      <w:r w:rsidR="006538EA">
        <w:rPr>
          <w:rFonts w:ascii="Arial" w:eastAsia="Calibri" w:hAnsi="Arial" w:cs="Arial"/>
          <w:sz w:val="22"/>
          <w:lang w:val="es-ES_tradnl"/>
        </w:rPr>
        <w:t xml:space="preserve">, como </w:t>
      </w:r>
      <w:r w:rsidRPr="00813A2B">
        <w:rPr>
          <w:rFonts w:ascii="Arial" w:eastAsia="Calibri" w:hAnsi="Arial" w:cs="Arial"/>
          <w:sz w:val="22"/>
          <w:lang w:val="es-ES_tradnl"/>
        </w:rPr>
        <w:t>declaraci</w:t>
      </w:r>
      <w:r w:rsidR="00A6407C">
        <w:rPr>
          <w:rFonts w:ascii="Arial" w:eastAsia="Calibri" w:hAnsi="Arial" w:cs="Arial"/>
          <w:sz w:val="22"/>
          <w:lang w:val="es-ES_tradnl"/>
        </w:rPr>
        <w:t>ones</w:t>
      </w:r>
      <w:r w:rsidRPr="00813A2B">
        <w:rPr>
          <w:rFonts w:ascii="Arial" w:eastAsia="Calibri" w:hAnsi="Arial" w:cs="Arial"/>
          <w:sz w:val="22"/>
          <w:lang w:val="es-ES_tradnl"/>
        </w:rPr>
        <w:t xml:space="preserve"> unilateral</w:t>
      </w:r>
      <w:r w:rsidR="00A6407C">
        <w:rPr>
          <w:rFonts w:ascii="Arial" w:eastAsia="Calibri" w:hAnsi="Arial" w:cs="Arial"/>
          <w:sz w:val="22"/>
          <w:lang w:val="es-ES_tradnl"/>
        </w:rPr>
        <w:t>es</w:t>
      </w:r>
      <w:r w:rsidRPr="00813A2B">
        <w:rPr>
          <w:rFonts w:ascii="Arial" w:eastAsia="Calibri" w:hAnsi="Arial" w:cs="Arial"/>
          <w:sz w:val="22"/>
          <w:lang w:val="es-ES_tradnl"/>
        </w:rPr>
        <w:t xml:space="preserve"> de voluntad proveniente</w:t>
      </w:r>
      <w:r w:rsidR="00A6407C">
        <w:rPr>
          <w:rFonts w:ascii="Arial" w:eastAsia="Calibri" w:hAnsi="Arial" w:cs="Arial"/>
          <w:sz w:val="22"/>
          <w:lang w:val="es-ES_tradnl"/>
        </w:rPr>
        <w:t>s</w:t>
      </w:r>
      <w:r w:rsidRPr="00813A2B">
        <w:rPr>
          <w:rFonts w:ascii="Arial" w:eastAsia="Calibri" w:hAnsi="Arial" w:cs="Arial"/>
          <w:sz w:val="22"/>
          <w:lang w:val="es-ES_tradnl"/>
        </w:rPr>
        <w:t xml:space="preserve"> de órganos estatales que ejercen función administrativa y </w:t>
      </w:r>
      <w:r>
        <w:rPr>
          <w:rFonts w:ascii="Arial" w:eastAsia="Calibri" w:hAnsi="Arial" w:cs="Arial"/>
          <w:sz w:val="22"/>
          <w:lang w:val="es-ES_tradnl"/>
        </w:rPr>
        <w:t>que produce</w:t>
      </w:r>
      <w:r w:rsidR="00A6407C">
        <w:rPr>
          <w:rFonts w:ascii="Arial" w:eastAsia="Calibri" w:hAnsi="Arial" w:cs="Arial"/>
          <w:sz w:val="22"/>
          <w:lang w:val="es-ES_tradnl"/>
        </w:rPr>
        <w:t>n</w:t>
      </w:r>
      <w:r w:rsidRPr="00813A2B">
        <w:rPr>
          <w:rFonts w:ascii="Arial" w:eastAsia="Calibri" w:hAnsi="Arial" w:cs="Arial"/>
          <w:sz w:val="22"/>
          <w:lang w:val="es-ES_tradnl"/>
        </w:rPr>
        <w:t xml:space="preserve"> efectos jurídicos</w:t>
      </w:r>
      <w:r>
        <w:rPr>
          <w:rFonts w:ascii="Arial" w:eastAsia="Calibri" w:hAnsi="Arial" w:cs="Arial"/>
          <w:sz w:val="22"/>
          <w:lang w:val="es-ES_tradnl"/>
        </w:rPr>
        <w:t xml:space="preserve">, y los contratos estatales, como acuerdos de voluntades para producir obligaciones, requieren para su validez –entre otros requisitos– que el órgano posea competencia para expedirlos </w:t>
      </w:r>
      <w:r w:rsidR="00A6407C">
        <w:rPr>
          <w:rFonts w:ascii="Arial" w:eastAsia="Calibri" w:hAnsi="Arial" w:cs="Arial"/>
          <w:sz w:val="22"/>
          <w:lang w:val="es-ES_tradnl"/>
        </w:rPr>
        <w:t>y</w:t>
      </w:r>
      <w:r>
        <w:rPr>
          <w:rFonts w:ascii="Arial" w:eastAsia="Calibri" w:hAnsi="Arial" w:cs="Arial"/>
          <w:sz w:val="22"/>
          <w:lang w:val="es-ES_tradnl"/>
        </w:rPr>
        <w:t xml:space="preserve"> suscribirlos, respectivamente. </w:t>
      </w:r>
      <w:r w:rsidR="00F04056">
        <w:rPr>
          <w:rFonts w:ascii="Arial" w:eastAsia="Calibri" w:hAnsi="Arial" w:cs="Arial"/>
          <w:sz w:val="22"/>
          <w:lang w:val="es-ES_tradnl"/>
        </w:rPr>
        <w:t>Al ser un presupuesto necesario de la actuación administrativa, la competencia es la otra cara de la capacidad, pues mientras ésta es la regla general aquella es excepcional. No en vano, el artículo 6 de la Constitución Política de 1991 dispone que «</w:t>
      </w:r>
      <w:r w:rsidR="00F04056" w:rsidRPr="00F04056">
        <w:rPr>
          <w:rFonts w:ascii="Arial" w:eastAsia="Calibri" w:hAnsi="Arial" w:cs="Arial"/>
          <w:sz w:val="22"/>
          <w:lang w:val="es-ES_tradnl"/>
        </w:rPr>
        <w:t>Los particulares sólo son responsables ante las autoridades por infringir la Constitución y las leyes. Los servidores públicos lo son por la misma causa y por omisión o extralimitación en el ejercicio de sus funciones</w:t>
      </w:r>
      <w:r w:rsidR="00F04056">
        <w:rPr>
          <w:rFonts w:ascii="Arial" w:eastAsia="Calibri" w:hAnsi="Arial" w:cs="Arial"/>
          <w:sz w:val="22"/>
          <w:lang w:val="es-ES_tradnl"/>
        </w:rPr>
        <w:t xml:space="preserve">». </w:t>
      </w:r>
    </w:p>
    <w:p w14:paraId="79E65508" w14:textId="6193CA37" w:rsidR="00F04056" w:rsidRDefault="00F04056" w:rsidP="00C40C6C">
      <w:pPr>
        <w:spacing w:before="120" w:line="276" w:lineRule="auto"/>
        <w:jc w:val="both"/>
        <w:rPr>
          <w:rFonts w:ascii="Arial" w:eastAsia="Calibri" w:hAnsi="Arial" w:cs="Arial"/>
          <w:sz w:val="22"/>
          <w:lang w:val="es-ES_tradnl"/>
        </w:rPr>
      </w:pPr>
      <w:r>
        <w:rPr>
          <w:rFonts w:ascii="Arial" w:eastAsia="Calibri" w:hAnsi="Arial" w:cs="Arial"/>
          <w:sz w:val="22"/>
          <w:lang w:val="es-ES_tradnl"/>
        </w:rPr>
        <w:tab/>
      </w:r>
      <w:r w:rsidR="001D0D0A">
        <w:rPr>
          <w:rFonts w:ascii="Arial" w:eastAsia="Calibri" w:hAnsi="Arial" w:cs="Arial"/>
          <w:sz w:val="22"/>
          <w:lang w:val="es-ES_tradnl"/>
        </w:rPr>
        <w:t>En este contexto</w:t>
      </w:r>
      <w:r>
        <w:rPr>
          <w:rFonts w:ascii="Arial" w:eastAsia="Calibri" w:hAnsi="Arial" w:cs="Arial"/>
          <w:sz w:val="22"/>
          <w:lang w:val="es-ES_tradnl"/>
        </w:rPr>
        <w:t xml:space="preserve">, el artículo </w:t>
      </w:r>
      <w:r w:rsidR="001D0D0A">
        <w:rPr>
          <w:rFonts w:ascii="Arial" w:eastAsia="Calibri" w:hAnsi="Arial" w:cs="Arial"/>
          <w:sz w:val="22"/>
          <w:lang w:val="es-ES_tradnl"/>
        </w:rPr>
        <w:t>11 de la Ley 80 de 1993 define la competencia para dirigir procesos de selección y suscribir contratos</w:t>
      </w:r>
      <w:r w:rsidR="001427E4">
        <w:rPr>
          <w:rFonts w:ascii="Arial" w:eastAsia="Calibri" w:hAnsi="Arial" w:cs="Arial"/>
          <w:sz w:val="22"/>
          <w:lang w:val="es-ES_tradnl"/>
        </w:rPr>
        <w:t xml:space="preserve">, </w:t>
      </w:r>
      <w:r w:rsidR="000B7320">
        <w:rPr>
          <w:rFonts w:ascii="Arial" w:eastAsia="Calibri" w:hAnsi="Arial" w:cs="Arial"/>
          <w:sz w:val="22"/>
          <w:lang w:val="es-ES_tradnl"/>
        </w:rPr>
        <w:t>centralizándola</w:t>
      </w:r>
      <w:r w:rsidR="001427E4">
        <w:rPr>
          <w:rFonts w:ascii="Arial" w:eastAsia="Calibri" w:hAnsi="Arial" w:cs="Arial"/>
          <w:sz w:val="22"/>
          <w:lang w:val="es-ES_tradnl"/>
        </w:rPr>
        <w:t xml:space="preserve"> en determinadas autoridades estatales</w:t>
      </w:r>
      <w:r w:rsidR="001D0D0A">
        <w:rPr>
          <w:rStyle w:val="Refdenotaalpie"/>
          <w:rFonts w:ascii="Arial" w:eastAsia="Calibri" w:hAnsi="Arial" w:cs="Arial"/>
          <w:sz w:val="22"/>
          <w:lang w:val="es-ES_tradnl"/>
        </w:rPr>
        <w:footnoteReference w:id="1"/>
      </w:r>
      <w:r w:rsidR="001D0D0A">
        <w:rPr>
          <w:rFonts w:ascii="Arial" w:eastAsia="Calibri" w:hAnsi="Arial" w:cs="Arial"/>
          <w:sz w:val="22"/>
          <w:lang w:val="es-ES_tradnl"/>
        </w:rPr>
        <w:t>.</w:t>
      </w:r>
      <w:r w:rsidR="001427E4">
        <w:rPr>
          <w:rFonts w:ascii="Arial" w:eastAsia="Calibri" w:hAnsi="Arial" w:cs="Arial"/>
          <w:sz w:val="22"/>
          <w:lang w:val="es-ES_tradnl"/>
        </w:rPr>
        <w:t xml:space="preserve"> Dado que, además </w:t>
      </w:r>
      <w:r w:rsidR="00913CF8">
        <w:rPr>
          <w:rFonts w:ascii="Arial" w:eastAsia="Calibri" w:hAnsi="Arial" w:cs="Arial"/>
          <w:sz w:val="22"/>
          <w:lang w:val="es-ES_tradnl"/>
        </w:rPr>
        <w:t>de la actividad contractual</w:t>
      </w:r>
      <w:r w:rsidR="001427E4">
        <w:rPr>
          <w:rFonts w:ascii="Arial" w:eastAsia="Calibri" w:hAnsi="Arial" w:cs="Arial"/>
          <w:sz w:val="22"/>
          <w:lang w:val="es-ES_tradnl"/>
        </w:rPr>
        <w:t xml:space="preserve">, dichos órganos cumplen </w:t>
      </w:r>
      <w:r w:rsidR="00913CF8">
        <w:rPr>
          <w:rFonts w:ascii="Arial" w:eastAsia="Calibri" w:hAnsi="Arial" w:cs="Arial"/>
          <w:sz w:val="22"/>
          <w:lang w:val="es-ES_tradnl"/>
        </w:rPr>
        <w:t xml:space="preserve">con </w:t>
      </w:r>
      <w:r w:rsidR="001427E4">
        <w:rPr>
          <w:rFonts w:ascii="Arial" w:eastAsia="Calibri" w:hAnsi="Arial" w:cs="Arial"/>
          <w:sz w:val="22"/>
          <w:lang w:val="es-ES_tradnl"/>
        </w:rPr>
        <w:t xml:space="preserve">una multiplicidad de funciones </w:t>
      </w:r>
      <w:r w:rsidR="00913CF8">
        <w:rPr>
          <w:rFonts w:ascii="Arial" w:eastAsia="Calibri" w:hAnsi="Arial" w:cs="Arial"/>
          <w:sz w:val="22"/>
          <w:lang w:val="es-ES_tradnl"/>
        </w:rPr>
        <w:t>diferentes, el ordenamiento jurídico dispone técnicas de organización administrativa que permiten el reparto de las tareas asignadas con miras a su cumplimiento eficaz y eficiente</w:t>
      </w:r>
      <w:r w:rsidR="000B7320">
        <w:rPr>
          <w:rFonts w:ascii="Arial" w:eastAsia="Calibri" w:hAnsi="Arial" w:cs="Arial"/>
          <w:sz w:val="22"/>
          <w:lang w:val="es-ES_tradnl"/>
        </w:rPr>
        <w:t xml:space="preserve">; razón por la cual, </w:t>
      </w:r>
      <w:r w:rsidR="00913CF8">
        <w:rPr>
          <w:rFonts w:ascii="Arial" w:eastAsia="Calibri" w:hAnsi="Arial" w:cs="Arial"/>
          <w:sz w:val="22"/>
          <w:lang w:val="es-ES_tradnl"/>
        </w:rPr>
        <w:t>el artículo 209 de la Constitución Política</w:t>
      </w:r>
      <w:r w:rsidR="00FE6977">
        <w:rPr>
          <w:rFonts w:ascii="Arial" w:eastAsia="Calibri" w:hAnsi="Arial" w:cs="Arial"/>
          <w:sz w:val="22"/>
          <w:lang w:val="es-ES_tradnl"/>
        </w:rPr>
        <w:t xml:space="preserve"> dispone que </w:t>
      </w:r>
      <w:r w:rsidR="000B7320">
        <w:rPr>
          <w:rFonts w:ascii="Arial" w:eastAsia="Calibri" w:hAnsi="Arial" w:cs="Arial"/>
          <w:sz w:val="22"/>
          <w:lang w:val="es-ES_tradnl"/>
        </w:rPr>
        <w:t>l</w:t>
      </w:r>
      <w:r w:rsidR="00FE6977" w:rsidRPr="00FE6977">
        <w:rPr>
          <w:rFonts w:ascii="Arial" w:eastAsia="Calibri" w:hAnsi="Arial" w:cs="Arial"/>
          <w:sz w:val="22"/>
          <w:lang w:val="es-ES_tradnl"/>
        </w:rPr>
        <w:t>a función administrativa se desarrolla</w:t>
      </w:r>
      <w:r w:rsidR="000B7320">
        <w:rPr>
          <w:rFonts w:ascii="Arial" w:eastAsia="Calibri" w:hAnsi="Arial" w:cs="Arial"/>
          <w:sz w:val="22"/>
          <w:lang w:val="es-ES_tradnl"/>
        </w:rPr>
        <w:t xml:space="preserve"> </w:t>
      </w:r>
      <w:r w:rsidR="00FE6977" w:rsidRPr="00FE6977">
        <w:rPr>
          <w:rFonts w:ascii="Arial" w:eastAsia="Calibri" w:hAnsi="Arial" w:cs="Arial"/>
          <w:sz w:val="22"/>
          <w:lang w:val="es-ES_tradnl"/>
        </w:rPr>
        <w:t>mediante la descentralización, la delegación y la desconcentración de funciones.</w:t>
      </w:r>
      <w:r w:rsidR="00913CF8">
        <w:rPr>
          <w:rFonts w:ascii="Arial" w:eastAsia="Calibri" w:hAnsi="Arial" w:cs="Arial"/>
          <w:sz w:val="22"/>
          <w:lang w:val="es-ES_tradnl"/>
        </w:rPr>
        <w:t xml:space="preserve"> </w:t>
      </w:r>
    </w:p>
    <w:p w14:paraId="17081811" w14:textId="5CC4B39B" w:rsidR="006227A6" w:rsidRDefault="00323270" w:rsidP="00323270">
      <w:pPr>
        <w:spacing w:before="120" w:line="276" w:lineRule="auto"/>
        <w:jc w:val="both"/>
        <w:rPr>
          <w:rFonts w:ascii="Arial" w:eastAsia="Calibri" w:hAnsi="Arial" w:cs="Arial"/>
          <w:sz w:val="22"/>
          <w:lang w:val="es-ES_tradnl"/>
        </w:rPr>
      </w:pPr>
      <w:r>
        <w:rPr>
          <w:rFonts w:ascii="Arial" w:eastAsia="Calibri" w:hAnsi="Arial" w:cs="Arial"/>
          <w:sz w:val="22"/>
          <w:lang w:val="es-ES_tradnl"/>
        </w:rPr>
        <w:lastRenderedPageBreak/>
        <w:tab/>
        <w:t xml:space="preserve">Por ello, </w:t>
      </w:r>
      <w:bookmarkStart w:id="8" w:name="_Hlk37183374"/>
      <w:r>
        <w:rPr>
          <w:rFonts w:ascii="Arial" w:eastAsia="Calibri" w:hAnsi="Arial" w:cs="Arial"/>
          <w:sz w:val="22"/>
          <w:lang w:val="es-ES_tradnl"/>
        </w:rPr>
        <w:t>en desarrollo del artículo 211 superior</w:t>
      </w:r>
      <w:r>
        <w:rPr>
          <w:rStyle w:val="Refdenotaalpie"/>
          <w:rFonts w:ascii="Arial" w:eastAsia="Calibri" w:hAnsi="Arial" w:cs="Arial"/>
          <w:sz w:val="22"/>
          <w:lang w:val="es-ES_tradnl"/>
        </w:rPr>
        <w:footnoteReference w:id="2"/>
      </w:r>
      <w:r>
        <w:rPr>
          <w:rFonts w:ascii="Arial" w:eastAsia="Calibri" w:hAnsi="Arial" w:cs="Arial"/>
          <w:sz w:val="22"/>
          <w:lang w:val="es-ES_tradnl"/>
        </w:rPr>
        <w:t xml:space="preserve">, el artículo 12 del Estatuto General de Contratación </w:t>
      </w:r>
      <w:r w:rsidR="0038352A">
        <w:rPr>
          <w:rFonts w:ascii="Arial" w:eastAsia="Calibri" w:hAnsi="Arial" w:cs="Arial"/>
          <w:sz w:val="22"/>
          <w:lang w:val="es-ES_tradnl"/>
        </w:rPr>
        <w:t>contiene una regla especial según la cual</w:t>
      </w:r>
      <w:r>
        <w:rPr>
          <w:rFonts w:ascii="Arial" w:eastAsia="Calibri" w:hAnsi="Arial" w:cs="Arial"/>
          <w:sz w:val="22"/>
          <w:lang w:val="es-ES_tradnl"/>
        </w:rPr>
        <w:t xml:space="preserve"> «</w:t>
      </w:r>
      <w:r w:rsidRPr="00323270">
        <w:rPr>
          <w:rFonts w:ascii="Arial" w:eastAsia="Calibri" w:hAnsi="Arial" w:cs="Arial"/>
          <w:sz w:val="22"/>
          <w:lang w:val="es-ES_tradnl"/>
        </w:rPr>
        <w:t xml:space="preserve">Los jefes y los representantes legales de las entidades estatales podrán delegar total o parcialmente la competencia para celebrar contratos y desconcentrar la realización de licitaciones o concursos en los servidores públicos que desempeñen cargos del </w:t>
      </w:r>
      <w:r w:rsidRPr="000D147F">
        <w:rPr>
          <w:rFonts w:ascii="Arial" w:eastAsia="Calibri" w:hAnsi="Arial" w:cs="Arial"/>
          <w:sz w:val="22"/>
          <w:lang w:val="es-ES_tradnl"/>
        </w:rPr>
        <w:t>nivel directivo o ejecutivo</w:t>
      </w:r>
      <w:r w:rsidRPr="00323270">
        <w:rPr>
          <w:rFonts w:ascii="Arial" w:eastAsia="Calibri" w:hAnsi="Arial" w:cs="Arial"/>
          <w:sz w:val="22"/>
          <w:lang w:val="es-ES_tradnl"/>
        </w:rPr>
        <w:t xml:space="preserve"> o en sus equivalentes</w:t>
      </w:r>
      <w:r>
        <w:rPr>
          <w:rFonts w:ascii="Arial" w:eastAsia="Calibri" w:hAnsi="Arial" w:cs="Arial"/>
          <w:sz w:val="22"/>
          <w:lang w:val="es-ES_tradnl"/>
        </w:rPr>
        <w:t>»</w:t>
      </w:r>
      <w:r w:rsidRPr="00323270">
        <w:rPr>
          <w:rFonts w:ascii="Arial" w:eastAsia="Calibri" w:hAnsi="Arial" w:cs="Arial"/>
          <w:sz w:val="22"/>
          <w:lang w:val="es-ES_tradnl"/>
        </w:rPr>
        <w:t>.</w:t>
      </w:r>
      <w:r>
        <w:rPr>
          <w:rFonts w:ascii="Arial" w:eastAsia="Calibri" w:hAnsi="Arial" w:cs="Arial"/>
          <w:sz w:val="22"/>
          <w:lang w:val="es-ES_tradnl"/>
        </w:rPr>
        <w:t xml:space="preserve"> Así las cosas, atenuando el rigor de la centralización, </w:t>
      </w:r>
      <w:r w:rsidR="00FB35FF">
        <w:rPr>
          <w:rFonts w:ascii="Arial" w:eastAsia="Calibri" w:hAnsi="Arial" w:cs="Arial"/>
          <w:sz w:val="22"/>
          <w:lang w:val="es-ES_tradnl"/>
        </w:rPr>
        <w:t>esta técnica organizacional</w:t>
      </w:r>
      <w:r>
        <w:rPr>
          <w:rFonts w:ascii="Arial" w:eastAsia="Calibri" w:hAnsi="Arial" w:cs="Arial"/>
          <w:sz w:val="22"/>
          <w:lang w:val="es-ES_tradnl"/>
        </w:rPr>
        <w:t xml:space="preserve"> implica una actuación administrativa mediante la cual </w:t>
      </w:r>
      <w:r w:rsidRPr="00323270">
        <w:rPr>
          <w:rFonts w:ascii="Arial" w:eastAsia="Calibri" w:hAnsi="Arial" w:cs="Arial"/>
          <w:sz w:val="22"/>
          <w:lang w:val="es-ES_tradnl"/>
        </w:rPr>
        <w:t xml:space="preserve">el titular de </w:t>
      </w:r>
      <w:r w:rsidR="00FB35FF">
        <w:rPr>
          <w:rFonts w:ascii="Arial" w:eastAsia="Calibri" w:hAnsi="Arial" w:cs="Arial"/>
          <w:sz w:val="22"/>
          <w:lang w:val="es-ES_tradnl"/>
        </w:rPr>
        <w:t>una función –delegante–</w:t>
      </w:r>
      <w:r w:rsidRPr="00323270">
        <w:rPr>
          <w:rFonts w:ascii="Arial" w:eastAsia="Calibri" w:hAnsi="Arial" w:cs="Arial"/>
          <w:sz w:val="22"/>
          <w:lang w:val="es-ES_tradnl"/>
        </w:rPr>
        <w:t xml:space="preserve">, previa autorización expresa </w:t>
      </w:r>
      <w:r w:rsidR="00FB35FF">
        <w:rPr>
          <w:rFonts w:ascii="Arial" w:eastAsia="Calibri" w:hAnsi="Arial" w:cs="Arial"/>
          <w:sz w:val="22"/>
          <w:lang w:val="es-ES_tradnl"/>
        </w:rPr>
        <w:t>por parte del órgano que asignó originariamente la competencia</w:t>
      </w:r>
      <w:r w:rsidRPr="00323270">
        <w:rPr>
          <w:rFonts w:ascii="Arial" w:eastAsia="Calibri" w:hAnsi="Arial" w:cs="Arial"/>
          <w:sz w:val="22"/>
          <w:lang w:val="es-ES_tradnl"/>
        </w:rPr>
        <w:t>, inviste voluntaria y formalmente</w:t>
      </w:r>
      <w:r>
        <w:rPr>
          <w:rFonts w:ascii="Arial" w:eastAsia="Calibri" w:hAnsi="Arial" w:cs="Arial"/>
          <w:sz w:val="22"/>
          <w:lang w:val="es-ES_tradnl"/>
        </w:rPr>
        <w:t xml:space="preserve"> </w:t>
      </w:r>
      <w:r w:rsidRPr="00323270">
        <w:rPr>
          <w:rFonts w:ascii="Arial" w:eastAsia="Calibri" w:hAnsi="Arial" w:cs="Arial"/>
          <w:sz w:val="22"/>
          <w:lang w:val="es-ES_tradnl"/>
        </w:rPr>
        <w:t xml:space="preserve">de autoridad </w:t>
      </w:r>
      <w:r w:rsidR="00FB35FF">
        <w:rPr>
          <w:rFonts w:ascii="Arial" w:eastAsia="Calibri" w:hAnsi="Arial" w:cs="Arial"/>
          <w:sz w:val="22"/>
          <w:lang w:val="es-ES_tradnl"/>
        </w:rPr>
        <w:t>a quien ejerce un cargo subordinado –delegatario–</w:t>
      </w:r>
      <w:r w:rsidRPr="00323270">
        <w:rPr>
          <w:rFonts w:ascii="Arial" w:eastAsia="Calibri" w:hAnsi="Arial" w:cs="Arial"/>
          <w:sz w:val="22"/>
          <w:lang w:val="es-ES_tradnl"/>
        </w:rPr>
        <w:t xml:space="preserve">, para que </w:t>
      </w:r>
      <w:r w:rsidR="00FB35FF">
        <w:rPr>
          <w:rFonts w:ascii="Arial" w:eastAsia="Calibri" w:hAnsi="Arial" w:cs="Arial"/>
          <w:sz w:val="22"/>
          <w:lang w:val="es-ES_tradnl"/>
        </w:rPr>
        <w:t>asuma una o varias de las atribuciones del primero</w:t>
      </w:r>
      <w:r w:rsidR="00AE587D">
        <w:rPr>
          <w:rStyle w:val="Refdenotaalpie"/>
          <w:rFonts w:ascii="Arial" w:eastAsia="Calibri" w:hAnsi="Arial" w:cs="Arial"/>
          <w:sz w:val="22"/>
          <w:lang w:val="es-ES_tradnl"/>
        </w:rPr>
        <w:footnoteReference w:id="3"/>
      </w:r>
      <w:r w:rsidR="00FB35FF">
        <w:rPr>
          <w:rFonts w:ascii="Arial" w:eastAsia="Calibri" w:hAnsi="Arial" w:cs="Arial"/>
          <w:sz w:val="22"/>
          <w:lang w:val="es-ES_tradnl"/>
        </w:rPr>
        <w:t>.</w:t>
      </w:r>
      <w:r w:rsidR="003C4A39">
        <w:rPr>
          <w:rFonts w:ascii="Arial" w:eastAsia="Calibri" w:hAnsi="Arial" w:cs="Arial"/>
          <w:sz w:val="22"/>
          <w:lang w:val="es-ES_tradnl"/>
        </w:rPr>
        <w:t xml:space="preserve"> </w:t>
      </w:r>
      <w:r w:rsidR="00FB35FF">
        <w:rPr>
          <w:rFonts w:ascii="Arial" w:eastAsia="Calibri" w:hAnsi="Arial" w:cs="Arial"/>
          <w:sz w:val="22"/>
          <w:lang w:val="es-ES_tradnl"/>
        </w:rPr>
        <w:t xml:space="preserve"> </w:t>
      </w:r>
    </w:p>
    <w:p w14:paraId="5B17A687" w14:textId="0221DA25" w:rsidR="00143E08" w:rsidRDefault="00143E08" w:rsidP="00323270">
      <w:pPr>
        <w:spacing w:before="120" w:line="276" w:lineRule="auto"/>
        <w:jc w:val="both"/>
        <w:rPr>
          <w:rFonts w:ascii="Arial" w:eastAsia="Calibri" w:hAnsi="Arial" w:cs="Arial"/>
          <w:sz w:val="22"/>
          <w:lang w:val="es-ES_tradnl"/>
        </w:rPr>
      </w:pPr>
      <w:r>
        <w:rPr>
          <w:rFonts w:ascii="Arial" w:eastAsia="Calibri" w:hAnsi="Arial" w:cs="Arial"/>
          <w:sz w:val="22"/>
          <w:lang w:val="es-ES_tradnl"/>
        </w:rPr>
        <w:tab/>
      </w:r>
      <w:r w:rsidR="00AC2AF3">
        <w:rPr>
          <w:rFonts w:ascii="Arial" w:eastAsia="Calibri" w:hAnsi="Arial" w:cs="Arial"/>
          <w:sz w:val="22"/>
          <w:lang w:val="es-ES_tradnl"/>
        </w:rPr>
        <w:t>Como se observa</w:t>
      </w:r>
      <w:r>
        <w:rPr>
          <w:rFonts w:ascii="Arial" w:eastAsia="Calibri" w:hAnsi="Arial" w:cs="Arial"/>
          <w:sz w:val="22"/>
          <w:lang w:val="es-ES_tradnl"/>
        </w:rPr>
        <w:t xml:space="preserve">, </w:t>
      </w:r>
      <w:r w:rsidR="00C43181">
        <w:rPr>
          <w:rFonts w:ascii="Arial" w:eastAsia="Calibri" w:hAnsi="Arial" w:cs="Arial"/>
          <w:sz w:val="22"/>
          <w:lang w:val="es-ES_tradnl"/>
        </w:rPr>
        <w:t>la facultad se limitó a la celebración de contratos, dejando dudas sobre la posibilidad de delegar la firma del acto de adjudicación</w:t>
      </w:r>
      <w:r w:rsidR="006278E6">
        <w:rPr>
          <w:rFonts w:ascii="Arial" w:eastAsia="Calibri" w:hAnsi="Arial" w:cs="Arial"/>
          <w:sz w:val="22"/>
          <w:lang w:val="es-ES_tradnl"/>
        </w:rPr>
        <w:t>; motivo por el cual, el artículo 37 del Decreto-Ley 2150 de 1995</w:t>
      </w:r>
      <w:r w:rsidR="00AC2AF3">
        <w:rPr>
          <w:rFonts w:ascii="Arial" w:eastAsia="Calibri" w:hAnsi="Arial" w:cs="Arial"/>
          <w:sz w:val="22"/>
          <w:lang w:val="es-ES_tradnl"/>
        </w:rPr>
        <w:t xml:space="preserve"> amplió </w:t>
      </w:r>
      <w:r w:rsidR="00187ED3">
        <w:rPr>
          <w:rFonts w:ascii="Arial" w:eastAsia="Calibri" w:hAnsi="Arial" w:cs="Arial"/>
          <w:sz w:val="22"/>
          <w:lang w:val="es-ES_tradnl"/>
        </w:rPr>
        <w:t xml:space="preserve">las </w:t>
      </w:r>
      <w:r w:rsidR="00AC2AF3">
        <w:rPr>
          <w:rFonts w:ascii="Arial" w:eastAsia="Calibri" w:hAnsi="Arial" w:cs="Arial"/>
          <w:sz w:val="22"/>
          <w:lang w:val="es-ES_tradnl"/>
        </w:rPr>
        <w:t>materias</w:t>
      </w:r>
      <w:r w:rsidR="00C43181">
        <w:rPr>
          <w:rFonts w:ascii="Arial" w:eastAsia="Calibri" w:hAnsi="Arial" w:cs="Arial"/>
          <w:sz w:val="22"/>
          <w:lang w:val="es-ES_tradnl"/>
        </w:rPr>
        <w:t xml:space="preserve"> delegables</w:t>
      </w:r>
      <w:r w:rsidR="00AC2AF3">
        <w:rPr>
          <w:rFonts w:ascii="Arial" w:eastAsia="Calibri" w:hAnsi="Arial" w:cs="Arial"/>
          <w:sz w:val="22"/>
          <w:lang w:val="es-ES_tradnl"/>
        </w:rPr>
        <w:t xml:space="preserve"> al disponer que «</w:t>
      </w:r>
      <w:r w:rsidR="00AC2AF3" w:rsidRPr="00AC2AF3">
        <w:rPr>
          <w:rFonts w:ascii="Arial" w:eastAsia="Calibri" w:hAnsi="Arial" w:cs="Arial"/>
          <w:sz w:val="22"/>
          <w:lang w:val="es-ES_tradnl"/>
        </w:rPr>
        <w:t>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w:t>
      </w:r>
      <w:r w:rsidR="00AC2AF3">
        <w:rPr>
          <w:rFonts w:ascii="Arial" w:eastAsia="Calibri" w:hAnsi="Arial" w:cs="Arial"/>
          <w:sz w:val="22"/>
          <w:lang w:val="es-ES_tradnl"/>
        </w:rPr>
        <w:t>»</w:t>
      </w:r>
      <w:r w:rsidR="00AC2AF3" w:rsidRPr="00AC2AF3">
        <w:rPr>
          <w:rFonts w:ascii="Arial" w:eastAsia="Calibri" w:hAnsi="Arial" w:cs="Arial"/>
          <w:sz w:val="22"/>
          <w:lang w:val="es-ES_tradnl"/>
        </w:rPr>
        <w:t>.</w:t>
      </w:r>
      <w:r w:rsidR="006278E6">
        <w:rPr>
          <w:rFonts w:ascii="Arial" w:eastAsia="Calibri" w:hAnsi="Arial" w:cs="Arial"/>
          <w:sz w:val="22"/>
          <w:lang w:val="es-ES_tradnl"/>
        </w:rPr>
        <w:t xml:space="preserve">  </w:t>
      </w:r>
      <w:r>
        <w:rPr>
          <w:rFonts w:ascii="Arial" w:eastAsia="Calibri" w:hAnsi="Arial" w:cs="Arial"/>
          <w:sz w:val="22"/>
          <w:lang w:val="es-ES_tradnl"/>
        </w:rPr>
        <w:t xml:space="preserve">  </w:t>
      </w:r>
    </w:p>
    <w:p w14:paraId="4F6CA479" w14:textId="0069036A" w:rsidR="006227A6" w:rsidRDefault="000D147F" w:rsidP="00531869">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Posteriormente, </w:t>
      </w:r>
      <w:r w:rsidR="00EA3947">
        <w:rPr>
          <w:rFonts w:ascii="Arial" w:eastAsia="Calibri" w:hAnsi="Arial" w:cs="Arial"/>
          <w:sz w:val="22"/>
          <w:lang w:val="es-ES_tradnl"/>
        </w:rPr>
        <w:t>el artículo 9 de la Ley 489 de 1998</w:t>
      </w:r>
      <w:r w:rsidR="00187ED3">
        <w:rPr>
          <w:rFonts w:ascii="Arial" w:eastAsia="Calibri" w:hAnsi="Arial" w:cs="Arial"/>
          <w:sz w:val="22"/>
          <w:lang w:val="es-ES_tradnl"/>
        </w:rPr>
        <w:t xml:space="preserve"> </w:t>
      </w:r>
      <w:r w:rsidR="00EA3947">
        <w:rPr>
          <w:rFonts w:ascii="Arial" w:eastAsia="Calibri" w:hAnsi="Arial" w:cs="Arial"/>
          <w:sz w:val="22"/>
          <w:lang w:val="es-ES_tradnl"/>
        </w:rPr>
        <w:t xml:space="preserve">permite la delegación en funcionarios </w:t>
      </w:r>
      <w:r w:rsidR="00531869">
        <w:rPr>
          <w:rFonts w:ascii="Arial" w:eastAsia="Calibri" w:hAnsi="Arial" w:cs="Arial"/>
          <w:sz w:val="22"/>
          <w:lang w:val="es-ES_tradnl"/>
        </w:rPr>
        <w:t xml:space="preserve">públicos </w:t>
      </w:r>
      <w:r w:rsidR="00EA3947">
        <w:rPr>
          <w:rFonts w:ascii="Arial" w:eastAsia="Calibri" w:hAnsi="Arial" w:cs="Arial"/>
          <w:sz w:val="22"/>
          <w:lang w:val="es-ES_tradnl"/>
        </w:rPr>
        <w:t>del nivel directivo y asesor v</w:t>
      </w:r>
      <w:r w:rsidR="00531869">
        <w:rPr>
          <w:rFonts w:ascii="Arial" w:eastAsia="Calibri" w:hAnsi="Arial" w:cs="Arial"/>
          <w:sz w:val="22"/>
          <w:lang w:val="es-ES_tradnl"/>
        </w:rPr>
        <w:t>inculados al órgano correspondiente. En todo caso</w:t>
      </w:r>
      <w:r w:rsidR="003D20C7">
        <w:rPr>
          <w:rFonts w:ascii="Arial" w:eastAsia="Calibri" w:hAnsi="Arial" w:cs="Arial"/>
          <w:sz w:val="22"/>
          <w:lang w:val="es-ES_tradnl"/>
        </w:rPr>
        <w:t>,</w:t>
      </w:r>
      <w:r w:rsidR="00531869">
        <w:rPr>
          <w:rFonts w:ascii="Arial" w:eastAsia="Calibri" w:hAnsi="Arial" w:cs="Arial"/>
          <w:sz w:val="22"/>
          <w:lang w:val="es-ES_tradnl"/>
        </w:rPr>
        <w:t xml:space="preserve"> esta última ley</w:t>
      </w:r>
      <w:r w:rsidR="003D20C7">
        <w:rPr>
          <w:rFonts w:ascii="Arial" w:eastAsia="Calibri" w:hAnsi="Arial" w:cs="Arial"/>
          <w:sz w:val="22"/>
          <w:lang w:val="es-ES_tradnl"/>
        </w:rPr>
        <w:t xml:space="preserve"> </w:t>
      </w:r>
      <w:r w:rsidR="001A3615">
        <w:rPr>
          <w:rFonts w:ascii="Arial" w:eastAsia="Calibri" w:hAnsi="Arial" w:cs="Arial"/>
          <w:sz w:val="22"/>
          <w:lang w:val="es-ES_tradnl"/>
        </w:rPr>
        <w:t>exige un acto administrativo donde se determine la</w:t>
      </w:r>
      <w:r w:rsidR="001A3615" w:rsidRPr="001A3615">
        <w:rPr>
          <w:rFonts w:ascii="Arial" w:eastAsia="Calibri" w:hAnsi="Arial" w:cs="Arial"/>
          <w:sz w:val="22"/>
          <w:lang w:val="es-ES_tradnl"/>
        </w:rPr>
        <w:t xml:space="preserve"> autoridad delegataria y las funciones específic</w:t>
      </w:r>
      <w:r w:rsidR="001A3615">
        <w:rPr>
          <w:rFonts w:ascii="Arial" w:eastAsia="Calibri" w:hAnsi="Arial" w:cs="Arial"/>
          <w:sz w:val="22"/>
          <w:lang w:val="es-ES_tradnl"/>
        </w:rPr>
        <w:t>a</w:t>
      </w:r>
      <w:r w:rsidR="001A3615" w:rsidRPr="001A3615">
        <w:rPr>
          <w:rFonts w:ascii="Arial" w:eastAsia="Calibri" w:hAnsi="Arial" w:cs="Arial"/>
          <w:sz w:val="22"/>
          <w:lang w:val="es-ES_tradnl"/>
        </w:rPr>
        <w:t xml:space="preserve">s </w:t>
      </w:r>
      <w:r w:rsidR="001A3615">
        <w:rPr>
          <w:rFonts w:ascii="Arial" w:eastAsia="Calibri" w:hAnsi="Arial" w:cs="Arial"/>
          <w:sz w:val="22"/>
          <w:lang w:val="es-ES_tradnl"/>
        </w:rPr>
        <w:t>que se</w:t>
      </w:r>
      <w:r w:rsidR="001A3615" w:rsidRPr="001A3615">
        <w:rPr>
          <w:rFonts w:ascii="Arial" w:eastAsia="Calibri" w:hAnsi="Arial" w:cs="Arial"/>
          <w:sz w:val="22"/>
          <w:lang w:val="es-ES_tradnl"/>
        </w:rPr>
        <w:t xml:space="preserve"> </w:t>
      </w:r>
      <w:r w:rsidR="001A3615">
        <w:rPr>
          <w:rFonts w:ascii="Arial" w:eastAsia="Calibri" w:hAnsi="Arial" w:cs="Arial"/>
          <w:sz w:val="22"/>
          <w:lang w:val="es-ES_tradnl"/>
        </w:rPr>
        <w:t>transfiere el delegante, sin perjuicio de que este último se informe</w:t>
      </w:r>
      <w:r w:rsidR="001A3615" w:rsidRPr="001A3615">
        <w:rPr>
          <w:rFonts w:ascii="Arial" w:eastAsia="Calibri" w:hAnsi="Arial" w:cs="Arial"/>
          <w:sz w:val="22"/>
          <w:lang w:val="es-ES_tradnl"/>
        </w:rPr>
        <w:t xml:space="preserve"> sobre el desarrollo </w:t>
      </w:r>
      <w:r w:rsidR="001A3615">
        <w:rPr>
          <w:rFonts w:ascii="Arial" w:eastAsia="Calibri" w:hAnsi="Arial" w:cs="Arial"/>
          <w:sz w:val="22"/>
          <w:lang w:val="es-ES_tradnl"/>
        </w:rPr>
        <w:t>de la delegación</w:t>
      </w:r>
      <w:r w:rsidR="001A3615" w:rsidRPr="001A3615">
        <w:rPr>
          <w:rFonts w:ascii="Arial" w:eastAsia="Calibri" w:hAnsi="Arial" w:cs="Arial"/>
          <w:sz w:val="22"/>
          <w:lang w:val="es-ES_tradnl"/>
        </w:rPr>
        <w:t xml:space="preserve"> e impart</w:t>
      </w:r>
      <w:r w:rsidR="001A3615">
        <w:rPr>
          <w:rFonts w:ascii="Arial" w:eastAsia="Calibri" w:hAnsi="Arial" w:cs="Arial"/>
          <w:sz w:val="22"/>
          <w:lang w:val="es-ES_tradnl"/>
        </w:rPr>
        <w:t>a</w:t>
      </w:r>
      <w:r w:rsidR="001A3615" w:rsidRPr="001A3615">
        <w:rPr>
          <w:rFonts w:ascii="Arial" w:eastAsia="Calibri" w:hAnsi="Arial" w:cs="Arial"/>
          <w:sz w:val="22"/>
          <w:lang w:val="es-ES_tradnl"/>
        </w:rPr>
        <w:t xml:space="preserve"> orientaciones generales </w:t>
      </w:r>
      <w:r w:rsidR="001A3615">
        <w:rPr>
          <w:rFonts w:ascii="Arial" w:eastAsia="Calibri" w:hAnsi="Arial" w:cs="Arial"/>
          <w:sz w:val="22"/>
          <w:lang w:val="es-ES_tradnl"/>
        </w:rPr>
        <w:t>para</w:t>
      </w:r>
      <w:r w:rsidR="001A3615" w:rsidRPr="001A3615">
        <w:rPr>
          <w:rFonts w:ascii="Arial" w:eastAsia="Calibri" w:hAnsi="Arial" w:cs="Arial"/>
          <w:sz w:val="22"/>
          <w:lang w:val="es-ES_tradnl"/>
        </w:rPr>
        <w:t xml:space="preserve"> el ejercicio de las funciones delegadas</w:t>
      </w:r>
      <w:r w:rsidR="001A3615">
        <w:rPr>
          <w:rFonts w:ascii="Arial" w:eastAsia="Calibri" w:hAnsi="Arial" w:cs="Arial"/>
          <w:sz w:val="22"/>
          <w:lang w:val="es-ES_tradnl"/>
        </w:rPr>
        <w:t xml:space="preserve"> –art. 10–</w:t>
      </w:r>
      <w:r w:rsidR="006278E6">
        <w:rPr>
          <w:rFonts w:ascii="Arial" w:eastAsia="Calibri" w:hAnsi="Arial" w:cs="Arial"/>
          <w:sz w:val="22"/>
          <w:lang w:val="es-ES_tradnl"/>
        </w:rPr>
        <w:t xml:space="preserve">. Además, se supedita </w:t>
      </w:r>
      <w:r w:rsidR="006227A6">
        <w:rPr>
          <w:rFonts w:ascii="Arial" w:eastAsia="Calibri" w:hAnsi="Arial" w:cs="Arial"/>
          <w:sz w:val="22"/>
          <w:lang w:val="es-ES_tradnl"/>
        </w:rPr>
        <w:t>a que no se confiera para expedir reglamentos –salvo excepciones legales–, subdelegar o transferir funciones q</w:t>
      </w:r>
      <w:r w:rsidR="006227A6" w:rsidRPr="006227A6">
        <w:rPr>
          <w:rFonts w:ascii="Arial" w:eastAsia="Calibri" w:hAnsi="Arial" w:cs="Arial"/>
          <w:sz w:val="22"/>
          <w:lang w:val="es-ES_tradnl"/>
        </w:rPr>
        <w:t xml:space="preserve">ue por su naturaleza o por mandato constitucional o legal </w:t>
      </w:r>
      <w:r w:rsidR="00EA3947">
        <w:rPr>
          <w:rFonts w:ascii="Arial" w:eastAsia="Calibri" w:hAnsi="Arial" w:cs="Arial"/>
          <w:sz w:val="22"/>
          <w:lang w:val="es-ES_tradnl"/>
        </w:rPr>
        <w:t>son indelegables</w:t>
      </w:r>
      <w:r w:rsidR="006227A6">
        <w:rPr>
          <w:rFonts w:ascii="Arial" w:eastAsia="Calibri" w:hAnsi="Arial" w:cs="Arial"/>
          <w:sz w:val="22"/>
          <w:lang w:val="es-ES_tradnl"/>
        </w:rPr>
        <w:t xml:space="preserve"> –art. 11–.</w:t>
      </w:r>
      <w:r w:rsidR="006278E6">
        <w:rPr>
          <w:rFonts w:ascii="Arial" w:eastAsia="Calibri" w:hAnsi="Arial" w:cs="Arial"/>
          <w:sz w:val="22"/>
          <w:lang w:val="es-ES_tradnl"/>
        </w:rPr>
        <w:t xml:space="preserve"> Finalmente, los actos del delegatario tienen los requisitos y recursos que los del delegante, reiterando el régimen de responsabilidad y recuperación de la competencia previsto en el artículo 211 constitucional –art. 12–. </w:t>
      </w:r>
      <w:r w:rsidR="006227A6">
        <w:rPr>
          <w:rFonts w:ascii="Arial" w:eastAsia="Calibri" w:hAnsi="Arial" w:cs="Arial"/>
          <w:sz w:val="22"/>
          <w:lang w:val="es-ES_tradnl"/>
        </w:rPr>
        <w:t xml:space="preserve"> </w:t>
      </w:r>
    </w:p>
    <w:bookmarkEnd w:id="8"/>
    <w:p w14:paraId="010927E3" w14:textId="79FAB17A" w:rsidR="00531869" w:rsidRDefault="00531869" w:rsidP="00531869">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 xml:space="preserve">Sin embargo, la delegación en materia contractual </w:t>
      </w:r>
      <w:r w:rsidR="00B84C1B">
        <w:rPr>
          <w:rFonts w:ascii="Arial" w:eastAsia="Calibri" w:hAnsi="Arial" w:cs="Arial"/>
          <w:sz w:val="22"/>
          <w:lang w:val="es-ES_tradnl"/>
        </w:rPr>
        <w:t xml:space="preserve">tuvo cambios importantes con la expedición de la Ley 1150 de 2007, adicionando un segundo inciso al artículo 12 del Estatuto General. En esta medida, dispuso </w:t>
      </w:r>
      <w:r w:rsidR="00187ED3">
        <w:rPr>
          <w:rFonts w:ascii="Arial" w:eastAsia="Calibri" w:hAnsi="Arial" w:cs="Arial"/>
          <w:sz w:val="22"/>
          <w:lang w:val="es-ES_tradnl"/>
        </w:rPr>
        <w:t>que</w:t>
      </w:r>
      <w:r w:rsidR="00B84C1B">
        <w:rPr>
          <w:rFonts w:ascii="Arial" w:eastAsia="Calibri" w:hAnsi="Arial" w:cs="Arial"/>
          <w:sz w:val="22"/>
          <w:lang w:val="es-ES_tradnl"/>
        </w:rPr>
        <w:t>: «</w:t>
      </w:r>
      <w:r w:rsidR="00B84C1B" w:rsidRPr="00B84C1B">
        <w:rPr>
          <w:rFonts w:ascii="Arial" w:eastAsia="Calibri" w:hAnsi="Arial" w:cs="Arial"/>
          <w:sz w:val="22"/>
          <w:lang w:val="es-ES_tradnl"/>
        </w:rPr>
        <w:t>En ningún caso, los jefes y representantes legales de las entidades estatales quedarán exonerados por virtud de la delegación de sus deberes de control y vigilancia de la actividad precontractual y contractual</w:t>
      </w:r>
      <w:r w:rsidR="00B84C1B">
        <w:rPr>
          <w:rFonts w:ascii="Arial" w:eastAsia="Calibri" w:hAnsi="Arial" w:cs="Arial"/>
          <w:sz w:val="22"/>
          <w:lang w:val="es-ES_tradnl"/>
        </w:rPr>
        <w:t>»</w:t>
      </w:r>
      <w:r w:rsidR="00B84C1B" w:rsidRPr="00B84C1B">
        <w:rPr>
          <w:rFonts w:ascii="Arial" w:eastAsia="Calibri" w:hAnsi="Arial" w:cs="Arial"/>
          <w:sz w:val="22"/>
          <w:lang w:val="es-ES_tradnl"/>
        </w:rPr>
        <w:t>.</w:t>
      </w:r>
      <w:r w:rsidR="00B84C1B">
        <w:rPr>
          <w:rFonts w:ascii="Arial" w:eastAsia="Calibri" w:hAnsi="Arial" w:cs="Arial"/>
          <w:sz w:val="22"/>
          <w:lang w:val="es-ES_tradnl"/>
        </w:rPr>
        <w:t xml:space="preserve"> Dicha disposición cambió el régimen de responsabilidad del delegante previsto en el precitado inciso segundo del artículo 211 superior. Por ello, la Corte Constitucional </w:t>
      </w:r>
      <w:r w:rsidR="001571FA">
        <w:rPr>
          <w:rFonts w:ascii="Arial" w:eastAsia="Calibri" w:hAnsi="Arial" w:cs="Arial"/>
          <w:sz w:val="22"/>
          <w:lang w:val="es-ES_tradnl"/>
        </w:rPr>
        <w:t>–retomando la línea jurisprudencial de la Sentencia C-</w:t>
      </w:r>
      <w:bookmarkStart w:id="9" w:name="_Hlk37168691"/>
      <w:r w:rsidR="001571FA">
        <w:rPr>
          <w:rFonts w:ascii="Arial" w:eastAsia="Calibri" w:hAnsi="Arial" w:cs="Arial"/>
          <w:sz w:val="22"/>
          <w:lang w:val="es-ES_tradnl"/>
        </w:rPr>
        <w:t>372 de 2002</w:t>
      </w:r>
      <w:bookmarkEnd w:id="9"/>
      <w:r w:rsidR="001571FA">
        <w:rPr>
          <w:rFonts w:ascii="Arial" w:eastAsia="Calibri" w:hAnsi="Arial" w:cs="Arial"/>
          <w:sz w:val="22"/>
          <w:lang w:val="es-ES_tradnl"/>
        </w:rPr>
        <w:t xml:space="preserve">– </w:t>
      </w:r>
      <w:r w:rsidR="00B84C1B">
        <w:rPr>
          <w:rFonts w:ascii="Arial" w:eastAsia="Calibri" w:hAnsi="Arial" w:cs="Arial"/>
          <w:sz w:val="22"/>
          <w:lang w:val="es-ES_tradnl"/>
        </w:rPr>
        <w:t>declaró que este inciso es condicionalmente exequible</w:t>
      </w:r>
      <w:r w:rsidR="001571FA">
        <w:rPr>
          <w:rFonts w:ascii="Arial" w:eastAsia="Calibri" w:hAnsi="Arial" w:cs="Arial"/>
          <w:sz w:val="22"/>
          <w:lang w:val="es-ES_tradnl"/>
        </w:rPr>
        <w:t>,</w:t>
      </w:r>
      <w:r w:rsidR="00B84C1B">
        <w:rPr>
          <w:rFonts w:ascii="Arial" w:eastAsia="Calibri" w:hAnsi="Arial" w:cs="Arial"/>
          <w:sz w:val="22"/>
          <w:lang w:val="es-ES_tradnl"/>
        </w:rPr>
        <w:t xml:space="preserve"> </w:t>
      </w:r>
      <w:r w:rsidR="001571FA" w:rsidRPr="001571FA">
        <w:rPr>
          <w:rFonts w:ascii="Arial" w:eastAsia="Calibri" w:hAnsi="Arial" w:cs="Arial"/>
          <w:sz w:val="22"/>
          <w:lang w:val="es-ES_tradnl"/>
        </w:rPr>
        <w:t xml:space="preserve">en el entendido </w:t>
      </w:r>
      <w:r w:rsidR="001571FA">
        <w:rPr>
          <w:rFonts w:ascii="Arial" w:eastAsia="Calibri" w:hAnsi="Arial" w:cs="Arial"/>
          <w:sz w:val="22"/>
          <w:lang w:val="es-ES_tradnl"/>
        </w:rPr>
        <w:t xml:space="preserve">que </w:t>
      </w:r>
      <w:r w:rsidR="001571FA" w:rsidRPr="001571FA">
        <w:rPr>
          <w:rFonts w:ascii="Arial" w:eastAsia="Calibri" w:hAnsi="Arial" w:cs="Arial"/>
          <w:sz w:val="22"/>
          <w:lang w:val="es-ES_tradnl"/>
        </w:rPr>
        <w:t xml:space="preserve">el delegante sólo responde </w:t>
      </w:r>
      <w:r w:rsidR="001571FA">
        <w:rPr>
          <w:rFonts w:ascii="Arial" w:eastAsia="Calibri" w:hAnsi="Arial" w:cs="Arial"/>
          <w:sz w:val="22"/>
          <w:lang w:val="es-ES_tradnl"/>
        </w:rPr>
        <w:t>por la ausencia de</w:t>
      </w:r>
      <w:r w:rsidR="001571FA" w:rsidRPr="001571FA">
        <w:rPr>
          <w:rFonts w:ascii="Arial" w:eastAsia="Calibri" w:hAnsi="Arial" w:cs="Arial"/>
          <w:sz w:val="22"/>
          <w:lang w:val="es-ES_tradnl"/>
        </w:rPr>
        <w:t xml:space="preserve"> control y vigilancia</w:t>
      </w:r>
      <w:r w:rsidR="001571FA">
        <w:rPr>
          <w:rFonts w:ascii="Arial" w:eastAsia="Calibri" w:hAnsi="Arial" w:cs="Arial"/>
          <w:sz w:val="22"/>
          <w:lang w:val="es-ES_tradnl"/>
        </w:rPr>
        <w:t xml:space="preserve"> siempre que medie </w:t>
      </w:r>
      <w:r w:rsidR="001571FA" w:rsidRPr="001571FA">
        <w:rPr>
          <w:rFonts w:ascii="Arial" w:eastAsia="Calibri" w:hAnsi="Arial" w:cs="Arial"/>
          <w:sz w:val="22"/>
          <w:lang w:val="es-ES_tradnl"/>
        </w:rPr>
        <w:t>dolo o culpa grave</w:t>
      </w:r>
      <w:r w:rsidR="001735D5">
        <w:rPr>
          <w:rStyle w:val="Refdenotaalpie"/>
          <w:rFonts w:ascii="Arial" w:eastAsia="Calibri" w:hAnsi="Arial" w:cs="Arial"/>
          <w:sz w:val="22"/>
          <w:lang w:val="es-ES_tradnl"/>
        </w:rPr>
        <w:footnoteReference w:id="4"/>
      </w:r>
      <w:r w:rsidR="001571FA" w:rsidRPr="001571FA">
        <w:rPr>
          <w:rFonts w:ascii="Arial" w:eastAsia="Calibri" w:hAnsi="Arial" w:cs="Arial"/>
          <w:sz w:val="22"/>
          <w:lang w:val="es-ES_tradnl"/>
        </w:rPr>
        <w:t>.</w:t>
      </w:r>
      <w:r w:rsidR="001571FA">
        <w:rPr>
          <w:rFonts w:ascii="Arial" w:eastAsia="Calibri" w:hAnsi="Arial" w:cs="Arial"/>
          <w:sz w:val="22"/>
          <w:lang w:val="es-ES_tradnl"/>
        </w:rPr>
        <w:t xml:space="preserve"> Lo anterior, en la medida que: </w:t>
      </w:r>
    </w:p>
    <w:p w14:paraId="58CD4397" w14:textId="55A6CC26" w:rsidR="001571FA" w:rsidRDefault="001571FA" w:rsidP="001735D5">
      <w:pPr>
        <w:spacing w:line="276" w:lineRule="auto"/>
        <w:jc w:val="both"/>
        <w:rPr>
          <w:rFonts w:ascii="Arial" w:eastAsia="Calibri" w:hAnsi="Arial" w:cs="Arial"/>
          <w:sz w:val="22"/>
          <w:lang w:val="es-ES_tradnl"/>
        </w:rPr>
      </w:pPr>
    </w:p>
    <w:p w14:paraId="7AF2B4E7" w14:textId="60AF70FE" w:rsidR="001571FA" w:rsidRPr="001735D5" w:rsidRDefault="001571FA" w:rsidP="001735D5">
      <w:pPr>
        <w:spacing w:before="120"/>
        <w:ind w:left="709" w:right="709"/>
        <w:jc w:val="both"/>
        <w:rPr>
          <w:rFonts w:ascii="Arial" w:eastAsia="Calibri" w:hAnsi="Arial" w:cs="Arial"/>
          <w:sz w:val="21"/>
          <w:szCs w:val="21"/>
          <w:lang w:val="es-ES_tradnl"/>
        </w:rPr>
      </w:pPr>
      <w:r w:rsidRPr="001735D5">
        <w:rPr>
          <w:rFonts w:ascii="Arial" w:eastAsia="Calibri" w:hAnsi="Arial"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001735D5" w:rsidRPr="001735D5">
        <w:rPr>
          <w:rStyle w:val="Refdenotaalpie"/>
          <w:rFonts w:ascii="Arial" w:eastAsia="Calibri" w:hAnsi="Arial" w:cs="Arial"/>
          <w:sz w:val="21"/>
          <w:szCs w:val="21"/>
          <w:lang w:val="es-ES_tradnl"/>
        </w:rPr>
        <w:footnoteReference w:id="5"/>
      </w:r>
      <w:r w:rsidRPr="001735D5">
        <w:rPr>
          <w:rFonts w:ascii="Arial" w:eastAsia="Calibri" w:hAnsi="Arial" w:cs="Arial"/>
          <w:sz w:val="21"/>
          <w:szCs w:val="21"/>
          <w:lang w:val="es-ES_tradnl"/>
        </w:rPr>
        <w:t xml:space="preserve">.   </w:t>
      </w:r>
    </w:p>
    <w:p w14:paraId="458EB34A" w14:textId="0E80F0C2" w:rsidR="001735D5" w:rsidRDefault="001735D5" w:rsidP="001735D5">
      <w:pPr>
        <w:spacing w:line="276" w:lineRule="auto"/>
        <w:jc w:val="both"/>
        <w:rPr>
          <w:rFonts w:ascii="Arial" w:eastAsia="Calibri" w:hAnsi="Arial" w:cs="Arial"/>
          <w:sz w:val="22"/>
          <w:lang w:val="es-ES_tradnl"/>
        </w:rPr>
      </w:pPr>
    </w:p>
    <w:p w14:paraId="53768BD5" w14:textId="2B246C9D" w:rsidR="002B4F1F" w:rsidRDefault="001735D5" w:rsidP="00524D38">
      <w:pPr>
        <w:spacing w:after="120" w:line="276" w:lineRule="auto"/>
        <w:ind w:firstLine="709"/>
        <w:jc w:val="both"/>
        <w:rPr>
          <w:rFonts w:ascii="Arial" w:eastAsia="Calibri" w:hAnsi="Arial" w:cs="Arial"/>
          <w:b/>
          <w:bCs/>
          <w:sz w:val="22"/>
          <w:lang w:val="es-ES_tradnl"/>
        </w:rPr>
      </w:pPr>
      <w:r>
        <w:rPr>
          <w:rFonts w:ascii="Arial" w:eastAsia="Calibri" w:hAnsi="Arial" w:cs="Arial"/>
          <w:sz w:val="22"/>
          <w:lang w:val="es-ES_tradnl"/>
        </w:rPr>
        <w:t>La aplicación de es</w:t>
      </w:r>
      <w:r w:rsidR="00941A51">
        <w:rPr>
          <w:rFonts w:ascii="Arial" w:eastAsia="Calibri" w:hAnsi="Arial" w:cs="Arial"/>
          <w:sz w:val="22"/>
          <w:lang w:val="es-ES_tradnl"/>
        </w:rPr>
        <w:t xml:space="preserve">te </w:t>
      </w:r>
      <w:r>
        <w:rPr>
          <w:rFonts w:ascii="Arial" w:eastAsia="Calibri" w:hAnsi="Arial" w:cs="Arial"/>
          <w:sz w:val="22"/>
          <w:lang w:val="es-ES_tradnl"/>
        </w:rPr>
        <w:t xml:space="preserve">régimen </w:t>
      </w:r>
      <w:r w:rsidR="00941A51">
        <w:rPr>
          <w:rFonts w:ascii="Arial" w:eastAsia="Calibri" w:hAnsi="Arial" w:cs="Arial"/>
          <w:sz w:val="22"/>
          <w:lang w:val="es-ES_tradnl"/>
        </w:rPr>
        <w:t xml:space="preserve">especial de </w:t>
      </w:r>
      <w:proofErr w:type="gramStart"/>
      <w:r w:rsidR="00941A51">
        <w:rPr>
          <w:rFonts w:ascii="Arial" w:eastAsia="Calibri" w:hAnsi="Arial" w:cs="Arial"/>
          <w:sz w:val="22"/>
          <w:lang w:val="es-ES_tradnl"/>
        </w:rPr>
        <w:t>responsabilidad</w:t>
      </w:r>
      <w:r>
        <w:rPr>
          <w:rFonts w:ascii="Arial" w:eastAsia="Calibri" w:hAnsi="Arial" w:cs="Arial"/>
          <w:sz w:val="22"/>
          <w:lang w:val="es-ES_tradnl"/>
        </w:rPr>
        <w:t>,</w:t>
      </w:r>
      <w:proofErr w:type="gramEnd"/>
      <w:r>
        <w:rPr>
          <w:rFonts w:ascii="Arial" w:eastAsia="Calibri" w:hAnsi="Arial" w:cs="Arial"/>
          <w:sz w:val="22"/>
          <w:lang w:val="es-ES_tradnl"/>
        </w:rPr>
        <w:t xml:space="preserve"> supone que el órgano competente para adelantar procesos de selección y celebrar contratos, por medio de un acto administrativo, asigna determinadas funciones</w:t>
      </w:r>
      <w:r w:rsidR="00941A51">
        <w:rPr>
          <w:rFonts w:ascii="Arial" w:eastAsia="Calibri" w:hAnsi="Arial" w:cs="Arial"/>
          <w:sz w:val="22"/>
          <w:lang w:val="es-ES_tradnl"/>
        </w:rPr>
        <w:t xml:space="preserve"> a los servidores </w:t>
      </w:r>
      <w:r w:rsidR="000D147F">
        <w:rPr>
          <w:rFonts w:ascii="Arial" w:eastAsia="Calibri" w:hAnsi="Arial" w:cs="Arial"/>
          <w:sz w:val="22"/>
          <w:lang w:val="es-ES_tradnl"/>
        </w:rPr>
        <w:t>autorizados</w:t>
      </w:r>
      <w:r w:rsidR="00187ED3">
        <w:rPr>
          <w:rFonts w:ascii="Arial" w:eastAsia="Calibri" w:hAnsi="Arial" w:cs="Arial"/>
          <w:sz w:val="22"/>
          <w:lang w:val="es-ES_tradnl"/>
        </w:rPr>
        <w:t xml:space="preserve"> previamente</w:t>
      </w:r>
      <w:r w:rsidR="000D147F">
        <w:rPr>
          <w:rFonts w:ascii="Arial" w:eastAsia="Calibri" w:hAnsi="Arial" w:cs="Arial"/>
          <w:sz w:val="22"/>
          <w:lang w:val="es-ES_tradnl"/>
        </w:rPr>
        <w:t xml:space="preserve"> por la ley</w:t>
      </w:r>
      <w:r w:rsidR="00941A51">
        <w:rPr>
          <w:rFonts w:ascii="Arial" w:eastAsia="Calibri" w:hAnsi="Arial" w:cs="Arial"/>
          <w:sz w:val="22"/>
          <w:lang w:val="es-ES_tradnl"/>
        </w:rPr>
        <w:t>. Mientras no se cumplan en su totalidad los presupuestos legales mencionados en el presente considerando, más allá del dolo y la cu</w:t>
      </w:r>
      <w:r w:rsidR="00A35EBA">
        <w:rPr>
          <w:rFonts w:ascii="Arial" w:eastAsia="Calibri" w:hAnsi="Arial" w:cs="Arial"/>
          <w:sz w:val="22"/>
          <w:lang w:val="es-ES_tradnl"/>
        </w:rPr>
        <w:t>l</w:t>
      </w:r>
      <w:r w:rsidR="00941A51">
        <w:rPr>
          <w:rFonts w:ascii="Arial" w:eastAsia="Calibri" w:hAnsi="Arial" w:cs="Arial"/>
          <w:sz w:val="22"/>
          <w:lang w:val="es-ES_tradnl"/>
        </w:rPr>
        <w:t xml:space="preserve">pa grave, el titular originario de la atribución responde por </w:t>
      </w:r>
      <w:r w:rsidR="000D147F">
        <w:rPr>
          <w:rFonts w:ascii="Arial" w:eastAsia="Calibri" w:hAnsi="Arial" w:cs="Arial"/>
          <w:sz w:val="22"/>
          <w:lang w:val="es-ES_tradnl"/>
        </w:rPr>
        <w:t>l</w:t>
      </w:r>
      <w:r w:rsidR="00941A51">
        <w:rPr>
          <w:rFonts w:ascii="Arial" w:eastAsia="Calibri" w:hAnsi="Arial" w:cs="Arial"/>
          <w:sz w:val="22"/>
          <w:lang w:val="es-ES_tradnl"/>
        </w:rPr>
        <w:t xml:space="preserve">as irregularidades </w:t>
      </w:r>
      <w:r w:rsidR="00143E08">
        <w:rPr>
          <w:rFonts w:ascii="Arial" w:eastAsia="Calibri" w:hAnsi="Arial" w:cs="Arial"/>
          <w:sz w:val="22"/>
          <w:lang w:val="es-ES_tradnl"/>
        </w:rPr>
        <w:t>de la actividad contractual</w:t>
      </w:r>
      <w:r w:rsidR="00941A51">
        <w:rPr>
          <w:rFonts w:ascii="Arial" w:eastAsia="Calibri" w:hAnsi="Arial" w:cs="Arial"/>
          <w:sz w:val="22"/>
          <w:lang w:val="es-ES_tradnl"/>
        </w:rPr>
        <w:t xml:space="preserve">. </w:t>
      </w:r>
      <w:bookmarkEnd w:id="7"/>
    </w:p>
    <w:p w14:paraId="6226400E" w14:textId="77777777" w:rsidR="002B4F1F" w:rsidRDefault="002B4F1F" w:rsidP="00C40C6C">
      <w:pPr>
        <w:spacing w:line="276" w:lineRule="auto"/>
        <w:jc w:val="both"/>
        <w:rPr>
          <w:rFonts w:ascii="Arial" w:eastAsia="Calibri" w:hAnsi="Arial" w:cs="Arial"/>
          <w:b/>
          <w:bCs/>
          <w:sz w:val="22"/>
          <w:lang w:val="es-ES_tradnl"/>
        </w:rPr>
      </w:pPr>
    </w:p>
    <w:p w14:paraId="6794C8B3" w14:textId="1D3DCD3D" w:rsidR="00C40C6C" w:rsidRPr="00A35EBA" w:rsidRDefault="00C40C6C" w:rsidP="00C40C6C">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bookmarkStart w:id="10" w:name="_Hlk35869057"/>
      <w:r w:rsidR="00A35EBA">
        <w:rPr>
          <w:rFonts w:ascii="Arial" w:eastAsia="Calibri" w:hAnsi="Arial" w:cs="Arial"/>
          <w:b/>
          <w:bCs/>
          <w:sz w:val="22"/>
          <w:lang w:val="es-ES_tradnl"/>
        </w:rPr>
        <w:t>Desconcentración de la actividad contractual</w:t>
      </w:r>
    </w:p>
    <w:bookmarkEnd w:id="10"/>
    <w:p w14:paraId="51E4583D" w14:textId="77777777" w:rsidR="00C40C6C" w:rsidRPr="00FF1611" w:rsidRDefault="00C40C6C" w:rsidP="00C40C6C">
      <w:pPr>
        <w:spacing w:line="276" w:lineRule="auto"/>
        <w:jc w:val="both"/>
        <w:rPr>
          <w:rFonts w:ascii="Arial" w:eastAsia="Calibri" w:hAnsi="Arial" w:cs="Arial"/>
          <w:sz w:val="22"/>
          <w:lang w:val="es-ES_tradnl"/>
        </w:rPr>
      </w:pPr>
    </w:p>
    <w:p w14:paraId="3A8A4D6D" w14:textId="77777777" w:rsidR="00B24038" w:rsidRDefault="00A35EBA" w:rsidP="00740B8C">
      <w:pPr>
        <w:spacing w:before="120" w:line="276" w:lineRule="auto"/>
        <w:jc w:val="both"/>
        <w:rPr>
          <w:rFonts w:ascii="Arial" w:eastAsia="Calibri" w:hAnsi="Arial" w:cs="Arial"/>
          <w:sz w:val="22"/>
          <w:lang w:val="es-ES_tradnl"/>
        </w:rPr>
      </w:pPr>
      <w:bookmarkStart w:id="11" w:name="_Hlk37183512"/>
      <w:bookmarkStart w:id="12" w:name="_Hlk35876968"/>
      <w:r>
        <w:rPr>
          <w:rFonts w:ascii="Arial" w:eastAsia="Calibri" w:hAnsi="Arial" w:cs="Arial"/>
          <w:sz w:val="22"/>
          <w:lang w:val="es-ES_tradnl"/>
        </w:rPr>
        <w:t xml:space="preserve">Al igual que la delegación, el artículo 209 de la Constitución Política de 1991 autoriza la desconcentración como técnica </w:t>
      </w:r>
      <w:r w:rsidR="00187ED3">
        <w:rPr>
          <w:rFonts w:ascii="Arial" w:eastAsia="Calibri" w:hAnsi="Arial" w:cs="Arial"/>
          <w:sz w:val="22"/>
          <w:lang w:val="es-ES_tradnl"/>
        </w:rPr>
        <w:t>organizacional</w:t>
      </w:r>
      <w:r>
        <w:rPr>
          <w:rFonts w:ascii="Arial" w:eastAsia="Calibri" w:hAnsi="Arial" w:cs="Arial"/>
          <w:sz w:val="22"/>
          <w:lang w:val="es-ES_tradnl"/>
        </w:rPr>
        <w:t xml:space="preserve"> que atempera el rigor de la centralización</w:t>
      </w:r>
      <w:r w:rsidR="00187ED3">
        <w:rPr>
          <w:rFonts w:ascii="Arial" w:eastAsia="Calibri" w:hAnsi="Arial" w:cs="Arial"/>
          <w:sz w:val="22"/>
          <w:lang w:val="es-ES_tradnl"/>
        </w:rPr>
        <w:t xml:space="preserve">. Prevista en inciso primero del artículo 12 de la Ley 80 de 1993, permite que </w:t>
      </w:r>
      <w:r w:rsidR="00187ED3" w:rsidRPr="00187ED3">
        <w:rPr>
          <w:rFonts w:ascii="Arial" w:eastAsia="Calibri" w:hAnsi="Arial" w:cs="Arial"/>
          <w:sz w:val="22"/>
          <w:lang w:val="es-ES_tradnl"/>
        </w:rPr>
        <w:t xml:space="preserve">los representantes legales de las entidades estatales </w:t>
      </w:r>
      <w:r w:rsidR="00187ED3">
        <w:rPr>
          <w:rFonts w:ascii="Arial" w:eastAsia="Calibri" w:hAnsi="Arial" w:cs="Arial"/>
          <w:sz w:val="22"/>
          <w:lang w:val="es-ES_tradnl"/>
        </w:rPr>
        <w:t>desconcentren</w:t>
      </w:r>
      <w:r w:rsidR="00F42363">
        <w:rPr>
          <w:rFonts w:ascii="Arial" w:eastAsia="Calibri" w:hAnsi="Arial" w:cs="Arial"/>
          <w:sz w:val="22"/>
          <w:lang w:val="es-ES_tradnl"/>
        </w:rPr>
        <w:t xml:space="preserve"> el trámite</w:t>
      </w:r>
      <w:r w:rsidR="00187ED3" w:rsidRPr="00187ED3">
        <w:rPr>
          <w:rFonts w:ascii="Arial" w:eastAsia="Calibri" w:hAnsi="Arial" w:cs="Arial"/>
          <w:sz w:val="22"/>
          <w:lang w:val="es-ES_tradnl"/>
        </w:rPr>
        <w:t xml:space="preserve"> </w:t>
      </w:r>
      <w:r w:rsidR="00F42363">
        <w:rPr>
          <w:rFonts w:ascii="Arial" w:eastAsia="Calibri" w:hAnsi="Arial" w:cs="Arial"/>
          <w:sz w:val="22"/>
          <w:lang w:val="es-ES_tradnl"/>
        </w:rPr>
        <w:t xml:space="preserve">de los procesos </w:t>
      </w:r>
      <w:r w:rsidR="00F42363">
        <w:rPr>
          <w:rFonts w:ascii="Arial" w:eastAsia="Calibri" w:hAnsi="Arial" w:cs="Arial"/>
          <w:sz w:val="22"/>
          <w:lang w:val="es-ES_tradnl"/>
        </w:rPr>
        <w:lastRenderedPageBreak/>
        <w:t>de selección</w:t>
      </w:r>
      <w:r w:rsidR="00484C8D">
        <w:rPr>
          <w:rFonts w:ascii="Arial" w:eastAsia="Calibri" w:hAnsi="Arial" w:cs="Arial"/>
          <w:sz w:val="22"/>
          <w:lang w:val="es-ES_tradnl"/>
        </w:rPr>
        <w:t xml:space="preserve"> en los funcionarios que, dentro de la entidad, ostenten cargos directivos o ejecutivos.</w:t>
      </w:r>
      <w:r w:rsidR="00740B8C">
        <w:rPr>
          <w:rFonts w:ascii="Arial" w:eastAsia="Calibri" w:hAnsi="Arial" w:cs="Arial"/>
          <w:sz w:val="22"/>
          <w:lang w:val="es-ES_tradnl"/>
        </w:rPr>
        <w:t xml:space="preserve"> </w:t>
      </w:r>
    </w:p>
    <w:p w14:paraId="12403B85" w14:textId="13CE6A7E" w:rsidR="002B6620" w:rsidRDefault="00740B8C" w:rsidP="002B662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Para estos efectos, la doctrina la define como «[…] </w:t>
      </w:r>
      <w:r w:rsidRPr="00740B8C">
        <w:rPr>
          <w:rFonts w:ascii="Arial" w:eastAsia="Calibri" w:hAnsi="Arial" w:cs="Arial"/>
          <w:sz w:val="22"/>
          <w:lang w:val="es-ES_tradnl"/>
        </w:rPr>
        <w:t>el proceso a través del cual las</w:t>
      </w:r>
      <w:r>
        <w:rPr>
          <w:rFonts w:ascii="Arial" w:eastAsia="Calibri" w:hAnsi="Arial" w:cs="Arial"/>
          <w:sz w:val="22"/>
          <w:lang w:val="es-ES_tradnl"/>
        </w:rPr>
        <w:t xml:space="preserve"> </w:t>
      </w:r>
      <w:r w:rsidRPr="00740B8C">
        <w:rPr>
          <w:rFonts w:ascii="Arial" w:eastAsia="Calibri" w:hAnsi="Arial" w:cs="Arial"/>
          <w:sz w:val="22"/>
          <w:lang w:val="es-ES_tradnl"/>
        </w:rPr>
        <w:t>funciones de una entidad u organismo son distribuidas en diferentes áreas;</w:t>
      </w:r>
      <w:r>
        <w:rPr>
          <w:rFonts w:ascii="Arial" w:eastAsia="Calibri" w:hAnsi="Arial" w:cs="Arial"/>
          <w:sz w:val="22"/>
          <w:lang w:val="es-ES_tradnl"/>
        </w:rPr>
        <w:t xml:space="preserve"> </w:t>
      </w:r>
      <w:r w:rsidRPr="00740B8C">
        <w:rPr>
          <w:rFonts w:ascii="Arial" w:eastAsia="Calibri" w:hAnsi="Arial" w:cs="Arial"/>
          <w:sz w:val="22"/>
          <w:lang w:val="es-ES_tradnl"/>
        </w:rPr>
        <w:t>funcionales o unidades territoriales, las cuales cuentan generalmente con una</w:t>
      </w:r>
      <w:r>
        <w:rPr>
          <w:rFonts w:ascii="Arial" w:eastAsia="Calibri" w:hAnsi="Arial" w:cs="Arial"/>
          <w:sz w:val="22"/>
          <w:lang w:val="es-ES_tradnl"/>
        </w:rPr>
        <w:t xml:space="preserve"> </w:t>
      </w:r>
      <w:r w:rsidRPr="00740B8C">
        <w:rPr>
          <w:rFonts w:ascii="Arial" w:eastAsia="Calibri" w:hAnsi="Arial" w:cs="Arial"/>
          <w:sz w:val="22"/>
          <w:lang w:val="es-ES_tradnl"/>
        </w:rPr>
        <w:t xml:space="preserve">estructura administrativa, y cuyo fin último es, al igual que la descentralización y la delegación, garantizar los fines esenciales </w:t>
      </w:r>
      <w:r>
        <w:rPr>
          <w:rFonts w:ascii="Arial" w:eastAsia="Calibri" w:hAnsi="Arial" w:cs="Arial"/>
          <w:sz w:val="22"/>
          <w:lang w:val="es-ES_tradnl"/>
        </w:rPr>
        <w:t>d</w:t>
      </w:r>
      <w:r w:rsidRPr="00740B8C">
        <w:rPr>
          <w:rFonts w:ascii="Arial" w:eastAsia="Calibri" w:hAnsi="Arial" w:cs="Arial"/>
          <w:sz w:val="22"/>
          <w:lang w:val="es-ES_tradnl"/>
        </w:rPr>
        <w:t>el Estado</w:t>
      </w:r>
      <w:r>
        <w:rPr>
          <w:rFonts w:ascii="Arial" w:eastAsia="Calibri" w:hAnsi="Arial" w:cs="Arial"/>
          <w:sz w:val="22"/>
          <w:lang w:val="es-ES_tradnl"/>
        </w:rPr>
        <w:t>»</w:t>
      </w:r>
      <w:r>
        <w:rPr>
          <w:rStyle w:val="Refdenotaalpie"/>
          <w:rFonts w:ascii="Arial" w:eastAsia="Calibri" w:hAnsi="Arial" w:cs="Arial"/>
          <w:sz w:val="22"/>
          <w:lang w:val="es-ES_tradnl"/>
        </w:rPr>
        <w:footnoteReference w:id="6"/>
      </w:r>
      <w:r>
        <w:rPr>
          <w:rFonts w:ascii="Arial" w:eastAsia="Calibri" w:hAnsi="Arial" w:cs="Arial"/>
          <w:sz w:val="22"/>
          <w:lang w:val="es-ES_tradnl"/>
        </w:rPr>
        <w:t>.</w:t>
      </w:r>
      <w:r w:rsidR="00B24038">
        <w:rPr>
          <w:rFonts w:ascii="Arial" w:eastAsia="Calibri" w:hAnsi="Arial" w:cs="Arial"/>
          <w:sz w:val="22"/>
          <w:lang w:val="es-ES_tradnl"/>
        </w:rPr>
        <w:t xml:space="preserve"> </w:t>
      </w:r>
      <w:r w:rsidR="002B6620">
        <w:rPr>
          <w:rFonts w:ascii="Arial" w:eastAsia="Calibri" w:hAnsi="Arial" w:cs="Arial"/>
          <w:sz w:val="22"/>
          <w:lang w:val="es-ES_tradnl"/>
        </w:rPr>
        <w:t>En otras palabras, s</w:t>
      </w:r>
      <w:r w:rsidR="00B24038">
        <w:rPr>
          <w:rFonts w:ascii="Arial" w:eastAsia="Calibri" w:hAnsi="Arial" w:cs="Arial"/>
          <w:sz w:val="22"/>
          <w:lang w:val="es-ES_tradnl"/>
        </w:rPr>
        <w:t>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bookmarkEnd w:id="11"/>
      <w:r w:rsidR="00524D38">
        <w:rPr>
          <w:rStyle w:val="Refdenotaalpie"/>
          <w:rFonts w:ascii="Arial" w:eastAsia="Calibri" w:hAnsi="Arial" w:cs="Arial"/>
          <w:sz w:val="22"/>
          <w:lang w:val="es-ES_tradnl"/>
        </w:rPr>
        <w:footnoteReference w:id="7"/>
      </w:r>
      <w:r w:rsidR="00B24038">
        <w:rPr>
          <w:rFonts w:ascii="Arial" w:eastAsia="Calibri" w:hAnsi="Arial" w:cs="Arial"/>
          <w:sz w:val="22"/>
          <w:lang w:val="es-ES_tradnl"/>
        </w:rPr>
        <w:t xml:space="preserve">. </w:t>
      </w:r>
      <w:r w:rsidR="002B6620">
        <w:rPr>
          <w:rFonts w:ascii="Arial" w:eastAsia="Calibri" w:hAnsi="Arial" w:cs="Arial"/>
          <w:sz w:val="22"/>
          <w:lang w:val="es-ES_tradnl"/>
        </w:rPr>
        <w:t>Por ello</w:t>
      </w:r>
      <w:r w:rsidR="00B24038">
        <w:rPr>
          <w:rFonts w:ascii="Arial" w:eastAsia="Calibri" w:hAnsi="Arial" w:cs="Arial"/>
          <w:sz w:val="22"/>
          <w:lang w:val="es-ES_tradnl"/>
        </w:rPr>
        <w:t xml:space="preserve">, el artículo 8 de la Ley 489 de 1998 </w:t>
      </w:r>
      <w:r w:rsidR="002B6620">
        <w:rPr>
          <w:rFonts w:ascii="Arial" w:eastAsia="Calibri" w:hAnsi="Arial" w:cs="Arial"/>
          <w:sz w:val="22"/>
          <w:lang w:val="es-ES_tradnl"/>
        </w:rPr>
        <w:t>dispone lo siguiente:</w:t>
      </w:r>
    </w:p>
    <w:p w14:paraId="0F576CA1" w14:textId="27EF234C" w:rsidR="002B6620" w:rsidRDefault="002B6620" w:rsidP="002B4F1F">
      <w:pPr>
        <w:spacing w:line="276" w:lineRule="auto"/>
        <w:jc w:val="both"/>
        <w:rPr>
          <w:rFonts w:ascii="Arial" w:eastAsia="Calibri" w:hAnsi="Arial" w:cs="Arial"/>
          <w:sz w:val="22"/>
          <w:lang w:val="es-ES_tradnl"/>
        </w:rPr>
      </w:pPr>
    </w:p>
    <w:p w14:paraId="0C1A4621" w14:textId="77777777" w:rsidR="002B6620" w:rsidRPr="002B6620" w:rsidRDefault="002B6620" w:rsidP="002B6620">
      <w:pPr>
        <w:spacing w:before="120"/>
        <w:ind w:left="709" w:right="709"/>
        <w:jc w:val="both"/>
        <w:rPr>
          <w:rFonts w:ascii="Arial" w:eastAsia="Calibri" w:hAnsi="Arial" w:cs="Arial"/>
          <w:sz w:val="21"/>
          <w:szCs w:val="21"/>
          <w:lang w:val="es-ES_tradnl"/>
        </w:rPr>
      </w:pPr>
      <w:r w:rsidRPr="002B6620">
        <w:rPr>
          <w:rFonts w:ascii="Arial" w:eastAsia="Calibri" w:hAnsi="Arial" w:cs="Arial"/>
          <w:sz w:val="21"/>
          <w:szCs w:val="21"/>
          <w:lang w:val="es-ES_tradnl"/>
        </w:rPr>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p w14:paraId="6E611F06" w14:textId="2E87B99F" w:rsidR="002B6620" w:rsidRPr="002B6620" w:rsidRDefault="002B6620" w:rsidP="002B6620">
      <w:pPr>
        <w:spacing w:before="120"/>
        <w:ind w:left="709" w:right="709"/>
        <w:jc w:val="both"/>
        <w:rPr>
          <w:rFonts w:ascii="Arial" w:eastAsia="Calibri" w:hAnsi="Arial" w:cs="Arial"/>
          <w:sz w:val="21"/>
          <w:szCs w:val="21"/>
          <w:lang w:val="es-ES_tradnl"/>
        </w:rPr>
      </w:pPr>
      <w:r w:rsidRPr="002B6620">
        <w:rPr>
          <w:rFonts w:ascii="Arial" w:eastAsia="Calibri" w:hAnsi="Arial" w:cs="Arial"/>
          <w:sz w:val="21"/>
          <w:szCs w:val="21"/>
          <w:lang w:val="es-ES_tradnl"/>
        </w:rPr>
        <w:t>Parágrafo. En el acto correspondiente se determinarán los medios necesarios para su adecuado cumplimiento.</w:t>
      </w:r>
    </w:p>
    <w:p w14:paraId="1C29E70A" w14:textId="27E8D27E" w:rsidR="002B6620" w:rsidRPr="002B6620" w:rsidRDefault="002B6620" w:rsidP="002B6620">
      <w:pPr>
        <w:spacing w:before="120"/>
        <w:ind w:left="709" w:right="709"/>
        <w:jc w:val="both"/>
        <w:rPr>
          <w:rFonts w:ascii="Arial" w:eastAsia="Calibri" w:hAnsi="Arial" w:cs="Arial"/>
          <w:sz w:val="21"/>
          <w:szCs w:val="21"/>
          <w:lang w:val="es-ES_tradnl"/>
        </w:rPr>
      </w:pPr>
      <w:r w:rsidRPr="002B6620">
        <w:rPr>
          <w:rFonts w:ascii="Arial" w:eastAsia="Calibri" w:hAnsi="Arial" w:cs="Arial"/>
          <w:sz w:val="21"/>
          <w:szCs w:val="21"/>
          <w:lang w:val="es-ES_tradnl"/>
        </w:rPr>
        <w:t>Los actos cumplidos por las autoridades en virtud de desconcentración administrativa sólo serán susceptibles del recurso de reposición en los términos establecidos en las normas pertinentes.</w:t>
      </w:r>
    </w:p>
    <w:p w14:paraId="29DFFB6D" w14:textId="10BD3B4C" w:rsidR="002B6620" w:rsidRDefault="002B6620" w:rsidP="002B4F1F">
      <w:pPr>
        <w:spacing w:line="276" w:lineRule="auto"/>
        <w:jc w:val="both"/>
        <w:rPr>
          <w:rFonts w:ascii="Arial" w:eastAsia="Calibri" w:hAnsi="Arial" w:cs="Arial"/>
          <w:sz w:val="22"/>
          <w:lang w:val="es-ES_tradnl"/>
        </w:rPr>
      </w:pPr>
    </w:p>
    <w:p w14:paraId="0C582662" w14:textId="18C84964" w:rsidR="00C40C6C" w:rsidRDefault="002B6620" w:rsidP="001C70DF">
      <w:pPr>
        <w:spacing w:before="120" w:line="276" w:lineRule="auto"/>
        <w:ind w:firstLine="708"/>
        <w:jc w:val="both"/>
        <w:rPr>
          <w:rFonts w:ascii="Arial" w:eastAsia="Calibri" w:hAnsi="Arial" w:cs="Arial"/>
          <w:sz w:val="22"/>
          <w:lang w:val="es-ES_tradnl"/>
        </w:rPr>
      </w:pPr>
      <w:bookmarkStart w:id="13" w:name="_Hlk37183560"/>
      <w:r>
        <w:rPr>
          <w:rFonts w:ascii="Arial" w:eastAsia="Calibri" w:hAnsi="Arial" w:cs="Arial"/>
          <w:sz w:val="22"/>
          <w:lang w:val="es-ES_tradnl"/>
        </w:rPr>
        <w:t>Con una orientación similar, el parágrafo del artículo 12 del Estatuto General –adicionado por el artículo 21 de la Ley 1150</w:t>
      </w:r>
      <w:r w:rsidR="002B4F1F">
        <w:rPr>
          <w:rFonts w:ascii="Arial" w:eastAsia="Calibri" w:hAnsi="Arial" w:cs="Arial"/>
          <w:sz w:val="22"/>
          <w:lang w:val="es-ES_tradnl"/>
        </w:rPr>
        <w:t xml:space="preserve"> de 2007</w:t>
      </w:r>
      <w:r>
        <w:rPr>
          <w:rFonts w:ascii="Arial" w:eastAsia="Calibri" w:hAnsi="Arial" w:cs="Arial"/>
          <w:sz w:val="22"/>
          <w:lang w:val="es-ES_tradnl"/>
        </w:rPr>
        <w:t xml:space="preserve">– </w:t>
      </w:r>
      <w:r w:rsidR="002B4F1F">
        <w:rPr>
          <w:rFonts w:ascii="Arial" w:eastAsia="Calibri" w:hAnsi="Arial" w:cs="Arial"/>
          <w:sz w:val="22"/>
          <w:lang w:val="es-ES_tradnl"/>
        </w:rPr>
        <w:t xml:space="preserve">dispone que «[…] </w:t>
      </w:r>
      <w:r w:rsidR="002B4F1F" w:rsidRPr="002B4F1F">
        <w:rPr>
          <w:rFonts w:ascii="Arial" w:eastAsia="Calibri" w:hAnsi="Arial" w:cs="Arial"/>
          <w:sz w:val="22"/>
          <w:lang w:val="es-ES_tradnl"/>
        </w:rPr>
        <w:t>se entiende por desconcentración la distribución adecuada del trabajo que realiza el jefe o representante legal de la entidad, sin que ello implique autonomía administrativa en su ejercicio</w:t>
      </w:r>
      <w:r w:rsidR="002B4F1F">
        <w:rPr>
          <w:rFonts w:ascii="Arial" w:eastAsia="Calibri" w:hAnsi="Arial" w:cs="Arial"/>
          <w:sz w:val="22"/>
          <w:lang w:val="es-ES_tradnl"/>
        </w:rPr>
        <w:t xml:space="preserve"> […]»</w:t>
      </w:r>
      <w:r w:rsidR="002B4F1F" w:rsidRPr="002B4F1F">
        <w:rPr>
          <w:rFonts w:ascii="Arial" w:eastAsia="Calibri" w:hAnsi="Arial" w:cs="Arial"/>
          <w:sz w:val="22"/>
          <w:lang w:val="es-ES_tradnl"/>
        </w:rPr>
        <w:t>.</w:t>
      </w:r>
      <w:r w:rsidR="002B4F1F">
        <w:rPr>
          <w:rFonts w:ascii="Arial" w:eastAsia="Calibri" w:hAnsi="Arial" w:cs="Arial"/>
          <w:sz w:val="22"/>
          <w:lang w:val="es-ES_tradnl"/>
        </w:rPr>
        <w:t xml:space="preserve"> </w:t>
      </w:r>
      <w:r w:rsidR="00E9667F">
        <w:rPr>
          <w:rFonts w:ascii="Arial" w:eastAsia="Calibri" w:hAnsi="Arial" w:cs="Arial"/>
          <w:sz w:val="22"/>
          <w:lang w:val="es-ES_tradnl"/>
        </w:rPr>
        <w:t>E</w:t>
      </w:r>
      <w:r w:rsidR="002B4F1F">
        <w:rPr>
          <w:rFonts w:ascii="Arial" w:eastAsia="Calibri" w:hAnsi="Arial" w:cs="Arial"/>
          <w:sz w:val="22"/>
          <w:lang w:val="es-ES_tradnl"/>
        </w:rPr>
        <w:t xml:space="preserve">ste artículo introduce un cambio relevante en la materia, pues –a diferencia del inciso final del artículo 8 de la Ley 489 de 1998– agrega que contra los actos no procede el recurso de </w:t>
      </w:r>
      <w:r w:rsidR="002B4F1F">
        <w:rPr>
          <w:rFonts w:ascii="Arial" w:eastAsia="Calibri" w:hAnsi="Arial" w:cs="Arial"/>
          <w:sz w:val="22"/>
          <w:lang w:val="es-ES_tradnl"/>
        </w:rPr>
        <w:lastRenderedPageBreak/>
        <w:t>reposición</w:t>
      </w:r>
      <w:r w:rsidR="00524D38">
        <w:rPr>
          <w:rFonts w:ascii="Arial" w:eastAsia="Calibri" w:hAnsi="Arial" w:cs="Arial"/>
          <w:sz w:val="22"/>
          <w:lang w:val="es-ES_tradnl"/>
        </w:rPr>
        <w:t>, expresión declarada exequible mediante la Sentencia de la Corte Constitucional C-259 de 2008 con ponencia del Magistrado Jaime Córdoba Triviño</w:t>
      </w:r>
      <w:r w:rsidR="002B4F1F">
        <w:rPr>
          <w:rFonts w:ascii="Arial" w:eastAsia="Calibri" w:hAnsi="Arial" w:cs="Arial"/>
          <w:sz w:val="22"/>
          <w:lang w:val="es-ES_tradnl"/>
        </w:rPr>
        <w:t xml:space="preserve">. </w:t>
      </w:r>
      <w:bookmarkEnd w:id="12"/>
    </w:p>
    <w:bookmarkEnd w:id="13"/>
    <w:p w14:paraId="22B3CC8E" w14:textId="36854513" w:rsidR="00C40C6C" w:rsidRDefault="00BB2E7C" w:rsidP="00C40C6C">
      <w:pPr>
        <w:spacing w:before="120" w:line="276" w:lineRule="auto"/>
        <w:ind w:firstLine="708"/>
        <w:jc w:val="both"/>
        <w:rPr>
          <w:rFonts w:ascii="Arial" w:eastAsia="Calibri" w:hAnsi="Arial" w:cs="Arial"/>
          <w:sz w:val="22"/>
          <w:lang w:val="es-ES_tradnl"/>
        </w:rPr>
      </w:pPr>
      <w:r w:rsidRPr="00BB2E7C">
        <w:rPr>
          <w:rFonts w:ascii="Arial" w:eastAsia="Calibri" w:hAnsi="Arial" w:cs="Arial"/>
          <w:sz w:val="22"/>
          <w:lang w:val="es-ES_tradnl"/>
        </w:rPr>
        <w:t>Con fundamento en las anteriores consideraciones se contesta la inquietud formulada.</w:t>
      </w:r>
    </w:p>
    <w:p w14:paraId="31B7CD1C" w14:textId="77777777" w:rsidR="00BB2E7C" w:rsidRPr="00FF1611" w:rsidRDefault="00BB2E7C" w:rsidP="00C40C6C">
      <w:pPr>
        <w:spacing w:before="120" w:line="276" w:lineRule="auto"/>
        <w:ind w:firstLine="708"/>
        <w:jc w:val="both"/>
        <w:rPr>
          <w:rFonts w:ascii="Arial" w:eastAsia="Calibri" w:hAnsi="Arial" w:cs="Arial"/>
          <w:sz w:val="22"/>
          <w:lang w:val="es-ES_tradnl"/>
        </w:rPr>
      </w:pPr>
    </w:p>
    <w:p w14:paraId="66BB1BEE" w14:textId="77777777" w:rsidR="00C40C6C" w:rsidRPr="00FF1611" w:rsidRDefault="00C40C6C" w:rsidP="00C40C6C">
      <w:pPr>
        <w:pStyle w:val="Prrafodelista"/>
        <w:tabs>
          <w:tab w:val="left" w:pos="284"/>
        </w:tabs>
        <w:spacing w:line="276" w:lineRule="auto"/>
        <w:ind w:left="0"/>
        <w:jc w:val="both"/>
        <w:rPr>
          <w:rFonts w:ascii="Arial" w:eastAsia="Calibri" w:hAnsi="Arial" w:cs="Arial"/>
          <w:b/>
          <w:sz w:val="22"/>
        </w:rPr>
      </w:pPr>
      <w:r w:rsidRPr="00FF1611">
        <w:rPr>
          <w:rFonts w:ascii="Arial" w:eastAsia="Calibri" w:hAnsi="Arial" w:cs="Arial"/>
          <w:b/>
          <w:sz w:val="22"/>
        </w:rPr>
        <w:t>3. Respuesta</w:t>
      </w:r>
    </w:p>
    <w:p w14:paraId="1A698C18" w14:textId="71970C39" w:rsidR="00C40C6C" w:rsidRDefault="00C40C6C" w:rsidP="00C40C6C">
      <w:pPr>
        <w:spacing w:line="276" w:lineRule="auto"/>
        <w:jc w:val="both"/>
        <w:rPr>
          <w:rFonts w:ascii="Arial" w:eastAsia="Calibri" w:hAnsi="Arial" w:cs="Arial"/>
          <w:sz w:val="22"/>
          <w:lang w:val="es-ES_tradnl"/>
        </w:rPr>
      </w:pPr>
    </w:p>
    <w:p w14:paraId="37A915B5" w14:textId="77777777" w:rsidR="00BB2E7C" w:rsidRDefault="000714B0" w:rsidP="00BB2E7C">
      <w:pPr>
        <w:spacing w:after="120" w:line="276" w:lineRule="auto"/>
        <w:jc w:val="both"/>
        <w:rPr>
          <w:rFonts w:ascii="Arial" w:eastAsia="Calibri" w:hAnsi="Arial" w:cs="Arial"/>
          <w:sz w:val="22"/>
          <w:lang w:val="es-ES_tradnl"/>
        </w:rPr>
      </w:pPr>
      <w:r>
        <w:rPr>
          <w:rFonts w:ascii="Arial" w:eastAsia="Calibri" w:hAnsi="Arial" w:cs="Arial"/>
          <w:sz w:val="22"/>
          <w:lang w:val="es-ES_tradnl"/>
        </w:rPr>
        <w:t>Después de explicar</w:t>
      </w:r>
      <w:r w:rsidRPr="00FF1611">
        <w:rPr>
          <w:rFonts w:ascii="Arial" w:eastAsia="Calibri" w:hAnsi="Arial" w:cs="Arial"/>
          <w:sz w:val="22"/>
          <w:lang w:val="es-ES_tradnl"/>
        </w:rPr>
        <w:t xml:space="preserve"> el sentido y alcance de </w:t>
      </w:r>
      <w:r w:rsidR="001C70DF">
        <w:rPr>
          <w:rFonts w:ascii="Arial" w:eastAsia="Calibri" w:hAnsi="Arial" w:cs="Arial"/>
          <w:sz w:val="22"/>
          <w:lang w:val="es-ES_tradnl"/>
        </w:rPr>
        <w:t>la delegación y la desconcentración en materia contractual</w:t>
      </w:r>
      <w:r w:rsidRPr="00FF1611">
        <w:rPr>
          <w:rFonts w:ascii="Arial" w:eastAsia="Calibri" w:hAnsi="Arial" w:cs="Arial"/>
          <w:sz w:val="22"/>
        </w:rPr>
        <w:t xml:space="preserve">, </w:t>
      </w:r>
      <w:r>
        <w:rPr>
          <w:rFonts w:ascii="Arial" w:eastAsia="Calibri" w:hAnsi="Arial" w:cs="Arial"/>
          <w:sz w:val="22"/>
        </w:rPr>
        <w:t xml:space="preserve">se concluye </w:t>
      </w:r>
      <w:r w:rsidR="001C70DF">
        <w:rPr>
          <w:rFonts w:ascii="Arial" w:eastAsia="Calibri" w:hAnsi="Arial" w:cs="Arial"/>
          <w:sz w:val="22"/>
        </w:rPr>
        <w:t xml:space="preserve">que la legalidad del acto administrativo que acuda </w:t>
      </w:r>
      <w:r w:rsidR="00BB2E7C">
        <w:rPr>
          <w:rFonts w:ascii="Arial" w:eastAsia="Calibri" w:hAnsi="Arial" w:cs="Arial"/>
          <w:sz w:val="22"/>
        </w:rPr>
        <w:t>a alguna de estas</w:t>
      </w:r>
      <w:r w:rsidR="001C70DF">
        <w:rPr>
          <w:rFonts w:ascii="Arial" w:eastAsia="Calibri" w:hAnsi="Arial" w:cs="Arial"/>
          <w:sz w:val="22"/>
        </w:rPr>
        <w:t xml:space="preserve"> técnicas de organización administrativa depende de que </w:t>
      </w:r>
      <w:r w:rsidR="001C70DF">
        <w:rPr>
          <w:rFonts w:ascii="Arial" w:eastAsia="Calibri" w:hAnsi="Arial" w:cs="Arial"/>
          <w:sz w:val="22"/>
          <w:lang w:val="es-ES_tradnl"/>
        </w:rPr>
        <w:t xml:space="preserve">el órgano competente para adelantar procesos de selección y celebrar contratos en la entidad, asigne determinadas funciones a los servidores autorizados previamente por la ley. </w:t>
      </w:r>
    </w:p>
    <w:p w14:paraId="2B560C23" w14:textId="52CD6D5D" w:rsidR="00B2510E" w:rsidRDefault="00BB2E7C" w:rsidP="00BB2E7C">
      <w:pPr>
        <w:spacing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ambos casos, el marco normativo citado en el presente concepto determina quién está facultado para delegar y desconcentrar sus funciones, cómo lo hace, sobre qué actividades contractuales recaen y cuáles son los órganos </w:t>
      </w:r>
      <w:r w:rsidR="002579EA">
        <w:rPr>
          <w:rFonts w:ascii="Arial" w:eastAsia="Calibri" w:hAnsi="Arial" w:cs="Arial"/>
          <w:sz w:val="22"/>
          <w:lang w:val="es-ES_tradnl"/>
        </w:rPr>
        <w:t>que reciben las funciones delegadas y desconcentradas</w:t>
      </w:r>
      <w:r>
        <w:rPr>
          <w:rFonts w:ascii="Arial" w:eastAsia="Calibri" w:hAnsi="Arial" w:cs="Arial"/>
          <w:sz w:val="22"/>
          <w:lang w:val="es-ES_tradnl"/>
        </w:rPr>
        <w:t>, junto con las implicaciones en temas como la responsabilidad, el régimen de l</w:t>
      </w:r>
      <w:r w:rsidR="00B11DBF">
        <w:rPr>
          <w:rFonts w:ascii="Arial" w:eastAsia="Calibri" w:hAnsi="Arial" w:cs="Arial"/>
          <w:sz w:val="22"/>
          <w:lang w:val="es-ES_tradnl"/>
        </w:rPr>
        <w:t>o</w:t>
      </w:r>
      <w:r>
        <w:rPr>
          <w:rFonts w:ascii="Arial" w:eastAsia="Calibri" w:hAnsi="Arial" w:cs="Arial"/>
          <w:sz w:val="22"/>
          <w:lang w:val="es-ES_tradnl"/>
        </w:rPr>
        <w:t>s actos que los desarrollan, los recursos procedentes, entre otros.</w:t>
      </w:r>
    </w:p>
    <w:p w14:paraId="6B997275" w14:textId="77777777" w:rsidR="00C40C6C" w:rsidRPr="00FF1611" w:rsidRDefault="00C40C6C" w:rsidP="00C40C6C">
      <w:pPr>
        <w:spacing w:line="276" w:lineRule="auto"/>
        <w:ind w:firstLine="708"/>
        <w:jc w:val="both"/>
        <w:rPr>
          <w:rFonts w:ascii="Arial" w:eastAsia="Calibri" w:hAnsi="Arial" w:cs="Arial"/>
          <w:sz w:val="22"/>
          <w:lang w:val="es-ES_tradnl"/>
        </w:rPr>
      </w:pPr>
    </w:p>
    <w:p w14:paraId="7CC88A7D" w14:textId="77777777" w:rsidR="00F1108B" w:rsidRPr="00FF1611" w:rsidRDefault="00F1108B" w:rsidP="003979E7">
      <w:pPr>
        <w:spacing w:before="120" w:line="276" w:lineRule="auto"/>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FF1611" w:rsidRDefault="00A37FB6" w:rsidP="00D01760">
      <w:pPr>
        <w:spacing w:line="276" w:lineRule="auto"/>
        <w:jc w:val="both"/>
        <w:rPr>
          <w:rFonts w:ascii="Arial" w:eastAsia="Calibri" w:hAnsi="Arial" w:cs="Arial"/>
          <w:sz w:val="22"/>
        </w:rPr>
      </w:pPr>
    </w:p>
    <w:p w14:paraId="0F8C901F" w14:textId="77777777" w:rsidR="00A37FB6" w:rsidRPr="00FF1611" w:rsidRDefault="00A37FB6" w:rsidP="00D01760">
      <w:pPr>
        <w:jc w:val="both"/>
        <w:rPr>
          <w:rFonts w:ascii="Arial" w:eastAsia="Calibri" w:hAnsi="Arial" w:cs="Arial"/>
          <w:sz w:val="22"/>
        </w:rPr>
      </w:pPr>
      <w:r w:rsidRPr="00FF1611">
        <w:rPr>
          <w:noProof/>
          <w:lang w:val="es-ES" w:eastAsia="es-E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ECBCF8">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FF1611" w:rsidRDefault="00A37FB6" w:rsidP="00D01760">
      <w:pPr>
        <w:rPr>
          <w:rFonts w:ascii="Arial" w:eastAsia="Times New Roman" w:hAnsi="Arial" w:cs="Arial"/>
          <w:sz w:val="22"/>
          <w:lang w:eastAsia="es-CO"/>
        </w:rPr>
      </w:pPr>
      <w:r w:rsidRPr="704B13AD">
        <w:rPr>
          <w:rFonts w:ascii="Arial" w:eastAsia="Times New Roman" w:hAnsi="Arial" w:cs="Arial"/>
          <w:sz w:val="22"/>
          <w:lang w:eastAsia="es-CO"/>
        </w:rPr>
        <w:t>Atentamente,</w:t>
      </w:r>
    </w:p>
    <w:p w14:paraId="57DD1EBD" w14:textId="68197303" w:rsidR="00746E08" w:rsidRPr="00FF1611" w:rsidRDefault="7AA6B37F" w:rsidP="704B13AD">
      <w:pPr>
        <w:jc w:val="center"/>
      </w:pPr>
      <w:r>
        <w:rPr>
          <w:noProof/>
        </w:rPr>
        <w:drawing>
          <wp:inline distT="0" distB="0" distL="0" distR="0" wp14:anchorId="70F7B0A8" wp14:editId="7AA6B37F">
            <wp:extent cx="2771775" cy="990600"/>
            <wp:effectExtent l="0" t="0" r="0" b="0"/>
            <wp:docPr id="1883968429" name="Imagen 188396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0CF87EF0" w14:textId="656E5CFF" w:rsidR="704B13AD" w:rsidRDefault="704B13AD" w:rsidP="704B13AD">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F1611" w:rsidRPr="00FF1611" w14:paraId="469202AF" w14:textId="77777777" w:rsidTr="003432C8">
        <w:trPr>
          <w:trHeight w:val="315"/>
        </w:trPr>
        <w:tc>
          <w:tcPr>
            <w:tcW w:w="812" w:type="dxa"/>
            <w:vAlign w:val="center"/>
            <w:hideMark/>
          </w:tcPr>
          <w:p w14:paraId="3F62A0B3" w14:textId="77777777" w:rsidR="00746E08" w:rsidRPr="00FF1611" w:rsidRDefault="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2382C8B" w14:textId="77777777" w:rsidR="00746E08" w:rsidRDefault="00A668BA">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51C325E7" w14:textId="47235C75" w:rsidR="00C070FA" w:rsidRPr="00FF1611" w:rsidRDefault="00C070FA">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Pr="00C070FA">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Pr="00C070FA">
              <w:rPr>
                <w:rFonts w:ascii="Arial" w:eastAsia="Times New Roman" w:hAnsi="Arial" w:cs="Arial"/>
                <w:sz w:val="16"/>
                <w:szCs w:val="16"/>
                <w:lang w:eastAsia="es-ES"/>
              </w:rPr>
              <w:t xml:space="preserve"> de Gestión Contractual</w:t>
            </w:r>
          </w:p>
        </w:tc>
      </w:tr>
      <w:tr w:rsidR="00FF1611" w:rsidRPr="00FF1611" w14:paraId="10BC78E8" w14:textId="77777777" w:rsidTr="003432C8">
        <w:trPr>
          <w:trHeight w:val="330"/>
        </w:trPr>
        <w:tc>
          <w:tcPr>
            <w:tcW w:w="812" w:type="dxa"/>
            <w:vAlign w:val="center"/>
            <w:hideMark/>
          </w:tcPr>
          <w:p w14:paraId="6A7DBF66" w14:textId="77777777" w:rsidR="00746E08" w:rsidRPr="00FF1611" w:rsidRDefault="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FF1611" w:rsidRDefault="00746E08" w:rsidP="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19E8BD8D" w14:textId="69868F8E" w:rsidR="00746E08" w:rsidRPr="00FF1611" w:rsidRDefault="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746E08" w:rsidRPr="00FF1611" w14:paraId="50741B38" w14:textId="77777777" w:rsidTr="003432C8">
        <w:trPr>
          <w:trHeight w:val="300"/>
        </w:trPr>
        <w:tc>
          <w:tcPr>
            <w:tcW w:w="812" w:type="dxa"/>
            <w:vAlign w:val="center"/>
            <w:hideMark/>
          </w:tcPr>
          <w:p w14:paraId="297715FA" w14:textId="77777777" w:rsidR="00746E08" w:rsidRPr="00FF1611" w:rsidRDefault="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FF1611" w:rsidRDefault="00746E08" w:rsidP="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17847B1F" w14:textId="71EB0D70" w:rsidR="00746E08" w:rsidRPr="00FF1611" w:rsidRDefault="00746E08">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35B56F46" w14:textId="77777777" w:rsidR="00746E08" w:rsidRPr="00FF1611" w:rsidRDefault="00746E08" w:rsidP="00746E08">
      <w:pPr>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62212" w14:textId="77777777" w:rsidR="001B1406" w:rsidRDefault="001B1406">
      <w:r>
        <w:separator/>
      </w:r>
    </w:p>
  </w:endnote>
  <w:endnote w:type="continuationSeparator" w:id="0">
    <w:p w14:paraId="6A372E87" w14:textId="77777777" w:rsidR="001B1406" w:rsidRDefault="001B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C70DF" w:rsidRDefault="001C70DF" w:rsidP="00322937">
    <w:pPr>
      <w:pStyle w:val="Sinespaciado"/>
      <w:jc w:val="right"/>
      <w:rPr>
        <w:rFonts w:ascii="Arial" w:hAnsi="Arial" w:cs="Arial"/>
        <w:sz w:val="18"/>
        <w:szCs w:val="18"/>
      </w:rPr>
    </w:pPr>
  </w:p>
  <w:p w14:paraId="7A3785F3" w14:textId="2EF28465" w:rsidR="001C70DF" w:rsidRPr="008217B7" w:rsidRDefault="001C70D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5FD1A7C9" w:rsidR="001C70DF" w:rsidRDefault="704B13AD" w:rsidP="00322937">
    <w:pPr>
      <w:pStyle w:val="Piedepgina"/>
      <w:jc w:val="center"/>
      <w:rPr>
        <w:lang w:val="es-ES"/>
      </w:rPr>
    </w:pPr>
    <w:r>
      <w:rPr>
        <w:noProof/>
      </w:rPr>
      <w:drawing>
        <wp:inline distT="0" distB="0" distL="0" distR="0" wp14:anchorId="608B196D" wp14:editId="166C1919">
          <wp:extent cx="3700130" cy="519139"/>
          <wp:effectExtent l="0" t="0" r="0" b="0"/>
          <wp:docPr id="1610454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70DF" w:rsidRDefault="001C70DF" w:rsidP="007B0854">
    <w:pPr>
      <w:pStyle w:val="Piedepgina"/>
      <w:jc w:val="center"/>
      <w:rPr>
        <w:lang w:val="es-ES"/>
      </w:rPr>
    </w:pPr>
  </w:p>
  <w:p w14:paraId="6C0EFC49" w14:textId="77777777" w:rsidR="001C70DF" w:rsidRPr="007B0854" w:rsidRDefault="001C70D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24B2" w14:textId="77777777" w:rsidR="001B1406" w:rsidRDefault="001B1406">
      <w:r>
        <w:separator/>
      </w:r>
    </w:p>
  </w:footnote>
  <w:footnote w:type="continuationSeparator" w:id="0">
    <w:p w14:paraId="4DCA07FB" w14:textId="77777777" w:rsidR="001B1406" w:rsidRDefault="001B1406">
      <w:r>
        <w:continuationSeparator/>
      </w:r>
    </w:p>
  </w:footnote>
  <w:footnote w:id="1">
    <w:p w14:paraId="2B1C19A8" w14:textId="132EE1B1" w:rsidR="001C70DF" w:rsidRPr="001427E4" w:rsidRDefault="001C70DF" w:rsidP="001D0D0A">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1427E4">
        <w:rPr>
          <w:rFonts w:ascii="Arial" w:eastAsia="Calibri" w:hAnsi="Arial" w:cs="Arial"/>
          <w:sz w:val="19"/>
          <w:szCs w:val="19"/>
          <w:lang w:val="es-ES_tradnl"/>
        </w:rPr>
        <w:t>En lo pertinente, la norma dispone los siguiente: «En las entidades estatales a que se refiere el artículo 2°:»</w:t>
      </w:r>
    </w:p>
    <w:p w14:paraId="74E9976D" w14:textId="77777777" w:rsidR="001C70DF" w:rsidRPr="001427E4" w:rsidRDefault="001C70DF" w:rsidP="001D0D0A">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w:t>
      </w:r>
    </w:p>
    <w:p w14:paraId="365EF55F" w14:textId="56E89529" w:rsidR="001C70DF" w:rsidRPr="001427E4" w:rsidRDefault="001C70DF" w:rsidP="001D0D0A">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»3°. Tienen competencia para celebrar contratos a nombre de la entidad respectiva:»</w:t>
      </w:r>
    </w:p>
    <w:p w14:paraId="1B959CB7" w14:textId="77777777" w:rsidR="001C70DF" w:rsidRPr="001427E4" w:rsidRDefault="001C70DF" w:rsidP="001D0D0A">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w:t>
      </w:r>
    </w:p>
    <w:p w14:paraId="519BCC0E" w14:textId="2688EE9B" w:rsidR="001C70DF" w:rsidRDefault="001C70DF" w:rsidP="001D0D0A">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 xml:space="preserve">»b)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6E36899F" w14:textId="77777777" w:rsidR="001C70DF" w:rsidRPr="001427E4" w:rsidRDefault="001C70DF" w:rsidP="001D0D0A">
      <w:pPr>
        <w:pStyle w:val="Textonotapie"/>
        <w:ind w:firstLine="708"/>
        <w:jc w:val="both"/>
        <w:rPr>
          <w:rFonts w:ascii="Arial" w:eastAsia="Calibri" w:hAnsi="Arial" w:cs="Arial"/>
          <w:sz w:val="19"/>
          <w:szCs w:val="19"/>
          <w:lang w:val="es-ES_tradnl"/>
        </w:rPr>
      </w:pPr>
    </w:p>
  </w:footnote>
  <w:footnote w:id="2">
    <w:p w14:paraId="701FD600" w14:textId="07A7FDCA" w:rsidR="001C70DF" w:rsidRPr="00323270" w:rsidRDefault="001C70DF" w:rsidP="00323270">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323270">
        <w:rPr>
          <w:rFonts w:ascii="Arial" w:eastAsia="Calibri" w:hAnsi="Arial" w:cs="Arial"/>
          <w:sz w:val="19"/>
          <w:szCs w:val="19"/>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2D4D2DC2" w14:textId="5663FEA0" w:rsidR="001C70DF" w:rsidRDefault="001C70DF" w:rsidP="00323270">
      <w:pPr>
        <w:pStyle w:val="Textonotapie"/>
        <w:ind w:firstLine="708"/>
        <w:jc w:val="both"/>
        <w:rPr>
          <w:rFonts w:ascii="Arial" w:eastAsia="Calibri" w:hAnsi="Arial" w:cs="Arial"/>
          <w:sz w:val="19"/>
          <w:szCs w:val="19"/>
          <w:lang w:val="es-ES_tradnl"/>
        </w:rPr>
      </w:pPr>
      <w:r w:rsidRPr="00323270">
        <w:rPr>
          <w:rFonts w:ascii="Arial" w:eastAsia="Calibri" w:hAnsi="Arial" w:cs="Arial"/>
          <w:sz w:val="19"/>
          <w:szCs w:val="19"/>
          <w:lang w:val="es-ES_tradnl"/>
        </w:rPr>
        <w:t>»La delegación exime de responsabilidad al delegante, la cual corresponderá exclusivamente al delegatario, cuyos actos o resoluciones podrá siempre reformar o revocar aquel, reasumiendo la responsabilidad consiguiente».</w:t>
      </w:r>
    </w:p>
    <w:p w14:paraId="552C3191" w14:textId="77777777" w:rsidR="001C70DF" w:rsidRPr="00323270" w:rsidRDefault="001C70DF" w:rsidP="00323270">
      <w:pPr>
        <w:pStyle w:val="Textonotapie"/>
        <w:ind w:firstLine="708"/>
        <w:jc w:val="both"/>
        <w:rPr>
          <w:rFonts w:ascii="Arial" w:eastAsia="Calibri" w:hAnsi="Arial" w:cs="Arial"/>
          <w:sz w:val="19"/>
          <w:szCs w:val="19"/>
          <w:lang w:val="es-ES_tradnl"/>
        </w:rPr>
      </w:pPr>
    </w:p>
  </w:footnote>
  <w:footnote w:id="3">
    <w:p w14:paraId="12A3986C" w14:textId="5B94210C" w:rsidR="001C70DF" w:rsidRDefault="001C70DF" w:rsidP="00AE587D">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Cfr. CORTE CONSTITUCIONAL. Sentencia C-</w:t>
      </w:r>
      <w:r w:rsidRPr="001735D5">
        <w:rPr>
          <w:rFonts w:ascii="Arial" w:eastAsia="Calibri" w:hAnsi="Arial" w:cs="Arial"/>
          <w:sz w:val="19"/>
          <w:szCs w:val="19"/>
          <w:lang w:val="es-ES_tradnl"/>
        </w:rPr>
        <w:t>372 de 2002</w:t>
      </w:r>
      <w:r w:rsidRPr="00AE587D">
        <w:rPr>
          <w:rFonts w:ascii="Arial" w:eastAsia="Calibri" w:hAnsi="Arial" w:cs="Arial"/>
          <w:sz w:val="19"/>
          <w:szCs w:val="19"/>
          <w:lang w:val="es-ES_tradnl"/>
        </w:rPr>
        <w:t xml:space="preserve">. M.P. </w:t>
      </w:r>
      <w:r w:rsidRPr="001735D5">
        <w:rPr>
          <w:rFonts w:ascii="Arial" w:eastAsia="Calibri" w:hAnsi="Arial" w:cs="Arial"/>
          <w:sz w:val="19"/>
          <w:szCs w:val="19"/>
          <w:lang w:val="es-ES_tradnl"/>
        </w:rPr>
        <w:t>Jaime Córdoba Triviño</w:t>
      </w:r>
      <w:r w:rsidRPr="00AE587D">
        <w:rPr>
          <w:rFonts w:ascii="Arial" w:eastAsia="Calibri" w:hAnsi="Arial" w:cs="Arial"/>
          <w:sz w:val="19"/>
          <w:szCs w:val="19"/>
          <w:lang w:val="es-ES_tradnl"/>
        </w:rPr>
        <w:t>.</w:t>
      </w:r>
      <w:r>
        <w:rPr>
          <w:rFonts w:ascii="Arial" w:eastAsia="Calibri" w:hAnsi="Arial" w:cs="Arial"/>
          <w:sz w:val="19"/>
          <w:szCs w:val="19"/>
          <w:lang w:val="es-ES_tradnl"/>
        </w:rPr>
        <w:t xml:space="preserve"> </w:t>
      </w:r>
    </w:p>
    <w:p w14:paraId="64099C8F" w14:textId="77777777" w:rsidR="001C70DF" w:rsidRPr="00AE587D" w:rsidRDefault="001C70DF" w:rsidP="00AE587D">
      <w:pPr>
        <w:pStyle w:val="Textonotapie"/>
        <w:ind w:firstLine="708"/>
        <w:jc w:val="both"/>
        <w:rPr>
          <w:rFonts w:ascii="Arial" w:eastAsia="Calibri" w:hAnsi="Arial" w:cs="Arial"/>
          <w:sz w:val="19"/>
          <w:szCs w:val="19"/>
          <w:lang w:val="es-ES_tradnl"/>
        </w:rPr>
      </w:pPr>
    </w:p>
  </w:footnote>
  <w:footnote w:id="4">
    <w:p w14:paraId="2F9B5B9C" w14:textId="21778C89" w:rsidR="001C70DF" w:rsidRDefault="001C70DF" w:rsidP="001735D5">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CORTE CONSTITUCIONAL. Sentencia C-</w:t>
      </w:r>
      <w:r w:rsidRPr="001735D5">
        <w:t xml:space="preserve"> </w:t>
      </w:r>
      <w:r w:rsidRPr="001735D5">
        <w:rPr>
          <w:rFonts w:ascii="Arial" w:eastAsia="Calibri" w:hAnsi="Arial" w:cs="Arial"/>
          <w:sz w:val="19"/>
          <w:szCs w:val="19"/>
          <w:lang w:val="es-ES_tradnl"/>
        </w:rPr>
        <w:t>693</w:t>
      </w:r>
      <w:r>
        <w:rPr>
          <w:rFonts w:ascii="Arial" w:eastAsia="Calibri" w:hAnsi="Arial" w:cs="Arial"/>
          <w:sz w:val="19"/>
          <w:szCs w:val="19"/>
          <w:lang w:val="es-ES_tradnl"/>
        </w:rPr>
        <w:t xml:space="preserve"> de 20</w:t>
      </w:r>
      <w:r w:rsidRPr="001735D5">
        <w:rPr>
          <w:rFonts w:ascii="Arial" w:eastAsia="Calibri" w:hAnsi="Arial" w:cs="Arial"/>
          <w:sz w:val="19"/>
          <w:szCs w:val="19"/>
          <w:lang w:val="es-ES_tradnl"/>
        </w:rPr>
        <w:t>08</w:t>
      </w:r>
      <w:r w:rsidRPr="00AE587D">
        <w:rPr>
          <w:rFonts w:ascii="Arial" w:eastAsia="Calibri" w:hAnsi="Arial" w:cs="Arial"/>
          <w:sz w:val="19"/>
          <w:szCs w:val="19"/>
          <w:lang w:val="es-ES_tradnl"/>
        </w:rPr>
        <w:t xml:space="preserve">. M.P. </w:t>
      </w:r>
      <w:r w:rsidRPr="001735D5">
        <w:rPr>
          <w:rFonts w:ascii="Arial" w:eastAsia="Calibri" w:hAnsi="Arial" w:cs="Arial"/>
          <w:sz w:val="19"/>
          <w:szCs w:val="19"/>
          <w:lang w:val="es-ES_tradnl"/>
        </w:rPr>
        <w:t>Marco Gerardo Monroy Cabra.</w:t>
      </w:r>
    </w:p>
    <w:p w14:paraId="025716F3" w14:textId="77777777" w:rsidR="001C70DF" w:rsidRPr="001735D5" w:rsidRDefault="001C70DF" w:rsidP="001735D5">
      <w:pPr>
        <w:pStyle w:val="Textonotapie"/>
        <w:ind w:firstLine="708"/>
        <w:jc w:val="both"/>
        <w:rPr>
          <w:lang w:val="es-ES"/>
        </w:rPr>
      </w:pPr>
    </w:p>
  </w:footnote>
  <w:footnote w:id="5">
    <w:p w14:paraId="4C277F2B" w14:textId="117BA594" w:rsidR="001C70DF" w:rsidRDefault="001C70DF" w:rsidP="001735D5">
      <w:pPr>
        <w:pStyle w:val="Textonotapie"/>
        <w:ind w:firstLine="708"/>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CORTE CONSTITUCIONAL. Sentencia C-382 de 2000. M.P. Antonio Barrera Carbonell.</w:t>
      </w:r>
    </w:p>
    <w:p w14:paraId="4F8BD503" w14:textId="77777777" w:rsidR="001C70DF" w:rsidRPr="001735D5" w:rsidRDefault="001C70DF" w:rsidP="001735D5">
      <w:pPr>
        <w:pStyle w:val="Textonotapie"/>
        <w:ind w:firstLine="708"/>
        <w:rPr>
          <w:lang w:val="es-ES"/>
        </w:rPr>
      </w:pPr>
    </w:p>
  </w:footnote>
  <w:footnote w:id="6">
    <w:p w14:paraId="44022C42" w14:textId="5AA42CA4" w:rsidR="001C70DF" w:rsidRDefault="001C70DF" w:rsidP="00740B8C">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740B8C">
        <w:rPr>
          <w:rFonts w:ascii="Arial" w:eastAsia="Calibri" w:hAnsi="Arial" w:cs="Arial"/>
          <w:sz w:val="19"/>
          <w:szCs w:val="19"/>
          <w:lang w:val="es-ES_tradnl"/>
        </w:rPr>
        <w:t>HERNÁNDEZ, Pedro Alfonso. Descentralización, desconcentración y delegación en Colombia. Bogotá: Legis, 1999. p. 158</w:t>
      </w:r>
      <w:r>
        <w:rPr>
          <w:rFonts w:ascii="Arial" w:eastAsia="Calibri" w:hAnsi="Arial" w:cs="Arial"/>
          <w:sz w:val="19"/>
          <w:szCs w:val="19"/>
          <w:lang w:val="es-ES_tradnl"/>
        </w:rPr>
        <w:t>.</w:t>
      </w:r>
    </w:p>
    <w:p w14:paraId="67518058" w14:textId="77777777" w:rsidR="001C70DF" w:rsidRPr="00740B8C" w:rsidRDefault="001C70DF" w:rsidP="00740B8C">
      <w:pPr>
        <w:pStyle w:val="Textonotapie"/>
        <w:ind w:firstLine="708"/>
        <w:jc w:val="both"/>
        <w:rPr>
          <w:rFonts w:ascii="Arial" w:eastAsia="Calibri" w:hAnsi="Arial" w:cs="Arial"/>
          <w:sz w:val="19"/>
          <w:szCs w:val="19"/>
          <w:lang w:val="es-ES_tradnl"/>
        </w:rPr>
      </w:pPr>
    </w:p>
  </w:footnote>
  <w:footnote w:id="7">
    <w:p w14:paraId="70D821E3" w14:textId="39CEC406" w:rsidR="001C70DF" w:rsidRPr="00524D38" w:rsidRDefault="001C70DF" w:rsidP="00170861">
      <w:pPr>
        <w:pStyle w:val="Textonotapie"/>
        <w:ind w:firstLine="708"/>
        <w:jc w:val="both"/>
        <w:rPr>
          <w:lang w:val="es-ES"/>
        </w:rPr>
      </w:pPr>
      <w:r>
        <w:rPr>
          <w:rStyle w:val="Refdenotaalpie"/>
        </w:rPr>
        <w:footnoteRef/>
      </w:r>
      <w:r>
        <w:t xml:space="preserve"> </w:t>
      </w:r>
      <w:r w:rsidRPr="00170861">
        <w:rPr>
          <w:rFonts w:ascii="Arial" w:eastAsia="Calibri" w:hAnsi="Arial" w:cs="Arial"/>
          <w:sz w:val="19"/>
          <w:szCs w:val="19"/>
          <w:lang w:val="es-ES_tradnl"/>
        </w:rPr>
        <w:t>En esta medida, «Difiere […] la delegación y la desconcentración, en que la primera supone una asignación específica de funciones de un órgano que las ejecuta bajo su entera autonomía y responsabilidad, salvo que el delegante obre con dolo o culpa grave en sus funciones generales de vigilancia y control, evento en el que también sería responsable, mientras que en la segunda, esto es, la desconcentración, es el encargo que el superior hace a sus dependientes para que éstos, actuando a nombre y dirección de aquel, descongestionen la actividad administrativa»</w:t>
      </w:r>
      <w:r>
        <w:rPr>
          <w:rFonts w:ascii="Arial" w:eastAsia="Calibri" w:hAnsi="Arial" w:cs="Arial"/>
          <w:sz w:val="19"/>
          <w:szCs w:val="19"/>
          <w:lang w:val="es-ES_tradnl"/>
        </w:rPr>
        <w:t xml:space="preserve"> (Cfr. PALACIO HINCAPÉ, Juan Ángel</w:t>
      </w:r>
      <w:r w:rsidRPr="00170861">
        <w:rPr>
          <w:rFonts w:ascii="Arial" w:eastAsia="Calibri" w:hAnsi="Arial" w:cs="Arial"/>
          <w:sz w:val="19"/>
          <w:szCs w:val="19"/>
          <w:lang w:val="es-ES_tradnl"/>
        </w:rPr>
        <w:t>.</w:t>
      </w:r>
      <w:r>
        <w:rPr>
          <w:rFonts w:ascii="Arial" w:eastAsia="Calibri" w:hAnsi="Arial" w:cs="Arial"/>
          <w:sz w:val="19"/>
          <w:szCs w:val="19"/>
          <w:lang w:val="es-ES_tradnl"/>
        </w:rPr>
        <w:t xml:space="preserve"> La contratación de las entidades estatales. Séptima Edición. Medellín: Librería Jurídica Sánchez, 2014. p. 97).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C70DF" w:rsidRDefault="001C70DF">
    <w:pPr>
      <w:pStyle w:val="Encabezado"/>
    </w:pPr>
    <w:r>
      <w:rPr>
        <w:noProof/>
        <w:lang w:val="es-ES" w:eastAsia="es-E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25650"/>
    <w:rsid w:val="000408FE"/>
    <w:rsid w:val="000505E5"/>
    <w:rsid w:val="0005415B"/>
    <w:rsid w:val="0005742B"/>
    <w:rsid w:val="00063DD0"/>
    <w:rsid w:val="000714B0"/>
    <w:rsid w:val="00080ACD"/>
    <w:rsid w:val="00084B97"/>
    <w:rsid w:val="000942EB"/>
    <w:rsid w:val="000A0158"/>
    <w:rsid w:val="000A37B5"/>
    <w:rsid w:val="000A610D"/>
    <w:rsid w:val="000A6499"/>
    <w:rsid w:val="000A655A"/>
    <w:rsid w:val="000B103F"/>
    <w:rsid w:val="000B419B"/>
    <w:rsid w:val="000B7320"/>
    <w:rsid w:val="000C0359"/>
    <w:rsid w:val="000C20B0"/>
    <w:rsid w:val="000C639D"/>
    <w:rsid w:val="000C75EC"/>
    <w:rsid w:val="000C7E7A"/>
    <w:rsid w:val="000D0ED2"/>
    <w:rsid w:val="000D147F"/>
    <w:rsid w:val="000E422C"/>
    <w:rsid w:val="000E4937"/>
    <w:rsid w:val="000E6BB0"/>
    <w:rsid w:val="000E6D01"/>
    <w:rsid w:val="000F0756"/>
    <w:rsid w:val="000F14E8"/>
    <w:rsid w:val="000F5896"/>
    <w:rsid w:val="000F68C3"/>
    <w:rsid w:val="001019AF"/>
    <w:rsid w:val="00103915"/>
    <w:rsid w:val="001051E5"/>
    <w:rsid w:val="00113705"/>
    <w:rsid w:val="00117D6D"/>
    <w:rsid w:val="00121580"/>
    <w:rsid w:val="00122B23"/>
    <w:rsid w:val="00124E5D"/>
    <w:rsid w:val="00125BED"/>
    <w:rsid w:val="00125C59"/>
    <w:rsid w:val="00127AF2"/>
    <w:rsid w:val="00127D28"/>
    <w:rsid w:val="00135144"/>
    <w:rsid w:val="00136BF7"/>
    <w:rsid w:val="00137FFA"/>
    <w:rsid w:val="00141245"/>
    <w:rsid w:val="0014270C"/>
    <w:rsid w:val="001427E4"/>
    <w:rsid w:val="00143E08"/>
    <w:rsid w:val="00147497"/>
    <w:rsid w:val="001529B8"/>
    <w:rsid w:val="001548A2"/>
    <w:rsid w:val="001571FA"/>
    <w:rsid w:val="00160401"/>
    <w:rsid w:val="0016200B"/>
    <w:rsid w:val="00165D90"/>
    <w:rsid w:val="00167489"/>
    <w:rsid w:val="00167920"/>
    <w:rsid w:val="00170861"/>
    <w:rsid w:val="001735D5"/>
    <w:rsid w:val="00182D22"/>
    <w:rsid w:val="00187ED3"/>
    <w:rsid w:val="001A009B"/>
    <w:rsid w:val="001A3615"/>
    <w:rsid w:val="001A3EC0"/>
    <w:rsid w:val="001A597E"/>
    <w:rsid w:val="001B0444"/>
    <w:rsid w:val="001B1406"/>
    <w:rsid w:val="001B2456"/>
    <w:rsid w:val="001C1A48"/>
    <w:rsid w:val="001C26F2"/>
    <w:rsid w:val="001C3E5C"/>
    <w:rsid w:val="001C70DF"/>
    <w:rsid w:val="001C723E"/>
    <w:rsid w:val="001D0D0A"/>
    <w:rsid w:val="001E13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579EA"/>
    <w:rsid w:val="002813EE"/>
    <w:rsid w:val="002A486B"/>
    <w:rsid w:val="002A6C12"/>
    <w:rsid w:val="002B1E46"/>
    <w:rsid w:val="002B20A8"/>
    <w:rsid w:val="002B4F1F"/>
    <w:rsid w:val="002B6620"/>
    <w:rsid w:val="002C257B"/>
    <w:rsid w:val="002C4C0C"/>
    <w:rsid w:val="002D22E7"/>
    <w:rsid w:val="002D46CF"/>
    <w:rsid w:val="002D6698"/>
    <w:rsid w:val="002F6493"/>
    <w:rsid w:val="002F7856"/>
    <w:rsid w:val="00300138"/>
    <w:rsid w:val="003030DC"/>
    <w:rsid w:val="003033BA"/>
    <w:rsid w:val="003103CE"/>
    <w:rsid w:val="003108A3"/>
    <w:rsid w:val="003207AF"/>
    <w:rsid w:val="00320D07"/>
    <w:rsid w:val="00322937"/>
    <w:rsid w:val="00323270"/>
    <w:rsid w:val="003240F4"/>
    <w:rsid w:val="00327A5C"/>
    <w:rsid w:val="0033092C"/>
    <w:rsid w:val="00333B5D"/>
    <w:rsid w:val="00333E2D"/>
    <w:rsid w:val="00336729"/>
    <w:rsid w:val="003370E7"/>
    <w:rsid w:val="0034177C"/>
    <w:rsid w:val="003424B0"/>
    <w:rsid w:val="00342566"/>
    <w:rsid w:val="003432C8"/>
    <w:rsid w:val="0034680A"/>
    <w:rsid w:val="00347B3D"/>
    <w:rsid w:val="00353DD5"/>
    <w:rsid w:val="00356B1B"/>
    <w:rsid w:val="00357A54"/>
    <w:rsid w:val="00363DAD"/>
    <w:rsid w:val="00375C0B"/>
    <w:rsid w:val="00375EB5"/>
    <w:rsid w:val="0038352A"/>
    <w:rsid w:val="003856A6"/>
    <w:rsid w:val="00386456"/>
    <w:rsid w:val="003913E6"/>
    <w:rsid w:val="003953D2"/>
    <w:rsid w:val="003979E7"/>
    <w:rsid w:val="00397FF0"/>
    <w:rsid w:val="003A0878"/>
    <w:rsid w:val="003A581E"/>
    <w:rsid w:val="003A753A"/>
    <w:rsid w:val="003B09C2"/>
    <w:rsid w:val="003B1589"/>
    <w:rsid w:val="003B22E0"/>
    <w:rsid w:val="003B3E7C"/>
    <w:rsid w:val="003B72E9"/>
    <w:rsid w:val="003B7D60"/>
    <w:rsid w:val="003C1AF4"/>
    <w:rsid w:val="003C2370"/>
    <w:rsid w:val="003C4A39"/>
    <w:rsid w:val="003D20C7"/>
    <w:rsid w:val="003D2C4D"/>
    <w:rsid w:val="003E093F"/>
    <w:rsid w:val="003E2CDA"/>
    <w:rsid w:val="003E583A"/>
    <w:rsid w:val="003E7C51"/>
    <w:rsid w:val="003F1468"/>
    <w:rsid w:val="003F14DE"/>
    <w:rsid w:val="003F2195"/>
    <w:rsid w:val="003F2A1B"/>
    <w:rsid w:val="004067A3"/>
    <w:rsid w:val="004068B0"/>
    <w:rsid w:val="00413FFA"/>
    <w:rsid w:val="0042026F"/>
    <w:rsid w:val="00423F9F"/>
    <w:rsid w:val="00434787"/>
    <w:rsid w:val="00435489"/>
    <w:rsid w:val="0043561A"/>
    <w:rsid w:val="00435C73"/>
    <w:rsid w:val="00436CD4"/>
    <w:rsid w:val="004422D6"/>
    <w:rsid w:val="00442B36"/>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162D"/>
    <w:rsid w:val="00484C8D"/>
    <w:rsid w:val="0048553D"/>
    <w:rsid w:val="004861B4"/>
    <w:rsid w:val="0049241A"/>
    <w:rsid w:val="004954B2"/>
    <w:rsid w:val="004A08D1"/>
    <w:rsid w:val="004A2AE8"/>
    <w:rsid w:val="004A34D2"/>
    <w:rsid w:val="004A7887"/>
    <w:rsid w:val="004C1DAE"/>
    <w:rsid w:val="004C22F7"/>
    <w:rsid w:val="004C48B3"/>
    <w:rsid w:val="004C6076"/>
    <w:rsid w:val="004D7243"/>
    <w:rsid w:val="004E0352"/>
    <w:rsid w:val="004F1ABB"/>
    <w:rsid w:val="0050065A"/>
    <w:rsid w:val="00501464"/>
    <w:rsid w:val="0051032D"/>
    <w:rsid w:val="0051074C"/>
    <w:rsid w:val="00512C4F"/>
    <w:rsid w:val="00513976"/>
    <w:rsid w:val="00513AF2"/>
    <w:rsid w:val="00520CF6"/>
    <w:rsid w:val="005248CF"/>
    <w:rsid w:val="00524D38"/>
    <w:rsid w:val="00531869"/>
    <w:rsid w:val="005323F6"/>
    <w:rsid w:val="00534B5D"/>
    <w:rsid w:val="0054311A"/>
    <w:rsid w:val="00543494"/>
    <w:rsid w:val="0054413A"/>
    <w:rsid w:val="00550658"/>
    <w:rsid w:val="0055305B"/>
    <w:rsid w:val="005564CA"/>
    <w:rsid w:val="0056182B"/>
    <w:rsid w:val="0057358E"/>
    <w:rsid w:val="005756AA"/>
    <w:rsid w:val="00580AA3"/>
    <w:rsid w:val="005813DE"/>
    <w:rsid w:val="00581D6D"/>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D1705"/>
    <w:rsid w:val="005D51FA"/>
    <w:rsid w:val="005D5DD2"/>
    <w:rsid w:val="005D791B"/>
    <w:rsid w:val="005E1574"/>
    <w:rsid w:val="005E2ECB"/>
    <w:rsid w:val="005E6D5A"/>
    <w:rsid w:val="005E77AA"/>
    <w:rsid w:val="005F0528"/>
    <w:rsid w:val="005F44D8"/>
    <w:rsid w:val="005F46FD"/>
    <w:rsid w:val="005F4975"/>
    <w:rsid w:val="005F5F8F"/>
    <w:rsid w:val="0060057C"/>
    <w:rsid w:val="00614817"/>
    <w:rsid w:val="006227A6"/>
    <w:rsid w:val="00623AC2"/>
    <w:rsid w:val="00624829"/>
    <w:rsid w:val="006278E6"/>
    <w:rsid w:val="00633DBF"/>
    <w:rsid w:val="006538EA"/>
    <w:rsid w:val="00654583"/>
    <w:rsid w:val="00655371"/>
    <w:rsid w:val="0066628C"/>
    <w:rsid w:val="00670B20"/>
    <w:rsid w:val="0067364A"/>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6404"/>
    <w:rsid w:val="006D7687"/>
    <w:rsid w:val="006E0181"/>
    <w:rsid w:val="006E0572"/>
    <w:rsid w:val="00702FE3"/>
    <w:rsid w:val="00705631"/>
    <w:rsid w:val="00711286"/>
    <w:rsid w:val="00715C29"/>
    <w:rsid w:val="00715EAA"/>
    <w:rsid w:val="00722CE7"/>
    <w:rsid w:val="0072427F"/>
    <w:rsid w:val="00725AFD"/>
    <w:rsid w:val="00730800"/>
    <w:rsid w:val="00733B32"/>
    <w:rsid w:val="00736500"/>
    <w:rsid w:val="00736EA4"/>
    <w:rsid w:val="0074040D"/>
    <w:rsid w:val="00740B8C"/>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381F"/>
    <w:rsid w:val="00795647"/>
    <w:rsid w:val="007A40B9"/>
    <w:rsid w:val="007B0854"/>
    <w:rsid w:val="007B366C"/>
    <w:rsid w:val="007B61A8"/>
    <w:rsid w:val="007B66B1"/>
    <w:rsid w:val="007B6EC8"/>
    <w:rsid w:val="007C2970"/>
    <w:rsid w:val="007C2EB2"/>
    <w:rsid w:val="007C2FC8"/>
    <w:rsid w:val="007C4906"/>
    <w:rsid w:val="007C624E"/>
    <w:rsid w:val="007C6AA3"/>
    <w:rsid w:val="007D0D36"/>
    <w:rsid w:val="007E3EA4"/>
    <w:rsid w:val="007F22A0"/>
    <w:rsid w:val="007F6B46"/>
    <w:rsid w:val="007F72CB"/>
    <w:rsid w:val="007F785F"/>
    <w:rsid w:val="00802F1E"/>
    <w:rsid w:val="0080595F"/>
    <w:rsid w:val="00807078"/>
    <w:rsid w:val="008077B6"/>
    <w:rsid w:val="00810A37"/>
    <w:rsid w:val="00811527"/>
    <w:rsid w:val="00811727"/>
    <w:rsid w:val="00813A2B"/>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72BEC"/>
    <w:rsid w:val="00892A72"/>
    <w:rsid w:val="0089774F"/>
    <w:rsid w:val="00897F5B"/>
    <w:rsid w:val="008A4E5A"/>
    <w:rsid w:val="008A5552"/>
    <w:rsid w:val="008A796E"/>
    <w:rsid w:val="008B061A"/>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47C5"/>
    <w:rsid w:val="0090494C"/>
    <w:rsid w:val="00913CF8"/>
    <w:rsid w:val="0093076B"/>
    <w:rsid w:val="00933333"/>
    <w:rsid w:val="009346EE"/>
    <w:rsid w:val="00937401"/>
    <w:rsid w:val="00941A51"/>
    <w:rsid w:val="009422A0"/>
    <w:rsid w:val="009426B9"/>
    <w:rsid w:val="00945680"/>
    <w:rsid w:val="009528B3"/>
    <w:rsid w:val="0095385A"/>
    <w:rsid w:val="0095780A"/>
    <w:rsid w:val="009616ED"/>
    <w:rsid w:val="00963A6D"/>
    <w:rsid w:val="00963C15"/>
    <w:rsid w:val="00967F39"/>
    <w:rsid w:val="009715D4"/>
    <w:rsid w:val="00980DF4"/>
    <w:rsid w:val="0098427D"/>
    <w:rsid w:val="009865D5"/>
    <w:rsid w:val="009874FA"/>
    <w:rsid w:val="009924E0"/>
    <w:rsid w:val="009953AD"/>
    <w:rsid w:val="009A18E3"/>
    <w:rsid w:val="009A2EE0"/>
    <w:rsid w:val="009A4D58"/>
    <w:rsid w:val="009C118E"/>
    <w:rsid w:val="009D4858"/>
    <w:rsid w:val="009D5FB8"/>
    <w:rsid w:val="009E36B7"/>
    <w:rsid w:val="009E61EA"/>
    <w:rsid w:val="009E69FA"/>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5EBA"/>
    <w:rsid w:val="00A378F8"/>
    <w:rsid w:val="00A37FB6"/>
    <w:rsid w:val="00A40A51"/>
    <w:rsid w:val="00A431FE"/>
    <w:rsid w:val="00A45944"/>
    <w:rsid w:val="00A53E79"/>
    <w:rsid w:val="00A5512A"/>
    <w:rsid w:val="00A56873"/>
    <w:rsid w:val="00A6242B"/>
    <w:rsid w:val="00A629B7"/>
    <w:rsid w:val="00A6407C"/>
    <w:rsid w:val="00A668BA"/>
    <w:rsid w:val="00A67FA8"/>
    <w:rsid w:val="00A72BF0"/>
    <w:rsid w:val="00A72C05"/>
    <w:rsid w:val="00A7680B"/>
    <w:rsid w:val="00A8043B"/>
    <w:rsid w:val="00A91368"/>
    <w:rsid w:val="00A91512"/>
    <w:rsid w:val="00A965EA"/>
    <w:rsid w:val="00AA08E7"/>
    <w:rsid w:val="00AA3064"/>
    <w:rsid w:val="00AA442B"/>
    <w:rsid w:val="00AA669D"/>
    <w:rsid w:val="00AA7416"/>
    <w:rsid w:val="00AC2AF3"/>
    <w:rsid w:val="00AD206A"/>
    <w:rsid w:val="00AE082C"/>
    <w:rsid w:val="00AE587D"/>
    <w:rsid w:val="00AF26CF"/>
    <w:rsid w:val="00AF3F88"/>
    <w:rsid w:val="00B02BCC"/>
    <w:rsid w:val="00B05A55"/>
    <w:rsid w:val="00B06595"/>
    <w:rsid w:val="00B11C8F"/>
    <w:rsid w:val="00B11DBF"/>
    <w:rsid w:val="00B13EC0"/>
    <w:rsid w:val="00B178C8"/>
    <w:rsid w:val="00B22E22"/>
    <w:rsid w:val="00B23476"/>
    <w:rsid w:val="00B24038"/>
    <w:rsid w:val="00B240A3"/>
    <w:rsid w:val="00B2510E"/>
    <w:rsid w:val="00B3115C"/>
    <w:rsid w:val="00B35F6F"/>
    <w:rsid w:val="00B37C24"/>
    <w:rsid w:val="00B4347D"/>
    <w:rsid w:val="00B45B06"/>
    <w:rsid w:val="00B46978"/>
    <w:rsid w:val="00B479E4"/>
    <w:rsid w:val="00B525CB"/>
    <w:rsid w:val="00B530AE"/>
    <w:rsid w:val="00B530B6"/>
    <w:rsid w:val="00B54166"/>
    <w:rsid w:val="00B61B3F"/>
    <w:rsid w:val="00B63872"/>
    <w:rsid w:val="00B638DA"/>
    <w:rsid w:val="00B63CB2"/>
    <w:rsid w:val="00B64EDB"/>
    <w:rsid w:val="00B7153E"/>
    <w:rsid w:val="00B7315F"/>
    <w:rsid w:val="00B74455"/>
    <w:rsid w:val="00B83758"/>
    <w:rsid w:val="00B84344"/>
    <w:rsid w:val="00B84C1B"/>
    <w:rsid w:val="00B91B8E"/>
    <w:rsid w:val="00BA1382"/>
    <w:rsid w:val="00BA1386"/>
    <w:rsid w:val="00BA22FC"/>
    <w:rsid w:val="00BA28AA"/>
    <w:rsid w:val="00BA4771"/>
    <w:rsid w:val="00BA61A6"/>
    <w:rsid w:val="00BB2E7C"/>
    <w:rsid w:val="00BC0F21"/>
    <w:rsid w:val="00BC563E"/>
    <w:rsid w:val="00BD0410"/>
    <w:rsid w:val="00BD730D"/>
    <w:rsid w:val="00BD78FE"/>
    <w:rsid w:val="00BE4BC5"/>
    <w:rsid w:val="00BF23A3"/>
    <w:rsid w:val="00BF6534"/>
    <w:rsid w:val="00BF7C52"/>
    <w:rsid w:val="00C01997"/>
    <w:rsid w:val="00C06632"/>
    <w:rsid w:val="00C070FA"/>
    <w:rsid w:val="00C10BD9"/>
    <w:rsid w:val="00C165FC"/>
    <w:rsid w:val="00C20FF0"/>
    <w:rsid w:val="00C246DB"/>
    <w:rsid w:val="00C24913"/>
    <w:rsid w:val="00C25CC7"/>
    <w:rsid w:val="00C26A34"/>
    <w:rsid w:val="00C30123"/>
    <w:rsid w:val="00C32017"/>
    <w:rsid w:val="00C33259"/>
    <w:rsid w:val="00C40C6C"/>
    <w:rsid w:val="00C419E3"/>
    <w:rsid w:val="00C41E6A"/>
    <w:rsid w:val="00C43181"/>
    <w:rsid w:val="00C464FF"/>
    <w:rsid w:val="00C46957"/>
    <w:rsid w:val="00C50CA8"/>
    <w:rsid w:val="00C610FB"/>
    <w:rsid w:val="00C61B53"/>
    <w:rsid w:val="00C6299A"/>
    <w:rsid w:val="00C63E99"/>
    <w:rsid w:val="00C65A73"/>
    <w:rsid w:val="00C7104A"/>
    <w:rsid w:val="00C726A9"/>
    <w:rsid w:val="00C91F75"/>
    <w:rsid w:val="00C93D8C"/>
    <w:rsid w:val="00CA35BE"/>
    <w:rsid w:val="00CA383B"/>
    <w:rsid w:val="00CB0062"/>
    <w:rsid w:val="00CB5F4F"/>
    <w:rsid w:val="00CC00CD"/>
    <w:rsid w:val="00CC315F"/>
    <w:rsid w:val="00CD3A34"/>
    <w:rsid w:val="00CD4212"/>
    <w:rsid w:val="00CD7360"/>
    <w:rsid w:val="00CE0566"/>
    <w:rsid w:val="00CF11FC"/>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7940"/>
    <w:rsid w:val="00D57B61"/>
    <w:rsid w:val="00D60327"/>
    <w:rsid w:val="00D6115B"/>
    <w:rsid w:val="00D65576"/>
    <w:rsid w:val="00D72E9D"/>
    <w:rsid w:val="00D74158"/>
    <w:rsid w:val="00D759EC"/>
    <w:rsid w:val="00D75E99"/>
    <w:rsid w:val="00D80BB3"/>
    <w:rsid w:val="00D82CE5"/>
    <w:rsid w:val="00D8342C"/>
    <w:rsid w:val="00D93726"/>
    <w:rsid w:val="00D9515E"/>
    <w:rsid w:val="00D96362"/>
    <w:rsid w:val="00D974C8"/>
    <w:rsid w:val="00DA2E2C"/>
    <w:rsid w:val="00DA348C"/>
    <w:rsid w:val="00DA5AB1"/>
    <w:rsid w:val="00DB1AFF"/>
    <w:rsid w:val="00DC1515"/>
    <w:rsid w:val="00DC4238"/>
    <w:rsid w:val="00DC518A"/>
    <w:rsid w:val="00DC62E5"/>
    <w:rsid w:val="00DC77EE"/>
    <w:rsid w:val="00DD464C"/>
    <w:rsid w:val="00DD5EC6"/>
    <w:rsid w:val="00DD735D"/>
    <w:rsid w:val="00DE02B7"/>
    <w:rsid w:val="00DE2198"/>
    <w:rsid w:val="00DE260A"/>
    <w:rsid w:val="00DE2630"/>
    <w:rsid w:val="00DE3119"/>
    <w:rsid w:val="00DE52D6"/>
    <w:rsid w:val="00DE7335"/>
    <w:rsid w:val="00DF236B"/>
    <w:rsid w:val="00DF4451"/>
    <w:rsid w:val="00DF45AD"/>
    <w:rsid w:val="00DF6A71"/>
    <w:rsid w:val="00E035FB"/>
    <w:rsid w:val="00E1028E"/>
    <w:rsid w:val="00E109DD"/>
    <w:rsid w:val="00E13AB8"/>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9667F"/>
    <w:rsid w:val="00EA0680"/>
    <w:rsid w:val="00EA30DC"/>
    <w:rsid w:val="00EA3947"/>
    <w:rsid w:val="00EA3D5B"/>
    <w:rsid w:val="00EA5464"/>
    <w:rsid w:val="00EA559C"/>
    <w:rsid w:val="00EC0E7E"/>
    <w:rsid w:val="00EC1CE7"/>
    <w:rsid w:val="00ED0218"/>
    <w:rsid w:val="00ED0ED8"/>
    <w:rsid w:val="00ED1E6B"/>
    <w:rsid w:val="00ED587F"/>
    <w:rsid w:val="00EE0C5C"/>
    <w:rsid w:val="00EE5402"/>
    <w:rsid w:val="00EE55E7"/>
    <w:rsid w:val="00EE59B5"/>
    <w:rsid w:val="00EE5D90"/>
    <w:rsid w:val="00EF017B"/>
    <w:rsid w:val="00EF4288"/>
    <w:rsid w:val="00F007D6"/>
    <w:rsid w:val="00F04056"/>
    <w:rsid w:val="00F043C8"/>
    <w:rsid w:val="00F071AC"/>
    <w:rsid w:val="00F07FC0"/>
    <w:rsid w:val="00F1108B"/>
    <w:rsid w:val="00F154E7"/>
    <w:rsid w:val="00F20463"/>
    <w:rsid w:val="00F24082"/>
    <w:rsid w:val="00F25971"/>
    <w:rsid w:val="00F25D33"/>
    <w:rsid w:val="00F30727"/>
    <w:rsid w:val="00F3748D"/>
    <w:rsid w:val="00F42363"/>
    <w:rsid w:val="00F4469E"/>
    <w:rsid w:val="00F50605"/>
    <w:rsid w:val="00F50E11"/>
    <w:rsid w:val="00F5717A"/>
    <w:rsid w:val="00F57B72"/>
    <w:rsid w:val="00F63FFD"/>
    <w:rsid w:val="00F70542"/>
    <w:rsid w:val="00F71F6B"/>
    <w:rsid w:val="00F811ED"/>
    <w:rsid w:val="00F83114"/>
    <w:rsid w:val="00F84899"/>
    <w:rsid w:val="00F859F0"/>
    <w:rsid w:val="00F85FFB"/>
    <w:rsid w:val="00F87E29"/>
    <w:rsid w:val="00F90296"/>
    <w:rsid w:val="00F94D5C"/>
    <w:rsid w:val="00F957EB"/>
    <w:rsid w:val="00FA2895"/>
    <w:rsid w:val="00FA384F"/>
    <w:rsid w:val="00FA7E91"/>
    <w:rsid w:val="00FA7FA7"/>
    <w:rsid w:val="00FB24E4"/>
    <w:rsid w:val="00FB27B7"/>
    <w:rsid w:val="00FB35FF"/>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6977"/>
    <w:rsid w:val="00FE700A"/>
    <w:rsid w:val="00FF0B2F"/>
    <w:rsid w:val="00FF10C0"/>
    <w:rsid w:val="00FF1611"/>
    <w:rsid w:val="00FF5FA6"/>
    <w:rsid w:val="0C7ED9AC"/>
    <w:rsid w:val="4AE5B05C"/>
    <w:rsid w:val="704B13AD"/>
    <w:rsid w:val="7AA6B37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B541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0755F-8399-49D4-8539-25DFA5DBA32F}">
  <ds:schemaRefs>
    <ds:schemaRef ds:uri="http://schemas.openxmlformats.org/officeDocument/2006/bibliography"/>
  </ds:schemaRefs>
</ds:datastoreItem>
</file>

<file path=customXml/itemProps2.xml><?xml version="1.0" encoding="utf-8"?>
<ds:datastoreItem xmlns:ds="http://schemas.openxmlformats.org/officeDocument/2006/customXml" ds:itemID="{B54A7785-33ED-4166-8E39-8D033A40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7</Pages>
  <Words>2513</Words>
  <Characters>13822</Characters>
  <Application>Microsoft Office Word</Application>
  <DocSecurity>0</DocSecurity>
  <Lines>115</Lines>
  <Paragraphs>32</Paragraphs>
  <ScaleCrop>false</ScaleCrop>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213</cp:revision>
  <cp:lastPrinted>2020-01-30T15:05:00Z</cp:lastPrinted>
  <dcterms:created xsi:type="dcterms:W3CDTF">2020-03-24T16:45:00Z</dcterms:created>
  <dcterms:modified xsi:type="dcterms:W3CDTF">2020-07-31T21:41:00Z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