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4F1691FC" w:rsidR="00DE5124" w:rsidRPr="00A11E97" w:rsidRDefault="00DE5124" w:rsidP="00DE5124">
      <w:pPr>
        <w:jc w:val="right"/>
        <w:rPr>
          <w:rFonts w:ascii="Arial" w:hAnsi="Arial" w:cs="Arial"/>
          <w:b/>
          <w:sz w:val="16"/>
          <w:szCs w:val="16"/>
          <w:lang w:eastAsia="es-ES"/>
        </w:rPr>
      </w:pPr>
      <w:bookmarkStart w:id="0" w:name="_Hlk29548183"/>
      <w:bookmarkStart w:id="1" w:name="_Hlk28946138"/>
      <w:r w:rsidRPr="00A11E97">
        <w:rPr>
          <w:rFonts w:ascii="Arial" w:hAnsi="Arial" w:cs="Arial"/>
          <w:b/>
          <w:sz w:val="16"/>
          <w:szCs w:val="16"/>
          <w:lang w:eastAsia="es-ES"/>
        </w:rPr>
        <w:t>CCE-DES-FM-17</w:t>
      </w:r>
      <w:bookmarkEnd w:id="0"/>
      <w:bookmarkEnd w:id="1"/>
    </w:p>
    <w:p w14:paraId="2FEB4DFC" w14:textId="77777777" w:rsidR="00A41E3C" w:rsidRPr="00A11E97" w:rsidRDefault="00A41E3C" w:rsidP="00DE5124">
      <w:pPr>
        <w:jc w:val="right"/>
        <w:rPr>
          <w:rFonts w:ascii="Arial" w:hAnsi="Arial" w:cs="Arial"/>
          <w:b/>
          <w:sz w:val="16"/>
          <w:szCs w:val="16"/>
          <w:lang w:eastAsia="es-ES"/>
        </w:rPr>
      </w:pPr>
    </w:p>
    <w:p w14:paraId="2D8FF075" w14:textId="6B55335E" w:rsidR="001A2559" w:rsidRPr="00A11E97" w:rsidRDefault="001A2559" w:rsidP="1C73D51A">
      <w:pPr>
        <w:spacing w:line="276" w:lineRule="auto"/>
        <w:jc w:val="both"/>
        <w:rPr>
          <w:rFonts w:ascii="Arial" w:eastAsia="Calibri" w:hAnsi="Arial" w:cs="Arial"/>
          <w:sz w:val="22"/>
        </w:rPr>
      </w:pPr>
      <w:r w:rsidRPr="1C73D51A">
        <w:rPr>
          <w:rFonts w:ascii="Arial" w:eastAsia="Calibri" w:hAnsi="Arial" w:cs="Arial"/>
          <w:b/>
          <w:bCs/>
          <w:sz w:val="22"/>
        </w:rPr>
        <w:t xml:space="preserve">SECOP </w:t>
      </w:r>
      <w:r w:rsidR="00281A29" w:rsidRPr="1C73D51A">
        <w:rPr>
          <w:rFonts w:ascii="Arial" w:eastAsia="Calibri" w:hAnsi="Arial" w:cs="Arial"/>
          <w:b/>
          <w:bCs/>
          <w:color w:val="000000" w:themeColor="text1"/>
          <w:sz w:val="22"/>
        </w:rPr>
        <w:t>–</w:t>
      </w:r>
      <w:r w:rsidRPr="1C73D51A">
        <w:rPr>
          <w:rFonts w:ascii="Arial" w:eastAsia="Calibri" w:hAnsi="Arial" w:cs="Arial"/>
          <w:b/>
          <w:bCs/>
          <w:sz w:val="22"/>
        </w:rPr>
        <w:t xml:space="preserve"> Publicidad </w:t>
      </w:r>
      <w:r w:rsidR="00281A29" w:rsidRPr="1C73D51A">
        <w:rPr>
          <w:rFonts w:ascii="Arial" w:eastAsia="Calibri" w:hAnsi="Arial" w:cs="Arial"/>
          <w:b/>
          <w:bCs/>
          <w:color w:val="000000" w:themeColor="text1"/>
          <w:sz w:val="22"/>
        </w:rPr>
        <w:t>–</w:t>
      </w:r>
      <w:r w:rsidRPr="1C73D51A">
        <w:rPr>
          <w:rFonts w:ascii="Arial" w:eastAsia="Calibri" w:hAnsi="Arial" w:cs="Arial"/>
          <w:b/>
          <w:bCs/>
          <w:sz w:val="22"/>
        </w:rPr>
        <w:t xml:space="preserve"> Entidades de régimen especial </w:t>
      </w:r>
      <w:r w:rsidR="00281A29" w:rsidRPr="1C73D51A">
        <w:rPr>
          <w:rFonts w:ascii="Arial" w:eastAsia="Calibri" w:hAnsi="Arial" w:cs="Arial"/>
          <w:b/>
          <w:bCs/>
          <w:color w:val="000000" w:themeColor="text1"/>
          <w:sz w:val="22"/>
        </w:rPr>
        <w:t>–</w:t>
      </w:r>
      <w:r w:rsidRPr="1C73D51A">
        <w:rPr>
          <w:rFonts w:ascii="Arial" w:eastAsia="Calibri" w:hAnsi="Arial" w:cs="Arial"/>
          <w:b/>
          <w:bCs/>
          <w:sz w:val="22"/>
        </w:rPr>
        <w:t xml:space="preserve"> Reiteración </w:t>
      </w:r>
      <w:r w:rsidR="34CEE771" w:rsidRPr="1C73D51A">
        <w:rPr>
          <w:rFonts w:ascii="Arial" w:eastAsia="Calibri" w:hAnsi="Arial" w:cs="Arial"/>
          <w:b/>
          <w:bCs/>
          <w:color w:val="000000" w:themeColor="text1"/>
          <w:sz w:val="22"/>
        </w:rPr>
        <w:t>–</w:t>
      </w:r>
      <w:r w:rsidRPr="1C73D51A">
        <w:rPr>
          <w:rFonts w:ascii="Arial" w:eastAsia="Calibri" w:hAnsi="Arial" w:cs="Arial"/>
          <w:b/>
          <w:bCs/>
          <w:sz w:val="22"/>
        </w:rPr>
        <w:t xml:space="preserve"> Concepto unificado </w:t>
      </w:r>
      <w:r w:rsidR="2AFBCE2B" w:rsidRPr="1C73D51A">
        <w:rPr>
          <w:rFonts w:ascii="Arial" w:eastAsia="Calibri" w:hAnsi="Arial" w:cs="Arial"/>
          <w:b/>
          <w:bCs/>
          <w:color w:val="000000" w:themeColor="text1"/>
          <w:sz w:val="22"/>
        </w:rPr>
        <w:t>–</w:t>
      </w:r>
      <w:r w:rsidR="2AFBCE2B" w:rsidRPr="1C73D51A">
        <w:rPr>
          <w:rFonts w:ascii="Arial" w:eastAsia="Calibri" w:hAnsi="Arial" w:cs="Arial"/>
          <w:b/>
          <w:bCs/>
          <w:sz w:val="22"/>
        </w:rPr>
        <w:t xml:space="preserve"> </w:t>
      </w:r>
      <w:r w:rsidRPr="1C73D51A">
        <w:rPr>
          <w:rFonts w:ascii="Arial" w:eastAsia="Calibri" w:hAnsi="Arial" w:cs="Arial"/>
          <w:b/>
          <w:bCs/>
          <w:sz w:val="22"/>
        </w:rPr>
        <w:t>CU-003 de 2020</w:t>
      </w:r>
    </w:p>
    <w:p w14:paraId="06087D71" w14:textId="77777777" w:rsidR="001A2559" w:rsidRPr="00A11E97" w:rsidRDefault="001A2559" w:rsidP="001A2559">
      <w:pPr>
        <w:spacing w:line="276" w:lineRule="auto"/>
        <w:jc w:val="both"/>
        <w:rPr>
          <w:rFonts w:ascii="Arial" w:hAnsi="Arial" w:cs="Arial"/>
          <w:sz w:val="22"/>
        </w:rPr>
      </w:pPr>
    </w:p>
    <w:p w14:paraId="0EC10FBA" w14:textId="77777777" w:rsidR="001A2559" w:rsidRPr="00A11E97" w:rsidRDefault="001A2559" w:rsidP="001A2559">
      <w:pPr>
        <w:jc w:val="both"/>
        <w:rPr>
          <w:rFonts w:ascii="Arial" w:eastAsia="Calibri" w:hAnsi="Arial" w:cs="Arial"/>
          <w:sz w:val="20"/>
          <w:szCs w:val="20"/>
          <w:lang w:val="es-ES"/>
        </w:rPr>
      </w:pPr>
      <w:r w:rsidRPr="00A11E97">
        <w:rPr>
          <w:rFonts w:ascii="Arial" w:eastAsia="Calibri" w:hAnsi="Arial" w:cs="Arial"/>
          <w:sz w:val="20"/>
          <w:szCs w:val="20"/>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14:paraId="1F85047A" w14:textId="77777777" w:rsidR="001A2559" w:rsidRPr="00A11E97" w:rsidRDefault="001A2559" w:rsidP="001A2559">
      <w:pPr>
        <w:pStyle w:val="Prrafodelista"/>
        <w:spacing w:line="276" w:lineRule="auto"/>
        <w:ind w:left="0"/>
        <w:jc w:val="both"/>
        <w:rPr>
          <w:rFonts w:ascii="Arial" w:eastAsia="Calibri" w:hAnsi="Arial" w:cs="Arial"/>
          <w:sz w:val="20"/>
          <w:szCs w:val="20"/>
        </w:rPr>
      </w:pPr>
    </w:p>
    <w:p w14:paraId="4D096EBF" w14:textId="13F88ABB" w:rsidR="001A2559" w:rsidRPr="00A11E97" w:rsidRDefault="001A2559" w:rsidP="00122B7A">
      <w:pPr>
        <w:pStyle w:val="Prrafodelista"/>
        <w:spacing w:line="276" w:lineRule="auto"/>
        <w:ind w:left="0"/>
        <w:jc w:val="both"/>
        <w:rPr>
          <w:rFonts w:ascii="Arial" w:eastAsia="Calibri" w:hAnsi="Arial" w:cs="Arial"/>
          <w:b/>
          <w:sz w:val="22"/>
          <w:szCs w:val="20"/>
        </w:rPr>
      </w:pPr>
      <w:r w:rsidRPr="00A11E97">
        <w:rPr>
          <w:rFonts w:ascii="Arial" w:eastAsia="Calibri" w:hAnsi="Arial" w:cs="Arial"/>
          <w:b/>
          <w:sz w:val="22"/>
          <w:szCs w:val="20"/>
        </w:rPr>
        <w:t xml:space="preserve">SECOP </w:t>
      </w:r>
      <w:r w:rsidR="00281A29" w:rsidRPr="006C15D5">
        <w:rPr>
          <w:rFonts w:ascii="Arial" w:eastAsia="Calibri" w:hAnsi="Arial" w:cs="Arial"/>
          <w:b/>
          <w:color w:val="000000" w:themeColor="text1"/>
          <w:sz w:val="22"/>
        </w:rPr>
        <w:t>–</w:t>
      </w:r>
      <w:r w:rsidRPr="00A11E97">
        <w:rPr>
          <w:rFonts w:ascii="Arial" w:eastAsia="Calibri" w:hAnsi="Arial" w:cs="Arial"/>
          <w:b/>
          <w:sz w:val="22"/>
          <w:szCs w:val="20"/>
        </w:rPr>
        <w:t xml:space="preserve"> Publicidad </w:t>
      </w:r>
      <w:r w:rsidR="00281A29" w:rsidRPr="006C15D5">
        <w:rPr>
          <w:rFonts w:ascii="Arial" w:eastAsia="Calibri" w:hAnsi="Arial" w:cs="Arial"/>
          <w:b/>
          <w:color w:val="000000" w:themeColor="text1"/>
          <w:sz w:val="22"/>
        </w:rPr>
        <w:t>–</w:t>
      </w:r>
      <w:r w:rsidRPr="00A11E97">
        <w:rPr>
          <w:rFonts w:ascii="Arial" w:eastAsia="Calibri" w:hAnsi="Arial" w:cs="Arial"/>
          <w:b/>
          <w:sz w:val="22"/>
          <w:szCs w:val="20"/>
        </w:rPr>
        <w:t xml:space="preserve"> Documentos </w:t>
      </w:r>
    </w:p>
    <w:p w14:paraId="7DEA7897" w14:textId="77777777" w:rsidR="001A2559" w:rsidRPr="00A11E97" w:rsidRDefault="001A2559" w:rsidP="00122B7A">
      <w:pPr>
        <w:pStyle w:val="Prrafodelista"/>
        <w:spacing w:line="276" w:lineRule="auto"/>
        <w:ind w:left="0"/>
        <w:jc w:val="both"/>
        <w:rPr>
          <w:rFonts w:ascii="Arial" w:eastAsia="Calibri" w:hAnsi="Arial" w:cs="Arial"/>
          <w:sz w:val="20"/>
          <w:szCs w:val="20"/>
        </w:rPr>
      </w:pPr>
    </w:p>
    <w:p w14:paraId="3041EDE5" w14:textId="52B817CB" w:rsidR="00122B7A" w:rsidRDefault="00EA632C" w:rsidP="00122B7A">
      <w:pPr>
        <w:pStyle w:val="Prrafodelista"/>
        <w:spacing w:after="120" w:line="240" w:lineRule="atLeast"/>
        <w:ind w:left="0"/>
        <w:jc w:val="both"/>
        <w:rPr>
          <w:rFonts w:ascii="Arial" w:eastAsia="Calibri" w:hAnsi="Arial" w:cs="Arial"/>
          <w:sz w:val="20"/>
          <w:szCs w:val="20"/>
        </w:rPr>
      </w:pPr>
      <w:r w:rsidRPr="52CEBA9F">
        <w:rPr>
          <w:rFonts w:ascii="Arial" w:eastAsia="Calibri" w:hAnsi="Arial" w:cs="Arial"/>
          <w:sz w:val="20"/>
          <w:szCs w:val="20"/>
        </w:rPr>
        <w:t xml:space="preserve">[…] </w:t>
      </w:r>
      <w:r w:rsidR="02FE98FF" w:rsidRPr="52CEBA9F">
        <w:rPr>
          <w:rFonts w:ascii="Arial" w:eastAsia="Calibri" w:hAnsi="Arial" w:cs="Arial"/>
          <w:sz w:val="20"/>
          <w:szCs w:val="20"/>
        </w:rPr>
        <w:t>e</w:t>
      </w:r>
      <w:r w:rsidR="001A2559" w:rsidRPr="52CEBA9F">
        <w:rPr>
          <w:rFonts w:ascii="Arial" w:eastAsia="Calibri" w:hAnsi="Arial" w:cs="Arial"/>
          <w:sz w:val="20"/>
          <w:szCs w:val="20"/>
        </w:rPr>
        <w:t xml:space="preserve">l Decreto 103 de 2015 señala que los documentos que deberán publicar las entidades estatales, entre estas las empresas sociales del Estado, son: i) las autorizaciones, requerimientos, aprobaciones o informes del supervisor o del interventor, que prueben la ejecución del contrato, </w:t>
      </w:r>
      <w:proofErr w:type="spellStart"/>
      <w:r w:rsidR="001A2559" w:rsidRPr="52CEBA9F">
        <w:rPr>
          <w:rFonts w:ascii="Arial" w:eastAsia="Calibri" w:hAnsi="Arial" w:cs="Arial"/>
          <w:sz w:val="20"/>
          <w:szCs w:val="20"/>
        </w:rPr>
        <w:t>ii</w:t>
      </w:r>
      <w:proofErr w:type="spellEnd"/>
      <w:r w:rsidR="001A2559" w:rsidRPr="52CEBA9F">
        <w:rPr>
          <w:rFonts w:ascii="Arial" w:eastAsia="Calibri" w:hAnsi="Arial" w:cs="Arial"/>
          <w:sz w:val="20"/>
          <w:szCs w:val="20"/>
        </w:rPr>
        <w:t xml:space="preserve">) en relación con los procedimientos, lineamientos y políticas en materia de adquisición se deberán publicar los documentos previstos en el manual de contratación de la entidad y, finalmente, </w:t>
      </w:r>
      <w:proofErr w:type="spellStart"/>
      <w:r w:rsidR="001A2559" w:rsidRPr="52CEBA9F">
        <w:rPr>
          <w:rFonts w:ascii="Arial" w:eastAsia="Calibri" w:hAnsi="Arial" w:cs="Arial"/>
          <w:sz w:val="20"/>
          <w:szCs w:val="20"/>
        </w:rPr>
        <w:t>iii</w:t>
      </w:r>
      <w:proofErr w:type="spellEnd"/>
      <w:r w:rsidR="001A2559" w:rsidRPr="52CEBA9F">
        <w:rPr>
          <w:rFonts w:ascii="Arial" w:eastAsia="Calibri" w:hAnsi="Arial" w:cs="Arial"/>
          <w:sz w:val="20"/>
          <w:szCs w:val="20"/>
        </w:rPr>
        <w:t>) el plan anual de adquisiciones.</w:t>
      </w:r>
    </w:p>
    <w:p w14:paraId="7B75962B" w14:textId="77777777" w:rsidR="00122B7A" w:rsidRDefault="00122B7A" w:rsidP="00122B7A">
      <w:pPr>
        <w:pStyle w:val="Prrafodelista"/>
        <w:spacing w:after="120" w:line="240" w:lineRule="atLeast"/>
        <w:ind w:left="0"/>
        <w:jc w:val="both"/>
        <w:rPr>
          <w:rFonts w:ascii="Arial" w:eastAsia="Calibri" w:hAnsi="Arial" w:cs="Arial"/>
          <w:sz w:val="20"/>
          <w:szCs w:val="20"/>
        </w:rPr>
      </w:pPr>
    </w:p>
    <w:p w14:paraId="27212594" w14:textId="394EFBA5" w:rsidR="001A2559" w:rsidRPr="00A11E97" w:rsidRDefault="001A2559" w:rsidP="00787664">
      <w:pPr>
        <w:pStyle w:val="Prrafodelista"/>
        <w:spacing w:line="240" w:lineRule="atLeast"/>
        <w:ind w:left="0"/>
        <w:jc w:val="both"/>
        <w:rPr>
          <w:rFonts w:ascii="Arial" w:eastAsia="Calibri" w:hAnsi="Arial" w:cs="Arial"/>
          <w:sz w:val="20"/>
          <w:szCs w:val="20"/>
        </w:rPr>
      </w:pPr>
      <w:r w:rsidRPr="00A11E97">
        <w:rPr>
          <w:rFonts w:ascii="Arial" w:eastAsia="Calibri" w:hAnsi="Arial" w:cs="Arial"/>
          <w:sz w:val="20"/>
          <w:szCs w:val="20"/>
        </w:rPr>
        <w:t xml:space="preserve">Frente al segundo grupo de documentos, debido a que estas entidades están sometidas al derecho privado, y por lo tanto no celebran sus procesos de contratación con las modalidades de contratación previstas en la Ley 80 de 1993; cada una definirá en su manual de contratación el procedimiento para la contratación de sus bienes y servicios. </w:t>
      </w:r>
    </w:p>
    <w:p w14:paraId="6A7B4262" w14:textId="13857D89" w:rsidR="005F5EA6" w:rsidRDefault="005F5EA6" w:rsidP="00787664">
      <w:pPr>
        <w:autoSpaceDE w:val="0"/>
        <w:autoSpaceDN w:val="0"/>
        <w:adjustRightInd w:val="0"/>
        <w:rPr>
          <w:rFonts w:ascii="Arial" w:hAnsi="Arial" w:cs="Arial"/>
          <w:color w:val="000000"/>
          <w:sz w:val="20"/>
          <w:szCs w:val="20"/>
          <w:lang w:val="es-CO"/>
        </w:rPr>
      </w:pPr>
      <w:bookmarkStart w:id="2" w:name="_Hlk38283712"/>
      <w:bookmarkStart w:id="3" w:name="_Hlk38449610"/>
    </w:p>
    <w:p w14:paraId="032DB4F5" w14:textId="77777777" w:rsidR="005E6315" w:rsidRPr="005F5EA6" w:rsidRDefault="005E6315" w:rsidP="00787664">
      <w:pPr>
        <w:autoSpaceDE w:val="0"/>
        <w:autoSpaceDN w:val="0"/>
        <w:adjustRightInd w:val="0"/>
        <w:rPr>
          <w:rFonts w:ascii="Arial" w:hAnsi="Arial" w:cs="Arial"/>
          <w:color w:val="000000"/>
          <w:sz w:val="20"/>
          <w:szCs w:val="20"/>
          <w:lang w:val="es-CO"/>
        </w:rPr>
      </w:pPr>
    </w:p>
    <w:p w14:paraId="15AE8FE2" w14:textId="48D3D3EF" w:rsidR="005F5EA6" w:rsidRPr="005F5EA6" w:rsidRDefault="005F5EA6" w:rsidP="00787664">
      <w:pPr>
        <w:autoSpaceDE w:val="0"/>
        <w:autoSpaceDN w:val="0"/>
        <w:adjustRightInd w:val="0"/>
        <w:rPr>
          <w:rFonts w:ascii="Arial" w:hAnsi="Arial" w:cs="Arial"/>
          <w:color w:val="000000"/>
          <w:sz w:val="22"/>
          <w:lang w:val="es-CO"/>
        </w:rPr>
      </w:pPr>
      <w:r w:rsidRPr="005F5EA6">
        <w:rPr>
          <w:rFonts w:ascii="Arial" w:hAnsi="Arial" w:cs="Arial"/>
          <w:color w:val="000000"/>
          <w:sz w:val="22"/>
          <w:lang w:val="es-CO"/>
        </w:rPr>
        <w:t xml:space="preserve">Bogotá D.C., </w:t>
      </w:r>
      <w:r w:rsidRPr="005F5EA6">
        <w:rPr>
          <w:rFonts w:ascii="Arial" w:hAnsi="Arial" w:cs="Arial"/>
          <w:b/>
          <w:bCs/>
          <w:color w:val="000000"/>
          <w:sz w:val="22"/>
          <w:lang w:val="es-CO"/>
        </w:rPr>
        <w:t xml:space="preserve">22/04/2020 Hora 12:37:46s </w:t>
      </w:r>
    </w:p>
    <w:p w14:paraId="3A4C66E7" w14:textId="64D28241" w:rsidR="00BA22A9" w:rsidRPr="00A11E97" w:rsidRDefault="005F5EA6" w:rsidP="005F5EA6">
      <w:pPr>
        <w:jc w:val="right"/>
        <w:rPr>
          <w:rFonts w:ascii="Arial" w:hAnsi="Arial" w:cs="Arial"/>
          <w:b/>
          <w:sz w:val="22"/>
        </w:rPr>
      </w:pPr>
      <w:proofErr w:type="spellStart"/>
      <w:r w:rsidRPr="005F5EA6">
        <w:rPr>
          <w:rFonts w:ascii="Arial" w:hAnsi="Arial" w:cs="Arial"/>
          <w:b/>
          <w:bCs/>
          <w:color w:val="000000"/>
          <w:sz w:val="22"/>
          <w:lang w:val="es-CO"/>
        </w:rPr>
        <w:t>N°</w:t>
      </w:r>
      <w:proofErr w:type="spellEnd"/>
      <w:r w:rsidRPr="005F5EA6">
        <w:rPr>
          <w:rFonts w:ascii="Arial" w:hAnsi="Arial" w:cs="Arial"/>
          <w:b/>
          <w:bCs/>
          <w:color w:val="000000"/>
          <w:sz w:val="22"/>
          <w:lang w:val="es-CO"/>
        </w:rPr>
        <w:t xml:space="preserve"> Radicado: 2202013000002943</w:t>
      </w:r>
    </w:p>
    <w:p w14:paraId="39C90A81" w14:textId="77777777" w:rsidR="000D6359" w:rsidRPr="00A11E97" w:rsidRDefault="000D6359" w:rsidP="00B10353">
      <w:pPr>
        <w:rPr>
          <w:rFonts w:ascii="Arial" w:eastAsia="Calibri" w:hAnsi="Arial" w:cs="Arial"/>
          <w:sz w:val="22"/>
        </w:rPr>
      </w:pPr>
    </w:p>
    <w:p w14:paraId="20147739" w14:textId="584638C3" w:rsidR="00BA22A9" w:rsidRPr="00A11E97" w:rsidRDefault="00BA22A9" w:rsidP="00B10353">
      <w:pPr>
        <w:rPr>
          <w:rFonts w:ascii="Arial" w:eastAsia="Calibri" w:hAnsi="Arial" w:cs="Arial"/>
          <w:sz w:val="22"/>
        </w:rPr>
      </w:pPr>
      <w:r w:rsidRPr="00A11E97">
        <w:rPr>
          <w:rFonts w:ascii="Arial" w:eastAsia="Calibri" w:hAnsi="Arial" w:cs="Arial"/>
          <w:sz w:val="22"/>
        </w:rPr>
        <w:t>Señor</w:t>
      </w:r>
    </w:p>
    <w:p w14:paraId="7C15AD01" w14:textId="26D4A40A" w:rsidR="00875469" w:rsidRPr="00A11E97" w:rsidRDefault="007B2D62" w:rsidP="00B10353">
      <w:pPr>
        <w:rPr>
          <w:rFonts w:ascii="Arial" w:eastAsia="Calibri" w:hAnsi="Arial" w:cs="Arial"/>
          <w:b/>
          <w:sz w:val="22"/>
        </w:rPr>
      </w:pPr>
      <w:r w:rsidRPr="00A11E97">
        <w:rPr>
          <w:rFonts w:ascii="Arial" w:eastAsia="Calibri" w:hAnsi="Arial" w:cs="Arial"/>
          <w:b/>
          <w:sz w:val="22"/>
        </w:rPr>
        <w:t>Jorge Mario Calderón</w:t>
      </w:r>
    </w:p>
    <w:p w14:paraId="31138D68" w14:textId="6B91ED37" w:rsidR="00BA22A9" w:rsidRPr="00A11E97" w:rsidRDefault="007B2D62" w:rsidP="00B10353">
      <w:pPr>
        <w:rPr>
          <w:rFonts w:ascii="Arial" w:eastAsia="Calibri" w:hAnsi="Arial" w:cs="Arial"/>
          <w:sz w:val="22"/>
        </w:rPr>
      </w:pPr>
      <w:r w:rsidRPr="00A11E97">
        <w:rPr>
          <w:rFonts w:ascii="Arial" w:eastAsia="Calibri" w:hAnsi="Arial" w:cs="Arial"/>
          <w:sz w:val="22"/>
        </w:rPr>
        <w:t>Ibagué</w:t>
      </w:r>
    </w:p>
    <w:p w14:paraId="56435A7F" w14:textId="23051222" w:rsidR="00BA22A9" w:rsidRPr="00A11E97" w:rsidRDefault="00BA22A9" w:rsidP="00B10353">
      <w:pPr>
        <w:jc w:val="center"/>
        <w:rPr>
          <w:rFonts w:ascii="Arial" w:eastAsia="Calibri" w:hAnsi="Arial" w:cs="Arial"/>
          <w:b/>
          <w:sz w:val="22"/>
        </w:rPr>
      </w:pPr>
      <w:r w:rsidRPr="00A11E97">
        <w:rPr>
          <w:rFonts w:ascii="Arial" w:eastAsia="Calibri" w:hAnsi="Arial" w:cs="Arial"/>
          <w:b/>
          <w:sz w:val="22"/>
        </w:rPr>
        <w:t>Concepto C</w:t>
      </w:r>
      <w:r w:rsidR="00FA3B3B" w:rsidRPr="00A11E97">
        <w:rPr>
          <w:rFonts w:ascii="Arial" w:eastAsia="Calibri" w:hAnsi="Arial" w:cs="Arial"/>
          <w:b/>
          <w:sz w:val="22"/>
        </w:rPr>
        <w:t xml:space="preserve"> ― </w:t>
      </w:r>
      <w:r w:rsidR="001468EF">
        <w:rPr>
          <w:rFonts w:ascii="Arial" w:eastAsia="Calibri" w:hAnsi="Arial" w:cs="Arial"/>
          <w:b/>
          <w:sz w:val="22"/>
        </w:rPr>
        <w:t xml:space="preserve">271 </w:t>
      </w:r>
      <w:r w:rsidRPr="00A11E97">
        <w:rPr>
          <w:rFonts w:ascii="Arial" w:eastAsia="Calibri" w:hAnsi="Arial" w:cs="Arial"/>
          <w:b/>
          <w:sz w:val="22"/>
        </w:rPr>
        <w:t>de 2020</w:t>
      </w:r>
    </w:p>
    <w:p w14:paraId="30DE8200" w14:textId="77777777" w:rsidR="000D6359" w:rsidRPr="00A11E97" w:rsidRDefault="000D6359" w:rsidP="00B10353">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11E97" w:rsidRPr="00A11E97" w14:paraId="73DD4E85" w14:textId="77777777" w:rsidTr="007B2D62">
        <w:trPr>
          <w:trHeight w:val="1029"/>
        </w:trPr>
        <w:tc>
          <w:tcPr>
            <w:tcW w:w="2689" w:type="dxa"/>
            <w:hideMark/>
          </w:tcPr>
          <w:p w14:paraId="4A921A3A" w14:textId="77777777" w:rsidR="00BA22A9" w:rsidRPr="00A11E97" w:rsidRDefault="00BA22A9" w:rsidP="00BA22A9">
            <w:pPr>
              <w:rPr>
                <w:rFonts w:ascii="Arial" w:eastAsia="Calibri" w:hAnsi="Arial" w:cs="Arial"/>
                <w:sz w:val="22"/>
              </w:rPr>
            </w:pPr>
            <w:r w:rsidRPr="00A11E97">
              <w:rPr>
                <w:rFonts w:ascii="Arial" w:eastAsia="Calibri" w:hAnsi="Arial" w:cs="Arial"/>
                <w:b/>
                <w:sz w:val="22"/>
              </w:rPr>
              <w:t>Temas:</w:t>
            </w:r>
            <w:r w:rsidRPr="00A11E97">
              <w:rPr>
                <w:rFonts w:ascii="Arial" w:eastAsia="Calibri" w:hAnsi="Arial" w:cs="Arial"/>
                <w:sz w:val="22"/>
              </w:rPr>
              <w:t xml:space="preserve">              </w:t>
            </w:r>
          </w:p>
        </w:tc>
        <w:tc>
          <w:tcPr>
            <w:tcW w:w="6237" w:type="dxa"/>
            <w:hideMark/>
          </w:tcPr>
          <w:p w14:paraId="6204F950" w14:textId="5C4BBB45" w:rsidR="00BA22A9" w:rsidRPr="00A11E97" w:rsidRDefault="00A41E3C" w:rsidP="00FB781F">
            <w:pPr>
              <w:jc w:val="both"/>
              <w:rPr>
                <w:rFonts w:ascii="Arial" w:eastAsia="Calibri" w:hAnsi="Arial" w:cs="Arial"/>
                <w:sz w:val="22"/>
              </w:rPr>
            </w:pPr>
            <w:r w:rsidRPr="00A11E97">
              <w:rPr>
                <w:rFonts w:ascii="Arial" w:eastAsia="Calibri" w:hAnsi="Arial" w:cs="Arial"/>
                <w:sz w:val="22"/>
              </w:rPr>
              <w:t>SECOP – Publicidad – Entidades de régimen especial – Reiteración de Concepto unificado CU-003 de 2020 – Publicidad – Documentos</w:t>
            </w:r>
          </w:p>
        </w:tc>
      </w:tr>
      <w:tr w:rsidR="00A41E3C" w:rsidRPr="00A11E97" w14:paraId="53A30614" w14:textId="77777777" w:rsidTr="00C313BC">
        <w:trPr>
          <w:trHeight w:val="225"/>
        </w:trPr>
        <w:tc>
          <w:tcPr>
            <w:tcW w:w="2689" w:type="dxa"/>
          </w:tcPr>
          <w:p w14:paraId="0C1A4A11" w14:textId="77777777" w:rsidR="00BA22A9" w:rsidRPr="00A11E97" w:rsidRDefault="00BA22A9" w:rsidP="00BA22A9">
            <w:pPr>
              <w:rPr>
                <w:rFonts w:ascii="Arial" w:eastAsia="Calibri" w:hAnsi="Arial" w:cs="Arial"/>
                <w:b/>
                <w:sz w:val="22"/>
              </w:rPr>
            </w:pPr>
            <w:r w:rsidRPr="00A11E97">
              <w:rPr>
                <w:rFonts w:ascii="Arial" w:eastAsia="Calibri" w:hAnsi="Arial" w:cs="Arial"/>
                <w:b/>
                <w:sz w:val="22"/>
              </w:rPr>
              <w:t>Radicación:</w:t>
            </w:r>
            <w:r w:rsidRPr="00A11E97">
              <w:rPr>
                <w:rFonts w:ascii="Arial" w:eastAsia="Calibri" w:hAnsi="Arial" w:cs="Arial"/>
                <w:sz w:val="22"/>
              </w:rPr>
              <w:t xml:space="preserve">                              </w:t>
            </w:r>
          </w:p>
        </w:tc>
        <w:tc>
          <w:tcPr>
            <w:tcW w:w="6237" w:type="dxa"/>
          </w:tcPr>
          <w:p w14:paraId="67982A7E" w14:textId="76A13BB4" w:rsidR="00BA22A9" w:rsidRPr="00A11E97" w:rsidRDefault="00BA22A9" w:rsidP="00BA22A9">
            <w:pPr>
              <w:jc w:val="both"/>
              <w:rPr>
                <w:rFonts w:ascii="Arial" w:eastAsia="Calibri" w:hAnsi="Arial" w:cs="Arial"/>
                <w:sz w:val="22"/>
              </w:rPr>
            </w:pPr>
            <w:r w:rsidRPr="00A11E97">
              <w:rPr>
                <w:rFonts w:ascii="Arial" w:eastAsia="Calibri" w:hAnsi="Arial" w:cs="Arial"/>
                <w:sz w:val="22"/>
              </w:rPr>
              <w:t xml:space="preserve">Respuesta consulta # </w:t>
            </w:r>
            <w:bookmarkStart w:id="4" w:name="_Hlk38283666"/>
            <w:r w:rsidRPr="00A11E97">
              <w:rPr>
                <w:rFonts w:ascii="Arial" w:eastAsia="Calibri" w:hAnsi="Arial" w:cs="Arial"/>
                <w:sz w:val="22"/>
              </w:rPr>
              <w:t>420201</w:t>
            </w:r>
            <w:r w:rsidR="007B2D62" w:rsidRPr="00A11E97">
              <w:rPr>
                <w:rFonts w:ascii="Arial" w:eastAsia="Calibri" w:hAnsi="Arial" w:cs="Arial"/>
                <w:sz w:val="22"/>
              </w:rPr>
              <w:t>3</w:t>
            </w:r>
            <w:r w:rsidRPr="00A11E97">
              <w:rPr>
                <w:rFonts w:ascii="Arial" w:eastAsia="Calibri" w:hAnsi="Arial" w:cs="Arial"/>
                <w:sz w:val="22"/>
              </w:rPr>
              <w:t>00000</w:t>
            </w:r>
            <w:r w:rsidR="00A90C55" w:rsidRPr="00A11E97">
              <w:rPr>
                <w:rFonts w:ascii="Arial" w:eastAsia="Calibri" w:hAnsi="Arial" w:cs="Arial"/>
                <w:sz w:val="22"/>
              </w:rPr>
              <w:t>2</w:t>
            </w:r>
            <w:r w:rsidR="007B2D62" w:rsidRPr="00A11E97">
              <w:rPr>
                <w:rFonts w:ascii="Arial" w:eastAsia="Calibri" w:hAnsi="Arial" w:cs="Arial"/>
                <w:sz w:val="22"/>
              </w:rPr>
              <w:t>556</w:t>
            </w:r>
            <w:bookmarkEnd w:id="4"/>
            <w:r w:rsidRPr="00A11E97">
              <w:rPr>
                <w:rFonts w:ascii="Arial" w:eastAsia="Calibri" w:hAnsi="Arial" w:cs="Arial"/>
                <w:sz w:val="22"/>
              </w:rPr>
              <w:t xml:space="preserve"> </w:t>
            </w:r>
            <w:r w:rsidR="00A167C9">
              <w:rPr>
                <w:rFonts w:ascii="Arial" w:eastAsia="Calibri" w:hAnsi="Arial" w:cs="Arial"/>
                <w:sz w:val="22"/>
              </w:rPr>
              <w:t xml:space="preserve">y </w:t>
            </w:r>
            <w:r w:rsidR="00A167C9" w:rsidRPr="00A167C9">
              <w:rPr>
                <w:rFonts w:ascii="Arial" w:eastAsia="Calibri" w:hAnsi="Arial" w:cs="Arial"/>
                <w:sz w:val="22"/>
              </w:rPr>
              <w:t>4202013000002778</w:t>
            </w:r>
            <w:r w:rsidR="00A167C9">
              <w:rPr>
                <w:rFonts w:ascii="Arial" w:eastAsia="Calibri" w:hAnsi="Arial" w:cs="Arial"/>
                <w:sz w:val="22"/>
              </w:rPr>
              <w:t xml:space="preserve"> (acumulados</w:t>
            </w:r>
            <w:r w:rsidR="0035671F">
              <w:rPr>
                <w:rFonts w:ascii="Arial" w:eastAsia="Calibri" w:hAnsi="Arial" w:cs="Arial"/>
                <w:sz w:val="22"/>
              </w:rPr>
              <w:t>)</w:t>
            </w:r>
          </w:p>
        </w:tc>
      </w:tr>
    </w:tbl>
    <w:p w14:paraId="3E569C76" w14:textId="67DF116A" w:rsidR="000D6359" w:rsidRPr="00A11E97" w:rsidRDefault="000D6359" w:rsidP="00E549E9">
      <w:pPr>
        <w:spacing w:before="120" w:line="276" w:lineRule="auto"/>
        <w:rPr>
          <w:rFonts w:ascii="Arial" w:eastAsia="Calibri" w:hAnsi="Arial" w:cs="Arial"/>
          <w:sz w:val="22"/>
        </w:rPr>
      </w:pPr>
    </w:p>
    <w:p w14:paraId="73ABF9D4" w14:textId="279C308E" w:rsidR="001A2559" w:rsidRPr="00A11E97" w:rsidRDefault="001A2559" w:rsidP="00E549E9">
      <w:pPr>
        <w:spacing w:before="120" w:line="276" w:lineRule="auto"/>
        <w:rPr>
          <w:rFonts w:ascii="Arial" w:eastAsia="Calibri" w:hAnsi="Arial" w:cs="Arial"/>
          <w:sz w:val="22"/>
        </w:rPr>
      </w:pPr>
    </w:p>
    <w:p w14:paraId="2DFF78DA" w14:textId="77777777" w:rsidR="001A2559" w:rsidRPr="00A11E97" w:rsidRDefault="001A2559" w:rsidP="00E549E9">
      <w:pPr>
        <w:spacing w:before="120" w:line="276" w:lineRule="auto"/>
        <w:rPr>
          <w:rFonts w:ascii="Arial" w:eastAsia="Calibri" w:hAnsi="Arial" w:cs="Arial"/>
          <w:sz w:val="22"/>
        </w:rPr>
      </w:pPr>
    </w:p>
    <w:p w14:paraId="4C4253CA" w14:textId="5BD46B71" w:rsidR="00BA22A9" w:rsidRPr="00A11E97" w:rsidRDefault="00BA22A9" w:rsidP="00E549E9">
      <w:pPr>
        <w:spacing w:before="120" w:line="276" w:lineRule="auto"/>
        <w:rPr>
          <w:rFonts w:ascii="Arial" w:eastAsia="Calibri" w:hAnsi="Arial" w:cs="Arial"/>
          <w:sz w:val="22"/>
        </w:rPr>
      </w:pPr>
      <w:r w:rsidRPr="00A11E97">
        <w:rPr>
          <w:rFonts w:ascii="Arial" w:eastAsia="Calibri" w:hAnsi="Arial" w:cs="Arial"/>
          <w:sz w:val="22"/>
        </w:rPr>
        <w:lastRenderedPageBreak/>
        <w:t>Estimad</w:t>
      </w:r>
      <w:r w:rsidR="007B2D62" w:rsidRPr="00A11E97">
        <w:rPr>
          <w:rFonts w:ascii="Arial" w:eastAsia="Calibri" w:hAnsi="Arial" w:cs="Arial"/>
          <w:sz w:val="22"/>
        </w:rPr>
        <w:t>o</w:t>
      </w:r>
      <w:r w:rsidRPr="00A11E97">
        <w:rPr>
          <w:rFonts w:ascii="Arial" w:eastAsia="Calibri" w:hAnsi="Arial" w:cs="Arial"/>
          <w:sz w:val="22"/>
        </w:rPr>
        <w:t xml:space="preserve"> señ</w:t>
      </w:r>
      <w:r w:rsidR="003F1E6F" w:rsidRPr="00A11E97">
        <w:rPr>
          <w:rFonts w:ascii="Arial" w:eastAsia="Calibri" w:hAnsi="Arial" w:cs="Arial"/>
          <w:sz w:val="22"/>
        </w:rPr>
        <w:t xml:space="preserve">or </w:t>
      </w:r>
      <w:r w:rsidR="007B2D62" w:rsidRPr="00A11E97">
        <w:rPr>
          <w:rFonts w:ascii="Arial" w:eastAsia="Calibri" w:hAnsi="Arial" w:cs="Arial"/>
          <w:sz w:val="22"/>
        </w:rPr>
        <w:t>Calderón</w:t>
      </w:r>
    </w:p>
    <w:p w14:paraId="7E0DDA0E" w14:textId="77777777" w:rsidR="00D2522E" w:rsidRPr="00A11E97" w:rsidRDefault="00D2522E" w:rsidP="00D2522E">
      <w:pPr>
        <w:spacing w:line="276" w:lineRule="auto"/>
        <w:jc w:val="both"/>
        <w:rPr>
          <w:rFonts w:ascii="Arial" w:eastAsia="Calibri" w:hAnsi="Arial" w:cs="Arial"/>
          <w:sz w:val="22"/>
        </w:rPr>
      </w:pPr>
    </w:p>
    <w:p w14:paraId="27953E95" w14:textId="5AD367F7" w:rsidR="00BA22A9" w:rsidRPr="00A11E97" w:rsidRDefault="00BA22A9" w:rsidP="00D2522E">
      <w:pPr>
        <w:spacing w:line="276" w:lineRule="auto"/>
        <w:jc w:val="both"/>
        <w:rPr>
          <w:rFonts w:ascii="Arial" w:eastAsia="Calibri" w:hAnsi="Arial" w:cs="Arial"/>
          <w:sz w:val="22"/>
        </w:rPr>
      </w:pPr>
      <w:r w:rsidRPr="00A11E97">
        <w:rPr>
          <w:rFonts w:ascii="Arial" w:eastAsia="Calibri" w:hAnsi="Arial" w:cs="Arial"/>
          <w:sz w:val="22"/>
        </w:rPr>
        <w:t>La Agencia Nacional de Contratación Pública — Colombia Compra Eficiente responde su</w:t>
      </w:r>
      <w:r w:rsidR="00017D43" w:rsidRPr="00A11E97">
        <w:rPr>
          <w:rFonts w:ascii="Arial" w:eastAsia="Calibri" w:hAnsi="Arial" w:cs="Arial"/>
          <w:sz w:val="22"/>
        </w:rPr>
        <w:t>s</w:t>
      </w:r>
      <w:r w:rsidRPr="00A11E97">
        <w:rPr>
          <w:rFonts w:ascii="Arial" w:eastAsia="Calibri" w:hAnsi="Arial" w:cs="Arial"/>
          <w:sz w:val="22"/>
        </w:rPr>
        <w:t xml:space="preserve"> consulta</w:t>
      </w:r>
      <w:r w:rsidR="00A219D9" w:rsidRPr="00A11E97">
        <w:rPr>
          <w:rFonts w:ascii="Arial" w:eastAsia="Calibri" w:hAnsi="Arial" w:cs="Arial"/>
          <w:sz w:val="22"/>
        </w:rPr>
        <w:t>s</w:t>
      </w:r>
      <w:r w:rsidR="00B4236B" w:rsidRPr="00A11E97">
        <w:rPr>
          <w:rFonts w:ascii="Arial" w:eastAsia="Calibri" w:hAnsi="Arial" w:cs="Arial"/>
          <w:sz w:val="22"/>
        </w:rPr>
        <w:t xml:space="preserve"> </w:t>
      </w:r>
      <w:r w:rsidRPr="00A11E97">
        <w:rPr>
          <w:rFonts w:ascii="Arial" w:eastAsia="Calibri" w:hAnsi="Arial" w:cs="Arial"/>
          <w:sz w:val="22"/>
        </w:rPr>
        <w:t>con radicado</w:t>
      </w:r>
      <w:r w:rsidR="00B4236B" w:rsidRPr="00A11E97">
        <w:rPr>
          <w:rFonts w:ascii="Arial" w:eastAsia="Calibri" w:hAnsi="Arial" w:cs="Arial"/>
          <w:sz w:val="22"/>
        </w:rPr>
        <w:t>s</w:t>
      </w:r>
      <w:r w:rsidRPr="00A11E97">
        <w:rPr>
          <w:rFonts w:ascii="Arial" w:eastAsia="Calibri" w:hAnsi="Arial" w:cs="Arial"/>
          <w:sz w:val="22"/>
        </w:rPr>
        <w:t xml:space="preserve"> No. </w:t>
      </w:r>
      <w:r w:rsidR="00A90C55" w:rsidRPr="00A11E97">
        <w:rPr>
          <w:rFonts w:ascii="Arial" w:eastAsia="Calibri" w:hAnsi="Arial" w:cs="Arial"/>
          <w:sz w:val="22"/>
        </w:rPr>
        <w:t>420201</w:t>
      </w:r>
      <w:r w:rsidR="007B2D62" w:rsidRPr="00A11E97">
        <w:rPr>
          <w:rFonts w:ascii="Arial" w:eastAsia="Calibri" w:hAnsi="Arial" w:cs="Arial"/>
          <w:sz w:val="22"/>
        </w:rPr>
        <w:t>3</w:t>
      </w:r>
      <w:r w:rsidR="00A90C55" w:rsidRPr="00A11E97">
        <w:rPr>
          <w:rFonts w:ascii="Arial" w:eastAsia="Calibri" w:hAnsi="Arial" w:cs="Arial"/>
          <w:sz w:val="22"/>
        </w:rPr>
        <w:t>000002</w:t>
      </w:r>
      <w:r w:rsidR="007B2D62" w:rsidRPr="00A11E97">
        <w:rPr>
          <w:rFonts w:ascii="Arial" w:eastAsia="Calibri" w:hAnsi="Arial" w:cs="Arial"/>
          <w:sz w:val="22"/>
        </w:rPr>
        <w:t>556</w:t>
      </w:r>
      <w:r w:rsidR="00A90C55" w:rsidRPr="00A11E97">
        <w:rPr>
          <w:rFonts w:ascii="Arial" w:eastAsia="Calibri" w:hAnsi="Arial" w:cs="Arial"/>
          <w:sz w:val="22"/>
        </w:rPr>
        <w:t xml:space="preserve"> </w:t>
      </w:r>
      <w:r w:rsidRPr="00A11E97">
        <w:rPr>
          <w:rFonts w:ascii="Arial" w:eastAsia="Calibri" w:hAnsi="Arial" w:cs="Arial"/>
          <w:sz w:val="22"/>
        </w:rPr>
        <w:t>de</w:t>
      </w:r>
      <w:r w:rsidR="007E6773" w:rsidRPr="00A11E97">
        <w:rPr>
          <w:rFonts w:ascii="Arial" w:eastAsia="Calibri" w:hAnsi="Arial" w:cs="Arial"/>
          <w:sz w:val="22"/>
        </w:rPr>
        <w:t xml:space="preserve"> </w:t>
      </w:r>
      <w:r w:rsidR="007B2D62" w:rsidRPr="00A11E97">
        <w:rPr>
          <w:rFonts w:ascii="Arial" w:eastAsia="Calibri" w:hAnsi="Arial" w:cs="Arial"/>
          <w:sz w:val="22"/>
        </w:rPr>
        <w:t>11</w:t>
      </w:r>
      <w:r w:rsidRPr="00A11E97">
        <w:rPr>
          <w:rFonts w:ascii="Arial" w:eastAsia="Calibri" w:hAnsi="Arial" w:cs="Arial"/>
          <w:sz w:val="22"/>
        </w:rPr>
        <w:t xml:space="preserve"> de </w:t>
      </w:r>
      <w:r w:rsidR="00EC268B" w:rsidRPr="00A11E97">
        <w:rPr>
          <w:rFonts w:ascii="Arial" w:eastAsia="Calibri" w:hAnsi="Arial" w:cs="Arial"/>
          <w:sz w:val="22"/>
        </w:rPr>
        <w:t>abril</w:t>
      </w:r>
      <w:r w:rsidRPr="00A11E97">
        <w:rPr>
          <w:rFonts w:ascii="Arial" w:eastAsia="Calibri" w:hAnsi="Arial" w:cs="Arial"/>
          <w:sz w:val="22"/>
        </w:rPr>
        <w:t xml:space="preserve"> de 2020</w:t>
      </w:r>
      <w:r w:rsidR="0035671F">
        <w:rPr>
          <w:rFonts w:ascii="Arial" w:eastAsia="Calibri" w:hAnsi="Arial" w:cs="Arial"/>
          <w:sz w:val="22"/>
        </w:rPr>
        <w:t xml:space="preserve"> y </w:t>
      </w:r>
      <w:r w:rsidR="0035671F" w:rsidRPr="0035671F">
        <w:rPr>
          <w:rFonts w:ascii="Arial" w:eastAsia="Calibri" w:hAnsi="Arial" w:cs="Arial"/>
          <w:sz w:val="22"/>
        </w:rPr>
        <w:t>4202013000002778</w:t>
      </w:r>
      <w:r w:rsidR="0035671F">
        <w:rPr>
          <w:rFonts w:ascii="Arial" w:eastAsia="Calibri" w:hAnsi="Arial" w:cs="Arial"/>
          <w:sz w:val="22"/>
        </w:rPr>
        <w:t xml:space="preserve"> del 17 de abril de 2020</w:t>
      </w:r>
      <w:r w:rsidR="0035671F">
        <w:rPr>
          <w:rStyle w:val="Refdenotaalpie"/>
          <w:rFonts w:ascii="Arial" w:eastAsia="Calibri" w:hAnsi="Arial" w:cs="Arial"/>
          <w:sz w:val="22"/>
        </w:rPr>
        <w:footnoteReference w:id="1"/>
      </w:r>
      <w:r w:rsidR="0035671F">
        <w:rPr>
          <w:rFonts w:ascii="Arial" w:eastAsia="Calibri" w:hAnsi="Arial" w:cs="Arial"/>
          <w:sz w:val="22"/>
        </w:rPr>
        <w:t>,</w:t>
      </w:r>
      <w:r w:rsidR="00C25D13" w:rsidRPr="00A11E97">
        <w:rPr>
          <w:rFonts w:ascii="Arial" w:eastAsia="Calibri" w:hAnsi="Arial" w:cs="Arial"/>
          <w:sz w:val="22"/>
        </w:rPr>
        <w:t xml:space="preserve"> en ejercicio de la competencia otorgada por el numeral</w:t>
      </w:r>
      <w:r w:rsidR="003A6C1F" w:rsidRPr="00A11E97">
        <w:rPr>
          <w:rFonts w:ascii="Arial" w:eastAsia="Calibri" w:hAnsi="Arial" w:cs="Arial"/>
          <w:sz w:val="22"/>
        </w:rPr>
        <w:t xml:space="preserve"> 5 del </w:t>
      </w:r>
      <w:r w:rsidR="00F55B6E" w:rsidRPr="00A11E97">
        <w:rPr>
          <w:rFonts w:ascii="Arial" w:eastAsia="Calibri" w:hAnsi="Arial" w:cs="Arial"/>
          <w:sz w:val="22"/>
        </w:rPr>
        <w:t xml:space="preserve">artículo </w:t>
      </w:r>
      <w:r w:rsidR="00AF2089" w:rsidRPr="00A11E97">
        <w:rPr>
          <w:rFonts w:ascii="Arial" w:eastAsia="Calibri" w:hAnsi="Arial" w:cs="Arial"/>
          <w:sz w:val="22"/>
        </w:rPr>
        <w:t xml:space="preserve">3 y </w:t>
      </w:r>
      <w:r w:rsidR="00BB4E71" w:rsidRPr="00A11E97">
        <w:rPr>
          <w:rFonts w:ascii="Arial" w:eastAsia="Calibri" w:hAnsi="Arial" w:cs="Arial"/>
          <w:sz w:val="22"/>
        </w:rPr>
        <w:t xml:space="preserve">por </w:t>
      </w:r>
      <w:r w:rsidR="00AF2089" w:rsidRPr="00A11E97">
        <w:rPr>
          <w:rFonts w:ascii="Arial" w:eastAsia="Calibri" w:hAnsi="Arial" w:cs="Arial"/>
          <w:sz w:val="22"/>
        </w:rPr>
        <w:t>el numeral 8 del artículo</w:t>
      </w:r>
      <w:r w:rsidR="0038689A" w:rsidRPr="00A11E97">
        <w:rPr>
          <w:rFonts w:ascii="Arial" w:eastAsia="Calibri" w:hAnsi="Arial" w:cs="Arial"/>
          <w:sz w:val="22"/>
        </w:rPr>
        <w:t xml:space="preserve"> 11</w:t>
      </w:r>
      <w:r w:rsidR="005C5EB0" w:rsidRPr="00A11E97">
        <w:rPr>
          <w:rFonts w:ascii="Arial" w:eastAsia="Calibri" w:hAnsi="Arial" w:cs="Arial"/>
          <w:sz w:val="22"/>
        </w:rPr>
        <w:t xml:space="preserve"> del Decreto 4170 de 2011.</w:t>
      </w:r>
    </w:p>
    <w:p w14:paraId="0E342EE3" w14:textId="77777777" w:rsidR="00A90C55" w:rsidRPr="00A11E97" w:rsidRDefault="00A90C55" w:rsidP="00610361">
      <w:pPr>
        <w:spacing w:line="276" w:lineRule="auto"/>
        <w:jc w:val="both"/>
        <w:rPr>
          <w:rFonts w:ascii="Arial" w:eastAsia="Calibri" w:hAnsi="Arial" w:cs="Arial"/>
          <w:sz w:val="22"/>
        </w:rPr>
      </w:pPr>
    </w:p>
    <w:p w14:paraId="238E9792" w14:textId="7CEB934A" w:rsidR="00BA22A9" w:rsidRPr="00A11E97" w:rsidRDefault="00BA22A9" w:rsidP="006B4A03">
      <w:pPr>
        <w:pStyle w:val="Prrafodelista"/>
        <w:numPr>
          <w:ilvl w:val="0"/>
          <w:numId w:val="8"/>
        </w:numPr>
        <w:tabs>
          <w:tab w:val="left" w:pos="284"/>
        </w:tabs>
        <w:spacing w:line="276" w:lineRule="auto"/>
        <w:ind w:left="0" w:firstLine="0"/>
        <w:rPr>
          <w:rFonts w:ascii="Arial" w:eastAsia="Calibri" w:hAnsi="Arial" w:cs="Arial"/>
          <w:b/>
          <w:sz w:val="22"/>
        </w:rPr>
      </w:pPr>
      <w:r w:rsidRPr="00A11E97">
        <w:rPr>
          <w:rFonts w:ascii="Arial" w:eastAsia="Calibri" w:hAnsi="Arial" w:cs="Arial"/>
          <w:b/>
          <w:sz w:val="22"/>
        </w:rPr>
        <w:t>Problemas planteados</w:t>
      </w:r>
    </w:p>
    <w:p w14:paraId="747E8055" w14:textId="77777777" w:rsidR="00EC268B" w:rsidRPr="00A11E97" w:rsidRDefault="00EC268B" w:rsidP="00EC268B">
      <w:pPr>
        <w:pStyle w:val="Prrafodelista"/>
        <w:tabs>
          <w:tab w:val="left" w:pos="284"/>
        </w:tabs>
        <w:spacing w:line="276" w:lineRule="auto"/>
        <w:ind w:left="0"/>
        <w:rPr>
          <w:rFonts w:ascii="Arial" w:eastAsia="Calibri" w:hAnsi="Arial" w:cs="Arial"/>
          <w:b/>
          <w:sz w:val="22"/>
        </w:rPr>
      </w:pPr>
    </w:p>
    <w:p w14:paraId="0006845D" w14:textId="271DC6AC" w:rsidR="00CD4F65" w:rsidRPr="00A11E97" w:rsidRDefault="007E6773" w:rsidP="003D4E6B">
      <w:pPr>
        <w:pStyle w:val="Default"/>
        <w:spacing w:line="276" w:lineRule="auto"/>
        <w:jc w:val="both"/>
        <w:rPr>
          <w:color w:val="auto"/>
          <w:sz w:val="22"/>
          <w:szCs w:val="22"/>
        </w:rPr>
      </w:pPr>
      <w:r w:rsidRPr="00A11E97">
        <w:rPr>
          <w:rFonts w:eastAsia="Calibri"/>
          <w:color w:val="auto"/>
          <w:sz w:val="22"/>
          <w:szCs w:val="22"/>
        </w:rPr>
        <w:t xml:space="preserve">Usted plantea </w:t>
      </w:r>
      <w:r w:rsidR="009D531C" w:rsidRPr="00A11E97">
        <w:rPr>
          <w:rFonts w:eastAsia="Calibri"/>
          <w:color w:val="auto"/>
          <w:sz w:val="22"/>
          <w:szCs w:val="22"/>
        </w:rPr>
        <w:t>el</w:t>
      </w:r>
      <w:r w:rsidR="00A90C55" w:rsidRPr="00A11E97">
        <w:rPr>
          <w:rFonts w:eastAsia="Calibri"/>
          <w:color w:val="auto"/>
          <w:sz w:val="22"/>
          <w:szCs w:val="22"/>
        </w:rPr>
        <w:t xml:space="preserve"> </w:t>
      </w:r>
      <w:r w:rsidRPr="00A11E97">
        <w:rPr>
          <w:rFonts w:eastAsia="Calibri"/>
          <w:color w:val="auto"/>
          <w:sz w:val="22"/>
          <w:szCs w:val="22"/>
        </w:rPr>
        <w:t>siguiente interrogante</w:t>
      </w:r>
      <w:r w:rsidR="00B41937">
        <w:rPr>
          <w:rFonts w:eastAsia="Calibri"/>
          <w:color w:val="auto"/>
          <w:sz w:val="22"/>
          <w:szCs w:val="22"/>
        </w:rPr>
        <w:t xml:space="preserve"> </w:t>
      </w:r>
      <w:r w:rsidR="00A90C55" w:rsidRPr="00A11E97">
        <w:rPr>
          <w:rFonts w:eastAsia="Calibri"/>
          <w:color w:val="auto"/>
          <w:sz w:val="22"/>
          <w:szCs w:val="22"/>
        </w:rPr>
        <w:t>«</w:t>
      </w:r>
      <w:r w:rsidR="007B2D62" w:rsidRPr="00A11E97">
        <w:rPr>
          <w:color w:val="auto"/>
          <w:sz w:val="22"/>
          <w:szCs w:val="22"/>
        </w:rPr>
        <w:t xml:space="preserve">esta </w:t>
      </w:r>
      <w:r w:rsidR="009D531C" w:rsidRPr="00A11E97">
        <w:rPr>
          <w:color w:val="auto"/>
          <w:sz w:val="22"/>
          <w:szCs w:val="22"/>
        </w:rPr>
        <w:t xml:space="preserve">(sic) </w:t>
      </w:r>
      <w:r w:rsidR="007B2D62" w:rsidRPr="00A11E97">
        <w:rPr>
          <w:color w:val="auto"/>
          <w:sz w:val="22"/>
          <w:szCs w:val="22"/>
        </w:rPr>
        <w:t xml:space="preserve">obligada a subir todos los documentos </w:t>
      </w:r>
      <w:proofErr w:type="gramStart"/>
      <w:r w:rsidR="007B2D62" w:rsidRPr="00A11E97">
        <w:rPr>
          <w:color w:val="auto"/>
          <w:sz w:val="22"/>
          <w:szCs w:val="22"/>
        </w:rPr>
        <w:t>Pre contractuales</w:t>
      </w:r>
      <w:proofErr w:type="gramEnd"/>
      <w:r w:rsidR="009D531C" w:rsidRPr="00A11E97">
        <w:rPr>
          <w:color w:val="auto"/>
          <w:sz w:val="22"/>
          <w:szCs w:val="22"/>
        </w:rPr>
        <w:t xml:space="preserve"> (sic)</w:t>
      </w:r>
      <w:r w:rsidR="007B2D62" w:rsidRPr="00A11E97">
        <w:rPr>
          <w:color w:val="auto"/>
          <w:sz w:val="22"/>
          <w:szCs w:val="22"/>
        </w:rPr>
        <w:t xml:space="preserve"> y contractuales al SECOP de los contratos que suscriba en el marco del estado de emergencia del COVID?</w:t>
      </w:r>
      <w:r w:rsidR="009D531C" w:rsidRPr="00A11E97">
        <w:rPr>
          <w:color w:val="auto"/>
          <w:sz w:val="22"/>
          <w:szCs w:val="22"/>
        </w:rPr>
        <w:t>»</w:t>
      </w:r>
      <w:r w:rsidR="00B41937">
        <w:rPr>
          <w:color w:val="auto"/>
          <w:sz w:val="22"/>
          <w:szCs w:val="22"/>
        </w:rPr>
        <w:t>. Lo anterior</w:t>
      </w:r>
      <w:r w:rsidR="00BD7AEF">
        <w:rPr>
          <w:color w:val="auto"/>
          <w:sz w:val="22"/>
          <w:szCs w:val="22"/>
        </w:rPr>
        <w:t>,</w:t>
      </w:r>
      <w:r w:rsidR="00B41937">
        <w:rPr>
          <w:color w:val="auto"/>
          <w:sz w:val="22"/>
          <w:szCs w:val="22"/>
        </w:rPr>
        <w:t xml:space="preserve"> </w:t>
      </w:r>
      <w:r w:rsidR="00B41937" w:rsidRPr="00B41937">
        <w:rPr>
          <w:color w:val="auto"/>
          <w:sz w:val="22"/>
          <w:szCs w:val="22"/>
          <w:lang w:val="es-MX"/>
        </w:rPr>
        <w:t>con relación a las Empresas Sociales del Estado</w:t>
      </w:r>
      <w:r w:rsidR="00B41937">
        <w:rPr>
          <w:color w:val="auto"/>
          <w:sz w:val="22"/>
          <w:szCs w:val="22"/>
          <w:lang w:val="es-MX"/>
        </w:rPr>
        <w:t xml:space="preserve"> a cuyo régimen de contratación </w:t>
      </w:r>
      <w:r w:rsidR="00B41937" w:rsidRPr="00B41937">
        <w:rPr>
          <w:color w:val="auto"/>
          <w:sz w:val="22"/>
          <w:szCs w:val="22"/>
          <w:lang w:val="es-MX"/>
        </w:rPr>
        <w:t>se refiere el artículo 195 de la Ley 100 de 1993</w:t>
      </w:r>
      <w:r w:rsidR="00BD7AEF">
        <w:rPr>
          <w:color w:val="auto"/>
          <w:sz w:val="22"/>
          <w:szCs w:val="22"/>
          <w:lang w:val="es-MX"/>
        </w:rPr>
        <w:t>.</w:t>
      </w:r>
    </w:p>
    <w:p w14:paraId="4A33A6E6" w14:textId="77777777" w:rsidR="00EE22BA" w:rsidRPr="00A11E97" w:rsidRDefault="00EE22BA" w:rsidP="009A2449">
      <w:pPr>
        <w:spacing w:line="276" w:lineRule="auto"/>
        <w:ind w:left="709" w:right="709"/>
        <w:jc w:val="both"/>
        <w:rPr>
          <w:rFonts w:ascii="Arial" w:eastAsia="Calibri" w:hAnsi="Arial" w:cs="Arial"/>
          <w:sz w:val="21"/>
          <w:szCs w:val="21"/>
        </w:rPr>
      </w:pPr>
    </w:p>
    <w:p w14:paraId="6D620AD0" w14:textId="77777777" w:rsidR="00BA22A9" w:rsidRPr="00A11E97" w:rsidRDefault="00BA22A9" w:rsidP="00BA22A9">
      <w:pPr>
        <w:pStyle w:val="Prrafodelista"/>
        <w:numPr>
          <w:ilvl w:val="0"/>
          <w:numId w:val="8"/>
        </w:numPr>
        <w:tabs>
          <w:tab w:val="left" w:pos="284"/>
        </w:tabs>
        <w:spacing w:line="276" w:lineRule="auto"/>
        <w:ind w:left="0" w:firstLine="0"/>
        <w:rPr>
          <w:rFonts w:ascii="Arial" w:eastAsia="Calibri" w:hAnsi="Arial" w:cs="Arial"/>
          <w:b/>
          <w:sz w:val="22"/>
        </w:rPr>
      </w:pPr>
      <w:r w:rsidRPr="00A11E97">
        <w:rPr>
          <w:rFonts w:ascii="Arial" w:eastAsia="Calibri" w:hAnsi="Arial" w:cs="Arial"/>
          <w:b/>
          <w:sz w:val="22"/>
        </w:rPr>
        <w:t>Consideraciones</w:t>
      </w:r>
    </w:p>
    <w:p w14:paraId="272943D1" w14:textId="23FC15B7" w:rsidR="00484856" w:rsidRPr="00A11E97" w:rsidRDefault="00484856" w:rsidP="00B10353">
      <w:pPr>
        <w:spacing w:line="276" w:lineRule="auto"/>
        <w:jc w:val="both"/>
        <w:rPr>
          <w:rFonts w:ascii="Arial" w:eastAsia="Calibri" w:hAnsi="Arial" w:cs="Arial"/>
          <w:sz w:val="22"/>
        </w:rPr>
      </w:pPr>
    </w:p>
    <w:p w14:paraId="75484855" w14:textId="21F85E77" w:rsidR="00CD4F65" w:rsidRPr="00A11E97" w:rsidRDefault="00CD4F65" w:rsidP="001A2559">
      <w:pPr>
        <w:spacing w:line="276" w:lineRule="auto"/>
        <w:jc w:val="both"/>
        <w:rPr>
          <w:rFonts w:ascii="Arial" w:eastAsia="Calibri" w:hAnsi="Arial" w:cs="Arial"/>
          <w:sz w:val="22"/>
        </w:rPr>
      </w:pPr>
      <w:r w:rsidRPr="00A11E97">
        <w:rPr>
          <w:rFonts w:ascii="Arial" w:eastAsia="Calibri" w:hAnsi="Arial" w:cs="Arial"/>
          <w:sz w:val="22"/>
        </w:rPr>
        <w:t xml:space="preserve">Para desarrollar los problemas planteados se explicará, en primer lugar, cómo el SECOP es la plataforma que las entidades deben utilizar para publicar la actividad contractual, para luego determinar los documentos contractuales que deben publicar las Empresas </w:t>
      </w:r>
      <w:r w:rsidR="001A2559" w:rsidRPr="00A11E97">
        <w:rPr>
          <w:rFonts w:ascii="Arial" w:eastAsia="Calibri" w:hAnsi="Arial" w:cs="Arial"/>
          <w:sz w:val="22"/>
        </w:rPr>
        <w:t>Sociales</w:t>
      </w:r>
      <w:r w:rsidRPr="00A11E97">
        <w:rPr>
          <w:rFonts w:ascii="Arial" w:eastAsia="Calibri" w:hAnsi="Arial" w:cs="Arial"/>
          <w:sz w:val="22"/>
        </w:rPr>
        <w:t xml:space="preserve"> del Estado en el SECOP I, </w:t>
      </w:r>
      <w:proofErr w:type="gramStart"/>
      <w:r w:rsidRPr="00A11E97">
        <w:rPr>
          <w:rFonts w:ascii="Arial" w:eastAsia="Calibri" w:hAnsi="Arial" w:cs="Arial"/>
          <w:sz w:val="22"/>
        </w:rPr>
        <w:t>y</w:t>
      </w:r>
      <w:proofErr w:type="gramEnd"/>
      <w:r w:rsidRPr="00A11E97">
        <w:rPr>
          <w:rFonts w:ascii="Arial" w:eastAsia="Calibri" w:hAnsi="Arial" w:cs="Arial"/>
          <w:sz w:val="22"/>
        </w:rPr>
        <w:t xml:space="preserve"> por último, indicar el momento de su publicación. </w:t>
      </w:r>
    </w:p>
    <w:p w14:paraId="710BCADB" w14:textId="77777777" w:rsidR="00CD4F65" w:rsidRPr="00A11E97" w:rsidRDefault="00CD4F65" w:rsidP="00CD4F65">
      <w:pPr>
        <w:spacing w:line="276" w:lineRule="auto"/>
        <w:rPr>
          <w:rFonts w:ascii="Arial" w:eastAsia="Calibri" w:hAnsi="Arial" w:cs="Arial"/>
          <w:sz w:val="22"/>
        </w:rPr>
      </w:pPr>
    </w:p>
    <w:p w14:paraId="6C7215A3" w14:textId="77777777" w:rsidR="00CD4F65" w:rsidRPr="00A11E97" w:rsidRDefault="00CD4F65" w:rsidP="00CD4F65">
      <w:pPr>
        <w:tabs>
          <w:tab w:val="left" w:pos="426"/>
        </w:tabs>
        <w:spacing w:line="276" w:lineRule="auto"/>
        <w:rPr>
          <w:rFonts w:ascii="Arial" w:eastAsia="Calibri" w:hAnsi="Arial" w:cs="Arial"/>
          <w:b/>
          <w:sz w:val="22"/>
        </w:rPr>
      </w:pPr>
      <w:r w:rsidRPr="00A11E97">
        <w:rPr>
          <w:rFonts w:ascii="Arial" w:eastAsia="Calibri" w:hAnsi="Arial" w:cs="Arial"/>
          <w:b/>
          <w:sz w:val="22"/>
        </w:rPr>
        <w:t>2.1. Publicidad de los contratos en el Sistema Electrónico de Contratación Pública –SECOP–</w:t>
      </w:r>
    </w:p>
    <w:p w14:paraId="6FB50593" w14:textId="77777777" w:rsidR="00CD4F65" w:rsidRPr="00A11E97" w:rsidRDefault="00CD4F65" w:rsidP="00CD4F65">
      <w:pPr>
        <w:pStyle w:val="Prrafodelista"/>
        <w:spacing w:line="276" w:lineRule="auto"/>
        <w:ind w:left="0" w:firstLine="709"/>
        <w:rPr>
          <w:rFonts w:ascii="Arial" w:eastAsia="Calibri" w:hAnsi="Arial" w:cs="Arial"/>
          <w:b/>
          <w:sz w:val="22"/>
        </w:rPr>
      </w:pPr>
    </w:p>
    <w:p w14:paraId="0EA3BFE2" w14:textId="19716DC0" w:rsidR="00CD4F65" w:rsidRPr="00A11E97" w:rsidRDefault="00CD4F65" w:rsidP="001A2559">
      <w:pPr>
        <w:spacing w:line="276" w:lineRule="auto"/>
        <w:jc w:val="both"/>
        <w:rPr>
          <w:rFonts w:ascii="Arial" w:hAnsi="Arial" w:cs="Arial"/>
          <w:sz w:val="22"/>
        </w:rPr>
      </w:pPr>
      <w:r w:rsidRPr="00A11E97">
        <w:rPr>
          <w:rFonts w:ascii="Arial" w:eastAsia="Calibri" w:hAnsi="Arial" w:cs="Arial"/>
          <w:bCs/>
          <w:sz w:val="22"/>
        </w:rPr>
        <w:t>La Agencia Nacional de Contratación Pública estudió por primera vez este tema en la consulta No. 4201913000005397 del 9 de agosto de 2019 y reiteró la posición en las siguientes consultas: 4201912000006611 del 25 de septiembre de</w:t>
      </w:r>
      <w:r w:rsidR="001A2559" w:rsidRPr="00A11E97">
        <w:rPr>
          <w:rFonts w:ascii="Arial" w:eastAsia="Calibri" w:hAnsi="Arial" w:cs="Arial"/>
          <w:bCs/>
          <w:sz w:val="22"/>
        </w:rPr>
        <w:t xml:space="preserve"> </w:t>
      </w:r>
      <w:r w:rsidRPr="00A11E97">
        <w:rPr>
          <w:rFonts w:ascii="Arial" w:eastAsia="Calibri" w:hAnsi="Arial" w:cs="Arial"/>
          <w:bCs/>
          <w:sz w:val="22"/>
        </w:rPr>
        <w:t>2019,</w:t>
      </w:r>
      <w:r w:rsidR="001A2559" w:rsidRPr="00A11E97">
        <w:rPr>
          <w:rFonts w:ascii="Arial" w:eastAsia="Calibri" w:hAnsi="Arial" w:cs="Arial"/>
          <w:bCs/>
          <w:sz w:val="22"/>
        </w:rPr>
        <w:t xml:space="preserve"> </w:t>
      </w:r>
      <w:r w:rsidRPr="00A11E97">
        <w:rPr>
          <w:rFonts w:ascii="Arial" w:hAnsi="Arial" w:cs="Arial"/>
          <w:sz w:val="22"/>
        </w:rPr>
        <w:t xml:space="preserve">4201913000006847 del 4 de octubre de 2019, </w:t>
      </w:r>
      <w:r w:rsidRPr="00A11E97">
        <w:rPr>
          <w:rFonts w:ascii="Arial" w:eastAsia="Calibri" w:hAnsi="Arial" w:cs="Arial"/>
          <w:bCs/>
          <w:sz w:val="22"/>
        </w:rPr>
        <w:t>4201912000007762 del 18 de noviembre de 2019, la consulta 4201912000007828 del 13 de noviembre de 2019</w:t>
      </w:r>
      <w:r w:rsidR="001A2559" w:rsidRPr="00A11E97">
        <w:rPr>
          <w:rFonts w:ascii="Arial" w:hAnsi="Arial" w:cs="Arial"/>
          <w:sz w:val="22"/>
        </w:rPr>
        <w:t>, las cuales fueron unificadas en el concepto CU — 003 de 3 de enero de 2020, confirmado en radicado C— 061 de 21 de enero de 2020, C — 115 de 11 de febrero de 2020 y C — 149 de 14 de febrero de 2020.</w:t>
      </w:r>
      <w:r w:rsidRPr="00A11E97">
        <w:rPr>
          <w:rFonts w:ascii="Arial" w:hAnsi="Arial" w:cs="Arial"/>
          <w:sz w:val="22"/>
        </w:rPr>
        <w:t xml:space="preserve"> </w:t>
      </w:r>
      <w:r w:rsidRPr="00A11E97">
        <w:rPr>
          <w:rFonts w:ascii="Arial" w:eastAsia="Calibri" w:hAnsi="Arial" w:cs="Arial"/>
          <w:sz w:val="22"/>
        </w:rPr>
        <w:t>En todas sostuvo la idea que se reitera a</w:t>
      </w:r>
      <w:r w:rsidR="001A2559" w:rsidRPr="00A11E97">
        <w:rPr>
          <w:rFonts w:ascii="Arial" w:eastAsia="Calibri" w:hAnsi="Arial" w:cs="Arial"/>
          <w:sz w:val="22"/>
        </w:rPr>
        <w:t xml:space="preserve"> </w:t>
      </w:r>
      <w:r w:rsidRPr="00A11E97">
        <w:rPr>
          <w:rFonts w:ascii="Arial" w:eastAsia="Calibri" w:hAnsi="Arial" w:cs="Arial"/>
          <w:sz w:val="22"/>
        </w:rPr>
        <w:t>continuación:</w:t>
      </w:r>
      <w:r w:rsidRPr="00A11E97">
        <w:rPr>
          <w:rFonts w:ascii="Arial" w:hAnsi="Arial" w:cs="Arial"/>
          <w:sz w:val="22"/>
        </w:rPr>
        <w:t xml:space="preserve"> </w:t>
      </w:r>
    </w:p>
    <w:p w14:paraId="172104B4" w14:textId="77777777" w:rsidR="006A52CE" w:rsidRPr="00A11E97" w:rsidRDefault="006A52CE" w:rsidP="001A2559">
      <w:pPr>
        <w:tabs>
          <w:tab w:val="left" w:pos="426"/>
        </w:tabs>
        <w:spacing w:line="276" w:lineRule="auto"/>
        <w:jc w:val="both"/>
        <w:rPr>
          <w:rFonts w:ascii="Arial" w:eastAsia="Calibri" w:hAnsi="Arial" w:cs="Arial"/>
          <w:sz w:val="22"/>
        </w:rPr>
      </w:pPr>
    </w:p>
    <w:p w14:paraId="17E9CC64" w14:textId="42EAE6E7" w:rsidR="001A2559" w:rsidRPr="00A11E97" w:rsidRDefault="001A2559" w:rsidP="001A2559">
      <w:pPr>
        <w:tabs>
          <w:tab w:val="left" w:pos="426"/>
        </w:tabs>
        <w:spacing w:line="276" w:lineRule="auto"/>
        <w:jc w:val="both"/>
        <w:rPr>
          <w:rFonts w:ascii="Arial" w:eastAsia="Calibri" w:hAnsi="Arial" w:cs="Arial"/>
          <w:b/>
          <w:sz w:val="22"/>
        </w:rPr>
      </w:pPr>
      <w:r w:rsidRPr="00A11E97">
        <w:rPr>
          <w:rFonts w:ascii="Arial" w:eastAsia="Calibri" w:hAnsi="Arial" w:cs="Arial"/>
          <w:sz w:val="22"/>
        </w:rPr>
        <w:t xml:space="preserve">Para la Corte Constitucional el principio de publicidad es la garantía de las personas de conocer las actuaciones judiciales y administrativas y con base en ese conocimiento tener la posibilidad de exigir que se surtan conforme a la ley: </w:t>
      </w:r>
    </w:p>
    <w:p w14:paraId="7F52D83D" w14:textId="77777777" w:rsidR="001A2559" w:rsidRPr="00A11E97" w:rsidRDefault="001A2559" w:rsidP="001A2559">
      <w:pPr>
        <w:ind w:firstLine="709"/>
        <w:jc w:val="both"/>
        <w:rPr>
          <w:rFonts w:ascii="Arial" w:eastAsia="Calibri" w:hAnsi="Arial" w:cs="Arial"/>
          <w:sz w:val="22"/>
        </w:rPr>
      </w:pPr>
    </w:p>
    <w:p w14:paraId="283E9A0B" w14:textId="77777777" w:rsidR="001A2559" w:rsidRPr="00A11E97" w:rsidRDefault="001A2559" w:rsidP="001A2559">
      <w:pPr>
        <w:tabs>
          <w:tab w:val="left" w:pos="3885"/>
        </w:tabs>
        <w:ind w:left="709" w:right="709"/>
        <w:jc w:val="both"/>
        <w:rPr>
          <w:rFonts w:ascii="Arial" w:hAnsi="Arial" w:cs="Arial"/>
          <w:sz w:val="21"/>
          <w:szCs w:val="21"/>
          <w:lang w:val="es-ES"/>
        </w:rPr>
      </w:pPr>
      <w:r w:rsidRPr="00A11E97">
        <w:rPr>
          <w:rFonts w:ascii="Arial" w:hAnsi="Arial" w:cs="Arial"/>
          <w:sz w:val="21"/>
          <w:szCs w:val="21"/>
          <w:lang w:val="es-ES"/>
        </w:rPr>
        <w:lastRenderedPageBreak/>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4A85178" w14:textId="77777777" w:rsidR="001A2559" w:rsidRPr="00A11E97" w:rsidRDefault="001A2559" w:rsidP="001A2559">
      <w:pPr>
        <w:tabs>
          <w:tab w:val="left" w:pos="3885"/>
        </w:tabs>
        <w:ind w:left="709" w:right="709"/>
        <w:jc w:val="both"/>
        <w:rPr>
          <w:rFonts w:ascii="Arial" w:hAnsi="Arial" w:cs="Arial"/>
          <w:sz w:val="21"/>
          <w:szCs w:val="21"/>
          <w:lang w:val="es-ES"/>
        </w:rPr>
      </w:pPr>
    </w:p>
    <w:p w14:paraId="484A2848" w14:textId="77777777" w:rsidR="001A2559" w:rsidRPr="00A11E97" w:rsidRDefault="001A2559" w:rsidP="001A2559">
      <w:pPr>
        <w:tabs>
          <w:tab w:val="left" w:pos="3885"/>
          <w:tab w:val="left" w:pos="8222"/>
        </w:tabs>
        <w:ind w:left="709" w:right="709"/>
        <w:jc w:val="both"/>
        <w:rPr>
          <w:rFonts w:ascii="Arial" w:hAnsi="Arial" w:cs="Arial"/>
          <w:sz w:val="22"/>
          <w:lang w:val="es-ES"/>
        </w:rPr>
      </w:pPr>
      <w:r w:rsidRPr="00A11E97">
        <w:rPr>
          <w:rFonts w:ascii="Arial" w:hAnsi="Arial" w:cs="Arial"/>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A11E97">
        <w:rPr>
          <w:rFonts w:ascii="Arial" w:hAnsi="Arial" w:cs="Arial"/>
          <w:sz w:val="21"/>
          <w:szCs w:val="21"/>
          <w:lang w:val="es-ES"/>
        </w:rPr>
        <w:t>autoridades públicas</w:t>
      </w:r>
      <w:proofErr w:type="gramEnd"/>
      <w:r w:rsidRPr="00A11E97">
        <w:rPr>
          <w:rFonts w:ascii="Arial" w:hAnsi="Arial" w:cs="Arial"/>
          <w:sz w:val="21"/>
          <w:szCs w:val="21"/>
          <w:lang w:val="es-ES"/>
        </w:rPr>
        <w:t xml:space="preserve"> y, a través de ese conocimiento, a exigir que ellas se surtan conforme a la ley</w:t>
      </w:r>
      <w:r w:rsidRPr="00A11E97">
        <w:rPr>
          <w:rStyle w:val="Refdenotaalpie"/>
          <w:rFonts w:ascii="Arial" w:eastAsia="Calibri" w:hAnsi="Arial" w:cs="Arial"/>
          <w:sz w:val="21"/>
          <w:szCs w:val="21"/>
        </w:rPr>
        <w:footnoteReference w:id="2"/>
      </w:r>
      <w:r w:rsidRPr="00A11E97">
        <w:rPr>
          <w:rFonts w:ascii="Arial" w:eastAsia="Calibri" w:hAnsi="Arial" w:cs="Arial"/>
          <w:sz w:val="21"/>
          <w:szCs w:val="21"/>
        </w:rPr>
        <w:t>.</w:t>
      </w:r>
    </w:p>
    <w:p w14:paraId="5FF83B21" w14:textId="77777777" w:rsidR="001A2559" w:rsidRPr="00A11E97" w:rsidRDefault="001A2559" w:rsidP="001A2559">
      <w:pPr>
        <w:spacing w:line="276" w:lineRule="auto"/>
        <w:ind w:right="709"/>
        <w:jc w:val="both"/>
        <w:rPr>
          <w:rFonts w:ascii="Arial" w:eastAsia="Calibri" w:hAnsi="Arial" w:cs="Arial"/>
          <w:sz w:val="22"/>
        </w:rPr>
      </w:pPr>
    </w:p>
    <w:p w14:paraId="51014D2F" w14:textId="77777777" w:rsidR="001A2559" w:rsidRPr="00A11E97" w:rsidRDefault="001A2559" w:rsidP="001A2559">
      <w:pPr>
        <w:spacing w:line="276" w:lineRule="auto"/>
        <w:ind w:firstLine="709"/>
        <w:jc w:val="both"/>
        <w:rPr>
          <w:rFonts w:ascii="Arial" w:eastAsia="Calibri" w:hAnsi="Arial" w:cs="Arial"/>
          <w:sz w:val="22"/>
        </w:rPr>
      </w:pPr>
      <w:r w:rsidRPr="00A11E97">
        <w:rPr>
          <w:rFonts w:ascii="Arial" w:eastAsia="Calibri" w:hAnsi="Arial" w:cs="Arial"/>
          <w:sz w:val="22"/>
        </w:rPr>
        <w:t xml:space="preserve">El principio de publicidad impone a las autoridades administrativas el deber de dar a conocer sus actos, contratos y decisiones, para que se divulguen y eventualmente se controlen las actuaciones. </w:t>
      </w:r>
    </w:p>
    <w:p w14:paraId="39FAE901" w14:textId="77777777" w:rsidR="001A2559" w:rsidRPr="00A11E97" w:rsidRDefault="001A2559" w:rsidP="001A2559">
      <w:pPr>
        <w:spacing w:before="120" w:after="120" w:line="276" w:lineRule="auto"/>
        <w:ind w:firstLine="709"/>
        <w:jc w:val="both"/>
        <w:rPr>
          <w:rFonts w:ascii="Arial" w:eastAsia="Calibri" w:hAnsi="Arial" w:cs="Arial"/>
          <w:sz w:val="22"/>
        </w:rPr>
      </w:pPr>
      <w:r w:rsidRPr="00A11E97">
        <w:rPr>
          <w:rFonts w:ascii="Arial" w:eastAsia="Calibri" w:hAnsi="Arial" w:cs="Arial"/>
          <w:sz w:val="22"/>
        </w:rPr>
        <w:t>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A11E97">
        <w:rPr>
          <w:rStyle w:val="Refdenotaalpie"/>
          <w:rFonts w:ascii="Arial" w:eastAsia="Calibri" w:hAnsi="Arial" w:cs="Arial"/>
          <w:sz w:val="22"/>
        </w:rPr>
        <w:footnoteReference w:id="3"/>
      </w:r>
      <w:r w:rsidRPr="00A11E97">
        <w:rPr>
          <w:rFonts w:ascii="Arial" w:eastAsia="Calibri" w:hAnsi="Arial" w:cs="Arial"/>
          <w:sz w:val="22"/>
        </w:rPr>
        <w:t xml:space="preserve">. </w:t>
      </w:r>
    </w:p>
    <w:p w14:paraId="69C9988A" w14:textId="77777777" w:rsidR="001A2559" w:rsidRPr="00A11E97" w:rsidRDefault="001A2559" w:rsidP="001A2559">
      <w:pPr>
        <w:spacing w:before="120" w:after="120" w:line="276" w:lineRule="auto"/>
        <w:ind w:firstLine="709"/>
        <w:jc w:val="both"/>
        <w:rPr>
          <w:rFonts w:ascii="Arial" w:eastAsia="Calibri" w:hAnsi="Arial" w:cs="Arial"/>
          <w:sz w:val="22"/>
        </w:rPr>
      </w:pPr>
      <w:r w:rsidRPr="00A11E97">
        <w:rPr>
          <w:rFonts w:ascii="Arial" w:hAnsi="Arial" w:cs="Arial"/>
          <w:sz w:val="22"/>
        </w:rPr>
        <w:t xml:space="preserve">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w:t>
      </w:r>
      <w:r w:rsidRPr="00A11E97">
        <w:rPr>
          <w:rFonts w:ascii="Arial" w:hAnsi="Arial" w:cs="Arial"/>
          <w:sz w:val="22"/>
        </w:rPr>
        <w:lastRenderedPageBreak/>
        <w:t>constitucional o legal»</w:t>
      </w:r>
      <w:r w:rsidRPr="00A11E97">
        <w:rPr>
          <w:rStyle w:val="Refdenotaalpie"/>
          <w:rFonts w:ascii="Arial" w:hAnsi="Arial" w:cs="Arial"/>
          <w:sz w:val="22"/>
        </w:rPr>
        <w:footnoteReference w:id="4"/>
      </w:r>
      <w:r w:rsidRPr="00A11E97">
        <w:rPr>
          <w:rFonts w:ascii="Arial" w:hAnsi="Arial" w:cs="Arial"/>
          <w:sz w:val="22"/>
        </w:rPr>
        <w:t xml:space="preserve">. El principio de transparencia en la información alude al deber de los sujetos de proporcionar y facilitar el acceso a la misma en los términos más amplios posibles, y a través de los medios y procedimientos que establezca la ley. </w:t>
      </w:r>
    </w:p>
    <w:p w14:paraId="75EDC36A" w14:textId="48A8F174" w:rsidR="001A2559" w:rsidRPr="00A11E97" w:rsidRDefault="001A2559" w:rsidP="001A2559">
      <w:pPr>
        <w:pStyle w:val="NormalWeb"/>
        <w:spacing w:before="120" w:beforeAutospacing="0" w:after="120" w:afterAutospacing="0" w:line="276" w:lineRule="auto"/>
        <w:ind w:firstLine="709"/>
        <w:jc w:val="both"/>
        <w:rPr>
          <w:rFonts w:ascii="Arial" w:eastAsiaTheme="minorHAnsi" w:hAnsi="Arial" w:cs="Arial"/>
          <w:sz w:val="22"/>
          <w:szCs w:val="22"/>
          <w:lang w:val="es-MX" w:eastAsia="en-US"/>
        </w:rPr>
      </w:pPr>
      <w:r w:rsidRPr="00A11E97">
        <w:rPr>
          <w:rFonts w:ascii="Arial" w:eastAsiaTheme="minorHAnsi" w:hAnsi="Arial" w:cs="Arial"/>
          <w:sz w:val="22"/>
          <w:szCs w:val="22"/>
          <w:lang w:val="es-MX" w:eastAsia="en-US"/>
        </w:rPr>
        <w:t>La ley citada establece, en el literal e) del artículo 9, que los sujetos obligados, que son todas las entidades públicas</w:t>
      </w:r>
      <w:r w:rsidRPr="00A11E97">
        <w:rPr>
          <w:rStyle w:val="Refdenotaalpie"/>
          <w:rFonts w:ascii="Arial" w:eastAsiaTheme="minorHAnsi" w:hAnsi="Arial" w:cs="Arial"/>
          <w:sz w:val="22"/>
          <w:szCs w:val="22"/>
          <w:lang w:val="es-MX" w:eastAsia="en-US"/>
        </w:rPr>
        <w:footnoteReference w:id="5"/>
      </w:r>
      <w:r w:rsidRPr="00A11E97">
        <w:rPr>
          <w:rFonts w:ascii="Arial" w:eastAsiaTheme="minorHAnsi" w:hAnsi="Arial" w:cs="Arial"/>
          <w:sz w:val="22"/>
          <w:szCs w:val="22"/>
          <w:lang w:val="es-MX" w:eastAsia="en-US"/>
        </w:rPr>
        <w:t>, deben publicar la información relativa a su contratación. Esta obligación fue desarrollada por el Decreto Único Reglamentario 1081 de 2015</w:t>
      </w:r>
      <w:r w:rsidRPr="00A11E97">
        <w:rPr>
          <w:rStyle w:val="Refdenotaalpie"/>
          <w:rFonts w:ascii="Arial" w:eastAsiaTheme="minorHAnsi" w:hAnsi="Arial" w:cs="Arial"/>
          <w:sz w:val="22"/>
          <w:szCs w:val="22"/>
          <w:lang w:val="es-MX" w:eastAsia="en-US"/>
        </w:rPr>
        <w:footnoteReference w:id="6"/>
      </w:r>
      <w:r w:rsidRPr="00A11E97">
        <w:rPr>
          <w:rFonts w:ascii="Arial" w:eastAsiaTheme="minorHAnsi" w:hAnsi="Arial" w:cs="Arial"/>
          <w:sz w:val="22"/>
          <w:szCs w:val="22"/>
          <w:lang w:val="es-MX" w:eastAsia="en-US"/>
        </w:rPr>
        <w:t>, el cual dispuso que la publicación de la información contractual de los sujetos obligados, que contratan con cargo a recursos públicos, debe hacerse en el Sistema Electrónico de Contratación Pública ─</w:t>
      </w:r>
      <w:r w:rsidRPr="00A11E97">
        <w:rPr>
          <w:rFonts w:ascii="Arial" w:eastAsiaTheme="minorHAnsi" w:hAnsi="Arial" w:cs="Arial"/>
          <w:sz w:val="22"/>
          <w:szCs w:val="22"/>
          <w:lang w:val="es-MX" w:eastAsia="en-US"/>
        </w:rPr>
        <w:softHyphen/>
        <w:t>SECOP.</w:t>
      </w:r>
    </w:p>
    <w:p w14:paraId="3D6EBF2E" w14:textId="77777777" w:rsidR="001A2559" w:rsidRPr="00A11E97" w:rsidRDefault="001A2559" w:rsidP="001A2559">
      <w:pPr>
        <w:spacing w:before="120" w:after="120" w:line="276" w:lineRule="auto"/>
        <w:ind w:firstLine="709"/>
        <w:jc w:val="both"/>
        <w:rPr>
          <w:rFonts w:ascii="Arial" w:hAnsi="Arial" w:cs="Arial"/>
          <w:sz w:val="22"/>
          <w:lang w:val="es-ES"/>
        </w:rPr>
      </w:pPr>
      <w:r w:rsidRPr="00A11E97">
        <w:rPr>
          <w:rFonts w:ascii="Arial" w:hAnsi="Arial" w:cs="Arial"/>
          <w:sz w:val="22"/>
        </w:rPr>
        <w:t xml:space="preserve">Asimismo, de </w:t>
      </w:r>
      <w:r w:rsidRPr="00A11E97">
        <w:rPr>
          <w:rFonts w:ascii="Arial" w:hAnsi="Arial" w:cs="Arial"/>
          <w:sz w:val="22"/>
          <w:lang w:val="es-ES"/>
        </w:rPr>
        <w:t xml:space="preserve">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5CA92359" w14:textId="77777777" w:rsidR="001A2559" w:rsidRPr="00A11E97" w:rsidRDefault="001A2559" w:rsidP="001A2559">
      <w:pPr>
        <w:spacing w:before="120" w:after="120" w:line="276" w:lineRule="auto"/>
        <w:ind w:firstLine="709"/>
        <w:jc w:val="both"/>
        <w:rPr>
          <w:rFonts w:ascii="Arial" w:eastAsia="Calibri" w:hAnsi="Arial" w:cs="Arial"/>
          <w:sz w:val="22"/>
        </w:rPr>
      </w:pPr>
      <w:r w:rsidRPr="00A11E97">
        <w:rPr>
          <w:rFonts w:ascii="Arial" w:eastAsia="Calibri" w:hAnsi="Arial" w:cs="Arial"/>
          <w:sz w:val="22"/>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A11E97">
        <w:rPr>
          <w:rStyle w:val="Refdenotaalpie"/>
          <w:rFonts w:ascii="Arial" w:eastAsia="Calibri" w:hAnsi="Arial" w:cs="Arial"/>
          <w:sz w:val="22"/>
        </w:rPr>
        <w:footnoteReference w:id="7"/>
      </w:r>
      <w:r w:rsidRPr="00A11E97">
        <w:rPr>
          <w:rFonts w:ascii="Arial" w:eastAsia="Calibri" w:hAnsi="Arial" w:cs="Arial"/>
          <w:sz w:val="22"/>
        </w:rPr>
        <w:t>.</w:t>
      </w:r>
    </w:p>
    <w:p w14:paraId="5FBDECCA" w14:textId="77777777" w:rsidR="001A2559" w:rsidRPr="00A11E97" w:rsidRDefault="001A2559" w:rsidP="001A2559">
      <w:pPr>
        <w:spacing w:before="120" w:after="120" w:line="276" w:lineRule="auto"/>
        <w:ind w:firstLine="709"/>
        <w:jc w:val="both"/>
        <w:rPr>
          <w:rFonts w:ascii="Arial" w:hAnsi="Arial" w:cs="Arial"/>
          <w:sz w:val="22"/>
          <w:lang w:val="es-ES"/>
        </w:rPr>
      </w:pPr>
      <w:r w:rsidRPr="00A11E97">
        <w:rPr>
          <w:rFonts w:ascii="Arial" w:hAnsi="Arial" w:cs="Arial"/>
          <w:sz w:val="22"/>
          <w:lang w:val="es-ES"/>
        </w:rPr>
        <w:t>Para el año 2013, la Agencia Nacional de Contratación Pública ─ Colombia Compra Eficiente, mediante la Circular Externa No 1 del</w:t>
      </w:r>
      <w:r w:rsidRPr="00A11E97">
        <w:rPr>
          <w:sz w:val="22"/>
        </w:rPr>
        <w:t xml:space="preserve"> </w:t>
      </w:r>
      <w:r w:rsidRPr="00A11E97">
        <w:rPr>
          <w:rFonts w:ascii="Arial" w:hAnsi="Arial" w:cs="Arial"/>
          <w:sz w:val="22"/>
          <w:lang w:val="es-ES"/>
        </w:rPr>
        <w:t xml:space="preserve">21 de junio de 2013, recopilada en la Circular Externa Única, recordó a todas las entidades del Estado el deber de publicar </w:t>
      </w:r>
      <w:r w:rsidRPr="00A11E97">
        <w:rPr>
          <w:rFonts w:ascii="Arial" w:hAnsi="Arial" w:cs="Arial"/>
          <w:sz w:val="22"/>
          <w:lang w:val="es-ES"/>
        </w:rPr>
        <w:lastRenderedPageBreak/>
        <w:t>oportunamente su actividad contractual en el SECOP, sin distinción de su régimen jurídico, naturaleza jurídica o la pertenencia a una u otra rama del poder público</w:t>
      </w:r>
      <w:r w:rsidRPr="00A11E97">
        <w:rPr>
          <w:rStyle w:val="Refdenotaalpie"/>
          <w:rFonts w:ascii="Arial" w:hAnsi="Arial" w:cs="Arial"/>
          <w:sz w:val="22"/>
          <w:lang w:val="es-ES"/>
        </w:rPr>
        <w:footnoteReference w:id="8"/>
      </w:r>
      <w:r w:rsidRPr="00A11E97">
        <w:rPr>
          <w:rFonts w:ascii="Arial" w:hAnsi="Arial" w:cs="Arial"/>
          <w:sz w:val="22"/>
          <w:lang w:val="es-ES"/>
        </w:rPr>
        <w:t>. Además,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1431EAF6" w14:textId="77777777" w:rsidR="001A2559" w:rsidRPr="00A11E97" w:rsidRDefault="001A2559" w:rsidP="001A2559">
      <w:pPr>
        <w:spacing w:line="276" w:lineRule="auto"/>
        <w:ind w:firstLine="709"/>
        <w:jc w:val="both"/>
        <w:rPr>
          <w:rFonts w:ascii="Arial" w:hAnsi="Arial" w:cs="Arial"/>
          <w:sz w:val="22"/>
          <w:lang w:val="es-ES"/>
        </w:rPr>
      </w:pPr>
      <w:r w:rsidRPr="00A11E97">
        <w:rPr>
          <w:rFonts w:ascii="Arial" w:hAnsi="Arial" w:cs="Arial"/>
          <w:sz w:val="22"/>
          <w:lang w:val="es-ES"/>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5A0F9038" w14:textId="77777777" w:rsidR="001A2559" w:rsidRPr="00A11E97" w:rsidRDefault="001A2559" w:rsidP="001A2559">
      <w:pPr>
        <w:spacing w:line="276" w:lineRule="auto"/>
        <w:jc w:val="both"/>
        <w:rPr>
          <w:rFonts w:ascii="Arial" w:hAnsi="Arial" w:cs="Arial"/>
          <w:sz w:val="22"/>
          <w:lang w:val="es-ES"/>
        </w:rPr>
      </w:pPr>
    </w:p>
    <w:p w14:paraId="221C9EAB" w14:textId="77777777" w:rsidR="001A2559" w:rsidRPr="00A11E97" w:rsidRDefault="001A2559" w:rsidP="001A2559">
      <w:pPr>
        <w:tabs>
          <w:tab w:val="left" w:pos="3885"/>
        </w:tabs>
        <w:ind w:left="709" w:right="709"/>
        <w:jc w:val="both"/>
        <w:rPr>
          <w:rFonts w:ascii="Arial" w:hAnsi="Arial" w:cs="Arial"/>
          <w:sz w:val="21"/>
          <w:szCs w:val="21"/>
          <w:lang w:val="es-ES"/>
        </w:rPr>
      </w:pPr>
      <w:r w:rsidRPr="00A11E97">
        <w:rPr>
          <w:rFonts w:ascii="Arial" w:hAnsi="Arial" w:cs="Arial"/>
          <w:sz w:val="21"/>
          <w:szCs w:val="21"/>
          <w:lang w:val="es-ES"/>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3EFFD64B" w14:textId="77777777" w:rsidR="001A2559" w:rsidRPr="00A11E97" w:rsidRDefault="001A2559" w:rsidP="001A2559">
      <w:pPr>
        <w:tabs>
          <w:tab w:val="left" w:pos="3885"/>
        </w:tabs>
        <w:ind w:left="709" w:right="709"/>
        <w:jc w:val="both"/>
        <w:rPr>
          <w:rFonts w:ascii="Arial" w:hAnsi="Arial" w:cs="Arial"/>
          <w:sz w:val="21"/>
          <w:szCs w:val="21"/>
          <w:lang w:val="es-ES"/>
        </w:rPr>
      </w:pPr>
    </w:p>
    <w:p w14:paraId="77CCE2B8" w14:textId="77777777" w:rsidR="001A2559" w:rsidRPr="00A11E97" w:rsidRDefault="001A2559" w:rsidP="001A2559">
      <w:pPr>
        <w:tabs>
          <w:tab w:val="left" w:pos="3885"/>
        </w:tabs>
        <w:ind w:left="709" w:right="709"/>
        <w:jc w:val="both"/>
        <w:rPr>
          <w:rFonts w:ascii="Arial" w:hAnsi="Arial" w:cs="Arial"/>
          <w:sz w:val="21"/>
          <w:szCs w:val="21"/>
          <w:lang w:val="es-ES"/>
        </w:rPr>
      </w:pPr>
      <w:r w:rsidRPr="00A11E97">
        <w:rPr>
          <w:rFonts w:ascii="Arial" w:hAnsi="Arial" w:cs="Arial"/>
          <w:sz w:val="21"/>
          <w:szCs w:val="21"/>
          <w:lang w:val="es-ES"/>
        </w:rPr>
        <w:t>11.5. ─Y es que, si se quiere en términos más detallados el literal c) del artículo 3o de la Ley en comento responde claramente las siguientes inquietudes: ¿Quiénes están obligados? los que realizan contratación con dineros públicos; ¿</w:t>
      </w:r>
      <w:proofErr w:type="gramStart"/>
      <w:r w:rsidRPr="00A11E97">
        <w:rPr>
          <w:rFonts w:ascii="Arial" w:hAnsi="Arial" w:cs="Arial"/>
          <w:sz w:val="21"/>
          <w:szCs w:val="21"/>
          <w:lang w:val="es-ES"/>
        </w:rPr>
        <w:t>en razón de</w:t>
      </w:r>
      <w:proofErr w:type="gramEnd"/>
      <w:r w:rsidRPr="00A11E97">
        <w:rPr>
          <w:rFonts w:ascii="Arial" w:hAnsi="Arial" w:cs="Arial"/>
          <w:sz w:val="21"/>
          <w:szCs w:val="21"/>
          <w:lang w:val="es-ES"/>
        </w:rPr>
        <w:t xml:space="preserv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0A22A721" w14:textId="77777777" w:rsidR="001A2559" w:rsidRPr="00A11E97" w:rsidRDefault="001A2559" w:rsidP="001A2559">
      <w:pPr>
        <w:tabs>
          <w:tab w:val="left" w:pos="3885"/>
        </w:tabs>
        <w:ind w:left="709" w:right="709"/>
        <w:jc w:val="both"/>
        <w:rPr>
          <w:rFonts w:ascii="Arial" w:hAnsi="Arial" w:cs="Arial"/>
          <w:sz w:val="21"/>
          <w:szCs w:val="21"/>
          <w:lang w:val="es-ES"/>
        </w:rPr>
      </w:pPr>
      <w:r w:rsidRPr="00A11E97">
        <w:rPr>
          <w:rFonts w:ascii="Arial" w:hAnsi="Arial" w:cs="Arial"/>
          <w:sz w:val="21"/>
          <w:szCs w:val="21"/>
          <w:lang w:val="es-ES"/>
        </w:rPr>
        <w:t>[…]</w:t>
      </w:r>
    </w:p>
    <w:p w14:paraId="6E72613F" w14:textId="77777777" w:rsidR="001A2559" w:rsidRPr="00A11E97" w:rsidRDefault="001A2559" w:rsidP="001A2559">
      <w:pPr>
        <w:tabs>
          <w:tab w:val="left" w:pos="3885"/>
        </w:tabs>
        <w:ind w:left="709" w:right="709"/>
        <w:jc w:val="both"/>
        <w:rPr>
          <w:rFonts w:ascii="Arial" w:hAnsi="Arial" w:cs="Arial"/>
          <w:sz w:val="21"/>
          <w:szCs w:val="21"/>
          <w:lang w:val="es-ES"/>
        </w:rPr>
      </w:pPr>
    </w:p>
    <w:p w14:paraId="350999EF" w14:textId="77777777" w:rsidR="001A2559" w:rsidRPr="00A11E97" w:rsidRDefault="001A2559" w:rsidP="001A2559">
      <w:pPr>
        <w:tabs>
          <w:tab w:val="left" w:pos="3885"/>
        </w:tabs>
        <w:ind w:left="709" w:right="709"/>
        <w:jc w:val="both"/>
        <w:rPr>
          <w:rFonts w:ascii="Arial" w:hAnsi="Arial" w:cs="Arial"/>
          <w:sz w:val="21"/>
          <w:szCs w:val="21"/>
          <w:lang w:val="es-ES"/>
        </w:rPr>
      </w:pPr>
      <w:r w:rsidRPr="00A11E97">
        <w:rPr>
          <w:rFonts w:ascii="Arial" w:hAnsi="Arial" w:cs="Arial"/>
          <w:sz w:val="21"/>
          <w:szCs w:val="21"/>
          <w:lang w:val="es-ES"/>
        </w:rPr>
        <w:t xml:space="preserve">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w:t>
      </w:r>
      <w:r w:rsidRPr="00A11E97">
        <w:rPr>
          <w:rFonts w:ascii="Arial" w:hAnsi="Arial" w:cs="Arial"/>
          <w:sz w:val="21"/>
          <w:szCs w:val="21"/>
          <w:lang w:val="es-ES"/>
        </w:rPr>
        <w:lastRenderedPageBreak/>
        <w:t>Y, agrega este Despacho, este deber vino a ser reiterado [no creado] en la Ley 1712 de 2014</w:t>
      </w:r>
      <w:r w:rsidRPr="00A11E97">
        <w:rPr>
          <w:rStyle w:val="Refdenotaalpie"/>
          <w:rFonts w:ascii="Arial" w:hAnsi="Arial" w:cs="Arial"/>
          <w:sz w:val="21"/>
          <w:szCs w:val="21"/>
        </w:rPr>
        <w:footnoteReference w:id="9"/>
      </w:r>
      <w:r w:rsidRPr="00A11E97">
        <w:rPr>
          <w:rStyle w:val="Refdenotaalpie"/>
          <w:rFonts w:ascii="Arial" w:hAnsi="Arial" w:cs="Arial"/>
          <w:sz w:val="21"/>
          <w:szCs w:val="21"/>
        </w:rPr>
        <w:t>.</w:t>
      </w:r>
    </w:p>
    <w:p w14:paraId="4C633CF7" w14:textId="77777777" w:rsidR="001A2559" w:rsidRPr="00A11E97" w:rsidRDefault="001A2559" w:rsidP="001A2559">
      <w:pPr>
        <w:tabs>
          <w:tab w:val="left" w:pos="3885"/>
        </w:tabs>
        <w:spacing w:line="276" w:lineRule="auto"/>
        <w:ind w:left="709" w:right="709"/>
        <w:jc w:val="both"/>
        <w:rPr>
          <w:rFonts w:ascii="Arial" w:eastAsia="Calibri" w:hAnsi="Arial" w:cs="Arial"/>
          <w:sz w:val="22"/>
        </w:rPr>
      </w:pPr>
    </w:p>
    <w:p w14:paraId="1626B317" w14:textId="77777777" w:rsidR="001A2559" w:rsidRPr="00A11E97" w:rsidRDefault="001A2559" w:rsidP="001A2559">
      <w:pPr>
        <w:spacing w:line="276" w:lineRule="auto"/>
        <w:ind w:firstLine="708"/>
        <w:jc w:val="both"/>
        <w:rPr>
          <w:rFonts w:ascii="Arial" w:hAnsi="Arial" w:cs="Arial"/>
          <w:sz w:val="22"/>
          <w:lang w:val="es-ES"/>
        </w:rPr>
      </w:pPr>
      <w:r w:rsidRPr="00A11E97">
        <w:rPr>
          <w:rFonts w:ascii="Arial" w:hAnsi="Arial" w:cs="Arial"/>
          <w:sz w:val="22"/>
          <w:lang w:val="es-ES"/>
        </w:rPr>
        <w:t xml:space="preserve">Adicionalmente, el deber de hacer pública la información contractual oficial no se determina por la naturaleza de la entidad ejecutora ─pública o privada─, ni del régimen sustantivo contractual que aplique, sea de la Ley 80 de 1993 o de los regímenes exceptuados. En particular, sobre el deber de publicidad de estos, el Consejo de Estado sostuvo: </w:t>
      </w:r>
    </w:p>
    <w:p w14:paraId="65B12749" w14:textId="77777777" w:rsidR="001A2559" w:rsidRPr="00A11E97" w:rsidRDefault="001A2559" w:rsidP="001A2559">
      <w:pPr>
        <w:ind w:leftChars="709" w:left="1702" w:right="709" w:firstLine="2"/>
        <w:jc w:val="both"/>
        <w:rPr>
          <w:rFonts w:ascii="Arial" w:hAnsi="Arial" w:cs="Arial"/>
          <w:sz w:val="21"/>
          <w:szCs w:val="21"/>
          <w:lang w:val="es-ES"/>
        </w:rPr>
      </w:pPr>
    </w:p>
    <w:p w14:paraId="583D029F" w14:textId="77777777" w:rsidR="001A2559" w:rsidRPr="00A11E97" w:rsidRDefault="001A2559" w:rsidP="001A2559">
      <w:pPr>
        <w:ind w:leftChars="295" w:left="708" w:right="709"/>
        <w:jc w:val="both"/>
        <w:rPr>
          <w:rFonts w:ascii="Arial" w:hAnsi="Arial" w:cs="Arial"/>
          <w:sz w:val="21"/>
          <w:szCs w:val="21"/>
          <w:lang w:val="es-ES"/>
        </w:rPr>
      </w:pPr>
      <w:r w:rsidRPr="00A11E97">
        <w:rPr>
          <w:rFonts w:ascii="Arial" w:hAnsi="Arial" w:cs="Arial"/>
          <w:sz w:val="21"/>
          <w:szCs w:val="21"/>
          <w:lang w:val="es-ES"/>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379A6534" w14:textId="77777777" w:rsidR="001A2559" w:rsidRPr="00A11E97" w:rsidRDefault="001A2559" w:rsidP="001A2559">
      <w:pPr>
        <w:spacing w:line="276" w:lineRule="auto"/>
        <w:ind w:leftChars="709" w:left="1702" w:right="709"/>
        <w:jc w:val="both"/>
        <w:rPr>
          <w:rFonts w:ascii="Arial" w:hAnsi="Arial" w:cs="Arial"/>
          <w:sz w:val="21"/>
          <w:szCs w:val="21"/>
          <w:lang w:val="es-ES"/>
        </w:rPr>
      </w:pPr>
    </w:p>
    <w:p w14:paraId="392954C2" w14:textId="77777777" w:rsidR="001A2559" w:rsidRPr="00A11E97" w:rsidRDefault="001A2559" w:rsidP="001A2559">
      <w:pPr>
        <w:spacing w:line="276" w:lineRule="auto"/>
        <w:ind w:firstLine="708"/>
        <w:jc w:val="both"/>
        <w:rPr>
          <w:rFonts w:ascii="Arial" w:hAnsi="Arial" w:cs="Arial"/>
          <w:sz w:val="22"/>
          <w:lang w:val="es-ES"/>
        </w:rPr>
      </w:pPr>
      <w:r w:rsidRPr="00A11E97">
        <w:rPr>
          <w:rFonts w:ascii="Arial" w:hAnsi="Arial" w:cs="Arial"/>
          <w:sz w:val="22"/>
          <w:lang w:val="es-ES"/>
        </w:rPr>
        <w:t xml:space="preserve">Nótese, entonces, que el Consejo de Estado asumió como criterio para determinar la obligatoriedad de publicar en el SECOP que la contratación se haga con recursos públicos, conclusión que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01A55A4A" w14:textId="77777777" w:rsidR="001A2559" w:rsidRPr="00A11E97" w:rsidRDefault="001A2559" w:rsidP="001A2559">
      <w:pPr>
        <w:spacing w:line="276" w:lineRule="auto"/>
        <w:jc w:val="both"/>
        <w:rPr>
          <w:rFonts w:ascii="Arial" w:hAnsi="Arial" w:cs="Arial"/>
          <w:sz w:val="22"/>
          <w:lang w:val="es-ES"/>
        </w:rPr>
      </w:pPr>
    </w:p>
    <w:p w14:paraId="3F858B1F" w14:textId="77777777" w:rsidR="001A2559" w:rsidRPr="00A11E97" w:rsidRDefault="001A2559" w:rsidP="001A2559">
      <w:pPr>
        <w:tabs>
          <w:tab w:val="left" w:pos="284"/>
          <w:tab w:val="left" w:pos="426"/>
        </w:tabs>
        <w:spacing w:line="276" w:lineRule="auto"/>
        <w:jc w:val="both"/>
        <w:rPr>
          <w:rFonts w:ascii="Arial" w:hAnsi="Arial" w:cs="Arial"/>
          <w:b/>
          <w:sz w:val="22"/>
          <w:lang w:val="es-ES"/>
        </w:rPr>
      </w:pPr>
      <w:r w:rsidRPr="00A11E97">
        <w:rPr>
          <w:rFonts w:ascii="Arial" w:hAnsi="Arial" w:cs="Arial"/>
          <w:b/>
          <w:sz w:val="22"/>
          <w:lang w:val="es-ES"/>
        </w:rPr>
        <w:t xml:space="preserve">2.2. Precedentes de Colombia Compra Eficiente sobre los documentos que deben publicar en el SECOP las entidades de régimen especial </w:t>
      </w:r>
    </w:p>
    <w:p w14:paraId="0136ED9F" w14:textId="77777777" w:rsidR="001A2559" w:rsidRPr="00A11E97" w:rsidRDefault="001A2559" w:rsidP="001A2559">
      <w:pPr>
        <w:pStyle w:val="Prrafodelista"/>
        <w:spacing w:line="276" w:lineRule="auto"/>
        <w:ind w:left="0"/>
        <w:jc w:val="both"/>
        <w:rPr>
          <w:rFonts w:ascii="Arial" w:hAnsi="Arial" w:cs="Arial"/>
          <w:b/>
          <w:sz w:val="22"/>
          <w:lang w:val="es-ES"/>
        </w:rPr>
      </w:pPr>
    </w:p>
    <w:p w14:paraId="3346A509" w14:textId="77777777" w:rsidR="001A2559" w:rsidRPr="00A11E97" w:rsidRDefault="001A2559" w:rsidP="001A2559">
      <w:pPr>
        <w:pStyle w:val="Prrafodelista"/>
        <w:spacing w:line="276" w:lineRule="auto"/>
        <w:ind w:left="0"/>
        <w:jc w:val="both"/>
        <w:rPr>
          <w:rFonts w:ascii="Arial" w:eastAsia="Calibri" w:hAnsi="Arial" w:cs="Arial"/>
          <w:sz w:val="22"/>
          <w:lang w:val="es-ES"/>
        </w:rPr>
      </w:pPr>
      <w:r w:rsidRPr="00A11E97">
        <w:rPr>
          <w:rFonts w:ascii="Arial" w:eastAsia="Calibri" w:hAnsi="Arial" w:cs="Arial"/>
          <w:sz w:val="22"/>
          <w:lang w:val="es-ES"/>
        </w:rPr>
        <w:t xml:space="preserve">Determinada la obligación que tienen las entidades sujetas a un régimen especial de publicar su actividad contractual en el SECOP, a </w:t>
      </w:r>
      <w:proofErr w:type="gramStart"/>
      <w:r w:rsidRPr="00A11E97">
        <w:rPr>
          <w:rFonts w:ascii="Arial" w:eastAsia="Calibri" w:hAnsi="Arial" w:cs="Arial"/>
          <w:sz w:val="22"/>
          <w:lang w:val="es-ES"/>
        </w:rPr>
        <w:t>continuación</w:t>
      </w:r>
      <w:proofErr w:type="gramEnd"/>
      <w:r w:rsidRPr="00A11E97">
        <w:rPr>
          <w:rFonts w:ascii="Arial" w:eastAsia="Calibri" w:hAnsi="Arial" w:cs="Arial"/>
          <w:sz w:val="22"/>
          <w:lang w:val="es-ES"/>
        </w:rPr>
        <w:t xml:space="preserve"> se identificarán los documentos que deben publicar, n</w:t>
      </w:r>
      <w:r w:rsidRPr="00A11E97">
        <w:rPr>
          <w:rFonts w:ascii="Arial" w:hAnsi="Arial" w:cs="Arial"/>
          <w:bCs/>
          <w:sz w:val="22"/>
          <w:lang w:val="es-ES"/>
        </w:rPr>
        <w:t>o sin antes explicar la posición que la Agencia Nacional de Contratación Pública ─ Colombia Compra Eficiente ha adoptado desde el 2016 hasta el 2019.</w:t>
      </w:r>
    </w:p>
    <w:p w14:paraId="38360D8F" w14:textId="77777777" w:rsidR="001A2559" w:rsidRPr="00A11E97" w:rsidRDefault="001A2559" w:rsidP="001A2559">
      <w:pPr>
        <w:spacing w:before="120" w:after="120" w:line="276" w:lineRule="auto"/>
        <w:ind w:firstLine="709"/>
        <w:jc w:val="both"/>
        <w:rPr>
          <w:rFonts w:ascii="Arial" w:hAnsi="Arial" w:cs="Arial"/>
          <w:bCs/>
          <w:sz w:val="22"/>
          <w:lang w:val="es-ES"/>
        </w:rPr>
      </w:pPr>
      <w:r w:rsidRPr="00A11E97">
        <w:rPr>
          <w:rFonts w:ascii="Arial" w:hAnsi="Arial" w:cs="Arial"/>
          <w:bCs/>
          <w:sz w:val="22"/>
          <w:lang w:val="es-ES"/>
        </w:rPr>
        <w:t xml:space="preserve">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w:t>
      </w:r>
      <w:r w:rsidRPr="00A11E97">
        <w:rPr>
          <w:rFonts w:ascii="Arial" w:hAnsi="Arial" w:cs="Arial"/>
          <w:bCs/>
          <w:sz w:val="22"/>
          <w:lang w:val="es-ES"/>
        </w:rPr>
        <w:lastRenderedPageBreak/>
        <w:t>proceso que define el Decreto 1082 de 2015, así como lo relativo a la ejecución del contrato. Lo anterior se fundamentó en el literal c) del artículo 3 de la Ley 1150 de 2007</w:t>
      </w:r>
      <w:r w:rsidRPr="00A11E97">
        <w:rPr>
          <w:rStyle w:val="Refdenotaalpie"/>
          <w:rFonts w:ascii="Arial" w:hAnsi="Arial" w:cs="Arial"/>
          <w:bCs/>
          <w:sz w:val="22"/>
          <w:lang w:val="es-ES"/>
        </w:rPr>
        <w:footnoteReference w:id="10"/>
      </w:r>
      <w:r w:rsidRPr="00A11E97">
        <w:rPr>
          <w:rFonts w:ascii="Arial" w:hAnsi="Arial" w:cs="Arial"/>
          <w:bCs/>
          <w:sz w:val="22"/>
          <w:lang w:val="es-ES"/>
        </w:rPr>
        <w:t>.</w:t>
      </w:r>
    </w:p>
    <w:p w14:paraId="0CB2EA47" w14:textId="77777777" w:rsidR="001A2559" w:rsidRPr="00A11E97" w:rsidRDefault="001A2559" w:rsidP="001A2559">
      <w:pPr>
        <w:pStyle w:val="Prrafodelista"/>
        <w:spacing w:before="120" w:after="120" w:line="276" w:lineRule="auto"/>
        <w:ind w:left="0" w:firstLine="709"/>
        <w:jc w:val="both"/>
        <w:rPr>
          <w:rFonts w:ascii="Arial" w:eastAsia="Calibri" w:hAnsi="Arial" w:cs="Arial"/>
          <w:sz w:val="22"/>
          <w:lang w:val="es-ES"/>
        </w:rPr>
      </w:pPr>
      <w:r w:rsidRPr="00A11E97">
        <w:rPr>
          <w:rFonts w:ascii="Arial" w:hAnsi="Arial" w:cs="Arial"/>
          <w:sz w:val="22"/>
          <w:lang w:val="es-ES"/>
        </w:rPr>
        <w:t xml:space="preserve">En este sentido, la Agencia Nacional de Contratación Pública, en virtud del literal c) del artículo 3 de la Ley 1150 de 2007, reconoció la obligatoriedad, por parte de las entidades de régimen especial, de publicar su actividad contractual en el SECOP. Ahora, con fundamento en el artículo 2.2.1.1.1.3.1 del Decreto 1082 de 2015, normativa que aplica a las entidades que se rigen por la Ley 80 de 1993, se enunciaron los </w:t>
      </w:r>
      <w:r w:rsidRPr="00A11E97">
        <w:rPr>
          <w:rFonts w:ascii="Arial" w:eastAsia="Calibri" w:hAnsi="Arial" w:cs="Arial"/>
          <w:sz w:val="22"/>
          <w:lang w:val="es-ES"/>
        </w:rPr>
        <w:t xml:space="preserve">documentos del proceso que se debían publicar. </w:t>
      </w:r>
    </w:p>
    <w:p w14:paraId="46D24DF4" w14:textId="77777777" w:rsidR="001A2559" w:rsidRPr="00A11E97" w:rsidRDefault="001A2559" w:rsidP="001A2559">
      <w:pPr>
        <w:spacing w:before="120" w:after="120" w:line="276" w:lineRule="auto"/>
        <w:ind w:firstLine="709"/>
        <w:jc w:val="both"/>
        <w:rPr>
          <w:rFonts w:ascii="Arial" w:eastAsia="Calibri" w:hAnsi="Arial" w:cs="Arial"/>
          <w:sz w:val="22"/>
          <w:lang w:val="es-ES"/>
        </w:rPr>
      </w:pPr>
      <w:r w:rsidRPr="00A11E97">
        <w:rPr>
          <w:rFonts w:ascii="Arial" w:eastAsia="Calibri" w:hAnsi="Arial" w:cs="Arial"/>
          <w:sz w:val="22"/>
          <w:lang w:val="es-ES"/>
        </w:rPr>
        <w:t xml:space="preserve">Posteriormente, en el año 2018, cambió el fundamento normativo que define los </w:t>
      </w:r>
      <w:r w:rsidRPr="00A11E97">
        <w:rPr>
          <w:rFonts w:ascii="Arial" w:hAnsi="Arial" w:cs="Arial"/>
          <w:sz w:val="22"/>
          <w:lang w:val="es-ES"/>
        </w:rPr>
        <w:t>documentos</w:t>
      </w:r>
      <w:r w:rsidRPr="00A11E97">
        <w:rPr>
          <w:rFonts w:ascii="Arial" w:eastAsia="Calibri" w:hAnsi="Arial" w:cs="Arial"/>
          <w:sz w:val="22"/>
          <w:lang w:val="es-ES"/>
        </w:rPr>
        <w:t xml:space="preserve">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A11E97">
        <w:rPr>
          <w:rStyle w:val="Refdenotaalpie"/>
          <w:rFonts w:ascii="Arial" w:eastAsia="Calibri" w:hAnsi="Arial" w:cs="Arial"/>
          <w:sz w:val="22"/>
          <w:lang w:val="es-ES"/>
        </w:rPr>
        <w:footnoteReference w:id="11"/>
      </w:r>
      <w:r w:rsidRPr="00A11E97">
        <w:rPr>
          <w:rFonts w:ascii="Arial" w:eastAsia="Calibri" w:hAnsi="Arial" w:cs="Arial"/>
          <w:sz w:val="22"/>
          <w:lang w:val="es-ES"/>
        </w:rPr>
        <w:t xml:space="preserve">. </w:t>
      </w:r>
    </w:p>
    <w:p w14:paraId="0D057145" w14:textId="77777777" w:rsidR="001A2559" w:rsidRPr="00A11E97" w:rsidRDefault="001A2559" w:rsidP="001A2559">
      <w:pPr>
        <w:spacing w:before="120" w:after="120" w:line="276" w:lineRule="auto"/>
        <w:ind w:firstLine="709"/>
        <w:jc w:val="both"/>
        <w:rPr>
          <w:rFonts w:ascii="Arial" w:eastAsia="Calibri" w:hAnsi="Arial" w:cs="Arial"/>
          <w:sz w:val="22"/>
          <w:lang w:val="es-ES"/>
        </w:rPr>
      </w:pPr>
      <w:r w:rsidRPr="00A11E97">
        <w:rPr>
          <w:rFonts w:ascii="Arial" w:eastAsia="Calibri" w:hAnsi="Arial" w:cs="Arial"/>
          <w:sz w:val="22"/>
          <w:lang w:val="es-ES"/>
        </w:rPr>
        <w:t xml:space="preserve">Conforme a lo anterior, en un primer momento la Agencia Nacional de Contratación Pública definió los documentos del proceso que las entidades de régimen especial debían publicar en el SECOP, con fundamento en el artículo 2.2.1.1.1.3.1 del Decreto 1082 de </w:t>
      </w:r>
      <w:r w:rsidRPr="00A11E97">
        <w:rPr>
          <w:rFonts w:ascii="Arial" w:eastAsia="Calibri" w:hAnsi="Arial" w:cs="Arial"/>
          <w:sz w:val="22"/>
          <w:lang w:val="es-ES"/>
        </w:rPr>
        <w:lastRenderedPageBreak/>
        <w:t xml:space="preserve">2015; en un segundo momento se identificaron los documentos en virtud del literal g), del artículo 11 de la Ley 1712 de 2014 y lo previsto en el Decreto 103 de 2015. Esta posición es la que se acogerá y desarrollará en esta consulta. </w:t>
      </w:r>
    </w:p>
    <w:p w14:paraId="24D71F90" w14:textId="77777777" w:rsidR="001A2559" w:rsidRPr="00A11E97" w:rsidRDefault="001A2559" w:rsidP="001A2559">
      <w:pPr>
        <w:spacing w:before="120" w:after="120" w:line="276" w:lineRule="auto"/>
        <w:ind w:firstLine="709"/>
        <w:jc w:val="both"/>
        <w:rPr>
          <w:rFonts w:ascii="Arial" w:eastAsia="Calibri" w:hAnsi="Arial" w:cs="Arial"/>
          <w:sz w:val="22"/>
        </w:rPr>
      </w:pPr>
      <w:r w:rsidRPr="00A11E97">
        <w:rPr>
          <w:rFonts w:ascii="Arial" w:eastAsia="Calibri" w:hAnsi="Arial" w:cs="Arial"/>
          <w:sz w:val="22"/>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w:t>
      </w:r>
      <w:r w:rsidRPr="00A11E97">
        <w:rPr>
          <w:rFonts w:ascii="Arial" w:eastAsia="Calibri" w:hAnsi="Arial" w:cs="Arial"/>
          <w:sz w:val="22"/>
          <w:lang w:val="es-ES"/>
        </w:rPr>
        <w:t>compras</w:t>
      </w:r>
      <w:r w:rsidRPr="00A11E97">
        <w:rPr>
          <w:rFonts w:ascii="Arial" w:eastAsia="Calibri" w:hAnsi="Arial" w:cs="Arial"/>
          <w:sz w:val="22"/>
        </w:rPr>
        <w:t xml:space="preserve">, así como todos los datos de adjudicación y ejecución de sus contratos. Lo anterior implica que se deberá publicar cada procedimiento para la adquisición de un producto o servicio, incluidos los datos de adjudicación y ejecución del contrato. </w:t>
      </w:r>
    </w:p>
    <w:p w14:paraId="6BE29354" w14:textId="1443B833" w:rsidR="001A2559" w:rsidRPr="00A11E97" w:rsidRDefault="001A2559" w:rsidP="001A2559">
      <w:pPr>
        <w:spacing w:before="120" w:after="120" w:line="276" w:lineRule="auto"/>
        <w:ind w:firstLine="709"/>
        <w:jc w:val="both"/>
        <w:rPr>
          <w:rFonts w:ascii="Arial" w:eastAsia="Calibri" w:hAnsi="Arial" w:cs="Arial"/>
          <w:sz w:val="22"/>
        </w:rPr>
      </w:pPr>
      <w:r w:rsidRPr="00A11E97">
        <w:rPr>
          <w:rFonts w:ascii="Arial" w:eastAsia="Calibri" w:hAnsi="Arial" w:cs="Arial"/>
          <w:sz w:val="22"/>
        </w:rPr>
        <w:t>Luego, el Decreto reglamentario 103 de 2015, «Por el cual se reglamenta parcialmente la Ley 1712 de 2014 y se dictan otras disposiciones», en el artículo 8, señala, de forma enunciativa, que se debe publicar la información relativa a la ejecución del contrato, como las aprobaciones, autorizaciones, requerimientos o informes del supervisor o interventor, que aprueben la ejecución del contrato</w:t>
      </w:r>
      <w:r w:rsidRPr="00A11E97">
        <w:rPr>
          <w:rStyle w:val="Refdenotaalpie"/>
          <w:rFonts w:ascii="Arial" w:eastAsia="Calibri" w:hAnsi="Arial" w:cs="Arial"/>
          <w:sz w:val="22"/>
        </w:rPr>
        <w:footnoteReference w:id="12"/>
      </w:r>
      <w:r w:rsidRPr="00A11E97">
        <w:rPr>
          <w:rFonts w:ascii="Arial" w:eastAsia="Calibri" w:hAnsi="Arial" w:cs="Arial"/>
          <w:sz w:val="22"/>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A11E97">
        <w:rPr>
          <w:rStyle w:val="Refdenotaalpie"/>
          <w:rFonts w:ascii="Arial" w:eastAsia="Calibri" w:hAnsi="Arial" w:cs="Arial"/>
          <w:sz w:val="22"/>
        </w:rPr>
        <w:footnoteReference w:id="13"/>
      </w:r>
      <w:r w:rsidRPr="00A11E97">
        <w:rPr>
          <w:rFonts w:ascii="Arial" w:eastAsia="Calibri" w:hAnsi="Arial" w:cs="Arial"/>
          <w:sz w:val="22"/>
        </w:rPr>
        <w:t>. Finalmente, el artículo 10 establece la obligación que tienen las entidades de publicar en el SECOP el Plan Anual de Adquisiciones</w:t>
      </w:r>
      <w:r w:rsidRPr="00A11E97">
        <w:rPr>
          <w:rStyle w:val="Refdenotaalpie"/>
          <w:rFonts w:ascii="Arial" w:eastAsia="Calibri" w:hAnsi="Arial" w:cs="Arial"/>
          <w:sz w:val="22"/>
        </w:rPr>
        <w:footnoteReference w:id="14"/>
      </w:r>
      <w:r w:rsidRPr="00A11E97">
        <w:rPr>
          <w:rFonts w:ascii="Arial" w:eastAsia="Calibri" w:hAnsi="Arial" w:cs="Arial"/>
          <w:sz w:val="22"/>
        </w:rPr>
        <w:t xml:space="preserve">. </w:t>
      </w:r>
    </w:p>
    <w:p w14:paraId="6E3AEA4F" w14:textId="77777777" w:rsidR="001A2559" w:rsidRPr="00A11E97" w:rsidRDefault="001A2559" w:rsidP="001A2559">
      <w:pPr>
        <w:spacing w:before="120" w:after="120" w:line="276" w:lineRule="auto"/>
        <w:ind w:firstLine="709"/>
        <w:jc w:val="both"/>
        <w:rPr>
          <w:rFonts w:ascii="Arial" w:eastAsia="Calibri" w:hAnsi="Arial" w:cs="Arial"/>
          <w:sz w:val="22"/>
        </w:rPr>
      </w:pPr>
      <w:r w:rsidRPr="00A11E97">
        <w:rPr>
          <w:rFonts w:ascii="Arial" w:eastAsia="Calibri" w:hAnsi="Arial" w:cs="Arial"/>
          <w:sz w:val="22"/>
        </w:rPr>
        <w:lastRenderedPageBreak/>
        <w:t xml:space="preserve">De conformidad con lo anterior, el Decreto 103 de 2015 señala que los documentos que deben publicar las entidades estatales, entre estas las empresas sociales del Estado exceptuadas, independientemente de su régimen contractual aplicable, son: i) las autorizaciones, requerimientos, aprobaciones o informes del supervisor o del interventor, que prueben la ejecución del contrato, </w:t>
      </w:r>
      <w:proofErr w:type="spellStart"/>
      <w:r w:rsidRPr="00A11E97">
        <w:rPr>
          <w:rFonts w:ascii="Arial" w:eastAsia="Calibri" w:hAnsi="Arial" w:cs="Arial"/>
          <w:sz w:val="22"/>
        </w:rPr>
        <w:t>ii</w:t>
      </w:r>
      <w:proofErr w:type="spellEnd"/>
      <w:r w:rsidRPr="00A11E97">
        <w:rPr>
          <w:rFonts w:ascii="Arial" w:eastAsia="Calibri" w:hAnsi="Arial" w:cs="Arial"/>
          <w:sz w:val="22"/>
        </w:rPr>
        <w:t xml:space="preserve">) los procedimientos, lineamientos y políticas en materia de adquisición que corresponden a los  documentos que los conforman, previstos en el manual de contratación de la entidad, y finalmente, </w:t>
      </w:r>
      <w:proofErr w:type="spellStart"/>
      <w:r w:rsidRPr="00A11E97">
        <w:rPr>
          <w:rFonts w:ascii="Arial" w:eastAsia="Calibri" w:hAnsi="Arial" w:cs="Arial"/>
          <w:sz w:val="22"/>
        </w:rPr>
        <w:t>iii</w:t>
      </w:r>
      <w:proofErr w:type="spellEnd"/>
      <w:r w:rsidRPr="00A11E97">
        <w:rPr>
          <w:rFonts w:ascii="Arial" w:eastAsia="Calibri" w:hAnsi="Arial" w:cs="Arial"/>
          <w:sz w:val="22"/>
        </w:rPr>
        <w:t xml:space="preserve">) el plan anual de adquisiciones. </w:t>
      </w:r>
    </w:p>
    <w:p w14:paraId="653BCF02" w14:textId="77777777" w:rsidR="001A2559" w:rsidRPr="00A11E97" w:rsidRDefault="001A2559" w:rsidP="001A2559">
      <w:pPr>
        <w:spacing w:before="120" w:after="120" w:line="276" w:lineRule="auto"/>
        <w:ind w:firstLine="709"/>
        <w:jc w:val="both"/>
        <w:rPr>
          <w:rFonts w:ascii="Arial" w:eastAsia="Calibri" w:hAnsi="Arial" w:cs="Arial"/>
          <w:sz w:val="22"/>
        </w:rPr>
      </w:pPr>
      <w:r w:rsidRPr="00A11E97">
        <w:rPr>
          <w:rFonts w:ascii="Arial" w:eastAsia="Calibri" w:hAnsi="Arial" w:cs="Arial"/>
          <w:sz w:val="22"/>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428178BC" w14:textId="77777777" w:rsidR="001A2559" w:rsidRPr="00A11E97" w:rsidRDefault="001A2559" w:rsidP="001A2559">
      <w:pPr>
        <w:pStyle w:val="Prrafodelista"/>
        <w:spacing w:before="120" w:after="120" w:line="276" w:lineRule="auto"/>
        <w:ind w:left="0" w:firstLine="709"/>
        <w:jc w:val="both"/>
        <w:rPr>
          <w:rFonts w:ascii="Arial" w:eastAsia="Calibri" w:hAnsi="Arial" w:cs="Arial"/>
          <w:sz w:val="22"/>
        </w:rPr>
      </w:pPr>
      <w:r w:rsidRPr="00A11E97">
        <w:rPr>
          <w:rFonts w:ascii="Arial" w:eastAsia="Calibri" w:hAnsi="Arial" w:cs="Arial"/>
          <w:sz w:val="22"/>
        </w:rPr>
        <w:t xml:space="preserve">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 del literal g) del artículo 11 de la Ley 1712 de 2014. </w:t>
      </w:r>
    </w:p>
    <w:p w14:paraId="7C01AB8B" w14:textId="77777777" w:rsidR="001A2559" w:rsidRPr="00A11E97" w:rsidRDefault="001A2559" w:rsidP="001A2559">
      <w:pPr>
        <w:shd w:val="clear" w:color="auto" w:fill="FFFFFF"/>
        <w:spacing w:before="120" w:after="120" w:line="276" w:lineRule="auto"/>
        <w:ind w:firstLine="709"/>
        <w:jc w:val="both"/>
        <w:rPr>
          <w:rFonts w:ascii="Arial" w:hAnsi="Arial" w:cs="Arial"/>
          <w:sz w:val="22"/>
          <w:lang w:eastAsia="es-CO"/>
        </w:rPr>
      </w:pPr>
      <w:r w:rsidRPr="00A11E97">
        <w:rPr>
          <w:rFonts w:ascii="Arial" w:eastAsia="Calibri" w:hAnsi="Arial" w:cs="Arial"/>
          <w:sz w:val="22"/>
        </w:rPr>
        <w:t>Por lo tanto, en estos casos aplica la Ley 1712 de 2014 y el Decreto 103 de 2015, no el Decreto 1082 de 2015, porque esta última norma rige a las entidades sometidas al Estatuto General de Contratación de la Administración Pública, y, por lo tanto, no aplica a las empresas sociales del Estado; ya que en tales casos se rigen por el derecho privado</w:t>
      </w:r>
      <w:r w:rsidRPr="00A11E97">
        <w:rPr>
          <w:rStyle w:val="Refdenotaalpie"/>
          <w:rFonts w:ascii="Arial" w:eastAsia="Calibri" w:hAnsi="Arial" w:cs="Arial"/>
          <w:sz w:val="22"/>
        </w:rPr>
        <w:footnoteReference w:id="15"/>
      </w:r>
      <w:r w:rsidRPr="00A11E97">
        <w:rPr>
          <w:rFonts w:ascii="Arial" w:eastAsia="Calibri" w:hAnsi="Arial" w:cs="Arial"/>
          <w:sz w:val="22"/>
        </w:rPr>
        <w:t>. Por su parte, la Ley 1712 de 2014 y el Decreto reglamentario 103 de 2015 rigen a cualquier entidad pública, incluyendo</w:t>
      </w:r>
      <w:r w:rsidRPr="00A11E97">
        <w:rPr>
          <w:rFonts w:ascii="Arial" w:hAnsi="Arial" w:cs="Arial"/>
          <w:sz w:val="22"/>
        </w:rPr>
        <w:t xml:space="preserve"> </w:t>
      </w:r>
      <w:r w:rsidRPr="00A11E97">
        <w:rPr>
          <w:rFonts w:ascii="Arial" w:hAnsi="Arial" w:cs="Arial"/>
          <w:sz w:val="22"/>
          <w:lang w:eastAsia="es-CO"/>
        </w:rPr>
        <w:t>las pertenecientes a todas las Ramas del Poder Público, en todos los niveles de la estructura estatal, central o descentralizada por servicios o territorialmente, en los órdenes nacional, departamental, municipal y distrital.</w:t>
      </w:r>
    </w:p>
    <w:p w14:paraId="671EFF3C" w14:textId="77777777" w:rsidR="001A2559" w:rsidRPr="00A11E97" w:rsidRDefault="001A2559" w:rsidP="001A2559">
      <w:pPr>
        <w:pStyle w:val="Prrafodelista"/>
        <w:spacing w:before="120" w:after="120" w:line="276" w:lineRule="auto"/>
        <w:ind w:left="0" w:firstLine="709"/>
        <w:jc w:val="both"/>
        <w:rPr>
          <w:rFonts w:ascii="Arial" w:eastAsia="Calibri" w:hAnsi="Arial" w:cs="Arial"/>
          <w:sz w:val="22"/>
        </w:rPr>
      </w:pPr>
      <w:r w:rsidRPr="00A11E97">
        <w:rPr>
          <w:rFonts w:ascii="Arial" w:eastAsia="Calibri" w:hAnsi="Arial" w:cs="Arial"/>
          <w:sz w:val="22"/>
        </w:rPr>
        <w:t xml:space="preserve">Identificados los documentos que deben publicar las entidades de régimen especial y su fundamento normativo, a </w:t>
      </w:r>
      <w:proofErr w:type="gramStart"/>
      <w:r w:rsidRPr="00A11E97">
        <w:rPr>
          <w:rFonts w:ascii="Arial" w:eastAsia="Calibri" w:hAnsi="Arial" w:cs="Arial"/>
          <w:sz w:val="22"/>
        </w:rPr>
        <w:t>continuación</w:t>
      </w:r>
      <w:proofErr w:type="gramEnd"/>
      <w:r w:rsidRPr="00A11E97">
        <w:rPr>
          <w:rFonts w:ascii="Arial" w:eastAsia="Calibri" w:hAnsi="Arial" w:cs="Arial"/>
          <w:sz w:val="22"/>
        </w:rPr>
        <w:t xml:space="preserve"> se explicará cuando se deben publicar, no sin antes explicar la posición que Colombia Compra Eficiente ha tenido en relación con este asunto. </w:t>
      </w:r>
    </w:p>
    <w:p w14:paraId="2B3297DC" w14:textId="77777777" w:rsidR="001A2559" w:rsidRPr="00A11E97" w:rsidRDefault="001A2559" w:rsidP="001A2559">
      <w:pPr>
        <w:spacing w:before="120" w:after="120" w:line="276" w:lineRule="auto"/>
        <w:ind w:firstLine="709"/>
        <w:jc w:val="both"/>
        <w:rPr>
          <w:rFonts w:ascii="Arial" w:eastAsia="Calibri" w:hAnsi="Arial" w:cs="Arial"/>
          <w:sz w:val="22"/>
        </w:rPr>
      </w:pPr>
      <w:r w:rsidRPr="00A11E97">
        <w:rPr>
          <w:rFonts w:ascii="Arial" w:eastAsia="Calibri" w:hAnsi="Arial" w:cs="Arial"/>
          <w:sz w:val="22"/>
        </w:rPr>
        <w:lastRenderedPageBreak/>
        <w:t>En el año 2017, en la consulta con radicado No. 4201713000005390 se prevé que: el plazo para publicar por parte de las entidades de régimen especial es el que se fije en el manual de contratación de la entidad»</w:t>
      </w:r>
      <w:r w:rsidRPr="00A11E97">
        <w:rPr>
          <w:rStyle w:val="Refdenotaalpie"/>
          <w:rFonts w:ascii="Arial" w:eastAsia="Calibri" w:hAnsi="Arial" w:cs="Arial"/>
          <w:sz w:val="22"/>
        </w:rPr>
        <w:footnoteReference w:id="16"/>
      </w:r>
      <w:r w:rsidRPr="00A11E97">
        <w:rPr>
          <w:rFonts w:ascii="Arial" w:eastAsia="Calibri" w:hAnsi="Arial" w:cs="Arial"/>
          <w:sz w:val="22"/>
        </w:rPr>
        <w:t>. Por su parte, en el año 2018, con la expedición de la Circular Externa Única, se cambió la postura y se indica: «las entidades que aun utilizan el SECOP I están obligadas a publicar los documentos del proceso dentro de los tres (3) días siguientes a su expedición</w:t>
      </w:r>
      <w:r w:rsidRPr="00A11E97">
        <w:rPr>
          <w:rStyle w:val="Refdenotaalpie"/>
          <w:rFonts w:ascii="Arial" w:eastAsia="Calibri" w:hAnsi="Arial" w:cs="Arial"/>
          <w:sz w:val="22"/>
        </w:rPr>
        <w:footnoteReference w:id="17"/>
      </w:r>
      <w:r w:rsidRPr="00A11E97">
        <w:rPr>
          <w:rFonts w:ascii="Arial" w:eastAsia="Calibri" w:hAnsi="Arial" w:cs="Arial"/>
          <w:sz w:val="22"/>
        </w:rPr>
        <w:t xml:space="preserve"> […]». De lo regulado en la Circular Externa Única se infiere que se otorga un tratamiento igualitario a las entidades, independientemente de su régimen de contratación, por lo tanto, aplica el artículo 2.2.1.1.1.7.1. del Decreto 1082 de 2015. </w:t>
      </w:r>
    </w:p>
    <w:p w14:paraId="4EF89E73" w14:textId="77777777" w:rsidR="001A2559" w:rsidRPr="00A11E97" w:rsidRDefault="001A2559" w:rsidP="001A2559">
      <w:pPr>
        <w:spacing w:before="120" w:after="120" w:line="276" w:lineRule="auto"/>
        <w:ind w:firstLine="709"/>
        <w:jc w:val="both"/>
        <w:rPr>
          <w:rFonts w:ascii="Arial" w:eastAsia="Calibri" w:hAnsi="Arial" w:cs="Arial"/>
          <w:sz w:val="22"/>
        </w:rPr>
      </w:pPr>
      <w:r w:rsidRPr="00A11E97">
        <w:rPr>
          <w:rFonts w:ascii="Arial" w:eastAsia="Calibri" w:hAnsi="Arial" w:cs="Arial"/>
          <w:sz w:val="22"/>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32E37F37" w14:textId="77777777" w:rsidR="001A2559" w:rsidRPr="00A11E97" w:rsidRDefault="001A2559" w:rsidP="001A2559">
      <w:pPr>
        <w:spacing w:before="120" w:after="120" w:line="276" w:lineRule="auto"/>
        <w:ind w:firstLine="709"/>
        <w:jc w:val="both"/>
        <w:rPr>
          <w:rFonts w:ascii="Arial" w:eastAsia="Calibri" w:hAnsi="Arial" w:cs="Arial"/>
          <w:sz w:val="22"/>
        </w:rPr>
      </w:pPr>
      <w:r w:rsidRPr="00A11E97">
        <w:rPr>
          <w:rFonts w:ascii="Arial" w:eastAsia="Calibri" w:hAnsi="Arial" w:cs="Arial"/>
          <w:sz w:val="22"/>
        </w:rPr>
        <w:t xml:space="preserve">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w:t>
      </w:r>
      <w:r w:rsidRPr="00A11E97">
        <w:rPr>
          <w:rFonts w:ascii="Arial" w:eastAsia="Calibri" w:hAnsi="Arial" w:cs="Arial"/>
          <w:sz w:val="22"/>
        </w:rPr>
        <w:lastRenderedPageBreak/>
        <w:t>irrelevantes, es decir, ajenos a aquellos que explican y fundamentan la</w:t>
      </w:r>
      <w:r w:rsidRPr="00A11E97">
        <w:rPr>
          <w:rFonts w:ascii="Arial" w:eastAsia="Calibri" w:hAnsi="Arial" w:cs="Arial"/>
          <w:i/>
          <w:sz w:val="22"/>
        </w:rPr>
        <w:t xml:space="preserve"> </w:t>
      </w:r>
      <w:r w:rsidRPr="00A11E97">
        <w:rPr>
          <w:rFonts w:ascii="Arial" w:eastAsia="Calibri" w:hAnsi="Arial" w:cs="Arial"/>
          <w:sz w:val="22"/>
        </w:rPr>
        <w:t>razón de ser de la norma»</w:t>
      </w:r>
      <w:r w:rsidRPr="00A11E97">
        <w:rPr>
          <w:rStyle w:val="Refdenotaalpie"/>
          <w:rFonts w:ascii="Arial" w:eastAsia="Calibri" w:hAnsi="Arial" w:cs="Arial"/>
          <w:sz w:val="22"/>
        </w:rPr>
        <w:footnoteReference w:id="18"/>
      </w:r>
      <w:r w:rsidRPr="00A11E97">
        <w:rPr>
          <w:rFonts w:ascii="Arial" w:eastAsia="Calibri" w:hAnsi="Arial" w:cs="Arial"/>
          <w:sz w:val="22"/>
        </w:rPr>
        <w:t xml:space="preserve">. En este sentido, el juez razona por analogía, cuando aplica una ley frente una situación no contemplada explícitamente en ella, a partir del estudio de situaciones fácticas que fueron tratadas por el legislador y guardan similitud con el asunto tratado. </w:t>
      </w:r>
    </w:p>
    <w:p w14:paraId="5C9427DC" w14:textId="77777777" w:rsidR="001A2559" w:rsidRPr="00A11E97" w:rsidRDefault="001A2559" w:rsidP="001A2559">
      <w:pPr>
        <w:spacing w:before="120" w:after="120" w:line="276" w:lineRule="auto"/>
        <w:ind w:firstLine="709"/>
        <w:jc w:val="both"/>
        <w:rPr>
          <w:rFonts w:ascii="Arial" w:eastAsia="Calibri" w:hAnsi="Arial" w:cs="Arial"/>
          <w:sz w:val="22"/>
        </w:rPr>
      </w:pPr>
      <w:r w:rsidRPr="00A11E97">
        <w:rPr>
          <w:rFonts w:ascii="Arial" w:eastAsia="Calibri" w:hAnsi="Arial" w:cs="Arial"/>
          <w:sz w:val="22"/>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A11E97">
        <w:rPr>
          <w:rStyle w:val="Refdenotaalpie"/>
          <w:rFonts w:ascii="Arial" w:eastAsia="Calibri" w:hAnsi="Arial" w:cs="Arial"/>
          <w:sz w:val="22"/>
        </w:rPr>
        <w:footnoteReference w:id="19"/>
      </w:r>
      <w:r w:rsidRPr="00A11E97">
        <w:rPr>
          <w:rFonts w:ascii="Arial" w:eastAsia="Calibri" w:hAnsi="Arial" w:cs="Arial"/>
          <w:sz w:val="22"/>
        </w:rPr>
        <w:t xml:space="preserve">. En este sentido, las entidades sometidas al régimen de contratación de Ley 80 de 1993 publicarán en el SECOP sus documentos dentro de los 3 días siguientes a su expedición. </w:t>
      </w:r>
    </w:p>
    <w:p w14:paraId="3ACA1CAE" w14:textId="77777777" w:rsidR="001A2559" w:rsidRPr="00A11E97" w:rsidRDefault="001A2559" w:rsidP="001A2559">
      <w:pPr>
        <w:spacing w:before="120" w:after="120" w:line="276" w:lineRule="auto"/>
        <w:ind w:firstLine="709"/>
        <w:jc w:val="both"/>
        <w:rPr>
          <w:rFonts w:ascii="Arial" w:eastAsia="Calibri" w:hAnsi="Arial" w:cs="Arial"/>
          <w:sz w:val="22"/>
        </w:rPr>
      </w:pPr>
      <w:r w:rsidRPr="00A11E97">
        <w:rPr>
          <w:rFonts w:ascii="Arial" w:eastAsia="Calibri" w:hAnsi="Arial" w:cs="Arial"/>
          <w:sz w:val="22"/>
        </w:rPr>
        <w:t xml:space="preserve">Si bien, como se mencionó en el acápite anterior, el Decreto 1082 de 2015 no aplica a las empresas sociales del Estado, porque su régimen de contratación es el derecho privado, será posible aplicarle esta norma en virtud de la analogía. Lo anterior, debido a que esta norma guarda similitud con el asunto tratado ya que regula la publicidad de los documentos del SECOP y, por lo tanto, es viable aplicarle la consecuencia jurídica de esta norma a las entidades de régimen especial. </w:t>
      </w:r>
    </w:p>
    <w:p w14:paraId="76BB1F6A" w14:textId="77777777" w:rsidR="001A2559" w:rsidRPr="00A11E97" w:rsidRDefault="001A2559" w:rsidP="001A2559">
      <w:pPr>
        <w:tabs>
          <w:tab w:val="left" w:pos="426"/>
        </w:tabs>
        <w:spacing w:before="120" w:line="276" w:lineRule="auto"/>
        <w:ind w:firstLine="425"/>
        <w:jc w:val="both"/>
        <w:rPr>
          <w:rFonts w:ascii="Arial" w:eastAsia="Calibri" w:hAnsi="Arial" w:cs="Arial"/>
          <w:sz w:val="22"/>
          <w:lang w:val="es-ES_tradnl"/>
        </w:rPr>
      </w:pPr>
      <w:r w:rsidRPr="00A11E97">
        <w:rPr>
          <w:rFonts w:ascii="Arial" w:eastAsia="Calibri" w:hAnsi="Arial" w:cs="Arial"/>
          <w:sz w:val="22"/>
        </w:rPr>
        <w:t xml:space="preserve">A su vez, no es posible que las entidades definan el momento en el cual publicarán sus documentos contractuales en su manual de contratación, porque este es un asunto que debe definir el legislador o el gobierno por medio de un Decreto reglamentario. Si bien en concepto emitido en respuesta a la consulta con radicado </w:t>
      </w:r>
      <w:r w:rsidRPr="00A11E97">
        <w:rPr>
          <w:rFonts w:ascii="Arial" w:eastAsia="Calibri" w:hAnsi="Arial" w:cs="Arial"/>
          <w:sz w:val="22"/>
          <w:lang w:val="es-ES_tradnl"/>
        </w:rPr>
        <w:t xml:space="preserve">No. 4201814000001443 del 16 de febrero de 2018, la Subdirección de Gestión Contractual afirmó, a modo de </w:t>
      </w:r>
      <w:proofErr w:type="spellStart"/>
      <w:r w:rsidRPr="00A11E97">
        <w:rPr>
          <w:rFonts w:ascii="Arial" w:eastAsia="Calibri" w:hAnsi="Arial" w:cs="Arial"/>
          <w:i/>
          <w:sz w:val="22"/>
          <w:lang w:val="es-ES_tradnl"/>
        </w:rPr>
        <w:t>obiter</w:t>
      </w:r>
      <w:proofErr w:type="spellEnd"/>
      <w:r w:rsidRPr="00A11E97">
        <w:rPr>
          <w:rFonts w:ascii="Arial" w:eastAsia="Calibri" w:hAnsi="Arial" w:cs="Arial"/>
          <w:i/>
          <w:sz w:val="22"/>
          <w:lang w:val="es-ES_tradnl"/>
        </w:rPr>
        <w:t xml:space="preserve"> dicta</w:t>
      </w:r>
      <w:r w:rsidRPr="00A11E97">
        <w:rPr>
          <w:rFonts w:ascii="Arial" w:eastAsia="Calibri" w:hAnsi="Arial" w:cs="Arial"/>
          <w:sz w:val="22"/>
          <w:lang w:val="es-ES_tradnl"/>
        </w:rPr>
        <w:t xml:space="preserve">, que «Las Entidades Estatales de régimen especial deben publicar su actividad contractual en el SECOP a más tardar en los tres días siguientes a la expedición del documento o en el término establecido en su Manual de Contratación, salvo que este último defina un plazo menor al establecido en el Decreto 1082 de 2015», en conceptos posteriores, como el expedido en respuesta a las consultas con radicado No. </w:t>
      </w:r>
      <w:r w:rsidRPr="00A11E97">
        <w:rPr>
          <w:rFonts w:ascii="Arial" w:eastAsia="Calibri" w:hAnsi="Arial" w:cs="Arial"/>
          <w:sz w:val="22"/>
        </w:rPr>
        <w:t>4201912000008073 del 2 de diciembre de 2019, 420201200000029 del 3 de diciembre de 2019 y</w:t>
      </w:r>
      <w:r w:rsidRPr="00A11E97">
        <w:rPr>
          <w:rFonts w:ascii="Arial" w:eastAsia="Calibri" w:hAnsi="Arial" w:cs="Arial"/>
          <w:sz w:val="22"/>
          <w:lang w:val="es-ES_tradnl"/>
        </w:rPr>
        <w:t xml:space="preserve"> 4202012000000944 </w:t>
      </w:r>
      <w:r w:rsidRPr="00A11E97">
        <w:rPr>
          <w:rFonts w:ascii="Arial" w:eastAsia="Calibri" w:hAnsi="Arial" w:cs="Arial"/>
          <w:sz w:val="22"/>
          <w:lang w:val="es-ES_tradnl"/>
        </w:rPr>
        <w:lastRenderedPageBreak/>
        <w:t xml:space="preserve">del 10 de febrero de 2020, esta Subdirección varió dicha consideración, decantándose por la reserva legal y reglamentaria –en decretos del gobierno nacional– que existe sobre esta materia. </w:t>
      </w:r>
    </w:p>
    <w:p w14:paraId="03B12E68" w14:textId="77777777" w:rsidR="001A2559" w:rsidRPr="00A11E97" w:rsidRDefault="001A2559" w:rsidP="001A2559">
      <w:pPr>
        <w:tabs>
          <w:tab w:val="left" w:pos="426"/>
        </w:tabs>
        <w:spacing w:before="120" w:line="276" w:lineRule="auto"/>
        <w:ind w:firstLine="425"/>
        <w:jc w:val="both"/>
        <w:rPr>
          <w:rFonts w:ascii="Arial" w:eastAsia="Calibri" w:hAnsi="Arial" w:cs="Arial"/>
          <w:sz w:val="22"/>
          <w:lang w:val="es-ES_tradnl"/>
        </w:rPr>
      </w:pPr>
      <w:r w:rsidRPr="00A11E97">
        <w:rPr>
          <w:rFonts w:ascii="Arial" w:eastAsia="Calibri" w:hAnsi="Arial" w:cs="Arial"/>
          <w:sz w:val="22"/>
        </w:rPr>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3F4DF9DD" w14:textId="01D04574" w:rsidR="001A2559" w:rsidRPr="00A11E97" w:rsidRDefault="001A2559" w:rsidP="001A2559">
      <w:pPr>
        <w:spacing w:before="120" w:after="120" w:line="276" w:lineRule="auto"/>
        <w:ind w:firstLine="709"/>
        <w:jc w:val="both"/>
        <w:rPr>
          <w:rFonts w:ascii="Arial" w:eastAsia="Calibri" w:hAnsi="Arial" w:cs="Arial"/>
          <w:sz w:val="22"/>
        </w:rPr>
      </w:pPr>
      <w:r w:rsidRPr="00A11E97">
        <w:rPr>
          <w:rFonts w:ascii="Arial" w:eastAsia="Calibri" w:hAnsi="Arial" w:cs="Arial"/>
          <w:sz w:val="22"/>
        </w:rPr>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se aplicaría el artículo 2.2.1.1.1.7.1. </w:t>
      </w:r>
    </w:p>
    <w:p w14:paraId="6A50C623" w14:textId="04FE33D4" w:rsidR="00020786" w:rsidRPr="00A11E97" w:rsidRDefault="001D1E85" w:rsidP="001D1E85">
      <w:pPr>
        <w:spacing w:before="120" w:after="120" w:line="276" w:lineRule="auto"/>
        <w:ind w:firstLine="709"/>
        <w:jc w:val="both"/>
        <w:rPr>
          <w:rFonts w:ascii="Arial" w:hAnsi="Arial" w:cs="Arial"/>
          <w:sz w:val="22"/>
        </w:rPr>
      </w:pPr>
      <w:r w:rsidRPr="00A11E97">
        <w:rPr>
          <w:rFonts w:ascii="Arial" w:eastAsia="Calibri" w:hAnsi="Arial" w:cs="Arial"/>
          <w:sz w:val="22"/>
        </w:rPr>
        <w:t>Ahora, cie</w:t>
      </w:r>
      <w:r w:rsidR="00020786" w:rsidRPr="00A11E97">
        <w:rPr>
          <w:rFonts w:ascii="Arial" w:eastAsia="Calibri" w:hAnsi="Arial" w:cs="Arial"/>
          <w:sz w:val="22"/>
        </w:rPr>
        <w:t>rtamente</w:t>
      </w:r>
      <w:r w:rsidR="00020786" w:rsidRPr="00A11E97">
        <w:rPr>
          <w:rFonts w:ascii="Arial" w:hAnsi="Arial" w:cs="Arial"/>
          <w:sz w:val="22"/>
        </w:rPr>
        <w:t xml:space="preserve"> e</w:t>
      </w:r>
      <w:r w:rsidRPr="00A11E97">
        <w:rPr>
          <w:rFonts w:ascii="Arial" w:hAnsi="Arial" w:cs="Arial"/>
          <w:sz w:val="22"/>
          <w:lang w:val="es-ES_tradnl"/>
        </w:rPr>
        <w:t>l mundo –y particularmente Colombia– atraviesa por una situación grave en materia de salud, causada por la pandemia del virus COVID-19, declarada así por la Organización Mundial de la Salud (OMS) el 11 de marzo de 2020</w:t>
      </w:r>
      <w:r w:rsidRPr="00A11E97">
        <w:rPr>
          <w:rStyle w:val="Refdenotaalpie"/>
          <w:rFonts w:ascii="Arial" w:hAnsi="Arial" w:cs="Arial"/>
          <w:sz w:val="22"/>
          <w:lang w:val="es-ES_tradnl"/>
        </w:rPr>
        <w:footnoteReference w:id="20"/>
      </w:r>
      <w:r w:rsidRPr="00A11E97">
        <w:rPr>
          <w:rFonts w:ascii="Arial" w:hAnsi="Arial" w:cs="Arial"/>
          <w:sz w:val="22"/>
          <w:lang w:val="es-ES_tradnl"/>
        </w:rPr>
        <w:t>.</w:t>
      </w:r>
      <w:r w:rsidR="00020786" w:rsidRPr="00A11E97">
        <w:rPr>
          <w:rFonts w:ascii="Arial" w:hAnsi="Arial" w:cs="Arial"/>
          <w:sz w:val="22"/>
          <w:lang w:val="es-ES_tradnl"/>
        </w:rPr>
        <w:t xml:space="preserve"> A raíz de ello, e</w:t>
      </w:r>
      <w:r w:rsidRPr="00A11E97">
        <w:rPr>
          <w:rFonts w:ascii="Arial" w:hAnsi="Arial" w:cs="Arial"/>
          <w:sz w:val="22"/>
        </w:rPr>
        <w:t xml:space="preserve">l 17 de marzo, el </w:t>
      </w:r>
      <w:proofErr w:type="gramStart"/>
      <w:r w:rsidR="00A11E97" w:rsidRPr="00A11E97">
        <w:rPr>
          <w:rFonts w:ascii="Arial" w:hAnsi="Arial" w:cs="Arial"/>
          <w:sz w:val="22"/>
        </w:rPr>
        <w:t>P</w:t>
      </w:r>
      <w:r w:rsidRPr="00A11E97">
        <w:rPr>
          <w:rFonts w:ascii="Arial" w:hAnsi="Arial" w:cs="Arial"/>
          <w:sz w:val="22"/>
        </w:rPr>
        <w:t>residente</w:t>
      </w:r>
      <w:proofErr w:type="gramEnd"/>
      <w:r w:rsidRPr="00A11E97">
        <w:rPr>
          <w:rFonts w:ascii="Arial" w:hAnsi="Arial" w:cs="Arial"/>
          <w:sz w:val="22"/>
        </w:rPr>
        <w:t xml:space="preserve"> de la </w:t>
      </w:r>
      <w:r w:rsidR="00A11E97" w:rsidRPr="00A11E97">
        <w:rPr>
          <w:rFonts w:ascii="Arial" w:hAnsi="Arial" w:cs="Arial"/>
          <w:sz w:val="22"/>
        </w:rPr>
        <w:t>R</w:t>
      </w:r>
      <w:r w:rsidRPr="00A11E97">
        <w:rPr>
          <w:rFonts w:ascii="Arial" w:hAnsi="Arial" w:cs="Arial"/>
          <w:sz w:val="22"/>
        </w:rPr>
        <w:t>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w:t>
      </w:r>
      <w:r w:rsidR="00020786" w:rsidRPr="00A11E97">
        <w:rPr>
          <w:rFonts w:ascii="Arial" w:hAnsi="Arial" w:cs="Arial"/>
          <w:sz w:val="22"/>
        </w:rPr>
        <w:t>.</w:t>
      </w:r>
    </w:p>
    <w:p w14:paraId="00CFC7A4" w14:textId="3CF1A5D4" w:rsidR="006B1211" w:rsidRPr="00A11E97" w:rsidRDefault="00020786" w:rsidP="00B53B68">
      <w:pPr>
        <w:spacing w:before="120" w:after="120" w:line="276" w:lineRule="auto"/>
        <w:ind w:firstLine="709"/>
        <w:jc w:val="both"/>
        <w:rPr>
          <w:rFonts w:ascii="Arial" w:hAnsi="Arial" w:cs="Arial"/>
          <w:sz w:val="22"/>
        </w:rPr>
      </w:pPr>
      <w:r w:rsidRPr="00A11E97">
        <w:rPr>
          <w:rFonts w:ascii="Arial" w:hAnsi="Arial" w:cs="Arial"/>
          <w:sz w:val="22"/>
        </w:rPr>
        <w:t xml:space="preserve"> Entre las medidas adoptadas se encuentran unas específicamente referidas a contratación pública contenidas en el Decreto 440 de 20 de marzo de 2020. En dicho norma se disponen algunas medidas relacionadas con la posibilidad de realizar audiencias públicas requeridas en el marco de procesos de contratación a través de medios electrónicos (artículo 1), posibilidad que se extiende a las audiencias requeridas en procesos sancionatorios contractuales (artículo 2), suspensión de procedimientos contractuales (artículo 3), utilización de los </w:t>
      </w:r>
      <w:r w:rsidR="00B53B68" w:rsidRPr="00A11E97">
        <w:rPr>
          <w:rFonts w:ascii="Arial" w:hAnsi="Arial" w:cs="Arial"/>
          <w:sz w:val="22"/>
        </w:rPr>
        <w:t>i</w:t>
      </w:r>
      <w:r w:rsidRPr="00A11E97">
        <w:rPr>
          <w:rFonts w:ascii="Arial" w:hAnsi="Arial" w:cs="Arial"/>
          <w:sz w:val="22"/>
        </w:rPr>
        <w:t>nstrumentos de agregación de demanda (art</w:t>
      </w:r>
      <w:r w:rsidR="00B53B68" w:rsidRPr="00A11E97">
        <w:rPr>
          <w:rFonts w:ascii="Arial" w:hAnsi="Arial" w:cs="Arial"/>
          <w:sz w:val="22"/>
        </w:rPr>
        <w:t xml:space="preserve">ículos 4 y 5), adquisición en grandes superficies (artículo 6), adición y modificación de contratos estatales sin restricciones presupuestales (artículo 8), entre otras medidas dirigidas a facilitar la gestión contractual de los bienes y servicios requeridos por las entidades para enfrentar la emergencia. </w:t>
      </w:r>
      <w:r w:rsidR="006B1211">
        <w:rPr>
          <w:rFonts w:ascii="Arial" w:hAnsi="Arial" w:cs="Arial"/>
          <w:sz w:val="22"/>
        </w:rPr>
        <w:t xml:space="preserve">A estas disposiciones se suman las de los Decretos 461 de 22 de marzo de 2020 que autoriza temporalmente a los gobernadores y alcaldes a reorientar rentas y reducir impuestos territoriales en el marco de la emergencia; el 464 de 23 de marzo de 2020 que declara como servicios públicos esenciales los postales y de telecomunicaciones; el 470 de 24 de marzo de 2020 que permite que el Plan de </w:t>
      </w:r>
      <w:r w:rsidR="006B1211">
        <w:rPr>
          <w:rFonts w:ascii="Arial" w:hAnsi="Arial" w:cs="Arial"/>
          <w:sz w:val="22"/>
        </w:rPr>
        <w:lastRenderedPageBreak/>
        <w:t>Alimentación Escolar se de en casa durante el tiempo que dure la emergencia; entre otra serie de decretos dirigidos a mitigar los efectos del actual estado de cosas</w:t>
      </w:r>
      <w:r w:rsidR="00B41937">
        <w:rPr>
          <w:rFonts w:ascii="Arial" w:hAnsi="Arial" w:cs="Arial"/>
          <w:sz w:val="22"/>
        </w:rPr>
        <w:t>.</w:t>
      </w:r>
      <w:r w:rsidR="006B1211">
        <w:rPr>
          <w:rFonts w:ascii="Arial" w:hAnsi="Arial" w:cs="Arial"/>
          <w:sz w:val="22"/>
        </w:rPr>
        <w:t xml:space="preserve"> </w:t>
      </w:r>
    </w:p>
    <w:p w14:paraId="2D7761F6" w14:textId="731B107B" w:rsidR="001A2559" w:rsidRDefault="00B53B68" w:rsidP="00B41937">
      <w:pPr>
        <w:spacing w:before="120" w:after="120" w:line="276" w:lineRule="auto"/>
        <w:ind w:firstLine="709"/>
        <w:jc w:val="both"/>
        <w:rPr>
          <w:rFonts w:ascii="Arial" w:hAnsi="Arial" w:cs="Arial"/>
          <w:sz w:val="22"/>
        </w:rPr>
      </w:pPr>
      <w:r w:rsidRPr="00A11E97">
        <w:rPr>
          <w:rFonts w:ascii="Arial" w:hAnsi="Arial" w:cs="Arial"/>
          <w:sz w:val="22"/>
        </w:rPr>
        <w:t xml:space="preserve">Sin embargo, ni en el mencionado decreto, ni en alguno de los otros expedidos por el </w:t>
      </w:r>
      <w:r w:rsidR="006B4131">
        <w:rPr>
          <w:rFonts w:ascii="Arial" w:hAnsi="Arial" w:cs="Arial"/>
          <w:sz w:val="22"/>
        </w:rPr>
        <w:t>p</w:t>
      </w:r>
      <w:r w:rsidRPr="00A11E97">
        <w:rPr>
          <w:rFonts w:ascii="Arial" w:hAnsi="Arial" w:cs="Arial"/>
          <w:sz w:val="22"/>
        </w:rPr>
        <w:t xml:space="preserve">residente de la </w:t>
      </w:r>
      <w:r w:rsidR="006B4131">
        <w:rPr>
          <w:rFonts w:ascii="Arial" w:hAnsi="Arial" w:cs="Arial"/>
          <w:sz w:val="22"/>
        </w:rPr>
        <w:t>r</w:t>
      </w:r>
      <w:r w:rsidRPr="00A11E97">
        <w:rPr>
          <w:rFonts w:ascii="Arial" w:hAnsi="Arial" w:cs="Arial"/>
          <w:sz w:val="22"/>
        </w:rPr>
        <w:t>epública en uso de las facultades constitucionales para enfrentar el estado de emergencia económica, social y ecológica, se ha expedido disposición alguna a partir de la cual se pueda establecer que se haya flexibilizado la obligación estudiada en los anteriores párrafos anteriores, según la cual las entidades obligadas en el marco de la Ley 1712 de 2014, y que realicen contratación con cargo a recursos públicos, se e</w:t>
      </w:r>
      <w:r w:rsidR="00EF0584" w:rsidRPr="00A11E97">
        <w:rPr>
          <w:rFonts w:ascii="Arial" w:hAnsi="Arial" w:cs="Arial"/>
          <w:sz w:val="22"/>
        </w:rPr>
        <w:t xml:space="preserve">ncuentran obligadas </w:t>
      </w:r>
      <w:r w:rsidR="006B4131">
        <w:rPr>
          <w:rFonts w:ascii="Arial" w:hAnsi="Arial" w:cs="Arial"/>
          <w:sz w:val="22"/>
        </w:rPr>
        <w:t xml:space="preserve">a </w:t>
      </w:r>
      <w:r w:rsidR="00EF0584" w:rsidRPr="00A11E97">
        <w:rPr>
          <w:rFonts w:ascii="Arial" w:hAnsi="Arial" w:cs="Arial"/>
          <w:sz w:val="22"/>
        </w:rPr>
        <w:t>publicar los documentos precontractuales y en general los referentes a su gestión contractual en el SECOP I, deber que es independiente del régimen contractual al cual se encuentre sometida la entidad.</w:t>
      </w:r>
    </w:p>
    <w:p w14:paraId="70543704" w14:textId="77777777" w:rsidR="00B41937" w:rsidRPr="00A11E97" w:rsidRDefault="00B41937" w:rsidP="00B41937">
      <w:pPr>
        <w:spacing w:before="120" w:after="120" w:line="276" w:lineRule="auto"/>
        <w:ind w:firstLine="709"/>
        <w:jc w:val="both"/>
        <w:rPr>
          <w:rFonts w:ascii="Arial" w:hAnsi="Arial" w:cs="Arial"/>
          <w:sz w:val="22"/>
        </w:rPr>
      </w:pPr>
    </w:p>
    <w:p w14:paraId="57F5E991" w14:textId="77777777" w:rsidR="001A2559" w:rsidRPr="00A11E97" w:rsidRDefault="001A2559" w:rsidP="001A2559">
      <w:pPr>
        <w:pStyle w:val="Prrafodelista"/>
        <w:tabs>
          <w:tab w:val="left" w:pos="284"/>
        </w:tabs>
        <w:spacing w:line="276" w:lineRule="auto"/>
        <w:ind w:left="0"/>
        <w:jc w:val="both"/>
        <w:rPr>
          <w:rFonts w:ascii="Arial" w:eastAsia="Calibri" w:hAnsi="Arial" w:cs="Arial"/>
          <w:sz w:val="22"/>
          <w:lang w:val="es-ES_tradnl"/>
        </w:rPr>
      </w:pPr>
      <w:r w:rsidRPr="00A11E97">
        <w:rPr>
          <w:rFonts w:ascii="Arial" w:eastAsia="Calibri" w:hAnsi="Arial" w:cs="Arial"/>
          <w:b/>
          <w:sz w:val="22"/>
          <w:lang w:val="es-ES_tradnl"/>
        </w:rPr>
        <w:t>3. Respuesta</w:t>
      </w:r>
    </w:p>
    <w:p w14:paraId="100E394B" w14:textId="77777777" w:rsidR="001A2559" w:rsidRPr="00A11E97" w:rsidRDefault="001A2559" w:rsidP="001A2559">
      <w:pPr>
        <w:spacing w:line="276" w:lineRule="auto"/>
        <w:ind w:left="709" w:right="709"/>
        <w:jc w:val="both"/>
        <w:rPr>
          <w:rFonts w:ascii="Arial" w:eastAsia="Calibri" w:hAnsi="Arial" w:cs="Arial"/>
          <w:i/>
          <w:sz w:val="22"/>
          <w:lang w:val="es-ES_tradnl"/>
        </w:rPr>
      </w:pPr>
    </w:p>
    <w:p w14:paraId="0CB8AF04" w14:textId="18C85A63" w:rsidR="001A2559" w:rsidRPr="00A11E97" w:rsidRDefault="006A52CE" w:rsidP="001A2559">
      <w:pPr>
        <w:spacing w:line="276" w:lineRule="auto"/>
        <w:ind w:left="709" w:right="709"/>
        <w:jc w:val="both"/>
        <w:rPr>
          <w:rFonts w:ascii="Arial" w:eastAsia="Calibri" w:hAnsi="Arial" w:cs="Arial"/>
          <w:sz w:val="22"/>
          <w:lang w:val="es-ES_tradnl"/>
        </w:rPr>
      </w:pPr>
      <w:r w:rsidRPr="00A11E97">
        <w:rPr>
          <w:rFonts w:ascii="Arial" w:eastAsia="Calibri" w:hAnsi="Arial" w:cs="Arial"/>
          <w:sz w:val="22"/>
        </w:rPr>
        <w:t>«</w:t>
      </w:r>
      <w:r w:rsidR="009D531C" w:rsidRPr="00A11E97">
        <w:rPr>
          <w:rFonts w:ascii="Arial" w:eastAsia="Calibri" w:hAnsi="Arial" w:cs="Arial"/>
          <w:sz w:val="22"/>
        </w:rPr>
        <w:t xml:space="preserve">esta (sic) obligada a subir todos los documentos </w:t>
      </w:r>
      <w:proofErr w:type="gramStart"/>
      <w:r w:rsidR="009D531C" w:rsidRPr="00A11E97">
        <w:rPr>
          <w:rFonts w:ascii="Arial" w:eastAsia="Calibri" w:hAnsi="Arial" w:cs="Arial"/>
          <w:sz w:val="22"/>
        </w:rPr>
        <w:t>Pre contractuales</w:t>
      </w:r>
      <w:proofErr w:type="gramEnd"/>
      <w:r w:rsidR="009D531C" w:rsidRPr="00A11E97">
        <w:rPr>
          <w:rFonts w:ascii="Arial" w:eastAsia="Calibri" w:hAnsi="Arial" w:cs="Arial"/>
          <w:sz w:val="22"/>
        </w:rPr>
        <w:t xml:space="preserve"> (sic) y contractuales al SECOP de los contratos que suscriba en el marco del estado de emergencia del COVID?»</w:t>
      </w:r>
    </w:p>
    <w:p w14:paraId="241EEBD8" w14:textId="77777777" w:rsidR="001A2559" w:rsidRPr="00A11E97" w:rsidRDefault="001A2559" w:rsidP="001A2559">
      <w:pPr>
        <w:spacing w:line="276" w:lineRule="auto"/>
        <w:ind w:firstLine="709"/>
        <w:jc w:val="both"/>
        <w:rPr>
          <w:rFonts w:ascii="Arial" w:eastAsia="Calibri" w:hAnsi="Arial" w:cs="Arial"/>
          <w:sz w:val="22"/>
          <w:lang w:val="es-ES_tradnl"/>
        </w:rPr>
      </w:pPr>
    </w:p>
    <w:p w14:paraId="54B2CB21" w14:textId="75FC7628" w:rsidR="006A52CE" w:rsidRPr="00A11E97" w:rsidRDefault="006A52CE" w:rsidP="006A52CE">
      <w:pPr>
        <w:spacing w:before="120" w:after="120" w:line="276" w:lineRule="auto"/>
        <w:ind w:firstLine="709"/>
        <w:jc w:val="both"/>
        <w:rPr>
          <w:rFonts w:ascii="Arial" w:eastAsia="Calibri" w:hAnsi="Arial" w:cs="Arial"/>
          <w:sz w:val="22"/>
          <w:lang w:val="es-ES"/>
        </w:rPr>
      </w:pPr>
      <w:r w:rsidRPr="00A11E97">
        <w:rPr>
          <w:rFonts w:ascii="Arial" w:eastAsia="Calibri" w:hAnsi="Arial" w:cs="Arial"/>
          <w:sz w:val="22"/>
        </w:rPr>
        <w:t>La obligatoriedad de publicar las actuaciones contractuales de las entidades no depende de su régimen de contratación, sino de la ejecución de recursos públicos. Es</w:t>
      </w:r>
      <w:r w:rsidR="006B4131">
        <w:rPr>
          <w:rFonts w:ascii="Arial" w:eastAsia="Calibri" w:hAnsi="Arial" w:cs="Arial"/>
          <w:sz w:val="22"/>
        </w:rPr>
        <w:t>t</w:t>
      </w:r>
      <w:r w:rsidRPr="00A11E97">
        <w:rPr>
          <w:rFonts w:ascii="Arial" w:eastAsia="Calibri" w:hAnsi="Arial" w:cs="Arial"/>
          <w:sz w:val="22"/>
        </w:rPr>
        <w:t>e deber no atiende a las condiciones fácticas que tengan las entidades excluidas del régimen de contratación estatal, sino ─se reitera─ al hecho de que la contratación implique la ejecución de recursos públicos. Dicho deber además se fundamenta en la Ley 1712 de 2014 y el Decreto reglamentario 103 de 2015, en los términos desarrollados en las consideraciones.</w:t>
      </w:r>
    </w:p>
    <w:p w14:paraId="6A278594" w14:textId="20757839" w:rsidR="006A52CE" w:rsidRPr="00A11E97" w:rsidRDefault="006A52CE" w:rsidP="006A52CE">
      <w:pPr>
        <w:spacing w:before="120" w:after="120" w:line="276" w:lineRule="auto"/>
        <w:ind w:firstLine="708"/>
        <w:jc w:val="both"/>
        <w:rPr>
          <w:rFonts w:ascii="Arial" w:eastAsia="Calibri" w:hAnsi="Arial" w:cs="Arial"/>
          <w:sz w:val="22"/>
        </w:rPr>
      </w:pPr>
      <w:r w:rsidRPr="00A11E97">
        <w:rPr>
          <w:rFonts w:ascii="Arial" w:eastAsia="Calibri" w:hAnsi="Arial" w:cs="Arial"/>
          <w:sz w:val="22"/>
        </w:rPr>
        <w:t xml:space="preserve">Ahora, el Decreto 103 de 2015 señala que los documentos que deberán publicar las entidades estatales, entre estas las empresas sociales del Estado, son: i) las autorizaciones, requerimientos, aprobaciones o informes del supervisor o del interventor, que prueben la ejecución del contrato, </w:t>
      </w:r>
      <w:proofErr w:type="spellStart"/>
      <w:r w:rsidRPr="00A11E97">
        <w:rPr>
          <w:rFonts w:ascii="Arial" w:eastAsia="Calibri" w:hAnsi="Arial" w:cs="Arial"/>
          <w:sz w:val="22"/>
        </w:rPr>
        <w:t>ii</w:t>
      </w:r>
      <w:proofErr w:type="spellEnd"/>
      <w:r w:rsidRPr="00A11E97">
        <w:rPr>
          <w:rFonts w:ascii="Arial" w:eastAsia="Calibri" w:hAnsi="Arial" w:cs="Arial"/>
          <w:sz w:val="22"/>
        </w:rPr>
        <w:t xml:space="preserve">) en relación con los procedimientos, lineamientos y políticas en materia de adquisición se deberán publicar los documentos previstos en el manual de contratación de la entidad y, finalmente, </w:t>
      </w:r>
      <w:proofErr w:type="spellStart"/>
      <w:r w:rsidRPr="00A11E97">
        <w:rPr>
          <w:rFonts w:ascii="Arial" w:eastAsia="Calibri" w:hAnsi="Arial" w:cs="Arial"/>
          <w:sz w:val="22"/>
        </w:rPr>
        <w:t>iii</w:t>
      </w:r>
      <w:proofErr w:type="spellEnd"/>
      <w:r w:rsidRPr="00A11E97">
        <w:rPr>
          <w:rFonts w:ascii="Arial" w:eastAsia="Calibri" w:hAnsi="Arial" w:cs="Arial"/>
          <w:sz w:val="22"/>
        </w:rPr>
        <w:t xml:space="preserve">) el plan anual de adquisiciones. Estos deben publicarse </w:t>
      </w:r>
      <w:r w:rsidRPr="00A11E97">
        <w:rPr>
          <w:rFonts w:ascii="Arial" w:eastAsia="Calibri" w:hAnsi="Arial" w:cs="Arial"/>
          <w:sz w:val="22"/>
          <w:lang w:val="es-ES_tradnl"/>
        </w:rPr>
        <w:t>dentro de los tres (3) días siguientes a su expedición.</w:t>
      </w:r>
    </w:p>
    <w:p w14:paraId="093C81BE" w14:textId="7C81A6A0" w:rsidR="006A52CE" w:rsidRPr="00A11E97" w:rsidRDefault="006A52CE" w:rsidP="006A52CE">
      <w:pPr>
        <w:spacing w:before="120" w:after="120" w:line="276" w:lineRule="auto"/>
        <w:ind w:firstLine="708"/>
        <w:jc w:val="both"/>
        <w:rPr>
          <w:rFonts w:ascii="Arial" w:eastAsia="Calibri" w:hAnsi="Arial" w:cs="Arial"/>
          <w:sz w:val="22"/>
        </w:rPr>
      </w:pPr>
      <w:r w:rsidRPr="00A11E97">
        <w:rPr>
          <w:rFonts w:ascii="Arial" w:eastAsia="Calibri" w:hAnsi="Arial" w:cs="Arial"/>
          <w:sz w:val="22"/>
        </w:rPr>
        <w:t>Frente al segundo grupo de documentos, debido a que estas entidades están sometidas al derecho privado, y por lo tanto no celebran sus procesos de selección con las modalidades previstas en la Ley 80 de 1993; cada una definirá en su Manual de contratación el procedimiento y los documentos que emita para la contratación de sus bienes, obras y servicios, frente a los cuales aplica el deber de publicidad.</w:t>
      </w:r>
    </w:p>
    <w:p w14:paraId="6FDED7AA" w14:textId="344294D2" w:rsidR="00EF0584" w:rsidRPr="00A11E97" w:rsidRDefault="00EF0584" w:rsidP="00EF0584">
      <w:pPr>
        <w:spacing w:before="120" w:after="120" w:line="276" w:lineRule="auto"/>
        <w:ind w:firstLine="708"/>
        <w:jc w:val="both"/>
        <w:rPr>
          <w:rFonts w:ascii="Arial" w:eastAsia="Calibri" w:hAnsi="Arial" w:cs="Arial"/>
          <w:sz w:val="22"/>
        </w:rPr>
      </w:pPr>
      <w:r w:rsidRPr="00A11E97">
        <w:rPr>
          <w:rFonts w:ascii="Arial" w:eastAsia="Calibri" w:hAnsi="Arial" w:cs="Arial"/>
          <w:sz w:val="22"/>
        </w:rPr>
        <w:lastRenderedPageBreak/>
        <w:t xml:space="preserve">Esta obligación de publicar los mencionados documentos en el SECOP I no ha sido modificada por las medidas tomadas por el </w:t>
      </w:r>
      <w:r w:rsidR="00B8652C">
        <w:rPr>
          <w:rFonts w:ascii="Arial" w:eastAsia="Calibri" w:hAnsi="Arial" w:cs="Arial"/>
          <w:sz w:val="22"/>
        </w:rPr>
        <w:t>p</w:t>
      </w:r>
      <w:r w:rsidRPr="00A11E97">
        <w:rPr>
          <w:rFonts w:ascii="Arial" w:eastAsia="Calibri" w:hAnsi="Arial" w:cs="Arial"/>
          <w:sz w:val="22"/>
        </w:rPr>
        <w:t xml:space="preserve">residente de la </w:t>
      </w:r>
      <w:r w:rsidR="00B8652C">
        <w:rPr>
          <w:rFonts w:ascii="Arial" w:eastAsia="Calibri" w:hAnsi="Arial" w:cs="Arial"/>
          <w:sz w:val="22"/>
        </w:rPr>
        <w:t>r</w:t>
      </w:r>
      <w:r w:rsidRPr="00A11E97">
        <w:rPr>
          <w:rFonts w:ascii="Arial" w:eastAsia="Calibri" w:hAnsi="Arial" w:cs="Arial"/>
          <w:sz w:val="22"/>
        </w:rPr>
        <w:t>epública en el marco de la emergencia económica</w:t>
      </w:r>
      <w:r w:rsidR="00A11E97" w:rsidRPr="00A11E97">
        <w:rPr>
          <w:rFonts w:ascii="Arial" w:eastAsia="Calibri" w:hAnsi="Arial" w:cs="Arial"/>
          <w:sz w:val="22"/>
        </w:rPr>
        <w:t xml:space="preserve">, social y ecológica </w:t>
      </w:r>
      <w:r w:rsidRPr="00A11E97">
        <w:rPr>
          <w:rFonts w:ascii="Arial" w:eastAsia="Calibri" w:hAnsi="Arial" w:cs="Arial"/>
          <w:sz w:val="22"/>
        </w:rPr>
        <w:t>declarada por el Decreto 417 de 17 de marzo de 2020.</w:t>
      </w:r>
    </w:p>
    <w:p w14:paraId="4F8CEBDE" w14:textId="7953F947" w:rsidR="00EB76C1" w:rsidRPr="00A11E97" w:rsidRDefault="00EB76C1" w:rsidP="003D4E6B">
      <w:pPr>
        <w:spacing w:line="276" w:lineRule="auto"/>
        <w:jc w:val="both"/>
        <w:rPr>
          <w:rFonts w:ascii="Arial" w:eastAsia="Calibri" w:hAnsi="Arial" w:cs="Arial"/>
          <w:sz w:val="22"/>
        </w:rPr>
      </w:pPr>
    </w:p>
    <w:p w14:paraId="12038E8E" w14:textId="32600B1C" w:rsidR="00BA22A9" w:rsidRPr="00A11E97" w:rsidRDefault="00BA22A9" w:rsidP="008F6ABB">
      <w:pPr>
        <w:spacing w:line="276" w:lineRule="auto"/>
        <w:jc w:val="both"/>
        <w:rPr>
          <w:rFonts w:ascii="Arial" w:eastAsia="Calibri" w:hAnsi="Arial" w:cs="Arial"/>
          <w:sz w:val="22"/>
        </w:rPr>
      </w:pPr>
      <w:r w:rsidRPr="00A11E97">
        <w:rPr>
          <w:rFonts w:ascii="Arial" w:eastAsia="Calibri" w:hAnsi="Arial" w:cs="Arial"/>
          <w:sz w:val="22"/>
        </w:rPr>
        <w:t>Este concepto tiene el alcance previsto en el artículo 28 del Código de Procedimiento Administrativo y de lo Contencioso Administrativo.</w:t>
      </w:r>
    </w:p>
    <w:p w14:paraId="0F12EF82" w14:textId="1788EA76" w:rsidR="00BA22A9" w:rsidRPr="00A11E97" w:rsidRDefault="009D5015" w:rsidP="00B10353">
      <w:pPr>
        <w:spacing w:line="276" w:lineRule="auto"/>
        <w:jc w:val="both"/>
        <w:rPr>
          <w:rFonts w:ascii="Arial" w:eastAsia="Times New Roman" w:hAnsi="Arial" w:cs="Arial"/>
          <w:sz w:val="22"/>
          <w:lang w:eastAsia="es-CO"/>
        </w:rPr>
      </w:pPr>
      <w:r w:rsidRPr="00A11E97">
        <w:rPr>
          <w:rFonts w:ascii="Arial" w:eastAsia="Calibri" w:hAnsi="Arial" w:cs="Arial"/>
          <w:noProof/>
          <w:sz w:val="22"/>
          <w:lang w:val="es-ES_tradnl" w:eastAsia="es-ES_tradnl"/>
        </w:rPr>
        <mc:AlternateContent>
          <mc:Choice Requires="wps">
            <w:drawing>
              <wp:anchor distT="0" distB="0" distL="114300" distR="114300" simplePos="0" relativeHeight="251659264" behindDoc="0" locked="0" layoutInCell="1" allowOverlap="1" wp14:anchorId="1E0127D7" wp14:editId="75B87071">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Conector recto 5"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05pt" to="488.25pt,-.05pt" w14:anchorId="67B289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w10:wrap anchorx="page"/>
              </v:line>
            </w:pict>
          </mc:Fallback>
        </mc:AlternateContent>
      </w:r>
    </w:p>
    <w:p w14:paraId="2D808EBE" w14:textId="6C2F122D" w:rsidR="00BA22A9" w:rsidRPr="00A11E97" w:rsidRDefault="00BA22A9" w:rsidP="00B10353">
      <w:pPr>
        <w:spacing w:line="276" w:lineRule="auto"/>
        <w:jc w:val="both"/>
        <w:rPr>
          <w:rFonts w:ascii="Arial" w:hAnsi="Arial" w:cs="Arial"/>
          <w:sz w:val="22"/>
          <w:szCs w:val="20"/>
        </w:rPr>
      </w:pPr>
      <w:r w:rsidRPr="00A11E97">
        <w:rPr>
          <w:rFonts w:ascii="Arial" w:eastAsia="Times New Roman" w:hAnsi="Arial" w:cs="Arial"/>
          <w:sz w:val="22"/>
          <w:lang w:eastAsia="es-CO"/>
        </w:rPr>
        <w:t>Atentamente,</w:t>
      </w:r>
    </w:p>
    <w:p w14:paraId="37F0C87F" w14:textId="0BDD8289" w:rsidR="00BA22A9" w:rsidRPr="00A11E97" w:rsidRDefault="00BA22A9" w:rsidP="00B10353">
      <w:pPr>
        <w:pStyle w:val="NormalWeb"/>
        <w:spacing w:before="0" w:beforeAutospacing="0" w:after="0" w:afterAutospacing="0"/>
        <w:jc w:val="center"/>
        <w:rPr>
          <w:rFonts w:ascii="Arial" w:hAnsi="Arial" w:cs="Arial"/>
          <w:sz w:val="22"/>
          <w:szCs w:val="20"/>
          <w:lang w:val="es-MX"/>
        </w:rPr>
      </w:pPr>
    </w:p>
    <w:p w14:paraId="2B486FD4" w14:textId="35A5D9A1" w:rsidR="00BA22A9" w:rsidRPr="00A11E97" w:rsidRDefault="001D1CC0" w:rsidP="00B10353">
      <w:pPr>
        <w:spacing w:after="18"/>
        <w:jc w:val="center"/>
        <w:rPr>
          <w:rFonts w:ascii="Arial" w:eastAsia="Times New Roman" w:hAnsi="Arial" w:cs="Arial"/>
          <w:sz w:val="18"/>
          <w:szCs w:val="20"/>
          <w:lang w:eastAsia="es-CO"/>
        </w:rPr>
      </w:pPr>
      <w:r>
        <w:rPr>
          <w:noProof/>
        </w:rPr>
        <w:drawing>
          <wp:inline distT="0" distB="0" distL="0" distR="0" wp14:anchorId="369AC37D" wp14:editId="779EAFB9">
            <wp:extent cx="2773045" cy="988695"/>
            <wp:effectExtent l="0" t="0" r="0" b="0"/>
            <wp:docPr id="123734678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004C20E" w14:textId="77777777" w:rsidR="00BA22A9" w:rsidRPr="00A11E97" w:rsidRDefault="00BA22A9" w:rsidP="00BA22A9">
      <w:pPr>
        <w:rPr>
          <w:rFonts w:ascii="Arial" w:hAnsi="Arial" w:cs="Arial"/>
        </w:rPr>
      </w:pPr>
    </w:p>
    <w:tbl>
      <w:tblPr>
        <w:tblStyle w:val="Tablaconcuadrcula"/>
        <w:tblpPr w:leftFromText="141" w:rightFromText="141" w:vertAnchor="text" w:horzAnchor="page" w:tblpX="1265"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A11E97" w:rsidRPr="00A11E97" w14:paraId="02A3E25B" w14:textId="77777777" w:rsidTr="008A0BE8">
        <w:trPr>
          <w:trHeight w:val="286"/>
        </w:trPr>
        <w:tc>
          <w:tcPr>
            <w:tcW w:w="817" w:type="dxa"/>
            <w:vAlign w:val="center"/>
          </w:tcPr>
          <w:p w14:paraId="22DCB2FF" w14:textId="77777777" w:rsidR="008A0BE8" w:rsidRPr="00A11E97" w:rsidRDefault="008A0BE8" w:rsidP="008A0BE8">
            <w:pPr>
              <w:rPr>
                <w:rFonts w:ascii="Arial" w:eastAsia="Times New Roman" w:hAnsi="Arial" w:cs="Arial"/>
                <w:sz w:val="14"/>
                <w:szCs w:val="14"/>
                <w:lang w:eastAsia="es-ES"/>
              </w:rPr>
            </w:pPr>
            <w:r w:rsidRPr="00A11E97">
              <w:rPr>
                <w:rFonts w:ascii="Arial" w:eastAsia="Times New Roman" w:hAnsi="Arial" w:cs="Arial"/>
                <w:sz w:val="14"/>
                <w:szCs w:val="14"/>
                <w:lang w:eastAsia="es-ES"/>
              </w:rPr>
              <w:t>Elaboró:</w:t>
            </w:r>
          </w:p>
        </w:tc>
        <w:tc>
          <w:tcPr>
            <w:tcW w:w="4445" w:type="dxa"/>
            <w:tcBorders>
              <w:bottom w:val="dotted" w:sz="4" w:space="0" w:color="7F7F7F" w:themeColor="text1" w:themeTint="80"/>
            </w:tcBorders>
            <w:vAlign w:val="center"/>
          </w:tcPr>
          <w:p w14:paraId="07CB9F48" w14:textId="77777777" w:rsidR="008A0BE8" w:rsidRPr="00A11E97" w:rsidRDefault="008A0BE8" w:rsidP="008A0BE8">
            <w:pPr>
              <w:rPr>
                <w:rFonts w:ascii="Arial" w:eastAsia="Times New Roman" w:hAnsi="Arial" w:cs="Arial"/>
                <w:sz w:val="14"/>
                <w:szCs w:val="14"/>
                <w:lang w:eastAsia="es-ES"/>
              </w:rPr>
            </w:pPr>
            <w:r w:rsidRPr="00A11E97">
              <w:rPr>
                <w:rFonts w:ascii="Arial" w:eastAsia="Times New Roman" w:hAnsi="Arial" w:cs="Arial"/>
                <w:sz w:val="14"/>
                <w:szCs w:val="14"/>
                <w:lang w:eastAsia="es-ES"/>
              </w:rPr>
              <w:t>Alejandro Sarmiento Cantillo</w:t>
            </w:r>
          </w:p>
          <w:p w14:paraId="29AA3AF0" w14:textId="77777777" w:rsidR="008A0BE8" w:rsidRPr="00A11E97" w:rsidRDefault="008A0BE8" w:rsidP="008A0BE8">
            <w:pPr>
              <w:rPr>
                <w:rFonts w:ascii="Arial" w:eastAsia="Times New Roman" w:hAnsi="Arial" w:cs="Arial"/>
                <w:sz w:val="14"/>
                <w:szCs w:val="14"/>
                <w:lang w:eastAsia="es-ES"/>
              </w:rPr>
            </w:pPr>
            <w:r w:rsidRPr="00A11E97">
              <w:rPr>
                <w:rFonts w:ascii="Arial" w:eastAsia="Times New Roman" w:hAnsi="Arial" w:cs="Arial"/>
                <w:sz w:val="14"/>
                <w:szCs w:val="14"/>
                <w:lang w:eastAsia="es-ES"/>
              </w:rPr>
              <w:t>Contratista</w:t>
            </w:r>
          </w:p>
        </w:tc>
      </w:tr>
      <w:tr w:rsidR="00A11E97" w:rsidRPr="00A11E97" w14:paraId="0CA35E64" w14:textId="77777777" w:rsidTr="008A0BE8">
        <w:trPr>
          <w:trHeight w:val="299"/>
        </w:trPr>
        <w:tc>
          <w:tcPr>
            <w:tcW w:w="817" w:type="dxa"/>
            <w:vAlign w:val="center"/>
          </w:tcPr>
          <w:p w14:paraId="642F7660" w14:textId="77777777" w:rsidR="008A0BE8" w:rsidRPr="00A11E97" w:rsidRDefault="008A0BE8" w:rsidP="008A0BE8">
            <w:pPr>
              <w:rPr>
                <w:rFonts w:ascii="Arial" w:eastAsia="Times New Roman" w:hAnsi="Arial" w:cs="Arial"/>
                <w:sz w:val="14"/>
                <w:szCs w:val="14"/>
                <w:lang w:eastAsia="es-ES"/>
              </w:rPr>
            </w:pPr>
            <w:r w:rsidRPr="00A11E97">
              <w:rPr>
                <w:rFonts w:ascii="Arial" w:eastAsia="Times New Roman" w:hAnsi="Arial" w:cs="Arial"/>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0BDD3F5C" w14:textId="258F1374" w:rsidR="008A0BE8" w:rsidRPr="00A11E97" w:rsidRDefault="00FD7BFD" w:rsidP="008A0BE8">
            <w:pPr>
              <w:rPr>
                <w:rFonts w:ascii="Arial" w:eastAsia="Times New Roman" w:hAnsi="Arial" w:cs="Arial"/>
                <w:sz w:val="14"/>
                <w:szCs w:val="14"/>
                <w:lang w:eastAsia="es-ES"/>
              </w:rPr>
            </w:pPr>
            <w:r>
              <w:rPr>
                <w:rFonts w:ascii="Arial" w:eastAsia="Times New Roman" w:hAnsi="Arial" w:cs="Arial"/>
                <w:sz w:val="14"/>
                <w:szCs w:val="14"/>
                <w:lang w:eastAsia="es-ES"/>
              </w:rPr>
              <w:t>Cristian Andrés Díaz Díez</w:t>
            </w:r>
          </w:p>
          <w:p w14:paraId="41D467EA" w14:textId="7CEA09F3" w:rsidR="008A0BE8" w:rsidRPr="00A11E97" w:rsidRDefault="00FD7BFD" w:rsidP="008A0BE8">
            <w:pPr>
              <w:rPr>
                <w:rFonts w:ascii="Arial" w:eastAsia="Times New Roman" w:hAnsi="Arial" w:cs="Arial"/>
                <w:sz w:val="14"/>
                <w:szCs w:val="14"/>
                <w:lang w:eastAsia="es-ES"/>
              </w:rPr>
            </w:pPr>
            <w:r>
              <w:rPr>
                <w:rFonts w:ascii="Arial" w:eastAsia="Times New Roman" w:hAnsi="Arial" w:cs="Arial"/>
                <w:sz w:val="14"/>
                <w:szCs w:val="14"/>
                <w:lang w:eastAsia="es-ES"/>
              </w:rPr>
              <w:t xml:space="preserve">Contratista, </w:t>
            </w:r>
            <w:r w:rsidR="008A0BE8" w:rsidRPr="00A11E97">
              <w:rPr>
                <w:rFonts w:ascii="Arial" w:eastAsia="Times New Roman" w:hAnsi="Arial" w:cs="Arial"/>
                <w:sz w:val="14"/>
                <w:szCs w:val="14"/>
                <w:lang w:eastAsia="es-ES"/>
              </w:rPr>
              <w:t>Subdirec</w:t>
            </w:r>
            <w:r>
              <w:rPr>
                <w:rFonts w:ascii="Arial" w:eastAsia="Times New Roman" w:hAnsi="Arial" w:cs="Arial"/>
                <w:sz w:val="14"/>
                <w:szCs w:val="14"/>
                <w:lang w:eastAsia="es-ES"/>
              </w:rPr>
              <w:t>ción</w:t>
            </w:r>
            <w:r w:rsidR="008A0BE8" w:rsidRPr="00A11E97">
              <w:rPr>
                <w:rFonts w:ascii="Arial" w:eastAsia="Times New Roman" w:hAnsi="Arial" w:cs="Arial"/>
                <w:sz w:val="14"/>
                <w:szCs w:val="14"/>
                <w:lang w:eastAsia="es-ES"/>
              </w:rPr>
              <w:t xml:space="preserve"> de Gestión Contractual</w:t>
            </w:r>
          </w:p>
        </w:tc>
      </w:tr>
      <w:tr w:rsidR="00A11E97" w:rsidRPr="00A11E97" w14:paraId="1C7A7BCC" w14:textId="77777777" w:rsidTr="008A0BE8">
        <w:trPr>
          <w:trHeight w:val="272"/>
        </w:trPr>
        <w:tc>
          <w:tcPr>
            <w:tcW w:w="817" w:type="dxa"/>
            <w:vAlign w:val="center"/>
          </w:tcPr>
          <w:p w14:paraId="7268E8C2" w14:textId="77777777" w:rsidR="008A0BE8" w:rsidRPr="00A11E97" w:rsidRDefault="008A0BE8" w:rsidP="008A0BE8">
            <w:pPr>
              <w:rPr>
                <w:rFonts w:ascii="Arial" w:eastAsia="Times New Roman" w:hAnsi="Arial" w:cs="Arial"/>
                <w:sz w:val="14"/>
                <w:szCs w:val="14"/>
                <w:lang w:eastAsia="es-ES"/>
              </w:rPr>
            </w:pPr>
            <w:r w:rsidRPr="00A11E97">
              <w:rPr>
                <w:rFonts w:ascii="Arial" w:eastAsia="Times New Roman" w:hAnsi="Arial" w:cs="Arial"/>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3DB650CA" w14:textId="77777777" w:rsidR="008A0BE8" w:rsidRPr="00A11E97" w:rsidRDefault="008A0BE8" w:rsidP="008A0BE8">
            <w:pPr>
              <w:rPr>
                <w:rFonts w:ascii="Arial" w:eastAsia="Times New Roman" w:hAnsi="Arial" w:cs="Arial"/>
                <w:sz w:val="14"/>
                <w:szCs w:val="14"/>
                <w:lang w:eastAsia="es-ES"/>
              </w:rPr>
            </w:pPr>
            <w:r w:rsidRPr="00A11E97">
              <w:rPr>
                <w:rFonts w:ascii="Arial" w:eastAsia="Times New Roman" w:hAnsi="Arial" w:cs="Arial"/>
                <w:sz w:val="14"/>
                <w:szCs w:val="14"/>
                <w:lang w:eastAsia="es-ES"/>
              </w:rPr>
              <w:t>Fabián Gonzalo Marín Cortés</w:t>
            </w:r>
          </w:p>
          <w:p w14:paraId="16462808" w14:textId="77777777" w:rsidR="008A0BE8" w:rsidRPr="00A11E97" w:rsidRDefault="008A0BE8" w:rsidP="008A0BE8">
            <w:pPr>
              <w:rPr>
                <w:rFonts w:ascii="Arial" w:eastAsia="Times New Roman" w:hAnsi="Arial" w:cs="Arial"/>
                <w:sz w:val="14"/>
                <w:szCs w:val="14"/>
                <w:lang w:eastAsia="es-ES"/>
              </w:rPr>
            </w:pPr>
            <w:r w:rsidRPr="00A11E97">
              <w:rPr>
                <w:rFonts w:ascii="Arial" w:eastAsia="Times New Roman" w:hAnsi="Arial" w:cs="Arial"/>
                <w:sz w:val="14"/>
                <w:szCs w:val="14"/>
                <w:lang w:eastAsia="es-ES"/>
              </w:rPr>
              <w:t>Subdirector de Gestión Contractual</w:t>
            </w:r>
          </w:p>
        </w:tc>
      </w:tr>
      <w:bookmarkEnd w:id="2"/>
      <w:bookmarkEnd w:id="3"/>
    </w:tbl>
    <w:p w14:paraId="35B56F46" w14:textId="77777777" w:rsidR="00746E08" w:rsidRPr="007B2D62" w:rsidRDefault="00746E08" w:rsidP="00746E08">
      <w:pPr>
        <w:rPr>
          <w:rFonts w:ascii="Arial" w:eastAsia="Times New Roman" w:hAnsi="Arial" w:cs="Arial"/>
          <w:color w:val="FF0000"/>
          <w:sz w:val="16"/>
          <w:szCs w:val="16"/>
          <w:lang w:eastAsia="es-ES"/>
        </w:rPr>
      </w:pPr>
    </w:p>
    <w:sectPr w:rsidR="00746E08" w:rsidRPr="007B2D62"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F4355" w14:textId="77777777" w:rsidR="00C84B49" w:rsidRDefault="00C84B49">
      <w:r>
        <w:separator/>
      </w:r>
    </w:p>
  </w:endnote>
  <w:endnote w:type="continuationSeparator" w:id="0">
    <w:p w14:paraId="3CAA11B1" w14:textId="77777777" w:rsidR="00C84B49" w:rsidRDefault="00C8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A43FA8" w:rsidRDefault="00A43FA8" w:rsidP="00322937">
    <w:pPr>
      <w:pStyle w:val="Sinespaciado"/>
      <w:jc w:val="right"/>
      <w:rPr>
        <w:rFonts w:ascii="Arial" w:hAnsi="Arial" w:cs="Arial"/>
        <w:sz w:val="18"/>
        <w:szCs w:val="18"/>
      </w:rPr>
    </w:pPr>
  </w:p>
  <w:p w14:paraId="7A3785F3" w14:textId="2EF28465" w:rsidR="00A43FA8" w:rsidRPr="008217B7" w:rsidRDefault="00A43FA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93FBF">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93FBF">
      <w:rPr>
        <w:rFonts w:ascii="Arial" w:hAnsi="Arial" w:cs="Arial"/>
        <w:b/>
        <w:bCs/>
        <w:noProof/>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48FC6A04" w14:textId="5FD1A7C9" w:rsidR="00A43FA8" w:rsidRDefault="1C73D51A" w:rsidP="00322937">
    <w:pPr>
      <w:pStyle w:val="Piedepgina"/>
      <w:jc w:val="center"/>
      <w:rPr>
        <w:lang w:val="es-ES"/>
      </w:rPr>
    </w:pPr>
    <w:r>
      <w:rPr>
        <w:noProof/>
      </w:rPr>
      <w:drawing>
        <wp:inline distT="0" distB="0" distL="0" distR="0" wp14:anchorId="608B196D" wp14:editId="050718BA">
          <wp:extent cx="3700130" cy="519139"/>
          <wp:effectExtent l="0" t="0" r="0" b="0"/>
          <wp:docPr id="14760025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A43FA8" w:rsidRDefault="00A43FA8" w:rsidP="007B0854">
    <w:pPr>
      <w:pStyle w:val="Piedepgina"/>
      <w:jc w:val="center"/>
      <w:rPr>
        <w:lang w:val="es-ES"/>
      </w:rPr>
    </w:pPr>
  </w:p>
  <w:p w14:paraId="6C0EFC49" w14:textId="77777777" w:rsidR="00A43FA8" w:rsidRPr="007B0854" w:rsidRDefault="00A43FA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746B5" w14:textId="77777777" w:rsidR="00C84B49" w:rsidRDefault="00C84B49">
      <w:r>
        <w:separator/>
      </w:r>
    </w:p>
  </w:footnote>
  <w:footnote w:type="continuationSeparator" w:id="0">
    <w:p w14:paraId="25B28BD7" w14:textId="77777777" w:rsidR="00C84B49" w:rsidRDefault="00C84B49">
      <w:r>
        <w:continuationSeparator/>
      </w:r>
    </w:p>
  </w:footnote>
  <w:footnote w:id="1">
    <w:p w14:paraId="7B484C50" w14:textId="6768D476" w:rsidR="0035671F" w:rsidRPr="0035671F" w:rsidRDefault="0035671F" w:rsidP="0035671F">
      <w:pPr>
        <w:pStyle w:val="Textonotapie"/>
        <w:ind w:firstLine="708"/>
        <w:jc w:val="both"/>
        <w:rPr>
          <w:rFonts w:ascii="Arial" w:hAnsi="Arial" w:cs="Arial"/>
          <w:sz w:val="18"/>
          <w:szCs w:val="18"/>
          <w:lang w:val="es-CO"/>
        </w:rPr>
      </w:pPr>
      <w:r w:rsidRPr="0035671F">
        <w:rPr>
          <w:rStyle w:val="Refdenotaalpie"/>
          <w:rFonts w:ascii="Arial" w:hAnsi="Arial" w:cs="Arial"/>
          <w:sz w:val="18"/>
          <w:szCs w:val="18"/>
        </w:rPr>
        <w:footnoteRef/>
      </w:r>
      <w:r w:rsidRPr="0035671F">
        <w:rPr>
          <w:rFonts w:ascii="Arial" w:hAnsi="Arial" w:cs="Arial"/>
          <w:sz w:val="18"/>
          <w:szCs w:val="18"/>
        </w:rPr>
        <w:t xml:space="preserve"> </w:t>
      </w:r>
      <w:r w:rsidRPr="0035671F">
        <w:rPr>
          <w:rFonts w:ascii="Arial" w:hAnsi="Arial" w:cs="Arial"/>
          <w:sz w:val="18"/>
          <w:szCs w:val="18"/>
          <w:lang w:val="es-CO"/>
        </w:rPr>
        <w:t>A través de este radicado la Procuraduría General de la Nación remitió por competencia petición elevada por el peticionario en idénticos términos a los del radicado 4202013000002556 del 11 de abril de 2020, de conformidad con el artículo 21 de la Ley 1437 de 2011, modificado por la Ley 1755 de 2015.</w:t>
      </w:r>
    </w:p>
  </w:footnote>
  <w:footnote w:id="2">
    <w:p w14:paraId="33B2D95C"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Corte Constitucional. Sentencia C- 341 del 4 de junio de 2014. M. P. Mauricio González Cuervo.</w:t>
      </w:r>
    </w:p>
    <w:p w14:paraId="6F495B7C"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
  </w:footnote>
  <w:footnote w:id="3">
    <w:p w14:paraId="6C47A5AC"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13AB9A9E"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roofErr w:type="gramStart"/>
      <w:r w:rsidRPr="00B62328">
        <w:rPr>
          <w:rFonts w:ascii="Arial" w:hAnsi="Arial" w:cs="Arial"/>
          <w:color w:val="404040" w:themeColor="text1" w:themeTint="BF"/>
          <w:sz w:val="19"/>
          <w:szCs w:val="19"/>
        </w:rPr>
        <w:t>»Lo</w:t>
      </w:r>
      <w:proofErr w:type="gramEnd"/>
      <w:r w:rsidRPr="00B62328">
        <w:rPr>
          <w:rFonts w:ascii="Arial" w:hAnsi="Arial" w:cs="Arial"/>
          <w:color w:val="404040" w:themeColor="text1" w:themeTint="BF"/>
          <w:sz w:val="19"/>
          <w:szCs w:val="19"/>
        </w:rPr>
        <w:t xml:space="preserve"> anterior, sin perjuicio de las publicaciones previstas en el numeral 3 del artículo 30 de la Ley 80 de 1993.</w:t>
      </w:r>
    </w:p>
    <w:p w14:paraId="39575EDD"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roofErr w:type="gramStart"/>
      <w:r w:rsidRPr="00B62328">
        <w:rPr>
          <w:rFonts w:ascii="Arial" w:hAnsi="Arial" w:cs="Arial"/>
          <w:color w:val="404040" w:themeColor="text1" w:themeTint="BF"/>
          <w:sz w:val="19"/>
          <w:szCs w:val="19"/>
        </w:rPr>
        <w:t>»Con</w:t>
      </w:r>
      <w:proofErr w:type="gramEnd"/>
      <w:r w:rsidRPr="00B62328">
        <w:rPr>
          <w:rFonts w:ascii="Arial" w:hAnsi="Arial" w:cs="Arial"/>
          <w:color w:val="404040" w:themeColor="text1" w:themeTint="BF"/>
          <w:sz w:val="19"/>
          <w:szCs w:val="19"/>
        </w:rPr>
        <w:t xml:space="preserve"> el fin de materializar los objetivos a que se refiere el inciso anterior, el Gobierno Nacional desarrollará el Sistema Electrónico para la Contratación Pública, </w:t>
      </w:r>
      <w:proofErr w:type="spellStart"/>
      <w:r w:rsidRPr="00B62328">
        <w:rPr>
          <w:rFonts w:ascii="Arial" w:hAnsi="Arial" w:cs="Arial"/>
          <w:color w:val="404040" w:themeColor="text1" w:themeTint="BF"/>
          <w:sz w:val="19"/>
          <w:szCs w:val="19"/>
        </w:rPr>
        <w:t>Secop</w:t>
      </w:r>
      <w:proofErr w:type="spellEnd"/>
      <w:r w:rsidRPr="00B62328">
        <w:rPr>
          <w:rFonts w:ascii="Arial" w:hAnsi="Arial" w:cs="Arial"/>
          <w:color w:val="404040" w:themeColor="text1" w:themeTint="BF"/>
          <w:sz w:val="19"/>
          <w:szCs w:val="19"/>
        </w:rPr>
        <w:t xml:space="preserve">, el cual: </w:t>
      </w:r>
    </w:p>
    <w:p w14:paraId="67DF185A"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w:t>
      </w:r>
    </w:p>
    <w:p w14:paraId="74B62D41"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0BF2FA6C" w14:textId="77777777" w:rsidR="001A2559" w:rsidRPr="00B62328" w:rsidRDefault="001A2559" w:rsidP="001A2559">
      <w:pPr>
        <w:pStyle w:val="Textonotapie"/>
        <w:jc w:val="both"/>
        <w:rPr>
          <w:rFonts w:ascii="Arial" w:hAnsi="Arial" w:cs="Arial"/>
          <w:color w:val="404040" w:themeColor="text1" w:themeTint="BF"/>
          <w:sz w:val="19"/>
          <w:szCs w:val="19"/>
        </w:rPr>
      </w:pPr>
    </w:p>
  </w:footnote>
  <w:footnote w:id="4">
    <w:p w14:paraId="037DB29E"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0839FF6A"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
  </w:footnote>
  <w:footnote w:id="5">
    <w:p w14:paraId="340838D6"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Ley 1712 de 2014: «Artículo 5. Ámbito de aplicación. Las disposiciones de esta ley serán aplicables a las siguientes personas en calidad de sujetos obligados: </w:t>
      </w:r>
    </w:p>
    <w:p w14:paraId="3A792D7A"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roofErr w:type="gramStart"/>
      <w:r w:rsidRPr="00B62328">
        <w:rPr>
          <w:rFonts w:ascii="Arial" w:hAnsi="Arial" w:cs="Arial"/>
          <w:color w:val="404040" w:themeColor="text1" w:themeTint="BF"/>
          <w:sz w:val="19"/>
          <w:szCs w:val="19"/>
        </w:rPr>
        <w:t>»a</w:t>
      </w:r>
      <w:proofErr w:type="gramEnd"/>
      <w:r w:rsidRPr="00B62328">
        <w:rPr>
          <w:rFonts w:ascii="Arial" w:hAnsi="Arial" w:cs="Arial"/>
          <w:color w:val="404040" w:themeColor="text1" w:themeTint="BF"/>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55D282F3"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
  </w:footnote>
  <w:footnote w:id="6">
    <w:p w14:paraId="07F6981F"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Fonts w:ascii="Arial" w:hAnsi="Arial" w:cs="Arial"/>
          <w:color w:val="404040" w:themeColor="text1" w:themeTint="BF"/>
          <w:sz w:val="19"/>
          <w:szCs w:val="19"/>
          <w:vertAlign w:val="superscript"/>
          <w:lang w:val="es-ES" w:eastAsia="es-ES"/>
        </w:rPr>
        <w:footnoteRef/>
      </w:r>
      <w:r w:rsidRPr="00B62328">
        <w:rPr>
          <w:rFonts w:ascii="Arial" w:hAnsi="Arial" w:cs="Arial"/>
          <w:color w:val="404040" w:themeColor="text1" w:themeTint="BF"/>
          <w:sz w:val="19"/>
          <w:szCs w:val="19"/>
          <w:vertAlign w:val="superscript"/>
          <w:lang w:val="es-ES" w:eastAsia="es-ES"/>
        </w:rPr>
        <w:t xml:space="preserve"> </w:t>
      </w:r>
      <w:r w:rsidRPr="00B62328">
        <w:rPr>
          <w:rFonts w:ascii="Arial" w:hAnsi="Arial" w:cs="Arial"/>
          <w:color w:val="404040" w:themeColor="text1" w:themeTint="BF"/>
          <w:sz w:val="19"/>
          <w:szCs w:val="19"/>
          <w:lang w:val="es-ES" w:eastAsia="es-ES"/>
        </w:rPr>
        <w:t>«</w:t>
      </w:r>
      <w:r w:rsidRPr="00B62328">
        <w:rPr>
          <w:rFonts w:ascii="Arial" w:hAnsi="Arial" w:cs="Arial"/>
          <w:color w:val="404040" w:themeColor="text1" w:themeTint="BF"/>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1A3689B2" w14:textId="77777777" w:rsidR="001A2559" w:rsidRPr="00B62328" w:rsidRDefault="001A2559" w:rsidP="001A2559">
      <w:pPr>
        <w:pStyle w:val="Textonotapie"/>
        <w:ind w:firstLine="709"/>
        <w:jc w:val="both"/>
        <w:rPr>
          <w:rFonts w:ascii="Arial" w:hAnsi="Arial" w:cs="Arial"/>
          <w:color w:val="404040" w:themeColor="text1" w:themeTint="BF"/>
          <w:sz w:val="19"/>
          <w:szCs w:val="19"/>
          <w:lang w:val="es-ES" w:eastAsia="es-ES"/>
        </w:rPr>
      </w:pPr>
      <w:r w:rsidRPr="00B62328">
        <w:rPr>
          <w:rFonts w:ascii="Arial" w:hAnsi="Arial" w:cs="Arial"/>
          <w:color w:val="404040" w:themeColor="text1" w:themeTint="BF"/>
          <w:sz w:val="19"/>
          <w:szCs w:val="19"/>
        </w:rPr>
        <w:t>[…].</w:t>
      </w:r>
    </w:p>
    <w:p w14:paraId="394D407D" w14:textId="77777777" w:rsidR="001A2559" w:rsidRPr="00B62328" w:rsidRDefault="001A2559" w:rsidP="001A2559">
      <w:pPr>
        <w:pStyle w:val="Textonotapie"/>
        <w:ind w:firstLine="709"/>
        <w:jc w:val="both"/>
        <w:rPr>
          <w:rFonts w:ascii="Arial" w:hAnsi="Arial" w:cs="Arial"/>
          <w:color w:val="404040" w:themeColor="text1" w:themeTint="BF"/>
          <w:sz w:val="19"/>
          <w:szCs w:val="19"/>
          <w:lang w:val="es-ES" w:eastAsia="es-ES"/>
        </w:rPr>
      </w:pPr>
      <w:proofErr w:type="gramStart"/>
      <w:r>
        <w:rPr>
          <w:rFonts w:ascii="Arial" w:hAnsi="Arial" w:cs="Arial"/>
          <w:color w:val="404040" w:themeColor="text1" w:themeTint="BF"/>
          <w:sz w:val="19"/>
          <w:szCs w:val="19"/>
          <w:lang w:val="es-ES" w:eastAsia="es-ES"/>
        </w:rPr>
        <w:t>»</w:t>
      </w:r>
      <w:r w:rsidRPr="00B62328">
        <w:rPr>
          <w:rFonts w:ascii="Arial" w:hAnsi="Arial" w:cs="Arial"/>
          <w:color w:val="404040" w:themeColor="text1" w:themeTint="BF"/>
          <w:sz w:val="19"/>
          <w:szCs w:val="19"/>
          <w:lang w:val="es-ES" w:eastAsia="es-ES"/>
        </w:rPr>
        <w:t>Los</w:t>
      </w:r>
      <w:proofErr w:type="gramEnd"/>
      <w:r w:rsidRPr="00B62328">
        <w:rPr>
          <w:rFonts w:ascii="Arial" w:hAnsi="Arial" w:cs="Arial"/>
          <w:color w:val="404040" w:themeColor="text1" w:themeTint="BF"/>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p w14:paraId="63AFD88B" w14:textId="77777777" w:rsidR="001A2559" w:rsidRPr="00B62328" w:rsidRDefault="001A2559" w:rsidP="001A2559">
      <w:pPr>
        <w:pStyle w:val="Textonotapie"/>
        <w:ind w:firstLine="709"/>
        <w:jc w:val="both"/>
        <w:rPr>
          <w:rFonts w:ascii="Arial" w:hAnsi="Arial" w:cs="Arial"/>
          <w:color w:val="404040" w:themeColor="text1" w:themeTint="BF"/>
          <w:sz w:val="19"/>
          <w:szCs w:val="19"/>
          <w:lang w:val="es-ES" w:eastAsia="es-ES"/>
        </w:rPr>
      </w:pPr>
    </w:p>
  </w:footnote>
  <w:footnote w:id="7">
    <w:p w14:paraId="6C13443B"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C</w:t>
      </w:r>
      <w:proofErr w:type="spellStart"/>
      <w:r w:rsidRPr="00B62328">
        <w:rPr>
          <w:rFonts w:ascii="Arial" w:hAnsi="Arial" w:cs="Arial"/>
          <w:color w:val="404040" w:themeColor="text1" w:themeTint="BF"/>
          <w:sz w:val="19"/>
          <w:szCs w:val="19"/>
          <w:lang w:val="es-ES" w:eastAsia="es-ES"/>
        </w:rPr>
        <w:t>orte</w:t>
      </w:r>
      <w:proofErr w:type="spellEnd"/>
      <w:r w:rsidRPr="00B62328">
        <w:rPr>
          <w:rFonts w:ascii="Arial" w:hAnsi="Arial" w:cs="Arial"/>
          <w:color w:val="404040" w:themeColor="text1" w:themeTint="BF"/>
          <w:sz w:val="19"/>
          <w:szCs w:val="19"/>
          <w:lang w:val="es-ES" w:eastAsia="es-ES"/>
        </w:rPr>
        <w:t xml:space="preserve"> Constitucional. Sentencia C-274 de 9 de mayo de 2013. M.P. María Victoria Calle Correa. </w:t>
      </w:r>
    </w:p>
    <w:p w14:paraId="3A2D6F50"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
  </w:footnote>
  <w:footnote w:id="8">
    <w:p w14:paraId="7C142ED8"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2D560C0E"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
  </w:footnote>
  <w:footnote w:id="9">
    <w:p w14:paraId="59194B07"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Consejo de Estado. Sección Tercera. Subsección C. Auto del 14 de agosto de 2017. </w:t>
      </w:r>
      <w:proofErr w:type="spellStart"/>
      <w:r w:rsidRPr="00B62328">
        <w:rPr>
          <w:rFonts w:ascii="Arial" w:hAnsi="Arial" w:cs="Arial"/>
          <w:color w:val="404040" w:themeColor="text1" w:themeTint="BF"/>
          <w:sz w:val="19"/>
          <w:szCs w:val="19"/>
        </w:rPr>
        <w:t>Exp</w:t>
      </w:r>
      <w:proofErr w:type="spellEnd"/>
      <w:r w:rsidRPr="00B62328">
        <w:rPr>
          <w:rFonts w:ascii="Arial" w:hAnsi="Arial" w:cs="Arial"/>
          <w:color w:val="404040" w:themeColor="text1" w:themeTint="BF"/>
          <w:sz w:val="19"/>
          <w:szCs w:val="19"/>
        </w:rPr>
        <w:t xml:space="preserve">. 58.820. C.P. Jaime Orlando Santofimio Gamboa. </w:t>
      </w:r>
    </w:p>
    <w:p w14:paraId="3A60327F"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
  </w:footnote>
  <w:footnote w:id="10">
    <w:p w14:paraId="177DFBA5" w14:textId="77777777" w:rsidR="001A2559" w:rsidRPr="00B62328" w:rsidRDefault="001A2559" w:rsidP="001A2559">
      <w:pPr>
        <w:pStyle w:val="Prrafodelista"/>
        <w:ind w:left="0" w:firstLine="709"/>
        <w:jc w:val="both"/>
        <w:rPr>
          <w:rFonts w:ascii="Arial" w:hAnsi="Arial" w:cs="Arial"/>
          <w:bCs/>
          <w:color w:val="404040" w:themeColor="text1" w:themeTint="BF"/>
          <w:sz w:val="19"/>
          <w:szCs w:val="19"/>
          <w:lang w:val="es-ES"/>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w:t>
      </w:r>
      <w:r w:rsidRPr="00B62328">
        <w:rPr>
          <w:rFonts w:ascii="Arial" w:hAnsi="Arial" w:cs="Arial"/>
          <w:bCs/>
          <w:color w:val="404040" w:themeColor="text1" w:themeTint="BF"/>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572BA3AF" w14:textId="77777777" w:rsidR="001A2559" w:rsidRPr="00B62328" w:rsidRDefault="001A2559" w:rsidP="001A2559">
      <w:pPr>
        <w:pStyle w:val="Textonotapie"/>
        <w:ind w:firstLine="709"/>
        <w:jc w:val="both"/>
        <w:rPr>
          <w:rFonts w:ascii="Arial" w:hAnsi="Arial" w:cs="Arial"/>
          <w:color w:val="404040" w:themeColor="text1" w:themeTint="BF"/>
          <w:sz w:val="19"/>
          <w:szCs w:val="19"/>
          <w:lang w:val="es-ES"/>
        </w:rPr>
      </w:pPr>
    </w:p>
  </w:footnote>
  <w:footnote w:id="11">
    <w:p w14:paraId="40335A00"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0D107B49"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roofErr w:type="gramStart"/>
      <w:r w:rsidRPr="00B62328">
        <w:rPr>
          <w:rFonts w:ascii="Arial" w:hAnsi="Arial" w:cs="Arial"/>
          <w:color w:val="404040" w:themeColor="text1" w:themeTint="BF"/>
          <w:sz w:val="19"/>
          <w:szCs w:val="19"/>
        </w:rPr>
        <w:t>»Así</w:t>
      </w:r>
      <w:proofErr w:type="gramEnd"/>
      <w:r w:rsidRPr="00B62328">
        <w:rPr>
          <w:rFonts w:ascii="Arial" w:hAnsi="Arial" w:cs="Arial"/>
          <w:color w:val="404040" w:themeColor="text1" w:themeTint="BF"/>
          <w:sz w:val="19"/>
          <w:szCs w:val="19"/>
        </w:rPr>
        <w:t xml:space="preserve">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4C56455C"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
  </w:footnote>
  <w:footnote w:id="12">
    <w:p w14:paraId="24AFA9D9"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0213B1FE"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
  </w:footnote>
  <w:footnote w:id="13">
    <w:p w14:paraId="48A00DAD"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3F398CBA"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
  </w:footnote>
  <w:footnote w:id="14">
    <w:p w14:paraId="1DD8951D"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Decreto 103 de 2015: «Artículo 10. Publicación del Plan Anual de Adquisiciones. Los sujetos obligados que contratan con cargo a recursos públicos deben publicar en su página web y en el </w:t>
      </w:r>
      <w:proofErr w:type="spellStart"/>
      <w:r w:rsidRPr="00B62328">
        <w:rPr>
          <w:rFonts w:ascii="Arial" w:hAnsi="Arial" w:cs="Arial"/>
          <w:color w:val="404040" w:themeColor="text1" w:themeTint="BF"/>
          <w:sz w:val="19"/>
          <w:szCs w:val="19"/>
        </w:rPr>
        <w:t>Secop</w:t>
      </w:r>
      <w:proofErr w:type="spellEnd"/>
      <w:r w:rsidRPr="00B62328">
        <w:rPr>
          <w:rFonts w:ascii="Arial" w:hAnsi="Arial" w:cs="Arial"/>
          <w:color w:val="404040" w:themeColor="text1" w:themeTint="BF"/>
          <w:sz w:val="19"/>
          <w:szCs w:val="19"/>
        </w:rPr>
        <w:t xml:space="preserve"> el Plan Anual de Adquisiciones, de acuerdo con lo previsto en el artículo 74 de la Ley 1474 de 2011, el literal e) del artículo 9° de la Ley 1712 de 2014 y el Decreto 1510 de 2013, o el que lo modifique, sustituya o adicione.</w:t>
      </w:r>
    </w:p>
    <w:p w14:paraId="18DD2F56"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roofErr w:type="gramStart"/>
      <w:r w:rsidRPr="00B62328">
        <w:rPr>
          <w:rFonts w:ascii="Arial" w:hAnsi="Arial" w:cs="Arial"/>
          <w:color w:val="404040" w:themeColor="text1" w:themeTint="BF"/>
          <w:sz w:val="19"/>
          <w:szCs w:val="19"/>
        </w:rPr>
        <w:t>»Los</w:t>
      </w:r>
      <w:proofErr w:type="gramEnd"/>
      <w:r w:rsidRPr="00B62328">
        <w:rPr>
          <w:rFonts w:ascii="Arial" w:hAnsi="Arial" w:cs="Arial"/>
          <w:color w:val="404040" w:themeColor="text1" w:themeTint="BF"/>
          <w:sz w:val="19"/>
          <w:szCs w:val="19"/>
        </w:rPr>
        <w:t xml:space="preserve"> sujetos obligados que no contratan con cargo a recursos públicos no están obligados a publicar su Plan Anual de Adquisiciones.</w:t>
      </w:r>
    </w:p>
    <w:p w14:paraId="786DB9C0"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roofErr w:type="gramStart"/>
      <w:r w:rsidRPr="00B62328">
        <w:rPr>
          <w:rFonts w:ascii="Arial" w:hAnsi="Arial" w:cs="Arial"/>
          <w:color w:val="404040" w:themeColor="text1" w:themeTint="BF"/>
          <w:sz w:val="19"/>
          <w:szCs w:val="19"/>
        </w:rPr>
        <w:t>»Los</w:t>
      </w:r>
      <w:proofErr w:type="gramEnd"/>
      <w:r w:rsidRPr="00B62328">
        <w:rPr>
          <w:rFonts w:ascii="Arial" w:hAnsi="Arial" w:cs="Arial"/>
          <w:color w:val="404040" w:themeColor="text1" w:themeTint="BF"/>
          <w:sz w:val="19"/>
          <w:szCs w:val="19"/>
        </w:rPr>
        <w:t xml:space="preserve"> sujetos obligados que contratan con cargo a recursos públicos y recursos privados, deben publicar en su página web y en el SECOP el Plan Anual de Adquisiciones para los recursos de carácter público que ejecutarán en el año.</w:t>
      </w:r>
    </w:p>
    <w:p w14:paraId="247BEDD8" w14:textId="77777777" w:rsidR="001A2559" w:rsidRDefault="001A2559" w:rsidP="001A2559">
      <w:pPr>
        <w:pStyle w:val="Textonotapie"/>
        <w:ind w:firstLine="709"/>
        <w:jc w:val="both"/>
        <w:rPr>
          <w:rFonts w:ascii="Arial" w:hAnsi="Arial" w:cs="Arial"/>
          <w:color w:val="404040" w:themeColor="text1" w:themeTint="BF"/>
          <w:sz w:val="19"/>
          <w:szCs w:val="19"/>
        </w:rPr>
      </w:pPr>
      <w:proofErr w:type="gramStart"/>
      <w:r w:rsidRPr="00B62328">
        <w:rPr>
          <w:rFonts w:ascii="Arial" w:hAnsi="Arial" w:cs="Arial"/>
          <w:color w:val="404040" w:themeColor="text1" w:themeTint="BF"/>
          <w:sz w:val="19"/>
          <w:szCs w:val="19"/>
        </w:rPr>
        <w:t>»Se</w:t>
      </w:r>
      <w:proofErr w:type="gramEnd"/>
      <w:r w:rsidRPr="00B62328">
        <w:rPr>
          <w:rFonts w:ascii="Arial" w:hAnsi="Arial" w:cs="Arial"/>
          <w:color w:val="404040" w:themeColor="text1" w:themeTint="BF"/>
          <w:sz w:val="19"/>
          <w:szCs w:val="19"/>
        </w:rPr>
        <w:t xml:space="preserve"> entenderá como definición de Plan Anual de Adquisiciones respecto a todos los sujetos obligados que contratan con recursos públicos, la prevista en el artículo 3° del Decreto 1510 de 2013, o el que lo modifique, sustituya o adicione».</w:t>
      </w:r>
    </w:p>
    <w:p w14:paraId="41602AF2"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
  </w:footnote>
  <w:footnote w:id="15">
    <w:p w14:paraId="215C5797" w14:textId="77777777" w:rsidR="001A2559"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w:t>
      </w:r>
      <w:r>
        <w:rPr>
          <w:rFonts w:ascii="Arial" w:hAnsi="Arial" w:cs="Arial"/>
          <w:color w:val="404040" w:themeColor="text1" w:themeTint="BF"/>
          <w:sz w:val="19"/>
          <w:szCs w:val="19"/>
        </w:rPr>
        <w:t>En efecto, el artículo 195, numeral 6 de la Ley 100 de 1993 establece que «</w:t>
      </w:r>
      <w:r w:rsidRPr="00FF0FE0">
        <w:rPr>
          <w:rFonts w:ascii="Arial" w:hAnsi="Arial" w:cs="Arial"/>
          <w:color w:val="404040" w:themeColor="text1" w:themeTint="BF"/>
          <w:sz w:val="19"/>
          <w:szCs w:val="19"/>
        </w:rPr>
        <w:t>Las Empresas Sociales de Salud se someterán al siguiente régimen jurídico:</w:t>
      </w:r>
    </w:p>
    <w:p w14:paraId="6E98EEE1" w14:textId="77777777" w:rsidR="001A2559" w:rsidRDefault="001A2559" w:rsidP="001A2559">
      <w:pPr>
        <w:pStyle w:val="Textonotapie"/>
        <w:ind w:firstLine="709"/>
        <w:jc w:val="both"/>
        <w:rPr>
          <w:rFonts w:ascii="Arial" w:hAnsi="Arial" w:cs="Arial"/>
          <w:color w:val="404040" w:themeColor="text1" w:themeTint="BF"/>
          <w:sz w:val="19"/>
          <w:szCs w:val="19"/>
        </w:rPr>
      </w:pPr>
      <w:r>
        <w:rPr>
          <w:rFonts w:ascii="Arial" w:hAnsi="Arial" w:cs="Arial"/>
          <w:color w:val="404040" w:themeColor="text1" w:themeTint="BF"/>
          <w:sz w:val="19"/>
          <w:szCs w:val="19"/>
        </w:rPr>
        <w:t>»[…]</w:t>
      </w:r>
    </w:p>
    <w:p w14:paraId="7C112253"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roofErr w:type="gramStart"/>
      <w:r>
        <w:rPr>
          <w:rFonts w:ascii="Arial" w:hAnsi="Arial" w:cs="Arial"/>
          <w:color w:val="404040" w:themeColor="text1" w:themeTint="BF"/>
          <w:sz w:val="19"/>
          <w:szCs w:val="19"/>
        </w:rPr>
        <w:t>»</w:t>
      </w:r>
      <w:r w:rsidRPr="00FF0FE0">
        <w:rPr>
          <w:rFonts w:ascii="Arial" w:hAnsi="Arial" w:cs="Arial"/>
          <w:color w:val="404040" w:themeColor="text1" w:themeTint="BF"/>
          <w:sz w:val="19"/>
          <w:szCs w:val="19"/>
        </w:rPr>
        <w:t>En</w:t>
      </w:r>
      <w:proofErr w:type="gramEnd"/>
      <w:r w:rsidRPr="00FF0FE0">
        <w:rPr>
          <w:rFonts w:ascii="Arial" w:hAnsi="Arial" w:cs="Arial"/>
          <w:color w:val="404040" w:themeColor="text1" w:themeTint="BF"/>
          <w:sz w:val="19"/>
          <w:szCs w:val="19"/>
        </w:rPr>
        <w:t xml:space="preserve"> materia contractual se regirá por el derecho privado, pero podrá discrecionalmente utilizar las cláusulas exorbitantes previstas en el estatuto general de contratación de la administración pública</w:t>
      </w:r>
      <w:r>
        <w:rPr>
          <w:rFonts w:ascii="Arial" w:hAnsi="Arial" w:cs="Arial"/>
          <w:color w:val="404040" w:themeColor="text1" w:themeTint="BF"/>
          <w:sz w:val="19"/>
          <w:szCs w:val="19"/>
        </w:rPr>
        <w:t>»</w:t>
      </w:r>
      <w:r w:rsidRPr="00FF0FE0">
        <w:rPr>
          <w:rFonts w:ascii="Arial" w:hAnsi="Arial" w:cs="Arial"/>
          <w:color w:val="404040" w:themeColor="text1" w:themeTint="BF"/>
          <w:sz w:val="19"/>
          <w:szCs w:val="19"/>
        </w:rPr>
        <w:t>.</w:t>
      </w:r>
      <w:r>
        <w:rPr>
          <w:rFonts w:ascii="Arial" w:hAnsi="Arial" w:cs="Arial"/>
          <w:color w:val="404040" w:themeColor="text1" w:themeTint="BF"/>
          <w:sz w:val="19"/>
          <w:szCs w:val="19"/>
        </w:rPr>
        <w:t xml:space="preserve"> </w:t>
      </w:r>
    </w:p>
  </w:footnote>
  <w:footnote w:id="16">
    <w:p w14:paraId="385EBC45"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25696F1F"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roofErr w:type="gramStart"/>
      <w:r w:rsidRPr="00B62328">
        <w:rPr>
          <w:rFonts w:ascii="Arial" w:hAnsi="Arial" w:cs="Arial"/>
          <w:color w:val="404040" w:themeColor="text1" w:themeTint="BF"/>
          <w:sz w:val="19"/>
          <w:szCs w:val="19"/>
        </w:rPr>
        <w:t>»En</w:t>
      </w:r>
      <w:proofErr w:type="gramEnd"/>
      <w:r w:rsidRPr="00B62328">
        <w:rPr>
          <w:rFonts w:ascii="Arial" w:hAnsi="Arial" w:cs="Arial"/>
          <w:color w:val="404040" w:themeColor="text1" w:themeTint="BF"/>
          <w:sz w:val="19"/>
          <w:szCs w:val="19"/>
        </w:rPr>
        <w:t xml:space="preserve">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58D8B9BF"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
  </w:footnote>
  <w:footnote w:id="17">
    <w:p w14:paraId="0D5ACB27"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6F3046D2"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roofErr w:type="gramStart"/>
      <w:r w:rsidRPr="00B62328">
        <w:rPr>
          <w:rFonts w:ascii="Arial" w:hAnsi="Arial" w:cs="Arial"/>
          <w:color w:val="404040" w:themeColor="text1" w:themeTint="BF"/>
          <w:sz w:val="19"/>
          <w:szCs w:val="19"/>
        </w:rPr>
        <w:t>»La</w:t>
      </w:r>
      <w:proofErr w:type="gramEnd"/>
      <w:r w:rsidRPr="00B62328">
        <w:rPr>
          <w:rFonts w:ascii="Arial" w:hAnsi="Arial" w:cs="Arial"/>
          <w:color w:val="404040" w:themeColor="text1" w:themeTint="BF"/>
          <w:sz w:val="19"/>
          <w:szCs w:val="19"/>
        </w:rPr>
        <w:t xml:space="preserve">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2A19D436"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roofErr w:type="gramStart"/>
      <w:r w:rsidRPr="00B62328">
        <w:rPr>
          <w:rFonts w:ascii="Arial" w:hAnsi="Arial" w:cs="Arial"/>
          <w:color w:val="404040" w:themeColor="text1" w:themeTint="BF"/>
          <w:sz w:val="19"/>
          <w:szCs w:val="19"/>
        </w:rPr>
        <w:t>»Con</w:t>
      </w:r>
      <w:proofErr w:type="gramEnd"/>
      <w:r w:rsidRPr="00B62328">
        <w:rPr>
          <w:rFonts w:ascii="Arial" w:hAnsi="Arial" w:cs="Arial"/>
          <w:color w:val="404040" w:themeColor="text1" w:themeTint="BF"/>
          <w:sz w:val="19"/>
          <w:szCs w:val="19"/>
        </w:rPr>
        <w:t xml:space="preserve">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18">
    <w:p w14:paraId="3BEEE114"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Corte Constitucional. Sentencia C- 083 del 1 de marzo de 1995. M.P. Carlos Gaviria Díaz</w:t>
      </w:r>
      <w:r>
        <w:rPr>
          <w:rFonts w:ascii="Arial" w:hAnsi="Arial" w:cs="Arial"/>
          <w:color w:val="404040" w:themeColor="text1" w:themeTint="BF"/>
          <w:sz w:val="19"/>
          <w:szCs w:val="19"/>
        </w:rPr>
        <w:t>.</w:t>
      </w:r>
    </w:p>
    <w:p w14:paraId="563D7E5A"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
  </w:footnote>
  <w:footnote w:id="19">
    <w:p w14:paraId="1025247B" w14:textId="77777777" w:rsidR="001A2559" w:rsidRPr="00B62328" w:rsidRDefault="001A2559" w:rsidP="001A2559">
      <w:pPr>
        <w:pStyle w:val="Textonotapie"/>
        <w:ind w:firstLine="709"/>
        <w:jc w:val="both"/>
        <w:rPr>
          <w:rFonts w:ascii="Arial" w:hAnsi="Arial" w:cs="Arial"/>
          <w:color w:val="404040" w:themeColor="text1" w:themeTint="BF"/>
          <w:sz w:val="19"/>
          <w:szCs w:val="19"/>
        </w:rPr>
      </w:pPr>
      <w:r w:rsidRPr="00B62328">
        <w:rPr>
          <w:rStyle w:val="Refdenotaalpie"/>
          <w:rFonts w:ascii="Arial" w:hAnsi="Arial" w:cs="Arial"/>
          <w:color w:val="404040" w:themeColor="text1" w:themeTint="BF"/>
          <w:sz w:val="19"/>
          <w:szCs w:val="19"/>
        </w:rPr>
        <w:footnoteRef/>
      </w:r>
      <w:r w:rsidRPr="00B62328">
        <w:rPr>
          <w:rFonts w:ascii="Arial" w:hAnsi="Arial" w:cs="Arial"/>
          <w:color w:val="404040" w:themeColor="text1" w:themeTint="BF"/>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7BF537BB" w14:textId="77777777" w:rsidR="001A2559" w:rsidRPr="00B62328" w:rsidRDefault="001A2559" w:rsidP="001A2559">
      <w:pPr>
        <w:pStyle w:val="Textonotapie"/>
        <w:ind w:firstLine="709"/>
        <w:jc w:val="both"/>
        <w:rPr>
          <w:rFonts w:ascii="Arial" w:hAnsi="Arial" w:cs="Arial"/>
          <w:color w:val="404040" w:themeColor="text1" w:themeTint="BF"/>
          <w:sz w:val="19"/>
          <w:szCs w:val="19"/>
        </w:rPr>
      </w:pPr>
      <w:proofErr w:type="gramStart"/>
      <w:r w:rsidRPr="00B62328">
        <w:rPr>
          <w:rFonts w:ascii="Arial" w:hAnsi="Arial" w:cs="Arial"/>
          <w:color w:val="404040" w:themeColor="text1" w:themeTint="BF"/>
          <w:sz w:val="19"/>
          <w:szCs w:val="19"/>
        </w:rPr>
        <w:t>»La</w:t>
      </w:r>
      <w:proofErr w:type="gramEnd"/>
      <w:r w:rsidRPr="00B62328">
        <w:rPr>
          <w:rFonts w:ascii="Arial" w:hAnsi="Arial" w:cs="Arial"/>
          <w:color w:val="404040" w:themeColor="text1" w:themeTint="BF"/>
          <w:sz w:val="19"/>
          <w:szCs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20">
    <w:p w14:paraId="4B1939AD" w14:textId="77777777" w:rsidR="001D1E85" w:rsidRDefault="001D1E85" w:rsidP="001D1E85">
      <w:pPr>
        <w:pStyle w:val="Textonotapie"/>
        <w:ind w:firstLine="709"/>
        <w:jc w:val="both"/>
        <w:rPr>
          <w:rFonts w:ascii="Arial" w:hAnsi="Arial" w:cs="Arial"/>
          <w:color w:val="404040" w:themeColor="text1" w:themeTint="BF"/>
          <w:sz w:val="19"/>
          <w:szCs w:val="19"/>
        </w:rPr>
      </w:pPr>
      <w:r>
        <w:rPr>
          <w:rStyle w:val="Refdenotaalpie"/>
          <w:rFonts w:ascii="Arial" w:hAnsi="Arial" w:cs="Arial"/>
          <w:color w:val="404040" w:themeColor="text1" w:themeTint="BF"/>
          <w:sz w:val="19"/>
          <w:szCs w:val="19"/>
        </w:rPr>
        <w:footnoteRef/>
      </w:r>
      <w:r>
        <w:rPr>
          <w:rFonts w:ascii="Arial" w:hAnsi="Arial" w:cs="Arial"/>
          <w:color w:val="404040" w:themeColor="text1" w:themeTint="BF"/>
          <w:sz w:val="19"/>
          <w:szCs w:val="19"/>
        </w:rPr>
        <w:t xml:space="preserve"> En sitio web: https://www.who.int/es/news-room/detail/16-03-2020-icc-who-joint-statement-an-unprecedented-private-sector-call-to-action-to-tackle-covid-19.</w:t>
      </w:r>
    </w:p>
    <w:p w14:paraId="21C68834" w14:textId="77777777" w:rsidR="001D1E85" w:rsidRDefault="001D1E85" w:rsidP="001D1E85">
      <w:pPr>
        <w:pStyle w:val="Textonotapie"/>
        <w:ind w:firstLine="709"/>
        <w:jc w:val="both"/>
        <w:rPr>
          <w:rFonts w:ascii="Arial" w:hAnsi="Arial" w:cs="Arial"/>
          <w:color w:val="404040" w:themeColor="text1" w:themeTint="BF"/>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A43FA8" w:rsidRDefault="00A43FA8">
    <w:pPr>
      <w:pStyle w:val="Encabezado"/>
    </w:pPr>
    <w:r>
      <w:rPr>
        <w:noProof/>
        <w:lang w:val="es-ES_tradnl" w:eastAsia="es-ES_tradnl"/>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8"/>
  </w:num>
  <w:num w:numId="4">
    <w:abstractNumId w:val="9"/>
  </w:num>
  <w:num w:numId="5">
    <w:abstractNumId w:val="13"/>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6"/>
  </w:num>
  <w:num w:numId="10">
    <w:abstractNumId w:val="2"/>
  </w:num>
  <w:num w:numId="11">
    <w:abstractNumId w:val="6"/>
  </w:num>
  <w:num w:numId="12">
    <w:abstractNumId w:val="14"/>
  </w:num>
  <w:num w:numId="13">
    <w:abstractNumId w:val="7"/>
  </w:num>
  <w:num w:numId="14">
    <w:abstractNumId w:val="12"/>
  </w:num>
  <w:num w:numId="15">
    <w:abstractNumId w:val="1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2A"/>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98E"/>
    <w:rsid w:val="00026ED4"/>
    <w:rsid w:val="00027148"/>
    <w:rsid w:val="00030433"/>
    <w:rsid w:val="000311E0"/>
    <w:rsid w:val="000318B0"/>
    <w:rsid w:val="000330B0"/>
    <w:rsid w:val="000339C2"/>
    <w:rsid w:val="00035138"/>
    <w:rsid w:val="00035582"/>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4590"/>
    <w:rsid w:val="00054B19"/>
    <w:rsid w:val="00055DFA"/>
    <w:rsid w:val="000562F0"/>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735A"/>
    <w:rsid w:val="00097C6C"/>
    <w:rsid w:val="000A0439"/>
    <w:rsid w:val="000A064C"/>
    <w:rsid w:val="000A09D2"/>
    <w:rsid w:val="000A2BAB"/>
    <w:rsid w:val="000A3C4E"/>
    <w:rsid w:val="000A3CBD"/>
    <w:rsid w:val="000A426B"/>
    <w:rsid w:val="000A4AAE"/>
    <w:rsid w:val="000A502E"/>
    <w:rsid w:val="000A511D"/>
    <w:rsid w:val="000A5BD3"/>
    <w:rsid w:val="000A6122"/>
    <w:rsid w:val="000A628F"/>
    <w:rsid w:val="000A66F3"/>
    <w:rsid w:val="000A7B03"/>
    <w:rsid w:val="000B0465"/>
    <w:rsid w:val="000B0F5D"/>
    <w:rsid w:val="000B0FB0"/>
    <w:rsid w:val="000B103F"/>
    <w:rsid w:val="000B258E"/>
    <w:rsid w:val="000B2850"/>
    <w:rsid w:val="000B2CB3"/>
    <w:rsid w:val="000B359C"/>
    <w:rsid w:val="000B38BD"/>
    <w:rsid w:val="000B41A7"/>
    <w:rsid w:val="000B49DF"/>
    <w:rsid w:val="000B4D45"/>
    <w:rsid w:val="000B5E82"/>
    <w:rsid w:val="000B626B"/>
    <w:rsid w:val="000B70B5"/>
    <w:rsid w:val="000B7851"/>
    <w:rsid w:val="000B7F0E"/>
    <w:rsid w:val="000C1102"/>
    <w:rsid w:val="000C1707"/>
    <w:rsid w:val="000C1873"/>
    <w:rsid w:val="000C190D"/>
    <w:rsid w:val="000C26DF"/>
    <w:rsid w:val="000C44C9"/>
    <w:rsid w:val="000C4AA1"/>
    <w:rsid w:val="000C6BC4"/>
    <w:rsid w:val="000C6E4B"/>
    <w:rsid w:val="000C739C"/>
    <w:rsid w:val="000C73C7"/>
    <w:rsid w:val="000C7A3B"/>
    <w:rsid w:val="000D0ACC"/>
    <w:rsid w:val="000D22FB"/>
    <w:rsid w:val="000D30A6"/>
    <w:rsid w:val="000D343E"/>
    <w:rsid w:val="000D479C"/>
    <w:rsid w:val="000D4C50"/>
    <w:rsid w:val="000D5B32"/>
    <w:rsid w:val="000D6318"/>
    <w:rsid w:val="000D6359"/>
    <w:rsid w:val="000D65F5"/>
    <w:rsid w:val="000D6AFB"/>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7072"/>
    <w:rsid w:val="0010274B"/>
    <w:rsid w:val="00102E6B"/>
    <w:rsid w:val="00103915"/>
    <w:rsid w:val="001039BF"/>
    <w:rsid w:val="00103A69"/>
    <w:rsid w:val="00104161"/>
    <w:rsid w:val="001054A2"/>
    <w:rsid w:val="00107A30"/>
    <w:rsid w:val="0011003B"/>
    <w:rsid w:val="001104F6"/>
    <w:rsid w:val="00111CD1"/>
    <w:rsid w:val="00113B52"/>
    <w:rsid w:val="00115B65"/>
    <w:rsid w:val="00115FC9"/>
    <w:rsid w:val="00116DD5"/>
    <w:rsid w:val="00117502"/>
    <w:rsid w:val="00117513"/>
    <w:rsid w:val="00120422"/>
    <w:rsid w:val="0012068A"/>
    <w:rsid w:val="00121B07"/>
    <w:rsid w:val="001221CB"/>
    <w:rsid w:val="00122B23"/>
    <w:rsid w:val="00122B7A"/>
    <w:rsid w:val="00125559"/>
    <w:rsid w:val="00126752"/>
    <w:rsid w:val="00126BB4"/>
    <w:rsid w:val="00126E35"/>
    <w:rsid w:val="001273A7"/>
    <w:rsid w:val="00130DC6"/>
    <w:rsid w:val="00131ABE"/>
    <w:rsid w:val="0013213A"/>
    <w:rsid w:val="0013442F"/>
    <w:rsid w:val="00134F34"/>
    <w:rsid w:val="0013525C"/>
    <w:rsid w:val="0013543D"/>
    <w:rsid w:val="001356ED"/>
    <w:rsid w:val="0013612A"/>
    <w:rsid w:val="00137D19"/>
    <w:rsid w:val="00137FFA"/>
    <w:rsid w:val="001436C6"/>
    <w:rsid w:val="00143855"/>
    <w:rsid w:val="001444AE"/>
    <w:rsid w:val="0014671C"/>
    <w:rsid w:val="001468EF"/>
    <w:rsid w:val="001470D6"/>
    <w:rsid w:val="00150664"/>
    <w:rsid w:val="001513DE"/>
    <w:rsid w:val="001519CE"/>
    <w:rsid w:val="0015261D"/>
    <w:rsid w:val="00152F23"/>
    <w:rsid w:val="00152F4E"/>
    <w:rsid w:val="0015312F"/>
    <w:rsid w:val="00156953"/>
    <w:rsid w:val="00156B65"/>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CAE"/>
    <w:rsid w:val="00181312"/>
    <w:rsid w:val="00181B42"/>
    <w:rsid w:val="00181CA0"/>
    <w:rsid w:val="0018230E"/>
    <w:rsid w:val="00184602"/>
    <w:rsid w:val="001868F6"/>
    <w:rsid w:val="00186FD1"/>
    <w:rsid w:val="00187267"/>
    <w:rsid w:val="001876F7"/>
    <w:rsid w:val="0019180F"/>
    <w:rsid w:val="00193107"/>
    <w:rsid w:val="00193E9B"/>
    <w:rsid w:val="001945BB"/>
    <w:rsid w:val="00194762"/>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1F9C"/>
    <w:rsid w:val="001C4350"/>
    <w:rsid w:val="001C4593"/>
    <w:rsid w:val="001C4DED"/>
    <w:rsid w:val="001C61C0"/>
    <w:rsid w:val="001C62A1"/>
    <w:rsid w:val="001C79BB"/>
    <w:rsid w:val="001D0FF9"/>
    <w:rsid w:val="001D17D9"/>
    <w:rsid w:val="001D1CC0"/>
    <w:rsid w:val="001D1E85"/>
    <w:rsid w:val="001D262B"/>
    <w:rsid w:val="001D3276"/>
    <w:rsid w:val="001D32CB"/>
    <w:rsid w:val="001D3846"/>
    <w:rsid w:val="001D46FE"/>
    <w:rsid w:val="001D4AE9"/>
    <w:rsid w:val="001D60D3"/>
    <w:rsid w:val="001D69DD"/>
    <w:rsid w:val="001E0375"/>
    <w:rsid w:val="001E10A7"/>
    <w:rsid w:val="001E175B"/>
    <w:rsid w:val="001E1C24"/>
    <w:rsid w:val="001E26AB"/>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9DE"/>
    <w:rsid w:val="00213A09"/>
    <w:rsid w:val="00215255"/>
    <w:rsid w:val="00216F80"/>
    <w:rsid w:val="0021710C"/>
    <w:rsid w:val="0022149D"/>
    <w:rsid w:val="0022247B"/>
    <w:rsid w:val="002225BB"/>
    <w:rsid w:val="002238F9"/>
    <w:rsid w:val="00224F1E"/>
    <w:rsid w:val="0022670B"/>
    <w:rsid w:val="0022729A"/>
    <w:rsid w:val="002275F8"/>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1A29"/>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3FBF"/>
    <w:rsid w:val="0029401E"/>
    <w:rsid w:val="002941B8"/>
    <w:rsid w:val="00295308"/>
    <w:rsid w:val="00295E32"/>
    <w:rsid w:val="00295E57"/>
    <w:rsid w:val="00296460"/>
    <w:rsid w:val="00296463"/>
    <w:rsid w:val="002969BC"/>
    <w:rsid w:val="00297C23"/>
    <w:rsid w:val="002A0043"/>
    <w:rsid w:val="002A0D45"/>
    <w:rsid w:val="002A2269"/>
    <w:rsid w:val="002A23F7"/>
    <w:rsid w:val="002A5C49"/>
    <w:rsid w:val="002A6616"/>
    <w:rsid w:val="002B0068"/>
    <w:rsid w:val="002B0C19"/>
    <w:rsid w:val="002B1137"/>
    <w:rsid w:val="002B1235"/>
    <w:rsid w:val="002B16D4"/>
    <w:rsid w:val="002B1D91"/>
    <w:rsid w:val="002B26D6"/>
    <w:rsid w:val="002B2E33"/>
    <w:rsid w:val="002B353D"/>
    <w:rsid w:val="002B53B8"/>
    <w:rsid w:val="002B56A6"/>
    <w:rsid w:val="002B5A46"/>
    <w:rsid w:val="002B690C"/>
    <w:rsid w:val="002B69EA"/>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829"/>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9D5"/>
    <w:rsid w:val="00304EC8"/>
    <w:rsid w:val="003057B2"/>
    <w:rsid w:val="0030664E"/>
    <w:rsid w:val="00307459"/>
    <w:rsid w:val="00310F6E"/>
    <w:rsid w:val="00312877"/>
    <w:rsid w:val="00313382"/>
    <w:rsid w:val="003138FF"/>
    <w:rsid w:val="0031396A"/>
    <w:rsid w:val="00313A60"/>
    <w:rsid w:val="003144A3"/>
    <w:rsid w:val="00317691"/>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5EF"/>
    <w:rsid w:val="00354D4B"/>
    <w:rsid w:val="0035533F"/>
    <w:rsid w:val="00355B83"/>
    <w:rsid w:val="003564A6"/>
    <w:rsid w:val="0035653A"/>
    <w:rsid w:val="0035671F"/>
    <w:rsid w:val="0035753D"/>
    <w:rsid w:val="0036037E"/>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C76"/>
    <w:rsid w:val="003B4DDA"/>
    <w:rsid w:val="003B50BD"/>
    <w:rsid w:val="003B51CB"/>
    <w:rsid w:val="003B5432"/>
    <w:rsid w:val="003B608E"/>
    <w:rsid w:val="003B67A2"/>
    <w:rsid w:val="003B6DC7"/>
    <w:rsid w:val="003B71D8"/>
    <w:rsid w:val="003B74F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D4E6B"/>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4D7A"/>
    <w:rsid w:val="00404F7E"/>
    <w:rsid w:val="0040503E"/>
    <w:rsid w:val="00406553"/>
    <w:rsid w:val="00407A8A"/>
    <w:rsid w:val="00407EFE"/>
    <w:rsid w:val="00410806"/>
    <w:rsid w:val="004110C1"/>
    <w:rsid w:val="00411FA4"/>
    <w:rsid w:val="00412F7D"/>
    <w:rsid w:val="00413E4A"/>
    <w:rsid w:val="0041629E"/>
    <w:rsid w:val="00416CE1"/>
    <w:rsid w:val="00416F9D"/>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13DB"/>
    <w:rsid w:val="004616A9"/>
    <w:rsid w:val="004617CF"/>
    <w:rsid w:val="004625D0"/>
    <w:rsid w:val="00462C5C"/>
    <w:rsid w:val="00463469"/>
    <w:rsid w:val="00463CBF"/>
    <w:rsid w:val="00464836"/>
    <w:rsid w:val="00464867"/>
    <w:rsid w:val="00464BE7"/>
    <w:rsid w:val="004651EF"/>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646"/>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1105"/>
    <w:rsid w:val="00524F09"/>
    <w:rsid w:val="0052547D"/>
    <w:rsid w:val="005278E6"/>
    <w:rsid w:val="00527B56"/>
    <w:rsid w:val="00527FB0"/>
    <w:rsid w:val="005310DF"/>
    <w:rsid w:val="00531103"/>
    <w:rsid w:val="005317FA"/>
    <w:rsid w:val="00531BFC"/>
    <w:rsid w:val="005324C0"/>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71"/>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529C"/>
    <w:rsid w:val="005E5B57"/>
    <w:rsid w:val="005E6118"/>
    <w:rsid w:val="005E6315"/>
    <w:rsid w:val="005E640D"/>
    <w:rsid w:val="005E7395"/>
    <w:rsid w:val="005F197B"/>
    <w:rsid w:val="005F1B4D"/>
    <w:rsid w:val="005F1F78"/>
    <w:rsid w:val="005F2102"/>
    <w:rsid w:val="005F26E3"/>
    <w:rsid w:val="005F3AEA"/>
    <w:rsid w:val="005F48AA"/>
    <w:rsid w:val="005F48C8"/>
    <w:rsid w:val="005F4FAB"/>
    <w:rsid w:val="005F5EA6"/>
    <w:rsid w:val="005F6740"/>
    <w:rsid w:val="005F67B3"/>
    <w:rsid w:val="005F76CB"/>
    <w:rsid w:val="00600C3F"/>
    <w:rsid w:val="0060167D"/>
    <w:rsid w:val="00602939"/>
    <w:rsid w:val="006032CA"/>
    <w:rsid w:val="00604809"/>
    <w:rsid w:val="00604E35"/>
    <w:rsid w:val="006053B5"/>
    <w:rsid w:val="00606400"/>
    <w:rsid w:val="00606CC8"/>
    <w:rsid w:val="00606D1C"/>
    <w:rsid w:val="00606EAE"/>
    <w:rsid w:val="006072D1"/>
    <w:rsid w:val="00607888"/>
    <w:rsid w:val="00610361"/>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F19"/>
    <w:rsid w:val="00627BEE"/>
    <w:rsid w:val="00630258"/>
    <w:rsid w:val="00630A35"/>
    <w:rsid w:val="00630B32"/>
    <w:rsid w:val="00630FDF"/>
    <w:rsid w:val="006313F4"/>
    <w:rsid w:val="006317D9"/>
    <w:rsid w:val="00632269"/>
    <w:rsid w:val="0063261F"/>
    <w:rsid w:val="006338A8"/>
    <w:rsid w:val="00633DBF"/>
    <w:rsid w:val="00633E03"/>
    <w:rsid w:val="00633EC0"/>
    <w:rsid w:val="00634350"/>
    <w:rsid w:val="0063508B"/>
    <w:rsid w:val="006350E6"/>
    <w:rsid w:val="00636D35"/>
    <w:rsid w:val="0064058D"/>
    <w:rsid w:val="006441E9"/>
    <w:rsid w:val="00644ADC"/>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70AFD"/>
    <w:rsid w:val="006715BC"/>
    <w:rsid w:val="00672379"/>
    <w:rsid w:val="006726C7"/>
    <w:rsid w:val="006732EF"/>
    <w:rsid w:val="006745D9"/>
    <w:rsid w:val="00675DAA"/>
    <w:rsid w:val="0067671D"/>
    <w:rsid w:val="0067719F"/>
    <w:rsid w:val="00677428"/>
    <w:rsid w:val="00680ACA"/>
    <w:rsid w:val="00680CD0"/>
    <w:rsid w:val="00680EE3"/>
    <w:rsid w:val="006811A6"/>
    <w:rsid w:val="00681957"/>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1211"/>
    <w:rsid w:val="006B2D2D"/>
    <w:rsid w:val="006B340F"/>
    <w:rsid w:val="006B4131"/>
    <w:rsid w:val="006B419C"/>
    <w:rsid w:val="006B4A03"/>
    <w:rsid w:val="006B4BC9"/>
    <w:rsid w:val="006B5469"/>
    <w:rsid w:val="006B5E52"/>
    <w:rsid w:val="006B6D5F"/>
    <w:rsid w:val="006B7C79"/>
    <w:rsid w:val="006C02B8"/>
    <w:rsid w:val="006C12D6"/>
    <w:rsid w:val="006C16C4"/>
    <w:rsid w:val="006C1A9B"/>
    <w:rsid w:val="006C3315"/>
    <w:rsid w:val="006C34C1"/>
    <w:rsid w:val="006C40B0"/>
    <w:rsid w:val="006C4865"/>
    <w:rsid w:val="006C4FB6"/>
    <w:rsid w:val="006C55B0"/>
    <w:rsid w:val="006C59F1"/>
    <w:rsid w:val="006C5CBB"/>
    <w:rsid w:val="006C5FF8"/>
    <w:rsid w:val="006D05F7"/>
    <w:rsid w:val="006D0944"/>
    <w:rsid w:val="006D1A6C"/>
    <w:rsid w:val="006D316E"/>
    <w:rsid w:val="006D391A"/>
    <w:rsid w:val="006D4D3E"/>
    <w:rsid w:val="006D50BE"/>
    <w:rsid w:val="006D524B"/>
    <w:rsid w:val="006D6BBC"/>
    <w:rsid w:val="006D7687"/>
    <w:rsid w:val="006E0572"/>
    <w:rsid w:val="006E178E"/>
    <w:rsid w:val="006E321E"/>
    <w:rsid w:val="006E3401"/>
    <w:rsid w:val="006E3C68"/>
    <w:rsid w:val="006E4184"/>
    <w:rsid w:val="006E4ED6"/>
    <w:rsid w:val="006E5518"/>
    <w:rsid w:val="006E691B"/>
    <w:rsid w:val="006E7BD4"/>
    <w:rsid w:val="006F0339"/>
    <w:rsid w:val="006F1C0D"/>
    <w:rsid w:val="006F2A0F"/>
    <w:rsid w:val="006F2C91"/>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94E"/>
    <w:rsid w:val="007509D3"/>
    <w:rsid w:val="00751421"/>
    <w:rsid w:val="00751E94"/>
    <w:rsid w:val="007522E8"/>
    <w:rsid w:val="007526B2"/>
    <w:rsid w:val="007559ED"/>
    <w:rsid w:val="0075604B"/>
    <w:rsid w:val="0075647A"/>
    <w:rsid w:val="00756A3D"/>
    <w:rsid w:val="00757208"/>
    <w:rsid w:val="00760526"/>
    <w:rsid w:val="00762634"/>
    <w:rsid w:val="00762AEC"/>
    <w:rsid w:val="007634AD"/>
    <w:rsid w:val="00764D4E"/>
    <w:rsid w:val="00764E67"/>
    <w:rsid w:val="00765694"/>
    <w:rsid w:val="00765B48"/>
    <w:rsid w:val="00767F50"/>
    <w:rsid w:val="00770CEE"/>
    <w:rsid w:val="00770F51"/>
    <w:rsid w:val="0077377C"/>
    <w:rsid w:val="0077470A"/>
    <w:rsid w:val="00775007"/>
    <w:rsid w:val="007759E8"/>
    <w:rsid w:val="00776709"/>
    <w:rsid w:val="0078122E"/>
    <w:rsid w:val="00781331"/>
    <w:rsid w:val="00782053"/>
    <w:rsid w:val="00782878"/>
    <w:rsid w:val="00783027"/>
    <w:rsid w:val="007839BF"/>
    <w:rsid w:val="007843B6"/>
    <w:rsid w:val="00785913"/>
    <w:rsid w:val="00786353"/>
    <w:rsid w:val="007866FF"/>
    <w:rsid w:val="00786CB0"/>
    <w:rsid w:val="00786E20"/>
    <w:rsid w:val="00787664"/>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204E"/>
    <w:rsid w:val="007B2571"/>
    <w:rsid w:val="007B2D62"/>
    <w:rsid w:val="007B3524"/>
    <w:rsid w:val="007B3CCE"/>
    <w:rsid w:val="007B4540"/>
    <w:rsid w:val="007B495B"/>
    <w:rsid w:val="007B5414"/>
    <w:rsid w:val="007B58F4"/>
    <w:rsid w:val="007B6EA2"/>
    <w:rsid w:val="007B7CED"/>
    <w:rsid w:val="007C097B"/>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43F"/>
    <w:rsid w:val="007D5A5A"/>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92D"/>
    <w:rsid w:val="00850F79"/>
    <w:rsid w:val="0085136E"/>
    <w:rsid w:val="0085175C"/>
    <w:rsid w:val="00851933"/>
    <w:rsid w:val="00853B4B"/>
    <w:rsid w:val="00853CE7"/>
    <w:rsid w:val="00854029"/>
    <w:rsid w:val="00854370"/>
    <w:rsid w:val="008548AC"/>
    <w:rsid w:val="00855F56"/>
    <w:rsid w:val="00856420"/>
    <w:rsid w:val="008605DD"/>
    <w:rsid w:val="00861CBE"/>
    <w:rsid w:val="008629DE"/>
    <w:rsid w:val="00863B45"/>
    <w:rsid w:val="00864F2E"/>
    <w:rsid w:val="00866D4C"/>
    <w:rsid w:val="00867267"/>
    <w:rsid w:val="0086772B"/>
    <w:rsid w:val="00867FA2"/>
    <w:rsid w:val="00870445"/>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A55"/>
    <w:rsid w:val="00890A9A"/>
    <w:rsid w:val="00891993"/>
    <w:rsid w:val="00891DEC"/>
    <w:rsid w:val="00894248"/>
    <w:rsid w:val="008948DF"/>
    <w:rsid w:val="00894E41"/>
    <w:rsid w:val="00895565"/>
    <w:rsid w:val="00895A22"/>
    <w:rsid w:val="00896B8A"/>
    <w:rsid w:val="0089774F"/>
    <w:rsid w:val="008977E5"/>
    <w:rsid w:val="00897CFE"/>
    <w:rsid w:val="008A0392"/>
    <w:rsid w:val="008A0BE8"/>
    <w:rsid w:val="008A0D56"/>
    <w:rsid w:val="008A113A"/>
    <w:rsid w:val="008A22FB"/>
    <w:rsid w:val="008A24D7"/>
    <w:rsid w:val="008A265E"/>
    <w:rsid w:val="008A2781"/>
    <w:rsid w:val="008A36B6"/>
    <w:rsid w:val="008A4788"/>
    <w:rsid w:val="008A5F52"/>
    <w:rsid w:val="008A66DC"/>
    <w:rsid w:val="008A6EB9"/>
    <w:rsid w:val="008A7F4C"/>
    <w:rsid w:val="008B1B8A"/>
    <w:rsid w:val="008B2228"/>
    <w:rsid w:val="008B2CF7"/>
    <w:rsid w:val="008B365E"/>
    <w:rsid w:val="008B423D"/>
    <w:rsid w:val="008B6CE8"/>
    <w:rsid w:val="008B721F"/>
    <w:rsid w:val="008B7830"/>
    <w:rsid w:val="008B7AE1"/>
    <w:rsid w:val="008C0576"/>
    <w:rsid w:val="008C0E1F"/>
    <w:rsid w:val="008C1250"/>
    <w:rsid w:val="008C193F"/>
    <w:rsid w:val="008C203D"/>
    <w:rsid w:val="008C33B6"/>
    <w:rsid w:val="008C39D2"/>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9D7"/>
    <w:rsid w:val="0092194E"/>
    <w:rsid w:val="0092226D"/>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78E8"/>
    <w:rsid w:val="00960168"/>
    <w:rsid w:val="009602A1"/>
    <w:rsid w:val="00961252"/>
    <w:rsid w:val="00962706"/>
    <w:rsid w:val="0096275E"/>
    <w:rsid w:val="00962DAD"/>
    <w:rsid w:val="009646C1"/>
    <w:rsid w:val="00964E57"/>
    <w:rsid w:val="009650ED"/>
    <w:rsid w:val="009651B8"/>
    <w:rsid w:val="00966AFD"/>
    <w:rsid w:val="00966E63"/>
    <w:rsid w:val="00970386"/>
    <w:rsid w:val="00970B51"/>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16DA"/>
    <w:rsid w:val="00992F84"/>
    <w:rsid w:val="00993FD7"/>
    <w:rsid w:val="009945BB"/>
    <w:rsid w:val="009947DB"/>
    <w:rsid w:val="00995357"/>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C117E"/>
    <w:rsid w:val="009C1D7D"/>
    <w:rsid w:val="009C4ADA"/>
    <w:rsid w:val="009C50EC"/>
    <w:rsid w:val="009C5F58"/>
    <w:rsid w:val="009C75FC"/>
    <w:rsid w:val="009C7E94"/>
    <w:rsid w:val="009D01FA"/>
    <w:rsid w:val="009D1D2F"/>
    <w:rsid w:val="009D38B3"/>
    <w:rsid w:val="009D4730"/>
    <w:rsid w:val="009D5015"/>
    <w:rsid w:val="009D5269"/>
    <w:rsid w:val="009D531C"/>
    <w:rsid w:val="009D62C3"/>
    <w:rsid w:val="009D68DA"/>
    <w:rsid w:val="009E1D2D"/>
    <w:rsid w:val="009E405A"/>
    <w:rsid w:val="009E4B65"/>
    <w:rsid w:val="009E4C76"/>
    <w:rsid w:val="009E4EDE"/>
    <w:rsid w:val="009E6031"/>
    <w:rsid w:val="009E680D"/>
    <w:rsid w:val="009E721A"/>
    <w:rsid w:val="009E754A"/>
    <w:rsid w:val="009F0250"/>
    <w:rsid w:val="009F0BD0"/>
    <w:rsid w:val="009F228F"/>
    <w:rsid w:val="009F2950"/>
    <w:rsid w:val="009F2B05"/>
    <w:rsid w:val="009F4A5A"/>
    <w:rsid w:val="009F5299"/>
    <w:rsid w:val="009F59C2"/>
    <w:rsid w:val="009F70B9"/>
    <w:rsid w:val="009F739F"/>
    <w:rsid w:val="009F74DF"/>
    <w:rsid w:val="009F7B0A"/>
    <w:rsid w:val="00A0089B"/>
    <w:rsid w:val="00A01EAA"/>
    <w:rsid w:val="00A02035"/>
    <w:rsid w:val="00A02AD6"/>
    <w:rsid w:val="00A03AEC"/>
    <w:rsid w:val="00A04EE8"/>
    <w:rsid w:val="00A054E0"/>
    <w:rsid w:val="00A06104"/>
    <w:rsid w:val="00A11AF8"/>
    <w:rsid w:val="00A11E7B"/>
    <w:rsid w:val="00A11E97"/>
    <w:rsid w:val="00A131B4"/>
    <w:rsid w:val="00A13947"/>
    <w:rsid w:val="00A14083"/>
    <w:rsid w:val="00A147D1"/>
    <w:rsid w:val="00A14C37"/>
    <w:rsid w:val="00A155F8"/>
    <w:rsid w:val="00A16471"/>
    <w:rsid w:val="00A167C9"/>
    <w:rsid w:val="00A16841"/>
    <w:rsid w:val="00A16A18"/>
    <w:rsid w:val="00A211E3"/>
    <w:rsid w:val="00A219D9"/>
    <w:rsid w:val="00A229B7"/>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41CC"/>
    <w:rsid w:val="00A54E33"/>
    <w:rsid w:val="00A575B0"/>
    <w:rsid w:val="00A57EB8"/>
    <w:rsid w:val="00A610B8"/>
    <w:rsid w:val="00A6162B"/>
    <w:rsid w:val="00A619B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CEF"/>
    <w:rsid w:val="00A775B0"/>
    <w:rsid w:val="00A77BDA"/>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3860"/>
    <w:rsid w:val="00AB4107"/>
    <w:rsid w:val="00AB509E"/>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7F2"/>
    <w:rsid w:val="00AE5421"/>
    <w:rsid w:val="00AE5765"/>
    <w:rsid w:val="00AE5C0E"/>
    <w:rsid w:val="00AE6C4D"/>
    <w:rsid w:val="00AE7AE2"/>
    <w:rsid w:val="00AF04FE"/>
    <w:rsid w:val="00AF051E"/>
    <w:rsid w:val="00AF14AC"/>
    <w:rsid w:val="00AF1BDF"/>
    <w:rsid w:val="00AF2089"/>
    <w:rsid w:val="00AF2347"/>
    <w:rsid w:val="00AF2EDF"/>
    <w:rsid w:val="00AF3EEF"/>
    <w:rsid w:val="00AF5AE0"/>
    <w:rsid w:val="00AF6FB3"/>
    <w:rsid w:val="00AF7517"/>
    <w:rsid w:val="00B0190E"/>
    <w:rsid w:val="00B025C2"/>
    <w:rsid w:val="00B041C7"/>
    <w:rsid w:val="00B04E78"/>
    <w:rsid w:val="00B071E7"/>
    <w:rsid w:val="00B07667"/>
    <w:rsid w:val="00B0787E"/>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1937"/>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80451"/>
    <w:rsid w:val="00B822A7"/>
    <w:rsid w:val="00B85762"/>
    <w:rsid w:val="00B8638A"/>
    <w:rsid w:val="00B8652C"/>
    <w:rsid w:val="00B87D98"/>
    <w:rsid w:val="00B9068D"/>
    <w:rsid w:val="00B90BE1"/>
    <w:rsid w:val="00B91B8E"/>
    <w:rsid w:val="00B936F3"/>
    <w:rsid w:val="00B94EDD"/>
    <w:rsid w:val="00B96F29"/>
    <w:rsid w:val="00BA010A"/>
    <w:rsid w:val="00BA0355"/>
    <w:rsid w:val="00BA0FCE"/>
    <w:rsid w:val="00BA129F"/>
    <w:rsid w:val="00BA1474"/>
    <w:rsid w:val="00BA1AB9"/>
    <w:rsid w:val="00BA22A9"/>
    <w:rsid w:val="00BA2829"/>
    <w:rsid w:val="00BA2D67"/>
    <w:rsid w:val="00BA369B"/>
    <w:rsid w:val="00BA36EE"/>
    <w:rsid w:val="00BA4319"/>
    <w:rsid w:val="00BA47FF"/>
    <w:rsid w:val="00BA6769"/>
    <w:rsid w:val="00BA6CAD"/>
    <w:rsid w:val="00BA6E6A"/>
    <w:rsid w:val="00BA75DE"/>
    <w:rsid w:val="00BB00EC"/>
    <w:rsid w:val="00BB061D"/>
    <w:rsid w:val="00BB07A4"/>
    <w:rsid w:val="00BB17F0"/>
    <w:rsid w:val="00BB18AE"/>
    <w:rsid w:val="00BB21F4"/>
    <w:rsid w:val="00BB2914"/>
    <w:rsid w:val="00BB29E9"/>
    <w:rsid w:val="00BB3081"/>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969"/>
    <w:rsid w:val="00C00BB1"/>
    <w:rsid w:val="00C01378"/>
    <w:rsid w:val="00C03ACB"/>
    <w:rsid w:val="00C03EFE"/>
    <w:rsid w:val="00C07794"/>
    <w:rsid w:val="00C113FE"/>
    <w:rsid w:val="00C11A27"/>
    <w:rsid w:val="00C1281E"/>
    <w:rsid w:val="00C149B0"/>
    <w:rsid w:val="00C15753"/>
    <w:rsid w:val="00C17545"/>
    <w:rsid w:val="00C227EF"/>
    <w:rsid w:val="00C22BD5"/>
    <w:rsid w:val="00C24368"/>
    <w:rsid w:val="00C252EE"/>
    <w:rsid w:val="00C25D13"/>
    <w:rsid w:val="00C260FC"/>
    <w:rsid w:val="00C30364"/>
    <w:rsid w:val="00C30E74"/>
    <w:rsid w:val="00C313BC"/>
    <w:rsid w:val="00C3362A"/>
    <w:rsid w:val="00C33983"/>
    <w:rsid w:val="00C34032"/>
    <w:rsid w:val="00C40657"/>
    <w:rsid w:val="00C407B5"/>
    <w:rsid w:val="00C431CD"/>
    <w:rsid w:val="00C435A3"/>
    <w:rsid w:val="00C43CE3"/>
    <w:rsid w:val="00C45E88"/>
    <w:rsid w:val="00C47864"/>
    <w:rsid w:val="00C47AAC"/>
    <w:rsid w:val="00C500EE"/>
    <w:rsid w:val="00C50145"/>
    <w:rsid w:val="00C53019"/>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8034E"/>
    <w:rsid w:val="00C80665"/>
    <w:rsid w:val="00C80741"/>
    <w:rsid w:val="00C81223"/>
    <w:rsid w:val="00C82114"/>
    <w:rsid w:val="00C82E66"/>
    <w:rsid w:val="00C84B49"/>
    <w:rsid w:val="00C84E96"/>
    <w:rsid w:val="00C854BD"/>
    <w:rsid w:val="00C87152"/>
    <w:rsid w:val="00C87C7E"/>
    <w:rsid w:val="00C91051"/>
    <w:rsid w:val="00C917EA"/>
    <w:rsid w:val="00C91A60"/>
    <w:rsid w:val="00C9247E"/>
    <w:rsid w:val="00C940BE"/>
    <w:rsid w:val="00C95E8B"/>
    <w:rsid w:val="00C9605A"/>
    <w:rsid w:val="00C964EC"/>
    <w:rsid w:val="00C966DA"/>
    <w:rsid w:val="00C96CF7"/>
    <w:rsid w:val="00C9701D"/>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FD2"/>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5C30"/>
    <w:rsid w:val="00CF5DBF"/>
    <w:rsid w:val="00CF74E8"/>
    <w:rsid w:val="00D00C29"/>
    <w:rsid w:val="00D01760"/>
    <w:rsid w:val="00D02423"/>
    <w:rsid w:val="00D02462"/>
    <w:rsid w:val="00D02736"/>
    <w:rsid w:val="00D03FDC"/>
    <w:rsid w:val="00D04ADE"/>
    <w:rsid w:val="00D054B8"/>
    <w:rsid w:val="00D0571D"/>
    <w:rsid w:val="00D07D4A"/>
    <w:rsid w:val="00D07FC4"/>
    <w:rsid w:val="00D100F4"/>
    <w:rsid w:val="00D10F1C"/>
    <w:rsid w:val="00D11160"/>
    <w:rsid w:val="00D1196A"/>
    <w:rsid w:val="00D11CEB"/>
    <w:rsid w:val="00D11DF5"/>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67A0"/>
    <w:rsid w:val="00D27895"/>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509A"/>
    <w:rsid w:val="00D762D6"/>
    <w:rsid w:val="00D77217"/>
    <w:rsid w:val="00D77451"/>
    <w:rsid w:val="00D82C7C"/>
    <w:rsid w:val="00D82CE5"/>
    <w:rsid w:val="00D83799"/>
    <w:rsid w:val="00D83F17"/>
    <w:rsid w:val="00D850E6"/>
    <w:rsid w:val="00D861D6"/>
    <w:rsid w:val="00D86DC5"/>
    <w:rsid w:val="00D9148F"/>
    <w:rsid w:val="00D92BBB"/>
    <w:rsid w:val="00D944DD"/>
    <w:rsid w:val="00D960C0"/>
    <w:rsid w:val="00DA0BD3"/>
    <w:rsid w:val="00DA1156"/>
    <w:rsid w:val="00DA1356"/>
    <w:rsid w:val="00DA18BE"/>
    <w:rsid w:val="00DA1D25"/>
    <w:rsid w:val="00DA218C"/>
    <w:rsid w:val="00DA2A01"/>
    <w:rsid w:val="00DA2B96"/>
    <w:rsid w:val="00DA41D6"/>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25D0"/>
    <w:rsid w:val="00E13306"/>
    <w:rsid w:val="00E13AB8"/>
    <w:rsid w:val="00E13BC5"/>
    <w:rsid w:val="00E13F51"/>
    <w:rsid w:val="00E14E0D"/>
    <w:rsid w:val="00E152E0"/>
    <w:rsid w:val="00E164E5"/>
    <w:rsid w:val="00E170F8"/>
    <w:rsid w:val="00E17401"/>
    <w:rsid w:val="00E20C03"/>
    <w:rsid w:val="00E2184C"/>
    <w:rsid w:val="00E21A8B"/>
    <w:rsid w:val="00E21FD3"/>
    <w:rsid w:val="00E2279C"/>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D16"/>
    <w:rsid w:val="00E622FB"/>
    <w:rsid w:val="00E62F4F"/>
    <w:rsid w:val="00E631D8"/>
    <w:rsid w:val="00E63AE5"/>
    <w:rsid w:val="00E63CDB"/>
    <w:rsid w:val="00E63D0C"/>
    <w:rsid w:val="00E66B9A"/>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271"/>
    <w:rsid w:val="00EA40A3"/>
    <w:rsid w:val="00EA477B"/>
    <w:rsid w:val="00EA4CA9"/>
    <w:rsid w:val="00EA5137"/>
    <w:rsid w:val="00EA572E"/>
    <w:rsid w:val="00EA5C4C"/>
    <w:rsid w:val="00EA632C"/>
    <w:rsid w:val="00EA63D2"/>
    <w:rsid w:val="00EA666F"/>
    <w:rsid w:val="00EB0DE5"/>
    <w:rsid w:val="00EB27F2"/>
    <w:rsid w:val="00EB340D"/>
    <w:rsid w:val="00EB5921"/>
    <w:rsid w:val="00EB5C48"/>
    <w:rsid w:val="00EB5CEA"/>
    <w:rsid w:val="00EB76C1"/>
    <w:rsid w:val="00EB7A25"/>
    <w:rsid w:val="00EC268B"/>
    <w:rsid w:val="00EC33B9"/>
    <w:rsid w:val="00EC628B"/>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2404"/>
    <w:rsid w:val="00F22646"/>
    <w:rsid w:val="00F22D50"/>
    <w:rsid w:val="00F22D7A"/>
    <w:rsid w:val="00F23493"/>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70A57"/>
    <w:rsid w:val="00F7112F"/>
    <w:rsid w:val="00F712ED"/>
    <w:rsid w:val="00F716B8"/>
    <w:rsid w:val="00F717B7"/>
    <w:rsid w:val="00F72A15"/>
    <w:rsid w:val="00F72F33"/>
    <w:rsid w:val="00F737DB"/>
    <w:rsid w:val="00F7412B"/>
    <w:rsid w:val="00F7432F"/>
    <w:rsid w:val="00F745A5"/>
    <w:rsid w:val="00F762C6"/>
    <w:rsid w:val="00F80305"/>
    <w:rsid w:val="00F8048F"/>
    <w:rsid w:val="00F82893"/>
    <w:rsid w:val="00F83838"/>
    <w:rsid w:val="00F83FF2"/>
    <w:rsid w:val="00F842D9"/>
    <w:rsid w:val="00F84691"/>
    <w:rsid w:val="00F84899"/>
    <w:rsid w:val="00F859F0"/>
    <w:rsid w:val="00F87254"/>
    <w:rsid w:val="00F87C3E"/>
    <w:rsid w:val="00F911D4"/>
    <w:rsid w:val="00F915D0"/>
    <w:rsid w:val="00F91C32"/>
    <w:rsid w:val="00F91F95"/>
    <w:rsid w:val="00F925F7"/>
    <w:rsid w:val="00F9299C"/>
    <w:rsid w:val="00F92AB5"/>
    <w:rsid w:val="00F952F9"/>
    <w:rsid w:val="00F961C4"/>
    <w:rsid w:val="00F962BF"/>
    <w:rsid w:val="00F967BB"/>
    <w:rsid w:val="00F971E7"/>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3AFC"/>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 w:val="02FE98FF"/>
    <w:rsid w:val="1C73D51A"/>
    <w:rsid w:val="2AFBCE2B"/>
    <w:rsid w:val="34CEE771"/>
    <w:rsid w:val="52CEBA9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36325E1-C8F1-41A9-BAA0-7A0D8F31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4508</Words>
  <Characters>24798</Characters>
  <Application>Microsoft Office Word</Application>
  <DocSecurity>0</DocSecurity>
  <Lines>206</Lines>
  <Paragraphs>58</Paragraphs>
  <ScaleCrop>false</ScaleCrop>
  <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15</cp:revision>
  <cp:lastPrinted>2020-01-30T15:05:00Z</cp:lastPrinted>
  <dcterms:created xsi:type="dcterms:W3CDTF">2020-04-22T18:30:00Z</dcterms:created>
  <dcterms:modified xsi:type="dcterms:W3CDTF">2020-07-31T22:08:00Z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