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BB0780" w:rsidR="000920F0" w:rsidP="000920F0" w:rsidRDefault="000920F0" w14:paraId="6B426F4D" w14:textId="77777777">
      <w:pPr>
        <w:jc w:val="right"/>
        <w:rPr>
          <w:rFonts w:ascii="Arial" w:hAnsi="Arial" w:cs="Arial"/>
          <w:b/>
          <w:color w:val="000000" w:themeColor="text1"/>
          <w:sz w:val="16"/>
          <w:szCs w:val="16"/>
          <w:lang w:val="es-ES_tradnl" w:eastAsia="es-ES"/>
        </w:rPr>
      </w:pPr>
      <w:bookmarkStart w:name="_Hlk28946138" w:id="0"/>
      <w:bookmarkStart w:name="_Hlk29548183" w:id="1"/>
      <w:bookmarkStart w:name="_Hlk29890381" w:id="2"/>
      <w:r w:rsidRPr="00BB0780">
        <w:rPr>
          <w:rFonts w:ascii="Arial" w:hAnsi="Arial" w:cs="Arial"/>
          <w:b/>
          <w:color w:val="000000" w:themeColor="text1"/>
          <w:sz w:val="21"/>
          <w:szCs w:val="21"/>
          <w:lang w:val="es-ES_tradnl" w:eastAsia="es-ES"/>
        </w:rPr>
        <w:tab/>
      </w:r>
      <w:r w:rsidRPr="00BB0780">
        <w:rPr>
          <w:rFonts w:ascii="Arial" w:hAnsi="Arial" w:cs="Arial"/>
          <w:b/>
          <w:color w:val="000000" w:themeColor="text1"/>
          <w:sz w:val="16"/>
          <w:szCs w:val="16"/>
          <w:lang w:val="es-ES_tradnl" w:eastAsia="es-ES"/>
        </w:rPr>
        <w:t>CCE-DES-FM-17</w:t>
      </w:r>
    </w:p>
    <w:p w:rsidRPr="0007128C" w:rsidR="00111BBD" w:rsidP="000920F0" w:rsidRDefault="00111BBD" w14:paraId="77C0A69C" w14:textId="77777777">
      <w:pPr>
        <w:spacing w:line="276" w:lineRule="auto"/>
        <w:jc w:val="both"/>
        <w:rPr>
          <w:rFonts w:ascii="Arial" w:hAnsi="Arial" w:eastAsia="Calibri" w:cs="Arial"/>
          <w:b/>
          <w:color w:val="000000" w:themeColor="text1"/>
          <w:sz w:val="16"/>
          <w:szCs w:val="16"/>
        </w:rPr>
      </w:pPr>
    </w:p>
    <w:p w:rsidRPr="00BB0780" w:rsidR="00D60C9D" w:rsidP="54C9054F" w:rsidRDefault="00D60C9D" w14:paraId="4CF72224" w14:textId="7EDB89B1">
      <w:pPr>
        <w:pStyle w:val="Normal"/>
        <w:jc w:val="both"/>
        <w:rPr>
          <w:rFonts w:ascii="Arial" w:hAnsi="Arial" w:eastAsia="Calibri" w:cs="Arial"/>
          <w:color w:val="000000" w:themeColor="text1"/>
          <w:sz w:val="22"/>
          <w:szCs w:val="22"/>
        </w:rPr>
      </w:pPr>
      <w:r w:rsidRPr="54C9054F" w:rsidR="00D60C9D">
        <w:rPr>
          <w:rFonts w:ascii="Arial" w:hAnsi="Arial" w:eastAsia="Calibri" w:cs="Arial"/>
          <w:b w:val="1"/>
          <w:bCs w:val="1"/>
          <w:color w:val="000000" w:themeColor="text1" w:themeTint="FF" w:themeShade="FF"/>
          <w:sz w:val="22"/>
          <w:szCs w:val="22"/>
        </w:rPr>
        <w:t xml:space="preserve">SECOP </w:t>
      </w:r>
      <w:r w:rsidRPr="54C9054F" w:rsidR="00B8437B">
        <w:rPr>
          <w:rFonts w:ascii="Arial" w:hAnsi="Arial" w:eastAsia="Calibri" w:cs="Arial"/>
          <w:b w:val="1"/>
          <w:bCs w:val="1"/>
          <w:color w:val="000000" w:themeColor="text1" w:themeTint="FF" w:themeShade="FF"/>
          <w:sz w:val="22"/>
          <w:szCs w:val="22"/>
        </w:rPr>
        <w:t>–</w:t>
      </w:r>
      <w:r w:rsidRPr="54C9054F" w:rsidR="00D60C9D">
        <w:rPr>
          <w:rFonts w:ascii="Arial" w:hAnsi="Arial" w:eastAsia="Calibri" w:cs="Arial"/>
          <w:b w:val="1"/>
          <w:bCs w:val="1"/>
          <w:color w:val="000000" w:themeColor="text1" w:themeTint="FF" w:themeShade="FF"/>
          <w:sz w:val="22"/>
          <w:szCs w:val="22"/>
        </w:rPr>
        <w:t xml:space="preserve"> Publicidad – Entidades de régimen especial </w:t>
      </w:r>
      <w:r w:rsidRPr="54C9054F" w:rsidR="00B8437B">
        <w:rPr>
          <w:rFonts w:ascii="Arial" w:hAnsi="Arial" w:eastAsia="Calibri" w:cs="Arial"/>
          <w:b w:val="1"/>
          <w:bCs w:val="1"/>
          <w:color w:val="000000" w:themeColor="text1" w:themeTint="FF" w:themeShade="FF"/>
          <w:sz w:val="22"/>
          <w:szCs w:val="22"/>
        </w:rPr>
        <w:t>–</w:t>
      </w:r>
      <w:r w:rsidRPr="54C9054F" w:rsidR="00D60C9D">
        <w:rPr>
          <w:rFonts w:ascii="Arial" w:hAnsi="Arial" w:eastAsia="Calibri" w:cs="Arial"/>
          <w:b w:val="1"/>
          <w:bCs w:val="1"/>
          <w:color w:val="000000" w:themeColor="text1" w:themeTint="FF" w:themeShade="FF"/>
          <w:sz w:val="22"/>
          <w:szCs w:val="22"/>
        </w:rPr>
        <w:t xml:space="preserve"> Reiteración </w:t>
      </w:r>
      <w:r w:rsidRPr="54C9054F" w:rsidR="66838A45">
        <w:rPr>
          <w:rFonts w:ascii="Arial" w:hAnsi="Arial" w:eastAsia="Calibri" w:cs="Arial"/>
          <w:b w:val="1"/>
          <w:bCs w:val="1"/>
          <w:color w:val="000000" w:themeColor="text1" w:themeTint="FF" w:themeShade="FF"/>
          <w:sz w:val="22"/>
          <w:szCs w:val="22"/>
        </w:rPr>
        <w:t>–</w:t>
      </w:r>
      <w:r w:rsidRPr="54C9054F" w:rsidR="00D60C9D">
        <w:rPr>
          <w:rFonts w:ascii="Arial" w:hAnsi="Arial" w:eastAsia="Calibri" w:cs="Arial"/>
          <w:b w:val="1"/>
          <w:bCs w:val="1"/>
          <w:color w:val="000000" w:themeColor="text1" w:themeTint="FF" w:themeShade="FF"/>
          <w:sz w:val="22"/>
          <w:szCs w:val="22"/>
        </w:rPr>
        <w:t xml:space="preserve"> Concepto unificado </w:t>
      </w:r>
      <w:r w:rsidRPr="54C9054F" w:rsidR="16C5AD32">
        <w:rPr>
          <w:rFonts w:ascii="Arial" w:hAnsi="Arial" w:eastAsia="Calibri" w:cs="Arial"/>
          <w:b w:val="1"/>
          <w:bCs w:val="1"/>
          <w:color w:val="000000" w:themeColor="text1" w:themeTint="FF" w:themeShade="FF"/>
          <w:sz w:val="22"/>
          <w:szCs w:val="22"/>
        </w:rPr>
        <w:t xml:space="preserve">– </w:t>
      </w:r>
      <w:r w:rsidRPr="54C9054F" w:rsidR="00D60C9D">
        <w:rPr>
          <w:rFonts w:ascii="Arial" w:hAnsi="Arial" w:eastAsia="Calibri" w:cs="Arial"/>
          <w:b w:val="1"/>
          <w:bCs w:val="1"/>
          <w:color w:val="000000" w:themeColor="text1" w:themeTint="FF" w:themeShade="FF"/>
          <w:sz w:val="22"/>
          <w:szCs w:val="22"/>
        </w:rPr>
        <w:t>CU-003 de 2020</w:t>
      </w:r>
    </w:p>
    <w:p w:rsidRPr="0007128C" w:rsidR="00D60C9D" w:rsidP="00B8437B" w:rsidRDefault="00D60C9D" w14:paraId="3FE5ACC6" w14:textId="77777777">
      <w:pPr>
        <w:jc w:val="both"/>
        <w:rPr>
          <w:rFonts w:ascii="Arial" w:hAnsi="Arial" w:cs="Arial"/>
          <w:color w:val="000000" w:themeColor="text1"/>
          <w:sz w:val="20"/>
          <w:szCs w:val="20"/>
        </w:rPr>
      </w:pPr>
    </w:p>
    <w:p w:rsidRPr="00BB0780" w:rsidR="00D60C9D" w:rsidP="00B8437B" w:rsidRDefault="00D60C9D" w14:paraId="6921FEC5" w14:textId="77777777">
      <w:pPr>
        <w:jc w:val="both"/>
        <w:rPr>
          <w:rFonts w:ascii="Arial" w:hAnsi="Arial" w:eastAsia="Calibri" w:cs="Arial"/>
          <w:color w:val="000000" w:themeColor="text1"/>
          <w:sz w:val="20"/>
          <w:szCs w:val="20"/>
          <w:lang w:val="es-ES"/>
        </w:rPr>
      </w:pPr>
      <w:r w:rsidRPr="00BB0780">
        <w:rPr>
          <w:rFonts w:ascii="Arial" w:hAnsi="Arial" w:eastAsia="Calibri" w:cs="Arial"/>
          <w:color w:val="000000" w:themeColor="text1"/>
          <w:sz w:val="20"/>
          <w:szCs w:val="20"/>
        </w:rPr>
        <w:t xml:space="preserve">La obligatoriedad de publicar las actuaciones contractuales de las entidades no depende de su régimen de contratación, sino de la ejecución de recursos públicos, pues así lo determinó, provisionalmente, el Consejo de Estado, Sección Tercera, Subsección C, en el auto del 14 de agosto de 2017, radicación número: 11001-03-26-000-2017-00031-00 [58.820], proferido por el Magistrado Jaime Orlando Santofimio. Ese deber no atiende a las condiciones fácticas que tengan las entidades excluidas del régimen de contratación estatal, sino ─se reitera─ al hecho de que la contratación implique la ejecución de recursos públicos. Así también lo indicó la Agencia Nacional de Contratación Pública en Concepto unificado CU-003 de 2020, que se reitera en esta oportunidad. </w:t>
      </w:r>
    </w:p>
    <w:p w:rsidRPr="00BB0780" w:rsidR="00D60C9D" w:rsidP="00B8437B" w:rsidRDefault="00D60C9D" w14:paraId="5837B969" w14:textId="77777777">
      <w:pPr>
        <w:pStyle w:val="Prrafodelista"/>
        <w:ind w:left="0"/>
        <w:jc w:val="both"/>
        <w:rPr>
          <w:rFonts w:ascii="Arial" w:hAnsi="Arial" w:eastAsia="Calibri" w:cs="Arial"/>
          <w:color w:val="000000" w:themeColor="text1"/>
          <w:sz w:val="20"/>
          <w:szCs w:val="20"/>
        </w:rPr>
      </w:pPr>
    </w:p>
    <w:p w:rsidRPr="00BB0780" w:rsidR="00D60C9D" w:rsidP="00B8437B" w:rsidRDefault="00D60C9D" w14:paraId="6CD0D5EC" w14:textId="2EA485C0">
      <w:pPr>
        <w:pStyle w:val="Prrafodelista"/>
        <w:ind w:left="0"/>
        <w:jc w:val="both"/>
        <w:rPr>
          <w:rFonts w:ascii="Arial" w:hAnsi="Arial" w:eastAsia="Calibri" w:cs="Arial"/>
          <w:b/>
          <w:color w:val="000000" w:themeColor="text1"/>
          <w:sz w:val="22"/>
          <w:szCs w:val="20"/>
        </w:rPr>
      </w:pPr>
      <w:r w:rsidRPr="00BB0780">
        <w:rPr>
          <w:rFonts w:ascii="Arial" w:hAnsi="Arial" w:eastAsia="Calibri" w:cs="Arial"/>
          <w:b/>
          <w:color w:val="000000" w:themeColor="text1"/>
          <w:sz w:val="22"/>
          <w:szCs w:val="20"/>
        </w:rPr>
        <w:t xml:space="preserve">SECOP </w:t>
      </w:r>
      <w:r w:rsidRPr="006C15D5" w:rsidR="00B8437B">
        <w:rPr>
          <w:rFonts w:ascii="Arial" w:hAnsi="Arial" w:eastAsia="Calibri" w:cs="Arial"/>
          <w:b/>
          <w:color w:val="000000" w:themeColor="text1"/>
          <w:sz w:val="22"/>
        </w:rPr>
        <w:t>–</w:t>
      </w:r>
      <w:r w:rsidRPr="00BB0780">
        <w:rPr>
          <w:rFonts w:ascii="Arial" w:hAnsi="Arial" w:eastAsia="Calibri" w:cs="Arial"/>
          <w:b/>
          <w:color w:val="000000" w:themeColor="text1"/>
          <w:sz w:val="22"/>
          <w:szCs w:val="20"/>
        </w:rPr>
        <w:t xml:space="preserve"> Publicidad </w:t>
      </w:r>
      <w:r w:rsidRPr="006C15D5" w:rsidR="00B8437B">
        <w:rPr>
          <w:rFonts w:ascii="Arial" w:hAnsi="Arial" w:eastAsia="Calibri" w:cs="Arial"/>
          <w:b/>
          <w:color w:val="000000" w:themeColor="text1"/>
          <w:sz w:val="22"/>
        </w:rPr>
        <w:t>–</w:t>
      </w:r>
      <w:r w:rsidRPr="00BB0780">
        <w:rPr>
          <w:rFonts w:ascii="Arial" w:hAnsi="Arial" w:eastAsia="Calibri" w:cs="Arial"/>
          <w:b/>
          <w:color w:val="000000" w:themeColor="text1"/>
          <w:sz w:val="22"/>
          <w:szCs w:val="20"/>
        </w:rPr>
        <w:t xml:space="preserve"> Documentos </w:t>
      </w:r>
    </w:p>
    <w:p w:rsidRPr="00BB0780" w:rsidR="00D60C9D" w:rsidP="00B8437B" w:rsidRDefault="00D60C9D" w14:paraId="22ABA457" w14:textId="77777777">
      <w:pPr>
        <w:pStyle w:val="Prrafodelista"/>
        <w:ind w:left="0"/>
        <w:jc w:val="both"/>
        <w:rPr>
          <w:rFonts w:ascii="Arial" w:hAnsi="Arial" w:eastAsia="Calibri" w:cs="Arial"/>
          <w:color w:val="000000" w:themeColor="text1"/>
          <w:sz w:val="20"/>
          <w:szCs w:val="20"/>
        </w:rPr>
      </w:pPr>
    </w:p>
    <w:p w:rsidRPr="00525CC3" w:rsidR="0007128C" w:rsidP="413EEAF6" w:rsidRDefault="00B8437B" w14:paraId="6D1009BE" w14:textId="4C5AD62B">
      <w:pPr>
        <w:tabs>
          <w:tab w:val="left" w:pos="426"/>
        </w:tabs>
        <w:spacing w:after="120"/>
        <w:jc w:val="both"/>
        <w:rPr>
          <w:rFonts w:ascii="Arial" w:hAnsi="Arial" w:eastAsia="Calibri" w:cs="Arial"/>
          <w:color w:val="000000" w:themeColor="text1"/>
          <w:sz w:val="20"/>
          <w:szCs w:val="20"/>
          <w:lang w:val="es-ES"/>
        </w:rPr>
      </w:pPr>
      <w:r w:rsidRPr="413EEAF6">
        <w:rPr>
          <w:rFonts w:ascii="Arial" w:hAnsi="Arial" w:eastAsia="Calibri" w:cs="Arial"/>
          <w:color w:val="000000" w:themeColor="text1"/>
          <w:sz w:val="20"/>
          <w:szCs w:val="20"/>
        </w:rPr>
        <w:t xml:space="preserve">[…] </w:t>
      </w:r>
      <w:r w:rsidRPr="413EEAF6" w:rsidR="7623F51C">
        <w:rPr>
          <w:rFonts w:ascii="Arial" w:hAnsi="Arial" w:eastAsia="Calibri" w:cs="Arial"/>
          <w:color w:val="000000" w:themeColor="text1"/>
          <w:sz w:val="20"/>
          <w:szCs w:val="20"/>
        </w:rPr>
        <w:t>e</w:t>
      </w:r>
      <w:r w:rsidRPr="413EEAF6" w:rsidR="00D60C9D">
        <w:rPr>
          <w:rFonts w:ascii="Arial" w:hAnsi="Arial" w:eastAsia="Calibri" w:cs="Arial"/>
          <w:color w:val="000000" w:themeColor="text1"/>
          <w:sz w:val="20"/>
          <w:szCs w:val="20"/>
        </w:rPr>
        <w:t xml:space="preserve">l Decreto 103 de 2015 señala que los documentos que deberán publicar las entidades </w:t>
      </w:r>
      <w:r w:rsidRPr="413EEAF6" w:rsidR="00D60C9D">
        <w:rPr>
          <w:rFonts w:ascii="Arial" w:hAnsi="Arial" w:eastAsia="Calibri" w:cs="Arial"/>
          <w:sz w:val="20"/>
          <w:szCs w:val="20"/>
        </w:rPr>
        <w:t xml:space="preserve">estatales, entre estas las empresas industriales y comerciales del Estado, son: i) las autorizaciones, requerimientos, aprobaciones o informes del supervisor o del interventor, que prueben la ejecución </w:t>
      </w:r>
      <w:r w:rsidRPr="413EEAF6" w:rsidR="00D60C9D">
        <w:rPr>
          <w:rFonts w:ascii="Arial" w:hAnsi="Arial" w:eastAsia="Calibri" w:cs="Arial"/>
          <w:color w:val="000000" w:themeColor="text1"/>
          <w:sz w:val="20"/>
          <w:szCs w:val="20"/>
          <w:lang w:val="es-ES"/>
        </w:rPr>
        <w:t xml:space="preserve">del contrato, </w:t>
      </w:r>
      <w:proofErr w:type="spellStart"/>
      <w:r w:rsidRPr="413EEAF6" w:rsidR="00D60C9D">
        <w:rPr>
          <w:rFonts w:ascii="Arial" w:hAnsi="Arial" w:eastAsia="Calibri" w:cs="Arial"/>
          <w:color w:val="000000" w:themeColor="text1"/>
          <w:sz w:val="20"/>
          <w:szCs w:val="20"/>
          <w:lang w:val="es-ES"/>
        </w:rPr>
        <w:t>ii</w:t>
      </w:r>
      <w:proofErr w:type="spellEnd"/>
      <w:r w:rsidRPr="413EEAF6" w:rsidR="00D60C9D">
        <w:rPr>
          <w:rFonts w:ascii="Arial" w:hAnsi="Arial" w:eastAsia="Calibri" w:cs="Arial"/>
          <w:color w:val="000000" w:themeColor="text1"/>
          <w:sz w:val="20"/>
          <w:szCs w:val="20"/>
          <w:lang w:val="es-ES"/>
        </w:rPr>
        <w:t xml:space="preserve">) en relación con los procedimientos, lineamientos y políticas en materia de adquisición se deberán publicar los documentos previstos en el manual de contratación de la entidad y, finalmente, </w:t>
      </w:r>
      <w:proofErr w:type="spellStart"/>
      <w:r w:rsidRPr="413EEAF6" w:rsidR="00D60C9D">
        <w:rPr>
          <w:rFonts w:ascii="Arial" w:hAnsi="Arial" w:eastAsia="Calibri" w:cs="Arial"/>
          <w:color w:val="000000" w:themeColor="text1"/>
          <w:sz w:val="20"/>
          <w:szCs w:val="20"/>
          <w:lang w:val="es-ES"/>
        </w:rPr>
        <w:t>iii</w:t>
      </w:r>
      <w:proofErr w:type="spellEnd"/>
      <w:r w:rsidRPr="413EEAF6" w:rsidR="00D60C9D">
        <w:rPr>
          <w:rFonts w:ascii="Arial" w:hAnsi="Arial" w:eastAsia="Calibri" w:cs="Arial"/>
          <w:color w:val="000000" w:themeColor="text1"/>
          <w:sz w:val="20"/>
          <w:szCs w:val="20"/>
          <w:lang w:val="es-ES"/>
        </w:rPr>
        <w:t>) el plan anual de adquisiciones.</w:t>
      </w:r>
    </w:p>
    <w:p w:rsidRPr="00BB0780" w:rsidR="00D60C9D" w:rsidP="00525CC3" w:rsidRDefault="00D60C9D" w14:paraId="2DCC5CC5" w14:textId="7B19AD60">
      <w:pPr>
        <w:tabs>
          <w:tab w:val="left" w:pos="426"/>
        </w:tabs>
        <w:spacing w:after="120"/>
        <w:jc w:val="both"/>
        <w:rPr>
          <w:rFonts w:ascii="Arial" w:hAnsi="Arial" w:eastAsia="Calibri" w:cs="Arial"/>
          <w:color w:val="000000" w:themeColor="text1"/>
          <w:sz w:val="20"/>
          <w:szCs w:val="20"/>
        </w:rPr>
      </w:pPr>
      <w:r w:rsidRPr="00525CC3">
        <w:rPr>
          <w:rFonts w:ascii="Arial" w:hAnsi="Arial" w:eastAsia="Calibri" w:cs="Arial"/>
          <w:bCs/>
          <w:color w:val="000000" w:themeColor="text1"/>
          <w:sz w:val="20"/>
          <w:lang w:val="es-ES_tradnl"/>
        </w:rPr>
        <w:t>Frente al segundo grupo de documentos, debido a que estas entidades están sometidas al derecho privado, y por lo tanto no celebran sus procesos de contratación con las modalidades de contratación previstas en</w:t>
      </w:r>
      <w:r w:rsidRPr="005378FB">
        <w:rPr>
          <w:rFonts w:ascii="Arial" w:hAnsi="Arial" w:eastAsia="Calibri" w:cs="Arial"/>
          <w:sz w:val="20"/>
          <w:szCs w:val="20"/>
        </w:rPr>
        <w:t xml:space="preserve"> la Ley 80 de 1993; cada</w:t>
      </w:r>
      <w:r w:rsidRPr="006B35CD">
        <w:rPr>
          <w:rFonts w:ascii="Arial" w:hAnsi="Arial" w:eastAsia="Calibri" w:cs="Arial"/>
          <w:sz w:val="20"/>
          <w:szCs w:val="20"/>
        </w:rPr>
        <w:t xml:space="preserve"> una definirá en su manual de contratación el procedimiento para la contratación</w:t>
      </w:r>
      <w:r w:rsidRPr="00BB0780">
        <w:rPr>
          <w:rFonts w:ascii="Arial" w:hAnsi="Arial" w:eastAsia="Calibri" w:cs="Arial"/>
          <w:color w:val="000000" w:themeColor="text1"/>
          <w:sz w:val="20"/>
          <w:szCs w:val="20"/>
        </w:rPr>
        <w:t xml:space="preserve"> de sus bienes y servicios. </w:t>
      </w:r>
    </w:p>
    <w:p w:rsidRPr="00BB0780" w:rsidR="00D60C9D" w:rsidP="00B8437B" w:rsidRDefault="00D60C9D" w14:paraId="61299E9A" w14:textId="77777777">
      <w:pPr>
        <w:pStyle w:val="Prrafodelista"/>
        <w:ind w:left="0"/>
        <w:jc w:val="both"/>
        <w:rPr>
          <w:rFonts w:ascii="Arial" w:hAnsi="Arial" w:eastAsia="Calibri" w:cs="Arial"/>
          <w:color w:val="000000" w:themeColor="text1"/>
          <w:sz w:val="20"/>
          <w:szCs w:val="20"/>
        </w:rPr>
      </w:pPr>
    </w:p>
    <w:p w:rsidRPr="00BB0780" w:rsidR="00D60C9D" w:rsidP="00B8437B" w:rsidRDefault="00D60C9D" w14:paraId="11DF1F47" w14:textId="0E60AAA5">
      <w:pPr>
        <w:pStyle w:val="Prrafodelista"/>
        <w:ind w:left="0"/>
        <w:jc w:val="both"/>
        <w:rPr>
          <w:rFonts w:ascii="Arial" w:hAnsi="Arial" w:eastAsia="Calibri" w:cs="Arial"/>
          <w:b/>
          <w:color w:val="000000" w:themeColor="text1"/>
          <w:sz w:val="22"/>
          <w:szCs w:val="20"/>
        </w:rPr>
      </w:pPr>
      <w:r w:rsidRPr="00BB0780">
        <w:rPr>
          <w:rFonts w:ascii="Arial" w:hAnsi="Arial" w:eastAsia="Calibri" w:cs="Arial"/>
          <w:b/>
          <w:color w:val="000000" w:themeColor="text1"/>
          <w:sz w:val="22"/>
          <w:szCs w:val="20"/>
        </w:rPr>
        <w:t xml:space="preserve">SECOP </w:t>
      </w:r>
      <w:r w:rsidRPr="006C15D5" w:rsidR="00B8437B">
        <w:rPr>
          <w:rFonts w:ascii="Arial" w:hAnsi="Arial" w:eastAsia="Calibri" w:cs="Arial"/>
          <w:b/>
          <w:color w:val="000000" w:themeColor="text1"/>
          <w:sz w:val="22"/>
        </w:rPr>
        <w:t>–</w:t>
      </w:r>
      <w:r w:rsidRPr="00BB0780">
        <w:rPr>
          <w:rFonts w:ascii="Arial" w:hAnsi="Arial" w:eastAsia="Calibri" w:cs="Arial"/>
          <w:b/>
          <w:color w:val="000000" w:themeColor="text1"/>
          <w:sz w:val="22"/>
          <w:szCs w:val="20"/>
        </w:rPr>
        <w:t xml:space="preserve"> Publicidad </w:t>
      </w:r>
      <w:r w:rsidRPr="006C15D5" w:rsidR="00B8437B">
        <w:rPr>
          <w:rFonts w:ascii="Arial" w:hAnsi="Arial" w:eastAsia="Calibri" w:cs="Arial"/>
          <w:b/>
          <w:color w:val="000000" w:themeColor="text1"/>
          <w:sz w:val="22"/>
        </w:rPr>
        <w:t>–</w:t>
      </w:r>
      <w:r w:rsidRPr="00BB0780">
        <w:rPr>
          <w:rFonts w:ascii="Arial" w:hAnsi="Arial" w:eastAsia="Calibri" w:cs="Arial"/>
          <w:b/>
          <w:color w:val="000000" w:themeColor="text1"/>
          <w:sz w:val="22"/>
          <w:szCs w:val="20"/>
        </w:rPr>
        <w:t xml:space="preserve"> Oportunidad </w:t>
      </w:r>
      <w:r w:rsidRPr="006C15D5" w:rsidR="00B8437B">
        <w:rPr>
          <w:rFonts w:ascii="Arial" w:hAnsi="Arial" w:eastAsia="Calibri" w:cs="Arial"/>
          <w:b/>
          <w:color w:val="000000" w:themeColor="text1"/>
          <w:sz w:val="22"/>
        </w:rPr>
        <w:t>–</w:t>
      </w:r>
      <w:r w:rsidRPr="00BB0780">
        <w:rPr>
          <w:rFonts w:ascii="Arial" w:hAnsi="Arial" w:eastAsia="Calibri" w:cs="Arial"/>
          <w:b/>
          <w:color w:val="000000" w:themeColor="text1"/>
          <w:sz w:val="22"/>
          <w:szCs w:val="20"/>
        </w:rPr>
        <w:t xml:space="preserve"> 3 días</w:t>
      </w:r>
    </w:p>
    <w:p w:rsidRPr="00BB0780" w:rsidR="00D60C9D" w:rsidP="00B8437B" w:rsidRDefault="00D60C9D" w14:paraId="37BF909B" w14:textId="77777777">
      <w:pPr>
        <w:pStyle w:val="Prrafodelista"/>
        <w:ind w:left="0"/>
        <w:jc w:val="both"/>
        <w:rPr>
          <w:rFonts w:ascii="Arial" w:hAnsi="Arial" w:eastAsia="Calibri" w:cs="Arial"/>
          <w:color w:val="000000" w:themeColor="text1"/>
          <w:sz w:val="20"/>
          <w:szCs w:val="20"/>
        </w:rPr>
      </w:pPr>
    </w:p>
    <w:p w:rsidR="002C7618" w:rsidP="002C7618" w:rsidRDefault="00D60C9D" w14:paraId="17C541F9" w14:textId="5711AF1F">
      <w:pPr>
        <w:spacing w:after="120"/>
        <w:jc w:val="both"/>
        <w:rPr>
          <w:rFonts w:ascii="Arial" w:hAnsi="Arial" w:eastAsia="Calibri" w:cs="Arial"/>
          <w:color w:val="000000" w:themeColor="text1"/>
          <w:sz w:val="20"/>
          <w:szCs w:val="20"/>
        </w:rPr>
      </w:pPr>
      <w:r w:rsidRPr="00BB0780">
        <w:rPr>
          <w:rFonts w:ascii="Arial" w:hAnsi="Arial" w:eastAsia="Calibri" w:cs="Arial"/>
          <w:color w:val="000000" w:themeColor="text1"/>
          <w:sz w:val="20"/>
          <w:szCs w:val="20"/>
        </w:rPr>
        <w:t xml:space="preserve">El artículo 2.2.1.1.1.7.1. del Decreto 1082 de 2015 establece: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 </w:t>
      </w:r>
    </w:p>
    <w:p w:rsidRPr="00BB0780" w:rsidR="00D60C9D" w:rsidP="002C7618" w:rsidRDefault="00D60C9D" w14:paraId="4B1B4B6C" w14:textId="012792FA">
      <w:pPr>
        <w:jc w:val="both"/>
        <w:rPr>
          <w:rFonts w:ascii="Arial" w:hAnsi="Arial" w:eastAsia="Calibri" w:cs="Arial"/>
          <w:color w:val="000000" w:themeColor="text1"/>
          <w:sz w:val="20"/>
          <w:szCs w:val="20"/>
        </w:rPr>
      </w:pPr>
      <w:r w:rsidRPr="00BB0780">
        <w:rPr>
          <w:rFonts w:ascii="Arial" w:hAnsi="Arial" w:eastAsia="Calibri" w:cs="Arial"/>
          <w:color w:val="000000" w:themeColor="text1"/>
          <w:sz w:val="20"/>
          <w:szCs w:val="20"/>
        </w:rPr>
        <w:t xml:space="preserve">Por su parte, el artículo 2.2.1.1.1.3.1. del Decreto 1082 de 2015 dice que los «Documentos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 A su vez, el artículo 2.2.1.2.1.4.3. del mismo Decreto establece excepciones a la publicidad de los estudios y documentos previos, indicando: «Los estudios y documentos previos elaborados para los siguientes Procesos de Contratación no son públicos: a) la contratación de empréstitos; b) los contratos interadministrativos que celebre el Ministerio de Hacienda y Crédito Público con el Banco de la República, y c) los contratos a los que se refiere el 2.2.1.2.1.4.6 del presente decreto». Como puede observarse, el gobierno nacional estableció algunas excepciones a la publicidad de los documentos del proceso en el SECOP durante los tres (3) días siguientes a su expedición en la modalidad de contratación directa; lo que permite concluir que aquellos casos que no estén exceptuados en forma explícita de dicho deber ingresan dentro de la regla general. Con fundamento en esta idea, cabe precisar que en la contratación directa los documentos del proceso también </w:t>
      </w:r>
      <w:r w:rsidRPr="00BB0780">
        <w:rPr>
          <w:rFonts w:ascii="Arial" w:hAnsi="Arial" w:eastAsia="Calibri" w:cs="Arial"/>
          <w:color w:val="000000" w:themeColor="text1"/>
          <w:sz w:val="20"/>
          <w:szCs w:val="20"/>
        </w:rPr>
        <w:lastRenderedPageBreak/>
        <w:t>deben ser publicados en la oportunidad indicada, teniendo en cuenta la causal de que se trate. Verbigracia, para la celebración de contratos de prestación de servicios profesionales, de apoyo a la gestión o para la realización de actividades artísticas que solo pueden encomendarse a determinadas personas naturales no se requiere expedir previamente el acto administrativo de justificación de la contratación directa. Por lo tanto, en este supuesto, por sustracción de materia, no hay que publicar dicho documento en el SECOP. Algo similar sucede en la contratación de urgencia manifiesta, en la cual no se requiere de la elaboración de estudios y documentos previos, de manera que, obviamente, estos no se publican.</w:t>
      </w:r>
    </w:p>
    <w:p w:rsidRPr="0007128C" w:rsidR="000920F0" w:rsidP="002C7618" w:rsidRDefault="000920F0" w14:paraId="4C86C4F8" w14:textId="77777777">
      <w:pPr>
        <w:spacing w:line="276" w:lineRule="auto"/>
        <w:jc w:val="both"/>
        <w:rPr>
          <w:rFonts w:ascii="Arial" w:hAnsi="Arial" w:cs="Arial"/>
          <w:color w:val="000000" w:themeColor="text1"/>
          <w:sz w:val="20"/>
          <w:szCs w:val="20"/>
        </w:rPr>
      </w:pPr>
    </w:p>
    <w:p w:rsidRPr="0007128C" w:rsidR="00BB0780" w:rsidP="002C7618" w:rsidRDefault="00BB0780" w14:paraId="44244D16" w14:textId="77777777">
      <w:pPr>
        <w:pStyle w:val="Default"/>
        <w:rPr>
          <w:color w:val="000000" w:themeColor="text1"/>
          <w:sz w:val="20"/>
          <w:szCs w:val="20"/>
        </w:rPr>
      </w:pPr>
    </w:p>
    <w:p w:rsidRPr="00BB0780" w:rsidR="00BB0780" w:rsidP="002C7618" w:rsidRDefault="00BB0780" w14:paraId="3FAE1DA2" w14:textId="748CA0EC">
      <w:pPr>
        <w:pStyle w:val="Default"/>
        <w:rPr>
          <w:color w:val="000000" w:themeColor="text1"/>
          <w:sz w:val="22"/>
          <w:szCs w:val="22"/>
        </w:rPr>
      </w:pPr>
      <w:r w:rsidRPr="00BB0780">
        <w:rPr>
          <w:color w:val="000000" w:themeColor="text1"/>
          <w:sz w:val="22"/>
          <w:szCs w:val="22"/>
        </w:rPr>
        <w:t xml:space="preserve">Bogotá D.C., </w:t>
      </w:r>
      <w:r w:rsidRPr="00BB0780">
        <w:rPr>
          <w:b/>
          <w:bCs/>
          <w:color w:val="000000" w:themeColor="text1"/>
          <w:sz w:val="22"/>
          <w:szCs w:val="22"/>
        </w:rPr>
        <w:t xml:space="preserve">27/04/2020 Hora 10:51:37s </w:t>
      </w:r>
    </w:p>
    <w:p w:rsidRPr="00BB0780" w:rsidR="000920F0" w:rsidP="00BB0780" w:rsidRDefault="00BB0780" w14:paraId="06C9ADFA" w14:textId="75345ACF">
      <w:pPr>
        <w:tabs>
          <w:tab w:val="left" w:pos="3374"/>
        </w:tabs>
        <w:spacing w:line="276" w:lineRule="auto"/>
        <w:jc w:val="right"/>
        <w:rPr>
          <w:rFonts w:ascii="Arial" w:hAnsi="Arial" w:eastAsia="Calibri" w:cs="Arial"/>
          <w:color w:val="000000" w:themeColor="text1"/>
          <w:sz w:val="22"/>
          <w:lang w:val="es-ES_tradnl"/>
        </w:rPr>
      </w:pPr>
      <w:proofErr w:type="spellStart"/>
      <w:r w:rsidRPr="00BB0780">
        <w:rPr>
          <w:rFonts w:ascii="Arial" w:hAnsi="Arial" w:cs="Arial"/>
          <w:b/>
          <w:bCs/>
          <w:color w:val="000000" w:themeColor="text1"/>
          <w:sz w:val="22"/>
        </w:rPr>
        <w:t>N°</w:t>
      </w:r>
      <w:proofErr w:type="spellEnd"/>
      <w:r w:rsidRPr="00BB0780">
        <w:rPr>
          <w:rFonts w:ascii="Arial" w:hAnsi="Arial" w:cs="Arial"/>
          <w:b/>
          <w:bCs/>
          <w:color w:val="000000" w:themeColor="text1"/>
          <w:sz w:val="22"/>
        </w:rPr>
        <w:t xml:space="preserve"> Radicado: 2202013000003075 </w:t>
      </w:r>
      <w:r w:rsidRPr="00BB0780" w:rsidR="000920F0">
        <w:rPr>
          <w:rFonts w:ascii="Arial" w:hAnsi="Arial" w:eastAsia="Calibri" w:cs="Arial"/>
          <w:color w:val="000000" w:themeColor="text1"/>
          <w:sz w:val="22"/>
          <w:lang w:val="es-ES_tradnl"/>
        </w:rPr>
        <w:tab/>
      </w:r>
    </w:p>
    <w:p w:rsidRPr="00BB0780" w:rsidR="00F7146B" w:rsidP="000920F0" w:rsidRDefault="00F7146B" w14:paraId="17E74F93" w14:textId="77777777">
      <w:pPr>
        <w:spacing w:line="276" w:lineRule="auto"/>
        <w:rPr>
          <w:rFonts w:ascii="Arial" w:hAnsi="Arial" w:eastAsia="Calibri" w:cs="Arial"/>
          <w:color w:val="000000" w:themeColor="text1"/>
          <w:sz w:val="22"/>
          <w:lang w:val="es-ES_tradnl"/>
        </w:rPr>
      </w:pPr>
    </w:p>
    <w:p w:rsidRPr="00BB0780" w:rsidR="000920F0" w:rsidP="000920F0" w:rsidRDefault="000920F0" w14:paraId="0223F164" w14:textId="370F894F">
      <w:pPr>
        <w:spacing w:line="276" w:lineRule="auto"/>
        <w:rPr>
          <w:rFonts w:ascii="Arial" w:hAnsi="Arial" w:eastAsia="Calibri" w:cs="Arial"/>
          <w:color w:val="000000" w:themeColor="text1"/>
          <w:sz w:val="22"/>
          <w:lang w:val="es-ES_tradnl"/>
        </w:rPr>
      </w:pPr>
      <w:r w:rsidRPr="00BB0780">
        <w:rPr>
          <w:rFonts w:ascii="Arial" w:hAnsi="Arial" w:eastAsia="Calibri" w:cs="Arial"/>
          <w:color w:val="000000" w:themeColor="text1"/>
          <w:sz w:val="22"/>
          <w:lang w:val="es-ES_tradnl"/>
        </w:rPr>
        <w:t>Señor</w:t>
      </w:r>
      <w:r w:rsidRPr="00BB0780" w:rsidR="00D60C9D">
        <w:rPr>
          <w:rFonts w:ascii="Arial" w:hAnsi="Arial" w:eastAsia="Calibri" w:cs="Arial"/>
          <w:color w:val="000000" w:themeColor="text1"/>
          <w:sz w:val="22"/>
          <w:lang w:val="es-ES_tradnl"/>
        </w:rPr>
        <w:t>a</w:t>
      </w:r>
    </w:p>
    <w:p w:rsidRPr="00BB0780" w:rsidR="000920F0" w:rsidP="000920F0" w:rsidRDefault="008A61A3" w14:paraId="37F04B31" w14:textId="18F500E5">
      <w:pPr>
        <w:spacing w:line="276" w:lineRule="auto"/>
        <w:rPr>
          <w:rFonts w:ascii="Arial" w:hAnsi="Arial" w:eastAsia="Calibri" w:cs="Arial"/>
          <w:b/>
          <w:color w:val="000000" w:themeColor="text1"/>
          <w:sz w:val="22"/>
          <w:lang w:val="es-ES_tradnl"/>
        </w:rPr>
      </w:pPr>
      <w:r w:rsidRPr="00BB0780">
        <w:rPr>
          <w:rFonts w:ascii="Arial" w:hAnsi="Arial" w:eastAsia="Calibri" w:cs="Arial"/>
          <w:b/>
          <w:color w:val="000000" w:themeColor="text1"/>
          <w:sz w:val="22"/>
          <w:lang w:val="es-ES_tradnl"/>
        </w:rPr>
        <w:t>Sharon Arguello Vega</w:t>
      </w:r>
    </w:p>
    <w:p w:rsidRPr="00BB0780" w:rsidR="000920F0" w:rsidP="000920F0" w:rsidRDefault="008A61A3" w14:paraId="188163AF" w14:textId="4EC299E6">
      <w:pPr>
        <w:spacing w:line="276" w:lineRule="auto"/>
        <w:rPr>
          <w:rFonts w:ascii="Arial" w:hAnsi="Arial" w:eastAsia="Calibri" w:cs="Arial"/>
          <w:color w:val="000000" w:themeColor="text1"/>
          <w:sz w:val="22"/>
          <w:lang w:val="es-ES_tradnl"/>
        </w:rPr>
      </w:pPr>
      <w:r w:rsidRPr="00BB0780">
        <w:rPr>
          <w:rFonts w:ascii="Arial" w:hAnsi="Arial" w:eastAsia="Calibri" w:cs="Arial"/>
          <w:color w:val="000000" w:themeColor="text1"/>
          <w:sz w:val="22"/>
          <w:lang w:val="es-ES_tradnl"/>
        </w:rPr>
        <w:t>Floridablanca, Santander</w:t>
      </w:r>
    </w:p>
    <w:p w:rsidR="0007128C" w:rsidP="000920F0" w:rsidRDefault="0007128C" w14:paraId="004DB6A5" w14:textId="77777777">
      <w:pPr>
        <w:spacing w:line="276" w:lineRule="auto"/>
        <w:jc w:val="center"/>
        <w:rPr>
          <w:rFonts w:ascii="Arial" w:hAnsi="Arial" w:eastAsia="Calibri" w:cs="Arial"/>
          <w:b/>
          <w:color w:val="000000" w:themeColor="text1"/>
          <w:sz w:val="22"/>
          <w:lang w:val="es-ES_tradnl"/>
        </w:rPr>
      </w:pPr>
    </w:p>
    <w:p w:rsidRPr="00BB0780" w:rsidR="000920F0" w:rsidP="000920F0" w:rsidRDefault="000920F0" w14:paraId="36D9E2A1" w14:textId="0E4ECE51">
      <w:pPr>
        <w:spacing w:line="276" w:lineRule="auto"/>
        <w:jc w:val="center"/>
        <w:rPr>
          <w:rFonts w:ascii="Arial" w:hAnsi="Arial" w:eastAsia="Calibri" w:cs="Arial"/>
          <w:b/>
          <w:color w:val="000000" w:themeColor="text1"/>
          <w:sz w:val="22"/>
          <w:lang w:val="es-ES_tradnl"/>
        </w:rPr>
      </w:pPr>
      <w:r w:rsidRPr="00BB0780">
        <w:rPr>
          <w:rFonts w:ascii="Arial" w:hAnsi="Arial" w:eastAsia="Calibri" w:cs="Arial"/>
          <w:b/>
          <w:color w:val="000000" w:themeColor="text1"/>
          <w:sz w:val="22"/>
          <w:lang w:val="es-ES_tradnl"/>
        </w:rPr>
        <w:t>Concepto C</w:t>
      </w:r>
      <w:r w:rsidRPr="00BB0780" w:rsidR="00556C28">
        <w:rPr>
          <w:rFonts w:ascii="Arial" w:hAnsi="Arial" w:eastAsia="Calibri" w:cs="Arial"/>
          <w:b/>
          <w:color w:val="000000" w:themeColor="text1"/>
          <w:sz w:val="22"/>
          <w:lang w:val="es-ES_tradnl"/>
        </w:rPr>
        <w:t>−</w:t>
      </w:r>
      <w:r w:rsidRPr="00BB0780" w:rsidR="00D60C9D">
        <w:rPr>
          <w:rFonts w:ascii="Arial" w:hAnsi="Arial" w:eastAsia="Calibri" w:cs="Arial"/>
          <w:b/>
          <w:color w:val="000000" w:themeColor="text1"/>
          <w:sz w:val="22"/>
          <w:lang w:val="es-ES_tradnl"/>
        </w:rPr>
        <w:t>2</w:t>
      </w:r>
      <w:r w:rsidRPr="00BB0780" w:rsidR="00467803">
        <w:rPr>
          <w:rFonts w:ascii="Arial" w:hAnsi="Arial" w:eastAsia="Calibri" w:cs="Arial"/>
          <w:b/>
          <w:color w:val="000000" w:themeColor="text1"/>
          <w:sz w:val="22"/>
          <w:lang w:val="es-ES_tradnl"/>
        </w:rPr>
        <w:t>72</w:t>
      </w:r>
      <w:r w:rsidRPr="00BB0780">
        <w:rPr>
          <w:rFonts w:ascii="Arial" w:hAnsi="Arial" w:eastAsia="Calibri" w:cs="Arial"/>
          <w:b/>
          <w:color w:val="000000" w:themeColor="text1"/>
          <w:sz w:val="22"/>
          <w:lang w:val="es-ES_tradnl"/>
        </w:rPr>
        <w:t xml:space="preserve"> de 2020</w:t>
      </w:r>
    </w:p>
    <w:p w:rsidRPr="00BB0780" w:rsidR="000920F0" w:rsidP="000920F0" w:rsidRDefault="000920F0" w14:paraId="5FD7FADA" w14:textId="77777777">
      <w:pPr>
        <w:spacing w:line="276" w:lineRule="auto"/>
        <w:rPr>
          <w:rFonts w:ascii="Arial" w:hAnsi="Arial" w:eastAsia="Calibri" w:cs="Arial"/>
          <w:color w:val="000000" w:themeColor="text1"/>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BB0780" w:rsidR="00BB0780" w:rsidTr="006C2E14" w14:paraId="16CF89C4" w14:textId="77777777">
        <w:tc>
          <w:tcPr>
            <w:tcW w:w="2689" w:type="dxa"/>
            <w:hideMark/>
          </w:tcPr>
          <w:p w:rsidRPr="00BB0780" w:rsidR="000920F0" w:rsidP="006C2E14" w:rsidRDefault="000920F0" w14:paraId="7BBF5828" w14:textId="77777777">
            <w:pPr>
              <w:spacing w:line="276" w:lineRule="auto"/>
              <w:rPr>
                <w:rFonts w:ascii="Arial" w:hAnsi="Arial" w:eastAsia="Calibri" w:cs="Arial"/>
                <w:color w:val="000000" w:themeColor="text1"/>
                <w:sz w:val="22"/>
                <w:lang w:val="es-ES_tradnl"/>
              </w:rPr>
            </w:pPr>
            <w:r w:rsidRPr="00BB0780">
              <w:rPr>
                <w:rFonts w:ascii="Arial" w:hAnsi="Arial" w:eastAsia="Calibri" w:cs="Arial"/>
                <w:b/>
                <w:color w:val="000000" w:themeColor="text1"/>
                <w:sz w:val="22"/>
                <w:lang w:val="es-ES_tradnl"/>
              </w:rPr>
              <w:t>Temas:</w:t>
            </w:r>
            <w:r w:rsidRPr="00BB0780">
              <w:rPr>
                <w:rFonts w:ascii="Arial" w:hAnsi="Arial" w:eastAsia="Calibri" w:cs="Arial"/>
                <w:color w:val="000000" w:themeColor="text1"/>
                <w:sz w:val="22"/>
                <w:lang w:val="es-ES_tradnl"/>
              </w:rPr>
              <w:t xml:space="preserve">           </w:t>
            </w:r>
          </w:p>
          <w:p w:rsidRPr="00BB0780" w:rsidR="000920F0" w:rsidP="006C2E14" w:rsidRDefault="000920F0" w14:paraId="76A5E400" w14:textId="77777777">
            <w:pPr>
              <w:spacing w:line="276" w:lineRule="auto"/>
              <w:rPr>
                <w:rFonts w:ascii="Arial" w:hAnsi="Arial" w:eastAsia="Calibri" w:cs="Arial"/>
                <w:color w:val="000000" w:themeColor="text1"/>
                <w:sz w:val="22"/>
                <w:lang w:val="es-ES_tradnl"/>
              </w:rPr>
            </w:pPr>
            <w:r w:rsidRPr="00BB0780">
              <w:rPr>
                <w:rFonts w:ascii="Arial" w:hAnsi="Arial" w:eastAsia="Calibri" w:cs="Arial"/>
                <w:color w:val="000000" w:themeColor="text1"/>
                <w:sz w:val="22"/>
                <w:lang w:val="es-ES_tradnl"/>
              </w:rPr>
              <w:t xml:space="preserve">                           </w:t>
            </w:r>
          </w:p>
        </w:tc>
        <w:tc>
          <w:tcPr>
            <w:tcW w:w="6237" w:type="dxa"/>
            <w:hideMark/>
          </w:tcPr>
          <w:p w:rsidRPr="00BB0780" w:rsidR="000920F0" w:rsidP="00771868" w:rsidRDefault="00771868" w14:paraId="5528BC60" w14:textId="4F59066E">
            <w:pPr>
              <w:spacing w:line="276" w:lineRule="auto"/>
              <w:jc w:val="both"/>
              <w:rPr>
                <w:rFonts w:ascii="Arial" w:hAnsi="Arial" w:eastAsia="Calibri" w:cs="Arial"/>
                <w:color w:val="000000" w:themeColor="text1"/>
                <w:sz w:val="22"/>
              </w:rPr>
            </w:pPr>
            <w:r w:rsidRPr="00BB0780">
              <w:rPr>
                <w:rFonts w:ascii="Arial" w:hAnsi="Arial" w:eastAsia="Calibri" w:cs="Arial"/>
                <w:color w:val="000000" w:themeColor="text1"/>
                <w:sz w:val="22"/>
                <w:lang w:val="es-ES_tradnl"/>
              </w:rPr>
              <w:t xml:space="preserve">SECOP – Publicidad – Entidades de régimen especial – Reiteración de Concepto unificado CU-003 de 2020 / SECOP – Publicidad – Documentos / SECOP – Publicidad – Oportunidad – 3 días </w:t>
            </w:r>
          </w:p>
        </w:tc>
      </w:tr>
      <w:tr w:rsidRPr="00BB0780" w:rsidR="00771868" w:rsidTr="000460C0" w14:paraId="5C0B4203" w14:textId="77777777">
        <w:trPr>
          <w:trHeight w:val="303"/>
        </w:trPr>
        <w:tc>
          <w:tcPr>
            <w:tcW w:w="2689" w:type="dxa"/>
          </w:tcPr>
          <w:p w:rsidRPr="00BB0780" w:rsidR="000920F0" w:rsidP="0062279A" w:rsidRDefault="000920F0" w14:paraId="32E4E458" w14:textId="77777777">
            <w:pPr>
              <w:spacing w:before="60" w:after="60" w:line="276" w:lineRule="auto"/>
              <w:rPr>
                <w:rFonts w:ascii="Arial" w:hAnsi="Arial" w:eastAsia="Calibri" w:cs="Arial"/>
                <w:b/>
                <w:color w:val="000000" w:themeColor="text1"/>
                <w:sz w:val="22"/>
                <w:lang w:val="es-ES_tradnl"/>
              </w:rPr>
            </w:pPr>
            <w:r w:rsidRPr="00BB0780">
              <w:rPr>
                <w:rFonts w:ascii="Arial" w:hAnsi="Arial" w:eastAsia="Calibri" w:cs="Arial"/>
                <w:b/>
                <w:color w:val="000000" w:themeColor="text1"/>
                <w:sz w:val="22"/>
                <w:lang w:val="es-ES_tradnl"/>
              </w:rPr>
              <w:t>Radicación:</w:t>
            </w:r>
            <w:r w:rsidRPr="00BB0780">
              <w:rPr>
                <w:rFonts w:ascii="Arial" w:hAnsi="Arial" w:eastAsia="Calibri" w:cs="Arial"/>
                <w:color w:val="000000" w:themeColor="text1"/>
                <w:sz w:val="22"/>
                <w:lang w:val="es-ES_tradnl"/>
              </w:rPr>
              <w:t xml:space="preserve">                              </w:t>
            </w:r>
          </w:p>
        </w:tc>
        <w:tc>
          <w:tcPr>
            <w:tcW w:w="6237" w:type="dxa"/>
          </w:tcPr>
          <w:p w:rsidRPr="00BB0780" w:rsidR="000920F0" w:rsidP="0062279A" w:rsidRDefault="000920F0" w14:paraId="1218CA08" w14:textId="7E947F03">
            <w:pPr>
              <w:spacing w:before="60" w:after="60" w:line="276" w:lineRule="auto"/>
              <w:jc w:val="both"/>
              <w:rPr>
                <w:rFonts w:ascii="Arial" w:hAnsi="Arial" w:eastAsia="Calibri" w:cs="Arial"/>
                <w:color w:val="000000" w:themeColor="text1"/>
                <w:sz w:val="22"/>
                <w:lang w:val="es-ES_tradnl"/>
              </w:rPr>
            </w:pPr>
            <w:r w:rsidRPr="00BB0780">
              <w:rPr>
                <w:rFonts w:ascii="Arial" w:hAnsi="Arial" w:eastAsia="Calibri" w:cs="Arial"/>
                <w:color w:val="000000" w:themeColor="text1"/>
                <w:sz w:val="22"/>
                <w:lang w:val="es-ES_tradnl"/>
              </w:rPr>
              <w:t xml:space="preserve">Respuesta a consulta # </w:t>
            </w:r>
            <w:r w:rsidRPr="00BB0780" w:rsidR="00D60C9D">
              <w:rPr>
                <w:rFonts w:ascii="Arial" w:hAnsi="Arial" w:cs="Arial"/>
                <w:color w:val="000000" w:themeColor="text1"/>
                <w:sz w:val="22"/>
                <w:lang w:val="es-ES_tradnl"/>
              </w:rPr>
              <w:t>42020120000022</w:t>
            </w:r>
            <w:r w:rsidRPr="00BB0780" w:rsidR="00467803">
              <w:rPr>
                <w:rFonts w:ascii="Arial" w:hAnsi="Arial" w:cs="Arial"/>
                <w:color w:val="000000" w:themeColor="text1"/>
                <w:sz w:val="22"/>
                <w:lang w:val="es-ES_tradnl"/>
              </w:rPr>
              <w:t>87</w:t>
            </w:r>
          </w:p>
        </w:tc>
      </w:tr>
    </w:tbl>
    <w:p w:rsidRPr="00BB0780" w:rsidR="000920F0" w:rsidP="000920F0" w:rsidRDefault="000920F0" w14:paraId="36F05444" w14:textId="77777777">
      <w:pPr>
        <w:spacing w:line="276" w:lineRule="auto"/>
        <w:jc w:val="both"/>
        <w:rPr>
          <w:rFonts w:ascii="Arial" w:hAnsi="Arial" w:eastAsia="Calibri" w:cs="Arial"/>
          <w:color w:val="000000" w:themeColor="text1"/>
          <w:sz w:val="22"/>
          <w:lang w:val="es-ES_tradnl"/>
        </w:rPr>
      </w:pPr>
    </w:p>
    <w:p w:rsidRPr="00BB0780" w:rsidR="000920F0" w:rsidP="000920F0" w:rsidRDefault="000920F0" w14:paraId="3CDD931D" w14:textId="77777777">
      <w:pPr>
        <w:spacing w:line="276" w:lineRule="auto"/>
        <w:rPr>
          <w:rFonts w:ascii="Arial" w:hAnsi="Arial" w:eastAsia="Calibri" w:cs="Arial"/>
          <w:color w:val="000000" w:themeColor="text1"/>
          <w:sz w:val="22"/>
          <w:lang w:val="es-ES_tradnl"/>
        </w:rPr>
      </w:pPr>
    </w:p>
    <w:p w:rsidRPr="00BB0780" w:rsidR="000920F0" w:rsidP="000920F0" w:rsidRDefault="000920F0" w14:paraId="1B619448" w14:textId="79572F1B">
      <w:pPr>
        <w:spacing w:line="276" w:lineRule="auto"/>
        <w:rPr>
          <w:rFonts w:ascii="Arial" w:hAnsi="Arial" w:eastAsia="Calibri" w:cs="Arial"/>
          <w:color w:val="000000" w:themeColor="text1"/>
          <w:sz w:val="22"/>
          <w:lang w:val="es-ES_tradnl"/>
        </w:rPr>
      </w:pPr>
      <w:r w:rsidRPr="00BB0780">
        <w:rPr>
          <w:rFonts w:ascii="Arial" w:hAnsi="Arial" w:eastAsia="Calibri" w:cs="Arial"/>
          <w:color w:val="000000" w:themeColor="text1"/>
          <w:sz w:val="22"/>
          <w:lang w:val="es-ES_tradnl"/>
        </w:rPr>
        <w:t xml:space="preserve">Estimado </w:t>
      </w:r>
      <w:r w:rsidRPr="00BB0780" w:rsidR="00D60C9D">
        <w:rPr>
          <w:rFonts w:ascii="Arial" w:hAnsi="Arial" w:eastAsia="Calibri" w:cs="Arial"/>
          <w:color w:val="000000" w:themeColor="text1"/>
          <w:sz w:val="22"/>
          <w:lang w:val="es-ES_tradnl"/>
        </w:rPr>
        <w:t xml:space="preserve">señora </w:t>
      </w:r>
      <w:r w:rsidRPr="00BB0780" w:rsidR="00FC0074">
        <w:rPr>
          <w:rFonts w:ascii="Arial" w:hAnsi="Arial" w:eastAsia="Calibri" w:cs="Arial"/>
          <w:color w:val="000000" w:themeColor="text1"/>
          <w:sz w:val="22"/>
          <w:lang w:val="es-ES_tradnl"/>
        </w:rPr>
        <w:t>Arguello Vega</w:t>
      </w:r>
      <w:r w:rsidRPr="00BB0780">
        <w:rPr>
          <w:rFonts w:ascii="Arial" w:hAnsi="Arial" w:eastAsia="Calibri" w:cs="Arial"/>
          <w:color w:val="000000" w:themeColor="text1"/>
          <w:sz w:val="22"/>
          <w:lang w:val="es-ES_tradnl"/>
        </w:rPr>
        <w:t>,</w:t>
      </w:r>
    </w:p>
    <w:p w:rsidRPr="00BB0780" w:rsidR="000920F0" w:rsidP="000920F0" w:rsidRDefault="000920F0" w14:paraId="09825258" w14:textId="77777777">
      <w:pPr>
        <w:spacing w:line="276" w:lineRule="auto"/>
        <w:rPr>
          <w:rFonts w:ascii="Arial" w:hAnsi="Arial" w:eastAsia="Calibri" w:cs="Arial"/>
          <w:color w:val="000000" w:themeColor="text1"/>
          <w:sz w:val="22"/>
          <w:lang w:val="es-ES_tradnl"/>
        </w:rPr>
      </w:pPr>
    </w:p>
    <w:p w:rsidRPr="00BB0780" w:rsidR="000920F0" w:rsidP="000920F0" w:rsidRDefault="00541157" w14:paraId="679DB8AF" w14:textId="0D777296">
      <w:pPr>
        <w:tabs>
          <w:tab w:val="left" w:pos="426"/>
        </w:tabs>
        <w:spacing w:line="276" w:lineRule="auto"/>
        <w:jc w:val="both"/>
        <w:rPr>
          <w:rFonts w:ascii="Arial" w:hAnsi="Arial" w:eastAsia="Calibri" w:cs="Arial"/>
          <w:color w:val="000000" w:themeColor="text1"/>
          <w:sz w:val="22"/>
          <w:lang w:val="es-ES_tradnl"/>
        </w:rPr>
      </w:pPr>
      <w:r w:rsidRPr="00BB0780">
        <w:rPr>
          <w:rFonts w:ascii="Arial" w:hAnsi="Arial" w:eastAsia="Calibri" w:cs="Arial"/>
          <w:color w:val="000000" w:themeColor="text1"/>
          <w:sz w:val="22"/>
          <w:lang w:val="es-ES_tradnl"/>
        </w:rPr>
        <w:t>En ejercicio de la competencia otorgada por el numeral 8 del artículo 11 y el numeral 5 del artículo 3 del Decreto Ley 4170 de 2011, la</w:t>
      </w:r>
      <w:r w:rsidRPr="00BB0780" w:rsidR="000920F0">
        <w:rPr>
          <w:rFonts w:ascii="Arial" w:hAnsi="Arial" w:eastAsia="Calibri" w:cs="Arial"/>
          <w:color w:val="000000" w:themeColor="text1"/>
          <w:sz w:val="22"/>
          <w:lang w:val="es-ES_tradnl"/>
        </w:rPr>
        <w:t xml:space="preserve"> Agencia Nacional de Contratación Pública </w:t>
      </w:r>
      <w:r w:rsidRPr="00BB0780" w:rsidR="00771676">
        <w:rPr>
          <w:rFonts w:ascii="Arial" w:hAnsi="Arial" w:eastAsia="Calibri" w:cs="Arial"/>
          <w:color w:val="000000" w:themeColor="text1"/>
          <w:sz w:val="22"/>
          <w:lang w:val="es-ES_tradnl"/>
        </w:rPr>
        <w:t>−</w:t>
      </w:r>
      <w:r w:rsidRPr="00BB0780" w:rsidR="000920F0">
        <w:rPr>
          <w:rFonts w:ascii="Arial" w:hAnsi="Arial" w:eastAsia="Calibri" w:cs="Arial"/>
          <w:color w:val="000000" w:themeColor="text1"/>
          <w:sz w:val="22"/>
          <w:lang w:val="es-ES_tradnl"/>
        </w:rPr>
        <w:t xml:space="preserve"> Colombia Compra Eficiente responde su consulta del </w:t>
      </w:r>
      <w:r w:rsidRPr="00BB0780" w:rsidR="00556C28">
        <w:rPr>
          <w:rFonts w:ascii="Arial" w:hAnsi="Arial" w:eastAsia="Calibri" w:cs="Arial"/>
          <w:color w:val="000000" w:themeColor="text1"/>
          <w:sz w:val="22"/>
          <w:lang w:val="es-ES_tradnl"/>
        </w:rPr>
        <w:t>31</w:t>
      </w:r>
      <w:r w:rsidRPr="00BB0780" w:rsidR="005003FA">
        <w:rPr>
          <w:rFonts w:ascii="Arial" w:hAnsi="Arial" w:eastAsia="Calibri" w:cs="Arial"/>
          <w:color w:val="000000" w:themeColor="text1"/>
          <w:sz w:val="22"/>
          <w:lang w:val="es-ES_tradnl"/>
        </w:rPr>
        <w:t xml:space="preserve"> de marzo</w:t>
      </w:r>
      <w:r w:rsidRPr="00BB0780" w:rsidR="000920F0">
        <w:rPr>
          <w:rFonts w:ascii="Arial" w:hAnsi="Arial" w:eastAsia="Calibri" w:cs="Arial"/>
          <w:color w:val="000000" w:themeColor="text1"/>
          <w:sz w:val="22"/>
          <w:lang w:val="es-ES_tradnl"/>
        </w:rPr>
        <w:t xml:space="preserve"> de 2020</w:t>
      </w:r>
      <w:r w:rsidRPr="00BB0780" w:rsidR="00207E01">
        <w:rPr>
          <w:rFonts w:ascii="Arial" w:hAnsi="Arial" w:eastAsia="Calibri" w:cs="Arial"/>
          <w:color w:val="000000" w:themeColor="text1"/>
          <w:sz w:val="22"/>
          <w:lang w:val="es-ES_tradnl"/>
        </w:rPr>
        <w:t>.</w:t>
      </w:r>
      <w:r w:rsidRPr="00BB0780" w:rsidR="000920F0">
        <w:rPr>
          <w:rFonts w:ascii="Arial" w:hAnsi="Arial" w:eastAsia="Calibri" w:cs="Arial"/>
          <w:color w:val="000000" w:themeColor="text1"/>
          <w:sz w:val="22"/>
          <w:lang w:val="es-ES_tradnl"/>
        </w:rPr>
        <w:t xml:space="preserve"> </w:t>
      </w:r>
    </w:p>
    <w:p w:rsidRPr="00BB0780" w:rsidR="000920F0" w:rsidP="000920F0" w:rsidRDefault="000920F0" w14:paraId="28C2ECB0" w14:textId="77777777">
      <w:pPr>
        <w:tabs>
          <w:tab w:val="left" w:pos="426"/>
        </w:tabs>
        <w:spacing w:line="276" w:lineRule="auto"/>
        <w:jc w:val="both"/>
        <w:rPr>
          <w:rFonts w:ascii="Arial" w:hAnsi="Arial" w:eastAsia="Calibri" w:cs="Arial"/>
          <w:color w:val="000000" w:themeColor="text1"/>
          <w:sz w:val="22"/>
          <w:lang w:val="es-ES_tradnl"/>
        </w:rPr>
      </w:pPr>
    </w:p>
    <w:p w:rsidRPr="00BB0780" w:rsidR="000920F0" w:rsidP="000920F0" w:rsidRDefault="000920F0" w14:paraId="58FEF0FB" w14:textId="77777777">
      <w:pPr>
        <w:pStyle w:val="Prrafodelista"/>
        <w:numPr>
          <w:ilvl w:val="0"/>
          <w:numId w:val="6"/>
        </w:numPr>
        <w:tabs>
          <w:tab w:val="left" w:pos="284"/>
        </w:tabs>
        <w:spacing w:line="276" w:lineRule="auto"/>
        <w:ind w:left="0" w:firstLine="0"/>
        <w:jc w:val="both"/>
        <w:rPr>
          <w:rFonts w:ascii="Arial" w:hAnsi="Arial" w:eastAsia="Calibri" w:cs="Arial"/>
          <w:b/>
          <w:color w:val="000000" w:themeColor="text1"/>
          <w:sz w:val="22"/>
          <w:lang w:val="es-ES_tradnl"/>
        </w:rPr>
      </w:pPr>
      <w:r w:rsidRPr="00BB0780">
        <w:rPr>
          <w:rFonts w:ascii="Arial" w:hAnsi="Arial" w:eastAsia="Calibri" w:cs="Arial"/>
          <w:b/>
          <w:color w:val="000000" w:themeColor="text1"/>
          <w:sz w:val="22"/>
          <w:lang w:val="es-ES_tradnl"/>
        </w:rPr>
        <w:t xml:space="preserve">Problemas planteados </w:t>
      </w:r>
    </w:p>
    <w:p w:rsidRPr="00BB0780" w:rsidR="000920F0" w:rsidP="000920F0" w:rsidRDefault="000920F0" w14:paraId="476FAD3E" w14:textId="77777777">
      <w:pPr>
        <w:tabs>
          <w:tab w:val="left" w:pos="426"/>
        </w:tabs>
        <w:spacing w:line="276" w:lineRule="auto"/>
        <w:jc w:val="both"/>
        <w:rPr>
          <w:rFonts w:ascii="Arial" w:hAnsi="Arial" w:eastAsia="Calibri" w:cs="Arial"/>
          <w:b/>
          <w:color w:val="000000" w:themeColor="text1"/>
          <w:sz w:val="22"/>
          <w:lang w:val="es-ES_tradnl"/>
        </w:rPr>
      </w:pPr>
    </w:p>
    <w:p w:rsidRPr="00BB0780" w:rsidR="00EE4811" w:rsidP="00EE4811" w:rsidRDefault="000920F0" w14:paraId="5A01E3F9" w14:textId="05EB5A84">
      <w:pPr>
        <w:tabs>
          <w:tab w:val="left" w:pos="426"/>
        </w:tabs>
        <w:spacing w:line="276" w:lineRule="auto"/>
        <w:jc w:val="both"/>
        <w:rPr>
          <w:rFonts w:ascii="Arial" w:hAnsi="Arial" w:eastAsia="Calibri" w:cs="Arial"/>
          <w:color w:val="000000" w:themeColor="text1"/>
          <w:sz w:val="22"/>
          <w:lang w:val="es-ES_tradnl"/>
        </w:rPr>
      </w:pPr>
      <w:r w:rsidRPr="00BB0780">
        <w:rPr>
          <w:rFonts w:ascii="Arial" w:hAnsi="Arial" w:eastAsia="Calibri" w:cs="Arial"/>
          <w:color w:val="000000" w:themeColor="text1"/>
          <w:sz w:val="22"/>
          <w:lang w:val="es-ES_tradnl"/>
        </w:rPr>
        <w:t xml:space="preserve">Usted </w:t>
      </w:r>
      <w:r w:rsidRPr="00BB0780" w:rsidR="00FB710A">
        <w:rPr>
          <w:rFonts w:ascii="Arial" w:hAnsi="Arial" w:eastAsia="Calibri" w:cs="Arial"/>
          <w:color w:val="000000" w:themeColor="text1"/>
          <w:sz w:val="22"/>
          <w:lang w:val="es-ES_tradnl"/>
        </w:rPr>
        <w:t>pregunta</w:t>
      </w:r>
      <w:r w:rsidRPr="00BB0780" w:rsidR="00D24508">
        <w:rPr>
          <w:rFonts w:ascii="Arial" w:hAnsi="Arial" w:eastAsia="Calibri" w:cs="Arial"/>
          <w:color w:val="000000" w:themeColor="text1"/>
          <w:sz w:val="22"/>
          <w:lang w:val="es-ES_tradnl"/>
        </w:rPr>
        <w:t xml:space="preserve"> lo siguiente: </w:t>
      </w:r>
      <w:r w:rsidRPr="00BB0780" w:rsidR="00EE4811">
        <w:rPr>
          <w:rFonts w:ascii="Arial" w:hAnsi="Arial" w:eastAsia="Calibri" w:cs="Arial"/>
          <w:color w:val="000000" w:themeColor="text1"/>
          <w:sz w:val="22"/>
          <w:lang w:val="es-ES_tradnl"/>
        </w:rPr>
        <w:t>«¿</w:t>
      </w:r>
      <w:r w:rsidRPr="00BB0780" w:rsidR="008619A5">
        <w:rPr>
          <w:rFonts w:ascii="Arial" w:hAnsi="Arial" w:eastAsia="Calibri" w:cs="Arial"/>
          <w:color w:val="000000" w:themeColor="text1"/>
          <w:sz w:val="22"/>
          <w:lang w:val="es-ES_tradnl"/>
        </w:rPr>
        <w:t xml:space="preserve">en una entidad con régimen especial que documentos deben ser publicados en el </w:t>
      </w:r>
      <w:proofErr w:type="spellStart"/>
      <w:r w:rsidRPr="00BB0780" w:rsidR="008619A5">
        <w:rPr>
          <w:rFonts w:ascii="Arial" w:hAnsi="Arial" w:eastAsia="Calibri" w:cs="Arial"/>
          <w:color w:val="000000" w:themeColor="text1"/>
          <w:sz w:val="22"/>
          <w:lang w:val="es-ES_tradnl"/>
        </w:rPr>
        <w:t>secop</w:t>
      </w:r>
      <w:proofErr w:type="spellEnd"/>
      <w:r w:rsidRPr="00BB0780" w:rsidR="008619A5">
        <w:rPr>
          <w:rFonts w:ascii="Arial" w:hAnsi="Arial" w:eastAsia="Calibri" w:cs="Arial"/>
          <w:color w:val="000000" w:themeColor="text1"/>
          <w:sz w:val="22"/>
          <w:lang w:val="es-ES_tradnl"/>
        </w:rPr>
        <w:t>, si en el manual de contrataciones no hay estipulación de publicaciones</w:t>
      </w:r>
      <w:r w:rsidRPr="00BB0780" w:rsidR="004C14EB">
        <w:rPr>
          <w:rFonts w:ascii="Arial" w:hAnsi="Arial" w:eastAsia="Calibri" w:cs="Arial"/>
          <w:color w:val="000000" w:themeColor="text1"/>
          <w:sz w:val="22"/>
          <w:lang w:val="es-ES_tradnl"/>
        </w:rPr>
        <w:t>?</w:t>
      </w:r>
      <w:r w:rsidRPr="00BB0780" w:rsidR="00EE4811">
        <w:rPr>
          <w:rFonts w:ascii="Arial" w:hAnsi="Arial" w:eastAsia="Calibri" w:cs="Arial"/>
          <w:color w:val="000000" w:themeColor="text1"/>
          <w:sz w:val="22"/>
          <w:lang w:val="es-ES_tradnl"/>
        </w:rPr>
        <w:t>».</w:t>
      </w:r>
    </w:p>
    <w:p w:rsidRPr="00BB0780" w:rsidR="00EE4811" w:rsidP="00EE4811" w:rsidRDefault="00EE4811" w14:paraId="5B2CB774" w14:textId="77777777">
      <w:pPr>
        <w:tabs>
          <w:tab w:val="left" w:pos="426"/>
        </w:tabs>
        <w:spacing w:line="276" w:lineRule="auto"/>
        <w:jc w:val="both"/>
        <w:rPr>
          <w:rFonts w:ascii="Arial" w:hAnsi="Arial" w:eastAsia="Calibri" w:cs="Arial"/>
          <w:color w:val="000000" w:themeColor="text1"/>
          <w:sz w:val="22"/>
          <w:lang w:val="es-ES_tradnl"/>
        </w:rPr>
      </w:pPr>
    </w:p>
    <w:p w:rsidRPr="00BB0780" w:rsidR="000920F0" w:rsidP="000920F0" w:rsidRDefault="000920F0" w14:paraId="79882F8B" w14:textId="77777777">
      <w:pPr>
        <w:tabs>
          <w:tab w:val="left" w:pos="426"/>
        </w:tabs>
        <w:spacing w:line="276" w:lineRule="auto"/>
        <w:jc w:val="both"/>
        <w:rPr>
          <w:rFonts w:ascii="Arial" w:hAnsi="Arial" w:eastAsia="Calibri" w:cs="Arial"/>
          <w:b/>
          <w:color w:val="000000" w:themeColor="text1"/>
          <w:sz w:val="22"/>
          <w:lang w:val="es-ES_tradnl"/>
        </w:rPr>
      </w:pPr>
      <w:r w:rsidRPr="00BB0780">
        <w:rPr>
          <w:rFonts w:ascii="Arial" w:hAnsi="Arial" w:eastAsia="Calibri" w:cs="Arial"/>
          <w:b/>
          <w:color w:val="000000" w:themeColor="text1"/>
          <w:sz w:val="22"/>
          <w:lang w:val="es-ES_tradnl"/>
        </w:rPr>
        <w:t>2. Consideraciones</w:t>
      </w:r>
    </w:p>
    <w:bookmarkEnd w:id="0"/>
    <w:bookmarkEnd w:id="1"/>
    <w:p w:rsidRPr="00BB0780" w:rsidR="000920F0" w:rsidP="000920F0" w:rsidRDefault="000920F0" w14:paraId="7894E838" w14:textId="77777777">
      <w:pPr>
        <w:spacing w:line="276" w:lineRule="auto"/>
        <w:jc w:val="both"/>
        <w:rPr>
          <w:rFonts w:ascii="Arial" w:hAnsi="Arial" w:cs="Arial"/>
          <w:color w:val="000000" w:themeColor="text1"/>
          <w:sz w:val="22"/>
          <w:lang w:val="es-ES_tradnl"/>
        </w:rPr>
      </w:pPr>
    </w:p>
    <w:p w:rsidRPr="00BB0780" w:rsidR="00005156" w:rsidP="007A7968" w:rsidRDefault="00005156" w14:paraId="00E2DC3C" w14:textId="326D8446">
      <w:pPr>
        <w:spacing w:before="120" w:line="276" w:lineRule="auto"/>
        <w:jc w:val="both"/>
        <w:rPr>
          <w:rFonts w:ascii="Arial" w:hAnsi="Arial" w:eastAsia="Calibri" w:cs="Arial"/>
          <w:color w:val="000000" w:themeColor="text1"/>
          <w:sz w:val="22"/>
        </w:rPr>
      </w:pPr>
      <w:r w:rsidRPr="00BB0780">
        <w:rPr>
          <w:rFonts w:ascii="Arial" w:hAnsi="Arial" w:eastAsia="Calibri" w:cs="Arial"/>
          <w:bCs/>
          <w:color w:val="000000" w:themeColor="text1"/>
          <w:sz w:val="22"/>
        </w:rPr>
        <w:lastRenderedPageBreak/>
        <w:t xml:space="preserve">La Agencia Nacional de Contratación Pública estudió </w:t>
      </w:r>
      <w:r w:rsidRPr="00BB0780" w:rsidR="003462C7">
        <w:rPr>
          <w:rFonts w:ascii="Arial" w:hAnsi="Arial" w:eastAsia="Calibri" w:cs="Arial"/>
          <w:color w:val="000000" w:themeColor="text1"/>
          <w:sz w:val="22"/>
        </w:rPr>
        <w:t xml:space="preserve">el SECOP, como plataforma que las entidades deben utilizar para publicar la actividad contractual, </w:t>
      </w:r>
      <w:r w:rsidRPr="00BB0780">
        <w:rPr>
          <w:rFonts w:ascii="Arial" w:hAnsi="Arial" w:eastAsia="Calibri" w:cs="Arial"/>
          <w:bCs/>
          <w:color w:val="000000" w:themeColor="text1"/>
          <w:sz w:val="22"/>
        </w:rPr>
        <w:t xml:space="preserve">en la consulta </w:t>
      </w:r>
      <w:r w:rsidRPr="00BB0780" w:rsidR="00F62DD5">
        <w:rPr>
          <w:rFonts w:ascii="Arial" w:hAnsi="Arial" w:eastAsia="Calibri" w:cs="Arial"/>
          <w:bCs/>
          <w:color w:val="000000" w:themeColor="text1"/>
          <w:sz w:val="22"/>
        </w:rPr>
        <w:t xml:space="preserve">del 9 de agosto de 2019 y reiteró la posición en las siguientes consultas: del 25 de septiembre 4 de octubre y 18 y 13 de noviembre de 2019 −radicados Nos. </w:t>
      </w:r>
      <w:r w:rsidRPr="00BB0780">
        <w:rPr>
          <w:rFonts w:ascii="Arial" w:hAnsi="Arial" w:eastAsia="Calibri" w:cs="Arial"/>
          <w:bCs/>
          <w:color w:val="000000" w:themeColor="text1"/>
          <w:sz w:val="22"/>
        </w:rPr>
        <w:t>4201913000005397</w:t>
      </w:r>
      <w:r w:rsidRPr="00BB0780" w:rsidR="00F62DD5">
        <w:rPr>
          <w:rFonts w:ascii="Arial" w:hAnsi="Arial" w:eastAsia="Calibri" w:cs="Arial"/>
          <w:bCs/>
          <w:color w:val="000000" w:themeColor="text1"/>
          <w:sz w:val="22"/>
        </w:rPr>
        <w:t>,</w:t>
      </w:r>
      <w:r w:rsidRPr="00BB0780">
        <w:rPr>
          <w:rFonts w:ascii="Arial" w:hAnsi="Arial" w:eastAsia="Calibri" w:cs="Arial"/>
          <w:bCs/>
          <w:color w:val="000000" w:themeColor="text1"/>
          <w:sz w:val="22"/>
        </w:rPr>
        <w:t xml:space="preserve"> 4201912000006611</w:t>
      </w:r>
      <w:r w:rsidRPr="00BB0780" w:rsidR="00F62DD5">
        <w:rPr>
          <w:rFonts w:ascii="Arial" w:hAnsi="Arial" w:eastAsia="Calibri" w:cs="Arial"/>
          <w:bCs/>
          <w:color w:val="000000" w:themeColor="text1"/>
          <w:sz w:val="22"/>
        </w:rPr>
        <w:t>,</w:t>
      </w:r>
      <w:r w:rsidRPr="00BB0780">
        <w:rPr>
          <w:rFonts w:ascii="Arial" w:hAnsi="Arial" w:eastAsia="Calibri" w:cs="Arial"/>
          <w:bCs/>
          <w:color w:val="000000" w:themeColor="text1"/>
          <w:sz w:val="22"/>
        </w:rPr>
        <w:t xml:space="preserve"> 4201913000006847, 4201912000007762 y 4201912000007828</w:t>
      </w:r>
      <w:r w:rsidRPr="00BB0780" w:rsidR="00F62DD5">
        <w:rPr>
          <w:rFonts w:ascii="Arial" w:hAnsi="Arial" w:eastAsia="Calibri" w:cs="Arial"/>
          <w:bCs/>
          <w:color w:val="000000" w:themeColor="text1"/>
          <w:sz w:val="22"/>
        </w:rPr>
        <w:t>−</w:t>
      </w:r>
      <w:r w:rsidRPr="00BB0780">
        <w:rPr>
          <w:rFonts w:ascii="Arial" w:hAnsi="Arial" w:eastAsia="Calibri" w:cs="Arial"/>
          <w:bCs/>
          <w:color w:val="000000" w:themeColor="text1"/>
          <w:sz w:val="22"/>
        </w:rPr>
        <w:t>. Finalmente, en Concepto unificado C-003 de 2020</w:t>
      </w:r>
      <w:r w:rsidRPr="00BB0780" w:rsidR="0030098E">
        <w:rPr>
          <w:rFonts w:ascii="Arial" w:hAnsi="Arial" w:eastAsia="Calibri" w:cs="Arial"/>
          <w:bCs/>
          <w:color w:val="000000" w:themeColor="text1"/>
          <w:sz w:val="22"/>
        </w:rPr>
        <w:t>, cuya tesis se reiteró en los conceptos C-046, C-061, C-079, C-088, C-095, C-116, C-147</w:t>
      </w:r>
      <w:r w:rsidRPr="00BB0780" w:rsidR="008F11F6">
        <w:rPr>
          <w:rFonts w:ascii="Arial" w:hAnsi="Arial" w:eastAsia="Calibri" w:cs="Arial"/>
          <w:bCs/>
          <w:color w:val="000000" w:themeColor="text1"/>
          <w:sz w:val="22"/>
        </w:rPr>
        <w:t xml:space="preserve">, </w:t>
      </w:r>
      <w:r w:rsidRPr="00BB0780" w:rsidR="0030098E">
        <w:rPr>
          <w:rFonts w:ascii="Arial" w:hAnsi="Arial" w:eastAsia="Calibri" w:cs="Arial"/>
          <w:bCs/>
          <w:color w:val="000000" w:themeColor="text1"/>
          <w:sz w:val="22"/>
        </w:rPr>
        <w:t xml:space="preserve">C-149 </w:t>
      </w:r>
      <w:r w:rsidRPr="00BB0780" w:rsidR="008F11F6">
        <w:rPr>
          <w:rFonts w:ascii="Arial" w:hAnsi="Arial" w:eastAsia="Calibri" w:cs="Arial"/>
          <w:bCs/>
          <w:color w:val="000000" w:themeColor="text1"/>
          <w:sz w:val="22"/>
        </w:rPr>
        <w:t xml:space="preserve">y C-265 </w:t>
      </w:r>
      <w:r w:rsidRPr="00BB0780" w:rsidR="0030098E">
        <w:rPr>
          <w:rFonts w:ascii="Arial" w:hAnsi="Arial" w:eastAsia="Calibri" w:cs="Arial"/>
          <w:bCs/>
          <w:color w:val="000000" w:themeColor="text1"/>
          <w:sz w:val="22"/>
        </w:rPr>
        <w:t>de 2020,</w:t>
      </w:r>
      <w:r w:rsidRPr="00BB0780">
        <w:rPr>
          <w:rFonts w:ascii="Arial" w:hAnsi="Arial" w:eastAsia="Calibri" w:cs="Arial"/>
          <w:bCs/>
          <w:color w:val="000000" w:themeColor="text1"/>
          <w:sz w:val="22"/>
        </w:rPr>
        <w:t xml:space="preserve"> sostuvo la</w:t>
      </w:r>
      <w:r w:rsidRPr="00BB0780" w:rsidR="00F62DD5">
        <w:rPr>
          <w:rFonts w:ascii="Arial" w:hAnsi="Arial" w:eastAsia="Calibri" w:cs="Arial"/>
          <w:bCs/>
          <w:color w:val="000000" w:themeColor="text1"/>
          <w:sz w:val="22"/>
        </w:rPr>
        <w:t>s</w:t>
      </w:r>
      <w:r w:rsidRPr="00BB0780">
        <w:rPr>
          <w:rFonts w:ascii="Arial" w:hAnsi="Arial" w:eastAsia="Calibri" w:cs="Arial"/>
          <w:bCs/>
          <w:color w:val="000000" w:themeColor="text1"/>
          <w:sz w:val="22"/>
        </w:rPr>
        <w:t xml:space="preserve"> idea</w:t>
      </w:r>
      <w:r w:rsidRPr="00BB0780" w:rsidR="00F62DD5">
        <w:rPr>
          <w:rFonts w:ascii="Arial" w:hAnsi="Arial" w:eastAsia="Calibri" w:cs="Arial"/>
          <w:bCs/>
          <w:color w:val="000000" w:themeColor="text1"/>
          <w:sz w:val="22"/>
        </w:rPr>
        <w:t>s</w:t>
      </w:r>
      <w:r w:rsidRPr="00BB0780">
        <w:rPr>
          <w:rFonts w:ascii="Arial" w:hAnsi="Arial" w:eastAsia="Calibri" w:cs="Arial"/>
          <w:bCs/>
          <w:color w:val="000000" w:themeColor="text1"/>
          <w:sz w:val="22"/>
        </w:rPr>
        <w:t xml:space="preserve"> que se reitera</w:t>
      </w:r>
      <w:r w:rsidRPr="00BB0780" w:rsidR="00F62DD5">
        <w:rPr>
          <w:rFonts w:ascii="Arial" w:hAnsi="Arial" w:eastAsia="Calibri" w:cs="Arial"/>
          <w:bCs/>
          <w:color w:val="000000" w:themeColor="text1"/>
          <w:sz w:val="22"/>
        </w:rPr>
        <w:t>n</w:t>
      </w:r>
      <w:r w:rsidRPr="00BB0780">
        <w:rPr>
          <w:rFonts w:ascii="Arial" w:hAnsi="Arial" w:eastAsia="Calibri" w:cs="Arial"/>
          <w:bCs/>
          <w:color w:val="000000" w:themeColor="text1"/>
          <w:sz w:val="22"/>
        </w:rPr>
        <w:t xml:space="preserve"> a continuación</w:t>
      </w:r>
      <w:r w:rsidRPr="00BB0780" w:rsidR="0051365E">
        <w:rPr>
          <w:rFonts w:ascii="Arial" w:hAnsi="Arial" w:eastAsia="Calibri" w:cs="Arial"/>
          <w:bCs/>
          <w:color w:val="000000" w:themeColor="text1"/>
          <w:sz w:val="22"/>
        </w:rPr>
        <w:t>.</w:t>
      </w:r>
      <w:r w:rsidRPr="00BB0780">
        <w:rPr>
          <w:rFonts w:ascii="Arial" w:hAnsi="Arial" w:eastAsia="Calibri" w:cs="Arial"/>
          <w:bCs/>
          <w:color w:val="000000" w:themeColor="text1"/>
          <w:sz w:val="22"/>
        </w:rPr>
        <w:t xml:space="preserve"> </w:t>
      </w:r>
    </w:p>
    <w:p w:rsidRPr="00BB0780" w:rsidR="0073536E" w:rsidP="0062279A" w:rsidRDefault="0073536E" w14:paraId="06C95F72" w14:textId="01858C2E">
      <w:pPr>
        <w:spacing w:before="120" w:line="276" w:lineRule="auto"/>
        <w:ind w:firstLine="709"/>
        <w:jc w:val="both"/>
        <w:rPr>
          <w:rFonts w:ascii="Arial" w:hAnsi="Arial" w:eastAsia="Calibri" w:cs="Arial"/>
          <w:color w:val="000000" w:themeColor="text1"/>
          <w:sz w:val="22"/>
        </w:rPr>
      </w:pPr>
      <w:r w:rsidRPr="00BB0780">
        <w:rPr>
          <w:rFonts w:ascii="Arial" w:hAnsi="Arial" w:eastAsia="Calibri" w:cs="Arial"/>
          <w:color w:val="000000" w:themeColor="text1"/>
          <w:sz w:val="22"/>
        </w:rPr>
        <w:t xml:space="preserve">Para desarrollar los problemas planteados se explicará cómo el SECOP es la plataforma que las entidades deben utilizar para publicar la actividad contractual, para luego determinar los documentos contractuales que deben publicar las </w:t>
      </w:r>
      <w:r w:rsidRPr="00BB0780" w:rsidR="00CF3616">
        <w:rPr>
          <w:rFonts w:ascii="Arial" w:hAnsi="Arial" w:eastAsia="Calibri" w:cs="Arial"/>
          <w:color w:val="000000" w:themeColor="text1"/>
          <w:sz w:val="22"/>
        </w:rPr>
        <w:t>entidades</w:t>
      </w:r>
      <w:r w:rsidRPr="00BB0780">
        <w:rPr>
          <w:rFonts w:ascii="Arial" w:hAnsi="Arial" w:eastAsia="Calibri" w:cs="Arial"/>
          <w:color w:val="000000" w:themeColor="text1"/>
          <w:sz w:val="22"/>
        </w:rPr>
        <w:t xml:space="preserve"> de la naturaleza indicada en la petición, y</w:t>
      </w:r>
      <w:r w:rsidRPr="00BB0780" w:rsidR="00382B7C">
        <w:rPr>
          <w:rFonts w:ascii="Arial" w:hAnsi="Arial" w:eastAsia="Calibri" w:cs="Arial"/>
          <w:color w:val="000000" w:themeColor="text1"/>
          <w:sz w:val="22"/>
        </w:rPr>
        <w:t>,</w:t>
      </w:r>
      <w:r w:rsidRPr="00BB0780">
        <w:rPr>
          <w:rFonts w:ascii="Arial" w:hAnsi="Arial" w:eastAsia="Calibri" w:cs="Arial"/>
          <w:color w:val="000000" w:themeColor="text1"/>
          <w:sz w:val="22"/>
        </w:rPr>
        <w:t xml:space="preserve"> por último, indicar el momento de su publicación.</w:t>
      </w:r>
    </w:p>
    <w:p w:rsidRPr="00BB0780" w:rsidR="0073536E" w:rsidP="0073536E" w:rsidRDefault="0073536E" w14:paraId="765F516E" w14:textId="77777777">
      <w:pPr>
        <w:spacing w:line="276" w:lineRule="auto"/>
        <w:ind w:firstLine="709"/>
        <w:jc w:val="both"/>
        <w:rPr>
          <w:rFonts w:ascii="Arial" w:hAnsi="Arial" w:eastAsia="Calibri" w:cs="Arial"/>
          <w:color w:val="000000" w:themeColor="text1"/>
          <w:sz w:val="22"/>
        </w:rPr>
      </w:pPr>
      <w:r w:rsidRPr="00BB0780">
        <w:rPr>
          <w:rFonts w:ascii="Arial" w:hAnsi="Arial" w:eastAsia="Calibri" w:cs="Arial"/>
          <w:color w:val="000000" w:themeColor="text1"/>
          <w:sz w:val="22"/>
        </w:rPr>
        <w:t xml:space="preserve"> </w:t>
      </w:r>
    </w:p>
    <w:p w:rsidRPr="00BB0780" w:rsidR="0073536E" w:rsidP="0073536E" w:rsidRDefault="0073536E" w14:paraId="41C3F1EE" w14:textId="77777777">
      <w:pPr>
        <w:tabs>
          <w:tab w:val="left" w:pos="426"/>
        </w:tabs>
        <w:spacing w:line="276" w:lineRule="auto"/>
        <w:jc w:val="both"/>
        <w:rPr>
          <w:rFonts w:ascii="Arial" w:hAnsi="Arial" w:eastAsia="Calibri" w:cs="Arial"/>
          <w:b/>
          <w:color w:val="000000" w:themeColor="text1"/>
          <w:sz w:val="22"/>
        </w:rPr>
      </w:pPr>
      <w:r w:rsidRPr="00BB0780">
        <w:rPr>
          <w:rFonts w:ascii="Arial" w:hAnsi="Arial" w:eastAsia="Calibri" w:cs="Arial"/>
          <w:b/>
          <w:color w:val="000000" w:themeColor="text1"/>
          <w:sz w:val="22"/>
        </w:rPr>
        <w:t>2.1. Publicidad de los contratos en el Sistema Electrónico de Contratación Pública –SECOP–</w:t>
      </w:r>
    </w:p>
    <w:p w:rsidRPr="00BB0780" w:rsidR="0073536E" w:rsidP="0073536E" w:rsidRDefault="0073536E" w14:paraId="152512CD" w14:textId="764DE668">
      <w:pPr>
        <w:spacing w:before="120" w:after="120" w:line="276" w:lineRule="auto"/>
        <w:jc w:val="both"/>
        <w:rPr>
          <w:rFonts w:ascii="Arial" w:hAnsi="Arial" w:cs="Arial"/>
          <w:color w:val="000000" w:themeColor="text1"/>
          <w:sz w:val="22"/>
        </w:rPr>
      </w:pPr>
      <w:r w:rsidRPr="00BB0780">
        <w:rPr>
          <w:rFonts w:ascii="Arial" w:hAnsi="Arial" w:eastAsia="Calibri" w:cs="Arial"/>
          <w:bCs/>
          <w:color w:val="000000" w:themeColor="text1"/>
          <w:sz w:val="22"/>
        </w:rPr>
        <w:t xml:space="preserve">La Agencia Nacional de Contratación Pública estudió por primera vez este tema en la consulta No. 4201913000005397 del 9 de agosto de 2019 y reiteró la posición en las siguientes consultas: 4201912000006611 del 25 de septiembre de 2019, </w:t>
      </w:r>
      <w:r w:rsidRPr="00BB0780">
        <w:rPr>
          <w:rFonts w:ascii="Arial" w:hAnsi="Arial" w:cs="Arial"/>
          <w:color w:val="000000" w:themeColor="text1"/>
          <w:sz w:val="22"/>
        </w:rPr>
        <w:t xml:space="preserve">4201913000006847 del 4 de octubre de 2019, </w:t>
      </w:r>
      <w:r w:rsidRPr="00BB0780">
        <w:rPr>
          <w:rFonts w:ascii="Arial" w:hAnsi="Arial" w:eastAsia="Calibri" w:cs="Arial"/>
          <w:bCs/>
          <w:color w:val="000000" w:themeColor="text1"/>
          <w:sz w:val="22"/>
        </w:rPr>
        <w:t>4201912000007762 del 18 de noviembre de 2019, y en la consulta 4201912000007828 del 13 de noviembre de 2019</w:t>
      </w:r>
      <w:r w:rsidRPr="00BB0780">
        <w:rPr>
          <w:rFonts w:ascii="Arial" w:hAnsi="Arial" w:cs="Arial"/>
          <w:color w:val="000000" w:themeColor="text1"/>
          <w:sz w:val="22"/>
        </w:rPr>
        <w:t>.</w:t>
      </w:r>
      <w:r w:rsidRPr="00BB0780" w:rsidR="003308BA">
        <w:rPr>
          <w:rFonts w:ascii="Arial" w:hAnsi="Arial" w:cs="Arial"/>
          <w:color w:val="000000" w:themeColor="text1"/>
          <w:sz w:val="22"/>
        </w:rPr>
        <w:t xml:space="preserve"> </w:t>
      </w:r>
      <w:r w:rsidRPr="00BB0780">
        <w:rPr>
          <w:rFonts w:ascii="Arial" w:hAnsi="Arial" w:cs="Arial"/>
          <w:color w:val="000000" w:themeColor="text1"/>
          <w:sz w:val="22"/>
        </w:rPr>
        <w:t>Finalmente, en el Concepto CU</w:t>
      </w:r>
      <w:r w:rsidRPr="00BB0780" w:rsidR="003308BA">
        <w:rPr>
          <w:rFonts w:ascii="Arial" w:hAnsi="Arial" w:cs="Arial"/>
          <w:color w:val="000000" w:themeColor="text1"/>
          <w:sz w:val="22"/>
        </w:rPr>
        <w:t>−</w:t>
      </w:r>
      <w:r w:rsidRPr="00BB0780">
        <w:rPr>
          <w:rFonts w:ascii="Arial" w:hAnsi="Arial" w:cs="Arial"/>
          <w:color w:val="000000" w:themeColor="text1"/>
          <w:sz w:val="22"/>
        </w:rPr>
        <w:t xml:space="preserve">003 de 15 de enero 2020, unificó la tesis sobre el particular. </w:t>
      </w:r>
      <w:r w:rsidRPr="00BB0780">
        <w:rPr>
          <w:rFonts w:ascii="Arial" w:hAnsi="Arial" w:eastAsia="Calibri" w:cs="Arial"/>
          <w:color w:val="000000" w:themeColor="text1"/>
          <w:sz w:val="22"/>
        </w:rPr>
        <w:t>En esta sostuvo la idea que se reitera a continuación:</w:t>
      </w:r>
    </w:p>
    <w:p w:rsidRPr="00BB0780" w:rsidR="0073536E" w:rsidP="0073536E" w:rsidRDefault="0073536E" w14:paraId="4A4F060F" w14:textId="77777777">
      <w:pPr>
        <w:spacing w:line="276" w:lineRule="auto"/>
        <w:ind w:firstLine="708"/>
        <w:jc w:val="both"/>
        <w:rPr>
          <w:rFonts w:ascii="Arial" w:hAnsi="Arial" w:cs="Arial"/>
          <w:color w:val="000000" w:themeColor="text1"/>
          <w:sz w:val="22"/>
        </w:rPr>
      </w:pPr>
      <w:r w:rsidRPr="00BB0780">
        <w:rPr>
          <w:rFonts w:ascii="Arial" w:hAnsi="Arial" w:eastAsia="Calibri" w:cs="Arial"/>
          <w:color w:val="000000" w:themeColor="text1"/>
          <w:sz w:val="22"/>
        </w:rPr>
        <w:t xml:space="preserve">Para la Corte Constitucional, el principio de publicidad es la garantía que tienen las personas de conocer las actuaciones judiciales y administrativas y con base en ese </w:t>
      </w:r>
      <w:r w:rsidRPr="00BB0780">
        <w:rPr>
          <w:rFonts w:ascii="Arial" w:hAnsi="Arial" w:cs="Arial"/>
          <w:color w:val="000000" w:themeColor="text1"/>
          <w:sz w:val="22"/>
        </w:rPr>
        <w:t xml:space="preserve">conocimiento tener la posibilidad de exigir que se surtan conforme a la ley: </w:t>
      </w:r>
    </w:p>
    <w:p w:rsidRPr="00BB0780" w:rsidR="0073536E" w:rsidP="0073536E" w:rsidRDefault="0073536E" w14:paraId="54A84125" w14:textId="77777777">
      <w:pPr>
        <w:ind w:firstLine="708"/>
        <w:jc w:val="both"/>
        <w:rPr>
          <w:rFonts w:ascii="Arial" w:hAnsi="Arial" w:cs="Arial"/>
          <w:color w:val="000000" w:themeColor="text1"/>
          <w:sz w:val="22"/>
        </w:rPr>
      </w:pPr>
    </w:p>
    <w:p w:rsidRPr="00BB0780" w:rsidR="0073536E" w:rsidP="0073536E" w:rsidRDefault="0073536E" w14:paraId="55D7FE29" w14:textId="164A590F">
      <w:pPr>
        <w:ind w:left="708"/>
        <w:jc w:val="both"/>
        <w:rPr>
          <w:rFonts w:ascii="Arial" w:hAnsi="Arial" w:cs="Arial"/>
          <w:color w:val="000000" w:themeColor="text1"/>
          <w:sz w:val="21"/>
          <w:szCs w:val="21"/>
        </w:rPr>
      </w:pPr>
      <w:r w:rsidRPr="00BB0780">
        <w:rPr>
          <w:rFonts w:ascii="Arial" w:hAnsi="Arial" w:cs="Arial"/>
          <w:color w:val="000000" w:themeColor="text1"/>
          <w:sz w:val="21"/>
          <w:szCs w:val="21"/>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rsidRPr="00BB0780" w:rsidR="004C58AC" w:rsidP="0073536E" w:rsidRDefault="004C58AC" w14:paraId="3D47527E" w14:textId="77777777">
      <w:pPr>
        <w:ind w:left="708"/>
        <w:jc w:val="both"/>
        <w:rPr>
          <w:rFonts w:ascii="Arial" w:hAnsi="Arial" w:cs="Arial"/>
          <w:color w:val="000000" w:themeColor="text1"/>
          <w:sz w:val="21"/>
          <w:szCs w:val="21"/>
        </w:rPr>
      </w:pPr>
    </w:p>
    <w:p w:rsidRPr="00BB0780" w:rsidR="0073536E" w:rsidP="0073536E" w:rsidRDefault="0073536E" w14:paraId="5A3E3CF1" w14:textId="77777777">
      <w:pPr>
        <w:ind w:left="708"/>
        <w:jc w:val="both"/>
        <w:rPr>
          <w:rFonts w:ascii="Arial" w:hAnsi="Arial" w:cs="Arial"/>
          <w:color w:val="000000" w:themeColor="text1"/>
          <w:sz w:val="21"/>
          <w:szCs w:val="21"/>
        </w:rPr>
      </w:pPr>
      <w:r w:rsidRPr="00BB0780">
        <w:rPr>
          <w:rFonts w:ascii="Arial" w:hAnsi="Arial" w:cs="Arial"/>
          <w:color w:val="000000" w:themeColor="text1"/>
          <w:sz w:val="21"/>
          <w:szCs w:val="21"/>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BB0780">
        <w:rPr>
          <w:rFonts w:ascii="Arial" w:hAnsi="Arial" w:cs="Arial"/>
          <w:color w:val="000000" w:themeColor="text1"/>
          <w:sz w:val="21"/>
          <w:szCs w:val="21"/>
        </w:rPr>
        <w:t>autoridades públicas</w:t>
      </w:r>
      <w:proofErr w:type="gramEnd"/>
      <w:r w:rsidRPr="00BB0780">
        <w:rPr>
          <w:rFonts w:ascii="Arial" w:hAnsi="Arial" w:cs="Arial"/>
          <w:color w:val="000000" w:themeColor="text1"/>
          <w:sz w:val="21"/>
          <w:szCs w:val="21"/>
        </w:rPr>
        <w:t xml:space="preserve"> y, a través de ese conocimiento, a exigir que ellas se surtan conforme a la ley</w:t>
      </w:r>
      <w:r w:rsidRPr="00BB0780">
        <w:rPr>
          <w:rStyle w:val="Refdenotaalpie"/>
          <w:rFonts w:ascii="Arial" w:hAnsi="Arial" w:cs="Arial"/>
          <w:color w:val="000000" w:themeColor="text1"/>
          <w:sz w:val="21"/>
          <w:szCs w:val="21"/>
        </w:rPr>
        <w:footnoteReference w:id="1"/>
      </w:r>
      <w:r w:rsidRPr="00BB0780">
        <w:rPr>
          <w:rFonts w:ascii="Arial" w:hAnsi="Arial" w:cs="Arial"/>
          <w:color w:val="000000" w:themeColor="text1"/>
          <w:sz w:val="21"/>
          <w:szCs w:val="21"/>
        </w:rPr>
        <w:t>.</w:t>
      </w:r>
    </w:p>
    <w:p w:rsidRPr="00BB0780" w:rsidR="0073536E" w:rsidP="0073536E" w:rsidRDefault="0073536E" w14:paraId="20B4BF6C" w14:textId="77777777">
      <w:pPr>
        <w:ind w:firstLine="708"/>
        <w:jc w:val="both"/>
        <w:rPr>
          <w:rFonts w:ascii="Arial" w:hAnsi="Arial" w:cs="Arial"/>
          <w:color w:val="000000" w:themeColor="text1"/>
          <w:sz w:val="21"/>
          <w:szCs w:val="21"/>
        </w:rPr>
      </w:pPr>
    </w:p>
    <w:p w:rsidRPr="00BB0780" w:rsidR="0073536E" w:rsidP="0073536E" w:rsidRDefault="0073536E" w14:paraId="51204BDA" w14:textId="77777777">
      <w:pPr>
        <w:spacing w:line="276" w:lineRule="auto"/>
        <w:ind w:firstLine="708"/>
        <w:jc w:val="both"/>
        <w:rPr>
          <w:rFonts w:ascii="Arial" w:hAnsi="Arial" w:eastAsia="Calibri" w:cs="Arial"/>
          <w:color w:val="000000" w:themeColor="text1"/>
          <w:sz w:val="22"/>
        </w:rPr>
      </w:pPr>
      <w:r w:rsidRPr="00BB0780">
        <w:rPr>
          <w:rFonts w:ascii="Arial" w:hAnsi="Arial" w:cs="Arial"/>
          <w:color w:val="000000" w:themeColor="text1"/>
          <w:sz w:val="22"/>
        </w:rPr>
        <w:t>El principio de publicidad impone a las autoridades administrativas el deber de dar</w:t>
      </w:r>
      <w:r w:rsidRPr="00BB0780">
        <w:rPr>
          <w:rFonts w:ascii="Arial" w:hAnsi="Arial" w:eastAsia="Calibri" w:cs="Arial"/>
          <w:color w:val="000000" w:themeColor="text1"/>
          <w:sz w:val="22"/>
        </w:rPr>
        <w:t xml:space="preserve"> a conocer sus actos, contratos y decisiones, para que se divulguen y eventualmente se controlen las actuaciones. </w:t>
      </w:r>
    </w:p>
    <w:p w:rsidRPr="00BB0780" w:rsidR="0073536E" w:rsidP="0073536E" w:rsidRDefault="0073536E" w14:paraId="5F0ADE2F" w14:textId="258D0BDC">
      <w:pPr>
        <w:spacing w:before="120" w:after="120" w:line="276" w:lineRule="auto"/>
        <w:ind w:firstLine="709"/>
        <w:jc w:val="both"/>
        <w:rPr>
          <w:rFonts w:ascii="Arial" w:hAnsi="Arial" w:eastAsia="Calibri" w:cs="Arial"/>
          <w:color w:val="000000" w:themeColor="text1"/>
          <w:sz w:val="22"/>
        </w:rPr>
      </w:pPr>
      <w:r w:rsidRPr="00BB0780">
        <w:rPr>
          <w:rFonts w:ascii="Arial" w:hAnsi="Arial" w:eastAsia="Calibri" w:cs="Arial"/>
          <w:color w:val="000000" w:themeColor="text1"/>
          <w:sz w:val="22"/>
        </w:rPr>
        <w:t>El literal c) del artículo 3 de la Ley 1150 de 2007 establece que el Sistema Electrónico para la Contratación Pública «contará con la información oficial de la contratación realizada con dineros públicos, para lo cual establecerá los patrones a que haya lugar y se encargará de su difusión a través de canales electrónicos»</w:t>
      </w:r>
      <w:r w:rsidRPr="00BB0780">
        <w:rPr>
          <w:rFonts w:ascii="Arial" w:hAnsi="Arial" w:eastAsia="Calibri" w:cs="Arial"/>
          <w:color w:val="000000" w:themeColor="text1"/>
          <w:sz w:val="22"/>
          <w:vertAlign w:val="superscript"/>
        </w:rPr>
        <w:footnoteReference w:id="2"/>
      </w:r>
      <w:r w:rsidRPr="00BB0780">
        <w:rPr>
          <w:rFonts w:ascii="Arial" w:hAnsi="Arial" w:eastAsia="Calibri" w:cs="Arial"/>
          <w:color w:val="000000" w:themeColor="text1"/>
          <w:sz w:val="22"/>
        </w:rPr>
        <w:t xml:space="preserve">. </w:t>
      </w:r>
    </w:p>
    <w:p w:rsidRPr="00BB0780" w:rsidR="0073536E" w:rsidP="0073536E" w:rsidRDefault="0073536E" w14:paraId="3EFA91CF" w14:textId="77777777">
      <w:pPr>
        <w:spacing w:before="120" w:after="120" w:line="276" w:lineRule="auto"/>
        <w:ind w:firstLine="709"/>
        <w:jc w:val="both"/>
        <w:rPr>
          <w:rFonts w:ascii="Arial" w:hAnsi="Arial" w:eastAsia="Calibri" w:cs="Arial"/>
          <w:color w:val="000000" w:themeColor="text1"/>
          <w:sz w:val="22"/>
        </w:rPr>
      </w:pPr>
      <w:r w:rsidRPr="00BB0780">
        <w:rPr>
          <w:rFonts w:ascii="Arial" w:hAnsi="Arial" w:cs="Arial"/>
          <w:color w:val="000000" w:themeColor="text1"/>
          <w:sz w:val="22"/>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BB0780">
        <w:rPr>
          <w:rFonts w:ascii="Arial" w:hAnsi="Arial" w:cs="Arial"/>
          <w:color w:val="000000" w:themeColor="text1"/>
          <w:sz w:val="22"/>
          <w:vertAlign w:val="superscript"/>
        </w:rPr>
        <w:footnoteReference w:id="3"/>
      </w:r>
      <w:r w:rsidRPr="00BB0780">
        <w:rPr>
          <w:rFonts w:ascii="Arial" w:hAnsi="Arial" w:cs="Arial"/>
          <w:color w:val="000000" w:themeColor="text1"/>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rsidRPr="00BB0780" w:rsidR="0073536E" w:rsidP="0073536E" w:rsidRDefault="0073536E" w14:paraId="2DB878C8" w14:textId="77777777">
      <w:pPr>
        <w:spacing w:before="120" w:after="120" w:line="276" w:lineRule="auto"/>
        <w:ind w:firstLine="709"/>
        <w:jc w:val="both"/>
        <w:rPr>
          <w:rFonts w:ascii="Arial" w:hAnsi="Arial" w:cs="Arial"/>
          <w:color w:val="000000" w:themeColor="text1"/>
          <w:sz w:val="22"/>
        </w:rPr>
      </w:pPr>
      <w:r w:rsidRPr="00BB0780">
        <w:rPr>
          <w:rFonts w:ascii="Arial" w:hAnsi="Arial" w:cs="Arial"/>
          <w:color w:val="000000" w:themeColor="text1"/>
          <w:sz w:val="22"/>
        </w:rPr>
        <w:t>La ley citada establece, en el literal e) del artículo 9, que los sujetos obligados, que son todas las entidades públicas</w:t>
      </w:r>
      <w:r w:rsidRPr="00BB0780">
        <w:rPr>
          <w:rFonts w:ascii="Arial" w:hAnsi="Arial" w:cs="Arial"/>
          <w:color w:val="000000" w:themeColor="text1"/>
          <w:sz w:val="22"/>
          <w:vertAlign w:val="superscript"/>
        </w:rPr>
        <w:footnoteReference w:id="4"/>
      </w:r>
      <w:r w:rsidRPr="00BB0780">
        <w:rPr>
          <w:rFonts w:ascii="Arial" w:hAnsi="Arial" w:cs="Arial"/>
          <w:color w:val="000000" w:themeColor="text1"/>
          <w:sz w:val="22"/>
        </w:rPr>
        <w:t xml:space="preserve">, deben publicar la información relativa a su contratación. </w:t>
      </w:r>
      <w:r w:rsidRPr="00BB0780">
        <w:rPr>
          <w:rFonts w:ascii="Arial" w:hAnsi="Arial" w:cs="Arial"/>
          <w:color w:val="000000" w:themeColor="text1"/>
          <w:sz w:val="22"/>
        </w:rPr>
        <w:lastRenderedPageBreak/>
        <w:t>Esta obligación fue desarrollada por el Decreto Único Reglamentario 1081 de 2015</w:t>
      </w:r>
      <w:r w:rsidRPr="00BB0780">
        <w:rPr>
          <w:rFonts w:ascii="Arial" w:hAnsi="Arial" w:cs="Arial"/>
          <w:color w:val="000000" w:themeColor="text1"/>
          <w:sz w:val="22"/>
          <w:vertAlign w:val="superscript"/>
        </w:rPr>
        <w:footnoteReference w:id="5"/>
      </w:r>
      <w:r w:rsidRPr="00BB0780">
        <w:rPr>
          <w:rFonts w:ascii="Arial" w:hAnsi="Arial" w:cs="Arial"/>
          <w:color w:val="000000" w:themeColor="text1"/>
          <w:sz w:val="22"/>
        </w:rPr>
        <w:t>, el cual dispuso que la publicación de la información contractual de los sujetos obligados, que contratan con cargo a recursos públicos, debe hacerse en el Sistema Electrónico de Contratación Pública ─ SECOP.</w:t>
      </w:r>
    </w:p>
    <w:p w:rsidRPr="00BB0780" w:rsidR="0073536E" w:rsidP="0073536E" w:rsidRDefault="0073536E" w14:paraId="18FE6E8B" w14:textId="77777777">
      <w:pPr>
        <w:spacing w:before="120" w:after="120" w:line="276" w:lineRule="auto"/>
        <w:ind w:firstLine="709"/>
        <w:jc w:val="both"/>
        <w:rPr>
          <w:rFonts w:ascii="Arial" w:hAnsi="Arial" w:cs="Arial"/>
          <w:color w:val="000000" w:themeColor="text1"/>
          <w:sz w:val="22"/>
          <w:lang w:val="es-ES"/>
        </w:rPr>
      </w:pPr>
      <w:r w:rsidRPr="00BB0780">
        <w:rPr>
          <w:rFonts w:ascii="Arial" w:hAnsi="Arial" w:cs="Arial"/>
          <w:color w:val="000000" w:themeColor="text1"/>
          <w:sz w:val="22"/>
        </w:rPr>
        <w:t xml:space="preserve">Asimismo, de </w:t>
      </w:r>
      <w:r w:rsidRPr="00BB0780">
        <w:rPr>
          <w:rFonts w:ascii="Arial" w:hAnsi="Arial" w:cs="Arial"/>
          <w:color w:val="000000" w:themeColor="text1"/>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rsidRPr="00BB0780" w:rsidR="0073536E" w:rsidP="0073536E" w:rsidRDefault="0073536E" w14:paraId="73E394D2" w14:textId="77777777">
      <w:pPr>
        <w:spacing w:before="120" w:after="120" w:line="276" w:lineRule="auto"/>
        <w:ind w:firstLine="709"/>
        <w:jc w:val="both"/>
        <w:rPr>
          <w:rFonts w:ascii="Arial" w:hAnsi="Arial" w:eastAsia="Calibri" w:cs="Arial"/>
          <w:color w:val="000000" w:themeColor="text1"/>
          <w:sz w:val="22"/>
        </w:rPr>
      </w:pPr>
      <w:r w:rsidRPr="00BB0780">
        <w:rPr>
          <w:rFonts w:ascii="Arial" w:hAnsi="Arial" w:eastAsia="Calibri" w:cs="Arial"/>
          <w:color w:val="000000" w:themeColor="text1"/>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BB0780">
        <w:rPr>
          <w:rFonts w:ascii="Arial" w:hAnsi="Arial" w:eastAsia="Calibri" w:cs="Arial"/>
          <w:color w:val="000000" w:themeColor="text1"/>
          <w:sz w:val="22"/>
          <w:vertAlign w:val="superscript"/>
        </w:rPr>
        <w:footnoteReference w:id="6"/>
      </w:r>
      <w:r w:rsidRPr="00BB0780">
        <w:rPr>
          <w:rFonts w:ascii="Arial" w:hAnsi="Arial" w:eastAsia="Calibri" w:cs="Arial"/>
          <w:color w:val="000000" w:themeColor="text1"/>
          <w:sz w:val="22"/>
        </w:rPr>
        <w:t>.</w:t>
      </w:r>
    </w:p>
    <w:p w:rsidRPr="00BB0780" w:rsidR="0073536E" w:rsidP="0073536E" w:rsidRDefault="0073536E" w14:paraId="7CD143AE" w14:textId="77777777">
      <w:pPr>
        <w:spacing w:before="120" w:after="120" w:line="276" w:lineRule="auto"/>
        <w:ind w:firstLine="709"/>
        <w:jc w:val="both"/>
        <w:rPr>
          <w:rFonts w:ascii="Arial" w:hAnsi="Arial" w:cs="Arial"/>
          <w:color w:val="000000" w:themeColor="text1"/>
          <w:sz w:val="22"/>
          <w:lang w:val="es-ES"/>
        </w:rPr>
      </w:pPr>
      <w:r w:rsidRPr="00BB0780">
        <w:rPr>
          <w:rFonts w:ascii="Arial" w:hAnsi="Arial" w:cs="Arial"/>
          <w:color w:val="000000" w:themeColor="text1"/>
          <w:sz w:val="22"/>
          <w:lang w:val="es-ES"/>
        </w:rPr>
        <w:t>Para el año 2013, la Agencia Nacional de Contratación Pública ─ Colombia Compra Eficiente, mediante la mediante la Circular Externa No 1 del 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BB0780">
        <w:rPr>
          <w:rFonts w:ascii="Arial" w:hAnsi="Arial" w:cs="Arial"/>
          <w:color w:val="000000" w:themeColor="text1"/>
          <w:sz w:val="22"/>
          <w:vertAlign w:val="superscript"/>
          <w:lang w:val="es-ES"/>
        </w:rPr>
        <w:footnoteReference w:id="7"/>
      </w:r>
      <w:r w:rsidRPr="00BB0780">
        <w:rPr>
          <w:rFonts w:ascii="Arial" w:hAnsi="Arial" w:cs="Arial"/>
          <w:color w:val="000000" w:themeColor="text1"/>
          <w:sz w:val="22"/>
          <w:lang w:val="es-ES"/>
        </w:rPr>
        <w:t xml:space="preserve">. Además, la Circular Externa Única, en el numeral 1.1., establece, de manera enunciativa, que deben publicar en el SECOP: «2. Las entidades del Estado que tienen un régimen especial de contratación, siempre y cuando el contrato ejecute o tenga como fuente de financiación </w:t>
      </w:r>
      <w:r w:rsidRPr="00BB0780">
        <w:rPr>
          <w:rFonts w:ascii="Arial" w:hAnsi="Arial" w:cs="Arial"/>
          <w:color w:val="000000" w:themeColor="text1"/>
          <w:sz w:val="22"/>
          <w:lang w:val="es-ES"/>
        </w:rPr>
        <w:lastRenderedPageBreak/>
        <w:t>dineros públicos, sin importar su proporción, a través del módulo [Régimen Especial], de acuerdo con lo establecido en su propio manual de contratación».</w:t>
      </w:r>
    </w:p>
    <w:p w:rsidRPr="00BB0780" w:rsidR="0073536E" w:rsidP="0073536E" w:rsidRDefault="0073536E" w14:paraId="031E731C" w14:textId="77777777">
      <w:pPr>
        <w:spacing w:line="276" w:lineRule="auto"/>
        <w:ind w:firstLine="709"/>
        <w:jc w:val="both"/>
        <w:rPr>
          <w:rFonts w:ascii="Arial" w:hAnsi="Arial" w:cs="Arial"/>
          <w:color w:val="000000" w:themeColor="text1"/>
          <w:sz w:val="22"/>
          <w:lang w:val="es-ES"/>
        </w:rPr>
      </w:pPr>
      <w:r w:rsidRPr="00BB0780">
        <w:rPr>
          <w:rFonts w:ascii="Arial" w:hAnsi="Arial" w:cs="Arial"/>
          <w:color w:val="000000" w:themeColor="text1"/>
          <w:sz w:val="22"/>
          <w:lang w:val="es-ES"/>
        </w:rPr>
        <w:t>El debate sobre la obligatoriedad o no de publicar en el SECOP, para las entidades con régimen especial de contratación, ya fue definido, al menos de manera preliminar, por el Consejo de Estado, que expresó que la obligación prevista en la Circular Externa No. 1 se ajusta a la normativa superior:</w:t>
      </w:r>
    </w:p>
    <w:p w:rsidRPr="00BB0780" w:rsidR="0073536E" w:rsidP="0073536E" w:rsidRDefault="0073536E" w14:paraId="4232A741" w14:textId="77777777">
      <w:pPr>
        <w:ind w:firstLine="709"/>
        <w:jc w:val="both"/>
        <w:rPr>
          <w:rFonts w:ascii="Arial" w:hAnsi="Arial" w:cs="Arial"/>
          <w:color w:val="000000" w:themeColor="text1"/>
          <w:sz w:val="22"/>
          <w:lang w:val="es-ES"/>
        </w:rPr>
      </w:pPr>
    </w:p>
    <w:p w:rsidRPr="00BB0780" w:rsidR="0073536E" w:rsidP="0073536E" w:rsidRDefault="0073536E" w14:paraId="2C47374B" w14:textId="77777777">
      <w:pPr>
        <w:tabs>
          <w:tab w:val="left" w:pos="3885"/>
        </w:tabs>
        <w:ind w:left="709" w:right="709"/>
        <w:jc w:val="both"/>
        <w:rPr>
          <w:rFonts w:ascii="Arial" w:hAnsi="Arial" w:cs="Arial"/>
          <w:color w:val="000000" w:themeColor="text1"/>
          <w:sz w:val="21"/>
          <w:szCs w:val="21"/>
          <w:lang w:val="es-ES"/>
        </w:rPr>
      </w:pPr>
      <w:r w:rsidRPr="00BB0780">
        <w:rPr>
          <w:rFonts w:ascii="Arial" w:hAnsi="Arial" w:cs="Arial"/>
          <w:color w:val="000000" w:themeColor="text1"/>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rsidRPr="00BB0780" w:rsidR="0073536E" w:rsidP="0073536E" w:rsidRDefault="0073536E" w14:paraId="4320F816" w14:textId="77777777">
      <w:pPr>
        <w:tabs>
          <w:tab w:val="left" w:pos="3885"/>
        </w:tabs>
        <w:ind w:left="709" w:right="709"/>
        <w:jc w:val="both"/>
        <w:rPr>
          <w:rFonts w:ascii="Arial" w:hAnsi="Arial" w:cs="Arial"/>
          <w:color w:val="000000" w:themeColor="text1"/>
          <w:sz w:val="21"/>
          <w:szCs w:val="21"/>
          <w:lang w:val="es-ES"/>
        </w:rPr>
      </w:pPr>
    </w:p>
    <w:p w:rsidRPr="00BB0780" w:rsidR="0073536E" w:rsidP="0073536E" w:rsidRDefault="0073536E" w14:paraId="62DA348A" w14:textId="77777777">
      <w:pPr>
        <w:tabs>
          <w:tab w:val="left" w:pos="3885"/>
        </w:tabs>
        <w:ind w:left="709" w:right="709"/>
        <w:jc w:val="both"/>
        <w:rPr>
          <w:rFonts w:ascii="Arial" w:hAnsi="Arial" w:cs="Arial"/>
          <w:color w:val="000000" w:themeColor="text1"/>
          <w:sz w:val="21"/>
          <w:szCs w:val="21"/>
          <w:lang w:val="es-ES"/>
        </w:rPr>
      </w:pPr>
      <w:r w:rsidRPr="00BB0780">
        <w:rPr>
          <w:rFonts w:ascii="Arial" w:hAnsi="Arial" w:cs="Arial"/>
          <w:color w:val="000000" w:themeColor="text1"/>
          <w:sz w:val="21"/>
          <w:szCs w:val="21"/>
          <w:lang w:val="es-ES"/>
        </w:rPr>
        <w:t>11.5. ─Y es que, si se quiere en términos más detallados el literal c) del artículo 3o de la Ley en comento responde claramente las siguientes inquietudes: ¿Quiénes están obligados? los que realizan contratación con dineros públicos; ¿</w:t>
      </w:r>
      <w:proofErr w:type="gramStart"/>
      <w:r w:rsidRPr="00BB0780">
        <w:rPr>
          <w:rFonts w:ascii="Arial" w:hAnsi="Arial" w:cs="Arial"/>
          <w:color w:val="000000" w:themeColor="text1"/>
          <w:sz w:val="21"/>
          <w:szCs w:val="21"/>
          <w:lang w:val="es-ES"/>
        </w:rPr>
        <w:t>en razón de</w:t>
      </w:r>
      <w:proofErr w:type="gramEnd"/>
      <w:r w:rsidRPr="00BB0780">
        <w:rPr>
          <w:rFonts w:ascii="Arial" w:hAnsi="Arial" w:cs="Arial"/>
          <w:color w:val="000000" w:themeColor="text1"/>
          <w:sz w:val="21"/>
          <w:szCs w:val="21"/>
          <w:lang w:val="es-ES"/>
        </w:rPr>
        <w:t xml:space="preserv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rsidRPr="00BB0780" w:rsidR="0073536E" w:rsidP="0073536E" w:rsidRDefault="0073536E" w14:paraId="681E7616" w14:textId="77777777">
      <w:pPr>
        <w:tabs>
          <w:tab w:val="left" w:pos="3885"/>
        </w:tabs>
        <w:ind w:left="709" w:right="709"/>
        <w:jc w:val="both"/>
        <w:rPr>
          <w:rFonts w:ascii="Arial" w:hAnsi="Arial" w:cs="Arial"/>
          <w:color w:val="000000" w:themeColor="text1"/>
          <w:sz w:val="21"/>
          <w:szCs w:val="21"/>
          <w:lang w:val="es-ES"/>
        </w:rPr>
      </w:pPr>
      <w:r w:rsidRPr="00BB0780">
        <w:rPr>
          <w:rFonts w:ascii="Arial" w:hAnsi="Arial" w:cs="Arial"/>
          <w:color w:val="000000" w:themeColor="text1"/>
          <w:sz w:val="21"/>
          <w:szCs w:val="21"/>
          <w:lang w:val="es-ES"/>
        </w:rPr>
        <w:t>[…]</w:t>
      </w:r>
    </w:p>
    <w:p w:rsidRPr="00BB0780" w:rsidR="0073536E" w:rsidP="0073536E" w:rsidRDefault="0073536E" w14:paraId="73A50FAB" w14:textId="77777777">
      <w:pPr>
        <w:tabs>
          <w:tab w:val="left" w:pos="3885"/>
        </w:tabs>
        <w:ind w:left="709" w:right="709"/>
        <w:jc w:val="both"/>
        <w:rPr>
          <w:rFonts w:ascii="Arial" w:hAnsi="Arial" w:cs="Arial"/>
          <w:color w:val="000000" w:themeColor="text1"/>
          <w:sz w:val="21"/>
          <w:szCs w:val="21"/>
          <w:lang w:val="es-ES"/>
        </w:rPr>
      </w:pPr>
    </w:p>
    <w:p w:rsidRPr="00BB0780" w:rsidR="0073536E" w:rsidP="0073536E" w:rsidRDefault="0073536E" w14:paraId="1E56FF9F" w14:textId="77777777">
      <w:pPr>
        <w:tabs>
          <w:tab w:val="left" w:pos="3885"/>
        </w:tabs>
        <w:ind w:left="709" w:right="709"/>
        <w:jc w:val="both"/>
        <w:rPr>
          <w:rFonts w:ascii="Arial" w:hAnsi="Arial" w:cs="Arial"/>
          <w:color w:val="000000" w:themeColor="text1"/>
          <w:sz w:val="21"/>
          <w:szCs w:val="21"/>
          <w:lang w:val="es-ES"/>
        </w:rPr>
      </w:pPr>
      <w:r w:rsidRPr="00BB0780">
        <w:rPr>
          <w:rFonts w:ascii="Arial" w:hAnsi="Arial" w:cs="Arial"/>
          <w:color w:val="000000" w:themeColor="text1"/>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BB0780">
        <w:rPr>
          <w:rFonts w:ascii="Arial" w:hAnsi="Arial" w:cs="Arial"/>
          <w:color w:val="000000" w:themeColor="text1"/>
          <w:sz w:val="21"/>
          <w:szCs w:val="21"/>
          <w:vertAlign w:val="superscript"/>
        </w:rPr>
        <w:footnoteReference w:id="8"/>
      </w:r>
      <w:r w:rsidRPr="00BB0780">
        <w:rPr>
          <w:rFonts w:ascii="Arial" w:hAnsi="Arial" w:cs="Arial"/>
          <w:color w:val="000000" w:themeColor="text1"/>
          <w:sz w:val="21"/>
          <w:szCs w:val="21"/>
          <w:lang w:val="es-ES"/>
        </w:rPr>
        <w:t>.</w:t>
      </w:r>
    </w:p>
    <w:p w:rsidRPr="00BB0780" w:rsidR="0073536E" w:rsidP="0073536E" w:rsidRDefault="0073536E" w14:paraId="0A992AD7" w14:textId="77777777">
      <w:pPr>
        <w:tabs>
          <w:tab w:val="left" w:pos="3885"/>
        </w:tabs>
        <w:spacing w:line="276" w:lineRule="auto"/>
        <w:ind w:left="709" w:right="709"/>
        <w:jc w:val="both"/>
        <w:rPr>
          <w:rFonts w:ascii="Arial" w:hAnsi="Arial" w:cs="Arial"/>
          <w:color w:val="000000" w:themeColor="text1"/>
          <w:sz w:val="21"/>
          <w:szCs w:val="21"/>
          <w:lang w:val="es-ES"/>
        </w:rPr>
      </w:pPr>
    </w:p>
    <w:p w:rsidRPr="00BB0780" w:rsidR="0073536E" w:rsidP="0073536E" w:rsidRDefault="0073536E" w14:paraId="310D36CC" w14:textId="77777777">
      <w:pPr>
        <w:spacing w:line="276" w:lineRule="auto"/>
        <w:ind w:firstLine="708"/>
        <w:jc w:val="both"/>
        <w:rPr>
          <w:rFonts w:ascii="Arial" w:hAnsi="Arial" w:cs="Arial"/>
          <w:color w:val="000000" w:themeColor="text1"/>
          <w:sz w:val="22"/>
          <w:lang w:val="es-ES"/>
        </w:rPr>
      </w:pPr>
      <w:r w:rsidRPr="00BB0780">
        <w:rPr>
          <w:rFonts w:ascii="Arial" w:hAnsi="Arial" w:cs="Arial"/>
          <w:color w:val="000000" w:themeColor="text1"/>
          <w:sz w:val="22"/>
          <w:lang w:val="es-ES"/>
        </w:rPr>
        <w:t xml:space="preserve">Adicionalmente, el deber de hacer pública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rsidRPr="00BB0780" w:rsidR="0073536E" w:rsidP="0073536E" w:rsidRDefault="0073536E" w14:paraId="62FC0EE4" w14:textId="77777777">
      <w:pPr>
        <w:ind w:firstLine="708"/>
        <w:jc w:val="both"/>
        <w:rPr>
          <w:rFonts w:ascii="Arial" w:hAnsi="Arial" w:cs="Arial"/>
          <w:color w:val="000000" w:themeColor="text1"/>
          <w:sz w:val="21"/>
          <w:szCs w:val="21"/>
          <w:lang w:val="es-ES"/>
        </w:rPr>
      </w:pPr>
    </w:p>
    <w:p w:rsidRPr="00BB0780" w:rsidR="0073536E" w:rsidP="0073536E" w:rsidRDefault="0073536E" w14:paraId="7AD43869" w14:textId="77777777">
      <w:pPr>
        <w:ind w:left="708" w:leftChars="295" w:right="709"/>
        <w:jc w:val="both"/>
        <w:rPr>
          <w:rFonts w:ascii="Arial" w:hAnsi="Arial" w:cs="Arial"/>
          <w:color w:val="000000" w:themeColor="text1"/>
          <w:sz w:val="21"/>
          <w:szCs w:val="21"/>
          <w:lang w:val="es-ES"/>
        </w:rPr>
      </w:pPr>
      <w:r w:rsidRPr="00BB0780">
        <w:rPr>
          <w:rFonts w:ascii="Arial" w:hAnsi="Arial" w:cs="Arial"/>
          <w:color w:val="000000" w:themeColor="text1"/>
          <w:sz w:val="21"/>
          <w:szCs w:val="21"/>
          <w:lang w:val="es-ES"/>
        </w:rPr>
        <w:lastRenderedPageBreak/>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rsidRPr="00BB0780" w:rsidR="0073536E" w:rsidP="0073536E" w:rsidRDefault="0073536E" w14:paraId="3A851074" w14:textId="77777777">
      <w:pPr>
        <w:ind w:left="708" w:leftChars="295" w:right="709"/>
        <w:jc w:val="both"/>
        <w:rPr>
          <w:rFonts w:ascii="Arial" w:hAnsi="Arial" w:cs="Arial"/>
          <w:color w:val="000000" w:themeColor="text1"/>
          <w:sz w:val="21"/>
          <w:szCs w:val="21"/>
          <w:lang w:val="es-ES"/>
        </w:rPr>
      </w:pPr>
    </w:p>
    <w:p w:rsidRPr="00BB0780" w:rsidR="0073536E" w:rsidP="0073536E" w:rsidRDefault="0073536E" w14:paraId="1DD4F2CE" w14:textId="48D8346E">
      <w:pPr>
        <w:spacing w:before="120" w:after="120" w:line="276" w:lineRule="auto"/>
        <w:ind w:firstLine="709"/>
        <w:jc w:val="both"/>
        <w:rPr>
          <w:rFonts w:ascii="Arial" w:hAnsi="Arial" w:cs="Arial"/>
          <w:color w:val="000000" w:themeColor="text1"/>
          <w:sz w:val="22"/>
          <w:lang w:val="es-ES"/>
        </w:rPr>
      </w:pPr>
      <w:r w:rsidRPr="00BB0780">
        <w:rPr>
          <w:rFonts w:ascii="Arial" w:hAnsi="Arial" w:cs="Arial"/>
          <w:color w:val="000000" w:themeColor="text1"/>
          <w:sz w:val="22"/>
          <w:lang w:val="es-ES"/>
        </w:rPr>
        <w:t xml:space="preserve">Nótese, entonces, que 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de Colombia Compra Eficiente, un pronunciamiento del Consejo de Estado. </w:t>
      </w:r>
    </w:p>
    <w:p w:rsidRPr="00BB0780" w:rsidR="0073536E" w:rsidP="0073536E" w:rsidRDefault="0073536E" w14:paraId="0D739950" w14:textId="77777777">
      <w:pPr>
        <w:spacing w:line="276" w:lineRule="auto"/>
        <w:ind w:firstLine="709"/>
        <w:jc w:val="both"/>
        <w:rPr>
          <w:rFonts w:ascii="Arial" w:hAnsi="Arial" w:cs="Arial"/>
          <w:color w:val="000000" w:themeColor="text1"/>
          <w:sz w:val="22"/>
          <w:lang w:val="es-ES"/>
        </w:rPr>
      </w:pPr>
      <w:r w:rsidRPr="00BB0780">
        <w:rPr>
          <w:rFonts w:ascii="Arial" w:hAnsi="Arial" w:cs="Arial"/>
          <w:color w:val="000000" w:themeColor="text1"/>
          <w:sz w:val="22"/>
          <w:lang w:val="es-ES"/>
        </w:rPr>
        <w:t xml:space="preserve">Dentro de los fundamentos que consideró el máximo tribunal de lo contencioso administrativo, no tuvo en cuenta razones de orden fáctico, relativas a las responsabilidades de las entidades o su posible afectación en la competitividad para aquellas que operan en diferentes mercados. La razón relevante es que si la entidad contrata con dineros públicos debe publicar su proceso de contratación en el SECOP. </w:t>
      </w:r>
    </w:p>
    <w:p w:rsidRPr="00BB0780" w:rsidR="0073536E" w:rsidP="0073536E" w:rsidRDefault="0073536E" w14:paraId="26CD48B0" w14:textId="77777777">
      <w:pPr>
        <w:spacing w:line="276" w:lineRule="auto"/>
        <w:ind w:firstLine="709"/>
        <w:jc w:val="both"/>
        <w:rPr>
          <w:rFonts w:ascii="Arial" w:hAnsi="Arial" w:eastAsia="Calibri" w:cs="Arial"/>
          <w:color w:val="000000" w:themeColor="text1"/>
          <w:sz w:val="22"/>
          <w:lang w:val="es-ES"/>
        </w:rPr>
      </w:pPr>
    </w:p>
    <w:p w:rsidRPr="00BB0780" w:rsidR="0073536E" w:rsidP="0073536E" w:rsidRDefault="0073536E" w14:paraId="2C6A4B60" w14:textId="77777777">
      <w:pPr>
        <w:tabs>
          <w:tab w:val="left" w:pos="284"/>
          <w:tab w:val="left" w:pos="426"/>
        </w:tabs>
        <w:spacing w:line="276" w:lineRule="auto"/>
        <w:jc w:val="both"/>
        <w:rPr>
          <w:rFonts w:ascii="Arial" w:hAnsi="Arial" w:cs="Arial"/>
          <w:b/>
          <w:color w:val="000000" w:themeColor="text1"/>
          <w:sz w:val="22"/>
          <w:lang w:val="es-ES"/>
        </w:rPr>
      </w:pPr>
      <w:r w:rsidRPr="00BB0780">
        <w:rPr>
          <w:rFonts w:ascii="Arial" w:hAnsi="Arial" w:cs="Arial"/>
          <w:b/>
          <w:color w:val="000000" w:themeColor="text1"/>
          <w:sz w:val="22"/>
          <w:lang w:val="es-ES"/>
        </w:rPr>
        <w:t>2.2. Documentos que publican las entidades de régimen especial en el SECOP y término para hacerlo</w:t>
      </w:r>
    </w:p>
    <w:p w:rsidRPr="00BB0780" w:rsidR="0073536E" w:rsidP="0073536E" w:rsidRDefault="0073536E" w14:paraId="04DA67A3" w14:textId="77777777">
      <w:pPr>
        <w:tabs>
          <w:tab w:val="left" w:pos="284"/>
          <w:tab w:val="left" w:pos="426"/>
        </w:tabs>
        <w:spacing w:line="276" w:lineRule="auto"/>
        <w:ind w:left="142"/>
        <w:jc w:val="both"/>
        <w:rPr>
          <w:rFonts w:ascii="Arial" w:hAnsi="Arial" w:cs="Arial"/>
          <w:b/>
          <w:color w:val="000000" w:themeColor="text1"/>
          <w:sz w:val="22"/>
          <w:lang w:val="es-ES"/>
        </w:rPr>
      </w:pPr>
    </w:p>
    <w:p w:rsidRPr="00BB0780" w:rsidR="0073536E" w:rsidP="0073536E" w:rsidRDefault="0073536E" w14:paraId="49C68FD0" w14:textId="17095820">
      <w:pPr>
        <w:spacing w:line="276" w:lineRule="auto"/>
        <w:jc w:val="both"/>
        <w:rPr>
          <w:rFonts w:ascii="Arial" w:hAnsi="Arial" w:eastAsia="Calibri" w:cs="Arial"/>
          <w:color w:val="000000" w:themeColor="text1"/>
          <w:sz w:val="22"/>
          <w:lang w:val="es-ES"/>
        </w:rPr>
      </w:pPr>
      <w:r w:rsidRPr="00BB0780">
        <w:rPr>
          <w:rFonts w:ascii="Arial" w:hAnsi="Arial" w:eastAsia="Calibri" w:cs="Arial"/>
          <w:color w:val="000000" w:themeColor="text1"/>
          <w:sz w:val="22"/>
          <w:lang w:val="es-ES"/>
        </w:rPr>
        <w:t xml:space="preserve">Determinada la obligación que tienen las entidades sujetas a un régimen especial de publicar su actividad contractual en el SECOP, a </w:t>
      </w:r>
      <w:r w:rsidRPr="00BB0780" w:rsidR="003308BA">
        <w:rPr>
          <w:rFonts w:ascii="Arial" w:hAnsi="Arial" w:eastAsia="Calibri" w:cs="Arial"/>
          <w:color w:val="000000" w:themeColor="text1"/>
          <w:sz w:val="22"/>
          <w:lang w:val="es-ES"/>
        </w:rPr>
        <w:t>continuación,</w:t>
      </w:r>
      <w:r w:rsidRPr="00BB0780">
        <w:rPr>
          <w:rFonts w:ascii="Arial" w:hAnsi="Arial" w:eastAsia="Calibri" w:cs="Arial"/>
          <w:color w:val="000000" w:themeColor="text1"/>
          <w:sz w:val="22"/>
          <w:lang w:val="es-ES"/>
        </w:rPr>
        <w:t xml:space="preserve"> se identificarán los documentos que deben publicar, n</w:t>
      </w:r>
      <w:r w:rsidRPr="00BB0780">
        <w:rPr>
          <w:rFonts w:ascii="Arial" w:hAnsi="Arial" w:cs="Arial"/>
          <w:bCs/>
          <w:color w:val="000000" w:themeColor="text1"/>
          <w:sz w:val="22"/>
          <w:lang w:val="es-ES"/>
        </w:rPr>
        <w:t>o sin antes explicar la posición que la Agencia Nacional de Contratación Pública ─ Colombia Compra Eficiente ha adoptado desde el 2016 hasta el 2019.</w:t>
      </w:r>
    </w:p>
    <w:p w:rsidRPr="00BB0780" w:rsidR="0073536E" w:rsidP="0073536E" w:rsidRDefault="0073536E" w14:paraId="6187EFDC" w14:textId="77777777">
      <w:pPr>
        <w:spacing w:line="276" w:lineRule="auto"/>
        <w:ind w:firstLine="708"/>
        <w:jc w:val="both"/>
        <w:rPr>
          <w:rFonts w:ascii="Arial" w:hAnsi="Arial" w:eastAsia="Calibri" w:cs="Arial"/>
          <w:color w:val="000000" w:themeColor="text1"/>
          <w:sz w:val="22"/>
          <w:lang w:val="es-ES"/>
        </w:rPr>
      </w:pPr>
      <w:r w:rsidRPr="00BB0780">
        <w:rPr>
          <w:rFonts w:ascii="Arial" w:hAnsi="Arial" w:cs="Arial"/>
          <w:bCs/>
          <w:color w:val="000000" w:themeColor="text1"/>
          <w:sz w:val="22"/>
          <w:lang w:val="es-ES"/>
        </w:rPr>
        <w:t>En la consulta identificada con el Radicado No. 41612000877 del 15 de febrero de 2016, señaló que las empresas industriales y comerciales del Estado, las empresas de servicios públicos domiciliarios y las sociedades de economía mixta, todas sometidas a un régimen especial de contratación, debían publicar en el SECOP todos los documentos del proceso que define el Decreto 1082 de 2015, así como lo relativo a la ejecución del contrato. Lo anterior se fundamentó en el literal c) del artículo 3 de la Ley 1150 de 2007</w:t>
      </w:r>
      <w:r w:rsidRPr="00BB0780">
        <w:rPr>
          <w:rFonts w:ascii="Arial" w:hAnsi="Arial" w:cs="Arial"/>
          <w:bCs/>
          <w:color w:val="000000" w:themeColor="text1"/>
          <w:sz w:val="22"/>
          <w:vertAlign w:val="superscript"/>
          <w:lang w:val="es-ES"/>
        </w:rPr>
        <w:footnoteReference w:id="9"/>
      </w:r>
      <w:r w:rsidRPr="00BB0780">
        <w:rPr>
          <w:rFonts w:ascii="Arial" w:hAnsi="Arial" w:cs="Arial"/>
          <w:bCs/>
          <w:color w:val="000000" w:themeColor="text1"/>
          <w:sz w:val="22"/>
          <w:lang w:val="es-ES"/>
        </w:rPr>
        <w:t>.</w:t>
      </w:r>
    </w:p>
    <w:p w:rsidRPr="00BB0780" w:rsidR="0073536E" w:rsidP="0073536E" w:rsidRDefault="0073536E" w14:paraId="3709A7D5" w14:textId="77777777">
      <w:pPr>
        <w:spacing w:before="120" w:after="120" w:line="276" w:lineRule="auto"/>
        <w:ind w:firstLine="709"/>
        <w:jc w:val="both"/>
        <w:rPr>
          <w:rFonts w:ascii="Arial" w:hAnsi="Arial" w:eastAsia="Calibri" w:cs="Arial"/>
          <w:color w:val="000000" w:themeColor="text1"/>
          <w:sz w:val="22"/>
          <w:lang w:val="es-ES"/>
        </w:rPr>
      </w:pPr>
      <w:r w:rsidRPr="00BB0780">
        <w:rPr>
          <w:rFonts w:ascii="Arial" w:hAnsi="Arial" w:cs="Arial"/>
          <w:color w:val="000000" w:themeColor="text1"/>
          <w:sz w:val="22"/>
          <w:lang w:val="es-ES"/>
        </w:rPr>
        <w:lastRenderedPageBreak/>
        <w:t xml:space="preserve">En este sentido, la Agencia Nacional de Contratación Pública, en virtud del literal c) del artículo 3 de la Ley 1150 de 2007, reconoció la obligatoriedad, por parte de las entidades de régimen especial, de publicar su actividad contractual en el SECOP. Ahora, con fundamento en el artículo 2.2.1.1.1.3.1 del Decreto 1082 de 2015, normativa que aplica a las entidades que se rigen por la Ley 80 de 1993, se enunciaron los </w:t>
      </w:r>
      <w:r w:rsidRPr="00BB0780">
        <w:rPr>
          <w:rFonts w:ascii="Arial" w:hAnsi="Arial" w:eastAsia="Calibri" w:cs="Arial"/>
          <w:color w:val="000000" w:themeColor="text1"/>
          <w:sz w:val="22"/>
          <w:lang w:val="es-ES"/>
        </w:rPr>
        <w:t xml:space="preserve">documentos del proceso que se debían publicar. </w:t>
      </w:r>
    </w:p>
    <w:p w:rsidRPr="00BB0780" w:rsidR="0073536E" w:rsidP="0073536E" w:rsidRDefault="0073536E" w14:paraId="08787937" w14:textId="77777777">
      <w:pPr>
        <w:spacing w:before="120" w:after="120" w:line="276" w:lineRule="auto"/>
        <w:ind w:firstLine="709"/>
        <w:jc w:val="both"/>
        <w:rPr>
          <w:rFonts w:ascii="Arial" w:hAnsi="Arial" w:eastAsia="Calibri" w:cs="Arial"/>
          <w:color w:val="000000" w:themeColor="text1"/>
          <w:sz w:val="22"/>
          <w:lang w:val="es-ES"/>
        </w:rPr>
      </w:pPr>
      <w:r w:rsidRPr="00BB0780">
        <w:rPr>
          <w:rFonts w:ascii="Arial" w:hAnsi="Arial" w:eastAsia="Calibri" w:cs="Arial"/>
          <w:color w:val="000000" w:themeColor="text1"/>
          <w:sz w:val="22"/>
          <w:lang w:val="es-ES"/>
        </w:rPr>
        <w:t>Posteriormente, en el año 2018, cambió el fundamento normativo que define los documentos que las entidades de régimen especial debían publicar en el SECOP. En el concepto con radicado No. 4201814000008329 del 8 de octubre de 2018 se dijo que en virtud del artículo 11 de la Ley 1712 de 2014, los destinatarios de las normas contenidas en la ley de transparencia deben publicar los procedimientos, lineamientos, políticas en materia de adquisiciones y compras, así como todos los datos de adjudicación y ejecución de contratos, incluidos concursos y licitaciones. Por lo tanto, los documentos que se deben publicar serán los previstos en el manual de contratación de cada entidad de régimen especial para la adquisición de un bien o servicio, y no los que define el artículo 2.2.1.1.1.3.1 del Decreto 1082 de 2015</w:t>
      </w:r>
      <w:r w:rsidRPr="00BB0780">
        <w:rPr>
          <w:rFonts w:ascii="Arial" w:hAnsi="Arial" w:eastAsia="Calibri" w:cs="Arial"/>
          <w:color w:val="000000" w:themeColor="text1"/>
          <w:sz w:val="22"/>
          <w:vertAlign w:val="superscript"/>
          <w:lang w:val="es-ES"/>
        </w:rPr>
        <w:footnoteReference w:id="10"/>
      </w:r>
      <w:r w:rsidRPr="00BB0780">
        <w:rPr>
          <w:rFonts w:ascii="Arial" w:hAnsi="Arial" w:eastAsia="Calibri" w:cs="Arial"/>
          <w:color w:val="000000" w:themeColor="text1"/>
          <w:sz w:val="22"/>
          <w:lang w:val="es-ES"/>
        </w:rPr>
        <w:t xml:space="preserve">. </w:t>
      </w:r>
    </w:p>
    <w:p w:rsidRPr="00BB0780" w:rsidR="0073536E" w:rsidP="0073536E" w:rsidRDefault="0073536E" w14:paraId="10CED680" w14:textId="77777777">
      <w:pPr>
        <w:spacing w:before="120" w:after="120" w:line="276" w:lineRule="auto"/>
        <w:ind w:firstLine="709"/>
        <w:jc w:val="both"/>
        <w:rPr>
          <w:rFonts w:ascii="Arial" w:hAnsi="Arial" w:eastAsia="Calibri" w:cs="Arial"/>
          <w:color w:val="000000" w:themeColor="text1"/>
          <w:sz w:val="22"/>
          <w:lang w:val="es-ES"/>
        </w:rPr>
      </w:pPr>
      <w:r w:rsidRPr="00BB0780">
        <w:rPr>
          <w:rFonts w:ascii="Arial" w:hAnsi="Arial" w:eastAsia="Calibri" w:cs="Arial"/>
          <w:color w:val="000000" w:themeColor="text1"/>
          <w:sz w:val="22"/>
          <w:lang w:val="es-ES"/>
        </w:rPr>
        <w:t xml:space="preserve">Conforme a lo anterior, en un primer momento la Agencia Nacional de Contratación Pública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103 de 2015. Esta posición es la que se acogerá y desarrollará en esta consulta. </w:t>
      </w:r>
    </w:p>
    <w:p w:rsidRPr="00BB0780" w:rsidR="0073536E" w:rsidP="0073536E" w:rsidRDefault="0073536E" w14:paraId="6A07A3B8" w14:textId="77777777">
      <w:pPr>
        <w:spacing w:before="120" w:after="120" w:line="276" w:lineRule="auto"/>
        <w:ind w:firstLine="709"/>
        <w:jc w:val="both"/>
        <w:rPr>
          <w:rFonts w:ascii="Arial" w:hAnsi="Arial" w:eastAsia="Calibri" w:cs="Arial"/>
          <w:color w:val="000000" w:themeColor="text1"/>
          <w:sz w:val="22"/>
        </w:rPr>
      </w:pPr>
      <w:r w:rsidRPr="00BB0780">
        <w:rPr>
          <w:rFonts w:ascii="Arial" w:hAnsi="Arial" w:eastAsia="Calibri" w:cs="Arial"/>
          <w:color w:val="000000" w:themeColor="text1"/>
          <w:sz w:val="22"/>
        </w:rPr>
        <w:lastRenderedPageBreak/>
        <w:t xml:space="preserve">En efecto, la Ley 1712 de 2014 o Ley de Transparencia y del Derecho de Acceso a la Información Pública, señala en el literal g), artículo 11, que todo sujeto obligado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rsidRPr="00BB0780" w:rsidR="0073536E" w:rsidP="0073536E" w:rsidRDefault="0073536E" w14:paraId="4220C507" w14:textId="77777777">
      <w:pPr>
        <w:spacing w:before="120" w:after="120" w:line="276" w:lineRule="auto"/>
        <w:ind w:firstLine="709"/>
        <w:jc w:val="both"/>
        <w:rPr>
          <w:rFonts w:ascii="Arial" w:hAnsi="Arial" w:eastAsia="Calibri" w:cs="Arial"/>
          <w:color w:val="000000" w:themeColor="text1"/>
          <w:sz w:val="22"/>
        </w:rPr>
      </w:pPr>
      <w:r w:rsidRPr="00BB0780">
        <w:rPr>
          <w:rFonts w:ascii="Arial" w:hAnsi="Arial" w:eastAsia="Calibri" w:cs="Arial"/>
          <w:color w:val="000000" w:themeColor="text1"/>
          <w:sz w:val="22"/>
        </w:rPr>
        <w:t>Luego, el Decreto reglamentario 103 de 2015, «Por el cual se reglamenta parcialmente la Ley 1712 de 2014 y se dictan otras disposiciones», en el artículo 8, señala, de forma enunciativa, que se debe publicar la información relativa a la ejecución del contrato, como las aprobaciones, autorizaciones, requerimientos o informes del supervisor o interventor, que aprueben la ejecución del contrato</w:t>
      </w:r>
      <w:r w:rsidRPr="00BB0780">
        <w:rPr>
          <w:rFonts w:ascii="Arial" w:hAnsi="Arial" w:eastAsia="Calibri" w:cs="Arial"/>
          <w:color w:val="000000" w:themeColor="text1"/>
          <w:sz w:val="22"/>
          <w:vertAlign w:val="superscript"/>
        </w:rPr>
        <w:footnoteReference w:id="11"/>
      </w:r>
      <w:r w:rsidRPr="00BB0780">
        <w:rPr>
          <w:rFonts w:ascii="Arial" w:hAnsi="Arial" w:eastAsia="Calibri" w:cs="Arial"/>
          <w:color w:val="000000" w:themeColor="text1"/>
          <w:sz w:val="22"/>
        </w:rPr>
        <w:t>. Por su parte, el artículo 9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w:t>
      </w:r>
      <w:r w:rsidRPr="00BB0780">
        <w:rPr>
          <w:rFonts w:ascii="Arial" w:hAnsi="Arial" w:eastAsia="Calibri" w:cs="Arial"/>
          <w:color w:val="000000" w:themeColor="text1"/>
          <w:sz w:val="22"/>
          <w:vertAlign w:val="superscript"/>
        </w:rPr>
        <w:footnoteReference w:id="12"/>
      </w:r>
      <w:r w:rsidRPr="00BB0780">
        <w:rPr>
          <w:rFonts w:ascii="Arial" w:hAnsi="Arial" w:eastAsia="Calibri" w:cs="Arial"/>
          <w:color w:val="000000" w:themeColor="text1"/>
          <w:sz w:val="22"/>
        </w:rPr>
        <w:t>. Finalmente, el artículo 10 establece la obligación que tienen las entidades de publicar en el SECOP el Plan Anual de Adquisiciones</w:t>
      </w:r>
      <w:r w:rsidRPr="00BB0780">
        <w:rPr>
          <w:rFonts w:ascii="Arial" w:hAnsi="Arial" w:eastAsia="Calibri" w:cs="Arial"/>
          <w:color w:val="000000" w:themeColor="text1"/>
          <w:sz w:val="22"/>
          <w:vertAlign w:val="superscript"/>
        </w:rPr>
        <w:footnoteReference w:id="13"/>
      </w:r>
      <w:r w:rsidRPr="00BB0780">
        <w:rPr>
          <w:rFonts w:ascii="Arial" w:hAnsi="Arial" w:eastAsia="Calibri" w:cs="Arial"/>
          <w:color w:val="000000" w:themeColor="text1"/>
          <w:sz w:val="22"/>
        </w:rPr>
        <w:t xml:space="preserve">.  </w:t>
      </w:r>
    </w:p>
    <w:p w:rsidRPr="00BB0780" w:rsidR="0073536E" w:rsidP="0073536E" w:rsidRDefault="0073536E" w14:paraId="7E3368B1" w14:textId="77777777">
      <w:pPr>
        <w:spacing w:before="120" w:after="120" w:line="276" w:lineRule="auto"/>
        <w:ind w:firstLine="709"/>
        <w:jc w:val="both"/>
        <w:rPr>
          <w:rFonts w:ascii="Arial" w:hAnsi="Arial" w:eastAsia="Calibri" w:cs="Arial"/>
          <w:color w:val="000000" w:themeColor="text1"/>
          <w:sz w:val="22"/>
        </w:rPr>
      </w:pPr>
      <w:r w:rsidRPr="00BB0780">
        <w:rPr>
          <w:rFonts w:ascii="Arial" w:hAnsi="Arial" w:eastAsia="Calibri" w:cs="Arial"/>
          <w:color w:val="000000" w:themeColor="text1"/>
          <w:sz w:val="22"/>
        </w:rPr>
        <w:lastRenderedPageBreak/>
        <w:t xml:space="preserve">De conformidad con lo anterior, el Decreto 103 de 2015 señala que los documentos que deben publicar las entidades estatales a quienes les aplica la Ley 1712 de 2014, entre estas, por ejemplo, las empresas de servicios públicos mixtas, oficiales y privadas con participación pública, son: i) las autorizaciones, requerimientos, aprobaciones o informes del supervisor o del interventor, que prueben la ejecución del contrato, </w:t>
      </w:r>
      <w:proofErr w:type="spellStart"/>
      <w:r w:rsidRPr="00BB0780">
        <w:rPr>
          <w:rFonts w:ascii="Arial" w:hAnsi="Arial" w:eastAsia="Calibri" w:cs="Arial"/>
          <w:color w:val="000000" w:themeColor="text1"/>
          <w:sz w:val="22"/>
        </w:rPr>
        <w:t>ii</w:t>
      </w:r>
      <w:proofErr w:type="spellEnd"/>
      <w:r w:rsidRPr="00BB0780">
        <w:rPr>
          <w:rFonts w:ascii="Arial" w:hAnsi="Arial" w:eastAsia="Calibri" w:cs="Arial"/>
          <w:color w:val="000000" w:themeColor="text1"/>
          <w:sz w:val="22"/>
        </w:rPr>
        <w:t xml:space="preserve">) los procedimientos, lineamientos y políticas en materia de adquisición que corresponden a los  documentos que los conforman, previstos en el manual de contratación de la entidad, y finalmente, </w:t>
      </w:r>
      <w:proofErr w:type="spellStart"/>
      <w:r w:rsidRPr="00BB0780">
        <w:rPr>
          <w:rFonts w:ascii="Arial" w:hAnsi="Arial" w:eastAsia="Calibri" w:cs="Arial"/>
          <w:color w:val="000000" w:themeColor="text1"/>
          <w:sz w:val="22"/>
        </w:rPr>
        <w:t>iii</w:t>
      </w:r>
      <w:proofErr w:type="spellEnd"/>
      <w:r w:rsidRPr="00BB0780">
        <w:rPr>
          <w:rFonts w:ascii="Arial" w:hAnsi="Arial" w:eastAsia="Calibri" w:cs="Arial"/>
          <w:color w:val="000000" w:themeColor="text1"/>
          <w:sz w:val="22"/>
        </w:rPr>
        <w:t xml:space="preserve">) el plan anual de adquisiciones. </w:t>
      </w:r>
    </w:p>
    <w:p w:rsidRPr="00BB0780" w:rsidR="0073536E" w:rsidP="0073536E" w:rsidRDefault="0073536E" w14:paraId="154455A0" w14:textId="77777777">
      <w:pPr>
        <w:spacing w:before="120" w:after="120" w:line="276" w:lineRule="auto"/>
        <w:ind w:firstLine="709"/>
        <w:jc w:val="both"/>
        <w:rPr>
          <w:rFonts w:ascii="Arial" w:hAnsi="Arial" w:eastAsia="Calibri" w:cs="Arial"/>
          <w:color w:val="000000" w:themeColor="text1"/>
          <w:sz w:val="22"/>
        </w:rPr>
      </w:pPr>
      <w:r w:rsidRPr="00BB0780">
        <w:rPr>
          <w:rFonts w:ascii="Arial" w:hAnsi="Arial" w:eastAsia="Calibri" w:cs="Arial"/>
          <w:color w:val="000000" w:themeColor="text1"/>
          <w:sz w:val="22"/>
        </w:rPr>
        <w:t xml:space="preserve">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 </w:t>
      </w:r>
    </w:p>
    <w:p w:rsidRPr="00BB0780" w:rsidR="0073536E" w:rsidP="0073536E" w:rsidRDefault="0073536E" w14:paraId="79959065" w14:textId="77777777">
      <w:pPr>
        <w:spacing w:before="120" w:after="120" w:line="276" w:lineRule="auto"/>
        <w:ind w:firstLine="709"/>
        <w:jc w:val="both"/>
        <w:rPr>
          <w:rFonts w:ascii="Arial" w:hAnsi="Arial" w:eastAsia="Calibri" w:cs="Arial"/>
          <w:color w:val="000000" w:themeColor="text1"/>
          <w:sz w:val="22"/>
        </w:rPr>
      </w:pPr>
      <w:r w:rsidRPr="00BB0780">
        <w:rPr>
          <w:rFonts w:ascii="Arial" w:hAnsi="Arial" w:eastAsia="Calibri" w:cs="Arial"/>
          <w:color w:val="000000" w:themeColor="text1"/>
          <w:sz w:val="22"/>
        </w:rPr>
        <w:t>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todos se publicarán en la plataforma del SECOP para cada procedimiento de contratación que se adelante, incluido el acto de adjudicación, por expresa disposición del literal g) del artículo 11 de la Ley 1712 de 2014.</w:t>
      </w:r>
    </w:p>
    <w:p w:rsidRPr="00BB0780" w:rsidR="0073536E" w:rsidP="0073536E" w:rsidRDefault="0073536E" w14:paraId="79D17883" w14:textId="77777777">
      <w:pPr>
        <w:spacing w:before="120" w:after="120" w:line="276" w:lineRule="auto"/>
        <w:ind w:firstLine="709"/>
        <w:jc w:val="both"/>
        <w:rPr>
          <w:rFonts w:ascii="Arial" w:hAnsi="Arial" w:eastAsia="Calibri" w:cs="Arial"/>
          <w:color w:val="000000" w:themeColor="text1"/>
          <w:sz w:val="22"/>
        </w:rPr>
      </w:pPr>
      <w:r w:rsidRPr="00BB0780">
        <w:rPr>
          <w:rFonts w:ascii="Arial" w:hAnsi="Arial" w:eastAsia="Calibri" w:cs="Arial"/>
          <w:color w:val="000000" w:themeColor="text1"/>
          <w:sz w:val="22"/>
        </w:rPr>
        <w:t>Por lo tanto, en estos casos aplica la Ley 1712 de 2014 y el Decreto 103 de 2015, no el Decreto 1082 de 2015, porque esta última norma rige a las entidades sometidas al Estatuto General de Contratación de la Administración Pública, y por lo tanto no aplica, por ejemplo, a las empresas de servicios públicos domiciliarios que, por regla general, se rigen por el derecho privado. Por su parte, la Ley 1712 de 2014 y el Decreto reglamentario 103 de 2015 rigen a cualquier entidad pública, incluyendo</w:t>
      </w:r>
      <w:r w:rsidRPr="00BB0780">
        <w:rPr>
          <w:rFonts w:ascii="Arial" w:hAnsi="Arial" w:cs="Arial"/>
          <w:color w:val="000000" w:themeColor="text1"/>
          <w:sz w:val="22"/>
        </w:rPr>
        <w:t xml:space="preserve"> </w:t>
      </w:r>
      <w:r w:rsidRPr="00BB0780">
        <w:rPr>
          <w:rFonts w:ascii="Arial" w:hAnsi="Arial" w:eastAsia="Times New Roman" w:cs="Arial"/>
          <w:color w:val="000000" w:themeColor="text1"/>
          <w:sz w:val="22"/>
          <w:lang w:val="es-CO" w:eastAsia="es-CO"/>
        </w:rPr>
        <w:t xml:space="preserve">las pertenecientes a todas las Ramas del Poder Público, en todos los niveles de la estructura estatal, central o descentralizada por servicios o territorialmente, en los </w:t>
      </w:r>
      <w:r w:rsidRPr="00BB0780">
        <w:rPr>
          <w:rFonts w:ascii="Arial" w:hAnsi="Arial" w:eastAsia="Calibri" w:cs="Arial"/>
          <w:color w:val="000000" w:themeColor="text1"/>
          <w:sz w:val="22"/>
        </w:rPr>
        <w:t xml:space="preserve">órdenes nacional, departamental, municipal y distrital. </w:t>
      </w:r>
    </w:p>
    <w:p w:rsidRPr="00BB0780" w:rsidR="0073536E" w:rsidP="0073536E" w:rsidRDefault="0073536E" w14:paraId="74092350" w14:textId="7E10DD06">
      <w:pPr>
        <w:spacing w:before="120" w:after="120" w:line="276" w:lineRule="auto"/>
        <w:ind w:firstLine="709"/>
        <w:jc w:val="both"/>
        <w:rPr>
          <w:rFonts w:ascii="Arial" w:hAnsi="Arial" w:eastAsia="Calibri" w:cs="Arial"/>
          <w:color w:val="000000" w:themeColor="text1"/>
          <w:sz w:val="22"/>
        </w:rPr>
      </w:pPr>
      <w:r w:rsidRPr="00BB0780">
        <w:rPr>
          <w:rFonts w:ascii="Arial" w:hAnsi="Arial" w:eastAsia="Calibri" w:cs="Arial"/>
          <w:color w:val="000000" w:themeColor="text1"/>
          <w:sz w:val="22"/>
        </w:rPr>
        <w:t xml:space="preserve">Identificados los documentos que deben publicar las entidades de régimen especial y su fundamento normativo, a </w:t>
      </w:r>
      <w:r w:rsidRPr="00BB0780" w:rsidR="003308BA">
        <w:rPr>
          <w:rFonts w:ascii="Arial" w:hAnsi="Arial" w:eastAsia="Calibri" w:cs="Arial"/>
          <w:color w:val="000000" w:themeColor="text1"/>
          <w:sz w:val="22"/>
        </w:rPr>
        <w:t>continuación,</w:t>
      </w:r>
      <w:r w:rsidRPr="00BB0780">
        <w:rPr>
          <w:rFonts w:ascii="Arial" w:hAnsi="Arial" w:eastAsia="Calibri" w:cs="Arial"/>
          <w:color w:val="000000" w:themeColor="text1"/>
          <w:sz w:val="22"/>
        </w:rPr>
        <w:t xml:space="preserve"> se explicará cuando se deben publicar, no sin antes explicar la posición que Colombia Compra Eficiente ha tenido en relación con este asunto. </w:t>
      </w:r>
    </w:p>
    <w:p w:rsidRPr="00BB0780" w:rsidR="0073536E" w:rsidP="0073536E" w:rsidRDefault="0073536E" w14:paraId="1D9C994B" w14:textId="77777777">
      <w:pPr>
        <w:spacing w:before="120" w:after="120" w:line="276" w:lineRule="auto"/>
        <w:ind w:firstLine="709"/>
        <w:jc w:val="both"/>
        <w:rPr>
          <w:rFonts w:ascii="Arial" w:hAnsi="Arial" w:eastAsia="Calibri" w:cs="Arial"/>
          <w:color w:val="000000" w:themeColor="text1"/>
          <w:sz w:val="22"/>
        </w:rPr>
      </w:pPr>
      <w:r w:rsidRPr="00BB0780">
        <w:rPr>
          <w:rFonts w:ascii="Arial" w:hAnsi="Arial" w:eastAsia="Calibri" w:cs="Arial"/>
          <w:color w:val="000000" w:themeColor="text1"/>
          <w:sz w:val="22"/>
        </w:rPr>
        <w:t xml:space="preserve">En el año 2017, en la consulta con radicado No. 4201713000005390 se prevé que: el plazo para publicar por parte de las entidades de régimen especial es el que se fije en el </w:t>
      </w:r>
      <w:r w:rsidRPr="00BB0780">
        <w:rPr>
          <w:rFonts w:ascii="Arial" w:hAnsi="Arial" w:eastAsia="Calibri" w:cs="Arial"/>
          <w:color w:val="000000" w:themeColor="text1"/>
          <w:sz w:val="22"/>
        </w:rPr>
        <w:lastRenderedPageBreak/>
        <w:t>manual de contratación de la entidad</w:t>
      </w:r>
      <w:r w:rsidRPr="00BB0780">
        <w:rPr>
          <w:rStyle w:val="Refdenotaalpie"/>
          <w:rFonts w:ascii="Arial" w:hAnsi="Arial" w:eastAsia="Calibri" w:cs="Arial"/>
          <w:color w:val="000000" w:themeColor="text1"/>
          <w:sz w:val="22"/>
        </w:rPr>
        <w:footnoteReference w:id="14"/>
      </w:r>
      <w:r w:rsidRPr="00BB0780">
        <w:rPr>
          <w:rFonts w:ascii="Arial" w:hAnsi="Arial" w:eastAsia="Calibri" w:cs="Arial"/>
          <w:color w:val="000000" w:themeColor="text1"/>
          <w:sz w:val="22"/>
        </w:rPr>
        <w:t>. Por su parte, en el año 2018, con la expedición de la Circular Externa Única, se cambió la postura y se indica: «las entidades que aun utilizan el SECOP I están obligadas a publicar los documentos del proceso dentro de los tres (3) días siguientes a su expedición […]</w:t>
      </w:r>
      <w:r w:rsidRPr="00BB0780">
        <w:rPr>
          <w:rStyle w:val="Refdenotaalpie"/>
          <w:rFonts w:ascii="Arial" w:hAnsi="Arial" w:eastAsia="Calibri" w:cs="Arial"/>
          <w:color w:val="000000" w:themeColor="text1"/>
          <w:sz w:val="22"/>
        </w:rPr>
        <w:footnoteReference w:id="15"/>
      </w:r>
      <w:r w:rsidRPr="00BB0780">
        <w:rPr>
          <w:rFonts w:ascii="Arial" w:hAnsi="Arial" w:eastAsia="Calibri" w:cs="Arial"/>
          <w:color w:val="000000" w:themeColor="text1"/>
          <w:sz w:val="22"/>
        </w:rPr>
        <w:t xml:space="preserve">». De lo regulado en la Circular Externa Única se infiere que se otorga un tratamiento igualitario a las entidades, independientemente de su régimen de contratación, por lo tanto, aplica el artículo 2.2.1.1.1.7.1. del Decreto 1082 de 2015. </w:t>
      </w:r>
    </w:p>
    <w:p w:rsidRPr="00BB0780" w:rsidR="0073536E" w:rsidP="0073536E" w:rsidRDefault="0073536E" w14:paraId="1BB19502" w14:textId="77777777">
      <w:pPr>
        <w:spacing w:before="120" w:after="120" w:line="276" w:lineRule="auto"/>
        <w:ind w:firstLine="709"/>
        <w:jc w:val="both"/>
        <w:rPr>
          <w:rFonts w:ascii="Arial" w:hAnsi="Arial" w:eastAsia="Calibri" w:cs="Arial"/>
          <w:color w:val="000000" w:themeColor="text1"/>
          <w:sz w:val="22"/>
        </w:rPr>
      </w:pPr>
      <w:r w:rsidRPr="00BB0780">
        <w:rPr>
          <w:rFonts w:ascii="Arial" w:hAnsi="Arial" w:eastAsia="Calibri" w:cs="Arial"/>
          <w:color w:val="000000" w:themeColor="text1"/>
          <w:sz w:val="22"/>
        </w:rPr>
        <w:t xml:space="preserve">En este sentido, se han tenido dos posturas frente a la oportunidad de publicar los documentos en el SECOP. En un primer momento, la entidad tiene autonomía para determinar el plazo en su manual de contratación, debido a que no les aplica el Estatuto General de Contratación de la Administración Pública; en un segundo momento, a partir de la expedición de la Circular Externa Única, tanto las entidades que se rigen por la Ley 80 como aquellas que tienen un estatuto de régimen especial, deberán publicar sus documentos dentro de los tres (3) días siguientes a su expedición, por expresa disposición del artículo 2.2.1.1.1.7.1. del Decreto 1082 de 2015. Esta última posición es la que se acogerá y se desarrollará en esta consulta. </w:t>
      </w:r>
    </w:p>
    <w:p w:rsidRPr="00BB0780" w:rsidR="0073536E" w:rsidP="0073536E" w:rsidRDefault="0073536E" w14:paraId="06AE4180" w14:textId="77777777">
      <w:pPr>
        <w:spacing w:before="120" w:after="120" w:line="276" w:lineRule="auto"/>
        <w:ind w:firstLine="709"/>
        <w:jc w:val="both"/>
        <w:rPr>
          <w:rFonts w:ascii="Arial" w:hAnsi="Arial" w:eastAsia="Calibri" w:cs="Arial"/>
          <w:color w:val="000000" w:themeColor="text1"/>
          <w:sz w:val="22"/>
        </w:rPr>
      </w:pPr>
      <w:r w:rsidRPr="00BB0780">
        <w:rPr>
          <w:rFonts w:ascii="Arial" w:hAnsi="Arial" w:eastAsia="Calibri" w:cs="Arial"/>
          <w:color w:val="000000" w:themeColor="text1"/>
          <w:sz w:val="22"/>
        </w:rPr>
        <w:t xml:space="preserve">La Ley 1712 de 2014 y el Decreto reglamentario 103 de 2015, normativas que indican los documentos que se deben publicar, no señalan el momento para su divulgación, y en ese sentido existe un vacío normativo. En los casos que no exista norma aplicable, la Corte Constitucional, en la sentencia C-083 de 1995, reconoce a la analogía como una fuente de derecho autónoma a la que se pueden acudir para suplir el vacío. De esta forma, </w:t>
      </w:r>
      <w:r w:rsidRPr="00BB0780">
        <w:rPr>
          <w:rFonts w:ascii="Arial" w:hAnsi="Arial" w:eastAsia="Calibri" w:cs="Arial"/>
          <w:color w:val="000000" w:themeColor="text1"/>
          <w:sz w:val="22"/>
        </w:rPr>
        <w:lastRenderedPageBreak/>
        <w:t>reconoce que: «la analogía es la aplicación de la ley a situaciones no contempladas expresamente a ellas, pero que sólo difieren a las que sí lo están en aspectos jurídicamente irrelevantes, es decir, ajenos a aquellos que explican y fundamentan la razón de ser de la norma»</w:t>
      </w:r>
      <w:r w:rsidRPr="00BB0780">
        <w:rPr>
          <w:rStyle w:val="Refdenotaalpie"/>
          <w:rFonts w:ascii="Arial" w:hAnsi="Arial" w:eastAsia="Calibri" w:cs="Arial"/>
          <w:color w:val="000000" w:themeColor="text1"/>
          <w:sz w:val="22"/>
        </w:rPr>
        <w:footnoteReference w:id="16"/>
      </w:r>
      <w:r w:rsidRPr="00BB0780">
        <w:rPr>
          <w:rFonts w:ascii="Arial" w:hAnsi="Arial" w:eastAsia="Calibri" w:cs="Arial"/>
          <w:color w:val="000000" w:themeColor="text1"/>
          <w:sz w:val="22"/>
        </w:rPr>
        <w:t>. En este sentido, el juez razona por analogía, cuando aplica una ley frente una situación no contemplada explícitamente en ella, a partir del estudio de situaciones fácticas que fueron tratadas por el legislador y guardan similitud con el asunto tratado.</w:t>
      </w:r>
    </w:p>
    <w:p w:rsidRPr="00BB0780" w:rsidR="0073536E" w:rsidP="0073536E" w:rsidRDefault="0073536E" w14:paraId="661381D2" w14:textId="77777777">
      <w:pPr>
        <w:spacing w:before="120" w:after="120" w:line="276" w:lineRule="auto"/>
        <w:ind w:firstLine="709"/>
        <w:jc w:val="both"/>
        <w:rPr>
          <w:rFonts w:ascii="Arial" w:hAnsi="Arial" w:eastAsia="Calibri" w:cs="Arial"/>
          <w:color w:val="000000" w:themeColor="text1"/>
          <w:sz w:val="22"/>
        </w:rPr>
      </w:pPr>
      <w:r w:rsidRPr="00BB0780">
        <w:rPr>
          <w:rFonts w:ascii="Arial" w:hAnsi="Arial" w:eastAsia="Calibri" w:cs="Arial"/>
          <w:color w:val="000000" w:themeColor="text1"/>
          <w:sz w:val="22"/>
        </w:rPr>
        <w:t>El Decreto 1082 de 2015, en el artículo 2.2.1.1.1.7.1, normativa que regula la publicidad en el SECOP, establece que las entidades están obligadas a publicar los documentos del proceso y los actos administrativos del proceso de contratación, dentro de los tres (3) días siguientes a su expedición. Además, indica el deber de las entidades de publicar oportunamente el aviso de convocatoria o la invitación en los procesos de contratación de mínima cuantía y el proyecto de pliego de condiciones en el SECOP para que presenten observaciones o soliciten aclaraciones</w:t>
      </w:r>
      <w:r w:rsidRPr="00BB0780">
        <w:rPr>
          <w:rStyle w:val="Refdenotaalpie"/>
          <w:rFonts w:ascii="Arial" w:hAnsi="Arial" w:eastAsia="Calibri" w:cs="Arial"/>
          <w:color w:val="000000" w:themeColor="text1"/>
          <w:sz w:val="22"/>
        </w:rPr>
        <w:footnoteReference w:id="17"/>
      </w:r>
      <w:r w:rsidRPr="00BB0780">
        <w:rPr>
          <w:rFonts w:ascii="Arial" w:hAnsi="Arial" w:eastAsia="Calibri" w:cs="Arial"/>
          <w:color w:val="000000" w:themeColor="text1"/>
          <w:sz w:val="22"/>
        </w:rPr>
        <w:t xml:space="preserve">. En este sentido, las entidades sometidas al régimen de contratación de Ley 80 de 1993 publican en el SECOP sus documentos dentro de los 3 días siguientes a su expedición. </w:t>
      </w:r>
    </w:p>
    <w:p w:rsidRPr="00BB0780" w:rsidR="0073536E" w:rsidP="0073536E" w:rsidRDefault="0073536E" w14:paraId="15684995" w14:textId="74231B4E">
      <w:pPr>
        <w:spacing w:before="120" w:after="120" w:line="276" w:lineRule="auto"/>
        <w:ind w:firstLine="709"/>
        <w:jc w:val="both"/>
        <w:rPr>
          <w:rFonts w:ascii="Arial" w:hAnsi="Arial" w:eastAsia="Calibri" w:cs="Arial"/>
          <w:color w:val="000000" w:themeColor="text1"/>
          <w:sz w:val="22"/>
        </w:rPr>
      </w:pPr>
      <w:r w:rsidRPr="00BB0780">
        <w:rPr>
          <w:rFonts w:ascii="Arial" w:hAnsi="Arial" w:eastAsia="Calibri" w:cs="Arial"/>
          <w:color w:val="000000" w:themeColor="text1"/>
          <w:sz w:val="22"/>
        </w:rPr>
        <w:t xml:space="preserve">Si bien el Decreto 1082 de 2015, en principio no aplica a las entidades estatales exceptuadas del Estatuto General de Contratación de la Administración Pública, porque su régimen de contratación es el derecho privado, es posible aplicarle el artículo 2.2.1.1.1.7.1. en virtud de la analogía. Lo anterior, debido a que esta norma guarda similitud con el asunto tratado ya que regula la publicidad de los documentos del SECOP y, por lo tanto, es viable </w:t>
      </w:r>
      <w:r w:rsidRPr="00BB0780" w:rsidR="003308BA">
        <w:rPr>
          <w:rFonts w:ascii="Arial" w:hAnsi="Arial" w:eastAsia="Calibri" w:cs="Arial"/>
          <w:color w:val="000000" w:themeColor="text1"/>
          <w:sz w:val="22"/>
        </w:rPr>
        <w:t>aplicarles</w:t>
      </w:r>
      <w:r w:rsidRPr="00BB0780">
        <w:rPr>
          <w:rFonts w:ascii="Arial" w:hAnsi="Arial" w:eastAsia="Calibri" w:cs="Arial"/>
          <w:color w:val="000000" w:themeColor="text1"/>
          <w:sz w:val="22"/>
        </w:rPr>
        <w:t xml:space="preserve"> su consecuencia jurídica a las entidades de régimen especial. </w:t>
      </w:r>
    </w:p>
    <w:p w:rsidRPr="00BB0780" w:rsidR="0073536E" w:rsidP="0073536E" w:rsidRDefault="0073536E" w14:paraId="5CDB8902" w14:textId="77777777">
      <w:pPr>
        <w:spacing w:before="120" w:after="120" w:line="276" w:lineRule="auto"/>
        <w:ind w:firstLine="709"/>
        <w:jc w:val="both"/>
        <w:rPr>
          <w:rFonts w:ascii="Arial" w:hAnsi="Arial" w:eastAsia="Calibri" w:cs="Arial"/>
          <w:color w:val="000000" w:themeColor="text1"/>
          <w:sz w:val="22"/>
        </w:rPr>
      </w:pPr>
      <w:r w:rsidRPr="00BB0780">
        <w:rPr>
          <w:rFonts w:ascii="Arial" w:hAnsi="Arial" w:eastAsia="Calibri" w:cs="Arial"/>
          <w:color w:val="000000" w:themeColor="text1"/>
          <w:sz w:val="22"/>
        </w:rPr>
        <w:t xml:space="preserve">A su vez, no es posible que las entidades definan en su manual de contratación el momento en el cual publicarán sus documentos contractuales, porque este es un asunto que debe definir el legislador o el gobierno por medio de un reglamento. </w:t>
      </w:r>
    </w:p>
    <w:p w:rsidRPr="00BB0780" w:rsidR="0073536E" w:rsidP="0073536E" w:rsidRDefault="0073536E" w14:paraId="6D23EE30" w14:textId="01DB8397">
      <w:pPr>
        <w:spacing w:before="120" w:after="120" w:line="276" w:lineRule="auto"/>
        <w:ind w:firstLine="709"/>
        <w:jc w:val="both"/>
        <w:rPr>
          <w:rFonts w:ascii="Arial" w:hAnsi="Arial" w:eastAsia="Calibri" w:cs="Arial"/>
          <w:color w:val="000000" w:themeColor="text1"/>
          <w:sz w:val="22"/>
        </w:rPr>
      </w:pPr>
      <w:r w:rsidRPr="00BB0780">
        <w:rPr>
          <w:rFonts w:ascii="Arial" w:hAnsi="Arial" w:eastAsia="Calibri" w:cs="Arial"/>
          <w:color w:val="000000" w:themeColor="text1"/>
          <w:sz w:val="22"/>
        </w:rPr>
        <w:t xml:space="preserve">Conforme a lo anterior, las entidades de régimen especial deben publicar sus documentos del proceso de contratación dentro de los tres (3) días siguientes a su </w:t>
      </w:r>
      <w:r w:rsidRPr="00BB0780">
        <w:rPr>
          <w:rFonts w:ascii="Arial" w:hAnsi="Arial" w:eastAsia="Calibri" w:cs="Arial"/>
          <w:color w:val="000000" w:themeColor="text1"/>
          <w:sz w:val="22"/>
        </w:rPr>
        <w:lastRenderedPageBreak/>
        <w:t>expedición; porque a pesar de que en principio el artículo 2.2.1.1.1.7.1 del Decreto 1082 de 2015 no les aplica, sí es posible y necesario en virtud de la analogía.</w:t>
      </w:r>
    </w:p>
    <w:p w:rsidRPr="00BB0780" w:rsidR="003308BA" w:rsidP="0073536E" w:rsidRDefault="003308BA" w14:paraId="5D53DBE5" w14:textId="5B3318BF">
      <w:pPr>
        <w:spacing w:before="120" w:after="120" w:line="276" w:lineRule="auto"/>
        <w:ind w:firstLine="709"/>
        <w:jc w:val="both"/>
        <w:rPr>
          <w:rFonts w:ascii="Arial" w:hAnsi="Arial" w:eastAsia="Calibri" w:cs="Arial"/>
          <w:color w:val="000000" w:themeColor="text1"/>
          <w:sz w:val="22"/>
        </w:rPr>
      </w:pPr>
      <w:r w:rsidRPr="00BB0780">
        <w:rPr>
          <w:rFonts w:ascii="Arial" w:hAnsi="Arial" w:eastAsia="Calibri" w:cs="Arial"/>
          <w:color w:val="000000" w:themeColor="text1"/>
          <w:sz w:val="22"/>
        </w:rPr>
        <w:t xml:space="preserve">Es del caso precisar que </w:t>
      </w:r>
      <w:r w:rsidRPr="00BB0780" w:rsidR="009311E9">
        <w:rPr>
          <w:rFonts w:ascii="Arial" w:hAnsi="Arial" w:eastAsia="Calibri" w:cs="Arial"/>
          <w:color w:val="000000" w:themeColor="text1"/>
          <w:sz w:val="22"/>
        </w:rPr>
        <w:t>el deber antes referido es de rango legal</w:t>
      </w:r>
      <w:r w:rsidRPr="00BB0780" w:rsidR="00FA5D0A">
        <w:rPr>
          <w:rFonts w:ascii="Arial" w:hAnsi="Arial" w:eastAsia="Calibri" w:cs="Arial"/>
          <w:color w:val="000000" w:themeColor="text1"/>
          <w:sz w:val="22"/>
        </w:rPr>
        <w:t>. En consecuencia</w:t>
      </w:r>
      <w:r w:rsidRPr="00BB0780" w:rsidR="007B0F6A">
        <w:rPr>
          <w:rFonts w:ascii="Arial" w:hAnsi="Arial" w:eastAsia="Calibri" w:cs="Arial"/>
          <w:color w:val="000000" w:themeColor="text1"/>
          <w:sz w:val="22"/>
        </w:rPr>
        <w:t xml:space="preserve">, </w:t>
      </w:r>
      <w:r w:rsidRPr="00BB0780" w:rsidR="00FA5D0A">
        <w:rPr>
          <w:rFonts w:ascii="Arial" w:hAnsi="Arial" w:eastAsia="Calibri" w:cs="Arial"/>
          <w:color w:val="000000" w:themeColor="text1"/>
          <w:sz w:val="22"/>
        </w:rPr>
        <w:t>su</w:t>
      </w:r>
      <w:r w:rsidRPr="00BB0780" w:rsidR="007B0F6A">
        <w:rPr>
          <w:rFonts w:ascii="Arial" w:hAnsi="Arial" w:eastAsia="Calibri" w:cs="Arial"/>
          <w:color w:val="000000" w:themeColor="text1"/>
          <w:sz w:val="22"/>
        </w:rPr>
        <w:t xml:space="preserve"> cumplimiento </w:t>
      </w:r>
      <w:r w:rsidRPr="00BB0780" w:rsidR="00FA5D0A">
        <w:rPr>
          <w:rFonts w:ascii="Arial" w:hAnsi="Arial" w:eastAsia="Calibri" w:cs="Arial"/>
          <w:color w:val="000000" w:themeColor="text1"/>
          <w:sz w:val="22"/>
        </w:rPr>
        <w:t xml:space="preserve">es imperativo </w:t>
      </w:r>
      <w:r w:rsidRPr="00BB0780" w:rsidR="007B0F6A">
        <w:rPr>
          <w:rFonts w:ascii="Arial" w:hAnsi="Arial" w:eastAsia="Calibri" w:cs="Arial"/>
          <w:color w:val="000000" w:themeColor="text1"/>
          <w:sz w:val="22"/>
        </w:rPr>
        <w:t xml:space="preserve">para las entidades públicas, de lo que se deriva </w:t>
      </w:r>
      <w:r w:rsidRPr="00BB0780" w:rsidR="00FA5D0A">
        <w:rPr>
          <w:rFonts w:ascii="Arial" w:hAnsi="Arial" w:eastAsia="Calibri" w:cs="Arial"/>
          <w:color w:val="000000" w:themeColor="text1"/>
          <w:sz w:val="22"/>
        </w:rPr>
        <w:t xml:space="preserve">que </w:t>
      </w:r>
      <w:r w:rsidRPr="00BB0780" w:rsidR="007B0F6A">
        <w:rPr>
          <w:rFonts w:ascii="Arial" w:hAnsi="Arial" w:eastAsia="Calibri" w:cs="Arial"/>
          <w:color w:val="000000" w:themeColor="text1"/>
          <w:sz w:val="22"/>
        </w:rPr>
        <w:t xml:space="preserve">estas, especialmente las </w:t>
      </w:r>
      <w:r w:rsidRPr="00BB0780" w:rsidR="00FA5D0A">
        <w:rPr>
          <w:rFonts w:ascii="Arial" w:hAnsi="Arial" w:eastAsia="Calibri" w:cs="Arial"/>
          <w:color w:val="000000" w:themeColor="text1"/>
          <w:sz w:val="22"/>
        </w:rPr>
        <w:t>que tienen un</w:t>
      </w:r>
      <w:r w:rsidRPr="00BB0780" w:rsidR="009760A8">
        <w:rPr>
          <w:rFonts w:ascii="Arial" w:hAnsi="Arial" w:eastAsia="Calibri" w:cs="Arial"/>
          <w:color w:val="000000" w:themeColor="text1"/>
          <w:sz w:val="22"/>
        </w:rPr>
        <w:t xml:space="preserve"> régimen </w:t>
      </w:r>
      <w:r w:rsidRPr="00BB0780" w:rsidR="00FA5D0A">
        <w:rPr>
          <w:rFonts w:ascii="Arial" w:hAnsi="Arial" w:eastAsia="Calibri" w:cs="Arial"/>
          <w:color w:val="000000" w:themeColor="text1"/>
          <w:sz w:val="22"/>
        </w:rPr>
        <w:t xml:space="preserve">de contratación </w:t>
      </w:r>
      <w:r w:rsidRPr="00BB0780" w:rsidR="009760A8">
        <w:rPr>
          <w:rFonts w:ascii="Arial" w:hAnsi="Arial" w:eastAsia="Calibri" w:cs="Arial"/>
          <w:color w:val="000000" w:themeColor="text1"/>
          <w:sz w:val="22"/>
        </w:rPr>
        <w:t>especial</w:t>
      </w:r>
      <w:r w:rsidRPr="00BB0780" w:rsidR="007B0F6A">
        <w:rPr>
          <w:rFonts w:ascii="Arial" w:hAnsi="Arial" w:eastAsia="Calibri" w:cs="Arial"/>
          <w:color w:val="000000" w:themeColor="text1"/>
          <w:sz w:val="22"/>
        </w:rPr>
        <w:t>,</w:t>
      </w:r>
      <w:r w:rsidRPr="00BB0780" w:rsidR="009760A8">
        <w:rPr>
          <w:rFonts w:ascii="Arial" w:hAnsi="Arial" w:eastAsia="Calibri" w:cs="Arial"/>
          <w:color w:val="000000" w:themeColor="text1"/>
          <w:sz w:val="22"/>
        </w:rPr>
        <w:t xml:space="preserve"> deben adaptar sus prácticas contractuales para cumplir con </w:t>
      </w:r>
      <w:r w:rsidRPr="00BB0780" w:rsidR="00FA5D0A">
        <w:rPr>
          <w:rFonts w:ascii="Arial" w:hAnsi="Arial" w:eastAsia="Calibri" w:cs="Arial"/>
          <w:color w:val="000000" w:themeColor="text1"/>
          <w:sz w:val="22"/>
        </w:rPr>
        <w:t>el deber de publicar sus documentos del proceso de contratación dentro de los tres (3) días siguientes a su expedición</w:t>
      </w:r>
      <w:r w:rsidRPr="00BB0780" w:rsidR="0062279A">
        <w:rPr>
          <w:rFonts w:ascii="Arial" w:hAnsi="Arial" w:eastAsia="Calibri" w:cs="Arial"/>
          <w:color w:val="000000" w:themeColor="text1"/>
          <w:sz w:val="22"/>
        </w:rPr>
        <w:t xml:space="preserve"> formal</w:t>
      </w:r>
      <w:r w:rsidRPr="00BB0780" w:rsidR="009760A8">
        <w:rPr>
          <w:rFonts w:ascii="Arial" w:hAnsi="Arial" w:eastAsia="Calibri" w:cs="Arial"/>
          <w:color w:val="000000" w:themeColor="text1"/>
          <w:sz w:val="22"/>
        </w:rPr>
        <w:t>. No puede ocurrir</w:t>
      </w:r>
      <w:r w:rsidRPr="00BB0780" w:rsidR="00FA5D0A">
        <w:rPr>
          <w:rFonts w:ascii="Arial" w:hAnsi="Arial" w:eastAsia="Calibri" w:cs="Arial"/>
          <w:color w:val="000000" w:themeColor="text1"/>
          <w:sz w:val="22"/>
        </w:rPr>
        <w:t>, pues,</w:t>
      </w:r>
      <w:r w:rsidRPr="00BB0780" w:rsidR="009760A8">
        <w:rPr>
          <w:rFonts w:ascii="Arial" w:hAnsi="Arial" w:eastAsia="Calibri" w:cs="Arial"/>
          <w:color w:val="000000" w:themeColor="text1"/>
          <w:sz w:val="22"/>
        </w:rPr>
        <w:t xml:space="preserve"> que, amparadas en su régimen, </w:t>
      </w:r>
      <w:r w:rsidRPr="00BB0780" w:rsidR="00FA5D0A">
        <w:rPr>
          <w:rFonts w:ascii="Arial" w:hAnsi="Arial" w:eastAsia="Calibri" w:cs="Arial"/>
          <w:color w:val="000000" w:themeColor="text1"/>
          <w:sz w:val="22"/>
        </w:rPr>
        <w:t xml:space="preserve">algunas entidades </w:t>
      </w:r>
      <w:r w:rsidRPr="00BB0780" w:rsidR="009760A8">
        <w:rPr>
          <w:rFonts w:ascii="Arial" w:hAnsi="Arial" w:eastAsia="Calibri" w:cs="Arial"/>
          <w:color w:val="000000" w:themeColor="text1"/>
          <w:sz w:val="22"/>
        </w:rPr>
        <w:t xml:space="preserve">pretendan incumplir </w:t>
      </w:r>
      <w:r w:rsidRPr="00BB0780" w:rsidR="007E0A81">
        <w:rPr>
          <w:rFonts w:ascii="Arial" w:hAnsi="Arial" w:eastAsia="Calibri" w:cs="Arial"/>
          <w:color w:val="000000" w:themeColor="text1"/>
          <w:sz w:val="22"/>
        </w:rPr>
        <w:t xml:space="preserve">su </w:t>
      </w:r>
      <w:r w:rsidRPr="00BB0780" w:rsidR="009760A8">
        <w:rPr>
          <w:rFonts w:ascii="Arial" w:hAnsi="Arial" w:eastAsia="Calibri" w:cs="Arial"/>
          <w:color w:val="000000" w:themeColor="text1"/>
          <w:sz w:val="22"/>
        </w:rPr>
        <w:t xml:space="preserve">deber legal o cumplirlo de </w:t>
      </w:r>
      <w:r w:rsidRPr="00BB0780" w:rsidR="00FA5D0A">
        <w:rPr>
          <w:rFonts w:ascii="Arial" w:hAnsi="Arial" w:eastAsia="Calibri" w:cs="Arial"/>
          <w:color w:val="000000" w:themeColor="text1"/>
          <w:sz w:val="22"/>
        </w:rPr>
        <w:t xml:space="preserve">tal </w:t>
      </w:r>
      <w:r w:rsidRPr="00BB0780" w:rsidR="009760A8">
        <w:rPr>
          <w:rFonts w:ascii="Arial" w:hAnsi="Arial" w:eastAsia="Calibri" w:cs="Arial"/>
          <w:color w:val="000000" w:themeColor="text1"/>
          <w:sz w:val="22"/>
        </w:rPr>
        <w:t>manera</w:t>
      </w:r>
      <w:r w:rsidRPr="00BB0780" w:rsidR="007E0A81">
        <w:rPr>
          <w:rFonts w:ascii="Arial" w:hAnsi="Arial" w:eastAsia="Calibri" w:cs="Arial"/>
          <w:color w:val="000000" w:themeColor="text1"/>
          <w:sz w:val="22"/>
        </w:rPr>
        <w:t xml:space="preserve"> que se ajuste </w:t>
      </w:r>
      <w:r w:rsidRPr="00BB0780" w:rsidR="00FA5D0A">
        <w:rPr>
          <w:rFonts w:ascii="Arial" w:hAnsi="Arial" w:eastAsia="Calibri" w:cs="Arial"/>
          <w:color w:val="000000" w:themeColor="text1"/>
          <w:sz w:val="22"/>
        </w:rPr>
        <w:t>a las particularidades de sus trámites internos</w:t>
      </w:r>
      <w:r w:rsidRPr="00BB0780" w:rsidR="009760A8">
        <w:rPr>
          <w:rFonts w:ascii="Arial" w:hAnsi="Arial" w:eastAsia="Calibri" w:cs="Arial"/>
          <w:color w:val="000000" w:themeColor="text1"/>
          <w:sz w:val="22"/>
        </w:rPr>
        <w:t xml:space="preserve">, pues, </w:t>
      </w:r>
      <w:r w:rsidRPr="00BB0780" w:rsidR="00FA5D0A">
        <w:rPr>
          <w:rFonts w:ascii="Arial" w:hAnsi="Arial" w:eastAsia="Calibri" w:cs="Arial"/>
          <w:color w:val="000000" w:themeColor="text1"/>
          <w:sz w:val="22"/>
        </w:rPr>
        <w:t xml:space="preserve">es la entidad la que </w:t>
      </w:r>
      <w:r w:rsidRPr="00BB0780" w:rsidR="009760A8">
        <w:rPr>
          <w:rFonts w:ascii="Arial" w:hAnsi="Arial" w:eastAsia="Calibri" w:cs="Arial"/>
          <w:color w:val="000000" w:themeColor="text1"/>
          <w:sz w:val="22"/>
        </w:rPr>
        <w:t xml:space="preserve">debe ajustar sus prácticas contractuales al ordenamiento jurídico, </w:t>
      </w:r>
      <w:r w:rsidRPr="00BB0780" w:rsidR="00FA5D0A">
        <w:rPr>
          <w:rFonts w:ascii="Arial" w:hAnsi="Arial" w:eastAsia="Calibri" w:cs="Arial"/>
          <w:color w:val="000000" w:themeColor="text1"/>
          <w:sz w:val="22"/>
        </w:rPr>
        <w:t xml:space="preserve">y no el ordenamiento jurídico el que </w:t>
      </w:r>
      <w:r w:rsidRPr="00BB0780" w:rsidR="00912E23">
        <w:rPr>
          <w:rFonts w:ascii="Arial" w:hAnsi="Arial" w:eastAsia="Calibri" w:cs="Arial"/>
          <w:color w:val="000000" w:themeColor="text1"/>
          <w:sz w:val="22"/>
        </w:rPr>
        <w:t xml:space="preserve">debe adaptarse </w:t>
      </w:r>
      <w:r w:rsidRPr="00BB0780" w:rsidR="00FA5D0A">
        <w:rPr>
          <w:rFonts w:ascii="Arial" w:hAnsi="Arial" w:eastAsia="Calibri" w:cs="Arial"/>
          <w:color w:val="000000" w:themeColor="text1"/>
          <w:sz w:val="22"/>
        </w:rPr>
        <w:t xml:space="preserve">o </w:t>
      </w:r>
      <w:r w:rsidRPr="00BB0780" w:rsidR="009760A8">
        <w:rPr>
          <w:rFonts w:ascii="Arial" w:hAnsi="Arial" w:eastAsia="Calibri" w:cs="Arial"/>
          <w:color w:val="000000" w:themeColor="text1"/>
          <w:sz w:val="22"/>
        </w:rPr>
        <w:t>acondicion</w:t>
      </w:r>
      <w:r w:rsidRPr="00BB0780" w:rsidR="00912E23">
        <w:rPr>
          <w:rFonts w:ascii="Arial" w:hAnsi="Arial" w:eastAsia="Calibri" w:cs="Arial"/>
          <w:color w:val="000000" w:themeColor="text1"/>
          <w:sz w:val="22"/>
        </w:rPr>
        <w:t>arse</w:t>
      </w:r>
      <w:r w:rsidRPr="00BB0780" w:rsidR="009760A8">
        <w:rPr>
          <w:rFonts w:ascii="Arial" w:hAnsi="Arial" w:eastAsia="Calibri" w:cs="Arial"/>
          <w:color w:val="000000" w:themeColor="text1"/>
          <w:sz w:val="22"/>
        </w:rPr>
        <w:t xml:space="preserve"> a las prácticas de aquellas. </w:t>
      </w:r>
    </w:p>
    <w:p w:rsidRPr="00BB0780" w:rsidR="0073536E" w:rsidP="0073536E" w:rsidRDefault="0073536E" w14:paraId="167586D3" w14:textId="255890C4">
      <w:pPr>
        <w:spacing w:line="276" w:lineRule="auto"/>
        <w:ind w:firstLine="709"/>
        <w:jc w:val="both"/>
        <w:rPr>
          <w:rFonts w:ascii="Arial" w:hAnsi="Arial" w:eastAsia="Calibri" w:cs="Arial"/>
          <w:color w:val="000000" w:themeColor="text1"/>
          <w:sz w:val="22"/>
        </w:rPr>
      </w:pPr>
      <w:r w:rsidRPr="00BB0780">
        <w:rPr>
          <w:rFonts w:ascii="Arial" w:hAnsi="Arial" w:eastAsia="Calibri" w:cs="Arial"/>
          <w:color w:val="000000" w:themeColor="text1"/>
          <w:sz w:val="22"/>
        </w:rPr>
        <w:t>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 y se aplicaría el artículo 2.2.1.1.1.7.1.</w:t>
      </w:r>
      <w:r w:rsidRPr="00BB0780" w:rsidR="003308BA">
        <w:rPr>
          <w:rFonts w:ascii="Arial" w:hAnsi="Arial" w:eastAsia="Calibri" w:cs="Arial"/>
          <w:color w:val="000000" w:themeColor="text1"/>
          <w:sz w:val="22"/>
        </w:rPr>
        <w:t xml:space="preserve"> del Decreto 1082 de 2015.</w:t>
      </w:r>
      <w:r w:rsidRPr="00BB0780">
        <w:rPr>
          <w:rFonts w:ascii="Arial" w:hAnsi="Arial" w:eastAsia="Calibri" w:cs="Arial"/>
          <w:color w:val="000000" w:themeColor="text1"/>
          <w:sz w:val="22"/>
        </w:rPr>
        <w:t xml:space="preserve"> </w:t>
      </w:r>
    </w:p>
    <w:p w:rsidRPr="00BB0780" w:rsidR="0073536E" w:rsidP="0073536E" w:rsidRDefault="0073536E" w14:paraId="6FDEF466" w14:textId="77777777">
      <w:pPr>
        <w:spacing w:line="276" w:lineRule="auto"/>
        <w:jc w:val="both"/>
        <w:rPr>
          <w:rFonts w:ascii="Arial" w:hAnsi="Arial" w:eastAsia="Calibri" w:cs="Arial"/>
          <w:b/>
          <w:color w:val="000000" w:themeColor="text1"/>
          <w:sz w:val="22"/>
        </w:rPr>
      </w:pPr>
    </w:p>
    <w:p w:rsidRPr="00BB0780" w:rsidR="000920F0" w:rsidP="000920F0" w:rsidRDefault="000920F0" w14:paraId="2980998C" w14:textId="77777777">
      <w:pPr>
        <w:pStyle w:val="Prrafodelista"/>
        <w:tabs>
          <w:tab w:val="left" w:pos="284"/>
        </w:tabs>
        <w:spacing w:line="276" w:lineRule="auto"/>
        <w:ind w:left="0"/>
        <w:jc w:val="both"/>
        <w:rPr>
          <w:rFonts w:ascii="Arial" w:hAnsi="Arial" w:eastAsia="Calibri" w:cs="Arial"/>
          <w:color w:val="000000" w:themeColor="text1"/>
          <w:sz w:val="22"/>
          <w:lang w:val="es-ES_tradnl"/>
        </w:rPr>
      </w:pPr>
      <w:r w:rsidRPr="00BB0780">
        <w:rPr>
          <w:rFonts w:ascii="Arial" w:hAnsi="Arial" w:eastAsia="Calibri" w:cs="Arial"/>
          <w:b/>
          <w:color w:val="000000" w:themeColor="text1"/>
          <w:sz w:val="22"/>
          <w:lang w:val="es-ES_tradnl"/>
        </w:rPr>
        <w:t>3. Respuesta</w:t>
      </w:r>
    </w:p>
    <w:p w:rsidRPr="00BB0780" w:rsidR="000920F0" w:rsidP="000920F0" w:rsidRDefault="000920F0" w14:paraId="458F619B" w14:textId="77777777">
      <w:pPr>
        <w:spacing w:line="276" w:lineRule="auto"/>
        <w:ind w:left="709" w:right="709"/>
        <w:jc w:val="both"/>
        <w:rPr>
          <w:rFonts w:ascii="Arial" w:hAnsi="Arial" w:eastAsia="Calibri" w:cs="Arial"/>
          <w:i/>
          <w:color w:val="000000" w:themeColor="text1"/>
          <w:sz w:val="22"/>
          <w:lang w:val="es-ES_tradnl"/>
        </w:rPr>
      </w:pPr>
    </w:p>
    <w:p w:rsidRPr="00BB0780" w:rsidR="00474C49" w:rsidP="00D24508" w:rsidRDefault="00D24508" w14:paraId="6E0429F0" w14:textId="57EFB666">
      <w:pPr>
        <w:ind w:left="709" w:right="709"/>
        <w:jc w:val="both"/>
        <w:rPr>
          <w:rFonts w:ascii="Arial" w:hAnsi="Arial" w:eastAsia="Calibri" w:cs="Arial"/>
          <w:color w:val="000000" w:themeColor="text1"/>
          <w:sz w:val="21"/>
          <w:szCs w:val="21"/>
          <w:lang w:val="es-ES_tradnl"/>
        </w:rPr>
      </w:pPr>
      <w:r w:rsidRPr="00BB0780">
        <w:rPr>
          <w:rFonts w:ascii="Arial" w:hAnsi="Arial" w:eastAsia="Calibri" w:cs="Arial"/>
          <w:color w:val="000000" w:themeColor="text1"/>
          <w:sz w:val="21"/>
          <w:szCs w:val="21"/>
          <w:lang w:val="es-ES_tradnl"/>
        </w:rPr>
        <w:t xml:space="preserve">«¿en una entidad con régimen especial que documentos deben ser publicados en el </w:t>
      </w:r>
      <w:proofErr w:type="spellStart"/>
      <w:r w:rsidRPr="00BB0780">
        <w:rPr>
          <w:rFonts w:ascii="Arial" w:hAnsi="Arial" w:eastAsia="Calibri" w:cs="Arial"/>
          <w:color w:val="000000" w:themeColor="text1"/>
          <w:sz w:val="21"/>
          <w:szCs w:val="21"/>
          <w:lang w:val="es-ES_tradnl"/>
        </w:rPr>
        <w:t>secop</w:t>
      </w:r>
      <w:proofErr w:type="spellEnd"/>
      <w:r w:rsidRPr="00BB0780">
        <w:rPr>
          <w:rFonts w:ascii="Arial" w:hAnsi="Arial" w:eastAsia="Calibri" w:cs="Arial"/>
          <w:color w:val="000000" w:themeColor="text1"/>
          <w:sz w:val="21"/>
          <w:szCs w:val="21"/>
          <w:lang w:val="es-ES_tradnl"/>
        </w:rPr>
        <w:t>, si en el manual de contrataciones no hay estipulación de publicaciones?»</w:t>
      </w:r>
    </w:p>
    <w:p w:rsidRPr="00BB0780" w:rsidR="00D24508" w:rsidP="00BC600B" w:rsidRDefault="00D24508" w14:paraId="22353D13" w14:textId="77777777">
      <w:pPr>
        <w:jc w:val="both"/>
        <w:rPr>
          <w:rFonts w:ascii="Arial" w:hAnsi="Arial" w:eastAsia="Calibri" w:cs="Arial"/>
          <w:color w:val="000000" w:themeColor="text1"/>
          <w:sz w:val="22"/>
          <w:lang w:val="es-ES_tradnl"/>
        </w:rPr>
      </w:pPr>
    </w:p>
    <w:p w:rsidRPr="00BB0780" w:rsidR="00CB7D92" w:rsidP="00CB7D92" w:rsidRDefault="00CB7D92" w14:paraId="2EBBA4DF" w14:textId="6443B134">
      <w:pPr>
        <w:spacing w:line="276" w:lineRule="auto"/>
        <w:jc w:val="both"/>
        <w:rPr>
          <w:rFonts w:ascii="Arial" w:hAnsi="Arial" w:eastAsia="Calibri" w:cs="Arial"/>
          <w:color w:val="000000" w:themeColor="text1"/>
          <w:sz w:val="22"/>
          <w:lang w:val="es-ES"/>
        </w:rPr>
      </w:pPr>
      <w:r w:rsidRPr="00BB0780">
        <w:rPr>
          <w:rFonts w:ascii="Arial" w:hAnsi="Arial" w:eastAsia="Calibri" w:cs="Arial"/>
          <w:color w:val="000000" w:themeColor="text1"/>
          <w:sz w:val="22"/>
        </w:rPr>
        <w:t>La obligatoriedad de publicar las actuaciones contractuales de las entidades no depende de su régimen de contratación, sino de la ejecución de recursos públicos, pues así lo determinó, provisionalmente, el Consejo de Estado, Sección Tercera, Subsección C, en el auto del 14 de agosto de 2017, radicación número: 11001-03-26-000-2017-00031-00 [58.820], proferido por el Magistrado Jaime Orlando Santofimio</w:t>
      </w:r>
      <w:r w:rsidRPr="00BB0780" w:rsidR="00377363">
        <w:rPr>
          <w:rFonts w:ascii="Arial" w:hAnsi="Arial" w:eastAsia="Calibri" w:cs="Arial"/>
          <w:color w:val="000000" w:themeColor="text1"/>
          <w:sz w:val="22"/>
        </w:rPr>
        <w:t xml:space="preserve"> Gamboa</w:t>
      </w:r>
      <w:r w:rsidRPr="00BB0780">
        <w:rPr>
          <w:rFonts w:ascii="Arial" w:hAnsi="Arial" w:eastAsia="Calibri" w:cs="Arial"/>
          <w:color w:val="000000" w:themeColor="text1"/>
          <w:sz w:val="22"/>
        </w:rPr>
        <w:t>. Ese deber</w:t>
      </w:r>
      <w:r w:rsidRPr="00BB0780" w:rsidR="00B23225">
        <w:rPr>
          <w:rFonts w:ascii="Arial" w:hAnsi="Arial" w:eastAsia="Calibri" w:cs="Arial"/>
          <w:color w:val="000000" w:themeColor="text1"/>
          <w:sz w:val="22"/>
        </w:rPr>
        <w:t xml:space="preserve">, como se dijo en el concepto CU-003 de 2020, </w:t>
      </w:r>
      <w:r w:rsidRPr="00BB0780">
        <w:rPr>
          <w:rFonts w:ascii="Arial" w:hAnsi="Arial" w:eastAsia="Calibri" w:cs="Arial"/>
          <w:color w:val="000000" w:themeColor="text1"/>
          <w:sz w:val="22"/>
        </w:rPr>
        <w:t>no atiende a las condiciones fácticas que tengan las entidades excluidas del régimen de contratación estatal, sino −se reitera− al hecho de que la contratación implique la ejecución de recursos públicos.</w:t>
      </w:r>
    </w:p>
    <w:p w:rsidRPr="00BB0780" w:rsidR="00CB7D92" w:rsidP="00CB7D92" w:rsidRDefault="00CB7D92" w14:paraId="6FB0CC7C" w14:textId="0DC095CB">
      <w:pPr>
        <w:spacing w:line="276" w:lineRule="auto"/>
        <w:ind w:firstLine="708"/>
        <w:jc w:val="both"/>
        <w:rPr>
          <w:rFonts w:ascii="Arial" w:hAnsi="Arial" w:eastAsia="Calibri" w:cs="Arial"/>
          <w:color w:val="000000" w:themeColor="text1"/>
          <w:sz w:val="22"/>
        </w:rPr>
      </w:pPr>
      <w:r w:rsidRPr="00BB0780">
        <w:rPr>
          <w:rFonts w:ascii="Arial" w:hAnsi="Arial" w:eastAsia="Calibri" w:cs="Arial"/>
          <w:color w:val="000000" w:themeColor="text1"/>
          <w:sz w:val="22"/>
        </w:rPr>
        <w:t xml:space="preserve">Ahora, </w:t>
      </w:r>
      <w:r w:rsidRPr="00BB0780" w:rsidR="004E2C84">
        <w:rPr>
          <w:rFonts w:ascii="Arial" w:hAnsi="Arial" w:eastAsia="Calibri" w:cs="Arial"/>
          <w:color w:val="000000" w:themeColor="text1"/>
          <w:sz w:val="22"/>
        </w:rPr>
        <w:t>el Decreto 103 de 2015 señala que los documentos que deben publicar las entidades estatales a quienes les aplica la Ley 1712 de 201</w:t>
      </w:r>
      <w:r w:rsidRPr="00BB0780" w:rsidR="00D112C7">
        <w:rPr>
          <w:rFonts w:ascii="Arial" w:hAnsi="Arial" w:eastAsia="Calibri" w:cs="Arial"/>
          <w:color w:val="000000" w:themeColor="text1"/>
          <w:sz w:val="22"/>
        </w:rPr>
        <w:t>4</w:t>
      </w:r>
      <w:r w:rsidRPr="00BB0780">
        <w:rPr>
          <w:rFonts w:ascii="Arial" w:hAnsi="Arial" w:eastAsia="Calibri" w:cs="Arial"/>
          <w:color w:val="000000" w:themeColor="text1"/>
          <w:sz w:val="22"/>
        </w:rPr>
        <w:t xml:space="preserve">, entre estas las </w:t>
      </w:r>
      <w:r w:rsidRPr="00BB0780" w:rsidR="007B623A">
        <w:rPr>
          <w:rFonts w:ascii="Arial" w:hAnsi="Arial" w:eastAsia="Calibri" w:cs="Arial"/>
          <w:color w:val="000000" w:themeColor="text1"/>
          <w:sz w:val="22"/>
        </w:rPr>
        <w:t>que tienen un régimen especial de contratación</w:t>
      </w:r>
      <w:r w:rsidRPr="00BB0780">
        <w:rPr>
          <w:rFonts w:ascii="Arial" w:hAnsi="Arial" w:eastAsia="Calibri" w:cs="Arial"/>
          <w:color w:val="000000" w:themeColor="text1"/>
          <w:sz w:val="22"/>
        </w:rPr>
        <w:t xml:space="preserve">, son: i) las autorizaciones, requerimientos, aprobaciones o informes del supervisor o del interventor, que prueben la ejecución del contrato, </w:t>
      </w:r>
      <w:proofErr w:type="spellStart"/>
      <w:r w:rsidRPr="00BB0780">
        <w:rPr>
          <w:rFonts w:ascii="Arial" w:hAnsi="Arial" w:eastAsia="Calibri" w:cs="Arial"/>
          <w:color w:val="000000" w:themeColor="text1"/>
          <w:sz w:val="22"/>
        </w:rPr>
        <w:t>ii</w:t>
      </w:r>
      <w:proofErr w:type="spellEnd"/>
      <w:r w:rsidRPr="00BB0780">
        <w:rPr>
          <w:rFonts w:ascii="Arial" w:hAnsi="Arial" w:eastAsia="Calibri" w:cs="Arial"/>
          <w:color w:val="000000" w:themeColor="text1"/>
          <w:sz w:val="22"/>
        </w:rPr>
        <w:t xml:space="preserve">) en relación con los procedimientos, lineamientos y políticas en materia de adquisición se </w:t>
      </w:r>
      <w:r w:rsidRPr="00BB0780">
        <w:rPr>
          <w:rFonts w:ascii="Arial" w:hAnsi="Arial" w:eastAsia="Calibri" w:cs="Arial"/>
          <w:color w:val="000000" w:themeColor="text1"/>
          <w:sz w:val="22"/>
        </w:rPr>
        <w:lastRenderedPageBreak/>
        <w:t xml:space="preserve">deberán publicar los documentos previstos en el manual de contratación de la entidad y, finalmente, </w:t>
      </w:r>
      <w:proofErr w:type="spellStart"/>
      <w:r w:rsidRPr="00BB0780">
        <w:rPr>
          <w:rFonts w:ascii="Arial" w:hAnsi="Arial" w:eastAsia="Calibri" w:cs="Arial"/>
          <w:color w:val="000000" w:themeColor="text1"/>
          <w:sz w:val="22"/>
        </w:rPr>
        <w:t>iii</w:t>
      </w:r>
      <w:proofErr w:type="spellEnd"/>
      <w:r w:rsidRPr="00BB0780">
        <w:rPr>
          <w:rFonts w:ascii="Arial" w:hAnsi="Arial" w:eastAsia="Calibri" w:cs="Arial"/>
          <w:color w:val="000000" w:themeColor="text1"/>
          <w:sz w:val="22"/>
        </w:rPr>
        <w:t xml:space="preserve">) el plan anual de adquisiciones. </w:t>
      </w:r>
    </w:p>
    <w:p w:rsidRPr="00BB0780" w:rsidR="00CB7D92" w:rsidP="00B0366F" w:rsidRDefault="00CB7D92" w14:paraId="6CA1AA34" w14:textId="3C53E2FF">
      <w:pPr>
        <w:pStyle w:val="Prrafodelista"/>
        <w:spacing w:before="120" w:line="276" w:lineRule="auto"/>
        <w:ind w:left="0" w:firstLine="709"/>
        <w:jc w:val="both"/>
        <w:rPr>
          <w:rFonts w:ascii="Arial" w:hAnsi="Arial" w:eastAsia="Calibri" w:cs="Arial"/>
          <w:color w:val="000000" w:themeColor="text1"/>
          <w:sz w:val="22"/>
        </w:rPr>
      </w:pPr>
      <w:r w:rsidRPr="00BB0780">
        <w:rPr>
          <w:rFonts w:ascii="Arial" w:hAnsi="Arial" w:eastAsia="Calibri" w:cs="Arial"/>
          <w:color w:val="000000" w:themeColor="text1"/>
          <w:sz w:val="22"/>
        </w:rPr>
        <w:t>Frente al segundo grupo de documentos</w:t>
      </w:r>
      <w:r w:rsidRPr="00BB0780" w:rsidR="00417E9D">
        <w:rPr>
          <w:rFonts w:ascii="Arial" w:hAnsi="Arial" w:eastAsia="Calibri" w:cs="Arial"/>
          <w:color w:val="000000" w:themeColor="text1"/>
          <w:sz w:val="22"/>
        </w:rPr>
        <w:t xml:space="preserve"> referidos en este concepto</w:t>
      </w:r>
      <w:r w:rsidRPr="00BB0780">
        <w:rPr>
          <w:rFonts w:ascii="Arial" w:hAnsi="Arial" w:eastAsia="Calibri" w:cs="Arial"/>
          <w:color w:val="000000" w:themeColor="text1"/>
          <w:sz w:val="22"/>
        </w:rPr>
        <w:t>, debido a que estas entidades están sometidas al derecho privado, y por lo tanto no celebran sus procesos de contratación con las modalidades de contratación previstas en la Ley 80 de 1993; cada una definirá en su manual de contratación el procedimiento para la contratación de sus bienes y servicios.</w:t>
      </w:r>
    </w:p>
    <w:p w:rsidRPr="00BB0780" w:rsidR="00D24508" w:rsidP="00B0366F" w:rsidRDefault="00382C12" w14:paraId="4661FF6F" w14:textId="3BDCD2AD">
      <w:pPr>
        <w:spacing w:before="120" w:line="276" w:lineRule="auto"/>
        <w:ind w:firstLine="709"/>
        <w:jc w:val="both"/>
        <w:rPr>
          <w:rFonts w:ascii="Arial" w:hAnsi="Arial" w:eastAsia="Calibri" w:cs="Arial"/>
          <w:color w:val="000000" w:themeColor="text1"/>
          <w:sz w:val="22"/>
          <w:lang w:val="es-ES_tradnl"/>
        </w:rPr>
      </w:pPr>
      <w:r w:rsidRPr="00BB0780">
        <w:rPr>
          <w:rFonts w:ascii="Arial" w:hAnsi="Arial" w:eastAsia="Calibri" w:cs="Arial"/>
          <w:color w:val="000000" w:themeColor="text1"/>
          <w:sz w:val="22"/>
          <w:lang w:val="es-ES_tradnl"/>
        </w:rPr>
        <w:t>Valga la pena precisar que l</w:t>
      </w:r>
      <w:r w:rsidRPr="00BB0780" w:rsidR="00D24508">
        <w:rPr>
          <w:rFonts w:ascii="Arial" w:hAnsi="Arial" w:eastAsia="Calibri" w:cs="Arial"/>
          <w:color w:val="000000" w:themeColor="text1"/>
          <w:sz w:val="22"/>
          <w:lang w:val="es-ES_tradnl"/>
        </w:rPr>
        <w:t xml:space="preserve">as entidades exceptuadas del Estatuto General de Contratación de la Administración Pública no pueden regular en su manual o reglamento interno de contratación la oportunidad para publicar los documentos en el SECOP; pues, según se expresa en las consideraciones de este concepto, tal es un asunto que define la ley o un decreto reglamentario del gobierno nacional. </w:t>
      </w:r>
      <w:r w:rsidRPr="00BB0780" w:rsidR="001A7B59">
        <w:rPr>
          <w:rFonts w:ascii="Arial" w:hAnsi="Arial" w:eastAsia="Calibri" w:cs="Arial"/>
          <w:color w:val="000000" w:themeColor="text1"/>
          <w:sz w:val="22"/>
          <w:lang w:val="es-ES_tradnl"/>
        </w:rPr>
        <w:t>De todos modos, se d</w:t>
      </w:r>
      <w:r w:rsidRPr="00BB0780" w:rsidR="00D24508">
        <w:rPr>
          <w:rFonts w:ascii="Arial" w:hAnsi="Arial" w:eastAsia="Calibri" w:cs="Arial"/>
          <w:color w:val="000000" w:themeColor="text1"/>
          <w:sz w:val="22"/>
          <w:lang w:val="es-ES_tradnl"/>
        </w:rPr>
        <w:t>eben publicar entonces los documentos contractuales dentro de los tres (3) días siguientes a su expedición.</w:t>
      </w:r>
    </w:p>
    <w:p w:rsidRPr="00BB0780" w:rsidR="00ED3EC1" w:rsidP="000920F0" w:rsidRDefault="00ED3EC1" w14:paraId="73C490FB" w14:textId="77777777">
      <w:pPr>
        <w:spacing w:line="276" w:lineRule="auto"/>
        <w:jc w:val="both"/>
        <w:rPr>
          <w:rFonts w:ascii="Arial" w:hAnsi="Arial" w:eastAsia="Calibri" w:cs="Arial"/>
          <w:color w:val="000000" w:themeColor="text1"/>
          <w:sz w:val="22"/>
          <w:lang w:val="es-ES_tradnl"/>
        </w:rPr>
      </w:pPr>
    </w:p>
    <w:p w:rsidRPr="00BB0780" w:rsidR="000920F0" w:rsidP="000920F0" w:rsidRDefault="000920F0" w14:paraId="544609D3" w14:textId="77777777">
      <w:pPr>
        <w:spacing w:line="276" w:lineRule="auto"/>
        <w:jc w:val="both"/>
        <w:rPr>
          <w:rFonts w:ascii="Arial" w:hAnsi="Arial" w:eastAsia="Calibri" w:cs="Arial"/>
          <w:color w:val="000000" w:themeColor="text1"/>
          <w:sz w:val="22"/>
          <w:lang w:val="es-ES_tradnl"/>
        </w:rPr>
      </w:pPr>
      <w:r w:rsidRPr="00BB0780">
        <w:rPr>
          <w:rFonts w:ascii="Arial" w:hAnsi="Arial" w:eastAsia="Calibri" w:cs="Arial"/>
          <w:color w:val="000000" w:themeColor="text1"/>
          <w:sz w:val="22"/>
          <w:lang w:val="es-ES_tradnl"/>
        </w:rPr>
        <w:t>Este concepto tiene el alcance previsto en el artículo 28 del Código de Procedimiento Administrativo y de lo Contencioso Administrativo.</w:t>
      </w:r>
    </w:p>
    <w:p w:rsidRPr="00BB0780" w:rsidR="001A7B0C" w:rsidP="000920F0" w:rsidRDefault="001A7B0C" w14:paraId="069E278A" w14:textId="77777777">
      <w:pPr>
        <w:spacing w:line="276" w:lineRule="auto"/>
        <w:rPr>
          <w:rFonts w:ascii="Arial" w:hAnsi="Arial" w:eastAsia="Calibri" w:cs="Arial"/>
          <w:color w:val="000000" w:themeColor="text1"/>
          <w:sz w:val="22"/>
          <w:lang w:val="es-ES_tradnl"/>
        </w:rPr>
      </w:pPr>
    </w:p>
    <w:p w:rsidRPr="00BB0780" w:rsidR="000920F0" w:rsidP="000920F0" w:rsidRDefault="000920F0" w14:paraId="537553D5" w14:textId="38CF5FE2">
      <w:pPr>
        <w:spacing w:line="276" w:lineRule="auto"/>
        <w:rPr>
          <w:rFonts w:ascii="Arial" w:hAnsi="Arial" w:cs="Arial"/>
          <w:color w:val="000000" w:themeColor="text1"/>
          <w:sz w:val="22"/>
          <w:lang w:val="es-ES_tradnl" w:eastAsia="es-CO"/>
        </w:rPr>
      </w:pPr>
      <w:r w:rsidRPr="112AF73B">
        <w:rPr>
          <w:rFonts w:ascii="Arial" w:hAnsi="Arial" w:cs="Arial"/>
          <w:color w:val="000000" w:themeColor="text1"/>
          <w:sz w:val="22"/>
          <w:lang w:val="es-ES" w:eastAsia="es-CO"/>
        </w:rPr>
        <w:t>Atentamente,</w:t>
      </w:r>
    </w:p>
    <w:p w:rsidRPr="00BB0780" w:rsidR="000920F0" w:rsidP="112AF73B" w:rsidRDefault="2A2B559B" w14:paraId="571DF5BC" w14:textId="0D12B719">
      <w:pPr>
        <w:spacing w:line="276" w:lineRule="auto"/>
        <w:jc w:val="center"/>
      </w:pPr>
      <w:r w:rsidR="2A2B559B">
        <w:drawing>
          <wp:inline wp14:editId="3DD9D0FD" wp14:anchorId="75026BB3">
            <wp:extent cx="2771775" cy="990600"/>
            <wp:effectExtent l="0" t="0" r="0" b="0"/>
            <wp:docPr id="949368717" name="Imagen 639400366" title=""/>
            <wp:cNvGraphicFramePr>
              <a:graphicFrameLocks noChangeAspect="1"/>
            </wp:cNvGraphicFramePr>
            <a:graphic>
              <a:graphicData uri="http://schemas.openxmlformats.org/drawingml/2006/picture">
                <pic:pic>
                  <pic:nvPicPr>
                    <pic:cNvPr id="0" name="Imagen 639400366"/>
                    <pic:cNvPicPr/>
                  </pic:nvPicPr>
                  <pic:blipFill>
                    <a:blip r:embed="R4922eb7743f74f4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1775" cy="990600"/>
                    </a:xfrm>
                    <a:prstGeom prst="rect">
                      <a:avLst/>
                    </a:prstGeom>
                  </pic:spPr>
                </pic:pic>
              </a:graphicData>
            </a:graphic>
          </wp:inline>
        </w:drawing>
      </w:r>
    </w:p>
    <w:p w:rsidR="112AF73B" w:rsidP="112AF73B" w:rsidRDefault="112AF73B" w14:paraId="1F299970" w14:textId="1E8F9108">
      <w:pPr>
        <w:spacing w:line="276" w:lineRule="auto"/>
        <w:jc w:val="cente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BB0780" w:rsidR="00BB0780" w:rsidTr="006C2E14" w14:paraId="5F526272" w14:textId="77777777">
        <w:trPr>
          <w:trHeight w:val="315"/>
        </w:trPr>
        <w:tc>
          <w:tcPr>
            <w:tcW w:w="812" w:type="dxa"/>
            <w:vAlign w:val="center"/>
            <w:hideMark/>
          </w:tcPr>
          <w:p w:rsidRPr="00BB0780" w:rsidR="000920F0" w:rsidP="006C2E14" w:rsidRDefault="000920F0" w14:paraId="33690198" w14:textId="77777777">
            <w:pPr>
              <w:spacing w:line="276" w:lineRule="auto"/>
              <w:rPr>
                <w:rFonts w:ascii="Arial" w:hAnsi="Arial" w:cs="Arial"/>
                <w:color w:val="000000" w:themeColor="text1"/>
                <w:sz w:val="16"/>
                <w:szCs w:val="16"/>
                <w:lang w:val="es-ES_tradnl" w:eastAsia="es-ES"/>
              </w:rPr>
            </w:pPr>
            <w:r w:rsidRPr="00BB0780">
              <w:rPr>
                <w:rFonts w:ascii="Arial" w:hAnsi="Arial"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BB0780" w:rsidR="000920F0" w:rsidP="006C2E14" w:rsidRDefault="00696A12" w14:paraId="26EF6323" w14:textId="77777777">
            <w:pPr>
              <w:spacing w:line="276" w:lineRule="auto"/>
              <w:rPr>
                <w:rFonts w:ascii="Arial" w:hAnsi="Arial" w:cs="Arial"/>
                <w:color w:val="000000" w:themeColor="text1"/>
                <w:sz w:val="16"/>
                <w:szCs w:val="16"/>
                <w:lang w:val="es-ES_tradnl" w:eastAsia="es-ES"/>
              </w:rPr>
            </w:pPr>
            <w:r w:rsidRPr="00BB0780">
              <w:rPr>
                <w:rFonts w:ascii="Arial" w:hAnsi="Arial" w:cs="Arial"/>
                <w:color w:val="000000" w:themeColor="text1"/>
                <w:sz w:val="16"/>
                <w:szCs w:val="16"/>
                <w:lang w:val="es-ES_tradnl" w:eastAsia="es-ES"/>
              </w:rPr>
              <w:t>David Castellanos Carreño</w:t>
            </w:r>
          </w:p>
          <w:p w:rsidRPr="00BB0780" w:rsidR="00C727E6" w:rsidP="006C2E14" w:rsidRDefault="00C727E6" w14:paraId="5E6EE4F5" w14:textId="2A6B5A82">
            <w:pPr>
              <w:spacing w:line="276" w:lineRule="auto"/>
              <w:rPr>
                <w:rFonts w:ascii="Arial" w:hAnsi="Arial" w:cs="Arial"/>
                <w:color w:val="000000" w:themeColor="text1"/>
                <w:sz w:val="16"/>
                <w:szCs w:val="16"/>
                <w:lang w:val="es-ES_tradnl" w:eastAsia="es-ES"/>
              </w:rPr>
            </w:pPr>
            <w:r w:rsidRPr="00BB0780">
              <w:rPr>
                <w:rFonts w:ascii="Arial" w:hAnsi="Arial" w:cs="Arial"/>
                <w:color w:val="000000" w:themeColor="text1"/>
                <w:sz w:val="16"/>
                <w:szCs w:val="16"/>
                <w:lang w:val="es-ES_tradnl" w:eastAsia="es-ES"/>
              </w:rPr>
              <w:t>Contratista de Subdirección de Gestión Contractual</w:t>
            </w:r>
          </w:p>
        </w:tc>
      </w:tr>
      <w:tr w:rsidRPr="00BB0780" w:rsidR="00BB0780" w:rsidTr="006C2E14" w14:paraId="0C137F1C" w14:textId="77777777">
        <w:trPr>
          <w:trHeight w:val="330"/>
        </w:trPr>
        <w:tc>
          <w:tcPr>
            <w:tcW w:w="812" w:type="dxa"/>
            <w:vAlign w:val="center"/>
            <w:hideMark/>
          </w:tcPr>
          <w:p w:rsidRPr="00BB0780" w:rsidR="000920F0" w:rsidP="006C2E14" w:rsidRDefault="000920F0" w14:paraId="76978847" w14:textId="77777777">
            <w:pPr>
              <w:spacing w:line="276" w:lineRule="auto"/>
              <w:rPr>
                <w:rFonts w:ascii="Arial" w:hAnsi="Arial" w:cs="Arial"/>
                <w:color w:val="000000" w:themeColor="text1"/>
                <w:sz w:val="16"/>
                <w:szCs w:val="16"/>
                <w:lang w:val="es-ES_tradnl" w:eastAsia="es-ES"/>
              </w:rPr>
            </w:pPr>
            <w:r w:rsidRPr="00BB0780">
              <w:rPr>
                <w:rFonts w:ascii="Arial" w:hAnsi="Arial"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BB0780" w:rsidR="000920F0" w:rsidP="006C2E14" w:rsidRDefault="00770687" w14:paraId="2E53F5F8" w14:textId="51B66AC5">
            <w:pPr>
              <w:spacing w:line="276" w:lineRule="auto"/>
              <w:rPr>
                <w:rFonts w:ascii="Arial" w:hAnsi="Arial" w:cs="Arial"/>
                <w:color w:val="000000" w:themeColor="text1"/>
                <w:sz w:val="16"/>
                <w:szCs w:val="16"/>
                <w:lang w:val="es-ES_tradnl" w:eastAsia="es-ES"/>
              </w:rPr>
            </w:pPr>
            <w:r w:rsidRPr="00BB0780">
              <w:rPr>
                <w:rFonts w:ascii="Arial" w:hAnsi="Arial" w:cs="Arial"/>
                <w:color w:val="000000" w:themeColor="text1"/>
                <w:sz w:val="16"/>
                <w:szCs w:val="16"/>
                <w:lang w:val="es-ES_tradnl" w:eastAsia="es-ES"/>
              </w:rPr>
              <w:t>Cristian An</w:t>
            </w:r>
            <w:r w:rsidRPr="00BB0780" w:rsidR="00C04656">
              <w:rPr>
                <w:rFonts w:ascii="Arial" w:hAnsi="Arial" w:cs="Arial"/>
                <w:color w:val="000000" w:themeColor="text1"/>
                <w:sz w:val="16"/>
                <w:szCs w:val="16"/>
                <w:lang w:val="es-ES_tradnl" w:eastAsia="es-ES"/>
              </w:rPr>
              <w:t>drés Díaz Díez</w:t>
            </w:r>
          </w:p>
          <w:p w:rsidRPr="00BB0780" w:rsidR="000920F0" w:rsidP="006C2E14" w:rsidRDefault="00011A95" w14:paraId="660FED67" w14:textId="5E2AF0EA">
            <w:pPr>
              <w:spacing w:line="276" w:lineRule="auto"/>
              <w:rPr>
                <w:rFonts w:ascii="Arial" w:hAnsi="Arial" w:cs="Arial"/>
                <w:color w:val="000000" w:themeColor="text1"/>
                <w:sz w:val="16"/>
                <w:szCs w:val="16"/>
                <w:lang w:val="es-ES_tradnl" w:eastAsia="es-ES"/>
              </w:rPr>
            </w:pPr>
            <w:r w:rsidRPr="00BB0780">
              <w:rPr>
                <w:rFonts w:ascii="Arial" w:hAnsi="Arial" w:cs="Arial"/>
                <w:color w:val="000000" w:themeColor="text1"/>
                <w:sz w:val="16"/>
                <w:szCs w:val="16"/>
                <w:lang w:val="es-ES_tradnl" w:eastAsia="es-ES"/>
              </w:rPr>
              <w:t xml:space="preserve">Contratista, </w:t>
            </w:r>
            <w:r w:rsidRPr="00BB0780" w:rsidR="000920F0">
              <w:rPr>
                <w:rFonts w:ascii="Arial" w:hAnsi="Arial" w:cs="Arial"/>
                <w:color w:val="000000" w:themeColor="text1"/>
                <w:sz w:val="16"/>
                <w:szCs w:val="16"/>
                <w:lang w:val="es-ES_tradnl" w:eastAsia="es-ES"/>
              </w:rPr>
              <w:t>Subdirec</w:t>
            </w:r>
            <w:r w:rsidRPr="00BB0780">
              <w:rPr>
                <w:rFonts w:ascii="Arial" w:hAnsi="Arial" w:cs="Arial"/>
                <w:color w:val="000000" w:themeColor="text1"/>
                <w:sz w:val="16"/>
                <w:szCs w:val="16"/>
                <w:lang w:val="es-ES_tradnl" w:eastAsia="es-ES"/>
              </w:rPr>
              <w:t>ción</w:t>
            </w:r>
            <w:r w:rsidRPr="00BB0780" w:rsidR="000920F0">
              <w:rPr>
                <w:rFonts w:ascii="Arial" w:hAnsi="Arial" w:cs="Arial"/>
                <w:color w:val="000000" w:themeColor="text1"/>
                <w:sz w:val="16"/>
                <w:szCs w:val="16"/>
                <w:lang w:val="es-ES_tradnl" w:eastAsia="es-ES"/>
              </w:rPr>
              <w:t xml:space="preserve"> de Gestión Contractual</w:t>
            </w:r>
          </w:p>
        </w:tc>
      </w:tr>
      <w:tr w:rsidRPr="00BB0780" w:rsidR="000920F0" w:rsidTr="006C2E14" w14:paraId="59D3F9A5" w14:textId="77777777">
        <w:trPr>
          <w:trHeight w:val="300"/>
        </w:trPr>
        <w:tc>
          <w:tcPr>
            <w:tcW w:w="812" w:type="dxa"/>
            <w:vAlign w:val="center"/>
            <w:hideMark/>
          </w:tcPr>
          <w:p w:rsidRPr="00BB0780" w:rsidR="000920F0" w:rsidP="006C2E14" w:rsidRDefault="000920F0" w14:paraId="62FFFDDB" w14:textId="77777777">
            <w:pPr>
              <w:spacing w:line="276" w:lineRule="auto"/>
              <w:rPr>
                <w:rFonts w:ascii="Arial" w:hAnsi="Arial" w:cs="Arial"/>
                <w:color w:val="000000" w:themeColor="text1"/>
                <w:sz w:val="16"/>
                <w:szCs w:val="16"/>
                <w:lang w:val="es-ES_tradnl" w:eastAsia="es-ES"/>
              </w:rPr>
            </w:pPr>
            <w:r w:rsidRPr="00BB0780">
              <w:rPr>
                <w:rFonts w:ascii="Arial" w:hAnsi="Arial"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BB0780" w:rsidR="000920F0" w:rsidP="006C2E14" w:rsidRDefault="000920F0" w14:paraId="11BAAC9A" w14:textId="77777777">
            <w:pPr>
              <w:spacing w:line="276" w:lineRule="auto"/>
              <w:rPr>
                <w:rFonts w:ascii="Arial" w:hAnsi="Arial" w:cs="Arial"/>
                <w:color w:val="000000" w:themeColor="text1"/>
                <w:sz w:val="16"/>
                <w:szCs w:val="16"/>
                <w:lang w:val="es-ES_tradnl" w:eastAsia="es-ES"/>
              </w:rPr>
            </w:pPr>
            <w:r w:rsidRPr="00BB0780">
              <w:rPr>
                <w:rFonts w:ascii="Arial" w:hAnsi="Arial" w:cs="Arial"/>
                <w:color w:val="000000" w:themeColor="text1"/>
                <w:sz w:val="16"/>
                <w:szCs w:val="16"/>
                <w:lang w:val="es-ES_tradnl" w:eastAsia="es-ES"/>
              </w:rPr>
              <w:t>Fabián Gonzalo Marín Cortés</w:t>
            </w:r>
          </w:p>
          <w:p w:rsidRPr="00BB0780" w:rsidR="000920F0" w:rsidP="006C2E14" w:rsidRDefault="000920F0" w14:paraId="417C54F4" w14:textId="77777777">
            <w:pPr>
              <w:spacing w:line="276" w:lineRule="auto"/>
              <w:rPr>
                <w:rFonts w:ascii="Arial" w:hAnsi="Arial" w:cs="Arial"/>
                <w:color w:val="000000" w:themeColor="text1"/>
                <w:sz w:val="16"/>
                <w:szCs w:val="16"/>
                <w:lang w:val="es-ES_tradnl" w:eastAsia="es-ES"/>
              </w:rPr>
            </w:pPr>
            <w:r w:rsidRPr="00BB0780">
              <w:rPr>
                <w:rFonts w:ascii="Arial" w:hAnsi="Arial" w:cs="Arial"/>
                <w:color w:val="000000" w:themeColor="text1"/>
                <w:sz w:val="16"/>
                <w:szCs w:val="16"/>
                <w:lang w:val="es-ES_tradnl" w:eastAsia="es-ES"/>
              </w:rPr>
              <w:t>Subdirector de Gestión Contractual</w:t>
            </w:r>
          </w:p>
        </w:tc>
      </w:tr>
      <w:bookmarkEnd w:id="2"/>
    </w:tbl>
    <w:p w:rsidRPr="00BB0780" w:rsidR="007B0854" w:rsidP="000920F0" w:rsidRDefault="007B0854" w14:paraId="7EBF297E" w14:textId="77777777">
      <w:pPr>
        <w:rPr>
          <w:color w:val="000000" w:themeColor="text1"/>
          <w:lang w:val="es-ES_tradnl"/>
        </w:rPr>
      </w:pPr>
    </w:p>
    <w:sectPr w:rsidRPr="00BB0780" w:rsidR="007B0854" w:rsidSect="004A34D2">
      <w:headerReference w:type="default" r:id="rId12"/>
      <w:footerReference w:type="default" r:id="rId13"/>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1101B" w:rsidRDefault="0081101B" w14:paraId="7D6ADECA" w14:textId="77777777">
      <w:r>
        <w:separator/>
      </w:r>
    </w:p>
  </w:endnote>
  <w:endnote w:type="continuationSeparator" w:id="0">
    <w:p w:rsidR="0081101B" w:rsidRDefault="0081101B" w14:paraId="68043E8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72936" w:rsidP="00F72936" w:rsidRDefault="00F72936" w14:paraId="1D1A5F74" w14:textId="77777777">
    <w:pPr>
      <w:pStyle w:val="Sinespaciado"/>
      <w:jc w:val="right"/>
      <w:rPr>
        <w:rFonts w:ascii="Arial" w:hAnsi="Arial" w:cs="Arial"/>
        <w:sz w:val="18"/>
        <w:szCs w:val="18"/>
      </w:rPr>
    </w:pPr>
  </w:p>
  <w:p w:rsidRPr="008217B7" w:rsidR="00F72936" w:rsidP="00F72936" w:rsidRDefault="00F72936" w14:paraId="17CC9D90" w14:textId="7777777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D4B59">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D4B59">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rsidR="00F72936" w:rsidP="00F72936" w:rsidRDefault="112AF73B" w14:paraId="1FC56E89" w14:textId="77777777">
    <w:pPr>
      <w:pStyle w:val="Piedepgina"/>
      <w:jc w:val="center"/>
      <w:rPr>
        <w:lang w:val="es-ES"/>
      </w:rPr>
    </w:pPr>
    <w:r w:rsidR="54C9054F">
      <w:drawing>
        <wp:inline wp14:editId="56B0EDF3" wp14:anchorId="29A046D9">
          <wp:extent cx="3700130" cy="519139"/>
          <wp:effectExtent l="0" t="0" r="0" b="0"/>
          <wp:docPr id="1849592701" name="Imagen 3" title=""/>
          <wp:cNvGraphicFramePr>
            <a:graphicFrameLocks noChangeAspect="1"/>
          </wp:cNvGraphicFramePr>
          <a:graphic>
            <a:graphicData uri="http://schemas.openxmlformats.org/drawingml/2006/picture">
              <pic:pic>
                <pic:nvPicPr>
                  <pic:cNvPr id="0" name="Imagen 3"/>
                  <pic:cNvPicPr/>
                </pic:nvPicPr>
                <pic:blipFill>
                  <a:blip r:embed="R1303df4dd1474ab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F72936" w:rsidP="00F72936" w:rsidRDefault="00F72936" w14:paraId="742E53B6" w14:textId="77777777">
    <w:pPr>
      <w:pStyle w:val="Piedepgina"/>
      <w:jc w:val="center"/>
      <w:rPr>
        <w:lang w:val="es-ES"/>
      </w:rPr>
    </w:pPr>
  </w:p>
  <w:p w:rsidRPr="007B0854" w:rsidR="00F72936" w:rsidP="00F72936" w:rsidRDefault="00F72936" w14:paraId="304E5412" w14:textId="77777777">
    <w:pPr>
      <w:pStyle w:val="Piedepgina"/>
      <w:jc w:val="center"/>
      <w:rPr>
        <w:lang w:val="es-ES"/>
      </w:rPr>
    </w:pPr>
  </w:p>
  <w:p w:rsidRPr="00856133" w:rsidR="00F72936" w:rsidP="00F72936" w:rsidRDefault="00F72936" w14:paraId="47FC0032" w14:textId="77777777">
    <w:pPr>
      <w:pStyle w:val="Piedepgina"/>
    </w:pPr>
  </w:p>
  <w:p w:rsidRPr="00F72936" w:rsidR="004A34D2" w:rsidP="00F72936" w:rsidRDefault="004A34D2" w14:paraId="6C0EFC4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1101B" w:rsidRDefault="0081101B" w14:paraId="1BC103A2" w14:textId="77777777">
      <w:r>
        <w:separator/>
      </w:r>
    </w:p>
  </w:footnote>
  <w:footnote w:type="continuationSeparator" w:id="0">
    <w:p w:rsidR="0081101B" w:rsidRDefault="0081101B" w14:paraId="7B35B762" w14:textId="77777777">
      <w:r>
        <w:continuationSeparator/>
      </w:r>
    </w:p>
  </w:footnote>
  <w:footnote w:id="1">
    <w:p w:rsidRPr="00BB0780" w:rsidR="0073536E" w:rsidP="002E46AB" w:rsidRDefault="0073536E" w14:paraId="7AD9E03A" w14:textId="77777777">
      <w:pPr>
        <w:pStyle w:val="Textonotapie"/>
        <w:ind w:firstLine="708"/>
        <w:jc w:val="both"/>
        <w:rPr>
          <w:rFonts w:ascii="Arial" w:hAnsi="Arial" w:cs="Arial"/>
          <w:color w:val="000000" w:themeColor="text1"/>
          <w:sz w:val="19"/>
          <w:szCs w:val="19"/>
        </w:rPr>
      </w:pPr>
      <w:r w:rsidRPr="00BB0780">
        <w:rPr>
          <w:rStyle w:val="Refdenotaalpie"/>
          <w:rFonts w:ascii="Arial" w:hAnsi="Arial" w:cs="Arial"/>
          <w:color w:val="000000" w:themeColor="text1"/>
          <w:sz w:val="19"/>
          <w:szCs w:val="19"/>
        </w:rPr>
        <w:footnoteRef/>
      </w:r>
      <w:r w:rsidRPr="00BB0780">
        <w:rPr>
          <w:rFonts w:ascii="Arial" w:hAnsi="Arial" w:cs="Arial"/>
          <w:color w:val="000000" w:themeColor="text1"/>
          <w:sz w:val="19"/>
          <w:szCs w:val="19"/>
        </w:rPr>
        <w:t xml:space="preserve"> Corte Constitucional. Sentencia C- 341 del 4 de junio de 2014. M. P. Mauricio González Cuervo.</w:t>
      </w:r>
    </w:p>
    <w:p w:rsidRPr="00BB0780" w:rsidR="0073536E" w:rsidP="002E46AB" w:rsidRDefault="0073536E" w14:paraId="137BFD0C" w14:textId="77777777">
      <w:pPr>
        <w:pStyle w:val="Textonotapie"/>
        <w:ind w:firstLine="708"/>
        <w:jc w:val="both"/>
        <w:rPr>
          <w:rFonts w:ascii="Arial" w:hAnsi="Arial" w:cs="Arial"/>
          <w:color w:val="000000" w:themeColor="text1"/>
          <w:sz w:val="19"/>
          <w:szCs w:val="19"/>
          <w:lang w:val="es-CO"/>
        </w:rPr>
      </w:pPr>
    </w:p>
  </w:footnote>
  <w:footnote w:id="2">
    <w:p w:rsidRPr="00BB0780" w:rsidR="0073536E" w:rsidP="002E46AB" w:rsidRDefault="0073536E" w14:paraId="16A75F19" w14:textId="77777777">
      <w:pPr>
        <w:pStyle w:val="Textonotapie"/>
        <w:ind w:firstLine="708"/>
        <w:jc w:val="both"/>
        <w:rPr>
          <w:rFonts w:ascii="Arial" w:hAnsi="Arial" w:cs="Arial"/>
          <w:color w:val="000000" w:themeColor="text1"/>
          <w:sz w:val="19"/>
          <w:szCs w:val="19"/>
        </w:rPr>
      </w:pPr>
      <w:r w:rsidRPr="00BB0780">
        <w:rPr>
          <w:rStyle w:val="Refdenotaalpie"/>
          <w:rFonts w:ascii="Arial" w:hAnsi="Arial" w:cs="Arial"/>
          <w:color w:val="000000" w:themeColor="text1"/>
          <w:sz w:val="19"/>
          <w:szCs w:val="19"/>
        </w:rPr>
        <w:footnoteRef/>
      </w:r>
      <w:r w:rsidRPr="00BB0780">
        <w:rPr>
          <w:rFonts w:ascii="Arial" w:hAnsi="Arial" w:cs="Arial"/>
          <w:color w:val="000000" w:themeColor="text1"/>
          <w:sz w:val="19"/>
          <w:szCs w:val="19"/>
        </w:rPr>
        <w:t xml:space="preserve"> Ley 1150 de 2007: «Artículo 3. De conformidad con lo dispuesto en la Ley 527 de</w:t>
      </w:r>
      <w:r w:rsidRPr="00BB0780">
        <w:rPr>
          <w:rFonts w:ascii="Arial" w:hAnsi="Arial" w:cs="Arial"/>
          <w:color w:val="000000" w:themeColor="text1"/>
          <w:sz w:val="19"/>
          <w:szCs w:val="19"/>
        </w:rPr>
        <w:t xml:space="preserv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rsidRPr="00BB0780" w:rsidR="0073536E" w:rsidP="002E46AB" w:rsidRDefault="0073536E" w14:paraId="2DF7FC3A" w14:textId="77777777">
      <w:pPr>
        <w:pStyle w:val="Textonotapie"/>
        <w:ind w:firstLine="708"/>
        <w:jc w:val="both"/>
        <w:rPr>
          <w:rFonts w:ascii="Arial" w:hAnsi="Arial" w:cs="Arial"/>
          <w:color w:val="000000" w:themeColor="text1"/>
          <w:sz w:val="19"/>
          <w:szCs w:val="19"/>
        </w:rPr>
      </w:pPr>
      <w:proofErr w:type="gramStart"/>
      <w:r w:rsidRPr="00BB0780">
        <w:rPr>
          <w:rFonts w:ascii="Arial" w:hAnsi="Arial" w:cs="Arial"/>
          <w:color w:val="000000" w:themeColor="text1"/>
          <w:sz w:val="19"/>
          <w:szCs w:val="19"/>
        </w:rPr>
        <w:t>»Lo</w:t>
      </w:r>
      <w:proofErr w:type="gramEnd"/>
      <w:r w:rsidRPr="00BB0780">
        <w:rPr>
          <w:rFonts w:ascii="Arial" w:hAnsi="Arial" w:cs="Arial"/>
          <w:color w:val="000000" w:themeColor="text1"/>
          <w:sz w:val="19"/>
          <w:szCs w:val="19"/>
        </w:rPr>
        <w:t xml:space="preserve"> anterior, sin perjuicio de las publicaciones previstas en el numeral 3 del artículo 30 de la Ley 80 de 1993.</w:t>
      </w:r>
    </w:p>
    <w:p w:rsidRPr="00BB0780" w:rsidR="0073536E" w:rsidP="002E46AB" w:rsidRDefault="0073536E" w14:paraId="1D94151D" w14:textId="77777777">
      <w:pPr>
        <w:pStyle w:val="Textonotapie"/>
        <w:ind w:firstLine="708"/>
        <w:jc w:val="both"/>
        <w:rPr>
          <w:rFonts w:ascii="Arial" w:hAnsi="Arial" w:cs="Arial"/>
          <w:color w:val="000000" w:themeColor="text1"/>
          <w:sz w:val="19"/>
          <w:szCs w:val="19"/>
        </w:rPr>
      </w:pPr>
      <w:proofErr w:type="gramStart"/>
      <w:r w:rsidRPr="00BB0780">
        <w:rPr>
          <w:rFonts w:ascii="Arial" w:hAnsi="Arial" w:cs="Arial"/>
          <w:color w:val="000000" w:themeColor="text1"/>
          <w:sz w:val="19"/>
          <w:szCs w:val="19"/>
        </w:rPr>
        <w:t>»Con</w:t>
      </w:r>
      <w:proofErr w:type="gramEnd"/>
      <w:r w:rsidRPr="00BB0780">
        <w:rPr>
          <w:rFonts w:ascii="Arial" w:hAnsi="Arial" w:cs="Arial"/>
          <w:color w:val="000000" w:themeColor="text1"/>
          <w:sz w:val="19"/>
          <w:szCs w:val="19"/>
        </w:rPr>
        <w:t xml:space="preserve"> el fin de materializar los objetivos a que se refiere el inciso anterior, el Gobierno Nacional desarrollará el Sistema Electrónico para la Contratación Pública, Secop, el cual: </w:t>
      </w:r>
    </w:p>
    <w:p w:rsidRPr="00BB0780" w:rsidR="0073536E" w:rsidP="002E46AB" w:rsidRDefault="0073536E" w14:paraId="54FABD6B" w14:textId="77777777">
      <w:pPr>
        <w:pStyle w:val="Textonotapie"/>
        <w:ind w:firstLine="708"/>
        <w:jc w:val="both"/>
        <w:rPr>
          <w:rFonts w:ascii="Arial" w:hAnsi="Arial" w:cs="Arial"/>
          <w:color w:val="000000" w:themeColor="text1"/>
          <w:sz w:val="19"/>
          <w:szCs w:val="19"/>
        </w:rPr>
      </w:pPr>
      <w:r w:rsidRPr="00BB0780">
        <w:rPr>
          <w:rFonts w:ascii="Arial" w:hAnsi="Arial" w:cs="Arial"/>
          <w:color w:val="000000" w:themeColor="text1"/>
          <w:sz w:val="19"/>
          <w:szCs w:val="19"/>
        </w:rPr>
        <w:t>[…]</w:t>
      </w:r>
    </w:p>
    <w:p w:rsidRPr="00BB0780" w:rsidR="0073536E" w:rsidP="002E46AB" w:rsidRDefault="0073536E" w14:paraId="3241A171" w14:textId="77777777">
      <w:pPr>
        <w:pStyle w:val="Textonotapie"/>
        <w:ind w:firstLine="708"/>
        <w:jc w:val="both"/>
        <w:rPr>
          <w:rFonts w:ascii="Arial" w:hAnsi="Arial" w:cs="Arial"/>
          <w:color w:val="000000" w:themeColor="text1"/>
          <w:sz w:val="19"/>
          <w:szCs w:val="19"/>
        </w:rPr>
      </w:pPr>
      <w:r w:rsidRPr="00BB0780">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rsidRPr="00BB0780" w:rsidR="0073536E" w:rsidP="002E46AB" w:rsidRDefault="0073536E" w14:paraId="1ADB314A" w14:textId="77777777">
      <w:pPr>
        <w:pStyle w:val="Textonotapie"/>
        <w:ind w:firstLine="708"/>
        <w:jc w:val="both"/>
        <w:rPr>
          <w:rFonts w:ascii="Arial" w:hAnsi="Arial" w:cs="Arial"/>
          <w:color w:val="000000" w:themeColor="text1"/>
          <w:sz w:val="19"/>
          <w:szCs w:val="19"/>
        </w:rPr>
      </w:pPr>
    </w:p>
  </w:footnote>
  <w:footnote w:id="3">
    <w:p w:rsidRPr="00BB0780" w:rsidR="0073536E" w:rsidP="002E46AB" w:rsidRDefault="0073536E" w14:paraId="65FE9110" w14:textId="77777777">
      <w:pPr>
        <w:pStyle w:val="Textonotapie"/>
        <w:ind w:firstLine="708"/>
        <w:jc w:val="both"/>
        <w:rPr>
          <w:rFonts w:ascii="Arial" w:hAnsi="Arial" w:cs="Arial"/>
          <w:color w:val="000000" w:themeColor="text1"/>
          <w:sz w:val="19"/>
          <w:szCs w:val="19"/>
        </w:rPr>
      </w:pPr>
      <w:r w:rsidRPr="00BB0780">
        <w:rPr>
          <w:rStyle w:val="Refdenotaalpie"/>
          <w:rFonts w:ascii="Arial" w:hAnsi="Arial" w:cs="Arial"/>
          <w:color w:val="000000" w:themeColor="text1"/>
          <w:sz w:val="19"/>
          <w:szCs w:val="19"/>
        </w:rPr>
        <w:footnoteRef/>
      </w:r>
      <w:r w:rsidRPr="00BB0780">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rsidRPr="00BB0780" w:rsidR="0073536E" w:rsidP="002E46AB" w:rsidRDefault="0073536E" w14:paraId="721000F4" w14:textId="77777777">
      <w:pPr>
        <w:pStyle w:val="Textonotapie"/>
        <w:ind w:firstLine="708"/>
        <w:jc w:val="both"/>
        <w:rPr>
          <w:rFonts w:ascii="Arial" w:hAnsi="Arial" w:cs="Arial"/>
          <w:color w:val="000000" w:themeColor="text1"/>
          <w:sz w:val="19"/>
          <w:szCs w:val="19"/>
        </w:rPr>
      </w:pPr>
    </w:p>
  </w:footnote>
  <w:footnote w:id="4">
    <w:p w:rsidRPr="00BB0780" w:rsidR="0073536E" w:rsidP="002E46AB" w:rsidRDefault="0073536E" w14:paraId="6B01914A" w14:textId="77777777">
      <w:pPr>
        <w:pStyle w:val="Textonotapie"/>
        <w:ind w:firstLine="708"/>
        <w:jc w:val="both"/>
        <w:rPr>
          <w:rFonts w:ascii="Arial" w:hAnsi="Arial" w:cs="Arial"/>
          <w:color w:val="000000" w:themeColor="text1"/>
          <w:sz w:val="19"/>
          <w:szCs w:val="19"/>
        </w:rPr>
      </w:pPr>
      <w:r w:rsidRPr="00BB0780">
        <w:rPr>
          <w:rStyle w:val="Refdenotaalpie"/>
          <w:rFonts w:ascii="Arial" w:hAnsi="Arial" w:cs="Arial"/>
          <w:color w:val="000000" w:themeColor="text1"/>
          <w:sz w:val="19"/>
          <w:szCs w:val="19"/>
        </w:rPr>
        <w:footnoteRef/>
      </w:r>
      <w:r w:rsidRPr="00BB0780">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rsidRPr="00BB0780" w:rsidR="0073536E" w:rsidP="002E46AB" w:rsidRDefault="0073536E" w14:paraId="362FBF71" w14:textId="77777777">
      <w:pPr>
        <w:pStyle w:val="Textonotapie"/>
        <w:ind w:firstLine="708"/>
        <w:jc w:val="both"/>
        <w:rPr>
          <w:rFonts w:ascii="Arial" w:hAnsi="Arial" w:cs="Arial"/>
          <w:color w:val="000000" w:themeColor="text1"/>
          <w:sz w:val="19"/>
          <w:szCs w:val="19"/>
        </w:rPr>
      </w:pPr>
      <w:r w:rsidRPr="00BB0780">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rsidRPr="00BB0780" w:rsidR="0073536E" w:rsidP="002E46AB" w:rsidRDefault="0073536E" w14:paraId="60D019C1" w14:textId="77777777">
      <w:pPr>
        <w:pStyle w:val="Textonotapie"/>
        <w:jc w:val="both"/>
        <w:rPr>
          <w:rFonts w:ascii="Arial" w:hAnsi="Arial" w:cs="Arial"/>
          <w:color w:val="000000" w:themeColor="text1"/>
          <w:sz w:val="19"/>
          <w:szCs w:val="19"/>
          <w:lang w:val="es-CO"/>
        </w:rPr>
      </w:pPr>
    </w:p>
  </w:footnote>
  <w:footnote w:id="5">
    <w:p w:rsidRPr="00BB0780" w:rsidR="0073536E" w:rsidP="002E46AB" w:rsidRDefault="0073536E" w14:paraId="2A78FACC" w14:textId="77777777">
      <w:pPr>
        <w:pStyle w:val="Textonotapie"/>
        <w:ind w:firstLine="709"/>
        <w:jc w:val="both"/>
        <w:rPr>
          <w:rFonts w:ascii="Arial" w:hAnsi="Arial" w:cs="Arial"/>
          <w:color w:val="000000" w:themeColor="text1"/>
          <w:sz w:val="19"/>
          <w:szCs w:val="19"/>
        </w:rPr>
      </w:pPr>
      <w:r w:rsidRPr="00BB0780">
        <w:rPr>
          <w:rFonts w:ascii="Arial" w:hAnsi="Arial" w:eastAsia="Times New Roman" w:cs="Arial"/>
          <w:color w:val="000000" w:themeColor="text1"/>
          <w:sz w:val="19"/>
          <w:szCs w:val="19"/>
          <w:vertAlign w:val="superscript"/>
          <w:lang w:val="es-ES" w:eastAsia="es-ES"/>
        </w:rPr>
        <w:footnoteRef/>
      </w:r>
      <w:r w:rsidRPr="00BB0780">
        <w:rPr>
          <w:rFonts w:ascii="Arial" w:hAnsi="Arial" w:eastAsia="Times New Roman" w:cs="Arial"/>
          <w:color w:val="000000" w:themeColor="text1"/>
          <w:sz w:val="19"/>
          <w:szCs w:val="19"/>
          <w:vertAlign w:val="superscript"/>
          <w:lang w:val="es-ES" w:eastAsia="es-ES"/>
        </w:rPr>
        <w:t xml:space="preserve"> </w:t>
      </w:r>
      <w:r w:rsidRPr="00BB0780">
        <w:rPr>
          <w:rFonts w:ascii="Arial" w:hAnsi="Arial" w:eastAsia="Times New Roman" w:cs="Arial"/>
          <w:color w:val="000000" w:themeColor="text1"/>
          <w:sz w:val="19"/>
          <w:szCs w:val="19"/>
          <w:lang w:val="es-ES" w:eastAsia="es-ES"/>
        </w:rPr>
        <w:t>«</w:t>
      </w:r>
      <w:r w:rsidRPr="00BB0780">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rsidRPr="00BB0780" w:rsidR="0073536E" w:rsidP="002E46AB" w:rsidRDefault="0073536E" w14:paraId="7E3A3D58" w14:textId="77777777">
      <w:pPr>
        <w:pStyle w:val="Textonotapie"/>
        <w:ind w:firstLine="709"/>
        <w:jc w:val="both"/>
        <w:rPr>
          <w:rFonts w:ascii="Arial" w:hAnsi="Arial" w:cs="Arial"/>
          <w:color w:val="000000" w:themeColor="text1"/>
          <w:sz w:val="19"/>
          <w:szCs w:val="19"/>
        </w:rPr>
      </w:pPr>
      <w:r w:rsidRPr="00BB0780">
        <w:rPr>
          <w:rFonts w:ascii="Arial" w:hAnsi="Arial" w:cs="Arial"/>
          <w:color w:val="000000" w:themeColor="text1"/>
          <w:sz w:val="19"/>
          <w:szCs w:val="19"/>
        </w:rPr>
        <w:t>[…]</w:t>
      </w:r>
    </w:p>
    <w:p w:rsidRPr="00BB0780" w:rsidR="0073536E" w:rsidP="002E46AB" w:rsidRDefault="0073536E" w14:paraId="1B5065FD" w14:textId="77777777">
      <w:pPr>
        <w:pStyle w:val="Textonotapie"/>
        <w:ind w:firstLine="709"/>
        <w:jc w:val="both"/>
        <w:rPr>
          <w:rFonts w:ascii="Arial" w:hAnsi="Arial" w:cs="Arial"/>
          <w:color w:val="000000" w:themeColor="text1"/>
          <w:sz w:val="19"/>
          <w:szCs w:val="19"/>
        </w:rPr>
      </w:pPr>
    </w:p>
    <w:p w:rsidRPr="00BB0780" w:rsidR="0073536E" w:rsidP="002E46AB" w:rsidRDefault="0073536E" w14:paraId="766548B0" w14:textId="77777777">
      <w:pPr>
        <w:pStyle w:val="Textonotapie"/>
        <w:ind w:firstLine="709"/>
        <w:jc w:val="both"/>
        <w:rPr>
          <w:rFonts w:ascii="Arial" w:hAnsi="Arial" w:eastAsia="Times New Roman" w:cs="Arial"/>
          <w:color w:val="000000" w:themeColor="text1"/>
          <w:sz w:val="19"/>
          <w:szCs w:val="19"/>
          <w:lang w:val="es-ES" w:eastAsia="es-ES"/>
        </w:rPr>
      </w:pPr>
      <w:r w:rsidRPr="00BB0780">
        <w:rPr>
          <w:rFonts w:ascii="Arial" w:hAnsi="Arial" w:eastAsia="Times New Roman"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rsidRPr="00BB0780" w:rsidR="0073536E" w:rsidP="002E46AB" w:rsidRDefault="0073536E" w14:paraId="26A28778" w14:textId="77777777">
      <w:pPr>
        <w:pStyle w:val="Textonotapie"/>
        <w:ind w:firstLine="709"/>
        <w:jc w:val="both"/>
        <w:rPr>
          <w:rFonts w:ascii="Arial" w:hAnsi="Arial" w:eastAsia="Times New Roman" w:cs="Arial"/>
          <w:color w:val="000000" w:themeColor="text1"/>
          <w:sz w:val="19"/>
          <w:szCs w:val="19"/>
          <w:lang w:val="es-ES" w:eastAsia="es-ES"/>
        </w:rPr>
      </w:pPr>
    </w:p>
  </w:footnote>
  <w:footnote w:id="6">
    <w:p w:rsidRPr="00BB0780" w:rsidR="0073536E" w:rsidP="002E46AB" w:rsidRDefault="0073536E" w14:paraId="4433C010" w14:textId="77777777">
      <w:pPr>
        <w:pStyle w:val="Textonotapie"/>
        <w:ind w:firstLine="708"/>
        <w:jc w:val="both"/>
        <w:rPr>
          <w:rFonts w:ascii="Arial" w:hAnsi="Arial" w:eastAsia="Times New Roman" w:cs="Arial"/>
          <w:color w:val="000000" w:themeColor="text1"/>
          <w:sz w:val="19"/>
          <w:szCs w:val="19"/>
          <w:lang w:val="es-ES" w:eastAsia="es-ES"/>
        </w:rPr>
      </w:pPr>
      <w:r w:rsidRPr="00BB0780">
        <w:rPr>
          <w:rStyle w:val="Refdenotaalpie"/>
          <w:rFonts w:ascii="Arial" w:hAnsi="Arial" w:cs="Arial"/>
          <w:color w:val="000000" w:themeColor="text1"/>
          <w:sz w:val="19"/>
          <w:szCs w:val="19"/>
        </w:rPr>
        <w:footnoteRef/>
      </w:r>
      <w:r w:rsidRPr="00BB0780">
        <w:rPr>
          <w:rFonts w:ascii="Arial" w:hAnsi="Arial" w:cs="Arial"/>
          <w:color w:val="000000" w:themeColor="text1"/>
          <w:sz w:val="19"/>
          <w:szCs w:val="19"/>
        </w:rPr>
        <w:t xml:space="preserve"> C</w:t>
      </w:r>
      <w:r w:rsidRPr="00BB0780">
        <w:rPr>
          <w:rFonts w:ascii="Arial" w:hAnsi="Arial" w:eastAsia="Times New Roman" w:cs="Arial"/>
          <w:color w:val="000000" w:themeColor="text1"/>
          <w:sz w:val="19"/>
          <w:szCs w:val="19"/>
          <w:lang w:val="es-ES" w:eastAsia="es-ES"/>
        </w:rPr>
        <w:t xml:space="preserve">orte Constitucional. Sentencia C─274 de 9 de mayo de 2013. M.P. María Victoria Calle Correa. </w:t>
      </w:r>
    </w:p>
    <w:p w:rsidRPr="00BB0780" w:rsidR="0073536E" w:rsidP="002E46AB" w:rsidRDefault="0073536E" w14:paraId="105C0BDE" w14:textId="77777777">
      <w:pPr>
        <w:pStyle w:val="Textonotapie"/>
        <w:ind w:firstLine="708"/>
        <w:jc w:val="both"/>
        <w:rPr>
          <w:rFonts w:ascii="Arial" w:hAnsi="Arial" w:eastAsia="Times New Roman" w:cs="Arial"/>
          <w:color w:val="000000" w:themeColor="text1"/>
          <w:sz w:val="19"/>
          <w:szCs w:val="19"/>
          <w:lang w:val="es-ES" w:eastAsia="es-ES"/>
        </w:rPr>
      </w:pPr>
    </w:p>
  </w:footnote>
  <w:footnote w:id="7">
    <w:p w:rsidRPr="00BB0780" w:rsidR="0073536E" w:rsidP="002E46AB" w:rsidRDefault="0073536E" w14:paraId="36400643" w14:textId="77777777">
      <w:pPr>
        <w:pStyle w:val="Textonotapie"/>
        <w:ind w:firstLine="708"/>
        <w:jc w:val="both"/>
        <w:rPr>
          <w:rFonts w:ascii="Arial" w:hAnsi="Arial" w:cs="Arial"/>
          <w:color w:val="000000" w:themeColor="text1"/>
          <w:sz w:val="19"/>
          <w:szCs w:val="19"/>
          <w:lang w:val="es-CO"/>
        </w:rPr>
      </w:pPr>
      <w:r w:rsidRPr="00BB0780">
        <w:rPr>
          <w:rStyle w:val="Refdenotaalpie"/>
          <w:rFonts w:ascii="Arial" w:hAnsi="Arial" w:cs="Arial"/>
          <w:color w:val="000000" w:themeColor="text1"/>
          <w:sz w:val="19"/>
          <w:szCs w:val="19"/>
        </w:rPr>
        <w:footnoteRef/>
      </w:r>
      <w:r w:rsidRPr="00BB0780">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footnote>
  <w:footnote w:id="8">
    <w:p w:rsidRPr="00BB0780" w:rsidR="0073536E" w:rsidP="002E46AB" w:rsidRDefault="0073536E" w14:paraId="513CFE2C" w14:textId="77777777">
      <w:pPr>
        <w:pStyle w:val="Textonotapie"/>
        <w:ind w:firstLine="708"/>
        <w:jc w:val="both"/>
        <w:rPr>
          <w:rFonts w:ascii="Arial" w:hAnsi="Arial" w:cs="Arial"/>
          <w:color w:val="000000" w:themeColor="text1"/>
          <w:sz w:val="19"/>
          <w:szCs w:val="19"/>
        </w:rPr>
      </w:pPr>
      <w:r w:rsidRPr="00BB0780">
        <w:rPr>
          <w:rStyle w:val="Refdenotaalpie"/>
          <w:rFonts w:ascii="Arial" w:hAnsi="Arial" w:cs="Arial"/>
          <w:color w:val="000000" w:themeColor="text1"/>
          <w:sz w:val="19"/>
          <w:szCs w:val="19"/>
        </w:rPr>
        <w:footnoteRef/>
      </w:r>
      <w:r w:rsidRPr="00BB0780">
        <w:rPr>
          <w:rFonts w:ascii="Arial" w:hAnsi="Arial" w:cs="Arial"/>
          <w:color w:val="000000" w:themeColor="text1"/>
          <w:sz w:val="19"/>
          <w:szCs w:val="19"/>
        </w:rPr>
        <w:t xml:space="preserve"> Consejo de Estado. Sección Tercera. Auto del 14 de agosto de 2017.  Exp: 58.820. C.P. Jaime Orlando Santofimio Gamboa. </w:t>
      </w:r>
    </w:p>
    <w:p w:rsidRPr="00BB0780" w:rsidR="0073536E" w:rsidP="002E46AB" w:rsidRDefault="0073536E" w14:paraId="2BEFC2EA" w14:textId="77777777">
      <w:pPr>
        <w:pStyle w:val="Textonotapie"/>
        <w:ind w:firstLine="708"/>
        <w:jc w:val="both"/>
        <w:rPr>
          <w:rFonts w:ascii="Arial" w:hAnsi="Arial" w:cs="Arial"/>
          <w:color w:val="000000" w:themeColor="text1"/>
          <w:sz w:val="19"/>
          <w:szCs w:val="19"/>
          <w:lang w:val="es-CO"/>
        </w:rPr>
      </w:pPr>
    </w:p>
  </w:footnote>
  <w:footnote w:id="9">
    <w:p w:rsidRPr="00BB0780" w:rsidR="0073536E" w:rsidP="002E46AB" w:rsidRDefault="0073536E" w14:paraId="28155830" w14:textId="77777777">
      <w:pPr>
        <w:pStyle w:val="Prrafodelista"/>
        <w:ind w:left="0" w:firstLine="708"/>
        <w:jc w:val="both"/>
        <w:rPr>
          <w:rFonts w:ascii="Arial" w:hAnsi="Arial" w:cs="Arial"/>
          <w:bCs/>
          <w:color w:val="000000" w:themeColor="text1"/>
          <w:sz w:val="19"/>
          <w:szCs w:val="19"/>
          <w:lang w:val="es-ES"/>
        </w:rPr>
      </w:pPr>
      <w:r w:rsidRPr="00BB0780">
        <w:rPr>
          <w:rStyle w:val="Refdenotaalpie"/>
          <w:rFonts w:ascii="Arial" w:hAnsi="Arial" w:cs="Arial"/>
          <w:color w:val="000000" w:themeColor="text1"/>
          <w:sz w:val="19"/>
          <w:szCs w:val="19"/>
        </w:rPr>
        <w:footnoteRef/>
      </w:r>
      <w:r w:rsidRPr="00BB0780">
        <w:rPr>
          <w:rFonts w:ascii="Arial" w:hAnsi="Arial" w:cs="Arial"/>
          <w:color w:val="000000" w:themeColor="text1"/>
          <w:sz w:val="19"/>
          <w:szCs w:val="19"/>
        </w:rPr>
        <w:t xml:space="preserve"> </w:t>
      </w:r>
      <w:r w:rsidRPr="00BB0780">
        <w:rPr>
          <w:rFonts w:ascii="Arial" w:hAnsi="Arial" w:cs="Arial"/>
          <w:bCs/>
          <w:color w:val="000000" w:themeColor="text1"/>
          <w:sz w:val="19"/>
          <w:szCs w:val="19"/>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rsidRPr="00BB0780" w:rsidR="0073536E" w:rsidP="002E46AB" w:rsidRDefault="0073536E" w14:paraId="55E4E05C" w14:textId="77777777">
      <w:pPr>
        <w:pStyle w:val="Textonotapie"/>
        <w:ind w:firstLine="708"/>
        <w:jc w:val="both"/>
        <w:rPr>
          <w:rFonts w:ascii="Arial" w:hAnsi="Arial" w:cs="Arial"/>
          <w:color w:val="000000" w:themeColor="text1"/>
          <w:sz w:val="19"/>
          <w:szCs w:val="19"/>
          <w:lang w:val="es-ES"/>
        </w:rPr>
      </w:pPr>
    </w:p>
  </w:footnote>
  <w:footnote w:id="10">
    <w:p w:rsidRPr="00BB0780" w:rsidR="0073536E" w:rsidP="002E46AB" w:rsidRDefault="0073536E" w14:paraId="488008BB" w14:textId="77777777">
      <w:pPr>
        <w:pStyle w:val="Textonotapie"/>
        <w:ind w:firstLine="708"/>
        <w:jc w:val="both"/>
        <w:rPr>
          <w:rFonts w:ascii="Arial" w:hAnsi="Arial" w:cs="Arial"/>
          <w:color w:val="000000" w:themeColor="text1"/>
          <w:sz w:val="19"/>
          <w:szCs w:val="19"/>
        </w:rPr>
      </w:pPr>
      <w:r w:rsidRPr="00BB0780">
        <w:rPr>
          <w:rStyle w:val="Refdenotaalpie"/>
          <w:rFonts w:ascii="Arial" w:hAnsi="Arial" w:cs="Arial"/>
          <w:color w:val="000000" w:themeColor="text1"/>
          <w:sz w:val="19"/>
          <w:szCs w:val="19"/>
        </w:rPr>
        <w:footnoteRef/>
      </w:r>
      <w:r w:rsidRPr="00BB0780">
        <w:rPr>
          <w:rFonts w:ascii="Arial" w:hAnsi="Arial" w:cs="Arial"/>
          <w:color w:val="000000" w:themeColor="text1"/>
          <w:sz w:val="19"/>
          <w:szCs w:val="19"/>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rsidRPr="00BB0780" w:rsidR="0073536E" w:rsidP="002E46AB" w:rsidRDefault="0073536E" w14:paraId="72DBC991" w14:textId="77777777">
      <w:pPr>
        <w:pStyle w:val="Textonotapie"/>
        <w:ind w:firstLine="708"/>
        <w:jc w:val="both"/>
        <w:rPr>
          <w:rFonts w:ascii="Arial" w:hAnsi="Arial" w:eastAsia="Times New Roman" w:cs="Arial"/>
          <w:color w:val="000000" w:themeColor="text1"/>
          <w:sz w:val="19"/>
          <w:szCs w:val="19"/>
          <w:lang w:val="es-ES" w:eastAsia="es-ES"/>
        </w:rPr>
      </w:pPr>
      <w:r w:rsidRPr="00BB0780">
        <w:rPr>
          <w:rFonts w:ascii="Arial" w:hAnsi="Arial" w:cs="Arial"/>
          <w:color w:val="000000" w:themeColor="text1"/>
          <w:sz w:val="19"/>
          <w:szCs w:val="19"/>
          <w:lang w:val="es-ES"/>
        </w:rPr>
        <w:t>»</w:t>
      </w:r>
      <w:r w:rsidRPr="00BB0780">
        <w:rPr>
          <w:rFonts w:ascii="Arial" w:hAnsi="Arial" w:cs="Arial"/>
          <w:color w:val="000000" w:themeColor="text1"/>
          <w:sz w:val="19"/>
          <w:szCs w:val="19"/>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footnote>
  <w:footnote w:id="11">
    <w:p w:rsidRPr="00BB0780" w:rsidR="0073536E" w:rsidP="002E46AB" w:rsidRDefault="0073536E" w14:paraId="74D0C57F" w14:textId="77777777">
      <w:pPr>
        <w:pStyle w:val="Textonotapie"/>
        <w:ind w:firstLine="708"/>
        <w:jc w:val="both"/>
        <w:rPr>
          <w:rFonts w:ascii="Arial" w:hAnsi="Arial" w:cs="Arial"/>
          <w:color w:val="000000" w:themeColor="text1"/>
          <w:sz w:val="19"/>
          <w:szCs w:val="19"/>
        </w:rPr>
      </w:pPr>
      <w:r w:rsidRPr="00BB0780">
        <w:rPr>
          <w:rStyle w:val="Refdenotaalpie"/>
          <w:rFonts w:ascii="Arial" w:hAnsi="Arial" w:cs="Arial"/>
          <w:color w:val="000000" w:themeColor="text1"/>
          <w:sz w:val="19"/>
          <w:szCs w:val="19"/>
        </w:rPr>
        <w:footnoteRef/>
      </w:r>
      <w:r w:rsidRPr="00BB0780">
        <w:rPr>
          <w:rFonts w:ascii="Arial" w:hAnsi="Arial" w:cs="Arial"/>
          <w:color w:val="000000" w:themeColor="text1"/>
          <w:sz w:val="19"/>
          <w:szCs w:val="19"/>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p w:rsidRPr="00BB0780" w:rsidR="0073536E" w:rsidP="002E46AB" w:rsidRDefault="0073536E" w14:paraId="083582DD" w14:textId="77777777">
      <w:pPr>
        <w:pStyle w:val="Textonotapie"/>
        <w:ind w:firstLine="708"/>
        <w:jc w:val="both"/>
        <w:rPr>
          <w:rFonts w:ascii="Arial" w:hAnsi="Arial" w:cs="Arial"/>
          <w:color w:val="000000" w:themeColor="text1"/>
          <w:sz w:val="19"/>
          <w:szCs w:val="19"/>
        </w:rPr>
      </w:pPr>
    </w:p>
  </w:footnote>
  <w:footnote w:id="12">
    <w:p w:rsidRPr="00BB0780" w:rsidR="0073536E" w:rsidP="002E46AB" w:rsidRDefault="0073536E" w14:paraId="07EA1727" w14:textId="77777777">
      <w:pPr>
        <w:pStyle w:val="Textonotapie"/>
        <w:ind w:firstLine="708"/>
        <w:jc w:val="both"/>
        <w:rPr>
          <w:rFonts w:ascii="Arial" w:hAnsi="Arial" w:cs="Arial"/>
          <w:color w:val="000000" w:themeColor="text1"/>
          <w:sz w:val="19"/>
          <w:szCs w:val="19"/>
        </w:rPr>
      </w:pPr>
      <w:r w:rsidRPr="00BB0780">
        <w:rPr>
          <w:rStyle w:val="Refdenotaalpie"/>
          <w:rFonts w:ascii="Arial" w:hAnsi="Arial" w:cs="Arial"/>
          <w:color w:val="000000" w:themeColor="text1"/>
          <w:sz w:val="19"/>
          <w:szCs w:val="19"/>
        </w:rPr>
        <w:footnoteRef/>
      </w:r>
      <w:r w:rsidRPr="00BB0780">
        <w:rPr>
          <w:rFonts w:ascii="Arial" w:hAnsi="Arial" w:cs="Arial"/>
          <w:color w:val="000000" w:themeColor="text1"/>
          <w:sz w:val="19"/>
          <w:szCs w:val="19"/>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rsidRPr="00BB0780" w:rsidR="0073536E" w:rsidP="002E46AB" w:rsidRDefault="0073536E" w14:paraId="3A86F5DB" w14:textId="77777777">
      <w:pPr>
        <w:pStyle w:val="Textonotapie"/>
        <w:ind w:firstLine="708"/>
        <w:jc w:val="both"/>
        <w:rPr>
          <w:rFonts w:ascii="Arial" w:hAnsi="Arial" w:cs="Arial"/>
          <w:color w:val="000000" w:themeColor="text1"/>
          <w:sz w:val="19"/>
          <w:szCs w:val="19"/>
        </w:rPr>
      </w:pPr>
    </w:p>
  </w:footnote>
  <w:footnote w:id="13">
    <w:p w:rsidRPr="00BB0780" w:rsidR="0073536E" w:rsidP="002E46AB" w:rsidRDefault="0073536E" w14:paraId="66929F5C" w14:textId="77777777">
      <w:pPr>
        <w:pStyle w:val="Textonotapie"/>
        <w:ind w:firstLine="708"/>
        <w:jc w:val="both"/>
        <w:rPr>
          <w:rFonts w:ascii="Arial" w:hAnsi="Arial" w:cs="Arial"/>
          <w:color w:val="000000" w:themeColor="text1"/>
          <w:sz w:val="19"/>
          <w:szCs w:val="19"/>
        </w:rPr>
      </w:pPr>
      <w:r w:rsidRPr="00BB0780">
        <w:rPr>
          <w:rStyle w:val="Refdenotaalpie"/>
          <w:rFonts w:ascii="Arial" w:hAnsi="Arial" w:cs="Arial"/>
          <w:color w:val="000000" w:themeColor="text1"/>
          <w:sz w:val="19"/>
          <w:szCs w:val="19"/>
        </w:rPr>
        <w:footnoteRef/>
      </w:r>
      <w:r w:rsidRPr="00BB0780">
        <w:rPr>
          <w:rFonts w:ascii="Arial" w:hAnsi="Arial" w:cs="Arial"/>
          <w:color w:val="000000" w:themeColor="text1"/>
          <w:sz w:val="19"/>
          <w:szCs w:val="19"/>
        </w:rPr>
        <w:t xml:space="preserve"> Decreto 103 de 2015: «Artículo 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rsidRPr="00BB0780" w:rsidR="0073536E" w:rsidP="002E46AB" w:rsidRDefault="0073536E" w14:paraId="21F86D3B" w14:textId="77777777">
      <w:pPr>
        <w:pStyle w:val="Textonotapie"/>
        <w:ind w:firstLine="708"/>
        <w:jc w:val="both"/>
        <w:rPr>
          <w:rFonts w:ascii="Arial" w:hAnsi="Arial" w:cs="Arial"/>
          <w:color w:val="000000" w:themeColor="text1"/>
          <w:sz w:val="19"/>
          <w:szCs w:val="19"/>
        </w:rPr>
      </w:pPr>
      <w:r w:rsidRPr="00BB0780">
        <w:rPr>
          <w:rFonts w:ascii="Arial" w:hAnsi="Arial" w:cs="Arial"/>
          <w:color w:val="000000" w:themeColor="text1"/>
          <w:sz w:val="19"/>
          <w:szCs w:val="19"/>
          <w:lang w:val="es-ES"/>
        </w:rPr>
        <w:t>»</w:t>
      </w:r>
      <w:r w:rsidRPr="00BB0780">
        <w:rPr>
          <w:rFonts w:ascii="Arial" w:hAnsi="Arial" w:cs="Arial"/>
          <w:color w:val="000000" w:themeColor="text1"/>
          <w:sz w:val="19"/>
          <w:szCs w:val="19"/>
        </w:rPr>
        <w:t>Los sujetos obligados que no contratan con cargo a recursos públicos no están obligados a publicar su Plan Anual de Adquisiciones.</w:t>
      </w:r>
    </w:p>
    <w:p w:rsidRPr="00BB0780" w:rsidR="0073536E" w:rsidP="002E46AB" w:rsidRDefault="0073536E" w14:paraId="52833DFC" w14:textId="77777777">
      <w:pPr>
        <w:pStyle w:val="Textonotapie"/>
        <w:ind w:firstLine="708"/>
        <w:jc w:val="both"/>
        <w:rPr>
          <w:rFonts w:ascii="Arial" w:hAnsi="Arial" w:cs="Arial"/>
          <w:color w:val="000000" w:themeColor="text1"/>
          <w:sz w:val="19"/>
          <w:szCs w:val="19"/>
        </w:rPr>
      </w:pPr>
      <w:r w:rsidRPr="00BB0780">
        <w:rPr>
          <w:rFonts w:ascii="Arial" w:hAnsi="Arial" w:cs="Arial"/>
          <w:color w:val="000000" w:themeColor="text1"/>
          <w:sz w:val="19"/>
          <w:szCs w:val="19"/>
          <w:lang w:val="es-ES"/>
        </w:rPr>
        <w:t>»</w:t>
      </w:r>
      <w:r w:rsidRPr="00BB0780">
        <w:rPr>
          <w:rFonts w:ascii="Arial" w:hAnsi="Arial" w:cs="Arial"/>
          <w:color w:val="000000" w:themeColor="text1"/>
          <w:sz w:val="19"/>
          <w:szCs w:val="19"/>
        </w:rPr>
        <w:t>Los sujetos obligados que contratan con cargo a recursos públicos y recursos privados, deben publicar en su página web y en el SECOP el Plan Anual de Adquisiciones para los recursos de carácter público que ejecutarán en el año.</w:t>
      </w:r>
    </w:p>
    <w:p w:rsidRPr="00BB0780" w:rsidR="0073536E" w:rsidP="002E46AB" w:rsidRDefault="0073536E" w14:paraId="0FEDC650" w14:textId="77777777">
      <w:pPr>
        <w:pStyle w:val="Textonotapie"/>
        <w:ind w:firstLine="708"/>
        <w:jc w:val="both"/>
        <w:rPr>
          <w:rFonts w:ascii="Arial" w:hAnsi="Arial" w:cs="Arial"/>
          <w:color w:val="000000" w:themeColor="text1"/>
          <w:sz w:val="19"/>
          <w:szCs w:val="19"/>
        </w:rPr>
      </w:pPr>
      <w:r w:rsidRPr="00BB0780">
        <w:rPr>
          <w:rFonts w:ascii="Arial" w:hAnsi="Arial" w:cs="Arial"/>
          <w:color w:val="000000" w:themeColor="text1"/>
          <w:sz w:val="19"/>
          <w:szCs w:val="19"/>
          <w:lang w:val="es-ES"/>
        </w:rPr>
        <w:t>»</w:t>
      </w:r>
      <w:r w:rsidRPr="00BB0780">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p>
  </w:footnote>
  <w:footnote w:id="14">
    <w:p w:rsidRPr="00BB0780" w:rsidR="0073536E" w:rsidP="002E46AB" w:rsidRDefault="0073536E" w14:paraId="2FDDB5C4" w14:textId="77777777">
      <w:pPr>
        <w:pStyle w:val="Textonotapie"/>
        <w:ind w:firstLine="708"/>
        <w:jc w:val="both"/>
        <w:rPr>
          <w:rFonts w:ascii="Arial" w:hAnsi="Arial" w:cs="Arial"/>
          <w:color w:val="000000" w:themeColor="text1"/>
          <w:sz w:val="19"/>
          <w:szCs w:val="19"/>
        </w:rPr>
      </w:pPr>
      <w:r w:rsidRPr="00BB0780">
        <w:rPr>
          <w:rStyle w:val="Refdenotaalpie"/>
          <w:rFonts w:ascii="Arial" w:hAnsi="Arial" w:cs="Arial"/>
          <w:color w:val="000000" w:themeColor="text1"/>
          <w:sz w:val="19"/>
          <w:szCs w:val="19"/>
        </w:rPr>
        <w:footnoteRef/>
      </w:r>
      <w:r w:rsidRPr="00BB0780">
        <w:rPr>
          <w:rFonts w:ascii="Arial" w:hAnsi="Arial" w:cs="Arial"/>
          <w:color w:val="000000" w:themeColor="text1"/>
          <w:sz w:val="19"/>
          <w:szCs w:val="19"/>
        </w:rPr>
        <w:t xml:space="preserve"> Esta posición fue acogida en las siguientes consultas Rad. 4201813000006240: «Las Entidades Estatales que cuentan con régimen especial de contratación pueden aplicar las reglas contenidas en su propio manual de contratación, en consecuencia, estas entidades pueden establecer un término diferente a los 3 días que determina el Decreto 1082 de 2015 para publicar su actividad contractual en SECOP.</w:t>
      </w:r>
    </w:p>
    <w:p w:rsidRPr="00BB0780" w:rsidR="0073536E" w:rsidP="002E46AB" w:rsidRDefault="0073536E" w14:paraId="6792FDB6" w14:textId="77777777">
      <w:pPr>
        <w:pStyle w:val="Textonotapie"/>
        <w:ind w:firstLine="708"/>
        <w:jc w:val="both"/>
        <w:rPr>
          <w:rFonts w:ascii="Arial" w:hAnsi="Arial" w:cs="Arial"/>
          <w:color w:val="000000" w:themeColor="text1"/>
          <w:sz w:val="19"/>
          <w:szCs w:val="19"/>
        </w:rPr>
      </w:pPr>
      <w:r w:rsidRPr="00BB0780">
        <w:rPr>
          <w:rFonts w:ascii="Arial" w:hAnsi="Arial" w:eastAsia="Calibri" w:cs="Arial"/>
          <w:color w:val="000000" w:themeColor="text1"/>
          <w:sz w:val="19"/>
          <w:szCs w:val="19"/>
        </w:rPr>
        <w:t>»</w:t>
      </w:r>
      <w:r w:rsidRPr="00BB0780">
        <w:rPr>
          <w:rFonts w:ascii="Arial" w:hAnsi="Arial" w:cs="Arial"/>
          <w:color w:val="000000" w:themeColor="text1"/>
          <w:sz w:val="19"/>
          <w:szCs w:val="19"/>
        </w:rPr>
        <w:t>En todo caso, en virtud del principio de transparencia al cual están sujetas las entidades de régimen especial, el término que establezcan en su manual de contratación debe garantizar que el SECOP cuente con la información del Sistema de Compra Pública de forma oportuna. Recomendamos a las entidades de régimen especial publicar su información contractual una vez la tengan disponible ya que esa información es relevante para el Sistema de Compra Pública».</w:t>
      </w:r>
    </w:p>
    <w:p w:rsidRPr="00BB0780" w:rsidR="0073536E" w:rsidP="002E46AB" w:rsidRDefault="0073536E" w14:paraId="0D1C2356" w14:textId="77777777">
      <w:pPr>
        <w:pStyle w:val="Textonotapie"/>
        <w:ind w:firstLine="708"/>
        <w:jc w:val="both"/>
        <w:rPr>
          <w:rFonts w:ascii="Arial" w:hAnsi="Arial" w:cs="Arial"/>
          <w:color w:val="000000" w:themeColor="text1"/>
          <w:sz w:val="19"/>
          <w:szCs w:val="19"/>
          <w:lang w:val="es-CO"/>
        </w:rPr>
      </w:pPr>
    </w:p>
  </w:footnote>
  <w:footnote w:id="15">
    <w:p w:rsidRPr="00BB0780" w:rsidR="0073536E" w:rsidP="002E46AB" w:rsidRDefault="0073536E" w14:paraId="0B844328" w14:textId="77777777">
      <w:pPr>
        <w:pStyle w:val="Textonotapie"/>
        <w:ind w:firstLine="709"/>
        <w:jc w:val="both"/>
        <w:rPr>
          <w:rFonts w:ascii="Arial" w:hAnsi="Arial" w:cs="Arial"/>
          <w:color w:val="000000" w:themeColor="text1"/>
          <w:sz w:val="19"/>
          <w:szCs w:val="19"/>
        </w:rPr>
      </w:pPr>
      <w:r w:rsidRPr="00BB0780">
        <w:rPr>
          <w:rStyle w:val="Refdenotaalpie"/>
          <w:rFonts w:ascii="Arial" w:hAnsi="Arial" w:cs="Arial"/>
          <w:color w:val="000000" w:themeColor="text1"/>
          <w:sz w:val="19"/>
          <w:szCs w:val="19"/>
        </w:rPr>
        <w:footnoteRef/>
      </w:r>
      <w:r w:rsidRPr="00BB0780">
        <w:rPr>
          <w:rFonts w:ascii="Arial" w:hAnsi="Arial" w:cs="Arial"/>
          <w:color w:val="000000" w:themeColor="text1"/>
          <w:sz w:val="19"/>
          <w:szCs w:val="19"/>
        </w:rPr>
        <w:t xml:space="preserve"> Circular Externa Única: «Numeral 1.2 Oportunidad en la publicación de la información en el SECOP: Las Entidades que aún utilizan el SECOP I están obligadas a publicar en el SECOP los Documentos del Proceso dentro de los tres (3) días siguientes a su expedición.</w:t>
      </w:r>
    </w:p>
    <w:p w:rsidRPr="00BB0780" w:rsidR="0073536E" w:rsidP="002E46AB" w:rsidRDefault="0073536E" w14:paraId="6C110FC0" w14:textId="77777777">
      <w:pPr>
        <w:pStyle w:val="Textonotapie"/>
        <w:ind w:firstLine="709"/>
        <w:jc w:val="both"/>
        <w:rPr>
          <w:rFonts w:ascii="Arial" w:hAnsi="Arial" w:cs="Arial"/>
          <w:color w:val="000000" w:themeColor="text1"/>
          <w:sz w:val="19"/>
          <w:szCs w:val="19"/>
        </w:rPr>
      </w:pPr>
      <w:r w:rsidRPr="00BB0780">
        <w:rPr>
          <w:rFonts w:ascii="Arial" w:hAnsi="Arial" w:eastAsia="Calibri" w:cs="Arial"/>
          <w:color w:val="000000" w:themeColor="text1"/>
          <w:sz w:val="19"/>
          <w:szCs w:val="19"/>
        </w:rPr>
        <w:t>»</w:t>
      </w:r>
      <w:r w:rsidRPr="00BB0780">
        <w:rPr>
          <w:rFonts w:ascii="Arial" w:hAnsi="Arial" w:cs="Arial"/>
          <w:color w:val="000000" w:themeColor="text1"/>
          <w:sz w:val="19"/>
          <w:szCs w:val="19"/>
        </w:rPr>
        <w:t>La información registrada por las Entidades en el SECOP II y en la Tienda Virtual del Estado Colombiano, está disponible en tiempo real en razón a que las actuaciones del Proceso de Contratación tienen lugar electrónicamente a través de dichas plataformas transaccionales</w:t>
      </w:r>
      <w:r w:rsidRPr="00BB0780">
        <w:rPr>
          <w:rFonts w:ascii="Arial" w:hAnsi="Arial" w:eastAsia="Calibri" w:cs="Arial"/>
          <w:color w:val="000000" w:themeColor="text1"/>
          <w:sz w:val="19"/>
          <w:szCs w:val="19"/>
        </w:rPr>
        <w:t>»</w:t>
      </w:r>
      <w:r w:rsidRPr="00BB0780">
        <w:rPr>
          <w:rFonts w:ascii="Arial" w:hAnsi="Arial" w:cs="Arial"/>
          <w:color w:val="000000" w:themeColor="text1"/>
          <w:sz w:val="19"/>
          <w:szCs w:val="19"/>
        </w:rPr>
        <w:t xml:space="preserve">. </w:t>
      </w:r>
    </w:p>
    <w:p w:rsidRPr="00BB0780" w:rsidR="0073536E" w:rsidP="002E46AB" w:rsidRDefault="0073536E" w14:paraId="659617C2" w14:textId="77777777">
      <w:pPr>
        <w:pStyle w:val="Textonotapie"/>
        <w:ind w:firstLine="708"/>
        <w:jc w:val="both"/>
        <w:rPr>
          <w:rFonts w:ascii="Arial" w:hAnsi="Arial" w:cs="Arial"/>
          <w:color w:val="000000" w:themeColor="text1"/>
          <w:sz w:val="19"/>
          <w:szCs w:val="19"/>
        </w:rPr>
      </w:pPr>
      <w:r w:rsidRPr="00BB0780">
        <w:rPr>
          <w:rFonts w:ascii="Arial" w:hAnsi="Arial" w:eastAsia="Calibri" w:cs="Arial"/>
          <w:color w:val="000000" w:themeColor="text1"/>
          <w:sz w:val="19"/>
          <w:szCs w:val="19"/>
        </w:rPr>
        <w:t>»</w:t>
      </w:r>
      <w:r w:rsidRPr="00BB0780">
        <w:rPr>
          <w:rFonts w:ascii="Arial" w:hAnsi="Arial" w:cs="Arial"/>
          <w:color w:val="000000" w:themeColor="text1"/>
          <w:sz w:val="19"/>
          <w:szCs w:val="19"/>
        </w:rPr>
        <w:t>Con respecto a los documentos que no son generados electrónicamente, el SECOP II permite publicarlos a través de un “mensaje público” o como un “documento del proceso”, para la publicidad de dichos documentos la Entidad Estatal tiene el plazo de tres días siguientes a su expedición».</w:t>
      </w:r>
    </w:p>
    <w:p w:rsidRPr="00BB0780" w:rsidR="0073536E" w:rsidP="002E46AB" w:rsidRDefault="0073536E" w14:paraId="4A1A539B" w14:textId="77777777">
      <w:pPr>
        <w:pStyle w:val="Textonotapie"/>
        <w:ind w:firstLine="708"/>
        <w:jc w:val="both"/>
        <w:rPr>
          <w:rFonts w:ascii="Arial" w:hAnsi="Arial" w:cs="Arial"/>
          <w:color w:val="000000" w:themeColor="text1"/>
          <w:sz w:val="19"/>
          <w:szCs w:val="19"/>
          <w:lang w:val="es-CO"/>
        </w:rPr>
      </w:pPr>
    </w:p>
  </w:footnote>
  <w:footnote w:id="16">
    <w:p w:rsidRPr="00BB0780" w:rsidR="0073536E" w:rsidP="002E46AB" w:rsidRDefault="0073536E" w14:paraId="6F062AE3" w14:textId="77777777">
      <w:pPr>
        <w:pStyle w:val="Textonotapie"/>
        <w:ind w:firstLine="708"/>
        <w:jc w:val="both"/>
        <w:rPr>
          <w:rFonts w:ascii="Arial" w:hAnsi="Arial" w:cs="Arial"/>
          <w:color w:val="000000" w:themeColor="text1"/>
          <w:sz w:val="19"/>
          <w:szCs w:val="19"/>
        </w:rPr>
      </w:pPr>
      <w:r w:rsidRPr="00BB0780">
        <w:rPr>
          <w:rStyle w:val="Refdenotaalpie"/>
          <w:rFonts w:ascii="Arial" w:hAnsi="Arial" w:cs="Arial"/>
          <w:color w:val="000000" w:themeColor="text1"/>
          <w:sz w:val="19"/>
          <w:szCs w:val="19"/>
        </w:rPr>
        <w:footnoteRef/>
      </w:r>
      <w:r w:rsidRPr="00BB0780">
        <w:rPr>
          <w:rFonts w:ascii="Arial" w:hAnsi="Arial" w:cs="Arial"/>
          <w:color w:val="000000" w:themeColor="text1"/>
          <w:sz w:val="19"/>
          <w:szCs w:val="19"/>
        </w:rPr>
        <w:t xml:space="preserve"> Corte Constitucional. Sentencia C- 083 del 1 de marzo de 1995. M.P. Carlos Gaviria Díaz.</w:t>
      </w:r>
    </w:p>
    <w:p w:rsidRPr="00BB0780" w:rsidR="0073536E" w:rsidP="002E46AB" w:rsidRDefault="0073536E" w14:paraId="5AA82E8A" w14:textId="77777777">
      <w:pPr>
        <w:pStyle w:val="Textonotapie"/>
        <w:ind w:firstLine="708"/>
        <w:jc w:val="both"/>
        <w:rPr>
          <w:rFonts w:ascii="Arial" w:hAnsi="Arial" w:cs="Arial"/>
          <w:color w:val="000000" w:themeColor="text1"/>
          <w:sz w:val="19"/>
          <w:szCs w:val="19"/>
          <w:lang w:val="es-CO"/>
        </w:rPr>
      </w:pPr>
    </w:p>
  </w:footnote>
  <w:footnote w:id="17">
    <w:p w:rsidRPr="00BB0780" w:rsidR="0073536E" w:rsidP="002E46AB" w:rsidRDefault="0073536E" w14:paraId="010E4984" w14:textId="77777777">
      <w:pPr>
        <w:pStyle w:val="Textonotapie"/>
        <w:ind w:firstLine="708"/>
        <w:jc w:val="both"/>
        <w:rPr>
          <w:rFonts w:ascii="Arial" w:hAnsi="Arial" w:cs="Arial"/>
          <w:color w:val="000000" w:themeColor="text1"/>
          <w:sz w:val="19"/>
          <w:szCs w:val="19"/>
        </w:rPr>
      </w:pPr>
      <w:r w:rsidRPr="00BB0780">
        <w:rPr>
          <w:rStyle w:val="Refdenotaalpie"/>
          <w:rFonts w:ascii="Arial" w:hAnsi="Arial" w:cs="Arial"/>
          <w:color w:val="000000" w:themeColor="text1"/>
          <w:sz w:val="19"/>
          <w:szCs w:val="19"/>
        </w:rPr>
        <w:footnoteRef/>
      </w:r>
      <w:r w:rsidRPr="00BB0780">
        <w:rPr>
          <w:rFonts w:ascii="Arial" w:hAnsi="Arial" w:cs="Arial"/>
          <w:color w:val="000000" w:themeColor="text1"/>
          <w:sz w:val="19"/>
          <w:szCs w:val="19"/>
        </w:rPr>
        <w:t xml:space="preserve"> Decreto 1082 de 2015 «Artículo 2.2.1.1.1.7.1. Publicidad en el SECOP. La Entidad Estatal </w:t>
      </w:r>
      <w:r w:rsidRPr="00BB0780">
        <w:rPr>
          <w:rFonts w:ascii="Arial" w:hAnsi="Arial" w:cs="Arial"/>
          <w:color w:val="000000" w:themeColor="text1"/>
          <w:sz w:val="19"/>
          <w:szCs w:val="19"/>
        </w:rPr>
        <w:t>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rsidRPr="00BB0780" w:rsidR="0073536E" w:rsidP="002E46AB" w:rsidRDefault="0073536E" w14:paraId="1C26F737" w14:textId="77777777">
      <w:pPr>
        <w:pStyle w:val="Textonotapie"/>
        <w:ind w:firstLine="708"/>
        <w:jc w:val="both"/>
        <w:rPr>
          <w:rFonts w:ascii="Arial" w:hAnsi="Arial" w:cs="Arial"/>
          <w:color w:val="000000" w:themeColor="text1"/>
          <w:sz w:val="19"/>
          <w:szCs w:val="19"/>
        </w:rPr>
      </w:pPr>
      <w:r w:rsidRPr="00BB0780">
        <w:rPr>
          <w:rFonts w:ascii="Arial" w:hAnsi="Arial" w:eastAsia="Calibri" w:cs="Arial"/>
          <w:color w:val="000000" w:themeColor="text1"/>
          <w:sz w:val="19"/>
          <w:szCs w:val="19"/>
        </w:rPr>
        <w:t>»</w:t>
      </w:r>
      <w:r w:rsidRPr="00BB0780">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rsidRPr="00BB0780" w:rsidR="0073536E" w:rsidP="002E46AB" w:rsidRDefault="0073536E" w14:paraId="1DE6BD8B" w14:textId="77777777">
      <w:pPr>
        <w:pStyle w:val="Textonotapie"/>
        <w:ind w:firstLine="708"/>
        <w:jc w:val="both"/>
        <w:rPr>
          <w:rFonts w:ascii="Arial" w:hAnsi="Arial" w:cs="Arial"/>
          <w:color w:val="000000" w:themeColor="text1"/>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B0854" w:rsidRDefault="007B0854" w14:paraId="6520770B" w14:textId="1A2BB94C">
    <w:pPr>
      <w:pStyle w:val="Encabezado"/>
    </w:pPr>
    <w:r>
      <w:rPr>
        <w:noProof/>
        <w:lang w:val="es-ES_tradnl" w:eastAsia="es-ES_tradnl"/>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4C9054F">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84026F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5156"/>
    <w:rsid w:val="00011A95"/>
    <w:rsid w:val="00012451"/>
    <w:rsid w:val="00020D7A"/>
    <w:rsid w:val="00025773"/>
    <w:rsid w:val="000460C0"/>
    <w:rsid w:val="000556D4"/>
    <w:rsid w:val="00066BF6"/>
    <w:rsid w:val="0007128C"/>
    <w:rsid w:val="0007204C"/>
    <w:rsid w:val="00076993"/>
    <w:rsid w:val="00084290"/>
    <w:rsid w:val="000920F0"/>
    <w:rsid w:val="000942EB"/>
    <w:rsid w:val="000A15EF"/>
    <w:rsid w:val="000B103F"/>
    <w:rsid w:val="000B6017"/>
    <w:rsid w:val="000C1D18"/>
    <w:rsid w:val="000C5863"/>
    <w:rsid w:val="000E6CFE"/>
    <w:rsid w:val="000F14E8"/>
    <w:rsid w:val="00101355"/>
    <w:rsid w:val="00103915"/>
    <w:rsid w:val="00111BBD"/>
    <w:rsid w:val="00122B23"/>
    <w:rsid w:val="001254E5"/>
    <w:rsid w:val="00133FB0"/>
    <w:rsid w:val="00137FFA"/>
    <w:rsid w:val="0015538A"/>
    <w:rsid w:val="00171B02"/>
    <w:rsid w:val="00193089"/>
    <w:rsid w:val="001948F9"/>
    <w:rsid w:val="00195DBB"/>
    <w:rsid w:val="001A56A2"/>
    <w:rsid w:val="001A7B0C"/>
    <w:rsid w:val="001A7B59"/>
    <w:rsid w:val="001D7061"/>
    <w:rsid w:val="001E0C6C"/>
    <w:rsid w:val="001E565A"/>
    <w:rsid w:val="001F2C77"/>
    <w:rsid w:val="00207E01"/>
    <w:rsid w:val="00211860"/>
    <w:rsid w:val="0022745A"/>
    <w:rsid w:val="00234B84"/>
    <w:rsid w:val="00293450"/>
    <w:rsid w:val="002A417A"/>
    <w:rsid w:val="002C7618"/>
    <w:rsid w:val="002E0383"/>
    <w:rsid w:val="002E46AB"/>
    <w:rsid w:val="0030098E"/>
    <w:rsid w:val="003033BA"/>
    <w:rsid w:val="003308BA"/>
    <w:rsid w:val="00342280"/>
    <w:rsid w:val="003462C7"/>
    <w:rsid w:val="0034680A"/>
    <w:rsid w:val="00377363"/>
    <w:rsid w:val="00382B7C"/>
    <w:rsid w:val="00382C12"/>
    <w:rsid w:val="003860F0"/>
    <w:rsid w:val="00386456"/>
    <w:rsid w:val="003930AA"/>
    <w:rsid w:val="003A581E"/>
    <w:rsid w:val="003B0003"/>
    <w:rsid w:val="003B27D1"/>
    <w:rsid w:val="003C173E"/>
    <w:rsid w:val="003D29C0"/>
    <w:rsid w:val="003D4B59"/>
    <w:rsid w:val="003E6A8E"/>
    <w:rsid w:val="00402523"/>
    <w:rsid w:val="004041DC"/>
    <w:rsid w:val="0040673C"/>
    <w:rsid w:val="004108AC"/>
    <w:rsid w:val="004115E9"/>
    <w:rsid w:val="004164A1"/>
    <w:rsid w:val="00417E9D"/>
    <w:rsid w:val="00420A12"/>
    <w:rsid w:val="00421649"/>
    <w:rsid w:val="00434F7E"/>
    <w:rsid w:val="004422D6"/>
    <w:rsid w:val="00453E19"/>
    <w:rsid w:val="0046011E"/>
    <w:rsid w:val="00467803"/>
    <w:rsid w:val="00474C49"/>
    <w:rsid w:val="004755B2"/>
    <w:rsid w:val="00481A85"/>
    <w:rsid w:val="004A34D2"/>
    <w:rsid w:val="004A571C"/>
    <w:rsid w:val="004C14EB"/>
    <w:rsid w:val="004C58AC"/>
    <w:rsid w:val="004D0366"/>
    <w:rsid w:val="004D04B3"/>
    <w:rsid w:val="004D0D78"/>
    <w:rsid w:val="004E146B"/>
    <w:rsid w:val="004E2C84"/>
    <w:rsid w:val="005003FA"/>
    <w:rsid w:val="0051074C"/>
    <w:rsid w:val="0051365E"/>
    <w:rsid w:val="00513AF2"/>
    <w:rsid w:val="005150EE"/>
    <w:rsid w:val="005152EB"/>
    <w:rsid w:val="00525CC3"/>
    <w:rsid w:val="005347D0"/>
    <w:rsid w:val="005378FB"/>
    <w:rsid w:val="00541157"/>
    <w:rsid w:val="00541360"/>
    <w:rsid w:val="0054413A"/>
    <w:rsid w:val="00551CE1"/>
    <w:rsid w:val="00554AF7"/>
    <w:rsid w:val="005564CA"/>
    <w:rsid w:val="00556C28"/>
    <w:rsid w:val="00556F01"/>
    <w:rsid w:val="00581D03"/>
    <w:rsid w:val="005C210D"/>
    <w:rsid w:val="005D6B45"/>
    <w:rsid w:val="005E7CD7"/>
    <w:rsid w:val="005F3327"/>
    <w:rsid w:val="005F4E61"/>
    <w:rsid w:val="0062279A"/>
    <w:rsid w:val="00655371"/>
    <w:rsid w:val="00662755"/>
    <w:rsid w:val="00662AA8"/>
    <w:rsid w:val="00666EB9"/>
    <w:rsid w:val="006709A2"/>
    <w:rsid w:val="006822ED"/>
    <w:rsid w:val="006956E7"/>
    <w:rsid w:val="00696A12"/>
    <w:rsid w:val="00697665"/>
    <w:rsid w:val="006A7FD0"/>
    <w:rsid w:val="006B35CD"/>
    <w:rsid w:val="006B3828"/>
    <w:rsid w:val="006D68A5"/>
    <w:rsid w:val="006D7687"/>
    <w:rsid w:val="006E0572"/>
    <w:rsid w:val="00705631"/>
    <w:rsid w:val="00732E20"/>
    <w:rsid w:val="0073536E"/>
    <w:rsid w:val="00742DD2"/>
    <w:rsid w:val="0074447C"/>
    <w:rsid w:val="0075647A"/>
    <w:rsid w:val="00757693"/>
    <w:rsid w:val="007634AD"/>
    <w:rsid w:val="00765580"/>
    <w:rsid w:val="00770687"/>
    <w:rsid w:val="00771676"/>
    <w:rsid w:val="00771868"/>
    <w:rsid w:val="0078122E"/>
    <w:rsid w:val="0078462A"/>
    <w:rsid w:val="007A2433"/>
    <w:rsid w:val="007A7968"/>
    <w:rsid w:val="007B0854"/>
    <w:rsid w:val="007B0F6A"/>
    <w:rsid w:val="007B2F1D"/>
    <w:rsid w:val="007B623A"/>
    <w:rsid w:val="007B6A3C"/>
    <w:rsid w:val="007B7018"/>
    <w:rsid w:val="007C0C92"/>
    <w:rsid w:val="007E0A81"/>
    <w:rsid w:val="007F3C2B"/>
    <w:rsid w:val="007F72CB"/>
    <w:rsid w:val="0081101B"/>
    <w:rsid w:val="00811577"/>
    <w:rsid w:val="00812B27"/>
    <w:rsid w:val="0081304C"/>
    <w:rsid w:val="0083119B"/>
    <w:rsid w:val="00834B5D"/>
    <w:rsid w:val="00836EAB"/>
    <w:rsid w:val="0085092D"/>
    <w:rsid w:val="00851E9A"/>
    <w:rsid w:val="008619A5"/>
    <w:rsid w:val="008716C1"/>
    <w:rsid w:val="008A61A3"/>
    <w:rsid w:val="008C0B90"/>
    <w:rsid w:val="008E12EE"/>
    <w:rsid w:val="008E1C15"/>
    <w:rsid w:val="008F11F6"/>
    <w:rsid w:val="00902D31"/>
    <w:rsid w:val="009047C5"/>
    <w:rsid w:val="00912E23"/>
    <w:rsid w:val="00913B77"/>
    <w:rsid w:val="009311E9"/>
    <w:rsid w:val="0095385A"/>
    <w:rsid w:val="009575B9"/>
    <w:rsid w:val="009644A4"/>
    <w:rsid w:val="009654FC"/>
    <w:rsid w:val="00972DC1"/>
    <w:rsid w:val="009760A8"/>
    <w:rsid w:val="00985200"/>
    <w:rsid w:val="00986E16"/>
    <w:rsid w:val="009B16A3"/>
    <w:rsid w:val="009D3207"/>
    <w:rsid w:val="009E0C7E"/>
    <w:rsid w:val="009E0E46"/>
    <w:rsid w:val="009E2162"/>
    <w:rsid w:val="00A05D8C"/>
    <w:rsid w:val="00A13CD2"/>
    <w:rsid w:val="00A20538"/>
    <w:rsid w:val="00A24560"/>
    <w:rsid w:val="00A2549D"/>
    <w:rsid w:val="00A33957"/>
    <w:rsid w:val="00A34538"/>
    <w:rsid w:val="00A6602D"/>
    <w:rsid w:val="00A67203"/>
    <w:rsid w:val="00A9441D"/>
    <w:rsid w:val="00AA442B"/>
    <w:rsid w:val="00AC12F3"/>
    <w:rsid w:val="00AC3EA8"/>
    <w:rsid w:val="00AF154D"/>
    <w:rsid w:val="00B0366F"/>
    <w:rsid w:val="00B05013"/>
    <w:rsid w:val="00B0697D"/>
    <w:rsid w:val="00B22E22"/>
    <w:rsid w:val="00B23225"/>
    <w:rsid w:val="00B36A0A"/>
    <w:rsid w:val="00B525CB"/>
    <w:rsid w:val="00B61B94"/>
    <w:rsid w:val="00B63CB2"/>
    <w:rsid w:val="00B82B59"/>
    <w:rsid w:val="00B8437B"/>
    <w:rsid w:val="00B91DB6"/>
    <w:rsid w:val="00B972B1"/>
    <w:rsid w:val="00BB0780"/>
    <w:rsid w:val="00BB2313"/>
    <w:rsid w:val="00BC600B"/>
    <w:rsid w:val="00BC6CB0"/>
    <w:rsid w:val="00BD2BBF"/>
    <w:rsid w:val="00BD78FE"/>
    <w:rsid w:val="00BF077E"/>
    <w:rsid w:val="00C04656"/>
    <w:rsid w:val="00C120FB"/>
    <w:rsid w:val="00C727E6"/>
    <w:rsid w:val="00C95CE7"/>
    <w:rsid w:val="00CA7C1E"/>
    <w:rsid w:val="00CB7D92"/>
    <w:rsid w:val="00CC00CD"/>
    <w:rsid w:val="00CC20B8"/>
    <w:rsid w:val="00CC296B"/>
    <w:rsid w:val="00CD3357"/>
    <w:rsid w:val="00CF3616"/>
    <w:rsid w:val="00CF7D4A"/>
    <w:rsid w:val="00CF7DFA"/>
    <w:rsid w:val="00D04887"/>
    <w:rsid w:val="00D112C7"/>
    <w:rsid w:val="00D16E39"/>
    <w:rsid w:val="00D24508"/>
    <w:rsid w:val="00D52D73"/>
    <w:rsid w:val="00D60C9D"/>
    <w:rsid w:val="00D72E9D"/>
    <w:rsid w:val="00D77376"/>
    <w:rsid w:val="00D82CE5"/>
    <w:rsid w:val="00DA5AB1"/>
    <w:rsid w:val="00DB200E"/>
    <w:rsid w:val="00DC2F65"/>
    <w:rsid w:val="00DC62E5"/>
    <w:rsid w:val="00DD49E3"/>
    <w:rsid w:val="00DD735D"/>
    <w:rsid w:val="00DE2DF5"/>
    <w:rsid w:val="00DE3119"/>
    <w:rsid w:val="00DF236B"/>
    <w:rsid w:val="00E03626"/>
    <w:rsid w:val="00E12F0E"/>
    <w:rsid w:val="00E13AB8"/>
    <w:rsid w:val="00E33B62"/>
    <w:rsid w:val="00E40250"/>
    <w:rsid w:val="00E72FB1"/>
    <w:rsid w:val="00E818E7"/>
    <w:rsid w:val="00EC3ADA"/>
    <w:rsid w:val="00ED3EC1"/>
    <w:rsid w:val="00EE4811"/>
    <w:rsid w:val="00EF2DBD"/>
    <w:rsid w:val="00F40323"/>
    <w:rsid w:val="00F62DD5"/>
    <w:rsid w:val="00F7146B"/>
    <w:rsid w:val="00F718AB"/>
    <w:rsid w:val="00F72936"/>
    <w:rsid w:val="00F80EF1"/>
    <w:rsid w:val="00F84899"/>
    <w:rsid w:val="00F859F0"/>
    <w:rsid w:val="00F94EA0"/>
    <w:rsid w:val="00FA5D0A"/>
    <w:rsid w:val="00FB5006"/>
    <w:rsid w:val="00FB710A"/>
    <w:rsid w:val="00FC0074"/>
    <w:rsid w:val="00FE141E"/>
    <w:rsid w:val="00FE7FF8"/>
    <w:rsid w:val="00FF0FE0"/>
    <w:rsid w:val="00FF155F"/>
    <w:rsid w:val="112AF73B"/>
    <w:rsid w:val="16C5AD32"/>
    <w:rsid w:val="2A2B559B"/>
    <w:rsid w:val="413EEAF6"/>
    <w:rsid w:val="54C9054F"/>
    <w:rsid w:val="66838A45"/>
    <w:rsid w:val="7623F5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450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styleId="NormalWebCar" w:customStyle="1">
    <w:name w:val="Normal (Web) Car"/>
    <w:link w:val="NormalWeb"/>
    <w:uiPriority w:val="99"/>
    <w:rsid w:val="000920F0"/>
    <w:rPr>
      <w:rFonts w:ascii="Times New Roman" w:hAnsi="Times New Roman" w:eastAsia="Times New Roman" w:cs="Times New Roman"/>
      <w:sz w:val="24"/>
      <w:szCs w:val="24"/>
      <w:lang w:eastAsia="es-CO"/>
    </w:rPr>
  </w:style>
  <w:style w:type="character" w:styleId="Mencinsinresolver">
    <w:name w:val="Unresolved Mention"/>
    <w:basedOn w:val="Fuentedeprrafopredeter"/>
    <w:uiPriority w:val="99"/>
    <w:rsid w:val="00DE2DF5"/>
    <w:rPr>
      <w:color w:val="605E5C"/>
      <w:shd w:val="clear" w:color="auto" w:fill="E1DFDD"/>
    </w:rPr>
  </w:style>
  <w:style w:type="paragraph" w:styleId="Default" w:customStyle="1">
    <w:name w:val="Default"/>
    <w:rsid w:val="00BB078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14120956">
      <w:bodyDiv w:val="1"/>
      <w:marLeft w:val="0"/>
      <w:marRight w:val="0"/>
      <w:marTop w:val="0"/>
      <w:marBottom w:val="0"/>
      <w:divBdr>
        <w:top w:val="none" w:sz="0" w:space="0" w:color="auto"/>
        <w:left w:val="none" w:sz="0" w:space="0" w:color="auto"/>
        <w:bottom w:val="none" w:sz="0" w:space="0" w:color="auto"/>
        <w:right w:val="none" w:sz="0" w:space="0" w:color="auto"/>
      </w:divBdr>
    </w:div>
    <w:div w:id="279067683">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07583619">
      <w:bodyDiv w:val="1"/>
      <w:marLeft w:val="0"/>
      <w:marRight w:val="0"/>
      <w:marTop w:val="0"/>
      <w:marBottom w:val="0"/>
      <w:divBdr>
        <w:top w:val="none" w:sz="0" w:space="0" w:color="auto"/>
        <w:left w:val="none" w:sz="0" w:space="0" w:color="auto"/>
        <w:bottom w:val="none" w:sz="0" w:space="0" w:color="auto"/>
        <w:right w:val="none" w:sz="0" w:space="0" w:color="auto"/>
      </w:divBdr>
    </w:div>
    <w:div w:id="191073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4922eb7743f74f4d" /></Relationships>
</file>

<file path=word/_rels/footer1.xml.rels>&#65279;<?xml version="1.0" encoding="utf-8"?><Relationships xmlns="http://schemas.openxmlformats.org/package/2006/relationships"><Relationship Type="http://schemas.openxmlformats.org/officeDocument/2006/relationships/image" Target="/media/image5.png" Id="R1303df4dd1474abe"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9C629736-25E5-4E9A-943C-7CB068C72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05734E8C-7C2C-40AF-8913-2B4784ADB46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16</revision>
  <dcterms:created xsi:type="dcterms:W3CDTF">2020-04-27T15:17:00.0000000Z</dcterms:created>
  <dcterms:modified xsi:type="dcterms:W3CDTF">2020-07-27T15:42:36.2893782Z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