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58FAAE3E" w:rsidR="005A79FE" w:rsidRPr="00564B64" w:rsidRDefault="005A79FE" w:rsidP="005A79FE">
      <w:pPr>
        <w:spacing w:line="276" w:lineRule="auto"/>
        <w:jc w:val="right"/>
        <w:rPr>
          <w:rFonts w:ascii="Arial" w:eastAsia="Times New Roman" w:hAnsi="Arial" w:cs="Arial"/>
          <w:b/>
          <w:bCs/>
          <w:sz w:val="16"/>
          <w:szCs w:val="16"/>
          <w:lang w:eastAsia="es-ES"/>
        </w:rPr>
      </w:pPr>
      <w:r w:rsidRPr="00564B64">
        <w:rPr>
          <w:rFonts w:ascii="Arial" w:eastAsia="Times New Roman" w:hAnsi="Arial" w:cs="Arial"/>
          <w:b/>
          <w:bCs/>
          <w:sz w:val="16"/>
          <w:szCs w:val="16"/>
          <w:lang w:eastAsia="es-ES"/>
        </w:rPr>
        <w:t>CCE-DES-FM-17</w:t>
      </w:r>
    </w:p>
    <w:p w14:paraId="23FB5C16" w14:textId="77777777" w:rsidR="00564B64" w:rsidRPr="007C4CB3" w:rsidRDefault="00564B64" w:rsidP="005A79FE">
      <w:pPr>
        <w:spacing w:line="276" w:lineRule="auto"/>
        <w:jc w:val="right"/>
        <w:rPr>
          <w:rFonts w:ascii="Arial" w:eastAsia="Calibri" w:hAnsi="Arial" w:cs="Arial"/>
          <w:b/>
          <w:color w:val="4E4D4D"/>
          <w:sz w:val="16"/>
          <w:szCs w:val="16"/>
        </w:rPr>
      </w:pPr>
    </w:p>
    <w:p w14:paraId="7AE3795A" w14:textId="0412D69F" w:rsidR="00DD55C9" w:rsidRDefault="007C33C1" w:rsidP="005A79FE">
      <w:pPr>
        <w:spacing w:line="276" w:lineRule="auto"/>
        <w:jc w:val="both"/>
        <w:rPr>
          <w:rFonts w:ascii="Arial" w:hAnsi="Arial" w:cs="Arial"/>
          <w:b/>
          <w:bCs/>
          <w:sz w:val="22"/>
        </w:rPr>
      </w:pPr>
      <w:r w:rsidRPr="00DD55C9">
        <w:rPr>
          <w:rFonts w:ascii="Arial" w:hAnsi="Arial" w:cs="Arial"/>
          <w:b/>
          <w:bCs/>
          <w:sz w:val="22"/>
        </w:rPr>
        <w:t>DOCUMENTOS TIPO – Versión 2 – Factor de Calidad – Garantía adicional – Necesidad de Aseguradora</w:t>
      </w:r>
    </w:p>
    <w:p w14:paraId="46EAC39F" w14:textId="77777777" w:rsidR="007C33C1" w:rsidRDefault="007C33C1" w:rsidP="00DD55C9">
      <w:pPr>
        <w:spacing w:line="276" w:lineRule="auto"/>
        <w:jc w:val="both"/>
        <w:rPr>
          <w:rFonts w:ascii="Arial" w:eastAsia="Calibri" w:hAnsi="Arial" w:cs="Arial"/>
          <w:color w:val="4E4D4D"/>
          <w:sz w:val="20"/>
          <w:szCs w:val="20"/>
        </w:rPr>
      </w:pPr>
    </w:p>
    <w:p w14:paraId="4080A888" w14:textId="77777777" w:rsidR="00495475" w:rsidRPr="00DD55C9" w:rsidRDefault="00495475" w:rsidP="00DD55C9">
      <w:pPr>
        <w:jc w:val="both"/>
        <w:rPr>
          <w:rFonts w:ascii="Arial" w:hAnsi="Arial" w:cs="Arial"/>
          <w:sz w:val="20"/>
          <w:szCs w:val="20"/>
        </w:rPr>
      </w:pPr>
      <w:r w:rsidRPr="00DD55C9">
        <w:rPr>
          <w:rFonts w:ascii="Arial" w:hAnsi="Arial" w:cs="Arial"/>
          <w:sz w:val="20"/>
          <w:szCs w:val="20"/>
        </w:rPr>
        <w:t xml:space="preserve">El proponente puede conceder la garantía adicional a través de una aseguradora, o puede hacerlo directamente, como garantía comercial que se da sobre un producto. Es decir, la posibilidad de obtener puntaje por este factor no se encuentra sujeta a la existencia de un seguro que respalde el amparo adicional, dado que el proponente puede otorgar la garantía por sí mismo. </w:t>
      </w:r>
    </w:p>
    <w:p w14:paraId="763E9167" w14:textId="36E6A9C9" w:rsidR="00DD55C9" w:rsidRPr="00DD55C9" w:rsidRDefault="00495475" w:rsidP="00DD55C9">
      <w:pPr>
        <w:pStyle w:val="Prrafodelista"/>
        <w:spacing w:before="120" w:after="120"/>
        <w:ind w:left="0"/>
        <w:jc w:val="both"/>
        <w:rPr>
          <w:rFonts w:ascii="Arial" w:hAnsi="Arial" w:cs="Arial"/>
          <w:sz w:val="20"/>
          <w:szCs w:val="20"/>
        </w:rPr>
      </w:pPr>
      <w:r w:rsidRPr="00DD55C9">
        <w:rPr>
          <w:rFonts w:ascii="Arial" w:hAnsi="Arial" w:cs="Arial"/>
          <w:sz w:val="20"/>
          <w:szCs w:val="20"/>
        </w:rPr>
        <w:t>En pocas palabras, para el otorgamiento del puntaje por «Garantía suplementaria o adicional» no es necesario que la garantía sea otorgada por una aseguradora; sino bastará la garantía comercial que ofrezca el propio contratista.</w:t>
      </w:r>
    </w:p>
    <w:p w14:paraId="7176DACC" w14:textId="77777777" w:rsidR="00D27E2A" w:rsidRDefault="00D27E2A" w:rsidP="00DD55C9">
      <w:pPr>
        <w:pStyle w:val="Prrafodelista"/>
        <w:spacing w:line="276" w:lineRule="auto"/>
        <w:ind w:left="0"/>
        <w:jc w:val="both"/>
        <w:rPr>
          <w:rFonts w:ascii="Arial" w:hAnsi="Arial" w:cs="Arial"/>
          <w:b/>
          <w:bCs/>
          <w:sz w:val="20"/>
          <w:szCs w:val="20"/>
        </w:rPr>
      </w:pPr>
    </w:p>
    <w:p w14:paraId="150FB183" w14:textId="499EF055" w:rsidR="005A79FE" w:rsidRPr="00DD55C9" w:rsidRDefault="00D27E2A" w:rsidP="00DD55C9">
      <w:pPr>
        <w:pStyle w:val="Prrafodelista"/>
        <w:spacing w:line="276" w:lineRule="auto"/>
        <w:ind w:left="0"/>
        <w:jc w:val="both"/>
        <w:rPr>
          <w:rFonts w:ascii="Arial" w:hAnsi="Arial" w:cs="Arial"/>
          <w:b/>
          <w:bCs/>
          <w:sz w:val="22"/>
        </w:rPr>
      </w:pPr>
      <w:r w:rsidRPr="00DD55C9">
        <w:rPr>
          <w:rFonts w:ascii="Arial" w:hAnsi="Arial" w:cs="Arial"/>
          <w:b/>
          <w:bCs/>
          <w:sz w:val="22"/>
        </w:rPr>
        <w:t>DOCUMENTOS TIPO – Versión 2 – Factor de Calidad – Garantía adicional – Naturaleza</w:t>
      </w:r>
    </w:p>
    <w:p w14:paraId="4C31BD76" w14:textId="77777777" w:rsidR="00D27E2A" w:rsidRDefault="00D27E2A" w:rsidP="00AD290E">
      <w:pPr>
        <w:pStyle w:val="Prrafodelista"/>
        <w:ind w:left="0"/>
        <w:jc w:val="both"/>
        <w:rPr>
          <w:rFonts w:ascii="Arial" w:eastAsia="Calibri" w:hAnsi="Arial" w:cs="Arial"/>
          <w:color w:val="4E4D4D"/>
          <w:sz w:val="20"/>
          <w:szCs w:val="20"/>
        </w:rPr>
      </w:pPr>
    </w:p>
    <w:p w14:paraId="5F9990D1" w14:textId="6A1FEE9F" w:rsidR="00DD55C9" w:rsidRDefault="00DD55C9" w:rsidP="00AD290E">
      <w:pPr>
        <w:jc w:val="both"/>
        <w:rPr>
          <w:rFonts w:ascii="Arial" w:hAnsi="Arial" w:cs="Arial"/>
          <w:sz w:val="20"/>
          <w:szCs w:val="20"/>
        </w:rPr>
      </w:pPr>
      <w:r>
        <w:rPr>
          <w:rFonts w:ascii="Arial" w:hAnsi="Arial" w:cs="Arial"/>
          <w:sz w:val="20"/>
          <w:szCs w:val="20"/>
        </w:rPr>
        <w:t xml:space="preserve">[…] </w:t>
      </w:r>
      <w:r w:rsidRPr="00DD55C9">
        <w:rPr>
          <w:rFonts w:ascii="Arial" w:hAnsi="Arial" w:cs="Arial"/>
          <w:sz w:val="20"/>
          <w:szCs w:val="20"/>
        </w:rPr>
        <w:t>la «Garantía adicional o suplementaria» al ser un amparo relacionado con la estabilidad y calidad de la obra, cubrirá a la entidad estatal contratante de los perjuicios que se le ocasionen como consecuencia de cualquier daño o deterioro, independientemente de su causa, sufridos por la obra entregada. Este amparo adicional empieza a regir después del plazo previsto para la garantía de estabilidad y calidad de la obra, que en todo caso no puede ser inferior a cinco (5) años contados a partir de la fecha en la cual la Entidad Estatal recibe a satisfacción la obra. En esta medida, no se extiende a otro tipo de amparos</w:t>
      </w:r>
    </w:p>
    <w:p w14:paraId="260EBAC5" w14:textId="77777777" w:rsidR="00AD290E" w:rsidRPr="00A6270F" w:rsidRDefault="00AD290E" w:rsidP="00AD290E">
      <w:pPr>
        <w:jc w:val="both"/>
        <w:rPr>
          <w:rFonts w:ascii="Arial" w:hAnsi="Arial" w:cs="Arial"/>
          <w:sz w:val="20"/>
          <w:szCs w:val="20"/>
        </w:rPr>
      </w:pPr>
    </w:p>
    <w:p w14:paraId="4947563D" w14:textId="50C448F6" w:rsidR="00D27E2A" w:rsidRPr="00DD55C9" w:rsidRDefault="00D27E2A" w:rsidP="00D27E2A">
      <w:pPr>
        <w:pStyle w:val="Prrafodelista"/>
        <w:spacing w:line="276" w:lineRule="auto"/>
        <w:ind w:left="0"/>
        <w:jc w:val="both"/>
        <w:rPr>
          <w:rFonts w:ascii="Arial" w:hAnsi="Arial" w:cs="Arial"/>
          <w:b/>
          <w:bCs/>
          <w:sz w:val="22"/>
        </w:rPr>
      </w:pPr>
      <w:r w:rsidRPr="00DD55C9">
        <w:rPr>
          <w:rFonts w:ascii="Arial" w:hAnsi="Arial" w:cs="Arial"/>
          <w:b/>
          <w:bCs/>
          <w:sz w:val="22"/>
        </w:rPr>
        <w:t>DOCUMENTOS TIPO – Versión 2 – Factor de Calidad – Número máximo para ofertar</w:t>
      </w:r>
    </w:p>
    <w:p w14:paraId="5B9B65ED" w14:textId="77777777" w:rsidR="005A79FE" w:rsidRPr="00DD55C9" w:rsidRDefault="005A79FE" w:rsidP="005A79FE">
      <w:pPr>
        <w:spacing w:line="276" w:lineRule="auto"/>
        <w:jc w:val="both"/>
        <w:rPr>
          <w:rFonts w:ascii="Arial" w:hAnsi="Arial" w:cs="Arial"/>
          <w:color w:val="4E4D4D"/>
          <w:sz w:val="20"/>
          <w:szCs w:val="20"/>
        </w:rPr>
      </w:pPr>
    </w:p>
    <w:p w14:paraId="12310A85" w14:textId="61B8B264" w:rsidR="00DD55C9" w:rsidRDefault="00DD55C9" w:rsidP="00AD290E">
      <w:pPr>
        <w:jc w:val="both"/>
        <w:rPr>
          <w:rFonts w:ascii="Arial" w:hAnsi="Arial" w:cs="Arial"/>
          <w:sz w:val="20"/>
          <w:szCs w:val="20"/>
        </w:rPr>
      </w:pPr>
      <w:r w:rsidRPr="00DD55C9">
        <w:rPr>
          <w:rFonts w:ascii="Arial" w:hAnsi="Arial" w:cs="Arial"/>
          <w:sz w:val="20"/>
          <w:szCs w:val="20"/>
        </w:rPr>
        <w:t>El «Documento Tipo» no dispone un límite sobre el tiempo de la garantía adicional, distinta a la legal. Los proponentes también pueden ofrecer el número de cuadrillas de trabajo adicional para el proyecto, o establecer el plazo máximo para realizar labores de mantenimiento rutinario adicional. Es decir, el «Documento Tipo» no limita los ofrecimientos realizados por el oferente. No obstante, en el evento que resulte adjudicatario del procedimiento de contratación, el compromiso del factor de calidad se convierte en una obligación contractual que es de obligatorio cumplimiento, so pena de las multas que se impongan de acuerdo con lo definido en el «Anexo 5 – Minuta del Contrato».</w:t>
      </w:r>
    </w:p>
    <w:p w14:paraId="2D46064A" w14:textId="77777777" w:rsidR="005A79FE" w:rsidRPr="009F6429" w:rsidRDefault="005A79FE" w:rsidP="00AD290E">
      <w:pPr>
        <w:jc w:val="both"/>
        <w:rPr>
          <w:rFonts w:ascii="Arial" w:eastAsia="Calibri" w:hAnsi="Arial" w:cs="Arial"/>
          <w:color w:val="4E4D4D"/>
          <w:sz w:val="20"/>
        </w:rPr>
      </w:pPr>
    </w:p>
    <w:p w14:paraId="02D6EAD6" w14:textId="05F99BEF" w:rsidR="00DD55C9" w:rsidRDefault="00716F35" w:rsidP="7802E6B0">
      <w:pPr>
        <w:pStyle w:val="Prrafodelista"/>
        <w:spacing w:line="276" w:lineRule="auto"/>
        <w:ind w:left="0"/>
        <w:jc w:val="both"/>
        <w:rPr>
          <w:rFonts w:ascii="Arial" w:hAnsi="Arial" w:cs="Arial"/>
          <w:b/>
          <w:bCs/>
          <w:sz w:val="22"/>
        </w:rPr>
      </w:pPr>
      <w:r w:rsidRPr="7802E6B0">
        <w:rPr>
          <w:rFonts w:ascii="Arial" w:hAnsi="Arial" w:cs="Arial"/>
          <w:b/>
          <w:bCs/>
          <w:sz w:val="22"/>
        </w:rPr>
        <w:t xml:space="preserve">DOCUMENTOS TIPO – Versión 2 – Cuadrilla </w:t>
      </w:r>
      <w:r w:rsidR="3DFBDD28" w:rsidRPr="7802E6B0">
        <w:rPr>
          <w:rFonts w:ascii="Arial" w:hAnsi="Arial" w:cs="Arial"/>
          <w:b/>
          <w:bCs/>
          <w:sz w:val="22"/>
        </w:rPr>
        <w:t>–</w:t>
      </w:r>
      <w:r w:rsidRPr="7802E6B0">
        <w:rPr>
          <w:rFonts w:ascii="Arial" w:hAnsi="Arial" w:cs="Arial"/>
          <w:b/>
          <w:bCs/>
          <w:sz w:val="22"/>
        </w:rPr>
        <w:t xml:space="preserve"> Trabajo Adicional – Definición Anexo Técnico</w:t>
      </w:r>
    </w:p>
    <w:p w14:paraId="7D182EA0" w14:textId="2B1CE874" w:rsidR="005A79FE" w:rsidRDefault="005A79FE" w:rsidP="00DD55C9">
      <w:pPr>
        <w:pStyle w:val="Prrafodelista"/>
        <w:spacing w:line="276" w:lineRule="auto"/>
        <w:ind w:left="0"/>
        <w:jc w:val="both"/>
      </w:pPr>
    </w:p>
    <w:p w14:paraId="66D93E0E" w14:textId="77777777" w:rsidR="00DD55C9" w:rsidRPr="00DD55C9" w:rsidRDefault="00DD55C9" w:rsidP="00DD55C9">
      <w:pPr>
        <w:jc w:val="both"/>
        <w:rPr>
          <w:rFonts w:ascii="Arial" w:hAnsi="Arial" w:cs="Arial"/>
          <w:sz w:val="20"/>
          <w:szCs w:val="20"/>
        </w:rPr>
      </w:pPr>
      <w:r w:rsidRPr="00DD55C9">
        <w:rPr>
          <w:rFonts w:ascii="Arial" w:hAnsi="Arial" w:cs="Arial"/>
          <w:sz w:val="20"/>
          <w:szCs w:val="20"/>
        </w:rPr>
        <w:t xml:space="preserve">En el Documento Tipo se define como el personal obrero adicional para un frente o unidad de trabajo, la cual deberá ser de 5 obreros. En este sentido, no es necesario incluir una nueva definición en el Anexo Técnico; ya que según el tipo de obra de Infraestructura de Transporte y por las labores propias a realizar se entienden las condiciones de dicha cuadrilla, por lo cual, no es sujeto de establecimiento de perfiles, ya que se encuentra en función de una unidad de trabajo compuesta de 5 obreros para tal fin. </w:t>
      </w:r>
    </w:p>
    <w:p w14:paraId="142AB806" w14:textId="10EE532F" w:rsidR="00AD290E" w:rsidRDefault="00DD55C9" w:rsidP="007C4CB3">
      <w:pPr>
        <w:jc w:val="both"/>
        <w:rPr>
          <w:rFonts w:ascii="Arial" w:hAnsi="Arial" w:cs="Arial"/>
          <w:sz w:val="20"/>
          <w:szCs w:val="20"/>
        </w:rPr>
      </w:pPr>
      <w:r w:rsidRPr="00DD55C9">
        <w:rPr>
          <w:rFonts w:ascii="Arial" w:hAnsi="Arial" w:cs="Arial"/>
          <w:sz w:val="20"/>
          <w:szCs w:val="20"/>
        </w:rPr>
        <w:t xml:space="preserve">Por otro lado, en razón a que las cuadrillas de trabajo adicional están por cuenta propia del contratista, si se definen en el «Anexo 1– Anexo Técnico» se obligaría al proponente que contará con ese personal de manera obligatoria para ser acreedor de dicho puntaje, limitando de esta manera la capacidad de elaboración de la propuesta por parte del oferente. De esta forma, se </w:t>
      </w:r>
      <w:r w:rsidRPr="00DD55C9">
        <w:rPr>
          <w:rFonts w:ascii="Arial" w:hAnsi="Arial" w:cs="Arial"/>
          <w:sz w:val="20"/>
          <w:szCs w:val="20"/>
        </w:rPr>
        <w:lastRenderedPageBreak/>
        <w:t>recuerda que las cuadrillas de trabajo adicional son entendidas en el marco del tipo de Infraestructura de Transporte que se ejecuta</w:t>
      </w:r>
    </w:p>
    <w:p w14:paraId="6F8857AB" w14:textId="77777777" w:rsidR="0042099B" w:rsidRDefault="0042099B" w:rsidP="007C4CB3">
      <w:pPr>
        <w:jc w:val="both"/>
        <w:rPr>
          <w:rFonts w:ascii="Arial" w:hAnsi="Arial" w:cs="Arial"/>
          <w:sz w:val="20"/>
          <w:szCs w:val="20"/>
        </w:rPr>
      </w:pPr>
    </w:p>
    <w:p w14:paraId="07ECF84E" w14:textId="282AAE4E" w:rsidR="00DD55C9" w:rsidRDefault="00716F35" w:rsidP="007C4CB3">
      <w:pPr>
        <w:jc w:val="both"/>
        <w:rPr>
          <w:rFonts w:ascii="Arial" w:hAnsi="Arial" w:cs="Arial"/>
          <w:b/>
          <w:bCs/>
          <w:sz w:val="22"/>
        </w:rPr>
      </w:pPr>
      <w:r w:rsidRPr="00DD55C9">
        <w:rPr>
          <w:rFonts w:ascii="Arial" w:hAnsi="Arial" w:cs="Arial"/>
          <w:b/>
          <w:bCs/>
          <w:sz w:val="22"/>
        </w:rPr>
        <w:t>DOCUMENTOS TIPO – Versión 2 – Visita de obra – Proponentes plurales</w:t>
      </w:r>
    </w:p>
    <w:p w14:paraId="086DA19C" w14:textId="77777777" w:rsidR="00DD55C9" w:rsidRDefault="00DD55C9" w:rsidP="007C4CB3">
      <w:pPr>
        <w:jc w:val="both"/>
        <w:rPr>
          <w:rFonts w:ascii="Arial" w:hAnsi="Arial" w:cs="Arial"/>
          <w:sz w:val="20"/>
          <w:szCs w:val="20"/>
          <w:lang w:val="es-ES"/>
        </w:rPr>
      </w:pPr>
    </w:p>
    <w:p w14:paraId="6C1B775F" w14:textId="6AB0EBB9" w:rsidR="00DD55C9" w:rsidRDefault="00DD55C9" w:rsidP="007C4CB3">
      <w:pPr>
        <w:jc w:val="both"/>
        <w:rPr>
          <w:rFonts w:ascii="Arial" w:hAnsi="Arial" w:cs="Arial"/>
          <w:sz w:val="20"/>
          <w:szCs w:val="20"/>
          <w:lang w:val="es-ES"/>
        </w:rPr>
      </w:pPr>
      <w:r w:rsidRPr="00DD55C9">
        <w:rPr>
          <w:rFonts w:ascii="Arial" w:hAnsi="Arial" w:cs="Arial"/>
          <w:sz w:val="20"/>
          <w:szCs w:val="20"/>
          <w:lang w:val="es-ES"/>
        </w:rPr>
        <w:t xml:space="preserve">De acuerdo con la información del «Documento Base o Pliego Tipo» la acreditación de la visita de obra por parte de los proponentes plurales: i) bastará que uno (1) de los futuros integrantes sea el que realice la visita y ii) no es necesario que asista el representante legal de la persona jurídica o la persona natural miembro del proponente plural, ya que bastará la asistencia a cualquier persona que tenga el título de ingeniero, por medio de una autorización simple suscrita por alguno de ellos. </w:t>
      </w:r>
    </w:p>
    <w:p w14:paraId="507675CF" w14:textId="618CE947" w:rsidR="00DD55C9" w:rsidRPr="00A6270F" w:rsidRDefault="00DD55C9" w:rsidP="007C4CB3">
      <w:pPr>
        <w:tabs>
          <w:tab w:val="left" w:pos="426"/>
        </w:tabs>
        <w:jc w:val="both"/>
        <w:rPr>
          <w:rFonts w:ascii="Arial" w:hAnsi="Arial" w:cs="Arial"/>
          <w:sz w:val="20"/>
          <w:szCs w:val="20"/>
        </w:rPr>
      </w:pPr>
      <w:r w:rsidRPr="00DD55C9">
        <w:rPr>
          <w:rFonts w:ascii="Arial" w:hAnsi="Arial" w:cs="Arial"/>
          <w:sz w:val="20"/>
          <w:szCs w:val="20"/>
          <w:lang w:val="es-ES"/>
        </w:rPr>
        <w:t>De esta forma no se requiere que al momento de asistir a la visita de la obra ya esté conformado el consorcio o unión temporal, simplemente la persona que asista debe indicar que actúa en nombre de uno de los integrantes del proponente plural. En este sentido, en el caso que uno de los integrantes asista a la visita de la obra, se podrá conformar el consorcio o la unión temporal con cualquier persona que no haya asistido a la visita de la obr</w:t>
      </w:r>
      <w:r>
        <w:rPr>
          <w:rFonts w:ascii="Arial" w:hAnsi="Arial" w:cs="Arial"/>
          <w:sz w:val="20"/>
          <w:szCs w:val="20"/>
          <w:lang w:val="es-ES"/>
        </w:rPr>
        <w:t>a.</w:t>
      </w:r>
    </w:p>
    <w:p w14:paraId="69B702F5" w14:textId="2CF96CF0" w:rsidR="00CC133B" w:rsidRDefault="00CC133B" w:rsidP="007C4CB3">
      <w:pPr>
        <w:tabs>
          <w:tab w:val="left" w:pos="426"/>
        </w:tabs>
        <w:jc w:val="both"/>
        <w:rPr>
          <w:rFonts w:ascii="Arial" w:hAnsi="Arial" w:cs="Arial"/>
          <w:sz w:val="20"/>
          <w:szCs w:val="20"/>
        </w:rPr>
      </w:pPr>
    </w:p>
    <w:p w14:paraId="77D4F74B" w14:textId="6CBA78C4" w:rsidR="00CC133B" w:rsidRPr="00DD55C9" w:rsidRDefault="00CC133B" w:rsidP="007C4CB3">
      <w:pPr>
        <w:tabs>
          <w:tab w:val="left" w:pos="426"/>
        </w:tabs>
        <w:jc w:val="both"/>
        <w:rPr>
          <w:rFonts w:ascii="Arial" w:hAnsi="Arial" w:cs="Arial"/>
          <w:b/>
          <w:bCs/>
          <w:sz w:val="22"/>
        </w:rPr>
      </w:pPr>
      <w:r w:rsidRPr="00DD55C9">
        <w:rPr>
          <w:rFonts w:ascii="Arial" w:hAnsi="Arial" w:cs="Arial"/>
          <w:b/>
          <w:bCs/>
          <w:sz w:val="22"/>
        </w:rPr>
        <w:t>DOCUMENTOS TIPO</w:t>
      </w:r>
      <w:r w:rsidR="002A3243">
        <w:rPr>
          <w:rFonts w:ascii="Arial" w:hAnsi="Arial" w:cs="Arial"/>
          <w:b/>
          <w:bCs/>
          <w:sz w:val="22"/>
        </w:rPr>
        <w:t xml:space="preserve"> </w:t>
      </w:r>
      <w:r w:rsidR="002A3243" w:rsidRPr="00DD55C9">
        <w:rPr>
          <w:rFonts w:ascii="Arial" w:hAnsi="Arial" w:cs="Arial"/>
          <w:b/>
          <w:bCs/>
          <w:sz w:val="22"/>
        </w:rPr>
        <w:t>–</w:t>
      </w:r>
      <w:r w:rsidRPr="00DD55C9">
        <w:rPr>
          <w:rFonts w:ascii="Arial" w:hAnsi="Arial" w:cs="Arial"/>
          <w:b/>
          <w:bCs/>
          <w:sz w:val="22"/>
        </w:rPr>
        <w:t xml:space="preserve"> Resolución 080 de 2020 – Suspensión Visita de Obra y Garantías adicionales </w:t>
      </w:r>
    </w:p>
    <w:p w14:paraId="5CA1B40C" w14:textId="6C7E18E8" w:rsidR="00CC133B" w:rsidRDefault="00CC133B" w:rsidP="007C4CB3">
      <w:pPr>
        <w:rPr>
          <w:rFonts w:ascii="Arial" w:hAnsi="Arial" w:cs="Arial"/>
          <w:sz w:val="20"/>
          <w:szCs w:val="20"/>
        </w:rPr>
      </w:pPr>
    </w:p>
    <w:p w14:paraId="3C8E719F" w14:textId="16A7A849" w:rsidR="00CC133B" w:rsidRPr="007C4CB3" w:rsidRDefault="00CC133B" w:rsidP="007C4CB3">
      <w:pPr>
        <w:spacing w:after="120"/>
        <w:jc w:val="both"/>
        <w:rPr>
          <w:rFonts w:ascii="Arial" w:hAnsi="Arial" w:cs="Arial"/>
          <w:sz w:val="20"/>
          <w:szCs w:val="20"/>
          <w:lang w:val="es-ES_tradnl"/>
        </w:rPr>
      </w:pPr>
      <w:r>
        <w:rPr>
          <w:rFonts w:ascii="Arial" w:hAnsi="Arial" w:cs="Arial"/>
          <w:sz w:val="20"/>
          <w:szCs w:val="20"/>
        </w:rPr>
        <w:t>L</w:t>
      </w:r>
      <w:r w:rsidRPr="00CC133B">
        <w:rPr>
          <w:rFonts w:ascii="Arial" w:hAnsi="Arial" w:cs="Arial"/>
          <w:sz w:val="20"/>
          <w:szCs w:val="20"/>
        </w:rPr>
        <w:t xml:space="preserve">a Agencia Nacional de Contratación Pública – CCE, expidió la Resolución No. 080 de 2020, a través de la cual, suspende los numerales 3.6 – Visita al sitio de la obra y 4.2.4 – Garantías suplementarias o adicionales, de los Documentos Tipo de Licitación de obra pública de infraestructura de Transporte – Versión 2 y de Selección Abreviada de menor cuantía de infraestructura de </w:t>
      </w:r>
      <w:r w:rsidRPr="007C4CB3">
        <w:rPr>
          <w:rFonts w:ascii="Arial" w:hAnsi="Arial" w:cs="Arial"/>
          <w:sz w:val="20"/>
          <w:szCs w:val="20"/>
          <w:lang w:val="es-ES_tradnl"/>
        </w:rPr>
        <w:t xml:space="preserve">Transporte. </w:t>
      </w:r>
    </w:p>
    <w:p w14:paraId="0AF17E7E" w14:textId="3EBB9C09" w:rsidR="00CC133B" w:rsidRDefault="00CC133B" w:rsidP="007C4CB3">
      <w:pPr>
        <w:spacing w:after="120"/>
        <w:jc w:val="both"/>
        <w:rPr>
          <w:rFonts w:ascii="Arial" w:hAnsi="Arial" w:cs="Arial"/>
          <w:sz w:val="20"/>
          <w:szCs w:val="20"/>
        </w:rPr>
      </w:pPr>
      <w:r w:rsidRPr="007C4CB3">
        <w:rPr>
          <w:rFonts w:ascii="Arial" w:hAnsi="Arial" w:cs="Arial"/>
          <w:sz w:val="20"/>
          <w:szCs w:val="20"/>
          <w:lang w:val="es-ES_tradnl"/>
        </w:rPr>
        <w:t>En este orden de ideas, las Entidades no podrán exigir estos «Factores de Calidad» en los Procesos de Contratación mientas</w:t>
      </w:r>
      <w:r w:rsidRPr="00CC133B">
        <w:rPr>
          <w:rFonts w:ascii="Arial" w:hAnsi="Arial" w:cs="Arial"/>
          <w:sz w:val="20"/>
          <w:szCs w:val="20"/>
        </w:rPr>
        <w:t xml:space="preserve"> se encuentran suspendidos estos numerales en los Documentos Tipo de Licitación Pública de Infraestructura de Transporte Versión 2 y en los procesos de Selección abreviada de infraestructura de transporte. </w:t>
      </w:r>
    </w:p>
    <w:p w14:paraId="2CE78FC2" w14:textId="1EF0A310" w:rsidR="00CC133B" w:rsidRDefault="00CC133B" w:rsidP="007C4CB3">
      <w:pPr>
        <w:jc w:val="both"/>
        <w:rPr>
          <w:rFonts w:ascii="Arial" w:hAnsi="Arial" w:cs="Arial"/>
          <w:sz w:val="20"/>
          <w:szCs w:val="20"/>
        </w:rPr>
      </w:pPr>
    </w:p>
    <w:p w14:paraId="446B11CA" w14:textId="37049715" w:rsidR="00CC133B" w:rsidRDefault="0041700A" w:rsidP="007C4CB3">
      <w:pPr>
        <w:jc w:val="both"/>
        <w:rPr>
          <w:rFonts w:ascii="Arial" w:hAnsi="Arial" w:cs="Arial"/>
          <w:b/>
          <w:bCs/>
          <w:sz w:val="22"/>
        </w:rPr>
      </w:pPr>
      <w:r w:rsidRPr="7802E6B0">
        <w:rPr>
          <w:rFonts w:ascii="Arial" w:hAnsi="Arial" w:cs="Arial"/>
          <w:b/>
          <w:bCs/>
          <w:sz w:val="22"/>
        </w:rPr>
        <w:t xml:space="preserve">SUBSANABILIDAD – Circunstancias </w:t>
      </w:r>
      <w:r w:rsidR="5D1D1F08" w:rsidRPr="7802E6B0">
        <w:rPr>
          <w:rFonts w:ascii="Arial" w:hAnsi="Arial" w:cs="Arial"/>
          <w:b/>
          <w:bCs/>
          <w:sz w:val="22"/>
        </w:rPr>
        <w:t>posteriores – Cierre del proceso</w:t>
      </w:r>
    </w:p>
    <w:p w14:paraId="1F7DA98B" w14:textId="73B60938" w:rsidR="7802E6B0" w:rsidRDefault="7802E6B0" w:rsidP="007C4CB3">
      <w:pPr>
        <w:jc w:val="both"/>
        <w:rPr>
          <w:rFonts w:ascii="Arial" w:hAnsi="Arial" w:cs="Arial"/>
          <w:b/>
          <w:bCs/>
          <w:sz w:val="22"/>
        </w:rPr>
      </w:pPr>
    </w:p>
    <w:p w14:paraId="4EE4B98F" w14:textId="11FD633E" w:rsidR="00DD55C9" w:rsidRDefault="00DD55C9" w:rsidP="007C4CB3">
      <w:pPr>
        <w:spacing w:after="120"/>
        <w:jc w:val="both"/>
        <w:rPr>
          <w:rFonts w:ascii="Arial" w:hAnsi="Arial" w:cs="Arial"/>
          <w:sz w:val="20"/>
          <w:szCs w:val="20"/>
          <w:lang w:val="es-ES_tradnl"/>
        </w:rPr>
      </w:pPr>
      <w:r w:rsidRPr="00DD55C9">
        <w:rPr>
          <w:rFonts w:ascii="Arial" w:hAnsi="Arial" w:cs="Arial"/>
          <w:sz w:val="20"/>
          <w:szCs w:val="20"/>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204E165" w14:textId="2B9359B2" w:rsidR="00DD55C9" w:rsidRPr="00DD55C9" w:rsidRDefault="00DD55C9" w:rsidP="007C4CB3">
      <w:pPr>
        <w:jc w:val="both"/>
        <w:rPr>
          <w:rFonts w:ascii="Arial" w:hAnsi="Arial" w:cs="Arial"/>
          <w:sz w:val="20"/>
          <w:szCs w:val="20"/>
          <w:lang w:val="es-ES_tradnl"/>
        </w:rPr>
      </w:pPr>
      <w:r w:rsidRPr="00DD55C9">
        <w:rPr>
          <w:rFonts w:ascii="Arial" w:hAnsi="Arial" w:cs="Arial"/>
          <w:sz w:val="20"/>
          <w:szCs w:val="20"/>
          <w:lang w:val="es-ES_tradnl"/>
        </w:rPr>
        <w:t>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14:paraId="637AACC8" w14:textId="1AC8A740" w:rsidR="009A07C9" w:rsidRDefault="009A07C9" w:rsidP="007C4CB3">
      <w:pPr>
        <w:jc w:val="both"/>
        <w:rPr>
          <w:rFonts w:ascii="Arial" w:hAnsi="Arial" w:cs="Arial"/>
          <w:sz w:val="20"/>
          <w:szCs w:val="20"/>
        </w:rPr>
      </w:pPr>
      <w:r>
        <w:rPr>
          <w:rFonts w:ascii="Arial" w:hAnsi="Arial" w:cs="Arial"/>
          <w:sz w:val="20"/>
          <w:szCs w:val="20"/>
        </w:rPr>
        <w:t>.</w:t>
      </w:r>
    </w:p>
    <w:p w14:paraId="54FC11BF" w14:textId="779FA473" w:rsidR="009A07C9" w:rsidRPr="00DD55C9" w:rsidRDefault="009A07C9" w:rsidP="007C4CB3">
      <w:pPr>
        <w:jc w:val="both"/>
        <w:rPr>
          <w:rFonts w:ascii="Arial" w:hAnsi="Arial" w:cs="Arial"/>
          <w:b/>
          <w:bCs/>
          <w:sz w:val="22"/>
        </w:rPr>
      </w:pPr>
      <w:r w:rsidRPr="7802E6B0">
        <w:rPr>
          <w:rFonts w:ascii="Arial" w:hAnsi="Arial" w:cs="Arial"/>
          <w:b/>
          <w:bCs/>
          <w:sz w:val="22"/>
        </w:rPr>
        <w:t xml:space="preserve">DOCUMENTOS TIPO – Versión 2 – Acreditación </w:t>
      </w:r>
      <w:r w:rsidR="5F563A58" w:rsidRPr="7802E6B0">
        <w:rPr>
          <w:rFonts w:ascii="Arial" w:hAnsi="Arial" w:cs="Arial"/>
          <w:b/>
          <w:bCs/>
          <w:sz w:val="22"/>
        </w:rPr>
        <w:t>– C</w:t>
      </w:r>
      <w:r w:rsidRPr="7802E6B0">
        <w:rPr>
          <w:rFonts w:ascii="Arial" w:hAnsi="Arial" w:cs="Arial"/>
          <w:b/>
          <w:bCs/>
          <w:sz w:val="22"/>
        </w:rPr>
        <w:t>apacidad organizacional</w:t>
      </w:r>
    </w:p>
    <w:p w14:paraId="65545728" w14:textId="6FA09277" w:rsidR="00A96499" w:rsidRDefault="00A96499" w:rsidP="007C4CB3">
      <w:pPr>
        <w:jc w:val="both"/>
        <w:rPr>
          <w:rFonts w:ascii="Arial" w:hAnsi="Arial" w:cs="Arial"/>
          <w:b/>
          <w:bCs/>
          <w:sz w:val="20"/>
          <w:szCs w:val="20"/>
        </w:rPr>
      </w:pPr>
    </w:p>
    <w:p w14:paraId="7C0E265D" w14:textId="0C8D0114" w:rsidR="00DD55C9" w:rsidRDefault="00DD55C9" w:rsidP="007C4CB3">
      <w:pPr>
        <w:jc w:val="both"/>
        <w:rPr>
          <w:rFonts w:ascii="Arial" w:hAnsi="Arial" w:cs="Arial"/>
          <w:sz w:val="20"/>
          <w:szCs w:val="20"/>
        </w:rPr>
      </w:pPr>
      <w:r w:rsidRPr="00DD55C9">
        <w:rPr>
          <w:rFonts w:ascii="Arial" w:hAnsi="Arial" w:cs="Arial"/>
          <w:sz w:val="20"/>
          <w:szCs w:val="20"/>
        </w:rPr>
        <w:t xml:space="preserve">Es importante señalar que la forma para acreditar la capacidad organizacional depende de quien presente la oferta.  En el caso de los proponentes nacionales o extranjeros con domicilio o sucursal en Colombia acreditan su capacidad organizacional con la información contenida en el RUP vigente </w:t>
      </w:r>
      <w:r w:rsidRPr="00DD55C9">
        <w:rPr>
          <w:rFonts w:ascii="Arial" w:hAnsi="Arial" w:cs="Arial"/>
          <w:sz w:val="20"/>
          <w:szCs w:val="20"/>
        </w:rPr>
        <w:lastRenderedPageBreak/>
        <w:t xml:space="preserve">y en firme, y, por lo tanto, no debe presentar el certificado de antecedentes disciplinarios de la Junta de Contador de quien realiza la conversión de la moneda. </w:t>
      </w:r>
    </w:p>
    <w:p w14:paraId="0E10DA70" w14:textId="2F94D723" w:rsidR="00DD55C9" w:rsidRPr="00DD55C9" w:rsidRDefault="00DD55C9" w:rsidP="007C4CB3">
      <w:pPr>
        <w:jc w:val="both"/>
        <w:rPr>
          <w:rFonts w:ascii="Arial" w:hAnsi="Arial" w:cs="Arial"/>
          <w:sz w:val="20"/>
          <w:szCs w:val="20"/>
        </w:rPr>
      </w:pPr>
      <w:r w:rsidRPr="00DD55C9">
        <w:rPr>
          <w:rFonts w:ascii="Arial" w:hAnsi="Arial" w:cs="Arial"/>
          <w:sz w:val="20"/>
          <w:szCs w:val="20"/>
        </w:rPr>
        <w:t>Por otro lado, el proponente extranjero que no tiene domicilio o sucursal en Colombia, en razón a que debe entregar el balance general y estado de resultado integral, sí es necesario presentar la tarjeta profesional del Contador Público o Revisor Fiscal de quien aprobó los estados financieros y, además entregar el certificado de antecedentes disciplinarios expedido por la Junta Central de Contadores de quien realiza la conversión de la moneda. En este sentido, se presentará el certificado de antecedentes disciplinarios del del Contador Público o Revisor Fiscal que realizó la conversión de la moneda al momento del cierre del proceso y no quien firmó el estado de situación financiera (balance general) y estado de resultado integral (estado de resultados).</w:t>
      </w:r>
    </w:p>
    <w:p w14:paraId="7E1FBF83" w14:textId="77777777" w:rsidR="00A96499" w:rsidRPr="009A07C9" w:rsidRDefault="00A96499" w:rsidP="007C4CB3">
      <w:pPr>
        <w:jc w:val="both"/>
        <w:rPr>
          <w:rFonts w:ascii="Arial" w:hAnsi="Arial" w:cs="Arial"/>
          <w:b/>
          <w:bCs/>
          <w:sz w:val="20"/>
          <w:szCs w:val="20"/>
        </w:rPr>
      </w:pPr>
    </w:p>
    <w:p w14:paraId="594D952C" w14:textId="77777777" w:rsidR="0041700A" w:rsidRDefault="0041700A" w:rsidP="007C4CB3">
      <w:pPr>
        <w:jc w:val="both"/>
        <w:rPr>
          <w:rFonts w:ascii="Arial" w:hAnsi="Arial" w:cs="Arial"/>
          <w:sz w:val="22"/>
        </w:rPr>
      </w:pPr>
    </w:p>
    <w:p w14:paraId="23C1B978" w14:textId="03456D9C" w:rsidR="005A79FE" w:rsidRPr="00660938" w:rsidRDefault="005A79FE" w:rsidP="007C4CB3">
      <w:pPr>
        <w:jc w:val="both"/>
        <w:rPr>
          <w:rFonts w:ascii="Arial" w:hAnsi="Arial" w:cs="Arial"/>
          <w:b/>
          <w:sz w:val="22"/>
          <w:lang w:val="es-CO"/>
        </w:rPr>
      </w:pPr>
      <w:bookmarkStart w:id="0" w:name="_Hlk41404263"/>
      <w:r w:rsidRPr="00950D57">
        <w:rPr>
          <w:rFonts w:ascii="Arial" w:hAnsi="Arial" w:cs="Arial"/>
          <w:sz w:val="22"/>
        </w:rPr>
        <w:t xml:space="preserve">Bogotá D.C., </w:t>
      </w:r>
      <w:r w:rsidR="00660938" w:rsidRPr="00660938">
        <w:rPr>
          <w:rFonts w:ascii="Arial" w:hAnsi="Arial" w:cs="Arial"/>
          <w:b/>
          <w:bCs/>
          <w:sz w:val="22"/>
          <w:lang w:val="es-CO"/>
        </w:rPr>
        <w:t>26/05/2020 Hora 16:59:1s</w:t>
      </w:r>
    </w:p>
    <w:p w14:paraId="2853595C" w14:textId="010B2385" w:rsidR="005A79FE" w:rsidRPr="00950D57" w:rsidRDefault="00660938" w:rsidP="00660938">
      <w:pPr>
        <w:tabs>
          <w:tab w:val="left" w:pos="3374"/>
        </w:tabs>
        <w:jc w:val="right"/>
        <w:rPr>
          <w:rFonts w:ascii="Arial" w:eastAsia="Calibri" w:hAnsi="Arial" w:cs="Arial"/>
          <w:sz w:val="22"/>
        </w:rPr>
      </w:pPr>
      <w:r w:rsidRPr="00660938">
        <w:rPr>
          <w:rFonts w:ascii="Arial" w:hAnsi="Arial" w:cs="Arial"/>
          <w:b/>
          <w:sz w:val="22"/>
          <w:lang w:val="es-CO"/>
        </w:rPr>
        <w:t xml:space="preserve"> </w:t>
      </w:r>
      <w:r w:rsidRPr="00660938">
        <w:rPr>
          <w:rFonts w:ascii="Arial" w:hAnsi="Arial" w:cs="Arial"/>
          <w:b/>
          <w:bCs/>
          <w:sz w:val="22"/>
          <w:lang w:val="es-CO"/>
        </w:rPr>
        <w:t>N° Radicado: 2202013000004162</w:t>
      </w:r>
      <w:r w:rsidR="005A79FE" w:rsidRPr="00950D57">
        <w:rPr>
          <w:rFonts w:ascii="Arial" w:eastAsia="Calibri" w:hAnsi="Arial" w:cs="Arial"/>
          <w:sz w:val="22"/>
        </w:rPr>
        <w:tab/>
      </w:r>
    </w:p>
    <w:p w14:paraId="47BE4008" w14:textId="442DD05F" w:rsidR="007C4CB3" w:rsidRDefault="007C4CB3" w:rsidP="005A79FE">
      <w:pPr>
        <w:rPr>
          <w:rFonts w:ascii="Arial" w:eastAsia="Calibri" w:hAnsi="Arial" w:cs="Arial"/>
          <w:sz w:val="22"/>
        </w:rPr>
      </w:pPr>
    </w:p>
    <w:p w14:paraId="5B0F2BCA" w14:textId="77777777" w:rsidR="007C4CB3" w:rsidRDefault="007C4CB3" w:rsidP="005A79FE">
      <w:pPr>
        <w:rPr>
          <w:rFonts w:ascii="Arial" w:eastAsia="Calibri" w:hAnsi="Arial" w:cs="Arial"/>
          <w:sz w:val="22"/>
        </w:rPr>
      </w:pPr>
    </w:p>
    <w:p w14:paraId="20988459" w14:textId="77777777" w:rsidR="007C4CB3" w:rsidRDefault="007C4CB3" w:rsidP="005A79FE">
      <w:pPr>
        <w:rPr>
          <w:rFonts w:ascii="Arial" w:eastAsia="Calibri" w:hAnsi="Arial" w:cs="Arial"/>
          <w:sz w:val="22"/>
        </w:rPr>
      </w:pPr>
    </w:p>
    <w:p w14:paraId="2097EFDF" w14:textId="1B6F86F1" w:rsidR="005A79FE" w:rsidRPr="00950D57" w:rsidRDefault="005A79FE" w:rsidP="005A79FE">
      <w:pPr>
        <w:rPr>
          <w:rFonts w:ascii="Arial" w:eastAsia="Calibri" w:hAnsi="Arial" w:cs="Arial"/>
          <w:sz w:val="22"/>
        </w:rPr>
      </w:pPr>
      <w:r w:rsidRPr="00950D57">
        <w:rPr>
          <w:rFonts w:ascii="Arial" w:eastAsia="Calibri" w:hAnsi="Arial" w:cs="Arial"/>
          <w:sz w:val="22"/>
        </w:rPr>
        <w:t>Señor</w:t>
      </w:r>
    </w:p>
    <w:p w14:paraId="7FDA027E" w14:textId="23FC0712" w:rsidR="005A79FE" w:rsidRPr="00950D57" w:rsidRDefault="00950D57" w:rsidP="005A79FE">
      <w:pPr>
        <w:rPr>
          <w:rFonts w:ascii="Arial" w:eastAsia="Calibri" w:hAnsi="Arial" w:cs="Arial"/>
          <w:b/>
          <w:sz w:val="22"/>
        </w:rPr>
      </w:pPr>
      <w:r>
        <w:rPr>
          <w:rFonts w:ascii="Arial" w:eastAsia="Calibri" w:hAnsi="Arial" w:cs="Arial"/>
          <w:b/>
          <w:sz w:val="22"/>
        </w:rPr>
        <w:t>Santiago Andrés Sánchez</w:t>
      </w:r>
      <w:r w:rsidR="005A79FE" w:rsidRPr="00950D57">
        <w:rPr>
          <w:rFonts w:ascii="Arial" w:eastAsia="Calibri" w:hAnsi="Arial" w:cs="Arial"/>
          <w:b/>
          <w:sz w:val="22"/>
        </w:rPr>
        <w:t xml:space="preserve"> </w:t>
      </w:r>
    </w:p>
    <w:p w14:paraId="699E9CB9" w14:textId="23E0903E" w:rsidR="005A79FE" w:rsidRDefault="00950D57" w:rsidP="005A79FE">
      <w:pPr>
        <w:rPr>
          <w:rFonts w:ascii="Arial" w:eastAsia="Calibri" w:hAnsi="Arial" w:cs="Arial"/>
          <w:sz w:val="22"/>
        </w:rPr>
      </w:pPr>
      <w:r>
        <w:rPr>
          <w:rFonts w:ascii="Arial" w:eastAsia="Calibri" w:hAnsi="Arial" w:cs="Arial"/>
          <w:sz w:val="22"/>
        </w:rPr>
        <w:t>Bucaramanga, Santander</w:t>
      </w:r>
    </w:p>
    <w:p w14:paraId="72F5BC60" w14:textId="5848B05A" w:rsidR="007C7ECA" w:rsidRDefault="007C7ECA" w:rsidP="007C7ECA">
      <w:pPr>
        <w:rPr>
          <w:rFonts w:ascii="Arial" w:eastAsia="Calibri" w:hAnsi="Arial" w:cs="Arial"/>
          <w:sz w:val="22"/>
        </w:rPr>
      </w:pPr>
    </w:p>
    <w:p w14:paraId="77A241BC" w14:textId="77777777" w:rsidR="007C7ECA" w:rsidRPr="00950D57" w:rsidRDefault="007C7ECA">
      <w:pPr>
        <w:rPr>
          <w:rFonts w:ascii="Arial" w:eastAsia="Calibri" w:hAnsi="Arial" w:cs="Arial"/>
          <w:sz w:val="22"/>
        </w:rPr>
      </w:pPr>
    </w:p>
    <w:p w14:paraId="3A2B9282" w14:textId="77777777" w:rsidR="007C4CB3" w:rsidRDefault="007C7ECA" w:rsidP="00DD55C9">
      <w:pPr>
        <w:rPr>
          <w:rFonts w:ascii="Arial" w:eastAsia="Calibri" w:hAnsi="Arial" w:cs="Arial"/>
          <w:b/>
          <w:sz w:val="22"/>
        </w:rPr>
      </w:pPr>
      <w:r>
        <w:rPr>
          <w:rFonts w:ascii="Arial" w:eastAsia="Calibri" w:hAnsi="Arial" w:cs="Arial"/>
          <w:b/>
          <w:sz w:val="22"/>
        </w:rPr>
        <w:t xml:space="preserve">                                           </w:t>
      </w:r>
    </w:p>
    <w:p w14:paraId="04EF5647" w14:textId="34A05BC5" w:rsidR="005A79FE" w:rsidRDefault="005A79FE" w:rsidP="007C4CB3">
      <w:pPr>
        <w:jc w:val="center"/>
        <w:rPr>
          <w:rFonts w:ascii="Arial" w:eastAsia="Calibri" w:hAnsi="Arial" w:cs="Arial"/>
          <w:b/>
          <w:sz w:val="22"/>
        </w:rPr>
      </w:pPr>
      <w:r w:rsidRPr="00950D57">
        <w:rPr>
          <w:rFonts w:ascii="Arial" w:eastAsia="Calibri" w:hAnsi="Arial" w:cs="Arial"/>
          <w:b/>
          <w:sz w:val="22"/>
        </w:rPr>
        <w:t xml:space="preserve">Concepto C ─ </w:t>
      </w:r>
      <w:r w:rsidR="008731AF">
        <w:rPr>
          <w:rFonts w:ascii="Arial" w:eastAsia="Calibri" w:hAnsi="Arial" w:cs="Arial"/>
          <w:b/>
          <w:sz w:val="22"/>
        </w:rPr>
        <w:t>277</w:t>
      </w:r>
      <w:r w:rsidRPr="00950D57">
        <w:rPr>
          <w:rFonts w:ascii="Arial" w:eastAsia="Calibri" w:hAnsi="Arial" w:cs="Arial"/>
          <w:b/>
          <w:sz w:val="22"/>
        </w:rPr>
        <w:t xml:space="preserve"> de 2020</w:t>
      </w:r>
    </w:p>
    <w:p w14:paraId="10CB549F" w14:textId="6379FF2C" w:rsidR="007C4CB3" w:rsidRDefault="007C4CB3" w:rsidP="00DD55C9">
      <w:pPr>
        <w:rPr>
          <w:rFonts w:ascii="Arial" w:eastAsia="Calibri" w:hAnsi="Arial" w:cs="Arial"/>
          <w:b/>
          <w:sz w:val="22"/>
        </w:rPr>
      </w:pPr>
    </w:p>
    <w:p w14:paraId="5A3F29A7" w14:textId="77777777" w:rsidR="007C4CB3" w:rsidRPr="00950D57" w:rsidRDefault="007C4CB3" w:rsidP="00DD55C9">
      <w:pPr>
        <w:rPr>
          <w:rFonts w:ascii="Arial" w:eastAsia="Calibri" w:hAnsi="Arial" w:cs="Arial"/>
          <w:b/>
          <w:sz w:val="22"/>
        </w:rPr>
      </w:pPr>
    </w:p>
    <w:p w14:paraId="6CCD98F0" w14:textId="77777777" w:rsidR="005A79FE" w:rsidRPr="00950D57"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50D57" w:rsidRPr="00950D57" w14:paraId="21699201" w14:textId="77777777" w:rsidTr="00CC133B">
        <w:tc>
          <w:tcPr>
            <w:tcW w:w="2689" w:type="dxa"/>
            <w:hideMark/>
          </w:tcPr>
          <w:p w14:paraId="26712367" w14:textId="77777777" w:rsidR="005A79FE" w:rsidRPr="00950D57" w:rsidRDefault="005A79FE" w:rsidP="00CC133B">
            <w:pPr>
              <w:rPr>
                <w:rFonts w:ascii="Arial" w:eastAsia="Calibri" w:hAnsi="Arial" w:cs="Arial"/>
                <w:sz w:val="22"/>
              </w:rPr>
            </w:pPr>
            <w:r w:rsidRPr="00950D57">
              <w:rPr>
                <w:rFonts w:ascii="Arial" w:eastAsia="Calibri" w:hAnsi="Arial" w:cs="Arial"/>
                <w:b/>
                <w:sz w:val="22"/>
              </w:rPr>
              <w:t>Temas:</w:t>
            </w:r>
            <w:r w:rsidRPr="00950D57">
              <w:rPr>
                <w:rFonts w:ascii="Arial" w:eastAsia="Calibri" w:hAnsi="Arial" w:cs="Arial"/>
                <w:sz w:val="22"/>
              </w:rPr>
              <w:t xml:space="preserve">           </w:t>
            </w:r>
          </w:p>
          <w:p w14:paraId="5D67F5C4" w14:textId="77777777" w:rsidR="005A79FE" w:rsidRPr="00950D57" w:rsidRDefault="005A79FE" w:rsidP="00CC133B">
            <w:pPr>
              <w:rPr>
                <w:rFonts w:ascii="Arial" w:eastAsia="Calibri" w:hAnsi="Arial" w:cs="Arial"/>
                <w:sz w:val="22"/>
              </w:rPr>
            </w:pPr>
            <w:r w:rsidRPr="00950D57">
              <w:rPr>
                <w:rFonts w:ascii="Arial" w:eastAsia="Calibri" w:hAnsi="Arial" w:cs="Arial"/>
                <w:sz w:val="22"/>
              </w:rPr>
              <w:t xml:space="preserve">                           </w:t>
            </w:r>
          </w:p>
        </w:tc>
        <w:tc>
          <w:tcPr>
            <w:tcW w:w="6237" w:type="dxa"/>
            <w:hideMark/>
          </w:tcPr>
          <w:p w14:paraId="784C47C0" w14:textId="39F157D6" w:rsidR="007C4CB3" w:rsidRPr="00CC133B" w:rsidRDefault="005A2DBC" w:rsidP="007C4CB3">
            <w:pPr>
              <w:tabs>
                <w:tab w:val="left" w:pos="426"/>
              </w:tabs>
              <w:spacing w:after="120"/>
              <w:jc w:val="both"/>
              <w:rPr>
                <w:rFonts w:ascii="Arial" w:hAnsi="Arial" w:cs="Arial"/>
                <w:b/>
                <w:bCs/>
                <w:sz w:val="20"/>
                <w:szCs w:val="20"/>
              </w:rPr>
            </w:pPr>
            <w:r w:rsidRPr="00D5081E">
              <w:rPr>
                <w:rFonts w:ascii="Arial" w:hAnsi="Arial" w:cs="Arial"/>
                <w:sz w:val="22"/>
              </w:rPr>
              <w:t>DOCUMENTOS TIPO – Versión 2 – Factor de Calidad – Garantía adicional – Necesidad de Aseguradora</w:t>
            </w:r>
            <w:r w:rsidR="00D5081E">
              <w:rPr>
                <w:rFonts w:ascii="Arial" w:hAnsi="Arial" w:cs="Arial"/>
                <w:sz w:val="22"/>
              </w:rPr>
              <w:t xml:space="preserve"> / </w:t>
            </w:r>
            <w:r w:rsidR="00D27E2A" w:rsidRPr="00D5081E">
              <w:rPr>
                <w:rFonts w:ascii="Arial" w:hAnsi="Arial" w:cs="Arial"/>
                <w:sz w:val="22"/>
              </w:rPr>
              <w:t>DOCUMENTOS TIPO – Versión 2 – Factor de Calidad – Garantía adicional –</w:t>
            </w:r>
            <w:r w:rsidR="00D27E2A">
              <w:rPr>
                <w:rFonts w:ascii="Arial" w:hAnsi="Arial" w:cs="Arial"/>
                <w:sz w:val="22"/>
              </w:rPr>
              <w:t xml:space="preserve"> Naturaleza / </w:t>
            </w:r>
            <w:r w:rsidR="00D5081E" w:rsidRPr="00D5081E">
              <w:rPr>
                <w:rFonts w:ascii="Arial" w:hAnsi="Arial" w:cs="Arial"/>
                <w:sz w:val="22"/>
              </w:rPr>
              <w:t>DOCUMENTOS TIPO – Versión 2 – Factor de Calidad</w:t>
            </w:r>
            <w:r w:rsidR="00D5081E">
              <w:rPr>
                <w:rFonts w:ascii="Arial" w:hAnsi="Arial" w:cs="Arial"/>
                <w:sz w:val="22"/>
              </w:rPr>
              <w:t xml:space="preserve"> </w:t>
            </w:r>
            <w:r w:rsidR="00D5081E" w:rsidRPr="00D5081E">
              <w:rPr>
                <w:rFonts w:ascii="Arial" w:hAnsi="Arial" w:cs="Arial"/>
                <w:sz w:val="22"/>
              </w:rPr>
              <w:t>–</w:t>
            </w:r>
            <w:r w:rsidRPr="00D5081E">
              <w:rPr>
                <w:rFonts w:ascii="Arial" w:hAnsi="Arial" w:cs="Arial"/>
                <w:sz w:val="22"/>
              </w:rPr>
              <w:t xml:space="preserve"> Número máximo para ofertar </w:t>
            </w:r>
            <w:r>
              <w:t xml:space="preserve">/ </w:t>
            </w:r>
            <w:r w:rsidR="00716F35" w:rsidRPr="00D5081E">
              <w:rPr>
                <w:rFonts w:ascii="Arial" w:hAnsi="Arial" w:cs="Arial"/>
                <w:sz w:val="22"/>
              </w:rPr>
              <w:t>DOCUMENTOS TIPO – Versión 2 –</w:t>
            </w:r>
            <w:r w:rsidR="00716F35">
              <w:rPr>
                <w:rFonts w:ascii="Arial" w:hAnsi="Arial" w:cs="Arial"/>
                <w:sz w:val="22"/>
              </w:rPr>
              <w:t xml:space="preserve"> Cuadrilla de Trabajo Adicional </w:t>
            </w:r>
            <w:r w:rsidR="00716F35" w:rsidRPr="00D5081E">
              <w:rPr>
                <w:rFonts w:ascii="Arial" w:hAnsi="Arial" w:cs="Arial"/>
                <w:sz w:val="22"/>
              </w:rPr>
              <w:t>–</w:t>
            </w:r>
            <w:r w:rsidR="00716F35">
              <w:rPr>
                <w:rFonts w:ascii="Arial" w:hAnsi="Arial" w:cs="Arial"/>
                <w:sz w:val="22"/>
              </w:rPr>
              <w:t xml:space="preserve"> Definición </w:t>
            </w:r>
            <w:r w:rsidR="00716F35" w:rsidRPr="00D5081E">
              <w:rPr>
                <w:rFonts w:ascii="Arial" w:hAnsi="Arial" w:cs="Arial"/>
                <w:sz w:val="22"/>
              </w:rPr>
              <w:t>–</w:t>
            </w:r>
            <w:r w:rsidR="00716F35">
              <w:rPr>
                <w:rFonts w:ascii="Arial" w:hAnsi="Arial" w:cs="Arial"/>
                <w:sz w:val="22"/>
              </w:rPr>
              <w:t xml:space="preserve"> Anexo Técnico / </w:t>
            </w:r>
            <w:r w:rsidR="00D5081E" w:rsidRPr="00D5081E">
              <w:rPr>
                <w:rFonts w:ascii="Arial" w:hAnsi="Arial" w:cs="Arial"/>
                <w:sz w:val="22"/>
              </w:rPr>
              <w:t>DOCUMENTOS TIPO – Versión 2</w:t>
            </w:r>
            <w:r w:rsidR="00D5081E">
              <w:rPr>
                <w:rFonts w:ascii="Arial" w:hAnsi="Arial" w:cs="Arial"/>
                <w:sz w:val="22"/>
              </w:rPr>
              <w:t xml:space="preserve"> </w:t>
            </w:r>
            <w:r w:rsidR="00D5081E" w:rsidRPr="00D5081E">
              <w:rPr>
                <w:rFonts w:ascii="Arial" w:hAnsi="Arial" w:cs="Arial"/>
                <w:sz w:val="22"/>
              </w:rPr>
              <w:t>–</w:t>
            </w:r>
            <w:r w:rsidR="00D5081E">
              <w:rPr>
                <w:rFonts w:ascii="Arial" w:hAnsi="Arial" w:cs="Arial"/>
                <w:sz w:val="22"/>
              </w:rPr>
              <w:t xml:space="preserve"> Visita de obra </w:t>
            </w:r>
            <w:r w:rsidR="00D5081E" w:rsidRPr="00D5081E">
              <w:rPr>
                <w:rFonts w:ascii="Arial" w:hAnsi="Arial" w:cs="Arial"/>
                <w:sz w:val="22"/>
              </w:rPr>
              <w:t>–</w:t>
            </w:r>
            <w:r w:rsidR="00D5081E">
              <w:rPr>
                <w:rFonts w:ascii="Arial" w:hAnsi="Arial" w:cs="Arial"/>
                <w:sz w:val="22"/>
              </w:rPr>
              <w:t xml:space="preserve"> Proponentes plurales </w:t>
            </w:r>
            <w:r w:rsidR="00CC133B" w:rsidRPr="00CC133B">
              <w:rPr>
                <w:rFonts w:ascii="Arial" w:hAnsi="Arial" w:cs="Arial"/>
                <w:sz w:val="22"/>
              </w:rPr>
              <w:t>DOCUMENTOS TIPO- Resolución 080 de 2020 – Suspensión Visita de Obra y Garantías adicionales</w:t>
            </w:r>
            <w:r w:rsidR="00CC133B">
              <w:rPr>
                <w:rFonts w:ascii="Arial" w:hAnsi="Arial" w:cs="Arial"/>
                <w:b/>
                <w:bCs/>
                <w:sz w:val="20"/>
                <w:szCs w:val="20"/>
              </w:rPr>
              <w:t xml:space="preserve"> </w:t>
            </w:r>
            <w:r w:rsidR="00D5081E" w:rsidRPr="00950D57">
              <w:rPr>
                <w:rFonts w:ascii="Arial" w:eastAsia="Calibri" w:hAnsi="Arial" w:cs="Arial"/>
                <w:sz w:val="22"/>
              </w:rPr>
              <w:t>/</w:t>
            </w:r>
            <w:r w:rsidR="00D5081E">
              <w:rPr>
                <w:rFonts w:ascii="Arial" w:eastAsia="Calibri" w:hAnsi="Arial" w:cs="Arial"/>
                <w:sz w:val="22"/>
              </w:rPr>
              <w:t xml:space="preserve"> SUBSANABILIDAD – Circunstancias ocurridas con posterioridad al cierre </w:t>
            </w:r>
            <w:r w:rsidR="00D5081E" w:rsidRPr="00950D57">
              <w:rPr>
                <w:rFonts w:ascii="Arial" w:eastAsia="Calibri" w:hAnsi="Arial" w:cs="Arial"/>
                <w:sz w:val="22"/>
              </w:rPr>
              <w:t>/</w:t>
            </w:r>
            <w:r w:rsidR="00D5081E">
              <w:rPr>
                <w:rFonts w:ascii="Arial" w:eastAsia="Calibri" w:hAnsi="Arial" w:cs="Arial"/>
                <w:sz w:val="22"/>
              </w:rPr>
              <w:t xml:space="preserve"> DOCUMENTOS TIPO </w:t>
            </w:r>
            <w:r w:rsidR="00D5081E" w:rsidRPr="00D5081E">
              <w:rPr>
                <w:rFonts w:ascii="Arial" w:hAnsi="Arial" w:cs="Arial"/>
                <w:sz w:val="22"/>
              </w:rPr>
              <w:t>–</w:t>
            </w:r>
            <w:r w:rsidR="00D5081E">
              <w:rPr>
                <w:rFonts w:ascii="Arial" w:eastAsia="Calibri" w:hAnsi="Arial" w:cs="Arial"/>
                <w:sz w:val="22"/>
              </w:rPr>
              <w:t xml:space="preserve"> Versión 2 </w:t>
            </w:r>
            <w:r w:rsidR="00D5081E" w:rsidRPr="00D5081E">
              <w:rPr>
                <w:rFonts w:ascii="Arial" w:hAnsi="Arial" w:cs="Arial"/>
                <w:sz w:val="22"/>
              </w:rPr>
              <w:t>–</w:t>
            </w:r>
            <w:r w:rsidR="00D5081E">
              <w:rPr>
                <w:rFonts w:ascii="Arial" w:hAnsi="Arial" w:cs="Arial"/>
                <w:sz w:val="22"/>
              </w:rPr>
              <w:t xml:space="preserve"> Acreditación capacidad organizacional</w:t>
            </w:r>
          </w:p>
        </w:tc>
      </w:tr>
      <w:tr w:rsidR="005A79FE" w:rsidRPr="00950D57" w14:paraId="7C0A7D18" w14:textId="77777777" w:rsidTr="00CC133B">
        <w:tc>
          <w:tcPr>
            <w:tcW w:w="2689" w:type="dxa"/>
          </w:tcPr>
          <w:p w14:paraId="6A12F093" w14:textId="77777777" w:rsidR="005A79FE" w:rsidRPr="00950D57" w:rsidRDefault="005A79FE" w:rsidP="00CC133B">
            <w:pPr>
              <w:rPr>
                <w:rFonts w:ascii="Arial" w:eastAsia="Calibri" w:hAnsi="Arial" w:cs="Arial"/>
                <w:b/>
                <w:sz w:val="22"/>
              </w:rPr>
            </w:pPr>
            <w:r w:rsidRPr="00950D57">
              <w:rPr>
                <w:rFonts w:ascii="Arial" w:eastAsia="Calibri" w:hAnsi="Arial" w:cs="Arial"/>
                <w:b/>
                <w:sz w:val="22"/>
              </w:rPr>
              <w:t>Radicación:</w:t>
            </w:r>
            <w:r w:rsidRPr="00950D57">
              <w:rPr>
                <w:rFonts w:ascii="Arial" w:eastAsia="Calibri" w:hAnsi="Arial" w:cs="Arial"/>
                <w:sz w:val="22"/>
              </w:rPr>
              <w:t xml:space="preserve">                              </w:t>
            </w:r>
          </w:p>
        </w:tc>
        <w:tc>
          <w:tcPr>
            <w:tcW w:w="6237" w:type="dxa"/>
          </w:tcPr>
          <w:p w14:paraId="73A42ACA" w14:textId="15093B13" w:rsidR="005A79FE" w:rsidRPr="00950D57" w:rsidRDefault="005A79FE" w:rsidP="00CC133B">
            <w:pPr>
              <w:jc w:val="both"/>
              <w:rPr>
                <w:rFonts w:ascii="Arial" w:eastAsia="Calibri" w:hAnsi="Arial" w:cs="Arial"/>
                <w:sz w:val="22"/>
              </w:rPr>
            </w:pPr>
            <w:r w:rsidRPr="00950D57">
              <w:rPr>
                <w:rFonts w:ascii="Arial" w:eastAsia="Calibri" w:hAnsi="Arial" w:cs="Arial"/>
                <w:sz w:val="22"/>
              </w:rPr>
              <w:t>Respuesta a consulta # 42020</w:t>
            </w:r>
            <w:r w:rsidR="00950D57">
              <w:rPr>
                <w:rFonts w:ascii="Arial" w:eastAsia="Calibri" w:hAnsi="Arial" w:cs="Arial"/>
                <w:sz w:val="22"/>
              </w:rPr>
              <w:t>13000002546</w:t>
            </w:r>
          </w:p>
        </w:tc>
      </w:tr>
    </w:tbl>
    <w:p w14:paraId="396DE958" w14:textId="77777777" w:rsidR="005A79FE" w:rsidRPr="00950D57" w:rsidRDefault="005A79FE" w:rsidP="005A79FE">
      <w:pPr>
        <w:jc w:val="both"/>
        <w:rPr>
          <w:rFonts w:ascii="Arial" w:eastAsia="Calibri" w:hAnsi="Arial" w:cs="Arial"/>
          <w:sz w:val="22"/>
        </w:rPr>
      </w:pPr>
    </w:p>
    <w:p w14:paraId="489DB6E6" w14:textId="77777777" w:rsidR="005A79FE" w:rsidRPr="00950D57" w:rsidRDefault="005A79FE" w:rsidP="005A79FE">
      <w:pPr>
        <w:rPr>
          <w:rFonts w:ascii="Arial" w:eastAsia="Calibri" w:hAnsi="Arial" w:cs="Arial"/>
          <w:sz w:val="22"/>
        </w:rPr>
      </w:pPr>
    </w:p>
    <w:p w14:paraId="657E7EE7" w14:textId="7B5BE6CE" w:rsidR="005A79FE" w:rsidRPr="00950D57" w:rsidRDefault="005A79FE" w:rsidP="005A79FE">
      <w:pPr>
        <w:rPr>
          <w:rFonts w:ascii="Arial" w:eastAsia="Calibri" w:hAnsi="Arial" w:cs="Arial"/>
          <w:sz w:val="22"/>
        </w:rPr>
      </w:pPr>
      <w:r w:rsidRPr="00950D57">
        <w:rPr>
          <w:rFonts w:ascii="Arial" w:eastAsia="Calibri" w:hAnsi="Arial" w:cs="Arial"/>
          <w:sz w:val="22"/>
        </w:rPr>
        <w:t>Estimado señor</w:t>
      </w:r>
      <w:r w:rsidR="00950D57">
        <w:rPr>
          <w:rFonts w:ascii="Arial" w:eastAsia="Calibri" w:hAnsi="Arial" w:cs="Arial"/>
          <w:sz w:val="22"/>
        </w:rPr>
        <w:t xml:space="preserve"> Sánchez</w:t>
      </w:r>
      <w:r w:rsidRPr="00950D57">
        <w:rPr>
          <w:rFonts w:ascii="Arial" w:eastAsia="Calibri" w:hAnsi="Arial" w:cs="Arial"/>
          <w:sz w:val="22"/>
        </w:rPr>
        <w:t>,</w:t>
      </w:r>
    </w:p>
    <w:p w14:paraId="40D74C98" w14:textId="77777777" w:rsidR="005A79FE" w:rsidRPr="00950D57" w:rsidRDefault="005A79FE" w:rsidP="005A79FE">
      <w:pPr>
        <w:rPr>
          <w:rFonts w:ascii="Arial" w:eastAsia="Calibri" w:hAnsi="Arial" w:cs="Arial"/>
          <w:sz w:val="22"/>
        </w:rPr>
      </w:pPr>
    </w:p>
    <w:p w14:paraId="1EA2338B" w14:textId="3DE2DCC9" w:rsidR="005A79FE" w:rsidRPr="00950D57" w:rsidRDefault="007E2199" w:rsidP="005A79FE">
      <w:pPr>
        <w:spacing w:line="276" w:lineRule="auto"/>
        <w:ind w:right="49"/>
        <w:jc w:val="both"/>
        <w:rPr>
          <w:rFonts w:ascii="Arial" w:eastAsia="Calibri" w:hAnsi="Arial" w:cs="Arial"/>
          <w:sz w:val="22"/>
        </w:rPr>
      </w:pPr>
      <w:r w:rsidRPr="007E2199">
        <w:rPr>
          <w:rFonts w:ascii="Arial" w:eastAsia="Calibri" w:hAnsi="Arial" w:cs="Arial"/>
          <w:sz w:val="22"/>
        </w:rPr>
        <w:lastRenderedPageBreak/>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8 de abril</w:t>
      </w:r>
      <w:r w:rsidRPr="007E2199">
        <w:rPr>
          <w:rFonts w:ascii="Arial" w:eastAsia="Calibri" w:hAnsi="Arial" w:cs="Arial"/>
          <w:sz w:val="22"/>
        </w:rPr>
        <w:t xml:space="preserve"> de 2020. </w:t>
      </w:r>
    </w:p>
    <w:p w14:paraId="4FA02A8B" w14:textId="77777777" w:rsidR="005A79FE" w:rsidRPr="00950D57" w:rsidRDefault="005A79FE" w:rsidP="005A79FE">
      <w:pPr>
        <w:spacing w:line="276" w:lineRule="auto"/>
        <w:jc w:val="both"/>
        <w:rPr>
          <w:rFonts w:ascii="Arial" w:eastAsia="Calibri" w:hAnsi="Arial" w:cs="Arial"/>
          <w:sz w:val="22"/>
        </w:rPr>
      </w:pPr>
    </w:p>
    <w:p w14:paraId="146876AC" w14:textId="433CECA7" w:rsidR="007E2199" w:rsidRPr="00950D57"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950D57">
        <w:rPr>
          <w:rFonts w:ascii="Arial" w:eastAsia="Calibri" w:hAnsi="Arial" w:cs="Arial"/>
          <w:b/>
          <w:sz w:val="22"/>
        </w:rPr>
        <w:t xml:space="preserve">Problemas planteados </w:t>
      </w:r>
    </w:p>
    <w:p w14:paraId="138D5B25" w14:textId="77777777" w:rsidR="005A79FE" w:rsidRPr="00DD55C9" w:rsidRDefault="005A79FE" w:rsidP="00DD55C9">
      <w:pPr>
        <w:pStyle w:val="Prrafodelista"/>
        <w:tabs>
          <w:tab w:val="left" w:pos="284"/>
        </w:tabs>
        <w:spacing w:line="276" w:lineRule="auto"/>
        <w:ind w:left="0"/>
        <w:jc w:val="both"/>
        <w:rPr>
          <w:rFonts w:ascii="Arial" w:eastAsia="Calibri" w:hAnsi="Arial" w:cs="Arial"/>
          <w:b/>
          <w:sz w:val="22"/>
        </w:rPr>
      </w:pPr>
    </w:p>
    <w:p w14:paraId="35B3614E" w14:textId="3ADE4549" w:rsidR="00D82B27" w:rsidRDefault="005A79FE" w:rsidP="007C4CB3">
      <w:pPr>
        <w:tabs>
          <w:tab w:val="left" w:pos="426"/>
        </w:tabs>
        <w:spacing w:line="276" w:lineRule="auto"/>
        <w:jc w:val="both"/>
        <w:rPr>
          <w:rFonts w:ascii="Arial" w:eastAsia="Calibri" w:hAnsi="Arial" w:cs="Arial"/>
          <w:sz w:val="22"/>
        </w:rPr>
      </w:pPr>
      <w:r w:rsidRPr="00950D57">
        <w:rPr>
          <w:rFonts w:ascii="Arial" w:eastAsia="Calibri" w:hAnsi="Arial" w:cs="Arial"/>
          <w:sz w:val="22"/>
        </w:rPr>
        <w:t xml:space="preserve">Usted realiza las siguientes preguntas: i) </w:t>
      </w:r>
      <w:r w:rsidR="00950D57">
        <w:rPr>
          <w:rFonts w:ascii="Arial" w:eastAsia="Calibri" w:hAnsi="Arial" w:cs="Arial"/>
          <w:sz w:val="22"/>
        </w:rPr>
        <w:t xml:space="preserve">«Para el puntaje adicional por una mayor garantía, esta debe ser otorgada por una aseguradora al momento de la firma del contrato?», ii) «Esta garantía es únicamente por estabilidad?», iii) «Se puede ofrecer 20 años de garantía extendida?, iv) «La entidad puede rechazar eliminar un puntaje por ofrecimientos exagerados, ejemplo: 100 años de mantenimiento o 100 cuadrillas adicionales?», v) «Para el factor de calidad por concepto de cuadrillas adicionales, como se definiría una cuadrilla, debe la entidad definirlas en el anexo técnico?», vi) </w:t>
      </w:r>
      <w:bookmarkStart w:id="1" w:name="_Hlk38285951"/>
      <w:r w:rsidR="00137646">
        <w:rPr>
          <w:rFonts w:ascii="Arial" w:eastAsia="Calibri" w:hAnsi="Arial" w:cs="Arial"/>
          <w:sz w:val="22"/>
        </w:rPr>
        <w:t>«Para el caso de las vis</w:t>
      </w:r>
      <w:r w:rsidR="00716F35">
        <w:rPr>
          <w:rFonts w:ascii="Arial" w:eastAsia="Calibri" w:hAnsi="Arial" w:cs="Arial"/>
          <w:sz w:val="22"/>
        </w:rPr>
        <w:t>i</w:t>
      </w:r>
      <w:r w:rsidR="00137646">
        <w:rPr>
          <w:rFonts w:ascii="Arial" w:eastAsia="Calibri" w:hAnsi="Arial" w:cs="Arial"/>
          <w:sz w:val="22"/>
        </w:rPr>
        <w:t xml:space="preserve">ta obligatoria, </w:t>
      </w:r>
      <w:r w:rsidR="00716F35">
        <w:rPr>
          <w:rFonts w:ascii="Arial" w:eastAsia="Calibri" w:hAnsi="Arial" w:cs="Arial"/>
          <w:sz w:val="22"/>
        </w:rPr>
        <w:t>¿</w:t>
      </w:r>
      <w:r w:rsidR="00137646">
        <w:rPr>
          <w:rFonts w:ascii="Arial" w:eastAsia="Calibri" w:hAnsi="Arial" w:cs="Arial"/>
          <w:sz w:val="22"/>
        </w:rPr>
        <w:t>c</w:t>
      </w:r>
      <w:r w:rsidR="00716F35">
        <w:rPr>
          <w:rFonts w:ascii="Arial" w:eastAsia="Calibri" w:hAnsi="Arial" w:cs="Arial"/>
          <w:sz w:val="22"/>
        </w:rPr>
        <w:t>ó</w:t>
      </w:r>
      <w:r w:rsidR="00137646">
        <w:rPr>
          <w:rFonts w:ascii="Arial" w:eastAsia="Calibri" w:hAnsi="Arial" w:cs="Arial"/>
          <w:sz w:val="22"/>
        </w:rPr>
        <w:t xml:space="preserve">mo se debe realizar por parte de los proponentes plurales? </w:t>
      </w:r>
      <w:r w:rsidR="00716F35">
        <w:rPr>
          <w:rFonts w:ascii="Arial" w:eastAsia="Calibri" w:hAnsi="Arial" w:cs="Arial"/>
          <w:sz w:val="22"/>
        </w:rPr>
        <w:t>¿Puede una empresa que realizó la visita consorciarse con alguien que no realizó la visita?</w:t>
      </w:r>
      <w:r w:rsidR="00137646">
        <w:rPr>
          <w:rFonts w:ascii="Arial" w:eastAsia="Calibri" w:hAnsi="Arial" w:cs="Arial"/>
          <w:sz w:val="22"/>
        </w:rPr>
        <w:t xml:space="preserve"> Se debe realizar la visita a nombre del consorcio y los integrantes deben estar definidos al momento de la visita?</w:t>
      </w:r>
      <w:bookmarkEnd w:id="1"/>
      <w:r w:rsidR="00137646">
        <w:rPr>
          <w:rFonts w:ascii="Arial" w:eastAsia="Calibri" w:hAnsi="Arial" w:cs="Arial"/>
          <w:sz w:val="22"/>
        </w:rPr>
        <w:t>», vii) «De acuerdo a la ley 1882, al momento de subsanar los proponentes no podrán acreditar circunstancias ocurridas con posterioridad al cier</w:t>
      </w:r>
      <w:r w:rsidR="00B95B31">
        <w:rPr>
          <w:rFonts w:ascii="Arial" w:eastAsia="Calibri" w:hAnsi="Arial" w:cs="Arial"/>
          <w:sz w:val="22"/>
        </w:rPr>
        <w:t>re: Cámara y comercio, RUP, antecedentes de los contadores, Copnia, etc?» y finalmente, viii) «Para acreditar la capacidad organizacional, si la información financiera es de tiempo atrás (3 años), se deben presentar antecedentes del contador de la época de la firma de los documentos»</w:t>
      </w:r>
      <w:r w:rsidR="00C07ADB">
        <w:rPr>
          <w:rFonts w:ascii="Arial" w:eastAsia="Calibri" w:hAnsi="Arial" w:cs="Arial"/>
          <w:sz w:val="22"/>
        </w:rPr>
        <w:t>.</w:t>
      </w:r>
    </w:p>
    <w:p w14:paraId="7C14D609" w14:textId="77777777" w:rsidR="00C07ADB" w:rsidRPr="00950D57" w:rsidRDefault="00C07ADB" w:rsidP="007C4CB3">
      <w:pPr>
        <w:tabs>
          <w:tab w:val="left" w:pos="426"/>
        </w:tabs>
        <w:spacing w:line="276" w:lineRule="auto"/>
        <w:jc w:val="both"/>
        <w:rPr>
          <w:rFonts w:ascii="Arial" w:eastAsia="Calibri" w:hAnsi="Arial" w:cs="Arial"/>
          <w:sz w:val="22"/>
        </w:rPr>
      </w:pPr>
    </w:p>
    <w:p w14:paraId="18C6DB19" w14:textId="64A0C2BC" w:rsidR="005A79FE" w:rsidRDefault="005A79FE" w:rsidP="007C4CB3">
      <w:pPr>
        <w:pStyle w:val="Prrafodelista"/>
        <w:numPr>
          <w:ilvl w:val="0"/>
          <w:numId w:val="6"/>
        </w:numPr>
        <w:tabs>
          <w:tab w:val="left" w:pos="426"/>
        </w:tabs>
        <w:spacing w:line="276" w:lineRule="auto"/>
        <w:ind w:left="284" w:hanging="284"/>
        <w:jc w:val="both"/>
        <w:rPr>
          <w:rFonts w:ascii="Arial" w:eastAsia="Calibri" w:hAnsi="Arial" w:cs="Arial"/>
          <w:b/>
          <w:sz w:val="22"/>
        </w:rPr>
      </w:pPr>
      <w:r w:rsidRPr="00950D57">
        <w:rPr>
          <w:rFonts w:ascii="Arial" w:eastAsia="Calibri" w:hAnsi="Arial" w:cs="Arial"/>
          <w:b/>
          <w:sz w:val="22"/>
        </w:rPr>
        <w:t>Consideraciones</w:t>
      </w:r>
    </w:p>
    <w:p w14:paraId="065B8263" w14:textId="77777777" w:rsidR="00C07ADB" w:rsidRDefault="00C07ADB" w:rsidP="007C4CB3">
      <w:pPr>
        <w:pStyle w:val="Prrafodelista"/>
        <w:tabs>
          <w:tab w:val="left" w:pos="426"/>
        </w:tabs>
        <w:spacing w:line="276" w:lineRule="auto"/>
        <w:ind w:left="284"/>
        <w:jc w:val="both"/>
        <w:rPr>
          <w:rFonts w:ascii="Arial" w:eastAsia="Calibri" w:hAnsi="Arial" w:cs="Arial"/>
          <w:b/>
          <w:sz w:val="22"/>
        </w:rPr>
      </w:pPr>
    </w:p>
    <w:p w14:paraId="4A5A9141" w14:textId="6E59AE3C" w:rsidR="00EB43E2" w:rsidRDefault="00EB43E2" w:rsidP="007C4CB3">
      <w:pPr>
        <w:tabs>
          <w:tab w:val="left" w:pos="426"/>
        </w:tabs>
        <w:spacing w:line="276" w:lineRule="auto"/>
        <w:jc w:val="both"/>
        <w:rPr>
          <w:rFonts w:ascii="Arial" w:hAnsi="Arial" w:cs="Arial"/>
          <w:sz w:val="22"/>
        </w:rPr>
      </w:pPr>
      <w:r w:rsidRPr="008216A2">
        <w:rPr>
          <w:rFonts w:ascii="Arial" w:eastAsia="Calibri" w:hAnsi="Arial" w:cs="Arial"/>
          <w:bCs/>
          <w:sz w:val="22"/>
        </w:rPr>
        <w:t xml:space="preserve">Para desarrollar los problemas planteados se estudiará en primer lugar, las características principales de los factores de calidad que fueron incluidos en los </w:t>
      </w:r>
      <w:r w:rsidR="001E5818">
        <w:rPr>
          <w:rFonts w:ascii="Arial" w:eastAsia="Calibri" w:hAnsi="Arial" w:cs="Arial"/>
          <w:bCs/>
          <w:sz w:val="22"/>
        </w:rPr>
        <w:t>«</w:t>
      </w:r>
      <w:r w:rsidRPr="008216A2">
        <w:rPr>
          <w:rFonts w:ascii="Arial" w:eastAsia="Calibri" w:hAnsi="Arial" w:cs="Arial"/>
          <w:bCs/>
          <w:sz w:val="22"/>
        </w:rPr>
        <w:t>Documentos Tipo</w:t>
      </w:r>
      <w:r w:rsidR="001E5818">
        <w:rPr>
          <w:rFonts w:ascii="Arial" w:eastAsia="Calibri" w:hAnsi="Arial" w:cs="Arial"/>
          <w:bCs/>
          <w:sz w:val="22"/>
        </w:rPr>
        <w:t>»</w:t>
      </w:r>
      <w:r w:rsidRPr="008216A2">
        <w:rPr>
          <w:rFonts w:ascii="Arial" w:eastAsia="Calibri" w:hAnsi="Arial" w:cs="Arial"/>
          <w:bCs/>
          <w:sz w:val="22"/>
        </w:rPr>
        <w:t xml:space="preserve"> de Licitación </w:t>
      </w:r>
      <w:r w:rsidR="00B7557A">
        <w:rPr>
          <w:rFonts w:ascii="Arial" w:eastAsia="Calibri" w:hAnsi="Arial" w:cs="Arial"/>
          <w:bCs/>
          <w:sz w:val="22"/>
        </w:rPr>
        <w:t>de Obra Pública</w:t>
      </w:r>
      <w:r w:rsidRPr="008216A2">
        <w:rPr>
          <w:rFonts w:ascii="Arial" w:eastAsia="Calibri" w:hAnsi="Arial" w:cs="Arial"/>
          <w:bCs/>
          <w:sz w:val="22"/>
        </w:rPr>
        <w:t xml:space="preserve"> de Infraestructura </w:t>
      </w:r>
      <w:r w:rsidR="00B7557A">
        <w:rPr>
          <w:rFonts w:ascii="Arial" w:eastAsia="Calibri" w:hAnsi="Arial" w:cs="Arial"/>
          <w:bCs/>
          <w:sz w:val="22"/>
        </w:rPr>
        <w:t xml:space="preserve">de Transporte </w:t>
      </w:r>
      <w:r w:rsidR="001E5818">
        <w:rPr>
          <w:rFonts w:ascii="Arial" w:hAnsi="Arial" w:cs="Arial"/>
          <w:sz w:val="22"/>
        </w:rPr>
        <w:t>–</w:t>
      </w:r>
      <w:r w:rsidRPr="008216A2">
        <w:rPr>
          <w:rFonts w:ascii="Arial" w:hAnsi="Arial" w:cs="Arial"/>
          <w:sz w:val="22"/>
        </w:rPr>
        <w:t xml:space="preserve"> Versión 2; en segundo lugar, se explicará cómo se </w:t>
      </w:r>
      <w:r>
        <w:rPr>
          <w:rFonts w:ascii="Arial" w:hAnsi="Arial" w:cs="Arial"/>
          <w:sz w:val="22"/>
        </w:rPr>
        <w:t>adelantará la visita obligatoria por parte de los proponentes plurales, en tercer lugar,</w:t>
      </w:r>
      <w:r w:rsidR="0079068E">
        <w:rPr>
          <w:rFonts w:ascii="Arial" w:hAnsi="Arial" w:cs="Arial"/>
          <w:sz w:val="22"/>
        </w:rPr>
        <w:t xml:space="preserve"> se explicará el régimen de subsanabilidad que no se pueden acreditar circunstancias con posterioridad al cierre</w:t>
      </w:r>
      <w:r w:rsidRPr="008216A2">
        <w:rPr>
          <w:rFonts w:ascii="Arial" w:hAnsi="Arial" w:cs="Arial"/>
          <w:sz w:val="22"/>
        </w:rPr>
        <w:t xml:space="preserve">, y finalmente, se explicará </w:t>
      </w:r>
      <w:r w:rsidR="0079068E">
        <w:rPr>
          <w:rFonts w:ascii="Arial" w:hAnsi="Arial" w:cs="Arial"/>
          <w:sz w:val="22"/>
        </w:rPr>
        <w:t>la forma para acreditar la capacidad organizacional</w:t>
      </w:r>
      <w:r w:rsidR="00B7557A">
        <w:rPr>
          <w:rFonts w:ascii="Arial" w:hAnsi="Arial" w:cs="Arial"/>
          <w:sz w:val="22"/>
        </w:rPr>
        <w:t xml:space="preserve"> en los </w:t>
      </w:r>
      <w:r w:rsidR="001E5818">
        <w:rPr>
          <w:rFonts w:ascii="Arial" w:hAnsi="Arial" w:cs="Arial"/>
          <w:sz w:val="22"/>
        </w:rPr>
        <w:t>«</w:t>
      </w:r>
      <w:r w:rsidR="00B7557A">
        <w:rPr>
          <w:rFonts w:ascii="Arial" w:hAnsi="Arial" w:cs="Arial"/>
          <w:sz w:val="22"/>
        </w:rPr>
        <w:t>Documentos Tipo</w:t>
      </w:r>
      <w:r w:rsidR="001E5818">
        <w:rPr>
          <w:rFonts w:ascii="Arial" w:hAnsi="Arial" w:cs="Arial"/>
          <w:sz w:val="22"/>
        </w:rPr>
        <w:t>»</w:t>
      </w:r>
      <w:r w:rsidR="00B7557A">
        <w:rPr>
          <w:rFonts w:ascii="Arial" w:hAnsi="Arial" w:cs="Arial"/>
          <w:sz w:val="22"/>
        </w:rPr>
        <w:t xml:space="preserve">, y en los casos que es necesario presentar el certificado de antecedentes del </w:t>
      </w:r>
      <w:r w:rsidR="001E5818">
        <w:rPr>
          <w:rFonts w:ascii="Arial" w:hAnsi="Arial" w:cs="Arial"/>
          <w:sz w:val="22"/>
        </w:rPr>
        <w:t>c</w:t>
      </w:r>
      <w:r w:rsidR="00B7557A">
        <w:rPr>
          <w:rFonts w:ascii="Arial" w:hAnsi="Arial" w:cs="Arial"/>
          <w:sz w:val="22"/>
        </w:rPr>
        <w:t>ontador</w:t>
      </w:r>
      <w:r w:rsidR="0079068E">
        <w:rPr>
          <w:rFonts w:ascii="Arial" w:hAnsi="Arial" w:cs="Arial"/>
          <w:sz w:val="22"/>
        </w:rPr>
        <w:t xml:space="preserve">. </w:t>
      </w:r>
    </w:p>
    <w:p w14:paraId="33BCC4E2" w14:textId="77777777" w:rsidR="00A42F34" w:rsidRDefault="00A42F34" w:rsidP="00DD55C9">
      <w:pPr>
        <w:tabs>
          <w:tab w:val="left" w:pos="426"/>
        </w:tabs>
        <w:spacing w:line="276" w:lineRule="auto"/>
        <w:jc w:val="both"/>
        <w:rPr>
          <w:rFonts w:ascii="Arial" w:hAnsi="Arial" w:cs="Arial"/>
          <w:sz w:val="22"/>
        </w:rPr>
      </w:pPr>
    </w:p>
    <w:p w14:paraId="3A4F02DC" w14:textId="017E28FD" w:rsidR="0079068E" w:rsidRPr="00DD55C9" w:rsidRDefault="0079068E" w:rsidP="00DD55C9">
      <w:pPr>
        <w:pStyle w:val="Prrafodelista"/>
        <w:numPr>
          <w:ilvl w:val="1"/>
          <w:numId w:val="13"/>
        </w:numPr>
        <w:tabs>
          <w:tab w:val="left" w:pos="426"/>
        </w:tabs>
        <w:spacing w:line="276" w:lineRule="auto"/>
        <w:jc w:val="both"/>
        <w:rPr>
          <w:rFonts w:ascii="Arial" w:hAnsi="Arial" w:cs="Arial"/>
          <w:b/>
          <w:bCs/>
          <w:sz w:val="22"/>
        </w:rPr>
      </w:pPr>
      <w:r w:rsidRPr="00DD55C9">
        <w:rPr>
          <w:rFonts w:ascii="Arial" w:hAnsi="Arial" w:cs="Arial"/>
          <w:b/>
          <w:bCs/>
          <w:sz w:val="22"/>
        </w:rPr>
        <w:t>Factor de calidad</w:t>
      </w:r>
      <w:r w:rsidR="004A046E">
        <w:rPr>
          <w:rFonts w:ascii="Arial" w:hAnsi="Arial" w:cs="Arial"/>
          <w:b/>
          <w:bCs/>
          <w:sz w:val="22"/>
        </w:rPr>
        <w:t>:</w:t>
      </w:r>
      <w:r w:rsidRPr="00DD55C9">
        <w:rPr>
          <w:rFonts w:ascii="Arial" w:hAnsi="Arial" w:cs="Arial"/>
          <w:b/>
          <w:bCs/>
          <w:sz w:val="22"/>
        </w:rPr>
        <w:t xml:space="preserve"> Documentos Tipo</w:t>
      </w:r>
      <w:r w:rsidR="004A046E">
        <w:rPr>
          <w:rFonts w:ascii="Arial" w:hAnsi="Arial" w:cs="Arial"/>
          <w:b/>
          <w:bCs/>
          <w:sz w:val="22"/>
        </w:rPr>
        <w:t xml:space="preserve"> –</w:t>
      </w:r>
      <w:r w:rsidRPr="00DD55C9">
        <w:rPr>
          <w:rFonts w:ascii="Arial" w:hAnsi="Arial" w:cs="Arial"/>
          <w:b/>
          <w:bCs/>
          <w:sz w:val="22"/>
        </w:rPr>
        <w:t xml:space="preserve"> Versión 2</w:t>
      </w:r>
    </w:p>
    <w:p w14:paraId="0EBD74F3" w14:textId="2CAB51A8" w:rsidR="00A42F34" w:rsidRDefault="00A42F34" w:rsidP="00A42F34">
      <w:pPr>
        <w:tabs>
          <w:tab w:val="left" w:pos="426"/>
        </w:tabs>
        <w:spacing w:line="276" w:lineRule="auto"/>
        <w:jc w:val="both"/>
        <w:rPr>
          <w:rFonts w:ascii="Arial" w:hAnsi="Arial" w:cs="Arial"/>
          <w:sz w:val="22"/>
        </w:rPr>
      </w:pPr>
    </w:p>
    <w:p w14:paraId="2A481447" w14:textId="77777777" w:rsidR="00EB2EFE" w:rsidRDefault="00EB2EFE" w:rsidP="00EB2EFE">
      <w:pPr>
        <w:spacing w:line="276" w:lineRule="auto"/>
        <w:jc w:val="both"/>
        <w:rPr>
          <w:rFonts w:ascii="Arial" w:hAnsi="Arial" w:cs="Arial"/>
          <w:sz w:val="22"/>
        </w:rPr>
      </w:pPr>
      <w:r w:rsidRPr="008216A2">
        <w:rPr>
          <w:rFonts w:ascii="Arial" w:eastAsia="Calibri" w:hAnsi="Arial" w:cs="Arial"/>
          <w:bCs/>
          <w:sz w:val="22"/>
        </w:rPr>
        <w:t>Para desarrollar los problemas planteados se estudiará</w:t>
      </w:r>
      <w:r>
        <w:rPr>
          <w:rFonts w:ascii="Arial" w:eastAsia="Calibri" w:hAnsi="Arial" w:cs="Arial"/>
          <w:bCs/>
          <w:sz w:val="22"/>
        </w:rPr>
        <w:t>n</w:t>
      </w:r>
      <w:r w:rsidRPr="008216A2">
        <w:rPr>
          <w:rFonts w:ascii="Arial" w:eastAsia="Calibri" w:hAnsi="Arial" w:cs="Arial"/>
          <w:bCs/>
          <w:sz w:val="22"/>
        </w:rPr>
        <w:t xml:space="preserve"> las características principales de los factores de calidad que fueron incluidos en los Documentos Tipo de Licitación </w:t>
      </w:r>
      <w:r>
        <w:rPr>
          <w:rFonts w:ascii="Arial" w:eastAsia="Calibri" w:hAnsi="Arial" w:cs="Arial"/>
          <w:bCs/>
          <w:sz w:val="22"/>
        </w:rPr>
        <w:t>de Obra Pública</w:t>
      </w:r>
      <w:r w:rsidRPr="008216A2">
        <w:rPr>
          <w:rFonts w:ascii="Arial" w:eastAsia="Calibri" w:hAnsi="Arial" w:cs="Arial"/>
          <w:bCs/>
          <w:sz w:val="22"/>
        </w:rPr>
        <w:t xml:space="preserve"> de Infraestructura </w:t>
      </w:r>
      <w:r>
        <w:rPr>
          <w:rFonts w:ascii="Arial" w:eastAsia="Calibri" w:hAnsi="Arial" w:cs="Arial"/>
          <w:bCs/>
          <w:sz w:val="22"/>
        </w:rPr>
        <w:t xml:space="preserve">de Transporte </w:t>
      </w:r>
      <w:r>
        <w:rPr>
          <w:rFonts w:ascii="Arial" w:hAnsi="Arial" w:cs="Arial"/>
          <w:sz w:val="22"/>
        </w:rPr>
        <w:t>–</w:t>
      </w:r>
      <w:r w:rsidRPr="008216A2">
        <w:rPr>
          <w:rFonts w:ascii="Arial" w:hAnsi="Arial" w:cs="Arial"/>
          <w:sz w:val="22"/>
        </w:rPr>
        <w:t xml:space="preserve"> Versión 2</w:t>
      </w:r>
      <w:r>
        <w:rPr>
          <w:rFonts w:ascii="Arial" w:hAnsi="Arial" w:cs="Arial"/>
          <w:sz w:val="22"/>
        </w:rPr>
        <w:t xml:space="preserve">. </w:t>
      </w:r>
    </w:p>
    <w:p w14:paraId="2A3EB1AD" w14:textId="77777777" w:rsidR="00EB2EFE" w:rsidRDefault="00EB2EFE" w:rsidP="00EB2EFE"/>
    <w:p w14:paraId="4232F112" w14:textId="77777777" w:rsidR="00EB2EFE" w:rsidRPr="0020296A" w:rsidRDefault="00EB2EFE" w:rsidP="00EB2EFE">
      <w:pPr>
        <w:tabs>
          <w:tab w:val="left" w:pos="426"/>
        </w:tabs>
        <w:spacing w:line="276" w:lineRule="auto"/>
        <w:jc w:val="both"/>
        <w:rPr>
          <w:rFonts w:ascii="Arial" w:hAnsi="Arial" w:cs="Arial"/>
          <w:sz w:val="22"/>
        </w:rPr>
      </w:pPr>
      <w:r w:rsidRPr="0020296A">
        <w:rPr>
          <w:rFonts w:ascii="Arial" w:hAnsi="Arial" w:cs="Arial"/>
          <w:sz w:val="22"/>
        </w:rPr>
        <w:t>En relación con el «</w:t>
      </w:r>
      <w:r>
        <w:rPr>
          <w:rFonts w:ascii="Arial" w:hAnsi="Arial" w:cs="Arial"/>
          <w:sz w:val="22"/>
        </w:rPr>
        <w:t>F</w:t>
      </w:r>
      <w:r w:rsidRPr="0020296A">
        <w:rPr>
          <w:rFonts w:ascii="Arial" w:hAnsi="Arial" w:cs="Arial"/>
          <w:sz w:val="22"/>
        </w:rPr>
        <w:t xml:space="preserve">actor de </w:t>
      </w:r>
      <w:r>
        <w:rPr>
          <w:rFonts w:ascii="Arial" w:hAnsi="Arial" w:cs="Arial"/>
          <w:sz w:val="22"/>
        </w:rPr>
        <w:t>C</w:t>
      </w:r>
      <w:r w:rsidRPr="0020296A">
        <w:rPr>
          <w:rFonts w:ascii="Arial" w:hAnsi="Arial" w:cs="Arial"/>
          <w:sz w:val="22"/>
        </w:rPr>
        <w:t>alidad», es preciso aclarar que los Documentos Tipo conservan los tres</w:t>
      </w:r>
      <w:r>
        <w:rPr>
          <w:rFonts w:ascii="Arial" w:hAnsi="Arial" w:cs="Arial"/>
          <w:sz w:val="22"/>
        </w:rPr>
        <w:t xml:space="preserve"> (3)</w:t>
      </w:r>
      <w:r w:rsidRPr="0020296A">
        <w:rPr>
          <w:rFonts w:ascii="Arial" w:hAnsi="Arial" w:cs="Arial"/>
          <w:sz w:val="22"/>
        </w:rPr>
        <w:t xml:space="preserve"> factores existentes en la Versión 1 de licitación pública, e incluyen </w:t>
      </w:r>
      <w:r w:rsidRPr="0020296A">
        <w:rPr>
          <w:rFonts w:ascii="Arial" w:hAnsi="Arial" w:cs="Arial"/>
          <w:sz w:val="22"/>
        </w:rPr>
        <w:lastRenderedPageBreak/>
        <w:t>como nuevas opciones que podrá exigir la Entidad para su acreditación: i) la presentación de una garantía adicional o suplementaria, ii) cuadrillas de trabajo adicional a costo y riesgo del contratista y iii) el mantenimiento rutinario adicional por cuenta del contratista.</w:t>
      </w:r>
    </w:p>
    <w:p w14:paraId="3757145C" w14:textId="77777777" w:rsidR="00EB2EFE" w:rsidRDefault="00EB2EFE" w:rsidP="00EB2EFE">
      <w:pPr>
        <w:spacing w:before="120" w:line="276" w:lineRule="auto"/>
        <w:ind w:firstLine="709"/>
        <w:jc w:val="both"/>
        <w:rPr>
          <w:rFonts w:ascii="Arial" w:hAnsi="Arial" w:cs="Arial"/>
          <w:sz w:val="22"/>
        </w:rPr>
      </w:pPr>
      <w:r w:rsidRPr="0020296A">
        <w:rPr>
          <w:rFonts w:ascii="Arial" w:hAnsi="Arial" w:cs="Arial"/>
          <w:sz w:val="22"/>
        </w:rPr>
        <w:t xml:space="preserve">Frente a los nuevos factores, los Documentos señalan que «De acuerdo con las características del objeto a contratar y con el principio de proporcionalidad y razonabilidad la Entidad debe elegir una o varias de las opciones previstas para otorgar el puntaje del factor de calidad». En este sentido, la </w:t>
      </w:r>
      <w:r>
        <w:rPr>
          <w:rFonts w:ascii="Arial" w:hAnsi="Arial" w:cs="Arial"/>
          <w:sz w:val="22"/>
        </w:rPr>
        <w:t>e</w:t>
      </w:r>
      <w:r w:rsidRPr="0020296A">
        <w:rPr>
          <w:rFonts w:ascii="Arial" w:hAnsi="Arial" w:cs="Arial"/>
          <w:sz w:val="22"/>
        </w:rPr>
        <w:t xml:space="preserve">ntidad debe valorar, frente a su necesidad y a los principios mencionados, </w:t>
      </w:r>
      <w:r>
        <w:rPr>
          <w:rFonts w:ascii="Arial" w:hAnsi="Arial" w:cs="Arial"/>
          <w:sz w:val="22"/>
        </w:rPr>
        <w:t>si</w:t>
      </w:r>
      <w:r w:rsidRPr="0020296A">
        <w:rPr>
          <w:rFonts w:ascii="Arial" w:hAnsi="Arial" w:cs="Arial"/>
          <w:sz w:val="22"/>
        </w:rPr>
        <w:t xml:space="preserve"> este factor resulta pertinente para asegurar mejor calidad en la obra pública contratada y, en todo caso, únicamente podrá exigir la acreditación de máximo tres de ellos, lo cual conserva el </w:t>
      </w:r>
      <w:r>
        <w:rPr>
          <w:rFonts w:ascii="Arial" w:hAnsi="Arial" w:cs="Arial"/>
          <w:sz w:val="22"/>
        </w:rPr>
        <w:t>límite</w:t>
      </w:r>
      <w:r w:rsidRPr="0020296A">
        <w:rPr>
          <w:rFonts w:ascii="Arial" w:hAnsi="Arial" w:cs="Arial"/>
          <w:sz w:val="22"/>
        </w:rPr>
        <w:t xml:space="preserve"> establecido en la </w:t>
      </w:r>
      <w:r>
        <w:rPr>
          <w:rFonts w:ascii="Arial" w:hAnsi="Arial" w:cs="Arial"/>
          <w:sz w:val="22"/>
        </w:rPr>
        <w:t>V</w:t>
      </w:r>
      <w:r w:rsidRPr="0020296A">
        <w:rPr>
          <w:rFonts w:ascii="Arial" w:hAnsi="Arial" w:cs="Arial"/>
          <w:sz w:val="22"/>
        </w:rPr>
        <w:t>ersión 1 de los Documentos.</w:t>
      </w:r>
    </w:p>
    <w:p w14:paraId="6C3FC9B9" w14:textId="65A5D06C" w:rsidR="001D4C3A" w:rsidRDefault="00EB2EFE" w:rsidP="00DD55C9">
      <w:pPr>
        <w:spacing w:before="120" w:line="276" w:lineRule="auto"/>
        <w:jc w:val="both"/>
        <w:rPr>
          <w:rFonts w:ascii="Arial" w:hAnsi="Arial" w:cs="Arial"/>
          <w:sz w:val="22"/>
        </w:rPr>
      </w:pPr>
      <w:r w:rsidRPr="0020296A">
        <w:rPr>
          <w:rFonts w:ascii="Arial" w:hAnsi="Arial" w:cs="Arial"/>
          <w:sz w:val="22"/>
        </w:rPr>
        <w:t xml:space="preserve">Adicionalmente, esta </w:t>
      </w:r>
      <w:r>
        <w:rPr>
          <w:rFonts w:ascii="Arial" w:hAnsi="Arial" w:cs="Arial"/>
          <w:sz w:val="22"/>
        </w:rPr>
        <w:t>V</w:t>
      </w:r>
      <w:r w:rsidRPr="0020296A">
        <w:rPr>
          <w:rFonts w:ascii="Arial" w:hAnsi="Arial" w:cs="Arial"/>
          <w:sz w:val="22"/>
        </w:rPr>
        <w:t>ersión</w:t>
      </w:r>
      <w:r>
        <w:rPr>
          <w:rFonts w:ascii="Arial" w:hAnsi="Arial" w:cs="Arial"/>
          <w:sz w:val="22"/>
        </w:rPr>
        <w:t xml:space="preserve"> 2</w:t>
      </w:r>
      <w:r w:rsidRPr="0020296A">
        <w:rPr>
          <w:rFonts w:ascii="Arial" w:hAnsi="Arial" w:cs="Arial"/>
          <w:sz w:val="22"/>
        </w:rPr>
        <w:t xml:space="preserve"> conserva el puntaje establecido para el factor de calidad en la Versión 1, de modo que no se alteró el total de 19 puntos que puede otorgar la entidad por su acreditación</w:t>
      </w:r>
      <w:r w:rsidRPr="00816FF9">
        <w:rPr>
          <w:rFonts w:ascii="Arial" w:eastAsia="Calibri" w:hAnsi="Arial" w:cs="Arial"/>
          <w:lang w:val="es-ES"/>
        </w:rPr>
        <w:t>.</w:t>
      </w:r>
      <w:r>
        <w:rPr>
          <w:rFonts w:ascii="Arial" w:eastAsia="Calibri" w:hAnsi="Arial" w:cs="Arial"/>
          <w:lang w:val="es-ES"/>
        </w:rPr>
        <w:t xml:space="preserve"> </w:t>
      </w:r>
      <w:r w:rsidRPr="00B2659E">
        <w:rPr>
          <w:rFonts w:ascii="Arial" w:hAnsi="Arial" w:cs="Arial"/>
          <w:sz w:val="22"/>
        </w:rPr>
        <w:t>A continuación, se explicará ca</w:t>
      </w:r>
      <w:r w:rsidR="0079068E" w:rsidRPr="00816FF9">
        <w:rPr>
          <w:rFonts w:ascii="Arial" w:eastAsia="Calibri" w:hAnsi="Arial" w:cs="Arial"/>
          <w:lang w:val="es-ES"/>
        </w:rPr>
        <w:t>.</w:t>
      </w:r>
      <w:r w:rsidR="0079068E">
        <w:rPr>
          <w:rFonts w:ascii="Arial" w:eastAsia="Calibri" w:hAnsi="Arial" w:cs="Arial"/>
          <w:lang w:val="es-ES"/>
        </w:rPr>
        <w:t xml:space="preserve"> </w:t>
      </w:r>
      <w:r w:rsidR="0079068E" w:rsidRPr="00B2659E">
        <w:rPr>
          <w:rFonts w:ascii="Arial" w:hAnsi="Arial" w:cs="Arial"/>
          <w:sz w:val="22"/>
        </w:rPr>
        <w:t>A continuación, se explicará cada uno de estos factores</w:t>
      </w:r>
      <w:r w:rsidR="0079068E">
        <w:rPr>
          <w:rFonts w:ascii="Arial" w:hAnsi="Arial" w:cs="Arial"/>
          <w:sz w:val="22"/>
        </w:rPr>
        <w:t>.</w:t>
      </w:r>
    </w:p>
    <w:p w14:paraId="47441485" w14:textId="2DCEA940" w:rsidR="0079068E" w:rsidRDefault="0079068E" w:rsidP="00DD55C9">
      <w:pPr>
        <w:spacing w:line="276" w:lineRule="auto"/>
        <w:ind w:firstLine="709"/>
        <w:jc w:val="both"/>
        <w:rPr>
          <w:rFonts w:ascii="Arial" w:hAnsi="Arial" w:cs="Arial"/>
          <w:sz w:val="22"/>
        </w:rPr>
      </w:pPr>
      <w:r>
        <w:rPr>
          <w:rFonts w:ascii="Arial" w:hAnsi="Arial" w:cs="Arial"/>
          <w:sz w:val="22"/>
        </w:rPr>
        <w:t xml:space="preserve"> </w:t>
      </w:r>
    </w:p>
    <w:p w14:paraId="55785243" w14:textId="33422CCE" w:rsidR="0079068E" w:rsidRDefault="00E91CAC" w:rsidP="001D4C3A">
      <w:pPr>
        <w:spacing w:line="276" w:lineRule="auto"/>
        <w:jc w:val="both"/>
        <w:rPr>
          <w:rFonts w:ascii="Arial" w:hAnsi="Arial" w:cs="Arial"/>
          <w:b/>
          <w:bCs/>
          <w:sz w:val="22"/>
        </w:rPr>
      </w:pPr>
      <w:r>
        <w:rPr>
          <w:rFonts w:ascii="Arial" w:hAnsi="Arial" w:cs="Arial"/>
          <w:b/>
          <w:bCs/>
          <w:sz w:val="22"/>
        </w:rPr>
        <w:t xml:space="preserve">i. </w:t>
      </w:r>
      <w:r w:rsidR="0079068E" w:rsidRPr="00DD55C9">
        <w:rPr>
          <w:rFonts w:ascii="Arial" w:hAnsi="Arial" w:cs="Arial"/>
          <w:b/>
          <w:bCs/>
          <w:sz w:val="22"/>
        </w:rPr>
        <w:t xml:space="preserve">Garantía suplementaria </w:t>
      </w:r>
    </w:p>
    <w:p w14:paraId="0CBDA7B7" w14:textId="77777777" w:rsidR="001D4C3A" w:rsidRPr="00DD55C9" w:rsidRDefault="001D4C3A" w:rsidP="00DD55C9">
      <w:pPr>
        <w:spacing w:line="276" w:lineRule="auto"/>
        <w:jc w:val="both"/>
        <w:rPr>
          <w:rFonts w:ascii="Arial" w:hAnsi="Arial" w:cs="Arial"/>
          <w:b/>
          <w:bCs/>
          <w:sz w:val="22"/>
        </w:rPr>
      </w:pPr>
    </w:p>
    <w:p w14:paraId="1F8AF933" w14:textId="2CABCA8D" w:rsidR="00EB2EFE" w:rsidRDefault="00EB2EFE" w:rsidP="00DD55C9">
      <w:pPr>
        <w:spacing w:line="276" w:lineRule="auto"/>
        <w:jc w:val="both"/>
        <w:rPr>
          <w:rFonts w:ascii="Arial" w:hAnsi="Arial" w:cs="Arial"/>
          <w:sz w:val="22"/>
        </w:rPr>
      </w:pPr>
      <w:r>
        <w:rPr>
          <w:rFonts w:ascii="Arial" w:hAnsi="Arial" w:cs="Arial"/>
          <w:sz w:val="22"/>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p>
    <w:p w14:paraId="2CAADFAC" w14:textId="77777777" w:rsidR="00EB2EFE" w:rsidRDefault="00EB2EFE" w:rsidP="00EB2EFE">
      <w:pPr>
        <w:spacing w:before="120" w:line="276" w:lineRule="auto"/>
        <w:ind w:firstLine="709"/>
        <w:jc w:val="both"/>
        <w:rPr>
          <w:rFonts w:ascii="Arial" w:hAnsi="Arial" w:cs="Arial"/>
          <w:sz w:val="22"/>
        </w:rPr>
      </w:pPr>
      <w:r>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Pr>
          <w:rStyle w:val="Refdenotaalpie"/>
          <w:rFonts w:ascii="Arial" w:hAnsi="Arial" w:cs="Arial"/>
          <w:sz w:val="22"/>
        </w:rPr>
        <w:footnoteReference w:id="2"/>
      </w:r>
      <w:r>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14:paraId="0967DB05" w14:textId="77777777" w:rsidR="00EB2EFE" w:rsidRDefault="00EB2EFE" w:rsidP="00EB2EFE">
      <w:pPr>
        <w:spacing w:before="120" w:line="276" w:lineRule="auto"/>
        <w:ind w:firstLine="709"/>
        <w:jc w:val="both"/>
        <w:rPr>
          <w:rFonts w:ascii="Arial" w:hAnsi="Arial" w:cs="Arial"/>
          <w:sz w:val="22"/>
        </w:rPr>
      </w:pPr>
      <w:r>
        <w:rPr>
          <w:rFonts w:ascii="Arial" w:hAnsi="Arial" w:cs="Arial"/>
          <w:sz w:val="22"/>
        </w:rPr>
        <w:t xml:space="preserve">De esta manera, para el otorgamiento del puntaje por concepto de la «Garantía suplementaria o adicional» no es necesario que la sea otorgada por una aseguradora, sino </w:t>
      </w:r>
      <w:r>
        <w:rPr>
          <w:rFonts w:ascii="Arial" w:hAnsi="Arial" w:cs="Arial"/>
          <w:sz w:val="22"/>
        </w:rPr>
        <w:lastRenderedPageBreak/>
        <w:t xml:space="preserve">que bastará la garantía comercial que ofrezca el propio contratista, ya sea el proveedor o el fabricante del bien o servicio. </w:t>
      </w:r>
    </w:p>
    <w:p w14:paraId="704A079C" w14:textId="77777777" w:rsidR="00EB2EFE" w:rsidRDefault="00EB2EFE" w:rsidP="00EB2EFE">
      <w:pPr>
        <w:spacing w:before="120" w:line="276" w:lineRule="auto"/>
        <w:ind w:firstLine="709"/>
        <w:jc w:val="both"/>
        <w:rPr>
          <w:rFonts w:ascii="Arial" w:hAnsi="Arial" w:cs="Arial"/>
          <w:sz w:val="22"/>
        </w:rPr>
      </w:pPr>
      <w:r>
        <w:rPr>
          <w:rFonts w:ascii="Arial" w:hAnsi="Arial" w:cs="Arial"/>
          <w:sz w:val="22"/>
        </w:rPr>
        <w:t xml:space="preserve">Por otro lado, en los Documentos Tipo se reconoce que la «garantía adicional o suplementaria» está asociada a la estabilidad y calidad de la obra. Y el proponente ofertará la vigencia de la garantía adicional a partir del vencimiento del plazo del Amparo de Estabilidad y Calidad de la Obra. En virtud del Decreto 1082 de 2015 este amparo </w:t>
      </w:r>
      <w:r w:rsidRPr="00545076">
        <w:rPr>
          <w:rFonts w:ascii="Arial" w:hAnsi="Arial" w:cs="Arial"/>
          <w:sz w:val="22"/>
        </w:rPr>
        <w:t>cubre a la Entidad Estatal de los perjuicios ocasionados por cualquier tipo de daño o deterioro, imputable al contratista, sufrido por la obra entregada a satisfacción</w:t>
      </w:r>
      <w:r>
        <w:rPr>
          <w:rStyle w:val="Refdenotaalpie"/>
          <w:rFonts w:ascii="Arial" w:hAnsi="Arial" w:cs="Arial"/>
          <w:sz w:val="22"/>
        </w:rPr>
        <w:footnoteReference w:id="3"/>
      </w:r>
      <w:r w:rsidRPr="00545076">
        <w:rPr>
          <w:rFonts w:ascii="Arial" w:hAnsi="Arial" w:cs="Arial"/>
          <w:sz w:val="22"/>
        </w:rPr>
        <w:t>.</w:t>
      </w:r>
    </w:p>
    <w:p w14:paraId="6312DFBC" w14:textId="77777777" w:rsidR="00EB2EFE" w:rsidRDefault="00EB2EFE" w:rsidP="00EB2EFE">
      <w:pPr>
        <w:spacing w:before="120" w:line="276" w:lineRule="auto"/>
        <w:ind w:firstLine="709"/>
        <w:jc w:val="both"/>
        <w:rPr>
          <w:rFonts w:ascii="Arial" w:hAnsi="Arial" w:cs="Arial"/>
          <w:sz w:val="22"/>
        </w:rPr>
      </w:pPr>
      <w:r>
        <w:rPr>
          <w:rFonts w:ascii="Arial" w:hAnsi="Arial" w:cs="Arial"/>
          <w:sz w:val="22"/>
        </w:rPr>
        <w:t>En este sentido, la «Garantía adicional o suplementaria»,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que en todo caso no puede ser inferior a cinco (5) años</w:t>
      </w:r>
      <w:r>
        <w:rPr>
          <w:rStyle w:val="Refdenotaalpie"/>
          <w:rFonts w:ascii="Arial" w:hAnsi="Arial" w:cs="Arial"/>
          <w:sz w:val="22"/>
        </w:rPr>
        <w:footnoteReference w:id="4"/>
      </w:r>
      <w:r>
        <w:rPr>
          <w:rFonts w:ascii="Arial" w:hAnsi="Arial" w:cs="Arial"/>
          <w:sz w:val="22"/>
        </w:rPr>
        <w:t xml:space="preserve"> contados a partir de la fecha en la cual la Entidad Estatal recibe a satisfacción la obra. </w:t>
      </w:r>
    </w:p>
    <w:p w14:paraId="35898F77" w14:textId="1045AF64" w:rsidR="00E91CAC" w:rsidRDefault="0079068E" w:rsidP="00E91CAC">
      <w:pPr>
        <w:spacing w:before="120" w:line="276" w:lineRule="auto"/>
        <w:ind w:firstLine="709"/>
        <w:jc w:val="both"/>
        <w:rPr>
          <w:rFonts w:ascii="Arial" w:hAnsi="Arial" w:cs="Arial"/>
          <w:sz w:val="22"/>
        </w:rPr>
      </w:pPr>
      <w:r>
        <w:rPr>
          <w:rFonts w:ascii="Arial" w:hAnsi="Arial" w:cs="Arial"/>
          <w:sz w:val="22"/>
        </w:rPr>
        <w:t xml:space="preserve">Asimismo, </w:t>
      </w:r>
      <w:r w:rsidRPr="00B2659E">
        <w:rPr>
          <w:rFonts w:ascii="Arial" w:hAnsi="Arial" w:cs="Arial"/>
          <w:sz w:val="22"/>
        </w:rPr>
        <w:t>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Pr>
          <w:rFonts w:ascii="Arial" w:hAnsi="Arial" w:cs="Arial"/>
          <w:sz w:val="22"/>
        </w:rPr>
        <w:t xml:space="preserve">. De este modo, el ofrecimiento que realice el oferente del número de meses que otorgará como garantía adicional dependerá de las capacidades del oferente. </w:t>
      </w:r>
    </w:p>
    <w:p w14:paraId="1B8A63D6" w14:textId="77777777" w:rsidR="00E91CAC" w:rsidRDefault="00E91CAC" w:rsidP="00E91CAC">
      <w:pPr>
        <w:tabs>
          <w:tab w:val="left" w:pos="426"/>
        </w:tabs>
        <w:spacing w:line="276" w:lineRule="auto"/>
        <w:jc w:val="both"/>
        <w:rPr>
          <w:rFonts w:ascii="Arial" w:hAnsi="Arial" w:cs="Arial"/>
          <w:b/>
          <w:bCs/>
          <w:sz w:val="22"/>
        </w:rPr>
      </w:pPr>
    </w:p>
    <w:p w14:paraId="7523F459" w14:textId="672E2A77" w:rsidR="0079068E" w:rsidRDefault="00E91CAC" w:rsidP="00E91CAC">
      <w:pPr>
        <w:tabs>
          <w:tab w:val="left" w:pos="426"/>
        </w:tabs>
        <w:spacing w:line="276" w:lineRule="auto"/>
        <w:jc w:val="both"/>
        <w:rPr>
          <w:rFonts w:ascii="Arial" w:hAnsi="Arial" w:cs="Arial"/>
          <w:b/>
          <w:bCs/>
          <w:sz w:val="22"/>
        </w:rPr>
      </w:pPr>
      <w:r>
        <w:rPr>
          <w:rFonts w:ascii="Arial" w:hAnsi="Arial" w:cs="Arial"/>
          <w:b/>
          <w:bCs/>
          <w:sz w:val="22"/>
        </w:rPr>
        <w:t>i</w:t>
      </w:r>
      <w:r w:rsidR="005630C5">
        <w:rPr>
          <w:rFonts w:ascii="Arial" w:hAnsi="Arial" w:cs="Arial"/>
          <w:b/>
          <w:bCs/>
          <w:sz w:val="22"/>
        </w:rPr>
        <w:t>i</w:t>
      </w:r>
      <w:r>
        <w:rPr>
          <w:rFonts w:ascii="Arial" w:hAnsi="Arial" w:cs="Arial"/>
          <w:b/>
          <w:bCs/>
          <w:sz w:val="22"/>
        </w:rPr>
        <w:t xml:space="preserve">. </w:t>
      </w:r>
      <w:r w:rsidR="002E07C7" w:rsidRPr="00DD55C9">
        <w:rPr>
          <w:rFonts w:ascii="Arial" w:hAnsi="Arial" w:cs="Arial"/>
          <w:b/>
          <w:bCs/>
          <w:sz w:val="22"/>
        </w:rPr>
        <w:t>Cuadrillas de trabajo adicional</w:t>
      </w:r>
    </w:p>
    <w:p w14:paraId="4832EE01" w14:textId="77777777" w:rsidR="00E91CAC" w:rsidRPr="00DD55C9" w:rsidRDefault="00E91CAC" w:rsidP="00DD55C9">
      <w:pPr>
        <w:tabs>
          <w:tab w:val="left" w:pos="426"/>
        </w:tabs>
        <w:spacing w:line="276" w:lineRule="auto"/>
        <w:jc w:val="both"/>
        <w:rPr>
          <w:rFonts w:ascii="Arial" w:hAnsi="Arial" w:cs="Arial"/>
          <w:b/>
          <w:bCs/>
          <w:sz w:val="22"/>
        </w:rPr>
      </w:pPr>
    </w:p>
    <w:p w14:paraId="21F8B9FC" w14:textId="2397A822" w:rsidR="00EB2EFE" w:rsidRDefault="002E07C7" w:rsidP="00EB2EFE">
      <w:pPr>
        <w:spacing w:before="120" w:line="276" w:lineRule="auto"/>
        <w:jc w:val="both"/>
        <w:rPr>
          <w:rFonts w:ascii="Arial" w:hAnsi="Arial" w:cs="Arial"/>
          <w:sz w:val="22"/>
        </w:rPr>
      </w:pPr>
      <w:r>
        <w:rPr>
          <w:rFonts w:ascii="Arial" w:hAnsi="Arial" w:cs="Arial"/>
          <w:sz w:val="22"/>
        </w:rPr>
        <w:lastRenderedPageBreak/>
        <w:t>E</w:t>
      </w:r>
      <w:r w:rsidR="00EB2EFE">
        <w:rPr>
          <w:rFonts w:ascii="Arial" w:hAnsi="Arial" w:cs="Arial"/>
          <w:sz w:val="22"/>
        </w:rPr>
        <w:t xml:space="preserve">l </w:t>
      </w:r>
      <w:r w:rsidR="00EB2EFE">
        <w:rPr>
          <w:rFonts w:ascii="Arial" w:hAnsi="Arial" w:cs="Arial"/>
          <w:sz w:val="20"/>
          <w:szCs w:val="20"/>
        </w:rPr>
        <w:t>«</w:t>
      </w:r>
      <w:r w:rsidR="00EB2EFE">
        <w:rPr>
          <w:rFonts w:ascii="Arial" w:hAnsi="Arial" w:cs="Arial"/>
          <w:sz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trabajo, la cual deberá ser de cinco (5) obreros. Asimismo, este ofrecimiento será a costo y riesgo del contratista durante la ejecución del contrato y no podrá ser objeto de cobro alguno a la entidad. </w:t>
      </w:r>
    </w:p>
    <w:p w14:paraId="1BD3BA94" w14:textId="360B7060" w:rsidR="00EB2EFE" w:rsidRDefault="00EB2EFE" w:rsidP="00DD55C9">
      <w:pPr>
        <w:spacing w:before="120" w:after="120" w:line="276" w:lineRule="auto"/>
        <w:ind w:firstLine="709"/>
        <w:jc w:val="both"/>
        <w:rPr>
          <w:rFonts w:ascii="Arial" w:hAnsi="Arial" w:cs="Arial"/>
          <w:sz w:val="22"/>
        </w:rPr>
      </w:pPr>
      <w:r>
        <w:rPr>
          <w:rFonts w:ascii="Arial" w:hAnsi="Arial" w:cs="Arial"/>
          <w:sz w:val="22"/>
        </w:rPr>
        <w:t>De igual manera, es importante señalar que la Administración definirá en el «Documento Base» las actividades y el tiempo que se necesitará para las cuadrillas de trabajo adicional. C</w:t>
      </w:r>
      <w:r w:rsidRPr="00824AEF">
        <w:rPr>
          <w:rFonts w:ascii="Arial" w:hAnsi="Arial" w:cs="Arial"/>
          <w:sz w:val="22"/>
        </w:rPr>
        <w:t xml:space="preserve">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w:t>
      </w:r>
      <w:r>
        <w:rPr>
          <w:rFonts w:ascii="Arial" w:hAnsi="Arial" w:cs="Arial"/>
          <w:sz w:val="22"/>
        </w:rPr>
        <w:t>Lo anterior, en la medida que</w:t>
      </w:r>
      <w:r w:rsidRPr="00824AEF">
        <w:rPr>
          <w:rFonts w:ascii="Arial" w:hAnsi="Arial" w:cs="Arial"/>
          <w:sz w:val="22"/>
        </w:rPr>
        <w:t xml:space="preserve"> el ofrecimiento de cuadrillas de trabajo adicional trae beneficios en la reducción de tiempo para la </w:t>
      </w:r>
      <w:r>
        <w:rPr>
          <w:rFonts w:ascii="Arial" w:hAnsi="Arial" w:cs="Arial"/>
          <w:sz w:val="22"/>
        </w:rPr>
        <w:t>e</w:t>
      </w:r>
      <w:r w:rsidRPr="00824AEF">
        <w:rPr>
          <w:rFonts w:ascii="Arial" w:hAnsi="Arial" w:cs="Arial"/>
          <w:sz w:val="22"/>
        </w:rPr>
        <w:t xml:space="preserve">ntidad que </w:t>
      </w:r>
      <w:r>
        <w:rPr>
          <w:rFonts w:ascii="Arial" w:hAnsi="Arial" w:cs="Arial"/>
          <w:sz w:val="22"/>
        </w:rPr>
        <w:t>se</w:t>
      </w:r>
      <w:r w:rsidRPr="00824AEF">
        <w:rPr>
          <w:rFonts w:ascii="Arial" w:hAnsi="Arial" w:cs="Arial"/>
          <w:sz w:val="22"/>
        </w:rPr>
        <w:t xml:space="preserve"> evidencia, por ejemplo, en una disminución de los plazos y en la atención oportuna de contingencias durante la ejecución del contrato</w:t>
      </w:r>
    </w:p>
    <w:p w14:paraId="7BF7E2A3" w14:textId="6AB12E71" w:rsidR="006232B4" w:rsidRDefault="002E07C7" w:rsidP="001E5818">
      <w:pPr>
        <w:spacing w:before="120" w:line="276" w:lineRule="auto"/>
        <w:ind w:firstLine="709"/>
        <w:jc w:val="both"/>
        <w:rPr>
          <w:rFonts w:ascii="Arial" w:hAnsi="Arial" w:cs="Arial"/>
          <w:sz w:val="22"/>
        </w:rPr>
      </w:pPr>
      <w:r>
        <w:rPr>
          <w:rFonts w:ascii="Arial" w:hAnsi="Arial" w:cs="Arial"/>
          <w:sz w:val="22"/>
        </w:rPr>
        <w:t>Ahora, usted pregunta: ¿</w:t>
      </w:r>
      <w:r w:rsidR="00E10587">
        <w:rPr>
          <w:rFonts w:ascii="Arial" w:hAnsi="Arial" w:cs="Arial"/>
          <w:sz w:val="22"/>
        </w:rPr>
        <w:t>l</w:t>
      </w:r>
      <w:r>
        <w:rPr>
          <w:rFonts w:ascii="Arial" w:hAnsi="Arial" w:cs="Arial"/>
          <w:sz w:val="22"/>
        </w:rPr>
        <w:t>a Entidad debe definir</w:t>
      </w:r>
      <w:r w:rsidR="00E10587">
        <w:rPr>
          <w:rFonts w:ascii="Arial" w:hAnsi="Arial" w:cs="Arial"/>
          <w:sz w:val="22"/>
        </w:rPr>
        <w:t xml:space="preserve"> las cuadrillas adicionales en el Anexo 1 </w:t>
      </w:r>
      <w:r w:rsidR="000243AF">
        <w:rPr>
          <w:rFonts w:ascii="Arial" w:hAnsi="Arial" w:cs="Arial"/>
          <w:sz w:val="22"/>
        </w:rPr>
        <w:t>–</w:t>
      </w:r>
      <w:r w:rsidR="00E10587">
        <w:rPr>
          <w:rFonts w:ascii="Arial" w:hAnsi="Arial" w:cs="Arial"/>
          <w:sz w:val="22"/>
        </w:rPr>
        <w:t xml:space="preserve"> Anexo Técnico? </w:t>
      </w:r>
      <w:r>
        <w:rPr>
          <w:rFonts w:ascii="Arial" w:hAnsi="Arial" w:cs="Arial"/>
          <w:sz w:val="22"/>
        </w:rPr>
        <w:t xml:space="preserve"> </w:t>
      </w:r>
      <w:r w:rsidR="001E5818">
        <w:rPr>
          <w:rFonts w:ascii="Arial" w:hAnsi="Arial" w:cs="Arial"/>
          <w:sz w:val="22"/>
        </w:rPr>
        <w:t>Co</w:t>
      </w:r>
      <w:r w:rsidR="00E10587">
        <w:rPr>
          <w:rFonts w:ascii="Arial" w:hAnsi="Arial" w:cs="Arial"/>
          <w:sz w:val="22"/>
        </w:rPr>
        <w:t xml:space="preserve">mo se mencionó, en el </w:t>
      </w:r>
      <w:r w:rsidR="001E5818">
        <w:rPr>
          <w:rFonts w:ascii="Arial" w:hAnsi="Arial" w:cs="Arial"/>
          <w:sz w:val="22"/>
        </w:rPr>
        <w:t>«</w:t>
      </w:r>
      <w:r w:rsidR="00E10587">
        <w:rPr>
          <w:rFonts w:ascii="Arial" w:hAnsi="Arial" w:cs="Arial"/>
          <w:sz w:val="22"/>
        </w:rPr>
        <w:t>Documento Tipo</w:t>
      </w:r>
      <w:r w:rsidR="001E5818">
        <w:rPr>
          <w:rFonts w:ascii="Arial" w:hAnsi="Arial" w:cs="Arial"/>
          <w:sz w:val="22"/>
        </w:rPr>
        <w:t>»</w:t>
      </w:r>
      <w:r w:rsidR="00E10587">
        <w:rPr>
          <w:rFonts w:ascii="Arial" w:hAnsi="Arial" w:cs="Arial"/>
          <w:sz w:val="22"/>
        </w:rPr>
        <w:t xml:space="preserve"> </w:t>
      </w:r>
      <w:r w:rsidR="006232B4">
        <w:rPr>
          <w:rFonts w:ascii="Arial" w:hAnsi="Arial" w:cs="Arial"/>
          <w:sz w:val="22"/>
        </w:rPr>
        <w:t>se</w:t>
      </w:r>
      <w:r w:rsidR="00AF4739">
        <w:rPr>
          <w:rFonts w:ascii="Arial" w:hAnsi="Arial" w:cs="Arial"/>
          <w:sz w:val="22"/>
        </w:rPr>
        <w:t xml:space="preserve"> define</w:t>
      </w:r>
      <w:r w:rsidR="00E10587">
        <w:rPr>
          <w:rFonts w:ascii="Arial" w:hAnsi="Arial" w:cs="Arial"/>
          <w:sz w:val="22"/>
        </w:rPr>
        <w:t xml:space="preserve"> como </w:t>
      </w:r>
      <w:r w:rsidR="00AF4739">
        <w:rPr>
          <w:rFonts w:ascii="Arial" w:hAnsi="Arial" w:cs="Arial"/>
          <w:sz w:val="22"/>
        </w:rPr>
        <w:t xml:space="preserve">el personal obrero adicional para un frente o unidad de trabajo, la cual deberá ser de 5 obreros. En este sentido no es necesario incluir una nueva definición en el </w:t>
      </w:r>
      <w:r w:rsidR="001E5818">
        <w:rPr>
          <w:rFonts w:ascii="Arial" w:hAnsi="Arial" w:cs="Arial"/>
          <w:sz w:val="22"/>
        </w:rPr>
        <w:t>a</w:t>
      </w:r>
      <w:r w:rsidR="00AF4739">
        <w:rPr>
          <w:rFonts w:ascii="Arial" w:hAnsi="Arial" w:cs="Arial"/>
          <w:sz w:val="22"/>
        </w:rPr>
        <w:t xml:space="preserve">nexo </w:t>
      </w:r>
      <w:r w:rsidR="001E5818">
        <w:rPr>
          <w:rFonts w:ascii="Arial" w:hAnsi="Arial" w:cs="Arial"/>
          <w:sz w:val="22"/>
        </w:rPr>
        <w:t>t</w:t>
      </w:r>
      <w:r w:rsidR="00AF4739">
        <w:rPr>
          <w:rFonts w:ascii="Arial" w:hAnsi="Arial" w:cs="Arial"/>
          <w:sz w:val="22"/>
        </w:rPr>
        <w:t>écnico</w:t>
      </w:r>
      <w:r w:rsidR="001E5818">
        <w:rPr>
          <w:rFonts w:ascii="Arial" w:hAnsi="Arial" w:cs="Arial"/>
          <w:sz w:val="22"/>
        </w:rPr>
        <w:t>,</w:t>
      </w:r>
      <w:r w:rsidR="006232B4">
        <w:rPr>
          <w:rFonts w:ascii="Arial" w:hAnsi="Arial" w:cs="Arial"/>
          <w:sz w:val="22"/>
        </w:rPr>
        <w:t xml:space="preserve"> ya que </w:t>
      </w:r>
      <w:r w:rsidR="001E5818">
        <w:rPr>
          <w:rFonts w:ascii="Arial" w:hAnsi="Arial" w:cs="Arial"/>
          <w:sz w:val="22"/>
        </w:rPr>
        <w:t>–</w:t>
      </w:r>
      <w:r w:rsidR="006E33CC">
        <w:rPr>
          <w:rFonts w:ascii="Arial" w:hAnsi="Arial" w:cs="Arial"/>
          <w:sz w:val="22"/>
        </w:rPr>
        <w:t xml:space="preserve">según el tipo de obra de </w:t>
      </w:r>
      <w:r w:rsidR="001E5818">
        <w:rPr>
          <w:rFonts w:ascii="Arial" w:hAnsi="Arial" w:cs="Arial"/>
          <w:sz w:val="22"/>
        </w:rPr>
        <w:t>i</w:t>
      </w:r>
      <w:r w:rsidR="006E33CC">
        <w:rPr>
          <w:rFonts w:ascii="Arial" w:hAnsi="Arial" w:cs="Arial"/>
          <w:sz w:val="22"/>
        </w:rPr>
        <w:t xml:space="preserve">nfraestructura de </w:t>
      </w:r>
      <w:r w:rsidR="001E5818">
        <w:rPr>
          <w:rFonts w:ascii="Arial" w:hAnsi="Arial" w:cs="Arial"/>
          <w:sz w:val="22"/>
        </w:rPr>
        <w:t>t</w:t>
      </w:r>
      <w:r w:rsidR="006E33CC">
        <w:rPr>
          <w:rFonts w:ascii="Arial" w:hAnsi="Arial" w:cs="Arial"/>
          <w:sz w:val="22"/>
        </w:rPr>
        <w:t>ransporte y por las labores propias a realizar</w:t>
      </w:r>
      <w:r w:rsidR="001E5818">
        <w:rPr>
          <w:rFonts w:ascii="Arial" w:hAnsi="Arial" w:cs="Arial"/>
          <w:sz w:val="22"/>
        </w:rPr>
        <w:t>–</w:t>
      </w:r>
      <w:r w:rsidR="006E33CC">
        <w:rPr>
          <w:rFonts w:ascii="Arial" w:hAnsi="Arial" w:cs="Arial"/>
          <w:sz w:val="22"/>
        </w:rPr>
        <w:t xml:space="preserve"> se entienden las condiciones de dicha cuadrilla</w:t>
      </w:r>
      <w:r w:rsidR="001E5818">
        <w:rPr>
          <w:rFonts w:ascii="Arial" w:hAnsi="Arial" w:cs="Arial"/>
          <w:sz w:val="22"/>
        </w:rPr>
        <w:t>.</w:t>
      </w:r>
      <w:r w:rsidR="006E33CC">
        <w:rPr>
          <w:rFonts w:ascii="Arial" w:hAnsi="Arial" w:cs="Arial"/>
          <w:sz w:val="22"/>
        </w:rPr>
        <w:t xml:space="preserve"> </w:t>
      </w:r>
      <w:r w:rsidR="006232B4">
        <w:rPr>
          <w:rFonts w:ascii="Arial" w:hAnsi="Arial" w:cs="Arial"/>
          <w:sz w:val="22"/>
        </w:rPr>
        <w:t xml:space="preserve">Por otro lado, </w:t>
      </w:r>
      <w:r w:rsidR="001E5818">
        <w:rPr>
          <w:rFonts w:ascii="Arial" w:hAnsi="Arial" w:cs="Arial"/>
          <w:sz w:val="22"/>
        </w:rPr>
        <w:t>dado</w:t>
      </w:r>
      <w:r w:rsidR="006232B4">
        <w:rPr>
          <w:rFonts w:ascii="Arial" w:hAnsi="Arial" w:cs="Arial"/>
          <w:sz w:val="22"/>
        </w:rPr>
        <w:t xml:space="preserve"> que las cuadrillas de trabajo adicional están por cuenta del contratista</w:t>
      </w:r>
      <w:r w:rsidR="004826FF">
        <w:rPr>
          <w:rFonts w:ascii="Arial" w:hAnsi="Arial" w:cs="Arial"/>
          <w:sz w:val="22"/>
        </w:rPr>
        <w:t xml:space="preserve">, si se definen en el </w:t>
      </w:r>
      <w:r w:rsidR="001E5818">
        <w:rPr>
          <w:rFonts w:ascii="Arial" w:hAnsi="Arial" w:cs="Arial"/>
          <w:sz w:val="22"/>
        </w:rPr>
        <w:t>«</w:t>
      </w:r>
      <w:r w:rsidR="004826FF">
        <w:rPr>
          <w:rFonts w:ascii="Arial" w:hAnsi="Arial" w:cs="Arial"/>
          <w:sz w:val="22"/>
        </w:rPr>
        <w:t xml:space="preserve">Anexo 1– </w:t>
      </w:r>
      <w:r w:rsidR="004826FF" w:rsidRPr="002B14B5">
        <w:rPr>
          <w:rFonts w:ascii="Arial" w:hAnsi="Arial" w:cs="Arial"/>
          <w:sz w:val="22"/>
        </w:rPr>
        <w:t>Anexo Técnico</w:t>
      </w:r>
      <w:r w:rsidR="001E5818">
        <w:rPr>
          <w:rFonts w:ascii="Arial" w:hAnsi="Arial" w:cs="Arial"/>
          <w:sz w:val="22"/>
        </w:rPr>
        <w:t>»</w:t>
      </w:r>
      <w:r w:rsidR="004826FF">
        <w:rPr>
          <w:rFonts w:ascii="Arial" w:hAnsi="Arial" w:cs="Arial"/>
          <w:sz w:val="22"/>
        </w:rPr>
        <w:t xml:space="preserve"> se obligaría al proponente que contará con ese personal de manera obligatoria</w:t>
      </w:r>
      <w:r w:rsidR="006E33CC">
        <w:rPr>
          <w:rFonts w:ascii="Arial" w:hAnsi="Arial" w:cs="Arial"/>
          <w:sz w:val="22"/>
        </w:rPr>
        <w:t xml:space="preserve"> para ser acreedor de dicho puntaje, limitando de esta manera la capacidad de elaboración de la propuesta por parte del oferente</w:t>
      </w:r>
      <w:r w:rsidR="004826FF">
        <w:rPr>
          <w:rFonts w:ascii="Arial" w:hAnsi="Arial" w:cs="Arial"/>
          <w:sz w:val="22"/>
        </w:rPr>
        <w:t xml:space="preserve">. De esta forma, se recuerda que las cuadrillas de trabajo adicional </w:t>
      </w:r>
      <w:r w:rsidR="006E33CC">
        <w:rPr>
          <w:rFonts w:ascii="Arial" w:hAnsi="Arial" w:cs="Arial"/>
          <w:sz w:val="22"/>
        </w:rPr>
        <w:t xml:space="preserve">son entendidas en el marco del tipo de Infraestructura de Transporte a </w:t>
      </w:r>
      <w:r w:rsidR="002F7057">
        <w:rPr>
          <w:rFonts w:ascii="Arial" w:hAnsi="Arial" w:cs="Arial"/>
          <w:sz w:val="22"/>
        </w:rPr>
        <w:t>ejecutarse</w:t>
      </w:r>
      <w:r w:rsidR="004826FF">
        <w:rPr>
          <w:rFonts w:ascii="Arial" w:hAnsi="Arial" w:cs="Arial"/>
          <w:sz w:val="22"/>
        </w:rPr>
        <w:t xml:space="preserve">. </w:t>
      </w:r>
    </w:p>
    <w:p w14:paraId="16AC9354" w14:textId="77777777" w:rsidR="00A26C44" w:rsidRPr="006232B4" w:rsidRDefault="00A26C44" w:rsidP="00DD55C9">
      <w:pPr>
        <w:spacing w:line="276" w:lineRule="auto"/>
        <w:ind w:firstLine="709"/>
        <w:jc w:val="both"/>
        <w:rPr>
          <w:rFonts w:ascii="Arial" w:hAnsi="Arial" w:cs="Arial"/>
          <w:sz w:val="22"/>
        </w:rPr>
      </w:pPr>
    </w:p>
    <w:p w14:paraId="73FE3743" w14:textId="72E6BF9D" w:rsidR="006232B4" w:rsidRDefault="00A26C44" w:rsidP="00A26C44">
      <w:pPr>
        <w:tabs>
          <w:tab w:val="left" w:pos="426"/>
        </w:tabs>
        <w:spacing w:line="276" w:lineRule="auto"/>
        <w:jc w:val="both"/>
        <w:rPr>
          <w:rFonts w:ascii="Arial" w:eastAsia="Calibri" w:hAnsi="Arial" w:cs="Arial"/>
          <w:b/>
          <w:sz w:val="22"/>
        </w:rPr>
      </w:pPr>
      <w:r>
        <w:rPr>
          <w:rFonts w:ascii="Arial" w:eastAsia="Calibri" w:hAnsi="Arial" w:cs="Arial"/>
          <w:b/>
          <w:sz w:val="22"/>
        </w:rPr>
        <w:t xml:space="preserve">iii. </w:t>
      </w:r>
      <w:r w:rsidR="006232B4" w:rsidRPr="00DD55C9">
        <w:rPr>
          <w:rFonts w:ascii="Arial" w:eastAsia="Calibri" w:hAnsi="Arial" w:cs="Arial"/>
          <w:b/>
          <w:sz w:val="22"/>
        </w:rPr>
        <w:t>Mantenimiento adicional</w:t>
      </w:r>
    </w:p>
    <w:p w14:paraId="1951D689" w14:textId="77777777" w:rsidR="00A26C44" w:rsidRPr="00DD55C9" w:rsidRDefault="00A26C44" w:rsidP="00DD55C9">
      <w:pPr>
        <w:tabs>
          <w:tab w:val="left" w:pos="426"/>
        </w:tabs>
        <w:spacing w:line="276" w:lineRule="auto"/>
        <w:jc w:val="both"/>
        <w:rPr>
          <w:rFonts w:ascii="Arial" w:eastAsia="Calibri" w:hAnsi="Arial" w:cs="Arial"/>
          <w:b/>
          <w:sz w:val="22"/>
        </w:rPr>
      </w:pPr>
    </w:p>
    <w:p w14:paraId="6CBDF039" w14:textId="47015312" w:rsidR="00EB2EFE" w:rsidRDefault="00EB2EFE" w:rsidP="00F430B8">
      <w:pPr>
        <w:tabs>
          <w:tab w:val="left" w:pos="426"/>
        </w:tabs>
        <w:spacing w:line="276" w:lineRule="auto"/>
        <w:jc w:val="both"/>
        <w:rPr>
          <w:rFonts w:ascii="Arial" w:hAnsi="Arial" w:cs="Arial"/>
          <w:sz w:val="22"/>
        </w:rPr>
      </w:pPr>
      <w:r w:rsidRPr="00EB2EFE">
        <w:rPr>
          <w:rFonts w:ascii="Arial" w:hAnsi="Arial" w:cs="Arial"/>
          <w:sz w:val="22"/>
        </w:rPr>
        <w:t xml:space="preserve">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Además, es importante señalar que las labores ofrecidas corresponden a los mantenimientos rutinarios que no guarden relación con la estabilidad </w:t>
      </w:r>
      <w:r w:rsidRPr="00EB2EFE">
        <w:rPr>
          <w:rFonts w:ascii="Arial" w:hAnsi="Arial" w:cs="Arial"/>
          <w:sz w:val="22"/>
        </w:rPr>
        <w:lastRenderedPageBreak/>
        <w:t xml:space="preserve">de las obras, y la entidad determinará la forma para llevar a cabo el seguimiento de las labores ofertadas durante la ejecución del contrato. </w:t>
      </w:r>
    </w:p>
    <w:p w14:paraId="76C31967" w14:textId="77777777" w:rsidR="00544BF1" w:rsidRPr="00B16ED9" w:rsidRDefault="00544BF1" w:rsidP="00DD55C9">
      <w:pPr>
        <w:spacing w:line="276" w:lineRule="auto"/>
        <w:ind w:firstLine="709"/>
        <w:jc w:val="both"/>
        <w:rPr>
          <w:rFonts w:ascii="Arial" w:hAnsi="Arial" w:cs="Arial"/>
          <w:sz w:val="22"/>
        </w:rPr>
      </w:pPr>
    </w:p>
    <w:p w14:paraId="4F6654C8" w14:textId="3FEA569B" w:rsidR="00D82B27" w:rsidRPr="00DD55C9" w:rsidRDefault="006232B4" w:rsidP="00DD55C9">
      <w:pPr>
        <w:pStyle w:val="Prrafodelista"/>
        <w:numPr>
          <w:ilvl w:val="1"/>
          <w:numId w:val="13"/>
        </w:numPr>
        <w:tabs>
          <w:tab w:val="left" w:pos="426"/>
        </w:tabs>
        <w:spacing w:line="276" w:lineRule="auto"/>
        <w:jc w:val="both"/>
        <w:rPr>
          <w:rFonts w:ascii="Arial" w:eastAsia="Calibri" w:hAnsi="Arial" w:cs="Arial"/>
          <w:b/>
          <w:sz w:val="22"/>
        </w:rPr>
      </w:pPr>
      <w:r w:rsidRPr="00DD55C9">
        <w:rPr>
          <w:rFonts w:ascii="Arial" w:eastAsia="Calibri" w:hAnsi="Arial" w:cs="Arial"/>
          <w:b/>
          <w:sz w:val="22"/>
        </w:rPr>
        <w:t xml:space="preserve">Visita al sitio de la obra </w:t>
      </w:r>
    </w:p>
    <w:p w14:paraId="1A16DF9B" w14:textId="77777777" w:rsidR="00544BF1" w:rsidRPr="00DD55C9" w:rsidRDefault="00544BF1" w:rsidP="00DD55C9">
      <w:pPr>
        <w:pStyle w:val="Prrafodelista"/>
        <w:tabs>
          <w:tab w:val="left" w:pos="426"/>
        </w:tabs>
        <w:spacing w:line="276" w:lineRule="auto"/>
        <w:jc w:val="both"/>
        <w:rPr>
          <w:rFonts w:ascii="Arial" w:eastAsia="Calibri" w:hAnsi="Arial" w:cs="Arial"/>
          <w:b/>
          <w:sz w:val="22"/>
        </w:rPr>
      </w:pPr>
    </w:p>
    <w:p w14:paraId="34D95122" w14:textId="78BA1BBD" w:rsidR="00D82B27" w:rsidRPr="00FF6248" w:rsidRDefault="00D82B27" w:rsidP="00DD55C9">
      <w:pPr>
        <w:spacing w:line="276" w:lineRule="auto"/>
        <w:jc w:val="both"/>
        <w:rPr>
          <w:rFonts w:ascii="Arial" w:hAnsi="Arial" w:cs="Arial"/>
          <w:sz w:val="22"/>
        </w:rPr>
      </w:pPr>
      <w:r w:rsidRPr="00FF6248">
        <w:rPr>
          <w:rFonts w:ascii="Arial" w:hAnsi="Arial" w:cs="Arial"/>
          <w:sz w:val="22"/>
        </w:rPr>
        <w:t xml:space="preserve">En el «Documento Base o Pliego Tipo» se incluyó la visita de la obra como potestativa de la entidad, quien de acuerdo con la complejidad del objeto contractual </w:t>
      </w:r>
      <w:r w:rsidR="00A22CAB">
        <w:rPr>
          <w:rFonts w:ascii="Arial" w:hAnsi="Arial" w:cs="Arial"/>
          <w:sz w:val="22"/>
        </w:rPr>
        <w:t>evalúa si se realiza y si la asistencia es obligatoria para los proponentes</w:t>
      </w:r>
      <w:r w:rsidRPr="00FF6248">
        <w:rPr>
          <w:rFonts w:ascii="Arial" w:hAnsi="Arial" w:cs="Arial"/>
          <w:sz w:val="22"/>
        </w:rPr>
        <w:t xml:space="preserve">. De requerirla, la entidad lo justificará en los estudios previos, </w:t>
      </w:r>
      <w:r w:rsidR="00A22CAB">
        <w:rPr>
          <w:rFonts w:ascii="Arial" w:hAnsi="Arial" w:cs="Arial"/>
          <w:sz w:val="22"/>
        </w:rPr>
        <w:t>ajustándose</w:t>
      </w:r>
      <w:r w:rsidRPr="00FF6248">
        <w:rPr>
          <w:rFonts w:ascii="Arial" w:hAnsi="Arial" w:cs="Arial"/>
          <w:sz w:val="22"/>
        </w:rPr>
        <w:t xml:space="preserve"> </w:t>
      </w:r>
      <w:r w:rsidR="00EB2EFE">
        <w:rPr>
          <w:rFonts w:ascii="Arial" w:hAnsi="Arial" w:cs="Arial"/>
          <w:sz w:val="22"/>
        </w:rPr>
        <w:t>a lo</w:t>
      </w:r>
      <w:r w:rsidRPr="00FF6248">
        <w:rPr>
          <w:rFonts w:ascii="Arial" w:hAnsi="Arial" w:cs="Arial"/>
          <w:sz w:val="22"/>
        </w:rPr>
        <w:t xml:space="preserve"> </w:t>
      </w:r>
      <w:r w:rsidR="00A22CAB">
        <w:rPr>
          <w:rFonts w:ascii="Arial" w:hAnsi="Arial" w:cs="Arial"/>
          <w:sz w:val="22"/>
        </w:rPr>
        <w:t>previs</w:t>
      </w:r>
      <w:r w:rsidR="00EB2EFE">
        <w:rPr>
          <w:rFonts w:ascii="Arial" w:hAnsi="Arial" w:cs="Arial"/>
          <w:sz w:val="22"/>
        </w:rPr>
        <w:t>to</w:t>
      </w:r>
      <w:r w:rsidR="00A22CAB">
        <w:rPr>
          <w:rFonts w:ascii="Arial" w:hAnsi="Arial" w:cs="Arial"/>
          <w:sz w:val="22"/>
        </w:rPr>
        <w:t xml:space="preserve"> en</w:t>
      </w:r>
      <w:r w:rsidRPr="00FF6248">
        <w:rPr>
          <w:rFonts w:ascii="Arial" w:hAnsi="Arial" w:cs="Arial"/>
          <w:sz w:val="22"/>
        </w:rPr>
        <w:t xml:space="preserve"> los </w:t>
      </w:r>
      <w:r w:rsidR="00A22CAB">
        <w:rPr>
          <w:rFonts w:ascii="Arial" w:hAnsi="Arial" w:cs="Arial"/>
          <w:sz w:val="22"/>
        </w:rPr>
        <w:t>«</w:t>
      </w:r>
      <w:r w:rsidRPr="00FF6248">
        <w:rPr>
          <w:rFonts w:ascii="Arial" w:hAnsi="Arial" w:cs="Arial"/>
          <w:sz w:val="22"/>
        </w:rPr>
        <w:t>Documentos Tipo</w:t>
      </w:r>
      <w:r w:rsidR="00A22CAB">
        <w:rPr>
          <w:rFonts w:ascii="Arial" w:hAnsi="Arial" w:cs="Arial"/>
          <w:sz w:val="22"/>
        </w:rPr>
        <w:t>»</w:t>
      </w:r>
      <w:r w:rsidRPr="00FF6248">
        <w:rPr>
          <w:rFonts w:ascii="Arial" w:hAnsi="Arial" w:cs="Arial"/>
          <w:sz w:val="22"/>
        </w:rPr>
        <w:t>, donde se establ</w:t>
      </w:r>
      <w:r w:rsidRPr="00E97EB2">
        <w:rPr>
          <w:rFonts w:ascii="Arial" w:hAnsi="Arial" w:cs="Arial"/>
          <w:sz w:val="22"/>
        </w:rPr>
        <w:t>ecen reglas</w:t>
      </w:r>
      <w:r w:rsidRPr="00FF6248">
        <w:rPr>
          <w:rFonts w:ascii="Arial" w:hAnsi="Arial" w:cs="Arial"/>
          <w:sz w:val="22"/>
        </w:rPr>
        <w:t xml:space="preserve"> para su realización, mediante las cuales se evita su utilización para prácticas indebidas.</w:t>
      </w:r>
    </w:p>
    <w:p w14:paraId="094E7971" w14:textId="79FF2161" w:rsidR="00D82B27" w:rsidRDefault="00D82B27" w:rsidP="00FF3892">
      <w:pPr>
        <w:spacing w:line="276" w:lineRule="auto"/>
        <w:ind w:firstLine="708"/>
        <w:jc w:val="both"/>
        <w:rPr>
          <w:rFonts w:ascii="Arial" w:hAnsi="Arial" w:cs="Arial"/>
          <w:sz w:val="22"/>
        </w:rPr>
      </w:pPr>
      <w:r w:rsidRPr="00FF6248">
        <w:rPr>
          <w:rFonts w:ascii="Arial" w:hAnsi="Arial" w:cs="Arial"/>
          <w:sz w:val="22"/>
        </w:rPr>
        <w:t xml:space="preserve">Sobre la capacidad de exigir </w:t>
      </w:r>
      <w:r w:rsidR="00FF3892">
        <w:rPr>
          <w:rFonts w:ascii="Arial" w:hAnsi="Arial" w:cs="Arial"/>
          <w:sz w:val="22"/>
        </w:rPr>
        <w:t>la visita al</w:t>
      </w:r>
      <w:r w:rsidRPr="00FF6248">
        <w:rPr>
          <w:rFonts w:ascii="Arial" w:hAnsi="Arial" w:cs="Arial"/>
          <w:sz w:val="22"/>
        </w:rPr>
        <w:t xml:space="preserve"> sitio de la obra en los pliegos de condiciones como requisito para presentar la oferta, el Consejo de Estado </w:t>
      </w:r>
      <w:r w:rsidR="00FF3892">
        <w:rPr>
          <w:rFonts w:ascii="Arial" w:hAnsi="Arial" w:cs="Arial"/>
          <w:sz w:val="22"/>
        </w:rPr>
        <w:t>–</w:t>
      </w:r>
      <w:r w:rsidRPr="00FF6248">
        <w:rPr>
          <w:rFonts w:ascii="Arial" w:hAnsi="Arial" w:cs="Arial"/>
          <w:sz w:val="22"/>
        </w:rPr>
        <w:t xml:space="preserve">en </w:t>
      </w:r>
      <w:r w:rsidR="00142268">
        <w:rPr>
          <w:rFonts w:ascii="Arial" w:hAnsi="Arial" w:cs="Arial"/>
          <w:sz w:val="22"/>
        </w:rPr>
        <w:t>S</w:t>
      </w:r>
      <w:r w:rsidRPr="00FF6248">
        <w:rPr>
          <w:rFonts w:ascii="Arial" w:hAnsi="Arial" w:cs="Arial"/>
          <w:sz w:val="22"/>
        </w:rPr>
        <w:t>entencia del 5 de junio de 2008</w:t>
      </w:r>
      <w:r w:rsidR="00FF3892">
        <w:rPr>
          <w:rFonts w:ascii="Arial" w:hAnsi="Arial" w:cs="Arial"/>
          <w:sz w:val="22"/>
        </w:rPr>
        <w:t>–</w:t>
      </w:r>
      <w:r w:rsidRPr="00FF6248">
        <w:rPr>
          <w:rFonts w:ascii="Arial" w:hAnsi="Arial" w:cs="Arial"/>
          <w:sz w:val="22"/>
        </w:rPr>
        <w:t xml:space="preserve"> se pronunció sobre su legalidad. Señaló que esta exigencia garantiza la consistencia económica de las ofertas, así como la cumplida ejecución del objeto contractual y, por lo tanto, es posible incluirla en los pliegos de condiciones. Además, </w:t>
      </w:r>
      <w:r w:rsidR="00FF3892">
        <w:rPr>
          <w:rFonts w:ascii="Arial" w:hAnsi="Arial" w:cs="Arial"/>
          <w:sz w:val="22"/>
        </w:rPr>
        <w:t>explicó</w:t>
      </w:r>
      <w:r w:rsidR="00FF3892" w:rsidRPr="00FF6248">
        <w:rPr>
          <w:rFonts w:ascii="Arial" w:hAnsi="Arial" w:cs="Arial"/>
          <w:sz w:val="22"/>
        </w:rPr>
        <w:t xml:space="preserve"> </w:t>
      </w:r>
      <w:r w:rsidRPr="00FF6248">
        <w:rPr>
          <w:rFonts w:ascii="Arial" w:hAnsi="Arial" w:cs="Arial"/>
          <w:sz w:val="22"/>
        </w:rPr>
        <w:t xml:space="preserve">que es una medida idónea, necesaria y ponderada para </w:t>
      </w:r>
      <w:r w:rsidR="00FF3892">
        <w:rPr>
          <w:rFonts w:ascii="Arial" w:hAnsi="Arial" w:cs="Arial"/>
          <w:sz w:val="22"/>
        </w:rPr>
        <w:t>la estructuración de las ofertas por parte de los proponentes</w:t>
      </w:r>
      <w:r w:rsidR="00FF3892" w:rsidRPr="00604B29">
        <w:rPr>
          <w:rFonts w:ascii="Arial" w:eastAsia="Calibri" w:hAnsi="Arial" w:cs="Arial"/>
          <w:color w:val="181818"/>
          <w:vertAlign w:val="superscript"/>
          <w:lang w:val="es-ES"/>
        </w:rPr>
        <w:footnoteReference w:id="5"/>
      </w:r>
      <w:r w:rsidR="00FF3892">
        <w:rPr>
          <w:rFonts w:ascii="Arial" w:eastAsia="Calibri" w:hAnsi="Arial" w:cs="Arial"/>
          <w:iCs/>
          <w:color w:val="181818"/>
          <w:sz w:val="21"/>
          <w:szCs w:val="21"/>
          <w:lang w:val="es-ES"/>
        </w:rPr>
        <w:t>.</w:t>
      </w:r>
      <w:r w:rsidRPr="00604B29">
        <w:rPr>
          <w:rFonts w:ascii="Arial" w:eastAsia="Calibri" w:hAnsi="Arial" w:cs="Arial"/>
          <w:i/>
          <w:color w:val="181818"/>
          <w:sz w:val="21"/>
          <w:szCs w:val="21"/>
          <w:lang w:val="es-ES"/>
        </w:rPr>
        <w:t xml:space="preserve"> </w:t>
      </w:r>
      <w:r w:rsidRPr="00FF6248">
        <w:rPr>
          <w:rFonts w:ascii="Arial" w:hAnsi="Arial" w:cs="Arial"/>
          <w:sz w:val="22"/>
        </w:rPr>
        <w:t xml:space="preserve">Por su parte, en </w:t>
      </w:r>
      <w:r w:rsidR="00142268">
        <w:rPr>
          <w:rFonts w:ascii="Arial" w:hAnsi="Arial" w:cs="Arial"/>
          <w:sz w:val="22"/>
        </w:rPr>
        <w:t>S</w:t>
      </w:r>
      <w:r w:rsidRPr="00FF6248">
        <w:rPr>
          <w:rFonts w:ascii="Arial" w:hAnsi="Arial" w:cs="Arial"/>
          <w:sz w:val="22"/>
        </w:rPr>
        <w:t xml:space="preserve">entencia del 28 de junio de 2019, el Consejo de Estado reconoció que la visita tiene como propósito que </w:t>
      </w:r>
      <w:r w:rsidR="00142268">
        <w:rPr>
          <w:rFonts w:ascii="Arial" w:hAnsi="Arial" w:cs="Arial"/>
          <w:sz w:val="22"/>
        </w:rPr>
        <w:t>los oferentes conozcan</w:t>
      </w:r>
      <w:r w:rsidRPr="00FF6248">
        <w:rPr>
          <w:rFonts w:ascii="Arial" w:hAnsi="Arial" w:cs="Arial"/>
          <w:sz w:val="22"/>
        </w:rPr>
        <w:t xml:space="preserve"> el lugar físico donde el contrato </w:t>
      </w:r>
      <w:r w:rsidR="00142268">
        <w:rPr>
          <w:rFonts w:ascii="Arial" w:hAnsi="Arial" w:cs="Arial"/>
          <w:sz w:val="22"/>
        </w:rPr>
        <w:t>se ejecutará, razón por la cual</w:t>
      </w:r>
      <w:r w:rsidRPr="00FF6248">
        <w:rPr>
          <w:rFonts w:ascii="Arial" w:hAnsi="Arial" w:cs="Arial"/>
          <w:sz w:val="22"/>
        </w:rPr>
        <w:t>:</w:t>
      </w:r>
    </w:p>
    <w:p w14:paraId="53842EAA" w14:textId="77777777" w:rsidR="00142268" w:rsidRPr="00FF6248" w:rsidRDefault="00142268" w:rsidP="00DD55C9">
      <w:pPr>
        <w:spacing w:line="276" w:lineRule="auto"/>
        <w:ind w:firstLine="708"/>
        <w:jc w:val="both"/>
        <w:rPr>
          <w:rFonts w:ascii="Arial" w:hAnsi="Arial" w:cs="Arial"/>
          <w:sz w:val="22"/>
        </w:rPr>
      </w:pPr>
    </w:p>
    <w:p w14:paraId="5DB260EF" w14:textId="10FF1D9B" w:rsidR="00D82B27" w:rsidRDefault="00D82B27" w:rsidP="00142268">
      <w:pPr>
        <w:ind w:left="708" w:right="558"/>
        <w:jc w:val="both"/>
        <w:rPr>
          <w:rFonts w:ascii="Arial" w:eastAsia="Calibri" w:hAnsi="Arial" w:cs="Arial"/>
          <w:color w:val="181818"/>
          <w:sz w:val="21"/>
          <w:szCs w:val="21"/>
          <w:lang w:val="es-ES"/>
        </w:rPr>
      </w:pPr>
      <w:r w:rsidRPr="00FF6248">
        <w:rPr>
          <w:rFonts w:ascii="Arial" w:hAnsi="Arial" w:cs="Arial"/>
          <w:sz w:val="21"/>
          <w:szCs w:val="21"/>
        </w:rPr>
        <w:t>[…] no sólo tiene trascendencia durante el procedimiento precontractual, sino que incide en las etapas ulteriores a este, a tal punto que, si el contratista</w:t>
      </w:r>
      <w:r w:rsidRPr="00FF6248">
        <w:rPr>
          <w:rFonts w:ascii="Arial" w:eastAsia="Calibri" w:hAnsi="Arial" w:cs="Arial"/>
          <w:color w:val="181818"/>
          <w:sz w:val="21"/>
          <w:szCs w:val="21"/>
          <w:lang w:val="es-ES"/>
        </w:rPr>
        <w:t xml:space="preserve"> desde esta etapa conocía de</w:t>
      </w:r>
      <w:r w:rsidRPr="00604B29">
        <w:rPr>
          <w:rFonts w:ascii="Arial" w:eastAsia="Calibri" w:hAnsi="Arial" w:cs="Arial"/>
          <w:color w:val="181818"/>
          <w:sz w:val="21"/>
          <w:szCs w:val="21"/>
          <w:lang w:val="es-ES"/>
        </w:rPr>
        <w:t xml:space="preserv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604B29">
        <w:rPr>
          <w:rFonts w:ascii="Arial" w:eastAsia="Calibri" w:hAnsi="Arial" w:cs="Arial"/>
          <w:color w:val="181818"/>
          <w:sz w:val="21"/>
          <w:szCs w:val="21"/>
          <w:vertAlign w:val="superscript"/>
          <w:lang w:val="es-ES"/>
        </w:rPr>
        <w:footnoteReference w:id="6"/>
      </w:r>
      <w:r w:rsidRPr="00604B29">
        <w:rPr>
          <w:rFonts w:ascii="Arial" w:eastAsia="Calibri" w:hAnsi="Arial" w:cs="Arial"/>
          <w:color w:val="181818"/>
          <w:sz w:val="21"/>
          <w:szCs w:val="21"/>
          <w:lang w:val="es-ES"/>
        </w:rPr>
        <w:t xml:space="preserve">. </w:t>
      </w:r>
    </w:p>
    <w:p w14:paraId="261F81BA" w14:textId="77777777" w:rsidR="00142268" w:rsidRPr="00FF6248" w:rsidRDefault="00142268" w:rsidP="00DD55C9">
      <w:pPr>
        <w:ind w:left="708" w:right="558"/>
        <w:jc w:val="both"/>
        <w:rPr>
          <w:rFonts w:ascii="Arial" w:eastAsia="Calibri" w:hAnsi="Arial" w:cs="Arial"/>
          <w:color w:val="181818"/>
          <w:sz w:val="21"/>
          <w:szCs w:val="21"/>
          <w:lang w:val="es-ES"/>
        </w:rPr>
      </w:pPr>
    </w:p>
    <w:p w14:paraId="169E91B3" w14:textId="5403F6D7" w:rsidR="00D82B27" w:rsidRPr="00FF6248" w:rsidRDefault="00D82B27" w:rsidP="00DD55C9">
      <w:pPr>
        <w:spacing w:line="276" w:lineRule="auto"/>
        <w:ind w:firstLine="708"/>
        <w:jc w:val="both"/>
        <w:rPr>
          <w:rFonts w:ascii="Arial" w:eastAsia="Calibri" w:hAnsi="Arial" w:cs="Arial"/>
          <w:color w:val="181818"/>
          <w:sz w:val="22"/>
          <w:lang w:val="es-ES"/>
        </w:rPr>
      </w:pPr>
      <w:r w:rsidRPr="00FF6248">
        <w:rPr>
          <w:rFonts w:ascii="Arial" w:eastAsia="Calibri" w:hAnsi="Arial" w:cs="Arial"/>
          <w:color w:val="181818"/>
          <w:sz w:val="22"/>
          <w:lang w:val="es-ES"/>
        </w:rPr>
        <w:t xml:space="preserve">Conforme a lo anterior, </w:t>
      </w:r>
      <w:r w:rsidR="00142268">
        <w:rPr>
          <w:rFonts w:ascii="Arial" w:eastAsia="Calibri" w:hAnsi="Arial" w:cs="Arial"/>
          <w:color w:val="181818"/>
          <w:sz w:val="22"/>
          <w:lang w:val="es-ES"/>
        </w:rPr>
        <w:t>la jurisprudencia</w:t>
      </w:r>
      <w:r w:rsidRPr="00FF6248">
        <w:rPr>
          <w:rFonts w:ascii="Arial" w:eastAsia="Calibri" w:hAnsi="Arial" w:cs="Arial"/>
          <w:color w:val="181818"/>
          <w:sz w:val="22"/>
          <w:lang w:val="es-ES"/>
        </w:rPr>
        <w:t xml:space="preserve"> reconoce la importancia de visitar la obra y la capacidad de las entidades de </w:t>
      </w:r>
      <w:r w:rsidR="00142268">
        <w:rPr>
          <w:rFonts w:ascii="Arial" w:eastAsia="Calibri" w:hAnsi="Arial" w:cs="Arial"/>
          <w:color w:val="181818"/>
          <w:sz w:val="22"/>
          <w:lang w:val="es-ES"/>
        </w:rPr>
        <w:t>exigirla</w:t>
      </w:r>
      <w:r w:rsidRPr="00FF6248">
        <w:rPr>
          <w:rFonts w:ascii="Arial" w:eastAsia="Calibri" w:hAnsi="Arial" w:cs="Arial"/>
          <w:color w:val="181818"/>
          <w:sz w:val="22"/>
          <w:lang w:val="es-ES"/>
        </w:rPr>
        <w:t xml:space="preserve"> como requisito habilitante</w:t>
      </w:r>
      <w:r w:rsidR="00142268">
        <w:rPr>
          <w:rFonts w:ascii="Arial" w:eastAsia="Calibri" w:hAnsi="Arial" w:cs="Arial"/>
          <w:color w:val="181818"/>
          <w:sz w:val="22"/>
          <w:lang w:val="es-ES"/>
        </w:rPr>
        <w:t xml:space="preserve"> en los pliegos de condiciones, pues permite que</w:t>
      </w:r>
      <w:r w:rsidRPr="00FF6248">
        <w:rPr>
          <w:rFonts w:ascii="Arial" w:eastAsia="Calibri" w:hAnsi="Arial" w:cs="Arial"/>
          <w:color w:val="181818"/>
          <w:sz w:val="22"/>
          <w:lang w:val="es-ES"/>
        </w:rPr>
        <w:t xml:space="preserve"> los </w:t>
      </w:r>
      <w:r w:rsidR="00142268">
        <w:rPr>
          <w:rFonts w:ascii="Arial" w:eastAsia="Calibri" w:hAnsi="Arial" w:cs="Arial"/>
          <w:color w:val="181818"/>
          <w:sz w:val="22"/>
          <w:lang w:val="es-ES"/>
        </w:rPr>
        <w:t>proponentes</w:t>
      </w:r>
      <w:r w:rsidR="00142268" w:rsidRPr="00FF6248">
        <w:rPr>
          <w:rFonts w:ascii="Arial" w:eastAsia="Calibri" w:hAnsi="Arial" w:cs="Arial"/>
          <w:color w:val="181818"/>
          <w:sz w:val="22"/>
          <w:lang w:val="es-ES"/>
        </w:rPr>
        <w:t xml:space="preserve"> </w:t>
      </w:r>
      <w:r w:rsidRPr="00FF6248">
        <w:rPr>
          <w:rFonts w:ascii="Arial" w:eastAsia="Calibri" w:hAnsi="Arial" w:cs="Arial"/>
          <w:color w:val="181818"/>
          <w:sz w:val="22"/>
          <w:lang w:val="es-ES"/>
        </w:rPr>
        <w:t xml:space="preserve">conozcan e inspeccionen la zona para </w:t>
      </w:r>
      <w:r w:rsidRPr="00FF6248">
        <w:rPr>
          <w:rFonts w:ascii="Arial" w:eastAsia="Calibri" w:hAnsi="Arial" w:cs="Arial"/>
          <w:color w:val="181818"/>
          <w:sz w:val="22"/>
          <w:lang w:val="es-ES"/>
        </w:rPr>
        <w:lastRenderedPageBreak/>
        <w:t xml:space="preserve">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14:paraId="5C4847F5" w14:textId="21AD75A5" w:rsidR="00D82B27" w:rsidRPr="00FF6248" w:rsidRDefault="00142268" w:rsidP="00FF6248">
      <w:pPr>
        <w:spacing w:before="120" w:line="276" w:lineRule="auto"/>
        <w:ind w:firstLine="708"/>
        <w:jc w:val="both"/>
        <w:rPr>
          <w:rFonts w:ascii="Arial" w:eastAsia="Calibri" w:hAnsi="Arial" w:cs="Arial"/>
          <w:color w:val="181818"/>
          <w:sz w:val="22"/>
          <w:lang w:val="es-ES"/>
        </w:rPr>
      </w:pPr>
      <w:r>
        <w:rPr>
          <w:rFonts w:ascii="Arial" w:eastAsia="Calibri" w:hAnsi="Arial" w:cs="Arial"/>
          <w:color w:val="181818"/>
          <w:sz w:val="22"/>
          <w:lang w:val="es-ES"/>
        </w:rPr>
        <w:t>Pese a</w:t>
      </w:r>
      <w:r w:rsidR="00D82B27" w:rsidRPr="00FF6248">
        <w:rPr>
          <w:rFonts w:ascii="Arial" w:eastAsia="Calibri" w:hAnsi="Arial" w:cs="Arial"/>
          <w:color w:val="181818"/>
          <w:sz w:val="22"/>
          <w:lang w:val="es-ES"/>
        </w:rPr>
        <w:t xml:space="preserve"> lo anterior, </w:t>
      </w:r>
      <w:r w:rsidR="00AD002D">
        <w:rPr>
          <w:rFonts w:ascii="Arial" w:eastAsia="Calibri" w:hAnsi="Arial" w:cs="Arial"/>
          <w:color w:val="181818"/>
          <w:sz w:val="22"/>
          <w:lang w:val="es-ES"/>
        </w:rPr>
        <w:t>no es posible</w:t>
      </w:r>
      <w:r w:rsidR="00D82B27" w:rsidRPr="00FF6248">
        <w:rPr>
          <w:rFonts w:ascii="Arial" w:eastAsia="Calibri" w:hAnsi="Arial" w:cs="Arial"/>
          <w:color w:val="181818"/>
          <w:sz w:val="22"/>
          <w:lang w:val="es-ES"/>
        </w:rPr>
        <w:t xml:space="preserve"> establecer condiciones arbitrarias al exigir la visita de la obra. </w:t>
      </w:r>
      <w:r w:rsidR="00AD002D">
        <w:rPr>
          <w:rFonts w:ascii="Arial" w:eastAsia="Calibri" w:hAnsi="Arial" w:cs="Arial"/>
          <w:color w:val="181818"/>
          <w:sz w:val="22"/>
          <w:lang w:val="es-ES"/>
        </w:rPr>
        <w:t>Por ejemplo</w:t>
      </w:r>
      <w:r w:rsidR="00D82B27" w:rsidRPr="00FF6248">
        <w:rPr>
          <w:rFonts w:ascii="Arial" w:eastAsia="Calibri" w:hAnsi="Arial" w:cs="Arial"/>
          <w:color w:val="181818"/>
          <w:sz w:val="22"/>
          <w:lang w:val="es-ES"/>
        </w:rPr>
        <w:t xml:space="preserve">, en </w:t>
      </w:r>
      <w:r w:rsidR="00AD002D">
        <w:rPr>
          <w:rFonts w:ascii="Arial" w:eastAsia="Calibri" w:hAnsi="Arial" w:cs="Arial"/>
          <w:color w:val="181818"/>
          <w:sz w:val="22"/>
          <w:lang w:val="es-ES"/>
        </w:rPr>
        <w:t>S</w:t>
      </w:r>
      <w:r w:rsidR="00D82B27" w:rsidRPr="00FF6248">
        <w:rPr>
          <w:rFonts w:ascii="Arial" w:eastAsia="Calibri" w:hAnsi="Arial" w:cs="Arial"/>
          <w:color w:val="181818"/>
          <w:sz w:val="22"/>
          <w:lang w:val="es-ES"/>
        </w:rPr>
        <w:t>entencia del 14 de febrero de 2018</w:t>
      </w:r>
      <w:r w:rsidR="00AD002D">
        <w:rPr>
          <w:rFonts w:ascii="Arial" w:eastAsia="Calibri" w:hAnsi="Arial" w:cs="Arial"/>
          <w:color w:val="181818"/>
          <w:sz w:val="22"/>
          <w:lang w:val="es-ES"/>
        </w:rPr>
        <w:t>,</w:t>
      </w:r>
      <w:r w:rsidR="00D82B27" w:rsidRPr="00FF6248">
        <w:rPr>
          <w:rFonts w:ascii="Arial" w:eastAsia="Calibri" w:hAnsi="Arial" w:cs="Arial"/>
          <w:color w:val="181818"/>
          <w:sz w:val="22"/>
          <w:lang w:val="es-ES"/>
        </w:rPr>
        <w:t xml:space="preserve"> el Consejo de Estado </w:t>
      </w:r>
      <w:r w:rsidR="007F32D7">
        <w:rPr>
          <w:rFonts w:ascii="Arial" w:eastAsia="Calibri" w:hAnsi="Arial" w:cs="Arial"/>
          <w:color w:val="181818"/>
          <w:sz w:val="22"/>
          <w:lang w:val="es-ES"/>
        </w:rPr>
        <w:t>considera irrazonable</w:t>
      </w:r>
      <w:r w:rsidR="007F32D7" w:rsidRPr="00FF6248">
        <w:rPr>
          <w:rFonts w:ascii="Arial" w:eastAsia="Calibri" w:hAnsi="Arial" w:cs="Arial"/>
          <w:color w:val="181818"/>
          <w:sz w:val="22"/>
          <w:lang w:val="es-ES"/>
        </w:rPr>
        <w:t xml:space="preserve"> </w:t>
      </w:r>
      <w:r w:rsidR="00D82B27" w:rsidRPr="00FF6248">
        <w:rPr>
          <w:rFonts w:ascii="Arial" w:eastAsia="Calibri" w:hAnsi="Arial" w:cs="Arial"/>
          <w:color w:val="181818"/>
          <w:sz w:val="22"/>
          <w:lang w:val="es-ES"/>
        </w:rPr>
        <w:t xml:space="preserve">que solo la pueda realizar el representante legal de la persona jurídica, por ser una medida desproporcionada que limita la posibilidad </w:t>
      </w:r>
      <w:r w:rsidR="007F32D7">
        <w:rPr>
          <w:rFonts w:ascii="Arial" w:eastAsia="Calibri" w:hAnsi="Arial" w:cs="Arial"/>
          <w:color w:val="181818"/>
          <w:sz w:val="22"/>
          <w:lang w:val="es-ES"/>
        </w:rPr>
        <w:t>de que</w:t>
      </w:r>
      <w:r w:rsidR="00D82B27" w:rsidRPr="00FF6248">
        <w:rPr>
          <w:rFonts w:ascii="Arial" w:eastAsia="Calibri" w:hAnsi="Arial" w:cs="Arial"/>
          <w:color w:val="181818"/>
          <w:sz w:val="22"/>
          <w:lang w:val="es-ES"/>
        </w:rPr>
        <w:t xml:space="preserve"> actúe a través de un </w:t>
      </w:r>
      <w:r w:rsidR="007F32D7">
        <w:rPr>
          <w:rFonts w:ascii="Arial" w:eastAsia="Calibri" w:hAnsi="Arial" w:cs="Arial"/>
          <w:color w:val="181818"/>
          <w:sz w:val="22"/>
          <w:lang w:val="es-ES"/>
        </w:rPr>
        <w:t>mandatario</w:t>
      </w:r>
      <w:r w:rsidR="00D82B27" w:rsidRPr="00FF6248">
        <w:rPr>
          <w:rFonts w:ascii="Arial" w:eastAsia="Calibri" w:hAnsi="Arial" w:cs="Arial"/>
          <w:color w:val="181818"/>
          <w:sz w:val="22"/>
          <w:lang w:val="es-ES"/>
        </w:rPr>
        <w:t xml:space="preserve">. De esta forma, </w:t>
      </w:r>
      <w:r w:rsidR="007F32D7">
        <w:rPr>
          <w:rFonts w:ascii="Arial" w:eastAsia="Calibri" w:hAnsi="Arial" w:cs="Arial"/>
          <w:color w:val="181818"/>
          <w:sz w:val="22"/>
          <w:lang w:val="es-ES"/>
        </w:rPr>
        <w:t>explica</w:t>
      </w:r>
      <w:r w:rsidR="00D82B27" w:rsidRPr="00FF6248">
        <w:rPr>
          <w:rFonts w:ascii="Arial" w:eastAsia="Calibri" w:hAnsi="Arial" w:cs="Arial"/>
          <w:color w:val="181818"/>
          <w:sz w:val="22"/>
          <w:lang w:val="es-ES"/>
        </w:rPr>
        <w:t xml:space="preserve"> que si bien la vista de la obra garantiza </w:t>
      </w:r>
      <w:r w:rsidR="007F32D7">
        <w:rPr>
          <w:rFonts w:ascii="Arial" w:eastAsia="Calibri" w:hAnsi="Arial" w:cs="Arial"/>
          <w:color w:val="181818"/>
          <w:sz w:val="22"/>
          <w:lang w:val="es-ES"/>
        </w:rPr>
        <w:t>la presentación de</w:t>
      </w:r>
      <w:r w:rsidR="007F32D7" w:rsidRPr="00FF6248">
        <w:rPr>
          <w:rFonts w:ascii="Arial" w:eastAsia="Calibri" w:hAnsi="Arial" w:cs="Arial"/>
          <w:color w:val="181818"/>
          <w:sz w:val="22"/>
          <w:lang w:val="es-ES"/>
        </w:rPr>
        <w:t xml:space="preserve"> </w:t>
      </w:r>
      <w:r w:rsidR="00D82B27" w:rsidRPr="00FF6248">
        <w:rPr>
          <w:rFonts w:ascii="Arial" w:eastAsia="Calibri" w:hAnsi="Arial" w:cs="Arial"/>
          <w:color w:val="181818"/>
          <w:sz w:val="22"/>
          <w:lang w:val="es-ES"/>
        </w:rPr>
        <w:t xml:space="preserve">ofertas idóneas, en ningún caso se podrá utilizar para descalificar una </w:t>
      </w:r>
      <w:r w:rsidR="007F32D7">
        <w:rPr>
          <w:rFonts w:ascii="Arial" w:eastAsia="Calibri" w:hAnsi="Arial" w:cs="Arial"/>
          <w:color w:val="181818"/>
          <w:sz w:val="22"/>
          <w:lang w:val="es-ES"/>
        </w:rPr>
        <w:t>propuesta</w:t>
      </w:r>
      <w:r w:rsidR="007F32D7" w:rsidRPr="00FF6248">
        <w:rPr>
          <w:rFonts w:ascii="Arial" w:eastAsia="Calibri" w:hAnsi="Arial" w:cs="Arial"/>
          <w:color w:val="181818"/>
          <w:sz w:val="22"/>
          <w:lang w:val="es-ES"/>
        </w:rPr>
        <w:t xml:space="preserve"> </w:t>
      </w:r>
      <w:r w:rsidR="00D82B27" w:rsidRPr="00FF6248">
        <w:rPr>
          <w:rFonts w:ascii="Arial" w:eastAsia="Calibri" w:hAnsi="Arial" w:cs="Arial"/>
          <w:color w:val="181818"/>
          <w:sz w:val="22"/>
          <w:lang w:val="es-ES"/>
        </w:rPr>
        <w:t>por exigir que deba realizar</w:t>
      </w:r>
      <w:r w:rsidR="007F32D7">
        <w:rPr>
          <w:rFonts w:ascii="Arial" w:eastAsia="Calibri" w:hAnsi="Arial" w:cs="Arial"/>
          <w:color w:val="181818"/>
          <w:sz w:val="22"/>
          <w:lang w:val="es-ES"/>
        </w:rPr>
        <w:t>la</w:t>
      </w:r>
      <w:r w:rsidR="00D82B27" w:rsidRPr="00FF6248">
        <w:rPr>
          <w:rFonts w:ascii="Arial" w:eastAsia="Calibri" w:hAnsi="Arial" w:cs="Arial"/>
          <w:color w:val="181818"/>
          <w:sz w:val="22"/>
          <w:lang w:val="es-ES"/>
        </w:rPr>
        <w:t xml:space="preserve"> el representante legal de la persona jurídica</w:t>
      </w:r>
      <w:r w:rsidR="00D82B27" w:rsidRPr="00DD55C9">
        <w:rPr>
          <w:rFonts w:ascii="Arial" w:eastAsia="Calibri" w:hAnsi="Arial" w:cs="Arial"/>
          <w:color w:val="181818"/>
          <w:sz w:val="22"/>
          <w:vertAlign w:val="superscript"/>
          <w:lang w:val="es-ES"/>
        </w:rPr>
        <w:footnoteReference w:id="7"/>
      </w:r>
      <w:r w:rsidR="00D82B27" w:rsidRPr="00FF6248">
        <w:rPr>
          <w:rFonts w:ascii="Arial" w:eastAsia="Calibri" w:hAnsi="Arial" w:cs="Arial"/>
          <w:color w:val="181818"/>
          <w:sz w:val="22"/>
          <w:lang w:val="es-ES"/>
        </w:rPr>
        <w:t xml:space="preserve">.  </w:t>
      </w:r>
    </w:p>
    <w:p w14:paraId="5E24EDC0" w14:textId="75627BB9" w:rsidR="00D82B27" w:rsidRPr="00FF6248" w:rsidRDefault="00D82B27" w:rsidP="00FF6248">
      <w:pPr>
        <w:spacing w:before="120" w:line="276" w:lineRule="auto"/>
        <w:ind w:firstLine="709"/>
        <w:jc w:val="both"/>
        <w:rPr>
          <w:rFonts w:ascii="Arial" w:eastAsia="Calibri" w:hAnsi="Arial" w:cs="Arial"/>
          <w:color w:val="181818"/>
          <w:sz w:val="22"/>
          <w:lang w:val="es-ES"/>
        </w:rPr>
      </w:pPr>
      <w:r w:rsidRPr="00FF6248">
        <w:rPr>
          <w:rFonts w:ascii="Arial" w:eastAsia="Calibri" w:hAnsi="Arial" w:cs="Arial"/>
          <w:color w:val="181818"/>
          <w:sz w:val="22"/>
          <w:lang w:val="es-ES"/>
        </w:rPr>
        <w:t xml:space="preserve">Con </w:t>
      </w:r>
      <w:r w:rsidR="007F32D7">
        <w:rPr>
          <w:rFonts w:ascii="Arial" w:eastAsia="Calibri" w:hAnsi="Arial" w:cs="Arial"/>
          <w:color w:val="181818"/>
          <w:sz w:val="22"/>
          <w:lang w:val="es-ES"/>
        </w:rPr>
        <w:t>fundamento</w:t>
      </w:r>
      <w:r w:rsidRPr="00FF6248">
        <w:rPr>
          <w:rFonts w:ascii="Arial" w:eastAsia="Calibri" w:hAnsi="Arial" w:cs="Arial"/>
          <w:color w:val="181818"/>
          <w:sz w:val="22"/>
          <w:lang w:val="es-ES"/>
        </w:rPr>
        <w:t xml:space="preserve"> en lo anterior, la exigencia de la visita </w:t>
      </w:r>
      <w:r w:rsidR="007F32D7">
        <w:rPr>
          <w:rFonts w:ascii="Arial" w:eastAsia="Calibri" w:hAnsi="Arial" w:cs="Arial"/>
          <w:color w:val="181818"/>
          <w:sz w:val="22"/>
          <w:lang w:val="es-ES"/>
        </w:rPr>
        <w:t>al sitio de</w:t>
      </w:r>
      <w:r w:rsidRPr="00FF6248">
        <w:rPr>
          <w:rFonts w:ascii="Arial" w:eastAsia="Calibri" w:hAnsi="Arial" w:cs="Arial"/>
          <w:color w:val="181818"/>
          <w:sz w:val="22"/>
          <w:lang w:val="es-ES"/>
        </w:rPr>
        <w:t xml:space="preserve"> la obra es viable y útil siempre </w:t>
      </w:r>
      <w:r w:rsidR="007F32D7">
        <w:rPr>
          <w:rFonts w:ascii="Arial" w:eastAsia="Calibri" w:hAnsi="Arial" w:cs="Arial"/>
          <w:color w:val="181818"/>
          <w:sz w:val="22"/>
          <w:lang w:val="es-ES"/>
        </w:rPr>
        <w:t>que</w:t>
      </w:r>
      <w:r w:rsidRPr="00FF6248">
        <w:rPr>
          <w:rFonts w:ascii="Arial" w:eastAsia="Calibri" w:hAnsi="Arial" w:cs="Arial"/>
          <w:color w:val="181818"/>
          <w:sz w:val="22"/>
          <w:lang w:val="es-ES"/>
        </w:rPr>
        <w:t xml:space="preserve"> se fijen reglas claras y proporcionales que eviten el direccionamiento de los contratos. En este sentido, la Agencia Nacional de Contratación Pública, de acuerdo con lo señalado por </w:t>
      </w:r>
      <w:r w:rsidR="007F32D7">
        <w:rPr>
          <w:rFonts w:ascii="Arial" w:eastAsia="Calibri" w:hAnsi="Arial" w:cs="Arial"/>
          <w:color w:val="181818"/>
          <w:sz w:val="22"/>
          <w:lang w:val="es-ES"/>
        </w:rPr>
        <w:t>la jurisprudencia y los órganos de control</w:t>
      </w:r>
      <w:r w:rsidRPr="00FF6248">
        <w:rPr>
          <w:rFonts w:ascii="Arial" w:eastAsia="Calibri" w:hAnsi="Arial" w:cs="Arial"/>
          <w:color w:val="181818"/>
          <w:sz w:val="22"/>
          <w:lang w:val="es-ES"/>
        </w:rPr>
        <w:t xml:space="preserve">, </w:t>
      </w:r>
      <w:r w:rsidR="007F32D7">
        <w:rPr>
          <w:rFonts w:ascii="Arial" w:eastAsia="Calibri" w:hAnsi="Arial" w:cs="Arial"/>
          <w:color w:val="181818"/>
          <w:sz w:val="22"/>
          <w:lang w:val="es-ES"/>
        </w:rPr>
        <w:t>atendiendo a</w:t>
      </w:r>
      <w:r w:rsidRPr="00FF6248">
        <w:rPr>
          <w:rFonts w:ascii="Arial" w:eastAsia="Calibri" w:hAnsi="Arial" w:cs="Arial"/>
          <w:color w:val="181818"/>
          <w:sz w:val="22"/>
          <w:lang w:val="es-ES"/>
        </w:rPr>
        <w:t xml:space="preserve"> las preocupaciones expresadas por la ciudadanía, estableció </w:t>
      </w:r>
      <w:r w:rsidR="007F32D7" w:rsidRPr="00FF6248">
        <w:rPr>
          <w:rFonts w:ascii="Arial" w:eastAsia="Calibri" w:hAnsi="Arial" w:cs="Arial"/>
          <w:color w:val="181818"/>
          <w:sz w:val="22"/>
          <w:lang w:val="es-ES"/>
        </w:rPr>
        <w:t xml:space="preserve">las siguientes reglas </w:t>
      </w:r>
      <w:r w:rsidRPr="00FF6248">
        <w:rPr>
          <w:rFonts w:ascii="Arial" w:eastAsia="Calibri" w:hAnsi="Arial" w:cs="Arial"/>
          <w:color w:val="181818"/>
          <w:sz w:val="22"/>
          <w:lang w:val="es-ES"/>
        </w:rPr>
        <w:t xml:space="preserve">en la segunda versión de los </w:t>
      </w:r>
      <w:r w:rsidR="002A3692">
        <w:rPr>
          <w:rFonts w:ascii="Arial" w:eastAsia="Calibri" w:hAnsi="Arial" w:cs="Arial"/>
          <w:color w:val="181818"/>
          <w:sz w:val="22"/>
          <w:lang w:val="es-ES"/>
        </w:rPr>
        <w:t>«</w:t>
      </w:r>
      <w:r w:rsidRPr="00FF6248">
        <w:rPr>
          <w:rFonts w:ascii="Arial" w:eastAsia="Calibri" w:hAnsi="Arial" w:cs="Arial"/>
          <w:color w:val="181818"/>
          <w:sz w:val="22"/>
          <w:lang w:val="es-ES"/>
        </w:rPr>
        <w:t>Documentos Tipo</w:t>
      </w:r>
      <w:r w:rsidR="002A3692">
        <w:rPr>
          <w:rFonts w:ascii="Arial" w:eastAsia="Calibri" w:hAnsi="Arial" w:cs="Arial"/>
          <w:color w:val="181818"/>
          <w:sz w:val="22"/>
          <w:lang w:val="es-ES"/>
        </w:rPr>
        <w:t>»</w:t>
      </w:r>
      <w:r w:rsidRPr="00FF6248">
        <w:rPr>
          <w:rFonts w:ascii="Arial" w:eastAsia="Calibri" w:hAnsi="Arial" w:cs="Arial"/>
          <w:color w:val="181818"/>
          <w:sz w:val="22"/>
          <w:lang w:val="es-ES"/>
        </w:rPr>
        <w:t xml:space="preserve"> para evitar un uso desproporcionado e irracional</w:t>
      </w:r>
      <w:r w:rsidR="007F32D7">
        <w:rPr>
          <w:rFonts w:ascii="Arial" w:eastAsia="Calibri" w:hAnsi="Arial" w:cs="Arial"/>
          <w:color w:val="181818"/>
          <w:sz w:val="22"/>
          <w:lang w:val="es-ES"/>
        </w:rPr>
        <w:t xml:space="preserve"> de este requisito</w:t>
      </w:r>
      <w:r w:rsidRPr="00FF6248">
        <w:rPr>
          <w:rFonts w:ascii="Arial" w:eastAsia="Calibri" w:hAnsi="Arial" w:cs="Arial"/>
          <w:color w:val="181818"/>
          <w:sz w:val="22"/>
          <w:lang w:val="es-ES"/>
        </w:rPr>
        <w:t xml:space="preserve">: </w:t>
      </w:r>
    </w:p>
    <w:p w14:paraId="36B63ED2" w14:textId="77777777" w:rsidR="00FF6248" w:rsidRPr="00D353C3" w:rsidRDefault="00D82B27" w:rsidP="00FF6248">
      <w:pPr>
        <w:spacing w:before="120" w:after="120" w:line="276" w:lineRule="auto"/>
        <w:ind w:firstLine="709"/>
        <w:jc w:val="both"/>
        <w:rPr>
          <w:rFonts w:ascii="Arial" w:eastAsia="Calibri" w:hAnsi="Arial" w:cs="Arial"/>
          <w:color w:val="181818"/>
          <w:sz w:val="22"/>
          <w:lang w:val="es-ES"/>
        </w:rPr>
      </w:pPr>
      <w:r w:rsidRPr="00604B29">
        <w:rPr>
          <w:rFonts w:ascii="Arial" w:eastAsia="Calibri" w:hAnsi="Arial" w:cs="Arial"/>
          <w:color w:val="181818"/>
          <w:lang w:val="es-ES"/>
        </w:rPr>
        <w:t xml:space="preserve">i) La </w:t>
      </w:r>
      <w:r w:rsidRPr="00D353C3">
        <w:rPr>
          <w:rFonts w:ascii="Arial" w:eastAsia="Calibri" w:hAnsi="Arial" w:cs="Arial"/>
          <w:color w:val="181818"/>
          <w:sz w:val="22"/>
          <w:lang w:val="es-ES"/>
        </w:rPr>
        <w:t>entidad incluirá este requisito cuando en los estudios previos se justifique su necesidad.</w:t>
      </w:r>
    </w:p>
    <w:p w14:paraId="0AB30A2F" w14:textId="4DF3A1BE" w:rsidR="00FF6248" w:rsidRPr="00D353C3" w:rsidRDefault="00D82B27" w:rsidP="00FF6248">
      <w:pPr>
        <w:spacing w:before="120" w:after="120" w:line="276" w:lineRule="auto"/>
        <w:ind w:firstLine="709"/>
        <w:jc w:val="both"/>
        <w:rPr>
          <w:rFonts w:ascii="Arial" w:eastAsia="Calibri" w:hAnsi="Arial" w:cs="Arial"/>
          <w:color w:val="181818"/>
          <w:sz w:val="22"/>
          <w:lang w:val="es-ES"/>
        </w:rPr>
      </w:pPr>
      <w:r w:rsidRPr="00D353C3">
        <w:rPr>
          <w:rFonts w:ascii="Arial" w:eastAsia="Calibri" w:hAnsi="Arial" w:cs="Arial"/>
          <w:color w:val="181818"/>
          <w:sz w:val="22"/>
          <w:lang w:val="es-ES"/>
        </w:rPr>
        <w:t xml:space="preserve">ii) Desde la publicación del «proyecto de pliego» de condiciones se </w:t>
      </w:r>
      <w:r w:rsidR="002A3692">
        <w:rPr>
          <w:rFonts w:ascii="Arial" w:eastAsia="Calibri" w:hAnsi="Arial" w:cs="Arial"/>
          <w:color w:val="181818"/>
          <w:sz w:val="22"/>
          <w:lang w:val="es-ES"/>
        </w:rPr>
        <w:t>define</w:t>
      </w:r>
      <w:r w:rsidRPr="00D353C3">
        <w:rPr>
          <w:rFonts w:ascii="Arial" w:eastAsia="Calibri" w:hAnsi="Arial" w:cs="Arial"/>
          <w:color w:val="181818"/>
          <w:sz w:val="22"/>
          <w:lang w:val="es-ES"/>
        </w:rPr>
        <w:t xml:space="preserve"> si es obligatorio o no asistir a la visita, </w:t>
      </w:r>
      <w:r w:rsidR="002A3692">
        <w:rPr>
          <w:rFonts w:ascii="Arial" w:eastAsia="Calibri" w:hAnsi="Arial" w:cs="Arial"/>
          <w:color w:val="181818"/>
          <w:sz w:val="22"/>
          <w:lang w:val="es-ES"/>
        </w:rPr>
        <w:t>lo cual</w:t>
      </w:r>
      <w:r w:rsidRPr="00D353C3">
        <w:rPr>
          <w:rFonts w:ascii="Arial" w:eastAsia="Calibri" w:hAnsi="Arial" w:cs="Arial"/>
          <w:color w:val="181818"/>
          <w:sz w:val="22"/>
          <w:lang w:val="es-ES"/>
        </w:rPr>
        <w:t xml:space="preserve"> significa que no es posible incluirla </w:t>
      </w:r>
      <w:r w:rsidR="002A3692">
        <w:rPr>
          <w:rFonts w:ascii="Arial" w:eastAsia="Calibri" w:hAnsi="Arial" w:cs="Arial"/>
          <w:color w:val="181818"/>
          <w:sz w:val="22"/>
          <w:lang w:val="es-ES"/>
        </w:rPr>
        <w:t>a partir</w:t>
      </w:r>
      <w:r w:rsidR="002A3692" w:rsidRPr="00D353C3">
        <w:rPr>
          <w:rFonts w:ascii="Arial" w:eastAsia="Calibri" w:hAnsi="Arial" w:cs="Arial"/>
          <w:color w:val="181818"/>
          <w:sz w:val="22"/>
          <w:lang w:val="es-ES"/>
        </w:rPr>
        <w:t xml:space="preserve"> </w:t>
      </w:r>
      <w:r w:rsidR="002A3692">
        <w:rPr>
          <w:rFonts w:ascii="Arial" w:eastAsia="Calibri" w:hAnsi="Arial" w:cs="Arial"/>
          <w:color w:val="181818"/>
          <w:sz w:val="22"/>
          <w:lang w:val="es-ES"/>
        </w:rPr>
        <w:t>d</w:t>
      </w:r>
      <w:r w:rsidRPr="00D353C3">
        <w:rPr>
          <w:rFonts w:ascii="Arial" w:eastAsia="Calibri" w:hAnsi="Arial" w:cs="Arial"/>
          <w:color w:val="181818"/>
          <w:sz w:val="22"/>
          <w:lang w:val="es-ES"/>
        </w:rPr>
        <w:t>el «pliego definitivo».</w:t>
      </w:r>
    </w:p>
    <w:p w14:paraId="3C1E1AAF" w14:textId="1690DE67" w:rsidR="00FF6248" w:rsidRPr="00D353C3" w:rsidRDefault="00D82B27" w:rsidP="00FF6248">
      <w:pPr>
        <w:spacing w:before="120" w:after="120" w:line="276" w:lineRule="auto"/>
        <w:ind w:firstLine="709"/>
        <w:jc w:val="both"/>
        <w:rPr>
          <w:rFonts w:ascii="Arial" w:eastAsia="Calibri" w:hAnsi="Arial" w:cs="Arial"/>
          <w:color w:val="181818"/>
          <w:sz w:val="22"/>
          <w:lang w:val="es-ES"/>
        </w:rPr>
      </w:pPr>
      <w:r w:rsidRPr="00D353C3">
        <w:rPr>
          <w:rFonts w:ascii="Arial" w:eastAsia="Calibri" w:hAnsi="Arial" w:cs="Arial"/>
          <w:color w:val="181818"/>
          <w:sz w:val="22"/>
          <w:lang w:val="es-ES"/>
        </w:rPr>
        <w:t xml:space="preserve">iii) 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w:t>
      </w:r>
      <w:r w:rsidR="002A3692">
        <w:rPr>
          <w:rFonts w:ascii="Arial" w:eastAsia="Calibri" w:hAnsi="Arial" w:cs="Arial"/>
          <w:color w:val="181818"/>
          <w:sz w:val="22"/>
          <w:lang w:val="es-ES"/>
        </w:rPr>
        <w:t>e</w:t>
      </w:r>
      <w:r w:rsidRPr="00D353C3">
        <w:rPr>
          <w:rFonts w:ascii="Arial" w:eastAsia="Calibri" w:hAnsi="Arial" w:cs="Arial"/>
          <w:color w:val="181818"/>
          <w:sz w:val="22"/>
          <w:lang w:val="es-ES"/>
        </w:rPr>
        <w:t xml:space="preserve">ntidad establecerá en el cronograma del proceso la fecha y hora para realizar la visita al sitio de la obra. </w:t>
      </w:r>
    </w:p>
    <w:p w14:paraId="119B605A" w14:textId="77777777" w:rsidR="00FF6248" w:rsidRPr="00D353C3" w:rsidRDefault="00D82B27" w:rsidP="00FF6248">
      <w:pPr>
        <w:spacing w:before="120" w:after="120" w:line="276" w:lineRule="auto"/>
        <w:ind w:firstLine="709"/>
        <w:jc w:val="both"/>
        <w:rPr>
          <w:rFonts w:ascii="Arial" w:eastAsia="Calibri" w:hAnsi="Arial" w:cs="Arial"/>
          <w:color w:val="181818"/>
          <w:sz w:val="22"/>
          <w:lang w:val="es-ES"/>
        </w:rPr>
      </w:pPr>
      <w:r w:rsidRPr="00D353C3">
        <w:rPr>
          <w:rFonts w:ascii="Arial" w:eastAsia="Calibri" w:hAnsi="Arial" w:cs="Arial"/>
          <w:color w:val="181818"/>
          <w:sz w:val="22"/>
          <w:lang w:val="es-ES"/>
        </w:rPr>
        <w:t xml:space="preserve">iv) No es necesario que quien asista sea el representante legal de la persona jurídica o la persona natural que presentará la oferta, por lo que se podrá encomendar la asistencia a cualquier persona que tenga el título de ingeniero, por medio de una </w:t>
      </w:r>
      <w:r w:rsidRPr="00D353C3">
        <w:rPr>
          <w:rFonts w:ascii="Arial" w:eastAsia="Calibri" w:hAnsi="Arial" w:cs="Arial"/>
          <w:color w:val="181818"/>
          <w:sz w:val="22"/>
          <w:lang w:val="es-ES"/>
        </w:rPr>
        <w:lastRenderedPageBreak/>
        <w:t>autorización simple, suscrita por alguno de aquellos, sin necesidad de autenticaciones o presentación personal ante notario.</w:t>
      </w:r>
    </w:p>
    <w:p w14:paraId="009C36E7" w14:textId="77777777" w:rsidR="00FF6248" w:rsidRPr="00D353C3" w:rsidRDefault="00D82B27" w:rsidP="00FF6248">
      <w:pPr>
        <w:spacing w:before="120" w:after="120" w:line="276" w:lineRule="auto"/>
        <w:ind w:firstLine="709"/>
        <w:jc w:val="both"/>
        <w:rPr>
          <w:rFonts w:ascii="Arial" w:eastAsia="Calibri" w:hAnsi="Arial" w:cs="Arial"/>
          <w:color w:val="181818"/>
          <w:sz w:val="22"/>
          <w:lang w:val="es-ES"/>
        </w:rPr>
      </w:pPr>
      <w:r w:rsidRPr="00D353C3">
        <w:rPr>
          <w:rFonts w:ascii="Arial" w:eastAsia="Calibri" w:hAnsi="Arial" w:cs="Arial"/>
          <w:color w:val="181818"/>
          <w:sz w:val="22"/>
          <w:lang w:val="es-ES"/>
        </w:rPr>
        <w:t>v) 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p>
    <w:p w14:paraId="6C7EBF9B" w14:textId="254FC744" w:rsidR="00D82B27" w:rsidRPr="00D353C3" w:rsidRDefault="00D82B27" w:rsidP="00FF6248">
      <w:pPr>
        <w:spacing w:before="120" w:after="120" w:line="276" w:lineRule="auto"/>
        <w:ind w:firstLine="709"/>
        <w:jc w:val="both"/>
        <w:rPr>
          <w:rFonts w:ascii="Arial" w:eastAsia="Calibri" w:hAnsi="Arial" w:cs="Arial"/>
          <w:color w:val="181818"/>
          <w:sz w:val="22"/>
          <w:lang w:val="es-ES"/>
        </w:rPr>
      </w:pPr>
      <w:r w:rsidRPr="00D353C3">
        <w:rPr>
          <w:rFonts w:ascii="Arial" w:eastAsia="Calibri" w:hAnsi="Arial" w:cs="Arial"/>
          <w:color w:val="181818"/>
          <w:sz w:val="22"/>
          <w:lang w:val="es-ES"/>
        </w:rPr>
        <w:t xml:space="preserve">vi) Al momento de establecer la fecha y hora de la visita deberá considerar que: i) no es posible modificar la fecha de la visita al sitio de la obra, salvo por razones de fuerza mayor o caso fortuito; ii) cuando extraordinariamente se cambie, la decisión se adoptará con mínimo un día hábil de antelación a la fecha que se va a modificar, y la visita se reprogramará para una fecha mínimo 7 días hábiles después de la programada inicialmente; y iii) la entidad garantizará las condiciones de seguridad al momento de visitar la zona. </w:t>
      </w:r>
    </w:p>
    <w:p w14:paraId="21F199E3" w14:textId="70FB579C" w:rsidR="006232B4" w:rsidRDefault="0056549A" w:rsidP="006232B4">
      <w:pPr>
        <w:tabs>
          <w:tab w:val="left" w:pos="426"/>
        </w:tabs>
        <w:spacing w:before="120" w:line="276" w:lineRule="auto"/>
        <w:jc w:val="both"/>
        <w:rPr>
          <w:rFonts w:ascii="Arial" w:eastAsia="Calibri" w:hAnsi="Arial" w:cs="Arial"/>
          <w:color w:val="181818"/>
          <w:sz w:val="22"/>
          <w:lang w:val="es-ES"/>
        </w:rPr>
      </w:pPr>
      <w:r w:rsidRPr="0056549A">
        <w:rPr>
          <w:rFonts w:ascii="Arial" w:eastAsia="Calibri" w:hAnsi="Arial" w:cs="Arial"/>
          <w:color w:val="181818"/>
          <w:lang w:val="es-ES"/>
        </w:rPr>
        <w:tab/>
      </w:r>
      <w:r w:rsidR="002A3692">
        <w:rPr>
          <w:rFonts w:ascii="Arial" w:eastAsia="Calibri" w:hAnsi="Arial" w:cs="Arial"/>
          <w:color w:val="181818"/>
          <w:lang w:val="es-ES"/>
        </w:rPr>
        <w:tab/>
      </w:r>
      <w:r w:rsidRPr="00D353C3">
        <w:rPr>
          <w:rFonts w:ascii="Arial" w:eastAsia="Calibri" w:hAnsi="Arial" w:cs="Arial"/>
          <w:color w:val="181818"/>
          <w:sz w:val="22"/>
          <w:lang w:val="es-ES"/>
        </w:rPr>
        <w:t>Ahora usted pregunta: «Para el caso de l</w:t>
      </w:r>
      <w:r w:rsidR="00E807E2">
        <w:rPr>
          <w:rFonts w:ascii="Arial" w:eastAsia="Calibri" w:hAnsi="Arial" w:cs="Arial"/>
          <w:color w:val="181818"/>
          <w:sz w:val="22"/>
          <w:lang w:val="es-ES"/>
        </w:rPr>
        <w:t xml:space="preserve">a </w:t>
      </w:r>
      <w:r w:rsidRPr="00D353C3">
        <w:rPr>
          <w:rFonts w:ascii="Arial" w:eastAsia="Calibri" w:hAnsi="Arial" w:cs="Arial"/>
          <w:color w:val="181818"/>
          <w:sz w:val="22"/>
          <w:lang w:val="es-ES"/>
        </w:rPr>
        <w:t xml:space="preserve">vista obligatoria, </w:t>
      </w:r>
      <w:r w:rsidR="00A6270F">
        <w:rPr>
          <w:rFonts w:ascii="Arial" w:eastAsia="Calibri" w:hAnsi="Arial" w:cs="Arial"/>
          <w:color w:val="181818"/>
          <w:sz w:val="22"/>
          <w:lang w:val="es-ES"/>
        </w:rPr>
        <w:t>¿</w:t>
      </w:r>
      <w:r w:rsidRPr="00D353C3">
        <w:rPr>
          <w:rFonts w:ascii="Arial" w:eastAsia="Calibri" w:hAnsi="Arial" w:cs="Arial"/>
          <w:color w:val="181818"/>
          <w:sz w:val="22"/>
          <w:lang w:val="es-ES"/>
        </w:rPr>
        <w:t>c</w:t>
      </w:r>
      <w:r w:rsidR="00A6270F">
        <w:rPr>
          <w:rFonts w:ascii="Arial" w:eastAsia="Calibri" w:hAnsi="Arial" w:cs="Arial"/>
          <w:color w:val="181818"/>
          <w:sz w:val="22"/>
          <w:lang w:val="es-ES"/>
        </w:rPr>
        <w:t>ó</w:t>
      </w:r>
      <w:r w:rsidRPr="00D353C3">
        <w:rPr>
          <w:rFonts w:ascii="Arial" w:eastAsia="Calibri" w:hAnsi="Arial" w:cs="Arial"/>
          <w:color w:val="181818"/>
          <w:sz w:val="22"/>
          <w:lang w:val="es-ES"/>
        </w:rPr>
        <w:t>mo se debe realizar por parte de los proponentes plurales</w:t>
      </w:r>
      <w:r w:rsidR="00E807E2">
        <w:rPr>
          <w:rFonts w:ascii="Arial" w:eastAsia="Calibri" w:hAnsi="Arial" w:cs="Arial"/>
          <w:color w:val="181818"/>
          <w:sz w:val="22"/>
          <w:lang w:val="es-ES"/>
        </w:rPr>
        <w:t>?</w:t>
      </w:r>
      <w:r w:rsidR="00A6270F">
        <w:rPr>
          <w:rFonts w:ascii="Arial" w:eastAsia="Calibri" w:hAnsi="Arial" w:cs="Arial"/>
          <w:color w:val="181818"/>
          <w:sz w:val="22"/>
          <w:lang w:val="es-ES"/>
        </w:rPr>
        <w:t xml:space="preserve"> ¿</w:t>
      </w:r>
      <w:r w:rsidRPr="00D353C3">
        <w:rPr>
          <w:rFonts w:ascii="Arial" w:eastAsia="Calibri" w:hAnsi="Arial" w:cs="Arial"/>
          <w:color w:val="181818"/>
          <w:sz w:val="22"/>
          <w:lang w:val="es-ES"/>
        </w:rPr>
        <w:t>Puede una empresa que realiz</w:t>
      </w:r>
      <w:r w:rsidR="00A6270F">
        <w:rPr>
          <w:rFonts w:ascii="Arial" w:eastAsia="Calibri" w:hAnsi="Arial" w:cs="Arial"/>
          <w:color w:val="181818"/>
          <w:sz w:val="22"/>
          <w:lang w:val="es-ES"/>
        </w:rPr>
        <w:t>ó</w:t>
      </w:r>
      <w:r w:rsidRPr="00D353C3">
        <w:rPr>
          <w:rFonts w:ascii="Arial" w:eastAsia="Calibri" w:hAnsi="Arial" w:cs="Arial"/>
          <w:color w:val="181818"/>
          <w:sz w:val="22"/>
          <w:lang w:val="es-ES"/>
        </w:rPr>
        <w:t xml:space="preserve"> la visita consorciarse con alguien que no realiz</w:t>
      </w:r>
      <w:r w:rsidR="00A6270F">
        <w:rPr>
          <w:rFonts w:ascii="Arial" w:eastAsia="Calibri" w:hAnsi="Arial" w:cs="Arial"/>
          <w:color w:val="181818"/>
          <w:sz w:val="22"/>
          <w:lang w:val="es-ES"/>
        </w:rPr>
        <w:t>ó</w:t>
      </w:r>
      <w:r w:rsidRPr="00D353C3">
        <w:rPr>
          <w:rFonts w:ascii="Arial" w:eastAsia="Calibri" w:hAnsi="Arial" w:cs="Arial"/>
          <w:color w:val="181818"/>
          <w:sz w:val="22"/>
          <w:lang w:val="es-ES"/>
        </w:rPr>
        <w:t xml:space="preserve"> la visita? </w:t>
      </w:r>
      <w:r w:rsidR="00A6270F">
        <w:rPr>
          <w:rFonts w:ascii="Arial" w:eastAsia="Calibri" w:hAnsi="Arial" w:cs="Arial"/>
          <w:color w:val="181818"/>
          <w:sz w:val="22"/>
          <w:lang w:val="es-ES"/>
        </w:rPr>
        <w:t>¿</w:t>
      </w:r>
      <w:r w:rsidRPr="00D353C3">
        <w:rPr>
          <w:rFonts w:ascii="Arial" w:eastAsia="Calibri" w:hAnsi="Arial" w:cs="Arial"/>
          <w:color w:val="181818"/>
          <w:sz w:val="22"/>
          <w:lang w:val="es-ES"/>
        </w:rPr>
        <w:t>Se debe realizar la visita a nombre del consorcio y los integrantes deben estar definidos al momento de la visita?</w:t>
      </w:r>
      <w:r w:rsidR="00E807E2">
        <w:rPr>
          <w:rFonts w:ascii="Arial" w:eastAsia="Calibri" w:hAnsi="Arial" w:cs="Arial"/>
          <w:color w:val="181818"/>
          <w:sz w:val="22"/>
          <w:lang w:val="es-ES"/>
        </w:rPr>
        <w:t>»</w:t>
      </w:r>
    </w:p>
    <w:p w14:paraId="33B53925" w14:textId="1861BA42" w:rsidR="00813C37" w:rsidRDefault="00E807E2" w:rsidP="006232B4">
      <w:pPr>
        <w:tabs>
          <w:tab w:val="left" w:pos="426"/>
        </w:tabs>
        <w:spacing w:before="120" w:line="276" w:lineRule="auto"/>
        <w:jc w:val="both"/>
        <w:rPr>
          <w:rFonts w:ascii="Arial" w:eastAsia="Calibri" w:hAnsi="Arial" w:cs="Arial"/>
          <w:color w:val="181818"/>
          <w:sz w:val="22"/>
          <w:lang w:val="es-ES"/>
        </w:rPr>
      </w:pPr>
      <w:r>
        <w:rPr>
          <w:rFonts w:ascii="Arial" w:eastAsia="Calibri" w:hAnsi="Arial" w:cs="Arial"/>
          <w:color w:val="181818"/>
          <w:sz w:val="22"/>
          <w:lang w:val="es-ES"/>
        </w:rPr>
        <w:tab/>
      </w:r>
      <w:r w:rsidR="002A3692">
        <w:rPr>
          <w:rFonts w:ascii="Arial" w:eastAsia="Calibri" w:hAnsi="Arial" w:cs="Arial"/>
          <w:color w:val="181818"/>
          <w:sz w:val="22"/>
          <w:lang w:val="es-ES"/>
        </w:rPr>
        <w:tab/>
      </w:r>
      <w:bookmarkStart w:id="2" w:name="_Hlk41403282"/>
      <w:r>
        <w:rPr>
          <w:rFonts w:ascii="Arial" w:eastAsia="Calibri" w:hAnsi="Arial" w:cs="Arial"/>
          <w:color w:val="181818"/>
          <w:sz w:val="22"/>
          <w:lang w:val="es-ES"/>
        </w:rPr>
        <w:t xml:space="preserve">De acuerdo con la información del «Documento Base </w:t>
      </w:r>
      <w:r w:rsidR="00823F6D">
        <w:rPr>
          <w:rFonts w:ascii="Arial" w:eastAsia="Calibri" w:hAnsi="Arial" w:cs="Arial"/>
          <w:color w:val="181818"/>
          <w:sz w:val="22"/>
          <w:lang w:val="es-ES"/>
        </w:rPr>
        <w:t xml:space="preserve">o Pliego Tipo» </w:t>
      </w:r>
      <w:r w:rsidR="00F006D8">
        <w:rPr>
          <w:rFonts w:ascii="Arial" w:eastAsia="Calibri" w:hAnsi="Arial" w:cs="Arial"/>
          <w:color w:val="181818"/>
          <w:sz w:val="22"/>
          <w:lang w:val="es-ES"/>
        </w:rPr>
        <w:t>la acreditación de la visita de obra por parte de los proponentes plurales</w:t>
      </w:r>
      <w:r w:rsidR="00823F6D">
        <w:rPr>
          <w:rFonts w:ascii="Arial" w:eastAsia="Calibri" w:hAnsi="Arial" w:cs="Arial"/>
          <w:color w:val="181818"/>
          <w:sz w:val="22"/>
          <w:lang w:val="es-ES"/>
        </w:rPr>
        <w:t xml:space="preserve">: i) bastará que uno (1) de los futuros integrantes sea </w:t>
      </w:r>
      <w:r w:rsidR="002A3692">
        <w:rPr>
          <w:rFonts w:ascii="Arial" w:eastAsia="Calibri" w:hAnsi="Arial" w:cs="Arial"/>
          <w:color w:val="181818"/>
          <w:sz w:val="22"/>
          <w:lang w:val="es-ES"/>
        </w:rPr>
        <w:t>e</w:t>
      </w:r>
      <w:r w:rsidR="00823F6D">
        <w:rPr>
          <w:rFonts w:ascii="Arial" w:eastAsia="Calibri" w:hAnsi="Arial" w:cs="Arial"/>
          <w:color w:val="181818"/>
          <w:sz w:val="22"/>
          <w:lang w:val="es-ES"/>
        </w:rPr>
        <w:t>l que realice la visita y ii) no es necesario que asista el representante legal de la persona jurídica o la persona natural miembro del proponente plural,</w:t>
      </w:r>
      <w:r w:rsidR="002A3692">
        <w:rPr>
          <w:rFonts w:ascii="Arial" w:eastAsia="Calibri" w:hAnsi="Arial" w:cs="Arial"/>
          <w:color w:val="181818"/>
          <w:sz w:val="22"/>
          <w:lang w:val="es-ES"/>
        </w:rPr>
        <w:t xml:space="preserve"> ya que</w:t>
      </w:r>
      <w:r w:rsidR="00823F6D">
        <w:rPr>
          <w:rFonts w:ascii="Arial" w:eastAsia="Calibri" w:hAnsi="Arial" w:cs="Arial"/>
          <w:color w:val="181818"/>
          <w:sz w:val="22"/>
          <w:lang w:val="es-ES"/>
        </w:rPr>
        <w:t xml:space="preserve"> bastará la asistencia a cualquier persona que tenga el título de ingeniero</w:t>
      </w:r>
      <w:r w:rsidR="00813C37">
        <w:rPr>
          <w:rFonts w:ascii="Arial" w:eastAsia="Calibri" w:hAnsi="Arial" w:cs="Arial"/>
          <w:color w:val="181818"/>
          <w:sz w:val="22"/>
          <w:lang w:val="es-ES"/>
        </w:rPr>
        <w:t>,</w:t>
      </w:r>
      <w:r w:rsidR="00823F6D">
        <w:rPr>
          <w:rFonts w:ascii="Arial" w:eastAsia="Calibri" w:hAnsi="Arial" w:cs="Arial"/>
          <w:color w:val="181818"/>
          <w:sz w:val="22"/>
          <w:lang w:val="es-ES"/>
        </w:rPr>
        <w:t xml:space="preserve"> por</w:t>
      </w:r>
      <w:r w:rsidR="00813C37">
        <w:rPr>
          <w:rFonts w:ascii="Arial" w:eastAsia="Calibri" w:hAnsi="Arial" w:cs="Arial"/>
          <w:color w:val="181818"/>
          <w:sz w:val="22"/>
          <w:lang w:val="es-ES"/>
        </w:rPr>
        <w:t xml:space="preserve"> medio de una autorización simple suscrita por alguno de ellos. </w:t>
      </w:r>
    </w:p>
    <w:p w14:paraId="417DD004" w14:textId="35899DB6" w:rsidR="00B16ED9" w:rsidRDefault="00813C37" w:rsidP="006232B4">
      <w:pPr>
        <w:tabs>
          <w:tab w:val="left" w:pos="426"/>
        </w:tabs>
        <w:spacing w:before="120" w:line="276" w:lineRule="auto"/>
        <w:jc w:val="both"/>
        <w:rPr>
          <w:rFonts w:ascii="Arial" w:eastAsia="Calibri" w:hAnsi="Arial" w:cs="Arial"/>
          <w:color w:val="181818"/>
          <w:sz w:val="22"/>
          <w:lang w:val="es-ES"/>
        </w:rPr>
      </w:pPr>
      <w:r>
        <w:rPr>
          <w:rFonts w:ascii="Arial" w:eastAsia="Calibri" w:hAnsi="Arial" w:cs="Arial"/>
          <w:color w:val="181818"/>
          <w:sz w:val="22"/>
          <w:lang w:val="es-ES"/>
        </w:rPr>
        <w:tab/>
      </w:r>
      <w:r w:rsidR="002A3692">
        <w:rPr>
          <w:rFonts w:ascii="Arial" w:eastAsia="Calibri" w:hAnsi="Arial" w:cs="Arial"/>
          <w:color w:val="181818"/>
          <w:sz w:val="22"/>
          <w:lang w:val="es-ES"/>
        </w:rPr>
        <w:tab/>
      </w:r>
      <w:r>
        <w:rPr>
          <w:rFonts w:ascii="Arial" w:eastAsia="Calibri" w:hAnsi="Arial" w:cs="Arial"/>
          <w:color w:val="181818"/>
          <w:sz w:val="22"/>
          <w:lang w:val="es-ES"/>
        </w:rPr>
        <w:t xml:space="preserve">De esta forma no se requiere que al momento de asistir a la visita de la obra ya esté conformado el consorcio o unión temporal, </w:t>
      </w:r>
      <w:r w:rsidR="006878DE">
        <w:rPr>
          <w:rFonts w:ascii="Arial" w:eastAsia="Calibri" w:hAnsi="Arial" w:cs="Arial"/>
          <w:color w:val="181818"/>
          <w:sz w:val="22"/>
          <w:lang w:val="es-ES"/>
        </w:rPr>
        <w:t xml:space="preserve">simplemente </w:t>
      </w:r>
      <w:r>
        <w:rPr>
          <w:rFonts w:ascii="Arial" w:eastAsia="Calibri" w:hAnsi="Arial" w:cs="Arial"/>
          <w:color w:val="181818"/>
          <w:sz w:val="22"/>
          <w:lang w:val="es-ES"/>
        </w:rPr>
        <w:t>la persona</w:t>
      </w:r>
      <w:r w:rsidR="006878DE">
        <w:rPr>
          <w:rFonts w:ascii="Arial" w:eastAsia="Calibri" w:hAnsi="Arial" w:cs="Arial"/>
          <w:color w:val="181818"/>
          <w:sz w:val="22"/>
          <w:lang w:val="es-ES"/>
        </w:rPr>
        <w:t xml:space="preserve"> que asista debe indicar que actúa en nombre de uno de los integrantes del </w:t>
      </w:r>
      <w:r w:rsidR="002A3692">
        <w:rPr>
          <w:rFonts w:ascii="Arial" w:eastAsia="Calibri" w:hAnsi="Arial" w:cs="Arial"/>
          <w:color w:val="181818"/>
          <w:sz w:val="22"/>
          <w:lang w:val="es-ES"/>
        </w:rPr>
        <w:t>proponente plural</w:t>
      </w:r>
      <w:r w:rsidR="006878DE">
        <w:rPr>
          <w:rFonts w:ascii="Arial" w:eastAsia="Calibri" w:hAnsi="Arial" w:cs="Arial"/>
          <w:color w:val="181818"/>
          <w:sz w:val="22"/>
          <w:lang w:val="es-ES"/>
        </w:rPr>
        <w:t>. En este sentido, en el caso que uno de los integrantes asist</w:t>
      </w:r>
      <w:r w:rsidR="00F1148A">
        <w:rPr>
          <w:rFonts w:ascii="Arial" w:eastAsia="Calibri" w:hAnsi="Arial" w:cs="Arial"/>
          <w:color w:val="181818"/>
          <w:sz w:val="22"/>
          <w:lang w:val="es-ES"/>
        </w:rPr>
        <w:t>a</w:t>
      </w:r>
      <w:r w:rsidR="006878DE">
        <w:rPr>
          <w:rFonts w:ascii="Arial" w:eastAsia="Calibri" w:hAnsi="Arial" w:cs="Arial"/>
          <w:color w:val="181818"/>
          <w:sz w:val="22"/>
          <w:lang w:val="es-ES"/>
        </w:rPr>
        <w:t xml:space="preserve"> a la visita de la obra, se podrá conformar el consorcio </w:t>
      </w:r>
      <w:r w:rsidR="002A3692">
        <w:rPr>
          <w:rFonts w:ascii="Arial" w:eastAsia="Calibri" w:hAnsi="Arial" w:cs="Arial"/>
          <w:color w:val="181818"/>
          <w:sz w:val="22"/>
          <w:lang w:val="es-ES"/>
        </w:rPr>
        <w:t xml:space="preserve">o la unión temporal </w:t>
      </w:r>
      <w:r w:rsidR="006878DE">
        <w:rPr>
          <w:rFonts w:ascii="Arial" w:eastAsia="Calibri" w:hAnsi="Arial" w:cs="Arial"/>
          <w:color w:val="181818"/>
          <w:sz w:val="22"/>
          <w:lang w:val="es-ES"/>
        </w:rPr>
        <w:t xml:space="preserve">con </w:t>
      </w:r>
      <w:r w:rsidR="00A6270F">
        <w:rPr>
          <w:rFonts w:ascii="Arial" w:eastAsia="Calibri" w:hAnsi="Arial" w:cs="Arial"/>
          <w:color w:val="181818"/>
          <w:sz w:val="22"/>
          <w:lang w:val="es-ES"/>
        </w:rPr>
        <w:t xml:space="preserve">cualquier </w:t>
      </w:r>
      <w:r w:rsidR="006878DE">
        <w:rPr>
          <w:rFonts w:ascii="Arial" w:eastAsia="Calibri" w:hAnsi="Arial" w:cs="Arial"/>
          <w:color w:val="181818"/>
          <w:sz w:val="22"/>
          <w:lang w:val="es-ES"/>
        </w:rPr>
        <w:t xml:space="preserve">persona que no haya asistido a la visita de la obra. </w:t>
      </w:r>
    </w:p>
    <w:bookmarkEnd w:id="2"/>
    <w:p w14:paraId="37FF00CB" w14:textId="77777777" w:rsidR="002A3692" w:rsidRDefault="002A3692" w:rsidP="00DD55C9">
      <w:pPr>
        <w:tabs>
          <w:tab w:val="left" w:pos="426"/>
        </w:tabs>
        <w:spacing w:line="276" w:lineRule="auto"/>
        <w:jc w:val="both"/>
        <w:rPr>
          <w:rFonts w:ascii="Arial" w:eastAsia="Calibri" w:hAnsi="Arial" w:cs="Arial"/>
          <w:color w:val="181818"/>
          <w:sz w:val="22"/>
          <w:lang w:val="es-ES"/>
        </w:rPr>
      </w:pPr>
    </w:p>
    <w:p w14:paraId="6B513255" w14:textId="28D1D6A1" w:rsidR="00B16ED9" w:rsidRDefault="00B16ED9" w:rsidP="00DD55C9">
      <w:pPr>
        <w:pStyle w:val="Prrafodelista"/>
        <w:numPr>
          <w:ilvl w:val="1"/>
          <w:numId w:val="12"/>
        </w:numPr>
        <w:tabs>
          <w:tab w:val="left" w:pos="426"/>
        </w:tabs>
        <w:spacing w:line="276" w:lineRule="auto"/>
        <w:ind w:left="0" w:firstLine="0"/>
        <w:jc w:val="both"/>
        <w:rPr>
          <w:rFonts w:ascii="Arial" w:eastAsia="Calibri" w:hAnsi="Arial" w:cs="Arial"/>
          <w:b/>
          <w:bCs/>
          <w:color w:val="181818"/>
          <w:sz w:val="22"/>
          <w:lang w:val="es-ES"/>
        </w:rPr>
      </w:pPr>
      <w:r>
        <w:rPr>
          <w:rFonts w:ascii="Arial" w:eastAsia="Calibri" w:hAnsi="Arial" w:cs="Arial"/>
          <w:color w:val="181818"/>
          <w:sz w:val="22"/>
          <w:lang w:val="es-ES"/>
        </w:rPr>
        <w:t xml:space="preserve"> </w:t>
      </w:r>
      <w:r w:rsidRPr="00B16ED9">
        <w:rPr>
          <w:rFonts w:ascii="Arial" w:eastAsia="Calibri" w:hAnsi="Arial" w:cs="Arial"/>
          <w:b/>
          <w:bCs/>
          <w:color w:val="181818"/>
          <w:sz w:val="22"/>
          <w:lang w:val="es-ES"/>
        </w:rPr>
        <w:t>Resolución 080 de 2020</w:t>
      </w:r>
      <w:r w:rsidR="002A3692">
        <w:rPr>
          <w:rFonts w:ascii="Arial" w:eastAsia="Calibri" w:hAnsi="Arial" w:cs="Arial"/>
          <w:b/>
          <w:bCs/>
          <w:color w:val="181818"/>
          <w:sz w:val="22"/>
          <w:lang w:val="es-ES"/>
        </w:rPr>
        <w:t>: s</w:t>
      </w:r>
      <w:r w:rsidRPr="00B16ED9">
        <w:rPr>
          <w:rFonts w:ascii="Arial" w:eastAsia="Calibri" w:hAnsi="Arial" w:cs="Arial"/>
          <w:b/>
          <w:bCs/>
          <w:color w:val="181818"/>
          <w:sz w:val="22"/>
          <w:lang w:val="es-ES"/>
        </w:rPr>
        <w:t xml:space="preserve">uspensión de visita de la obra y garantías adicionales o complementarias </w:t>
      </w:r>
    </w:p>
    <w:p w14:paraId="0BA7E5BD" w14:textId="43252D18" w:rsidR="00B16ED9" w:rsidRDefault="00B16ED9" w:rsidP="00DD55C9">
      <w:pPr>
        <w:pStyle w:val="Prrafodelista"/>
        <w:tabs>
          <w:tab w:val="left" w:pos="426"/>
        </w:tabs>
        <w:spacing w:beforeLines="120" w:before="288" w:afterLines="120" w:after="288" w:line="276" w:lineRule="auto"/>
        <w:ind w:left="0"/>
        <w:jc w:val="both"/>
        <w:rPr>
          <w:rFonts w:ascii="Arial" w:eastAsia="Calibri" w:hAnsi="Arial" w:cs="Arial"/>
          <w:b/>
          <w:bCs/>
          <w:color w:val="181818"/>
          <w:sz w:val="22"/>
          <w:lang w:val="es-ES"/>
        </w:rPr>
      </w:pPr>
    </w:p>
    <w:p w14:paraId="558F2ECF" w14:textId="12771973" w:rsidR="00310D20" w:rsidRDefault="00B16ED9" w:rsidP="00DD55C9">
      <w:pPr>
        <w:pStyle w:val="Prrafodelista"/>
        <w:tabs>
          <w:tab w:val="left" w:pos="426"/>
        </w:tabs>
        <w:spacing w:beforeLines="120" w:before="288" w:afterLines="120" w:after="288" w:line="276" w:lineRule="auto"/>
        <w:ind w:left="0"/>
        <w:jc w:val="both"/>
        <w:rPr>
          <w:rFonts w:ascii="Arial" w:eastAsia="Calibri" w:hAnsi="Arial" w:cs="Arial"/>
          <w:sz w:val="22"/>
        </w:rPr>
      </w:pPr>
      <w:r w:rsidRPr="00B16ED9">
        <w:rPr>
          <w:rFonts w:ascii="Arial" w:eastAsia="Calibri" w:hAnsi="Arial" w:cs="Arial"/>
          <w:color w:val="181818"/>
          <w:sz w:val="22"/>
          <w:lang w:val="es-ES"/>
        </w:rPr>
        <w:t>Explicado el alcance de la visita de la obra y las garantías adicionales o complementarias</w:t>
      </w:r>
      <w:r w:rsidR="003019AC">
        <w:rPr>
          <w:rFonts w:ascii="Arial" w:eastAsia="Calibri" w:hAnsi="Arial" w:cs="Arial"/>
          <w:color w:val="181818"/>
          <w:sz w:val="22"/>
          <w:lang w:val="es-ES"/>
        </w:rPr>
        <w:t xml:space="preserve"> de los </w:t>
      </w:r>
      <w:r w:rsidR="002A3692">
        <w:rPr>
          <w:rFonts w:ascii="Arial" w:eastAsia="Calibri" w:hAnsi="Arial" w:cs="Arial"/>
          <w:color w:val="181818"/>
          <w:sz w:val="22"/>
          <w:lang w:val="es-ES"/>
        </w:rPr>
        <w:t>d</w:t>
      </w:r>
      <w:r w:rsidR="003019AC">
        <w:rPr>
          <w:rFonts w:ascii="Arial" w:eastAsia="Calibri" w:hAnsi="Arial" w:cs="Arial"/>
          <w:color w:val="181818"/>
          <w:sz w:val="22"/>
          <w:lang w:val="es-ES"/>
        </w:rPr>
        <w:t xml:space="preserve">ocumentos </w:t>
      </w:r>
      <w:r w:rsidR="002A3692">
        <w:rPr>
          <w:rFonts w:ascii="Arial" w:eastAsia="Calibri" w:hAnsi="Arial" w:cs="Arial"/>
          <w:color w:val="181818"/>
          <w:sz w:val="22"/>
          <w:lang w:val="es-ES"/>
        </w:rPr>
        <w:t>t</w:t>
      </w:r>
      <w:r w:rsidR="003019AC">
        <w:rPr>
          <w:rFonts w:ascii="Arial" w:eastAsia="Calibri" w:hAnsi="Arial" w:cs="Arial"/>
          <w:color w:val="181818"/>
          <w:sz w:val="22"/>
          <w:lang w:val="es-ES"/>
        </w:rPr>
        <w:t xml:space="preserve">ipo de </w:t>
      </w:r>
      <w:r w:rsidR="002A3692">
        <w:rPr>
          <w:rFonts w:ascii="Arial" w:eastAsia="Calibri" w:hAnsi="Arial" w:cs="Arial"/>
          <w:color w:val="181818"/>
          <w:sz w:val="22"/>
          <w:lang w:val="es-ES"/>
        </w:rPr>
        <w:t>l</w:t>
      </w:r>
      <w:r w:rsidR="003019AC">
        <w:rPr>
          <w:rFonts w:ascii="Arial" w:eastAsia="Calibri" w:hAnsi="Arial" w:cs="Arial"/>
          <w:color w:val="181818"/>
          <w:sz w:val="22"/>
          <w:lang w:val="es-ES"/>
        </w:rPr>
        <w:t xml:space="preserve">icitación </w:t>
      </w:r>
      <w:r w:rsidR="002A3692">
        <w:rPr>
          <w:rFonts w:ascii="Arial" w:eastAsia="Calibri" w:hAnsi="Arial" w:cs="Arial"/>
          <w:color w:val="181818"/>
          <w:sz w:val="22"/>
          <w:lang w:val="es-ES"/>
        </w:rPr>
        <w:t>p</w:t>
      </w:r>
      <w:r w:rsidR="003019AC">
        <w:rPr>
          <w:rFonts w:ascii="Arial" w:eastAsia="Calibri" w:hAnsi="Arial" w:cs="Arial"/>
          <w:color w:val="181818"/>
          <w:sz w:val="22"/>
          <w:lang w:val="es-ES"/>
        </w:rPr>
        <w:t xml:space="preserve">ública de </w:t>
      </w:r>
      <w:r w:rsidR="002A3692">
        <w:rPr>
          <w:rFonts w:ascii="Arial" w:eastAsia="Calibri" w:hAnsi="Arial" w:cs="Arial"/>
          <w:color w:val="181818"/>
          <w:sz w:val="22"/>
          <w:lang w:val="es-ES"/>
        </w:rPr>
        <w:t xml:space="preserve">obra de infraestructura de transporte </w:t>
      </w:r>
      <w:r w:rsidR="003019AC">
        <w:rPr>
          <w:rFonts w:ascii="Arial" w:eastAsia="Calibri" w:hAnsi="Arial" w:cs="Arial"/>
          <w:color w:val="181818"/>
          <w:sz w:val="22"/>
          <w:lang w:val="es-ES"/>
        </w:rPr>
        <w:t>– Versión 2, e</w:t>
      </w:r>
      <w:r w:rsidRPr="00B16ED9">
        <w:rPr>
          <w:rFonts w:ascii="Arial" w:eastAsia="Calibri" w:hAnsi="Arial" w:cs="Arial"/>
          <w:color w:val="181818"/>
          <w:sz w:val="22"/>
          <w:lang w:val="es-ES"/>
        </w:rPr>
        <w:t>s</w:t>
      </w:r>
      <w:r w:rsidRPr="00B16ED9">
        <w:rPr>
          <w:rFonts w:ascii="Arial" w:eastAsia="Calibri" w:hAnsi="Arial" w:cs="Arial"/>
          <w:sz w:val="22"/>
        </w:rPr>
        <w:t xml:space="preserve"> importante </w:t>
      </w:r>
      <w:r w:rsidR="00AD290E">
        <w:rPr>
          <w:rFonts w:ascii="Arial" w:eastAsia="Calibri" w:hAnsi="Arial" w:cs="Arial"/>
          <w:sz w:val="22"/>
        </w:rPr>
        <w:t xml:space="preserve">señalar </w:t>
      </w:r>
      <w:r w:rsidRPr="00B16ED9">
        <w:rPr>
          <w:rFonts w:ascii="Arial" w:eastAsia="Calibri" w:hAnsi="Arial" w:cs="Arial"/>
          <w:sz w:val="22"/>
        </w:rPr>
        <w:t>que la Agencia Nacional de Contratación Pública –</w:t>
      </w:r>
      <w:r w:rsidR="002A3692">
        <w:rPr>
          <w:rFonts w:ascii="Arial" w:eastAsia="Calibri" w:hAnsi="Arial" w:cs="Arial"/>
          <w:sz w:val="22"/>
        </w:rPr>
        <w:t xml:space="preserve"> </w:t>
      </w:r>
      <w:r w:rsidR="002A3692">
        <w:rPr>
          <w:rFonts w:ascii="Arial" w:eastAsia="Calibri" w:hAnsi="Arial" w:cs="Arial"/>
          <w:sz w:val="22"/>
        </w:rPr>
        <w:lastRenderedPageBreak/>
        <w:t>Colombia Compra Eficiente</w:t>
      </w:r>
      <w:r w:rsidRPr="00B16ED9">
        <w:rPr>
          <w:rFonts w:ascii="Arial" w:eastAsia="Calibri" w:hAnsi="Arial" w:cs="Arial"/>
          <w:sz w:val="22"/>
        </w:rPr>
        <w:t xml:space="preserve"> expidió la Resolución No. 080 de</w:t>
      </w:r>
      <w:r w:rsidR="00F550CD">
        <w:rPr>
          <w:rFonts w:ascii="Arial" w:eastAsia="Calibri" w:hAnsi="Arial" w:cs="Arial"/>
          <w:sz w:val="22"/>
        </w:rPr>
        <w:t>l 27 de marzo de</w:t>
      </w:r>
      <w:r w:rsidRPr="00B16ED9">
        <w:rPr>
          <w:rFonts w:ascii="Arial" w:eastAsia="Calibri" w:hAnsi="Arial" w:cs="Arial"/>
          <w:sz w:val="22"/>
        </w:rPr>
        <w:t xml:space="preserve"> 2020, a través de la cual</w:t>
      </w:r>
      <w:r w:rsidR="00AD290E">
        <w:rPr>
          <w:rFonts w:ascii="Arial" w:eastAsia="Calibri" w:hAnsi="Arial" w:cs="Arial"/>
          <w:sz w:val="22"/>
        </w:rPr>
        <w:t xml:space="preserve">, </w:t>
      </w:r>
      <w:r w:rsidRPr="00B16ED9">
        <w:rPr>
          <w:rFonts w:ascii="Arial" w:eastAsia="Calibri" w:hAnsi="Arial" w:cs="Arial"/>
          <w:sz w:val="22"/>
        </w:rPr>
        <w:t xml:space="preserve"> suspende</w:t>
      </w:r>
      <w:r w:rsidR="00F550CD">
        <w:rPr>
          <w:rFonts w:ascii="Arial" w:eastAsia="Calibri" w:hAnsi="Arial" w:cs="Arial"/>
          <w:sz w:val="22"/>
        </w:rPr>
        <w:t>n</w:t>
      </w:r>
      <w:r w:rsidRPr="00B16ED9">
        <w:rPr>
          <w:rFonts w:ascii="Arial" w:eastAsia="Calibri" w:hAnsi="Arial" w:cs="Arial"/>
          <w:sz w:val="22"/>
        </w:rPr>
        <w:t xml:space="preserve"> los numerales 3.6 –</w:t>
      </w:r>
      <w:r w:rsidR="00C34054">
        <w:rPr>
          <w:rFonts w:ascii="Arial" w:eastAsia="Calibri" w:hAnsi="Arial" w:cs="Arial"/>
          <w:sz w:val="22"/>
        </w:rPr>
        <w:t>v</w:t>
      </w:r>
      <w:r w:rsidRPr="00B16ED9">
        <w:rPr>
          <w:rFonts w:ascii="Arial" w:eastAsia="Calibri" w:hAnsi="Arial" w:cs="Arial"/>
          <w:sz w:val="22"/>
        </w:rPr>
        <w:t>isita al sitio de la obra</w:t>
      </w:r>
      <w:r w:rsidR="00C34054">
        <w:rPr>
          <w:rFonts w:ascii="Arial" w:eastAsia="Calibri" w:hAnsi="Arial" w:cs="Arial"/>
          <w:sz w:val="22"/>
        </w:rPr>
        <w:t>–</w:t>
      </w:r>
      <w:r w:rsidRPr="00B16ED9">
        <w:rPr>
          <w:rFonts w:ascii="Arial" w:eastAsia="Calibri" w:hAnsi="Arial" w:cs="Arial"/>
          <w:sz w:val="22"/>
        </w:rPr>
        <w:t xml:space="preserve"> y 4.2.4 –</w:t>
      </w:r>
      <w:r w:rsidR="00C34054">
        <w:rPr>
          <w:rFonts w:ascii="Arial" w:eastAsia="Calibri" w:hAnsi="Arial" w:cs="Arial"/>
          <w:sz w:val="22"/>
        </w:rPr>
        <w:t>g</w:t>
      </w:r>
      <w:r w:rsidRPr="00B16ED9">
        <w:rPr>
          <w:rFonts w:ascii="Arial" w:eastAsia="Calibri" w:hAnsi="Arial" w:cs="Arial"/>
          <w:sz w:val="22"/>
        </w:rPr>
        <w:t>arantías suplementarias o adicionales</w:t>
      </w:r>
      <w:r w:rsidR="00C34054">
        <w:rPr>
          <w:rFonts w:ascii="Arial" w:eastAsia="Calibri" w:hAnsi="Arial" w:cs="Arial"/>
          <w:sz w:val="22"/>
        </w:rPr>
        <w:t>–</w:t>
      </w:r>
      <w:r w:rsidRPr="00B16ED9">
        <w:rPr>
          <w:rFonts w:ascii="Arial" w:eastAsia="Calibri" w:hAnsi="Arial" w:cs="Arial"/>
          <w:sz w:val="22"/>
        </w:rPr>
        <w:t xml:space="preserve"> de los </w:t>
      </w:r>
      <w:r w:rsidR="00C34054">
        <w:rPr>
          <w:rFonts w:ascii="Arial" w:eastAsia="Calibri" w:hAnsi="Arial" w:cs="Arial"/>
          <w:sz w:val="22"/>
        </w:rPr>
        <w:t>«</w:t>
      </w:r>
      <w:r w:rsidRPr="00B16ED9">
        <w:rPr>
          <w:rFonts w:ascii="Arial" w:eastAsia="Calibri" w:hAnsi="Arial" w:cs="Arial"/>
          <w:sz w:val="22"/>
        </w:rPr>
        <w:t>Documentos Tipo</w:t>
      </w:r>
      <w:r w:rsidR="00C34054">
        <w:rPr>
          <w:rFonts w:ascii="Arial" w:eastAsia="Calibri" w:hAnsi="Arial" w:cs="Arial"/>
          <w:sz w:val="22"/>
        </w:rPr>
        <w:t>»</w:t>
      </w:r>
      <w:r w:rsidRPr="00B16ED9">
        <w:rPr>
          <w:rFonts w:ascii="Arial" w:eastAsia="Calibri" w:hAnsi="Arial" w:cs="Arial"/>
          <w:sz w:val="22"/>
        </w:rPr>
        <w:t xml:space="preserve"> </w:t>
      </w:r>
      <w:r w:rsidR="00C34054">
        <w:rPr>
          <w:rFonts w:ascii="Arial" w:eastAsia="Calibri" w:hAnsi="Arial" w:cs="Arial"/>
          <w:sz w:val="22"/>
        </w:rPr>
        <w:t>para los procedimientos de licitación y selección abreviada del menor cuantía</w:t>
      </w:r>
      <w:r w:rsidR="00AD290E">
        <w:rPr>
          <w:rFonts w:ascii="Arial" w:eastAsia="Calibri" w:hAnsi="Arial" w:cs="Arial"/>
          <w:sz w:val="22"/>
        </w:rPr>
        <w:t>. Esta medida durará</w:t>
      </w:r>
      <w:r w:rsidRPr="00B16ED9">
        <w:rPr>
          <w:rFonts w:ascii="Arial" w:eastAsia="Calibri" w:hAnsi="Arial" w:cs="Arial"/>
          <w:sz w:val="22"/>
        </w:rPr>
        <w:t xml:space="preserve"> mientras el Presidente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w:t>
      </w:r>
      <w:r w:rsidR="00AD290E">
        <w:rPr>
          <w:rFonts w:ascii="Arial" w:eastAsia="Calibri" w:hAnsi="Arial" w:cs="Arial"/>
          <w:sz w:val="22"/>
        </w:rPr>
        <w:t xml:space="preserve"> la</w:t>
      </w:r>
      <w:r w:rsidRPr="00B16ED9">
        <w:rPr>
          <w:rFonts w:ascii="Arial" w:eastAsia="Calibri" w:hAnsi="Arial" w:cs="Arial"/>
          <w:sz w:val="22"/>
        </w:rPr>
        <w:t xml:space="preserve"> pandemia. Esta resolución se </w:t>
      </w:r>
      <w:r w:rsidR="00F550CD">
        <w:rPr>
          <w:rFonts w:ascii="Arial" w:eastAsia="Calibri" w:hAnsi="Arial" w:cs="Arial"/>
          <w:sz w:val="22"/>
        </w:rPr>
        <w:t>expidió</w:t>
      </w:r>
      <w:r w:rsidR="00F550CD" w:rsidRPr="00B16ED9">
        <w:rPr>
          <w:rFonts w:ascii="Arial" w:eastAsia="Calibri" w:hAnsi="Arial" w:cs="Arial"/>
          <w:sz w:val="22"/>
        </w:rPr>
        <w:t xml:space="preserve"> </w:t>
      </w:r>
      <w:r w:rsidRPr="00B16ED9">
        <w:rPr>
          <w:rFonts w:ascii="Arial" w:eastAsia="Calibri" w:hAnsi="Arial" w:cs="Arial"/>
          <w:sz w:val="22"/>
        </w:rPr>
        <w:t>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Entidades no podrán exigir «</w:t>
      </w:r>
      <w:r w:rsidR="00F550CD">
        <w:rPr>
          <w:rFonts w:ascii="Arial" w:eastAsia="Calibri" w:hAnsi="Arial" w:cs="Arial"/>
          <w:sz w:val="22"/>
        </w:rPr>
        <w:t>f</w:t>
      </w:r>
      <w:r w:rsidRPr="00B16ED9">
        <w:rPr>
          <w:rFonts w:ascii="Arial" w:eastAsia="Calibri" w:hAnsi="Arial" w:cs="Arial"/>
          <w:sz w:val="22"/>
        </w:rPr>
        <w:t xml:space="preserve">actores de </w:t>
      </w:r>
      <w:r w:rsidR="00F550CD">
        <w:rPr>
          <w:rFonts w:ascii="Arial" w:eastAsia="Calibri" w:hAnsi="Arial" w:cs="Arial"/>
          <w:sz w:val="22"/>
        </w:rPr>
        <w:t>c</w:t>
      </w:r>
      <w:r w:rsidRPr="00B16ED9">
        <w:rPr>
          <w:rFonts w:ascii="Arial" w:eastAsia="Calibri" w:hAnsi="Arial" w:cs="Arial"/>
          <w:sz w:val="22"/>
        </w:rPr>
        <w:t>alidad»</w:t>
      </w:r>
      <w:r w:rsidR="00F550CD">
        <w:rPr>
          <w:rFonts w:ascii="Arial" w:eastAsia="Calibri" w:hAnsi="Arial" w:cs="Arial"/>
          <w:sz w:val="22"/>
        </w:rPr>
        <w:t xml:space="preserve"> ni «visitas al sitio de la obra»</w:t>
      </w:r>
      <w:r w:rsidRPr="00B16ED9">
        <w:rPr>
          <w:rFonts w:ascii="Arial" w:eastAsia="Calibri" w:hAnsi="Arial" w:cs="Arial"/>
          <w:sz w:val="22"/>
        </w:rPr>
        <w:t xml:space="preserve"> en los </w:t>
      </w:r>
      <w:r w:rsidR="00F550CD">
        <w:rPr>
          <w:rFonts w:ascii="Arial" w:eastAsia="Calibri" w:hAnsi="Arial" w:cs="Arial"/>
          <w:sz w:val="22"/>
        </w:rPr>
        <w:t>p</w:t>
      </w:r>
      <w:r w:rsidRPr="00B16ED9">
        <w:rPr>
          <w:rFonts w:ascii="Arial" w:eastAsia="Calibri" w:hAnsi="Arial" w:cs="Arial"/>
          <w:sz w:val="22"/>
        </w:rPr>
        <w:t xml:space="preserve">rocesos de </w:t>
      </w:r>
      <w:r w:rsidR="00F550CD">
        <w:rPr>
          <w:rFonts w:ascii="Arial" w:eastAsia="Calibri" w:hAnsi="Arial" w:cs="Arial"/>
          <w:sz w:val="22"/>
        </w:rPr>
        <w:t>c</w:t>
      </w:r>
      <w:r w:rsidRPr="00B16ED9">
        <w:rPr>
          <w:rFonts w:ascii="Arial" w:eastAsia="Calibri" w:hAnsi="Arial" w:cs="Arial"/>
          <w:sz w:val="22"/>
        </w:rPr>
        <w:t xml:space="preserve">ontratación mientas se encuentran suspendidos estos numerales en los </w:t>
      </w:r>
      <w:r w:rsidR="00F550CD">
        <w:rPr>
          <w:rFonts w:ascii="Arial" w:eastAsia="Calibri" w:hAnsi="Arial" w:cs="Arial"/>
          <w:sz w:val="22"/>
        </w:rPr>
        <w:t>«</w:t>
      </w:r>
      <w:r w:rsidRPr="00B16ED9">
        <w:rPr>
          <w:rFonts w:ascii="Arial" w:eastAsia="Calibri" w:hAnsi="Arial" w:cs="Arial"/>
          <w:sz w:val="22"/>
        </w:rPr>
        <w:t>Documentos Tipo</w:t>
      </w:r>
      <w:r w:rsidR="00F550CD">
        <w:rPr>
          <w:rFonts w:ascii="Arial" w:eastAsia="Calibri" w:hAnsi="Arial" w:cs="Arial"/>
          <w:sz w:val="22"/>
        </w:rPr>
        <w:t>»</w:t>
      </w:r>
      <w:r w:rsidRPr="00B16ED9">
        <w:rPr>
          <w:rFonts w:ascii="Arial" w:eastAsia="Calibri" w:hAnsi="Arial" w:cs="Arial"/>
          <w:sz w:val="22"/>
        </w:rPr>
        <w:t xml:space="preserve">. </w:t>
      </w:r>
    </w:p>
    <w:p w14:paraId="392E0FDB" w14:textId="77777777" w:rsidR="00CC133B" w:rsidRPr="003019AC" w:rsidRDefault="00CC133B" w:rsidP="00DD55C9">
      <w:pPr>
        <w:pStyle w:val="Prrafodelista"/>
        <w:tabs>
          <w:tab w:val="left" w:pos="426"/>
        </w:tabs>
        <w:spacing w:beforeLines="120" w:before="288" w:afterLines="120" w:after="288" w:line="276" w:lineRule="auto"/>
        <w:ind w:left="0"/>
        <w:jc w:val="both"/>
      </w:pPr>
    </w:p>
    <w:p w14:paraId="666B6F48" w14:textId="1232B721" w:rsidR="00603613" w:rsidRPr="00DD55C9" w:rsidRDefault="00603613" w:rsidP="00DD55C9">
      <w:pPr>
        <w:pStyle w:val="Prrafodelista"/>
        <w:numPr>
          <w:ilvl w:val="1"/>
          <w:numId w:val="14"/>
        </w:numPr>
        <w:tabs>
          <w:tab w:val="left" w:pos="426"/>
        </w:tabs>
        <w:spacing w:before="120" w:line="276" w:lineRule="auto"/>
        <w:jc w:val="both"/>
        <w:rPr>
          <w:rFonts w:ascii="Arial" w:eastAsia="Calibri" w:hAnsi="Arial" w:cs="Arial"/>
          <w:b/>
          <w:bCs/>
          <w:color w:val="181818"/>
          <w:sz w:val="22"/>
          <w:lang w:val="es-ES"/>
        </w:rPr>
      </w:pPr>
      <w:r w:rsidRPr="00DD55C9">
        <w:rPr>
          <w:rFonts w:ascii="Arial" w:eastAsia="Calibri" w:hAnsi="Arial" w:cs="Arial"/>
          <w:b/>
          <w:bCs/>
          <w:color w:val="181818"/>
          <w:sz w:val="22"/>
          <w:lang w:val="es-ES"/>
        </w:rPr>
        <w:t>Regla de Subsanabilidad en los Procedimientos de Selección</w:t>
      </w:r>
    </w:p>
    <w:p w14:paraId="4513859F" w14:textId="77777777" w:rsidR="00C32774" w:rsidRDefault="00C32774" w:rsidP="00C32774">
      <w:pPr>
        <w:spacing w:line="276" w:lineRule="auto"/>
        <w:jc w:val="both"/>
        <w:rPr>
          <w:rFonts w:ascii="Arial" w:hAnsi="Arial" w:cs="Arial"/>
          <w:color w:val="4E4D4D"/>
          <w:sz w:val="22"/>
          <w:lang w:val="es-ES_tradnl"/>
        </w:rPr>
      </w:pPr>
    </w:p>
    <w:p w14:paraId="0252FCE6" w14:textId="494DB487" w:rsidR="00C32774" w:rsidRPr="00C32774" w:rsidRDefault="00C32774" w:rsidP="00C32774">
      <w:pPr>
        <w:spacing w:line="276" w:lineRule="auto"/>
        <w:jc w:val="both"/>
        <w:rPr>
          <w:rFonts w:ascii="Arial" w:hAnsi="Arial" w:cs="Arial"/>
          <w:sz w:val="22"/>
          <w:lang w:val="es-ES_tradnl"/>
        </w:rPr>
      </w:pPr>
      <w:r w:rsidRPr="00C32774">
        <w:rPr>
          <w:rFonts w:ascii="Arial" w:hAnsi="Arial" w:cs="Arial"/>
          <w:sz w:val="22"/>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44BCC651"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En efecto, la Agencia Nacional de Contratación Pública – Colombia Compra Eficiente, en el concepto con radicado No. 4201913000006471 del 28 de octubre de 2019, analizó el régimen jurídico de la subsanabilidad.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1910E533"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3835A2DB"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En un </w:t>
      </w:r>
      <w:r w:rsidRPr="00C32774">
        <w:rPr>
          <w:rFonts w:ascii="Arial" w:hAnsi="Arial" w:cs="Arial"/>
          <w:i/>
          <w:sz w:val="22"/>
          <w:lang w:val="es-ES_tradnl"/>
        </w:rPr>
        <w:t>primer momento</w:t>
      </w:r>
      <w:r w:rsidRPr="00C32774">
        <w:rPr>
          <w:rFonts w:ascii="Arial" w:hAnsi="Arial" w:cs="Arial"/>
          <w:sz w:val="22"/>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w:t>
      </w:r>
      <w:r w:rsidRPr="00C32774">
        <w:rPr>
          <w:rFonts w:ascii="Arial" w:hAnsi="Arial" w:cs="Arial"/>
          <w:sz w:val="22"/>
          <w:lang w:val="es-ES_tradnl"/>
        </w:rPr>
        <w:lastRenderedPageBreak/>
        <w:t xml:space="preserve">formalismo procedimental que irradiaba la actuación administrativa. En este contexto, por ejemplo, no era extraordinario que una oferta fuera rechazada por no aportar una copia de esta. </w:t>
      </w:r>
    </w:p>
    <w:p w14:paraId="7CB5706A"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En un </w:t>
      </w:r>
      <w:r w:rsidRPr="00C32774">
        <w:rPr>
          <w:rFonts w:ascii="Arial" w:hAnsi="Arial" w:cs="Arial"/>
          <w:i/>
          <w:sz w:val="22"/>
          <w:lang w:val="es-ES_tradnl"/>
        </w:rPr>
        <w:t>segundo momento</w:t>
      </w:r>
      <w:r w:rsidRPr="00C32774">
        <w:rPr>
          <w:rFonts w:ascii="Arial" w:hAnsi="Arial" w:cs="Arial"/>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p>
    <w:p w14:paraId="57A68FF0" w14:textId="77777777" w:rsidR="00C32774" w:rsidRPr="00C32774" w:rsidRDefault="00C32774" w:rsidP="00C32774">
      <w:pPr>
        <w:spacing w:line="276" w:lineRule="auto"/>
        <w:ind w:firstLine="709"/>
        <w:jc w:val="both"/>
        <w:rPr>
          <w:rFonts w:ascii="Arial" w:hAnsi="Arial" w:cs="Arial"/>
          <w:sz w:val="22"/>
          <w:lang w:val="es-ES_tradnl"/>
        </w:rPr>
      </w:pPr>
      <w:r w:rsidRPr="00C32774">
        <w:rPr>
          <w:rFonts w:ascii="Arial" w:hAnsi="Arial" w:cs="Arial"/>
          <w:sz w:val="22"/>
          <w:lang w:val="es-ES_tradnl"/>
        </w:rPr>
        <w:t xml:space="preserve">En este nuevo escenario constitucional, el numeral 15 del artículo 25 de la Ley 80 de 1993 dispuso lo siguiente: </w:t>
      </w:r>
    </w:p>
    <w:p w14:paraId="2BECC6BA" w14:textId="77777777" w:rsidR="00C32774" w:rsidRPr="00C32774" w:rsidRDefault="00C32774" w:rsidP="00C32774">
      <w:pPr>
        <w:spacing w:line="276" w:lineRule="auto"/>
        <w:jc w:val="both"/>
        <w:rPr>
          <w:rFonts w:ascii="Arial" w:hAnsi="Arial" w:cs="Arial"/>
          <w:sz w:val="22"/>
          <w:lang w:val="es-ES_tradnl"/>
        </w:rPr>
      </w:pPr>
    </w:p>
    <w:p w14:paraId="35908D8F"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5938570"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 xml:space="preserve"> </w:t>
      </w:r>
    </w:p>
    <w:p w14:paraId="0772CF0A"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5A7D72B2" w14:textId="77777777" w:rsidR="00C32774" w:rsidRPr="00C32774" w:rsidRDefault="00C32774" w:rsidP="00C32774">
      <w:pPr>
        <w:spacing w:line="276" w:lineRule="auto"/>
        <w:jc w:val="both"/>
        <w:rPr>
          <w:rFonts w:ascii="Arial" w:hAnsi="Arial" w:cs="Arial"/>
          <w:b/>
          <w:sz w:val="22"/>
          <w:lang w:val="es-ES_tradnl"/>
        </w:rPr>
      </w:pPr>
    </w:p>
    <w:p w14:paraId="19A5FC1F" w14:textId="77777777" w:rsidR="00C32774" w:rsidRPr="00C32774" w:rsidRDefault="00C32774" w:rsidP="00C32774">
      <w:pPr>
        <w:spacing w:line="276" w:lineRule="auto"/>
        <w:ind w:firstLine="709"/>
        <w:jc w:val="both"/>
        <w:rPr>
          <w:rFonts w:ascii="Arial" w:hAnsi="Arial" w:cs="Arial"/>
          <w:sz w:val="22"/>
          <w:lang w:val="es-ES_tradnl"/>
        </w:rPr>
      </w:pPr>
      <w:r w:rsidRPr="00C32774">
        <w:rPr>
          <w:rFonts w:ascii="Arial" w:hAnsi="Arial" w:cs="Arial"/>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0FC5E27E"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Esta norma debía leerse en conjunto con otras de la Ley 80 de 1993, particularmente con el artículo 30.7</w:t>
      </w:r>
      <w:r w:rsidRPr="00C32774">
        <w:rPr>
          <w:rStyle w:val="Refdenotaalpie"/>
          <w:rFonts w:ascii="Arial" w:hAnsi="Arial" w:cs="Arial"/>
          <w:sz w:val="22"/>
          <w:lang w:val="es-ES_tradnl"/>
        </w:rPr>
        <w:footnoteReference w:id="8"/>
      </w:r>
      <w:r w:rsidRPr="00C32774">
        <w:rPr>
          <w:rFonts w:ascii="Arial" w:hAnsi="Arial" w:cs="Arial"/>
          <w:sz w:val="22"/>
          <w:lang w:val="es-ES_tradnl"/>
        </w:rPr>
        <w:t xml:space="preserve">, que ordena a la entidad señalar un plazo razonable para evaluar las propuestas y para pedir a los proponentes, de ser necesario, que aclaren o expliquen aspectos que ofrezcan dudas y resulten indispensables para llevar a cabo la </w:t>
      </w:r>
      <w:r w:rsidRPr="00C32774">
        <w:rPr>
          <w:rFonts w:ascii="Arial" w:hAnsi="Arial" w:cs="Arial"/>
          <w:sz w:val="22"/>
          <w:lang w:val="es-ES_tradnl"/>
        </w:rPr>
        <w:lastRenderedPageBreak/>
        <w:t>evaluación; y con el artículo 30.8</w:t>
      </w:r>
      <w:r w:rsidRPr="00C32774">
        <w:rPr>
          <w:rStyle w:val="Refdenotaalpie"/>
          <w:rFonts w:ascii="Arial" w:hAnsi="Arial" w:cs="Arial"/>
          <w:sz w:val="22"/>
          <w:lang w:val="es-ES_tradnl"/>
        </w:rPr>
        <w:footnoteReference w:id="9"/>
      </w:r>
      <w:r w:rsidRPr="00C32774">
        <w:rPr>
          <w:rFonts w:ascii="Arial" w:hAnsi="Arial" w:cs="Arial"/>
          <w:sz w:val="22"/>
          <w:lang w:val="es-ES_tradnl"/>
        </w:rPr>
        <w:t xml:space="preserve">, que consagró el término de 5 días hábiles para que los oferentes presenten observaciones al informe de evaluación de las propuestas, sin que sea posible completar, adicionar, modificar o mejorar su oferta.  </w:t>
      </w:r>
    </w:p>
    <w:p w14:paraId="358EBC36"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3FD7458C" w14:textId="77777777" w:rsidR="00C32774" w:rsidRPr="00C32774" w:rsidRDefault="00C32774" w:rsidP="00C32774">
      <w:pPr>
        <w:spacing w:line="276" w:lineRule="auto"/>
        <w:ind w:firstLine="709"/>
        <w:jc w:val="both"/>
        <w:rPr>
          <w:rFonts w:ascii="Arial" w:hAnsi="Arial" w:cs="Arial"/>
          <w:sz w:val="22"/>
          <w:lang w:val="es-ES_tradnl"/>
        </w:rPr>
      </w:pPr>
      <w:r w:rsidRPr="00C32774">
        <w:rPr>
          <w:rFonts w:ascii="Arial" w:hAnsi="Arial" w:cs="Arial"/>
          <w:sz w:val="22"/>
          <w:lang w:val="es-ES_tradnl"/>
        </w:rPr>
        <w:t xml:space="preserve">En un </w:t>
      </w:r>
      <w:r w:rsidRPr="00C32774">
        <w:rPr>
          <w:rFonts w:ascii="Arial" w:hAnsi="Arial" w:cs="Arial"/>
          <w:i/>
          <w:sz w:val="22"/>
          <w:lang w:val="es-ES_tradnl"/>
        </w:rPr>
        <w:t>tercer momento</w:t>
      </w:r>
      <w:r w:rsidRPr="00C32774">
        <w:rPr>
          <w:rFonts w:ascii="Arial" w:hAnsi="Arial" w:cs="Arial"/>
          <w:sz w:val="22"/>
          <w:lang w:val="es-ES_tradnl"/>
        </w:rPr>
        <w:t xml:space="preserve">, y siguiendo la línea trazada por la Ley 80 de 1993, el legislador expidió la Ley 1150 de 2007, que, en el parágrafo 1º del artículo 5, determinó lo siguiente: </w:t>
      </w:r>
    </w:p>
    <w:p w14:paraId="4093F535" w14:textId="77777777" w:rsidR="00C32774" w:rsidRPr="00C32774" w:rsidRDefault="00C32774" w:rsidP="00C32774">
      <w:pPr>
        <w:spacing w:line="276" w:lineRule="auto"/>
        <w:jc w:val="both"/>
        <w:rPr>
          <w:rFonts w:ascii="Arial" w:hAnsi="Arial" w:cs="Arial"/>
          <w:sz w:val="22"/>
          <w:lang w:val="es-ES_tradnl"/>
        </w:rPr>
      </w:pPr>
    </w:p>
    <w:p w14:paraId="0732DAEF" w14:textId="77777777" w:rsidR="00C32774" w:rsidRPr="00C32774" w:rsidRDefault="00C32774" w:rsidP="00C32774">
      <w:pPr>
        <w:ind w:left="709" w:right="709"/>
        <w:jc w:val="both"/>
        <w:rPr>
          <w:rFonts w:ascii="Arial" w:hAnsi="Arial" w:cs="Arial"/>
          <w:sz w:val="22"/>
          <w:lang w:val="es-ES_tradnl"/>
        </w:rPr>
      </w:pPr>
      <w:r w:rsidRPr="00C32774">
        <w:rPr>
          <w:rFonts w:ascii="Arial" w:hAnsi="Arial" w:cs="Arial"/>
          <w:sz w:val="22"/>
          <w:lang w:val="es-ES_tradnl"/>
        </w:rPr>
        <w:t xml:space="preserve">Parágrafo 1°. La ausencia de requisitos o la falta de documentos referentes a la futura </w:t>
      </w:r>
      <w:r w:rsidRPr="00C32774">
        <w:rPr>
          <w:rFonts w:ascii="Arial" w:hAnsi="Arial" w:cs="Arial"/>
          <w:sz w:val="21"/>
          <w:szCs w:val="21"/>
          <w:lang w:val="es-ES_tradnl"/>
        </w:rPr>
        <w:t>contratación</w:t>
      </w:r>
      <w:r w:rsidRPr="00C32774">
        <w:rPr>
          <w:rFonts w:ascii="Arial" w:hAnsi="Arial" w:cs="Arial"/>
          <w:sz w:val="22"/>
          <w:lang w:val="es-ES_tradnl"/>
        </w:rPr>
        <w:t xml:space="preserve"> o al proponente, no necesarios para la comparación de las propuestas no servirán de título suficiente para el rechazo de los ofrecimientos hechos. En consecuencia</w:t>
      </w:r>
      <w:r w:rsidRPr="00C32774">
        <w:rPr>
          <w:rFonts w:ascii="Arial" w:hAnsi="Arial" w:cs="Arial"/>
          <w:b/>
          <w:sz w:val="22"/>
          <w:lang w:val="es-ES_tradnl"/>
        </w:rPr>
        <w:t xml:space="preserve">, </w:t>
      </w:r>
      <w:r w:rsidRPr="00C32774">
        <w:rPr>
          <w:rFonts w:ascii="Arial" w:hAnsi="Arial" w:cs="Arial"/>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4505ACC9" w14:textId="77777777" w:rsidR="00C32774" w:rsidRPr="00C32774" w:rsidRDefault="00C32774" w:rsidP="00C32774">
      <w:pPr>
        <w:spacing w:line="276" w:lineRule="auto"/>
        <w:jc w:val="both"/>
        <w:rPr>
          <w:rFonts w:ascii="Arial" w:hAnsi="Arial" w:cs="Arial"/>
          <w:b/>
          <w:sz w:val="22"/>
          <w:lang w:val="es-ES_tradnl"/>
        </w:rPr>
      </w:pPr>
    </w:p>
    <w:p w14:paraId="05C26A13" w14:textId="77777777" w:rsidR="00C32774" w:rsidRPr="00C32774" w:rsidRDefault="00C32774" w:rsidP="00C32774">
      <w:pPr>
        <w:spacing w:line="276" w:lineRule="auto"/>
        <w:ind w:firstLine="709"/>
        <w:jc w:val="both"/>
        <w:rPr>
          <w:rFonts w:ascii="Arial" w:hAnsi="Arial" w:cs="Arial"/>
          <w:sz w:val="22"/>
          <w:lang w:val="es-ES_tradnl"/>
        </w:rPr>
      </w:pPr>
      <w:r w:rsidRPr="00C32774">
        <w:rPr>
          <w:rFonts w:ascii="Arial" w:hAnsi="Arial" w:cs="Arial"/>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0E6C0038" w14:textId="6DE0F48B"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w:t>
      </w:r>
    </w:p>
    <w:p w14:paraId="6051295A" w14:textId="5DD62901"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Si, al verificar la Administración, encuentra que lo omitido por el proponente es un aspecto que otorga puntaje, no es posible subsanarlo; pero, si lo omitido no otorga puntaje, la Administración debe requerir al proponente para que lo subsane.</w:t>
      </w:r>
    </w:p>
    <w:p w14:paraId="24AC46B3" w14:textId="77777777" w:rsidR="00C32774" w:rsidRPr="00C32774" w:rsidRDefault="00C32774" w:rsidP="00C32774">
      <w:pPr>
        <w:spacing w:line="276" w:lineRule="auto"/>
        <w:ind w:firstLine="709"/>
        <w:jc w:val="both"/>
        <w:rPr>
          <w:rFonts w:ascii="Arial" w:hAnsi="Arial" w:cs="Arial"/>
          <w:sz w:val="22"/>
          <w:lang w:val="es-ES_tradnl"/>
        </w:rPr>
      </w:pPr>
      <w:r w:rsidRPr="00C32774">
        <w:rPr>
          <w:rFonts w:ascii="Arial" w:hAnsi="Arial" w:cs="Arial"/>
          <w:sz w:val="22"/>
          <w:lang w:val="es-ES_tradnl"/>
        </w:rPr>
        <w:t xml:space="preserve">El artículo 5 de la Ley 1150 de 2007, además de consagrar un criterio más claro, y, de paso, reducir la discrecionalidad de la Administración, fijó un ámbito temporal para la </w:t>
      </w:r>
      <w:r w:rsidRPr="00C32774">
        <w:rPr>
          <w:rFonts w:ascii="Arial" w:hAnsi="Arial" w:cs="Arial"/>
          <w:sz w:val="22"/>
          <w:lang w:val="es-ES_tradnl"/>
        </w:rPr>
        <w:lastRenderedPageBreak/>
        <w:t xml:space="preserve">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0021152D" w14:textId="77777777" w:rsidR="00C32774" w:rsidRPr="00C32774" w:rsidRDefault="00C32774" w:rsidP="00C32774">
      <w:pPr>
        <w:spacing w:line="276" w:lineRule="auto"/>
        <w:jc w:val="both"/>
        <w:rPr>
          <w:rFonts w:ascii="Arial" w:hAnsi="Arial" w:cs="Arial"/>
          <w:sz w:val="22"/>
          <w:lang w:val="es-ES_tradnl"/>
        </w:rPr>
      </w:pPr>
    </w:p>
    <w:p w14:paraId="10361227"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C32774">
        <w:rPr>
          <w:rStyle w:val="Refdenotaalpie"/>
          <w:rFonts w:ascii="Arial" w:hAnsi="Arial" w:cs="Arial"/>
          <w:sz w:val="21"/>
          <w:szCs w:val="21"/>
          <w:lang w:val="es-ES_tradnl"/>
        </w:rPr>
        <w:footnoteReference w:id="10"/>
      </w:r>
      <w:r w:rsidRPr="00C32774">
        <w:rPr>
          <w:rFonts w:ascii="Arial" w:hAnsi="Arial" w:cs="Arial"/>
          <w:sz w:val="21"/>
          <w:szCs w:val="21"/>
          <w:lang w:val="es-ES_tradnl"/>
        </w:rPr>
        <w:t>.</w:t>
      </w:r>
    </w:p>
    <w:p w14:paraId="05631B7E" w14:textId="77777777" w:rsidR="00C32774" w:rsidRPr="00C32774" w:rsidRDefault="00C32774" w:rsidP="00C32774">
      <w:pPr>
        <w:spacing w:line="276" w:lineRule="auto"/>
        <w:jc w:val="both"/>
        <w:rPr>
          <w:rFonts w:ascii="Arial" w:hAnsi="Arial" w:cs="Arial"/>
          <w:b/>
          <w:sz w:val="22"/>
          <w:lang w:val="es-ES_tradnl"/>
        </w:rPr>
      </w:pPr>
    </w:p>
    <w:p w14:paraId="462270E5" w14:textId="77777777" w:rsidR="00C32774" w:rsidRPr="00C32774" w:rsidRDefault="00C32774" w:rsidP="00C32774">
      <w:pPr>
        <w:pStyle w:val="Textoindependiente"/>
        <w:tabs>
          <w:tab w:val="left" w:pos="284"/>
        </w:tabs>
        <w:spacing w:after="0"/>
        <w:ind w:firstLine="709"/>
        <w:jc w:val="both"/>
        <w:rPr>
          <w:rFonts w:ascii="Arial" w:eastAsiaTheme="minorHAnsi" w:hAnsi="Arial" w:cs="Arial"/>
          <w:lang w:val="es-ES_tradnl" w:eastAsia="en-US"/>
        </w:rPr>
      </w:pPr>
      <w:r w:rsidRPr="00C32774">
        <w:rPr>
          <w:rFonts w:ascii="Arial" w:eastAsiaTheme="minorHAnsi" w:hAnsi="Arial" w:cs="Arial"/>
          <w:lang w:val="es-ES_tradnl" w:eastAsia="en-US"/>
        </w:rPr>
        <w:t xml:space="preserve">Esa interpretación fue compartida por la </w:t>
      </w:r>
      <w:r w:rsidRPr="00C32774">
        <w:rPr>
          <w:rFonts w:ascii="Arial" w:hAnsi="Arial" w:cs="Arial"/>
          <w:lang w:val="es-ES_tradnl"/>
        </w:rPr>
        <w:t>Agencia Nacional de Contratación Pública – Colombia Compra Eficiente –</w:t>
      </w:r>
      <w:r w:rsidRPr="00C32774">
        <w:rPr>
          <w:rFonts w:ascii="Arial" w:eastAsiaTheme="minorHAnsi" w:hAnsi="Arial" w:cs="Arial"/>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3251CF19" w14:textId="77777777" w:rsidR="00C32774" w:rsidRPr="00C32774" w:rsidRDefault="00C32774" w:rsidP="00C32774">
      <w:pPr>
        <w:pStyle w:val="Textoindependiente"/>
        <w:tabs>
          <w:tab w:val="left" w:pos="284"/>
        </w:tabs>
        <w:spacing w:before="120" w:after="0"/>
        <w:ind w:firstLine="709"/>
        <w:jc w:val="both"/>
        <w:rPr>
          <w:rFonts w:ascii="Arial" w:eastAsiaTheme="minorHAnsi" w:hAnsi="Arial" w:cs="Arial"/>
          <w:lang w:val="es-ES_tradnl" w:eastAsia="en-US"/>
        </w:rPr>
      </w:pPr>
      <w:r w:rsidRPr="00C32774">
        <w:rPr>
          <w:rFonts w:ascii="Arial" w:hAnsi="Arial" w:cs="Arial"/>
          <w:lang w:val="es-ES_tradnl"/>
        </w:rPr>
        <w:t xml:space="preserve">En un </w:t>
      </w:r>
      <w:r w:rsidRPr="00C32774">
        <w:rPr>
          <w:rFonts w:ascii="Arial" w:hAnsi="Arial" w:cs="Arial"/>
          <w:i/>
          <w:lang w:val="es-ES_tradnl"/>
        </w:rPr>
        <w:t>cuarto momento</w:t>
      </w:r>
      <w:r w:rsidRPr="00C32774">
        <w:rPr>
          <w:rFonts w:ascii="Arial" w:hAnsi="Arial" w:cs="Arial"/>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0782D032" w14:textId="77777777" w:rsidR="00C32774" w:rsidRPr="00C32774" w:rsidRDefault="00C32774" w:rsidP="00C32774">
      <w:pPr>
        <w:spacing w:line="276" w:lineRule="auto"/>
        <w:jc w:val="both"/>
        <w:rPr>
          <w:rFonts w:ascii="Arial" w:hAnsi="Arial" w:cs="Arial"/>
          <w:sz w:val="22"/>
          <w:lang w:val="es-ES_tradnl"/>
        </w:rPr>
      </w:pPr>
    </w:p>
    <w:p w14:paraId="4079C709"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 xml:space="preserve">Artículo 5°. De la selección objetiva. </w:t>
      </w:r>
    </w:p>
    <w:p w14:paraId="1AD578F1"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 xml:space="preserve">(... ) </w:t>
      </w:r>
    </w:p>
    <w:p w14:paraId="0A8D72C5" w14:textId="77777777" w:rsidR="00C32774" w:rsidRPr="00C32774" w:rsidRDefault="00C32774" w:rsidP="00C32774">
      <w:pPr>
        <w:ind w:left="709" w:right="709"/>
        <w:jc w:val="both"/>
        <w:rPr>
          <w:rFonts w:ascii="Arial" w:hAnsi="Arial" w:cs="Arial"/>
          <w:sz w:val="21"/>
          <w:szCs w:val="21"/>
          <w:lang w:val="es-ES_tradnl"/>
        </w:rPr>
      </w:pPr>
    </w:p>
    <w:p w14:paraId="6F78B266" w14:textId="77777777" w:rsidR="00C32774" w:rsidRPr="00C32774" w:rsidRDefault="00C32774" w:rsidP="00C32774">
      <w:pPr>
        <w:ind w:left="709" w:right="709"/>
        <w:jc w:val="both"/>
        <w:rPr>
          <w:rFonts w:ascii="Arial" w:hAnsi="Arial" w:cs="Arial"/>
          <w:sz w:val="21"/>
          <w:szCs w:val="21"/>
          <w:lang w:val="es-ES_tradnl"/>
        </w:rPr>
      </w:pPr>
      <w:r w:rsidRPr="00C32774">
        <w:rPr>
          <w:rFonts w:ascii="Arial"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w:t>
      </w:r>
      <w:r w:rsidRPr="00C32774">
        <w:rPr>
          <w:rFonts w:ascii="Arial" w:hAnsi="Arial" w:cs="Arial"/>
          <w:sz w:val="21"/>
          <w:szCs w:val="21"/>
          <w:lang w:val="es-ES_tradnl"/>
        </w:rPr>
        <w:lastRenderedPageBreak/>
        <w:t xml:space="preserve">proponentes no podrán acreditar circunstancias ocurridas con posterioridad al cierre del proceso. </w:t>
      </w:r>
    </w:p>
    <w:p w14:paraId="0460F429" w14:textId="77777777" w:rsidR="00C32774" w:rsidRPr="00C32774" w:rsidRDefault="00C32774" w:rsidP="00C32774">
      <w:pPr>
        <w:spacing w:line="276" w:lineRule="auto"/>
        <w:jc w:val="both"/>
        <w:rPr>
          <w:rFonts w:ascii="Arial" w:hAnsi="Arial" w:cs="Arial"/>
          <w:b/>
          <w:sz w:val="22"/>
          <w:lang w:val="es-ES_tradnl"/>
        </w:rPr>
      </w:pPr>
    </w:p>
    <w:p w14:paraId="16837B2D" w14:textId="77777777" w:rsidR="00C32774" w:rsidRPr="00C32774" w:rsidRDefault="00C32774" w:rsidP="00C32774">
      <w:pPr>
        <w:spacing w:line="276" w:lineRule="auto"/>
        <w:ind w:firstLine="709"/>
        <w:jc w:val="both"/>
        <w:rPr>
          <w:rFonts w:ascii="Arial" w:hAnsi="Arial" w:cs="Arial"/>
          <w:sz w:val="22"/>
          <w:lang w:val="es-ES_tradnl"/>
        </w:rPr>
      </w:pPr>
      <w:r w:rsidRPr="00C32774">
        <w:rPr>
          <w:rFonts w:ascii="Arial" w:hAnsi="Arial" w:cs="Arial"/>
          <w:sz w:val="22"/>
          <w:lang w:val="es-ES_tradnl"/>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 </w:t>
      </w:r>
    </w:p>
    <w:p w14:paraId="4D191C41"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C32774">
        <w:rPr>
          <w:rFonts w:ascii="Arial" w:eastAsia="Calibri" w:hAnsi="Arial" w:cs="Arial"/>
          <w:sz w:val="22"/>
          <w:lang w:val="es-ES_tradnl"/>
        </w:rPr>
        <w:t>de selección a través del sistema de subasta</w:t>
      </w:r>
      <w:r w:rsidRPr="00C32774">
        <w:rPr>
          <w:rStyle w:val="Refdenotaalpie"/>
          <w:rFonts w:ascii="Arial" w:eastAsia="Calibri" w:hAnsi="Arial" w:cs="Arial"/>
          <w:sz w:val="22"/>
          <w:lang w:val="es-ES_tradnl"/>
        </w:rPr>
        <w:footnoteReference w:id="11"/>
      </w:r>
      <w:r w:rsidRPr="00C32774">
        <w:rPr>
          <w:rFonts w:ascii="Arial" w:eastAsia="Calibri" w:hAnsi="Arial" w:cs="Arial"/>
          <w:sz w:val="22"/>
          <w:lang w:val="es-ES_tradnl"/>
        </w:rPr>
        <w:t xml:space="preserve">; en el último los documentos o requisitos subsanables pueden y deben solicitarse hasta el momento previo a su realización.  </w:t>
      </w:r>
    </w:p>
    <w:p w14:paraId="575DB836"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eastAsia="Calibri" w:hAnsi="Arial" w:cs="Arial"/>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4170DE36"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eastAsia="Calibri" w:hAnsi="Arial" w:cs="Arial"/>
          <w:sz w:val="22"/>
          <w:lang w:val="es-ES_tradnl"/>
        </w:rPr>
        <w:t>En efecto, la redacción de la norma permite que la Administración solicite a los oferentes subsanar y que estos lo hagan hasta antes del término del traslado del informe de evaluación: «</w:t>
      </w:r>
      <w:r w:rsidRPr="00C32774">
        <w:rPr>
          <w:rFonts w:ascii="Arial" w:hAnsi="Arial" w:cs="Arial"/>
          <w:sz w:val="22"/>
          <w:lang w:val="es-ES_tradnl"/>
        </w:rPr>
        <w:t xml:space="preserve">deberán ser solicitados por las entidades estatales y deberán ser entregados por los proponentes hasta el término de traslado del informe de evaluación que corresponda a cada modalidad de selección». </w:t>
      </w:r>
    </w:p>
    <w:p w14:paraId="22099B5B"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6599AE73"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De acuerdo con la primera interpretación, el informe de evaluación se convierte en la oportunidad que adopta la Administración para decirles a los oferentes qué documentos </w:t>
      </w:r>
      <w:r w:rsidRPr="00C32774">
        <w:rPr>
          <w:rFonts w:ascii="Arial" w:hAnsi="Arial" w:cs="Arial"/>
          <w:sz w:val="22"/>
          <w:lang w:val="es-ES_tradnl"/>
        </w:rPr>
        <w:lastRenderedPageBreak/>
        <w:t xml:space="preserve">o requisitos omitieron y deben subsanar y, consecuentemente, el término del traslado es la oportunidad del proponente para cumplir con lo solicitado.  </w:t>
      </w:r>
    </w:p>
    <w:p w14:paraId="53C65B0D"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publique el informe ya se encuentren subsanadas las propuestas, sin perjuicio del término límite que concedió la ley.</w:t>
      </w:r>
    </w:p>
    <w:p w14:paraId="7B9FE36D"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3FE4C768"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46C2AF88"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eastAsia="Calibri" w:hAnsi="Arial" w:cs="Arial"/>
          <w:sz w:val="22"/>
          <w:lang w:val="es-ES_tradnl"/>
        </w:rPr>
        <w:t>De otro lado, el segundo cambio importante de la Ley 1882 de 2018 fue la introducción de un criterio material, directamente relacionado con los aspectos subsanables: «</w:t>
      </w:r>
      <w:r w:rsidRPr="00C32774">
        <w:rPr>
          <w:rFonts w:ascii="Arial" w:hAnsi="Arial" w:cs="Arial"/>
          <w:sz w:val="22"/>
          <w:lang w:val="es-ES_tradnl"/>
        </w:rPr>
        <w:t xml:space="preserve">los proponentes no podrán acreditar circunstancias ocurridas con posterioridad al cierre del proceso». Lo anterior nos ofrece dos aspectos que merecen clarificación; primero, qué debe entenderse por circunstancias ocurridas con posterioridad; y segundo, qué es el cierre del proceso. </w:t>
      </w:r>
    </w:p>
    <w:p w14:paraId="35D4CA93" w14:textId="77777777" w:rsidR="00C32774" w:rsidRPr="00C32774" w:rsidRDefault="00C32774" w:rsidP="00C32774">
      <w:pPr>
        <w:spacing w:before="120" w:after="120" w:line="276" w:lineRule="auto"/>
        <w:ind w:firstLine="709"/>
        <w:jc w:val="both"/>
        <w:rPr>
          <w:rFonts w:ascii="Arial" w:hAnsi="Arial" w:cs="Arial"/>
          <w:sz w:val="22"/>
          <w:lang w:val="es-ES_tradnl"/>
        </w:rPr>
      </w:pPr>
      <w:r w:rsidRPr="00C32774">
        <w:rPr>
          <w:rFonts w:ascii="Arial" w:hAnsi="Arial" w:cs="Arial"/>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C32774">
        <w:rPr>
          <w:rStyle w:val="Refdenotaalpie"/>
          <w:rFonts w:ascii="Arial" w:hAnsi="Arial" w:cs="Arial"/>
          <w:sz w:val="22"/>
          <w:lang w:val="es-ES_tradnl"/>
        </w:rPr>
        <w:footnoteReference w:id="12"/>
      </w:r>
      <w:r w:rsidRPr="00C32774">
        <w:rPr>
          <w:rFonts w:ascii="Arial" w:hAnsi="Arial" w:cs="Arial"/>
          <w:sz w:val="22"/>
          <w:lang w:val="es-ES_tradnl"/>
        </w:rPr>
        <w:t xml:space="preserve">, que había determinado que en ningún </w:t>
      </w:r>
      <w:r w:rsidRPr="00C32774">
        <w:rPr>
          <w:rFonts w:ascii="Arial" w:hAnsi="Arial" w:cs="Arial"/>
          <w:sz w:val="22"/>
          <w:lang w:val="es-ES_tradnl"/>
        </w:rPr>
        <w:lastRenderedPageBreak/>
        <w:t>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C32774">
        <w:rPr>
          <w:rStyle w:val="Refdenotaalpie"/>
          <w:rFonts w:ascii="Arial" w:hAnsi="Arial" w:cs="Arial"/>
          <w:sz w:val="21"/>
          <w:szCs w:val="21"/>
          <w:lang w:val="es-ES_tradnl"/>
        </w:rPr>
        <w:footnoteReference w:id="13"/>
      </w:r>
      <w:r w:rsidRPr="00C32774">
        <w:rPr>
          <w:rFonts w:ascii="Arial" w:hAnsi="Arial" w:cs="Arial"/>
          <w:sz w:val="21"/>
          <w:szCs w:val="21"/>
          <w:lang w:val="es-ES_tradnl"/>
        </w:rPr>
        <w:t>.</w:t>
      </w:r>
    </w:p>
    <w:p w14:paraId="3F6C3EE5" w14:textId="77777777" w:rsidR="00C32774" w:rsidRPr="00C32774" w:rsidRDefault="00C32774" w:rsidP="00C32774">
      <w:pPr>
        <w:spacing w:before="120" w:after="120" w:line="276" w:lineRule="auto"/>
        <w:ind w:firstLine="709"/>
        <w:jc w:val="both"/>
        <w:rPr>
          <w:rFonts w:ascii="Arial" w:eastAsia="Calibri" w:hAnsi="Arial" w:cs="Arial"/>
          <w:sz w:val="22"/>
          <w:lang w:val="es-ES_tradnl"/>
        </w:rPr>
      </w:pPr>
      <w:r w:rsidRPr="00C32774">
        <w:rPr>
          <w:rFonts w:ascii="Arial" w:eastAsia="Calibri"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6B5BAB2" w14:textId="77777777" w:rsidR="00C32774" w:rsidRPr="00C32774" w:rsidRDefault="00C32774" w:rsidP="00C32774">
      <w:pPr>
        <w:spacing w:before="120" w:after="120" w:line="276" w:lineRule="auto"/>
        <w:ind w:firstLine="709"/>
        <w:jc w:val="both"/>
        <w:rPr>
          <w:rFonts w:ascii="Arial" w:eastAsia="Calibri" w:hAnsi="Arial" w:cs="Arial"/>
          <w:sz w:val="22"/>
          <w:lang w:val="es-ES_tradnl"/>
        </w:rPr>
      </w:pPr>
      <w:r w:rsidRPr="00C32774">
        <w:rPr>
          <w:rFonts w:ascii="Arial" w:eastAsia="Calibri" w:hAnsi="Arial" w:cs="Arial"/>
          <w:sz w:val="22"/>
          <w:lang w:val="es-ES_tradnl"/>
        </w:rPr>
        <w:t xml:space="preserve">Un mejor entendimiento del significado de la expresión «circunstancias ocurridas con posterioridad al cierre del proceso» nos lleva necesariamente a distinguir entre la </w:t>
      </w:r>
      <w:r w:rsidRPr="00C32774">
        <w:rPr>
          <w:rFonts w:ascii="Arial" w:eastAsia="Calibri" w:hAnsi="Arial" w:cs="Arial"/>
          <w:sz w:val="22"/>
          <w:lang w:val="es-ES_tradnl"/>
        </w:rPr>
        <w:lastRenderedPageBreak/>
        <w:t xml:space="preserve">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 </w:t>
      </w:r>
    </w:p>
    <w:p w14:paraId="74C820E4" w14:textId="77777777" w:rsidR="00C32774" w:rsidRPr="00C32774" w:rsidRDefault="00C32774" w:rsidP="00C32774">
      <w:pPr>
        <w:spacing w:before="120" w:after="120" w:line="276" w:lineRule="auto"/>
        <w:ind w:firstLine="709"/>
        <w:jc w:val="both"/>
        <w:rPr>
          <w:rFonts w:ascii="Arial" w:eastAsia="Calibri" w:hAnsi="Arial" w:cs="Arial"/>
          <w:sz w:val="22"/>
          <w:lang w:val="es-ES_tradnl"/>
        </w:rPr>
      </w:pPr>
      <w:r w:rsidRPr="00C32774">
        <w:rPr>
          <w:rFonts w:ascii="Arial" w:eastAsia="Calibri" w:hAnsi="Arial" w:cs="Arial"/>
          <w:sz w:val="22"/>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C32774">
        <w:rPr>
          <w:rStyle w:val="Refdenotaalpie"/>
          <w:rFonts w:ascii="Arial" w:eastAsia="Calibri" w:hAnsi="Arial" w:cs="Arial"/>
          <w:sz w:val="22"/>
          <w:lang w:val="es-ES_tradnl"/>
        </w:rPr>
        <w:footnoteReference w:id="14"/>
      </w:r>
      <w:r w:rsidRPr="00C32774">
        <w:rPr>
          <w:rFonts w:ascii="Arial" w:eastAsia="Calibri" w:hAnsi="Arial" w:cs="Arial"/>
          <w:sz w:val="22"/>
          <w:lang w:val="es-ES_tradnl"/>
        </w:rPr>
        <w:t>; iii) si un oferente no anexó el Certificado de existencia y representación legal, el documento aportado con posterioridad debe dar cuenta de que la sociedad existe antes del cierre del proceso</w:t>
      </w:r>
      <w:r w:rsidRPr="00C32774">
        <w:rPr>
          <w:rStyle w:val="Refdenotaalpie"/>
          <w:rFonts w:ascii="Arial" w:eastAsia="Calibri" w:hAnsi="Arial" w:cs="Arial"/>
          <w:sz w:val="22"/>
          <w:lang w:val="es-ES_tradnl"/>
        </w:rPr>
        <w:footnoteReference w:id="15"/>
      </w:r>
      <w:r w:rsidRPr="00C32774">
        <w:rPr>
          <w:rFonts w:ascii="Arial" w:eastAsia="Calibri" w:hAnsi="Arial" w:cs="Arial"/>
          <w:sz w:val="22"/>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3CA2D00D" w14:textId="77777777" w:rsidR="00C32774" w:rsidRPr="00C32774" w:rsidRDefault="00C32774" w:rsidP="00C32774">
      <w:pPr>
        <w:spacing w:before="120" w:after="120" w:line="276" w:lineRule="auto"/>
        <w:ind w:firstLine="709"/>
        <w:jc w:val="both"/>
        <w:rPr>
          <w:rFonts w:ascii="Arial" w:eastAsia="Calibri" w:hAnsi="Arial" w:cs="Arial"/>
          <w:sz w:val="22"/>
          <w:lang w:val="es-ES_tradnl"/>
        </w:rPr>
      </w:pPr>
      <w:r w:rsidRPr="00C32774">
        <w:rPr>
          <w:rFonts w:ascii="Arial" w:eastAsia="Calibri" w:hAnsi="Arial" w:cs="Arial"/>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4D145B10" w14:textId="77777777" w:rsidR="00C32774" w:rsidRPr="00C32774" w:rsidRDefault="00C32774" w:rsidP="00C32774">
      <w:pPr>
        <w:spacing w:before="120" w:after="120" w:line="276" w:lineRule="auto"/>
        <w:ind w:firstLine="709"/>
        <w:jc w:val="both"/>
        <w:rPr>
          <w:rFonts w:ascii="Arial" w:eastAsia="Calibri" w:hAnsi="Arial" w:cs="Arial"/>
          <w:sz w:val="21"/>
          <w:szCs w:val="21"/>
          <w:lang w:val="es-ES_tradnl"/>
        </w:rPr>
      </w:pPr>
      <w:r w:rsidRPr="00C32774">
        <w:rPr>
          <w:rFonts w:ascii="Arial" w:eastAsia="Calibri" w:hAnsi="Arial" w:cs="Arial"/>
          <w:sz w:val="22"/>
          <w:lang w:val="es-ES_tradnl"/>
        </w:rPr>
        <w:t xml:space="preserve">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w:t>
      </w:r>
      <w:r w:rsidRPr="00C32774">
        <w:rPr>
          <w:rFonts w:ascii="Arial" w:eastAsia="Calibri" w:hAnsi="Arial" w:cs="Arial"/>
          <w:sz w:val="22"/>
          <w:lang w:val="es-ES_tradnl"/>
        </w:rPr>
        <w:lastRenderedPageBreak/>
        <w:t>del plazo para presentar ofertas»</w:t>
      </w:r>
      <w:r w:rsidRPr="00C32774">
        <w:rPr>
          <w:rFonts w:ascii="Arial" w:eastAsia="Calibri" w:hAnsi="Arial" w:cs="Arial"/>
          <w:sz w:val="22"/>
          <w:vertAlign w:val="superscript"/>
          <w:lang w:val="es-ES_tradnl"/>
        </w:rPr>
        <w:footnoteReference w:id="16"/>
      </w:r>
      <w:r w:rsidRPr="00C32774">
        <w:rPr>
          <w:rFonts w:ascii="Arial" w:eastAsia="Calibri" w:hAnsi="Arial" w:cs="Arial"/>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w:t>
      </w:r>
    </w:p>
    <w:p w14:paraId="20F65493" w14:textId="77777777" w:rsidR="00C32774" w:rsidRPr="00C32774" w:rsidRDefault="00C32774" w:rsidP="00C32774">
      <w:pPr>
        <w:spacing w:before="120" w:after="120" w:line="276" w:lineRule="auto"/>
        <w:ind w:firstLine="709"/>
        <w:jc w:val="both"/>
        <w:rPr>
          <w:rFonts w:ascii="Arial" w:eastAsia="Calibri" w:hAnsi="Arial" w:cs="Arial"/>
          <w:sz w:val="22"/>
        </w:rPr>
      </w:pPr>
      <w:r w:rsidRPr="00C32774">
        <w:rPr>
          <w:rFonts w:ascii="Arial" w:eastAsia="Calibri" w:hAnsi="Arial" w:cs="Arial"/>
          <w:sz w:val="22"/>
          <w:lang w:val="es-ES_tradnl"/>
        </w:rPr>
        <w:t xml:space="preserve">Esta tesis fue reiterada por la Agencia Nacional de Contratación Pública – Colombia Compra Eficiente en el concepto con radicado </w:t>
      </w:r>
      <w:r w:rsidRPr="00C32774">
        <w:rPr>
          <w:rFonts w:ascii="Arial" w:eastAsia="Calibri" w:hAnsi="Arial" w:cs="Arial"/>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25174420" w14:textId="77777777" w:rsidR="00C32774" w:rsidRPr="00C32774" w:rsidRDefault="00C32774" w:rsidP="00C32774">
      <w:pPr>
        <w:spacing w:before="120" w:after="120" w:line="276" w:lineRule="auto"/>
        <w:ind w:firstLine="709"/>
        <w:jc w:val="both"/>
        <w:rPr>
          <w:rFonts w:ascii="Arial" w:eastAsia="Calibri" w:hAnsi="Arial" w:cs="Arial"/>
          <w:sz w:val="22"/>
        </w:rPr>
      </w:pPr>
      <w:r w:rsidRPr="00C32774">
        <w:rPr>
          <w:rFonts w:ascii="Arial" w:eastAsia="Calibri" w:hAnsi="Arial" w:cs="Arial"/>
          <w:sz w:val="22"/>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w:t>
      </w:r>
      <w:r w:rsidRPr="00C32774">
        <w:rPr>
          <w:rFonts w:ascii="Arial" w:eastAsia="Calibri" w:hAnsi="Arial" w:cs="Arial"/>
          <w:i/>
          <w:iCs/>
          <w:sz w:val="22"/>
        </w:rPr>
        <w:t>2201913000008048</w:t>
      </w:r>
      <w:r w:rsidRPr="00C32774">
        <w:rPr>
          <w:rFonts w:ascii="Arial" w:eastAsia="Calibri" w:hAnsi="Arial" w:cs="Arial"/>
          <w:sz w:val="22"/>
        </w:rPr>
        <w:t xml:space="preserve"> del 28 de octubre de 2019 –que indicó que no era posible, so pretexto de subsanar, modificar el porcentaje de participación en un consorcio o unión temporal, porque esto comportaba cambiar la oferta, acreditando circunstancias posteriores al cierre–; </w:t>
      </w:r>
      <w:r w:rsidRPr="00C32774">
        <w:rPr>
          <w:rFonts w:ascii="Arial" w:eastAsia="Calibri" w:hAnsi="Arial" w:cs="Arial"/>
          <w:i/>
          <w:iCs/>
          <w:sz w:val="22"/>
        </w:rPr>
        <w:t>2201913000008850</w:t>
      </w:r>
      <w:r w:rsidRPr="00C32774">
        <w:rPr>
          <w:rFonts w:ascii="Arial" w:eastAsia="Calibri" w:hAnsi="Arial" w:cs="Arial"/>
          <w:sz w:val="22"/>
        </w:rPr>
        <w:t xml:space="preserve"> del 29 de noviembre de 2019 –en el que sostuvo que un proponente podría subsanar la experiencia, en tanto requisito habilitante, o sea, que no otorgara puntaje, aportando nuevas certificaciones, siempre que con ellas no se probara una experiencia que no se tenía antes del cierre–; </w:t>
      </w:r>
      <w:r w:rsidRPr="00C32774">
        <w:rPr>
          <w:rFonts w:ascii="Arial" w:eastAsia="Calibri" w:hAnsi="Arial" w:cs="Arial"/>
          <w:i/>
          <w:iCs/>
          <w:sz w:val="22"/>
        </w:rPr>
        <w:t>2201913000009373</w:t>
      </w:r>
      <w:r w:rsidRPr="00C32774">
        <w:rPr>
          <w:rFonts w:ascii="Arial" w:eastAsia="Calibri" w:hAnsi="Arial" w:cs="Arial"/>
          <w:sz w:val="22"/>
        </w:rPr>
        <w:t xml:space="preserve">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w:t>
      </w:r>
      <w:r w:rsidRPr="00C32774">
        <w:rPr>
          <w:rFonts w:ascii="Arial" w:eastAsia="Calibri" w:hAnsi="Arial" w:cs="Arial"/>
          <w:i/>
          <w:iCs/>
          <w:sz w:val="22"/>
        </w:rPr>
        <w:t>2201913000008049</w:t>
      </w:r>
      <w:r w:rsidRPr="00C32774">
        <w:rPr>
          <w:rFonts w:ascii="Arial" w:eastAsia="Calibri" w:hAnsi="Arial" w:cs="Arial"/>
          <w:sz w:val="22"/>
        </w:rPr>
        <w:t xml:space="preserve">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089D465C" w14:textId="77777777" w:rsidR="00C32774" w:rsidRPr="00C32774" w:rsidRDefault="00C32774" w:rsidP="00C32774">
      <w:pPr>
        <w:spacing w:before="120" w:after="120" w:line="276" w:lineRule="auto"/>
        <w:ind w:firstLine="709"/>
        <w:jc w:val="both"/>
        <w:rPr>
          <w:rFonts w:ascii="Arial" w:eastAsia="Calibri" w:hAnsi="Arial" w:cs="Arial"/>
          <w:sz w:val="22"/>
          <w:lang w:val="es-ES_tradnl"/>
        </w:rPr>
      </w:pPr>
      <w:r w:rsidRPr="00C32774">
        <w:rPr>
          <w:rFonts w:ascii="Arial" w:eastAsia="Calibri" w:hAnsi="Arial" w:cs="Arial"/>
          <w:sz w:val="22"/>
          <w:lang w:val="es-ES_tradnl"/>
        </w:rPr>
        <w:lastRenderedPageBreak/>
        <w:t xml:space="preserve">Visto lo anterior, una vez verificada la ausencia de requisitos y/o documentos de la oferta, para efectos de saber si se puede subsanar, la Administración se debe preguntar, en primer lugar, si lo que hace falta es un </w:t>
      </w:r>
      <w:r w:rsidRPr="00C32774">
        <w:rPr>
          <w:rFonts w:ascii="Arial" w:eastAsia="Calibri" w:hAnsi="Arial" w:cs="Arial"/>
          <w:i/>
          <w:sz w:val="22"/>
          <w:lang w:val="es-ES_tradnl"/>
        </w:rPr>
        <w:t>ítem</w:t>
      </w:r>
      <w:r w:rsidRPr="00C32774">
        <w:rPr>
          <w:rFonts w:ascii="Arial" w:eastAsia="Calibri" w:hAnsi="Arial" w:cs="Arial"/>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146B19CC" w14:textId="17847981" w:rsidR="00E32E46" w:rsidRDefault="00C32774" w:rsidP="00396889">
      <w:pPr>
        <w:spacing w:line="276" w:lineRule="auto"/>
        <w:ind w:firstLine="709"/>
        <w:jc w:val="both"/>
        <w:rPr>
          <w:rFonts w:ascii="Arial" w:eastAsia="Calibri" w:hAnsi="Arial" w:cs="Arial"/>
          <w:sz w:val="22"/>
          <w:lang w:val="es-ES_tradnl"/>
        </w:rPr>
      </w:pPr>
      <w:r w:rsidRPr="00C32774">
        <w:rPr>
          <w:rFonts w:ascii="Arial" w:eastAsia="Calibri" w:hAnsi="Arial" w:cs="Arial"/>
          <w:sz w:val="22"/>
          <w:lang w:val="es-ES_tradn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2E758912" w14:textId="7E17FA95" w:rsidR="00AA3850" w:rsidRDefault="00AA3850" w:rsidP="00AA3850">
      <w:pPr>
        <w:spacing w:before="120" w:line="276" w:lineRule="auto"/>
        <w:jc w:val="both"/>
        <w:rPr>
          <w:rFonts w:ascii="Arial" w:eastAsia="Calibri" w:hAnsi="Arial" w:cs="Arial"/>
          <w:b/>
          <w:bCs/>
          <w:sz w:val="22"/>
          <w:lang w:val="es-ES_tradnl"/>
        </w:rPr>
      </w:pPr>
      <w:r w:rsidRPr="00DD55C9">
        <w:rPr>
          <w:rFonts w:ascii="Arial" w:eastAsia="Calibri" w:hAnsi="Arial" w:cs="Arial"/>
          <w:b/>
          <w:bCs/>
          <w:sz w:val="22"/>
          <w:lang w:val="es-ES_tradnl"/>
        </w:rPr>
        <w:t>2.5.</w:t>
      </w:r>
      <w:r>
        <w:rPr>
          <w:rFonts w:ascii="Arial" w:eastAsia="Calibri" w:hAnsi="Arial" w:cs="Arial"/>
          <w:sz w:val="22"/>
          <w:lang w:val="es-ES_tradnl"/>
        </w:rPr>
        <w:t xml:space="preserve"> </w:t>
      </w:r>
      <w:r w:rsidR="00E32E46" w:rsidRPr="00DD55C9">
        <w:rPr>
          <w:rFonts w:ascii="Arial" w:eastAsia="Calibri" w:hAnsi="Arial" w:cs="Arial"/>
          <w:b/>
          <w:bCs/>
          <w:sz w:val="22"/>
          <w:lang w:val="es-ES_tradnl"/>
        </w:rPr>
        <w:t>Acreditación de la capacidad organizacional</w:t>
      </w:r>
    </w:p>
    <w:p w14:paraId="49CDE39B" w14:textId="77777777" w:rsidR="00AA3850" w:rsidRDefault="00AA3850" w:rsidP="00DD55C9">
      <w:pPr>
        <w:spacing w:line="276" w:lineRule="auto"/>
        <w:jc w:val="both"/>
        <w:rPr>
          <w:rFonts w:ascii="Arial" w:eastAsia="Calibri" w:hAnsi="Arial" w:cs="Arial"/>
          <w:b/>
          <w:bCs/>
          <w:sz w:val="22"/>
          <w:lang w:val="es-ES_tradnl"/>
        </w:rPr>
      </w:pPr>
    </w:p>
    <w:p w14:paraId="27500D8E" w14:textId="1382B201" w:rsidR="00693980" w:rsidRDefault="00B73DE8" w:rsidP="00DD55C9">
      <w:pPr>
        <w:tabs>
          <w:tab w:val="left" w:pos="426"/>
        </w:tabs>
        <w:spacing w:after="120" w:line="276" w:lineRule="auto"/>
        <w:jc w:val="both"/>
        <w:rPr>
          <w:rFonts w:ascii="Arial" w:eastAsia="Calibri" w:hAnsi="Arial" w:cs="Arial"/>
          <w:sz w:val="22"/>
        </w:rPr>
      </w:pPr>
      <w:r>
        <w:rPr>
          <w:rFonts w:ascii="Arial" w:eastAsia="Calibri" w:hAnsi="Arial" w:cs="Arial"/>
          <w:sz w:val="22"/>
          <w:lang w:val="es-ES"/>
        </w:rPr>
        <w:t>Finalmente,</w:t>
      </w:r>
      <w:r w:rsidR="00734AC2">
        <w:rPr>
          <w:rFonts w:ascii="Arial" w:eastAsia="Calibri" w:hAnsi="Arial" w:cs="Arial"/>
          <w:sz w:val="22"/>
          <w:lang w:val="es-ES"/>
        </w:rPr>
        <w:t xml:space="preserve"> usted pregunta: </w:t>
      </w:r>
      <w:r w:rsidR="00734AC2">
        <w:rPr>
          <w:rFonts w:ascii="Arial" w:eastAsia="Calibri" w:hAnsi="Arial" w:cs="Arial"/>
          <w:sz w:val="22"/>
        </w:rPr>
        <w:t xml:space="preserve">¿para acreditar la capacidad organizacional, si la información financiera es de tiempo atrás (3 años), se deben presentar antecedentes del contador de la época de la firma de los documentos? Para desarrollar el problema planteado, se explicará </w:t>
      </w:r>
      <w:r w:rsidR="00693980">
        <w:rPr>
          <w:rFonts w:ascii="Arial" w:eastAsia="Calibri" w:hAnsi="Arial" w:cs="Arial"/>
          <w:sz w:val="22"/>
        </w:rPr>
        <w:t xml:space="preserve">la forma en </w:t>
      </w:r>
      <w:r w:rsidR="00AA3850">
        <w:rPr>
          <w:rFonts w:ascii="Arial" w:eastAsia="Calibri" w:hAnsi="Arial" w:cs="Arial"/>
          <w:sz w:val="22"/>
        </w:rPr>
        <w:t>co</w:t>
      </w:r>
      <w:r w:rsidR="00693980">
        <w:rPr>
          <w:rFonts w:ascii="Arial" w:eastAsia="Calibri" w:hAnsi="Arial" w:cs="Arial"/>
          <w:sz w:val="22"/>
        </w:rPr>
        <w:t xml:space="preserve">mo el </w:t>
      </w:r>
      <w:r w:rsidR="00AA3850">
        <w:rPr>
          <w:rFonts w:ascii="Arial" w:eastAsia="Calibri" w:hAnsi="Arial" w:cs="Arial"/>
          <w:sz w:val="22"/>
        </w:rPr>
        <w:t>«</w:t>
      </w:r>
      <w:r w:rsidR="00693980">
        <w:rPr>
          <w:rFonts w:ascii="Arial" w:eastAsia="Calibri" w:hAnsi="Arial" w:cs="Arial"/>
          <w:sz w:val="22"/>
        </w:rPr>
        <w:t>Documento Tipo</w:t>
      </w:r>
      <w:r w:rsidR="00AA3850">
        <w:rPr>
          <w:rFonts w:ascii="Arial" w:eastAsia="Calibri" w:hAnsi="Arial" w:cs="Arial"/>
          <w:sz w:val="22"/>
        </w:rPr>
        <w:t>»</w:t>
      </w:r>
      <w:r w:rsidR="00693980">
        <w:rPr>
          <w:rFonts w:ascii="Arial" w:eastAsia="Calibri" w:hAnsi="Arial" w:cs="Arial"/>
          <w:sz w:val="22"/>
        </w:rPr>
        <w:t xml:space="preserve"> determina la forma para acreditar la capacidad organizacional de los proponentes.</w:t>
      </w:r>
    </w:p>
    <w:p w14:paraId="6B9E3A62" w14:textId="6B44B420" w:rsidR="00693980" w:rsidRPr="00693980" w:rsidRDefault="00693980" w:rsidP="00693980">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E4691F">
        <w:rPr>
          <w:rFonts w:ascii="Arial" w:eastAsia="Calibri" w:hAnsi="Arial" w:cs="Arial"/>
          <w:sz w:val="22"/>
        </w:rPr>
        <w:t>La</w:t>
      </w:r>
      <w:r w:rsidRPr="00693980">
        <w:rPr>
          <w:rFonts w:ascii="Arial" w:eastAsia="Calibri" w:hAnsi="Arial" w:cs="Arial"/>
          <w:sz w:val="22"/>
        </w:rPr>
        <w:t xml:space="preserve"> </w:t>
      </w:r>
      <w:r w:rsidR="005501A7">
        <w:rPr>
          <w:rFonts w:ascii="Arial" w:eastAsia="Calibri" w:hAnsi="Arial" w:cs="Arial"/>
          <w:sz w:val="22"/>
        </w:rPr>
        <w:t>Versión 2</w:t>
      </w:r>
      <w:r w:rsidR="00E4691F">
        <w:rPr>
          <w:rFonts w:ascii="Arial" w:eastAsia="Calibri" w:hAnsi="Arial" w:cs="Arial"/>
          <w:sz w:val="22"/>
        </w:rPr>
        <w:t xml:space="preserve"> de los</w:t>
      </w:r>
      <w:r w:rsidR="005501A7">
        <w:rPr>
          <w:rFonts w:ascii="Arial" w:eastAsia="Calibri" w:hAnsi="Arial" w:cs="Arial"/>
          <w:sz w:val="22"/>
        </w:rPr>
        <w:t xml:space="preserve"> </w:t>
      </w:r>
      <w:r w:rsidRPr="00693980">
        <w:rPr>
          <w:rFonts w:ascii="Arial" w:eastAsia="Calibri" w:hAnsi="Arial" w:cs="Arial"/>
          <w:sz w:val="22"/>
        </w:rPr>
        <w:t xml:space="preserve">«Documento Base» </w:t>
      </w:r>
      <w:r w:rsidR="00E4691F">
        <w:rPr>
          <w:rFonts w:ascii="Arial" w:eastAsia="Calibri" w:hAnsi="Arial" w:cs="Arial"/>
          <w:sz w:val="22"/>
        </w:rPr>
        <w:t>para</w:t>
      </w:r>
      <w:r w:rsidRPr="00693980">
        <w:rPr>
          <w:rFonts w:ascii="Arial" w:eastAsia="Calibri" w:hAnsi="Arial" w:cs="Arial"/>
          <w:sz w:val="22"/>
        </w:rPr>
        <w:t xml:space="preserve"> los </w:t>
      </w:r>
      <w:r w:rsidR="005501A7" w:rsidRPr="00693980">
        <w:rPr>
          <w:rFonts w:ascii="Arial" w:eastAsia="Calibri" w:hAnsi="Arial" w:cs="Arial"/>
          <w:sz w:val="22"/>
        </w:rPr>
        <w:t>proce</w:t>
      </w:r>
      <w:r w:rsidR="00E4691F">
        <w:rPr>
          <w:rFonts w:ascii="Arial" w:eastAsia="Calibri" w:hAnsi="Arial" w:cs="Arial"/>
          <w:sz w:val="22"/>
        </w:rPr>
        <w:t>dimientos</w:t>
      </w:r>
      <w:r w:rsidR="005501A7" w:rsidRPr="00693980">
        <w:rPr>
          <w:rFonts w:ascii="Arial" w:eastAsia="Calibri" w:hAnsi="Arial" w:cs="Arial"/>
          <w:sz w:val="22"/>
        </w:rPr>
        <w:t xml:space="preserve"> de licitación de obra pública </w:t>
      </w:r>
      <w:r w:rsidR="00E4691F">
        <w:rPr>
          <w:rFonts w:ascii="Arial" w:eastAsia="Calibri" w:hAnsi="Arial" w:cs="Arial"/>
          <w:sz w:val="22"/>
        </w:rPr>
        <w:t xml:space="preserve">para </w:t>
      </w:r>
      <w:r w:rsidR="005501A7" w:rsidRPr="00693980">
        <w:rPr>
          <w:rFonts w:ascii="Arial" w:eastAsia="Calibri" w:hAnsi="Arial" w:cs="Arial"/>
          <w:sz w:val="22"/>
        </w:rPr>
        <w:t>infraestructura de transporte</w:t>
      </w:r>
      <w:r w:rsidRPr="00693980">
        <w:rPr>
          <w:rFonts w:ascii="Arial" w:eastAsia="Calibri" w:hAnsi="Arial" w:cs="Arial"/>
          <w:sz w:val="22"/>
        </w:rPr>
        <w:t xml:space="preserve"> </w:t>
      </w:r>
      <w:r w:rsidR="00E4691F">
        <w:rPr>
          <w:rFonts w:ascii="Arial" w:eastAsia="Calibri" w:hAnsi="Arial" w:cs="Arial"/>
          <w:sz w:val="22"/>
        </w:rPr>
        <w:t>indica</w:t>
      </w:r>
      <w:r>
        <w:rPr>
          <w:rFonts w:ascii="Arial" w:eastAsia="Calibri" w:hAnsi="Arial" w:cs="Arial"/>
          <w:sz w:val="22"/>
        </w:rPr>
        <w:t xml:space="preserve"> que p</w:t>
      </w:r>
      <w:r w:rsidRPr="00693980">
        <w:rPr>
          <w:rFonts w:ascii="Arial" w:eastAsia="Calibri" w:hAnsi="Arial" w:cs="Arial"/>
          <w:sz w:val="22"/>
        </w:rPr>
        <w:t xml:space="preserve">ara la acreditación de </w:t>
      </w:r>
      <w:r>
        <w:rPr>
          <w:rFonts w:ascii="Arial" w:eastAsia="Calibri" w:hAnsi="Arial" w:cs="Arial"/>
          <w:sz w:val="22"/>
        </w:rPr>
        <w:t xml:space="preserve">la capacidad organizacional </w:t>
      </w:r>
      <w:r w:rsidR="00E4691F">
        <w:rPr>
          <w:rFonts w:ascii="Arial" w:eastAsia="Calibri" w:hAnsi="Arial" w:cs="Arial"/>
          <w:sz w:val="22"/>
        </w:rPr>
        <w:t>se verifica</w:t>
      </w:r>
      <w:r w:rsidRPr="00693980">
        <w:rPr>
          <w:rFonts w:ascii="Arial" w:eastAsia="Calibri" w:hAnsi="Arial" w:cs="Arial"/>
          <w:sz w:val="22"/>
        </w:rPr>
        <w:t xml:space="preserve"> si el oferente es: i) nacional o extranjero con domicilio o sucursal en Colombia o ii) extranjero persona natural o jurídica que no tiene domicilio o sucursal en </w:t>
      </w:r>
      <w:r w:rsidR="00E4691F">
        <w:rPr>
          <w:rFonts w:ascii="Arial" w:eastAsia="Calibri" w:hAnsi="Arial" w:cs="Arial"/>
          <w:sz w:val="22"/>
        </w:rPr>
        <w:t>el país</w:t>
      </w:r>
      <w:r w:rsidRPr="00693980">
        <w:rPr>
          <w:rFonts w:ascii="Arial" w:eastAsia="Calibri" w:hAnsi="Arial" w:cs="Arial"/>
          <w:sz w:val="22"/>
        </w:rPr>
        <w:t>.</w:t>
      </w:r>
    </w:p>
    <w:p w14:paraId="49658C6F" w14:textId="45BF1694" w:rsidR="009A38A1" w:rsidRPr="001F756F" w:rsidRDefault="00693980" w:rsidP="009A38A1">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Pr="00693980">
        <w:rPr>
          <w:rFonts w:ascii="Arial" w:eastAsia="Calibri" w:hAnsi="Arial" w:cs="Arial"/>
          <w:sz w:val="22"/>
        </w:rPr>
        <w:t xml:space="preserve">Las personas naturales o jurídicas nacionales y extranjeras con domicilio o sucursal en Colombia se verifica la evaluación financiera y organizacional de las propuestas, a partir de la información contenida en el RUP vigente y en firme. </w:t>
      </w:r>
      <w:r>
        <w:rPr>
          <w:rFonts w:ascii="Arial" w:eastAsia="Calibri" w:hAnsi="Arial" w:cs="Arial"/>
          <w:sz w:val="22"/>
        </w:rPr>
        <w:t xml:space="preserve"> </w:t>
      </w:r>
      <w:r w:rsidRPr="00693980">
        <w:rPr>
          <w:rFonts w:ascii="Arial" w:eastAsia="Calibri" w:hAnsi="Arial" w:cs="Arial"/>
          <w:sz w:val="22"/>
        </w:rPr>
        <w:t xml:space="preserve">La Agencia Nacional de Contratación Pública </w:t>
      </w:r>
      <w:r w:rsidR="00822638">
        <w:rPr>
          <w:rFonts w:ascii="Arial" w:eastAsia="Calibri" w:hAnsi="Arial" w:cs="Arial"/>
          <w:sz w:val="22"/>
        </w:rPr>
        <w:t>–</w:t>
      </w:r>
      <w:r w:rsidRPr="00693980">
        <w:rPr>
          <w:rFonts w:ascii="Arial" w:eastAsia="Calibri" w:hAnsi="Arial" w:cs="Arial"/>
          <w:sz w:val="22"/>
        </w:rPr>
        <w:t xml:space="preserve"> Colombia Compra Eficiente, en los conceptos con radicado No. 4201912000004669 y No. 4202013000000064, estudió el RUP y sus características. La tesis desarrollada se expone a continuación.</w:t>
      </w:r>
    </w:p>
    <w:p w14:paraId="36E5B35C" w14:textId="67C0F8EA" w:rsidR="00822638" w:rsidRDefault="009A38A1" w:rsidP="00DD55C9">
      <w:pPr>
        <w:tabs>
          <w:tab w:val="left" w:pos="8505"/>
        </w:tabs>
        <w:ind w:right="709"/>
        <w:jc w:val="both"/>
        <w:rPr>
          <w:rFonts w:ascii="Arial" w:hAnsi="Arial" w:cs="Arial"/>
          <w:sz w:val="21"/>
          <w:szCs w:val="21"/>
        </w:rPr>
      </w:pPr>
      <w:r w:rsidRPr="001F756F">
        <w:rPr>
          <w:rFonts w:ascii="Arial" w:hAnsi="Arial" w:cs="Arial"/>
          <w:sz w:val="22"/>
        </w:rPr>
        <w:t xml:space="preserve">El Registro Único de Proponentes, como instrumento en el que consta la información relacionada con las personas naturales </w:t>
      </w:r>
      <w:r>
        <w:rPr>
          <w:rFonts w:ascii="Arial" w:hAnsi="Arial" w:cs="Arial"/>
          <w:sz w:val="22"/>
        </w:rPr>
        <w:t>o</w:t>
      </w:r>
      <w:r w:rsidRPr="001F756F">
        <w:rPr>
          <w:rFonts w:ascii="Arial" w:hAnsi="Arial" w:cs="Arial"/>
          <w:sz w:val="22"/>
        </w:rPr>
        <w:t xml:space="preserve"> jurídicas</w:t>
      </w:r>
      <w:r>
        <w:rPr>
          <w:rFonts w:ascii="Arial" w:hAnsi="Arial" w:cs="Arial"/>
          <w:sz w:val="22"/>
        </w:rPr>
        <w:t xml:space="preserve"> nacionales o extranjeras domiciliadas o con sucursal en Colombia</w:t>
      </w:r>
      <w:r w:rsidRPr="001F756F">
        <w:rPr>
          <w:rFonts w:ascii="Arial" w:hAnsi="Arial" w:cs="Arial"/>
          <w:sz w:val="22"/>
        </w:rPr>
        <w:t>,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1F2C2F72" w14:textId="77777777" w:rsidR="001B7B2C" w:rsidRDefault="001B7B2C" w:rsidP="00DD55C9">
      <w:pPr>
        <w:tabs>
          <w:tab w:val="left" w:pos="8505"/>
        </w:tabs>
        <w:ind w:left="709" w:right="709"/>
        <w:jc w:val="both"/>
        <w:rPr>
          <w:rFonts w:ascii="Arial" w:hAnsi="Arial" w:cs="Arial"/>
          <w:sz w:val="21"/>
          <w:szCs w:val="21"/>
        </w:rPr>
      </w:pPr>
    </w:p>
    <w:p w14:paraId="23679B94" w14:textId="1570B067" w:rsidR="009A38A1" w:rsidRPr="001F756F" w:rsidRDefault="009A38A1" w:rsidP="00DD55C9">
      <w:pPr>
        <w:tabs>
          <w:tab w:val="left" w:pos="8505"/>
        </w:tabs>
        <w:ind w:left="709" w:right="709"/>
        <w:jc w:val="both"/>
        <w:rPr>
          <w:rFonts w:ascii="Arial" w:hAnsi="Arial" w:cs="Arial"/>
          <w:sz w:val="21"/>
          <w:szCs w:val="21"/>
        </w:rPr>
      </w:pPr>
      <w:r w:rsidRPr="001F756F">
        <w:rPr>
          <w:rFonts w:ascii="Arial" w:hAnsi="Arial" w:cs="Arial"/>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1F756F">
        <w:rPr>
          <w:rStyle w:val="Refdenotaalpie"/>
          <w:rFonts w:ascii="Arial" w:hAnsi="Arial" w:cs="Arial"/>
          <w:sz w:val="21"/>
          <w:szCs w:val="21"/>
        </w:rPr>
        <w:footnoteReference w:id="17"/>
      </w:r>
      <w:r w:rsidRPr="001F756F">
        <w:rPr>
          <w:rFonts w:ascii="Arial" w:hAnsi="Arial" w:cs="Arial"/>
          <w:sz w:val="21"/>
          <w:szCs w:val="21"/>
        </w:rPr>
        <w:t>.</w:t>
      </w:r>
    </w:p>
    <w:p w14:paraId="58C8516F" w14:textId="77777777" w:rsidR="009A38A1" w:rsidRPr="001F756F" w:rsidRDefault="009A38A1" w:rsidP="009A38A1">
      <w:pPr>
        <w:spacing w:before="120" w:after="120" w:line="276" w:lineRule="auto"/>
        <w:ind w:firstLine="709"/>
        <w:jc w:val="both"/>
        <w:rPr>
          <w:rFonts w:ascii="Arial" w:hAnsi="Arial" w:cs="Arial"/>
          <w:sz w:val="22"/>
        </w:rPr>
      </w:pPr>
      <w:r w:rsidRPr="001F756F">
        <w:rPr>
          <w:rFonts w:ascii="Arial" w:hAnsi="Arial" w:cs="Arial"/>
          <w:sz w:val="22"/>
        </w:rPr>
        <w:t>La Ley 1150 de 2007, en el numeral 6.1 del artículo 6, al determinar las características aplicables al RUP, establece que el Registro Único de Proponentes es plena prueba de la información que contiene</w:t>
      </w:r>
      <w:r w:rsidRPr="001F756F">
        <w:rPr>
          <w:rStyle w:val="Refdenotaalpie"/>
          <w:rFonts w:ascii="Arial" w:hAnsi="Arial" w:cs="Arial"/>
          <w:sz w:val="22"/>
        </w:rPr>
        <w:footnoteReference w:id="18"/>
      </w:r>
      <w:r w:rsidRPr="001F756F">
        <w:rPr>
          <w:rFonts w:ascii="Arial" w:hAnsi="Arial" w:cs="Arial"/>
          <w:sz w:val="22"/>
        </w:rPr>
        <w:t>. Por su parte, el artículo 5.1, al fijar los criterios que deben tener en cuenta las entidades estatales para garantizar la selección objetiva, dispone que las Cámaras de Comercio harán la verificación de la información suministrada por las personas naturales o jurídicas para la inscripción en el Registro, información que debe ser tenida en cuenta por las entidades en los procedimientos de contratación en los que es exigible el RUP</w:t>
      </w:r>
      <w:r w:rsidRPr="001F756F">
        <w:rPr>
          <w:rStyle w:val="Refdenotaalpie"/>
          <w:rFonts w:ascii="Arial" w:hAnsi="Arial" w:cs="Arial"/>
          <w:sz w:val="22"/>
        </w:rPr>
        <w:footnoteReference w:id="19"/>
      </w:r>
      <w:r w:rsidRPr="001F756F">
        <w:rPr>
          <w:rFonts w:ascii="Arial" w:hAnsi="Arial" w:cs="Arial"/>
          <w:sz w:val="22"/>
        </w:rPr>
        <w:t>.</w:t>
      </w:r>
    </w:p>
    <w:p w14:paraId="17E8F2E8" w14:textId="310E9F9B" w:rsidR="009A38A1" w:rsidRDefault="009A38A1" w:rsidP="009A38A1">
      <w:pPr>
        <w:spacing w:before="120" w:after="120" w:line="276" w:lineRule="auto"/>
        <w:ind w:firstLine="709"/>
        <w:jc w:val="both"/>
        <w:rPr>
          <w:rFonts w:ascii="Arial" w:hAnsi="Arial" w:cs="Arial"/>
          <w:sz w:val="22"/>
        </w:rPr>
      </w:pPr>
      <w:r w:rsidRPr="001F756F">
        <w:rPr>
          <w:rFonts w:ascii="Arial" w:hAnsi="Arial" w:cs="Arial"/>
          <w:sz w:val="22"/>
        </w:rPr>
        <w:lastRenderedPageBreak/>
        <w:t>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 y así también lo confirmó el Consejo de Estado</w:t>
      </w:r>
      <w:r w:rsidRPr="001F756F">
        <w:rPr>
          <w:rStyle w:val="Refdenotaalpie"/>
          <w:rFonts w:ascii="Arial" w:hAnsi="Arial" w:cs="Arial"/>
          <w:sz w:val="22"/>
        </w:rPr>
        <w:footnoteReference w:id="20"/>
      </w:r>
      <w:r w:rsidRPr="001F756F">
        <w:rPr>
          <w:rFonts w:ascii="Arial" w:hAnsi="Arial" w:cs="Arial"/>
          <w:sz w:val="22"/>
        </w:rPr>
        <w:t xml:space="preserve">. </w:t>
      </w:r>
    </w:p>
    <w:p w14:paraId="190DBE6D" w14:textId="00127866" w:rsidR="00E97EB2" w:rsidRDefault="00E97EB2" w:rsidP="009A38A1">
      <w:pPr>
        <w:spacing w:before="120" w:after="120" w:line="276" w:lineRule="auto"/>
        <w:ind w:firstLine="709"/>
        <w:jc w:val="both"/>
        <w:rPr>
          <w:rFonts w:ascii="Arial" w:hAnsi="Arial" w:cs="Arial"/>
          <w:sz w:val="22"/>
        </w:rPr>
      </w:pPr>
      <w:r>
        <w:rPr>
          <w:rFonts w:ascii="Arial" w:hAnsi="Arial" w:cs="Arial"/>
          <w:sz w:val="22"/>
        </w:rPr>
        <w:t xml:space="preserve">En los Documentos Tipo, en el numeral 3.10.1 </w:t>
      </w:r>
      <w:r w:rsidR="00495475">
        <w:rPr>
          <w:rFonts w:ascii="Arial" w:hAnsi="Arial" w:cs="Arial"/>
          <w:sz w:val="22"/>
        </w:rPr>
        <w:t xml:space="preserve">se </w:t>
      </w:r>
      <w:r>
        <w:rPr>
          <w:rFonts w:ascii="Arial" w:hAnsi="Arial" w:cs="Arial"/>
          <w:sz w:val="22"/>
        </w:rPr>
        <w:t>reguló que los proponentes nacionales o con domicilio o sucursal en Colombia acredita</w:t>
      </w:r>
      <w:r w:rsidR="00495475">
        <w:rPr>
          <w:rFonts w:ascii="Arial" w:hAnsi="Arial" w:cs="Arial"/>
          <w:sz w:val="22"/>
        </w:rPr>
        <w:t>n</w:t>
      </w:r>
      <w:r>
        <w:rPr>
          <w:rFonts w:ascii="Arial" w:hAnsi="Arial" w:cs="Arial"/>
          <w:sz w:val="22"/>
        </w:rPr>
        <w:t xml:space="preserve"> la evaluación financiera y organizacional con la información contenida en el RUP vigente y en firm</w:t>
      </w:r>
      <w:r w:rsidR="00495475">
        <w:rPr>
          <w:rFonts w:ascii="Arial" w:hAnsi="Arial" w:cs="Arial"/>
          <w:sz w:val="22"/>
        </w:rPr>
        <w:t>e</w:t>
      </w:r>
      <w:r>
        <w:rPr>
          <w:rFonts w:ascii="Arial" w:hAnsi="Arial" w:cs="Arial"/>
          <w:sz w:val="22"/>
        </w:rPr>
        <w:t xml:space="preserve">: </w:t>
      </w:r>
    </w:p>
    <w:p w14:paraId="12550FBC" w14:textId="1C098574" w:rsidR="00E97EB2" w:rsidRPr="00DD55C9" w:rsidRDefault="00E97EB2" w:rsidP="00DD55C9">
      <w:pPr>
        <w:widowControl w:val="0"/>
        <w:spacing w:after="160"/>
        <w:ind w:left="708" w:right="709"/>
        <w:jc w:val="both"/>
        <w:rPr>
          <w:rFonts w:ascii="Arial" w:eastAsia="Arial" w:hAnsi="Arial" w:cs="Arial"/>
          <w:sz w:val="21"/>
          <w:szCs w:val="21"/>
          <w:lang w:val="es-CO"/>
        </w:rPr>
      </w:pPr>
      <w:r w:rsidRPr="00DD55C9">
        <w:rPr>
          <w:rFonts w:ascii="Arial" w:eastAsia="Calibri" w:hAnsi="Arial" w:cs="Arial"/>
          <w:sz w:val="21"/>
          <w:szCs w:val="21"/>
          <w:lang w:val="es-CO"/>
        </w:rPr>
        <w:t>La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evaluación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financiera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y</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organizacional</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las</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propuestas</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se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efectuará</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partir</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la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información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contenida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el</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RUP</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vigente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y</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firme,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con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información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financiera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fecha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corte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a</w:t>
      </w:r>
      <w:r w:rsidRPr="00DD55C9">
        <w:rPr>
          <w:rFonts w:ascii="Arial" w:eastAsia="Arial" w:hAnsi="Arial" w:cs="Arial"/>
          <w:sz w:val="21"/>
          <w:szCs w:val="21"/>
          <w:lang w:val="es-CO"/>
        </w:rPr>
        <w:t xml:space="preserve"> </w:t>
      </w:r>
      <w:r w:rsidRPr="00DD55C9">
        <w:rPr>
          <w:rFonts w:ascii="Arial" w:eastAsia="Arial" w:hAnsi="Arial" w:cs="Arial"/>
          <w:sz w:val="21"/>
          <w:szCs w:val="21"/>
          <w:highlight w:val="lightGray"/>
          <w:lang w:val="es-CO"/>
        </w:rPr>
        <w:t>[</w:t>
      </w:r>
      <w:r w:rsidRPr="00DD55C9">
        <w:rPr>
          <w:rFonts w:ascii="Arial" w:eastAsia="Calibri" w:hAnsi="Arial" w:cs="Arial"/>
          <w:sz w:val="21"/>
          <w:szCs w:val="21"/>
          <w:highlight w:val="lightGray"/>
          <w:lang w:val="es-CO"/>
        </w:rPr>
        <w:t>fecha de corte para la verificación</w:t>
      </w:r>
      <w:r w:rsidRPr="00DD55C9">
        <w:rPr>
          <w:rFonts w:ascii="Arial" w:eastAsia="Arial" w:hAnsi="Arial" w:cs="Arial"/>
          <w:sz w:val="21"/>
          <w:szCs w:val="21"/>
          <w:highlight w:val="lightGray"/>
          <w:lang w:val="es-CO"/>
        </w:rPr>
        <w:t>]</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 xml:space="preserve">Para personas jurídicas constituidas en el año en que se adelanta el Proceso de Contratación, la evaluación financiera y organizacional de las propuestas, se efectuará a partir de la información contenida en el Registro Único de Proponentes (RUP) vigente y en firme. Las personas jurídicas extranjeras con sucursal en Colombia </w:t>
      </w:r>
      <w:bookmarkStart w:id="3" w:name="_Hlk516153972"/>
      <w:r w:rsidRPr="00DD55C9">
        <w:rPr>
          <w:rFonts w:ascii="Arial" w:eastAsia="Calibri" w:hAnsi="Arial" w:cs="Arial"/>
          <w:sz w:val="21"/>
          <w:szCs w:val="21"/>
          <w:lang w:val="es-CO"/>
        </w:rPr>
        <w:t>deberán justificar y acreditar que</w:t>
      </w:r>
      <w:r w:rsidRPr="00DD55C9">
        <w:rPr>
          <w:rFonts w:ascii="Arial" w:eastAsia="Arial" w:hAnsi="Arial" w:cs="Arial"/>
          <w:sz w:val="21"/>
          <w:szCs w:val="21"/>
          <w:lang w:val="es-CO"/>
        </w:rPr>
        <w:t xml:space="preserve"> </w:t>
      </w:r>
      <w:bookmarkStart w:id="4" w:name="_Hlk511396560"/>
      <w:r w:rsidRPr="00DD55C9">
        <w:rPr>
          <w:rFonts w:ascii="Arial" w:eastAsia="Calibri" w:hAnsi="Arial" w:cs="Arial"/>
          <w:sz w:val="21"/>
          <w:szCs w:val="21"/>
          <w:lang w:val="es-CO"/>
        </w:rPr>
        <w:t>la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legislación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propia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del</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país</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origen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establece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una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fecha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corte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diferente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la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prevista</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en</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este</w:t>
      </w:r>
      <w:r w:rsidRPr="00DD55C9">
        <w:rPr>
          <w:rFonts w:ascii="Arial" w:eastAsia="Arial" w:hAnsi="Arial" w:cs="Arial"/>
          <w:sz w:val="21"/>
          <w:szCs w:val="21"/>
          <w:lang w:val="es-CO"/>
        </w:rPr>
        <w:t xml:space="preserve"> </w:t>
      </w:r>
      <w:r w:rsidRPr="00DD55C9">
        <w:rPr>
          <w:rFonts w:ascii="Arial" w:eastAsia="Calibri" w:hAnsi="Arial" w:cs="Arial"/>
          <w:sz w:val="21"/>
          <w:szCs w:val="21"/>
          <w:lang w:val="es-CO"/>
        </w:rPr>
        <w:t>pliego</w:t>
      </w:r>
      <w:bookmarkEnd w:id="4"/>
      <w:r w:rsidRPr="00DD55C9">
        <w:rPr>
          <w:rFonts w:ascii="Arial" w:eastAsia="Arial" w:hAnsi="Arial" w:cs="Arial"/>
          <w:sz w:val="21"/>
          <w:szCs w:val="21"/>
          <w:lang w:val="es-CO"/>
        </w:rPr>
        <w:t>.</w:t>
      </w:r>
      <w:bookmarkEnd w:id="3"/>
    </w:p>
    <w:p w14:paraId="5EBB711E" w14:textId="0F6FA7E3" w:rsidR="009A38A1" w:rsidRDefault="009A38A1" w:rsidP="009A38A1">
      <w:pPr>
        <w:spacing w:before="120" w:after="120" w:line="276" w:lineRule="auto"/>
        <w:ind w:firstLine="708"/>
        <w:jc w:val="both"/>
        <w:rPr>
          <w:rFonts w:ascii="Arial" w:hAnsi="Arial" w:cs="Arial"/>
          <w:sz w:val="22"/>
        </w:rPr>
      </w:pPr>
      <w:r w:rsidRPr="001F756F">
        <w:rPr>
          <w:rFonts w:ascii="Arial" w:hAnsi="Arial" w:cs="Arial"/>
          <w:sz w:val="22"/>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1F756F">
        <w:rPr>
          <w:rStyle w:val="Refdenotaalpie"/>
          <w:rFonts w:ascii="Arial" w:hAnsi="Arial" w:cs="Arial"/>
          <w:sz w:val="22"/>
        </w:rPr>
        <w:footnoteReference w:id="21"/>
      </w:r>
      <w:r w:rsidRPr="001F756F">
        <w:rPr>
          <w:rFonts w:ascii="Arial" w:hAnsi="Arial" w:cs="Arial"/>
          <w:sz w:val="22"/>
        </w:rPr>
        <w:t>.</w:t>
      </w:r>
      <w:r w:rsidR="00A96499">
        <w:rPr>
          <w:rFonts w:ascii="Arial" w:hAnsi="Arial" w:cs="Arial"/>
          <w:sz w:val="22"/>
        </w:rPr>
        <w:t xml:space="preserve"> Asimismo, tampoco es exigible </w:t>
      </w:r>
      <w:r>
        <w:rPr>
          <w:rFonts w:ascii="Arial" w:hAnsi="Arial" w:cs="Arial"/>
          <w:sz w:val="22"/>
        </w:rPr>
        <w:t xml:space="preserve">a los proponentes extranjeros que no tienen domicilio o sucursal en Colombia. </w:t>
      </w:r>
    </w:p>
    <w:p w14:paraId="5B00340D" w14:textId="457AEC8B" w:rsidR="00E97EB2" w:rsidRDefault="009A38A1" w:rsidP="009A38A1">
      <w:pPr>
        <w:tabs>
          <w:tab w:val="left" w:pos="426"/>
        </w:tabs>
        <w:spacing w:before="120" w:after="120" w:line="276" w:lineRule="auto"/>
        <w:jc w:val="both"/>
        <w:rPr>
          <w:rFonts w:ascii="Arial" w:hAnsi="Arial" w:cs="Arial"/>
          <w:sz w:val="22"/>
        </w:rPr>
      </w:pPr>
      <w:r>
        <w:rPr>
          <w:rFonts w:ascii="Arial" w:hAnsi="Arial" w:cs="Arial"/>
          <w:sz w:val="22"/>
        </w:rPr>
        <w:lastRenderedPageBreak/>
        <w:tab/>
      </w:r>
      <w:r>
        <w:rPr>
          <w:rFonts w:ascii="Arial" w:hAnsi="Arial" w:cs="Arial"/>
          <w:sz w:val="22"/>
        </w:rPr>
        <w:tab/>
      </w:r>
      <w:r w:rsidR="00A96499">
        <w:rPr>
          <w:rFonts w:ascii="Arial" w:hAnsi="Arial" w:cs="Arial"/>
          <w:sz w:val="22"/>
        </w:rPr>
        <w:t>Determinado</w:t>
      </w:r>
      <w:r w:rsidR="00E97EB2">
        <w:rPr>
          <w:rFonts w:ascii="Arial" w:hAnsi="Arial" w:cs="Arial"/>
          <w:sz w:val="22"/>
        </w:rPr>
        <w:t xml:space="preserve"> </w:t>
      </w:r>
      <w:r>
        <w:rPr>
          <w:rFonts w:ascii="Arial" w:hAnsi="Arial" w:cs="Arial"/>
          <w:sz w:val="22"/>
        </w:rPr>
        <w:t>que los proponentes extranjeros que no tienen sucursal o domicilio en Colombia no están obligadas a presentar el RUP</w:t>
      </w:r>
      <w:r w:rsidR="00027D10">
        <w:rPr>
          <w:rFonts w:ascii="Arial" w:hAnsi="Arial" w:cs="Arial"/>
          <w:sz w:val="22"/>
        </w:rPr>
        <w:t>, e</w:t>
      </w:r>
      <w:r>
        <w:rPr>
          <w:rFonts w:ascii="Arial" w:hAnsi="Arial" w:cs="Arial"/>
          <w:sz w:val="22"/>
        </w:rPr>
        <w:t>l «Documento Base»</w:t>
      </w:r>
      <w:r w:rsidR="00E97EB2">
        <w:rPr>
          <w:rFonts w:ascii="Arial" w:hAnsi="Arial" w:cs="Arial"/>
          <w:sz w:val="22"/>
        </w:rPr>
        <w:t xml:space="preserve">, en el numeral 3.10.2, </w:t>
      </w:r>
      <w:r>
        <w:rPr>
          <w:rFonts w:ascii="Arial" w:hAnsi="Arial" w:cs="Arial"/>
          <w:sz w:val="22"/>
        </w:rPr>
        <w:t xml:space="preserve">indica que estos </w:t>
      </w:r>
      <w:r w:rsidR="00A96499">
        <w:rPr>
          <w:rFonts w:ascii="Arial" w:hAnsi="Arial" w:cs="Arial"/>
          <w:sz w:val="22"/>
        </w:rPr>
        <w:t>oferentes</w:t>
      </w:r>
      <w:r>
        <w:rPr>
          <w:rFonts w:ascii="Arial" w:hAnsi="Arial" w:cs="Arial"/>
          <w:sz w:val="22"/>
        </w:rPr>
        <w:t xml:space="preserve"> </w:t>
      </w:r>
      <w:r w:rsidR="008731AF">
        <w:rPr>
          <w:rFonts w:ascii="Arial" w:hAnsi="Arial" w:cs="Arial"/>
          <w:sz w:val="22"/>
        </w:rPr>
        <w:t xml:space="preserve">deben presentar los valores en: i) pesos colombianos, ii) convertirse a la tasa de cambio de la fecha de corte de los mismos y iii) estar avalados con la firma de quien se encuentre en obligación de hacerlo de acuerdo con la normativa del país de origen. </w:t>
      </w:r>
    </w:p>
    <w:p w14:paraId="225C5A63" w14:textId="42001055" w:rsidR="00693980" w:rsidRPr="008731AF" w:rsidRDefault="008731AF" w:rsidP="009A38A1">
      <w:pPr>
        <w:tabs>
          <w:tab w:val="left" w:pos="426"/>
        </w:tabs>
        <w:spacing w:before="120" w:after="120" w:line="276" w:lineRule="auto"/>
        <w:jc w:val="both"/>
        <w:rPr>
          <w:rFonts w:ascii="Arial" w:hAnsi="Arial" w:cs="Arial"/>
          <w:sz w:val="22"/>
        </w:rPr>
      </w:pPr>
      <w:r>
        <w:rPr>
          <w:rFonts w:ascii="Arial" w:hAnsi="Arial" w:cs="Arial"/>
          <w:sz w:val="22"/>
        </w:rPr>
        <w:tab/>
      </w:r>
      <w:r>
        <w:rPr>
          <w:rFonts w:ascii="Arial" w:hAnsi="Arial" w:cs="Arial"/>
          <w:sz w:val="22"/>
        </w:rPr>
        <w:tab/>
        <w:t>Además, indica que presentará</w:t>
      </w:r>
      <w:r w:rsidR="00A96499">
        <w:rPr>
          <w:rFonts w:ascii="Arial" w:hAnsi="Arial" w:cs="Arial"/>
          <w:sz w:val="22"/>
        </w:rPr>
        <w:t>n</w:t>
      </w:r>
      <w:r>
        <w:rPr>
          <w:rFonts w:ascii="Arial" w:hAnsi="Arial" w:cs="Arial"/>
          <w:sz w:val="22"/>
        </w:rPr>
        <w:t xml:space="preserve"> la siguiente </w:t>
      </w:r>
      <w:r w:rsidR="00693980" w:rsidRPr="00693980">
        <w:rPr>
          <w:rFonts w:ascii="Arial" w:eastAsia="Calibri" w:hAnsi="Arial" w:cs="Arial"/>
          <w:sz w:val="22"/>
        </w:rPr>
        <w:t xml:space="preserve">información: i) el estado de situación financiera (balance general) y estado de resultado integral (estado de resultados), acompañados por el informe de auditoría (sí aplica de acuerdo con la legislación de origen), ii) copia de la tarjeta profesional del Contador Público o Revisor Fiscal y certificado de antecedentes disciplinarios vigente expedido por la Junta Central de Contadores de quien realiza la conversión y, finalmente, iii) la presentación del </w:t>
      </w:r>
      <w:r w:rsidR="00822638">
        <w:rPr>
          <w:rFonts w:ascii="Arial" w:eastAsia="Calibri" w:hAnsi="Arial" w:cs="Arial"/>
          <w:sz w:val="22"/>
        </w:rPr>
        <w:t>«</w:t>
      </w:r>
      <w:r w:rsidR="00693980" w:rsidRPr="00693980">
        <w:rPr>
          <w:rFonts w:ascii="Arial" w:eastAsia="Calibri" w:hAnsi="Arial" w:cs="Arial"/>
          <w:sz w:val="22"/>
        </w:rPr>
        <w:t>Formato 4 – Capacidad financiera y organizacional para extranjeros</w:t>
      </w:r>
      <w:r w:rsidR="00822638">
        <w:rPr>
          <w:rFonts w:ascii="Arial" w:eastAsia="Calibri" w:hAnsi="Arial" w:cs="Arial"/>
          <w:sz w:val="22"/>
        </w:rPr>
        <w:t>»</w:t>
      </w:r>
      <w:r w:rsidR="00693980" w:rsidRPr="00693980">
        <w:rPr>
          <w:rFonts w:ascii="Arial" w:eastAsia="Calibri" w:hAnsi="Arial" w:cs="Arial"/>
          <w:sz w:val="22"/>
        </w:rPr>
        <w:t xml:space="preserve"> diligenciado .</w:t>
      </w:r>
    </w:p>
    <w:p w14:paraId="6A9FC8DF" w14:textId="00129C81" w:rsidR="00734AC2" w:rsidRDefault="00693980" w:rsidP="00693980">
      <w:pPr>
        <w:tabs>
          <w:tab w:val="left" w:pos="426"/>
        </w:tabs>
        <w:spacing w:before="120" w:after="120" w:line="276" w:lineRule="auto"/>
        <w:jc w:val="both"/>
        <w:rPr>
          <w:rFonts w:ascii="Arial" w:eastAsia="Calibri" w:hAnsi="Arial" w:cs="Arial"/>
          <w:sz w:val="22"/>
        </w:rPr>
      </w:pPr>
      <w:r w:rsidRPr="00693980">
        <w:rPr>
          <w:rFonts w:ascii="Arial" w:eastAsia="Calibri" w:hAnsi="Arial" w:cs="Arial"/>
          <w:sz w:val="22"/>
        </w:rPr>
        <w:t xml:space="preserve"> </w:t>
      </w:r>
      <w:r w:rsidR="009A38A1">
        <w:rPr>
          <w:rFonts w:ascii="Arial" w:eastAsia="Calibri" w:hAnsi="Arial" w:cs="Arial"/>
          <w:sz w:val="22"/>
        </w:rPr>
        <w:tab/>
      </w:r>
      <w:r w:rsidR="009A38A1">
        <w:rPr>
          <w:rFonts w:ascii="Arial" w:eastAsia="Calibri" w:hAnsi="Arial" w:cs="Arial"/>
          <w:sz w:val="22"/>
        </w:rPr>
        <w:tab/>
      </w:r>
      <w:r w:rsidRPr="00693980">
        <w:rPr>
          <w:rFonts w:ascii="Arial" w:eastAsia="Calibri" w:hAnsi="Arial" w:cs="Arial"/>
          <w:sz w:val="22"/>
        </w:rPr>
        <w:t xml:space="preserve">En caso de presentarse discrepancias entre la información consignada en el </w:t>
      </w:r>
      <w:r w:rsidR="00822638">
        <w:rPr>
          <w:rFonts w:ascii="Arial" w:eastAsia="Calibri" w:hAnsi="Arial" w:cs="Arial"/>
          <w:sz w:val="22"/>
        </w:rPr>
        <w:t>«</w:t>
      </w:r>
      <w:r w:rsidRPr="00693980">
        <w:rPr>
          <w:rFonts w:ascii="Arial" w:eastAsia="Calibri" w:hAnsi="Arial" w:cs="Arial"/>
          <w:sz w:val="22"/>
        </w:rPr>
        <w:t>Formato 4 – Capacidad financiera y organizacional para extranjeros</w:t>
      </w:r>
      <w:r w:rsidR="00822638">
        <w:rPr>
          <w:rFonts w:ascii="Arial" w:eastAsia="Calibri" w:hAnsi="Arial" w:cs="Arial"/>
          <w:sz w:val="22"/>
        </w:rPr>
        <w:t>»</w:t>
      </w:r>
      <w:r w:rsidRPr="00693980">
        <w:rPr>
          <w:rFonts w:ascii="Arial" w:eastAsia="Calibri" w:hAnsi="Arial" w:cs="Arial"/>
          <w:sz w:val="22"/>
        </w:rPr>
        <w:t xml:space="preserve"> y los documentos señalados en el Literal A</w:t>
      </w:r>
      <w:r w:rsidR="00822638">
        <w:rPr>
          <w:rFonts w:ascii="Arial" w:eastAsia="Calibri" w:hAnsi="Arial" w:cs="Arial"/>
          <w:sz w:val="22"/>
        </w:rPr>
        <w:t xml:space="preserve"> del numeral 3.10.2 del «Documento Base»</w:t>
      </w:r>
      <w:r w:rsidRPr="00693980">
        <w:rPr>
          <w:rFonts w:ascii="Arial" w:eastAsia="Calibri" w:hAnsi="Arial" w:cs="Arial"/>
          <w:sz w:val="22"/>
        </w:rPr>
        <w:t>, prevalecerá la información consignada en los estados financieros incluidos en la oferta.</w:t>
      </w:r>
    </w:p>
    <w:p w14:paraId="593A6AEF" w14:textId="279251FD" w:rsidR="00027D10" w:rsidRDefault="00BF6670" w:rsidP="00547435">
      <w:pPr>
        <w:spacing w:before="120" w:after="120" w:line="276" w:lineRule="auto"/>
        <w:ind w:firstLine="708"/>
        <w:jc w:val="both"/>
        <w:rPr>
          <w:rFonts w:ascii="Arial" w:eastAsia="Calibri" w:hAnsi="Arial" w:cs="Arial"/>
          <w:sz w:val="22"/>
        </w:rPr>
      </w:pPr>
      <w:r>
        <w:rPr>
          <w:rFonts w:ascii="Arial" w:eastAsia="Calibri" w:hAnsi="Arial" w:cs="Arial"/>
          <w:sz w:val="22"/>
          <w:lang w:val="es-ES"/>
        </w:rPr>
        <w:t xml:space="preserve">Por su parte, usted pregunta: </w:t>
      </w:r>
      <w:r w:rsidR="00547435">
        <w:rPr>
          <w:rFonts w:ascii="Arial" w:eastAsia="Calibri" w:hAnsi="Arial" w:cs="Arial"/>
          <w:sz w:val="22"/>
          <w:lang w:val="es-ES"/>
        </w:rPr>
        <w:t>¿</w:t>
      </w:r>
      <w:r w:rsidR="00547435">
        <w:rPr>
          <w:rFonts w:ascii="Arial" w:eastAsia="Calibri" w:hAnsi="Arial" w:cs="Arial"/>
          <w:sz w:val="22"/>
        </w:rPr>
        <w:t>para acreditar la capacidad organizacional, si la información financiera es de tiempo atrás (3 años), se deben presentar antecedentes del contador de la época de la firma de los documentos? Para responder su inquietud, es importante señalar</w:t>
      </w:r>
      <w:r w:rsidR="008731AF">
        <w:rPr>
          <w:rFonts w:ascii="Arial" w:eastAsia="Calibri" w:hAnsi="Arial" w:cs="Arial"/>
          <w:sz w:val="22"/>
        </w:rPr>
        <w:t xml:space="preserve"> q</w:t>
      </w:r>
      <w:r w:rsidR="00027D10">
        <w:rPr>
          <w:rFonts w:ascii="Arial" w:eastAsia="Calibri" w:hAnsi="Arial" w:cs="Arial"/>
          <w:sz w:val="22"/>
        </w:rPr>
        <w:t xml:space="preserve">ue </w:t>
      </w:r>
      <w:r w:rsidR="00547435">
        <w:rPr>
          <w:rFonts w:ascii="Arial" w:eastAsia="Calibri" w:hAnsi="Arial" w:cs="Arial"/>
          <w:sz w:val="22"/>
        </w:rPr>
        <w:t xml:space="preserve">la forma para acreditar la </w:t>
      </w:r>
      <w:r w:rsidR="00DA1B99">
        <w:rPr>
          <w:rFonts w:ascii="Arial" w:eastAsia="Calibri" w:hAnsi="Arial" w:cs="Arial"/>
          <w:sz w:val="22"/>
        </w:rPr>
        <w:t>capacidad organizacional</w:t>
      </w:r>
      <w:r w:rsidR="00027D10">
        <w:rPr>
          <w:rFonts w:ascii="Arial" w:eastAsia="Calibri" w:hAnsi="Arial" w:cs="Arial"/>
          <w:sz w:val="22"/>
        </w:rPr>
        <w:t xml:space="preserve"> </w:t>
      </w:r>
      <w:r w:rsidR="008731AF">
        <w:rPr>
          <w:rFonts w:ascii="Arial" w:eastAsia="Calibri" w:hAnsi="Arial" w:cs="Arial"/>
          <w:sz w:val="22"/>
        </w:rPr>
        <w:t>d</w:t>
      </w:r>
      <w:r w:rsidR="00DA1B99">
        <w:rPr>
          <w:rFonts w:ascii="Arial" w:eastAsia="Calibri" w:hAnsi="Arial" w:cs="Arial"/>
          <w:sz w:val="22"/>
        </w:rPr>
        <w:t xml:space="preserve">epende de quien </w:t>
      </w:r>
      <w:r w:rsidR="00D02136">
        <w:rPr>
          <w:rFonts w:ascii="Arial" w:eastAsia="Calibri" w:hAnsi="Arial" w:cs="Arial"/>
          <w:sz w:val="22"/>
        </w:rPr>
        <w:t>presente la oferta</w:t>
      </w:r>
      <w:r w:rsidR="00027D10">
        <w:rPr>
          <w:rFonts w:ascii="Arial" w:eastAsia="Calibri" w:hAnsi="Arial" w:cs="Arial"/>
          <w:sz w:val="22"/>
        </w:rPr>
        <w:t xml:space="preserve">. </w:t>
      </w:r>
    </w:p>
    <w:p w14:paraId="4FF53A7F" w14:textId="32F66116" w:rsidR="008731AF" w:rsidRDefault="00027D10" w:rsidP="00547435">
      <w:pPr>
        <w:spacing w:before="120" w:after="120" w:line="276" w:lineRule="auto"/>
        <w:ind w:firstLine="708"/>
        <w:jc w:val="both"/>
        <w:rPr>
          <w:rFonts w:ascii="Arial" w:eastAsia="Calibri" w:hAnsi="Arial" w:cs="Arial"/>
          <w:sz w:val="22"/>
        </w:rPr>
      </w:pPr>
      <w:r>
        <w:rPr>
          <w:rFonts w:ascii="Arial" w:eastAsia="Calibri" w:hAnsi="Arial" w:cs="Arial"/>
          <w:sz w:val="22"/>
        </w:rPr>
        <w:t xml:space="preserve">En el caso de los proponentes nacionales o extranjeros con domicilio o sucursal en Colombia acreditan </w:t>
      </w:r>
      <w:r w:rsidR="007C33C1">
        <w:rPr>
          <w:rFonts w:ascii="Arial" w:eastAsia="Calibri" w:hAnsi="Arial" w:cs="Arial"/>
          <w:sz w:val="22"/>
        </w:rPr>
        <w:t xml:space="preserve">su capacidad organizacional con </w:t>
      </w:r>
      <w:r>
        <w:rPr>
          <w:rFonts w:ascii="Arial" w:eastAsia="Calibri" w:hAnsi="Arial" w:cs="Arial"/>
          <w:sz w:val="22"/>
        </w:rPr>
        <w:t xml:space="preserve">la </w:t>
      </w:r>
      <w:r w:rsidR="007C33C1">
        <w:rPr>
          <w:rFonts w:ascii="Arial" w:eastAsia="Calibri" w:hAnsi="Arial" w:cs="Arial"/>
          <w:sz w:val="22"/>
        </w:rPr>
        <w:t xml:space="preserve">información </w:t>
      </w:r>
      <w:r>
        <w:rPr>
          <w:rFonts w:ascii="Arial" w:eastAsia="Calibri" w:hAnsi="Arial" w:cs="Arial"/>
          <w:sz w:val="22"/>
        </w:rPr>
        <w:t>contenida en el RUP vigente y en firme, y</w:t>
      </w:r>
      <w:r w:rsidR="007C33C1">
        <w:rPr>
          <w:rFonts w:ascii="Arial" w:eastAsia="Calibri" w:hAnsi="Arial" w:cs="Arial"/>
          <w:sz w:val="22"/>
        </w:rPr>
        <w:t>,</w:t>
      </w:r>
      <w:r>
        <w:rPr>
          <w:rFonts w:ascii="Arial" w:eastAsia="Calibri" w:hAnsi="Arial" w:cs="Arial"/>
          <w:sz w:val="22"/>
        </w:rPr>
        <w:t xml:space="preserve"> por lo tanto</w:t>
      </w:r>
      <w:r w:rsidR="008731AF">
        <w:rPr>
          <w:rFonts w:ascii="Arial" w:eastAsia="Calibri" w:hAnsi="Arial" w:cs="Arial"/>
          <w:sz w:val="22"/>
        </w:rPr>
        <w:t>,</w:t>
      </w:r>
      <w:r>
        <w:rPr>
          <w:rFonts w:ascii="Arial" w:eastAsia="Calibri" w:hAnsi="Arial" w:cs="Arial"/>
          <w:sz w:val="22"/>
        </w:rPr>
        <w:t xml:space="preserve"> </w:t>
      </w:r>
      <w:r w:rsidR="008731AF">
        <w:rPr>
          <w:rFonts w:ascii="Arial" w:eastAsia="Calibri" w:hAnsi="Arial" w:cs="Arial"/>
          <w:sz w:val="22"/>
        </w:rPr>
        <w:t xml:space="preserve">no </w:t>
      </w:r>
      <w:r w:rsidR="007C33C1">
        <w:rPr>
          <w:rFonts w:ascii="Arial" w:eastAsia="Calibri" w:hAnsi="Arial" w:cs="Arial"/>
          <w:sz w:val="22"/>
        </w:rPr>
        <w:t xml:space="preserve">debe </w:t>
      </w:r>
      <w:r>
        <w:rPr>
          <w:rFonts w:ascii="Arial" w:eastAsia="Calibri" w:hAnsi="Arial" w:cs="Arial"/>
          <w:sz w:val="22"/>
        </w:rPr>
        <w:t>presenta</w:t>
      </w:r>
      <w:r w:rsidR="007C33C1">
        <w:rPr>
          <w:rFonts w:ascii="Arial" w:eastAsia="Calibri" w:hAnsi="Arial" w:cs="Arial"/>
          <w:sz w:val="22"/>
        </w:rPr>
        <w:t>r</w:t>
      </w:r>
      <w:r>
        <w:rPr>
          <w:rFonts w:ascii="Arial" w:eastAsia="Calibri" w:hAnsi="Arial" w:cs="Arial"/>
          <w:sz w:val="22"/>
        </w:rPr>
        <w:t xml:space="preserve"> </w:t>
      </w:r>
      <w:r w:rsidR="008731AF">
        <w:rPr>
          <w:rFonts w:ascii="Arial" w:eastAsia="Calibri" w:hAnsi="Arial" w:cs="Arial"/>
          <w:sz w:val="22"/>
        </w:rPr>
        <w:t>el certificado de antecedentes disciplinarios de la Junta de Contador de quien realiza la conversión de la moneda</w:t>
      </w:r>
      <w:r>
        <w:rPr>
          <w:rFonts w:ascii="Arial" w:eastAsia="Calibri" w:hAnsi="Arial" w:cs="Arial"/>
          <w:sz w:val="22"/>
        </w:rPr>
        <w:t xml:space="preserve">. </w:t>
      </w:r>
    </w:p>
    <w:p w14:paraId="207AD97C" w14:textId="29ABA7B8" w:rsidR="009A07C9" w:rsidRDefault="00027D10" w:rsidP="00871B5D">
      <w:pPr>
        <w:spacing w:before="120" w:line="276" w:lineRule="auto"/>
        <w:ind w:firstLine="708"/>
        <w:jc w:val="both"/>
        <w:rPr>
          <w:rFonts w:ascii="Arial" w:eastAsia="Calibri" w:hAnsi="Arial" w:cs="Arial"/>
          <w:sz w:val="22"/>
        </w:rPr>
      </w:pPr>
      <w:r>
        <w:rPr>
          <w:rFonts w:ascii="Arial" w:eastAsia="Calibri" w:hAnsi="Arial" w:cs="Arial"/>
          <w:sz w:val="22"/>
        </w:rPr>
        <w:t>Por otro lado, el proponente extranjero que no tiene domicilio o sucursal en Colombia</w:t>
      </w:r>
      <w:r w:rsidR="00A96499">
        <w:rPr>
          <w:rFonts w:ascii="Arial" w:eastAsia="Calibri" w:hAnsi="Arial" w:cs="Arial"/>
          <w:sz w:val="22"/>
        </w:rPr>
        <w:t>,</w:t>
      </w:r>
      <w:r w:rsidR="007C33C1">
        <w:rPr>
          <w:rFonts w:ascii="Arial" w:eastAsia="Calibri" w:hAnsi="Arial" w:cs="Arial"/>
          <w:sz w:val="22"/>
        </w:rPr>
        <w:t xml:space="preserve"> en razón a que debe </w:t>
      </w:r>
      <w:r w:rsidR="008731AF">
        <w:rPr>
          <w:rFonts w:ascii="Arial" w:eastAsia="Calibri" w:hAnsi="Arial" w:cs="Arial"/>
          <w:sz w:val="22"/>
        </w:rPr>
        <w:t xml:space="preserve">entregar el balance general y estado de resultado integral, </w:t>
      </w:r>
      <w:r>
        <w:rPr>
          <w:rFonts w:ascii="Arial" w:eastAsia="Calibri" w:hAnsi="Arial" w:cs="Arial"/>
          <w:sz w:val="22"/>
        </w:rPr>
        <w:t>s</w:t>
      </w:r>
      <w:r w:rsidR="008731AF">
        <w:rPr>
          <w:rFonts w:ascii="Arial" w:eastAsia="Calibri" w:hAnsi="Arial" w:cs="Arial"/>
          <w:sz w:val="22"/>
        </w:rPr>
        <w:t>í</w:t>
      </w:r>
      <w:r>
        <w:rPr>
          <w:rFonts w:ascii="Arial" w:eastAsia="Calibri" w:hAnsi="Arial" w:cs="Arial"/>
          <w:sz w:val="22"/>
        </w:rPr>
        <w:t xml:space="preserve"> </w:t>
      </w:r>
      <w:r w:rsidR="008731AF">
        <w:rPr>
          <w:rFonts w:ascii="Arial" w:eastAsia="Calibri" w:hAnsi="Arial" w:cs="Arial"/>
          <w:sz w:val="22"/>
        </w:rPr>
        <w:t xml:space="preserve">es necesario presentar </w:t>
      </w:r>
      <w:r>
        <w:rPr>
          <w:rFonts w:ascii="Arial" w:eastAsia="Calibri" w:hAnsi="Arial" w:cs="Arial"/>
          <w:sz w:val="22"/>
        </w:rPr>
        <w:t>l</w:t>
      </w:r>
      <w:r w:rsidR="008731AF">
        <w:rPr>
          <w:rFonts w:ascii="Arial" w:eastAsia="Calibri" w:hAnsi="Arial" w:cs="Arial"/>
          <w:sz w:val="22"/>
        </w:rPr>
        <w:t xml:space="preserve">a tarjeta profesional del Contador Público </w:t>
      </w:r>
      <w:r>
        <w:rPr>
          <w:rFonts w:ascii="Arial" w:eastAsia="Calibri" w:hAnsi="Arial" w:cs="Arial"/>
          <w:sz w:val="22"/>
        </w:rPr>
        <w:t>o Revisor Fiscal</w:t>
      </w:r>
      <w:r w:rsidR="007C33C1">
        <w:rPr>
          <w:rFonts w:ascii="Arial" w:eastAsia="Calibri" w:hAnsi="Arial" w:cs="Arial"/>
          <w:sz w:val="22"/>
        </w:rPr>
        <w:t xml:space="preserve"> de quien aprobó los estados financieros</w:t>
      </w:r>
      <w:r>
        <w:rPr>
          <w:rFonts w:ascii="Arial" w:eastAsia="Calibri" w:hAnsi="Arial" w:cs="Arial"/>
          <w:sz w:val="22"/>
        </w:rPr>
        <w:t xml:space="preserve"> </w:t>
      </w:r>
      <w:r w:rsidR="008731AF">
        <w:rPr>
          <w:rFonts w:ascii="Arial" w:eastAsia="Calibri" w:hAnsi="Arial" w:cs="Arial"/>
          <w:sz w:val="22"/>
        </w:rPr>
        <w:t>y, además entregar el certificado de antecedentes disciplinarios expedido por la Junta Central de Contadores de quien realiza la conversión de la moneda. E</w:t>
      </w:r>
      <w:r>
        <w:rPr>
          <w:rFonts w:ascii="Arial" w:eastAsia="Calibri" w:hAnsi="Arial" w:cs="Arial"/>
          <w:sz w:val="22"/>
        </w:rPr>
        <w:t>n este sentido</w:t>
      </w:r>
      <w:r w:rsidR="008731AF">
        <w:rPr>
          <w:rFonts w:ascii="Arial" w:eastAsia="Calibri" w:hAnsi="Arial" w:cs="Arial"/>
          <w:sz w:val="22"/>
        </w:rPr>
        <w:t>,</w:t>
      </w:r>
      <w:r>
        <w:rPr>
          <w:rFonts w:ascii="Arial" w:eastAsia="Calibri" w:hAnsi="Arial" w:cs="Arial"/>
          <w:sz w:val="22"/>
        </w:rPr>
        <w:t xml:space="preserve"> se presentará el certificado </w:t>
      </w:r>
      <w:r w:rsidR="008731AF">
        <w:rPr>
          <w:rFonts w:ascii="Arial" w:eastAsia="Calibri" w:hAnsi="Arial" w:cs="Arial"/>
          <w:sz w:val="22"/>
        </w:rPr>
        <w:t xml:space="preserve">de antecedentes disciplinarios </w:t>
      </w:r>
      <w:r>
        <w:rPr>
          <w:rFonts w:ascii="Arial" w:eastAsia="Calibri" w:hAnsi="Arial" w:cs="Arial"/>
          <w:sz w:val="22"/>
        </w:rPr>
        <w:t xml:space="preserve">del Contador Público o Revisor Fiscal que </w:t>
      </w:r>
      <w:r w:rsidR="008731AF">
        <w:rPr>
          <w:rFonts w:ascii="Arial" w:eastAsia="Calibri" w:hAnsi="Arial" w:cs="Arial"/>
          <w:sz w:val="22"/>
        </w:rPr>
        <w:t xml:space="preserve">realizó la conversión de la moneda al momento </w:t>
      </w:r>
      <w:r w:rsidR="008731AF">
        <w:rPr>
          <w:rFonts w:ascii="Arial" w:eastAsia="Calibri" w:hAnsi="Arial" w:cs="Arial"/>
          <w:sz w:val="22"/>
        </w:rPr>
        <w:lastRenderedPageBreak/>
        <w:t>del cierre del proces</w:t>
      </w:r>
      <w:r w:rsidR="007C33C1">
        <w:rPr>
          <w:rFonts w:ascii="Arial" w:eastAsia="Calibri" w:hAnsi="Arial" w:cs="Arial"/>
          <w:sz w:val="22"/>
        </w:rPr>
        <w:t>o y</w:t>
      </w:r>
      <w:r w:rsidR="00A96499">
        <w:rPr>
          <w:rFonts w:ascii="Arial" w:eastAsia="Calibri" w:hAnsi="Arial" w:cs="Arial"/>
          <w:sz w:val="22"/>
        </w:rPr>
        <w:t xml:space="preserve"> no quien firmó </w:t>
      </w:r>
      <w:r w:rsidR="00A96499" w:rsidRPr="00693980">
        <w:rPr>
          <w:rFonts w:ascii="Arial" w:eastAsia="Calibri" w:hAnsi="Arial" w:cs="Arial"/>
          <w:sz w:val="22"/>
        </w:rPr>
        <w:t xml:space="preserve">el estado de situación financiera </w:t>
      </w:r>
      <w:r w:rsidR="00822638">
        <w:rPr>
          <w:rFonts w:ascii="Arial" w:eastAsia="Calibri" w:hAnsi="Arial" w:cs="Arial"/>
          <w:sz w:val="22"/>
        </w:rPr>
        <w:t>–</w:t>
      </w:r>
      <w:r w:rsidR="00A96499" w:rsidRPr="00693980">
        <w:rPr>
          <w:rFonts w:ascii="Arial" w:eastAsia="Calibri" w:hAnsi="Arial" w:cs="Arial"/>
          <w:sz w:val="22"/>
        </w:rPr>
        <w:t>balance general</w:t>
      </w:r>
      <w:r w:rsidR="00822638">
        <w:rPr>
          <w:rFonts w:ascii="Arial" w:eastAsia="Calibri" w:hAnsi="Arial" w:cs="Arial"/>
          <w:sz w:val="22"/>
        </w:rPr>
        <w:t>–</w:t>
      </w:r>
      <w:r w:rsidR="00A96499" w:rsidRPr="00693980">
        <w:rPr>
          <w:rFonts w:ascii="Arial" w:eastAsia="Calibri" w:hAnsi="Arial" w:cs="Arial"/>
          <w:sz w:val="22"/>
        </w:rPr>
        <w:t xml:space="preserve"> y estado de resultado integral </w:t>
      </w:r>
      <w:r w:rsidR="00822638">
        <w:rPr>
          <w:rFonts w:ascii="Arial" w:eastAsia="Calibri" w:hAnsi="Arial" w:cs="Arial"/>
          <w:sz w:val="22"/>
        </w:rPr>
        <w:t>–</w:t>
      </w:r>
      <w:r w:rsidR="00A96499" w:rsidRPr="00693980">
        <w:rPr>
          <w:rFonts w:ascii="Arial" w:eastAsia="Calibri" w:hAnsi="Arial" w:cs="Arial"/>
          <w:sz w:val="22"/>
        </w:rPr>
        <w:t>estado de resultados</w:t>
      </w:r>
      <w:r w:rsidR="00B27C5F">
        <w:rPr>
          <w:rFonts w:ascii="Arial" w:eastAsia="Calibri" w:hAnsi="Arial" w:cs="Arial"/>
          <w:sz w:val="22"/>
        </w:rPr>
        <w:t>–</w:t>
      </w:r>
      <w:r w:rsidR="00A96499">
        <w:rPr>
          <w:rFonts w:ascii="Arial" w:eastAsia="Calibri" w:hAnsi="Arial" w:cs="Arial"/>
          <w:sz w:val="22"/>
        </w:rPr>
        <w:t>.</w:t>
      </w:r>
      <w:r w:rsidR="007C33C1">
        <w:rPr>
          <w:rFonts w:ascii="Arial" w:eastAsia="Calibri" w:hAnsi="Arial" w:cs="Arial"/>
          <w:sz w:val="22"/>
        </w:rPr>
        <w:t xml:space="preserve"> </w:t>
      </w:r>
    </w:p>
    <w:p w14:paraId="55D46B2E" w14:textId="77777777" w:rsidR="00495475" w:rsidRDefault="00495475" w:rsidP="00871B5D">
      <w:pPr>
        <w:spacing w:line="276" w:lineRule="auto"/>
        <w:jc w:val="both"/>
        <w:rPr>
          <w:rFonts w:ascii="Arial" w:eastAsia="Calibri" w:hAnsi="Arial" w:cs="Arial"/>
          <w:b/>
          <w:bCs/>
          <w:sz w:val="22"/>
        </w:rPr>
      </w:pPr>
    </w:p>
    <w:p w14:paraId="6DEF5D5F" w14:textId="77777777" w:rsidR="00495475" w:rsidRDefault="00495475" w:rsidP="00871B5D">
      <w:pPr>
        <w:spacing w:line="276" w:lineRule="auto"/>
        <w:jc w:val="both"/>
        <w:rPr>
          <w:rFonts w:ascii="Arial" w:eastAsia="Calibri" w:hAnsi="Arial" w:cs="Arial"/>
          <w:b/>
          <w:bCs/>
          <w:sz w:val="22"/>
        </w:rPr>
      </w:pPr>
    </w:p>
    <w:p w14:paraId="3AA4A68C" w14:textId="5120AF3B" w:rsidR="007C33C1" w:rsidRDefault="00871B5D" w:rsidP="00871B5D">
      <w:pPr>
        <w:spacing w:line="276" w:lineRule="auto"/>
        <w:jc w:val="both"/>
        <w:rPr>
          <w:rFonts w:ascii="Arial" w:eastAsia="Calibri" w:hAnsi="Arial" w:cs="Arial"/>
          <w:b/>
          <w:bCs/>
          <w:sz w:val="22"/>
        </w:rPr>
      </w:pPr>
      <w:r>
        <w:rPr>
          <w:rFonts w:ascii="Arial" w:eastAsia="Calibri" w:hAnsi="Arial" w:cs="Arial"/>
          <w:b/>
          <w:bCs/>
          <w:sz w:val="22"/>
        </w:rPr>
        <w:t xml:space="preserve">3. </w:t>
      </w:r>
      <w:r w:rsidR="007C33C1" w:rsidRPr="00DD55C9">
        <w:rPr>
          <w:rFonts w:ascii="Arial" w:eastAsia="Calibri" w:hAnsi="Arial" w:cs="Arial"/>
          <w:b/>
          <w:bCs/>
          <w:sz w:val="22"/>
        </w:rPr>
        <w:t>Respuesta</w:t>
      </w:r>
      <w:r w:rsidR="009A07C9" w:rsidRPr="00DD55C9">
        <w:rPr>
          <w:rFonts w:ascii="Arial" w:eastAsia="Calibri" w:hAnsi="Arial" w:cs="Arial"/>
          <w:b/>
          <w:bCs/>
          <w:sz w:val="22"/>
        </w:rPr>
        <w:t>s</w:t>
      </w:r>
    </w:p>
    <w:p w14:paraId="758297C4" w14:textId="77777777" w:rsidR="00871B5D" w:rsidRPr="00DD55C9" w:rsidRDefault="00871B5D" w:rsidP="00DD55C9">
      <w:pPr>
        <w:spacing w:line="276" w:lineRule="auto"/>
        <w:jc w:val="both"/>
        <w:rPr>
          <w:rFonts w:ascii="Arial" w:eastAsia="Calibri" w:hAnsi="Arial" w:cs="Arial"/>
          <w:b/>
          <w:bCs/>
          <w:sz w:val="22"/>
        </w:rPr>
      </w:pPr>
    </w:p>
    <w:p w14:paraId="55D18658" w14:textId="2FD42134" w:rsidR="007C33C1" w:rsidRDefault="007C33C1" w:rsidP="00871B5D">
      <w:pPr>
        <w:spacing w:line="276" w:lineRule="auto"/>
        <w:ind w:left="708" w:right="709"/>
        <w:jc w:val="both"/>
        <w:rPr>
          <w:rFonts w:ascii="Arial" w:eastAsia="Calibri" w:hAnsi="Arial" w:cs="Arial"/>
          <w:sz w:val="22"/>
        </w:rPr>
      </w:pPr>
      <w:r w:rsidRPr="00950D57">
        <w:rPr>
          <w:rFonts w:ascii="Arial" w:eastAsia="Calibri" w:hAnsi="Arial" w:cs="Arial"/>
          <w:sz w:val="22"/>
        </w:rPr>
        <w:t xml:space="preserve">i) </w:t>
      </w:r>
      <w:r>
        <w:rPr>
          <w:rFonts w:ascii="Arial" w:eastAsia="Calibri" w:hAnsi="Arial" w:cs="Arial"/>
          <w:sz w:val="22"/>
        </w:rPr>
        <w:t>«Para el puntaje adicional por una mayor garantía, esta debe ser otorgada por una aseguradora al momento de la firma del contrato?»</w:t>
      </w:r>
      <w:r w:rsidR="00871B5D">
        <w:rPr>
          <w:rFonts w:ascii="Arial" w:eastAsia="Calibri" w:hAnsi="Arial" w:cs="Arial"/>
          <w:sz w:val="22"/>
        </w:rPr>
        <w:t>.</w:t>
      </w:r>
    </w:p>
    <w:p w14:paraId="780A997C" w14:textId="77777777" w:rsidR="00871B5D" w:rsidRDefault="00871B5D" w:rsidP="00DD55C9">
      <w:pPr>
        <w:spacing w:line="276" w:lineRule="auto"/>
        <w:ind w:left="708" w:right="709"/>
        <w:jc w:val="both"/>
        <w:rPr>
          <w:rFonts w:ascii="Arial" w:eastAsia="Calibri" w:hAnsi="Arial" w:cs="Arial"/>
          <w:sz w:val="22"/>
        </w:rPr>
      </w:pPr>
    </w:p>
    <w:p w14:paraId="036CEB5A" w14:textId="04576B82" w:rsidR="00D27E2A" w:rsidRDefault="00D27E2A" w:rsidP="00DD55C9">
      <w:pPr>
        <w:spacing w:line="276" w:lineRule="auto"/>
        <w:jc w:val="both"/>
        <w:rPr>
          <w:rFonts w:ascii="Arial" w:hAnsi="Arial" w:cs="Arial"/>
          <w:sz w:val="22"/>
        </w:rPr>
      </w:pPr>
      <w:r>
        <w:rPr>
          <w:rFonts w:ascii="Arial" w:hAnsi="Arial" w:cs="Arial"/>
          <w:sz w:val="22"/>
        </w:rPr>
        <w:t xml:space="preserve">El proponente puede conceder la garantía adicional a través de una aseguradora, o puede hacerlo directamente, como garantía comercial que se da sobre un producto. Es decir, la posibilidad de obtener puntaje por este factor no se encuentra sujeta a la existencia de un seguro que respalde el amparo adicional, dado que el proponente puede otorgar la garantía por sí mismo. </w:t>
      </w:r>
    </w:p>
    <w:p w14:paraId="4B344BA0" w14:textId="4D053BF3" w:rsidR="00D27E2A" w:rsidRDefault="00D27E2A" w:rsidP="00D27E2A">
      <w:pPr>
        <w:spacing w:before="120" w:line="276" w:lineRule="auto"/>
        <w:ind w:firstLine="709"/>
        <w:jc w:val="both"/>
        <w:rPr>
          <w:rFonts w:ascii="Arial" w:hAnsi="Arial" w:cs="Arial"/>
          <w:sz w:val="22"/>
        </w:rPr>
      </w:pPr>
      <w:r>
        <w:rPr>
          <w:rFonts w:ascii="Arial" w:hAnsi="Arial" w:cs="Arial"/>
          <w:sz w:val="22"/>
        </w:rPr>
        <w:t xml:space="preserve">En pocas palabras, para el otorgamiento del puntaje por «Garantía suplementaria o adicional» no es necesario que la garantía sea otorgada por una aseguradora; sino bastará la garantía comercial que ofrezca el propio contratista. </w:t>
      </w:r>
    </w:p>
    <w:p w14:paraId="3CF7ADDF" w14:textId="77777777" w:rsidR="00B20F1B" w:rsidRDefault="00B20F1B" w:rsidP="00DD55C9">
      <w:pPr>
        <w:spacing w:line="276" w:lineRule="auto"/>
        <w:ind w:firstLine="709"/>
        <w:jc w:val="both"/>
        <w:rPr>
          <w:rFonts w:ascii="Arial" w:hAnsi="Arial" w:cs="Arial"/>
          <w:sz w:val="22"/>
        </w:rPr>
      </w:pPr>
    </w:p>
    <w:p w14:paraId="15C5508E" w14:textId="7401F5A5" w:rsidR="007C33C1" w:rsidRDefault="00D27E2A" w:rsidP="00B20F1B">
      <w:pPr>
        <w:spacing w:line="276" w:lineRule="auto"/>
        <w:ind w:right="709" w:firstLine="708"/>
        <w:jc w:val="both"/>
        <w:rPr>
          <w:rFonts w:ascii="Arial" w:eastAsia="Calibri" w:hAnsi="Arial" w:cs="Arial"/>
          <w:sz w:val="22"/>
        </w:rPr>
      </w:pPr>
      <w:r>
        <w:rPr>
          <w:rFonts w:ascii="Arial" w:eastAsia="Calibri" w:hAnsi="Arial" w:cs="Arial"/>
          <w:sz w:val="22"/>
        </w:rPr>
        <w:t xml:space="preserve"> ii) «Esta garantía es únicamente por estabilidad?»</w:t>
      </w:r>
      <w:r w:rsidR="006B7A90">
        <w:rPr>
          <w:rFonts w:ascii="Arial" w:eastAsia="Calibri" w:hAnsi="Arial" w:cs="Arial"/>
          <w:sz w:val="22"/>
        </w:rPr>
        <w:t>.</w:t>
      </w:r>
    </w:p>
    <w:p w14:paraId="0A39A87D" w14:textId="77777777" w:rsidR="00B20F1B" w:rsidRDefault="00B20F1B" w:rsidP="00DD55C9">
      <w:pPr>
        <w:spacing w:line="276" w:lineRule="auto"/>
        <w:ind w:right="709" w:firstLine="708"/>
        <w:jc w:val="both"/>
        <w:rPr>
          <w:rFonts w:ascii="Arial" w:eastAsia="Calibri" w:hAnsi="Arial" w:cs="Arial"/>
          <w:sz w:val="22"/>
        </w:rPr>
      </w:pPr>
    </w:p>
    <w:p w14:paraId="2EAE5EDD" w14:textId="4BF03B68" w:rsidR="00D27E2A" w:rsidRDefault="003121D3" w:rsidP="00DD55C9">
      <w:pPr>
        <w:spacing w:line="276" w:lineRule="auto"/>
        <w:jc w:val="both"/>
        <w:rPr>
          <w:rFonts w:ascii="Arial" w:hAnsi="Arial" w:cs="Arial"/>
          <w:sz w:val="22"/>
        </w:rPr>
      </w:pPr>
      <w:r>
        <w:rPr>
          <w:rFonts w:ascii="Arial" w:hAnsi="Arial" w:cs="Arial"/>
          <w:sz w:val="22"/>
        </w:rPr>
        <w:t>Conforme al numeral 4.2.4 de los «Documentos Base», l</w:t>
      </w:r>
      <w:r w:rsidR="00D27E2A">
        <w:rPr>
          <w:rFonts w:ascii="Arial" w:hAnsi="Arial" w:cs="Arial"/>
          <w:sz w:val="22"/>
        </w:rPr>
        <w:t>a «Garantía adicional o suplementaria»</w:t>
      </w:r>
      <w:r>
        <w:rPr>
          <w:rFonts w:ascii="Arial" w:hAnsi="Arial" w:cs="Arial"/>
          <w:sz w:val="22"/>
        </w:rPr>
        <w:t xml:space="preserve"> al ser</w:t>
      </w:r>
      <w:r w:rsidR="00D27E2A">
        <w:rPr>
          <w:rFonts w:ascii="Arial" w:hAnsi="Arial" w:cs="Arial"/>
          <w:sz w:val="22"/>
        </w:rPr>
        <w:t xml:space="preserve"> un amparo </w:t>
      </w:r>
      <w:r>
        <w:rPr>
          <w:rFonts w:ascii="Arial" w:hAnsi="Arial" w:cs="Arial"/>
          <w:sz w:val="22"/>
        </w:rPr>
        <w:t>relacionado con</w:t>
      </w:r>
      <w:r w:rsidR="00D27E2A">
        <w:rPr>
          <w:rFonts w:ascii="Arial" w:hAnsi="Arial" w:cs="Arial"/>
          <w:sz w:val="22"/>
        </w:rPr>
        <w:t xml:space="preserve"> la estabilidad y calidad de la obra, cubrirá a la entidad estatal contratante de los perjuicios que se le ocasionen como consecuencia de cualquier daño o deterioro, independientemente de su causa, sufridos por la obra entregada. Este amparo adicional empieza a regir después del plazo previsto para la garantía de estabilidad y calidad de la obra, que en todo caso no puede ser inferior a cinco (5) años contados a partir de la fecha en la cual la Entidad Estatal recibe a satisfacción la obra</w:t>
      </w:r>
      <w:r>
        <w:rPr>
          <w:rStyle w:val="Refdenotaalpie"/>
          <w:rFonts w:ascii="Arial" w:hAnsi="Arial" w:cs="Arial"/>
          <w:sz w:val="22"/>
        </w:rPr>
        <w:footnoteReference w:id="22"/>
      </w:r>
      <w:r>
        <w:rPr>
          <w:rFonts w:ascii="Arial" w:hAnsi="Arial" w:cs="Arial"/>
          <w:sz w:val="22"/>
        </w:rPr>
        <w:t>. En esta medida, no se extiende a otro tipo de amparos.</w:t>
      </w:r>
    </w:p>
    <w:p w14:paraId="4EEF7402" w14:textId="77777777" w:rsidR="003121D3" w:rsidRDefault="003121D3" w:rsidP="00DD55C9">
      <w:pPr>
        <w:spacing w:line="276" w:lineRule="auto"/>
        <w:jc w:val="both"/>
        <w:rPr>
          <w:rFonts w:ascii="Arial" w:hAnsi="Arial" w:cs="Arial"/>
          <w:sz w:val="22"/>
        </w:rPr>
      </w:pPr>
    </w:p>
    <w:p w14:paraId="2361C604" w14:textId="108EA9FB" w:rsidR="00D27E2A" w:rsidRDefault="00D27E2A" w:rsidP="003121D3">
      <w:pPr>
        <w:spacing w:line="276" w:lineRule="auto"/>
        <w:ind w:left="705" w:right="709"/>
        <w:jc w:val="both"/>
        <w:rPr>
          <w:rFonts w:ascii="Arial" w:eastAsia="Calibri" w:hAnsi="Arial" w:cs="Arial"/>
          <w:sz w:val="22"/>
        </w:rPr>
      </w:pPr>
      <w:r>
        <w:rPr>
          <w:rFonts w:ascii="Arial" w:eastAsia="Calibri" w:hAnsi="Arial" w:cs="Arial"/>
          <w:sz w:val="22"/>
        </w:rPr>
        <w:t>iii) «Se puede ofrecer 20 años de garantía extendida?, iv) «La entidad puede rechazar eliminar un puntaje por ofrecimientos exagerados, ejemplo: 100 años de mantenimiento o 100 cuadrillas adicionales?»</w:t>
      </w:r>
      <w:r w:rsidR="003121D3">
        <w:rPr>
          <w:rFonts w:ascii="Arial" w:eastAsia="Calibri" w:hAnsi="Arial" w:cs="Arial"/>
          <w:sz w:val="22"/>
        </w:rPr>
        <w:t>.</w:t>
      </w:r>
    </w:p>
    <w:p w14:paraId="4C1BA9AC" w14:textId="77777777" w:rsidR="003121D3" w:rsidRDefault="003121D3" w:rsidP="00DD55C9">
      <w:pPr>
        <w:spacing w:line="276" w:lineRule="auto"/>
        <w:ind w:left="705" w:right="709"/>
        <w:jc w:val="both"/>
        <w:rPr>
          <w:rFonts w:ascii="Arial" w:hAnsi="Arial" w:cs="Arial"/>
          <w:sz w:val="22"/>
        </w:rPr>
      </w:pPr>
    </w:p>
    <w:p w14:paraId="02BC4B35" w14:textId="2EC9B84B" w:rsidR="00AF13F5" w:rsidRDefault="00AF13F5" w:rsidP="00D27E2A">
      <w:pPr>
        <w:spacing w:line="276" w:lineRule="auto"/>
        <w:jc w:val="both"/>
        <w:rPr>
          <w:rFonts w:ascii="Arial" w:eastAsia="Calibri" w:hAnsi="Arial" w:cs="Arial"/>
          <w:sz w:val="22"/>
        </w:rPr>
      </w:pPr>
      <w:r>
        <w:rPr>
          <w:rFonts w:ascii="Arial" w:eastAsia="Calibri" w:hAnsi="Arial" w:cs="Arial"/>
          <w:sz w:val="22"/>
        </w:rPr>
        <w:lastRenderedPageBreak/>
        <w:t>El artículo 19 de la Ley 1755 de 2015 señala que las peticiones reiterativas ya resueltas, la autoridad podrá remitirse a las a las respuestas anteriores, así se determinó en los siguientes términos: «</w:t>
      </w:r>
      <w:r w:rsidRPr="00AF13F5">
        <w:rPr>
          <w:rFonts w:ascii="Arial" w:eastAsia="Calibri" w:hAnsi="Arial" w:cs="Arial"/>
          <w:sz w:val="22"/>
        </w:rPr>
        <w:t>Respecto de peticiones reiterativas ya resueltas, la autoridad podrá remitirse a las respuestas anteriores, salvo que se trate de derechos imprescriptibles, o de peticiones que se hubieren negado por no acreditar requisitos, siempre que en la nueva petición se subsane</w:t>
      </w:r>
      <w:r>
        <w:rPr>
          <w:rFonts w:ascii="Arial" w:eastAsia="Calibri" w:hAnsi="Arial" w:cs="Arial"/>
          <w:sz w:val="22"/>
        </w:rPr>
        <w:t>». En razón a que estas dos consultas ya fueron respondidas con el Radicado No. 4202013000002545, Concepto</w:t>
      </w:r>
      <w:r w:rsidR="00AB5484">
        <w:rPr>
          <w:rFonts w:ascii="Arial" w:eastAsia="Calibri" w:hAnsi="Arial" w:cs="Arial"/>
          <w:sz w:val="22"/>
        </w:rPr>
        <w:t xml:space="preserve"> C-</w:t>
      </w:r>
      <w:r>
        <w:rPr>
          <w:rFonts w:ascii="Arial" w:eastAsia="Calibri" w:hAnsi="Arial" w:cs="Arial"/>
          <w:sz w:val="22"/>
        </w:rPr>
        <w:t>278 de</w:t>
      </w:r>
      <w:r w:rsidR="00495475">
        <w:rPr>
          <w:rFonts w:ascii="Arial" w:eastAsia="Calibri" w:hAnsi="Arial" w:cs="Arial"/>
          <w:sz w:val="22"/>
        </w:rPr>
        <w:t>l 26 de mayo de</w:t>
      </w:r>
      <w:r>
        <w:rPr>
          <w:rFonts w:ascii="Arial" w:eastAsia="Calibri" w:hAnsi="Arial" w:cs="Arial"/>
          <w:sz w:val="22"/>
        </w:rPr>
        <w:t xml:space="preserve"> 2020, se remite esta respuesta a lo previamente contestado en este Radicado. </w:t>
      </w:r>
    </w:p>
    <w:p w14:paraId="194DED7D" w14:textId="21B818B4" w:rsidR="00D27E2A" w:rsidRDefault="00AF13F5" w:rsidP="00DD55C9">
      <w:pPr>
        <w:spacing w:before="120" w:line="276" w:lineRule="auto"/>
        <w:jc w:val="both"/>
        <w:rPr>
          <w:rFonts w:ascii="Arial" w:eastAsia="Calibri" w:hAnsi="Arial" w:cs="Arial"/>
          <w:sz w:val="22"/>
        </w:rPr>
      </w:pPr>
      <w:r>
        <w:rPr>
          <w:rFonts w:ascii="Arial" w:eastAsia="Calibri" w:hAnsi="Arial" w:cs="Arial"/>
          <w:sz w:val="22"/>
        </w:rPr>
        <w:tab/>
      </w:r>
      <w:bookmarkStart w:id="5" w:name="_Hlk41403586"/>
      <w:r w:rsidRPr="00AF13F5">
        <w:rPr>
          <w:rFonts w:ascii="Arial" w:eastAsia="Calibri" w:hAnsi="Arial" w:cs="Arial"/>
          <w:sz w:val="22"/>
        </w:rPr>
        <w:t xml:space="preserve">El </w:t>
      </w:r>
      <w:r w:rsidR="003121D3">
        <w:rPr>
          <w:rFonts w:ascii="Arial" w:eastAsia="Calibri" w:hAnsi="Arial" w:cs="Arial"/>
          <w:sz w:val="22"/>
        </w:rPr>
        <w:t>«</w:t>
      </w:r>
      <w:r w:rsidRPr="00AF13F5">
        <w:rPr>
          <w:rFonts w:ascii="Arial" w:eastAsia="Calibri" w:hAnsi="Arial" w:cs="Arial"/>
          <w:sz w:val="22"/>
        </w:rPr>
        <w:t>Documento Tipo</w:t>
      </w:r>
      <w:r w:rsidR="003121D3">
        <w:rPr>
          <w:rFonts w:ascii="Arial" w:eastAsia="Calibri" w:hAnsi="Arial" w:cs="Arial"/>
          <w:sz w:val="22"/>
        </w:rPr>
        <w:t>»</w:t>
      </w:r>
      <w:r w:rsidRPr="00AF13F5">
        <w:rPr>
          <w:rFonts w:ascii="Arial" w:eastAsia="Calibri" w:hAnsi="Arial" w:cs="Arial"/>
          <w:sz w:val="22"/>
        </w:rPr>
        <w:t xml:space="preserve"> </w:t>
      </w:r>
      <w:r w:rsidR="003121D3">
        <w:rPr>
          <w:rFonts w:ascii="Arial" w:eastAsia="Calibri" w:hAnsi="Arial" w:cs="Arial"/>
          <w:sz w:val="22"/>
        </w:rPr>
        <w:t>no dispone un límite sobre el tiempo</w:t>
      </w:r>
      <w:r w:rsidRPr="00AF13F5">
        <w:rPr>
          <w:rFonts w:ascii="Arial" w:eastAsia="Calibri" w:hAnsi="Arial" w:cs="Arial"/>
          <w:sz w:val="22"/>
        </w:rPr>
        <w:t xml:space="preserve"> de</w:t>
      </w:r>
      <w:r w:rsidR="003121D3">
        <w:rPr>
          <w:rFonts w:ascii="Arial" w:eastAsia="Calibri" w:hAnsi="Arial" w:cs="Arial"/>
          <w:sz w:val="22"/>
        </w:rPr>
        <w:t xml:space="preserve"> la</w:t>
      </w:r>
      <w:r w:rsidRPr="00AF13F5">
        <w:rPr>
          <w:rFonts w:ascii="Arial" w:eastAsia="Calibri" w:hAnsi="Arial" w:cs="Arial"/>
          <w:sz w:val="22"/>
        </w:rPr>
        <w:t xml:space="preserve"> garantía adicional, distinta a la legal</w:t>
      </w:r>
      <w:r w:rsidR="003121D3">
        <w:rPr>
          <w:rFonts w:ascii="Arial" w:eastAsia="Calibri" w:hAnsi="Arial" w:cs="Arial"/>
          <w:sz w:val="22"/>
        </w:rPr>
        <w:t>. Los proponentes también pueden ofrecer</w:t>
      </w:r>
      <w:r w:rsidRPr="00AF13F5">
        <w:rPr>
          <w:rFonts w:ascii="Arial" w:eastAsia="Calibri" w:hAnsi="Arial" w:cs="Arial"/>
          <w:sz w:val="22"/>
        </w:rPr>
        <w:t xml:space="preserve"> el número de cuadrillas de trabajo adicional </w:t>
      </w:r>
      <w:r w:rsidR="003121D3">
        <w:rPr>
          <w:rFonts w:ascii="Arial" w:eastAsia="Calibri" w:hAnsi="Arial" w:cs="Arial"/>
          <w:sz w:val="22"/>
        </w:rPr>
        <w:t>para el proyecto</w:t>
      </w:r>
      <w:r w:rsidRPr="00AF13F5">
        <w:rPr>
          <w:rFonts w:ascii="Arial" w:eastAsia="Calibri" w:hAnsi="Arial" w:cs="Arial"/>
          <w:sz w:val="22"/>
        </w:rPr>
        <w:t xml:space="preserve">, o </w:t>
      </w:r>
      <w:r w:rsidR="003121D3">
        <w:rPr>
          <w:rFonts w:ascii="Arial" w:eastAsia="Calibri" w:hAnsi="Arial" w:cs="Arial"/>
          <w:sz w:val="22"/>
        </w:rPr>
        <w:t>establecer</w:t>
      </w:r>
      <w:r w:rsidRPr="00AF13F5">
        <w:rPr>
          <w:rFonts w:ascii="Arial" w:eastAsia="Calibri" w:hAnsi="Arial" w:cs="Arial"/>
          <w:sz w:val="22"/>
        </w:rPr>
        <w:t xml:space="preserve"> </w:t>
      </w:r>
      <w:r w:rsidR="003121D3">
        <w:rPr>
          <w:rFonts w:ascii="Arial" w:eastAsia="Calibri" w:hAnsi="Arial" w:cs="Arial"/>
          <w:sz w:val="22"/>
        </w:rPr>
        <w:t>el</w:t>
      </w:r>
      <w:r w:rsidRPr="00AF13F5">
        <w:rPr>
          <w:rFonts w:ascii="Arial" w:eastAsia="Calibri" w:hAnsi="Arial" w:cs="Arial"/>
          <w:sz w:val="22"/>
        </w:rPr>
        <w:t xml:space="preserve"> plazo máximo para realizar labores de mantenimiento rutinario adicional. Es decir, el </w:t>
      </w:r>
      <w:r w:rsidR="00266C87">
        <w:rPr>
          <w:rFonts w:ascii="Arial" w:eastAsia="Calibri" w:hAnsi="Arial" w:cs="Arial"/>
          <w:sz w:val="22"/>
        </w:rPr>
        <w:t>«</w:t>
      </w:r>
      <w:r w:rsidRPr="00AF13F5">
        <w:rPr>
          <w:rFonts w:ascii="Arial" w:eastAsia="Calibri" w:hAnsi="Arial" w:cs="Arial"/>
          <w:sz w:val="22"/>
        </w:rPr>
        <w:t>Documento Tipo</w:t>
      </w:r>
      <w:r w:rsidR="00266C87">
        <w:rPr>
          <w:rFonts w:ascii="Arial" w:eastAsia="Calibri" w:hAnsi="Arial" w:cs="Arial"/>
          <w:sz w:val="22"/>
        </w:rPr>
        <w:t>»</w:t>
      </w:r>
      <w:r w:rsidRPr="00AF13F5">
        <w:rPr>
          <w:rFonts w:ascii="Arial" w:eastAsia="Calibri" w:hAnsi="Arial" w:cs="Arial"/>
          <w:sz w:val="22"/>
        </w:rPr>
        <w:t xml:space="preserve"> no limita los ofrecimientos realizados por el oferente. No obstante, en el evento que resulte adjudicatario del </w:t>
      </w:r>
      <w:r w:rsidR="003121D3">
        <w:rPr>
          <w:rFonts w:ascii="Arial" w:eastAsia="Calibri" w:hAnsi="Arial" w:cs="Arial"/>
          <w:sz w:val="22"/>
        </w:rPr>
        <w:t>procedimiento</w:t>
      </w:r>
      <w:r w:rsidRPr="00AF13F5">
        <w:rPr>
          <w:rFonts w:ascii="Arial" w:eastAsia="Calibri" w:hAnsi="Arial" w:cs="Arial"/>
          <w:sz w:val="22"/>
        </w:rPr>
        <w:t xml:space="preserve"> de </w:t>
      </w:r>
      <w:r w:rsidR="003121D3">
        <w:rPr>
          <w:rFonts w:ascii="Arial" w:eastAsia="Calibri" w:hAnsi="Arial" w:cs="Arial"/>
          <w:sz w:val="22"/>
        </w:rPr>
        <w:t>c</w:t>
      </w:r>
      <w:r w:rsidRPr="00AF13F5">
        <w:rPr>
          <w:rFonts w:ascii="Arial" w:eastAsia="Calibri" w:hAnsi="Arial" w:cs="Arial"/>
          <w:sz w:val="22"/>
        </w:rPr>
        <w:t>ontratación, el compromiso del factor de calidad se convierte en una obligación contractual que es de obligatorio cumplimiento, so pena de las multas que se impongan de acuerdo con lo definido en el «Anexo 5 – Minuta del Contrato».</w:t>
      </w:r>
      <w:bookmarkEnd w:id="5"/>
    </w:p>
    <w:p w14:paraId="19F18E03" w14:textId="77777777" w:rsidR="003121D3" w:rsidRDefault="003121D3" w:rsidP="00DD55C9">
      <w:pPr>
        <w:spacing w:line="276" w:lineRule="auto"/>
        <w:jc w:val="both"/>
        <w:rPr>
          <w:rFonts w:ascii="Arial" w:eastAsia="Calibri" w:hAnsi="Arial" w:cs="Arial"/>
          <w:sz w:val="22"/>
        </w:rPr>
      </w:pPr>
    </w:p>
    <w:p w14:paraId="61EED1C6" w14:textId="105FF2E9" w:rsidR="00AF13F5" w:rsidRDefault="00AF13F5" w:rsidP="00DD55C9">
      <w:pPr>
        <w:spacing w:line="276" w:lineRule="auto"/>
        <w:ind w:left="705" w:right="709"/>
        <w:jc w:val="both"/>
        <w:rPr>
          <w:rFonts w:ascii="Arial" w:eastAsia="Calibri" w:hAnsi="Arial" w:cs="Arial"/>
          <w:sz w:val="22"/>
        </w:rPr>
      </w:pPr>
      <w:r>
        <w:rPr>
          <w:rFonts w:ascii="Arial" w:eastAsia="Calibri" w:hAnsi="Arial" w:cs="Arial"/>
          <w:sz w:val="22"/>
        </w:rPr>
        <w:t>v) «Para el factor de calidad por concepto de cuadrillas adicionales, como se definiría una cuadrilla, debe la entidad definirlas en el anexo técnico?»</w:t>
      </w:r>
      <w:r w:rsidR="003121D3">
        <w:rPr>
          <w:rFonts w:ascii="Arial" w:eastAsia="Calibri" w:hAnsi="Arial" w:cs="Arial"/>
          <w:sz w:val="22"/>
        </w:rPr>
        <w:t>.</w:t>
      </w:r>
    </w:p>
    <w:p w14:paraId="4BF6A0FF" w14:textId="77777777" w:rsidR="003121D3" w:rsidRDefault="003121D3" w:rsidP="00DD55C9">
      <w:pPr>
        <w:spacing w:line="276" w:lineRule="auto"/>
        <w:ind w:left="705" w:right="709"/>
        <w:jc w:val="both"/>
        <w:rPr>
          <w:rFonts w:ascii="Arial" w:eastAsia="Calibri" w:hAnsi="Arial" w:cs="Arial"/>
          <w:sz w:val="22"/>
        </w:rPr>
      </w:pPr>
    </w:p>
    <w:p w14:paraId="74067464" w14:textId="00C74E64" w:rsidR="0042099B" w:rsidRDefault="0042099B" w:rsidP="0042099B">
      <w:pPr>
        <w:spacing w:before="120" w:line="276" w:lineRule="auto"/>
        <w:jc w:val="both"/>
        <w:rPr>
          <w:rFonts w:ascii="Arial" w:hAnsi="Arial" w:cs="Arial"/>
          <w:sz w:val="22"/>
        </w:rPr>
      </w:pPr>
      <w:bookmarkStart w:id="6" w:name="_Hlk38366625"/>
      <w:r>
        <w:rPr>
          <w:rFonts w:ascii="Arial" w:hAnsi="Arial" w:cs="Arial"/>
          <w:sz w:val="22"/>
        </w:rPr>
        <w:t xml:space="preserve">En el Documento Tipo se define como el personal obrero adicional para un frente o unidad de trabajo, la cual deberá ser de 5 obreros. En este sentido, no es necesario incluir una nueva definición en el Anexo Técnico; ya que según el tipo de obra de Infraestructura de Transporte y por las labores propias a realizar se entienden las condiciones de dicha cuadrilla, por lo cual, no es sujeto de establecimiento de perfiles, ya que se encuentra en función de una unidad de trabajo compuesta de 5 obreros para tal fin. </w:t>
      </w:r>
    </w:p>
    <w:p w14:paraId="36AC2015" w14:textId="2E987E0B" w:rsidR="0042099B" w:rsidRDefault="0042099B" w:rsidP="0042099B">
      <w:pPr>
        <w:spacing w:before="120" w:line="276" w:lineRule="auto"/>
        <w:ind w:firstLine="709"/>
        <w:jc w:val="both"/>
        <w:rPr>
          <w:rFonts w:ascii="Arial" w:hAnsi="Arial" w:cs="Arial"/>
          <w:sz w:val="22"/>
        </w:rPr>
      </w:pPr>
      <w:r>
        <w:rPr>
          <w:rFonts w:ascii="Arial" w:hAnsi="Arial" w:cs="Arial"/>
          <w:sz w:val="22"/>
        </w:rPr>
        <w:t xml:space="preserve">Por otro lado, en razón a que las cuadrillas de trabajo adicional están por cuenta propia del contratista, si se definen en el </w:t>
      </w:r>
      <w:r w:rsidR="002B14B5">
        <w:rPr>
          <w:rFonts w:ascii="Arial" w:hAnsi="Arial" w:cs="Arial"/>
          <w:sz w:val="22"/>
        </w:rPr>
        <w:t>«</w:t>
      </w:r>
      <w:r>
        <w:rPr>
          <w:rFonts w:ascii="Arial" w:hAnsi="Arial" w:cs="Arial"/>
          <w:sz w:val="22"/>
        </w:rPr>
        <w:t>Anexo 1– Anexo Técnico</w:t>
      </w:r>
      <w:r w:rsidR="002B14B5">
        <w:rPr>
          <w:rFonts w:ascii="Arial" w:hAnsi="Arial" w:cs="Arial"/>
          <w:sz w:val="22"/>
        </w:rPr>
        <w:t>»</w:t>
      </w:r>
      <w:r>
        <w:rPr>
          <w:rFonts w:ascii="Arial" w:hAnsi="Arial" w:cs="Arial"/>
          <w:sz w:val="22"/>
        </w:rPr>
        <w:t xml:space="preserve"> se obligaría al proponente que contará con ese personal de manera obligatoria para ser acreedor de dicho puntaje, limitando de esta manera la capacidad de elaboración de la propuesta por parte del oferente. De esta forma, se recuerda que las cuadrillas de trabajo adicional son entendidas en el marco del tipo de Infraestructura de Transporte </w:t>
      </w:r>
      <w:bookmarkEnd w:id="6"/>
      <w:r w:rsidR="00D8570B">
        <w:rPr>
          <w:rFonts w:ascii="Arial" w:hAnsi="Arial" w:cs="Arial"/>
          <w:sz w:val="22"/>
        </w:rPr>
        <w:t>que se ejecuta</w:t>
      </w:r>
      <w:r>
        <w:rPr>
          <w:rFonts w:ascii="Arial" w:hAnsi="Arial" w:cs="Arial"/>
          <w:sz w:val="22"/>
        </w:rPr>
        <w:t xml:space="preserve">. </w:t>
      </w:r>
    </w:p>
    <w:p w14:paraId="0C192656" w14:textId="77777777" w:rsidR="00341668" w:rsidRPr="006232B4" w:rsidRDefault="00341668" w:rsidP="00DD55C9">
      <w:pPr>
        <w:spacing w:line="276" w:lineRule="auto"/>
        <w:ind w:firstLine="709"/>
        <w:jc w:val="both"/>
        <w:rPr>
          <w:rFonts w:ascii="Arial" w:hAnsi="Arial" w:cs="Arial"/>
          <w:sz w:val="22"/>
        </w:rPr>
      </w:pPr>
    </w:p>
    <w:p w14:paraId="114D8BFA" w14:textId="60A47FE5" w:rsidR="00716F35" w:rsidRDefault="00716F35" w:rsidP="00341668">
      <w:pPr>
        <w:spacing w:line="276" w:lineRule="auto"/>
        <w:ind w:left="708"/>
        <w:jc w:val="both"/>
        <w:rPr>
          <w:rFonts w:ascii="Arial" w:eastAsia="Calibri" w:hAnsi="Arial" w:cs="Arial"/>
          <w:sz w:val="22"/>
        </w:rPr>
      </w:pPr>
      <w:r w:rsidRPr="00716F35">
        <w:rPr>
          <w:rFonts w:ascii="Arial" w:eastAsia="Calibri" w:hAnsi="Arial" w:cs="Arial"/>
          <w:sz w:val="22"/>
        </w:rPr>
        <w:t xml:space="preserve">vi) «Para el caso de la visita obligatoria, ¿cómo se debe realizar por parte de los proponentes plurales? ¿Puede una empresa que realizó la visita consorciarse con alguien que no realizó la visita? </w:t>
      </w:r>
      <w:r>
        <w:rPr>
          <w:rFonts w:ascii="Arial" w:eastAsia="Calibri" w:hAnsi="Arial" w:cs="Arial"/>
          <w:sz w:val="22"/>
        </w:rPr>
        <w:t>¿</w:t>
      </w:r>
      <w:r w:rsidRPr="00716F35">
        <w:rPr>
          <w:rFonts w:ascii="Arial" w:eastAsia="Calibri" w:hAnsi="Arial" w:cs="Arial"/>
          <w:sz w:val="22"/>
        </w:rPr>
        <w:t>Se debe realizar la visita a nombre del consorcio y los integrantes deben estar definidos al momento de la visita?»</w:t>
      </w:r>
      <w:r w:rsidR="00341668">
        <w:rPr>
          <w:rFonts w:ascii="Arial" w:eastAsia="Calibri" w:hAnsi="Arial" w:cs="Arial"/>
          <w:sz w:val="22"/>
        </w:rPr>
        <w:t>.</w:t>
      </w:r>
    </w:p>
    <w:p w14:paraId="21CB57A0" w14:textId="77777777" w:rsidR="00341668" w:rsidRDefault="00341668" w:rsidP="00DD55C9">
      <w:pPr>
        <w:spacing w:line="276" w:lineRule="auto"/>
        <w:ind w:left="708"/>
        <w:jc w:val="both"/>
        <w:rPr>
          <w:rFonts w:ascii="Arial" w:eastAsia="Calibri" w:hAnsi="Arial" w:cs="Arial"/>
          <w:sz w:val="22"/>
        </w:rPr>
      </w:pPr>
    </w:p>
    <w:p w14:paraId="4BC2548A" w14:textId="77777777" w:rsidR="00495475" w:rsidRPr="00495475" w:rsidRDefault="00495475" w:rsidP="00DD55C9">
      <w:pPr>
        <w:tabs>
          <w:tab w:val="left" w:pos="426"/>
        </w:tabs>
        <w:spacing w:before="120" w:after="120" w:line="276" w:lineRule="auto"/>
        <w:jc w:val="both"/>
        <w:rPr>
          <w:rFonts w:ascii="Arial" w:eastAsia="Calibri" w:hAnsi="Arial" w:cs="Arial"/>
          <w:color w:val="181818"/>
          <w:sz w:val="22"/>
          <w:lang w:val="es-ES"/>
        </w:rPr>
      </w:pPr>
      <w:bookmarkStart w:id="7" w:name="_Hlk41403676"/>
      <w:r w:rsidRPr="00495475">
        <w:rPr>
          <w:rFonts w:ascii="Arial" w:eastAsia="Calibri" w:hAnsi="Arial" w:cs="Arial"/>
          <w:color w:val="181818"/>
          <w:sz w:val="22"/>
          <w:lang w:val="es-ES"/>
        </w:rPr>
        <w:lastRenderedPageBreak/>
        <w:t xml:space="preserve">De acuerdo con la información del «Documento Base o Pliego Tipo» la acreditación de la visita de obra por parte de los proponentes plurales: i) bastará que uno (1) de los futuros integrantes sea el que realice la visita y ii) no es necesario que asista el representante legal de la persona jurídica o la persona natural miembro del proponente plural, ya que bastará la asistencia a cualquier persona que tenga el título de ingeniero, por medio de una autorización simple suscrita por alguno de ellos. </w:t>
      </w:r>
    </w:p>
    <w:p w14:paraId="66A26053" w14:textId="40496903" w:rsidR="00341668" w:rsidRDefault="00495475" w:rsidP="00DD55C9">
      <w:pPr>
        <w:tabs>
          <w:tab w:val="left" w:pos="426"/>
        </w:tabs>
        <w:spacing w:line="276" w:lineRule="auto"/>
        <w:jc w:val="both"/>
        <w:rPr>
          <w:rFonts w:ascii="Arial" w:eastAsia="Calibri" w:hAnsi="Arial" w:cs="Arial"/>
          <w:color w:val="181818"/>
          <w:sz w:val="22"/>
          <w:lang w:val="es-ES"/>
        </w:rPr>
      </w:pPr>
      <w:r w:rsidRPr="00495475">
        <w:rPr>
          <w:rFonts w:ascii="Arial" w:eastAsia="Calibri" w:hAnsi="Arial" w:cs="Arial"/>
          <w:color w:val="181818"/>
          <w:sz w:val="22"/>
          <w:lang w:val="es-ES"/>
        </w:rPr>
        <w:tab/>
      </w:r>
      <w:r w:rsidRPr="00495475">
        <w:rPr>
          <w:rFonts w:ascii="Arial" w:eastAsia="Calibri" w:hAnsi="Arial" w:cs="Arial"/>
          <w:color w:val="181818"/>
          <w:sz w:val="22"/>
          <w:lang w:val="es-ES"/>
        </w:rPr>
        <w:tab/>
        <w:t>De esta forma no se requiere que al momento de asistir a la visita de la obra ya esté conformado el consorcio o unión temporal, simplemente la persona que asista debe indicar que actúa en nombre de uno de los integrantes del proponente plural. En este sentido, en el caso que uno de los integrantes asista a la visita de la obra, se podrá conformar el consorcio o la unión temporal con cualquier persona que no haya asistido a la visita de la obr</w:t>
      </w:r>
      <w:bookmarkEnd w:id="7"/>
      <w:r w:rsidRPr="00495475">
        <w:rPr>
          <w:rFonts w:ascii="Arial" w:eastAsia="Calibri" w:hAnsi="Arial" w:cs="Arial"/>
          <w:color w:val="181818"/>
          <w:sz w:val="22"/>
          <w:lang w:val="es-ES"/>
        </w:rPr>
        <w:t xml:space="preserve">a. </w:t>
      </w:r>
    </w:p>
    <w:p w14:paraId="04869061" w14:textId="3CCD774A" w:rsidR="00A6270F" w:rsidRDefault="00CC133B" w:rsidP="00341668">
      <w:pPr>
        <w:tabs>
          <w:tab w:val="left" w:pos="8080"/>
        </w:tabs>
        <w:spacing w:line="276" w:lineRule="auto"/>
        <w:ind w:left="705" w:right="709"/>
        <w:jc w:val="both"/>
        <w:rPr>
          <w:rFonts w:ascii="Arial" w:eastAsia="Calibri" w:hAnsi="Arial" w:cs="Arial"/>
          <w:sz w:val="22"/>
        </w:rPr>
      </w:pPr>
      <w:r>
        <w:rPr>
          <w:rFonts w:ascii="Arial" w:eastAsia="Calibri" w:hAnsi="Arial" w:cs="Arial"/>
          <w:sz w:val="22"/>
        </w:rPr>
        <w:t>vii) «De acuerdo a la ley 1882, al momento de subsanar los proponentes no podrán acreditar circunstancias ocurridas con posterioridad al cierre: Cámara y comercio, RUP, antecedentes de los contadores, Copnia, etc</w:t>
      </w:r>
      <w:r w:rsidR="00341668">
        <w:rPr>
          <w:rFonts w:ascii="Arial" w:eastAsia="Calibri" w:hAnsi="Arial" w:cs="Arial"/>
          <w:sz w:val="22"/>
        </w:rPr>
        <w:t>.</w:t>
      </w:r>
      <w:r>
        <w:rPr>
          <w:rFonts w:ascii="Arial" w:eastAsia="Calibri" w:hAnsi="Arial" w:cs="Arial"/>
          <w:sz w:val="22"/>
        </w:rPr>
        <w:t>?»</w:t>
      </w:r>
      <w:r w:rsidR="00341668">
        <w:rPr>
          <w:rFonts w:ascii="Arial" w:eastAsia="Calibri" w:hAnsi="Arial" w:cs="Arial"/>
          <w:sz w:val="22"/>
        </w:rPr>
        <w:t>.</w:t>
      </w:r>
    </w:p>
    <w:p w14:paraId="316615D8" w14:textId="77777777" w:rsidR="00341668" w:rsidRDefault="00341668" w:rsidP="00DD55C9">
      <w:pPr>
        <w:tabs>
          <w:tab w:val="left" w:pos="8080"/>
        </w:tabs>
        <w:spacing w:line="276" w:lineRule="auto"/>
        <w:ind w:left="705" w:right="709"/>
        <w:jc w:val="both"/>
        <w:rPr>
          <w:rFonts w:ascii="Arial" w:eastAsia="Calibri" w:hAnsi="Arial" w:cs="Arial"/>
          <w:sz w:val="22"/>
        </w:rPr>
      </w:pPr>
    </w:p>
    <w:p w14:paraId="5C9A769D" w14:textId="77777777" w:rsidR="00CC133B" w:rsidRPr="00C32774" w:rsidRDefault="00CC133B" w:rsidP="00DD55C9">
      <w:pPr>
        <w:spacing w:after="120" w:line="276" w:lineRule="auto"/>
        <w:jc w:val="both"/>
        <w:rPr>
          <w:rFonts w:ascii="Arial" w:eastAsia="Calibri" w:hAnsi="Arial" w:cs="Arial"/>
          <w:sz w:val="22"/>
          <w:lang w:val="es-ES_tradnl"/>
        </w:rPr>
      </w:pPr>
      <w:r w:rsidRPr="00C32774">
        <w:rPr>
          <w:rFonts w:ascii="Arial" w:eastAsia="Calibri"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7E8C43F" w14:textId="06F7B81F" w:rsidR="00A6270F" w:rsidRDefault="00CC133B" w:rsidP="00DD55C9">
      <w:pPr>
        <w:spacing w:before="120" w:line="276" w:lineRule="auto"/>
        <w:ind w:firstLine="708"/>
        <w:jc w:val="both"/>
        <w:rPr>
          <w:rFonts w:ascii="Arial" w:eastAsia="Calibri" w:hAnsi="Arial" w:cs="Arial"/>
          <w:sz w:val="22"/>
          <w:lang w:val="es-ES_tradnl"/>
        </w:rPr>
      </w:pPr>
      <w:r w:rsidRPr="00C32774">
        <w:rPr>
          <w:rFonts w:ascii="Arial" w:eastAsia="Calibri" w:hAnsi="Arial" w:cs="Arial"/>
          <w:sz w:val="22"/>
          <w:lang w:val="es-ES_tradnl"/>
        </w:rPr>
        <w:t>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r w:rsidR="009A07C9">
        <w:rPr>
          <w:rFonts w:ascii="Arial" w:eastAsia="Calibri" w:hAnsi="Arial" w:cs="Arial"/>
          <w:sz w:val="22"/>
          <w:lang w:val="es-ES_tradnl"/>
        </w:rPr>
        <w:t>.</w:t>
      </w:r>
    </w:p>
    <w:p w14:paraId="685F2ECA" w14:textId="77777777" w:rsidR="00341668" w:rsidRDefault="00341668" w:rsidP="00DD55C9">
      <w:pPr>
        <w:spacing w:line="276" w:lineRule="auto"/>
        <w:ind w:firstLine="708"/>
        <w:jc w:val="both"/>
        <w:rPr>
          <w:rFonts w:ascii="Arial" w:eastAsia="Calibri" w:hAnsi="Arial" w:cs="Arial"/>
          <w:sz w:val="22"/>
          <w:lang w:val="es-ES_tradnl"/>
        </w:rPr>
      </w:pPr>
    </w:p>
    <w:p w14:paraId="2D11C5B5" w14:textId="5267027A" w:rsidR="009A07C9" w:rsidRDefault="009A07C9" w:rsidP="00341668">
      <w:pPr>
        <w:spacing w:line="276" w:lineRule="auto"/>
        <w:ind w:left="708" w:right="709"/>
        <w:jc w:val="both"/>
        <w:rPr>
          <w:rFonts w:ascii="Arial" w:eastAsia="Calibri" w:hAnsi="Arial" w:cs="Arial"/>
          <w:sz w:val="22"/>
        </w:rPr>
      </w:pPr>
      <w:r>
        <w:rPr>
          <w:rFonts w:ascii="Arial" w:eastAsia="Calibri" w:hAnsi="Arial" w:cs="Arial"/>
          <w:sz w:val="22"/>
        </w:rPr>
        <w:t>viii) «Para acreditar la capacidad organizacional, si la información financiera es de tiempo atrás (3 años), se deben presentar antecedentes del contador de la época de la firma de los documentos»</w:t>
      </w:r>
      <w:r w:rsidR="00341668">
        <w:rPr>
          <w:rFonts w:ascii="Arial" w:eastAsia="Calibri" w:hAnsi="Arial" w:cs="Arial"/>
          <w:sz w:val="22"/>
        </w:rPr>
        <w:t>.</w:t>
      </w:r>
    </w:p>
    <w:p w14:paraId="54D6DD22" w14:textId="77777777" w:rsidR="00341668" w:rsidRDefault="00341668" w:rsidP="00DD55C9">
      <w:pPr>
        <w:spacing w:line="276" w:lineRule="auto"/>
        <w:ind w:left="708" w:right="709"/>
        <w:jc w:val="both"/>
        <w:rPr>
          <w:rFonts w:ascii="Arial" w:eastAsia="Calibri" w:hAnsi="Arial" w:cs="Arial"/>
          <w:sz w:val="22"/>
        </w:rPr>
      </w:pPr>
    </w:p>
    <w:p w14:paraId="1651A60B" w14:textId="0A08EDF8" w:rsidR="00A96499" w:rsidRPr="00A96499" w:rsidRDefault="00A96499" w:rsidP="00DD55C9">
      <w:pPr>
        <w:spacing w:after="120" w:line="276" w:lineRule="auto"/>
        <w:jc w:val="both"/>
        <w:rPr>
          <w:rFonts w:ascii="Arial" w:eastAsia="Calibri" w:hAnsi="Arial" w:cs="Arial"/>
          <w:sz w:val="22"/>
        </w:rPr>
      </w:pPr>
      <w:r>
        <w:rPr>
          <w:rFonts w:ascii="Arial" w:eastAsia="Calibri" w:hAnsi="Arial" w:cs="Arial"/>
          <w:sz w:val="22"/>
        </w:rPr>
        <w:t>E</w:t>
      </w:r>
      <w:r w:rsidRPr="00A96499">
        <w:rPr>
          <w:rFonts w:ascii="Arial" w:eastAsia="Calibri" w:hAnsi="Arial" w:cs="Arial"/>
          <w:sz w:val="22"/>
        </w:rPr>
        <w:t xml:space="preserve">s importante señalar que la forma para acreditar la capacidad organizacional depende de quien presente la oferta. </w:t>
      </w:r>
      <w:r>
        <w:rPr>
          <w:rFonts w:ascii="Arial" w:eastAsia="Calibri" w:hAnsi="Arial" w:cs="Arial"/>
          <w:sz w:val="22"/>
        </w:rPr>
        <w:t xml:space="preserve"> </w:t>
      </w:r>
      <w:r w:rsidRPr="00A96499">
        <w:rPr>
          <w:rFonts w:ascii="Arial" w:eastAsia="Calibri" w:hAnsi="Arial" w:cs="Arial"/>
          <w:sz w:val="22"/>
        </w:rPr>
        <w:t xml:space="preserve">En el caso de los proponentes nacionales o extranjeros con domicilio o sucursal en Colombia acreditan su capacidad organizacional con la información contenida en el RUP vigente y en firme, y, por lo tanto, no debe presentar el certificado de </w:t>
      </w:r>
      <w:r w:rsidRPr="00A96499">
        <w:rPr>
          <w:rFonts w:ascii="Arial" w:eastAsia="Calibri" w:hAnsi="Arial" w:cs="Arial"/>
          <w:sz w:val="22"/>
        </w:rPr>
        <w:lastRenderedPageBreak/>
        <w:t xml:space="preserve">antecedentes disciplinarios de la Junta de Contador de quien realiza la conversión de la moneda. </w:t>
      </w:r>
    </w:p>
    <w:p w14:paraId="72D9F54A" w14:textId="555BA500" w:rsidR="00A96499" w:rsidRDefault="00A96499" w:rsidP="00B9588A">
      <w:pPr>
        <w:spacing w:before="120" w:after="120" w:line="276" w:lineRule="auto"/>
        <w:ind w:firstLine="708"/>
        <w:jc w:val="both"/>
        <w:rPr>
          <w:rFonts w:ascii="Arial" w:eastAsia="Calibri" w:hAnsi="Arial" w:cs="Arial"/>
          <w:sz w:val="22"/>
        </w:rPr>
      </w:pPr>
      <w:r w:rsidRPr="00A96499">
        <w:rPr>
          <w:rFonts w:ascii="Arial" w:eastAsia="Calibri" w:hAnsi="Arial" w:cs="Arial"/>
          <w:sz w:val="22"/>
        </w:rPr>
        <w:t>Por otro lado, el proponente extranjero que no tiene domicilio o sucursal en Colombia, en razón a que debe entregar el balance general y estado de resultado integral, sí es necesario presentar la tarjeta profesional del Contador Público o Revisor Fiscal de quien aprobó los estados financieros y, además entregar el certificado de antecedentes disciplinarios expedido por la Junta Central de Contadores de quien realiza la conversión de la moneda. En este sentido, se presentará el certificado de antecedentes disciplinarios del del Contador Público o Revisor Fiscal que realizó la conversión de la moneda al momento del cierre del proceso y no quien firmó el estado de situación financiera (balance general) y estado de resultado integral (estado de resultados).</w:t>
      </w:r>
    </w:p>
    <w:p w14:paraId="16DF2F1B" w14:textId="77777777" w:rsidR="007635DA" w:rsidRDefault="007635DA" w:rsidP="00716F35">
      <w:pPr>
        <w:spacing w:before="120" w:after="120" w:line="276" w:lineRule="auto"/>
        <w:jc w:val="both"/>
        <w:rPr>
          <w:rFonts w:ascii="Arial" w:eastAsia="Calibri" w:hAnsi="Arial" w:cs="Arial"/>
          <w:sz w:val="22"/>
        </w:rPr>
      </w:pPr>
    </w:p>
    <w:p w14:paraId="5F429EFF" w14:textId="2BB3415C" w:rsidR="005A79FE" w:rsidRPr="00950D57" w:rsidRDefault="005A79FE" w:rsidP="00716F35">
      <w:pPr>
        <w:spacing w:before="120" w:after="120" w:line="276" w:lineRule="auto"/>
        <w:jc w:val="both"/>
        <w:rPr>
          <w:rFonts w:ascii="Arial" w:eastAsia="Calibri" w:hAnsi="Arial" w:cs="Arial"/>
          <w:sz w:val="22"/>
        </w:rPr>
      </w:pPr>
      <w:r w:rsidRPr="00950D57">
        <w:rPr>
          <w:rFonts w:ascii="Arial" w:eastAsia="Calibri" w:hAnsi="Arial" w:cs="Arial"/>
          <w:sz w:val="22"/>
        </w:rPr>
        <w:t>Este concepto tiene el alcance previsto en el artículo 28 del Código de Procedimiento Administrativo y de lo Contencioso Administrativo.</w:t>
      </w:r>
    </w:p>
    <w:p w14:paraId="19DA8DDB" w14:textId="691A3CAD" w:rsidR="005A79FE" w:rsidRPr="00950D57" w:rsidRDefault="008731AF" w:rsidP="005A79FE">
      <w:pPr>
        <w:spacing w:line="276" w:lineRule="auto"/>
        <w:jc w:val="both"/>
        <w:rPr>
          <w:rFonts w:ascii="Arial" w:eastAsia="Calibri" w:hAnsi="Arial" w:cs="Arial"/>
          <w:sz w:val="22"/>
        </w:rPr>
      </w:pPr>
      <w:r>
        <w:rPr>
          <w:rFonts w:ascii="Arial" w:eastAsia="Calibri" w:hAnsi="Arial" w:cs="Arial"/>
          <w:sz w:val="22"/>
        </w:rPr>
        <w:t>|</w:t>
      </w:r>
    </w:p>
    <w:p w14:paraId="7080CFA4" w14:textId="77777777" w:rsidR="005A79FE" w:rsidRPr="00950D57" w:rsidRDefault="005A79FE" w:rsidP="005A79FE">
      <w:pPr>
        <w:jc w:val="both"/>
        <w:rPr>
          <w:rFonts w:ascii="Arial" w:eastAsia="Calibri" w:hAnsi="Arial" w:cs="Arial"/>
          <w:sz w:val="22"/>
        </w:rPr>
      </w:pPr>
      <w:r w:rsidRPr="00950D57">
        <w:rPr>
          <w:noProof/>
          <w:lang w:val="en-US"/>
        </w:rPr>
        <mc:AlternateContent>
          <mc:Choice Requires="wps">
            <w:drawing>
              <wp:anchor distT="0" distB="0" distL="114300" distR="114300" simplePos="0" relativeHeight="25165824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1B5D29">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80BB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67909B52" w14:textId="3104587F" w:rsidR="005A79FE" w:rsidRPr="00950D57" w:rsidRDefault="005A79FE" w:rsidP="5D21D9B3">
      <w:pPr>
        <w:rPr>
          <w:rFonts w:ascii="Arial" w:eastAsia="Times New Roman" w:hAnsi="Arial" w:cs="Arial"/>
          <w:sz w:val="22"/>
          <w:lang w:eastAsia="es-CO"/>
        </w:rPr>
      </w:pPr>
      <w:r w:rsidRPr="5D21D9B3">
        <w:rPr>
          <w:rFonts w:ascii="Arial" w:eastAsia="Times New Roman" w:hAnsi="Arial" w:cs="Arial"/>
          <w:sz w:val="22"/>
          <w:lang w:eastAsia="es-CO"/>
        </w:rPr>
        <w:t>Atentamente,</w:t>
      </w:r>
    </w:p>
    <w:p w14:paraId="4FD97299" w14:textId="6E5F3C73" w:rsidR="005A79FE" w:rsidRPr="00950D57" w:rsidRDefault="0B56FCE1" w:rsidP="5D21D9B3">
      <w:pPr>
        <w:jc w:val="center"/>
      </w:pPr>
      <w:r>
        <w:rPr>
          <w:noProof/>
        </w:rPr>
        <w:drawing>
          <wp:inline distT="0" distB="0" distL="0" distR="0" wp14:anchorId="537EF25C" wp14:editId="5F563A58">
            <wp:extent cx="2771775" cy="990600"/>
            <wp:effectExtent l="0" t="0" r="0" b="0"/>
            <wp:docPr id="1562189576" name="Imagen 191387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3871398"/>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640E419B" w14:textId="77777777" w:rsidR="005A79FE" w:rsidRPr="00950D57" w:rsidRDefault="005A79FE" w:rsidP="005A79FE">
      <w:pPr>
        <w:rPr>
          <w:rFonts w:ascii="Arial" w:eastAsia="Times New Roman" w:hAnsi="Arial" w:cs="Arial"/>
          <w:sz w:val="22"/>
          <w:lang w:eastAsia="es-CO"/>
        </w:rPr>
      </w:pPr>
    </w:p>
    <w:p w14:paraId="11F7B1FA" w14:textId="77777777" w:rsidR="005A79FE" w:rsidRPr="00950D57"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950D57" w:rsidRPr="00950D57" w14:paraId="047B79DC" w14:textId="77777777" w:rsidTr="00DD55C9">
        <w:trPr>
          <w:trHeight w:val="315"/>
        </w:trPr>
        <w:tc>
          <w:tcPr>
            <w:tcW w:w="1044" w:type="dxa"/>
            <w:vAlign w:val="center"/>
            <w:hideMark/>
          </w:tcPr>
          <w:p w14:paraId="66736F0D" w14:textId="4BD2BF20" w:rsidR="005A79FE" w:rsidRPr="00950D57" w:rsidRDefault="005A79FE" w:rsidP="00CC133B">
            <w:pPr>
              <w:rPr>
                <w:rFonts w:ascii="Arial" w:eastAsia="Times New Roman" w:hAnsi="Arial" w:cs="Arial"/>
                <w:sz w:val="16"/>
                <w:szCs w:val="16"/>
                <w:lang w:eastAsia="es-ES"/>
              </w:rPr>
            </w:pPr>
            <w:r w:rsidRPr="00950D57">
              <w:rPr>
                <w:rFonts w:ascii="Arial" w:eastAsia="Times New Roman" w:hAnsi="Arial" w:cs="Arial"/>
                <w:sz w:val="16"/>
                <w:szCs w:val="16"/>
                <w:lang w:eastAsia="es-ES"/>
              </w:rPr>
              <w:t>Elabor</w:t>
            </w:r>
            <w:r w:rsidR="007F232F">
              <w:rPr>
                <w:rFonts w:ascii="Arial" w:eastAsia="Times New Roman" w:hAnsi="Arial" w:cs="Arial"/>
                <w:sz w:val="16"/>
                <w:szCs w:val="16"/>
                <w:lang w:eastAsia="es-ES"/>
              </w:rPr>
              <w:t>aron</w:t>
            </w:r>
            <w:r w:rsidRPr="00950D57">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75783E81" w14:textId="01C8F44B" w:rsidR="005A79FE" w:rsidRPr="00950D57" w:rsidRDefault="00D82B27" w:rsidP="00CC133B">
            <w:pPr>
              <w:rPr>
                <w:rFonts w:ascii="Arial" w:eastAsia="Times New Roman" w:hAnsi="Arial" w:cs="Arial"/>
                <w:sz w:val="16"/>
                <w:szCs w:val="16"/>
                <w:lang w:eastAsia="es-ES"/>
              </w:rPr>
            </w:pPr>
            <w:r>
              <w:rPr>
                <w:rFonts w:ascii="Arial" w:eastAsia="Times New Roman" w:hAnsi="Arial" w:cs="Arial"/>
                <w:sz w:val="16"/>
                <w:szCs w:val="16"/>
                <w:lang w:eastAsia="es-ES"/>
              </w:rPr>
              <w:t>Sara Milena Núñez Aldana</w:t>
            </w:r>
          </w:p>
          <w:p w14:paraId="2DC8C2B1" w14:textId="77777777" w:rsidR="005A79FE" w:rsidRDefault="00D82B27" w:rsidP="00CC133B">
            <w:pPr>
              <w:rPr>
                <w:rFonts w:ascii="Arial" w:eastAsia="Times New Roman" w:hAnsi="Arial" w:cs="Arial"/>
                <w:sz w:val="16"/>
                <w:szCs w:val="16"/>
                <w:lang w:eastAsia="es-ES"/>
              </w:rPr>
            </w:pPr>
            <w:r>
              <w:rPr>
                <w:rFonts w:ascii="Arial" w:eastAsia="Times New Roman" w:hAnsi="Arial" w:cs="Arial"/>
                <w:sz w:val="16"/>
                <w:szCs w:val="16"/>
                <w:lang w:eastAsia="es-ES"/>
              </w:rPr>
              <w:t>Analista T 2 Grado 06</w:t>
            </w:r>
          </w:p>
          <w:p w14:paraId="2102D393" w14:textId="6D7811FB" w:rsidR="007F232F" w:rsidRPr="00950D57" w:rsidRDefault="007F232F" w:rsidP="00CC133B">
            <w:pPr>
              <w:rPr>
                <w:rFonts w:ascii="Arial" w:eastAsia="Times New Roman" w:hAnsi="Arial" w:cs="Arial"/>
                <w:sz w:val="16"/>
                <w:szCs w:val="16"/>
                <w:lang w:eastAsia="es-ES"/>
              </w:rPr>
            </w:pPr>
          </w:p>
        </w:tc>
      </w:tr>
      <w:tr w:rsidR="00950D57" w:rsidRPr="00950D57" w14:paraId="7B1DF477" w14:textId="77777777" w:rsidTr="00DD55C9">
        <w:trPr>
          <w:trHeight w:val="330"/>
        </w:trPr>
        <w:tc>
          <w:tcPr>
            <w:tcW w:w="1044" w:type="dxa"/>
            <w:vAlign w:val="center"/>
            <w:hideMark/>
          </w:tcPr>
          <w:p w14:paraId="0FFE9D07" w14:textId="77777777" w:rsidR="005A79FE" w:rsidRPr="00950D57" w:rsidRDefault="005A79FE" w:rsidP="00CC133B">
            <w:pPr>
              <w:rPr>
                <w:rFonts w:ascii="Arial" w:eastAsia="Times New Roman" w:hAnsi="Arial" w:cs="Arial"/>
                <w:sz w:val="16"/>
                <w:szCs w:val="16"/>
                <w:lang w:eastAsia="es-ES"/>
              </w:rPr>
            </w:pPr>
            <w:r w:rsidRPr="00950D57">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3256C12C" w:rsidR="005A79FE" w:rsidRPr="00950D57" w:rsidRDefault="00E5785F" w:rsidP="00CC133B">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28E52DE2" w14:textId="453D798B" w:rsidR="005A79FE" w:rsidRPr="00950D57" w:rsidRDefault="00E5785F" w:rsidP="00CC133B">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950D57" w:rsidRPr="00950D57" w14:paraId="711E3E03" w14:textId="77777777" w:rsidTr="00DD55C9">
        <w:trPr>
          <w:trHeight w:val="300"/>
        </w:trPr>
        <w:tc>
          <w:tcPr>
            <w:tcW w:w="1044" w:type="dxa"/>
            <w:vAlign w:val="center"/>
            <w:hideMark/>
          </w:tcPr>
          <w:p w14:paraId="4738705E" w14:textId="77777777" w:rsidR="005A79FE" w:rsidRPr="00950D57" w:rsidRDefault="005A79FE" w:rsidP="00CC133B">
            <w:pPr>
              <w:rPr>
                <w:rFonts w:ascii="Arial" w:eastAsia="Times New Roman" w:hAnsi="Arial" w:cs="Arial"/>
                <w:sz w:val="16"/>
                <w:szCs w:val="16"/>
                <w:lang w:eastAsia="es-ES"/>
              </w:rPr>
            </w:pPr>
            <w:r w:rsidRPr="00950D57">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950D57" w:rsidRDefault="005A79FE" w:rsidP="00CC133B">
            <w:pPr>
              <w:rPr>
                <w:rFonts w:ascii="Arial" w:eastAsia="Times New Roman" w:hAnsi="Arial" w:cs="Arial"/>
                <w:sz w:val="16"/>
                <w:szCs w:val="16"/>
                <w:lang w:eastAsia="es-ES"/>
              </w:rPr>
            </w:pPr>
            <w:r w:rsidRPr="00950D57">
              <w:rPr>
                <w:rFonts w:ascii="Arial" w:eastAsia="Times New Roman" w:hAnsi="Arial" w:cs="Arial"/>
                <w:sz w:val="16"/>
                <w:szCs w:val="16"/>
                <w:lang w:eastAsia="es-ES"/>
              </w:rPr>
              <w:t>Fabián Gonzalo Marín Cortés</w:t>
            </w:r>
          </w:p>
          <w:p w14:paraId="18618B00" w14:textId="77777777" w:rsidR="005A79FE" w:rsidRPr="00950D57" w:rsidRDefault="005A79FE" w:rsidP="00CC133B">
            <w:pPr>
              <w:rPr>
                <w:rFonts w:ascii="Arial" w:eastAsia="Times New Roman" w:hAnsi="Arial" w:cs="Arial"/>
                <w:sz w:val="16"/>
                <w:szCs w:val="16"/>
                <w:lang w:eastAsia="es-ES"/>
              </w:rPr>
            </w:pPr>
            <w:r w:rsidRPr="00950D57">
              <w:rPr>
                <w:rFonts w:ascii="Arial" w:eastAsia="Times New Roman" w:hAnsi="Arial" w:cs="Arial"/>
                <w:sz w:val="16"/>
                <w:szCs w:val="16"/>
                <w:lang w:eastAsia="es-ES"/>
              </w:rPr>
              <w:t>Subdirector de Gestión Contractual</w:t>
            </w:r>
          </w:p>
        </w:tc>
      </w:tr>
      <w:bookmarkEnd w:id="0"/>
    </w:tbl>
    <w:p w14:paraId="7EBF297E" w14:textId="77777777" w:rsidR="007B0854" w:rsidRPr="00950D57" w:rsidRDefault="007B0854" w:rsidP="00CA287E">
      <w:pPr>
        <w:jc w:val="both"/>
        <w:rPr>
          <w:rFonts w:ascii="Arial" w:eastAsia="Calibri" w:hAnsi="Arial" w:cs="Arial"/>
          <w:sz w:val="22"/>
        </w:rPr>
      </w:pPr>
    </w:p>
    <w:sectPr w:rsidR="007B0854" w:rsidRPr="00950D57"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A131C" w14:textId="77777777" w:rsidR="009E64FD" w:rsidRDefault="009E64FD">
      <w:r>
        <w:separator/>
      </w:r>
    </w:p>
  </w:endnote>
  <w:endnote w:type="continuationSeparator" w:id="0">
    <w:p w14:paraId="0A5369D4" w14:textId="77777777" w:rsidR="009E64FD" w:rsidRDefault="009E64FD">
      <w:r>
        <w:continuationSeparator/>
      </w:r>
    </w:p>
  </w:endnote>
  <w:endnote w:type="continuationNotice" w:id="1">
    <w:p w14:paraId="1DBD3E0E" w14:textId="77777777" w:rsidR="009E64FD" w:rsidRDefault="009E6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95475" w:rsidRDefault="00495475" w:rsidP="007B0854">
    <w:pPr>
      <w:pStyle w:val="Sinespaciado"/>
      <w:jc w:val="center"/>
      <w:rPr>
        <w:rFonts w:ascii="Arial" w:hAnsi="Arial" w:cs="Arial"/>
        <w:sz w:val="18"/>
        <w:szCs w:val="18"/>
      </w:rPr>
    </w:pPr>
  </w:p>
  <w:p w14:paraId="312C4A14" w14:textId="140B9E50" w:rsidR="00495475" w:rsidRPr="005A79FE" w:rsidRDefault="004954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A3243">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A3243">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48FC6A04" w14:textId="0E0B8C38" w:rsidR="00495475" w:rsidRDefault="7802E6B0" w:rsidP="007B0854">
    <w:pPr>
      <w:pStyle w:val="Piedepgina"/>
      <w:jc w:val="center"/>
      <w:rPr>
        <w:lang w:val="es-ES"/>
      </w:rPr>
    </w:pPr>
    <w:r>
      <w:rPr>
        <w:noProof/>
      </w:rPr>
      <w:drawing>
        <wp:inline distT="0" distB="0" distL="0" distR="0" wp14:anchorId="608B196D" wp14:editId="3F36EE42">
          <wp:extent cx="4241994" cy="595165"/>
          <wp:effectExtent l="0" t="0" r="6350" b="0"/>
          <wp:docPr id="166201589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95475" w:rsidRPr="007B0854" w:rsidRDefault="0049547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3FEE" w14:textId="77777777" w:rsidR="009E64FD" w:rsidRDefault="009E64FD">
      <w:r>
        <w:separator/>
      </w:r>
    </w:p>
  </w:footnote>
  <w:footnote w:type="continuationSeparator" w:id="0">
    <w:p w14:paraId="212B5378" w14:textId="77777777" w:rsidR="009E64FD" w:rsidRDefault="009E64FD">
      <w:r>
        <w:continuationSeparator/>
      </w:r>
    </w:p>
  </w:footnote>
  <w:footnote w:type="continuationNotice" w:id="1">
    <w:p w14:paraId="79C1C7F4" w14:textId="77777777" w:rsidR="009E64FD" w:rsidRDefault="009E64FD"/>
  </w:footnote>
  <w:footnote w:id="2">
    <w:p w14:paraId="32538175" w14:textId="77777777" w:rsidR="00495475" w:rsidRPr="00D27E2A" w:rsidRDefault="00495475" w:rsidP="00EB2EFE">
      <w:pPr>
        <w:pStyle w:val="Textonotapie"/>
        <w:ind w:firstLine="708"/>
        <w:jc w:val="both"/>
        <w:rPr>
          <w:rFonts w:ascii="Arial" w:hAnsi="Arial" w:cs="Arial"/>
          <w:sz w:val="18"/>
          <w:szCs w:val="18"/>
        </w:rPr>
      </w:pPr>
      <w:r>
        <w:rPr>
          <w:rStyle w:val="Refdenotaalpie"/>
        </w:rPr>
        <w:footnoteRef/>
      </w:r>
      <w:r w:rsidRPr="00D27E2A">
        <w:rPr>
          <w:rFonts w:ascii="Arial" w:hAnsi="Arial" w:cs="Arial"/>
          <w:sz w:val="18"/>
          <w:szCs w:val="18"/>
        </w:rPr>
        <w:t>Ley 1480 de 2011: «Artículo 13. Garantías suplementarias</w:t>
      </w:r>
      <w:r w:rsidRPr="00D27E2A">
        <w:t xml:space="preserve">. </w:t>
      </w:r>
      <w:r w:rsidRPr="00D27E2A">
        <w:rPr>
          <w:rFonts w:ascii="Arial" w:hAnsi="Arial" w:cs="Arial"/>
          <w:sz w:val="18"/>
          <w:szCs w:val="18"/>
        </w:rPr>
        <w:t>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489A3347" w14:textId="77777777" w:rsidR="00495475" w:rsidRPr="00D27E2A" w:rsidRDefault="00495475" w:rsidP="00EB2EFE">
      <w:pPr>
        <w:pStyle w:val="Textonotapie"/>
        <w:ind w:firstLine="708"/>
        <w:rPr>
          <w:lang w:val="es-CO"/>
        </w:rPr>
      </w:pPr>
    </w:p>
  </w:footnote>
  <w:footnote w:id="3">
    <w:p w14:paraId="661E1712" w14:textId="77777777" w:rsidR="00495475" w:rsidRPr="00D27E2A" w:rsidRDefault="00495475" w:rsidP="00EB2EFE">
      <w:pPr>
        <w:pStyle w:val="Textonotapie"/>
        <w:ind w:firstLine="708"/>
        <w:jc w:val="both"/>
        <w:rPr>
          <w:rFonts w:ascii="Arial" w:hAnsi="Arial" w:cs="Arial"/>
          <w:sz w:val="18"/>
          <w:szCs w:val="18"/>
          <w:shd w:val="clear" w:color="auto" w:fill="FFFFFF"/>
        </w:rPr>
      </w:pPr>
      <w:r w:rsidRPr="00D27E2A">
        <w:rPr>
          <w:rStyle w:val="Refdenotaalpie"/>
        </w:rPr>
        <w:footnoteRef/>
      </w:r>
      <w:r w:rsidRPr="00D27E2A">
        <w:t xml:space="preserve"> </w:t>
      </w:r>
      <w:r w:rsidRPr="00D27E2A">
        <w:rPr>
          <w:rFonts w:ascii="Arial" w:hAnsi="Arial" w:cs="Arial"/>
          <w:sz w:val="18"/>
          <w:szCs w:val="18"/>
        </w:rPr>
        <w:t>Decreto 1082 de 2015: «Artículo 2.2.1.2.3.1.7. Garantía de cumplimiento</w:t>
      </w:r>
      <w:r w:rsidRPr="00D27E2A">
        <w:rPr>
          <w:rStyle w:val="nfasis"/>
          <w:rFonts w:ascii="Arial" w:hAnsi="Arial" w:cs="Arial"/>
          <w:sz w:val="18"/>
          <w:szCs w:val="18"/>
          <w:shd w:val="clear" w:color="auto" w:fill="FFFFFF"/>
        </w:rPr>
        <w:t xml:space="preserve">. </w:t>
      </w:r>
      <w:r w:rsidRPr="00D27E2A">
        <w:rPr>
          <w:rFonts w:ascii="Arial" w:hAnsi="Arial" w:cs="Arial"/>
          <w:sz w:val="18"/>
          <w:szCs w:val="18"/>
          <w:shd w:val="clear" w:color="auto" w:fill="FFFFFF"/>
        </w:rPr>
        <w:t>La garantía de cumplimiento del contrato debe cubrir:</w:t>
      </w:r>
    </w:p>
    <w:p w14:paraId="2B67FD55" w14:textId="77777777" w:rsidR="00495475" w:rsidRDefault="00495475" w:rsidP="00EB2EFE">
      <w:pPr>
        <w:pStyle w:val="Textonotapie"/>
        <w:ind w:firstLine="708"/>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w:t>
      </w:r>
    </w:p>
    <w:p w14:paraId="4F6E8004" w14:textId="77777777" w:rsidR="00495475" w:rsidRPr="00545076" w:rsidRDefault="00495475" w:rsidP="00EB2EFE">
      <w:pPr>
        <w:pStyle w:val="Textonotapie"/>
        <w:ind w:firstLine="708"/>
        <w:jc w:val="both"/>
        <w:rPr>
          <w:lang w:val="es-CO"/>
        </w:rPr>
      </w:pPr>
      <w:r>
        <w:rPr>
          <w:rFonts w:ascii="Arial" w:hAnsi="Arial" w:cs="Arial"/>
          <w:color w:val="333333"/>
          <w:sz w:val="18"/>
          <w:szCs w:val="18"/>
          <w:shd w:val="clear" w:color="auto" w:fill="FFFFFF"/>
        </w:rPr>
        <w:t>»</w:t>
      </w:r>
      <w:r w:rsidRPr="002F313B">
        <w:rPr>
          <w:rFonts w:ascii="Arial" w:hAnsi="Arial" w:cs="Arial"/>
          <w:sz w:val="18"/>
          <w:szCs w:val="18"/>
          <w:shd w:val="clear" w:color="auto" w:fill="FFFFFF"/>
        </w:rPr>
        <w:t>Estabilidad y calidad de la obra. Este amparo cubre a la Entidad Estatal de los perjuicios ocasionados por cualquier tipo de daño o deterioro, imputable al contratista, sufrido por la obra entregada a satisfacción».</w:t>
      </w:r>
    </w:p>
  </w:footnote>
  <w:footnote w:id="4">
    <w:p w14:paraId="5D3206FF" w14:textId="77777777" w:rsidR="00495475" w:rsidRDefault="00495475" w:rsidP="00EB2EFE">
      <w:pPr>
        <w:pStyle w:val="Textonotapie"/>
      </w:pPr>
    </w:p>
    <w:p w14:paraId="634353E7" w14:textId="77777777" w:rsidR="00495475" w:rsidRPr="002F313B" w:rsidRDefault="00495475" w:rsidP="00EB2EFE">
      <w:pPr>
        <w:pStyle w:val="Textonotapie"/>
        <w:ind w:firstLine="708"/>
        <w:jc w:val="both"/>
        <w:rPr>
          <w:rFonts w:ascii="Arial" w:hAnsi="Arial" w:cs="Arial"/>
          <w:sz w:val="18"/>
          <w:szCs w:val="18"/>
          <w:shd w:val="clear" w:color="auto" w:fill="FFFFFF"/>
        </w:rPr>
      </w:pPr>
      <w:r>
        <w:rPr>
          <w:rStyle w:val="Refdenotaalpie"/>
        </w:rPr>
        <w:footnoteRef/>
      </w:r>
      <w:r>
        <w:t xml:space="preserve"> </w:t>
      </w:r>
      <w:r w:rsidRPr="002F313B">
        <w:rPr>
          <w:rFonts w:ascii="Arial" w:hAnsi="Arial" w:cs="Arial"/>
          <w:sz w:val="18"/>
          <w:szCs w:val="18"/>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28F6BB02" w14:textId="77777777" w:rsidR="00495475" w:rsidRPr="002F313B" w:rsidRDefault="00495475" w:rsidP="00EB2EFE">
      <w:pPr>
        <w:pStyle w:val="Textonotapie"/>
        <w:ind w:firstLine="708"/>
        <w:jc w:val="both"/>
        <w:rPr>
          <w:rFonts w:ascii="Arial" w:hAnsi="Arial" w:cs="Arial"/>
          <w:sz w:val="18"/>
          <w:szCs w:val="18"/>
          <w:shd w:val="clear" w:color="auto" w:fill="FFFFFF"/>
        </w:rPr>
      </w:pPr>
      <w:r w:rsidRPr="002F313B">
        <w:rPr>
          <w:rFonts w:ascii="Arial" w:hAnsi="Arial" w:cs="Arial"/>
          <w:sz w:val="18"/>
          <w:szCs w:val="18"/>
          <w:shd w:val="clear" w:color="auto" w:fill="FFFFFF"/>
        </w:rPr>
        <w:t>«La Entidad Estatal puede aceptar que esta garantía tenga una vigencia inferior a cinco (5) años previa justificación técnica de un experto en la materia objeto del contrato».</w:t>
      </w:r>
    </w:p>
    <w:p w14:paraId="1C70F965" w14:textId="77777777" w:rsidR="00495475" w:rsidRPr="008A6902" w:rsidRDefault="00495475" w:rsidP="00EB2EFE">
      <w:pPr>
        <w:pStyle w:val="Textonotapie"/>
        <w:ind w:firstLine="708"/>
        <w:jc w:val="both"/>
        <w:rPr>
          <w:rFonts w:ascii="Arial" w:hAnsi="Arial" w:cs="Arial"/>
          <w:color w:val="333333"/>
          <w:sz w:val="18"/>
          <w:szCs w:val="18"/>
          <w:shd w:val="clear" w:color="auto" w:fill="FFFFFF"/>
        </w:rPr>
      </w:pPr>
    </w:p>
  </w:footnote>
  <w:footnote w:id="5">
    <w:p w14:paraId="378CB09E" w14:textId="70CF7BE8" w:rsidR="00495475" w:rsidRPr="00FF6248" w:rsidRDefault="00495475" w:rsidP="00FF3892">
      <w:pPr>
        <w:ind w:firstLine="708"/>
        <w:jc w:val="both"/>
        <w:rPr>
          <w:rFonts w:ascii="Arial" w:eastAsia="Times New Roman" w:hAnsi="Arial" w:cs="Arial"/>
          <w:sz w:val="18"/>
          <w:szCs w:val="18"/>
          <w:lang w:val="es-ES_tradnl" w:eastAsia="es-CO"/>
        </w:rPr>
      </w:pPr>
      <w:r>
        <w:rPr>
          <w:rStyle w:val="Refdenotaalpie"/>
          <w:rFonts w:ascii="Arial" w:hAnsi="Arial" w:cs="Arial"/>
          <w:sz w:val="18"/>
          <w:szCs w:val="18"/>
        </w:rPr>
        <w:footnoteRef/>
      </w:r>
      <w:r>
        <w:rPr>
          <w:rFonts w:ascii="Arial" w:hAnsi="Arial" w:cs="Arial"/>
          <w:sz w:val="18"/>
          <w:szCs w:val="18"/>
        </w:rPr>
        <w:t xml:space="preserve"> En esta medida, la jurisprudencia explica que: «[…] </w:t>
      </w:r>
      <w:r w:rsidRPr="00142268">
        <w:rPr>
          <w:rFonts w:ascii="Arial" w:hAnsi="Arial" w:cs="Arial"/>
          <w:sz w:val="18"/>
          <w:szCs w:val="18"/>
        </w:rPr>
        <w:t xml:space="preserve">la previsión en torno a la visita a la zona de las obras, </w:t>
      </w:r>
      <w:r>
        <w:rPr>
          <w:rFonts w:ascii="Arial" w:hAnsi="Arial" w:cs="Arial"/>
          <w:sz w:val="18"/>
          <w:szCs w:val="18"/>
        </w:rPr>
        <w:t>[…]</w:t>
      </w:r>
      <w:r w:rsidRPr="00142268">
        <w:rPr>
          <w:rFonts w:ascii="Arial" w:hAnsi="Arial" w:cs="Arial"/>
          <w:sz w:val="18"/>
          <w:szCs w:val="18"/>
        </w:rPr>
        <w:t xml:space="preserve">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w:t>
      </w:r>
      <w:r>
        <w:rPr>
          <w:rFonts w:ascii="Arial" w:hAnsi="Arial" w:cs="Arial"/>
          <w:sz w:val="18"/>
          <w:szCs w:val="18"/>
        </w:rPr>
        <w:t>» (</w:t>
      </w:r>
      <w:r w:rsidRPr="00FF6248">
        <w:rPr>
          <w:rFonts w:ascii="Arial" w:hAnsi="Arial" w:cs="Arial"/>
          <w:sz w:val="18"/>
          <w:szCs w:val="18"/>
          <w:lang w:val="es-ES"/>
        </w:rPr>
        <w:t xml:space="preserve">CONSEJO DE ESTADO. Sección Tercera. Sentencia del 5 de junio de 2008. Expediente No. 8431. </w:t>
      </w:r>
      <w:r>
        <w:rPr>
          <w:rFonts w:ascii="Arial" w:hAnsi="Arial" w:cs="Arial"/>
          <w:sz w:val="18"/>
          <w:szCs w:val="18"/>
          <w:lang w:val="es-ES"/>
        </w:rPr>
        <w:t>C.P.</w:t>
      </w:r>
      <w:r w:rsidRPr="00FF6248">
        <w:rPr>
          <w:rFonts w:ascii="Arial" w:hAnsi="Arial" w:cs="Arial"/>
          <w:sz w:val="18"/>
          <w:szCs w:val="18"/>
          <w:lang w:val="es-ES"/>
        </w:rPr>
        <w:t xml:space="preserve"> Mauricio Fajardo Gómez</w:t>
      </w:r>
      <w:r>
        <w:rPr>
          <w:rFonts w:ascii="Arial" w:hAnsi="Arial" w:cs="Arial"/>
          <w:sz w:val="18"/>
          <w:szCs w:val="18"/>
          <w:lang w:val="es-ES"/>
        </w:rPr>
        <w:t>)</w:t>
      </w:r>
      <w:r w:rsidRPr="00FF6248">
        <w:rPr>
          <w:rFonts w:ascii="Arial" w:hAnsi="Arial" w:cs="Arial"/>
          <w:sz w:val="18"/>
          <w:szCs w:val="18"/>
          <w:lang w:val="es-ES"/>
        </w:rPr>
        <w:t>.</w:t>
      </w:r>
    </w:p>
    <w:p w14:paraId="2B607B6F" w14:textId="77777777" w:rsidR="00495475" w:rsidRPr="00FF6248" w:rsidRDefault="00495475" w:rsidP="00FF3892">
      <w:pPr>
        <w:pStyle w:val="Textonotapie"/>
        <w:jc w:val="both"/>
        <w:rPr>
          <w:rFonts w:ascii="Arial" w:eastAsia="Calibri" w:hAnsi="Arial" w:cs="Arial"/>
          <w:sz w:val="18"/>
          <w:szCs w:val="18"/>
          <w:lang w:val="es-ES"/>
        </w:rPr>
      </w:pPr>
    </w:p>
  </w:footnote>
  <w:footnote w:id="6">
    <w:p w14:paraId="457B504F" w14:textId="626CAB0D" w:rsidR="00495475" w:rsidRPr="00FF6248" w:rsidRDefault="00495475" w:rsidP="00D82B27">
      <w:pPr>
        <w:pStyle w:val="Textonotapie"/>
        <w:ind w:firstLine="708"/>
        <w:jc w:val="both"/>
        <w:rPr>
          <w:rFonts w:ascii="Arial" w:hAnsi="Arial" w:cs="Arial"/>
          <w:sz w:val="18"/>
          <w:szCs w:val="18"/>
          <w:lang w:val="es-ES"/>
        </w:rPr>
      </w:pPr>
      <w:r w:rsidRPr="00FF6248">
        <w:rPr>
          <w:rStyle w:val="Refdenotaalpie"/>
          <w:rFonts w:ascii="Arial" w:hAnsi="Arial" w:cs="Arial"/>
          <w:sz w:val="18"/>
          <w:szCs w:val="18"/>
        </w:rPr>
        <w:footnoteRef/>
      </w:r>
      <w:r w:rsidRPr="00FF6248">
        <w:rPr>
          <w:rFonts w:ascii="Arial" w:hAnsi="Arial" w:cs="Arial"/>
          <w:sz w:val="18"/>
          <w:szCs w:val="18"/>
        </w:rPr>
        <w:t xml:space="preserve"> </w:t>
      </w:r>
      <w:r w:rsidRPr="00FF6248">
        <w:rPr>
          <w:rFonts w:ascii="Arial" w:hAnsi="Arial" w:cs="Arial"/>
          <w:sz w:val="18"/>
          <w:szCs w:val="18"/>
          <w:lang w:val="es-ES"/>
        </w:rPr>
        <w:t xml:space="preserve">CONSEJO DE ESTADO. Sección Tercera. Subsección C. Sentencia del 28 de junio de 2019. Expediente No. 42.326. </w:t>
      </w:r>
      <w:r>
        <w:rPr>
          <w:rFonts w:ascii="Arial" w:hAnsi="Arial" w:cs="Arial"/>
          <w:sz w:val="18"/>
          <w:szCs w:val="18"/>
          <w:lang w:val="es-ES"/>
        </w:rPr>
        <w:t>C.P.</w:t>
      </w:r>
      <w:r w:rsidRPr="00FF6248">
        <w:rPr>
          <w:rFonts w:ascii="Arial" w:hAnsi="Arial" w:cs="Arial"/>
          <w:sz w:val="18"/>
          <w:szCs w:val="18"/>
          <w:lang w:val="es-ES"/>
        </w:rPr>
        <w:t xml:space="preserve"> Jaime Enrique Rodríguez Navas</w:t>
      </w:r>
    </w:p>
    <w:p w14:paraId="26C4B9CC" w14:textId="77777777" w:rsidR="00495475" w:rsidRPr="00FF6248" w:rsidRDefault="00495475" w:rsidP="00D82B27">
      <w:pPr>
        <w:pStyle w:val="Textonotapie"/>
        <w:jc w:val="both"/>
        <w:rPr>
          <w:rFonts w:ascii="Arial" w:hAnsi="Arial" w:cs="Arial"/>
          <w:sz w:val="18"/>
          <w:szCs w:val="18"/>
          <w:lang w:val="es-ES"/>
        </w:rPr>
      </w:pPr>
    </w:p>
  </w:footnote>
  <w:footnote w:id="7">
    <w:p w14:paraId="64188B71" w14:textId="7DEAFE97" w:rsidR="00495475" w:rsidRPr="00FF6248" w:rsidRDefault="00495475" w:rsidP="00D82B27">
      <w:pPr>
        <w:pStyle w:val="Textonotapie"/>
        <w:ind w:firstLine="708"/>
        <w:jc w:val="both"/>
        <w:rPr>
          <w:rFonts w:ascii="Arial" w:eastAsia="Times New Roman" w:hAnsi="Arial" w:cs="Arial"/>
          <w:sz w:val="18"/>
          <w:szCs w:val="18"/>
          <w:lang w:val="es-ES_tradnl" w:eastAsia="es-CO"/>
        </w:rPr>
      </w:pPr>
      <w:r w:rsidRPr="00FF6248">
        <w:rPr>
          <w:rStyle w:val="Refdenotaalpie"/>
          <w:rFonts w:ascii="Arial" w:hAnsi="Arial" w:cs="Arial"/>
          <w:sz w:val="18"/>
          <w:szCs w:val="18"/>
        </w:rPr>
        <w:footnoteRef/>
      </w:r>
      <w:r w:rsidRPr="00FF6248">
        <w:rPr>
          <w:rFonts w:ascii="Arial" w:hAnsi="Arial" w:cs="Arial"/>
          <w:sz w:val="18"/>
          <w:szCs w:val="18"/>
        </w:rPr>
        <w:t xml:space="preserve"> </w:t>
      </w:r>
      <w:r w:rsidRPr="00FF6248">
        <w:rPr>
          <w:rFonts w:ascii="Arial" w:hAnsi="Arial" w:cs="Arial"/>
          <w:sz w:val="18"/>
          <w:szCs w:val="18"/>
          <w:lang w:val="es-ES"/>
        </w:rPr>
        <w:t xml:space="preserve">CONSEJO DE ESTADO. Sección Tercera. Subsección B. Sentencia del 14 de febrero de 2018. Expediente No. 37.485. </w:t>
      </w:r>
      <w:r>
        <w:rPr>
          <w:rFonts w:ascii="Arial" w:hAnsi="Arial" w:cs="Arial"/>
          <w:sz w:val="18"/>
          <w:szCs w:val="18"/>
          <w:lang w:val="es-ES"/>
        </w:rPr>
        <w:t>C.P.</w:t>
      </w:r>
      <w:r w:rsidRPr="00FF6248">
        <w:rPr>
          <w:rFonts w:ascii="Arial" w:hAnsi="Arial" w:cs="Arial"/>
          <w:sz w:val="18"/>
          <w:szCs w:val="18"/>
          <w:lang w:val="es-ES"/>
        </w:rPr>
        <w:t xml:space="preserve"> Ramiro Pazos Guerrero</w:t>
      </w:r>
    </w:p>
    <w:p w14:paraId="1CAA6111" w14:textId="77777777" w:rsidR="00495475" w:rsidRPr="00FF6248" w:rsidRDefault="00495475" w:rsidP="00D82B27">
      <w:pPr>
        <w:pStyle w:val="Textonotapie"/>
        <w:rPr>
          <w:rFonts w:ascii="Arial" w:eastAsia="Calibri" w:hAnsi="Arial" w:cs="Arial"/>
          <w:b/>
          <w:bCs/>
          <w:sz w:val="18"/>
          <w:szCs w:val="18"/>
          <w:lang w:val="es-ES"/>
        </w:rPr>
      </w:pPr>
    </w:p>
  </w:footnote>
  <w:footnote w:id="8">
    <w:p w14:paraId="7F122C2F" w14:textId="77777777" w:rsidR="00495475" w:rsidRPr="00984D3C"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7360F37" w14:textId="77777777" w:rsidR="00495475" w:rsidRPr="00984D3C" w:rsidRDefault="00495475" w:rsidP="00C32774">
      <w:pPr>
        <w:pStyle w:val="Textonotapie"/>
        <w:ind w:firstLine="709"/>
        <w:jc w:val="both"/>
        <w:rPr>
          <w:rFonts w:ascii="Arial" w:hAnsi="Arial" w:cs="Arial"/>
          <w:sz w:val="19"/>
          <w:szCs w:val="19"/>
        </w:rPr>
      </w:pPr>
    </w:p>
  </w:footnote>
  <w:footnote w:id="9">
    <w:p w14:paraId="6FF2B2D4" w14:textId="77777777" w:rsidR="00495475" w:rsidRPr="00984D3C"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0">
    <w:p w14:paraId="4CC366FA" w14:textId="77777777" w:rsidR="00495475" w:rsidRPr="00984D3C"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Consejo de Estado. Sección Tercera. Subsección C. Sentencia del 26 de febrero de 2014. Expediente: 25.804. Consejero Ponente: Enrique Gil Botero.</w:t>
      </w:r>
    </w:p>
  </w:footnote>
  <w:footnote w:id="11">
    <w:p w14:paraId="7F525750" w14:textId="77777777" w:rsidR="00495475" w:rsidRPr="00E55264" w:rsidRDefault="00495475" w:rsidP="00C32774">
      <w:pPr>
        <w:pStyle w:val="Textonotapie"/>
        <w:ind w:firstLine="709"/>
        <w:jc w:val="both"/>
        <w:rPr>
          <w:rFonts w:ascii="Arial" w:hAnsi="Arial" w:cs="Arial"/>
          <w:color w:val="404040" w:themeColor="text1" w:themeTint="BF"/>
          <w:sz w:val="19"/>
          <w:szCs w:val="19"/>
        </w:rPr>
      </w:pPr>
      <w:r w:rsidRPr="00984D3C">
        <w:rPr>
          <w:rStyle w:val="Refdenotaalpie"/>
          <w:rFonts w:ascii="Arial" w:hAnsi="Arial" w:cs="Arial"/>
          <w:sz w:val="19"/>
          <w:szCs w:val="19"/>
        </w:rPr>
        <w:footnoteRef/>
      </w:r>
      <w:r w:rsidRPr="00984D3C">
        <w:rPr>
          <w:rStyle w:val="Refdenotaalpie"/>
          <w:rFonts w:ascii="Arial" w:hAnsi="Arial" w:cs="Arial"/>
          <w:sz w:val="19"/>
          <w:szCs w:val="19"/>
        </w:rPr>
        <w:t xml:space="preserve"> </w:t>
      </w:r>
      <w:r w:rsidRPr="00984D3C">
        <w:rPr>
          <w:rFonts w:ascii="Arial" w:hAnsi="Arial" w:cs="Arial"/>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12">
    <w:p w14:paraId="14EC97BE" w14:textId="67650819" w:rsidR="00495475" w:rsidRPr="00984D3C" w:rsidRDefault="00495475" w:rsidP="00C32774">
      <w:pPr>
        <w:ind w:firstLine="709"/>
        <w:jc w:val="both"/>
        <w:rPr>
          <w:rFonts w:ascii="Arial" w:hAnsi="Arial" w:cs="Arial"/>
          <w:sz w:val="19"/>
          <w:szCs w:val="19"/>
        </w:rPr>
      </w:pPr>
      <w:r w:rsidRPr="00E55264">
        <w:rPr>
          <w:rStyle w:val="Refdenotaalpie"/>
          <w:rFonts w:ascii="Arial" w:hAnsi="Arial" w:cs="Arial"/>
          <w:color w:val="404040" w:themeColor="text1" w:themeTint="BF"/>
          <w:sz w:val="19"/>
          <w:szCs w:val="19"/>
        </w:rPr>
        <w:footnoteRef/>
      </w:r>
      <w:r w:rsidRPr="00E55264">
        <w:rPr>
          <w:rFonts w:ascii="Arial" w:hAnsi="Arial" w:cs="Arial"/>
          <w:color w:val="404040" w:themeColor="text1" w:themeTint="BF"/>
          <w:sz w:val="19"/>
          <w:szCs w:val="19"/>
        </w:rPr>
        <w:t xml:space="preserve"> </w:t>
      </w:r>
      <w:r w:rsidRPr="00984D3C">
        <w:rPr>
          <w:rFonts w:ascii="Arial" w:hAnsi="Arial" w:cs="Arial"/>
          <w:sz w:val="19"/>
          <w:szCs w:val="19"/>
        </w:rPr>
        <w:t>Decreto 2474 de 2008 (DEROGADO). «A</w:t>
      </w:r>
      <w:r>
        <w:rPr>
          <w:rFonts w:ascii="Arial" w:hAnsi="Arial" w:cs="Arial"/>
          <w:sz w:val="19"/>
          <w:szCs w:val="19"/>
        </w:rPr>
        <w:t>rtículo</w:t>
      </w:r>
      <w:r w:rsidRPr="00984D3C">
        <w:rPr>
          <w:rFonts w:ascii="Arial" w:hAnsi="Arial" w:cs="Arial"/>
          <w:sz w:val="19"/>
          <w:szCs w:val="19"/>
        </w:rPr>
        <w: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984D3C">
          <w:rPr>
            <w:rFonts w:ascii="Arial" w:hAnsi="Arial" w:cs="Arial"/>
            <w:sz w:val="19"/>
            <w:szCs w:val="19"/>
          </w:rPr>
          <w:t>Ley 1150 de 2007</w:t>
        </w:r>
      </w:hyperlink>
      <w:r w:rsidRPr="00984D3C">
        <w:rPr>
          <w:rFonts w:ascii="Arial" w:hAnsi="Arial" w:cs="Arial"/>
          <w:sz w:val="19"/>
          <w:szCs w:val="19"/>
        </w:rPr>
        <w:t> y en el presente decreto.</w:t>
      </w:r>
    </w:p>
    <w:p w14:paraId="53861B48" w14:textId="77777777" w:rsidR="00495475" w:rsidRPr="00984D3C" w:rsidRDefault="00495475" w:rsidP="00C32774">
      <w:pPr>
        <w:ind w:firstLine="709"/>
        <w:jc w:val="both"/>
        <w:rPr>
          <w:rFonts w:ascii="Arial" w:hAnsi="Arial" w:cs="Arial"/>
          <w:sz w:val="19"/>
          <w:szCs w:val="19"/>
        </w:rPr>
      </w:pPr>
      <w:r w:rsidRPr="00984D3C">
        <w:rPr>
          <w:rFonts w:ascii="Arial" w:hAnsi="Arial" w:cs="Arial"/>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AD16907" w14:textId="77777777" w:rsidR="00495475" w:rsidRPr="00984D3C" w:rsidRDefault="00495475" w:rsidP="00C32774">
      <w:pPr>
        <w:ind w:firstLine="709"/>
        <w:jc w:val="both"/>
        <w:rPr>
          <w:rFonts w:ascii="Arial" w:hAnsi="Arial" w:cs="Arial"/>
          <w:sz w:val="19"/>
          <w:szCs w:val="19"/>
        </w:rPr>
      </w:pPr>
      <w:r w:rsidRPr="00984D3C">
        <w:rPr>
          <w:rFonts w:ascii="Arial" w:hAnsi="Arial" w:cs="Arial"/>
          <w:sz w:val="19"/>
          <w:szCs w:val="19"/>
        </w:rPr>
        <w:t>»Será rechazada la oferta del proponente que dentro del término previsto en el pliego o en la solicitud, no responda al requerimiento que le haga la entidad para subsanarla.</w:t>
      </w:r>
    </w:p>
    <w:p w14:paraId="2EB72383" w14:textId="77777777" w:rsidR="00495475" w:rsidRPr="00984D3C" w:rsidRDefault="00495475" w:rsidP="00C32774">
      <w:pPr>
        <w:ind w:firstLine="709"/>
        <w:jc w:val="both"/>
        <w:rPr>
          <w:rFonts w:ascii="Arial" w:hAnsi="Arial" w:cs="Arial"/>
          <w:sz w:val="19"/>
          <w:szCs w:val="19"/>
        </w:rPr>
      </w:pPr>
      <w:r w:rsidRPr="00984D3C">
        <w:rPr>
          <w:rFonts w:ascii="Arial" w:hAnsi="Arial" w:cs="Arial"/>
          <w:sz w:val="19"/>
          <w:szCs w:val="19"/>
        </w:rPr>
        <w:t>»Cuando se utilice el mecanismo de subasta esta posibilidad deberá ejercerse hasta el momento previo a su realización, de conformidad con el artículo 22 del presente decreto.</w:t>
      </w:r>
    </w:p>
    <w:p w14:paraId="42DA16A1" w14:textId="77777777" w:rsidR="00495475" w:rsidRPr="00984D3C" w:rsidRDefault="00495475" w:rsidP="00C32774">
      <w:pPr>
        <w:ind w:firstLine="709"/>
        <w:jc w:val="both"/>
        <w:rPr>
          <w:rFonts w:ascii="Arial" w:hAnsi="Arial" w:cs="Arial"/>
          <w:sz w:val="19"/>
          <w:szCs w:val="19"/>
        </w:rPr>
      </w:pPr>
      <w:r w:rsidRPr="00984D3C">
        <w:rPr>
          <w:rFonts w:ascii="Arial" w:hAnsi="Arial" w:cs="Arial"/>
          <w:sz w:val="19"/>
          <w:szCs w:val="19"/>
        </w:rPr>
        <w:t>»En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w:t>
      </w:r>
    </w:p>
    <w:p w14:paraId="43A3079D" w14:textId="77777777" w:rsidR="00495475" w:rsidRPr="00984D3C" w:rsidRDefault="00495475" w:rsidP="00C32774">
      <w:pPr>
        <w:ind w:firstLine="709"/>
        <w:jc w:val="both"/>
        <w:rPr>
          <w:rFonts w:ascii="Arial" w:hAnsi="Arial" w:cs="Arial"/>
          <w:sz w:val="19"/>
          <w:szCs w:val="19"/>
        </w:rPr>
      </w:pPr>
      <w:r w:rsidRPr="00984D3C">
        <w:rPr>
          <w:rFonts w:ascii="Arial" w:hAnsi="Arial" w:cs="Arial"/>
          <w:sz w:val="19"/>
          <w:szCs w:val="19"/>
        </w:rPr>
        <w:t xml:space="preserve"> </w:t>
      </w:r>
    </w:p>
  </w:footnote>
  <w:footnote w:id="13">
    <w:p w14:paraId="6067E5CE" w14:textId="77777777" w:rsidR="00495475" w:rsidRPr="00984D3C"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0CE7EC87" w14:textId="77777777" w:rsidR="00495475" w:rsidRPr="00984D3C" w:rsidRDefault="00495475" w:rsidP="00C32774">
      <w:pPr>
        <w:pStyle w:val="Textonotapie"/>
        <w:ind w:firstLine="709"/>
        <w:jc w:val="both"/>
        <w:rPr>
          <w:rFonts w:ascii="Arial" w:hAnsi="Arial" w:cs="Arial"/>
          <w:sz w:val="19"/>
          <w:szCs w:val="19"/>
        </w:rPr>
      </w:pPr>
      <w:r w:rsidRPr="00984D3C">
        <w:rPr>
          <w:rFonts w:ascii="Arial" w:hAnsi="Arial" w:cs="Arial"/>
          <w:sz w:val="19"/>
          <w:szCs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4">
    <w:p w14:paraId="38699E9B" w14:textId="77777777" w:rsidR="00495475" w:rsidRPr="00984D3C"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Ver Consejo de Estado, Sección Tercera, Subsección C. Sentencia del 26 de febrero de 2011. C.P. Jaime Orlando Santofimio. Rad. 36.408.  </w:t>
      </w:r>
    </w:p>
    <w:p w14:paraId="46F6768D" w14:textId="77777777" w:rsidR="00495475" w:rsidRPr="00984D3C" w:rsidRDefault="00495475" w:rsidP="00C32774">
      <w:pPr>
        <w:pStyle w:val="Textonotapie"/>
        <w:ind w:firstLine="709"/>
        <w:jc w:val="both"/>
        <w:rPr>
          <w:rFonts w:ascii="Arial" w:hAnsi="Arial" w:cs="Arial"/>
          <w:sz w:val="19"/>
          <w:szCs w:val="19"/>
        </w:rPr>
      </w:pPr>
    </w:p>
  </w:footnote>
  <w:footnote w:id="15">
    <w:p w14:paraId="782EDBAE" w14:textId="3957837C" w:rsidR="00495475"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Ver Consejo de Estado, Sección Tercera, Subsección C. Sentencia del 26 de febrero de 2014. C.P. Enrique Gil Botero. Rad. 25.804.</w:t>
      </w:r>
    </w:p>
    <w:p w14:paraId="6D5C117F" w14:textId="77777777" w:rsidR="00495475" w:rsidRPr="00984D3C" w:rsidRDefault="00495475" w:rsidP="00C32774">
      <w:pPr>
        <w:pStyle w:val="Textonotapie"/>
        <w:ind w:firstLine="709"/>
        <w:jc w:val="both"/>
        <w:rPr>
          <w:rFonts w:ascii="Arial" w:hAnsi="Arial" w:cs="Arial"/>
          <w:sz w:val="19"/>
          <w:szCs w:val="19"/>
        </w:rPr>
      </w:pPr>
    </w:p>
  </w:footnote>
  <w:footnote w:id="16">
    <w:p w14:paraId="38AEA7F5" w14:textId="77777777" w:rsidR="00495475" w:rsidRPr="00984D3C" w:rsidRDefault="00495475" w:rsidP="00C32774">
      <w:pPr>
        <w:pStyle w:val="Textonotapie"/>
        <w:ind w:firstLine="709"/>
        <w:jc w:val="both"/>
        <w:rPr>
          <w:rFonts w:ascii="Arial" w:hAnsi="Arial" w:cs="Arial"/>
          <w:sz w:val="19"/>
          <w:szCs w:val="19"/>
        </w:rPr>
      </w:pPr>
      <w:r w:rsidRPr="00984D3C">
        <w:rPr>
          <w:rStyle w:val="Refdenotaalpie"/>
          <w:rFonts w:ascii="Arial" w:hAnsi="Arial" w:cs="Arial"/>
          <w:sz w:val="19"/>
          <w:szCs w:val="19"/>
        </w:rPr>
        <w:footnoteRef/>
      </w:r>
      <w:r w:rsidRPr="00984D3C">
        <w:rPr>
          <w:rFonts w:ascii="Arial" w:hAnsi="Arial" w:cs="Arial"/>
          <w:sz w:val="19"/>
          <w:szCs w:val="19"/>
        </w:rPr>
        <w:t xml:space="preserve"> Consejo de Estado. Sala de Consulta y Servicio Civil. Concepto del 20 de mayo de 2010. Expediente: 1992. Consejero Ponente: Enrique José Arboleda Perdomo.</w:t>
      </w:r>
    </w:p>
    <w:p w14:paraId="1F6E44B0" w14:textId="77777777" w:rsidR="00495475" w:rsidRPr="00984D3C" w:rsidRDefault="00495475" w:rsidP="00C32774">
      <w:pPr>
        <w:pStyle w:val="Textonotapie"/>
        <w:ind w:firstLine="709"/>
        <w:jc w:val="both"/>
        <w:rPr>
          <w:rFonts w:ascii="Arial" w:hAnsi="Arial" w:cs="Arial"/>
          <w:sz w:val="19"/>
          <w:szCs w:val="19"/>
        </w:rPr>
      </w:pPr>
    </w:p>
  </w:footnote>
  <w:footnote w:id="17">
    <w:p w14:paraId="73B0A2B9" w14:textId="3B35E423" w:rsidR="00495475" w:rsidRPr="003D1795" w:rsidRDefault="00495475" w:rsidP="009A38A1">
      <w:pPr>
        <w:pStyle w:val="Textonotapie"/>
        <w:ind w:firstLine="709"/>
        <w:jc w:val="both"/>
        <w:rPr>
          <w:rFonts w:ascii="Arial" w:hAnsi="Arial" w:cs="Arial"/>
          <w:sz w:val="19"/>
          <w:szCs w:val="19"/>
        </w:rPr>
      </w:pPr>
      <w:r w:rsidRPr="00FF616B">
        <w:rPr>
          <w:rStyle w:val="Refdenotaalpie"/>
          <w:rFonts w:ascii="Arial" w:hAnsi="Arial" w:cs="Arial"/>
          <w:color w:val="404040" w:themeColor="text1" w:themeTint="BF"/>
          <w:sz w:val="19"/>
          <w:szCs w:val="19"/>
        </w:rPr>
        <w:footnoteRef/>
      </w:r>
      <w:r w:rsidRPr="00FF616B">
        <w:rPr>
          <w:rFonts w:ascii="Arial" w:hAnsi="Arial" w:cs="Arial"/>
          <w:color w:val="404040" w:themeColor="text1" w:themeTint="BF"/>
          <w:sz w:val="19"/>
          <w:szCs w:val="19"/>
        </w:rPr>
        <w:t xml:space="preserve"> </w:t>
      </w:r>
      <w:r w:rsidRPr="003D1795">
        <w:rPr>
          <w:rFonts w:ascii="Arial" w:hAnsi="Arial" w:cs="Arial"/>
          <w:sz w:val="19"/>
          <w:szCs w:val="19"/>
        </w:rPr>
        <w:t xml:space="preserve">CONSEJO DE ESTADO. Sección Tercera. Subsección B. Sentencia del 6 de junio de 2013. Radicado No. 25151. </w:t>
      </w:r>
      <w:r>
        <w:rPr>
          <w:rFonts w:ascii="Arial" w:hAnsi="Arial" w:cs="Arial"/>
          <w:sz w:val="19"/>
          <w:szCs w:val="19"/>
        </w:rPr>
        <w:t>C.P.</w:t>
      </w:r>
      <w:r w:rsidRPr="003D1795">
        <w:rPr>
          <w:rFonts w:ascii="Arial" w:hAnsi="Arial" w:cs="Arial"/>
          <w:sz w:val="19"/>
          <w:szCs w:val="19"/>
        </w:rPr>
        <w:t xml:space="preserve"> Stella Conto Díaz del Castillo.</w:t>
      </w:r>
    </w:p>
    <w:p w14:paraId="5A5F816D" w14:textId="77777777" w:rsidR="00495475" w:rsidRPr="003D1795" w:rsidRDefault="00495475" w:rsidP="009A38A1">
      <w:pPr>
        <w:pStyle w:val="Textonotapie"/>
        <w:ind w:firstLine="709"/>
        <w:jc w:val="both"/>
        <w:rPr>
          <w:rFonts w:ascii="Arial" w:hAnsi="Arial" w:cs="Arial"/>
          <w:sz w:val="19"/>
          <w:szCs w:val="19"/>
        </w:rPr>
      </w:pPr>
    </w:p>
  </w:footnote>
  <w:footnote w:id="18">
    <w:p w14:paraId="1CF513EF" w14:textId="77777777" w:rsidR="00495475" w:rsidRPr="003D1795" w:rsidRDefault="00495475" w:rsidP="009A38A1">
      <w:pPr>
        <w:pStyle w:val="Textonotapie"/>
        <w:ind w:firstLine="709"/>
        <w:jc w:val="both"/>
        <w:rPr>
          <w:rFonts w:ascii="Arial" w:hAnsi="Arial" w:cs="Arial"/>
          <w:sz w:val="19"/>
          <w:szCs w:val="19"/>
        </w:rPr>
      </w:pPr>
      <w:r w:rsidRPr="003D1795">
        <w:rPr>
          <w:rStyle w:val="Refdenotaalpie"/>
          <w:rFonts w:ascii="Arial" w:hAnsi="Arial" w:cs="Arial"/>
          <w:sz w:val="19"/>
          <w:szCs w:val="19"/>
        </w:rPr>
        <w:footnoteRef/>
      </w:r>
      <w:r w:rsidRPr="003D1795">
        <w:rPr>
          <w:rFonts w:ascii="Arial" w:hAnsi="Arial" w:cs="Arial"/>
          <w:sz w:val="19"/>
          <w:szCs w:val="19"/>
        </w:rPr>
        <w:t xml:space="preserve"> Ley 1150 de 2007: «Artículo 6. De la verificación de las condiciones de los proponentes.</w:t>
      </w:r>
    </w:p>
    <w:p w14:paraId="010A696E"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w:t>
      </w:r>
    </w:p>
    <w:p w14:paraId="077B5DE2"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»6.1. […]</w:t>
      </w:r>
    </w:p>
    <w:p w14:paraId="22CD4E11"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938B28A"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F26177C"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w:t>
      </w:r>
    </w:p>
    <w:p w14:paraId="035FCCD0" w14:textId="77777777" w:rsidR="00495475" w:rsidRPr="003D1795" w:rsidRDefault="00495475" w:rsidP="009A38A1">
      <w:pPr>
        <w:pStyle w:val="Textonotapie"/>
        <w:ind w:firstLine="709"/>
        <w:jc w:val="both"/>
        <w:rPr>
          <w:rFonts w:ascii="Arial" w:hAnsi="Arial" w:cs="Arial"/>
          <w:sz w:val="19"/>
          <w:szCs w:val="19"/>
          <w:lang w:val="es-ES"/>
        </w:rPr>
      </w:pPr>
    </w:p>
  </w:footnote>
  <w:footnote w:id="19">
    <w:p w14:paraId="0D40F619" w14:textId="77777777" w:rsidR="00495475" w:rsidRPr="003D1795" w:rsidRDefault="00495475" w:rsidP="009A38A1">
      <w:pPr>
        <w:pStyle w:val="Textonotapie"/>
        <w:ind w:firstLine="709"/>
        <w:jc w:val="both"/>
        <w:rPr>
          <w:rFonts w:ascii="Arial" w:hAnsi="Arial" w:cs="Arial"/>
          <w:sz w:val="19"/>
          <w:szCs w:val="19"/>
          <w:lang w:eastAsia="es-CO"/>
        </w:rPr>
      </w:pPr>
      <w:r w:rsidRPr="003D1795">
        <w:rPr>
          <w:rStyle w:val="Refdenotaalpie"/>
          <w:rFonts w:ascii="Arial" w:hAnsi="Arial" w:cs="Arial"/>
          <w:sz w:val="19"/>
          <w:szCs w:val="19"/>
        </w:rPr>
        <w:footnoteRef/>
      </w:r>
      <w:r w:rsidRPr="003D1795">
        <w:rPr>
          <w:rFonts w:ascii="Arial" w:hAnsi="Arial" w:cs="Arial"/>
          <w:sz w:val="19"/>
          <w:szCs w:val="19"/>
        </w:rPr>
        <w:t xml:space="preserve"> Ley 1150 de 2007: «Artículo 5. De la selección objetiva.</w:t>
      </w:r>
      <w:r w:rsidRPr="003D1795">
        <w:rPr>
          <w:rFonts w:ascii="Arial" w:hAnsi="Arial" w:cs="Arial"/>
          <w:sz w:val="19"/>
          <w:szCs w:val="19"/>
          <w:lang w:eastAsia="es-CO"/>
        </w:rPr>
        <w:t xml:space="preserve"> </w:t>
      </w:r>
    </w:p>
    <w:p w14:paraId="102DC8D8"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w:t>
      </w:r>
    </w:p>
    <w:p w14:paraId="477EBCF1"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4234569" w14:textId="77777777" w:rsidR="00495475" w:rsidRPr="003D1795" w:rsidRDefault="00495475" w:rsidP="009A38A1">
      <w:pPr>
        <w:pStyle w:val="Textonotapie"/>
        <w:ind w:firstLine="709"/>
        <w:jc w:val="both"/>
        <w:rPr>
          <w:rFonts w:ascii="Arial" w:hAnsi="Arial" w:cs="Arial"/>
          <w:sz w:val="19"/>
          <w:szCs w:val="19"/>
          <w:lang w:eastAsia="es-CO"/>
        </w:rPr>
      </w:pPr>
      <w:r w:rsidRPr="003D1795">
        <w:rPr>
          <w:rFonts w:ascii="Arial" w:hAnsi="Arial" w:cs="Arial"/>
          <w:sz w:val="19"/>
          <w:szCs w:val="19"/>
          <w:lang w:eastAsia="es-CO"/>
        </w:rPr>
        <w:t>[…]».</w:t>
      </w:r>
    </w:p>
    <w:p w14:paraId="382AC182" w14:textId="77777777" w:rsidR="00495475" w:rsidRPr="00FF616B" w:rsidRDefault="00495475" w:rsidP="009A38A1">
      <w:pPr>
        <w:pStyle w:val="Textonotapie"/>
        <w:ind w:firstLine="709"/>
        <w:jc w:val="both"/>
        <w:rPr>
          <w:rFonts w:ascii="Arial" w:hAnsi="Arial" w:cs="Arial"/>
          <w:color w:val="404040" w:themeColor="text1" w:themeTint="BF"/>
          <w:sz w:val="19"/>
          <w:szCs w:val="19"/>
          <w:lang w:val="es-ES"/>
        </w:rPr>
      </w:pPr>
    </w:p>
  </w:footnote>
  <w:footnote w:id="20">
    <w:p w14:paraId="5B4E7570" w14:textId="77777777" w:rsidR="00495475" w:rsidRPr="00FF616B" w:rsidRDefault="00495475" w:rsidP="009A38A1">
      <w:pPr>
        <w:pStyle w:val="Textonotapie"/>
        <w:ind w:firstLine="709"/>
        <w:jc w:val="both"/>
        <w:rPr>
          <w:rFonts w:ascii="Arial" w:hAnsi="Arial" w:cs="Arial"/>
          <w:color w:val="404040" w:themeColor="text1" w:themeTint="BF"/>
          <w:sz w:val="19"/>
          <w:szCs w:val="19"/>
        </w:rPr>
      </w:pPr>
      <w:r w:rsidRPr="00FF616B">
        <w:rPr>
          <w:rStyle w:val="Refdenotaalpie"/>
          <w:rFonts w:ascii="Arial" w:hAnsi="Arial" w:cs="Arial"/>
          <w:color w:val="404040" w:themeColor="text1" w:themeTint="BF"/>
          <w:sz w:val="19"/>
          <w:szCs w:val="19"/>
        </w:rPr>
        <w:footnoteRef/>
      </w:r>
      <w:r w:rsidRPr="00FF616B">
        <w:rPr>
          <w:rFonts w:ascii="Arial" w:hAnsi="Arial" w:cs="Arial"/>
          <w:color w:val="404040" w:themeColor="text1" w:themeTint="BF"/>
          <w:sz w:val="19"/>
          <w:szCs w:val="19"/>
        </w:rPr>
        <w:t xml:space="preserve"> </w:t>
      </w:r>
      <w:r w:rsidRPr="00C76D32">
        <w:rPr>
          <w:rFonts w:ascii="Arial" w:hAnsi="Arial" w:cs="Arial"/>
          <w:sz w:val="19"/>
          <w:szCs w:val="19"/>
          <w:lang w:eastAsia="es-CO"/>
        </w:rPr>
        <w:t>Consejo de Estado. Sección Tercera. Subsección A. Sentencia del 12 de febrero de 2014. Radicado No. 31.753. Consejero Ponente: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6BFC2207" w14:textId="77777777" w:rsidR="00495475" w:rsidRPr="00FF616B" w:rsidRDefault="00495475" w:rsidP="009A38A1">
      <w:pPr>
        <w:pStyle w:val="Textonotapie"/>
        <w:ind w:firstLine="709"/>
        <w:jc w:val="both"/>
        <w:rPr>
          <w:rFonts w:ascii="Arial" w:hAnsi="Arial" w:cs="Arial"/>
          <w:color w:val="404040" w:themeColor="text1" w:themeTint="BF"/>
          <w:sz w:val="19"/>
          <w:szCs w:val="19"/>
          <w:lang w:val="es-ES"/>
        </w:rPr>
      </w:pPr>
    </w:p>
  </w:footnote>
  <w:footnote w:id="21">
    <w:p w14:paraId="42B2464D" w14:textId="77777777" w:rsidR="00495475" w:rsidRPr="00C76D32" w:rsidRDefault="00495475" w:rsidP="009A38A1">
      <w:pPr>
        <w:pStyle w:val="Textonotapie"/>
        <w:ind w:firstLine="709"/>
        <w:jc w:val="both"/>
        <w:rPr>
          <w:rFonts w:ascii="Arial" w:hAnsi="Arial" w:cs="Arial"/>
          <w:sz w:val="19"/>
          <w:szCs w:val="19"/>
          <w:lang w:eastAsia="es-CO"/>
        </w:rPr>
      </w:pPr>
      <w:r w:rsidRPr="00FF616B">
        <w:rPr>
          <w:rStyle w:val="Refdenotaalpie"/>
          <w:rFonts w:ascii="Arial" w:hAnsi="Arial" w:cs="Arial"/>
          <w:color w:val="404040" w:themeColor="text1" w:themeTint="BF"/>
          <w:sz w:val="19"/>
          <w:szCs w:val="19"/>
        </w:rPr>
        <w:footnoteRef/>
      </w:r>
      <w:r w:rsidRPr="00FF616B">
        <w:rPr>
          <w:rFonts w:ascii="Arial" w:hAnsi="Arial" w:cs="Arial"/>
          <w:color w:val="404040" w:themeColor="text1" w:themeTint="BF"/>
          <w:sz w:val="19"/>
          <w:szCs w:val="19"/>
        </w:rPr>
        <w:t xml:space="preserve"> </w:t>
      </w:r>
      <w:r w:rsidRPr="00C76D32">
        <w:rPr>
          <w:rFonts w:ascii="Arial" w:hAnsi="Arial" w:cs="Arial"/>
          <w:sz w:val="19"/>
          <w:szCs w:val="19"/>
          <w:lang w:eastAsia="es-CO"/>
        </w:rPr>
        <w:t xml:space="preserve">Ley 1150 de 2007: «Artículo 6.  De la verificación de las condiciones de los proponentes. </w:t>
      </w:r>
    </w:p>
    <w:p w14:paraId="4C3FD735" w14:textId="77777777" w:rsidR="00495475" w:rsidRPr="00C76D32" w:rsidRDefault="00495475" w:rsidP="009A38A1">
      <w:pPr>
        <w:pStyle w:val="Textonotapie"/>
        <w:ind w:firstLine="709"/>
        <w:jc w:val="both"/>
        <w:rPr>
          <w:rFonts w:ascii="Arial" w:hAnsi="Arial" w:cs="Arial"/>
          <w:sz w:val="19"/>
          <w:szCs w:val="19"/>
          <w:lang w:eastAsia="es-CO"/>
        </w:rPr>
      </w:pPr>
      <w:r w:rsidRPr="00C76D32">
        <w:rPr>
          <w:rFonts w:ascii="Arial" w:hAnsi="Arial" w:cs="Arial"/>
          <w:sz w:val="19"/>
          <w:szCs w:val="19"/>
          <w:lang w:eastAsia="es-CO"/>
        </w:rPr>
        <w:t xml:space="preserve">[...] </w:t>
      </w:r>
    </w:p>
    <w:p w14:paraId="482FE0EC" w14:textId="77777777" w:rsidR="00495475" w:rsidRPr="00C76D32" w:rsidRDefault="00495475" w:rsidP="009A38A1">
      <w:pPr>
        <w:pStyle w:val="Textonotapie"/>
        <w:ind w:firstLine="709"/>
        <w:jc w:val="both"/>
        <w:rPr>
          <w:rFonts w:ascii="Arial" w:hAnsi="Arial" w:cs="Arial"/>
          <w:sz w:val="19"/>
          <w:szCs w:val="19"/>
          <w:lang w:eastAsia="es-CO"/>
        </w:rPr>
      </w:pPr>
      <w:r w:rsidRPr="00C76D32">
        <w:rPr>
          <w:rFonts w:ascii="Arial" w:hAnsi="Arial" w:cs="Arial"/>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B3D6343" w14:textId="44B3A3BC" w:rsidR="00495475" w:rsidRPr="00C76D32" w:rsidRDefault="00495475" w:rsidP="009A07C9">
      <w:pPr>
        <w:pStyle w:val="Textonotapie"/>
        <w:ind w:firstLine="709"/>
        <w:jc w:val="both"/>
        <w:rPr>
          <w:rFonts w:ascii="Arial" w:hAnsi="Arial" w:cs="Arial"/>
          <w:sz w:val="19"/>
          <w:szCs w:val="19"/>
          <w:lang w:eastAsia="es-CO"/>
        </w:rPr>
      </w:pPr>
      <w:r w:rsidRPr="00C76D32">
        <w:rPr>
          <w:rFonts w:ascii="Arial" w:hAnsi="Arial" w:cs="Arial"/>
          <w:sz w:val="19"/>
          <w:szCs w:val="19"/>
          <w:lang w:eastAsia="es-CO"/>
        </w:rPr>
        <w:t>[...]».</w:t>
      </w:r>
    </w:p>
  </w:footnote>
  <w:footnote w:id="22">
    <w:p w14:paraId="0F5460C4" w14:textId="77777777" w:rsidR="00495475" w:rsidRPr="00D27E2A" w:rsidRDefault="00495475" w:rsidP="003121D3">
      <w:pPr>
        <w:pStyle w:val="Textonotapie"/>
        <w:ind w:firstLine="708"/>
        <w:jc w:val="both"/>
        <w:rPr>
          <w:rFonts w:ascii="Arial" w:hAnsi="Arial" w:cs="Arial"/>
          <w:sz w:val="18"/>
          <w:szCs w:val="18"/>
          <w:shd w:val="clear" w:color="auto" w:fill="FFFFFF"/>
        </w:rPr>
      </w:pPr>
      <w:r>
        <w:rPr>
          <w:rStyle w:val="Refdenotaalpie"/>
        </w:rPr>
        <w:footnoteRef/>
      </w:r>
      <w:r>
        <w:t xml:space="preserve"> </w:t>
      </w:r>
      <w:r w:rsidRPr="00D27E2A">
        <w:rPr>
          <w:rFonts w:ascii="Arial" w:hAnsi="Arial" w:cs="Arial"/>
          <w:sz w:val="18"/>
          <w:szCs w:val="18"/>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3310F17B" w14:textId="77777777" w:rsidR="00495475" w:rsidRPr="00D27E2A" w:rsidRDefault="00495475" w:rsidP="003121D3">
      <w:pPr>
        <w:pStyle w:val="Textonotapie"/>
        <w:ind w:firstLine="708"/>
        <w:jc w:val="both"/>
        <w:rPr>
          <w:rFonts w:ascii="Arial" w:hAnsi="Arial" w:cs="Arial"/>
          <w:sz w:val="18"/>
          <w:szCs w:val="18"/>
          <w:shd w:val="clear" w:color="auto" w:fill="FFFFFF"/>
        </w:rPr>
      </w:pPr>
      <w:r w:rsidRPr="00D27E2A">
        <w:rPr>
          <w:rFonts w:ascii="Arial" w:hAnsi="Arial" w:cs="Arial"/>
          <w:sz w:val="18"/>
          <w:szCs w:val="18"/>
          <w:shd w:val="clear" w:color="auto" w:fill="FFFFFF"/>
        </w:rPr>
        <w:t>»La Entidad Estatal puede aceptar que esta garantía tenga una vigencia inferior a cinco (5) años previa justificación técnica de un experto en la materia objeto del contrato».</w:t>
      </w:r>
    </w:p>
    <w:p w14:paraId="2C0CD0F4" w14:textId="77777777" w:rsidR="00495475" w:rsidRPr="008A6902" w:rsidRDefault="00495475" w:rsidP="003121D3">
      <w:pPr>
        <w:pStyle w:val="Textonotapie"/>
        <w:ind w:firstLine="708"/>
        <w:jc w:val="both"/>
        <w:rPr>
          <w:rFonts w:ascii="Arial" w:hAnsi="Arial" w:cs="Arial"/>
          <w:color w:val="333333"/>
          <w:sz w:val="18"/>
          <w:szCs w:val="18"/>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495475" w:rsidRDefault="00495475">
    <w:pPr>
      <w:pStyle w:val="Encabezado"/>
    </w:pPr>
  </w:p>
  <w:p w14:paraId="6A4C7F2C" w14:textId="7D093DBB" w:rsidR="00495475" w:rsidRDefault="00495475">
    <w:pPr>
      <w:pStyle w:val="Encabezado"/>
    </w:pPr>
  </w:p>
  <w:p w14:paraId="055F2E1F" w14:textId="0B935ADD" w:rsidR="00495475" w:rsidRDefault="00495475">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495475" w:rsidRDefault="00495475">
    <w:pPr>
      <w:pStyle w:val="Encabezado"/>
    </w:pPr>
  </w:p>
  <w:p w14:paraId="3D323BDB" w14:textId="04AF0DE6" w:rsidR="00495475" w:rsidRDefault="00495475">
    <w:pPr>
      <w:pStyle w:val="Encabezado"/>
    </w:pPr>
  </w:p>
  <w:p w14:paraId="6520770B" w14:textId="18EB07B5" w:rsidR="00495475" w:rsidRDefault="00495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00751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A4525A"/>
    <w:multiLevelType w:val="multilevel"/>
    <w:tmpl w:val="EF0646F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7F2272"/>
    <w:multiLevelType w:val="hybridMultilevel"/>
    <w:tmpl w:val="099AA30A"/>
    <w:lvl w:ilvl="0" w:tplc="1062C4F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A755F3"/>
    <w:multiLevelType w:val="multilevel"/>
    <w:tmpl w:val="4A9A659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13631C4"/>
    <w:multiLevelType w:val="hybridMultilevel"/>
    <w:tmpl w:val="9EFEEA5C"/>
    <w:lvl w:ilvl="0" w:tplc="5D68D09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DC3EFD"/>
    <w:multiLevelType w:val="multilevel"/>
    <w:tmpl w:val="B47458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8982B82"/>
    <w:multiLevelType w:val="hybridMultilevel"/>
    <w:tmpl w:val="3CD2BB7A"/>
    <w:lvl w:ilvl="0" w:tplc="B8A060C2">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1D281F"/>
    <w:multiLevelType w:val="hybridMultilevel"/>
    <w:tmpl w:val="ABF2D9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3F1C77"/>
    <w:multiLevelType w:val="multilevel"/>
    <w:tmpl w:val="5BF2AD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6"/>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
  </w:num>
  <w:num w:numId="10">
    <w:abstractNumId w:val="8"/>
  </w:num>
  <w:num w:numId="11">
    <w:abstractNumId w:val="11"/>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43AF"/>
    <w:rsid w:val="00027D10"/>
    <w:rsid w:val="00030178"/>
    <w:rsid w:val="000551EC"/>
    <w:rsid w:val="000709CD"/>
    <w:rsid w:val="00072164"/>
    <w:rsid w:val="00084F50"/>
    <w:rsid w:val="000942EB"/>
    <w:rsid w:val="000B103F"/>
    <w:rsid w:val="000F14E8"/>
    <w:rsid w:val="000F502C"/>
    <w:rsid w:val="00103915"/>
    <w:rsid w:val="00122B23"/>
    <w:rsid w:val="00130A73"/>
    <w:rsid w:val="00137646"/>
    <w:rsid w:val="00137FFA"/>
    <w:rsid w:val="00142268"/>
    <w:rsid w:val="00142EC4"/>
    <w:rsid w:val="001A72B2"/>
    <w:rsid w:val="001B7B2C"/>
    <w:rsid w:val="001D4C3A"/>
    <w:rsid w:val="001E3078"/>
    <w:rsid w:val="001E5818"/>
    <w:rsid w:val="001F756F"/>
    <w:rsid w:val="00206EB6"/>
    <w:rsid w:val="00234B84"/>
    <w:rsid w:val="0024380B"/>
    <w:rsid w:val="00266C87"/>
    <w:rsid w:val="0027225A"/>
    <w:rsid w:val="002A3243"/>
    <w:rsid w:val="002A3692"/>
    <w:rsid w:val="002B14B5"/>
    <w:rsid w:val="002E07C7"/>
    <w:rsid w:val="002F7057"/>
    <w:rsid w:val="003019AC"/>
    <w:rsid w:val="003033BA"/>
    <w:rsid w:val="00310D20"/>
    <w:rsid w:val="003121D3"/>
    <w:rsid w:val="00341668"/>
    <w:rsid w:val="0034680A"/>
    <w:rsid w:val="00385CF9"/>
    <w:rsid w:val="00386456"/>
    <w:rsid w:val="0039278C"/>
    <w:rsid w:val="00396889"/>
    <w:rsid w:val="003A581E"/>
    <w:rsid w:val="003B5D5C"/>
    <w:rsid w:val="003D1795"/>
    <w:rsid w:val="003F46DE"/>
    <w:rsid w:val="00415019"/>
    <w:rsid w:val="0041700A"/>
    <w:rsid w:val="0042099B"/>
    <w:rsid w:val="004422D6"/>
    <w:rsid w:val="00457104"/>
    <w:rsid w:val="00477227"/>
    <w:rsid w:val="004826FF"/>
    <w:rsid w:val="00483730"/>
    <w:rsid w:val="00483E62"/>
    <w:rsid w:val="00495475"/>
    <w:rsid w:val="004A046E"/>
    <w:rsid w:val="004A34D2"/>
    <w:rsid w:val="004B54E4"/>
    <w:rsid w:val="004D1497"/>
    <w:rsid w:val="005062AB"/>
    <w:rsid w:val="0051074C"/>
    <w:rsid w:val="00513AF2"/>
    <w:rsid w:val="0054413A"/>
    <w:rsid w:val="00544BF1"/>
    <w:rsid w:val="00545076"/>
    <w:rsid w:val="00547435"/>
    <w:rsid w:val="005501A7"/>
    <w:rsid w:val="00556191"/>
    <w:rsid w:val="005564CA"/>
    <w:rsid w:val="005630C5"/>
    <w:rsid w:val="00564B64"/>
    <w:rsid w:val="0056549A"/>
    <w:rsid w:val="005A2DBC"/>
    <w:rsid w:val="005A62B3"/>
    <w:rsid w:val="005A79FE"/>
    <w:rsid w:val="00603613"/>
    <w:rsid w:val="0061382E"/>
    <w:rsid w:val="006232B4"/>
    <w:rsid w:val="00655371"/>
    <w:rsid w:val="00660938"/>
    <w:rsid w:val="0066417C"/>
    <w:rsid w:val="006878DE"/>
    <w:rsid w:val="00690793"/>
    <w:rsid w:val="006922F8"/>
    <w:rsid w:val="00693980"/>
    <w:rsid w:val="00697665"/>
    <w:rsid w:val="006A7FD0"/>
    <w:rsid w:val="006B7A90"/>
    <w:rsid w:val="006D7687"/>
    <w:rsid w:val="006E0572"/>
    <w:rsid w:val="006E0A24"/>
    <w:rsid w:val="006E33CC"/>
    <w:rsid w:val="00705631"/>
    <w:rsid w:val="00716F35"/>
    <w:rsid w:val="0073161F"/>
    <w:rsid w:val="00734AC2"/>
    <w:rsid w:val="00742DD2"/>
    <w:rsid w:val="0075647A"/>
    <w:rsid w:val="007634AD"/>
    <w:rsid w:val="007635DA"/>
    <w:rsid w:val="0076468B"/>
    <w:rsid w:val="007800EE"/>
    <w:rsid w:val="0078122E"/>
    <w:rsid w:val="0079068E"/>
    <w:rsid w:val="007B0854"/>
    <w:rsid w:val="007B185D"/>
    <w:rsid w:val="007C0DD6"/>
    <w:rsid w:val="007C33C1"/>
    <w:rsid w:val="007C4CB3"/>
    <w:rsid w:val="007C7ECA"/>
    <w:rsid w:val="007D20F5"/>
    <w:rsid w:val="007E2199"/>
    <w:rsid w:val="007E3B31"/>
    <w:rsid w:val="007F232F"/>
    <w:rsid w:val="007F32D7"/>
    <w:rsid w:val="007F72CB"/>
    <w:rsid w:val="00813C37"/>
    <w:rsid w:val="00822638"/>
    <w:rsid w:val="00823F6D"/>
    <w:rsid w:val="0083119B"/>
    <w:rsid w:val="00836EAB"/>
    <w:rsid w:val="00840F53"/>
    <w:rsid w:val="0085092D"/>
    <w:rsid w:val="0086702D"/>
    <w:rsid w:val="00871B5D"/>
    <w:rsid w:val="00871D66"/>
    <w:rsid w:val="008731AF"/>
    <w:rsid w:val="00887001"/>
    <w:rsid w:val="008957DF"/>
    <w:rsid w:val="008A6902"/>
    <w:rsid w:val="008B24CE"/>
    <w:rsid w:val="008E1C15"/>
    <w:rsid w:val="009047C5"/>
    <w:rsid w:val="00925528"/>
    <w:rsid w:val="009447CB"/>
    <w:rsid w:val="009473E7"/>
    <w:rsid w:val="00950D57"/>
    <w:rsid w:val="0095385A"/>
    <w:rsid w:val="00967846"/>
    <w:rsid w:val="0097024A"/>
    <w:rsid w:val="00984D3C"/>
    <w:rsid w:val="00986A3F"/>
    <w:rsid w:val="009A07C9"/>
    <w:rsid w:val="009A38A1"/>
    <w:rsid w:val="009B0EF5"/>
    <w:rsid w:val="009E64FD"/>
    <w:rsid w:val="00A06911"/>
    <w:rsid w:val="00A22CAB"/>
    <w:rsid w:val="00A24560"/>
    <w:rsid w:val="00A26C44"/>
    <w:rsid w:val="00A34538"/>
    <w:rsid w:val="00A42F34"/>
    <w:rsid w:val="00A6270F"/>
    <w:rsid w:val="00A96499"/>
    <w:rsid w:val="00AA293D"/>
    <w:rsid w:val="00AA3850"/>
    <w:rsid w:val="00AA442B"/>
    <w:rsid w:val="00AB5484"/>
    <w:rsid w:val="00AD002D"/>
    <w:rsid w:val="00AD290E"/>
    <w:rsid w:val="00AE0717"/>
    <w:rsid w:val="00AF13F5"/>
    <w:rsid w:val="00AF4739"/>
    <w:rsid w:val="00B16ED9"/>
    <w:rsid w:val="00B17C1B"/>
    <w:rsid w:val="00B20F1B"/>
    <w:rsid w:val="00B22E22"/>
    <w:rsid w:val="00B27C5F"/>
    <w:rsid w:val="00B525CB"/>
    <w:rsid w:val="00B63CB2"/>
    <w:rsid w:val="00B73DE8"/>
    <w:rsid w:val="00B7557A"/>
    <w:rsid w:val="00B9588A"/>
    <w:rsid w:val="00B95B31"/>
    <w:rsid w:val="00BA570A"/>
    <w:rsid w:val="00BB6A81"/>
    <w:rsid w:val="00BD78FE"/>
    <w:rsid w:val="00BF6670"/>
    <w:rsid w:val="00C07ADB"/>
    <w:rsid w:val="00C16374"/>
    <w:rsid w:val="00C32774"/>
    <w:rsid w:val="00C33607"/>
    <w:rsid w:val="00C34054"/>
    <w:rsid w:val="00C34089"/>
    <w:rsid w:val="00C46A74"/>
    <w:rsid w:val="00C657DD"/>
    <w:rsid w:val="00C76D32"/>
    <w:rsid w:val="00C830B6"/>
    <w:rsid w:val="00CA287E"/>
    <w:rsid w:val="00CA64D1"/>
    <w:rsid w:val="00CC00CD"/>
    <w:rsid w:val="00CC133B"/>
    <w:rsid w:val="00D011D6"/>
    <w:rsid w:val="00D02136"/>
    <w:rsid w:val="00D05687"/>
    <w:rsid w:val="00D16E39"/>
    <w:rsid w:val="00D27E2A"/>
    <w:rsid w:val="00D353C3"/>
    <w:rsid w:val="00D5081E"/>
    <w:rsid w:val="00D60A13"/>
    <w:rsid w:val="00D72E9D"/>
    <w:rsid w:val="00D82B27"/>
    <w:rsid w:val="00D82CE5"/>
    <w:rsid w:val="00D8570B"/>
    <w:rsid w:val="00DA1B99"/>
    <w:rsid w:val="00DA5AB1"/>
    <w:rsid w:val="00DC593E"/>
    <w:rsid w:val="00DC62E5"/>
    <w:rsid w:val="00DD55C9"/>
    <w:rsid w:val="00DD735D"/>
    <w:rsid w:val="00DE3119"/>
    <w:rsid w:val="00DF236B"/>
    <w:rsid w:val="00E01309"/>
    <w:rsid w:val="00E10587"/>
    <w:rsid w:val="00E13AB8"/>
    <w:rsid w:val="00E27976"/>
    <w:rsid w:val="00E32E46"/>
    <w:rsid w:val="00E33B62"/>
    <w:rsid w:val="00E4691F"/>
    <w:rsid w:val="00E551B3"/>
    <w:rsid w:val="00E5785F"/>
    <w:rsid w:val="00E610A4"/>
    <w:rsid w:val="00E807E2"/>
    <w:rsid w:val="00E91CAC"/>
    <w:rsid w:val="00E97EB2"/>
    <w:rsid w:val="00EB2EFE"/>
    <w:rsid w:val="00EB43E2"/>
    <w:rsid w:val="00F006D8"/>
    <w:rsid w:val="00F1148A"/>
    <w:rsid w:val="00F20970"/>
    <w:rsid w:val="00F41382"/>
    <w:rsid w:val="00F430B8"/>
    <w:rsid w:val="00F4728B"/>
    <w:rsid w:val="00F550CD"/>
    <w:rsid w:val="00F65042"/>
    <w:rsid w:val="00F74AD0"/>
    <w:rsid w:val="00F84899"/>
    <w:rsid w:val="00F859F0"/>
    <w:rsid w:val="00FC3BDB"/>
    <w:rsid w:val="00FE141E"/>
    <w:rsid w:val="00FF3892"/>
    <w:rsid w:val="00FF3CBF"/>
    <w:rsid w:val="00FF6248"/>
    <w:rsid w:val="0B56FCE1"/>
    <w:rsid w:val="3DFBDD28"/>
    <w:rsid w:val="3F6490FA"/>
    <w:rsid w:val="5D1D1F08"/>
    <w:rsid w:val="5D21D9B3"/>
    <w:rsid w:val="5F563A58"/>
    <w:rsid w:val="7802E6B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49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545076"/>
    <w:rPr>
      <w:b/>
      <w:bCs/>
    </w:rPr>
  </w:style>
  <w:style w:type="character" w:styleId="nfasis">
    <w:name w:val="Emphasis"/>
    <w:basedOn w:val="Fuentedeprrafopredeter"/>
    <w:uiPriority w:val="20"/>
    <w:qFormat/>
    <w:rsid w:val="00545076"/>
    <w:rPr>
      <w:i/>
      <w:iCs/>
    </w:rPr>
  </w:style>
  <w:style w:type="paragraph" w:styleId="Textoindependiente">
    <w:name w:val="Body Text"/>
    <w:basedOn w:val="Normal"/>
    <w:link w:val="TextoindependienteCar"/>
    <w:uiPriority w:val="99"/>
    <w:unhideWhenUsed/>
    <w:rsid w:val="00C32774"/>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C32774"/>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371365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88606781">
      <w:bodyDiv w:val="1"/>
      <w:marLeft w:val="0"/>
      <w:marRight w:val="0"/>
      <w:marTop w:val="0"/>
      <w:marBottom w:val="0"/>
      <w:divBdr>
        <w:top w:val="none" w:sz="0" w:space="0" w:color="auto"/>
        <w:left w:val="none" w:sz="0" w:space="0" w:color="auto"/>
        <w:bottom w:val="none" w:sz="0" w:space="0" w:color="auto"/>
        <w:right w:val="none" w:sz="0" w:space="0" w:color="auto"/>
      </w:divBdr>
    </w:div>
    <w:div w:id="1201475193">
      <w:bodyDiv w:val="1"/>
      <w:marLeft w:val="0"/>
      <w:marRight w:val="0"/>
      <w:marTop w:val="0"/>
      <w:marBottom w:val="0"/>
      <w:divBdr>
        <w:top w:val="none" w:sz="0" w:space="0" w:color="auto"/>
        <w:left w:val="none" w:sz="0" w:space="0" w:color="auto"/>
        <w:bottom w:val="none" w:sz="0" w:space="0" w:color="auto"/>
        <w:right w:val="none" w:sz="0" w:space="0" w:color="auto"/>
      </w:divBdr>
    </w:div>
    <w:div w:id="1341198958">
      <w:bodyDiv w:val="1"/>
      <w:marLeft w:val="0"/>
      <w:marRight w:val="0"/>
      <w:marTop w:val="0"/>
      <w:marBottom w:val="0"/>
      <w:divBdr>
        <w:top w:val="none" w:sz="0" w:space="0" w:color="auto"/>
        <w:left w:val="none" w:sz="0" w:space="0" w:color="auto"/>
        <w:bottom w:val="none" w:sz="0" w:space="0" w:color="auto"/>
        <w:right w:val="none" w:sz="0" w:space="0" w:color="auto"/>
      </w:divBdr>
    </w:div>
    <w:div w:id="18822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E37EEDE-20FB-48BD-901B-B6DD0DFA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74294ED-490A-4615-9729-0B31E515B415}">
  <ds:schemaRefs>
    <ds:schemaRef ds:uri="http://schemas.openxmlformats.org/officeDocument/2006/bibliography"/>
  </ds:schemaRefs>
</ds:datastoreItem>
</file>

<file path=customXml/itemProps4.xml><?xml version="1.0" encoding="utf-8"?>
<ds:datastoreItem xmlns:ds="http://schemas.openxmlformats.org/officeDocument/2006/customXml" ds:itemID="{A218E08C-C525-41A0-BD88-759780BAEE6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27</Pages>
  <Words>10338</Words>
  <Characters>56861</Characters>
  <Application>Microsoft Office Word</Application>
  <DocSecurity>0</DocSecurity>
  <Lines>473</Lines>
  <Paragraphs>134</Paragraphs>
  <ScaleCrop>false</ScaleCrop>
  <Company/>
  <LinksUpToDate>false</LinksUpToDate>
  <CharactersWithSpaces>67065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dcterms:created xsi:type="dcterms:W3CDTF">2020-05-26T22:08:00Z</dcterms:created>
  <dcterms:modified xsi:type="dcterms:W3CDTF">2020-08-04T06:46:00Z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