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A28CF" w14:textId="77777777" w:rsidR="003B2E57" w:rsidRPr="00E348C3" w:rsidRDefault="003B2E57" w:rsidP="003B2E57">
      <w:pPr>
        <w:spacing w:line="276" w:lineRule="auto"/>
        <w:jc w:val="right"/>
        <w:rPr>
          <w:rFonts w:ascii="Arial" w:eastAsia="Calibri" w:hAnsi="Arial" w:cs="Arial"/>
          <w:b/>
          <w:bCs/>
          <w:sz w:val="22"/>
        </w:rPr>
      </w:pPr>
      <w:bookmarkStart w:id="0" w:name="_Hlk29890381"/>
      <w:r w:rsidRPr="00E348C3">
        <w:rPr>
          <w:rFonts w:ascii="Arial" w:eastAsia="Times New Roman" w:hAnsi="Arial" w:cs="Arial"/>
          <w:b/>
          <w:bCs/>
          <w:sz w:val="16"/>
          <w:szCs w:val="16"/>
          <w:lang w:eastAsia="es-ES"/>
        </w:rPr>
        <w:t>CCE-DES-FM-17</w:t>
      </w:r>
    </w:p>
    <w:p w14:paraId="578C5128" w14:textId="77777777" w:rsidR="003B2E57" w:rsidRPr="00E348C3" w:rsidRDefault="003B2E57" w:rsidP="003B2E57">
      <w:pPr>
        <w:jc w:val="both"/>
        <w:rPr>
          <w:rFonts w:ascii="Arial" w:eastAsia="Calibri" w:hAnsi="Arial" w:cs="Arial"/>
          <w:b/>
          <w:sz w:val="16"/>
          <w:szCs w:val="16"/>
        </w:rPr>
      </w:pPr>
    </w:p>
    <w:p w14:paraId="3D126211" w14:textId="2CB849DB" w:rsidR="003B2E57" w:rsidRPr="00112FF1" w:rsidRDefault="003B2E57" w:rsidP="7C78AF39">
      <w:pPr>
        <w:jc w:val="both"/>
        <w:rPr>
          <w:rFonts w:ascii="Arial" w:eastAsia="Calibri" w:hAnsi="Arial" w:cs="Arial"/>
          <w:b/>
          <w:bCs/>
          <w:sz w:val="22"/>
        </w:rPr>
      </w:pPr>
      <w:r w:rsidRPr="7C78AF39">
        <w:rPr>
          <w:rFonts w:ascii="Arial" w:eastAsia="Calibri" w:hAnsi="Arial" w:cs="Arial"/>
          <w:b/>
          <w:bCs/>
          <w:sz w:val="22"/>
        </w:rPr>
        <w:t xml:space="preserve">DOCUMENTOS TIPO – Ponderación </w:t>
      </w:r>
      <w:r w:rsidR="0C15AA46" w:rsidRPr="7C78AF39">
        <w:rPr>
          <w:rFonts w:ascii="Arial" w:eastAsia="Calibri" w:hAnsi="Arial" w:cs="Arial"/>
          <w:b/>
          <w:bCs/>
          <w:sz w:val="22"/>
        </w:rPr>
        <w:t>– O</w:t>
      </w:r>
      <w:r w:rsidRPr="7C78AF39">
        <w:rPr>
          <w:rFonts w:ascii="Arial" w:eastAsia="Calibri" w:hAnsi="Arial" w:cs="Arial"/>
          <w:b/>
          <w:bCs/>
          <w:sz w:val="22"/>
        </w:rPr>
        <w:t>ferta económica – TRM</w:t>
      </w:r>
    </w:p>
    <w:p w14:paraId="05490DA8" w14:textId="77777777" w:rsidR="003B2E57" w:rsidRPr="00A23161" w:rsidRDefault="003B2E57" w:rsidP="003B2E57">
      <w:pPr>
        <w:jc w:val="both"/>
        <w:rPr>
          <w:rFonts w:ascii="Arial" w:hAnsi="Arial" w:cs="Arial"/>
          <w:sz w:val="20"/>
          <w:szCs w:val="20"/>
          <w:highlight w:val="yellow"/>
        </w:rPr>
      </w:pPr>
    </w:p>
    <w:p w14:paraId="5E9D9396" w14:textId="77777777" w:rsidR="003B2E57" w:rsidRDefault="003B2E57" w:rsidP="003B2E57">
      <w:pPr>
        <w:pStyle w:val="Prrafodelista"/>
        <w:ind w:left="0"/>
        <w:jc w:val="both"/>
        <w:rPr>
          <w:rFonts w:ascii="Arial" w:eastAsia="Calibri" w:hAnsi="Arial" w:cs="Arial"/>
          <w:sz w:val="20"/>
          <w:szCs w:val="20"/>
        </w:rPr>
      </w:pPr>
      <w:r w:rsidRPr="00112FF1">
        <w:rPr>
          <w:rFonts w:ascii="Arial" w:eastAsia="Calibri" w:hAnsi="Arial" w:cs="Arial"/>
          <w:sz w:val="20"/>
          <w:szCs w:val="20"/>
        </w:rPr>
        <w:t>En el caso señalado en la petición se debe tener en cuenta que la entidad debe dar apertura a los sobres No. 2 en un mismo día, sin importar que durante ese procedimiento se conozca la TRM del día siguiente, ya que de acuerdo con esta se definirá el método de ponderación que no varía a pesar de que la entidad continúe realizando la apertura de las ofertas económicas, ya que de acuerdo con el Documento Base, el método seguirá rigiendo aun cuando se suspenda la audiencia de adjudicación.</w:t>
      </w:r>
    </w:p>
    <w:p w14:paraId="5E33CC1D" w14:textId="77777777" w:rsidR="003B2E57" w:rsidRPr="00A23161" w:rsidRDefault="003B2E57" w:rsidP="003B2E57">
      <w:pPr>
        <w:pStyle w:val="Prrafodelista"/>
        <w:ind w:left="0"/>
        <w:jc w:val="both"/>
        <w:rPr>
          <w:rFonts w:ascii="Arial" w:eastAsia="Calibri" w:hAnsi="Arial" w:cs="Arial"/>
          <w:sz w:val="20"/>
          <w:szCs w:val="20"/>
          <w:highlight w:val="yellow"/>
        </w:rPr>
      </w:pPr>
    </w:p>
    <w:p w14:paraId="042A6096" w14:textId="62FEA9A3" w:rsidR="003B2E57" w:rsidRPr="00112FF1" w:rsidRDefault="003B2E57" w:rsidP="7C78AF39">
      <w:pPr>
        <w:pStyle w:val="Prrafodelista"/>
        <w:ind w:left="0"/>
        <w:jc w:val="both"/>
        <w:rPr>
          <w:rFonts w:ascii="Arial" w:eastAsia="Calibri" w:hAnsi="Arial" w:cs="Arial"/>
          <w:b/>
          <w:bCs/>
          <w:sz w:val="22"/>
        </w:rPr>
      </w:pPr>
      <w:r w:rsidRPr="7C78AF39">
        <w:rPr>
          <w:rFonts w:ascii="Arial" w:eastAsia="Calibri" w:hAnsi="Arial" w:cs="Arial"/>
          <w:b/>
          <w:bCs/>
          <w:sz w:val="22"/>
        </w:rPr>
        <w:t>DOCUMENTOS TIPO – Apoyo</w:t>
      </w:r>
      <w:r w:rsidR="40CC4108" w:rsidRPr="7C78AF39">
        <w:rPr>
          <w:rFonts w:ascii="Arial" w:eastAsia="Calibri" w:hAnsi="Arial" w:cs="Arial"/>
          <w:b/>
          <w:bCs/>
          <w:sz w:val="22"/>
        </w:rPr>
        <w:t xml:space="preserve"> a la</w:t>
      </w:r>
      <w:r w:rsidRPr="7C78AF39">
        <w:rPr>
          <w:rFonts w:ascii="Arial" w:eastAsia="Calibri" w:hAnsi="Arial" w:cs="Arial"/>
          <w:b/>
          <w:bCs/>
          <w:sz w:val="22"/>
        </w:rPr>
        <w:t xml:space="preserve"> industria nacional – Proponente nacional o con trato nacional – Acreditación</w:t>
      </w:r>
    </w:p>
    <w:p w14:paraId="68C80B1E" w14:textId="77777777" w:rsidR="003B2E57" w:rsidRPr="00A23161" w:rsidRDefault="003B2E57" w:rsidP="003B2E57">
      <w:pPr>
        <w:pStyle w:val="Prrafodelista"/>
        <w:ind w:left="0"/>
        <w:jc w:val="both"/>
        <w:rPr>
          <w:rFonts w:ascii="Arial" w:eastAsia="Calibri" w:hAnsi="Arial" w:cs="Arial"/>
          <w:sz w:val="20"/>
          <w:szCs w:val="20"/>
          <w:highlight w:val="yellow"/>
        </w:rPr>
      </w:pPr>
    </w:p>
    <w:p w14:paraId="5D5F79AE" w14:textId="77777777" w:rsidR="003B2E57" w:rsidRPr="00112FF1" w:rsidRDefault="003B2E57" w:rsidP="003B2E57">
      <w:pPr>
        <w:spacing w:after="120"/>
        <w:jc w:val="both"/>
        <w:rPr>
          <w:rFonts w:ascii="Arial" w:eastAsia="Calibri" w:hAnsi="Arial" w:cs="Arial"/>
          <w:sz w:val="20"/>
          <w:szCs w:val="20"/>
        </w:rPr>
      </w:pPr>
      <w:r w:rsidRPr="00112FF1">
        <w:rPr>
          <w:rFonts w:ascii="Arial" w:eastAsia="Calibri" w:hAnsi="Arial" w:cs="Arial"/>
          <w:sz w:val="20"/>
          <w:szCs w:val="20"/>
        </w:rPr>
        <w:t xml:space="preserve">Los proponentes nacionales o con trato nacional obtendrán el puntaje por promoción a la industria nacional aportando los documentos establecidos en el numeral 4.3.1 del Documento Base. Existen documentos que permiten tanto la acreditación de requisitos habilitantes como de asignación de puntaje. Tal es el caso, de la fotocopia de la cédula de ciudadanía del proponente, tratándose de persona natural colombiana, o del certificado de existencia y representación legal para las personas jurídicas, los cuales permiten acreditar parte de la capacidad jurídica como requisito habilitante –numeral 3.3. del Documento Base– y a su vez, están contemplados en el Documento Base, como los documentos idóneos para obtener puntaje por promoción de servicios nacionales o con trato nacional. </w:t>
      </w:r>
    </w:p>
    <w:p w14:paraId="32CBE4C0" w14:textId="77777777" w:rsidR="003B2E57" w:rsidRDefault="003B2E57" w:rsidP="003B2E57">
      <w:pPr>
        <w:jc w:val="both"/>
        <w:rPr>
          <w:rFonts w:ascii="Arial" w:eastAsia="Calibri" w:hAnsi="Arial" w:cs="Arial"/>
          <w:sz w:val="20"/>
          <w:szCs w:val="20"/>
        </w:rPr>
      </w:pPr>
      <w:r w:rsidRPr="00112FF1">
        <w:rPr>
          <w:rFonts w:ascii="Arial" w:eastAsia="Calibri" w:hAnsi="Arial" w:cs="Arial"/>
          <w:sz w:val="20"/>
          <w:szCs w:val="20"/>
        </w:rPr>
        <w:t>Por tanto, tenga en cuenta que la propuesta es una sola y no es necesario aportar varias veces el mismo documento, exigencia que desconocería el principio de economía. Así, la entidad deberá evaluar tanto el requisito habilitante como de ponderación con los documentos aportados, sin que se requieran documentos o formatos adicionales a los señalados en el Documento Base.</w:t>
      </w:r>
    </w:p>
    <w:p w14:paraId="531359BD" w14:textId="77777777" w:rsidR="003B2E57" w:rsidRPr="00112FF1" w:rsidRDefault="003B2E57" w:rsidP="003B2E57">
      <w:pPr>
        <w:jc w:val="both"/>
        <w:rPr>
          <w:rFonts w:ascii="Arial" w:eastAsia="Calibri" w:hAnsi="Arial" w:cs="Arial"/>
          <w:b/>
          <w:sz w:val="20"/>
          <w:szCs w:val="20"/>
          <w:highlight w:val="yellow"/>
        </w:rPr>
      </w:pPr>
    </w:p>
    <w:p w14:paraId="28668626" w14:textId="394D74CB" w:rsidR="003B2E57" w:rsidRPr="00112FF1" w:rsidRDefault="003B2E57" w:rsidP="7C78AF39">
      <w:pPr>
        <w:jc w:val="both"/>
        <w:rPr>
          <w:rFonts w:ascii="Arial" w:eastAsia="Calibri" w:hAnsi="Arial" w:cs="Arial"/>
          <w:b/>
          <w:bCs/>
          <w:sz w:val="22"/>
        </w:rPr>
      </w:pPr>
      <w:r w:rsidRPr="7C78AF39">
        <w:rPr>
          <w:rFonts w:ascii="Arial" w:eastAsia="Calibri" w:hAnsi="Arial" w:cs="Arial"/>
          <w:b/>
          <w:bCs/>
          <w:sz w:val="22"/>
        </w:rPr>
        <w:t>DOCUMENTOS TIPO – Formato 2 - Conformación</w:t>
      </w:r>
      <w:r w:rsidR="0672806D" w:rsidRPr="7C78AF39">
        <w:rPr>
          <w:rFonts w:ascii="Arial" w:eastAsia="Calibri" w:hAnsi="Arial" w:cs="Arial"/>
          <w:b/>
          <w:bCs/>
          <w:sz w:val="22"/>
        </w:rPr>
        <w:t xml:space="preserve"> –</w:t>
      </w:r>
      <w:r w:rsidRPr="7C78AF39">
        <w:rPr>
          <w:rFonts w:ascii="Arial" w:eastAsia="Calibri" w:hAnsi="Arial" w:cs="Arial"/>
          <w:b/>
          <w:bCs/>
          <w:sz w:val="22"/>
        </w:rPr>
        <w:t xml:space="preserve"> </w:t>
      </w:r>
      <w:r w:rsidR="12CEAB45" w:rsidRPr="7C78AF39">
        <w:rPr>
          <w:rFonts w:ascii="Arial" w:eastAsia="Calibri" w:hAnsi="Arial" w:cs="Arial"/>
          <w:b/>
          <w:bCs/>
          <w:sz w:val="22"/>
        </w:rPr>
        <w:t>P</w:t>
      </w:r>
      <w:r w:rsidRPr="7C78AF39">
        <w:rPr>
          <w:rFonts w:ascii="Arial" w:eastAsia="Calibri" w:hAnsi="Arial" w:cs="Arial"/>
          <w:b/>
          <w:bCs/>
          <w:sz w:val="22"/>
        </w:rPr>
        <w:t>roponente plural – Representante legal suplente</w:t>
      </w:r>
    </w:p>
    <w:p w14:paraId="00351528" w14:textId="77777777" w:rsidR="003B2E57" w:rsidRPr="00A23161" w:rsidRDefault="003B2E57" w:rsidP="003B2E57">
      <w:pPr>
        <w:jc w:val="both"/>
        <w:rPr>
          <w:rFonts w:ascii="Arial" w:hAnsi="Arial" w:cs="Arial"/>
          <w:sz w:val="20"/>
          <w:szCs w:val="20"/>
          <w:highlight w:val="yellow"/>
        </w:rPr>
      </w:pPr>
    </w:p>
    <w:p w14:paraId="0F795F99" w14:textId="77777777" w:rsidR="003B2E57" w:rsidRDefault="003B2E57" w:rsidP="003B2E57">
      <w:pPr>
        <w:jc w:val="both"/>
        <w:rPr>
          <w:rFonts w:ascii="Arial" w:hAnsi="Arial" w:cs="Arial"/>
          <w:sz w:val="22"/>
        </w:rPr>
      </w:pPr>
      <w:r w:rsidRPr="00112FF1">
        <w:rPr>
          <w:rFonts w:ascii="Arial" w:eastAsia="Calibri" w:hAnsi="Arial" w:cs="Arial"/>
          <w:sz w:val="20"/>
          <w:szCs w:val="20"/>
        </w:rPr>
        <w:t>De esta manera, el numeral 7 del «Formato 2 - Conformación de proponente plural» contiene la aceptación expresa del representante legal principal del proponente plural, la cual es la que se considera relevante en criterio de las entidades que adoptaron los Documentos Tipo, quienes no incluyeron lo referente al representante legal suplente en los numerales del formato por considerar que no se asegura que pueda comprometer al consocio o a la unión temporal, teniendo en cuenta que esto depende de eventos relacionados con ausencias temporales o absolutas que corresponden a las relaciones internas de los integrantes, dificultando en muchas ocasiones que la entidad pueda determinar si el representante legal suplente tiene la capacidad suficiente para asegurar el cumplimiento de las obligaciones asumidas, lo cual puede poner en riesgo la ejecución del objeto contractual. Además de ello, debe tenerse en cuenta que la definición de un representante legal suplente es facultativa por parte de los proponentes, de manera que algunos proponentes podrían contar con este y otros no.</w:t>
      </w:r>
    </w:p>
    <w:p w14:paraId="620B4449" w14:textId="77777777" w:rsidR="0078610A" w:rsidRPr="00BD147D" w:rsidRDefault="0078610A" w:rsidP="003B2E57">
      <w:pPr>
        <w:jc w:val="both"/>
        <w:rPr>
          <w:rFonts w:ascii="Arial" w:hAnsi="Arial" w:cs="Arial"/>
          <w:sz w:val="20"/>
          <w:szCs w:val="20"/>
        </w:rPr>
      </w:pPr>
    </w:p>
    <w:p w14:paraId="03C73596" w14:textId="77777777" w:rsidR="0078610A" w:rsidRPr="00BD147D" w:rsidRDefault="0078610A" w:rsidP="003B2E57">
      <w:pPr>
        <w:jc w:val="both"/>
        <w:rPr>
          <w:rFonts w:ascii="Arial" w:hAnsi="Arial" w:cs="Arial"/>
          <w:sz w:val="20"/>
          <w:szCs w:val="20"/>
        </w:rPr>
      </w:pPr>
    </w:p>
    <w:p w14:paraId="16D2BFD4" w14:textId="79A89AFE" w:rsidR="003B2E57" w:rsidRPr="000B55FB" w:rsidRDefault="003B2E57" w:rsidP="003B2E57">
      <w:pPr>
        <w:jc w:val="both"/>
        <w:rPr>
          <w:rFonts w:ascii="Arial" w:eastAsia="Calibri" w:hAnsi="Arial" w:cs="Arial"/>
          <w:sz w:val="20"/>
        </w:rPr>
      </w:pPr>
      <w:r w:rsidRPr="000B55FB">
        <w:rPr>
          <w:rFonts w:ascii="Arial" w:hAnsi="Arial" w:cs="Arial"/>
          <w:sz w:val="22"/>
        </w:rPr>
        <w:t xml:space="preserve">Bogotá D.C., </w:t>
      </w:r>
      <w:r w:rsidR="00D56FCE">
        <w:rPr>
          <w:rFonts w:ascii="Arial" w:hAnsi="Arial" w:cs="Arial"/>
          <w:b/>
          <w:sz w:val="22"/>
        </w:rPr>
        <w:t>18/05/2020</w:t>
      </w:r>
    </w:p>
    <w:p w14:paraId="2E15DB7E" w14:textId="15C51435" w:rsidR="003B2E57" w:rsidRPr="000B55FB" w:rsidRDefault="003B2E57" w:rsidP="003B2E57">
      <w:pPr>
        <w:jc w:val="right"/>
        <w:rPr>
          <w:rFonts w:ascii="Arial" w:hAnsi="Arial" w:cs="Arial"/>
          <w:b/>
          <w:sz w:val="22"/>
        </w:rPr>
      </w:pPr>
      <w:proofErr w:type="spellStart"/>
      <w:r w:rsidRPr="000B55FB">
        <w:rPr>
          <w:rFonts w:ascii="Arial" w:hAnsi="Arial" w:cs="Arial"/>
          <w:b/>
          <w:sz w:val="22"/>
        </w:rPr>
        <w:t>N°</w:t>
      </w:r>
      <w:proofErr w:type="spellEnd"/>
      <w:r w:rsidRPr="000B55FB">
        <w:rPr>
          <w:rFonts w:ascii="Arial" w:hAnsi="Arial" w:cs="Arial"/>
          <w:b/>
          <w:sz w:val="22"/>
        </w:rPr>
        <w:t xml:space="preserve"> Radicado: </w:t>
      </w:r>
      <w:r w:rsidR="00D56FCE" w:rsidRPr="00D56FCE">
        <w:rPr>
          <w:rFonts w:ascii="Arial" w:hAnsi="Arial" w:cs="Arial"/>
          <w:b/>
          <w:sz w:val="22"/>
        </w:rPr>
        <w:t>2202013000003844</w:t>
      </w:r>
    </w:p>
    <w:p w14:paraId="610BE8CD" w14:textId="77777777" w:rsidR="003B2E57" w:rsidRPr="000B55FB" w:rsidRDefault="003B2E57" w:rsidP="003B2E57">
      <w:pPr>
        <w:rPr>
          <w:rFonts w:ascii="Arial" w:eastAsia="Calibri" w:hAnsi="Arial" w:cs="Arial"/>
          <w:sz w:val="22"/>
        </w:rPr>
      </w:pPr>
      <w:r w:rsidRPr="000B55FB">
        <w:rPr>
          <w:rFonts w:ascii="Arial" w:eastAsia="Calibri" w:hAnsi="Arial" w:cs="Arial"/>
          <w:sz w:val="22"/>
        </w:rPr>
        <w:t>Señor</w:t>
      </w:r>
    </w:p>
    <w:p w14:paraId="20EEF510" w14:textId="77777777" w:rsidR="003B2E57" w:rsidRPr="000B55FB" w:rsidRDefault="003B2E57" w:rsidP="003B2E57">
      <w:pPr>
        <w:rPr>
          <w:rFonts w:ascii="Arial" w:eastAsia="Calibri" w:hAnsi="Arial" w:cs="Arial"/>
          <w:b/>
          <w:sz w:val="22"/>
        </w:rPr>
      </w:pPr>
      <w:proofErr w:type="spellStart"/>
      <w:r>
        <w:rPr>
          <w:rFonts w:ascii="Arial" w:eastAsia="Calibri" w:hAnsi="Arial" w:cs="Arial"/>
          <w:b/>
          <w:sz w:val="22"/>
        </w:rPr>
        <w:t>Uliaonf</w:t>
      </w:r>
      <w:proofErr w:type="spellEnd"/>
      <w:r>
        <w:rPr>
          <w:rFonts w:ascii="Arial" w:eastAsia="Calibri" w:hAnsi="Arial" w:cs="Arial"/>
          <w:b/>
          <w:sz w:val="22"/>
        </w:rPr>
        <w:t xml:space="preserve"> Forero Gamboa</w:t>
      </w:r>
    </w:p>
    <w:p w14:paraId="0A3C3292" w14:textId="0711D18A" w:rsidR="003B2E57" w:rsidRDefault="003B2E57" w:rsidP="003B2E57">
      <w:pPr>
        <w:rPr>
          <w:rFonts w:ascii="Arial" w:eastAsia="Calibri" w:hAnsi="Arial" w:cs="Arial"/>
          <w:sz w:val="22"/>
        </w:rPr>
      </w:pPr>
      <w:r>
        <w:rPr>
          <w:rFonts w:ascii="Arial" w:eastAsia="Calibri" w:hAnsi="Arial" w:cs="Arial"/>
          <w:sz w:val="22"/>
        </w:rPr>
        <w:lastRenderedPageBreak/>
        <w:t>Bucaramanga, Santander</w:t>
      </w:r>
    </w:p>
    <w:p w14:paraId="426CB0A7" w14:textId="77777777" w:rsidR="003B2E57" w:rsidRPr="000B55FB" w:rsidRDefault="003B2E57" w:rsidP="003B2E57">
      <w:pPr>
        <w:jc w:val="center"/>
        <w:rPr>
          <w:rFonts w:ascii="Arial" w:eastAsia="Calibri" w:hAnsi="Arial" w:cs="Arial"/>
          <w:b/>
          <w:sz w:val="22"/>
        </w:rPr>
      </w:pPr>
      <w:r w:rsidRPr="000B55FB">
        <w:rPr>
          <w:rFonts w:ascii="Arial" w:eastAsia="Calibri" w:hAnsi="Arial" w:cs="Arial"/>
          <w:b/>
          <w:sz w:val="22"/>
        </w:rPr>
        <w:t xml:space="preserve">Concepto C ─ </w:t>
      </w:r>
      <w:r>
        <w:rPr>
          <w:rFonts w:ascii="Arial" w:eastAsia="Calibri" w:hAnsi="Arial" w:cs="Arial"/>
          <w:b/>
          <w:sz w:val="22"/>
        </w:rPr>
        <w:t xml:space="preserve">279 </w:t>
      </w:r>
      <w:r w:rsidRPr="000B55FB">
        <w:rPr>
          <w:rFonts w:ascii="Arial" w:eastAsia="Calibri" w:hAnsi="Arial" w:cs="Arial"/>
          <w:b/>
          <w:sz w:val="22"/>
        </w:rPr>
        <w:t>de 2020</w:t>
      </w:r>
    </w:p>
    <w:p w14:paraId="5EC1D78C" w14:textId="10A38970" w:rsidR="003B2E57" w:rsidRDefault="003B2E57" w:rsidP="003B2E57">
      <w:pPr>
        <w:rPr>
          <w:rFonts w:ascii="Arial" w:eastAsia="Calibri" w:hAnsi="Arial" w:cs="Arial"/>
          <w:sz w:val="22"/>
        </w:rPr>
      </w:pPr>
    </w:p>
    <w:p w14:paraId="6CDC4D39" w14:textId="77777777" w:rsidR="0078610A" w:rsidRPr="000B55FB" w:rsidRDefault="0078610A" w:rsidP="003B2E57">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B2E57" w:rsidRPr="000B55FB" w14:paraId="67C2EBAA" w14:textId="77777777" w:rsidTr="00AD70BB">
        <w:tc>
          <w:tcPr>
            <w:tcW w:w="2689" w:type="dxa"/>
            <w:hideMark/>
          </w:tcPr>
          <w:p w14:paraId="4D7710BE" w14:textId="77777777" w:rsidR="003B2E57" w:rsidRPr="000B55FB" w:rsidRDefault="003B2E57" w:rsidP="00AD70BB">
            <w:pPr>
              <w:rPr>
                <w:rFonts w:ascii="Arial" w:eastAsia="Calibri" w:hAnsi="Arial" w:cs="Arial"/>
                <w:sz w:val="22"/>
              </w:rPr>
            </w:pPr>
            <w:r w:rsidRPr="000B55FB">
              <w:rPr>
                <w:rFonts w:ascii="Arial" w:eastAsia="Calibri" w:hAnsi="Arial" w:cs="Arial"/>
                <w:b/>
                <w:sz w:val="22"/>
              </w:rPr>
              <w:t>Temas:</w:t>
            </w:r>
            <w:r w:rsidRPr="000B55FB">
              <w:rPr>
                <w:rFonts w:ascii="Arial" w:eastAsia="Calibri" w:hAnsi="Arial" w:cs="Arial"/>
                <w:sz w:val="22"/>
              </w:rPr>
              <w:t xml:space="preserve">           </w:t>
            </w:r>
          </w:p>
          <w:p w14:paraId="6BCA1EAA" w14:textId="77777777" w:rsidR="003B2E57" w:rsidRPr="000B55FB" w:rsidRDefault="003B2E57" w:rsidP="00AD70BB">
            <w:pPr>
              <w:rPr>
                <w:rFonts w:ascii="Arial" w:eastAsia="Calibri" w:hAnsi="Arial" w:cs="Arial"/>
                <w:sz w:val="22"/>
              </w:rPr>
            </w:pPr>
            <w:r w:rsidRPr="000B55FB">
              <w:rPr>
                <w:rFonts w:ascii="Arial" w:eastAsia="Calibri" w:hAnsi="Arial" w:cs="Arial"/>
                <w:sz w:val="22"/>
              </w:rPr>
              <w:t xml:space="preserve">                           </w:t>
            </w:r>
          </w:p>
        </w:tc>
        <w:tc>
          <w:tcPr>
            <w:tcW w:w="6237" w:type="dxa"/>
            <w:hideMark/>
          </w:tcPr>
          <w:p w14:paraId="44075133" w14:textId="77777777" w:rsidR="003B2E57" w:rsidRPr="007B0716" w:rsidRDefault="003B2E57" w:rsidP="00AD70BB">
            <w:pPr>
              <w:jc w:val="both"/>
              <w:rPr>
                <w:rFonts w:ascii="Arial" w:eastAsia="Calibri" w:hAnsi="Arial" w:cs="Arial"/>
                <w:sz w:val="22"/>
              </w:rPr>
            </w:pPr>
            <w:r w:rsidRPr="00095132">
              <w:rPr>
                <w:rFonts w:ascii="Arial" w:eastAsia="Calibri" w:hAnsi="Arial" w:cs="Arial"/>
                <w:sz w:val="22"/>
              </w:rPr>
              <w:t>DOCUMENTOS TIPO – Evaluación oferta económica – TRM</w:t>
            </w:r>
            <w:r>
              <w:rPr>
                <w:rFonts w:ascii="Arial" w:eastAsia="Calibri" w:hAnsi="Arial" w:cs="Arial"/>
                <w:sz w:val="22"/>
              </w:rPr>
              <w:t xml:space="preserve"> / </w:t>
            </w:r>
            <w:r w:rsidRPr="00095132">
              <w:rPr>
                <w:rFonts w:ascii="Arial" w:eastAsia="Calibri" w:hAnsi="Arial" w:cs="Arial"/>
                <w:sz w:val="22"/>
              </w:rPr>
              <w:t xml:space="preserve">DOCUMENTOS TIPO – </w:t>
            </w:r>
            <w:r>
              <w:rPr>
                <w:rFonts w:ascii="Arial" w:eastAsia="Calibri" w:hAnsi="Arial" w:cs="Arial"/>
                <w:sz w:val="22"/>
              </w:rPr>
              <w:t>Apoyo</w:t>
            </w:r>
            <w:r w:rsidRPr="00095132">
              <w:rPr>
                <w:rFonts w:ascii="Arial" w:eastAsia="Calibri" w:hAnsi="Arial" w:cs="Arial"/>
                <w:sz w:val="22"/>
              </w:rPr>
              <w:t xml:space="preserve"> industria nacional – Proponente nacional o con trato nacional – Acreditación / DOCUMENTOS TIPO – Formato 2 - Conformación proponente plural – Representante legal suplente</w:t>
            </w:r>
          </w:p>
        </w:tc>
      </w:tr>
      <w:tr w:rsidR="003B2E57" w:rsidRPr="000B55FB" w14:paraId="18888540" w14:textId="77777777" w:rsidTr="00AD70BB">
        <w:tc>
          <w:tcPr>
            <w:tcW w:w="2689" w:type="dxa"/>
          </w:tcPr>
          <w:p w14:paraId="3BD7C64E" w14:textId="77777777" w:rsidR="003B2E57" w:rsidRPr="000B55FB" w:rsidRDefault="003B2E57" w:rsidP="00AD70BB">
            <w:pPr>
              <w:rPr>
                <w:rFonts w:ascii="Arial" w:eastAsia="Calibri" w:hAnsi="Arial" w:cs="Arial"/>
                <w:b/>
                <w:sz w:val="22"/>
              </w:rPr>
            </w:pPr>
            <w:r w:rsidRPr="000B55FB">
              <w:rPr>
                <w:rFonts w:ascii="Arial" w:eastAsia="Calibri" w:hAnsi="Arial" w:cs="Arial"/>
                <w:b/>
                <w:sz w:val="22"/>
              </w:rPr>
              <w:t>Radicación:</w:t>
            </w:r>
            <w:r w:rsidRPr="000B55FB">
              <w:rPr>
                <w:rFonts w:ascii="Arial" w:eastAsia="Calibri" w:hAnsi="Arial" w:cs="Arial"/>
                <w:sz w:val="22"/>
              </w:rPr>
              <w:t xml:space="preserve">                              </w:t>
            </w:r>
          </w:p>
        </w:tc>
        <w:tc>
          <w:tcPr>
            <w:tcW w:w="6237" w:type="dxa"/>
          </w:tcPr>
          <w:p w14:paraId="5FDF673D" w14:textId="77777777" w:rsidR="003B2E57" w:rsidRPr="000B55FB" w:rsidRDefault="003B2E57" w:rsidP="00AD70BB">
            <w:pPr>
              <w:jc w:val="both"/>
              <w:rPr>
                <w:rFonts w:ascii="Arial" w:eastAsia="Calibri" w:hAnsi="Arial" w:cs="Arial"/>
                <w:sz w:val="22"/>
              </w:rPr>
            </w:pPr>
            <w:r w:rsidRPr="000B55FB">
              <w:rPr>
                <w:rFonts w:ascii="Arial" w:eastAsia="Calibri" w:hAnsi="Arial" w:cs="Arial"/>
                <w:sz w:val="22"/>
              </w:rPr>
              <w:t>Respuesta a consulta # 420201</w:t>
            </w:r>
            <w:r>
              <w:rPr>
                <w:rFonts w:ascii="Arial" w:eastAsia="Calibri" w:hAnsi="Arial" w:cs="Arial"/>
                <w:sz w:val="22"/>
              </w:rPr>
              <w:t>2</w:t>
            </w:r>
            <w:r w:rsidRPr="000B55FB">
              <w:rPr>
                <w:rFonts w:ascii="Arial" w:eastAsia="Calibri" w:hAnsi="Arial" w:cs="Arial"/>
                <w:sz w:val="22"/>
              </w:rPr>
              <w:t>00000</w:t>
            </w:r>
            <w:r>
              <w:rPr>
                <w:rFonts w:ascii="Arial" w:eastAsia="Calibri" w:hAnsi="Arial" w:cs="Arial"/>
                <w:sz w:val="22"/>
              </w:rPr>
              <w:t>2541</w:t>
            </w:r>
          </w:p>
        </w:tc>
      </w:tr>
    </w:tbl>
    <w:p w14:paraId="486CA5EA" w14:textId="77777777" w:rsidR="003B2E57" w:rsidRPr="000B55FB" w:rsidRDefault="003B2E57" w:rsidP="003B2E57">
      <w:pPr>
        <w:jc w:val="both"/>
        <w:rPr>
          <w:rFonts w:ascii="Arial" w:eastAsia="Calibri" w:hAnsi="Arial" w:cs="Arial"/>
          <w:sz w:val="22"/>
        </w:rPr>
      </w:pPr>
    </w:p>
    <w:p w14:paraId="0B25EEA8" w14:textId="77777777" w:rsidR="003B2E57" w:rsidRPr="000B55FB" w:rsidRDefault="003B2E57" w:rsidP="003B2E57">
      <w:pPr>
        <w:rPr>
          <w:rFonts w:ascii="Arial" w:eastAsia="Calibri" w:hAnsi="Arial" w:cs="Arial"/>
          <w:sz w:val="22"/>
        </w:rPr>
      </w:pPr>
    </w:p>
    <w:p w14:paraId="4941650B" w14:textId="77777777" w:rsidR="003B2E57" w:rsidRPr="000B55FB" w:rsidRDefault="003B2E57" w:rsidP="003B2E57">
      <w:pPr>
        <w:rPr>
          <w:rFonts w:ascii="Arial" w:eastAsia="Calibri" w:hAnsi="Arial" w:cs="Arial"/>
          <w:sz w:val="22"/>
        </w:rPr>
      </w:pPr>
      <w:r w:rsidRPr="000B55FB">
        <w:rPr>
          <w:rFonts w:ascii="Arial" w:eastAsia="Calibri" w:hAnsi="Arial" w:cs="Arial"/>
          <w:sz w:val="22"/>
        </w:rPr>
        <w:t xml:space="preserve">Estimado señor </w:t>
      </w:r>
      <w:r>
        <w:rPr>
          <w:rFonts w:ascii="Arial" w:eastAsia="Calibri" w:hAnsi="Arial" w:cs="Arial"/>
          <w:sz w:val="22"/>
        </w:rPr>
        <w:t>Forero</w:t>
      </w:r>
      <w:r w:rsidRPr="000B55FB">
        <w:rPr>
          <w:rFonts w:ascii="Arial" w:eastAsia="Calibri" w:hAnsi="Arial" w:cs="Arial"/>
          <w:sz w:val="22"/>
        </w:rPr>
        <w:t>,</w:t>
      </w:r>
    </w:p>
    <w:p w14:paraId="6CCE31CF" w14:textId="77777777" w:rsidR="003B2E57" w:rsidRPr="000B55FB" w:rsidRDefault="003B2E57" w:rsidP="003B2E57">
      <w:pPr>
        <w:rPr>
          <w:rFonts w:ascii="Arial" w:eastAsia="Calibri" w:hAnsi="Arial" w:cs="Arial"/>
          <w:sz w:val="22"/>
        </w:rPr>
      </w:pPr>
    </w:p>
    <w:p w14:paraId="3D59B1BC" w14:textId="77777777" w:rsidR="003B2E57" w:rsidRPr="000B55FB" w:rsidRDefault="003B2E57" w:rsidP="003B2E57">
      <w:pPr>
        <w:spacing w:line="276" w:lineRule="auto"/>
        <w:ind w:right="49"/>
        <w:jc w:val="both"/>
        <w:rPr>
          <w:rFonts w:ascii="Arial" w:eastAsia="Calibri" w:hAnsi="Arial" w:cs="Arial"/>
          <w:sz w:val="22"/>
        </w:rPr>
      </w:pPr>
      <w:r w:rsidRPr="000B55FB">
        <w:rPr>
          <w:rFonts w:ascii="Arial" w:eastAsia="Calibri" w:hAnsi="Arial" w:cs="Arial"/>
          <w:sz w:val="22"/>
        </w:rPr>
        <w:t xml:space="preserve">La Agencia Nacional de Contratación Pública - Colombia Compra Eficiente responde su consulta del </w:t>
      </w:r>
      <w:r>
        <w:rPr>
          <w:rFonts w:ascii="Arial" w:eastAsia="Calibri" w:hAnsi="Arial" w:cs="Arial"/>
          <w:sz w:val="22"/>
        </w:rPr>
        <w:t xml:space="preserve">8 </w:t>
      </w:r>
      <w:r w:rsidRPr="000B55FB">
        <w:rPr>
          <w:rFonts w:ascii="Arial" w:eastAsia="Calibri" w:hAnsi="Arial" w:cs="Arial"/>
          <w:sz w:val="22"/>
        </w:rPr>
        <w:t xml:space="preserve">de </w:t>
      </w:r>
      <w:r>
        <w:rPr>
          <w:rFonts w:ascii="Arial" w:eastAsia="Calibri" w:hAnsi="Arial" w:cs="Arial"/>
          <w:sz w:val="22"/>
        </w:rPr>
        <w:t>abril</w:t>
      </w:r>
      <w:r w:rsidRPr="000B55FB">
        <w:rPr>
          <w:rFonts w:ascii="Arial" w:eastAsia="Calibri" w:hAnsi="Arial" w:cs="Arial"/>
          <w:sz w:val="22"/>
        </w:rPr>
        <w:t xml:space="preserve"> de 2020, en ejercicio de la competencia otorgada por el numeral 8 del artículo 11 y el numeral 5 del artículo 3 del Decreto Ley 4170 de 2011. </w:t>
      </w:r>
    </w:p>
    <w:p w14:paraId="3504438D" w14:textId="77777777" w:rsidR="003B2E57" w:rsidRPr="000B55FB" w:rsidRDefault="003B2E57" w:rsidP="003B2E57">
      <w:pPr>
        <w:spacing w:line="276" w:lineRule="auto"/>
        <w:jc w:val="both"/>
        <w:rPr>
          <w:rFonts w:ascii="Arial" w:eastAsia="Calibri" w:hAnsi="Arial" w:cs="Arial"/>
          <w:sz w:val="22"/>
        </w:rPr>
      </w:pPr>
    </w:p>
    <w:p w14:paraId="7FA05248" w14:textId="77777777" w:rsidR="003B2E57" w:rsidRPr="000B55FB" w:rsidRDefault="003B2E57" w:rsidP="003B2E57">
      <w:pPr>
        <w:pStyle w:val="Prrafodelista"/>
        <w:tabs>
          <w:tab w:val="left" w:pos="284"/>
        </w:tabs>
        <w:spacing w:line="276" w:lineRule="auto"/>
        <w:ind w:left="0"/>
        <w:jc w:val="both"/>
        <w:rPr>
          <w:rFonts w:ascii="Arial" w:eastAsia="Calibri" w:hAnsi="Arial" w:cs="Arial"/>
          <w:b/>
          <w:sz w:val="22"/>
        </w:rPr>
      </w:pPr>
      <w:r w:rsidRPr="000B55FB">
        <w:rPr>
          <w:rFonts w:ascii="Arial" w:eastAsia="Calibri" w:hAnsi="Arial" w:cs="Arial"/>
          <w:b/>
          <w:sz w:val="22"/>
        </w:rPr>
        <w:t xml:space="preserve">1. Problemas planteados </w:t>
      </w:r>
    </w:p>
    <w:p w14:paraId="4481A119" w14:textId="77777777" w:rsidR="003B2E57" w:rsidRPr="000B55FB" w:rsidRDefault="003B2E57" w:rsidP="003B2E57">
      <w:pPr>
        <w:tabs>
          <w:tab w:val="left" w:pos="426"/>
        </w:tabs>
        <w:spacing w:line="276" w:lineRule="auto"/>
        <w:jc w:val="both"/>
        <w:rPr>
          <w:rFonts w:ascii="Arial" w:eastAsia="Calibri" w:hAnsi="Arial" w:cs="Arial"/>
          <w:b/>
          <w:sz w:val="22"/>
        </w:rPr>
      </w:pPr>
    </w:p>
    <w:p w14:paraId="3C0E092F" w14:textId="77777777" w:rsidR="003B2E57" w:rsidRPr="000B55FB" w:rsidRDefault="003B2E57" w:rsidP="003B2E57">
      <w:pPr>
        <w:tabs>
          <w:tab w:val="left" w:pos="426"/>
        </w:tabs>
        <w:spacing w:line="276" w:lineRule="auto"/>
        <w:jc w:val="both"/>
        <w:rPr>
          <w:rFonts w:ascii="Arial" w:eastAsia="Calibri" w:hAnsi="Arial" w:cs="Arial"/>
          <w:sz w:val="22"/>
        </w:rPr>
      </w:pPr>
      <w:r w:rsidRPr="000B55FB">
        <w:rPr>
          <w:rFonts w:ascii="Arial" w:eastAsia="Calibri" w:hAnsi="Arial" w:cs="Arial"/>
          <w:sz w:val="22"/>
        </w:rPr>
        <w:t>Usted realiza las siguientes preguntas: i) «</w:t>
      </w:r>
      <w:r>
        <w:rPr>
          <w:rFonts w:ascii="Arial" w:eastAsia="Calibri" w:hAnsi="Arial" w:cs="Arial"/>
          <w:sz w:val="22"/>
        </w:rPr>
        <w:t>[...]</w:t>
      </w:r>
      <w:r w:rsidRPr="000B55FB">
        <w:rPr>
          <w:rFonts w:ascii="Arial" w:eastAsia="Calibri" w:hAnsi="Arial" w:cs="Arial"/>
          <w:sz w:val="22"/>
        </w:rPr>
        <w:t>¿</w:t>
      </w:r>
      <w:r>
        <w:rPr>
          <w:rFonts w:ascii="Arial" w:eastAsia="Calibri" w:hAnsi="Arial" w:cs="Arial"/>
          <w:sz w:val="22"/>
        </w:rPr>
        <w:t>Q</w:t>
      </w:r>
      <w:r w:rsidRPr="00307FA6">
        <w:rPr>
          <w:rFonts w:ascii="Arial" w:eastAsia="Calibri" w:hAnsi="Arial" w:cs="Arial"/>
          <w:sz w:val="22"/>
        </w:rPr>
        <w:t>u</w:t>
      </w:r>
      <w:r>
        <w:rPr>
          <w:rFonts w:ascii="Arial" w:eastAsia="Calibri" w:hAnsi="Arial" w:cs="Arial"/>
          <w:sz w:val="22"/>
        </w:rPr>
        <w:t>é</w:t>
      </w:r>
      <w:r w:rsidRPr="00307FA6">
        <w:rPr>
          <w:rFonts w:ascii="Arial" w:eastAsia="Calibri" w:hAnsi="Arial" w:cs="Arial"/>
          <w:sz w:val="22"/>
        </w:rPr>
        <w:t xml:space="preserve"> sucede si se inicia la apertura de los sobres 2 y antes de terminar dicho proceso se sabe la TRM del día siguiente</w:t>
      </w:r>
      <w:r w:rsidRPr="000B55FB">
        <w:rPr>
          <w:rFonts w:ascii="Arial" w:eastAsia="Calibri" w:hAnsi="Arial" w:cs="Arial"/>
          <w:sz w:val="22"/>
        </w:rPr>
        <w:t>?</w:t>
      </w:r>
      <w:r>
        <w:rPr>
          <w:rFonts w:ascii="Arial" w:eastAsia="Calibri" w:hAnsi="Arial" w:cs="Arial"/>
          <w:sz w:val="22"/>
        </w:rPr>
        <w:t>[...]</w:t>
      </w:r>
      <w:r w:rsidRPr="000B55FB">
        <w:rPr>
          <w:rFonts w:ascii="Arial" w:eastAsia="Calibri" w:hAnsi="Arial" w:cs="Arial"/>
          <w:sz w:val="22"/>
        </w:rPr>
        <w:t xml:space="preserve">», </w:t>
      </w:r>
      <w:proofErr w:type="spellStart"/>
      <w:r w:rsidRPr="000B55FB">
        <w:rPr>
          <w:rFonts w:ascii="Arial" w:eastAsia="Calibri" w:hAnsi="Arial" w:cs="Arial"/>
          <w:sz w:val="22"/>
        </w:rPr>
        <w:t>ii</w:t>
      </w:r>
      <w:proofErr w:type="spellEnd"/>
      <w:r w:rsidRPr="000B55FB">
        <w:rPr>
          <w:rFonts w:ascii="Arial" w:eastAsia="Calibri" w:hAnsi="Arial" w:cs="Arial"/>
          <w:sz w:val="22"/>
        </w:rPr>
        <w:t xml:space="preserve">) ¿Es </w:t>
      </w:r>
      <w:r>
        <w:rPr>
          <w:rFonts w:ascii="Arial" w:eastAsia="Calibri" w:hAnsi="Arial" w:cs="Arial"/>
          <w:sz w:val="22"/>
        </w:rPr>
        <w:t>necesario presentar en un capítulo aparte de la oferta los documentos para la obtención del puntaje por industria nacional</w:t>
      </w:r>
      <w:r w:rsidRPr="000B55FB">
        <w:rPr>
          <w:rFonts w:ascii="Arial" w:eastAsia="Calibri" w:hAnsi="Arial" w:cs="Arial"/>
          <w:sz w:val="22"/>
        </w:rPr>
        <w:t xml:space="preserve">? y </w:t>
      </w:r>
      <w:proofErr w:type="spellStart"/>
      <w:r w:rsidRPr="000B55FB">
        <w:rPr>
          <w:rFonts w:ascii="Arial" w:eastAsia="Calibri" w:hAnsi="Arial" w:cs="Arial"/>
          <w:sz w:val="22"/>
        </w:rPr>
        <w:t>iii</w:t>
      </w:r>
      <w:proofErr w:type="spellEnd"/>
      <w:r w:rsidRPr="000B55FB">
        <w:rPr>
          <w:rFonts w:ascii="Arial" w:eastAsia="Calibri" w:hAnsi="Arial" w:cs="Arial"/>
          <w:sz w:val="22"/>
        </w:rPr>
        <w:t xml:space="preserve">) ¿Es </w:t>
      </w:r>
      <w:r>
        <w:rPr>
          <w:rFonts w:ascii="Arial" w:eastAsia="Calibri" w:hAnsi="Arial" w:cs="Arial"/>
          <w:sz w:val="22"/>
        </w:rPr>
        <w:t>necesario que en el Formato 2 - Conformación de proponente plural el representante legal suplente acepte el cargo, como sucede con el representante legal principal</w:t>
      </w:r>
      <w:r w:rsidRPr="000B55FB">
        <w:rPr>
          <w:rFonts w:ascii="Arial" w:eastAsia="Calibri" w:hAnsi="Arial" w:cs="Arial"/>
          <w:sz w:val="22"/>
        </w:rPr>
        <w:t xml:space="preserve">? </w:t>
      </w:r>
    </w:p>
    <w:p w14:paraId="01832665" w14:textId="77777777" w:rsidR="003B2E57" w:rsidRPr="000B55FB" w:rsidRDefault="003B2E57" w:rsidP="003B2E57">
      <w:pPr>
        <w:tabs>
          <w:tab w:val="left" w:pos="426"/>
        </w:tabs>
        <w:spacing w:line="276" w:lineRule="auto"/>
        <w:jc w:val="both"/>
        <w:rPr>
          <w:rFonts w:ascii="Arial" w:eastAsia="Calibri" w:hAnsi="Arial" w:cs="Arial"/>
          <w:sz w:val="22"/>
        </w:rPr>
      </w:pPr>
    </w:p>
    <w:p w14:paraId="1F64ADC3" w14:textId="77777777" w:rsidR="003B2E57" w:rsidRPr="000B55FB" w:rsidRDefault="003B2E57" w:rsidP="003B2E57">
      <w:pPr>
        <w:tabs>
          <w:tab w:val="left" w:pos="426"/>
        </w:tabs>
        <w:spacing w:line="276" w:lineRule="auto"/>
        <w:jc w:val="both"/>
        <w:rPr>
          <w:rFonts w:ascii="Arial" w:eastAsia="Calibri" w:hAnsi="Arial" w:cs="Arial"/>
          <w:b/>
          <w:sz w:val="22"/>
        </w:rPr>
      </w:pPr>
      <w:r w:rsidRPr="000B55FB">
        <w:rPr>
          <w:rFonts w:ascii="Arial" w:eastAsia="Calibri" w:hAnsi="Arial" w:cs="Arial"/>
          <w:b/>
          <w:sz w:val="22"/>
        </w:rPr>
        <w:t>2. Consideraciones</w:t>
      </w:r>
    </w:p>
    <w:p w14:paraId="746AC6BD" w14:textId="77777777" w:rsidR="003B2E57" w:rsidRPr="000B55FB" w:rsidRDefault="003B2E57" w:rsidP="003B2E57">
      <w:pPr>
        <w:tabs>
          <w:tab w:val="left" w:pos="426"/>
        </w:tabs>
        <w:spacing w:line="276" w:lineRule="auto"/>
        <w:jc w:val="both"/>
        <w:rPr>
          <w:rFonts w:ascii="Arial" w:eastAsia="Calibri" w:hAnsi="Arial" w:cs="Arial"/>
          <w:b/>
          <w:sz w:val="22"/>
        </w:rPr>
      </w:pPr>
    </w:p>
    <w:p w14:paraId="3F572F24" w14:textId="77777777" w:rsidR="003B2E57" w:rsidRPr="000B55FB" w:rsidRDefault="003B2E57" w:rsidP="003B2E57">
      <w:pPr>
        <w:tabs>
          <w:tab w:val="left" w:pos="426"/>
        </w:tabs>
        <w:spacing w:line="276" w:lineRule="auto"/>
        <w:jc w:val="both"/>
        <w:rPr>
          <w:rFonts w:ascii="Arial" w:eastAsia="Calibri" w:hAnsi="Arial" w:cs="Arial"/>
          <w:b/>
          <w:sz w:val="22"/>
        </w:rPr>
      </w:pPr>
      <w:r w:rsidRPr="000B55FB">
        <w:rPr>
          <w:rFonts w:ascii="Arial" w:eastAsia="Calibri" w:hAnsi="Arial" w:cs="Arial"/>
          <w:bCs/>
          <w:sz w:val="22"/>
          <w:lang w:val="es-ES_tradnl"/>
        </w:rPr>
        <w:t xml:space="preserve">Teniendo en cuenta que la consulta se realiza en vigencia de la versión </w:t>
      </w:r>
      <w:r>
        <w:rPr>
          <w:rFonts w:ascii="Arial" w:eastAsia="Calibri" w:hAnsi="Arial" w:cs="Arial"/>
          <w:bCs/>
          <w:sz w:val="22"/>
          <w:lang w:val="es-ES_tradnl"/>
        </w:rPr>
        <w:t>2</w:t>
      </w:r>
      <w:r w:rsidRPr="000B55FB">
        <w:rPr>
          <w:rFonts w:ascii="Arial" w:eastAsia="Calibri" w:hAnsi="Arial" w:cs="Arial"/>
          <w:bCs/>
          <w:sz w:val="22"/>
          <w:lang w:val="es-ES_tradnl"/>
        </w:rPr>
        <w:t xml:space="preserve"> de los Documentos Tipo para licitación de obra pública de infraestructura de transporte, las consideraciones que se presentan a continuación están relacionadas con los formatos de estos documentos.</w:t>
      </w:r>
    </w:p>
    <w:p w14:paraId="0EB85EA9" w14:textId="77777777" w:rsidR="003B2E57" w:rsidRPr="000B55FB" w:rsidRDefault="003B2E57" w:rsidP="003B2E57">
      <w:pPr>
        <w:tabs>
          <w:tab w:val="left" w:pos="426"/>
        </w:tabs>
        <w:spacing w:line="276" w:lineRule="auto"/>
        <w:jc w:val="both"/>
        <w:rPr>
          <w:rFonts w:ascii="Arial" w:eastAsia="Calibri" w:hAnsi="Arial" w:cs="Arial"/>
          <w:b/>
          <w:sz w:val="22"/>
        </w:rPr>
      </w:pPr>
    </w:p>
    <w:p w14:paraId="5214200F" w14:textId="77777777" w:rsidR="003B2E57" w:rsidRPr="000B55FB" w:rsidRDefault="003B2E57" w:rsidP="003B2E57">
      <w:pPr>
        <w:spacing w:line="276" w:lineRule="auto"/>
        <w:jc w:val="both"/>
        <w:rPr>
          <w:rFonts w:ascii="Arial" w:eastAsia="Calibri" w:hAnsi="Arial" w:cs="Arial"/>
          <w:b/>
          <w:bCs/>
          <w:sz w:val="22"/>
        </w:rPr>
      </w:pPr>
      <w:r w:rsidRPr="00A96334">
        <w:rPr>
          <w:rFonts w:ascii="Arial" w:eastAsia="Calibri" w:hAnsi="Arial" w:cs="Arial"/>
          <w:b/>
          <w:bCs/>
          <w:sz w:val="22"/>
        </w:rPr>
        <w:t>2.1. Ponderación de la oferta económica en procedimientos contractuales regidos por los Documentos Tipo</w:t>
      </w:r>
    </w:p>
    <w:p w14:paraId="691EAECC" w14:textId="77777777" w:rsidR="003B2E57" w:rsidRPr="000B55FB" w:rsidRDefault="003B2E57" w:rsidP="003B2E57">
      <w:pPr>
        <w:spacing w:line="276" w:lineRule="auto"/>
        <w:jc w:val="both"/>
        <w:rPr>
          <w:rFonts w:ascii="Arial" w:eastAsia="Calibri" w:hAnsi="Arial" w:cs="Arial"/>
          <w:b/>
          <w:bCs/>
          <w:sz w:val="22"/>
        </w:rPr>
      </w:pPr>
    </w:p>
    <w:p w14:paraId="5924AFA9" w14:textId="77777777" w:rsidR="003B2E57" w:rsidRDefault="003B2E57" w:rsidP="003B2E57">
      <w:pPr>
        <w:spacing w:after="120" w:line="276" w:lineRule="auto"/>
        <w:jc w:val="both"/>
        <w:rPr>
          <w:rFonts w:ascii="Arial" w:eastAsia="Calibri" w:hAnsi="Arial" w:cs="Arial"/>
          <w:bCs/>
          <w:sz w:val="22"/>
        </w:rPr>
      </w:pPr>
      <w:r w:rsidRPr="000B55FB">
        <w:rPr>
          <w:rFonts w:ascii="Arial" w:eastAsia="Calibri" w:hAnsi="Arial" w:cs="Arial"/>
          <w:sz w:val="22"/>
        </w:rPr>
        <w:t xml:space="preserve">La Agencia </w:t>
      </w:r>
      <w:r w:rsidRPr="000B55FB">
        <w:rPr>
          <w:rFonts w:ascii="Arial" w:eastAsia="Calibri" w:hAnsi="Arial" w:cs="Arial"/>
          <w:bCs/>
          <w:sz w:val="22"/>
        </w:rPr>
        <w:t>Nacional de Contratación Pública – Colombia Compra Eficiente</w:t>
      </w:r>
      <w:r>
        <w:rPr>
          <w:rFonts w:ascii="Arial" w:eastAsia="Calibri" w:hAnsi="Arial" w:cs="Arial"/>
          <w:bCs/>
          <w:sz w:val="22"/>
        </w:rPr>
        <w:t>,</w:t>
      </w:r>
      <w:r w:rsidRPr="000B55FB">
        <w:t xml:space="preserve"> </w:t>
      </w:r>
      <w:r w:rsidRPr="000B55FB">
        <w:rPr>
          <w:rFonts w:ascii="Arial" w:eastAsia="Calibri" w:hAnsi="Arial" w:cs="Arial"/>
          <w:bCs/>
          <w:sz w:val="22"/>
        </w:rPr>
        <w:t>en el concepto con radicado No.</w:t>
      </w:r>
      <w:r w:rsidRPr="003E24C2">
        <w:t xml:space="preserve"> </w:t>
      </w:r>
      <w:r w:rsidRPr="003E24C2">
        <w:rPr>
          <w:rFonts w:ascii="Arial" w:eastAsia="Calibri" w:hAnsi="Arial" w:cs="Arial"/>
          <w:bCs/>
          <w:sz w:val="22"/>
        </w:rPr>
        <w:t>4202013000001564</w:t>
      </w:r>
      <w:r>
        <w:rPr>
          <w:rFonts w:ascii="Arial" w:eastAsia="Calibri" w:hAnsi="Arial" w:cs="Arial"/>
          <w:bCs/>
          <w:sz w:val="22"/>
        </w:rPr>
        <w:t xml:space="preserve"> del 18 de marzo de 2020, reiterado y desarrollado en el concepto</w:t>
      </w:r>
      <w:r w:rsidRPr="000B55FB">
        <w:rPr>
          <w:rFonts w:ascii="Arial" w:eastAsia="Calibri" w:hAnsi="Arial" w:cs="Arial"/>
          <w:bCs/>
          <w:sz w:val="22"/>
        </w:rPr>
        <w:t xml:space="preserve"> </w:t>
      </w:r>
      <w:r>
        <w:rPr>
          <w:rFonts w:ascii="Arial" w:eastAsia="Calibri" w:hAnsi="Arial" w:cs="Arial"/>
          <w:bCs/>
          <w:sz w:val="22"/>
        </w:rPr>
        <w:t>C-193</w:t>
      </w:r>
      <w:r w:rsidRPr="000B55FB">
        <w:rPr>
          <w:rFonts w:ascii="Arial" w:eastAsia="Calibri" w:hAnsi="Arial" w:cs="Arial"/>
          <w:bCs/>
          <w:sz w:val="22"/>
        </w:rPr>
        <w:t xml:space="preserve"> del </w:t>
      </w:r>
      <w:r>
        <w:rPr>
          <w:rFonts w:ascii="Arial" w:eastAsia="Calibri" w:hAnsi="Arial" w:cs="Arial"/>
          <w:bCs/>
          <w:sz w:val="22"/>
        </w:rPr>
        <w:t>6</w:t>
      </w:r>
      <w:r w:rsidRPr="000B55FB">
        <w:rPr>
          <w:rFonts w:ascii="Arial" w:eastAsia="Calibri" w:hAnsi="Arial" w:cs="Arial"/>
          <w:bCs/>
          <w:sz w:val="22"/>
        </w:rPr>
        <w:t xml:space="preserve"> de </w:t>
      </w:r>
      <w:r>
        <w:rPr>
          <w:rFonts w:ascii="Arial" w:eastAsia="Calibri" w:hAnsi="Arial" w:cs="Arial"/>
          <w:bCs/>
          <w:sz w:val="22"/>
        </w:rPr>
        <w:t>abril</w:t>
      </w:r>
      <w:r w:rsidRPr="000B55FB">
        <w:rPr>
          <w:rFonts w:ascii="Arial" w:eastAsia="Calibri" w:hAnsi="Arial" w:cs="Arial"/>
          <w:bCs/>
          <w:sz w:val="22"/>
        </w:rPr>
        <w:t xml:space="preserve"> de 20</w:t>
      </w:r>
      <w:r>
        <w:rPr>
          <w:rFonts w:ascii="Arial" w:eastAsia="Calibri" w:hAnsi="Arial" w:cs="Arial"/>
          <w:bCs/>
          <w:sz w:val="22"/>
        </w:rPr>
        <w:t>20</w:t>
      </w:r>
      <w:r w:rsidRPr="000B55FB">
        <w:rPr>
          <w:rFonts w:ascii="Arial" w:eastAsia="Calibri" w:hAnsi="Arial" w:cs="Arial"/>
          <w:bCs/>
          <w:sz w:val="22"/>
        </w:rPr>
        <w:t xml:space="preserve">, estudió la ponderación de la oferta económica en procedimientos contractuales </w:t>
      </w:r>
      <w:r>
        <w:rPr>
          <w:rFonts w:ascii="Arial" w:eastAsia="Calibri" w:hAnsi="Arial" w:cs="Arial"/>
          <w:bCs/>
          <w:sz w:val="22"/>
        </w:rPr>
        <w:t xml:space="preserve">que </w:t>
      </w:r>
      <w:r w:rsidRPr="000B55FB">
        <w:rPr>
          <w:rFonts w:ascii="Arial" w:eastAsia="Calibri" w:hAnsi="Arial" w:cs="Arial"/>
          <w:bCs/>
          <w:sz w:val="22"/>
        </w:rPr>
        <w:t xml:space="preserve">aplican los Documentos Tipo. </w:t>
      </w:r>
      <w:r w:rsidRPr="000B55FB">
        <w:rPr>
          <w:rFonts w:ascii="Arial" w:hAnsi="Arial" w:cs="Arial"/>
          <w:sz w:val="22"/>
        </w:rPr>
        <w:t>La tesis desarrollada se expone a continuación</w:t>
      </w:r>
      <w:r w:rsidRPr="000B55FB">
        <w:rPr>
          <w:rFonts w:ascii="Arial" w:eastAsia="Calibri" w:hAnsi="Arial" w:cs="Arial"/>
          <w:bCs/>
          <w:sz w:val="22"/>
        </w:rPr>
        <w:t>.</w:t>
      </w:r>
    </w:p>
    <w:p w14:paraId="6F73C148" w14:textId="77777777" w:rsidR="003B2E57" w:rsidRDefault="003B2E57" w:rsidP="003B2E57">
      <w:pPr>
        <w:spacing w:after="120" w:line="276" w:lineRule="auto"/>
        <w:jc w:val="both"/>
        <w:rPr>
          <w:rFonts w:ascii="Arial" w:eastAsia="Calibri" w:hAnsi="Arial" w:cs="Arial"/>
          <w:sz w:val="22"/>
        </w:rPr>
      </w:pPr>
      <w:r>
        <w:rPr>
          <w:rFonts w:ascii="Arial" w:eastAsia="Calibri" w:hAnsi="Arial" w:cs="Arial"/>
          <w:bCs/>
          <w:sz w:val="22"/>
        </w:rPr>
        <w:lastRenderedPageBreak/>
        <w:tab/>
      </w:r>
      <w:r>
        <w:rPr>
          <w:rFonts w:ascii="Arial" w:eastAsia="Calibri" w:hAnsi="Arial" w:cs="Arial"/>
          <w:sz w:val="22"/>
        </w:rPr>
        <w:t>El numeral 4.1.4. del Documento Base, «DETERMINACIÓN DEL MÉTODO PARA PONDERACIÓN DE LA PROPUESTA ECONÓMICA»</w:t>
      </w:r>
      <w:r>
        <w:rPr>
          <w:rStyle w:val="Refdenotaalpie"/>
          <w:rFonts w:ascii="Arial" w:eastAsia="Calibri" w:hAnsi="Arial" w:cs="Arial"/>
          <w:sz w:val="22"/>
        </w:rPr>
        <w:footnoteReference w:id="1"/>
      </w:r>
      <w:r>
        <w:rPr>
          <w:rFonts w:ascii="Arial" w:eastAsia="Calibri" w:hAnsi="Arial" w:cs="Arial"/>
          <w:sz w:val="22"/>
        </w:rPr>
        <w:t xml:space="preserve">, señala las alternativas para escoger el método de ponderación de la propuesta económica. Estas son las siguientes: i) mediana con valor absoluto, </w:t>
      </w:r>
      <w:proofErr w:type="spellStart"/>
      <w:r>
        <w:rPr>
          <w:rFonts w:ascii="Arial" w:eastAsia="Calibri" w:hAnsi="Arial" w:cs="Arial"/>
          <w:sz w:val="22"/>
        </w:rPr>
        <w:t>ii</w:t>
      </w:r>
      <w:proofErr w:type="spellEnd"/>
      <w:r>
        <w:rPr>
          <w:rFonts w:ascii="Arial" w:eastAsia="Calibri" w:hAnsi="Arial" w:cs="Arial"/>
          <w:sz w:val="22"/>
        </w:rPr>
        <w:t xml:space="preserve">) media geométrica, </w:t>
      </w:r>
      <w:proofErr w:type="spellStart"/>
      <w:r>
        <w:rPr>
          <w:rFonts w:ascii="Arial" w:eastAsia="Calibri" w:hAnsi="Arial" w:cs="Arial"/>
          <w:sz w:val="22"/>
        </w:rPr>
        <w:t>iii</w:t>
      </w:r>
      <w:proofErr w:type="spellEnd"/>
      <w:r>
        <w:rPr>
          <w:rFonts w:ascii="Arial" w:eastAsia="Calibri" w:hAnsi="Arial" w:cs="Arial"/>
          <w:sz w:val="22"/>
        </w:rPr>
        <w:t xml:space="preserve">) media aritmética baja y </w:t>
      </w:r>
      <w:proofErr w:type="spellStart"/>
      <w:r>
        <w:rPr>
          <w:rFonts w:ascii="Arial" w:eastAsia="Calibri" w:hAnsi="Arial" w:cs="Arial"/>
          <w:sz w:val="22"/>
        </w:rPr>
        <w:t>iv</w:t>
      </w:r>
      <w:proofErr w:type="spellEnd"/>
      <w:r>
        <w:rPr>
          <w:rFonts w:ascii="Arial" w:eastAsia="Calibri" w:hAnsi="Arial" w:cs="Arial"/>
          <w:sz w:val="22"/>
        </w:rPr>
        <w:t>) menor valor.</w:t>
      </w:r>
    </w:p>
    <w:p w14:paraId="46CACDA8" w14:textId="77777777" w:rsidR="003B2E57" w:rsidRDefault="003B2E57" w:rsidP="003B2E57">
      <w:pPr>
        <w:spacing w:line="276" w:lineRule="auto"/>
        <w:ind w:firstLine="708"/>
        <w:jc w:val="both"/>
        <w:rPr>
          <w:rFonts w:ascii="Arial" w:eastAsia="Calibri" w:hAnsi="Arial" w:cs="Arial"/>
          <w:sz w:val="22"/>
        </w:rPr>
      </w:pPr>
      <w:r>
        <w:rPr>
          <w:rFonts w:ascii="Arial" w:eastAsia="Calibri" w:hAnsi="Arial" w:cs="Arial"/>
          <w:sz w:val="22"/>
        </w:rPr>
        <w:t>La entidad escogerá uno u otro método de ponderación de acuerdo con la Tasa de Cambio Representativa del Mercado –TRM– del día hábil siguiente al día en que efectivamente sea la apertura del segundo sobre que contiene las ofertas económicas. La entidad debe tener en cuenta los centavos de la TRM para definir el método de ponderación de acuerdo con los rangos del siguiente cuadro:</w:t>
      </w:r>
    </w:p>
    <w:p w14:paraId="6D409273" w14:textId="77777777" w:rsidR="003B2E57" w:rsidRDefault="003B2E57" w:rsidP="003B2E57">
      <w:pPr>
        <w:spacing w:line="276" w:lineRule="auto"/>
        <w:jc w:val="both"/>
        <w:rPr>
          <w:rFonts w:ascii="Arial" w:eastAsia="Calibri" w:hAnsi="Arial" w:cs="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899"/>
        <w:gridCol w:w="2503"/>
      </w:tblGrid>
      <w:tr w:rsidR="003B2E57" w14:paraId="612CE40C" w14:textId="77777777" w:rsidTr="00AD70BB">
        <w:trPr>
          <w:trHeight w:val="20"/>
          <w:jc w:val="center"/>
        </w:trPr>
        <w:tc>
          <w:tcPr>
            <w:tcW w:w="1413" w:type="dxa"/>
            <w:tcBorders>
              <w:top w:val="double" w:sz="4" w:space="0" w:color="auto"/>
              <w:left w:val="double" w:sz="4" w:space="0" w:color="auto"/>
              <w:bottom w:val="single" w:sz="4" w:space="0" w:color="auto"/>
              <w:right w:val="single" w:sz="4" w:space="0" w:color="auto"/>
            </w:tcBorders>
            <w:shd w:val="clear" w:color="auto" w:fill="262626" w:themeFill="text1" w:themeFillTint="D9"/>
            <w:vAlign w:val="center"/>
            <w:hideMark/>
          </w:tcPr>
          <w:p w14:paraId="613F3F9C" w14:textId="77777777" w:rsidR="003B2E57" w:rsidRDefault="003B2E57" w:rsidP="00AD70BB">
            <w:pPr>
              <w:spacing w:line="276" w:lineRule="auto"/>
              <w:jc w:val="center"/>
              <w:rPr>
                <w:rFonts w:eastAsia="Arial,Calibri" w:cs="Arial"/>
                <w:b/>
                <w:bCs/>
                <w:color w:val="DBDBDB" w:themeColor="background1"/>
                <w:sz w:val="16"/>
                <w:szCs w:val="16"/>
                <w:lang w:val="es-CO"/>
              </w:rPr>
            </w:pPr>
            <w:r>
              <w:rPr>
                <w:rFonts w:cs="Arial"/>
                <w:b/>
                <w:bCs/>
                <w:color w:val="DBDBDB" w:themeColor="background1"/>
                <w:sz w:val="16"/>
                <w:szCs w:val="16"/>
              </w:rPr>
              <w:t>Rango</w:t>
            </w:r>
            <w:r>
              <w:rPr>
                <w:rFonts w:eastAsia="Arial,Calibri" w:cs="Arial"/>
                <w:b/>
                <w:bCs/>
                <w:color w:val="DBDBDB" w:themeColor="background1"/>
                <w:sz w:val="16"/>
                <w:szCs w:val="16"/>
              </w:rPr>
              <w:t xml:space="preserve"> </w:t>
            </w:r>
            <w:r>
              <w:rPr>
                <w:rFonts w:cs="Arial"/>
                <w:b/>
                <w:bCs/>
                <w:color w:val="DBDBDB" w:themeColor="background1"/>
                <w:sz w:val="16"/>
                <w:szCs w:val="16"/>
              </w:rPr>
              <w:t>(inclusive)</w:t>
            </w:r>
          </w:p>
        </w:tc>
        <w:tc>
          <w:tcPr>
            <w:tcW w:w="899" w:type="dxa"/>
            <w:tcBorders>
              <w:top w:val="double" w:sz="4" w:space="0" w:color="auto"/>
              <w:left w:val="single" w:sz="4" w:space="0" w:color="auto"/>
              <w:bottom w:val="single" w:sz="4" w:space="0" w:color="auto"/>
              <w:right w:val="single" w:sz="4" w:space="0" w:color="auto"/>
            </w:tcBorders>
            <w:shd w:val="clear" w:color="auto" w:fill="262626" w:themeFill="text1" w:themeFillTint="D9"/>
            <w:vAlign w:val="center"/>
            <w:hideMark/>
          </w:tcPr>
          <w:p w14:paraId="52782AFF" w14:textId="77777777" w:rsidR="003B2E57" w:rsidRDefault="003B2E57" w:rsidP="00AD70BB">
            <w:pPr>
              <w:spacing w:line="276" w:lineRule="auto"/>
              <w:jc w:val="center"/>
              <w:rPr>
                <w:rFonts w:eastAsia="Arial,Calibri" w:cs="Arial"/>
                <w:b/>
                <w:bCs/>
                <w:color w:val="DBDBDB" w:themeColor="background1"/>
                <w:sz w:val="16"/>
                <w:szCs w:val="16"/>
              </w:rPr>
            </w:pPr>
            <w:r>
              <w:rPr>
                <w:rFonts w:cs="Arial"/>
                <w:b/>
                <w:bCs/>
                <w:color w:val="DBDBDB" w:themeColor="background1"/>
                <w:sz w:val="16"/>
                <w:szCs w:val="16"/>
              </w:rPr>
              <w:t>Número</w:t>
            </w:r>
          </w:p>
        </w:tc>
        <w:tc>
          <w:tcPr>
            <w:tcW w:w="2503" w:type="dxa"/>
            <w:tcBorders>
              <w:top w:val="double" w:sz="4" w:space="0" w:color="auto"/>
              <w:left w:val="single" w:sz="4" w:space="0" w:color="auto"/>
              <w:bottom w:val="single" w:sz="4" w:space="0" w:color="auto"/>
              <w:right w:val="double" w:sz="4" w:space="0" w:color="auto"/>
            </w:tcBorders>
            <w:shd w:val="clear" w:color="auto" w:fill="262626" w:themeFill="text1" w:themeFillTint="D9"/>
            <w:vAlign w:val="center"/>
            <w:hideMark/>
          </w:tcPr>
          <w:p w14:paraId="671664FB" w14:textId="77777777" w:rsidR="003B2E57" w:rsidRDefault="003B2E57" w:rsidP="00AD70BB">
            <w:pPr>
              <w:spacing w:line="276" w:lineRule="auto"/>
              <w:jc w:val="center"/>
              <w:rPr>
                <w:rFonts w:eastAsia="Arial,Calibri" w:cs="Arial"/>
                <w:b/>
                <w:bCs/>
                <w:color w:val="DBDBDB" w:themeColor="background1"/>
                <w:sz w:val="16"/>
                <w:szCs w:val="16"/>
              </w:rPr>
            </w:pPr>
            <w:r>
              <w:rPr>
                <w:rFonts w:cs="Arial"/>
                <w:b/>
                <w:bCs/>
                <w:color w:val="DBDBDB" w:themeColor="background1"/>
                <w:sz w:val="16"/>
                <w:szCs w:val="16"/>
              </w:rPr>
              <w:t>Método</w:t>
            </w:r>
          </w:p>
        </w:tc>
      </w:tr>
      <w:tr w:rsidR="003B2E57" w14:paraId="152E75D8" w14:textId="77777777" w:rsidTr="00AD70BB">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12358BA9" w14:textId="77777777" w:rsidR="003B2E57" w:rsidRDefault="003B2E57" w:rsidP="00AD70BB">
            <w:pPr>
              <w:spacing w:line="276" w:lineRule="auto"/>
              <w:jc w:val="center"/>
              <w:rPr>
                <w:rFonts w:cs="Arial"/>
                <w:color w:val="3C3C3C" w:themeColor="background2" w:themeShade="40"/>
                <w:sz w:val="16"/>
                <w:szCs w:val="16"/>
                <w:lang w:val="es-ES" w:eastAsia="es-CO"/>
              </w:rPr>
            </w:pPr>
            <w:r>
              <w:rPr>
                <w:rFonts w:cs="Arial"/>
                <w:sz w:val="16"/>
                <w:szCs w:val="16"/>
                <w:lang w:val="es-ES" w:eastAsia="es-CO"/>
              </w:rPr>
              <w:t>De 0.00 a 0.24</w:t>
            </w:r>
          </w:p>
        </w:tc>
        <w:tc>
          <w:tcPr>
            <w:tcW w:w="899" w:type="dxa"/>
            <w:tcBorders>
              <w:top w:val="single" w:sz="4" w:space="0" w:color="auto"/>
              <w:left w:val="single" w:sz="4" w:space="0" w:color="auto"/>
              <w:bottom w:val="single" w:sz="4" w:space="0" w:color="auto"/>
              <w:right w:val="single" w:sz="4" w:space="0" w:color="auto"/>
            </w:tcBorders>
            <w:vAlign w:val="center"/>
            <w:hideMark/>
          </w:tcPr>
          <w:p w14:paraId="2B3B8A11" w14:textId="77777777" w:rsidR="003B2E57" w:rsidRDefault="003B2E57" w:rsidP="00AD70BB">
            <w:pPr>
              <w:spacing w:line="276" w:lineRule="auto"/>
              <w:jc w:val="center"/>
              <w:rPr>
                <w:rFonts w:eastAsia="Arial,Times New Roman" w:cs="Arial"/>
                <w:sz w:val="16"/>
                <w:szCs w:val="16"/>
                <w:lang w:val="es-ES" w:eastAsia="es-CO"/>
              </w:rPr>
            </w:pPr>
            <w:r>
              <w:rPr>
                <w:rFonts w:cs="Arial"/>
                <w:sz w:val="16"/>
                <w:szCs w:val="16"/>
                <w:lang w:val="es-ES" w:eastAsia="es-CO"/>
              </w:rPr>
              <w:t>1</w:t>
            </w:r>
          </w:p>
        </w:tc>
        <w:tc>
          <w:tcPr>
            <w:tcW w:w="2503" w:type="dxa"/>
            <w:tcBorders>
              <w:top w:val="single" w:sz="4" w:space="0" w:color="auto"/>
              <w:left w:val="single" w:sz="4" w:space="0" w:color="auto"/>
              <w:bottom w:val="single" w:sz="4" w:space="0" w:color="auto"/>
              <w:right w:val="double" w:sz="4" w:space="0" w:color="auto"/>
            </w:tcBorders>
            <w:vAlign w:val="center"/>
            <w:hideMark/>
          </w:tcPr>
          <w:p w14:paraId="262C8671" w14:textId="77777777" w:rsidR="003B2E57" w:rsidRDefault="003B2E57" w:rsidP="00AD70BB">
            <w:pPr>
              <w:spacing w:line="276" w:lineRule="auto"/>
              <w:jc w:val="center"/>
              <w:rPr>
                <w:rFonts w:eastAsia="Arial,Times New Roman" w:cs="Arial"/>
                <w:sz w:val="16"/>
                <w:szCs w:val="16"/>
                <w:lang w:val="es-ES" w:eastAsia="es-CO"/>
              </w:rPr>
            </w:pPr>
            <w:r>
              <w:rPr>
                <w:rFonts w:cs="Arial"/>
                <w:sz w:val="16"/>
                <w:szCs w:val="16"/>
                <w:lang w:val="es-ES" w:eastAsia="es-CO"/>
              </w:rPr>
              <w:t>Mediana con valor absoluto</w:t>
            </w:r>
          </w:p>
        </w:tc>
      </w:tr>
      <w:tr w:rsidR="003B2E57" w14:paraId="6ECD53AC" w14:textId="77777777" w:rsidTr="00AD70BB">
        <w:trPr>
          <w:trHeight w:val="41"/>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326B9C50" w14:textId="77777777" w:rsidR="003B2E57" w:rsidRDefault="003B2E57" w:rsidP="00AD70BB">
            <w:pPr>
              <w:spacing w:line="276" w:lineRule="auto"/>
              <w:jc w:val="center"/>
              <w:rPr>
                <w:rFonts w:cs="Arial"/>
                <w:sz w:val="16"/>
                <w:szCs w:val="16"/>
                <w:lang w:val="es-ES" w:eastAsia="es-CO"/>
              </w:rPr>
            </w:pPr>
            <w:r>
              <w:rPr>
                <w:rFonts w:cs="Arial"/>
                <w:sz w:val="16"/>
                <w:szCs w:val="16"/>
                <w:lang w:val="es-ES" w:eastAsia="es-CO"/>
              </w:rPr>
              <w:t>De 0.25 a 0.49</w:t>
            </w:r>
          </w:p>
        </w:tc>
        <w:tc>
          <w:tcPr>
            <w:tcW w:w="899" w:type="dxa"/>
            <w:tcBorders>
              <w:top w:val="single" w:sz="4" w:space="0" w:color="auto"/>
              <w:left w:val="single" w:sz="4" w:space="0" w:color="auto"/>
              <w:bottom w:val="single" w:sz="4" w:space="0" w:color="auto"/>
              <w:right w:val="single" w:sz="4" w:space="0" w:color="auto"/>
            </w:tcBorders>
            <w:vAlign w:val="center"/>
            <w:hideMark/>
          </w:tcPr>
          <w:p w14:paraId="65586F6B" w14:textId="77777777" w:rsidR="003B2E57" w:rsidRDefault="003B2E57" w:rsidP="00AD70BB">
            <w:pPr>
              <w:spacing w:line="276" w:lineRule="auto"/>
              <w:jc w:val="center"/>
              <w:rPr>
                <w:rFonts w:eastAsia="Arial,Times New Roman" w:cs="Arial"/>
                <w:sz w:val="16"/>
                <w:szCs w:val="16"/>
                <w:lang w:val="es-ES" w:eastAsia="es-CO"/>
              </w:rPr>
            </w:pPr>
            <w:r>
              <w:rPr>
                <w:rFonts w:eastAsia="Arial,Times New Roman" w:cs="Arial"/>
                <w:sz w:val="16"/>
                <w:szCs w:val="16"/>
                <w:lang w:val="es-ES" w:eastAsia="es-CO"/>
              </w:rPr>
              <w:t>2</w:t>
            </w:r>
          </w:p>
        </w:tc>
        <w:tc>
          <w:tcPr>
            <w:tcW w:w="2503" w:type="dxa"/>
            <w:tcBorders>
              <w:top w:val="single" w:sz="4" w:space="0" w:color="auto"/>
              <w:left w:val="single" w:sz="4" w:space="0" w:color="auto"/>
              <w:bottom w:val="single" w:sz="4" w:space="0" w:color="auto"/>
              <w:right w:val="double" w:sz="4" w:space="0" w:color="auto"/>
            </w:tcBorders>
            <w:vAlign w:val="center"/>
            <w:hideMark/>
          </w:tcPr>
          <w:p w14:paraId="0CB74B38" w14:textId="77777777" w:rsidR="003B2E57" w:rsidRDefault="003B2E57" w:rsidP="00AD70BB">
            <w:pPr>
              <w:spacing w:line="276" w:lineRule="auto"/>
              <w:jc w:val="center"/>
              <w:rPr>
                <w:rFonts w:eastAsia="Arial,Times New Roman" w:cs="Arial"/>
                <w:sz w:val="16"/>
                <w:szCs w:val="16"/>
                <w:lang w:val="es-ES" w:eastAsia="es-CO"/>
              </w:rPr>
            </w:pPr>
            <w:r>
              <w:rPr>
                <w:rFonts w:cs="Arial"/>
                <w:sz w:val="16"/>
                <w:szCs w:val="16"/>
                <w:lang w:val="es-ES" w:eastAsia="es-CO"/>
              </w:rPr>
              <w:t>Media geométrica</w:t>
            </w:r>
          </w:p>
        </w:tc>
      </w:tr>
      <w:tr w:rsidR="003B2E57" w14:paraId="10C358A6" w14:textId="77777777" w:rsidTr="00AD70BB">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560FCD64" w14:textId="77777777" w:rsidR="003B2E57" w:rsidRDefault="003B2E57" w:rsidP="00AD70BB">
            <w:pPr>
              <w:spacing w:line="276" w:lineRule="auto"/>
              <w:jc w:val="center"/>
              <w:rPr>
                <w:rFonts w:cs="Arial"/>
                <w:sz w:val="16"/>
                <w:szCs w:val="16"/>
                <w:lang w:val="es-ES" w:eastAsia="es-CO"/>
              </w:rPr>
            </w:pPr>
            <w:r>
              <w:rPr>
                <w:rFonts w:cs="Arial"/>
                <w:sz w:val="16"/>
                <w:szCs w:val="16"/>
                <w:lang w:val="es-ES" w:eastAsia="es-CO"/>
              </w:rPr>
              <w:t>De 0.50 a 0.74</w:t>
            </w:r>
          </w:p>
        </w:tc>
        <w:tc>
          <w:tcPr>
            <w:tcW w:w="899" w:type="dxa"/>
            <w:tcBorders>
              <w:top w:val="single" w:sz="4" w:space="0" w:color="auto"/>
              <w:left w:val="single" w:sz="4" w:space="0" w:color="auto"/>
              <w:bottom w:val="single" w:sz="4" w:space="0" w:color="auto"/>
              <w:right w:val="single" w:sz="4" w:space="0" w:color="auto"/>
            </w:tcBorders>
            <w:vAlign w:val="center"/>
            <w:hideMark/>
          </w:tcPr>
          <w:p w14:paraId="3747625A" w14:textId="77777777" w:rsidR="003B2E57" w:rsidRDefault="003B2E57" w:rsidP="00AD70BB">
            <w:pPr>
              <w:spacing w:line="276" w:lineRule="auto"/>
              <w:jc w:val="center"/>
              <w:rPr>
                <w:rFonts w:cs="Arial"/>
                <w:sz w:val="16"/>
                <w:szCs w:val="16"/>
                <w:lang w:val="es-ES" w:eastAsia="es-CO"/>
              </w:rPr>
            </w:pPr>
            <w:r>
              <w:rPr>
                <w:rFonts w:cs="Arial"/>
                <w:sz w:val="16"/>
                <w:szCs w:val="16"/>
                <w:lang w:val="es-ES" w:eastAsia="es-CO"/>
              </w:rPr>
              <w:t>3</w:t>
            </w:r>
          </w:p>
        </w:tc>
        <w:tc>
          <w:tcPr>
            <w:tcW w:w="2503" w:type="dxa"/>
            <w:tcBorders>
              <w:top w:val="single" w:sz="4" w:space="0" w:color="auto"/>
              <w:left w:val="single" w:sz="4" w:space="0" w:color="auto"/>
              <w:bottom w:val="single" w:sz="4" w:space="0" w:color="auto"/>
              <w:right w:val="double" w:sz="4" w:space="0" w:color="auto"/>
            </w:tcBorders>
            <w:vAlign w:val="center"/>
            <w:hideMark/>
          </w:tcPr>
          <w:p w14:paraId="4894D52F" w14:textId="77777777" w:rsidR="003B2E57" w:rsidRDefault="003B2E57" w:rsidP="00AD70BB">
            <w:pPr>
              <w:spacing w:line="276" w:lineRule="auto"/>
              <w:jc w:val="center"/>
              <w:rPr>
                <w:rFonts w:cs="Arial"/>
                <w:sz w:val="16"/>
                <w:szCs w:val="16"/>
                <w:lang w:val="es-ES" w:eastAsia="es-CO"/>
              </w:rPr>
            </w:pPr>
            <w:r>
              <w:rPr>
                <w:rFonts w:cs="Arial"/>
                <w:sz w:val="16"/>
                <w:szCs w:val="16"/>
                <w:lang w:val="es-ES" w:eastAsia="es-CO"/>
              </w:rPr>
              <w:t>Media aritmética baja</w:t>
            </w:r>
          </w:p>
        </w:tc>
      </w:tr>
      <w:tr w:rsidR="003B2E57" w14:paraId="7C33DAFC" w14:textId="77777777" w:rsidTr="00AD70BB">
        <w:trPr>
          <w:trHeight w:val="20"/>
          <w:jc w:val="center"/>
        </w:trPr>
        <w:tc>
          <w:tcPr>
            <w:tcW w:w="1413" w:type="dxa"/>
            <w:tcBorders>
              <w:top w:val="single" w:sz="4" w:space="0" w:color="auto"/>
              <w:left w:val="double" w:sz="4" w:space="0" w:color="auto"/>
              <w:bottom w:val="double" w:sz="4" w:space="0" w:color="auto"/>
              <w:right w:val="single" w:sz="4" w:space="0" w:color="auto"/>
            </w:tcBorders>
            <w:vAlign w:val="center"/>
            <w:hideMark/>
          </w:tcPr>
          <w:p w14:paraId="312C9359" w14:textId="77777777" w:rsidR="003B2E57" w:rsidRDefault="003B2E57" w:rsidP="00AD70BB">
            <w:pPr>
              <w:spacing w:line="276" w:lineRule="auto"/>
              <w:jc w:val="center"/>
              <w:rPr>
                <w:rFonts w:cs="Arial"/>
                <w:sz w:val="16"/>
                <w:szCs w:val="16"/>
                <w:lang w:val="es-ES" w:eastAsia="es-CO"/>
              </w:rPr>
            </w:pPr>
            <w:r>
              <w:rPr>
                <w:rFonts w:cs="Arial"/>
                <w:sz w:val="16"/>
                <w:szCs w:val="16"/>
                <w:lang w:val="es-ES" w:eastAsia="es-CO"/>
              </w:rPr>
              <w:t>De 0.75 a 0.99</w:t>
            </w:r>
          </w:p>
        </w:tc>
        <w:tc>
          <w:tcPr>
            <w:tcW w:w="899" w:type="dxa"/>
            <w:tcBorders>
              <w:top w:val="single" w:sz="4" w:space="0" w:color="auto"/>
              <w:left w:val="single" w:sz="4" w:space="0" w:color="auto"/>
              <w:bottom w:val="double" w:sz="4" w:space="0" w:color="auto"/>
              <w:right w:val="single" w:sz="4" w:space="0" w:color="auto"/>
            </w:tcBorders>
            <w:vAlign w:val="center"/>
            <w:hideMark/>
          </w:tcPr>
          <w:p w14:paraId="161D9C45" w14:textId="77777777" w:rsidR="003B2E57" w:rsidRDefault="003B2E57" w:rsidP="00AD70BB">
            <w:pPr>
              <w:spacing w:line="276" w:lineRule="auto"/>
              <w:jc w:val="center"/>
              <w:rPr>
                <w:rFonts w:cs="Arial"/>
                <w:sz w:val="16"/>
                <w:szCs w:val="16"/>
                <w:lang w:val="es-ES" w:eastAsia="es-CO"/>
              </w:rPr>
            </w:pPr>
            <w:r>
              <w:rPr>
                <w:rFonts w:cs="Arial"/>
                <w:sz w:val="16"/>
                <w:szCs w:val="16"/>
                <w:lang w:val="es-ES" w:eastAsia="es-CO"/>
              </w:rPr>
              <w:t>4</w:t>
            </w:r>
          </w:p>
        </w:tc>
        <w:tc>
          <w:tcPr>
            <w:tcW w:w="2503" w:type="dxa"/>
            <w:tcBorders>
              <w:top w:val="single" w:sz="4" w:space="0" w:color="auto"/>
              <w:left w:val="single" w:sz="4" w:space="0" w:color="auto"/>
              <w:bottom w:val="double" w:sz="4" w:space="0" w:color="auto"/>
              <w:right w:val="double" w:sz="4" w:space="0" w:color="auto"/>
            </w:tcBorders>
            <w:vAlign w:val="center"/>
            <w:hideMark/>
          </w:tcPr>
          <w:p w14:paraId="0900BBDE" w14:textId="77777777" w:rsidR="003B2E57" w:rsidRDefault="003B2E57" w:rsidP="00AD70BB">
            <w:pPr>
              <w:spacing w:line="276" w:lineRule="auto"/>
              <w:jc w:val="center"/>
              <w:rPr>
                <w:rFonts w:cs="Arial"/>
                <w:sz w:val="16"/>
                <w:szCs w:val="16"/>
                <w:lang w:val="es-ES" w:eastAsia="es-CO"/>
              </w:rPr>
            </w:pPr>
            <w:r>
              <w:rPr>
                <w:rFonts w:cs="Arial"/>
                <w:sz w:val="16"/>
                <w:szCs w:val="16"/>
                <w:lang w:val="es-ES" w:eastAsia="es-CO"/>
              </w:rPr>
              <w:t>Menor valor</w:t>
            </w:r>
          </w:p>
        </w:tc>
      </w:tr>
    </w:tbl>
    <w:p w14:paraId="6C64DD3F" w14:textId="77777777" w:rsidR="003B2E57" w:rsidRDefault="003B2E57" w:rsidP="003B2E57">
      <w:pPr>
        <w:spacing w:line="276" w:lineRule="auto"/>
        <w:jc w:val="both"/>
        <w:rPr>
          <w:rFonts w:ascii="Arial" w:eastAsia="Calibri" w:hAnsi="Arial" w:cs="Arial"/>
          <w:sz w:val="22"/>
        </w:rPr>
      </w:pPr>
    </w:p>
    <w:p w14:paraId="7488A2B5" w14:textId="77777777" w:rsidR="003B2E57" w:rsidRDefault="003B2E57" w:rsidP="003B2E57">
      <w:pPr>
        <w:spacing w:after="120" w:line="276" w:lineRule="auto"/>
        <w:ind w:firstLine="709"/>
        <w:jc w:val="both"/>
        <w:rPr>
          <w:rFonts w:ascii="Arial" w:eastAsia="Times New Roman" w:hAnsi="Arial" w:cs="Arial"/>
          <w:sz w:val="22"/>
        </w:rPr>
      </w:pPr>
      <w:r>
        <w:rPr>
          <w:rFonts w:ascii="Arial" w:eastAsia="Calibri" w:hAnsi="Arial" w:cs="Arial"/>
          <w:sz w:val="22"/>
        </w:rPr>
        <w:t xml:space="preserve">Con lo anterior, se puede concluir que el método aleatorio para seleccionar la fórmula de ponderación de la oferta económica desestimula los actos de corrupción, puesto que no es posible manipular la TRM para conocer con anticipación la fórmula aplicable y poder adjudicar al proponente que la entidad desee, ya que es certificada por la Superintendencia Financiera de Colombia. </w:t>
      </w:r>
      <w:r w:rsidRPr="000B55FB">
        <w:rPr>
          <w:rFonts w:ascii="Arial" w:eastAsia="Times New Roman" w:hAnsi="Arial" w:cs="Arial"/>
          <w:sz w:val="22"/>
        </w:rPr>
        <w:t>Con relación a</w:t>
      </w:r>
      <w:r>
        <w:rPr>
          <w:rFonts w:ascii="Arial" w:eastAsia="Times New Roman" w:hAnsi="Arial" w:cs="Arial"/>
          <w:sz w:val="22"/>
        </w:rPr>
        <w:t xml:space="preserve"> </w:t>
      </w:r>
      <w:r w:rsidRPr="000B55FB">
        <w:rPr>
          <w:rFonts w:ascii="Arial" w:eastAsia="Times New Roman" w:hAnsi="Arial" w:cs="Arial"/>
          <w:sz w:val="22"/>
        </w:rPr>
        <w:t>l</w:t>
      </w:r>
      <w:r>
        <w:rPr>
          <w:rFonts w:ascii="Arial" w:eastAsia="Times New Roman" w:hAnsi="Arial" w:cs="Arial"/>
          <w:sz w:val="22"/>
        </w:rPr>
        <w:t>os</w:t>
      </w:r>
      <w:r w:rsidRPr="000B55FB">
        <w:rPr>
          <w:rFonts w:ascii="Arial" w:eastAsia="Times New Roman" w:hAnsi="Arial" w:cs="Arial"/>
          <w:sz w:val="22"/>
        </w:rPr>
        <w:t xml:space="preserve"> método</w:t>
      </w:r>
      <w:r>
        <w:rPr>
          <w:rFonts w:ascii="Arial" w:eastAsia="Times New Roman" w:hAnsi="Arial" w:cs="Arial"/>
          <w:sz w:val="22"/>
        </w:rPr>
        <w:t>s</w:t>
      </w:r>
      <w:r w:rsidRPr="000B55FB">
        <w:rPr>
          <w:rFonts w:ascii="Arial" w:eastAsia="Times New Roman" w:hAnsi="Arial" w:cs="Arial"/>
          <w:sz w:val="22"/>
        </w:rPr>
        <w:t xml:space="preserve"> de ponderación aplicable</w:t>
      </w:r>
      <w:r>
        <w:rPr>
          <w:rFonts w:ascii="Arial" w:eastAsia="Times New Roman" w:hAnsi="Arial" w:cs="Arial"/>
          <w:sz w:val="22"/>
        </w:rPr>
        <w:t>s</w:t>
      </w:r>
      <w:r w:rsidRPr="000B55FB">
        <w:rPr>
          <w:rFonts w:ascii="Arial" w:eastAsia="Times New Roman" w:hAnsi="Arial" w:cs="Arial"/>
          <w:sz w:val="22"/>
        </w:rPr>
        <w:t xml:space="preserve"> </w:t>
      </w:r>
      <w:r>
        <w:rPr>
          <w:rFonts w:ascii="Arial" w:eastAsia="Times New Roman" w:hAnsi="Arial" w:cs="Arial"/>
          <w:sz w:val="22"/>
        </w:rPr>
        <w:t>al</w:t>
      </w:r>
      <w:r w:rsidRPr="000B55FB">
        <w:rPr>
          <w:rFonts w:ascii="Arial" w:eastAsia="Times New Roman" w:hAnsi="Arial" w:cs="Arial"/>
          <w:sz w:val="22"/>
        </w:rPr>
        <w:t xml:space="preserve"> proce</w:t>
      </w:r>
      <w:r>
        <w:rPr>
          <w:rFonts w:ascii="Arial" w:eastAsia="Times New Roman" w:hAnsi="Arial" w:cs="Arial"/>
          <w:sz w:val="22"/>
        </w:rPr>
        <w:t>dimiento</w:t>
      </w:r>
      <w:r w:rsidRPr="000B55FB">
        <w:rPr>
          <w:rFonts w:ascii="Arial" w:eastAsia="Times New Roman" w:hAnsi="Arial" w:cs="Arial"/>
          <w:sz w:val="22"/>
        </w:rPr>
        <w:t xml:space="preserve"> de contratación</w:t>
      </w:r>
      <w:r>
        <w:rPr>
          <w:rFonts w:ascii="Arial" w:eastAsia="Times New Roman" w:hAnsi="Arial" w:cs="Arial"/>
          <w:sz w:val="22"/>
        </w:rPr>
        <w:t>, e</w:t>
      </w:r>
      <w:r w:rsidRPr="000B55FB">
        <w:rPr>
          <w:rFonts w:ascii="Arial" w:eastAsia="Times New Roman" w:hAnsi="Arial" w:cs="Arial"/>
          <w:sz w:val="22"/>
        </w:rPr>
        <w:t>n cuanto a la apertura de los sobres No</w:t>
      </w:r>
      <w:r>
        <w:rPr>
          <w:rFonts w:ascii="Arial" w:eastAsia="Times New Roman" w:hAnsi="Arial" w:cs="Arial"/>
          <w:sz w:val="22"/>
        </w:rPr>
        <w:t>.</w:t>
      </w:r>
      <w:r w:rsidRPr="000B55FB">
        <w:rPr>
          <w:rFonts w:ascii="Arial" w:eastAsia="Times New Roman" w:hAnsi="Arial" w:cs="Arial"/>
          <w:sz w:val="22"/>
        </w:rPr>
        <w:t xml:space="preserve"> 2, </w:t>
      </w:r>
      <w:r>
        <w:rPr>
          <w:rFonts w:ascii="Arial" w:eastAsia="Times New Roman" w:hAnsi="Arial" w:cs="Arial"/>
          <w:sz w:val="22"/>
        </w:rPr>
        <w:t>el Documento Base señala que «</w:t>
      </w:r>
      <w:r w:rsidRPr="001E0FFC">
        <w:rPr>
          <w:rFonts w:ascii="Arial" w:eastAsia="Times New Roman" w:hAnsi="Arial" w:cs="Arial"/>
          <w:sz w:val="22"/>
        </w:rPr>
        <w:t>la Entidad debe agotar la apertura de los sobres económicos y la definición del método de ponderación en un mismo día. Igualmente, el método definido el día de la apertura del sobre económico seguirá rigiendo aun cuando la Entidad deba suspender la audiencia</w:t>
      </w:r>
      <w:r>
        <w:rPr>
          <w:rFonts w:ascii="Arial" w:eastAsia="Times New Roman" w:hAnsi="Arial" w:cs="Arial"/>
          <w:sz w:val="22"/>
        </w:rPr>
        <w:t>»</w:t>
      </w:r>
      <w:r w:rsidRPr="001E0FFC">
        <w:rPr>
          <w:rFonts w:ascii="Arial" w:eastAsia="Times New Roman" w:hAnsi="Arial" w:cs="Arial"/>
          <w:sz w:val="22"/>
        </w:rPr>
        <w:t>.</w:t>
      </w:r>
    </w:p>
    <w:p w14:paraId="38D6FE74" w14:textId="77777777" w:rsidR="003B2E57" w:rsidRDefault="003B2E57" w:rsidP="003B2E57">
      <w:pPr>
        <w:spacing w:after="120" w:line="276" w:lineRule="auto"/>
        <w:ind w:firstLine="709"/>
        <w:jc w:val="both"/>
        <w:rPr>
          <w:rFonts w:ascii="Arial" w:eastAsia="Calibri" w:hAnsi="Arial" w:cs="Arial"/>
          <w:sz w:val="22"/>
        </w:rPr>
      </w:pPr>
      <w:r>
        <w:rPr>
          <w:rFonts w:ascii="Arial" w:eastAsia="Times New Roman" w:hAnsi="Arial" w:cs="Arial"/>
          <w:sz w:val="22"/>
        </w:rPr>
        <w:lastRenderedPageBreak/>
        <w:t xml:space="preserve">En ese sentido, es necesario observar que la definición del método de ponderación aplicable a la oferta económica, que es la que se presenta en el sobre No. 2, ocurre en la audiencia de adjudicación que tiene dos actividades: i) respuesta a las observaciones del informe de evaluación y </w:t>
      </w:r>
      <w:proofErr w:type="spellStart"/>
      <w:r>
        <w:rPr>
          <w:rFonts w:ascii="Arial" w:eastAsia="Times New Roman" w:hAnsi="Arial" w:cs="Arial"/>
          <w:sz w:val="22"/>
        </w:rPr>
        <w:t>ii</w:t>
      </w:r>
      <w:proofErr w:type="spellEnd"/>
      <w:r>
        <w:rPr>
          <w:rFonts w:ascii="Arial" w:eastAsia="Times New Roman" w:hAnsi="Arial" w:cs="Arial"/>
          <w:sz w:val="22"/>
        </w:rPr>
        <w:t xml:space="preserve">) apertura de las ofertas económicas contenidas en los sobres No. 2. La entidad debe desarrollar esta última actividad en un mismo día como lo indicó el Documento Base citado; y de acuerdo con su consulta se presenta la situación en que la entidad se encuentra en la apertura de los sobres No. 2 y la </w:t>
      </w:r>
      <w:r>
        <w:rPr>
          <w:rFonts w:ascii="Arial" w:eastAsia="Calibri" w:hAnsi="Arial" w:cs="Arial"/>
          <w:sz w:val="22"/>
        </w:rPr>
        <w:t>Superintendencia Financiera de Colombia certifica la TRM del día siguiente, sin que la entidad haya finalizado la apertura de los sobres.</w:t>
      </w:r>
    </w:p>
    <w:p w14:paraId="2AEC75FE" w14:textId="77777777" w:rsidR="003B2E57" w:rsidRDefault="003B2E57" w:rsidP="003B2E57">
      <w:pPr>
        <w:spacing w:after="120" w:line="276" w:lineRule="auto"/>
        <w:ind w:firstLine="709"/>
        <w:jc w:val="both"/>
        <w:rPr>
          <w:rFonts w:ascii="Arial" w:eastAsia="Calibri" w:hAnsi="Arial" w:cs="Arial"/>
          <w:sz w:val="22"/>
        </w:rPr>
      </w:pPr>
      <w:bookmarkStart w:id="2" w:name="_Hlk37983941"/>
      <w:r>
        <w:rPr>
          <w:rFonts w:ascii="Arial" w:eastAsia="Calibri" w:hAnsi="Arial" w:cs="Arial"/>
          <w:sz w:val="22"/>
        </w:rPr>
        <w:t>En el caso señalado en la petición se debe tener en cuenta que la entidad debe dar apertura a los sobres No. 2 en un mismo día, sin importar que durante ese procedimiento se conozca la TRM del día siguiente, ya que de acuerdo con esta se definirá el método de ponderación que no varía a pesar de que la entidad continúe realizando la apertura de las ofertas económicas, ya que de acuerdo con el Documento Base, el método seguirá rigiendo aun cuando se suspenda la audiencia de adjudicación.</w:t>
      </w:r>
    </w:p>
    <w:bookmarkEnd w:id="2"/>
    <w:p w14:paraId="4C77608C" w14:textId="77777777" w:rsidR="003B2E57" w:rsidRDefault="003B2E57" w:rsidP="003B2E57">
      <w:pPr>
        <w:spacing w:line="276" w:lineRule="auto"/>
        <w:ind w:firstLine="709"/>
        <w:jc w:val="both"/>
        <w:rPr>
          <w:rFonts w:ascii="Arial" w:hAnsi="Arial" w:cs="Arial"/>
          <w:sz w:val="22"/>
        </w:rPr>
      </w:pPr>
      <w:r>
        <w:rPr>
          <w:rFonts w:ascii="Arial" w:eastAsia="Calibri" w:hAnsi="Arial" w:cs="Arial"/>
          <w:sz w:val="22"/>
        </w:rPr>
        <w:t>Finalmente, se advierte que la petición señala que la apertura de los sobres No. 2 que contienen la oferta económica comenzó antes de que la Superintendencia Financiera de Colombia publicara la TRM, lo cual no se afecta si durante ese procedimiento se conoce la TRM del día siguiente, ya que con esta se definirá el método de ponderación de las ofertas económicas y así continuará la apertura de las ofertas, sin que sea necesario considerar otra TRM, de acuerdo con lo señalado en el Documento Base de los Documentos Tipo.</w:t>
      </w:r>
    </w:p>
    <w:p w14:paraId="1ABFBB72" w14:textId="77777777" w:rsidR="003B2E57" w:rsidRDefault="003B2E57" w:rsidP="003B2E57">
      <w:pPr>
        <w:spacing w:line="276" w:lineRule="auto"/>
        <w:ind w:firstLine="708"/>
        <w:jc w:val="both"/>
        <w:rPr>
          <w:rFonts w:ascii="Arial" w:hAnsi="Arial" w:cs="Arial"/>
          <w:sz w:val="22"/>
        </w:rPr>
      </w:pPr>
    </w:p>
    <w:p w14:paraId="4886BD0F" w14:textId="77777777" w:rsidR="003B2E57" w:rsidRDefault="003B2E57" w:rsidP="003B2E57">
      <w:pPr>
        <w:spacing w:line="276" w:lineRule="auto"/>
        <w:jc w:val="both"/>
        <w:rPr>
          <w:rFonts w:ascii="Arial" w:eastAsia="Calibri" w:hAnsi="Arial" w:cs="Arial"/>
          <w:b/>
          <w:bCs/>
          <w:sz w:val="22"/>
        </w:rPr>
      </w:pPr>
      <w:r w:rsidRPr="00A621BF">
        <w:rPr>
          <w:rFonts w:ascii="Arial" w:eastAsia="Calibri" w:hAnsi="Arial" w:cs="Arial"/>
          <w:b/>
          <w:bCs/>
          <w:sz w:val="22"/>
        </w:rPr>
        <w:t>2.2. Puntaje de industria nacional para proponentes nacionales en los Documentos Tipo</w:t>
      </w:r>
    </w:p>
    <w:p w14:paraId="740FCE93" w14:textId="77777777" w:rsidR="003B2E57" w:rsidRDefault="003B2E57" w:rsidP="003B2E57">
      <w:pPr>
        <w:spacing w:line="276" w:lineRule="auto"/>
        <w:jc w:val="both"/>
        <w:rPr>
          <w:rFonts w:ascii="Arial" w:eastAsia="Calibri" w:hAnsi="Arial" w:cs="Arial"/>
          <w:b/>
          <w:bCs/>
          <w:sz w:val="22"/>
        </w:rPr>
      </w:pPr>
    </w:p>
    <w:p w14:paraId="1D74CD59" w14:textId="77777777" w:rsidR="003B2E57" w:rsidRPr="00F743B6" w:rsidRDefault="003B2E57" w:rsidP="003B2E57">
      <w:pPr>
        <w:spacing w:line="276" w:lineRule="auto"/>
        <w:jc w:val="both"/>
        <w:rPr>
          <w:rFonts w:ascii="Arial" w:hAnsi="Arial" w:cs="Arial"/>
          <w:sz w:val="22"/>
        </w:rPr>
      </w:pPr>
      <w:r w:rsidRPr="00F743B6">
        <w:rPr>
          <w:rFonts w:ascii="Arial" w:hAnsi="Arial" w:cs="Arial"/>
          <w:sz w:val="22"/>
        </w:rPr>
        <w:t>Esta subdirección, en el concepto con radicado No. 4201912000004216 del 18 de julio de 2019, reiterado y desarrollado en los conceptos identificados con radicado No. 4201912000005315 del 16 de septiembre de 2019, 4201912000005345 del 16 de septiembre de 2019, 4201912000006360 del 15 de octubre de 2019, 4201912000006733 del 21 de octubre de 2019, 4201913000006155 del 23 de octubre de 2019, 4201912000006312 del 7 de noviembre de 2019, 4201912000006923 del 12 de noviembre de 2019, 4201912000007208 del 12 de noviembre de 2019</w:t>
      </w:r>
      <w:r>
        <w:rPr>
          <w:rFonts w:ascii="Arial" w:hAnsi="Arial" w:cs="Arial"/>
          <w:sz w:val="22"/>
        </w:rPr>
        <w:t xml:space="preserve">, </w:t>
      </w:r>
      <w:r w:rsidRPr="00F743B6">
        <w:rPr>
          <w:rFonts w:ascii="Arial" w:hAnsi="Arial" w:cs="Arial"/>
          <w:sz w:val="22"/>
        </w:rPr>
        <w:t>4201912000007100 del 29 de noviembre de 2019</w:t>
      </w:r>
      <w:r>
        <w:rPr>
          <w:rFonts w:ascii="Arial" w:hAnsi="Arial" w:cs="Arial"/>
          <w:sz w:val="22"/>
        </w:rPr>
        <w:t>, C – 029 de 2020, C – 043 de 2020, C – 073 de 2020</w:t>
      </w:r>
      <w:r w:rsidRPr="00F743B6">
        <w:rPr>
          <w:rFonts w:ascii="Arial" w:hAnsi="Arial" w:cs="Arial"/>
          <w:sz w:val="22"/>
        </w:rPr>
        <w:t xml:space="preserve"> </w:t>
      </w:r>
      <w:r>
        <w:rPr>
          <w:rFonts w:ascii="Arial" w:hAnsi="Arial" w:cs="Arial"/>
          <w:sz w:val="22"/>
        </w:rPr>
        <w:t xml:space="preserve">y C – 133 de 2020 </w:t>
      </w:r>
      <w:r w:rsidRPr="00F743B6">
        <w:rPr>
          <w:rFonts w:ascii="Arial" w:hAnsi="Arial" w:cs="Arial"/>
          <w:sz w:val="22"/>
        </w:rPr>
        <w:t xml:space="preserve">estudió la forma de acreditar el puntaje relacionado con el apoyo a la industria nacional en los Pliegos Tipo, y expresó lo siguiente: </w:t>
      </w:r>
    </w:p>
    <w:p w14:paraId="24F69132" w14:textId="77777777" w:rsidR="003B2E57" w:rsidRPr="00F743B6" w:rsidRDefault="003B2E57" w:rsidP="003B2E57">
      <w:pPr>
        <w:spacing w:before="120" w:line="276" w:lineRule="auto"/>
        <w:ind w:firstLine="708"/>
        <w:jc w:val="both"/>
        <w:rPr>
          <w:rFonts w:ascii="Arial" w:hAnsi="Arial" w:cs="Arial"/>
          <w:sz w:val="22"/>
        </w:rPr>
      </w:pPr>
      <w:r w:rsidRPr="00F743B6">
        <w:rPr>
          <w:rFonts w:ascii="Arial" w:hAnsi="Arial" w:cs="Arial"/>
          <w:sz w:val="22"/>
        </w:rPr>
        <w:t xml:space="preserve">El artículo 1 de la Ley 816 de 2003 establece la obligatoriedad para las entidades de la </w:t>
      </w:r>
      <w:r>
        <w:rPr>
          <w:rFonts w:ascii="Arial" w:hAnsi="Arial" w:cs="Arial"/>
          <w:sz w:val="22"/>
        </w:rPr>
        <w:t>A</w:t>
      </w:r>
      <w:r w:rsidRPr="00F743B6">
        <w:rPr>
          <w:rFonts w:ascii="Arial" w:hAnsi="Arial" w:cs="Arial"/>
          <w:sz w:val="22"/>
        </w:rPr>
        <w:t xml:space="preserve">dministración pública de adoptar criterios objetivos que permitan apoyar a la industria nacional. Dispone el artículo: </w:t>
      </w:r>
    </w:p>
    <w:p w14:paraId="222CF80B" w14:textId="77777777" w:rsidR="003B2E57" w:rsidRPr="00F743B6" w:rsidRDefault="003B2E57" w:rsidP="003B2E57">
      <w:pPr>
        <w:spacing w:line="276" w:lineRule="auto"/>
        <w:jc w:val="both"/>
        <w:rPr>
          <w:rFonts w:ascii="Arial" w:hAnsi="Arial" w:cs="Arial"/>
          <w:sz w:val="22"/>
        </w:rPr>
      </w:pPr>
    </w:p>
    <w:p w14:paraId="32347F69" w14:textId="77777777" w:rsidR="003B2E57" w:rsidRPr="00F743B6" w:rsidRDefault="003B2E57" w:rsidP="003B2E57">
      <w:pPr>
        <w:ind w:left="708" w:right="709"/>
        <w:jc w:val="both"/>
        <w:rPr>
          <w:rFonts w:ascii="Arial" w:hAnsi="Arial" w:cs="Arial"/>
          <w:sz w:val="21"/>
          <w:szCs w:val="21"/>
        </w:rPr>
      </w:pPr>
      <w:r w:rsidRPr="00F743B6">
        <w:rPr>
          <w:rFonts w:ascii="Arial" w:hAnsi="Arial" w:cs="Arial"/>
          <w:sz w:val="21"/>
          <w:szCs w:val="21"/>
        </w:rPr>
        <w:t>Las entidades de la administración pública que, de acuerdo con el régimen jurídico de contratación que le sea aplicable, deban seleccionar a sus contratistas a través de licitaciones, convocatorias o concursos públicos, o mediante cualquier modalidad contractual, excepto aquellas en que la ley</w:t>
      </w:r>
      <w:r w:rsidRPr="00F743B6">
        <w:rPr>
          <w:rFonts w:ascii="Arial" w:hAnsi="Arial" w:cs="Arial"/>
          <w:iCs/>
          <w:sz w:val="21"/>
          <w:szCs w:val="21"/>
        </w:rPr>
        <w:t> </w:t>
      </w:r>
      <w:r w:rsidRPr="00F743B6">
        <w:rPr>
          <w:rFonts w:ascii="Arial" w:hAnsi="Arial" w:cs="Arial"/>
          <w:sz w:val="21"/>
          <w:szCs w:val="21"/>
        </w:rPr>
        <w:t xml:space="preserve">no obligue a solicitar más de una propuesta, adoptarán criterios objetivos que permitan apoyar a la industria nacional. </w:t>
      </w:r>
    </w:p>
    <w:p w14:paraId="2308A894" w14:textId="77777777" w:rsidR="003B2E57" w:rsidRPr="00F743B6" w:rsidRDefault="003B2E57" w:rsidP="003B2E57">
      <w:pPr>
        <w:jc w:val="both"/>
        <w:rPr>
          <w:rFonts w:ascii="Arial" w:hAnsi="Arial" w:cs="Arial"/>
          <w:sz w:val="22"/>
        </w:rPr>
      </w:pPr>
    </w:p>
    <w:p w14:paraId="1E37E98B" w14:textId="77777777" w:rsidR="003B2E57" w:rsidRPr="00F743B6" w:rsidRDefault="003B2E57" w:rsidP="003B2E57">
      <w:pPr>
        <w:spacing w:line="276" w:lineRule="auto"/>
        <w:ind w:firstLine="708"/>
        <w:jc w:val="both"/>
        <w:rPr>
          <w:rFonts w:ascii="Arial" w:hAnsi="Arial" w:cs="Arial"/>
          <w:sz w:val="22"/>
        </w:rPr>
      </w:pPr>
      <w:r w:rsidRPr="00F743B6">
        <w:rPr>
          <w:rFonts w:ascii="Arial" w:hAnsi="Arial" w:cs="Arial"/>
          <w:sz w:val="22"/>
        </w:rPr>
        <w:t xml:space="preserve">Además, el artículo 2 de la misma </w:t>
      </w:r>
      <w:r>
        <w:rPr>
          <w:rFonts w:ascii="Arial" w:hAnsi="Arial" w:cs="Arial"/>
          <w:sz w:val="22"/>
        </w:rPr>
        <w:t>l</w:t>
      </w:r>
      <w:r w:rsidRPr="00F743B6">
        <w:rPr>
          <w:rFonts w:ascii="Arial" w:hAnsi="Arial" w:cs="Arial"/>
          <w:sz w:val="22"/>
        </w:rPr>
        <w:t>ey, de forma expresa</w:t>
      </w:r>
      <w:r>
        <w:rPr>
          <w:rFonts w:ascii="Arial" w:hAnsi="Arial" w:cs="Arial"/>
          <w:sz w:val="22"/>
        </w:rPr>
        <w:t>,</w:t>
      </w:r>
      <w:r w:rsidRPr="00F743B6">
        <w:rPr>
          <w:rFonts w:ascii="Arial" w:hAnsi="Arial" w:cs="Arial"/>
          <w:sz w:val="22"/>
        </w:rPr>
        <w:t xml:space="preserve"> determina el puntaje que las entidades deben incluir dentro de los criterios de calificación de propuestas para promover la industria colombiana: </w:t>
      </w:r>
    </w:p>
    <w:p w14:paraId="620740AD" w14:textId="77777777" w:rsidR="003B2E57" w:rsidRPr="00F743B6" w:rsidRDefault="003B2E57" w:rsidP="003B2E57">
      <w:pPr>
        <w:jc w:val="both"/>
        <w:rPr>
          <w:rFonts w:ascii="Arial" w:hAnsi="Arial" w:cs="Arial"/>
          <w:sz w:val="22"/>
        </w:rPr>
      </w:pPr>
    </w:p>
    <w:p w14:paraId="4B491C1E" w14:textId="77777777" w:rsidR="003B2E57" w:rsidRPr="00F743B6" w:rsidRDefault="003B2E57" w:rsidP="003B2E57">
      <w:pPr>
        <w:ind w:left="708" w:right="709"/>
        <w:jc w:val="both"/>
        <w:rPr>
          <w:rFonts w:ascii="Arial" w:hAnsi="Arial" w:cs="Arial"/>
          <w:sz w:val="21"/>
          <w:szCs w:val="21"/>
          <w:lang w:val="es-CO"/>
        </w:rPr>
      </w:pPr>
      <w:r w:rsidRPr="00F743B6">
        <w:rPr>
          <w:rFonts w:ascii="Arial" w:hAnsi="Arial" w:cs="Arial"/>
          <w:sz w:val="21"/>
          <w:szCs w:val="21"/>
          <w:lang w:val="es-CO"/>
        </w:rPr>
        <w:t>Las entidades de que trata el artículo 1° asignarán, dentro de los criterios de calificación de las propuestas, un puntaje comprendido entre el diez (10) y el veinte por ciento (20%), para estimular la industria colombiana cuando los proponentes oferten bienes o servicios nacionales.</w:t>
      </w:r>
    </w:p>
    <w:p w14:paraId="4EC87A9F" w14:textId="77777777" w:rsidR="003B2E57" w:rsidRPr="00F743B6" w:rsidRDefault="003B2E57" w:rsidP="003B2E57">
      <w:pPr>
        <w:ind w:left="708" w:right="709"/>
        <w:jc w:val="both"/>
        <w:rPr>
          <w:rFonts w:ascii="Arial" w:hAnsi="Arial" w:cs="Arial"/>
          <w:sz w:val="21"/>
          <w:szCs w:val="21"/>
          <w:lang w:val="es-CO"/>
        </w:rPr>
      </w:pPr>
    </w:p>
    <w:p w14:paraId="7C1509CA" w14:textId="77777777" w:rsidR="003B2E57" w:rsidRPr="00F743B6" w:rsidRDefault="003B2E57" w:rsidP="003B2E57">
      <w:pPr>
        <w:ind w:left="708" w:right="709"/>
        <w:jc w:val="both"/>
        <w:rPr>
          <w:rFonts w:ascii="Arial" w:hAnsi="Arial" w:cs="Arial"/>
          <w:sz w:val="21"/>
          <w:szCs w:val="21"/>
          <w:lang w:val="es-CO"/>
        </w:rPr>
      </w:pPr>
      <w:r w:rsidRPr="00F743B6">
        <w:rPr>
          <w:rFonts w:ascii="Arial" w:hAnsi="Arial" w:cs="Arial"/>
          <w:sz w:val="21"/>
          <w:szCs w:val="21"/>
          <w:lang w:val="es-CO"/>
        </w:rPr>
        <w:t>Tratándose de bienes o servicios extranjeros, la entidad contratante establecerá un puntaje comprendido entre el cinco (5) y el quince por ciento (15%), para incentivar la incorporación de componente colombiano de bienes y servicios profesionales, técnicos y operativos.</w:t>
      </w:r>
    </w:p>
    <w:p w14:paraId="4E257707" w14:textId="77777777" w:rsidR="003B2E57" w:rsidRPr="00F743B6" w:rsidRDefault="003B2E57" w:rsidP="003B2E57">
      <w:pPr>
        <w:jc w:val="both"/>
        <w:rPr>
          <w:rFonts w:ascii="Arial" w:hAnsi="Arial" w:cs="Arial"/>
          <w:sz w:val="22"/>
          <w:lang w:val="es-CO"/>
        </w:rPr>
      </w:pPr>
    </w:p>
    <w:p w14:paraId="0E543012" w14:textId="77777777" w:rsidR="003B2E57" w:rsidRPr="00F743B6" w:rsidRDefault="003B2E57" w:rsidP="003B2E57">
      <w:pPr>
        <w:spacing w:after="120" w:line="276" w:lineRule="auto"/>
        <w:ind w:firstLine="709"/>
        <w:jc w:val="both"/>
        <w:rPr>
          <w:rFonts w:ascii="Arial" w:hAnsi="Arial" w:cs="Arial"/>
          <w:sz w:val="22"/>
          <w:lang w:val="es-CO"/>
        </w:rPr>
      </w:pPr>
      <w:r w:rsidRPr="00F743B6">
        <w:rPr>
          <w:rFonts w:ascii="Arial" w:hAnsi="Arial" w:cs="Arial"/>
          <w:sz w:val="22"/>
          <w:lang w:val="es-CO"/>
        </w:rPr>
        <w:t>De esta manera, la norma establece dos supuestos para la asignación de puntaje. Por un lado, se encuentran los proponentes que oferten bienes o servicios nacionales y los proponentes que tienen trato nacional producto de los acuerdos comerciales suscritos por Colombia con otros Estados</w:t>
      </w:r>
      <w:r w:rsidRPr="00F743B6">
        <w:rPr>
          <w:rStyle w:val="Refdenotaalpie"/>
          <w:rFonts w:ascii="Arial" w:hAnsi="Arial" w:cs="Arial"/>
          <w:sz w:val="22"/>
          <w:lang w:val="es-CO"/>
        </w:rPr>
        <w:footnoteReference w:id="2"/>
      </w:r>
      <w:r w:rsidRPr="00F743B6">
        <w:rPr>
          <w:rFonts w:ascii="Arial" w:hAnsi="Arial" w:cs="Arial"/>
          <w:sz w:val="22"/>
          <w:lang w:val="es-CO"/>
        </w:rPr>
        <w:t>. Por otro lado, están los proponentes extranjeros que no tengan</w:t>
      </w:r>
      <w:r>
        <w:rPr>
          <w:rFonts w:ascii="Arial" w:hAnsi="Arial" w:cs="Arial"/>
          <w:sz w:val="22"/>
          <w:lang w:val="es-CO"/>
        </w:rPr>
        <w:t xml:space="preserve"> derecho a</w:t>
      </w:r>
      <w:r w:rsidRPr="00F743B6">
        <w:rPr>
          <w:rFonts w:ascii="Arial" w:hAnsi="Arial" w:cs="Arial"/>
          <w:sz w:val="22"/>
          <w:lang w:val="es-CO"/>
        </w:rPr>
        <w:t xml:space="preserve"> trato nacional y oferten la incorporación de componente colombiano de bienes o servicios. </w:t>
      </w:r>
    </w:p>
    <w:p w14:paraId="4EC4E4ED" w14:textId="77777777" w:rsidR="003B2E57" w:rsidRPr="00F743B6" w:rsidRDefault="003B2E57" w:rsidP="003B2E57">
      <w:pPr>
        <w:spacing w:before="120" w:after="120" w:line="276" w:lineRule="auto"/>
        <w:ind w:firstLine="709"/>
        <w:jc w:val="both"/>
        <w:rPr>
          <w:rFonts w:ascii="Arial" w:hAnsi="Arial" w:cs="Arial"/>
          <w:sz w:val="22"/>
          <w:lang w:val="es-CO"/>
        </w:rPr>
      </w:pPr>
      <w:r w:rsidRPr="00F743B6">
        <w:rPr>
          <w:rFonts w:ascii="Arial" w:hAnsi="Arial" w:cs="Arial"/>
          <w:sz w:val="22"/>
          <w:lang w:val="es-CO"/>
        </w:rPr>
        <w:t xml:space="preserve">Asimismo, el Decreto 1082 de 2015, «Por medio del cual se expide el Decreto único reglamentario del sector administrativo de planeación nacional», definió los Servicios Nacionales como aquellos prestados por personas naturales colombianas o </w:t>
      </w:r>
      <w:r w:rsidRPr="00F743B6">
        <w:rPr>
          <w:rFonts w:ascii="Arial" w:hAnsi="Arial" w:cs="Arial"/>
          <w:sz w:val="22"/>
          <w:lang w:val="es-CO"/>
        </w:rPr>
        <w:lastRenderedPageBreak/>
        <w:t>residentes en Colombia o por personas jurídicas constituidas en Colombia conforme a lo previsto en las disposiciones de la legislación colombiana</w:t>
      </w:r>
      <w:r w:rsidRPr="00F743B6">
        <w:rPr>
          <w:rStyle w:val="Refdenotaalpie"/>
          <w:rFonts w:ascii="Arial" w:hAnsi="Arial" w:cs="Arial"/>
          <w:sz w:val="22"/>
          <w:lang w:val="es-CO"/>
        </w:rPr>
        <w:footnoteReference w:id="3"/>
      </w:r>
      <w:r w:rsidRPr="00F743B6">
        <w:rPr>
          <w:rFonts w:ascii="Arial" w:hAnsi="Arial" w:cs="Arial"/>
          <w:sz w:val="22"/>
          <w:lang w:val="es-CO"/>
        </w:rPr>
        <w:t>.</w:t>
      </w:r>
    </w:p>
    <w:p w14:paraId="728F2F63" w14:textId="77777777" w:rsidR="003B2E57" w:rsidRPr="00F743B6" w:rsidRDefault="003B2E57" w:rsidP="003B2E57">
      <w:pPr>
        <w:spacing w:line="276" w:lineRule="auto"/>
        <w:ind w:firstLine="567"/>
        <w:jc w:val="both"/>
        <w:rPr>
          <w:rFonts w:ascii="Arial" w:hAnsi="Arial" w:cs="Arial"/>
          <w:sz w:val="22"/>
          <w:lang w:val="es-CO"/>
        </w:rPr>
      </w:pPr>
      <w:r w:rsidRPr="00F743B6">
        <w:rPr>
          <w:rFonts w:ascii="Arial" w:hAnsi="Arial" w:cs="Arial"/>
          <w:sz w:val="22"/>
          <w:lang w:val="es-CO"/>
        </w:rPr>
        <w:t>Explicadas las disposiciones que regulan el apoyo a la industria nacional, los Documentos Tipo para los pliegos de condiciones de los procesos de selección de licitación de obra pública de infraestructura de transporte</w:t>
      </w:r>
      <w:r>
        <w:rPr>
          <w:rFonts w:ascii="Arial" w:hAnsi="Arial" w:cs="Arial"/>
          <w:sz w:val="22"/>
          <w:lang w:val="es-CO"/>
        </w:rPr>
        <w:t>,</w:t>
      </w:r>
      <w:r w:rsidRPr="00F743B6">
        <w:rPr>
          <w:rFonts w:ascii="Arial" w:hAnsi="Arial" w:cs="Arial"/>
          <w:sz w:val="22"/>
          <w:lang w:val="es-CO"/>
        </w:rPr>
        <w:t xml:space="preserve"> adoptados mediante el Decreto 342 de 2019</w:t>
      </w:r>
      <w:r>
        <w:rPr>
          <w:rFonts w:ascii="Arial" w:hAnsi="Arial" w:cs="Arial"/>
          <w:sz w:val="22"/>
          <w:lang w:val="es-CO"/>
        </w:rPr>
        <w:t>,</w:t>
      </w:r>
      <w:r w:rsidRPr="00F743B6">
        <w:rPr>
          <w:rFonts w:ascii="Arial" w:hAnsi="Arial" w:cs="Arial"/>
          <w:sz w:val="22"/>
          <w:lang w:val="es-CO"/>
        </w:rPr>
        <w:t xml:space="preserve"> e implementados y desarrollados a través de la Resolución 1798 de 2019</w:t>
      </w:r>
      <w:r>
        <w:rPr>
          <w:rFonts w:ascii="Arial" w:hAnsi="Arial" w:cs="Arial"/>
          <w:sz w:val="22"/>
          <w:lang w:val="es-CO"/>
        </w:rPr>
        <w:t>,</w:t>
      </w:r>
      <w:r w:rsidRPr="00F743B6">
        <w:rPr>
          <w:rFonts w:ascii="Arial" w:hAnsi="Arial" w:cs="Arial"/>
          <w:sz w:val="22"/>
          <w:lang w:val="es-CO"/>
        </w:rPr>
        <w:t xml:space="preserve"> expedida por la Agencia Nacional de Contratación Pública – Colombia Compra Eficiente, regularon en el numeral 4.3 en el Documento Base o Pliego Tipo el puntaje por apoyo a la industria nacional, así: </w:t>
      </w:r>
    </w:p>
    <w:p w14:paraId="7A19DA41" w14:textId="77777777" w:rsidR="003B2E57" w:rsidRPr="00F743B6" w:rsidRDefault="003B2E57" w:rsidP="003B2E57">
      <w:pPr>
        <w:spacing w:line="276" w:lineRule="auto"/>
        <w:jc w:val="both"/>
        <w:rPr>
          <w:rFonts w:ascii="Arial" w:hAnsi="Arial" w:cs="Arial"/>
          <w:sz w:val="22"/>
          <w:lang w:val="es-CO"/>
        </w:rPr>
      </w:pPr>
    </w:p>
    <w:p w14:paraId="4CD6E207" w14:textId="77777777" w:rsidR="003B2E57" w:rsidRPr="00F743B6" w:rsidRDefault="003B2E57" w:rsidP="003B2E57">
      <w:pPr>
        <w:pStyle w:val="Prrafodelista"/>
        <w:numPr>
          <w:ilvl w:val="0"/>
          <w:numId w:val="8"/>
        </w:numPr>
        <w:ind w:right="709"/>
        <w:jc w:val="both"/>
        <w:rPr>
          <w:rFonts w:ascii="Arial" w:hAnsi="Arial" w:cs="Arial"/>
          <w:b/>
          <w:bCs/>
          <w:sz w:val="21"/>
          <w:szCs w:val="21"/>
          <w:lang w:val="es-CO"/>
        </w:rPr>
      </w:pPr>
      <w:r w:rsidRPr="00F743B6">
        <w:rPr>
          <w:rFonts w:ascii="Arial" w:hAnsi="Arial" w:cs="Arial"/>
          <w:b/>
          <w:bCs/>
          <w:sz w:val="21"/>
          <w:szCs w:val="21"/>
          <w:lang w:val="es-CO"/>
        </w:rPr>
        <w:t xml:space="preserve">Puntaje por apoyo a la industria nacional </w:t>
      </w:r>
    </w:p>
    <w:p w14:paraId="6AAA0E77" w14:textId="77777777" w:rsidR="003B2E57" w:rsidRPr="00F743B6" w:rsidRDefault="003B2E57" w:rsidP="003B2E57">
      <w:pPr>
        <w:spacing w:line="276" w:lineRule="auto"/>
        <w:jc w:val="both"/>
        <w:rPr>
          <w:rFonts w:ascii="Arial" w:hAnsi="Arial" w:cs="Arial"/>
          <w:b/>
          <w:bCs/>
          <w:sz w:val="22"/>
        </w:rPr>
      </w:pPr>
    </w:p>
    <w:p w14:paraId="18F9E8F6" w14:textId="77777777" w:rsidR="003B2E57" w:rsidRPr="00F743B6" w:rsidRDefault="003B2E57" w:rsidP="003B2E57">
      <w:pPr>
        <w:ind w:left="708" w:right="709"/>
        <w:jc w:val="both"/>
        <w:rPr>
          <w:rFonts w:ascii="Arial" w:hAnsi="Arial" w:cs="Arial"/>
          <w:sz w:val="21"/>
          <w:szCs w:val="21"/>
          <w:lang w:val="es-CO"/>
        </w:rPr>
      </w:pPr>
      <w:r w:rsidRPr="00F743B6">
        <w:rPr>
          <w:rFonts w:ascii="Arial" w:hAnsi="Arial" w:cs="Arial"/>
          <w:sz w:val="21"/>
          <w:szCs w:val="21"/>
          <w:lang w:val="es-CO"/>
        </w:rPr>
        <w:t xml:space="preserve">El numeral 4.3 del “Documento Base o Pliego Tipo” reguló el puntaje por apoyo a la industria nacional en los siguientes términos: </w:t>
      </w:r>
    </w:p>
    <w:p w14:paraId="466AF744" w14:textId="77777777" w:rsidR="003B2E57" w:rsidRPr="00F743B6" w:rsidRDefault="003B2E57" w:rsidP="003B2E57">
      <w:pPr>
        <w:jc w:val="both"/>
        <w:rPr>
          <w:rFonts w:ascii="Arial" w:hAnsi="Arial" w:cs="Arial"/>
          <w:sz w:val="20"/>
          <w:szCs w:val="20"/>
          <w:lang w:val="es-CO"/>
        </w:rPr>
      </w:pPr>
    </w:p>
    <w:p w14:paraId="109CB3A3" w14:textId="77777777" w:rsidR="003B2E57" w:rsidRPr="00F743B6" w:rsidRDefault="003B2E57" w:rsidP="003B2E57">
      <w:pPr>
        <w:ind w:left="708" w:right="709"/>
        <w:jc w:val="both"/>
        <w:rPr>
          <w:rFonts w:ascii="Arial" w:hAnsi="Arial" w:cs="Arial"/>
          <w:b/>
          <w:bCs/>
          <w:sz w:val="21"/>
          <w:szCs w:val="21"/>
          <w:lang w:val="es-CO"/>
        </w:rPr>
      </w:pPr>
      <w:bookmarkStart w:id="3" w:name="_Toc508648278"/>
      <w:bookmarkStart w:id="4" w:name="_Toc508984062"/>
      <w:bookmarkStart w:id="5" w:name="_Toc509843893"/>
      <w:bookmarkStart w:id="6" w:name="_Toc511924801"/>
      <w:bookmarkStart w:id="7" w:name="_Toc520226890"/>
      <w:bookmarkStart w:id="8" w:name="_Toc520297860"/>
      <w:bookmarkStart w:id="9" w:name="_Toc520317125"/>
      <w:bookmarkStart w:id="10" w:name="_Toc533083728"/>
      <w:bookmarkStart w:id="11" w:name="_Toc5006160"/>
      <w:r w:rsidRPr="00F743B6">
        <w:rPr>
          <w:rFonts w:ascii="Arial" w:hAnsi="Arial" w:cs="Arial"/>
          <w:b/>
          <w:bCs/>
          <w:sz w:val="21"/>
          <w:szCs w:val="21"/>
          <w:lang w:val="es-CO"/>
        </w:rPr>
        <w:t>4.3 APOYO A LA INDUSTRIA NACIONAL</w:t>
      </w:r>
      <w:bookmarkEnd w:id="3"/>
      <w:bookmarkEnd w:id="4"/>
      <w:bookmarkEnd w:id="5"/>
      <w:bookmarkEnd w:id="6"/>
      <w:bookmarkEnd w:id="7"/>
      <w:bookmarkEnd w:id="8"/>
      <w:bookmarkEnd w:id="9"/>
      <w:bookmarkEnd w:id="10"/>
      <w:bookmarkEnd w:id="11"/>
    </w:p>
    <w:p w14:paraId="66A43613" w14:textId="77777777" w:rsidR="003B2E57" w:rsidRPr="00F743B6" w:rsidRDefault="003B2E57" w:rsidP="003B2E57">
      <w:pPr>
        <w:ind w:left="708" w:right="709"/>
        <w:jc w:val="both"/>
        <w:rPr>
          <w:rFonts w:ascii="Arial" w:hAnsi="Arial" w:cs="Arial"/>
          <w:sz w:val="21"/>
          <w:szCs w:val="21"/>
          <w:lang w:val="es-CO"/>
        </w:rPr>
      </w:pPr>
    </w:p>
    <w:p w14:paraId="44BB6A24" w14:textId="77777777" w:rsidR="003B2E57" w:rsidRPr="00F743B6" w:rsidRDefault="003B2E57" w:rsidP="003B2E57">
      <w:pPr>
        <w:ind w:left="708" w:right="709"/>
        <w:jc w:val="both"/>
        <w:rPr>
          <w:rFonts w:ascii="Arial" w:hAnsi="Arial" w:cs="Arial"/>
          <w:sz w:val="21"/>
          <w:szCs w:val="21"/>
          <w:lang w:val="es-CO"/>
        </w:rPr>
      </w:pPr>
      <w:bookmarkStart w:id="12" w:name="_Hlk516042322"/>
      <w:r w:rsidRPr="00F743B6">
        <w:rPr>
          <w:rFonts w:ascii="Arial" w:hAnsi="Arial" w:cs="Arial"/>
          <w:sz w:val="21"/>
          <w:szCs w:val="21"/>
          <w:lang w:val="es-CO"/>
        </w:rPr>
        <w:t xml:space="preserve">Los Proponentes pueden obtener puntaje de apoyo a la </w:t>
      </w:r>
      <w:bookmarkStart w:id="13" w:name="_Hlk511667344"/>
      <w:r w:rsidRPr="00F743B6">
        <w:rPr>
          <w:rFonts w:ascii="Arial" w:hAnsi="Arial" w:cs="Arial"/>
          <w:sz w:val="21"/>
          <w:szCs w:val="21"/>
          <w:lang w:val="es-CO"/>
        </w:rPr>
        <w:t>industria nacional por: (i) Servicios Nacionales o con trato nacional o por (</w:t>
      </w:r>
      <w:proofErr w:type="spellStart"/>
      <w:r w:rsidRPr="00F743B6">
        <w:rPr>
          <w:rFonts w:ascii="Arial" w:hAnsi="Arial" w:cs="Arial"/>
          <w:sz w:val="21"/>
          <w:szCs w:val="21"/>
          <w:lang w:val="es-CO"/>
        </w:rPr>
        <w:t>ii</w:t>
      </w:r>
      <w:proofErr w:type="spellEnd"/>
      <w:r w:rsidRPr="00F743B6">
        <w:rPr>
          <w:rFonts w:ascii="Arial" w:hAnsi="Arial" w:cs="Arial"/>
          <w:sz w:val="21"/>
          <w:szCs w:val="21"/>
          <w:lang w:val="es-CO"/>
        </w:rPr>
        <w:t>) la incorporación de servicios colombianos. La Entidad en ningún caso otorgará simultáneamente el puntaje por (i) Servicio Nacional o con Trato Nacional y por (</w:t>
      </w:r>
      <w:proofErr w:type="spellStart"/>
      <w:r w:rsidRPr="00F743B6">
        <w:rPr>
          <w:rFonts w:ascii="Arial" w:hAnsi="Arial" w:cs="Arial"/>
          <w:sz w:val="21"/>
          <w:szCs w:val="21"/>
          <w:lang w:val="es-CO"/>
        </w:rPr>
        <w:t>ii</w:t>
      </w:r>
      <w:proofErr w:type="spellEnd"/>
      <w:r w:rsidRPr="00F743B6">
        <w:rPr>
          <w:rFonts w:ascii="Arial" w:hAnsi="Arial" w:cs="Arial"/>
          <w:sz w:val="21"/>
          <w:szCs w:val="21"/>
          <w:lang w:val="es-CO"/>
        </w:rPr>
        <w:t>) incorporación de servicios colombianos.</w:t>
      </w:r>
    </w:p>
    <w:p w14:paraId="64E3CEDA" w14:textId="77777777" w:rsidR="003B2E57" w:rsidRPr="00F743B6" w:rsidRDefault="003B2E57" w:rsidP="003B2E57">
      <w:pPr>
        <w:ind w:left="708" w:right="709"/>
        <w:jc w:val="both"/>
        <w:rPr>
          <w:rFonts w:ascii="Arial" w:hAnsi="Arial" w:cs="Arial"/>
          <w:sz w:val="21"/>
          <w:szCs w:val="21"/>
          <w:lang w:val="es-CO"/>
        </w:rPr>
      </w:pPr>
    </w:p>
    <w:bookmarkEnd w:id="13"/>
    <w:p w14:paraId="128370FE" w14:textId="77777777" w:rsidR="003B2E57" w:rsidRPr="00F743B6" w:rsidRDefault="003B2E57" w:rsidP="003B2E57">
      <w:pPr>
        <w:ind w:left="708" w:right="709"/>
        <w:jc w:val="both"/>
        <w:rPr>
          <w:rFonts w:ascii="Arial" w:hAnsi="Arial" w:cs="Arial"/>
          <w:sz w:val="21"/>
          <w:szCs w:val="21"/>
          <w:lang w:val="es-CO"/>
        </w:rPr>
      </w:pPr>
      <w:r w:rsidRPr="00F743B6">
        <w:rPr>
          <w:rFonts w:ascii="Arial" w:hAnsi="Arial" w:cs="Arial"/>
          <w:sz w:val="21"/>
          <w:szCs w:val="21"/>
          <w:lang w:val="es-CO"/>
        </w:rPr>
        <w:t xml:space="preserve">El objeto contractual es el servicio de obra, por lo cual la Entidad no asignará puntaje por Bienes Nacionales. </w:t>
      </w:r>
    </w:p>
    <w:p w14:paraId="5792740C" w14:textId="77777777" w:rsidR="003B2E57" w:rsidRPr="00F743B6" w:rsidRDefault="003B2E57" w:rsidP="003B2E57">
      <w:pPr>
        <w:ind w:left="708" w:right="709"/>
        <w:jc w:val="both"/>
        <w:rPr>
          <w:rFonts w:ascii="Arial" w:hAnsi="Arial" w:cs="Arial"/>
          <w:sz w:val="21"/>
          <w:szCs w:val="21"/>
          <w:lang w:val="es-CO"/>
        </w:rPr>
      </w:pPr>
    </w:p>
    <w:p w14:paraId="287ADDE8" w14:textId="77777777" w:rsidR="003B2E57" w:rsidRDefault="003B2E57" w:rsidP="003B2E57">
      <w:pPr>
        <w:ind w:left="708" w:right="709"/>
        <w:jc w:val="both"/>
        <w:rPr>
          <w:rFonts w:ascii="Arial" w:hAnsi="Arial" w:cs="Arial"/>
          <w:sz w:val="21"/>
          <w:szCs w:val="21"/>
          <w:lang w:val="es-CO"/>
        </w:rPr>
      </w:pPr>
      <w:r w:rsidRPr="00F743B6">
        <w:rPr>
          <w:rFonts w:ascii="Arial" w:hAnsi="Arial" w:cs="Arial"/>
          <w:sz w:val="21"/>
          <w:szCs w:val="21"/>
          <w:lang w:val="es-CO"/>
        </w:rPr>
        <w:t xml:space="preserve">Los puntajes para estimular a la industria nacional se relacionan en la siguiente tabla: </w:t>
      </w:r>
    </w:p>
    <w:p w14:paraId="0C9FD631" w14:textId="77777777" w:rsidR="003B2E57" w:rsidRPr="00F743B6" w:rsidRDefault="003B2E57" w:rsidP="003B2E57">
      <w:pPr>
        <w:ind w:left="708" w:right="709"/>
        <w:jc w:val="both"/>
        <w:rPr>
          <w:rFonts w:ascii="Arial" w:hAnsi="Arial" w:cs="Arial"/>
          <w:sz w:val="21"/>
          <w:szCs w:val="21"/>
          <w:lang w:val="es-CO"/>
        </w:rPr>
      </w:pPr>
    </w:p>
    <w:p w14:paraId="6AE8BF29" w14:textId="77777777" w:rsidR="003B2E57" w:rsidRPr="00F743B6" w:rsidRDefault="003B2E57" w:rsidP="003B2E57">
      <w:pPr>
        <w:ind w:left="708" w:right="851"/>
        <w:jc w:val="both"/>
        <w:rPr>
          <w:rFonts w:ascii="Arial" w:hAnsi="Arial" w:cs="Arial"/>
          <w:sz w:val="20"/>
          <w:szCs w:val="20"/>
          <w:lang w:val="es-CO"/>
        </w:rPr>
      </w:pPr>
    </w:p>
    <w:tbl>
      <w:tblPr>
        <w:tblW w:w="475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3140"/>
        <w:gridCol w:w="1610"/>
      </w:tblGrid>
      <w:tr w:rsidR="003B2E57" w:rsidRPr="00F743B6" w14:paraId="4642368F" w14:textId="77777777" w:rsidTr="00AD70BB">
        <w:trPr>
          <w:trHeight w:val="340"/>
          <w:tblHeader/>
          <w:jc w:val="center"/>
        </w:trPr>
        <w:tc>
          <w:tcPr>
            <w:tcW w:w="3140" w:type="dxa"/>
            <w:tcBorders>
              <w:top w:val="double" w:sz="4" w:space="0" w:color="auto"/>
              <w:left w:val="double" w:sz="4" w:space="0" w:color="auto"/>
              <w:bottom w:val="single" w:sz="6" w:space="0" w:color="auto"/>
              <w:right w:val="single" w:sz="6" w:space="0" w:color="auto"/>
            </w:tcBorders>
            <w:shd w:val="clear" w:color="auto" w:fill="3C3C3C" w:themeFill="background2" w:themeFillShade="40"/>
            <w:vAlign w:val="center"/>
            <w:hideMark/>
          </w:tcPr>
          <w:p w14:paraId="7DFA6BEC" w14:textId="77777777" w:rsidR="003B2E57" w:rsidRPr="009307A1" w:rsidRDefault="003B2E57" w:rsidP="00AD70BB">
            <w:pPr>
              <w:ind w:right="851"/>
              <w:jc w:val="center"/>
              <w:rPr>
                <w:rFonts w:ascii="Arial" w:hAnsi="Arial" w:cs="Arial"/>
                <w:b/>
                <w:color w:val="FFFFFF" w:themeColor="accent2"/>
                <w:sz w:val="16"/>
                <w:szCs w:val="16"/>
                <w:lang w:val="es-ES"/>
              </w:rPr>
            </w:pPr>
            <w:r w:rsidRPr="009307A1">
              <w:rPr>
                <w:rFonts w:ascii="Arial" w:hAnsi="Arial" w:cs="Arial"/>
                <w:b/>
                <w:bCs/>
                <w:color w:val="FFFFFF" w:themeColor="accent2"/>
                <w:sz w:val="16"/>
                <w:szCs w:val="16"/>
                <w:lang w:val="es-ES"/>
              </w:rPr>
              <w:t>Concepto</w:t>
            </w:r>
          </w:p>
        </w:tc>
        <w:tc>
          <w:tcPr>
            <w:tcW w:w="1610" w:type="dxa"/>
            <w:tcBorders>
              <w:top w:val="double" w:sz="4" w:space="0" w:color="auto"/>
              <w:left w:val="single" w:sz="6" w:space="0" w:color="auto"/>
              <w:bottom w:val="single" w:sz="6" w:space="0" w:color="auto"/>
              <w:right w:val="double" w:sz="4" w:space="0" w:color="auto"/>
            </w:tcBorders>
            <w:shd w:val="clear" w:color="auto" w:fill="3C3C3C" w:themeFill="background2" w:themeFillShade="40"/>
            <w:vAlign w:val="center"/>
            <w:hideMark/>
          </w:tcPr>
          <w:p w14:paraId="0B0B2975" w14:textId="77777777" w:rsidR="003B2E57" w:rsidRPr="009307A1" w:rsidRDefault="003B2E57" w:rsidP="00AD70BB">
            <w:pPr>
              <w:ind w:right="851"/>
              <w:jc w:val="center"/>
              <w:rPr>
                <w:rFonts w:ascii="Arial" w:hAnsi="Arial" w:cs="Arial"/>
                <w:b/>
                <w:color w:val="FFFFFF" w:themeColor="accent2"/>
                <w:sz w:val="16"/>
                <w:szCs w:val="16"/>
                <w:lang w:val="es-ES"/>
              </w:rPr>
            </w:pPr>
            <w:r w:rsidRPr="009307A1">
              <w:rPr>
                <w:rFonts w:ascii="Arial" w:hAnsi="Arial" w:cs="Arial"/>
                <w:b/>
                <w:bCs/>
                <w:color w:val="FFFFFF" w:themeColor="accent2"/>
                <w:sz w:val="16"/>
                <w:szCs w:val="16"/>
                <w:lang w:val="es-ES"/>
              </w:rPr>
              <w:t>Puntaje</w:t>
            </w:r>
          </w:p>
        </w:tc>
      </w:tr>
      <w:tr w:rsidR="003B2E57" w:rsidRPr="00F743B6" w14:paraId="07F732FA" w14:textId="77777777" w:rsidTr="00AD70BB">
        <w:trPr>
          <w:trHeight w:val="20"/>
          <w:jc w:val="center"/>
        </w:trPr>
        <w:tc>
          <w:tcPr>
            <w:tcW w:w="3140" w:type="dxa"/>
            <w:tcBorders>
              <w:top w:val="single" w:sz="6" w:space="0" w:color="auto"/>
              <w:left w:val="double" w:sz="4" w:space="0" w:color="auto"/>
              <w:bottom w:val="single" w:sz="6" w:space="0" w:color="auto"/>
              <w:right w:val="single" w:sz="6" w:space="0" w:color="auto"/>
            </w:tcBorders>
            <w:vAlign w:val="center"/>
            <w:hideMark/>
          </w:tcPr>
          <w:p w14:paraId="7533E99B" w14:textId="77777777" w:rsidR="003B2E57" w:rsidRPr="00F743B6" w:rsidRDefault="003B2E57" w:rsidP="00AD70BB">
            <w:pPr>
              <w:ind w:right="851"/>
              <w:jc w:val="both"/>
              <w:rPr>
                <w:rFonts w:ascii="Arial" w:hAnsi="Arial" w:cs="Arial"/>
                <w:sz w:val="16"/>
                <w:szCs w:val="16"/>
                <w:lang w:val="es-ES"/>
              </w:rPr>
            </w:pPr>
            <w:r w:rsidRPr="00F743B6">
              <w:rPr>
                <w:rFonts w:ascii="Arial" w:hAnsi="Arial" w:cs="Arial"/>
                <w:sz w:val="16"/>
                <w:szCs w:val="16"/>
                <w:lang w:val="es-ES"/>
              </w:rPr>
              <w:t>Promoción de Servicios Nacionales o con Trato Nacional</w:t>
            </w:r>
          </w:p>
        </w:tc>
        <w:tc>
          <w:tcPr>
            <w:tcW w:w="1610" w:type="dxa"/>
            <w:tcBorders>
              <w:top w:val="single" w:sz="6" w:space="0" w:color="auto"/>
              <w:left w:val="single" w:sz="6" w:space="0" w:color="auto"/>
              <w:bottom w:val="single" w:sz="6" w:space="0" w:color="auto"/>
              <w:right w:val="double" w:sz="4" w:space="0" w:color="auto"/>
            </w:tcBorders>
            <w:vAlign w:val="center"/>
            <w:hideMark/>
          </w:tcPr>
          <w:p w14:paraId="6395E175" w14:textId="77777777" w:rsidR="003B2E57" w:rsidRPr="00F743B6" w:rsidRDefault="003B2E57" w:rsidP="00AD70BB">
            <w:pPr>
              <w:ind w:right="851"/>
              <w:jc w:val="both"/>
              <w:rPr>
                <w:rFonts w:ascii="Arial" w:hAnsi="Arial" w:cs="Arial"/>
                <w:sz w:val="16"/>
                <w:szCs w:val="16"/>
                <w:lang w:val="es-ES"/>
              </w:rPr>
            </w:pPr>
            <w:r w:rsidRPr="00F743B6">
              <w:rPr>
                <w:rFonts w:ascii="Arial" w:hAnsi="Arial" w:cs="Arial"/>
                <w:sz w:val="16"/>
                <w:szCs w:val="16"/>
                <w:lang w:val="es-ES"/>
              </w:rPr>
              <w:t>10</w:t>
            </w:r>
          </w:p>
        </w:tc>
      </w:tr>
      <w:tr w:rsidR="003B2E57" w:rsidRPr="00F743B6" w14:paraId="641FAD71" w14:textId="77777777" w:rsidTr="00AD70BB">
        <w:trPr>
          <w:trHeight w:val="20"/>
          <w:jc w:val="center"/>
        </w:trPr>
        <w:tc>
          <w:tcPr>
            <w:tcW w:w="3140" w:type="dxa"/>
            <w:tcBorders>
              <w:top w:val="single" w:sz="6" w:space="0" w:color="auto"/>
              <w:left w:val="double" w:sz="4" w:space="0" w:color="auto"/>
              <w:bottom w:val="double" w:sz="4" w:space="0" w:color="auto"/>
              <w:right w:val="single" w:sz="6" w:space="0" w:color="auto"/>
            </w:tcBorders>
            <w:vAlign w:val="center"/>
            <w:hideMark/>
          </w:tcPr>
          <w:p w14:paraId="316B62C2" w14:textId="77777777" w:rsidR="003B2E57" w:rsidRPr="00F743B6" w:rsidRDefault="003B2E57" w:rsidP="00AD70BB">
            <w:pPr>
              <w:ind w:right="851"/>
              <w:jc w:val="both"/>
              <w:rPr>
                <w:rFonts w:ascii="Arial" w:hAnsi="Arial" w:cs="Arial"/>
                <w:sz w:val="16"/>
                <w:szCs w:val="16"/>
                <w:lang w:val="es-ES"/>
              </w:rPr>
            </w:pPr>
            <w:r w:rsidRPr="00F743B6">
              <w:rPr>
                <w:rFonts w:ascii="Arial" w:hAnsi="Arial" w:cs="Arial"/>
                <w:sz w:val="16"/>
                <w:szCs w:val="16"/>
                <w:lang w:val="es-ES"/>
              </w:rPr>
              <w:t>Incorporación de componente nacional en servicios extranjeros</w:t>
            </w:r>
          </w:p>
        </w:tc>
        <w:tc>
          <w:tcPr>
            <w:tcW w:w="1610" w:type="dxa"/>
            <w:tcBorders>
              <w:top w:val="single" w:sz="6" w:space="0" w:color="auto"/>
              <w:left w:val="single" w:sz="6" w:space="0" w:color="auto"/>
              <w:bottom w:val="double" w:sz="4" w:space="0" w:color="auto"/>
              <w:right w:val="double" w:sz="4" w:space="0" w:color="auto"/>
            </w:tcBorders>
            <w:vAlign w:val="center"/>
            <w:hideMark/>
          </w:tcPr>
          <w:p w14:paraId="7FB88051" w14:textId="77777777" w:rsidR="003B2E57" w:rsidRPr="00F743B6" w:rsidRDefault="003B2E57" w:rsidP="00AD70BB">
            <w:pPr>
              <w:ind w:right="851"/>
              <w:jc w:val="both"/>
              <w:rPr>
                <w:rFonts w:ascii="Arial" w:hAnsi="Arial" w:cs="Arial"/>
                <w:sz w:val="16"/>
                <w:szCs w:val="16"/>
                <w:lang w:val="es-ES"/>
              </w:rPr>
            </w:pPr>
            <w:r w:rsidRPr="00F743B6">
              <w:rPr>
                <w:rFonts w:ascii="Arial" w:hAnsi="Arial" w:cs="Arial"/>
                <w:sz w:val="16"/>
                <w:szCs w:val="16"/>
                <w:lang w:val="es-ES"/>
              </w:rPr>
              <w:t>5</w:t>
            </w:r>
          </w:p>
        </w:tc>
      </w:tr>
    </w:tbl>
    <w:p w14:paraId="2E4DB85F" w14:textId="77777777" w:rsidR="003B2E57" w:rsidRPr="00F743B6" w:rsidRDefault="003B2E57" w:rsidP="003B2E57">
      <w:pPr>
        <w:ind w:left="1768" w:right="851"/>
        <w:jc w:val="both"/>
        <w:rPr>
          <w:rFonts w:ascii="Arial" w:hAnsi="Arial" w:cs="Arial"/>
          <w:b/>
          <w:bCs/>
          <w:sz w:val="20"/>
          <w:szCs w:val="20"/>
          <w:lang w:val="es-CO"/>
        </w:rPr>
      </w:pPr>
      <w:bookmarkStart w:id="14" w:name="_Ref508650523"/>
      <w:bookmarkEnd w:id="12"/>
    </w:p>
    <w:p w14:paraId="76A6D2B3" w14:textId="77777777" w:rsidR="003B2E57" w:rsidRPr="00F743B6" w:rsidRDefault="003B2E57" w:rsidP="003B2E57">
      <w:pPr>
        <w:ind w:left="1768" w:right="851"/>
        <w:jc w:val="both"/>
        <w:rPr>
          <w:rFonts w:ascii="Arial" w:hAnsi="Arial" w:cs="Arial"/>
          <w:b/>
          <w:bCs/>
          <w:sz w:val="20"/>
          <w:szCs w:val="20"/>
          <w:lang w:val="es-CO"/>
        </w:rPr>
      </w:pPr>
    </w:p>
    <w:p w14:paraId="78EE1416" w14:textId="77777777" w:rsidR="003B2E57" w:rsidRPr="00F743B6" w:rsidRDefault="003B2E57" w:rsidP="003B2E57">
      <w:pPr>
        <w:numPr>
          <w:ilvl w:val="2"/>
          <w:numId w:val="7"/>
        </w:numPr>
        <w:ind w:left="1429" w:right="709"/>
        <w:jc w:val="both"/>
        <w:rPr>
          <w:rFonts w:ascii="Arial" w:hAnsi="Arial" w:cs="Arial"/>
          <w:b/>
          <w:bCs/>
          <w:sz w:val="21"/>
          <w:szCs w:val="21"/>
          <w:lang w:val="es-CO"/>
        </w:rPr>
      </w:pPr>
      <w:r w:rsidRPr="00F743B6">
        <w:rPr>
          <w:rFonts w:ascii="Arial" w:hAnsi="Arial" w:cs="Arial"/>
          <w:b/>
          <w:bCs/>
          <w:sz w:val="21"/>
          <w:szCs w:val="21"/>
          <w:lang w:val="es-CO"/>
        </w:rPr>
        <w:t>PROMOCIÓN SERVICIOS NACIONALES O CON TRATO NACIONAL</w:t>
      </w:r>
      <w:bookmarkEnd w:id="14"/>
      <w:r w:rsidRPr="00F743B6">
        <w:rPr>
          <w:rFonts w:ascii="Arial" w:hAnsi="Arial" w:cs="Arial"/>
          <w:b/>
          <w:bCs/>
          <w:sz w:val="21"/>
          <w:szCs w:val="21"/>
          <w:lang w:val="es-CO"/>
        </w:rPr>
        <w:t xml:space="preserve"> </w:t>
      </w:r>
    </w:p>
    <w:p w14:paraId="608581F5" w14:textId="77777777" w:rsidR="003B2E57" w:rsidRPr="00F743B6" w:rsidRDefault="003B2E57" w:rsidP="003B2E57">
      <w:pPr>
        <w:ind w:left="709" w:right="709"/>
        <w:jc w:val="both"/>
        <w:rPr>
          <w:rFonts w:ascii="Arial" w:hAnsi="Arial" w:cs="Arial"/>
          <w:b/>
          <w:bCs/>
          <w:sz w:val="20"/>
          <w:szCs w:val="20"/>
          <w:lang w:val="es-CO"/>
        </w:rPr>
      </w:pPr>
    </w:p>
    <w:p w14:paraId="7CD7787B" w14:textId="77777777" w:rsidR="003B2E57" w:rsidRPr="00F743B6" w:rsidRDefault="003B2E57" w:rsidP="003B2E57">
      <w:pPr>
        <w:ind w:left="709" w:right="709"/>
        <w:jc w:val="both"/>
        <w:rPr>
          <w:rFonts w:ascii="Arial" w:hAnsi="Arial" w:cs="Arial"/>
          <w:sz w:val="21"/>
          <w:szCs w:val="21"/>
          <w:lang w:val="es-CO"/>
        </w:rPr>
      </w:pPr>
      <w:r w:rsidRPr="00F743B6">
        <w:rPr>
          <w:rFonts w:ascii="Arial" w:hAnsi="Arial" w:cs="Arial"/>
          <w:sz w:val="21"/>
          <w:szCs w:val="21"/>
          <w:lang w:val="es-CO"/>
        </w:rPr>
        <w:t>La Entidad asignará hasta diez (10) puntos a la oferta de: (i) Servicios Nacionales o (</w:t>
      </w:r>
      <w:proofErr w:type="spellStart"/>
      <w:r w:rsidRPr="00F743B6">
        <w:rPr>
          <w:rFonts w:ascii="Arial" w:hAnsi="Arial" w:cs="Arial"/>
          <w:sz w:val="21"/>
          <w:szCs w:val="21"/>
          <w:lang w:val="es-CO"/>
        </w:rPr>
        <w:t>ii</w:t>
      </w:r>
      <w:proofErr w:type="spellEnd"/>
      <w:r w:rsidRPr="00F743B6">
        <w:rPr>
          <w:rFonts w:ascii="Arial" w:hAnsi="Arial" w:cs="Arial"/>
          <w:sz w:val="21"/>
          <w:szCs w:val="21"/>
          <w:lang w:val="es-CO"/>
        </w:rPr>
        <w:t xml:space="preserve">) con Trato Nacional. </w:t>
      </w:r>
    </w:p>
    <w:p w14:paraId="7135F6C6" w14:textId="77777777" w:rsidR="003B2E57" w:rsidRPr="00F743B6" w:rsidRDefault="003B2E57" w:rsidP="003B2E57">
      <w:pPr>
        <w:ind w:left="709" w:right="709"/>
        <w:jc w:val="both"/>
        <w:rPr>
          <w:rFonts w:ascii="Arial" w:hAnsi="Arial" w:cs="Arial"/>
          <w:sz w:val="21"/>
          <w:szCs w:val="21"/>
          <w:lang w:val="es-CO"/>
        </w:rPr>
      </w:pPr>
    </w:p>
    <w:p w14:paraId="3E48FFF1" w14:textId="77777777" w:rsidR="003B2E57" w:rsidRPr="00F743B6" w:rsidRDefault="003B2E57" w:rsidP="003B2E57">
      <w:pPr>
        <w:ind w:left="709" w:right="709"/>
        <w:jc w:val="both"/>
        <w:rPr>
          <w:rFonts w:ascii="Arial" w:hAnsi="Arial" w:cs="Arial"/>
          <w:sz w:val="21"/>
          <w:szCs w:val="21"/>
          <w:lang w:val="es-CO"/>
        </w:rPr>
      </w:pPr>
      <w:r w:rsidRPr="00F743B6">
        <w:rPr>
          <w:rFonts w:ascii="Arial" w:hAnsi="Arial" w:cs="Arial"/>
          <w:sz w:val="21"/>
          <w:szCs w:val="21"/>
          <w:lang w:val="es-CO"/>
        </w:rPr>
        <w:t>Para que el Proponente obtenga puntaje por Servicios Nacionales debe presentar:</w:t>
      </w:r>
    </w:p>
    <w:p w14:paraId="118F9DB1" w14:textId="77777777" w:rsidR="003B2E57" w:rsidRPr="00F743B6" w:rsidRDefault="003B2E57" w:rsidP="003B2E57">
      <w:pPr>
        <w:ind w:left="709" w:right="709"/>
        <w:jc w:val="both"/>
        <w:rPr>
          <w:rFonts w:ascii="Arial" w:hAnsi="Arial" w:cs="Arial"/>
          <w:sz w:val="21"/>
          <w:szCs w:val="21"/>
          <w:lang w:val="es-CO"/>
        </w:rPr>
      </w:pPr>
      <w:r w:rsidRPr="00F743B6">
        <w:rPr>
          <w:rFonts w:ascii="Arial" w:hAnsi="Arial" w:cs="Arial"/>
          <w:sz w:val="21"/>
          <w:szCs w:val="21"/>
          <w:lang w:val="es-CO"/>
        </w:rPr>
        <w:t xml:space="preserve"> </w:t>
      </w:r>
    </w:p>
    <w:p w14:paraId="4DA13A4F" w14:textId="77777777" w:rsidR="003B2E57" w:rsidRPr="00F743B6" w:rsidRDefault="003B2E57" w:rsidP="003B2E57">
      <w:pPr>
        <w:ind w:left="709" w:right="709"/>
        <w:jc w:val="both"/>
        <w:rPr>
          <w:rFonts w:ascii="Arial" w:hAnsi="Arial" w:cs="Arial"/>
          <w:sz w:val="21"/>
          <w:szCs w:val="21"/>
          <w:lang w:val="es-CO"/>
        </w:rPr>
      </w:pPr>
      <w:r w:rsidRPr="00F743B6">
        <w:rPr>
          <w:rFonts w:ascii="Arial" w:hAnsi="Arial" w:cs="Arial"/>
          <w:sz w:val="21"/>
          <w:szCs w:val="21"/>
          <w:lang w:val="es-CO"/>
        </w:rPr>
        <w:t>Persona natural colombiana: La cédula de ciudadanía del Proponente.</w:t>
      </w:r>
    </w:p>
    <w:p w14:paraId="3D46CC94" w14:textId="77777777" w:rsidR="003B2E57" w:rsidRPr="00F743B6" w:rsidRDefault="003B2E57" w:rsidP="003B2E57">
      <w:pPr>
        <w:ind w:left="709" w:right="709"/>
        <w:jc w:val="both"/>
        <w:rPr>
          <w:rFonts w:ascii="Arial" w:hAnsi="Arial" w:cs="Arial"/>
          <w:sz w:val="21"/>
          <w:szCs w:val="21"/>
          <w:lang w:val="es-CO"/>
        </w:rPr>
      </w:pPr>
      <w:r w:rsidRPr="00F743B6">
        <w:rPr>
          <w:rFonts w:ascii="Arial" w:hAnsi="Arial" w:cs="Arial"/>
          <w:sz w:val="21"/>
          <w:szCs w:val="21"/>
          <w:lang w:val="es-CO"/>
        </w:rPr>
        <w:t xml:space="preserve">Persona natural extranjera residente en Colombia: La visa de residencia que le permita la ejecución del objeto contractual de conformidad con la Ley. </w:t>
      </w:r>
    </w:p>
    <w:p w14:paraId="60232879" w14:textId="77777777" w:rsidR="003B2E57" w:rsidRPr="00F743B6" w:rsidRDefault="003B2E57" w:rsidP="003B2E57">
      <w:pPr>
        <w:ind w:left="709" w:right="709"/>
        <w:jc w:val="both"/>
        <w:rPr>
          <w:rFonts w:ascii="Arial" w:hAnsi="Arial" w:cs="Arial"/>
          <w:sz w:val="21"/>
          <w:szCs w:val="21"/>
          <w:lang w:val="es-CO"/>
        </w:rPr>
      </w:pPr>
      <w:r w:rsidRPr="00F743B6">
        <w:rPr>
          <w:rFonts w:ascii="Arial" w:hAnsi="Arial" w:cs="Arial"/>
          <w:sz w:val="21"/>
          <w:szCs w:val="21"/>
          <w:lang w:val="es-CO"/>
        </w:rPr>
        <w:t xml:space="preserve">Persona jurídica constituida en Colombia: el Certificado de existencia y representación legal emitido por las Cámaras de Comercio. </w:t>
      </w:r>
    </w:p>
    <w:p w14:paraId="3FD49A93" w14:textId="77777777" w:rsidR="003B2E57" w:rsidRPr="00F743B6" w:rsidRDefault="003B2E57" w:rsidP="003B2E57">
      <w:pPr>
        <w:ind w:left="709" w:right="709"/>
        <w:jc w:val="both"/>
        <w:rPr>
          <w:rFonts w:ascii="Arial" w:hAnsi="Arial" w:cs="Arial"/>
          <w:sz w:val="21"/>
          <w:szCs w:val="21"/>
          <w:lang w:val="es-CO"/>
        </w:rPr>
      </w:pPr>
    </w:p>
    <w:p w14:paraId="5A3AD377" w14:textId="77777777" w:rsidR="003B2E57" w:rsidRPr="00F743B6" w:rsidRDefault="003B2E57" w:rsidP="003B2E57">
      <w:pPr>
        <w:ind w:left="709" w:right="709"/>
        <w:jc w:val="both"/>
        <w:rPr>
          <w:rFonts w:ascii="Arial" w:hAnsi="Arial" w:cs="Arial"/>
          <w:sz w:val="21"/>
          <w:szCs w:val="21"/>
          <w:lang w:val="es-CO"/>
        </w:rPr>
      </w:pPr>
      <w:r w:rsidRPr="00F743B6">
        <w:rPr>
          <w:rFonts w:ascii="Arial" w:hAnsi="Arial" w:cs="Arial"/>
          <w:sz w:val="21"/>
          <w:szCs w:val="21"/>
          <w:lang w:val="es-CO"/>
        </w:rPr>
        <w:t>Para que el Proponente extranjero obtenga puntaje por Trato Nacional debe acreditar que los servicios son originarios de los Estados mencionados en la Sección de Acuerdos Comerciales aplicables al presente Proceso de Contratación, información que se acreditará con los documentos que aporte el Proponente extranjero para acreditar su domicilio</w:t>
      </w:r>
      <w:r w:rsidRPr="00F743B6" w:rsidDel="00372059">
        <w:rPr>
          <w:rFonts w:ascii="Arial" w:hAnsi="Arial" w:cs="Arial"/>
          <w:sz w:val="21"/>
          <w:szCs w:val="21"/>
          <w:lang w:val="es-CO"/>
        </w:rPr>
        <w:t>.</w:t>
      </w:r>
      <w:r w:rsidRPr="00F743B6">
        <w:rPr>
          <w:rFonts w:ascii="Arial" w:hAnsi="Arial" w:cs="Arial"/>
          <w:sz w:val="21"/>
          <w:szCs w:val="21"/>
          <w:lang w:val="es-CO"/>
        </w:rPr>
        <w:t xml:space="preserve"> </w:t>
      </w:r>
    </w:p>
    <w:p w14:paraId="1DCF62CF" w14:textId="77777777" w:rsidR="003B2E57" w:rsidRPr="00F743B6" w:rsidRDefault="003B2E57" w:rsidP="003B2E57">
      <w:pPr>
        <w:ind w:left="709" w:right="709"/>
        <w:jc w:val="both"/>
        <w:rPr>
          <w:rFonts w:ascii="Arial" w:hAnsi="Arial" w:cs="Arial"/>
          <w:sz w:val="21"/>
          <w:szCs w:val="21"/>
          <w:lang w:val="es-CO"/>
        </w:rPr>
      </w:pPr>
    </w:p>
    <w:p w14:paraId="380E6C3A" w14:textId="77777777" w:rsidR="003B2E57" w:rsidRPr="00F743B6" w:rsidRDefault="003B2E57" w:rsidP="003B2E57">
      <w:pPr>
        <w:ind w:left="709" w:right="709"/>
        <w:jc w:val="both"/>
        <w:rPr>
          <w:rFonts w:ascii="Arial" w:hAnsi="Arial" w:cs="Arial"/>
          <w:sz w:val="21"/>
          <w:szCs w:val="21"/>
          <w:lang w:val="es-CO"/>
        </w:rPr>
      </w:pPr>
      <w:r w:rsidRPr="00F743B6">
        <w:rPr>
          <w:rFonts w:ascii="Arial" w:hAnsi="Arial" w:cs="Arial"/>
          <w:sz w:val="21"/>
          <w:szCs w:val="21"/>
          <w:lang w:val="es-CO"/>
        </w:rPr>
        <w:t>La Entidad asignará diez (10) puntos a un Proponente Plural cuando todos sus integrantes cumplan con las anteriores condiciones.</w:t>
      </w:r>
    </w:p>
    <w:p w14:paraId="1C5ABC6C" w14:textId="77777777" w:rsidR="003B2E57" w:rsidRPr="00F743B6" w:rsidRDefault="003B2E57" w:rsidP="003B2E57">
      <w:pPr>
        <w:ind w:left="709" w:right="709"/>
        <w:jc w:val="both"/>
        <w:rPr>
          <w:rFonts w:ascii="Arial" w:hAnsi="Arial" w:cs="Arial"/>
          <w:sz w:val="20"/>
          <w:szCs w:val="20"/>
          <w:lang w:val="es-CO"/>
        </w:rPr>
      </w:pPr>
      <w:r w:rsidRPr="00F743B6">
        <w:rPr>
          <w:rFonts w:ascii="Arial" w:hAnsi="Arial" w:cs="Arial"/>
          <w:sz w:val="20"/>
          <w:szCs w:val="20"/>
          <w:lang w:val="es-CO"/>
        </w:rPr>
        <w:t xml:space="preserve"> </w:t>
      </w:r>
    </w:p>
    <w:p w14:paraId="5FFB3C6C" w14:textId="77777777" w:rsidR="003B2E57" w:rsidRPr="00F743B6" w:rsidRDefault="003B2E57" w:rsidP="003B2E57">
      <w:pPr>
        <w:numPr>
          <w:ilvl w:val="2"/>
          <w:numId w:val="7"/>
        </w:numPr>
        <w:ind w:left="1429" w:right="709"/>
        <w:jc w:val="both"/>
        <w:rPr>
          <w:rFonts w:ascii="Arial" w:hAnsi="Arial" w:cs="Arial"/>
          <w:b/>
          <w:bCs/>
          <w:sz w:val="21"/>
          <w:szCs w:val="21"/>
          <w:lang w:val="es-CO"/>
        </w:rPr>
      </w:pPr>
      <w:r w:rsidRPr="00F743B6">
        <w:rPr>
          <w:rFonts w:ascii="Arial" w:hAnsi="Arial" w:cs="Arial"/>
          <w:b/>
          <w:bCs/>
          <w:sz w:val="21"/>
          <w:szCs w:val="21"/>
          <w:lang w:val="es-CO"/>
        </w:rPr>
        <w:t xml:space="preserve">INCORPORACIÓN DE COMPONENTE NACIONAL </w:t>
      </w:r>
    </w:p>
    <w:p w14:paraId="4449D61F" w14:textId="77777777" w:rsidR="003B2E57" w:rsidRPr="00F743B6" w:rsidRDefault="003B2E57" w:rsidP="003B2E57">
      <w:pPr>
        <w:ind w:left="709" w:right="709"/>
        <w:jc w:val="both"/>
        <w:rPr>
          <w:rFonts w:ascii="Arial" w:hAnsi="Arial" w:cs="Arial"/>
          <w:b/>
          <w:bCs/>
          <w:sz w:val="20"/>
          <w:szCs w:val="20"/>
          <w:lang w:val="es-CO"/>
        </w:rPr>
      </w:pPr>
    </w:p>
    <w:p w14:paraId="5FA849C3" w14:textId="77777777" w:rsidR="003B2E57" w:rsidRPr="00F743B6" w:rsidRDefault="003B2E57" w:rsidP="003B2E57">
      <w:pPr>
        <w:ind w:left="709" w:right="709"/>
        <w:jc w:val="both"/>
        <w:rPr>
          <w:rFonts w:ascii="Arial" w:hAnsi="Arial" w:cs="Arial"/>
          <w:sz w:val="21"/>
          <w:szCs w:val="21"/>
          <w:lang w:val="es-CO"/>
        </w:rPr>
      </w:pPr>
      <w:r w:rsidRPr="00F743B6">
        <w:rPr>
          <w:rFonts w:ascii="Arial" w:hAnsi="Arial" w:cs="Arial"/>
          <w:sz w:val="21"/>
          <w:szCs w:val="21"/>
          <w:lang w:val="es-CO"/>
        </w:rPr>
        <w:t xml:space="preserve">La Entidad asignará el puntaje descrito en la siguiente tabla a los Proponentes extranjeros sin derecho a Trato Nacional que incorporen el porcentaje de personal calificado colombiano como se describe a continuación. </w:t>
      </w:r>
    </w:p>
    <w:p w14:paraId="5622AA43" w14:textId="77777777" w:rsidR="003B2E57" w:rsidRPr="00F743B6" w:rsidRDefault="003B2E57" w:rsidP="003B2E57">
      <w:pPr>
        <w:ind w:left="708" w:right="851"/>
        <w:jc w:val="both"/>
        <w:rPr>
          <w:rFonts w:ascii="Arial" w:hAnsi="Arial" w:cs="Arial"/>
          <w:sz w:val="20"/>
          <w:szCs w:val="20"/>
          <w:lang w:val="es-CO"/>
        </w:rPr>
      </w:pPr>
    </w:p>
    <w:tbl>
      <w:tblPr>
        <w:tblW w:w="6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6"/>
        <w:gridCol w:w="1661"/>
      </w:tblGrid>
      <w:tr w:rsidR="003B2E57" w:rsidRPr="00F743B6" w14:paraId="69B1D448" w14:textId="77777777" w:rsidTr="00AD70BB">
        <w:trPr>
          <w:trHeight w:val="134"/>
          <w:jc w:val="center"/>
        </w:trPr>
        <w:tc>
          <w:tcPr>
            <w:tcW w:w="5066" w:type="dxa"/>
            <w:tcBorders>
              <w:top w:val="double" w:sz="4" w:space="0" w:color="auto"/>
              <w:left w:val="double" w:sz="4" w:space="0" w:color="auto"/>
            </w:tcBorders>
            <w:shd w:val="clear" w:color="auto" w:fill="404040" w:themeFill="text1" w:themeFillTint="BF"/>
            <w:vAlign w:val="center"/>
          </w:tcPr>
          <w:p w14:paraId="0AEA9FD0" w14:textId="77777777" w:rsidR="003B2E57" w:rsidRPr="00DB6039" w:rsidRDefault="003B2E57" w:rsidP="00AD70BB">
            <w:pPr>
              <w:ind w:right="851"/>
              <w:jc w:val="center"/>
              <w:rPr>
                <w:rFonts w:ascii="Arial" w:hAnsi="Arial" w:cs="Arial"/>
                <w:b/>
                <w:bCs/>
                <w:color w:val="FFFFFF" w:themeColor="accent2"/>
                <w:sz w:val="16"/>
                <w:szCs w:val="16"/>
                <w:lang w:val="es-CO"/>
              </w:rPr>
            </w:pPr>
            <w:r w:rsidRPr="00DB6039">
              <w:rPr>
                <w:rFonts w:ascii="Arial" w:hAnsi="Arial" w:cs="Arial"/>
                <w:b/>
                <w:bCs/>
                <w:color w:val="FFFFFF" w:themeColor="accent2"/>
                <w:sz w:val="16"/>
                <w:szCs w:val="16"/>
                <w:lang w:val="es-CO"/>
              </w:rPr>
              <w:t>Personal calificado del contrato</w:t>
            </w:r>
          </w:p>
        </w:tc>
        <w:tc>
          <w:tcPr>
            <w:tcW w:w="1661" w:type="dxa"/>
            <w:tcBorders>
              <w:top w:val="double" w:sz="4" w:space="0" w:color="auto"/>
              <w:right w:val="double" w:sz="4" w:space="0" w:color="auto"/>
            </w:tcBorders>
            <w:shd w:val="clear" w:color="auto" w:fill="404040" w:themeFill="text1" w:themeFillTint="BF"/>
            <w:vAlign w:val="center"/>
          </w:tcPr>
          <w:p w14:paraId="6601AF60" w14:textId="77777777" w:rsidR="003B2E57" w:rsidRPr="00DB6039" w:rsidRDefault="003B2E57" w:rsidP="00AD70BB">
            <w:pPr>
              <w:ind w:right="851"/>
              <w:jc w:val="center"/>
              <w:rPr>
                <w:rFonts w:ascii="Arial" w:hAnsi="Arial" w:cs="Arial"/>
                <w:b/>
                <w:bCs/>
                <w:color w:val="FFFFFF" w:themeColor="accent2"/>
                <w:sz w:val="16"/>
                <w:szCs w:val="16"/>
                <w:lang w:val="es-CO"/>
              </w:rPr>
            </w:pPr>
            <w:r w:rsidRPr="00DB6039">
              <w:rPr>
                <w:rFonts w:ascii="Arial" w:hAnsi="Arial" w:cs="Arial"/>
                <w:b/>
                <w:bCs/>
                <w:color w:val="FFFFFF" w:themeColor="accent2"/>
                <w:sz w:val="16"/>
                <w:szCs w:val="16"/>
                <w:lang w:val="es-CO"/>
              </w:rPr>
              <w:t>Puntajes</w:t>
            </w:r>
          </w:p>
        </w:tc>
      </w:tr>
      <w:tr w:rsidR="003B2E57" w:rsidRPr="00F743B6" w14:paraId="61F15E8B" w14:textId="77777777" w:rsidTr="00AD70BB">
        <w:trPr>
          <w:trHeight w:val="281"/>
          <w:jc w:val="center"/>
        </w:trPr>
        <w:tc>
          <w:tcPr>
            <w:tcW w:w="5066" w:type="dxa"/>
            <w:tcBorders>
              <w:left w:val="double" w:sz="4" w:space="0" w:color="auto"/>
            </w:tcBorders>
            <w:vAlign w:val="bottom"/>
          </w:tcPr>
          <w:p w14:paraId="6629C943" w14:textId="77777777" w:rsidR="003B2E57" w:rsidRPr="00F743B6" w:rsidRDefault="003B2E57" w:rsidP="00AD70BB">
            <w:pPr>
              <w:ind w:right="851"/>
              <w:jc w:val="both"/>
              <w:rPr>
                <w:rFonts w:ascii="Arial" w:hAnsi="Arial" w:cs="Arial"/>
                <w:sz w:val="16"/>
                <w:szCs w:val="16"/>
                <w:lang w:val="es-CO"/>
              </w:rPr>
            </w:pPr>
            <w:r w:rsidRPr="00F743B6">
              <w:rPr>
                <w:rFonts w:ascii="Arial" w:hAnsi="Arial" w:cs="Arial"/>
                <w:sz w:val="16"/>
                <w:szCs w:val="16"/>
                <w:lang w:val="es-CO"/>
              </w:rPr>
              <w:t>Del 0% al 80 % del personal calificado incorporado al Contrato es colombiano</w:t>
            </w:r>
          </w:p>
        </w:tc>
        <w:tc>
          <w:tcPr>
            <w:tcW w:w="1661" w:type="dxa"/>
            <w:tcBorders>
              <w:right w:val="double" w:sz="4" w:space="0" w:color="auto"/>
            </w:tcBorders>
            <w:vAlign w:val="bottom"/>
          </w:tcPr>
          <w:p w14:paraId="6C1AF9E3" w14:textId="77777777" w:rsidR="003B2E57" w:rsidRPr="00F743B6" w:rsidRDefault="003B2E57" w:rsidP="00AD70BB">
            <w:pPr>
              <w:ind w:right="851"/>
              <w:jc w:val="both"/>
              <w:rPr>
                <w:rFonts w:ascii="Arial" w:hAnsi="Arial" w:cs="Arial"/>
                <w:sz w:val="16"/>
                <w:szCs w:val="16"/>
                <w:lang w:val="es-CO"/>
              </w:rPr>
            </w:pPr>
            <w:r w:rsidRPr="00F743B6">
              <w:rPr>
                <w:rFonts w:ascii="Arial" w:hAnsi="Arial" w:cs="Arial"/>
                <w:sz w:val="16"/>
                <w:szCs w:val="16"/>
                <w:lang w:val="es-CO"/>
              </w:rPr>
              <w:t>0</w:t>
            </w:r>
          </w:p>
        </w:tc>
      </w:tr>
      <w:tr w:rsidR="003B2E57" w:rsidRPr="00F743B6" w14:paraId="7740346D" w14:textId="77777777" w:rsidTr="00AD70BB">
        <w:trPr>
          <w:trHeight w:val="275"/>
          <w:jc w:val="center"/>
        </w:trPr>
        <w:tc>
          <w:tcPr>
            <w:tcW w:w="5066" w:type="dxa"/>
            <w:tcBorders>
              <w:left w:val="double" w:sz="4" w:space="0" w:color="auto"/>
            </w:tcBorders>
            <w:vAlign w:val="bottom"/>
          </w:tcPr>
          <w:p w14:paraId="03C4D5B0" w14:textId="77777777" w:rsidR="003B2E57" w:rsidRPr="00F743B6" w:rsidRDefault="003B2E57" w:rsidP="00AD70BB">
            <w:pPr>
              <w:ind w:right="851"/>
              <w:jc w:val="both"/>
              <w:rPr>
                <w:rFonts w:ascii="Arial" w:hAnsi="Arial" w:cs="Arial"/>
                <w:sz w:val="16"/>
                <w:szCs w:val="16"/>
                <w:lang w:val="es-CO"/>
              </w:rPr>
            </w:pPr>
            <w:r w:rsidRPr="00F743B6">
              <w:rPr>
                <w:rFonts w:ascii="Arial" w:hAnsi="Arial" w:cs="Arial"/>
                <w:sz w:val="16"/>
                <w:szCs w:val="16"/>
                <w:lang w:val="es-CO"/>
              </w:rPr>
              <w:t>Mas del 80% hasta el 85% del personal calificado incorporado al Contrato es colombiano</w:t>
            </w:r>
          </w:p>
        </w:tc>
        <w:tc>
          <w:tcPr>
            <w:tcW w:w="1661" w:type="dxa"/>
            <w:tcBorders>
              <w:right w:val="double" w:sz="4" w:space="0" w:color="auto"/>
            </w:tcBorders>
            <w:vAlign w:val="bottom"/>
          </w:tcPr>
          <w:p w14:paraId="31467696" w14:textId="77777777" w:rsidR="003B2E57" w:rsidRPr="00F743B6" w:rsidRDefault="003B2E57" w:rsidP="00AD70BB">
            <w:pPr>
              <w:ind w:right="851"/>
              <w:jc w:val="both"/>
              <w:rPr>
                <w:rFonts w:ascii="Arial" w:hAnsi="Arial" w:cs="Arial"/>
                <w:sz w:val="16"/>
                <w:szCs w:val="16"/>
                <w:lang w:val="es-CO"/>
              </w:rPr>
            </w:pPr>
            <w:r w:rsidRPr="00F743B6">
              <w:rPr>
                <w:rFonts w:ascii="Arial" w:hAnsi="Arial" w:cs="Arial"/>
                <w:sz w:val="16"/>
                <w:szCs w:val="16"/>
                <w:lang w:val="es-CO"/>
              </w:rPr>
              <w:t>3</w:t>
            </w:r>
          </w:p>
        </w:tc>
      </w:tr>
      <w:tr w:rsidR="003B2E57" w:rsidRPr="00F743B6" w14:paraId="262E24C2" w14:textId="77777777" w:rsidTr="00AD70BB">
        <w:trPr>
          <w:trHeight w:val="281"/>
          <w:jc w:val="center"/>
        </w:trPr>
        <w:tc>
          <w:tcPr>
            <w:tcW w:w="5066" w:type="dxa"/>
            <w:tcBorders>
              <w:left w:val="double" w:sz="4" w:space="0" w:color="auto"/>
            </w:tcBorders>
            <w:vAlign w:val="bottom"/>
          </w:tcPr>
          <w:p w14:paraId="752834ED" w14:textId="77777777" w:rsidR="003B2E57" w:rsidRPr="00F743B6" w:rsidRDefault="003B2E57" w:rsidP="00AD70BB">
            <w:pPr>
              <w:ind w:right="851"/>
              <w:jc w:val="both"/>
              <w:rPr>
                <w:rFonts w:ascii="Arial" w:hAnsi="Arial" w:cs="Arial"/>
                <w:sz w:val="16"/>
                <w:szCs w:val="16"/>
                <w:lang w:val="es-CO"/>
              </w:rPr>
            </w:pPr>
            <w:r w:rsidRPr="00F743B6">
              <w:rPr>
                <w:rFonts w:ascii="Arial" w:hAnsi="Arial" w:cs="Arial"/>
                <w:sz w:val="16"/>
                <w:szCs w:val="16"/>
                <w:lang w:val="es-CO"/>
              </w:rPr>
              <w:t>Mas el 85% hasta el 90% del personal calificado incorporado al Contrato es colombiano</w:t>
            </w:r>
          </w:p>
        </w:tc>
        <w:tc>
          <w:tcPr>
            <w:tcW w:w="1661" w:type="dxa"/>
            <w:tcBorders>
              <w:right w:val="double" w:sz="4" w:space="0" w:color="auto"/>
            </w:tcBorders>
            <w:vAlign w:val="bottom"/>
          </w:tcPr>
          <w:p w14:paraId="228367B4" w14:textId="77777777" w:rsidR="003B2E57" w:rsidRPr="00F743B6" w:rsidRDefault="003B2E57" w:rsidP="00AD70BB">
            <w:pPr>
              <w:ind w:right="851"/>
              <w:jc w:val="both"/>
              <w:rPr>
                <w:rFonts w:ascii="Arial" w:hAnsi="Arial" w:cs="Arial"/>
                <w:sz w:val="16"/>
                <w:szCs w:val="16"/>
                <w:lang w:val="es-CO"/>
              </w:rPr>
            </w:pPr>
            <w:r w:rsidRPr="00F743B6">
              <w:rPr>
                <w:rFonts w:ascii="Arial" w:hAnsi="Arial" w:cs="Arial"/>
                <w:sz w:val="16"/>
                <w:szCs w:val="16"/>
                <w:lang w:val="es-CO"/>
              </w:rPr>
              <w:t>4</w:t>
            </w:r>
          </w:p>
        </w:tc>
      </w:tr>
      <w:tr w:rsidR="003B2E57" w:rsidRPr="00F743B6" w14:paraId="62F905CF" w14:textId="77777777" w:rsidTr="00AD70BB">
        <w:trPr>
          <w:trHeight w:val="275"/>
          <w:jc w:val="center"/>
        </w:trPr>
        <w:tc>
          <w:tcPr>
            <w:tcW w:w="5066" w:type="dxa"/>
            <w:tcBorders>
              <w:left w:val="double" w:sz="4" w:space="0" w:color="auto"/>
              <w:bottom w:val="double" w:sz="4" w:space="0" w:color="auto"/>
            </w:tcBorders>
            <w:vAlign w:val="bottom"/>
          </w:tcPr>
          <w:p w14:paraId="5344DB13" w14:textId="77777777" w:rsidR="003B2E57" w:rsidRPr="00F743B6" w:rsidRDefault="003B2E57" w:rsidP="00AD70BB">
            <w:pPr>
              <w:ind w:right="851"/>
              <w:jc w:val="both"/>
              <w:rPr>
                <w:rFonts w:ascii="Arial" w:hAnsi="Arial" w:cs="Arial"/>
                <w:sz w:val="16"/>
                <w:szCs w:val="16"/>
                <w:lang w:val="es-CO"/>
              </w:rPr>
            </w:pPr>
            <w:r w:rsidRPr="00F743B6">
              <w:rPr>
                <w:rFonts w:ascii="Arial" w:hAnsi="Arial" w:cs="Arial"/>
                <w:sz w:val="16"/>
                <w:szCs w:val="16"/>
                <w:lang w:val="es-CO"/>
              </w:rPr>
              <w:t>Más del 90% del personal calificado incorporado al Contrato es colombiano</w:t>
            </w:r>
          </w:p>
        </w:tc>
        <w:tc>
          <w:tcPr>
            <w:tcW w:w="1661" w:type="dxa"/>
            <w:tcBorders>
              <w:bottom w:val="double" w:sz="4" w:space="0" w:color="auto"/>
              <w:right w:val="double" w:sz="4" w:space="0" w:color="auto"/>
            </w:tcBorders>
            <w:vAlign w:val="bottom"/>
          </w:tcPr>
          <w:p w14:paraId="13955560" w14:textId="77777777" w:rsidR="003B2E57" w:rsidRPr="00F743B6" w:rsidRDefault="003B2E57" w:rsidP="00AD70BB">
            <w:pPr>
              <w:ind w:right="851"/>
              <w:jc w:val="both"/>
              <w:rPr>
                <w:rFonts w:ascii="Arial" w:hAnsi="Arial" w:cs="Arial"/>
                <w:sz w:val="16"/>
                <w:szCs w:val="16"/>
                <w:lang w:val="es-CO"/>
              </w:rPr>
            </w:pPr>
            <w:r w:rsidRPr="00F743B6">
              <w:rPr>
                <w:rFonts w:ascii="Arial" w:hAnsi="Arial" w:cs="Arial"/>
                <w:sz w:val="16"/>
                <w:szCs w:val="16"/>
                <w:lang w:val="es-CO"/>
              </w:rPr>
              <w:t xml:space="preserve">5 </w:t>
            </w:r>
          </w:p>
        </w:tc>
      </w:tr>
    </w:tbl>
    <w:p w14:paraId="0660D069" w14:textId="77777777" w:rsidR="003B2E57" w:rsidRPr="00F743B6" w:rsidRDefault="003B2E57" w:rsidP="003B2E57">
      <w:pPr>
        <w:ind w:left="708" w:right="851"/>
        <w:jc w:val="both"/>
        <w:rPr>
          <w:rFonts w:ascii="Arial" w:hAnsi="Arial" w:cs="Arial"/>
          <w:sz w:val="20"/>
          <w:szCs w:val="20"/>
          <w:lang w:val="es-CO"/>
        </w:rPr>
      </w:pPr>
    </w:p>
    <w:p w14:paraId="4B28096F" w14:textId="77777777" w:rsidR="003B2E57" w:rsidRPr="00F743B6" w:rsidRDefault="003B2E57" w:rsidP="003B2E57">
      <w:pPr>
        <w:ind w:left="709" w:right="709"/>
        <w:jc w:val="both"/>
        <w:rPr>
          <w:rFonts w:ascii="Arial" w:hAnsi="Arial" w:cs="Arial"/>
          <w:sz w:val="21"/>
          <w:szCs w:val="21"/>
          <w:lang w:val="es-CO"/>
        </w:rPr>
      </w:pPr>
      <w:r w:rsidRPr="00F743B6">
        <w:rPr>
          <w:rFonts w:ascii="Arial" w:hAnsi="Arial" w:cs="Arial"/>
          <w:sz w:val="21"/>
          <w:szCs w:val="21"/>
          <w:lang w:val="es-CO"/>
        </w:rPr>
        <w:t>Por personal calificado se entiende aquel que requiere de un título universitario otorgado por una institución de educación superior, conforme a la Ley 749 de 2002, para ejercer determinada profesión.</w:t>
      </w:r>
    </w:p>
    <w:p w14:paraId="59FED77E" w14:textId="77777777" w:rsidR="003B2E57" w:rsidRPr="00F743B6" w:rsidRDefault="003B2E57" w:rsidP="003B2E57">
      <w:pPr>
        <w:ind w:left="709" w:right="709"/>
        <w:jc w:val="both"/>
        <w:rPr>
          <w:rFonts w:ascii="Arial" w:hAnsi="Arial" w:cs="Arial"/>
          <w:sz w:val="21"/>
          <w:szCs w:val="21"/>
          <w:lang w:val="es-CO"/>
        </w:rPr>
      </w:pPr>
    </w:p>
    <w:p w14:paraId="209DD365" w14:textId="77777777" w:rsidR="003B2E57" w:rsidRPr="00F743B6" w:rsidRDefault="003B2E57" w:rsidP="003B2E57">
      <w:pPr>
        <w:ind w:left="709" w:right="709"/>
        <w:jc w:val="both"/>
        <w:rPr>
          <w:rFonts w:ascii="Arial" w:hAnsi="Arial" w:cs="Arial"/>
          <w:sz w:val="21"/>
          <w:szCs w:val="21"/>
          <w:lang w:val="es-CO"/>
        </w:rPr>
      </w:pPr>
      <w:r w:rsidRPr="00F743B6">
        <w:rPr>
          <w:rFonts w:ascii="Arial" w:hAnsi="Arial" w:cs="Arial"/>
          <w:sz w:val="21"/>
          <w:szCs w:val="21"/>
          <w:lang w:val="es-CO"/>
        </w:rPr>
        <w:t xml:space="preserve">Para recibir el puntaje por incorporación de componente colombiano, el representante legal o apoderado del Proponente debe diligenciar el Formato 9 – Puntaje de Industria Nacional en el cual manifieste bajo la gravedad de </w:t>
      </w:r>
      <w:r w:rsidRPr="00F743B6">
        <w:rPr>
          <w:rFonts w:ascii="Arial" w:hAnsi="Arial" w:cs="Arial"/>
          <w:sz w:val="21"/>
          <w:szCs w:val="21"/>
          <w:lang w:val="es-CO"/>
        </w:rPr>
        <w:lastRenderedPageBreak/>
        <w:t>juramento que el personal ofrecido y su compromiso de vincular a dichas personas en caso de resultar adjudicatario del proceso.</w:t>
      </w:r>
    </w:p>
    <w:p w14:paraId="61C37C44" w14:textId="77777777" w:rsidR="003B2E57" w:rsidRPr="00F743B6" w:rsidRDefault="003B2E57" w:rsidP="003B2E57">
      <w:pPr>
        <w:ind w:left="708" w:right="851"/>
        <w:jc w:val="both"/>
        <w:rPr>
          <w:rFonts w:ascii="Arial" w:hAnsi="Arial" w:cs="Arial"/>
          <w:sz w:val="20"/>
          <w:szCs w:val="20"/>
          <w:lang w:val="es-CO"/>
        </w:rPr>
      </w:pPr>
    </w:p>
    <w:p w14:paraId="23832DD9" w14:textId="77777777" w:rsidR="003B2E57" w:rsidRPr="00F743B6" w:rsidRDefault="003B2E57" w:rsidP="003B2E57">
      <w:pPr>
        <w:ind w:left="709" w:right="709"/>
        <w:jc w:val="both"/>
        <w:rPr>
          <w:rFonts w:ascii="Arial" w:hAnsi="Arial" w:cs="Arial"/>
          <w:sz w:val="21"/>
          <w:szCs w:val="21"/>
          <w:lang w:val="es-CO"/>
        </w:rPr>
      </w:pPr>
      <w:r w:rsidRPr="00F743B6">
        <w:rPr>
          <w:rFonts w:ascii="Arial" w:hAnsi="Arial" w:cs="Arial"/>
          <w:sz w:val="21"/>
          <w:szCs w:val="21"/>
          <w:lang w:val="es-CO"/>
        </w:rPr>
        <w:t>En caso de no efectuar ningún ofrecimiento, el puntaje por este factor será de cero (0).</w:t>
      </w:r>
    </w:p>
    <w:p w14:paraId="7A829BF2" w14:textId="77777777" w:rsidR="003B2E57" w:rsidRPr="00F743B6" w:rsidRDefault="003B2E57" w:rsidP="003B2E57">
      <w:pPr>
        <w:ind w:left="709" w:right="709"/>
        <w:jc w:val="both"/>
        <w:rPr>
          <w:rFonts w:ascii="Arial" w:hAnsi="Arial" w:cs="Arial"/>
          <w:sz w:val="21"/>
          <w:szCs w:val="21"/>
          <w:lang w:val="es-CO"/>
        </w:rPr>
      </w:pPr>
    </w:p>
    <w:p w14:paraId="7FA58301" w14:textId="77777777" w:rsidR="003B2E57" w:rsidRPr="00F743B6" w:rsidRDefault="003B2E57" w:rsidP="003B2E57">
      <w:pPr>
        <w:ind w:left="709" w:right="709"/>
        <w:jc w:val="both"/>
        <w:rPr>
          <w:rFonts w:ascii="Arial" w:hAnsi="Arial" w:cs="Arial"/>
          <w:sz w:val="21"/>
          <w:szCs w:val="21"/>
          <w:lang w:val="es-CO"/>
        </w:rPr>
      </w:pPr>
      <w:r w:rsidRPr="00F743B6">
        <w:rPr>
          <w:rFonts w:ascii="Arial" w:hAnsi="Arial" w:cs="Arial"/>
          <w:sz w:val="21"/>
          <w:szCs w:val="21"/>
          <w:lang w:val="es-CO"/>
        </w:rPr>
        <w:t xml:space="preserve">La Entidad únicamente otorgará el puntaje por promoción de la incorporación de componente nacional cuando el Proponente que presente el Formato 9 – Puntaje de Industria Nacional no haya recibido puntaje alguno por promoción de Servicios Nacionales o Trato Nacional.  </w:t>
      </w:r>
    </w:p>
    <w:p w14:paraId="0B9FB361" w14:textId="77777777" w:rsidR="003B2E57" w:rsidRPr="00F743B6" w:rsidRDefault="003B2E57" w:rsidP="003B2E57">
      <w:pPr>
        <w:jc w:val="both"/>
        <w:rPr>
          <w:rFonts w:ascii="Arial" w:hAnsi="Arial" w:cs="Arial"/>
          <w:sz w:val="20"/>
          <w:szCs w:val="20"/>
          <w:lang w:val="es-CO"/>
        </w:rPr>
      </w:pPr>
    </w:p>
    <w:p w14:paraId="08B14704" w14:textId="77777777" w:rsidR="003B2E57" w:rsidRPr="00F743B6" w:rsidRDefault="003B2E57" w:rsidP="003B2E57">
      <w:pPr>
        <w:spacing w:before="120" w:after="120" w:line="276" w:lineRule="auto"/>
        <w:ind w:firstLine="708"/>
        <w:jc w:val="both"/>
        <w:rPr>
          <w:rFonts w:ascii="Arial" w:hAnsi="Arial" w:cs="Arial"/>
          <w:sz w:val="22"/>
        </w:rPr>
      </w:pPr>
      <w:r w:rsidRPr="00F743B6">
        <w:rPr>
          <w:rFonts w:ascii="Arial" w:hAnsi="Arial" w:cs="Arial"/>
          <w:sz w:val="22"/>
        </w:rPr>
        <w:t xml:space="preserve">Por lo tanto, la entidad debe tener en cuenta los siguientes aspectos para asignar el puntaje por «promoción a la industria nacional»: </w:t>
      </w:r>
    </w:p>
    <w:p w14:paraId="13FE0F77" w14:textId="77777777" w:rsidR="003B2E57" w:rsidRPr="00F743B6" w:rsidRDefault="003B2E57" w:rsidP="003B2E57">
      <w:pPr>
        <w:spacing w:before="120" w:after="120" w:line="276" w:lineRule="auto"/>
        <w:ind w:firstLine="708"/>
        <w:jc w:val="both"/>
        <w:rPr>
          <w:rFonts w:ascii="Arial" w:hAnsi="Arial" w:cs="Arial"/>
          <w:sz w:val="22"/>
        </w:rPr>
      </w:pPr>
      <w:r w:rsidRPr="00F743B6">
        <w:rPr>
          <w:rFonts w:ascii="Arial" w:hAnsi="Arial" w:cs="Arial"/>
          <w:b/>
          <w:sz w:val="22"/>
        </w:rPr>
        <w:t>A)</w:t>
      </w:r>
      <w:r w:rsidRPr="00F743B6">
        <w:rPr>
          <w:rFonts w:ascii="Arial" w:hAnsi="Arial" w:cs="Arial"/>
          <w:sz w:val="22"/>
        </w:rPr>
        <w:t xml:space="preserve"> La asignación de puntajes para apoyar la industria nacional se dará por dos supuestos diferentes: i) promoción servicios nacionales o con trato nacional o por, </w:t>
      </w:r>
      <w:proofErr w:type="spellStart"/>
      <w:r w:rsidRPr="00F743B6">
        <w:rPr>
          <w:rFonts w:ascii="Arial" w:hAnsi="Arial" w:cs="Arial"/>
          <w:sz w:val="22"/>
        </w:rPr>
        <w:t>ii</w:t>
      </w:r>
      <w:proofErr w:type="spellEnd"/>
      <w:r w:rsidRPr="00F743B6">
        <w:rPr>
          <w:rFonts w:ascii="Arial" w:hAnsi="Arial" w:cs="Arial"/>
          <w:sz w:val="22"/>
        </w:rPr>
        <w:t xml:space="preserve">) incorporación de componente nacional en servicios extranjeros. </w:t>
      </w:r>
    </w:p>
    <w:p w14:paraId="14A405C0" w14:textId="77777777" w:rsidR="003B2E57" w:rsidRPr="00F743B6" w:rsidRDefault="003B2E57" w:rsidP="003B2E57">
      <w:pPr>
        <w:spacing w:before="120" w:after="120" w:line="276" w:lineRule="auto"/>
        <w:ind w:firstLine="708"/>
        <w:jc w:val="both"/>
        <w:rPr>
          <w:rFonts w:ascii="Arial" w:hAnsi="Arial" w:cs="Arial"/>
          <w:sz w:val="22"/>
        </w:rPr>
      </w:pPr>
      <w:r w:rsidRPr="00F743B6">
        <w:rPr>
          <w:rFonts w:ascii="Arial" w:hAnsi="Arial" w:cs="Arial"/>
          <w:b/>
          <w:sz w:val="22"/>
        </w:rPr>
        <w:t xml:space="preserve">B) </w:t>
      </w:r>
      <w:r w:rsidRPr="00F743B6">
        <w:rPr>
          <w:rFonts w:ascii="Arial" w:hAnsi="Arial" w:cs="Arial"/>
          <w:sz w:val="22"/>
        </w:rPr>
        <w:t xml:space="preserve">Para que se otorgue el puntaje por </w:t>
      </w:r>
      <w:bookmarkStart w:id="15" w:name="_Hlk13556567"/>
      <w:r w:rsidRPr="00F743B6">
        <w:rPr>
          <w:rFonts w:ascii="Arial" w:hAnsi="Arial" w:cs="Arial"/>
          <w:sz w:val="22"/>
        </w:rPr>
        <w:t xml:space="preserve">promoción de servicios nacionales o con trato nacional </w:t>
      </w:r>
      <w:bookmarkEnd w:id="15"/>
      <w:r w:rsidRPr="00F743B6">
        <w:rPr>
          <w:rFonts w:ascii="Arial" w:hAnsi="Arial" w:cs="Arial"/>
          <w:sz w:val="22"/>
        </w:rPr>
        <w:t xml:space="preserve">la entidad estatal deberá seguir las siguientes reglas: </w:t>
      </w:r>
    </w:p>
    <w:p w14:paraId="737D4F18" w14:textId="77777777" w:rsidR="003B2E57" w:rsidRPr="00F743B6" w:rsidRDefault="003B2E57" w:rsidP="003B2E57">
      <w:pPr>
        <w:spacing w:before="120" w:after="120" w:line="276" w:lineRule="auto"/>
        <w:ind w:firstLine="708"/>
        <w:jc w:val="both"/>
        <w:rPr>
          <w:rFonts w:ascii="Arial" w:hAnsi="Arial" w:cs="Arial"/>
          <w:sz w:val="22"/>
        </w:rPr>
      </w:pPr>
      <w:r w:rsidRPr="00F743B6">
        <w:rPr>
          <w:rFonts w:ascii="Arial" w:hAnsi="Arial" w:cs="Arial"/>
          <w:b/>
          <w:sz w:val="22"/>
        </w:rPr>
        <w:t xml:space="preserve">1.  </w:t>
      </w:r>
      <w:r w:rsidRPr="00F743B6">
        <w:rPr>
          <w:rFonts w:ascii="Arial" w:hAnsi="Arial" w:cs="Arial"/>
          <w:sz w:val="22"/>
        </w:rPr>
        <w:t xml:space="preserve">La entidad estatal asignará diez (10) puntos a la oferta de i) Servicios Nacionales o </w:t>
      </w:r>
      <w:proofErr w:type="spellStart"/>
      <w:r w:rsidRPr="00F743B6">
        <w:rPr>
          <w:rFonts w:ascii="Arial" w:hAnsi="Arial" w:cs="Arial"/>
          <w:sz w:val="22"/>
        </w:rPr>
        <w:t>ii</w:t>
      </w:r>
      <w:proofErr w:type="spellEnd"/>
      <w:r w:rsidRPr="00F743B6">
        <w:rPr>
          <w:rFonts w:ascii="Arial" w:hAnsi="Arial" w:cs="Arial"/>
          <w:sz w:val="22"/>
        </w:rPr>
        <w:t xml:space="preserve">) con trato nacional. </w:t>
      </w:r>
    </w:p>
    <w:p w14:paraId="29503C56" w14:textId="77777777" w:rsidR="003B2E57" w:rsidRPr="00F743B6" w:rsidRDefault="003B2E57" w:rsidP="003B2E57">
      <w:pPr>
        <w:spacing w:before="120" w:after="120" w:line="276" w:lineRule="auto"/>
        <w:ind w:firstLine="708"/>
        <w:jc w:val="both"/>
        <w:rPr>
          <w:rFonts w:ascii="Arial" w:hAnsi="Arial" w:cs="Arial"/>
          <w:sz w:val="22"/>
        </w:rPr>
      </w:pPr>
      <w:r w:rsidRPr="00F743B6">
        <w:rPr>
          <w:rFonts w:ascii="Arial" w:hAnsi="Arial" w:cs="Arial"/>
          <w:b/>
          <w:sz w:val="22"/>
        </w:rPr>
        <w:t xml:space="preserve">2.  </w:t>
      </w:r>
      <w:r w:rsidRPr="00F743B6">
        <w:rPr>
          <w:rFonts w:ascii="Arial" w:hAnsi="Arial" w:cs="Arial"/>
          <w:sz w:val="22"/>
        </w:rPr>
        <w:t xml:space="preserve">Para que se acredite el servicio nacional el oferente debe presentar: </w:t>
      </w:r>
    </w:p>
    <w:p w14:paraId="06278963" w14:textId="77777777" w:rsidR="003B2E57" w:rsidRPr="00F743B6" w:rsidRDefault="003B2E57" w:rsidP="003B2E57">
      <w:pPr>
        <w:spacing w:before="120" w:after="120" w:line="276" w:lineRule="auto"/>
        <w:ind w:firstLine="708"/>
        <w:jc w:val="both"/>
        <w:rPr>
          <w:rFonts w:ascii="Arial" w:hAnsi="Arial" w:cs="Arial"/>
          <w:sz w:val="22"/>
          <w:lang w:val="es-CO"/>
        </w:rPr>
      </w:pPr>
      <w:r w:rsidRPr="00F743B6">
        <w:rPr>
          <w:rFonts w:ascii="Arial" w:hAnsi="Arial" w:cs="Arial"/>
          <w:b/>
          <w:bCs/>
          <w:sz w:val="22"/>
          <w:lang w:val="es-CO"/>
        </w:rPr>
        <w:t>2.1.</w:t>
      </w:r>
      <w:r w:rsidRPr="00F743B6">
        <w:rPr>
          <w:rFonts w:ascii="Arial" w:hAnsi="Arial" w:cs="Arial"/>
          <w:sz w:val="22"/>
          <w:lang w:val="es-CO"/>
        </w:rPr>
        <w:t xml:space="preserve"> Persona natural colombiana: Cédula de ciudadanía del Proponente.</w:t>
      </w:r>
    </w:p>
    <w:p w14:paraId="35CE3BC9" w14:textId="77777777" w:rsidR="003B2E57" w:rsidRPr="00F743B6" w:rsidRDefault="003B2E57" w:rsidP="003B2E57">
      <w:pPr>
        <w:spacing w:before="120" w:after="120" w:line="276" w:lineRule="auto"/>
        <w:ind w:firstLine="708"/>
        <w:jc w:val="both"/>
        <w:rPr>
          <w:rFonts w:ascii="Arial" w:hAnsi="Arial" w:cs="Arial"/>
          <w:sz w:val="22"/>
          <w:lang w:val="es-CO"/>
        </w:rPr>
      </w:pPr>
      <w:r w:rsidRPr="00F743B6">
        <w:rPr>
          <w:rFonts w:ascii="Arial" w:hAnsi="Arial" w:cs="Arial"/>
          <w:b/>
          <w:bCs/>
          <w:sz w:val="22"/>
          <w:lang w:val="es-CO"/>
        </w:rPr>
        <w:t>2.2.</w:t>
      </w:r>
      <w:r w:rsidRPr="00F743B6">
        <w:rPr>
          <w:rFonts w:ascii="Arial" w:hAnsi="Arial" w:cs="Arial"/>
          <w:sz w:val="22"/>
          <w:lang w:val="es-CO"/>
        </w:rPr>
        <w:t xml:space="preserve"> Persona natural extranjera residente en Colombia: La visa de residencia que le permita la ejecución del objeto contractual de conformidad con la Ley. </w:t>
      </w:r>
    </w:p>
    <w:p w14:paraId="43D856ED" w14:textId="77777777" w:rsidR="003B2E57" w:rsidRPr="00F743B6" w:rsidRDefault="003B2E57" w:rsidP="003B2E57">
      <w:pPr>
        <w:spacing w:before="120" w:after="120" w:line="276" w:lineRule="auto"/>
        <w:ind w:firstLine="708"/>
        <w:jc w:val="both"/>
        <w:rPr>
          <w:rFonts w:ascii="Arial" w:hAnsi="Arial" w:cs="Arial"/>
          <w:sz w:val="22"/>
          <w:lang w:val="es-CO"/>
        </w:rPr>
      </w:pPr>
      <w:r w:rsidRPr="00F743B6">
        <w:rPr>
          <w:rFonts w:ascii="Arial" w:hAnsi="Arial" w:cs="Arial"/>
          <w:b/>
          <w:bCs/>
          <w:sz w:val="22"/>
          <w:lang w:val="es-CO"/>
        </w:rPr>
        <w:t>2.3.</w:t>
      </w:r>
      <w:r w:rsidRPr="00F743B6">
        <w:rPr>
          <w:rFonts w:ascii="Arial" w:hAnsi="Arial" w:cs="Arial"/>
          <w:sz w:val="22"/>
          <w:lang w:val="es-CO"/>
        </w:rPr>
        <w:t xml:space="preserve"> Persona jurídica constituida en Colombia: El Certificado de existencia y representación legal emitido por las Cámaras de Comercio. </w:t>
      </w:r>
    </w:p>
    <w:p w14:paraId="5D8B91D2" w14:textId="77777777" w:rsidR="003B2E57" w:rsidRPr="00F743B6" w:rsidRDefault="003B2E57" w:rsidP="003B2E57">
      <w:pPr>
        <w:spacing w:before="120" w:after="120" w:line="276" w:lineRule="auto"/>
        <w:ind w:firstLine="708"/>
        <w:jc w:val="both"/>
        <w:rPr>
          <w:rFonts w:ascii="Arial" w:hAnsi="Arial" w:cs="Arial"/>
          <w:sz w:val="22"/>
          <w:lang w:val="es-CO"/>
        </w:rPr>
      </w:pPr>
      <w:r w:rsidRPr="00F743B6">
        <w:rPr>
          <w:rFonts w:ascii="Arial" w:hAnsi="Arial" w:cs="Arial"/>
          <w:b/>
          <w:sz w:val="22"/>
          <w:lang w:val="es-CO"/>
        </w:rPr>
        <w:t xml:space="preserve">3. </w:t>
      </w:r>
      <w:r w:rsidRPr="00F743B6">
        <w:rPr>
          <w:rFonts w:ascii="Arial" w:hAnsi="Arial" w:cs="Arial"/>
          <w:sz w:val="22"/>
          <w:lang w:val="es-CO"/>
        </w:rPr>
        <w:t>Para que se acredite el Trato Nacional: El proponente extranjero debe acreditar que los servicios son originarios de los Estados mencionados en la sección de acuerdos comerciales aplicables al presente proceso de contratación, información que se acreditará con los documentos que aporte el proponente extranjero para acreditar su domicilio</w:t>
      </w:r>
      <w:r w:rsidRPr="00F743B6" w:rsidDel="00372059">
        <w:rPr>
          <w:rFonts w:ascii="Arial" w:hAnsi="Arial" w:cs="Arial"/>
          <w:sz w:val="22"/>
          <w:lang w:val="es-CO"/>
        </w:rPr>
        <w:t>.</w:t>
      </w:r>
      <w:r w:rsidRPr="00F743B6">
        <w:rPr>
          <w:rFonts w:ascii="Arial" w:hAnsi="Arial" w:cs="Arial"/>
          <w:sz w:val="22"/>
          <w:lang w:val="es-CO"/>
        </w:rPr>
        <w:t xml:space="preserve"> </w:t>
      </w:r>
    </w:p>
    <w:p w14:paraId="4E660951" w14:textId="77777777" w:rsidR="003B2E57" w:rsidRPr="00F743B6" w:rsidRDefault="003B2E57" w:rsidP="003B2E57">
      <w:pPr>
        <w:spacing w:before="120" w:line="276" w:lineRule="auto"/>
        <w:ind w:firstLine="708"/>
        <w:jc w:val="both"/>
        <w:rPr>
          <w:rFonts w:ascii="Arial" w:hAnsi="Arial" w:cs="Arial"/>
          <w:sz w:val="22"/>
          <w:lang w:val="es-CO"/>
        </w:rPr>
      </w:pPr>
      <w:r w:rsidRPr="00F743B6">
        <w:rPr>
          <w:rFonts w:ascii="Arial" w:hAnsi="Arial" w:cs="Arial"/>
          <w:b/>
          <w:sz w:val="22"/>
          <w:lang w:val="es-CO"/>
        </w:rPr>
        <w:t xml:space="preserve">4. </w:t>
      </w:r>
      <w:r w:rsidRPr="00F743B6">
        <w:rPr>
          <w:rFonts w:ascii="Arial" w:hAnsi="Arial" w:cs="Arial"/>
          <w:sz w:val="22"/>
          <w:lang w:val="es-CO"/>
        </w:rPr>
        <w:t xml:space="preserve">La Entidad asignará diez (10) puntos a un proponente plural cuando todos sus integrantes cumplan con las anteriores condiciones. </w:t>
      </w:r>
    </w:p>
    <w:p w14:paraId="3B805513" w14:textId="77777777" w:rsidR="003B2E57" w:rsidRDefault="003B2E57" w:rsidP="003B2E57">
      <w:pPr>
        <w:spacing w:line="276" w:lineRule="auto"/>
        <w:jc w:val="both"/>
        <w:rPr>
          <w:rFonts w:ascii="Arial" w:eastAsia="Calibri" w:hAnsi="Arial" w:cs="Arial"/>
          <w:b/>
          <w:bCs/>
          <w:sz w:val="22"/>
        </w:rPr>
      </w:pPr>
    </w:p>
    <w:p w14:paraId="454C7BEA" w14:textId="77777777" w:rsidR="003B2E57" w:rsidRPr="000B55FB" w:rsidRDefault="003B2E57" w:rsidP="003B2E57">
      <w:pPr>
        <w:spacing w:line="276" w:lineRule="auto"/>
        <w:jc w:val="both"/>
        <w:rPr>
          <w:rFonts w:ascii="Arial" w:eastAsia="Calibri" w:hAnsi="Arial" w:cs="Arial"/>
          <w:b/>
          <w:bCs/>
          <w:sz w:val="22"/>
        </w:rPr>
      </w:pPr>
      <w:r w:rsidRPr="005C02AB">
        <w:rPr>
          <w:rFonts w:ascii="Arial" w:eastAsia="Calibri" w:hAnsi="Arial" w:cs="Arial"/>
          <w:b/>
          <w:bCs/>
          <w:sz w:val="22"/>
        </w:rPr>
        <w:t>2.3. Formato 2 - Conformación de proponente plural: aceptación de la designación como representante legal suplente</w:t>
      </w:r>
    </w:p>
    <w:p w14:paraId="223A9AD3" w14:textId="77777777" w:rsidR="003B2E57" w:rsidRPr="000B55FB" w:rsidRDefault="003B2E57" w:rsidP="003B2E57">
      <w:pPr>
        <w:spacing w:line="276" w:lineRule="auto"/>
        <w:jc w:val="both"/>
        <w:rPr>
          <w:rFonts w:ascii="Arial" w:eastAsia="Calibri" w:hAnsi="Arial" w:cs="Arial"/>
          <w:b/>
          <w:bCs/>
          <w:sz w:val="22"/>
        </w:rPr>
      </w:pPr>
    </w:p>
    <w:p w14:paraId="3D5249D3" w14:textId="77777777" w:rsidR="003B2E57" w:rsidRDefault="003B2E57" w:rsidP="003B2E57">
      <w:pPr>
        <w:spacing w:after="120" w:line="276" w:lineRule="auto"/>
        <w:jc w:val="both"/>
        <w:rPr>
          <w:rFonts w:ascii="Arial" w:hAnsi="Arial" w:cs="Arial"/>
          <w:sz w:val="22"/>
        </w:rPr>
      </w:pPr>
      <w:r>
        <w:rPr>
          <w:rFonts w:ascii="Arial" w:hAnsi="Arial" w:cs="Arial"/>
          <w:sz w:val="22"/>
        </w:rPr>
        <w:lastRenderedPageBreak/>
        <w:t>El «</w:t>
      </w:r>
      <w:r w:rsidRPr="001D6264">
        <w:rPr>
          <w:rFonts w:ascii="Arial" w:hAnsi="Arial" w:cs="Arial"/>
          <w:sz w:val="22"/>
        </w:rPr>
        <w:t>Formato 2 - Conformación de proponente plural</w:t>
      </w:r>
      <w:r>
        <w:rPr>
          <w:rFonts w:ascii="Arial" w:hAnsi="Arial" w:cs="Arial"/>
          <w:sz w:val="22"/>
        </w:rPr>
        <w:t xml:space="preserve">» de los Documentos Tipo contiene dos formatos: i) consorcio y </w:t>
      </w:r>
      <w:proofErr w:type="spellStart"/>
      <w:r>
        <w:rPr>
          <w:rFonts w:ascii="Arial" w:hAnsi="Arial" w:cs="Arial"/>
          <w:sz w:val="22"/>
        </w:rPr>
        <w:t>ii</w:t>
      </w:r>
      <w:proofErr w:type="spellEnd"/>
      <w:r>
        <w:rPr>
          <w:rFonts w:ascii="Arial" w:hAnsi="Arial" w:cs="Arial"/>
          <w:sz w:val="22"/>
        </w:rPr>
        <w:t>) unión temporal, y se debe seleccionar el formato de acuerdo con la figura que se haya conformado para participar en el procedimiento contractual. En todo caso, estos documentos tienen espacios en blanco señalados con corchetes y color gris, para que el proponente plural diligencie la información del procedimiento y los datos de su representante legal. Seguido de esto, el formato enlista las manifestaciones que realiza el proponente plural para participar en el procedimiento de selección, mediante la figura asociativa que haya elegido.</w:t>
      </w:r>
    </w:p>
    <w:p w14:paraId="18E6EDD6" w14:textId="77777777" w:rsidR="003B2E57" w:rsidRDefault="003B2E57" w:rsidP="003B2E57">
      <w:pPr>
        <w:spacing w:after="120" w:line="276" w:lineRule="auto"/>
        <w:jc w:val="both"/>
        <w:rPr>
          <w:rFonts w:ascii="Arial" w:hAnsi="Arial" w:cs="Arial"/>
          <w:sz w:val="22"/>
        </w:rPr>
      </w:pPr>
      <w:r>
        <w:rPr>
          <w:rFonts w:ascii="Arial" w:hAnsi="Arial" w:cs="Arial"/>
          <w:sz w:val="22"/>
        </w:rPr>
        <w:tab/>
        <w:t>Las manifestaciones dentro del «</w:t>
      </w:r>
      <w:r w:rsidRPr="001D6264">
        <w:rPr>
          <w:rFonts w:ascii="Arial" w:hAnsi="Arial" w:cs="Arial"/>
          <w:sz w:val="22"/>
        </w:rPr>
        <w:t>Formato 2 - Conformación de proponente plural</w:t>
      </w:r>
      <w:r>
        <w:rPr>
          <w:rFonts w:ascii="Arial" w:hAnsi="Arial" w:cs="Arial"/>
          <w:sz w:val="22"/>
        </w:rPr>
        <w:t>» están relacionadas con las condiciones principales del consorcio o la unión temporal, como su duración, los integrantes y sus actividades, responsabilidad, representación legal, entre otros. Asimismo, el formato permite que se incluyan cláusulas adicionales que no contradigan las disposiciones de los Documentos Tipo, y que su finalidad sea establecer reglas para la relación entre los miembros o integrantes del proponente plural.</w:t>
      </w:r>
    </w:p>
    <w:p w14:paraId="6E3ED779" w14:textId="77777777" w:rsidR="003B2E57" w:rsidRDefault="003B2E57" w:rsidP="003B2E57">
      <w:pPr>
        <w:spacing w:after="120" w:line="276" w:lineRule="auto"/>
        <w:ind w:firstLine="709"/>
        <w:jc w:val="both"/>
        <w:rPr>
          <w:rFonts w:ascii="Arial" w:hAnsi="Arial" w:cs="Arial"/>
          <w:sz w:val="22"/>
        </w:rPr>
      </w:pPr>
      <w:r>
        <w:rPr>
          <w:rFonts w:ascii="Arial" w:hAnsi="Arial" w:cs="Arial"/>
          <w:sz w:val="22"/>
        </w:rPr>
        <w:t>Para la participación en el procedimiento de contratación,</w:t>
      </w:r>
      <w:r w:rsidRPr="00422382">
        <w:rPr>
          <w:rFonts w:ascii="Arial" w:hAnsi="Arial" w:cs="Arial"/>
          <w:sz w:val="22"/>
        </w:rPr>
        <w:t xml:space="preserve"> las entidades involucradas en la adopción de los Documentos Tipo</w:t>
      </w:r>
      <w:r>
        <w:rPr>
          <w:rFonts w:ascii="Arial" w:hAnsi="Arial" w:cs="Arial"/>
          <w:sz w:val="22"/>
        </w:rPr>
        <w:t xml:space="preserve"> –</w:t>
      </w:r>
      <w:r w:rsidRPr="00422382">
        <w:rPr>
          <w:rFonts w:ascii="Arial" w:hAnsi="Arial" w:cs="Arial"/>
          <w:sz w:val="22"/>
        </w:rPr>
        <w:t>la Agencia Nacional de Contratación Pública - Colombia Compra Eficiente, en coordinación con el Departamento Nacional de Planeación (DNP) y el Ministerio de Transporte</w:t>
      </w:r>
      <w:r>
        <w:rPr>
          <w:rFonts w:ascii="Arial" w:hAnsi="Arial" w:cs="Arial"/>
          <w:sz w:val="22"/>
        </w:rPr>
        <w:t>–</w:t>
      </w:r>
      <w:r w:rsidRPr="00422382">
        <w:rPr>
          <w:rFonts w:ascii="Arial" w:hAnsi="Arial" w:cs="Arial"/>
          <w:sz w:val="22"/>
        </w:rPr>
        <w:t xml:space="preserve"> crearon los documentos necesarios para </w:t>
      </w:r>
      <w:r>
        <w:rPr>
          <w:rFonts w:ascii="Arial" w:hAnsi="Arial" w:cs="Arial"/>
          <w:sz w:val="22"/>
        </w:rPr>
        <w:t xml:space="preserve">el </w:t>
      </w:r>
      <w:r w:rsidRPr="00422382">
        <w:rPr>
          <w:rFonts w:ascii="Arial" w:hAnsi="Arial" w:cs="Arial"/>
          <w:sz w:val="22"/>
        </w:rPr>
        <w:t>desarroll</w:t>
      </w:r>
      <w:r>
        <w:rPr>
          <w:rFonts w:ascii="Arial" w:hAnsi="Arial" w:cs="Arial"/>
          <w:sz w:val="22"/>
        </w:rPr>
        <w:t>o d</w:t>
      </w:r>
      <w:r w:rsidRPr="00422382">
        <w:rPr>
          <w:rFonts w:ascii="Arial" w:hAnsi="Arial" w:cs="Arial"/>
          <w:sz w:val="22"/>
        </w:rPr>
        <w:t xml:space="preserve">el procedimiento, </w:t>
      </w:r>
      <w:r>
        <w:rPr>
          <w:rFonts w:ascii="Arial" w:hAnsi="Arial" w:cs="Arial"/>
          <w:sz w:val="22"/>
        </w:rPr>
        <w:t xml:space="preserve">y consideraron que el representante legal principal es quien tiene relevancia para la contratación, ya que cuenta con las facultades necesarias que permiten la participación de la figura asociativa que representa y puede asumir las obligaciones que serán responsabilidad del proponente, respecto de la ejecución del contrato y la satisfacción de la necesidad de la entidad. </w:t>
      </w:r>
    </w:p>
    <w:p w14:paraId="7BDD27A7" w14:textId="77777777" w:rsidR="003B2E57" w:rsidRDefault="003B2E57" w:rsidP="003B2E57">
      <w:pPr>
        <w:spacing w:after="120" w:line="276" w:lineRule="auto"/>
        <w:ind w:firstLine="709"/>
        <w:jc w:val="both"/>
        <w:rPr>
          <w:rFonts w:ascii="Arial" w:hAnsi="Arial" w:cs="Arial"/>
          <w:sz w:val="22"/>
        </w:rPr>
      </w:pPr>
      <w:r>
        <w:rPr>
          <w:rFonts w:ascii="Arial" w:hAnsi="Arial" w:cs="Arial"/>
          <w:sz w:val="22"/>
        </w:rPr>
        <w:t>De esta manera, el numeral 7 del «</w:t>
      </w:r>
      <w:r w:rsidRPr="001D6264">
        <w:rPr>
          <w:rFonts w:ascii="Arial" w:hAnsi="Arial" w:cs="Arial"/>
          <w:sz w:val="22"/>
        </w:rPr>
        <w:t>Formato 2 - Conformación de proponente plural</w:t>
      </w:r>
      <w:r>
        <w:rPr>
          <w:rFonts w:ascii="Arial" w:hAnsi="Arial" w:cs="Arial"/>
          <w:sz w:val="22"/>
        </w:rPr>
        <w:t xml:space="preserve">» contiene la aceptación expresa del representante legal principal del proponente plural, la cual es la que se considera relevante en criterio de las entidades que adoptaron los Documentos Tipo, quienes no incluyeron lo referente al representante legal suplente en los numerales del formato por considerar que no se asegura que pueda comprometer al consocio o a la unión temporal, teniendo en cuenta que esto depende de eventos relacionados con ausencias temporales o absolutas que corresponden a las relaciones internas de los integrantes, dificultando en muchas ocasiones que la entidad pueda determinar si el representante legal suplente tiene la capacidad suficiente para asegurar el cumplimiento de las obligaciones asumidas, lo cual puede poner en riesgo la ejecución del objeto contractual. Además de ello, debe tenerse en cuenta que la definición de un representante legal </w:t>
      </w:r>
      <w:r w:rsidRPr="00CF2CCA">
        <w:rPr>
          <w:rFonts w:ascii="Arial" w:hAnsi="Arial" w:cs="Arial"/>
          <w:i/>
          <w:iCs/>
          <w:sz w:val="22"/>
        </w:rPr>
        <w:t>suplente</w:t>
      </w:r>
      <w:r>
        <w:rPr>
          <w:rFonts w:ascii="Arial" w:hAnsi="Arial" w:cs="Arial"/>
          <w:sz w:val="22"/>
        </w:rPr>
        <w:t xml:space="preserve"> es facultativa por parte de los proponentes, de manera que algunos proponentes podrían contar con este y otros no.</w:t>
      </w:r>
    </w:p>
    <w:p w14:paraId="6E4724AE" w14:textId="77777777" w:rsidR="003B2E57" w:rsidRPr="00F743B6" w:rsidRDefault="003B2E57" w:rsidP="003B2E57">
      <w:pPr>
        <w:spacing w:line="276" w:lineRule="auto"/>
        <w:ind w:firstLine="708"/>
        <w:jc w:val="both"/>
        <w:rPr>
          <w:rFonts w:ascii="Arial" w:hAnsi="Arial" w:cs="Arial"/>
          <w:sz w:val="22"/>
        </w:rPr>
      </w:pPr>
      <w:r>
        <w:rPr>
          <w:rFonts w:ascii="Arial" w:hAnsi="Arial" w:cs="Arial"/>
          <w:sz w:val="22"/>
        </w:rPr>
        <w:t>En conclusión, se puede observar que el «</w:t>
      </w:r>
      <w:r w:rsidRPr="001D6264">
        <w:rPr>
          <w:rFonts w:ascii="Arial" w:hAnsi="Arial" w:cs="Arial"/>
          <w:sz w:val="22"/>
        </w:rPr>
        <w:t>Formato 2 - Conformación de proponente plural</w:t>
      </w:r>
      <w:r>
        <w:rPr>
          <w:rFonts w:ascii="Arial" w:hAnsi="Arial" w:cs="Arial"/>
          <w:sz w:val="22"/>
        </w:rPr>
        <w:t xml:space="preserve">» no hace referencia al representante legal suplente en los mismos </w:t>
      </w:r>
      <w:r>
        <w:rPr>
          <w:rFonts w:ascii="Arial" w:hAnsi="Arial" w:cs="Arial"/>
          <w:sz w:val="22"/>
        </w:rPr>
        <w:lastRenderedPageBreak/>
        <w:t xml:space="preserve">términos o con un tratamiento similar al del representante legal principal, lo cual fue definido así por las entidades que adoptaron los Documentos Tipo, quienes tienen autonomía para estructurarlos con base en criterios jurídicos de conformidad con las facultades otorgadas para esto, así como </w:t>
      </w:r>
      <w:r w:rsidRPr="00F743B6">
        <w:rPr>
          <w:rFonts w:ascii="Arial" w:hAnsi="Arial" w:cs="Arial"/>
          <w:sz w:val="22"/>
        </w:rPr>
        <w:t>tiene</w:t>
      </w:r>
      <w:r>
        <w:rPr>
          <w:rFonts w:ascii="Arial" w:hAnsi="Arial" w:cs="Arial"/>
          <w:sz w:val="22"/>
        </w:rPr>
        <w:t>n</w:t>
      </w:r>
      <w:r w:rsidRPr="00F743B6">
        <w:rPr>
          <w:rFonts w:ascii="Arial" w:hAnsi="Arial" w:cs="Arial"/>
          <w:sz w:val="22"/>
        </w:rPr>
        <w:t xml:space="preserve"> el deber de revisar periódicamente el contenido de los Documentos Tipo, con el fin de adaptarlos a la realidad de la contratación del país</w:t>
      </w:r>
      <w:r>
        <w:rPr>
          <w:rFonts w:ascii="Arial" w:hAnsi="Arial" w:cs="Arial"/>
          <w:sz w:val="22"/>
        </w:rPr>
        <w:t xml:space="preserve">, y en esa medida se publicó la versión 2 </w:t>
      </w:r>
      <w:r w:rsidRPr="00F743B6">
        <w:rPr>
          <w:rFonts w:ascii="Arial" w:hAnsi="Arial" w:cs="Arial"/>
          <w:sz w:val="22"/>
        </w:rPr>
        <w:t>el 14 de febrero de 2020 y la Resolución No. 0045 de 2020 de Colombia Compra Eficiente</w:t>
      </w:r>
      <w:r>
        <w:rPr>
          <w:rFonts w:ascii="Arial" w:hAnsi="Arial" w:cs="Arial"/>
          <w:sz w:val="22"/>
        </w:rPr>
        <w:t xml:space="preserve"> que</w:t>
      </w:r>
      <w:r w:rsidRPr="00F743B6">
        <w:rPr>
          <w:rFonts w:ascii="Arial" w:hAnsi="Arial" w:cs="Arial"/>
          <w:sz w:val="22"/>
        </w:rPr>
        <w:t xml:space="preserve"> los adoptó, por lo que rigen desde el 10 de marzo de 2020, salvo para los procedimientos cuyo aviso de convocatoria se haya publicado antes de esa fecha</w:t>
      </w:r>
      <w:r w:rsidRPr="00F743B6">
        <w:rPr>
          <w:rStyle w:val="Refdenotaalpie"/>
          <w:rFonts w:ascii="Arial" w:hAnsi="Arial" w:cs="Arial"/>
          <w:sz w:val="22"/>
        </w:rPr>
        <w:footnoteReference w:id="4"/>
      </w:r>
      <w:r>
        <w:rPr>
          <w:rFonts w:ascii="Arial" w:hAnsi="Arial" w:cs="Arial"/>
          <w:sz w:val="22"/>
        </w:rPr>
        <w:t>.</w:t>
      </w:r>
    </w:p>
    <w:p w14:paraId="3A572085" w14:textId="77777777" w:rsidR="003B2E57" w:rsidRPr="000B55FB" w:rsidRDefault="003B2E57" w:rsidP="003B2E57">
      <w:pPr>
        <w:spacing w:line="276" w:lineRule="auto"/>
        <w:jc w:val="both"/>
        <w:rPr>
          <w:rFonts w:ascii="Arial" w:eastAsia="Calibri" w:hAnsi="Arial" w:cs="Arial"/>
          <w:b/>
          <w:sz w:val="22"/>
        </w:rPr>
      </w:pPr>
    </w:p>
    <w:p w14:paraId="3B876B27" w14:textId="77777777" w:rsidR="003B2E57" w:rsidRPr="000B55FB" w:rsidRDefault="003B2E57" w:rsidP="003B2E57">
      <w:pPr>
        <w:pStyle w:val="Prrafodelista"/>
        <w:tabs>
          <w:tab w:val="left" w:pos="284"/>
        </w:tabs>
        <w:spacing w:line="276" w:lineRule="auto"/>
        <w:ind w:left="0"/>
        <w:jc w:val="both"/>
        <w:rPr>
          <w:rFonts w:ascii="Arial" w:eastAsia="Calibri" w:hAnsi="Arial" w:cs="Arial"/>
          <w:sz w:val="22"/>
        </w:rPr>
      </w:pPr>
      <w:r w:rsidRPr="000B55FB">
        <w:rPr>
          <w:rFonts w:ascii="Arial" w:eastAsia="Calibri" w:hAnsi="Arial" w:cs="Arial"/>
          <w:b/>
          <w:sz w:val="22"/>
        </w:rPr>
        <w:t>3. Respuestas</w:t>
      </w:r>
    </w:p>
    <w:p w14:paraId="55269307" w14:textId="043076DD" w:rsidR="003B2E57" w:rsidRDefault="003B2E57" w:rsidP="003B2E57">
      <w:pPr>
        <w:spacing w:line="276" w:lineRule="auto"/>
        <w:ind w:left="709" w:right="709"/>
        <w:jc w:val="both"/>
        <w:rPr>
          <w:rFonts w:ascii="Arial" w:eastAsia="Calibri" w:hAnsi="Arial" w:cs="Arial"/>
          <w:iCs/>
          <w:sz w:val="22"/>
        </w:rPr>
      </w:pPr>
    </w:p>
    <w:p w14:paraId="524CB441" w14:textId="77777777" w:rsidR="005419F7" w:rsidRPr="00DA1FD5" w:rsidRDefault="005419F7" w:rsidP="003B2E57">
      <w:pPr>
        <w:spacing w:line="276" w:lineRule="auto"/>
        <w:ind w:left="709" w:right="709"/>
        <w:jc w:val="both"/>
        <w:rPr>
          <w:rFonts w:ascii="Arial" w:eastAsia="Calibri" w:hAnsi="Arial" w:cs="Arial"/>
          <w:iCs/>
          <w:sz w:val="22"/>
        </w:rPr>
      </w:pPr>
    </w:p>
    <w:p w14:paraId="43E367E8" w14:textId="77777777" w:rsidR="003B2E57" w:rsidRPr="00CF2CCA" w:rsidRDefault="003B2E57" w:rsidP="003B2E57">
      <w:pPr>
        <w:ind w:left="709" w:right="709"/>
        <w:jc w:val="both"/>
        <w:rPr>
          <w:rFonts w:ascii="Arial" w:eastAsia="Calibri" w:hAnsi="Arial" w:cs="Arial"/>
          <w:sz w:val="21"/>
          <w:szCs w:val="21"/>
        </w:rPr>
      </w:pPr>
      <w:r w:rsidRPr="00CF2CCA">
        <w:rPr>
          <w:rFonts w:ascii="Arial" w:eastAsia="Calibri" w:hAnsi="Arial" w:cs="Arial"/>
          <w:sz w:val="21"/>
          <w:szCs w:val="21"/>
        </w:rPr>
        <w:t>i) «</w:t>
      </w:r>
      <w:proofErr w:type="gramStart"/>
      <w:r w:rsidRPr="00CF2CCA">
        <w:rPr>
          <w:rFonts w:ascii="Arial" w:eastAsia="Calibri" w:hAnsi="Arial" w:cs="Arial"/>
          <w:sz w:val="21"/>
          <w:szCs w:val="21"/>
        </w:rPr>
        <w:t>[...]¿</w:t>
      </w:r>
      <w:proofErr w:type="gramEnd"/>
      <w:r w:rsidRPr="00CF2CCA">
        <w:rPr>
          <w:rFonts w:ascii="Arial" w:eastAsia="Calibri" w:hAnsi="Arial" w:cs="Arial"/>
          <w:sz w:val="21"/>
          <w:szCs w:val="21"/>
        </w:rPr>
        <w:t>Qué sucede si se inicia la apertura de los sobres 2 y antes de terminar dicho proceso se sabe la TRM del día siguiente?[...]»</w:t>
      </w:r>
    </w:p>
    <w:p w14:paraId="06160C7F" w14:textId="3E4FBF33" w:rsidR="003B2E57" w:rsidRDefault="003B2E57" w:rsidP="003B2E57">
      <w:pPr>
        <w:spacing w:line="276" w:lineRule="auto"/>
        <w:ind w:left="708" w:right="709"/>
        <w:jc w:val="both"/>
        <w:rPr>
          <w:rFonts w:ascii="Arial" w:eastAsia="Calibri" w:hAnsi="Arial" w:cs="Arial"/>
          <w:sz w:val="22"/>
        </w:rPr>
      </w:pPr>
    </w:p>
    <w:p w14:paraId="1466D72E" w14:textId="77777777" w:rsidR="005419F7" w:rsidRPr="00D87626" w:rsidRDefault="005419F7" w:rsidP="003B2E57">
      <w:pPr>
        <w:spacing w:line="276" w:lineRule="auto"/>
        <w:ind w:left="708" w:right="709"/>
        <w:jc w:val="both"/>
        <w:rPr>
          <w:rFonts w:ascii="Arial" w:eastAsia="Calibri" w:hAnsi="Arial" w:cs="Arial"/>
          <w:sz w:val="22"/>
        </w:rPr>
      </w:pPr>
    </w:p>
    <w:p w14:paraId="16EA161E" w14:textId="77777777" w:rsidR="003B2E57" w:rsidRPr="00D87626" w:rsidRDefault="003B2E57" w:rsidP="003B2E57">
      <w:pPr>
        <w:autoSpaceDE w:val="0"/>
        <w:autoSpaceDN w:val="0"/>
        <w:adjustRightInd w:val="0"/>
        <w:spacing w:after="120" w:line="276" w:lineRule="auto"/>
        <w:jc w:val="both"/>
        <w:rPr>
          <w:rFonts w:ascii="Arial" w:eastAsia="Calibri" w:hAnsi="Arial" w:cs="Arial"/>
          <w:sz w:val="22"/>
        </w:rPr>
      </w:pPr>
      <w:r w:rsidRPr="00D87626">
        <w:rPr>
          <w:rFonts w:ascii="Arial" w:eastAsia="Calibri" w:hAnsi="Arial" w:cs="Arial"/>
          <w:sz w:val="22"/>
        </w:rPr>
        <w:t>El Documento Base de los Documentos Tipo Versión 2 señala que la entidad debe dar apertura a los sobres No. 2 en un mismo día</w:t>
      </w:r>
      <w:r>
        <w:rPr>
          <w:rFonts w:ascii="Arial" w:eastAsia="Calibri" w:hAnsi="Arial" w:cs="Arial"/>
          <w:sz w:val="22"/>
        </w:rPr>
        <w:t>,</w:t>
      </w:r>
      <w:r w:rsidRPr="00D87626">
        <w:rPr>
          <w:rFonts w:ascii="Arial" w:eastAsia="Calibri" w:hAnsi="Arial" w:cs="Arial"/>
          <w:sz w:val="22"/>
        </w:rPr>
        <w:t xml:space="preserve"> y </w:t>
      </w:r>
      <w:r>
        <w:rPr>
          <w:rFonts w:ascii="Arial" w:eastAsia="Calibri" w:hAnsi="Arial" w:cs="Arial"/>
          <w:sz w:val="22"/>
        </w:rPr>
        <w:t xml:space="preserve">también debe </w:t>
      </w:r>
      <w:r w:rsidRPr="00D87626">
        <w:rPr>
          <w:rFonts w:ascii="Arial" w:eastAsia="Calibri" w:hAnsi="Arial" w:cs="Arial"/>
          <w:sz w:val="22"/>
        </w:rPr>
        <w:t>definir el método de ponderación de la oferta económica de acuerdo con la TRM del día siguiente a esta actividad</w:t>
      </w:r>
      <w:r>
        <w:rPr>
          <w:rFonts w:ascii="Arial" w:eastAsia="Calibri" w:hAnsi="Arial" w:cs="Arial"/>
          <w:sz w:val="22"/>
        </w:rPr>
        <w:t>,</w:t>
      </w:r>
      <w:r w:rsidRPr="00D87626">
        <w:rPr>
          <w:rFonts w:ascii="Arial" w:eastAsia="Calibri" w:hAnsi="Arial" w:cs="Arial"/>
          <w:sz w:val="22"/>
        </w:rPr>
        <w:t xml:space="preserve"> que se desarrolla dentro de la audiencia de adjudicación, la cual es certificada por la Superintendencia Financiera de Colombia.</w:t>
      </w:r>
    </w:p>
    <w:p w14:paraId="2D5F364C" w14:textId="77777777" w:rsidR="003B2E57" w:rsidRPr="00CB3E8D" w:rsidRDefault="003B2E57" w:rsidP="003B2E57">
      <w:pPr>
        <w:autoSpaceDE w:val="0"/>
        <w:autoSpaceDN w:val="0"/>
        <w:adjustRightInd w:val="0"/>
        <w:spacing w:line="276" w:lineRule="auto"/>
        <w:jc w:val="both"/>
        <w:rPr>
          <w:rFonts w:ascii="Arial" w:eastAsia="Calibri" w:hAnsi="Arial" w:cs="Arial"/>
          <w:sz w:val="22"/>
        </w:rPr>
      </w:pPr>
      <w:r w:rsidRPr="00D87626">
        <w:rPr>
          <w:rFonts w:ascii="Arial" w:eastAsia="Calibri" w:hAnsi="Arial" w:cs="Arial"/>
          <w:sz w:val="22"/>
        </w:rPr>
        <w:tab/>
        <w:t xml:space="preserve">En consecuencia, </w:t>
      </w:r>
      <w:r>
        <w:rPr>
          <w:rFonts w:ascii="Arial" w:eastAsia="Calibri" w:hAnsi="Arial" w:cs="Arial"/>
          <w:sz w:val="22"/>
        </w:rPr>
        <w:t>si la entidad comienza la apertura de ofertas antes de que se publique la TRM y cuando esta se conoce la entidad no ha finalizado el procedimiento, esa será la TRM que seguirá rigiendo la escogencia del método de ponderación de la oferta económica, a pesar de que la TRM se conozca sin haber terminado la apertura de ofertas,</w:t>
      </w:r>
      <w:r w:rsidRPr="00D93489">
        <w:rPr>
          <w:rFonts w:ascii="Arial" w:eastAsia="Calibri" w:hAnsi="Arial" w:cs="Arial"/>
          <w:sz w:val="22"/>
        </w:rPr>
        <w:t xml:space="preserve"> </w:t>
      </w:r>
      <w:r>
        <w:rPr>
          <w:rFonts w:ascii="Arial" w:eastAsia="Calibri" w:hAnsi="Arial" w:cs="Arial"/>
          <w:sz w:val="22"/>
        </w:rPr>
        <w:t>por expresa disposición de los Documentos Tipo que rigen el procedimiento, ya que esto no afecta la definición del método de ponderación, porque la entidad debe continuar la apertura de ofertas y finalizarla el mismo día, sin que ello implique cambiar la TRM aplicable.</w:t>
      </w:r>
    </w:p>
    <w:p w14:paraId="38B2BA55" w14:textId="63AC15C0" w:rsidR="003B2E57" w:rsidRDefault="003B2E57" w:rsidP="003B2E57">
      <w:pPr>
        <w:spacing w:line="276" w:lineRule="auto"/>
        <w:jc w:val="both"/>
        <w:rPr>
          <w:rFonts w:ascii="Arial" w:eastAsia="Calibri" w:hAnsi="Arial" w:cs="Arial"/>
          <w:sz w:val="22"/>
          <w:highlight w:val="yellow"/>
          <w:lang w:val="es-CO"/>
        </w:rPr>
      </w:pPr>
    </w:p>
    <w:p w14:paraId="5BCB556B" w14:textId="2298CE94" w:rsidR="005419F7" w:rsidRDefault="005419F7" w:rsidP="003B2E57">
      <w:pPr>
        <w:spacing w:line="276" w:lineRule="auto"/>
        <w:jc w:val="both"/>
        <w:rPr>
          <w:rFonts w:ascii="Arial" w:eastAsia="Calibri" w:hAnsi="Arial" w:cs="Arial"/>
          <w:sz w:val="22"/>
          <w:highlight w:val="yellow"/>
          <w:lang w:val="es-CO"/>
        </w:rPr>
      </w:pPr>
    </w:p>
    <w:p w14:paraId="5B39BC09" w14:textId="77777777" w:rsidR="005419F7" w:rsidRPr="00AA1C22" w:rsidRDefault="005419F7" w:rsidP="003B2E57">
      <w:pPr>
        <w:spacing w:line="276" w:lineRule="auto"/>
        <w:jc w:val="both"/>
        <w:rPr>
          <w:rFonts w:ascii="Arial" w:eastAsia="Calibri" w:hAnsi="Arial" w:cs="Arial"/>
          <w:sz w:val="22"/>
          <w:highlight w:val="yellow"/>
          <w:lang w:val="es-CO"/>
        </w:rPr>
      </w:pPr>
    </w:p>
    <w:p w14:paraId="3BA3159D" w14:textId="77777777" w:rsidR="003B2E57" w:rsidRPr="00CF2CCA" w:rsidRDefault="003B2E57" w:rsidP="003B2E57">
      <w:pPr>
        <w:ind w:left="709" w:right="709"/>
        <w:jc w:val="both"/>
        <w:rPr>
          <w:rFonts w:ascii="Arial" w:eastAsia="Calibri" w:hAnsi="Arial" w:cs="Arial"/>
          <w:sz w:val="21"/>
          <w:szCs w:val="21"/>
        </w:rPr>
      </w:pPr>
      <w:proofErr w:type="spellStart"/>
      <w:r w:rsidRPr="00CF2CCA">
        <w:rPr>
          <w:rFonts w:ascii="Arial" w:eastAsia="Calibri" w:hAnsi="Arial" w:cs="Arial"/>
          <w:sz w:val="21"/>
          <w:szCs w:val="21"/>
        </w:rPr>
        <w:lastRenderedPageBreak/>
        <w:t>ii</w:t>
      </w:r>
      <w:proofErr w:type="spellEnd"/>
      <w:r w:rsidRPr="00CF2CCA">
        <w:rPr>
          <w:rFonts w:ascii="Arial" w:eastAsia="Calibri" w:hAnsi="Arial" w:cs="Arial"/>
          <w:sz w:val="21"/>
          <w:szCs w:val="21"/>
        </w:rPr>
        <w:t>) ¿Es necesario presentar en un capítulo aparte de la oferta los documentos para la obtención del puntaje por industria nacional?</w:t>
      </w:r>
    </w:p>
    <w:p w14:paraId="7A80ED7E" w14:textId="50EF8EEB" w:rsidR="003B2E57" w:rsidRDefault="003B2E57" w:rsidP="003B2E57">
      <w:pPr>
        <w:spacing w:line="276" w:lineRule="auto"/>
        <w:ind w:left="709" w:right="709"/>
        <w:jc w:val="both"/>
        <w:rPr>
          <w:rFonts w:ascii="Arial" w:eastAsia="Calibri" w:hAnsi="Arial" w:cs="Arial"/>
          <w:sz w:val="22"/>
          <w:highlight w:val="yellow"/>
        </w:rPr>
      </w:pPr>
    </w:p>
    <w:p w14:paraId="114AAB8F" w14:textId="77777777" w:rsidR="005419F7" w:rsidRPr="00AA1C22" w:rsidRDefault="005419F7" w:rsidP="003B2E57">
      <w:pPr>
        <w:spacing w:line="276" w:lineRule="auto"/>
        <w:ind w:left="709" w:right="709"/>
        <w:jc w:val="both"/>
        <w:rPr>
          <w:rFonts w:ascii="Arial" w:eastAsia="Calibri" w:hAnsi="Arial" w:cs="Arial"/>
          <w:sz w:val="22"/>
          <w:highlight w:val="yellow"/>
        </w:rPr>
      </w:pPr>
    </w:p>
    <w:p w14:paraId="3F23E339" w14:textId="77777777" w:rsidR="003B2E57" w:rsidRPr="00240F88" w:rsidRDefault="003B2E57" w:rsidP="003B2E57">
      <w:pPr>
        <w:spacing w:after="120" w:line="276" w:lineRule="auto"/>
        <w:jc w:val="both"/>
        <w:rPr>
          <w:rFonts w:ascii="Arial" w:hAnsi="Arial" w:cs="Arial"/>
          <w:sz w:val="22"/>
          <w:lang w:val="es-CO"/>
        </w:rPr>
      </w:pPr>
      <w:r w:rsidRPr="00240F88">
        <w:rPr>
          <w:rFonts w:ascii="Arial" w:hAnsi="Arial" w:cs="Arial"/>
          <w:sz w:val="22"/>
          <w:lang w:val="es-CO"/>
        </w:rPr>
        <w:t xml:space="preserve">Los proponentes nacionales o con trato nacional obtendrán el puntaje por promoción a la industria nacional aportando los documentos establecidos en el numeral 4.3.1 del Documento Base. Existen documentos que permiten tanto la acreditación de requisitos habilitantes como de asignación de puntaje. Tal es el caso, de la fotocopia de la cédula de ciudadanía del proponente, tratándose de persona natural colombiana, o del certificado de existencia y representación legal para las personas jurídicas, los cuales permiten acreditar parte de la capacidad jurídica como requisito habilitante –numeral 3.3. del Documento Base– y a su vez, están contemplados en el Documento Base, como los documentos idóneos para obtener puntaje por promoción de servicios nacionales o con trato nacional. </w:t>
      </w:r>
    </w:p>
    <w:p w14:paraId="5ED0E3A3" w14:textId="77777777" w:rsidR="003B2E57" w:rsidRPr="00240F88" w:rsidRDefault="003B2E57" w:rsidP="003B2E57">
      <w:pPr>
        <w:spacing w:line="276" w:lineRule="auto"/>
        <w:ind w:firstLine="708"/>
        <w:jc w:val="both"/>
        <w:rPr>
          <w:rFonts w:ascii="Arial" w:hAnsi="Arial" w:cs="Arial"/>
          <w:sz w:val="22"/>
          <w:lang w:val="es-CO"/>
        </w:rPr>
      </w:pPr>
      <w:r w:rsidRPr="00240F88">
        <w:rPr>
          <w:rFonts w:ascii="Arial" w:hAnsi="Arial" w:cs="Arial"/>
          <w:sz w:val="22"/>
          <w:lang w:val="es-CO"/>
        </w:rPr>
        <w:t xml:space="preserve">Por tanto, tenga en cuenta que la propuesta es una sola y no </w:t>
      </w:r>
      <w:r>
        <w:rPr>
          <w:rFonts w:ascii="Arial" w:hAnsi="Arial" w:cs="Arial"/>
          <w:sz w:val="22"/>
          <w:lang w:val="es-CO"/>
        </w:rPr>
        <w:t>es necesario</w:t>
      </w:r>
      <w:r w:rsidRPr="00240F88">
        <w:rPr>
          <w:rFonts w:ascii="Arial" w:hAnsi="Arial" w:cs="Arial"/>
          <w:sz w:val="22"/>
          <w:lang w:val="es-CO"/>
        </w:rPr>
        <w:t xml:space="preserve"> aportar</w:t>
      </w:r>
      <w:r>
        <w:rPr>
          <w:rFonts w:ascii="Arial" w:hAnsi="Arial" w:cs="Arial"/>
          <w:sz w:val="22"/>
          <w:lang w:val="es-CO"/>
        </w:rPr>
        <w:t xml:space="preserve"> </w:t>
      </w:r>
      <w:r w:rsidRPr="00240F88">
        <w:rPr>
          <w:rFonts w:ascii="Arial" w:hAnsi="Arial" w:cs="Arial"/>
          <w:sz w:val="22"/>
          <w:lang w:val="es-CO"/>
        </w:rPr>
        <w:t>varias veces el mismo documento</w:t>
      </w:r>
      <w:r>
        <w:rPr>
          <w:rFonts w:ascii="Arial" w:hAnsi="Arial" w:cs="Arial"/>
          <w:sz w:val="22"/>
          <w:lang w:val="es-CO"/>
        </w:rPr>
        <w:t>, exigencia que desconocería el principio de economía</w:t>
      </w:r>
      <w:r w:rsidRPr="00240F88">
        <w:rPr>
          <w:rFonts w:ascii="Arial" w:hAnsi="Arial" w:cs="Arial"/>
          <w:sz w:val="22"/>
          <w:lang w:val="es-CO"/>
        </w:rPr>
        <w:t xml:space="preserve">. </w:t>
      </w:r>
      <w:r>
        <w:rPr>
          <w:rFonts w:ascii="Arial" w:hAnsi="Arial" w:cs="Arial"/>
          <w:sz w:val="22"/>
          <w:lang w:val="es-CO"/>
        </w:rPr>
        <w:t>Así</w:t>
      </w:r>
      <w:r w:rsidRPr="00240F88">
        <w:rPr>
          <w:rFonts w:ascii="Arial" w:hAnsi="Arial" w:cs="Arial"/>
          <w:sz w:val="22"/>
          <w:lang w:val="es-CO"/>
        </w:rPr>
        <w:t xml:space="preserve">, la entidad deberá evaluar tanto el requisito habilitante como de ponderación con los documentos aportados, sin que se requieran documentos o formatos adicionales a los señalados en el Documento Base. </w:t>
      </w:r>
    </w:p>
    <w:p w14:paraId="0EB9CD91" w14:textId="77777777" w:rsidR="003B2E57" w:rsidRDefault="003B2E57" w:rsidP="003B2E57">
      <w:pPr>
        <w:spacing w:line="276" w:lineRule="auto"/>
        <w:ind w:left="709" w:right="709"/>
        <w:jc w:val="both"/>
        <w:rPr>
          <w:rFonts w:ascii="Arial" w:eastAsia="Calibri" w:hAnsi="Arial" w:cs="Arial"/>
          <w:sz w:val="22"/>
          <w:highlight w:val="yellow"/>
        </w:rPr>
      </w:pPr>
    </w:p>
    <w:p w14:paraId="5222B1EE" w14:textId="77777777" w:rsidR="005419F7" w:rsidRDefault="005419F7" w:rsidP="003B2E57">
      <w:pPr>
        <w:ind w:left="709" w:right="709"/>
        <w:jc w:val="both"/>
        <w:rPr>
          <w:rFonts w:ascii="Arial" w:eastAsia="Calibri" w:hAnsi="Arial" w:cs="Arial"/>
          <w:sz w:val="21"/>
          <w:szCs w:val="21"/>
        </w:rPr>
      </w:pPr>
    </w:p>
    <w:p w14:paraId="090FF5FE" w14:textId="78A44CC9" w:rsidR="003B2E57" w:rsidRPr="00CF2CCA" w:rsidRDefault="003B2E57" w:rsidP="003B2E57">
      <w:pPr>
        <w:ind w:left="709" w:right="709"/>
        <w:jc w:val="both"/>
        <w:rPr>
          <w:rFonts w:ascii="Arial" w:eastAsia="Calibri" w:hAnsi="Arial" w:cs="Arial"/>
          <w:sz w:val="21"/>
          <w:szCs w:val="21"/>
        </w:rPr>
      </w:pPr>
      <w:proofErr w:type="spellStart"/>
      <w:r w:rsidRPr="00CF2CCA">
        <w:rPr>
          <w:rFonts w:ascii="Arial" w:eastAsia="Calibri" w:hAnsi="Arial" w:cs="Arial"/>
          <w:sz w:val="21"/>
          <w:szCs w:val="21"/>
        </w:rPr>
        <w:t>iii</w:t>
      </w:r>
      <w:proofErr w:type="spellEnd"/>
      <w:r w:rsidRPr="00CF2CCA">
        <w:rPr>
          <w:rFonts w:ascii="Arial" w:eastAsia="Calibri" w:hAnsi="Arial" w:cs="Arial"/>
          <w:sz w:val="21"/>
          <w:szCs w:val="21"/>
        </w:rPr>
        <w:t>) ¿Es necesario que en el Formato 2 - Conformación de proponente plural el representante legal suplente acepte el cargo, como sucede con el representante legal principal?</w:t>
      </w:r>
    </w:p>
    <w:p w14:paraId="445CBB3C" w14:textId="1810DB7E" w:rsidR="003B2E57" w:rsidRDefault="003B2E57" w:rsidP="003B2E57">
      <w:pPr>
        <w:spacing w:line="276" w:lineRule="auto"/>
        <w:ind w:left="709" w:right="709"/>
        <w:jc w:val="both"/>
        <w:rPr>
          <w:rFonts w:ascii="Arial" w:eastAsia="Calibri" w:hAnsi="Arial" w:cs="Arial"/>
          <w:sz w:val="22"/>
        </w:rPr>
      </w:pPr>
    </w:p>
    <w:p w14:paraId="59C1370E" w14:textId="77777777" w:rsidR="005419F7" w:rsidRPr="0040482A" w:rsidRDefault="005419F7" w:rsidP="003B2E57">
      <w:pPr>
        <w:spacing w:line="276" w:lineRule="auto"/>
        <w:ind w:left="709" w:right="709"/>
        <w:jc w:val="both"/>
        <w:rPr>
          <w:rFonts w:ascii="Arial" w:eastAsia="Calibri" w:hAnsi="Arial" w:cs="Arial"/>
          <w:sz w:val="22"/>
        </w:rPr>
      </w:pPr>
    </w:p>
    <w:p w14:paraId="3487BBD9" w14:textId="77777777" w:rsidR="003B2E57" w:rsidRDefault="003B2E57" w:rsidP="005419F7">
      <w:pPr>
        <w:spacing w:line="276" w:lineRule="auto"/>
        <w:jc w:val="both"/>
        <w:rPr>
          <w:rFonts w:ascii="Arial" w:hAnsi="Arial" w:cs="Arial"/>
          <w:sz w:val="22"/>
        </w:rPr>
      </w:pPr>
      <w:r w:rsidRPr="0040482A">
        <w:rPr>
          <w:rFonts w:ascii="Arial" w:hAnsi="Arial" w:cs="Arial"/>
          <w:sz w:val="22"/>
          <w:lang w:val="es-CO"/>
        </w:rPr>
        <w:t xml:space="preserve">El </w:t>
      </w:r>
      <w:r w:rsidRPr="0040482A">
        <w:rPr>
          <w:rFonts w:ascii="Arial" w:hAnsi="Arial" w:cs="Arial"/>
          <w:sz w:val="22"/>
        </w:rPr>
        <w:t>«Formato 2 - Conformación de proponente plural»</w:t>
      </w:r>
      <w:r>
        <w:rPr>
          <w:rFonts w:ascii="Arial" w:hAnsi="Arial" w:cs="Arial"/>
          <w:sz w:val="22"/>
          <w:lang w:val="es-CO"/>
        </w:rPr>
        <w:t xml:space="preserve"> contiene la información principal del consorcio y la unión temporal, específicamente la designación del representante legal. El numeral 7 del formato contiene la manifestación de que el representante legal «[...]</w:t>
      </w:r>
      <w:r w:rsidRPr="0040482A">
        <w:rPr>
          <w:rFonts w:ascii="Arial" w:hAnsi="Arial" w:cs="Arial"/>
          <w:sz w:val="22"/>
          <w:lang w:val="es-CO"/>
        </w:rPr>
        <w:t>acepta su nombramiento como representante lega</w:t>
      </w:r>
      <w:r>
        <w:rPr>
          <w:rFonts w:ascii="Arial" w:hAnsi="Arial" w:cs="Arial"/>
          <w:sz w:val="22"/>
          <w:lang w:val="es-CO"/>
        </w:rPr>
        <w:t xml:space="preserve">l[...]» del proponente plural. Las entidades que adoptaron </w:t>
      </w:r>
      <w:r w:rsidRPr="00422382">
        <w:rPr>
          <w:rFonts w:ascii="Arial" w:hAnsi="Arial" w:cs="Arial"/>
          <w:sz w:val="22"/>
        </w:rPr>
        <w:t>los Documentos Tipo</w:t>
      </w:r>
      <w:r>
        <w:rPr>
          <w:rFonts w:ascii="Arial" w:hAnsi="Arial" w:cs="Arial"/>
          <w:sz w:val="22"/>
        </w:rPr>
        <w:t xml:space="preserve"> –</w:t>
      </w:r>
      <w:r w:rsidRPr="00422382">
        <w:rPr>
          <w:rFonts w:ascii="Arial" w:hAnsi="Arial" w:cs="Arial"/>
          <w:sz w:val="22"/>
        </w:rPr>
        <w:t>la Agencia Nacional de Contratación Pública - Colombia Compra Eficiente, en coordinación con el Departamento Nacional de Planeación (DNP) y el Ministerio de Transporte</w:t>
      </w:r>
      <w:r>
        <w:rPr>
          <w:rFonts w:ascii="Arial" w:hAnsi="Arial" w:cs="Arial"/>
          <w:sz w:val="22"/>
        </w:rPr>
        <w:t>–</w:t>
      </w:r>
      <w:r w:rsidRPr="00422382">
        <w:rPr>
          <w:rFonts w:ascii="Arial" w:hAnsi="Arial" w:cs="Arial"/>
          <w:sz w:val="22"/>
        </w:rPr>
        <w:t xml:space="preserve"> </w:t>
      </w:r>
      <w:r>
        <w:rPr>
          <w:rFonts w:ascii="Arial" w:hAnsi="Arial" w:cs="Arial"/>
          <w:sz w:val="22"/>
        </w:rPr>
        <w:t xml:space="preserve">consideraron que el representante legal principal es el relevante frente a la responsabilidad del proponente ante la entidad, respecto de los compromisos que se asumen dentro del procedimiento contractual; además, debe tenerse en cuenta que la definición de un representante legal </w:t>
      </w:r>
      <w:r w:rsidRPr="009717B9">
        <w:rPr>
          <w:rFonts w:ascii="Arial" w:hAnsi="Arial" w:cs="Arial"/>
          <w:i/>
          <w:iCs/>
          <w:sz w:val="22"/>
        </w:rPr>
        <w:t>suplente</w:t>
      </w:r>
      <w:r>
        <w:rPr>
          <w:rFonts w:ascii="Arial" w:hAnsi="Arial" w:cs="Arial"/>
          <w:sz w:val="22"/>
        </w:rPr>
        <w:t xml:space="preserve"> es facultativa por parte de los proponentes, de manera que algunos proponentes podrían contar con este y otros no. En tal sentido, el Formato 2, en su numeral 7, solo se refiere al representante legal –principal–, de manera que allí no se debe relacionar al representante legal </w:t>
      </w:r>
      <w:r>
        <w:rPr>
          <w:rFonts w:ascii="Arial" w:hAnsi="Arial" w:cs="Arial"/>
          <w:sz w:val="22"/>
        </w:rPr>
        <w:lastRenderedPageBreak/>
        <w:t>suplente, sin perjuicio de que con su firma al final del documento este acepte su designación.</w:t>
      </w:r>
    </w:p>
    <w:p w14:paraId="563E3F82" w14:textId="34A9B215" w:rsidR="003B2E57" w:rsidRDefault="003B2E57" w:rsidP="003B2E57">
      <w:pPr>
        <w:spacing w:line="276" w:lineRule="auto"/>
        <w:ind w:firstLine="709"/>
        <w:jc w:val="both"/>
        <w:rPr>
          <w:rFonts w:ascii="Arial" w:hAnsi="Arial" w:cs="Arial"/>
          <w:sz w:val="22"/>
        </w:rPr>
      </w:pPr>
      <w:r>
        <w:rPr>
          <w:rFonts w:ascii="Arial" w:hAnsi="Arial" w:cs="Arial"/>
          <w:sz w:val="22"/>
        </w:rPr>
        <w:tab/>
      </w:r>
    </w:p>
    <w:p w14:paraId="6D21A1F9" w14:textId="77777777" w:rsidR="005419F7" w:rsidRPr="00711791" w:rsidRDefault="005419F7" w:rsidP="003B2E57">
      <w:pPr>
        <w:spacing w:line="276" w:lineRule="auto"/>
        <w:ind w:firstLine="709"/>
        <w:jc w:val="both"/>
        <w:rPr>
          <w:rFonts w:ascii="Arial" w:hAnsi="Arial" w:cs="Arial"/>
          <w:sz w:val="22"/>
          <w:lang w:val="es-CO"/>
        </w:rPr>
      </w:pPr>
    </w:p>
    <w:p w14:paraId="2D17499A" w14:textId="77777777" w:rsidR="003B2E57" w:rsidRPr="000B55FB" w:rsidRDefault="003B2E57" w:rsidP="003B2E57">
      <w:pPr>
        <w:spacing w:line="276" w:lineRule="auto"/>
        <w:jc w:val="both"/>
        <w:rPr>
          <w:rFonts w:ascii="Arial" w:eastAsia="Calibri" w:hAnsi="Arial" w:cs="Arial"/>
          <w:sz w:val="22"/>
        </w:rPr>
      </w:pPr>
      <w:bookmarkStart w:id="16" w:name="_Hlk37971083"/>
      <w:r w:rsidRPr="000B55FB">
        <w:rPr>
          <w:rFonts w:ascii="Arial" w:eastAsia="Calibri" w:hAnsi="Arial" w:cs="Arial"/>
          <w:sz w:val="22"/>
        </w:rPr>
        <w:t>Este concepto tiene el alcance previsto en el artículo 28 del Código de Procedimiento Administrativo y de lo Contencioso Administrativo.</w:t>
      </w:r>
    </w:p>
    <w:p w14:paraId="716F5795" w14:textId="77777777" w:rsidR="003B2E57" w:rsidRPr="000B55FB" w:rsidRDefault="003B2E57" w:rsidP="003B2E57">
      <w:pPr>
        <w:spacing w:line="276" w:lineRule="auto"/>
        <w:jc w:val="both"/>
        <w:rPr>
          <w:rFonts w:ascii="Arial" w:eastAsia="Calibri" w:hAnsi="Arial" w:cs="Arial"/>
          <w:sz w:val="22"/>
        </w:rPr>
      </w:pPr>
    </w:p>
    <w:p w14:paraId="577FE9A3" w14:textId="77777777" w:rsidR="003B2E57" w:rsidRPr="000B55FB" w:rsidRDefault="003B2E57" w:rsidP="003B2E57">
      <w:pPr>
        <w:jc w:val="both"/>
        <w:rPr>
          <w:rFonts w:ascii="Arial" w:eastAsia="Calibri" w:hAnsi="Arial" w:cs="Arial"/>
          <w:sz w:val="22"/>
        </w:rPr>
      </w:pPr>
      <w:r w:rsidRPr="000B55FB">
        <w:rPr>
          <w:noProof/>
        </w:rPr>
        <mc:AlternateContent>
          <mc:Choice Requires="wps">
            <w:drawing>
              <wp:anchor distT="0" distB="0" distL="114300" distR="114300" simplePos="0" relativeHeight="251658752" behindDoc="0" locked="0" layoutInCell="1" allowOverlap="1" wp14:anchorId="62B83447" wp14:editId="4FBA6F6B">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5E201C8" id="Conector recto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p>
    <w:p w14:paraId="6132EB74" w14:textId="77777777" w:rsidR="003B2E57" w:rsidRPr="000B55FB" w:rsidRDefault="003B2E57" w:rsidP="003B2E57">
      <w:pPr>
        <w:rPr>
          <w:rFonts w:ascii="Arial" w:eastAsia="Times New Roman" w:hAnsi="Arial" w:cs="Arial"/>
          <w:sz w:val="22"/>
          <w:lang w:eastAsia="es-CO"/>
        </w:rPr>
      </w:pPr>
      <w:r w:rsidRPr="000B55FB">
        <w:rPr>
          <w:rFonts w:ascii="Arial" w:eastAsia="Times New Roman" w:hAnsi="Arial" w:cs="Arial"/>
          <w:sz w:val="22"/>
          <w:lang w:eastAsia="es-CO"/>
        </w:rPr>
        <w:t>Atentamente,</w:t>
      </w:r>
    </w:p>
    <w:p w14:paraId="797FA7CA" w14:textId="77777777" w:rsidR="003B2E57" w:rsidRPr="000B55FB" w:rsidRDefault="003B2E57" w:rsidP="003B2E57">
      <w:pPr>
        <w:rPr>
          <w:noProof/>
        </w:rPr>
      </w:pPr>
    </w:p>
    <w:p w14:paraId="3154EABE" w14:textId="2C99F8A4" w:rsidR="003B2E57" w:rsidRPr="000B55FB" w:rsidRDefault="12511CFC" w:rsidP="265AA799">
      <w:pPr>
        <w:jc w:val="center"/>
      </w:pPr>
      <w:r>
        <w:rPr>
          <w:noProof/>
        </w:rPr>
        <w:drawing>
          <wp:inline distT="0" distB="0" distL="0" distR="0" wp14:anchorId="6D658D92" wp14:editId="238CD305">
            <wp:extent cx="2771775" cy="990600"/>
            <wp:effectExtent l="0" t="0" r="0" b="0"/>
            <wp:docPr id="1579702157" name="Imagen 994847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94847244"/>
                    <pic:cNvPicPr/>
                  </pic:nvPicPr>
                  <pic:blipFill>
                    <a:blip r:embed="rId11">
                      <a:extLst>
                        <a:ext uri="{28A0092B-C50C-407E-A947-70E740481C1C}">
                          <a14:useLocalDpi xmlns:a14="http://schemas.microsoft.com/office/drawing/2010/main" val="0"/>
                        </a:ext>
                      </a:extLst>
                    </a:blip>
                    <a:stretch>
                      <a:fillRect/>
                    </a:stretch>
                  </pic:blipFill>
                  <pic:spPr>
                    <a:xfrm>
                      <a:off x="0" y="0"/>
                      <a:ext cx="2771775" cy="990600"/>
                    </a:xfrm>
                    <a:prstGeom prst="rect">
                      <a:avLst/>
                    </a:prstGeom>
                  </pic:spPr>
                </pic:pic>
              </a:graphicData>
            </a:graphic>
          </wp:inline>
        </w:drawing>
      </w:r>
    </w:p>
    <w:p w14:paraId="21BE4654" w14:textId="77777777" w:rsidR="003B2E57" w:rsidRPr="000B55FB" w:rsidRDefault="003B2E57" w:rsidP="003B2E57">
      <w:pPr>
        <w:rPr>
          <w:rFonts w:ascii="Arial" w:eastAsia="Times New Roman" w:hAnsi="Arial" w:cs="Arial"/>
          <w:sz w:val="22"/>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B2E57" w:rsidRPr="000B55FB" w14:paraId="7D194C89" w14:textId="77777777" w:rsidTr="00AD70BB">
        <w:trPr>
          <w:trHeight w:val="315"/>
        </w:trPr>
        <w:tc>
          <w:tcPr>
            <w:tcW w:w="812" w:type="dxa"/>
            <w:vAlign w:val="center"/>
            <w:hideMark/>
          </w:tcPr>
          <w:p w14:paraId="1B9CCD0C" w14:textId="77777777" w:rsidR="003B2E57" w:rsidRPr="000B55FB" w:rsidRDefault="003B2E57" w:rsidP="00AD70BB">
            <w:pPr>
              <w:rPr>
                <w:rFonts w:ascii="Arial" w:eastAsia="Times New Roman" w:hAnsi="Arial" w:cs="Arial"/>
                <w:sz w:val="16"/>
                <w:szCs w:val="16"/>
                <w:lang w:eastAsia="es-ES"/>
              </w:rPr>
            </w:pPr>
            <w:r w:rsidRPr="000B55FB">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6973189A" w14:textId="77777777" w:rsidR="003B2E57" w:rsidRPr="000B55FB" w:rsidRDefault="003B2E57" w:rsidP="00AD70BB">
            <w:pPr>
              <w:rPr>
                <w:rFonts w:ascii="Arial" w:eastAsia="Times New Roman" w:hAnsi="Arial" w:cs="Arial"/>
                <w:sz w:val="16"/>
                <w:szCs w:val="16"/>
                <w:lang w:eastAsia="es-ES"/>
              </w:rPr>
            </w:pPr>
            <w:r w:rsidRPr="000B55FB">
              <w:rPr>
                <w:rFonts w:ascii="Arial" w:eastAsia="Times New Roman" w:hAnsi="Arial" w:cs="Arial"/>
                <w:sz w:val="16"/>
                <w:szCs w:val="16"/>
                <w:lang w:eastAsia="es-ES"/>
              </w:rPr>
              <w:t>Ximena Ríos López</w:t>
            </w:r>
          </w:p>
          <w:p w14:paraId="7F83C494" w14:textId="77777777" w:rsidR="003B2E57" w:rsidRPr="000B55FB" w:rsidRDefault="003B2E57" w:rsidP="00AD70BB">
            <w:pPr>
              <w:rPr>
                <w:rFonts w:ascii="Arial" w:eastAsia="Times New Roman" w:hAnsi="Arial" w:cs="Arial"/>
                <w:sz w:val="16"/>
                <w:szCs w:val="16"/>
                <w:lang w:eastAsia="es-ES"/>
              </w:rPr>
            </w:pPr>
            <w:r w:rsidRPr="000B55FB">
              <w:rPr>
                <w:rFonts w:ascii="Arial" w:eastAsia="Times New Roman" w:hAnsi="Arial" w:cs="Arial"/>
                <w:sz w:val="16"/>
                <w:szCs w:val="16"/>
                <w:lang w:eastAsia="es-ES"/>
              </w:rPr>
              <w:t>Gestor T1-11</w:t>
            </w:r>
          </w:p>
        </w:tc>
      </w:tr>
      <w:tr w:rsidR="003B2E57" w:rsidRPr="000B55FB" w14:paraId="7D5A30B9" w14:textId="77777777" w:rsidTr="00AD70BB">
        <w:trPr>
          <w:trHeight w:val="330"/>
        </w:trPr>
        <w:tc>
          <w:tcPr>
            <w:tcW w:w="812" w:type="dxa"/>
            <w:vAlign w:val="center"/>
            <w:hideMark/>
          </w:tcPr>
          <w:p w14:paraId="4E9A1DD4" w14:textId="77777777" w:rsidR="003B2E57" w:rsidRPr="000B55FB" w:rsidRDefault="003B2E57" w:rsidP="00AD70BB">
            <w:pPr>
              <w:rPr>
                <w:rFonts w:ascii="Arial" w:eastAsia="Times New Roman" w:hAnsi="Arial" w:cs="Arial"/>
                <w:sz w:val="16"/>
                <w:szCs w:val="16"/>
                <w:lang w:eastAsia="es-ES"/>
              </w:rPr>
            </w:pPr>
            <w:r w:rsidRPr="000B55FB">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97723D0" w14:textId="77777777" w:rsidR="003B2E57" w:rsidRPr="000B55FB" w:rsidRDefault="003B2E57" w:rsidP="00AD70BB">
            <w:pPr>
              <w:rPr>
                <w:rFonts w:ascii="Arial" w:eastAsia="Times New Roman" w:hAnsi="Arial" w:cs="Arial"/>
                <w:sz w:val="16"/>
                <w:szCs w:val="16"/>
                <w:lang w:eastAsia="es-ES"/>
              </w:rPr>
            </w:pPr>
            <w:r>
              <w:rPr>
                <w:rFonts w:ascii="Arial" w:eastAsia="Times New Roman" w:hAnsi="Arial" w:cs="Arial"/>
                <w:sz w:val="16"/>
                <w:szCs w:val="16"/>
                <w:lang w:eastAsia="es-ES"/>
              </w:rPr>
              <w:t>Sebastián Ramírez Grisales</w:t>
            </w:r>
          </w:p>
          <w:p w14:paraId="3AA59537" w14:textId="77777777" w:rsidR="003B2E57" w:rsidRPr="000B55FB" w:rsidRDefault="003B2E57" w:rsidP="00AD70BB">
            <w:pPr>
              <w:rPr>
                <w:rFonts w:ascii="Arial" w:eastAsia="Times New Roman" w:hAnsi="Arial" w:cs="Arial"/>
                <w:sz w:val="16"/>
                <w:szCs w:val="16"/>
                <w:lang w:eastAsia="es-ES"/>
              </w:rPr>
            </w:pPr>
            <w:r>
              <w:rPr>
                <w:rFonts w:ascii="Arial" w:eastAsia="Times New Roman" w:hAnsi="Arial" w:cs="Arial"/>
                <w:sz w:val="16"/>
                <w:szCs w:val="16"/>
                <w:lang w:eastAsia="es-ES"/>
              </w:rPr>
              <w:t>Contratista – Subdirección de Gestión Contractual</w:t>
            </w:r>
          </w:p>
        </w:tc>
      </w:tr>
      <w:tr w:rsidR="003B2E57" w:rsidRPr="000B55FB" w14:paraId="07CB2814" w14:textId="77777777" w:rsidTr="00AD70BB">
        <w:trPr>
          <w:trHeight w:val="300"/>
        </w:trPr>
        <w:tc>
          <w:tcPr>
            <w:tcW w:w="812" w:type="dxa"/>
            <w:vAlign w:val="center"/>
            <w:hideMark/>
          </w:tcPr>
          <w:p w14:paraId="080C2FEF" w14:textId="77777777" w:rsidR="003B2E57" w:rsidRPr="000B55FB" w:rsidRDefault="003B2E57" w:rsidP="00AD70BB">
            <w:pPr>
              <w:rPr>
                <w:rFonts w:ascii="Arial" w:eastAsia="Times New Roman" w:hAnsi="Arial" w:cs="Arial"/>
                <w:sz w:val="16"/>
                <w:szCs w:val="16"/>
                <w:lang w:eastAsia="es-ES"/>
              </w:rPr>
            </w:pPr>
            <w:r w:rsidRPr="000B55FB">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69787B7" w14:textId="77777777" w:rsidR="003B2E57" w:rsidRPr="000B55FB" w:rsidRDefault="003B2E57" w:rsidP="00AD70BB">
            <w:pPr>
              <w:rPr>
                <w:rFonts w:ascii="Arial" w:eastAsia="Times New Roman" w:hAnsi="Arial" w:cs="Arial"/>
                <w:sz w:val="16"/>
                <w:szCs w:val="16"/>
                <w:lang w:eastAsia="es-ES"/>
              </w:rPr>
            </w:pPr>
            <w:r w:rsidRPr="000B55FB">
              <w:rPr>
                <w:rFonts w:ascii="Arial" w:eastAsia="Times New Roman" w:hAnsi="Arial" w:cs="Arial"/>
                <w:sz w:val="16"/>
                <w:szCs w:val="16"/>
                <w:lang w:eastAsia="es-ES"/>
              </w:rPr>
              <w:t>Fabián Gonzalo Marín Cortés</w:t>
            </w:r>
          </w:p>
          <w:p w14:paraId="0E3E518C" w14:textId="77777777" w:rsidR="003B2E57" w:rsidRPr="000B55FB" w:rsidRDefault="003B2E57" w:rsidP="00AD70BB">
            <w:pPr>
              <w:rPr>
                <w:rFonts w:ascii="Arial" w:eastAsia="Times New Roman" w:hAnsi="Arial" w:cs="Arial"/>
                <w:sz w:val="16"/>
                <w:szCs w:val="16"/>
                <w:lang w:eastAsia="es-ES"/>
              </w:rPr>
            </w:pPr>
            <w:r w:rsidRPr="000B55FB">
              <w:rPr>
                <w:rFonts w:ascii="Arial" w:eastAsia="Times New Roman" w:hAnsi="Arial" w:cs="Arial"/>
                <w:sz w:val="16"/>
                <w:szCs w:val="16"/>
                <w:lang w:eastAsia="es-ES"/>
              </w:rPr>
              <w:t>Subdirector de Gestión Contractual</w:t>
            </w:r>
          </w:p>
        </w:tc>
      </w:tr>
      <w:tr w:rsidR="003B2E57" w:rsidRPr="000B55FB" w14:paraId="6B0F36BF" w14:textId="77777777" w:rsidTr="00AD70BB">
        <w:trPr>
          <w:trHeight w:val="300"/>
        </w:trPr>
        <w:tc>
          <w:tcPr>
            <w:tcW w:w="812" w:type="dxa"/>
            <w:vAlign w:val="center"/>
            <w:hideMark/>
          </w:tcPr>
          <w:p w14:paraId="17CD2DEE" w14:textId="77777777" w:rsidR="003B2E57" w:rsidRPr="000B55FB" w:rsidRDefault="003B2E57" w:rsidP="00AD70BB">
            <w:pPr>
              <w:rPr>
                <w:rFonts w:ascii="Arial" w:eastAsia="Times New Roman" w:hAnsi="Arial" w:cs="Arial"/>
                <w:sz w:val="16"/>
                <w:szCs w:val="16"/>
                <w:lang w:eastAsia="es-ES"/>
              </w:rPr>
            </w:pPr>
            <w:r w:rsidRPr="000B55FB">
              <w:rPr>
                <w:rFonts w:ascii="Arial" w:eastAsia="Times New Roman" w:hAnsi="Arial" w:cs="Arial"/>
                <w:sz w:val="16"/>
                <w:szCs w:val="16"/>
                <w:lang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567D2D0" w14:textId="77777777" w:rsidR="003B2E57" w:rsidRPr="000B55FB" w:rsidRDefault="003B2E57" w:rsidP="00AD70BB">
            <w:pPr>
              <w:rPr>
                <w:rFonts w:ascii="Arial" w:eastAsia="Times New Roman" w:hAnsi="Arial" w:cs="Arial"/>
                <w:sz w:val="16"/>
                <w:szCs w:val="16"/>
                <w:lang w:eastAsia="es-ES"/>
              </w:rPr>
            </w:pPr>
            <w:r w:rsidRPr="000B55FB">
              <w:rPr>
                <w:rFonts w:ascii="Arial" w:eastAsia="Times New Roman" w:hAnsi="Arial" w:cs="Arial"/>
                <w:sz w:val="16"/>
                <w:szCs w:val="16"/>
                <w:lang w:eastAsia="es-ES"/>
              </w:rPr>
              <w:t>0</w:t>
            </w:r>
          </w:p>
        </w:tc>
      </w:tr>
    </w:tbl>
    <w:p w14:paraId="41B43EA3" w14:textId="77777777" w:rsidR="003B2E57" w:rsidRPr="000B55FB" w:rsidRDefault="003B2E57" w:rsidP="003B2E57">
      <w:pPr>
        <w:jc w:val="both"/>
        <w:rPr>
          <w:rFonts w:ascii="Arial" w:eastAsia="Calibri" w:hAnsi="Arial" w:cs="Arial"/>
          <w:sz w:val="22"/>
        </w:rPr>
      </w:pPr>
    </w:p>
    <w:bookmarkEnd w:id="16"/>
    <w:p w14:paraId="3AD3D9CB" w14:textId="77777777" w:rsidR="003B2E57" w:rsidRPr="00560DB5" w:rsidRDefault="003B2E57" w:rsidP="003B2E57"/>
    <w:p w14:paraId="6C570DC5" w14:textId="77777777" w:rsidR="003B2E57" w:rsidRPr="000B391B" w:rsidRDefault="003B2E57" w:rsidP="003B2E57"/>
    <w:p w14:paraId="7EBF297E" w14:textId="77777777" w:rsidR="007B0854" w:rsidRPr="003B2E57" w:rsidRDefault="007B0854" w:rsidP="003B2E57"/>
    <w:bookmarkEnd w:id="0"/>
    <w:sectPr w:rsidR="007B0854" w:rsidRPr="003B2E57"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FC69F9" w14:textId="77777777" w:rsidR="000B103F" w:rsidRDefault="000B103F">
      <w:r>
        <w:separator/>
      </w:r>
    </w:p>
  </w:endnote>
  <w:endnote w:type="continuationSeparator" w:id="0">
    <w:p w14:paraId="48FC69FA" w14:textId="77777777" w:rsidR="000B103F" w:rsidRDefault="000B1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Arial,Calibri">
    <w:altName w:val="Times New Roman"/>
    <w:charset w:val="00"/>
    <w:family w:val="roman"/>
    <w:pitch w:val="default"/>
  </w:font>
  <w:font w:name="Arial,Times New 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4F6ECF86" w:rsidR="004A34D2" w:rsidRDefault="004A34D2" w:rsidP="007B0854">
    <w:pPr>
      <w:pStyle w:val="Sinespaciado"/>
      <w:jc w:val="center"/>
      <w:rPr>
        <w:rFonts w:ascii="Arial" w:hAnsi="Arial" w:cs="Arial"/>
        <w:sz w:val="18"/>
        <w:szCs w:val="18"/>
      </w:rPr>
    </w:pPr>
  </w:p>
  <w:p w14:paraId="691C3021" w14:textId="77777777" w:rsidR="00BD147D" w:rsidRDefault="00BD147D" w:rsidP="007B0854">
    <w:pPr>
      <w:pStyle w:val="Sinespaciado"/>
      <w:jc w:val="center"/>
      <w:rPr>
        <w:rFonts w:ascii="Arial" w:hAnsi="Arial" w:cs="Arial"/>
        <w:sz w:val="18"/>
        <w:szCs w:val="18"/>
      </w:rPr>
    </w:pPr>
  </w:p>
  <w:p w14:paraId="312C4A14" w14:textId="1CC17C36" w:rsidR="007B0854" w:rsidRPr="005A79FE" w:rsidRDefault="005A79F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8FC6A04" w14:textId="0E0B8C38" w:rsidR="009047C5" w:rsidRDefault="7C78AF39" w:rsidP="007B0854">
    <w:pPr>
      <w:pStyle w:val="Piedepgina"/>
      <w:jc w:val="center"/>
      <w:rPr>
        <w:lang w:val="es-ES"/>
      </w:rPr>
    </w:pPr>
    <w:r>
      <w:rPr>
        <w:noProof/>
      </w:rPr>
      <w:drawing>
        <wp:inline distT="0" distB="0" distL="0" distR="0" wp14:anchorId="608B196D" wp14:editId="762A1D0D">
          <wp:extent cx="4241994" cy="595165"/>
          <wp:effectExtent l="0" t="0" r="6350" b="0"/>
          <wp:docPr id="1364258617"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C69F7" w14:textId="77777777" w:rsidR="000B103F" w:rsidRDefault="000B103F">
      <w:r>
        <w:separator/>
      </w:r>
    </w:p>
  </w:footnote>
  <w:footnote w:type="continuationSeparator" w:id="0">
    <w:p w14:paraId="48FC69F8" w14:textId="77777777" w:rsidR="000B103F" w:rsidRDefault="000B103F">
      <w:r>
        <w:continuationSeparator/>
      </w:r>
    </w:p>
  </w:footnote>
  <w:footnote w:id="1">
    <w:p w14:paraId="70775912" w14:textId="77777777" w:rsidR="003B2E57" w:rsidRDefault="003B2E57" w:rsidP="003B2E57">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Documento Base o Pliego Tipo, numeral 4.1.4 «La Entidad seleccionará el método de ponderación de la propuesta económica de acuerdo con las siguientes alternativas:</w:t>
      </w:r>
    </w:p>
    <w:p w14:paraId="2DA0FDDA" w14:textId="77777777" w:rsidR="003B2E57" w:rsidRDefault="003B2E57" w:rsidP="003B2E57">
      <w:pPr>
        <w:pStyle w:val="Textonotapie"/>
        <w:jc w:val="both"/>
        <w:rPr>
          <w:rFonts w:ascii="Arial" w:hAnsi="Arial" w:cs="Arial"/>
          <w:sz w:val="19"/>
          <w:szCs w:val="19"/>
        </w:rPr>
      </w:pPr>
    </w:p>
    <w:tbl>
      <w:tblPr>
        <w:tblStyle w:val="Tablaconcuadrcula"/>
        <w:tblW w:w="0" w:type="auto"/>
        <w:jc w:val="center"/>
        <w:tblLook w:val="04A0" w:firstRow="1" w:lastRow="0" w:firstColumn="1" w:lastColumn="0" w:noHBand="0" w:noVBand="1"/>
      </w:tblPr>
      <w:tblGrid>
        <w:gridCol w:w="1560"/>
        <w:gridCol w:w="1984"/>
      </w:tblGrid>
      <w:tr w:rsidR="003B2E57" w14:paraId="0CE5E171" w14:textId="77777777" w:rsidTr="00B144AA">
        <w:trPr>
          <w:trHeight w:val="20"/>
          <w:jc w:val="center"/>
        </w:trPr>
        <w:tc>
          <w:tcPr>
            <w:tcW w:w="1560"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143766D8" w14:textId="77777777" w:rsidR="003B2E57" w:rsidRDefault="003B2E57" w:rsidP="00B144AA">
            <w:pPr>
              <w:spacing w:line="276" w:lineRule="auto"/>
              <w:jc w:val="center"/>
              <w:rPr>
                <w:rFonts w:cs="Arial"/>
                <w:b/>
                <w:bCs/>
                <w:color w:val="DBDBDB" w:themeColor="background1"/>
                <w:sz w:val="16"/>
                <w:szCs w:val="16"/>
                <w:lang w:val="es-CO"/>
              </w:rPr>
            </w:pPr>
            <w:bookmarkStart w:id="1" w:name="_Hlk511666058"/>
            <w:r>
              <w:rPr>
                <w:rFonts w:cs="Arial"/>
                <w:b/>
                <w:bCs/>
                <w:color w:val="DBDBDB" w:themeColor="background1"/>
                <w:sz w:val="16"/>
                <w:szCs w:val="16"/>
              </w:rPr>
              <w:t>Concepto</w:t>
            </w:r>
          </w:p>
        </w:tc>
        <w:tc>
          <w:tcPr>
            <w:tcW w:w="1984"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2C712D5C" w14:textId="77777777" w:rsidR="003B2E57" w:rsidRDefault="003B2E57" w:rsidP="00B144AA">
            <w:pPr>
              <w:spacing w:line="276" w:lineRule="auto"/>
              <w:jc w:val="center"/>
              <w:rPr>
                <w:rFonts w:cs="Arial"/>
                <w:b/>
                <w:bCs/>
                <w:color w:val="DBDBDB" w:themeColor="background1"/>
                <w:sz w:val="16"/>
                <w:szCs w:val="16"/>
              </w:rPr>
            </w:pPr>
            <w:r>
              <w:rPr>
                <w:rFonts w:cs="Arial"/>
                <w:b/>
                <w:bCs/>
                <w:color w:val="DBDBDB" w:themeColor="background1"/>
                <w:sz w:val="16"/>
                <w:szCs w:val="16"/>
              </w:rPr>
              <w:t>Método</w:t>
            </w:r>
          </w:p>
        </w:tc>
      </w:tr>
      <w:tr w:rsidR="003B2E57" w14:paraId="36405852" w14:textId="77777777" w:rsidTr="00B144AA">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14:paraId="6A06564F" w14:textId="77777777" w:rsidR="003B2E57" w:rsidRDefault="003B2E57" w:rsidP="00B144AA">
            <w:pPr>
              <w:spacing w:line="276" w:lineRule="auto"/>
              <w:jc w:val="center"/>
              <w:rPr>
                <w:rFonts w:cs="Arial"/>
                <w:color w:val="3C3C3C" w:themeColor="background2" w:themeShade="40"/>
                <w:sz w:val="16"/>
                <w:szCs w:val="16"/>
                <w:lang w:val="es-ES"/>
              </w:rPr>
            </w:pPr>
            <w:r>
              <w:rPr>
                <w:rFonts w:cs="Arial"/>
                <w:sz w:val="16"/>
                <w:szCs w:val="16"/>
                <w:lang w:val="es-ES"/>
              </w:rPr>
              <w:t>1</w:t>
            </w:r>
          </w:p>
        </w:tc>
        <w:tc>
          <w:tcPr>
            <w:tcW w:w="1984" w:type="dxa"/>
            <w:tcBorders>
              <w:top w:val="single" w:sz="4" w:space="0" w:color="auto"/>
              <w:left w:val="single" w:sz="4" w:space="0" w:color="auto"/>
              <w:bottom w:val="single" w:sz="4" w:space="0" w:color="auto"/>
              <w:right w:val="double" w:sz="4" w:space="0" w:color="auto"/>
            </w:tcBorders>
            <w:vAlign w:val="center"/>
            <w:hideMark/>
          </w:tcPr>
          <w:p w14:paraId="1029FFA0" w14:textId="77777777" w:rsidR="003B2E57" w:rsidRDefault="003B2E57" w:rsidP="00B144AA">
            <w:pPr>
              <w:spacing w:line="276" w:lineRule="auto"/>
              <w:jc w:val="center"/>
              <w:rPr>
                <w:rFonts w:cs="Arial"/>
                <w:sz w:val="16"/>
                <w:szCs w:val="16"/>
                <w:lang w:val="es-ES"/>
              </w:rPr>
            </w:pPr>
            <w:r>
              <w:rPr>
                <w:rFonts w:cs="Arial"/>
                <w:sz w:val="16"/>
                <w:szCs w:val="16"/>
                <w:lang w:val="es-ES"/>
              </w:rPr>
              <w:t>Mediana con valor absoluto</w:t>
            </w:r>
          </w:p>
        </w:tc>
      </w:tr>
      <w:tr w:rsidR="003B2E57" w14:paraId="1F09637F" w14:textId="77777777" w:rsidTr="00B144AA">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14:paraId="5D89084C" w14:textId="77777777" w:rsidR="003B2E57" w:rsidRDefault="003B2E57" w:rsidP="00B144AA">
            <w:pPr>
              <w:spacing w:line="276" w:lineRule="auto"/>
              <w:jc w:val="center"/>
              <w:rPr>
                <w:rFonts w:cs="Arial"/>
                <w:sz w:val="16"/>
                <w:szCs w:val="16"/>
                <w:lang w:val="es-ES"/>
              </w:rPr>
            </w:pPr>
            <w:r>
              <w:rPr>
                <w:rFonts w:cs="Arial"/>
                <w:sz w:val="16"/>
                <w:szCs w:val="16"/>
                <w:lang w:val="es-ES"/>
              </w:rPr>
              <w:t>2</w:t>
            </w:r>
          </w:p>
        </w:tc>
        <w:tc>
          <w:tcPr>
            <w:tcW w:w="1984" w:type="dxa"/>
            <w:tcBorders>
              <w:top w:val="single" w:sz="4" w:space="0" w:color="auto"/>
              <w:left w:val="single" w:sz="4" w:space="0" w:color="auto"/>
              <w:bottom w:val="single" w:sz="4" w:space="0" w:color="auto"/>
              <w:right w:val="double" w:sz="4" w:space="0" w:color="auto"/>
            </w:tcBorders>
            <w:vAlign w:val="center"/>
            <w:hideMark/>
          </w:tcPr>
          <w:p w14:paraId="6D102286" w14:textId="77777777" w:rsidR="003B2E57" w:rsidRDefault="003B2E57" w:rsidP="00B144AA">
            <w:pPr>
              <w:spacing w:line="276" w:lineRule="auto"/>
              <w:jc w:val="center"/>
              <w:rPr>
                <w:rFonts w:cs="Arial"/>
                <w:sz w:val="16"/>
                <w:szCs w:val="16"/>
                <w:lang w:val="es-ES"/>
              </w:rPr>
            </w:pPr>
            <w:r>
              <w:rPr>
                <w:rFonts w:cs="Arial"/>
                <w:sz w:val="16"/>
                <w:szCs w:val="16"/>
                <w:lang w:val="es-ES"/>
              </w:rPr>
              <w:t>Media geométrica</w:t>
            </w:r>
          </w:p>
        </w:tc>
      </w:tr>
      <w:tr w:rsidR="003B2E57" w14:paraId="4539C116" w14:textId="77777777" w:rsidTr="00B144AA">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14:paraId="463AB981" w14:textId="77777777" w:rsidR="003B2E57" w:rsidRDefault="003B2E57" w:rsidP="00B144AA">
            <w:pPr>
              <w:spacing w:line="276" w:lineRule="auto"/>
              <w:jc w:val="center"/>
              <w:rPr>
                <w:rFonts w:cs="Arial"/>
                <w:sz w:val="16"/>
                <w:szCs w:val="16"/>
                <w:lang w:val="es-ES"/>
              </w:rPr>
            </w:pPr>
            <w:r>
              <w:rPr>
                <w:rFonts w:cs="Arial"/>
                <w:sz w:val="16"/>
                <w:szCs w:val="16"/>
                <w:lang w:val="es-ES"/>
              </w:rPr>
              <w:t>3</w:t>
            </w:r>
          </w:p>
        </w:tc>
        <w:tc>
          <w:tcPr>
            <w:tcW w:w="1984" w:type="dxa"/>
            <w:tcBorders>
              <w:top w:val="single" w:sz="4" w:space="0" w:color="auto"/>
              <w:left w:val="single" w:sz="4" w:space="0" w:color="auto"/>
              <w:bottom w:val="single" w:sz="4" w:space="0" w:color="auto"/>
              <w:right w:val="double" w:sz="4" w:space="0" w:color="auto"/>
            </w:tcBorders>
            <w:vAlign w:val="center"/>
            <w:hideMark/>
          </w:tcPr>
          <w:p w14:paraId="55EB76CF" w14:textId="77777777" w:rsidR="003B2E57" w:rsidRDefault="003B2E57" w:rsidP="00B144AA">
            <w:pPr>
              <w:spacing w:line="276" w:lineRule="auto"/>
              <w:jc w:val="center"/>
              <w:rPr>
                <w:rFonts w:cs="Arial"/>
                <w:sz w:val="16"/>
                <w:szCs w:val="16"/>
                <w:lang w:val="es-ES"/>
              </w:rPr>
            </w:pPr>
            <w:r>
              <w:rPr>
                <w:rFonts w:cs="Arial"/>
                <w:sz w:val="16"/>
                <w:szCs w:val="16"/>
                <w:lang w:val="es-ES"/>
              </w:rPr>
              <w:t>Media aritmética baja</w:t>
            </w:r>
          </w:p>
        </w:tc>
      </w:tr>
      <w:tr w:rsidR="003B2E57" w14:paraId="4554A7BF" w14:textId="77777777" w:rsidTr="00B144AA">
        <w:trPr>
          <w:trHeight w:val="20"/>
          <w:jc w:val="center"/>
        </w:trPr>
        <w:tc>
          <w:tcPr>
            <w:tcW w:w="1560" w:type="dxa"/>
            <w:tcBorders>
              <w:top w:val="single" w:sz="4" w:space="0" w:color="auto"/>
              <w:left w:val="double" w:sz="4" w:space="0" w:color="auto"/>
              <w:bottom w:val="double" w:sz="4" w:space="0" w:color="auto"/>
              <w:right w:val="single" w:sz="4" w:space="0" w:color="auto"/>
            </w:tcBorders>
            <w:vAlign w:val="center"/>
            <w:hideMark/>
          </w:tcPr>
          <w:p w14:paraId="53B13352" w14:textId="77777777" w:rsidR="003B2E57" w:rsidRDefault="003B2E57" w:rsidP="00B144AA">
            <w:pPr>
              <w:spacing w:line="276" w:lineRule="auto"/>
              <w:jc w:val="center"/>
              <w:rPr>
                <w:rFonts w:cs="Arial"/>
                <w:sz w:val="16"/>
                <w:szCs w:val="16"/>
                <w:lang w:val="es-ES"/>
              </w:rPr>
            </w:pPr>
            <w:r>
              <w:rPr>
                <w:rFonts w:cs="Arial"/>
                <w:sz w:val="16"/>
                <w:szCs w:val="16"/>
                <w:lang w:val="es-ES"/>
              </w:rPr>
              <w:t>4</w:t>
            </w:r>
          </w:p>
        </w:tc>
        <w:tc>
          <w:tcPr>
            <w:tcW w:w="1984" w:type="dxa"/>
            <w:tcBorders>
              <w:top w:val="single" w:sz="4" w:space="0" w:color="auto"/>
              <w:left w:val="single" w:sz="4" w:space="0" w:color="auto"/>
              <w:bottom w:val="double" w:sz="4" w:space="0" w:color="auto"/>
              <w:right w:val="double" w:sz="4" w:space="0" w:color="auto"/>
            </w:tcBorders>
            <w:vAlign w:val="center"/>
            <w:hideMark/>
          </w:tcPr>
          <w:p w14:paraId="500AB1D2" w14:textId="77777777" w:rsidR="003B2E57" w:rsidRDefault="003B2E57" w:rsidP="00B144AA">
            <w:pPr>
              <w:spacing w:line="276" w:lineRule="auto"/>
              <w:jc w:val="center"/>
              <w:rPr>
                <w:rFonts w:cs="Arial"/>
                <w:sz w:val="16"/>
                <w:szCs w:val="16"/>
                <w:lang w:val="es-ES"/>
              </w:rPr>
            </w:pPr>
            <w:r>
              <w:rPr>
                <w:rFonts w:cs="Arial"/>
                <w:sz w:val="16"/>
                <w:szCs w:val="16"/>
                <w:lang w:val="es-ES"/>
              </w:rPr>
              <w:t>Menor Valor</w:t>
            </w:r>
          </w:p>
        </w:tc>
        <w:bookmarkEnd w:id="1"/>
      </w:tr>
    </w:tbl>
    <w:p w14:paraId="5BB417C9" w14:textId="77777777" w:rsidR="003B2E57" w:rsidRDefault="003B2E57" w:rsidP="003B2E57">
      <w:pPr>
        <w:pStyle w:val="Textonotapie"/>
        <w:jc w:val="both"/>
        <w:rPr>
          <w:rFonts w:ascii="Arial" w:hAnsi="Arial" w:cs="Arial"/>
          <w:sz w:val="19"/>
          <w:szCs w:val="19"/>
        </w:rPr>
      </w:pPr>
    </w:p>
    <w:p w14:paraId="27016C36" w14:textId="77777777" w:rsidR="003B2E57" w:rsidRDefault="003B2E57" w:rsidP="003B2E57">
      <w:pPr>
        <w:pStyle w:val="Textonotapie"/>
        <w:jc w:val="both"/>
        <w:rPr>
          <w:rFonts w:ascii="Arial" w:hAnsi="Arial" w:cs="Arial"/>
          <w:sz w:val="19"/>
          <w:szCs w:val="19"/>
        </w:rPr>
      </w:pPr>
      <w:r>
        <w:rPr>
          <w:rFonts w:ascii="Arial" w:hAnsi="Arial" w:cs="Arial"/>
          <w:sz w:val="19"/>
          <w:szCs w:val="19"/>
        </w:rPr>
        <w:t xml:space="preserve"> </w:t>
      </w:r>
      <w:proofErr w:type="gramStart"/>
      <w:r>
        <w:rPr>
          <w:rFonts w:ascii="Arial" w:hAnsi="Arial" w:cs="Arial"/>
          <w:sz w:val="19"/>
          <w:szCs w:val="19"/>
        </w:rPr>
        <w:t>»</w:t>
      </w:r>
      <w:r w:rsidRPr="00B144AA">
        <w:rPr>
          <w:rFonts w:ascii="Arial" w:hAnsi="Arial" w:cs="Arial"/>
          <w:sz w:val="19"/>
          <w:szCs w:val="19"/>
        </w:rPr>
        <w:t>Para</w:t>
      </w:r>
      <w:proofErr w:type="gramEnd"/>
      <w:r w:rsidRPr="00B144AA">
        <w:rPr>
          <w:rFonts w:ascii="Arial" w:hAnsi="Arial" w:cs="Arial"/>
          <w:sz w:val="19"/>
          <w:szCs w:val="19"/>
        </w:rPr>
        <w:t xml:space="preserve"> determinar el método de ponderación, la Entidad tomará los centavos de la Tasa de Cambio Representativa del Mercado (TRM), certificada por la Superintendencia Financiera de Colombia (en su sitio web: https://www.superfinanciera.gov.co/publicacion/60819)</w:t>
      </w:r>
      <w:r>
        <w:rPr>
          <w:rFonts w:ascii="Arial" w:hAnsi="Arial" w:cs="Arial"/>
          <w:sz w:val="19"/>
          <w:szCs w:val="19"/>
        </w:rPr>
        <w:t>».</w:t>
      </w:r>
    </w:p>
    <w:p w14:paraId="7CA1268F" w14:textId="77777777" w:rsidR="003B2E57" w:rsidRDefault="003B2E57" w:rsidP="003B2E57">
      <w:pPr>
        <w:pStyle w:val="Textonotapie"/>
        <w:jc w:val="both"/>
        <w:rPr>
          <w:rFonts w:ascii="Arial" w:hAnsi="Arial" w:cs="Arial"/>
          <w:sz w:val="19"/>
          <w:szCs w:val="19"/>
        </w:rPr>
      </w:pPr>
    </w:p>
  </w:footnote>
  <w:footnote w:id="2">
    <w:p w14:paraId="4D513F13" w14:textId="77777777" w:rsidR="003B2E57" w:rsidRPr="006441DA" w:rsidRDefault="003B2E57" w:rsidP="003B2E57">
      <w:pPr>
        <w:pStyle w:val="Textonotapie"/>
        <w:ind w:firstLine="708"/>
        <w:jc w:val="both"/>
        <w:rPr>
          <w:rFonts w:ascii="Arial" w:hAnsi="Arial" w:cs="Arial"/>
          <w:sz w:val="19"/>
          <w:szCs w:val="19"/>
        </w:rPr>
      </w:pPr>
      <w:r w:rsidRPr="006441DA">
        <w:rPr>
          <w:rStyle w:val="Refdenotaalpie"/>
          <w:rFonts w:ascii="Arial" w:hAnsi="Arial" w:cs="Arial"/>
          <w:sz w:val="19"/>
          <w:szCs w:val="19"/>
        </w:rPr>
        <w:footnoteRef/>
      </w:r>
      <w:r w:rsidRPr="006441DA">
        <w:rPr>
          <w:rFonts w:ascii="Arial" w:hAnsi="Arial" w:cs="Arial"/>
          <w:sz w:val="19"/>
          <w:szCs w:val="19"/>
        </w:rPr>
        <w:t xml:space="preserve"> Acorde con el Manual para el manejo de los Acuerdos Comerciales en Procesos de Contratación expedido por Colombia Compra Eficiente, «la Entidad Estatal debe dar a los bienes y servicios de los Estados con quienes Colombia ha suscrito un Acuerdo Comercial, el mismo trato que da a los bienes y servicios colombianos cuando un Acuerdo Comercial es aplicable a un Proceso de Contratación. </w:t>
      </w:r>
    </w:p>
    <w:p w14:paraId="40ED90F2" w14:textId="77777777" w:rsidR="003B2E57" w:rsidRPr="006441DA" w:rsidRDefault="003B2E57" w:rsidP="003B2E57">
      <w:pPr>
        <w:pStyle w:val="Textonotapie"/>
        <w:ind w:firstLine="708"/>
        <w:jc w:val="both"/>
        <w:rPr>
          <w:rFonts w:ascii="Arial" w:hAnsi="Arial" w:cs="Arial"/>
          <w:sz w:val="19"/>
          <w:szCs w:val="19"/>
        </w:rPr>
      </w:pPr>
      <w:r w:rsidRPr="006441DA">
        <w:rPr>
          <w:rFonts w:ascii="Arial" w:hAnsi="Arial" w:cs="Arial"/>
          <w:sz w:val="19"/>
          <w:szCs w:val="19"/>
        </w:rPr>
        <w:t>»[...]</w:t>
      </w:r>
    </w:p>
    <w:p w14:paraId="74DE73F8" w14:textId="77777777" w:rsidR="003B2E57" w:rsidRPr="006441DA" w:rsidRDefault="003B2E57" w:rsidP="003B2E57">
      <w:pPr>
        <w:pStyle w:val="Textonotapie"/>
        <w:ind w:firstLine="708"/>
        <w:jc w:val="both"/>
        <w:rPr>
          <w:rFonts w:ascii="Arial" w:hAnsi="Arial" w:cs="Arial"/>
          <w:sz w:val="19"/>
          <w:szCs w:val="19"/>
        </w:rPr>
      </w:pPr>
      <w:proofErr w:type="gramStart"/>
      <w:r w:rsidRPr="006441DA">
        <w:rPr>
          <w:rFonts w:ascii="Arial" w:hAnsi="Arial" w:cs="Arial"/>
          <w:sz w:val="19"/>
          <w:szCs w:val="19"/>
        </w:rPr>
        <w:t>»La</w:t>
      </w:r>
      <w:proofErr w:type="gramEnd"/>
      <w:r w:rsidRPr="006441DA">
        <w:rPr>
          <w:rFonts w:ascii="Arial" w:hAnsi="Arial" w:cs="Arial"/>
          <w:sz w:val="19"/>
          <w:szCs w:val="19"/>
        </w:rPr>
        <w:t xml:space="preserve"> Entidad Estatal también debe conceder trato nacional a aquellos bienes y servicios provenientes de Estados con los cuales, a pesar de no existir un Acuerdo Comercial, el Gobierno Nacional ha certificado reciprocidad, de conformidad con el artículo 2.2.1.2.4.1.3 del Decreto 1082 de 2015».</w:t>
      </w:r>
    </w:p>
    <w:p w14:paraId="1513EC0E" w14:textId="77777777" w:rsidR="003B2E57" w:rsidRPr="006441DA" w:rsidRDefault="003B2E57" w:rsidP="003B2E57">
      <w:pPr>
        <w:pStyle w:val="Textonotapie"/>
        <w:ind w:firstLine="708"/>
        <w:jc w:val="both"/>
        <w:rPr>
          <w:rFonts w:ascii="Arial" w:hAnsi="Arial" w:cs="Arial"/>
          <w:sz w:val="19"/>
          <w:szCs w:val="19"/>
          <w:lang w:val="es-ES"/>
        </w:rPr>
      </w:pPr>
    </w:p>
  </w:footnote>
  <w:footnote w:id="3">
    <w:p w14:paraId="38538B69" w14:textId="77777777" w:rsidR="003B2E57" w:rsidRPr="006441DA" w:rsidRDefault="003B2E57" w:rsidP="003B2E57">
      <w:pPr>
        <w:pStyle w:val="Textonotapie"/>
        <w:ind w:firstLine="708"/>
        <w:jc w:val="both"/>
        <w:rPr>
          <w:rFonts w:ascii="Arial" w:hAnsi="Arial" w:cs="Arial"/>
          <w:sz w:val="19"/>
          <w:szCs w:val="19"/>
        </w:rPr>
      </w:pPr>
      <w:r w:rsidRPr="006441DA">
        <w:rPr>
          <w:rStyle w:val="Refdenotaalpie"/>
          <w:rFonts w:ascii="Arial" w:hAnsi="Arial" w:cs="Arial"/>
          <w:sz w:val="19"/>
          <w:szCs w:val="19"/>
        </w:rPr>
        <w:footnoteRef/>
      </w:r>
      <w:r w:rsidRPr="006441DA">
        <w:rPr>
          <w:rFonts w:ascii="Arial" w:hAnsi="Arial" w:cs="Arial"/>
          <w:sz w:val="19"/>
          <w:szCs w:val="19"/>
        </w:rPr>
        <w:t xml:space="preserve">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 </w:t>
      </w:r>
    </w:p>
    <w:p w14:paraId="78180911" w14:textId="77777777" w:rsidR="003B2E57" w:rsidRPr="006441DA" w:rsidRDefault="003B2E57" w:rsidP="003B2E57">
      <w:pPr>
        <w:pStyle w:val="Textonotapie"/>
        <w:ind w:firstLine="708"/>
        <w:jc w:val="both"/>
        <w:rPr>
          <w:rFonts w:ascii="Arial" w:hAnsi="Arial" w:cs="Arial"/>
          <w:sz w:val="19"/>
          <w:szCs w:val="19"/>
        </w:rPr>
      </w:pPr>
      <w:r w:rsidRPr="006441DA">
        <w:rPr>
          <w:rFonts w:ascii="Arial" w:hAnsi="Arial" w:cs="Arial"/>
          <w:sz w:val="19"/>
          <w:szCs w:val="19"/>
        </w:rPr>
        <w:t>»[...]</w:t>
      </w:r>
    </w:p>
    <w:p w14:paraId="4D20CDC8" w14:textId="77777777" w:rsidR="003B2E57" w:rsidRPr="006441DA" w:rsidRDefault="003B2E57" w:rsidP="003B2E57">
      <w:pPr>
        <w:pStyle w:val="Textonotapie"/>
        <w:ind w:firstLine="708"/>
        <w:jc w:val="both"/>
        <w:rPr>
          <w:rFonts w:ascii="Arial" w:hAnsi="Arial" w:cs="Arial"/>
          <w:sz w:val="19"/>
          <w:szCs w:val="19"/>
        </w:rPr>
      </w:pPr>
      <w:proofErr w:type="gramStart"/>
      <w:r w:rsidRPr="006441DA">
        <w:rPr>
          <w:rFonts w:ascii="Arial" w:hAnsi="Arial" w:cs="Arial"/>
          <w:sz w:val="19"/>
          <w:szCs w:val="19"/>
        </w:rPr>
        <w:t>»Servicios</w:t>
      </w:r>
      <w:proofErr w:type="gramEnd"/>
      <w:r w:rsidRPr="006441DA">
        <w:rPr>
          <w:rFonts w:ascii="Arial" w:hAnsi="Arial" w:cs="Arial"/>
          <w:sz w:val="19"/>
          <w:szCs w:val="19"/>
        </w:rPr>
        <w:t xml:space="preserve"> Nacionales: Servicios prestados por personas naturales colombianas o residentes en Colombia o por personas jurídicas constituidas de conformidad con la legislación colombiana».</w:t>
      </w:r>
    </w:p>
    <w:p w14:paraId="7E834E30" w14:textId="77777777" w:rsidR="003B2E57" w:rsidRPr="006441DA" w:rsidRDefault="003B2E57" w:rsidP="003B2E57">
      <w:pPr>
        <w:pStyle w:val="Textonotapie"/>
        <w:ind w:firstLine="708"/>
        <w:jc w:val="both"/>
        <w:rPr>
          <w:rFonts w:ascii="Arial" w:hAnsi="Arial" w:cs="Arial"/>
          <w:sz w:val="19"/>
          <w:szCs w:val="19"/>
        </w:rPr>
      </w:pPr>
    </w:p>
  </w:footnote>
  <w:footnote w:id="4">
    <w:p w14:paraId="0E5B9428" w14:textId="77777777" w:rsidR="003B2E57" w:rsidRPr="00BA4596" w:rsidRDefault="003B2E57" w:rsidP="003B2E57">
      <w:pPr>
        <w:pStyle w:val="Textonotapie"/>
        <w:ind w:firstLine="708"/>
        <w:jc w:val="both"/>
        <w:rPr>
          <w:rFonts w:ascii="Arial" w:hAnsi="Arial" w:cs="Arial"/>
          <w:sz w:val="19"/>
          <w:szCs w:val="19"/>
          <w:lang w:val="es-ES"/>
        </w:rPr>
      </w:pPr>
      <w:r w:rsidRPr="00BA4596">
        <w:rPr>
          <w:rStyle w:val="Refdenotaalpie"/>
          <w:rFonts w:ascii="Arial" w:hAnsi="Arial" w:cs="Arial"/>
          <w:sz w:val="19"/>
          <w:szCs w:val="19"/>
        </w:rPr>
        <w:footnoteRef/>
      </w:r>
      <w:r w:rsidRPr="00BA4596">
        <w:rPr>
          <w:rFonts w:ascii="Arial" w:hAnsi="Arial" w:cs="Arial"/>
          <w:sz w:val="19"/>
          <w:szCs w:val="19"/>
        </w:rPr>
        <w:t xml:space="preserve"> </w:t>
      </w:r>
      <w:r w:rsidRPr="00BA4596">
        <w:rPr>
          <w:rFonts w:ascii="Arial" w:hAnsi="Arial" w:cs="Arial"/>
          <w:sz w:val="19"/>
          <w:szCs w:val="19"/>
          <w:lang w:val="es-ES"/>
        </w:rPr>
        <w:t>Colombia Compra Eficiente. Resolución 0045 de 2020: «Artículo 3. Vigencia y derogatorias. (Aclarado por la Resolución 0047 de 2020 cuyo texto es el siguiente): Esta resolución rige desde el 10 de ma</w:t>
      </w:r>
      <w:r>
        <w:rPr>
          <w:rFonts w:ascii="Arial" w:hAnsi="Arial" w:cs="Arial"/>
          <w:sz w:val="19"/>
          <w:szCs w:val="19"/>
          <w:lang w:val="es-ES"/>
        </w:rPr>
        <w:t>r</w:t>
      </w:r>
      <w:r w:rsidRPr="00BA4596">
        <w:rPr>
          <w:rFonts w:ascii="Arial" w:hAnsi="Arial" w:cs="Arial"/>
          <w:sz w:val="19"/>
          <w:szCs w:val="19"/>
          <w:lang w:val="es-ES"/>
        </w:rPr>
        <w:t>zo de</w:t>
      </w:r>
      <w:r>
        <w:rPr>
          <w:rFonts w:ascii="Arial" w:hAnsi="Arial" w:cs="Arial"/>
          <w:sz w:val="19"/>
          <w:szCs w:val="19"/>
          <w:lang w:val="es-ES"/>
        </w:rPr>
        <w:t xml:space="preserve"> </w:t>
      </w:r>
      <w:r w:rsidRPr="00BA4596">
        <w:rPr>
          <w:rFonts w:ascii="Arial" w:hAnsi="Arial" w:cs="Arial"/>
          <w:sz w:val="19"/>
          <w:szCs w:val="19"/>
          <w:lang w:val="es-ES"/>
        </w:rPr>
        <w:t>2020,</w:t>
      </w:r>
      <w:r>
        <w:rPr>
          <w:rFonts w:ascii="Arial" w:hAnsi="Arial" w:cs="Arial"/>
          <w:sz w:val="19"/>
          <w:szCs w:val="19"/>
          <w:lang w:val="es-ES"/>
        </w:rPr>
        <w:t xml:space="preserve"> </w:t>
      </w:r>
      <w:r w:rsidRPr="00BA4596">
        <w:rPr>
          <w:rFonts w:ascii="Arial" w:hAnsi="Arial" w:cs="Arial"/>
          <w:sz w:val="19"/>
          <w:szCs w:val="19"/>
          <w:lang w:val="es-ES"/>
        </w:rPr>
        <w:t>deroga la Resolución 1798 de 2019 y aplica en los procesos de contratación de licitación de obra pública de infraestructura de transporte.</w:t>
      </w:r>
    </w:p>
    <w:p w14:paraId="6A4F7ACD" w14:textId="77777777" w:rsidR="003B2E57" w:rsidRPr="000E28FA" w:rsidRDefault="003B2E57" w:rsidP="003B2E57">
      <w:pPr>
        <w:pStyle w:val="Textonotapie"/>
        <w:ind w:firstLine="708"/>
        <w:jc w:val="both"/>
        <w:rPr>
          <w:rFonts w:ascii="Arial" w:hAnsi="Arial" w:cs="Arial"/>
          <w:sz w:val="19"/>
          <w:szCs w:val="19"/>
          <w:lang w:val="es-ES"/>
        </w:rPr>
      </w:pPr>
      <w:proofErr w:type="gramStart"/>
      <w:r w:rsidRPr="00BA4596">
        <w:rPr>
          <w:rFonts w:ascii="Arial" w:hAnsi="Arial" w:cs="Arial"/>
          <w:sz w:val="19"/>
          <w:szCs w:val="19"/>
          <w:lang w:val="es-ES"/>
        </w:rPr>
        <w:t>»Parágrafo</w:t>
      </w:r>
      <w:proofErr w:type="gramEnd"/>
      <w:r w:rsidRPr="00BA4596">
        <w:rPr>
          <w:rFonts w:ascii="Arial" w:hAnsi="Arial" w:cs="Arial"/>
          <w:sz w:val="19"/>
          <w:szCs w:val="19"/>
          <w:lang w:val="es-ES"/>
        </w:rPr>
        <w:t>. Los procedimientos de licitación que antes del 10 de ma</w:t>
      </w:r>
      <w:r>
        <w:rPr>
          <w:rFonts w:ascii="Arial" w:hAnsi="Arial" w:cs="Arial"/>
          <w:sz w:val="19"/>
          <w:szCs w:val="19"/>
          <w:lang w:val="es-ES"/>
        </w:rPr>
        <w:t>r</w:t>
      </w:r>
      <w:r w:rsidRPr="00BA4596">
        <w:rPr>
          <w:rFonts w:ascii="Arial" w:hAnsi="Arial" w:cs="Arial"/>
          <w:sz w:val="19"/>
          <w:szCs w:val="19"/>
          <w:lang w:val="es-ES"/>
        </w:rPr>
        <w:t xml:space="preserve">zo de </w:t>
      </w:r>
      <w:r>
        <w:rPr>
          <w:rFonts w:ascii="Arial" w:hAnsi="Arial" w:cs="Arial"/>
          <w:sz w:val="19"/>
          <w:szCs w:val="19"/>
          <w:lang w:val="es-ES"/>
        </w:rPr>
        <w:t>2020</w:t>
      </w:r>
      <w:r w:rsidRPr="00BA4596">
        <w:rPr>
          <w:rFonts w:ascii="Arial" w:hAnsi="Arial" w:cs="Arial"/>
          <w:sz w:val="19"/>
          <w:szCs w:val="19"/>
          <w:lang w:val="es-ES"/>
        </w:rPr>
        <w:t xml:space="preserve"> hayan publicado aviso de convocatoria, continuarán rigiéndose por los Documentos Tipo - Versión 1, incluidos en la Resolución 1798 de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5923" w14:textId="72BD7C0A" w:rsidR="005A79FE" w:rsidRDefault="005A79FE">
    <w:pPr>
      <w:pStyle w:val="Encabezado"/>
    </w:pPr>
  </w:p>
  <w:p w14:paraId="6A4C7F2C" w14:textId="7D093DBB" w:rsidR="005A79FE" w:rsidRDefault="005A79FE">
    <w:pPr>
      <w:pStyle w:val="Encabezado"/>
    </w:pPr>
  </w:p>
  <w:p w14:paraId="055F2E1F" w14:textId="0B935ADD" w:rsidR="005A79FE" w:rsidRDefault="005A79FE">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5A79FE" w:rsidRDefault="005A79FE">
    <w:pPr>
      <w:pStyle w:val="Encabezado"/>
    </w:pPr>
  </w:p>
  <w:p w14:paraId="3D323BDB" w14:textId="04AF0DE6" w:rsidR="005A79FE" w:rsidRDefault="005A79FE">
    <w:pPr>
      <w:pStyle w:val="Encabezado"/>
    </w:pPr>
  </w:p>
  <w:p w14:paraId="6520770B" w14:textId="18EB07B5" w:rsidR="007B0854" w:rsidRDefault="007B08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F4D0F05"/>
    <w:multiLevelType w:val="multilevel"/>
    <w:tmpl w:val="C3424C08"/>
    <w:lvl w:ilvl="0">
      <w:start w:val="4"/>
      <w:numFmt w:val="decimal"/>
      <w:lvlText w:val="%1"/>
      <w:lvlJc w:val="left"/>
      <w:pPr>
        <w:ind w:left="440" w:hanging="440"/>
      </w:pPr>
      <w:rPr>
        <w:rFonts w:hint="default"/>
      </w:rPr>
    </w:lvl>
    <w:lvl w:ilvl="1">
      <w:start w:val="3"/>
      <w:numFmt w:val="decimal"/>
      <w:lvlText w:val="%1.%2"/>
      <w:lvlJc w:val="left"/>
      <w:pPr>
        <w:ind w:left="610" w:hanging="44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7FB645C"/>
    <w:multiLevelType w:val="hybridMultilevel"/>
    <w:tmpl w:val="F8B4A888"/>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5"/>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385A"/>
    <w:rsid w:val="0003470F"/>
    <w:rsid w:val="00057CD3"/>
    <w:rsid w:val="000942EB"/>
    <w:rsid w:val="000B103F"/>
    <w:rsid w:val="000B391B"/>
    <w:rsid w:val="000C5FEF"/>
    <w:rsid w:val="000F14E8"/>
    <w:rsid w:val="00103915"/>
    <w:rsid w:val="00122B23"/>
    <w:rsid w:val="00137FFA"/>
    <w:rsid w:val="001405E6"/>
    <w:rsid w:val="00152D7F"/>
    <w:rsid w:val="001565F1"/>
    <w:rsid w:val="00180A19"/>
    <w:rsid w:val="001814B0"/>
    <w:rsid w:val="001D6264"/>
    <w:rsid w:val="001E0FFC"/>
    <w:rsid w:val="001E2D0E"/>
    <w:rsid w:val="00225E99"/>
    <w:rsid w:val="00234B84"/>
    <w:rsid w:val="00240F88"/>
    <w:rsid w:val="00252252"/>
    <w:rsid w:val="00260E4C"/>
    <w:rsid w:val="002839CA"/>
    <w:rsid w:val="002A59E9"/>
    <w:rsid w:val="002F497C"/>
    <w:rsid w:val="002F5BC6"/>
    <w:rsid w:val="003033BA"/>
    <w:rsid w:val="00307FA6"/>
    <w:rsid w:val="0034680A"/>
    <w:rsid w:val="00347F6C"/>
    <w:rsid w:val="00364B60"/>
    <w:rsid w:val="00377507"/>
    <w:rsid w:val="00386456"/>
    <w:rsid w:val="00396E6F"/>
    <w:rsid w:val="003A581E"/>
    <w:rsid w:val="003B2E57"/>
    <w:rsid w:val="003D0106"/>
    <w:rsid w:val="003E24C2"/>
    <w:rsid w:val="003F6894"/>
    <w:rsid w:val="0040482A"/>
    <w:rsid w:val="00422382"/>
    <w:rsid w:val="004238C8"/>
    <w:rsid w:val="004422D6"/>
    <w:rsid w:val="00457CFB"/>
    <w:rsid w:val="00467546"/>
    <w:rsid w:val="0048229B"/>
    <w:rsid w:val="00486CED"/>
    <w:rsid w:val="004A34D2"/>
    <w:rsid w:val="004B713F"/>
    <w:rsid w:val="004D1967"/>
    <w:rsid w:val="0051074C"/>
    <w:rsid w:val="00513AF2"/>
    <w:rsid w:val="00516E44"/>
    <w:rsid w:val="00520E71"/>
    <w:rsid w:val="00520E79"/>
    <w:rsid w:val="005419F7"/>
    <w:rsid w:val="0054413A"/>
    <w:rsid w:val="005564CA"/>
    <w:rsid w:val="00577EE7"/>
    <w:rsid w:val="005A79FE"/>
    <w:rsid w:val="005B0DA0"/>
    <w:rsid w:val="005C02AB"/>
    <w:rsid w:val="005F1CE2"/>
    <w:rsid w:val="005F6817"/>
    <w:rsid w:val="00655371"/>
    <w:rsid w:val="00662FF2"/>
    <w:rsid w:val="00670050"/>
    <w:rsid w:val="00691B90"/>
    <w:rsid w:val="0069738D"/>
    <w:rsid w:val="00697665"/>
    <w:rsid w:val="006A0794"/>
    <w:rsid w:val="006A247A"/>
    <w:rsid w:val="006A7FD0"/>
    <w:rsid w:val="006D5ED1"/>
    <w:rsid w:val="006D7687"/>
    <w:rsid w:val="006E0572"/>
    <w:rsid w:val="006E5BE9"/>
    <w:rsid w:val="006F5AC0"/>
    <w:rsid w:val="00705631"/>
    <w:rsid w:val="00711791"/>
    <w:rsid w:val="00712FBB"/>
    <w:rsid w:val="00722778"/>
    <w:rsid w:val="00742DD2"/>
    <w:rsid w:val="0075647A"/>
    <w:rsid w:val="007634AD"/>
    <w:rsid w:val="0078122E"/>
    <w:rsid w:val="0078610A"/>
    <w:rsid w:val="007A531D"/>
    <w:rsid w:val="007B0716"/>
    <w:rsid w:val="007B0854"/>
    <w:rsid w:val="007D0049"/>
    <w:rsid w:val="007D0DBD"/>
    <w:rsid w:val="007D5C4C"/>
    <w:rsid w:val="007F6506"/>
    <w:rsid w:val="007F72CB"/>
    <w:rsid w:val="00823F5D"/>
    <w:rsid w:val="0083119B"/>
    <w:rsid w:val="00831500"/>
    <w:rsid w:val="00836EAB"/>
    <w:rsid w:val="008372F1"/>
    <w:rsid w:val="00843911"/>
    <w:rsid w:val="0085092D"/>
    <w:rsid w:val="00885CB1"/>
    <w:rsid w:val="008B498F"/>
    <w:rsid w:val="008C4BE7"/>
    <w:rsid w:val="008E1C15"/>
    <w:rsid w:val="008F4611"/>
    <w:rsid w:val="0090153F"/>
    <w:rsid w:val="009047C5"/>
    <w:rsid w:val="00916240"/>
    <w:rsid w:val="0093001A"/>
    <w:rsid w:val="0095385A"/>
    <w:rsid w:val="009B3B7E"/>
    <w:rsid w:val="00A23161"/>
    <w:rsid w:val="00A24560"/>
    <w:rsid w:val="00A33146"/>
    <w:rsid w:val="00A34538"/>
    <w:rsid w:val="00A357EA"/>
    <w:rsid w:val="00A43B37"/>
    <w:rsid w:val="00A621BF"/>
    <w:rsid w:val="00A75BEA"/>
    <w:rsid w:val="00A773F5"/>
    <w:rsid w:val="00A96334"/>
    <w:rsid w:val="00AA1C22"/>
    <w:rsid w:val="00AA442B"/>
    <w:rsid w:val="00AF2411"/>
    <w:rsid w:val="00AF694B"/>
    <w:rsid w:val="00B04B07"/>
    <w:rsid w:val="00B055FA"/>
    <w:rsid w:val="00B22436"/>
    <w:rsid w:val="00B22E22"/>
    <w:rsid w:val="00B525CB"/>
    <w:rsid w:val="00B63CB2"/>
    <w:rsid w:val="00B93F6F"/>
    <w:rsid w:val="00BA7568"/>
    <w:rsid w:val="00BD147D"/>
    <w:rsid w:val="00BD78FE"/>
    <w:rsid w:val="00C032C3"/>
    <w:rsid w:val="00C27A55"/>
    <w:rsid w:val="00C3075F"/>
    <w:rsid w:val="00C3549E"/>
    <w:rsid w:val="00C527C8"/>
    <w:rsid w:val="00C53885"/>
    <w:rsid w:val="00C7027F"/>
    <w:rsid w:val="00C956A4"/>
    <w:rsid w:val="00CA287E"/>
    <w:rsid w:val="00CB3E8D"/>
    <w:rsid w:val="00CB4107"/>
    <w:rsid w:val="00CC00CD"/>
    <w:rsid w:val="00CC2854"/>
    <w:rsid w:val="00CF6325"/>
    <w:rsid w:val="00D07F65"/>
    <w:rsid w:val="00D16E39"/>
    <w:rsid w:val="00D56FCE"/>
    <w:rsid w:val="00D72E9D"/>
    <w:rsid w:val="00D82CE5"/>
    <w:rsid w:val="00D87626"/>
    <w:rsid w:val="00D92E67"/>
    <w:rsid w:val="00D93489"/>
    <w:rsid w:val="00DA3F51"/>
    <w:rsid w:val="00DA5AB1"/>
    <w:rsid w:val="00DC62E5"/>
    <w:rsid w:val="00DD735D"/>
    <w:rsid w:val="00DE3119"/>
    <w:rsid w:val="00DF0910"/>
    <w:rsid w:val="00DF236B"/>
    <w:rsid w:val="00E05992"/>
    <w:rsid w:val="00E13AB8"/>
    <w:rsid w:val="00E25F0E"/>
    <w:rsid w:val="00E33B62"/>
    <w:rsid w:val="00E348C3"/>
    <w:rsid w:val="00E528F9"/>
    <w:rsid w:val="00E52D07"/>
    <w:rsid w:val="00E83633"/>
    <w:rsid w:val="00E86F28"/>
    <w:rsid w:val="00EB0061"/>
    <w:rsid w:val="00EB7C63"/>
    <w:rsid w:val="00EC7D6D"/>
    <w:rsid w:val="00F113B1"/>
    <w:rsid w:val="00F427D4"/>
    <w:rsid w:val="00F527A7"/>
    <w:rsid w:val="00F574CD"/>
    <w:rsid w:val="00F84899"/>
    <w:rsid w:val="00F859F0"/>
    <w:rsid w:val="00F96127"/>
    <w:rsid w:val="00FC2005"/>
    <w:rsid w:val="00FE141E"/>
    <w:rsid w:val="00FE4A09"/>
    <w:rsid w:val="0672806D"/>
    <w:rsid w:val="0C15AA46"/>
    <w:rsid w:val="12511CFC"/>
    <w:rsid w:val="12CEAB45"/>
    <w:rsid w:val="265AA799"/>
    <w:rsid w:val="40CC4108"/>
    <w:rsid w:val="7C78AF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paragraph" w:styleId="Textoindependiente">
    <w:name w:val="Body Text"/>
    <w:basedOn w:val="Normal"/>
    <w:link w:val="TextoindependienteCar"/>
    <w:uiPriority w:val="1"/>
    <w:qFormat/>
    <w:rsid w:val="000B391B"/>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0B391B"/>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7807A40-86FC-4477-BFB3-E4ACAAED7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D4BC20-BD4E-4BC6-AD15-D5E8530C59DE}">
  <ds:schemaRefs>
    <ds:schemaRef ds:uri="http://schemas.openxmlformats.org/officeDocument/2006/bibliography"/>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4C63867-5D67-46F3-A76B-4DB9824F0A6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12</Pages>
  <Words>3915</Words>
  <Characters>21534</Characters>
  <Application>Microsoft Office Word</Application>
  <DocSecurity>0</DocSecurity>
  <Lines>179</Lines>
  <Paragraphs>50</Paragraphs>
  <ScaleCrop>false</ScaleCrop>
  <Company/>
  <LinksUpToDate>false</LinksUpToDate>
  <CharactersWithSpaces>25399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6</cp:revision>
  <dcterms:created xsi:type="dcterms:W3CDTF">2020-05-18T22:54:00Z</dcterms:created>
  <dcterms:modified xsi:type="dcterms:W3CDTF">2020-08-04T06:54:00Z</dcterms:modified>
</cp:coreProperties>
</file>