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7BA26" w14:textId="77777777" w:rsidR="00BE1E33" w:rsidRPr="0082093B" w:rsidRDefault="00BE1E33" w:rsidP="00BE1E33">
      <w:pPr>
        <w:jc w:val="right"/>
        <w:rPr>
          <w:rFonts w:ascii="Arial" w:hAnsi="Arial" w:cs="Arial"/>
          <w:b/>
          <w:color w:val="000000" w:themeColor="text1"/>
          <w:sz w:val="16"/>
          <w:szCs w:val="16"/>
          <w:lang w:eastAsia="es-ES"/>
        </w:rPr>
      </w:pPr>
      <w:bookmarkStart w:id="0" w:name="_Hlk28946138"/>
      <w:bookmarkStart w:id="1" w:name="_Hlk29548183"/>
      <w:r w:rsidRPr="006C15D5">
        <w:rPr>
          <w:rFonts w:ascii="Arial" w:hAnsi="Arial" w:cs="Arial"/>
          <w:b/>
          <w:color w:val="000000" w:themeColor="text1"/>
          <w:sz w:val="16"/>
          <w:szCs w:val="16"/>
          <w:lang w:eastAsia="es-ES"/>
        </w:rPr>
        <w:tab/>
      </w:r>
      <w:r w:rsidRPr="0082093B">
        <w:rPr>
          <w:rFonts w:ascii="Arial" w:hAnsi="Arial" w:cs="Arial"/>
          <w:b/>
          <w:sz w:val="16"/>
          <w:szCs w:val="16"/>
          <w:lang w:eastAsia="es-ES"/>
        </w:rPr>
        <w:t>CCE-DES-FM-17</w:t>
      </w:r>
    </w:p>
    <w:p w14:paraId="25784C1D" w14:textId="77777777" w:rsidR="00BE1E33" w:rsidRPr="00B20816" w:rsidRDefault="00BE1E33" w:rsidP="00BE1E33">
      <w:pPr>
        <w:jc w:val="both"/>
        <w:rPr>
          <w:rFonts w:ascii="Arial" w:eastAsia="Calibri" w:hAnsi="Arial" w:cs="Arial"/>
          <w:b/>
          <w:color w:val="000000" w:themeColor="text1"/>
          <w:sz w:val="16"/>
          <w:szCs w:val="16"/>
        </w:rPr>
      </w:pPr>
    </w:p>
    <w:p w14:paraId="79609206" w14:textId="6C3AA7E9" w:rsidR="00BE1E33" w:rsidRDefault="00D35DD8" w:rsidP="00BE1E33">
      <w:pPr>
        <w:jc w:val="both"/>
        <w:rPr>
          <w:rFonts w:ascii="Arial" w:eastAsia="Calibri" w:hAnsi="Arial" w:cs="Arial"/>
          <w:b/>
          <w:color w:val="000000" w:themeColor="text1"/>
          <w:sz w:val="22"/>
        </w:rPr>
      </w:pPr>
      <w:r>
        <w:rPr>
          <w:rFonts w:ascii="Arial" w:eastAsia="Calibri" w:hAnsi="Arial" w:cs="Arial"/>
          <w:b/>
          <w:color w:val="000000" w:themeColor="text1"/>
          <w:sz w:val="22"/>
        </w:rPr>
        <w:t>DOCUMENTOS</w:t>
      </w:r>
      <w:r w:rsidR="00FC5F03" w:rsidRPr="00FC5F03">
        <w:rPr>
          <w:rFonts w:ascii="Arial" w:eastAsia="Calibri" w:hAnsi="Arial" w:cs="Arial"/>
          <w:b/>
          <w:color w:val="000000" w:themeColor="text1"/>
          <w:sz w:val="22"/>
        </w:rPr>
        <w:t xml:space="preserve"> TIPO – Obligatoriedad</w:t>
      </w:r>
    </w:p>
    <w:p w14:paraId="65BBC4CC" w14:textId="77777777" w:rsidR="00FC5F03" w:rsidRPr="006C15D5" w:rsidRDefault="00FC5F03" w:rsidP="00BE1E33">
      <w:pPr>
        <w:jc w:val="both"/>
        <w:rPr>
          <w:rFonts w:ascii="Arial" w:eastAsia="Calibri" w:hAnsi="Arial" w:cs="Arial"/>
          <w:color w:val="000000" w:themeColor="text1"/>
          <w:sz w:val="20"/>
          <w:szCs w:val="20"/>
        </w:rPr>
      </w:pPr>
    </w:p>
    <w:p w14:paraId="08CEEA3E" w14:textId="682D3CBD" w:rsidR="00BE1E33" w:rsidRPr="006C15D5" w:rsidRDefault="00FC5F03" w:rsidP="00BE1E33">
      <w:pPr>
        <w:jc w:val="both"/>
        <w:rPr>
          <w:rFonts w:ascii="Arial" w:eastAsia="Calibri" w:hAnsi="Arial" w:cs="Arial"/>
          <w:bCs/>
          <w:color w:val="000000" w:themeColor="text1"/>
          <w:sz w:val="20"/>
          <w:szCs w:val="20"/>
        </w:rPr>
      </w:pPr>
      <w:r w:rsidRPr="00FC5F03">
        <w:rPr>
          <w:rFonts w:ascii="Arial" w:eastAsia="Calibri" w:hAnsi="Arial" w:cs="Arial"/>
          <w:bCs/>
          <w:color w:val="000000" w:themeColor="text1"/>
          <w:sz w:val="20"/>
          <w:szCs w:val="20"/>
        </w:rPr>
        <w:t>El artículo 2, parágrafo 7º, de la Ley 1150 de 2007, adicionado por el artículo 4 de la Ley 1882 de 2018, establece la obligatoriedad de la adopción de documentos tipo para diferentes procesos de selección […]. A renglón seguido, el artículo 2.2.1.2.6.1.2, que se refiere al alcance de los documentos tipo, establece que: «contienen parámetros obligatorios para las entidades estatales sometidas al Estatuto General de la Contratación Pública que adelanten procesos de selección de licitación de obra pública de infraestructura de transporte».</w:t>
      </w:r>
      <w:r w:rsidR="00DE3F87" w:rsidRPr="00DE3F87">
        <w:rPr>
          <w:rFonts w:ascii="Arial" w:eastAsia="Calibri" w:hAnsi="Arial" w:cs="Arial"/>
          <w:bCs/>
          <w:color w:val="000000" w:themeColor="text1"/>
          <w:sz w:val="20"/>
          <w:szCs w:val="20"/>
        </w:rPr>
        <w:t xml:space="preserve">  </w:t>
      </w:r>
    </w:p>
    <w:p w14:paraId="04FCFBF5" w14:textId="77777777" w:rsidR="00BE1E33" w:rsidRPr="006C15D5" w:rsidRDefault="00BE1E33" w:rsidP="00BE1E33">
      <w:pPr>
        <w:jc w:val="both"/>
        <w:rPr>
          <w:rFonts w:ascii="Arial" w:eastAsia="Calibri" w:hAnsi="Arial" w:cs="Arial"/>
          <w:b/>
          <w:color w:val="000000" w:themeColor="text1"/>
          <w:sz w:val="20"/>
          <w:szCs w:val="20"/>
        </w:rPr>
      </w:pPr>
    </w:p>
    <w:p w14:paraId="469F36C7" w14:textId="11880E58" w:rsidR="00BE1E33" w:rsidRDefault="00D35DD8" w:rsidP="00BE1E33">
      <w:pPr>
        <w:jc w:val="both"/>
        <w:rPr>
          <w:rFonts w:ascii="Arial" w:eastAsia="Calibri" w:hAnsi="Arial" w:cs="Arial"/>
          <w:b/>
          <w:color w:val="000000" w:themeColor="text1"/>
          <w:sz w:val="22"/>
        </w:rPr>
      </w:pPr>
      <w:r>
        <w:rPr>
          <w:rFonts w:ascii="Arial" w:eastAsia="Calibri" w:hAnsi="Arial" w:cs="Arial"/>
          <w:b/>
          <w:color w:val="000000" w:themeColor="text1"/>
          <w:sz w:val="22"/>
        </w:rPr>
        <w:t>DOCUMENTOS</w:t>
      </w:r>
      <w:r w:rsidR="00FC5F03" w:rsidRPr="00FC5F03">
        <w:rPr>
          <w:rFonts w:ascii="Arial" w:eastAsia="Calibri" w:hAnsi="Arial" w:cs="Arial"/>
          <w:b/>
          <w:color w:val="000000" w:themeColor="text1"/>
          <w:sz w:val="22"/>
        </w:rPr>
        <w:t xml:space="preserve"> TIPO – Finalidad legislativa</w:t>
      </w:r>
    </w:p>
    <w:p w14:paraId="6DC3D73E" w14:textId="77777777" w:rsidR="00FC5F03" w:rsidRPr="006C15D5" w:rsidRDefault="00FC5F03" w:rsidP="00BE1E33">
      <w:pPr>
        <w:jc w:val="both"/>
        <w:rPr>
          <w:rFonts w:ascii="Arial" w:eastAsia="Calibri" w:hAnsi="Arial" w:cs="Arial"/>
          <w:b/>
          <w:color w:val="000000" w:themeColor="text1"/>
          <w:sz w:val="20"/>
          <w:szCs w:val="20"/>
        </w:rPr>
      </w:pPr>
    </w:p>
    <w:p w14:paraId="274392A5" w14:textId="77777777" w:rsidR="00FC5F03" w:rsidRDefault="00FC5F03" w:rsidP="00A40178">
      <w:pPr>
        <w:jc w:val="both"/>
        <w:rPr>
          <w:rFonts w:ascii="Arial" w:eastAsia="Calibri" w:hAnsi="Arial" w:cs="Arial"/>
          <w:color w:val="000000" w:themeColor="text1"/>
          <w:sz w:val="20"/>
          <w:szCs w:val="20"/>
        </w:rPr>
      </w:pPr>
      <w:r w:rsidRPr="00FC5F03">
        <w:rPr>
          <w:rFonts w:ascii="Arial" w:eastAsia="Calibri" w:hAnsi="Arial" w:cs="Arial"/>
          <w:color w:val="000000" w:themeColor="text1"/>
          <w:sz w:val="20"/>
          <w:szCs w:val="20"/>
        </w:rPr>
        <w:t>La intención de esta medida era agilizar y darles mayor transparencia a los procesos de selección y evitar el direccionamiento de los pliegos de condiciones: «[…] se asigna al Gobierno Nacional la facultad de estandarizar los pliegos de condiciones y términos de referencia de los contratos, medida que redundará en la agilidad y claridad de los procedimientos». […] La exposición de motivos del proyecto que se convirtió en la Ley 1882 de 2018 se refirió a la necesidad de utilizar documentos tipo, pues reducen el tiempo de los procesos de contratación y contribuyen con el logro de una contratación pública más transparente y con mayor concurrencia de oferentes. Igualmente, la intención del legislador era adaptar el ordenamiento jurídico colombiano a las nuevas tendencias internacionales de la contratación, al entender que los documentos tipo son una medida eficaz contra la corrupción y permiten una Administración pública más eficiente y moderna.</w:t>
      </w:r>
    </w:p>
    <w:p w14:paraId="78ADC71E" w14:textId="27DB6878" w:rsidR="00D866EC" w:rsidRPr="006C15D5" w:rsidRDefault="00A40178" w:rsidP="00A40178">
      <w:pPr>
        <w:jc w:val="both"/>
        <w:rPr>
          <w:rFonts w:ascii="Arial" w:eastAsia="Calibri" w:hAnsi="Arial" w:cs="Arial"/>
          <w:color w:val="000000" w:themeColor="text1"/>
          <w:sz w:val="20"/>
          <w:szCs w:val="20"/>
        </w:rPr>
      </w:pPr>
      <w:r w:rsidRPr="00A40178">
        <w:rPr>
          <w:rFonts w:ascii="Arial" w:eastAsia="Calibri" w:hAnsi="Arial" w:cs="Arial"/>
          <w:color w:val="000000" w:themeColor="text1"/>
          <w:sz w:val="20"/>
          <w:szCs w:val="20"/>
        </w:rPr>
        <w:t xml:space="preserve">   </w:t>
      </w:r>
    </w:p>
    <w:p w14:paraId="19D18EAD" w14:textId="11CA328F" w:rsidR="004A128C" w:rsidRDefault="00D35DD8" w:rsidP="00BE1E33">
      <w:pPr>
        <w:jc w:val="both"/>
        <w:rPr>
          <w:rFonts w:ascii="Arial" w:eastAsia="Calibri" w:hAnsi="Arial" w:cs="Arial"/>
          <w:b/>
          <w:color w:val="000000" w:themeColor="text1"/>
          <w:sz w:val="22"/>
        </w:rPr>
      </w:pPr>
      <w:r>
        <w:rPr>
          <w:rFonts w:ascii="Arial" w:eastAsia="Calibri" w:hAnsi="Arial" w:cs="Arial"/>
          <w:b/>
          <w:color w:val="000000" w:themeColor="text1"/>
          <w:sz w:val="22"/>
        </w:rPr>
        <w:t>DOCUMENTOS</w:t>
      </w:r>
      <w:r w:rsidR="005A4024" w:rsidRPr="005A4024">
        <w:rPr>
          <w:rFonts w:ascii="Arial" w:eastAsia="Calibri" w:hAnsi="Arial" w:cs="Arial"/>
          <w:b/>
          <w:color w:val="000000" w:themeColor="text1"/>
          <w:sz w:val="22"/>
        </w:rPr>
        <w:t xml:space="preserve"> TIPO – </w:t>
      </w:r>
      <w:r w:rsidR="005A4024">
        <w:rPr>
          <w:rFonts w:ascii="Arial" w:eastAsia="Calibri" w:hAnsi="Arial" w:cs="Arial"/>
          <w:b/>
          <w:color w:val="000000" w:themeColor="text1"/>
          <w:sz w:val="22"/>
        </w:rPr>
        <w:t>Licitación Pública – Versión 2 – Recepción de Ofertas – Inalterabilidad – Medio físico</w:t>
      </w:r>
      <w:r w:rsidR="000E4F45">
        <w:rPr>
          <w:rFonts w:ascii="Arial" w:eastAsia="Calibri" w:hAnsi="Arial" w:cs="Arial"/>
          <w:b/>
          <w:color w:val="000000" w:themeColor="text1"/>
          <w:sz w:val="22"/>
        </w:rPr>
        <w:t xml:space="preserve"> – SECOP I</w:t>
      </w:r>
    </w:p>
    <w:p w14:paraId="49D06907" w14:textId="77777777" w:rsidR="005A4024" w:rsidRDefault="005A4024" w:rsidP="00BE1E33">
      <w:pPr>
        <w:jc w:val="both"/>
        <w:rPr>
          <w:rFonts w:ascii="Arial" w:eastAsia="Calibri" w:hAnsi="Arial" w:cs="Arial"/>
          <w:b/>
          <w:color w:val="000000" w:themeColor="text1"/>
          <w:sz w:val="20"/>
          <w:szCs w:val="20"/>
        </w:rPr>
      </w:pPr>
    </w:p>
    <w:p w14:paraId="5C54E7BC" w14:textId="545EA2CA" w:rsidR="000E4F45" w:rsidRDefault="005A4024" w:rsidP="00D866EC">
      <w:pPr>
        <w:spacing w:after="120"/>
        <w:jc w:val="both"/>
        <w:rPr>
          <w:rFonts w:ascii="Arial" w:eastAsia="Calibri" w:hAnsi="Arial" w:cs="Arial"/>
          <w:bCs/>
          <w:color w:val="000000" w:themeColor="text1"/>
          <w:sz w:val="20"/>
          <w:szCs w:val="20"/>
        </w:rPr>
      </w:pPr>
      <w:r>
        <w:rPr>
          <w:rFonts w:ascii="Arial" w:eastAsia="Calibri" w:hAnsi="Arial" w:cs="Arial"/>
          <w:bCs/>
          <w:color w:val="000000" w:themeColor="text1"/>
          <w:sz w:val="20"/>
          <w:szCs w:val="20"/>
        </w:rPr>
        <w:t xml:space="preserve">[…] </w:t>
      </w:r>
      <w:r w:rsidR="00CC7A09" w:rsidRPr="00CC7A09">
        <w:rPr>
          <w:rFonts w:ascii="Arial" w:eastAsia="Calibri" w:hAnsi="Arial" w:cs="Arial"/>
          <w:bCs/>
          <w:color w:val="000000" w:themeColor="text1"/>
          <w:sz w:val="20"/>
          <w:szCs w:val="20"/>
        </w:rPr>
        <w:t>el numeral 2.3 del «Documento Base – Versión 2» para los procesos de licitación pública dispone que «La oferta estará conformada por dos sobres, los cuales deberán ser entregados con el cumplimiento de la totalidad de los requisitos establecidos en los Documentos del Proceso […]»; adicionalmente, el numeral 2.4 prescribe que «Se entenderán recibidas por la Entidad las ofertas que a la fecha y hora indicada en el cronograma del Proceso de Contratación se encuentren en el lugar destinado para su recepción». Ambas disposiciones aplican cuando la entidad adelanta el procedimiento de selección a través de la plataforma SECOP I, razón por la cual la entidad no puede disponer una modalidad de entrega diferente a la recepción física de las propuestas, ya que dicho apartado no está incluido en corchetes ni resaltado en gris.</w:t>
      </w:r>
    </w:p>
    <w:p w14:paraId="4D980968" w14:textId="3F70F51B" w:rsidR="0082093B" w:rsidRDefault="0082093B" w:rsidP="00D866EC">
      <w:pPr>
        <w:spacing w:after="120"/>
        <w:jc w:val="both"/>
        <w:rPr>
          <w:rFonts w:ascii="Arial" w:eastAsia="Calibri" w:hAnsi="Arial" w:cs="Arial"/>
          <w:bCs/>
          <w:color w:val="000000" w:themeColor="text1"/>
          <w:sz w:val="20"/>
          <w:szCs w:val="20"/>
        </w:rPr>
      </w:pPr>
      <w:r>
        <w:rPr>
          <w:rFonts w:ascii="Arial" w:eastAsia="Calibri" w:hAnsi="Arial" w:cs="Arial"/>
          <w:bCs/>
          <w:color w:val="000000" w:themeColor="text1"/>
          <w:sz w:val="20"/>
          <w:szCs w:val="20"/>
        </w:rPr>
        <w:t>[…]</w:t>
      </w:r>
    </w:p>
    <w:p w14:paraId="2AE7F7CB" w14:textId="753EE6EE" w:rsidR="007E0E0D" w:rsidRDefault="00477D36" w:rsidP="007E0E0D">
      <w:pPr>
        <w:jc w:val="both"/>
        <w:rPr>
          <w:rFonts w:ascii="Arial" w:eastAsia="Calibri" w:hAnsi="Arial" w:cs="Arial"/>
          <w:bCs/>
          <w:color w:val="000000" w:themeColor="text1"/>
          <w:sz w:val="20"/>
          <w:szCs w:val="20"/>
        </w:rPr>
      </w:pPr>
      <w:r w:rsidRPr="00477D36">
        <w:rPr>
          <w:rFonts w:ascii="Arial" w:eastAsia="Calibri" w:hAnsi="Arial" w:cs="Arial"/>
          <w:bCs/>
          <w:color w:val="000000" w:themeColor="text1"/>
          <w:sz w:val="20"/>
          <w:szCs w:val="20"/>
        </w:rPr>
        <w:t xml:space="preserve">En consecuencia, el pliego descarta a la posibilidad de recibir las propuestas por medios diferentes a la entrega física, ya que si se realiza electrónicamente, no podría garantizarse la reserva y la custodia del sobre dos en la bolsa de seguridad, cuya apertura solo es posible en la audiencia de adjudicación. A partir de una </w:t>
      </w:r>
      <w:r w:rsidRPr="00E45562">
        <w:rPr>
          <w:rFonts w:ascii="Arial" w:eastAsia="Calibri" w:hAnsi="Arial" w:cs="Arial"/>
          <w:bCs/>
          <w:i/>
          <w:iCs/>
          <w:color w:val="000000" w:themeColor="text1"/>
          <w:sz w:val="20"/>
          <w:szCs w:val="20"/>
        </w:rPr>
        <w:t>interpretación estricta</w:t>
      </w:r>
      <w:r w:rsidRPr="00477D36">
        <w:rPr>
          <w:rFonts w:ascii="Arial" w:eastAsia="Calibri" w:hAnsi="Arial" w:cs="Arial"/>
          <w:bCs/>
          <w:color w:val="000000" w:themeColor="text1"/>
          <w:sz w:val="20"/>
          <w:szCs w:val="20"/>
        </w:rPr>
        <w:t>, el pliego no estableció expresamente la posibilidad de recibir las ofertas por medios electrónicos, razón por la cual deben enviarse físicamente a la entidad</w:t>
      </w:r>
      <w:r w:rsidR="000E4F45">
        <w:rPr>
          <w:rFonts w:ascii="Arial" w:eastAsia="Calibri" w:hAnsi="Arial" w:cs="Arial"/>
          <w:bCs/>
          <w:color w:val="000000" w:themeColor="text1"/>
          <w:sz w:val="20"/>
          <w:szCs w:val="20"/>
        </w:rPr>
        <w:t xml:space="preserve"> […]</w:t>
      </w:r>
    </w:p>
    <w:p w14:paraId="1287EB13" w14:textId="77777777" w:rsidR="007E0E0D" w:rsidRPr="006C15D5" w:rsidRDefault="007E0E0D" w:rsidP="007E0E0D">
      <w:pPr>
        <w:jc w:val="both"/>
        <w:rPr>
          <w:rFonts w:ascii="Arial" w:eastAsia="Calibri" w:hAnsi="Arial" w:cs="Arial"/>
          <w:color w:val="000000" w:themeColor="text1"/>
          <w:sz w:val="20"/>
          <w:szCs w:val="20"/>
        </w:rPr>
      </w:pPr>
      <w:r w:rsidRPr="00A40178">
        <w:rPr>
          <w:rFonts w:ascii="Arial" w:eastAsia="Calibri" w:hAnsi="Arial" w:cs="Arial"/>
          <w:color w:val="000000" w:themeColor="text1"/>
          <w:sz w:val="20"/>
          <w:szCs w:val="20"/>
        </w:rPr>
        <w:t xml:space="preserve">   </w:t>
      </w:r>
    </w:p>
    <w:p w14:paraId="0351F1AD" w14:textId="352A4CC8" w:rsidR="007E0E0D" w:rsidRDefault="00DF12C4" w:rsidP="007E0E0D">
      <w:pPr>
        <w:jc w:val="both"/>
        <w:rPr>
          <w:rFonts w:ascii="Arial" w:eastAsia="Calibri" w:hAnsi="Arial" w:cs="Arial"/>
          <w:b/>
          <w:color w:val="000000" w:themeColor="text1"/>
          <w:sz w:val="22"/>
        </w:rPr>
      </w:pPr>
      <w:r>
        <w:rPr>
          <w:rFonts w:ascii="Arial" w:eastAsia="Calibri" w:hAnsi="Arial" w:cs="Arial"/>
          <w:b/>
          <w:color w:val="000000" w:themeColor="text1"/>
          <w:sz w:val="22"/>
        </w:rPr>
        <w:t>DECRETO 537 DE 2020</w:t>
      </w:r>
      <w:r w:rsidR="007E0E0D" w:rsidRPr="005A4024">
        <w:rPr>
          <w:rFonts w:ascii="Arial" w:eastAsia="Calibri" w:hAnsi="Arial" w:cs="Arial"/>
          <w:b/>
          <w:color w:val="000000" w:themeColor="text1"/>
          <w:sz w:val="22"/>
        </w:rPr>
        <w:t xml:space="preserve"> – </w:t>
      </w:r>
      <w:r>
        <w:rPr>
          <w:rFonts w:ascii="Arial" w:eastAsia="Calibri" w:hAnsi="Arial" w:cs="Arial"/>
          <w:b/>
          <w:color w:val="000000" w:themeColor="text1"/>
          <w:sz w:val="22"/>
        </w:rPr>
        <w:t>Emergencia sanitaria</w:t>
      </w:r>
      <w:r w:rsidR="007E0E0D">
        <w:rPr>
          <w:rFonts w:ascii="Arial" w:eastAsia="Calibri" w:hAnsi="Arial" w:cs="Arial"/>
          <w:b/>
          <w:color w:val="000000" w:themeColor="text1"/>
          <w:sz w:val="22"/>
        </w:rPr>
        <w:t xml:space="preserve"> – </w:t>
      </w:r>
      <w:r>
        <w:rPr>
          <w:rFonts w:ascii="Arial" w:eastAsia="Calibri" w:hAnsi="Arial" w:cs="Arial"/>
          <w:b/>
          <w:color w:val="000000" w:themeColor="text1"/>
          <w:sz w:val="22"/>
        </w:rPr>
        <w:t>Medidas contractuales – Procedimiento de selección – Suspensión – Acto de apertura – Revocatoria</w:t>
      </w:r>
    </w:p>
    <w:p w14:paraId="79B12F0B" w14:textId="77777777" w:rsidR="007E0E0D" w:rsidRDefault="007E0E0D" w:rsidP="007E0E0D">
      <w:pPr>
        <w:jc w:val="both"/>
        <w:rPr>
          <w:rFonts w:ascii="Arial" w:eastAsia="Calibri" w:hAnsi="Arial" w:cs="Arial"/>
          <w:b/>
          <w:color w:val="000000" w:themeColor="text1"/>
          <w:sz w:val="20"/>
          <w:szCs w:val="20"/>
        </w:rPr>
      </w:pPr>
    </w:p>
    <w:p w14:paraId="5F2110A1" w14:textId="0197D850" w:rsidR="007E0E0D" w:rsidRPr="004A128C" w:rsidRDefault="007E0E0D" w:rsidP="0034520C">
      <w:pPr>
        <w:jc w:val="both"/>
        <w:rPr>
          <w:rFonts w:ascii="Arial" w:eastAsia="Calibri" w:hAnsi="Arial" w:cs="Arial"/>
          <w:bCs/>
          <w:color w:val="000000" w:themeColor="text1"/>
          <w:sz w:val="20"/>
          <w:szCs w:val="20"/>
        </w:rPr>
      </w:pPr>
      <w:r>
        <w:rPr>
          <w:rFonts w:ascii="Arial" w:eastAsia="Calibri" w:hAnsi="Arial" w:cs="Arial"/>
          <w:bCs/>
          <w:color w:val="000000" w:themeColor="text1"/>
          <w:sz w:val="20"/>
          <w:szCs w:val="20"/>
        </w:rPr>
        <w:t xml:space="preserve">[…] </w:t>
      </w:r>
      <w:r w:rsidR="009C4B71" w:rsidRPr="009C4B71">
        <w:rPr>
          <w:rFonts w:ascii="Arial" w:eastAsia="Calibri" w:hAnsi="Arial" w:cs="Arial"/>
          <w:bCs/>
          <w:color w:val="000000" w:themeColor="text1"/>
          <w:sz w:val="20"/>
          <w:szCs w:val="20"/>
        </w:rPr>
        <w:t xml:space="preserve">al evidenciarse situaciones donde se encuentre comprometido el normal desarrollo de la actividad contractual por causa del aislamiento preventivo obligatorio, las entidades evaluarán la </w:t>
      </w:r>
      <w:r w:rsidR="009C4B71" w:rsidRPr="009C4B71">
        <w:rPr>
          <w:rFonts w:ascii="Arial" w:eastAsia="Calibri" w:hAnsi="Arial" w:cs="Arial"/>
          <w:bCs/>
          <w:color w:val="000000" w:themeColor="text1"/>
          <w:sz w:val="20"/>
          <w:szCs w:val="20"/>
        </w:rPr>
        <w:lastRenderedPageBreak/>
        <w:t>conveniencia y oportunidad de suspender los procedimientos de selección o de revocar el acto de apertura, con fundamento en el artículo 3 del Decreto 537 de 2020. Naturalmente, podrán descartar ambas opciones si eventualmente consideran adecuado recibir las ofertas físicas, lo que incluye la posibilidad de recibirlas por envío realizado por correo certificado. En este caso, además de custodiar el sobre dos en la bolsa de seguridad, la Administración garantizará los medios para hacer pública la apertura de sobres conforme al numeral 2.4 del «Documento Base – Versión 2» para los procesos de licitación pública. Si no es posible adoptar las medidas previstas en el pliego tipo para la recepción de propuestas, la entidad podrá suspender el proceso o revocar el acto de apertura atendiendo a criterios objetivos, por lo que el acto administrativo deberá explicar claramente la conexidad de los efectos originados por la emergencia sanitaria y la imposibilidad de continuar con el trámite</w:t>
      </w:r>
      <w:r w:rsidR="00DF12C4" w:rsidRPr="00DF12C4">
        <w:rPr>
          <w:rFonts w:ascii="Arial" w:eastAsia="Calibri" w:hAnsi="Arial" w:cs="Arial"/>
          <w:bCs/>
          <w:color w:val="000000" w:themeColor="text1"/>
          <w:sz w:val="20"/>
          <w:szCs w:val="20"/>
        </w:rPr>
        <w:t>.</w:t>
      </w:r>
    </w:p>
    <w:p w14:paraId="04112049" w14:textId="77777777" w:rsidR="00BE1E33" w:rsidRPr="00B20816" w:rsidRDefault="00BE1E33" w:rsidP="00BE1E33">
      <w:pPr>
        <w:jc w:val="both"/>
        <w:rPr>
          <w:rFonts w:ascii="Arial" w:eastAsia="Calibri" w:hAnsi="Arial" w:cs="Arial"/>
          <w:color w:val="000000" w:themeColor="text1"/>
          <w:sz w:val="20"/>
          <w:szCs w:val="20"/>
        </w:rPr>
      </w:pPr>
    </w:p>
    <w:p w14:paraId="2010468C" w14:textId="77777777" w:rsidR="00BE1E33" w:rsidRPr="00B20816" w:rsidRDefault="00BE1E33" w:rsidP="00BE1E33">
      <w:pPr>
        <w:jc w:val="both"/>
        <w:rPr>
          <w:rFonts w:ascii="Arial" w:eastAsia="Calibri" w:hAnsi="Arial" w:cs="Arial"/>
          <w:bCs/>
          <w:color w:val="000000" w:themeColor="text1"/>
          <w:sz w:val="20"/>
          <w:szCs w:val="20"/>
        </w:rPr>
      </w:pPr>
    </w:p>
    <w:p w14:paraId="6068435F" w14:textId="1901245B" w:rsidR="00BE1E33" w:rsidRPr="006C15D5" w:rsidRDefault="00BE1E33" w:rsidP="00BE1E33">
      <w:pPr>
        <w:rPr>
          <w:rFonts w:ascii="Arial" w:hAnsi="Arial" w:cs="Arial"/>
          <w:b/>
          <w:color w:val="000000" w:themeColor="text1"/>
          <w:sz w:val="22"/>
        </w:rPr>
      </w:pPr>
      <w:r w:rsidRPr="006C15D5">
        <w:rPr>
          <w:rFonts w:ascii="Arial" w:hAnsi="Arial" w:cs="Arial"/>
          <w:color w:val="000000" w:themeColor="text1"/>
          <w:sz w:val="22"/>
        </w:rPr>
        <w:t xml:space="preserve">Bogotá D.C., </w:t>
      </w:r>
      <w:r w:rsidR="00D475A4" w:rsidRPr="00D475A4">
        <w:rPr>
          <w:rFonts w:ascii="Arial" w:hAnsi="Arial" w:cs="Arial"/>
          <w:b/>
          <w:color w:val="000000" w:themeColor="text1"/>
          <w:sz w:val="22"/>
        </w:rPr>
        <w:t>26/05/2020 Hora 11:11:11s</w:t>
      </w:r>
    </w:p>
    <w:p w14:paraId="1AED6E7A" w14:textId="6297F7DA" w:rsidR="00BE1E33" w:rsidRPr="006C15D5" w:rsidRDefault="00BE1E33" w:rsidP="00BE1E33">
      <w:pPr>
        <w:jc w:val="right"/>
        <w:rPr>
          <w:rFonts w:ascii="Arial" w:hAnsi="Arial" w:cs="Arial"/>
          <w:b/>
          <w:color w:val="000000" w:themeColor="text1"/>
          <w:sz w:val="22"/>
        </w:rPr>
      </w:pPr>
      <w:proofErr w:type="spellStart"/>
      <w:r w:rsidRPr="006C15D5">
        <w:rPr>
          <w:rFonts w:ascii="Arial" w:hAnsi="Arial" w:cs="Arial"/>
          <w:b/>
          <w:color w:val="000000" w:themeColor="text1"/>
          <w:sz w:val="22"/>
        </w:rPr>
        <w:t>N°</w:t>
      </w:r>
      <w:proofErr w:type="spellEnd"/>
      <w:r w:rsidRPr="006C15D5">
        <w:rPr>
          <w:rFonts w:ascii="Arial" w:hAnsi="Arial" w:cs="Arial"/>
          <w:b/>
          <w:color w:val="000000" w:themeColor="text1"/>
          <w:sz w:val="22"/>
        </w:rPr>
        <w:t xml:space="preserve"> Radicado: </w:t>
      </w:r>
      <w:r w:rsidR="00564088" w:rsidRPr="00564088">
        <w:rPr>
          <w:rFonts w:ascii="Arial" w:hAnsi="Arial" w:cs="Arial"/>
          <w:b/>
          <w:color w:val="000000" w:themeColor="text1"/>
          <w:sz w:val="22"/>
        </w:rPr>
        <w:t>2202013000004127</w:t>
      </w:r>
    </w:p>
    <w:p w14:paraId="12A234ED" w14:textId="77777777" w:rsidR="00BE1E33" w:rsidRPr="006C15D5" w:rsidRDefault="00BE1E33" w:rsidP="00BE1E33">
      <w:pPr>
        <w:rPr>
          <w:rFonts w:ascii="Arial" w:eastAsia="Calibri" w:hAnsi="Arial" w:cs="Arial"/>
          <w:color w:val="000000" w:themeColor="text1"/>
          <w:sz w:val="22"/>
        </w:rPr>
      </w:pPr>
    </w:p>
    <w:p w14:paraId="73D51859" w14:textId="77777777" w:rsidR="00BE1E33" w:rsidRPr="006C15D5" w:rsidRDefault="00BE1E33" w:rsidP="00BE1E33">
      <w:pPr>
        <w:rPr>
          <w:rFonts w:ascii="Arial" w:eastAsia="Calibri" w:hAnsi="Arial" w:cs="Arial"/>
          <w:color w:val="000000" w:themeColor="text1"/>
          <w:sz w:val="22"/>
        </w:rPr>
      </w:pPr>
      <w:r w:rsidRPr="006C15D5">
        <w:rPr>
          <w:rFonts w:ascii="Arial" w:eastAsia="Calibri" w:hAnsi="Arial" w:cs="Arial"/>
          <w:color w:val="000000" w:themeColor="text1"/>
          <w:sz w:val="22"/>
        </w:rPr>
        <w:t>Señora</w:t>
      </w:r>
    </w:p>
    <w:p w14:paraId="764376FC" w14:textId="4F4F01E2" w:rsidR="006D771F" w:rsidRDefault="006D771F" w:rsidP="00BE1E33">
      <w:pPr>
        <w:rPr>
          <w:rFonts w:ascii="Arial" w:eastAsia="Calibri" w:hAnsi="Arial" w:cs="Arial"/>
          <w:b/>
          <w:color w:val="000000" w:themeColor="text1"/>
          <w:sz w:val="22"/>
        </w:rPr>
      </w:pPr>
      <w:r w:rsidRPr="006D771F">
        <w:rPr>
          <w:rFonts w:ascii="Arial" w:eastAsia="Calibri" w:hAnsi="Arial" w:cs="Arial"/>
          <w:b/>
          <w:color w:val="000000" w:themeColor="text1"/>
          <w:sz w:val="22"/>
        </w:rPr>
        <w:t xml:space="preserve">Alexandra Reyes Gómez  </w:t>
      </w:r>
    </w:p>
    <w:p w14:paraId="095BF112" w14:textId="3245A43C" w:rsidR="00BE1E33" w:rsidRPr="006C15D5" w:rsidRDefault="00565D9C" w:rsidP="00BE1E33">
      <w:pPr>
        <w:rPr>
          <w:rFonts w:ascii="Arial" w:eastAsia="Calibri" w:hAnsi="Arial" w:cs="Arial"/>
          <w:color w:val="000000" w:themeColor="text1"/>
          <w:sz w:val="22"/>
        </w:rPr>
      </w:pPr>
      <w:r w:rsidRPr="00565D9C">
        <w:rPr>
          <w:rFonts w:ascii="Arial" w:eastAsia="Calibri" w:hAnsi="Arial" w:cs="Arial"/>
          <w:color w:val="000000" w:themeColor="text1"/>
          <w:sz w:val="22"/>
        </w:rPr>
        <w:t xml:space="preserve">San José del </w:t>
      </w:r>
      <w:bookmarkStart w:id="2" w:name="_Hlk41305754"/>
      <w:r w:rsidRPr="00565D9C">
        <w:rPr>
          <w:rFonts w:ascii="Arial" w:eastAsia="Calibri" w:hAnsi="Arial" w:cs="Arial"/>
          <w:color w:val="000000" w:themeColor="text1"/>
          <w:sz w:val="22"/>
        </w:rPr>
        <w:t>Guaviare</w:t>
      </w:r>
      <w:bookmarkEnd w:id="2"/>
      <w:r w:rsidR="00BE1E33" w:rsidRPr="006C15D5">
        <w:rPr>
          <w:rFonts w:ascii="Arial" w:eastAsia="Calibri" w:hAnsi="Arial" w:cs="Arial"/>
          <w:color w:val="000000" w:themeColor="text1"/>
          <w:sz w:val="22"/>
        </w:rPr>
        <w:t xml:space="preserve">, </w:t>
      </w:r>
      <w:r w:rsidRPr="00565D9C">
        <w:rPr>
          <w:rFonts w:ascii="Arial" w:eastAsia="Calibri" w:hAnsi="Arial" w:cs="Arial"/>
          <w:color w:val="000000" w:themeColor="text1"/>
          <w:sz w:val="22"/>
        </w:rPr>
        <w:t>Guaviare</w:t>
      </w:r>
    </w:p>
    <w:p w14:paraId="04EF8353" w14:textId="77777777" w:rsidR="00BE1E33" w:rsidRPr="006C15D5" w:rsidRDefault="00BE1E33" w:rsidP="00BE1E33">
      <w:pPr>
        <w:rPr>
          <w:rFonts w:ascii="Arial" w:eastAsia="Calibri" w:hAnsi="Arial" w:cs="Arial"/>
          <w:color w:val="000000" w:themeColor="text1"/>
          <w:sz w:val="22"/>
        </w:rPr>
      </w:pPr>
    </w:p>
    <w:p w14:paraId="738DBA53" w14:textId="77777777" w:rsidR="00BE1E33" w:rsidRPr="006C15D5" w:rsidRDefault="00BE1E33" w:rsidP="00BE1E33">
      <w:pPr>
        <w:rPr>
          <w:rFonts w:ascii="Arial" w:eastAsia="Calibri" w:hAnsi="Arial" w:cs="Arial"/>
          <w:color w:val="000000" w:themeColor="text1"/>
          <w:sz w:val="22"/>
        </w:rPr>
      </w:pPr>
    </w:p>
    <w:p w14:paraId="5CEA4ADF" w14:textId="0C9E352E" w:rsidR="00BE1E33" w:rsidRPr="006C15D5" w:rsidRDefault="00BE1E33" w:rsidP="00BE1E33">
      <w:pPr>
        <w:ind w:firstLine="2694"/>
        <w:rPr>
          <w:rFonts w:ascii="Arial" w:eastAsia="Calibri" w:hAnsi="Arial" w:cs="Arial"/>
          <w:b/>
          <w:color w:val="000000" w:themeColor="text1"/>
          <w:sz w:val="22"/>
        </w:rPr>
      </w:pPr>
      <w:r w:rsidRPr="006C15D5">
        <w:rPr>
          <w:rFonts w:ascii="Arial" w:eastAsia="Calibri" w:hAnsi="Arial" w:cs="Arial"/>
          <w:b/>
          <w:color w:val="000000" w:themeColor="text1"/>
          <w:sz w:val="22"/>
        </w:rPr>
        <w:t xml:space="preserve">Concepto C </w:t>
      </w:r>
      <w:r w:rsidR="00490DBF">
        <w:rPr>
          <w:rFonts w:ascii="Arial" w:eastAsia="Calibri" w:hAnsi="Arial" w:cs="Arial"/>
          <w:b/>
          <w:color w:val="000000" w:themeColor="text1"/>
          <w:sz w:val="22"/>
        </w:rPr>
        <w:t>–</w:t>
      </w:r>
      <w:r w:rsidRPr="006C15D5">
        <w:rPr>
          <w:rFonts w:ascii="Arial" w:eastAsia="Calibri" w:hAnsi="Arial" w:cs="Arial"/>
          <w:b/>
          <w:color w:val="000000" w:themeColor="text1"/>
          <w:sz w:val="22"/>
        </w:rPr>
        <w:t xml:space="preserve"> </w:t>
      </w:r>
      <w:r w:rsidR="00976715" w:rsidRPr="00976715">
        <w:rPr>
          <w:rFonts w:ascii="Arial" w:eastAsia="Calibri" w:hAnsi="Arial" w:cs="Arial"/>
          <w:b/>
          <w:color w:val="000000" w:themeColor="text1"/>
          <w:sz w:val="22"/>
        </w:rPr>
        <w:t>281 de 2020</w:t>
      </w:r>
    </w:p>
    <w:p w14:paraId="234727AD" w14:textId="77777777" w:rsidR="00BE1E33" w:rsidRPr="006C15D5" w:rsidRDefault="00BE1E33" w:rsidP="00BE1E33">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F6D32" w:rsidRPr="003F6D32" w14:paraId="2553E4F3" w14:textId="77777777" w:rsidTr="00AC43E7">
        <w:tc>
          <w:tcPr>
            <w:tcW w:w="2689" w:type="dxa"/>
            <w:hideMark/>
          </w:tcPr>
          <w:p w14:paraId="7BC9E971" w14:textId="77777777" w:rsidR="00BE1E33" w:rsidRPr="006C15D5" w:rsidRDefault="00BE1E33" w:rsidP="00AC43E7">
            <w:pPr>
              <w:rPr>
                <w:rFonts w:ascii="Arial" w:eastAsia="Calibri" w:hAnsi="Arial" w:cs="Arial"/>
                <w:color w:val="000000" w:themeColor="text1"/>
                <w:sz w:val="22"/>
              </w:rPr>
            </w:pPr>
            <w:r w:rsidRPr="006C15D5">
              <w:rPr>
                <w:rFonts w:ascii="Arial" w:eastAsia="Calibri" w:hAnsi="Arial" w:cs="Arial"/>
                <w:b/>
                <w:color w:val="000000" w:themeColor="text1"/>
                <w:sz w:val="22"/>
              </w:rPr>
              <w:t>Temas:</w:t>
            </w:r>
            <w:r w:rsidRPr="006C15D5">
              <w:rPr>
                <w:rFonts w:ascii="Arial" w:eastAsia="Calibri" w:hAnsi="Arial" w:cs="Arial"/>
                <w:color w:val="000000" w:themeColor="text1"/>
                <w:sz w:val="22"/>
              </w:rPr>
              <w:t xml:space="preserve">           </w:t>
            </w:r>
          </w:p>
          <w:p w14:paraId="0C0D8CD7" w14:textId="77777777" w:rsidR="00BE1E33" w:rsidRPr="006C15D5" w:rsidRDefault="00BE1E33" w:rsidP="00AC43E7">
            <w:pPr>
              <w:rPr>
                <w:rFonts w:ascii="Arial" w:eastAsia="Calibri" w:hAnsi="Arial" w:cs="Arial"/>
                <w:color w:val="000000" w:themeColor="text1"/>
                <w:sz w:val="22"/>
              </w:rPr>
            </w:pPr>
            <w:r w:rsidRPr="006C15D5">
              <w:rPr>
                <w:rFonts w:ascii="Arial" w:eastAsia="Calibri" w:hAnsi="Arial" w:cs="Arial"/>
                <w:color w:val="000000" w:themeColor="text1"/>
                <w:sz w:val="22"/>
              </w:rPr>
              <w:t xml:space="preserve">                           </w:t>
            </w:r>
          </w:p>
        </w:tc>
        <w:tc>
          <w:tcPr>
            <w:tcW w:w="6237" w:type="dxa"/>
            <w:hideMark/>
          </w:tcPr>
          <w:p w14:paraId="0F35FDBD" w14:textId="6FBC11CB" w:rsidR="00BE1E33" w:rsidRPr="006C15D5" w:rsidRDefault="00676D2B" w:rsidP="00676D2B">
            <w:pPr>
              <w:jc w:val="both"/>
              <w:rPr>
                <w:rFonts w:ascii="Arial" w:eastAsia="Calibri" w:hAnsi="Arial" w:cs="Arial"/>
                <w:color w:val="000000" w:themeColor="text1"/>
                <w:sz w:val="22"/>
              </w:rPr>
            </w:pPr>
            <w:r>
              <w:rPr>
                <w:rFonts w:ascii="Arial" w:eastAsia="Calibri" w:hAnsi="Arial" w:cs="Arial"/>
                <w:color w:val="000000" w:themeColor="text1"/>
                <w:sz w:val="22"/>
              </w:rPr>
              <w:t>DOCUMENTOS</w:t>
            </w:r>
            <w:r w:rsidR="0034520C" w:rsidRPr="0034520C">
              <w:rPr>
                <w:rFonts w:ascii="Arial" w:eastAsia="Calibri" w:hAnsi="Arial" w:cs="Arial"/>
                <w:color w:val="000000" w:themeColor="text1"/>
                <w:sz w:val="22"/>
              </w:rPr>
              <w:t xml:space="preserve"> TIPO – Obligatoriedad</w:t>
            </w:r>
            <w:r w:rsidR="00F52BC9" w:rsidRPr="00F52BC9">
              <w:rPr>
                <w:rFonts w:ascii="Arial" w:eastAsia="Calibri" w:hAnsi="Arial" w:cs="Arial"/>
                <w:color w:val="000000" w:themeColor="text1"/>
                <w:sz w:val="22"/>
              </w:rPr>
              <w:t xml:space="preserve"> </w:t>
            </w:r>
            <w:r w:rsidR="00BE1E33" w:rsidRPr="006C15D5">
              <w:rPr>
                <w:rFonts w:ascii="Arial" w:eastAsia="Calibri" w:hAnsi="Arial" w:cs="Arial"/>
                <w:color w:val="000000" w:themeColor="text1"/>
                <w:sz w:val="22"/>
              </w:rPr>
              <w:t xml:space="preserve">/ </w:t>
            </w:r>
            <w:r>
              <w:rPr>
                <w:rFonts w:ascii="Arial" w:eastAsia="Calibri" w:hAnsi="Arial" w:cs="Arial"/>
                <w:color w:val="000000" w:themeColor="text1"/>
                <w:sz w:val="22"/>
              </w:rPr>
              <w:t>DOCUMENTO</w:t>
            </w:r>
            <w:r w:rsidR="0034520C" w:rsidRPr="0034520C">
              <w:rPr>
                <w:rFonts w:ascii="Arial" w:eastAsia="Calibri" w:hAnsi="Arial" w:cs="Arial"/>
                <w:color w:val="000000" w:themeColor="text1"/>
                <w:sz w:val="22"/>
              </w:rPr>
              <w:t>S TIPO – Finalidad legislativa</w:t>
            </w:r>
            <w:r w:rsidR="00BE1E33" w:rsidRPr="006C15D5">
              <w:rPr>
                <w:rFonts w:ascii="Arial" w:eastAsia="Calibri" w:hAnsi="Arial" w:cs="Arial"/>
                <w:color w:val="000000" w:themeColor="text1"/>
                <w:sz w:val="22"/>
              </w:rPr>
              <w:t xml:space="preserve"> / </w:t>
            </w:r>
            <w:r>
              <w:rPr>
                <w:rFonts w:ascii="Arial" w:eastAsia="Calibri" w:hAnsi="Arial" w:cs="Arial"/>
                <w:color w:val="000000" w:themeColor="text1"/>
                <w:sz w:val="22"/>
              </w:rPr>
              <w:t>DOCUMENTOS</w:t>
            </w:r>
            <w:r w:rsidR="0034520C" w:rsidRPr="0034520C">
              <w:rPr>
                <w:rFonts w:ascii="Arial" w:eastAsia="Calibri" w:hAnsi="Arial" w:cs="Arial"/>
                <w:color w:val="000000" w:themeColor="text1"/>
                <w:sz w:val="22"/>
              </w:rPr>
              <w:t xml:space="preserve"> TIPO – Licitación Pública – Versión 2 – Recepción de Ofertas – Inalterabilidad – Medio físico – SECOP I</w:t>
            </w:r>
            <w:r w:rsidR="0034520C">
              <w:rPr>
                <w:rFonts w:ascii="Arial" w:eastAsia="Calibri" w:hAnsi="Arial" w:cs="Arial"/>
                <w:color w:val="000000" w:themeColor="text1"/>
                <w:sz w:val="22"/>
              </w:rPr>
              <w:t xml:space="preserve"> / </w:t>
            </w:r>
            <w:r w:rsidR="0034520C" w:rsidRPr="0034520C">
              <w:rPr>
                <w:rFonts w:ascii="Arial" w:eastAsia="Calibri" w:hAnsi="Arial" w:cs="Arial"/>
                <w:color w:val="000000" w:themeColor="text1"/>
                <w:sz w:val="22"/>
              </w:rPr>
              <w:t>DECRETO 537 DE 2020 – Emergencia sanitaria – Medidas contractuales – Procedimiento de selección – Suspensión – Acto de apertura – Revocatoria</w:t>
            </w:r>
          </w:p>
        </w:tc>
      </w:tr>
      <w:tr w:rsidR="003F6D32" w:rsidRPr="003F6D32" w14:paraId="20F2A3B6" w14:textId="77777777" w:rsidTr="00AC43E7">
        <w:tc>
          <w:tcPr>
            <w:tcW w:w="2689" w:type="dxa"/>
          </w:tcPr>
          <w:p w14:paraId="1E82F4FA" w14:textId="77777777" w:rsidR="00BE1E33" w:rsidRPr="006C15D5" w:rsidRDefault="00BE1E33" w:rsidP="00AC43E7">
            <w:pPr>
              <w:spacing w:before="120"/>
              <w:rPr>
                <w:rFonts w:ascii="Arial" w:eastAsia="Calibri" w:hAnsi="Arial" w:cs="Arial"/>
                <w:b/>
                <w:color w:val="000000" w:themeColor="text1"/>
                <w:sz w:val="22"/>
              </w:rPr>
            </w:pPr>
            <w:r w:rsidRPr="006C15D5">
              <w:rPr>
                <w:rFonts w:ascii="Arial" w:eastAsia="Calibri" w:hAnsi="Arial" w:cs="Arial"/>
                <w:b/>
                <w:color w:val="000000" w:themeColor="text1"/>
                <w:sz w:val="22"/>
              </w:rPr>
              <w:t>Radicación:</w:t>
            </w:r>
            <w:r w:rsidRPr="006C15D5">
              <w:rPr>
                <w:rFonts w:ascii="Arial" w:eastAsia="Calibri" w:hAnsi="Arial" w:cs="Arial"/>
                <w:color w:val="000000" w:themeColor="text1"/>
                <w:sz w:val="22"/>
              </w:rPr>
              <w:t xml:space="preserve">                              </w:t>
            </w:r>
          </w:p>
        </w:tc>
        <w:tc>
          <w:tcPr>
            <w:tcW w:w="6237" w:type="dxa"/>
          </w:tcPr>
          <w:p w14:paraId="20FCE53A" w14:textId="3CEC0515" w:rsidR="00BE1E33" w:rsidRPr="006C15D5" w:rsidRDefault="00BE1E33" w:rsidP="00AC43E7">
            <w:pPr>
              <w:spacing w:before="120"/>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Respuesta a consulta </w:t>
            </w:r>
            <w:r w:rsidR="00976715" w:rsidRPr="00976715">
              <w:rPr>
                <w:rFonts w:ascii="Arial" w:eastAsia="Calibri" w:hAnsi="Arial" w:cs="Arial"/>
                <w:color w:val="000000" w:themeColor="text1"/>
                <w:sz w:val="22"/>
              </w:rPr>
              <w:t>4202013000002532</w:t>
            </w:r>
            <w:r w:rsidRPr="006C15D5">
              <w:rPr>
                <w:rFonts w:ascii="Arial" w:eastAsia="Calibri" w:hAnsi="Arial" w:cs="Arial"/>
                <w:color w:val="000000" w:themeColor="text1"/>
                <w:sz w:val="22"/>
              </w:rPr>
              <w:t xml:space="preserve"> </w:t>
            </w:r>
          </w:p>
        </w:tc>
      </w:tr>
      <w:tr w:rsidR="00770D7D" w:rsidRPr="003F6D32" w14:paraId="27C2F130" w14:textId="77777777" w:rsidTr="00AC43E7">
        <w:tc>
          <w:tcPr>
            <w:tcW w:w="2689" w:type="dxa"/>
          </w:tcPr>
          <w:p w14:paraId="2CAB0965" w14:textId="77777777" w:rsidR="00770D7D" w:rsidRPr="006C15D5" w:rsidRDefault="00770D7D" w:rsidP="00AC43E7">
            <w:pPr>
              <w:spacing w:before="120"/>
              <w:rPr>
                <w:rFonts w:ascii="Arial" w:eastAsia="Calibri" w:hAnsi="Arial" w:cs="Arial"/>
                <w:b/>
                <w:color w:val="000000" w:themeColor="text1"/>
                <w:sz w:val="22"/>
              </w:rPr>
            </w:pPr>
          </w:p>
        </w:tc>
        <w:tc>
          <w:tcPr>
            <w:tcW w:w="6237" w:type="dxa"/>
          </w:tcPr>
          <w:p w14:paraId="38942E59" w14:textId="77777777" w:rsidR="00770D7D" w:rsidRPr="006C15D5" w:rsidRDefault="00770D7D" w:rsidP="00AC43E7">
            <w:pPr>
              <w:spacing w:before="120"/>
              <w:jc w:val="both"/>
              <w:rPr>
                <w:rFonts w:ascii="Arial" w:eastAsia="Calibri" w:hAnsi="Arial" w:cs="Arial"/>
                <w:color w:val="000000" w:themeColor="text1"/>
                <w:sz w:val="22"/>
              </w:rPr>
            </w:pPr>
          </w:p>
        </w:tc>
      </w:tr>
    </w:tbl>
    <w:p w14:paraId="06248123" w14:textId="77777777" w:rsidR="00BE1E33" w:rsidRPr="006C15D5" w:rsidRDefault="00BE1E33" w:rsidP="00BE1E33">
      <w:pPr>
        <w:jc w:val="both"/>
        <w:rPr>
          <w:rFonts w:ascii="Arial" w:eastAsia="Calibri" w:hAnsi="Arial" w:cs="Arial"/>
          <w:color w:val="000000" w:themeColor="text1"/>
          <w:sz w:val="22"/>
        </w:rPr>
      </w:pPr>
    </w:p>
    <w:p w14:paraId="417ABDA8" w14:textId="6C086CDE" w:rsidR="00BE1E33" w:rsidRPr="006C15D5" w:rsidRDefault="00BE1E33" w:rsidP="00BE1E33">
      <w:pPr>
        <w:rPr>
          <w:rFonts w:ascii="Arial" w:eastAsia="Calibri" w:hAnsi="Arial" w:cs="Arial"/>
          <w:color w:val="000000" w:themeColor="text1"/>
          <w:sz w:val="22"/>
        </w:rPr>
      </w:pPr>
      <w:r w:rsidRPr="006C15D5">
        <w:rPr>
          <w:rFonts w:ascii="Arial" w:eastAsia="Calibri" w:hAnsi="Arial" w:cs="Arial"/>
          <w:color w:val="000000" w:themeColor="text1"/>
          <w:sz w:val="22"/>
        </w:rPr>
        <w:t xml:space="preserve">Estimada señora </w:t>
      </w:r>
      <w:r w:rsidR="006D771F">
        <w:rPr>
          <w:rFonts w:ascii="Arial" w:eastAsia="Calibri" w:hAnsi="Arial" w:cs="Arial"/>
          <w:color w:val="000000" w:themeColor="text1"/>
          <w:sz w:val="22"/>
        </w:rPr>
        <w:t>Reyes Gómez</w:t>
      </w:r>
      <w:r w:rsidRPr="006C15D5">
        <w:rPr>
          <w:rFonts w:ascii="Arial" w:eastAsia="Calibri" w:hAnsi="Arial" w:cs="Arial"/>
          <w:color w:val="000000" w:themeColor="text1"/>
          <w:sz w:val="22"/>
        </w:rPr>
        <w:t>:</w:t>
      </w:r>
    </w:p>
    <w:p w14:paraId="1CCABABD" w14:textId="77777777" w:rsidR="00BE1E33" w:rsidRPr="006C15D5" w:rsidRDefault="00BE1E33" w:rsidP="00BE1E33">
      <w:pPr>
        <w:rPr>
          <w:rFonts w:ascii="Arial" w:eastAsia="Calibri" w:hAnsi="Arial" w:cs="Arial"/>
          <w:color w:val="000000" w:themeColor="text1"/>
          <w:sz w:val="22"/>
        </w:rPr>
      </w:pPr>
    </w:p>
    <w:p w14:paraId="286A9CEF" w14:textId="2799816D" w:rsidR="00BE1E33" w:rsidRPr="006C15D5" w:rsidRDefault="00BE1E33" w:rsidP="00BE1E33">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w:t>
      </w:r>
      <w:r w:rsidR="00EA4777">
        <w:rPr>
          <w:rFonts w:ascii="Arial" w:eastAsia="Calibri" w:hAnsi="Arial" w:cs="Arial"/>
          <w:color w:val="000000" w:themeColor="text1"/>
          <w:sz w:val="22"/>
        </w:rPr>
        <w:t>8</w:t>
      </w:r>
      <w:r w:rsidR="00EA62F1">
        <w:rPr>
          <w:rFonts w:ascii="Arial" w:eastAsia="Calibri" w:hAnsi="Arial" w:cs="Arial"/>
          <w:color w:val="000000" w:themeColor="text1"/>
          <w:sz w:val="22"/>
        </w:rPr>
        <w:t xml:space="preserve"> de abril</w:t>
      </w:r>
      <w:r w:rsidRPr="006C15D5">
        <w:rPr>
          <w:rFonts w:ascii="Arial" w:eastAsia="Calibri" w:hAnsi="Arial" w:cs="Arial"/>
          <w:color w:val="000000" w:themeColor="text1"/>
          <w:sz w:val="22"/>
        </w:rPr>
        <w:t xml:space="preserve"> de 2020. </w:t>
      </w:r>
    </w:p>
    <w:p w14:paraId="1D13401D" w14:textId="77777777" w:rsidR="00BE1E33" w:rsidRPr="006C15D5" w:rsidRDefault="00BE1E33" w:rsidP="00BE1E33">
      <w:pPr>
        <w:spacing w:line="276" w:lineRule="auto"/>
        <w:jc w:val="both"/>
        <w:rPr>
          <w:rFonts w:ascii="Arial" w:eastAsia="Calibri" w:hAnsi="Arial" w:cs="Arial"/>
          <w:color w:val="000000" w:themeColor="text1"/>
          <w:sz w:val="22"/>
        </w:rPr>
      </w:pPr>
    </w:p>
    <w:p w14:paraId="068F505C" w14:textId="77777777" w:rsidR="00BE1E33" w:rsidRPr="006C15D5" w:rsidRDefault="00BE1E33" w:rsidP="00BE1E33">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6C15D5">
        <w:rPr>
          <w:rFonts w:ascii="Arial" w:eastAsia="Calibri" w:hAnsi="Arial" w:cs="Arial"/>
          <w:b/>
          <w:color w:val="000000" w:themeColor="text1"/>
          <w:sz w:val="22"/>
        </w:rPr>
        <w:t xml:space="preserve">Problemas planteados </w:t>
      </w:r>
    </w:p>
    <w:p w14:paraId="430A9943" w14:textId="77777777" w:rsidR="00BE1E33" w:rsidRPr="006C15D5" w:rsidRDefault="00BE1E33" w:rsidP="00BE1E33">
      <w:pPr>
        <w:tabs>
          <w:tab w:val="left" w:pos="426"/>
        </w:tabs>
        <w:spacing w:line="276" w:lineRule="auto"/>
        <w:jc w:val="both"/>
        <w:rPr>
          <w:rFonts w:ascii="Arial" w:eastAsia="Calibri" w:hAnsi="Arial" w:cs="Arial"/>
          <w:b/>
          <w:color w:val="000000" w:themeColor="text1"/>
          <w:sz w:val="22"/>
        </w:rPr>
      </w:pPr>
    </w:p>
    <w:p w14:paraId="741F3B6B" w14:textId="15E6F667" w:rsidR="00BE1E33" w:rsidRPr="006C15D5" w:rsidRDefault="00EA4777" w:rsidP="00217339">
      <w:pPr>
        <w:tabs>
          <w:tab w:val="left" w:pos="426"/>
        </w:tabs>
        <w:spacing w:line="276" w:lineRule="auto"/>
        <w:jc w:val="both"/>
        <w:rPr>
          <w:rFonts w:ascii="Arial" w:eastAsia="Calibri" w:hAnsi="Arial" w:cs="Arial"/>
          <w:color w:val="000000" w:themeColor="text1"/>
          <w:sz w:val="22"/>
        </w:rPr>
      </w:pPr>
      <w:bookmarkStart w:id="3" w:name="_Hlk41230833"/>
      <w:r w:rsidRPr="00EA4777">
        <w:rPr>
          <w:rFonts w:ascii="Arial" w:eastAsia="Calibri" w:hAnsi="Arial" w:cs="Arial"/>
          <w:color w:val="000000" w:themeColor="text1"/>
          <w:sz w:val="22"/>
        </w:rPr>
        <w:t xml:space="preserve">Usted realiza la siguiente pregunta: </w:t>
      </w:r>
      <w:bookmarkStart w:id="4" w:name="_Hlk41321741"/>
      <w:r w:rsidRPr="00EA4777">
        <w:rPr>
          <w:rFonts w:ascii="Arial" w:eastAsia="Calibri" w:hAnsi="Arial" w:cs="Arial"/>
          <w:color w:val="000000" w:themeColor="text1"/>
          <w:sz w:val="22"/>
        </w:rPr>
        <w:t xml:space="preserve">teniendo en cuenta </w:t>
      </w:r>
      <w:r w:rsidR="00376079">
        <w:rPr>
          <w:rFonts w:ascii="Arial" w:eastAsia="Calibri" w:hAnsi="Arial" w:cs="Arial"/>
          <w:color w:val="000000" w:themeColor="text1"/>
          <w:sz w:val="22"/>
        </w:rPr>
        <w:t xml:space="preserve">la </w:t>
      </w:r>
      <w:proofErr w:type="spellStart"/>
      <w:r w:rsidR="00376079">
        <w:rPr>
          <w:rFonts w:ascii="Arial" w:eastAsia="Calibri" w:hAnsi="Arial" w:cs="Arial"/>
          <w:color w:val="000000" w:themeColor="text1"/>
          <w:sz w:val="22"/>
        </w:rPr>
        <w:t>inmodificabilidad</w:t>
      </w:r>
      <w:proofErr w:type="spellEnd"/>
      <w:r w:rsidR="00376079">
        <w:rPr>
          <w:rFonts w:ascii="Arial" w:eastAsia="Calibri" w:hAnsi="Arial" w:cs="Arial"/>
          <w:color w:val="000000" w:themeColor="text1"/>
          <w:sz w:val="22"/>
        </w:rPr>
        <w:t xml:space="preserve"> de</w:t>
      </w:r>
      <w:r w:rsidR="004C24D5" w:rsidRPr="00EA4777">
        <w:rPr>
          <w:rFonts w:ascii="Arial" w:eastAsia="Calibri" w:hAnsi="Arial" w:cs="Arial"/>
          <w:color w:val="000000" w:themeColor="text1"/>
          <w:sz w:val="22"/>
        </w:rPr>
        <w:t xml:space="preserve"> </w:t>
      </w:r>
      <w:r w:rsidRPr="00EA4777">
        <w:rPr>
          <w:rFonts w:ascii="Arial" w:eastAsia="Calibri" w:hAnsi="Arial" w:cs="Arial"/>
          <w:color w:val="000000" w:themeColor="text1"/>
          <w:sz w:val="22"/>
        </w:rPr>
        <w:t xml:space="preserve">los </w:t>
      </w:r>
      <w:r w:rsidR="004C24D5">
        <w:rPr>
          <w:rFonts w:ascii="Arial" w:eastAsia="Calibri" w:hAnsi="Arial" w:cs="Arial"/>
          <w:color w:val="000000" w:themeColor="text1"/>
          <w:sz w:val="22"/>
        </w:rPr>
        <w:t>«P</w:t>
      </w:r>
      <w:r w:rsidRPr="00EA4777">
        <w:rPr>
          <w:rFonts w:ascii="Arial" w:eastAsia="Calibri" w:hAnsi="Arial" w:cs="Arial"/>
          <w:color w:val="000000" w:themeColor="text1"/>
          <w:sz w:val="22"/>
        </w:rPr>
        <w:t xml:space="preserve">liegos </w:t>
      </w:r>
      <w:r w:rsidR="004C24D5">
        <w:rPr>
          <w:rFonts w:ascii="Arial" w:eastAsia="Calibri" w:hAnsi="Arial" w:cs="Arial"/>
          <w:color w:val="000000" w:themeColor="text1"/>
          <w:sz w:val="22"/>
        </w:rPr>
        <w:t>T</w:t>
      </w:r>
      <w:r w:rsidRPr="00EA4777">
        <w:rPr>
          <w:rFonts w:ascii="Arial" w:eastAsia="Calibri" w:hAnsi="Arial" w:cs="Arial"/>
          <w:color w:val="000000" w:themeColor="text1"/>
          <w:sz w:val="22"/>
        </w:rPr>
        <w:t>ipo</w:t>
      </w:r>
      <w:r w:rsidR="004C24D5">
        <w:rPr>
          <w:rFonts w:ascii="Arial" w:eastAsia="Calibri" w:hAnsi="Arial" w:cs="Arial"/>
          <w:color w:val="000000" w:themeColor="text1"/>
          <w:sz w:val="22"/>
        </w:rPr>
        <w:t xml:space="preserve"> – Versión 2» para los procesos de licitación</w:t>
      </w:r>
      <w:r w:rsidRPr="00EA4777">
        <w:rPr>
          <w:rFonts w:ascii="Arial" w:eastAsia="Calibri" w:hAnsi="Arial" w:cs="Arial"/>
          <w:color w:val="000000" w:themeColor="text1"/>
          <w:sz w:val="22"/>
        </w:rPr>
        <w:t xml:space="preserve"> y que, para las entidades que publican en el SECOP I, la entrega de las ofertas es presencial, ¿qué mecanismo puede aplicarse para la recepción de las propuestas? </w:t>
      </w:r>
      <w:r w:rsidR="00CE35D5" w:rsidRPr="00CE35D5">
        <w:rPr>
          <w:rFonts w:ascii="Arial" w:eastAsia="Calibri" w:hAnsi="Arial" w:cs="Arial"/>
          <w:color w:val="000000" w:themeColor="text1"/>
          <w:sz w:val="22"/>
        </w:rPr>
        <w:t xml:space="preserve"> </w:t>
      </w:r>
      <w:bookmarkEnd w:id="3"/>
      <w:r w:rsidR="00EA62F1">
        <w:rPr>
          <w:rFonts w:ascii="Arial" w:eastAsia="Calibri" w:hAnsi="Arial" w:cs="Arial"/>
          <w:color w:val="000000" w:themeColor="text1"/>
          <w:sz w:val="22"/>
        </w:rPr>
        <w:t xml:space="preserve">  </w:t>
      </w:r>
      <w:r w:rsidR="00BE1E33" w:rsidRPr="006C15D5">
        <w:rPr>
          <w:rFonts w:ascii="Arial" w:eastAsia="Calibri" w:hAnsi="Arial" w:cs="Arial"/>
          <w:color w:val="000000" w:themeColor="text1"/>
          <w:sz w:val="22"/>
        </w:rPr>
        <w:t xml:space="preserve"> </w:t>
      </w:r>
      <w:bookmarkEnd w:id="4"/>
    </w:p>
    <w:p w14:paraId="6D375D8C" w14:textId="77777777" w:rsidR="00BE1E33" w:rsidRPr="006C15D5" w:rsidRDefault="00BE1E33" w:rsidP="00CE35D5">
      <w:pPr>
        <w:tabs>
          <w:tab w:val="left" w:pos="709"/>
        </w:tabs>
        <w:spacing w:line="276" w:lineRule="auto"/>
        <w:jc w:val="both"/>
        <w:rPr>
          <w:rFonts w:ascii="Arial" w:eastAsia="Calibri" w:hAnsi="Arial" w:cs="Arial"/>
          <w:color w:val="000000" w:themeColor="text1"/>
          <w:sz w:val="22"/>
        </w:rPr>
      </w:pPr>
    </w:p>
    <w:p w14:paraId="000CB06F" w14:textId="77777777" w:rsidR="00BE1E33" w:rsidRPr="006C15D5" w:rsidRDefault="00BE1E33" w:rsidP="00BE1E33">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6C15D5">
        <w:rPr>
          <w:rFonts w:ascii="Arial" w:eastAsia="Calibri" w:hAnsi="Arial" w:cs="Arial"/>
          <w:b/>
          <w:color w:val="000000" w:themeColor="text1"/>
          <w:sz w:val="22"/>
        </w:rPr>
        <w:lastRenderedPageBreak/>
        <w:t>Consideraciones</w:t>
      </w:r>
    </w:p>
    <w:p w14:paraId="01D94D72" w14:textId="056761A8" w:rsidR="00BE1E33" w:rsidRDefault="00BE1E33" w:rsidP="00BE1E33">
      <w:pPr>
        <w:spacing w:line="276" w:lineRule="auto"/>
        <w:jc w:val="both"/>
        <w:rPr>
          <w:rFonts w:ascii="Arial" w:eastAsia="Calibri" w:hAnsi="Arial" w:cs="Arial"/>
          <w:color w:val="000000" w:themeColor="text1"/>
          <w:sz w:val="22"/>
        </w:rPr>
      </w:pPr>
    </w:p>
    <w:p w14:paraId="6E80D8CB" w14:textId="64EB74C5" w:rsidR="00673DB8" w:rsidRDefault="0025095A" w:rsidP="00673DB8">
      <w:pPr>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t xml:space="preserve">Para responder la pregunta planteada, se analizarán los siguientes temas: i) </w:t>
      </w:r>
      <w:r w:rsidR="00105110">
        <w:rPr>
          <w:rFonts w:ascii="Arial" w:eastAsia="Calibri" w:hAnsi="Arial" w:cs="Arial"/>
          <w:color w:val="000000" w:themeColor="text1"/>
          <w:sz w:val="22"/>
        </w:rPr>
        <w:t xml:space="preserve">ámbito de aplicación de los </w:t>
      </w:r>
      <w:r w:rsidR="00D817FE">
        <w:rPr>
          <w:rFonts w:ascii="Arial" w:eastAsia="Calibri" w:hAnsi="Arial" w:cs="Arial"/>
          <w:color w:val="000000" w:themeColor="text1"/>
          <w:sz w:val="22"/>
        </w:rPr>
        <w:t>pliegos tipo</w:t>
      </w:r>
      <w:r>
        <w:rPr>
          <w:rFonts w:ascii="Arial" w:eastAsia="Calibri" w:hAnsi="Arial" w:cs="Arial"/>
          <w:color w:val="000000" w:themeColor="text1"/>
          <w:sz w:val="22"/>
        </w:rPr>
        <w:t xml:space="preserve">, </w:t>
      </w:r>
      <w:proofErr w:type="spellStart"/>
      <w:r>
        <w:rPr>
          <w:rFonts w:ascii="Arial" w:eastAsia="Calibri" w:hAnsi="Arial" w:cs="Arial"/>
          <w:color w:val="000000" w:themeColor="text1"/>
          <w:sz w:val="22"/>
        </w:rPr>
        <w:t>ii</w:t>
      </w:r>
      <w:proofErr w:type="spellEnd"/>
      <w:r>
        <w:rPr>
          <w:rFonts w:ascii="Arial" w:eastAsia="Calibri" w:hAnsi="Arial" w:cs="Arial"/>
          <w:color w:val="000000" w:themeColor="text1"/>
          <w:sz w:val="22"/>
        </w:rPr>
        <w:t xml:space="preserve">) </w:t>
      </w:r>
      <w:r w:rsidR="00105110">
        <w:rPr>
          <w:rFonts w:ascii="Arial" w:eastAsia="Calibri" w:hAnsi="Arial" w:cs="Arial"/>
          <w:color w:val="000000" w:themeColor="text1"/>
          <w:sz w:val="22"/>
        </w:rPr>
        <w:t>inalterabilidad de los pliegos tipo</w:t>
      </w:r>
      <w:r w:rsidR="00673DB8">
        <w:rPr>
          <w:rFonts w:ascii="Arial" w:eastAsia="Calibri" w:hAnsi="Arial" w:cs="Arial"/>
          <w:color w:val="000000" w:themeColor="text1"/>
          <w:sz w:val="22"/>
        </w:rPr>
        <w:t xml:space="preserve"> y </w:t>
      </w:r>
      <w:proofErr w:type="spellStart"/>
      <w:r w:rsidR="00673DB8" w:rsidRPr="00232147">
        <w:rPr>
          <w:rFonts w:ascii="Arial" w:eastAsia="Calibri" w:hAnsi="Arial" w:cs="Arial"/>
          <w:color w:val="000000" w:themeColor="text1"/>
          <w:sz w:val="22"/>
        </w:rPr>
        <w:t>iii</w:t>
      </w:r>
      <w:proofErr w:type="spellEnd"/>
      <w:r w:rsidR="00673DB8" w:rsidRPr="00232147">
        <w:rPr>
          <w:rFonts w:ascii="Arial" w:eastAsia="Calibri" w:hAnsi="Arial" w:cs="Arial"/>
          <w:color w:val="000000" w:themeColor="text1"/>
          <w:sz w:val="22"/>
        </w:rPr>
        <w:t xml:space="preserve">) </w:t>
      </w:r>
      <w:r w:rsidR="00232147">
        <w:rPr>
          <w:rFonts w:ascii="Arial" w:eastAsia="Calibri" w:hAnsi="Arial" w:cs="Arial"/>
          <w:color w:val="000000" w:themeColor="text1"/>
          <w:sz w:val="22"/>
        </w:rPr>
        <w:t>m</w:t>
      </w:r>
      <w:r w:rsidR="00232147" w:rsidRPr="00232147">
        <w:rPr>
          <w:rFonts w:ascii="Arial" w:eastAsia="Calibri" w:hAnsi="Arial" w:cs="Arial"/>
          <w:color w:val="000000" w:themeColor="text1"/>
          <w:sz w:val="22"/>
        </w:rPr>
        <w:t>edidas contractuales en el marco de la emergencia sanitaria</w:t>
      </w:r>
    </w:p>
    <w:p w14:paraId="7B427A34" w14:textId="37EB91CB" w:rsidR="00D44227" w:rsidRDefault="0096646C" w:rsidP="00D44227">
      <w:pPr>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ab/>
      </w:r>
      <w:r w:rsidR="00424A45" w:rsidRPr="00424A45">
        <w:rPr>
          <w:rFonts w:ascii="Arial" w:eastAsia="Calibri" w:hAnsi="Arial" w:cs="Arial"/>
          <w:color w:val="000000" w:themeColor="text1"/>
          <w:sz w:val="22"/>
        </w:rPr>
        <w:t xml:space="preserve">La Agencia Nacional de Contratación Pública </w:t>
      </w:r>
      <w:r w:rsidR="00424A45">
        <w:rPr>
          <w:rFonts w:ascii="Arial" w:eastAsia="Calibri" w:hAnsi="Arial" w:cs="Arial"/>
          <w:color w:val="000000" w:themeColor="text1"/>
          <w:sz w:val="22"/>
        </w:rPr>
        <w:t>–</w:t>
      </w:r>
      <w:r w:rsidR="00424A45" w:rsidRPr="00424A45">
        <w:rPr>
          <w:rFonts w:ascii="Arial" w:eastAsia="Calibri" w:hAnsi="Arial" w:cs="Arial"/>
          <w:color w:val="000000" w:themeColor="text1"/>
          <w:sz w:val="22"/>
        </w:rPr>
        <w:t xml:space="preserve"> Colombia Compra Eficiente estudió el carácter vinculante de los «Pliegos Tipo»</w:t>
      </w:r>
      <w:r w:rsidR="00424A45">
        <w:rPr>
          <w:rFonts w:ascii="Arial" w:eastAsia="Calibri" w:hAnsi="Arial" w:cs="Arial"/>
          <w:color w:val="000000" w:themeColor="text1"/>
          <w:sz w:val="22"/>
        </w:rPr>
        <w:t xml:space="preserve"> </w:t>
      </w:r>
      <w:r w:rsidR="00424A45" w:rsidRPr="00424A45">
        <w:rPr>
          <w:rFonts w:ascii="Arial" w:eastAsia="Calibri" w:hAnsi="Arial" w:cs="Arial"/>
          <w:color w:val="000000" w:themeColor="text1"/>
          <w:sz w:val="22"/>
        </w:rPr>
        <w:t xml:space="preserve">en </w:t>
      </w:r>
      <w:r w:rsidR="00424A45">
        <w:rPr>
          <w:rFonts w:ascii="Arial" w:eastAsia="Calibri" w:hAnsi="Arial" w:cs="Arial"/>
          <w:color w:val="000000" w:themeColor="text1"/>
          <w:sz w:val="22"/>
        </w:rPr>
        <w:t>los</w:t>
      </w:r>
      <w:r w:rsidR="00424A45" w:rsidRPr="00424A45">
        <w:rPr>
          <w:rFonts w:ascii="Arial" w:eastAsia="Calibri" w:hAnsi="Arial" w:cs="Arial"/>
          <w:color w:val="000000" w:themeColor="text1"/>
          <w:sz w:val="22"/>
        </w:rPr>
        <w:t xml:space="preserve"> </w:t>
      </w:r>
      <w:r w:rsidR="00424A45">
        <w:rPr>
          <w:rFonts w:ascii="Arial" w:eastAsia="Calibri" w:hAnsi="Arial" w:cs="Arial"/>
          <w:color w:val="000000" w:themeColor="text1"/>
          <w:sz w:val="22"/>
        </w:rPr>
        <w:t>c</w:t>
      </w:r>
      <w:r w:rsidR="00424A45" w:rsidRPr="00424A45">
        <w:rPr>
          <w:rFonts w:ascii="Arial" w:eastAsia="Calibri" w:hAnsi="Arial" w:cs="Arial"/>
          <w:color w:val="000000" w:themeColor="text1"/>
          <w:sz w:val="22"/>
        </w:rPr>
        <w:t>oncepto</w:t>
      </w:r>
      <w:r w:rsidR="00424A45">
        <w:rPr>
          <w:rFonts w:ascii="Arial" w:eastAsia="Calibri" w:hAnsi="Arial" w:cs="Arial"/>
          <w:color w:val="000000" w:themeColor="text1"/>
          <w:sz w:val="22"/>
        </w:rPr>
        <w:t>s C-143 del 18 de marzo de 2020 y</w:t>
      </w:r>
      <w:r w:rsidR="00424A45" w:rsidRPr="00424A45">
        <w:rPr>
          <w:rFonts w:ascii="Arial" w:eastAsia="Calibri" w:hAnsi="Arial" w:cs="Arial"/>
          <w:color w:val="000000" w:themeColor="text1"/>
          <w:sz w:val="22"/>
        </w:rPr>
        <w:t xml:space="preserve"> C-144 del 2 de marzo de 2020, así como en el concepto del del 26 de agosto de 2019 −radicado No. 2201913000006232−</w:t>
      </w:r>
      <w:r w:rsidR="00694209" w:rsidRPr="00694209">
        <w:rPr>
          <w:rFonts w:ascii="Arial" w:eastAsia="Calibri" w:hAnsi="Arial" w:cs="Arial"/>
          <w:color w:val="000000" w:themeColor="text1"/>
          <w:sz w:val="22"/>
        </w:rPr>
        <w:t>.</w:t>
      </w:r>
      <w:r w:rsidR="00055321">
        <w:rPr>
          <w:rFonts w:ascii="Arial" w:eastAsia="Calibri" w:hAnsi="Arial" w:cs="Arial"/>
          <w:color w:val="000000" w:themeColor="text1"/>
          <w:sz w:val="22"/>
        </w:rPr>
        <w:t xml:space="preserve"> Además, también analizó </w:t>
      </w:r>
      <w:r w:rsidR="00055321" w:rsidRPr="00055321">
        <w:rPr>
          <w:rFonts w:ascii="Arial" w:eastAsia="Calibri" w:hAnsi="Arial" w:cs="Arial"/>
          <w:color w:val="000000" w:themeColor="text1"/>
          <w:sz w:val="22"/>
        </w:rPr>
        <w:t>la inalterabilidad de los «Documentos Tipo» en los conceptos C</w:t>
      </w:r>
      <w:r w:rsidR="00055321">
        <w:rPr>
          <w:rFonts w:ascii="Arial" w:eastAsia="Calibri" w:hAnsi="Arial" w:cs="Arial"/>
          <w:color w:val="000000" w:themeColor="text1"/>
          <w:sz w:val="22"/>
        </w:rPr>
        <w:t>-</w:t>
      </w:r>
      <w:r w:rsidR="00055321" w:rsidRPr="00055321">
        <w:rPr>
          <w:rFonts w:ascii="Arial" w:eastAsia="Calibri" w:hAnsi="Arial" w:cs="Arial"/>
          <w:color w:val="000000" w:themeColor="text1"/>
          <w:sz w:val="22"/>
        </w:rPr>
        <w:t>009 del 14 de enero 2020, C</w:t>
      </w:r>
      <w:r w:rsidR="00055321">
        <w:rPr>
          <w:rFonts w:ascii="Arial" w:eastAsia="Calibri" w:hAnsi="Arial" w:cs="Arial"/>
          <w:color w:val="000000" w:themeColor="text1"/>
          <w:sz w:val="22"/>
        </w:rPr>
        <w:t>-</w:t>
      </w:r>
      <w:r w:rsidR="00055321" w:rsidRPr="00055321">
        <w:rPr>
          <w:rFonts w:ascii="Arial" w:eastAsia="Calibri" w:hAnsi="Arial" w:cs="Arial"/>
          <w:color w:val="000000" w:themeColor="text1"/>
          <w:sz w:val="22"/>
        </w:rPr>
        <w:t>022 del 20 de enero de 2020 y C</w:t>
      </w:r>
      <w:r w:rsidR="00055321">
        <w:rPr>
          <w:rFonts w:ascii="Arial" w:eastAsia="Calibri" w:hAnsi="Arial" w:cs="Arial"/>
          <w:color w:val="000000" w:themeColor="text1"/>
          <w:sz w:val="22"/>
        </w:rPr>
        <w:t>-</w:t>
      </w:r>
      <w:r w:rsidR="00055321" w:rsidRPr="00055321">
        <w:rPr>
          <w:rFonts w:ascii="Arial" w:eastAsia="Calibri" w:hAnsi="Arial" w:cs="Arial"/>
          <w:color w:val="000000" w:themeColor="text1"/>
          <w:sz w:val="22"/>
        </w:rPr>
        <w:t>036 del 7 de febrero de 2020</w:t>
      </w:r>
      <w:r w:rsidR="00055321">
        <w:rPr>
          <w:rFonts w:ascii="Arial" w:eastAsia="Calibri" w:hAnsi="Arial" w:cs="Arial"/>
          <w:color w:val="000000" w:themeColor="text1"/>
          <w:sz w:val="22"/>
        </w:rPr>
        <w:t>.</w:t>
      </w:r>
      <w:r w:rsidR="00694209" w:rsidRPr="00694209">
        <w:rPr>
          <w:rFonts w:ascii="Arial" w:eastAsia="Calibri" w:hAnsi="Arial" w:cs="Arial"/>
          <w:color w:val="000000" w:themeColor="text1"/>
          <w:sz w:val="22"/>
        </w:rPr>
        <w:t xml:space="preserve"> </w:t>
      </w:r>
      <w:r w:rsidRPr="0096646C">
        <w:rPr>
          <w:rFonts w:ascii="Arial" w:eastAsia="Calibri" w:hAnsi="Arial" w:cs="Arial"/>
          <w:color w:val="000000" w:themeColor="text1"/>
          <w:sz w:val="22"/>
        </w:rPr>
        <w:t xml:space="preserve">La tesis propuesta en </w:t>
      </w:r>
      <w:r w:rsidR="00612D14">
        <w:rPr>
          <w:rFonts w:ascii="Arial" w:eastAsia="Calibri" w:hAnsi="Arial" w:cs="Arial"/>
          <w:color w:val="000000" w:themeColor="text1"/>
          <w:sz w:val="22"/>
        </w:rPr>
        <w:t>est</w:t>
      </w:r>
      <w:r w:rsidR="0016135D">
        <w:rPr>
          <w:rFonts w:ascii="Arial" w:eastAsia="Calibri" w:hAnsi="Arial" w:cs="Arial"/>
          <w:color w:val="000000" w:themeColor="text1"/>
          <w:sz w:val="22"/>
        </w:rPr>
        <w:t>os</w:t>
      </w:r>
      <w:r w:rsidRPr="0096646C">
        <w:rPr>
          <w:rFonts w:ascii="Arial" w:eastAsia="Calibri" w:hAnsi="Arial" w:cs="Arial"/>
          <w:color w:val="000000" w:themeColor="text1"/>
          <w:sz w:val="22"/>
        </w:rPr>
        <w:t xml:space="preserve"> concepto</w:t>
      </w:r>
      <w:r w:rsidR="0016135D">
        <w:rPr>
          <w:rFonts w:ascii="Arial" w:eastAsia="Calibri" w:hAnsi="Arial" w:cs="Arial"/>
          <w:color w:val="000000" w:themeColor="text1"/>
          <w:sz w:val="22"/>
        </w:rPr>
        <w:t>s</w:t>
      </w:r>
      <w:r w:rsidRPr="0096646C">
        <w:rPr>
          <w:rFonts w:ascii="Arial" w:eastAsia="Calibri" w:hAnsi="Arial" w:cs="Arial"/>
          <w:color w:val="000000" w:themeColor="text1"/>
          <w:sz w:val="22"/>
        </w:rPr>
        <w:t xml:space="preserve"> se </w:t>
      </w:r>
      <w:r w:rsidR="00D817FE">
        <w:rPr>
          <w:rFonts w:ascii="Arial" w:eastAsia="Calibri" w:hAnsi="Arial" w:cs="Arial"/>
          <w:color w:val="000000" w:themeColor="text1"/>
          <w:sz w:val="22"/>
        </w:rPr>
        <w:t>reitera</w:t>
      </w:r>
      <w:r w:rsidR="00D817FE" w:rsidRPr="0096646C">
        <w:rPr>
          <w:rFonts w:ascii="Arial" w:eastAsia="Calibri" w:hAnsi="Arial" w:cs="Arial"/>
          <w:color w:val="000000" w:themeColor="text1"/>
          <w:sz w:val="22"/>
        </w:rPr>
        <w:t xml:space="preserve"> </w:t>
      </w:r>
      <w:r w:rsidRPr="0096646C">
        <w:rPr>
          <w:rFonts w:ascii="Arial" w:eastAsia="Calibri" w:hAnsi="Arial" w:cs="Arial"/>
          <w:color w:val="000000" w:themeColor="text1"/>
          <w:sz w:val="22"/>
        </w:rPr>
        <w:t xml:space="preserve">a continuación: </w:t>
      </w:r>
    </w:p>
    <w:p w14:paraId="75440F39" w14:textId="77777777" w:rsidR="00923548" w:rsidRDefault="00923548" w:rsidP="00431C20">
      <w:pPr>
        <w:spacing w:line="276" w:lineRule="auto"/>
        <w:jc w:val="both"/>
        <w:rPr>
          <w:rFonts w:ascii="Arial" w:eastAsia="Calibri" w:hAnsi="Arial" w:cs="Arial"/>
          <w:color w:val="000000" w:themeColor="text1"/>
          <w:sz w:val="22"/>
        </w:rPr>
      </w:pPr>
    </w:p>
    <w:p w14:paraId="5F31DB0A" w14:textId="1E3381B0" w:rsidR="00431C20" w:rsidRDefault="00D44227" w:rsidP="00431C20">
      <w:pPr>
        <w:spacing w:line="276" w:lineRule="auto"/>
        <w:jc w:val="both"/>
        <w:rPr>
          <w:rFonts w:ascii="Arial" w:eastAsia="Calibri" w:hAnsi="Arial" w:cs="Arial"/>
          <w:b/>
          <w:bCs/>
          <w:color w:val="000000" w:themeColor="text1"/>
          <w:sz w:val="22"/>
        </w:rPr>
      </w:pPr>
      <w:r w:rsidRPr="00D44227">
        <w:rPr>
          <w:rFonts w:ascii="Arial" w:eastAsia="Calibri" w:hAnsi="Arial" w:cs="Arial"/>
          <w:b/>
          <w:bCs/>
          <w:color w:val="000000" w:themeColor="text1"/>
          <w:sz w:val="22"/>
        </w:rPr>
        <w:t xml:space="preserve">2.1. </w:t>
      </w:r>
      <w:r w:rsidR="00D26C81" w:rsidRPr="00D26C81">
        <w:rPr>
          <w:rFonts w:ascii="Arial" w:eastAsia="Calibri" w:hAnsi="Arial" w:cs="Arial"/>
          <w:b/>
          <w:bCs/>
          <w:color w:val="000000" w:themeColor="text1"/>
          <w:sz w:val="22"/>
        </w:rPr>
        <w:t>Ámbito de aplicación de los pliegos tipo</w:t>
      </w:r>
    </w:p>
    <w:p w14:paraId="2D8AD382" w14:textId="77777777" w:rsidR="00431C20" w:rsidRDefault="00431C20" w:rsidP="00431C20">
      <w:pPr>
        <w:spacing w:line="276" w:lineRule="auto"/>
        <w:jc w:val="both"/>
        <w:rPr>
          <w:rFonts w:ascii="Arial" w:eastAsia="Calibri" w:hAnsi="Arial" w:cs="Arial"/>
          <w:b/>
          <w:bCs/>
          <w:color w:val="000000" w:themeColor="text1"/>
          <w:sz w:val="22"/>
        </w:rPr>
      </w:pPr>
    </w:p>
    <w:p w14:paraId="7695F9C7" w14:textId="77777777" w:rsidR="00D26C81" w:rsidRPr="005B2F33" w:rsidRDefault="00D26C81" w:rsidP="00D26C81">
      <w:pPr>
        <w:spacing w:line="276" w:lineRule="auto"/>
        <w:jc w:val="both"/>
        <w:rPr>
          <w:rFonts w:ascii="Arial" w:hAnsi="Arial" w:cs="Arial"/>
          <w:color w:val="0D0D0D" w:themeColor="text1" w:themeTint="F2"/>
          <w:sz w:val="22"/>
          <w:lang w:val="es-ES"/>
        </w:rPr>
      </w:pPr>
      <w:bookmarkStart w:id="5" w:name="_Hlk40097868"/>
      <w:bookmarkStart w:id="6" w:name="_Hlk41238857"/>
      <w:r w:rsidRPr="005B2F33">
        <w:rPr>
          <w:rFonts w:ascii="Arial" w:hAnsi="Arial" w:cs="Arial"/>
          <w:color w:val="0D0D0D" w:themeColor="text1" w:themeTint="F2"/>
          <w:sz w:val="22"/>
          <w:lang w:val="es-ES"/>
        </w:rPr>
        <w:t>El parágrafo 3 del artículo 2 de la Ley 1150 de 2007 facultó por primera vez al Gobierno Nacional para adoptar estándares generales en los pliegos de condiciones</w:t>
      </w:r>
      <w:r>
        <w:rPr>
          <w:rFonts w:ascii="Arial" w:hAnsi="Arial" w:cs="Arial"/>
          <w:color w:val="0D0D0D" w:themeColor="text1" w:themeTint="F2"/>
          <w:sz w:val="22"/>
          <w:lang w:val="es-ES"/>
        </w:rPr>
        <w:t>, razón por la cual dispuso lo siguiente</w:t>
      </w:r>
      <w:bookmarkEnd w:id="5"/>
      <w:r w:rsidRPr="005B2F33">
        <w:rPr>
          <w:rFonts w:ascii="Arial" w:hAnsi="Arial" w:cs="Arial"/>
          <w:color w:val="0D0D0D" w:themeColor="text1" w:themeTint="F2"/>
          <w:sz w:val="22"/>
          <w:lang w:val="es-ES"/>
        </w:rPr>
        <w:t>:</w:t>
      </w:r>
    </w:p>
    <w:p w14:paraId="729C434C" w14:textId="77777777" w:rsidR="00D26C81" w:rsidRPr="005B2F33" w:rsidRDefault="00D26C81" w:rsidP="00D26C81">
      <w:pPr>
        <w:spacing w:line="276" w:lineRule="auto"/>
        <w:jc w:val="both"/>
        <w:rPr>
          <w:rFonts w:ascii="Arial" w:hAnsi="Arial" w:cs="Arial"/>
          <w:color w:val="0D0D0D" w:themeColor="text1" w:themeTint="F2"/>
          <w:sz w:val="22"/>
          <w:lang w:val="es-ES"/>
        </w:rPr>
      </w:pPr>
    </w:p>
    <w:p w14:paraId="6FCEAC20" w14:textId="77777777" w:rsidR="00D26C81" w:rsidRPr="005B2F33" w:rsidRDefault="00D26C81" w:rsidP="00D26C81">
      <w:pPr>
        <w:ind w:left="709" w:right="709"/>
        <w:jc w:val="both"/>
        <w:rPr>
          <w:rFonts w:ascii="Arial" w:hAnsi="Arial" w:cs="Arial"/>
          <w:color w:val="0D0D0D" w:themeColor="text1" w:themeTint="F2"/>
          <w:sz w:val="21"/>
          <w:szCs w:val="21"/>
          <w:lang w:val="es-ES"/>
        </w:rPr>
      </w:pPr>
      <w:r w:rsidRPr="005B2F33">
        <w:rPr>
          <w:rFonts w:ascii="Arial" w:hAnsi="Arial" w:cs="Arial"/>
          <w:bCs/>
          <w:color w:val="0D0D0D" w:themeColor="text1" w:themeTint="F2"/>
          <w:sz w:val="21"/>
          <w:szCs w:val="21"/>
          <w:lang w:val="es-ES"/>
        </w:rPr>
        <w:t>Parágrafo 3°.</w:t>
      </w:r>
      <w:r w:rsidRPr="005B2F33">
        <w:rPr>
          <w:rFonts w:ascii="Arial" w:hAnsi="Arial" w:cs="Arial"/>
          <w:color w:val="0D0D0D" w:themeColor="text1" w:themeTint="F2"/>
          <w:sz w:val="21"/>
          <w:szCs w:val="21"/>
          <w:lang w:val="es-ES"/>
        </w:rPr>
        <w:t>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p w14:paraId="66AE28A8" w14:textId="77777777" w:rsidR="00D26C81" w:rsidRPr="005B2F33" w:rsidRDefault="00D26C81" w:rsidP="00D26C81">
      <w:pPr>
        <w:spacing w:line="276" w:lineRule="auto"/>
        <w:jc w:val="both"/>
        <w:rPr>
          <w:rFonts w:ascii="Arial" w:hAnsi="Arial" w:cs="Arial"/>
          <w:color w:val="0D0D0D" w:themeColor="text1" w:themeTint="F2"/>
          <w:sz w:val="22"/>
          <w:lang w:val="es-ES"/>
        </w:rPr>
      </w:pPr>
    </w:p>
    <w:p w14:paraId="425A9790" w14:textId="3D7A22EE" w:rsidR="00D26C81" w:rsidRPr="005B2F33" w:rsidRDefault="007C47F2" w:rsidP="00D26C81">
      <w:pPr>
        <w:spacing w:after="120" w:line="276" w:lineRule="auto"/>
        <w:ind w:firstLine="708"/>
        <w:jc w:val="both"/>
        <w:rPr>
          <w:color w:val="0D0D0D" w:themeColor="text1" w:themeTint="F2"/>
        </w:rPr>
      </w:pPr>
      <w:bookmarkStart w:id="7" w:name="_Hlk40098008"/>
      <w:r>
        <w:rPr>
          <w:rFonts w:ascii="Arial" w:hAnsi="Arial" w:cs="Arial"/>
          <w:color w:val="0D0D0D" w:themeColor="text1" w:themeTint="F2"/>
          <w:sz w:val="22"/>
          <w:lang w:val="es-ES"/>
        </w:rPr>
        <w:t>L</w:t>
      </w:r>
      <w:r w:rsidR="00D26C81" w:rsidRPr="005B2F33">
        <w:rPr>
          <w:rFonts w:ascii="Arial" w:hAnsi="Arial" w:cs="Arial"/>
          <w:color w:val="0D0D0D" w:themeColor="text1" w:themeTint="F2"/>
          <w:sz w:val="22"/>
          <w:lang w:val="es-ES"/>
        </w:rPr>
        <w:t xml:space="preserve">os llamados «Pliegos Tipo» aparecieron en nuestro ordenamiento jurídico en 2007, cuando el legislador facultó al Gobierno Nacional para adoptarlos en los eventos de compra o suministro de bienes de características técnicas uniformes. La </w:t>
      </w:r>
      <w:r w:rsidR="00D26C81">
        <w:rPr>
          <w:rFonts w:ascii="Arial" w:hAnsi="Arial" w:cs="Arial"/>
          <w:color w:val="0D0D0D" w:themeColor="text1" w:themeTint="F2"/>
          <w:sz w:val="22"/>
          <w:lang w:val="es-ES"/>
        </w:rPr>
        <w:t xml:space="preserve">orientación inicial </w:t>
      </w:r>
      <w:r w:rsidR="00D26C81" w:rsidRPr="005B2F33">
        <w:rPr>
          <w:rFonts w:ascii="Arial" w:hAnsi="Arial" w:cs="Arial"/>
          <w:color w:val="0D0D0D" w:themeColor="text1" w:themeTint="F2"/>
          <w:sz w:val="22"/>
          <w:lang w:val="es-ES"/>
        </w:rPr>
        <w:t xml:space="preserve">del proyecto que se convirtió en la Ley 1150 de 2007 era facultar al Gobierno Nacional para adoptar los </w:t>
      </w:r>
      <w:r w:rsidR="00D26C81">
        <w:rPr>
          <w:rFonts w:ascii="Arial" w:hAnsi="Arial" w:cs="Arial"/>
          <w:color w:val="0D0D0D" w:themeColor="text1" w:themeTint="F2"/>
          <w:sz w:val="22"/>
          <w:lang w:val="es-ES"/>
        </w:rPr>
        <w:t>p</w:t>
      </w:r>
      <w:r w:rsidR="00D26C81" w:rsidRPr="005B2F33">
        <w:rPr>
          <w:rFonts w:ascii="Arial" w:hAnsi="Arial" w:cs="Arial"/>
          <w:color w:val="0D0D0D" w:themeColor="text1" w:themeTint="F2"/>
          <w:sz w:val="22"/>
          <w:lang w:val="es-ES"/>
        </w:rPr>
        <w:t xml:space="preserve">liegos </w:t>
      </w:r>
      <w:r w:rsidR="00D26C81">
        <w:rPr>
          <w:rFonts w:ascii="Arial" w:hAnsi="Arial" w:cs="Arial"/>
          <w:color w:val="0D0D0D" w:themeColor="text1" w:themeTint="F2"/>
          <w:sz w:val="22"/>
          <w:lang w:val="es-ES"/>
        </w:rPr>
        <w:t>t</w:t>
      </w:r>
      <w:r w:rsidR="00D26C81" w:rsidRPr="005B2F33">
        <w:rPr>
          <w:rFonts w:ascii="Arial" w:hAnsi="Arial" w:cs="Arial"/>
          <w:color w:val="0D0D0D" w:themeColor="text1" w:themeTint="F2"/>
          <w:sz w:val="22"/>
          <w:lang w:val="es-ES"/>
        </w:rPr>
        <w:t xml:space="preserve">ipo en todos los contratos estatales, pues </w:t>
      </w:r>
      <w:r w:rsidR="00D26C81">
        <w:rPr>
          <w:rFonts w:ascii="Arial" w:hAnsi="Arial" w:cs="Arial"/>
          <w:color w:val="0D0D0D" w:themeColor="text1" w:themeTint="F2"/>
          <w:sz w:val="22"/>
          <w:lang w:val="es-ES"/>
        </w:rPr>
        <w:t xml:space="preserve">en el proyecto </w:t>
      </w:r>
      <w:r w:rsidR="00D26C81" w:rsidRPr="005B2F33">
        <w:rPr>
          <w:rFonts w:ascii="Arial" w:hAnsi="Arial" w:cs="Arial"/>
          <w:color w:val="0D0D0D" w:themeColor="text1" w:themeTint="F2"/>
          <w:sz w:val="22"/>
          <w:lang w:val="es-ES"/>
        </w:rPr>
        <w:t xml:space="preserve">el parágrafo 3º </w:t>
      </w:r>
      <w:r w:rsidR="00D26C81">
        <w:rPr>
          <w:rFonts w:ascii="Arial" w:hAnsi="Arial" w:cs="Arial"/>
          <w:color w:val="0D0D0D" w:themeColor="text1" w:themeTint="F2"/>
          <w:sz w:val="22"/>
          <w:lang w:val="es-ES"/>
        </w:rPr>
        <w:t xml:space="preserve">disponía </w:t>
      </w:r>
      <w:r>
        <w:rPr>
          <w:rFonts w:ascii="Arial" w:hAnsi="Arial" w:cs="Arial"/>
          <w:color w:val="0D0D0D" w:themeColor="text1" w:themeTint="F2"/>
          <w:sz w:val="22"/>
          <w:lang w:val="es-ES"/>
        </w:rPr>
        <w:t>que «</w:t>
      </w:r>
      <w:r w:rsidR="00D26C81" w:rsidRPr="005B2F33">
        <w:rPr>
          <w:rFonts w:ascii="Arial" w:hAnsi="Arial" w:cs="Arial"/>
          <w:color w:val="0D0D0D" w:themeColor="text1" w:themeTint="F2"/>
          <w:sz w:val="22"/>
          <w:lang w:val="es-ES"/>
        </w:rPr>
        <w:t>El Gobierno Nacional tendrá la facultad de estandarizar los pliegos de condiciones o términos de referencia y los contratos de las entidades estatales»</w:t>
      </w:r>
      <w:r w:rsidR="00D26C81" w:rsidRPr="005B2F33">
        <w:rPr>
          <w:rStyle w:val="Refdenotaalpie"/>
          <w:rFonts w:ascii="Arial" w:hAnsi="Arial" w:cs="Arial"/>
          <w:color w:val="0D0D0D" w:themeColor="text1" w:themeTint="F2"/>
          <w:sz w:val="22"/>
          <w:lang w:val="es-ES"/>
        </w:rPr>
        <w:footnoteReference w:id="1"/>
      </w:r>
      <w:r w:rsidR="00D26C81" w:rsidRPr="005B2F33">
        <w:rPr>
          <w:rFonts w:ascii="Arial" w:hAnsi="Arial" w:cs="Arial"/>
          <w:color w:val="0D0D0D" w:themeColor="text1" w:themeTint="F2"/>
          <w:sz w:val="22"/>
          <w:lang w:val="es-ES"/>
        </w:rPr>
        <w:t>.</w:t>
      </w:r>
    </w:p>
    <w:p w14:paraId="287543AF" w14:textId="77777777" w:rsidR="00D26C81" w:rsidRPr="005B2F33" w:rsidRDefault="00D26C81" w:rsidP="00D26C81">
      <w:pPr>
        <w:spacing w:before="120" w:line="276" w:lineRule="auto"/>
        <w:jc w:val="both"/>
        <w:rPr>
          <w:rFonts w:ascii="Arial" w:hAnsi="Arial" w:cs="Arial"/>
          <w:color w:val="0D0D0D" w:themeColor="text1" w:themeTint="F2"/>
          <w:sz w:val="22"/>
          <w:lang w:val="es-ES"/>
        </w:rPr>
      </w:pPr>
      <w:r w:rsidRPr="005B2F33">
        <w:rPr>
          <w:color w:val="0D0D0D" w:themeColor="text1" w:themeTint="F2"/>
        </w:rPr>
        <w:tab/>
      </w:r>
      <w:r w:rsidRPr="005B2F33">
        <w:rPr>
          <w:rFonts w:ascii="Arial" w:hAnsi="Arial" w:cs="Arial"/>
          <w:color w:val="0D0D0D" w:themeColor="text1" w:themeTint="F2"/>
          <w:sz w:val="22"/>
          <w:lang w:val="es-ES"/>
        </w:rPr>
        <w:t xml:space="preserve">La intención era agilizar y dar mayor transparencia a los procesos de selección </w:t>
      </w:r>
      <w:r>
        <w:rPr>
          <w:rFonts w:ascii="Arial" w:hAnsi="Arial" w:cs="Arial"/>
          <w:color w:val="0D0D0D" w:themeColor="text1" w:themeTint="F2"/>
          <w:sz w:val="22"/>
          <w:lang w:val="es-ES"/>
        </w:rPr>
        <w:t>así como</w:t>
      </w:r>
      <w:r w:rsidRPr="005B2F33">
        <w:rPr>
          <w:rFonts w:ascii="Arial" w:hAnsi="Arial" w:cs="Arial"/>
          <w:color w:val="0D0D0D" w:themeColor="text1" w:themeTint="F2"/>
          <w:sz w:val="22"/>
          <w:lang w:val="es-ES"/>
        </w:rPr>
        <w:t xml:space="preserve"> evitar el direccionamiento</w:t>
      </w:r>
      <w:r>
        <w:rPr>
          <w:rFonts w:ascii="Arial" w:hAnsi="Arial" w:cs="Arial"/>
          <w:color w:val="0D0D0D" w:themeColor="text1" w:themeTint="F2"/>
          <w:sz w:val="22"/>
          <w:lang w:val="es-ES"/>
        </w:rPr>
        <w:t xml:space="preserve">, razón por la cual –conforme a lo explicado en la exposición de motivos– </w:t>
      </w:r>
      <w:r w:rsidRPr="005B2F33">
        <w:rPr>
          <w:rFonts w:ascii="Arial" w:hAnsi="Arial" w:cs="Arial"/>
          <w:color w:val="0D0D0D" w:themeColor="text1" w:themeTint="F2"/>
          <w:sz w:val="22"/>
          <w:lang w:val="es-ES"/>
        </w:rPr>
        <w:t xml:space="preserve">«[…] se asigna al Gobierno Nacional la facultad de estandarizar los pliegos de condiciones y términos de referencia de los contratos, medida que redundará en la agilidad </w:t>
      </w:r>
      <w:r w:rsidRPr="005B2F33">
        <w:rPr>
          <w:rFonts w:ascii="Arial" w:hAnsi="Arial" w:cs="Arial"/>
          <w:color w:val="0D0D0D" w:themeColor="text1" w:themeTint="F2"/>
          <w:sz w:val="22"/>
          <w:lang w:val="es-ES"/>
        </w:rPr>
        <w:lastRenderedPageBreak/>
        <w:t>y claridad de los procedimientos»</w:t>
      </w:r>
      <w:r w:rsidRPr="005B2F33">
        <w:rPr>
          <w:rFonts w:ascii="Arial" w:hAnsi="Arial" w:cs="Arial"/>
          <w:color w:val="0D0D0D" w:themeColor="text1" w:themeTint="F2"/>
          <w:sz w:val="22"/>
          <w:vertAlign w:val="superscript"/>
          <w:lang w:val="es-ES"/>
        </w:rPr>
        <w:footnoteReference w:id="2"/>
      </w:r>
      <w:r w:rsidRPr="005B2F33">
        <w:rPr>
          <w:rFonts w:ascii="Arial" w:hAnsi="Arial" w:cs="Arial"/>
          <w:color w:val="0D0D0D" w:themeColor="text1" w:themeTint="F2"/>
          <w:sz w:val="22"/>
          <w:vertAlign w:val="superscript"/>
          <w:lang w:val="es-ES"/>
        </w:rPr>
        <w:t>.</w:t>
      </w:r>
      <w:r w:rsidRPr="005B2F33">
        <w:rPr>
          <w:rFonts w:ascii="Arial" w:hAnsi="Arial" w:cs="Arial"/>
          <w:color w:val="0D0D0D" w:themeColor="text1" w:themeTint="F2"/>
          <w:sz w:val="22"/>
          <w:lang w:val="es-ES"/>
        </w:rPr>
        <w:t xml:space="preserve">. Sin embargo, en el texto aprobado los </w:t>
      </w:r>
      <w:r>
        <w:rPr>
          <w:rFonts w:ascii="Arial" w:hAnsi="Arial" w:cs="Arial"/>
          <w:color w:val="0D0D0D" w:themeColor="text1" w:themeTint="F2"/>
          <w:sz w:val="22"/>
          <w:lang w:val="es-ES"/>
        </w:rPr>
        <w:t>p</w:t>
      </w:r>
      <w:r w:rsidRPr="005B2F33">
        <w:rPr>
          <w:rFonts w:ascii="Arial" w:hAnsi="Arial" w:cs="Arial"/>
          <w:color w:val="0D0D0D" w:themeColor="text1" w:themeTint="F2"/>
          <w:sz w:val="22"/>
          <w:lang w:val="es-ES"/>
        </w:rPr>
        <w:t xml:space="preserve">liegos </w:t>
      </w:r>
      <w:r>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ipo se limitaron a la adquisición o suministro de bienes de características técnicas uniformes</w:t>
      </w:r>
      <w:r w:rsidRPr="005B2F33">
        <w:rPr>
          <w:rStyle w:val="Refdenotaalpie"/>
          <w:rFonts w:ascii="Arial" w:hAnsi="Arial" w:cs="Arial"/>
          <w:color w:val="0D0D0D" w:themeColor="text1" w:themeTint="F2"/>
          <w:sz w:val="21"/>
          <w:szCs w:val="21"/>
          <w:lang w:val="es-ES"/>
        </w:rPr>
        <w:footnoteReference w:id="3"/>
      </w:r>
      <w:r w:rsidRPr="005B2F33">
        <w:rPr>
          <w:rFonts w:ascii="Arial" w:hAnsi="Arial" w:cs="Arial"/>
          <w:color w:val="0D0D0D" w:themeColor="text1" w:themeTint="F2"/>
          <w:sz w:val="21"/>
          <w:szCs w:val="21"/>
          <w:lang w:val="es-ES"/>
        </w:rPr>
        <w:t>.</w:t>
      </w:r>
      <w:bookmarkEnd w:id="7"/>
    </w:p>
    <w:p w14:paraId="35B25848" w14:textId="77777777" w:rsidR="00D26C81" w:rsidRPr="005B2F33" w:rsidRDefault="00D26C81" w:rsidP="00D26C81">
      <w:pPr>
        <w:spacing w:before="120" w:line="276" w:lineRule="auto"/>
        <w:ind w:firstLine="709"/>
        <w:jc w:val="both"/>
        <w:rPr>
          <w:rFonts w:ascii="Arial" w:hAnsi="Arial" w:cs="Arial"/>
          <w:color w:val="0D0D0D" w:themeColor="text1" w:themeTint="F2"/>
          <w:sz w:val="22"/>
        </w:rPr>
      </w:pPr>
      <w:r w:rsidRPr="005B2F33">
        <w:rPr>
          <w:rFonts w:ascii="Arial" w:hAnsi="Arial" w:cs="Arial"/>
          <w:color w:val="0D0D0D" w:themeColor="text1" w:themeTint="F2"/>
          <w:sz w:val="22"/>
        </w:rPr>
        <w:t xml:space="preserve">Posteriormente, el artículo 2, parágrafo 7º, de la Ley 1150 de 2007, adicionado por el artículo 4 de la Ley 1882 de 2018, establece la obligatoriedad de la adopción de documentos tipo para </w:t>
      </w:r>
      <w:r>
        <w:rPr>
          <w:rFonts w:ascii="Arial" w:hAnsi="Arial" w:cs="Arial"/>
          <w:color w:val="0D0D0D" w:themeColor="text1" w:themeTint="F2"/>
          <w:sz w:val="22"/>
        </w:rPr>
        <w:t>los contratos de obra</w:t>
      </w:r>
      <w:r w:rsidRPr="005B2F33">
        <w:rPr>
          <w:rFonts w:ascii="Arial" w:hAnsi="Arial" w:cs="Arial"/>
          <w:color w:val="0D0D0D" w:themeColor="text1" w:themeTint="F2"/>
          <w:sz w:val="22"/>
        </w:rPr>
        <w:t xml:space="preserve">, en los siguientes términos: </w:t>
      </w:r>
    </w:p>
    <w:p w14:paraId="15F1957B" w14:textId="77777777" w:rsidR="00D26C81" w:rsidRPr="005B2F33" w:rsidRDefault="00D26C81" w:rsidP="00D26C81">
      <w:pPr>
        <w:ind w:firstLine="709"/>
        <w:jc w:val="both"/>
        <w:rPr>
          <w:rFonts w:ascii="Arial" w:hAnsi="Arial" w:cs="Arial"/>
          <w:color w:val="0D0D0D" w:themeColor="text1" w:themeTint="F2"/>
          <w:sz w:val="22"/>
        </w:rPr>
      </w:pPr>
    </w:p>
    <w:p w14:paraId="7000428F" w14:textId="727B513F" w:rsidR="00D26C81" w:rsidRPr="005B2F33" w:rsidRDefault="00D26C81" w:rsidP="00D26C81">
      <w:pPr>
        <w:ind w:left="709" w:right="709"/>
        <w:jc w:val="both"/>
        <w:rPr>
          <w:rFonts w:ascii="Arial" w:hAnsi="Arial" w:cs="Arial"/>
          <w:color w:val="0D0D0D" w:themeColor="text1" w:themeTint="F2"/>
          <w:sz w:val="21"/>
          <w:szCs w:val="21"/>
        </w:rPr>
      </w:pPr>
      <w:r w:rsidRPr="005B2F33">
        <w:rPr>
          <w:rFonts w:ascii="Arial" w:hAnsi="Arial" w:cs="Arial"/>
          <w:color w:val="0D0D0D" w:themeColor="text1" w:themeTint="F2"/>
          <w:sz w:val="21"/>
          <w:szCs w:val="21"/>
        </w:rPr>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w:t>
      </w:r>
      <w:r w:rsidR="007C47F2">
        <w:rPr>
          <w:rFonts w:ascii="Arial" w:hAnsi="Arial" w:cs="Arial"/>
          <w:color w:val="0D0D0D" w:themeColor="text1" w:themeTint="F2"/>
          <w:sz w:val="21"/>
          <w:szCs w:val="21"/>
        </w:rPr>
        <w:t xml:space="preserve"> </w:t>
      </w:r>
      <w:r w:rsidRPr="005B2F33">
        <w:rPr>
          <w:rFonts w:ascii="Arial" w:hAnsi="Arial" w:cs="Arial"/>
          <w:color w:val="0D0D0D" w:themeColor="text1" w:themeTint="F2"/>
          <w:sz w:val="21"/>
          <w:szCs w:val="21"/>
        </w:rPr>
        <w:t>[…].</w:t>
      </w:r>
    </w:p>
    <w:p w14:paraId="55064E9A" w14:textId="77777777" w:rsidR="00D26C81" w:rsidRPr="005B2F33" w:rsidRDefault="00D26C81" w:rsidP="00D26C81">
      <w:pPr>
        <w:jc w:val="both"/>
        <w:rPr>
          <w:rFonts w:ascii="Arial" w:hAnsi="Arial" w:cs="Arial"/>
          <w:color w:val="0D0D0D" w:themeColor="text1" w:themeTint="F2"/>
          <w:sz w:val="22"/>
        </w:rPr>
      </w:pPr>
    </w:p>
    <w:p w14:paraId="6E023E16" w14:textId="2EBD86F9" w:rsidR="00D26C81" w:rsidRPr="005B2F33" w:rsidRDefault="007C47F2" w:rsidP="00D26C81">
      <w:pPr>
        <w:spacing w:line="276" w:lineRule="auto"/>
        <w:ind w:firstLine="708"/>
        <w:jc w:val="both"/>
        <w:rPr>
          <w:rFonts w:ascii="Arial" w:hAnsi="Arial" w:cs="Arial"/>
          <w:color w:val="0D0D0D" w:themeColor="text1" w:themeTint="F2"/>
          <w:sz w:val="22"/>
        </w:rPr>
      </w:pPr>
      <w:r>
        <w:rPr>
          <w:rFonts w:ascii="Arial" w:hAnsi="Arial" w:cs="Arial"/>
          <w:color w:val="0D0D0D" w:themeColor="text1" w:themeTint="F2"/>
          <w:sz w:val="22"/>
        </w:rPr>
        <w:t>F</w:t>
      </w:r>
      <w:r w:rsidR="00D26C81" w:rsidRPr="005B2F33">
        <w:rPr>
          <w:rFonts w:ascii="Arial" w:hAnsi="Arial" w:cs="Arial"/>
          <w:color w:val="0D0D0D" w:themeColor="text1" w:themeTint="F2"/>
          <w:sz w:val="22"/>
        </w:rPr>
        <w:t>rente a su contenido,</w:t>
      </w:r>
      <w:r>
        <w:rPr>
          <w:rFonts w:ascii="Arial" w:hAnsi="Arial" w:cs="Arial"/>
          <w:color w:val="0D0D0D" w:themeColor="text1" w:themeTint="F2"/>
          <w:sz w:val="22"/>
        </w:rPr>
        <w:t xml:space="preserve"> la norma dispone</w:t>
      </w:r>
      <w:r w:rsidR="00D26C81" w:rsidRPr="005B2F33">
        <w:rPr>
          <w:rFonts w:ascii="Arial" w:hAnsi="Arial" w:cs="Arial"/>
          <w:color w:val="0D0D0D" w:themeColor="text1" w:themeTint="F2"/>
          <w:sz w:val="22"/>
        </w:rPr>
        <w:t xml:space="preserve"> que «</w:t>
      </w:r>
      <w:r>
        <w:rPr>
          <w:rFonts w:ascii="Arial" w:hAnsi="Arial" w:cs="Arial"/>
          <w:color w:val="0D0D0D" w:themeColor="text1" w:themeTint="F2"/>
          <w:sz w:val="22"/>
        </w:rPr>
        <w:t xml:space="preserve">[…] </w:t>
      </w:r>
      <w:r w:rsidR="0016135D">
        <w:rPr>
          <w:rFonts w:ascii="Arial" w:hAnsi="Arial" w:cs="Arial"/>
          <w:color w:val="0D0D0D" w:themeColor="text1" w:themeTint="F2"/>
          <w:sz w:val="22"/>
        </w:rPr>
        <w:t>D</w:t>
      </w:r>
      <w:r w:rsidR="00D26C81" w:rsidRPr="005B2F33">
        <w:rPr>
          <w:rFonts w:ascii="Arial" w:hAnsi="Arial" w:cs="Arial"/>
          <w:color w:val="0D0D0D" w:themeColor="text1" w:themeTint="F2"/>
          <w:sz w:val="22"/>
        </w:rPr>
        <w:t xml:space="preserve">entro de los documentos tipo el Gobierno adoptará de manera general y con </w:t>
      </w:r>
      <w:r w:rsidR="00D26C81" w:rsidRPr="005B2F33">
        <w:rPr>
          <w:rFonts w:ascii="Arial" w:hAnsi="Arial" w:cs="Arial"/>
          <w:i/>
          <w:color w:val="0D0D0D" w:themeColor="text1" w:themeTint="F2"/>
          <w:sz w:val="22"/>
        </w:rPr>
        <w:t>alcance obligatorio</w:t>
      </w:r>
      <w:r w:rsidR="00D26C81" w:rsidRPr="005B2F33">
        <w:rPr>
          <w:rFonts w:ascii="Arial" w:hAnsi="Arial" w:cs="Arial"/>
          <w:color w:val="0D0D0D" w:themeColor="text1" w:themeTint="F2"/>
          <w:sz w:val="22"/>
        </w:rPr>
        <w:t xml:space="preserve"> para todas las entidades sometidas al Estatuto General de Contratación de la Administración Pública las condiciones habilitantes, así como los factores técnicos y económicos de escogencia […] teniendo en cuenta la naturaleza y la cuantía de los contratos</w:t>
      </w:r>
      <w:r w:rsidR="0016135D">
        <w:rPr>
          <w:rFonts w:ascii="Arial" w:hAnsi="Arial" w:cs="Arial"/>
          <w:color w:val="0D0D0D" w:themeColor="text1" w:themeTint="F2"/>
          <w:sz w:val="22"/>
        </w:rPr>
        <w:t xml:space="preserve"> […]</w:t>
      </w:r>
      <w:r w:rsidR="00D26C81" w:rsidRPr="005B2F33">
        <w:rPr>
          <w:rFonts w:ascii="Arial" w:hAnsi="Arial" w:cs="Arial"/>
          <w:color w:val="0D0D0D" w:themeColor="text1" w:themeTint="F2"/>
          <w:sz w:val="22"/>
        </w:rPr>
        <w:t>»</w:t>
      </w:r>
      <w:r w:rsidR="00D26C81">
        <w:rPr>
          <w:rFonts w:ascii="Arial" w:hAnsi="Arial" w:cs="Arial"/>
          <w:color w:val="0D0D0D" w:themeColor="text1" w:themeTint="F2"/>
          <w:sz w:val="22"/>
        </w:rPr>
        <w:t xml:space="preserve"> (Énfasis fuera de texto)</w:t>
      </w:r>
      <w:r w:rsidR="00D26C81" w:rsidRPr="005B2F33">
        <w:rPr>
          <w:rFonts w:ascii="Arial" w:hAnsi="Arial" w:cs="Arial"/>
          <w:color w:val="0D0D0D" w:themeColor="text1" w:themeTint="F2"/>
          <w:sz w:val="22"/>
        </w:rPr>
        <w:t>.</w:t>
      </w:r>
    </w:p>
    <w:p w14:paraId="6714D185" w14:textId="77777777" w:rsidR="00D26C81" w:rsidRPr="005B2F33" w:rsidRDefault="00D26C81" w:rsidP="00D26C81">
      <w:pPr>
        <w:spacing w:before="120" w:line="276" w:lineRule="auto"/>
        <w:ind w:firstLine="703"/>
        <w:jc w:val="both"/>
        <w:rPr>
          <w:rFonts w:ascii="Arial" w:hAnsi="Arial" w:cs="Arial"/>
          <w:color w:val="0D0D0D" w:themeColor="text1" w:themeTint="F2"/>
          <w:sz w:val="22"/>
          <w:lang w:val="es-ES"/>
        </w:rPr>
      </w:pPr>
      <w:r w:rsidRPr="005B2F33">
        <w:rPr>
          <w:rFonts w:ascii="Arial" w:hAnsi="Arial" w:cs="Arial"/>
          <w:color w:val="0D0D0D" w:themeColor="text1" w:themeTint="F2"/>
          <w:sz w:val="22"/>
          <w:lang w:val="es-ES"/>
        </w:rPr>
        <w:t xml:space="preserve">La exposición de motivos del proyecto que se convirtió en la Ley 1882 de 2018 se refirió a la necesidad de utilizar documentos tipo, pues reducen el tiempo de los procesos de contratación y contribuyen </w:t>
      </w:r>
      <w:r>
        <w:rPr>
          <w:rFonts w:ascii="Arial" w:hAnsi="Arial" w:cs="Arial"/>
          <w:color w:val="0D0D0D" w:themeColor="text1" w:themeTint="F2"/>
          <w:sz w:val="22"/>
          <w:lang w:val="es-ES"/>
        </w:rPr>
        <w:t>a</w:t>
      </w:r>
      <w:r w:rsidRPr="005B2F33">
        <w:rPr>
          <w:rFonts w:ascii="Arial" w:hAnsi="Arial" w:cs="Arial"/>
          <w:color w:val="0D0D0D" w:themeColor="text1" w:themeTint="F2"/>
          <w:sz w:val="22"/>
          <w:lang w:val="es-ES"/>
        </w:rPr>
        <w:t xml:space="preserve">l logro de una contratación pública más transparente y con mayor concurrencia de oferentes. Igualmente, la intención del legislador era adaptar el ordenamiento jurídico colombiano a las nuevas tendencias internacionales, al entender que los documentos tipo son una medida eficaz contra la corrupción y permiten una </w:t>
      </w:r>
      <w:r>
        <w:rPr>
          <w:rFonts w:ascii="Arial" w:hAnsi="Arial" w:cs="Arial"/>
          <w:color w:val="0D0D0D" w:themeColor="text1" w:themeTint="F2"/>
          <w:sz w:val="22"/>
          <w:lang w:val="es-ES"/>
        </w:rPr>
        <w:t>a</w:t>
      </w:r>
      <w:r w:rsidRPr="005B2F33">
        <w:rPr>
          <w:rFonts w:ascii="Arial" w:hAnsi="Arial" w:cs="Arial"/>
          <w:color w:val="0D0D0D" w:themeColor="text1" w:themeTint="F2"/>
          <w:sz w:val="22"/>
          <w:lang w:val="es-ES"/>
        </w:rPr>
        <w:t>dministración pública más eficiente y moderna.</w:t>
      </w:r>
    </w:p>
    <w:p w14:paraId="24B6BB27" w14:textId="03501B11" w:rsidR="00D26C81" w:rsidRPr="005B2F33" w:rsidRDefault="00D26C81" w:rsidP="00D26C81">
      <w:pPr>
        <w:spacing w:before="120" w:after="120" w:line="276" w:lineRule="auto"/>
        <w:ind w:firstLine="705"/>
        <w:jc w:val="both"/>
        <w:rPr>
          <w:rFonts w:ascii="Arial" w:hAnsi="Arial" w:cs="Arial"/>
          <w:color w:val="0D0D0D" w:themeColor="text1" w:themeTint="F2"/>
          <w:sz w:val="22"/>
          <w:lang w:val="es-ES"/>
        </w:rPr>
      </w:pPr>
      <w:r w:rsidRPr="005B2F33">
        <w:rPr>
          <w:rFonts w:ascii="Arial" w:hAnsi="Arial" w:cs="Arial"/>
          <w:color w:val="0D0D0D" w:themeColor="text1" w:themeTint="F2"/>
          <w:sz w:val="22"/>
          <w:lang w:val="es-ES"/>
        </w:rPr>
        <w:t xml:space="preserve">En ejercicio de la competencia conferida por el citado parágrafo, el Gobierno Nacional expidió el Decreto 342 de 2019, por medio del que se adoptaron los </w:t>
      </w:r>
      <w:r w:rsidR="0016135D">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Documentos Tipo</w:t>
      </w:r>
      <w:r w:rsidR="0016135D">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para licitaciones públicas para selección de contratistas de obra de infraestructura de transporte, por lo que adicionó </w:t>
      </w:r>
      <w:r w:rsidRPr="005B2F33">
        <w:rPr>
          <w:rFonts w:ascii="Arial" w:hAnsi="Arial" w:cs="Arial"/>
          <w:color w:val="0D0D0D" w:themeColor="text1" w:themeTint="F2"/>
          <w:sz w:val="22"/>
        </w:rPr>
        <w:t>la Sección 6 y la Subsección 1 al Capítulo 2 del Título 1 de la Parte 2 del Libro 2 del Decreto 1082 de 2015, Decreto Único Reglamentario del Sector Administrativo de Planeación Nacional.</w:t>
      </w:r>
      <w:r w:rsidRPr="005B2F33">
        <w:rPr>
          <w:rFonts w:ascii="Arial" w:hAnsi="Arial" w:cs="Arial"/>
          <w:color w:val="0D0D0D" w:themeColor="text1" w:themeTint="F2"/>
          <w:sz w:val="22"/>
          <w:lang w:val="es-ES"/>
        </w:rPr>
        <w:t xml:space="preserve"> </w:t>
      </w:r>
    </w:p>
    <w:p w14:paraId="113686DC" w14:textId="2D4AF372" w:rsidR="00D26C81" w:rsidRPr="005B2F33" w:rsidRDefault="00D26C81" w:rsidP="00D26C81">
      <w:pPr>
        <w:spacing w:before="120" w:after="120" w:line="276" w:lineRule="auto"/>
        <w:ind w:firstLine="705"/>
        <w:jc w:val="both"/>
        <w:rPr>
          <w:color w:val="0D0D0D" w:themeColor="text1" w:themeTint="F2"/>
        </w:rPr>
      </w:pPr>
      <w:r w:rsidRPr="005B2F33">
        <w:rPr>
          <w:rFonts w:ascii="Arial" w:hAnsi="Arial" w:cs="Arial"/>
          <w:color w:val="0D0D0D" w:themeColor="text1" w:themeTint="F2"/>
          <w:sz w:val="22"/>
          <w:lang w:val="es-ES"/>
        </w:rPr>
        <w:t xml:space="preserve">El artículo 2.2.1.2.6.1.1 del Decreto 1082 de 2015, sobre el objeto de los </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Documentos Tipo</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adoptados por el Decreto 342 de 2019, señala que «La presente subsección tiene por objeto adoptar los Documentos Tipo para los pliegos de condiciones de los procesos de selección de licitación de obra pública de infraestructura de transporte».</w:t>
      </w:r>
      <w:r>
        <w:rPr>
          <w:rFonts w:ascii="Arial" w:hAnsi="Arial" w:cs="Arial"/>
          <w:color w:val="0D0D0D" w:themeColor="text1" w:themeTint="F2"/>
          <w:sz w:val="22"/>
          <w:lang w:val="es-ES"/>
        </w:rPr>
        <w:t xml:space="preserve"> </w:t>
      </w:r>
      <w:r w:rsidR="0016135D">
        <w:rPr>
          <w:rFonts w:ascii="Arial" w:hAnsi="Arial" w:cs="Arial"/>
          <w:color w:val="0D0D0D" w:themeColor="text1" w:themeTint="F2"/>
          <w:sz w:val="22"/>
          <w:lang w:val="es-ES"/>
        </w:rPr>
        <w:lastRenderedPageBreak/>
        <w:t>Además</w:t>
      </w:r>
      <w:r w:rsidRPr="005B2F33">
        <w:rPr>
          <w:rFonts w:ascii="Arial" w:hAnsi="Arial" w:cs="Arial"/>
          <w:color w:val="0D0D0D" w:themeColor="text1" w:themeTint="F2"/>
          <w:sz w:val="22"/>
          <w:lang w:val="es-ES"/>
        </w:rPr>
        <w:t>, el artículo 2.2.1.2.6.1.2</w:t>
      </w:r>
      <w:r w:rsidR="0016135D">
        <w:rPr>
          <w:rFonts w:ascii="Arial" w:hAnsi="Arial" w:cs="Arial"/>
          <w:color w:val="0D0D0D" w:themeColor="text1" w:themeTint="F2"/>
          <w:sz w:val="22"/>
          <w:lang w:val="es-ES"/>
        </w:rPr>
        <w:t xml:space="preserve"> del Decreto</w:t>
      </w:r>
      <w:r w:rsidRPr="005B2F33">
        <w:rPr>
          <w:rFonts w:ascii="Arial" w:hAnsi="Arial" w:cs="Arial"/>
          <w:color w:val="0D0D0D" w:themeColor="text1" w:themeTint="F2"/>
          <w:sz w:val="22"/>
          <w:lang w:val="es-ES"/>
        </w:rPr>
        <w:t xml:space="preserve"> </w:t>
      </w:r>
      <w:r w:rsidR="0016135D">
        <w:rPr>
          <w:rFonts w:ascii="Arial" w:hAnsi="Arial" w:cs="Arial"/>
          <w:color w:val="0D0D0D" w:themeColor="text1" w:themeTint="F2"/>
          <w:sz w:val="22"/>
          <w:lang w:val="es-ES"/>
        </w:rPr>
        <w:t>–referido</w:t>
      </w:r>
      <w:r w:rsidRPr="005B2F33">
        <w:rPr>
          <w:rFonts w:ascii="Arial" w:hAnsi="Arial" w:cs="Arial"/>
          <w:color w:val="0D0D0D" w:themeColor="text1" w:themeTint="F2"/>
          <w:sz w:val="22"/>
          <w:lang w:val="es-ES"/>
        </w:rPr>
        <w:t xml:space="preserve"> al alcance de los documentos tipo</w:t>
      </w:r>
      <w:r w:rsidR="0016135D">
        <w:rPr>
          <w:rFonts w:ascii="Arial" w:hAnsi="Arial" w:cs="Arial"/>
          <w:color w:val="0D0D0D" w:themeColor="text1" w:themeTint="F2"/>
          <w:sz w:val="22"/>
          <w:lang w:val="es-ES"/>
        </w:rPr>
        <w:t>–dispone que</w:t>
      </w:r>
      <w:r w:rsidRPr="005B2F33">
        <w:rPr>
          <w:rFonts w:ascii="Arial" w:hAnsi="Arial" w:cs="Arial"/>
          <w:color w:val="0D0D0D" w:themeColor="text1" w:themeTint="F2"/>
          <w:sz w:val="22"/>
          <w:lang w:val="es-ES"/>
        </w:rPr>
        <w:t xml:space="preserve"> «contienen parámetros obligatorios para las entidades estatales sometidas al Estatuto General de la Contratación Pública que adelanten procesos de selección de licitación de obra pública de infraestructura de transporte»</w:t>
      </w:r>
      <w:r w:rsidRPr="005B2F33">
        <w:rPr>
          <w:rStyle w:val="Refdenotaalpie"/>
          <w:rFonts w:ascii="Arial" w:hAnsi="Arial" w:cs="Arial"/>
          <w:color w:val="0D0D0D" w:themeColor="text1" w:themeTint="F2"/>
          <w:sz w:val="22"/>
          <w:lang w:val="es-ES"/>
        </w:rPr>
        <w:footnoteReference w:id="4"/>
      </w:r>
      <w:r w:rsidRPr="005B2F33">
        <w:rPr>
          <w:rFonts w:ascii="Arial" w:hAnsi="Arial" w:cs="Arial"/>
          <w:color w:val="0D0D0D" w:themeColor="text1" w:themeTint="F2"/>
          <w:sz w:val="22"/>
          <w:lang w:val="es-ES"/>
        </w:rPr>
        <w:t>.</w:t>
      </w:r>
      <w:r w:rsidRPr="005B2F33">
        <w:rPr>
          <w:color w:val="0D0D0D" w:themeColor="text1" w:themeTint="F2"/>
          <w:lang w:val="es-ES"/>
        </w:rPr>
        <w:t xml:space="preserve"> </w:t>
      </w:r>
    </w:p>
    <w:p w14:paraId="73E06888" w14:textId="18DB4B59" w:rsidR="00D26C81" w:rsidRPr="005B2F33" w:rsidRDefault="00D26C81" w:rsidP="00D26C81">
      <w:pPr>
        <w:spacing w:before="120" w:after="120" w:line="276" w:lineRule="auto"/>
        <w:ind w:firstLine="705"/>
        <w:jc w:val="both"/>
        <w:rPr>
          <w:rFonts w:ascii="Arial" w:hAnsi="Arial" w:cs="Arial"/>
          <w:color w:val="0D0D0D" w:themeColor="text1" w:themeTint="F2"/>
          <w:sz w:val="22"/>
          <w:lang w:val="es-ES"/>
        </w:rPr>
      </w:pPr>
      <w:r w:rsidRPr="005B2F33">
        <w:rPr>
          <w:rFonts w:ascii="Arial" w:hAnsi="Arial" w:cs="Arial"/>
          <w:color w:val="0D0D0D" w:themeColor="text1" w:themeTint="F2"/>
          <w:sz w:val="22"/>
          <w:lang w:val="es-ES"/>
        </w:rPr>
        <w:t xml:space="preserve">El Gobierno Nacional mediante el artículo 2.2.1.2.6.1.3 del Decreto 1082 de 2015, adicionado por el Decreto 342 de 2019, facultó a la Agencia Nacional de Contratación Pública </w:t>
      </w:r>
      <w:r w:rsidR="0016135D">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Colombia Compra Eficiente, para que en coordinación con el Departamento Nacional de Planeación (DNP) y el Ministerio de Transporte, desarrollara e implementara los Documentos Tipo, lo cual tuvo lugar con la expedición de la Resolución No. 1798 del 1</w:t>
      </w:r>
      <w:r>
        <w:rPr>
          <w:rFonts w:ascii="Arial" w:hAnsi="Arial" w:cs="Arial"/>
          <w:color w:val="0D0D0D" w:themeColor="text1" w:themeTint="F2"/>
          <w:sz w:val="22"/>
          <w:lang w:val="es-ES"/>
        </w:rPr>
        <w:t>º</w:t>
      </w:r>
      <w:r w:rsidRPr="005B2F33">
        <w:rPr>
          <w:rFonts w:ascii="Arial" w:hAnsi="Arial" w:cs="Arial"/>
          <w:color w:val="0D0D0D" w:themeColor="text1" w:themeTint="F2"/>
          <w:sz w:val="22"/>
          <w:lang w:val="es-ES"/>
        </w:rPr>
        <w:t xml:space="preserve"> de abril de 2019 que implementó la Versión 1 de los documentos tipo para procesos de licitación de obra pública de infraestructura de transporte, cuya aplicación resulta obligatoria en los procesos de licitación de obra pública para infraestructura de transporte, cuyo aviso de convocatoria haya sido publicado a partir del 1° de abril de 2019, de conformidad con el artículo 2 de la Resolución 1798 de 2019.</w:t>
      </w:r>
    </w:p>
    <w:p w14:paraId="0317159B" w14:textId="75EB5F4C" w:rsidR="00D26C81" w:rsidRPr="005B2F33" w:rsidRDefault="00D26C81" w:rsidP="00D26C81">
      <w:pPr>
        <w:spacing w:before="120" w:after="120" w:line="276" w:lineRule="auto"/>
        <w:jc w:val="both"/>
        <w:rPr>
          <w:rFonts w:ascii="Arial" w:hAnsi="Arial" w:cs="Arial"/>
          <w:color w:val="0D0D0D" w:themeColor="text1" w:themeTint="F2"/>
          <w:sz w:val="22"/>
        </w:rPr>
      </w:pPr>
      <w:r w:rsidRPr="005B2F33">
        <w:rPr>
          <w:rFonts w:ascii="Arial" w:hAnsi="Arial" w:cs="Arial"/>
          <w:color w:val="0D0D0D" w:themeColor="text1" w:themeTint="F2"/>
          <w:sz w:val="22"/>
          <w:lang w:val="es-ES"/>
        </w:rPr>
        <w:tab/>
        <w:t xml:space="preserve">La Agencia Nacional de Contratación Pública </w:t>
      </w:r>
      <w:r w:rsidR="0016135D">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Colombia Compra Eficiente luego de identificar, junto con el Departamento Nacional de Planeación y el Ministerio de Transporte la necesidad de actualizar los documentos tipo para los procesos de licitación pública en orden de </w:t>
      </w:r>
      <w:r w:rsidRPr="005B2F33">
        <w:rPr>
          <w:rFonts w:ascii="Arial" w:hAnsi="Arial" w:cs="Arial"/>
          <w:color w:val="0D0D0D" w:themeColor="text1" w:themeTint="F2"/>
          <w:sz w:val="22"/>
        </w:rPr>
        <w:t xml:space="preserve">fortalecerlos y adaptarlos a la realidad de la contratación del país, implementó la Versión 2 expidiendo la Resolución No. 045 del 14 de febrero de 2020, «Por la cual se actualizan los Documentos Tipo para los procesos de selección de licitación de obra pública de infraestructura de transporte y se deroga la Resolución 1798 de 2019». </w:t>
      </w:r>
    </w:p>
    <w:p w14:paraId="27A499E0" w14:textId="77777777" w:rsidR="00D26C81" w:rsidRPr="005B2F33" w:rsidRDefault="00D26C81" w:rsidP="00D26C81">
      <w:pPr>
        <w:spacing w:before="120" w:after="120" w:line="276" w:lineRule="auto"/>
        <w:ind w:firstLine="708"/>
        <w:jc w:val="both"/>
        <w:rPr>
          <w:rFonts w:ascii="Arial" w:hAnsi="Arial" w:cs="Arial"/>
          <w:color w:val="0D0D0D" w:themeColor="text1" w:themeTint="F2"/>
          <w:sz w:val="22"/>
        </w:rPr>
      </w:pPr>
      <w:r w:rsidRPr="005B2F33">
        <w:rPr>
          <w:rFonts w:ascii="Arial" w:hAnsi="Arial" w:cs="Arial"/>
          <w:color w:val="0D0D0D" w:themeColor="text1" w:themeTint="F2"/>
          <w:sz w:val="22"/>
        </w:rPr>
        <w:t xml:space="preserve">De conformidad con el artículo 3 de la Resolución No. 045 de 2020, la Versión 2 de los documentos tipo aplica en los procesos de contratación de licitación de obra pública de infraestructura de transporte, cuyo aviso de convocatoria se publique a partir del 10 de marzo de 2020. Los procedimientos de licitación que antes del 10 de marzo de 2020 hayan </w:t>
      </w:r>
      <w:r w:rsidRPr="005B2F33">
        <w:rPr>
          <w:rFonts w:ascii="Arial" w:hAnsi="Arial" w:cs="Arial"/>
          <w:color w:val="0D0D0D" w:themeColor="text1" w:themeTint="F2"/>
          <w:sz w:val="22"/>
        </w:rPr>
        <w:lastRenderedPageBreak/>
        <w:t xml:space="preserve">publicado </w:t>
      </w:r>
      <w:r>
        <w:rPr>
          <w:rFonts w:ascii="Arial" w:hAnsi="Arial" w:cs="Arial"/>
          <w:color w:val="0D0D0D" w:themeColor="text1" w:themeTint="F2"/>
          <w:sz w:val="22"/>
        </w:rPr>
        <w:t xml:space="preserve">el </w:t>
      </w:r>
      <w:r w:rsidRPr="005B2F33">
        <w:rPr>
          <w:rFonts w:ascii="Arial" w:hAnsi="Arial" w:cs="Arial"/>
          <w:color w:val="0D0D0D" w:themeColor="text1" w:themeTint="F2"/>
          <w:sz w:val="22"/>
        </w:rPr>
        <w:t xml:space="preserve">aviso de convocatoria, deberán seguir aplicando la Versión 1 de los </w:t>
      </w:r>
      <w:r>
        <w:rPr>
          <w:rFonts w:ascii="Arial" w:hAnsi="Arial" w:cs="Arial"/>
          <w:color w:val="0D0D0D" w:themeColor="text1" w:themeTint="F2"/>
          <w:sz w:val="22"/>
        </w:rPr>
        <w:t>d</w:t>
      </w:r>
      <w:r w:rsidRPr="005B2F33">
        <w:rPr>
          <w:rFonts w:ascii="Arial" w:hAnsi="Arial" w:cs="Arial"/>
          <w:color w:val="0D0D0D" w:themeColor="text1" w:themeTint="F2"/>
          <w:sz w:val="22"/>
        </w:rPr>
        <w:t xml:space="preserve">ocumentos </w:t>
      </w:r>
      <w:r>
        <w:rPr>
          <w:rFonts w:ascii="Arial" w:hAnsi="Arial" w:cs="Arial"/>
          <w:color w:val="0D0D0D" w:themeColor="text1" w:themeTint="F2"/>
          <w:sz w:val="22"/>
        </w:rPr>
        <w:t>t</w:t>
      </w:r>
      <w:r w:rsidRPr="005B2F33">
        <w:rPr>
          <w:rFonts w:ascii="Arial" w:hAnsi="Arial" w:cs="Arial"/>
          <w:color w:val="0D0D0D" w:themeColor="text1" w:themeTint="F2"/>
          <w:sz w:val="22"/>
        </w:rPr>
        <w:t>ipo.</w:t>
      </w:r>
    </w:p>
    <w:p w14:paraId="70AFF38D" w14:textId="77777777" w:rsidR="00D26C81" w:rsidRPr="005B2F33" w:rsidRDefault="00D26C81" w:rsidP="00D26C81">
      <w:pPr>
        <w:spacing w:before="120" w:after="120" w:line="276" w:lineRule="auto"/>
        <w:ind w:firstLine="708"/>
        <w:jc w:val="both"/>
        <w:rPr>
          <w:rFonts w:ascii="Arial" w:hAnsi="Arial" w:cs="Arial"/>
          <w:color w:val="0D0D0D" w:themeColor="text1" w:themeTint="F2"/>
          <w:sz w:val="22"/>
          <w:lang w:val="es-ES"/>
        </w:rPr>
      </w:pPr>
      <w:r w:rsidRPr="005B2F33">
        <w:rPr>
          <w:rFonts w:ascii="Arial" w:hAnsi="Arial" w:cs="Arial"/>
          <w:color w:val="0D0D0D" w:themeColor="text1" w:themeTint="F2"/>
          <w:sz w:val="22"/>
          <w:lang w:val="es-ES"/>
        </w:rPr>
        <w:t xml:space="preserve">El Gobierno Nacional ejerció nuevamente la competencia </w:t>
      </w:r>
      <w:r>
        <w:rPr>
          <w:rFonts w:ascii="Arial" w:hAnsi="Arial" w:cs="Arial"/>
          <w:color w:val="0D0D0D" w:themeColor="text1" w:themeTint="F2"/>
          <w:sz w:val="22"/>
          <w:lang w:val="es-ES"/>
        </w:rPr>
        <w:t>prevista en</w:t>
      </w:r>
      <w:r w:rsidRPr="005B2F33">
        <w:rPr>
          <w:rFonts w:ascii="Arial" w:hAnsi="Arial" w:cs="Arial"/>
          <w:color w:val="0D0D0D" w:themeColor="text1" w:themeTint="F2"/>
          <w:sz w:val="22"/>
          <w:lang w:val="es-ES"/>
        </w:rPr>
        <w:t xml:space="preserve"> el citado artículo 4 de la Ley 1882 de 2018, expidiendo el Decreto 2096 de 2019</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el cual adoptó los </w:t>
      </w:r>
      <w:r>
        <w:rPr>
          <w:rFonts w:ascii="Arial" w:hAnsi="Arial" w:cs="Arial"/>
          <w:color w:val="0D0D0D" w:themeColor="text1" w:themeTint="F2"/>
          <w:sz w:val="22"/>
          <w:lang w:val="es-ES"/>
        </w:rPr>
        <w:t>d</w:t>
      </w:r>
      <w:r w:rsidRPr="005B2F33">
        <w:rPr>
          <w:rFonts w:ascii="Arial" w:hAnsi="Arial" w:cs="Arial"/>
          <w:color w:val="0D0D0D" w:themeColor="text1" w:themeTint="F2"/>
          <w:sz w:val="22"/>
          <w:lang w:val="es-ES"/>
        </w:rPr>
        <w:t xml:space="preserve">ocumentos </w:t>
      </w:r>
      <w:r>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 xml:space="preserve">ipo para procesos de contratación de obra pública de infraestructura de transporte adelantados en la modalidad de selección abreviada de menor cuantía, </w:t>
      </w:r>
      <w:r>
        <w:rPr>
          <w:rFonts w:ascii="Arial" w:hAnsi="Arial" w:cs="Arial"/>
          <w:color w:val="0D0D0D" w:themeColor="text1" w:themeTint="F2"/>
          <w:sz w:val="22"/>
          <w:lang w:val="es-ES"/>
        </w:rPr>
        <w:t>por lo que</w:t>
      </w:r>
      <w:r w:rsidRPr="005B2F33">
        <w:rPr>
          <w:rFonts w:ascii="Arial" w:hAnsi="Arial" w:cs="Arial"/>
          <w:color w:val="0D0D0D" w:themeColor="text1" w:themeTint="F2"/>
          <w:sz w:val="22"/>
          <w:lang w:val="es-ES"/>
        </w:rPr>
        <w:t xml:space="preserve"> adicionó la Subsección 2 a la Sección 6 </w:t>
      </w:r>
      <w:r w:rsidRPr="005B2F33">
        <w:rPr>
          <w:rFonts w:ascii="Arial" w:hAnsi="Arial" w:cs="Arial"/>
          <w:color w:val="0D0D0D" w:themeColor="text1" w:themeTint="F2"/>
          <w:sz w:val="22"/>
        </w:rPr>
        <w:t xml:space="preserve">del Capítulo 2 del Título 1 de la parte 2 del Libro 2 </w:t>
      </w:r>
      <w:r w:rsidRPr="005B2F33">
        <w:rPr>
          <w:rFonts w:ascii="Arial" w:hAnsi="Arial" w:cs="Arial"/>
          <w:color w:val="0D0D0D" w:themeColor="text1" w:themeTint="F2"/>
          <w:sz w:val="22"/>
          <w:lang w:val="es-ES"/>
        </w:rPr>
        <w:t>del Decreto 1082 de 2015</w:t>
      </w:r>
      <w:r w:rsidRPr="005B2F33">
        <w:rPr>
          <w:rFonts w:ascii="Arial" w:hAnsi="Arial" w:cs="Arial"/>
          <w:color w:val="0D0D0D" w:themeColor="text1" w:themeTint="F2"/>
          <w:sz w:val="22"/>
        </w:rPr>
        <w:t>.</w:t>
      </w:r>
    </w:p>
    <w:p w14:paraId="291F5C83" w14:textId="77777777" w:rsidR="00D26C81" w:rsidRPr="005B2F33" w:rsidRDefault="00D26C81" w:rsidP="00D26C81">
      <w:pPr>
        <w:spacing w:before="120" w:after="120" w:line="276" w:lineRule="auto"/>
        <w:jc w:val="both"/>
        <w:rPr>
          <w:rFonts w:ascii="Arial" w:eastAsia="Calibri" w:hAnsi="Arial" w:cs="Arial"/>
          <w:bCs/>
          <w:color w:val="0D0D0D" w:themeColor="text1" w:themeTint="F2"/>
          <w:sz w:val="22"/>
        </w:rPr>
      </w:pPr>
      <w:r w:rsidRPr="005B2F33">
        <w:rPr>
          <w:rFonts w:ascii="Arial" w:eastAsia="Calibri" w:hAnsi="Arial" w:cs="Arial"/>
          <w:bCs/>
          <w:color w:val="0D0D0D" w:themeColor="text1" w:themeTint="F2"/>
          <w:sz w:val="22"/>
        </w:rPr>
        <w:tab/>
      </w:r>
      <w:r>
        <w:rPr>
          <w:rFonts w:ascii="Arial" w:eastAsia="Calibri" w:hAnsi="Arial" w:cs="Arial"/>
          <w:bCs/>
          <w:color w:val="0D0D0D" w:themeColor="text1" w:themeTint="F2"/>
          <w:sz w:val="22"/>
        </w:rPr>
        <w:t>E</w:t>
      </w:r>
      <w:r w:rsidRPr="005B2F33">
        <w:rPr>
          <w:rFonts w:ascii="Arial" w:eastAsia="Calibri" w:hAnsi="Arial" w:cs="Arial"/>
          <w:bCs/>
          <w:color w:val="0D0D0D" w:themeColor="text1" w:themeTint="F2"/>
          <w:sz w:val="22"/>
        </w:rPr>
        <w:t>l artículo 2.2.1.2.6.2.2</w:t>
      </w:r>
      <w:r w:rsidRPr="00BA4FEC">
        <w:rPr>
          <w:rFonts w:ascii="Arial" w:eastAsia="Calibri" w:hAnsi="Arial" w:cs="Arial"/>
          <w:bCs/>
          <w:color w:val="0D0D0D" w:themeColor="text1" w:themeTint="F2"/>
          <w:sz w:val="22"/>
        </w:rPr>
        <w:t xml:space="preserve"> </w:t>
      </w:r>
      <w:r>
        <w:rPr>
          <w:rFonts w:ascii="Arial" w:eastAsia="Calibri" w:hAnsi="Arial" w:cs="Arial"/>
          <w:bCs/>
          <w:color w:val="0D0D0D" w:themeColor="text1" w:themeTint="F2"/>
          <w:sz w:val="22"/>
        </w:rPr>
        <w:t>e</w:t>
      </w:r>
      <w:r w:rsidRPr="005B2F33">
        <w:rPr>
          <w:rFonts w:ascii="Arial" w:eastAsia="Calibri" w:hAnsi="Arial" w:cs="Arial"/>
          <w:bCs/>
          <w:color w:val="0D0D0D" w:themeColor="text1" w:themeTint="F2"/>
          <w:sz w:val="22"/>
        </w:rPr>
        <w:t>l Decreto 1082 de 2015</w:t>
      </w:r>
      <w:r w:rsidRPr="005B2F33">
        <w:rPr>
          <w:rStyle w:val="Refdenotaalpie"/>
          <w:rFonts w:ascii="Arial" w:eastAsia="Calibri" w:hAnsi="Arial" w:cs="Arial"/>
          <w:bCs/>
          <w:color w:val="0D0D0D" w:themeColor="text1" w:themeTint="F2"/>
          <w:sz w:val="22"/>
        </w:rPr>
        <w:footnoteReference w:id="5"/>
      </w:r>
      <w:r w:rsidRPr="005B2F33">
        <w:rPr>
          <w:rFonts w:ascii="Arial" w:eastAsia="Calibri" w:hAnsi="Arial" w:cs="Arial"/>
          <w:bCs/>
          <w:color w:val="0D0D0D" w:themeColor="text1" w:themeTint="F2"/>
          <w:sz w:val="22"/>
        </w:rPr>
        <w:t xml:space="preserve"> contiene el listado de los </w:t>
      </w:r>
      <w:r>
        <w:rPr>
          <w:rFonts w:ascii="Arial" w:eastAsia="Calibri" w:hAnsi="Arial" w:cs="Arial"/>
          <w:bCs/>
          <w:color w:val="0D0D0D" w:themeColor="text1" w:themeTint="F2"/>
          <w:sz w:val="22"/>
        </w:rPr>
        <w:t>d</w:t>
      </w:r>
      <w:r w:rsidRPr="005B2F33">
        <w:rPr>
          <w:rFonts w:ascii="Arial" w:eastAsia="Calibri" w:hAnsi="Arial" w:cs="Arial"/>
          <w:bCs/>
          <w:color w:val="0D0D0D" w:themeColor="text1" w:themeTint="F2"/>
          <w:sz w:val="22"/>
        </w:rPr>
        <w:t xml:space="preserve">ocumentos </w:t>
      </w:r>
      <w:r>
        <w:rPr>
          <w:rFonts w:ascii="Arial" w:eastAsia="Calibri" w:hAnsi="Arial" w:cs="Arial"/>
          <w:bCs/>
          <w:color w:val="0D0D0D" w:themeColor="text1" w:themeTint="F2"/>
          <w:sz w:val="22"/>
        </w:rPr>
        <w:t>t</w:t>
      </w:r>
      <w:r w:rsidRPr="005B2F33">
        <w:rPr>
          <w:rFonts w:ascii="Arial" w:eastAsia="Calibri" w:hAnsi="Arial" w:cs="Arial"/>
          <w:bCs/>
          <w:color w:val="0D0D0D" w:themeColor="text1" w:themeTint="F2"/>
          <w:sz w:val="22"/>
        </w:rPr>
        <w:t xml:space="preserve">ipo aplicables a los </w:t>
      </w:r>
      <w:r w:rsidRPr="005B2F33">
        <w:rPr>
          <w:rFonts w:ascii="Arial" w:hAnsi="Arial" w:cs="Arial"/>
          <w:color w:val="0D0D0D" w:themeColor="text1" w:themeTint="F2"/>
          <w:sz w:val="22"/>
        </w:rPr>
        <w:t>procesos de selección abreviada de menor cuantía para la contratación de obra pública de infraestructura de transporte</w:t>
      </w:r>
      <w:r w:rsidRPr="005B2F33">
        <w:rPr>
          <w:rFonts w:ascii="Arial" w:eastAsia="Calibri" w:hAnsi="Arial" w:cs="Arial"/>
          <w:bCs/>
          <w:color w:val="0D0D0D" w:themeColor="text1" w:themeTint="F2"/>
          <w:sz w:val="22"/>
        </w:rPr>
        <w:t xml:space="preserve">, mientras que el </w:t>
      </w:r>
      <w:r w:rsidRPr="005B2F33">
        <w:rPr>
          <w:rFonts w:ascii="Arial" w:hAnsi="Arial" w:cs="Arial"/>
          <w:color w:val="0D0D0D" w:themeColor="text1" w:themeTint="F2"/>
          <w:sz w:val="22"/>
        </w:rPr>
        <w:t xml:space="preserve">2.2.1.2.6.2.3 </w:t>
      </w:r>
      <w:r w:rsidRPr="005B2F33">
        <w:rPr>
          <w:rFonts w:ascii="Arial" w:hAnsi="Arial" w:cs="Arial"/>
          <w:color w:val="0D0D0D" w:themeColor="text1" w:themeTint="F2"/>
          <w:sz w:val="22"/>
          <w:lang w:val="es-ES"/>
        </w:rPr>
        <w:t xml:space="preserve">facultó a la Agencia Nacional de Contratación Pública </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Colombia Compra Eficiente, para que en coordinación con el Departamento Nacional de Planeación (DNP) y el Ministerio de Transporte, desarrollara e implementara los </w:t>
      </w:r>
      <w:r>
        <w:rPr>
          <w:rFonts w:ascii="Arial" w:hAnsi="Arial" w:cs="Arial"/>
          <w:color w:val="0D0D0D" w:themeColor="text1" w:themeTint="F2"/>
          <w:sz w:val="22"/>
          <w:lang w:val="es-ES"/>
        </w:rPr>
        <w:t>d</w:t>
      </w:r>
      <w:r w:rsidRPr="005B2F33">
        <w:rPr>
          <w:rFonts w:ascii="Arial" w:hAnsi="Arial" w:cs="Arial"/>
          <w:color w:val="0D0D0D" w:themeColor="text1" w:themeTint="F2"/>
          <w:sz w:val="22"/>
          <w:lang w:val="es-ES"/>
        </w:rPr>
        <w:t xml:space="preserve">ocumentos </w:t>
      </w:r>
      <w:r>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 xml:space="preserve">ipo, competencia ejercida mediante la expedición de la Resolución No. 044 del 14 de febrero de 2020 que implementó los </w:t>
      </w:r>
      <w:r>
        <w:rPr>
          <w:rFonts w:ascii="Arial" w:hAnsi="Arial" w:cs="Arial"/>
          <w:color w:val="0D0D0D" w:themeColor="text1" w:themeTint="F2"/>
          <w:sz w:val="22"/>
          <w:lang w:val="es-ES"/>
        </w:rPr>
        <w:t>d</w:t>
      </w:r>
      <w:r w:rsidRPr="005B2F33">
        <w:rPr>
          <w:rFonts w:ascii="Arial" w:hAnsi="Arial" w:cs="Arial"/>
          <w:color w:val="0D0D0D" w:themeColor="text1" w:themeTint="F2"/>
          <w:sz w:val="22"/>
          <w:lang w:val="es-ES"/>
        </w:rPr>
        <w:t xml:space="preserve">ocumentos </w:t>
      </w:r>
      <w:r>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 xml:space="preserve">ipo para esta modalidad de selección, los cuales de conformidad con el artículo </w:t>
      </w:r>
      <w:r>
        <w:rPr>
          <w:rFonts w:ascii="Arial" w:hAnsi="Arial" w:cs="Arial"/>
          <w:color w:val="0D0D0D" w:themeColor="text1" w:themeTint="F2"/>
          <w:sz w:val="22"/>
          <w:lang w:val="es-ES"/>
        </w:rPr>
        <w:t>2</w:t>
      </w:r>
      <w:r w:rsidRPr="005B2F33">
        <w:rPr>
          <w:rFonts w:ascii="Arial" w:hAnsi="Arial" w:cs="Arial"/>
          <w:color w:val="0D0D0D" w:themeColor="text1" w:themeTint="F2"/>
          <w:sz w:val="22"/>
          <w:lang w:val="es-ES"/>
        </w:rPr>
        <w:t xml:space="preserve"> </w:t>
      </w:r>
      <w:r w:rsidRPr="005B2F33">
        <w:rPr>
          <w:rFonts w:ascii="Arial" w:eastAsia="Calibri" w:hAnsi="Arial" w:cs="Arial"/>
          <w:bCs/>
          <w:color w:val="0D0D0D" w:themeColor="text1" w:themeTint="F2"/>
          <w:sz w:val="22"/>
        </w:rPr>
        <w:t xml:space="preserve">del Decreto 2096 de 2019 </w:t>
      </w:r>
      <w:r>
        <w:rPr>
          <w:rFonts w:ascii="Arial" w:eastAsia="Calibri" w:hAnsi="Arial" w:cs="Arial"/>
          <w:bCs/>
          <w:color w:val="0D0D0D" w:themeColor="text1" w:themeTint="F2"/>
          <w:sz w:val="22"/>
        </w:rPr>
        <w:t>se aplican a</w:t>
      </w:r>
      <w:r w:rsidRPr="005B2F33">
        <w:rPr>
          <w:rFonts w:ascii="Arial" w:eastAsia="Calibri" w:hAnsi="Arial" w:cs="Arial"/>
          <w:bCs/>
          <w:color w:val="0D0D0D" w:themeColor="text1" w:themeTint="F2"/>
          <w:sz w:val="22"/>
        </w:rPr>
        <w:t xml:space="preserve"> </w:t>
      </w:r>
      <w:r w:rsidRPr="005B2F33">
        <w:rPr>
          <w:rFonts w:ascii="Arial" w:hAnsi="Arial" w:cs="Arial"/>
          <w:color w:val="0D0D0D" w:themeColor="text1" w:themeTint="F2"/>
          <w:sz w:val="22"/>
        </w:rPr>
        <w:t>«los procesos de contratación de selección abreviada de menor cuantía cuyo aviso de convocatoria sea publicado a partir del 17 de febrero de 2020</w:t>
      </w:r>
      <w:r w:rsidRPr="005B2F33">
        <w:rPr>
          <w:rFonts w:ascii="Arial" w:eastAsia="Calibri" w:hAnsi="Arial" w:cs="Arial"/>
          <w:bCs/>
          <w:color w:val="0D0D0D" w:themeColor="text1" w:themeTint="F2"/>
          <w:sz w:val="22"/>
        </w:rPr>
        <w:t xml:space="preserve">». </w:t>
      </w:r>
    </w:p>
    <w:p w14:paraId="1178D9A3" w14:textId="02A4E504" w:rsidR="00055321" w:rsidRDefault="00D26C81" w:rsidP="00376079">
      <w:pPr>
        <w:spacing w:before="120" w:line="276" w:lineRule="auto"/>
        <w:ind w:firstLine="709"/>
        <w:jc w:val="both"/>
        <w:rPr>
          <w:rFonts w:ascii="Arial" w:eastAsia="Calibri" w:hAnsi="Arial" w:cs="Arial"/>
          <w:color w:val="000000" w:themeColor="text1"/>
          <w:sz w:val="22"/>
        </w:rPr>
      </w:pPr>
      <w:r w:rsidRPr="005B2F33">
        <w:rPr>
          <w:rFonts w:ascii="Arial" w:hAnsi="Arial" w:cs="Arial"/>
          <w:color w:val="0D0D0D" w:themeColor="text1" w:themeTint="F2"/>
          <w:sz w:val="22"/>
        </w:rPr>
        <w:t xml:space="preserve"> En suma, los </w:t>
      </w:r>
      <w:r>
        <w:rPr>
          <w:rFonts w:ascii="Arial" w:hAnsi="Arial" w:cs="Arial"/>
          <w:color w:val="0D0D0D" w:themeColor="text1" w:themeTint="F2"/>
          <w:sz w:val="22"/>
        </w:rPr>
        <w:t>d</w:t>
      </w:r>
      <w:r w:rsidRPr="005B2F33">
        <w:rPr>
          <w:rFonts w:ascii="Arial" w:hAnsi="Arial" w:cs="Arial"/>
          <w:color w:val="0D0D0D" w:themeColor="text1" w:themeTint="F2"/>
          <w:sz w:val="22"/>
        </w:rPr>
        <w:t xml:space="preserve">ocumentos </w:t>
      </w:r>
      <w:r>
        <w:rPr>
          <w:rFonts w:ascii="Arial" w:hAnsi="Arial" w:cs="Arial"/>
          <w:color w:val="0D0D0D" w:themeColor="text1" w:themeTint="F2"/>
          <w:sz w:val="22"/>
        </w:rPr>
        <w:t>t</w:t>
      </w:r>
      <w:r w:rsidRPr="005B2F33">
        <w:rPr>
          <w:rFonts w:ascii="Arial" w:hAnsi="Arial" w:cs="Arial"/>
          <w:color w:val="0D0D0D" w:themeColor="text1" w:themeTint="F2"/>
          <w:sz w:val="22"/>
        </w:rPr>
        <w:t>ipo para selección abreviada de menor cuantía y licitación de obra pública de infraestructura de transporte son obligatorios</w:t>
      </w:r>
      <w:r w:rsidR="0016135D">
        <w:rPr>
          <w:rFonts w:ascii="Arial" w:hAnsi="Arial" w:cs="Arial"/>
          <w:color w:val="0D0D0D" w:themeColor="text1" w:themeTint="F2"/>
          <w:sz w:val="22"/>
        </w:rPr>
        <w:t>, por lo que</w:t>
      </w:r>
      <w:r w:rsidRPr="005B2F33">
        <w:rPr>
          <w:rFonts w:ascii="Arial" w:hAnsi="Arial" w:cs="Arial"/>
          <w:color w:val="0D0D0D" w:themeColor="text1" w:themeTint="F2"/>
          <w:sz w:val="22"/>
        </w:rPr>
        <w:t xml:space="preserve"> las entidades estatales sometidas al Estatuto General de la Contratación de la Administración Pública</w:t>
      </w:r>
      <w:r>
        <w:rPr>
          <w:rFonts w:ascii="Arial" w:hAnsi="Arial" w:cs="Arial"/>
          <w:color w:val="0D0D0D" w:themeColor="text1" w:themeTint="F2"/>
          <w:sz w:val="22"/>
        </w:rPr>
        <w:t xml:space="preserve"> </w:t>
      </w:r>
      <w:r w:rsidR="00376079">
        <w:rPr>
          <w:rFonts w:ascii="Arial" w:hAnsi="Arial" w:cs="Arial"/>
          <w:color w:val="0D0D0D" w:themeColor="text1" w:themeTint="F2"/>
          <w:sz w:val="22"/>
        </w:rPr>
        <w:t>deben</w:t>
      </w:r>
      <w:r w:rsidRPr="005B2F33">
        <w:rPr>
          <w:rFonts w:ascii="Arial" w:hAnsi="Arial" w:cs="Arial"/>
          <w:color w:val="0D0D0D" w:themeColor="text1" w:themeTint="F2"/>
          <w:sz w:val="22"/>
        </w:rPr>
        <w:t xml:space="preserve"> aplica</w:t>
      </w:r>
      <w:r>
        <w:rPr>
          <w:rFonts w:ascii="Arial" w:hAnsi="Arial" w:cs="Arial"/>
          <w:color w:val="0D0D0D" w:themeColor="text1" w:themeTint="F2"/>
          <w:sz w:val="22"/>
        </w:rPr>
        <w:t>rlos</w:t>
      </w:r>
      <w:r w:rsidRPr="005B2F33">
        <w:rPr>
          <w:rFonts w:ascii="Arial" w:hAnsi="Arial" w:cs="Arial"/>
          <w:color w:val="0D0D0D" w:themeColor="text1" w:themeTint="F2"/>
          <w:sz w:val="22"/>
        </w:rPr>
        <w:t xml:space="preserve">. </w:t>
      </w:r>
      <w:r w:rsidR="00F61A04">
        <w:rPr>
          <w:rFonts w:ascii="Arial" w:eastAsia="Calibri" w:hAnsi="Arial" w:cs="Arial"/>
          <w:color w:val="000000" w:themeColor="text1"/>
          <w:sz w:val="22"/>
        </w:rPr>
        <w:t xml:space="preserve"> </w:t>
      </w:r>
      <w:r w:rsidR="00F61A04" w:rsidRPr="00F61A04">
        <w:rPr>
          <w:rFonts w:ascii="Arial" w:eastAsia="Calibri" w:hAnsi="Arial" w:cs="Arial"/>
          <w:color w:val="000000" w:themeColor="text1"/>
          <w:sz w:val="22"/>
        </w:rPr>
        <w:t xml:space="preserve"> </w:t>
      </w:r>
      <w:bookmarkEnd w:id="6"/>
    </w:p>
    <w:p w14:paraId="5F99A5A0" w14:textId="77777777" w:rsidR="00376079" w:rsidRDefault="00376079" w:rsidP="00376079">
      <w:pPr>
        <w:spacing w:line="276" w:lineRule="auto"/>
        <w:ind w:firstLine="709"/>
        <w:jc w:val="both"/>
        <w:rPr>
          <w:rFonts w:ascii="Arial" w:eastAsia="Calibri" w:hAnsi="Arial" w:cs="Arial"/>
          <w:b/>
          <w:bCs/>
          <w:color w:val="000000" w:themeColor="text1"/>
          <w:sz w:val="22"/>
        </w:rPr>
      </w:pPr>
    </w:p>
    <w:p w14:paraId="54D78D23" w14:textId="4D393E1D" w:rsidR="00ED3F7E" w:rsidRDefault="00ED3F7E" w:rsidP="00ED3F7E">
      <w:pPr>
        <w:spacing w:line="276" w:lineRule="auto"/>
        <w:jc w:val="both"/>
        <w:rPr>
          <w:rFonts w:ascii="Arial" w:eastAsia="Calibri" w:hAnsi="Arial" w:cs="Arial"/>
          <w:b/>
          <w:bCs/>
          <w:color w:val="000000" w:themeColor="text1"/>
          <w:sz w:val="22"/>
        </w:rPr>
      </w:pPr>
      <w:r w:rsidRPr="00ED3F7E">
        <w:rPr>
          <w:rFonts w:ascii="Arial" w:eastAsia="Calibri" w:hAnsi="Arial" w:cs="Arial"/>
          <w:b/>
          <w:bCs/>
          <w:color w:val="000000" w:themeColor="text1"/>
          <w:sz w:val="22"/>
        </w:rPr>
        <w:t xml:space="preserve">2.2. </w:t>
      </w:r>
      <w:r w:rsidR="00F34A72">
        <w:rPr>
          <w:rFonts w:ascii="Arial" w:eastAsia="Calibri" w:hAnsi="Arial" w:cs="Arial"/>
          <w:b/>
          <w:bCs/>
          <w:color w:val="000000" w:themeColor="text1"/>
          <w:sz w:val="22"/>
        </w:rPr>
        <w:t>Inalterabilidad de los pliegos tipo</w:t>
      </w:r>
      <w:r w:rsidR="00055321">
        <w:rPr>
          <w:rFonts w:ascii="Arial" w:eastAsia="Calibri" w:hAnsi="Arial" w:cs="Arial"/>
          <w:b/>
          <w:bCs/>
          <w:color w:val="000000" w:themeColor="text1"/>
          <w:sz w:val="22"/>
        </w:rPr>
        <w:t>: imposibilidad de modificar la recepción de ofertas para las entidades que publican en el SECOP I</w:t>
      </w:r>
      <w:r w:rsidR="00386D5A">
        <w:rPr>
          <w:rFonts w:ascii="Arial" w:eastAsia="Calibri" w:hAnsi="Arial" w:cs="Arial"/>
          <w:b/>
          <w:bCs/>
          <w:color w:val="000000" w:themeColor="text1"/>
          <w:sz w:val="22"/>
        </w:rPr>
        <w:t xml:space="preserve"> </w:t>
      </w:r>
    </w:p>
    <w:p w14:paraId="7D8A31CA" w14:textId="301EE003" w:rsidR="00ED3F7E" w:rsidRDefault="00ED3F7E" w:rsidP="00ED3F7E">
      <w:pPr>
        <w:spacing w:line="276" w:lineRule="auto"/>
        <w:jc w:val="both"/>
        <w:rPr>
          <w:rFonts w:ascii="Arial" w:eastAsia="Calibri" w:hAnsi="Arial" w:cs="Arial"/>
          <w:b/>
          <w:bCs/>
          <w:color w:val="000000" w:themeColor="text1"/>
          <w:sz w:val="22"/>
        </w:rPr>
      </w:pPr>
    </w:p>
    <w:p w14:paraId="2B849780" w14:textId="6B4B8E25" w:rsidR="00611A40" w:rsidRDefault="00611A40" w:rsidP="00EE1763">
      <w:pPr>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t>E</w:t>
      </w:r>
      <w:r w:rsidRPr="00611A40">
        <w:rPr>
          <w:rFonts w:ascii="Arial" w:eastAsia="Calibri" w:hAnsi="Arial" w:cs="Arial"/>
          <w:color w:val="000000" w:themeColor="text1"/>
          <w:sz w:val="22"/>
        </w:rPr>
        <w:t xml:space="preserve">l artículo 2.2.1.2.6.1.4. del Decreto 1082 de 2015, adicionado por el artículo 1 del Decreto 342 de 2019, establece la inalterabilidad de los documentos tipo, lo cual implica que las entidades estatales no pueden incluir o modificar las condiciones habilitantes, los factores técnicos y económicos de escogencia y los sistemas de ponderación distintos a los señalados en los mismos. En consecuencia, lo dispuesto en los documentos que adopte el Gobierno Nacional, en ejercicio del mandato establecido en el artículo 4 de la Ley 1882 de 2018, </w:t>
      </w:r>
      <w:r w:rsidR="00EE1763">
        <w:rPr>
          <w:rFonts w:ascii="Arial" w:eastAsia="Calibri" w:hAnsi="Arial" w:cs="Arial"/>
          <w:color w:val="000000" w:themeColor="text1"/>
          <w:sz w:val="22"/>
        </w:rPr>
        <w:t>son</w:t>
      </w:r>
      <w:r w:rsidRPr="00611A40">
        <w:rPr>
          <w:rFonts w:ascii="Arial" w:eastAsia="Calibri" w:hAnsi="Arial" w:cs="Arial"/>
          <w:color w:val="000000" w:themeColor="text1"/>
          <w:sz w:val="22"/>
        </w:rPr>
        <w:t xml:space="preserve"> de obligatorio cumplimiento para las entidades sometidas al Estatuto General de Contratación de la Administración Pública que adelanten </w:t>
      </w:r>
      <w:r w:rsidR="00EE1763">
        <w:rPr>
          <w:rFonts w:ascii="Arial" w:eastAsia="Calibri" w:hAnsi="Arial" w:cs="Arial"/>
          <w:color w:val="000000" w:themeColor="text1"/>
          <w:sz w:val="22"/>
        </w:rPr>
        <w:t>procedimientos que se rijan por su contenido</w:t>
      </w:r>
      <w:r w:rsidRPr="00611A40">
        <w:rPr>
          <w:rFonts w:ascii="Arial" w:eastAsia="Calibri" w:hAnsi="Arial" w:cs="Arial"/>
          <w:color w:val="000000" w:themeColor="text1"/>
          <w:sz w:val="22"/>
        </w:rPr>
        <w:t>.</w:t>
      </w:r>
    </w:p>
    <w:p w14:paraId="4649E92E" w14:textId="5F8AF26C" w:rsidR="00EE1763" w:rsidRDefault="00EE1763" w:rsidP="00EE1763">
      <w:pPr>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tab/>
      </w:r>
      <w:r w:rsidRPr="00EE1763">
        <w:rPr>
          <w:rFonts w:ascii="Arial" w:eastAsia="Calibri" w:hAnsi="Arial" w:cs="Arial"/>
          <w:color w:val="000000" w:themeColor="text1"/>
          <w:sz w:val="22"/>
        </w:rPr>
        <w:t xml:space="preserve">Esta prohibición se ratifica </w:t>
      </w:r>
      <w:r>
        <w:rPr>
          <w:rFonts w:ascii="Arial" w:eastAsia="Calibri" w:hAnsi="Arial" w:cs="Arial"/>
          <w:color w:val="000000" w:themeColor="text1"/>
          <w:sz w:val="22"/>
        </w:rPr>
        <w:t>en</w:t>
      </w:r>
      <w:r w:rsidRPr="00EE1763">
        <w:rPr>
          <w:rFonts w:ascii="Arial" w:eastAsia="Calibri" w:hAnsi="Arial" w:cs="Arial"/>
          <w:color w:val="000000" w:themeColor="text1"/>
          <w:sz w:val="22"/>
        </w:rPr>
        <w:t xml:space="preserve"> el artículo 2 de la Resolución No. 0045 de 2020, «Por la cual se actualizan los Documentos Tipo para los procesos de selección de licitación de obra pública de infraestructura de transporte y se deroga la Resolución 1798 de 2019», al consagrar la inalterabilidad de los documentos tipo en los siguientes términos: «Las Entidades Estatales no pueden incluir condiciones o modificar las señaladas en los Documentos Tipo, a menos que expresamente se les faculte para hacerlo».</w:t>
      </w:r>
      <w:r>
        <w:rPr>
          <w:rFonts w:ascii="Arial" w:eastAsia="Calibri" w:hAnsi="Arial" w:cs="Arial"/>
          <w:color w:val="000000" w:themeColor="text1"/>
          <w:sz w:val="22"/>
        </w:rPr>
        <w:t xml:space="preserve"> En los mismos términos, el artículo 2 de la Resolución 0044 de 2020, «</w:t>
      </w:r>
      <w:r w:rsidRPr="00EE1763">
        <w:rPr>
          <w:rFonts w:ascii="Arial" w:eastAsia="Calibri" w:hAnsi="Arial" w:cs="Arial"/>
          <w:color w:val="000000" w:themeColor="text1"/>
          <w:sz w:val="22"/>
        </w:rPr>
        <w:t>Por la cual se desa</w:t>
      </w:r>
      <w:r>
        <w:rPr>
          <w:rFonts w:ascii="Arial" w:eastAsia="Calibri" w:hAnsi="Arial" w:cs="Arial"/>
          <w:color w:val="000000" w:themeColor="text1"/>
          <w:sz w:val="22"/>
        </w:rPr>
        <w:t>r</w:t>
      </w:r>
      <w:r w:rsidRPr="00EE1763">
        <w:rPr>
          <w:rFonts w:ascii="Arial" w:eastAsia="Calibri" w:hAnsi="Arial" w:cs="Arial"/>
          <w:color w:val="000000" w:themeColor="text1"/>
          <w:sz w:val="22"/>
        </w:rPr>
        <w:t xml:space="preserve">rollan e implementan los Documentos Tipo para los pliegos de condiciones de </w:t>
      </w:r>
      <w:r w:rsidR="00A54B50">
        <w:rPr>
          <w:rFonts w:ascii="Arial" w:eastAsia="Calibri" w:hAnsi="Arial" w:cs="Arial"/>
          <w:color w:val="000000" w:themeColor="text1"/>
          <w:sz w:val="22"/>
        </w:rPr>
        <w:t>l</w:t>
      </w:r>
      <w:r w:rsidRPr="00EE1763">
        <w:rPr>
          <w:rFonts w:ascii="Arial" w:eastAsia="Calibri" w:hAnsi="Arial" w:cs="Arial"/>
          <w:color w:val="000000" w:themeColor="text1"/>
          <w:sz w:val="22"/>
        </w:rPr>
        <w:t>os procesos de</w:t>
      </w:r>
      <w:r>
        <w:rPr>
          <w:rFonts w:ascii="Arial" w:eastAsia="Calibri" w:hAnsi="Arial" w:cs="Arial"/>
          <w:color w:val="000000" w:themeColor="text1"/>
          <w:sz w:val="22"/>
        </w:rPr>
        <w:t xml:space="preserve"> </w:t>
      </w:r>
      <w:r w:rsidRPr="00EE1763">
        <w:rPr>
          <w:rFonts w:ascii="Arial" w:eastAsia="Calibri" w:hAnsi="Arial" w:cs="Arial"/>
          <w:color w:val="000000" w:themeColor="text1"/>
          <w:sz w:val="22"/>
        </w:rPr>
        <w:t xml:space="preserve">infraestructura de transporte </w:t>
      </w:r>
      <w:r>
        <w:rPr>
          <w:rFonts w:ascii="Arial" w:eastAsia="Calibri" w:hAnsi="Arial" w:cs="Arial"/>
          <w:color w:val="000000" w:themeColor="text1"/>
          <w:sz w:val="22"/>
        </w:rPr>
        <w:t>q</w:t>
      </w:r>
      <w:r w:rsidRPr="00EE1763">
        <w:rPr>
          <w:rFonts w:ascii="Arial" w:eastAsia="Calibri" w:hAnsi="Arial" w:cs="Arial"/>
          <w:color w:val="000000" w:themeColor="text1"/>
          <w:sz w:val="22"/>
        </w:rPr>
        <w:t>ue se adelanten por la m</w:t>
      </w:r>
      <w:r>
        <w:rPr>
          <w:rFonts w:ascii="Arial" w:eastAsia="Calibri" w:hAnsi="Arial" w:cs="Arial"/>
          <w:color w:val="000000" w:themeColor="text1"/>
          <w:sz w:val="22"/>
        </w:rPr>
        <w:t xml:space="preserve">odalidad </w:t>
      </w:r>
      <w:r w:rsidRPr="00EE1763">
        <w:rPr>
          <w:rFonts w:ascii="Arial" w:eastAsia="Calibri" w:hAnsi="Arial" w:cs="Arial"/>
          <w:color w:val="000000" w:themeColor="text1"/>
          <w:sz w:val="22"/>
        </w:rPr>
        <w:t>de sel</w:t>
      </w:r>
      <w:r>
        <w:rPr>
          <w:rFonts w:ascii="Arial" w:eastAsia="Calibri" w:hAnsi="Arial" w:cs="Arial"/>
          <w:color w:val="000000" w:themeColor="text1"/>
          <w:sz w:val="22"/>
        </w:rPr>
        <w:t>ec</w:t>
      </w:r>
      <w:r w:rsidRPr="00EE1763">
        <w:rPr>
          <w:rFonts w:ascii="Arial" w:eastAsia="Calibri" w:hAnsi="Arial" w:cs="Arial"/>
          <w:color w:val="000000" w:themeColor="text1"/>
          <w:sz w:val="22"/>
        </w:rPr>
        <w:t>ción abrevi</w:t>
      </w:r>
      <w:r>
        <w:rPr>
          <w:rFonts w:ascii="Arial" w:eastAsia="Calibri" w:hAnsi="Arial" w:cs="Arial"/>
          <w:color w:val="000000" w:themeColor="text1"/>
          <w:sz w:val="22"/>
        </w:rPr>
        <w:t>ad</w:t>
      </w:r>
      <w:r w:rsidRPr="00EE1763">
        <w:rPr>
          <w:rFonts w:ascii="Arial" w:eastAsia="Calibri" w:hAnsi="Arial" w:cs="Arial"/>
          <w:color w:val="000000" w:themeColor="text1"/>
          <w:sz w:val="22"/>
        </w:rPr>
        <w:t>a de menor cuantía</w:t>
      </w:r>
      <w:r>
        <w:rPr>
          <w:rFonts w:ascii="Arial" w:eastAsia="Calibri" w:hAnsi="Arial" w:cs="Arial"/>
          <w:color w:val="000000" w:themeColor="text1"/>
          <w:sz w:val="22"/>
        </w:rPr>
        <w:t xml:space="preserve">», dispone el mismo principio. </w:t>
      </w:r>
    </w:p>
    <w:p w14:paraId="4243C469" w14:textId="08C1ACD4" w:rsidR="00EE1763" w:rsidRDefault="00EE1763" w:rsidP="00EE1763">
      <w:pPr>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tab/>
      </w:r>
      <w:r w:rsidRPr="00EE1763">
        <w:rPr>
          <w:rFonts w:ascii="Arial" w:eastAsia="Calibri" w:hAnsi="Arial" w:cs="Arial"/>
          <w:color w:val="000000" w:themeColor="text1"/>
          <w:sz w:val="22"/>
        </w:rPr>
        <w:t xml:space="preserve">Por su parte, </w:t>
      </w:r>
      <w:r w:rsidR="00A40ABB">
        <w:rPr>
          <w:rFonts w:ascii="Arial" w:eastAsia="Calibri" w:hAnsi="Arial" w:cs="Arial"/>
          <w:color w:val="000000" w:themeColor="text1"/>
          <w:sz w:val="22"/>
        </w:rPr>
        <w:t>en la introducción</w:t>
      </w:r>
      <w:r w:rsidRPr="00EE1763">
        <w:rPr>
          <w:rFonts w:ascii="Arial" w:eastAsia="Calibri" w:hAnsi="Arial" w:cs="Arial"/>
          <w:color w:val="000000" w:themeColor="text1"/>
          <w:sz w:val="22"/>
        </w:rPr>
        <w:t xml:space="preserve"> de los «Documentos Tipo» </w:t>
      </w:r>
      <w:r w:rsidR="00A40ABB">
        <w:rPr>
          <w:rFonts w:ascii="Arial" w:eastAsia="Calibri" w:hAnsi="Arial" w:cs="Arial"/>
          <w:color w:val="000000" w:themeColor="text1"/>
          <w:sz w:val="22"/>
        </w:rPr>
        <w:t>se establece</w:t>
      </w:r>
      <w:r w:rsidR="00A40ABB" w:rsidRPr="00EE1763">
        <w:rPr>
          <w:rFonts w:ascii="Arial" w:eastAsia="Calibri" w:hAnsi="Arial" w:cs="Arial"/>
          <w:color w:val="000000" w:themeColor="text1"/>
          <w:sz w:val="22"/>
        </w:rPr>
        <w:t xml:space="preserve"> </w:t>
      </w:r>
      <w:r w:rsidRPr="00EE1763">
        <w:rPr>
          <w:rFonts w:ascii="Arial" w:eastAsia="Calibri" w:hAnsi="Arial" w:cs="Arial"/>
          <w:color w:val="000000" w:themeColor="text1"/>
          <w:sz w:val="22"/>
        </w:rPr>
        <w:t>que</w:t>
      </w:r>
      <w:r w:rsidR="00A40ABB">
        <w:rPr>
          <w:rFonts w:ascii="Arial" w:eastAsia="Calibri" w:hAnsi="Arial" w:cs="Arial"/>
          <w:color w:val="000000" w:themeColor="text1"/>
          <w:sz w:val="22"/>
        </w:rPr>
        <w:t xml:space="preserve"> </w:t>
      </w:r>
      <w:r w:rsidRPr="00EE1763">
        <w:rPr>
          <w:rFonts w:ascii="Arial" w:eastAsia="Calibri" w:hAnsi="Arial" w:cs="Arial"/>
          <w:color w:val="000000" w:themeColor="text1"/>
          <w:sz w:val="22"/>
        </w:rPr>
        <w:t xml:space="preserve">los aspectos en corchetes y resaltado gris deben </w:t>
      </w:r>
      <w:r w:rsidR="00D817FE">
        <w:rPr>
          <w:rFonts w:ascii="Arial" w:eastAsia="Calibri" w:hAnsi="Arial" w:cs="Arial"/>
          <w:color w:val="000000" w:themeColor="text1"/>
          <w:sz w:val="22"/>
        </w:rPr>
        <w:t>diligenciarse</w:t>
      </w:r>
      <w:r w:rsidRPr="00EE1763">
        <w:rPr>
          <w:rFonts w:ascii="Arial" w:eastAsia="Calibri" w:hAnsi="Arial" w:cs="Arial"/>
          <w:color w:val="000000" w:themeColor="text1"/>
          <w:sz w:val="22"/>
        </w:rPr>
        <w:t xml:space="preserve"> por la entidad. Por tanto, la</w:t>
      </w:r>
      <w:r w:rsidR="00D817FE">
        <w:rPr>
          <w:rFonts w:ascii="Arial" w:eastAsia="Calibri" w:hAnsi="Arial" w:cs="Arial"/>
          <w:color w:val="000000" w:themeColor="text1"/>
          <w:sz w:val="22"/>
        </w:rPr>
        <w:t>s</w:t>
      </w:r>
      <w:r w:rsidRPr="00EE1763">
        <w:rPr>
          <w:rFonts w:ascii="Arial" w:eastAsia="Calibri" w:hAnsi="Arial" w:cs="Arial"/>
          <w:color w:val="000000" w:themeColor="text1"/>
          <w:sz w:val="22"/>
        </w:rPr>
        <w:t xml:space="preserve"> entidad</w:t>
      </w:r>
      <w:r w:rsidR="00D817FE">
        <w:rPr>
          <w:rFonts w:ascii="Arial" w:eastAsia="Calibri" w:hAnsi="Arial" w:cs="Arial"/>
          <w:color w:val="000000" w:themeColor="text1"/>
          <w:sz w:val="22"/>
        </w:rPr>
        <w:t>es</w:t>
      </w:r>
      <w:r w:rsidRPr="00EE1763">
        <w:rPr>
          <w:rFonts w:ascii="Arial" w:eastAsia="Calibri" w:hAnsi="Arial" w:cs="Arial"/>
          <w:color w:val="000000" w:themeColor="text1"/>
          <w:sz w:val="22"/>
        </w:rPr>
        <w:t xml:space="preserve"> </w:t>
      </w:r>
      <w:r w:rsidR="00A40ABB">
        <w:rPr>
          <w:rFonts w:ascii="Arial" w:eastAsia="Calibri" w:hAnsi="Arial" w:cs="Arial"/>
          <w:color w:val="000000" w:themeColor="text1"/>
          <w:sz w:val="22"/>
        </w:rPr>
        <w:t xml:space="preserve">tienen </w:t>
      </w:r>
      <w:r w:rsidRPr="00EE1763">
        <w:rPr>
          <w:rFonts w:ascii="Arial" w:eastAsia="Calibri" w:hAnsi="Arial" w:cs="Arial"/>
          <w:color w:val="000000" w:themeColor="text1"/>
          <w:sz w:val="22"/>
        </w:rPr>
        <w:t xml:space="preserve">discrecionalidad para determinar </w:t>
      </w:r>
      <w:r w:rsidR="00A40ABB">
        <w:rPr>
          <w:rFonts w:ascii="Arial" w:eastAsia="Calibri" w:hAnsi="Arial" w:cs="Arial"/>
          <w:color w:val="000000" w:themeColor="text1"/>
          <w:sz w:val="22"/>
        </w:rPr>
        <w:t>el contenido que incluirá en estos lugares</w:t>
      </w:r>
      <w:r w:rsidRPr="00EE1763">
        <w:rPr>
          <w:rFonts w:ascii="Arial" w:eastAsia="Calibri" w:hAnsi="Arial" w:cs="Arial"/>
          <w:color w:val="000000" w:themeColor="text1"/>
          <w:sz w:val="22"/>
        </w:rPr>
        <w:t xml:space="preserve">, de acuerdo con </w:t>
      </w:r>
      <w:r w:rsidR="007F2532">
        <w:rPr>
          <w:rFonts w:ascii="Arial" w:eastAsia="Calibri" w:hAnsi="Arial" w:cs="Arial"/>
          <w:color w:val="000000" w:themeColor="text1"/>
          <w:sz w:val="22"/>
        </w:rPr>
        <w:t>la</w:t>
      </w:r>
      <w:r w:rsidRPr="00EE1763">
        <w:rPr>
          <w:rFonts w:ascii="Arial" w:eastAsia="Calibri" w:hAnsi="Arial" w:cs="Arial"/>
          <w:color w:val="000000" w:themeColor="text1"/>
          <w:sz w:val="22"/>
        </w:rPr>
        <w:t xml:space="preserve"> necesidad y las instrucciones </w:t>
      </w:r>
      <w:r w:rsidR="007F2532">
        <w:rPr>
          <w:rFonts w:ascii="Arial" w:eastAsia="Calibri" w:hAnsi="Arial" w:cs="Arial"/>
          <w:color w:val="000000" w:themeColor="text1"/>
          <w:sz w:val="22"/>
        </w:rPr>
        <w:t>d</w:t>
      </w:r>
      <w:r w:rsidRPr="00EE1763">
        <w:rPr>
          <w:rFonts w:ascii="Arial" w:eastAsia="Calibri" w:hAnsi="Arial" w:cs="Arial"/>
          <w:color w:val="000000" w:themeColor="text1"/>
          <w:sz w:val="22"/>
        </w:rPr>
        <w:t>el pliego.</w:t>
      </w:r>
    </w:p>
    <w:p w14:paraId="698F1329" w14:textId="77777777" w:rsidR="00E15425" w:rsidRPr="00E15425" w:rsidRDefault="00E15425" w:rsidP="00E15425">
      <w:pPr>
        <w:spacing w:after="120" w:line="276" w:lineRule="auto"/>
        <w:ind w:firstLine="708"/>
        <w:jc w:val="both"/>
        <w:rPr>
          <w:rFonts w:ascii="Arial" w:eastAsia="Calibri" w:hAnsi="Arial" w:cs="Arial"/>
          <w:color w:val="000000" w:themeColor="text1"/>
          <w:sz w:val="22"/>
        </w:rPr>
      </w:pPr>
      <w:r w:rsidRPr="00E15425">
        <w:rPr>
          <w:rFonts w:ascii="Arial" w:eastAsia="Calibri" w:hAnsi="Arial" w:cs="Arial"/>
          <w:color w:val="000000" w:themeColor="text1"/>
          <w:sz w:val="22"/>
        </w:rPr>
        <w:t xml:space="preserve">Además, el artículo 2.2.1.2.6.1.5 del Decreto 1082 de 2015, adicionado por el Decreto 342 de 2019, prevé los eventos en los que el objeto contractual incluye bienes o servicios adicionales a la obra pública de infraestructura de transporte. En este caso, la entidad estatal puede complementar experiencia adicional para evaluar la idoneidad respecto de los bienes o servicios ajenos a la obra pública. No obstante, se deberán seguir los siguientes parámetros: i) demostrar en los estudios previos que ha verificado las condiciones de mercado para la adquisición de los bienes o servicios adicionales al componente de obra pública, de tal forma que la experiencia adicional garantiza la pluralidad de oferentes, </w:t>
      </w:r>
      <w:proofErr w:type="spellStart"/>
      <w:r w:rsidRPr="00E15425">
        <w:rPr>
          <w:rFonts w:ascii="Arial" w:eastAsia="Calibri" w:hAnsi="Arial" w:cs="Arial"/>
          <w:color w:val="000000" w:themeColor="text1"/>
          <w:sz w:val="22"/>
        </w:rPr>
        <w:t>ii</w:t>
      </w:r>
      <w:proofErr w:type="spellEnd"/>
      <w:r w:rsidRPr="00E15425">
        <w:rPr>
          <w:rFonts w:ascii="Arial" w:eastAsia="Calibri" w:hAnsi="Arial" w:cs="Arial"/>
          <w:color w:val="000000" w:themeColor="text1"/>
          <w:sz w:val="22"/>
        </w:rPr>
        <w:t xml:space="preserve">) conservar los requisitos exigidos en los «Documentos Tipo», </w:t>
      </w:r>
      <w:proofErr w:type="spellStart"/>
      <w:r w:rsidRPr="00E15425">
        <w:rPr>
          <w:rFonts w:ascii="Arial" w:eastAsia="Calibri" w:hAnsi="Arial" w:cs="Arial"/>
          <w:color w:val="000000" w:themeColor="text1"/>
          <w:sz w:val="22"/>
        </w:rPr>
        <w:t>iii</w:t>
      </w:r>
      <w:proofErr w:type="spellEnd"/>
      <w:r w:rsidRPr="00E15425">
        <w:rPr>
          <w:rFonts w:ascii="Arial" w:eastAsia="Calibri" w:hAnsi="Arial" w:cs="Arial"/>
          <w:color w:val="000000" w:themeColor="text1"/>
          <w:sz w:val="22"/>
        </w:rPr>
        <w:t xml:space="preserve">) abstenerse de pedir experiencia exclusiva con entidades estatales, experiencia previa en un territorio específico, limitada en el tiempo o que incluya volúmenes o cantidades de obra específica, </w:t>
      </w:r>
      <w:proofErr w:type="spellStart"/>
      <w:r w:rsidRPr="00E15425">
        <w:rPr>
          <w:rFonts w:ascii="Arial" w:eastAsia="Calibri" w:hAnsi="Arial" w:cs="Arial"/>
          <w:color w:val="000000" w:themeColor="text1"/>
          <w:sz w:val="22"/>
        </w:rPr>
        <w:t>iv</w:t>
      </w:r>
      <w:proofErr w:type="spellEnd"/>
      <w:r w:rsidRPr="00E15425">
        <w:rPr>
          <w:rFonts w:ascii="Arial" w:eastAsia="Calibri" w:hAnsi="Arial" w:cs="Arial"/>
          <w:color w:val="000000" w:themeColor="text1"/>
          <w:sz w:val="22"/>
        </w:rPr>
        <w:t xml:space="preserve">) clasificar la experiencia requerida solo hasta el tercer nivel del Clasificador de Bienes y Servicios e incluir exclusivamente los códigos que estén relacionados directamente con el objeto a contratar. </w:t>
      </w:r>
    </w:p>
    <w:p w14:paraId="20CD78A9" w14:textId="18CE52F9" w:rsidR="00E15425" w:rsidRDefault="00787FCE" w:rsidP="00E15425">
      <w:pPr>
        <w:spacing w:after="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lastRenderedPageBreak/>
        <w:t>Por lo tanto</w:t>
      </w:r>
      <w:r w:rsidR="00E15425" w:rsidRPr="00E15425">
        <w:rPr>
          <w:rFonts w:ascii="Arial" w:eastAsia="Calibri" w:hAnsi="Arial" w:cs="Arial"/>
          <w:color w:val="000000" w:themeColor="text1"/>
          <w:sz w:val="22"/>
        </w:rPr>
        <w:t>, la regla general frente la aplicación del «Documento Base» es su inalterabilidad,</w:t>
      </w:r>
      <w:r w:rsidR="00E15425">
        <w:rPr>
          <w:rFonts w:ascii="Arial" w:eastAsia="Calibri" w:hAnsi="Arial" w:cs="Arial"/>
          <w:color w:val="000000" w:themeColor="text1"/>
          <w:sz w:val="22"/>
        </w:rPr>
        <w:t xml:space="preserve"> es decir, </w:t>
      </w:r>
      <w:r w:rsidR="00E15425" w:rsidRPr="00E15425">
        <w:rPr>
          <w:rFonts w:ascii="Arial" w:eastAsia="Calibri" w:hAnsi="Arial" w:cs="Arial"/>
          <w:color w:val="000000" w:themeColor="text1"/>
          <w:sz w:val="22"/>
        </w:rPr>
        <w:t>no podrá</w:t>
      </w:r>
      <w:r w:rsidR="00A40ABB">
        <w:rPr>
          <w:rFonts w:ascii="Arial" w:eastAsia="Calibri" w:hAnsi="Arial" w:cs="Arial"/>
          <w:color w:val="000000" w:themeColor="text1"/>
          <w:sz w:val="22"/>
        </w:rPr>
        <w:t>n</w:t>
      </w:r>
      <w:r w:rsidR="00E15425" w:rsidRPr="00E15425">
        <w:rPr>
          <w:rFonts w:ascii="Arial" w:eastAsia="Calibri" w:hAnsi="Arial" w:cs="Arial"/>
          <w:color w:val="000000" w:themeColor="text1"/>
          <w:sz w:val="22"/>
        </w:rPr>
        <w:t xml:space="preserve"> incluirse o modificarse las condiciones habilitantes, los factores técnicos y económicos de escogencia y los sistemas de ponderación. En todo caso, si el objeto contractual incluye bienes o servicios ajenos a la obra pública de infraestructura de transporte, la entidad podrá incluir experiencia adicional; además, cuando el pliego tipo </w:t>
      </w:r>
      <w:r w:rsidR="00E15425">
        <w:rPr>
          <w:rFonts w:ascii="Arial" w:eastAsia="Calibri" w:hAnsi="Arial" w:cs="Arial"/>
          <w:color w:val="000000" w:themeColor="text1"/>
          <w:sz w:val="22"/>
        </w:rPr>
        <w:t>expresamente lo permita</w:t>
      </w:r>
      <w:r w:rsidR="00E15425" w:rsidRPr="00E15425">
        <w:rPr>
          <w:rFonts w:ascii="Arial" w:eastAsia="Calibri" w:hAnsi="Arial" w:cs="Arial"/>
          <w:color w:val="000000" w:themeColor="text1"/>
          <w:sz w:val="22"/>
        </w:rPr>
        <w:t xml:space="preserve">, </w:t>
      </w:r>
      <w:r w:rsidR="00E15425">
        <w:rPr>
          <w:rFonts w:ascii="Arial" w:eastAsia="Calibri" w:hAnsi="Arial" w:cs="Arial"/>
          <w:color w:val="000000" w:themeColor="text1"/>
          <w:sz w:val="22"/>
        </w:rPr>
        <w:t xml:space="preserve">la entidad podrá modificar </w:t>
      </w:r>
      <w:r w:rsidR="00E15425" w:rsidRPr="00E15425">
        <w:rPr>
          <w:rFonts w:ascii="Arial" w:eastAsia="Calibri" w:hAnsi="Arial" w:cs="Arial"/>
          <w:color w:val="000000" w:themeColor="text1"/>
          <w:sz w:val="22"/>
        </w:rPr>
        <w:t>los aspectos incluidos en corchetes y resaltados en gris.</w:t>
      </w:r>
    </w:p>
    <w:p w14:paraId="27424AC3" w14:textId="77777777" w:rsidR="0057558E" w:rsidRDefault="00376079" w:rsidP="0057558E">
      <w:pPr>
        <w:spacing w:after="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 xml:space="preserve">Ahora bien, </w:t>
      </w:r>
      <w:bookmarkStart w:id="8" w:name="_Hlk41323531"/>
      <w:r w:rsidR="00787FCE">
        <w:rPr>
          <w:rFonts w:ascii="Arial" w:eastAsia="Calibri" w:hAnsi="Arial" w:cs="Arial"/>
          <w:color w:val="000000" w:themeColor="text1"/>
          <w:sz w:val="22"/>
        </w:rPr>
        <w:t>e</w:t>
      </w:r>
      <w:r w:rsidR="00787FCE" w:rsidRPr="00787FCE">
        <w:rPr>
          <w:rFonts w:ascii="Arial" w:eastAsia="Calibri" w:hAnsi="Arial" w:cs="Arial"/>
          <w:color w:val="000000" w:themeColor="text1"/>
          <w:sz w:val="22"/>
        </w:rPr>
        <w:t>l</w:t>
      </w:r>
      <w:r w:rsidR="00787FCE">
        <w:rPr>
          <w:rFonts w:ascii="Arial" w:eastAsia="Calibri" w:hAnsi="Arial" w:cs="Arial"/>
          <w:color w:val="000000" w:themeColor="text1"/>
          <w:sz w:val="22"/>
        </w:rPr>
        <w:t xml:space="preserve"> numeral 2.</w:t>
      </w:r>
      <w:r w:rsidR="00BD0540">
        <w:rPr>
          <w:rFonts w:ascii="Arial" w:eastAsia="Calibri" w:hAnsi="Arial" w:cs="Arial"/>
          <w:color w:val="000000" w:themeColor="text1"/>
          <w:sz w:val="22"/>
        </w:rPr>
        <w:t>3</w:t>
      </w:r>
      <w:r w:rsidR="00787FCE">
        <w:rPr>
          <w:rFonts w:ascii="Arial" w:eastAsia="Calibri" w:hAnsi="Arial" w:cs="Arial"/>
          <w:color w:val="000000" w:themeColor="text1"/>
          <w:sz w:val="22"/>
        </w:rPr>
        <w:t xml:space="preserve"> </w:t>
      </w:r>
      <w:bookmarkStart w:id="9" w:name="_Hlk41315303"/>
      <w:r w:rsidR="00787FCE">
        <w:rPr>
          <w:rFonts w:ascii="Arial" w:eastAsia="Calibri" w:hAnsi="Arial" w:cs="Arial"/>
          <w:color w:val="000000" w:themeColor="text1"/>
          <w:sz w:val="22"/>
        </w:rPr>
        <w:t>del</w:t>
      </w:r>
      <w:r w:rsidR="00787FCE" w:rsidRPr="00787FCE">
        <w:rPr>
          <w:rFonts w:ascii="Arial" w:eastAsia="Calibri" w:hAnsi="Arial" w:cs="Arial"/>
          <w:color w:val="000000" w:themeColor="text1"/>
          <w:sz w:val="22"/>
        </w:rPr>
        <w:t xml:space="preserve"> </w:t>
      </w:r>
      <w:r w:rsidR="00787FCE">
        <w:rPr>
          <w:rFonts w:ascii="Arial" w:eastAsia="Calibri" w:hAnsi="Arial" w:cs="Arial"/>
          <w:color w:val="000000" w:themeColor="text1"/>
          <w:sz w:val="22"/>
        </w:rPr>
        <w:t>«D</w:t>
      </w:r>
      <w:r w:rsidR="00787FCE" w:rsidRPr="00787FCE">
        <w:rPr>
          <w:rFonts w:ascii="Arial" w:eastAsia="Calibri" w:hAnsi="Arial" w:cs="Arial"/>
          <w:color w:val="000000" w:themeColor="text1"/>
          <w:sz w:val="22"/>
        </w:rPr>
        <w:t xml:space="preserve">ocumento </w:t>
      </w:r>
      <w:r w:rsidR="00787FCE">
        <w:rPr>
          <w:rFonts w:ascii="Arial" w:eastAsia="Calibri" w:hAnsi="Arial" w:cs="Arial"/>
          <w:color w:val="000000" w:themeColor="text1"/>
          <w:sz w:val="22"/>
        </w:rPr>
        <w:t>B</w:t>
      </w:r>
      <w:r w:rsidR="00787FCE" w:rsidRPr="00787FCE">
        <w:rPr>
          <w:rFonts w:ascii="Arial" w:eastAsia="Calibri" w:hAnsi="Arial" w:cs="Arial"/>
          <w:color w:val="000000" w:themeColor="text1"/>
          <w:sz w:val="22"/>
        </w:rPr>
        <w:t>ase</w:t>
      </w:r>
      <w:r w:rsidR="00787FCE">
        <w:rPr>
          <w:rFonts w:ascii="Arial" w:eastAsia="Calibri" w:hAnsi="Arial" w:cs="Arial"/>
          <w:color w:val="000000" w:themeColor="text1"/>
          <w:sz w:val="22"/>
        </w:rPr>
        <w:t xml:space="preserve"> – Versión 2»</w:t>
      </w:r>
      <w:r w:rsidR="00787FCE" w:rsidRPr="00787FCE">
        <w:rPr>
          <w:rFonts w:ascii="Arial" w:eastAsia="Calibri" w:hAnsi="Arial" w:cs="Arial"/>
          <w:color w:val="000000" w:themeColor="text1"/>
          <w:sz w:val="22"/>
        </w:rPr>
        <w:t xml:space="preserve"> para los procesos de licitación pública</w:t>
      </w:r>
      <w:bookmarkEnd w:id="9"/>
      <w:r w:rsidR="00787FCE">
        <w:rPr>
          <w:rFonts w:ascii="Arial" w:eastAsia="Calibri" w:hAnsi="Arial" w:cs="Arial"/>
          <w:color w:val="000000" w:themeColor="text1"/>
          <w:sz w:val="22"/>
        </w:rPr>
        <w:t xml:space="preserve"> dispone</w:t>
      </w:r>
      <w:r w:rsidR="00787FCE" w:rsidRPr="00787FCE">
        <w:rPr>
          <w:rFonts w:ascii="Arial" w:eastAsia="Calibri" w:hAnsi="Arial" w:cs="Arial"/>
          <w:color w:val="000000" w:themeColor="text1"/>
          <w:sz w:val="22"/>
        </w:rPr>
        <w:t xml:space="preserve"> que</w:t>
      </w:r>
      <w:r w:rsidR="00BD0540">
        <w:rPr>
          <w:rFonts w:ascii="Arial" w:eastAsia="Calibri" w:hAnsi="Arial" w:cs="Arial"/>
          <w:color w:val="000000" w:themeColor="text1"/>
          <w:sz w:val="22"/>
        </w:rPr>
        <w:t xml:space="preserve"> «</w:t>
      </w:r>
      <w:r w:rsidR="00BD0540" w:rsidRPr="00BD0540">
        <w:rPr>
          <w:rFonts w:ascii="Arial" w:eastAsia="Calibri" w:hAnsi="Arial" w:cs="Arial"/>
          <w:color w:val="000000" w:themeColor="text1"/>
          <w:sz w:val="22"/>
        </w:rPr>
        <w:t>La oferta estará conformada por dos sobres, los cuales deberán ser entregados con el cumplimiento de la totalidad de los requisitos establecidos en los Documentos del Proceso</w:t>
      </w:r>
      <w:r w:rsidR="00BD0540">
        <w:rPr>
          <w:rFonts w:ascii="Arial" w:eastAsia="Calibri" w:hAnsi="Arial" w:cs="Arial"/>
          <w:color w:val="000000" w:themeColor="text1"/>
          <w:sz w:val="22"/>
        </w:rPr>
        <w:t xml:space="preserve"> […]»; adicionalmente, el numeral 2.4 prescribe que</w:t>
      </w:r>
      <w:r w:rsidR="00787FCE">
        <w:rPr>
          <w:rFonts w:ascii="Arial" w:eastAsia="Calibri" w:hAnsi="Arial" w:cs="Arial"/>
          <w:color w:val="000000" w:themeColor="text1"/>
          <w:sz w:val="22"/>
        </w:rPr>
        <w:t xml:space="preserve"> </w:t>
      </w:r>
      <w:r w:rsidR="00787FCE" w:rsidRPr="00787FCE">
        <w:rPr>
          <w:rFonts w:ascii="Arial" w:eastAsia="Calibri" w:hAnsi="Arial" w:cs="Arial"/>
          <w:color w:val="000000" w:themeColor="text1"/>
          <w:sz w:val="22"/>
        </w:rPr>
        <w:t>«</w:t>
      </w:r>
      <w:r w:rsidR="00787FCE">
        <w:rPr>
          <w:rFonts w:ascii="Arial" w:eastAsia="Calibri" w:hAnsi="Arial" w:cs="Arial"/>
          <w:color w:val="000000" w:themeColor="text1"/>
          <w:sz w:val="22"/>
        </w:rPr>
        <w:t>S</w:t>
      </w:r>
      <w:r w:rsidR="00787FCE" w:rsidRPr="00787FCE">
        <w:rPr>
          <w:rFonts w:ascii="Arial" w:eastAsia="Calibri" w:hAnsi="Arial" w:cs="Arial"/>
          <w:color w:val="000000" w:themeColor="text1"/>
          <w:sz w:val="22"/>
        </w:rPr>
        <w:t>e entenderán recibidas por la Entidad las ofertas que a la fecha y hora indicada en el cronograma del Proceso de Contratación se encuentren en el lugar destinado para su recepción»</w:t>
      </w:r>
      <w:r w:rsidR="00787FCE">
        <w:rPr>
          <w:rFonts w:ascii="Arial" w:eastAsia="Calibri" w:hAnsi="Arial" w:cs="Arial"/>
          <w:color w:val="000000" w:themeColor="text1"/>
          <w:sz w:val="22"/>
        </w:rPr>
        <w:t xml:space="preserve">. </w:t>
      </w:r>
      <w:r w:rsidR="00BD0540">
        <w:rPr>
          <w:rFonts w:ascii="Arial" w:eastAsia="Calibri" w:hAnsi="Arial" w:cs="Arial"/>
          <w:color w:val="000000" w:themeColor="text1"/>
          <w:sz w:val="22"/>
        </w:rPr>
        <w:t>Ambas disposiciones aplican</w:t>
      </w:r>
      <w:r w:rsidR="00787FCE" w:rsidRPr="00787FCE">
        <w:rPr>
          <w:rFonts w:ascii="Arial" w:eastAsia="Calibri" w:hAnsi="Arial" w:cs="Arial"/>
          <w:color w:val="000000" w:themeColor="text1"/>
          <w:sz w:val="22"/>
        </w:rPr>
        <w:t xml:space="preserve"> cuando la entidad </w:t>
      </w:r>
      <w:r w:rsidR="00787FCE">
        <w:rPr>
          <w:rFonts w:ascii="Arial" w:eastAsia="Calibri" w:hAnsi="Arial" w:cs="Arial"/>
          <w:color w:val="000000" w:themeColor="text1"/>
          <w:sz w:val="22"/>
        </w:rPr>
        <w:t xml:space="preserve">adelanta </w:t>
      </w:r>
      <w:r w:rsidR="00787FCE" w:rsidRPr="00787FCE">
        <w:rPr>
          <w:rFonts w:ascii="Arial" w:eastAsia="Calibri" w:hAnsi="Arial" w:cs="Arial"/>
          <w:color w:val="000000" w:themeColor="text1"/>
          <w:sz w:val="22"/>
        </w:rPr>
        <w:t>el proce</w:t>
      </w:r>
      <w:r w:rsidR="00787FCE">
        <w:rPr>
          <w:rFonts w:ascii="Arial" w:eastAsia="Calibri" w:hAnsi="Arial" w:cs="Arial"/>
          <w:color w:val="000000" w:themeColor="text1"/>
          <w:sz w:val="22"/>
        </w:rPr>
        <w:t>dimiento</w:t>
      </w:r>
      <w:r w:rsidR="00787FCE" w:rsidRPr="00787FCE">
        <w:rPr>
          <w:rFonts w:ascii="Arial" w:eastAsia="Calibri" w:hAnsi="Arial" w:cs="Arial"/>
          <w:color w:val="000000" w:themeColor="text1"/>
          <w:sz w:val="22"/>
        </w:rPr>
        <w:t xml:space="preserve"> de selección a través de la plataforma SECOP I</w:t>
      </w:r>
      <w:r w:rsidR="00787FCE">
        <w:rPr>
          <w:rFonts w:ascii="Arial" w:eastAsia="Calibri" w:hAnsi="Arial" w:cs="Arial"/>
          <w:color w:val="000000" w:themeColor="text1"/>
          <w:sz w:val="22"/>
        </w:rPr>
        <w:t xml:space="preserve">, razón por la cual la entidad no </w:t>
      </w:r>
      <w:r w:rsidR="00BD0540">
        <w:rPr>
          <w:rFonts w:ascii="Arial" w:eastAsia="Calibri" w:hAnsi="Arial" w:cs="Arial"/>
          <w:color w:val="000000" w:themeColor="text1"/>
          <w:sz w:val="22"/>
        </w:rPr>
        <w:t>puede disponer</w:t>
      </w:r>
      <w:r w:rsidR="00787FCE">
        <w:rPr>
          <w:rFonts w:ascii="Arial" w:eastAsia="Calibri" w:hAnsi="Arial" w:cs="Arial"/>
          <w:color w:val="000000" w:themeColor="text1"/>
          <w:sz w:val="22"/>
        </w:rPr>
        <w:t xml:space="preserve"> una modalidad de entrega diferente</w:t>
      </w:r>
      <w:r w:rsidR="00BD0540">
        <w:rPr>
          <w:rFonts w:ascii="Arial" w:eastAsia="Calibri" w:hAnsi="Arial" w:cs="Arial"/>
          <w:color w:val="000000" w:themeColor="text1"/>
          <w:sz w:val="22"/>
        </w:rPr>
        <w:t xml:space="preserve"> a la recepción física de las propuestas, ya que dicho apartado no está incluido en corchetes ni resaltado en gris. </w:t>
      </w:r>
      <w:bookmarkEnd w:id="8"/>
    </w:p>
    <w:p w14:paraId="78496BFE" w14:textId="090FFE63" w:rsidR="0057558E" w:rsidRDefault="00BD0540" w:rsidP="0057558E">
      <w:pPr>
        <w:spacing w:after="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 xml:space="preserve">Es decir, siempre que la entidad publique sus procesos de selección en el SECOP </w:t>
      </w:r>
      <w:r w:rsidR="00A40ABB">
        <w:rPr>
          <w:rFonts w:ascii="Arial" w:eastAsia="Calibri" w:hAnsi="Arial" w:cs="Arial"/>
          <w:color w:val="000000" w:themeColor="text1"/>
          <w:sz w:val="22"/>
        </w:rPr>
        <w:t>I</w:t>
      </w:r>
      <w:r>
        <w:rPr>
          <w:rFonts w:ascii="Arial" w:eastAsia="Calibri" w:hAnsi="Arial" w:cs="Arial"/>
          <w:color w:val="000000" w:themeColor="text1"/>
          <w:sz w:val="22"/>
        </w:rPr>
        <w:t xml:space="preserve">, las entidades deben recibir las ofertas en los términos de los numerales 2.3 y 2.4 del pliego tipo, sin posibilidad de modificar su contenido.  </w:t>
      </w:r>
      <w:r w:rsidR="0057558E">
        <w:rPr>
          <w:rFonts w:ascii="Arial" w:eastAsia="Calibri" w:hAnsi="Arial" w:cs="Arial"/>
          <w:color w:val="000000" w:themeColor="text1"/>
          <w:sz w:val="22"/>
        </w:rPr>
        <w:t>Lo anterior, en la medida que en esta modalidad de selección requiere la entrega de dos (2) sobres separados: el primero c</w:t>
      </w:r>
      <w:r w:rsidR="0057558E" w:rsidRPr="009E2A4A">
        <w:rPr>
          <w:rFonts w:ascii="Arial" w:eastAsia="Calibri" w:hAnsi="Arial" w:cs="Arial"/>
          <w:color w:val="000000" w:themeColor="text1"/>
          <w:sz w:val="22"/>
        </w:rPr>
        <w:t>ontiene</w:t>
      </w:r>
      <w:r w:rsidR="0057558E">
        <w:rPr>
          <w:rFonts w:ascii="Arial" w:eastAsia="Calibri" w:hAnsi="Arial" w:cs="Arial"/>
          <w:color w:val="000000" w:themeColor="text1"/>
          <w:sz w:val="22"/>
        </w:rPr>
        <w:t xml:space="preserve"> tanto</w:t>
      </w:r>
      <w:r w:rsidR="0057558E" w:rsidRPr="009E2A4A">
        <w:rPr>
          <w:rFonts w:ascii="Arial" w:eastAsia="Calibri" w:hAnsi="Arial" w:cs="Arial"/>
          <w:color w:val="000000" w:themeColor="text1"/>
          <w:sz w:val="22"/>
        </w:rPr>
        <w:t xml:space="preserve"> </w:t>
      </w:r>
      <w:r w:rsidR="0057558E">
        <w:rPr>
          <w:rFonts w:ascii="Arial" w:eastAsia="Calibri" w:hAnsi="Arial" w:cs="Arial"/>
          <w:color w:val="000000" w:themeColor="text1"/>
          <w:sz w:val="22"/>
        </w:rPr>
        <w:t xml:space="preserve">la </w:t>
      </w:r>
      <w:r w:rsidR="0057558E" w:rsidRPr="009E2A4A">
        <w:rPr>
          <w:rFonts w:ascii="Arial" w:eastAsia="Calibri" w:hAnsi="Arial" w:cs="Arial"/>
          <w:color w:val="000000" w:themeColor="text1"/>
          <w:sz w:val="22"/>
        </w:rPr>
        <w:t xml:space="preserve">información de los </w:t>
      </w:r>
      <w:r w:rsidR="0057558E">
        <w:rPr>
          <w:rFonts w:ascii="Arial" w:eastAsia="Calibri" w:hAnsi="Arial" w:cs="Arial"/>
          <w:color w:val="000000" w:themeColor="text1"/>
          <w:sz w:val="22"/>
        </w:rPr>
        <w:t>r</w:t>
      </w:r>
      <w:r w:rsidR="0057558E" w:rsidRPr="009E2A4A">
        <w:rPr>
          <w:rFonts w:ascii="Arial" w:eastAsia="Calibri" w:hAnsi="Arial" w:cs="Arial"/>
          <w:color w:val="000000" w:themeColor="text1"/>
          <w:sz w:val="22"/>
        </w:rPr>
        <w:t xml:space="preserve">equisitos </w:t>
      </w:r>
      <w:r w:rsidR="0057558E">
        <w:rPr>
          <w:rFonts w:ascii="Arial" w:eastAsia="Calibri" w:hAnsi="Arial" w:cs="Arial"/>
          <w:color w:val="000000" w:themeColor="text1"/>
          <w:sz w:val="22"/>
        </w:rPr>
        <w:t>h</w:t>
      </w:r>
      <w:r w:rsidR="0057558E" w:rsidRPr="009E2A4A">
        <w:rPr>
          <w:rFonts w:ascii="Arial" w:eastAsia="Calibri" w:hAnsi="Arial" w:cs="Arial"/>
          <w:color w:val="000000" w:themeColor="text1"/>
          <w:sz w:val="22"/>
        </w:rPr>
        <w:t xml:space="preserve">abilitantes </w:t>
      </w:r>
      <w:r w:rsidR="0057558E">
        <w:rPr>
          <w:rFonts w:ascii="Arial" w:eastAsia="Calibri" w:hAnsi="Arial" w:cs="Arial"/>
          <w:color w:val="000000" w:themeColor="text1"/>
          <w:sz w:val="22"/>
        </w:rPr>
        <w:t>como</w:t>
      </w:r>
      <w:r w:rsidR="0057558E" w:rsidRPr="009E2A4A">
        <w:rPr>
          <w:rFonts w:ascii="Arial" w:eastAsia="Calibri" w:hAnsi="Arial" w:cs="Arial"/>
          <w:color w:val="000000" w:themeColor="text1"/>
          <w:sz w:val="22"/>
        </w:rPr>
        <w:t xml:space="preserve"> los documentos a los que se les asigne puntaje</w:t>
      </w:r>
      <w:r w:rsidR="0057558E">
        <w:rPr>
          <w:rFonts w:ascii="Arial" w:eastAsia="Calibri" w:hAnsi="Arial" w:cs="Arial"/>
          <w:color w:val="000000" w:themeColor="text1"/>
          <w:sz w:val="22"/>
        </w:rPr>
        <w:t>s</w:t>
      </w:r>
      <w:r w:rsidR="0057558E" w:rsidRPr="009E2A4A">
        <w:rPr>
          <w:rFonts w:ascii="Arial" w:eastAsia="Calibri" w:hAnsi="Arial" w:cs="Arial"/>
          <w:color w:val="000000" w:themeColor="text1"/>
          <w:sz w:val="22"/>
        </w:rPr>
        <w:t xml:space="preserve"> diferentes a la oferta económica</w:t>
      </w:r>
      <w:r w:rsidR="0057558E">
        <w:rPr>
          <w:rFonts w:ascii="Arial" w:eastAsia="Calibri" w:hAnsi="Arial" w:cs="Arial"/>
          <w:color w:val="000000" w:themeColor="text1"/>
          <w:sz w:val="22"/>
        </w:rPr>
        <w:t>, mientras el segundo se refiere únicamente la propuesta económica. Para estos efectos, el numeral 2.4 dispone lo siguiente:</w:t>
      </w:r>
    </w:p>
    <w:p w14:paraId="33C0E9C8" w14:textId="77777777" w:rsidR="0057558E" w:rsidRDefault="0057558E" w:rsidP="0057558E">
      <w:pPr>
        <w:spacing w:line="276" w:lineRule="auto"/>
        <w:ind w:firstLine="708"/>
        <w:jc w:val="both"/>
        <w:rPr>
          <w:rFonts w:ascii="Arial" w:eastAsia="Calibri" w:hAnsi="Arial" w:cs="Arial"/>
          <w:color w:val="000000" w:themeColor="text1"/>
          <w:sz w:val="22"/>
        </w:rPr>
      </w:pPr>
    </w:p>
    <w:p w14:paraId="0AD576E6" w14:textId="77777777" w:rsidR="0057558E" w:rsidRPr="00747279" w:rsidRDefault="0057558E" w:rsidP="0057558E">
      <w:pPr>
        <w:ind w:left="709" w:right="709"/>
        <w:jc w:val="both"/>
        <w:rPr>
          <w:rFonts w:ascii="Arial" w:eastAsia="Calibri" w:hAnsi="Arial" w:cs="Arial"/>
          <w:color w:val="000000" w:themeColor="text1"/>
          <w:sz w:val="21"/>
          <w:szCs w:val="21"/>
        </w:rPr>
      </w:pPr>
      <w:r w:rsidRPr="00747279">
        <w:rPr>
          <w:rFonts w:ascii="Arial" w:eastAsia="Calibri" w:hAnsi="Arial" w:cs="Arial"/>
          <w:color w:val="000000" w:themeColor="text1"/>
          <w:sz w:val="21"/>
          <w:szCs w:val="21"/>
        </w:rPr>
        <w:t>[…]</w:t>
      </w:r>
    </w:p>
    <w:p w14:paraId="3A3F15D8" w14:textId="77777777" w:rsidR="0057558E" w:rsidRPr="00747279" w:rsidRDefault="0057558E" w:rsidP="0057558E">
      <w:pPr>
        <w:spacing w:after="120"/>
        <w:ind w:left="709" w:right="709"/>
        <w:jc w:val="both"/>
        <w:rPr>
          <w:rFonts w:ascii="Arial" w:eastAsia="Calibri" w:hAnsi="Arial" w:cs="Arial"/>
          <w:color w:val="000000" w:themeColor="text1"/>
          <w:sz w:val="21"/>
          <w:szCs w:val="21"/>
        </w:rPr>
      </w:pPr>
      <w:r w:rsidRPr="00747279">
        <w:rPr>
          <w:rFonts w:ascii="Arial" w:eastAsia="Calibri" w:hAnsi="Arial" w:cs="Arial"/>
          <w:color w:val="000000" w:themeColor="text1"/>
          <w:sz w:val="21"/>
          <w:szCs w:val="21"/>
        </w:rPr>
        <w:t xml:space="preserve">En el lugar y fecha señalada, en un acto público se realizará la apertura del Sobre No. 1 de todas las ofertas y tendrá la responsabilidad de hacerlo la </w:t>
      </w:r>
      <w:r w:rsidRPr="00747279">
        <w:rPr>
          <w:rFonts w:ascii="Arial" w:eastAsia="Calibri" w:hAnsi="Arial" w:cs="Arial"/>
          <w:color w:val="000000" w:themeColor="text1"/>
          <w:sz w:val="21"/>
          <w:szCs w:val="21"/>
          <w:highlight w:val="lightGray"/>
        </w:rPr>
        <w:t>[Dependencia de la Entidad encargada de abrir el sobre]</w:t>
      </w:r>
      <w:r w:rsidRPr="00747279">
        <w:rPr>
          <w:rFonts w:ascii="Arial" w:eastAsia="Calibri" w:hAnsi="Arial" w:cs="Arial"/>
          <w:color w:val="000000" w:themeColor="text1"/>
          <w:sz w:val="21"/>
          <w:szCs w:val="21"/>
        </w:rPr>
        <w:t>. Una vez realizada la apertura, las propuestas son públicas y cualquier persona podrá consultarlas en el sitio o pedir copias, de conformidad con lo establecido en la Ley 1437 de 2011 y respetando la reserva de que gocen legalmente las patentes, procedimientos y privilegios.</w:t>
      </w:r>
    </w:p>
    <w:p w14:paraId="2135D377" w14:textId="77777777" w:rsidR="0057558E" w:rsidRPr="00747279" w:rsidRDefault="0057558E" w:rsidP="0057558E">
      <w:pPr>
        <w:spacing w:after="120"/>
        <w:ind w:left="709" w:right="709"/>
        <w:jc w:val="both"/>
        <w:rPr>
          <w:rFonts w:ascii="Arial" w:eastAsia="Calibri" w:hAnsi="Arial" w:cs="Arial"/>
          <w:color w:val="000000" w:themeColor="text1"/>
          <w:sz w:val="21"/>
          <w:szCs w:val="21"/>
        </w:rPr>
      </w:pPr>
      <w:r w:rsidRPr="00747279">
        <w:rPr>
          <w:rFonts w:ascii="Arial" w:eastAsia="Calibri" w:hAnsi="Arial" w:cs="Arial"/>
          <w:color w:val="000000" w:themeColor="text1"/>
          <w:sz w:val="21"/>
          <w:szCs w:val="21"/>
        </w:rPr>
        <w:t xml:space="preserve">De lo anterior, se levantará un acta que solo será suscrita por los funcionarios o contratistas de la Entidad que intervengan en la diligencia de cierre, en la cual se relacionará como información del Sobre 1 de cada oferta, el nombre de los Proponentes, si la carta de presentación fue incluida y está firmada; el número de la garantía de seriedad de la oferta que la acompaña; el número de folios y las observaciones correspondientes, así como los demás aspectos relevantes que considere la Entidad. </w:t>
      </w:r>
    </w:p>
    <w:p w14:paraId="28FE4776" w14:textId="77777777" w:rsidR="0057558E" w:rsidRPr="00747279" w:rsidRDefault="0057558E" w:rsidP="0057558E">
      <w:pPr>
        <w:ind w:left="709" w:right="709"/>
        <w:jc w:val="both"/>
        <w:rPr>
          <w:rFonts w:ascii="Arial" w:eastAsia="Calibri" w:hAnsi="Arial" w:cs="Arial"/>
          <w:color w:val="000000" w:themeColor="text1"/>
          <w:sz w:val="21"/>
          <w:szCs w:val="21"/>
        </w:rPr>
      </w:pPr>
      <w:r w:rsidRPr="00747279">
        <w:rPr>
          <w:rFonts w:ascii="Arial" w:eastAsia="Calibri" w:hAnsi="Arial" w:cs="Arial"/>
          <w:color w:val="000000" w:themeColor="text1"/>
          <w:sz w:val="21"/>
          <w:szCs w:val="21"/>
        </w:rPr>
        <w:lastRenderedPageBreak/>
        <w:t>Un funcionario o contratista de la Entidad verificará que el Sobre No. 2 de cada oferta esté sellado y requerirá a los asistentes a la diligencia de cierre para que firmen cada uno de ellos. Para generar confianza, al momento del cierre la Entidad guardará en un sobre todos los sobres económicos, y éste lo firmarán quienes asistan al cierre, o los custodiará en una bolsa de seguridad, con el fin de que, al momento de su apertura en la audiencia efectiva de adjudicación se pueda verificar que los mismos no fueron alterados, cambiados o abiertos. La Entidad custodiará en un lugar idóneo este sobre o la bolsa de seguridad para garantizar su seguridad.</w:t>
      </w:r>
    </w:p>
    <w:p w14:paraId="3E083B6E" w14:textId="77777777" w:rsidR="0057558E" w:rsidRDefault="0057558E" w:rsidP="0057558E">
      <w:pPr>
        <w:ind w:left="709" w:right="709"/>
        <w:jc w:val="both"/>
        <w:rPr>
          <w:rFonts w:ascii="Arial" w:eastAsia="Calibri" w:hAnsi="Arial" w:cs="Arial"/>
          <w:color w:val="000000" w:themeColor="text1"/>
          <w:sz w:val="22"/>
        </w:rPr>
      </w:pPr>
      <w:r w:rsidRPr="00747279">
        <w:rPr>
          <w:rFonts w:ascii="Arial" w:eastAsia="Calibri" w:hAnsi="Arial" w:cs="Arial"/>
          <w:color w:val="000000" w:themeColor="text1"/>
          <w:sz w:val="21"/>
          <w:szCs w:val="21"/>
        </w:rPr>
        <w:t>[…]</w:t>
      </w:r>
    </w:p>
    <w:p w14:paraId="5CDCC253" w14:textId="77777777" w:rsidR="0057558E" w:rsidRDefault="0057558E" w:rsidP="0057558E">
      <w:pPr>
        <w:spacing w:line="276" w:lineRule="auto"/>
        <w:jc w:val="both"/>
        <w:rPr>
          <w:rFonts w:ascii="Arial" w:eastAsia="Calibri" w:hAnsi="Arial" w:cs="Arial"/>
          <w:color w:val="000000" w:themeColor="text1"/>
          <w:sz w:val="22"/>
        </w:rPr>
      </w:pPr>
    </w:p>
    <w:p w14:paraId="5CB2BD4C" w14:textId="772D235E" w:rsidR="007E5B53" w:rsidRPr="0057558E" w:rsidRDefault="0057558E" w:rsidP="0057558E">
      <w:pPr>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tab/>
        <w:t xml:space="preserve">En consecuencia, el pliego descarta a la posibilidad de recibir las propuestas por medios diferentes a la entrega física, ya que si se realiza electrónicamente, no podría </w:t>
      </w:r>
      <w:bookmarkStart w:id="10" w:name="_Hlk41320784"/>
      <w:r>
        <w:rPr>
          <w:rFonts w:ascii="Arial" w:eastAsia="Calibri" w:hAnsi="Arial" w:cs="Arial"/>
          <w:color w:val="000000" w:themeColor="text1"/>
          <w:sz w:val="22"/>
        </w:rPr>
        <w:t>garantizarse la reserva y la custodia del sobre dos</w:t>
      </w:r>
      <w:bookmarkEnd w:id="10"/>
      <w:r>
        <w:rPr>
          <w:rFonts w:ascii="Arial" w:eastAsia="Calibri" w:hAnsi="Arial" w:cs="Arial"/>
          <w:color w:val="000000" w:themeColor="text1"/>
          <w:sz w:val="22"/>
        </w:rPr>
        <w:t xml:space="preserve"> en la bolsa de seguridad, cuya apertura solo es posible en la audiencia de adjudicación. </w:t>
      </w:r>
      <w:r w:rsidR="00E86720" w:rsidRPr="00E86720">
        <w:rPr>
          <w:rFonts w:ascii="Arial" w:eastAsia="Calibri" w:hAnsi="Arial" w:cs="Arial"/>
          <w:sz w:val="22"/>
          <w:szCs w:val="24"/>
          <w:lang w:val="es-ES_tradnl" w:eastAsia="es-ES_tradnl"/>
        </w:rPr>
        <w:t xml:space="preserve">A partir de una </w:t>
      </w:r>
      <w:r w:rsidR="00E86720" w:rsidRPr="00E86720">
        <w:rPr>
          <w:rFonts w:ascii="Arial" w:eastAsia="Calibri" w:hAnsi="Arial" w:cs="Arial"/>
          <w:i/>
          <w:sz w:val="22"/>
          <w:szCs w:val="24"/>
          <w:lang w:val="es-ES_tradnl" w:eastAsia="es-ES_tradnl"/>
        </w:rPr>
        <w:t>interpretación estricta</w:t>
      </w:r>
      <w:r w:rsidR="00E86720" w:rsidRPr="00E86720">
        <w:rPr>
          <w:rFonts w:ascii="Arial" w:eastAsia="Calibri" w:hAnsi="Arial" w:cs="Arial"/>
          <w:sz w:val="22"/>
          <w:szCs w:val="24"/>
          <w:lang w:val="es-ES_tradnl" w:eastAsia="es-ES_tradnl"/>
        </w:rPr>
        <w:t>, el pliego no estableció expresamente la posibilidad de recibir las ofertas por medio</w:t>
      </w:r>
      <w:r w:rsidR="005A4024">
        <w:rPr>
          <w:rFonts w:ascii="Arial" w:eastAsia="Calibri" w:hAnsi="Arial" w:cs="Arial"/>
          <w:sz w:val="22"/>
          <w:szCs w:val="24"/>
          <w:lang w:val="es-ES_tradnl" w:eastAsia="es-ES_tradnl"/>
        </w:rPr>
        <w:t>s</w:t>
      </w:r>
      <w:r w:rsidR="00E86720" w:rsidRPr="00E86720">
        <w:rPr>
          <w:rFonts w:ascii="Arial" w:eastAsia="Calibri" w:hAnsi="Arial" w:cs="Arial"/>
          <w:sz w:val="22"/>
          <w:szCs w:val="24"/>
          <w:lang w:val="es-ES_tradnl" w:eastAsia="es-ES_tradnl"/>
        </w:rPr>
        <w:t xml:space="preserve"> electrónico</w:t>
      </w:r>
      <w:r w:rsidR="005A4024">
        <w:rPr>
          <w:rFonts w:ascii="Arial" w:eastAsia="Calibri" w:hAnsi="Arial" w:cs="Arial"/>
          <w:sz w:val="22"/>
          <w:szCs w:val="24"/>
          <w:lang w:val="es-ES_tradnl" w:eastAsia="es-ES_tradnl"/>
        </w:rPr>
        <w:t>s</w:t>
      </w:r>
      <w:r w:rsidR="00E86720" w:rsidRPr="00E86720">
        <w:rPr>
          <w:rFonts w:ascii="Arial" w:eastAsia="Calibri" w:hAnsi="Arial" w:cs="Arial"/>
          <w:sz w:val="22"/>
          <w:szCs w:val="24"/>
          <w:lang w:val="es-ES_tradnl" w:eastAsia="es-ES_tradnl"/>
        </w:rPr>
        <w:t xml:space="preserve">, razón por la cual deben enviarse físicamente a la entidad. Esta precisión sería importante para quienes realizan la publicidad del proceso de selección a través del SECOP I, ya que el mismo numeral 2.3 del pliego señala que «Para las Entidades que utilicen SECOP II la presentación de la oferta deberá adaptarse a las condiciones de la plataforma y no será posible presentar documentos en físico». De esta manera, conforme al numeral 1.3 del pliego, la utilización de estos medios se restringiría únicamente a la realización de observaciones al proceso de selección. </w:t>
      </w:r>
    </w:p>
    <w:p w14:paraId="37DE58FC" w14:textId="1391EC4B" w:rsidR="00001E46" w:rsidRDefault="00001E46" w:rsidP="00001E46">
      <w:pPr>
        <w:spacing w:line="276" w:lineRule="auto"/>
        <w:ind w:firstLine="708"/>
        <w:jc w:val="both"/>
        <w:rPr>
          <w:rFonts w:ascii="Arial" w:eastAsia="Calibri" w:hAnsi="Arial" w:cs="Arial"/>
          <w:color w:val="000000" w:themeColor="text1"/>
          <w:sz w:val="22"/>
        </w:rPr>
      </w:pPr>
      <w:r w:rsidRPr="00001E46">
        <w:rPr>
          <w:rFonts w:ascii="Arial" w:eastAsia="Calibri" w:hAnsi="Arial" w:cs="Arial"/>
          <w:color w:val="000000" w:themeColor="text1"/>
          <w:sz w:val="22"/>
        </w:rPr>
        <w:t xml:space="preserve">En virtud de </w:t>
      </w:r>
      <w:r w:rsidR="00A40ABB">
        <w:rPr>
          <w:rFonts w:ascii="Arial" w:eastAsia="Calibri" w:hAnsi="Arial" w:cs="Arial"/>
          <w:color w:val="000000" w:themeColor="text1"/>
          <w:sz w:val="22"/>
        </w:rPr>
        <w:t xml:space="preserve">lo </w:t>
      </w:r>
      <w:r w:rsidRPr="00001E46">
        <w:rPr>
          <w:rFonts w:ascii="Arial" w:eastAsia="Calibri" w:hAnsi="Arial" w:cs="Arial"/>
          <w:color w:val="000000" w:themeColor="text1"/>
          <w:sz w:val="22"/>
        </w:rPr>
        <w:t xml:space="preserve">señalado en el presente </w:t>
      </w:r>
      <w:r>
        <w:rPr>
          <w:rFonts w:ascii="Arial" w:eastAsia="Calibri" w:hAnsi="Arial" w:cs="Arial"/>
          <w:color w:val="000000" w:themeColor="text1"/>
          <w:sz w:val="22"/>
        </w:rPr>
        <w:t>considerando</w:t>
      </w:r>
      <w:r w:rsidRPr="00001E46">
        <w:rPr>
          <w:rFonts w:ascii="Arial" w:eastAsia="Calibri" w:hAnsi="Arial" w:cs="Arial"/>
          <w:color w:val="000000" w:themeColor="text1"/>
          <w:sz w:val="22"/>
        </w:rPr>
        <w:t xml:space="preserve"> y ante la inalterabilidad de los documentos tipo</w:t>
      </w:r>
      <w:r>
        <w:rPr>
          <w:rFonts w:ascii="Arial" w:eastAsia="Calibri" w:hAnsi="Arial" w:cs="Arial"/>
          <w:color w:val="000000" w:themeColor="text1"/>
          <w:sz w:val="22"/>
        </w:rPr>
        <w:t xml:space="preserve"> en lo que se refiere a la recepción de las ofertas</w:t>
      </w:r>
      <w:r w:rsidRPr="00001E46">
        <w:rPr>
          <w:rFonts w:ascii="Arial" w:eastAsia="Calibri" w:hAnsi="Arial" w:cs="Arial"/>
          <w:color w:val="000000" w:themeColor="text1"/>
          <w:sz w:val="22"/>
        </w:rPr>
        <w:t>, es oportuno analizar la normatividad expedida con ocasión de la pandemia originada por el coronavirus COVID-19 en materia de contratación estatal, con el objetivo de determinar las posibilidades con que cuentan las entidades frente al aislamiento preventivo obligatorio decretado por el Gobierno Nacional.</w:t>
      </w:r>
    </w:p>
    <w:p w14:paraId="641127A2" w14:textId="15BABC81" w:rsidR="00F722BD" w:rsidRDefault="00001E46" w:rsidP="00001E46">
      <w:pPr>
        <w:spacing w:line="276" w:lineRule="auto"/>
        <w:jc w:val="both"/>
        <w:rPr>
          <w:rFonts w:ascii="Arial" w:eastAsia="Calibri" w:hAnsi="Arial" w:cs="Arial"/>
          <w:b/>
          <w:bCs/>
          <w:color w:val="000000" w:themeColor="text1"/>
          <w:sz w:val="22"/>
        </w:rPr>
      </w:pPr>
      <w:r w:rsidRPr="00001E46">
        <w:rPr>
          <w:rFonts w:ascii="Arial" w:eastAsia="Calibri" w:hAnsi="Arial" w:cs="Arial"/>
          <w:color w:val="000000" w:themeColor="text1"/>
          <w:sz w:val="22"/>
        </w:rPr>
        <w:t xml:space="preserve"> </w:t>
      </w:r>
    </w:p>
    <w:p w14:paraId="26F2AEA0" w14:textId="5E52A693" w:rsidR="00D14C1E" w:rsidRDefault="00D14C1E" w:rsidP="00217339">
      <w:pPr>
        <w:spacing w:line="276" w:lineRule="auto"/>
        <w:jc w:val="both"/>
        <w:rPr>
          <w:rFonts w:ascii="Arial" w:eastAsia="Calibri" w:hAnsi="Arial" w:cs="Arial"/>
          <w:b/>
          <w:bCs/>
          <w:color w:val="000000" w:themeColor="text1"/>
          <w:sz w:val="22"/>
        </w:rPr>
      </w:pPr>
      <w:r w:rsidRPr="00D14C1E">
        <w:rPr>
          <w:rFonts w:ascii="Arial" w:eastAsia="Calibri" w:hAnsi="Arial" w:cs="Arial"/>
          <w:b/>
          <w:bCs/>
          <w:color w:val="000000" w:themeColor="text1"/>
          <w:sz w:val="22"/>
        </w:rPr>
        <w:t>2.3.</w:t>
      </w:r>
      <w:r w:rsidR="00454C85">
        <w:rPr>
          <w:rFonts w:ascii="Arial" w:eastAsia="Calibri" w:hAnsi="Arial" w:cs="Arial"/>
          <w:b/>
          <w:bCs/>
          <w:color w:val="000000" w:themeColor="text1"/>
          <w:sz w:val="22"/>
        </w:rPr>
        <w:t xml:space="preserve"> </w:t>
      </w:r>
      <w:bookmarkStart w:id="11" w:name="_Hlk41321691"/>
      <w:r w:rsidR="00454C85">
        <w:rPr>
          <w:rFonts w:ascii="Arial" w:eastAsia="Calibri" w:hAnsi="Arial" w:cs="Arial"/>
          <w:b/>
          <w:bCs/>
          <w:color w:val="000000" w:themeColor="text1"/>
          <w:sz w:val="22"/>
        </w:rPr>
        <w:t>Medidas contractuales en el marco de la emergencia sanitaria</w:t>
      </w:r>
      <w:bookmarkEnd w:id="11"/>
      <w:r w:rsidR="00454C85">
        <w:rPr>
          <w:rFonts w:ascii="Arial" w:eastAsia="Calibri" w:hAnsi="Arial" w:cs="Arial"/>
          <w:b/>
          <w:bCs/>
          <w:color w:val="000000" w:themeColor="text1"/>
          <w:sz w:val="22"/>
        </w:rPr>
        <w:t>: Decreto Legislativo 537 de 2020</w:t>
      </w:r>
    </w:p>
    <w:p w14:paraId="6839D44E" w14:textId="77777777" w:rsidR="00454C85" w:rsidRPr="00D14C1E" w:rsidRDefault="00454C85" w:rsidP="00217339">
      <w:pPr>
        <w:spacing w:line="276" w:lineRule="auto"/>
        <w:jc w:val="both"/>
        <w:rPr>
          <w:rFonts w:ascii="Arial" w:eastAsia="Calibri" w:hAnsi="Arial" w:cs="Arial"/>
          <w:b/>
          <w:bCs/>
          <w:color w:val="000000" w:themeColor="text1"/>
          <w:sz w:val="22"/>
        </w:rPr>
      </w:pPr>
    </w:p>
    <w:p w14:paraId="58091094" w14:textId="078E555A" w:rsidR="00454C85" w:rsidRPr="00454C85" w:rsidRDefault="00454C85" w:rsidP="00454C85">
      <w:pPr>
        <w:spacing w:after="120" w:line="276" w:lineRule="auto"/>
        <w:jc w:val="both"/>
        <w:rPr>
          <w:rFonts w:ascii="Arial" w:eastAsia="Calibri" w:hAnsi="Arial" w:cs="Arial"/>
          <w:bCs/>
          <w:color w:val="000000" w:themeColor="text1"/>
          <w:sz w:val="22"/>
          <w:lang w:val="es-CO"/>
        </w:rPr>
      </w:pPr>
      <w:r w:rsidRPr="004A7E1B">
        <w:rPr>
          <w:rFonts w:ascii="Arial" w:eastAsia="Calibri" w:hAnsi="Arial" w:cs="Arial"/>
          <w:bCs/>
          <w:color w:val="000000" w:themeColor="text1"/>
          <w:sz w:val="22"/>
          <w:lang w:val="es-CO"/>
        </w:rPr>
        <w:t>A raíz de</w:t>
      </w:r>
      <w:r w:rsidRPr="004A7E1B">
        <w:rPr>
          <w:rFonts w:ascii="Arial" w:eastAsia="Calibri" w:hAnsi="Arial" w:cs="Arial"/>
          <w:bCs/>
          <w:sz w:val="22"/>
          <w:lang w:val="es-CO"/>
        </w:rPr>
        <w:t xml:space="preserve"> la declaración de pandemia del COVID-19, el Ministerio de Salud y Protección Social, mediante Resolución 385 del 12 de marzo de 2020, declaró el estado de emergencia sanitaria por causa del nuevo coronavirus y estableció varias disposiciones destinadas a la prevención y contención del riesgo epidemiológico asociado </w:t>
      </w:r>
      <w:r>
        <w:rPr>
          <w:rFonts w:ascii="Arial" w:eastAsia="Calibri" w:hAnsi="Arial" w:cs="Arial"/>
          <w:bCs/>
          <w:color w:val="000000" w:themeColor="text1"/>
          <w:sz w:val="22"/>
          <w:lang w:val="es-CO"/>
        </w:rPr>
        <w:t>a él</w:t>
      </w:r>
      <w:r w:rsidRPr="004A7E1B">
        <w:rPr>
          <w:rFonts w:ascii="Arial" w:eastAsia="Calibri" w:hAnsi="Arial" w:cs="Arial"/>
          <w:bCs/>
          <w:color w:val="000000" w:themeColor="text1"/>
          <w:sz w:val="22"/>
          <w:lang w:val="es-CO"/>
        </w:rPr>
        <w:t>. En</w:t>
      </w:r>
      <w:r w:rsidRPr="004A7E1B">
        <w:rPr>
          <w:rFonts w:ascii="Arial" w:eastAsia="Calibri" w:hAnsi="Arial" w:cs="Arial"/>
          <w:bCs/>
          <w:sz w:val="22"/>
          <w:lang w:val="es-CO"/>
        </w:rPr>
        <w:t xml:space="preserve"> virtud de lo anterior, mediante Decreto 417 del 17 de marzo de 2020, se declaró por el término de treinta (30) días el Estado de Emergencia Económica, Social y Ecológica en todo el territorio Nacional, con lo cual, el Presidente de la República con la firma de todos los ministros quedó </w:t>
      </w:r>
      <w:r w:rsidRPr="004A7E1B">
        <w:rPr>
          <w:rFonts w:ascii="Arial" w:eastAsia="Calibri" w:hAnsi="Arial" w:cs="Arial"/>
          <w:bCs/>
          <w:sz w:val="22"/>
          <w:lang w:val="es-CO"/>
        </w:rPr>
        <w:lastRenderedPageBreak/>
        <w:t xml:space="preserve">autorizado para dictar decretos con fuerza de ley destinados exclusivamente a conjurar la crisis y a impedir la extensión de sus efectos. </w:t>
      </w:r>
    </w:p>
    <w:p w14:paraId="6ECDDAD3" w14:textId="19B2CCD4" w:rsidR="00454C85" w:rsidRPr="004A7E1B" w:rsidRDefault="00454C85" w:rsidP="00454C85">
      <w:pPr>
        <w:spacing w:before="120" w:after="120" w:line="276" w:lineRule="auto"/>
        <w:ind w:firstLine="709"/>
        <w:jc w:val="both"/>
        <w:rPr>
          <w:rFonts w:ascii="Arial" w:eastAsia="Calibri" w:hAnsi="Arial" w:cs="Arial"/>
          <w:bCs/>
          <w:color w:val="000000" w:themeColor="text1"/>
          <w:sz w:val="22"/>
          <w:lang w:val="es-CO"/>
        </w:rPr>
      </w:pPr>
      <w:r w:rsidRPr="004A7E1B">
        <w:rPr>
          <w:rFonts w:ascii="Arial" w:eastAsia="Calibri" w:hAnsi="Arial" w:cs="Arial"/>
          <w:bCs/>
          <w:color w:val="000000" w:themeColor="text1"/>
          <w:sz w:val="22"/>
          <w:lang w:val="es-CO"/>
        </w:rPr>
        <w:t xml:space="preserve">Mediante </w:t>
      </w:r>
      <w:r w:rsidR="00A40ABB">
        <w:rPr>
          <w:rFonts w:ascii="Arial" w:eastAsia="Calibri" w:hAnsi="Arial" w:cs="Arial"/>
          <w:bCs/>
          <w:color w:val="000000" w:themeColor="text1"/>
          <w:sz w:val="22"/>
          <w:lang w:val="es-CO"/>
        </w:rPr>
        <w:t xml:space="preserve">el </w:t>
      </w:r>
      <w:r w:rsidRPr="004A7E1B">
        <w:rPr>
          <w:rFonts w:ascii="Arial" w:eastAsia="Calibri" w:hAnsi="Arial" w:cs="Arial"/>
          <w:bCs/>
          <w:sz w:val="22"/>
          <w:lang w:val="es-CO"/>
        </w:rPr>
        <w:t>Decreto 440 del 20 de marzo de 2020, se tomaron medidas en materia de contratación estatal, con la finalidad de prevenir la propagación de la pandemia mediante el distanciamiento social, acudiendo a la realización de audiencias públicas electrónicas o virtuales, fortaleciendo el uso de herramientas electrónicas, de manera que se evite el contacto entre los participantes en los procesos de contratación</w:t>
      </w:r>
      <w:r w:rsidR="00A40ABB">
        <w:rPr>
          <w:rFonts w:ascii="Arial" w:eastAsia="Calibri" w:hAnsi="Arial" w:cs="Arial"/>
          <w:bCs/>
          <w:sz w:val="22"/>
          <w:lang w:val="es-CO"/>
        </w:rPr>
        <w:t xml:space="preserve"> y</w:t>
      </w:r>
      <w:r w:rsidRPr="004A7E1B">
        <w:rPr>
          <w:rFonts w:ascii="Arial" w:eastAsia="Calibri" w:hAnsi="Arial" w:cs="Arial"/>
          <w:bCs/>
          <w:sz w:val="22"/>
          <w:lang w:val="es-CO"/>
        </w:rPr>
        <w:t xml:space="preserve"> en las actuaciones contractuales sancionatorias, siempre y cuando se respete el derecho al debido proceso y el contratista pueda ejercer su derecho de defensa. Adicionalmente</w:t>
      </w:r>
      <w:r w:rsidR="00A40ABB">
        <w:rPr>
          <w:rFonts w:ascii="Arial" w:eastAsia="Calibri" w:hAnsi="Arial" w:cs="Arial"/>
          <w:bCs/>
          <w:sz w:val="22"/>
          <w:lang w:val="es-CO"/>
        </w:rPr>
        <w:t>,</w:t>
      </w:r>
      <w:r w:rsidRPr="004A7E1B">
        <w:rPr>
          <w:rFonts w:ascii="Arial" w:eastAsia="Calibri" w:hAnsi="Arial" w:cs="Arial"/>
          <w:bCs/>
          <w:sz w:val="22"/>
          <w:lang w:val="es-CO"/>
        </w:rPr>
        <w:t xml:space="preserve"> se permitió a las autoridades administrativas y a la Agencia </w:t>
      </w:r>
      <w:r w:rsidR="00A40ABB">
        <w:rPr>
          <w:rFonts w:ascii="Arial" w:eastAsia="Calibri" w:hAnsi="Arial" w:cs="Arial"/>
          <w:bCs/>
          <w:sz w:val="22"/>
          <w:lang w:val="es-CO"/>
        </w:rPr>
        <w:t xml:space="preserve">Nacional </w:t>
      </w:r>
      <w:r w:rsidRPr="004A7E1B">
        <w:rPr>
          <w:rFonts w:ascii="Arial" w:eastAsia="Calibri" w:hAnsi="Arial" w:cs="Arial"/>
          <w:bCs/>
          <w:sz w:val="22"/>
          <w:lang w:val="es-CO"/>
        </w:rPr>
        <w:t xml:space="preserve">de Contratación Pública – Colombia Compra Eficiente, a través de los instrumentos jurídicos idóneos, adelantar los procedimientos de contratación de forma ágil y expedita encaminados a conjurar la crisis por el coronavirus COVID-19; inclusive, la autorización de adicionar de forma ilimitada los contratos que </w:t>
      </w:r>
      <w:r w:rsidRPr="004A7E1B">
        <w:rPr>
          <w:rFonts w:ascii="Arial" w:eastAsia="Calibri" w:hAnsi="Arial" w:cs="Arial"/>
          <w:bCs/>
          <w:color w:val="000000" w:themeColor="text1"/>
          <w:sz w:val="22"/>
          <w:lang w:val="es-CO"/>
        </w:rPr>
        <w:t xml:space="preserve">contribuyan a atender la pandemia. </w:t>
      </w:r>
    </w:p>
    <w:p w14:paraId="6A50C16B" w14:textId="15C29656" w:rsidR="00454C85" w:rsidRPr="004A7E1B" w:rsidRDefault="00454C85" w:rsidP="00454C85">
      <w:pPr>
        <w:spacing w:before="120" w:after="120" w:line="276" w:lineRule="auto"/>
        <w:ind w:firstLine="709"/>
        <w:jc w:val="both"/>
        <w:rPr>
          <w:rFonts w:ascii="Arial" w:eastAsia="Calibri" w:hAnsi="Arial" w:cs="Arial"/>
          <w:bCs/>
          <w:sz w:val="22"/>
          <w:lang w:val="es-CO"/>
        </w:rPr>
      </w:pPr>
      <w:r w:rsidRPr="004A7E1B">
        <w:rPr>
          <w:rFonts w:ascii="Arial" w:eastAsia="Calibri" w:hAnsi="Arial" w:cs="Arial"/>
          <w:bCs/>
          <w:color w:val="000000" w:themeColor="text1"/>
          <w:sz w:val="22"/>
          <w:lang w:val="es-CO"/>
        </w:rPr>
        <w:t>A través</w:t>
      </w:r>
      <w:r w:rsidRPr="004A7E1B">
        <w:rPr>
          <w:rFonts w:ascii="Arial" w:eastAsia="Calibri" w:hAnsi="Arial" w:cs="Arial"/>
          <w:bCs/>
          <w:sz w:val="22"/>
          <w:lang w:val="es-CO"/>
        </w:rPr>
        <w:t xml:space="preserve"> del Decreto 531 del 8 de abril de 2020, se ordenó el aislamiento preventivo  obligatorio a partir de las cero horas (00:00 a.m.) del día 13 de abril de 2020, hasta las cero horas (00:00 a.m.) del 27 de abril de 2020, por lo que se expidió el Decreto 537 de 12 de abril de 2020, con el propósito de mantener las medidas adoptadas por el Decreto 440 del 20 de marzo de 2020, además de incluir varias disposiciones, encaminadas a configurar catálogos de emergencia</w:t>
      </w:r>
      <w:r w:rsidR="00FE5978">
        <w:rPr>
          <w:rFonts w:ascii="Arial" w:eastAsia="Calibri" w:hAnsi="Arial" w:cs="Arial"/>
          <w:bCs/>
          <w:sz w:val="22"/>
          <w:lang w:val="es-CO"/>
        </w:rPr>
        <w:t>,</w:t>
      </w:r>
      <w:r w:rsidRPr="004A7E1B">
        <w:rPr>
          <w:rFonts w:ascii="Arial" w:eastAsia="Calibri" w:hAnsi="Arial" w:cs="Arial"/>
          <w:bCs/>
          <w:sz w:val="22"/>
          <w:lang w:val="es-CO"/>
        </w:rPr>
        <w:t xml:space="preserve"> conformados por proveedores preexistentes y nuevos de bienes o servicios útiles y necesarios para mitigar la pandemia o impedir la  extensión de sus efectos. </w:t>
      </w:r>
    </w:p>
    <w:p w14:paraId="37190DF3" w14:textId="790C554D" w:rsidR="00454C85" w:rsidRPr="004A7E1B" w:rsidRDefault="00454C85" w:rsidP="00454C85">
      <w:pPr>
        <w:spacing w:before="120" w:after="120" w:line="276" w:lineRule="auto"/>
        <w:ind w:firstLine="709"/>
        <w:jc w:val="both"/>
        <w:rPr>
          <w:rFonts w:ascii="Arial" w:eastAsia="Calibri" w:hAnsi="Arial" w:cs="Arial"/>
          <w:bCs/>
          <w:sz w:val="22"/>
          <w:lang w:val="es-CO"/>
        </w:rPr>
      </w:pPr>
      <w:r w:rsidRPr="004A7E1B">
        <w:rPr>
          <w:rFonts w:ascii="Arial" w:eastAsia="Calibri" w:hAnsi="Arial" w:cs="Arial"/>
          <w:bCs/>
          <w:sz w:val="22"/>
          <w:lang w:val="es-CO"/>
        </w:rPr>
        <w:t>A la fecha, la extensión de</w:t>
      </w:r>
      <w:r w:rsidR="00FE5978">
        <w:rPr>
          <w:rFonts w:ascii="Arial" w:eastAsia="Calibri" w:hAnsi="Arial" w:cs="Arial"/>
          <w:bCs/>
          <w:sz w:val="22"/>
          <w:lang w:val="es-CO"/>
        </w:rPr>
        <w:t>l</w:t>
      </w:r>
      <w:r w:rsidRPr="004A7E1B">
        <w:rPr>
          <w:rFonts w:ascii="Arial" w:eastAsia="Calibri" w:hAnsi="Arial" w:cs="Arial"/>
          <w:bCs/>
          <w:sz w:val="22"/>
          <w:lang w:val="es-CO"/>
        </w:rPr>
        <w:t xml:space="preserve"> aislamiento obligatorio se ha prorrogado mediante </w:t>
      </w:r>
      <w:r w:rsidR="007D712A">
        <w:rPr>
          <w:rFonts w:ascii="Arial" w:eastAsia="Calibri" w:hAnsi="Arial" w:cs="Arial"/>
          <w:bCs/>
          <w:sz w:val="22"/>
          <w:lang w:val="es-CO"/>
        </w:rPr>
        <w:t>tres</w:t>
      </w:r>
      <w:r w:rsidRPr="004A7E1B">
        <w:rPr>
          <w:rFonts w:ascii="Arial" w:eastAsia="Calibri" w:hAnsi="Arial" w:cs="Arial"/>
          <w:bCs/>
          <w:sz w:val="22"/>
          <w:lang w:val="es-CO"/>
        </w:rPr>
        <w:t xml:space="preserve"> Decretos: i) Decreto 593 del 24 de abril de 2020, el cual ordenó el aislamiento desde las cero horas (00:00 </w:t>
      </w:r>
      <w:proofErr w:type="spellStart"/>
      <w:r w:rsidRPr="004A7E1B">
        <w:rPr>
          <w:rFonts w:ascii="Arial" w:eastAsia="Calibri" w:hAnsi="Arial" w:cs="Arial"/>
          <w:bCs/>
          <w:sz w:val="22"/>
          <w:lang w:val="es-CO"/>
        </w:rPr>
        <w:t>a.m</w:t>
      </w:r>
      <w:proofErr w:type="spellEnd"/>
      <w:r w:rsidRPr="004A7E1B">
        <w:rPr>
          <w:rFonts w:ascii="Arial" w:eastAsia="Calibri" w:hAnsi="Arial" w:cs="Arial"/>
          <w:bCs/>
          <w:sz w:val="22"/>
          <w:lang w:val="es-CO"/>
        </w:rPr>
        <w:t xml:space="preserve">) del día 27 de abril de 2020, hasta las cero horas (00:00 </w:t>
      </w:r>
      <w:proofErr w:type="spellStart"/>
      <w:r w:rsidRPr="004A7E1B">
        <w:rPr>
          <w:rFonts w:ascii="Arial" w:eastAsia="Calibri" w:hAnsi="Arial" w:cs="Arial"/>
          <w:bCs/>
          <w:sz w:val="22"/>
          <w:lang w:val="es-CO"/>
        </w:rPr>
        <w:t>a.m</w:t>
      </w:r>
      <w:proofErr w:type="spellEnd"/>
      <w:r w:rsidRPr="004A7E1B">
        <w:rPr>
          <w:rFonts w:ascii="Arial" w:eastAsia="Calibri" w:hAnsi="Arial" w:cs="Arial"/>
          <w:bCs/>
          <w:sz w:val="22"/>
          <w:lang w:val="es-CO"/>
        </w:rPr>
        <w:t>) del día 11 de mayo de 2020</w:t>
      </w:r>
      <w:r w:rsidR="007D712A">
        <w:rPr>
          <w:rFonts w:ascii="Arial" w:eastAsia="Calibri" w:hAnsi="Arial" w:cs="Arial"/>
          <w:bCs/>
          <w:sz w:val="22"/>
          <w:lang w:val="es-CO"/>
        </w:rPr>
        <w:t>,</w:t>
      </w:r>
      <w:r w:rsidRPr="004A7E1B">
        <w:rPr>
          <w:rFonts w:ascii="Arial" w:eastAsia="Calibri" w:hAnsi="Arial" w:cs="Arial"/>
          <w:bCs/>
          <w:sz w:val="22"/>
          <w:lang w:val="es-CO"/>
        </w:rPr>
        <w:t xml:space="preserve"> </w:t>
      </w:r>
      <w:proofErr w:type="spellStart"/>
      <w:r w:rsidRPr="004A7E1B">
        <w:rPr>
          <w:rFonts w:ascii="Arial" w:eastAsia="Calibri" w:hAnsi="Arial" w:cs="Arial"/>
          <w:bCs/>
          <w:sz w:val="22"/>
          <w:lang w:val="es-CO"/>
        </w:rPr>
        <w:t>ii</w:t>
      </w:r>
      <w:proofErr w:type="spellEnd"/>
      <w:r w:rsidRPr="004A7E1B">
        <w:rPr>
          <w:rFonts w:ascii="Arial" w:eastAsia="Calibri" w:hAnsi="Arial" w:cs="Arial"/>
          <w:bCs/>
          <w:sz w:val="22"/>
          <w:lang w:val="es-CO"/>
        </w:rPr>
        <w:t xml:space="preserve">) el  Decreto 636 del 6 de mayo de 2020, por medio del cual se ordenó el aislamiento preventivo obligatorio entre las cero horas (00:00 </w:t>
      </w:r>
      <w:proofErr w:type="spellStart"/>
      <w:r w:rsidRPr="004A7E1B">
        <w:rPr>
          <w:rFonts w:ascii="Arial" w:eastAsia="Calibri" w:hAnsi="Arial" w:cs="Arial"/>
          <w:bCs/>
          <w:sz w:val="22"/>
          <w:lang w:val="es-CO"/>
        </w:rPr>
        <w:t>a.m</w:t>
      </w:r>
      <w:proofErr w:type="spellEnd"/>
      <w:r w:rsidRPr="004A7E1B">
        <w:rPr>
          <w:rFonts w:ascii="Arial" w:eastAsia="Calibri" w:hAnsi="Arial" w:cs="Arial"/>
          <w:bCs/>
          <w:sz w:val="22"/>
          <w:lang w:val="es-CO"/>
        </w:rPr>
        <w:t xml:space="preserve">) del día 11 de mayo de 2020, hasta las cero horas (00:00 </w:t>
      </w:r>
      <w:proofErr w:type="spellStart"/>
      <w:r w:rsidRPr="004A7E1B">
        <w:rPr>
          <w:rFonts w:ascii="Arial" w:eastAsia="Calibri" w:hAnsi="Arial" w:cs="Arial"/>
          <w:bCs/>
          <w:sz w:val="22"/>
          <w:lang w:val="es-CO"/>
        </w:rPr>
        <w:t>a.m</w:t>
      </w:r>
      <w:proofErr w:type="spellEnd"/>
      <w:r w:rsidRPr="004A7E1B">
        <w:rPr>
          <w:rFonts w:ascii="Arial" w:eastAsia="Calibri" w:hAnsi="Arial" w:cs="Arial"/>
          <w:bCs/>
          <w:sz w:val="22"/>
          <w:lang w:val="es-CO"/>
        </w:rPr>
        <w:t>) del día 25 de mayo de 2020</w:t>
      </w:r>
      <w:r w:rsidR="007D712A">
        <w:rPr>
          <w:rFonts w:ascii="Arial" w:eastAsia="Calibri" w:hAnsi="Arial" w:cs="Arial"/>
          <w:bCs/>
          <w:sz w:val="22"/>
          <w:lang w:val="es-CO"/>
        </w:rPr>
        <w:t xml:space="preserve"> y </w:t>
      </w:r>
      <w:proofErr w:type="spellStart"/>
      <w:r w:rsidR="007D712A">
        <w:rPr>
          <w:rFonts w:ascii="Arial" w:eastAsia="Calibri" w:hAnsi="Arial" w:cs="Arial"/>
          <w:bCs/>
          <w:sz w:val="22"/>
          <w:lang w:val="es-CO"/>
        </w:rPr>
        <w:t>iii</w:t>
      </w:r>
      <w:proofErr w:type="spellEnd"/>
      <w:r w:rsidR="007D712A">
        <w:rPr>
          <w:rFonts w:ascii="Arial" w:eastAsia="Calibri" w:hAnsi="Arial" w:cs="Arial"/>
          <w:bCs/>
          <w:sz w:val="22"/>
          <w:lang w:val="es-CO"/>
        </w:rPr>
        <w:t xml:space="preserve">) el Decreto </w:t>
      </w:r>
      <w:r w:rsidR="004C481E">
        <w:rPr>
          <w:rFonts w:ascii="Arial" w:eastAsia="Calibri" w:hAnsi="Arial" w:cs="Arial"/>
          <w:bCs/>
          <w:sz w:val="22"/>
          <w:lang w:val="es-CO"/>
        </w:rPr>
        <w:t>689 del 22 de mayo de 2020 que lo amplió hasta</w:t>
      </w:r>
      <w:r w:rsidR="004C481E" w:rsidRPr="004A7E1B">
        <w:rPr>
          <w:rFonts w:ascii="Arial" w:eastAsia="Calibri" w:hAnsi="Arial" w:cs="Arial"/>
          <w:bCs/>
          <w:sz w:val="22"/>
          <w:lang w:val="es-CO"/>
        </w:rPr>
        <w:t xml:space="preserve"> las cero horas (00:00 </w:t>
      </w:r>
      <w:proofErr w:type="spellStart"/>
      <w:r w:rsidR="004C481E" w:rsidRPr="004A7E1B">
        <w:rPr>
          <w:rFonts w:ascii="Arial" w:eastAsia="Calibri" w:hAnsi="Arial" w:cs="Arial"/>
          <w:bCs/>
          <w:sz w:val="22"/>
          <w:lang w:val="es-CO"/>
        </w:rPr>
        <w:t>a.m</w:t>
      </w:r>
      <w:proofErr w:type="spellEnd"/>
      <w:r w:rsidR="004C481E" w:rsidRPr="004A7E1B">
        <w:rPr>
          <w:rFonts w:ascii="Arial" w:eastAsia="Calibri" w:hAnsi="Arial" w:cs="Arial"/>
          <w:bCs/>
          <w:sz w:val="22"/>
          <w:lang w:val="es-CO"/>
        </w:rPr>
        <w:t xml:space="preserve">) del día </w:t>
      </w:r>
      <w:r w:rsidR="004C481E">
        <w:rPr>
          <w:rFonts w:ascii="Arial" w:eastAsia="Calibri" w:hAnsi="Arial" w:cs="Arial"/>
          <w:bCs/>
          <w:sz w:val="22"/>
          <w:lang w:val="es-CO"/>
        </w:rPr>
        <w:t>31</w:t>
      </w:r>
      <w:r w:rsidR="004C481E" w:rsidRPr="004A7E1B">
        <w:rPr>
          <w:rFonts w:ascii="Arial" w:eastAsia="Calibri" w:hAnsi="Arial" w:cs="Arial"/>
          <w:bCs/>
          <w:sz w:val="22"/>
          <w:lang w:val="es-CO"/>
        </w:rPr>
        <w:t xml:space="preserve"> de mayo de 2020</w:t>
      </w:r>
      <w:r w:rsidRPr="004A7E1B">
        <w:rPr>
          <w:rFonts w:ascii="Arial" w:eastAsia="Calibri" w:hAnsi="Arial" w:cs="Arial"/>
          <w:bCs/>
          <w:sz w:val="22"/>
          <w:lang w:val="es-CO"/>
        </w:rPr>
        <w:t xml:space="preserve">. </w:t>
      </w:r>
    </w:p>
    <w:p w14:paraId="5738E237" w14:textId="77777777" w:rsidR="00454C85" w:rsidRDefault="00454C85" w:rsidP="00454C85">
      <w:pPr>
        <w:spacing w:before="120" w:line="276" w:lineRule="auto"/>
        <w:ind w:firstLine="709"/>
        <w:jc w:val="both"/>
        <w:rPr>
          <w:rFonts w:ascii="Arial" w:eastAsia="Calibri" w:hAnsi="Arial" w:cs="Arial"/>
          <w:bCs/>
          <w:sz w:val="22"/>
          <w:lang w:val="es-CO"/>
        </w:rPr>
      </w:pPr>
      <w:r w:rsidRPr="004A7E1B">
        <w:rPr>
          <w:rFonts w:ascii="Arial" w:eastAsia="Calibri" w:hAnsi="Arial" w:cs="Arial"/>
          <w:bCs/>
          <w:sz w:val="22"/>
          <w:lang w:val="es-CO"/>
        </w:rPr>
        <w:t>Es oportuno mencionar que el Decreto 537 del 12 de abril de 2020</w:t>
      </w:r>
      <w:r>
        <w:rPr>
          <w:rFonts w:ascii="Arial" w:eastAsia="Calibri" w:hAnsi="Arial" w:cs="Arial"/>
          <w:bCs/>
          <w:sz w:val="22"/>
          <w:lang w:val="es-CO"/>
        </w:rPr>
        <w:t xml:space="preserve"> está vigente mientras</w:t>
      </w:r>
      <w:r w:rsidRPr="004A7E1B">
        <w:rPr>
          <w:rFonts w:ascii="Arial" w:eastAsia="Calibri" w:hAnsi="Arial" w:cs="Arial"/>
          <w:bCs/>
          <w:sz w:val="22"/>
          <w:lang w:val="es-CO"/>
        </w:rPr>
        <w:t xml:space="preserve"> se mantenga la Emergencia Sanitaria declarada por el Ministerio de Salud y Protección Social, con ocasión de la pandemia derivada del Coronavirus COVID-19, sustrayendo su vigencia a la duración de la declaración de Emergencia Social, Económica y Ecológica, tal y como lo planteaba el Decreto 440 de 2020. </w:t>
      </w:r>
      <w:r>
        <w:rPr>
          <w:rFonts w:ascii="Arial" w:eastAsia="Calibri" w:hAnsi="Arial" w:cs="Arial"/>
          <w:bCs/>
          <w:sz w:val="22"/>
          <w:lang w:val="es-CO"/>
        </w:rPr>
        <w:t>Particularmente, e</w:t>
      </w:r>
      <w:r w:rsidRPr="004A7E1B">
        <w:rPr>
          <w:rFonts w:ascii="Arial" w:eastAsia="Calibri" w:hAnsi="Arial" w:cs="Arial"/>
          <w:bCs/>
          <w:sz w:val="22"/>
          <w:lang w:val="es-CO"/>
        </w:rPr>
        <w:t>l artículo 3 del Decreto 537 de 2020</w:t>
      </w:r>
      <w:r>
        <w:rPr>
          <w:rFonts w:ascii="Arial" w:eastAsia="Calibri" w:hAnsi="Arial" w:cs="Arial"/>
          <w:bCs/>
          <w:sz w:val="22"/>
          <w:lang w:val="es-CO"/>
        </w:rPr>
        <w:t xml:space="preserve"> dispone la suspensión de</w:t>
      </w:r>
      <w:r w:rsidRPr="004A7E1B">
        <w:rPr>
          <w:rFonts w:ascii="Arial" w:eastAsia="Calibri" w:hAnsi="Arial" w:cs="Arial"/>
          <w:bCs/>
          <w:sz w:val="22"/>
          <w:lang w:val="es-CO"/>
        </w:rPr>
        <w:t xml:space="preserve"> los procedimientos de selección de contratistas, en los siguientes términos: </w:t>
      </w:r>
    </w:p>
    <w:p w14:paraId="3C4B4800" w14:textId="77777777" w:rsidR="00454C85" w:rsidRPr="004A7E1B" w:rsidRDefault="00454C85" w:rsidP="00454C85">
      <w:pPr>
        <w:spacing w:line="276" w:lineRule="auto"/>
        <w:ind w:firstLine="709"/>
        <w:jc w:val="both"/>
        <w:rPr>
          <w:rFonts w:ascii="Arial" w:eastAsia="Calibri" w:hAnsi="Arial" w:cs="Arial"/>
          <w:bCs/>
          <w:sz w:val="22"/>
          <w:lang w:val="es-CO"/>
        </w:rPr>
      </w:pPr>
    </w:p>
    <w:p w14:paraId="076DD558" w14:textId="5BF5CD7E" w:rsidR="00E25865" w:rsidRPr="00E25865" w:rsidRDefault="00454C85" w:rsidP="00CC7A09">
      <w:pPr>
        <w:spacing w:after="120"/>
        <w:ind w:left="709" w:right="709"/>
        <w:jc w:val="both"/>
        <w:rPr>
          <w:rFonts w:ascii="Arial" w:eastAsia="Calibri" w:hAnsi="Arial" w:cs="Arial"/>
          <w:bCs/>
          <w:sz w:val="21"/>
          <w:szCs w:val="21"/>
          <w:lang w:val="es-CO"/>
        </w:rPr>
      </w:pPr>
      <w:r w:rsidRPr="004A7E1B">
        <w:rPr>
          <w:rFonts w:ascii="Arial" w:eastAsia="Calibri" w:hAnsi="Arial" w:cs="Arial"/>
          <w:bCs/>
          <w:sz w:val="21"/>
          <w:szCs w:val="21"/>
          <w:lang w:val="es-CO"/>
        </w:rPr>
        <w:lastRenderedPageBreak/>
        <w:t>Durante</w:t>
      </w:r>
      <w:r w:rsidR="00E25865">
        <w:rPr>
          <w:rFonts w:ascii="Arial" w:eastAsia="Calibri" w:hAnsi="Arial" w:cs="Arial"/>
          <w:bCs/>
          <w:sz w:val="21"/>
          <w:szCs w:val="21"/>
          <w:lang w:val="es-CO"/>
        </w:rPr>
        <w:t xml:space="preserve"> </w:t>
      </w:r>
      <w:r w:rsidR="00E25865" w:rsidRPr="00E25865">
        <w:rPr>
          <w:rFonts w:ascii="Arial" w:eastAsia="Calibri" w:hAnsi="Arial" w:cs="Arial"/>
          <w:bCs/>
          <w:sz w:val="21"/>
          <w:szCs w:val="21"/>
          <w:lang w:val="es-CO"/>
        </w:rPr>
        <w:t>la vigencia de la Emergencia Sanitaria declarada por el Ministerio de Salud y Protección Social, con ocasión de la pandemia derivada del Coronavirus COVID-19, las entidades públicas podrán como consecuencia de la Emergencia Sanitaria suspender los procedimientos de selección. Contra este acto administrativo no proceden recursos.</w:t>
      </w:r>
    </w:p>
    <w:p w14:paraId="2F15F0AF" w14:textId="022EB1AB" w:rsidR="00454C85" w:rsidRDefault="00E25865" w:rsidP="00CC7A09">
      <w:pPr>
        <w:ind w:left="709" w:right="709"/>
        <w:jc w:val="both"/>
        <w:rPr>
          <w:rFonts w:ascii="Arial" w:eastAsia="Calibri" w:hAnsi="Arial" w:cs="Arial"/>
          <w:bCs/>
          <w:sz w:val="21"/>
          <w:szCs w:val="21"/>
          <w:lang w:val="es-CO"/>
        </w:rPr>
      </w:pPr>
      <w:r w:rsidRPr="00E25865">
        <w:rPr>
          <w:rFonts w:ascii="Arial" w:eastAsia="Calibri" w:hAnsi="Arial" w:cs="Arial"/>
          <w:bCs/>
          <w:sz w:val="21"/>
          <w:szCs w:val="21"/>
          <w:lang w:val="es-CO"/>
        </w:rPr>
        <w:t>En caso de requerirse recursos para atender las situaciones relacionadas con la pandemia derivada del Coronavirus COVID-19, las entidades públicas podrán revocar, de manera motivada, los actos administrativos de apertura, siempre y cuando no se haya superado la fecha para la presentación de ofertas. Contra este acto administrativo no proceden recursos</w:t>
      </w:r>
      <w:r>
        <w:rPr>
          <w:rFonts w:ascii="Arial" w:eastAsia="Calibri" w:hAnsi="Arial" w:cs="Arial"/>
          <w:bCs/>
          <w:sz w:val="21"/>
          <w:szCs w:val="21"/>
          <w:lang w:val="es-CO"/>
        </w:rPr>
        <w:t>.</w:t>
      </w:r>
      <w:r w:rsidR="00454C85" w:rsidRPr="004A7E1B">
        <w:rPr>
          <w:rFonts w:ascii="Arial" w:eastAsia="Calibri" w:hAnsi="Arial" w:cs="Arial"/>
          <w:bCs/>
          <w:sz w:val="21"/>
          <w:szCs w:val="21"/>
          <w:lang w:val="es-CO"/>
        </w:rPr>
        <w:t xml:space="preserve"> </w:t>
      </w:r>
    </w:p>
    <w:p w14:paraId="77BF2464" w14:textId="77777777" w:rsidR="00454C85" w:rsidRPr="004A7E1B" w:rsidRDefault="00454C85" w:rsidP="00454C85">
      <w:pPr>
        <w:spacing w:line="276" w:lineRule="auto"/>
        <w:ind w:left="709" w:right="709"/>
        <w:jc w:val="both"/>
        <w:rPr>
          <w:rFonts w:ascii="Arial" w:eastAsia="Calibri" w:hAnsi="Arial" w:cs="Arial"/>
          <w:bCs/>
          <w:sz w:val="21"/>
          <w:szCs w:val="21"/>
          <w:lang w:val="es-CO"/>
        </w:rPr>
      </w:pPr>
    </w:p>
    <w:p w14:paraId="562B1415" w14:textId="25CD0769" w:rsidR="00BE1E33" w:rsidRDefault="00080FE3" w:rsidP="00454C85">
      <w:pPr>
        <w:spacing w:line="276" w:lineRule="auto"/>
        <w:ind w:firstLine="708"/>
        <w:jc w:val="both"/>
        <w:rPr>
          <w:rFonts w:ascii="Arial" w:eastAsia="Calibri" w:hAnsi="Arial" w:cs="Arial"/>
          <w:color w:val="000000" w:themeColor="text1"/>
          <w:sz w:val="22"/>
        </w:rPr>
      </w:pPr>
      <w:r>
        <w:rPr>
          <w:rFonts w:ascii="Arial" w:eastAsia="Calibri" w:hAnsi="Arial" w:cs="Arial"/>
          <w:bCs/>
          <w:sz w:val="22"/>
          <w:lang w:val="es-CO"/>
        </w:rPr>
        <w:t>Por tanto</w:t>
      </w:r>
      <w:r w:rsidR="00454C85" w:rsidRPr="004A7E1B">
        <w:rPr>
          <w:rFonts w:ascii="Arial" w:eastAsia="Calibri" w:hAnsi="Arial" w:cs="Arial"/>
          <w:bCs/>
          <w:sz w:val="22"/>
          <w:lang w:val="es-CO"/>
        </w:rPr>
        <w:t xml:space="preserve">, </w:t>
      </w:r>
      <w:bookmarkStart w:id="12" w:name="_Hlk41323973"/>
      <w:r w:rsidR="00454C85" w:rsidRPr="004A7E1B">
        <w:rPr>
          <w:rFonts w:ascii="Arial" w:eastAsia="Calibri" w:hAnsi="Arial" w:cs="Arial"/>
          <w:bCs/>
          <w:sz w:val="22"/>
          <w:lang w:val="es-CO"/>
        </w:rPr>
        <w:t xml:space="preserve">al evidenciarse situaciones donde se encuentre comprometido el normal </w:t>
      </w:r>
      <w:r w:rsidR="003E5DCB">
        <w:rPr>
          <w:rFonts w:ascii="Arial" w:eastAsia="Calibri" w:hAnsi="Arial" w:cs="Arial"/>
          <w:bCs/>
          <w:sz w:val="22"/>
          <w:lang w:val="es-CO"/>
        </w:rPr>
        <w:t>desarrollo de la actividad contractual</w:t>
      </w:r>
      <w:r w:rsidR="00454C85" w:rsidRPr="004A7E1B">
        <w:rPr>
          <w:rFonts w:ascii="Arial" w:eastAsia="Calibri" w:hAnsi="Arial" w:cs="Arial"/>
          <w:bCs/>
          <w:sz w:val="22"/>
          <w:lang w:val="es-CO"/>
        </w:rPr>
        <w:t xml:space="preserve"> por causa de</w:t>
      </w:r>
      <w:r w:rsidR="003E5DCB">
        <w:rPr>
          <w:rFonts w:ascii="Arial" w:eastAsia="Calibri" w:hAnsi="Arial" w:cs="Arial"/>
          <w:bCs/>
          <w:sz w:val="22"/>
          <w:lang w:val="es-CO"/>
        </w:rPr>
        <w:t>l</w:t>
      </w:r>
      <w:r w:rsidR="00454C85" w:rsidRPr="004A7E1B">
        <w:rPr>
          <w:rFonts w:ascii="Arial" w:eastAsia="Calibri" w:hAnsi="Arial" w:cs="Arial"/>
          <w:bCs/>
          <w:sz w:val="22"/>
          <w:lang w:val="es-CO"/>
        </w:rPr>
        <w:t xml:space="preserve"> aislamiento preventivo obligatorio, </w:t>
      </w:r>
      <w:r w:rsidR="003E5DCB">
        <w:rPr>
          <w:rFonts w:ascii="Arial" w:eastAsia="Calibri" w:hAnsi="Arial" w:cs="Arial"/>
          <w:bCs/>
          <w:sz w:val="22"/>
          <w:lang w:val="es-CO"/>
        </w:rPr>
        <w:t xml:space="preserve">las entidades </w:t>
      </w:r>
      <w:r w:rsidR="0096374F">
        <w:rPr>
          <w:rFonts w:ascii="Arial" w:eastAsia="Calibri" w:hAnsi="Arial" w:cs="Arial"/>
          <w:bCs/>
          <w:sz w:val="22"/>
          <w:lang w:val="es-CO"/>
        </w:rPr>
        <w:t>evaluarán</w:t>
      </w:r>
      <w:r w:rsidR="00454C85" w:rsidRPr="004A7E1B">
        <w:rPr>
          <w:rFonts w:ascii="Arial" w:eastAsia="Calibri" w:hAnsi="Arial" w:cs="Arial"/>
          <w:bCs/>
          <w:sz w:val="22"/>
          <w:lang w:val="es-CO"/>
        </w:rPr>
        <w:t xml:space="preserve"> la conveniencia y oportunidad de suspender los procedimientos de selección</w:t>
      </w:r>
      <w:r w:rsidR="00E25865">
        <w:rPr>
          <w:rFonts w:ascii="Arial" w:eastAsia="Calibri" w:hAnsi="Arial" w:cs="Arial"/>
          <w:bCs/>
          <w:sz w:val="22"/>
          <w:lang w:val="es-CO"/>
        </w:rPr>
        <w:t xml:space="preserve"> o </w:t>
      </w:r>
      <w:r w:rsidR="0096374F">
        <w:rPr>
          <w:rFonts w:ascii="Arial" w:eastAsia="Calibri" w:hAnsi="Arial" w:cs="Arial"/>
          <w:bCs/>
          <w:sz w:val="22"/>
          <w:lang w:val="es-CO"/>
        </w:rPr>
        <w:t xml:space="preserve">de </w:t>
      </w:r>
      <w:r w:rsidR="00E25865">
        <w:rPr>
          <w:rFonts w:ascii="Arial" w:eastAsia="Calibri" w:hAnsi="Arial" w:cs="Arial"/>
          <w:bCs/>
          <w:sz w:val="22"/>
          <w:lang w:val="es-CO"/>
        </w:rPr>
        <w:t>revocar el acto de apertura</w:t>
      </w:r>
      <w:r w:rsidR="00FE5978">
        <w:rPr>
          <w:rFonts w:ascii="Arial" w:eastAsia="Calibri" w:hAnsi="Arial" w:cs="Arial"/>
          <w:bCs/>
          <w:sz w:val="22"/>
          <w:lang w:val="es-CO"/>
        </w:rPr>
        <w:t>,</w:t>
      </w:r>
      <w:r w:rsidR="003E5DCB">
        <w:rPr>
          <w:rFonts w:ascii="Arial" w:eastAsia="Calibri" w:hAnsi="Arial" w:cs="Arial"/>
          <w:bCs/>
          <w:sz w:val="22"/>
          <w:lang w:val="es-CO"/>
        </w:rPr>
        <w:t xml:space="preserve"> </w:t>
      </w:r>
      <w:r>
        <w:rPr>
          <w:rFonts w:ascii="Arial" w:eastAsia="Calibri" w:hAnsi="Arial" w:cs="Arial"/>
          <w:bCs/>
          <w:sz w:val="22"/>
          <w:lang w:val="es-CO"/>
        </w:rPr>
        <w:t>con fundamento en el artículo 3 del Decreto 537 de 2020</w:t>
      </w:r>
      <w:r w:rsidR="00454C85" w:rsidRPr="004A7E1B">
        <w:rPr>
          <w:rFonts w:ascii="Arial" w:eastAsia="Calibri" w:hAnsi="Arial" w:cs="Arial"/>
          <w:bCs/>
          <w:sz w:val="22"/>
          <w:lang w:val="es-CO"/>
        </w:rPr>
        <w:t xml:space="preserve">. </w:t>
      </w:r>
      <w:r w:rsidR="003E5DCB">
        <w:rPr>
          <w:rFonts w:ascii="Arial" w:eastAsia="Calibri" w:hAnsi="Arial" w:cs="Arial"/>
          <w:bCs/>
          <w:sz w:val="22"/>
          <w:lang w:val="es-CO"/>
        </w:rPr>
        <w:t>Naturalmente, podrá</w:t>
      </w:r>
      <w:r w:rsidR="00DF12C4">
        <w:rPr>
          <w:rFonts w:ascii="Arial" w:eastAsia="Calibri" w:hAnsi="Arial" w:cs="Arial"/>
          <w:bCs/>
          <w:sz w:val="22"/>
          <w:lang w:val="es-CO"/>
        </w:rPr>
        <w:t>n</w:t>
      </w:r>
      <w:r w:rsidR="003E5DCB">
        <w:rPr>
          <w:rFonts w:ascii="Arial" w:eastAsia="Calibri" w:hAnsi="Arial" w:cs="Arial"/>
          <w:bCs/>
          <w:sz w:val="22"/>
          <w:lang w:val="es-CO"/>
        </w:rPr>
        <w:t xml:space="preserve"> descartar</w:t>
      </w:r>
      <w:r>
        <w:rPr>
          <w:rFonts w:ascii="Arial" w:eastAsia="Calibri" w:hAnsi="Arial" w:cs="Arial"/>
          <w:bCs/>
          <w:sz w:val="22"/>
          <w:lang w:val="es-CO"/>
        </w:rPr>
        <w:t xml:space="preserve"> </w:t>
      </w:r>
      <w:r w:rsidR="0096374F">
        <w:rPr>
          <w:rFonts w:ascii="Arial" w:eastAsia="Calibri" w:hAnsi="Arial" w:cs="Arial"/>
          <w:bCs/>
          <w:sz w:val="22"/>
          <w:lang w:val="es-CO"/>
        </w:rPr>
        <w:t>ambas opciones</w:t>
      </w:r>
      <w:r w:rsidR="003E5DCB">
        <w:rPr>
          <w:rFonts w:ascii="Arial" w:eastAsia="Calibri" w:hAnsi="Arial" w:cs="Arial"/>
          <w:bCs/>
          <w:sz w:val="22"/>
          <w:lang w:val="es-CO"/>
        </w:rPr>
        <w:t xml:space="preserve"> si eventualmente </w:t>
      </w:r>
      <w:r w:rsidR="008B6474">
        <w:rPr>
          <w:rFonts w:ascii="Arial" w:eastAsia="Calibri" w:hAnsi="Arial" w:cs="Arial"/>
          <w:bCs/>
          <w:sz w:val="22"/>
          <w:lang w:val="es-CO"/>
        </w:rPr>
        <w:t>considera</w:t>
      </w:r>
      <w:r w:rsidR="00DF12C4">
        <w:rPr>
          <w:rFonts w:ascii="Arial" w:eastAsia="Calibri" w:hAnsi="Arial" w:cs="Arial"/>
          <w:bCs/>
          <w:sz w:val="22"/>
          <w:lang w:val="es-CO"/>
        </w:rPr>
        <w:t>n</w:t>
      </w:r>
      <w:r w:rsidR="008B6474">
        <w:rPr>
          <w:rFonts w:ascii="Arial" w:eastAsia="Calibri" w:hAnsi="Arial" w:cs="Arial"/>
          <w:bCs/>
          <w:sz w:val="22"/>
          <w:lang w:val="es-CO"/>
        </w:rPr>
        <w:t xml:space="preserve"> adecuado recibir</w:t>
      </w:r>
      <w:r w:rsidR="003E5DCB">
        <w:rPr>
          <w:rFonts w:ascii="Arial" w:eastAsia="Calibri" w:hAnsi="Arial" w:cs="Arial"/>
          <w:bCs/>
          <w:sz w:val="22"/>
          <w:lang w:val="es-CO"/>
        </w:rPr>
        <w:t xml:space="preserve"> las ofertas físicas</w:t>
      </w:r>
      <w:r w:rsidR="00FE5978">
        <w:rPr>
          <w:rFonts w:ascii="Arial" w:eastAsia="Calibri" w:hAnsi="Arial" w:cs="Arial"/>
          <w:bCs/>
          <w:sz w:val="22"/>
          <w:lang w:val="es-CO"/>
        </w:rPr>
        <w:t>, lo que incluye la posibilidad de recibirlas por envío realizado</w:t>
      </w:r>
      <w:r w:rsidR="003E5DCB">
        <w:rPr>
          <w:rFonts w:ascii="Arial" w:eastAsia="Calibri" w:hAnsi="Arial" w:cs="Arial"/>
          <w:bCs/>
          <w:sz w:val="22"/>
          <w:lang w:val="es-CO"/>
        </w:rPr>
        <w:t xml:space="preserve"> por correo certificado. En este caso</w:t>
      </w:r>
      <w:r>
        <w:rPr>
          <w:rFonts w:ascii="Arial" w:eastAsia="Calibri" w:hAnsi="Arial" w:cs="Arial"/>
          <w:bCs/>
          <w:sz w:val="22"/>
          <w:lang w:val="es-CO"/>
        </w:rPr>
        <w:t xml:space="preserve">, además de </w:t>
      </w:r>
      <w:r w:rsidR="0096374F">
        <w:rPr>
          <w:rFonts w:ascii="Arial" w:eastAsia="Calibri" w:hAnsi="Arial" w:cs="Arial"/>
          <w:bCs/>
          <w:sz w:val="22"/>
          <w:lang w:val="es-CO"/>
        </w:rPr>
        <w:t xml:space="preserve">custodiar </w:t>
      </w:r>
      <w:r w:rsidR="003A7F3E">
        <w:rPr>
          <w:rFonts w:ascii="Arial" w:eastAsia="Calibri" w:hAnsi="Arial" w:cs="Arial"/>
          <w:bCs/>
          <w:sz w:val="22"/>
          <w:lang w:val="es-CO"/>
        </w:rPr>
        <w:t>el sobre dos en la bolsa de seguridad,</w:t>
      </w:r>
      <w:r>
        <w:rPr>
          <w:rFonts w:ascii="Arial" w:eastAsia="Calibri" w:hAnsi="Arial" w:cs="Arial"/>
          <w:bCs/>
          <w:sz w:val="22"/>
          <w:lang w:val="es-CO"/>
        </w:rPr>
        <w:t xml:space="preserve"> la Administración </w:t>
      </w:r>
      <w:r w:rsidRPr="00080FE3">
        <w:rPr>
          <w:rFonts w:ascii="Arial" w:eastAsia="Calibri" w:hAnsi="Arial" w:cs="Arial"/>
          <w:bCs/>
          <w:sz w:val="22"/>
          <w:lang w:val="es-CO"/>
        </w:rPr>
        <w:t>garantizar</w:t>
      </w:r>
      <w:r>
        <w:rPr>
          <w:rFonts w:ascii="Arial" w:eastAsia="Calibri" w:hAnsi="Arial" w:cs="Arial"/>
          <w:bCs/>
          <w:sz w:val="22"/>
          <w:lang w:val="es-CO"/>
        </w:rPr>
        <w:t>á</w:t>
      </w:r>
      <w:r w:rsidRPr="00080FE3">
        <w:rPr>
          <w:rFonts w:ascii="Arial" w:eastAsia="Calibri" w:hAnsi="Arial" w:cs="Arial"/>
          <w:bCs/>
          <w:sz w:val="22"/>
          <w:lang w:val="es-CO"/>
        </w:rPr>
        <w:t xml:space="preserve"> los medios para hacer pública la apertura de sobres conforme al numeral 2.4 </w:t>
      </w:r>
      <w:r>
        <w:rPr>
          <w:rFonts w:ascii="Arial" w:eastAsia="Calibri" w:hAnsi="Arial" w:cs="Arial"/>
          <w:color w:val="000000" w:themeColor="text1"/>
          <w:sz w:val="22"/>
        </w:rPr>
        <w:t>del</w:t>
      </w:r>
      <w:r w:rsidRPr="00787FCE">
        <w:rPr>
          <w:rFonts w:ascii="Arial" w:eastAsia="Calibri" w:hAnsi="Arial" w:cs="Arial"/>
          <w:color w:val="000000" w:themeColor="text1"/>
          <w:sz w:val="22"/>
        </w:rPr>
        <w:t xml:space="preserve"> </w:t>
      </w:r>
      <w:r>
        <w:rPr>
          <w:rFonts w:ascii="Arial" w:eastAsia="Calibri" w:hAnsi="Arial" w:cs="Arial"/>
          <w:color w:val="000000" w:themeColor="text1"/>
          <w:sz w:val="22"/>
        </w:rPr>
        <w:t>«D</w:t>
      </w:r>
      <w:r w:rsidRPr="00787FCE">
        <w:rPr>
          <w:rFonts w:ascii="Arial" w:eastAsia="Calibri" w:hAnsi="Arial" w:cs="Arial"/>
          <w:color w:val="000000" w:themeColor="text1"/>
          <w:sz w:val="22"/>
        </w:rPr>
        <w:t xml:space="preserve">ocumento </w:t>
      </w:r>
      <w:r>
        <w:rPr>
          <w:rFonts w:ascii="Arial" w:eastAsia="Calibri" w:hAnsi="Arial" w:cs="Arial"/>
          <w:color w:val="000000" w:themeColor="text1"/>
          <w:sz w:val="22"/>
        </w:rPr>
        <w:t>B</w:t>
      </w:r>
      <w:r w:rsidRPr="00787FCE">
        <w:rPr>
          <w:rFonts w:ascii="Arial" w:eastAsia="Calibri" w:hAnsi="Arial" w:cs="Arial"/>
          <w:color w:val="000000" w:themeColor="text1"/>
          <w:sz w:val="22"/>
        </w:rPr>
        <w:t>ase</w:t>
      </w:r>
      <w:r>
        <w:rPr>
          <w:rFonts w:ascii="Arial" w:eastAsia="Calibri" w:hAnsi="Arial" w:cs="Arial"/>
          <w:color w:val="000000" w:themeColor="text1"/>
          <w:sz w:val="22"/>
        </w:rPr>
        <w:t xml:space="preserve"> – Versión 2»</w:t>
      </w:r>
      <w:r w:rsidRPr="00787FCE">
        <w:rPr>
          <w:rFonts w:ascii="Arial" w:eastAsia="Calibri" w:hAnsi="Arial" w:cs="Arial"/>
          <w:color w:val="000000" w:themeColor="text1"/>
          <w:sz w:val="22"/>
        </w:rPr>
        <w:t xml:space="preserve"> para los procesos de licitación pública</w:t>
      </w:r>
      <w:r>
        <w:rPr>
          <w:rFonts w:ascii="Arial" w:eastAsia="Calibri" w:hAnsi="Arial" w:cs="Arial"/>
          <w:color w:val="000000" w:themeColor="text1"/>
          <w:sz w:val="22"/>
        </w:rPr>
        <w:t xml:space="preserve">. </w:t>
      </w:r>
      <w:r w:rsidR="003A7F3E">
        <w:rPr>
          <w:rFonts w:ascii="Arial" w:eastAsia="Calibri" w:hAnsi="Arial" w:cs="Arial"/>
          <w:bCs/>
          <w:sz w:val="22"/>
          <w:lang w:val="es-CO"/>
        </w:rPr>
        <w:t xml:space="preserve">Si no es posible adoptar las medidas previstas </w:t>
      </w:r>
      <w:r w:rsidR="00232147">
        <w:rPr>
          <w:rFonts w:ascii="Arial" w:eastAsia="Calibri" w:hAnsi="Arial" w:cs="Arial"/>
          <w:bCs/>
          <w:sz w:val="22"/>
          <w:lang w:val="es-CO"/>
        </w:rPr>
        <w:t xml:space="preserve">en el pliego tipo </w:t>
      </w:r>
      <w:r w:rsidR="003A7F3E">
        <w:rPr>
          <w:rFonts w:ascii="Arial" w:eastAsia="Calibri" w:hAnsi="Arial" w:cs="Arial"/>
          <w:bCs/>
          <w:sz w:val="22"/>
          <w:lang w:val="es-CO"/>
        </w:rPr>
        <w:t xml:space="preserve">para la recepción de </w:t>
      </w:r>
      <w:r w:rsidR="008B6474">
        <w:rPr>
          <w:rFonts w:ascii="Arial" w:eastAsia="Calibri" w:hAnsi="Arial" w:cs="Arial"/>
          <w:bCs/>
          <w:sz w:val="22"/>
          <w:lang w:val="es-CO"/>
        </w:rPr>
        <w:t>propuestas</w:t>
      </w:r>
      <w:r w:rsidR="003A7F3E">
        <w:rPr>
          <w:rFonts w:ascii="Arial" w:eastAsia="Calibri" w:hAnsi="Arial" w:cs="Arial"/>
          <w:bCs/>
          <w:sz w:val="22"/>
          <w:lang w:val="es-CO"/>
        </w:rPr>
        <w:t xml:space="preserve">, la entidad </w:t>
      </w:r>
      <w:r w:rsidR="00FE5978">
        <w:rPr>
          <w:rFonts w:ascii="Arial" w:eastAsia="Calibri" w:hAnsi="Arial" w:cs="Arial"/>
          <w:bCs/>
          <w:sz w:val="22"/>
          <w:lang w:val="es-CO"/>
        </w:rPr>
        <w:t xml:space="preserve">podrá </w:t>
      </w:r>
      <w:r w:rsidR="003A7F3E">
        <w:rPr>
          <w:rFonts w:ascii="Arial" w:eastAsia="Calibri" w:hAnsi="Arial" w:cs="Arial"/>
          <w:bCs/>
          <w:sz w:val="22"/>
          <w:lang w:val="es-CO"/>
        </w:rPr>
        <w:t>suspender el proceso</w:t>
      </w:r>
      <w:r w:rsidR="00E25865">
        <w:rPr>
          <w:rFonts w:ascii="Arial" w:eastAsia="Calibri" w:hAnsi="Arial" w:cs="Arial"/>
          <w:bCs/>
          <w:sz w:val="22"/>
          <w:lang w:val="es-CO"/>
        </w:rPr>
        <w:t xml:space="preserve"> o revoca</w:t>
      </w:r>
      <w:r w:rsidR="00FE5978">
        <w:rPr>
          <w:rFonts w:ascii="Arial" w:eastAsia="Calibri" w:hAnsi="Arial" w:cs="Arial"/>
          <w:bCs/>
          <w:sz w:val="22"/>
          <w:lang w:val="es-CO"/>
        </w:rPr>
        <w:t>r</w:t>
      </w:r>
      <w:r w:rsidR="00E25865">
        <w:rPr>
          <w:rFonts w:ascii="Arial" w:eastAsia="Calibri" w:hAnsi="Arial" w:cs="Arial"/>
          <w:bCs/>
          <w:sz w:val="22"/>
          <w:lang w:val="es-CO"/>
        </w:rPr>
        <w:t xml:space="preserve"> el acto de apertura</w:t>
      </w:r>
      <w:r w:rsidR="003A7F3E">
        <w:rPr>
          <w:rFonts w:ascii="Arial" w:eastAsia="Calibri" w:hAnsi="Arial" w:cs="Arial"/>
          <w:bCs/>
          <w:sz w:val="22"/>
          <w:lang w:val="es-CO"/>
        </w:rPr>
        <w:t xml:space="preserve"> </w:t>
      </w:r>
      <w:r w:rsidR="00454C85" w:rsidRPr="004A7E1B">
        <w:rPr>
          <w:rFonts w:ascii="Arial" w:eastAsia="Calibri" w:hAnsi="Arial" w:cs="Arial"/>
          <w:bCs/>
          <w:sz w:val="22"/>
          <w:lang w:val="es-CO"/>
        </w:rPr>
        <w:t>atend</w:t>
      </w:r>
      <w:r w:rsidR="003A7F3E">
        <w:rPr>
          <w:rFonts w:ascii="Arial" w:eastAsia="Calibri" w:hAnsi="Arial" w:cs="Arial"/>
          <w:bCs/>
          <w:sz w:val="22"/>
          <w:lang w:val="es-CO"/>
        </w:rPr>
        <w:t>iendo</w:t>
      </w:r>
      <w:r w:rsidR="00454C85" w:rsidRPr="004A7E1B">
        <w:rPr>
          <w:rFonts w:ascii="Arial" w:eastAsia="Calibri" w:hAnsi="Arial" w:cs="Arial"/>
          <w:bCs/>
          <w:sz w:val="22"/>
          <w:lang w:val="es-CO"/>
        </w:rPr>
        <w:t xml:space="preserve"> a criterios objetivos</w:t>
      </w:r>
      <w:r w:rsidR="003E5DCB">
        <w:rPr>
          <w:rFonts w:ascii="Arial" w:eastAsia="Calibri" w:hAnsi="Arial" w:cs="Arial"/>
          <w:bCs/>
          <w:sz w:val="22"/>
          <w:lang w:val="es-CO"/>
        </w:rPr>
        <w:t xml:space="preserve">, </w:t>
      </w:r>
      <w:r w:rsidR="00454C85" w:rsidRPr="004A7E1B">
        <w:rPr>
          <w:rFonts w:ascii="Arial" w:eastAsia="Calibri" w:hAnsi="Arial" w:cs="Arial"/>
          <w:bCs/>
          <w:sz w:val="22"/>
          <w:lang w:val="es-CO"/>
        </w:rPr>
        <w:t xml:space="preserve">por lo que el acto administrativo deberá </w:t>
      </w:r>
      <w:r w:rsidR="003E5DCB">
        <w:rPr>
          <w:rFonts w:ascii="Arial" w:eastAsia="Calibri" w:hAnsi="Arial" w:cs="Arial"/>
          <w:bCs/>
          <w:sz w:val="22"/>
          <w:lang w:val="es-CO"/>
        </w:rPr>
        <w:t>explicar claramente</w:t>
      </w:r>
      <w:r w:rsidR="00454C85" w:rsidRPr="004A7E1B">
        <w:rPr>
          <w:rFonts w:ascii="Arial" w:eastAsia="Calibri" w:hAnsi="Arial" w:cs="Arial"/>
          <w:bCs/>
          <w:sz w:val="22"/>
          <w:lang w:val="es-CO"/>
        </w:rPr>
        <w:t xml:space="preserve"> la conexidad de los efectos originados por la </w:t>
      </w:r>
      <w:r w:rsidR="006D483C">
        <w:rPr>
          <w:rFonts w:ascii="Arial" w:eastAsia="Calibri" w:hAnsi="Arial" w:cs="Arial"/>
          <w:bCs/>
          <w:sz w:val="22"/>
          <w:lang w:val="es-CO"/>
        </w:rPr>
        <w:t>e</w:t>
      </w:r>
      <w:r w:rsidR="00454C85" w:rsidRPr="004A7E1B">
        <w:rPr>
          <w:rFonts w:ascii="Arial" w:eastAsia="Calibri" w:hAnsi="Arial" w:cs="Arial"/>
          <w:bCs/>
          <w:sz w:val="22"/>
          <w:lang w:val="es-CO"/>
        </w:rPr>
        <w:t xml:space="preserve">mergencia </w:t>
      </w:r>
      <w:r w:rsidR="006D483C">
        <w:rPr>
          <w:rFonts w:ascii="Arial" w:eastAsia="Calibri" w:hAnsi="Arial" w:cs="Arial"/>
          <w:bCs/>
          <w:sz w:val="22"/>
          <w:lang w:val="es-CO"/>
        </w:rPr>
        <w:t>s</w:t>
      </w:r>
      <w:r w:rsidR="00454C85" w:rsidRPr="004A7E1B">
        <w:rPr>
          <w:rFonts w:ascii="Arial" w:eastAsia="Calibri" w:hAnsi="Arial" w:cs="Arial"/>
          <w:bCs/>
          <w:sz w:val="22"/>
          <w:lang w:val="es-CO"/>
        </w:rPr>
        <w:t xml:space="preserve">anitaria y la imposibilidad </w:t>
      </w:r>
      <w:r w:rsidR="003E5DCB">
        <w:rPr>
          <w:rFonts w:ascii="Arial" w:eastAsia="Calibri" w:hAnsi="Arial" w:cs="Arial"/>
          <w:bCs/>
          <w:sz w:val="22"/>
          <w:lang w:val="es-CO"/>
        </w:rPr>
        <w:t>de continuar</w:t>
      </w:r>
      <w:r w:rsidR="00454C85" w:rsidRPr="004A7E1B">
        <w:rPr>
          <w:rFonts w:ascii="Arial" w:eastAsia="Calibri" w:hAnsi="Arial" w:cs="Arial"/>
          <w:bCs/>
          <w:sz w:val="22"/>
          <w:lang w:val="es-CO"/>
        </w:rPr>
        <w:t xml:space="preserve"> </w:t>
      </w:r>
      <w:r w:rsidR="0096374F">
        <w:rPr>
          <w:rFonts w:ascii="Arial" w:eastAsia="Calibri" w:hAnsi="Arial" w:cs="Arial"/>
          <w:bCs/>
          <w:sz w:val="22"/>
          <w:lang w:val="es-CO"/>
        </w:rPr>
        <w:t>con el trámite</w:t>
      </w:r>
      <w:r w:rsidR="00454C85" w:rsidRPr="004A7E1B">
        <w:rPr>
          <w:rFonts w:ascii="Arial" w:eastAsia="Calibri" w:hAnsi="Arial" w:cs="Arial"/>
          <w:bCs/>
          <w:sz w:val="22"/>
          <w:lang w:val="es-CO"/>
        </w:rPr>
        <w:t>.</w:t>
      </w:r>
    </w:p>
    <w:bookmarkEnd w:id="12"/>
    <w:p w14:paraId="4564D37B" w14:textId="77777777" w:rsidR="00BC7B6A" w:rsidRPr="006C15D5" w:rsidRDefault="00BC7B6A" w:rsidP="00BC7B6A">
      <w:pPr>
        <w:spacing w:line="276" w:lineRule="auto"/>
        <w:ind w:firstLine="708"/>
        <w:jc w:val="both"/>
        <w:rPr>
          <w:rFonts w:ascii="Arial" w:hAnsi="Arial" w:cs="Arial"/>
          <w:color w:val="000000" w:themeColor="text1"/>
          <w:sz w:val="21"/>
          <w:szCs w:val="21"/>
          <w:lang w:val="es-CO"/>
        </w:rPr>
      </w:pPr>
    </w:p>
    <w:p w14:paraId="4DAE4437" w14:textId="77777777" w:rsidR="00BE1E33" w:rsidRPr="006C15D5" w:rsidRDefault="00BE1E33" w:rsidP="00BE1E33">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6C15D5">
        <w:rPr>
          <w:rFonts w:ascii="Arial" w:hAnsi="Arial" w:cs="Arial"/>
          <w:b/>
          <w:bCs/>
          <w:color w:val="000000" w:themeColor="text1"/>
          <w:sz w:val="22"/>
          <w:lang w:val="es-CO"/>
        </w:rPr>
        <w:t xml:space="preserve">Respuesta </w:t>
      </w:r>
    </w:p>
    <w:p w14:paraId="317BE2F9" w14:textId="77777777" w:rsidR="00BE1E33" w:rsidRPr="006C15D5" w:rsidRDefault="00BE1E33" w:rsidP="00BE1E33">
      <w:pPr>
        <w:spacing w:line="276" w:lineRule="auto"/>
        <w:ind w:right="709"/>
        <w:jc w:val="both"/>
        <w:rPr>
          <w:rFonts w:ascii="Arial" w:hAnsi="Arial" w:cs="Arial"/>
          <w:color w:val="000000" w:themeColor="text1"/>
          <w:sz w:val="21"/>
          <w:szCs w:val="21"/>
          <w:lang w:val="es-CO"/>
        </w:rPr>
      </w:pPr>
    </w:p>
    <w:p w14:paraId="5C2D6EF8" w14:textId="51BC1A40" w:rsidR="00BE1E33" w:rsidRPr="006C15D5" w:rsidRDefault="00232147" w:rsidP="00856B64">
      <w:pPr>
        <w:ind w:left="709"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t>T</w:t>
      </w:r>
      <w:r w:rsidRPr="00232147">
        <w:rPr>
          <w:rFonts w:ascii="Arial" w:eastAsia="Calibri" w:hAnsi="Arial" w:cs="Arial"/>
          <w:color w:val="000000" w:themeColor="text1"/>
          <w:sz w:val="21"/>
          <w:szCs w:val="21"/>
        </w:rPr>
        <w:t xml:space="preserve">eniendo en cuenta la </w:t>
      </w:r>
      <w:proofErr w:type="spellStart"/>
      <w:r w:rsidRPr="00232147">
        <w:rPr>
          <w:rFonts w:ascii="Arial" w:eastAsia="Calibri" w:hAnsi="Arial" w:cs="Arial"/>
          <w:color w:val="000000" w:themeColor="text1"/>
          <w:sz w:val="21"/>
          <w:szCs w:val="21"/>
        </w:rPr>
        <w:t>inmodificabilidad</w:t>
      </w:r>
      <w:proofErr w:type="spellEnd"/>
      <w:r w:rsidRPr="00232147">
        <w:rPr>
          <w:rFonts w:ascii="Arial" w:eastAsia="Calibri" w:hAnsi="Arial" w:cs="Arial"/>
          <w:color w:val="000000" w:themeColor="text1"/>
          <w:sz w:val="21"/>
          <w:szCs w:val="21"/>
        </w:rPr>
        <w:t xml:space="preserve"> de los «Pliegos Tipo – Versión 2» para los procesos de licitación y que, para las entidades que publican en el SECOP I, la entrega de las ofertas es presencial, ¿qué mecanismo puede aplicarse para la recepción de las propuestas?     </w:t>
      </w:r>
    </w:p>
    <w:p w14:paraId="543576F5" w14:textId="77777777" w:rsidR="00F722BD" w:rsidRDefault="00F722BD" w:rsidP="00CE35D5">
      <w:pPr>
        <w:spacing w:line="276" w:lineRule="auto"/>
        <w:jc w:val="both"/>
        <w:rPr>
          <w:rFonts w:ascii="Arial" w:eastAsia="Calibri" w:hAnsi="Arial" w:cs="Arial"/>
          <w:color w:val="000000" w:themeColor="text1"/>
          <w:sz w:val="22"/>
        </w:rPr>
      </w:pPr>
    </w:p>
    <w:p w14:paraId="44A26AA7" w14:textId="63497869" w:rsidR="00B452EC" w:rsidRDefault="00FE5978" w:rsidP="00CC7A09">
      <w:pPr>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t xml:space="preserve">La Agencia Nacional de Contratación Pública – </w:t>
      </w:r>
      <w:r w:rsidR="00704D71" w:rsidRPr="00704D71">
        <w:rPr>
          <w:rFonts w:ascii="Arial" w:eastAsia="Calibri" w:hAnsi="Arial" w:cs="Arial"/>
          <w:color w:val="000000" w:themeColor="text1"/>
          <w:sz w:val="22"/>
        </w:rPr>
        <w:t xml:space="preserve">Colombia Compra Eficiente no ha expedido ningún acto administrativo que permita modificar el trámite de recepción de ofertas cuando la publicidad del proceso de selección se realiza a través del SECOP I, por lo que la Administración, en consideración </w:t>
      </w:r>
      <w:r w:rsidR="00830AA1">
        <w:rPr>
          <w:rFonts w:ascii="Arial" w:eastAsia="Calibri" w:hAnsi="Arial" w:cs="Arial"/>
          <w:color w:val="000000" w:themeColor="text1"/>
          <w:sz w:val="22"/>
        </w:rPr>
        <w:t>a</w:t>
      </w:r>
      <w:r w:rsidR="00704D71" w:rsidRPr="00704D71">
        <w:rPr>
          <w:rFonts w:ascii="Arial" w:eastAsia="Calibri" w:hAnsi="Arial" w:cs="Arial"/>
          <w:color w:val="000000" w:themeColor="text1"/>
          <w:sz w:val="22"/>
        </w:rPr>
        <w:t xml:space="preserve"> la inalterabilidad de este aspecto puntual del pliego, debe cumplir con lo dispuesto en</w:t>
      </w:r>
      <w:r w:rsidR="00830AA1">
        <w:rPr>
          <w:rFonts w:ascii="Arial" w:eastAsia="Calibri" w:hAnsi="Arial" w:cs="Arial"/>
          <w:color w:val="000000" w:themeColor="text1"/>
          <w:sz w:val="22"/>
        </w:rPr>
        <w:t xml:space="preserve"> los numerales 2.3 y 2.4</w:t>
      </w:r>
      <w:r w:rsidR="00704D71" w:rsidRPr="00704D71">
        <w:rPr>
          <w:rFonts w:ascii="Arial" w:eastAsia="Calibri" w:hAnsi="Arial" w:cs="Arial"/>
          <w:color w:val="000000" w:themeColor="text1"/>
          <w:sz w:val="22"/>
        </w:rPr>
        <w:t xml:space="preserve"> </w:t>
      </w:r>
      <w:r w:rsidR="00830AA1">
        <w:rPr>
          <w:rFonts w:ascii="Arial" w:eastAsia="Calibri" w:hAnsi="Arial" w:cs="Arial"/>
          <w:color w:val="000000" w:themeColor="text1"/>
          <w:sz w:val="22"/>
        </w:rPr>
        <w:t>d</w:t>
      </w:r>
      <w:r w:rsidR="00704D71" w:rsidRPr="00704D71">
        <w:rPr>
          <w:rFonts w:ascii="Arial" w:eastAsia="Calibri" w:hAnsi="Arial" w:cs="Arial"/>
          <w:color w:val="000000" w:themeColor="text1"/>
          <w:sz w:val="22"/>
        </w:rPr>
        <w:t xml:space="preserve">el documento base. Lo anterior, en la medida que las entidades públicas no están facultadas para modificar o incluir condiciones adicionales, de conformidad con el artículo 2 de la Resolución 0045 del 14 de febrero de 2020. </w:t>
      </w:r>
    </w:p>
    <w:p w14:paraId="04048464" w14:textId="11E8E2F7" w:rsidR="00462A87" w:rsidRDefault="00736711" w:rsidP="00B452EC">
      <w:pPr>
        <w:spacing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lastRenderedPageBreak/>
        <w:t xml:space="preserve">En esta medida, </w:t>
      </w:r>
      <w:r w:rsidRPr="00736711">
        <w:rPr>
          <w:rFonts w:ascii="Arial" w:eastAsia="Calibri" w:hAnsi="Arial" w:cs="Arial"/>
          <w:color w:val="000000" w:themeColor="text1"/>
          <w:sz w:val="22"/>
        </w:rPr>
        <w:t xml:space="preserve">la entidad </w:t>
      </w:r>
      <w:r w:rsidR="0096374F">
        <w:rPr>
          <w:rFonts w:ascii="Arial" w:eastAsia="Calibri" w:hAnsi="Arial" w:cs="Arial"/>
          <w:color w:val="000000" w:themeColor="text1"/>
          <w:sz w:val="22"/>
        </w:rPr>
        <w:t>mantendrá</w:t>
      </w:r>
      <w:r w:rsidRPr="00736711">
        <w:rPr>
          <w:rFonts w:ascii="Arial" w:eastAsia="Calibri" w:hAnsi="Arial" w:cs="Arial"/>
          <w:color w:val="000000" w:themeColor="text1"/>
          <w:sz w:val="22"/>
        </w:rPr>
        <w:t xml:space="preserve"> la obligación de presentar </w:t>
      </w:r>
      <w:r w:rsidR="00FE5978">
        <w:rPr>
          <w:rFonts w:ascii="Arial" w:eastAsia="Calibri" w:hAnsi="Arial" w:cs="Arial"/>
          <w:color w:val="000000" w:themeColor="text1"/>
          <w:sz w:val="22"/>
        </w:rPr>
        <w:t>las ofertas e</w:t>
      </w:r>
      <w:r>
        <w:rPr>
          <w:rFonts w:ascii="Arial" w:eastAsia="Calibri" w:hAnsi="Arial" w:cs="Arial"/>
          <w:color w:val="000000" w:themeColor="text1"/>
          <w:sz w:val="22"/>
        </w:rPr>
        <w:t>n las condiciones del pliego</w:t>
      </w:r>
      <w:r w:rsidR="00FE5978">
        <w:rPr>
          <w:rFonts w:ascii="Arial" w:eastAsia="Calibri" w:hAnsi="Arial" w:cs="Arial"/>
          <w:color w:val="000000" w:themeColor="text1"/>
          <w:sz w:val="22"/>
        </w:rPr>
        <w:t xml:space="preserve"> tipo, esto es, de forma física, lo que incluye la posibilidad de que las propuestas se envíen</w:t>
      </w:r>
      <w:r w:rsidRPr="00736711">
        <w:rPr>
          <w:rFonts w:ascii="Arial" w:eastAsia="Calibri" w:hAnsi="Arial" w:cs="Arial"/>
          <w:color w:val="000000" w:themeColor="text1"/>
          <w:sz w:val="22"/>
        </w:rPr>
        <w:t xml:space="preserve"> a través de mensajería certificada. La </w:t>
      </w:r>
      <w:r w:rsidR="007D1DCF">
        <w:rPr>
          <w:rFonts w:ascii="Arial" w:eastAsia="Calibri" w:hAnsi="Arial" w:cs="Arial"/>
          <w:color w:val="000000" w:themeColor="text1"/>
          <w:sz w:val="22"/>
        </w:rPr>
        <w:t>Administración</w:t>
      </w:r>
      <w:r w:rsidRPr="00736711">
        <w:rPr>
          <w:rFonts w:ascii="Arial" w:eastAsia="Calibri" w:hAnsi="Arial" w:cs="Arial"/>
          <w:color w:val="000000" w:themeColor="text1"/>
          <w:sz w:val="22"/>
        </w:rPr>
        <w:t xml:space="preserve"> garantizar</w:t>
      </w:r>
      <w:r w:rsidR="007D1DCF">
        <w:rPr>
          <w:rFonts w:ascii="Arial" w:eastAsia="Calibri" w:hAnsi="Arial" w:cs="Arial"/>
          <w:color w:val="000000" w:themeColor="text1"/>
          <w:sz w:val="22"/>
        </w:rPr>
        <w:t>á</w:t>
      </w:r>
      <w:r w:rsidRPr="00736711">
        <w:rPr>
          <w:rFonts w:ascii="Arial" w:eastAsia="Calibri" w:hAnsi="Arial" w:cs="Arial"/>
          <w:color w:val="000000" w:themeColor="text1"/>
          <w:sz w:val="22"/>
        </w:rPr>
        <w:t xml:space="preserve"> </w:t>
      </w:r>
      <w:r w:rsidR="00B452EC">
        <w:rPr>
          <w:rFonts w:ascii="Arial" w:eastAsia="Calibri" w:hAnsi="Arial" w:cs="Arial"/>
          <w:color w:val="000000" w:themeColor="text1"/>
          <w:sz w:val="22"/>
        </w:rPr>
        <w:t xml:space="preserve">tanto </w:t>
      </w:r>
      <w:r w:rsidRPr="00736711">
        <w:rPr>
          <w:rFonts w:ascii="Arial" w:eastAsia="Calibri" w:hAnsi="Arial" w:cs="Arial"/>
          <w:color w:val="000000" w:themeColor="text1"/>
          <w:sz w:val="22"/>
        </w:rPr>
        <w:t>la custodia y seguridad del sobre No. 2</w:t>
      </w:r>
      <w:r w:rsidR="00FE5978">
        <w:rPr>
          <w:rFonts w:ascii="Arial" w:eastAsia="Calibri" w:hAnsi="Arial" w:cs="Arial"/>
          <w:color w:val="000000" w:themeColor="text1"/>
          <w:sz w:val="22"/>
        </w:rPr>
        <w:t>,</w:t>
      </w:r>
      <w:r w:rsidRPr="00736711">
        <w:rPr>
          <w:rFonts w:ascii="Arial" w:eastAsia="Calibri" w:hAnsi="Arial" w:cs="Arial"/>
          <w:color w:val="000000" w:themeColor="text1"/>
          <w:sz w:val="22"/>
        </w:rPr>
        <w:t xml:space="preserve"> </w:t>
      </w:r>
      <w:r w:rsidR="00B452EC">
        <w:rPr>
          <w:rFonts w:ascii="Arial" w:eastAsia="Calibri" w:hAnsi="Arial" w:cs="Arial"/>
          <w:color w:val="000000" w:themeColor="text1"/>
          <w:sz w:val="22"/>
        </w:rPr>
        <w:t>como</w:t>
      </w:r>
      <w:r w:rsidRPr="00736711">
        <w:rPr>
          <w:rFonts w:ascii="Arial" w:eastAsia="Calibri" w:hAnsi="Arial" w:cs="Arial"/>
          <w:color w:val="000000" w:themeColor="text1"/>
          <w:sz w:val="22"/>
        </w:rPr>
        <w:t xml:space="preserve"> los medios para hacer pública la apertura de sobres conforme al numeral 2.4 de los documentos base. </w:t>
      </w:r>
      <w:r w:rsidR="00B452EC">
        <w:rPr>
          <w:rFonts w:ascii="Arial" w:eastAsia="Calibri" w:hAnsi="Arial" w:cs="Arial"/>
          <w:color w:val="000000" w:themeColor="text1"/>
          <w:sz w:val="22"/>
        </w:rPr>
        <w:t xml:space="preserve">Si esto no es posible, podrá suspender el procedimiento de selección </w:t>
      </w:r>
      <w:r w:rsidR="00E25865">
        <w:rPr>
          <w:rFonts w:ascii="Arial" w:eastAsia="Calibri" w:hAnsi="Arial" w:cs="Arial"/>
          <w:color w:val="000000" w:themeColor="text1"/>
          <w:sz w:val="22"/>
        </w:rPr>
        <w:t>o revocar el acto de apertura</w:t>
      </w:r>
      <w:r w:rsidR="00FE5978">
        <w:rPr>
          <w:rFonts w:ascii="Arial" w:eastAsia="Calibri" w:hAnsi="Arial" w:cs="Arial"/>
          <w:color w:val="000000" w:themeColor="text1"/>
          <w:sz w:val="22"/>
        </w:rPr>
        <w:t>, de acuerdo a lo señalado en las consideraciones,</w:t>
      </w:r>
      <w:r w:rsidR="00E25865">
        <w:rPr>
          <w:rFonts w:ascii="Arial" w:eastAsia="Calibri" w:hAnsi="Arial" w:cs="Arial"/>
          <w:color w:val="000000" w:themeColor="text1"/>
          <w:sz w:val="22"/>
        </w:rPr>
        <w:t xml:space="preserve"> </w:t>
      </w:r>
      <w:r w:rsidR="00B452EC">
        <w:rPr>
          <w:rFonts w:ascii="Arial" w:eastAsia="Calibri" w:hAnsi="Arial" w:cs="Arial"/>
          <w:color w:val="000000" w:themeColor="text1"/>
          <w:sz w:val="22"/>
        </w:rPr>
        <w:t>conforme a</w:t>
      </w:r>
      <w:r w:rsidR="00B452EC" w:rsidRPr="00B452EC">
        <w:rPr>
          <w:rFonts w:ascii="Arial" w:eastAsia="Calibri" w:hAnsi="Arial" w:cs="Arial"/>
          <w:color w:val="000000" w:themeColor="text1"/>
          <w:sz w:val="22"/>
        </w:rPr>
        <w:t>l artículo 3 del Decreto 537 de 2020</w:t>
      </w:r>
      <w:r w:rsidR="00FE5978">
        <w:rPr>
          <w:rFonts w:ascii="Arial" w:eastAsia="Calibri" w:hAnsi="Arial" w:cs="Arial"/>
          <w:color w:val="000000" w:themeColor="text1"/>
          <w:sz w:val="22"/>
        </w:rPr>
        <w:t xml:space="preserve">. </w:t>
      </w:r>
    </w:p>
    <w:p w14:paraId="1E623F79" w14:textId="77777777" w:rsidR="00B452EC" w:rsidRDefault="00B452EC" w:rsidP="00B452EC">
      <w:pPr>
        <w:spacing w:line="276" w:lineRule="auto"/>
        <w:ind w:firstLine="709"/>
        <w:jc w:val="both"/>
        <w:rPr>
          <w:rFonts w:ascii="Arial" w:eastAsia="Calibri" w:hAnsi="Arial" w:cs="Arial"/>
          <w:color w:val="000000" w:themeColor="text1"/>
          <w:sz w:val="22"/>
        </w:rPr>
      </w:pPr>
    </w:p>
    <w:p w14:paraId="66CE4DD8" w14:textId="40186C6E" w:rsidR="00BE1E33" w:rsidRPr="006C15D5" w:rsidRDefault="00BE1E33" w:rsidP="00B452EC">
      <w:pPr>
        <w:spacing w:before="120"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Este concepto tiene el alcance previsto en el artículo 28 del Código de Procedimiento Administrativo y de lo Contencioso Administrativo.</w:t>
      </w:r>
    </w:p>
    <w:p w14:paraId="138D33A2" w14:textId="77777777" w:rsidR="00BE1E33" w:rsidRPr="006C15D5" w:rsidRDefault="00BE1E33" w:rsidP="00BE1E33">
      <w:pPr>
        <w:ind w:firstLine="709"/>
        <w:jc w:val="both"/>
        <w:rPr>
          <w:rFonts w:ascii="Arial" w:eastAsia="Calibri" w:hAnsi="Arial" w:cs="Arial"/>
          <w:color w:val="000000" w:themeColor="text1"/>
          <w:sz w:val="22"/>
        </w:rPr>
      </w:pPr>
    </w:p>
    <w:p w14:paraId="2B02915D" w14:textId="77777777" w:rsidR="00BE1E33" w:rsidRPr="006C15D5" w:rsidRDefault="00BE1E33" w:rsidP="00BE1E33">
      <w:pPr>
        <w:jc w:val="both"/>
        <w:rPr>
          <w:rFonts w:ascii="Arial" w:eastAsia="Times New Roman" w:hAnsi="Arial" w:cs="Arial"/>
          <w:color w:val="000000" w:themeColor="text1"/>
          <w:sz w:val="22"/>
          <w:lang w:eastAsia="es-CO"/>
        </w:rPr>
      </w:pPr>
      <w:r w:rsidRPr="6587E1C5">
        <w:rPr>
          <w:rFonts w:ascii="Arial" w:eastAsia="Times New Roman" w:hAnsi="Arial" w:cs="Arial"/>
          <w:color w:val="000000" w:themeColor="text1"/>
          <w:sz w:val="22"/>
          <w:lang w:eastAsia="es-CO"/>
        </w:rPr>
        <w:t>Atentamente,</w:t>
      </w:r>
    </w:p>
    <w:bookmarkEnd w:id="0"/>
    <w:bookmarkEnd w:id="1"/>
    <w:p w14:paraId="1C8F6984" w14:textId="5AD722F0" w:rsidR="00BE1E33" w:rsidRDefault="1730CD62" w:rsidP="6587E1C5">
      <w:pPr>
        <w:jc w:val="center"/>
      </w:pPr>
      <w:r>
        <w:rPr>
          <w:noProof/>
        </w:rPr>
        <w:drawing>
          <wp:inline distT="0" distB="0" distL="0" distR="0" wp14:anchorId="386697C9" wp14:editId="63D3AEF0">
            <wp:extent cx="2771775" cy="990600"/>
            <wp:effectExtent l="0" t="0" r="0" b="0"/>
            <wp:docPr id="2054775864" name="Imagen 205477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771775" cy="990600"/>
                    </a:xfrm>
                    <a:prstGeom prst="rect">
                      <a:avLst/>
                    </a:prstGeom>
                  </pic:spPr>
                </pic:pic>
              </a:graphicData>
            </a:graphic>
          </wp:inline>
        </w:drawing>
      </w:r>
    </w:p>
    <w:p w14:paraId="724B0300" w14:textId="77777777" w:rsidR="00730CDB" w:rsidRPr="006C15D5" w:rsidRDefault="00730CDB" w:rsidP="00BE1E33">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F6D32" w:rsidRPr="003F6D32" w14:paraId="7E5CB93D" w14:textId="77777777" w:rsidTr="00AC43E7">
        <w:trPr>
          <w:trHeight w:val="315"/>
        </w:trPr>
        <w:tc>
          <w:tcPr>
            <w:tcW w:w="812" w:type="dxa"/>
            <w:vAlign w:val="center"/>
            <w:hideMark/>
          </w:tcPr>
          <w:p w14:paraId="44CFA06E"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56D7561C" w14:textId="41DB6AA3" w:rsidR="00BE1E33" w:rsidRPr="006C15D5" w:rsidRDefault="00D418AD" w:rsidP="00AC43E7">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Juan David Montoya Penagos</w:t>
            </w:r>
          </w:p>
          <w:p w14:paraId="6C4A6DA1" w14:textId="5897BB3C" w:rsidR="00982E99" w:rsidRPr="006C15D5" w:rsidRDefault="00982E99"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Contratista de la Subdirección de Gestión Contractual</w:t>
            </w:r>
          </w:p>
        </w:tc>
      </w:tr>
      <w:tr w:rsidR="003F6D32" w:rsidRPr="003F6D32" w14:paraId="092BCD16" w14:textId="77777777" w:rsidTr="00AC43E7">
        <w:trPr>
          <w:trHeight w:val="330"/>
        </w:trPr>
        <w:tc>
          <w:tcPr>
            <w:tcW w:w="812" w:type="dxa"/>
            <w:vAlign w:val="center"/>
            <w:hideMark/>
          </w:tcPr>
          <w:p w14:paraId="463B4DD3"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684C25E" w14:textId="77777777" w:rsidR="00520DD8" w:rsidRPr="00520DD8" w:rsidRDefault="00520DD8" w:rsidP="00520DD8">
            <w:pPr>
              <w:rPr>
                <w:rFonts w:ascii="Arial" w:eastAsia="Times New Roman" w:hAnsi="Arial" w:cs="Arial"/>
                <w:color w:val="000000" w:themeColor="text1"/>
                <w:sz w:val="16"/>
                <w:szCs w:val="16"/>
                <w:lang w:eastAsia="es-ES"/>
              </w:rPr>
            </w:pPr>
            <w:r w:rsidRPr="00520DD8">
              <w:rPr>
                <w:rFonts w:ascii="Arial" w:eastAsia="Times New Roman" w:hAnsi="Arial" w:cs="Arial"/>
                <w:color w:val="000000" w:themeColor="text1"/>
                <w:sz w:val="16"/>
                <w:szCs w:val="16"/>
                <w:lang w:eastAsia="es-ES"/>
              </w:rPr>
              <w:t>Sebastián Ramírez Grisales</w:t>
            </w:r>
          </w:p>
          <w:p w14:paraId="72718C99" w14:textId="4AABF040" w:rsidR="00BE1E33" w:rsidRPr="006C15D5" w:rsidRDefault="00520DD8" w:rsidP="00520DD8">
            <w:pPr>
              <w:rPr>
                <w:rFonts w:ascii="Arial" w:eastAsia="Times New Roman" w:hAnsi="Arial" w:cs="Arial"/>
                <w:color w:val="000000" w:themeColor="text1"/>
                <w:sz w:val="16"/>
                <w:szCs w:val="16"/>
                <w:lang w:eastAsia="es-ES"/>
              </w:rPr>
            </w:pPr>
            <w:r w:rsidRPr="00520DD8">
              <w:rPr>
                <w:rFonts w:ascii="Arial" w:eastAsia="Times New Roman" w:hAnsi="Arial" w:cs="Arial"/>
                <w:color w:val="000000" w:themeColor="text1"/>
                <w:sz w:val="16"/>
                <w:szCs w:val="16"/>
                <w:lang w:eastAsia="es-ES"/>
              </w:rPr>
              <w:t xml:space="preserve">Contratista </w:t>
            </w:r>
            <w:r>
              <w:rPr>
                <w:rFonts w:ascii="Arial" w:eastAsia="Times New Roman" w:hAnsi="Arial" w:cs="Arial"/>
                <w:color w:val="000000" w:themeColor="text1"/>
                <w:sz w:val="16"/>
                <w:szCs w:val="16"/>
                <w:lang w:eastAsia="es-ES"/>
              </w:rPr>
              <w:t>de la</w:t>
            </w:r>
            <w:r w:rsidRPr="00520DD8">
              <w:rPr>
                <w:rFonts w:ascii="Arial" w:eastAsia="Times New Roman" w:hAnsi="Arial" w:cs="Arial"/>
                <w:color w:val="000000" w:themeColor="text1"/>
                <w:sz w:val="16"/>
                <w:szCs w:val="16"/>
                <w:lang w:eastAsia="es-ES"/>
              </w:rPr>
              <w:t xml:space="preserve"> Subdirección de Gestión Contractual</w:t>
            </w:r>
          </w:p>
        </w:tc>
      </w:tr>
      <w:tr w:rsidR="00982E99" w:rsidRPr="003F6D32" w14:paraId="57DAFEF9" w14:textId="77777777" w:rsidTr="00AC43E7">
        <w:trPr>
          <w:trHeight w:val="300"/>
        </w:trPr>
        <w:tc>
          <w:tcPr>
            <w:tcW w:w="812" w:type="dxa"/>
            <w:vAlign w:val="center"/>
            <w:hideMark/>
          </w:tcPr>
          <w:p w14:paraId="70677013"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B4373C0"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Fabián Gonzalo Marín Cortés</w:t>
            </w:r>
          </w:p>
          <w:p w14:paraId="75BC677C"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Subdirector de Gestión Contractual</w:t>
            </w:r>
          </w:p>
        </w:tc>
      </w:tr>
    </w:tbl>
    <w:p w14:paraId="07748B46" w14:textId="77777777" w:rsidR="00BE1E33" w:rsidRPr="006C15D5" w:rsidRDefault="00BE1E33" w:rsidP="00BE1E33">
      <w:pPr>
        <w:rPr>
          <w:rFonts w:ascii="Arial" w:hAnsi="Arial" w:cs="Arial"/>
          <w:color w:val="000000" w:themeColor="text1"/>
        </w:rPr>
      </w:pPr>
    </w:p>
    <w:p w14:paraId="085A31AB" w14:textId="77777777" w:rsidR="006C5955" w:rsidRPr="006C15D5" w:rsidRDefault="006C5955" w:rsidP="00BE1E33">
      <w:pPr>
        <w:rPr>
          <w:color w:val="000000" w:themeColor="text1"/>
        </w:rPr>
      </w:pPr>
    </w:p>
    <w:sectPr w:rsidR="006C5955" w:rsidRPr="006C15D5" w:rsidSect="00AC43E7">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F37CAA" w14:textId="77777777" w:rsidR="00085888" w:rsidRDefault="00085888" w:rsidP="008C487C">
      <w:r>
        <w:separator/>
      </w:r>
    </w:p>
  </w:endnote>
  <w:endnote w:type="continuationSeparator" w:id="0">
    <w:p w14:paraId="132F3AE7" w14:textId="77777777" w:rsidR="00085888" w:rsidRDefault="00085888"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7B59A" w14:textId="3A65DB1A" w:rsidR="00AC43E7" w:rsidRDefault="00AC43E7" w:rsidP="00AC43E7">
    <w:pPr>
      <w:pStyle w:val="Sinespaciado"/>
      <w:jc w:val="right"/>
      <w:rPr>
        <w:rFonts w:ascii="Arial" w:hAnsi="Arial" w:cs="Arial"/>
        <w:sz w:val="18"/>
        <w:szCs w:val="18"/>
      </w:rPr>
    </w:pPr>
  </w:p>
  <w:p w14:paraId="709352A1" w14:textId="77777777" w:rsidR="00AC43E7" w:rsidRDefault="00AC43E7" w:rsidP="00AC43E7">
    <w:pPr>
      <w:pStyle w:val="Sinespaciado"/>
      <w:jc w:val="right"/>
      <w:rPr>
        <w:rFonts w:ascii="Arial" w:hAnsi="Arial" w:cs="Arial"/>
        <w:sz w:val="18"/>
        <w:szCs w:val="18"/>
      </w:rPr>
    </w:pPr>
  </w:p>
  <w:p w14:paraId="3D3EB348" w14:textId="114C2518" w:rsidR="00AC43E7" w:rsidRPr="008217B7" w:rsidRDefault="00AC43E7" w:rsidP="00AC43E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676D2B">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676D2B">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p>
  <w:p w14:paraId="29709EEF" w14:textId="77777777" w:rsidR="00AC43E7" w:rsidRDefault="6587E1C5" w:rsidP="00AC43E7">
    <w:pPr>
      <w:pStyle w:val="Piedepgina"/>
      <w:jc w:val="center"/>
      <w:rPr>
        <w:lang w:val="es-ES"/>
      </w:rPr>
    </w:pPr>
    <w:r>
      <w:rPr>
        <w:noProof/>
      </w:rPr>
      <w:drawing>
        <wp:inline distT="0" distB="0" distL="0" distR="0" wp14:anchorId="0323F87D" wp14:editId="055883F9">
          <wp:extent cx="3700130" cy="519139"/>
          <wp:effectExtent l="0" t="0" r="0" b="0"/>
          <wp:docPr id="121829556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08DFF21" w14:textId="77777777" w:rsidR="00AC43E7" w:rsidRPr="00E756AC" w:rsidRDefault="00AC43E7" w:rsidP="00AC43E7">
    <w:pPr>
      <w:pStyle w:val="Piedepgina"/>
      <w:jc w:val="center"/>
      <w:rPr>
        <w:sz w:val="18"/>
        <w:szCs w:val="18"/>
        <w:lang w:val="es-ES"/>
      </w:rPr>
    </w:pPr>
  </w:p>
  <w:p w14:paraId="428179B1" w14:textId="77777777" w:rsidR="00AC43E7" w:rsidRPr="00E756AC" w:rsidRDefault="00AC43E7" w:rsidP="00AC43E7">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7CFA9" w14:textId="77777777" w:rsidR="00085888" w:rsidRDefault="00085888" w:rsidP="008C487C">
      <w:r>
        <w:separator/>
      </w:r>
    </w:p>
  </w:footnote>
  <w:footnote w:type="continuationSeparator" w:id="0">
    <w:p w14:paraId="1B242CC6" w14:textId="77777777" w:rsidR="00085888" w:rsidRDefault="00085888" w:rsidP="008C487C">
      <w:r>
        <w:continuationSeparator/>
      </w:r>
    </w:p>
  </w:footnote>
  <w:footnote w:id="1">
    <w:p w14:paraId="5F7A7254" w14:textId="77777777" w:rsidR="00D26C81" w:rsidRPr="0016135D" w:rsidRDefault="00D26C81" w:rsidP="00D26C81">
      <w:pPr>
        <w:pStyle w:val="Textonotapie"/>
        <w:ind w:firstLine="708"/>
        <w:jc w:val="both"/>
        <w:rPr>
          <w:rFonts w:ascii="Arial" w:eastAsia="Calibri" w:hAnsi="Arial" w:cs="Arial"/>
          <w:sz w:val="19"/>
          <w:szCs w:val="19"/>
        </w:rPr>
      </w:pPr>
      <w:r w:rsidRPr="0016135D">
        <w:rPr>
          <w:rStyle w:val="Refdenotaalpie"/>
          <w:rFonts w:ascii="Arial" w:hAnsi="Arial" w:cs="Arial"/>
          <w:sz w:val="19"/>
          <w:szCs w:val="19"/>
        </w:rPr>
        <w:footnoteRef/>
      </w:r>
      <w:r w:rsidRPr="0016135D">
        <w:rPr>
          <w:rFonts w:ascii="Arial" w:hAnsi="Arial" w:cs="Arial"/>
          <w:sz w:val="19"/>
          <w:szCs w:val="19"/>
        </w:rPr>
        <w:t xml:space="preserve"> </w:t>
      </w:r>
      <w:r w:rsidRPr="0016135D">
        <w:rPr>
          <w:rFonts w:ascii="Arial" w:eastAsia="Calibri" w:hAnsi="Arial" w:cs="Arial"/>
          <w:sz w:val="19"/>
          <w:szCs w:val="19"/>
        </w:rPr>
        <w:t xml:space="preserve">Diario Oficial. Gaceta del Congreso 458 de 2005. </w:t>
      </w:r>
    </w:p>
    <w:p w14:paraId="7780FA92" w14:textId="77777777" w:rsidR="00D26C81" w:rsidRPr="0016135D" w:rsidRDefault="00D26C81" w:rsidP="00D26C81">
      <w:pPr>
        <w:pStyle w:val="Textonotapie"/>
        <w:ind w:firstLine="708"/>
        <w:jc w:val="both"/>
        <w:rPr>
          <w:rFonts w:ascii="Arial" w:hAnsi="Arial" w:cs="Arial"/>
          <w:sz w:val="19"/>
          <w:szCs w:val="19"/>
          <w:lang w:val="es-ES"/>
        </w:rPr>
      </w:pPr>
    </w:p>
  </w:footnote>
  <w:footnote w:id="2">
    <w:p w14:paraId="2A19AF1F" w14:textId="77777777" w:rsidR="00D26C81" w:rsidRPr="0016135D" w:rsidRDefault="00D26C81" w:rsidP="00D26C81">
      <w:pPr>
        <w:pStyle w:val="Textonotapie"/>
        <w:ind w:left="708"/>
        <w:jc w:val="both"/>
        <w:rPr>
          <w:rFonts w:ascii="Arial" w:hAnsi="Arial" w:cs="Arial"/>
          <w:sz w:val="19"/>
          <w:szCs w:val="19"/>
          <w:lang w:val="es-ES"/>
        </w:rPr>
      </w:pPr>
      <w:r w:rsidRPr="0016135D">
        <w:rPr>
          <w:rFonts w:ascii="Arial" w:hAnsi="Arial" w:cs="Arial"/>
          <w:sz w:val="19"/>
          <w:szCs w:val="19"/>
          <w:vertAlign w:val="superscript"/>
          <w:lang w:val="es-ES"/>
        </w:rPr>
        <w:footnoteRef/>
      </w:r>
      <w:r w:rsidRPr="0016135D">
        <w:rPr>
          <w:rFonts w:ascii="Arial" w:hAnsi="Arial" w:cs="Arial"/>
          <w:sz w:val="19"/>
          <w:szCs w:val="19"/>
          <w:vertAlign w:val="superscript"/>
          <w:lang w:val="es-ES"/>
        </w:rPr>
        <w:t xml:space="preserve"> </w:t>
      </w:r>
      <w:r w:rsidRPr="0016135D">
        <w:rPr>
          <w:rFonts w:ascii="Arial" w:hAnsi="Arial" w:cs="Arial"/>
          <w:i/>
          <w:iCs/>
          <w:sz w:val="19"/>
          <w:szCs w:val="19"/>
          <w:lang w:val="es-ES"/>
        </w:rPr>
        <w:t>Ibídem</w:t>
      </w:r>
      <w:r w:rsidRPr="0016135D">
        <w:rPr>
          <w:rFonts w:ascii="Arial" w:hAnsi="Arial" w:cs="Arial"/>
          <w:sz w:val="19"/>
          <w:szCs w:val="19"/>
          <w:lang w:val="es-ES"/>
        </w:rPr>
        <w:t xml:space="preserve">. </w:t>
      </w:r>
    </w:p>
    <w:p w14:paraId="36600A4F" w14:textId="77777777" w:rsidR="00D26C81" w:rsidRPr="0016135D" w:rsidRDefault="00D26C81" w:rsidP="00D26C81">
      <w:pPr>
        <w:pStyle w:val="Textonotapie"/>
        <w:ind w:left="708"/>
        <w:jc w:val="both"/>
        <w:rPr>
          <w:rFonts w:ascii="Arial" w:hAnsi="Arial" w:cs="Arial"/>
          <w:sz w:val="19"/>
          <w:szCs w:val="19"/>
          <w:lang w:val="es-ES"/>
        </w:rPr>
      </w:pPr>
    </w:p>
  </w:footnote>
  <w:footnote w:id="3">
    <w:p w14:paraId="1D784E92" w14:textId="77777777" w:rsidR="00D26C81" w:rsidRPr="0016135D" w:rsidRDefault="00D26C81" w:rsidP="00D26C81">
      <w:pPr>
        <w:pStyle w:val="Textonotapie"/>
        <w:ind w:firstLine="708"/>
        <w:jc w:val="both"/>
        <w:rPr>
          <w:rFonts w:ascii="Arial" w:hAnsi="Arial" w:cs="Arial"/>
          <w:sz w:val="19"/>
          <w:szCs w:val="19"/>
          <w:lang w:val="es-ES"/>
        </w:rPr>
      </w:pPr>
      <w:r w:rsidRPr="0016135D">
        <w:rPr>
          <w:rFonts w:ascii="Arial" w:hAnsi="Arial" w:cs="Arial"/>
          <w:sz w:val="19"/>
          <w:szCs w:val="19"/>
          <w:vertAlign w:val="superscript"/>
          <w:lang w:val="es-ES"/>
        </w:rPr>
        <w:footnoteRef/>
      </w:r>
      <w:r w:rsidRPr="0016135D">
        <w:rPr>
          <w:rFonts w:ascii="Arial" w:hAnsi="Arial" w:cs="Arial"/>
          <w:sz w:val="19"/>
          <w:szCs w:val="19"/>
          <w:lang w:val="es-ES"/>
        </w:rPr>
        <w:t xml:space="preserve"> Diario Oficial. Gaceta del Congreso 416 de 2007, Informe de Conciliación Senado. </w:t>
      </w:r>
    </w:p>
  </w:footnote>
  <w:footnote w:id="4">
    <w:p w14:paraId="2B6AF0A9" w14:textId="77777777" w:rsidR="00D26C81" w:rsidRPr="0016135D" w:rsidRDefault="00D26C81" w:rsidP="00D26C81">
      <w:pPr>
        <w:pStyle w:val="NormalWeb"/>
        <w:spacing w:before="0" w:beforeAutospacing="0" w:after="0" w:afterAutospacing="0"/>
        <w:ind w:firstLine="708"/>
        <w:jc w:val="both"/>
        <w:rPr>
          <w:rFonts w:ascii="Arial" w:hAnsi="Arial" w:cs="Arial"/>
          <w:sz w:val="19"/>
          <w:szCs w:val="19"/>
        </w:rPr>
      </w:pPr>
      <w:r w:rsidRPr="0016135D">
        <w:rPr>
          <w:rStyle w:val="Refdenotaalpie"/>
          <w:rFonts w:ascii="Arial" w:hAnsi="Arial" w:cs="Arial"/>
          <w:sz w:val="19"/>
          <w:szCs w:val="19"/>
        </w:rPr>
        <w:footnoteRef/>
      </w:r>
      <w:r w:rsidRPr="0016135D">
        <w:rPr>
          <w:rFonts w:ascii="Arial" w:hAnsi="Arial" w:cs="Arial"/>
          <w:sz w:val="19"/>
          <w:szCs w:val="19"/>
        </w:rPr>
        <w:t xml:space="preserve"> «</w:t>
      </w:r>
      <w:r w:rsidRPr="0016135D">
        <w:rPr>
          <w:rStyle w:val="Textoennegrita"/>
          <w:rFonts w:ascii="Arial" w:hAnsi="Arial" w:cs="Arial"/>
          <w:b w:val="0"/>
          <w:bCs w:val="0"/>
          <w:sz w:val="19"/>
          <w:szCs w:val="19"/>
        </w:rPr>
        <w:t>2.2.1.2.6.1.2. </w:t>
      </w:r>
      <w:r w:rsidRPr="0016135D">
        <w:rPr>
          <w:rStyle w:val="nfasis"/>
          <w:rFonts w:ascii="Arial" w:hAnsi="Arial" w:cs="Arial"/>
          <w:sz w:val="19"/>
          <w:szCs w:val="19"/>
        </w:rPr>
        <w:t>Alcance</w:t>
      </w:r>
      <w:r w:rsidRPr="0016135D">
        <w:rPr>
          <w:rFonts w:ascii="Arial" w:hAnsi="Arial" w:cs="Arial"/>
          <w:sz w:val="19"/>
          <w:szCs w:val="19"/>
        </w:rPr>
        <w:t>. Los Documentos Tipo contienen parámetros obligatorios para las entidades estatales sometidas al Estatuto General de la Contratación Pública que adelanten procesos de selección de licitación de obra pública de infraestructura de transporte. Estos documentos son: </w:t>
      </w:r>
    </w:p>
    <w:p w14:paraId="409F5105" w14:textId="77777777" w:rsidR="00D26C81" w:rsidRPr="0016135D" w:rsidRDefault="00D26C81" w:rsidP="00D26C81">
      <w:pPr>
        <w:pStyle w:val="NormalWeb"/>
        <w:spacing w:before="0" w:beforeAutospacing="0" w:after="0" w:afterAutospacing="0"/>
        <w:ind w:firstLine="708"/>
        <w:jc w:val="both"/>
        <w:rPr>
          <w:rFonts w:ascii="Arial" w:hAnsi="Arial" w:cs="Arial"/>
          <w:sz w:val="19"/>
          <w:szCs w:val="19"/>
        </w:rPr>
      </w:pPr>
      <w:r w:rsidRPr="0016135D">
        <w:rPr>
          <w:rFonts w:ascii="Arial" w:hAnsi="Arial" w:cs="Arial"/>
          <w:sz w:val="19"/>
          <w:szCs w:val="19"/>
        </w:rPr>
        <w:t>»</w:t>
      </w:r>
      <w:r w:rsidRPr="0016135D">
        <w:rPr>
          <w:rStyle w:val="Textoennegrita"/>
          <w:rFonts w:ascii="Arial" w:hAnsi="Arial" w:cs="Arial"/>
          <w:b w:val="0"/>
          <w:bCs w:val="0"/>
          <w:sz w:val="19"/>
          <w:szCs w:val="19"/>
        </w:rPr>
        <w:t xml:space="preserve">A) Documento Base del Pliego Tipo; B) ANEXOS: </w:t>
      </w:r>
      <w:r w:rsidRPr="0016135D">
        <w:rPr>
          <w:rFonts w:ascii="Arial" w:hAnsi="Arial" w:cs="Arial"/>
          <w:sz w:val="19"/>
          <w:szCs w:val="19"/>
        </w:rPr>
        <w:t xml:space="preserve">1. Anexo 1- Anexo Técnico, 2. Anexo 2- Cronograma, 3. Anexo 3- Glosario, 4. Anexo 4- Pacto de Transparencia, 5. Anexo 5- Minuta del Contrato; </w:t>
      </w:r>
      <w:r w:rsidRPr="0016135D">
        <w:rPr>
          <w:rStyle w:val="Textoennegrita"/>
          <w:rFonts w:ascii="Arial" w:hAnsi="Arial" w:cs="Arial"/>
          <w:b w:val="0"/>
          <w:bCs w:val="0"/>
          <w:sz w:val="19"/>
          <w:szCs w:val="19"/>
        </w:rPr>
        <w:t>C) FORMATOS:</w:t>
      </w:r>
      <w:r w:rsidRPr="0016135D">
        <w:rPr>
          <w:rFonts w:ascii="Arial" w:hAnsi="Arial" w:cs="Arial"/>
          <w:sz w:val="19"/>
          <w:szCs w:val="19"/>
        </w:rPr>
        <w:t xml:space="preserve">1. Formato 1 - Carta de presentación de la oferta, 2. Formato 2 - Conformación de proponente plural, 3. Formato 3 – Experiencia, 4. Formato 4 - Capacidad financiera y organizacional para extranjeros, 5. Formato 5 - Capacidad residual, 6. Formato 6 - Pagos de seguridad social y aportes legales, 7. Formato 7 - Factor de calidad, 8. Formato 8 - Vinculación de personas con discapacidad, 9. Formato 9 - Puntaje de industria nacional; </w:t>
      </w:r>
      <w:r w:rsidRPr="0016135D">
        <w:rPr>
          <w:rStyle w:val="Textoennegrita"/>
          <w:rFonts w:ascii="Arial" w:hAnsi="Arial" w:cs="Arial"/>
          <w:b w:val="0"/>
          <w:bCs w:val="0"/>
          <w:sz w:val="19"/>
          <w:szCs w:val="19"/>
        </w:rPr>
        <w:t xml:space="preserve">D) MATRICES: </w:t>
      </w:r>
      <w:r w:rsidRPr="0016135D">
        <w:rPr>
          <w:rFonts w:ascii="Arial" w:hAnsi="Arial" w:cs="Arial"/>
          <w:sz w:val="19"/>
          <w:szCs w:val="19"/>
        </w:rPr>
        <w:t xml:space="preserve">1. Matriz 1 – Experiencia, 2. Matriz 2 - Indicadores financieros y organizacionales, 3. Matriz 3 – Riesgos; </w:t>
      </w:r>
      <w:r w:rsidRPr="0016135D">
        <w:rPr>
          <w:rStyle w:val="Textoennegrita"/>
          <w:rFonts w:ascii="Arial" w:hAnsi="Arial" w:cs="Arial"/>
          <w:b w:val="0"/>
          <w:bCs w:val="0"/>
          <w:sz w:val="19"/>
          <w:szCs w:val="19"/>
        </w:rPr>
        <w:t xml:space="preserve">E) FORMULARIOS: </w:t>
      </w:r>
      <w:r w:rsidRPr="0016135D">
        <w:rPr>
          <w:rFonts w:ascii="Arial" w:hAnsi="Arial" w:cs="Arial"/>
          <w:sz w:val="19"/>
          <w:szCs w:val="19"/>
        </w:rPr>
        <w:t xml:space="preserve">1. Formulario 1- Formulario de Presupuesto Oficial. </w:t>
      </w:r>
    </w:p>
    <w:p w14:paraId="3AF40D8D" w14:textId="77777777" w:rsidR="00D26C81" w:rsidRPr="0016135D" w:rsidRDefault="00D26C81" w:rsidP="00D26C81">
      <w:pPr>
        <w:pStyle w:val="NormalWeb"/>
        <w:spacing w:before="0" w:beforeAutospacing="0" w:after="0" w:afterAutospacing="0"/>
        <w:ind w:firstLine="708"/>
        <w:jc w:val="both"/>
        <w:rPr>
          <w:rFonts w:ascii="Arial" w:hAnsi="Arial" w:cs="Arial"/>
          <w:sz w:val="19"/>
          <w:szCs w:val="19"/>
        </w:rPr>
      </w:pPr>
      <w:r w:rsidRPr="0016135D">
        <w:rPr>
          <w:rFonts w:ascii="Arial" w:hAnsi="Arial" w:cs="Arial"/>
          <w:sz w:val="19"/>
          <w:szCs w:val="19"/>
        </w:rPr>
        <w:t>»Parágrafo. Cuando la entidad estatal utilice SECOP II, o el sistema que haga sus veces, debe adaptar el contenido de los Documentos Tipo a esta plataforma».</w:t>
      </w:r>
    </w:p>
    <w:p w14:paraId="3FB8A0CE" w14:textId="77777777" w:rsidR="00D26C81" w:rsidRPr="0016135D" w:rsidRDefault="00D26C81" w:rsidP="00D26C81">
      <w:pPr>
        <w:pStyle w:val="Textonotapie"/>
        <w:jc w:val="both"/>
        <w:rPr>
          <w:rFonts w:ascii="Arial" w:hAnsi="Arial" w:cs="Arial"/>
          <w:sz w:val="19"/>
          <w:szCs w:val="19"/>
          <w:lang w:val="es-CO"/>
        </w:rPr>
      </w:pPr>
    </w:p>
  </w:footnote>
  <w:footnote w:id="5">
    <w:p w14:paraId="28FDDCB9" w14:textId="77777777" w:rsidR="00D26C81" w:rsidRPr="0016135D" w:rsidRDefault="00D26C81" w:rsidP="00D26C81">
      <w:pPr>
        <w:pStyle w:val="Textonotapie"/>
        <w:ind w:firstLine="709"/>
        <w:jc w:val="both"/>
        <w:rPr>
          <w:rFonts w:ascii="Arial" w:hAnsi="Arial" w:cs="Arial"/>
          <w:sz w:val="19"/>
          <w:szCs w:val="19"/>
        </w:rPr>
      </w:pPr>
      <w:r w:rsidRPr="0016135D">
        <w:rPr>
          <w:rStyle w:val="Refdenotaalpie"/>
          <w:rFonts w:ascii="Arial" w:hAnsi="Arial" w:cs="Arial"/>
          <w:sz w:val="19"/>
          <w:szCs w:val="19"/>
        </w:rPr>
        <w:footnoteRef/>
      </w:r>
      <w:r w:rsidRPr="0016135D">
        <w:rPr>
          <w:rFonts w:ascii="Arial" w:hAnsi="Arial" w:cs="Arial"/>
          <w:sz w:val="19"/>
          <w:szCs w:val="19"/>
        </w:rPr>
        <w:t xml:space="preserve"> «2.2.1.2.6.2.2. Alcance. Los Documentos Tipo contienen parámetros obligatorios para las Entidades sometidas al Estatuto General de Contratación de la Administración Pública que adelanten procesos de selección abreviada de menor cuantía de obra pública de infraestructura de transporte. Estos documentos son: </w:t>
      </w:r>
    </w:p>
    <w:p w14:paraId="2E096F8A" w14:textId="77777777" w:rsidR="00D26C81" w:rsidRPr="0016135D" w:rsidRDefault="00D26C81" w:rsidP="00D26C81">
      <w:pPr>
        <w:pStyle w:val="Textonotapie"/>
        <w:ind w:firstLine="709"/>
        <w:jc w:val="both"/>
        <w:rPr>
          <w:rFonts w:ascii="Arial" w:hAnsi="Arial" w:cs="Arial"/>
          <w:sz w:val="19"/>
          <w:szCs w:val="19"/>
        </w:rPr>
      </w:pPr>
      <w:r w:rsidRPr="0016135D">
        <w:rPr>
          <w:rFonts w:ascii="Arial" w:hAnsi="Arial" w:cs="Arial"/>
          <w:sz w:val="19"/>
          <w:szCs w:val="19"/>
        </w:rPr>
        <w:t>»A. Documento Base del Pliego Tipo; B. Anexos: 1. Anexo 1 - Anexo Técnico,2. Anexo 2 – Cronograma, 3. Anexo 3 Glosario Anexo, 4 - Pacto de Transparencia,5. Anexo 5 - Minuta del Contrato; C. Formatos: 1. Formato 1 - Carta de presentación de la oferta, 2. Formato 2 - Conformación de proponente plural, 3. Formato 3 – Experiencia, 4.Formato 4 Capacidad financiera y organizacional para extranjeros, 5. Formato 5 - Capacidad residual, 6. Formato 6 - Pagos seguridad social y aportes legales, 7. Formato 7 - Factor de calidad, 8. Formato 8 - Vinculación de personas con discapacidad, 9. Formato 9 Puntaje de industria nacional,10. Formato 10 - Carta de Manifestación Interés; D. Matrices: 1. Matriz 1 – Experiencia, 2. Matriz 2 - Indicadores financieros y organizacionales, 3. Matriz 3 – Riesgos. E. Formularios: 1. Formulario 1- Formulario de Presupuesto Oficial.</w:t>
      </w:r>
    </w:p>
    <w:p w14:paraId="3B08BBCD" w14:textId="77777777" w:rsidR="00D26C81" w:rsidRPr="0016135D" w:rsidRDefault="00D26C81" w:rsidP="00D26C81">
      <w:pPr>
        <w:pStyle w:val="Textonotapie"/>
        <w:ind w:firstLine="709"/>
        <w:jc w:val="both"/>
        <w:rPr>
          <w:rFonts w:ascii="Arial" w:hAnsi="Arial" w:cs="Arial"/>
          <w:sz w:val="19"/>
          <w:szCs w:val="19"/>
          <w:lang w:val="es-CO"/>
        </w:rPr>
      </w:pPr>
      <w:r w:rsidRPr="0016135D">
        <w:rPr>
          <w:rFonts w:ascii="Arial" w:hAnsi="Arial" w:cs="Arial"/>
          <w:sz w:val="19"/>
          <w:szCs w:val="19"/>
        </w:rPr>
        <w:t>»Parágrafo. Cuando la Entidad Estatal utilice SECOP II, o el sistema que haga sus veces, debe adaptar el contenido de los Documentos Tipo a esta plataforma».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98637" w14:textId="77777777" w:rsidR="00AC43E7" w:rsidRDefault="00AC43E7">
    <w:pPr>
      <w:pStyle w:val="Encabezado"/>
    </w:pPr>
    <w:r>
      <w:rPr>
        <w:noProof/>
        <w:lang w:val="en-US"/>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E96C8B24"/>
    <w:lvl w:ilvl="0">
      <w:start w:val="1"/>
      <w:numFmt w:val="decimal"/>
      <w:lvlText w:val="%1."/>
      <w:lvlJc w:val="left"/>
      <w:pPr>
        <w:ind w:left="6601" w:hanging="360"/>
      </w:pPr>
      <w:rPr>
        <w:b/>
        <w:bCs w:val="0"/>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01BE0"/>
    <w:rsid w:val="00001E46"/>
    <w:rsid w:val="000047EA"/>
    <w:rsid w:val="00010D30"/>
    <w:rsid w:val="00023057"/>
    <w:rsid w:val="00024771"/>
    <w:rsid w:val="0003091B"/>
    <w:rsid w:val="000333A2"/>
    <w:rsid w:val="00036E73"/>
    <w:rsid w:val="00040C88"/>
    <w:rsid w:val="00040D6E"/>
    <w:rsid w:val="00042C0C"/>
    <w:rsid w:val="00043A4D"/>
    <w:rsid w:val="00044FF2"/>
    <w:rsid w:val="00047050"/>
    <w:rsid w:val="00055321"/>
    <w:rsid w:val="00061EE4"/>
    <w:rsid w:val="00062B0D"/>
    <w:rsid w:val="0006519B"/>
    <w:rsid w:val="00080FE3"/>
    <w:rsid w:val="00085888"/>
    <w:rsid w:val="00086A16"/>
    <w:rsid w:val="00091570"/>
    <w:rsid w:val="00091D8F"/>
    <w:rsid w:val="00097CD6"/>
    <w:rsid w:val="000A1DBA"/>
    <w:rsid w:val="000A3B96"/>
    <w:rsid w:val="000A6338"/>
    <w:rsid w:val="000C0E39"/>
    <w:rsid w:val="000C51AF"/>
    <w:rsid w:val="000C5C37"/>
    <w:rsid w:val="000D088F"/>
    <w:rsid w:val="000E4A3C"/>
    <w:rsid w:val="000E4F45"/>
    <w:rsid w:val="000E6867"/>
    <w:rsid w:val="000F211E"/>
    <w:rsid w:val="00105110"/>
    <w:rsid w:val="001056C0"/>
    <w:rsid w:val="00107607"/>
    <w:rsid w:val="00112597"/>
    <w:rsid w:val="0012074A"/>
    <w:rsid w:val="001321AB"/>
    <w:rsid w:val="00140E57"/>
    <w:rsid w:val="00141C64"/>
    <w:rsid w:val="0014462B"/>
    <w:rsid w:val="0016135D"/>
    <w:rsid w:val="00164E79"/>
    <w:rsid w:val="00166C81"/>
    <w:rsid w:val="0017603D"/>
    <w:rsid w:val="00181A3E"/>
    <w:rsid w:val="001865DB"/>
    <w:rsid w:val="00194C50"/>
    <w:rsid w:val="001B2E5D"/>
    <w:rsid w:val="001B3D2C"/>
    <w:rsid w:val="001D38A0"/>
    <w:rsid w:val="001D5ECE"/>
    <w:rsid w:val="001E1C6D"/>
    <w:rsid w:val="001E3F37"/>
    <w:rsid w:val="001E44A9"/>
    <w:rsid w:val="001E5DBB"/>
    <w:rsid w:val="001F1051"/>
    <w:rsid w:val="001F34A8"/>
    <w:rsid w:val="001F40B2"/>
    <w:rsid w:val="001F4B99"/>
    <w:rsid w:val="002034AD"/>
    <w:rsid w:val="00203BF1"/>
    <w:rsid w:val="00207033"/>
    <w:rsid w:val="00217339"/>
    <w:rsid w:val="002239B4"/>
    <w:rsid w:val="0023008F"/>
    <w:rsid w:val="0023180C"/>
    <w:rsid w:val="00232147"/>
    <w:rsid w:val="00234C6C"/>
    <w:rsid w:val="0025095A"/>
    <w:rsid w:val="00265031"/>
    <w:rsid w:val="00266277"/>
    <w:rsid w:val="002723C7"/>
    <w:rsid w:val="00284C12"/>
    <w:rsid w:val="00286834"/>
    <w:rsid w:val="00295056"/>
    <w:rsid w:val="002A153A"/>
    <w:rsid w:val="002A6417"/>
    <w:rsid w:val="002B282F"/>
    <w:rsid w:val="002B4B30"/>
    <w:rsid w:val="002B56DF"/>
    <w:rsid w:val="002B79E1"/>
    <w:rsid w:val="002C004E"/>
    <w:rsid w:val="002E7BC2"/>
    <w:rsid w:val="002F2DB4"/>
    <w:rsid w:val="002F63BB"/>
    <w:rsid w:val="002F6C10"/>
    <w:rsid w:val="002F701E"/>
    <w:rsid w:val="00302F9F"/>
    <w:rsid w:val="00303EC5"/>
    <w:rsid w:val="00304386"/>
    <w:rsid w:val="00320D4F"/>
    <w:rsid w:val="003401FE"/>
    <w:rsid w:val="00340A7A"/>
    <w:rsid w:val="003417F0"/>
    <w:rsid w:val="0034520C"/>
    <w:rsid w:val="00350A47"/>
    <w:rsid w:val="00376079"/>
    <w:rsid w:val="00386D5A"/>
    <w:rsid w:val="00390DCF"/>
    <w:rsid w:val="00396821"/>
    <w:rsid w:val="003A2944"/>
    <w:rsid w:val="003A64C9"/>
    <w:rsid w:val="003A7F3E"/>
    <w:rsid w:val="003B0DEF"/>
    <w:rsid w:val="003C2074"/>
    <w:rsid w:val="003C3ADB"/>
    <w:rsid w:val="003D11B5"/>
    <w:rsid w:val="003D134C"/>
    <w:rsid w:val="003D69A5"/>
    <w:rsid w:val="003E14F9"/>
    <w:rsid w:val="003E5DCB"/>
    <w:rsid w:val="003F3119"/>
    <w:rsid w:val="003F6D32"/>
    <w:rsid w:val="00424A45"/>
    <w:rsid w:val="00430B5A"/>
    <w:rsid w:val="00431C20"/>
    <w:rsid w:val="00434FFC"/>
    <w:rsid w:val="0044207D"/>
    <w:rsid w:val="004439E2"/>
    <w:rsid w:val="00447FE5"/>
    <w:rsid w:val="00454C85"/>
    <w:rsid w:val="004617B8"/>
    <w:rsid w:val="00462A87"/>
    <w:rsid w:val="0046504E"/>
    <w:rsid w:val="00467620"/>
    <w:rsid w:val="00467C7C"/>
    <w:rsid w:val="004758FE"/>
    <w:rsid w:val="00477D36"/>
    <w:rsid w:val="004830C8"/>
    <w:rsid w:val="004837AB"/>
    <w:rsid w:val="00483A2F"/>
    <w:rsid w:val="00490DBF"/>
    <w:rsid w:val="004A128C"/>
    <w:rsid w:val="004A5E72"/>
    <w:rsid w:val="004A6EE1"/>
    <w:rsid w:val="004B07EC"/>
    <w:rsid w:val="004B1BEE"/>
    <w:rsid w:val="004B2AB8"/>
    <w:rsid w:val="004B5B9E"/>
    <w:rsid w:val="004C24D5"/>
    <w:rsid w:val="004C481E"/>
    <w:rsid w:val="004D1ADE"/>
    <w:rsid w:val="004D770C"/>
    <w:rsid w:val="004E370E"/>
    <w:rsid w:val="004E7EAE"/>
    <w:rsid w:val="004F4387"/>
    <w:rsid w:val="00510BF5"/>
    <w:rsid w:val="00513233"/>
    <w:rsid w:val="0051653B"/>
    <w:rsid w:val="00520DD8"/>
    <w:rsid w:val="00521BA7"/>
    <w:rsid w:val="005252E2"/>
    <w:rsid w:val="005379AD"/>
    <w:rsid w:val="005511D5"/>
    <w:rsid w:val="00564088"/>
    <w:rsid w:val="00565D9C"/>
    <w:rsid w:val="005676DC"/>
    <w:rsid w:val="0057558E"/>
    <w:rsid w:val="00575DC6"/>
    <w:rsid w:val="00585FB5"/>
    <w:rsid w:val="00591586"/>
    <w:rsid w:val="005A4024"/>
    <w:rsid w:val="005B7357"/>
    <w:rsid w:val="005C673B"/>
    <w:rsid w:val="005E247C"/>
    <w:rsid w:val="005F5D19"/>
    <w:rsid w:val="005F6CBF"/>
    <w:rsid w:val="00611A40"/>
    <w:rsid w:val="00612D14"/>
    <w:rsid w:val="006135E6"/>
    <w:rsid w:val="00632E10"/>
    <w:rsid w:val="00632EA5"/>
    <w:rsid w:val="00635CBC"/>
    <w:rsid w:val="0065701C"/>
    <w:rsid w:val="00662792"/>
    <w:rsid w:val="00673DB8"/>
    <w:rsid w:val="00676D2B"/>
    <w:rsid w:val="006818B6"/>
    <w:rsid w:val="006824B8"/>
    <w:rsid w:val="0068288E"/>
    <w:rsid w:val="00694209"/>
    <w:rsid w:val="006A5090"/>
    <w:rsid w:val="006A7743"/>
    <w:rsid w:val="006B6C6A"/>
    <w:rsid w:val="006C15D5"/>
    <w:rsid w:val="006C234F"/>
    <w:rsid w:val="006C3D0C"/>
    <w:rsid w:val="006C5955"/>
    <w:rsid w:val="006D3624"/>
    <w:rsid w:val="006D39A8"/>
    <w:rsid w:val="006D483C"/>
    <w:rsid w:val="006D519D"/>
    <w:rsid w:val="006D771F"/>
    <w:rsid w:val="006F3802"/>
    <w:rsid w:val="006F39D0"/>
    <w:rsid w:val="006F63F4"/>
    <w:rsid w:val="006F7746"/>
    <w:rsid w:val="00704D71"/>
    <w:rsid w:val="00711157"/>
    <w:rsid w:val="00714800"/>
    <w:rsid w:val="00715B7E"/>
    <w:rsid w:val="007229FD"/>
    <w:rsid w:val="00730CDB"/>
    <w:rsid w:val="00736711"/>
    <w:rsid w:val="00736C89"/>
    <w:rsid w:val="0074421C"/>
    <w:rsid w:val="00745744"/>
    <w:rsid w:val="00747279"/>
    <w:rsid w:val="0075032A"/>
    <w:rsid w:val="00763652"/>
    <w:rsid w:val="00770D7D"/>
    <w:rsid w:val="00772497"/>
    <w:rsid w:val="00787FCE"/>
    <w:rsid w:val="007902C3"/>
    <w:rsid w:val="00790BB8"/>
    <w:rsid w:val="00791377"/>
    <w:rsid w:val="007A45E7"/>
    <w:rsid w:val="007C0A37"/>
    <w:rsid w:val="007C47F2"/>
    <w:rsid w:val="007D1DCF"/>
    <w:rsid w:val="007D62C7"/>
    <w:rsid w:val="007D712A"/>
    <w:rsid w:val="007E0273"/>
    <w:rsid w:val="007E0E0D"/>
    <w:rsid w:val="007E5B53"/>
    <w:rsid w:val="007F2532"/>
    <w:rsid w:val="007F7AC6"/>
    <w:rsid w:val="00803061"/>
    <w:rsid w:val="008057D4"/>
    <w:rsid w:val="00807EEE"/>
    <w:rsid w:val="008135F4"/>
    <w:rsid w:val="00813893"/>
    <w:rsid w:val="0082093B"/>
    <w:rsid w:val="0082266E"/>
    <w:rsid w:val="008234E2"/>
    <w:rsid w:val="00824361"/>
    <w:rsid w:val="00830AA1"/>
    <w:rsid w:val="0083146F"/>
    <w:rsid w:val="008327EE"/>
    <w:rsid w:val="00833F8E"/>
    <w:rsid w:val="0083539E"/>
    <w:rsid w:val="00842E74"/>
    <w:rsid w:val="00843BE5"/>
    <w:rsid w:val="008535C9"/>
    <w:rsid w:val="00856B64"/>
    <w:rsid w:val="00860A39"/>
    <w:rsid w:val="00862463"/>
    <w:rsid w:val="00863DD9"/>
    <w:rsid w:val="00866446"/>
    <w:rsid w:val="0086741B"/>
    <w:rsid w:val="00871568"/>
    <w:rsid w:val="00872D25"/>
    <w:rsid w:val="00886E66"/>
    <w:rsid w:val="00886F29"/>
    <w:rsid w:val="00890DDA"/>
    <w:rsid w:val="00891A49"/>
    <w:rsid w:val="00897DAB"/>
    <w:rsid w:val="008A0633"/>
    <w:rsid w:val="008A3386"/>
    <w:rsid w:val="008A53F2"/>
    <w:rsid w:val="008B09B1"/>
    <w:rsid w:val="008B6474"/>
    <w:rsid w:val="008C24B6"/>
    <w:rsid w:val="008C487C"/>
    <w:rsid w:val="008C4C28"/>
    <w:rsid w:val="008E0FCC"/>
    <w:rsid w:val="008E2FE3"/>
    <w:rsid w:val="008E5698"/>
    <w:rsid w:val="008E5F34"/>
    <w:rsid w:val="008E7D3F"/>
    <w:rsid w:val="008F2267"/>
    <w:rsid w:val="008F3EE2"/>
    <w:rsid w:val="008F590D"/>
    <w:rsid w:val="008F5D4C"/>
    <w:rsid w:val="00905B18"/>
    <w:rsid w:val="009231E0"/>
    <w:rsid w:val="00923548"/>
    <w:rsid w:val="00925293"/>
    <w:rsid w:val="00930E4B"/>
    <w:rsid w:val="0094508D"/>
    <w:rsid w:val="009506A7"/>
    <w:rsid w:val="0095113A"/>
    <w:rsid w:val="00954CF5"/>
    <w:rsid w:val="0096374F"/>
    <w:rsid w:val="0096646C"/>
    <w:rsid w:val="00967230"/>
    <w:rsid w:val="00972087"/>
    <w:rsid w:val="00972C13"/>
    <w:rsid w:val="00976715"/>
    <w:rsid w:val="009812D7"/>
    <w:rsid w:val="00982E99"/>
    <w:rsid w:val="009A5714"/>
    <w:rsid w:val="009A5DA7"/>
    <w:rsid w:val="009B1AEC"/>
    <w:rsid w:val="009B7329"/>
    <w:rsid w:val="009C4B71"/>
    <w:rsid w:val="009D16ED"/>
    <w:rsid w:val="009D1D57"/>
    <w:rsid w:val="009D4F8F"/>
    <w:rsid w:val="009E2544"/>
    <w:rsid w:val="009E2770"/>
    <w:rsid w:val="009E2A4A"/>
    <w:rsid w:val="009E4A43"/>
    <w:rsid w:val="009E6FEC"/>
    <w:rsid w:val="009F2261"/>
    <w:rsid w:val="009F3537"/>
    <w:rsid w:val="00A25657"/>
    <w:rsid w:val="00A329B6"/>
    <w:rsid w:val="00A367A1"/>
    <w:rsid w:val="00A40178"/>
    <w:rsid w:val="00A40ABB"/>
    <w:rsid w:val="00A415D2"/>
    <w:rsid w:val="00A460BA"/>
    <w:rsid w:val="00A510F6"/>
    <w:rsid w:val="00A54B50"/>
    <w:rsid w:val="00A651C9"/>
    <w:rsid w:val="00A70E2D"/>
    <w:rsid w:val="00A80739"/>
    <w:rsid w:val="00A83829"/>
    <w:rsid w:val="00A862C0"/>
    <w:rsid w:val="00A87EE1"/>
    <w:rsid w:val="00A91A20"/>
    <w:rsid w:val="00A9229F"/>
    <w:rsid w:val="00A95100"/>
    <w:rsid w:val="00AA2A39"/>
    <w:rsid w:val="00AA2C16"/>
    <w:rsid w:val="00AA615B"/>
    <w:rsid w:val="00AA6272"/>
    <w:rsid w:val="00AB0DED"/>
    <w:rsid w:val="00AB14AB"/>
    <w:rsid w:val="00AC0C81"/>
    <w:rsid w:val="00AC1B48"/>
    <w:rsid w:val="00AC43E7"/>
    <w:rsid w:val="00AD7725"/>
    <w:rsid w:val="00AE668A"/>
    <w:rsid w:val="00AE6858"/>
    <w:rsid w:val="00AF5C62"/>
    <w:rsid w:val="00AF7270"/>
    <w:rsid w:val="00B17BC5"/>
    <w:rsid w:val="00B20582"/>
    <w:rsid w:val="00B20816"/>
    <w:rsid w:val="00B2158C"/>
    <w:rsid w:val="00B217CA"/>
    <w:rsid w:val="00B24E57"/>
    <w:rsid w:val="00B30D96"/>
    <w:rsid w:val="00B452EC"/>
    <w:rsid w:val="00B5123E"/>
    <w:rsid w:val="00B522C4"/>
    <w:rsid w:val="00B52B0E"/>
    <w:rsid w:val="00B5337D"/>
    <w:rsid w:val="00B65290"/>
    <w:rsid w:val="00B70E26"/>
    <w:rsid w:val="00B86CB5"/>
    <w:rsid w:val="00B8745F"/>
    <w:rsid w:val="00B90754"/>
    <w:rsid w:val="00B9782C"/>
    <w:rsid w:val="00B97D95"/>
    <w:rsid w:val="00B97E3C"/>
    <w:rsid w:val="00BA7E78"/>
    <w:rsid w:val="00BB0833"/>
    <w:rsid w:val="00BB0EA7"/>
    <w:rsid w:val="00BB4CDF"/>
    <w:rsid w:val="00BB595B"/>
    <w:rsid w:val="00BB59F9"/>
    <w:rsid w:val="00BC15B8"/>
    <w:rsid w:val="00BC5279"/>
    <w:rsid w:val="00BC6C4E"/>
    <w:rsid w:val="00BC7B6A"/>
    <w:rsid w:val="00BD0540"/>
    <w:rsid w:val="00BD58A7"/>
    <w:rsid w:val="00BD6EE4"/>
    <w:rsid w:val="00BE1E33"/>
    <w:rsid w:val="00BE2AD3"/>
    <w:rsid w:val="00BE36F7"/>
    <w:rsid w:val="00BF2443"/>
    <w:rsid w:val="00C03E17"/>
    <w:rsid w:val="00C10D3E"/>
    <w:rsid w:val="00C12201"/>
    <w:rsid w:val="00C12AD2"/>
    <w:rsid w:val="00C1405A"/>
    <w:rsid w:val="00C31412"/>
    <w:rsid w:val="00C365AF"/>
    <w:rsid w:val="00C42740"/>
    <w:rsid w:val="00C4526C"/>
    <w:rsid w:val="00C50B1B"/>
    <w:rsid w:val="00C50C99"/>
    <w:rsid w:val="00C52801"/>
    <w:rsid w:val="00C6210F"/>
    <w:rsid w:val="00C745C6"/>
    <w:rsid w:val="00C750BA"/>
    <w:rsid w:val="00C964DE"/>
    <w:rsid w:val="00C96F18"/>
    <w:rsid w:val="00CA4545"/>
    <w:rsid w:val="00CA5790"/>
    <w:rsid w:val="00CA634C"/>
    <w:rsid w:val="00CA7BFF"/>
    <w:rsid w:val="00CC0C56"/>
    <w:rsid w:val="00CC11B6"/>
    <w:rsid w:val="00CC4245"/>
    <w:rsid w:val="00CC7A09"/>
    <w:rsid w:val="00CD23FE"/>
    <w:rsid w:val="00CE35D5"/>
    <w:rsid w:val="00CE7389"/>
    <w:rsid w:val="00CF326B"/>
    <w:rsid w:val="00D0763E"/>
    <w:rsid w:val="00D12644"/>
    <w:rsid w:val="00D134CC"/>
    <w:rsid w:val="00D14C1E"/>
    <w:rsid w:val="00D24682"/>
    <w:rsid w:val="00D24F06"/>
    <w:rsid w:val="00D25AEF"/>
    <w:rsid w:val="00D26C81"/>
    <w:rsid w:val="00D349EE"/>
    <w:rsid w:val="00D35298"/>
    <w:rsid w:val="00D35DD8"/>
    <w:rsid w:val="00D418AD"/>
    <w:rsid w:val="00D44227"/>
    <w:rsid w:val="00D46629"/>
    <w:rsid w:val="00D475A4"/>
    <w:rsid w:val="00D527DA"/>
    <w:rsid w:val="00D56D47"/>
    <w:rsid w:val="00D57835"/>
    <w:rsid w:val="00D655FB"/>
    <w:rsid w:val="00D70FB4"/>
    <w:rsid w:val="00D74A1C"/>
    <w:rsid w:val="00D815C1"/>
    <w:rsid w:val="00D817FE"/>
    <w:rsid w:val="00D85C85"/>
    <w:rsid w:val="00D866EC"/>
    <w:rsid w:val="00D92F6C"/>
    <w:rsid w:val="00D95879"/>
    <w:rsid w:val="00D97A6B"/>
    <w:rsid w:val="00DA2FA3"/>
    <w:rsid w:val="00DA7875"/>
    <w:rsid w:val="00DB751D"/>
    <w:rsid w:val="00DC679E"/>
    <w:rsid w:val="00DD0E98"/>
    <w:rsid w:val="00DE3F87"/>
    <w:rsid w:val="00DE64DE"/>
    <w:rsid w:val="00DE73B4"/>
    <w:rsid w:val="00DE787B"/>
    <w:rsid w:val="00DE7AB4"/>
    <w:rsid w:val="00DF12C4"/>
    <w:rsid w:val="00DF4D86"/>
    <w:rsid w:val="00DF63E3"/>
    <w:rsid w:val="00DF6B09"/>
    <w:rsid w:val="00E00FE2"/>
    <w:rsid w:val="00E01D84"/>
    <w:rsid w:val="00E048AB"/>
    <w:rsid w:val="00E13771"/>
    <w:rsid w:val="00E137BB"/>
    <w:rsid w:val="00E15425"/>
    <w:rsid w:val="00E20266"/>
    <w:rsid w:val="00E235DD"/>
    <w:rsid w:val="00E25865"/>
    <w:rsid w:val="00E261CD"/>
    <w:rsid w:val="00E3199C"/>
    <w:rsid w:val="00E42D0B"/>
    <w:rsid w:val="00E45562"/>
    <w:rsid w:val="00E62D29"/>
    <w:rsid w:val="00E64988"/>
    <w:rsid w:val="00E64A38"/>
    <w:rsid w:val="00E756AC"/>
    <w:rsid w:val="00E8381A"/>
    <w:rsid w:val="00E86720"/>
    <w:rsid w:val="00E87596"/>
    <w:rsid w:val="00E87794"/>
    <w:rsid w:val="00E96422"/>
    <w:rsid w:val="00EA4777"/>
    <w:rsid w:val="00EA5A59"/>
    <w:rsid w:val="00EA62F1"/>
    <w:rsid w:val="00EB3D8F"/>
    <w:rsid w:val="00ED0FE3"/>
    <w:rsid w:val="00ED3F7E"/>
    <w:rsid w:val="00ED4715"/>
    <w:rsid w:val="00EE1763"/>
    <w:rsid w:val="00EF2CA6"/>
    <w:rsid w:val="00F117B1"/>
    <w:rsid w:val="00F134F9"/>
    <w:rsid w:val="00F24C62"/>
    <w:rsid w:val="00F24FC8"/>
    <w:rsid w:val="00F331F0"/>
    <w:rsid w:val="00F34138"/>
    <w:rsid w:val="00F34588"/>
    <w:rsid w:val="00F34A72"/>
    <w:rsid w:val="00F35E57"/>
    <w:rsid w:val="00F47FCE"/>
    <w:rsid w:val="00F501D2"/>
    <w:rsid w:val="00F5266F"/>
    <w:rsid w:val="00F52BC9"/>
    <w:rsid w:val="00F56447"/>
    <w:rsid w:val="00F61A04"/>
    <w:rsid w:val="00F64055"/>
    <w:rsid w:val="00F710C6"/>
    <w:rsid w:val="00F722BD"/>
    <w:rsid w:val="00F72873"/>
    <w:rsid w:val="00F73620"/>
    <w:rsid w:val="00F91CF0"/>
    <w:rsid w:val="00F9481A"/>
    <w:rsid w:val="00F956D1"/>
    <w:rsid w:val="00F9687F"/>
    <w:rsid w:val="00FA08DE"/>
    <w:rsid w:val="00FA3E2C"/>
    <w:rsid w:val="00FB3430"/>
    <w:rsid w:val="00FB5E18"/>
    <w:rsid w:val="00FC2626"/>
    <w:rsid w:val="00FC5F03"/>
    <w:rsid w:val="00FC755D"/>
    <w:rsid w:val="00FD3922"/>
    <w:rsid w:val="00FD6452"/>
    <w:rsid w:val="00FE5978"/>
    <w:rsid w:val="00FF3F9C"/>
    <w:rsid w:val="1730CD62"/>
    <w:rsid w:val="6587E1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87C"/>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semiHidden/>
    <w:unhideWhenUsed/>
    <w:rsid w:val="006C15D5"/>
    <w:rPr>
      <w:sz w:val="20"/>
      <w:szCs w:val="20"/>
    </w:rPr>
  </w:style>
  <w:style w:type="character" w:customStyle="1" w:styleId="TextocomentarioCar">
    <w:name w:val="Texto comentario Car"/>
    <w:basedOn w:val="Fuentedeprrafopredeter"/>
    <w:link w:val="Textocomentario"/>
    <w:uiPriority w:val="99"/>
    <w:semiHidden/>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uiPriority w:val="99"/>
    <w:semiHidden/>
    <w:unhideWhenUsed/>
    <w:rsid w:val="00D26C81"/>
    <w:pPr>
      <w:spacing w:before="100" w:beforeAutospacing="1" w:after="100" w:afterAutospacing="1"/>
    </w:pPr>
    <w:rPr>
      <w:rFonts w:ascii="Times New Roman" w:eastAsia="Times New Roman" w:hAnsi="Times New Roman" w:cs="Times New Roman"/>
      <w:szCs w:val="24"/>
      <w:lang w:val="es-CO" w:eastAsia="es-CO"/>
    </w:rPr>
  </w:style>
  <w:style w:type="character" w:styleId="Textoennegrita">
    <w:name w:val="Strong"/>
    <w:basedOn w:val="Fuentedeprrafopredeter"/>
    <w:uiPriority w:val="22"/>
    <w:qFormat/>
    <w:rsid w:val="00D26C81"/>
    <w:rPr>
      <w:b/>
      <w:bCs/>
    </w:rPr>
  </w:style>
  <w:style w:type="character" w:styleId="nfasis">
    <w:name w:val="Emphasis"/>
    <w:basedOn w:val="Fuentedeprrafopredeter"/>
    <w:uiPriority w:val="20"/>
    <w:qFormat/>
    <w:rsid w:val="00D26C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9904632">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4C896C-4E84-4DCE-965E-D40236D9E4F9}">
  <ds:schemaRefs>
    <ds:schemaRef ds:uri="http://schemas.openxmlformats.org/officeDocument/2006/bibliography"/>
  </ds:schemaRefs>
</ds:datastoreItem>
</file>

<file path=customXml/itemProps2.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4.xml><?xml version="1.0" encoding="utf-8"?>
<ds:datastoreItem xmlns:ds="http://schemas.openxmlformats.org/officeDocument/2006/customXml" ds:itemID="{7AF89F01-5CD6-43EA-9B6E-5234FDA2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4682</Words>
  <Characters>25753</Characters>
  <Application>Microsoft Office Word</Application>
  <DocSecurity>0</DocSecurity>
  <Lines>214</Lines>
  <Paragraphs>60</Paragraphs>
  <ScaleCrop>false</ScaleCrop>
  <Company/>
  <LinksUpToDate>false</LinksUpToDate>
  <CharactersWithSpaces>30375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Carlos Mario Castrillón Endo</cp:lastModifiedBy>
  <cp:revision>314</cp:revision>
  <cp:lastPrinted>2020-03-17T17:42:00Z</cp:lastPrinted>
  <dcterms:created xsi:type="dcterms:W3CDTF">2020-03-17T17:21:00Z</dcterms:created>
  <dcterms:modified xsi:type="dcterms:W3CDTF">2020-08-04T06:58:00Z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