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7904715D" w:rsidR="005A79FE" w:rsidRPr="00DE70DC" w:rsidRDefault="005A79FE" w:rsidP="005A79FE">
      <w:pPr>
        <w:spacing w:line="276" w:lineRule="auto"/>
        <w:jc w:val="right"/>
        <w:rPr>
          <w:rFonts w:ascii="Arial" w:eastAsia="Calibri" w:hAnsi="Arial" w:cs="Arial"/>
          <w:b/>
          <w:bCs/>
          <w:sz w:val="22"/>
        </w:rPr>
      </w:pPr>
      <w:r w:rsidRPr="00DE70DC">
        <w:rPr>
          <w:rFonts w:ascii="Arial" w:eastAsia="Times New Roman" w:hAnsi="Arial" w:cs="Arial"/>
          <w:b/>
          <w:bCs/>
          <w:sz w:val="16"/>
          <w:szCs w:val="16"/>
          <w:lang w:eastAsia="es-ES"/>
        </w:rPr>
        <w:t>CCE-DES-FM-17</w:t>
      </w:r>
    </w:p>
    <w:p w14:paraId="63A82DDD" w14:textId="77777777" w:rsidR="008D1B84" w:rsidRPr="003166B0" w:rsidRDefault="008D1B84" w:rsidP="000A15CB">
      <w:pPr>
        <w:jc w:val="both"/>
        <w:rPr>
          <w:rFonts w:ascii="Arial" w:hAnsi="Arial" w:cs="Arial"/>
          <w:b/>
          <w:bCs/>
          <w:sz w:val="16"/>
          <w:szCs w:val="16"/>
          <w:lang w:val="es-ES"/>
        </w:rPr>
      </w:pPr>
    </w:p>
    <w:p w14:paraId="0E6D0354" w14:textId="6C0BAA1A" w:rsidR="000A15CB" w:rsidRPr="00DE70DC" w:rsidRDefault="00D20C61" w:rsidP="000A15CB">
      <w:pPr>
        <w:jc w:val="both"/>
        <w:rPr>
          <w:rFonts w:ascii="Arial" w:hAnsi="Arial" w:cs="Arial"/>
          <w:b/>
          <w:bCs/>
          <w:sz w:val="22"/>
          <w:lang w:val="es-ES"/>
        </w:rPr>
      </w:pPr>
      <w:r w:rsidRPr="00DE70DC">
        <w:rPr>
          <w:rFonts w:ascii="Arial" w:hAnsi="Arial" w:cs="Arial"/>
          <w:b/>
          <w:bCs/>
          <w:sz w:val="22"/>
          <w:lang w:val="es-ES"/>
        </w:rPr>
        <w:t xml:space="preserve">DOCUMENTOS TIPO </w:t>
      </w:r>
      <w:r w:rsidRPr="00DE70DC">
        <w:rPr>
          <w:rFonts w:ascii="Arial" w:hAnsi="Arial" w:cs="Arial"/>
          <w:sz w:val="20"/>
          <w:szCs w:val="20"/>
          <w:lang w:val="es-ES"/>
        </w:rPr>
        <w:t>─</w:t>
      </w:r>
      <w:r w:rsidR="000A15CB" w:rsidRPr="00DE70DC">
        <w:rPr>
          <w:rFonts w:ascii="Arial" w:hAnsi="Arial" w:cs="Arial"/>
          <w:b/>
          <w:bCs/>
          <w:sz w:val="22"/>
          <w:lang w:val="es-ES"/>
        </w:rPr>
        <w:t xml:space="preserve"> </w:t>
      </w:r>
      <w:r w:rsidR="00873BCF" w:rsidRPr="00DE70DC">
        <w:rPr>
          <w:rFonts w:ascii="Arial" w:hAnsi="Arial" w:cs="Arial"/>
          <w:b/>
          <w:bCs/>
          <w:sz w:val="22"/>
          <w:lang w:val="es-ES"/>
        </w:rPr>
        <w:t>Régimen jurídico</w:t>
      </w:r>
    </w:p>
    <w:p w14:paraId="6B195960" w14:textId="77777777" w:rsidR="000A15CB" w:rsidRPr="00DE70DC" w:rsidRDefault="000A15CB" w:rsidP="000A15CB">
      <w:pPr>
        <w:jc w:val="both"/>
        <w:rPr>
          <w:rFonts w:ascii="Arial" w:hAnsi="Arial" w:cs="Arial"/>
          <w:b/>
          <w:bCs/>
          <w:sz w:val="21"/>
          <w:szCs w:val="21"/>
          <w:lang w:val="es-ES"/>
        </w:rPr>
      </w:pPr>
    </w:p>
    <w:p w14:paraId="5B4E06F8" w14:textId="736C607C" w:rsidR="00167B9D" w:rsidRPr="00DE70DC" w:rsidRDefault="009B29F8" w:rsidP="00D50796">
      <w:pPr>
        <w:jc w:val="both"/>
        <w:rPr>
          <w:rFonts w:ascii="Arial" w:hAnsi="Arial" w:cs="Arial"/>
          <w:sz w:val="20"/>
          <w:szCs w:val="20"/>
          <w:lang w:val="es-ES"/>
        </w:rPr>
      </w:pPr>
      <w:r w:rsidRPr="00DE70DC">
        <w:rPr>
          <w:rFonts w:ascii="Arial" w:hAnsi="Arial" w:cs="Arial"/>
          <w:sz w:val="20"/>
          <w:szCs w:val="20"/>
          <w:lang w:val="es-ES"/>
        </w:rPr>
        <w:t xml:space="preserve">Posteriormente, la Ley 1882 de 2018 «Por la cual se adicionan, modifican y dictan disposiciones orientadas a fortalecer la Contratación Pública en Colombia, la ley de infraestructura […]» adicionó el parágrafo 7 al artículo 2 de la Ley 1150 de 2007 </w:t>
      </w:r>
      <w:r w:rsidR="0049684A" w:rsidRPr="00DE70DC">
        <w:rPr>
          <w:rFonts w:ascii="Arial" w:hAnsi="Arial" w:cs="Arial"/>
          <w:sz w:val="20"/>
          <w:szCs w:val="20"/>
          <w:lang w:val="es-ES"/>
        </w:rPr>
        <w:t>[…]</w:t>
      </w:r>
      <w:r w:rsidR="008D1B84" w:rsidRPr="00DE70DC">
        <w:rPr>
          <w:rFonts w:ascii="Arial" w:hAnsi="Arial" w:cs="Arial"/>
          <w:sz w:val="20"/>
          <w:szCs w:val="20"/>
          <w:lang w:val="es-ES"/>
        </w:rPr>
        <w:t>.</w:t>
      </w:r>
    </w:p>
    <w:p w14:paraId="0164269C" w14:textId="2FABE377" w:rsidR="00167B9D" w:rsidRPr="00DE70DC" w:rsidRDefault="00125D4C" w:rsidP="008D1B84">
      <w:pPr>
        <w:pStyle w:val="pa22"/>
        <w:spacing w:before="120" w:beforeAutospacing="0" w:after="0" w:afterAutospacing="0"/>
        <w:jc w:val="both"/>
        <w:rPr>
          <w:rFonts w:ascii="Arial" w:hAnsi="Arial" w:cs="Arial"/>
          <w:sz w:val="20"/>
          <w:szCs w:val="20"/>
        </w:rPr>
      </w:pPr>
      <w:r w:rsidRPr="00DE70DC">
        <w:rPr>
          <w:rFonts w:ascii="Arial" w:eastAsiaTheme="minorHAnsi" w:hAnsi="Arial" w:cs="Arial"/>
          <w:sz w:val="20"/>
          <w:szCs w:val="20"/>
          <w:lang w:eastAsia="en-US"/>
        </w:rPr>
        <w:t>[…]</w:t>
      </w:r>
      <w:r w:rsidR="008D1B84" w:rsidRPr="00DE70DC">
        <w:rPr>
          <w:rFonts w:ascii="Arial" w:eastAsiaTheme="minorHAnsi" w:hAnsi="Arial" w:cs="Arial"/>
          <w:sz w:val="20"/>
          <w:szCs w:val="20"/>
          <w:lang w:eastAsia="en-US"/>
        </w:rPr>
        <w:t xml:space="preserve"> </w:t>
      </w:r>
      <w:r w:rsidR="00167B9D" w:rsidRPr="00DE70DC">
        <w:rPr>
          <w:rFonts w:ascii="Arial" w:hAnsi="Arial" w:cs="Arial"/>
          <w:sz w:val="20"/>
          <w:szCs w:val="20"/>
        </w:rPr>
        <w:t xml:space="preserve">Esa </w:t>
      </w:r>
      <w:r w:rsidR="009B29F8" w:rsidRPr="00DE70DC">
        <w:rPr>
          <w:rFonts w:ascii="Arial" w:hAnsi="Arial" w:cs="Arial"/>
          <w:sz w:val="20"/>
          <w:szCs w:val="20"/>
        </w:rPr>
        <w:t>disposición se fundamenta en la necesidad de reducir el tiempo del procedimiento de contratación, y contribuir al logro de una contratación pública más transparente y con mayor concurrencia de oferentes. Igualmente, la intención del legislador era adaptar el ordenamiento jurídico colombiano a las nuevas tendencias internacionales, entendiendo que los documentos tipo son una medida eficaz contra la corrupción y permiten una administración pública más eficiente y moderna</w:t>
      </w:r>
      <w:r w:rsidR="00167B9D" w:rsidRPr="00DE70DC">
        <w:rPr>
          <w:rFonts w:ascii="Arial" w:hAnsi="Arial" w:cs="Arial"/>
          <w:sz w:val="20"/>
          <w:szCs w:val="20"/>
        </w:rPr>
        <w:t xml:space="preserve">. </w:t>
      </w:r>
      <w:r w:rsidRPr="00DE70DC">
        <w:rPr>
          <w:rFonts w:ascii="Arial" w:hAnsi="Arial" w:cs="Arial"/>
          <w:sz w:val="20"/>
          <w:szCs w:val="20"/>
        </w:rPr>
        <w:t>[…]</w:t>
      </w:r>
      <w:r w:rsidR="008D1B84" w:rsidRPr="00DE70DC">
        <w:rPr>
          <w:rFonts w:ascii="Arial" w:hAnsi="Arial" w:cs="Arial"/>
          <w:sz w:val="20"/>
          <w:szCs w:val="20"/>
        </w:rPr>
        <w:t>.</w:t>
      </w:r>
    </w:p>
    <w:p w14:paraId="79A2B05B" w14:textId="27700A48" w:rsidR="00167B9D" w:rsidRPr="00DE70DC" w:rsidRDefault="00F1301C" w:rsidP="008D1B84">
      <w:pPr>
        <w:spacing w:before="120"/>
        <w:jc w:val="both"/>
        <w:rPr>
          <w:rFonts w:ascii="Arial" w:eastAsia="Calibri" w:hAnsi="Arial" w:cs="Arial"/>
          <w:bCs/>
          <w:sz w:val="20"/>
          <w:szCs w:val="20"/>
        </w:rPr>
      </w:pPr>
      <w:r w:rsidRPr="00DE70DC">
        <w:rPr>
          <w:rFonts w:ascii="Arial" w:eastAsia="Calibri" w:hAnsi="Arial" w:cs="Arial"/>
          <w:bCs/>
          <w:sz w:val="20"/>
          <w:szCs w:val="20"/>
        </w:rPr>
        <w:t>[…]</w:t>
      </w:r>
      <w:r w:rsidR="008D1B84" w:rsidRPr="00DE70DC">
        <w:rPr>
          <w:rFonts w:ascii="Arial" w:eastAsia="Calibri" w:hAnsi="Arial" w:cs="Arial"/>
          <w:bCs/>
          <w:sz w:val="20"/>
          <w:szCs w:val="20"/>
        </w:rPr>
        <w:t xml:space="preserve"> </w:t>
      </w:r>
      <w:r w:rsidR="00167B9D" w:rsidRPr="00DE70DC">
        <w:rPr>
          <w:rFonts w:ascii="Arial" w:eastAsia="Calibri" w:hAnsi="Arial" w:cs="Arial"/>
          <w:bCs/>
          <w:sz w:val="20"/>
          <w:szCs w:val="20"/>
        </w:rPr>
        <w:t xml:space="preserve">El </w:t>
      </w:r>
      <w:r w:rsidR="009B29F8" w:rsidRPr="00DE70DC">
        <w:rPr>
          <w:rFonts w:ascii="Arial" w:eastAsia="Calibri" w:hAnsi="Arial" w:cs="Arial"/>
          <w:bCs/>
          <w:sz w:val="20"/>
          <w:szCs w:val="20"/>
        </w:rPr>
        <w:t xml:space="preserve">gobierno nacional, en ejercicio de la potestad reglamentaria, con la expedición de los Decretos 342 de 2019 y 2096 de 2019, adoptó los «Documentos Tipo» para la contratación de obras de infraestructura pública de transporte en las modalidades de selección del contratista correspondientes a licitación pública y selección abreviada de menor cuantía, respectivamente. Los mencionados decretos adicionaron el Decreto 1082 de 2015, determinado el objeto y alcance de los «Documentos Tipo» mencionados </w:t>
      </w:r>
      <w:r w:rsidR="00381B41" w:rsidRPr="00DE70DC">
        <w:rPr>
          <w:rFonts w:ascii="Arial" w:eastAsia="Calibri" w:hAnsi="Arial" w:cs="Arial"/>
          <w:bCs/>
          <w:sz w:val="20"/>
          <w:szCs w:val="20"/>
        </w:rPr>
        <w:t>[…]</w:t>
      </w:r>
    </w:p>
    <w:p w14:paraId="71549D39" w14:textId="77777777" w:rsidR="00167B9D" w:rsidRPr="00DE70DC" w:rsidRDefault="00167B9D" w:rsidP="00F11EDA">
      <w:pPr>
        <w:ind w:right="709"/>
        <w:jc w:val="both"/>
        <w:rPr>
          <w:rFonts w:ascii="Arial" w:eastAsia="Calibri" w:hAnsi="Arial" w:cs="Arial"/>
          <w:bCs/>
          <w:sz w:val="20"/>
          <w:szCs w:val="20"/>
        </w:rPr>
      </w:pPr>
    </w:p>
    <w:p w14:paraId="16DD3515" w14:textId="2C2B4D56" w:rsidR="00841280" w:rsidRPr="00DE70DC" w:rsidRDefault="00841280" w:rsidP="00F11EDA">
      <w:pPr>
        <w:jc w:val="both"/>
        <w:rPr>
          <w:rFonts w:ascii="Arial" w:hAnsi="Arial" w:cs="Arial"/>
          <w:b/>
          <w:bCs/>
          <w:sz w:val="22"/>
          <w:lang w:val="es-ES"/>
        </w:rPr>
      </w:pPr>
      <w:r w:rsidRPr="00DE70DC">
        <w:rPr>
          <w:rFonts w:ascii="Arial" w:hAnsi="Arial" w:cs="Arial"/>
          <w:b/>
          <w:bCs/>
          <w:sz w:val="22"/>
          <w:lang w:val="es-ES"/>
        </w:rPr>
        <w:t xml:space="preserve">DOCUMENTOS TIPO </w:t>
      </w:r>
      <w:r w:rsidR="00D20C61" w:rsidRPr="00DE70DC">
        <w:rPr>
          <w:rFonts w:ascii="Arial" w:hAnsi="Arial" w:cs="Arial"/>
          <w:sz w:val="20"/>
          <w:szCs w:val="20"/>
          <w:lang w:val="es-ES"/>
        </w:rPr>
        <w:t>─</w:t>
      </w:r>
      <w:r w:rsidRPr="00DE70DC">
        <w:rPr>
          <w:rFonts w:ascii="Arial" w:hAnsi="Arial" w:cs="Arial"/>
          <w:b/>
          <w:bCs/>
          <w:sz w:val="22"/>
          <w:lang w:val="es-ES"/>
        </w:rPr>
        <w:t xml:space="preserve"> </w:t>
      </w:r>
      <w:r w:rsidR="002B4907" w:rsidRPr="00DE70DC">
        <w:rPr>
          <w:rFonts w:ascii="Arial" w:hAnsi="Arial" w:cs="Arial"/>
          <w:b/>
          <w:bCs/>
          <w:sz w:val="22"/>
          <w:lang w:val="es-ES"/>
        </w:rPr>
        <w:t xml:space="preserve">Desarrollo </w:t>
      </w:r>
      <w:r w:rsidR="00D20C61" w:rsidRPr="00DE70DC">
        <w:rPr>
          <w:rFonts w:ascii="Arial" w:hAnsi="Arial" w:cs="Arial"/>
          <w:sz w:val="20"/>
          <w:szCs w:val="20"/>
          <w:lang w:val="es-ES"/>
        </w:rPr>
        <w:t>─</w:t>
      </w:r>
      <w:r w:rsidR="002B4907" w:rsidRPr="00DE70DC">
        <w:rPr>
          <w:rFonts w:ascii="Arial" w:hAnsi="Arial" w:cs="Arial"/>
          <w:b/>
          <w:bCs/>
          <w:sz w:val="22"/>
          <w:lang w:val="es-ES"/>
        </w:rPr>
        <w:t xml:space="preserve"> </w:t>
      </w:r>
      <w:r w:rsidR="00873BCF" w:rsidRPr="00DE70DC">
        <w:rPr>
          <w:rFonts w:ascii="Arial" w:hAnsi="Arial" w:cs="Arial"/>
          <w:b/>
          <w:bCs/>
          <w:sz w:val="22"/>
          <w:lang w:val="es-ES"/>
        </w:rPr>
        <w:t>I</w:t>
      </w:r>
      <w:r w:rsidR="002B4907" w:rsidRPr="00DE70DC">
        <w:rPr>
          <w:rFonts w:ascii="Arial" w:hAnsi="Arial" w:cs="Arial"/>
          <w:b/>
          <w:bCs/>
          <w:sz w:val="22"/>
          <w:lang w:val="es-ES"/>
        </w:rPr>
        <w:t>mplementación</w:t>
      </w:r>
    </w:p>
    <w:p w14:paraId="4D6EF490" w14:textId="77777777" w:rsidR="002B4907" w:rsidRPr="00DE70DC" w:rsidRDefault="002B4907" w:rsidP="00F11EDA">
      <w:pPr>
        <w:jc w:val="both"/>
        <w:rPr>
          <w:rFonts w:ascii="Arial" w:hAnsi="Arial" w:cs="Arial"/>
          <w:b/>
          <w:bCs/>
          <w:sz w:val="20"/>
          <w:szCs w:val="20"/>
          <w:lang w:val="es-ES"/>
        </w:rPr>
      </w:pPr>
    </w:p>
    <w:p w14:paraId="44B7F139" w14:textId="77777777" w:rsidR="009B29F8" w:rsidRPr="00DE70DC" w:rsidRDefault="00167B9D" w:rsidP="009B29F8">
      <w:pPr>
        <w:jc w:val="both"/>
        <w:rPr>
          <w:rFonts w:ascii="Arial" w:hAnsi="Arial" w:cs="Arial"/>
          <w:sz w:val="20"/>
          <w:szCs w:val="20"/>
          <w:lang w:val="es-ES"/>
        </w:rPr>
      </w:pPr>
      <w:r w:rsidRPr="00DE70DC">
        <w:rPr>
          <w:rFonts w:ascii="Arial" w:hAnsi="Arial" w:cs="Arial"/>
          <w:sz w:val="20"/>
          <w:szCs w:val="20"/>
          <w:lang w:val="es-ES"/>
        </w:rPr>
        <w:t xml:space="preserve">A su vez, </w:t>
      </w:r>
      <w:r w:rsidR="009B29F8" w:rsidRPr="00DE70DC">
        <w:rPr>
          <w:rFonts w:ascii="Arial" w:hAnsi="Arial" w:cs="Arial"/>
          <w:sz w:val="20"/>
          <w:szCs w:val="20"/>
          <w:lang w:val="es-ES"/>
        </w:rPr>
        <w:t>los Decretos 342 de 2019 y 2096 de 2019 disponen que a la Agencia Nacional de Contratación Pública ─ Colombia Compra Eficiente, en coordinación con el Departamento Nacional de Planeación (DNP) y el Ministerio de Transporte, corresponde el desarrollo e implementación de los documentos tipo para la contratación de obras de infraestructura pública de transporte, en las modalidades de selección mencionadas, habida consideración de los parámetros allí mismo establecidos para tal efecto.</w:t>
      </w:r>
    </w:p>
    <w:p w14:paraId="0457DB86" w14:textId="611714D9" w:rsidR="00167B9D" w:rsidRPr="00DE70DC" w:rsidRDefault="009B29F8" w:rsidP="009B29F8">
      <w:pPr>
        <w:spacing w:before="120"/>
        <w:jc w:val="both"/>
        <w:rPr>
          <w:rFonts w:ascii="Arial" w:hAnsi="Arial" w:cs="Arial"/>
          <w:sz w:val="20"/>
          <w:szCs w:val="20"/>
          <w:lang w:val="es-ES"/>
        </w:rPr>
      </w:pPr>
      <w:r w:rsidRPr="00DE70DC">
        <w:rPr>
          <w:rFonts w:ascii="Arial" w:hAnsi="Arial" w:cs="Arial"/>
          <w:sz w:val="20"/>
          <w:szCs w:val="20"/>
          <w:lang w:val="es-ES"/>
        </w:rPr>
        <w:t>En cumplimiento de esa obligación, esta entidad pública profirió las Resoluciones No. 1798 de 2019 , «Por la cual se desarrollan e implementan los Documentos Tipo para los procesos de selección de licitación de obra pública de infraestructura de transporte», 0044 de 2020 , «Por la cual se desarrollan e implementan los Documentos Tipo para los pliegos de condiciones de los procesos de infraestructura de transporte que se adelanten por la modalidad de selección abreviada de menor cuantía», y 0045 de 2020 , «Por la cual se actualizan los Documentos Tipo para los procesos de selección de licitación de obra pública de infraestructura de transporte y se deroga la Resolución 1798 de 2019».</w:t>
      </w:r>
    </w:p>
    <w:p w14:paraId="4D87ABD0" w14:textId="77777777" w:rsidR="009B29F8" w:rsidRPr="00DE70DC" w:rsidRDefault="009B29F8" w:rsidP="009B29F8">
      <w:pPr>
        <w:spacing w:before="120"/>
        <w:jc w:val="both"/>
        <w:rPr>
          <w:rFonts w:ascii="Arial" w:hAnsi="Arial" w:cs="Arial"/>
          <w:sz w:val="22"/>
          <w:lang w:val="es-ES"/>
        </w:rPr>
      </w:pPr>
    </w:p>
    <w:p w14:paraId="02AD167C" w14:textId="77777777" w:rsidR="004E4142" w:rsidRPr="00DE70DC" w:rsidRDefault="004E4142" w:rsidP="004E4142">
      <w:pPr>
        <w:jc w:val="both"/>
        <w:rPr>
          <w:rFonts w:ascii="Arial" w:eastAsia="Calibri" w:hAnsi="Arial" w:cs="Arial"/>
          <w:b/>
          <w:sz w:val="22"/>
        </w:rPr>
      </w:pPr>
      <w:r w:rsidRPr="00DE70DC">
        <w:rPr>
          <w:rFonts w:ascii="Arial" w:eastAsia="Calibri" w:hAnsi="Arial" w:cs="Arial"/>
          <w:b/>
          <w:sz w:val="22"/>
        </w:rPr>
        <w:t>DOCUMENTOS TIPO – Capacidad residual – Acreditación</w:t>
      </w:r>
    </w:p>
    <w:p w14:paraId="45443AE9" w14:textId="77777777" w:rsidR="004E4142" w:rsidRPr="00DE70DC" w:rsidRDefault="004E4142" w:rsidP="004E4142">
      <w:pPr>
        <w:jc w:val="both"/>
        <w:rPr>
          <w:rFonts w:ascii="Arial" w:eastAsia="Calibri" w:hAnsi="Arial" w:cs="Arial"/>
          <w:sz w:val="21"/>
          <w:szCs w:val="21"/>
        </w:rPr>
      </w:pPr>
    </w:p>
    <w:p w14:paraId="1192AC34" w14:textId="4A945379" w:rsidR="008D1B84" w:rsidRPr="00DE70DC" w:rsidRDefault="004E4142" w:rsidP="004E4142">
      <w:pPr>
        <w:jc w:val="both"/>
        <w:rPr>
          <w:rFonts w:ascii="Arial" w:eastAsia="Calibri" w:hAnsi="Arial" w:cs="Arial"/>
          <w:sz w:val="20"/>
          <w:szCs w:val="20"/>
        </w:rPr>
      </w:pPr>
      <w:r w:rsidRPr="00DE70DC">
        <w:rPr>
          <w:rFonts w:ascii="Arial" w:eastAsia="Calibri" w:hAnsi="Arial" w:cs="Arial"/>
          <w:sz w:val="20"/>
          <w:szCs w:val="20"/>
        </w:rPr>
        <w:t xml:space="preserve">Con </w:t>
      </w:r>
      <w:r w:rsidR="009B29F8" w:rsidRPr="00DE70DC">
        <w:rPr>
          <w:rFonts w:ascii="Arial" w:eastAsia="Calibri" w:hAnsi="Arial" w:cs="Arial"/>
          <w:sz w:val="20"/>
          <w:szCs w:val="20"/>
        </w:rPr>
        <w:t>respecto a la acreditación de la capacidad residual, como su acreditación no se realiza conforme al contenido del RUP, las entidades deberán exigir los documentos previstos en el artículo 2.2.1.1.1.6.4. del Decreto 1082 de 2015, siempre y cuando no sea información que el proponente haya aportado, con anterioridad, para la inscripción en el RUP.</w:t>
      </w:r>
    </w:p>
    <w:p w14:paraId="36150D97" w14:textId="77777777" w:rsidR="009B29F8" w:rsidRPr="00DE70DC" w:rsidRDefault="009B29F8" w:rsidP="004E4142">
      <w:pPr>
        <w:jc w:val="both"/>
        <w:rPr>
          <w:rFonts w:ascii="Arial" w:eastAsia="Calibri" w:hAnsi="Arial" w:cs="Arial"/>
          <w:sz w:val="19"/>
          <w:szCs w:val="19"/>
        </w:rPr>
      </w:pPr>
    </w:p>
    <w:p w14:paraId="744B3515" w14:textId="77777777" w:rsidR="004E4142" w:rsidRPr="00DE70DC" w:rsidRDefault="004E4142" w:rsidP="004E4142">
      <w:pPr>
        <w:jc w:val="both"/>
        <w:rPr>
          <w:rFonts w:ascii="Arial" w:eastAsia="Calibri" w:hAnsi="Arial" w:cs="Arial"/>
          <w:b/>
          <w:sz w:val="22"/>
        </w:rPr>
      </w:pPr>
      <w:r w:rsidRPr="00DE70DC">
        <w:rPr>
          <w:rFonts w:ascii="Arial" w:eastAsia="Calibri" w:hAnsi="Arial" w:cs="Arial"/>
          <w:b/>
          <w:sz w:val="22"/>
        </w:rPr>
        <w:t xml:space="preserve">DOCUMENTOS TIPO – Capacidad residual – </w:t>
      </w:r>
      <w:proofErr w:type="spellStart"/>
      <w:r w:rsidRPr="00DE70DC">
        <w:rPr>
          <w:rFonts w:ascii="Arial" w:eastAsia="Calibri" w:hAnsi="Arial" w:cs="Arial"/>
          <w:b/>
          <w:sz w:val="22"/>
        </w:rPr>
        <w:t>Subsanabilidad</w:t>
      </w:r>
      <w:proofErr w:type="spellEnd"/>
    </w:p>
    <w:p w14:paraId="04406257" w14:textId="77777777" w:rsidR="004E4142" w:rsidRPr="00DE70DC" w:rsidRDefault="004E4142" w:rsidP="004E4142">
      <w:pPr>
        <w:jc w:val="both"/>
        <w:rPr>
          <w:rFonts w:ascii="Arial" w:eastAsia="Calibri" w:hAnsi="Arial" w:cs="Arial"/>
          <w:b/>
          <w:sz w:val="22"/>
        </w:rPr>
      </w:pPr>
    </w:p>
    <w:p w14:paraId="41BD998B" w14:textId="7DB05269" w:rsidR="004E4142" w:rsidRPr="00DE70DC" w:rsidRDefault="009B29F8" w:rsidP="004E4142">
      <w:pPr>
        <w:jc w:val="both"/>
        <w:rPr>
          <w:rFonts w:ascii="Arial" w:eastAsia="Calibri" w:hAnsi="Arial" w:cs="Arial"/>
          <w:sz w:val="20"/>
          <w:szCs w:val="20"/>
        </w:rPr>
      </w:pPr>
      <w:r w:rsidRPr="00DE70DC">
        <w:rPr>
          <w:rFonts w:ascii="Arial" w:eastAsia="Calibri" w:hAnsi="Arial" w:cs="Arial"/>
          <w:sz w:val="20"/>
          <w:szCs w:val="20"/>
        </w:rPr>
        <w:t xml:space="preserve">El artículo 6 de la Ley 1150 de 2007 establece que todas las personas naturales o extranjeras domiciliadas o con sucursal en Colombia, que aspiren celebrar contratos con entidades, deberán </w:t>
      </w:r>
      <w:r w:rsidRPr="00DE70DC">
        <w:rPr>
          <w:rFonts w:ascii="Arial" w:eastAsia="Calibri" w:hAnsi="Arial" w:cs="Arial"/>
          <w:sz w:val="20"/>
          <w:szCs w:val="20"/>
        </w:rPr>
        <w:lastRenderedPageBreak/>
        <w:t>estar inscritas en el Registro único de Proponentes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respectivo del RUP donde deberán constar dichas condiciones. En consecuencia, las entidades, en los procedimientos de contratación, no podrán exigir, ni los proponentes aportar, documentación que deba utilizarse para efectuar la inscripción del registro.</w:t>
      </w:r>
    </w:p>
    <w:p w14:paraId="7660E14E" w14:textId="77777777" w:rsidR="009B29F8" w:rsidRPr="00DE70DC" w:rsidRDefault="009B29F8" w:rsidP="004E4142">
      <w:pPr>
        <w:jc w:val="both"/>
        <w:rPr>
          <w:rFonts w:ascii="Arial" w:eastAsia="Calibri" w:hAnsi="Arial" w:cs="Arial"/>
          <w:b/>
          <w:sz w:val="22"/>
        </w:rPr>
      </w:pPr>
    </w:p>
    <w:p w14:paraId="67D5DCA4" w14:textId="77777777" w:rsidR="004E4142" w:rsidRPr="00DE70DC" w:rsidRDefault="004E4142" w:rsidP="004E4142">
      <w:pPr>
        <w:jc w:val="both"/>
        <w:rPr>
          <w:rFonts w:ascii="Arial" w:eastAsia="Calibri" w:hAnsi="Arial" w:cs="Arial"/>
          <w:b/>
          <w:sz w:val="22"/>
        </w:rPr>
      </w:pPr>
      <w:r w:rsidRPr="00DE70DC">
        <w:rPr>
          <w:rFonts w:ascii="Arial" w:eastAsia="Calibri" w:hAnsi="Arial" w:cs="Arial"/>
          <w:b/>
          <w:sz w:val="22"/>
        </w:rPr>
        <w:t>DOCUMENTOS TIPO – Capacidad residual – Documentos – Causales de rechazo</w:t>
      </w:r>
    </w:p>
    <w:p w14:paraId="127E5ED1" w14:textId="77777777" w:rsidR="004E4142" w:rsidRPr="00DE70DC" w:rsidRDefault="004E4142" w:rsidP="004E4142">
      <w:pPr>
        <w:jc w:val="both"/>
        <w:rPr>
          <w:rFonts w:ascii="Arial" w:eastAsia="Calibri" w:hAnsi="Arial" w:cs="Arial"/>
          <w:sz w:val="20"/>
          <w:szCs w:val="20"/>
        </w:rPr>
      </w:pPr>
    </w:p>
    <w:p w14:paraId="4189ACF7" w14:textId="59BD48A2" w:rsidR="009B29F8" w:rsidRPr="00DE70DC" w:rsidRDefault="009B29F8" w:rsidP="009B29F8">
      <w:pPr>
        <w:spacing w:before="120"/>
        <w:jc w:val="both"/>
        <w:rPr>
          <w:rFonts w:ascii="Arial" w:eastAsia="Calibri" w:hAnsi="Arial" w:cs="Arial"/>
          <w:sz w:val="20"/>
          <w:szCs w:val="20"/>
        </w:rPr>
      </w:pPr>
      <w:r w:rsidRPr="00DE70DC">
        <w:rPr>
          <w:rFonts w:ascii="Arial" w:eastAsia="Calibri" w:hAnsi="Arial" w:cs="Arial"/>
          <w:sz w:val="20"/>
          <w:szCs w:val="20"/>
        </w:rPr>
        <w:t>[…] la causal del literal BB del numeral 1.15 únicamente opera cuando el proponente no informa a la entidad todos los contratos en ejecución antes del cierre, lo que se traduce en un deber de cumplir con esta exigencia, sin tener en cuenta la información relacionada con cada uno de ellos. Por ejemplo, si el contratista tiene en ejecución diez contratos, esta causal operaría si el contratista reporta nueve o menos. De esta manera, la causal de rechazo no se aplica cuando el proponente comete errores en la información de los contratos en ejecución, pues, siempre que los reporte en su totalidad, no se configura el supuesto para rechazarla. Lo anterior, sin perjuicio de que tenga consecuencias para el proponte omitir o errar en la información específica de cada uno de los contratos reportados –esto es, la cuantía o el plazo, entre otro–, pues la entidad podrá requerirlo para que complemente la información aportada y, en caso de no responder al mismo, rechazar la propuesta por la causal que consagra el literal E del numeral 1.15 del Documento Base «versiones 1 y 2 de licitación pública». La configuración de la causal de rechazo del literal BB, entonces, es objetiva, pues solo opera ante la omisión del proponente de informar el número total de contratos en ejecución antes del cierre.</w:t>
      </w:r>
    </w:p>
    <w:p w14:paraId="640FA40B" w14:textId="12EEBF17" w:rsidR="004E4142" w:rsidRPr="00DE70DC" w:rsidRDefault="009B29F8" w:rsidP="009B29F8">
      <w:pPr>
        <w:spacing w:before="120"/>
        <w:jc w:val="both"/>
        <w:rPr>
          <w:rFonts w:ascii="Arial" w:eastAsia="Calibri" w:hAnsi="Arial" w:cs="Arial"/>
          <w:sz w:val="20"/>
          <w:szCs w:val="20"/>
        </w:rPr>
      </w:pPr>
      <w:r w:rsidRPr="00DE70DC">
        <w:rPr>
          <w:rFonts w:ascii="Arial" w:eastAsia="Calibri" w:hAnsi="Arial" w:cs="Arial"/>
          <w:sz w:val="20"/>
          <w:szCs w:val="20"/>
        </w:rPr>
        <w:t>Lo dicho antes tampoco excluye la posibilidad de que la entidad pueda rechazar la oferta si considera configurada la causal consagrada en el literal H del numeral 1.15, previamente citado, la cual aplica cuando el proponente aporta información inexacta a la luz del numeral 1.1. de los Documentos Base o Pliegos Tipos</w:t>
      </w:r>
    </w:p>
    <w:p w14:paraId="32AB0924" w14:textId="15CD1E35" w:rsidR="00900239" w:rsidRPr="00DE70DC" w:rsidRDefault="00900239" w:rsidP="001C722C">
      <w:pPr>
        <w:jc w:val="both"/>
        <w:rPr>
          <w:rFonts w:ascii="Arial" w:hAnsi="Arial" w:cs="Arial"/>
          <w:sz w:val="19"/>
          <w:szCs w:val="19"/>
        </w:rPr>
      </w:pPr>
    </w:p>
    <w:p w14:paraId="790C827C" w14:textId="77777777" w:rsidR="00DE70DC" w:rsidRPr="00DE70DC" w:rsidRDefault="00DE70DC" w:rsidP="001C722C">
      <w:pPr>
        <w:jc w:val="both"/>
        <w:rPr>
          <w:rFonts w:ascii="Arial" w:hAnsi="Arial" w:cs="Arial"/>
          <w:sz w:val="19"/>
          <w:szCs w:val="19"/>
        </w:rPr>
      </w:pPr>
    </w:p>
    <w:p w14:paraId="23C1B978" w14:textId="1FC59106" w:rsidR="005A79FE" w:rsidRPr="00DE70DC" w:rsidRDefault="005A79FE" w:rsidP="005A79FE">
      <w:pPr>
        <w:jc w:val="both"/>
        <w:rPr>
          <w:rFonts w:ascii="Arial" w:hAnsi="Arial" w:cs="Arial"/>
          <w:b/>
          <w:sz w:val="22"/>
        </w:rPr>
      </w:pPr>
      <w:r w:rsidRPr="00DE70DC">
        <w:rPr>
          <w:rFonts w:ascii="Arial" w:hAnsi="Arial" w:cs="Arial"/>
          <w:sz w:val="22"/>
        </w:rPr>
        <w:t xml:space="preserve">Bogotá D.C., </w:t>
      </w:r>
      <w:r w:rsidR="00080D35" w:rsidRPr="00DE70DC">
        <w:rPr>
          <w:rFonts w:ascii="Arial" w:hAnsi="Arial" w:cs="Arial"/>
          <w:b/>
          <w:sz w:val="22"/>
        </w:rPr>
        <w:t>04/06/2020 Hora 14:50:56s</w:t>
      </w:r>
    </w:p>
    <w:p w14:paraId="5B5490A8" w14:textId="77777777" w:rsidR="00900239" w:rsidRPr="00DE70DC" w:rsidRDefault="00900239" w:rsidP="005A79FE">
      <w:pPr>
        <w:jc w:val="both"/>
        <w:rPr>
          <w:rFonts w:ascii="Arial" w:eastAsia="Calibri" w:hAnsi="Arial" w:cs="Arial"/>
          <w:sz w:val="20"/>
        </w:rPr>
      </w:pPr>
    </w:p>
    <w:p w14:paraId="59F5087C" w14:textId="147F3A76" w:rsidR="005A79FE" w:rsidRPr="00DE70DC" w:rsidRDefault="005A79FE" w:rsidP="005A79FE">
      <w:pPr>
        <w:jc w:val="right"/>
        <w:rPr>
          <w:rFonts w:ascii="Arial" w:hAnsi="Arial" w:cs="Arial"/>
          <w:b/>
          <w:sz w:val="22"/>
        </w:rPr>
      </w:pPr>
      <w:proofErr w:type="spellStart"/>
      <w:r w:rsidRPr="00DE70DC">
        <w:rPr>
          <w:rFonts w:ascii="Arial" w:hAnsi="Arial" w:cs="Arial"/>
          <w:b/>
          <w:sz w:val="22"/>
        </w:rPr>
        <w:t>N°</w:t>
      </w:r>
      <w:proofErr w:type="spellEnd"/>
      <w:r w:rsidRPr="00DE70DC">
        <w:rPr>
          <w:rFonts w:ascii="Arial" w:hAnsi="Arial" w:cs="Arial"/>
          <w:b/>
          <w:sz w:val="22"/>
        </w:rPr>
        <w:t xml:space="preserve"> Radicado: </w:t>
      </w:r>
      <w:r w:rsidR="00080D35" w:rsidRPr="00DE70DC">
        <w:rPr>
          <w:rFonts w:ascii="Arial" w:hAnsi="Arial" w:cs="Arial"/>
          <w:b/>
          <w:sz w:val="22"/>
        </w:rPr>
        <w:t>2202013000004583</w:t>
      </w:r>
    </w:p>
    <w:p w14:paraId="2853595C" w14:textId="77777777" w:rsidR="005A79FE" w:rsidRPr="00DE70DC" w:rsidRDefault="005A79FE" w:rsidP="005A79FE">
      <w:pPr>
        <w:tabs>
          <w:tab w:val="left" w:pos="3374"/>
        </w:tabs>
        <w:rPr>
          <w:rFonts w:ascii="Arial" w:eastAsia="Calibri" w:hAnsi="Arial" w:cs="Arial"/>
          <w:sz w:val="22"/>
        </w:rPr>
      </w:pPr>
      <w:r w:rsidRPr="00DE70DC">
        <w:rPr>
          <w:rFonts w:ascii="Arial" w:eastAsia="Calibri" w:hAnsi="Arial" w:cs="Arial"/>
          <w:sz w:val="22"/>
        </w:rPr>
        <w:tab/>
      </w:r>
    </w:p>
    <w:p w14:paraId="38DFC017" w14:textId="77777777" w:rsidR="00785A12" w:rsidRPr="00DE70DC" w:rsidRDefault="00785A12" w:rsidP="005A79FE">
      <w:pPr>
        <w:rPr>
          <w:rFonts w:ascii="Arial" w:eastAsia="Calibri" w:hAnsi="Arial" w:cs="Arial"/>
          <w:sz w:val="22"/>
        </w:rPr>
      </w:pPr>
    </w:p>
    <w:p w14:paraId="2097EFDF" w14:textId="2EBD8D3A" w:rsidR="005A79FE" w:rsidRPr="00DE70DC" w:rsidRDefault="005A79FE" w:rsidP="005A79FE">
      <w:pPr>
        <w:rPr>
          <w:rFonts w:ascii="Arial" w:eastAsia="Calibri" w:hAnsi="Arial" w:cs="Arial"/>
          <w:sz w:val="22"/>
        </w:rPr>
      </w:pPr>
      <w:r w:rsidRPr="00DE70DC">
        <w:rPr>
          <w:rFonts w:ascii="Arial" w:eastAsia="Calibri" w:hAnsi="Arial" w:cs="Arial"/>
          <w:sz w:val="22"/>
        </w:rPr>
        <w:t>Señora</w:t>
      </w:r>
    </w:p>
    <w:p w14:paraId="7FDA027E" w14:textId="44A8450A" w:rsidR="005A79FE" w:rsidRPr="00DE70DC" w:rsidRDefault="00284F66" w:rsidP="005A79FE">
      <w:pPr>
        <w:rPr>
          <w:rFonts w:ascii="Arial" w:eastAsia="Calibri" w:hAnsi="Arial" w:cs="Arial"/>
          <w:b/>
          <w:sz w:val="22"/>
        </w:rPr>
      </w:pPr>
      <w:r w:rsidRPr="00DE70DC">
        <w:rPr>
          <w:rFonts w:ascii="Arial" w:eastAsia="Calibri" w:hAnsi="Arial" w:cs="Arial"/>
          <w:b/>
          <w:sz w:val="22"/>
        </w:rPr>
        <w:t>María Juliana Pérez</w:t>
      </w:r>
    </w:p>
    <w:p w14:paraId="699E9CB9" w14:textId="5E5289AE" w:rsidR="005A79FE" w:rsidRPr="00DE70DC" w:rsidRDefault="00785A12" w:rsidP="005A79FE">
      <w:pPr>
        <w:rPr>
          <w:rFonts w:ascii="Arial" w:eastAsia="Calibri" w:hAnsi="Arial" w:cs="Arial"/>
          <w:sz w:val="22"/>
        </w:rPr>
      </w:pPr>
      <w:r w:rsidRPr="00DE70DC">
        <w:rPr>
          <w:rFonts w:ascii="Arial" w:eastAsia="Calibri" w:hAnsi="Arial" w:cs="Arial"/>
          <w:sz w:val="22"/>
        </w:rPr>
        <w:t>Bogotá</w:t>
      </w:r>
    </w:p>
    <w:p w14:paraId="7965FF86" w14:textId="153C659F" w:rsidR="00900239" w:rsidRPr="00DE70DC" w:rsidRDefault="00900239" w:rsidP="00900239">
      <w:pPr>
        <w:rPr>
          <w:rFonts w:ascii="Arial" w:eastAsia="Calibri" w:hAnsi="Arial" w:cs="Arial"/>
          <w:b/>
          <w:sz w:val="22"/>
        </w:rPr>
      </w:pPr>
      <w:r w:rsidRPr="00DE70DC">
        <w:rPr>
          <w:rFonts w:ascii="Arial" w:eastAsia="Calibri" w:hAnsi="Arial" w:cs="Arial"/>
          <w:b/>
          <w:sz w:val="22"/>
        </w:rPr>
        <w:t xml:space="preserve">                                            </w:t>
      </w:r>
    </w:p>
    <w:p w14:paraId="3DA2F4F0" w14:textId="77777777" w:rsidR="00900239" w:rsidRPr="00DE70DC" w:rsidRDefault="00900239">
      <w:pPr>
        <w:rPr>
          <w:rFonts w:ascii="Arial" w:eastAsia="Calibri" w:hAnsi="Arial" w:cs="Arial"/>
          <w:sz w:val="22"/>
        </w:rPr>
      </w:pPr>
    </w:p>
    <w:p w14:paraId="04EF5647" w14:textId="045C9D34" w:rsidR="005A79FE" w:rsidRPr="00DE70DC" w:rsidRDefault="00900239" w:rsidP="001B7618">
      <w:pPr>
        <w:rPr>
          <w:rFonts w:ascii="Arial" w:eastAsia="Calibri" w:hAnsi="Arial" w:cs="Arial"/>
          <w:b/>
          <w:sz w:val="22"/>
        </w:rPr>
      </w:pPr>
      <w:r w:rsidRPr="00DE70DC">
        <w:rPr>
          <w:rFonts w:ascii="Arial" w:eastAsia="Calibri" w:hAnsi="Arial" w:cs="Arial"/>
          <w:sz w:val="22"/>
        </w:rPr>
        <w:t xml:space="preserve">                                            </w:t>
      </w:r>
      <w:r w:rsidR="005A79FE" w:rsidRPr="00DE70DC">
        <w:rPr>
          <w:rFonts w:ascii="Arial" w:eastAsia="Calibri" w:hAnsi="Arial" w:cs="Arial"/>
          <w:b/>
          <w:sz w:val="22"/>
        </w:rPr>
        <w:t xml:space="preserve">Concepto C ─ </w:t>
      </w:r>
      <w:r w:rsidR="00785A12" w:rsidRPr="00DE70DC">
        <w:rPr>
          <w:rFonts w:ascii="Arial" w:eastAsia="Calibri" w:hAnsi="Arial" w:cs="Arial"/>
          <w:b/>
          <w:sz w:val="22"/>
        </w:rPr>
        <w:t>297</w:t>
      </w:r>
      <w:r w:rsidR="005A79FE" w:rsidRPr="00DE70DC">
        <w:rPr>
          <w:rFonts w:ascii="Arial" w:eastAsia="Calibri" w:hAnsi="Arial" w:cs="Arial"/>
          <w:b/>
          <w:sz w:val="22"/>
        </w:rPr>
        <w:t xml:space="preserve"> de 2020</w:t>
      </w:r>
    </w:p>
    <w:p w14:paraId="6CCD98F0" w14:textId="77777777" w:rsidR="005A79FE" w:rsidRPr="00DE70DC"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E70DC" w:rsidRPr="00DE70DC" w14:paraId="21699201" w14:textId="77777777" w:rsidTr="005E7572">
        <w:tc>
          <w:tcPr>
            <w:tcW w:w="2689" w:type="dxa"/>
            <w:hideMark/>
          </w:tcPr>
          <w:p w14:paraId="26712367" w14:textId="77777777" w:rsidR="005A79FE" w:rsidRPr="00DE70DC" w:rsidRDefault="005A79FE" w:rsidP="005E7572">
            <w:pPr>
              <w:rPr>
                <w:rFonts w:ascii="Arial" w:eastAsia="Calibri" w:hAnsi="Arial" w:cs="Arial"/>
                <w:sz w:val="22"/>
              </w:rPr>
            </w:pPr>
            <w:r w:rsidRPr="00DE70DC">
              <w:rPr>
                <w:rFonts w:ascii="Arial" w:eastAsia="Calibri" w:hAnsi="Arial" w:cs="Arial"/>
                <w:b/>
                <w:sz w:val="22"/>
              </w:rPr>
              <w:t>Temas:</w:t>
            </w:r>
            <w:r w:rsidRPr="00DE70DC">
              <w:rPr>
                <w:rFonts w:ascii="Arial" w:eastAsia="Calibri" w:hAnsi="Arial" w:cs="Arial"/>
                <w:sz w:val="22"/>
              </w:rPr>
              <w:t xml:space="preserve">           </w:t>
            </w:r>
          </w:p>
          <w:p w14:paraId="5D67F5C4" w14:textId="77777777" w:rsidR="005A79FE" w:rsidRPr="00DE70DC" w:rsidRDefault="005A79FE" w:rsidP="005E7572">
            <w:pPr>
              <w:rPr>
                <w:rFonts w:ascii="Arial" w:eastAsia="Calibri" w:hAnsi="Arial" w:cs="Arial"/>
                <w:sz w:val="22"/>
              </w:rPr>
            </w:pPr>
            <w:r w:rsidRPr="00DE70DC">
              <w:rPr>
                <w:rFonts w:ascii="Arial" w:eastAsia="Calibri" w:hAnsi="Arial" w:cs="Arial"/>
                <w:sz w:val="22"/>
              </w:rPr>
              <w:t xml:space="preserve">                           </w:t>
            </w:r>
          </w:p>
        </w:tc>
        <w:tc>
          <w:tcPr>
            <w:tcW w:w="6237" w:type="dxa"/>
            <w:hideMark/>
          </w:tcPr>
          <w:p w14:paraId="4FC6314A" w14:textId="705466AA" w:rsidR="008D1B84" w:rsidRPr="00DE70DC" w:rsidRDefault="008D1B84" w:rsidP="008D1B84">
            <w:pPr>
              <w:jc w:val="both"/>
              <w:rPr>
                <w:rFonts w:ascii="Arial" w:hAnsi="Arial" w:cs="Arial"/>
                <w:sz w:val="22"/>
                <w:lang w:val="es-ES"/>
              </w:rPr>
            </w:pPr>
            <w:r w:rsidRPr="00DE70DC">
              <w:rPr>
                <w:rFonts w:ascii="Arial" w:hAnsi="Arial" w:cs="Arial"/>
                <w:sz w:val="22"/>
                <w:lang w:val="es-ES"/>
              </w:rPr>
              <w:t xml:space="preserve">DOCUMENTOS TIPO ─ Régimen jurídico / DOCUMENTOS TIPO ─ Desarrollo ─ Implementación / DOCUMENTOS TIPO – Capacidad residual – Acreditación / DOCUMENTOS TIPO – Capacidad residual – </w:t>
            </w:r>
            <w:proofErr w:type="spellStart"/>
            <w:r w:rsidRPr="00DE70DC">
              <w:rPr>
                <w:rFonts w:ascii="Arial" w:hAnsi="Arial" w:cs="Arial"/>
                <w:sz w:val="22"/>
                <w:lang w:val="es-ES"/>
              </w:rPr>
              <w:t>Subsanabilidad</w:t>
            </w:r>
            <w:proofErr w:type="spellEnd"/>
            <w:r w:rsidRPr="00DE70DC">
              <w:rPr>
                <w:rFonts w:ascii="Arial" w:hAnsi="Arial" w:cs="Arial"/>
                <w:sz w:val="22"/>
                <w:lang w:val="es-ES"/>
              </w:rPr>
              <w:t xml:space="preserve"> / DOCUMENTOS TIPO – Capacidad residual – Documentos – Causales de rechazo</w:t>
            </w:r>
          </w:p>
          <w:p w14:paraId="784C47C0" w14:textId="70F378D2" w:rsidR="005A79FE" w:rsidRPr="00DE70DC" w:rsidRDefault="008D1B84" w:rsidP="00D50796">
            <w:pPr>
              <w:spacing w:after="120"/>
              <w:jc w:val="both"/>
              <w:rPr>
                <w:rFonts w:ascii="Arial" w:eastAsia="Calibri" w:hAnsi="Arial" w:cs="Arial"/>
                <w:sz w:val="22"/>
              </w:rPr>
            </w:pPr>
            <w:r w:rsidRPr="00DE70DC">
              <w:rPr>
                <w:rFonts w:ascii="Arial" w:hAnsi="Arial" w:cs="Arial"/>
                <w:sz w:val="22"/>
                <w:lang w:val="es-ES"/>
              </w:rPr>
              <w:lastRenderedPageBreak/>
              <w:t>DOCUMENTOS TIPO –Capacidad residual – Causales de rechazo</w:t>
            </w:r>
          </w:p>
        </w:tc>
      </w:tr>
      <w:tr w:rsidR="005A79FE" w:rsidRPr="00DE70DC" w14:paraId="7C0A7D18" w14:textId="77777777" w:rsidTr="005E7572">
        <w:tc>
          <w:tcPr>
            <w:tcW w:w="2689" w:type="dxa"/>
          </w:tcPr>
          <w:p w14:paraId="6A12F093" w14:textId="77777777" w:rsidR="005A79FE" w:rsidRPr="00DE70DC" w:rsidRDefault="005A79FE" w:rsidP="008D1B84">
            <w:pPr>
              <w:spacing w:before="60"/>
              <w:rPr>
                <w:rFonts w:ascii="Arial" w:eastAsia="Calibri" w:hAnsi="Arial" w:cs="Arial"/>
                <w:b/>
                <w:sz w:val="22"/>
              </w:rPr>
            </w:pPr>
            <w:r w:rsidRPr="00DE70DC">
              <w:rPr>
                <w:rFonts w:ascii="Arial" w:eastAsia="Calibri" w:hAnsi="Arial" w:cs="Arial"/>
                <w:b/>
                <w:sz w:val="22"/>
              </w:rPr>
              <w:lastRenderedPageBreak/>
              <w:t>Radicación:</w:t>
            </w:r>
            <w:r w:rsidRPr="00DE70DC">
              <w:rPr>
                <w:rFonts w:ascii="Arial" w:eastAsia="Calibri" w:hAnsi="Arial" w:cs="Arial"/>
                <w:sz w:val="22"/>
              </w:rPr>
              <w:t xml:space="preserve">                              </w:t>
            </w:r>
          </w:p>
        </w:tc>
        <w:tc>
          <w:tcPr>
            <w:tcW w:w="6237" w:type="dxa"/>
          </w:tcPr>
          <w:p w14:paraId="73A42ACA" w14:textId="5D26F915" w:rsidR="005A79FE" w:rsidRPr="00DE70DC" w:rsidRDefault="005A79FE" w:rsidP="008D1B84">
            <w:pPr>
              <w:spacing w:before="60"/>
              <w:jc w:val="both"/>
              <w:rPr>
                <w:rFonts w:ascii="Arial" w:eastAsia="Calibri" w:hAnsi="Arial" w:cs="Arial"/>
                <w:sz w:val="22"/>
              </w:rPr>
            </w:pPr>
            <w:r w:rsidRPr="00DE70DC">
              <w:rPr>
                <w:rFonts w:ascii="Arial" w:eastAsia="Calibri" w:hAnsi="Arial" w:cs="Arial"/>
                <w:sz w:val="22"/>
              </w:rPr>
              <w:t xml:space="preserve">Respuesta a consulta # </w:t>
            </w:r>
            <w:r w:rsidR="00DC578F" w:rsidRPr="00DE70DC">
              <w:rPr>
                <w:rFonts w:ascii="Arial" w:eastAsia="Calibri" w:hAnsi="Arial" w:cs="Arial"/>
                <w:sz w:val="22"/>
              </w:rPr>
              <w:t>4202013000002864</w:t>
            </w:r>
          </w:p>
        </w:tc>
      </w:tr>
    </w:tbl>
    <w:p w14:paraId="396DE958" w14:textId="77777777" w:rsidR="005A79FE" w:rsidRPr="00DE70DC" w:rsidRDefault="005A79FE" w:rsidP="008D1B84">
      <w:pPr>
        <w:spacing w:before="60"/>
        <w:jc w:val="both"/>
        <w:rPr>
          <w:rFonts w:ascii="Arial" w:eastAsia="Calibri" w:hAnsi="Arial" w:cs="Arial"/>
          <w:sz w:val="22"/>
        </w:rPr>
      </w:pPr>
    </w:p>
    <w:p w14:paraId="489DB6E6" w14:textId="77777777" w:rsidR="005A79FE" w:rsidRPr="00DE70DC" w:rsidRDefault="005A79FE" w:rsidP="005A79FE">
      <w:pPr>
        <w:rPr>
          <w:rFonts w:ascii="Arial" w:eastAsia="Calibri" w:hAnsi="Arial" w:cs="Arial"/>
          <w:sz w:val="22"/>
        </w:rPr>
      </w:pPr>
    </w:p>
    <w:p w14:paraId="657E7EE7" w14:textId="351B88C5" w:rsidR="005A79FE" w:rsidRPr="00DE70DC" w:rsidRDefault="005A79FE" w:rsidP="005A79FE">
      <w:pPr>
        <w:rPr>
          <w:rFonts w:ascii="Arial" w:eastAsia="Calibri" w:hAnsi="Arial" w:cs="Arial"/>
          <w:sz w:val="22"/>
        </w:rPr>
      </w:pPr>
      <w:r w:rsidRPr="00DE70DC">
        <w:rPr>
          <w:rFonts w:ascii="Arial" w:eastAsia="Calibri" w:hAnsi="Arial" w:cs="Arial"/>
          <w:sz w:val="22"/>
        </w:rPr>
        <w:t>Estimad</w:t>
      </w:r>
      <w:r w:rsidR="00A546CA" w:rsidRPr="00DE70DC">
        <w:rPr>
          <w:rFonts w:ascii="Arial" w:eastAsia="Calibri" w:hAnsi="Arial" w:cs="Arial"/>
          <w:sz w:val="22"/>
        </w:rPr>
        <w:t xml:space="preserve">a señora </w:t>
      </w:r>
      <w:r w:rsidR="00785A12" w:rsidRPr="00DE70DC">
        <w:rPr>
          <w:rFonts w:ascii="Arial" w:eastAsia="Calibri" w:hAnsi="Arial" w:cs="Arial"/>
          <w:sz w:val="22"/>
        </w:rPr>
        <w:t>Pérez</w:t>
      </w:r>
      <w:r w:rsidRPr="00DE70DC">
        <w:rPr>
          <w:rFonts w:ascii="Arial" w:eastAsia="Calibri" w:hAnsi="Arial" w:cs="Arial"/>
          <w:sz w:val="22"/>
        </w:rPr>
        <w:t>,</w:t>
      </w:r>
    </w:p>
    <w:p w14:paraId="40D74C98" w14:textId="77777777" w:rsidR="005A79FE" w:rsidRPr="00DE70DC" w:rsidRDefault="005A79FE" w:rsidP="005A79FE">
      <w:pPr>
        <w:rPr>
          <w:rFonts w:ascii="Arial" w:eastAsia="Calibri" w:hAnsi="Arial" w:cs="Arial"/>
          <w:sz w:val="22"/>
        </w:rPr>
      </w:pPr>
    </w:p>
    <w:p w14:paraId="1EA2338B" w14:textId="746FF84A" w:rsidR="005A79FE" w:rsidRPr="00DE70DC" w:rsidRDefault="00F55AA3" w:rsidP="005A79FE">
      <w:pPr>
        <w:spacing w:line="276" w:lineRule="auto"/>
        <w:ind w:right="49"/>
        <w:jc w:val="both"/>
        <w:rPr>
          <w:rFonts w:ascii="Arial" w:eastAsia="Calibri" w:hAnsi="Arial" w:cs="Arial"/>
          <w:sz w:val="22"/>
        </w:rPr>
      </w:pPr>
      <w:r w:rsidRPr="00DE70DC">
        <w:rPr>
          <w:rFonts w:ascii="Arial" w:eastAsia="Calibri" w:hAnsi="Arial" w:cs="Arial"/>
          <w:sz w:val="22"/>
        </w:rPr>
        <w:t>En ejercicio de la competencia otorgada por el numeral 8 del artículo 11 y el numeral 5 del artículo 3 del Decreto Ley 4170 de 2011, l</w:t>
      </w:r>
      <w:r w:rsidR="005A79FE" w:rsidRPr="00DE70DC">
        <w:rPr>
          <w:rFonts w:ascii="Arial" w:eastAsia="Calibri" w:hAnsi="Arial" w:cs="Arial"/>
          <w:sz w:val="22"/>
        </w:rPr>
        <w:t>a Agencia Nacional de Contratación Pública ―</w:t>
      </w:r>
      <w:r w:rsidRPr="00DE70DC">
        <w:rPr>
          <w:rFonts w:ascii="Arial" w:eastAsia="Calibri" w:hAnsi="Arial" w:cs="Arial"/>
          <w:sz w:val="22"/>
        </w:rPr>
        <w:t xml:space="preserve"> </w:t>
      </w:r>
      <w:r w:rsidR="005A79FE" w:rsidRPr="00DE70DC">
        <w:rPr>
          <w:rFonts w:ascii="Arial" w:eastAsia="Calibri" w:hAnsi="Arial" w:cs="Arial"/>
          <w:sz w:val="22"/>
        </w:rPr>
        <w:t xml:space="preserve">Colombia Compra Eficiente responde su consulta del </w:t>
      </w:r>
      <w:r w:rsidRPr="00DE70DC">
        <w:rPr>
          <w:rFonts w:ascii="Arial" w:eastAsia="Calibri" w:hAnsi="Arial" w:cs="Arial"/>
          <w:sz w:val="22"/>
        </w:rPr>
        <w:t>20 de abril</w:t>
      </w:r>
      <w:r w:rsidR="005A79FE" w:rsidRPr="00DE70DC">
        <w:rPr>
          <w:rFonts w:ascii="Arial" w:eastAsia="Calibri" w:hAnsi="Arial" w:cs="Arial"/>
          <w:sz w:val="22"/>
        </w:rPr>
        <w:t xml:space="preserve"> de</w:t>
      </w:r>
      <w:r w:rsidRPr="00DE70DC">
        <w:rPr>
          <w:rFonts w:ascii="Arial" w:eastAsia="Calibri" w:hAnsi="Arial" w:cs="Arial"/>
          <w:sz w:val="22"/>
        </w:rPr>
        <w:t>l año</w:t>
      </w:r>
      <w:r w:rsidR="005A79FE" w:rsidRPr="00DE70DC">
        <w:rPr>
          <w:rFonts w:ascii="Arial" w:eastAsia="Calibri" w:hAnsi="Arial" w:cs="Arial"/>
          <w:sz w:val="22"/>
        </w:rPr>
        <w:t xml:space="preserve"> 20</w:t>
      </w:r>
      <w:r w:rsidR="00AC0EEB" w:rsidRPr="00DE70DC">
        <w:rPr>
          <w:rFonts w:ascii="Arial" w:eastAsia="Calibri" w:hAnsi="Arial" w:cs="Arial"/>
          <w:sz w:val="22"/>
        </w:rPr>
        <w:t>20</w:t>
      </w:r>
      <w:r w:rsidRPr="00DE70DC">
        <w:rPr>
          <w:rFonts w:ascii="Arial" w:eastAsia="Calibri" w:hAnsi="Arial" w:cs="Arial"/>
          <w:sz w:val="22"/>
        </w:rPr>
        <w:t>.</w:t>
      </w:r>
      <w:r w:rsidR="005A79FE" w:rsidRPr="00DE70DC">
        <w:rPr>
          <w:rFonts w:ascii="Arial" w:eastAsia="Calibri" w:hAnsi="Arial" w:cs="Arial"/>
          <w:sz w:val="22"/>
        </w:rPr>
        <w:t xml:space="preserve"> </w:t>
      </w:r>
    </w:p>
    <w:p w14:paraId="4FA02A8B" w14:textId="77777777" w:rsidR="005A79FE" w:rsidRPr="00DE70DC" w:rsidRDefault="005A79FE" w:rsidP="005A79FE">
      <w:pPr>
        <w:spacing w:line="276" w:lineRule="auto"/>
        <w:jc w:val="both"/>
        <w:rPr>
          <w:rFonts w:ascii="Arial" w:eastAsia="Calibri" w:hAnsi="Arial" w:cs="Arial"/>
          <w:sz w:val="22"/>
        </w:rPr>
      </w:pPr>
    </w:p>
    <w:p w14:paraId="4E8D0889" w14:textId="77777777" w:rsidR="005A79FE" w:rsidRPr="00DE70DC"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DE70DC">
        <w:rPr>
          <w:rFonts w:ascii="Arial" w:eastAsia="Calibri" w:hAnsi="Arial" w:cs="Arial"/>
          <w:b/>
          <w:sz w:val="22"/>
        </w:rPr>
        <w:t xml:space="preserve">Problemas planteados </w:t>
      </w:r>
    </w:p>
    <w:p w14:paraId="138D5B25" w14:textId="77777777" w:rsidR="005A79FE" w:rsidRPr="00DE70DC" w:rsidRDefault="005A79FE" w:rsidP="005A79FE">
      <w:pPr>
        <w:tabs>
          <w:tab w:val="left" w:pos="426"/>
        </w:tabs>
        <w:spacing w:line="276" w:lineRule="auto"/>
        <w:jc w:val="both"/>
        <w:rPr>
          <w:rFonts w:ascii="Arial" w:eastAsia="Calibri" w:hAnsi="Arial" w:cs="Arial"/>
          <w:b/>
          <w:sz w:val="22"/>
        </w:rPr>
      </w:pPr>
    </w:p>
    <w:p w14:paraId="4B9C9677" w14:textId="0195A17E" w:rsidR="002C2BF2" w:rsidRPr="00DE70DC" w:rsidRDefault="005A79FE" w:rsidP="005A79FE">
      <w:pPr>
        <w:tabs>
          <w:tab w:val="left" w:pos="426"/>
        </w:tabs>
        <w:spacing w:line="276" w:lineRule="auto"/>
        <w:jc w:val="both"/>
        <w:rPr>
          <w:rFonts w:ascii="Arial" w:eastAsia="Calibri" w:hAnsi="Arial" w:cs="Arial"/>
          <w:sz w:val="22"/>
        </w:rPr>
      </w:pPr>
      <w:r w:rsidRPr="00DE70DC">
        <w:rPr>
          <w:rFonts w:ascii="Arial" w:eastAsia="Calibri" w:hAnsi="Arial" w:cs="Arial"/>
          <w:sz w:val="22"/>
        </w:rPr>
        <w:t xml:space="preserve">Usted </w:t>
      </w:r>
      <w:r w:rsidR="00F55AA3" w:rsidRPr="00DE70DC">
        <w:rPr>
          <w:rFonts w:ascii="Arial" w:eastAsia="Calibri" w:hAnsi="Arial" w:cs="Arial"/>
          <w:sz w:val="22"/>
        </w:rPr>
        <w:t xml:space="preserve">solicita </w:t>
      </w:r>
      <w:r w:rsidR="00C03D7A" w:rsidRPr="00DE70DC">
        <w:rPr>
          <w:rFonts w:ascii="Arial" w:eastAsia="Calibri" w:hAnsi="Arial" w:cs="Arial"/>
          <w:sz w:val="22"/>
        </w:rPr>
        <w:t>aclarar</w:t>
      </w:r>
      <w:r w:rsidR="00F55AA3" w:rsidRPr="00DE70DC">
        <w:rPr>
          <w:rFonts w:ascii="Arial" w:eastAsia="Calibri" w:hAnsi="Arial" w:cs="Arial"/>
          <w:sz w:val="22"/>
        </w:rPr>
        <w:t xml:space="preserve"> el alcance de la causal de rechazo de la propuesta consagrada en el literal BB del numeral 1.15 del </w:t>
      </w:r>
      <w:r w:rsidR="008D3FBB" w:rsidRPr="00DE70DC">
        <w:rPr>
          <w:rFonts w:ascii="Arial" w:eastAsia="Calibri" w:hAnsi="Arial" w:cs="Arial"/>
          <w:sz w:val="22"/>
        </w:rPr>
        <w:t>«</w:t>
      </w:r>
      <w:r w:rsidR="00F55AA3" w:rsidRPr="00DE70DC">
        <w:rPr>
          <w:rFonts w:ascii="Arial" w:eastAsia="Calibri" w:hAnsi="Arial" w:cs="Arial"/>
          <w:sz w:val="22"/>
        </w:rPr>
        <w:t>Documento Base</w:t>
      </w:r>
      <w:r w:rsidR="008D3FBB" w:rsidRPr="00DE70DC">
        <w:rPr>
          <w:rFonts w:ascii="Arial" w:eastAsia="Calibri" w:hAnsi="Arial" w:cs="Arial"/>
          <w:sz w:val="22"/>
        </w:rPr>
        <w:t>»</w:t>
      </w:r>
      <w:r w:rsidR="00F55AA3" w:rsidRPr="00DE70DC">
        <w:rPr>
          <w:rFonts w:ascii="Arial" w:eastAsia="Calibri" w:hAnsi="Arial" w:cs="Arial"/>
          <w:sz w:val="22"/>
        </w:rPr>
        <w:t xml:space="preserve">. Puntualmente, </w:t>
      </w:r>
      <w:r w:rsidRPr="00DE70DC">
        <w:rPr>
          <w:rFonts w:ascii="Arial" w:eastAsia="Calibri" w:hAnsi="Arial" w:cs="Arial"/>
          <w:sz w:val="22"/>
        </w:rPr>
        <w:t>realiza las siguientes preguntas:</w:t>
      </w:r>
      <w:r w:rsidR="00F55AA3" w:rsidRPr="00DE70DC">
        <w:rPr>
          <w:rFonts w:ascii="Arial" w:eastAsia="Calibri" w:hAnsi="Arial" w:cs="Arial"/>
          <w:sz w:val="22"/>
        </w:rPr>
        <w:t xml:space="preserve"> </w:t>
      </w:r>
      <w:r w:rsidR="00C52AA0" w:rsidRPr="00DE70DC">
        <w:rPr>
          <w:rFonts w:ascii="Arial" w:eastAsia="Calibri" w:hAnsi="Arial" w:cs="Arial"/>
          <w:sz w:val="22"/>
        </w:rPr>
        <w:t>i) «¿s</w:t>
      </w:r>
      <w:r w:rsidR="00F55AA3" w:rsidRPr="00DE70DC">
        <w:rPr>
          <w:rFonts w:ascii="Arial" w:eastAsia="Calibri" w:hAnsi="Arial" w:cs="Arial"/>
          <w:sz w:val="22"/>
        </w:rPr>
        <w:t>i un proponente relaciona todos los contratos, pero tiene errores en las fechas de inicio debe ser rechazado?</w:t>
      </w:r>
      <w:r w:rsidR="00C52AA0" w:rsidRPr="00DE70DC">
        <w:rPr>
          <w:rFonts w:ascii="Arial" w:eastAsia="Calibri" w:hAnsi="Arial" w:cs="Arial"/>
          <w:sz w:val="22"/>
        </w:rPr>
        <w:t xml:space="preserve">»; </w:t>
      </w:r>
      <w:proofErr w:type="spellStart"/>
      <w:r w:rsidR="00C52AA0" w:rsidRPr="00DE70DC">
        <w:rPr>
          <w:rFonts w:ascii="Arial" w:eastAsia="Calibri" w:hAnsi="Arial" w:cs="Arial"/>
          <w:sz w:val="22"/>
        </w:rPr>
        <w:t>ii</w:t>
      </w:r>
      <w:proofErr w:type="spellEnd"/>
      <w:r w:rsidR="00C52AA0" w:rsidRPr="00DE70DC">
        <w:rPr>
          <w:rFonts w:ascii="Arial" w:eastAsia="Calibri" w:hAnsi="Arial" w:cs="Arial"/>
          <w:sz w:val="22"/>
        </w:rPr>
        <w:t>) «¿s</w:t>
      </w:r>
      <w:r w:rsidR="00F55AA3" w:rsidRPr="00DE70DC">
        <w:rPr>
          <w:rFonts w:ascii="Arial" w:eastAsia="Calibri" w:hAnsi="Arial" w:cs="Arial"/>
          <w:sz w:val="22"/>
        </w:rPr>
        <w:t>i un proponente relaciona todo</w:t>
      </w:r>
      <w:r w:rsidR="00C52AA0" w:rsidRPr="00DE70DC">
        <w:rPr>
          <w:rFonts w:ascii="Arial" w:eastAsia="Calibri" w:hAnsi="Arial" w:cs="Arial"/>
          <w:sz w:val="22"/>
        </w:rPr>
        <w:t>[</w:t>
      </w:r>
      <w:r w:rsidR="00F55AA3" w:rsidRPr="00DE70DC">
        <w:rPr>
          <w:rFonts w:ascii="Arial" w:eastAsia="Calibri" w:hAnsi="Arial" w:cs="Arial"/>
          <w:sz w:val="22"/>
        </w:rPr>
        <w:t>s</w:t>
      </w:r>
      <w:r w:rsidR="00C52AA0" w:rsidRPr="00DE70DC">
        <w:rPr>
          <w:rFonts w:ascii="Arial" w:eastAsia="Calibri" w:hAnsi="Arial" w:cs="Arial"/>
          <w:sz w:val="22"/>
        </w:rPr>
        <w:t>]</w:t>
      </w:r>
      <w:r w:rsidR="00F55AA3" w:rsidRPr="00DE70DC">
        <w:rPr>
          <w:rFonts w:ascii="Arial" w:eastAsia="Calibri" w:hAnsi="Arial" w:cs="Arial"/>
          <w:sz w:val="22"/>
        </w:rPr>
        <w:t xml:space="preserve"> los contrato</w:t>
      </w:r>
      <w:r w:rsidR="00C52AA0" w:rsidRPr="00DE70DC">
        <w:rPr>
          <w:rFonts w:ascii="Arial" w:eastAsia="Calibri" w:hAnsi="Arial" w:cs="Arial"/>
          <w:sz w:val="22"/>
        </w:rPr>
        <w:t>s</w:t>
      </w:r>
      <w:r w:rsidR="00F55AA3" w:rsidRPr="00DE70DC">
        <w:rPr>
          <w:rFonts w:ascii="Arial" w:eastAsia="Calibri" w:hAnsi="Arial" w:cs="Arial"/>
          <w:sz w:val="22"/>
        </w:rPr>
        <w:t>, pero tiene errores en la fecha de cierre del proceso debe ser rechazado?</w:t>
      </w:r>
      <w:r w:rsidR="00C52AA0" w:rsidRPr="00DE70DC">
        <w:rPr>
          <w:rFonts w:ascii="Arial" w:eastAsia="Calibri" w:hAnsi="Arial" w:cs="Arial"/>
          <w:sz w:val="22"/>
        </w:rPr>
        <w:t xml:space="preserve">»; </w:t>
      </w:r>
      <w:proofErr w:type="spellStart"/>
      <w:r w:rsidR="00C52AA0" w:rsidRPr="00DE70DC">
        <w:rPr>
          <w:rFonts w:ascii="Arial" w:eastAsia="Calibri" w:hAnsi="Arial" w:cs="Arial"/>
          <w:sz w:val="22"/>
        </w:rPr>
        <w:t>iii</w:t>
      </w:r>
      <w:proofErr w:type="spellEnd"/>
      <w:r w:rsidR="00C52AA0" w:rsidRPr="00DE70DC">
        <w:rPr>
          <w:rFonts w:ascii="Arial" w:eastAsia="Calibri" w:hAnsi="Arial" w:cs="Arial"/>
          <w:sz w:val="22"/>
        </w:rPr>
        <w:t>) «¿s</w:t>
      </w:r>
      <w:r w:rsidR="00F55AA3" w:rsidRPr="00DE70DC">
        <w:rPr>
          <w:rFonts w:ascii="Arial" w:eastAsia="Calibri" w:hAnsi="Arial" w:cs="Arial"/>
          <w:sz w:val="22"/>
        </w:rPr>
        <w:t>i un proponente relaciona todos los contratos, pero tiene errores en su</w:t>
      </w:r>
      <w:r w:rsidR="00C52AA0" w:rsidRPr="00DE70DC">
        <w:rPr>
          <w:rFonts w:ascii="Arial" w:eastAsia="Calibri" w:hAnsi="Arial" w:cs="Arial"/>
          <w:sz w:val="22"/>
        </w:rPr>
        <w:t>[s]</w:t>
      </w:r>
      <w:r w:rsidR="00F55AA3" w:rsidRPr="00DE70DC">
        <w:rPr>
          <w:rFonts w:ascii="Arial" w:eastAsia="Calibri" w:hAnsi="Arial" w:cs="Arial"/>
          <w:sz w:val="22"/>
        </w:rPr>
        <w:t xml:space="preserve"> valores debe ser rechazado?</w:t>
      </w:r>
      <w:r w:rsidR="00C52AA0" w:rsidRPr="00DE70DC">
        <w:rPr>
          <w:rFonts w:ascii="Arial" w:eastAsia="Calibri" w:hAnsi="Arial" w:cs="Arial"/>
          <w:sz w:val="22"/>
        </w:rPr>
        <w:t xml:space="preserve">»; </w:t>
      </w:r>
      <w:proofErr w:type="spellStart"/>
      <w:r w:rsidR="00C52AA0" w:rsidRPr="00DE70DC">
        <w:rPr>
          <w:rFonts w:ascii="Arial" w:eastAsia="Calibri" w:hAnsi="Arial" w:cs="Arial"/>
          <w:sz w:val="22"/>
        </w:rPr>
        <w:t>iv</w:t>
      </w:r>
      <w:proofErr w:type="spellEnd"/>
      <w:r w:rsidR="00C52AA0" w:rsidRPr="00DE70DC">
        <w:rPr>
          <w:rFonts w:ascii="Arial" w:eastAsia="Calibri" w:hAnsi="Arial" w:cs="Arial"/>
          <w:sz w:val="22"/>
        </w:rPr>
        <w:t>) «¿s</w:t>
      </w:r>
      <w:r w:rsidR="00F55AA3" w:rsidRPr="00DE70DC">
        <w:rPr>
          <w:rFonts w:ascii="Arial" w:eastAsia="Calibri" w:hAnsi="Arial" w:cs="Arial"/>
          <w:sz w:val="22"/>
        </w:rPr>
        <w:t>i un proponente relaciona todos los contrato, pero tiene errores en los plazos debe ser rechazado?</w:t>
      </w:r>
      <w:r w:rsidR="00C52AA0" w:rsidRPr="00DE70DC">
        <w:rPr>
          <w:rFonts w:ascii="Arial" w:eastAsia="Calibri" w:hAnsi="Arial" w:cs="Arial"/>
          <w:sz w:val="22"/>
        </w:rPr>
        <w:t>»; y v) «[…] s</w:t>
      </w:r>
      <w:r w:rsidR="00F55AA3" w:rsidRPr="00DE70DC">
        <w:rPr>
          <w:rFonts w:ascii="Arial" w:eastAsia="Calibri" w:hAnsi="Arial" w:cs="Arial"/>
          <w:sz w:val="22"/>
        </w:rPr>
        <w:t xml:space="preserve">iendo </w:t>
      </w:r>
      <w:r w:rsidR="00C52AA0" w:rsidRPr="00DE70DC">
        <w:rPr>
          <w:rFonts w:ascii="Arial" w:eastAsia="Calibri" w:hAnsi="Arial" w:cs="Arial"/>
          <w:sz w:val="22"/>
        </w:rPr>
        <w:t xml:space="preserve">[…] </w:t>
      </w:r>
      <w:r w:rsidR="00F55AA3" w:rsidRPr="00DE70DC">
        <w:rPr>
          <w:rFonts w:ascii="Arial" w:eastAsia="Calibri" w:hAnsi="Arial" w:cs="Arial"/>
          <w:sz w:val="22"/>
        </w:rPr>
        <w:t xml:space="preserve">la capacidad residual </w:t>
      </w:r>
      <w:r w:rsidR="00C52AA0" w:rsidRPr="00DE70DC">
        <w:rPr>
          <w:rFonts w:ascii="Arial" w:eastAsia="Calibri" w:hAnsi="Arial" w:cs="Arial"/>
          <w:sz w:val="22"/>
        </w:rPr>
        <w:t>[…]</w:t>
      </w:r>
      <w:r w:rsidR="00F55AA3" w:rsidRPr="00DE70DC">
        <w:rPr>
          <w:rFonts w:ascii="Arial" w:eastAsia="Calibri" w:hAnsi="Arial" w:cs="Arial"/>
          <w:sz w:val="22"/>
        </w:rPr>
        <w:t xml:space="preserve"> un requisito habilitante por lo que debería ser subsanable, </w:t>
      </w:r>
      <w:r w:rsidR="00C52AA0" w:rsidRPr="00DE70DC">
        <w:rPr>
          <w:rFonts w:ascii="Arial" w:eastAsia="Calibri" w:hAnsi="Arial" w:cs="Arial"/>
          <w:sz w:val="22"/>
        </w:rPr>
        <w:t>[…] ¿</w:t>
      </w:r>
      <w:r w:rsidR="00F55AA3" w:rsidRPr="00DE70DC">
        <w:rPr>
          <w:rFonts w:ascii="Arial" w:eastAsia="Calibri" w:hAnsi="Arial" w:cs="Arial"/>
          <w:sz w:val="22"/>
        </w:rPr>
        <w:t>si un proponente no relaciona todos los contratos y la entidad lo advierte en el informe de evaluación, no podrá ser requerido para subsanar este requisito?</w:t>
      </w:r>
      <w:r w:rsidR="00C52AA0" w:rsidRPr="00DE70DC">
        <w:rPr>
          <w:rFonts w:ascii="Arial" w:eastAsia="Calibri" w:hAnsi="Arial" w:cs="Arial"/>
          <w:sz w:val="22"/>
        </w:rPr>
        <w:t>».</w:t>
      </w:r>
    </w:p>
    <w:p w14:paraId="64830CDC" w14:textId="77777777" w:rsidR="002C2BF2" w:rsidRPr="00DE70DC" w:rsidRDefault="002C2BF2" w:rsidP="005A79FE">
      <w:pPr>
        <w:tabs>
          <w:tab w:val="left" w:pos="426"/>
        </w:tabs>
        <w:spacing w:line="276" w:lineRule="auto"/>
        <w:jc w:val="both"/>
        <w:rPr>
          <w:rFonts w:ascii="Arial" w:eastAsia="Calibri" w:hAnsi="Arial" w:cs="Arial"/>
          <w:sz w:val="22"/>
        </w:rPr>
      </w:pPr>
    </w:p>
    <w:p w14:paraId="3DE572FD" w14:textId="3D301DDA" w:rsidR="000E6D84" w:rsidRPr="00DE70DC" w:rsidRDefault="005A79FE" w:rsidP="00114236">
      <w:pPr>
        <w:pStyle w:val="Prrafodelista"/>
        <w:numPr>
          <w:ilvl w:val="0"/>
          <w:numId w:val="6"/>
        </w:numPr>
        <w:tabs>
          <w:tab w:val="left" w:pos="426"/>
        </w:tabs>
        <w:spacing w:line="276" w:lineRule="auto"/>
        <w:ind w:left="284" w:hanging="284"/>
        <w:jc w:val="both"/>
        <w:rPr>
          <w:rFonts w:ascii="Arial" w:eastAsia="Calibri" w:hAnsi="Arial" w:cs="Arial"/>
          <w:b/>
          <w:sz w:val="22"/>
        </w:rPr>
      </w:pPr>
      <w:r w:rsidRPr="00DE70DC">
        <w:rPr>
          <w:rFonts w:ascii="Arial" w:eastAsia="Calibri" w:hAnsi="Arial" w:cs="Arial"/>
          <w:b/>
          <w:sz w:val="22"/>
        </w:rPr>
        <w:t>Consideraciones</w:t>
      </w:r>
    </w:p>
    <w:p w14:paraId="79F5FF0C" w14:textId="77777777" w:rsidR="00C52AA0" w:rsidRPr="00DE70DC" w:rsidRDefault="00C52AA0" w:rsidP="00C52AA0">
      <w:pPr>
        <w:pStyle w:val="Prrafodelista"/>
        <w:tabs>
          <w:tab w:val="left" w:pos="426"/>
        </w:tabs>
        <w:spacing w:line="276" w:lineRule="auto"/>
        <w:ind w:left="284"/>
        <w:jc w:val="both"/>
        <w:rPr>
          <w:rFonts w:ascii="Arial" w:eastAsia="Calibri" w:hAnsi="Arial" w:cs="Arial"/>
          <w:b/>
          <w:sz w:val="22"/>
        </w:rPr>
      </w:pPr>
    </w:p>
    <w:p w14:paraId="1867FCA4" w14:textId="009C324C" w:rsidR="00C52AA0" w:rsidRPr="00DE70DC" w:rsidRDefault="00C52AA0" w:rsidP="00DC578F">
      <w:pPr>
        <w:spacing w:line="276" w:lineRule="auto"/>
        <w:jc w:val="both"/>
        <w:rPr>
          <w:rFonts w:ascii="Arial" w:eastAsia="Calibri" w:hAnsi="Arial" w:cs="Arial"/>
          <w:sz w:val="22"/>
        </w:rPr>
      </w:pPr>
      <w:r w:rsidRPr="00DE70DC">
        <w:rPr>
          <w:rFonts w:ascii="Arial" w:eastAsia="Calibri" w:hAnsi="Arial" w:cs="Arial"/>
          <w:sz w:val="22"/>
        </w:rPr>
        <w:t xml:space="preserve">La Agencia </w:t>
      </w:r>
      <w:r w:rsidRPr="00DE70DC">
        <w:rPr>
          <w:rFonts w:ascii="Arial" w:eastAsia="Calibri" w:hAnsi="Arial" w:cs="Arial"/>
          <w:bCs/>
          <w:sz w:val="22"/>
        </w:rPr>
        <w:t>Nacional de Contratación Pública – Colombia Compra Eficiente ha desarrollado</w:t>
      </w:r>
      <w:r w:rsidR="00D16345" w:rsidRPr="00DE70DC">
        <w:rPr>
          <w:rFonts w:ascii="Arial" w:eastAsia="Calibri" w:hAnsi="Arial" w:cs="Arial"/>
          <w:bCs/>
          <w:sz w:val="22"/>
        </w:rPr>
        <w:t xml:space="preserve">, desde diferentes perspectivas, </w:t>
      </w:r>
      <w:r w:rsidRPr="00DE70DC">
        <w:rPr>
          <w:rFonts w:ascii="Arial" w:eastAsia="Calibri" w:hAnsi="Arial" w:cs="Arial"/>
          <w:bCs/>
          <w:sz w:val="22"/>
        </w:rPr>
        <w:t>el alcance de las causales de rechazo de propuestas en la contratación estatal,</w:t>
      </w:r>
      <w:r w:rsidRPr="00DE70DC">
        <w:t xml:space="preserve"> </w:t>
      </w:r>
      <w:r w:rsidRPr="00DE70DC">
        <w:rPr>
          <w:rFonts w:ascii="Arial" w:eastAsia="Calibri" w:hAnsi="Arial" w:cs="Arial"/>
          <w:bCs/>
          <w:sz w:val="22"/>
        </w:rPr>
        <w:t xml:space="preserve">en los conceptos del </w:t>
      </w:r>
      <w:r w:rsidR="00FF417D" w:rsidRPr="00DE70DC">
        <w:rPr>
          <w:rFonts w:ascii="Arial" w:eastAsia="Calibri" w:hAnsi="Arial" w:cs="Arial"/>
          <w:bCs/>
          <w:sz w:val="22"/>
        </w:rPr>
        <w:t xml:space="preserve">6, 9, 16 y 20 de agosto, del 5, 12, 20 y 30 de septiembre, del 21 de octubre, del 14 de noviembre y del 23 de diciembre de 2019 −radicados Nos. 2201913000005608, 2201913000005750, 2201913000005976, 2201913000006033, </w:t>
      </w:r>
      <w:r w:rsidR="002B7DD1" w:rsidRPr="00DE70DC">
        <w:rPr>
          <w:rFonts w:ascii="Arial" w:eastAsia="Calibri" w:hAnsi="Arial" w:cs="Arial"/>
          <w:bCs/>
          <w:sz w:val="22"/>
        </w:rPr>
        <w:t>2201913000006562</w:t>
      </w:r>
      <w:r w:rsidR="00FF417D" w:rsidRPr="00DE70DC">
        <w:rPr>
          <w:rFonts w:ascii="Arial" w:eastAsia="Calibri" w:hAnsi="Arial" w:cs="Arial"/>
          <w:bCs/>
          <w:sz w:val="22"/>
        </w:rPr>
        <w:t xml:space="preserve">, 2201913000006773, </w:t>
      </w:r>
      <w:r w:rsidR="002B7DD1" w:rsidRPr="00DE70DC">
        <w:rPr>
          <w:rFonts w:ascii="Arial" w:eastAsia="Calibri" w:hAnsi="Arial" w:cs="Arial"/>
          <w:bCs/>
          <w:sz w:val="22"/>
        </w:rPr>
        <w:t>2201913000007021</w:t>
      </w:r>
      <w:r w:rsidR="00FF417D" w:rsidRPr="00DE70DC">
        <w:rPr>
          <w:rFonts w:ascii="Arial" w:eastAsia="Calibri" w:hAnsi="Arial" w:cs="Arial"/>
          <w:bCs/>
          <w:sz w:val="22"/>
        </w:rPr>
        <w:t xml:space="preserve">, </w:t>
      </w:r>
      <w:r w:rsidR="002B7DD1" w:rsidRPr="00DE70DC">
        <w:rPr>
          <w:rFonts w:ascii="Arial" w:eastAsia="Calibri" w:hAnsi="Arial" w:cs="Arial"/>
          <w:bCs/>
          <w:sz w:val="22"/>
        </w:rPr>
        <w:t>2201913000007240</w:t>
      </w:r>
      <w:r w:rsidR="00FF417D" w:rsidRPr="00DE70DC">
        <w:rPr>
          <w:rFonts w:ascii="Arial" w:eastAsia="Calibri" w:hAnsi="Arial" w:cs="Arial"/>
          <w:bCs/>
          <w:sz w:val="22"/>
        </w:rPr>
        <w:t xml:space="preserve">, 2201913000007850, </w:t>
      </w:r>
      <w:r w:rsidR="002B7DD1" w:rsidRPr="00DE70DC">
        <w:rPr>
          <w:rFonts w:ascii="Arial" w:eastAsia="Calibri" w:hAnsi="Arial" w:cs="Arial"/>
          <w:bCs/>
          <w:sz w:val="22"/>
        </w:rPr>
        <w:t>2201913000008483</w:t>
      </w:r>
      <w:r w:rsidR="00FF417D" w:rsidRPr="00DE70DC">
        <w:rPr>
          <w:rFonts w:ascii="Arial" w:eastAsia="Calibri" w:hAnsi="Arial" w:cs="Arial"/>
          <w:bCs/>
          <w:sz w:val="22"/>
        </w:rPr>
        <w:t xml:space="preserve"> y 2201913000009538, así como también en los conceptos C</w:t>
      </w:r>
      <w:r w:rsidRPr="00DE70DC">
        <w:rPr>
          <w:rFonts w:ascii="Arial" w:eastAsia="Calibri" w:hAnsi="Arial" w:cs="Arial"/>
          <w:sz w:val="22"/>
        </w:rPr>
        <w:t>-0</w:t>
      </w:r>
      <w:r w:rsidR="00FF417D" w:rsidRPr="00DE70DC">
        <w:rPr>
          <w:rFonts w:ascii="Arial" w:eastAsia="Calibri" w:hAnsi="Arial" w:cs="Arial"/>
          <w:sz w:val="22"/>
        </w:rPr>
        <w:t xml:space="preserve">16, C-019, </w:t>
      </w:r>
      <w:r w:rsidR="00A036C4" w:rsidRPr="00DE70DC">
        <w:rPr>
          <w:rFonts w:ascii="Arial" w:eastAsia="Calibri" w:hAnsi="Arial" w:cs="Arial"/>
          <w:sz w:val="22"/>
        </w:rPr>
        <w:t>C-033, C-037, C-137, C-153 y C-184</w:t>
      </w:r>
      <w:r w:rsidRPr="00DE70DC">
        <w:rPr>
          <w:rFonts w:ascii="Arial" w:eastAsia="Calibri" w:hAnsi="Arial" w:cs="Arial"/>
          <w:sz w:val="22"/>
        </w:rPr>
        <w:t xml:space="preserve"> </w:t>
      </w:r>
      <w:r w:rsidR="00A036C4" w:rsidRPr="00DE70DC">
        <w:rPr>
          <w:rFonts w:ascii="Arial" w:eastAsia="Calibri" w:hAnsi="Arial" w:cs="Arial"/>
          <w:sz w:val="22"/>
        </w:rPr>
        <w:t>de 2020</w:t>
      </w:r>
      <w:r w:rsidRPr="00DE70DC">
        <w:rPr>
          <w:rFonts w:ascii="Arial" w:eastAsia="Calibri" w:hAnsi="Arial" w:cs="Arial"/>
          <w:sz w:val="22"/>
        </w:rPr>
        <w:t xml:space="preserve"> 2020. </w:t>
      </w:r>
      <w:r w:rsidR="00B50315" w:rsidRPr="00DE70DC">
        <w:rPr>
          <w:rFonts w:ascii="Arial" w:eastAsia="Calibri" w:hAnsi="Arial" w:cs="Arial"/>
          <w:sz w:val="22"/>
        </w:rPr>
        <w:t>Por otro lado</w:t>
      </w:r>
      <w:r w:rsidRPr="00DE70DC">
        <w:rPr>
          <w:rFonts w:ascii="Arial" w:eastAsia="Calibri" w:hAnsi="Arial" w:cs="Arial"/>
          <w:sz w:val="22"/>
        </w:rPr>
        <w:t xml:space="preserve">, en los conceptos del </w:t>
      </w:r>
      <w:r w:rsidR="002B7DD1" w:rsidRPr="00DE70DC">
        <w:rPr>
          <w:rFonts w:ascii="Arial" w:eastAsia="Calibri" w:hAnsi="Arial" w:cs="Arial"/>
          <w:sz w:val="22"/>
        </w:rPr>
        <w:t xml:space="preserve">13, 20 (2) y 25 de septiembre de 2019 −radicados Nos. 2201913000006805, 2201913000007017, 2201913000007009, 2201913000007117−, </w:t>
      </w:r>
      <w:r w:rsidRPr="00DE70DC">
        <w:rPr>
          <w:rFonts w:ascii="Arial" w:eastAsia="Calibri" w:hAnsi="Arial" w:cs="Arial"/>
          <w:sz w:val="22"/>
        </w:rPr>
        <w:t>estudio las causales de rechazo en los documentos tipo.</w:t>
      </w:r>
      <w:r w:rsidR="00B50315" w:rsidRPr="00DE70DC">
        <w:rPr>
          <w:rFonts w:ascii="Arial" w:eastAsia="Calibri" w:hAnsi="Arial" w:cs="Arial"/>
          <w:sz w:val="22"/>
        </w:rPr>
        <w:t xml:space="preserve"> Igualmente, mediante los conceptos </w:t>
      </w:r>
      <w:r w:rsidR="006A454C" w:rsidRPr="00DE70DC">
        <w:rPr>
          <w:rFonts w:ascii="Arial" w:eastAsia="Calibri" w:hAnsi="Arial" w:cs="Arial"/>
          <w:sz w:val="22"/>
        </w:rPr>
        <w:t>del 21 de agosto y el 30 de octubre de 2019 −radicados Nos. 2201913000006054 y 2201913000008148, y también en los C-033 y c-133 de 2020</w:t>
      </w:r>
      <w:r w:rsidR="00B50315" w:rsidRPr="00DE70DC">
        <w:rPr>
          <w:rFonts w:ascii="Arial" w:eastAsia="Calibri" w:hAnsi="Arial" w:cs="Arial"/>
          <w:sz w:val="22"/>
        </w:rPr>
        <w:t xml:space="preserve">, </w:t>
      </w:r>
      <w:r w:rsidR="00B50315" w:rsidRPr="00DE70DC">
        <w:rPr>
          <w:rFonts w:ascii="Arial" w:eastAsia="Calibri" w:hAnsi="Arial" w:cs="Arial"/>
          <w:sz w:val="22"/>
        </w:rPr>
        <w:lastRenderedPageBreak/>
        <w:t>analizó el rechazo de propuestas por falta de acreditación del requisito de capacidad residual.</w:t>
      </w:r>
      <w:r w:rsidRPr="00DE70DC">
        <w:rPr>
          <w:rFonts w:ascii="Arial" w:eastAsia="Calibri" w:hAnsi="Arial" w:cs="Arial"/>
          <w:sz w:val="22"/>
        </w:rPr>
        <w:t xml:space="preserve"> La</w:t>
      </w:r>
      <w:r w:rsidR="00B50315" w:rsidRPr="00DE70DC">
        <w:rPr>
          <w:rFonts w:ascii="Arial" w:eastAsia="Calibri" w:hAnsi="Arial" w:cs="Arial"/>
          <w:sz w:val="22"/>
        </w:rPr>
        <w:t>s</w:t>
      </w:r>
      <w:r w:rsidRPr="00DE70DC">
        <w:rPr>
          <w:rFonts w:ascii="Arial" w:eastAsia="Calibri" w:hAnsi="Arial" w:cs="Arial"/>
          <w:sz w:val="22"/>
        </w:rPr>
        <w:t xml:space="preserve"> tesis desarrollada</w:t>
      </w:r>
      <w:r w:rsidR="00B50315" w:rsidRPr="00DE70DC">
        <w:rPr>
          <w:rFonts w:ascii="Arial" w:eastAsia="Calibri" w:hAnsi="Arial" w:cs="Arial"/>
          <w:sz w:val="22"/>
        </w:rPr>
        <w:t>s</w:t>
      </w:r>
      <w:r w:rsidRPr="00DE70DC">
        <w:rPr>
          <w:rFonts w:ascii="Arial" w:eastAsia="Calibri" w:hAnsi="Arial" w:cs="Arial"/>
          <w:sz w:val="22"/>
        </w:rPr>
        <w:t xml:space="preserve"> en estos conceptos se expone</w:t>
      </w:r>
      <w:r w:rsidR="00B50315" w:rsidRPr="00DE70DC">
        <w:rPr>
          <w:rFonts w:ascii="Arial" w:eastAsia="Calibri" w:hAnsi="Arial" w:cs="Arial"/>
          <w:sz w:val="22"/>
        </w:rPr>
        <w:t>n</w:t>
      </w:r>
      <w:r w:rsidRPr="00DE70DC">
        <w:rPr>
          <w:rFonts w:ascii="Arial" w:eastAsia="Calibri" w:hAnsi="Arial" w:cs="Arial"/>
          <w:sz w:val="22"/>
        </w:rPr>
        <w:t xml:space="preserve"> a continuación</w:t>
      </w:r>
      <w:r w:rsidR="00B50315" w:rsidRPr="00DE70DC">
        <w:rPr>
          <w:rFonts w:ascii="Arial" w:eastAsia="Calibri" w:hAnsi="Arial" w:cs="Arial"/>
          <w:sz w:val="22"/>
        </w:rPr>
        <w:t xml:space="preserve"> y se complementa</w:t>
      </w:r>
      <w:r w:rsidR="00CC786F" w:rsidRPr="00DE70DC">
        <w:rPr>
          <w:rFonts w:ascii="Arial" w:eastAsia="Calibri" w:hAnsi="Arial" w:cs="Arial"/>
          <w:sz w:val="22"/>
        </w:rPr>
        <w:t>rán</w:t>
      </w:r>
      <w:r w:rsidR="00B50315" w:rsidRPr="00DE70DC">
        <w:rPr>
          <w:rFonts w:ascii="Arial" w:eastAsia="Calibri" w:hAnsi="Arial" w:cs="Arial"/>
          <w:sz w:val="22"/>
        </w:rPr>
        <w:t xml:space="preserve"> para </w:t>
      </w:r>
      <w:r w:rsidR="00D63787" w:rsidRPr="00DE70DC">
        <w:rPr>
          <w:rFonts w:ascii="Arial" w:eastAsia="Calibri" w:hAnsi="Arial" w:cs="Arial"/>
          <w:sz w:val="22"/>
        </w:rPr>
        <w:t xml:space="preserve">poder </w:t>
      </w:r>
      <w:r w:rsidR="00B50315" w:rsidRPr="00DE70DC">
        <w:rPr>
          <w:rFonts w:ascii="Arial" w:eastAsia="Calibri" w:hAnsi="Arial" w:cs="Arial"/>
          <w:sz w:val="22"/>
        </w:rPr>
        <w:t xml:space="preserve">responder las preguntas </w:t>
      </w:r>
      <w:r w:rsidR="00081AF3" w:rsidRPr="00DE70DC">
        <w:rPr>
          <w:rFonts w:ascii="Arial" w:eastAsia="Calibri" w:hAnsi="Arial" w:cs="Arial"/>
          <w:sz w:val="22"/>
        </w:rPr>
        <w:t>objeto de la consulta de la referencia</w:t>
      </w:r>
      <w:r w:rsidRPr="00DE70DC">
        <w:rPr>
          <w:rFonts w:ascii="Arial" w:eastAsia="Calibri" w:hAnsi="Arial" w:cs="Arial"/>
          <w:sz w:val="22"/>
        </w:rPr>
        <w:t xml:space="preserve">. </w:t>
      </w:r>
    </w:p>
    <w:p w14:paraId="4653D039" w14:textId="77777777" w:rsidR="00C52AA0" w:rsidRPr="00DE70DC" w:rsidRDefault="00C52AA0" w:rsidP="00114236">
      <w:pPr>
        <w:spacing w:line="276" w:lineRule="auto"/>
        <w:jc w:val="both"/>
        <w:rPr>
          <w:rFonts w:ascii="Arial" w:eastAsia="Calibri" w:hAnsi="Arial" w:cs="Arial"/>
          <w:sz w:val="22"/>
        </w:rPr>
      </w:pPr>
    </w:p>
    <w:p w14:paraId="10B1FDE0" w14:textId="7A597AAE" w:rsidR="000E6D84" w:rsidRPr="00DE70DC" w:rsidRDefault="000E6D84" w:rsidP="00114236">
      <w:pPr>
        <w:spacing w:line="276" w:lineRule="auto"/>
        <w:jc w:val="both"/>
        <w:rPr>
          <w:rFonts w:ascii="Arial" w:eastAsia="Calibri" w:hAnsi="Arial" w:cs="Arial"/>
          <w:b/>
          <w:bCs/>
          <w:sz w:val="22"/>
        </w:rPr>
      </w:pPr>
      <w:r w:rsidRPr="00DE70DC">
        <w:rPr>
          <w:rFonts w:ascii="Arial" w:eastAsia="Calibri" w:hAnsi="Arial" w:cs="Arial"/>
          <w:b/>
          <w:bCs/>
          <w:sz w:val="22"/>
        </w:rPr>
        <w:t xml:space="preserve">2.1. </w:t>
      </w:r>
      <w:r w:rsidR="0063788B" w:rsidRPr="00DE70DC">
        <w:rPr>
          <w:rFonts w:ascii="Arial" w:eastAsia="Calibri" w:hAnsi="Arial" w:cs="Arial"/>
          <w:b/>
          <w:bCs/>
          <w:sz w:val="22"/>
        </w:rPr>
        <w:t xml:space="preserve">Régimen </w:t>
      </w:r>
      <w:r w:rsidR="00887B15" w:rsidRPr="00DE70DC">
        <w:rPr>
          <w:rFonts w:ascii="Arial" w:eastAsia="Calibri" w:hAnsi="Arial" w:cs="Arial"/>
          <w:b/>
          <w:bCs/>
          <w:sz w:val="22"/>
        </w:rPr>
        <w:t>J</w:t>
      </w:r>
      <w:r w:rsidR="0063788B" w:rsidRPr="00DE70DC">
        <w:rPr>
          <w:rFonts w:ascii="Arial" w:eastAsia="Calibri" w:hAnsi="Arial" w:cs="Arial"/>
          <w:b/>
          <w:bCs/>
          <w:sz w:val="22"/>
        </w:rPr>
        <w:t xml:space="preserve">urídico de los </w:t>
      </w:r>
      <w:r w:rsidR="003B79A5" w:rsidRPr="00DE70DC">
        <w:rPr>
          <w:rFonts w:ascii="Arial" w:eastAsia="Calibri" w:hAnsi="Arial" w:cs="Arial"/>
          <w:b/>
          <w:bCs/>
          <w:sz w:val="22"/>
        </w:rPr>
        <w:t>d</w:t>
      </w:r>
      <w:r w:rsidR="0063788B" w:rsidRPr="00DE70DC">
        <w:rPr>
          <w:rFonts w:ascii="Arial" w:eastAsia="Calibri" w:hAnsi="Arial" w:cs="Arial"/>
          <w:b/>
          <w:bCs/>
          <w:sz w:val="22"/>
        </w:rPr>
        <w:t xml:space="preserve">ocumentos </w:t>
      </w:r>
      <w:r w:rsidR="003B79A5" w:rsidRPr="00DE70DC">
        <w:rPr>
          <w:rFonts w:ascii="Arial" w:eastAsia="Calibri" w:hAnsi="Arial" w:cs="Arial"/>
          <w:b/>
          <w:bCs/>
          <w:sz w:val="22"/>
        </w:rPr>
        <w:t>t</w:t>
      </w:r>
      <w:r w:rsidR="0063788B" w:rsidRPr="00DE70DC">
        <w:rPr>
          <w:rFonts w:ascii="Arial" w:eastAsia="Calibri" w:hAnsi="Arial" w:cs="Arial"/>
          <w:b/>
          <w:bCs/>
          <w:sz w:val="22"/>
        </w:rPr>
        <w:t>ipo</w:t>
      </w:r>
    </w:p>
    <w:p w14:paraId="1A3C688C" w14:textId="1A8371FE" w:rsidR="0063788B" w:rsidRPr="00DE70DC" w:rsidRDefault="0063788B" w:rsidP="00114236">
      <w:pPr>
        <w:spacing w:line="276" w:lineRule="auto"/>
        <w:jc w:val="both"/>
        <w:rPr>
          <w:rFonts w:ascii="Arial" w:eastAsia="Calibri" w:hAnsi="Arial" w:cs="Arial"/>
          <w:b/>
          <w:bCs/>
          <w:sz w:val="22"/>
        </w:rPr>
      </w:pPr>
    </w:p>
    <w:p w14:paraId="79BBCB70" w14:textId="36901F3D" w:rsidR="00887B15" w:rsidRPr="00DE70DC" w:rsidRDefault="00AE65B9" w:rsidP="005F3431">
      <w:pPr>
        <w:spacing w:line="276" w:lineRule="auto"/>
        <w:jc w:val="both"/>
        <w:rPr>
          <w:rFonts w:ascii="Arial" w:hAnsi="Arial" w:cs="Arial"/>
          <w:sz w:val="22"/>
          <w:lang w:val="es-ES"/>
        </w:rPr>
      </w:pPr>
      <w:r w:rsidRPr="00DE70DC">
        <w:rPr>
          <w:rFonts w:ascii="Arial" w:hAnsi="Arial" w:cs="Arial"/>
          <w:sz w:val="22"/>
          <w:lang w:val="es-ES"/>
        </w:rPr>
        <w:t>El parágrafo 3 del artículo 2 de la Ley 1150 de 2007 facultó por primera vez al Gobierno Nacional para adoptar estándares generales en los pliegos de condiciones, razón por la cual dispuso lo siguiente</w:t>
      </w:r>
      <w:r w:rsidR="00165EA8" w:rsidRPr="00DE70DC">
        <w:rPr>
          <w:rFonts w:ascii="Arial" w:hAnsi="Arial" w:cs="Arial"/>
          <w:sz w:val="22"/>
          <w:lang w:val="es-ES"/>
        </w:rPr>
        <w:t>:</w:t>
      </w:r>
    </w:p>
    <w:p w14:paraId="347889C4" w14:textId="77777777" w:rsidR="00887B15" w:rsidRPr="00DE70DC" w:rsidRDefault="00887B15" w:rsidP="00165EA8">
      <w:pPr>
        <w:jc w:val="both"/>
        <w:rPr>
          <w:rFonts w:ascii="Arial" w:hAnsi="Arial" w:cs="Arial"/>
          <w:sz w:val="22"/>
          <w:lang w:val="es-ES"/>
        </w:rPr>
      </w:pPr>
    </w:p>
    <w:p w14:paraId="0F49E445" w14:textId="4F76DD40" w:rsidR="00887B15" w:rsidRPr="00DE70DC" w:rsidRDefault="005F0C78" w:rsidP="00165EA8">
      <w:pPr>
        <w:ind w:left="709" w:right="709"/>
        <w:jc w:val="both"/>
        <w:rPr>
          <w:rFonts w:ascii="Arial" w:hAnsi="Arial" w:cs="Arial"/>
          <w:sz w:val="21"/>
          <w:szCs w:val="21"/>
          <w:lang w:val="es-ES"/>
        </w:rPr>
      </w:pPr>
      <w:r w:rsidRPr="00DE70DC">
        <w:rPr>
          <w:rFonts w:ascii="Arial" w:hAnsi="Arial" w:cs="Arial"/>
          <w:bCs/>
          <w:sz w:val="21"/>
          <w:szCs w:val="21"/>
          <w:lang w:val="es-ES"/>
        </w:rPr>
        <w:t>PARÁGRAFO 3o.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20C6EA29" w14:textId="77777777" w:rsidR="00887B15" w:rsidRPr="00DE70DC" w:rsidRDefault="00887B15" w:rsidP="00165EA8">
      <w:pPr>
        <w:jc w:val="both"/>
        <w:rPr>
          <w:rFonts w:ascii="Arial" w:hAnsi="Arial" w:cs="Arial"/>
          <w:sz w:val="22"/>
          <w:lang w:val="es-ES"/>
        </w:rPr>
      </w:pPr>
    </w:p>
    <w:p w14:paraId="00A15AAD" w14:textId="46B0B8E5" w:rsidR="00AE65B9" w:rsidRPr="00DE70DC" w:rsidRDefault="00AE65B9" w:rsidP="00AE65B9">
      <w:pPr>
        <w:spacing w:after="120" w:line="276" w:lineRule="auto"/>
        <w:ind w:firstLine="708"/>
        <w:jc w:val="both"/>
      </w:pPr>
      <w:r w:rsidRPr="00DE70DC">
        <w:rPr>
          <w:rFonts w:ascii="Arial" w:hAnsi="Arial" w:cs="Arial"/>
          <w:sz w:val="22"/>
          <w:lang w:val="es-ES"/>
        </w:rPr>
        <w:t>Como se observa, los llamados «Pliegos Tipo» aparecieron en nuestro ordenamiento jurídico en 2007, cuando el legislador facultó al Gobierno Nacional para adoptarlos en los eventos de compra o suministro de bienes de características técnicas uniformes. La orientación inicial del proyecto que se convirtió en la Ley 1150 de 2007 era facultar al Gobierno Nacional para adoptar los pliegos tipo en todos los contratos estatales, pues en el proyecto el parágrafo 3 disponía lo siguiente: «El Gobierno Nacional tendrá la facultad de estandarizar los pliegos de condiciones o términos de referencia y los contratos de las entidades estatales»</w:t>
      </w:r>
      <w:r w:rsidRPr="00DE70DC">
        <w:rPr>
          <w:rStyle w:val="Refdenotaalpie"/>
          <w:rFonts w:ascii="Arial" w:hAnsi="Arial" w:cs="Arial"/>
          <w:sz w:val="22"/>
          <w:lang w:val="es-ES"/>
        </w:rPr>
        <w:footnoteReference w:id="1"/>
      </w:r>
      <w:r w:rsidRPr="00DE70DC">
        <w:rPr>
          <w:rFonts w:ascii="Arial" w:hAnsi="Arial" w:cs="Arial"/>
          <w:sz w:val="22"/>
          <w:lang w:val="es-ES"/>
        </w:rPr>
        <w:t>.</w:t>
      </w:r>
    </w:p>
    <w:p w14:paraId="3325FDAF" w14:textId="0712916A" w:rsidR="00AE65B9" w:rsidRPr="00DE70DC" w:rsidRDefault="00AE65B9" w:rsidP="00AE65B9">
      <w:pPr>
        <w:spacing w:after="120" w:line="276" w:lineRule="auto"/>
        <w:ind w:firstLine="709"/>
        <w:jc w:val="both"/>
        <w:rPr>
          <w:rFonts w:ascii="Arial" w:hAnsi="Arial" w:cs="Arial"/>
          <w:sz w:val="22"/>
          <w:lang w:val="es-ES"/>
        </w:rPr>
      </w:pPr>
      <w:r w:rsidRPr="00DE70DC">
        <w:rPr>
          <w:rFonts w:ascii="Arial" w:hAnsi="Arial" w:cs="Arial"/>
          <w:sz w:val="22"/>
          <w:lang w:val="es-ES"/>
        </w:rPr>
        <w:t xml:space="preserve">La intención era agilizar y dar mayor transparencia a los procesos de </w:t>
      </w:r>
      <w:proofErr w:type="gramStart"/>
      <w:r w:rsidRPr="00DE70DC">
        <w:rPr>
          <w:rFonts w:ascii="Arial" w:hAnsi="Arial" w:cs="Arial"/>
          <w:sz w:val="22"/>
          <w:lang w:val="es-ES"/>
        </w:rPr>
        <w:t>selección</w:t>
      </w:r>
      <w:proofErr w:type="gramEnd"/>
      <w:r w:rsidRPr="00DE70DC">
        <w:rPr>
          <w:rFonts w:ascii="Arial" w:hAnsi="Arial" w:cs="Arial"/>
          <w:sz w:val="22"/>
          <w:lang w:val="es-ES"/>
        </w:rPr>
        <w:t xml:space="preserve">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DE70DC">
        <w:rPr>
          <w:rFonts w:ascii="Arial" w:hAnsi="Arial" w:cs="Arial"/>
          <w:sz w:val="22"/>
          <w:vertAlign w:val="superscript"/>
          <w:lang w:val="es-ES"/>
        </w:rPr>
        <w:footnoteReference w:id="2"/>
      </w:r>
      <w:r w:rsidRPr="00DE70DC">
        <w:rPr>
          <w:rFonts w:ascii="Arial" w:hAnsi="Arial" w:cs="Arial"/>
          <w:sz w:val="22"/>
          <w:vertAlign w:val="superscript"/>
          <w:lang w:val="es-ES"/>
        </w:rPr>
        <w:t>.</w:t>
      </w:r>
      <w:r w:rsidRPr="00DE70DC">
        <w:rPr>
          <w:rFonts w:ascii="Arial" w:hAnsi="Arial" w:cs="Arial"/>
          <w:sz w:val="22"/>
          <w:lang w:val="es-ES"/>
        </w:rPr>
        <w:t>. Sin embargo, en el texto aprobado los pliegos tipo se limitaron a la adquisición o suministro de bienes de características técnicas uniformes</w:t>
      </w:r>
      <w:r w:rsidRPr="00DE70DC">
        <w:rPr>
          <w:rStyle w:val="Refdenotaalpie"/>
          <w:rFonts w:ascii="Arial" w:hAnsi="Arial" w:cs="Arial"/>
          <w:sz w:val="21"/>
          <w:szCs w:val="21"/>
          <w:lang w:val="es-ES"/>
        </w:rPr>
        <w:footnoteReference w:id="3"/>
      </w:r>
      <w:r w:rsidRPr="00DE70DC">
        <w:rPr>
          <w:rFonts w:ascii="Arial" w:hAnsi="Arial" w:cs="Arial"/>
          <w:sz w:val="21"/>
          <w:szCs w:val="21"/>
          <w:lang w:val="es-ES"/>
        </w:rPr>
        <w:t>.</w:t>
      </w:r>
    </w:p>
    <w:p w14:paraId="5BD70BC2" w14:textId="0868B5B2" w:rsidR="00887B15" w:rsidRPr="00DE70DC" w:rsidRDefault="00887B15" w:rsidP="006E6E42">
      <w:pPr>
        <w:spacing w:before="120" w:line="276" w:lineRule="auto"/>
        <w:ind w:firstLine="703"/>
        <w:jc w:val="both"/>
        <w:rPr>
          <w:rFonts w:ascii="Arial" w:hAnsi="Arial" w:cs="Arial"/>
          <w:sz w:val="22"/>
          <w:lang w:val="es-ES"/>
        </w:rPr>
      </w:pPr>
      <w:r w:rsidRPr="00DE70DC">
        <w:rPr>
          <w:rFonts w:ascii="Arial" w:hAnsi="Arial" w:cs="Arial"/>
          <w:sz w:val="22"/>
          <w:lang w:val="es-ES"/>
        </w:rPr>
        <w:t xml:space="preserve">Posteriormente, </w:t>
      </w:r>
      <w:r w:rsidR="00CA5FFD" w:rsidRPr="00DE70DC">
        <w:rPr>
          <w:rFonts w:ascii="Arial" w:hAnsi="Arial" w:cs="Arial"/>
          <w:sz w:val="22"/>
          <w:lang w:val="es-ES"/>
        </w:rPr>
        <w:t>la</w:t>
      </w:r>
      <w:r w:rsidRPr="00DE70DC">
        <w:rPr>
          <w:rFonts w:ascii="Arial" w:hAnsi="Arial" w:cs="Arial"/>
          <w:sz w:val="22"/>
          <w:lang w:val="es-ES"/>
        </w:rPr>
        <w:t xml:space="preserve"> Ley 1882 de 2018</w:t>
      </w:r>
      <w:r w:rsidR="00C421D2" w:rsidRPr="00DE70DC">
        <w:rPr>
          <w:rFonts w:ascii="Arial" w:hAnsi="Arial" w:cs="Arial"/>
          <w:sz w:val="22"/>
          <w:lang w:val="es-ES"/>
        </w:rPr>
        <w:t xml:space="preserve"> «Por la cual se adicionan, modifican y dictan disposiciones orientadas a fortalecer la Contratación Pública en Colombia, la ley de infraestructura […]»</w:t>
      </w:r>
      <w:r w:rsidRPr="00DE70DC">
        <w:rPr>
          <w:rFonts w:ascii="Arial" w:hAnsi="Arial" w:cs="Arial"/>
          <w:sz w:val="22"/>
          <w:lang w:val="es-ES"/>
        </w:rPr>
        <w:t xml:space="preserve"> adicionó el parágrafo 7 al artículo 2 de la Ley 1150 de 2007</w:t>
      </w:r>
      <w:r w:rsidR="00DC6ACC" w:rsidRPr="00DE70DC">
        <w:rPr>
          <w:rFonts w:ascii="Arial" w:hAnsi="Arial" w:cs="Arial"/>
          <w:sz w:val="22"/>
          <w:lang w:val="es-ES"/>
        </w:rPr>
        <w:t>, así:</w:t>
      </w:r>
    </w:p>
    <w:p w14:paraId="63EB06E3" w14:textId="77777777" w:rsidR="00887B15" w:rsidRPr="00DE70DC" w:rsidRDefault="00887B15" w:rsidP="006E6E42">
      <w:pPr>
        <w:ind w:right="709"/>
        <w:jc w:val="both"/>
        <w:rPr>
          <w:rFonts w:ascii="Arial" w:hAnsi="Arial" w:cs="Arial"/>
          <w:sz w:val="22"/>
          <w:lang w:val="es-ES"/>
        </w:rPr>
      </w:pPr>
    </w:p>
    <w:p w14:paraId="4A742481" w14:textId="628D1470" w:rsidR="00887B15" w:rsidRPr="00DE70DC" w:rsidRDefault="00887B15" w:rsidP="00093D35">
      <w:pPr>
        <w:pStyle w:val="pa22"/>
        <w:spacing w:before="0" w:beforeAutospacing="0" w:after="0" w:afterAutospacing="0"/>
        <w:ind w:left="709" w:right="709"/>
        <w:jc w:val="both"/>
        <w:rPr>
          <w:rFonts w:ascii="Arial" w:eastAsiaTheme="minorHAnsi" w:hAnsi="Arial" w:cs="Arial"/>
          <w:sz w:val="21"/>
          <w:szCs w:val="21"/>
          <w:lang w:eastAsia="en-US"/>
        </w:rPr>
      </w:pPr>
      <w:r w:rsidRPr="00DE70DC">
        <w:rPr>
          <w:rFonts w:ascii="Arial" w:eastAsiaTheme="minorHAnsi" w:hAnsi="Arial" w:cs="Arial"/>
          <w:sz w:val="21"/>
          <w:szCs w:val="21"/>
          <w:lang w:eastAsia="en-US"/>
        </w:rPr>
        <w:t xml:space="preserve">Parágrafo 7°. El Gobierno nacional adoptará documentos tipo para los pliegos de condiciones de los procesos de selección de </w:t>
      </w:r>
      <w:r w:rsidR="00D9294F" w:rsidRPr="00DE70DC">
        <w:rPr>
          <w:rFonts w:ascii="Arial" w:eastAsiaTheme="minorHAnsi" w:hAnsi="Arial" w:cs="Arial"/>
          <w:sz w:val="21"/>
          <w:szCs w:val="21"/>
          <w:lang w:eastAsia="en-US"/>
        </w:rPr>
        <w:t>obra</w:t>
      </w:r>
      <w:r w:rsidRPr="00DE70DC">
        <w:rPr>
          <w:rFonts w:ascii="Arial" w:eastAsiaTheme="minorHAnsi" w:hAnsi="Arial" w:cs="Arial"/>
          <w:sz w:val="21"/>
          <w:szCs w:val="21"/>
          <w:lang w:eastAsia="en-US"/>
        </w:rPr>
        <w:t xml:space="preserve">s públicas, interventoría </w:t>
      </w:r>
      <w:r w:rsidRPr="00DE70DC">
        <w:rPr>
          <w:rFonts w:ascii="Arial" w:eastAsiaTheme="minorHAnsi" w:hAnsi="Arial" w:cs="Arial"/>
          <w:sz w:val="21"/>
          <w:szCs w:val="21"/>
          <w:lang w:eastAsia="en-US"/>
        </w:rPr>
        <w:lastRenderedPageBreak/>
        <w:t xml:space="preserve">para las </w:t>
      </w:r>
      <w:r w:rsidR="00D9294F" w:rsidRPr="00DE70DC">
        <w:rPr>
          <w:rFonts w:ascii="Arial" w:eastAsiaTheme="minorHAnsi" w:hAnsi="Arial" w:cs="Arial"/>
          <w:sz w:val="21"/>
          <w:szCs w:val="21"/>
          <w:lang w:eastAsia="en-US"/>
        </w:rPr>
        <w:t>obra</w:t>
      </w:r>
      <w:r w:rsidRPr="00DE70DC">
        <w:rPr>
          <w:rFonts w:ascii="Arial" w:eastAsiaTheme="minorHAnsi" w:hAnsi="Arial" w:cs="Arial"/>
          <w:sz w:val="21"/>
          <w:szCs w:val="21"/>
          <w:lang w:eastAsia="en-US"/>
        </w:rPr>
        <w:t xml:space="preserve">s públicas, interventoría para consultoría de estudios y diseños para </w:t>
      </w:r>
      <w:r w:rsidR="00D9294F" w:rsidRPr="00DE70DC">
        <w:rPr>
          <w:rFonts w:ascii="Arial" w:eastAsiaTheme="minorHAnsi" w:hAnsi="Arial" w:cs="Arial"/>
          <w:sz w:val="21"/>
          <w:szCs w:val="21"/>
          <w:lang w:eastAsia="en-US"/>
        </w:rPr>
        <w:t>obra</w:t>
      </w:r>
      <w:r w:rsidRPr="00DE70DC">
        <w:rPr>
          <w:rFonts w:ascii="Arial" w:eastAsiaTheme="minorHAnsi" w:hAnsi="Arial" w:cs="Arial"/>
          <w:sz w:val="21"/>
          <w:szCs w:val="21"/>
          <w:lang w:eastAsia="en-US"/>
        </w:rPr>
        <w:t xml:space="preserve">s públicas, consultoría en ingeniería para </w:t>
      </w:r>
      <w:r w:rsidR="00D9294F" w:rsidRPr="00DE70DC">
        <w:rPr>
          <w:rFonts w:ascii="Arial" w:eastAsiaTheme="minorHAnsi" w:hAnsi="Arial" w:cs="Arial"/>
          <w:sz w:val="21"/>
          <w:szCs w:val="21"/>
          <w:lang w:eastAsia="en-US"/>
        </w:rPr>
        <w:t>obra</w:t>
      </w:r>
      <w:r w:rsidRPr="00DE70DC">
        <w:rPr>
          <w:rFonts w:ascii="Arial" w:eastAsiaTheme="minorHAnsi" w:hAnsi="Arial" w:cs="Arial"/>
          <w:sz w:val="21"/>
          <w:szCs w:val="21"/>
          <w:lang w:eastAsia="en-US"/>
        </w:rPr>
        <w:t>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4A9543C" w14:textId="77777777" w:rsidR="00887B15" w:rsidRPr="00DE70DC" w:rsidRDefault="00887B15" w:rsidP="00093D35">
      <w:pPr>
        <w:pStyle w:val="pa22"/>
        <w:spacing w:before="0" w:beforeAutospacing="0" w:after="0" w:afterAutospacing="0"/>
        <w:ind w:left="709" w:right="709"/>
        <w:jc w:val="both"/>
        <w:rPr>
          <w:rFonts w:ascii="Arial" w:eastAsiaTheme="minorHAnsi" w:hAnsi="Arial" w:cs="Arial"/>
          <w:sz w:val="21"/>
          <w:szCs w:val="21"/>
          <w:lang w:eastAsia="en-US"/>
        </w:rPr>
      </w:pPr>
      <w:r w:rsidRPr="00DE70DC">
        <w:rPr>
          <w:rFonts w:ascii="Arial" w:eastAsiaTheme="minorHAnsi" w:hAnsi="Arial" w:cs="Arial"/>
          <w:sz w:val="21"/>
          <w:szCs w:val="21"/>
          <w:lang w:eastAsia="en-US"/>
        </w:rPr>
        <w:t> </w:t>
      </w:r>
    </w:p>
    <w:p w14:paraId="4F1166CD" w14:textId="77777777" w:rsidR="00887B15" w:rsidRPr="00DE70DC" w:rsidRDefault="00887B15" w:rsidP="00093D35">
      <w:pPr>
        <w:pStyle w:val="pa22"/>
        <w:spacing w:before="0" w:beforeAutospacing="0" w:after="0" w:afterAutospacing="0"/>
        <w:ind w:left="709" w:right="709"/>
        <w:jc w:val="both"/>
        <w:rPr>
          <w:rFonts w:ascii="Arial" w:eastAsiaTheme="minorHAnsi" w:hAnsi="Arial" w:cs="Arial"/>
          <w:sz w:val="21"/>
          <w:szCs w:val="21"/>
          <w:lang w:eastAsia="en-US"/>
        </w:rPr>
      </w:pPr>
      <w:r w:rsidRPr="00DE70DC">
        <w:rPr>
          <w:rFonts w:ascii="Arial" w:eastAsiaTheme="minorHAnsi" w:hAnsi="Arial" w:cs="Arial"/>
          <w:sz w:val="21"/>
          <w:szCs w:val="21"/>
          <w:lang w:eastAsia="en-US"/>
        </w:rPr>
        <w:t>La facultad de adoptar documentos tipo la tendrá el Gobierno nacional, cuando lo considere necesario, en relación con otros contratos o procesos de selección.</w:t>
      </w:r>
    </w:p>
    <w:p w14:paraId="69A19A9D" w14:textId="7C397D44" w:rsidR="00887B15" w:rsidRPr="00DE70DC" w:rsidRDefault="00887B15" w:rsidP="00093D35">
      <w:pPr>
        <w:pStyle w:val="pa22"/>
        <w:spacing w:before="0" w:beforeAutospacing="0" w:after="0" w:afterAutospacing="0"/>
        <w:ind w:left="709" w:right="709"/>
        <w:jc w:val="both"/>
        <w:rPr>
          <w:rFonts w:ascii="Arial" w:eastAsiaTheme="minorHAnsi" w:hAnsi="Arial" w:cs="Arial"/>
          <w:sz w:val="21"/>
          <w:szCs w:val="21"/>
          <w:lang w:eastAsia="en-US"/>
        </w:rPr>
      </w:pPr>
    </w:p>
    <w:p w14:paraId="77B5788F" w14:textId="77777777" w:rsidR="00887B15" w:rsidRPr="00DE70DC" w:rsidRDefault="00887B15" w:rsidP="00093D35">
      <w:pPr>
        <w:pStyle w:val="pa22"/>
        <w:spacing w:before="0" w:beforeAutospacing="0" w:after="0" w:afterAutospacing="0"/>
        <w:ind w:left="709" w:right="709"/>
        <w:jc w:val="both"/>
        <w:rPr>
          <w:rFonts w:ascii="Arial" w:eastAsiaTheme="minorHAnsi" w:hAnsi="Arial" w:cs="Arial"/>
          <w:sz w:val="21"/>
          <w:szCs w:val="21"/>
          <w:lang w:eastAsia="en-US"/>
        </w:rPr>
      </w:pPr>
      <w:r w:rsidRPr="00DE70DC">
        <w:rPr>
          <w:rFonts w:ascii="Arial" w:eastAsiaTheme="minorHAnsi" w:hAnsi="Arial" w:cs="Arial"/>
          <w:sz w:val="21"/>
          <w:szCs w:val="21"/>
          <w:lang w:eastAsia="en-US"/>
        </w:rPr>
        <w:t>Los pliegos tipo se adoptarán por categorías de acuerdo con la cuantía de la contratación, según la reglamentación que expida el Gobierno nacional.</w:t>
      </w:r>
    </w:p>
    <w:p w14:paraId="07DF0C00" w14:textId="77777777" w:rsidR="00887B15" w:rsidRPr="00DE70DC" w:rsidRDefault="00887B15" w:rsidP="00EA704D">
      <w:pPr>
        <w:pStyle w:val="pa22"/>
        <w:spacing w:before="0" w:beforeAutospacing="0" w:after="0" w:afterAutospacing="0"/>
        <w:ind w:left="703" w:right="425"/>
        <w:jc w:val="both"/>
        <w:rPr>
          <w:rFonts w:ascii="Arial" w:eastAsiaTheme="minorHAnsi" w:hAnsi="Arial" w:cs="Arial"/>
          <w:sz w:val="21"/>
          <w:szCs w:val="21"/>
          <w:lang w:eastAsia="en-US"/>
        </w:rPr>
      </w:pPr>
    </w:p>
    <w:p w14:paraId="12DC0DD5" w14:textId="1CD48C89" w:rsidR="00887B15" w:rsidRPr="00DE70DC" w:rsidRDefault="001425C5" w:rsidP="00610C94">
      <w:pPr>
        <w:spacing w:line="276" w:lineRule="auto"/>
        <w:ind w:firstLine="703"/>
        <w:jc w:val="both"/>
        <w:rPr>
          <w:rFonts w:ascii="Arial" w:hAnsi="Arial" w:cs="Arial"/>
          <w:sz w:val="22"/>
          <w:lang w:val="es-ES"/>
        </w:rPr>
      </w:pPr>
      <w:r w:rsidRPr="00DE70DC">
        <w:rPr>
          <w:rFonts w:ascii="Arial" w:hAnsi="Arial" w:cs="Arial"/>
          <w:sz w:val="22"/>
          <w:lang w:val="es-ES"/>
        </w:rPr>
        <w:t>Es</w:t>
      </w:r>
      <w:r w:rsidR="00AE65B9" w:rsidRPr="00DE70DC">
        <w:rPr>
          <w:rFonts w:ascii="Arial" w:hAnsi="Arial" w:cs="Arial"/>
          <w:sz w:val="22"/>
          <w:lang w:val="es-ES"/>
        </w:rPr>
        <w:t>t</w:t>
      </w:r>
      <w:r w:rsidRPr="00DE70DC">
        <w:rPr>
          <w:rFonts w:ascii="Arial" w:hAnsi="Arial" w:cs="Arial"/>
          <w:sz w:val="22"/>
          <w:lang w:val="es-ES"/>
        </w:rPr>
        <w:t>a</w:t>
      </w:r>
      <w:r w:rsidR="00914F02" w:rsidRPr="00DE70DC">
        <w:rPr>
          <w:rFonts w:ascii="Arial" w:hAnsi="Arial" w:cs="Arial"/>
          <w:sz w:val="22"/>
          <w:lang w:val="es-ES"/>
        </w:rPr>
        <w:t xml:space="preserve"> disposición </w:t>
      </w:r>
      <w:r w:rsidR="00DC6ACC" w:rsidRPr="00DE70DC">
        <w:rPr>
          <w:rFonts w:ascii="Arial" w:hAnsi="Arial" w:cs="Arial"/>
          <w:sz w:val="22"/>
          <w:lang w:val="es-ES"/>
        </w:rPr>
        <w:t xml:space="preserve">se </w:t>
      </w:r>
      <w:r w:rsidR="00A37529" w:rsidRPr="00DE70DC">
        <w:rPr>
          <w:rFonts w:ascii="Arial" w:hAnsi="Arial" w:cs="Arial"/>
          <w:sz w:val="22"/>
          <w:lang w:val="es-ES"/>
        </w:rPr>
        <w:t xml:space="preserve">fundamenta </w:t>
      </w:r>
      <w:r w:rsidR="00341CE5" w:rsidRPr="00DE70DC">
        <w:rPr>
          <w:rFonts w:ascii="Arial" w:hAnsi="Arial" w:cs="Arial"/>
          <w:sz w:val="22"/>
          <w:lang w:val="es-ES"/>
        </w:rPr>
        <w:t>en la</w:t>
      </w:r>
      <w:r w:rsidR="00887B15" w:rsidRPr="00DE70DC">
        <w:rPr>
          <w:rFonts w:ascii="Arial" w:hAnsi="Arial" w:cs="Arial"/>
          <w:sz w:val="22"/>
          <w:lang w:val="es-ES"/>
        </w:rPr>
        <w:t xml:space="preserve"> necesidad de </w:t>
      </w:r>
      <w:r w:rsidR="00341CE5" w:rsidRPr="00DE70DC">
        <w:rPr>
          <w:rFonts w:ascii="Arial" w:hAnsi="Arial" w:cs="Arial"/>
          <w:sz w:val="22"/>
          <w:lang w:val="es-ES"/>
        </w:rPr>
        <w:t xml:space="preserve">reducir </w:t>
      </w:r>
      <w:r w:rsidR="00A37529" w:rsidRPr="00DE70DC">
        <w:rPr>
          <w:rFonts w:ascii="Arial" w:hAnsi="Arial" w:cs="Arial"/>
          <w:sz w:val="22"/>
          <w:lang w:val="es-ES"/>
        </w:rPr>
        <w:t>el tiempo del procedimiento de contratación, y contribuir al logro de una contratación pública más transparente y con mayor concurrencia de oferentes. Igualmente, la intención del legislador era adaptar el ordenamiento jurídico colombiano a las nuevas tendencias internacionales, entendiendo que los documentos tipo son una medida eficaz contra la corrupción y permiten una administración pública más eficiente y moderna</w:t>
      </w:r>
      <w:r w:rsidR="0068338B" w:rsidRPr="00DE70DC">
        <w:rPr>
          <w:rFonts w:ascii="Arial" w:hAnsi="Arial" w:cs="Arial"/>
          <w:sz w:val="22"/>
          <w:lang w:val="es-ES"/>
        </w:rPr>
        <w:t xml:space="preserve">. En la exposición de motivos </w:t>
      </w:r>
      <w:r w:rsidR="00987F32" w:rsidRPr="00DE70DC">
        <w:rPr>
          <w:rFonts w:ascii="Arial" w:hAnsi="Arial" w:cs="Arial"/>
          <w:sz w:val="22"/>
          <w:lang w:val="es-ES"/>
        </w:rPr>
        <w:t xml:space="preserve">del proyecto de ley que dio origen a la Ley 1882 de 2018, se </w:t>
      </w:r>
      <w:r w:rsidR="00AE65B9" w:rsidRPr="00DE70DC">
        <w:rPr>
          <w:rFonts w:ascii="Arial" w:hAnsi="Arial" w:cs="Arial"/>
          <w:sz w:val="22"/>
          <w:lang w:val="es-ES"/>
        </w:rPr>
        <w:t>explicó que</w:t>
      </w:r>
      <w:r w:rsidR="00673789" w:rsidRPr="00DE70DC">
        <w:rPr>
          <w:rFonts w:ascii="Arial" w:hAnsi="Arial" w:cs="Arial"/>
          <w:sz w:val="22"/>
          <w:lang w:val="es-ES"/>
        </w:rPr>
        <w:t>:</w:t>
      </w:r>
    </w:p>
    <w:p w14:paraId="1F0B4FD7" w14:textId="77777777" w:rsidR="00887B15" w:rsidRPr="00DE70DC" w:rsidRDefault="00887B15" w:rsidP="00610C94">
      <w:pPr>
        <w:jc w:val="both"/>
        <w:rPr>
          <w:rFonts w:ascii="Arial" w:hAnsi="Arial" w:cs="Arial"/>
          <w:sz w:val="22"/>
          <w:lang w:val="es-ES"/>
        </w:rPr>
      </w:pPr>
    </w:p>
    <w:p w14:paraId="1A9B64C5" w14:textId="52B840D4" w:rsidR="00D80EB6" w:rsidRPr="00DE70DC" w:rsidRDefault="00D80EB6" w:rsidP="00D80EB6">
      <w:pPr>
        <w:ind w:left="708" w:right="426"/>
        <w:jc w:val="both"/>
        <w:rPr>
          <w:rFonts w:ascii="Arial" w:hAnsi="Arial" w:cs="Arial"/>
          <w:sz w:val="21"/>
          <w:szCs w:val="21"/>
          <w:lang w:val="es-ES"/>
        </w:rPr>
      </w:pPr>
      <w:r w:rsidRPr="00DE70DC">
        <w:rPr>
          <w:rFonts w:ascii="Arial" w:hAnsi="Arial" w:cs="Arial"/>
          <w:sz w:val="21"/>
          <w:szCs w:val="21"/>
          <w:lang w:val="es-ES"/>
        </w:rPr>
        <w:t>Esta propuesta se fundamenta en la necesidad de estandarizar los pliegos de condiciones en los procesos de contratación del Estado, con el fin de lograr un sistema de compras más transparente. Para cumplir este propósito, se hace necesario adoptar una disposición de origen legal que faculte a la Subdirección de Gestión Contractual de la Agencia Nacional de Contratación Pública para expedir documentos de contratación estándar de obligatorio cumplimiento para todas las entidades contratantes.</w:t>
      </w:r>
    </w:p>
    <w:p w14:paraId="2A6E60BC" w14:textId="21C422FA" w:rsidR="001E0042" w:rsidRPr="00DE70DC" w:rsidRDefault="001E0042" w:rsidP="00D80EB6">
      <w:pPr>
        <w:ind w:left="708" w:right="426"/>
        <w:jc w:val="both"/>
        <w:rPr>
          <w:rFonts w:ascii="Arial" w:hAnsi="Arial" w:cs="Arial"/>
          <w:sz w:val="21"/>
          <w:szCs w:val="21"/>
          <w:lang w:val="es-ES"/>
        </w:rPr>
      </w:pPr>
      <w:r w:rsidRPr="00DE70DC">
        <w:rPr>
          <w:rFonts w:ascii="Arial" w:hAnsi="Arial" w:cs="Arial"/>
          <w:sz w:val="21"/>
          <w:szCs w:val="21"/>
          <w:lang w:val="es-ES"/>
        </w:rPr>
        <w:t>[…]</w:t>
      </w:r>
    </w:p>
    <w:p w14:paraId="5A14FA46" w14:textId="77777777" w:rsidR="001E0042" w:rsidRPr="00DE70DC" w:rsidRDefault="001E0042" w:rsidP="00D80EB6">
      <w:pPr>
        <w:ind w:left="708" w:right="426"/>
        <w:jc w:val="both"/>
        <w:rPr>
          <w:rFonts w:ascii="Arial" w:hAnsi="Arial" w:cs="Arial"/>
          <w:sz w:val="21"/>
          <w:szCs w:val="21"/>
          <w:lang w:val="es-ES"/>
        </w:rPr>
      </w:pPr>
    </w:p>
    <w:p w14:paraId="641D8053" w14:textId="7C8CDDC0" w:rsidR="00D80EB6" w:rsidRPr="00DE70DC" w:rsidRDefault="00D80EB6" w:rsidP="00D80EB6">
      <w:pPr>
        <w:ind w:left="708" w:right="426"/>
        <w:jc w:val="both"/>
        <w:rPr>
          <w:rFonts w:ascii="Arial" w:hAnsi="Arial" w:cs="Arial"/>
          <w:sz w:val="21"/>
          <w:szCs w:val="21"/>
          <w:lang w:val="es-ES"/>
        </w:rPr>
      </w:pPr>
      <w:r w:rsidRPr="00DE70DC">
        <w:rPr>
          <w:rFonts w:ascii="Arial" w:hAnsi="Arial" w:cs="Arial"/>
          <w:sz w:val="21"/>
          <w:szCs w:val="21"/>
          <w:lang w:val="es-ES"/>
        </w:rPr>
        <w:t>A través de este mecanismo, se busca facilitar el control fiscal, la optimización de los procesos de selección, se garantiza el uso eficiente de los recursos públicos y se elimina el direccionamiento de los procesos de selección, en especial en las regiones, tal y como lo ha sustentado Colombia Compra Eficiente en los siguientes términos:</w:t>
      </w:r>
    </w:p>
    <w:p w14:paraId="43240A4F" w14:textId="77777777" w:rsidR="001E0042" w:rsidRPr="00DE70DC" w:rsidRDefault="001E0042" w:rsidP="00D80EB6">
      <w:pPr>
        <w:ind w:left="708" w:right="426"/>
        <w:jc w:val="both"/>
        <w:rPr>
          <w:rFonts w:ascii="Arial" w:hAnsi="Arial" w:cs="Arial"/>
          <w:sz w:val="21"/>
          <w:szCs w:val="21"/>
          <w:lang w:val="es-ES"/>
        </w:rPr>
      </w:pPr>
    </w:p>
    <w:p w14:paraId="5AD0E87C" w14:textId="367723B0" w:rsidR="00D80EB6" w:rsidRPr="00DE70DC" w:rsidRDefault="001E0042" w:rsidP="00D80EB6">
      <w:pPr>
        <w:ind w:left="708" w:right="426"/>
        <w:jc w:val="both"/>
        <w:rPr>
          <w:rFonts w:ascii="Arial" w:hAnsi="Arial" w:cs="Arial"/>
          <w:sz w:val="21"/>
          <w:szCs w:val="21"/>
          <w:lang w:val="es-ES"/>
        </w:rPr>
      </w:pPr>
      <w:r w:rsidRPr="00DE70DC">
        <w:rPr>
          <w:rFonts w:ascii="Arial" w:hAnsi="Arial" w:cs="Arial"/>
          <w:sz w:val="21"/>
          <w:szCs w:val="21"/>
          <w:lang w:val="es-ES"/>
        </w:rPr>
        <w:t>«</w:t>
      </w:r>
      <w:r w:rsidR="00D80EB6" w:rsidRPr="00DE70DC">
        <w:rPr>
          <w:rFonts w:ascii="Arial" w:hAnsi="Arial" w:cs="Arial"/>
          <w:sz w:val="21"/>
          <w:szCs w:val="21"/>
          <w:lang w:val="es-ES"/>
        </w:rPr>
        <w:t xml:space="preserve">Los documentos tipo reducen el tiempo que re- quieren las Entidades Estatales en la preparación de los Documentos del Proceso y permiten a los </w:t>
      </w:r>
      <w:proofErr w:type="spellStart"/>
      <w:r w:rsidR="00D80EB6" w:rsidRPr="00DE70DC">
        <w:rPr>
          <w:rFonts w:ascii="Arial" w:hAnsi="Arial" w:cs="Arial"/>
          <w:sz w:val="21"/>
          <w:szCs w:val="21"/>
          <w:lang w:val="es-ES"/>
        </w:rPr>
        <w:t>intere</w:t>
      </w:r>
      <w:proofErr w:type="spellEnd"/>
      <w:r w:rsidR="00D80EB6" w:rsidRPr="00DE70DC">
        <w:rPr>
          <w:rFonts w:ascii="Arial" w:hAnsi="Arial" w:cs="Arial"/>
          <w:sz w:val="21"/>
          <w:szCs w:val="21"/>
          <w:lang w:val="es-ES"/>
        </w:rPr>
        <w:t xml:space="preserve">- sados y proponentes conocer las condiciones genera- les de los mismos de forma </w:t>
      </w:r>
      <w:r w:rsidR="00D80EB6" w:rsidRPr="00DE70DC">
        <w:rPr>
          <w:rFonts w:ascii="Arial" w:hAnsi="Arial" w:cs="Arial"/>
          <w:sz w:val="21"/>
          <w:szCs w:val="21"/>
          <w:lang w:val="es-ES"/>
        </w:rPr>
        <w:lastRenderedPageBreak/>
        <w:t>anticipada pues definen condiciones generales para ser adoptadas uniforme- mente por las Entidades Estatales.</w:t>
      </w:r>
    </w:p>
    <w:p w14:paraId="13A0D73B" w14:textId="77777777" w:rsidR="001E0042" w:rsidRPr="00DE70DC" w:rsidRDefault="001E0042" w:rsidP="00D80EB6">
      <w:pPr>
        <w:ind w:left="708" w:right="426"/>
        <w:jc w:val="both"/>
        <w:rPr>
          <w:rFonts w:ascii="Arial" w:hAnsi="Arial" w:cs="Arial"/>
          <w:sz w:val="21"/>
          <w:szCs w:val="21"/>
          <w:lang w:val="es-ES"/>
        </w:rPr>
      </w:pPr>
    </w:p>
    <w:p w14:paraId="41DD0A49" w14:textId="3CD1E0D8" w:rsidR="00D80EB6" w:rsidRPr="00DE70DC" w:rsidRDefault="00D80EB6" w:rsidP="00610C94">
      <w:pPr>
        <w:ind w:left="708" w:right="426"/>
        <w:jc w:val="both"/>
        <w:rPr>
          <w:rFonts w:ascii="Arial" w:hAnsi="Arial" w:cs="Arial"/>
          <w:sz w:val="21"/>
          <w:szCs w:val="21"/>
          <w:lang w:val="es-ES"/>
        </w:rPr>
      </w:pPr>
      <w:r w:rsidRPr="00DE70DC">
        <w:rPr>
          <w:rFonts w:ascii="Arial" w:hAnsi="Arial" w:cs="Arial"/>
          <w:sz w:val="21"/>
          <w:szCs w:val="21"/>
          <w:lang w:val="es-ES"/>
        </w:rPr>
        <w:t>Finalmente, los documentos tipo también contribuyen a la transparencia en los Procesos de Contratación porque, entre otras, tienen cláusulas diseñadas para promover la libre competencia y participación de la mayor cantidad posible de proponentes en los Procesos de Contratación</w:t>
      </w:r>
      <w:r w:rsidR="001E0042" w:rsidRPr="00DE70DC">
        <w:rPr>
          <w:rFonts w:ascii="Arial" w:hAnsi="Arial" w:cs="Arial"/>
          <w:sz w:val="21"/>
          <w:szCs w:val="21"/>
          <w:lang w:val="es-ES"/>
        </w:rPr>
        <w:t>».</w:t>
      </w:r>
    </w:p>
    <w:p w14:paraId="1AA4852F" w14:textId="16202522" w:rsidR="00887B15" w:rsidRPr="00DE70DC" w:rsidRDefault="001E0042" w:rsidP="00610C94">
      <w:pPr>
        <w:ind w:left="708" w:right="426"/>
        <w:jc w:val="both"/>
        <w:rPr>
          <w:rFonts w:ascii="Arial" w:hAnsi="Arial" w:cs="Arial"/>
          <w:sz w:val="21"/>
          <w:szCs w:val="21"/>
          <w:lang w:val="es-ES"/>
        </w:rPr>
      </w:pPr>
      <w:r w:rsidRPr="00DE70DC">
        <w:rPr>
          <w:rFonts w:ascii="Arial" w:hAnsi="Arial" w:cs="Arial"/>
          <w:sz w:val="21"/>
          <w:szCs w:val="21"/>
          <w:lang w:val="es-ES"/>
        </w:rPr>
        <w:t>[…]</w:t>
      </w:r>
      <w:r w:rsidR="00887B15" w:rsidRPr="00DE70DC">
        <w:rPr>
          <w:rStyle w:val="Refdenotaalpie"/>
          <w:rFonts w:ascii="Arial" w:hAnsi="Arial" w:cs="Arial"/>
          <w:sz w:val="21"/>
          <w:szCs w:val="21"/>
          <w:lang w:val="es-ES"/>
        </w:rPr>
        <w:footnoteReference w:id="4"/>
      </w:r>
      <w:r w:rsidR="00887B15" w:rsidRPr="00DE70DC">
        <w:rPr>
          <w:rFonts w:ascii="Arial" w:hAnsi="Arial" w:cs="Arial"/>
          <w:sz w:val="21"/>
          <w:szCs w:val="21"/>
          <w:lang w:val="es-ES"/>
        </w:rPr>
        <w:t xml:space="preserve">. </w:t>
      </w:r>
    </w:p>
    <w:p w14:paraId="34962102" w14:textId="77777777" w:rsidR="00887B15" w:rsidRPr="00DE70DC" w:rsidRDefault="00887B15" w:rsidP="00610C94">
      <w:pPr>
        <w:jc w:val="both"/>
        <w:rPr>
          <w:rFonts w:ascii="Arial" w:hAnsi="Arial" w:cs="Arial"/>
          <w:b/>
          <w:sz w:val="22"/>
          <w:lang w:val="es-ES"/>
        </w:rPr>
      </w:pPr>
    </w:p>
    <w:p w14:paraId="056DB511" w14:textId="6A3D3735" w:rsidR="004C0993" w:rsidRPr="00DE70DC" w:rsidRDefault="004C0993" w:rsidP="00D50796">
      <w:pPr>
        <w:spacing w:line="276" w:lineRule="auto"/>
        <w:ind w:firstLine="709"/>
        <w:jc w:val="both"/>
        <w:rPr>
          <w:rFonts w:ascii="Arial" w:eastAsia="Calibri" w:hAnsi="Arial" w:cs="Arial"/>
          <w:bCs/>
          <w:sz w:val="22"/>
        </w:rPr>
      </w:pPr>
      <w:r w:rsidRPr="00DE70DC">
        <w:rPr>
          <w:rFonts w:ascii="Arial" w:eastAsia="Calibri" w:hAnsi="Arial" w:cs="Arial"/>
          <w:bCs/>
          <w:sz w:val="22"/>
        </w:rPr>
        <w:t xml:space="preserve">En resumen, el artículo 4 de la Ley 1882 de 2018 establece que corresponde al </w:t>
      </w:r>
      <w:r w:rsidR="00841639" w:rsidRPr="00DE70DC">
        <w:rPr>
          <w:rFonts w:ascii="Arial" w:eastAsia="Calibri" w:hAnsi="Arial" w:cs="Arial"/>
          <w:bCs/>
          <w:sz w:val="22"/>
        </w:rPr>
        <w:t>g</w:t>
      </w:r>
      <w:r w:rsidRPr="00DE70DC">
        <w:rPr>
          <w:rFonts w:ascii="Arial" w:eastAsia="Calibri" w:hAnsi="Arial" w:cs="Arial"/>
          <w:bCs/>
          <w:sz w:val="22"/>
        </w:rPr>
        <w:t xml:space="preserve">obierno </w:t>
      </w:r>
      <w:r w:rsidR="00841639" w:rsidRPr="00DE70DC">
        <w:rPr>
          <w:rFonts w:ascii="Arial" w:eastAsia="Calibri" w:hAnsi="Arial" w:cs="Arial"/>
          <w:bCs/>
          <w:sz w:val="22"/>
        </w:rPr>
        <w:t>n</w:t>
      </w:r>
      <w:r w:rsidRPr="00DE70DC">
        <w:rPr>
          <w:rFonts w:ascii="Arial" w:eastAsia="Calibri" w:hAnsi="Arial" w:cs="Arial"/>
          <w:bCs/>
          <w:sz w:val="22"/>
        </w:rPr>
        <w:t xml:space="preserve">acional adoptar los «documentos tipo para los pliegos de condiciones de los procesos de selección de </w:t>
      </w:r>
      <w:r w:rsidR="00D9294F" w:rsidRPr="00DE70DC">
        <w:rPr>
          <w:rFonts w:ascii="Arial" w:eastAsia="Calibri" w:hAnsi="Arial" w:cs="Arial"/>
          <w:bCs/>
          <w:sz w:val="22"/>
        </w:rPr>
        <w:t>obra</w:t>
      </w:r>
      <w:r w:rsidRPr="00DE70DC">
        <w:rPr>
          <w:rFonts w:ascii="Arial" w:eastAsia="Calibri" w:hAnsi="Arial" w:cs="Arial"/>
          <w:bCs/>
          <w:sz w:val="22"/>
        </w:rPr>
        <w:t>s públicas» y que estos «deberán ser utilizados por todas las entidades sometidas al Estatuto General de la Contratación de la Administración Pública en los procesos de selección que adelanten». Adicionalmente</w:t>
      </w:r>
      <w:r w:rsidR="00502929" w:rsidRPr="00DE70DC">
        <w:rPr>
          <w:rFonts w:ascii="Arial" w:eastAsia="Calibri" w:hAnsi="Arial" w:cs="Arial"/>
          <w:bCs/>
          <w:sz w:val="22"/>
        </w:rPr>
        <w:t>,</w:t>
      </w:r>
      <w:r w:rsidRPr="00DE70DC">
        <w:rPr>
          <w:rFonts w:ascii="Arial" w:eastAsia="Calibri" w:hAnsi="Arial" w:cs="Arial"/>
          <w:bCs/>
          <w:sz w:val="22"/>
        </w:rPr>
        <w:t xml:space="preserve"> señala</w:t>
      </w:r>
      <w:r w:rsidR="00946CFA" w:rsidRPr="00DE70DC">
        <w:rPr>
          <w:rFonts w:ascii="Arial" w:eastAsia="Calibri" w:hAnsi="Arial" w:cs="Arial"/>
          <w:bCs/>
          <w:sz w:val="22"/>
        </w:rPr>
        <w:t>,</w:t>
      </w:r>
      <w:r w:rsidRPr="00DE70DC">
        <w:rPr>
          <w:rFonts w:ascii="Arial" w:eastAsia="Calibri" w:hAnsi="Arial" w:cs="Arial"/>
          <w:bCs/>
          <w:sz w:val="22"/>
        </w:rPr>
        <w:t xml:space="preserve"> frente a su contenido</w:t>
      </w:r>
      <w:r w:rsidR="00502929" w:rsidRPr="00DE70DC">
        <w:rPr>
          <w:rFonts w:ascii="Arial" w:eastAsia="Calibri" w:hAnsi="Arial" w:cs="Arial"/>
          <w:bCs/>
          <w:sz w:val="22"/>
        </w:rPr>
        <w:t>,</w:t>
      </w:r>
      <w:r w:rsidRPr="00DE70DC">
        <w:rPr>
          <w:rFonts w:ascii="Arial" w:eastAsia="Calibri" w:hAnsi="Arial" w:cs="Arial"/>
          <w:bCs/>
          <w:sz w:val="22"/>
        </w:rPr>
        <w:t xml:space="preserve"> que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la cuantía de los contratos».</w:t>
      </w:r>
    </w:p>
    <w:p w14:paraId="2D893173" w14:textId="5C458C88" w:rsidR="004C0993" w:rsidRPr="00DE70DC" w:rsidRDefault="00E83789" w:rsidP="00DC578F">
      <w:pPr>
        <w:spacing w:line="276" w:lineRule="auto"/>
        <w:ind w:firstLine="709"/>
        <w:jc w:val="both"/>
        <w:rPr>
          <w:rFonts w:ascii="Arial" w:eastAsia="Calibri" w:hAnsi="Arial" w:cs="Arial"/>
          <w:bCs/>
          <w:sz w:val="22"/>
        </w:rPr>
      </w:pPr>
      <w:r w:rsidRPr="00DE70DC">
        <w:rPr>
          <w:rFonts w:ascii="Arial" w:eastAsia="Calibri" w:hAnsi="Arial" w:cs="Arial"/>
          <w:bCs/>
          <w:sz w:val="22"/>
        </w:rPr>
        <w:t>E</w:t>
      </w:r>
      <w:r w:rsidR="004C0993" w:rsidRPr="00DE70DC">
        <w:rPr>
          <w:rFonts w:ascii="Arial" w:eastAsia="Calibri" w:hAnsi="Arial" w:cs="Arial"/>
          <w:bCs/>
          <w:sz w:val="22"/>
        </w:rPr>
        <w:t xml:space="preserve">l </w:t>
      </w:r>
      <w:r w:rsidR="00841639" w:rsidRPr="00DE70DC">
        <w:rPr>
          <w:rFonts w:ascii="Arial" w:eastAsia="Calibri" w:hAnsi="Arial" w:cs="Arial"/>
          <w:bCs/>
          <w:sz w:val="22"/>
        </w:rPr>
        <w:t>g</w:t>
      </w:r>
      <w:r w:rsidR="004C0993" w:rsidRPr="00DE70DC">
        <w:rPr>
          <w:rFonts w:ascii="Arial" w:eastAsia="Calibri" w:hAnsi="Arial" w:cs="Arial"/>
          <w:bCs/>
          <w:sz w:val="22"/>
        </w:rPr>
        <w:t xml:space="preserve">obierno </w:t>
      </w:r>
      <w:r w:rsidR="00841639" w:rsidRPr="00DE70DC">
        <w:rPr>
          <w:rFonts w:ascii="Arial" w:eastAsia="Calibri" w:hAnsi="Arial" w:cs="Arial"/>
          <w:bCs/>
          <w:sz w:val="22"/>
        </w:rPr>
        <w:t>n</w:t>
      </w:r>
      <w:r w:rsidR="004C0993" w:rsidRPr="00DE70DC">
        <w:rPr>
          <w:rFonts w:ascii="Arial" w:eastAsia="Calibri" w:hAnsi="Arial" w:cs="Arial"/>
          <w:bCs/>
          <w:sz w:val="22"/>
        </w:rPr>
        <w:t>acional</w:t>
      </w:r>
      <w:r w:rsidR="00BF2E6F" w:rsidRPr="00DE70DC">
        <w:rPr>
          <w:rFonts w:ascii="Arial" w:eastAsia="Calibri" w:hAnsi="Arial" w:cs="Arial"/>
          <w:bCs/>
          <w:sz w:val="22"/>
        </w:rPr>
        <w:t>,</w:t>
      </w:r>
      <w:r w:rsidRPr="00DE70DC">
        <w:rPr>
          <w:rFonts w:ascii="Arial" w:eastAsia="Calibri" w:hAnsi="Arial" w:cs="Arial"/>
          <w:bCs/>
          <w:sz w:val="22"/>
        </w:rPr>
        <w:t xml:space="preserve"> en ejercicio de la potestad reglamentar</w:t>
      </w:r>
      <w:r w:rsidR="00A10135" w:rsidRPr="00DE70DC">
        <w:rPr>
          <w:rFonts w:ascii="Arial" w:eastAsia="Calibri" w:hAnsi="Arial" w:cs="Arial"/>
          <w:bCs/>
          <w:sz w:val="22"/>
        </w:rPr>
        <w:t>ia, con la expedición de los Decretos 342 de 2019</w:t>
      </w:r>
      <w:r w:rsidR="00B21D6C" w:rsidRPr="00DE70DC">
        <w:rPr>
          <w:rFonts w:ascii="Arial" w:eastAsia="Calibri" w:hAnsi="Arial" w:cs="Arial"/>
          <w:bCs/>
          <w:sz w:val="22"/>
        </w:rPr>
        <w:t xml:space="preserve"> y 209</w:t>
      </w:r>
      <w:r w:rsidR="0042321C" w:rsidRPr="00DE70DC">
        <w:rPr>
          <w:rFonts w:ascii="Arial" w:eastAsia="Calibri" w:hAnsi="Arial" w:cs="Arial"/>
          <w:bCs/>
          <w:sz w:val="22"/>
        </w:rPr>
        <w:t>6 de 2019</w:t>
      </w:r>
      <w:r w:rsidR="00106B75" w:rsidRPr="00DE70DC">
        <w:rPr>
          <w:rFonts w:ascii="Arial" w:eastAsia="Calibri" w:hAnsi="Arial" w:cs="Arial"/>
          <w:bCs/>
          <w:sz w:val="22"/>
        </w:rPr>
        <w:t>,</w:t>
      </w:r>
      <w:r w:rsidR="00B21D6C" w:rsidRPr="00DE70DC">
        <w:rPr>
          <w:rFonts w:ascii="Arial" w:eastAsia="Calibri" w:hAnsi="Arial" w:cs="Arial"/>
          <w:bCs/>
          <w:sz w:val="22"/>
        </w:rPr>
        <w:t xml:space="preserve"> </w:t>
      </w:r>
      <w:r w:rsidR="004C0993" w:rsidRPr="00DE70DC">
        <w:rPr>
          <w:rFonts w:ascii="Arial" w:eastAsia="Calibri" w:hAnsi="Arial" w:cs="Arial"/>
          <w:bCs/>
          <w:sz w:val="22"/>
        </w:rPr>
        <w:t xml:space="preserve">adoptó los </w:t>
      </w:r>
      <w:r w:rsidR="00A37529" w:rsidRPr="00DE70DC">
        <w:rPr>
          <w:rFonts w:ascii="Arial" w:eastAsia="Calibri" w:hAnsi="Arial" w:cs="Arial"/>
          <w:bCs/>
          <w:sz w:val="22"/>
        </w:rPr>
        <w:t>«</w:t>
      </w:r>
      <w:r w:rsidR="004C0993" w:rsidRPr="00DE70DC">
        <w:rPr>
          <w:rFonts w:ascii="Arial" w:eastAsia="Calibri" w:hAnsi="Arial" w:cs="Arial"/>
          <w:bCs/>
          <w:sz w:val="22"/>
        </w:rPr>
        <w:t>Documentos Tipo</w:t>
      </w:r>
      <w:r w:rsidR="00A37529" w:rsidRPr="00DE70DC">
        <w:rPr>
          <w:rFonts w:ascii="Arial" w:eastAsia="Calibri" w:hAnsi="Arial" w:cs="Arial"/>
          <w:bCs/>
          <w:sz w:val="22"/>
        </w:rPr>
        <w:t>»</w:t>
      </w:r>
      <w:r w:rsidR="004C0993" w:rsidRPr="00DE70DC">
        <w:rPr>
          <w:rFonts w:ascii="Arial" w:eastAsia="Calibri" w:hAnsi="Arial" w:cs="Arial"/>
          <w:bCs/>
          <w:sz w:val="22"/>
        </w:rPr>
        <w:t xml:space="preserve"> para</w:t>
      </w:r>
      <w:r w:rsidR="005D474D" w:rsidRPr="00DE70DC">
        <w:rPr>
          <w:rFonts w:ascii="Arial" w:eastAsia="Calibri" w:hAnsi="Arial" w:cs="Arial"/>
          <w:bCs/>
          <w:sz w:val="22"/>
        </w:rPr>
        <w:t xml:space="preserve"> la contratación de</w:t>
      </w:r>
      <w:r w:rsidR="00BF2E6F" w:rsidRPr="00DE70DC">
        <w:rPr>
          <w:rFonts w:ascii="Arial" w:eastAsia="Calibri" w:hAnsi="Arial" w:cs="Arial"/>
          <w:bCs/>
          <w:sz w:val="22"/>
        </w:rPr>
        <w:t xml:space="preserve"> </w:t>
      </w:r>
      <w:r w:rsidR="00D9294F" w:rsidRPr="00DE70DC">
        <w:rPr>
          <w:rFonts w:ascii="Arial" w:eastAsia="Calibri" w:hAnsi="Arial" w:cs="Arial"/>
          <w:bCs/>
          <w:sz w:val="22"/>
        </w:rPr>
        <w:t>obra</w:t>
      </w:r>
      <w:r w:rsidR="00BF2E6F" w:rsidRPr="00DE70DC">
        <w:rPr>
          <w:rFonts w:ascii="Arial" w:eastAsia="Calibri" w:hAnsi="Arial" w:cs="Arial"/>
          <w:bCs/>
          <w:sz w:val="22"/>
        </w:rPr>
        <w:t xml:space="preserve">s de infraestructura pública </w:t>
      </w:r>
      <w:r w:rsidR="00DD3432" w:rsidRPr="00DE70DC">
        <w:rPr>
          <w:rFonts w:ascii="Arial" w:eastAsia="Calibri" w:hAnsi="Arial" w:cs="Arial"/>
          <w:bCs/>
          <w:sz w:val="22"/>
        </w:rPr>
        <w:t>de transporte en la</w:t>
      </w:r>
      <w:r w:rsidR="00283380" w:rsidRPr="00DE70DC">
        <w:rPr>
          <w:rFonts w:ascii="Arial" w:eastAsia="Calibri" w:hAnsi="Arial" w:cs="Arial"/>
          <w:bCs/>
          <w:sz w:val="22"/>
        </w:rPr>
        <w:t>s</w:t>
      </w:r>
      <w:r w:rsidR="00DD3432" w:rsidRPr="00DE70DC">
        <w:rPr>
          <w:rFonts w:ascii="Arial" w:eastAsia="Calibri" w:hAnsi="Arial" w:cs="Arial"/>
          <w:bCs/>
          <w:sz w:val="22"/>
        </w:rPr>
        <w:t xml:space="preserve"> modalidades de selección de</w:t>
      </w:r>
      <w:r w:rsidR="00AF713D" w:rsidRPr="00DE70DC">
        <w:rPr>
          <w:rFonts w:ascii="Arial" w:eastAsia="Calibri" w:hAnsi="Arial" w:cs="Arial"/>
          <w:bCs/>
          <w:sz w:val="22"/>
        </w:rPr>
        <w:t>l contratist</w:t>
      </w:r>
      <w:r w:rsidR="00D5088B" w:rsidRPr="00DE70DC">
        <w:rPr>
          <w:rFonts w:ascii="Arial" w:eastAsia="Calibri" w:hAnsi="Arial" w:cs="Arial"/>
          <w:bCs/>
          <w:sz w:val="22"/>
        </w:rPr>
        <w:t>a correspondientes a</w:t>
      </w:r>
      <w:r w:rsidR="00DD3432" w:rsidRPr="00DE70DC">
        <w:rPr>
          <w:rFonts w:ascii="Arial" w:eastAsia="Calibri" w:hAnsi="Arial" w:cs="Arial"/>
          <w:bCs/>
          <w:sz w:val="22"/>
        </w:rPr>
        <w:t xml:space="preserve"> licitación pública y selección abreviada</w:t>
      </w:r>
      <w:r w:rsidR="008617E0" w:rsidRPr="00DE70DC">
        <w:rPr>
          <w:rFonts w:ascii="Arial" w:eastAsia="Calibri" w:hAnsi="Arial" w:cs="Arial"/>
          <w:bCs/>
          <w:sz w:val="22"/>
        </w:rPr>
        <w:t xml:space="preserve"> de</w:t>
      </w:r>
      <w:r w:rsidR="00203F1A" w:rsidRPr="00DE70DC">
        <w:rPr>
          <w:rFonts w:ascii="Arial" w:eastAsia="Calibri" w:hAnsi="Arial" w:cs="Arial"/>
          <w:bCs/>
          <w:sz w:val="22"/>
        </w:rPr>
        <w:t xml:space="preserve"> m</w:t>
      </w:r>
      <w:r w:rsidR="00AF713D" w:rsidRPr="00DE70DC">
        <w:rPr>
          <w:rFonts w:ascii="Arial" w:eastAsia="Calibri" w:hAnsi="Arial" w:cs="Arial"/>
          <w:bCs/>
          <w:sz w:val="22"/>
        </w:rPr>
        <w:t>enor cuantía</w:t>
      </w:r>
      <w:r w:rsidR="00D5088B" w:rsidRPr="00DE70DC">
        <w:rPr>
          <w:rFonts w:ascii="Arial" w:eastAsia="Calibri" w:hAnsi="Arial" w:cs="Arial"/>
          <w:bCs/>
          <w:sz w:val="22"/>
        </w:rPr>
        <w:t>, respectivamente.</w:t>
      </w:r>
      <w:r w:rsidR="00B75C7C" w:rsidRPr="00DE70DC">
        <w:rPr>
          <w:rFonts w:ascii="Arial" w:eastAsia="Calibri" w:hAnsi="Arial" w:cs="Arial"/>
          <w:bCs/>
          <w:sz w:val="22"/>
        </w:rPr>
        <w:t xml:space="preserve"> Los mencionados decretos adicionaron el Decreto 1082 de 2015</w:t>
      </w:r>
      <w:r w:rsidR="00946737" w:rsidRPr="00DE70DC">
        <w:rPr>
          <w:rFonts w:ascii="Arial" w:eastAsia="Calibri" w:hAnsi="Arial" w:cs="Arial"/>
          <w:bCs/>
          <w:sz w:val="22"/>
        </w:rPr>
        <w:t xml:space="preserve">, determinado el objeto y alcance de los </w:t>
      </w:r>
      <w:r w:rsidR="00A37529" w:rsidRPr="00DE70DC">
        <w:rPr>
          <w:rFonts w:ascii="Arial" w:eastAsia="Calibri" w:hAnsi="Arial" w:cs="Arial"/>
          <w:bCs/>
          <w:sz w:val="22"/>
        </w:rPr>
        <w:t>«</w:t>
      </w:r>
      <w:r w:rsidR="00946737" w:rsidRPr="00DE70DC">
        <w:rPr>
          <w:rFonts w:ascii="Arial" w:eastAsia="Calibri" w:hAnsi="Arial" w:cs="Arial"/>
          <w:bCs/>
          <w:sz w:val="22"/>
        </w:rPr>
        <w:t>Documentos Tipo</w:t>
      </w:r>
      <w:r w:rsidR="00A37529" w:rsidRPr="00DE70DC">
        <w:rPr>
          <w:rFonts w:ascii="Arial" w:eastAsia="Calibri" w:hAnsi="Arial" w:cs="Arial"/>
          <w:bCs/>
          <w:sz w:val="22"/>
        </w:rPr>
        <w:t>»</w:t>
      </w:r>
      <w:r w:rsidR="00946737" w:rsidRPr="00DE70DC">
        <w:rPr>
          <w:rFonts w:ascii="Arial" w:eastAsia="Calibri" w:hAnsi="Arial" w:cs="Arial"/>
          <w:bCs/>
          <w:sz w:val="22"/>
        </w:rPr>
        <w:t xml:space="preserve"> mencionados</w:t>
      </w:r>
      <w:r w:rsidR="00A37529" w:rsidRPr="00DE70DC">
        <w:rPr>
          <w:rFonts w:ascii="Arial" w:eastAsia="Calibri" w:hAnsi="Arial" w:cs="Arial"/>
          <w:bCs/>
          <w:sz w:val="22"/>
        </w:rPr>
        <w:t xml:space="preserve"> de la siguiente manera</w:t>
      </w:r>
      <w:r w:rsidR="00946737" w:rsidRPr="00DE70DC">
        <w:rPr>
          <w:rFonts w:ascii="Arial" w:eastAsia="Calibri" w:hAnsi="Arial" w:cs="Arial"/>
          <w:bCs/>
          <w:sz w:val="22"/>
        </w:rPr>
        <w:t>:</w:t>
      </w:r>
    </w:p>
    <w:p w14:paraId="59EDB5ED" w14:textId="6E1CF8DB" w:rsidR="00946737" w:rsidRPr="00DE70DC" w:rsidRDefault="00946737" w:rsidP="00400083">
      <w:pPr>
        <w:ind w:left="709" w:right="709"/>
        <w:jc w:val="both"/>
        <w:rPr>
          <w:rFonts w:ascii="Arial" w:eastAsia="Calibri" w:hAnsi="Arial" w:cs="Arial"/>
          <w:bCs/>
          <w:sz w:val="21"/>
          <w:szCs w:val="21"/>
        </w:rPr>
      </w:pPr>
    </w:p>
    <w:p w14:paraId="04E47DD5" w14:textId="2CE619F9" w:rsidR="00096EAB" w:rsidRPr="00DE70DC" w:rsidRDefault="00096EAB" w:rsidP="00400083">
      <w:pPr>
        <w:ind w:left="709" w:right="709"/>
        <w:jc w:val="both"/>
        <w:rPr>
          <w:rFonts w:ascii="Arial" w:eastAsia="Calibri" w:hAnsi="Arial" w:cs="Arial"/>
          <w:bCs/>
          <w:sz w:val="21"/>
          <w:szCs w:val="21"/>
        </w:rPr>
      </w:pPr>
      <w:r w:rsidRPr="00DE70DC">
        <w:rPr>
          <w:rFonts w:ascii="Arial" w:eastAsia="Calibri" w:hAnsi="Arial" w:cs="Arial"/>
          <w:bCs/>
          <w:sz w:val="21"/>
          <w:szCs w:val="21"/>
        </w:rPr>
        <w:t xml:space="preserve">2.2.1.2.6.1.1. Objeto. La presente subsección tiene por objeto adoptar los Documentos Tipo para los pliegos de condiciones de los procesos de selección de licitación de </w:t>
      </w:r>
      <w:r w:rsidR="00D9294F" w:rsidRPr="00DE70DC">
        <w:rPr>
          <w:rFonts w:ascii="Arial" w:eastAsia="Calibri" w:hAnsi="Arial" w:cs="Arial"/>
          <w:bCs/>
          <w:sz w:val="21"/>
          <w:szCs w:val="21"/>
        </w:rPr>
        <w:t>obra</w:t>
      </w:r>
      <w:r w:rsidRPr="00DE70DC">
        <w:rPr>
          <w:rFonts w:ascii="Arial" w:eastAsia="Calibri" w:hAnsi="Arial" w:cs="Arial"/>
          <w:bCs/>
          <w:sz w:val="21"/>
          <w:szCs w:val="21"/>
        </w:rPr>
        <w:t xml:space="preserve"> pública de infraestructura de transporte. </w:t>
      </w:r>
    </w:p>
    <w:p w14:paraId="656F03C1" w14:textId="77777777" w:rsidR="00096EAB" w:rsidRPr="00DE70DC" w:rsidRDefault="00096EAB" w:rsidP="00400083">
      <w:pPr>
        <w:ind w:left="709" w:right="709"/>
        <w:jc w:val="both"/>
        <w:rPr>
          <w:rFonts w:ascii="Arial" w:eastAsia="Calibri" w:hAnsi="Arial" w:cs="Arial"/>
          <w:bCs/>
          <w:sz w:val="21"/>
          <w:szCs w:val="21"/>
        </w:rPr>
      </w:pPr>
    </w:p>
    <w:p w14:paraId="6883E88F" w14:textId="345BF2EC" w:rsidR="00096EAB" w:rsidRPr="00DE70DC" w:rsidRDefault="00096EAB" w:rsidP="00400083">
      <w:pPr>
        <w:ind w:left="709" w:right="709"/>
        <w:jc w:val="both"/>
        <w:rPr>
          <w:rFonts w:ascii="Arial" w:eastAsia="Calibri" w:hAnsi="Arial" w:cs="Arial"/>
          <w:bCs/>
          <w:sz w:val="21"/>
          <w:szCs w:val="21"/>
        </w:rPr>
      </w:pPr>
      <w:r w:rsidRPr="00DE70DC">
        <w:rPr>
          <w:rFonts w:ascii="Arial" w:eastAsia="Calibri" w:hAnsi="Arial" w:cs="Arial"/>
          <w:bCs/>
          <w:sz w:val="21"/>
          <w:szCs w:val="21"/>
        </w:rPr>
        <w:t xml:space="preserve">2.2.1.2.6.1.2. Alcance. Los Documentos Tipo contienen parámetros obligatorios para las entidades estatales sometidas al Estatuto General de la Contratación Pública que adelanten procesos de selección de licitación de </w:t>
      </w:r>
      <w:r w:rsidR="00D9294F" w:rsidRPr="00DE70DC">
        <w:rPr>
          <w:rFonts w:ascii="Arial" w:eastAsia="Calibri" w:hAnsi="Arial" w:cs="Arial"/>
          <w:bCs/>
          <w:sz w:val="21"/>
          <w:szCs w:val="21"/>
        </w:rPr>
        <w:t>obra</w:t>
      </w:r>
      <w:r w:rsidRPr="00DE70DC">
        <w:rPr>
          <w:rFonts w:ascii="Arial" w:eastAsia="Calibri" w:hAnsi="Arial" w:cs="Arial"/>
          <w:bCs/>
          <w:sz w:val="21"/>
          <w:szCs w:val="21"/>
        </w:rPr>
        <w:t xml:space="preserve"> pública de infraestructura de transporte.</w:t>
      </w:r>
    </w:p>
    <w:p w14:paraId="74672927" w14:textId="30584E51" w:rsidR="00AF1ED8" w:rsidRPr="00DE70DC" w:rsidRDefault="00AF1ED8" w:rsidP="00400083">
      <w:pPr>
        <w:pStyle w:val="NormalWeb"/>
        <w:spacing w:before="0" w:beforeAutospacing="0" w:after="0" w:afterAutospacing="0"/>
        <w:ind w:left="709" w:right="709"/>
        <w:jc w:val="both"/>
        <w:rPr>
          <w:rFonts w:ascii="Arial" w:hAnsi="Arial" w:cs="Arial"/>
          <w:bCs/>
          <w:sz w:val="21"/>
          <w:szCs w:val="21"/>
        </w:rPr>
      </w:pPr>
      <w:r w:rsidRPr="00DE70DC">
        <w:rPr>
          <w:rFonts w:ascii="Arial" w:hAnsi="Arial" w:cs="Arial"/>
          <w:bCs/>
          <w:sz w:val="21"/>
          <w:szCs w:val="21"/>
        </w:rPr>
        <w:br/>
      </w:r>
      <w:r w:rsidRPr="00DE70DC">
        <w:rPr>
          <w:rStyle w:val="Textoennegrita"/>
          <w:rFonts w:ascii="Arial" w:hAnsi="Arial" w:cs="Arial"/>
          <w:b w:val="0"/>
          <w:sz w:val="21"/>
          <w:szCs w:val="21"/>
        </w:rPr>
        <w:t>2.2.1.2.6.2.1. </w:t>
      </w:r>
      <w:r w:rsidRPr="00DE70DC">
        <w:rPr>
          <w:rStyle w:val="nfasis"/>
          <w:rFonts w:ascii="Arial" w:hAnsi="Arial" w:cs="Arial"/>
          <w:bCs/>
          <w:i w:val="0"/>
          <w:iCs w:val="0"/>
          <w:sz w:val="21"/>
          <w:szCs w:val="21"/>
        </w:rPr>
        <w:t>Objeto.</w:t>
      </w:r>
      <w:r w:rsidRPr="00DE70DC">
        <w:rPr>
          <w:rStyle w:val="nfasis"/>
          <w:rFonts w:ascii="Arial" w:hAnsi="Arial" w:cs="Arial"/>
          <w:bCs/>
          <w:sz w:val="21"/>
          <w:szCs w:val="21"/>
        </w:rPr>
        <w:t> </w:t>
      </w:r>
      <w:r w:rsidRPr="00DE70DC">
        <w:rPr>
          <w:rFonts w:ascii="Arial" w:hAnsi="Arial" w:cs="Arial"/>
          <w:bCs/>
          <w:sz w:val="21"/>
          <w:szCs w:val="21"/>
        </w:rPr>
        <w:t xml:space="preserve">La presente subsección tiene por objeto adoptar los Documentos Tipo para los pliegos de condiciones de los procesos de </w:t>
      </w:r>
      <w:r w:rsidR="00D9294F" w:rsidRPr="00DE70DC">
        <w:rPr>
          <w:rFonts w:ascii="Arial" w:hAnsi="Arial" w:cs="Arial"/>
          <w:bCs/>
          <w:sz w:val="21"/>
          <w:szCs w:val="21"/>
        </w:rPr>
        <w:t>obra</w:t>
      </w:r>
      <w:r w:rsidRPr="00DE70DC">
        <w:rPr>
          <w:rFonts w:ascii="Arial" w:hAnsi="Arial" w:cs="Arial"/>
          <w:bCs/>
          <w:sz w:val="21"/>
          <w:szCs w:val="21"/>
        </w:rPr>
        <w:t xml:space="preserve"> pública de infraestructura de transporte que se adelanten por la modalidad de selección abreviada de menor cuantía. </w:t>
      </w:r>
    </w:p>
    <w:p w14:paraId="34A2AA1D" w14:textId="77777777" w:rsidR="00AF1ED8" w:rsidRPr="00DE70DC" w:rsidRDefault="00AF1ED8" w:rsidP="00400083">
      <w:pPr>
        <w:pStyle w:val="NormalWeb"/>
        <w:spacing w:before="0" w:beforeAutospacing="0" w:after="0" w:afterAutospacing="0"/>
        <w:ind w:left="709" w:right="709"/>
        <w:jc w:val="both"/>
        <w:rPr>
          <w:rFonts w:ascii="Arial" w:hAnsi="Arial" w:cs="Arial"/>
          <w:bCs/>
          <w:sz w:val="21"/>
          <w:szCs w:val="21"/>
        </w:rPr>
      </w:pPr>
      <w:r w:rsidRPr="00DE70DC">
        <w:rPr>
          <w:rFonts w:ascii="Arial" w:hAnsi="Arial" w:cs="Arial"/>
          <w:bCs/>
          <w:sz w:val="21"/>
          <w:szCs w:val="21"/>
        </w:rPr>
        <w:t>  </w:t>
      </w:r>
    </w:p>
    <w:p w14:paraId="5F64F892" w14:textId="7F0387A2" w:rsidR="00AF1ED8" w:rsidRPr="00DE70DC" w:rsidRDefault="00AF1ED8" w:rsidP="00400083">
      <w:pPr>
        <w:pStyle w:val="NormalWeb"/>
        <w:spacing w:before="0" w:beforeAutospacing="0" w:after="0" w:afterAutospacing="0"/>
        <w:ind w:left="709" w:right="709"/>
        <w:jc w:val="both"/>
        <w:rPr>
          <w:rFonts w:ascii="Arial" w:hAnsi="Arial" w:cs="Arial"/>
          <w:sz w:val="21"/>
          <w:szCs w:val="21"/>
        </w:rPr>
      </w:pPr>
      <w:r w:rsidRPr="00DE70DC">
        <w:rPr>
          <w:rStyle w:val="Textoennegrita"/>
          <w:rFonts w:ascii="Arial" w:hAnsi="Arial" w:cs="Arial"/>
          <w:b w:val="0"/>
          <w:sz w:val="21"/>
          <w:szCs w:val="21"/>
        </w:rPr>
        <w:lastRenderedPageBreak/>
        <w:t>2.2.1.2.6.2.2. </w:t>
      </w:r>
      <w:r w:rsidRPr="00DE70DC">
        <w:rPr>
          <w:rStyle w:val="nfasis"/>
          <w:rFonts w:ascii="Arial" w:hAnsi="Arial" w:cs="Arial"/>
          <w:bCs/>
          <w:i w:val="0"/>
          <w:iCs w:val="0"/>
          <w:sz w:val="21"/>
          <w:szCs w:val="21"/>
        </w:rPr>
        <w:t>Alcance.</w:t>
      </w:r>
      <w:r w:rsidRPr="00DE70DC">
        <w:rPr>
          <w:rStyle w:val="nfasis"/>
          <w:rFonts w:ascii="Arial" w:hAnsi="Arial" w:cs="Arial"/>
          <w:bCs/>
          <w:sz w:val="21"/>
          <w:szCs w:val="21"/>
        </w:rPr>
        <w:t> </w:t>
      </w:r>
      <w:r w:rsidRPr="00DE70DC">
        <w:rPr>
          <w:rFonts w:ascii="Arial" w:hAnsi="Arial" w:cs="Arial"/>
          <w:bCs/>
          <w:sz w:val="21"/>
          <w:szCs w:val="21"/>
        </w:rPr>
        <w:t xml:space="preserve">Los Documentos Tipo contienen parámetros obligatorios para las Entidades sometidas al Estatuto General de Contratación de la Administración Pública que adelanten procesos de selección abreviada de menor cuantía de </w:t>
      </w:r>
      <w:r w:rsidR="00D9294F" w:rsidRPr="00DE70DC">
        <w:rPr>
          <w:rFonts w:ascii="Arial" w:hAnsi="Arial" w:cs="Arial"/>
          <w:bCs/>
          <w:sz w:val="21"/>
          <w:szCs w:val="21"/>
        </w:rPr>
        <w:t>obra</w:t>
      </w:r>
      <w:r w:rsidRPr="00DE70DC">
        <w:rPr>
          <w:rFonts w:ascii="Arial" w:hAnsi="Arial" w:cs="Arial"/>
          <w:bCs/>
          <w:sz w:val="21"/>
          <w:szCs w:val="21"/>
        </w:rPr>
        <w:t xml:space="preserve"> pública de infraestructura de transporte.</w:t>
      </w:r>
    </w:p>
    <w:p w14:paraId="4ED33EF6" w14:textId="77777777" w:rsidR="00946737" w:rsidRPr="00DE70DC" w:rsidRDefault="00946737" w:rsidP="00F81B47">
      <w:pPr>
        <w:ind w:right="709"/>
        <w:jc w:val="both"/>
        <w:rPr>
          <w:rFonts w:ascii="Arial" w:hAnsi="Arial" w:cs="Arial"/>
          <w:sz w:val="21"/>
          <w:szCs w:val="21"/>
          <w:lang w:val="es-ES"/>
        </w:rPr>
      </w:pPr>
    </w:p>
    <w:p w14:paraId="60299F85" w14:textId="6CFF2DB0" w:rsidR="00887B15" w:rsidRPr="00DE70DC" w:rsidRDefault="007E750C" w:rsidP="00F81B47">
      <w:pPr>
        <w:spacing w:after="120" w:line="276" w:lineRule="auto"/>
        <w:ind w:firstLine="709"/>
        <w:jc w:val="both"/>
        <w:rPr>
          <w:rFonts w:ascii="Arial" w:hAnsi="Arial" w:cs="Arial"/>
          <w:sz w:val="22"/>
          <w:lang w:val="es-ES"/>
        </w:rPr>
      </w:pPr>
      <w:r w:rsidRPr="00DE70DC">
        <w:rPr>
          <w:rFonts w:ascii="Arial" w:hAnsi="Arial" w:cs="Arial"/>
          <w:sz w:val="22"/>
          <w:lang w:val="es-ES"/>
        </w:rPr>
        <w:t xml:space="preserve">Actualmente, </w:t>
      </w:r>
      <w:r w:rsidR="00887B15" w:rsidRPr="00DE70DC">
        <w:rPr>
          <w:rFonts w:ascii="Arial" w:hAnsi="Arial" w:cs="Arial"/>
          <w:sz w:val="22"/>
          <w:lang w:val="es-ES"/>
        </w:rPr>
        <w:t xml:space="preserve">los </w:t>
      </w:r>
      <w:r w:rsidR="0083133A" w:rsidRPr="00DE70DC">
        <w:rPr>
          <w:rFonts w:ascii="Arial" w:hAnsi="Arial" w:cs="Arial"/>
          <w:sz w:val="22"/>
          <w:lang w:val="es-ES"/>
        </w:rPr>
        <w:t>«</w:t>
      </w:r>
      <w:r w:rsidR="00887B15" w:rsidRPr="00DE70DC">
        <w:rPr>
          <w:rFonts w:ascii="Arial" w:hAnsi="Arial" w:cs="Arial"/>
          <w:sz w:val="22"/>
          <w:lang w:val="es-ES"/>
        </w:rPr>
        <w:t>Pliegos Tipo</w:t>
      </w:r>
      <w:r w:rsidR="0083133A" w:rsidRPr="00DE70DC">
        <w:rPr>
          <w:rFonts w:ascii="Arial" w:hAnsi="Arial" w:cs="Arial"/>
          <w:sz w:val="22"/>
          <w:lang w:val="es-ES"/>
        </w:rPr>
        <w:t>» son obligatorios</w:t>
      </w:r>
      <w:r w:rsidR="00561510" w:rsidRPr="00DE70DC">
        <w:rPr>
          <w:rFonts w:ascii="Arial" w:hAnsi="Arial" w:cs="Arial"/>
          <w:sz w:val="22"/>
          <w:lang w:val="es-ES"/>
        </w:rPr>
        <w:t xml:space="preserve"> </w:t>
      </w:r>
      <w:r w:rsidRPr="00DE70DC">
        <w:rPr>
          <w:rFonts w:ascii="Arial" w:hAnsi="Arial" w:cs="Arial"/>
          <w:sz w:val="22"/>
          <w:lang w:val="es-ES"/>
        </w:rPr>
        <w:t>en los</w:t>
      </w:r>
      <w:r w:rsidR="00887B15" w:rsidRPr="00DE70DC">
        <w:rPr>
          <w:rFonts w:ascii="Arial" w:hAnsi="Arial" w:cs="Arial"/>
          <w:sz w:val="22"/>
          <w:lang w:val="es-ES"/>
        </w:rPr>
        <w:t xml:space="preserve"> </w:t>
      </w:r>
      <w:r w:rsidR="0083133A" w:rsidRPr="00DE70DC">
        <w:rPr>
          <w:rFonts w:ascii="Arial" w:hAnsi="Arial" w:cs="Arial"/>
          <w:sz w:val="22"/>
          <w:lang w:val="es-ES"/>
        </w:rPr>
        <w:t>p</w:t>
      </w:r>
      <w:r w:rsidR="001B4A46" w:rsidRPr="00DE70DC">
        <w:rPr>
          <w:rFonts w:ascii="Arial" w:hAnsi="Arial" w:cs="Arial"/>
          <w:sz w:val="22"/>
          <w:lang w:val="es-ES"/>
        </w:rPr>
        <w:t xml:space="preserve">rocesos de </w:t>
      </w:r>
      <w:r w:rsidR="0083133A" w:rsidRPr="00DE70DC">
        <w:rPr>
          <w:rFonts w:ascii="Arial" w:hAnsi="Arial" w:cs="Arial"/>
          <w:sz w:val="22"/>
          <w:lang w:val="es-ES"/>
        </w:rPr>
        <w:t>c</w:t>
      </w:r>
      <w:r w:rsidR="001B4A46" w:rsidRPr="00DE70DC">
        <w:rPr>
          <w:rFonts w:ascii="Arial" w:hAnsi="Arial" w:cs="Arial"/>
          <w:sz w:val="22"/>
          <w:lang w:val="es-ES"/>
        </w:rPr>
        <w:t>ontratación</w:t>
      </w:r>
      <w:r w:rsidR="00DE1FEF" w:rsidRPr="00DE70DC">
        <w:rPr>
          <w:rFonts w:ascii="Arial" w:hAnsi="Arial" w:cs="Arial"/>
          <w:sz w:val="22"/>
          <w:lang w:val="es-ES"/>
        </w:rPr>
        <w:t xml:space="preserve"> que tengan por objeto </w:t>
      </w:r>
      <w:r w:rsidR="00D9294F" w:rsidRPr="00DE70DC">
        <w:rPr>
          <w:rFonts w:ascii="Arial" w:hAnsi="Arial" w:cs="Arial"/>
          <w:sz w:val="22"/>
          <w:lang w:val="es-ES"/>
        </w:rPr>
        <w:t>obra</w:t>
      </w:r>
      <w:r w:rsidR="00DE1FEF" w:rsidRPr="00DE70DC">
        <w:rPr>
          <w:rFonts w:ascii="Arial" w:hAnsi="Arial" w:cs="Arial"/>
          <w:sz w:val="22"/>
          <w:lang w:val="es-ES"/>
        </w:rPr>
        <w:t>s de infraestructura pública</w:t>
      </w:r>
      <w:r w:rsidR="007656E6" w:rsidRPr="00DE70DC">
        <w:rPr>
          <w:rFonts w:ascii="Arial" w:hAnsi="Arial" w:cs="Arial"/>
          <w:sz w:val="22"/>
          <w:lang w:val="es-ES"/>
        </w:rPr>
        <w:t xml:space="preserve"> de transporte,</w:t>
      </w:r>
      <w:r w:rsidR="00DE1FEF" w:rsidRPr="00DE70DC">
        <w:rPr>
          <w:rFonts w:ascii="Arial" w:hAnsi="Arial" w:cs="Arial"/>
          <w:sz w:val="22"/>
          <w:lang w:val="es-ES"/>
        </w:rPr>
        <w:t xml:space="preserve"> </w:t>
      </w:r>
      <w:r w:rsidR="001B4A46" w:rsidRPr="00DE70DC">
        <w:rPr>
          <w:rFonts w:ascii="Arial" w:hAnsi="Arial" w:cs="Arial"/>
          <w:sz w:val="22"/>
          <w:lang w:val="es-ES"/>
        </w:rPr>
        <w:t>adelantados en la modalidad</w:t>
      </w:r>
      <w:r w:rsidR="00BA549C" w:rsidRPr="00DE70DC">
        <w:rPr>
          <w:rFonts w:ascii="Arial" w:hAnsi="Arial" w:cs="Arial"/>
          <w:sz w:val="22"/>
          <w:lang w:val="es-ES"/>
        </w:rPr>
        <w:t xml:space="preserve"> de selección</w:t>
      </w:r>
      <w:r w:rsidR="00887B15" w:rsidRPr="00DE70DC">
        <w:rPr>
          <w:rFonts w:ascii="Arial" w:hAnsi="Arial" w:cs="Arial"/>
          <w:sz w:val="22"/>
          <w:lang w:val="es-ES"/>
        </w:rPr>
        <w:t xml:space="preserve"> de licitación pública</w:t>
      </w:r>
      <w:r w:rsidRPr="00DE70DC">
        <w:rPr>
          <w:rFonts w:ascii="Arial" w:hAnsi="Arial" w:cs="Arial"/>
          <w:sz w:val="22"/>
          <w:lang w:val="es-ES"/>
        </w:rPr>
        <w:t xml:space="preserve"> o selección abreviada </w:t>
      </w:r>
      <w:r w:rsidR="008617E0" w:rsidRPr="00DE70DC">
        <w:rPr>
          <w:rFonts w:ascii="Arial" w:hAnsi="Arial" w:cs="Arial"/>
          <w:sz w:val="22"/>
          <w:lang w:val="es-ES"/>
        </w:rPr>
        <w:t>de</w:t>
      </w:r>
      <w:r w:rsidRPr="00DE70DC">
        <w:rPr>
          <w:rFonts w:ascii="Arial" w:hAnsi="Arial" w:cs="Arial"/>
          <w:sz w:val="22"/>
          <w:lang w:val="es-ES"/>
        </w:rPr>
        <w:t xml:space="preserve"> menor cuantía</w:t>
      </w:r>
      <w:r w:rsidR="00887B15" w:rsidRPr="00DE70DC">
        <w:rPr>
          <w:rFonts w:ascii="Arial" w:hAnsi="Arial" w:cs="Arial"/>
          <w:sz w:val="22"/>
          <w:lang w:val="es-ES"/>
        </w:rPr>
        <w:t xml:space="preserve">, </w:t>
      </w:r>
      <w:r w:rsidR="0049505C" w:rsidRPr="00DE70DC">
        <w:rPr>
          <w:rFonts w:ascii="Arial" w:hAnsi="Arial" w:cs="Arial"/>
          <w:sz w:val="22"/>
          <w:lang w:val="es-ES"/>
        </w:rPr>
        <w:t xml:space="preserve">sin perjuicio </w:t>
      </w:r>
      <w:r w:rsidR="00887B15" w:rsidRPr="00DE70DC">
        <w:rPr>
          <w:rFonts w:ascii="Arial" w:hAnsi="Arial" w:cs="Arial"/>
          <w:sz w:val="22"/>
          <w:lang w:val="es-ES"/>
        </w:rPr>
        <w:t xml:space="preserve">que en el futuro se extienda la obligación </w:t>
      </w:r>
      <w:r w:rsidR="000E1761" w:rsidRPr="00DE70DC">
        <w:rPr>
          <w:rFonts w:ascii="Arial" w:hAnsi="Arial" w:cs="Arial"/>
          <w:sz w:val="22"/>
          <w:lang w:val="es-ES"/>
        </w:rPr>
        <w:t>implementarlos en</w:t>
      </w:r>
      <w:r w:rsidR="00887B15" w:rsidRPr="00DE70DC">
        <w:rPr>
          <w:rFonts w:ascii="Arial" w:hAnsi="Arial" w:cs="Arial"/>
          <w:sz w:val="22"/>
          <w:lang w:val="es-ES"/>
        </w:rPr>
        <w:t xml:space="preserve"> otras modalidades de selección en los términos del parágrafo 7 del artículo 2º de la Ley 1150 de 2007</w:t>
      </w:r>
      <w:r w:rsidR="00973F55" w:rsidRPr="00DE70DC">
        <w:rPr>
          <w:rFonts w:ascii="Arial" w:hAnsi="Arial" w:cs="Arial"/>
          <w:sz w:val="22"/>
          <w:lang w:val="es-ES"/>
        </w:rPr>
        <w:t>.</w:t>
      </w:r>
    </w:p>
    <w:p w14:paraId="650FBC2D" w14:textId="2B9B7417" w:rsidR="00420D01" w:rsidRPr="00DE70DC" w:rsidRDefault="00420D01" w:rsidP="00F81B47">
      <w:pPr>
        <w:spacing w:after="120" w:line="276" w:lineRule="auto"/>
        <w:ind w:firstLine="709"/>
        <w:jc w:val="both"/>
        <w:rPr>
          <w:rFonts w:ascii="Arial" w:eastAsia="Calibri" w:hAnsi="Arial" w:cs="Arial"/>
          <w:bCs/>
          <w:sz w:val="22"/>
        </w:rPr>
      </w:pPr>
      <w:r w:rsidRPr="00DE70DC">
        <w:rPr>
          <w:rFonts w:ascii="Arial" w:hAnsi="Arial" w:cs="Arial"/>
          <w:sz w:val="22"/>
          <w:lang w:val="es-ES"/>
        </w:rPr>
        <w:t xml:space="preserve">A su vez, </w:t>
      </w:r>
      <w:r w:rsidRPr="00DE70DC">
        <w:rPr>
          <w:rFonts w:ascii="Arial" w:eastAsia="Calibri" w:hAnsi="Arial" w:cs="Arial"/>
          <w:bCs/>
          <w:sz w:val="22"/>
        </w:rPr>
        <w:t xml:space="preserve">los Decretos 342 de 2019 y 2096 de 2019 </w:t>
      </w:r>
      <w:r w:rsidR="000E1761" w:rsidRPr="00DE70DC">
        <w:rPr>
          <w:rFonts w:ascii="Arial" w:eastAsia="Calibri" w:hAnsi="Arial" w:cs="Arial"/>
          <w:bCs/>
          <w:sz w:val="22"/>
        </w:rPr>
        <w:t xml:space="preserve">disponen que a </w:t>
      </w:r>
      <w:r w:rsidR="00254319" w:rsidRPr="00DE70DC">
        <w:rPr>
          <w:rFonts w:ascii="Arial" w:eastAsia="Calibri" w:hAnsi="Arial" w:cs="Arial"/>
          <w:bCs/>
          <w:sz w:val="22"/>
        </w:rPr>
        <w:t>la Agencia Nacional de Contratación Pública ─ Colombia Compra Eficiente, en coordinación con el Departamento Nacional de Planeación (DNP) y el Ministerio de Transpor</w:t>
      </w:r>
      <w:r w:rsidR="001900CF" w:rsidRPr="00DE70DC">
        <w:rPr>
          <w:rFonts w:ascii="Arial" w:eastAsia="Calibri" w:hAnsi="Arial" w:cs="Arial"/>
          <w:bCs/>
          <w:sz w:val="22"/>
        </w:rPr>
        <w:t>te,</w:t>
      </w:r>
      <w:r w:rsidR="000E1761" w:rsidRPr="00DE70DC">
        <w:rPr>
          <w:rFonts w:ascii="Arial" w:eastAsia="Calibri" w:hAnsi="Arial" w:cs="Arial"/>
          <w:bCs/>
          <w:sz w:val="22"/>
        </w:rPr>
        <w:t xml:space="preserve"> corresponde</w:t>
      </w:r>
      <w:r w:rsidR="001900CF" w:rsidRPr="00DE70DC">
        <w:rPr>
          <w:rFonts w:ascii="Arial" w:eastAsia="Calibri" w:hAnsi="Arial" w:cs="Arial"/>
          <w:bCs/>
          <w:sz w:val="22"/>
        </w:rPr>
        <w:t xml:space="preserve"> el desarrollo e imp</w:t>
      </w:r>
      <w:r w:rsidR="00285D7E" w:rsidRPr="00DE70DC">
        <w:rPr>
          <w:rFonts w:ascii="Arial" w:eastAsia="Calibri" w:hAnsi="Arial" w:cs="Arial"/>
          <w:bCs/>
          <w:sz w:val="22"/>
        </w:rPr>
        <w:t xml:space="preserve">lementación de los </w:t>
      </w:r>
      <w:r w:rsidR="000E1761" w:rsidRPr="00DE70DC">
        <w:rPr>
          <w:rFonts w:ascii="Arial" w:eastAsia="Calibri" w:hAnsi="Arial" w:cs="Arial"/>
          <w:bCs/>
          <w:sz w:val="22"/>
        </w:rPr>
        <w:t>d</w:t>
      </w:r>
      <w:r w:rsidR="00285D7E" w:rsidRPr="00DE70DC">
        <w:rPr>
          <w:rFonts w:ascii="Arial" w:eastAsia="Calibri" w:hAnsi="Arial" w:cs="Arial"/>
          <w:bCs/>
          <w:sz w:val="22"/>
        </w:rPr>
        <w:t xml:space="preserve">ocumentos </w:t>
      </w:r>
      <w:r w:rsidR="000E1761" w:rsidRPr="00DE70DC">
        <w:rPr>
          <w:rFonts w:ascii="Arial" w:eastAsia="Calibri" w:hAnsi="Arial" w:cs="Arial"/>
          <w:bCs/>
          <w:sz w:val="22"/>
        </w:rPr>
        <w:t>t</w:t>
      </w:r>
      <w:r w:rsidR="00285D7E" w:rsidRPr="00DE70DC">
        <w:rPr>
          <w:rFonts w:ascii="Arial" w:eastAsia="Calibri" w:hAnsi="Arial" w:cs="Arial"/>
          <w:bCs/>
          <w:sz w:val="22"/>
        </w:rPr>
        <w:t xml:space="preserve">ipo para </w:t>
      </w:r>
      <w:r w:rsidR="00426EEE" w:rsidRPr="00DE70DC">
        <w:rPr>
          <w:rFonts w:ascii="Arial" w:eastAsia="Calibri" w:hAnsi="Arial" w:cs="Arial"/>
          <w:bCs/>
          <w:sz w:val="22"/>
        </w:rPr>
        <w:t xml:space="preserve">la contratación de </w:t>
      </w:r>
      <w:r w:rsidR="00D9294F" w:rsidRPr="00DE70DC">
        <w:rPr>
          <w:rFonts w:ascii="Arial" w:eastAsia="Calibri" w:hAnsi="Arial" w:cs="Arial"/>
          <w:bCs/>
          <w:sz w:val="22"/>
        </w:rPr>
        <w:t>obra</w:t>
      </w:r>
      <w:r w:rsidR="00426EEE" w:rsidRPr="00DE70DC">
        <w:rPr>
          <w:rFonts w:ascii="Arial" w:eastAsia="Calibri" w:hAnsi="Arial" w:cs="Arial"/>
          <w:bCs/>
          <w:sz w:val="22"/>
        </w:rPr>
        <w:t>s de infraestructura pública de transporte</w:t>
      </w:r>
      <w:r w:rsidR="000136DC" w:rsidRPr="00DE70DC">
        <w:rPr>
          <w:rFonts w:ascii="Arial" w:eastAsia="Calibri" w:hAnsi="Arial" w:cs="Arial"/>
          <w:bCs/>
          <w:sz w:val="22"/>
        </w:rPr>
        <w:t>,</w:t>
      </w:r>
      <w:r w:rsidR="00956E82" w:rsidRPr="00DE70DC">
        <w:rPr>
          <w:rFonts w:ascii="Arial" w:eastAsia="Calibri" w:hAnsi="Arial" w:cs="Arial"/>
          <w:bCs/>
          <w:sz w:val="22"/>
        </w:rPr>
        <w:t xml:space="preserve"> en las modalidades de selección mencionadas</w:t>
      </w:r>
      <w:r w:rsidR="0090136A" w:rsidRPr="00DE70DC">
        <w:rPr>
          <w:rFonts w:ascii="Arial" w:eastAsia="Calibri" w:hAnsi="Arial" w:cs="Arial"/>
          <w:bCs/>
          <w:sz w:val="22"/>
        </w:rPr>
        <w:t>, habida consideración de los parámetros allí mismo establecidos para tal efecto.</w:t>
      </w:r>
    </w:p>
    <w:p w14:paraId="5B1CE370" w14:textId="30727B82" w:rsidR="00956E82" w:rsidRPr="00DE70DC" w:rsidRDefault="0007590A" w:rsidP="002146C0">
      <w:pPr>
        <w:spacing w:after="120" w:line="276" w:lineRule="auto"/>
        <w:ind w:firstLine="709"/>
        <w:jc w:val="both"/>
        <w:rPr>
          <w:rFonts w:ascii="Arial" w:hAnsi="Arial" w:cs="Arial"/>
          <w:sz w:val="22"/>
          <w:lang w:val="es-ES"/>
        </w:rPr>
      </w:pPr>
      <w:r w:rsidRPr="00DE70DC">
        <w:rPr>
          <w:rFonts w:ascii="Arial" w:hAnsi="Arial" w:cs="Arial"/>
          <w:sz w:val="22"/>
          <w:lang w:val="es-ES"/>
        </w:rPr>
        <w:t>En cump</w:t>
      </w:r>
      <w:r w:rsidR="0090136A" w:rsidRPr="00DE70DC">
        <w:rPr>
          <w:rFonts w:ascii="Arial" w:hAnsi="Arial" w:cs="Arial"/>
          <w:sz w:val="22"/>
          <w:lang w:val="es-ES"/>
        </w:rPr>
        <w:t xml:space="preserve">limiento de esa obligación, esta </w:t>
      </w:r>
      <w:r w:rsidR="005D3445" w:rsidRPr="00DE70DC">
        <w:rPr>
          <w:rFonts w:ascii="Arial" w:hAnsi="Arial" w:cs="Arial"/>
          <w:sz w:val="22"/>
          <w:lang w:val="es-ES"/>
        </w:rPr>
        <w:t xml:space="preserve">entidad pública profirió </w:t>
      </w:r>
      <w:r w:rsidR="00910B86" w:rsidRPr="00DE70DC">
        <w:rPr>
          <w:rFonts w:ascii="Arial" w:hAnsi="Arial" w:cs="Arial"/>
          <w:sz w:val="22"/>
          <w:lang w:val="es-ES"/>
        </w:rPr>
        <w:t xml:space="preserve">las Resoluciones </w:t>
      </w:r>
      <w:r w:rsidR="000E1761" w:rsidRPr="00DE70DC">
        <w:rPr>
          <w:rFonts w:ascii="Arial" w:hAnsi="Arial" w:cs="Arial"/>
          <w:sz w:val="22"/>
          <w:lang w:val="es-ES"/>
        </w:rPr>
        <w:t xml:space="preserve">No. </w:t>
      </w:r>
      <w:r w:rsidR="004252E8" w:rsidRPr="00DE70DC">
        <w:rPr>
          <w:rFonts w:ascii="Arial" w:hAnsi="Arial" w:cs="Arial"/>
          <w:sz w:val="22"/>
          <w:lang w:val="es-ES"/>
        </w:rPr>
        <w:t>1798 de 2019</w:t>
      </w:r>
      <w:r w:rsidR="00E5557F" w:rsidRPr="00DE70DC">
        <w:rPr>
          <w:rStyle w:val="Refdenotaalpie"/>
          <w:rFonts w:ascii="Arial" w:hAnsi="Arial" w:cs="Arial"/>
          <w:sz w:val="22"/>
          <w:lang w:val="es-ES"/>
        </w:rPr>
        <w:footnoteReference w:id="5"/>
      </w:r>
      <w:r w:rsidR="000E1761" w:rsidRPr="00DE70DC">
        <w:rPr>
          <w:rFonts w:ascii="Arial" w:hAnsi="Arial" w:cs="Arial"/>
          <w:sz w:val="22"/>
          <w:lang w:val="es-ES"/>
        </w:rPr>
        <w:t>,</w:t>
      </w:r>
      <w:r w:rsidR="004252E8" w:rsidRPr="00DE70DC">
        <w:rPr>
          <w:rFonts w:ascii="Arial" w:hAnsi="Arial" w:cs="Arial"/>
          <w:sz w:val="22"/>
          <w:lang w:val="es-ES"/>
        </w:rPr>
        <w:t xml:space="preserve"> «</w:t>
      </w:r>
      <w:r w:rsidR="001F1AFA" w:rsidRPr="00DE70DC">
        <w:rPr>
          <w:rFonts w:ascii="Arial" w:hAnsi="Arial" w:cs="Arial"/>
          <w:sz w:val="22"/>
          <w:lang w:val="es-ES"/>
        </w:rPr>
        <w:t xml:space="preserve">Por la cual se desarrollan e implementan los Documentos Tipo para los procesos de selección de licitación de </w:t>
      </w:r>
      <w:r w:rsidR="00D9294F" w:rsidRPr="00DE70DC">
        <w:rPr>
          <w:rFonts w:ascii="Arial" w:hAnsi="Arial" w:cs="Arial"/>
          <w:sz w:val="22"/>
          <w:lang w:val="es-ES"/>
        </w:rPr>
        <w:t>obra</w:t>
      </w:r>
      <w:r w:rsidR="001F1AFA" w:rsidRPr="00DE70DC">
        <w:rPr>
          <w:rFonts w:ascii="Arial" w:hAnsi="Arial" w:cs="Arial"/>
          <w:sz w:val="22"/>
          <w:lang w:val="es-ES"/>
        </w:rPr>
        <w:t xml:space="preserve"> pública de infraestructura de transporte», </w:t>
      </w:r>
      <w:r w:rsidR="0040059A" w:rsidRPr="00DE70DC">
        <w:rPr>
          <w:rFonts w:ascii="Arial" w:hAnsi="Arial" w:cs="Arial"/>
          <w:sz w:val="22"/>
          <w:lang w:val="es-ES"/>
        </w:rPr>
        <w:t>0044 de 2020</w:t>
      </w:r>
      <w:r w:rsidR="008D76C2" w:rsidRPr="00DE70DC">
        <w:rPr>
          <w:rStyle w:val="Refdenotaalpie"/>
          <w:rFonts w:ascii="Arial" w:hAnsi="Arial" w:cs="Arial"/>
          <w:sz w:val="22"/>
          <w:lang w:val="es-ES"/>
        </w:rPr>
        <w:footnoteReference w:id="6"/>
      </w:r>
      <w:r w:rsidR="000E1761" w:rsidRPr="00DE70DC">
        <w:rPr>
          <w:rFonts w:ascii="Arial" w:hAnsi="Arial" w:cs="Arial"/>
          <w:sz w:val="22"/>
          <w:lang w:val="es-ES"/>
        </w:rPr>
        <w:t>,</w:t>
      </w:r>
      <w:r w:rsidR="0040059A" w:rsidRPr="00DE70DC">
        <w:rPr>
          <w:rFonts w:ascii="Arial" w:hAnsi="Arial" w:cs="Arial"/>
          <w:sz w:val="22"/>
          <w:lang w:val="es-ES"/>
        </w:rPr>
        <w:t xml:space="preserve"> «Por la cual se desarrollan e implementan los Documentos Tipo para los pliegos de condiciones de los procesos de infraestructura de transporte que se adelanten por la modalidad de selección abreviada de menor cuantía»</w:t>
      </w:r>
      <w:r w:rsidR="002146C0" w:rsidRPr="00DE70DC">
        <w:rPr>
          <w:rFonts w:ascii="Arial" w:hAnsi="Arial" w:cs="Arial"/>
          <w:sz w:val="22"/>
          <w:lang w:val="es-ES"/>
        </w:rPr>
        <w:t xml:space="preserve">, y </w:t>
      </w:r>
      <w:r w:rsidR="00F24361" w:rsidRPr="00DE70DC">
        <w:rPr>
          <w:rFonts w:ascii="Arial" w:hAnsi="Arial" w:cs="Arial"/>
          <w:sz w:val="22"/>
          <w:lang w:val="es-ES"/>
        </w:rPr>
        <w:t>0</w:t>
      </w:r>
      <w:r w:rsidR="002146C0" w:rsidRPr="00DE70DC">
        <w:rPr>
          <w:rFonts w:ascii="Arial" w:hAnsi="Arial" w:cs="Arial"/>
          <w:sz w:val="22"/>
          <w:lang w:val="es-ES"/>
        </w:rPr>
        <w:t>045 de 2020</w:t>
      </w:r>
      <w:r w:rsidR="004B219E" w:rsidRPr="00DE70DC">
        <w:rPr>
          <w:rStyle w:val="Refdenotaalpie"/>
          <w:rFonts w:ascii="Arial" w:hAnsi="Arial" w:cs="Arial"/>
          <w:sz w:val="22"/>
          <w:lang w:val="es-ES"/>
        </w:rPr>
        <w:footnoteReference w:id="7"/>
      </w:r>
      <w:r w:rsidR="000E1761" w:rsidRPr="00DE70DC">
        <w:rPr>
          <w:rFonts w:ascii="Arial" w:hAnsi="Arial" w:cs="Arial"/>
          <w:sz w:val="22"/>
          <w:lang w:val="es-ES"/>
        </w:rPr>
        <w:t>,</w:t>
      </w:r>
      <w:r w:rsidR="002146C0" w:rsidRPr="00DE70DC">
        <w:rPr>
          <w:rFonts w:ascii="Arial" w:hAnsi="Arial" w:cs="Arial"/>
          <w:sz w:val="22"/>
          <w:lang w:val="es-ES"/>
        </w:rPr>
        <w:t xml:space="preserve"> «Por la cual se actualizan los Documentos Tipo para los procesos de selección de licitación de </w:t>
      </w:r>
      <w:r w:rsidR="00D9294F" w:rsidRPr="00DE70DC">
        <w:rPr>
          <w:rFonts w:ascii="Arial" w:hAnsi="Arial" w:cs="Arial"/>
          <w:sz w:val="22"/>
          <w:lang w:val="es-ES"/>
        </w:rPr>
        <w:t>obra</w:t>
      </w:r>
      <w:r w:rsidR="002146C0" w:rsidRPr="00DE70DC">
        <w:rPr>
          <w:rFonts w:ascii="Arial" w:hAnsi="Arial" w:cs="Arial"/>
          <w:sz w:val="22"/>
          <w:lang w:val="es-ES"/>
        </w:rPr>
        <w:t xml:space="preserve"> púb</w:t>
      </w:r>
      <w:r w:rsidR="00F24361" w:rsidRPr="00DE70DC">
        <w:rPr>
          <w:rFonts w:ascii="Arial" w:hAnsi="Arial" w:cs="Arial"/>
          <w:sz w:val="22"/>
          <w:lang w:val="es-ES"/>
        </w:rPr>
        <w:t>l</w:t>
      </w:r>
      <w:r w:rsidR="002146C0" w:rsidRPr="00DE70DC">
        <w:rPr>
          <w:rFonts w:ascii="Arial" w:hAnsi="Arial" w:cs="Arial"/>
          <w:sz w:val="22"/>
          <w:lang w:val="es-ES"/>
        </w:rPr>
        <w:t>ica de</w:t>
      </w:r>
      <w:r w:rsidR="00F24361" w:rsidRPr="00DE70DC">
        <w:rPr>
          <w:rFonts w:ascii="Arial" w:hAnsi="Arial" w:cs="Arial"/>
          <w:sz w:val="22"/>
          <w:lang w:val="es-ES"/>
        </w:rPr>
        <w:t xml:space="preserve"> </w:t>
      </w:r>
      <w:r w:rsidR="002146C0" w:rsidRPr="00DE70DC">
        <w:rPr>
          <w:rFonts w:ascii="Arial" w:hAnsi="Arial" w:cs="Arial"/>
          <w:sz w:val="22"/>
          <w:lang w:val="es-ES"/>
        </w:rPr>
        <w:t>infraestructura de transporte y se deroga la Resolución 17</w:t>
      </w:r>
      <w:r w:rsidR="00F24361" w:rsidRPr="00DE70DC">
        <w:rPr>
          <w:rFonts w:ascii="Arial" w:hAnsi="Arial" w:cs="Arial"/>
          <w:sz w:val="22"/>
          <w:lang w:val="es-ES"/>
        </w:rPr>
        <w:t>9</w:t>
      </w:r>
      <w:r w:rsidR="002146C0" w:rsidRPr="00DE70DC">
        <w:rPr>
          <w:rFonts w:ascii="Arial" w:hAnsi="Arial" w:cs="Arial"/>
          <w:sz w:val="22"/>
          <w:lang w:val="es-ES"/>
        </w:rPr>
        <w:t>8 de 201</w:t>
      </w:r>
      <w:r w:rsidR="00F24361" w:rsidRPr="00DE70DC">
        <w:rPr>
          <w:rFonts w:ascii="Arial" w:hAnsi="Arial" w:cs="Arial"/>
          <w:sz w:val="22"/>
          <w:lang w:val="es-ES"/>
        </w:rPr>
        <w:t>9»</w:t>
      </w:r>
      <w:r w:rsidR="00F608B9" w:rsidRPr="00DE70DC">
        <w:rPr>
          <w:rFonts w:ascii="Arial" w:hAnsi="Arial" w:cs="Arial"/>
          <w:sz w:val="22"/>
          <w:lang w:val="es-ES"/>
        </w:rPr>
        <w:t>.</w:t>
      </w:r>
    </w:p>
    <w:p w14:paraId="1BD2C783" w14:textId="7B1B6BA0" w:rsidR="00EE4DB7" w:rsidRPr="00DE70DC" w:rsidRDefault="00A305CD" w:rsidP="004D3473">
      <w:pPr>
        <w:spacing w:before="120" w:line="276" w:lineRule="auto"/>
        <w:ind w:firstLine="709"/>
        <w:jc w:val="both"/>
        <w:rPr>
          <w:rFonts w:ascii="Arial" w:hAnsi="Arial" w:cs="Arial"/>
          <w:sz w:val="22"/>
          <w:lang w:val="es-ES"/>
        </w:rPr>
      </w:pPr>
      <w:r w:rsidRPr="00DE70DC">
        <w:rPr>
          <w:rFonts w:ascii="Arial" w:hAnsi="Arial" w:cs="Arial"/>
          <w:sz w:val="22"/>
          <w:lang w:val="es-ES"/>
        </w:rPr>
        <w:t xml:space="preserve">En esos actos administrativos, </w:t>
      </w:r>
      <w:r w:rsidR="00E3090F" w:rsidRPr="00DE70DC">
        <w:rPr>
          <w:rFonts w:ascii="Arial" w:hAnsi="Arial" w:cs="Arial"/>
          <w:sz w:val="22"/>
          <w:lang w:val="es-ES"/>
        </w:rPr>
        <w:t>Colombia Compra Eficiente</w:t>
      </w:r>
      <w:r w:rsidR="005C5A22" w:rsidRPr="00DE70DC">
        <w:rPr>
          <w:rFonts w:ascii="Arial" w:hAnsi="Arial" w:cs="Arial"/>
          <w:sz w:val="22"/>
          <w:lang w:val="es-ES"/>
        </w:rPr>
        <w:t xml:space="preserve"> </w:t>
      </w:r>
      <w:r w:rsidR="000E1761" w:rsidRPr="00DE70DC">
        <w:rPr>
          <w:rFonts w:ascii="Arial" w:hAnsi="Arial" w:cs="Arial"/>
          <w:sz w:val="22"/>
          <w:lang w:val="es-ES"/>
        </w:rPr>
        <w:t>–</w:t>
      </w:r>
      <w:r w:rsidR="005C5A22" w:rsidRPr="00DE70DC">
        <w:rPr>
          <w:rFonts w:ascii="Arial" w:hAnsi="Arial" w:cs="Arial"/>
          <w:sz w:val="22"/>
          <w:lang w:val="es-ES"/>
        </w:rPr>
        <w:t>ad</w:t>
      </w:r>
      <w:r w:rsidR="00FF66DD" w:rsidRPr="00DE70DC">
        <w:rPr>
          <w:rFonts w:ascii="Arial" w:hAnsi="Arial" w:cs="Arial"/>
          <w:sz w:val="22"/>
          <w:lang w:val="es-ES"/>
        </w:rPr>
        <w:t xml:space="preserve">emás de implementar </w:t>
      </w:r>
      <w:r w:rsidR="00E9754A" w:rsidRPr="00DE70DC">
        <w:rPr>
          <w:rFonts w:ascii="Arial" w:hAnsi="Arial" w:cs="Arial"/>
          <w:sz w:val="22"/>
          <w:lang w:val="es-ES"/>
        </w:rPr>
        <w:t>los pliegos de condiciones</w:t>
      </w:r>
      <w:r w:rsidR="00124E73" w:rsidRPr="00DE70DC">
        <w:rPr>
          <w:rFonts w:ascii="Arial" w:hAnsi="Arial" w:cs="Arial"/>
          <w:sz w:val="22"/>
          <w:lang w:val="es-ES"/>
        </w:rPr>
        <w:t xml:space="preserve"> correspondiente</w:t>
      </w:r>
      <w:r w:rsidR="00313D9F" w:rsidRPr="00DE70DC">
        <w:rPr>
          <w:rFonts w:ascii="Arial" w:hAnsi="Arial" w:cs="Arial"/>
          <w:sz w:val="22"/>
          <w:lang w:val="es-ES"/>
        </w:rPr>
        <w:t>s</w:t>
      </w:r>
      <w:r w:rsidR="00124E73" w:rsidRPr="00DE70DC">
        <w:rPr>
          <w:rFonts w:ascii="Arial" w:hAnsi="Arial" w:cs="Arial"/>
          <w:sz w:val="22"/>
          <w:lang w:val="es-ES"/>
        </w:rPr>
        <w:t xml:space="preserve"> a las modalidades </w:t>
      </w:r>
      <w:r w:rsidR="007C7638" w:rsidRPr="00DE70DC">
        <w:rPr>
          <w:rFonts w:ascii="Arial" w:hAnsi="Arial" w:cs="Arial"/>
          <w:sz w:val="22"/>
          <w:lang w:val="es-ES"/>
        </w:rPr>
        <w:t>de selección citadas,</w:t>
      </w:r>
      <w:r w:rsidR="00AD47FB" w:rsidRPr="00DE70DC">
        <w:rPr>
          <w:rFonts w:ascii="Arial" w:hAnsi="Arial" w:cs="Arial"/>
          <w:sz w:val="22"/>
          <w:lang w:val="es-ES"/>
        </w:rPr>
        <w:t xml:space="preserve"> </w:t>
      </w:r>
      <w:r w:rsidR="003E5505" w:rsidRPr="00DE70DC">
        <w:rPr>
          <w:rFonts w:ascii="Arial" w:hAnsi="Arial" w:cs="Arial"/>
          <w:sz w:val="22"/>
          <w:lang w:val="es-ES"/>
        </w:rPr>
        <w:t>sus anexos, formatos, matrices y formularios</w:t>
      </w:r>
      <w:r w:rsidR="000E1761" w:rsidRPr="00DE70DC">
        <w:rPr>
          <w:rFonts w:ascii="Arial" w:hAnsi="Arial" w:cs="Arial"/>
          <w:sz w:val="22"/>
          <w:lang w:val="es-ES"/>
        </w:rPr>
        <w:t>–</w:t>
      </w:r>
      <w:r w:rsidR="00E60196" w:rsidRPr="00DE70DC">
        <w:rPr>
          <w:rFonts w:ascii="Arial" w:hAnsi="Arial" w:cs="Arial"/>
          <w:sz w:val="22"/>
          <w:lang w:val="es-ES"/>
        </w:rPr>
        <w:t xml:space="preserve"> también</w:t>
      </w:r>
      <w:r w:rsidR="00411B85" w:rsidRPr="00DE70DC">
        <w:rPr>
          <w:rFonts w:ascii="Arial" w:hAnsi="Arial" w:cs="Arial"/>
          <w:sz w:val="22"/>
          <w:lang w:val="es-ES"/>
        </w:rPr>
        <w:t xml:space="preserve"> precisó su alcance</w:t>
      </w:r>
      <w:r w:rsidR="00337299" w:rsidRPr="00DE70DC">
        <w:rPr>
          <w:rFonts w:ascii="Arial" w:hAnsi="Arial" w:cs="Arial"/>
          <w:sz w:val="22"/>
          <w:lang w:val="es-ES"/>
        </w:rPr>
        <w:t>,</w:t>
      </w:r>
      <w:r w:rsidR="008927A8" w:rsidRPr="00DE70DC">
        <w:rPr>
          <w:rFonts w:ascii="Arial" w:hAnsi="Arial" w:cs="Arial"/>
          <w:sz w:val="22"/>
          <w:lang w:val="es-ES"/>
        </w:rPr>
        <w:t xml:space="preserve"> señalando que l</w:t>
      </w:r>
      <w:r w:rsidR="00DE0618" w:rsidRPr="00DE70DC">
        <w:rPr>
          <w:rFonts w:ascii="Arial" w:hAnsi="Arial" w:cs="Arial"/>
          <w:sz w:val="22"/>
          <w:lang w:val="es-ES"/>
        </w:rPr>
        <w:t xml:space="preserve">as </w:t>
      </w:r>
      <w:r w:rsidR="00841639" w:rsidRPr="00DE70DC">
        <w:rPr>
          <w:rFonts w:ascii="Arial" w:hAnsi="Arial" w:cs="Arial"/>
          <w:sz w:val="22"/>
          <w:lang w:val="es-ES"/>
        </w:rPr>
        <w:t>e</w:t>
      </w:r>
      <w:r w:rsidR="00DE0618" w:rsidRPr="00DE70DC">
        <w:rPr>
          <w:rFonts w:ascii="Arial" w:hAnsi="Arial" w:cs="Arial"/>
          <w:sz w:val="22"/>
          <w:lang w:val="es-ES"/>
        </w:rPr>
        <w:t xml:space="preserve">ntidades </w:t>
      </w:r>
      <w:r w:rsidR="00841639" w:rsidRPr="00DE70DC">
        <w:rPr>
          <w:rFonts w:ascii="Arial" w:hAnsi="Arial" w:cs="Arial"/>
          <w:sz w:val="22"/>
          <w:lang w:val="es-ES"/>
        </w:rPr>
        <w:t>e</w:t>
      </w:r>
      <w:r w:rsidR="00DE0618" w:rsidRPr="00DE70DC">
        <w:rPr>
          <w:rFonts w:ascii="Arial" w:hAnsi="Arial" w:cs="Arial"/>
          <w:sz w:val="22"/>
          <w:lang w:val="es-ES"/>
        </w:rPr>
        <w:t>statales no pueden incluir condiciones ni modificar las previstas</w:t>
      </w:r>
      <w:r w:rsidR="00B371E9" w:rsidRPr="00DE70DC">
        <w:rPr>
          <w:rFonts w:ascii="Arial" w:hAnsi="Arial" w:cs="Arial"/>
          <w:sz w:val="22"/>
          <w:lang w:val="es-ES"/>
        </w:rPr>
        <w:t xml:space="preserve"> en</w:t>
      </w:r>
      <w:r w:rsidR="00D06D43" w:rsidRPr="00DE70DC">
        <w:rPr>
          <w:rFonts w:ascii="Arial" w:hAnsi="Arial" w:cs="Arial"/>
          <w:sz w:val="22"/>
          <w:lang w:val="es-ES"/>
        </w:rPr>
        <w:t xml:space="preserve"> los </w:t>
      </w:r>
      <w:r w:rsidR="000E1761" w:rsidRPr="00DE70DC">
        <w:rPr>
          <w:rFonts w:ascii="Arial" w:hAnsi="Arial" w:cs="Arial"/>
          <w:sz w:val="22"/>
          <w:lang w:val="es-ES"/>
        </w:rPr>
        <w:t>«</w:t>
      </w:r>
      <w:r w:rsidR="00D06D43" w:rsidRPr="00DE70DC">
        <w:rPr>
          <w:rFonts w:ascii="Arial" w:hAnsi="Arial" w:cs="Arial"/>
          <w:sz w:val="22"/>
          <w:lang w:val="es-ES"/>
        </w:rPr>
        <w:t>Documentos Tipo</w:t>
      </w:r>
      <w:r w:rsidR="000E1761" w:rsidRPr="00DE70DC">
        <w:rPr>
          <w:rFonts w:ascii="Arial" w:hAnsi="Arial" w:cs="Arial"/>
          <w:sz w:val="22"/>
          <w:lang w:val="es-ES"/>
        </w:rPr>
        <w:t>»</w:t>
      </w:r>
      <w:r w:rsidR="009465F7" w:rsidRPr="00DE70DC">
        <w:rPr>
          <w:rFonts w:ascii="Arial" w:hAnsi="Arial" w:cs="Arial"/>
          <w:sz w:val="22"/>
          <w:lang w:val="es-ES"/>
        </w:rPr>
        <w:t xml:space="preserve">, </w:t>
      </w:r>
      <w:r w:rsidR="00497B27" w:rsidRPr="00DE70DC">
        <w:rPr>
          <w:rFonts w:ascii="Arial" w:hAnsi="Arial" w:cs="Arial"/>
          <w:sz w:val="22"/>
          <w:lang w:val="es-ES"/>
        </w:rPr>
        <w:t xml:space="preserve">salvo </w:t>
      </w:r>
      <w:r w:rsidR="00C21979" w:rsidRPr="00DE70DC">
        <w:rPr>
          <w:rFonts w:ascii="Arial" w:hAnsi="Arial" w:cs="Arial"/>
          <w:sz w:val="22"/>
          <w:lang w:val="es-ES"/>
        </w:rPr>
        <w:t>aquellos casos en que los mismos</w:t>
      </w:r>
      <w:r w:rsidR="004A411B" w:rsidRPr="00DE70DC">
        <w:rPr>
          <w:rFonts w:ascii="Arial" w:hAnsi="Arial" w:cs="Arial"/>
          <w:sz w:val="22"/>
          <w:lang w:val="es-ES"/>
        </w:rPr>
        <w:t xml:space="preserve"> expresamente las autorice para</w:t>
      </w:r>
      <w:r w:rsidR="000E1761" w:rsidRPr="00DE70DC">
        <w:rPr>
          <w:rFonts w:ascii="Arial" w:hAnsi="Arial" w:cs="Arial"/>
          <w:sz w:val="22"/>
          <w:lang w:val="es-ES"/>
        </w:rPr>
        <w:t>. F</w:t>
      </w:r>
      <w:r w:rsidR="00497B27" w:rsidRPr="00DE70DC">
        <w:rPr>
          <w:rFonts w:ascii="Arial" w:hAnsi="Arial" w:cs="Arial"/>
          <w:sz w:val="22"/>
          <w:lang w:val="es-ES"/>
        </w:rPr>
        <w:t xml:space="preserve">inalmente </w:t>
      </w:r>
      <w:r w:rsidR="00765BE2" w:rsidRPr="00DE70DC">
        <w:rPr>
          <w:rFonts w:ascii="Arial" w:hAnsi="Arial" w:cs="Arial"/>
          <w:sz w:val="22"/>
          <w:lang w:val="es-ES"/>
        </w:rPr>
        <w:t xml:space="preserve">señaló la fecha a partir </w:t>
      </w:r>
      <w:r w:rsidR="0001795B" w:rsidRPr="00DE70DC">
        <w:rPr>
          <w:rFonts w:ascii="Arial" w:hAnsi="Arial" w:cs="Arial"/>
          <w:sz w:val="22"/>
          <w:lang w:val="es-ES"/>
        </w:rPr>
        <w:t xml:space="preserve">de la cual </w:t>
      </w:r>
      <w:r w:rsidR="00A814D6" w:rsidRPr="00DE70DC">
        <w:rPr>
          <w:rFonts w:ascii="Arial" w:hAnsi="Arial" w:cs="Arial"/>
          <w:sz w:val="22"/>
          <w:lang w:val="es-ES"/>
        </w:rPr>
        <w:t xml:space="preserve">las </w:t>
      </w:r>
      <w:r w:rsidR="00841639" w:rsidRPr="00DE70DC">
        <w:rPr>
          <w:rFonts w:ascii="Arial" w:hAnsi="Arial" w:cs="Arial"/>
          <w:sz w:val="22"/>
          <w:lang w:val="es-ES"/>
        </w:rPr>
        <w:t>e</w:t>
      </w:r>
      <w:r w:rsidR="00A814D6" w:rsidRPr="00DE70DC">
        <w:rPr>
          <w:rFonts w:ascii="Arial" w:hAnsi="Arial" w:cs="Arial"/>
          <w:sz w:val="22"/>
          <w:lang w:val="es-ES"/>
        </w:rPr>
        <w:t xml:space="preserve">ntidades </w:t>
      </w:r>
      <w:r w:rsidR="00841639" w:rsidRPr="00DE70DC">
        <w:rPr>
          <w:rFonts w:ascii="Arial" w:hAnsi="Arial" w:cs="Arial"/>
          <w:sz w:val="22"/>
          <w:lang w:val="es-ES"/>
        </w:rPr>
        <w:t>e</w:t>
      </w:r>
      <w:r w:rsidR="00A814D6" w:rsidRPr="00DE70DC">
        <w:rPr>
          <w:rFonts w:ascii="Arial" w:hAnsi="Arial" w:cs="Arial"/>
          <w:sz w:val="22"/>
          <w:lang w:val="es-ES"/>
        </w:rPr>
        <w:t>statales</w:t>
      </w:r>
      <w:r w:rsidR="00965849" w:rsidRPr="00DE70DC">
        <w:rPr>
          <w:rFonts w:ascii="Arial" w:hAnsi="Arial" w:cs="Arial"/>
          <w:sz w:val="22"/>
          <w:lang w:val="es-ES"/>
        </w:rPr>
        <w:t xml:space="preserve"> tienen la obligación de </w:t>
      </w:r>
      <w:r w:rsidR="00C75515" w:rsidRPr="00DE70DC">
        <w:rPr>
          <w:rFonts w:ascii="Arial" w:hAnsi="Arial" w:cs="Arial"/>
          <w:sz w:val="22"/>
          <w:lang w:val="es-ES"/>
        </w:rPr>
        <w:t>implementar</w:t>
      </w:r>
      <w:r w:rsidR="000E1761" w:rsidRPr="00DE70DC">
        <w:rPr>
          <w:rFonts w:ascii="Arial" w:hAnsi="Arial" w:cs="Arial"/>
          <w:sz w:val="22"/>
          <w:lang w:val="es-ES"/>
        </w:rPr>
        <w:t xml:space="preserve">los </w:t>
      </w:r>
      <w:r w:rsidR="00C75515" w:rsidRPr="00DE70DC">
        <w:rPr>
          <w:rFonts w:ascii="Arial" w:hAnsi="Arial" w:cs="Arial"/>
          <w:sz w:val="22"/>
          <w:lang w:val="es-ES"/>
        </w:rPr>
        <w:t xml:space="preserve">en </w:t>
      </w:r>
      <w:r w:rsidR="00C81AC2" w:rsidRPr="00DE70DC">
        <w:rPr>
          <w:rFonts w:ascii="Arial" w:hAnsi="Arial" w:cs="Arial"/>
          <w:sz w:val="22"/>
          <w:lang w:val="es-ES"/>
        </w:rPr>
        <w:t xml:space="preserve">los </w:t>
      </w:r>
      <w:r w:rsidR="00841639" w:rsidRPr="00DE70DC">
        <w:rPr>
          <w:rFonts w:ascii="Arial" w:hAnsi="Arial" w:cs="Arial"/>
          <w:sz w:val="22"/>
          <w:lang w:val="es-ES"/>
        </w:rPr>
        <w:t>p</w:t>
      </w:r>
      <w:r w:rsidR="00C81AC2" w:rsidRPr="00DE70DC">
        <w:rPr>
          <w:rFonts w:ascii="Arial" w:hAnsi="Arial" w:cs="Arial"/>
          <w:sz w:val="22"/>
          <w:lang w:val="es-ES"/>
        </w:rPr>
        <w:t xml:space="preserve">rocesos de </w:t>
      </w:r>
      <w:r w:rsidR="00841639" w:rsidRPr="00DE70DC">
        <w:rPr>
          <w:rFonts w:ascii="Arial" w:hAnsi="Arial" w:cs="Arial"/>
          <w:sz w:val="22"/>
          <w:lang w:val="es-ES"/>
        </w:rPr>
        <w:t>c</w:t>
      </w:r>
      <w:r w:rsidR="00C81AC2" w:rsidRPr="00DE70DC">
        <w:rPr>
          <w:rFonts w:ascii="Arial" w:hAnsi="Arial" w:cs="Arial"/>
          <w:sz w:val="22"/>
          <w:lang w:val="es-ES"/>
        </w:rPr>
        <w:t xml:space="preserve">ontratación que tengan por objeto </w:t>
      </w:r>
      <w:r w:rsidR="00D9294F" w:rsidRPr="00DE70DC">
        <w:rPr>
          <w:rFonts w:ascii="Arial" w:hAnsi="Arial" w:cs="Arial"/>
          <w:sz w:val="22"/>
          <w:lang w:val="es-ES"/>
        </w:rPr>
        <w:t>obra</w:t>
      </w:r>
      <w:r w:rsidR="00C81AC2" w:rsidRPr="00DE70DC">
        <w:rPr>
          <w:rFonts w:ascii="Arial" w:hAnsi="Arial" w:cs="Arial"/>
          <w:sz w:val="22"/>
          <w:lang w:val="es-ES"/>
        </w:rPr>
        <w:t>s públicas de infraestructura de transporte</w:t>
      </w:r>
      <w:r w:rsidR="0001795B" w:rsidRPr="00DE70DC">
        <w:rPr>
          <w:rFonts w:ascii="Arial" w:hAnsi="Arial" w:cs="Arial"/>
          <w:sz w:val="22"/>
          <w:lang w:val="es-ES"/>
        </w:rPr>
        <w:t>.</w:t>
      </w:r>
    </w:p>
    <w:p w14:paraId="3EF24161" w14:textId="77777777" w:rsidR="00A14F3C" w:rsidRPr="00DE70DC" w:rsidRDefault="00A14F3C" w:rsidP="004D3473">
      <w:pPr>
        <w:spacing w:line="276" w:lineRule="auto"/>
        <w:jc w:val="both"/>
        <w:rPr>
          <w:rFonts w:ascii="Arial" w:hAnsi="Arial" w:cs="Arial"/>
          <w:sz w:val="22"/>
          <w:lang w:val="es-ES"/>
        </w:rPr>
      </w:pPr>
    </w:p>
    <w:p w14:paraId="6C520DA6" w14:textId="77777777" w:rsidR="00A14F3C" w:rsidRPr="00DE70DC" w:rsidRDefault="00A14F3C" w:rsidP="00A14F3C">
      <w:pPr>
        <w:tabs>
          <w:tab w:val="left" w:pos="426"/>
        </w:tabs>
        <w:spacing w:line="276" w:lineRule="auto"/>
        <w:jc w:val="both"/>
        <w:rPr>
          <w:rFonts w:ascii="Arial" w:eastAsia="Calibri" w:hAnsi="Arial" w:cs="Arial"/>
          <w:b/>
          <w:sz w:val="22"/>
        </w:rPr>
      </w:pPr>
      <w:r w:rsidRPr="00DE70DC">
        <w:rPr>
          <w:rFonts w:ascii="Arial" w:eastAsia="Calibri" w:hAnsi="Arial" w:cs="Arial"/>
          <w:b/>
          <w:sz w:val="22"/>
        </w:rPr>
        <w:t xml:space="preserve">2.2. </w:t>
      </w:r>
      <w:proofErr w:type="spellStart"/>
      <w:r w:rsidRPr="00DE70DC">
        <w:rPr>
          <w:rFonts w:ascii="Arial" w:eastAsia="Calibri" w:hAnsi="Arial" w:cs="Arial"/>
          <w:b/>
          <w:sz w:val="22"/>
        </w:rPr>
        <w:t>Subsanabilidad</w:t>
      </w:r>
      <w:proofErr w:type="spellEnd"/>
      <w:r w:rsidRPr="00DE70DC">
        <w:rPr>
          <w:rFonts w:ascii="Arial" w:eastAsia="Calibri" w:hAnsi="Arial" w:cs="Arial"/>
          <w:b/>
          <w:sz w:val="22"/>
        </w:rPr>
        <w:t xml:space="preserve"> de la capacidad residual y procedencia del rechazo de la oferta</w:t>
      </w:r>
    </w:p>
    <w:p w14:paraId="1046EA2A" w14:textId="77777777" w:rsidR="004E4142" w:rsidRPr="00DE70DC" w:rsidRDefault="004E4142" w:rsidP="00BE60C5">
      <w:pPr>
        <w:tabs>
          <w:tab w:val="left" w:pos="426"/>
        </w:tabs>
        <w:spacing w:line="276" w:lineRule="auto"/>
        <w:jc w:val="both"/>
        <w:rPr>
          <w:rFonts w:ascii="Arial" w:hAnsi="Arial" w:cs="Arial"/>
          <w:sz w:val="22"/>
          <w:szCs w:val="20"/>
        </w:rPr>
      </w:pPr>
    </w:p>
    <w:p w14:paraId="25801019" w14:textId="54CBF279" w:rsidR="00A14F3C" w:rsidRPr="00DE70DC" w:rsidRDefault="00D24CC2" w:rsidP="00DC578F">
      <w:pPr>
        <w:tabs>
          <w:tab w:val="left" w:pos="426"/>
        </w:tabs>
        <w:spacing w:line="276" w:lineRule="auto"/>
        <w:jc w:val="both"/>
        <w:rPr>
          <w:rFonts w:ascii="Arial" w:hAnsi="Arial" w:cs="Arial"/>
          <w:sz w:val="22"/>
          <w:szCs w:val="20"/>
        </w:rPr>
      </w:pPr>
      <w:r w:rsidRPr="00DE70DC">
        <w:rPr>
          <w:rFonts w:ascii="Arial" w:hAnsi="Arial" w:cs="Arial"/>
          <w:sz w:val="22"/>
          <w:szCs w:val="20"/>
        </w:rPr>
        <w:t>El numeral 3.1</w:t>
      </w:r>
      <w:r w:rsidR="00251445" w:rsidRPr="00DE70DC">
        <w:rPr>
          <w:rFonts w:ascii="Arial" w:hAnsi="Arial" w:cs="Arial"/>
          <w:sz w:val="22"/>
          <w:szCs w:val="20"/>
        </w:rPr>
        <w:t>1</w:t>
      </w:r>
      <w:r w:rsidRPr="00DE70DC">
        <w:rPr>
          <w:rFonts w:ascii="Arial" w:hAnsi="Arial" w:cs="Arial"/>
          <w:sz w:val="22"/>
          <w:szCs w:val="20"/>
        </w:rPr>
        <w:t xml:space="preserve"> de</w:t>
      </w:r>
      <w:r w:rsidR="00A14F3C" w:rsidRPr="00DE70DC">
        <w:rPr>
          <w:rFonts w:ascii="Arial" w:hAnsi="Arial" w:cs="Arial"/>
          <w:sz w:val="22"/>
          <w:szCs w:val="20"/>
        </w:rPr>
        <w:t xml:space="preserve">l </w:t>
      </w:r>
      <w:r w:rsidRPr="00DE70DC">
        <w:rPr>
          <w:rFonts w:ascii="Arial" w:hAnsi="Arial" w:cs="Arial"/>
          <w:sz w:val="22"/>
          <w:szCs w:val="20"/>
        </w:rPr>
        <w:t>«</w:t>
      </w:r>
      <w:r w:rsidR="00A14F3C" w:rsidRPr="00DE70DC">
        <w:rPr>
          <w:rFonts w:ascii="Arial" w:hAnsi="Arial" w:cs="Arial"/>
          <w:sz w:val="22"/>
          <w:szCs w:val="20"/>
        </w:rPr>
        <w:t>Documento Base</w:t>
      </w:r>
      <w:r w:rsidRPr="00DE70DC">
        <w:rPr>
          <w:rFonts w:ascii="Arial" w:hAnsi="Arial" w:cs="Arial"/>
          <w:sz w:val="22"/>
          <w:szCs w:val="20"/>
        </w:rPr>
        <w:t>»</w:t>
      </w:r>
      <w:r w:rsidR="00BE60C5" w:rsidRPr="00DE70DC">
        <w:rPr>
          <w:rFonts w:ascii="Arial" w:hAnsi="Arial" w:cs="Arial"/>
          <w:sz w:val="22"/>
          <w:szCs w:val="20"/>
        </w:rPr>
        <w:t>, en cualquiera de las tres versiones vigentes</w:t>
      </w:r>
      <w:r w:rsidR="00A14F3C" w:rsidRPr="00DE70DC">
        <w:rPr>
          <w:rFonts w:ascii="Arial" w:hAnsi="Arial" w:cs="Arial"/>
          <w:sz w:val="22"/>
          <w:szCs w:val="20"/>
        </w:rPr>
        <w:t>, establece como requisito habilitante la capacidad residual, definida por el Decreto 1082 de 2015, en el artículo 2.2.1.1.1.3.1., como la: «</w:t>
      </w:r>
      <w:r w:rsidR="00BE60C5" w:rsidRPr="00DE70DC">
        <w:rPr>
          <w:rFonts w:ascii="Arial" w:hAnsi="Arial" w:cs="Arial"/>
          <w:sz w:val="22"/>
          <w:szCs w:val="20"/>
        </w:rPr>
        <w:t>[a]</w:t>
      </w:r>
      <w:proofErr w:type="spellStart"/>
      <w:r w:rsidR="00A14F3C" w:rsidRPr="00DE70DC">
        <w:rPr>
          <w:rFonts w:ascii="Arial" w:hAnsi="Arial" w:cs="Arial"/>
          <w:sz w:val="22"/>
          <w:szCs w:val="20"/>
        </w:rPr>
        <w:t>ptitud</w:t>
      </w:r>
      <w:proofErr w:type="spellEnd"/>
      <w:r w:rsidR="00A14F3C" w:rsidRPr="00DE70DC">
        <w:rPr>
          <w:rFonts w:ascii="Arial" w:hAnsi="Arial" w:cs="Arial"/>
          <w:sz w:val="22"/>
          <w:szCs w:val="20"/>
        </w:rPr>
        <w:t xml:space="preserve"> de un oferente para cumplir oportuna y cabalmente con el objeto de un contrato de obra, sin que sus otros compromisos contractuales afecten su habilidad de cumplir con el contrato que está en proceso de selección</w:t>
      </w:r>
      <w:r w:rsidR="00A14F3C" w:rsidRPr="00DE70DC">
        <w:rPr>
          <w:rFonts w:ascii="Arial" w:hAnsi="Arial" w:cs="Arial"/>
          <w:iCs/>
          <w:sz w:val="22"/>
          <w:szCs w:val="20"/>
        </w:rPr>
        <w:t>»</w:t>
      </w:r>
      <w:r w:rsidR="00A14F3C" w:rsidRPr="00DE70DC">
        <w:rPr>
          <w:rFonts w:ascii="Arial" w:hAnsi="Arial" w:cs="Arial"/>
          <w:sz w:val="22"/>
          <w:szCs w:val="20"/>
        </w:rPr>
        <w:t>. Ahora, el artículo 72 de la Ley 1682 de 2013 indica que para calcular la capacidad residual de contratación pública se deberán tener en cuenta los factores de experiencia, capacidad financiera, capacidad técnica y capacidad de organización, y, en consecuencia, faculta al Gobierno para reglamentar la materia</w:t>
      </w:r>
      <w:r w:rsidR="00A14F3C" w:rsidRPr="00DE70DC">
        <w:rPr>
          <w:rStyle w:val="Refdenotaalpie"/>
          <w:rFonts w:ascii="Arial" w:hAnsi="Arial" w:cs="Arial"/>
          <w:sz w:val="22"/>
          <w:szCs w:val="20"/>
        </w:rPr>
        <w:footnoteReference w:id="8"/>
      </w:r>
      <w:r w:rsidR="00A14F3C" w:rsidRPr="00DE70DC">
        <w:rPr>
          <w:rFonts w:ascii="Arial" w:hAnsi="Arial" w:cs="Arial"/>
          <w:sz w:val="22"/>
          <w:szCs w:val="20"/>
        </w:rPr>
        <w:t xml:space="preserve">. </w:t>
      </w:r>
    </w:p>
    <w:p w14:paraId="3CF64B66" w14:textId="079CD6BA" w:rsidR="00A14F3C" w:rsidRPr="00DE70DC" w:rsidRDefault="00A14F3C" w:rsidP="00A14F3C">
      <w:pPr>
        <w:tabs>
          <w:tab w:val="left" w:pos="426"/>
        </w:tabs>
        <w:spacing w:before="120" w:after="120" w:line="276" w:lineRule="auto"/>
        <w:ind w:firstLine="709"/>
        <w:jc w:val="both"/>
        <w:rPr>
          <w:rFonts w:ascii="Arial" w:hAnsi="Arial" w:cs="Arial"/>
          <w:sz w:val="22"/>
          <w:szCs w:val="20"/>
        </w:rPr>
      </w:pPr>
      <w:r w:rsidRPr="00DE70DC">
        <w:rPr>
          <w:rFonts w:ascii="Arial" w:hAnsi="Arial" w:cs="Arial"/>
          <w:sz w:val="22"/>
          <w:szCs w:val="20"/>
        </w:rPr>
        <w:t xml:space="preserve">Por su parte, el artículo 2.2.1.1.1.1.6.4. del Decreto 1082 de 2015, con fundamento en la facultad otorgada al Gobierno,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DE70DC">
        <w:rPr>
          <w:rFonts w:ascii="Arial" w:hAnsi="Arial" w:cs="Arial"/>
          <w:sz w:val="22"/>
          <w:szCs w:val="20"/>
        </w:rPr>
        <w:t>ii</w:t>
      </w:r>
      <w:proofErr w:type="spellEnd"/>
      <w:r w:rsidRPr="00DE70DC">
        <w:rPr>
          <w:rFonts w:ascii="Arial" w:hAnsi="Arial" w:cs="Arial"/>
          <w:sz w:val="22"/>
          <w:szCs w:val="20"/>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DE70DC">
        <w:rPr>
          <w:rFonts w:ascii="Arial" w:hAnsi="Arial" w:cs="Arial"/>
          <w:sz w:val="22"/>
          <w:szCs w:val="20"/>
        </w:rPr>
        <w:t>iii</w:t>
      </w:r>
      <w:proofErr w:type="spellEnd"/>
      <w:r w:rsidRPr="00DE70DC">
        <w:rPr>
          <w:rFonts w:ascii="Arial" w:hAnsi="Arial" w:cs="Arial"/>
          <w:sz w:val="22"/>
          <w:szCs w:val="20"/>
        </w:rPr>
        <w:t>) el balance general auditado del año inmediatamente anterior y estado de resultados auditado del año en que haya obtenido el mayor ingreso operacional en los últimos cinco (5) años</w:t>
      </w:r>
      <w:r w:rsidR="00DC578F" w:rsidRPr="00DE70DC">
        <w:rPr>
          <w:rStyle w:val="Refdenotaalpie"/>
          <w:rFonts w:ascii="Arial" w:hAnsi="Arial" w:cs="Arial"/>
          <w:sz w:val="22"/>
          <w:szCs w:val="20"/>
        </w:rPr>
        <w:footnoteReference w:id="9"/>
      </w:r>
      <w:r w:rsidRPr="00DE70DC">
        <w:rPr>
          <w:rFonts w:ascii="Arial" w:hAnsi="Arial" w:cs="Arial"/>
          <w:sz w:val="22"/>
          <w:szCs w:val="20"/>
        </w:rPr>
        <w:t xml:space="preserve">. </w:t>
      </w:r>
    </w:p>
    <w:p w14:paraId="4FB76A5C" w14:textId="77777777" w:rsidR="00A14F3C" w:rsidRPr="00DE70DC" w:rsidRDefault="00A14F3C" w:rsidP="00A14F3C">
      <w:pPr>
        <w:tabs>
          <w:tab w:val="left" w:pos="426"/>
        </w:tabs>
        <w:spacing w:before="120" w:after="120" w:line="276" w:lineRule="auto"/>
        <w:ind w:firstLine="709"/>
        <w:jc w:val="both"/>
        <w:rPr>
          <w:rFonts w:ascii="Arial" w:hAnsi="Arial" w:cs="Arial"/>
          <w:sz w:val="22"/>
          <w:szCs w:val="20"/>
        </w:rPr>
      </w:pPr>
      <w:r w:rsidRPr="00DE70DC">
        <w:rPr>
          <w:rFonts w:ascii="Arial" w:hAnsi="Arial" w:cs="Arial"/>
          <w:sz w:val="22"/>
          <w:szCs w:val="20"/>
        </w:rPr>
        <w:lastRenderedPageBreak/>
        <w:t>El artículo 6 de la Ley 1150 de 2007 establece que todas las personas naturales o extranjeras domiciliadas o con sucursal en Colombia, que aspiren celebrar contratos con entidades, deberán estar inscritas en el Registro único de Proponentes de la Cámara de Comercio con jurisdicción en su domicilio principal</w:t>
      </w:r>
      <w:r w:rsidRPr="00DE70DC">
        <w:rPr>
          <w:rStyle w:val="Refdenotaalpie"/>
          <w:rFonts w:ascii="Arial" w:hAnsi="Arial" w:cs="Arial"/>
          <w:sz w:val="22"/>
          <w:szCs w:val="20"/>
        </w:rPr>
        <w:footnoteReference w:id="10"/>
      </w:r>
      <w:r w:rsidRPr="00DE70DC">
        <w:rPr>
          <w:rFonts w:ascii="Arial" w:hAnsi="Arial" w:cs="Arial"/>
          <w:sz w:val="22"/>
          <w:szCs w:val="20"/>
        </w:rPr>
        <w:t xml:space="preserve">. En dicho registro constará la información relacionada con la experiencia, capacidad jurídica, financiera y de organización del proponente, es decir, la verificación de dichos requisitos habilitantes se demostrará exclusivamente con el respectivo del RUP donde deberán constar dichas condiciones. En consecuencia, las entidades, en los procedimientos de contratación, no podrán exigir, ni los proponentes aportar, documentación que deba utilizarse para efectuar la inscripción del registro. </w:t>
      </w:r>
    </w:p>
    <w:p w14:paraId="4A783140" w14:textId="60607A70" w:rsidR="00A14F3C" w:rsidRPr="00DE70DC" w:rsidRDefault="00A14F3C" w:rsidP="00A14F3C">
      <w:pPr>
        <w:tabs>
          <w:tab w:val="left" w:pos="426"/>
        </w:tabs>
        <w:spacing w:before="120" w:after="120" w:line="276" w:lineRule="auto"/>
        <w:ind w:firstLine="709"/>
        <w:jc w:val="both"/>
        <w:rPr>
          <w:rFonts w:ascii="Arial" w:hAnsi="Arial" w:cs="Arial"/>
          <w:sz w:val="22"/>
          <w:szCs w:val="20"/>
        </w:rPr>
      </w:pPr>
      <w:r w:rsidRPr="00DE70DC">
        <w:rPr>
          <w:rFonts w:ascii="Arial" w:hAnsi="Arial" w:cs="Arial"/>
          <w:sz w:val="22"/>
          <w:szCs w:val="20"/>
        </w:rPr>
        <w:t xml:space="preserve">Conforme a lo anterior, la Ley 1150 de 2007 establece que los requisitos habilitantes de experiencia, capacidad jurídica, financiera y de organización se acreditarán conforme a lo contenido en el Registro Único de Proponentes </w:t>
      </w:r>
      <w:r w:rsidR="00BE60C5" w:rsidRPr="00DE70DC">
        <w:rPr>
          <w:rFonts w:ascii="Arial" w:hAnsi="Arial" w:cs="Arial"/>
          <w:sz w:val="22"/>
          <w:szCs w:val="20"/>
        </w:rPr>
        <w:t>−</w:t>
      </w:r>
      <w:r w:rsidRPr="00DE70DC">
        <w:rPr>
          <w:rFonts w:ascii="Arial" w:hAnsi="Arial" w:cs="Arial"/>
          <w:sz w:val="22"/>
          <w:szCs w:val="20"/>
        </w:rPr>
        <w:t>RUP</w:t>
      </w:r>
      <w:r w:rsidR="00BE60C5" w:rsidRPr="00DE70DC">
        <w:rPr>
          <w:rFonts w:ascii="Arial" w:hAnsi="Arial" w:cs="Arial"/>
          <w:sz w:val="22"/>
          <w:szCs w:val="20"/>
        </w:rPr>
        <w:t>−</w:t>
      </w:r>
      <w:r w:rsidRPr="00DE70DC">
        <w:rPr>
          <w:rFonts w:ascii="Arial" w:hAnsi="Arial" w:cs="Arial"/>
          <w:sz w:val="22"/>
          <w:szCs w:val="20"/>
        </w:rPr>
        <w:t xml:space="preserve">. Con respecto a la acreditación de la capacidad residual, como su acreditación no se realiza conforme al contenido del RUP, las entidades deberán exigir los documentos previstos en el artículo 2.2.1.1.1.6.4. del Decreto 1082 de 2015, siempre y cuando no sea información que el proponente haya aportado, con anterioridad, para la inscripción en el RUP. </w:t>
      </w:r>
    </w:p>
    <w:p w14:paraId="6CC69C1E" w14:textId="15866C51" w:rsidR="00F60E91" w:rsidRPr="00DE70DC" w:rsidRDefault="00F60E91" w:rsidP="00A14F3C">
      <w:pPr>
        <w:spacing w:before="120" w:line="276" w:lineRule="auto"/>
        <w:jc w:val="both"/>
        <w:rPr>
          <w:rFonts w:ascii="Arial" w:hAnsi="Arial" w:cs="Arial"/>
          <w:sz w:val="22"/>
          <w:szCs w:val="20"/>
        </w:rPr>
      </w:pPr>
      <w:r w:rsidRPr="00DE70DC">
        <w:rPr>
          <w:rFonts w:ascii="Arial" w:hAnsi="Arial" w:cs="Arial"/>
          <w:sz w:val="22"/>
          <w:szCs w:val="20"/>
        </w:rPr>
        <w:tab/>
        <w:t xml:space="preserve">Ahora bien, </w:t>
      </w:r>
      <w:r w:rsidR="00CA0C3E" w:rsidRPr="00DE70DC">
        <w:rPr>
          <w:rFonts w:ascii="Arial" w:hAnsi="Arial" w:cs="Arial"/>
          <w:sz w:val="22"/>
          <w:szCs w:val="20"/>
        </w:rPr>
        <w:t xml:space="preserve">resulta relevante para el caso </w:t>
      </w:r>
      <w:r w:rsidRPr="00DE70DC">
        <w:rPr>
          <w:rFonts w:ascii="Arial" w:hAnsi="Arial" w:cs="Arial"/>
          <w:sz w:val="22"/>
          <w:szCs w:val="20"/>
        </w:rPr>
        <w:t>precisar que</w:t>
      </w:r>
      <w:r w:rsidR="000E68FA" w:rsidRPr="00DE70DC">
        <w:rPr>
          <w:rFonts w:ascii="Arial" w:hAnsi="Arial" w:cs="Arial"/>
          <w:sz w:val="22"/>
          <w:szCs w:val="20"/>
        </w:rPr>
        <w:t>, al menos, dos causales de rechazo de las que establece</w:t>
      </w:r>
      <w:r w:rsidR="00DC578F" w:rsidRPr="00DE70DC">
        <w:rPr>
          <w:rFonts w:ascii="Arial" w:hAnsi="Arial" w:cs="Arial"/>
          <w:sz w:val="22"/>
          <w:szCs w:val="20"/>
        </w:rPr>
        <w:t xml:space="preserve"> el </w:t>
      </w:r>
      <w:r w:rsidR="000E68FA" w:rsidRPr="00DE70DC">
        <w:rPr>
          <w:rFonts w:ascii="Arial" w:hAnsi="Arial" w:cs="Arial"/>
          <w:sz w:val="22"/>
          <w:szCs w:val="20"/>
        </w:rPr>
        <w:t xml:space="preserve">numeral 1.15 de </w:t>
      </w:r>
      <w:r w:rsidR="00CA0C3E" w:rsidRPr="00DE70DC">
        <w:rPr>
          <w:rFonts w:ascii="Arial" w:hAnsi="Arial" w:cs="Arial"/>
          <w:sz w:val="22"/>
          <w:szCs w:val="20"/>
        </w:rPr>
        <w:t>los</w:t>
      </w:r>
      <w:r w:rsidR="000E68FA" w:rsidRPr="00DE70DC">
        <w:rPr>
          <w:rFonts w:ascii="Arial" w:hAnsi="Arial" w:cs="Arial"/>
          <w:sz w:val="22"/>
          <w:szCs w:val="20"/>
        </w:rPr>
        <w:t xml:space="preserve"> </w:t>
      </w:r>
      <w:r w:rsidR="00DA72B4" w:rsidRPr="00DE70DC">
        <w:rPr>
          <w:rFonts w:ascii="Arial" w:hAnsi="Arial" w:cs="Arial"/>
          <w:sz w:val="22"/>
          <w:szCs w:val="20"/>
        </w:rPr>
        <w:t>d</w:t>
      </w:r>
      <w:r w:rsidR="000E68FA" w:rsidRPr="00DE70DC">
        <w:rPr>
          <w:rFonts w:ascii="Arial" w:hAnsi="Arial" w:cs="Arial"/>
          <w:sz w:val="22"/>
          <w:szCs w:val="20"/>
        </w:rPr>
        <w:t xml:space="preserve">ocumentos </w:t>
      </w:r>
      <w:r w:rsidR="00DA72B4" w:rsidRPr="00DE70DC">
        <w:rPr>
          <w:rFonts w:ascii="Arial" w:hAnsi="Arial" w:cs="Arial"/>
          <w:sz w:val="22"/>
          <w:szCs w:val="20"/>
        </w:rPr>
        <w:t>t</w:t>
      </w:r>
      <w:r w:rsidR="000E68FA" w:rsidRPr="00DE70DC">
        <w:rPr>
          <w:rFonts w:ascii="Arial" w:hAnsi="Arial" w:cs="Arial"/>
          <w:sz w:val="22"/>
          <w:szCs w:val="20"/>
        </w:rPr>
        <w:t xml:space="preserve">ipo, se relacionan con la </w:t>
      </w:r>
      <w:r w:rsidR="000E68FA" w:rsidRPr="00DE70DC">
        <w:rPr>
          <w:rFonts w:ascii="Arial" w:hAnsi="Arial" w:cs="Arial"/>
          <w:sz w:val="22"/>
          <w:szCs w:val="20"/>
        </w:rPr>
        <w:lastRenderedPageBreak/>
        <w:t>capacidad residual</w:t>
      </w:r>
      <w:r w:rsidR="00CA0C3E" w:rsidRPr="00DE70DC">
        <w:rPr>
          <w:rFonts w:ascii="Arial" w:hAnsi="Arial" w:cs="Arial"/>
          <w:sz w:val="22"/>
          <w:szCs w:val="20"/>
        </w:rPr>
        <w:t xml:space="preserve"> como requisito habilitante</w:t>
      </w:r>
      <w:r w:rsidR="000E68FA" w:rsidRPr="00DE70DC">
        <w:rPr>
          <w:rFonts w:ascii="Arial" w:hAnsi="Arial" w:cs="Arial"/>
          <w:sz w:val="22"/>
          <w:szCs w:val="20"/>
        </w:rPr>
        <w:t>, esto es, las de los literales H y BB</w:t>
      </w:r>
      <w:r w:rsidR="00DC578F" w:rsidRPr="00DE70DC">
        <w:rPr>
          <w:rFonts w:ascii="Arial" w:hAnsi="Arial" w:cs="Arial"/>
          <w:sz w:val="22"/>
          <w:szCs w:val="20"/>
        </w:rPr>
        <w:t xml:space="preserve"> de la segunda versión de los «Pliegos Tipo»</w:t>
      </w:r>
      <w:r w:rsidR="000E68FA" w:rsidRPr="00DE70DC">
        <w:rPr>
          <w:rFonts w:ascii="Arial" w:hAnsi="Arial" w:cs="Arial"/>
          <w:sz w:val="22"/>
          <w:szCs w:val="20"/>
        </w:rPr>
        <w:t>. Esta norma, establecen lo siguiente:</w:t>
      </w:r>
    </w:p>
    <w:p w14:paraId="216ABB7C" w14:textId="77777777" w:rsidR="000E68FA" w:rsidRPr="00DE70DC" w:rsidRDefault="000E68FA" w:rsidP="000E68FA">
      <w:pPr>
        <w:ind w:left="709" w:right="709"/>
        <w:jc w:val="both"/>
        <w:rPr>
          <w:rFonts w:ascii="Arial" w:hAnsi="Arial" w:cs="Arial"/>
          <w:sz w:val="21"/>
          <w:szCs w:val="21"/>
        </w:rPr>
      </w:pPr>
    </w:p>
    <w:p w14:paraId="44DF3125" w14:textId="16A75293" w:rsidR="000E68FA" w:rsidRPr="00DE70DC" w:rsidRDefault="000E68FA" w:rsidP="000E68FA">
      <w:pPr>
        <w:ind w:left="709" w:right="709"/>
        <w:jc w:val="both"/>
        <w:rPr>
          <w:rFonts w:ascii="Arial" w:hAnsi="Arial" w:cs="Arial"/>
          <w:sz w:val="21"/>
          <w:szCs w:val="21"/>
        </w:rPr>
      </w:pPr>
      <w:r w:rsidRPr="00DE70DC">
        <w:rPr>
          <w:rFonts w:ascii="Arial" w:hAnsi="Arial" w:cs="Arial"/>
          <w:sz w:val="21"/>
          <w:szCs w:val="21"/>
        </w:rPr>
        <w:t>1.15.</w:t>
      </w:r>
      <w:r w:rsidRPr="00DE70DC">
        <w:rPr>
          <w:rFonts w:ascii="Arial" w:hAnsi="Arial" w:cs="Arial"/>
          <w:sz w:val="21"/>
          <w:szCs w:val="21"/>
        </w:rPr>
        <w:tab/>
        <w:t xml:space="preserve">CAUSALES DE RECHAZO </w:t>
      </w:r>
    </w:p>
    <w:p w14:paraId="416D2C49" w14:textId="2C1792AB" w:rsidR="000E68FA" w:rsidRPr="00DE70DC" w:rsidRDefault="000E68FA" w:rsidP="000E68FA">
      <w:pPr>
        <w:ind w:left="709" w:right="709"/>
        <w:jc w:val="both"/>
        <w:rPr>
          <w:rFonts w:ascii="Arial" w:hAnsi="Arial" w:cs="Arial"/>
          <w:sz w:val="21"/>
          <w:szCs w:val="21"/>
        </w:rPr>
      </w:pPr>
      <w:r w:rsidRPr="00DE70DC">
        <w:rPr>
          <w:rFonts w:ascii="Arial" w:hAnsi="Arial" w:cs="Arial"/>
          <w:sz w:val="21"/>
          <w:szCs w:val="21"/>
        </w:rPr>
        <w:t>Son causales de rechazo las siguientes [Las Entidades no podrán modificar o incluir causales de rechazo distintas a las señaladas en la presente sección]:</w:t>
      </w:r>
    </w:p>
    <w:p w14:paraId="1F62659E" w14:textId="4FFCAE5B" w:rsidR="000E68FA" w:rsidRPr="00DE70DC" w:rsidRDefault="000E68FA" w:rsidP="000E68FA">
      <w:pPr>
        <w:ind w:left="709" w:right="709"/>
        <w:jc w:val="both"/>
        <w:rPr>
          <w:rFonts w:ascii="Arial" w:hAnsi="Arial" w:cs="Arial"/>
          <w:sz w:val="21"/>
          <w:szCs w:val="21"/>
        </w:rPr>
      </w:pPr>
      <w:r w:rsidRPr="00DE70DC">
        <w:rPr>
          <w:rFonts w:ascii="Arial" w:hAnsi="Arial" w:cs="Arial"/>
          <w:sz w:val="21"/>
          <w:szCs w:val="21"/>
        </w:rPr>
        <w:t>[…]</w:t>
      </w:r>
    </w:p>
    <w:p w14:paraId="2BB9C51B" w14:textId="77777777" w:rsidR="000E68FA" w:rsidRPr="00DE70DC" w:rsidRDefault="000E68FA" w:rsidP="000E68FA">
      <w:pPr>
        <w:ind w:left="709" w:right="709"/>
        <w:jc w:val="both"/>
        <w:rPr>
          <w:rFonts w:ascii="Arial" w:hAnsi="Arial" w:cs="Arial"/>
          <w:sz w:val="21"/>
          <w:szCs w:val="21"/>
        </w:rPr>
      </w:pPr>
    </w:p>
    <w:p w14:paraId="1448D02D" w14:textId="10CB73CE" w:rsidR="000E68FA" w:rsidRPr="00DE70DC" w:rsidRDefault="000E68FA" w:rsidP="000E68FA">
      <w:pPr>
        <w:ind w:left="709" w:right="709"/>
        <w:jc w:val="both"/>
        <w:rPr>
          <w:rFonts w:ascii="Arial" w:hAnsi="Arial" w:cs="Arial"/>
          <w:sz w:val="21"/>
          <w:szCs w:val="21"/>
        </w:rPr>
      </w:pPr>
      <w:r w:rsidRPr="00DE70DC">
        <w:rPr>
          <w:rFonts w:ascii="Arial" w:hAnsi="Arial" w:cs="Arial"/>
          <w:sz w:val="21"/>
          <w:szCs w:val="21"/>
        </w:rPr>
        <w:t>H.</w:t>
      </w:r>
      <w:r w:rsidRPr="00DE70DC">
        <w:rPr>
          <w:rFonts w:ascii="Arial" w:hAnsi="Arial" w:cs="Arial"/>
          <w:sz w:val="21"/>
          <w:szCs w:val="21"/>
        </w:rPr>
        <w:tab/>
        <w:t>Que el Proponente aporte información inexacta sobre la cual pueda existir una posible falsedad en los términos de la sección 1.11.</w:t>
      </w:r>
    </w:p>
    <w:p w14:paraId="682654E4" w14:textId="68EB79AA" w:rsidR="000E68FA" w:rsidRPr="00DE70DC" w:rsidRDefault="000E68FA" w:rsidP="000E68FA">
      <w:pPr>
        <w:ind w:left="709" w:right="709"/>
        <w:jc w:val="both"/>
        <w:rPr>
          <w:rFonts w:ascii="Arial" w:hAnsi="Arial" w:cs="Arial"/>
          <w:sz w:val="21"/>
          <w:szCs w:val="21"/>
        </w:rPr>
      </w:pPr>
      <w:r w:rsidRPr="00DE70DC">
        <w:rPr>
          <w:rFonts w:ascii="Arial" w:hAnsi="Arial" w:cs="Arial"/>
          <w:sz w:val="21"/>
          <w:szCs w:val="21"/>
        </w:rPr>
        <w:t>[…]</w:t>
      </w:r>
    </w:p>
    <w:p w14:paraId="2CA750B1" w14:textId="77777777" w:rsidR="000E68FA" w:rsidRPr="00DE70DC" w:rsidRDefault="000E68FA" w:rsidP="000E68FA">
      <w:pPr>
        <w:ind w:left="709" w:right="709"/>
        <w:jc w:val="both"/>
        <w:rPr>
          <w:rFonts w:ascii="Arial" w:hAnsi="Arial" w:cs="Arial"/>
          <w:sz w:val="21"/>
          <w:szCs w:val="21"/>
        </w:rPr>
      </w:pPr>
    </w:p>
    <w:p w14:paraId="45D58C60" w14:textId="60F6179F" w:rsidR="00550551" w:rsidRPr="00DE70DC" w:rsidRDefault="000E68FA" w:rsidP="000E68FA">
      <w:pPr>
        <w:ind w:left="709" w:right="709"/>
        <w:jc w:val="both"/>
        <w:rPr>
          <w:rFonts w:ascii="Arial" w:hAnsi="Arial" w:cs="Arial"/>
          <w:sz w:val="21"/>
          <w:szCs w:val="21"/>
        </w:rPr>
      </w:pPr>
      <w:r w:rsidRPr="00DE70DC">
        <w:rPr>
          <w:rFonts w:ascii="Arial" w:hAnsi="Arial" w:cs="Arial"/>
          <w:sz w:val="21"/>
          <w:szCs w:val="21"/>
        </w:rPr>
        <w:t>BB.</w:t>
      </w:r>
      <w:r w:rsidRPr="00DE70DC">
        <w:rPr>
          <w:rFonts w:ascii="Arial" w:hAnsi="Arial" w:cs="Arial"/>
          <w:sz w:val="21"/>
          <w:szCs w:val="21"/>
        </w:rPr>
        <w:tab/>
        <w:t>No informar todos los contratos que el Proponente tenga en ejecución antes del cierre, necesarios para acreditar su capacidad residual conforme a la sección 3.11.</w:t>
      </w:r>
    </w:p>
    <w:p w14:paraId="639C7B65" w14:textId="77777777" w:rsidR="000E68FA" w:rsidRPr="00DE70DC" w:rsidRDefault="000E68FA" w:rsidP="00DC578F">
      <w:pPr>
        <w:ind w:left="709" w:right="709"/>
        <w:jc w:val="both"/>
        <w:rPr>
          <w:rFonts w:ascii="Arial" w:hAnsi="Arial" w:cs="Arial"/>
          <w:sz w:val="22"/>
          <w:szCs w:val="20"/>
        </w:rPr>
      </w:pPr>
    </w:p>
    <w:p w14:paraId="46376A2C" w14:textId="632A9C04" w:rsidR="00F60E91" w:rsidRPr="00DE70DC" w:rsidRDefault="00F60E91" w:rsidP="00DC578F">
      <w:pPr>
        <w:spacing w:line="276" w:lineRule="auto"/>
        <w:ind w:firstLine="708"/>
        <w:jc w:val="both"/>
        <w:rPr>
          <w:rFonts w:ascii="Arial" w:hAnsi="Arial" w:cs="Arial"/>
          <w:sz w:val="22"/>
          <w:szCs w:val="20"/>
        </w:rPr>
      </w:pPr>
      <w:r w:rsidRPr="00DE70DC">
        <w:rPr>
          <w:rFonts w:ascii="Arial" w:hAnsi="Arial" w:cs="Arial"/>
          <w:sz w:val="22"/>
          <w:szCs w:val="20"/>
        </w:rPr>
        <w:t xml:space="preserve">Tal y como se consideró en los conceptos del </w:t>
      </w:r>
      <w:r w:rsidR="000E68FA" w:rsidRPr="00DE70DC">
        <w:rPr>
          <w:rFonts w:ascii="Arial" w:hAnsi="Arial" w:cs="Arial"/>
          <w:sz w:val="22"/>
          <w:szCs w:val="20"/>
        </w:rPr>
        <w:t>25 de septiembre y el 23 de diciembre de 2019 −radicados Nos. 2201913000007117 y 2201913000009538−</w:t>
      </w:r>
      <w:r w:rsidRPr="00DE70DC">
        <w:rPr>
          <w:rFonts w:ascii="Arial" w:hAnsi="Arial" w:cs="Arial"/>
          <w:sz w:val="22"/>
          <w:szCs w:val="20"/>
        </w:rPr>
        <w:t>, las causales de rechazo</w:t>
      </w:r>
      <w:r w:rsidR="000E68FA" w:rsidRPr="00DE70DC">
        <w:rPr>
          <w:rFonts w:ascii="Arial" w:hAnsi="Arial" w:cs="Arial"/>
          <w:sz w:val="22"/>
          <w:szCs w:val="20"/>
        </w:rPr>
        <w:t xml:space="preserve"> de ofertas consagradas en los </w:t>
      </w:r>
      <w:r w:rsidR="00DA72B4" w:rsidRPr="00DE70DC">
        <w:rPr>
          <w:rFonts w:ascii="Arial" w:hAnsi="Arial" w:cs="Arial"/>
          <w:sz w:val="22"/>
          <w:szCs w:val="20"/>
        </w:rPr>
        <w:t>d</w:t>
      </w:r>
      <w:r w:rsidR="000E68FA" w:rsidRPr="00DE70DC">
        <w:rPr>
          <w:rFonts w:ascii="Arial" w:hAnsi="Arial" w:cs="Arial"/>
          <w:sz w:val="22"/>
          <w:szCs w:val="20"/>
        </w:rPr>
        <w:t xml:space="preserve">ocumentos </w:t>
      </w:r>
      <w:r w:rsidR="00DA72B4" w:rsidRPr="00DE70DC">
        <w:rPr>
          <w:rFonts w:ascii="Arial" w:hAnsi="Arial" w:cs="Arial"/>
          <w:sz w:val="22"/>
          <w:szCs w:val="20"/>
        </w:rPr>
        <w:t>t</w:t>
      </w:r>
      <w:r w:rsidR="000E68FA" w:rsidRPr="00DE70DC">
        <w:rPr>
          <w:rFonts w:ascii="Arial" w:hAnsi="Arial" w:cs="Arial"/>
          <w:sz w:val="22"/>
          <w:szCs w:val="20"/>
        </w:rPr>
        <w:t xml:space="preserve">ipo </w:t>
      </w:r>
      <w:r w:rsidRPr="00DE70DC">
        <w:rPr>
          <w:rFonts w:ascii="Arial" w:hAnsi="Arial" w:cs="Arial"/>
          <w:sz w:val="22"/>
          <w:szCs w:val="20"/>
        </w:rPr>
        <w:t xml:space="preserve">son taxativas, </w:t>
      </w:r>
      <w:r w:rsidR="00DA72B4" w:rsidRPr="00DE70DC">
        <w:rPr>
          <w:rFonts w:ascii="Arial" w:hAnsi="Arial" w:cs="Arial"/>
          <w:sz w:val="22"/>
          <w:szCs w:val="20"/>
        </w:rPr>
        <w:t>descartándose</w:t>
      </w:r>
      <w:r w:rsidRPr="00DE70DC">
        <w:rPr>
          <w:rFonts w:ascii="Arial" w:hAnsi="Arial" w:cs="Arial"/>
          <w:sz w:val="22"/>
          <w:szCs w:val="20"/>
        </w:rPr>
        <w:t xml:space="preserve"> que l</w:t>
      </w:r>
      <w:r w:rsidR="000E68FA" w:rsidRPr="00DE70DC">
        <w:rPr>
          <w:rFonts w:ascii="Arial" w:hAnsi="Arial" w:cs="Arial"/>
          <w:sz w:val="22"/>
          <w:szCs w:val="20"/>
        </w:rPr>
        <w:t>a</w:t>
      </w:r>
      <w:r w:rsidRPr="00DE70DC">
        <w:rPr>
          <w:rFonts w:ascii="Arial" w:hAnsi="Arial" w:cs="Arial"/>
          <w:sz w:val="22"/>
          <w:szCs w:val="20"/>
        </w:rPr>
        <w:t xml:space="preserve"> entidad </w:t>
      </w:r>
      <w:r w:rsidR="00DA72B4" w:rsidRPr="00DE70DC">
        <w:rPr>
          <w:rFonts w:ascii="Arial" w:hAnsi="Arial" w:cs="Arial"/>
          <w:sz w:val="22"/>
          <w:szCs w:val="20"/>
        </w:rPr>
        <w:t>introduzca</w:t>
      </w:r>
      <w:r w:rsidRPr="00DE70DC">
        <w:rPr>
          <w:rFonts w:ascii="Arial" w:hAnsi="Arial" w:cs="Arial"/>
          <w:sz w:val="22"/>
          <w:szCs w:val="20"/>
        </w:rPr>
        <w:t xml:space="preserve"> </w:t>
      </w:r>
      <w:r w:rsidR="002D3456" w:rsidRPr="00DE70DC">
        <w:rPr>
          <w:rFonts w:ascii="Arial" w:hAnsi="Arial" w:cs="Arial"/>
          <w:sz w:val="22"/>
          <w:szCs w:val="20"/>
        </w:rPr>
        <w:t>causales que no están en otras disposiciones normativas</w:t>
      </w:r>
      <w:r w:rsidRPr="00DE70DC">
        <w:rPr>
          <w:rFonts w:ascii="Arial" w:hAnsi="Arial" w:cs="Arial"/>
          <w:sz w:val="22"/>
          <w:szCs w:val="20"/>
        </w:rPr>
        <w:t xml:space="preserve">. Igualmente, </w:t>
      </w:r>
      <w:r w:rsidR="005731B5" w:rsidRPr="00DE70DC">
        <w:rPr>
          <w:rFonts w:ascii="Arial" w:hAnsi="Arial" w:cs="Arial"/>
          <w:sz w:val="22"/>
          <w:szCs w:val="20"/>
        </w:rPr>
        <w:t>por la naturaleza de la medida</w:t>
      </w:r>
      <w:r w:rsidRPr="00DE70DC">
        <w:rPr>
          <w:rFonts w:ascii="Arial" w:hAnsi="Arial" w:cs="Arial"/>
          <w:sz w:val="22"/>
          <w:szCs w:val="20"/>
        </w:rPr>
        <w:t xml:space="preserve">, </w:t>
      </w:r>
      <w:r w:rsidR="00DA72B4" w:rsidRPr="00DE70DC">
        <w:rPr>
          <w:rFonts w:ascii="Arial" w:hAnsi="Arial" w:cs="Arial"/>
          <w:sz w:val="22"/>
          <w:szCs w:val="20"/>
        </w:rPr>
        <w:t xml:space="preserve">es restrictiva </w:t>
      </w:r>
      <w:r w:rsidR="005731B5" w:rsidRPr="00DE70DC">
        <w:rPr>
          <w:rFonts w:ascii="Arial" w:hAnsi="Arial" w:cs="Arial"/>
          <w:sz w:val="22"/>
          <w:szCs w:val="20"/>
        </w:rPr>
        <w:t xml:space="preserve">la interpretación </w:t>
      </w:r>
      <w:r w:rsidR="00E144AB" w:rsidRPr="00DE70DC">
        <w:rPr>
          <w:rFonts w:ascii="Arial" w:hAnsi="Arial" w:cs="Arial"/>
          <w:sz w:val="22"/>
          <w:szCs w:val="20"/>
        </w:rPr>
        <w:t>d</w:t>
      </w:r>
      <w:r w:rsidR="005731B5" w:rsidRPr="00DE70DC">
        <w:rPr>
          <w:rFonts w:ascii="Arial" w:hAnsi="Arial" w:cs="Arial"/>
          <w:sz w:val="22"/>
          <w:szCs w:val="20"/>
        </w:rPr>
        <w:t>e la</w:t>
      </w:r>
      <w:r w:rsidR="00E144AB" w:rsidRPr="00DE70DC">
        <w:rPr>
          <w:rFonts w:ascii="Arial" w:hAnsi="Arial" w:cs="Arial"/>
          <w:sz w:val="22"/>
          <w:szCs w:val="20"/>
        </w:rPr>
        <w:t>s</w:t>
      </w:r>
      <w:r w:rsidR="005731B5" w:rsidRPr="00DE70DC">
        <w:rPr>
          <w:rFonts w:ascii="Arial" w:hAnsi="Arial" w:cs="Arial"/>
          <w:sz w:val="22"/>
          <w:szCs w:val="20"/>
        </w:rPr>
        <w:t xml:space="preserve"> norma</w:t>
      </w:r>
      <w:r w:rsidR="00E144AB" w:rsidRPr="00DE70DC">
        <w:rPr>
          <w:rFonts w:ascii="Arial" w:hAnsi="Arial" w:cs="Arial"/>
          <w:sz w:val="22"/>
          <w:szCs w:val="20"/>
        </w:rPr>
        <w:t>s</w:t>
      </w:r>
      <w:r w:rsidR="005731B5" w:rsidRPr="00DE70DC">
        <w:rPr>
          <w:rFonts w:ascii="Arial" w:hAnsi="Arial" w:cs="Arial"/>
          <w:sz w:val="22"/>
          <w:szCs w:val="20"/>
        </w:rPr>
        <w:t xml:space="preserve"> que </w:t>
      </w:r>
      <w:r w:rsidR="00DA72B4" w:rsidRPr="00DE70DC">
        <w:rPr>
          <w:rFonts w:ascii="Arial" w:hAnsi="Arial" w:cs="Arial"/>
          <w:sz w:val="22"/>
          <w:szCs w:val="20"/>
        </w:rPr>
        <w:t>fundamentan</w:t>
      </w:r>
      <w:r w:rsidR="00E144AB" w:rsidRPr="00DE70DC">
        <w:rPr>
          <w:rFonts w:ascii="Arial" w:hAnsi="Arial" w:cs="Arial"/>
          <w:sz w:val="22"/>
          <w:szCs w:val="20"/>
        </w:rPr>
        <w:t xml:space="preserve"> las causales de rechazo</w:t>
      </w:r>
      <w:r w:rsidRPr="00DE70DC">
        <w:rPr>
          <w:rFonts w:ascii="Arial" w:hAnsi="Arial" w:cs="Arial"/>
          <w:sz w:val="22"/>
          <w:szCs w:val="20"/>
        </w:rPr>
        <w:t xml:space="preserve">, lo que </w:t>
      </w:r>
      <w:r w:rsidR="00DA72B4" w:rsidRPr="00DE70DC">
        <w:rPr>
          <w:rFonts w:ascii="Arial" w:hAnsi="Arial" w:cs="Arial"/>
          <w:sz w:val="22"/>
          <w:szCs w:val="20"/>
        </w:rPr>
        <w:t>–</w:t>
      </w:r>
      <w:r w:rsidRPr="00DE70DC">
        <w:rPr>
          <w:rFonts w:ascii="Arial" w:hAnsi="Arial" w:cs="Arial"/>
          <w:sz w:val="22"/>
          <w:szCs w:val="20"/>
        </w:rPr>
        <w:t>a juicio de la Agencia Nacional de Contratación Pública</w:t>
      </w:r>
      <w:r w:rsidR="00DA72B4" w:rsidRPr="00DE70DC">
        <w:rPr>
          <w:rFonts w:ascii="Arial" w:hAnsi="Arial" w:cs="Arial"/>
          <w:sz w:val="22"/>
          <w:szCs w:val="20"/>
        </w:rPr>
        <w:t>–</w:t>
      </w:r>
      <w:r w:rsidRPr="00DE70DC">
        <w:rPr>
          <w:rFonts w:ascii="Arial" w:hAnsi="Arial" w:cs="Arial"/>
          <w:sz w:val="22"/>
          <w:szCs w:val="20"/>
        </w:rPr>
        <w:t xml:space="preserve"> significa que su interpretación gramatical</w:t>
      </w:r>
      <w:r w:rsidR="00E144AB" w:rsidRPr="00DE70DC">
        <w:rPr>
          <w:rFonts w:ascii="Arial" w:hAnsi="Arial" w:cs="Arial"/>
          <w:sz w:val="22"/>
          <w:szCs w:val="20"/>
        </w:rPr>
        <w:t xml:space="preserve"> prevalece sobre una interpretación sistemática o de otra índole</w:t>
      </w:r>
      <w:r w:rsidRPr="00DE70DC">
        <w:rPr>
          <w:rFonts w:ascii="Arial" w:hAnsi="Arial" w:cs="Arial"/>
          <w:sz w:val="22"/>
          <w:szCs w:val="20"/>
        </w:rPr>
        <w:t>.</w:t>
      </w:r>
    </w:p>
    <w:p w14:paraId="74600B4A" w14:textId="67884759" w:rsidR="00F60E91" w:rsidRPr="00DE70DC" w:rsidRDefault="002D3456" w:rsidP="00F60E91">
      <w:pPr>
        <w:spacing w:before="120" w:line="276" w:lineRule="auto"/>
        <w:ind w:firstLine="708"/>
        <w:jc w:val="both"/>
        <w:rPr>
          <w:rFonts w:ascii="Arial" w:hAnsi="Arial" w:cs="Arial"/>
          <w:sz w:val="22"/>
          <w:szCs w:val="20"/>
        </w:rPr>
      </w:pPr>
      <w:r w:rsidRPr="00DE70DC">
        <w:rPr>
          <w:rFonts w:ascii="Arial" w:hAnsi="Arial" w:cs="Arial"/>
          <w:sz w:val="22"/>
          <w:szCs w:val="20"/>
        </w:rPr>
        <w:t xml:space="preserve">En ese sentido, </w:t>
      </w:r>
      <w:r w:rsidR="00F60E91" w:rsidRPr="00DE70DC">
        <w:rPr>
          <w:rFonts w:ascii="Arial" w:hAnsi="Arial" w:cs="Arial"/>
          <w:sz w:val="22"/>
          <w:szCs w:val="20"/>
        </w:rPr>
        <w:t xml:space="preserve">la causal </w:t>
      </w:r>
      <w:r w:rsidR="00907A73" w:rsidRPr="00DE70DC">
        <w:rPr>
          <w:rFonts w:ascii="Arial" w:hAnsi="Arial" w:cs="Arial"/>
          <w:sz w:val="22"/>
          <w:szCs w:val="20"/>
        </w:rPr>
        <w:t>del</w:t>
      </w:r>
      <w:r w:rsidR="000E68FA" w:rsidRPr="00DE70DC">
        <w:rPr>
          <w:rFonts w:ascii="Arial" w:hAnsi="Arial" w:cs="Arial"/>
          <w:sz w:val="22"/>
          <w:szCs w:val="20"/>
        </w:rPr>
        <w:t xml:space="preserve"> literal BB</w:t>
      </w:r>
      <w:r w:rsidRPr="00DE70DC">
        <w:rPr>
          <w:rFonts w:ascii="Arial" w:hAnsi="Arial" w:cs="Arial"/>
          <w:sz w:val="22"/>
          <w:szCs w:val="20"/>
        </w:rPr>
        <w:t xml:space="preserve"> </w:t>
      </w:r>
      <w:r w:rsidR="00DA72B4" w:rsidRPr="00DE70DC">
        <w:rPr>
          <w:rFonts w:ascii="Arial" w:hAnsi="Arial" w:cs="Arial"/>
          <w:sz w:val="22"/>
          <w:szCs w:val="20"/>
        </w:rPr>
        <w:t xml:space="preserve">del numeral 1.15 </w:t>
      </w:r>
      <w:r w:rsidRPr="00DE70DC">
        <w:rPr>
          <w:rFonts w:ascii="Arial" w:hAnsi="Arial" w:cs="Arial"/>
          <w:sz w:val="22"/>
          <w:szCs w:val="20"/>
        </w:rPr>
        <w:t xml:space="preserve">únicamente opera cuando el proponente no informa a la entidad </w:t>
      </w:r>
      <w:r w:rsidR="00DA72B4" w:rsidRPr="00DE70DC">
        <w:rPr>
          <w:rFonts w:ascii="Arial" w:hAnsi="Arial" w:cs="Arial"/>
          <w:sz w:val="22"/>
          <w:szCs w:val="20"/>
        </w:rPr>
        <w:t>todos</w:t>
      </w:r>
      <w:r w:rsidRPr="00DE70DC">
        <w:rPr>
          <w:rFonts w:ascii="Arial" w:hAnsi="Arial" w:cs="Arial"/>
          <w:sz w:val="22"/>
          <w:szCs w:val="20"/>
        </w:rPr>
        <w:t xml:space="preserve"> los contratos </w:t>
      </w:r>
      <w:r w:rsidR="005D29B5" w:rsidRPr="00DE70DC">
        <w:rPr>
          <w:rFonts w:ascii="Arial" w:hAnsi="Arial" w:cs="Arial"/>
          <w:sz w:val="22"/>
          <w:szCs w:val="20"/>
        </w:rPr>
        <w:t xml:space="preserve">en ejecución </w:t>
      </w:r>
      <w:r w:rsidRPr="00DE70DC">
        <w:rPr>
          <w:rFonts w:ascii="Arial" w:hAnsi="Arial" w:cs="Arial"/>
          <w:sz w:val="22"/>
          <w:szCs w:val="20"/>
        </w:rPr>
        <w:t xml:space="preserve">antes del cierre, lo que </w:t>
      </w:r>
      <w:r w:rsidR="00907A73" w:rsidRPr="00DE70DC">
        <w:rPr>
          <w:rFonts w:ascii="Arial" w:hAnsi="Arial" w:cs="Arial"/>
          <w:sz w:val="22"/>
          <w:szCs w:val="20"/>
        </w:rPr>
        <w:t>se traduce en un d</w:t>
      </w:r>
      <w:r w:rsidRPr="00DE70DC">
        <w:rPr>
          <w:rFonts w:ascii="Arial" w:hAnsi="Arial" w:cs="Arial"/>
          <w:sz w:val="22"/>
          <w:szCs w:val="20"/>
        </w:rPr>
        <w:t>ebe</w:t>
      </w:r>
      <w:r w:rsidR="00DA72B4" w:rsidRPr="00DE70DC">
        <w:rPr>
          <w:rFonts w:ascii="Arial" w:hAnsi="Arial" w:cs="Arial"/>
          <w:sz w:val="22"/>
          <w:szCs w:val="20"/>
        </w:rPr>
        <w:t>r de cumplir con esta exigencia</w:t>
      </w:r>
      <w:r w:rsidR="00907A73" w:rsidRPr="00DE70DC">
        <w:rPr>
          <w:rFonts w:ascii="Arial" w:hAnsi="Arial" w:cs="Arial"/>
          <w:sz w:val="22"/>
          <w:szCs w:val="20"/>
        </w:rPr>
        <w:t>, sin tener en cuenta la información relacionada con cada uno de ellos</w:t>
      </w:r>
      <w:r w:rsidR="00F60E91" w:rsidRPr="00DE70DC">
        <w:rPr>
          <w:rFonts w:ascii="Arial" w:hAnsi="Arial" w:cs="Arial"/>
          <w:sz w:val="22"/>
          <w:szCs w:val="20"/>
        </w:rPr>
        <w:t xml:space="preserve">. </w:t>
      </w:r>
      <w:r w:rsidR="005D29B5" w:rsidRPr="00DE70DC">
        <w:rPr>
          <w:rFonts w:ascii="Arial" w:hAnsi="Arial" w:cs="Arial"/>
          <w:sz w:val="22"/>
          <w:szCs w:val="20"/>
        </w:rPr>
        <w:t>Por ejemplo, si el contratista tiene en ejecución diez contratos, esta causal operaría si el contratista reporta nueve o menos</w:t>
      </w:r>
      <w:r w:rsidR="00DA72B4" w:rsidRPr="00DE70DC">
        <w:rPr>
          <w:rFonts w:ascii="Arial" w:hAnsi="Arial" w:cs="Arial"/>
          <w:sz w:val="22"/>
          <w:szCs w:val="20"/>
        </w:rPr>
        <w:t>.</w:t>
      </w:r>
      <w:r w:rsidR="00907A73" w:rsidRPr="00DE70DC">
        <w:rPr>
          <w:rFonts w:ascii="Arial" w:hAnsi="Arial" w:cs="Arial"/>
          <w:sz w:val="22"/>
          <w:szCs w:val="20"/>
        </w:rPr>
        <w:t xml:space="preserve"> </w:t>
      </w:r>
      <w:r w:rsidR="00DA72B4" w:rsidRPr="00DE70DC">
        <w:rPr>
          <w:rFonts w:ascii="Arial" w:hAnsi="Arial" w:cs="Arial"/>
          <w:sz w:val="22"/>
          <w:szCs w:val="20"/>
        </w:rPr>
        <w:t>D</w:t>
      </w:r>
      <w:r w:rsidR="00907A73" w:rsidRPr="00DE70DC">
        <w:rPr>
          <w:rFonts w:ascii="Arial" w:hAnsi="Arial" w:cs="Arial"/>
          <w:sz w:val="22"/>
          <w:szCs w:val="20"/>
        </w:rPr>
        <w:t xml:space="preserve">e </w:t>
      </w:r>
      <w:r w:rsidR="0076566F" w:rsidRPr="00DE70DC">
        <w:rPr>
          <w:rFonts w:ascii="Arial" w:hAnsi="Arial" w:cs="Arial"/>
          <w:sz w:val="22"/>
          <w:szCs w:val="20"/>
        </w:rPr>
        <w:t xml:space="preserve">esta </w:t>
      </w:r>
      <w:r w:rsidR="00DA72B4" w:rsidRPr="00DE70DC">
        <w:rPr>
          <w:rFonts w:ascii="Arial" w:hAnsi="Arial" w:cs="Arial"/>
          <w:sz w:val="22"/>
          <w:szCs w:val="20"/>
        </w:rPr>
        <w:t>manera, la</w:t>
      </w:r>
      <w:r w:rsidR="005D29B5" w:rsidRPr="00DE70DC">
        <w:rPr>
          <w:rFonts w:ascii="Arial" w:hAnsi="Arial" w:cs="Arial"/>
          <w:sz w:val="22"/>
          <w:szCs w:val="20"/>
        </w:rPr>
        <w:t xml:space="preserve"> causal </w:t>
      </w:r>
      <w:r w:rsidR="00DA72B4" w:rsidRPr="00DE70DC">
        <w:rPr>
          <w:rFonts w:ascii="Arial" w:hAnsi="Arial" w:cs="Arial"/>
          <w:sz w:val="22"/>
          <w:szCs w:val="20"/>
        </w:rPr>
        <w:t>de rechazo no se aplica</w:t>
      </w:r>
      <w:r w:rsidR="005D29B5" w:rsidRPr="00DE70DC">
        <w:rPr>
          <w:rFonts w:ascii="Arial" w:hAnsi="Arial" w:cs="Arial"/>
          <w:sz w:val="22"/>
          <w:szCs w:val="20"/>
        </w:rPr>
        <w:t xml:space="preserve"> cuando el proponente come</w:t>
      </w:r>
      <w:r w:rsidR="00DA72B4" w:rsidRPr="00DE70DC">
        <w:rPr>
          <w:rFonts w:ascii="Arial" w:hAnsi="Arial" w:cs="Arial"/>
          <w:sz w:val="22"/>
          <w:szCs w:val="20"/>
        </w:rPr>
        <w:t>te</w:t>
      </w:r>
      <w:r w:rsidR="005D29B5" w:rsidRPr="00DE70DC">
        <w:rPr>
          <w:rFonts w:ascii="Arial" w:hAnsi="Arial" w:cs="Arial"/>
          <w:sz w:val="22"/>
          <w:szCs w:val="20"/>
        </w:rPr>
        <w:t xml:space="preserve"> errores en la información de los contratos </w:t>
      </w:r>
      <w:r w:rsidR="00D577D1" w:rsidRPr="00DE70DC">
        <w:rPr>
          <w:rFonts w:ascii="Arial" w:hAnsi="Arial" w:cs="Arial"/>
          <w:sz w:val="22"/>
          <w:szCs w:val="20"/>
        </w:rPr>
        <w:t>en ejecución</w:t>
      </w:r>
      <w:r w:rsidR="005D29B5" w:rsidRPr="00DE70DC">
        <w:rPr>
          <w:rFonts w:ascii="Arial" w:hAnsi="Arial" w:cs="Arial"/>
          <w:sz w:val="22"/>
          <w:szCs w:val="20"/>
        </w:rPr>
        <w:t xml:space="preserve">, pues, </w:t>
      </w:r>
      <w:r w:rsidR="00D577D1" w:rsidRPr="00DE70DC">
        <w:rPr>
          <w:rFonts w:ascii="Arial" w:hAnsi="Arial" w:cs="Arial"/>
          <w:sz w:val="22"/>
          <w:szCs w:val="20"/>
        </w:rPr>
        <w:t>siempre que los reporte en su totalidad</w:t>
      </w:r>
      <w:r w:rsidR="005D29B5" w:rsidRPr="00DE70DC">
        <w:rPr>
          <w:rFonts w:ascii="Arial" w:hAnsi="Arial" w:cs="Arial"/>
          <w:sz w:val="22"/>
          <w:szCs w:val="20"/>
        </w:rPr>
        <w:t xml:space="preserve">, no se configura el supuesto </w:t>
      </w:r>
      <w:r w:rsidR="00D577D1" w:rsidRPr="00DE70DC">
        <w:rPr>
          <w:rFonts w:ascii="Arial" w:hAnsi="Arial" w:cs="Arial"/>
          <w:sz w:val="22"/>
          <w:szCs w:val="20"/>
        </w:rPr>
        <w:t>para rechazarla</w:t>
      </w:r>
      <w:r w:rsidR="005D29B5" w:rsidRPr="00DE70DC">
        <w:rPr>
          <w:rFonts w:ascii="Arial" w:hAnsi="Arial" w:cs="Arial"/>
          <w:sz w:val="22"/>
          <w:szCs w:val="20"/>
        </w:rPr>
        <w:t xml:space="preserve">. </w:t>
      </w:r>
      <w:r w:rsidR="00D577D1" w:rsidRPr="00DE70DC">
        <w:rPr>
          <w:rFonts w:ascii="Arial" w:hAnsi="Arial" w:cs="Arial"/>
          <w:sz w:val="22"/>
          <w:szCs w:val="20"/>
        </w:rPr>
        <w:t>Lo anterior</w:t>
      </w:r>
      <w:r w:rsidRPr="00DE70DC">
        <w:rPr>
          <w:rFonts w:ascii="Arial" w:hAnsi="Arial" w:cs="Arial"/>
          <w:sz w:val="22"/>
          <w:szCs w:val="20"/>
        </w:rPr>
        <w:t xml:space="preserve">, sin perjuicio de que </w:t>
      </w:r>
      <w:r w:rsidR="00D577D1" w:rsidRPr="00DE70DC">
        <w:rPr>
          <w:rFonts w:ascii="Arial" w:hAnsi="Arial" w:cs="Arial"/>
          <w:sz w:val="22"/>
          <w:szCs w:val="20"/>
        </w:rPr>
        <w:t xml:space="preserve">tenga consecuencias para el proponte </w:t>
      </w:r>
      <w:r w:rsidRPr="00DE70DC">
        <w:rPr>
          <w:rFonts w:ascii="Arial" w:hAnsi="Arial" w:cs="Arial"/>
          <w:sz w:val="22"/>
          <w:szCs w:val="20"/>
        </w:rPr>
        <w:t>omitir</w:t>
      </w:r>
      <w:r w:rsidR="00907A73" w:rsidRPr="00DE70DC">
        <w:rPr>
          <w:rFonts w:ascii="Arial" w:hAnsi="Arial" w:cs="Arial"/>
          <w:sz w:val="22"/>
          <w:szCs w:val="20"/>
        </w:rPr>
        <w:t xml:space="preserve"> o errar en</w:t>
      </w:r>
      <w:r w:rsidRPr="00DE70DC">
        <w:rPr>
          <w:rFonts w:ascii="Arial" w:hAnsi="Arial" w:cs="Arial"/>
          <w:sz w:val="22"/>
          <w:szCs w:val="20"/>
        </w:rPr>
        <w:t xml:space="preserve"> la información específica de</w:t>
      </w:r>
      <w:r w:rsidR="005D29B5" w:rsidRPr="00DE70DC">
        <w:rPr>
          <w:rFonts w:ascii="Arial" w:hAnsi="Arial" w:cs="Arial"/>
          <w:sz w:val="22"/>
          <w:szCs w:val="20"/>
        </w:rPr>
        <w:t xml:space="preserve"> cada</w:t>
      </w:r>
      <w:r w:rsidR="00907A73" w:rsidRPr="00DE70DC">
        <w:rPr>
          <w:rFonts w:ascii="Arial" w:hAnsi="Arial" w:cs="Arial"/>
          <w:sz w:val="22"/>
          <w:szCs w:val="20"/>
        </w:rPr>
        <w:t xml:space="preserve"> uno de los</w:t>
      </w:r>
      <w:r w:rsidR="005D29B5" w:rsidRPr="00DE70DC">
        <w:rPr>
          <w:rFonts w:ascii="Arial" w:hAnsi="Arial" w:cs="Arial"/>
          <w:sz w:val="22"/>
          <w:szCs w:val="20"/>
        </w:rPr>
        <w:t xml:space="preserve"> </w:t>
      </w:r>
      <w:r w:rsidRPr="00DE70DC">
        <w:rPr>
          <w:rFonts w:ascii="Arial" w:hAnsi="Arial" w:cs="Arial"/>
          <w:sz w:val="22"/>
          <w:szCs w:val="20"/>
        </w:rPr>
        <w:t>contrato</w:t>
      </w:r>
      <w:r w:rsidR="00907A73" w:rsidRPr="00DE70DC">
        <w:rPr>
          <w:rFonts w:ascii="Arial" w:hAnsi="Arial" w:cs="Arial"/>
          <w:sz w:val="22"/>
          <w:szCs w:val="20"/>
        </w:rPr>
        <w:t>s reportados</w:t>
      </w:r>
      <w:r w:rsidR="00D577D1" w:rsidRPr="00DE70DC">
        <w:rPr>
          <w:rFonts w:ascii="Arial" w:hAnsi="Arial" w:cs="Arial"/>
          <w:sz w:val="22"/>
          <w:szCs w:val="20"/>
        </w:rPr>
        <w:t xml:space="preserve"> –</w:t>
      </w:r>
      <w:r w:rsidR="005D29B5" w:rsidRPr="00DE70DC">
        <w:rPr>
          <w:rFonts w:ascii="Arial" w:hAnsi="Arial" w:cs="Arial"/>
          <w:sz w:val="22"/>
          <w:szCs w:val="20"/>
        </w:rPr>
        <w:t xml:space="preserve">esto es, </w:t>
      </w:r>
      <w:r w:rsidR="00907A73" w:rsidRPr="00DE70DC">
        <w:rPr>
          <w:rFonts w:ascii="Arial" w:hAnsi="Arial" w:cs="Arial"/>
          <w:sz w:val="22"/>
          <w:szCs w:val="20"/>
        </w:rPr>
        <w:t xml:space="preserve">la </w:t>
      </w:r>
      <w:r w:rsidR="005D29B5" w:rsidRPr="00DE70DC">
        <w:rPr>
          <w:rFonts w:ascii="Arial" w:hAnsi="Arial" w:cs="Arial"/>
          <w:sz w:val="22"/>
          <w:szCs w:val="20"/>
        </w:rPr>
        <w:t>cuantía</w:t>
      </w:r>
      <w:r w:rsidR="00907A73" w:rsidRPr="00DE70DC">
        <w:rPr>
          <w:rFonts w:ascii="Arial" w:hAnsi="Arial" w:cs="Arial"/>
          <w:sz w:val="22"/>
          <w:szCs w:val="20"/>
        </w:rPr>
        <w:t xml:space="preserve"> o el </w:t>
      </w:r>
      <w:r w:rsidR="005D29B5" w:rsidRPr="00DE70DC">
        <w:rPr>
          <w:rFonts w:ascii="Arial" w:hAnsi="Arial" w:cs="Arial"/>
          <w:sz w:val="22"/>
          <w:szCs w:val="20"/>
        </w:rPr>
        <w:t>plazo, entre otro</w:t>
      </w:r>
      <w:r w:rsidR="00D577D1" w:rsidRPr="00DE70DC">
        <w:rPr>
          <w:rFonts w:ascii="Arial" w:hAnsi="Arial" w:cs="Arial"/>
          <w:sz w:val="22"/>
          <w:szCs w:val="20"/>
        </w:rPr>
        <w:t>–</w:t>
      </w:r>
      <w:r w:rsidR="00907A73" w:rsidRPr="00DE70DC">
        <w:rPr>
          <w:rFonts w:ascii="Arial" w:hAnsi="Arial" w:cs="Arial"/>
          <w:sz w:val="22"/>
          <w:szCs w:val="20"/>
        </w:rPr>
        <w:t xml:space="preserve">, </w:t>
      </w:r>
      <w:r w:rsidR="00D577D1" w:rsidRPr="00DE70DC">
        <w:rPr>
          <w:rFonts w:ascii="Arial" w:hAnsi="Arial" w:cs="Arial"/>
          <w:sz w:val="22"/>
          <w:szCs w:val="20"/>
        </w:rPr>
        <w:t>pues</w:t>
      </w:r>
      <w:r w:rsidR="00907A73" w:rsidRPr="00DE70DC">
        <w:rPr>
          <w:rFonts w:ascii="Arial" w:hAnsi="Arial" w:cs="Arial"/>
          <w:sz w:val="22"/>
          <w:szCs w:val="20"/>
        </w:rPr>
        <w:t xml:space="preserve"> </w:t>
      </w:r>
      <w:r w:rsidRPr="00DE70DC">
        <w:rPr>
          <w:rFonts w:ascii="Arial" w:hAnsi="Arial" w:cs="Arial"/>
          <w:sz w:val="22"/>
          <w:szCs w:val="20"/>
        </w:rPr>
        <w:t>la entidad p</w:t>
      </w:r>
      <w:r w:rsidR="00D577D1" w:rsidRPr="00DE70DC">
        <w:rPr>
          <w:rFonts w:ascii="Arial" w:hAnsi="Arial" w:cs="Arial"/>
          <w:sz w:val="22"/>
          <w:szCs w:val="20"/>
        </w:rPr>
        <w:t>odrá</w:t>
      </w:r>
      <w:r w:rsidRPr="00DE70DC">
        <w:rPr>
          <w:rFonts w:ascii="Arial" w:hAnsi="Arial" w:cs="Arial"/>
          <w:sz w:val="22"/>
          <w:szCs w:val="20"/>
        </w:rPr>
        <w:t xml:space="preserve"> requerir</w:t>
      </w:r>
      <w:r w:rsidR="00D577D1" w:rsidRPr="00DE70DC">
        <w:rPr>
          <w:rFonts w:ascii="Arial" w:hAnsi="Arial" w:cs="Arial"/>
          <w:sz w:val="22"/>
          <w:szCs w:val="20"/>
        </w:rPr>
        <w:t>lo</w:t>
      </w:r>
      <w:r w:rsidRPr="00DE70DC">
        <w:rPr>
          <w:rFonts w:ascii="Arial" w:hAnsi="Arial" w:cs="Arial"/>
          <w:sz w:val="22"/>
          <w:szCs w:val="20"/>
        </w:rPr>
        <w:t xml:space="preserve"> para que complemente</w:t>
      </w:r>
      <w:r w:rsidR="00907A73" w:rsidRPr="00DE70DC">
        <w:rPr>
          <w:rFonts w:ascii="Arial" w:hAnsi="Arial" w:cs="Arial"/>
          <w:sz w:val="22"/>
          <w:szCs w:val="20"/>
        </w:rPr>
        <w:t xml:space="preserve"> la</w:t>
      </w:r>
      <w:r w:rsidRPr="00DE70DC">
        <w:rPr>
          <w:rFonts w:ascii="Arial" w:hAnsi="Arial" w:cs="Arial"/>
          <w:sz w:val="22"/>
          <w:szCs w:val="20"/>
        </w:rPr>
        <w:t xml:space="preserve"> información </w:t>
      </w:r>
      <w:r w:rsidR="00907A73" w:rsidRPr="00DE70DC">
        <w:rPr>
          <w:rFonts w:ascii="Arial" w:hAnsi="Arial" w:cs="Arial"/>
          <w:sz w:val="22"/>
          <w:szCs w:val="20"/>
        </w:rPr>
        <w:t xml:space="preserve">aportada </w:t>
      </w:r>
      <w:r w:rsidRPr="00DE70DC">
        <w:rPr>
          <w:rFonts w:ascii="Arial" w:hAnsi="Arial" w:cs="Arial"/>
          <w:sz w:val="22"/>
          <w:szCs w:val="20"/>
        </w:rPr>
        <w:t xml:space="preserve">y, </w:t>
      </w:r>
      <w:r w:rsidR="00D577D1" w:rsidRPr="00DE70DC">
        <w:rPr>
          <w:rFonts w:ascii="Arial" w:hAnsi="Arial" w:cs="Arial"/>
          <w:sz w:val="22"/>
          <w:szCs w:val="20"/>
        </w:rPr>
        <w:t>en caso de no responder al mismo</w:t>
      </w:r>
      <w:r w:rsidRPr="00DE70DC">
        <w:rPr>
          <w:rFonts w:ascii="Arial" w:hAnsi="Arial" w:cs="Arial"/>
          <w:sz w:val="22"/>
          <w:szCs w:val="20"/>
        </w:rPr>
        <w:t>, recha</w:t>
      </w:r>
      <w:r w:rsidR="005D29B5" w:rsidRPr="00DE70DC">
        <w:rPr>
          <w:rFonts w:ascii="Arial" w:hAnsi="Arial" w:cs="Arial"/>
          <w:sz w:val="22"/>
          <w:szCs w:val="20"/>
        </w:rPr>
        <w:t>zar</w:t>
      </w:r>
      <w:r w:rsidRPr="00DE70DC">
        <w:rPr>
          <w:rFonts w:ascii="Arial" w:hAnsi="Arial" w:cs="Arial"/>
          <w:sz w:val="22"/>
          <w:szCs w:val="20"/>
        </w:rPr>
        <w:t xml:space="preserve"> la propuesta</w:t>
      </w:r>
      <w:r w:rsidR="005D29B5" w:rsidRPr="00DE70DC">
        <w:rPr>
          <w:rFonts w:ascii="Arial" w:hAnsi="Arial" w:cs="Arial"/>
          <w:sz w:val="22"/>
          <w:szCs w:val="20"/>
        </w:rPr>
        <w:t xml:space="preserve"> por </w:t>
      </w:r>
      <w:r w:rsidR="0076566F" w:rsidRPr="00DE70DC">
        <w:rPr>
          <w:rFonts w:ascii="Arial" w:hAnsi="Arial" w:cs="Arial"/>
          <w:sz w:val="22"/>
          <w:szCs w:val="20"/>
        </w:rPr>
        <w:t>la causal que consagra el literal E del numeral 1.15 del Documento Base «versiones 1 y 2 de licitación pública»</w:t>
      </w:r>
      <w:r w:rsidR="005D29B5" w:rsidRPr="00DE70DC">
        <w:rPr>
          <w:rFonts w:ascii="Arial" w:hAnsi="Arial" w:cs="Arial"/>
          <w:sz w:val="22"/>
          <w:szCs w:val="20"/>
        </w:rPr>
        <w:t>.</w:t>
      </w:r>
      <w:r w:rsidRPr="00DE70DC">
        <w:rPr>
          <w:rFonts w:ascii="Arial" w:hAnsi="Arial" w:cs="Arial"/>
          <w:sz w:val="22"/>
          <w:szCs w:val="20"/>
        </w:rPr>
        <w:t xml:space="preserve"> L</w:t>
      </w:r>
      <w:r w:rsidR="00F60E91" w:rsidRPr="00DE70DC">
        <w:rPr>
          <w:rFonts w:ascii="Arial" w:hAnsi="Arial" w:cs="Arial"/>
          <w:sz w:val="22"/>
        </w:rPr>
        <w:t>a configuración de la causal de rechazo</w:t>
      </w:r>
      <w:r w:rsidR="00907A73" w:rsidRPr="00DE70DC">
        <w:rPr>
          <w:rFonts w:ascii="Arial" w:hAnsi="Arial" w:cs="Arial"/>
          <w:sz w:val="22"/>
        </w:rPr>
        <w:t xml:space="preserve"> del literal BB</w:t>
      </w:r>
      <w:r w:rsidRPr="00DE70DC">
        <w:rPr>
          <w:rFonts w:ascii="Arial" w:hAnsi="Arial" w:cs="Arial"/>
          <w:sz w:val="22"/>
        </w:rPr>
        <w:t>, entonces,</w:t>
      </w:r>
      <w:r w:rsidR="005D29B5" w:rsidRPr="00DE70DC">
        <w:rPr>
          <w:rFonts w:ascii="Arial" w:hAnsi="Arial" w:cs="Arial"/>
          <w:sz w:val="22"/>
        </w:rPr>
        <w:t xml:space="preserve"> </w:t>
      </w:r>
      <w:r w:rsidR="00F60E91" w:rsidRPr="00DE70DC">
        <w:rPr>
          <w:rFonts w:ascii="Arial" w:hAnsi="Arial" w:cs="Arial"/>
          <w:sz w:val="22"/>
        </w:rPr>
        <w:t xml:space="preserve">es objetiva, </w:t>
      </w:r>
      <w:r w:rsidR="00907A73" w:rsidRPr="00DE70DC">
        <w:rPr>
          <w:rFonts w:ascii="Arial" w:hAnsi="Arial" w:cs="Arial"/>
          <w:sz w:val="22"/>
        </w:rPr>
        <w:t>pues solo</w:t>
      </w:r>
      <w:r w:rsidR="00F60E91" w:rsidRPr="00DE70DC">
        <w:rPr>
          <w:rFonts w:ascii="Arial" w:hAnsi="Arial" w:cs="Arial"/>
          <w:sz w:val="22"/>
        </w:rPr>
        <w:t xml:space="preserve"> opera ante</w:t>
      </w:r>
      <w:r w:rsidRPr="00DE70DC">
        <w:rPr>
          <w:rFonts w:ascii="Arial" w:hAnsi="Arial" w:cs="Arial"/>
          <w:sz w:val="22"/>
        </w:rPr>
        <w:t xml:space="preserve"> la omisión del proponente de informar el número total de contratos en ejecución antes del cierre</w:t>
      </w:r>
      <w:r w:rsidR="00F60E91" w:rsidRPr="00DE70DC">
        <w:rPr>
          <w:rFonts w:ascii="Arial" w:hAnsi="Arial" w:cs="Arial"/>
          <w:sz w:val="22"/>
        </w:rPr>
        <w:t>.</w:t>
      </w:r>
    </w:p>
    <w:p w14:paraId="528EC654" w14:textId="5660ABC6" w:rsidR="00F60E91" w:rsidRPr="00DE70DC" w:rsidRDefault="00907A73" w:rsidP="00F60E91">
      <w:pPr>
        <w:spacing w:before="120" w:line="276" w:lineRule="auto"/>
        <w:ind w:firstLine="708"/>
        <w:jc w:val="both"/>
        <w:rPr>
          <w:rFonts w:ascii="Arial" w:hAnsi="Arial" w:cs="Arial"/>
          <w:sz w:val="22"/>
          <w:szCs w:val="20"/>
        </w:rPr>
      </w:pPr>
      <w:r w:rsidRPr="00DE70DC">
        <w:rPr>
          <w:rFonts w:ascii="Arial" w:hAnsi="Arial" w:cs="Arial"/>
          <w:sz w:val="22"/>
          <w:szCs w:val="20"/>
        </w:rPr>
        <w:t>Lo dicho antes tampoco excluye la posibilidad de que la entidad pueda rechazar la oferta si considera configurada la causal consagrada en el literal H</w:t>
      </w:r>
      <w:r w:rsidR="00F92E29" w:rsidRPr="00DE70DC">
        <w:rPr>
          <w:rFonts w:ascii="Arial" w:hAnsi="Arial" w:cs="Arial"/>
          <w:sz w:val="22"/>
          <w:szCs w:val="20"/>
        </w:rPr>
        <w:t xml:space="preserve"> del numeral 1.15</w:t>
      </w:r>
      <w:r w:rsidRPr="00DE70DC">
        <w:rPr>
          <w:rFonts w:ascii="Arial" w:hAnsi="Arial" w:cs="Arial"/>
          <w:sz w:val="22"/>
          <w:szCs w:val="20"/>
        </w:rPr>
        <w:t xml:space="preserve">, </w:t>
      </w:r>
      <w:r w:rsidRPr="00DE70DC">
        <w:rPr>
          <w:rFonts w:ascii="Arial" w:hAnsi="Arial" w:cs="Arial"/>
          <w:sz w:val="22"/>
          <w:szCs w:val="20"/>
        </w:rPr>
        <w:lastRenderedPageBreak/>
        <w:t xml:space="preserve">previamente </w:t>
      </w:r>
      <w:r w:rsidR="00314899" w:rsidRPr="00DE70DC">
        <w:rPr>
          <w:rFonts w:ascii="Arial" w:hAnsi="Arial" w:cs="Arial"/>
          <w:sz w:val="22"/>
          <w:szCs w:val="20"/>
        </w:rPr>
        <w:t>citado</w:t>
      </w:r>
      <w:r w:rsidRPr="00DE70DC">
        <w:rPr>
          <w:rFonts w:ascii="Arial" w:hAnsi="Arial" w:cs="Arial"/>
          <w:sz w:val="22"/>
          <w:szCs w:val="20"/>
        </w:rPr>
        <w:t xml:space="preserve">, </w:t>
      </w:r>
      <w:r w:rsidR="00314899" w:rsidRPr="00DE70DC">
        <w:rPr>
          <w:rFonts w:ascii="Arial" w:hAnsi="Arial" w:cs="Arial"/>
          <w:sz w:val="22"/>
          <w:szCs w:val="20"/>
        </w:rPr>
        <w:t>la cual aplica</w:t>
      </w:r>
      <w:r w:rsidRPr="00DE70DC">
        <w:rPr>
          <w:rFonts w:ascii="Arial" w:hAnsi="Arial" w:cs="Arial"/>
          <w:sz w:val="22"/>
          <w:szCs w:val="20"/>
        </w:rPr>
        <w:t xml:space="preserve"> cuando el proponente aporta información inexacta a la luz del numeral 1.1. </w:t>
      </w:r>
      <w:r w:rsidR="00CA0C3E" w:rsidRPr="00DE70DC">
        <w:rPr>
          <w:rFonts w:ascii="Arial" w:hAnsi="Arial" w:cs="Arial"/>
          <w:sz w:val="22"/>
          <w:szCs w:val="20"/>
        </w:rPr>
        <w:t xml:space="preserve">de los Documentos Base o Pliegos Tipos, que </w:t>
      </w:r>
      <w:r w:rsidRPr="00DE70DC">
        <w:rPr>
          <w:rFonts w:ascii="Arial" w:hAnsi="Arial" w:cs="Arial"/>
          <w:sz w:val="22"/>
          <w:szCs w:val="20"/>
        </w:rPr>
        <w:t>dice</w:t>
      </w:r>
      <w:r w:rsidR="00CA0C3E" w:rsidRPr="00DE70DC">
        <w:rPr>
          <w:rFonts w:ascii="Arial" w:hAnsi="Arial" w:cs="Arial"/>
          <w:sz w:val="22"/>
          <w:szCs w:val="20"/>
        </w:rPr>
        <w:t>:</w:t>
      </w:r>
      <w:r w:rsidR="00F60E91" w:rsidRPr="00DE70DC">
        <w:rPr>
          <w:rFonts w:ascii="Arial" w:hAnsi="Arial" w:cs="Arial"/>
          <w:sz w:val="22"/>
          <w:szCs w:val="20"/>
        </w:rPr>
        <w:t xml:space="preserve"> </w:t>
      </w:r>
    </w:p>
    <w:p w14:paraId="374FC9F8" w14:textId="77777777" w:rsidR="00A14F3C" w:rsidRPr="00DE70DC" w:rsidRDefault="00A14F3C" w:rsidP="00A14F3C">
      <w:pPr>
        <w:spacing w:line="276" w:lineRule="auto"/>
        <w:jc w:val="both"/>
        <w:rPr>
          <w:rFonts w:ascii="Arial" w:hAnsi="Arial" w:cs="Arial"/>
          <w:sz w:val="22"/>
        </w:rPr>
      </w:pPr>
    </w:p>
    <w:p w14:paraId="3392B91C" w14:textId="55AAB69A" w:rsidR="00A14F3C" w:rsidRPr="00DE70DC" w:rsidRDefault="00A14F3C" w:rsidP="00804CE6">
      <w:pPr>
        <w:spacing w:after="120"/>
        <w:ind w:left="709" w:right="709"/>
        <w:jc w:val="both"/>
        <w:rPr>
          <w:rFonts w:ascii="Arial" w:hAnsi="Arial" w:cs="Arial"/>
          <w:b/>
          <w:bCs/>
          <w:sz w:val="21"/>
          <w:szCs w:val="21"/>
          <w:lang w:val="es-CO"/>
        </w:rPr>
      </w:pPr>
      <w:bookmarkStart w:id="1" w:name="_Toc508648251"/>
      <w:bookmarkStart w:id="2" w:name="_Toc508984035"/>
      <w:bookmarkStart w:id="3" w:name="_Toc509843865"/>
      <w:bookmarkStart w:id="4" w:name="_Toc511924773"/>
      <w:bookmarkStart w:id="5" w:name="_Toc520226862"/>
      <w:bookmarkStart w:id="6" w:name="_Toc520297832"/>
      <w:bookmarkStart w:id="7" w:name="_Toc520317097"/>
      <w:bookmarkStart w:id="8" w:name="_Toc533083698"/>
      <w:bookmarkStart w:id="9" w:name="_Ref4940712"/>
      <w:bookmarkStart w:id="10" w:name="_Toc5006129"/>
      <w:r w:rsidRPr="00DE70DC">
        <w:rPr>
          <w:rFonts w:ascii="Arial" w:hAnsi="Arial" w:cs="Arial"/>
          <w:b/>
          <w:bCs/>
          <w:sz w:val="21"/>
          <w:szCs w:val="21"/>
          <w:lang w:val="es-CO"/>
        </w:rPr>
        <w:t>1.11 INFORMACIÓN INEXACTA</w:t>
      </w:r>
      <w:bookmarkEnd w:id="1"/>
      <w:bookmarkEnd w:id="2"/>
      <w:bookmarkEnd w:id="3"/>
      <w:bookmarkEnd w:id="4"/>
      <w:bookmarkEnd w:id="5"/>
      <w:bookmarkEnd w:id="6"/>
      <w:bookmarkEnd w:id="7"/>
      <w:bookmarkEnd w:id="8"/>
      <w:bookmarkEnd w:id="9"/>
      <w:bookmarkEnd w:id="10"/>
      <w:r w:rsidRPr="00DE70DC">
        <w:rPr>
          <w:rFonts w:ascii="Arial" w:hAnsi="Arial" w:cs="Arial"/>
          <w:b/>
          <w:bCs/>
          <w:sz w:val="21"/>
          <w:szCs w:val="21"/>
          <w:lang w:val="es-CO"/>
        </w:rPr>
        <w:t xml:space="preserve"> </w:t>
      </w:r>
    </w:p>
    <w:p w14:paraId="1ED445E2" w14:textId="77777777" w:rsidR="00A14F3C" w:rsidRPr="00DE70DC" w:rsidRDefault="00A14F3C" w:rsidP="00804CE6">
      <w:pPr>
        <w:spacing w:after="120"/>
        <w:ind w:left="709" w:right="709"/>
        <w:jc w:val="both"/>
        <w:rPr>
          <w:rFonts w:ascii="Arial" w:hAnsi="Arial" w:cs="Arial"/>
          <w:sz w:val="21"/>
          <w:szCs w:val="21"/>
          <w:lang w:val="es-CO"/>
        </w:rPr>
      </w:pPr>
      <w:r w:rsidRPr="00DE70DC">
        <w:rPr>
          <w:rFonts w:ascii="Arial" w:hAnsi="Arial" w:cs="Arial"/>
          <w:sz w:val="21"/>
          <w:szCs w:val="21"/>
          <w:lang w:val="es-CO"/>
        </w:rPr>
        <w:t xml:space="preserve">La Entidad se reserva el derecho de verificar integralmente la información aportada por el Proponente. Para esto, puede acudir a las autoridades, personas, empresas o entidades respectivas. </w:t>
      </w:r>
    </w:p>
    <w:p w14:paraId="5089B95B" w14:textId="77777777" w:rsidR="00A14F3C" w:rsidRPr="00DE70DC" w:rsidRDefault="00A14F3C" w:rsidP="00804CE6">
      <w:pPr>
        <w:spacing w:after="120"/>
        <w:ind w:left="709" w:right="709"/>
        <w:jc w:val="both"/>
        <w:rPr>
          <w:rFonts w:ascii="Arial" w:hAnsi="Arial" w:cs="Arial"/>
          <w:sz w:val="21"/>
          <w:szCs w:val="21"/>
          <w:lang w:val="es-CO"/>
        </w:rPr>
      </w:pPr>
    </w:p>
    <w:p w14:paraId="52F635D6" w14:textId="112C0C76" w:rsidR="00A14F3C" w:rsidRPr="00DE70DC" w:rsidRDefault="00A14F3C" w:rsidP="00804CE6">
      <w:pPr>
        <w:spacing w:after="120"/>
        <w:ind w:left="709" w:right="709"/>
        <w:jc w:val="both"/>
        <w:rPr>
          <w:rFonts w:ascii="Arial" w:hAnsi="Arial" w:cs="Arial"/>
          <w:sz w:val="21"/>
          <w:szCs w:val="21"/>
          <w:lang w:val="es-CO"/>
        </w:rPr>
      </w:pPr>
      <w:r w:rsidRPr="00DE70DC">
        <w:rPr>
          <w:rFonts w:ascii="Arial" w:hAnsi="Arial" w:cs="Arial"/>
          <w:sz w:val="21"/>
          <w:szCs w:val="21"/>
          <w:lang w:val="es-CO"/>
        </w:rPr>
        <w:t xml:space="preserve">Cuando exista inconsistencia entre la información suministrada por el Proponente y la efectivamente verificada por la Entidad, la información que pretende demostrar el Proponente se tendrá por no acreditada. </w:t>
      </w:r>
    </w:p>
    <w:p w14:paraId="4A7C4622" w14:textId="77777777" w:rsidR="00A14F3C" w:rsidRPr="00DE70DC" w:rsidRDefault="00A14F3C" w:rsidP="00804CE6">
      <w:pPr>
        <w:ind w:left="709" w:right="709"/>
        <w:jc w:val="both"/>
        <w:rPr>
          <w:rFonts w:ascii="Arial" w:hAnsi="Arial" w:cs="Arial"/>
          <w:sz w:val="21"/>
          <w:szCs w:val="21"/>
          <w:lang w:val="es-CO"/>
        </w:rPr>
      </w:pPr>
      <w:r w:rsidRPr="00DE70DC">
        <w:rPr>
          <w:rFonts w:ascii="Arial" w:hAnsi="Arial" w:cs="Arial"/>
          <w:sz w:val="21"/>
          <w:szCs w:val="21"/>
          <w:lang w:val="es-CO"/>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1C9B55B4" w14:textId="77777777" w:rsidR="00A14F3C" w:rsidRPr="00DE70DC" w:rsidRDefault="00A14F3C" w:rsidP="00A14F3C">
      <w:pPr>
        <w:spacing w:line="276" w:lineRule="auto"/>
        <w:jc w:val="both"/>
        <w:rPr>
          <w:rFonts w:ascii="Arial" w:hAnsi="Arial" w:cs="Arial"/>
          <w:sz w:val="22"/>
          <w:lang w:val="es-CO"/>
        </w:rPr>
      </w:pPr>
    </w:p>
    <w:p w14:paraId="0E339B95" w14:textId="4F1EC0E2" w:rsidR="00A14F3C" w:rsidRPr="00DE70DC" w:rsidRDefault="00A14F3C" w:rsidP="00A14F3C">
      <w:pPr>
        <w:spacing w:after="120" w:line="276" w:lineRule="auto"/>
        <w:ind w:firstLine="709"/>
        <w:jc w:val="both"/>
        <w:rPr>
          <w:rFonts w:ascii="Arial" w:hAnsi="Arial" w:cs="Arial"/>
          <w:sz w:val="22"/>
          <w:lang w:val="es-CO"/>
        </w:rPr>
      </w:pPr>
      <w:proofErr w:type="gramStart"/>
      <w:r w:rsidRPr="00DE70DC">
        <w:rPr>
          <w:rFonts w:ascii="Arial" w:hAnsi="Arial" w:cs="Arial"/>
          <w:sz w:val="22"/>
          <w:lang w:val="es-CO"/>
        </w:rPr>
        <w:t xml:space="preserve">El anterior numeral </w:t>
      </w:r>
      <w:r w:rsidR="00334B76" w:rsidRPr="00DE70DC">
        <w:rPr>
          <w:rFonts w:ascii="Arial" w:hAnsi="Arial" w:cs="Arial"/>
          <w:sz w:val="22"/>
          <w:lang w:val="es-CO"/>
        </w:rPr>
        <w:t>faculta</w:t>
      </w:r>
      <w:proofErr w:type="gramEnd"/>
      <w:r w:rsidR="00334B76" w:rsidRPr="00DE70DC">
        <w:rPr>
          <w:rFonts w:ascii="Arial" w:hAnsi="Arial" w:cs="Arial"/>
          <w:sz w:val="22"/>
          <w:lang w:val="es-CO"/>
        </w:rPr>
        <w:t xml:space="preserve"> </w:t>
      </w:r>
      <w:r w:rsidRPr="00DE70DC">
        <w:rPr>
          <w:rFonts w:ascii="Arial" w:hAnsi="Arial" w:cs="Arial"/>
          <w:sz w:val="22"/>
          <w:lang w:val="es-CO"/>
        </w:rPr>
        <w:t xml:space="preserve">a la entidad estatal para </w:t>
      </w:r>
      <w:r w:rsidR="00334B76" w:rsidRPr="00DE70DC">
        <w:rPr>
          <w:rFonts w:ascii="Arial" w:hAnsi="Arial" w:cs="Arial"/>
          <w:sz w:val="22"/>
          <w:lang w:val="es-CO"/>
        </w:rPr>
        <w:t xml:space="preserve">verificar </w:t>
      </w:r>
      <w:r w:rsidRPr="00DE70DC">
        <w:rPr>
          <w:rFonts w:ascii="Arial" w:hAnsi="Arial" w:cs="Arial"/>
          <w:sz w:val="22"/>
          <w:lang w:val="es-CO"/>
        </w:rPr>
        <w:t xml:space="preserve">la información </w:t>
      </w:r>
      <w:r w:rsidR="00334B76" w:rsidRPr="00DE70DC">
        <w:rPr>
          <w:rFonts w:ascii="Arial" w:hAnsi="Arial" w:cs="Arial"/>
          <w:sz w:val="22"/>
          <w:lang w:val="es-CO"/>
        </w:rPr>
        <w:t>aportada por</w:t>
      </w:r>
      <w:r w:rsidRPr="00DE70DC">
        <w:rPr>
          <w:rFonts w:ascii="Arial" w:hAnsi="Arial" w:cs="Arial"/>
          <w:sz w:val="22"/>
          <w:lang w:val="es-CO"/>
        </w:rPr>
        <w:t xml:space="preserve"> el proponente, para lo cual </w:t>
      </w:r>
      <w:r w:rsidR="00334B76" w:rsidRPr="00DE70DC">
        <w:rPr>
          <w:rFonts w:ascii="Arial" w:hAnsi="Arial" w:cs="Arial"/>
          <w:sz w:val="22"/>
          <w:lang w:val="es-CO"/>
        </w:rPr>
        <w:t>acudirá</w:t>
      </w:r>
      <w:r w:rsidRPr="00DE70DC">
        <w:rPr>
          <w:rFonts w:ascii="Arial" w:hAnsi="Arial" w:cs="Arial"/>
          <w:sz w:val="22"/>
          <w:lang w:val="es-CO"/>
        </w:rPr>
        <w:t xml:space="preserve"> a las autoridades, personas, empresas o entidades. Sin embargo, </w:t>
      </w:r>
      <w:r w:rsidR="00334B76" w:rsidRPr="00DE70DC">
        <w:rPr>
          <w:rFonts w:ascii="Arial" w:hAnsi="Arial" w:cs="Arial"/>
          <w:sz w:val="22"/>
          <w:lang w:val="es-CO"/>
        </w:rPr>
        <w:t>esta verificación es potestativa</w:t>
      </w:r>
      <w:r w:rsidR="00C108FF" w:rsidRPr="00DE70DC">
        <w:rPr>
          <w:rFonts w:ascii="Arial" w:hAnsi="Arial" w:cs="Arial"/>
          <w:sz w:val="22"/>
          <w:lang w:val="es-CO"/>
        </w:rPr>
        <w:t>, no obligatoria</w:t>
      </w:r>
      <w:r w:rsidRPr="00DE70DC">
        <w:rPr>
          <w:rFonts w:ascii="Arial" w:hAnsi="Arial" w:cs="Arial"/>
          <w:sz w:val="22"/>
          <w:lang w:val="es-CO"/>
        </w:rPr>
        <w:t xml:space="preserve">, </w:t>
      </w:r>
      <w:r w:rsidR="00334B76" w:rsidRPr="00DE70DC">
        <w:rPr>
          <w:rFonts w:ascii="Arial" w:hAnsi="Arial" w:cs="Arial"/>
          <w:sz w:val="22"/>
          <w:lang w:val="es-CO"/>
        </w:rPr>
        <w:t>pues</w:t>
      </w:r>
      <w:r w:rsidRPr="00DE70DC">
        <w:rPr>
          <w:rFonts w:ascii="Arial" w:hAnsi="Arial" w:cs="Arial"/>
          <w:sz w:val="22"/>
          <w:lang w:val="es-CO"/>
        </w:rPr>
        <w:t xml:space="preserve"> los proce</w:t>
      </w:r>
      <w:r w:rsidR="00334B76" w:rsidRPr="00DE70DC">
        <w:rPr>
          <w:rFonts w:ascii="Arial" w:hAnsi="Arial" w:cs="Arial"/>
          <w:sz w:val="22"/>
          <w:lang w:val="es-CO"/>
        </w:rPr>
        <w:t>dimientos</w:t>
      </w:r>
      <w:r w:rsidRPr="00DE70DC">
        <w:rPr>
          <w:rFonts w:ascii="Arial" w:hAnsi="Arial" w:cs="Arial"/>
          <w:sz w:val="22"/>
          <w:lang w:val="es-CO"/>
        </w:rPr>
        <w:t xml:space="preserve"> de contratación exige</w:t>
      </w:r>
      <w:r w:rsidR="00C108FF" w:rsidRPr="00DE70DC">
        <w:rPr>
          <w:rFonts w:ascii="Arial" w:hAnsi="Arial" w:cs="Arial"/>
          <w:sz w:val="22"/>
          <w:lang w:val="es-CO"/>
        </w:rPr>
        <w:t xml:space="preserve">n que </w:t>
      </w:r>
      <w:r w:rsidRPr="00DE70DC">
        <w:rPr>
          <w:rFonts w:ascii="Arial" w:hAnsi="Arial" w:cs="Arial"/>
          <w:sz w:val="22"/>
          <w:lang w:val="es-CO"/>
        </w:rPr>
        <w:t xml:space="preserve">los proponentes </w:t>
      </w:r>
      <w:r w:rsidR="00C108FF" w:rsidRPr="00DE70DC">
        <w:rPr>
          <w:rFonts w:ascii="Arial" w:hAnsi="Arial" w:cs="Arial"/>
          <w:sz w:val="22"/>
          <w:lang w:val="es-CO"/>
        </w:rPr>
        <w:t>actúen conforme a</w:t>
      </w:r>
      <w:r w:rsidRPr="00DE70DC">
        <w:rPr>
          <w:rFonts w:ascii="Arial" w:hAnsi="Arial" w:cs="Arial"/>
          <w:sz w:val="22"/>
          <w:lang w:val="es-CO"/>
        </w:rPr>
        <w:t xml:space="preserve">l principio de la buena fe, que se debe manifestar </w:t>
      </w:r>
      <w:r w:rsidR="00C108FF" w:rsidRPr="00DE70DC">
        <w:rPr>
          <w:rFonts w:ascii="Arial" w:hAnsi="Arial" w:cs="Arial"/>
          <w:sz w:val="22"/>
          <w:lang w:val="es-CO"/>
        </w:rPr>
        <w:t xml:space="preserve">en </w:t>
      </w:r>
      <w:r w:rsidRPr="00DE70DC">
        <w:rPr>
          <w:rFonts w:ascii="Arial" w:hAnsi="Arial" w:cs="Arial"/>
          <w:sz w:val="22"/>
          <w:lang w:val="es-CO"/>
        </w:rPr>
        <w:t xml:space="preserve">la presentación completa y veraz de la información que constituye su oferta, así como la lealtad y comportamiento adecuado frente a la entidad estatal y los demás proponentes durante las diferentes etapas del </w:t>
      </w:r>
      <w:r w:rsidR="007741D9" w:rsidRPr="00DE70DC">
        <w:rPr>
          <w:rFonts w:ascii="Arial" w:hAnsi="Arial" w:cs="Arial"/>
          <w:sz w:val="22"/>
          <w:lang w:val="es-CO"/>
        </w:rPr>
        <w:t xml:space="preserve">procedimiento </w:t>
      </w:r>
      <w:r w:rsidRPr="00DE70DC">
        <w:rPr>
          <w:rFonts w:ascii="Arial" w:hAnsi="Arial" w:cs="Arial"/>
          <w:sz w:val="22"/>
          <w:lang w:val="es-CO"/>
        </w:rPr>
        <w:t xml:space="preserve">de contratación.  </w:t>
      </w:r>
    </w:p>
    <w:p w14:paraId="6CE457A7" w14:textId="43438C62" w:rsidR="00A14F3C" w:rsidRPr="00DE70DC" w:rsidRDefault="001F790E" w:rsidP="00A14F3C">
      <w:pPr>
        <w:spacing w:before="120" w:after="120" w:line="276" w:lineRule="auto"/>
        <w:ind w:firstLine="709"/>
        <w:jc w:val="both"/>
        <w:rPr>
          <w:rFonts w:ascii="Arial" w:hAnsi="Arial" w:cs="Arial"/>
          <w:sz w:val="22"/>
          <w:lang w:val="es-CO"/>
        </w:rPr>
      </w:pPr>
      <w:r w:rsidRPr="00DE70DC">
        <w:rPr>
          <w:rFonts w:ascii="Arial" w:hAnsi="Arial" w:cs="Arial"/>
          <w:sz w:val="22"/>
          <w:lang w:val="es-CO"/>
        </w:rPr>
        <w:t>Dentro de este marco</w:t>
      </w:r>
      <w:r w:rsidR="00A14F3C" w:rsidRPr="00DE70DC">
        <w:rPr>
          <w:rFonts w:ascii="Arial" w:hAnsi="Arial" w:cs="Arial"/>
          <w:sz w:val="22"/>
          <w:lang w:val="es-CO"/>
        </w:rPr>
        <w:t>, est</w:t>
      </w:r>
      <w:r w:rsidRPr="00DE70DC">
        <w:rPr>
          <w:rFonts w:ascii="Arial" w:hAnsi="Arial" w:cs="Arial"/>
          <w:sz w:val="22"/>
          <w:lang w:val="es-CO"/>
        </w:rPr>
        <w:t>a prerrogativa</w:t>
      </w:r>
      <w:r w:rsidR="00A14F3C" w:rsidRPr="00DE70DC">
        <w:rPr>
          <w:rFonts w:ascii="Arial" w:hAnsi="Arial" w:cs="Arial"/>
          <w:sz w:val="22"/>
          <w:lang w:val="es-CO"/>
        </w:rPr>
        <w:t xml:space="preserve"> es una herramienta para que la </w:t>
      </w:r>
      <w:r w:rsidRPr="00DE70DC">
        <w:rPr>
          <w:rFonts w:ascii="Arial" w:hAnsi="Arial" w:cs="Arial"/>
          <w:sz w:val="22"/>
          <w:lang w:val="es-CO"/>
        </w:rPr>
        <w:t>Administración adquiera</w:t>
      </w:r>
      <w:r w:rsidR="00A14F3C" w:rsidRPr="00DE70DC">
        <w:rPr>
          <w:rFonts w:ascii="Arial" w:hAnsi="Arial" w:cs="Arial"/>
          <w:sz w:val="22"/>
          <w:lang w:val="es-CO"/>
        </w:rPr>
        <w:t xml:space="preserve"> certeza </w:t>
      </w:r>
      <w:r w:rsidRPr="00DE70DC">
        <w:rPr>
          <w:rFonts w:ascii="Arial" w:hAnsi="Arial" w:cs="Arial"/>
          <w:sz w:val="22"/>
          <w:lang w:val="es-CO"/>
        </w:rPr>
        <w:t>en el</w:t>
      </w:r>
      <w:r w:rsidR="00A14F3C" w:rsidRPr="00DE70DC">
        <w:rPr>
          <w:rFonts w:ascii="Arial" w:hAnsi="Arial" w:cs="Arial"/>
          <w:sz w:val="22"/>
          <w:lang w:val="es-CO"/>
        </w:rPr>
        <w:t xml:space="preserve"> cumplimiento de los requisitos </w:t>
      </w:r>
      <w:r w:rsidRPr="00DE70DC">
        <w:rPr>
          <w:rFonts w:ascii="Arial" w:hAnsi="Arial" w:cs="Arial"/>
          <w:sz w:val="22"/>
          <w:lang w:val="es-CO"/>
        </w:rPr>
        <w:t xml:space="preserve">del procedimiento de selección </w:t>
      </w:r>
      <w:r w:rsidR="00A14F3C" w:rsidRPr="00DE70DC">
        <w:rPr>
          <w:rFonts w:ascii="Arial" w:hAnsi="Arial" w:cs="Arial"/>
          <w:sz w:val="22"/>
          <w:lang w:val="es-CO"/>
        </w:rPr>
        <w:t xml:space="preserve">y del comportamiento leal que se exige </w:t>
      </w:r>
      <w:r w:rsidRPr="00DE70DC">
        <w:rPr>
          <w:rFonts w:ascii="Arial" w:hAnsi="Arial" w:cs="Arial"/>
          <w:sz w:val="22"/>
          <w:lang w:val="es-CO"/>
        </w:rPr>
        <w:t xml:space="preserve">a los </w:t>
      </w:r>
      <w:r w:rsidR="00A14F3C" w:rsidRPr="00DE70DC">
        <w:rPr>
          <w:rFonts w:ascii="Arial" w:hAnsi="Arial" w:cs="Arial"/>
          <w:sz w:val="22"/>
          <w:lang w:val="es-CO"/>
        </w:rPr>
        <w:t>proponente</w:t>
      </w:r>
      <w:r w:rsidRPr="00DE70DC">
        <w:rPr>
          <w:rFonts w:ascii="Arial" w:hAnsi="Arial" w:cs="Arial"/>
          <w:sz w:val="22"/>
          <w:lang w:val="es-CO"/>
        </w:rPr>
        <w:t>s en virtud del principio de buena fe</w:t>
      </w:r>
      <w:r w:rsidR="00A14F3C" w:rsidRPr="00DE70DC">
        <w:rPr>
          <w:rFonts w:ascii="Arial" w:hAnsi="Arial" w:cs="Arial"/>
          <w:sz w:val="22"/>
          <w:lang w:val="es-CO"/>
        </w:rPr>
        <w:t>.</w:t>
      </w:r>
    </w:p>
    <w:p w14:paraId="524C199E" w14:textId="3549C7A0" w:rsidR="00F60E91" w:rsidRPr="00DE70DC" w:rsidRDefault="001F790E" w:rsidP="00F60E91">
      <w:pPr>
        <w:spacing w:before="120" w:after="120" w:line="276" w:lineRule="auto"/>
        <w:ind w:firstLine="708"/>
        <w:jc w:val="both"/>
        <w:rPr>
          <w:rFonts w:ascii="Arial" w:eastAsiaTheme="minorEastAsia" w:hAnsi="Arial" w:cs="Arial"/>
          <w:sz w:val="22"/>
          <w:lang w:eastAsia="es-CO"/>
        </w:rPr>
      </w:pPr>
      <w:r w:rsidRPr="00DE70DC">
        <w:rPr>
          <w:rFonts w:ascii="Arial" w:eastAsiaTheme="minorEastAsia" w:hAnsi="Arial" w:cs="Arial"/>
          <w:sz w:val="22"/>
          <w:lang w:eastAsia="es-CO"/>
        </w:rPr>
        <w:t>Es importante considerar</w:t>
      </w:r>
      <w:r w:rsidR="00F60E91" w:rsidRPr="00DE70DC">
        <w:rPr>
          <w:rFonts w:ascii="Arial" w:eastAsiaTheme="minorEastAsia" w:hAnsi="Arial" w:cs="Arial"/>
          <w:sz w:val="22"/>
          <w:lang w:eastAsia="es-CO"/>
        </w:rPr>
        <w:t xml:space="preserve"> que, según lo </w:t>
      </w:r>
      <w:r w:rsidRPr="00DE70DC">
        <w:rPr>
          <w:rFonts w:ascii="Arial" w:eastAsiaTheme="minorEastAsia" w:hAnsi="Arial" w:cs="Arial"/>
          <w:sz w:val="22"/>
          <w:lang w:eastAsia="es-CO"/>
        </w:rPr>
        <w:t>explicado</w:t>
      </w:r>
      <w:r w:rsidR="00F60E91" w:rsidRPr="00DE70DC">
        <w:rPr>
          <w:rFonts w:ascii="Arial" w:eastAsiaTheme="minorEastAsia" w:hAnsi="Arial" w:cs="Arial"/>
          <w:sz w:val="22"/>
          <w:lang w:eastAsia="es-CO"/>
        </w:rPr>
        <w:t xml:space="preserve"> en el concepto</w:t>
      </w:r>
      <w:r w:rsidR="00BF59DD" w:rsidRPr="00DE70DC">
        <w:rPr>
          <w:rFonts w:ascii="Arial" w:eastAsiaTheme="minorEastAsia" w:hAnsi="Arial" w:cs="Arial"/>
          <w:sz w:val="22"/>
          <w:lang w:eastAsia="es-CO"/>
        </w:rPr>
        <w:t xml:space="preserve"> con radicado 2201913000008148</w:t>
      </w:r>
      <w:r w:rsidR="00F60E91" w:rsidRPr="00DE70DC">
        <w:rPr>
          <w:rFonts w:ascii="Arial" w:eastAsiaTheme="minorEastAsia" w:hAnsi="Arial" w:cs="Arial"/>
          <w:sz w:val="22"/>
          <w:lang w:eastAsia="es-CO"/>
        </w:rPr>
        <w:t xml:space="preserve"> del 30 de octubre de 2019, la inexactitud </w:t>
      </w:r>
      <w:r w:rsidR="00BF59DD" w:rsidRPr="00DE70DC">
        <w:rPr>
          <w:rFonts w:ascii="Arial" w:eastAsiaTheme="minorEastAsia" w:hAnsi="Arial" w:cs="Arial"/>
          <w:sz w:val="22"/>
          <w:lang w:eastAsia="es-CO"/>
        </w:rPr>
        <w:t>–</w:t>
      </w:r>
      <w:r w:rsidR="00F60E91" w:rsidRPr="00DE70DC">
        <w:rPr>
          <w:rFonts w:ascii="Arial" w:eastAsiaTheme="minorEastAsia" w:hAnsi="Arial" w:cs="Arial"/>
          <w:sz w:val="22"/>
          <w:lang w:eastAsia="es-CO"/>
        </w:rPr>
        <w:t xml:space="preserve">en el contexto de los </w:t>
      </w:r>
      <w:r w:rsidR="00BF59DD" w:rsidRPr="00DE70DC">
        <w:rPr>
          <w:rFonts w:ascii="Arial" w:eastAsiaTheme="minorEastAsia" w:hAnsi="Arial" w:cs="Arial"/>
          <w:sz w:val="22"/>
          <w:lang w:eastAsia="es-CO"/>
        </w:rPr>
        <w:t>«</w:t>
      </w:r>
      <w:r w:rsidR="00F60E91" w:rsidRPr="00DE70DC">
        <w:rPr>
          <w:rFonts w:ascii="Arial" w:eastAsiaTheme="minorEastAsia" w:hAnsi="Arial" w:cs="Arial"/>
          <w:sz w:val="22"/>
          <w:lang w:eastAsia="es-CO"/>
        </w:rPr>
        <w:t>Documentos Tipo</w:t>
      </w:r>
      <w:r w:rsidR="00BF59DD" w:rsidRPr="00DE70DC">
        <w:rPr>
          <w:rFonts w:ascii="Arial" w:eastAsiaTheme="minorEastAsia" w:hAnsi="Arial" w:cs="Arial"/>
          <w:sz w:val="22"/>
          <w:lang w:eastAsia="es-CO"/>
        </w:rPr>
        <w:t>»–</w:t>
      </w:r>
      <w:r w:rsidR="00F60E91" w:rsidRPr="00DE70DC">
        <w:rPr>
          <w:rFonts w:ascii="Arial" w:eastAsiaTheme="minorEastAsia" w:hAnsi="Arial" w:cs="Arial"/>
          <w:sz w:val="22"/>
          <w:lang w:eastAsia="es-CO"/>
        </w:rPr>
        <w:t xml:space="preserve"> </w:t>
      </w:r>
      <w:r w:rsidR="00BF59DD" w:rsidRPr="00DE70DC">
        <w:rPr>
          <w:rFonts w:ascii="Arial" w:eastAsiaTheme="minorEastAsia" w:hAnsi="Arial" w:cs="Arial"/>
          <w:sz w:val="22"/>
          <w:lang w:eastAsia="es-CO"/>
        </w:rPr>
        <w:t>se entiende</w:t>
      </w:r>
      <w:r w:rsidR="00F60E91" w:rsidRPr="00DE70DC">
        <w:rPr>
          <w:rFonts w:ascii="Arial" w:eastAsiaTheme="minorEastAsia" w:hAnsi="Arial" w:cs="Arial"/>
          <w:sz w:val="22"/>
          <w:lang w:eastAsia="es-CO"/>
        </w:rPr>
        <w:t xml:space="preserve"> como «la disparidad, imprecisión, disconformidad o falta de precisión que se da de una información a otra». En tales documentos, continúa el concepto, «se habla de inexactitud cuando la información que aporta el proponente no concuerda con la que verifica la entidad, lo cual lleva a que esta información se entienda como no acreditada».</w:t>
      </w:r>
    </w:p>
    <w:p w14:paraId="0F03882C" w14:textId="6418C2C1" w:rsidR="00A14F3C" w:rsidRPr="00DE70DC" w:rsidRDefault="00A14F3C" w:rsidP="00A14F3C">
      <w:pPr>
        <w:spacing w:before="120" w:after="120" w:line="276" w:lineRule="auto"/>
        <w:ind w:firstLine="709"/>
        <w:jc w:val="both"/>
        <w:rPr>
          <w:rFonts w:ascii="Arial" w:hAnsi="Arial" w:cs="Arial"/>
          <w:sz w:val="22"/>
          <w:lang w:val="es-CO"/>
        </w:rPr>
      </w:pPr>
      <w:r w:rsidRPr="00DE70DC">
        <w:rPr>
          <w:rFonts w:ascii="Arial" w:hAnsi="Arial" w:cs="Arial"/>
          <w:sz w:val="22"/>
          <w:lang w:val="es-CO"/>
        </w:rPr>
        <w:t>La regla de verificación de la información contempla dos</w:t>
      </w:r>
      <w:r w:rsidR="00BF59DD" w:rsidRPr="00DE70DC">
        <w:rPr>
          <w:rFonts w:ascii="Arial" w:hAnsi="Arial" w:cs="Arial"/>
          <w:sz w:val="22"/>
          <w:lang w:val="es-CO"/>
        </w:rPr>
        <w:t xml:space="preserve"> (2)</w:t>
      </w:r>
      <w:r w:rsidRPr="00DE70DC">
        <w:rPr>
          <w:rFonts w:ascii="Arial" w:hAnsi="Arial" w:cs="Arial"/>
          <w:sz w:val="22"/>
          <w:lang w:val="es-CO"/>
        </w:rPr>
        <w:t xml:space="preserve"> supuestos, con consecuencias diferentes: el primero, señala que una vez verificada la información y evidenciada la inconsistencia, la entidad estatal</w:t>
      </w:r>
      <w:r w:rsidR="00BF59DD" w:rsidRPr="00DE70DC">
        <w:rPr>
          <w:rFonts w:ascii="Arial" w:hAnsi="Arial" w:cs="Arial"/>
          <w:sz w:val="22"/>
          <w:lang w:val="es-CO"/>
        </w:rPr>
        <w:t xml:space="preserve"> la</w:t>
      </w:r>
      <w:r w:rsidRPr="00DE70DC">
        <w:rPr>
          <w:rFonts w:ascii="Arial" w:hAnsi="Arial" w:cs="Arial"/>
          <w:sz w:val="22"/>
          <w:lang w:val="es-CO"/>
        </w:rPr>
        <w:t xml:space="preserve"> tendrá por no acreditada</w:t>
      </w:r>
      <w:r w:rsidR="00BF59DD" w:rsidRPr="00DE70DC">
        <w:rPr>
          <w:rFonts w:ascii="Arial" w:hAnsi="Arial" w:cs="Arial"/>
          <w:sz w:val="22"/>
          <w:lang w:val="es-CO"/>
        </w:rPr>
        <w:t>.</w:t>
      </w:r>
      <w:r w:rsidRPr="00DE70DC">
        <w:rPr>
          <w:rFonts w:ascii="Arial" w:hAnsi="Arial" w:cs="Arial"/>
          <w:sz w:val="22"/>
          <w:lang w:val="es-CO"/>
        </w:rPr>
        <w:t xml:space="preserve"> </w:t>
      </w:r>
      <w:r w:rsidR="00BF59DD" w:rsidRPr="00DE70DC">
        <w:rPr>
          <w:rFonts w:ascii="Arial" w:hAnsi="Arial" w:cs="Arial"/>
          <w:sz w:val="22"/>
          <w:lang w:val="es-CO"/>
        </w:rPr>
        <w:t>P</w:t>
      </w:r>
      <w:r w:rsidRPr="00DE70DC">
        <w:rPr>
          <w:rFonts w:ascii="Arial" w:hAnsi="Arial" w:cs="Arial"/>
          <w:sz w:val="22"/>
          <w:lang w:val="es-CO"/>
        </w:rPr>
        <w:t xml:space="preserve">or ejemplo, en el evento en que se presente una certificación de experiencia y ante las observaciones recibidas en el traslado del informe de evaluación se verifique con la entidad contratante </w:t>
      </w:r>
      <w:r w:rsidRPr="00DE70DC">
        <w:rPr>
          <w:rFonts w:ascii="Arial" w:hAnsi="Arial" w:cs="Arial"/>
          <w:sz w:val="22"/>
          <w:lang w:val="es-CO"/>
        </w:rPr>
        <w:lastRenderedPageBreak/>
        <w:t>que</w:t>
      </w:r>
      <w:r w:rsidR="001B3306" w:rsidRPr="00DE70DC">
        <w:rPr>
          <w:rFonts w:ascii="Arial" w:hAnsi="Arial" w:cs="Arial"/>
          <w:sz w:val="22"/>
          <w:lang w:val="es-CO"/>
        </w:rPr>
        <w:t xml:space="preserve"> las</w:t>
      </w:r>
      <w:r w:rsidRPr="00DE70DC">
        <w:rPr>
          <w:rFonts w:ascii="Arial" w:hAnsi="Arial" w:cs="Arial"/>
          <w:sz w:val="22"/>
          <w:lang w:val="es-CO"/>
        </w:rPr>
        <w:t xml:space="preserve"> emitió con información que no </w:t>
      </w:r>
      <w:r w:rsidR="001B3306" w:rsidRPr="00DE70DC">
        <w:rPr>
          <w:rFonts w:ascii="Arial" w:hAnsi="Arial" w:cs="Arial"/>
          <w:sz w:val="22"/>
          <w:lang w:val="es-CO"/>
        </w:rPr>
        <w:t>determina</w:t>
      </w:r>
      <w:r w:rsidRPr="00DE70DC">
        <w:rPr>
          <w:rFonts w:ascii="Arial" w:hAnsi="Arial" w:cs="Arial"/>
          <w:sz w:val="22"/>
          <w:lang w:val="es-CO"/>
        </w:rPr>
        <w:t xml:space="preserve"> las actividades del objeto contractual ejecutado, la entidad que adelanta el proceso de contratación, ante la duda, no tendrá en cuenta dicha certificación para la evaluación de la experiencia, sin perjuicio de que el proponente cumpla con este requisito con l</w:t>
      </w:r>
      <w:r w:rsidR="001B3306" w:rsidRPr="00DE70DC">
        <w:rPr>
          <w:rFonts w:ascii="Arial" w:hAnsi="Arial" w:cs="Arial"/>
          <w:sz w:val="22"/>
          <w:lang w:val="es-CO"/>
        </w:rPr>
        <w:t>o</w:t>
      </w:r>
      <w:r w:rsidRPr="00DE70DC">
        <w:rPr>
          <w:rFonts w:ascii="Arial" w:hAnsi="Arial" w:cs="Arial"/>
          <w:sz w:val="22"/>
          <w:lang w:val="es-CO"/>
        </w:rPr>
        <w:t>s demás certifica</w:t>
      </w:r>
      <w:r w:rsidR="001B3306" w:rsidRPr="00DE70DC">
        <w:rPr>
          <w:rFonts w:ascii="Arial" w:hAnsi="Arial" w:cs="Arial"/>
          <w:sz w:val="22"/>
          <w:lang w:val="es-CO"/>
        </w:rPr>
        <w:t>dos que aporte</w:t>
      </w:r>
      <w:r w:rsidRPr="00DE70DC">
        <w:rPr>
          <w:rFonts w:ascii="Arial" w:hAnsi="Arial" w:cs="Arial"/>
          <w:sz w:val="22"/>
          <w:lang w:val="es-CO"/>
        </w:rPr>
        <w:t>. En este evento se trata de inconsistencias que</w:t>
      </w:r>
      <w:r w:rsidR="001B3306" w:rsidRPr="00DE70DC">
        <w:rPr>
          <w:rFonts w:ascii="Arial" w:hAnsi="Arial" w:cs="Arial"/>
          <w:sz w:val="22"/>
          <w:lang w:val="es-CO"/>
        </w:rPr>
        <w:t xml:space="preserve">, aunque no se superan </w:t>
      </w:r>
      <w:r w:rsidRPr="00DE70DC">
        <w:rPr>
          <w:rFonts w:ascii="Arial" w:hAnsi="Arial" w:cs="Arial"/>
          <w:sz w:val="22"/>
          <w:lang w:val="es-CO"/>
        </w:rPr>
        <w:t xml:space="preserve">por la ausencia de medio probatorio, no tienen la connotación de falsedad. </w:t>
      </w:r>
    </w:p>
    <w:p w14:paraId="158BC60C" w14:textId="4DCF9110" w:rsidR="00A14F3C" w:rsidRPr="00DE70DC" w:rsidRDefault="00A14F3C" w:rsidP="00A14F3C">
      <w:pPr>
        <w:spacing w:before="120" w:after="120" w:line="276" w:lineRule="auto"/>
        <w:ind w:firstLine="709"/>
        <w:jc w:val="both"/>
        <w:rPr>
          <w:rFonts w:ascii="Arial" w:hAnsi="Arial" w:cs="Arial"/>
          <w:sz w:val="22"/>
          <w:lang w:val="es-CO"/>
        </w:rPr>
      </w:pPr>
      <w:r w:rsidRPr="00DE70DC">
        <w:rPr>
          <w:rFonts w:ascii="Arial" w:hAnsi="Arial" w:cs="Arial"/>
          <w:sz w:val="22"/>
          <w:lang w:val="es-CO"/>
        </w:rPr>
        <w:t xml:space="preserve">El segundo evento aplica cuando de la verificación realizada por la entidad estatal se corrobora que las inconsistencias </w:t>
      </w:r>
      <w:r w:rsidR="001B3306" w:rsidRPr="00DE70DC">
        <w:rPr>
          <w:rFonts w:ascii="Arial" w:hAnsi="Arial" w:cs="Arial"/>
          <w:sz w:val="22"/>
          <w:lang w:val="es-CO"/>
        </w:rPr>
        <w:t>derivan de</w:t>
      </w:r>
      <w:r w:rsidRPr="00DE70DC">
        <w:rPr>
          <w:rFonts w:ascii="Arial" w:hAnsi="Arial" w:cs="Arial"/>
          <w:sz w:val="22"/>
          <w:lang w:val="es-CO"/>
        </w:rPr>
        <w:t xml:space="preserve"> una presunta falsedad no desvirtuada por el proponente, caso en el cual se procede con el rechazo de la oferta y se informa a las autoridades correspondientes. Siguiendo con el ejemplo propuesto de la certificación de experiencia, la entidad, al comunicarse con la entidad estatal contratante, le informan que la certificación aportada por el proponente no fue expedida por cuanto ese objeto no ha sido contratado. En este supuesto, cuando la entidad estatal tiene el suficiente convencimiento de la existencia de la presunta falsedad y luego de dar la oportunidad para que el proponente se manifieste, </w:t>
      </w:r>
      <w:r w:rsidR="001B3306" w:rsidRPr="00DE70DC">
        <w:rPr>
          <w:rFonts w:ascii="Arial" w:hAnsi="Arial" w:cs="Arial"/>
          <w:sz w:val="22"/>
          <w:lang w:val="es-CO"/>
        </w:rPr>
        <w:t xml:space="preserve">es necesario </w:t>
      </w:r>
      <w:r w:rsidRPr="00DE70DC">
        <w:rPr>
          <w:rFonts w:ascii="Arial" w:hAnsi="Arial" w:cs="Arial"/>
          <w:sz w:val="22"/>
          <w:lang w:val="es-CO"/>
        </w:rPr>
        <w:t xml:space="preserve">rechazar la oferta y compulsar copias a las autoridades competentes, quienes adelantaran las respectivas investigaciones. </w:t>
      </w:r>
    </w:p>
    <w:p w14:paraId="2E396778" w14:textId="2EFD0348" w:rsidR="00A14F3C" w:rsidRPr="00DE70DC" w:rsidRDefault="00A14F3C" w:rsidP="00A14F3C">
      <w:pPr>
        <w:spacing w:before="120" w:line="276" w:lineRule="auto"/>
        <w:ind w:firstLine="709"/>
        <w:jc w:val="both"/>
        <w:rPr>
          <w:rFonts w:ascii="Arial" w:hAnsi="Arial" w:cs="Arial"/>
          <w:sz w:val="22"/>
          <w:lang w:val="es-CO"/>
        </w:rPr>
      </w:pPr>
      <w:r w:rsidRPr="00DE70DC">
        <w:rPr>
          <w:rFonts w:ascii="Arial" w:hAnsi="Arial" w:cs="Arial"/>
          <w:sz w:val="22"/>
          <w:lang w:val="es-CO"/>
        </w:rPr>
        <w:t xml:space="preserve">Las reglas previstas en el numeral 1.11 del «Documento Base» aplican frente a la totalidad de la información y documentación aportada para el cumplimiento de los requisitos habilitantes y de ponderación de las propuestas. Sin embargo, el «Documento Base» adoptado por la Resolución No. 1798 de 2019, contempla una consecuencia diferente para la verificación del cumplimiento de la capacidad residual del proponente, cuando la entidad estatal, en uso de la potestad verificadora, advierte que se dejó de incluir por parte de </w:t>
      </w:r>
      <w:proofErr w:type="gramStart"/>
      <w:r w:rsidRPr="00DE70DC">
        <w:rPr>
          <w:rFonts w:ascii="Arial" w:hAnsi="Arial" w:cs="Arial"/>
          <w:sz w:val="22"/>
          <w:lang w:val="es-CO"/>
        </w:rPr>
        <w:t xml:space="preserve">un </w:t>
      </w:r>
      <w:r w:rsidR="00BF46EB" w:rsidRPr="00DE70DC">
        <w:rPr>
          <w:rFonts w:ascii="Arial" w:hAnsi="Arial" w:cs="Arial"/>
          <w:sz w:val="22"/>
          <w:lang w:val="es-CO"/>
        </w:rPr>
        <w:t>p</w:t>
      </w:r>
      <w:r w:rsidRPr="00DE70DC">
        <w:rPr>
          <w:rFonts w:ascii="Arial" w:hAnsi="Arial" w:cs="Arial"/>
          <w:sz w:val="22"/>
          <w:lang w:val="es-CO"/>
        </w:rPr>
        <w:t>roponente información</w:t>
      </w:r>
      <w:proofErr w:type="gramEnd"/>
      <w:r w:rsidRPr="00DE70DC">
        <w:rPr>
          <w:rFonts w:ascii="Arial" w:hAnsi="Arial" w:cs="Arial"/>
          <w:sz w:val="22"/>
          <w:lang w:val="es-CO"/>
        </w:rPr>
        <w:t xml:space="preserve"> que afecte su capacidad residual. Este evento está incluido en el numeral 3.10 del «Documento Base</w:t>
      </w:r>
      <w:r w:rsidR="00BF46EB" w:rsidRPr="00DE70DC">
        <w:rPr>
          <w:rFonts w:ascii="Arial" w:hAnsi="Arial" w:cs="Arial"/>
          <w:sz w:val="22"/>
          <w:lang w:val="es-CO"/>
        </w:rPr>
        <w:t xml:space="preserve"> – Versión 1</w:t>
      </w:r>
      <w:r w:rsidRPr="00DE70DC">
        <w:rPr>
          <w:rFonts w:ascii="Arial" w:hAnsi="Arial" w:cs="Arial"/>
          <w:sz w:val="22"/>
          <w:lang w:val="es-CO"/>
        </w:rPr>
        <w:t xml:space="preserve">» al señalar: </w:t>
      </w:r>
    </w:p>
    <w:p w14:paraId="6B432768" w14:textId="77777777" w:rsidR="00A14F3C" w:rsidRPr="00DE70DC" w:rsidRDefault="00A14F3C" w:rsidP="00A14F3C">
      <w:pPr>
        <w:spacing w:line="276" w:lineRule="auto"/>
        <w:jc w:val="both"/>
        <w:rPr>
          <w:rFonts w:ascii="Arial" w:hAnsi="Arial" w:cs="Arial"/>
          <w:sz w:val="22"/>
          <w:lang w:val="es-CO"/>
        </w:rPr>
      </w:pPr>
    </w:p>
    <w:p w14:paraId="0A4B9F32" w14:textId="77777777" w:rsidR="00A14F3C" w:rsidRPr="00DE70DC" w:rsidRDefault="00A14F3C" w:rsidP="00A14F3C">
      <w:pPr>
        <w:spacing w:line="276" w:lineRule="auto"/>
        <w:ind w:left="708" w:right="709"/>
        <w:jc w:val="both"/>
        <w:rPr>
          <w:rFonts w:ascii="Arial" w:hAnsi="Arial" w:cs="Arial"/>
          <w:b/>
          <w:bCs/>
          <w:sz w:val="21"/>
          <w:szCs w:val="21"/>
          <w:lang w:val="es-CO"/>
        </w:rPr>
      </w:pPr>
      <w:bookmarkStart w:id="11" w:name="_Toc508648275"/>
      <w:bookmarkStart w:id="12" w:name="_Toc508984059"/>
      <w:bookmarkStart w:id="13" w:name="_Toc509843890"/>
      <w:bookmarkStart w:id="14" w:name="_Toc511924798"/>
      <w:bookmarkStart w:id="15" w:name="_Toc520226887"/>
      <w:bookmarkStart w:id="16" w:name="_Toc520297857"/>
      <w:bookmarkStart w:id="17" w:name="_Toc520317122"/>
      <w:bookmarkStart w:id="18" w:name="_Toc533083725"/>
      <w:bookmarkStart w:id="19" w:name="_Toc5006156"/>
      <w:r w:rsidRPr="00DE70DC">
        <w:rPr>
          <w:rFonts w:ascii="Arial" w:hAnsi="Arial" w:cs="Arial"/>
          <w:b/>
          <w:bCs/>
          <w:sz w:val="21"/>
          <w:szCs w:val="21"/>
          <w:lang w:val="es-CO"/>
        </w:rPr>
        <w:t>3.10 CAPACIDAD RESIDUAL</w:t>
      </w:r>
      <w:bookmarkEnd w:id="11"/>
      <w:bookmarkEnd w:id="12"/>
      <w:bookmarkEnd w:id="13"/>
      <w:bookmarkEnd w:id="14"/>
      <w:bookmarkEnd w:id="15"/>
      <w:bookmarkEnd w:id="16"/>
      <w:bookmarkEnd w:id="17"/>
      <w:bookmarkEnd w:id="18"/>
      <w:bookmarkEnd w:id="19"/>
      <w:r w:rsidRPr="00DE70DC">
        <w:rPr>
          <w:rFonts w:ascii="Arial" w:hAnsi="Arial" w:cs="Arial"/>
          <w:b/>
          <w:bCs/>
          <w:sz w:val="21"/>
          <w:szCs w:val="21"/>
          <w:lang w:val="es-CO"/>
        </w:rPr>
        <w:t xml:space="preserve"> </w:t>
      </w:r>
    </w:p>
    <w:p w14:paraId="1226EF8C" w14:textId="77777777" w:rsidR="00A14F3C" w:rsidRPr="00DE70DC" w:rsidRDefault="00A14F3C" w:rsidP="00A14F3C">
      <w:pPr>
        <w:spacing w:line="276" w:lineRule="auto"/>
        <w:ind w:left="708" w:right="709"/>
        <w:jc w:val="both"/>
        <w:rPr>
          <w:rFonts w:ascii="Arial" w:hAnsi="Arial" w:cs="Arial"/>
          <w:b/>
          <w:bCs/>
          <w:sz w:val="21"/>
          <w:szCs w:val="21"/>
          <w:lang w:val="es-CO"/>
        </w:rPr>
      </w:pPr>
    </w:p>
    <w:p w14:paraId="7AC0920A" w14:textId="77777777" w:rsidR="00A14F3C" w:rsidRPr="00DE70DC" w:rsidRDefault="00A14F3C" w:rsidP="00A14F3C">
      <w:pPr>
        <w:widowControl w:val="0"/>
        <w:spacing w:after="160"/>
        <w:ind w:left="708" w:right="993"/>
        <w:jc w:val="both"/>
        <w:rPr>
          <w:rFonts w:ascii="Arial" w:eastAsia="Arial" w:hAnsi="Arial" w:cs="Arial"/>
          <w:sz w:val="21"/>
          <w:szCs w:val="21"/>
          <w:lang w:val="es-CO"/>
        </w:rPr>
      </w:pPr>
      <w:r w:rsidRPr="00DE70DC">
        <w:rPr>
          <w:rFonts w:ascii="Arial" w:eastAsia="Calibri" w:hAnsi="Arial" w:cs="Arial"/>
          <w:sz w:val="21"/>
          <w:szCs w:val="21"/>
          <w:lang w:val="es-CO"/>
        </w:rPr>
        <w:t>El</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Proponente</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será</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hábil</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si</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la</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capacidad</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residual</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del</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Proponente</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(CRP)</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es</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mayor</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o</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igual</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a</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la</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capacidad</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residual</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de</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Proceso</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de</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Contratación</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(CRPC).</w:t>
      </w:r>
      <w:r w:rsidRPr="00DE70DC">
        <w:rPr>
          <w:rFonts w:ascii="Arial" w:eastAsia="Arial" w:hAnsi="Arial" w:cs="Arial"/>
          <w:sz w:val="21"/>
          <w:szCs w:val="21"/>
          <w:lang w:val="es-CO"/>
        </w:rPr>
        <w:t xml:space="preserve"> </w:t>
      </w:r>
      <w:r w:rsidRPr="00DE70DC">
        <w:rPr>
          <w:rFonts w:ascii="Arial" w:eastAsia="Calibri" w:hAnsi="Arial" w:cs="Arial"/>
          <w:sz w:val="21"/>
          <w:szCs w:val="21"/>
          <w:lang w:val="es-CO"/>
        </w:rPr>
        <w:t>Así:</w:t>
      </w:r>
      <w:r w:rsidRPr="00DE70DC">
        <w:rPr>
          <w:rFonts w:ascii="Arial" w:eastAsia="Arial" w:hAnsi="Arial" w:cs="Arial"/>
          <w:sz w:val="21"/>
          <w:szCs w:val="21"/>
          <w:lang w:val="es-CO"/>
        </w:rPr>
        <w:t xml:space="preserve"> </w:t>
      </w:r>
    </w:p>
    <w:p w14:paraId="48AF9513" w14:textId="77777777" w:rsidR="00A14F3C" w:rsidRPr="00DE70DC" w:rsidRDefault="00A14F3C" w:rsidP="00A14F3C">
      <w:pPr>
        <w:widowControl w:val="0"/>
        <w:spacing w:after="160"/>
        <w:ind w:left="708" w:right="993"/>
        <w:jc w:val="center"/>
        <w:rPr>
          <w:rFonts w:ascii="Arial" w:eastAsia="Calibri" w:hAnsi="Arial" w:cs="Arial"/>
          <w:sz w:val="21"/>
          <w:szCs w:val="21"/>
          <w:lang w:val="es-CO"/>
        </w:rPr>
      </w:pPr>
      <m:oMathPara>
        <m:oMath>
          <m:r>
            <m:rPr>
              <m:sty m:val="p"/>
            </m:rPr>
            <w:rPr>
              <w:rFonts w:ascii="Cambria Math" w:eastAsia="Calibri" w:hAnsi="Cambria Math" w:cs="Arial"/>
              <w:sz w:val="21"/>
              <w:szCs w:val="21"/>
              <w:lang w:val="es-CO"/>
            </w:rPr>
            <m:t>CRP ≥CRPC</m:t>
          </m:r>
        </m:oMath>
      </m:oMathPara>
    </w:p>
    <w:p w14:paraId="12F6D518" w14:textId="77777777" w:rsidR="00A14F3C" w:rsidRPr="00DE70DC" w:rsidRDefault="00A14F3C" w:rsidP="00A14F3C">
      <w:pPr>
        <w:widowControl w:val="0"/>
        <w:spacing w:after="160"/>
        <w:ind w:left="708" w:right="993"/>
        <w:jc w:val="both"/>
        <w:rPr>
          <w:rFonts w:ascii="Arial" w:eastAsia="Arial" w:hAnsi="Arial" w:cs="Arial"/>
          <w:sz w:val="21"/>
          <w:szCs w:val="21"/>
          <w:lang w:val="es-CO"/>
        </w:rPr>
      </w:pPr>
      <w:r w:rsidRPr="00DE70DC">
        <w:rPr>
          <w:rFonts w:ascii="Arial" w:eastAsia="Calibri" w:hAnsi="Arial" w:cs="Arial"/>
          <w:sz w:val="21"/>
          <w:szCs w:val="21"/>
          <w:lang w:val="es-CO"/>
        </w:rPr>
        <w:t>Los Proponentes acreditarán la capacidad residual o K de contratación conforme se describe a continuación. En todo caso, si con posterioridad al cierre y hasta antes de la adjudicación del proceso, cualquier Proponente, interesado o la Entidad, en uso de la potestad verificadora, advierte que se dejó de incluir por parte de un Proponente alguna información contractual que afecte su capacidad residual, la Entidad calculará la capacidad residual del Proponente teniendo en cuenta la nueva información</w:t>
      </w:r>
      <w:r w:rsidRPr="00DE70DC">
        <w:rPr>
          <w:rFonts w:ascii="Arial" w:eastAsia="Calibri" w:hAnsi="Arial" w:cs="Arial"/>
          <w:b/>
          <w:bCs/>
          <w:sz w:val="21"/>
          <w:szCs w:val="21"/>
          <w:lang w:val="es-CO"/>
        </w:rPr>
        <w:t>.</w:t>
      </w:r>
      <w:r w:rsidRPr="00DE70DC">
        <w:rPr>
          <w:rFonts w:ascii="Arial" w:eastAsia="Calibri" w:hAnsi="Arial" w:cs="Arial"/>
          <w:sz w:val="21"/>
          <w:szCs w:val="21"/>
          <w:lang w:val="es-CO"/>
        </w:rPr>
        <w:t xml:space="preserve"> En dado caso la Entidad procederá a incluir el valor y plazo total del contrato, con independencia del saldo y plazo por ejecutar. </w:t>
      </w:r>
    </w:p>
    <w:p w14:paraId="2259AF5F" w14:textId="77777777" w:rsidR="00A14F3C" w:rsidRPr="00DE70DC" w:rsidRDefault="00A14F3C" w:rsidP="00A14F3C">
      <w:pPr>
        <w:widowControl w:val="0"/>
        <w:ind w:left="708" w:right="993"/>
        <w:jc w:val="both"/>
        <w:rPr>
          <w:rFonts w:ascii="Arial" w:eastAsia="Arial" w:hAnsi="Arial" w:cs="Arial"/>
          <w:sz w:val="21"/>
          <w:szCs w:val="21"/>
          <w:lang w:val="es-CO"/>
        </w:rPr>
      </w:pPr>
      <w:r w:rsidRPr="00DE70DC">
        <w:rPr>
          <w:rFonts w:ascii="Arial" w:eastAsia="Calibri" w:hAnsi="Arial" w:cs="Arial"/>
          <w:sz w:val="21"/>
          <w:szCs w:val="21"/>
          <w:lang w:val="es-CO"/>
        </w:rPr>
        <w:lastRenderedPageBreak/>
        <w:t xml:space="preserve">Lo anterior, sin perjuicio de las acciones administrativas y/o judiciales a que haya lugar, en contra de la (s) persona (s) que haya (n) suscrito las certificaciones exigidas para el cálculo de la capacidad residual. </w:t>
      </w:r>
    </w:p>
    <w:p w14:paraId="4C44ECFE" w14:textId="77777777" w:rsidR="00B17763" w:rsidRPr="00DE70DC" w:rsidRDefault="00B17763" w:rsidP="00804CE6">
      <w:pPr>
        <w:spacing w:line="276" w:lineRule="auto"/>
        <w:jc w:val="both"/>
        <w:rPr>
          <w:rFonts w:ascii="Arial" w:hAnsi="Arial" w:cs="Arial"/>
          <w:sz w:val="22"/>
          <w:lang w:val="es-CO"/>
        </w:rPr>
      </w:pPr>
    </w:p>
    <w:p w14:paraId="336371F6" w14:textId="09F30CF6" w:rsidR="00A14F3C" w:rsidRPr="00DE70DC" w:rsidRDefault="00A14F3C" w:rsidP="00804CE6">
      <w:pPr>
        <w:spacing w:after="120" w:line="276" w:lineRule="auto"/>
        <w:ind w:firstLine="708"/>
        <w:jc w:val="both"/>
        <w:rPr>
          <w:rFonts w:ascii="Arial" w:hAnsi="Arial" w:cs="Arial"/>
          <w:sz w:val="22"/>
          <w:lang w:val="es-CO"/>
        </w:rPr>
      </w:pPr>
      <w:r w:rsidRPr="00DE70DC">
        <w:rPr>
          <w:rFonts w:ascii="Arial" w:hAnsi="Arial" w:cs="Arial"/>
          <w:sz w:val="22"/>
          <w:lang w:val="es-CO"/>
        </w:rPr>
        <w:t xml:space="preserve">De acuerdo con el anterior numeral, cuando la entidad estatal confirme la existencia de «información contractual» que no se incluyó, y que puede afectar la capacidad residual del proponente, debe incluirla y calcular nuevamente la capacidad residual, sin perjuicio de las acciones administrativas o judiciales que procedan. </w:t>
      </w:r>
    </w:p>
    <w:p w14:paraId="0917C376" w14:textId="3B73AD49" w:rsidR="00A14F3C" w:rsidRPr="00DE70DC" w:rsidRDefault="00A14F3C" w:rsidP="00A14F3C">
      <w:pPr>
        <w:spacing w:before="120" w:after="120" w:line="276" w:lineRule="auto"/>
        <w:ind w:firstLine="709"/>
        <w:jc w:val="both"/>
        <w:rPr>
          <w:rFonts w:ascii="Arial" w:hAnsi="Arial" w:cs="Arial"/>
          <w:sz w:val="22"/>
          <w:lang w:val="es-CO"/>
        </w:rPr>
      </w:pPr>
      <w:r w:rsidRPr="00DE70DC">
        <w:rPr>
          <w:rFonts w:ascii="Arial" w:hAnsi="Arial" w:cs="Arial"/>
          <w:sz w:val="22"/>
          <w:lang w:val="es-CO"/>
        </w:rPr>
        <w:t xml:space="preserve">Por lo tanto, comoquiera que para el cálculo de la capacidad residual del proponente se deben tener en cuenta: i) la capacidad de organización, </w:t>
      </w:r>
      <w:proofErr w:type="spellStart"/>
      <w:r w:rsidRPr="00DE70DC">
        <w:rPr>
          <w:rFonts w:ascii="Arial" w:hAnsi="Arial" w:cs="Arial"/>
          <w:sz w:val="22"/>
          <w:lang w:val="es-CO"/>
        </w:rPr>
        <w:t>ii</w:t>
      </w:r>
      <w:proofErr w:type="spellEnd"/>
      <w:r w:rsidRPr="00DE70DC">
        <w:rPr>
          <w:rFonts w:ascii="Arial" w:hAnsi="Arial" w:cs="Arial"/>
          <w:sz w:val="22"/>
          <w:lang w:val="es-CO"/>
        </w:rPr>
        <w:t xml:space="preserve">) la experiencia, </w:t>
      </w:r>
      <w:proofErr w:type="spellStart"/>
      <w:r w:rsidRPr="00DE70DC">
        <w:rPr>
          <w:rFonts w:ascii="Arial" w:hAnsi="Arial" w:cs="Arial"/>
          <w:sz w:val="22"/>
          <w:lang w:val="es-CO"/>
        </w:rPr>
        <w:t>iii</w:t>
      </w:r>
      <w:proofErr w:type="spellEnd"/>
      <w:r w:rsidRPr="00DE70DC">
        <w:rPr>
          <w:rFonts w:ascii="Arial" w:hAnsi="Arial" w:cs="Arial"/>
          <w:sz w:val="22"/>
          <w:lang w:val="es-CO"/>
        </w:rPr>
        <w:t xml:space="preserve">) la capacidad técnica, </w:t>
      </w:r>
      <w:proofErr w:type="spellStart"/>
      <w:r w:rsidRPr="00DE70DC">
        <w:rPr>
          <w:rFonts w:ascii="Arial" w:hAnsi="Arial" w:cs="Arial"/>
          <w:sz w:val="22"/>
          <w:lang w:val="es-CO"/>
        </w:rPr>
        <w:t>iv</w:t>
      </w:r>
      <w:proofErr w:type="spellEnd"/>
      <w:r w:rsidRPr="00DE70DC">
        <w:rPr>
          <w:rFonts w:ascii="Arial" w:hAnsi="Arial" w:cs="Arial"/>
          <w:sz w:val="22"/>
          <w:lang w:val="es-CO"/>
        </w:rPr>
        <w:t xml:space="preserve">) la capacidad financiera y v) el saldo de contratos en ejecución, y para cada una de dichas variables se requiere la acreditación de los requisitos y documentos establecidos en el numeral 3.10 del «Documento Base», en concordancia con lo definido en la «Guía para Determinar y Verificar la Capacidad Residual del Proponente en los Procesos de Contratación de Obra Pública», expedida por la Agencia Nacional de Contratación – Colombia Compra Eficiente, la entidad estatal, para los procesos de licitación que utilizan la Versión 1 de los </w:t>
      </w:r>
      <w:r w:rsidR="00D44846" w:rsidRPr="00DE70DC">
        <w:rPr>
          <w:rFonts w:ascii="Arial" w:hAnsi="Arial" w:cs="Arial"/>
          <w:sz w:val="22"/>
          <w:lang w:val="es-CO"/>
        </w:rPr>
        <w:t>«</w:t>
      </w:r>
      <w:r w:rsidRPr="00DE70DC">
        <w:rPr>
          <w:rFonts w:ascii="Arial" w:hAnsi="Arial" w:cs="Arial"/>
          <w:sz w:val="22"/>
          <w:lang w:val="es-CO"/>
        </w:rPr>
        <w:t>Documentos Tipo</w:t>
      </w:r>
      <w:r w:rsidR="00D44846" w:rsidRPr="00DE70DC">
        <w:rPr>
          <w:rFonts w:ascii="Arial" w:hAnsi="Arial" w:cs="Arial"/>
          <w:sz w:val="22"/>
          <w:lang w:val="es-CO"/>
        </w:rPr>
        <w:t>»</w:t>
      </w:r>
      <w:r w:rsidRPr="00DE70DC">
        <w:rPr>
          <w:rFonts w:ascii="Arial" w:hAnsi="Arial" w:cs="Arial"/>
          <w:sz w:val="22"/>
          <w:lang w:val="es-CO"/>
        </w:rPr>
        <w:t xml:space="preserve">, deben aplicar la regla enunciada previamente y, en consecuencia, incluir la información contractual advertida por los proponentes, interesados o por la entidad y que no fue reportada por el proponente. </w:t>
      </w:r>
    </w:p>
    <w:p w14:paraId="6FB23837" w14:textId="77777777" w:rsidR="00A14F3C" w:rsidRPr="00DE70DC" w:rsidRDefault="00A14F3C" w:rsidP="00A14F3C">
      <w:pPr>
        <w:spacing w:before="120" w:line="276" w:lineRule="auto"/>
        <w:ind w:firstLine="709"/>
        <w:jc w:val="both"/>
        <w:rPr>
          <w:rFonts w:ascii="Arial" w:hAnsi="Arial" w:cs="Arial"/>
          <w:sz w:val="22"/>
          <w:lang w:val="es-CO"/>
        </w:rPr>
      </w:pPr>
      <w:r w:rsidRPr="00DE70DC">
        <w:rPr>
          <w:rFonts w:ascii="Arial" w:hAnsi="Arial" w:cs="Arial"/>
          <w:sz w:val="22"/>
          <w:lang w:val="es-CO"/>
        </w:rPr>
        <w:t>Ahora bien, esta regla especial sobre verificación de información referente a la capacidad residual fue modificada en la Versión 2 del «Documento Base» implementado por la Resolución No. 045 de 2020 para procesos de licitación, en idénticos términos a los del «Pliego Tipo» adoptado por la Resolución No. 044 de 2020 para procedimientos de selección abreviada de menor cuantía. En tales documentos se mantiene la regla de verificación del numeral 1.11, sin embargo, se cambia la regla específica del numeral 3.10, para establecer que lo siguiente:</w:t>
      </w:r>
    </w:p>
    <w:p w14:paraId="23239895" w14:textId="77777777" w:rsidR="00A14F3C" w:rsidRPr="00DE70DC" w:rsidRDefault="00A14F3C" w:rsidP="00A14F3C">
      <w:pPr>
        <w:spacing w:line="276" w:lineRule="auto"/>
        <w:ind w:firstLine="709"/>
        <w:jc w:val="both"/>
        <w:rPr>
          <w:rFonts w:ascii="Arial" w:hAnsi="Arial" w:cs="Arial"/>
          <w:sz w:val="22"/>
          <w:lang w:val="es-CO"/>
        </w:rPr>
      </w:pPr>
    </w:p>
    <w:p w14:paraId="27A156AF" w14:textId="77777777" w:rsidR="00A14F3C" w:rsidRPr="00DE70DC" w:rsidRDefault="00A14F3C" w:rsidP="00752568">
      <w:pPr>
        <w:pStyle w:val="Capitulo3"/>
        <w:numPr>
          <w:ilvl w:val="0"/>
          <w:numId w:val="0"/>
        </w:numPr>
        <w:spacing w:before="0" w:line="240" w:lineRule="auto"/>
        <w:ind w:left="709" w:right="709"/>
        <w:rPr>
          <w:color w:val="auto"/>
          <w:sz w:val="21"/>
          <w:szCs w:val="21"/>
        </w:rPr>
      </w:pPr>
      <w:bookmarkStart w:id="20" w:name="_Toc32096843"/>
      <w:bookmarkStart w:id="21" w:name="_Toc32144836"/>
      <w:r w:rsidRPr="00DE70DC">
        <w:rPr>
          <w:color w:val="auto"/>
          <w:sz w:val="21"/>
          <w:szCs w:val="21"/>
        </w:rPr>
        <w:t>3.11. CAPACIDAD RESIDUAL</w:t>
      </w:r>
      <w:bookmarkEnd w:id="20"/>
      <w:bookmarkEnd w:id="21"/>
      <w:r w:rsidRPr="00DE70DC">
        <w:rPr>
          <w:color w:val="auto"/>
          <w:sz w:val="21"/>
          <w:szCs w:val="21"/>
        </w:rPr>
        <w:t xml:space="preserve"> </w:t>
      </w:r>
    </w:p>
    <w:p w14:paraId="73874725" w14:textId="5028E4AD" w:rsidR="00A14F3C" w:rsidRPr="00DE70DC" w:rsidRDefault="00A14F3C" w:rsidP="00752568">
      <w:pPr>
        <w:widowControl w:val="0"/>
        <w:ind w:left="709" w:right="709"/>
        <w:jc w:val="both"/>
        <w:rPr>
          <w:rFonts w:ascii="Arial" w:eastAsia="Arial" w:hAnsi="Arial" w:cs="Arial"/>
          <w:sz w:val="21"/>
          <w:szCs w:val="21"/>
        </w:rPr>
      </w:pPr>
      <w:r w:rsidRPr="00DE70DC">
        <w:rPr>
          <w:rFonts w:ascii="Arial" w:hAnsi="Arial" w:cs="Arial"/>
          <w:sz w:val="21"/>
          <w:szCs w:val="21"/>
        </w:rPr>
        <w:t>El</w:t>
      </w:r>
      <w:r w:rsidRPr="00DE70DC">
        <w:rPr>
          <w:rFonts w:ascii="Arial" w:eastAsia="Arial" w:hAnsi="Arial" w:cs="Arial"/>
          <w:sz w:val="21"/>
          <w:szCs w:val="21"/>
        </w:rPr>
        <w:t xml:space="preserve"> </w:t>
      </w:r>
      <w:r w:rsidRPr="00DE70DC">
        <w:rPr>
          <w:rFonts w:ascii="Arial" w:hAnsi="Arial" w:cs="Arial"/>
          <w:sz w:val="21"/>
          <w:szCs w:val="21"/>
        </w:rPr>
        <w:t>Proponente</w:t>
      </w:r>
      <w:r w:rsidRPr="00DE70DC">
        <w:rPr>
          <w:rFonts w:ascii="Arial" w:eastAsia="Arial" w:hAnsi="Arial" w:cs="Arial"/>
          <w:sz w:val="21"/>
          <w:szCs w:val="21"/>
        </w:rPr>
        <w:t xml:space="preserve"> </w:t>
      </w:r>
      <w:r w:rsidRPr="00DE70DC">
        <w:rPr>
          <w:rFonts w:ascii="Arial" w:hAnsi="Arial" w:cs="Arial"/>
          <w:sz w:val="21"/>
          <w:szCs w:val="21"/>
        </w:rPr>
        <w:t>será</w:t>
      </w:r>
      <w:r w:rsidRPr="00DE70DC">
        <w:rPr>
          <w:rFonts w:ascii="Arial" w:eastAsia="Arial" w:hAnsi="Arial" w:cs="Arial"/>
          <w:sz w:val="21"/>
          <w:szCs w:val="21"/>
        </w:rPr>
        <w:t xml:space="preserve"> </w:t>
      </w:r>
      <w:r w:rsidRPr="00DE70DC">
        <w:rPr>
          <w:rFonts w:ascii="Arial" w:hAnsi="Arial" w:cs="Arial"/>
          <w:sz w:val="21"/>
          <w:szCs w:val="21"/>
        </w:rPr>
        <w:t>hábil</w:t>
      </w:r>
      <w:r w:rsidRPr="00DE70DC">
        <w:rPr>
          <w:rFonts w:ascii="Arial" w:eastAsia="Arial" w:hAnsi="Arial" w:cs="Arial"/>
          <w:sz w:val="21"/>
          <w:szCs w:val="21"/>
        </w:rPr>
        <w:t xml:space="preserve"> </w:t>
      </w:r>
      <w:r w:rsidRPr="00DE70DC">
        <w:rPr>
          <w:rFonts w:ascii="Arial" w:hAnsi="Arial" w:cs="Arial"/>
          <w:sz w:val="21"/>
          <w:szCs w:val="21"/>
        </w:rPr>
        <w:t>si</w:t>
      </w:r>
      <w:r w:rsidRPr="00DE70DC">
        <w:rPr>
          <w:rFonts w:ascii="Arial" w:eastAsia="Arial" w:hAnsi="Arial" w:cs="Arial"/>
          <w:sz w:val="21"/>
          <w:szCs w:val="21"/>
        </w:rPr>
        <w:t xml:space="preserve"> </w:t>
      </w:r>
      <w:r w:rsidRPr="00DE70DC">
        <w:rPr>
          <w:rFonts w:ascii="Arial" w:hAnsi="Arial" w:cs="Arial"/>
          <w:sz w:val="21"/>
          <w:szCs w:val="21"/>
        </w:rPr>
        <w:t>la</w:t>
      </w:r>
      <w:r w:rsidRPr="00DE70DC">
        <w:rPr>
          <w:rFonts w:ascii="Arial" w:eastAsia="Arial" w:hAnsi="Arial" w:cs="Arial"/>
          <w:sz w:val="21"/>
          <w:szCs w:val="21"/>
        </w:rPr>
        <w:t xml:space="preserve"> </w:t>
      </w:r>
      <w:r w:rsidRPr="00DE70DC">
        <w:rPr>
          <w:rFonts w:ascii="Arial" w:hAnsi="Arial" w:cs="Arial"/>
          <w:sz w:val="21"/>
          <w:szCs w:val="21"/>
        </w:rPr>
        <w:t>capacidad</w:t>
      </w:r>
      <w:r w:rsidRPr="00DE70DC">
        <w:rPr>
          <w:rFonts w:ascii="Arial" w:eastAsia="Arial" w:hAnsi="Arial" w:cs="Arial"/>
          <w:sz w:val="21"/>
          <w:szCs w:val="21"/>
        </w:rPr>
        <w:t xml:space="preserve"> </w:t>
      </w:r>
      <w:r w:rsidRPr="00DE70DC">
        <w:rPr>
          <w:rFonts w:ascii="Arial" w:hAnsi="Arial" w:cs="Arial"/>
          <w:sz w:val="21"/>
          <w:szCs w:val="21"/>
        </w:rPr>
        <w:t>residual</w:t>
      </w:r>
      <w:r w:rsidRPr="00DE70DC">
        <w:rPr>
          <w:rFonts w:ascii="Arial" w:eastAsia="Arial" w:hAnsi="Arial" w:cs="Arial"/>
          <w:sz w:val="21"/>
          <w:szCs w:val="21"/>
        </w:rPr>
        <w:t xml:space="preserve"> </w:t>
      </w:r>
      <w:r w:rsidRPr="00DE70DC">
        <w:rPr>
          <w:rFonts w:ascii="Arial" w:hAnsi="Arial" w:cs="Arial"/>
          <w:sz w:val="21"/>
          <w:szCs w:val="21"/>
        </w:rPr>
        <w:t>del</w:t>
      </w:r>
      <w:r w:rsidRPr="00DE70DC">
        <w:rPr>
          <w:rFonts w:ascii="Arial" w:eastAsia="Arial" w:hAnsi="Arial" w:cs="Arial"/>
          <w:sz w:val="21"/>
          <w:szCs w:val="21"/>
        </w:rPr>
        <w:t xml:space="preserve"> </w:t>
      </w:r>
      <w:r w:rsidRPr="00DE70DC">
        <w:rPr>
          <w:rFonts w:ascii="Arial" w:hAnsi="Arial" w:cs="Arial"/>
          <w:sz w:val="21"/>
          <w:szCs w:val="21"/>
        </w:rPr>
        <w:t>Proponente</w:t>
      </w:r>
      <w:r w:rsidRPr="00DE70DC">
        <w:rPr>
          <w:rFonts w:ascii="Arial" w:eastAsia="Arial" w:hAnsi="Arial" w:cs="Arial"/>
          <w:sz w:val="21"/>
          <w:szCs w:val="21"/>
        </w:rPr>
        <w:t xml:space="preserve"> </w:t>
      </w:r>
      <w:r w:rsidRPr="00DE70DC">
        <w:rPr>
          <w:rFonts w:ascii="Arial" w:hAnsi="Arial" w:cs="Arial"/>
          <w:sz w:val="21"/>
          <w:szCs w:val="21"/>
        </w:rPr>
        <w:t>(CRP)</w:t>
      </w:r>
      <w:r w:rsidRPr="00DE70DC">
        <w:rPr>
          <w:rFonts w:ascii="Arial" w:eastAsia="Arial" w:hAnsi="Arial" w:cs="Arial"/>
          <w:sz w:val="21"/>
          <w:szCs w:val="21"/>
        </w:rPr>
        <w:t xml:space="preserve"> </w:t>
      </w:r>
      <w:r w:rsidRPr="00DE70DC">
        <w:rPr>
          <w:rFonts w:ascii="Arial" w:hAnsi="Arial" w:cs="Arial"/>
          <w:sz w:val="21"/>
          <w:szCs w:val="21"/>
        </w:rPr>
        <w:t>es</w:t>
      </w:r>
      <w:r w:rsidRPr="00DE70DC">
        <w:rPr>
          <w:rFonts w:ascii="Arial" w:eastAsia="Arial" w:hAnsi="Arial" w:cs="Arial"/>
          <w:sz w:val="21"/>
          <w:szCs w:val="21"/>
        </w:rPr>
        <w:t xml:space="preserve"> </w:t>
      </w:r>
      <w:r w:rsidRPr="00DE70DC">
        <w:rPr>
          <w:rFonts w:ascii="Arial" w:hAnsi="Arial" w:cs="Arial"/>
          <w:sz w:val="21"/>
          <w:szCs w:val="21"/>
        </w:rPr>
        <w:t>mayor</w:t>
      </w:r>
      <w:r w:rsidRPr="00DE70DC">
        <w:rPr>
          <w:rFonts w:ascii="Arial" w:eastAsia="Arial" w:hAnsi="Arial" w:cs="Arial"/>
          <w:sz w:val="21"/>
          <w:szCs w:val="21"/>
        </w:rPr>
        <w:t xml:space="preserve"> </w:t>
      </w:r>
      <w:r w:rsidRPr="00DE70DC">
        <w:rPr>
          <w:rFonts w:ascii="Arial" w:hAnsi="Arial" w:cs="Arial"/>
          <w:sz w:val="21"/>
          <w:szCs w:val="21"/>
        </w:rPr>
        <w:t>o</w:t>
      </w:r>
      <w:r w:rsidRPr="00DE70DC">
        <w:rPr>
          <w:rFonts w:ascii="Arial" w:eastAsia="Arial" w:hAnsi="Arial" w:cs="Arial"/>
          <w:sz w:val="21"/>
          <w:szCs w:val="21"/>
        </w:rPr>
        <w:t xml:space="preserve"> </w:t>
      </w:r>
      <w:r w:rsidRPr="00DE70DC">
        <w:rPr>
          <w:rFonts w:ascii="Arial" w:hAnsi="Arial" w:cs="Arial"/>
          <w:sz w:val="21"/>
          <w:szCs w:val="21"/>
        </w:rPr>
        <w:t>igual</w:t>
      </w:r>
      <w:r w:rsidRPr="00DE70DC">
        <w:rPr>
          <w:rFonts w:ascii="Arial" w:eastAsia="Arial" w:hAnsi="Arial" w:cs="Arial"/>
          <w:sz w:val="21"/>
          <w:szCs w:val="21"/>
        </w:rPr>
        <w:t xml:space="preserve"> </w:t>
      </w:r>
      <w:r w:rsidRPr="00DE70DC">
        <w:rPr>
          <w:rFonts w:ascii="Arial" w:hAnsi="Arial" w:cs="Arial"/>
          <w:sz w:val="21"/>
          <w:szCs w:val="21"/>
        </w:rPr>
        <w:t>a</w:t>
      </w:r>
      <w:r w:rsidRPr="00DE70DC">
        <w:rPr>
          <w:rFonts w:ascii="Arial" w:eastAsia="Arial" w:hAnsi="Arial" w:cs="Arial"/>
          <w:sz w:val="21"/>
          <w:szCs w:val="21"/>
        </w:rPr>
        <w:t xml:space="preserve"> </w:t>
      </w:r>
      <w:r w:rsidRPr="00DE70DC">
        <w:rPr>
          <w:rFonts w:ascii="Arial" w:hAnsi="Arial" w:cs="Arial"/>
          <w:sz w:val="21"/>
          <w:szCs w:val="21"/>
        </w:rPr>
        <w:t>la</w:t>
      </w:r>
      <w:r w:rsidRPr="00DE70DC">
        <w:rPr>
          <w:rFonts w:ascii="Arial" w:eastAsia="Arial" w:hAnsi="Arial" w:cs="Arial"/>
          <w:sz w:val="21"/>
          <w:szCs w:val="21"/>
        </w:rPr>
        <w:t xml:space="preserve"> </w:t>
      </w:r>
      <w:r w:rsidRPr="00DE70DC">
        <w:rPr>
          <w:rFonts w:ascii="Arial" w:hAnsi="Arial" w:cs="Arial"/>
          <w:sz w:val="21"/>
          <w:szCs w:val="21"/>
        </w:rPr>
        <w:t>capacidad</w:t>
      </w:r>
      <w:r w:rsidRPr="00DE70DC">
        <w:rPr>
          <w:rFonts w:ascii="Arial" w:eastAsia="Arial" w:hAnsi="Arial" w:cs="Arial"/>
          <w:sz w:val="21"/>
          <w:szCs w:val="21"/>
        </w:rPr>
        <w:t xml:space="preserve"> </w:t>
      </w:r>
      <w:r w:rsidRPr="00DE70DC">
        <w:rPr>
          <w:rFonts w:ascii="Arial" w:hAnsi="Arial" w:cs="Arial"/>
          <w:sz w:val="21"/>
          <w:szCs w:val="21"/>
        </w:rPr>
        <w:t>residual</w:t>
      </w:r>
      <w:r w:rsidRPr="00DE70DC">
        <w:rPr>
          <w:rFonts w:ascii="Arial" w:eastAsia="Arial" w:hAnsi="Arial" w:cs="Arial"/>
          <w:sz w:val="21"/>
          <w:szCs w:val="21"/>
        </w:rPr>
        <w:t xml:space="preserve"> </w:t>
      </w:r>
      <w:r w:rsidRPr="00DE70DC">
        <w:rPr>
          <w:rFonts w:ascii="Arial" w:hAnsi="Arial" w:cs="Arial"/>
          <w:sz w:val="21"/>
          <w:szCs w:val="21"/>
        </w:rPr>
        <w:t>de</w:t>
      </w:r>
      <w:r w:rsidRPr="00DE70DC">
        <w:rPr>
          <w:rFonts w:ascii="Arial" w:eastAsia="Arial" w:hAnsi="Arial" w:cs="Arial"/>
          <w:sz w:val="21"/>
          <w:szCs w:val="21"/>
        </w:rPr>
        <w:t xml:space="preserve"> </w:t>
      </w:r>
      <w:r w:rsidRPr="00DE70DC">
        <w:rPr>
          <w:rFonts w:ascii="Arial" w:hAnsi="Arial" w:cs="Arial"/>
          <w:sz w:val="21"/>
          <w:szCs w:val="21"/>
        </w:rPr>
        <w:t>Proceso de Contratación</w:t>
      </w:r>
      <w:r w:rsidRPr="00DE70DC">
        <w:rPr>
          <w:rFonts w:ascii="Arial" w:eastAsia="Arial" w:hAnsi="Arial" w:cs="Arial"/>
          <w:sz w:val="21"/>
          <w:szCs w:val="21"/>
        </w:rPr>
        <w:t xml:space="preserve"> </w:t>
      </w:r>
      <w:r w:rsidRPr="00DE70DC">
        <w:rPr>
          <w:rFonts w:ascii="Arial" w:hAnsi="Arial" w:cs="Arial"/>
          <w:sz w:val="21"/>
          <w:szCs w:val="21"/>
        </w:rPr>
        <w:t>(CRPC).</w:t>
      </w:r>
      <w:r w:rsidRPr="00DE70DC">
        <w:rPr>
          <w:rFonts w:ascii="Arial" w:eastAsia="Arial" w:hAnsi="Arial" w:cs="Arial"/>
          <w:sz w:val="21"/>
          <w:szCs w:val="21"/>
        </w:rPr>
        <w:t xml:space="preserve"> </w:t>
      </w:r>
      <w:r w:rsidRPr="00DE70DC">
        <w:rPr>
          <w:rFonts w:ascii="Arial" w:hAnsi="Arial" w:cs="Arial"/>
          <w:sz w:val="21"/>
          <w:szCs w:val="21"/>
        </w:rPr>
        <w:t>Así:</w:t>
      </w:r>
      <w:r w:rsidRPr="00DE70DC">
        <w:rPr>
          <w:rFonts w:ascii="Arial" w:eastAsia="Arial" w:hAnsi="Arial" w:cs="Arial"/>
          <w:sz w:val="21"/>
          <w:szCs w:val="21"/>
        </w:rPr>
        <w:t xml:space="preserve"> </w:t>
      </w:r>
    </w:p>
    <w:p w14:paraId="4BD9906C" w14:textId="77777777" w:rsidR="005D552E" w:rsidRPr="00DE70DC" w:rsidRDefault="005D552E" w:rsidP="00752568">
      <w:pPr>
        <w:widowControl w:val="0"/>
        <w:ind w:left="709" w:right="709"/>
        <w:jc w:val="both"/>
        <w:rPr>
          <w:rFonts w:ascii="Arial" w:eastAsia="Arial" w:hAnsi="Arial" w:cs="Arial"/>
          <w:sz w:val="21"/>
          <w:szCs w:val="21"/>
        </w:rPr>
      </w:pPr>
    </w:p>
    <w:p w14:paraId="27C152E6" w14:textId="74865553" w:rsidR="00A14F3C" w:rsidRPr="00DE70DC" w:rsidRDefault="00A14F3C" w:rsidP="00752568">
      <w:pPr>
        <w:widowControl w:val="0"/>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6084460A" w14:textId="77777777" w:rsidR="005D552E" w:rsidRPr="00DE70DC" w:rsidRDefault="005D552E" w:rsidP="00752568">
      <w:pPr>
        <w:widowControl w:val="0"/>
        <w:ind w:left="709" w:right="709"/>
        <w:jc w:val="center"/>
        <w:rPr>
          <w:rFonts w:ascii="Arial" w:hAnsi="Arial" w:cs="Arial"/>
          <w:sz w:val="21"/>
          <w:szCs w:val="21"/>
        </w:rPr>
      </w:pPr>
    </w:p>
    <w:p w14:paraId="3E961028" w14:textId="77777777" w:rsidR="00A14F3C" w:rsidRPr="00DE70DC" w:rsidRDefault="00A14F3C" w:rsidP="00752568">
      <w:pPr>
        <w:widowControl w:val="0"/>
        <w:ind w:left="709" w:right="709"/>
        <w:jc w:val="both"/>
        <w:rPr>
          <w:rFonts w:ascii="Arial" w:eastAsia="Arial" w:hAnsi="Arial" w:cs="Arial"/>
          <w:sz w:val="21"/>
          <w:szCs w:val="21"/>
        </w:rPr>
      </w:pPr>
      <w:r w:rsidRPr="00DE70DC">
        <w:rPr>
          <w:rFonts w:ascii="Arial" w:hAnsi="Arial" w:cs="Arial"/>
          <w:sz w:val="21"/>
          <w:szCs w:val="21"/>
        </w:rPr>
        <w:t xml:space="preserve">Los Proponentes acreditarán la capacidad residual o K de contratación conforme se describe a continuación. En todo caso, si con posterioridad al cierre y hasta antes de la adjudicación del Proceso cualquier Proponente, interesado o la Entidad, en uso de la potestad verificadora, advierte que se dejó de incluir, al cierre del proceso, por parte de un Proponente, alguna información contractual que afecte su capacidad residual, la Entidad rechazará la oferta. </w:t>
      </w:r>
    </w:p>
    <w:p w14:paraId="1DF696C4" w14:textId="77777777" w:rsidR="00A14F3C" w:rsidRPr="00DE70DC" w:rsidRDefault="00A14F3C" w:rsidP="00752568">
      <w:pPr>
        <w:widowControl w:val="0"/>
        <w:ind w:left="709" w:right="709"/>
        <w:jc w:val="both"/>
        <w:rPr>
          <w:rFonts w:ascii="Arial" w:hAnsi="Arial" w:cs="Arial"/>
          <w:sz w:val="21"/>
          <w:szCs w:val="21"/>
        </w:rPr>
      </w:pPr>
    </w:p>
    <w:p w14:paraId="18029494" w14:textId="77777777" w:rsidR="00A14F3C" w:rsidRPr="00DE70DC" w:rsidRDefault="00A14F3C" w:rsidP="00752568">
      <w:pPr>
        <w:widowControl w:val="0"/>
        <w:ind w:left="709" w:right="709"/>
        <w:jc w:val="both"/>
        <w:rPr>
          <w:rFonts w:ascii="Arial" w:hAnsi="Arial" w:cs="Arial"/>
          <w:sz w:val="21"/>
          <w:szCs w:val="21"/>
        </w:rPr>
      </w:pPr>
      <w:r w:rsidRPr="00DE70DC">
        <w:rPr>
          <w:rFonts w:ascii="Arial" w:hAnsi="Arial" w:cs="Arial"/>
          <w:sz w:val="21"/>
          <w:szCs w:val="21"/>
        </w:rPr>
        <w:t xml:space="preserve">Lo anterior, sin perjuicio de las acciones administrativas y/o judiciales a que </w:t>
      </w:r>
      <w:r w:rsidRPr="00DE70DC">
        <w:rPr>
          <w:rFonts w:ascii="Arial" w:hAnsi="Arial" w:cs="Arial"/>
          <w:sz w:val="21"/>
          <w:szCs w:val="21"/>
        </w:rPr>
        <w:lastRenderedPageBreak/>
        <w:t>haya lugar, en contra de la (s) persona (s) que haya (n) suscrito las certificaciones exigidas para el cálculo de la capacidad residual.</w:t>
      </w:r>
    </w:p>
    <w:p w14:paraId="360AAE29" w14:textId="77777777" w:rsidR="00A14F3C" w:rsidRPr="00DE70DC" w:rsidRDefault="00A14F3C" w:rsidP="00752568">
      <w:pPr>
        <w:widowControl w:val="0"/>
        <w:ind w:left="709" w:right="709"/>
        <w:jc w:val="both"/>
        <w:rPr>
          <w:rFonts w:ascii="Arial" w:hAnsi="Arial" w:cs="Arial"/>
          <w:sz w:val="21"/>
          <w:szCs w:val="21"/>
          <w:highlight w:val="lightGray"/>
        </w:rPr>
      </w:pPr>
    </w:p>
    <w:p w14:paraId="633FDBA7" w14:textId="5FCB91F9" w:rsidR="00D44846" w:rsidRPr="00DE70DC" w:rsidRDefault="00A14F3C" w:rsidP="00752568">
      <w:pPr>
        <w:widowControl w:val="0"/>
        <w:ind w:left="709" w:right="709"/>
        <w:jc w:val="both"/>
        <w:rPr>
          <w:rFonts w:ascii="Arial" w:hAnsi="Arial" w:cs="Arial"/>
          <w:sz w:val="21"/>
          <w:szCs w:val="21"/>
          <w:highlight w:val="lightGray"/>
        </w:rPr>
      </w:pPr>
      <w:r w:rsidRPr="00DE70DC">
        <w:rPr>
          <w:rFonts w:ascii="Arial" w:hAnsi="Arial" w:cs="Arial"/>
          <w:sz w:val="21"/>
          <w:szCs w:val="21"/>
          <w:highlight w:val="lightGray"/>
        </w:rPr>
        <w:t xml:space="preserve">[En los Procesos de contratación estructurados por lotes o grupos, el Proponente deberá acreditar una capacidad residual mayor o igual a la capacidad residual del lote al cual presentó oferta o de la sumatoria de los lotes a los cuales presentó oferta. Si la capacidad residual del Proponente no es suficiente para la totalidad de lotes a los cuales presentó oferta, la Entidad lo habilitará únicamente en aquellos de mayor valor en los que cumpla con la capacidad residual requerida] </w:t>
      </w:r>
    </w:p>
    <w:p w14:paraId="42FD4955" w14:textId="77777777" w:rsidR="00B17763" w:rsidRPr="00DE70DC" w:rsidRDefault="00B17763" w:rsidP="00804CE6">
      <w:pPr>
        <w:widowControl w:val="0"/>
        <w:ind w:left="709" w:right="709"/>
        <w:jc w:val="both"/>
        <w:rPr>
          <w:rFonts w:ascii="Arial" w:hAnsi="Arial" w:cs="Arial"/>
          <w:sz w:val="22"/>
          <w:lang w:val="es-CO"/>
        </w:rPr>
      </w:pPr>
    </w:p>
    <w:p w14:paraId="622C498A" w14:textId="2565AB75" w:rsidR="00A14F3C" w:rsidRPr="00DE70DC" w:rsidRDefault="00D44846" w:rsidP="00804CE6">
      <w:pPr>
        <w:spacing w:after="120" w:line="276" w:lineRule="auto"/>
        <w:ind w:firstLine="708"/>
        <w:jc w:val="both"/>
        <w:rPr>
          <w:rFonts w:ascii="Arial" w:eastAsiaTheme="minorEastAsia" w:hAnsi="Arial" w:cs="Arial"/>
          <w:sz w:val="22"/>
          <w:lang w:eastAsia="es-CO"/>
        </w:rPr>
      </w:pPr>
      <w:r w:rsidRPr="00DE70DC">
        <w:rPr>
          <w:rFonts w:ascii="Arial" w:hAnsi="Arial" w:cs="Arial"/>
          <w:sz w:val="22"/>
          <w:lang w:val="es-CO"/>
        </w:rPr>
        <w:t>Conforme a la</w:t>
      </w:r>
      <w:r w:rsidR="00A14F3C" w:rsidRPr="00DE70DC">
        <w:rPr>
          <w:rFonts w:ascii="Arial" w:hAnsi="Arial" w:cs="Arial"/>
          <w:sz w:val="22"/>
          <w:lang w:val="es-CO"/>
        </w:rPr>
        <w:t xml:space="preserve"> nueva regla, </w:t>
      </w:r>
      <w:r w:rsidR="005D552E" w:rsidRPr="00DE70DC">
        <w:rPr>
          <w:rFonts w:ascii="Arial" w:hAnsi="Arial" w:cs="Arial"/>
          <w:sz w:val="22"/>
          <w:lang w:val="es-CO"/>
        </w:rPr>
        <w:t xml:space="preserve">se rechazará la oferta </w:t>
      </w:r>
      <w:r w:rsidR="00A14F3C" w:rsidRPr="00DE70DC">
        <w:rPr>
          <w:rFonts w:ascii="Arial" w:hAnsi="Arial" w:cs="Arial"/>
          <w:sz w:val="22"/>
          <w:lang w:val="es-CO"/>
        </w:rPr>
        <w:t>cuando la entidad contratante advierta que</w:t>
      </w:r>
      <w:r w:rsidR="005D552E" w:rsidRPr="00DE70DC">
        <w:rPr>
          <w:rFonts w:ascii="Arial" w:hAnsi="Arial" w:cs="Arial"/>
          <w:sz w:val="22"/>
          <w:lang w:val="es-CO"/>
        </w:rPr>
        <w:t>, en uso de la potestad verificadora,</w:t>
      </w:r>
      <w:r w:rsidR="00A14F3C" w:rsidRPr="00DE70DC">
        <w:rPr>
          <w:rFonts w:ascii="Arial" w:hAnsi="Arial" w:cs="Arial"/>
          <w:sz w:val="22"/>
          <w:lang w:val="es-CO"/>
        </w:rPr>
        <w:t xml:space="preserve"> se dejó de incluir información que afect</w:t>
      </w:r>
      <w:r w:rsidR="005D552E" w:rsidRPr="00DE70DC">
        <w:rPr>
          <w:rFonts w:ascii="Arial" w:hAnsi="Arial" w:cs="Arial"/>
          <w:sz w:val="22"/>
          <w:lang w:val="es-CO"/>
        </w:rPr>
        <w:t>a</w:t>
      </w:r>
      <w:r w:rsidR="00A14F3C" w:rsidRPr="00DE70DC">
        <w:rPr>
          <w:rFonts w:ascii="Arial" w:hAnsi="Arial" w:cs="Arial"/>
          <w:sz w:val="22"/>
          <w:lang w:val="es-CO"/>
        </w:rPr>
        <w:t xml:space="preserve"> la capacidad residual del proponente</w:t>
      </w:r>
      <w:r w:rsidR="005D552E" w:rsidRPr="00DE70DC">
        <w:rPr>
          <w:rFonts w:ascii="Arial" w:hAnsi="Arial" w:cs="Arial"/>
          <w:sz w:val="22"/>
          <w:lang w:val="es-CO"/>
        </w:rPr>
        <w:t>,</w:t>
      </w:r>
      <w:r w:rsidR="00A14F3C" w:rsidRPr="00DE70DC">
        <w:rPr>
          <w:rFonts w:ascii="Arial" w:hAnsi="Arial" w:cs="Arial"/>
          <w:sz w:val="22"/>
          <w:lang w:val="es-CO"/>
        </w:rPr>
        <w:t xml:space="preserve"> por ejemplo</w:t>
      </w:r>
      <w:r w:rsidR="005D552E" w:rsidRPr="00DE70DC">
        <w:rPr>
          <w:rFonts w:ascii="Arial" w:hAnsi="Arial" w:cs="Arial"/>
          <w:sz w:val="22"/>
          <w:lang w:val="es-CO"/>
        </w:rPr>
        <w:t>,</w:t>
      </w:r>
      <w:r w:rsidR="00A14F3C" w:rsidRPr="00DE70DC">
        <w:rPr>
          <w:rFonts w:ascii="Arial" w:hAnsi="Arial" w:cs="Arial"/>
          <w:sz w:val="22"/>
          <w:lang w:val="es-CO"/>
        </w:rPr>
        <w:t xml:space="preserve"> la referente a contratos en ejecución.  </w:t>
      </w:r>
      <w:r w:rsidR="005D552E" w:rsidRPr="00DE70DC">
        <w:rPr>
          <w:rFonts w:ascii="Arial" w:hAnsi="Arial" w:cs="Arial"/>
          <w:sz w:val="22"/>
          <w:lang w:val="es-CO"/>
        </w:rPr>
        <w:t>Esta idea concuerda</w:t>
      </w:r>
      <w:r w:rsidR="00A14F3C" w:rsidRPr="00DE70DC">
        <w:rPr>
          <w:rFonts w:ascii="Arial" w:hAnsi="Arial" w:cs="Arial"/>
          <w:sz w:val="22"/>
          <w:lang w:val="es-CO"/>
        </w:rPr>
        <w:t xml:space="preserve"> con la causal del rechazo prevista en el literal «H» de ambos «Documentos Base», </w:t>
      </w:r>
      <w:r w:rsidR="005D552E" w:rsidRPr="00DE70DC">
        <w:rPr>
          <w:rFonts w:ascii="Arial" w:hAnsi="Arial" w:cs="Arial"/>
          <w:sz w:val="22"/>
          <w:lang w:val="es-CO"/>
        </w:rPr>
        <w:t>los cuales</w:t>
      </w:r>
      <w:r w:rsidR="00A14F3C" w:rsidRPr="00DE70DC">
        <w:rPr>
          <w:rFonts w:ascii="Arial" w:hAnsi="Arial" w:cs="Arial"/>
          <w:sz w:val="22"/>
          <w:lang w:val="es-CO"/>
        </w:rPr>
        <w:t xml:space="preserve"> </w:t>
      </w:r>
      <w:r w:rsidR="005D552E" w:rsidRPr="00DE70DC">
        <w:rPr>
          <w:rFonts w:ascii="Arial" w:hAnsi="Arial" w:cs="Arial"/>
          <w:sz w:val="22"/>
          <w:lang w:val="es-CO"/>
        </w:rPr>
        <w:t>permiten el rechazo de la propuesta</w:t>
      </w:r>
      <w:r w:rsidR="00A14F3C" w:rsidRPr="00DE70DC">
        <w:rPr>
          <w:rFonts w:ascii="Arial" w:hAnsi="Arial" w:cs="Arial"/>
          <w:sz w:val="22"/>
          <w:lang w:val="es-CO"/>
        </w:rPr>
        <w:t xml:space="preserve"> en el evento en «</w:t>
      </w:r>
      <w:r w:rsidR="00A14F3C" w:rsidRPr="00DE70DC">
        <w:rPr>
          <w:rFonts w:ascii="Arial" w:eastAsia="Arial" w:hAnsi="Arial" w:cs="Arial"/>
          <w:sz w:val="22"/>
          <w:lang w:eastAsia="es-CO"/>
        </w:rPr>
        <w:t>Que</w:t>
      </w:r>
      <w:r w:rsidR="00A14F3C" w:rsidRPr="00DE70DC">
        <w:rPr>
          <w:rFonts w:ascii="Arial" w:eastAsia="Arial,Calibri" w:hAnsi="Arial" w:cs="Arial"/>
          <w:sz w:val="22"/>
          <w:lang w:eastAsia="es-CO"/>
        </w:rPr>
        <w:t xml:space="preserve"> </w:t>
      </w:r>
      <w:r w:rsidR="00A14F3C" w:rsidRPr="00DE70DC">
        <w:rPr>
          <w:rFonts w:ascii="Arial" w:eastAsia="Arial" w:hAnsi="Arial" w:cs="Arial"/>
          <w:sz w:val="22"/>
          <w:lang w:eastAsia="es-CO"/>
        </w:rPr>
        <w:t>el</w:t>
      </w:r>
      <w:r w:rsidR="00A14F3C" w:rsidRPr="00DE70DC">
        <w:rPr>
          <w:rFonts w:ascii="Arial" w:eastAsia="Arial,Calibri" w:hAnsi="Arial" w:cs="Arial"/>
          <w:sz w:val="22"/>
          <w:lang w:eastAsia="es-CO"/>
        </w:rPr>
        <w:t xml:space="preserve"> </w:t>
      </w:r>
      <w:r w:rsidR="00A14F3C" w:rsidRPr="00DE70DC">
        <w:rPr>
          <w:rFonts w:ascii="Arial" w:eastAsia="Arial" w:hAnsi="Arial" w:cs="Arial"/>
          <w:sz w:val="22"/>
          <w:lang w:eastAsia="es-CO"/>
        </w:rPr>
        <w:t>Proponente</w:t>
      </w:r>
      <w:r w:rsidR="00A14F3C" w:rsidRPr="00DE70DC">
        <w:rPr>
          <w:rFonts w:ascii="Arial" w:eastAsia="Arial,Calibri" w:hAnsi="Arial" w:cs="Arial"/>
          <w:sz w:val="22"/>
          <w:lang w:eastAsia="es-CO"/>
        </w:rPr>
        <w:t xml:space="preserve"> </w:t>
      </w:r>
      <w:r w:rsidR="00A14F3C" w:rsidRPr="00DE70DC">
        <w:rPr>
          <w:rFonts w:ascii="Arial" w:eastAsia="Arial" w:hAnsi="Arial" w:cs="Arial"/>
          <w:sz w:val="22"/>
          <w:lang w:eastAsia="es-CO"/>
        </w:rPr>
        <w:t xml:space="preserve">aporte información inexacta </w:t>
      </w:r>
      <w:r w:rsidR="00A14F3C" w:rsidRPr="00DE70DC">
        <w:rPr>
          <w:rFonts w:ascii="Arial" w:eastAsiaTheme="minorEastAsia" w:hAnsi="Arial" w:cs="Arial"/>
          <w:sz w:val="22"/>
          <w:lang w:eastAsia="es-CO"/>
        </w:rPr>
        <w:t>sobre la cual pueda existir una posible falsedad</w:t>
      </w:r>
      <w:r w:rsidR="00A14F3C" w:rsidRPr="00DE70DC" w:rsidDel="003061D1">
        <w:rPr>
          <w:rFonts w:ascii="Arial" w:eastAsiaTheme="minorEastAsia" w:hAnsi="Arial" w:cs="Arial"/>
          <w:sz w:val="22"/>
          <w:lang w:eastAsia="es-CO"/>
        </w:rPr>
        <w:t xml:space="preserve"> </w:t>
      </w:r>
      <w:r w:rsidR="00A14F3C" w:rsidRPr="00DE70DC">
        <w:rPr>
          <w:rFonts w:ascii="Arial" w:eastAsiaTheme="minorEastAsia" w:hAnsi="Arial" w:cs="Arial"/>
          <w:sz w:val="22"/>
          <w:lang w:eastAsia="es-CO"/>
        </w:rPr>
        <w:t xml:space="preserve">en los términos de la sección </w:t>
      </w:r>
      <w:r w:rsidR="00A14F3C" w:rsidRPr="00DE70DC">
        <w:rPr>
          <w:rFonts w:ascii="Arial" w:eastAsiaTheme="minorEastAsia" w:hAnsi="Arial" w:cs="Arial"/>
          <w:sz w:val="22"/>
          <w:lang w:eastAsia="es-CO"/>
        </w:rPr>
        <w:fldChar w:fldCharType="begin"/>
      </w:r>
      <w:r w:rsidR="00A14F3C" w:rsidRPr="00DE70DC">
        <w:rPr>
          <w:rFonts w:ascii="Arial" w:eastAsiaTheme="minorEastAsia" w:hAnsi="Arial" w:cs="Arial"/>
          <w:sz w:val="22"/>
          <w:lang w:eastAsia="es-CO"/>
        </w:rPr>
        <w:instrText xml:space="preserve"> REF _Ref4940712 \r \h  \* MERGEFORMAT </w:instrText>
      </w:r>
      <w:r w:rsidR="00A14F3C" w:rsidRPr="00DE70DC">
        <w:rPr>
          <w:rFonts w:ascii="Arial" w:eastAsiaTheme="minorEastAsia" w:hAnsi="Arial" w:cs="Arial"/>
          <w:sz w:val="22"/>
          <w:lang w:eastAsia="es-CO"/>
        </w:rPr>
      </w:r>
      <w:r w:rsidR="00A14F3C" w:rsidRPr="00DE70DC">
        <w:rPr>
          <w:rFonts w:ascii="Arial" w:eastAsiaTheme="minorEastAsia" w:hAnsi="Arial" w:cs="Arial"/>
          <w:sz w:val="22"/>
          <w:lang w:eastAsia="es-CO"/>
        </w:rPr>
        <w:fldChar w:fldCharType="separate"/>
      </w:r>
      <w:r w:rsidR="00F04CC2" w:rsidRPr="00DE70DC">
        <w:rPr>
          <w:rFonts w:ascii="Arial" w:eastAsiaTheme="minorEastAsia" w:hAnsi="Arial" w:cs="Arial"/>
          <w:sz w:val="22"/>
          <w:lang w:eastAsia="es-CO"/>
        </w:rPr>
        <w:t>0</w:t>
      </w:r>
      <w:r w:rsidR="00A14F3C" w:rsidRPr="00DE70DC">
        <w:rPr>
          <w:rFonts w:ascii="Arial" w:eastAsiaTheme="minorEastAsia" w:hAnsi="Arial" w:cs="Arial"/>
          <w:sz w:val="22"/>
          <w:lang w:eastAsia="es-CO"/>
        </w:rPr>
        <w:fldChar w:fldCharType="end"/>
      </w:r>
      <w:r w:rsidR="00A14F3C" w:rsidRPr="00DE70DC">
        <w:rPr>
          <w:rFonts w:ascii="Arial" w:eastAsiaTheme="minorEastAsia" w:hAnsi="Arial" w:cs="Arial"/>
          <w:sz w:val="22"/>
          <w:lang w:eastAsia="es-CO"/>
        </w:rPr>
        <w:t>».</w:t>
      </w:r>
    </w:p>
    <w:p w14:paraId="580E2DF0" w14:textId="2A3A05ED" w:rsidR="00A14F3C" w:rsidRPr="00DE70DC" w:rsidRDefault="00A14F3C" w:rsidP="00A14F3C">
      <w:pPr>
        <w:spacing w:before="120" w:after="120" w:line="276" w:lineRule="auto"/>
        <w:jc w:val="both"/>
        <w:rPr>
          <w:rFonts w:ascii="Arial" w:hAnsi="Arial" w:cs="Arial"/>
          <w:sz w:val="22"/>
          <w:lang w:val="es-CO"/>
        </w:rPr>
      </w:pPr>
      <w:r w:rsidRPr="00DE70DC">
        <w:rPr>
          <w:rFonts w:ascii="Arial" w:hAnsi="Arial" w:cs="Arial"/>
          <w:sz w:val="22"/>
          <w:lang w:val="es-CO"/>
        </w:rPr>
        <w:tab/>
        <w:t xml:space="preserve">En ese orden de ideas, la Versión 1 del «Documento Base» para procesos de licitación de obra pública para infraestructura de transporte estableció una regla especial que permitía en uso de la potestad verificadora </w:t>
      </w:r>
      <w:r w:rsidR="005D552E" w:rsidRPr="00DE70DC">
        <w:rPr>
          <w:rFonts w:ascii="Arial" w:hAnsi="Arial" w:cs="Arial"/>
          <w:sz w:val="22"/>
          <w:lang w:val="es-CO"/>
        </w:rPr>
        <w:t>ante</w:t>
      </w:r>
      <w:r w:rsidRPr="00DE70DC">
        <w:rPr>
          <w:rFonts w:ascii="Arial" w:hAnsi="Arial" w:cs="Arial"/>
          <w:sz w:val="22"/>
          <w:lang w:val="es-CO"/>
        </w:rPr>
        <w:t xml:space="preserve"> la omisión de información sobre contratos en ejecución</w:t>
      </w:r>
      <w:r w:rsidR="005A5275" w:rsidRPr="00DE70DC">
        <w:rPr>
          <w:rFonts w:ascii="Arial" w:hAnsi="Arial" w:cs="Arial"/>
          <w:sz w:val="22"/>
          <w:lang w:val="es-CO"/>
        </w:rPr>
        <w:t>,</w:t>
      </w:r>
      <w:r w:rsidR="005D552E" w:rsidRPr="00DE70DC">
        <w:rPr>
          <w:rFonts w:ascii="Arial" w:hAnsi="Arial" w:cs="Arial"/>
          <w:sz w:val="22"/>
          <w:lang w:val="es-CO"/>
        </w:rPr>
        <w:t xml:space="preserve"> </w:t>
      </w:r>
      <w:r w:rsidR="005A5275" w:rsidRPr="00DE70DC">
        <w:rPr>
          <w:rFonts w:ascii="Arial" w:hAnsi="Arial" w:cs="Arial"/>
          <w:sz w:val="22"/>
          <w:lang w:val="es-CO"/>
        </w:rPr>
        <w:t>requiriendo</w:t>
      </w:r>
      <w:r w:rsidRPr="00DE70DC">
        <w:rPr>
          <w:rFonts w:ascii="Arial" w:hAnsi="Arial" w:cs="Arial"/>
          <w:sz w:val="22"/>
          <w:lang w:val="es-CO"/>
        </w:rPr>
        <w:t xml:space="preserve"> a los proponentes para </w:t>
      </w:r>
      <w:r w:rsidR="005D552E" w:rsidRPr="00DE70DC">
        <w:rPr>
          <w:rFonts w:ascii="Arial" w:hAnsi="Arial" w:cs="Arial"/>
          <w:sz w:val="22"/>
          <w:lang w:val="es-CO"/>
        </w:rPr>
        <w:t>hacer</w:t>
      </w:r>
      <w:r w:rsidRPr="00DE70DC">
        <w:rPr>
          <w:rFonts w:ascii="Arial" w:hAnsi="Arial" w:cs="Arial"/>
          <w:sz w:val="22"/>
          <w:lang w:val="es-CO"/>
        </w:rPr>
        <w:t xml:space="preserve"> las aclaraciones correspondientes de acuerdo con las reglas de </w:t>
      </w:r>
      <w:proofErr w:type="spellStart"/>
      <w:r w:rsidRPr="00DE70DC">
        <w:rPr>
          <w:rFonts w:ascii="Arial" w:hAnsi="Arial" w:cs="Arial"/>
          <w:sz w:val="22"/>
          <w:lang w:val="es-CO"/>
        </w:rPr>
        <w:t>subsanabilidad</w:t>
      </w:r>
      <w:proofErr w:type="spellEnd"/>
      <w:r w:rsidRPr="00DE70DC">
        <w:rPr>
          <w:rFonts w:ascii="Arial" w:hAnsi="Arial" w:cs="Arial"/>
          <w:sz w:val="22"/>
          <w:lang w:val="es-CO"/>
        </w:rPr>
        <w:t xml:space="preserve"> establecidas en el numeral 1.6 del «Documento Base», en armonía con la regla específica del numeral 3.10, previamente expuesta, sin </w:t>
      </w:r>
      <w:r w:rsidR="005A5275" w:rsidRPr="00DE70DC">
        <w:rPr>
          <w:rFonts w:ascii="Arial" w:hAnsi="Arial" w:cs="Arial"/>
          <w:sz w:val="22"/>
          <w:lang w:val="es-CO"/>
        </w:rPr>
        <w:t>el rechazo inmediato de</w:t>
      </w:r>
      <w:r w:rsidRPr="00DE70DC">
        <w:rPr>
          <w:rFonts w:ascii="Arial" w:hAnsi="Arial" w:cs="Arial"/>
          <w:sz w:val="22"/>
          <w:lang w:val="es-CO"/>
        </w:rPr>
        <w:t xml:space="preserve"> la oferta. </w:t>
      </w:r>
    </w:p>
    <w:p w14:paraId="3305453A" w14:textId="5735F99F" w:rsidR="00A14F3C" w:rsidRPr="00DE70DC" w:rsidRDefault="00A14F3C" w:rsidP="00A14F3C">
      <w:pPr>
        <w:spacing w:before="120" w:line="276" w:lineRule="auto"/>
        <w:jc w:val="both"/>
        <w:rPr>
          <w:rFonts w:ascii="Arial" w:hAnsi="Arial" w:cs="Arial"/>
          <w:sz w:val="22"/>
          <w:lang w:val="es-CO"/>
        </w:rPr>
      </w:pPr>
      <w:r w:rsidRPr="00DE70DC">
        <w:rPr>
          <w:rFonts w:ascii="Arial" w:hAnsi="Arial" w:cs="Arial"/>
          <w:sz w:val="22"/>
          <w:lang w:val="es-CO"/>
        </w:rPr>
        <w:tab/>
        <w:t xml:space="preserve">Ante </w:t>
      </w:r>
      <w:r w:rsidR="005A5275" w:rsidRPr="00DE70DC">
        <w:rPr>
          <w:rFonts w:ascii="Arial" w:hAnsi="Arial" w:cs="Arial"/>
          <w:sz w:val="22"/>
          <w:lang w:val="es-CO"/>
        </w:rPr>
        <w:t xml:space="preserve">los cambios introducidos en la </w:t>
      </w:r>
      <w:r w:rsidRPr="00DE70DC">
        <w:rPr>
          <w:rFonts w:ascii="Arial" w:hAnsi="Arial" w:cs="Arial"/>
          <w:sz w:val="22"/>
          <w:lang w:val="es-CO"/>
        </w:rPr>
        <w:t>Versión 2 del «Documento Base» para proce</w:t>
      </w:r>
      <w:r w:rsidR="005A5275" w:rsidRPr="00DE70DC">
        <w:rPr>
          <w:rFonts w:ascii="Arial" w:hAnsi="Arial" w:cs="Arial"/>
          <w:sz w:val="22"/>
          <w:lang w:val="es-CO"/>
        </w:rPr>
        <w:t xml:space="preserve">dimientos </w:t>
      </w:r>
      <w:r w:rsidRPr="00DE70DC">
        <w:rPr>
          <w:rFonts w:ascii="Arial" w:hAnsi="Arial" w:cs="Arial"/>
          <w:sz w:val="22"/>
          <w:lang w:val="es-CO"/>
        </w:rPr>
        <w:t xml:space="preserve">de licitación, común a la Versión 1 del «Pliego Tipo» para procedimientos de selección abreviada de menor cuantía, </w:t>
      </w:r>
      <w:r w:rsidR="00AC3414" w:rsidRPr="00DE70DC">
        <w:rPr>
          <w:rFonts w:ascii="Arial" w:hAnsi="Arial" w:cs="Arial"/>
          <w:sz w:val="22"/>
          <w:lang w:val="es-CO"/>
        </w:rPr>
        <w:t>como se dijo en el concepto C-196 de 2020</w:t>
      </w:r>
      <w:r w:rsidR="00AB30DF" w:rsidRPr="00DE70DC">
        <w:rPr>
          <w:rStyle w:val="Refdenotaalpie"/>
          <w:rFonts w:ascii="Arial" w:hAnsi="Arial" w:cs="Arial"/>
          <w:sz w:val="22"/>
          <w:lang w:val="es-CO"/>
        </w:rPr>
        <w:footnoteReference w:id="11"/>
      </w:r>
      <w:r w:rsidR="00AC3414" w:rsidRPr="00DE70DC">
        <w:rPr>
          <w:rFonts w:ascii="Arial" w:hAnsi="Arial" w:cs="Arial"/>
          <w:sz w:val="22"/>
          <w:lang w:val="es-CO"/>
        </w:rPr>
        <w:t>, «</w:t>
      </w:r>
      <w:r w:rsidRPr="00DE70DC">
        <w:rPr>
          <w:rFonts w:ascii="Arial" w:hAnsi="Arial" w:cs="Arial"/>
          <w:sz w:val="22"/>
          <w:lang w:val="es-CO"/>
        </w:rPr>
        <w:t xml:space="preserve">al verificarse que el proponente no incluyó información contractual que afecte su capacidad residual, la entidad ya no estará en posición de solicitar aclaraciones, o acudir al régimen de </w:t>
      </w:r>
      <w:proofErr w:type="spellStart"/>
      <w:r w:rsidRPr="00DE70DC">
        <w:rPr>
          <w:rFonts w:ascii="Arial" w:hAnsi="Arial" w:cs="Arial"/>
          <w:sz w:val="22"/>
          <w:lang w:val="es-CO"/>
        </w:rPr>
        <w:t>subsanabilidad</w:t>
      </w:r>
      <w:proofErr w:type="spellEnd"/>
      <w:r w:rsidRPr="00DE70DC">
        <w:rPr>
          <w:rFonts w:ascii="Arial" w:hAnsi="Arial" w:cs="Arial"/>
          <w:sz w:val="22"/>
          <w:lang w:val="es-CO"/>
        </w:rPr>
        <w:t xml:space="preserve"> de ofertas, al constituir tal circunstancia una causal de rechazo de la oferta en los términos del literal </w:t>
      </w:r>
      <w:r w:rsidR="00AC3414" w:rsidRPr="00DE70DC">
        <w:rPr>
          <w:rFonts w:ascii="Arial" w:hAnsi="Arial" w:cs="Arial"/>
          <w:sz w:val="22"/>
          <w:lang w:val="es-CO"/>
        </w:rPr>
        <w:t>“</w:t>
      </w:r>
      <w:r w:rsidRPr="00DE70DC">
        <w:rPr>
          <w:rFonts w:ascii="Arial" w:hAnsi="Arial" w:cs="Arial"/>
          <w:sz w:val="22"/>
          <w:lang w:val="es-CO"/>
        </w:rPr>
        <w:t>H</w:t>
      </w:r>
      <w:r w:rsidR="00AC3414" w:rsidRPr="00DE70DC">
        <w:rPr>
          <w:rFonts w:ascii="Arial" w:hAnsi="Arial" w:cs="Arial"/>
          <w:sz w:val="22"/>
          <w:lang w:val="es-CO"/>
        </w:rPr>
        <w:t>”</w:t>
      </w:r>
      <w:r w:rsidRPr="00DE70DC">
        <w:rPr>
          <w:rFonts w:ascii="Arial" w:hAnsi="Arial" w:cs="Arial"/>
          <w:sz w:val="22"/>
          <w:lang w:val="es-CO"/>
        </w:rPr>
        <w:t xml:space="preserve"> del numeral 1.15 del </w:t>
      </w:r>
      <w:r w:rsidR="00AC3414" w:rsidRPr="00DE70DC">
        <w:rPr>
          <w:rFonts w:ascii="Arial" w:hAnsi="Arial" w:cs="Arial"/>
          <w:sz w:val="22"/>
          <w:lang w:val="es-CO"/>
        </w:rPr>
        <w:t>“</w:t>
      </w:r>
      <w:r w:rsidRPr="00DE70DC">
        <w:rPr>
          <w:rFonts w:ascii="Arial" w:hAnsi="Arial" w:cs="Arial"/>
          <w:sz w:val="22"/>
          <w:lang w:val="es-CO"/>
        </w:rPr>
        <w:t>Documento Base o Pliego Tipo</w:t>
      </w:r>
      <w:r w:rsidR="00AC3414" w:rsidRPr="00DE70DC">
        <w:rPr>
          <w:rFonts w:ascii="Arial" w:hAnsi="Arial" w:cs="Arial"/>
          <w:sz w:val="22"/>
          <w:lang w:val="es-CO"/>
        </w:rPr>
        <w:t>”»</w:t>
      </w:r>
      <w:r w:rsidRPr="00DE70DC">
        <w:rPr>
          <w:rFonts w:ascii="Arial" w:hAnsi="Arial" w:cs="Arial"/>
          <w:sz w:val="22"/>
          <w:lang w:val="es-CO"/>
        </w:rPr>
        <w:t xml:space="preserve">.  </w:t>
      </w:r>
    </w:p>
    <w:p w14:paraId="5E6B8351" w14:textId="4DBEADBF" w:rsidR="005A79FE" w:rsidRPr="00DE70DC" w:rsidRDefault="005A79FE" w:rsidP="00114236">
      <w:pPr>
        <w:spacing w:line="276" w:lineRule="auto"/>
        <w:jc w:val="both"/>
        <w:rPr>
          <w:rFonts w:ascii="Arial" w:eastAsia="Calibri" w:hAnsi="Arial" w:cs="Arial"/>
          <w:b/>
          <w:sz w:val="22"/>
        </w:rPr>
      </w:pPr>
    </w:p>
    <w:p w14:paraId="5D99A3C6" w14:textId="77777777" w:rsidR="005A79FE" w:rsidRPr="00DE70DC" w:rsidRDefault="005A79FE" w:rsidP="00114236">
      <w:pPr>
        <w:pStyle w:val="Prrafodelista"/>
        <w:numPr>
          <w:ilvl w:val="0"/>
          <w:numId w:val="6"/>
        </w:numPr>
        <w:tabs>
          <w:tab w:val="left" w:pos="284"/>
        </w:tabs>
        <w:spacing w:line="276" w:lineRule="auto"/>
        <w:ind w:left="0" w:firstLine="0"/>
        <w:jc w:val="both"/>
        <w:rPr>
          <w:rFonts w:ascii="Arial" w:eastAsia="Calibri" w:hAnsi="Arial" w:cs="Arial"/>
          <w:sz w:val="22"/>
        </w:rPr>
      </w:pPr>
      <w:r w:rsidRPr="00DE70DC">
        <w:rPr>
          <w:rFonts w:ascii="Arial" w:eastAsia="Calibri" w:hAnsi="Arial" w:cs="Arial"/>
          <w:b/>
          <w:sz w:val="22"/>
        </w:rPr>
        <w:t>Respuestas</w:t>
      </w:r>
    </w:p>
    <w:p w14:paraId="6A2CCB9A" w14:textId="77777777" w:rsidR="005A79FE" w:rsidRPr="00DE70DC" w:rsidRDefault="005A79FE" w:rsidP="00114236">
      <w:pPr>
        <w:spacing w:line="276" w:lineRule="auto"/>
        <w:ind w:right="709"/>
        <w:jc w:val="both"/>
        <w:rPr>
          <w:rFonts w:ascii="Arial" w:eastAsia="Calibri" w:hAnsi="Arial" w:cs="Arial"/>
          <w:iCs/>
          <w:sz w:val="22"/>
        </w:rPr>
      </w:pPr>
    </w:p>
    <w:p w14:paraId="4F022112" w14:textId="26850842" w:rsidR="00B6143C" w:rsidRPr="00DE70DC" w:rsidRDefault="00B6143C" w:rsidP="00F47B8F">
      <w:pPr>
        <w:ind w:left="709" w:right="709"/>
        <w:jc w:val="both"/>
        <w:rPr>
          <w:rFonts w:ascii="Arial" w:eastAsia="Calibri" w:hAnsi="Arial" w:cs="Arial"/>
          <w:sz w:val="22"/>
        </w:rPr>
      </w:pPr>
      <w:r w:rsidRPr="00DE70DC">
        <w:rPr>
          <w:rFonts w:ascii="Arial" w:eastAsia="Calibri" w:hAnsi="Arial" w:cs="Arial"/>
          <w:sz w:val="22"/>
        </w:rPr>
        <w:t xml:space="preserve">i) «¿si un proponente relaciona todos los contratos, pero tiene errores en las fechas de inicio debe ser rechazado?»; </w:t>
      </w:r>
      <w:proofErr w:type="spellStart"/>
      <w:r w:rsidRPr="00DE70DC">
        <w:rPr>
          <w:rFonts w:ascii="Arial" w:eastAsia="Calibri" w:hAnsi="Arial" w:cs="Arial"/>
          <w:sz w:val="22"/>
        </w:rPr>
        <w:t>ii</w:t>
      </w:r>
      <w:proofErr w:type="spellEnd"/>
      <w:r w:rsidRPr="00DE70DC">
        <w:rPr>
          <w:rFonts w:ascii="Arial" w:eastAsia="Calibri" w:hAnsi="Arial" w:cs="Arial"/>
          <w:sz w:val="22"/>
        </w:rPr>
        <w:t xml:space="preserve">) «¿si un proponente relaciona </w:t>
      </w:r>
      <w:r w:rsidRPr="00DE70DC">
        <w:rPr>
          <w:rFonts w:ascii="Arial" w:eastAsia="Calibri" w:hAnsi="Arial" w:cs="Arial"/>
          <w:sz w:val="22"/>
        </w:rPr>
        <w:lastRenderedPageBreak/>
        <w:t xml:space="preserve">todo[s] los contratos, pero tiene errores en la fecha de cierre del proceso debe ser rechazado?»; </w:t>
      </w:r>
      <w:proofErr w:type="spellStart"/>
      <w:r w:rsidRPr="00DE70DC">
        <w:rPr>
          <w:rFonts w:ascii="Arial" w:eastAsia="Calibri" w:hAnsi="Arial" w:cs="Arial"/>
          <w:sz w:val="22"/>
        </w:rPr>
        <w:t>iii</w:t>
      </w:r>
      <w:proofErr w:type="spellEnd"/>
      <w:r w:rsidRPr="00DE70DC">
        <w:rPr>
          <w:rFonts w:ascii="Arial" w:eastAsia="Calibri" w:hAnsi="Arial" w:cs="Arial"/>
          <w:sz w:val="22"/>
        </w:rPr>
        <w:t xml:space="preserve">) «¿si un proponente relaciona todos los contratos, pero tiene errores en su[s] valores debe ser rechazado?»; </w:t>
      </w:r>
      <w:proofErr w:type="spellStart"/>
      <w:r w:rsidRPr="00DE70DC">
        <w:rPr>
          <w:rFonts w:ascii="Arial" w:eastAsia="Calibri" w:hAnsi="Arial" w:cs="Arial"/>
          <w:sz w:val="22"/>
        </w:rPr>
        <w:t>iv</w:t>
      </w:r>
      <w:proofErr w:type="spellEnd"/>
      <w:r w:rsidRPr="00DE70DC">
        <w:rPr>
          <w:rFonts w:ascii="Arial" w:eastAsia="Calibri" w:hAnsi="Arial" w:cs="Arial"/>
          <w:sz w:val="22"/>
        </w:rPr>
        <w:t>) «¿si un proponente relaciona todos los contrato, pero tiene errores en los plazos debe ser rechazado?</w:t>
      </w:r>
      <w:r w:rsidR="00F47B8F" w:rsidRPr="00DE70DC">
        <w:rPr>
          <w:rFonts w:ascii="Arial" w:eastAsia="Calibri" w:hAnsi="Arial" w:cs="Arial"/>
          <w:sz w:val="22"/>
        </w:rPr>
        <w:t>; y v) «[…] siendo […] la capacidad residual […] un requisito habilitante por lo que debería ser subsanable, […] ¿si un proponente no relaciona todos los contratos y la entidad lo advierte en el informe de evaluación, no podrá ser requerido para subsanar este requisito?».</w:t>
      </w:r>
    </w:p>
    <w:p w14:paraId="34C31AE7" w14:textId="4E29B80E" w:rsidR="005A79FE" w:rsidRPr="00DE70DC" w:rsidRDefault="005A79FE" w:rsidP="00114236">
      <w:pPr>
        <w:spacing w:line="276" w:lineRule="auto"/>
        <w:jc w:val="both"/>
        <w:rPr>
          <w:rFonts w:ascii="Arial" w:eastAsia="Calibri" w:hAnsi="Arial" w:cs="Arial"/>
          <w:sz w:val="22"/>
        </w:rPr>
      </w:pPr>
    </w:p>
    <w:p w14:paraId="7997E8B3" w14:textId="45261C75" w:rsidR="005626E7" w:rsidRPr="00DE70DC" w:rsidRDefault="005626E7" w:rsidP="005626E7">
      <w:pPr>
        <w:spacing w:before="120" w:line="276" w:lineRule="auto"/>
        <w:jc w:val="both"/>
        <w:rPr>
          <w:rFonts w:ascii="Arial" w:eastAsia="Calibri" w:hAnsi="Arial" w:cs="Arial"/>
          <w:sz w:val="22"/>
        </w:rPr>
      </w:pPr>
      <w:r w:rsidRPr="00DE70DC">
        <w:rPr>
          <w:rFonts w:ascii="Arial" w:eastAsia="Calibri" w:hAnsi="Arial" w:cs="Arial"/>
          <w:sz w:val="22"/>
        </w:rPr>
        <w:t>Para responder sus preguntas es necesario distinguir dos hipótesis: de un lado, que el proponente pueda ser rechazado por la causal del literal BB del numeral 1.1. de l</w:t>
      </w:r>
      <w:r w:rsidR="00752568" w:rsidRPr="00DE70DC">
        <w:rPr>
          <w:rFonts w:ascii="Arial" w:eastAsia="Calibri" w:hAnsi="Arial" w:cs="Arial"/>
          <w:sz w:val="22"/>
        </w:rPr>
        <w:t>a Versión 2 de l</w:t>
      </w:r>
      <w:r w:rsidRPr="00DE70DC">
        <w:rPr>
          <w:rFonts w:ascii="Arial" w:eastAsia="Calibri" w:hAnsi="Arial" w:cs="Arial"/>
          <w:sz w:val="22"/>
        </w:rPr>
        <w:t xml:space="preserve">os Documentos Tipo y, por el otro, </w:t>
      </w:r>
      <w:r w:rsidR="00DD1C18" w:rsidRPr="00DE70DC">
        <w:rPr>
          <w:rFonts w:ascii="Arial" w:eastAsia="Calibri" w:hAnsi="Arial" w:cs="Arial"/>
          <w:sz w:val="22"/>
        </w:rPr>
        <w:t>que pueda</w:t>
      </w:r>
      <w:r w:rsidRPr="00DE70DC">
        <w:rPr>
          <w:rFonts w:ascii="Arial" w:eastAsia="Calibri" w:hAnsi="Arial" w:cs="Arial"/>
          <w:sz w:val="22"/>
        </w:rPr>
        <w:t xml:space="preserve"> ser rechazado por la causal del literal H </w:t>
      </w:r>
      <w:r w:rsidRPr="00DE70DC">
        <w:rPr>
          <w:rFonts w:ascii="Arial" w:eastAsia="Calibri" w:hAnsi="Arial" w:cs="Arial"/>
          <w:i/>
          <w:iCs/>
          <w:sz w:val="22"/>
        </w:rPr>
        <w:t>ibidem</w:t>
      </w:r>
      <w:r w:rsidR="00752568" w:rsidRPr="00DE70DC">
        <w:rPr>
          <w:rFonts w:ascii="Arial" w:eastAsia="Calibri" w:hAnsi="Arial" w:cs="Arial"/>
          <w:sz w:val="22"/>
        </w:rPr>
        <w:t>, la cual corresponde con la causal que consagra el literal G de la Versión 1</w:t>
      </w:r>
      <w:r w:rsidR="00DD1C18" w:rsidRPr="00DE70DC">
        <w:rPr>
          <w:rFonts w:ascii="Arial" w:eastAsia="Calibri" w:hAnsi="Arial" w:cs="Arial"/>
          <w:sz w:val="22"/>
        </w:rPr>
        <w:t>. Estas dos,</w:t>
      </w:r>
      <w:r w:rsidR="00752568" w:rsidRPr="00DE70DC">
        <w:rPr>
          <w:rFonts w:ascii="Arial" w:eastAsia="Calibri" w:hAnsi="Arial" w:cs="Arial"/>
          <w:sz w:val="22"/>
        </w:rPr>
        <w:t xml:space="preserve"> a su vez, remiten al numeral 1.11 de los </w:t>
      </w:r>
      <w:r w:rsidR="005A5275" w:rsidRPr="00DE70DC">
        <w:rPr>
          <w:rFonts w:ascii="Arial" w:eastAsia="Calibri" w:hAnsi="Arial" w:cs="Arial"/>
          <w:sz w:val="22"/>
        </w:rPr>
        <w:t>«</w:t>
      </w:r>
      <w:r w:rsidR="00752568" w:rsidRPr="00DE70DC">
        <w:rPr>
          <w:rFonts w:ascii="Arial" w:eastAsia="Calibri" w:hAnsi="Arial" w:cs="Arial"/>
          <w:sz w:val="22"/>
        </w:rPr>
        <w:t>Documentos Tipo</w:t>
      </w:r>
      <w:r w:rsidR="005A5275" w:rsidRPr="00DE70DC">
        <w:rPr>
          <w:rFonts w:ascii="Arial" w:eastAsia="Calibri" w:hAnsi="Arial" w:cs="Arial"/>
          <w:sz w:val="22"/>
        </w:rPr>
        <w:t>»</w:t>
      </w:r>
      <w:r w:rsidR="00DD1C18" w:rsidRPr="00DE70DC">
        <w:rPr>
          <w:rFonts w:ascii="Arial" w:eastAsia="Calibri" w:hAnsi="Arial" w:cs="Arial"/>
          <w:sz w:val="22"/>
        </w:rPr>
        <w:t xml:space="preserve">, según se explicó </w:t>
      </w:r>
      <w:r w:rsidR="00AD0B1D" w:rsidRPr="00DE70DC">
        <w:rPr>
          <w:rFonts w:ascii="Arial" w:eastAsia="Calibri" w:hAnsi="Arial" w:cs="Arial"/>
          <w:sz w:val="22"/>
        </w:rPr>
        <w:t>en el precedente concepto</w:t>
      </w:r>
      <w:r w:rsidRPr="00DE70DC">
        <w:rPr>
          <w:rFonts w:ascii="Arial" w:eastAsia="Calibri" w:hAnsi="Arial" w:cs="Arial"/>
          <w:sz w:val="22"/>
        </w:rPr>
        <w:t>.</w:t>
      </w:r>
    </w:p>
    <w:p w14:paraId="1CE38D60" w14:textId="087172EE" w:rsidR="00F277D0" w:rsidRPr="00DE70DC" w:rsidRDefault="005626E7" w:rsidP="005626E7">
      <w:pPr>
        <w:spacing w:before="120" w:line="276" w:lineRule="auto"/>
        <w:ind w:firstLine="708"/>
        <w:jc w:val="both"/>
        <w:rPr>
          <w:rFonts w:ascii="Arial" w:eastAsia="Calibri" w:hAnsi="Arial" w:cs="Arial"/>
          <w:sz w:val="22"/>
        </w:rPr>
      </w:pPr>
      <w:r w:rsidRPr="00DE70DC">
        <w:rPr>
          <w:rFonts w:ascii="Arial" w:eastAsia="Calibri" w:hAnsi="Arial" w:cs="Arial"/>
          <w:sz w:val="22"/>
        </w:rPr>
        <w:t>En la primera hipótesis, el proponente no podría ser rechazado por la entidad, pues, como se dijo en las consideraciones de este concepto, dicha causal es objetiva y, como tal, únicamente opera cuando no se informó la totalidad de los contratos. En la segunda hipótesis, sin embargo,</w:t>
      </w:r>
      <w:r w:rsidR="00B439B4" w:rsidRPr="00DE70DC">
        <w:rPr>
          <w:rFonts w:ascii="Arial" w:eastAsia="Calibri" w:hAnsi="Arial" w:cs="Arial"/>
          <w:sz w:val="22"/>
        </w:rPr>
        <w:t xml:space="preserve"> sí</w:t>
      </w:r>
      <w:r w:rsidRPr="00DE70DC">
        <w:rPr>
          <w:rFonts w:ascii="Arial" w:eastAsia="Calibri" w:hAnsi="Arial" w:cs="Arial"/>
          <w:sz w:val="22"/>
        </w:rPr>
        <w:t xml:space="preserve"> </w:t>
      </w:r>
      <w:r w:rsidR="0072127D" w:rsidRPr="00DE70DC">
        <w:rPr>
          <w:rFonts w:ascii="Arial" w:eastAsia="Calibri" w:hAnsi="Arial" w:cs="Arial"/>
          <w:sz w:val="22"/>
        </w:rPr>
        <w:t>podría rechazar al proponente</w:t>
      </w:r>
      <w:r w:rsidRPr="00DE70DC">
        <w:rPr>
          <w:rFonts w:ascii="Arial" w:eastAsia="Calibri" w:hAnsi="Arial" w:cs="Arial"/>
          <w:sz w:val="22"/>
        </w:rPr>
        <w:t xml:space="preserve">, según la versión de los </w:t>
      </w:r>
      <w:r w:rsidR="005A5275" w:rsidRPr="00DE70DC">
        <w:rPr>
          <w:rFonts w:ascii="Arial" w:eastAsia="Calibri" w:hAnsi="Arial" w:cs="Arial"/>
          <w:sz w:val="22"/>
        </w:rPr>
        <w:t>«</w:t>
      </w:r>
      <w:r w:rsidRPr="00DE70DC">
        <w:rPr>
          <w:rFonts w:ascii="Arial" w:eastAsia="Calibri" w:hAnsi="Arial" w:cs="Arial"/>
          <w:sz w:val="22"/>
        </w:rPr>
        <w:t>Documentos Tipo</w:t>
      </w:r>
      <w:r w:rsidR="005A5275" w:rsidRPr="00DE70DC">
        <w:rPr>
          <w:rFonts w:ascii="Arial" w:eastAsia="Calibri" w:hAnsi="Arial" w:cs="Arial"/>
          <w:sz w:val="22"/>
        </w:rPr>
        <w:t>»</w:t>
      </w:r>
      <w:r w:rsidRPr="00DE70DC">
        <w:rPr>
          <w:rFonts w:ascii="Arial" w:eastAsia="Calibri" w:hAnsi="Arial" w:cs="Arial"/>
          <w:sz w:val="22"/>
        </w:rPr>
        <w:t xml:space="preserve"> aplicable en el proceso de contratación</w:t>
      </w:r>
      <w:r w:rsidR="005E7572" w:rsidRPr="00DE70DC">
        <w:rPr>
          <w:rFonts w:ascii="Arial" w:eastAsia="Calibri" w:hAnsi="Arial" w:cs="Arial"/>
          <w:sz w:val="22"/>
        </w:rPr>
        <w:t xml:space="preserve">, lo cual depende del momento en el que se inició el trámite, esto es, </w:t>
      </w:r>
      <w:r w:rsidR="00B439B4" w:rsidRPr="00DE70DC">
        <w:rPr>
          <w:rFonts w:ascii="Arial" w:eastAsia="Calibri" w:hAnsi="Arial" w:cs="Arial"/>
          <w:sz w:val="22"/>
        </w:rPr>
        <w:t>después del</w:t>
      </w:r>
      <w:r w:rsidR="005E7572" w:rsidRPr="00DE70DC">
        <w:rPr>
          <w:rFonts w:ascii="Arial" w:eastAsia="Calibri" w:hAnsi="Arial" w:cs="Arial"/>
          <w:sz w:val="22"/>
        </w:rPr>
        <w:t xml:space="preserve"> </w:t>
      </w:r>
      <w:r w:rsidR="0072127D" w:rsidRPr="00DE70DC">
        <w:rPr>
          <w:rFonts w:ascii="Arial" w:eastAsia="Calibri" w:hAnsi="Arial" w:cs="Arial"/>
          <w:sz w:val="22"/>
        </w:rPr>
        <w:t>10 de marzo de 2020</w:t>
      </w:r>
      <w:r w:rsidR="005E7572" w:rsidRPr="00DE70DC">
        <w:rPr>
          <w:rFonts w:ascii="Arial" w:eastAsia="Calibri" w:hAnsi="Arial" w:cs="Arial"/>
          <w:sz w:val="22"/>
        </w:rPr>
        <w:t xml:space="preserve">, cuando </w:t>
      </w:r>
      <w:proofErr w:type="gramStart"/>
      <w:r w:rsidR="005E7572" w:rsidRPr="00DE70DC">
        <w:rPr>
          <w:rFonts w:ascii="Arial" w:eastAsia="Calibri" w:hAnsi="Arial" w:cs="Arial"/>
          <w:sz w:val="22"/>
        </w:rPr>
        <w:t>entró en vigencia</w:t>
      </w:r>
      <w:proofErr w:type="gramEnd"/>
      <w:r w:rsidR="005E7572" w:rsidRPr="00DE70DC">
        <w:rPr>
          <w:rFonts w:ascii="Arial" w:eastAsia="Calibri" w:hAnsi="Arial" w:cs="Arial"/>
          <w:sz w:val="22"/>
        </w:rPr>
        <w:t xml:space="preserve"> la Versión 2</w:t>
      </w:r>
      <w:r w:rsidR="0072127D" w:rsidRPr="00DE70DC">
        <w:rPr>
          <w:rFonts w:ascii="Arial" w:eastAsia="Calibri" w:hAnsi="Arial" w:cs="Arial"/>
          <w:sz w:val="22"/>
        </w:rPr>
        <w:t xml:space="preserve">, según lo que establece el artículo 3 de la Resolución 0045 </w:t>
      </w:r>
      <w:r w:rsidR="00B439B4" w:rsidRPr="00DE70DC">
        <w:rPr>
          <w:rFonts w:ascii="Arial" w:eastAsia="Calibri" w:hAnsi="Arial" w:cs="Arial"/>
          <w:sz w:val="22"/>
        </w:rPr>
        <w:t>de 2020</w:t>
      </w:r>
      <w:r w:rsidRPr="00DE70DC">
        <w:rPr>
          <w:rFonts w:ascii="Arial" w:eastAsia="Calibri" w:hAnsi="Arial" w:cs="Arial"/>
          <w:sz w:val="22"/>
        </w:rPr>
        <w:t xml:space="preserve">. </w:t>
      </w:r>
    </w:p>
    <w:p w14:paraId="312C9CCF" w14:textId="6D1CA1DD" w:rsidR="005626E7" w:rsidRPr="00DE70DC" w:rsidRDefault="009E2882" w:rsidP="005626E7">
      <w:pPr>
        <w:spacing w:before="120" w:line="276" w:lineRule="auto"/>
        <w:ind w:firstLine="708"/>
        <w:jc w:val="both"/>
        <w:rPr>
          <w:rFonts w:ascii="Arial" w:hAnsi="Arial" w:cs="Arial"/>
          <w:sz w:val="22"/>
          <w:lang w:val="es-CO"/>
        </w:rPr>
      </w:pPr>
      <w:r w:rsidRPr="00DE70DC">
        <w:rPr>
          <w:rFonts w:ascii="Arial" w:hAnsi="Arial" w:cs="Arial"/>
          <w:sz w:val="22"/>
        </w:rPr>
        <w:t>Así, e</w:t>
      </w:r>
      <w:r w:rsidR="005626E7" w:rsidRPr="00DE70DC">
        <w:rPr>
          <w:rFonts w:ascii="Arial" w:hAnsi="Arial" w:cs="Arial"/>
          <w:sz w:val="22"/>
        </w:rPr>
        <w:t xml:space="preserve">n los procesos de licitación de obra pública de infraestructura de transporte, adelantados con la Versión 1 de los </w:t>
      </w:r>
      <w:r w:rsidR="00F8789E" w:rsidRPr="00DE70DC">
        <w:rPr>
          <w:rFonts w:ascii="Arial" w:hAnsi="Arial" w:cs="Arial"/>
          <w:sz w:val="22"/>
        </w:rPr>
        <w:t>«</w:t>
      </w:r>
      <w:r w:rsidR="005626E7" w:rsidRPr="00DE70DC">
        <w:rPr>
          <w:rFonts w:ascii="Arial" w:hAnsi="Arial" w:cs="Arial"/>
          <w:sz w:val="22"/>
        </w:rPr>
        <w:t>Documentos Tipo</w:t>
      </w:r>
      <w:r w:rsidR="00F8789E" w:rsidRPr="00DE70DC">
        <w:rPr>
          <w:rFonts w:ascii="Arial" w:hAnsi="Arial" w:cs="Arial"/>
          <w:sz w:val="22"/>
        </w:rPr>
        <w:t>»</w:t>
      </w:r>
      <w:r w:rsidR="005626E7" w:rsidRPr="00DE70DC">
        <w:rPr>
          <w:rFonts w:ascii="Arial" w:hAnsi="Arial" w:cs="Arial"/>
          <w:sz w:val="22"/>
        </w:rPr>
        <w:t xml:space="preserve">, implementados por la Resolución No. 1798 de 2019, </w:t>
      </w:r>
      <w:r w:rsidR="005626E7" w:rsidRPr="00DE70DC">
        <w:rPr>
          <w:rFonts w:ascii="Arial" w:hAnsi="Arial" w:cs="Arial"/>
          <w:sz w:val="22"/>
          <w:lang w:val="es-CO"/>
        </w:rPr>
        <w:t xml:space="preserve">en el evento en que el oferente no relacione la totalidad </w:t>
      </w:r>
      <w:r w:rsidRPr="00DE70DC">
        <w:rPr>
          <w:rFonts w:ascii="Arial" w:hAnsi="Arial" w:cs="Arial"/>
          <w:sz w:val="22"/>
          <w:lang w:val="es-CO"/>
        </w:rPr>
        <w:t xml:space="preserve">de la información </w:t>
      </w:r>
      <w:r w:rsidR="005626E7" w:rsidRPr="00DE70DC">
        <w:rPr>
          <w:rFonts w:ascii="Arial" w:hAnsi="Arial" w:cs="Arial"/>
          <w:sz w:val="22"/>
          <w:lang w:val="es-CO"/>
        </w:rPr>
        <w:t>necesari</w:t>
      </w:r>
      <w:r w:rsidRPr="00DE70DC">
        <w:rPr>
          <w:rFonts w:ascii="Arial" w:hAnsi="Arial" w:cs="Arial"/>
          <w:sz w:val="22"/>
          <w:lang w:val="es-CO"/>
        </w:rPr>
        <w:t>a</w:t>
      </w:r>
      <w:r w:rsidR="005626E7" w:rsidRPr="00DE70DC">
        <w:rPr>
          <w:rFonts w:ascii="Arial" w:hAnsi="Arial" w:cs="Arial"/>
          <w:sz w:val="22"/>
          <w:lang w:val="es-CO"/>
        </w:rPr>
        <w:t xml:space="preserve"> para calcular la capacidad residual, y la entidad, en ejercicio de la potestad verificadora, l</w:t>
      </w:r>
      <w:r w:rsidRPr="00DE70DC">
        <w:rPr>
          <w:rFonts w:ascii="Arial" w:hAnsi="Arial" w:cs="Arial"/>
          <w:sz w:val="22"/>
          <w:lang w:val="es-CO"/>
        </w:rPr>
        <w:t>a</w:t>
      </w:r>
      <w:r w:rsidR="005626E7" w:rsidRPr="00DE70DC">
        <w:rPr>
          <w:rFonts w:ascii="Arial" w:hAnsi="Arial" w:cs="Arial"/>
          <w:sz w:val="22"/>
          <w:lang w:val="es-CO"/>
        </w:rPr>
        <w:t xml:space="preserve"> haya identificado, debe aplicar la regla establecida en el numeral 3.10 del «Documento Base», es decir, los debe incluir para el cálculo, «sin perjuicio de las acciones administrativas y/o judiciales a que haya lugar, en contra de la (s) persona (s) que haya (n) suscrito las certificaciones exigidas para el cálculo de la capacidad residual</w:t>
      </w:r>
      <w:r w:rsidR="00B439B4" w:rsidRPr="00DE70DC">
        <w:rPr>
          <w:rFonts w:ascii="Arial" w:hAnsi="Arial" w:cs="Arial"/>
          <w:sz w:val="22"/>
          <w:lang w:val="es-CO"/>
        </w:rPr>
        <w:t>»</w:t>
      </w:r>
      <w:r w:rsidR="005626E7" w:rsidRPr="00DE70DC">
        <w:rPr>
          <w:rFonts w:ascii="Arial" w:hAnsi="Arial" w:cs="Arial"/>
          <w:sz w:val="22"/>
          <w:lang w:val="es-CO"/>
        </w:rPr>
        <w:t>.</w:t>
      </w:r>
    </w:p>
    <w:p w14:paraId="17887D8E" w14:textId="5FCB385E" w:rsidR="005626E7" w:rsidRPr="00DE70DC" w:rsidRDefault="005626E7" w:rsidP="005626E7">
      <w:pPr>
        <w:spacing w:before="120" w:line="276" w:lineRule="auto"/>
        <w:ind w:firstLine="709"/>
        <w:jc w:val="both"/>
        <w:rPr>
          <w:rFonts w:ascii="Arial" w:hAnsi="Arial" w:cs="Arial"/>
          <w:sz w:val="22"/>
          <w:lang w:val="es-CO"/>
        </w:rPr>
      </w:pPr>
      <w:r w:rsidRPr="00DE70DC">
        <w:rPr>
          <w:rFonts w:ascii="Arial" w:hAnsi="Arial" w:cs="Arial"/>
          <w:sz w:val="22"/>
          <w:lang w:val="es-CO"/>
        </w:rPr>
        <w:t xml:space="preserve">Por lo anterior, la entidad estatal debe aplicar el numeral 3.10 enunciado, en armonía con las reglas de </w:t>
      </w:r>
      <w:proofErr w:type="spellStart"/>
      <w:r w:rsidRPr="00DE70DC">
        <w:rPr>
          <w:rFonts w:ascii="Arial" w:hAnsi="Arial" w:cs="Arial"/>
          <w:sz w:val="22"/>
          <w:lang w:val="es-CO"/>
        </w:rPr>
        <w:t>subsanabilidad</w:t>
      </w:r>
      <w:proofErr w:type="spellEnd"/>
      <w:r w:rsidRPr="00DE70DC">
        <w:rPr>
          <w:rFonts w:ascii="Arial" w:hAnsi="Arial" w:cs="Arial"/>
          <w:sz w:val="22"/>
          <w:lang w:val="es-CO"/>
        </w:rPr>
        <w:t xml:space="preserve"> del numeral 1.6 del «Documento Base». Por lo tanto, la circunstancia en la cual el proponente no relacione la totalidad </w:t>
      </w:r>
      <w:r w:rsidR="009E2882" w:rsidRPr="00DE70DC">
        <w:rPr>
          <w:rFonts w:ascii="Arial" w:hAnsi="Arial" w:cs="Arial"/>
          <w:sz w:val="22"/>
          <w:lang w:val="es-CO"/>
        </w:rPr>
        <w:t xml:space="preserve">de la información de los </w:t>
      </w:r>
      <w:r w:rsidRPr="00DE70DC">
        <w:rPr>
          <w:rFonts w:ascii="Arial" w:hAnsi="Arial" w:cs="Arial"/>
          <w:sz w:val="22"/>
          <w:lang w:val="es-CO"/>
        </w:rPr>
        <w:t xml:space="preserve">contratos en ejecución necesarios para calcular la capacidad residual constituye información inexacta en los términos del numeral 1.11 del «Documento Base», sin embargo, la consecuencia aplicable es la establecida en el numeral 3.10. al tratarse de una regla especial. </w:t>
      </w:r>
    </w:p>
    <w:p w14:paraId="72026C0A" w14:textId="73751BC5" w:rsidR="00416511" w:rsidRPr="00DE70DC" w:rsidRDefault="005626E7" w:rsidP="00683085">
      <w:pPr>
        <w:spacing w:before="120" w:line="276" w:lineRule="auto"/>
        <w:jc w:val="both"/>
        <w:rPr>
          <w:rFonts w:ascii="Arial" w:hAnsi="Arial" w:cs="Arial"/>
          <w:sz w:val="22"/>
          <w:lang w:val="es-CO"/>
        </w:rPr>
      </w:pPr>
      <w:r w:rsidRPr="00DE70DC">
        <w:rPr>
          <w:rFonts w:ascii="Arial" w:hAnsi="Arial" w:cs="Arial"/>
          <w:sz w:val="22"/>
          <w:lang w:val="es-CO"/>
        </w:rPr>
        <w:lastRenderedPageBreak/>
        <w:tab/>
        <w:t xml:space="preserve">A </w:t>
      </w:r>
      <w:r w:rsidRPr="00DE70DC">
        <w:rPr>
          <w:rFonts w:ascii="Arial" w:hAnsi="Arial" w:cs="Arial"/>
          <w:i/>
          <w:iCs/>
          <w:sz w:val="22"/>
          <w:lang w:val="es-CO"/>
        </w:rPr>
        <w:t>contrario sensu</w:t>
      </w:r>
      <w:r w:rsidRPr="00DE70DC">
        <w:rPr>
          <w:rFonts w:ascii="Arial" w:hAnsi="Arial" w:cs="Arial"/>
          <w:iCs/>
          <w:sz w:val="22"/>
          <w:lang w:val="es-CO"/>
        </w:rPr>
        <w:t>,</w:t>
      </w:r>
      <w:r w:rsidRPr="00DE70DC">
        <w:rPr>
          <w:rFonts w:ascii="Arial" w:hAnsi="Arial" w:cs="Arial"/>
          <w:sz w:val="22"/>
          <w:lang w:val="es-CO"/>
        </w:rPr>
        <w:t xml:space="preserve"> en los procedimientos de licitación adelantados con la Versión 2 de los </w:t>
      </w:r>
      <w:r w:rsidR="00F8789E" w:rsidRPr="00DE70DC">
        <w:rPr>
          <w:rFonts w:ascii="Arial" w:hAnsi="Arial" w:cs="Arial"/>
          <w:sz w:val="22"/>
          <w:lang w:val="es-CO"/>
        </w:rPr>
        <w:t>«</w:t>
      </w:r>
      <w:r w:rsidRPr="00DE70DC">
        <w:rPr>
          <w:rFonts w:ascii="Arial" w:hAnsi="Arial" w:cs="Arial"/>
          <w:sz w:val="22"/>
          <w:lang w:val="es-CO"/>
        </w:rPr>
        <w:t>Documentos Tipo</w:t>
      </w:r>
      <w:r w:rsidR="00F8789E" w:rsidRPr="00DE70DC">
        <w:rPr>
          <w:rFonts w:ascii="Arial" w:hAnsi="Arial" w:cs="Arial"/>
          <w:sz w:val="22"/>
          <w:lang w:val="es-CO"/>
        </w:rPr>
        <w:t>»</w:t>
      </w:r>
      <w:r w:rsidRPr="00DE70DC">
        <w:rPr>
          <w:rFonts w:ascii="Arial" w:hAnsi="Arial" w:cs="Arial"/>
          <w:sz w:val="22"/>
          <w:lang w:val="es-CO"/>
        </w:rPr>
        <w:t xml:space="preserve">, implementados por la Resolución No. 045 de 2020, y en los de selección abreviada de menor cuantía acogidos por la Resolución No. 044 de 2020, </w:t>
      </w:r>
      <w:r w:rsidR="00683085" w:rsidRPr="00DE70DC">
        <w:rPr>
          <w:rFonts w:ascii="Arial" w:hAnsi="Arial" w:cs="Arial"/>
          <w:sz w:val="22"/>
          <w:lang w:val="es-CO"/>
        </w:rPr>
        <w:t xml:space="preserve">«al verificarse que el proponente no incluyó información contractual que afecte su capacidad residual, la entidad ya no estará en posición de solicitar aclaraciones, o acudir al régimen de </w:t>
      </w:r>
      <w:proofErr w:type="spellStart"/>
      <w:r w:rsidR="00683085" w:rsidRPr="00DE70DC">
        <w:rPr>
          <w:rFonts w:ascii="Arial" w:hAnsi="Arial" w:cs="Arial"/>
          <w:sz w:val="22"/>
          <w:lang w:val="es-CO"/>
        </w:rPr>
        <w:t>subsanabilidad</w:t>
      </w:r>
      <w:proofErr w:type="spellEnd"/>
      <w:r w:rsidR="00683085" w:rsidRPr="00DE70DC">
        <w:rPr>
          <w:rFonts w:ascii="Arial" w:hAnsi="Arial" w:cs="Arial"/>
          <w:sz w:val="22"/>
          <w:lang w:val="es-CO"/>
        </w:rPr>
        <w:t xml:space="preserve"> de ofertas, al constituir tal circunstancia una causal de rechazo de la oferta en los términos del literal “H” del numeral 1.15 del “Documento Base o Pliego Tipo”»</w:t>
      </w:r>
      <w:r w:rsidR="00DB49AA" w:rsidRPr="00DE70DC">
        <w:rPr>
          <w:rStyle w:val="Refdenotaalpie"/>
          <w:rFonts w:ascii="Arial" w:hAnsi="Arial" w:cs="Arial"/>
          <w:sz w:val="22"/>
          <w:lang w:val="es-CO"/>
        </w:rPr>
        <w:footnoteReference w:id="12"/>
      </w:r>
      <w:r w:rsidR="00683085" w:rsidRPr="00DE70DC">
        <w:rPr>
          <w:rFonts w:ascii="Arial" w:hAnsi="Arial" w:cs="Arial"/>
          <w:sz w:val="22"/>
          <w:lang w:val="es-CO"/>
        </w:rPr>
        <w:t>.</w:t>
      </w:r>
    </w:p>
    <w:p w14:paraId="4302324D" w14:textId="77777777" w:rsidR="00B6143C" w:rsidRPr="00DE70DC" w:rsidRDefault="00B6143C" w:rsidP="001B7618">
      <w:pPr>
        <w:spacing w:line="276" w:lineRule="auto"/>
        <w:jc w:val="both"/>
        <w:rPr>
          <w:rFonts w:ascii="Arial" w:eastAsia="Calibri" w:hAnsi="Arial" w:cs="Arial"/>
          <w:sz w:val="22"/>
        </w:rPr>
      </w:pPr>
    </w:p>
    <w:p w14:paraId="5F429EFF" w14:textId="7FF3B20A" w:rsidR="005A79FE" w:rsidRPr="00DE70DC" w:rsidRDefault="005A79FE" w:rsidP="00416511">
      <w:pPr>
        <w:spacing w:before="120" w:after="120" w:line="276" w:lineRule="auto"/>
        <w:jc w:val="both"/>
        <w:rPr>
          <w:rFonts w:ascii="Arial" w:eastAsia="Calibri" w:hAnsi="Arial" w:cs="Arial"/>
          <w:sz w:val="22"/>
        </w:rPr>
      </w:pPr>
      <w:r w:rsidRPr="00DE70DC">
        <w:rPr>
          <w:rFonts w:ascii="Arial" w:eastAsia="Calibri" w:hAnsi="Arial" w:cs="Arial"/>
          <w:sz w:val="22"/>
        </w:rPr>
        <w:t>Este concepto tiene el alcance previsto en el artículo 28 del Código de Procedimiento Administrativo y de lo Contencioso Administrativo.</w:t>
      </w:r>
    </w:p>
    <w:p w14:paraId="7080CFA4" w14:textId="77777777" w:rsidR="005A79FE" w:rsidRPr="00DE70DC" w:rsidRDefault="005A79FE" w:rsidP="005A79FE">
      <w:pPr>
        <w:jc w:val="both"/>
        <w:rPr>
          <w:rFonts w:ascii="Arial" w:eastAsia="Calibri" w:hAnsi="Arial" w:cs="Arial"/>
          <w:sz w:val="22"/>
        </w:rPr>
      </w:pPr>
      <w:r w:rsidRPr="00DE70DC">
        <w:rPr>
          <w:noProof/>
          <w:lang w:val="en-US"/>
        </w:rPr>
        <mc:AlternateContent>
          <mc:Choice Requires="wps">
            <w:drawing>
              <wp:anchor distT="0" distB="0" distL="114300" distR="114300" simplePos="0" relativeHeight="25166080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33B9AA">
              <v:line id="Conector recto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73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18AAB28D" w14:textId="77777777" w:rsidR="005A79FE" w:rsidRPr="00DE70DC" w:rsidRDefault="005A79FE" w:rsidP="03C30222">
      <w:pPr>
        <w:rPr>
          <w:rFonts w:ascii="Arial" w:eastAsia="Times New Roman" w:hAnsi="Arial" w:cs="Arial"/>
          <w:sz w:val="22"/>
          <w:lang w:eastAsia="es-CO"/>
        </w:rPr>
      </w:pPr>
      <w:r w:rsidRPr="00DE70DC">
        <w:rPr>
          <w:rFonts w:ascii="Arial" w:eastAsia="Times New Roman" w:hAnsi="Arial" w:cs="Arial"/>
          <w:sz w:val="22"/>
          <w:lang w:eastAsia="es-CO"/>
        </w:rPr>
        <w:t>Atentamente,</w:t>
      </w:r>
    </w:p>
    <w:p w14:paraId="64739EAB" w14:textId="6F9BFC90" w:rsidR="005A79FE" w:rsidRPr="00DE70DC" w:rsidRDefault="005A79FE" w:rsidP="03C30222">
      <w:pPr>
        <w:rPr>
          <w:rFonts w:ascii="Arial" w:eastAsia="Times New Roman" w:hAnsi="Arial" w:cs="Arial"/>
          <w:sz w:val="22"/>
          <w:lang w:eastAsia="es-CO"/>
        </w:rPr>
      </w:pPr>
    </w:p>
    <w:p w14:paraId="640E419B" w14:textId="13A8A963" w:rsidR="005A79FE" w:rsidRPr="00DE70DC" w:rsidRDefault="4AD19253" w:rsidP="03C30222">
      <w:pPr>
        <w:jc w:val="center"/>
      </w:pPr>
      <w:r w:rsidRPr="00DE70DC">
        <w:rPr>
          <w:noProof/>
        </w:rPr>
        <w:drawing>
          <wp:inline distT="0" distB="0" distL="0" distR="0" wp14:anchorId="324E972A" wp14:editId="4CD4FD53">
            <wp:extent cx="2476500" cy="881277"/>
            <wp:effectExtent l="0" t="0" r="0" b="0"/>
            <wp:docPr id="1910879774" name="Imagen 191087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76500" cy="881277"/>
                    </a:xfrm>
                    <a:prstGeom prst="rect">
                      <a:avLst/>
                    </a:prstGeom>
                  </pic:spPr>
                </pic:pic>
              </a:graphicData>
            </a:graphic>
          </wp:inline>
        </w:drawing>
      </w:r>
    </w:p>
    <w:p w14:paraId="383B8B8B" w14:textId="77777777" w:rsidR="00B439B4" w:rsidRPr="00DE70DC" w:rsidRDefault="00B439B4" w:rsidP="005A79FE">
      <w:pPr>
        <w:rPr>
          <w:rFonts w:ascii="Arial" w:eastAsia="Times New Roman" w:hAnsi="Arial" w:cs="Arial"/>
          <w:sz w:val="22"/>
          <w:lang w:eastAsia="es-CO"/>
        </w:rPr>
      </w:pPr>
    </w:p>
    <w:p w14:paraId="11F7B1FA" w14:textId="77777777" w:rsidR="005A79FE" w:rsidRPr="00DE70DC" w:rsidRDefault="005A79FE" w:rsidP="005A79F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E70DC" w:rsidRPr="00DE70DC" w14:paraId="047B79DC" w14:textId="77777777" w:rsidTr="005E7572">
        <w:trPr>
          <w:trHeight w:val="315"/>
        </w:trPr>
        <w:tc>
          <w:tcPr>
            <w:tcW w:w="488" w:type="dxa"/>
            <w:vAlign w:val="center"/>
            <w:hideMark/>
          </w:tcPr>
          <w:p w14:paraId="66736F0D" w14:textId="77777777" w:rsidR="005A79FE" w:rsidRPr="00DE70DC" w:rsidRDefault="005A79FE" w:rsidP="005E7572">
            <w:pPr>
              <w:rPr>
                <w:rFonts w:ascii="Arial" w:eastAsia="Times New Roman" w:hAnsi="Arial" w:cs="Arial"/>
                <w:sz w:val="16"/>
                <w:szCs w:val="16"/>
                <w:lang w:eastAsia="es-ES"/>
              </w:rPr>
            </w:pPr>
            <w:r w:rsidRPr="00DE70DC">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783E81" w14:textId="5D94104A" w:rsidR="005A79FE" w:rsidRPr="00DE70DC" w:rsidRDefault="00AE19FC" w:rsidP="005E7572">
            <w:pPr>
              <w:rPr>
                <w:rFonts w:ascii="Arial" w:eastAsia="Times New Roman" w:hAnsi="Arial" w:cs="Arial"/>
                <w:sz w:val="16"/>
                <w:szCs w:val="16"/>
                <w:lang w:eastAsia="es-ES"/>
              </w:rPr>
            </w:pPr>
            <w:r w:rsidRPr="00DE70DC">
              <w:rPr>
                <w:rFonts w:ascii="Arial" w:eastAsia="Times New Roman" w:hAnsi="Arial" w:cs="Arial"/>
                <w:sz w:val="16"/>
                <w:szCs w:val="16"/>
                <w:lang w:eastAsia="es-ES"/>
              </w:rPr>
              <w:t>David Castellanos Carreño</w:t>
            </w:r>
          </w:p>
          <w:p w14:paraId="2102D393" w14:textId="2F21FC5A" w:rsidR="005A79FE" w:rsidRPr="00DE70DC" w:rsidRDefault="00111438" w:rsidP="005E7572">
            <w:pPr>
              <w:rPr>
                <w:rFonts w:ascii="Arial" w:eastAsia="Times New Roman" w:hAnsi="Arial" w:cs="Arial"/>
                <w:sz w:val="16"/>
                <w:szCs w:val="16"/>
                <w:lang w:eastAsia="es-ES"/>
              </w:rPr>
            </w:pPr>
            <w:r w:rsidRPr="00DE70DC">
              <w:rPr>
                <w:rFonts w:ascii="Arial" w:eastAsia="Times New Roman" w:hAnsi="Arial" w:cs="Arial"/>
                <w:sz w:val="16"/>
                <w:szCs w:val="16"/>
                <w:lang w:eastAsia="es-ES"/>
              </w:rPr>
              <w:t>Contratista</w:t>
            </w:r>
            <w:r w:rsidR="00691C58" w:rsidRPr="00DE70DC">
              <w:rPr>
                <w:rFonts w:ascii="Arial" w:eastAsia="Times New Roman" w:hAnsi="Arial" w:cs="Arial"/>
                <w:sz w:val="16"/>
                <w:szCs w:val="16"/>
                <w:lang w:eastAsia="es-ES"/>
              </w:rPr>
              <w:t xml:space="preserve"> de la </w:t>
            </w:r>
            <w:r w:rsidRPr="00DE70DC">
              <w:rPr>
                <w:rFonts w:ascii="Arial" w:eastAsia="Times New Roman" w:hAnsi="Arial" w:cs="Arial"/>
                <w:sz w:val="16"/>
                <w:szCs w:val="16"/>
                <w:lang w:eastAsia="es-ES"/>
              </w:rPr>
              <w:t>Subdirección de Gestión Contractual</w:t>
            </w:r>
          </w:p>
        </w:tc>
      </w:tr>
      <w:tr w:rsidR="00DE70DC" w:rsidRPr="00DE70DC" w14:paraId="7B1DF477" w14:textId="77777777" w:rsidTr="005E7572">
        <w:trPr>
          <w:trHeight w:val="330"/>
        </w:trPr>
        <w:tc>
          <w:tcPr>
            <w:tcW w:w="488" w:type="dxa"/>
            <w:vAlign w:val="center"/>
            <w:hideMark/>
          </w:tcPr>
          <w:p w14:paraId="0FFE9D07" w14:textId="77777777" w:rsidR="005A79FE" w:rsidRPr="00DE70DC" w:rsidRDefault="005A79FE" w:rsidP="005E7572">
            <w:pPr>
              <w:rPr>
                <w:rFonts w:ascii="Arial" w:eastAsia="Times New Roman" w:hAnsi="Arial" w:cs="Arial"/>
                <w:sz w:val="16"/>
                <w:szCs w:val="16"/>
                <w:lang w:eastAsia="es-ES"/>
              </w:rPr>
            </w:pPr>
            <w:r w:rsidRPr="00DE70DC">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03A02CA" w14:textId="45DACDDB" w:rsidR="00B17763" w:rsidRPr="00DE70DC" w:rsidRDefault="00691C58" w:rsidP="00B17763">
            <w:pPr>
              <w:rPr>
                <w:rFonts w:ascii="Arial" w:eastAsia="Times New Roman" w:hAnsi="Arial" w:cs="Arial"/>
                <w:sz w:val="16"/>
                <w:szCs w:val="16"/>
                <w:lang w:eastAsia="es-ES"/>
              </w:rPr>
            </w:pPr>
            <w:r w:rsidRPr="00DE70DC">
              <w:rPr>
                <w:rFonts w:ascii="Arial" w:eastAsia="Times New Roman" w:hAnsi="Arial" w:cs="Arial"/>
                <w:sz w:val="16"/>
                <w:szCs w:val="16"/>
                <w:lang w:eastAsia="es-ES"/>
              </w:rPr>
              <w:t>Juan David Montoya Penagos</w:t>
            </w:r>
          </w:p>
          <w:p w14:paraId="28E52DE2" w14:textId="76181722" w:rsidR="005A79FE" w:rsidRPr="00DE70DC" w:rsidRDefault="00691C58" w:rsidP="00B17763">
            <w:pPr>
              <w:rPr>
                <w:rFonts w:ascii="Arial" w:eastAsia="Times New Roman" w:hAnsi="Arial" w:cs="Arial"/>
                <w:sz w:val="16"/>
                <w:szCs w:val="16"/>
                <w:lang w:eastAsia="es-ES"/>
              </w:rPr>
            </w:pPr>
            <w:r w:rsidRPr="00DE70DC">
              <w:rPr>
                <w:rFonts w:ascii="Arial" w:eastAsia="Times New Roman" w:hAnsi="Arial" w:cs="Arial"/>
                <w:sz w:val="16"/>
                <w:szCs w:val="16"/>
                <w:lang w:eastAsia="es-ES"/>
              </w:rPr>
              <w:t>Contratista de la Subdirección de Gestión Contractual</w:t>
            </w:r>
          </w:p>
        </w:tc>
      </w:tr>
      <w:tr w:rsidR="005A79FE" w:rsidRPr="00DE70DC" w14:paraId="711E3E03" w14:textId="77777777" w:rsidTr="005E7572">
        <w:trPr>
          <w:trHeight w:val="300"/>
        </w:trPr>
        <w:tc>
          <w:tcPr>
            <w:tcW w:w="488" w:type="dxa"/>
            <w:vAlign w:val="center"/>
            <w:hideMark/>
          </w:tcPr>
          <w:p w14:paraId="4738705E" w14:textId="77777777" w:rsidR="005A79FE" w:rsidRPr="00DE70DC" w:rsidRDefault="005A79FE" w:rsidP="005E7572">
            <w:pPr>
              <w:rPr>
                <w:rFonts w:ascii="Arial" w:eastAsia="Times New Roman" w:hAnsi="Arial" w:cs="Arial"/>
                <w:sz w:val="16"/>
                <w:szCs w:val="16"/>
                <w:lang w:eastAsia="es-ES"/>
              </w:rPr>
            </w:pPr>
            <w:r w:rsidRPr="00DE70DC">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DE70DC" w:rsidRDefault="005A79FE" w:rsidP="005E7572">
            <w:pPr>
              <w:rPr>
                <w:rFonts w:ascii="Arial" w:eastAsia="Times New Roman" w:hAnsi="Arial" w:cs="Arial"/>
                <w:sz w:val="16"/>
                <w:szCs w:val="16"/>
                <w:lang w:eastAsia="es-ES"/>
              </w:rPr>
            </w:pPr>
            <w:r w:rsidRPr="00DE70DC">
              <w:rPr>
                <w:rFonts w:ascii="Arial" w:eastAsia="Times New Roman" w:hAnsi="Arial" w:cs="Arial"/>
                <w:sz w:val="16"/>
                <w:szCs w:val="16"/>
                <w:lang w:eastAsia="es-ES"/>
              </w:rPr>
              <w:t>Fabián Gonzalo Marín Cortés</w:t>
            </w:r>
          </w:p>
          <w:p w14:paraId="18618B00" w14:textId="77777777" w:rsidR="005A79FE" w:rsidRPr="00DE70DC" w:rsidRDefault="005A79FE" w:rsidP="005E7572">
            <w:pPr>
              <w:rPr>
                <w:rFonts w:ascii="Arial" w:eastAsia="Times New Roman" w:hAnsi="Arial" w:cs="Arial"/>
                <w:sz w:val="16"/>
                <w:szCs w:val="16"/>
                <w:lang w:eastAsia="es-ES"/>
              </w:rPr>
            </w:pPr>
            <w:r w:rsidRPr="00DE70DC">
              <w:rPr>
                <w:rFonts w:ascii="Arial" w:eastAsia="Times New Roman" w:hAnsi="Arial" w:cs="Arial"/>
                <w:sz w:val="16"/>
                <w:szCs w:val="16"/>
                <w:lang w:eastAsia="es-ES"/>
              </w:rPr>
              <w:t>Subdirector de Gestión Contractual</w:t>
            </w:r>
          </w:p>
        </w:tc>
      </w:tr>
    </w:tbl>
    <w:p w14:paraId="7EBF297E" w14:textId="77777777" w:rsidR="007B0854" w:rsidRPr="00DE70DC" w:rsidRDefault="007B0854" w:rsidP="00CA287E">
      <w:pPr>
        <w:jc w:val="both"/>
        <w:rPr>
          <w:rFonts w:ascii="Arial" w:eastAsia="Calibri" w:hAnsi="Arial" w:cs="Arial"/>
          <w:sz w:val="22"/>
        </w:rPr>
      </w:pPr>
      <w:bookmarkStart w:id="22" w:name="_Hlk29890381"/>
      <w:bookmarkEnd w:id="22"/>
    </w:p>
    <w:sectPr w:rsidR="007B0854" w:rsidRPr="00DE70DC"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B58E3" w14:textId="77777777" w:rsidR="003A651C" w:rsidRDefault="003A651C">
      <w:r>
        <w:separator/>
      </w:r>
    </w:p>
  </w:endnote>
  <w:endnote w:type="continuationSeparator" w:id="0">
    <w:p w14:paraId="2BC4432B" w14:textId="77777777" w:rsidR="003A651C" w:rsidRDefault="003A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2BED" w14:textId="2333F0C7" w:rsidR="001F790E" w:rsidRDefault="001F790E" w:rsidP="00B439B4">
    <w:pPr>
      <w:pStyle w:val="Sinespaciado"/>
      <w:spacing w:line="120" w:lineRule="auto"/>
      <w:jc w:val="center"/>
      <w:rPr>
        <w:rFonts w:ascii="Arial" w:hAnsi="Arial" w:cs="Arial"/>
        <w:sz w:val="18"/>
        <w:szCs w:val="18"/>
      </w:rPr>
    </w:pPr>
  </w:p>
  <w:p w14:paraId="1AA8D1CB" w14:textId="77777777" w:rsidR="001F790E" w:rsidRDefault="001F790E" w:rsidP="007B0854">
    <w:pPr>
      <w:pStyle w:val="Sinespaciado"/>
      <w:jc w:val="center"/>
      <w:rPr>
        <w:rFonts w:ascii="Arial" w:hAnsi="Arial" w:cs="Arial"/>
        <w:sz w:val="18"/>
        <w:szCs w:val="18"/>
      </w:rPr>
    </w:pPr>
  </w:p>
  <w:p w14:paraId="312C4A14" w14:textId="6A24D930" w:rsidR="001F790E" w:rsidRPr="005A79FE" w:rsidRDefault="001F790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20C61">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20C61">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0E0B8C38" w:rsidR="001F790E" w:rsidRDefault="03C30222" w:rsidP="007B0854">
    <w:pPr>
      <w:pStyle w:val="Piedepgina"/>
      <w:jc w:val="center"/>
      <w:rPr>
        <w:lang w:val="es-ES"/>
      </w:rPr>
    </w:pPr>
    <w:r>
      <w:rPr>
        <w:noProof/>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598527DE" w:rsidR="001F790E" w:rsidRDefault="001F790E" w:rsidP="007B0854">
    <w:pPr>
      <w:pStyle w:val="Piedepgina"/>
      <w:jc w:val="center"/>
      <w:rPr>
        <w:lang w:val="es-ES"/>
      </w:rPr>
    </w:pPr>
  </w:p>
  <w:p w14:paraId="645768A8" w14:textId="77777777" w:rsidR="001F790E" w:rsidRPr="007B0854" w:rsidRDefault="001F790E" w:rsidP="00B439B4">
    <w:pPr>
      <w:pStyle w:val="Piedepgina"/>
      <w:spacing w:line="120" w:lineRule="auto"/>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2A701" w14:textId="77777777" w:rsidR="003A651C" w:rsidRDefault="003A651C">
      <w:r>
        <w:separator/>
      </w:r>
    </w:p>
  </w:footnote>
  <w:footnote w:type="continuationSeparator" w:id="0">
    <w:p w14:paraId="6C6C2111" w14:textId="77777777" w:rsidR="003A651C" w:rsidRDefault="003A651C">
      <w:r>
        <w:continuationSeparator/>
      </w:r>
    </w:p>
  </w:footnote>
  <w:footnote w:id="1">
    <w:p w14:paraId="792DFE5F" w14:textId="77777777" w:rsidR="001F790E" w:rsidRPr="00AB30DF" w:rsidRDefault="001F790E" w:rsidP="00AB30DF">
      <w:pPr>
        <w:pStyle w:val="Textonotapie"/>
        <w:ind w:firstLine="708"/>
        <w:jc w:val="both"/>
        <w:rPr>
          <w:rFonts w:ascii="Arial" w:eastAsia="Calibri" w:hAnsi="Arial" w:cs="Arial"/>
          <w:sz w:val="19"/>
          <w:szCs w:val="19"/>
        </w:rPr>
      </w:pPr>
      <w:r w:rsidRPr="00AB30DF">
        <w:rPr>
          <w:rStyle w:val="Refdenotaalpie"/>
          <w:rFonts w:ascii="Arial" w:hAnsi="Arial" w:cs="Arial"/>
          <w:sz w:val="19"/>
          <w:szCs w:val="19"/>
        </w:rPr>
        <w:footnoteRef/>
      </w:r>
      <w:r w:rsidRPr="00AB30DF">
        <w:rPr>
          <w:rFonts w:ascii="Arial" w:hAnsi="Arial" w:cs="Arial"/>
          <w:sz w:val="19"/>
          <w:szCs w:val="19"/>
        </w:rPr>
        <w:t xml:space="preserve"> </w:t>
      </w:r>
      <w:r w:rsidRPr="00AB30DF">
        <w:rPr>
          <w:rFonts w:ascii="Arial" w:eastAsia="Calibri" w:hAnsi="Arial" w:cs="Arial"/>
          <w:sz w:val="19"/>
          <w:szCs w:val="19"/>
        </w:rPr>
        <w:t xml:space="preserve">Diario Oficial. Gaceta del Congreso 458 de 2005. </w:t>
      </w:r>
    </w:p>
    <w:p w14:paraId="74848722" w14:textId="77777777" w:rsidR="001F790E" w:rsidRPr="00AB30DF" w:rsidRDefault="001F790E" w:rsidP="00AB30DF">
      <w:pPr>
        <w:pStyle w:val="Textonotapie"/>
        <w:ind w:firstLine="708"/>
        <w:jc w:val="both"/>
        <w:rPr>
          <w:rFonts w:ascii="Arial" w:hAnsi="Arial" w:cs="Arial"/>
          <w:sz w:val="19"/>
          <w:szCs w:val="19"/>
          <w:lang w:val="es-ES"/>
        </w:rPr>
      </w:pPr>
    </w:p>
  </w:footnote>
  <w:footnote w:id="2">
    <w:p w14:paraId="1B4110AD" w14:textId="77777777" w:rsidR="001F790E" w:rsidRPr="00AB30DF" w:rsidRDefault="001F790E" w:rsidP="00AB30DF">
      <w:pPr>
        <w:pStyle w:val="Textonotapie"/>
        <w:ind w:left="708"/>
        <w:jc w:val="both"/>
        <w:rPr>
          <w:rFonts w:ascii="Arial" w:hAnsi="Arial" w:cs="Arial"/>
          <w:sz w:val="19"/>
          <w:szCs w:val="19"/>
          <w:lang w:val="es-ES"/>
        </w:rPr>
      </w:pPr>
      <w:r w:rsidRPr="00AB30DF">
        <w:rPr>
          <w:rFonts w:ascii="Arial" w:hAnsi="Arial" w:cs="Arial"/>
          <w:sz w:val="19"/>
          <w:szCs w:val="19"/>
          <w:vertAlign w:val="superscript"/>
          <w:lang w:val="es-ES"/>
        </w:rPr>
        <w:footnoteRef/>
      </w:r>
      <w:r w:rsidRPr="00AB30DF">
        <w:rPr>
          <w:rFonts w:ascii="Arial" w:hAnsi="Arial" w:cs="Arial"/>
          <w:sz w:val="19"/>
          <w:szCs w:val="19"/>
          <w:vertAlign w:val="superscript"/>
          <w:lang w:val="es-ES"/>
        </w:rPr>
        <w:t xml:space="preserve"> </w:t>
      </w:r>
      <w:r w:rsidRPr="00AB30DF">
        <w:rPr>
          <w:rFonts w:ascii="Arial" w:hAnsi="Arial" w:cs="Arial"/>
          <w:i/>
          <w:iCs/>
          <w:sz w:val="19"/>
          <w:szCs w:val="19"/>
          <w:lang w:val="es-ES"/>
        </w:rPr>
        <w:t>Ibídem</w:t>
      </w:r>
      <w:r w:rsidRPr="00AB30DF">
        <w:rPr>
          <w:rFonts w:ascii="Arial" w:hAnsi="Arial" w:cs="Arial"/>
          <w:sz w:val="19"/>
          <w:szCs w:val="19"/>
          <w:lang w:val="es-ES"/>
        </w:rPr>
        <w:t xml:space="preserve">. </w:t>
      </w:r>
    </w:p>
    <w:p w14:paraId="2A2970ED" w14:textId="77777777" w:rsidR="001F790E" w:rsidRPr="00AB30DF" w:rsidRDefault="001F790E" w:rsidP="00AB30DF">
      <w:pPr>
        <w:pStyle w:val="Textonotapie"/>
        <w:ind w:left="708"/>
        <w:jc w:val="both"/>
        <w:rPr>
          <w:rFonts w:ascii="Arial" w:hAnsi="Arial" w:cs="Arial"/>
          <w:sz w:val="19"/>
          <w:szCs w:val="19"/>
          <w:lang w:val="es-ES"/>
        </w:rPr>
      </w:pPr>
    </w:p>
  </w:footnote>
  <w:footnote w:id="3">
    <w:p w14:paraId="12DDF0CB" w14:textId="77777777" w:rsidR="001F790E" w:rsidRPr="00AB30DF" w:rsidRDefault="001F790E" w:rsidP="00AB30DF">
      <w:pPr>
        <w:pStyle w:val="Textonotapie"/>
        <w:ind w:firstLine="708"/>
        <w:jc w:val="both"/>
        <w:rPr>
          <w:rFonts w:ascii="Arial" w:hAnsi="Arial" w:cs="Arial"/>
          <w:sz w:val="19"/>
          <w:szCs w:val="19"/>
          <w:lang w:val="es-ES"/>
        </w:rPr>
      </w:pPr>
      <w:r w:rsidRPr="00AB30DF">
        <w:rPr>
          <w:rFonts w:ascii="Arial" w:hAnsi="Arial" w:cs="Arial"/>
          <w:sz w:val="19"/>
          <w:szCs w:val="19"/>
          <w:vertAlign w:val="superscript"/>
          <w:lang w:val="es-ES"/>
        </w:rPr>
        <w:footnoteRef/>
      </w:r>
      <w:r w:rsidRPr="00AB30DF">
        <w:rPr>
          <w:rFonts w:ascii="Arial" w:hAnsi="Arial" w:cs="Arial"/>
          <w:sz w:val="19"/>
          <w:szCs w:val="19"/>
          <w:lang w:val="es-ES"/>
        </w:rPr>
        <w:t xml:space="preserve"> Diario Oficial. Gaceta del Congreso 416 de 2007, Informe de Conciliación Senado. </w:t>
      </w:r>
    </w:p>
  </w:footnote>
  <w:footnote w:id="4">
    <w:p w14:paraId="21E98DDA" w14:textId="77777777" w:rsidR="001F790E" w:rsidRPr="00AB30DF" w:rsidRDefault="001F790E" w:rsidP="00AB30DF">
      <w:pPr>
        <w:pStyle w:val="Textonotapie"/>
        <w:ind w:firstLine="708"/>
        <w:jc w:val="both"/>
        <w:rPr>
          <w:rFonts w:ascii="Arial" w:hAnsi="Arial" w:cs="Arial"/>
          <w:sz w:val="19"/>
          <w:szCs w:val="19"/>
          <w:lang w:val="es-ES"/>
        </w:rPr>
      </w:pPr>
      <w:r w:rsidRPr="00AB30DF">
        <w:rPr>
          <w:rStyle w:val="Refdenotaalpie"/>
          <w:rFonts w:ascii="Arial" w:hAnsi="Arial" w:cs="Arial"/>
          <w:sz w:val="19"/>
          <w:szCs w:val="19"/>
        </w:rPr>
        <w:footnoteRef/>
      </w:r>
      <w:r w:rsidRPr="00AB30DF">
        <w:rPr>
          <w:rFonts w:ascii="Arial" w:hAnsi="Arial" w:cs="Arial"/>
          <w:sz w:val="19"/>
          <w:szCs w:val="19"/>
        </w:rPr>
        <w:t xml:space="preserve"> </w:t>
      </w:r>
      <w:r w:rsidRPr="00AB30DF">
        <w:rPr>
          <w:rFonts w:ascii="Arial" w:hAnsi="Arial" w:cs="Arial"/>
          <w:color w:val="4E4D4D"/>
          <w:sz w:val="19"/>
          <w:szCs w:val="19"/>
          <w:lang w:val="es-ES"/>
        </w:rPr>
        <w:t>Diario Oficial. Gaceta del Congreso 605 de 2016.</w:t>
      </w:r>
    </w:p>
  </w:footnote>
  <w:footnote w:id="5">
    <w:p w14:paraId="4BCC3370" w14:textId="29EB2011" w:rsidR="001F790E" w:rsidRPr="00AB30DF" w:rsidRDefault="001F790E" w:rsidP="00AB30DF">
      <w:pPr>
        <w:pStyle w:val="Textonotapie"/>
        <w:ind w:firstLine="709"/>
        <w:jc w:val="both"/>
        <w:rPr>
          <w:rFonts w:ascii="Arial" w:hAnsi="Arial" w:cs="Arial"/>
          <w:sz w:val="19"/>
          <w:szCs w:val="19"/>
        </w:rPr>
      </w:pPr>
      <w:r w:rsidRPr="00AB30DF">
        <w:rPr>
          <w:rStyle w:val="Refdenotaalpie"/>
          <w:rFonts w:ascii="Arial" w:hAnsi="Arial" w:cs="Arial"/>
          <w:sz w:val="19"/>
          <w:szCs w:val="19"/>
        </w:rPr>
        <w:footnoteRef/>
      </w:r>
      <w:r w:rsidRPr="00AB30DF">
        <w:rPr>
          <w:rFonts w:ascii="Arial" w:hAnsi="Arial" w:cs="Arial"/>
          <w:sz w:val="19"/>
          <w:szCs w:val="19"/>
        </w:rPr>
        <w:t xml:space="preserve"> https://www.colombiacompra.gov.co/content/version-01</w:t>
      </w:r>
    </w:p>
    <w:p w14:paraId="3C39EBDE" w14:textId="77777777" w:rsidR="001F790E" w:rsidRPr="00AB30DF" w:rsidRDefault="001F790E" w:rsidP="00AB30DF">
      <w:pPr>
        <w:pStyle w:val="Textonotapie"/>
        <w:ind w:firstLine="709"/>
        <w:jc w:val="both"/>
        <w:rPr>
          <w:rFonts w:ascii="Arial" w:hAnsi="Arial" w:cs="Arial"/>
          <w:sz w:val="19"/>
          <w:szCs w:val="19"/>
          <w:lang w:val="es-CO"/>
        </w:rPr>
      </w:pPr>
    </w:p>
  </w:footnote>
  <w:footnote w:id="6">
    <w:p w14:paraId="27DF544F" w14:textId="681BF29F" w:rsidR="001F790E" w:rsidRPr="00AB30DF" w:rsidRDefault="001F790E" w:rsidP="00AB30DF">
      <w:pPr>
        <w:pStyle w:val="Textonotapie"/>
        <w:ind w:firstLine="709"/>
        <w:jc w:val="both"/>
        <w:rPr>
          <w:rFonts w:ascii="Arial" w:hAnsi="Arial" w:cs="Arial"/>
          <w:sz w:val="19"/>
          <w:szCs w:val="19"/>
        </w:rPr>
      </w:pPr>
      <w:r w:rsidRPr="00AB30DF">
        <w:rPr>
          <w:rStyle w:val="Refdenotaalpie"/>
          <w:rFonts w:ascii="Arial" w:hAnsi="Arial" w:cs="Arial"/>
          <w:sz w:val="19"/>
          <w:szCs w:val="19"/>
        </w:rPr>
        <w:footnoteRef/>
      </w:r>
      <w:r w:rsidRPr="00AB30DF">
        <w:rPr>
          <w:rFonts w:ascii="Arial" w:hAnsi="Arial" w:cs="Arial"/>
          <w:sz w:val="19"/>
          <w:szCs w:val="19"/>
        </w:rPr>
        <w:t xml:space="preserve"> https://www.colombiacompra.gov.co/content/documentos-tipo-para-procesos-de-menor-cuantia-de-infraestructura-de-transporte</w:t>
      </w:r>
    </w:p>
    <w:p w14:paraId="1337BD11" w14:textId="77777777" w:rsidR="001F790E" w:rsidRPr="00AB30DF" w:rsidRDefault="001F790E" w:rsidP="00AB30DF">
      <w:pPr>
        <w:pStyle w:val="Textonotapie"/>
        <w:ind w:firstLine="709"/>
        <w:jc w:val="both"/>
        <w:rPr>
          <w:rFonts w:ascii="Arial" w:hAnsi="Arial" w:cs="Arial"/>
          <w:sz w:val="19"/>
          <w:szCs w:val="19"/>
        </w:rPr>
      </w:pPr>
    </w:p>
  </w:footnote>
  <w:footnote w:id="7">
    <w:p w14:paraId="06DEAE98" w14:textId="4C9D166C" w:rsidR="001F790E" w:rsidRPr="00AB30DF" w:rsidRDefault="001F790E" w:rsidP="00AB30DF">
      <w:pPr>
        <w:pStyle w:val="Textonotapie"/>
        <w:ind w:firstLine="709"/>
        <w:jc w:val="both"/>
        <w:rPr>
          <w:rFonts w:ascii="Arial" w:hAnsi="Arial" w:cs="Arial"/>
          <w:sz w:val="19"/>
          <w:szCs w:val="19"/>
          <w:lang w:val="es-CO"/>
        </w:rPr>
      </w:pPr>
      <w:r w:rsidRPr="00AB30DF">
        <w:rPr>
          <w:rStyle w:val="Refdenotaalpie"/>
          <w:rFonts w:ascii="Arial" w:hAnsi="Arial" w:cs="Arial"/>
          <w:sz w:val="19"/>
          <w:szCs w:val="19"/>
        </w:rPr>
        <w:footnoteRef/>
      </w:r>
      <w:r w:rsidRPr="00AB30DF">
        <w:rPr>
          <w:rFonts w:ascii="Arial" w:hAnsi="Arial" w:cs="Arial"/>
          <w:sz w:val="19"/>
          <w:szCs w:val="19"/>
        </w:rPr>
        <w:t xml:space="preserve"> https://www.colombiacompra.gov.co/content/version-02</w:t>
      </w:r>
    </w:p>
  </w:footnote>
  <w:footnote w:id="8">
    <w:p w14:paraId="4546FD93" w14:textId="77777777" w:rsidR="001F790E" w:rsidRPr="00AB30DF" w:rsidRDefault="001F790E" w:rsidP="00AB30DF">
      <w:pPr>
        <w:pStyle w:val="Textonotapie"/>
        <w:ind w:firstLine="708"/>
        <w:jc w:val="both"/>
        <w:rPr>
          <w:rFonts w:ascii="Arial" w:hAnsi="Arial" w:cs="Arial"/>
          <w:bCs/>
          <w:iCs/>
          <w:sz w:val="19"/>
          <w:szCs w:val="19"/>
          <w:lang w:val="es-CO"/>
        </w:rPr>
      </w:pPr>
      <w:r w:rsidRPr="00AB30DF">
        <w:rPr>
          <w:rStyle w:val="Refdenotaalpie"/>
          <w:rFonts w:ascii="Arial" w:hAnsi="Arial" w:cs="Arial"/>
          <w:sz w:val="19"/>
          <w:szCs w:val="19"/>
        </w:rPr>
        <w:footnoteRef/>
      </w:r>
      <w:r w:rsidRPr="00AB30DF">
        <w:rPr>
          <w:rFonts w:ascii="Arial" w:hAnsi="Arial" w:cs="Arial"/>
          <w:sz w:val="19"/>
          <w:szCs w:val="19"/>
        </w:rPr>
        <w:t xml:space="preserve"> «</w:t>
      </w:r>
      <w:r w:rsidRPr="00AB30DF">
        <w:rPr>
          <w:rFonts w:ascii="Arial" w:hAnsi="Arial" w:cs="Arial"/>
          <w:bCs/>
          <w:sz w:val="19"/>
          <w:szCs w:val="19"/>
          <w:lang w:val="es-CO"/>
        </w:rPr>
        <w:t>Artículo</w:t>
      </w:r>
      <w:bookmarkStart w:id="0" w:name="72"/>
      <w:r w:rsidRPr="00AB30DF">
        <w:rPr>
          <w:rFonts w:ascii="Arial" w:hAnsi="Arial" w:cs="Arial"/>
          <w:bCs/>
          <w:sz w:val="19"/>
          <w:szCs w:val="19"/>
          <w:lang w:val="es-CO"/>
        </w:rPr>
        <w:t> </w:t>
      </w:r>
      <w:bookmarkEnd w:id="0"/>
      <w:r w:rsidRPr="00AB30DF">
        <w:rPr>
          <w:rFonts w:ascii="Arial" w:hAnsi="Arial" w:cs="Arial"/>
          <w:bCs/>
          <w:sz w:val="19"/>
          <w:szCs w:val="19"/>
          <w:lang w:val="es-CO"/>
        </w:rPr>
        <w:t>72.</w:t>
      </w:r>
      <w:r w:rsidRPr="00AB30DF">
        <w:rPr>
          <w:rFonts w:ascii="Arial" w:hAnsi="Arial" w:cs="Arial"/>
          <w:sz w:val="19"/>
          <w:szCs w:val="19"/>
          <w:lang w:val="es-CO"/>
        </w:rPr>
        <w:t> </w:t>
      </w:r>
      <w:r w:rsidRPr="00AB30DF">
        <w:rPr>
          <w:rFonts w:ascii="Arial" w:hAnsi="Arial" w:cs="Arial"/>
          <w:bCs/>
          <w:iCs/>
          <w:sz w:val="19"/>
          <w:szCs w:val="19"/>
          <w:lang w:val="es-CO"/>
        </w:rPr>
        <w:t>Capacidad residual de contratación pública</w:t>
      </w:r>
      <w:r w:rsidRPr="00AB30DF">
        <w:rPr>
          <w:rFonts w:ascii="Arial" w:hAnsi="Arial" w:cs="Arial"/>
          <w:sz w:val="19"/>
          <w:szCs w:val="19"/>
          <w:lang w:val="es-CO"/>
        </w:rPr>
        <w:t>:</w:t>
      </w:r>
      <w:r w:rsidRPr="00AB30DF">
        <w:rPr>
          <w:rFonts w:ascii="Arial" w:hAnsi="Arial" w:cs="Arial"/>
          <w:b/>
          <w:bCs/>
          <w:i/>
          <w:iCs/>
          <w:sz w:val="19"/>
          <w:szCs w:val="19"/>
          <w:lang w:val="es-CO"/>
        </w:rPr>
        <w:t xml:space="preserve"> </w:t>
      </w:r>
      <w:r w:rsidRPr="00AB30DF">
        <w:rPr>
          <w:rFonts w:ascii="Arial" w:hAnsi="Arial" w:cs="Arial"/>
          <w:sz w:val="19"/>
          <w:szCs w:val="19"/>
          <w:lang w:val="es-CO"/>
        </w:rPr>
        <w:t>La capacidad residual de contratación cuando obra pública se obtendrá de sustraer de la capacidad del valor de los contratos en ejecución.</w:t>
      </w:r>
    </w:p>
    <w:p w14:paraId="4F7ACA8A" w14:textId="77777777" w:rsidR="001F790E" w:rsidRPr="00AB30DF" w:rsidRDefault="001F790E" w:rsidP="00AB30DF">
      <w:pPr>
        <w:pStyle w:val="Textonotapie"/>
        <w:ind w:firstLine="708"/>
        <w:jc w:val="both"/>
        <w:rPr>
          <w:rFonts w:ascii="Arial" w:hAnsi="Arial" w:cs="Arial"/>
          <w:sz w:val="19"/>
          <w:szCs w:val="19"/>
          <w:lang w:val="es-CO"/>
        </w:rPr>
      </w:pPr>
      <w:r w:rsidRPr="00AB30DF">
        <w:rPr>
          <w:rFonts w:ascii="Arial" w:hAnsi="Arial" w:cs="Arial"/>
          <w:sz w:val="19"/>
          <w:szCs w:val="19"/>
          <w:lang w:val="es-CO"/>
        </w:rPr>
        <w:t>»La capacidad de contratación se deberá calcular mediante la evaluación de los siguientes factores: Experiencia (E), Capacidad Financiera (CF), Capacidad Técnica (CT), y Capacidad de Organización (CO).</w:t>
      </w:r>
    </w:p>
    <w:p w14:paraId="34B8FDAE" w14:textId="77777777" w:rsidR="001F790E" w:rsidRPr="00AB30DF" w:rsidRDefault="001F790E" w:rsidP="00AB30DF">
      <w:pPr>
        <w:pStyle w:val="Textonotapie"/>
        <w:ind w:firstLine="708"/>
        <w:jc w:val="both"/>
        <w:rPr>
          <w:rFonts w:ascii="Arial" w:hAnsi="Arial" w:cs="Arial"/>
          <w:sz w:val="19"/>
          <w:szCs w:val="19"/>
          <w:lang w:val="es-CO"/>
        </w:rPr>
      </w:pPr>
      <w:r w:rsidRPr="00AB30DF">
        <w:rPr>
          <w:rFonts w:ascii="Arial" w:hAnsi="Arial" w:cs="Arial"/>
          <w:sz w:val="19"/>
          <w:szCs w:val="19"/>
          <w:lang w:val="es-CO"/>
        </w:rPr>
        <w:t>»Para los efectos de la evaluación de los factores mencionados en el inciso anterior, por ningún motivo, ni bajo ninguna circunstancia se podrán tener en cuenta la rentabilidad y las utilidades.</w:t>
      </w:r>
    </w:p>
    <w:p w14:paraId="37E8C51E" w14:textId="77777777" w:rsidR="001F790E" w:rsidRPr="00AB30DF" w:rsidRDefault="001F790E" w:rsidP="00AB30DF">
      <w:pPr>
        <w:pStyle w:val="Textonotapie"/>
        <w:ind w:firstLine="708"/>
        <w:jc w:val="both"/>
        <w:rPr>
          <w:rFonts w:ascii="Arial" w:hAnsi="Arial" w:cs="Arial"/>
          <w:sz w:val="19"/>
          <w:szCs w:val="19"/>
          <w:lang w:val="es-CO"/>
        </w:rPr>
      </w:pPr>
      <w:r w:rsidRPr="00AB30DF">
        <w:rPr>
          <w:rFonts w:ascii="Arial" w:hAnsi="Arial" w:cs="Arial"/>
          <w:sz w:val="19"/>
          <w:szCs w:val="19"/>
          <w:lang w:val="es-CO"/>
        </w:rPr>
        <w:t>»El Gobierno Nacional reglamentará la materia, dentro de los sesenta (60) días siguientes a la promulgación de la presente ley, acudiendo al concepto técnico de la Sociedad Colombiana de Ingenieros, en virtual de la Ley 49 de 1904, para propender por una reglamentación equitativa en la implementación de mínimos y máximos que garanticen los derechos de los pequeños contratistas».</w:t>
      </w:r>
    </w:p>
    <w:p w14:paraId="77DEDF9E" w14:textId="77777777" w:rsidR="001F790E" w:rsidRPr="00AB30DF" w:rsidRDefault="001F790E" w:rsidP="00AB30DF">
      <w:pPr>
        <w:pStyle w:val="Textonotapie"/>
        <w:ind w:firstLine="708"/>
        <w:jc w:val="both"/>
        <w:rPr>
          <w:rFonts w:ascii="Arial" w:hAnsi="Arial" w:cs="Arial"/>
          <w:sz w:val="19"/>
          <w:szCs w:val="19"/>
          <w:lang w:val="es-CO"/>
        </w:rPr>
      </w:pPr>
    </w:p>
  </w:footnote>
  <w:footnote w:id="9">
    <w:p w14:paraId="2A66E065" w14:textId="77777777" w:rsidR="00DC578F" w:rsidRPr="00AB30DF" w:rsidRDefault="00DC578F" w:rsidP="00AB30DF">
      <w:pPr>
        <w:pStyle w:val="NormalWeb"/>
        <w:shd w:val="clear" w:color="auto" w:fill="FFFFFF"/>
        <w:spacing w:before="0" w:beforeAutospacing="0" w:after="0" w:afterAutospacing="0"/>
        <w:ind w:firstLine="708"/>
        <w:jc w:val="both"/>
        <w:rPr>
          <w:rFonts w:ascii="Arial" w:eastAsiaTheme="minorHAnsi" w:hAnsi="Arial" w:cs="Arial"/>
          <w:sz w:val="19"/>
          <w:szCs w:val="19"/>
          <w:lang w:eastAsia="en-US"/>
        </w:rPr>
      </w:pPr>
      <w:r w:rsidRPr="00AB30DF">
        <w:rPr>
          <w:rStyle w:val="Refdenotaalpie"/>
          <w:rFonts w:ascii="Arial" w:eastAsiaTheme="minorHAnsi" w:hAnsi="Arial" w:cs="Arial"/>
          <w:sz w:val="19"/>
          <w:szCs w:val="19"/>
          <w:lang w:val="es-MX" w:eastAsia="en-US"/>
        </w:rPr>
        <w:footnoteRef/>
      </w:r>
      <w:r w:rsidRPr="00AB30DF">
        <w:rPr>
          <w:rStyle w:val="Refdenotaalpie"/>
          <w:rFonts w:ascii="Arial" w:eastAsiaTheme="minorHAnsi" w:hAnsi="Arial" w:cs="Arial"/>
          <w:sz w:val="19"/>
          <w:szCs w:val="19"/>
          <w:lang w:val="es-MX" w:eastAsia="en-US"/>
        </w:rPr>
        <w:t xml:space="preserve"> </w:t>
      </w:r>
      <w:r w:rsidRPr="00AB30DF">
        <w:rPr>
          <w:rFonts w:ascii="Arial" w:hAnsi="Arial" w:cs="Arial"/>
          <w:sz w:val="19"/>
          <w:szCs w:val="19"/>
        </w:rPr>
        <w:t>«</w:t>
      </w:r>
      <w:r w:rsidRPr="00AB30DF">
        <w:rPr>
          <w:rFonts w:ascii="Arial" w:eastAsiaTheme="minorHAns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47BB398A" w14:textId="77777777" w:rsidR="00DC578F" w:rsidRPr="00AB30DF" w:rsidRDefault="00DC578F" w:rsidP="00AB30DF">
      <w:pPr>
        <w:shd w:val="clear" w:color="auto" w:fill="FFFFFF"/>
        <w:ind w:firstLine="708"/>
        <w:jc w:val="both"/>
        <w:rPr>
          <w:rFonts w:ascii="Arial" w:hAnsi="Arial" w:cs="Arial"/>
          <w:sz w:val="19"/>
          <w:szCs w:val="19"/>
          <w:lang w:val="es-CO"/>
        </w:rPr>
      </w:pPr>
      <w:r w:rsidRPr="00AB30DF">
        <w:rPr>
          <w:rFonts w:ascii="Arial" w:hAnsi="Arial" w:cs="Arial"/>
          <w:sz w:val="19"/>
          <w:szCs w:val="19"/>
          <w:lang w:val="es-CO"/>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749B3B78" w14:textId="77777777" w:rsidR="00DC578F" w:rsidRPr="00AB30DF" w:rsidRDefault="00DC578F" w:rsidP="00AB30DF">
      <w:pPr>
        <w:shd w:val="clear" w:color="auto" w:fill="FFFFFF"/>
        <w:ind w:firstLine="708"/>
        <w:jc w:val="both"/>
        <w:rPr>
          <w:rFonts w:ascii="Arial" w:hAnsi="Arial" w:cs="Arial"/>
          <w:sz w:val="19"/>
          <w:szCs w:val="19"/>
          <w:lang w:val="es-CO"/>
        </w:rPr>
      </w:pPr>
      <w:r w:rsidRPr="00AB30DF">
        <w:rPr>
          <w:rFonts w:ascii="Arial" w:hAnsi="Arial" w:cs="Arial"/>
          <w:sz w:val="19"/>
          <w:szCs w:val="19"/>
          <w:lang w:val="es-CO"/>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024570B8" w14:textId="77777777" w:rsidR="00DC578F" w:rsidRPr="00AB30DF" w:rsidRDefault="00DC578F" w:rsidP="00AB30DF">
      <w:pPr>
        <w:shd w:val="clear" w:color="auto" w:fill="FFFFFF"/>
        <w:ind w:firstLine="708"/>
        <w:jc w:val="both"/>
        <w:rPr>
          <w:rFonts w:ascii="Arial" w:hAnsi="Arial" w:cs="Arial"/>
          <w:sz w:val="19"/>
          <w:szCs w:val="19"/>
          <w:lang w:val="es-CO"/>
        </w:rPr>
      </w:pPr>
      <w:r w:rsidRPr="00AB30DF">
        <w:rPr>
          <w:rFonts w:ascii="Arial" w:hAnsi="Arial" w:cs="Arial"/>
          <w:sz w:val="19"/>
          <w:szCs w:val="19"/>
          <w:lang w:val="es-CO"/>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3D01FBB7" w14:textId="77777777" w:rsidR="00DC578F" w:rsidRPr="00AB30DF" w:rsidRDefault="00DC578F" w:rsidP="00AB30DF">
      <w:pPr>
        <w:shd w:val="clear" w:color="auto" w:fill="FFFFFF"/>
        <w:ind w:firstLine="708"/>
        <w:jc w:val="both"/>
        <w:rPr>
          <w:rFonts w:ascii="Arial" w:hAnsi="Arial" w:cs="Arial"/>
          <w:sz w:val="19"/>
          <w:szCs w:val="19"/>
          <w:lang w:val="es-CO"/>
        </w:rPr>
      </w:pPr>
    </w:p>
  </w:footnote>
  <w:footnote w:id="10">
    <w:p w14:paraId="04EEC228" w14:textId="77777777" w:rsidR="001F790E" w:rsidRPr="00AB30DF" w:rsidRDefault="001F790E" w:rsidP="00AB30DF">
      <w:pPr>
        <w:pStyle w:val="Textonotapie"/>
        <w:ind w:firstLine="708"/>
        <w:jc w:val="both"/>
        <w:rPr>
          <w:rFonts w:ascii="Arial" w:hAnsi="Arial" w:cs="Arial"/>
          <w:sz w:val="19"/>
          <w:szCs w:val="19"/>
          <w:lang w:val="es-CO"/>
        </w:rPr>
      </w:pPr>
      <w:r w:rsidRPr="00AB30DF">
        <w:rPr>
          <w:rStyle w:val="Refdenotaalpie"/>
          <w:rFonts w:ascii="Arial" w:hAnsi="Arial" w:cs="Arial"/>
          <w:sz w:val="19"/>
          <w:szCs w:val="19"/>
        </w:rPr>
        <w:footnoteRef/>
      </w:r>
      <w:r w:rsidRPr="00AB30DF">
        <w:rPr>
          <w:rFonts w:ascii="Arial" w:hAnsi="Arial" w:cs="Arial"/>
          <w:sz w:val="19"/>
          <w:szCs w:val="19"/>
        </w:rPr>
        <w:t xml:space="preserve"> «</w:t>
      </w:r>
      <w:r w:rsidRPr="00AB30DF">
        <w:rPr>
          <w:rFonts w:ascii="Arial" w:hAnsi="Arial" w:cs="Arial"/>
          <w:sz w:val="19"/>
          <w:szCs w:val="19"/>
          <w:lang w:val="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69B1F58" w14:textId="77777777" w:rsidR="001F790E" w:rsidRPr="00AB30DF" w:rsidRDefault="001F790E" w:rsidP="00AB30DF">
      <w:pPr>
        <w:pStyle w:val="Textonotapie"/>
        <w:jc w:val="both"/>
        <w:rPr>
          <w:rFonts w:ascii="Arial" w:hAnsi="Arial" w:cs="Arial"/>
          <w:sz w:val="19"/>
          <w:szCs w:val="19"/>
          <w:lang w:val="es-CO"/>
        </w:rPr>
      </w:pPr>
      <w:r w:rsidRPr="00AB30DF">
        <w:rPr>
          <w:rFonts w:ascii="Arial" w:hAnsi="Arial" w:cs="Arial"/>
          <w:sz w:val="19"/>
          <w:szCs w:val="19"/>
          <w:lang w:val="es-CO"/>
        </w:rPr>
        <w:tab/>
        <w:t xml:space="preserve">»[…] </w:t>
      </w:r>
    </w:p>
    <w:p w14:paraId="180E5042" w14:textId="77777777" w:rsidR="001F790E" w:rsidRPr="00AB30DF" w:rsidRDefault="001F790E" w:rsidP="00AB30DF">
      <w:pPr>
        <w:pStyle w:val="Textonotapie"/>
        <w:ind w:firstLine="708"/>
        <w:jc w:val="both"/>
        <w:rPr>
          <w:rFonts w:ascii="Arial" w:hAnsi="Arial" w:cs="Arial"/>
          <w:sz w:val="19"/>
          <w:szCs w:val="19"/>
        </w:rPr>
      </w:pPr>
      <w:r w:rsidRPr="00AB30DF">
        <w:rPr>
          <w:rFonts w:ascii="Arial" w:hAnsi="Arial" w:cs="Arial"/>
          <w:sz w:val="19"/>
          <w:szCs w:val="19"/>
          <w:lang w:val="es-CO"/>
        </w:rPr>
        <w:t>»</w:t>
      </w:r>
      <w:r w:rsidRPr="00AB30DF">
        <w:rPr>
          <w:rFonts w:ascii="Arial" w:hAnsi="Arial" w:cs="Arial"/>
          <w:sz w:val="19"/>
          <w:szCs w:val="19"/>
        </w:rPr>
        <w:t>En dicho registro constará la información relacionada con la experiencia, capacidad jurídica, financiera y de organización del proponente, que se establecerá de conformidad con los factores de calificación y clasificación que defina el reglamento. El puntaje resultante de la calificación de estos factores se entenderá como la capacidad máxima de contratación del inscrito.</w:t>
      </w:r>
    </w:p>
    <w:p w14:paraId="7829ACEB" w14:textId="77777777" w:rsidR="001F790E" w:rsidRPr="00AB30DF" w:rsidRDefault="001F790E" w:rsidP="00AB30DF">
      <w:pPr>
        <w:shd w:val="clear" w:color="auto" w:fill="FFFFFF"/>
        <w:ind w:firstLine="708"/>
        <w:jc w:val="both"/>
        <w:rPr>
          <w:rFonts w:ascii="Arial" w:hAnsi="Arial" w:cs="Arial"/>
          <w:sz w:val="19"/>
          <w:szCs w:val="19"/>
        </w:rPr>
      </w:pPr>
      <w:r w:rsidRPr="00AB30DF">
        <w:rPr>
          <w:rFonts w:ascii="Arial" w:hAnsi="Arial" w:cs="Arial"/>
          <w:sz w:val="19"/>
          <w:szCs w:val="19"/>
          <w:lang w:val="es-CO"/>
        </w:rPr>
        <w:t>»</w:t>
      </w:r>
      <w:r w:rsidRPr="00AB30DF">
        <w:rPr>
          <w:rFonts w:ascii="Arial" w:hAnsi="Arial" w:cs="Arial"/>
          <w:sz w:val="19"/>
          <w:szCs w:val="19"/>
        </w:rPr>
        <w:t>6.1. De la calificación y clasificación de los inscritos: Corresponderá a los proponentes calificarse y clasificarse en el registro de conformidad con los documentos aportados. Las cámaras de comercio harán la verificación documental de la información presentada por los interesados al momento de inscribirse en el registro.</w:t>
      </w:r>
    </w:p>
    <w:p w14:paraId="71DBB55E" w14:textId="77777777" w:rsidR="001F790E" w:rsidRPr="00AB30DF" w:rsidRDefault="001F790E" w:rsidP="00AB30DF">
      <w:pPr>
        <w:shd w:val="clear" w:color="auto" w:fill="FFFFFF"/>
        <w:ind w:firstLine="708"/>
        <w:jc w:val="both"/>
        <w:rPr>
          <w:rFonts w:ascii="Arial" w:hAnsi="Arial" w:cs="Arial"/>
          <w:sz w:val="19"/>
          <w:szCs w:val="19"/>
        </w:rPr>
      </w:pPr>
      <w:r w:rsidRPr="00AB30DF">
        <w:rPr>
          <w:rFonts w:ascii="Arial" w:hAnsi="Arial" w:cs="Arial"/>
          <w:sz w:val="19"/>
          <w:szCs w:val="19"/>
          <w:lang w:val="es-CO"/>
        </w:rPr>
        <w:t>»</w:t>
      </w:r>
      <w:r w:rsidRPr="00AB30DF">
        <w:rPr>
          <w:rFonts w:ascii="Arial" w:hAnsi="Arial" w:cs="Arial"/>
          <w:sz w:val="19"/>
          <w:szCs w:val="19"/>
        </w:rPr>
        <w:t>La calificación y clasificación certificada de conformidad con el presente artículo será plena prueba de las circunstancias que en ella se hagan constar.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sidRPr="00AB30DF">
        <w:rPr>
          <w:rFonts w:ascii="Arial" w:hAnsi="Arial" w:cs="Arial"/>
          <w:sz w:val="19"/>
          <w:szCs w:val="19"/>
          <w:lang w:val="es-CO"/>
        </w:rPr>
        <w:t>»</w:t>
      </w:r>
      <w:r w:rsidRPr="00AB30DF">
        <w:rPr>
          <w:rFonts w:ascii="Arial" w:hAnsi="Arial" w:cs="Arial"/>
          <w:sz w:val="19"/>
          <w:szCs w:val="19"/>
        </w:rPr>
        <w:t>.</w:t>
      </w:r>
    </w:p>
    <w:p w14:paraId="14C9DD0C" w14:textId="77777777" w:rsidR="001F790E" w:rsidRPr="00AB30DF" w:rsidRDefault="001F790E" w:rsidP="00AB30DF">
      <w:pPr>
        <w:pStyle w:val="Textonotapie"/>
        <w:jc w:val="both"/>
        <w:rPr>
          <w:rFonts w:ascii="Arial" w:hAnsi="Arial" w:cs="Arial"/>
          <w:sz w:val="19"/>
          <w:szCs w:val="19"/>
          <w:lang w:val="es-CO"/>
        </w:rPr>
      </w:pPr>
    </w:p>
  </w:footnote>
  <w:footnote w:id="11">
    <w:p w14:paraId="735CC18C" w14:textId="66881760" w:rsidR="00AB30DF" w:rsidRPr="00AB30DF" w:rsidRDefault="00AB30DF" w:rsidP="00AB30DF">
      <w:pPr>
        <w:pStyle w:val="Textonotapie"/>
        <w:ind w:firstLine="708"/>
        <w:jc w:val="both"/>
        <w:rPr>
          <w:rFonts w:ascii="Arial" w:hAnsi="Arial" w:cs="Arial"/>
          <w:sz w:val="19"/>
          <w:szCs w:val="19"/>
        </w:rPr>
      </w:pPr>
      <w:r w:rsidRPr="00AB30DF">
        <w:rPr>
          <w:rStyle w:val="Refdenotaalpie"/>
          <w:rFonts w:ascii="Arial" w:hAnsi="Arial" w:cs="Arial"/>
          <w:sz w:val="19"/>
          <w:szCs w:val="19"/>
        </w:rPr>
        <w:footnoteRef/>
      </w:r>
      <w:r w:rsidRPr="00AB30DF">
        <w:rPr>
          <w:rFonts w:ascii="Arial" w:hAnsi="Arial" w:cs="Arial"/>
          <w:sz w:val="19"/>
          <w:szCs w:val="19"/>
        </w:rPr>
        <w:t xml:space="preserve"> Radicado de entrada </w:t>
      </w:r>
      <w:r>
        <w:rPr>
          <w:rFonts w:ascii="Arial" w:hAnsi="Arial" w:cs="Arial"/>
          <w:sz w:val="19"/>
          <w:szCs w:val="19"/>
        </w:rPr>
        <w:t xml:space="preserve">No. </w:t>
      </w:r>
      <w:r w:rsidRPr="00AB30DF">
        <w:rPr>
          <w:rFonts w:ascii="Arial" w:hAnsi="Arial" w:cs="Arial"/>
          <w:sz w:val="19"/>
          <w:szCs w:val="19"/>
        </w:rPr>
        <w:t xml:space="preserve">4202013000001559. Radicado de salida </w:t>
      </w:r>
      <w:r>
        <w:rPr>
          <w:rFonts w:ascii="Arial" w:hAnsi="Arial" w:cs="Arial"/>
          <w:sz w:val="19"/>
          <w:szCs w:val="19"/>
        </w:rPr>
        <w:t xml:space="preserve">No. </w:t>
      </w:r>
      <w:r w:rsidRPr="00AB30DF">
        <w:rPr>
          <w:rFonts w:ascii="Arial" w:hAnsi="Arial" w:cs="Arial"/>
          <w:sz w:val="19"/>
          <w:szCs w:val="19"/>
        </w:rPr>
        <w:t>2202013000002534.</w:t>
      </w:r>
    </w:p>
    <w:p w14:paraId="4CB62BD1" w14:textId="4879FED0" w:rsidR="00AB30DF" w:rsidRPr="00AB30DF" w:rsidRDefault="00AB30DF" w:rsidP="00AB30DF">
      <w:pPr>
        <w:pStyle w:val="Textonotapie"/>
        <w:jc w:val="both"/>
        <w:rPr>
          <w:rFonts w:ascii="Arial" w:hAnsi="Arial" w:cs="Arial"/>
          <w:sz w:val="19"/>
          <w:szCs w:val="19"/>
        </w:rPr>
      </w:pPr>
    </w:p>
  </w:footnote>
  <w:footnote w:id="12">
    <w:p w14:paraId="6EB75331" w14:textId="19D7BD22" w:rsidR="00DB49AA" w:rsidRPr="00AB30DF" w:rsidRDefault="00DB49AA" w:rsidP="00AB30DF">
      <w:pPr>
        <w:pStyle w:val="Textonotapie"/>
        <w:ind w:firstLine="708"/>
        <w:jc w:val="both"/>
        <w:rPr>
          <w:rFonts w:ascii="Arial" w:hAnsi="Arial" w:cs="Arial"/>
          <w:sz w:val="19"/>
          <w:szCs w:val="19"/>
        </w:rPr>
      </w:pPr>
      <w:r w:rsidRPr="00AB30DF">
        <w:rPr>
          <w:rStyle w:val="Refdenotaalpie"/>
          <w:rFonts w:ascii="Arial" w:hAnsi="Arial" w:cs="Arial"/>
          <w:sz w:val="19"/>
          <w:szCs w:val="19"/>
        </w:rPr>
        <w:footnoteRef/>
      </w:r>
      <w:r w:rsidRPr="00AB30DF">
        <w:rPr>
          <w:rFonts w:ascii="Arial" w:hAnsi="Arial" w:cs="Arial"/>
          <w:sz w:val="19"/>
          <w:szCs w:val="19"/>
        </w:rPr>
        <w:t xml:space="preserve"> Concepto C-196 de 2020. Radicado de entrada </w:t>
      </w:r>
      <w:r w:rsidR="00B04843">
        <w:rPr>
          <w:rFonts w:ascii="Arial" w:hAnsi="Arial" w:cs="Arial"/>
          <w:sz w:val="19"/>
          <w:szCs w:val="19"/>
        </w:rPr>
        <w:t xml:space="preserve">No. </w:t>
      </w:r>
      <w:r w:rsidRPr="00AB30DF">
        <w:rPr>
          <w:rFonts w:ascii="Arial" w:hAnsi="Arial" w:cs="Arial"/>
          <w:sz w:val="19"/>
          <w:szCs w:val="19"/>
        </w:rPr>
        <w:t>4202013000001559</w:t>
      </w:r>
      <w:r w:rsidR="00AB30DF" w:rsidRPr="00AB30DF">
        <w:rPr>
          <w:rFonts w:ascii="Arial" w:hAnsi="Arial" w:cs="Arial"/>
          <w:sz w:val="19"/>
          <w:szCs w:val="19"/>
        </w:rPr>
        <w:t xml:space="preserve">. Radicado de salida </w:t>
      </w:r>
      <w:r w:rsidR="00B04843">
        <w:rPr>
          <w:rFonts w:ascii="Arial" w:hAnsi="Arial" w:cs="Arial"/>
          <w:sz w:val="19"/>
          <w:szCs w:val="19"/>
        </w:rPr>
        <w:t xml:space="preserve">No. </w:t>
      </w:r>
      <w:r w:rsidR="00AB30DF" w:rsidRPr="00AB30DF">
        <w:rPr>
          <w:rFonts w:ascii="Arial" w:hAnsi="Arial" w:cs="Arial"/>
          <w:sz w:val="19"/>
          <w:szCs w:val="19"/>
        </w:rPr>
        <w:t>2202013000002534.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1F790E" w:rsidRDefault="001F790E">
    <w:pPr>
      <w:pStyle w:val="Encabezado"/>
    </w:pPr>
  </w:p>
  <w:p w14:paraId="6A4C7F2C" w14:textId="7D093DBB" w:rsidR="001F790E" w:rsidRDefault="001F790E">
    <w:pPr>
      <w:pStyle w:val="Encabezado"/>
    </w:pPr>
  </w:p>
  <w:p w14:paraId="055F2E1F" w14:textId="0B935ADD" w:rsidR="001F790E" w:rsidRDefault="001F790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1F790E" w:rsidRDefault="001F790E">
    <w:pPr>
      <w:pStyle w:val="Encabezado"/>
    </w:pPr>
  </w:p>
  <w:p w14:paraId="3D323BDB" w14:textId="04AF0DE6" w:rsidR="001F790E" w:rsidRDefault="001F790E">
    <w:pPr>
      <w:pStyle w:val="Encabezado"/>
    </w:pPr>
  </w:p>
  <w:p w14:paraId="6520770B" w14:textId="18EB07B5" w:rsidR="001F790E" w:rsidRDefault="001F79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9"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
    <w:lvlOverride w:ilvl="0">
      <w:startOverride w:val="1"/>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12A1B"/>
    <w:rsid w:val="000136DC"/>
    <w:rsid w:val="00016FAC"/>
    <w:rsid w:val="0001726A"/>
    <w:rsid w:val="0001795B"/>
    <w:rsid w:val="00020801"/>
    <w:rsid w:val="00024BE5"/>
    <w:rsid w:val="00026AD9"/>
    <w:rsid w:val="000271AD"/>
    <w:rsid w:val="00027940"/>
    <w:rsid w:val="00027F74"/>
    <w:rsid w:val="000303EC"/>
    <w:rsid w:val="000503A1"/>
    <w:rsid w:val="00056024"/>
    <w:rsid w:val="00057953"/>
    <w:rsid w:val="0006293E"/>
    <w:rsid w:val="0006625D"/>
    <w:rsid w:val="00070770"/>
    <w:rsid w:val="0007590A"/>
    <w:rsid w:val="00080D35"/>
    <w:rsid w:val="00081AF3"/>
    <w:rsid w:val="00085CC3"/>
    <w:rsid w:val="00087888"/>
    <w:rsid w:val="000939E0"/>
    <w:rsid w:val="00093D35"/>
    <w:rsid w:val="000942EB"/>
    <w:rsid w:val="0009651A"/>
    <w:rsid w:val="00096EAB"/>
    <w:rsid w:val="000A15CB"/>
    <w:rsid w:val="000A1B81"/>
    <w:rsid w:val="000A2C01"/>
    <w:rsid w:val="000A668C"/>
    <w:rsid w:val="000A7E46"/>
    <w:rsid w:val="000B103F"/>
    <w:rsid w:val="000B4FC6"/>
    <w:rsid w:val="000B53D0"/>
    <w:rsid w:val="000C0B7C"/>
    <w:rsid w:val="000C2DD2"/>
    <w:rsid w:val="000E1761"/>
    <w:rsid w:val="000E1F13"/>
    <w:rsid w:val="000E68FA"/>
    <w:rsid w:val="000E6962"/>
    <w:rsid w:val="000E6D84"/>
    <w:rsid w:val="000F14E8"/>
    <w:rsid w:val="000F3B04"/>
    <w:rsid w:val="001015E9"/>
    <w:rsid w:val="00102AA1"/>
    <w:rsid w:val="00103915"/>
    <w:rsid w:val="00106B75"/>
    <w:rsid w:val="001112CF"/>
    <w:rsid w:val="00111438"/>
    <w:rsid w:val="00111636"/>
    <w:rsid w:val="00114236"/>
    <w:rsid w:val="001152BA"/>
    <w:rsid w:val="001214FF"/>
    <w:rsid w:val="001229C6"/>
    <w:rsid w:val="00122B23"/>
    <w:rsid w:val="00124E73"/>
    <w:rsid w:val="00125291"/>
    <w:rsid w:val="00125D4C"/>
    <w:rsid w:val="001344AA"/>
    <w:rsid w:val="00137FFA"/>
    <w:rsid w:val="001425C5"/>
    <w:rsid w:val="00152609"/>
    <w:rsid w:val="001550CF"/>
    <w:rsid w:val="0016135A"/>
    <w:rsid w:val="00161D78"/>
    <w:rsid w:val="00165EA8"/>
    <w:rsid w:val="00167B9D"/>
    <w:rsid w:val="00167F0C"/>
    <w:rsid w:val="00172E0A"/>
    <w:rsid w:val="00175795"/>
    <w:rsid w:val="00177BAA"/>
    <w:rsid w:val="00180B3B"/>
    <w:rsid w:val="00184E93"/>
    <w:rsid w:val="001900CF"/>
    <w:rsid w:val="001918D6"/>
    <w:rsid w:val="001939B7"/>
    <w:rsid w:val="001963C6"/>
    <w:rsid w:val="0019745D"/>
    <w:rsid w:val="001A08F7"/>
    <w:rsid w:val="001A27D7"/>
    <w:rsid w:val="001A387A"/>
    <w:rsid w:val="001B3306"/>
    <w:rsid w:val="001B4A46"/>
    <w:rsid w:val="001B528A"/>
    <w:rsid w:val="001B53B4"/>
    <w:rsid w:val="001B6044"/>
    <w:rsid w:val="001B7618"/>
    <w:rsid w:val="001B7DEA"/>
    <w:rsid w:val="001C219D"/>
    <w:rsid w:val="001C722C"/>
    <w:rsid w:val="001D172E"/>
    <w:rsid w:val="001D5E4D"/>
    <w:rsid w:val="001E0042"/>
    <w:rsid w:val="001E453C"/>
    <w:rsid w:val="001F140A"/>
    <w:rsid w:val="001F1AFA"/>
    <w:rsid w:val="001F2AD0"/>
    <w:rsid w:val="001F3D53"/>
    <w:rsid w:val="001F6AAC"/>
    <w:rsid w:val="001F790E"/>
    <w:rsid w:val="002005CC"/>
    <w:rsid w:val="00203F1A"/>
    <w:rsid w:val="00204114"/>
    <w:rsid w:val="002135F3"/>
    <w:rsid w:val="002146C0"/>
    <w:rsid w:val="00216F1A"/>
    <w:rsid w:val="0021759E"/>
    <w:rsid w:val="002236DB"/>
    <w:rsid w:val="0022655C"/>
    <w:rsid w:val="00233A24"/>
    <w:rsid w:val="00234B84"/>
    <w:rsid w:val="00237329"/>
    <w:rsid w:val="002457FD"/>
    <w:rsid w:val="00250718"/>
    <w:rsid w:val="00251445"/>
    <w:rsid w:val="00253C1D"/>
    <w:rsid w:val="00254319"/>
    <w:rsid w:val="002563B9"/>
    <w:rsid w:val="00265C96"/>
    <w:rsid w:val="00265CEB"/>
    <w:rsid w:val="00272C62"/>
    <w:rsid w:val="00275701"/>
    <w:rsid w:val="00276521"/>
    <w:rsid w:val="00283380"/>
    <w:rsid w:val="00284F66"/>
    <w:rsid w:val="00285D7E"/>
    <w:rsid w:val="00285FED"/>
    <w:rsid w:val="00286A53"/>
    <w:rsid w:val="002877E9"/>
    <w:rsid w:val="002A4F10"/>
    <w:rsid w:val="002B4907"/>
    <w:rsid w:val="002B50DA"/>
    <w:rsid w:val="002B7DD1"/>
    <w:rsid w:val="002C087E"/>
    <w:rsid w:val="002C27C5"/>
    <w:rsid w:val="002C2BF2"/>
    <w:rsid w:val="002D3456"/>
    <w:rsid w:val="002D4BB3"/>
    <w:rsid w:val="002D7E62"/>
    <w:rsid w:val="002D7F92"/>
    <w:rsid w:val="002E1964"/>
    <w:rsid w:val="002E1E7E"/>
    <w:rsid w:val="002F3606"/>
    <w:rsid w:val="002F779E"/>
    <w:rsid w:val="003033BA"/>
    <w:rsid w:val="003046D6"/>
    <w:rsid w:val="00313D9F"/>
    <w:rsid w:val="00314899"/>
    <w:rsid w:val="003166B0"/>
    <w:rsid w:val="0032072B"/>
    <w:rsid w:val="00320DFD"/>
    <w:rsid w:val="00334B76"/>
    <w:rsid w:val="00337299"/>
    <w:rsid w:val="0034149E"/>
    <w:rsid w:val="00341CE5"/>
    <w:rsid w:val="00342202"/>
    <w:rsid w:val="003429C9"/>
    <w:rsid w:val="0034680A"/>
    <w:rsid w:val="00347661"/>
    <w:rsid w:val="00353FDF"/>
    <w:rsid w:val="00354545"/>
    <w:rsid w:val="003555B4"/>
    <w:rsid w:val="00362486"/>
    <w:rsid w:val="0036497E"/>
    <w:rsid w:val="00364F1A"/>
    <w:rsid w:val="00381B41"/>
    <w:rsid w:val="00383DDA"/>
    <w:rsid w:val="00386456"/>
    <w:rsid w:val="00387241"/>
    <w:rsid w:val="0039010E"/>
    <w:rsid w:val="003901D8"/>
    <w:rsid w:val="003A046A"/>
    <w:rsid w:val="003A581E"/>
    <w:rsid w:val="003A651C"/>
    <w:rsid w:val="003B0B16"/>
    <w:rsid w:val="003B79A5"/>
    <w:rsid w:val="003C40DD"/>
    <w:rsid w:val="003C4141"/>
    <w:rsid w:val="003C50C9"/>
    <w:rsid w:val="003C62BD"/>
    <w:rsid w:val="003D284B"/>
    <w:rsid w:val="003D40F4"/>
    <w:rsid w:val="003E11A8"/>
    <w:rsid w:val="003E14B0"/>
    <w:rsid w:val="003E5505"/>
    <w:rsid w:val="003E6682"/>
    <w:rsid w:val="003E7261"/>
    <w:rsid w:val="003E7A20"/>
    <w:rsid w:val="003F28CF"/>
    <w:rsid w:val="003F328D"/>
    <w:rsid w:val="003F5CDD"/>
    <w:rsid w:val="00400083"/>
    <w:rsid w:val="0040059A"/>
    <w:rsid w:val="00407BD2"/>
    <w:rsid w:val="0041043C"/>
    <w:rsid w:val="00411B85"/>
    <w:rsid w:val="00416511"/>
    <w:rsid w:val="004207E3"/>
    <w:rsid w:val="00420D01"/>
    <w:rsid w:val="0042321C"/>
    <w:rsid w:val="004252E8"/>
    <w:rsid w:val="00426EEE"/>
    <w:rsid w:val="00426F4A"/>
    <w:rsid w:val="00432915"/>
    <w:rsid w:val="00437BF5"/>
    <w:rsid w:val="00437BF8"/>
    <w:rsid w:val="004422D6"/>
    <w:rsid w:val="00442BFD"/>
    <w:rsid w:val="00444A46"/>
    <w:rsid w:val="00447095"/>
    <w:rsid w:val="004507CF"/>
    <w:rsid w:val="0045342C"/>
    <w:rsid w:val="00454B0F"/>
    <w:rsid w:val="0047444E"/>
    <w:rsid w:val="00474880"/>
    <w:rsid w:val="00476A0B"/>
    <w:rsid w:val="0049505C"/>
    <w:rsid w:val="0049684A"/>
    <w:rsid w:val="00497B27"/>
    <w:rsid w:val="004A34D2"/>
    <w:rsid w:val="004A411B"/>
    <w:rsid w:val="004A488B"/>
    <w:rsid w:val="004B219E"/>
    <w:rsid w:val="004B4A0E"/>
    <w:rsid w:val="004C003F"/>
    <w:rsid w:val="004C0993"/>
    <w:rsid w:val="004C5092"/>
    <w:rsid w:val="004D2B08"/>
    <w:rsid w:val="004D2C64"/>
    <w:rsid w:val="004D3473"/>
    <w:rsid w:val="004D7A98"/>
    <w:rsid w:val="004E4142"/>
    <w:rsid w:val="004E5102"/>
    <w:rsid w:val="004F0B50"/>
    <w:rsid w:val="004F32CC"/>
    <w:rsid w:val="004F4EB9"/>
    <w:rsid w:val="00502929"/>
    <w:rsid w:val="005037CD"/>
    <w:rsid w:val="005053B0"/>
    <w:rsid w:val="0051074C"/>
    <w:rsid w:val="0051089A"/>
    <w:rsid w:val="00510BB6"/>
    <w:rsid w:val="00513AF2"/>
    <w:rsid w:val="005152C2"/>
    <w:rsid w:val="00524F8D"/>
    <w:rsid w:val="00533367"/>
    <w:rsid w:val="00535161"/>
    <w:rsid w:val="005418FA"/>
    <w:rsid w:val="0054413A"/>
    <w:rsid w:val="005443C9"/>
    <w:rsid w:val="00545144"/>
    <w:rsid w:val="005457A0"/>
    <w:rsid w:val="00550551"/>
    <w:rsid w:val="005564CA"/>
    <w:rsid w:val="00561510"/>
    <w:rsid w:val="005626E7"/>
    <w:rsid w:val="00571897"/>
    <w:rsid w:val="005731B5"/>
    <w:rsid w:val="0057389B"/>
    <w:rsid w:val="00574D20"/>
    <w:rsid w:val="00575B77"/>
    <w:rsid w:val="00575D08"/>
    <w:rsid w:val="005811F1"/>
    <w:rsid w:val="00584E86"/>
    <w:rsid w:val="00590DD9"/>
    <w:rsid w:val="005A1570"/>
    <w:rsid w:val="005A34F0"/>
    <w:rsid w:val="005A456B"/>
    <w:rsid w:val="005A5275"/>
    <w:rsid w:val="005A79FE"/>
    <w:rsid w:val="005B2AF3"/>
    <w:rsid w:val="005B4AA6"/>
    <w:rsid w:val="005B7515"/>
    <w:rsid w:val="005C1FFD"/>
    <w:rsid w:val="005C5A22"/>
    <w:rsid w:val="005C5B5C"/>
    <w:rsid w:val="005D29B5"/>
    <w:rsid w:val="005D3445"/>
    <w:rsid w:val="005D474D"/>
    <w:rsid w:val="005D552E"/>
    <w:rsid w:val="005E605B"/>
    <w:rsid w:val="005E67FC"/>
    <w:rsid w:val="005E7572"/>
    <w:rsid w:val="005E7A0B"/>
    <w:rsid w:val="005F0C78"/>
    <w:rsid w:val="005F1050"/>
    <w:rsid w:val="005F3431"/>
    <w:rsid w:val="005F4BF5"/>
    <w:rsid w:val="00610C94"/>
    <w:rsid w:val="00620CBF"/>
    <w:rsid w:val="00620E47"/>
    <w:rsid w:val="0062567A"/>
    <w:rsid w:val="006334A8"/>
    <w:rsid w:val="006367B1"/>
    <w:rsid w:val="0063788B"/>
    <w:rsid w:val="006404C9"/>
    <w:rsid w:val="00642D57"/>
    <w:rsid w:val="00647622"/>
    <w:rsid w:val="006524BE"/>
    <w:rsid w:val="00652A5C"/>
    <w:rsid w:val="006533F8"/>
    <w:rsid w:val="00655360"/>
    <w:rsid w:val="00655371"/>
    <w:rsid w:val="006563C3"/>
    <w:rsid w:val="00666AF7"/>
    <w:rsid w:val="00673789"/>
    <w:rsid w:val="00683085"/>
    <w:rsid w:val="0068338B"/>
    <w:rsid w:val="0069158F"/>
    <w:rsid w:val="00691C58"/>
    <w:rsid w:val="00697665"/>
    <w:rsid w:val="006A12F4"/>
    <w:rsid w:val="006A3206"/>
    <w:rsid w:val="006A454C"/>
    <w:rsid w:val="006A58B8"/>
    <w:rsid w:val="006A64A9"/>
    <w:rsid w:val="006A7FD0"/>
    <w:rsid w:val="006B161A"/>
    <w:rsid w:val="006C084F"/>
    <w:rsid w:val="006C68E5"/>
    <w:rsid w:val="006D23BA"/>
    <w:rsid w:val="006D2CB8"/>
    <w:rsid w:val="006D40DC"/>
    <w:rsid w:val="006D4F07"/>
    <w:rsid w:val="006D7687"/>
    <w:rsid w:val="006E0385"/>
    <w:rsid w:val="006E0572"/>
    <w:rsid w:val="006E1324"/>
    <w:rsid w:val="006E6D63"/>
    <w:rsid w:val="006E6E42"/>
    <w:rsid w:val="00700377"/>
    <w:rsid w:val="007020A1"/>
    <w:rsid w:val="00703E2C"/>
    <w:rsid w:val="00705631"/>
    <w:rsid w:val="00706399"/>
    <w:rsid w:val="00715929"/>
    <w:rsid w:val="007210EC"/>
    <w:rsid w:val="0072127D"/>
    <w:rsid w:val="00725AC2"/>
    <w:rsid w:val="00726DBE"/>
    <w:rsid w:val="00727FB6"/>
    <w:rsid w:val="007300F3"/>
    <w:rsid w:val="007404BC"/>
    <w:rsid w:val="00742DD2"/>
    <w:rsid w:val="00752568"/>
    <w:rsid w:val="0075647A"/>
    <w:rsid w:val="007634AD"/>
    <w:rsid w:val="0076566F"/>
    <w:rsid w:val="007656E6"/>
    <w:rsid w:val="00765BE2"/>
    <w:rsid w:val="00772C6C"/>
    <w:rsid w:val="007741D9"/>
    <w:rsid w:val="007748F6"/>
    <w:rsid w:val="0078122E"/>
    <w:rsid w:val="00783506"/>
    <w:rsid w:val="0078442B"/>
    <w:rsid w:val="00785A12"/>
    <w:rsid w:val="00793845"/>
    <w:rsid w:val="0079520D"/>
    <w:rsid w:val="00797DF7"/>
    <w:rsid w:val="007A0D0E"/>
    <w:rsid w:val="007A4C5A"/>
    <w:rsid w:val="007B0854"/>
    <w:rsid w:val="007B0F58"/>
    <w:rsid w:val="007C7638"/>
    <w:rsid w:val="007D0305"/>
    <w:rsid w:val="007E750C"/>
    <w:rsid w:val="007F367B"/>
    <w:rsid w:val="007F4347"/>
    <w:rsid w:val="007F72CB"/>
    <w:rsid w:val="00802A13"/>
    <w:rsid w:val="00804CE6"/>
    <w:rsid w:val="00813504"/>
    <w:rsid w:val="00817CA8"/>
    <w:rsid w:val="00822D58"/>
    <w:rsid w:val="00826A9D"/>
    <w:rsid w:val="0083119B"/>
    <w:rsid w:val="0083133A"/>
    <w:rsid w:val="00836EAB"/>
    <w:rsid w:val="00841280"/>
    <w:rsid w:val="00841639"/>
    <w:rsid w:val="00842535"/>
    <w:rsid w:val="00842F23"/>
    <w:rsid w:val="0085092D"/>
    <w:rsid w:val="008509DD"/>
    <w:rsid w:val="008524B4"/>
    <w:rsid w:val="00853776"/>
    <w:rsid w:val="00854DBB"/>
    <w:rsid w:val="008617E0"/>
    <w:rsid w:val="00865967"/>
    <w:rsid w:val="00873BCF"/>
    <w:rsid w:val="00877366"/>
    <w:rsid w:val="008817ED"/>
    <w:rsid w:val="0088243F"/>
    <w:rsid w:val="00885AA7"/>
    <w:rsid w:val="00886201"/>
    <w:rsid w:val="008871CF"/>
    <w:rsid w:val="00887B15"/>
    <w:rsid w:val="00890882"/>
    <w:rsid w:val="008927A8"/>
    <w:rsid w:val="008A0A11"/>
    <w:rsid w:val="008A54C1"/>
    <w:rsid w:val="008A69BA"/>
    <w:rsid w:val="008C41C5"/>
    <w:rsid w:val="008D1B84"/>
    <w:rsid w:val="008D3FBB"/>
    <w:rsid w:val="008D4225"/>
    <w:rsid w:val="008D4C63"/>
    <w:rsid w:val="008D76C2"/>
    <w:rsid w:val="008D776A"/>
    <w:rsid w:val="008E1C15"/>
    <w:rsid w:val="008F14CC"/>
    <w:rsid w:val="008F2734"/>
    <w:rsid w:val="008F6E4A"/>
    <w:rsid w:val="00900239"/>
    <w:rsid w:val="00900DDB"/>
    <w:rsid w:val="0090136A"/>
    <w:rsid w:val="009030CB"/>
    <w:rsid w:val="009047C5"/>
    <w:rsid w:val="009066C0"/>
    <w:rsid w:val="00907A73"/>
    <w:rsid w:val="00910B86"/>
    <w:rsid w:val="00914F02"/>
    <w:rsid w:val="009176F3"/>
    <w:rsid w:val="00924541"/>
    <w:rsid w:val="0092465E"/>
    <w:rsid w:val="0092478E"/>
    <w:rsid w:val="0093193A"/>
    <w:rsid w:val="009465F7"/>
    <w:rsid w:val="00946737"/>
    <w:rsid w:val="00946CFA"/>
    <w:rsid w:val="0095385A"/>
    <w:rsid w:val="00955CAC"/>
    <w:rsid w:val="009568DA"/>
    <w:rsid w:val="00956C80"/>
    <w:rsid w:val="00956E82"/>
    <w:rsid w:val="00962034"/>
    <w:rsid w:val="00965849"/>
    <w:rsid w:val="00973F55"/>
    <w:rsid w:val="00976CC3"/>
    <w:rsid w:val="00977088"/>
    <w:rsid w:val="00982489"/>
    <w:rsid w:val="009866C8"/>
    <w:rsid w:val="00987F32"/>
    <w:rsid w:val="00990A2F"/>
    <w:rsid w:val="009A353C"/>
    <w:rsid w:val="009B0CB9"/>
    <w:rsid w:val="009B29F8"/>
    <w:rsid w:val="009D54EC"/>
    <w:rsid w:val="009E2882"/>
    <w:rsid w:val="00A028FC"/>
    <w:rsid w:val="00A035A4"/>
    <w:rsid w:val="00A036C4"/>
    <w:rsid w:val="00A044A1"/>
    <w:rsid w:val="00A07446"/>
    <w:rsid w:val="00A10135"/>
    <w:rsid w:val="00A118A0"/>
    <w:rsid w:val="00A14F3C"/>
    <w:rsid w:val="00A24560"/>
    <w:rsid w:val="00A26D28"/>
    <w:rsid w:val="00A27EFE"/>
    <w:rsid w:val="00A305CD"/>
    <w:rsid w:val="00A34538"/>
    <w:rsid w:val="00A37529"/>
    <w:rsid w:val="00A42A3B"/>
    <w:rsid w:val="00A43FD5"/>
    <w:rsid w:val="00A470F2"/>
    <w:rsid w:val="00A47DA6"/>
    <w:rsid w:val="00A47F59"/>
    <w:rsid w:val="00A546CA"/>
    <w:rsid w:val="00A54AB9"/>
    <w:rsid w:val="00A578E2"/>
    <w:rsid w:val="00A61FEE"/>
    <w:rsid w:val="00A814D6"/>
    <w:rsid w:val="00A84361"/>
    <w:rsid w:val="00A97342"/>
    <w:rsid w:val="00AA03C4"/>
    <w:rsid w:val="00AA18DB"/>
    <w:rsid w:val="00AA442B"/>
    <w:rsid w:val="00AA6CC1"/>
    <w:rsid w:val="00AB00BD"/>
    <w:rsid w:val="00AB0D4D"/>
    <w:rsid w:val="00AB196B"/>
    <w:rsid w:val="00AB30DF"/>
    <w:rsid w:val="00AB3E40"/>
    <w:rsid w:val="00AB4DF6"/>
    <w:rsid w:val="00AC0EEB"/>
    <w:rsid w:val="00AC3414"/>
    <w:rsid w:val="00AD0B1D"/>
    <w:rsid w:val="00AD47FB"/>
    <w:rsid w:val="00AD48B1"/>
    <w:rsid w:val="00AD5E7A"/>
    <w:rsid w:val="00AE19FC"/>
    <w:rsid w:val="00AE4119"/>
    <w:rsid w:val="00AE4E69"/>
    <w:rsid w:val="00AE5B43"/>
    <w:rsid w:val="00AE65B9"/>
    <w:rsid w:val="00AE6D68"/>
    <w:rsid w:val="00AF1ED8"/>
    <w:rsid w:val="00AF5CE1"/>
    <w:rsid w:val="00AF713D"/>
    <w:rsid w:val="00B04843"/>
    <w:rsid w:val="00B1060D"/>
    <w:rsid w:val="00B17763"/>
    <w:rsid w:val="00B21D6C"/>
    <w:rsid w:val="00B22E22"/>
    <w:rsid w:val="00B258A0"/>
    <w:rsid w:val="00B36E67"/>
    <w:rsid w:val="00B371E9"/>
    <w:rsid w:val="00B439B4"/>
    <w:rsid w:val="00B50315"/>
    <w:rsid w:val="00B5178D"/>
    <w:rsid w:val="00B525CB"/>
    <w:rsid w:val="00B531D7"/>
    <w:rsid w:val="00B53F68"/>
    <w:rsid w:val="00B5556E"/>
    <w:rsid w:val="00B60926"/>
    <w:rsid w:val="00B6143C"/>
    <w:rsid w:val="00B6341F"/>
    <w:rsid w:val="00B63CB2"/>
    <w:rsid w:val="00B64278"/>
    <w:rsid w:val="00B75C7C"/>
    <w:rsid w:val="00B80316"/>
    <w:rsid w:val="00B80D60"/>
    <w:rsid w:val="00B8385C"/>
    <w:rsid w:val="00BA1433"/>
    <w:rsid w:val="00BA549C"/>
    <w:rsid w:val="00BA54F0"/>
    <w:rsid w:val="00BB37BD"/>
    <w:rsid w:val="00BC3610"/>
    <w:rsid w:val="00BC46FA"/>
    <w:rsid w:val="00BD16E4"/>
    <w:rsid w:val="00BD404B"/>
    <w:rsid w:val="00BD5979"/>
    <w:rsid w:val="00BD78FE"/>
    <w:rsid w:val="00BE60C5"/>
    <w:rsid w:val="00BF239F"/>
    <w:rsid w:val="00BF2E6F"/>
    <w:rsid w:val="00BF3E3E"/>
    <w:rsid w:val="00BF46EB"/>
    <w:rsid w:val="00BF52BB"/>
    <w:rsid w:val="00BF59DD"/>
    <w:rsid w:val="00BF6F68"/>
    <w:rsid w:val="00C03D7A"/>
    <w:rsid w:val="00C06C24"/>
    <w:rsid w:val="00C07969"/>
    <w:rsid w:val="00C108FF"/>
    <w:rsid w:val="00C215F9"/>
    <w:rsid w:val="00C21979"/>
    <w:rsid w:val="00C22C1C"/>
    <w:rsid w:val="00C2341D"/>
    <w:rsid w:val="00C236F1"/>
    <w:rsid w:val="00C2785E"/>
    <w:rsid w:val="00C35CCA"/>
    <w:rsid w:val="00C3789F"/>
    <w:rsid w:val="00C37E77"/>
    <w:rsid w:val="00C40C20"/>
    <w:rsid w:val="00C41A44"/>
    <w:rsid w:val="00C421D2"/>
    <w:rsid w:val="00C43FAA"/>
    <w:rsid w:val="00C4553B"/>
    <w:rsid w:val="00C50FFB"/>
    <w:rsid w:val="00C52AA0"/>
    <w:rsid w:val="00C63537"/>
    <w:rsid w:val="00C75515"/>
    <w:rsid w:val="00C8023B"/>
    <w:rsid w:val="00C81AC2"/>
    <w:rsid w:val="00C83D45"/>
    <w:rsid w:val="00C878E8"/>
    <w:rsid w:val="00CA0C3E"/>
    <w:rsid w:val="00CA287E"/>
    <w:rsid w:val="00CA44C0"/>
    <w:rsid w:val="00CA5FFD"/>
    <w:rsid w:val="00CB084F"/>
    <w:rsid w:val="00CB3DAB"/>
    <w:rsid w:val="00CB532E"/>
    <w:rsid w:val="00CB7FCB"/>
    <w:rsid w:val="00CC00CD"/>
    <w:rsid w:val="00CC5BE0"/>
    <w:rsid w:val="00CC670C"/>
    <w:rsid w:val="00CC786F"/>
    <w:rsid w:val="00CD080F"/>
    <w:rsid w:val="00CD1A2C"/>
    <w:rsid w:val="00CD5F34"/>
    <w:rsid w:val="00CF2EF6"/>
    <w:rsid w:val="00CF4690"/>
    <w:rsid w:val="00CF6B14"/>
    <w:rsid w:val="00CF7DE3"/>
    <w:rsid w:val="00D03273"/>
    <w:rsid w:val="00D04268"/>
    <w:rsid w:val="00D054BD"/>
    <w:rsid w:val="00D06D43"/>
    <w:rsid w:val="00D1185B"/>
    <w:rsid w:val="00D11E53"/>
    <w:rsid w:val="00D15D40"/>
    <w:rsid w:val="00D16345"/>
    <w:rsid w:val="00D16E39"/>
    <w:rsid w:val="00D20C61"/>
    <w:rsid w:val="00D24CC2"/>
    <w:rsid w:val="00D250D0"/>
    <w:rsid w:val="00D31F4A"/>
    <w:rsid w:val="00D32C9D"/>
    <w:rsid w:val="00D35D5C"/>
    <w:rsid w:val="00D361D0"/>
    <w:rsid w:val="00D44846"/>
    <w:rsid w:val="00D50796"/>
    <w:rsid w:val="00D5088B"/>
    <w:rsid w:val="00D53EA2"/>
    <w:rsid w:val="00D55E8F"/>
    <w:rsid w:val="00D56AB8"/>
    <w:rsid w:val="00D577D1"/>
    <w:rsid w:val="00D63787"/>
    <w:rsid w:val="00D710DF"/>
    <w:rsid w:val="00D72E9D"/>
    <w:rsid w:val="00D73D62"/>
    <w:rsid w:val="00D74389"/>
    <w:rsid w:val="00D80EB6"/>
    <w:rsid w:val="00D82CE5"/>
    <w:rsid w:val="00D856F4"/>
    <w:rsid w:val="00D9294F"/>
    <w:rsid w:val="00DA5AB1"/>
    <w:rsid w:val="00DA6EE1"/>
    <w:rsid w:val="00DA72B4"/>
    <w:rsid w:val="00DB2EB1"/>
    <w:rsid w:val="00DB44D8"/>
    <w:rsid w:val="00DB49AA"/>
    <w:rsid w:val="00DC3D67"/>
    <w:rsid w:val="00DC578F"/>
    <w:rsid w:val="00DC62E5"/>
    <w:rsid w:val="00DC6ACC"/>
    <w:rsid w:val="00DD160B"/>
    <w:rsid w:val="00DD1C18"/>
    <w:rsid w:val="00DD31A9"/>
    <w:rsid w:val="00DD3432"/>
    <w:rsid w:val="00DD735D"/>
    <w:rsid w:val="00DD7D8D"/>
    <w:rsid w:val="00DE0618"/>
    <w:rsid w:val="00DE1FEF"/>
    <w:rsid w:val="00DE3119"/>
    <w:rsid w:val="00DE70DC"/>
    <w:rsid w:val="00DF0AB4"/>
    <w:rsid w:val="00DF16DA"/>
    <w:rsid w:val="00DF1DAA"/>
    <w:rsid w:val="00DF236B"/>
    <w:rsid w:val="00DF6ACD"/>
    <w:rsid w:val="00E000C8"/>
    <w:rsid w:val="00E01453"/>
    <w:rsid w:val="00E017C4"/>
    <w:rsid w:val="00E04C9B"/>
    <w:rsid w:val="00E056B2"/>
    <w:rsid w:val="00E10A6D"/>
    <w:rsid w:val="00E13AB8"/>
    <w:rsid w:val="00E13FD3"/>
    <w:rsid w:val="00E14299"/>
    <w:rsid w:val="00E144AB"/>
    <w:rsid w:val="00E21494"/>
    <w:rsid w:val="00E240E7"/>
    <w:rsid w:val="00E3090F"/>
    <w:rsid w:val="00E33B62"/>
    <w:rsid w:val="00E36E37"/>
    <w:rsid w:val="00E449E0"/>
    <w:rsid w:val="00E52D01"/>
    <w:rsid w:val="00E5557F"/>
    <w:rsid w:val="00E5588F"/>
    <w:rsid w:val="00E60196"/>
    <w:rsid w:val="00E737A7"/>
    <w:rsid w:val="00E832F8"/>
    <w:rsid w:val="00E83789"/>
    <w:rsid w:val="00E91477"/>
    <w:rsid w:val="00E915AC"/>
    <w:rsid w:val="00E9178F"/>
    <w:rsid w:val="00E91DA5"/>
    <w:rsid w:val="00E9754A"/>
    <w:rsid w:val="00EA04EF"/>
    <w:rsid w:val="00EA1131"/>
    <w:rsid w:val="00EA3483"/>
    <w:rsid w:val="00EA704D"/>
    <w:rsid w:val="00EA79EB"/>
    <w:rsid w:val="00EC5F41"/>
    <w:rsid w:val="00ED2EFF"/>
    <w:rsid w:val="00ED3BF4"/>
    <w:rsid w:val="00ED7F90"/>
    <w:rsid w:val="00EE4DB7"/>
    <w:rsid w:val="00EE776B"/>
    <w:rsid w:val="00EF16DD"/>
    <w:rsid w:val="00EF66D5"/>
    <w:rsid w:val="00F04CC2"/>
    <w:rsid w:val="00F06B15"/>
    <w:rsid w:val="00F109B1"/>
    <w:rsid w:val="00F1157D"/>
    <w:rsid w:val="00F11EDA"/>
    <w:rsid w:val="00F1301C"/>
    <w:rsid w:val="00F155B7"/>
    <w:rsid w:val="00F24361"/>
    <w:rsid w:val="00F277D0"/>
    <w:rsid w:val="00F36E11"/>
    <w:rsid w:val="00F449FE"/>
    <w:rsid w:val="00F44CA3"/>
    <w:rsid w:val="00F46903"/>
    <w:rsid w:val="00F47B8F"/>
    <w:rsid w:val="00F55AA3"/>
    <w:rsid w:val="00F562BD"/>
    <w:rsid w:val="00F608B9"/>
    <w:rsid w:val="00F60E91"/>
    <w:rsid w:val="00F71570"/>
    <w:rsid w:val="00F7558E"/>
    <w:rsid w:val="00F76205"/>
    <w:rsid w:val="00F8177B"/>
    <w:rsid w:val="00F81B47"/>
    <w:rsid w:val="00F83B75"/>
    <w:rsid w:val="00F84899"/>
    <w:rsid w:val="00F859F0"/>
    <w:rsid w:val="00F8789E"/>
    <w:rsid w:val="00F92E29"/>
    <w:rsid w:val="00FA06A3"/>
    <w:rsid w:val="00FA3B5A"/>
    <w:rsid w:val="00FA40C0"/>
    <w:rsid w:val="00FA540E"/>
    <w:rsid w:val="00FA6587"/>
    <w:rsid w:val="00FB47F3"/>
    <w:rsid w:val="00FC711A"/>
    <w:rsid w:val="00FD3213"/>
    <w:rsid w:val="00FD3A2E"/>
    <w:rsid w:val="00FD4AFF"/>
    <w:rsid w:val="00FD674C"/>
    <w:rsid w:val="00FE0DC4"/>
    <w:rsid w:val="00FE125A"/>
    <w:rsid w:val="00FE141E"/>
    <w:rsid w:val="00FE2A33"/>
    <w:rsid w:val="00FE674D"/>
    <w:rsid w:val="00FF3657"/>
    <w:rsid w:val="00FF417D"/>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D5C49-BAD0-4938-BA19-C40C910D2ECE}">
  <ds:schemaRefs>
    <ds:schemaRef ds:uri="http://schemas.openxmlformats.org/officeDocument/2006/bibliography"/>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55E552CB-207F-4BCF-8E21-2E0339EF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16</Pages>
  <Words>6111</Words>
  <Characters>33614</Characters>
  <Application>Microsoft Office Word</Application>
  <DocSecurity>0</DocSecurity>
  <Lines>280</Lines>
  <Paragraphs>79</Paragraphs>
  <ScaleCrop>false</ScaleCrop>
  <Company/>
  <LinksUpToDate>false</LinksUpToDate>
  <CharactersWithSpaces>39646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12</cp:revision>
  <dcterms:created xsi:type="dcterms:W3CDTF">2020-05-29T14:29:00Z</dcterms:created>
  <dcterms:modified xsi:type="dcterms:W3CDTF">2020-08-04T11:37:00Z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