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26676" w14:textId="77777777" w:rsidR="003C0F42" w:rsidRPr="00B60BC4" w:rsidRDefault="003C0F42" w:rsidP="003C0F42">
      <w:pPr>
        <w:jc w:val="right"/>
        <w:rPr>
          <w:rFonts w:ascii="Arial" w:hAnsi="Arial" w:cs="Arial"/>
          <w:b/>
          <w:sz w:val="16"/>
          <w:szCs w:val="16"/>
          <w:lang w:val="es-MX" w:eastAsia="es-ES"/>
        </w:rPr>
      </w:pPr>
      <w:r w:rsidRPr="00B60BC4">
        <w:rPr>
          <w:rFonts w:ascii="Arial" w:hAnsi="Arial" w:cs="Arial"/>
          <w:b/>
          <w:sz w:val="16"/>
          <w:szCs w:val="16"/>
          <w:lang w:val="es-MX" w:eastAsia="es-ES"/>
        </w:rPr>
        <w:t>CCE-DES-FM-17</w:t>
      </w:r>
    </w:p>
    <w:p w14:paraId="536C2E47" w14:textId="77777777" w:rsidR="00112AC2" w:rsidRPr="00B60BC4" w:rsidRDefault="00112AC2" w:rsidP="00853AE0">
      <w:pPr>
        <w:spacing w:before="0" w:after="0" w:line="240" w:lineRule="auto"/>
        <w:rPr>
          <w:rFonts w:ascii="Arial" w:hAnsi="Arial" w:cs="Arial"/>
          <w:b/>
          <w:bCs/>
          <w:color w:val="000000" w:themeColor="text1"/>
          <w:sz w:val="16"/>
          <w:szCs w:val="16"/>
          <w:lang w:val="es-CO"/>
        </w:rPr>
      </w:pPr>
    </w:p>
    <w:p w14:paraId="4FA94934" w14:textId="04DB7E09" w:rsidR="00525FE7" w:rsidRPr="000612C9" w:rsidRDefault="00E271F7" w:rsidP="5CFDB913">
      <w:pPr>
        <w:spacing w:before="0" w:after="0" w:line="240" w:lineRule="auto"/>
        <w:rPr>
          <w:rFonts w:ascii="Arial" w:hAnsi="Arial" w:cs="Arial"/>
          <w:b/>
          <w:bCs/>
          <w:color w:val="000000" w:themeColor="text1"/>
          <w:sz w:val="22"/>
          <w:szCs w:val="22"/>
          <w:lang w:val="es-CO"/>
        </w:rPr>
      </w:pPr>
      <w:r w:rsidRPr="5CFDB913">
        <w:rPr>
          <w:rFonts w:ascii="Arial" w:hAnsi="Arial" w:cs="Arial"/>
          <w:b/>
          <w:bCs/>
          <w:color w:val="000000" w:themeColor="text1"/>
          <w:sz w:val="22"/>
          <w:szCs w:val="22"/>
          <w:lang w:val="es-CO"/>
        </w:rPr>
        <w:t xml:space="preserve">REGÍMEN ESPECIAL </w:t>
      </w:r>
      <w:r w:rsidR="00D7568C" w:rsidRPr="5CFDB913">
        <w:rPr>
          <w:rFonts w:ascii="Arial" w:hAnsi="Arial" w:cs="Arial"/>
          <w:b/>
          <w:bCs/>
          <w:color w:val="000000" w:themeColor="text1"/>
          <w:sz w:val="22"/>
          <w:szCs w:val="22"/>
          <w:lang w:val="es-CO"/>
        </w:rPr>
        <w:t>–</w:t>
      </w:r>
      <w:r w:rsidR="644BEB02" w:rsidRPr="5CFDB913">
        <w:rPr>
          <w:rFonts w:ascii="Arial" w:hAnsi="Arial" w:cs="Arial"/>
          <w:b/>
          <w:bCs/>
          <w:color w:val="000000" w:themeColor="text1"/>
          <w:sz w:val="22"/>
          <w:szCs w:val="22"/>
          <w:lang w:val="es-CO"/>
        </w:rPr>
        <w:t xml:space="preserve"> S</w:t>
      </w:r>
      <w:r w:rsidR="00D7568C" w:rsidRPr="5CFDB913">
        <w:rPr>
          <w:rFonts w:ascii="Arial" w:hAnsi="Arial" w:cs="Arial"/>
          <w:b/>
          <w:bCs/>
          <w:color w:val="000000" w:themeColor="text1"/>
          <w:sz w:val="22"/>
          <w:szCs w:val="22"/>
          <w:lang w:val="es-CO"/>
        </w:rPr>
        <w:t xml:space="preserve">ujeto </w:t>
      </w:r>
      <w:r w:rsidR="7C874A42" w:rsidRPr="5CFDB913">
        <w:rPr>
          <w:rFonts w:ascii="Arial" w:hAnsi="Arial" w:cs="Arial"/>
          <w:b/>
          <w:bCs/>
          <w:color w:val="000000" w:themeColor="text1"/>
          <w:sz w:val="22"/>
          <w:szCs w:val="22"/>
          <w:lang w:val="es-CO"/>
        </w:rPr>
        <w:t>– O</w:t>
      </w:r>
      <w:r w:rsidR="00D7568C" w:rsidRPr="5CFDB913">
        <w:rPr>
          <w:rFonts w:ascii="Arial" w:hAnsi="Arial" w:cs="Arial"/>
          <w:b/>
          <w:bCs/>
          <w:color w:val="000000" w:themeColor="text1"/>
          <w:sz w:val="22"/>
          <w:szCs w:val="22"/>
          <w:lang w:val="es-CO"/>
        </w:rPr>
        <w:t xml:space="preserve">bjeto </w:t>
      </w:r>
    </w:p>
    <w:p w14:paraId="419AAF57" w14:textId="77777777" w:rsidR="003C0F42" w:rsidRPr="000612C9" w:rsidRDefault="003C0F42" w:rsidP="000612C9">
      <w:pPr>
        <w:spacing w:before="0" w:after="0" w:line="240" w:lineRule="auto"/>
        <w:rPr>
          <w:rFonts w:ascii="Arial" w:hAnsi="Arial" w:cs="Arial"/>
          <w:b/>
          <w:bCs/>
          <w:color w:val="000000" w:themeColor="text1"/>
          <w:sz w:val="20"/>
          <w:szCs w:val="20"/>
          <w:lang w:val="es-CO"/>
        </w:rPr>
      </w:pPr>
    </w:p>
    <w:p w14:paraId="7B4CC6D6" w14:textId="7E6E7432" w:rsidR="00D7568C" w:rsidRPr="000612C9" w:rsidRDefault="000612C9" w:rsidP="000612C9">
      <w:pPr>
        <w:spacing w:line="240" w:lineRule="auto"/>
        <w:rPr>
          <w:rFonts w:ascii="Arial" w:hAnsi="Arial" w:cs="Arial"/>
          <w:color w:val="000000" w:themeColor="text1"/>
          <w:sz w:val="20"/>
          <w:szCs w:val="20"/>
          <w:lang w:val="es-ES"/>
        </w:rPr>
      </w:pPr>
      <w:r w:rsidRPr="000612C9">
        <w:rPr>
          <w:rFonts w:ascii="Arial" w:hAnsi="Arial" w:cs="Arial"/>
          <w:color w:val="000000" w:themeColor="text1"/>
          <w:sz w:val="20"/>
          <w:szCs w:val="20"/>
          <w:lang w:val="es-ES"/>
        </w:rPr>
        <w:t>[…] e</w:t>
      </w:r>
      <w:r w:rsidR="00D7568C" w:rsidRPr="000612C9">
        <w:rPr>
          <w:rFonts w:ascii="Arial" w:hAnsi="Arial" w:cs="Arial"/>
          <w:color w:val="000000" w:themeColor="text1"/>
          <w:sz w:val="20"/>
          <w:szCs w:val="20"/>
          <w:lang w:val="es-ES"/>
        </w:rPr>
        <w:t xml:space="preserve">n el ordenamiento jurídico colombiano cuando se piensa en los regímenes especiales de contratación, por regla general se hace referencia al régimen de determinadas entidades estatales. Tal sería el caso de las </w:t>
      </w:r>
      <w:r w:rsidR="00DF3553" w:rsidRPr="000612C9">
        <w:rPr>
          <w:rFonts w:ascii="Arial" w:hAnsi="Arial" w:cs="Arial"/>
          <w:color w:val="000000" w:themeColor="text1"/>
          <w:sz w:val="20"/>
          <w:szCs w:val="20"/>
          <w:lang w:val="es-ES"/>
        </w:rPr>
        <w:t>e</w:t>
      </w:r>
      <w:r w:rsidR="00D7568C" w:rsidRPr="000612C9">
        <w:rPr>
          <w:rFonts w:ascii="Arial" w:hAnsi="Arial" w:cs="Arial"/>
          <w:color w:val="000000" w:themeColor="text1"/>
          <w:sz w:val="20"/>
          <w:szCs w:val="20"/>
          <w:lang w:val="es-ES"/>
        </w:rPr>
        <w:t xml:space="preserve">mpresas de </w:t>
      </w:r>
      <w:r w:rsidR="00DF3553" w:rsidRPr="000612C9">
        <w:rPr>
          <w:rFonts w:ascii="Arial" w:hAnsi="Arial" w:cs="Arial"/>
          <w:color w:val="000000" w:themeColor="text1"/>
          <w:sz w:val="20"/>
          <w:szCs w:val="20"/>
          <w:lang w:val="es-ES"/>
        </w:rPr>
        <w:t>s</w:t>
      </w:r>
      <w:r w:rsidR="00D7568C" w:rsidRPr="000612C9">
        <w:rPr>
          <w:rFonts w:ascii="Arial" w:hAnsi="Arial" w:cs="Arial"/>
          <w:color w:val="000000" w:themeColor="text1"/>
          <w:sz w:val="20"/>
          <w:szCs w:val="20"/>
          <w:lang w:val="es-ES"/>
        </w:rPr>
        <w:t xml:space="preserve">ervicios </w:t>
      </w:r>
      <w:r w:rsidR="00DF3553" w:rsidRPr="000612C9">
        <w:rPr>
          <w:rFonts w:ascii="Arial" w:hAnsi="Arial" w:cs="Arial"/>
          <w:color w:val="000000" w:themeColor="text1"/>
          <w:sz w:val="20"/>
          <w:szCs w:val="20"/>
          <w:lang w:val="es-ES"/>
        </w:rPr>
        <w:t>p</w:t>
      </w:r>
      <w:r w:rsidR="00D7568C" w:rsidRPr="000612C9">
        <w:rPr>
          <w:rFonts w:ascii="Arial" w:hAnsi="Arial" w:cs="Arial"/>
          <w:color w:val="000000" w:themeColor="text1"/>
          <w:sz w:val="20"/>
          <w:szCs w:val="20"/>
          <w:lang w:val="es-ES"/>
        </w:rPr>
        <w:t>úblicos</w:t>
      </w:r>
      <w:r w:rsidR="00DF3553" w:rsidRPr="000612C9">
        <w:rPr>
          <w:rFonts w:ascii="Arial" w:hAnsi="Arial" w:cs="Arial"/>
          <w:color w:val="000000" w:themeColor="text1"/>
          <w:sz w:val="20"/>
          <w:szCs w:val="20"/>
          <w:lang w:val="es-ES"/>
        </w:rPr>
        <w:t xml:space="preserve"> domiciliarios</w:t>
      </w:r>
      <w:r w:rsidR="00AA7403" w:rsidRPr="000612C9">
        <w:rPr>
          <w:rFonts w:ascii="Arial" w:hAnsi="Arial" w:cs="Arial"/>
          <w:color w:val="000000" w:themeColor="text1"/>
          <w:sz w:val="20"/>
          <w:szCs w:val="20"/>
          <w:lang w:val="es-ES"/>
        </w:rPr>
        <w:t>,</w:t>
      </w:r>
      <w:r w:rsidR="00D7568C" w:rsidRPr="000612C9">
        <w:rPr>
          <w:rFonts w:ascii="Arial" w:hAnsi="Arial" w:cs="Arial"/>
          <w:color w:val="000000" w:themeColor="text1"/>
          <w:sz w:val="20"/>
          <w:szCs w:val="20"/>
          <w:lang w:val="es-ES"/>
        </w:rPr>
        <w:t xml:space="preserve"> de conformidad con el artículo 31 de la Ley 142 de 1994, </w:t>
      </w:r>
      <w:r w:rsidR="00DF3553" w:rsidRPr="000612C9">
        <w:rPr>
          <w:rFonts w:ascii="Arial" w:hAnsi="Arial" w:cs="Arial"/>
          <w:color w:val="000000" w:themeColor="text1"/>
          <w:sz w:val="20"/>
          <w:szCs w:val="20"/>
          <w:lang w:val="es-ES"/>
        </w:rPr>
        <w:t xml:space="preserve">de </w:t>
      </w:r>
      <w:r w:rsidR="00D7568C" w:rsidRPr="000612C9">
        <w:rPr>
          <w:rFonts w:ascii="Arial" w:hAnsi="Arial" w:cs="Arial"/>
          <w:color w:val="000000" w:themeColor="text1"/>
          <w:sz w:val="20"/>
          <w:szCs w:val="20"/>
          <w:lang w:val="es-ES"/>
        </w:rPr>
        <w:t xml:space="preserve">las </w:t>
      </w:r>
      <w:r w:rsidR="00DF3553" w:rsidRPr="000612C9">
        <w:rPr>
          <w:rFonts w:ascii="Arial" w:hAnsi="Arial" w:cs="Arial"/>
          <w:color w:val="000000" w:themeColor="text1"/>
          <w:sz w:val="20"/>
          <w:szCs w:val="20"/>
          <w:lang w:val="es-ES"/>
        </w:rPr>
        <w:t>entidades señaladas en</w:t>
      </w:r>
      <w:r w:rsidR="00D7568C" w:rsidRPr="000612C9">
        <w:rPr>
          <w:rFonts w:ascii="Arial" w:hAnsi="Arial" w:cs="Arial"/>
          <w:color w:val="000000" w:themeColor="text1"/>
          <w:sz w:val="20"/>
          <w:szCs w:val="20"/>
          <w:lang w:val="es-ES"/>
        </w:rPr>
        <w:t xml:space="preserve"> el artículo 14 de la Ley 1150 de 2007, y </w:t>
      </w:r>
      <w:r w:rsidR="00DF3553" w:rsidRPr="000612C9">
        <w:rPr>
          <w:rFonts w:ascii="Arial" w:hAnsi="Arial" w:cs="Arial"/>
          <w:color w:val="000000" w:themeColor="text1"/>
          <w:sz w:val="20"/>
          <w:szCs w:val="20"/>
          <w:lang w:val="es-ES"/>
        </w:rPr>
        <w:t xml:space="preserve">de </w:t>
      </w:r>
      <w:r w:rsidR="00D7568C" w:rsidRPr="000612C9">
        <w:rPr>
          <w:rFonts w:ascii="Arial" w:hAnsi="Arial" w:cs="Arial"/>
          <w:color w:val="000000" w:themeColor="text1"/>
          <w:sz w:val="20"/>
          <w:szCs w:val="20"/>
          <w:lang w:val="es-ES"/>
        </w:rPr>
        <w:t xml:space="preserve">las </w:t>
      </w:r>
      <w:r w:rsidR="00DF3553" w:rsidRPr="000612C9">
        <w:rPr>
          <w:rFonts w:ascii="Arial" w:hAnsi="Arial" w:cs="Arial"/>
          <w:color w:val="000000" w:themeColor="text1"/>
          <w:sz w:val="20"/>
          <w:szCs w:val="20"/>
          <w:lang w:val="es-ES"/>
        </w:rPr>
        <w:t>u</w:t>
      </w:r>
      <w:r w:rsidR="00D7568C" w:rsidRPr="000612C9">
        <w:rPr>
          <w:rFonts w:ascii="Arial" w:hAnsi="Arial" w:cs="Arial"/>
          <w:color w:val="000000" w:themeColor="text1"/>
          <w:sz w:val="20"/>
          <w:szCs w:val="20"/>
          <w:lang w:val="es-ES"/>
        </w:rPr>
        <w:t>niversidades estatales u oficiales</w:t>
      </w:r>
      <w:r w:rsidR="00DF3553" w:rsidRPr="000612C9">
        <w:rPr>
          <w:rFonts w:ascii="Arial" w:hAnsi="Arial" w:cs="Arial"/>
          <w:color w:val="000000" w:themeColor="text1"/>
          <w:sz w:val="20"/>
          <w:szCs w:val="20"/>
          <w:lang w:val="es-ES"/>
        </w:rPr>
        <w:t xml:space="preserve">, </w:t>
      </w:r>
      <w:r w:rsidR="00D7568C" w:rsidRPr="000612C9">
        <w:rPr>
          <w:rFonts w:ascii="Arial" w:hAnsi="Arial" w:cs="Arial"/>
          <w:color w:val="000000" w:themeColor="text1"/>
          <w:sz w:val="20"/>
          <w:szCs w:val="20"/>
          <w:lang w:val="es-ES"/>
        </w:rPr>
        <w:t xml:space="preserve">según el artículo 93 de la Ley 30 de 1993. </w:t>
      </w:r>
    </w:p>
    <w:p w14:paraId="6BEB2476" w14:textId="272E889A" w:rsidR="000612C9" w:rsidRPr="000612C9" w:rsidRDefault="00D7568C" w:rsidP="000612C9">
      <w:pPr>
        <w:spacing w:before="0" w:after="0" w:line="240" w:lineRule="auto"/>
        <w:rPr>
          <w:rFonts w:ascii="Arial" w:hAnsi="Arial" w:cs="Arial"/>
          <w:color w:val="000000" w:themeColor="text1"/>
          <w:sz w:val="22"/>
          <w:szCs w:val="22"/>
          <w:lang w:val="es-ES"/>
        </w:rPr>
      </w:pPr>
      <w:r w:rsidRPr="000612C9">
        <w:rPr>
          <w:rFonts w:ascii="Arial" w:hAnsi="Arial" w:cs="Arial"/>
          <w:color w:val="000000" w:themeColor="text1"/>
          <w:sz w:val="20"/>
          <w:szCs w:val="20"/>
          <w:lang w:val="es-ES"/>
        </w:rPr>
        <w:t xml:space="preserve">Ahora bien, los regímenes especiales en el ordenamiento colombiano no se dan exclusivamente en atención a cierto tipo de sujetos (EICE, SEM, ESP), sino también para cierto tipo de objetos. </w:t>
      </w:r>
      <w:r w:rsidR="001F7341" w:rsidRPr="000612C9">
        <w:rPr>
          <w:rFonts w:ascii="Arial" w:hAnsi="Arial" w:cs="Arial"/>
          <w:color w:val="000000" w:themeColor="text1"/>
          <w:sz w:val="20"/>
          <w:szCs w:val="20"/>
          <w:lang w:val="es-ES"/>
        </w:rPr>
        <w:t>Este</w:t>
      </w:r>
      <w:r w:rsidRPr="000612C9">
        <w:rPr>
          <w:rFonts w:ascii="Arial" w:hAnsi="Arial" w:cs="Arial"/>
          <w:color w:val="000000" w:themeColor="text1"/>
          <w:sz w:val="20"/>
          <w:szCs w:val="20"/>
          <w:lang w:val="es-ES"/>
        </w:rPr>
        <w:t xml:space="preserve"> es el caso del régimen jurídico establecido en el artículo 66 de la Ley 1523 de 2012 que establece un régimen especial de derecho privado </w:t>
      </w:r>
      <w:proofErr w:type="gramStart"/>
      <w:r w:rsidRPr="000612C9">
        <w:rPr>
          <w:rFonts w:ascii="Arial" w:hAnsi="Arial" w:cs="Arial"/>
          <w:color w:val="000000" w:themeColor="text1"/>
          <w:sz w:val="20"/>
          <w:szCs w:val="20"/>
          <w:lang w:val="es-ES"/>
        </w:rPr>
        <w:t>en razón de</w:t>
      </w:r>
      <w:proofErr w:type="gramEnd"/>
      <w:r w:rsidRPr="000612C9">
        <w:rPr>
          <w:rFonts w:ascii="Arial" w:hAnsi="Arial" w:cs="Arial"/>
          <w:color w:val="000000" w:themeColor="text1"/>
          <w:sz w:val="20"/>
          <w:szCs w:val="20"/>
          <w:lang w:val="es-ES"/>
        </w:rPr>
        <w:t xml:space="preserve"> la especial consideración que merece el objeto a contratar. Otro ejemplo en este sentido se puede encontrar en el Decreto 544 de 2020 que estableció un régimen de contratación sometido al derecho privado, que no se rige por el Estatuto General de Contratación de la Administración Pública, para los contratos que </w:t>
      </w:r>
      <w:r w:rsidR="00F476A9" w:rsidRPr="000612C9">
        <w:rPr>
          <w:rFonts w:ascii="Arial" w:hAnsi="Arial" w:cs="Arial"/>
          <w:color w:val="000000" w:themeColor="text1"/>
          <w:sz w:val="20"/>
          <w:szCs w:val="20"/>
          <w:lang w:val="es-ES"/>
        </w:rPr>
        <w:t>«</w:t>
      </w:r>
      <w:r w:rsidRPr="000612C9">
        <w:rPr>
          <w:rFonts w:ascii="Arial" w:hAnsi="Arial" w:cs="Arial"/>
          <w:color w:val="000000" w:themeColor="text1"/>
          <w:sz w:val="20"/>
          <w:szCs w:val="20"/>
          <w:lang w:val="es-ES"/>
        </w:rPr>
        <w:t>tengan por objeto la adquisición en el mercado internacional de los elementos que a continuación se indican</w:t>
      </w:r>
      <w:r w:rsidR="00F476A9" w:rsidRPr="000612C9">
        <w:rPr>
          <w:rFonts w:ascii="Arial" w:hAnsi="Arial" w:cs="Arial"/>
          <w:color w:val="000000" w:themeColor="text1"/>
          <w:sz w:val="20"/>
          <w:szCs w:val="20"/>
          <w:lang w:val="es-ES"/>
        </w:rPr>
        <w:t>»</w:t>
      </w:r>
      <w:r w:rsidRPr="000612C9">
        <w:rPr>
          <w:rFonts w:ascii="Arial" w:hAnsi="Arial" w:cs="Arial"/>
          <w:color w:val="000000" w:themeColor="text1"/>
          <w:sz w:val="22"/>
          <w:szCs w:val="22"/>
          <w:lang w:val="es-ES"/>
        </w:rPr>
        <w:t xml:space="preserve">. </w:t>
      </w:r>
    </w:p>
    <w:p w14:paraId="3F3B4500" w14:textId="77777777" w:rsidR="000612C9" w:rsidRPr="000612C9" w:rsidRDefault="000612C9" w:rsidP="000612C9">
      <w:pPr>
        <w:spacing w:before="0" w:after="0" w:line="240" w:lineRule="auto"/>
        <w:rPr>
          <w:rFonts w:ascii="Arial" w:hAnsi="Arial" w:cs="Arial"/>
          <w:b/>
          <w:color w:val="000000" w:themeColor="text1"/>
          <w:sz w:val="20"/>
          <w:szCs w:val="20"/>
          <w:lang w:val="es-ES"/>
        </w:rPr>
      </w:pPr>
    </w:p>
    <w:p w14:paraId="54C17B0E" w14:textId="3EED1CC1" w:rsidR="00D7568C" w:rsidRDefault="00D7568C" w:rsidP="5CFDB913">
      <w:pPr>
        <w:spacing w:line="240" w:lineRule="auto"/>
        <w:rPr>
          <w:rFonts w:ascii="Arial" w:hAnsi="Arial" w:cs="Arial"/>
          <w:b/>
          <w:bCs/>
          <w:color w:val="000000" w:themeColor="text1"/>
          <w:sz w:val="22"/>
          <w:szCs w:val="22"/>
          <w:lang w:val="es-CO"/>
        </w:rPr>
      </w:pPr>
      <w:r w:rsidRPr="5CFDB913">
        <w:rPr>
          <w:rFonts w:ascii="Arial" w:hAnsi="Arial" w:cs="Arial"/>
          <w:b/>
          <w:bCs/>
          <w:color w:val="000000" w:themeColor="text1"/>
          <w:sz w:val="22"/>
          <w:szCs w:val="22"/>
          <w:lang w:val="es-ES"/>
        </w:rPr>
        <w:t>REGÍMEN ESPECIAL</w:t>
      </w:r>
      <w:r w:rsidR="00E271F7" w:rsidRPr="5CFDB913">
        <w:rPr>
          <w:rFonts w:ascii="Arial" w:hAnsi="Arial" w:cs="Arial"/>
          <w:b/>
          <w:bCs/>
          <w:color w:val="000000" w:themeColor="text1"/>
          <w:sz w:val="22"/>
          <w:szCs w:val="22"/>
          <w:lang w:val="es-ES"/>
        </w:rPr>
        <w:t xml:space="preserve"> </w:t>
      </w:r>
      <w:r w:rsidRPr="5CFDB913">
        <w:rPr>
          <w:rFonts w:ascii="Arial" w:hAnsi="Arial" w:cs="Arial"/>
          <w:b/>
          <w:bCs/>
          <w:color w:val="000000" w:themeColor="text1"/>
          <w:sz w:val="22"/>
          <w:szCs w:val="22"/>
          <w:lang w:val="es-CO"/>
        </w:rPr>
        <w:t>–</w:t>
      </w:r>
      <w:r w:rsidR="00E271F7" w:rsidRPr="5CFDB913">
        <w:rPr>
          <w:rFonts w:ascii="Arial" w:hAnsi="Arial" w:cs="Arial"/>
          <w:b/>
          <w:bCs/>
          <w:color w:val="000000" w:themeColor="text1"/>
          <w:sz w:val="22"/>
          <w:szCs w:val="22"/>
          <w:lang w:val="es-CO"/>
        </w:rPr>
        <w:t xml:space="preserve"> </w:t>
      </w:r>
      <w:r w:rsidR="008D572E" w:rsidRPr="5CFDB913">
        <w:rPr>
          <w:rFonts w:ascii="Arial" w:hAnsi="Arial" w:cs="Arial"/>
          <w:b/>
          <w:bCs/>
          <w:color w:val="000000" w:themeColor="text1"/>
          <w:sz w:val="22"/>
          <w:szCs w:val="22"/>
          <w:lang w:val="es-CO"/>
        </w:rPr>
        <w:t>C</w:t>
      </w:r>
      <w:r w:rsidR="00E271F7" w:rsidRPr="5CFDB913">
        <w:rPr>
          <w:rFonts w:ascii="Arial" w:hAnsi="Arial" w:cs="Arial"/>
          <w:b/>
          <w:bCs/>
          <w:color w:val="000000" w:themeColor="text1"/>
          <w:sz w:val="22"/>
          <w:szCs w:val="22"/>
          <w:lang w:val="es-CO"/>
        </w:rPr>
        <w:t>alamidad pública y desastre</w:t>
      </w:r>
      <w:r w:rsidRPr="5CFDB913">
        <w:rPr>
          <w:rFonts w:ascii="Arial" w:hAnsi="Arial" w:cs="Arial"/>
          <w:b/>
          <w:bCs/>
          <w:color w:val="000000" w:themeColor="text1"/>
          <w:sz w:val="22"/>
          <w:szCs w:val="22"/>
          <w:lang w:val="es-CO"/>
        </w:rPr>
        <w:t xml:space="preserve"> </w:t>
      </w:r>
      <w:r w:rsidR="00E271F7" w:rsidRPr="5CFDB913">
        <w:rPr>
          <w:rFonts w:ascii="Arial" w:hAnsi="Arial" w:cs="Arial"/>
          <w:b/>
          <w:bCs/>
          <w:color w:val="000000" w:themeColor="text1"/>
          <w:sz w:val="22"/>
          <w:szCs w:val="22"/>
          <w:lang w:val="es-CO"/>
        </w:rPr>
        <w:t xml:space="preserve">– </w:t>
      </w:r>
      <w:r w:rsidRPr="5CFDB913">
        <w:rPr>
          <w:rFonts w:ascii="Arial" w:hAnsi="Arial" w:cs="Arial"/>
          <w:b/>
          <w:bCs/>
          <w:color w:val="000000" w:themeColor="text1"/>
          <w:sz w:val="22"/>
          <w:szCs w:val="22"/>
          <w:lang w:val="es-CO"/>
        </w:rPr>
        <w:t xml:space="preserve">Derecho privado </w:t>
      </w:r>
      <w:r w:rsidR="144490AE" w:rsidRPr="5CFDB913">
        <w:rPr>
          <w:rFonts w:ascii="Arial" w:hAnsi="Arial" w:cs="Arial"/>
          <w:b/>
          <w:bCs/>
          <w:color w:val="000000" w:themeColor="text1"/>
          <w:sz w:val="22"/>
          <w:szCs w:val="22"/>
          <w:lang w:val="es-CO"/>
        </w:rPr>
        <w:t>– Derecho administrativo</w:t>
      </w:r>
    </w:p>
    <w:p w14:paraId="69C3CCE7" w14:textId="27214C69" w:rsidR="00D7568C" w:rsidRPr="000612C9" w:rsidRDefault="000612C9" w:rsidP="000612C9">
      <w:pPr>
        <w:spacing w:line="240" w:lineRule="auto"/>
        <w:rPr>
          <w:rFonts w:ascii="Arial" w:hAnsi="Arial" w:cs="Arial"/>
          <w:color w:val="000000" w:themeColor="text1"/>
          <w:sz w:val="20"/>
          <w:szCs w:val="20"/>
          <w:lang w:val="es-ES"/>
        </w:rPr>
      </w:pPr>
      <w:r w:rsidRPr="000612C9">
        <w:rPr>
          <w:rFonts w:ascii="Arial" w:hAnsi="Arial" w:cs="Arial"/>
          <w:color w:val="000000" w:themeColor="text1"/>
          <w:sz w:val="20"/>
          <w:szCs w:val="20"/>
          <w:lang w:val="es-ES"/>
        </w:rPr>
        <w:t>[…] e</w:t>
      </w:r>
      <w:r w:rsidR="00D7568C" w:rsidRPr="000612C9">
        <w:rPr>
          <w:rFonts w:ascii="Arial" w:hAnsi="Arial" w:cs="Arial"/>
          <w:color w:val="000000" w:themeColor="text1"/>
          <w:sz w:val="20"/>
          <w:szCs w:val="20"/>
          <w:lang w:val="es-ES"/>
        </w:rPr>
        <w:t>l régimen de derecho privado que</w:t>
      </w:r>
      <w:r w:rsidR="003073C0" w:rsidRPr="000612C9">
        <w:rPr>
          <w:rFonts w:ascii="Arial" w:hAnsi="Arial" w:cs="Arial"/>
          <w:color w:val="000000" w:themeColor="text1"/>
          <w:sz w:val="20"/>
          <w:szCs w:val="20"/>
          <w:lang w:val="es-ES"/>
        </w:rPr>
        <w:t>,</w:t>
      </w:r>
      <w:r w:rsidR="00D7568C" w:rsidRPr="000612C9">
        <w:rPr>
          <w:rFonts w:ascii="Arial" w:hAnsi="Arial" w:cs="Arial"/>
          <w:color w:val="000000" w:themeColor="text1"/>
          <w:sz w:val="20"/>
          <w:szCs w:val="20"/>
          <w:lang w:val="es-ES"/>
        </w:rPr>
        <w:t xml:space="preserve"> por regla general</w:t>
      </w:r>
      <w:r w:rsidR="003073C0" w:rsidRPr="000612C9">
        <w:rPr>
          <w:rFonts w:ascii="Arial" w:hAnsi="Arial" w:cs="Arial"/>
          <w:color w:val="000000" w:themeColor="text1"/>
          <w:sz w:val="20"/>
          <w:szCs w:val="20"/>
          <w:lang w:val="es-ES"/>
        </w:rPr>
        <w:t>,</w:t>
      </w:r>
      <w:r w:rsidR="00D7568C" w:rsidRPr="000612C9">
        <w:rPr>
          <w:rFonts w:ascii="Arial" w:hAnsi="Arial" w:cs="Arial"/>
          <w:color w:val="000000" w:themeColor="text1"/>
          <w:sz w:val="20"/>
          <w:szCs w:val="20"/>
          <w:lang w:val="es-ES"/>
        </w:rPr>
        <w:t xml:space="preserve"> caracteriza a los regímenes especiales no significa que no existan </w:t>
      </w:r>
      <w:r w:rsidR="003073C0" w:rsidRPr="000612C9">
        <w:rPr>
          <w:rFonts w:ascii="Arial" w:hAnsi="Arial" w:cs="Arial"/>
          <w:color w:val="000000" w:themeColor="text1"/>
          <w:sz w:val="20"/>
          <w:szCs w:val="20"/>
          <w:lang w:val="es-ES"/>
        </w:rPr>
        <w:t>«</w:t>
      </w:r>
      <w:r w:rsidR="00D7568C" w:rsidRPr="000612C9">
        <w:rPr>
          <w:rFonts w:ascii="Arial" w:hAnsi="Arial" w:cs="Arial"/>
          <w:color w:val="000000" w:themeColor="text1"/>
          <w:sz w:val="20"/>
          <w:szCs w:val="20"/>
          <w:lang w:val="es-ES"/>
        </w:rPr>
        <w:t>dosis</w:t>
      </w:r>
      <w:r w:rsidR="003073C0" w:rsidRPr="000612C9">
        <w:rPr>
          <w:rFonts w:ascii="Arial" w:hAnsi="Arial" w:cs="Arial"/>
          <w:color w:val="000000" w:themeColor="text1"/>
          <w:sz w:val="20"/>
          <w:szCs w:val="20"/>
          <w:lang w:val="es-ES"/>
        </w:rPr>
        <w:t xml:space="preserve">» </w:t>
      </w:r>
      <w:r w:rsidR="00D7568C" w:rsidRPr="000612C9">
        <w:rPr>
          <w:rFonts w:ascii="Arial" w:hAnsi="Arial" w:cs="Arial"/>
          <w:color w:val="000000" w:themeColor="text1"/>
          <w:sz w:val="20"/>
          <w:szCs w:val="20"/>
          <w:lang w:val="es-ES"/>
        </w:rPr>
        <w:t>de derecho público</w:t>
      </w:r>
      <w:r w:rsidR="003073C0" w:rsidRPr="000612C9">
        <w:rPr>
          <w:rFonts w:ascii="Arial" w:hAnsi="Arial" w:cs="Arial"/>
          <w:color w:val="000000" w:themeColor="text1"/>
          <w:sz w:val="20"/>
          <w:szCs w:val="20"/>
          <w:lang w:val="es-ES"/>
        </w:rPr>
        <w:t>-</w:t>
      </w:r>
      <w:r w:rsidR="00D7568C" w:rsidRPr="000612C9">
        <w:rPr>
          <w:rFonts w:ascii="Arial" w:hAnsi="Arial" w:cs="Arial"/>
          <w:color w:val="000000" w:themeColor="text1"/>
          <w:sz w:val="20"/>
          <w:szCs w:val="20"/>
          <w:lang w:val="es-ES"/>
        </w:rPr>
        <w:t>administrativo</w:t>
      </w:r>
      <w:r w:rsidR="003073C0" w:rsidRPr="000612C9">
        <w:rPr>
          <w:rFonts w:ascii="Arial" w:hAnsi="Arial" w:cs="Arial"/>
          <w:color w:val="000000" w:themeColor="text1"/>
          <w:sz w:val="20"/>
          <w:szCs w:val="20"/>
          <w:lang w:val="es-ES"/>
        </w:rPr>
        <w:t>,</w:t>
      </w:r>
      <w:r w:rsidR="00D7568C" w:rsidRPr="000612C9">
        <w:rPr>
          <w:rFonts w:ascii="Arial" w:hAnsi="Arial" w:cs="Arial"/>
          <w:color w:val="000000" w:themeColor="text1"/>
          <w:sz w:val="20"/>
          <w:szCs w:val="20"/>
          <w:lang w:val="es-ES"/>
        </w:rPr>
        <w:t xml:space="preserve"> que tienen como fin último garantizar que los regímenes especiales de contratación también se ordenen hacia la consecución de los fines del </w:t>
      </w:r>
      <w:r w:rsidR="001F4F5C" w:rsidRPr="000612C9">
        <w:rPr>
          <w:rFonts w:ascii="Arial" w:hAnsi="Arial" w:cs="Arial"/>
          <w:color w:val="000000" w:themeColor="text1"/>
          <w:sz w:val="20"/>
          <w:szCs w:val="20"/>
          <w:lang w:val="es-ES"/>
        </w:rPr>
        <w:t>E</w:t>
      </w:r>
      <w:r w:rsidR="00D7568C" w:rsidRPr="000612C9">
        <w:rPr>
          <w:rFonts w:ascii="Arial" w:hAnsi="Arial" w:cs="Arial"/>
          <w:color w:val="000000" w:themeColor="text1"/>
          <w:sz w:val="20"/>
          <w:szCs w:val="20"/>
          <w:lang w:val="es-ES"/>
        </w:rPr>
        <w:t>stado.</w:t>
      </w:r>
    </w:p>
    <w:p w14:paraId="18199D6E" w14:textId="437D2984" w:rsidR="00D7568C" w:rsidRPr="000612C9" w:rsidRDefault="00D7568C" w:rsidP="000612C9">
      <w:pPr>
        <w:spacing w:before="0" w:after="0" w:line="240" w:lineRule="auto"/>
        <w:rPr>
          <w:rFonts w:ascii="Arial" w:hAnsi="Arial" w:cs="Arial"/>
          <w:color w:val="000000" w:themeColor="text1"/>
          <w:sz w:val="20"/>
          <w:szCs w:val="20"/>
          <w:lang w:val="es-ES"/>
        </w:rPr>
      </w:pPr>
      <w:r w:rsidRPr="000612C9">
        <w:rPr>
          <w:rFonts w:ascii="Arial" w:hAnsi="Arial" w:cs="Arial"/>
          <w:color w:val="000000" w:themeColor="text1"/>
          <w:sz w:val="20"/>
          <w:szCs w:val="20"/>
          <w:lang w:val="es-ES"/>
        </w:rPr>
        <w:t xml:space="preserve">Estas </w:t>
      </w:r>
      <w:r w:rsidR="001F4F5C" w:rsidRPr="000612C9">
        <w:rPr>
          <w:rFonts w:ascii="Arial" w:hAnsi="Arial" w:cs="Arial"/>
          <w:color w:val="000000" w:themeColor="text1"/>
          <w:sz w:val="20"/>
          <w:szCs w:val="20"/>
          <w:lang w:val="es-ES"/>
        </w:rPr>
        <w:t>«</w:t>
      </w:r>
      <w:r w:rsidRPr="000612C9">
        <w:rPr>
          <w:rFonts w:ascii="Arial" w:hAnsi="Arial" w:cs="Arial"/>
          <w:color w:val="000000" w:themeColor="text1"/>
          <w:sz w:val="20"/>
          <w:szCs w:val="20"/>
          <w:lang w:val="es-ES"/>
        </w:rPr>
        <w:t>dosis</w:t>
      </w:r>
      <w:r w:rsidR="001F4F5C" w:rsidRPr="000612C9">
        <w:rPr>
          <w:rFonts w:ascii="Arial" w:hAnsi="Arial" w:cs="Arial"/>
          <w:color w:val="000000" w:themeColor="text1"/>
          <w:sz w:val="20"/>
          <w:szCs w:val="20"/>
          <w:lang w:val="es-ES"/>
        </w:rPr>
        <w:t xml:space="preserve">» </w:t>
      </w:r>
      <w:r w:rsidRPr="000612C9">
        <w:rPr>
          <w:rFonts w:ascii="Arial" w:hAnsi="Arial" w:cs="Arial"/>
          <w:color w:val="000000" w:themeColor="text1"/>
          <w:sz w:val="20"/>
          <w:szCs w:val="20"/>
          <w:lang w:val="es-ES"/>
        </w:rPr>
        <w:t>de derecho administrativo encuentran su manifestación tanto en la forma de reglas como en la forma de principios aplicables al régimen especial. En relación con este segundo tipo</w:t>
      </w:r>
      <w:r w:rsidR="00E41823" w:rsidRPr="000612C9">
        <w:rPr>
          <w:rFonts w:ascii="Arial" w:hAnsi="Arial" w:cs="Arial"/>
          <w:color w:val="000000" w:themeColor="text1"/>
          <w:sz w:val="20"/>
          <w:szCs w:val="20"/>
          <w:lang w:val="es-ES"/>
        </w:rPr>
        <w:t>,</w:t>
      </w:r>
      <w:r w:rsidRPr="000612C9">
        <w:rPr>
          <w:rFonts w:ascii="Arial" w:hAnsi="Arial" w:cs="Arial"/>
          <w:color w:val="000000" w:themeColor="text1"/>
          <w:sz w:val="20"/>
          <w:szCs w:val="20"/>
          <w:lang w:val="es-ES"/>
        </w:rPr>
        <w:t xml:space="preserve"> esto es, principios aplicables a regímenes especiales de contratación, la norma por antonomasia en el asunto es el artículo 13 de la Ley 1150 de 2007</w:t>
      </w:r>
      <w:r w:rsidR="000612C9" w:rsidRPr="000612C9">
        <w:rPr>
          <w:rFonts w:ascii="Arial" w:hAnsi="Arial" w:cs="Arial"/>
          <w:color w:val="000000" w:themeColor="text1"/>
          <w:sz w:val="20"/>
          <w:szCs w:val="20"/>
          <w:lang w:val="es-ES"/>
        </w:rPr>
        <w:t>.</w:t>
      </w:r>
    </w:p>
    <w:p w14:paraId="3689A1D0" w14:textId="77777777" w:rsidR="00D7568C" w:rsidRPr="000612C9" w:rsidRDefault="00D7568C" w:rsidP="000612C9">
      <w:pPr>
        <w:spacing w:before="0" w:after="0" w:line="240" w:lineRule="auto"/>
        <w:rPr>
          <w:rFonts w:ascii="Arial" w:hAnsi="Arial" w:cs="Arial"/>
          <w:bCs/>
          <w:color w:val="000000" w:themeColor="text1"/>
          <w:sz w:val="20"/>
          <w:szCs w:val="20"/>
          <w:lang w:val="es-ES"/>
        </w:rPr>
      </w:pPr>
    </w:p>
    <w:p w14:paraId="736FE010" w14:textId="4ACD40CC" w:rsidR="00D7568C" w:rsidRPr="000612C9" w:rsidRDefault="00550301" w:rsidP="000612C9">
      <w:pPr>
        <w:spacing w:before="0" w:after="0" w:line="240" w:lineRule="auto"/>
        <w:rPr>
          <w:rFonts w:ascii="Arial" w:hAnsi="Arial" w:cs="Arial"/>
          <w:b/>
          <w:bCs/>
          <w:color w:val="000000" w:themeColor="text1"/>
          <w:sz w:val="22"/>
          <w:lang w:val="es-ES"/>
        </w:rPr>
      </w:pPr>
      <w:r>
        <w:rPr>
          <w:rFonts w:ascii="Arial" w:hAnsi="Arial" w:cs="Arial"/>
          <w:b/>
          <w:bCs/>
          <w:color w:val="000000" w:themeColor="text1"/>
          <w:sz w:val="22"/>
          <w:lang w:val="es-ES"/>
        </w:rPr>
        <w:t xml:space="preserve">SECOP </w:t>
      </w:r>
      <w:r w:rsidR="008D572E" w:rsidRPr="000612C9">
        <w:rPr>
          <w:rFonts w:ascii="Arial" w:hAnsi="Arial" w:cs="Arial"/>
          <w:b/>
          <w:bCs/>
          <w:color w:val="000000" w:themeColor="text1"/>
          <w:sz w:val="22"/>
          <w:lang w:val="es-ES"/>
        </w:rPr>
        <w:t>–</w:t>
      </w:r>
      <w:r w:rsidR="00D7568C" w:rsidRPr="000612C9">
        <w:rPr>
          <w:rFonts w:ascii="Arial" w:hAnsi="Arial" w:cs="Arial"/>
          <w:b/>
          <w:bCs/>
          <w:color w:val="000000" w:themeColor="text1"/>
          <w:sz w:val="22"/>
          <w:lang w:val="es-ES"/>
        </w:rPr>
        <w:t xml:space="preserve"> Publicidad – Recursos </w:t>
      </w:r>
      <w:r w:rsidR="00CD5576" w:rsidRPr="000612C9">
        <w:rPr>
          <w:rFonts w:ascii="Arial" w:hAnsi="Arial" w:cs="Arial"/>
          <w:b/>
          <w:bCs/>
          <w:color w:val="000000" w:themeColor="text1"/>
          <w:sz w:val="22"/>
          <w:lang w:val="es-ES"/>
        </w:rPr>
        <w:t>p</w:t>
      </w:r>
      <w:r w:rsidR="00D7568C" w:rsidRPr="000612C9">
        <w:rPr>
          <w:rFonts w:ascii="Arial" w:hAnsi="Arial" w:cs="Arial"/>
          <w:b/>
          <w:bCs/>
          <w:color w:val="000000" w:themeColor="text1"/>
          <w:sz w:val="22"/>
          <w:lang w:val="es-ES"/>
        </w:rPr>
        <w:t xml:space="preserve">úblicos </w:t>
      </w:r>
    </w:p>
    <w:p w14:paraId="26DFCCED" w14:textId="72C56F5E" w:rsidR="00D7568C" w:rsidRPr="000612C9" w:rsidRDefault="00D7568C" w:rsidP="000612C9">
      <w:pPr>
        <w:spacing w:before="0" w:after="0" w:line="240" w:lineRule="auto"/>
        <w:rPr>
          <w:rFonts w:ascii="Arial" w:hAnsi="Arial" w:cs="Arial"/>
          <w:color w:val="000000" w:themeColor="text1"/>
          <w:sz w:val="20"/>
          <w:szCs w:val="20"/>
          <w:lang w:val="es-ES"/>
        </w:rPr>
      </w:pPr>
    </w:p>
    <w:p w14:paraId="31404880" w14:textId="31F9E25F" w:rsidR="000612C9" w:rsidRPr="000612C9" w:rsidRDefault="00D7568C" w:rsidP="00B60BC4">
      <w:pPr>
        <w:spacing w:before="0" w:after="0" w:line="240" w:lineRule="auto"/>
        <w:rPr>
          <w:rFonts w:ascii="Arial" w:hAnsi="Arial" w:cs="Arial"/>
          <w:color w:val="000000" w:themeColor="text1"/>
          <w:sz w:val="22"/>
          <w:lang w:val="es-ES"/>
        </w:rPr>
      </w:pPr>
      <w:r w:rsidRPr="000612C9">
        <w:rPr>
          <w:rFonts w:ascii="Arial" w:hAnsi="Arial" w:cs="Arial"/>
          <w:color w:val="000000" w:themeColor="text1"/>
          <w:sz w:val="20"/>
          <w:szCs w:val="20"/>
          <w:lang w:val="es-ES"/>
        </w:rPr>
        <w:t>El criterio último para resolver cuestionamientos sobre la publicidad en el SECOP no es el tipo de entidad, o el régimen jurídico del respectivo contrato estatal, sino la presencia de recursos públicos en ese contrato en particular. Por lo mismo, las entidades que</w:t>
      </w:r>
      <w:r w:rsidR="00CD5576" w:rsidRPr="000612C9">
        <w:rPr>
          <w:rFonts w:ascii="Arial" w:hAnsi="Arial" w:cs="Arial"/>
          <w:color w:val="000000" w:themeColor="text1"/>
          <w:sz w:val="20"/>
          <w:szCs w:val="20"/>
          <w:lang w:val="es-ES"/>
        </w:rPr>
        <w:t>,</w:t>
      </w:r>
      <w:r w:rsidRPr="000612C9">
        <w:rPr>
          <w:rFonts w:ascii="Arial" w:hAnsi="Arial" w:cs="Arial"/>
          <w:color w:val="000000" w:themeColor="text1"/>
          <w:sz w:val="20"/>
          <w:szCs w:val="20"/>
          <w:lang w:val="es-ES"/>
        </w:rPr>
        <w:t xml:space="preserve"> como consecuencia del artículo 66 de la Ley 1523 de 2012</w:t>
      </w:r>
      <w:r w:rsidR="00CD5576" w:rsidRPr="000612C9">
        <w:rPr>
          <w:rFonts w:ascii="Arial" w:hAnsi="Arial" w:cs="Arial"/>
          <w:color w:val="000000" w:themeColor="text1"/>
          <w:sz w:val="20"/>
          <w:szCs w:val="20"/>
          <w:lang w:val="es-ES"/>
        </w:rPr>
        <w:t>,</w:t>
      </w:r>
      <w:r w:rsidRPr="000612C9">
        <w:rPr>
          <w:rFonts w:ascii="Arial" w:hAnsi="Arial" w:cs="Arial"/>
          <w:color w:val="000000" w:themeColor="text1"/>
          <w:sz w:val="20"/>
          <w:szCs w:val="20"/>
          <w:lang w:val="es-ES"/>
        </w:rPr>
        <w:t xml:space="preserve"> pueden, para los objetos allí señalados, contratar con sometimiento </w:t>
      </w:r>
      <w:r w:rsidR="00CD5576" w:rsidRPr="000612C9">
        <w:rPr>
          <w:rFonts w:ascii="Arial" w:hAnsi="Arial" w:cs="Arial"/>
          <w:color w:val="000000" w:themeColor="text1"/>
          <w:sz w:val="20"/>
          <w:szCs w:val="20"/>
          <w:lang w:val="es-ES"/>
        </w:rPr>
        <w:t>«</w:t>
      </w:r>
      <w:r w:rsidRPr="000612C9">
        <w:rPr>
          <w:rFonts w:ascii="Arial" w:hAnsi="Arial" w:cs="Arial"/>
          <w:color w:val="000000" w:themeColor="text1"/>
          <w:sz w:val="20"/>
          <w:szCs w:val="20"/>
          <w:lang w:val="es-ES"/>
        </w:rPr>
        <w:t>a los requisitos y formalidades que exige la ley para la contratación entre particulares</w:t>
      </w:r>
      <w:r w:rsidR="00CD5576" w:rsidRPr="000612C9">
        <w:rPr>
          <w:rFonts w:ascii="Arial" w:hAnsi="Arial" w:cs="Arial"/>
          <w:color w:val="000000" w:themeColor="text1"/>
          <w:sz w:val="20"/>
          <w:szCs w:val="20"/>
          <w:lang w:val="es-ES"/>
        </w:rPr>
        <w:t xml:space="preserve">» </w:t>
      </w:r>
      <w:r w:rsidRPr="000612C9">
        <w:rPr>
          <w:rFonts w:ascii="Arial" w:hAnsi="Arial" w:cs="Arial"/>
          <w:color w:val="000000" w:themeColor="text1"/>
          <w:sz w:val="20"/>
          <w:szCs w:val="20"/>
          <w:lang w:val="es-ES"/>
        </w:rPr>
        <w:t xml:space="preserve">deben publicar su actividad contractual en el SECOP como consecuencia de estar contratando con cargo a recursos públicos. </w:t>
      </w:r>
    </w:p>
    <w:p w14:paraId="153F6AEC" w14:textId="01EA185C" w:rsidR="00D7568C" w:rsidRDefault="00D7568C" w:rsidP="00B60BC4">
      <w:pPr>
        <w:spacing w:before="0" w:after="0" w:line="240" w:lineRule="auto"/>
        <w:rPr>
          <w:rFonts w:ascii="Arial" w:hAnsi="Arial" w:cs="Arial"/>
          <w:color w:val="000000" w:themeColor="text1"/>
          <w:sz w:val="22"/>
          <w:lang w:val="es-CO"/>
        </w:rPr>
      </w:pPr>
    </w:p>
    <w:p w14:paraId="0CB522C5" w14:textId="1C038C87" w:rsidR="00B60BC4" w:rsidRDefault="00B60BC4" w:rsidP="00B60BC4">
      <w:pPr>
        <w:spacing w:before="0" w:after="0" w:line="240" w:lineRule="auto"/>
        <w:rPr>
          <w:rFonts w:ascii="Arial" w:hAnsi="Arial" w:cs="Arial"/>
          <w:color w:val="000000" w:themeColor="text1"/>
          <w:sz w:val="22"/>
          <w:lang w:val="es-CO"/>
        </w:rPr>
      </w:pPr>
    </w:p>
    <w:p w14:paraId="4F32E0EA" w14:textId="6DEB3F58" w:rsidR="00B60BC4" w:rsidRDefault="00B60BC4" w:rsidP="00B60BC4">
      <w:pPr>
        <w:spacing w:before="0" w:after="0" w:line="240" w:lineRule="auto"/>
        <w:rPr>
          <w:rFonts w:ascii="Arial" w:hAnsi="Arial" w:cs="Arial"/>
          <w:color w:val="000000" w:themeColor="text1"/>
          <w:sz w:val="22"/>
          <w:lang w:val="es-CO"/>
        </w:rPr>
      </w:pPr>
    </w:p>
    <w:p w14:paraId="74E9FC51" w14:textId="77777777" w:rsidR="00B60BC4" w:rsidRDefault="00B60BC4" w:rsidP="00B60BC4">
      <w:pPr>
        <w:spacing w:before="0" w:after="0" w:line="240" w:lineRule="auto"/>
        <w:rPr>
          <w:rFonts w:ascii="Arial" w:hAnsi="Arial" w:cs="Arial"/>
          <w:color w:val="000000" w:themeColor="text1"/>
          <w:sz w:val="22"/>
          <w:lang w:val="es-CO"/>
        </w:rPr>
      </w:pPr>
    </w:p>
    <w:p w14:paraId="72996F3B" w14:textId="77777777" w:rsidR="00B60BC4" w:rsidRPr="000612C9" w:rsidRDefault="00B60BC4" w:rsidP="00B60BC4">
      <w:pPr>
        <w:spacing w:before="0" w:after="0" w:line="240" w:lineRule="auto"/>
        <w:rPr>
          <w:rFonts w:ascii="Arial" w:hAnsi="Arial" w:cs="Arial"/>
          <w:color w:val="000000" w:themeColor="text1"/>
          <w:sz w:val="22"/>
          <w:lang w:val="es-CO"/>
        </w:rPr>
      </w:pPr>
    </w:p>
    <w:p w14:paraId="6552CD40" w14:textId="4D0D1693" w:rsidR="00E54365" w:rsidRPr="000612C9" w:rsidRDefault="00E54365" w:rsidP="00B60BC4">
      <w:pPr>
        <w:spacing w:before="0" w:after="0" w:line="240" w:lineRule="auto"/>
        <w:rPr>
          <w:rFonts w:ascii="Arial" w:hAnsi="Arial" w:cs="Arial"/>
          <w:color w:val="000000" w:themeColor="text1"/>
          <w:sz w:val="22"/>
        </w:rPr>
      </w:pPr>
      <w:r w:rsidRPr="000612C9">
        <w:rPr>
          <w:rFonts w:ascii="Arial" w:hAnsi="Arial" w:cs="Arial"/>
          <w:color w:val="000000" w:themeColor="text1"/>
          <w:sz w:val="22"/>
        </w:rPr>
        <w:lastRenderedPageBreak/>
        <w:t xml:space="preserve">Bogotá D.C, </w:t>
      </w:r>
      <w:r w:rsidR="00A651E4" w:rsidRPr="000612C9">
        <w:rPr>
          <w:rFonts w:ascii="Arial" w:hAnsi="Arial" w:cs="Arial"/>
          <w:b/>
          <w:color w:val="000000" w:themeColor="text1"/>
          <w:sz w:val="22"/>
        </w:rPr>
        <w:t>20/05/2020 5:</w:t>
      </w:r>
      <w:r w:rsidR="005259BA" w:rsidRPr="000612C9">
        <w:rPr>
          <w:rFonts w:ascii="Arial" w:hAnsi="Arial" w:cs="Arial"/>
          <w:b/>
          <w:color w:val="000000" w:themeColor="text1"/>
          <w:sz w:val="22"/>
        </w:rPr>
        <w:t>06:38</w:t>
      </w:r>
      <w:r w:rsidR="00A651E4" w:rsidRPr="000612C9">
        <w:rPr>
          <w:rFonts w:ascii="Arial" w:hAnsi="Arial" w:cs="Arial"/>
          <w:b/>
          <w:color w:val="000000" w:themeColor="text1"/>
          <w:sz w:val="22"/>
        </w:rPr>
        <w:t xml:space="preserve"> p.m.</w:t>
      </w:r>
      <w:r w:rsidRPr="000612C9">
        <w:rPr>
          <w:rFonts w:ascii="Arial" w:hAnsi="Arial" w:cs="Arial"/>
          <w:color w:val="000000" w:themeColor="text1"/>
          <w:sz w:val="22"/>
        </w:rPr>
        <w:t xml:space="preserve"> </w:t>
      </w:r>
    </w:p>
    <w:p w14:paraId="34990AE9" w14:textId="0A5911CC" w:rsidR="00E54365" w:rsidRPr="000612C9" w:rsidRDefault="00E54365" w:rsidP="002339D3">
      <w:pPr>
        <w:spacing w:before="0" w:after="0" w:line="240" w:lineRule="auto"/>
        <w:jc w:val="right"/>
        <w:rPr>
          <w:rFonts w:ascii="Arial" w:hAnsi="Arial" w:cs="Arial"/>
          <w:b/>
          <w:color w:val="000000" w:themeColor="text1"/>
          <w:sz w:val="22"/>
          <w:lang w:val="es-CO"/>
        </w:rPr>
      </w:pPr>
      <w:r w:rsidRPr="000612C9">
        <w:rPr>
          <w:rFonts w:ascii="Arial" w:hAnsi="Arial" w:cs="Arial"/>
          <w:b/>
          <w:color w:val="000000" w:themeColor="text1"/>
          <w:sz w:val="22"/>
          <w:lang w:val="es-CO"/>
        </w:rPr>
        <w:t xml:space="preserve">No. Radicado. </w:t>
      </w:r>
      <w:r w:rsidR="005259BA" w:rsidRPr="000612C9">
        <w:rPr>
          <w:rFonts w:ascii="Arial" w:hAnsi="Arial" w:cs="Arial"/>
          <w:b/>
          <w:noProof/>
          <w:color w:val="000000" w:themeColor="text1"/>
          <w:sz w:val="22"/>
          <w:lang w:val="es-ES"/>
        </w:rPr>
        <w:t>2202013000003953</w:t>
      </w:r>
    </w:p>
    <w:p w14:paraId="69EE9C2B" w14:textId="77777777" w:rsidR="00B60BC4" w:rsidRDefault="00E54365" w:rsidP="002339D3">
      <w:pPr>
        <w:spacing w:before="0" w:after="0" w:line="240" w:lineRule="auto"/>
        <w:rPr>
          <w:rFonts w:ascii="Arial" w:hAnsi="Arial" w:cs="Arial"/>
          <w:color w:val="000000" w:themeColor="text1"/>
          <w:sz w:val="22"/>
          <w:lang w:val="es-CO"/>
        </w:rPr>
      </w:pPr>
      <w:r w:rsidRPr="000612C9">
        <w:rPr>
          <w:rFonts w:ascii="Arial" w:hAnsi="Arial" w:cs="Arial"/>
          <w:color w:val="000000" w:themeColor="text1"/>
          <w:sz w:val="22"/>
          <w:lang w:val="es-CO"/>
        </w:rPr>
        <w:t xml:space="preserve">Señor </w:t>
      </w:r>
    </w:p>
    <w:p w14:paraId="4D59800B" w14:textId="306D3DF5" w:rsidR="00E54365" w:rsidRPr="000612C9" w:rsidRDefault="00813988" w:rsidP="002339D3">
      <w:pPr>
        <w:spacing w:before="0" w:after="0" w:line="240" w:lineRule="auto"/>
        <w:rPr>
          <w:rFonts w:ascii="Arial" w:hAnsi="Arial" w:cs="Arial"/>
          <w:b/>
          <w:color w:val="000000" w:themeColor="text1"/>
          <w:sz w:val="22"/>
          <w:lang w:val="es-CO"/>
        </w:rPr>
      </w:pPr>
      <w:r w:rsidRPr="000612C9">
        <w:rPr>
          <w:rFonts w:ascii="Arial" w:hAnsi="Arial" w:cs="Arial"/>
          <w:b/>
          <w:color w:val="000000" w:themeColor="text1"/>
          <w:sz w:val="22"/>
          <w:lang w:val="es-ES"/>
        </w:rPr>
        <w:t>WILLIAM RICARDO PRIETO LEÓN</w:t>
      </w:r>
    </w:p>
    <w:p w14:paraId="64EE07F7" w14:textId="77777777" w:rsidR="00E54365" w:rsidRPr="000612C9" w:rsidRDefault="00E54365" w:rsidP="002339D3">
      <w:pPr>
        <w:spacing w:before="0" w:after="0" w:line="240" w:lineRule="auto"/>
        <w:rPr>
          <w:rFonts w:ascii="Arial" w:hAnsi="Arial" w:cs="Arial"/>
          <w:color w:val="000000" w:themeColor="text1"/>
          <w:sz w:val="22"/>
          <w:lang w:val="es-CO"/>
        </w:rPr>
      </w:pPr>
    </w:p>
    <w:p w14:paraId="1AB4735D" w14:textId="77777777" w:rsidR="00E54365" w:rsidRPr="000612C9" w:rsidRDefault="00E54365" w:rsidP="002339D3">
      <w:pPr>
        <w:spacing w:before="0" w:after="0" w:line="240" w:lineRule="auto"/>
        <w:jc w:val="center"/>
        <w:rPr>
          <w:rFonts w:ascii="Arial" w:hAnsi="Arial" w:cs="Arial"/>
          <w:color w:val="000000" w:themeColor="text1"/>
          <w:sz w:val="22"/>
          <w:lang w:val="es-CO"/>
        </w:rPr>
      </w:pPr>
    </w:p>
    <w:p w14:paraId="17BA6817" w14:textId="197155E2" w:rsidR="00E54365" w:rsidRPr="000612C9" w:rsidRDefault="00E54365" w:rsidP="002339D3">
      <w:pPr>
        <w:spacing w:before="0" w:after="0" w:line="240" w:lineRule="auto"/>
        <w:ind w:left="2124" w:firstLine="708"/>
        <w:rPr>
          <w:rFonts w:ascii="Arial" w:hAnsi="Arial" w:cs="Arial"/>
          <w:b/>
          <w:bCs/>
          <w:color w:val="000000" w:themeColor="text1"/>
          <w:sz w:val="22"/>
          <w:lang w:val="es-CO"/>
        </w:rPr>
      </w:pPr>
      <w:r w:rsidRPr="000612C9">
        <w:rPr>
          <w:rFonts w:ascii="Arial" w:hAnsi="Arial" w:cs="Arial"/>
          <w:b/>
          <w:bCs/>
          <w:color w:val="000000" w:themeColor="text1"/>
          <w:sz w:val="22"/>
          <w:lang w:val="es-CO"/>
        </w:rPr>
        <w:t>Concepto C</w:t>
      </w:r>
      <w:proofErr w:type="gramStart"/>
      <w:r w:rsidRPr="000612C9">
        <w:rPr>
          <w:rFonts w:ascii="Arial" w:hAnsi="Arial" w:cs="Arial"/>
          <w:b/>
          <w:bCs/>
          <w:color w:val="000000" w:themeColor="text1"/>
          <w:sz w:val="22"/>
          <w:lang w:val="es-CO"/>
        </w:rPr>
        <w:t xml:space="preserve">-  </w:t>
      </w:r>
      <w:r w:rsidR="00C366C4" w:rsidRPr="000612C9">
        <w:rPr>
          <w:rFonts w:ascii="Arial" w:hAnsi="Arial" w:cs="Arial"/>
          <w:b/>
          <w:bCs/>
          <w:color w:val="000000" w:themeColor="text1"/>
          <w:sz w:val="22"/>
          <w:lang w:val="es-CO"/>
        </w:rPr>
        <w:t>298</w:t>
      </w:r>
      <w:proofErr w:type="gramEnd"/>
      <w:r w:rsidRPr="000612C9">
        <w:rPr>
          <w:rFonts w:ascii="Arial" w:hAnsi="Arial" w:cs="Arial"/>
          <w:b/>
          <w:bCs/>
          <w:color w:val="000000" w:themeColor="text1"/>
          <w:sz w:val="22"/>
          <w:lang w:val="es-CO"/>
        </w:rPr>
        <w:t xml:space="preserve">  de 2020</w:t>
      </w:r>
    </w:p>
    <w:p w14:paraId="1F1A4E1E" w14:textId="77777777" w:rsidR="002339D3" w:rsidRPr="000612C9" w:rsidRDefault="002339D3" w:rsidP="002339D3">
      <w:pPr>
        <w:spacing w:before="0" w:after="0" w:line="240" w:lineRule="auto"/>
        <w:rPr>
          <w:rFonts w:ascii="Arial" w:hAnsi="Arial" w:cs="Arial"/>
          <w:color w:val="000000" w:themeColor="text1"/>
          <w:sz w:val="22"/>
          <w:lang w:val="es-CO"/>
        </w:rPr>
      </w:pPr>
    </w:p>
    <w:p w14:paraId="653801C3" w14:textId="342015C6" w:rsidR="00E54365" w:rsidRPr="000612C9" w:rsidRDefault="00E54365" w:rsidP="00255215">
      <w:pPr>
        <w:spacing w:before="0" w:after="0" w:line="240" w:lineRule="auto"/>
        <w:ind w:left="2835" w:hanging="2835"/>
        <w:rPr>
          <w:rFonts w:ascii="Arial" w:eastAsia="Calibri" w:hAnsi="Arial" w:cs="Arial"/>
          <w:bCs/>
          <w:noProof/>
          <w:color w:val="000000" w:themeColor="text1"/>
          <w:sz w:val="22"/>
          <w:szCs w:val="22"/>
          <w:lang w:val="es-ES" w:eastAsia="en-US"/>
        </w:rPr>
      </w:pPr>
      <w:r w:rsidRPr="000612C9">
        <w:rPr>
          <w:rFonts w:ascii="Arial" w:eastAsia="Calibri" w:hAnsi="Arial" w:cs="Arial"/>
          <w:b/>
          <w:noProof/>
          <w:color w:val="000000" w:themeColor="text1"/>
          <w:sz w:val="22"/>
          <w:szCs w:val="22"/>
          <w:lang w:val="es-ES" w:eastAsia="en-US"/>
        </w:rPr>
        <w:t>Temas</w:t>
      </w:r>
      <w:r w:rsidRPr="000612C9">
        <w:rPr>
          <w:rFonts w:ascii="Arial" w:eastAsia="Calibri" w:hAnsi="Arial" w:cs="Arial"/>
          <w:bCs/>
          <w:noProof/>
          <w:color w:val="000000" w:themeColor="text1"/>
          <w:sz w:val="22"/>
          <w:szCs w:val="22"/>
          <w:lang w:val="es-ES" w:eastAsia="en-US"/>
        </w:rPr>
        <w:t xml:space="preserve">: </w:t>
      </w:r>
      <w:r w:rsidRPr="000612C9">
        <w:rPr>
          <w:rFonts w:ascii="Arial" w:eastAsia="Calibri" w:hAnsi="Arial" w:cs="Arial"/>
          <w:bCs/>
          <w:noProof/>
          <w:color w:val="000000" w:themeColor="text1"/>
          <w:sz w:val="22"/>
          <w:szCs w:val="22"/>
          <w:lang w:val="es-ES" w:eastAsia="en-US"/>
        </w:rPr>
        <w:tab/>
      </w:r>
      <w:r w:rsidR="00255215" w:rsidRPr="000612C9">
        <w:rPr>
          <w:rFonts w:ascii="Arial" w:eastAsia="Calibri" w:hAnsi="Arial" w:cs="Arial"/>
          <w:bCs/>
          <w:noProof/>
          <w:color w:val="000000" w:themeColor="text1"/>
          <w:sz w:val="22"/>
          <w:szCs w:val="22"/>
          <w:lang w:val="es-ES" w:eastAsia="en-US"/>
        </w:rPr>
        <w:t>REGÍMEN ESPECIAL</w:t>
      </w:r>
      <w:r w:rsidR="004D19BB">
        <w:rPr>
          <w:rFonts w:ascii="Arial" w:eastAsia="Calibri" w:hAnsi="Arial" w:cs="Arial"/>
          <w:bCs/>
          <w:noProof/>
          <w:color w:val="000000" w:themeColor="text1"/>
          <w:sz w:val="22"/>
          <w:szCs w:val="22"/>
          <w:lang w:val="es-ES" w:eastAsia="en-US"/>
        </w:rPr>
        <w:t xml:space="preserve"> </w:t>
      </w:r>
      <w:r w:rsidR="00255215" w:rsidRPr="000612C9">
        <w:rPr>
          <w:rFonts w:ascii="Arial" w:eastAsia="Calibri" w:hAnsi="Arial" w:cs="Arial"/>
          <w:bCs/>
          <w:noProof/>
          <w:color w:val="000000" w:themeColor="text1"/>
          <w:sz w:val="22"/>
          <w:szCs w:val="22"/>
          <w:lang w:val="es-ES" w:eastAsia="en-US"/>
        </w:rPr>
        <w:t>– En atención al sujeto y al objeto/ REGÍMEN ESPECIAL</w:t>
      </w:r>
      <w:r w:rsidR="004D19BB">
        <w:rPr>
          <w:rFonts w:ascii="Arial" w:eastAsia="Calibri" w:hAnsi="Arial" w:cs="Arial"/>
          <w:bCs/>
          <w:noProof/>
          <w:color w:val="000000" w:themeColor="text1"/>
          <w:sz w:val="22"/>
          <w:szCs w:val="22"/>
          <w:lang w:val="es-ES" w:eastAsia="en-US"/>
        </w:rPr>
        <w:t xml:space="preserve"> </w:t>
      </w:r>
      <w:r w:rsidR="004D19BB" w:rsidRPr="000612C9">
        <w:rPr>
          <w:rFonts w:ascii="Arial" w:eastAsia="Calibri" w:hAnsi="Arial" w:cs="Arial"/>
          <w:bCs/>
          <w:noProof/>
          <w:color w:val="000000" w:themeColor="text1"/>
          <w:sz w:val="22"/>
          <w:szCs w:val="22"/>
          <w:lang w:val="es-ES" w:eastAsia="en-US"/>
        </w:rPr>
        <w:t>–</w:t>
      </w:r>
      <w:r w:rsidR="004D19BB">
        <w:rPr>
          <w:rFonts w:ascii="Arial" w:eastAsia="Calibri" w:hAnsi="Arial" w:cs="Arial"/>
          <w:bCs/>
          <w:noProof/>
          <w:color w:val="000000" w:themeColor="text1"/>
          <w:sz w:val="22"/>
          <w:szCs w:val="22"/>
          <w:lang w:val="es-ES" w:eastAsia="en-US"/>
        </w:rPr>
        <w:t xml:space="preserve"> </w:t>
      </w:r>
      <w:r w:rsidR="004D19BB" w:rsidRPr="000612C9">
        <w:rPr>
          <w:rFonts w:ascii="Arial" w:eastAsia="Calibri" w:hAnsi="Arial" w:cs="Arial"/>
          <w:bCs/>
          <w:noProof/>
          <w:color w:val="000000" w:themeColor="text1"/>
          <w:sz w:val="22"/>
          <w:szCs w:val="22"/>
          <w:lang w:val="es-ES" w:eastAsia="en-US"/>
        </w:rPr>
        <w:t>calamidad pública y desastre</w:t>
      </w:r>
      <w:r w:rsidR="00255215" w:rsidRPr="000612C9">
        <w:rPr>
          <w:rFonts w:ascii="Arial" w:eastAsia="Calibri" w:hAnsi="Arial" w:cs="Arial"/>
          <w:bCs/>
          <w:noProof/>
          <w:color w:val="000000" w:themeColor="text1"/>
          <w:sz w:val="22"/>
          <w:szCs w:val="22"/>
          <w:lang w:val="es-ES" w:eastAsia="en-US"/>
        </w:rPr>
        <w:t xml:space="preserve"> Derecho privado con dosis de derecho administrativo</w:t>
      </w:r>
      <w:r w:rsidR="004D19BB">
        <w:rPr>
          <w:rFonts w:ascii="Arial" w:eastAsia="Calibri" w:hAnsi="Arial" w:cs="Arial"/>
          <w:bCs/>
          <w:noProof/>
          <w:color w:val="000000" w:themeColor="text1"/>
          <w:sz w:val="22"/>
          <w:szCs w:val="22"/>
          <w:lang w:val="es-ES" w:eastAsia="en-US"/>
        </w:rPr>
        <w:t xml:space="preserve"> </w:t>
      </w:r>
      <w:r w:rsidR="00255215" w:rsidRPr="000612C9">
        <w:rPr>
          <w:rFonts w:ascii="Arial" w:eastAsia="Calibri" w:hAnsi="Arial" w:cs="Arial"/>
          <w:bCs/>
          <w:noProof/>
          <w:color w:val="000000" w:themeColor="text1"/>
          <w:sz w:val="22"/>
          <w:szCs w:val="22"/>
          <w:lang w:val="es-ES" w:eastAsia="en-US"/>
        </w:rPr>
        <w:t>/</w:t>
      </w:r>
      <w:r w:rsidR="009F622F">
        <w:rPr>
          <w:rFonts w:ascii="Arial" w:eastAsia="Calibri" w:hAnsi="Arial" w:cs="Arial"/>
          <w:bCs/>
          <w:noProof/>
          <w:color w:val="000000" w:themeColor="text1"/>
          <w:sz w:val="22"/>
          <w:szCs w:val="22"/>
          <w:lang w:val="es-ES" w:eastAsia="en-US"/>
        </w:rPr>
        <w:t xml:space="preserve"> SECOP </w:t>
      </w:r>
      <w:r w:rsidR="00255215" w:rsidRPr="000612C9">
        <w:rPr>
          <w:rFonts w:ascii="Arial" w:eastAsia="Calibri" w:hAnsi="Arial" w:cs="Arial"/>
          <w:bCs/>
          <w:noProof/>
          <w:color w:val="000000" w:themeColor="text1"/>
          <w:sz w:val="22"/>
          <w:szCs w:val="22"/>
          <w:lang w:val="es-ES" w:eastAsia="en-US"/>
        </w:rPr>
        <w:t xml:space="preserve">– Publicidad – Recursos Públicos </w:t>
      </w:r>
    </w:p>
    <w:p w14:paraId="30A873A7" w14:textId="488C7147" w:rsidR="00E54365" w:rsidRPr="000612C9" w:rsidRDefault="00E54365" w:rsidP="002339D3">
      <w:pPr>
        <w:spacing w:before="0" w:after="0" w:line="240" w:lineRule="auto"/>
        <w:ind w:left="2835" w:hanging="2835"/>
        <w:jc w:val="left"/>
        <w:rPr>
          <w:rFonts w:ascii="Arial" w:eastAsia="Calibri" w:hAnsi="Arial" w:cs="Arial"/>
          <w:bCs/>
          <w:noProof/>
          <w:color w:val="000000" w:themeColor="text1"/>
          <w:sz w:val="22"/>
          <w:szCs w:val="22"/>
          <w:lang w:val="es-ES" w:eastAsia="en-US"/>
        </w:rPr>
      </w:pPr>
      <w:r w:rsidRPr="000612C9">
        <w:rPr>
          <w:rFonts w:ascii="Arial" w:eastAsia="Calibri" w:hAnsi="Arial" w:cs="Arial"/>
          <w:b/>
          <w:noProof/>
          <w:color w:val="000000" w:themeColor="text1"/>
          <w:sz w:val="22"/>
          <w:szCs w:val="22"/>
          <w:lang w:val="es-ES" w:eastAsia="en-US"/>
        </w:rPr>
        <w:t>Radicación</w:t>
      </w:r>
      <w:r w:rsidRPr="000612C9">
        <w:rPr>
          <w:rFonts w:ascii="Arial" w:eastAsia="Calibri" w:hAnsi="Arial" w:cs="Arial"/>
          <w:bCs/>
          <w:noProof/>
          <w:color w:val="000000" w:themeColor="text1"/>
          <w:sz w:val="22"/>
          <w:szCs w:val="22"/>
          <w:lang w:val="es-ES" w:eastAsia="en-US"/>
        </w:rPr>
        <w:t>:</w:t>
      </w:r>
      <w:r w:rsidRPr="000612C9">
        <w:rPr>
          <w:rFonts w:ascii="Arial" w:eastAsia="Calibri" w:hAnsi="Arial" w:cs="Arial"/>
          <w:bCs/>
          <w:noProof/>
          <w:color w:val="000000" w:themeColor="text1"/>
          <w:sz w:val="22"/>
          <w:szCs w:val="22"/>
          <w:lang w:val="es-ES" w:eastAsia="en-US"/>
        </w:rPr>
        <w:tab/>
        <w:t>Respuesta a consulta</w:t>
      </w:r>
      <w:r w:rsidR="00C366C4" w:rsidRPr="000612C9">
        <w:rPr>
          <w:rFonts w:ascii="Arial" w:eastAsia="Calibri" w:hAnsi="Arial" w:cs="Arial"/>
          <w:bCs/>
          <w:noProof/>
          <w:color w:val="000000" w:themeColor="text1"/>
          <w:sz w:val="22"/>
          <w:szCs w:val="22"/>
          <w:lang w:val="es-ES" w:eastAsia="en-US"/>
        </w:rPr>
        <w:t>s</w:t>
      </w:r>
      <w:r w:rsidRPr="000612C9">
        <w:rPr>
          <w:rFonts w:ascii="Arial" w:eastAsia="Calibri" w:hAnsi="Arial" w:cs="Arial"/>
          <w:bCs/>
          <w:noProof/>
          <w:color w:val="000000" w:themeColor="text1"/>
          <w:sz w:val="22"/>
          <w:szCs w:val="22"/>
          <w:lang w:val="es-ES" w:eastAsia="en-US"/>
        </w:rPr>
        <w:t xml:space="preserve"> # 420201300000</w:t>
      </w:r>
      <w:r w:rsidR="00813988" w:rsidRPr="000612C9">
        <w:rPr>
          <w:rFonts w:ascii="Arial" w:eastAsia="Calibri" w:hAnsi="Arial" w:cs="Arial"/>
          <w:bCs/>
          <w:noProof/>
          <w:color w:val="000000" w:themeColor="text1"/>
          <w:sz w:val="22"/>
          <w:szCs w:val="22"/>
          <w:lang w:val="es-ES" w:eastAsia="en-US"/>
        </w:rPr>
        <w:t>3129</w:t>
      </w:r>
      <w:r w:rsidR="00C366C4" w:rsidRPr="000612C9">
        <w:rPr>
          <w:rFonts w:ascii="Arial" w:eastAsia="Calibri" w:hAnsi="Arial" w:cs="Arial"/>
          <w:bCs/>
          <w:noProof/>
          <w:color w:val="000000" w:themeColor="text1"/>
          <w:sz w:val="22"/>
          <w:szCs w:val="22"/>
          <w:lang w:val="es-ES" w:eastAsia="en-US"/>
        </w:rPr>
        <w:t xml:space="preserve"> y </w:t>
      </w:r>
      <w:r w:rsidR="0060070B" w:rsidRPr="000612C9">
        <w:rPr>
          <w:rFonts w:ascii="Arial" w:eastAsia="Calibri" w:hAnsi="Arial" w:cs="Arial"/>
          <w:bCs/>
          <w:noProof/>
          <w:color w:val="000000" w:themeColor="text1"/>
          <w:sz w:val="22"/>
          <w:szCs w:val="22"/>
          <w:lang w:val="es-ES" w:eastAsia="en-US"/>
        </w:rPr>
        <w:t># 4202023000003501</w:t>
      </w:r>
    </w:p>
    <w:p w14:paraId="49699107" w14:textId="77777777" w:rsidR="00E54365" w:rsidRPr="000612C9" w:rsidRDefault="00E54365" w:rsidP="002339D3">
      <w:pPr>
        <w:spacing w:before="0" w:after="0" w:line="240" w:lineRule="auto"/>
        <w:rPr>
          <w:rFonts w:ascii="Arial" w:hAnsi="Arial" w:cs="Arial"/>
          <w:color w:val="000000" w:themeColor="text1"/>
          <w:sz w:val="22"/>
          <w:lang w:val="es-ES_tradnl"/>
        </w:rPr>
      </w:pPr>
    </w:p>
    <w:p w14:paraId="6502F989" w14:textId="77777777" w:rsidR="00C366C4" w:rsidRPr="000612C9" w:rsidRDefault="00C366C4" w:rsidP="008160B2">
      <w:pPr>
        <w:spacing w:before="0" w:after="0"/>
        <w:rPr>
          <w:rFonts w:ascii="Arial" w:hAnsi="Arial" w:cs="Arial"/>
          <w:color w:val="000000" w:themeColor="text1"/>
          <w:sz w:val="22"/>
          <w:lang w:val="es-ES_tradnl"/>
        </w:rPr>
      </w:pPr>
    </w:p>
    <w:p w14:paraId="71ED9EB2" w14:textId="0019489A" w:rsidR="00E54365" w:rsidRPr="000612C9" w:rsidRDefault="00E54365" w:rsidP="008160B2">
      <w:pPr>
        <w:spacing w:before="0" w:after="0"/>
        <w:rPr>
          <w:rFonts w:ascii="Arial" w:hAnsi="Arial" w:cs="Arial"/>
          <w:color w:val="000000" w:themeColor="text1"/>
          <w:sz w:val="22"/>
          <w:lang w:val="es-ES_tradnl"/>
        </w:rPr>
      </w:pPr>
      <w:r w:rsidRPr="000612C9">
        <w:rPr>
          <w:rFonts w:ascii="Arial" w:hAnsi="Arial" w:cs="Arial"/>
          <w:color w:val="000000" w:themeColor="text1"/>
          <w:sz w:val="22"/>
          <w:lang w:val="es-ES_tradnl"/>
        </w:rPr>
        <w:t>Estimado señor</w:t>
      </w:r>
      <w:r w:rsidR="00813988" w:rsidRPr="000612C9">
        <w:rPr>
          <w:rFonts w:ascii="Arial" w:hAnsi="Arial" w:cs="Arial"/>
          <w:color w:val="000000" w:themeColor="text1"/>
          <w:sz w:val="22"/>
          <w:lang w:val="es-ES_tradnl"/>
        </w:rPr>
        <w:t xml:space="preserve"> Prieto León</w:t>
      </w:r>
      <w:r w:rsidRPr="000612C9">
        <w:rPr>
          <w:rFonts w:ascii="Arial" w:hAnsi="Arial" w:cs="Arial"/>
          <w:color w:val="000000" w:themeColor="text1"/>
          <w:sz w:val="22"/>
          <w:lang w:val="es-ES_tradnl"/>
        </w:rPr>
        <w:t xml:space="preserve">, </w:t>
      </w:r>
    </w:p>
    <w:p w14:paraId="43EDF4BF" w14:textId="0C0C0485" w:rsidR="00E54365" w:rsidRPr="000612C9" w:rsidRDefault="00E54365" w:rsidP="008160B2">
      <w:pPr>
        <w:rPr>
          <w:rFonts w:ascii="Arial" w:hAnsi="Arial" w:cs="Arial"/>
          <w:color w:val="000000" w:themeColor="text1"/>
          <w:sz w:val="22"/>
          <w:lang w:val="es-ES_tradnl"/>
        </w:rPr>
      </w:pPr>
      <w:r w:rsidRPr="000612C9">
        <w:rPr>
          <w:rFonts w:ascii="Arial"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 consulta del 2</w:t>
      </w:r>
      <w:r w:rsidR="00813988" w:rsidRPr="000612C9">
        <w:rPr>
          <w:rFonts w:ascii="Arial" w:hAnsi="Arial" w:cs="Arial"/>
          <w:color w:val="000000" w:themeColor="text1"/>
          <w:sz w:val="22"/>
          <w:lang w:val="es-ES_tradnl"/>
        </w:rPr>
        <w:t>7</w:t>
      </w:r>
      <w:r w:rsidRPr="000612C9">
        <w:rPr>
          <w:rFonts w:ascii="Arial" w:hAnsi="Arial" w:cs="Arial"/>
          <w:color w:val="000000" w:themeColor="text1"/>
          <w:sz w:val="22"/>
          <w:lang w:val="es-ES_tradnl"/>
        </w:rPr>
        <w:t xml:space="preserve"> de abril de 2020.</w:t>
      </w:r>
    </w:p>
    <w:p w14:paraId="7163A7AF" w14:textId="77777777" w:rsidR="00015E80" w:rsidRPr="000612C9" w:rsidRDefault="00015E80" w:rsidP="008160B2">
      <w:pPr>
        <w:rPr>
          <w:rFonts w:ascii="Arial" w:hAnsi="Arial" w:cs="Arial"/>
          <w:color w:val="000000" w:themeColor="text1"/>
          <w:sz w:val="22"/>
          <w:lang w:val="es-ES_tradnl"/>
        </w:rPr>
      </w:pPr>
    </w:p>
    <w:p w14:paraId="1AD31463" w14:textId="1724C5E9" w:rsidR="00E54365" w:rsidRPr="000612C9" w:rsidRDefault="00E54365" w:rsidP="008160B2">
      <w:pPr>
        <w:rPr>
          <w:rFonts w:ascii="Arial" w:hAnsi="Arial" w:cs="Arial"/>
          <w:b/>
          <w:color w:val="000000" w:themeColor="text1"/>
          <w:sz w:val="22"/>
          <w:lang w:val="es-ES"/>
        </w:rPr>
      </w:pPr>
      <w:r w:rsidRPr="000612C9">
        <w:rPr>
          <w:rFonts w:ascii="Arial" w:hAnsi="Arial" w:cs="Arial"/>
          <w:b/>
          <w:color w:val="000000" w:themeColor="text1"/>
          <w:sz w:val="22"/>
          <w:lang w:val="es-ES"/>
        </w:rPr>
        <w:t xml:space="preserve">1. Problema planteado </w:t>
      </w:r>
    </w:p>
    <w:p w14:paraId="78C92D52" w14:textId="5B482F7C" w:rsidR="00015E80" w:rsidRPr="000612C9" w:rsidRDefault="00015E80" w:rsidP="008160B2">
      <w:pPr>
        <w:rPr>
          <w:rFonts w:ascii="Arial" w:hAnsi="Arial" w:cs="Arial"/>
          <w:b/>
          <w:color w:val="000000" w:themeColor="text1"/>
          <w:sz w:val="22"/>
          <w:lang w:val="es-ES"/>
        </w:rPr>
      </w:pPr>
    </w:p>
    <w:p w14:paraId="527316B4" w14:textId="5383E95C" w:rsidR="00D97DDD" w:rsidRPr="000612C9" w:rsidRDefault="00813988" w:rsidP="008160B2">
      <w:pPr>
        <w:rPr>
          <w:rFonts w:ascii="Arial" w:hAnsi="Arial" w:cs="Arial"/>
          <w:bCs/>
          <w:color w:val="000000" w:themeColor="text1"/>
          <w:sz w:val="22"/>
          <w:lang w:val="es-ES"/>
        </w:rPr>
      </w:pPr>
      <w:r w:rsidRPr="000612C9">
        <w:rPr>
          <w:rFonts w:ascii="Arial" w:hAnsi="Arial" w:cs="Arial"/>
          <w:bCs/>
          <w:color w:val="000000" w:themeColor="text1"/>
          <w:sz w:val="22"/>
          <w:lang w:val="es-ES"/>
        </w:rPr>
        <w:t>Usted eleva las siguientes consultas</w:t>
      </w:r>
      <w:r w:rsidR="00D97DDD" w:rsidRPr="000612C9">
        <w:rPr>
          <w:rFonts w:ascii="Arial" w:hAnsi="Arial" w:cs="Arial"/>
          <w:bCs/>
          <w:color w:val="000000" w:themeColor="text1"/>
          <w:sz w:val="22"/>
          <w:lang w:val="es-ES"/>
        </w:rPr>
        <w:t>: (i) ¿Los contratos celebrados para la adquisición de bienes, realización de obras y prestación o suministro de servicios relacionados directamente con las actividades de respuesta, de rehabilitación y reconstrucción de las zonas declaradas en situación de desastre o calamidad pública, en aplicación de la Ley 1523 de 2012, deben ser publicados en el SECOP? (</w:t>
      </w:r>
      <w:proofErr w:type="spellStart"/>
      <w:r w:rsidR="00D97DDD" w:rsidRPr="000612C9">
        <w:rPr>
          <w:rFonts w:ascii="Arial" w:hAnsi="Arial" w:cs="Arial"/>
          <w:bCs/>
          <w:color w:val="000000" w:themeColor="text1"/>
          <w:sz w:val="22"/>
          <w:lang w:val="es-ES"/>
        </w:rPr>
        <w:t>ii</w:t>
      </w:r>
      <w:proofErr w:type="spellEnd"/>
      <w:r w:rsidR="00D97DDD" w:rsidRPr="000612C9">
        <w:rPr>
          <w:rFonts w:ascii="Arial" w:hAnsi="Arial" w:cs="Arial"/>
          <w:bCs/>
          <w:color w:val="000000" w:themeColor="text1"/>
          <w:sz w:val="22"/>
          <w:lang w:val="es-ES"/>
        </w:rPr>
        <w:t xml:space="preserve">) De ser positiva la respuesta a lo anterior se </w:t>
      </w:r>
      <w:r w:rsidR="0060070B" w:rsidRPr="000612C9">
        <w:rPr>
          <w:rFonts w:ascii="Arial" w:hAnsi="Arial" w:cs="Arial"/>
          <w:bCs/>
          <w:color w:val="000000" w:themeColor="text1"/>
          <w:sz w:val="22"/>
          <w:lang w:val="es-ES"/>
        </w:rPr>
        <w:t>pregunta</w:t>
      </w:r>
      <w:r w:rsidR="00D97DDD" w:rsidRPr="000612C9">
        <w:rPr>
          <w:rFonts w:ascii="Arial" w:hAnsi="Arial" w:cs="Arial"/>
          <w:bCs/>
          <w:color w:val="000000" w:themeColor="text1"/>
          <w:sz w:val="22"/>
          <w:lang w:val="es-ES"/>
        </w:rPr>
        <w:t xml:space="preserve">: ¿Bajo </w:t>
      </w:r>
      <w:proofErr w:type="spellStart"/>
      <w:r w:rsidR="00D97DDD" w:rsidRPr="000612C9">
        <w:rPr>
          <w:rFonts w:ascii="Arial" w:hAnsi="Arial" w:cs="Arial"/>
          <w:bCs/>
          <w:color w:val="000000" w:themeColor="text1"/>
          <w:sz w:val="22"/>
          <w:lang w:val="es-ES"/>
        </w:rPr>
        <w:t>que</w:t>
      </w:r>
      <w:proofErr w:type="spellEnd"/>
      <w:r w:rsidR="00D97DDD" w:rsidRPr="000612C9">
        <w:rPr>
          <w:rFonts w:ascii="Arial" w:hAnsi="Arial" w:cs="Arial"/>
          <w:bCs/>
          <w:color w:val="000000" w:themeColor="text1"/>
          <w:sz w:val="22"/>
          <w:lang w:val="es-ES"/>
        </w:rPr>
        <w:t>́ parámetros se deben publicar dichos contratos en la plataforma SECOP, ya que actualmente NO existe una opción denominada “CALAMIDAD PUBLICA” o similar en la plataforma SECOP?, ya que dichos contratos difieren de la causal de contratación Directa de “URGENCIA MANIFIESTA”.</w:t>
      </w:r>
    </w:p>
    <w:p w14:paraId="3F7BA9B9" w14:textId="77777777" w:rsidR="00015E80" w:rsidRPr="000612C9" w:rsidRDefault="00015E80" w:rsidP="008160B2">
      <w:pPr>
        <w:rPr>
          <w:rFonts w:ascii="Arial" w:hAnsi="Arial" w:cs="Arial"/>
          <w:color w:val="000000" w:themeColor="text1"/>
          <w:sz w:val="22"/>
          <w:lang w:val="es-ES"/>
        </w:rPr>
      </w:pPr>
    </w:p>
    <w:p w14:paraId="5DFB8250" w14:textId="6DEEF97F" w:rsidR="00E54365" w:rsidRPr="000612C9" w:rsidRDefault="00E54365" w:rsidP="008160B2">
      <w:pPr>
        <w:rPr>
          <w:rFonts w:ascii="Arial" w:hAnsi="Arial" w:cs="Arial"/>
          <w:b/>
          <w:color w:val="000000" w:themeColor="text1"/>
          <w:sz w:val="22"/>
          <w:lang w:val="es-ES"/>
        </w:rPr>
      </w:pPr>
      <w:r w:rsidRPr="000612C9">
        <w:rPr>
          <w:rFonts w:ascii="Arial" w:hAnsi="Arial" w:cs="Arial"/>
          <w:b/>
          <w:color w:val="000000" w:themeColor="text1"/>
          <w:sz w:val="22"/>
          <w:lang w:val="es-ES"/>
        </w:rPr>
        <w:t xml:space="preserve">2. Consideraciones </w:t>
      </w:r>
    </w:p>
    <w:p w14:paraId="0E834FA4" w14:textId="4528113D" w:rsidR="00AC5F3A" w:rsidRPr="000612C9" w:rsidRDefault="00AC5F3A" w:rsidP="008160B2">
      <w:pPr>
        <w:rPr>
          <w:rFonts w:ascii="Arial" w:hAnsi="Arial" w:cs="Arial"/>
          <w:b/>
          <w:color w:val="000000" w:themeColor="text1"/>
          <w:sz w:val="22"/>
          <w:lang w:val="es-ES"/>
        </w:rPr>
      </w:pPr>
    </w:p>
    <w:p w14:paraId="2D2A33D8" w14:textId="701C306F" w:rsidR="00AC5F3A" w:rsidRPr="000612C9" w:rsidRDefault="00AC5F3A" w:rsidP="008160B2">
      <w:pPr>
        <w:rPr>
          <w:rFonts w:ascii="Arial" w:hAnsi="Arial" w:cs="Arial"/>
          <w:bCs/>
          <w:color w:val="000000" w:themeColor="text1"/>
          <w:sz w:val="22"/>
          <w:lang w:val="es-ES"/>
        </w:rPr>
      </w:pPr>
      <w:r w:rsidRPr="000612C9">
        <w:rPr>
          <w:rFonts w:ascii="Arial" w:hAnsi="Arial" w:cs="Arial"/>
          <w:bCs/>
          <w:color w:val="000000" w:themeColor="text1"/>
          <w:sz w:val="22"/>
          <w:lang w:val="es-ES"/>
        </w:rPr>
        <w:lastRenderedPageBreak/>
        <w:t xml:space="preserve">Para dar solución a los interrogantes planteados, se analizarán los siguientes temas: (i) </w:t>
      </w:r>
      <w:r w:rsidR="008A2550" w:rsidRPr="000612C9">
        <w:rPr>
          <w:rFonts w:ascii="Arial" w:hAnsi="Arial" w:cs="Arial"/>
          <w:bCs/>
          <w:color w:val="000000" w:themeColor="text1"/>
          <w:sz w:val="22"/>
          <w:lang w:val="es-ES"/>
        </w:rPr>
        <w:t>Consideraciones generales sobre los regímenes especiales (</w:t>
      </w:r>
      <w:proofErr w:type="spellStart"/>
      <w:r w:rsidR="008A2550" w:rsidRPr="000612C9">
        <w:rPr>
          <w:rFonts w:ascii="Arial" w:hAnsi="Arial" w:cs="Arial"/>
          <w:bCs/>
          <w:color w:val="000000" w:themeColor="text1"/>
          <w:sz w:val="22"/>
          <w:lang w:val="es-ES"/>
        </w:rPr>
        <w:t>ii</w:t>
      </w:r>
      <w:proofErr w:type="spellEnd"/>
      <w:r w:rsidR="008A2550" w:rsidRPr="000612C9">
        <w:rPr>
          <w:rFonts w:ascii="Arial" w:hAnsi="Arial" w:cs="Arial"/>
          <w:bCs/>
          <w:color w:val="000000" w:themeColor="text1"/>
          <w:sz w:val="22"/>
          <w:lang w:val="es-ES"/>
        </w:rPr>
        <w:t xml:space="preserve">) </w:t>
      </w:r>
      <w:r w:rsidRPr="000612C9">
        <w:rPr>
          <w:rFonts w:ascii="Arial" w:hAnsi="Arial" w:cs="Arial"/>
          <w:bCs/>
          <w:color w:val="000000" w:themeColor="text1"/>
          <w:sz w:val="22"/>
          <w:lang w:val="es-ES"/>
        </w:rPr>
        <w:t>El régimen especial del artículo 66 de la Ley 1523 de 2012 (</w:t>
      </w:r>
      <w:proofErr w:type="spellStart"/>
      <w:r w:rsidRPr="000612C9">
        <w:rPr>
          <w:rFonts w:ascii="Arial" w:hAnsi="Arial" w:cs="Arial"/>
          <w:bCs/>
          <w:color w:val="000000" w:themeColor="text1"/>
          <w:sz w:val="22"/>
          <w:lang w:val="es-ES"/>
        </w:rPr>
        <w:t>i</w:t>
      </w:r>
      <w:r w:rsidR="008A2550" w:rsidRPr="000612C9">
        <w:rPr>
          <w:rFonts w:ascii="Arial" w:hAnsi="Arial" w:cs="Arial"/>
          <w:bCs/>
          <w:color w:val="000000" w:themeColor="text1"/>
          <w:sz w:val="22"/>
          <w:lang w:val="es-ES"/>
        </w:rPr>
        <w:t>i</w:t>
      </w:r>
      <w:r w:rsidRPr="000612C9">
        <w:rPr>
          <w:rFonts w:ascii="Arial" w:hAnsi="Arial" w:cs="Arial"/>
          <w:bCs/>
          <w:color w:val="000000" w:themeColor="text1"/>
          <w:sz w:val="22"/>
          <w:lang w:val="es-ES"/>
        </w:rPr>
        <w:t>i</w:t>
      </w:r>
      <w:proofErr w:type="spellEnd"/>
      <w:r w:rsidRPr="000612C9">
        <w:rPr>
          <w:rFonts w:ascii="Arial" w:hAnsi="Arial" w:cs="Arial"/>
          <w:bCs/>
          <w:color w:val="000000" w:themeColor="text1"/>
          <w:sz w:val="22"/>
          <w:lang w:val="es-ES"/>
        </w:rPr>
        <w:t xml:space="preserve">) La obligación de publicación en el SECOP de todas las contrataciones con cargo a recursos públicos sin importar el régimen jurídico. </w:t>
      </w:r>
    </w:p>
    <w:p w14:paraId="047B0B0A" w14:textId="77777777" w:rsidR="008A2550" w:rsidRPr="000612C9" w:rsidRDefault="008A2550" w:rsidP="008160B2">
      <w:pPr>
        <w:rPr>
          <w:rFonts w:ascii="Arial" w:hAnsi="Arial" w:cs="Arial"/>
          <w:bCs/>
          <w:color w:val="000000" w:themeColor="text1"/>
          <w:sz w:val="22"/>
          <w:lang w:val="es-ES"/>
        </w:rPr>
      </w:pPr>
    </w:p>
    <w:p w14:paraId="389593BB" w14:textId="529D3721" w:rsidR="00AC5F3A" w:rsidRPr="000612C9" w:rsidRDefault="00AC5F3A" w:rsidP="008160B2">
      <w:pPr>
        <w:rPr>
          <w:rFonts w:ascii="Arial" w:eastAsia="Calibri" w:hAnsi="Arial" w:cs="Arial"/>
          <w:b/>
          <w:bCs/>
          <w:color w:val="000000" w:themeColor="text1"/>
          <w:sz w:val="22"/>
          <w:lang w:val="es-ES_tradnl"/>
        </w:rPr>
      </w:pPr>
      <w:r w:rsidRPr="000612C9">
        <w:rPr>
          <w:rFonts w:ascii="Arial" w:hAnsi="Arial" w:cs="Arial"/>
          <w:b/>
          <w:color w:val="000000" w:themeColor="text1"/>
          <w:sz w:val="22"/>
          <w:lang w:val="es-ES"/>
        </w:rPr>
        <w:t xml:space="preserve">2.1. </w:t>
      </w:r>
      <w:r w:rsidR="008A2550" w:rsidRPr="000612C9">
        <w:rPr>
          <w:rFonts w:ascii="Arial" w:hAnsi="Arial" w:cs="Arial"/>
          <w:b/>
          <w:color w:val="000000" w:themeColor="text1"/>
          <w:sz w:val="22"/>
          <w:lang w:val="es-ES"/>
        </w:rPr>
        <w:t>Consideraciones generales sobre los regímenes especiales en materia de contratación estatal</w:t>
      </w:r>
    </w:p>
    <w:p w14:paraId="2BAF60CC" w14:textId="2CE642CD" w:rsidR="00AF0BEC" w:rsidRPr="000612C9" w:rsidRDefault="00AF0BEC" w:rsidP="008160B2">
      <w:pPr>
        <w:rPr>
          <w:rFonts w:ascii="Arial" w:hAnsi="Arial" w:cs="Arial"/>
          <w:bCs/>
          <w:color w:val="000000" w:themeColor="text1"/>
          <w:sz w:val="22"/>
          <w:lang w:val="es-ES"/>
        </w:rPr>
      </w:pPr>
      <w:r w:rsidRPr="000612C9">
        <w:rPr>
          <w:rFonts w:ascii="Arial" w:hAnsi="Arial" w:cs="Arial"/>
          <w:bCs/>
          <w:color w:val="000000" w:themeColor="text1"/>
          <w:sz w:val="22"/>
          <w:lang w:val="es-ES"/>
        </w:rPr>
        <w:tab/>
        <w:t xml:space="preserve">Lo primero que debe advertirse a efectos de absolver </w:t>
      </w:r>
      <w:r w:rsidR="00643B51" w:rsidRPr="000612C9">
        <w:rPr>
          <w:rFonts w:ascii="Arial" w:hAnsi="Arial" w:cs="Arial"/>
          <w:bCs/>
          <w:color w:val="000000" w:themeColor="text1"/>
          <w:sz w:val="22"/>
          <w:lang w:val="es-ES"/>
        </w:rPr>
        <w:t xml:space="preserve">su consulta </w:t>
      </w:r>
      <w:r w:rsidRPr="000612C9">
        <w:rPr>
          <w:rFonts w:ascii="Arial" w:hAnsi="Arial" w:cs="Arial"/>
          <w:bCs/>
          <w:color w:val="000000" w:themeColor="text1"/>
          <w:sz w:val="22"/>
          <w:lang w:val="es-ES"/>
        </w:rPr>
        <w:t xml:space="preserve">es que el ordenamiento jurídico </w:t>
      </w:r>
      <w:r w:rsidR="00643B51" w:rsidRPr="000612C9">
        <w:rPr>
          <w:rFonts w:ascii="Arial" w:hAnsi="Arial" w:cs="Arial"/>
          <w:bCs/>
          <w:color w:val="000000" w:themeColor="text1"/>
          <w:sz w:val="22"/>
          <w:lang w:val="es-ES"/>
        </w:rPr>
        <w:t>colombiano</w:t>
      </w:r>
      <w:r w:rsidRPr="000612C9">
        <w:rPr>
          <w:rFonts w:ascii="Arial" w:hAnsi="Arial" w:cs="Arial"/>
          <w:bCs/>
          <w:color w:val="000000" w:themeColor="text1"/>
          <w:sz w:val="22"/>
          <w:lang w:val="es-ES"/>
        </w:rPr>
        <w:t xml:space="preserve"> contempla </w:t>
      </w:r>
      <w:r w:rsidR="004376B9" w:rsidRPr="000612C9">
        <w:rPr>
          <w:rFonts w:ascii="Arial" w:hAnsi="Arial" w:cs="Arial"/>
          <w:bCs/>
          <w:color w:val="000000" w:themeColor="text1"/>
          <w:sz w:val="22"/>
          <w:lang w:val="es-ES"/>
        </w:rPr>
        <w:t xml:space="preserve">como </w:t>
      </w:r>
      <w:r w:rsidRPr="000612C9">
        <w:rPr>
          <w:rFonts w:ascii="Arial" w:hAnsi="Arial" w:cs="Arial"/>
          <w:bCs/>
          <w:color w:val="000000" w:themeColor="text1"/>
          <w:sz w:val="22"/>
          <w:lang w:val="es-ES"/>
        </w:rPr>
        <w:t xml:space="preserve">categoría única </w:t>
      </w:r>
      <w:r w:rsidR="004376B9" w:rsidRPr="000612C9">
        <w:rPr>
          <w:rFonts w:ascii="Arial" w:hAnsi="Arial" w:cs="Arial"/>
          <w:bCs/>
          <w:color w:val="000000" w:themeColor="text1"/>
          <w:sz w:val="22"/>
          <w:lang w:val="es-ES"/>
        </w:rPr>
        <w:t xml:space="preserve">la noción </w:t>
      </w:r>
      <w:r w:rsidRPr="000612C9">
        <w:rPr>
          <w:rFonts w:ascii="Arial" w:hAnsi="Arial" w:cs="Arial"/>
          <w:bCs/>
          <w:color w:val="000000" w:themeColor="text1"/>
          <w:sz w:val="22"/>
          <w:lang w:val="es-ES"/>
        </w:rPr>
        <w:t xml:space="preserve">de </w:t>
      </w:r>
      <w:r w:rsidR="004376B9" w:rsidRPr="000612C9">
        <w:rPr>
          <w:rFonts w:ascii="Arial" w:hAnsi="Arial" w:cs="Arial"/>
          <w:bCs/>
          <w:color w:val="000000" w:themeColor="text1"/>
          <w:sz w:val="22"/>
          <w:lang w:val="es-ES"/>
        </w:rPr>
        <w:t>«c</w:t>
      </w:r>
      <w:r w:rsidRPr="000612C9">
        <w:rPr>
          <w:rFonts w:ascii="Arial" w:hAnsi="Arial" w:cs="Arial"/>
          <w:bCs/>
          <w:color w:val="000000" w:themeColor="text1"/>
          <w:sz w:val="22"/>
          <w:lang w:val="es-ES"/>
        </w:rPr>
        <w:t xml:space="preserve">ontratos </w:t>
      </w:r>
      <w:r w:rsidR="004376B9" w:rsidRPr="000612C9">
        <w:rPr>
          <w:rFonts w:ascii="Arial" w:hAnsi="Arial" w:cs="Arial"/>
          <w:bCs/>
          <w:color w:val="000000" w:themeColor="text1"/>
          <w:sz w:val="22"/>
          <w:lang w:val="es-ES"/>
        </w:rPr>
        <w:t>e</w:t>
      </w:r>
      <w:r w:rsidRPr="000612C9">
        <w:rPr>
          <w:rFonts w:ascii="Arial" w:hAnsi="Arial" w:cs="Arial"/>
          <w:bCs/>
          <w:color w:val="000000" w:themeColor="text1"/>
          <w:sz w:val="22"/>
          <w:lang w:val="es-ES"/>
        </w:rPr>
        <w:t>statales</w:t>
      </w:r>
      <w:r w:rsidR="004376B9"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pero acepta la posibilidad de que dichos contratos tengan regímenes jurídicos diferenciados. </w:t>
      </w:r>
      <w:r w:rsidR="00C6465E" w:rsidRPr="000612C9">
        <w:rPr>
          <w:rFonts w:ascii="Arial" w:hAnsi="Arial" w:cs="Arial"/>
          <w:bCs/>
          <w:color w:val="000000" w:themeColor="text1"/>
          <w:sz w:val="22"/>
          <w:lang w:val="es-ES"/>
        </w:rPr>
        <w:t xml:space="preserve">En virtud de </w:t>
      </w:r>
      <w:r w:rsidRPr="000612C9">
        <w:rPr>
          <w:rFonts w:ascii="Arial" w:hAnsi="Arial" w:cs="Arial"/>
          <w:bCs/>
          <w:color w:val="000000" w:themeColor="text1"/>
          <w:sz w:val="22"/>
          <w:lang w:val="es-ES"/>
        </w:rPr>
        <w:t>ello</w:t>
      </w:r>
      <w:r w:rsidR="00C6465E" w:rsidRPr="000612C9">
        <w:rPr>
          <w:rFonts w:ascii="Arial" w:hAnsi="Arial" w:cs="Arial"/>
          <w:bCs/>
          <w:color w:val="000000" w:themeColor="text1"/>
          <w:sz w:val="22"/>
          <w:lang w:val="es-ES"/>
        </w:rPr>
        <w:t xml:space="preserve"> se afirma que</w:t>
      </w:r>
      <w:r w:rsidRPr="000612C9">
        <w:rPr>
          <w:rFonts w:ascii="Arial" w:hAnsi="Arial" w:cs="Arial"/>
          <w:bCs/>
          <w:color w:val="000000" w:themeColor="text1"/>
          <w:sz w:val="22"/>
          <w:lang w:val="es-ES"/>
        </w:rPr>
        <w:t xml:space="preserve"> hay contratos estatales sometidos al Estatuto General de Contratación de la Administración Pública (Leyes 80 de 1993, 1150 de 2007</w:t>
      </w:r>
      <w:r w:rsidR="00C6465E" w:rsidRPr="000612C9">
        <w:rPr>
          <w:rFonts w:ascii="Arial" w:hAnsi="Arial" w:cs="Arial"/>
          <w:bCs/>
          <w:color w:val="000000" w:themeColor="text1"/>
          <w:sz w:val="22"/>
          <w:lang w:val="es-ES"/>
        </w:rPr>
        <w:t xml:space="preserve"> y disposiciones complementarias</w:t>
      </w:r>
      <w:r w:rsidRPr="000612C9">
        <w:rPr>
          <w:rFonts w:ascii="Arial" w:hAnsi="Arial" w:cs="Arial"/>
          <w:bCs/>
          <w:color w:val="000000" w:themeColor="text1"/>
          <w:sz w:val="22"/>
          <w:lang w:val="es-ES"/>
        </w:rPr>
        <w:t>) y contratos estatales sometidos a reglas especiales.</w:t>
      </w:r>
    </w:p>
    <w:p w14:paraId="53DC532D" w14:textId="5666E9B5" w:rsidR="00AF0BEC" w:rsidRPr="000612C9" w:rsidRDefault="00AF0BEC" w:rsidP="008160B2">
      <w:pPr>
        <w:rPr>
          <w:rFonts w:ascii="Arial" w:hAnsi="Arial" w:cs="Arial"/>
          <w:bCs/>
          <w:color w:val="000000" w:themeColor="text1"/>
          <w:sz w:val="22"/>
          <w:lang w:val="es-ES"/>
        </w:rPr>
      </w:pPr>
      <w:r w:rsidRPr="000612C9">
        <w:rPr>
          <w:rFonts w:ascii="Arial" w:hAnsi="Arial" w:cs="Arial"/>
          <w:bCs/>
          <w:color w:val="000000" w:themeColor="text1"/>
          <w:sz w:val="22"/>
          <w:lang w:val="es-ES"/>
        </w:rPr>
        <w:tab/>
        <w:t>La decisión</w:t>
      </w:r>
      <w:r w:rsidR="00DE3139" w:rsidRPr="000612C9">
        <w:rPr>
          <w:rFonts w:ascii="Arial" w:hAnsi="Arial" w:cs="Arial"/>
          <w:bCs/>
          <w:color w:val="000000" w:themeColor="text1"/>
          <w:sz w:val="22"/>
          <w:lang w:val="es-ES"/>
        </w:rPr>
        <w:t xml:space="preserve"> </w:t>
      </w:r>
      <w:r w:rsidR="008A2550" w:rsidRPr="000612C9">
        <w:rPr>
          <w:rFonts w:ascii="Arial" w:hAnsi="Arial" w:cs="Arial"/>
          <w:bCs/>
          <w:color w:val="000000" w:themeColor="text1"/>
          <w:sz w:val="22"/>
          <w:lang w:val="es-ES"/>
        </w:rPr>
        <w:t>hito-fundadora</w:t>
      </w:r>
      <w:r w:rsidR="00DE3139" w:rsidRPr="000612C9">
        <w:rPr>
          <w:rStyle w:val="Refdenotaalpie"/>
          <w:rFonts w:ascii="Arial" w:hAnsi="Arial" w:cs="Arial"/>
          <w:bCs/>
          <w:color w:val="000000" w:themeColor="text1"/>
          <w:sz w:val="22"/>
          <w:lang w:val="es-ES"/>
        </w:rPr>
        <w:footnoteReference w:id="1"/>
      </w:r>
      <w:r w:rsidRPr="000612C9">
        <w:rPr>
          <w:rFonts w:ascii="Arial" w:hAnsi="Arial" w:cs="Arial"/>
          <w:bCs/>
          <w:color w:val="000000" w:themeColor="text1"/>
          <w:sz w:val="22"/>
          <w:lang w:val="es-ES"/>
        </w:rPr>
        <w:t xml:space="preserve"> en este sentido es un Auto de 20 de agosto de 1998</w:t>
      </w:r>
      <w:r w:rsidR="008A2550" w:rsidRPr="000612C9">
        <w:rPr>
          <w:rStyle w:val="Refdenotaalpie"/>
          <w:rFonts w:ascii="Arial" w:hAnsi="Arial" w:cs="Arial"/>
          <w:bCs/>
          <w:color w:val="000000" w:themeColor="text1"/>
          <w:sz w:val="22"/>
          <w:lang w:val="es-ES"/>
        </w:rPr>
        <w:footnoteReference w:id="2"/>
      </w:r>
      <w:r w:rsidRPr="000612C9">
        <w:rPr>
          <w:rFonts w:ascii="Arial" w:hAnsi="Arial" w:cs="Arial"/>
          <w:bCs/>
          <w:color w:val="000000" w:themeColor="text1"/>
          <w:sz w:val="22"/>
          <w:lang w:val="es-ES"/>
        </w:rPr>
        <w:t xml:space="preserve"> del Consejo de Estado en el cual es</w:t>
      </w:r>
      <w:r w:rsidR="008A2550" w:rsidRPr="000612C9">
        <w:rPr>
          <w:rFonts w:ascii="Arial" w:hAnsi="Arial" w:cs="Arial"/>
          <w:bCs/>
          <w:color w:val="000000" w:themeColor="text1"/>
          <w:sz w:val="22"/>
          <w:lang w:val="es-ES"/>
        </w:rPr>
        <w:t>a</w:t>
      </w:r>
      <w:r w:rsidRPr="000612C9">
        <w:rPr>
          <w:rFonts w:ascii="Arial" w:hAnsi="Arial" w:cs="Arial"/>
          <w:bCs/>
          <w:color w:val="000000" w:themeColor="text1"/>
          <w:sz w:val="22"/>
          <w:lang w:val="es-ES"/>
        </w:rPr>
        <w:t xml:space="preserve"> corporación señaló</w:t>
      </w:r>
      <w:r w:rsidR="008A2550" w:rsidRPr="000612C9">
        <w:rPr>
          <w:rStyle w:val="Refdenotaalpie"/>
          <w:rFonts w:ascii="Arial" w:hAnsi="Arial" w:cs="Arial"/>
          <w:bCs/>
          <w:color w:val="000000" w:themeColor="text1"/>
          <w:sz w:val="22"/>
          <w:lang w:val="es-ES"/>
        </w:rPr>
        <w:footnoteReference w:id="3"/>
      </w:r>
      <w:r w:rsidRPr="000612C9">
        <w:rPr>
          <w:rFonts w:ascii="Arial" w:hAnsi="Arial" w:cs="Arial"/>
          <w:bCs/>
          <w:color w:val="000000" w:themeColor="text1"/>
          <w:sz w:val="22"/>
          <w:lang w:val="es-ES"/>
        </w:rPr>
        <w:t>:</w:t>
      </w:r>
    </w:p>
    <w:p w14:paraId="72D1B451" w14:textId="2F166274" w:rsidR="008A2550" w:rsidRPr="000612C9" w:rsidRDefault="008A2550" w:rsidP="008160B2">
      <w:pPr>
        <w:spacing w:line="240" w:lineRule="auto"/>
        <w:ind w:left="708" w:right="758"/>
        <w:rPr>
          <w:rFonts w:ascii="Arial" w:hAnsi="Arial" w:cs="Arial"/>
          <w:bCs/>
          <w:color w:val="000000" w:themeColor="text1"/>
          <w:sz w:val="22"/>
          <w:lang w:val="es-ES"/>
        </w:rPr>
      </w:pPr>
      <w:r w:rsidRPr="000612C9">
        <w:rPr>
          <w:rFonts w:ascii="Arial" w:hAnsi="Arial" w:cs="Arial"/>
          <w:bCs/>
          <w:color w:val="000000" w:themeColor="text1"/>
          <w:sz w:val="22"/>
          <w:lang w:val="es-ES"/>
        </w:rPr>
        <w:t xml:space="preserve">A juicio de la Sala es preciso reconocer </w:t>
      </w:r>
      <w:proofErr w:type="gramStart"/>
      <w:r w:rsidRPr="000612C9">
        <w:rPr>
          <w:rFonts w:ascii="Arial" w:hAnsi="Arial" w:cs="Arial"/>
          <w:bCs/>
          <w:color w:val="000000" w:themeColor="text1"/>
          <w:sz w:val="22"/>
          <w:lang w:val="es-ES"/>
        </w:rPr>
        <w:t>que</w:t>
      </w:r>
      <w:proofErr w:type="gramEnd"/>
      <w:r w:rsidRPr="000612C9">
        <w:rPr>
          <w:rFonts w:ascii="Arial" w:hAnsi="Arial" w:cs="Arial"/>
          <w:bCs/>
          <w:color w:val="000000" w:themeColor="text1"/>
          <w:sz w:val="22"/>
          <w:lang w:val="es-ES"/>
        </w:rPr>
        <w:t xml:space="preserve"> en las diversas regulaciones normativas sobre contratación de la administración pública, es posible identificar dos grandes categorías de actos contractuales:</w:t>
      </w:r>
    </w:p>
    <w:p w14:paraId="6B473DB9" w14:textId="59A64FDB" w:rsidR="008A2550" w:rsidRPr="000612C9" w:rsidRDefault="008A2550" w:rsidP="008160B2">
      <w:pPr>
        <w:spacing w:line="240" w:lineRule="auto"/>
        <w:ind w:left="708" w:right="758"/>
        <w:rPr>
          <w:rFonts w:ascii="Arial" w:hAnsi="Arial" w:cs="Arial"/>
          <w:bCs/>
          <w:color w:val="000000" w:themeColor="text1"/>
          <w:sz w:val="21"/>
          <w:szCs w:val="21"/>
          <w:lang w:val="es-ES_tradnl"/>
        </w:rPr>
      </w:pPr>
      <w:proofErr w:type="gramStart"/>
      <w:r w:rsidRPr="000612C9">
        <w:rPr>
          <w:rFonts w:ascii="Arial" w:hAnsi="Arial" w:cs="Arial"/>
          <w:bCs/>
          <w:color w:val="000000" w:themeColor="text1"/>
          <w:sz w:val="21"/>
          <w:szCs w:val="21"/>
          <w:lang w:val="es-ES_tradnl"/>
        </w:rPr>
        <w:t>1ª  Contratos</w:t>
      </w:r>
      <w:proofErr w:type="gramEnd"/>
      <w:r w:rsidRPr="000612C9">
        <w:rPr>
          <w:rFonts w:ascii="Arial" w:hAnsi="Arial" w:cs="Arial"/>
          <w:bCs/>
          <w:color w:val="000000" w:themeColor="text1"/>
          <w:sz w:val="21"/>
          <w:szCs w:val="21"/>
          <w:lang w:val="es-ES_tradnl"/>
        </w:rPr>
        <w:t xml:space="preserve"> estatales, propiamente dichos, que son aquellos que celebran las entidades públicas a que se refiere la ley 80 de 1993, y que por ende se regulan íntegramente por el régimen establecido en esta ley.  Por regla general, adquieren este carácter </w:t>
      </w:r>
      <w:proofErr w:type="gramStart"/>
      <w:r w:rsidRPr="000612C9">
        <w:rPr>
          <w:rFonts w:ascii="Arial" w:hAnsi="Arial" w:cs="Arial"/>
          <w:bCs/>
          <w:color w:val="000000" w:themeColor="text1"/>
          <w:sz w:val="21"/>
          <w:szCs w:val="21"/>
          <w:lang w:val="es-ES_tradnl"/>
        </w:rPr>
        <w:t>en razón del</w:t>
      </w:r>
      <w:proofErr w:type="gramEnd"/>
      <w:r w:rsidRPr="000612C9">
        <w:rPr>
          <w:rFonts w:ascii="Arial" w:hAnsi="Arial" w:cs="Arial"/>
          <w:bCs/>
          <w:color w:val="000000" w:themeColor="text1"/>
          <w:sz w:val="21"/>
          <w:szCs w:val="21"/>
          <w:lang w:val="es-ES_tradnl"/>
        </w:rPr>
        <w:t xml:space="preserve"> ente público contratante, es decir, se definen desde el punto de vista orgánico. Las controversias que se deriven de este tipo de contratos y de los procesos de ejecución o cumplimiento serán de conocimiento de la jurisdicción contenciosa administrativa.</w:t>
      </w:r>
    </w:p>
    <w:p w14:paraId="77C047A8" w14:textId="2FFFAB2C" w:rsidR="00AF0BEC" w:rsidRPr="000612C9" w:rsidRDefault="008A2550" w:rsidP="008160B2">
      <w:pPr>
        <w:spacing w:line="240" w:lineRule="auto"/>
        <w:ind w:left="708" w:right="758"/>
        <w:rPr>
          <w:rFonts w:ascii="Arial" w:hAnsi="Arial" w:cs="Arial"/>
          <w:bCs/>
          <w:color w:val="000000" w:themeColor="text1"/>
          <w:sz w:val="21"/>
          <w:szCs w:val="21"/>
          <w:lang w:val="es-ES_tradnl"/>
        </w:rPr>
      </w:pPr>
      <w:r w:rsidRPr="000612C9">
        <w:rPr>
          <w:rFonts w:ascii="Arial" w:hAnsi="Arial" w:cs="Arial"/>
          <w:bCs/>
          <w:color w:val="000000" w:themeColor="text1"/>
          <w:sz w:val="21"/>
          <w:szCs w:val="21"/>
          <w:lang w:val="es-ES_tradnl"/>
        </w:rPr>
        <w:t xml:space="preserve">2ª   Contratos especiales sujetos a un régimen legal propio. Por regla general, el juez a quien compete conocer de sus controversias es el juez administrativo, </w:t>
      </w:r>
      <w:proofErr w:type="gramStart"/>
      <w:r w:rsidRPr="000612C9">
        <w:rPr>
          <w:rFonts w:ascii="Arial" w:hAnsi="Arial" w:cs="Arial"/>
          <w:bCs/>
          <w:color w:val="000000" w:themeColor="text1"/>
          <w:sz w:val="21"/>
          <w:szCs w:val="21"/>
          <w:lang w:val="es-ES_tradnl"/>
        </w:rPr>
        <w:lastRenderedPageBreak/>
        <w:t>en razón de</w:t>
      </w:r>
      <w:proofErr w:type="gramEnd"/>
      <w:r w:rsidRPr="000612C9">
        <w:rPr>
          <w:rFonts w:ascii="Arial" w:hAnsi="Arial" w:cs="Arial"/>
          <w:bCs/>
          <w:color w:val="000000" w:themeColor="text1"/>
          <w:sz w:val="21"/>
          <w:szCs w:val="21"/>
          <w:lang w:val="es-ES_tradnl"/>
        </w:rPr>
        <w:t xml:space="preserve"> que su celebración y ejecución constituye una actividad reglada, es decir, es el ejercicio pleno de una función administrativa, de conformidad con el art. 82 del C.C.A. antes referido.</w:t>
      </w:r>
    </w:p>
    <w:p w14:paraId="7E5678D8" w14:textId="77777777" w:rsidR="008A2550" w:rsidRPr="000612C9" w:rsidRDefault="008A2550" w:rsidP="008160B2">
      <w:pPr>
        <w:ind w:left="708" w:right="758"/>
        <w:rPr>
          <w:rFonts w:ascii="Arial" w:hAnsi="Arial" w:cs="Arial"/>
          <w:b/>
          <w:color w:val="000000" w:themeColor="text1"/>
          <w:sz w:val="22"/>
          <w:lang w:val="es-ES_tradnl"/>
        </w:rPr>
      </w:pPr>
    </w:p>
    <w:p w14:paraId="4A1D3298" w14:textId="5D9D1AA3" w:rsidR="00141CCA" w:rsidRPr="000612C9" w:rsidRDefault="00643B51" w:rsidP="008160B2">
      <w:pPr>
        <w:ind w:firstLine="708"/>
        <w:rPr>
          <w:rFonts w:ascii="Arial" w:hAnsi="Arial" w:cs="Arial"/>
          <w:bCs/>
          <w:color w:val="000000" w:themeColor="text1"/>
          <w:sz w:val="22"/>
          <w:lang w:val="es-ES"/>
        </w:rPr>
      </w:pPr>
      <w:r w:rsidRPr="000612C9">
        <w:rPr>
          <w:rFonts w:ascii="Arial" w:hAnsi="Arial" w:cs="Arial"/>
          <w:bCs/>
          <w:color w:val="000000" w:themeColor="text1"/>
          <w:sz w:val="22"/>
          <w:lang w:val="es-ES"/>
        </w:rPr>
        <w:t>El Consejo de Estado identificó la existencia de un único tipo de contrato, el contrato estatal, pero dos grandes categorías que responden a su régimen jurídico: contrato estatal propiamente dicho con un régimen jurídico de derecho público-administrativo y contrato estatal especial</w:t>
      </w:r>
      <w:r w:rsidR="00710134"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con un régimen jurídico especial, por regla general de derecho privado.</w:t>
      </w:r>
    </w:p>
    <w:p w14:paraId="32AD1D37" w14:textId="0E8B62A7" w:rsidR="00976295" w:rsidRPr="000612C9" w:rsidRDefault="00141CCA" w:rsidP="00D7568C">
      <w:pPr>
        <w:ind w:firstLine="708"/>
        <w:rPr>
          <w:rFonts w:ascii="Arial" w:hAnsi="Arial" w:cs="Arial"/>
          <w:bCs/>
          <w:color w:val="000000" w:themeColor="text1"/>
          <w:sz w:val="22"/>
          <w:lang w:val="es-ES"/>
        </w:rPr>
      </w:pPr>
      <w:r w:rsidRPr="000612C9">
        <w:rPr>
          <w:rFonts w:ascii="Arial" w:hAnsi="Arial" w:cs="Arial"/>
          <w:bCs/>
          <w:color w:val="000000" w:themeColor="text1"/>
          <w:sz w:val="22"/>
          <w:lang w:val="es-ES"/>
        </w:rPr>
        <w:t xml:space="preserve">En este punto vale la pena </w:t>
      </w:r>
      <w:r w:rsidR="00361495" w:rsidRPr="000612C9">
        <w:rPr>
          <w:rFonts w:ascii="Arial" w:hAnsi="Arial" w:cs="Arial"/>
          <w:bCs/>
          <w:color w:val="000000" w:themeColor="text1"/>
          <w:sz w:val="22"/>
          <w:lang w:val="es-ES"/>
        </w:rPr>
        <w:t>resaltar</w:t>
      </w:r>
      <w:r w:rsidRPr="000612C9">
        <w:rPr>
          <w:rFonts w:ascii="Arial" w:hAnsi="Arial" w:cs="Arial"/>
          <w:bCs/>
          <w:color w:val="000000" w:themeColor="text1"/>
          <w:sz w:val="22"/>
          <w:lang w:val="es-ES"/>
        </w:rPr>
        <w:t xml:space="preserve"> que en el ordenamiento jurídico colombiano cuando se piensa en los regímenes especiales de contratación, por regla general se hace referencia al régimen de determinadas entidades estatales. Tal sería el caso de las </w:t>
      </w:r>
      <w:r w:rsidR="00361495" w:rsidRPr="000612C9">
        <w:rPr>
          <w:rFonts w:ascii="Arial" w:hAnsi="Arial" w:cs="Arial"/>
          <w:bCs/>
          <w:color w:val="000000" w:themeColor="text1"/>
          <w:sz w:val="22"/>
          <w:lang w:val="es-ES"/>
        </w:rPr>
        <w:t>e</w:t>
      </w:r>
      <w:r w:rsidRPr="000612C9">
        <w:rPr>
          <w:rFonts w:ascii="Arial" w:hAnsi="Arial" w:cs="Arial"/>
          <w:bCs/>
          <w:color w:val="000000" w:themeColor="text1"/>
          <w:sz w:val="22"/>
          <w:lang w:val="es-ES"/>
        </w:rPr>
        <w:t xml:space="preserve">mpresas de </w:t>
      </w:r>
      <w:r w:rsidR="00361495" w:rsidRPr="000612C9">
        <w:rPr>
          <w:rFonts w:ascii="Arial" w:hAnsi="Arial" w:cs="Arial"/>
          <w:bCs/>
          <w:color w:val="000000" w:themeColor="text1"/>
          <w:sz w:val="22"/>
          <w:lang w:val="es-ES"/>
        </w:rPr>
        <w:t>s</w:t>
      </w:r>
      <w:r w:rsidRPr="000612C9">
        <w:rPr>
          <w:rFonts w:ascii="Arial" w:hAnsi="Arial" w:cs="Arial"/>
          <w:bCs/>
          <w:color w:val="000000" w:themeColor="text1"/>
          <w:sz w:val="22"/>
          <w:lang w:val="es-ES"/>
        </w:rPr>
        <w:t xml:space="preserve">ervicios </w:t>
      </w:r>
      <w:r w:rsidR="00361495" w:rsidRPr="000612C9">
        <w:rPr>
          <w:rFonts w:ascii="Arial" w:hAnsi="Arial" w:cs="Arial"/>
          <w:bCs/>
          <w:color w:val="000000" w:themeColor="text1"/>
          <w:sz w:val="22"/>
          <w:lang w:val="es-ES"/>
        </w:rPr>
        <w:t>p</w:t>
      </w:r>
      <w:r w:rsidRPr="000612C9">
        <w:rPr>
          <w:rFonts w:ascii="Arial" w:hAnsi="Arial" w:cs="Arial"/>
          <w:bCs/>
          <w:color w:val="000000" w:themeColor="text1"/>
          <w:sz w:val="22"/>
          <w:lang w:val="es-ES"/>
        </w:rPr>
        <w:t>úblicos</w:t>
      </w:r>
      <w:r w:rsidR="00361495" w:rsidRPr="000612C9">
        <w:rPr>
          <w:rFonts w:ascii="Arial" w:hAnsi="Arial" w:cs="Arial"/>
          <w:bCs/>
          <w:color w:val="000000" w:themeColor="text1"/>
          <w:sz w:val="22"/>
          <w:lang w:val="es-ES"/>
        </w:rPr>
        <w:t xml:space="preserve"> domiciliarios,</w:t>
      </w:r>
      <w:r w:rsidRPr="000612C9">
        <w:rPr>
          <w:rFonts w:ascii="Arial" w:hAnsi="Arial" w:cs="Arial"/>
          <w:bCs/>
          <w:color w:val="000000" w:themeColor="text1"/>
          <w:sz w:val="22"/>
          <w:lang w:val="es-ES"/>
        </w:rPr>
        <w:t xml:space="preserve"> de conformidad con el artículo 31 de la Ley 142 de 199</w:t>
      </w:r>
      <w:r w:rsidR="00976295" w:rsidRPr="000612C9">
        <w:rPr>
          <w:rFonts w:ascii="Arial" w:hAnsi="Arial" w:cs="Arial"/>
          <w:bCs/>
          <w:color w:val="000000" w:themeColor="text1"/>
          <w:sz w:val="22"/>
          <w:lang w:val="es-ES"/>
        </w:rPr>
        <w:t xml:space="preserve">4, </w:t>
      </w:r>
      <w:r w:rsidR="00361495" w:rsidRPr="000612C9">
        <w:rPr>
          <w:rFonts w:ascii="Arial" w:hAnsi="Arial" w:cs="Arial"/>
          <w:bCs/>
          <w:color w:val="000000" w:themeColor="text1"/>
          <w:sz w:val="22"/>
          <w:lang w:val="es-ES"/>
        </w:rPr>
        <w:t xml:space="preserve">de </w:t>
      </w:r>
      <w:r w:rsidR="00976295" w:rsidRPr="000612C9">
        <w:rPr>
          <w:rFonts w:ascii="Arial" w:hAnsi="Arial" w:cs="Arial"/>
          <w:bCs/>
          <w:color w:val="000000" w:themeColor="text1"/>
          <w:sz w:val="22"/>
          <w:lang w:val="es-ES"/>
        </w:rPr>
        <w:t xml:space="preserve">las </w:t>
      </w:r>
      <w:r w:rsidR="00361495" w:rsidRPr="000612C9">
        <w:rPr>
          <w:rFonts w:ascii="Arial" w:hAnsi="Arial" w:cs="Arial"/>
          <w:bCs/>
          <w:color w:val="000000" w:themeColor="text1"/>
          <w:sz w:val="22"/>
          <w:lang w:val="es-ES"/>
        </w:rPr>
        <w:t>entidades</w:t>
      </w:r>
      <w:r w:rsidR="00976295" w:rsidRPr="000612C9">
        <w:rPr>
          <w:rFonts w:ascii="Arial" w:hAnsi="Arial" w:cs="Arial"/>
          <w:bCs/>
          <w:color w:val="000000" w:themeColor="text1"/>
          <w:sz w:val="22"/>
          <w:lang w:val="es-ES"/>
        </w:rPr>
        <w:t xml:space="preserve"> </w:t>
      </w:r>
      <w:r w:rsidR="00361495" w:rsidRPr="000612C9">
        <w:rPr>
          <w:rFonts w:ascii="Arial" w:hAnsi="Arial" w:cs="Arial"/>
          <w:bCs/>
          <w:color w:val="000000" w:themeColor="text1"/>
          <w:sz w:val="22"/>
          <w:lang w:val="es-ES"/>
        </w:rPr>
        <w:t>indicadas en</w:t>
      </w:r>
      <w:r w:rsidR="00976295" w:rsidRPr="000612C9">
        <w:rPr>
          <w:rFonts w:ascii="Arial" w:hAnsi="Arial" w:cs="Arial"/>
          <w:bCs/>
          <w:color w:val="000000" w:themeColor="text1"/>
          <w:sz w:val="22"/>
          <w:lang w:val="es-ES"/>
        </w:rPr>
        <w:t xml:space="preserve"> el artículo 14 de la Ley 1150 de 2007, y </w:t>
      </w:r>
      <w:r w:rsidR="00361495" w:rsidRPr="000612C9">
        <w:rPr>
          <w:rFonts w:ascii="Arial" w:hAnsi="Arial" w:cs="Arial"/>
          <w:bCs/>
          <w:color w:val="000000" w:themeColor="text1"/>
          <w:sz w:val="22"/>
          <w:lang w:val="es-ES"/>
        </w:rPr>
        <w:t xml:space="preserve">de </w:t>
      </w:r>
      <w:r w:rsidR="00976295" w:rsidRPr="000612C9">
        <w:rPr>
          <w:rFonts w:ascii="Arial" w:hAnsi="Arial" w:cs="Arial"/>
          <w:bCs/>
          <w:color w:val="000000" w:themeColor="text1"/>
          <w:sz w:val="22"/>
          <w:lang w:val="es-ES"/>
        </w:rPr>
        <w:t xml:space="preserve">las </w:t>
      </w:r>
      <w:r w:rsidR="00361495" w:rsidRPr="000612C9">
        <w:rPr>
          <w:rFonts w:ascii="Arial" w:hAnsi="Arial" w:cs="Arial"/>
          <w:bCs/>
          <w:color w:val="000000" w:themeColor="text1"/>
          <w:sz w:val="22"/>
          <w:lang w:val="es-ES"/>
        </w:rPr>
        <w:t>u</w:t>
      </w:r>
      <w:r w:rsidR="00976295" w:rsidRPr="000612C9">
        <w:rPr>
          <w:rFonts w:ascii="Arial" w:hAnsi="Arial" w:cs="Arial"/>
          <w:bCs/>
          <w:color w:val="000000" w:themeColor="text1"/>
          <w:sz w:val="22"/>
          <w:lang w:val="es-ES"/>
        </w:rPr>
        <w:t>niversidades estatales u oficiales</w:t>
      </w:r>
      <w:r w:rsidR="00361495" w:rsidRPr="000612C9">
        <w:rPr>
          <w:rFonts w:ascii="Arial" w:hAnsi="Arial" w:cs="Arial"/>
          <w:bCs/>
          <w:color w:val="000000" w:themeColor="text1"/>
          <w:sz w:val="22"/>
          <w:lang w:val="es-ES"/>
        </w:rPr>
        <w:t>,</w:t>
      </w:r>
      <w:r w:rsidR="00976295" w:rsidRPr="000612C9">
        <w:rPr>
          <w:rFonts w:ascii="Arial" w:hAnsi="Arial" w:cs="Arial"/>
          <w:bCs/>
          <w:color w:val="000000" w:themeColor="text1"/>
          <w:sz w:val="22"/>
          <w:lang w:val="es-ES"/>
        </w:rPr>
        <w:t xml:space="preserve"> según el artículo 93 de la Ley 30 de 1993. Esta afirmación, sin embargo, no pretende desconocer que dicho régimen especial se otorga justamente en consideración al especial tipo de actividades desplegadas por estas entidades. </w:t>
      </w:r>
    </w:p>
    <w:p w14:paraId="5BB32A9F" w14:textId="2FF3DFC3" w:rsidR="00AC5F3A" w:rsidRPr="000612C9" w:rsidRDefault="00976295" w:rsidP="008160B2">
      <w:pPr>
        <w:ind w:firstLine="708"/>
        <w:rPr>
          <w:rFonts w:ascii="Arial" w:hAnsi="Arial" w:cs="Arial"/>
          <w:bCs/>
          <w:color w:val="000000" w:themeColor="text1"/>
          <w:sz w:val="22"/>
          <w:lang w:val="es-ES"/>
        </w:rPr>
      </w:pPr>
      <w:r w:rsidRPr="000612C9">
        <w:rPr>
          <w:rFonts w:ascii="Arial" w:hAnsi="Arial" w:cs="Arial"/>
          <w:bCs/>
          <w:color w:val="000000" w:themeColor="text1"/>
          <w:sz w:val="22"/>
          <w:lang w:val="es-ES"/>
        </w:rPr>
        <w:t xml:space="preserve">Ahora bien, los regímenes especiales en el ordenamiento colombiano no se dan exclusivamente en atención a cierto tipo de sujetos (EICE, SEM, ESP), sino también para cierto tipo de objetos. </w:t>
      </w:r>
      <w:r w:rsidR="001F7341" w:rsidRPr="000612C9">
        <w:rPr>
          <w:rFonts w:ascii="Arial" w:hAnsi="Arial" w:cs="Arial"/>
          <w:bCs/>
          <w:color w:val="000000" w:themeColor="text1"/>
          <w:sz w:val="22"/>
          <w:lang w:val="es-ES"/>
        </w:rPr>
        <w:t>Este</w:t>
      </w:r>
      <w:r w:rsidRPr="000612C9">
        <w:rPr>
          <w:rFonts w:ascii="Arial" w:hAnsi="Arial" w:cs="Arial"/>
          <w:bCs/>
          <w:color w:val="000000" w:themeColor="text1"/>
          <w:sz w:val="22"/>
          <w:lang w:val="es-ES"/>
        </w:rPr>
        <w:t xml:space="preserve"> es el caso del régimen jurídico establecido en el artículo 66 de la Ley 1523 de 2012</w:t>
      </w:r>
      <w:r w:rsidR="00B04012"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que establece un régimen especial de derecho </w:t>
      </w:r>
      <w:r w:rsidR="00D7568C" w:rsidRPr="000612C9">
        <w:rPr>
          <w:rFonts w:ascii="Arial" w:hAnsi="Arial" w:cs="Arial"/>
          <w:bCs/>
          <w:color w:val="000000" w:themeColor="text1"/>
          <w:sz w:val="22"/>
          <w:lang w:val="es-ES"/>
        </w:rPr>
        <w:t>privado</w:t>
      </w:r>
      <w:r w:rsidRPr="000612C9">
        <w:rPr>
          <w:rFonts w:ascii="Arial" w:hAnsi="Arial" w:cs="Arial"/>
          <w:bCs/>
          <w:color w:val="000000" w:themeColor="text1"/>
          <w:sz w:val="22"/>
          <w:lang w:val="es-ES"/>
        </w:rPr>
        <w:t xml:space="preserve"> </w:t>
      </w:r>
      <w:proofErr w:type="gramStart"/>
      <w:r w:rsidR="00D7568C" w:rsidRPr="000612C9">
        <w:rPr>
          <w:rFonts w:ascii="Arial" w:hAnsi="Arial" w:cs="Arial"/>
          <w:bCs/>
          <w:color w:val="000000" w:themeColor="text1"/>
          <w:sz w:val="22"/>
          <w:lang w:val="es-ES"/>
        </w:rPr>
        <w:t>en razón de</w:t>
      </w:r>
      <w:proofErr w:type="gramEnd"/>
      <w:r w:rsidR="00D7568C" w:rsidRPr="000612C9">
        <w:rPr>
          <w:rFonts w:ascii="Arial" w:hAnsi="Arial" w:cs="Arial"/>
          <w:bCs/>
          <w:color w:val="000000" w:themeColor="text1"/>
          <w:sz w:val="22"/>
          <w:lang w:val="es-ES"/>
        </w:rPr>
        <w:t xml:space="preserve"> la</w:t>
      </w:r>
      <w:r w:rsidRPr="000612C9">
        <w:rPr>
          <w:rFonts w:ascii="Arial" w:hAnsi="Arial" w:cs="Arial"/>
          <w:bCs/>
          <w:color w:val="000000" w:themeColor="text1"/>
          <w:sz w:val="22"/>
          <w:lang w:val="es-ES"/>
        </w:rPr>
        <w:t xml:space="preserve"> especial consideración </w:t>
      </w:r>
      <w:r w:rsidR="00D7568C" w:rsidRPr="000612C9">
        <w:rPr>
          <w:rFonts w:ascii="Arial" w:hAnsi="Arial" w:cs="Arial"/>
          <w:bCs/>
          <w:color w:val="000000" w:themeColor="text1"/>
          <w:sz w:val="22"/>
          <w:lang w:val="es-ES"/>
        </w:rPr>
        <w:t xml:space="preserve">que merece </w:t>
      </w:r>
      <w:r w:rsidRPr="000612C9">
        <w:rPr>
          <w:rFonts w:ascii="Arial" w:hAnsi="Arial" w:cs="Arial"/>
          <w:bCs/>
          <w:color w:val="000000" w:themeColor="text1"/>
          <w:sz w:val="22"/>
          <w:lang w:val="es-ES"/>
        </w:rPr>
        <w:t>el objeto a contratar. Otro ejemplo en este sentido se puede encontrar en el Decreto 544 de 2020 que estableció un régimen de contratación sometido al derecho privado, que no se rige por el Estatuto General de Contratación de la Administración Pública</w:t>
      </w:r>
      <w:r w:rsidR="006B5FA9" w:rsidRPr="000612C9">
        <w:rPr>
          <w:rFonts w:ascii="Arial" w:hAnsi="Arial" w:cs="Arial"/>
          <w:bCs/>
          <w:color w:val="000000" w:themeColor="text1"/>
          <w:sz w:val="22"/>
          <w:lang w:val="es-ES"/>
        </w:rPr>
        <w:t xml:space="preserve">, para los contratos que </w:t>
      </w:r>
      <w:r w:rsidR="00B04012" w:rsidRPr="000612C9">
        <w:rPr>
          <w:rFonts w:ascii="Arial" w:hAnsi="Arial" w:cs="Arial"/>
          <w:bCs/>
          <w:color w:val="000000" w:themeColor="text1"/>
          <w:sz w:val="22"/>
          <w:lang w:val="es-ES"/>
        </w:rPr>
        <w:t>«</w:t>
      </w:r>
      <w:r w:rsidR="006B5FA9" w:rsidRPr="000612C9">
        <w:rPr>
          <w:rFonts w:ascii="Arial" w:hAnsi="Arial" w:cs="Arial"/>
          <w:bCs/>
          <w:color w:val="000000" w:themeColor="text1"/>
          <w:sz w:val="22"/>
          <w:lang w:val="es-ES"/>
        </w:rPr>
        <w:t>tengan por objeto la adquisición en el mercado internacional de los elementos que a continuación se indican</w:t>
      </w:r>
      <w:r w:rsidR="00B04012" w:rsidRPr="000612C9">
        <w:rPr>
          <w:rFonts w:ascii="Arial" w:hAnsi="Arial" w:cs="Arial"/>
          <w:bCs/>
          <w:color w:val="000000" w:themeColor="text1"/>
          <w:sz w:val="22"/>
          <w:lang w:val="es-ES"/>
        </w:rPr>
        <w:t xml:space="preserve">». </w:t>
      </w:r>
    </w:p>
    <w:p w14:paraId="4952D52E" w14:textId="1A160F93" w:rsidR="006B5FA9" w:rsidRPr="000612C9" w:rsidRDefault="006B5FA9" w:rsidP="00D7568C">
      <w:pPr>
        <w:ind w:firstLine="708"/>
        <w:rPr>
          <w:rFonts w:ascii="Arial" w:hAnsi="Arial" w:cs="Arial"/>
          <w:bCs/>
          <w:color w:val="000000" w:themeColor="text1"/>
          <w:sz w:val="22"/>
          <w:lang w:val="es-ES"/>
        </w:rPr>
      </w:pPr>
      <w:r w:rsidRPr="000612C9">
        <w:rPr>
          <w:rFonts w:ascii="Arial" w:hAnsi="Arial" w:cs="Arial"/>
          <w:bCs/>
          <w:color w:val="000000" w:themeColor="text1"/>
          <w:sz w:val="22"/>
          <w:lang w:val="es-ES"/>
        </w:rPr>
        <w:t>Con base en lo indicado</w:t>
      </w:r>
      <w:r w:rsidR="00B04012"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se podría, a grandes rasgos, hacer una clasificación general entre regímenes especiales</w:t>
      </w:r>
      <w:r w:rsidR="00AB3212"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que atienden principalmente al sujeto</w:t>
      </w:r>
      <w:r w:rsidR="00AB3212"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y regímenes especiales que atienden principalmente al objeto. </w:t>
      </w:r>
      <w:r w:rsidR="00D7568C" w:rsidRPr="000612C9">
        <w:rPr>
          <w:rFonts w:ascii="Arial" w:hAnsi="Arial" w:cs="Arial"/>
          <w:bCs/>
          <w:color w:val="000000" w:themeColor="text1"/>
          <w:sz w:val="22"/>
          <w:lang w:val="es-ES"/>
        </w:rPr>
        <w:t>Esta</w:t>
      </w:r>
      <w:r w:rsidRPr="000612C9">
        <w:rPr>
          <w:rFonts w:ascii="Arial" w:hAnsi="Arial" w:cs="Arial"/>
          <w:bCs/>
          <w:color w:val="000000" w:themeColor="text1"/>
          <w:sz w:val="22"/>
          <w:lang w:val="es-ES"/>
        </w:rPr>
        <w:t xml:space="preserve"> clasificación conceptual </w:t>
      </w:r>
      <w:r w:rsidR="00D7568C" w:rsidRPr="000612C9">
        <w:rPr>
          <w:rFonts w:ascii="Arial" w:hAnsi="Arial" w:cs="Arial"/>
          <w:bCs/>
          <w:color w:val="000000" w:themeColor="text1"/>
          <w:sz w:val="22"/>
          <w:lang w:val="es-ES"/>
        </w:rPr>
        <w:t>tiene como efecto práctico resaltar que unos y otros son regímenes especiales. Así, por ejemplo, t</w:t>
      </w:r>
      <w:r w:rsidRPr="000612C9">
        <w:rPr>
          <w:rFonts w:ascii="Arial" w:hAnsi="Arial" w:cs="Arial"/>
          <w:bCs/>
          <w:color w:val="000000" w:themeColor="text1"/>
          <w:sz w:val="22"/>
          <w:lang w:val="es-ES"/>
        </w:rPr>
        <w:t xml:space="preserve">anto el régimen jurídico de las </w:t>
      </w:r>
      <w:r w:rsidR="00AB3212" w:rsidRPr="000612C9">
        <w:rPr>
          <w:rFonts w:ascii="Arial" w:hAnsi="Arial" w:cs="Arial"/>
          <w:bCs/>
          <w:color w:val="000000" w:themeColor="text1"/>
          <w:sz w:val="22"/>
          <w:lang w:val="es-ES"/>
        </w:rPr>
        <w:t>e</w:t>
      </w:r>
      <w:r w:rsidRPr="000612C9">
        <w:rPr>
          <w:rFonts w:ascii="Arial" w:hAnsi="Arial" w:cs="Arial"/>
          <w:bCs/>
          <w:color w:val="000000" w:themeColor="text1"/>
          <w:sz w:val="22"/>
          <w:lang w:val="es-ES"/>
        </w:rPr>
        <w:t xml:space="preserve">mpresas </w:t>
      </w:r>
      <w:r w:rsidR="00AB3212" w:rsidRPr="000612C9">
        <w:rPr>
          <w:rFonts w:ascii="Arial" w:hAnsi="Arial" w:cs="Arial"/>
          <w:bCs/>
          <w:color w:val="000000" w:themeColor="text1"/>
          <w:sz w:val="22"/>
          <w:lang w:val="es-ES"/>
        </w:rPr>
        <w:t>i</w:t>
      </w:r>
      <w:r w:rsidRPr="000612C9">
        <w:rPr>
          <w:rFonts w:ascii="Arial" w:hAnsi="Arial" w:cs="Arial"/>
          <w:bCs/>
          <w:color w:val="000000" w:themeColor="text1"/>
          <w:sz w:val="22"/>
          <w:lang w:val="es-ES"/>
        </w:rPr>
        <w:t xml:space="preserve">ndustriales y </w:t>
      </w:r>
      <w:r w:rsidR="00AB3212" w:rsidRPr="000612C9">
        <w:rPr>
          <w:rFonts w:ascii="Arial" w:hAnsi="Arial" w:cs="Arial"/>
          <w:bCs/>
          <w:color w:val="000000" w:themeColor="text1"/>
          <w:sz w:val="22"/>
          <w:lang w:val="es-ES"/>
        </w:rPr>
        <w:t>c</w:t>
      </w:r>
      <w:r w:rsidRPr="000612C9">
        <w:rPr>
          <w:rFonts w:ascii="Arial" w:hAnsi="Arial" w:cs="Arial"/>
          <w:bCs/>
          <w:color w:val="000000" w:themeColor="text1"/>
          <w:sz w:val="22"/>
          <w:lang w:val="es-ES"/>
        </w:rPr>
        <w:t>omerciales del Estado, en competencia o mercado regulado, como el régimen del artículo 66 de la Ley 1562 de 2012</w:t>
      </w:r>
      <w:r w:rsidR="00AB3212"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son regímenes especiales a la luz del derecho de la contratación estatal. Por lo mismo</w:t>
      </w:r>
      <w:r w:rsidR="001F7341"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tanto uno como otro régimen están sometidos, en principio</w:t>
      </w:r>
      <w:r w:rsidR="001F7341"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al derecho privado</w:t>
      </w:r>
      <w:r w:rsidR="00D7568C" w:rsidRPr="000612C9">
        <w:rPr>
          <w:rFonts w:ascii="Arial" w:hAnsi="Arial" w:cs="Arial"/>
          <w:bCs/>
          <w:color w:val="000000" w:themeColor="text1"/>
          <w:sz w:val="22"/>
          <w:lang w:val="es-ES"/>
        </w:rPr>
        <w:t xml:space="preserve"> con algunas particularidades propias del derecho público</w:t>
      </w:r>
      <w:r w:rsidRPr="000612C9">
        <w:rPr>
          <w:rFonts w:ascii="Arial" w:hAnsi="Arial" w:cs="Arial"/>
          <w:bCs/>
          <w:color w:val="000000" w:themeColor="text1"/>
          <w:sz w:val="22"/>
          <w:lang w:val="es-ES"/>
        </w:rPr>
        <w:t xml:space="preserve">. </w:t>
      </w:r>
    </w:p>
    <w:p w14:paraId="2C89BBF3" w14:textId="0AE8D5F5" w:rsidR="00141CCA" w:rsidRPr="000612C9" w:rsidRDefault="001F7341" w:rsidP="008160B2">
      <w:pPr>
        <w:ind w:firstLine="708"/>
        <w:rPr>
          <w:rFonts w:ascii="Arial" w:hAnsi="Arial" w:cs="Arial"/>
          <w:bCs/>
          <w:color w:val="000000" w:themeColor="text1"/>
          <w:sz w:val="22"/>
          <w:lang w:val="es-ES"/>
        </w:rPr>
      </w:pPr>
      <w:r w:rsidRPr="000612C9">
        <w:rPr>
          <w:rFonts w:ascii="Arial" w:hAnsi="Arial" w:cs="Arial"/>
          <w:bCs/>
          <w:color w:val="000000" w:themeColor="text1"/>
          <w:sz w:val="22"/>
          <w:lang w:val="es-ES"/>
        </w:rPr>
        <w:lastRenderedPageBreak/>
        <w:t>Entonces, e</w:t>
      </w:r>
      <w:r w:rsidR="00141CCA" w:rsidRPr="000612C9">
        <w:rPr>
          <w:rFonts w:ascii="Arial" w:hAnsi="Arial" w:cs="Arial"/>
          <w:bCs/>
          <w:color w:val="000000" w:themeColor="text1"/>
          <w:sz w:val="22"/>
          <w:lang w:val="es-ES"/>
        </w:rPr>
        <w:t>l régimen de derecho privado que</w:t>
      </w:r>
      <w:r w:rsidR="005E139E" w:rsidRPr="000612C9">
        <w:rPr>
          <w:rFonts w:ascii="Arial" w:hAnsi="Arial" w:cs="Arial"/>
          <w:bCs/>
          <w:color w:val="000000" w:themeColor="text1"/>
          <w:sz w:val="22"/>
          <w:lang w:val="es-ES"/>
        </w:rPr>
        <w:t>,</w:t>
      </w:r>
      <w:r w:rsidR="00141CCA" w:rsidRPr="000612C9">
        <w:rPr>
          <w:rFonts w:ascii="Arial" w:hAnsi="Arial" w:cs="Arial"/>
          <w:bCs/>
          <w:color w:val="000000" w:themeColor="text1"/>
          <w:sz w:val="22"/>
          <w:lang w:val="es-ES"/>
        </w:rPr>
        <w:t xml:space="preserve"> por regla general</w:t>
      </w:r>
      <w:r w:rsidR="005E139E" w:rsidRPr="000612C9">
        <w:rPr>
          <w:rFonts w:ascii="Arial" w:hAnsi="Arial" w:cs="Arial"/>
          <w:bCs/>
          <w:color w:val="000000" w:themeColor="text1"/>
          <w:sz w:val="22"/>
          <w:lang w:val="es-ES"/>
        </w:rPr>
        <w:t>,</w:t>
      </w:r>
      <w:r w:rsidR="00141CCA" w:rsidRPr="000612C9">
        <w:rPr>
          <w:rFonts w:ascii="Arial" w:hAnsi="Arial" w:cs="Arial"/>
          <w:bCs/>
          <w:color w:val="000000" w:themeColor="text1"/>
          <w:sz w:val="22"/>
          <w:lang w:val="es-ES"/>
        </w:rPr>
        <w:t xml:space="preserve"> </w:t>
      </w:r>
      <w:r w:rsidR="006B5FA9" w:rsidRPr="000612C9">
        <w:rPr>
          <w:rFonts w:ascii="Arial" w:hAnsi="Arial" w:cs="Arial"/>
          <w:bCs/>
          <w:color w:val="000000" w:themeColor="text1"/>
          <w:sz w:val="22"/>
          <w:lang w:val="es-ES"/>
        </w:rPr>
        <w:t>caracteriza</w:t>
      </w:r>
      <w:r w:rsidR="00141CCA" w:rsidRPr="000612C9">
        <w:rPr>
          <w:rFonts w:ascii="Arial" w:hAnsi="Arial" w:cs="Arial"/>
          <w:bCs/>
          <w:color w:val="000000" w:themeColor="text1"/>
          <w:sz w:val="22"/>
          <w:lang w:val="es-ES"/>
        </w:rPr>
        <w:t xml:space="preserve"> </w:t>
      </w:r>
      <w:r w:rsidR="006B5FA9" w:rsidRPr="000612C9">
        <w:rPr>
          <w:rFonts w:ascii="Arial" w:hAnsi="Arial" w:cs="Arial"/>
          <w:bCs/>
          <w:color w:val="000000" w:themeColor="text1"/>
          <w:sz w:val="22"/>
          <w:lang w:val="es-ES"/>
        </w:rPr>
        <w:t>a los regímenes especiales</w:t>
      </w:r>
      <w:r w:rsidR="00141CCA" w:rsidRPr="000612C9">
        <w:rPr>
          <w:rFonts w:ascii="Arial" w:hAnsi="Arial" w:cs="Arial"/>
          <w:bCs/>
          <w:color w:val="000000" w:themeColor="text1"/>
          <w:sz w:val="22"/>
          <w:lang w:val="es-ES"/>
        </w:rPr>
        <w:t xml:space="preserve"> no significa que no existan </w:t>
      </w:r>
      <w:r w:rsidR="005E139E" w:rsidRPr="000612C9">
        <w:rPr>
          <w:rFonts w:ascii="Arial" w:hAnsi="Arial" w:cs="Arial"/>
          <w:bCs/>
          <w:color w:val="000000" w:themeColor="text1"/>
          <w:sz w:val="22"/>
          <w:lang w:val="es-ES"/>
        </w:rPr>
        <w:t>«</w:t>
      </w:r>
      <w:r w:rsidR="00141CCA" w:rsidRPr="000612C9">
        <w:rPr>
          <w:rFonts w:ascii="Arial" w:hAnsi="Arial" w:cs="Arial"/>
          <w:bCs/>
          <w:color w:val="000000" w:themeColor="text1"/>
          <w:sz w:val="22"/>
          <w:lang w:val="es-ES"/>
        </w:rPr>
        <w:t>dosis</w:t>
      </w:r>
      <w:r w:rsidR="005E139E" w:rsidRPr="000612C9">
        <w:rPr>
          <w:rFonts w:ascii="Arial" w:hAnsi="Arial" w:cs="Arial"/>
          <w:bCs/>
          <w:color w:val="000000" w:themeColor="text1"/>
          <w:sz w:val="22"/>
          <w:lang w:val="es-ES"/>
        </w:rPr>
        <w:t>»</w:t>
      </w:r>
      <w:r w:rsidR="00141CCA" w:rsidRPr="000612C9">
        <w:rPr>
          <w:rFonts w:ascii="Arial" w:hAnsi="Arial" w:cs="Arial"/>
          <w:bCs/>
          <w:color w:val="000000" w:themeColor="text1"/>
          <w:sz w:val="22"/>
          <w:lang w:val="es-ES"/>
        </w:rPr>
        <w:t xml:space="preserve"> de derecho público administrativo que tienen como fin último garantizar que los regímenes especiales de contratación también se ordenen hacia la consecución de los fines del estado.</w:t>
      </w:r>
    </w:p>
    <w:p w14:paraId="48226A1E" w14:textId="328E82FA" w:rsidR="00141CCA" w:rsidRPr="000612C9" w:rsidRDefault="00141CCA" w:rsidP="008160B2">
      <w:pPr>
        <w:ind w:firstLine="708"/>
        <w:rPr>
          <w:rFonts w:ascii="Arial" w:hAnsi="Arial" w:cs="Arial"/>
          <w:bCs/>
          <w:color w:val="000000" w:themeColor="text1"/>
          <w:sz w:val="22"/>
          <w:lang w:val="es-ES"/>
        </w:rPr>
      </w:pPr>
      <w:r w:rsidRPr="000612C9">
        <w:rPr>
          <w:rFonts w:ascii="Arial" w:hAnsi="Arial" w:cs="Arial"/>
          <w:bCs/>
          <w:color w:val="000000" w:themeColor="text1"/>
          <w:sz w:val="22"/>
          <w:lang w:val="es-ES"/>
        </w:rPr>
        <w:t xml:space="preserve">Estas </w:t>
      </w:r>
      <w:r w:rsidR="005E139E"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dosis</w:t>
      </w:r>
      <w:r w:rsidR="005E139E"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de derecho administrativo encuentran su manifestación tanto en la forma de reglas como en la forma</w:t>
      </w:r>
      <w:r w:rsidR="00D7568C" w:rsidRPr="000612C9">
        <w:rPr>
          <w:rFonts w:ascii="Arial" w:hAnsi="Arial" w:cs="Arial"/>
          <w:bCs/>
          <w:color w:val="000000" w:themeColor="text1"/>
          <w:sz w:val="22"/>
          <w:lang w:val="es-ES"/>
        </w:rPr>
        <w:t xml:space="preserve"> de</w:t>
      </w:r>
      <w:r w:rsidRPr="000612C9">
        <w:rPr>
          <w:rFonts w:ascii="Arial" w:hAnsi="Arial" w:cs="Arial"/>
          <w:bCs/>
          <w:color w:val="000000" w:themeColor="text1"/>
          <w:sz w:val="22"/>
          <w:lang w:val="es-ES"/>
        </w:rPr>
        <w:t xml:space="preserve"> principios aplicables al régimen especial. En relación con este segundo tipo</w:t>
      </w:r>
      <w:r w:rsidR="006B5FA9"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 xml:space="preserve"> esto es, principios aplicables a regímenes especiales</w:t>
      </w:r>
      <w:r w:rsidR="006B5FA9" w:rsidRPr="000612C9">
        <w:rPr>
          <w:rFonts w:ascii="Arial" w:hAnsi="Arial" w:cs="Arial"/>
          <w:bCs/>
          <w:color w:val="000000" w:themeColor="text1"/>
          <w:sz w:val="22"/>
          <w:lang w:val="es-ES"/>
        </w:rPr>
        <w:t xml:space="preserve"> de contratación</w:t>
      </w:r>
      <w:r w:rsidRPr="000612C9">
        <w:rPr>
          <w:rFonts w:ascii="Arial" w:hAnsi="Arial" w:cs="Arial"/>
          <w:bCs/>
          <w:color w:val="000000" w:themeColor="text1"/>
          <w:sz w:val="22"/>
          <w:lang w:val="es-ES"/>
        </w:rPr>
        <w:t>, la norma por antonomasia</w:t>
      </w:r>
      <w:r w:rsidR="006B5FA9" w:rsidRPr="000612C9">
        <w:rPr>
          <w:rFonts w:ascii="Arial" w:hAnsi="Arial" w:cs="Arial"/>
          <w:bCs/>
          <w:color w:val="000000" w:themeColor="text1"/>
          <w:sz w:val="22"/>
          <w:lang w:val="es-ES"/>
        </w:rPr>
        <w:t xml:space="preserve"> en el asunto</w:t>
      </w:r>
      <w:r w:rsidRPr="000612C9">
        <w:rPr>
          <w:rFonts w:ascii="Arial" w:hAnsi="Arial" w:cs="Arial"/>
          <w:bCs/>
          <w:color w:val="000000" w:themeColor="text1"/>
          <w:sz w:val="22"/>
          <w:lang w:val="es-ES"/>
        </w:rPr>
        <w:t xml:space="preserve"> es el artículo 13 de la Ley 1150 de 2007 que preceptúa con toda claridad lo siguiente:</w:t>
      </w:r>
    </w:p>
    <w:p w14:paraId="2EF18D82" w14:textId="58DC72AB" w:rsidR="00141CCA" w:rsidRPr="000612C9" w:rsidRDefault="00141CCA" w:rsidP="008160B2">
      <w:pPr>
        <w:ind w:firstLine="708"/>
        <w:rPr>
          <w:rFonts w:ascii="Arial" w:hAnsi="Arial" w:cs="Arial"/>
          <w:bCs/>
          <w:color w:val="000000" w:themeColor="text1"/>
          <w:sz w:val="22"/>
          <w:lang w:val="es-ES"/>
        </w:rPr>
      </w:pPr>
      <w:r w:rsidRPr="000612C9">
        <w:rPr>
          <w:rFonts w:ascii="Arial" w:hAnsi="Arial" w:cs="Arial"/>
          <w:bCs/>
          <w:color w:val="000000" w:themeColor="text1"/>
          <w:sz w:val="22"/>
          <w:lang w:val="es-ES"/>
        </w:rPr>
        <w:t xml:space="preserve"> </w:t>
      </w:r>
    </w:p>
    <w:p w14:paraId="0E1A9B5D" w14:textId="6E288C06" w:rsidR="00141CCA" w:rsidRPr="000612C9" w:rsidRDefault="00141CCA" w:rsidP="008160B2">
      <w:pPr>
        <w:spacing w:line="240" w:lineRule="auto"/>
        <w:ind w:left="708" w:right="758"/>
        <w:rPr>
          <w:rFonts w:ascii="Arial" w:hAnsi="Arial" w:cs="Arial"/>
          <w:bCs/>
          <w:color w:val="000000" w:themeColor="text1"/>
          <w:sz w:val="21"/>
          <w:szCs w:val="21"/>
          <w:lang w:val="es-ES"/>
        </w:rPr>
      </w:pPr>
      <w:r w:rsidRPr="000612C9">
        <w:rPr>
          <w:rFonts w:ascii="Arial" w:hAnsi="Arial" w:cs="Arial"/>
          <w:bCs/>
          <w:color w:val="000000" w:themeColor="text1"/>
          <w:sz w:val="21"/>
          <w:szCs w:val="21"/>
          <w:lang w:val="es-ES"/>
        </w:rPr>
        <w:t>ARTÍCULO 13. Principios generales de la actividad contractual para entidades no sometidas al estatuto general de contratación de la administración pública.</w:t>
      </w:r>
      <w:r w:rsidRPr="000612C9">
        <w:rPr>
          <w:rFonts w:ascii="Arial" w:hAnsi="Arial" w:cs="Arial"/>
          <w:b/>
          <w:color w:val="000000" w:themeColor="text1"/>
          <w:sz w:val="21"/>
          <w:szCs w:val="21"/>
          <w:lang w:val="es-ES"/>
        </w:rPr>
        <w:t xml:space="preserve"> </w:t>
      </w:r>
      <w:r w:rsidRPr="000612C9">
        <w:rPr>
          <w:rFonts w:ascii="Arial" w:hAnsi="Arial" w:cs="Arial"/>
          <w:bCs/>
          <w:color w:val="000000" w:themeColor="text1"/>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1" w:anchor="209" w:history="1">
        <w:r w:rsidRPr="000612C9">
          <w:rPr>
            <w:rFonts w:ascii="Arial" w:hAnsi="Arial" w:cs="Arial"/>
            <w:bCs/>
            <w:color w:val="000000" w:themeColor="text1"/>
            <w:sz w:val="21"/>
            <w:szCs w:val="21"/>
            <w:lang w:val="es-ES"/>
          </w:rPr>
          <w:t>209</w:t>
        </w:r>
      </w:hyperlink>
      <w:r w:rsidRPr="000612C9">
        <w:rPr>
          <w:rFonts w:ascii="Arial" w:hAnsi="Arial" w:cs="Arial"/>
          <w:bCs/>
          <w:color w:val="000000" w:themeColor="text1"/>
          <w:sz w:val="21"/>
          <w:szCs w:val="21"/>
          <w:lang w:val="es-ES"/>
        </w:rPr>
        <w:t> y </w:t>
      </w:r>
      <w:hyperlink r:id="rId12" w:anchor="267" w:history="1">
        <w:r w:rsidRPr="000612C9">
          <w:rPr>
            <w:rFonts w:ascii="Arial" w:hAnsi="Arial" w:cs="Arial"/>
            <w:bCs/>
            <w:color w:val="000000" w:themeColor="text1"/>
            <w:sz w:val="21"/>
            <w:szCs w:val="21"/>
            <w:lang w:val="es-ES"/>
          </w:rPr>
          <w:t>267</w:t>
        </w:r>
      </w:hyperlink>
      <w:r w:rsidRPr="000612C9">
        <w:rPr>
          <w:rFonts w:ascii="Arial" w:hAnsi="Arial" w:cs="Arial"/>
          <w:bCs/>
          <w:color w:val="000000" w:themeColor="text1"/>
          <w:sz w:val="21"/>
          <w:szCs w:val="21"/>
          <w:lang w:val="es-ES"/>
        </w:rPr>
        <w:t> de la Constitución Política, respectivamente según sea el caso y estarán sometidas al régimen de inhabilidades e incompatibilidades previsto legalmente para la contratación estatal</w:t>
      </w:r>
    </w:p>
    <w:p w14:paraId="25F09691" w14:textId="2490A23D" w:rsidR="00141CCA" w:rsidRPr="000612C9" w:rsidRDefault="00141CCA" w:rsidP="008160B2">
      <w:pPr>
        <w:rPr>
          <w:rFonts w:ascii="Arial" w:hAnsi="Arial" w:cs="Arial"/>
          <w:bCs/>
          <w:color w:val="000000" w:themeColor="text1"/>
          <w:sz w:val="22"/>
          <w:lang w:val="es-ES"/>
        </w:rPr>
      </w:pPr>
    </w:p>
    <w:p w14:paraId="5BACD2E7" w14:textId="18A0D316" w:rsidR="00141CCA" w:rsidRPr="000612C9" w:rsidRDefault="00141CCA" w:rsidP="008160B2">
      <w:pPr>
        <w:rPr>
          <w:rFonts w:ascii="Arial" w:hAnsi="Arial" w:cs="Arial"/>
          <w:bCs/>
          <w:color w:val="000000" w:themeColor="text1"/>
          <w:sz w:val="22"/>
          <w:lang w:val="es-ES"/>
        </w:rPr>
      </w:pPr>
      <w:r w:rsidRPr="000612C9">
        <w:rPr>
          <w:rFonts w:ascii="Arial" w:hAnsi="Arial" w:cs="Arial"/>
          <w:bCs/>
          <w:color w:val="000000" w:themeColor="text1"/>
          <w:sz w:val="22"/>
          <w:lang w:val="es-ES"/>
        </w:rPr>
        <w:tab/>
        <w:t xml:space="preserve">De conformidad con lo </w:t>
      </w:r>
      <w:r w:rsidR="006B5FA9" w:rsidRPr="000612C9">
        <w:rPr>
          <w:rFonts w:ascii="Arial" w:hAnsi="Arial" w:cs="Arial"/>
          <w:bCs/>
          <w:color w:val="000000" w:themeColor="text1"/>
          <w:sz w:val="22"/>
          <w:lang w:val="es-ES"/>
        </w:rPr>
        <w:t>establecido</w:t>
      </w:r>
      <w:r w:rsidRPr="000612C9">
        <w:rPr>
          <w:rFonts w:ascii="Arial" w:hAnsi="Arial" w:cs="Arial"/>
          <w:bCs/>
          <w:color w:val="000000" w:themeColor="text1"/>
          <w:sz w:val="22"/>
          <w:lang w:val="es-ES"/>
        </w:rPr>
        <w:t xml:space="preserve"> en este artículo, las entidades estatales que cuenten con un régimen contractual excepcional al del Estatuto General de Contratación de la Administración Pública </w:t>
      </w:r>
      <w:r w:rsidR="007D3671"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aplicarán en desarrollo de su actividad contractual […] los principios de la función administrativa y de la gestión fiscal</w:t>
      </w:r>
      <w:r w:rsidR="006D5552" w:rsidRPr="000612C9">
        <w:rPr>
          <w:rFonts w:ascii="Arial" w:hAnsi="Arial" w:cs="Arial"/>
          <w:bCs/>
          <w:color w:val="000000" w:themeColor="text1"/>
          <w:sz w:val="22"/>
          <w:lang w:val="es-ES"/>
        </w:rPr>
        <w:t xml:space="preserve"> […] y estarán sometidas al régimen de inhabilidades e incompatibilidades previsto legalmente para la contratación estatal</w:t>
      </w:r>
      <w:r w:rsidR="007D3671" w:rsidRPr="000612C9">
        <w:rPr>
          <w:rFonts w:ascii="Arial" w:hAnsi="Arial" w:cs="Arial"/>
          <w:bCs/>
          <w:color w:val="000000" w:themeColor="text1"/>
          <w:sz w:val="22"/>
          <w:lang w:val="es-ES"/>
        </w:rPr>
        <w:t xml:space="preserve">». </w:t>
      </w:r>
      <w:r w:rsidR="006B5FA9" w:rsidRPr="000612C9">
        <w:rPr>
          <w:rFonts w:ascii="Arial" w:hAnsi="Arial" w:cs="Arial"/>
          <w:bCs/>
          <w:color w:val="000000" w:themeColor="text1"/>
          <w:sz w:val="22"/>
          <w:lang w:val="es-ES"/>
        </w:rPr>
        <w:t>En la inteligencia más adecuada que puede tener esta norma</w:t>
      </w:r>
      <w:r w:rsidR="00A02213" w:rsidRPr="000612C9">
        <w:rPr>
          <w:rFonts w:ascii="Arial" w:hAnsi="Arial" w:cs="Arial"/>
          <w:bCs/>
          <w:color w:val="000000" w:themeColor="text1"/>
          <w:sz w:val="22"/>
          <w:lang w:val="es-ES"/>
        </w:rPr>
        <w:t>,</w:t>
      </w:r>
      <w:r w:rsidR="006B5FA9" w:rsidRPr="000612C9">
        <w:rPr>
          <w:rFonts w:ascii="Arial" w:hAnsi="Arial" w:cs="Arial"/>
          <w:bCs/>
          <w:color w:val="000000" w:themeColor="text1"/>
          <w:sz w:val="22"/>
          <w:lang w:val="es-ES"/>
        </w:rPr>
        <w:t xml:space="preserve"> esto es cierto tanto en el caso de que la entidad tenga un régimen especial por regla general</w:t>
      </w:r>
      <w:r w:rsidR="00A02213" w:rsidRPr="000612C9">
        <w:rPr>
          <w:rFonts w:ascii="Arial" w:hAnsi="Arial" w:cs="Arial"/>
          <w:bCs/>
          <w:color w:val="000000" w:themeColor="text1"/>
          <w:sz w:val="22"/>
          <w:lang w:val="es-ES"/>
        </w:rPr>
        <w:t xml:space="preserve">, </w:t>
      </w:r>
      <w:proofErr w:type="gramStart"/>
      <w:r w:rsidR="006B5FA9" w:rsidRPr="000612C9">
        <w:rPr>
          <w:rFonts w:ascii="Arial" w:hAnsi="Arial" w:cs="Arial"/>
          <w:bCs/>
          <w:color w:val="000000" w:themeColor="text1"/>
          <w:sz w:val="22"/>
          <w:lang w:val="es-ES"/>
        </w:rPr>
        <w:t>en razón de</w:t>
      </w:r>
      <w:proofErr w:type="gramEnd"/>
      <w:r w:rsidR="006B5FA9" w:rsidRPr="000612C9">
        <w:rPr>
          <w:rFonts w:ascii="Arial" w:hAnsi="Arial" w:cs="Arial"/>
          <w:bCs/>
          <w:color w:val="000000" w:themeColor="text1"/>
          <w:sz w:val="22"/>
          <w:lang w:val="es-ES"/>
        </w:rPr>
        <w:t xml:space="preserve"> su actividad (EICE, ESM, ESP)</w:t>
      </w:r>
      <w:r w:rsidR="00A02213" w:rsidRPr="000612C9">
        <w:rPr>
          <w:rFonts w:ascii="Arial" w:hAnsi="Arial" w:cs="Arial"/>
          <w:bCs/>
          <w:color w:val="000000" w:themeColor="text1"/>
          <w:sz w:val="22"/>
          <w:lang w:val="es-ES"/>
        </w:rPr>
        <w:t>,</w:t>
      </w:r>
      <w:r w:rsidR="006B5FA9" w:rsidRPr="000612C9">
        <w:rPr>
          <w:rFonts w:ascii="Arial" w:hAnsi="Arial" w:cs="Arial"/>
          <w:bCs/>
          <w:color w:val="000000" w:themeColor="text1"/>
          <w:sz w:val="22"/>
          <w:lang w:val="es-ES"/>
        </w:rPr>
        <w:t xml:space="preserve"> </w:t>
      </w:r>
      <w:r w:rsidR="00A02213" w:rsidRPr="000612C9">
        <w:rPr>
          <w:rFonts w:ascii="Arial" w:hAnsi="Arial" w:cs="Arial"/>
          <w:bCs/>
          <w:color w:val="000000" w:themeColor="text1"/>
          <w:sz w:val="22"/>
          <w:lang w:val="es-ES"/>
        </w:rPr>
        <w:t xml:space="preserve">como </w:t>
      </w:r>
      <w:r w:rsidR="006B5FA9" w:rsidRPr="000612C9">
        <w:rPr>
          <w:rFonts w:ascii="Arial" w:hAnsi="Arial" w:cs="Arial"/>
          <w:bCs/>
          <w:color w:val="000000" w:themeColor="text1"/>
          <w:sz w:val="22"/>
          <w:lang w:val="es-ES"/>
        </w:rPr>
        <w:t xml:space="preserve">cuando la entidad tenga un régimen especial solamente para cierto tipo de contratos (artículo 66 de la Ley 1523 de 2012). </w:t>
      </w:r>
    </w:p>
    <w:p w14:paraId="5AE843A3" w14:textId="4F453639" w:rsidR="006B5FA9" w:rsidRPr="000612C9" w:rsidRDefault="006B5FA9" w:rsidP="008160B2">
      <w:pPr>
        <w:rPr>
          <w:rFonts w:ascii="Arial" w:hAnsi="Arial" w:cs="Arial"/>
          <w:bCs/>
          <w:color w:val="000000" w:themeColor="text1"/>
          <w:sz w:val="22"/>
          <w:lang w:val="es-ES"/>
        </w:rPr>
      </w:pPr>
      <w:r w:rsidRPr="000612C9">
        <w:rPr>
          <w:rFonts w:ascii="Arial" w:hAnsi="Arial" w:cs="Arial"/>
          <w:bCs/>
          <w:color w:val="000000" w:themeColor="text1"/>
          <w:sz w:val="22"/>
          <w:lang w:val="es-ES"/>
        </w:rPr>
        <w:tab/>
        <w:t xml:space="preserve">De otro lado, en lo que se refiere a las </w:t>
      </w:r>
      <w:r w:rsidR="007C22B6" w:rsidRPr="000612C9">
        <w:rPr>
          <w:rFonts w:ascii="Arial" w:hAnsi="Arial" w:cs="Arial"/>
          <w:bCs/>
          <w:color w:val="000000" w:themeColor="text1"/>
          <w:sz w:val="22"/>
          <w:lang w:val="es-ES"/>
        </w:rPr>
        <w:t>«</w:t>
      </w:r>
      <w:r w:rsidRPr="000612C9">
        <w:rPr>
          <w:rFonts w:ascii="Arial" w:hAnsi="Arial" w:cs="Arial"/>
          <w:bCs/>
          <w:color w:val="000000" w:themeColor="text1"/>
          <w:sz w:val="22"/>
          <w:lang w:val="es-ES"/>
        </w:rPr>
        <w:t>dosis</w:t>
      </w:r>
      <w:r w:rsidR="007C22B6" w:rsidRPr="000612C9">
        <w:rPr>
          <w:rFonts w:ascii="Arial" w:hAnsi="Arial" w:cs="Arial"/>
          <w:bCs/>
          <w:color w:val="000000" w:themeColor="text1"/>
          <w:sz w:val="22"/>
          <w:lang w:val="es-ES"/>
        </w:rPr>
        <w:t xml:space="preserve">» </w:t>
      </w:r>
      <w:r w:rsidRPr="000612C9">
        <w:rPr>
          <w:rFonts w:ascii="Arial" w:hAnsi="Arial" w:cs="Arial"/>
          <w:bCs/>
          <w:color w:val="000000" w:themeColor="text1"/>
          <w:sz w:val="22"/>
          <w:lang w:val="es-ES"/>
        </w:rPr>
        <w:t xml:space="preserve">de derecho administrativo que se otorgan en la forma de reglas concretas, el ordenamiento es rico en ellas y no se hará un análisis particularizado sobre el punto. Sin embargo, desde ya se advierte que una de las reglas de derecho público administrativo aplicable a todos los regímenes especiales de contratación es la obligación de publicar </w:t>
      </w:r>
      <w:r w:rsidR="00F95598" w:rsidRPr="000612C9">
        <w:rPr>
          <w:rFonts w:ascii="Arial" w:hAnsi="Arial" w:cs="Arial"/>
          <w:bCs/>
          <w:color w:val="000000" w:themeColor="text1"/>
          <w:sz w:val="22"/>
          <w:lang w:val="es-ES"/>
        </w:rPr>
        <w:t xml:space="preserve">su actividad contractual en el SECOP. Esto resulta cierto para todos los </w:t>
      </w:r>
      <w:r w:rsidR="008160B2" w:rsidRPr="000612C9">
        <w:rPr>
          <w:rFonts w:ascii="Arial" w:hAnsi="Arial" w:cs="Arial"/>
          <w:bCs/>
          <w:color w:val="000000" w:themeColor="text1"/>
          <w:sz w:val="22"/>
          <w:lang w:val="es-ES"/>
        </w:rPr>
        <w:t>regímenes</w:t>
      </w:r>
      <w:r w:rsidR="00F95598" w:rsidRPr="000612C9">
        <w:rPr>
          <w:rFonts w:ascii="Arial" w:hAnsi="Arial" w:cs="Arial"/>
          <w:bCs/>
          <w:color w:val="000000" w:themeColor="text1"/>
          <w:sz w:val="22"/>
          <w:lang w:val="es-ES"/>
        </w:rPr>
        <w:t xml:space="preserve"> especiales</w:t>
      </w:r>
      <w:r w:rsidR="007C22B6" w:rsidRPr="000612C9">
        <w:rPr>
          <w:rFonts w:ascii="Arial" w:hAnsi="Arial" w:cs="Arial"/>
          <w:bCs/>
          <w:color w:val="000000" w:themeColor="text1"/>
          <w:sz w:val="22"/>
          <w:lang w:val="es-ES"/>
        </w:rPr>
        <w:t>,</w:t>
      </w:r>
      <w:r w:rsidR="00F95598" w:rsidRPr="000612C9">
        <w:rPr>
          <w:rFonts w:ascii="Arial" w:hAnsi="Arial" w:cs="Arial"/>
          <w:bCs/>
          <w:color w:val="000000" w:themeColor="text1"/>
          <w:sz w:val="22"/>
          <w:lang w:val="es-ES"/>
        </w:rPr>
        <w:t xml:space="preserve"> sin importar si estos fueron otorgados por el </w:t>
      </w:r>
      <w:r w:rsidR="00F95598" w:rsidRPr="000612C9">
        <w:rPr>
          <w:rFonts w:ascii="Arial" w:hAnsi="Arial" w:cs="Arial"/>
          <w:bCs/>
          <w:color w:val="000000" w:themeColor="text1"/>
          <w:sz w:val="22"/>
          <w:lang w:val="es-ES"/>
        </w:rPr>
        <w:lastRenderedPageBreak/>
        <w:t xml:space="preserve">legislador en atención a un sujeto (SEM, EICE, ESP) o a un objeto (Artículo 66 de la Ley 1523 de 2012, Decreto 544 de 2020). </w:t>
      </w:r>
      <w:r w:rsidRPr="000612C9">
        <w:rPr>
          <w:rFonts w:ascii="Arial" w:hAnsi="Arial" w:cs="Arial"/>
          <w:bCs/>
          <w:color w:val="000000" w:themeColor="text1"/>
          <w:sz w:val="22"/>
          <w:lang w:val="es-ES"/>
        </w:rPr>
        <w:t xml:space="preserve"> </w:t>
      </w:r>
    </w:p>
    <w:p w14:paraId="1C4FB39B" w14:textId="77777777" w:rsidR="006D5552" w:rsidRPr="000612C9" w:rsidRDefault="006D5552" w:rsidP="008160B2">
      <w:pPr>
        <w:rPr>
          <w:rFonts w:ascii="Arial" w:hAnsi="Arial" w:cs="Arial"/>
          <w:bCs/>
          <w:color w:val="000000" w:themeColor="text1"/>
          <w:sz w:val="22"/>
          <w:lang w:val="es-ES"/>
        </w:rPr>
      </w:pPr>
    </w:p>
    <w:p w14:paraId="285310FF" w14:textId="107CBC47" w:rsidR="008A2550" w:rsidRPr="000612C9" w:rsidRDefault="008A2550" w:rsidP="008160B2">
      <w:pPr>
        <w:rPr>
          <w:rFonts w:ascii="Arial" w:hAnsi="Arial" w:cs="Arial"/>
          <w:b/>
          <w:color w:val="000000" w:themeColor="text1"/>
          <w:sz w:val="22"/>
          <w:lang w:val="es-ES"/>
        </w:rPr>
      </w:pPr>
      <w:r w:rsidRPr="000612C9">
        <w:rPr>
          <w:rFonts w:ascii="Arial" w:hAnsi="Arial" w:cs="Arial"/>
          <w:b/>
          <w:color w:val="000000" w:themeColor="text1"/>
          <w:sz w:val="22"/>
          <w:lang w:val="es-ES"/>
        </w:rPr>
        <w:t>2.2. Régimen especial de contratación establecido en el artículo 66 de la Ley 1523 de 2012</w:t>
      </w:r>
      <w:r w:rsidR="00364EF6" w:rsidRPr="000612C9">
        <w:rPr>
          <w:rFonts w:ascii="Arial" w:eastAsia="Calibri" w:hAnsi="Arial" w:cs="Arial"/>
          <w:b/>
          <w:bCs/>
          <w:color w:val="000000" w:themeColor="text1"/>
          <w:sz w:val="22"/>
          <w:lang w:val="es-ES_tradnl"/>
        </w:rPr>
        <w:t xml:space="preserve">: </w:t>
      </w:r>
      <w:r w:rsidRPr="000612C9">
        <w:rPr>
          <w:rFonts w:ascii="Arial" w:eastAsia="Calibri" w:hAnsi="Arial" w:cs="Arial"/>
          <w:b/>
          <w:bCs/>
          <w:color w:val="000000" w:themeColor="text1"/>
          <w:sz w:val="22"/>
          <w:lang w:val="es-ES_tradnl"/>
        </w:rPr>
        <w:t>supuesto de exclusión parcial del Estatuto General de Contratación de la Administración Pública</w:t>
      </w:r>
    </w:p>
    <w:p w14:paraId="7D4457CA" w14:textId="55CBB7F2" w:rsidR="008A2550" w:rsidRPr="000612C9" w:rsidRDefault="008160B2" w:rsidP="008160B2">
      <w:pPr>
        <w:ind w:firstLine="708"/>
        <w:rPr>
          <w:rFonts w:ascii="Arial" w:hAnsi="Arial" w:cs="Arial"/>
          <w:b/>
          <w:color w:val="000000" w:themeColor="text1"/>
          <w:sz w:val="22"/>
          <w:lang w:val="es-ES"/>
        </w:rPr>
      </w:pPr>
      <w:r w:rsidRPr="000612C9">
        <w:rPr>
          <w:rFonts w:ascii="Arial" w:eastAsia="Calibri" w:hAnsi="Arial" w:cs="Arial"/>
          <w:color w:val="000000" w:themeColor="text1"/>
          <w:sz w:val="22"/>
          <w:lang w:val="es-ES"/>
        </w:rPr>
        <w:t xml:space="preserve">Antes de </w:t>
      </w:r>
      <w:r w:rsidR="00364EF6" w:rsidRPr="000612C9">
        <w:rPr>
          <w:rFonts w:ascii="Arial" w:eastAsia="Calibri" w:hAnsi="Arial" w:cs="Arial"/>
          <w:color w:val="000000" w:themeColor="text1"/>
          <w:sz w:val="22"/>
          <w:lang w:val="es-ES"/>
        </w:rPr>
        <w:t>desarrollar</w:t>
      </w:r>
      <w:r w:rsidRPr="000612C9">
        <w:rPr>
          <w:rFonts w:ascii="Arial" w:eastAsia="Calibri" w:hAnsi="Arial" w:cs="Arial"/>
          <w:color w:val="000000" w:themeColor="text1"/>
          <w:sz w:val="22"/>
          <w:lang w:val="es-ES"/>
        </w:rPr>
        <w:t xml:space="preserve"> esta segunda parte de las consideraciones, es relevante poner en su conocimiento que la Agencia Nacional de Contratación Pública se ha referido al régimen especial de </w:t>
      </w:r>
      <w:r w:rsidR="00660D51" w:rsidRPr="000612C9">
        <w:rPr>
          <w:rFonts w:ascii="Arial" w:eastAsia="Calibri" w:hAnsi="Arial" w:cs="Arial"/>
          <w:color w:val="000000" w:themeColor="text1"/>
          <w:sz w:val="22"/>
          <w:lang w:val="es-ES"/>
        </w:rPr>
        <w:t>c</w:t>
      </w:r>
      <w:r w:rsidRPr="000612C9">
        <w:rPr>
          <w:rFonts w:ascii="Arial" w:eastAsia="Calibri" w:hAnsi="Arial" w:cs="Arial"/>
          <w:color w:val="000000" w:themeColor="text1"/>
          <w:sz w:val="22"/>
          <w:lang w:val="es-ES"/>
        </w:rPr>
        <w:t xml:space="preserve">ontratación </w:t>
      </w:r>
      <w:r w:rsidR="00660D51" w:rsidRPr="000612C9">
        <w:rPr>
          <w:rFonts w:ascii="Arial" w:eastAsia="Calibri" w:hAnsi="Arial" w:cs="Arial"/>
          <w:color w:val="000000" w:themeColor="text1"/>
          <w:sz w:val="22"/>
          <w:lang w:val="es-ES"/>
        </w:rPr>
        <w:t>e</w:t>
      </w:r>
      <w:r w:rsidRPr="000612C9">
        <w:rPr>
          <w:rFonts w:ascii="Arial" w:eastAsia="Calibri" w:hAnsi="Arial" w:cs="Arial"/>
          <w:color w:val="000000" w:themeColor="text1"/>
          <w:sz w:val="22"/>
          <w:lang w:val="es-ES"/>
        </w:rPr>
        <w:t>stablecido en el artículo 66 de la Ley 1523 de 2012, además del comunicado de prensa del 17 de marzo de 2020</w:t>
      </w:r>
      <w:r w:rsidRPr="000612C9">
        <w:rPr>
          <w:rStyle w:val="Refdenotaalpie"/>
          <w:rFonts w:ascii="Arial" w:eastAsia="Calibri" w:hAnsi="Arial" w:cs="Arial"/>
          <w:color w:val="000000" w:themeColor="text1"/>
          <w:sz w:val="22"/>
        </w:rPr>
        <w:footnoteReference w:id="4"/>
      </w:r>
      <w:r w:rsidRPr="000612C9">
        <w:rPr>
          <w:rFonts w:ascii="Arial" w:eastAsia="Calibri" w:hAnsi="Arial" w:cs="Arial"/>
          <w:color w:val="000000" w:themeColor="text1"/>
          <w:sz w:val="22"/>
          <w:lang w:val="es-ES"/>
        </w:rPr>
        <w:t xml:space="preserve">, en los Conceptos C-135, C-241, C-257, C-269, C-275 y C-300 de 2020. En ello se ha hecho especial énfasis en la diferencia entre este tipo de contratación y la urgencia manifiesta como causal de Contratación Directa establecida en el artículo 2 de la Ley 1150 de 2007. En este concepto se recogen algunos apartes de aquellos. </w:t>
      </w:r>
    </w:p>
    <w:p w14:paraId="41CCF721" w14:textId="139CB2E9" w:rsidR="00AC5F3A" w:rsidRPr="000612C9" w:rsidRDefault="008160B2" w:rsidP="008160B2">
      <w:pPr>
        <w:ind w:firstLine="708"/>
        <w:rPr>
          <w:rFonts w:ascii="Arial" w:eastAsia="Calibri" w:hAnsi="Arial" w:cs="Arial"/>
          <w:color w:val="000000" w:themeColor="text1"/>
          <w:sz w:val="22"/>
          <w:lang w:val="es-ES_tradnl"/>
        </w:rPr>
      </w:pPr>
      <w:r w:rsidRPr="000612C9">
        <w:rPr>
          <w:rFonts w:ascii="Arial" w:eastAsia="Calibri" w:hAnsi="Arial" w:cs="Arial"/>
          <w:color w:val="000000" w:themeColor="text1"/>
          <w:sz w:val="22"/>
          <w:lang w:val="es-ES_tradnl"/>
        </w:rPr>
        <w:t>D</w:t>
      </w:r>
      <w:r w:rsidR="00AC5F3A" w:rsidRPr="000612C9">
        <w:rPr>
          <w:rFonts w:ascii="Arial" w:eastAsia="Calibri" w:hAnsi="Arial" w:cs="Arial"/>
          <w:color w:val="000000" w:themeColor="text1"/>
          <w:sz w:val="22"/>
          <w:lang w:val="es-ES_tradnl"/>
        </w:rPr>
        <w:t xml:space="preserve">e conformidad con el artículo 47, se constituyó el </w:t>
      </w:r>
      <w:bookmarkStart w:id="0" w:name="_Hlk36225979"/>
      <w:r w:rsidR="00AC5F3A" w:rsidRPr="000612C9">
        <w:rPr>
          <w:rFonts w:ascii="Arial" w:eastAsia="Calibri" w:hAnsi="Arial" w:cs="Arial"/>
          <w:color w:val="000000" w:themeColor="text1"/>
          <w:sz w:val="22"/>
          <w:lang w:val="es-ES_tradnl"/>
        </w:rPr>
        <w:t>Fondo Nacional de Gestión de Riesgo de Desastres</w:t>
      </w:r>
      <w:bookmarkEnd w:id="0"/>
      <w:r w:rsidR="00AC5F3A" w:rsidRPr="000612C9">
        <w:rPr>
          <w:rFonts w:ascii="Arial" w:eastAsia="Calibri" w:hAnsi="Arial" w:cs="Arial"/>
          <w:color w:val="000000" w:themeColor="text1"/>
          <w:sz w:val="22"/>
          <w:lang w:val="es-ES_tradnl"/>
        </w:rPr>
        <w:t xml:space="preserve"> como un patrimonio autónomo –artículo 49–, administrado y representado en los términos del artículo 3° del Decreto 1547 de 1984 –modificado por el artículo 70 de Decreto-ley 919 de 1989</w:t>
      </w:r>
      <w:r w:rsidR="00AC5F3A" w:rsidRPr="000612C9">
        <w:rPr>
          <w:rStyle w:val="Refdenotaalpie"/>
          <w:rFonts w:ascii="Arial" w:eastAsia="Calibri" w:hAnsi="Arial" w:cs="Arial"/>
          <w:color w:val="000000" w:themeColor="text1"/>
          <w:sz w:val="22"/>
          <w:lang w:val="es-ES_tradnl"/>
        </w:rPr>
        <w:footnoteReference w:id="5"/>
      </w:r>
      <w:r w:rsidR="00AC5F3A" w:rsidRPr="000612C9">
        <w:rPr>
          <w:rFonts w:ascii="Arial" w:eastAsia="Calibri" w:hAnsi="Arial" w:cs="Arial"/>
          <w:color w:val="000000" w:themeColor="text1"/>
          <w:sz w:val="22"/>
          <w:lang w:val="es-ES_tradnl"/>
        </w:rPr>
        <w:t xml:space="preserve"> (artículo 48)–, destinado a adoptar medidas de conocimiento y reducción del riesgo de desastres, preparación, respuesta, rehabilitación y reconstrucción, a través de mecanismos de financiación dirigidos a las entidades involucradas en los procesos y a la población afectada por la ocurrencia de desastres, cuyo régimen contractual es el de las empresas industriales y comerciales, sin perjuicio de las facultades especiales para atender situaciones de desastres y evitar la extensión de los efectos –parágrafo 3 del artículo 50–. </w:t>
      </w:r>
    </w:p>
    <w:p w14:paraId="6F3196DC" w14:textId="77777777" w:rsidR="00AC5F3A" w:rsidRPr="000612C9" w:rsidRDefault="00AC5F3A" w:rsidP="008160B2">
      <w:pPr>
        <w:ind w:firstLine="708"/>
        <w:rPr>
          <w:rFonts w:ascii="Arial" w:eastAsia="Calibri" w:hAnsi="Arial" w:cs="Arial"/>
          <w:color w:val="000000" w:themeColor="text1"/>
          <w:sz w:val="22"/>
          <w:lang w:val="es-ES_tradnl"/>
        </w:rPr>
      </w:pPr>
      <w:r w:rsidRPr="000612C9">
        <w:rPr>
          <w:rFonts w:ascii="Arial" w:eastAsia="Calibri" w:hAnsi="Arial" w:cs="Arial"/>
          <w:color w:val="000000" w:themeColor="text1"/>
          <w:sz w:val="22"/>
          <w:lang w:val="es-ES_tradnl"/>
        </w:rPr>
        <w:t xml:space="preserve">La disposición citada también establece que las entidades territoriales deben constituir sus propios </w:t>
      </w:r>
      <w:r w:rsidRPr="000612C9">
        <w:rPr>
          <w:rFonts w:ascii="Arial" w:eastAsia="Calibri" w:hAnsi="Arial" w:cs="Arial"/>
          <w:i/>
          <w:iCs/>
          <w:color w:val="000000" w:themeColor="text1"/>
          <w:sz w:val="22"/>
          <w:lang w:val="es-ES_tradnl"/>
        </w:rPr>
        <w:t>fondos de gestión del riesgo</w:t>
      </w:r>
      <w:r w:rsidRPr="000612C9">
        <w:rPr>
          <w:rFonts w:ascii="Arial" w:eastAsia="Calibri" w:hAnsi="Arial" w:cs="Arial"/>
          <w:color w:val="000000" w:themeColor="text1"/>
          <w:sz w:val="22"/>
          <w:lang w:val="es-ES_tradnl"/>
        </w:rPr>
        <w:t xml:space="preserve">, bajo el mismo esquema del Fondo Nacional, con el propósito de invertir, destinar y ejecutar sus recursos en la adopción de medidas de conocimiento y reducción del riesgo, preparación, respuesta, rehabilitación y </w:t>
      </w:r>
      <w:r w:rsidRPr="000612C9">
        <w:rPr>
          <w:rFonts w:ascii="Arial" w:eastAsia="Calibri" w:hAnsi="Arial" w:cs="Arial"/>
          <w:color w:val="000000" w:themeColor="text1"/>
          <w:sz w:val="22"/>
          <w:lang w:val="es-ES_tradnl"/>
        </w:rPr>
        <w:lastRenderedPageBreak/>
        <w:t>reconstrucción en situaciones de desastre o calamidad pública –artículo 54</w:t>
      </w:r>
      <w:r w:rsidRPr="000612C9">
        <w:rPr>
          <w:rStyle w:val="Refdenotaalpie"/>
          <w:rFonts w:ascii="Arial" w:eastAsia="Calibri" w:hAnsi="Arial" w:cs="Arial"/>
          <w:color w:val="000000" w:themeColor="text1"/>
          <w:sz w:val="22"/>
          <w:lang w:val="es-ES_tradnl"/>
        </w:rPr>
        <w:footnoteReference w:id="6"/>
      </w:r>
      <w:r w:rsidRPr="000612C9">
        <w:rPr>
          <w:rFonts w:ascii="Arial" w:eastAsia="Calibri" w:hAnsi="Arial" w:cs="Arial"/>
          <w:color w:val="000000" w:themeColor="text1"/>
          <w:sz w:val="22"/>
          <w:lang w:val="es-ES_tradnl"/>
        </w:rPr>
        <w:t>–. En este contexto, el artículo 66 de la Ley 1523 de 2012 dispone lo siguiente:</w:t>
      </w:r>
    </w:p>
    <w:p w14:paraId="5C756903" w14:textId="77777777" w:rsidR="00AC5F3A" w:rsidRPr="000612C9" w:rsidRDefault="00AC5F3A" w:rsidP="008160B2">
      <w:pPr>
        <w:ind w:firstLine="708"/>
        <w:rPr>
          <w:rFonts w:ascii="Arial" w:eastAsia="Calibri" w:hAnsi="Arial" w:cs="Arial"/>
          <w:color w:val="000000" w:themeColor="text1"/>
          <w:sz w:val="22"/>
          <w:lang w:val="es-ES_tradnl"/>
        </w:rPr>
      </w:pPr>
    </w:p>
    <w:p w14:paraId="1F4A71EE" w14:textId="77777777" w:rsidR="00AC5F3A" w:rsidRPr="000612C9" w:rsidRDefault="00AC5F3A" w:rsidP="008160B2">
      <w:pPr>
        <w:spacing w:line="240" w:lineRule="auto"/>
        <w:ind w:left="709" w:right="709"/>
        <w:rPr>
          <w:rFonts w:ascii="Arial" w:eastAsia="Calibri" w:hAnsi="Arial" w:cs="Arial"/>
          <w:color w:val="000000" w:themeColor="text1"/>
          <w:sz w:val="21"/>
          <w:szCs w:val="21"/>
          <w:lang w:val="es-ES_tradnl"/>
        </w:rPr>
      </w:pPr>
      <w:r w:rsidRPr="000612C9">
        <w:rPr>
          <w:rFonts w:ascii="Arial" w:eastAsia="Calibri" w:hAnsi="Arial" w:cs="Arial"/>
          <w:color w:val="000000" w:themeColor="text1"/>
          <w:sz w:val="21"/>
          <w:szCs w:val="21"/>
          <w:lang w:val="es-ES_tradnl"/>
        </w:rPr>
        <w:t xml:space="preserve">“Art. 66. Salvo lo dispuesto para los contratos de empréstito interno y externo, los contratos que celebre la sociedad fiduciaria para la ejecución de los bienes, derechos e intereses del </w:t>
      </w:r>
      <w:bookmarkStart w:id="2" w:name="_Hlk36227796"/>
      <w:r w:rsidRPr="000612C9">
        <w:rPr>
          <w:rFonts w:ascii="Arial" w:eastAsia="Calibri" w:hAnsi="Arial" w:cs="Arial"/>
          <w:color w:val="000000" w:themeColor="text1"/>
          <w:sz w:val="21"/>
          <w:szCs w:val="21"/>
          <w:lang w:val="es-ES_tradnl"/>
        </w:rPr>
        <w:t>Fondo Nacional de Gestión del Riesgo</w:t>
      </w:r>
      <w:bookmarkEnd w:id="2"/>
      <w:r w:rsidRPr="000612C9">
        <w:rPr>
          <w:rFonts w:ascii="Arial" w:eastAsia="Calibri" w:hAnsi="Arial" w:cs="Arial"/>
          <w:color w:val="000000" w:themeColor="text1"/>
          <w:sz w:val="21"/>
          <w:szCs w:val="21"/>
          <w:lang w:val="es-ES_tradnl"/>
        </w:rPr>
        <w:t xml:space="preserve"> o los celebrados </w:t>
      </w:r>
      <w:bookmarkStart w:id="3" w:name="_Hlk36227833"/>
      <w:r w:rsidRPr="000612C9">
        <w:rPr>
          <w:rFonts w:ascii="Arial" w:eastAsia="Calibri" w:hAnsi="Arial" w:cs="Arial"/>
          <w:color w:val="000000" w:themeColor="text1"/>
          <w:sz w:val="21"/>
          <w:szCs w:val="21"/>
          <w:lang w:val="es-ES_tradnl"/>
        </w:rPr>
        <w:t>por las entidades ejecutoras que reciban recursos provenientes de este fondo</w:t>
      </w:r>
      <w:bookmarkEnd w:id="3"/>
      <w:r w:rsidRPr="000612C9">
        <w:rPr>
          <w:rFonts w:ascii="Arial" w:eastAsia="Calibri" w:hAnsi="Arial" w:cs="Arial"/>
          <w:color w:val="000000" w:themeColor="text1"/>
          <w:sz w:val="21"/>
          <w:szCs w:val="21"/>
          <w:lang w:val="es-ES_tradnl"/>
        </w:rPr>
        <w:t xml:space="preserve"> o </w:t>
      </w:r>
      <w:bookmarkStart w:id="4" w:name="_Hlk36228014"/>
      <w:r w:rsidRPr="000612C9">
        <w:rPr>
          <w:rFonts w:ascii="Arial" w:eastAsia="Calibri" w:hAnsi="Arial" w:cs="Arial"/>
          <w:color w:val="000000" w:themeColor="text1"/>
          <w:sz w:val="21"/>
          <w:szCs w:val="21"/>
          <w:lang w:val="es-ES_tradnl"/>
        </w:rPr>
        <w:t>los celebrados por las entidades territoriales y sus fondos de gestión del riesgo</w:t>
      </w:r>
      <w:bookmarkEnd w:id="4"/>
      <w:r w:rsidRPr="000612C9">
        <w:rPr>
          <w:rFonts w:ascii="Arial" w:eastAsia="Calibri" w:hAnsi="Arial" w:cs="Arial"/>
          <w:color w:val="000000" w:themeColor="text1"/>
          <w:sz w:val="21"/>
          <w:szCs w:val="21"/>
          <w:lang w:val="es-ES_tradnl"/>
        </w:rPr>
        <w:t xml:space="preserve">, </w:t>
      </w:r>
      <w:bookmarkStart w:id="5" w:name="_Hlk36228190"/>
      <w:r w:rsidRPr="000612C9">
        <w:rPr>
          <w:rFonts w:ascii="Arial" w:eastAsia="Calibri" w:hAnsi="Arial" w:cs="Arial"/>
          <w:color w:val="000000" w:themeColor="text1"/>
          <w:sz w:val="21"/>
          <w:szCs w:val="21"/>
          <w:lang w:val="es-ES_tradnl"/>
        </w:rPr>
        <w:t xml:space="preserve">relacionados </w:t>
      </w:r>
      <w:bookmarkStart w:id="6" w:name="_Hlk36229456"/>
      <w:r w:rsidRPr="000612C9">
        <w:rPr>
          <w:rFonts w:ascii="Arial" w:eastAsia="Calibri" w:hAnsi="Arial" w:cs="Arial"/>
          <w:color w:val="000000" w:themeColor="text1"/>
          <w:sz w:val="21"/>
          <w:szCs w:val="21"/>
          <w:lang w:val="es-ES_tradnl"/>
        </w:rPr>
        <w:t>directamente con las actividades de respuesta, de rehabilitación y reconstrucción</w:t>
      </w:r>
      <w:bookmarkEnd w:id="6"/>
      <w:r w:rsidRPr="000612C9">
        <w:rPr>
          <w:rFonts w:ascii="Arial" w:eastAsia="Calibri" w:hAnsi="Arial" w:cs="Arial"/>
          <w:color w:val="000000" w:themeColor="text1"/>
          <w:sz w:val="21"/>
          <w:szCs w:val="21"/>
          <w:lang w:val="es-ES_tradnl"/>
        </w:rPr>
        <w:t xml:space="preserve"> de las zonas declaradas en situación de desastre o calamidad pública</w:t>
      </w:r>
      <w:bookmarkEnd w:id="5"/>
      <w:r w:rsidRPr="000612C9">
        <w:rPr>
          <w:rFonts w:ascii="Arial" w:eastAsia="Calibri" w:hAnsi="Arial" w:cs="Arial"/>
          <w:color w:val="000000" w:themeColor="text1"/>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06018923" w14:textId="77777777" w:rsidR="00AC5F3A" w:rsidRPr="000612C9" w:rsidRDefault="00AC5F3A" w:rsidP="008160B2">
      <w:pPr>
        <w:spacing w:line="240" w:lineRule="auto"/>
        <w:ind w:left="709" w:right="709"/>
        <w:rPr>
          <w:rFonts w:ascii="Arial" w:eastAsia="Calibri" w:hAnsi="Arial" w:cs="Arial"/>
          <w:color w:val="000000" w:themeColor="text1"/>
          <w:sz w:val="22"/>
          <w:lang w:val="es-ES_tradnl"/>
        </w:rPr>
      </w:pPr>
      <w:r w:rsidRPr="000612C9">
        <w:rPr>
          <w:rFonts w:ascii="Arial" w:eastAsia="Calibri" w:hAnsi="Arial" w:cs="Arial"/>
          <w:color w:val="000000" w:themeColor="text1"/>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03F6B6BF" w14:textId="77777777" w:rsidR="00AC5F3A" w:rsidRPr="000612C9" w:rsidRDefault="00AC5F3A" w:rsidP="008160B2">
      <w:pPr>
        <w:rPr>
          <w:rFonts w:ascii="Arial" w:eastAsia="Calibri" w:hAnsi="Arial" w:cs="Arial"/>
          <w:color w:val="000000" w:themeColor="text1"/>
          <w:sz w:val="22"/>
          <w:lang w:val="es-ES_tradnl"/>
        </w:rPr>
      </w:pPr>
    </w:p>
    <w:p w14:paraId="2ACD6540" w14:textId="77777777" w:rsidR="00AC5F3A" w:rsidRPr="000612C9" w:rsidRDefault="00AC5F3A" w:rsidP="008160B2">
      <w:pPr>
        <w:rPr>
          <w:rFonts w:ascii="Arial" w:eastAsia="Calibri" w:hAnsi="Arial" w:cs="Arial"/>
          <w:color w:val="000000" w:themeColor="text1"/>
          <w:sz w:val="22"/>
          <w:lang w:val="es-ES_tradnl"/>
        </w:rPr>
      </w:pPr>
      <w:r w:rsidRPr="000612C9">
        <w:rPr>
          <w:rFonts w:ascii="Arial" w:eastAsia="Calibri" w:hAnsi="Arial" w:cs="Arial"/>
          <w:color w:val="000000" w:themeColor="text1"/>
          <w:sz w:val="22"/>
          <w:lang w:val="es-ES_tradnl"/>
        </w:rPr>
        <w:tab/>
      </w:r>
      <w:bookmarkStart w:id="7" w:name="_Hlk37246222"/>
      <w:r w:rsidRPr="000612C9">
        <w:rPr>
          <w:rFonts w:ascii="Arial" w:eastAsia="Calibri" w:hAnsi="Arial" w:cs="Arial"/>
          <w:color w:val="000000" w:themeColor="text1"/>
          <w:sz w:val="22"/>
          <w:lang w:val="es-ES_tradnl"/>
        </w:rPr>
        <w:t xml:space="preserve">Sin perjuicio de las potestades exorbitantes, la norma precedente exceptúa del Estatuto General de Contratación de la Administración Pública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0612C9">
        <w:rPr>
          <w:rFonts w:ascii="Arial" w:eastAsia="Calibri" w:hAnsi="Arial" w:cs="Arial"/>
          <w:color w:val="000000" w:themeColor="text1"/>
          <w:sz w:val="22"/>
          <w:lang w:val="es-ES_tradnl"/>
        </w:rPr>
        <w:t>ii</w:t>
      </w:r>
      <w:proofErr w:type="spellEnd"/>
      <w:r w:rsidRPr="000612C9">
        <w:rPr>
          <w:rFonts w:ascii="Arial" w:eastAsia="Calibri" w:hAnsi="Arial" w:cs="Arial"/>
          <w:color w:val="000000" w:themeColor="text1"/>
          <w:sz w:val="22"/>
          <w:lang w:val="es-ES_tradnl"/>
        </w:rPr>
        <w:t xml:space="preserve">) por las entidades ejecutoras que reciban recursos provenientes de </w:t>
      </w:r>
      <w:r w:rsidRPr="000612C9">
        <w:rPr>
          <w:rFonts w:ascii="Arial" w:eastAsia="Calibri" w:hAnsi="Arial" w:cs="Arial"/>
          <w:color w:val="000000" w:themeColor="text1"/>
          <w:sz w:val="22"/>
          <w:lang w:val="es-ES_tradnl"/>
        </w:rPr>
        <w:lastRenderedPageBreak/>
        <w:t xml:space="preserve">este fondo y </w:t>
      </w:r>
      <w:proofErr w:type="spellStart"/>
      <w:r w:rsidRPr="000612C9">
        <w:rPr>
          <w:rFonts w:ascii="Arial" w:eastAsia="Calibri" w:hAnsi="Arial" w:cs="Arial"/>
          <w:color w:val="000000" w:themeColor="text1"/>
          <w:sz w:val="22"/>
          <w:lang w:val="es-ES_tradnl"/>
        </w:rPr>
        <w:t>iii</w:t>
      </w:r>
      <w:proofErr w:type="spellEnd"/>
      <w:r w:rsidRPr="000612C9">
        <w:rPr>
          <w:rFonts w:ascii="Arial" w:eastAsia="Calibri" w:hAnsi="Arial" w:cs="Arial"/>
          <w:color w:val="000000" w:themeColor="text1"/>
          <w:sz w:val="22"/>
          <w:lang w:val="es-ES_tradnl"/>
        </w:rPr>
        <w:t xml:space="preserve">) los celebrados por las entidades territoriales y sus fondos de gestión del riesgo. </w:t>
      </w:r>
    </w:p>
    <w:p w14:paraId="24B21401" w14:textId="276A1B7E" w:rsidR="00AC5F3A" w:rsidRPr="000612C9" w:rsidRDefault="00AC5F3A" w:rsidP="008160B2">
      <w:pPr>
        <w:ind w:firstLine="708"/>
        <w:rPr>
          <w:rFonts w:ascii="Arial" w:eastAsia="Calibri" w:hAnsi="Arial" w:cs="Arial"/>
          <w:color w:val="000000" w:themeColor="text1"/>
          <w:sz w:val="22"/>
          <w:lang w:val="es-ES_tradnl"/>
        </w:rPr>
      </w:pPr>
      <w:r w:rsidRPr="000612C9">
        <w:rPr>
          <w:rFonts w:ascii="Arial" w:eastAsia="Calibri" w:hAnsi="Arial" w:cs="Arial"/>
          <w:color w:val="000000" w:themeColor="text1"/>
          <w:sz w:val="22"/>
          <w:lang w:val="es-ES_tradnl"/>
        </w:rPr>
        <w:t>Cuando se declare la situación de desastre o la situación de calamidad pública, las instituciones mencionadas antes son las únicas excluidas de la Ley 80</w:t>
      </w:r>
      <w:r w:rsidR="001F7341" w:rsidRPr="000612C9">
        <w:rPr>
          <w:rFonts w:ascii="Arial" w:eastAsia="Calibri" w:hAnsi="Arial" w:cs="Arial"/>
          <w:color w:val="000000" w:themeColor="text1"/>
          <w:sz w:val="22"/>
          <w:lang w:val="es-ES_tradnl"/>
        </w:rPr>
        <w:t xml:space="preserve"> de 1993</w:t>
      </w:r>
      <w:r w:rsidRPr="000612C9">
        <w:rPr>
          <w:rFonts w:ascii="Arial" w:eastAsia="Calibri" w:hAnsi="Arial" w:cs="Arial"/>
          <w:color w:val="000000" w:themeColor="text1"/>
          <w:sz w:val="22"/>
          <w:lang w:val="es-ES_tradnl"/>
        </w:rPr>
        <w:t xml:space="preserve">;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5EB63657" w14:textId="77777777" w:rsidR="00AC5F3A" w:rsidRPr="000612C9" w:rsidRDefault="00AC5F3A" w:rsidP="008160B2">
      <w:pPr>
        <w:ind w:firstLine="708"/>
        <w:rPr>
          <w:rFonts w:ascii="Arial" w:eastAsia="Calibri" w:hAnsi="Arial" w:cs="Arial"/>
          <w:color w:val="000000" w:themeColor="text1"/>
          <w:sz w:val="22"/>
          <w:lang w:val="es-ES_tradnl"/>
        </w:rPr>
      </w:pPr>
      <w:r w:rsidRPr="000612C9">
        <w:rPr>
          <w:rFonts w:ascii="Arial" w:eastAsia="Calibri" w:hAnsi="Arial" w:cs="Arial"/>
          <w:color w:val="000000" w:themeColor="text1"/>
          <w:sz w:val="22"/>
          <w:lang w:val="es-ES_tradnl"/>
        </w:rPr>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05739D6C" w14:textId="77777777" w:rsidR="00A5539A" w:rsidRPr="000612C9" w:rsidRDefault="00AC5F3A" w:rsidP="00660D51">
      <w:pPr>
        <w:ind w:firstLine="708"/>
        <w:rPr>
          <w:rFonts w:ascii="Arial" w:eastAsia="Calibri" w:hAnsi="Arial" w:cs="Arial"/>
          <w:color w:val="000000" w:themeColor="text1"/>
          <w:sz w:val="22"/>
          <w:lang w:val="es-ES_tradnl"/>
        </w:rPr>
      </w:pPr>
      <w:r w:rsidRPr="000612C9">
        <w:rPr>
          <w:rFonts w:ascii="Arial" w:eastAsia="Calibri" w:hAnsi="Arial" w:cs="Arial"/>
          <w:color w:val="000000" w:themeColor="text1"/>
          <w:sz w:val="22"/>
          <w:lang w:val="es-ES_tradnl"/>
        </w:rPr>
        <w:t>En otras palabras, la pura y simple declaración de desastre o de calamidad pública conduce a que las autoridades mencionadas atrás se excluyan de la Ley 80</w:t>
      </w:r>
      <w:r w:rsidR="00155B3D" w:rsidRPr="000612C9">
        <w:rPr>
          <w:rFonts w:ascii="Arial" w:eastAsia="Calibri" w:hAnsi="Arial" w:cs="Arial"/>
          <w:color w:val="000000" w:themeColor="text1"/>
          <w:sz w:val="22"/>
          <w:lang w:val="es-ES_tradnl"/>
        </w:rPr>
        <w:t xml:space="preserve"> de 1993</w:t>
      </w:r>
      <w:r w:rsidRPr="000612C9">
        <w:rPr>
          <w:rFonts w:ascii="Arial" w:eastAsia="Calibri" w:hAnsi="Arial" w:cs="Arial"/>
          <w:color w:val="000000" w:themeColor="text1"/>
          <w:sz w:val="22"/>
          <w:lang w:val="es-ES_tradnl"/>
        </w:rPr>
        <w:t xml:space="preserve">,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w:t>
      </w:r>
      <w:bookmarkEnd w:id="7"/>
    </w:p>
    <w:p w14:paraId="0919E759" w14:textId="0E2A3D05" w:rsidR="00AC5F3A" w:rsidRPr="000612C9" w:rsidRDefault="00660D51" w:rsidP="00660D51">
      <w:pPr>
        <w:ind w:firstLine="708"/>
        <w:rPr>
          <w:rFonts w:ascii="Arial" w:eastAsia="Calibri" w:hAnsi="Arial" w:cs="Arial"/>
          <w:color w:val="000000" w:themeColor="text1"/>
          <w:sz w:val="22"/>
          <w:lang w:val="es-ES_tradnl"/>
        </w:rPr>
      </w:pPr>
      <w:r w:rsidRPr="000612C9">
        <w:rPr>
          <w:rFonts w:ascii="Arial" w:eastAsia="Calibri" w:hAnsi="Arial" w:cs="Arial"/>
          <w:color w:val="000000" w:themeColor="text1"/>
          <w:sz w:val="22"/>
          <w:lang w:val="es-ES_tradnl"/>
        </w:rPr>
        <w:t xml:space="preserve">Este régimen especial de </w:t>
      </w:r>
      <w:proofErr w:type="gramStart"/>
      <w:r w:rsidRPr="000612C9">
        <w:rPr>
          <w:rFonts w:ascii="Arial" w:eastAsia="Calibri" w:hAnsi="Arial" w:cs="Arial"/>
          <w:color w:val="000000" w:themeColor="text1"/>
          <w:sz w:val="22"/>
          <w:lang w:val="es-ES_tradnl"/>
        </w:rPr>
        <w:t>derecho,</w:t>
      </w:r>
      <w:proofErr w:type="gramEnd"/>
      <w:r w:rsidRPr="000612C9">
        <w:rPr>
          <w:rFonts w:ascii="Arial" w:eastAsia="Calibri" w:hAnsi="Arial" w:cs="Arial"/>
          <w:color w:val="000000" w:themeColor="text1"/>
          <w:sz w:val="22"/>
          <w:lang w:val="es-ES_tradnl"/>
        </w:rPr>
        <w:t xml:space="preserve"> se recuerda, está moderado por la aplicación de reglas y principios provenientes de normas de derecho administrativo; tal es el caso de los principios de la función administrativa y de la gestión fiscal, y, como se pasa a exponer, la obligación relativa a la publicación en el SECOP. </w:t>
      </w:r>
    </w:p>
    <w:p w14:paraId="2BD71E5F" w14:textId="77777777" w:rsidR="00660D51" w:rsidRPr="000612C9" w:rsidRDefault="00660D51" w:rsidP="00660D51">
      <w:pPr>
        <w:rPr>
          <w:rFonts w:ascii="Arial" w:eastAsia="Calibri" w:hAnsi="Arial" w:cs="Arial"/>
          <w:b/>
          <w:bCs/>
          <w:color w:val="000000" w:themeColor="text1"/>
          <w:sz w:val="22"/>
          <w:lang w:val="es-ES_tradnl"/>
        </w:rPr>
      </w:pPr>
    </w:p>
    <w:p w14:paraId="1653D077" w14:textId="28712D50" w:rsidR="009F7694" w:rsidRPr="000612C9" w:rsidRDefault="00660D51" w:rsidP="00660D51">
      <w:pPr>
        <w:rPr>
          <w:rFonts w:ascii="Arial" w:eastAsia="Calibri" w:hAnsi="Arial" w:cs="Arial"/>
          <w:b/>
          <w:bCs/>
          <w:color w:val="000000" w:themeColor="text1"/>
          <w:sz w:val="22"/>
          <w:lang w:val="es-ES_tradnl"/>
        </w:rPr>
      </w:pPr>
      <w:r w:rsidRPr="000612C9">
        <w:rPr>
          <w:rFonts w:ascii="Arial" w:eastAsia="Calibri" w:hAnsi="Arial" w:cs="Arial"/>
          <w:b/>
          <w:bCs/>
          <w:color w:val="000000" w:themeColor="text1"/>
          <w:sz w:val="22"/>
          <w:lang w:val="es-ES_tradnl"/>
        </w:rPr>
        <w:t>2.3.</w:t>
      </w:r>
      <w:r w:rsidR="00792F13" w:rsidRPr="000612C9">
        <w:rPr>
          <w:color w:val="000000" w:themeColor="text1"/>
          <w:lang w:val="es-ES"/>
        </w:rPr>
        <w:t xml:space="preserve"> </w:t>
      </w:r>
      <w:r w:rsidR="00792F13" w:rsidRPr="000612C9">
        <w:rPr>
          <w:rFonts w:ascii="Arial" w:eastAsia="Calibri" w:hAnsi="Arial" w:cs="Arial"/>
          <w:b/>
          <w:bCs/>
          <w:color w:val="000000" w:themeColor="text1"/>
          <w:sz w:val="22"/>
          <w:lang w:val="es-ES"/>
        </w:rPr>
        <w:t>S</w:t>
      </w:r>
      <w:r w:rsidR="00792F13" w:rsidRPr="000612C9">
        <w:rPr>
          <w:rFonts w:ascii="Arial" w:eastAsia="Calibri" w:hAnsi="Arial" w:cs="Arial"/>
          <w:b/>
          <w:bCs/>
          <w:color w:val="000000" w:themeColor="text1"/>
          <w:sz w:val="22"/>
          <w:lang w:val="es-ES_tradnl"/>
        </w:rPr>
        <w:t>obre los documentos que deben publicar en el SECOP las entidades de régimen especial</w:t>
      </w:r>
    </w:p>
    <w:p w14:paraId="28B2DBD4" w14:textId="59B6FFD0" w:rsidR="00A957B9" w:rsidRPr="000612C9" w:rsidRDefault="00A957B9" w:rsidP="001F6378">
      <w:pPr>
        <w:ind w:firstLine="708"/>
        <w:rPr>
          <w:rFonts w:ascii="Arial" w:eastAsia="Calibri" w:hAnsi="Arial" w:cs="Arial"/>
          <w:color w:val="000000" w:themeColor="text1"/>
          <w:sz w:val="22"/>
          <w:lang w:val="es-MX"/>
        </w:rPr>
      </w:pPr>
      <w:r w:rsidRPr="000612C9">
        <w:rPr>
          <w:rFonts w:ascii="Arial" w:eastAsia="Calibri" w:hAnsi="Arial" w:cs="Arial"/>
          <w:color w:val="000000" w:themeColor="text1"/>
          <w:sz w:val="22"/>
          <w:lang w:val="es-MX"/>
        </w:rPr>
        <w:t xml:space="preserve">La Agencia Nacional de Contratación Pública estudió por primera vez este tema en la consulta No. 4201913000005397 del 9 de agosto de 2019 y reiteró la posición en las siguientes consultas: 4201912000006611 del 25 de septiembre de 2019, 4201913000006847 del 4 de octubre de 2019, 4201912000007762 del 18 de noviembre de 2019, y finalmente en la consulta 4201912000007828 del 13 de noviembre de 2019 y, finalmente la consulta CU-003 de 2020. En todas sostuvo la idea que se reitera a continuación: </w:t>
      </w:r>
    </w:p>
    <w:p w14:paraId="3B6A8434" w14:textId="77777777" w:rsidR="00A957B9" w:rsidRPr="000612C9" w:rsidRDefault="00A957B9" w:rsidP="00A957B9">
      <w:pPr>
        <w:ind w:firstLine="709"/>
        <w:rPr>
          <w:rFonts w:ascii="Arial" w:eastAsia="Calibri" w:hAnsi="Arial" w:cs="Arial"/>
          <w:color w:val="000000" w:themeColor="text1"/>
          <w:sz w:val="22"/>
          <w:lang w:val="es-ES"/>
        </w:rPr>
      </w:pPr>
      <w:r w:rsidRPr="000612C9">
        <w:rPr>
          <w:rFonts w:ascii="Arial" w:eastAsia="Calibri" w:hAnsi="Arial" w:cs="Arial"/>
          <w:color w:val="000000" w:themeColor="text1"/>
          <w:sz w:val="22"/>
          <w:lang w:val="es-ES"/>
        </w:rPr>
        <w:lastRenderedPageBreak/>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005E803B" w14:textId="77777777" w:rsidR="00A957B9" w:rsidRPr="000612C9" w:rsidRDefault="00A957B9" w:rsidP="00A957B9">
      <w:pPr>
        <w:spacing w:line="240" w:lineRule="auto"/>
        <w:ind w:firstLine="709"/>
        <w:rPr>
          <w:rFonts w:ascii="Arial" w:eastAsia="Calibri" w:hAnsi="Arial" w:cs="Arial"/>
          <w:color w:val="000000" w:themeColor="text1"/>
          <w:sz w:val="22"/>
          <w:lang w:val="es-ES"/>
        </w:rPr>
      </w:pPr>
    </w:p>
    <w:p w14:paraId="35704474" w14:textId="230D4446" w:rsidR="00A957B9" w:rsidRPr="000612C9" w:rsidRDefault="00A957B9" w:rsidP="00A957B9">
      <w:pPr>
        <w:tabs>
          <w:tab w:val="left" w:pos="3885"/>
        </w:tabs>
        <w:spacing w:line="240" w:lineRule="auto"/>
        <w:ind w:left="709" w:right="709"/>
        <w:rPr>
          <w:rFonts w:ascii="Arial" w:hAnsi="Arial" w:cs="Arial"/>
          <w:color w:val="000000" w:themeColor="text1"/>
          <w:sz w:val="21"/>
          <w:szCs w:val="21"/>
          <w:lang w:val="es-ES"/>
        </w:rPr>
      </w:pPr>
      <w:r w:rsidRPr="000612C9">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49709E1" w14:textId="1EB9697C" w:rsidR="00A957B9" w:rsidRPr="000612C9" w:rsidRDefault="00A957B9" w:rsidP="000943FC">
      <w:pPr>
        <w:tabs>
          <w:tab w:val="left" w:pos="3885"/>
          <w:tab w:val="left" w:pos="8222"/>
        </w:tabs>
        <w:spacing w:line="240" w:lineRule="auto"/>
        <w:ind w:left="709" w:right="709"/>
        <w:rPr>
          <w:rFonts w:ascii="Arial" w:hAnsi="Arial" w:cs="Arial"/>
          <w:color w:val="000000" w:themeColor="text1"/>
          <w:sz w:val="22"/>
          <w:lang w:val="es-ES"/>
        </w:rPr>
      </w:pPr>
      <w:r w:rsidRPr="000612C9">
        <w:rPr>
          <w:rFonts w:ascii="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0612C9">
        <w:rPr>
          <w:rFonts w:ascii="Arial" w:hAnsi="Arial" w:cs="Arial"/>
          <w:color w:val="000000" w:themeColor="text1"/>
          <w:sz w:val="21"/>
          <w:szCs w:val="21"/>
          <w:lang w:val="es-ES"/>
        </w:rPr>
        <w:t>autoridades públicas</w:t>
      </w:r>
      <w:proofErr w:type="gramEnd"/>
      <w:r w:rsidRPr="000612C9">
        <w:rPr>
          <w:rFonts w:ascii="Arial" w:hAnsi="Arial" w:cs="Arial"/>
          <w:color w:val="000000" w:themeColor="text1"/>
          <w:sz w:val="21"/>
          <w:szCs w:val="21"/>
          <w:lang w:val="es-ES"/>
        </w:rPr>
        <w:t xml:space="preserve"> y, a través de ese conocimiento, a exigir que ellas se surtan conforme a la ley</w:t>
      </w:r>
      <w:r w:rsidRPr="000612C9">
        <w:rPr>
          <w:rStyle w:val="Refdenotaalpie"/>
          <w:rFonts w:ascii="Arial" w:eastAsia="Calibri" w:hAnsi="Arial" w:cs="Arial"/>
          <w:color w:val="000000" w:themeColor="text1"/>
          <w:sz w:val="21"/>
          <w:szCs w:val="21"/>
        </w:rPr>
        <w:footnoteReference w:id="7"/>
      </w:r>
      <w:r w:rsidRPr="000612C9">
        <w:rPr>
          <w:rFonts w:ascii="Arial" w:eastAsia="Calibri" w:hAnsi="Arial" w:cs="Arial"/>
          <w:color w:val="000000" w:themeColor="text1"/>
          <w:sz w:val="21"/>
          <w:szCs w:val="21"/>
          <w:lang w:val="es-ES"/>
        </w:rPr>
        <w:t>.</w:t>
      </w:r>
    </w:p>
    <w:p w14:paraId="4A108B6B" w14:textId="77777777" w:rsidR="000943FC" w:rsidRPr="000612C9" w:rsidRDefault="000943FC" w:rsidP="000943FC">
      <w:pPr>
        <w:tabs>
          <w:tab w:val="left" w:pos="3885"/>
          <w:tab w:val="left" w:pos="8222"/>
        </w:tabs>
        <w:spacing w:line="240" w:lineRule="auto"/>
        <w:ind w:left="709" w:right="709"/>
        <w:rPr>
          <w:rFonts w:ascii="Arial" w:hAnsi="Arial" w:cs="Arial"/>
          <w:color w:val="000000" w:themeColor="text1"/>
          <w:sz w:val="22"/>
          <w:lang w:val="es-ES"/>
        </w:rPr>
      </w:pPr>
    </w:p>
    <w:p w14:paraId="3162A2BA" w14:textId="77777777" w:rsidR="00A957B9" w:rsidRPr="000612C9" w:rsidRDefault="00A957B9" w:rsidP="00A957B9">
      <w:pPr>
        <w:ind w:firstLine="709"/>
        <w:rPr>
          <w:rFonts w:ascii="Arial" w:eastAsia="Calibri" w:hAnsi="Arial" w:cs="Arial"/>
          <w:color w:val="000000" w:themeColor="text1"/>
          <w:sz w:val="22"/>
          <w:lang w:val="es-ES"/>
        </w:rPr>
      </w:pPr>
      <w:r w:rsidRPr="000612C9">
        <w:rPr>
          <w:rFonts w:ascii="Arial" w:eastAsia="Calibri" w:hAnsi="Arial" w:cs="Arial"/>
          <w:color w:val="000000" w:themeColor="text1"/>
          <w:sz w:val="22"/>
          <w:lang w:val="es-ES"/>
        </w:rPr>
        <w:t xml:space="preserve">El principio de publicidad impone a las autoridades administrativas el deber de dar a conocer sus actos, contratos y decisiones, para que se divulguen y eventualmente se controlen las actuaciones. </w:t>
      </w:r>
    </w:p>
    <w:p w14:paraId="300996EF" w14:textId="77777777" w:rsidR="00A957B9" w:rsidRPr="000612C9" w:rsidRDefault="00A957B9" w:rsidP="00A957B9">
      <w:pPr>
        <w:ind w:firstLine="709"/>
        <w:rPr>
          <w:rFonts w:ascii="Arial" w:eastAsia="Calibri" w:hAnsi="Arial" w:cs="Arial"/>
          <w:color w:val="000000" w:themeColor="text1"/>
          <w:sz w:val="22"/>
          <w:lang w:val="es-ES"/>
        </w:rPr>
      </w:pPr>
      <w:r w:rsidRPr="000612C9">
        <w:rPr>
          <w:rFonts w:ascii="Arial" w:eastAsia="Calibri" w:hAnsi="Arial" w:cs="Arial"/>
          <w:color w:val="000000" w:themeColor="text1"/>
          <w:sz w:val="22"/>
          <w:lang w:val="es-ES"/>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0612C9">
        <w:rPr>
          <w:rStyle w:val="Refdenotaalpie"/>
          <w:rFonts w:ascii="Arial" w:eastAsia="Calibri" w:hAnsi="Arial" w:cs="Arial"/>
          <w:color w:val="000000" w:themeColor="text1"/>
          <w:sz w:val="22"/>
        </w:rPr>
        <w:footnoteReference w:id="8"/>
      </w:r>
      <w:r w:rsidRPr="000612C9">
        <w:rPr>
          <w:rFonts w:ascii="Arial" w:eastAsia="Calibri" w:hAnsi="Arial" w:cs="Arial"/>
          <w:color w:val="000000" w:themeColor="text1"/>
          <w:sz w:val="22"/>
          <w:lang w:val="es-ES"/>
        </w:rPr>
        <w:t xml:space="preserve">. </w:t>
      </w:r>
    </w:p>
    <w:p w14:paraId="7AF00EBC" w14:textId="77777777" w:rsidR="00A957B9" w:rsidRPr="000612C9" w:rsidRDefault="00A957B9" w:rsidP="00A957B9">
      <w:pPr>
        <w:ind w:firstLine="709"/>
        <w:rPr>
          <w:rFonts w:ascii="Arial" w:eastAsia="Calibri" w:hAnsi="Arial" w:cs="Arial"/>
          <w:color w:val="000000" w:themeColor="text1"/>
          <w:sz w:val="22"/>
          <w:lang w:val="es-ES"/>
        </w:rPr>
      </w:pPr>
      <w:r w:rsidRPr="000612C9">
        <w:rPr>
          <w:rFonts w:ascii="Arial" w:hAnsi="Arial" w:cs="Arial"/>
          <w:color w:val="000000" w:themeColor="text1"/>
          <w:sz w:val="22"/>
          <w:lang w:val="es-ES"/>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0612C9">
        <w:rPr>
          <w:rStyle w:val="Refdenotaalpie"/>
          <w:rFonts w:ascii="Arial" w:hAnsi="Arial" w:cs="Arial"/>
          <w:color w:val="000000" w:themeColor="text1"/>
          <w:sz w:val="22"/>
        </w:rPr>
        <w:footnoteReference w:id="9"/>
      </w:r>
      <w:r w:rsidRPr="000612C9">
        <w:rPr>
          <w:rFonts w:ascii="Arial" w:hAnsi="Arial" w:cs="Arial"/>
          <w:color w:val="000000" w:themeColor="text1"/>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672402D" w14:textId="77777777" w:rsidR="00A957B9" w:rsidRPr="000612C9" w:rsidRDefault="00A957B9" w:rsidP="00A957B9">
      <w:pPr>
        <w:pStyle w:val="NormalWeb"/>
        <w:spacing w:before="0" w:beforeAutospacing="0" w:after="0" w:afterAutospacing="0"/>
        <w:ind w:firstLine="709"/>
        <w:rPr>
          <w:rFonts w:ascii="Arial" w:eastAsiaTheme="minorHAnsi" w:hAnsi="Arial" w:cs="Arial"/>
          <w:color w:val="000000" w:themeColor="text1"/>
          <w:sz w:val="22"/>
          <w:szCs w:val="22"/>
          <w:lang w:val="es-MX" w:eastAsia="en-US"/>
        </w:rPr>
      </w:pPr>
      <w:r w:rsidRPr="000612C9">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0612C9">
        <w:rPr>
          <w:rStyle w:val="Refdenotaalpie"/>
          <w:rFonts w:ascii="Arial" w:eastAsiaTheme="minorHAnsi" w:hAnsi="Arial" w:cs="Arial"/>
          <w:color w:val="000000" w:themeColor="text1"/>
          <w:sz w:val="22"/>
          <w:szCs w:val="22"/>
          <w:lang w:val="es-MX" w:eastAsia="en-US"/>
        </w:rPr>
        <w:footnoteReference w:id="10"/>
      </w:r>
      <w:r w:rsidRPr="000612C9">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0612C9">
        <w:rPr>
          <w:rStyle w:val="Refdenotaalpie"/>
          <w:rFonts w:ascii="Arial" w:eastAsiaTheme="minorHAnsi" w:hAnsi="Arial" w:cs="Arial"/>
          <w:color w:val="000000" w:themeColor="text1"/>
          <w:sz w:val="22"/>
          <w:szCs w:val="22"/>
          <w:lang w:val="es-MX" w:eastAsia="en-US"/>
        </w:rPr>
        <w:footnoteReference w:id="11"/>
      </w:r>
      <w:r w:rsidRPr="000612C9">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0612C9">
        <w:rPr>
          <w:rFonts w:ascii="Arial" w:eastAsiaTheme="minorHAnsi" w:hAnsi="Arial" w:cs="Arial"/>
          <w:color w:val="000000" w:themeColor="text1"/>
          <w:sz w:val="22"/>
          <w:szCs w:val="22"/>
          <w:lang w:val="es-MX" w:eastAsia="en-US"/>
        </w:rPr>
        <w:softHyphen/>
        <w:t xml:space="preserve"> </w:t>
      </w:r>
      <w:r w:rsidRPr="000612C9">
        <w:rPr>
          <w:rFonts w:ascii="Arial" w:eastAsiaTheme="minorHAnsi" w:hAnsi="Arial" w:cs="Arial"/>
          <w:color w:val="000000" w:themeColor="text1"/>
          <w:sz w:val="22"/>
          <w:szCs w:val="22"/>
          <w:lang w:val="es-MX" w:eastAsia="en-US"/>
        </w:rPr>
        <w:softHyphen/>
        <w:t>SECOP.</w:t>
      </w:r>
    </w:p>
    <w:p w14:paraId="4814DE2E" w14:textId="77777777" w:rsidR="00A957B9" w:rsidRPr="000612C9" w:rsidRDefault="00A957B9" w:rsidP="00A957B9">
      <w:pPr>
        <w:ind w:firstLine="709"/>
        <w:rPr>
          <w:rFonts w:ascii="Arial" w:hAnsi="Arial" w:cs="Arial"/>
          <w:color w:val="000000" w:themeColor="text1"/>
          <w:sz w:val="22"/>
          <w:lang w:val="es-ES"/>
        </w:rPr>
      </w:pPr>
      <w:r w:rsidRPr="000612C9">
        <w:rPr>
          <w:rFonts w:ascii="Arial" w:hAnsi="Arial" w:cs="Arial"/>
          <w:color w:val="000000" w:themeColor="text1"/>
          <w:sz w:val="22"/>
          <w:lang w:val="es-ES"/>
        </w:rPr>
        <w:t xml:space="preserve">Asimismo, de acuerdo con el literal g) del artículo 11 de la misma Ley, todos los destinatarios de la ley de transparencia deben garantizar la publicidad de «sus procedimientos, lineamientos, políticas en materia de adquisiciones y compras, así como </w:t>
      </w:r>
      <w:r w:rsidRPr="000612C9">
        <w:rPr>
          <w:rFonts w:ascii="Arial" w:hAnsi="Arial" w:cs="Arial"/>
          <w:color w:val="000000" w:themeColor="text1"/>
          <w:sz w:val="22"/>
          <w:lang w:val="es-ES"/>
        </w:rPr>
        <w:lastRenderedPageBreak/>
        <w:t xml:space="preserve">todos los datos de adjudicación y ejecución de contratos, incluidos concursos y licitaciones», y esta información también debe estar en el SECOP. </w:t>
      </w:r>
    </w:p>
    <w:p w14:paraId="639C70C3" w14:textId="77777777" w:rsidR="00A957B9" w:rsidRPr="000612C9" w:rsidRDefault="00A957B9" w:rsidP="00A957B9">
      <w:pPr>
        <w:ind w:firstLine="709"/>
        <w:rPr>
          <w:rFonts w:ascii="Arial" w:eastAsia="Calibri" w:hAnsi="Arial" w:cs="Arial"/>
          <w:color w:val="000000" w:themeColor="text1"/>
          <w:sz w:val="22"/>
          <w:lang w:val="es-ES"/>
        </w:rPr>
      </w:pPr>
      <w:r w:rsidRPr="000612C9">
        <w:rPr>
          <w:rFonts w:ascii="Arial" w:eastAsia="Calibri" w:hAnsi="Arial" w:cs="Arial"/>
          <w:color w:val="000000" w:themeColor="text1"/>
          <w:sz w:val="22"/>
          <w:lang w:val="es-ES"/>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0612C9">
        <w:rPr>
          <w:rStyle w:val="Refdenotaalpie"/>
          <w:rFonts w:ascii="Arial" w:eastAsia="Calibri" w:hAnsi="Arial" w:cs="Arial"/>
          <w:color w:val="000000" w:themeColor="text1"/>
          <w:sz w:val="22"/>
        </w:rPr>
        <w:footnoteReference w:id="12"/>
      </w:r>
      <w:r w:rsidRPr="000612C9">
        <w:rPr>
          <w:rFonts w:ascii="Arial" w:eastAsia="Calibri" w:hAnsi="Arial" w:cs="Arial"/>
          <w:color w:val="000000" w:themeColor="text1"/>
          <w:sz w:val="22"/>
          <w:lang w:val="es-ES"/>
        </w:rPr>
        <w:t>.</w:t>
      </w:r>
    </w:p>
    <w:p w14:paraId="039ED1D2" w14:textId="77777777" w:rsidR="00A957B9" w:rsidRPr="000612C9" w:rsidRDefault="00A957B9" w:rsidP="00A957B9">
      <w:pPr>
        <w:ind w:firstLine="709"/>
        <w:rPr>
          <w:rFonts w:ascii="Arial" w:hAnsi="Arial" w:cs="Arial"/>
          <w:color w:val="000000" w:themeColor="text1"/>
          <w:sz w:val="22"/>
          <w:lang w:val="es-ES"/>
        </w:rPr>
      </w:pPr>
      <w:r w:rsidRPr="000612C9">
        <w:rPr>
          <w:rFonts w:ascii="Arial" w:hAnsi="Arial" w:cs="Arial"/>
          <w:color w:val="000000" w:themeColor="text1"/>
          <w:sz w:val="22"/>
          <w:lang w:val="es-ES"/>
        </w:rPr>
        <w:t>Para el año 2013, la Agencia Nacional de Contratación Pública ─ Colombia Compra Eficiente, mediante la mediante la Circular Externa No 1 del</w:t>
      </w:r>
      <w:r w:rsidRPr="000612C9">
        <w:rPr>
          <w:color w:val="000000" w:themeColor="text1"/>
          <w:sz w:val="22"/>
          <w:lang w:val="es-ES"/>
        </w:rPr>
        <w:t xml:space="preserve"> </w:t>
      </w:r>
      <w:r w:rsidRPr="000612C9">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0612C9">
        <w:rPr>
          <w:rStyle w:val="Refdenotaalpie"/>
          <w:rFonts w:ascii="Arial" w:hAnsi="Arial" w:cs="Arial"/>
          <w:color w:val="000000" w:themeColor="text1"/>
          <w:sz w:val="22"/>
          <w:lang w:val="es-ES"/>
        </w:rPr>
        <w:footnoteReference w:id="13"/>
      </w:r>
      <w:r w:rsidRPr="000612C9">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7EE404C1" w14:textId="77777777" w:rsidR="00A957B9" w:rsidRPr="000612C9" w:rsidRDefault="00A957B9" w:rsidP="00A957B9">
      <w:pPr>
        <w:ind w:firstLine="709"/>
        <w:rPr>
          <w:rFonts w:ascii="Arial" w:hAnsi="Arial" w:cs="Arial"/>
          <w:color w:val="000000" w:themeColor="text1"/>
          <w:sz w:val="22"/>
          <w:lang w:val="es-ES"/>
        </w:rPr>
      </w:pPr>
      <w:r w:rsidRPr="000612C9">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0C976B69" w14:textId="77777777" w:rsidR="00A957B9" w:rsidRPr="000612C9" w:rsidRDefault="00A957B9" w:rsidP="00A957B9">
      <w:pPr>
        <w:spacing w:line="240" w:lineRule="auto"/>
        <w:rPr>
          <w:rFonts w:ascii="Arial" w:hAnsi="Arial" w:cs="Arial"/>
          <w:color w:val="000000" w:themeColor="text1"/>
          <w:sz w:val="22"/>
          <w:lang w:val="es-ES"/>
        </w:rPr>
      </w:pPr>
    </w:p>
    <w:p w14:paraId="28004209" w14:textId="77777777" w:rsidR="00A957B9" w:rsidRPr="000612C9" w:rsidRDefault="00A957B9" w:rsidP="00A957B9">
      <w:pPr>
        <w:tabs>
          <w:tab w:val="left" w:pos="3885"/>
        </w:tabs>
        <w:spacing w:line="240" w:lineRule="auto"/>
        <w:ind w:left="709" w:right="709"/>
        <w:rPr>
          <w:rFonts w:ascii="Arial" w:hAnsi="Arial" w:cs="Arial"/>
          <w:color w:val="000000" w:themeColor="text1"/>
          <w:sz w:val="21"/>
          <w:szCs w:val="21"/>
          <w:lang w:val="es-ES"/>
        </w:rPr>
      </w:pPr>
      <w:r w:rsidRPr="000612C9">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2CF21129" w14:textId="77777777" w:rsidR="00A957B9" w:rsidRPr="000612C9" w:rsidRDefault="00A957B9" w:rsidP="00A957B9">
      <w:pPr>
        <w:tabs>
          <w:tab w:val="left" w:pos="3885"/>
        </w:tabs>
        <w:spacing w:line="240" w:lineRule="auto"/>
        <w:ind w:left="709" w:right="709"/>
        <w:rPr>
          <w:rFonts w:ascii="Arial" w:hAnsi="Arial" w:cs="Arial"/>
          <w:color w:val="000000" w:themeColor="text1"/>
          <w:sz w:val="21"/>
          <w:szCs w:val="21"/>
          <w:lang w:val="es-ES"/>
        </w:rPr>
      </w:pPr>
    </w:p>
    <w:p w14:paraId="5D892D15" w14:textId="77777777" w:rsidR="00A957B9" w:rsidRPr="000612C9" w:rsidRDefault="00A957B9" w:rsidP="00A957B9">
      <w:pPr>
        <w:tabs>
          <w:tab w:val="left" w:pos="3885"/>
        </w:tabs>
        <w:spacing w:line="240" w:lineRule="auto"/>
        <w:ind w:left="709" w:right="709"/>
        <w:rPr>
          <w:rFonts w:ascii="Arial" w:hAnsi="Arial" w:cs="Arial"/>
          <w:color w:val="000000" w:themeColor="text1"/>
          <w:sz w:val="21"/>
          <w:szCs w:val="21"/>
          <w:lang w:val="es-ES"/>
        </w:rPr>
      </w:pPr>
      <w:r w:rsidRPr="000612C9">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0612C9">
        <w:rPr>
          <w:rFonts w:ascii="Arial" w:hAnsi="Arial" w:cs="Arial"/>
          <w:color w:val="000000" w:themeColor="text1"/>
          <w:sz w:val="21"/>
          <w:szCs w:val="21"/>
          <w:lang w:val="es-ES"/>
        </w:rPr>
        <w:t>en razón de</w:t>
      </w:r>
      <w:proofErr w:type="gramEnd"/>
      <w:r w:rsidRPr="000612C9">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1A092185" w14:textId="6E69BE56" w:rsidR="00A957B9" w:rsidRPr="000612C9" w:rsidRDefault="00A957B9" w:rsidP="000943FC">
      <w:pPr>
        <w:tabs>
          <w:tab w:val="left" w:pos="3885"/>
        </w:tabs>
        <w:spacing w:line="240" w:lineRule="auto"/>
        <w:ind w:left="709" w:right="709"/>
        <w:rPr>
          <w:rFonts w:ascii="Arial" w:hAnsi="Arial" w:cs="Arial"/>
          <w:color w:val="000000" w:themeColor="text1"/>
          <w:sz w:val="21"/>
          <w:szCs w:val="21"/>
          <w:lang w:val="es-ES"/>
        </w:rPr>
      </w:pPr>
      <w:r w:rsidRPr="000612C9">
        <w:rPr>
          <w:rFonts w:ascii="Arial" w:hAnsi="Arial" w:cs="Arial"/>
          <w:color w:val="000000" w:themeColor="text1"/>
          <w:sz w:val="21"/>
          <w:szCs w:val="21"/>
          <w:lang w:val="es-ES"/>
        </w:rPr>
        <w:t>[…]</w:t>
      </w:r>
    </w:p>
    <w:p w14:paraId="6B5799FF" w14:textId="77777777" w:rsidR="00A957B9" w:rsidRPr="000612C9" w:rsidRDefault="00A957B9" w:rsidP="00A957B9">
      <w:pPr>
        <w:tabs>
          <w:tab w:val="left" w:pos="3885"/>
        </w:tabs>
        <w:spacing w:line="240" w:lineRule="auto"/>
        <w:ind w:left="709" w:right="709"/>
        <w:rPr>
          <w:rFonts w:ascii="Arial" w:hAnsi="Arial" w:cs="Arial"/>
          <w:color w:val="000000" w:themeColor="text1"/>
          <w:sz w:val="21"/>
          <w:szCs w:val="21"/>
          <w:lang w:val="es-ES"/>
        </w:rPr>
      </w:pPr>
      <w:r w:rsidRPr="000612C9">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0612C9">
        <w:rPr>
          <w:rStyle w:val="Refdenotaalpie"/>
          <w:rFonts w:ascii="Arial" w:hAnsi="Arial" w:cs="Arial"/>
          <w:color w:val="000000" w:themeColor="text1"/>
          <w:sz w:val="21"/>
          <w:szCs w:val="21"/>
        </w:rPr>
        <w:footnoteReference w:id="14"/>
      </w:r>
      <w:r w:rsidRPr="000612C9">
        <w:rPr>
          <w:rStyle w:val="Refdenotaalpie"/>
          <w:rFonts w:ascii="Arial" w:hAnsi="Arial" w:cs="Arial"/>
          <w:color w:val="000000" w:themeColor="text1"/>
          <w:sz w:val="21"/>
          <w:szCs w:val="21"/>
          <w:lang w:val="es-ES"/>
        </w:rPr>
        <w:t>.</w:t>
      </w:r>
    </w:p>
    <w:p w14:paraId="1ABBABB3" w14:textId="77777777" w:rsidR="00A957B9" w:rsidRPr="000612C9" w:rsidRDefault="00A957B9" w:rsidP="00A957B9">
      <w:pPr>
        <w:tabs>
          <w:tab w:val="left" w:pos="3885"/>
        </w:tabs>
        <w:ind w:right="709"/>
        <w:rPr>
          <w:rFonts w:ascii="Arial" w:eastAsia="Calibri" w:hAnsi="Arial" w:cs="Arial"/>
          <w:color w:val="000000" w:themeColor="text1"/>
          <w:sz w:val="22"/>
          <w:lang w:val="es-ES"/>
        </w:rPr>
      </w:pPr>
    </w:p>
    <w:p w14:paraId="2CB6A069" w14:textId="77777777" w:rsidR="00A957B9" w:rsidRPr="000612C9" w:rsidRDefault="00A957B9" w:rsidP="00A957B9">
      <w:pPr>
        <w:ind w:firstLine="708"/>
        <w:rPr>
          <w:rFonts w:ascii="Arial" w:hAnsi="Arial" w:cs="Arial"/>
          <w:color w:val="000000" w:themeColor="text1"/>
          <w:sz w:val="22"/>
          <w:lang w:val="es-ES"/>
        </w:rPr>
      </w:pPr>
      <w:r w:rsidRPr="000612C9">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7534A054" w14:textId="77777777" w:rsidR="00A957B9" w:rsidRPr="000612C9" w:rsidRDefault="00A957B9" w:rsidP="00A957B9">
      <w:pPr>
        <w:ind w:leftChars="709" w:left="1702" w:right="709" w:firstLine="2"/>
        <w:rPr>
          <w:rFonts w:ascii="Arial" w:hAnsi="Arial" w:cs="Arial"/>
          <w:color w:val="000000" w:themeColor="text1"/>
          <w:sz w:val="21"/>
          <w:szCs w:val="21"/>
          <w:lang w:val="es-ES"/>
        </w:rPr>
      </w:pPr>
    </w:p>
    <w:p w14:paraId="7C18F167" w14:textId="3A370239" w:rsidR="00A957B9" w:rsidRPr="000612C9" w:rsidRDefault="00A957B9" w:rsidP="00F06296">
      <w:pPr>
        <w:spacing w:line="240" w:lineRule="auto"/>
        <w:ind w:leftChars="295" w:left="708" w:right="709"/>
        <w:rPr>
          <w:rFonts w:ascii="Arial" w:hAnsi="Arial" w:cs="Arial"/>
          <w:color w:val="000000" w:themeColor="text1"/>
          <w:sz w:val="21"/>
          <w:szCs w:val="21"/>
          <w:lang w:val="es-ES"/>
        </w:rPr>
      </w:pPr>
      <w:r w:rsidRPr="000612C9">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6B5D0EA9" w14:textId="77777777" w:rsidR="00F06296" w:rsidRPr="000612C9" w:rsidRDefault="00F06296" w:rsidP="00F06296">
      <w:pPr>
        <w:spacing w:line="240" w:lineRule="auto"/>
        <w:ind w:leftChars="295" w:left="708" w:right="709"/>
        <w:rPr>
          <w:rFonts w:ascii="Arial" w:hAnsi="Arial" w:cs="Arial"/>
          <w:color w:val="000000" w:themeColor="text1"/>
          <w:sz w:val="21"/>
          <w:szCs w:val="21"/>
          <w:lang w:val="es-ES"/>
        </w:rPr>
      </w:pPr>
    </w:p>
    <w:p w14:paraId="63F1FEDE" w14:textId="035CB3A8" w:rsidR="00A957B9" w:rsidRPr="000612C9" w:rsidRDefault="00A957B9" w:rsidP="00A957B9">
      <w:pPr>
        <w:ind w:firstLine="708"/>
        <w:rPr>
          <w:rFonts w:ascii="Arial" w:hAnsi="Arial" w:cs="Arial"/>
          <w:color w:val="000000" w:themeColor="text1"/>
          <w:sz w:val="22"/>
          <w:lang w:val="es-ES"/>
        </w:rPr>
      </w:pPr>
      <w:r w:rsidRPr="000612C9">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509BF61A" w14:textId="380C7828" w:rsidR="00F06296" w:rsidRPr="000612C9" w:rsidRDefault="00F06296" w:rsidP="00CE4E6E">
      <w:pPr>
        <w:ind w:firstLine="708"/>
        <w:rPr>
          <w:rFonts w:ascii="Arial" w:hAnsi="Arial" w:cs="Arial"/>
          <w:color w:val="000000" w:themeColor="text1"/>
          <w:sz w:val="22"/>
          <w:lang w:val="es-ES"/>
        </w:rPr>
      </w:pPr>
      <w:r w:rsidRPr="000612C9">
        <w:rPr>
          <w:rFonts w:ascii="Arial" w:hAnsi="Arial" w:cs="Arial"/>
          <w:color w:val="000000" w:themeColor="text1"/>
          <w:sz w:val="22"/>
          <w:lang w:val="es-ES"/>
        </w:rPr>
        <w:t>Para concluir</w:t>
      </w:r>
      <w:r w:rsidR="002B3433"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se debe reiterar que el criterio último para resolver cuestionamientos sobre la publicidad en el SECOP no es el tipo de entidad, o el régimen jurídico del respectivo contrato estatal, o si dicho régimen es asignado como consecuencia de un tipo especial de sujetos o para determinados objetos </w:t>
      </w:r>
      <w:proofErr w:type="gramStart"/>
      <w:r w:rsidRPr="000612C9">
        <w:rPr>
          <w:rFonts w:ascii="Arial" w:hAnsi="Arial" w:cs="Arial"/>
          <w:color w:val="000000" w:themeColor="text1"/>
          <w:sz w:val="22"/>
          <w:lang w:val="es-ES"/>
        </w:rPr>
        <w:t>en razón de</w:t>
      </w:r>
      <w:proofErr w:type="gramEnd"/>
      <w:r w:rsidRPr="000612C9">
        <w:rPr>
          <w:rFonts w:ascii="Arial" w:hAnsi="Arial" w:cs="Arial"/>
          <w:color w:val="000000" w:themeColor="text1"/>
          <w:sz w:val="22"/>
          <w:lang w:val="es-ES"/>
        </w:rPr>
        <w:t xml:space="preserve"> las especiales circunstancias</w:t>
      </w:r>
      <w:r w:rsidR="002B3433" w:rsidRPr="000612C9">
        <w:rPr>
          <w:rFonts w:ascii="Arial" w:hAnsi="Arial" w:cs="Arial"/>
          <w:color w:val="000000" w:themeColor="text1"/>
          <w:sz w:val="22"/>
          <w:lang w:val="es-ES"/>
        </w:rPr>
        <w:t xml:space="preserve"> de la contratación, </w:t>
      </w:r>
      <w:r w:rsidRPr="000612C9">
        <w:rPr>
          <w:rFonts w:ascii="Arial" w:hAnsi="Arial" w:cs="Arial"/>
          <w:color w:val="000000" w:themeColor="text1"/>
          <w:sz w:val="22"/>
          <w:lang w:val="es-ES"/>
        </w:rPr>
        <w:t>sino la presencia de recursos públicos</w:t>
      </w:r>
      <w:r w:rsidR="002B3433" w:rsidRPr="000612C9">
        <w:rPr>
          <w:rFonts w:ascii="Arial" w:hAnsi="Arial" w:cs="Arial"/>
          <w:color w:val="000000" w:themeColor="text1"/>
          <w:sz w:val="22"/>
          <w:lang w:val="es-ES"/>
        </w:rPr>
        <w:t xml:space="preserve"> en ese contrato en particular</w:t>
      </w:r>
      <w:r w:rsidRPr="000612C9">
        <w:rPr>
          <w:rFonts w:ascii="Arial" w:hAnsi="Arial" w:cs="Arial"/>
          <w:color w:val="000000" w:themeColor="text1"/>
          <w:sz w:val="22"/>
          <w:lang w:val="es-ES"/>
        </w:rPr>
        <w:t xml:space="preserve">. </w:t>
      </w:r>
      <w:r w:rsidR="002B3433" w:rsidRPr="000612C9">
        <w:rPr>
          <w:rFonts w:ascii="Arial" w:hAnsi="Arial" w:cs="Arial"/>
          <w:color w:val="000000" w:themeColor="text1"/>
          <w:sz w:val="22"/>
          <w:lang w:val="es-ES"/>
        </w:rPr>
        <w:t>Por lo mismo, las entidades que</w:t>
      </w:r>
      <w:r w:rsidR="00EB2CBD" w:rsidRPr="000612C9">
        <w:rPr>
          <w:rFonts w:ascii="Arial" w:hAnsi="Arial" w:cs="Arial"/>
          <w:color w:val="000000" w:themeColor="text1"/>
          <w:sz w:val="22"/>
          <w:lang w:val="es-ES"/>
        </w:rPr>
        <w:t>,</w:t>
      </w:r>
      <w:r w:rsidR="002B3433" w:rsidRPr="000612C9">
        <w:rPr>
          <w:rFonts w:ascii="Arial" w:hAnsi="Arial" w:cs="Arial"/>
          <w:color w:val="000000" w:themeColor="text1"/>
          <w:sz w:val="22"/>
          <w:lang w:val="es-ES"/>
        </w:rPr>
        <w:t xml:space="preserve"> como consecuencia del artículo 66 de la Ley 1523 de 2012 puede</w:t>
      </w:r>
      <w:r w:rsidR="00CE4E6E" w:rsidRPr="000612C9">
        <w:rPr>
          <w:rFonts w:ascii="Arial" w:hAnsi="Arial" w:cs="Arial"/>
          <w:color w:val="000000" w:themeColor="text1"/>
          <w:sz w:val="22"/>
          <w:lang w:val="es-ES"/>
        </w:rPr>
        <w:t>n</w:t>
      </w:r>
      <w:r w:rsidR="002B3433" w:rsidRPr="000612C9">
        <w:rPr>
          <w:rFonts w:ascii="Arial" w:hAnsi="Arial" w:cs="Arial"/>
          <w:color w:val="000000" w:themeColor="text1"/>
          <w:sz w:val="22"/>
          <w:lang w:val="es-ES"/>
        </w:rPr>
        <w:t xml:space="preserve">, para los objetos allí señalados, contratar con sometimiento </w:t>
      </w:r>
      <w:r w:rsidR="00EB2CBD" w:rsidRPr="000612C9">
        <w:rPr>
          <w:rFonts w:ascii="Arial" w:hAnsi="Arial" w:cs="Arial"/>
          <w:color w:val="000000" w:themeColor="text1"/>
          <w:sz w:val="22"/>
          <w:lang w:val="es-ES"/>
        </w:rPr>
        <w:t>«</w:t>
      </w:r>
      <w:r w:rsidR="002B3433" w:rsidRPr="000612C9">
        <w:rPr>
          <w:rFonts w:ascii="Arial" w:hAnsi="Arial" w:cs="Arial"/>
          <w:color w:val="000000" w:themeColor="text1"/>
          <w:sz w:val="22"/>
          <w:lang w:val="es-ES"/>
        </w:rPr>
        <w:t>a los requisitos y formalidad</w:t>
      </w:r>
      <w:r w:rsidR="00CE4E6E" w:rsidRPr="000612C9">
        <w:rPr>
          <w:rFonts w:ascii="Arial" w:hAnsi="Arial" w:cs="Arial"/>
          <w:color w:val="000000" w:themeColor="text1"/>
          <w:sz w:val="22"/>
          <w:lang w:val="es-ES"/>
        </w:rPr>
        <w:t>es</w:t>
      </w:r>
      <w:r w:rsidR="002B3433" w:rsidRPr="000612C9">
        <w:rPr>
          <w:rFonts w:ascii="Arial" w:hAnsi="Arial" w:cs="Arial"/>
          <w:color w:val="000000" w:themeColor="text1"/>
          <w:sz w:val="22"/>
          <w:lang w:val="es-ES"/>
        </w:rPr>
        <w:t xml:space="preserve"> que exige la ley para la contratación entre particulares</w:t>
      </w:r>
      <w:r w:rsidR="00EB2CBD" w:rsidRPr="000612C9">
        <w:rPr>
          <w:rFonts w:ascii="Arial" w:hAnsi="Arial" w:cs="Arial"/>
          <w:color w:val="000000" w:themeColor="text1"/>
          <w:sz w:val="22"/>
          <w:lang w:val="es-ES"/>
        </w:rPr>
        <w:t xml:space="preserve">», </w:t>
      </w:r>
      <w:r w:rsidR="002B3433" w:rsidRPr="000612C9">
        <w:rPr>
          <w:rFonts w:ascii="Arial" w:hAnsi="Arial" w:cs="Arial"/>
          <w:color w:val="000000" w:themeColor="text1"/>
          <w:sz w:val="22"/>
          <w:lang w:val="es-ES"/>
        </w:rPr>
        <w:t>deben publicar su actividad contractual en el SECOP como consecuencia de estar contratando con cargo a recursos públicos.</w:t>
      </w:r>
      <w:r w:rsidR="00CE4E6E" w:rsidRPr="000612C9">
        <w:rPr>
          <w:rFonts w:ascii="Arial" w:hAnsi="Arial" w:cs="Arial"/>
          <w:color w:val="000000" w:themeColor="text1"/>
          <w:sz w:val="22"/>
          <w:lang w:val="es-ES"/>
        </w:rPr>
        <w:t xml:space="preserve"> </w:t>
      </w:r>
    </w:p>
    <w:p w14:paraId="0FEA160A" w14:textId="402AA381" w:rsidR="00CE4E6E" w:rsidRPr="000612C9" w:rsidRDefault="00CE4E6E" w:rsidP="00CE4E6E">
      <w:pPr>
        <w:ind w:firstLine="708"/>
        <w:rPr>
          <w:rFonts w:ascii="Arial" w:hAnsi="Arial" w:cs="Arial"/>
          <w:color w:val="000000" w:themeColor="text1"/>
          <w:sz w:val="22"/>
          <w:lang w:val="es-ES"/>
        </w:rPr>
      </w:pPr>
      <w:r w:rsidRPr="000612C9">
        <w:rPr>
          <w:rFonts w:ascii="Arial" w:hAnsi="Arial" w:cs="Arial"/>
          <w:color w:val="000000" w:themeColor="text1"/>
          <w:sz w:val="22"/>
          <w:lang w:val="es-ES"/>
        </w:rPr>
        <w:t xml:space="preserve">En relación con su segunda </w:t>
      </w:r>
      <w:r w:rsidR="002177D9" w:rsidRPr="000612C9">
        <w:rPr>
          <w:rFonts w:ascii="Arial" w:hAnsi="Arial" w:cs="Arial"/>
          <w:color w:val="000000" w:themeColor="text1"/>
          <w:sz w:val="22"/>
          <w:lang w:val="es-ES"/>
        </w:rPr>
        <w:t>pregunta</w:t>
      </w:r>
      <w:r w:rsidRPr="000612C9">
        <w:rPr>
          <w:rFonts w:ascii="Arial" w:hAnsi="Arial" w:cs="Arial"/>
          <w:color w:val="000000" w:themeColor="text1"/>
          <w:sz w:val="22"/>
          <w:lang w:val="es-ES"/>
        </w:rPr>
        <w:t xml:space="preserve">, que se refiere particularmente a la ausencia de una causal de contratación denominada </w:t>
      </w:r>
      <w:r w:rsidR="002177D9" w:rsidRPr="000612C9">
        <w:rPr>
          <w:rFonts w:ascii="Arial" w:hAnsi="Arial" w:cs="Arial"/>
          <w:color w:val="000000" w:themeColor="text1"/>
          <w:sz w:val="22"/>
          <w:lang w:val="es-ES"/>
        </w:rPr>
        <w:t>«</w:t>
      </w:r>
      <w:r w:rsidRPr="000612C9">
        <w:rPr>
          <w:rFonts w:ascii="Arial" w:hAnsi="Arial" w:cs="Arial"/>
          <w:color w:val="000000" w:themeColor="text1"/>
          <w:sz w:val="22"/>
          <w:lang w:val="es-ES"/>
        </w:rPr>
        <w:t>Calamidad pública</w:t>
      </w:r>
      <w:r w:rsidR="002177D9" w:rsidRPr="000612C9">
        <w:rPr>
          <w:rFonts w:ascii="Arial" w:hAnsi="Arial" w:cs="Arial"/>
          <w:color w:val="000000" w:themeColor="text1"/>
          <w:sz w:val="22"/>
          <w:lang w:val="es-ES"/>
        </w:rPr>
        <w:t xml:space="preserve">» </w:t>
      </w:r>
      <w:r w:rsidRPr="000612C9">
        <w:rPr>
          <w:rFonts w:ascii="Arial" w:hAnsi="Arial" w:cs="Arial"/>
          <w:color w:val="000000" w:themeColor="text1"/>
          <w:sz w:val="22"/>
          <w:lang w:val="es-ES"/>
        </w:rPr>
        <w:t>en la plataforma SECOP, se absuelve la misma con referencia a lo dicho en este concepto en el sentido</w:t>
      </w:r>
      <w:r w:rsidR="001F6378" w:rsidRPr="000612C9">
        <w:rPr>
          <w:rFonts w:ascii="Arial" w:hAnsi="Arial" w:cs="Arial"/>
          <w:color w:val="000000" w:themeColor="text1"/>
          <w:sz w:val="22"/>
          <w:lang w:val="es-ES"/>
        </w:rPr>
        <w:t xml:space="preserve"> de</w:t>
      </w:r>
      <w:r w:rsidRPr="000612C9">
        <w:rPr>
          <w:rFonts w:ascii="Arial" w:hAnsi="Arial" w:cs="Arial"/>
          <w:color w:val="000000" w:themeColor="text1"/>
          <w:sz w:val="22"/>
          <w:lang w:val="es-ES"/>
        </w:rPr>
        <w:t xml:space="preserve"> que este tipo de contrataciones no son una causal de contratación directa al interior del Estatuto General de Contratación de la Administración Pública, sino un régimen especial que </w:t>
      </w:r>
      <w:r w:rsidR="002177D9" w:rsidRPr="000612C9">
        <w:rPr>
          <w:rFonts w:ascii="Arial" w:hAnsi="Arial" w:cs="Arial"/>
          <w:color w:val="000000" w:themeColor="text1"/>
          <w:sz w:val="22"/>
          <w:lang w:val="es-ES"/>
        </w:rPr>
        <w:t>«</w:t>
      </w:r>
      <w:r w:rsidR="001F6378" w:rsidRPr="000612C9">
        <w:rPr>
          <w:rFonts w:ascii="Arial" w:hAnsi="Arial" w:cs="Arial"/>
          <w:color w:val="000000" w:themeColor="text1"/>
          <w:sz w:val="22"/>
          <w:lang w:val="es-ES"/>
        </w:rPr>
        <w:t>excluye</w:t>
      </w:r>
      <w:r w:rsidR="002177D9" w:rsidRPr="000612C9">
        <w:rPr>
          <w:rFonts w:ascii="Arial" w:hAnsi="Arial" w:cs="Arial"/>
          <w:color w:val="000000" w:themeColor="text1"/>
          <w:sz w:val="22"/>
          <w:lang w:val="es-ES"/>
        </w:rPr>
        <w:t xml:space="preserve">» </w:t>
      </w:r>
      <w:r w:rsidRPr="000612C9">
        <w:rPr>
          <w:rFonts w:ascii="Arial" w:hAnsi="Arial" w:cs="Arial"/>
          <w:color w:val="000000" w:themeColor="text1"/>
          <w:sz w:val="22"/>
          <w:lang w:val="es-ES"/>
        </w:rPr>
        <w:t xml:space="preserve">a la entidad del ámbito de aplicación de este instrumento normativo. </w:t>
      </w:r>
    </w:p>
    <w:p w14:paraId="63DF13D9" w14:textId="4584A7D3" w:rsidR="00D10800" w:rsidRPr="000612C9" w:rsidRDefault="00CE4E6E" w:rsidP="00CE4E6E">
      <w:pPr>
        <w:ind w:firstLine="708"/>
        <w:rPr>
          <w:rFonts w:ascii="Arial" w:hAnsi="Arial" w:cs="Arial"/>
          <w:color w:val="000000" w:themeColor="text1"/>
          <w:sz w:val="22"/>
          <w:lang w:val="es-ES"/>
        </w:rPr>
      </w:pPr>
      <w:r w:rsidRPr="000612C9">
        <w:rPr>
          <w:rFonts w:ascii="Arial" w:hAnsi="Arial" w:cs="Arial"/>
          <w:color w:val="000000" w:themeColor="text1"/>
          <w:sz w:val="22"/>
          <w:lang w:val="es-ES"/>
        </w:rPr>
        <w:t>A la luz de lo dicho, desde una perspectiva técnica, la entidad estatal</w:t>
      </w:r>
      <w:r w:rsidR="001F6378" w:rsidRPr="000612C9">
        <w:rPr>
          <w:rFonts w:ascii="Arial" w:hAnsi="Arial" w:cs="Arial"/>
          <w:color w:val="000000" w:themeColor="text1"/>
          <w:sz w:val="22"/>
          <w:lang w:val="es-ES"/>
        </w:rPr>
        <w:t xml:space="preserve"> </w:t>
      </w:r>
      <w:r w:rsidRPr="000612C9">
        <w:rPr>
          <w:rFonts w:ascii="Arial" w:hAnsi="Arial" w:cs="Arial"/>
          <w:color w:val="000000" w:themeColor="text1"/>
          <w:sz w:val="22"/>
          <w:lang w:val="es-ES"/>
        </w:rPr>
        <w:t xml:space="preserve">para los efectos de la contratación en aplicación del artículo 66 de la Ley 1523 de 2012 se considera una entidad estatal con </w:t>
      </w:r>
      <w:r w:rsidR="00CD2B8C" w:rsidRPr="000612C9">
        <w:rPr>
          <w:rFonts w:ascii="Arial" w:hAnsi="Arial" w:cs="Arial"/>
          <w:color w:val="000000" w:themeColor="text1"/>
          <w:sz w:val="22"/>
          <w:lang w:val="es-ES"/>
        </w:rPr>
        <w:t>«</w:t>
      </w:r>
      <w:r w:rsidRPr="000612C9">
        <w:rPr>
          <w:rFonts w:ascii="Arial" w:hAnsi="Arial" w:cs="Arial"/>
          <w:color w:val="000000" w:themeColor="text1"/>
          <w:sz w:val="22"/>
          <w:lang w:val="es-ES"/>
        </w:rPr>
        <w:t>régimen especial</w:t>
      </w:r>
      <w:r w:rsidR="00CD2B8C"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y es</w:t>
      </w:r>
      <w:r w:rsidR="00CD2B8C"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técnicamente</w:t>
      </w:r>
      <w:r w:rsidR="00CD2B8C"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a través de esta posibilidad habilitada en el SECOP</w:t>
      </w:r>
      <w:r w:rsidR="00CD2B8C"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que se debe realizar la correspondiente publicación.</w:t>
      </w:r>
    </w:p>
    <w:p w14:paraId="150FAED0" w14:textId="77777777" w:rsidR="006D5552" w:rsidRPr="000612C9" w:rsidRDefault="00D10800" w:rsidP="00D10800">
      <w:pPr>
        <w:ind w:firstLine="708"/>
        <w:rPr>
          <w:rFonts w:ascii="Arial" w:hAnsi="Arial" w:cs="Arial"/>
          <w:color w:val="000000" w:themeColor="text1"/>
          <w:sz w:val="22"/>
          <w:lang w:val="es-ES"/>
        </w:rPr>
      </w:pPr>
      <w:r w:rsidRPr="000612C9">
        <w:rPr>
          <w:rFonts w:ascii="Arial" w:hAnsi="Arial" w:cs="Arial"/>
          <w:color w:val="000000" w:themeColor="text1"/>
          <w:sz w:val="22"/>
          <w:lang w:val="es-ES"/>
        </w:rPr>
        <w:t>Las entidades obligadas a aplicar la Ley 80 de 1993 y gestionar sus procesos de contratación a través del SECOP II, para este caso espec</w:t>
      </w:r>
      <w:r w:rsidR="0040246E" w:rsidRPr="000612C9">
        <w:rPr>
          <w:rFonts w:ascii="Arial" w:hAnsi="Arial" w:cs="Arial"/>
          <w:color w:val="000000" w:themeColor="text1"/>
          <w:sz w:val="22"/>
          <w:lang w:val="es-ES"/>
        </w:rPr>
        <w:t>í</w:t>
      </w:r>
      <w:r w:rsidRPr="000612C9">
        <w:rPr>
          <w:rFonts w:ascii="Arial" w:hAnsi="Arial" w:cs="Arial"/>
          <w:color w:val="000000" w:themeColor="text1"/>
          <w:sz w:val="22"/>
          <w:lang w:val="es-ES"/>
        </w:rPr>
        <w:t>fico, pueden adelantar sus procesos en esta plataforma de manera transaccional o como herramienta de publicidad.</w:t>
      </w:r>
    </w:p>
    <w:p w14:paraId="5926FCD5" w14:textId="2C600219" w:rsidR="00D10800" w:rsidRPr="000612C9" w:rsidRDefault="006D5552" w:rsidP="001824DD">
      <w:pPr>
        <w:ind w:firstLine="708"/>
        <w:rPr>
          <w:rFonts w:ascii="Arial" w:hAnsi="Arial" w:cs="Arial"/>
          <w:color w:val="000000" w:themeColor="text1"/>
          <w:sz w:val="22"/>
          <w:lang w:val="es-ES"/>
        </w:rPr>
      </w:pPr>
      <w:r w:rsidRPr="000612C9">
        <w:rPr>
          <w:rFonts w:ascii="Arial" w:hAnsi="Arial" w:cs="Arial"/>
          <w:color w:val="000000" w:themeColor="text1"/>
          <w:sz w:val="22"/>
          <w:lang w:val="es-ES"/>
        </w:rPr>
        <w:t>En caso de que la entidad desee gestionar sus procesos de manera transaccional deberá utilizar el módulo de “Contratación Régimen Especial”, para lo cual requerirá que el proveedor se encuentre inscrito en la plataforma del SECOP II. Lo anterior le permitirá</w:t>
      </w:r>
      <w:r w:rsidR="001824DD" w:rsidRPr="000612C9">
        <w:rPr>
          <w:rFonts w:ascii="Arial" w:hAnsi="Arial" w:cs="Arial"/>
          <w:color w:val="000000" w:themeColor="text1"/>
          <w:sz w:val="22"/>
          <w:lang w:val="es-ES"/>
        </w:rPr>
        <w:t xml:space="preserve"> a la </w:t>
      </w:r>
      <w:r w:rsidR="001824DD" w:rsidRPr="000612C9">
        <w:rPr>
          <w:rFonts w:ascii="Arial" w:hAnsi="Arial" w:cs="Arial"/>
          <w:color w:val="000000" w:themeColor="text1"/>
          <w:sz w:val="22"/>
          <w:lang w:val="es-ES"/>
        </w:rPr>
        <w:lastRenderedPageBreak/>
        <w:t xml:space="preserve">entidad </w:t>
      </w:r>
      <w:r w:rsidR="00D10800" w:rsidRPr="000612C9">
        <w:rPr>
          <w:rFonts w:ascii="Arial" w:hAnsi="Arial" w:cs="Arial"/>
          <w:color w:val="000000" w:themeColor="text1"/>
          <w:sz w:val="22"/>
          <w:lang w:val="es-ES"/>
        </w:rPr>
        <w:t xml:space="preserve">estructurar </w:t>
      </w:r>
      <w:r w:rsidR="001824DD" w:rsidRPr="000612C9">
        <w:rPr>
          <w:rFonts w:ascii="Arial" w:hAnsi="Arial" w:cs="Arial"/>
          <w:color w:val="000000" w:themeColor="text1"/>
          <w:sz w:val="22"/>
          <w:lang w:val="es-ES"/>
        </w:rPr>
        <w:t>el</w:t>
      </w:r>
      <w:r w:rsidR="00D10800" w:rsidRPr="000612C9">
        <w:rPr>
          <w:rFonts w:ascii="Arial" w:hAnsi="Arial" w:cs="Arial"/>
          <w:color w:val="000000" w:themeColor="text1"/>
          <w:sz w:val="22"/>
          <w:lang w:val="es-ES"/>
        </w:rPr>
        <w:t xml:space="preserve"> proceso de contratación, generar </w:t>
      </w:r>
      <w:r w:rsidR="001824DD" w:rsidRPr="000612C9">
        <w:rPr>
          <w:rFonts w:ascii="Arial" w:hAnsi="Arial" w:cs="Arial"/>
          <w:color w:val="000000" w:themeColor="text1"/>
          <w:sz w:val="22"/>
          <w:lang w:val="es-ES"/>
        </w:rPr>
        <w:t>el</w:t>
      </w:r>
      <w:r w:rsidR="00D10800" w:rsidRPr="000612C9">
        <w:rPr>
          <w:rFonts w:ascii="Arial" w:hAnsi="Arial" w:cs="Arial"/>
          <w:color w:val="000000" w:themeColor="text1"/>
          <w:sz w:val="22"/>
          <w:lang w:val="es-ES"/>
        </w:rPr>
        <w:t xml:space="preserve"> contrato en línea y realizar la gestión contractual a través de la plataforma</w:t>
      </w:r>
      <w:r w:rsidR="001824DD" w:rsidRPr="000612C9">
        <w:rPr>
          <w:rFonts w:ascii="Arial" w:hAnsi="Arial" w:cs="Arial"/>
          <w:color w:val="000000" w:themeColor="text1"/>
          <w:sz w:val="22"/>
          <w:lang w:val="es-ES"/>
        </w:rPr>
        <w:t>.</w:t>
      </w:r>
    </w:p>
    <w:p w14:paraId="6B80C00A" w14:textId="09309306" w:rsidR="00D10800" w:rsidRPr="000612C9" w:rsidRDefault="00D10800" w:rsidP="00D10800">
      <w:pPr>
        <w:ind w:firstLine="708"/>
        <w:rPr>
          <w:rFonts w:ascii="Arial" w:hAnsi="Arial" w:cs="Arial"/>
          <w:color w:val="000000" w:themeColor="text1"/>
          <w:sz w:val="22"/>
          <w:lang w:val="es-ES"/>
        </w:rPr>
      </w:pPr>
      <w:r w:rsidRPr="000612C9">
        <w:rPr>
          <w:rFonts w:ascii="Arial" w:hAnsi="Arial" w:cs="Arial"/>
          <w:color w:val="000000" w:themeColor="text1"/>
          <w:sz w:val="22"/>
          <w:lang w:val="es-ES"/>
        </w:rPr>
        <w:t xml:space="preserve">Si la entidad decide utilizar el SECOP II como herramienta de publicidad, puede crear el proceso de contratación en el SECOP II mediante el módulo “Contratación Régimen Especial”, y publicar todos los documentos del proceso en la fase de proceso. La publicación de los documentos de gestión contractual incluido el contrato con firma manuscrita se realiza mediante la opción modificaciones al proceso. Quien utilice esta opción no debe dar clic en la opción “Finalizar”, </w:t>
      </w:r>
      <w:r w:rsidR="001824DD" w:rsidRPr="000612C9">
        <w:rPr>
          <w:rFonts w:ascii="Arial" w:hAnsi="Arial" w:cs="Arial"/>
          <w:color w:val="000000" w:themeColor="text1"/>
          <w:sz w:val="22"/>
          <w:lang w:val="es-ES"/>
        </w:rPr>
        <w:t>puesto que</w:t>
      </w:r>
      <w:r w:rsidRPr="000612C9">
        <w:rPr>
          <w:rFonts w:ascii="Arial" w:hAnsi="Arial" w:cs="Arial"/>
          <w:color w:val="000000" w:themeColor="text1"/>
          <w:sz w:val="22"/>
          <w:lang w:val="es-ES"/>
        </w:rPr>
        <w:t xml:space="preserve"> la plataforma cierra el expediente y no permite la publicación posterior de ningún documento.</w:t>
      </w:r>
    </w:p>
    <w:p w14:paraId="495BC65B" w14:textId="073C563A" w:rsidR="00D10800" w:rsidRPr="000612C9" w:rsidRDefault="00D10800" w:rsidP="00D10800">
      <w:pPr>
        <w:ind w:firstLine="708"/>
        <w:rPr>
          <w:rFonts w:ascii="Arial" w:hAnsi="Arial" w:cs="Arial"/>
          <w:color w:val="000000" w:themeColor="text1"/>
          <w:sz w:val="22"/>
          <w:lang w:val="es-ES"/>
        </w:rPr>
      </w:pPr>
      <w:r w:rsidRPr="000612C9">
        <w:rPr>
          <w:rFonts w:ascii="Arial" w:hAnsi="Arial" w:cs="Arial"/>
          <w:color w:val="000000" w:themeColor="text1"/>
          <w:sz w:val="22"/>
          <w:lang w:val="es-ES"/>
        </w:rPr>
        <w:t>Al hacer uso del módulo “Contratación Régimen Especial” de manera publicitaria no es necesario que el proveedor o contratista est</w:t>
      </w:r>
      <w:r w:rsidR="001F6378" w:rsidRPr="000612C9">
        <w:rPr>
          <w:rFonts w:ascii="Arial" w:hAnsi="Arial" w:cs="Arial"/>
          <w:color w:val="000000" w:themeColor="text1"/>
          <w:sz w:val="22"/>
          <w:lang w:val="es-ES"/>
        </w:rPr>
        <w:t>é</w:t>
      </w:r>
      <w:r w:rsidRPr="000612C9">
        <w:rPr>
          <w:rFonts w:ascii="Arial" w:hAnsi="Arial" w:cs="Arial"/>
          <w:color w:val="000000" w:themeColor="text1"/>
          <w:sz w:val="22"/>
          <w:lang w:val="es-ES"/>
        </w:rPr>
        <w:t xml:space="preserve"> registrado en SECOP II, puesto que la entidad deberá publicar todos los documentos de su proceso y no habría una interacción a través de la plataforma SECOP II entre la entidad y los contratistas. </w:t>
      </w:r>
    </w:p>
    <w:p w14:paraId="273937A2" w14:textId="339A91CA" w:rsidR="00273E83" w:rsidRPr="000612C9" w:rsidRDefault="00D10800" w:rsidP="00D10800">
      <w:pPr>
        <w:ind w:firstLine="708"/>
        <w:rPr>
          <w:rFonts w:ascii="Arial" w:hAnsi="Arial" w:cs="Arial"/>
          <w:color w:val="000000" w:themeColor="text1"/>
          <w:sz w:val="22"/>
          <w:lang w:val="es-ES"/>
        </w:rPr>
      </w:pPr>
      <w:r w:rsidRPr="000612C9">
        <w:rPr>
          <w:rFonts w:ascii="Arial" w:hAnsi="Arial" w:cs="Arial"/>
          <w:color w:val="000000" w:themeColor="text1"/>
          <w:sz w:val="22"/>
          <w:lang w:val="es-ES"/>
        </w:rPr>
        <w:t>Dado que los módulos de régimen especial están habilitados, en principio, para las entidades que contratan bajo derecho privado, las entidades</w:t>
      </w:r>
      <w:r w:rsidR="00435826"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para dar publicidad a los procesos realizados en virtud del artículo 66 de la Ley 1523 de 2012</w:t>
      </w:r>
      <w:r w:rsidR="00435826"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deben solicitar la habilitación del m</w:t>
      </w:r>
      <w:r w:rsidR="00435826" w:rsidRPr="000612C9">
        <w:rPr>
          <w:rFonts w:ascii="Arial" w:hAnsi="Arial" w:cs="Arial"/>
          <w:color w:val="000000" w:themeColor="text1"/>
          <w:sz w:val="22"/>
          <w:lang w:val="es-ES"/>
        </w:rPr>
        <w:t>ó</w:t>
      </w:r>
      <w:r w:rsidRPr="000612C9">
        <w:rPr>
          <w:rFonts w:ascii="Arial" w:hAnsi="Arial" w:cs="Arial"/>
          <w:color w:val="000000" w:themeColor="text1"/>
          <w:sz w:val="22"/>
          <w:lang w:val="es-ES"/>
        </w:rPr>
        <w:t>dulo a la Mesa de Servicio de la Agencia.</w:t>
      </w:r>
      <w:r w:rsidR="00CE4E6E" w:rsidRPr="000612C9">
        <w:rPr>
          <w:rFonts w:ascii="Arial" w:hAnsi="Arial" w:cs="Arial"/>
          <w:color w:val="000000" w:themeColor="text1"/>
          <w:sz w:val="22"/>
          <w:lang w:val="es-ES"/>
        </w:rPr>
        <w:t xml:space="preserve">  </w:t>
      </w:r>
      <w:r w:rsidR="00273E83" w:rsidRPr="000612C9">
        <w:rPr>
          <w:rFonts w:ascii="Arial" w:hAnsi="Arial" w:cs="Arial"/>
          <w:color w:val="000000" w:themeColor="text1"/>
          <w:sz w:val="22"/>
          <w:lang w:val="es-ES"/>
        </w:rPr>
        <w:t xml:space="preserve"> </w:t>
      </w:r>
    </w:p>
    <w:p w14:paraId="23F66588" w14:textId="77777777" w:rsidR="00E54365" w:rsidRPr="000612C9" w:rsidRDefault="00E54365" w:rsidP="002339D3">
      <w:pPr>
        <w:spacing w:line="240" w:lineRule="auto"/>
        <w:rPr>
          <w:rFonts w:ascii="Arial" w:eastAsia="Calibri" w:hAnsi="Arial" w:cs="Arial"/>
          <w:noProof/>
          <w:color w:val="000000" w:themeColor="text1"/>
          <w:sz w:val="22"/>
          <w:lang w:val="es-ES_tradnl"/>
        </w:rPr>
      </w:pPr>
    </w:p>
    <w:p w14:paraId="3EA1DB63" w14:textId="77777777" w:rsidR="00E54365" w:rsidRPr="000612C9" w:rsidRDefault="00E54365" w:rsidP="002339D3">
      <w:pPr>
        <w:spacing w:line="240" w:lineRule="auto"/>
        <w:rPr>
          <w:rFonts w:ascii="Arial" w:eastAsia="Calibri" w:hAnsi="Arial" w:cs="Arial"/>
          <w:b/>
          <w:noProof/>
          <w:color w:val="000000" w:themeColor="text1"/>
          <w:sz w:val="22"/>
          <w:lang w:val="es-ES"/>
        </w:rPr>
      </w:pPr>
      <w:r w:rsidRPr="000612C9">
        <w:rPr>
          <w:rFonts w:ascii="Arial" w:eastAsia="Calibri" w:hAnsi="Arial" w:cs="Arial"/>
          <w:b/>
          <w:noProof/>
          <w:color w:val="000000" w:themeColor="text1"/>
          <w:sz w:val="22"/>
          <w:lang w:val="es-ES"/>
        </w:rPr>
        <w:t xml:space="preserve">3. Respuestas </w:t>
      </w:r>
    </w:p>
    <w:p w14:paraId="626A3BA8" w14:textId="6A457D62" w:rsidR="00E54365" w:rsidRPr="000612C9" w:rsidRDefault="00E54365" w:rsidP="002339D3">
      <w:pPr>
        <w:spacing w:line="240" w:lineRule="auto"/>
        <w:rPr>
          <w:rFonts w:ascii="Arial" w:eastAsia="Calibri" w:hAnsi="Arial" w:cs="Arial"/>
          <w:noProof/>
          <w:color w:val="000000" w:themeColor="text1"/>
          <w:sz w:val="22"/>
          <w:lang w:val="es-ES"/>
        </w:rPr>
      </w:pPr>
    </w:p>
    <w:p w14:paraId="4C1E5DE9" w14:textId="77777777" w:rsidR="00CE4E6E" w:rsidRPr="000612C9" w:rsidRDefault="00CE4E6E" w:rsidP="006D5552">
      <w:pPr>
        <w:spacing w:line="240" w:lineRule="auto"/>
        <w:ind w:left="709" w:right="760"/>
        <w:rPr>
          <w:rFonts w:ascii="Arial" w:hAnsi="Arial" w:cs="Arial"/>
          <w:bCs/>
          <w:color w:val="000000" w:themeColor="text1"/>
          <w:sz w:val="21"/>
          <w:szCs w:val="21"/>
          <w:lang w:val="es-ES"/>
        </w:rPr>
      </w:pPr>
      <w:r w:rsidRPr="000612C9">
        <w:rPr>
          <w:rFonts w:ascii="Arial" w:hAnsi="Arial" w:cs="Arial"/>
          <w:bCs/>
          <w:color w:val="000000" w:themeColor="text1"/>
          <w:sz w:val="21"/>
          <w:szCs w:val="21"/>
          <w:lang w:val="es-ES"/>
        </w:rPr>
        <w:t xml:space="preserve">(i) ¿Los contratos celebrados para la adquisición de bienes, realización de obras y prestación o suministro de servicios relacionados directamente con las actividades de respuesta, de rehabilitación y reconstrucción de las zonas declaradas en situación de desastre o calamidad pública, en aplicación de la Ley 1523 de 2012, deben ser publicados en el SECOP? </w:t>
      </w:r>
    </w:p>
    <w:p w14:paraId="23BC2F2F" w14:textId="3CE756E5" w:rsidR="00CE4E6E" w:rsidRPr="000612C9" w:rsidRDefault="00CE4E6E" w:rsidP="00CE4E6E">
      <w:pPr>
        <w:rPr>
          <w:rFonts w:ascii="Arial" w:hAnsi="Arial" w:cs="Arial"/>
          <w:bCs/>
          <w:color w:val="000000" w:themeColor="text1"/>
          <w:sz w:val="22"/>
          <w:lang w:val="es-ES"/>
        </w:rPr>
      </w:pPr>
    </w:p>
    <w:p w14:paraId="6A8DB6E8" w14:textId="70846CA8" w:rsidR="00CE4E6E" w:rsidRPr="000612C9" w:rsidRDefault="00CE4E6E" w:rsidP="006D5552">
      <w:pPr>
        <w:rPr>
          <w:rFonts w:ascii="Arial" w:hAnsi="Arial" w:cs="Arial"/>
          <w:color w:val="000000" w:themeColor="text1"/>
          <w:sz w:val="22"/>
          <w:lang w:val="es-ES"/>
        </w:rPr>
      </w:pPr>
      <w:r w:rsidRPr="000612C9">
        <w:rPr>
          <w:rFonts w:ascii="Arial" w:hAnsi="Arial" w:cs="Arial"/>
          <w:color w:val="000000" w:themeColor="text1"/>
          <w:sz w:val="22"/>
          <w:lang w:val="es-ES"/>
        </w:rPr>
        <w:t>El criterio último para resolver cuestionamientos sobre la publicidad en el SECOP no es el tipo de entidad, o el régimen jurídico del respectivo contrato estatal, sino la presencia de recursos públicos en ese contrato en particular. Por lo mismo, las entidades que</w:t>
      </w:r>
      <w:r w:rsidR="00A066BD"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como consecuencia del artículo 66 de la Ley 1523 de 2012</w:t>
      </w:r>
      <w:r w:rsidR="00A066BD"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pueden, para los objetos allí señalados, contratar con sometimiento </w:t>
      </w:r>
      <w:r w:rsidR="007A174B" w:rsidRPr="000612C9">
        <w:rPr>
          <w:rFonts w:ascii="Arial" w:hAnsi="Arial" w:cs="Arial"/>
          <w:color w:val="000000" w:themeColor="text1"/>
          <w:sz w:val="22"/>
          <w:lang w:val="es-ES"/>
        </w:rPr>
        <w:t>«</w:t>
      </w:r>
      <w:r w:rsidRPr="000612C9">
        <w:rPr>
          <w:rFonts w:ascii="Arial" w:hAnsi="Arial" w:cs="Arial"/>
          <w:color w:val="000000" w:themeColor="text1"/>
          <w:sz w:val="22"/>
          <w:lang w:val="es-ES"/>
        </w:rPr>
        <w:t>a los requisitos y formalidades que exige la ley para la contratación entre particulares</w:t>
      </w:r>
      <w:r w:rsidR="007A174B" w:rsidRPr="000612C9">
        <w:rPr>
          <w:rFonts w:ascii="Arial" w:hAnsi="Arial" w:cs="Arial"/>
          <w:color w:val="000000" w:themeColor="text1"/>
          <w:sz w:val="22"/>
          <w:lang w:val="es-ES"/>
        </w:rPr>
        <w:t>»</w:t>
      </w:r>
      <w:r w:rsidR="00981216" w:rsidRPr="000612C9">
        <w:rPr>
          <w:rFonts w:ascii="Arial" w:hAnsi="Arial" w:cs="Arial"/>
          <w:color w:val="000000" w:themeColor="text1"/>
          <w:sz w:val="22"/>
          <w:lang w:val="es-ES"/>
        </w:rPr>
        <w:t>,</w:t>
      </w:r>
      <w:r w:rsidR="007A174B" w:rsidRPr="000612C9">
        <w:rPr>
          <w:rFonts w:ascii="Arial" w:hAnsi="Arial" w:cs="Arial"/>
          <w:color w:val="000000" w:themeColor="text1"/>
          <w:sz w:val="22"/>
          <w:lang w:val="es-ES"/>
        </w:rPr>
        <w:t xml:space="preserve"> </w:t>
      </w:r>
      <w:r w:rsidRPr="000612C9">
        <w:rPr>
          <w:rFonts w:ascii="Arial" w:hAnsi="Arial" w:cs="Arial"/>
          <w:color w:val="000000" w:themeColor="text1"/>
          <w:sz w:val="22"/>
          <w:lang w:val="es-ES"/>
        </w:rPr>
        <w:t>deben publicar su actividad contractual en el SECOP</w:t>
      </w:r>
      <w:r w:rsidR="00981216" w:rsidRPr="000612C9">
        <w:rPr>
          <w:rFonts w:ascii="Arial" w:hAnsi="Arial" w:cs="Arial"/>
          <w:color w:val="000000" w:themeColor="text1"/>
          <w:sz w:val="22"/>
          <w:lang w:val="es-ES"/>
        </w:rPr>
        <w:t>,</w:t>
      </w:r>
      <w:r w:rsidRPr="000612C9">
        <w:rPr>
          <w:rFonts w:ascii="Arial" w:hAnsi="Arial" w:cs="Arial"/>
          <w:color w:val="000000" w:themeColor="text1"/>
          <w:sz w:val="22"/>
          <w:lang w:val="es-ES"/>
        </w:rPr>
        <w:t xml:space="preserve"> </w:t>
      </w:r>
      <w:r w:rsidR="00981216" w:rsidRPr="000612C9">
        <w:rPr>
          <w:rFonts w:ascii="Arial" w:hAnsi="Arial" w:cs="Arial"/>
          <w:color w:val="000000" w:themeColor="text1"/>
          <w:sz w:val="22"/>
          <w:lang w:val="es-ES"/>
        </w:rPr>
        <w:t>por</w:t>
      </w:r>
      <w:r w:rsidRPr="000612C9">
        <w:rPr>
          <w:rFonts w:ascii="Arial" w:hAnsi="Arial" w:cs="Arial"/>
          <w:color w:val="000000" w:themeColor="text1"/>
          <w:sz w:val="22"/>
          <w:lang w:val="es-ES"/>
        </w:rPr>
        <w:t xml:space="preserve"> estar contratando con cargo a recursos públicos. </w:t>
      </w:r>
    </w:p>
    <w:p w14:paraId="744B1AC4" w14:textId="77777777" w:rsidR="00CE4E6E" w:rsidRPr="000612C9" w:rsidRDefault="00CE4E6E" w:rsidP="00CE4E6E">
      <w:pPr>
        <w:rPr>
          <w:rFonts w:ascii="Arial" w:hAnsi="Arial" w:cs="Arial"/>
          <w:bCs/>
          <w:color w:val="000000" w:themeColor="text1"/>
          <w:sz w:val="22"/>
          <w:lang w:val="es-ES"/>
        </w:rPr>
      </w:pPr>
    </w:p>
    <w:p w14:paraId="11658480" w14:textId="5D265C9F" w:rsidR="00CE4E6E" w:rsidRPr="000612C9" w:rsidRDefault="00CE4E6E" w:rsidP="00CE4E6E">
      <w:pPr>
        <w:ind w:left="708" w:right="758"/>
        <w:rPr>
          <w:rFonts w:ascii="Arial" w:hAnsi="Arial" w:cs="Arial"/>
          <w:bCs/>
          <w:color w:val="000000" w:themeColor="text1"/>
          <w:sz w:val="21"/>
          <w:szCs w:val="21"/>
          <w:lang w:val="es-ES"/>
        </w:rPr>
      </w:pPr>
      <w:r w:rsidRPr="000612C9">
        <w:rPr>
          <w:rFonts w:ascii="Arial" w:hAnsi="Arial" w:cs="Arial"/>
          <w:bCs/>
          <w:color w:val="000000" w:themeColor="text1"/>
          <w:sz w:val="21"/>
          <w:szCs w:val="21"/>
          <w:lang w:val="es-ES"/>
        </w:rPr>
        <w:lastRenderedPageBreak/>
        <w:t>(</w:t>
      </w:r>
      <w:proofErr w:type="spellStart"/>
      <w:r w:rsidRPr="000612C9">
        <w:rPr>
          <w:rFonts w:ascii="Arial" w:hAnsi="Arial" w:cs="Arial"/>
          <w:bCs/>
          <w:color w:val="000000" w:themeColor="text1"/>
          <w:sz w:val="21"/>
          <w:szCs w:val="21"/>
          <w:lang w:val="es-ES"/>
        </w:rPr>
        <w:t>ii</w:t>
      </w:r>
      <w:proofErr w:type="spellEnd"/>
      <w:r w:rsidRPr="000612C9">
        <w:rPr>
          <w:rFonts w:ascii="Arial" w:hAnsi="Arial" w:cs="Arial"/>
          <w:bCs/>
          <w:color w:val="000000" w:themeColor="text1"/>
          <w:sz w:val="21"/>
          <w:szCs w:val="21"/>
          <w:lang w:val="es-ES"/>
        </w:rPr>
        <w:t xml:space="preserve">) De ser positiva la respuesta a lo anterior se PREGUNTA: ¿Bajo </w:t>
      </w:r>
      <w:proofErr w:type="spellStart"/>
      <w:r w:rsidRPr="000612C9">
        <w:rPr>
          <w:rFonts w:ascii="Arial" w:hAnsi="Arial" w:cs="Arial"/>
          <w:bCs/>
          <w:color w:val="000000" w:themeColor="text1"/>
          <w:sz w:val="21"/>
          <w:szCs w:val="21"/>
          <w:lang w:val="es-ES"/>
        </w:rPr>
        <w:t>que</w:t>
      </w:r>
      <w:proofErr w:type="spellEnd"/>
      <w:r w:rsidRPr="000612C9">
        <w:rPr>
          <w:rFonts w:ascii="Arial" w:hAnsi="Arial" w:cs="Arial"/>
          <w:bCs/>
          <w:color w:val="000000" w:themeColor="text1"/>
          <w:sz w:val="21"/>
          <w:szCs w:val="21"/>
          <w:lang w:val="es-ES"/>
        </w:rPr>
        <w:t>́ parámetros se deben publicar dichos contratos en la plataforma SECOP, ya que actualmente NO existe una opción denominada “CALAMIDAD PUBLICA” o similar en la plataforma SECOP?, ya que dichos contratos difieren de la causal de contratación Directa de “URGENCIA MANIFIESTA”.</w:t>
      </w:r>
    </w:p>
    <w:p w14:paraId="06E81B21" w14:textId="32826CD5" w:rsidR="00CE4E6E" w:rsidRPr="000612C9" w:rsidRDefault="00CE4E6E" w:rsidP="002339D3">
      <w:pPr>
        <w:spacing w:line="240" w:lineRule="auto"/>
        <w:rPr>
          <w:rFonts w:ascii="Arial" w:eastAsia="Calibri" w:hAnsi="Arial" w:cs="Arial"/>
          <w:noProof/>
          <w:color w:val="000000" w:themeColor="text1"/>
          <w:sz w:val="22"/>
          <w:lang w:val="es-ES"/>
        </w:rPr>
      </w:pPr>
    </w:p>
    <w:p w14:paraId="5095F920" w14:textId="09402741" w:rsidR="00D7568C" w:rsidRPr="000612C9" w:rsidRDefault="00D7568C" w:rsidP="00853AE0">
      <w:pPr>
        <w:ind w:firstLine="708"/>
        <w:rPr>
          <w:rFonts w:ascii="Arial" w:eastAsia="Calibri" w:hAnsi="Arial" w:cs="Arial"/>
          <w:noProof/>
          <w:color w:val="000000" w:themeColor="text1"/>
          <w:sz w:val="22"/>
          <w:lang w:val="es-ES"/>
        </w:rPr>
      </w:pPr>
      <w:r w:rsidRPr="000612C9">
        <w:rPr>
          <w:rFonts w:ascii="Arial" w:eastAsia="Calibri" w:hAnsi="Arial" w:cs="Arial"/>
          <w:noProof/>
          <w:color w:val="000000" w:themeColor="text1"/>
          <w:sz w:val="22"/>
          <w:lang w:val="es-ES"/>
        </w:rPr>
        <w:t>Desde una perspectiva técnica, la entidad estatal</w:t>
      </w:r>
      <w:r w:rsidR="00981216" w:rsidRPr="000612C9">
        <w:rPr>
          <w:rFonts w:ascii="Arial" w:eastAsia="Calibri" w:hAnsi="Arial" w:cs="Arial"/>
          <w:noProof/>
          <w:color w:val="000000" w:themeColor="text1"/>
          <w:sz w:val="22"/>
          <w:lang w:val="es-ES"/>
        </w:rPr>
        <w:t>,</w:t>
      </w:r>
      <w:r w:rsidR="00853AE0" w:rsidRPr="000612C9">
        <w:rPr>
          <w:rFonts w:ascii="Arial" w:eastAsia="Calibri" w:hAnsi="Arial" w:cs="Arial"/>
          <w:noProof/>
          <w:color w:val="000000" w:themeColor="text1"/>
          <w:sz w:val="22"/>
          <w:lang w:val="es-ES"/>
        </w:rPr>
        <w:t xml:space="preserve"> </w:t>
      </w:r>
      <w:r w:rsidRPr="000612C9">
        <w:rPr>
          <w:rFonts w:ascii="Arial" w:eastAsia="Calibri" w:hAnsi="Arial" w:cs="Arial"/>
          <w:noProof/>
          <w:color w:val="000000" w:themeColor="text1"/>
          <w:sz w:val="22"/>
          <w:lang w:val="es-ES"/>
        </w:rPr>
        <w:t>para los efectos de la contratación</w:t>
      </w:r>
      <w:r w:rsidR="00981216" w:rsidRPr="000612C9">
        <w:rPr>
          <w:rFonts w:ascii="Arial" w:eastAsia="Calibri" w:hAnsi="Arial" w:cs="Arial"/>
          <w:noProof/>
          <w:color w:val="000000" w:themeColor="text1"/>
          <w:sz w:val="22"/>
          <w:lang w:val="es-ES"/>
        </w:rPr>
        <w:t>,</w:t>
      </w:r>
      <w:r w:rsidRPr="000612C9">
        <w:rPr>
          <w:rFonts w:ascii="Arial" w:eastAsia="Calibri" w:hAnsi="Arial" w:cs="Arial"/>
          <w:noProof/>
          <w:color w:val="000000" w:themeColor="text1"/>
          <w:sz w:val="22"/>
          <w:lang w:val="es-ES"/>
        </w:rPr>
        <w:t xml:space="preserve"> en aplicación del artículo 66 de la Ley 1523 de 2012</w:t>
      </w:r>
      <w:r w:rsidR="00981216" w:rsidRPr="000612C9">
        <w:rPr>
          <w:rFonts w:ascii="Arial" w:eastAsia="Calibri" w:hAnsi="Arial" w:cs="Arial"/>
          <w:noProof/>
          <w:color w:val="000000" w:themeColor="text1"/>
          <w:sz w:val="22"/>
          <w:lang w:val="es-ES"/>
        </w:rPr>
        <w:t>,</w:t>
      </w:r>
      <w:r w:rsidRPr="000612C9">
        <w:rPr>
          <w:rFonts w:ascii="Arial" w:eastAsia="Calibri" w:hAnsi="Arial" w:cs="Arial"/>
          <w:noProof/>
          <w:color w:val="000000" w:themeColor="text1"/>
          <w:sz w:val="22"/>
          <w:lang w:val="es-ES"/>
        </w:rPr>
        <w:t xml:space="preserve"> se considera una entidad estatal con régimen especial y es</w:t>
      </w:r>
      <w:r w:rsidR="00981216" w:rsidRPr="000612C9">
        <w:rPr>
          <w:rFonts w:ascii="Arial" w:eastAsia="Calibri" w:hAnsi="Arial" w:cs="Arial"/>
          <w:noProof/>
          <w:color w:val="000000" w:themeColor="text1"/>
          <w:sz w:val="22"/>
          <w:lang w:val="es-ES"/>
        </w:rPr>
        <w:t>,</w:t>
      </w:r>
      <w:r w:rsidRPr="000612C9">
        <w:rPr>
          <w:rFonts w:ascii="Arial" w:eastAsia="Calibri" w:hAnsi="Arial" w:cs="Arial"/>
          <w:noProof/>
          <w:color w:val="000000" w:themeColor="text1"/>
          <w:sz w:val="22"/>
          <w:lang w:val="es-ES"/>
        </w:rPr>
        <w:t xml:space="preserve"> técnicamente</w:t>
      </w:r>
      <w:r w:rsidR="00981216" w:rsidRPr="000612C9">
        <w:rPr>
          <w:rFonts w:ascii="Arial" w:eastAsia="Calibri" w:hAnsi="Arial" w:cs="Arial"/>
          <w:noProof/>
          <w:color w:val="000000" w:themeColor="text1"/>
          <w:sz w:val="22"/>
          <w:lang w:val="es-ES"/>
        </w:rPr>
        <w:t>,</w:t>
      </w:r>
      <w:r w:rsidRPr="000612C9">
        <w:rPr>
          <w:rFonts w:ascii="Arial" w:eastAsia="Calibri" w:hAnsi="Arial" w:cs="Arial"/>
          <w:noProof/>
          <w:color w:val="000000" w:themeColor="text1"/>
          <w:sz w:val="22"/>
          <w:lang w:val="es-ES"/>
        </w:rPr>
        <w:t xml:space="preserve"> a través de esta posibilidad habilitada en el SECOP</w:t>
      </w:r>
      <w:r w:rsidR="00981216" w:rsidRPr="000612C9">
        <w:rPr>
          <w:rFonts w:ascii="Arial" w:eastAsia="Calibri" w:hAnsi="Arial" w:cs="Arial"/>
          <w:noProof/>
          <w:color w:val="000000" w:themeColor="text1"/>
          <w:sz w:val="22"/>
          <w:lang w:val="es-ES"/>
        </w:rPr>
        <w:t>,</w:t>
      </w:r>
      <w:r w:rsidRPr="000612C9">
        <w:rPr>
          <w:rFonts w:ascii="Arial" w:eastAsia="Calibri" w:hAnsi="Arial" w:cs="Arial"/>
          <w:noProof/>
          <w:color w:val="000000" w:themeColor="text1"/>
          <w:sz w:val="22"/>
          <w:lang w:val="es-ES"/>
        </w:rPr>
        <w:t xml:space="preserve"> que se debe realizar la correspondiente publicación</w:t>
      </w:r>
      <w:r w:rsidR="00D10800" w:rsidRPr="000612C9">
        <w:rPr>
          <w:rFonts w:ascii="Arial" w:eastAsia="Calibri" w:hAnsi="Arial" w:cs="Arial"/>
          <w:noProof/>
          <w:color w:val="000000" w:themeColor="text1"/>
          <w:sz w:val="22"/>
          <w:lang w:val="es-ES"/>
        </w:rPr>
        <w:t>.</w:t>
      </w:r>
    </w:p>
    <w:p w14:paraId="6479C4C4" w14:textId="2349645E" w:rsidR="00813988" w:rsidRPr="000612C9" w:rsidRDefault="00D10800" w:rsidP="00853AE0">
      <w:pPr>
        <w:ind w:firstLine="708"/>
        <w:rPr>
          <w:rFonts w:ascii="Arial" w:hAnsi="Arial" w:cs="Arial"/>
          <w:color w:val="000000" w:themeColor="text1"/>
          <w:sz w:val="22"/>
          <w:lang w:val="es-ES"/>
        </w:rPr>
      </w:pPr>
      <w:r w:rsidRPr="286AD4B9">
        <w:rPr>
          <w:rFonts w:ascii="Arial" w:hAnsi="Arial" w:cs="Arial"/>
          <w:color w:val="000000" w:themeColor="text1"/>
          <w:sz w:val="22"/>
          <w:szCs w:val="22"/>
          <w:lang w:val="es-ES"/>
        </w:rPr>
        <w:t>Dado que los módulos de régimen especial están habilitados, en principio, para las entidades que contratan bajo derecho privado, las entidades</w:t>
      </w:r>
      <w:r w:rsidR="00981216" w:rsidRPr="286AD4B9">
        <w:rPr>
          <w:rFonts w:ascii="Arial" w:hAnsi="Arial" w:cs="Arial"/>
          <w:color w:val="000000" w:themeColor="text1"/>
          <w:sz w:val="22"/>
          <w:szCs w:val="22"/>
          <w:lang w:val="es-ES"/>
        </w:rPr>
        <w:t>,</w:t>
      </w:r>
      <w:r w:rsidRPr="286AD4B9">
        <w:rPr>
          <w:rFonts w:ascii="Arial" w:hAnsi="Arial" w:cs="Arial"/>
          <w:color w:val="000000" w:themeColor="text1"/>
          <w:sz w:val="22"/>
          <w:szCs w:val="22"/>
          <w:lang w:val="es-ES"/>
        </w:rPr>
        <w:t xml:space="preserve"> para dar publicidad a los procesos realizados en virtud del artículo 66 de la Ley 1523 de 2012</w:t>
      </w:r>
      <w:r w:rsidR="00981216" w:rsidRPr="286AD4B9">
        <w:rPr>
          <w:rFonts w:ascii="Arial" w:hAnsi="Arial" w:cs="Arial"/>
          <w:color w:val="000000" w:themeColor="text1"/>
          <w:sz w:val="22"/>
          <w:szCs w:val="22"/>
          <w:lang w:val="es-ES"/>
        </w:rPr>
        <w:t>,</w:t>
      </w:r>
      <w:r w:rsidRPr="286AD4B9">
        <w:rPr>
          <w:rFonts w:ascii="Arial" w:hAnsi="Arial" w:cs="Arial"/>
          <w:color w:val="000000" w:themeColor="text1"/>
          <w:sz w:val="22"/>
          <w:szCs w:val="22"/>
          <w:lang w:val="es-ES"/>
        </w:rPr>
        <w:t xml:space="preserve"> deben solicitar la habilitación del m</w:t>
      </w:r>
      <w:r w:rsidR="00981216" w:rsidRPr="286AD4B9">
        <w:rPr>
          <w:rFonts w:ascii="Arial" w:hAnsi="Arial" w:cs="Arial"/>
          <w:color w:val="000000" w:themeColor="text1"/>
          <w:sz w:val="22"/>
          <w:szCs w:val="22"/>
          <w:lang w:val="es-ES"/>
        </w:rPr>
        <w:t>ó</w:t>
      </w:r>
      <w:r w:rsidRPr="286AD4B9">
        <w:rPr>
          <w:rFonts w:ascii="Arial" w:hAnsi="Arial" w:cs="Arial"/>
          <w:color w:val="000000" w:themeColor="text1"/>
          <w:sz w:val="22"/>
          <w:szCs w:val="22"/>
          <w:lang w:val="es-ES"/>
        </w:rPr>
        <w:t xml:space="preserve">dulo a la Mesa de Servicio de la Agencia.   </w:t>
      </w:r>
    </w:p>
    <w:p w14:paraId="00E2C4F3" w14:textId="0CBB4712" w:rsidR="001824DD" w:rsidRPr="000612C9" w:rsidRDefault="001824DD" w:rsidP="286AD4B9">
      <w:pPr>
        <w:spacing w:line="240" w:lineRule="auto"/>
        <w:rPr>
          <w:rFonts w:ascii="Arial" w:hAnsi="Arial" w:cs="Arial"/>
          <w:color w:val="000000" w:themeColor="text1"/>
          <w:sz w:val="22"/>
          <w:szCs w:val="22"/>
          <w:lang w:val="es-ES"/>
        </w:rPr>
      </w:pPr>
    </w:p>
    <w:p w14:paraId="51BE257A" w14:textId="3710300D" w:rsidR="001824DD" w:rsidRPr="000612C9" w:rsidRDefault="3889322B" w:rsidP="286AD4B9">
      <w:pPr>
        <w:spacing w:line="240" w:lineRule="auto"/>
      </w:pPr>
      <w:r w:rsidRPr="5CFDB913">
        <w:rPr>
          <w:rFonts w:ascii="Arial" w:hAnsi="Arial" w:cs="Arial"/>
          <w:color w:val="000000" w:themeColor="text1"/>
          <w:sz w:val="22"/>
          <w:szCs w:val="22"/>
          <w:lang w:val="es-ES"/>
        </w:rPr>
        <w:t xml:space="preserve">Atentamente, </w:t>
      </w:r>
      <w:r>
        <w:rPr>
          <w:noProof/>
        </w:rPr>
        <w:drawing>
          <wp:inline distT="0" distB="0" distL="0" distR="0" wp14:anchorId="4628DB92" wp14:editId="5CFDB913">
            <wp:extent cx="2629633" cy="935770"/>
            <wp:effectExtent l="0" t="0" r="0" b="0"/>
            <wp:docPr id="2089241154" name="Imagen 208924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29633" cy="935770"/>
                    </a:xfrm>
                    <a:prstGeom prst="rect">
                      <a:avLst/>
                    </a:prstGeom>
                  </pic:spPr>
                </pic:pic>
              </a:graphicData>
            </a:graphic>
          </wp:inline>
        </w:drawing>
      </w:r>
    </w:p>
    <w:p w14:paraId="1A14E8CC" w14:textId="0FE398FA" w:rsidR="286AD4B9" w:rsidRDefault="286AD4B9" w:rsidP="286AD4B9">
      <w:pPr>
        <w:spacing w:line="240"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12C9" w:rsidRPr="00E271F7" w14:paraId="7CF07881" w14:textId="77777777" w:rsidTr="00971CD1">
        <w:trPr>
          <w:trHeight w:val="315"/>
        </w:trPr>
        <w:tc>
          <w:tcPr>
            <w:tcW w:w="812" w:type="dxa"/>
            <w:vAlign w:val="center"/>
            <w:hideMark/>
          </w:tcPr>
          <w:p w14:paraId="06B0A0E0" w14:textId="77777777" w:rsidR="001824DD" w:rsidRPr="000612C9" w:rsidRDefault="001824DD" w:rsidP="001824DD">
            <w:pPr>
              <w:spacing w:before="0"/>
              <w:rPr>
                <w:rFonts w:ascii="Arial" w:hAnsi="Arial" w:cs="Arial"/>
                <w:color w:val="000000" w:themeColor="text1"/>
                <w:sz w:val="16"/>
                <w:szCs w:val="16"/>
                <w:lang w:eastAsia="es-ES"/>
              </w:rPr>
            </w:pPr>
            <w:proofErr w:type="spellStart"/>
            <w:r w:rsidRPr="000612C9">
              <w:rPr>
                <w:rFonts w:ascii="Arial" w:hAnsi="Arial" w:cs="Arial"/>
                <w:color w:val="000000" w:themeColor="text1"/>
                <w:sz w:val="16"/>
                <w:szCs w:val="16"/>
                <w:lang w:eastAsia="es-ES"/>
              </w:rPr>
              <w:t>Elaboró</w:t>
            </w:r>
            <w:proofErr w:type="spellEnd"/>
            <w:r w:rsidRPr="000612C9">
              <w:rPr>
                <w:rFonts w:ascii="Arial" w:hAnsi="Arial" w:cs="Arial"/>
                <w:color w:val="000000" w:themeColor="text1"/>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411865E6" w14:textId="232B54E5" w:rsidR="001824DD" w:rsidRPr="000612C9" w:rsidRDefault="001824DD" w:rsidP="001824DD">
            <w:pPr>
              <w:spacing w:before="0"/>
              <w:rPr>
                <w:rFonts w:ascii="Arial" w:hAnsi="Arial" w:cs="Arial"/>
                <w:color w:val="000000" w:themeColor="text1"/>
                <w:sz w:val="16"/>
                <w:szCs w:val="16"/>
                <w:lang w:val="es-ES" w:eastAsia="es-ES"/>
              </w:rPr>
            </w:pPr>
            <w:r w:rsidRPr="000612C9">
              <w:rPr>
                <w:rFonts w:ascii="Arial" w:hAnsi="Arial" w:cs="Arial"/>
                <w:color w:val="000000" w:themeColor="text1"/>
                <w:sz w:val="16"/>
                <w:szCs w:val="16"/>
                <w:lang w:val="es-ES" w:eastAsia="es-ES"/>
              </w:rPr>
              <w:t>Sebastián Barreto Cifuentes</w:t>
            </w:r>
          </w:p>
          <w:p w14:paraId="600A0F0E" w14:textId="39E34180" w:rsidR="001824DD" w:rsidRPr="000612C9" w:rsidRDefault="001824DD" w:rsidP="001824DD">
            <w:pPr>
              <w:spacing w:before="0"/>
              <w:rPr>
                <w:rFonts w:ascii="Arial" w:hAnsi="Arial" w:cs="Arial"/>
                <w:color w:val="000000" w:themeColor="text1"/>
                <w:sz w:val="16"/>
                <w:szCs w:val="16"/>
                <w:lang w:val="es-ES" w:eastAsia="es-ES"/>
              </w:rPr>
            </w:pPr>
            <w:r w:rsidRPr="000612C9">
              <w:rPr>
                <w:rFonts w:ascii="Arial" w:hAnsi="Arial" w:cs="Arial"/>
                <w:color w:val="000000" w:themeColor="text1"/>
                <w:sz w:val="16"/>
                <w:szCs w:val="16"/>
                <w:lang w:val="es-ES" w:eastAsia="es-ES"/>
              </w:rPr>
              <w:t>Contratista de la Dirección y la Subdirección de Gestión Contractual</w:t>
            </w:r>
          </w:p>
        </w:tc>
      </w:tr>
      <w:tr w:rsidR="000612C9" w:rsidRPr="00E271F7" w14:paraId="0E1757A2" w14:textId="77777777" w:rsidTr="00971CD1">
        <w:trPr>
          <w:trHeight w:val="330"/>
        </w:trPr>
        <w:tc>
          <w:tcPr>
            <w:tcW w:w="812" w:type="dxa"/>
            <w:vAlign w:val="center"/>
            <w:hideMark/>
          </w:tcPr>
          <w:p w14:paraId="304BE6B3" w14:textId="77777777" w:rsidR="001824DD" w:rsidRPr="000612C9" w:rsidRDefault="001824DD" w:rsidP="001824DD">
            <w:pPr>
              <w:spacing w:before="0"/>
              <w:rPr>
                <w:rFonts w:ascii="Arial" w:hAnsi="Arial" w:cs="Arial"/>
                <w:color w:val="000000" w:themeColor="text1"/>
                <w:sz w:val="16"/>
                <w:szCs w:val="16"/>
                <w:lang w:eastAsia="es-ES"/>
              </w:rPr>
            </w:pPr>
            <w:proofErr w:type="spellStart"/>
            <w:r w:rsidRPr="000612C9">
              <w:rPr>
                <w:rFonts w:ascii="Arial" w:hAnsi="Arial" w:cs="Arial"/>
                <w:color w:val="000000" w:themeColor="text1"/>
                <w:sz w:val="16"/>
                <w:szCs w:val="16"/>
                <w:lang w:eastAsia="es-ES"/>
              </w:rPr>
              <w:t>Revisó</w:t>
            </w:r>
            <w:proofErr w:type="spellEnd"/>
            <w:r w:rsidRPr="000612C9">
              <w:rPr>
                <w:rFonts w:ascii="Arial" w:hAnsi="Arial" w:cs="Arial"/>
                <w:color w:val="000000" w:themeColor="text1"/>
                <w:sz w:val="16"/>
                <w:szCs w:val="16"/>
                <w:lang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DE21FD" w14:textId="366C717D" w:rsidR="001824DD" w:rsidRPr="000612C9" w:rsidRDefault="001824DD" w:rsidP="001824DD">
            <w:pPr>
              <w:spacing w:before="0"/>
              <w:rPr>
                <w:rFonts w:ascii="Arial" w:hAnsi="Arial" w:cs="Arial"/>
                <w:color w:val="000000" w:themeColor="text1"/>
                <w:sz w:val="16"/>
                <w:szCs w:val="16"/>
                <w:lang w:val="es-ES" w:eastAsia="es-ES"/>
              </w:rPr>
            </w:pPr>
            <w:r w:rsidRPr="000612C9">
              <w:rPr>
                <w:rFonts w:ascii="Arial" w:hAnsi="Arial" w:cs="Arial"/>
                <w:color w:val="000000" w:themeColor="text1"/>
                <w:sz w:val="16"/>
                <w:szCs w:val="16"/>
                <w:lang w:val="es-ES" w:eastAsia="es-ES"/>
              </w:rPr>
              <w:t>Cristian Andrés Díaz Díez</w:t>
            </w:r>
          </w:p>
          <w:p w14:paraId="66CAD341" w14:textId="5D8E634B" w:rsidR="001824DD" w:rsidRPr="000612C9" w:rsidRDefault="001824DD" w:rsidP="001824DD">
            <w:pPr>
              <w:spacing w:before="0"/>
              <w:rPr>
                <w:rFonts w:ascii="Arial" w:hAnsi="Arial" w:cs="Arial"/>
                <w:color w:val="000000" w:themeColor="text1"/>
                <w:sz w:val="16"/>
                <w:szCs w:val="16"/>
                <w:lang w:val="es-ES" w:eastAsia="es-ES"/>
              </w:rPr>
            </w:pPr>
            <w:r w:rsidRPr="000612C9">
              <w:rPr>
                <w:rFonts w:ascii="Arial" w:hAnsi="Arial" w:cs="Arial"/>
                <w:color w:val="000000" w:themeColor="text1"/>
                <w:sz w:val="16"/>
                <w:szCs w:val="16"/>
                <w:lang w:val="es-ES" w:eastAsia="es-ES"/>
              </w:rPr>
              <w:t>Contratista de la Subdirección de Gestión Contractual</w:t>
            </w:r>
          </w:p>
        </w:tc>
      </w:tr>
      <w:tr w:rsidR="001824DD" w:rsidRPr="00E271F7" w14:paraId="1709A363" w14:textId="77777777" w:rsidTr="00971CD1">
        <w:trPr>
          <w:trHeight w:val="300"/>
        </w:trPr>
        <w:tc>
          <w:tcPr>
            <w:tcW w:w="812" w:type="dxa"/>
            <w:vAlign w:val="center"/>
            <w:hideMark/>
          </w:tcPr>
          <w:p w14:paraId="30898E5C" w14:textId="77777777" w:rsidR="001824DD" w:rsidRPr="000612C9" w:rsidRDefault="001824DD" w:rsidP="001824DD">
            <w:pPr>
              <w:spacing w:before="0"/>
              <w:rPr>
                <w:rFonts w:ascii="Arial" w:hAnsi="Arial" w:cs="Arial"/>
                <w:color w:val="000000" w:themeColor="text1"/>
                <w:sz w:val="16"/>
                <w:szCs w:val="16"/>
                <w:lang w:eastAsia="es-ES"/>
              </w:rPr>
            </w:pPr>
            <w:proofErr w:type="spellStart"/>
            <w:r w:rsidRPr="000612C9">
              <w:rPr>
                <w:rFonts w:ascii="Arial" w:hAnsi="Arial" w:cs="Arial"/>
                <w:color w:val="000000" w:themeColor="text1"/>
                <w:sz w:val="16"/>
                <w:szCs w:val="16"/>
                <w:lang w:eastAsia="es-ES"/>
              </w:rPr>
              <w:t>Aprobó</w:t>
            </w:r>
            <w:proofErr w:type="spellEnd"/>
            <w:r w:rsidRPr="000612C9">
              <w:rPr>
                <w:rFonts w:ascii="Arial" w:hAnsi="Arial" w:cs="Arial"/>
                <w:color w:val="000000" w:themeColor="text1"/>
                <w:sz w:val="16"/>
                <w:szCs w:val="16"/>
                <w:lang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273537" w14:textId="77777777" w:rsidR="001824DD" w:rsidRPr="000612C9" w:rsidRDefault="001824DD" w:rsidP="001824DD">
            <w:pPr>
              <w:spacing w:before="0"/>
              <w:rPr>
                <w:rFonts w:ascii="Arial" w:hAnsi="Arial" w:cs="Arial"/>
                <w:color w:val="000000" w:themeColor="text1"/>
                <w:sz w:val="16"/>
                <w:szCs w:val="16"/>
                <w:lang w:val="es-ES" w:eastAsia="es-ES"/>
              </w:rPr>
            </w:pPr>
            <w:r w:rsidRPr="000612C9">
              <w:rPr>
                <w:rFonts w:ascii="Arial" w:hAnsi="Arial" w:cs="Arial"/>
                <w:color w:val="000000" w:themeColor="text1"/>
                <w:sz w:val="16"/>
                <w:szCs w:val="16"/>
                <w:lang w:val="es-ES" w:eastAsia="es-ES"/>
              </w:rPr>
              <w:t>Fabián Gonzalo Marín Cortés</w:t>
            </w:r>
          </w:p>
          <w:p w14:paraId="03315800" w14:textId="77777777" w:rsidR="001824DD" w:rsidRPr="000612C9" w:rsidRDefault="001824DD" w:rsidP="001824DD">
            <w:pPr>
              <w:spacing w:before="0"/>
              <w:rPr>
                <w:rFonts w:ascii="Arial" w:hAnsi="Arial" w:cs="Arial"/>
                <w:color w:val="000000" w:themeColor="text1"/>
                <w:sz w:val="16"/>
                <w:szCs w:val="16"/>
                <w:lang w:val="es-ES" w:eastAsia="es-ES"/>
              </w:rPr>
            </w:pPr>
            <w:r w:rsidRPr="000612C9">
              <w:rPr>
                <w:rFonts w:ascii="Arial" w:hAnsi="Arial" w:cs="Arial"/>
                <w:color w:val="000000" w:themeColor="text1"/>
                <w:sz w:val="16"/>
                <w:szCs w:val="16"/>
                <w:lang w:val="es-ES" w:eastAsia="es-ES"/>
              </w:rPr>
              <w:t>Subdirector de Gestión Contractual</w:t>
            </w:r>
          </w:p>
        </w:tc>
      </w:tr>
    </w:tbl>
    <w:p w14:paraId="35B56F46" w14:textId="5512EA94" w:rsidR="00746E08" w:rsidRPr="000612C9" w:rsidRDefault="00746E08" w:rsidP="002339D3">
      <w:pPr>
        <w:spacing w:line="240" w:lineRule="auto"/>
        <w:rPr>
          <w:color w:val="000000" w:themeColor="text1"/>
          <w:lang w:val="es-ES"/>
        </w:rPr>
      </w:pPr>
    </w:p>
    <w:sectPr w:rsidR="00746E08" w:rsidRPr="000612C9" w:rsidSect="002339D3">
      <w:headerReference w:type="default" r:id="rId14"/>
      <w:footerReference w:type="default" r:id="rId15"/>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64F0B" w14:textId="77777777" w:rsidR="00463641" w:rsidRDefault="00463641">
      <w:r>
        <w:separator/>
      </w:r>
    </w:p>
  </w:endnote>
  <w:endnote w:type="continuationSeparator" w:id="0">
    <w:p w14:paraId="62A150B8" w14:textId="77777777" w:rsidR="00463641" w:rsidRDefault="0046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2B3433" w:rsidRDefault="002B3433" w:rsidP="00322937">
    <w:pPr>
      <w:pStyle w:val="Sinespaciado"/>
      <w:jc w:val="right"/>
      <w:rPr>
        <w:rFonts w:ascii="Arial" w:hAnsi="Arial" w:cs="Arial"/>
        <w:sz w:val="18"/>
        <w:szCs w:val="18"/>
      </w:rPr>
    </w:pPr>
  </w:p>
  <w:p w14:paraId="7A3785F3" w14:textId="2F22E96C" w:rsidR="002B3433" w:rsidRPr="008217B7" w:rsidRDefault="002B343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F622F">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F622F">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B3433" w:rsidRDefault="5CFDB913" w:rsidP="00322937">
    <w:pPr>
      <w:pStyle w:val="Piedepgina"/>
      <w:jc w:val="center"/>
      <w:rPr>
        <w:lang w:val="es-ES"/>
      </w:rPr>
    </w:pPr>
    <w:r>
      <w:rPr>
        <w:noProof/>
      </w:rPr>
      <w:drawing>
        <wp:inline distT="0" distB="0" distL="0" distR="0" wp14:anchorId="608B196D" wp14:editId="053CCE32">
          <wp:extent cx="3700130" cy="519139"/>
          <wp:effectExtent l="0" t="0" r="0" b="0"/>
          <wp:docPr id="14044434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2B3433" w:rsidRDefault="002B3433" w:rsidP="007B0854">
    <w:pPr>
      <w:pStyle w:val="Piedepgina"/>
      <w:jc w:val="center"/>
      <w:rPr>
        <w:lang w:val="es-ES"/>
      </w:rPr>
    </w:pPr>
  </w:p>
  <w:p w14:paraId="6C0EFC49" w14:textId="77777777" w:rsidR="002B3433" w:rsidRPr="007B0854" w:rsidRDefault="002B343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956E4" w14:textId="77777777" w:rsidR="00463641" w:rsidRDefault="00463641">
      <w:r>
        <w:separator/>
      </w:r>
    </w:p>
  </w:footnote>
  <w:footnote w:type="continuationSeparator" w:id="0">
    <w:p w14:paraId="3F1F35D3" w14:textId="77777777" w:rsidR="00463641" w:rsidRDefault="00463641">
      <w:r>
        <w:continuationSeparator/>
      </w:r>
    </w:p>
  </w:footnote>
  <w:footnote w:id="1">
    <w:p w14:paraId="62984C7C" w14:textId="2F2260F7" w:rsidR="002B3433" w:rsidRPr="000612C9" w:rsidRDefault="002B3433" w:rsidP="00716CC3">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Medina, Diego Eduardo López. El derecho de los jueces: obligatoriedad del precedente constitucional, análisis de sentencias y líneas jurisprudenciales y teoría del derecho judicial. Legis, 2006.</w:t>
      </w:r>
    </w:p>
    <w:p w14:paraId="54EEBAB9" w14:textId="77777777" w:rsidR="00716CC3" w:rsidRPr="000612C9" w:rsidRDefault="00716CC3" w:rsidP="006D5552">
      <w:pPr>
        <w:pStyle w:val="Textonotapie"/>
        <w:spacing w:before="0" w:after="0" w:line="240" w:lineRule="auto"/>
        <w:ind w:firstLine="709"/>
        <w:rPr>
          <w:rFonts w:ascii="Arial" w:hAnsi="Arial" w:cs="Arial"/>
          <w:color w:val="000000" w:themeColor="text1"/>
          <w:sz w:val="19"/>
          <w:szCs w:val="19"/>
        </w:rPr>
      </w:pPr>
    </w:p>
  </w:footnote>
  <w:footnote w:id="2">
    <w:p w14:paraId="69B5B4D1" w14:textId="65AF487C" w:rsidR="006D5552" w:rsidRPr="000612C9" w:rsidRDefault="002B3433" w:rsidP="00716CC3">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Juan Carlos Expósito Vélez, Definición de los </w:t>
      </w:r>
      <w:r w:rsidR="006D5552" w:rsidRPr="000612C9">
        <w:rPr>
          <w:rFonts w:ascii="Arial" w:hAnsi="Arial" w:cs="Arial"/>
          <w:color w:val="000000" w:themeColor="text1"/>
          <w:sz w:val="19"/>
          <w:szCs w:val="19"/>
        </w:rPr>
        <w:t>«</w:t>
      </w:r>
      <w:r w:rsidRPr="000612C9">
        <w:rPr>
          <w:rFonts w:ascii="Arial" w:hAnsi="Arial" w:cs="Arial"/>
          <w:color w:val="000000" w:themeColor="text1"/>
          <w:sz w:val="19"/>
          <w:szCs w:val="19"/>
        </w:rPr>
        <w:t>Contratos Estatales</w:t>
      </w:r>
      <w:r w:rsidR="006D5552" w:rsidRPr="000612C9">
        <w:rPr>
          <w:rFonts w:ascii="Arial" w:hAnsi="Arial" w:cs="Arial"/>
          <w:color w:val="000000" w:themeColor="text1"/>
          <w:sz w:val="19"/>
          <w:szCs w:val="19"/>
        </w:rPr>
        <w:t>».</w:t>
      </w:r>
      <w:r w:rsidRPr="000612C9">
        <w:rPr>
          <w:rFonts w:ascii="Arial" w:hAnsi="Arial" w:cs="Arial"/>
          <w:color w:val="000000" w:themeColor="text1"/>
          <w:sz w:val="19"/>
          <w:szCs w:val="19"/>
        </w:rPr>
        <w:t xml:space="preserve"> Contratos Estatales propiamente dichos y Contratos Estatales Especiales. Regulación del Contrato suscrito con entidades estatales. Jurisidcción Competente. </w:t>
      </w:r>
      <w:r w:rsidR="006D5552" w:rsidRPr="000612C9">
        <w:rPr>
          <w:rFonts w:ascii="Arial" w:hAnsi="Arial" w:cs="Arial"/>
          <w:color w:val="000000" w:themeColor="text1"/>
          <w:sz w:val="19"/>
          <w:szCs w:val="19"/>
        </w:rPr>
        <w:t xml:space="preserve">En: Andrés Fernando Ospina Garzón. Los Grandes Fallos de la Jurisprudencia Administrativa Colombiana. Universidad Externado de Colombia, 2013. </w:t>
      </w:r>
    </w:p>
    <w:p w14:paraId="32B676AA" w14:textId="77777777" w:rsidR="00716CC3" w:rsidRPr="000612C9" w:rsidRDefault="00716CC3" w:rsidP="006D5552">
      <w:pPr>
        <w:pStyle w:val="Textonotapie"/>
        <w:spacing w:before="0" w:after="0" w:line="240" w:lineRule="auto"/>
        <w:ind w:firstLine="709"/>
        <w:rPr>
          <w:rFonts w:ascii="Arial" w:hAnsi="Arial" w:cs="Arial"/>
          <w:color w:val="000000" w:themeColor="text1"/>
          <w:sz w:val="19"/>
          <w:szCs w:val="19"/>
        </w:rPr>
      </w:pPr>
    </w:p>
  </w:footnote>
  <w:footnote w:id="3">
    <w:p w14:paraId="4520ACAE" w14:textId="6AE380F8"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Consejo de Estado, Sala de lo Contencioso Administrativo, Sección Tercera, Auto de 20 de Agosto de 1998, expediente: 14.202.  </w:t>
      </w:r>
    </w:p>
  </w:footnote>
  <w:footnote w:id="4">
    <w:p w14:paraId="06724D9B" w14:textId="77777777" w:rsidR="002B3433" w:rsidRPr="000612C9" w:rsidRDefault="002B3433" w:rsidP="006D5552">
      <w:pPr>
        <w:pStyle w:val="Textonotapie"/>
        <w:spacing w:before="0" w:after="0" w:line="240" w:lineRule="auto"/>
        <w:ind w:firstLine="709"/>
        <w:rPr>
          <w:rFonts w:ascii="Arial" w:eastAsia="Calibri" w:hAnsi="Arial" w:cs="Arial"/>
          <w:color w:val="000000" w:themeColor="text1"/>
          <w:sz w:val="19"/>
          <w:szCs w:val="19"/>
          <w:lang w:val="es-ES_tradnl"/>
        </w:rPr>
      </w:pPr>
      <w:r w:rsidRPr="000612C9">
        <w:rPr>
          <w:rStyle w:val="Refdenotaalpie"/>
          <w:rFonts w:ascii="Arial" w:hAnsi="Arial" w:cs="Arial"/>
          <w:color w:val="000000" w:themeColor="text1"/>
          <w:sz w:val="19"/>
          <w:szCs w:val="19"/>
        </w:rPr>
        <w:footnoteRef/>
      </w:r>
      <w:r w:rsidRPr="000612C9">
        <w:rPr>
          <w:rFonts w:ascii="Arial" w:eastAsia="Calibri" w:hAnsi="Arial" w:cs="Arial"/>
          <w:color w:val="000000" w:themeColor="text1"/>
          <w:sz w:val="19"/>
          <w:szCs w:val="19"/>
          <w:lang w:val="es-ES_tradnl"/>
        </w:rPr>
        <w:t xml:space="preserve">https://www.colombiacompra.gov.co/sites/cce_public/files/cce_documentos/comunicado_covid_19.pdf. </w:t>
      </w:r>
    </w:p>
  </w:footnote>
  <w:footnote w:id="5">
    <w:p w14:paraId="7933F7ED"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lang w:val="es-ES"/>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w:t>
      </w:r>
      <w:r w:rsidRPr="000612C9">
        <w:rPr>
          <w:rFonts w:ascii="Arial" w:hAnsi="Arial" w:cs="Arial"/>
          <w:color w:val="000000" w:themeColor="text1"/>
          <w:sz w:val="19"/>
          <w:szCs w:val="19"/>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6">
    <w:p w14:paraId="59BB3B1A" w14:textId="77777777" w:rsidR="002B3433" w:rsidRPr="000612C9" w:rsidRDefault="002B3433" w:rsidP="006D5552">
      <w:pPr>
        <w:pStyle w:val="NormalWeb"/>
        <w:spacing w:before="0" w:beforeAutospacing="0" w:after="0" w:afterAutospacing="0" w:line="240" w:lineRule="auto"/>
        <w:rPr>
          <w:rFonts w:ascii="Arial" w:hAnsi="Arial" w:cs="Arial"/>
          <w:color w:val="000000" w:themeColor="text1"/>
          <w:sz w:val="19"/>
          <w:szCs w:val="19"/>
        </w:rPr>
      </w:pPr>
    </w:p>
    <w:p w14:paraId="7ED745F5" w14:textId="77777777" w:rsidR="002B3433" w:rsidRPr="000612C9" w:rsidRDefault="002B3433" w:rsidP="006D5552">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w:t>
      </w:r>
      <w:bookmarkStart w:id="1" w:name="54"/>
      <w:r w:rsidRPr="000612C9">
        <w:rPr>
          <w:rFonts w:ascii="Arial" w:hAnsi="Arial" w:cs="Arial"/>
          <w:color w:val="000000" w:themeColor="text1"/>
          <w:sz w:val="19"/>
          <w:szCs w:val="19"/>
        </w:rPr>
        <w:t>«</w:t>
      </w:r>
      <w:r w:rsidRPr="000612C9">
        <w:rPr>
          <w:rFonts w:ascii="Arial" w:hAnsi="Arial" w:cs="Arial"/>
          <w:color w:val="000000" w:themeColor="text1"/>
          <w:sz w:val="19"/>
          <w:szCs w:val="19"/>
          <w:lang w:eastAsia="es-ES_tradnl"/>
        </w:rPr>
        <w:t>Artículo 54. Fondos territoriales.</w:t>
      </w:r>
      <w:bookmarkEnd w:id="1"/>
      <w:r w:rsidRPr="000612C9">
        <w:rPr>
          <w:rFonts w:ascii="Arial" w:hAnsi="Arial" w:cs="Arial"/>
          <w:color w:val="000000" w:themeColor="text1"/>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23A3CF54" w14:textId="77777777" w:rsidR="002B3433" w:rsidRPr="000612C9" w:rsidRDefault="002B3433" w:rsidP="006D5552">
      <w:pPr>
        <w:spacing w:before="0" w:after="0" w:line="240" w:lineRule="auto"/>
        <w:ind w:firstLine="709"/>
        <w:rPr>
          <w:rFonts w:ascii="Arial" w:hAnsi="Arial" w:cs="Arial"/>
          <w:color w:val="000000" w:themeColor="text1"/>
          <w:sz w:val="19"/>
          <w:szCs w:val="19"/>
          <w:lang w:val="es-CO" w:eastAsia="es-ES_tradnl"/>
        </w:rPr>
      </w:pPr>
      <w:r w:rsidRPr="000612C9">
        <w:rPr>
          <w:rFonts w:ascii="Arial" w:hAnsi="Arial" w:cs="Arial"/>
          <w:color w:val="000000" w:themeColor="text1"/>
          <w:sz w:val="19"/>
          <w:szCs w:val="19"/>
          <w:lang w:val="es-CO" w:eastAsia="es-ES_tradnl"/>
        </w:rPr>
        <w:t>»Parágrafo.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footnote>
  <w:footnote w:id="7">
    <w:p w14:paraId="7839914D"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Corte Constitucional. Sentencia C- 341 del 4 de junio de 2014. M. P. Mauricio González Cuervo</w:t>
      </w:r>
    </w:p>
    <w:p w14:paraId="538832AE"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p>
  </w:footnote>
  <w:footnote w:id="8">
    <w:p w14:paraId="2B0D12DB"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F9926A3"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Fonts w:ascii="Arial" w:hAnsi="Arial" w:cs="Arial"/>
          <w:color w:val="000000" w:themeColor="text1"/>
          <w:sz w:val="19"/>
          <w:szCs w:val="19"/>
        </w:rPr>
        <w:t>»Lo anterior, sin perjuicio de las publicaciones previstas en el numeral 3 del artículo 30 de la Ley 80 de 1993.</w:t>
      </w:r>
    </w:p>
    <w:p w14:paraId="216C1535"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A764B80"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Fonts w:ascii="Arial" w:hAnsi="Arial" w:cs="Arial"/>
          <w:color w:val="000000" w:themeColor="text1"/>
          <w:sz w:val="19"/>
          <w:szCs w:val="19"/>
        </w:rPr>
        <w:t>[…]</w:t>
      </w:r>
    </w:p>
    <w:p w14:paraId="373B3EA6"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6DF3547"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lang w:val="es-CO"/>
        </w:rPr>
      </w:pPr>
    </w:p>
  </w:footnote>
  <w:footnote w:id="9">
    <w:p w14:paraId="6C0BCFDD"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C3240DB"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lang w:val="es-CO"/>
        </w:rPr>
      </w:pPr>
    </w:p>
  </w:footnote>
  <w:footnote w:id="10">
    <w:p w14:paraId="4EEED6DE"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BB5DD2A"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4AF257EB"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lang w:val="es-CO"/>
        </w:rPr>
      </w:pPr>
    </w:p>
  </w:footnote>
  <w:footnote w:id="11">
    <w:p w14:paraId="4E23AD09"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Fonts w:ascii="Arial" w:eastAsia="Times New Roman" w:hAnsi="Arial" w:cs="Arial"/>
          <w:color w:val="000000" w:themeColor="text1"/>
          <w:sz w:val="19"/>
          <w:szCs w:val="19"/>
          <w:vertAlign w:val="superscript"/>
          <w:lang w:val="es-ES" w:eastAsia="es-ES"/>
        </w:rPr>
        <w:footnoteRef/>
      </w:r>
      <w:r w:rsidRPr="000612C9">
        <w:rPr>
          <w:rFonts w:ascii="Arial" w:eastAsia="Times New Roman" w:hAnsi="Arial" w:cs="Arial"/>
          <w:color w:val="000000" w:themeColor="text1"/>
          <w:sz w:val="19"/>
          <w:szCs w:val="19"/>
          <w:vertAlign w:val="superscript"/>
          <w:lang w:val="es-ES" w:eastAsia="es-ES"/>
        </w:rPr>
        <w:t xml:space="preserve"> </w:t>
      </w:r>
      <w:r w:rsidRPr="000612C9">
        <w:rPr>
          <w:rFonts w:ascii="Arial" w:eastAsia="Times New Roman" w:hAnsi="Arial" w:cs="Arial"/>
          <w:color w:val="000000" w:themeColor="text1"/>
          <w:sz w:val="19"/>
          <w:szCs w:val="19"/>
          <w:lang w:val="es-ES" w:eastAsia="es-ES"/>
        </w:rPr>
        <w:t>«</w:t>
      </w:r>
      <w:r w:rsidRPr="000612C9">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9B203DE" w14:textId="77777777" w:rsidR="002B3433" w:rsidRPr="000612C9" w:rsidRDefault="002B3433" w:rsidP="006D5552">
      <w:pPr>
        <w:pStyle w:val="Textonotapie"/>
        <w:spacing w:before="0" w:after="0" w:line="240" w:lineRule="auto"/>
        <w:ind w:firstLine="709"/>
        <w:rPr>
          <w:rFonts w:ascii="Arial" w:eastAsia="Times New Roman" w:hAnsi="Arial" w:cs="Arial"/>
          <w:color w:val="000000" w:themeColor="text1"/>
          <w:sz w:val="19"/>
          <w:szCs w:val="19"/>
          <w:lang w:val="es-ES" w:eastAsia="es-ES"/>
        </w:rPr>
      </w:pPr>
      <w:r w:rsidRPr="000612C9">
        <w:rPr>
          <w:rFonts w:ascii="Arial" w:hAnsi="Arial" w:cs="Arial"/>
          <w:color w:val="000000" w:themeColor="text1"/>
          <w:sz w:val="19"/>
          <w:szCs w:val="19"/>
        </w:rPr>
        <w:t>[…].</w:t>
      </w:r>
    </w:p>
    <w:p w14:paraId="4D4B2E12" w14:textId="77777777" w:rsidR="002B3433" w:rsidRPr="000612C9" w:rsidRDefault="002B3433" w:rsidP="006D5552">
      <w:pPr>
        <w:pStyle w:val="Textonotapie"/>
        <w:spacing w:before="0" w:after="0" w:line="240" w:lineRule="auto"/>
        <w:ind w:firstLine="709"/>
        <w:rPr>
          <w:rFonts w:ascii="Arial" w:eastAsia="Times New Roman" w:hAnsi="Arial" w:cs="Arial"/>
          <w:color w:val="000000" w:themeColor="text1"/>
          <w:sz w:val="19"/>
          <w:szCs w:val="19"/>
          <w:lang w:val="es-ES" w:eastAsia="es-ES"/>
        </w:rPr>
      </w:pPr>
      <w:r w:rsidRPr="000612C9">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8333AE2" w14:textId="77777777" w:rsidR="002B3433" w:rsidRPr="000612C9" w:rsidRDefault="002B3433" w:rsidP="006D5552">
      <w:pPr>
        <w:pStyle w:val="Textonotapie"/>
        <w:spacing w:before="0" w:after="0" w:line="240" w:lineRule="auto"/>
        <w:ind w:firstLine="709"/>
        <w:rPr>
          <w:rFonts w:ascii="Arial" w:eastAsia="Times New Roman" w:hAnsi="Arial" w:cs="Arial"/>
          <w:color w:val="000000" w:themeColor="text1"/>
          <w:sz w:val="19"/>
          <w:szCs w:val="19"/>
          <w:lang w:val="es-ES" w:eastAsia="es-ES"/>
        </w:rPr>
      </w:pPr>
    </w:p>
  </w:footnote>
  <w:footnote w:id="12">
    <w:p w14:paraId="4066E1D8"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C</w:t>
      </w:r>
      <w:r w:rsidRPr="000612C9">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45F2EAF8"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lang w:val="es-CO"/>
        </w:rPr>
      </w:pPr>
    </w:p>
  </w:footnote>
  <w:footnote w:id="13">
    <w:p w14:paraId="132CFB39"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lang w:val="es-CO"/>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4">
    <w:p w14:paraId="3FAE65FD"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rPr>
      </w:pPr>
      <w:r w:rsidRPr="000612C9">
        <w:rPr>
          <w:rStyle w:val="Refdenotaalpie"/>
          <w:rFonts w:ascii="Arial" w:hAnsi="Arial" w:cs="Arial"/>
          <w:color w:val="000000" w:themeColor="text1"/>
          <w:sz w:val="19"/>
          <w:szCs w:val="19"/>
        </w:rPr>
        <w:footnoteRef/>
      </w:r>
      <w:r w:rsidRPr="000612C9">
        <w:rPr>
          <w:rFonts w:ascii="Arial" w:hAnsi="Arial" w:cs="Arial"/>
          <w:color w:val="000000" w:themeColor="text1"/>
          <w:sz w:val="19"/>
          <w:szCs w:val="19"/>
        </w:rPr>
        <w:t xml:space="preserve"> Consejo de Estado. Sección Tercera. Subsección C. Auto del 14 de agosto de 2017. Exp. 58.820. C.P. Jaime Orlando Santofimio Gamboa. </w:t>
      </w:r>
    </w:p>
    <w:p w14:paraId="208B822A" w14:textId="77777777" w:rsidR="002B3433" w:rsidRPr="000612C9" w:rsidRDefault="002B3433" w:rsidP="006D5552">
      <w:pPr>
        <w:pStyle w:val="Textonotapie"/>
        <w:spacing w:before="0" w:after="0" w:line="240" w:lineRule="auto"/>
        <w:ind w:firstLine="709"/>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B3433" w:rsidRDefault="002B343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5E80"/>
    <w:rsid w:val="00017253"/>
    <w:rsid w:val="000210DF"/>
    <w:rsid w:val="0002271C"/>
    <w:rsid w:val="00023CD9"/>
    <w:rsid w:val="000432DF"/>
    <w:rsid w:val="000612C9"/>
    <w:rsid w:val="000641A8"/>
    <w:rsid w:val="0006474E"/>
    <w:rsid w:val="00084B97"/>
    <w:rsid w:val="00086D8D"/>
    <w:rsid w:val="000942EB"/>
    <w:rsid w:val="000943FC"/>
    <w:rsid w:val="000B103F"/>
    <w:rsid w:val="000F14E8"/>
    <w:rsid w:val="00103915"/>
    <w:rsid w:val="00112AC2"/>
    <w:rsid w:val="0011520A"/>
    <w:rsid w:val="001155B8"/>
    <w:rsid w:val="0011766B"/>
    <w:rsid w:val="00120D67"/>
    <w:rsid w:val="00122B23"/>
    <w:rsid w:val="00122B9A"/>
    <w:rsid w:val="00134C44"/>
    <w:rsid w:val="00137FFA"/>
    <w:rsid w:val="00141B41"/>
    <w:rsid w:val="00141CCA"/>
    <w:rsid w:val="00155B3D"/>
    <w:rsid w:val="00180188"/>
    <w:rsid w:val="001824DD"/>
    <w:rsid w:val="00190961"/>
    <w:rsid w:val="001A0A19"/>
    <w:rsid w:val="001A0E7A"/>
    <w:rsid w:val="001A7FD7"/>
    <w:rsid w:val="001B0444"/>
    <w:rsid w:val="001D30D8"/>
    <w:rsid w:val="001F4F5C"/>
    <w:rsid w:val="001F6378"/>
    <w:rsid w:val="001F7341"/>
    <w:rsid w:val="0020632A"/>
    <w:rsid w:val="002110EB"/>
    <w:rsid w:val="00211338"/>
    <w:rsid w:val="002177D9"/>
    <w:rsid w:val="00220E20"/>
    <w:rsid w:val="00230F89"/>
    <w:rsid w:val="002339D3"/>
    <w:rsid w:val="00234B84"/>
    <w:rsid w:val="00255215"/>
    <w:rsid w:val="002654C1"/>
    <w:rsid w:val="00273E83"/>
    <w:rsid w:val="002914E1"/>
    <w:rsid w:val="002B3433"/>
    <w:rsid w:val="002C4C0C"/>
    <w:rsid w:val="002F4470"/>
    <w:rsid w:val="003033BA"/>
    <w:rsid w:val="0030589C"/>
    <w:rsid w:val="003073C0"/>
    <w:rsid w:val="00322937"/>
    <w:rsid w:val="0034177C"/>
    <w:rsid w:val="0034680A"/>
    <w:rsid w:val="00350DA7"/>
    <w:rsid w:val="00353DD5"/>
    <w:rsid w:val="00355084"/>
    <w:rsid w:val="00361495"/>
    <w:rsid w:val="00364EF6"/>
    <w:rsid w:val="00386456"/>
    <w:rsid w:val="003901B3"/>
    <w:rsid w:val="003A0878"/>
    <w:rsid w:val="003A581E"/>
    <w:rsid w:val="003A6751"/>
    <w:rsid w:val="003B027A"/>
    <w:rsid w:val="003B267F"/>
    <w:rsid w:val="003C0F42"/>
    <w:rsid w:val="003D3D9D"/>
    <w:rsid w:val="0040246E"/>
    <w:rsid w:val="00413C8D"/>
    <w:rsid w:val="00423F9F"/>
    <w:rsid w:val="00425FD7"/>
    <w:rsid w:val="00434140"/>
    <w:rsid w:val="00435826"/>
    <w:rsid w:val="004376B9"/>
    <w:rsid w:val="004422D6"/>
    <w:rsid w:val="0044490E"/>
    <w:rsid w:val="00463641"/>
    <w:rsid w:val="0046603E"/>
    <w:rsid w:val="00480D03"/>
    <w:rsid w:val="00490A62"/>
    <w:rsid w:val="0049241A"/>
    <w:rsid w:val="004A0F49"/>
    <w:rsid w:val="004A34D2"/>
    <w:rsid w:val="004D19BB"/>
    <w:rsid w:val="0051074C"/>
    <w:rsid w:val="00513AF2"/>
    <w:rsid w:val="005216C1"/>
    <w:rsid w:val="005259BA"/>
    <w:rsid w:val="00525FE7"/>
    <w:rsid w:val="0054413A"/>
    <w:rsid w:val="00550301"/>
    <w:rsid w:val="005564CA"/>
    <w:rsid w:val="0056182B"/>
    <w:rsid w:val="005622EB"/>
    <w:rsid w:val="005756AA"/>
    <w:rsid w:val="00577148"/>
    <w:rsid w:val="00596896"/>
    <w:rsid w:val="005B5BE2"/>
    <w:rsid w:val="005D35B6"/>
    <w:rsid w:val="005D4AEF"/>
    <w:rsid w:val="005D51FA"/>
    <w:rsid w:val="005D791B"/>
    <w:rsid w:val="005E139E"/>
    <w:rsid w:val="0060070B"/>
    <w:rsid w:val="00602708"/>
    <w:rsid w:val="00603FBE"/>
    <w:rsid w:val="00612C51"/>
    <w:rsid w:val="00614817"/>
    <w:rsid w:val="00630D7C"/>
    <w:rsid w:val="00633DBF"/>
    <w:rsid w:val="00643B51"/>
    <w:rsid w:val="00655371"/>
    <w:rsid w:val="00660D51"/>
    <w:rsid w:val="0067157B"/>
    <w:rsid w:val="00672272"/>
    <w:rsid w:val="00697665"/>
    <w:rsid w:val="006A0EB7"/>
    <w:rsid w:val="006A7CB5"/>
    <w:rsid w:val="006A7FD0"/>
    <w:rsid w:val="006B5FA9"/>
    <w:rsid w:val="006C6EE9"/>
    <w:rsid w:val="006D5552"/>
    <w:rsid w:val="006D7687"/>
    <w:rsid w:val="006E0572"/>
    <w:rsid w:val="006E170C"/>
    <w:rsid w:val="006E1E98"/>
    <w:rsid w:val="00705631"/>
    <w:rsid w:val="00710134"/>
    <w:rsid w:val="00715EAA"/>
    <w:rsid w:val="00716CC3"/>
    <w:rsid w:val="00733BCA"/>
    <w:rsid w:val="0073441F"/>
    <w:rsid w:val="00742DD2"/>
    <w:rsid w:val="00746E08"/>
    <w:rsid w:val="00747C96"/>
    <w:rsid w:val="0075094E"/>
    <w:rsid w:val="007522E8"/>
    <w:rsid w:val="0075647A"/>
    <w:rsid w:val="007634AD"/>
    <w:rsid w:val="00775563"/>
    <w:rsid w:val="0078122E"/>
    <w:rsid w:val="00792E66"/>
    <w:rsid w:val="00792F13"/>
    <w:rsid w:val="00795647"/>
    <w:rsid w:val="007A174B"/>
    <w:rsid w:val="007B0854"/>
    <w:rsid w:val="007C22B6"/>
    <w:rsid w:val="007C2357"/>
    <w:rsid w:val="007D3671"/>
    <w:rsid w:val="007D6C71"/>
    <w:rsid w:val="007E1312"/>
    <w:rsid w:val="007F6B46"/>
    <w:rsid w:val="007F72CB"/>
    <w:rsid w:val="00800C47"/>
    <w:rsid w:val="008132FA"/>
    <w:rsid w:val="00813988"/>
    <w:rsid w:val="008160B2"/>
    <w:rsid w:val="0082065D"/>
    <w:rsid w:val="008217B7"/>
    <w:rsid w:val="00830303"/>
    <w:rsid w:val="0083119B"/>
    <w:rsid w:val="00836EAB"/>
    <w:rsid w:val="008420C6"/>
    <w:rsid w:val="0085092D"/>
    <w:rsid w:val="00850F79"/>
    <w:rsid w:val="00853AE0"/>
    <w:rsid w:val="00854DB7"/>
    <w:rsid w:val="00861F54"/>
    <w:rsid w:val="008632AF"/>
    <w:rsid w:val="008749A9"/>
    <w:rsid w:val="00881812"/>
    <w:rsid w:val="0088434E"/>
    <w:rsid w:val="00894211"/>
    <w:rsid w:val="0089774F"/>
    <w:rsid w:val="008A1C99"/>
    <w:rsid w:val="008A2550"/>
    <w:rsid w:val="008B3AED"/>
    <w:rsid w:val="008D572E"/>
    <w:rsid w:val="008E1C15"/>
    <w:rsid w:val="008F538E"/>
    <w:rsid w:val="008F5551"/>
    <w:rsid w:val="009037EE"/>
    <w:rsid w:val="009047C5"/>
    <w:rsid w:val="00906A56"/>
    <w:rsid w:val="009173EE"/>
    <w:rsid w:val="00920A32"/>
    <w:rsid w:val="0095385A"/>
    <w:rsid w:val="00964425"/>
    <w:rsid w:val="00970437"/>
    <w:rsid w:val="00976295"/>
    <w:rsid w:val="00981216"/>
    <w:rsid w:val="00984AB9"/>
    <w:rsid w:val="00994DF5"/>
    <w:rsid w:val="009B512E"/>
    <w:rsid w:val="009B5190"/>
    <w:rsid w:val="009D3CF6"/>
    <w:rsid w:val="009D4945"/>
    <w:rsid w:val="009E30D4"/>
    <w:rsid w:val="009E64D5"/>
    <w:rsid w:val="009F59C2"/>
    <w:rsid w:val="009F622F"/>
    <w:rsid w:val="009F7694"/>
    <w:rsid w:val="00A02213"/>
    <w:rsid w:val="00A066BD"/>
    <w:rsid w:val="00A13886"/>
    <w:rsid w:val="00A23CE5"/>
    <w:rsid w:val="00A2439B"/>
    <w:rsid w:val="00A24560"/>
    <w:rsid w:val="00A34538"/>
    <w:rsid w:val="00A37C18"/>
    <w:rsid w:val="00A37FB6"/>
    <w:rsid w:val="00A500EF"/>
    <w:rsid w:val="00A5539A"/>
    <w:rsid w:val="00A651E4"/>
    <w:rsid w:val="00A757E2"/>
    <w:rsid w:val="00A957B9"/>
    <w:rsid w:val="00AA08E7"/>
    <w:rsid w:val="00AA442B"/>
    <w:rsid w:val="00AA669D"/>
    <w:rsid w:val="00AA7403"/>
    <w:rsid w:val="00AB3212"/>
    <w:rsid w:val="00AB5C7F"/>
    <w:rsid w:val="00AC514C"/>
    <w:rsid w:val="00AC5F3A"/>
    <w:rsid w:val="00AD1A73"/>
    <w:rsid w:val="00AF0BEC"/>
    <w:rsid w:val="00B000D8"/>
    <w:rsid w:val="00B04012"/>
    <w:rsid w:val="00B13EC0"/>
    <w:rsid w:val="00B22E22"/>
    <w:rsid w:val="00B44E8E"/>
    <w:rsid w:val="00B525CB"/>
    <w:rsid w:val="00B60BC4"/>
    <w:rsid w:val="00B63872"/>
    <w:rsid w:val="00B63CB2"/>
    <w:rsid w:val="00B64EDB"/>
    <w:rsid w:val="00B71C79"/>
    <w:rsid w:val="00B7315F"/>
    <w:rsid w:val="00B91AF0"/>
    <w:rsid w:val="00B91B8E"/>
    <w:rsid w:val="00BC2704"/>
    <w:rsid w:val="00BD78FE"/>
    <w:rsid w:val="00BF5E9C"/>
    <w:rsid w:val="00C0469E"/>
    <w:rsid w:val="00C27711"/>
    <w:rsid w:val="00C34208"/>
    <w:rsid w:val="00C366C4"/>
    <w:rsid w:val="00C4437C"/>
    <w:rsid w:val="00C6465E"/>
    <w:rsid w:val="00C8458D"/>
    <w:rsid w:val="00C97AAA"/>
    <w:rsid w:val="00CC00CD"/>
    <w:rsid w:val="00CD2B8C"/>
    <w:rsid w:val="00CD5576"/>
    <w:rsid w:val="00CE4E6E"/>
    <w:rsid w:val="00D01760"/>
    <w:rsid w:val="00D10800"/>
    <w:rsid w:val="00D16E39"/>
    <w:rsid w:val="00D220D3"/>
    <w:rsid w:val="00D223B6"/>
    <w:rsid w:val="00D35FC1"/>
    <w:rsid w:val="00D60327"/>
    <w:rsid w:val="00D72E9D"/>
    <w:rsid w:val="00D7568C"/>
    <w:rsid w:val="00D82CE5"/>
    <w:rsid w:val="00D92770"/>
    <w:rsid w:val="00D97DDD"/>
    <w:rsid w:val="00DA5AB1"/>
    <w:rsid w:val="00DC3544"/>
    <w:rsid w:val="00DC62E5"/>
    <w:rsid w:val="00DD47A2"/>
    <w:rsid w:val="00DD735D"/>
    <w:rsid w:val="00DE3119"/>
    <w:rsid w:val="00DE3139"/>
    <w:rsid w:val="00DF236B"/>
    <w:rsid w:val="00DF3553"/>
    <w:rsid w:val="00DF7086"/>
    <w:rsid w:val="00DF7F9E"/>
    <w:rsid w:val="00E13AB8"/>
    <w:rsid w:val="00E25CB3"/>
    <w:rsid w:val="00E271F7"/>
    <w:rsid w:val="00E33B62"/>
    <w:rsid w:val="00E36139"/>
    <w:rsid w:val="00E4143A"/>
    <w:rsid w:val="00E41823"/>
    <w:rsid w:val="00E43624"/>
    <w:rsid w:val="00E510C7"/>
    <w:rsid w:val="00E54365"/>
    <w:rsid w:val="00E54B9B"/>
    <w:rsid w:val="00E87FB5"/>
    <w:rsid w:val="00EB2CBD"/>
    <w:rsid w:val="00EC77E0"/>
    <w:rsid w:val="00ED05A8"/>
    <w:rsid w:val="00EE2C9C"/>
    <w:rsid w:val="00EE59B5"/>
    <w:rsid w:val="00EF169E"/>
    <w:rsid w:val="00F04156"/>
    <w:rsid w:val="00F06296"/>
    <w:rsid w:val="00F11955"/>
    <w:rsid w:val="00F172E0"/>
    <w:rsid w:val="00F476A9"/>
    <w:rsid w:val="00F55F3A"/>
    <w:rsid w:val="00F84899"/>
    <w:rsid w:val="00F859F0"/>
    <w:rsid w:val="00F90DB0"/>
    <w:rsid w:val="00F95598"/>
    <w:rsid w:val="00FA0BE5"/>
    <w:rsid w:val="00FD46B4"/>
    <w:rsid w:val="00FE141E"/>
    <w:rsid w:val="00FE42ED"/>
    <w:rsid w:val="00FE7664"/>
    <w:rsid w:val="144490AE"/>
    <w:rsid w:val="1E28C7E9"/>
    <w:rsid w:val="286AD4B9"/>
    <w:rsid w:val="3889322B"/>
    <w:rsid w:val="3FBCB1E3"/>
    <w:rsid w:val="5CFDB913"/>
    <w:rsid w:val="644BEB02"/>
    <w:rsid w:val="7C874A4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EE"/>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after="200"/>
      <w:ind w:left="720" w:hanging="360"/>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before="0" w:after="160" w:line="240" w:lineRule="exact"/>
      <w:jc w:val="lef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9.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nstitucion_politica_1991_pr00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AD904-3D98-4669-884A-A1185189F289}">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4902</Words>
  <Characters>26961</Characters>
  <Application>Microsoft Office Word</Application>
  <DocSecurity>0</DocSecurity>
  <Lines>224</Lines>
  <Paragraphs>63</Paragraphs>
  <ScaleCrop>false</ScaleCrop>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cp:lastPrinted>2020-01-30T15:05:00Z</cp:lastPrinted>
  <dcterms:created xsi:type="dcterms:W3CDTF">2020-05-26T20:05:00Z</dcterms:created>
  <dcterms:modified xsi:type="dcterms:W3CDTF">2020-08-04T11:38:00Z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