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77777777" w:rsidR="000920F0" w:rsidRPr="00DC759C" w:rsidRDefault="000920F0" w:rsidP="000920F0">
      <w:pPr>
        <w:jc w:val="right"/>
        <w:rPr>
          <w:rFonts w:ascii="Arial" w:hAnsi="Arial" w:cs="Arial"/>
          <w:b/>
          <w:sz w:val="16"/>
          <w:szCs w:val="16"/>
          <w:lang w:val="es-ES_tradnl" w:eastAsia="es-ES"/>
        </w:rPr>
      </w:pPr>
      <w:bookmarkStart w:id="0" w:name="_Hlk28946138"/>
      <w:bookmarkStart w:id="1" w:name="_Hlk29548183"/>
      <w:bookmarkStart w:id="2" w:name="_Hlk29890381"/>
      <w:r w:rsidRPr="00DC759C">
        <w:rPr>
          <w:rFonts w:ascii="Arial" w:hAnsi="Arial" w:cs="Arial"/>
          <w:b/>
          <w:sz w:val="21"/>
          <w:szCs w:val="21"/>
          <w:lang w:val="es-ES_tradnl" w:eastAsia="es-ES"/>
        </w:rPr>
        <w:tab/>
      </w:r>
      <w:r w:rsidRPr="00DC759C">
        <w:rPr>
          <w:rFonts w:ascii="Arial" w:hAnsi="Arial" w:cs="Arial"/>
          <w:b/>
          <w:sz w:val="16"/>
          <w:szCs w:val="16"/>
          <w:lang w:val="es-ES_tradnl" w:eastAsia="es-ES"/>
        </w:rPr>
        <w:t>CCE-DES-FM-17</w:t>
      </w:r>
    </w:p>
    <w:p w14:paraId="77C0A69C" w14:textId="77777777" w:rsidR="00111BBD" w:rsidRPr="00722357" w:rsidRDefault="00111BBD" w:rsidP="000920F0">
      <w:pPr>
        <w:spacing w:line="276" w:lineRule="auto"/>
        <w:jc w:val="both"/>
        <w:rPr>
          <w:rFonts w:ascii="Arial" w:eastAsia="Calibri" w:hAnsi="Arial" w:cs="Arial"/>
          <w:b/>
          <w:sz w:val="16"/>
          <w:szCs w:val="16"/>
        </w:rPr>
      </w:pPr>
    </w:p>
    <w:p w14:paraId="66D87092" w14:textId="66794059" w:rsidR="004C1DEC" w:rsidRPr="00751B9D" w:rsidRDefault="004C6821" w:rsidP="4C34D6AC">
      <w:pPr>
        <w:jc w:val="both"/>
        <w:rPr>
          <w:rFonts w:ascii="Arial" w:eastAsia="Calibri" w:hAnsi="Arial" w:cs="Arial"/>
          <w:b/>
          <w:bCs/>
          <w:sz w:val="22"/>
        </w:rPr>
      </w:pPr>
      <w:r w:rsidRPr="4C34D6AC">
        <w:rPr>
          <w:rFonts w:ascii="Arial" w:eastAsia="Calibri" w:hAnsi="Arial" w:cs="Arial"/>
          <w:b/>
          <w:bCs/>
          <w:sz w:val="22"/>
        </w:rPr>
        <w:t xml:space="preserve">CONCEPTOS DE COLOMBIA COMPRA EFICIENTE – </w:t>
      </w:r>
      <w:r w:rsidR="3C758499" w:rsidRPr="4C34D6AC">
        <w:rPr>
          <w:rFonts w:ascii="Arial" w:eastAsia="Calibri" w:hAnsi="Arial" w:cs="Arial"/>
          <w:b/>
          <w:bCs/>
          <w:sz w:val="22"/>
        </w:rPr>
        <w:t xml:space="preserve">Obligatoriedad </w:t>
      </w:r>
      <w:r w:rsidR="197FC776" w:rsidRPr="4C34D6AC">
        <w:rPr>
          <w:rFonts w:ascii="Arial" w:eastAsia="Calibri" w:hAnsi="Arial" w:cs="Arial"/>
          <w:b/>
          <w:bCs/>
          <w:sz w:val="22"/>
        </w:rPr>
        <w:t xml:space="preserve">– Alcance </w:t>
      </w:r>
    </w:p>
    <w:p w14:paraId="1863887A" w14:textId="77777777" w:rsidR="004C1DEC" w:rsidRPr="00751B9D" w:rsidRDefault="004C1DEC" w:rsidP="00914EB3">
      <w:pPr>
        <w:jc w:val="both"/>
        <w:rPr>
          <w:rFonts w:ascii="Arial" w:hAnsi="Arial" w:cs="Arial"/>
          <w:sz w:val="22"/>
        </w:rPr>
      </w:pPr>
    </w:p>
    <w:p w14:paraId="5D43EB4D" w14:textId="48B699F4" w:rsidR="004C6821" w:rsidRDefault="004C6821" w:rsidP="00DA338C">
      <w:pPr>
        <w:pStyle w:val="Prrafodelista"/>
        <w:ind w:left="0"/>
        <w:jc w:val="both"/>
        <w:rPr>
          <w:rFonts w:ascii="Arial" w:eastAsia="Calibri" w:hAnsi="Arial" w:cs="Arial"/>
          <w:bCs/>
          <w:sz w:val="20"/>
          <w:szCs w:val="20"/>
          <w:lang w:val="es-ES_tradnl"/>
        </w:rPr>
      </w:pPr>
      <w:r w:rsidRPr="001946FB">
        <w:rPr>
          <w:rFonts w:ascii="Arial" w:eastAsia="Calibri" w:hAnsi="Arial" w:cs="Arial"/>
          <w:sz w:val="20"/>
          <w:szCs w:val="20"/>
        </w:rPr>
        <w:t xml:space="preserve">La </w:t>
      </w:r>
      <w:r w:rsidR="00DA338C" w:rsidRPr="00DA338C">
        <w:rPr>
          <w:rFonts w:ascii="Arial" w:eastAsia="Calibri" w:hAnsi="Arial" w:cs="Arial"/>
          <w:bCs/>
          <w:sz w:val="20"/>
          <w:szCs w:val="20"/>
          <w:lang w:val="es-ES_tradnl"/>
        </w:rPr>
        <w:t>ley es clara cuando establece que los conceptos emitidos por las autoridades al responder peticiones realizadas en ejercicio del derecho a formular consultas –como fue el caso de los conceptos objeto de la solicitud de revocatoria– no son de obligatorio cumplimiento o de obligatoria ejecución, en otras palabras, no tienen efectos vinculantes. Las respuestas emitidas como concepto, entonces, consisten en la posición hermenéutica que las entidades tienen respecto del ordenamiento jurídico. Esto explica por qué esta Agencia, reiteradamente, no resuelve controversias concretas ni brinda asesoría a los partícipes de la contratación estatal</w:t>
      </w:r>
      <w:r w:rsidR="00DA338C">
        <w:rPr>
          <w:rFonts w:ascii="Arial" w:eastAsia="Calibri" w:hAnsi="Arial" w:cs="Arial"/>
          <w:bCs/>
          <w:sz w:val="20"/>
          <w:szCs w:val="20"/>
          <w:lang w:val="es-ES_tradnl"/>
        </w:rPr>
        <w:t>.</w:t>
      </w:r>
    </w:p>
    <w:p w14:paraId="3C8801B7" w14:textId="77777777" w:rsidR="00DA338C" w:rsidRDefault="00DA338C" w:rsidP="00DA338C">
      <w:pPr>
        <w:pStyle w:val="Prrafodelista"/>
        <w:ind w:left="0"/>
        <w:jc w:val="both"/>
        <w:rPr>
          <w:rFonts w:ascii="Arial" w:eastAsia="Calibri" w:hAnsi="Arial" w:cs="Arial"/>
          <w:sz w:val="20"/>
          <w:szCs w:val="20"/>
        </w:rPr>
      </w:pPr>
    </w:p>
    <w:p w14:paraId="2EE7468C" w14:textId="5DBFA3BA" w:rsidR="004C6821" w:rsidRPr="00751B9D" w:rsidRDefault="004C6821" w:rsidP="4C34D6AC">
      <w:pPr>
        <w:jc w:val="both"/>
        <w:rPr>
          <w:rFonts w:ascii="Arial" w:eastAsia="Calibri" w:hAnsi="Arial" w:cs="Arial"/>
          <w:sz w:val="22"/>
        </w:rPr>
      </w:pPr>
      <w:r w:rsidRPr="4C34D6AC">
        <w:rPr>
          <w:rFonts w:ascii="Arial" w:eastAsia="Calibri" w:hAnsi="Arial" w:cs="Arial"/>
          <w:b/>
          <w:bCs/>
          <w:sz w:val="22"/>
        </w:rPr>
        <w:t xml:space="preserve">FUNCIÓN CONSULTIVA </w:t>
      </w:r>
      <w:r w:rsidR="22780ED7" w:rsidRPr="4C34D6AC">
        <w:rPr>
          <w:rFonts w:ascii="Arial" w:eastAsia="Calibri" w:hAnsi="Arial" w:cs="Arial"/>
          <w:b/>
          <w:bCs/>
          <w:sz w:val="22"/>
        </w:rPr>
        <w:t>–</w:t>
      </w:r>
      <w:r w:rsidRPr="4C34D6AC">
        <w:rPr>
          <w:rFonts w:ascii="Arial" w:eastAsia="Calibri" w:hAnsi="Arial" w:cs="Arial"/>
          <w:b/>
          <w:bCs/>
          <w:sz w:val="22"/>
        </w:rPr>
        <w:t xml:space="preserve"> Alcance</w:t>
      </w:r>
    </w:p>
    <w:p w14:paraId="798A3CB3" w14:textId="77777777" w:rsidR="004C6821" w:rsidRPr="004C6821" w:rsidRDefault="004C6821" w:rsidP="004C6821">
      <w:pPr>
        <w:jc w:val="both"/>
        <w:rPr>
          <w:rFonts w:ascii="Arial" w:hAnsi="Arial" w:cs="Arial"/>
          <w:sz w:val="22"/>
        </w:rPr>
      </w:pPr>
    </w:p>
    <w:p w14:paraId="03A6428C" w14:textId="1584DC02" w:rsidR="00DA338C" w:rsidRPr="00DA338C" w:rsidRDefault="00DA338C" w:rsidP="00DA338C">
      <w:pPr>
        <w:jc w:val="both"/>
        <w:rPr>
          <w:rFonts w:ascii="Arial" w:eastAsia="Calibri" w:hAnsi="Arial" w:cs="Arial"/>
          <w:bCs/>
          <w:sz w:val="20"/>
          <w:szCs w:val="20"/>
          <w:lang w:val="es-ES_tradnl"/>
        </w:rPr>
      </w:pPr>
      <w:r w:rsidRPr="00DA338C">
        <w:rPr>
          <w:rFonts w:ascii="Arial" w:eastAsia="Calibri" w:hAnsi="Arial" w:cs="Arial"/>
          <w:bCs/>
          <w:sz w:val="20"/>
          <w:szCs w:val="20"/>
          <w:lang w:val="es-ES_tradnl"/>
        </w:rPr>
        <w:t xml:space="preserve">A las autoridades que ejercen funciones consultivas no les corresponde darle un alcance o preferir un sentido frente a otro, ya que estas se limitan a expresar su posición hermenéutica respecto a las disposiciones normativas. En tal sentido, no pueden, pues, sobreponer su opinión sobre otras posibles.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en cierta medida, refleja el principio democrático. De todos modos, esto no significa que el criterio de una u otra tenga validez o prevalencia sobre la otra, ya que se trata de opiniones emitidas a título de concepto, pese a que entre las entidades exista una 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 </w:t>
      </w:r>
    </w:p>
    <w:p w14:paraId="26AA68E4" w14:textId="02D36A6B" w:rsidR="004C6821" w:rsidRDefault="004C6821" w:rsidP="00DA338C">
      <w:pPr>
        <w:pStyle w:val="Prrafodelista"/>
        <w:ind w:left="0"/>
        <w:jc w:val="both"/>
        <w:rPr>
          <w:rFonts w:ascii="Arial" w:eastAsia="Calibri" w:hAnsi="Arial" w:cs="Arial"/>
          <w:sz w:val="20"/>
          <w:szCs w:val="20"/>
        </w:rPr>
      </w:pPr>
    </w:p>
    <w:p w14:paraId="3AA6EA8D" w14:textId="6EB2C773" w:rsidR="004C6821" w:rsidRPr="00751B9D" w:rsidRDefault="004C6821" w:rsidP="4C34D6AC">
      <w:pPr>
        <w:jc w:val="both"/>
        <w:rPr>
          <w:rFonts w:ascii="Arial" w:eastAsia="Calibri" w:hAnsi="Arial" w:cs="Arial"/>
          <w:b/>
          <w:bCs/>
          <w:sz w:val="22"/>
        </w:rPr>
      </w:pPr>
      <w:r w:rsidRPr="4C34D6AC">
        <w:rPr>
          <w:rFonts w:ascii="Arial" w:eastAsia="Calibri" w:hAnsi="Arial" w:cs="Arial"/>
          <w:b/>
          <w:bCs/>
          <w:sz w:val="22"/>
        </w:rPr>
        <w:t xml:space="preserve">CONCEPTOS DE COLOMBIA COMPRA EFICIENTE – </w:t>
      </w:r>
      <w:r w:rsidR="67E8F7D8" w:rsidRPr="4C34D6AC">
        <w:rPr>
          <w:rFonts w:ascii="Arial" w:eastAsia="Calibri" w:hAnsi="Arial" w:cs="Arial"/>
          <w:b/>
          <w:bCs/>
          <w:sz w:val="22"/>
        </w:rPr>
        <w:t xml:space="preserve">Recursos – Procedibilidad </w:t>
      </w:r>
    </w:p>
    <w:p w14:paraId="3080FE09" w14:textId="77777777" w:rsidR="004C6821" w:rsidRPr="004C6821" w:rsidRDefault="004C6821" w:rsidP="004C6821">
      <w:pPr>
        <w:jc w:val="both"/>
        <w:rPr>
          <w:rFonts w:ascii="Arial" w:hAnsi="Arial" w:cs="Arial"/>
          <w:sz w:val="22"/>
        </w:rPr>
      </w:pPr>
    </w:p>
    <w:p w14:paraId="51073374" w14:textId="5C4B553E" w:rsidR="004002F0" w:rsidRDefault="004C6821" w:rsidP="004002F0">
      <w:pPr>
        <w:jc w:val="both"/>
        <w:rPr>
          <w:rFonts w:ascii="Arial" w:eastAsia="Calibri" w:hAnsi="Arial" w:cs="Arial"/>
          <w:sz w:val="20"/>
          <w:szCs w:val="20"/>
          <w:lang w:val="es-ES_tradnl"/>
        </w:rPr>
      </w:pPr>
      <w:r w:rsidRPr="004002F0">
        <w:rPr>
          <w:rFonts w:ascii="Arial" w:eastAsia="Calibri" w:hAnsi="Arial" w:cs="Arial"/>
          <w:sz w:val="20"/>
          <w:szCs w:val="20"/>
        </w:rPr>
        <w:t xml:space="preserve">Colombia Compra Eficiente considera que no hay lugar a acceder a la solicitud de revocatoria de </w:t>
      </w:r>
      <w:r w:rsidR="004002F0">
        <w:rPr>
          <w:rFonts w:ascii="Arial" w:eastAsia="Calibri" w:hAnsi="Arial" w:cs="Arial"/>
          <w:sz w:val="20"/>
          <w:szCs w:val="20"/>
        </w:rPr>
        <w:t>los conceptos sub examine, pues</w:t>
      </w:r>
      <w:r w:rsidR="004002F0" w:rsidRPr="004002F0">
        <w:rPr>
          <w:rFonts w:ascii="Arial" w:eastAsia="Calibri" w:hAnsi="Arial" w:cs="Arial"/>
          <w:bCs/>
          <w:sz w:val="20"/>
          <w:szCs w:val="20"/>
          <w:lang w:val="es-ES_tradnl"/>
        </w:rPr>
        <w:t xml:space="preserve"> se encuentra que: i) al explicar que el artículo 12 de la Ley 842 de 2003 fue derogado tácitamente, no se desconocen los efectos de la sentencia C-296 de 2012; </w:t>
      </w:r>
      <w:proofErr w:type="spellStart"/>
      <w:r w:rsidR="004002F0" w:rsidRPr="004002F0">
        <w:rPr>
          <w:rFonts w:ascii="Arial" w:eastAsia="Calibri" w:hAnsi="Arial" w:cs="Arial"/>
          <w:bCs/>
          <w:sz w:val="20"/>
          <w:szCs w:val="20"/>
          <w:lang w:val="es-ES_tradnl"/>
        </w:rPr>
        <w:t>ii</w:t>
      </w:r>
      <w:proofErr w:type="spellEnd"/>
      <w:r w:rsidR="004002F0" w:rsidRPr="004002F0">
        <w:rPr>
          <w:rFonts w:ascii="Arial" w:eastAsia="Calibri" w:hAnsi="Arial" w:cs="Arial"/>
          <w:bCs/>
          <w:sz w:val="20"/>
          <w:szCs w:val="20"/>
          <w:lang w:val="es-ES_tradnl"/>
        </w:rPr>
        <w:t xml:space="preserve">) la providencia del Consejo de Estado tiene efectos provisionales que, aunque eventualmente podrían ser definitivos con la sentencia de fondo, no se extienden a los conceptos de Colombia Compra Eficiente; </w:t>
      </w:r>
      <w:proofErr w:type="spellStart"/>
      <w:r w:rsidR="004002F0" w:rsidRPr="004002F0">
        <w:rPr>
          <w:rFonts w:ascii="Arial" w:eastAsia="Calibri" w:hAnsi="Arial" w:cs="Arial"/>
          <w:bCs/>
          <w:sz w:val="20"/>
          <w:szCs w:val="20"/>
          <w:lang w:val="es-ES_tradnl"/>
        </w:rPr>
        <w:t>iii</w:t>
      </w:r>
      <w:proofErr w:type="spellEnd"/>
      <w:r w:rsidR="004002F0" w:rsidRPr="004002F0">
        <w:rPr>
          <w:rFonts w:ascii="Arial" w:eastAsia="Calibri" w:hAnsi="Arial" w:cs="Arial"/>
          <w:bCs/>
          <w:sz w:val="20"/>
          <w:szCs w:val="20"/>
          <w:lang w:val="es-ES_tradnl"/>
        </w:rPr>
        <w:t xml:space="preserve">) no existe la contradicción a la que se refirieren los peticionarios frente a la Circular Externa Única de 2019 y, en gracia de discusión, lo que se observa es un cambio de postura en relación con un punto de derecho, el cual, además, está debidamente justificada y sustentada; </w:t>
      </w:r>
      <w:proofErr w:type="spellStart"/>
      <w:r w:rsidR="004002F0" w:rsidRPr="004002F0">
        <w:rPr>
          <w:rFonts w:ascii="Arial" w:eastAsia="Calibri" w:hAnsi="Arial" w:cs="Arial"/>
          <w:bCs/>
          <w:sz w:val="20"/>
          <w:szCs w:val="20"/>
          <w:lang w:val="es-ES_tradnl"/>
        </w:rPr>
        <w:t>iv</w:t>
      </w:r>
      <w:proofErr w:type="spellEnd"/>
      <w:r w:rsidR="004002F0" w:rsidRPr="004002F0">
        <w:rPr>
          <w:rFonts w:ascii="Arial" w:eastAsia="Calibri" w:hAnsi="Arial" w:cs="Arial"/>
          <w:bCs/>
          <w:sz w:val="20"/>
          <w:szCs w:val="20"/>
          <w:lang w:val="es-ES_tradnl"/>
        </w:rPr>
        <w:t xml:space="preserve">) la tesis de esta Agencia, además de ser razonable y coherente, ha sido expuesta por diferentes entidades, especialmente, por el Departamento Administrativo de la Función Pública, lo que descarta su arbitrariedad o subjetividad; y v) </w:t>
      </w:r>
      <w:r w:rsidR="004002F0" w:rsidRPr="004002F0">
        <w:rPr>
          <w:rFonts w:ascii="Arial" w:eastAsia="Calibri" w:hAnsi="Arial" w:cs="Arial"/>
          <w:sz w:val="20"/>
          <w:szCs w:val="20"/>
          <w:lang w:val="es-ES_tradnl"/>
        </w:rPr>
        <w:t>el COPNIA no es el intérprete «exclusivo y excluyente» de la Ley 842 de 2002, además la Agencia Nacional de Contratación Pública está facultada legalmente para interpretar esa norma.</w:t>
      </w:r>
    </w:p>
    <w:p w14:paraId="482EB49D" w14:textId="77777777" w:rsidR="00DA338C" w:rsidRDefault="00DA338C" w:rsidP="004002F0">
      <w:pPr>
        <w:jc w:val="both"/>
        <w:rPr>
          <w:rFonts w:ascii="Arial" w:eastAsia="Calibri" w:hAnsi="Arial" w:cs="Arial"/>
          <w:sz w:val="20"/>
          <w:szCs w:val="20"/>
          <w:lang w:val="es-ES_tradnl"/>
        </w:rPr>
      </w:pPr>
    </w:p>
    <w:p w14:paraId="51AD519D" w14:textId="4E646214" w:rsidR="00DA338C" w:rsidRPr="00751B9D" w:rsidRDefault="00DA338C" w:rsidP="00DA338C">
      <w:pPr>
        <w:jc w:val="both"/>
        <w:rPr>
          <w:rFonts w:ascii="Arial" w:eastAsia="Calibri" w:hAnsi="Arial" w:cs="Arial"/>
          <w:bCs/>
          <w:sz w:val="22"/>
        </w:rPr>
      </w:pPr>
      <w:r>
        <w:rPr>
          <w:rFonts w:ascii="Arial" w:eastAsia="Calibri" w:hAnsi="Arial" w:cs="Arial"/>
          <w:b/>
          <w:sz w:val="22"/>
        </w:rPr>
        <w:t>FUNCIÓN CONSULTIVA</w:t>
      </w:r>
      <w:r w:rsidRPr="00751B9D">
        <w:rPr>
          <w:rFonts w:ascii="Arial" w:eastAsia="Calibri" w:hAnsi="Arial" w:cs="Arial"/>
          <w:b/>
          <w:sz w:val="22"/>
        </w:rPr>
        <w:t xml:space="preserve"> – </w:t>
      </w:r>
      <w:r w:rsidR="0066744E">
        <w:rPr>
          <w:rFonts w:ascii="Arial" w:eastAsia="Calibri" w:hAnsi="Arial" w:cs="Arial"/>
          <w:b/>
          <w:sz w:val="22"/>
        </w:rPr>
        <w:t>Alcance</w:t>
      </w:r>
    </w:p>
    <w:p w14:paraId="0120E029" w14:textId="77777777" w:rsidR="00DA338C" w:rsidRPr="004C6821" w:rsidRDefault="00DA338C" w:rsidP="00DA338C">
      <w:pPr>
        <w:jc w:val="both"/>
        <w:rPr>
          <w:rFonts w:ascii="Arial" w:hAnsi="Arial" w:cs="Arial"/>
          <w:sz w:val="22"/>
        </w:rPr>
      </w:pPr>
    </w:p>
    <w:p w14:paraId="42D3C805" w14:textId="7CCE065B" w:rsidR="00DA338C" w:rsidRPr="00C273E6" w:rsidRDefault="00C112B3" w:rsidP="004002F0">
      <w:pPr>
        <w:jc w:val="both"/>
        <w:rPr>
          <w:rFonts w:ascii="Arial" w:eastAsia="Calibri" w:hAnsi="Arial" w:cs="Arial"/>
          <w:bCs/>
          <w:sz w:val="20"/>
          <w:szCs w:val="20"/>
          <w:lang w:val="es-ES_tradnl"/>
        </w:rPr>
      </w:pPr>
      <w:r w:rsidRPr="00C273E6">
        <w:rPr>
          <w:rFonts w:ascii="Arial" w:eastAsia="Calibri" w:hAnsi="Arial" w:cs="Arial"/>
          <w:bCs/>
          <w:sz w:val="20"/>
          <w:szCs w:val="20"/>
          <w:lang w:val="es-ES_tradnl"/>
        </w:rPr>
        <w:lastRenderedPageBreak/>
        <w:t>[…] lo que se busca es que la opinión jurídica de la entidad sirva a los ciudadanos y a la administración pública para el ejercicio de sus derechos y la defensa de sus intereses, y como criterio de orientación para el cumplimiento de sus competencias legales, sin que tome partida por uno u otro, pues a la autoridad que emite el concepto no le compete resolver una controversia o prevenir una problemática, esto es, no le corresponde determinar quién tienen la razón en su interpretación normativa. Esto no descarta que, en la práctica, al emitirse la opinión sobre la interpretación del ordenamiento jurídico, exista coincidencia con el criterio que expone alguna de las partes o la persona que solicita la consulta, circunstancia que no descarta interpretaciones diferentes y, mucho menos, valida la del peticionario, ya que las competencias consultivas no lo permiten.</w:t>
      </w:r>
    </w:p>
    <w:p w14:paraId="18278D8E" w14:textId="38B4381B" w:rsidR="00C273E6" w:rsidRPr="00C273E6" w:rsidRDefault="00C273E6" w:rsidP="004002F0">
      <w:pPr>
        <w:jc w:val="both"/>
        <w:rPr>
          <w:rFonts w:ascii="Arial" w:eastAsia="Calibri" w:hAnsi="Arial" w:cs="Arial"/>
          <w:bCs/>
          <w:sz w:val="20"/>
          <w:szCs w:val="20"/>
          <w:lang w:val="es-ES_tradnl"/>
        </w:rPr>
      </w:pPr>
      <w:r w:rsidRPr="00C273E6">
        <w:rPr>
          <w:rFonts w:ascii="Arial" w:eastAsia="Calibri" w:hAnsi="Arial" w:cs="Arial"/>
          <w:bCs/>
          <w:sz w:val="20"/>
          <w:szCs w:val="20"/>
          <w:lang w:val="es-ES_tradnl"/>
        </w:rPr>
        <w:t>[…]</w:t>
      </w:r>
    </w:p>
    <w:p w14:paraId="274C6465" w14:textId="45B5AD59" w:rsidR="00C273E6" w:rsidRPr="00C273E6" w:rsidRDefault="00C273E6" w:rsidP="00C273E6">
      <w:pPr>
        <w:spacing w:before="120"/>
        <w:jc w:val="both"/>
        <w:rPr>
          <w:rFonts w:ascii="Arial" w:eastAsia="Calibri" w:hAnsi="Arial" w:cs="Arial"/>
          <w:bCs/>
          <w:sz w:val="20"/>
          <w:szCs w:val="20"/>
          <w:lang w:val="es-ES_tradnl"/>
        </w:rPr>
      </w:pPr>
      <w:r w:rsidRPr="00C273E6">
        <w:rPr>
          <w:rFonts w:ascii="Arial" w:eastAsia="Calibri" w:hAnsi="Arial" w:cs="Arial"/>
          <w:bCs/>
          <w:sz w:val="20"/>
          <w:szCs w:val="20"/>
          <w:lang w:val="es-ES_tradnl"/>
        </w:rPr>
        <w:t>En similares términos, el artículo 112 de la Ley 1437 de 2011 establece, en relación con la Sala de Consulta y Servicio Civil, que «los conceptos de la Sala no serán vinculantes, salvo que la ley disponga lo contrario»</w:t>
      </w:r>
      <w:r w:rsidRPr="00C273E6">
        <w:rPr>
          <w:rFonts w:ascii="Arial" w:eastAsia="Calibri" w:hAnsi="Arial" w:cs="Arial"/>
          <w:bCs/>
          <w:sz w:val="20"/>
          <w:szCs w:val="20"/>
          <w:lang w:val="es-ES_tradnl"/>
        </w:rPr>
        <w:footnoteReference w:id="1"/>
      </w:r>
      <w:r w:rsidRPr="00C273E6">
        <w:rPr>
          <w:rFonts w:ascii="Arial" w:eastAsia="Calibri" w:hAnsi="Arial" w:cs="Arial"/>
          <w:bCs/>
          <w:sz w:val="20"/>
          <w:szCs w:val="20"/>
          <w:lang w:val="es-ES_tradnl"/>
        </w:rPr>
        <w:t xml:space="preserve">. Se trata, </w:t>
      </w:r>
      <w:r w:rsidRPr="00C273E6">
        <w:rPr>
          <w:rFonts w:ascii="Arial" w:eastAsia="Calibri" w:hAnsi="Arial" w:cs="Arial"/>
          <w:bCs/>
          <w:i/>
          <w:sz w:val="20"/>
          <w:szCs w:val="20"/>
          <w:lang w:val="es-ES_tradnl"/>
        </w:rPr>
        <w:t xml:space="preserve">mutatis </w:t>
      </w:r>
      <w:proofErr w:type="spellStart"/>
      <w:r w:rsidRPr="00C273E6">
        <w:rPr>
          <w:rFonts w:ascii="Arial" w:eastAsia="Calibri" w:hAnsi="Arial" w:cs="Arial"/>
          <w:bCs/>
          <w:i/>
          <w:sz w:val="20"/>
          <w:szCs w:val="20"/>
          <w:lang w:val="es-ES_tradnl"/>
        </w:rPr>
        <w:t>mutandi</w:t>
      </w:r>
      <w:proofErr w:type="spellEnd"/>
      <w:r w:rsidRPr="00C273E6">
        <w:rPr>
          <w:rFonts w:ascii="Arial" w:eastAsia="Calibri" w:hAnsi="Arial" w:cs="Arial"/>
          <w:bCs/>
          <w:sz w:val="20"/>
          <w:szCs w:val="20"/>
          <w:lang w:val="es-ES_tradnl"/>
        </w:rPr>
        <w:t>, del ejercicio de una función consultiva, cuyos efectos, por ende, serán los mismos: no vinculantes ni de obligatorio cumplimiento.</w:t>
      </w:r>
    </w:p>
    <w:p w14:paraId="628AD56D" w14:textId="77777777" w:rsidR="00A71B85" w:rsidRPr="00722357" w:rsidRDefault="00A71B85" w:rsidP="000920F0">
      <w:pPr>
        <w:spacing w:line="276" w:lineRule="auto"/>
        <w:jc w:val="both"/>
        <w:rPr>
          <w:rFonts w:ascii="Arial" w:hAnsi="Arial" w:cs="Arial"/>
          <w:sz w:val="20"/>
          <w:szCs w:val="20"/>
          <w:lang w:val="es-ES_tradnl"/>
        </w:rPr>
      </w:pPr>
    </w:p>
    <w:p w14:paraId="10458466" w14:textId="77777777" w:rsidR="00A71490" w:rsidRPr="00A71490" w:rsidRDefault="00A71490" w:rsidP="00A71490">
      <w:pPr>
        <w:pStyle w:val="Default"/>
      </w:pPr>
      <w:bookmarkStart w:id="3" w:name="_Hlk42712895"/>
    </w:p>
    <w:p w14:paraId="55F4FEC4" w14:textId="6C464264" w:rsidR="00A71490" w:rsidRPr="00A71490" w:rsidRDefault="00A71490" w:rsidP="00A71490">
      <w:pPr>
        <w:pStyle w:val="Default"/>
        <w:rPr>
          <w:sz w:val="22"/>
          <w:szCs w:val="22"/>
        </w:rPr>
      </w:pPr>
      <w:r w:rsidRPr="00A71490">
        <w:rPr>
          <w:sz w:val="22"/>
          <w:szCs w:val="22"/>
        </w:rPr>
        <w:t xml:space="preserve">Bogotá D.C., </w:t>
      </w:r>
      <w:r w:rsidRPr="00A71490">
        <w:rPr>
          <w:b/>
          <w:bCs/>
          <w:sz w:val="22"/>
          <w:szCs w:val="22"/>
        </w:rPr>
        <w:t xml:space="preserve">10/06/2020 Hora 20:25:18s </w:t>
      </w:r>
    </w:p>
    <w:p w14:paraId="06C9ADFA" w14:textId="32DE8A82" w:rsidR="000920F0" w:rsidRPr="00DC759C" w:rsidRDefault="00A71490" w:rsidP="00A71490">
      <w:pPr>
        <w:tabs>
          <w:tab w:val="left" w:pos="3374"/>
        </w:tabs>
        <w:spacing w:line="276" w:lineRule="auto"/>
        <w:jc w:val="right"/>
        <w:rPr>
          <w:rFonts w:ascii="Arial" w:eastAsia="Calibri" w:hAnsi="Arial" w:cs="Arial"/>
          <w:sz w:val="22"/>
          <w:lang w:val="es-ES_tradnl"/>
        </w:rPr>
      </w:pPr>
      <w:proofErr w:type="spellStart"/>
      <w:r w:rsidRPr="00A71490">
        <w:rPr>
          <w:rFonts w:ascii="Arial" w:hAnsi="Arial" w:cs="Arial"/>
          <w:b/>
          <w:bCs/>
          <w:sz w:val="22"/>
        </w:rPr>
        <w:t>N°</w:t>
      </w:r>
      <w:proofErr w:type="spellEnd"/>
      <w:r w:rsidRPr="00A71490">
        <w:rPr>
          <w:rFonts w:ascii="Arial" w:hAnsi="Arial" w:cs="Arial"/>
          <w:b/>
          <w:bCs/>
          <w:sz w:val="22"/>
        </w:rPr>
        <w:t xml:space="preserve"> Radicado: 2202013000004871</w:t>
      </w:r>
      <w:r w:rsidR="000920F0" w:rsidRPr="00DC759C">
        <w:rPr>
          <w:rFonts w:ascii="Arial" w:eastAsia="Calibri" w:hAnsi="Arial" w:cs="Arial"/>
          <w:sz w:val="22"/>
          <w:lang w:val="es-ES_tradnl"/>
        </w:rPr>
        <w:tab/>
      </w:r>
    </w:p>
    <w:p w14:paraId="17E74F93" w14:textId="77777777" w:rsidR="00F7146B" w:rsidRPr="00DC759C" w:rsidRDefault="00F7146B" w:rsidP="000920F0">
      <w:pPr>
        <w:spacing w:line="276" w:lineRule="auto"/>
        <w:rPr>
          <w:rFonts w:ascii="Arial" w:eastAsia="Calibri" w:hAnsi="Arial" w:cs="Arial"/>
          <w:sz w:val="22"/>
          <w:lang w:val="es-ES_tradnl"/>
        </w:rPr>
      </w:pPr>
    </w:p>
    <w:p w14:paraId="0223F164" w14:textId="0CE8B01E" w:rsidR="000920F0" w:rsidRPr="00DC759C" w:rsidRDefault="000920F0" w:rsidP="000920F0">
      <w:pPr>
        <w:spacing w:line="276" w:lineRule="auto"/>
        <w:rPr>
          <w:rFonts w:ascii="Arial" w:eastAsia="Calibri" w:hAnsi="Arial" w:cs="Arial"/>
          <w:sz w:val="22"/>
          <w:lang w:val="es-ES_tradnl"/>
        </w:rPr>
      </w:pPr>
      <w:r w:rsidRPr="00DC759C">
        <w:rPr>
          <w:rFonts w:ascii="Arial" w:eastAsia="Calibri" w:hAnsi="Arial" w:cs="Arial"/>
          <w:sz w:val="22"/>
          <w:lang w:val="es-ES_tradnl"/>
        </w:rPr>
        <w:t>Señor</w:t>
      </w:r>
      <w:r w:rsidR="00B335CC" w:rsidRPr="00DC759C">
        <w:rPr>
          <w:rFonts w:ascii="Arial" w:eastAsia="Calibri" w:hAnsi="Arial" w:cs="Arial"/>
          <w:sz w:val="22"/>
          <w:lang w:val="es-ES_tradnl"/>
        </w:rPr>
        <w:t>es</w:t>
      </w:r>
    </w:p>
    <w:p w14:paraId="37F04B31" w14:textId="1E501BD9" w:rsidR="000920F0" w:rsidRPr="00DC759C" w:rsidRDefault="00B335CC" w:rsidP="000920F0">
      <w:pPr>
        <w:spacing w:line="276" w:lineRule="auto"/>
        <w:rPr>
          <w:rFonts w:ascii="Arial" w:eastAsia="Calibri" w:hAnsi="Arial" w:cs="Arial"/>
          <w:b/>
          <w:sz w:val="22"/>
          <w:lang w:val="es-ES_tradnl"/>
        </w:rPr>
      </w:pPr>
      <w:r w:rsidRPr="00DC759C">
        <w:rPr>
          <w:rFonts w:ascii="Arial" w:eastAsia="Calibri" w:hAnsi="Arial" w:cs="Arial"/>
          <w:b/>
          <w:sz w:val="22"/>
          <w:lang w:val="es-ES_tradnl"/>
        </w:rPr>
        <w:t>Jorge Iván Flores Blandón</w:t>
      </w:r>
    </w:p>
    <w:p w14:paraId="02491F70" w14:textId="671BFECF" w:rsidR="00B335CC" w:rsidRPr="00DC759C" w:rsidRDefault="00B335CC" w:rsidP="000920F0">
      <w:pPr>
        <w:spacing w:line="276" w:lineRule="auto"/>
        <w:rPr>
          <w:rFonts w:ascii="Arial" w:eastAsia="Calibri" w:hAnsi="Arial" w:cs="Arial"/>
          <w:b/>
          <w:sz w:val="22"/>
          <w:lang w:val="es-ES_tradnl"/>
        </w:rPr>
      </w:pPr>
      <w:r w:rsidRPr="00DC759C">
        <w:rPr>
          <w:rFonts w:ascii="Arial" w:eastAsia="Calibri" w:hAnsi="Arial" w:cs="Arial"/>
          <w:b/>
          <w:sz w:val="22"/>
          <w:lang w:val="es-ES_tradnl"/>
        </w:rPr>
        <w:t>Rubén Darío Ochoa Arbeláez</w:t>
      </w:r>
    </w:p>
    <w:p w14:paraId="380B30F4" w14:textId="14DF69FA" w:rsidR="004233F3" w:rsidRPr="00DC759C" w:rsidRDefault="004233F3" w:rsidP="000920F0">
      <w:pPr>
        <w:spacing w:line="276" w:lineRule="auto"/>
        <w:rPr>
          <w:rFonts w:ascii="Arial" w:eastAsia="Calibri" w:hAnsi="Arial" w:cs="Arial"/>
          <w:b/>
          <w:sz w:val="22"/>
          <w:lang w:val="es-ES_tradnl"/>
        </w:rPr>
      </w:pPr>
      <w:r w:rsidRPr="00DC759C">
        <w:rPr>
          <w:rFonts w:ascii="Arial" w:eastAsia="Calibri" w:hAnsi="Arial" w:cs="Arial"/>
          <w:b/>
          <w:sz w:val="22"/>
          <w:lang w:val="es-ES_tradnl"/>
        </w:rPr>
        <w:t>Consejo Profesional Nacional de Ingeniería − COPNIA</w:t>
      </w:r>
    </w:p>
    <w:p w14:paraId="188163AF" w14:textId="1348B387" w:rsidR="000920F0" w:rsidRPr="00DC759C" w:rsidRDefault="00B335CC" w:rsidP="000920F0">
      <w:pPr>
        <w:spacing w:line="276" w:lineRule="auto"/>
        <w:rPr>
          <w:rFonts w:ascii="Arial" w:eastAsia="Calibri" w:hAnsi="Arial" w:cs="Arial"/>
          <w:sz w:val="22"/>
          <w:lang w:val="es-ES_tradnl"/>
        </w:rPr>
      </w:pPr>
      <w:r w:rsidRPr="00DC759C">
        <w:rPr>
          <w:rFonts w:ascii="Arial" w:eastAsia="Calibri" w:hAnsi="Arial" w:cs="Arial"/>
          <w:sz w:val="22"/>
          <w:lang w:val="es-ES_tradnl"/>
        </w:rPr>
        <w:t>Bogotá</w:t>
      </w:r>
    </w:p>
    <w:p w14:paraId="699D893C" w14:textId="4968EF12" w:rsidR="001A7B0C" w:rsidRDefault="001A7B0C" w:rsidP="000920F0">
      <w:pPr>
        <w:spacing w:line="276" w:lineRule="auto"/>
        <w:jc w:val="center"/>
        <w:rPr>
          <w:rFonts w:ascii="Arial" w:eastAsia="Calibri" w:hAnsi="Arial" w:cs="Arial"/>
          <w:b/>
          <w:sz w:val="22"/>
          <w:lang w:val="es-ES_tradnl"/>
        </w:rPr>
      </w:pPr>
    </w:p>
    <w:p w14:paraId="59A86D2A" w14:textId="77777777" w:rsidR="004935AA" w:rsidRDefault="004935AA" w:rsidP="000920F0">
      <w:pPr>
        <w:spacing w:line="276" w:lineRule="auto"/>
        <w:jc w:val="center"/>
        <w:rPr>
          <w:rFonts w:ascii="Arial" w:eastAsia="Calibri" w:hAnsi="Arial" w:cs="Arial"/>
          <w:b/>
          <w:sz w:val="22"/>
          <w:lang w:val="es-ES_tradnl"/>
        </w:rPr>
      </w:pPr>
    </w:p>
    <w:p w14:paraId="36D9E2A1" w14:textId="502D2E91" w:rsidR="000920F0" w:rsidRPr="00DC759C" w:rsidRDefault="004935AA" w:rsidP="001946FB">
      <w:pPr>
        <w:spacing w:line="276" w:lineRule="auto"/>
        <w:rPr>
          <w:rFonts w:ascii="Arial" w:eastAsia="Calibri" w:hAnsi="Arial" w:cs="Arial"/>
          <w:b/>
          <w:sz w:val="22"/>
          <w:lang w:val="es-ES_tradnl"/>
        </w:rPr>
      </w:pPr>
      <w:r>
        <w:rPr>
          <w:rFonts w:ascii="Arial" w:eastAsia="Calibri" w:hAnsi="Arial" w:cs="Arial"/>
          <w:b/>
          <w:sz w:val="22"/>
          <w:lang w:val="es-ES_tradnl"/>
        </w:rPr>
        <w:t xml:space="preserve">                                            </w:t>
      </w:r>
      <w:r w:rsidR="000920F0" w:rsidRPr="00DC759C">
        <w:rPr>
          <w:rFonts w:ascii="Arial" w:eastAsia="Calibri" w:hAnsi="Arial" w:cs="Arial"/>
          <w:b/>
          <w:sz w:val="22"/>
          <w:lang w:val="es-ES_tradnl"/>
        </w:rPr>
        <w:t>Concepto C</w:t>
      </w:r>
      <w:r w:rsidR="00817210">
        <w:rPr>
          <w:rFonts w:ascii="Arial" w:eastAsia="Calibri" w:hAnsi="Arial" w:cs="Arial"/>
          <w:b/>
          <w:sz w:val="22"/>
          <w:lang w:val="es-ES_tradnl"/>
        </w:rPr>
        <w:t>–</w:t>
      </w:r>
      <w:r w:rsidR="00B335CC" w:rsidRPr="00DC759C">
        <w:rPr>
          <w:rFonts w:ascii="Arial" w:eastAsia="Calibri" w:hAnsi="Arial" w:cs="Arial"/>
          <w:b/>
          <w:sz w:val="22"/>
          <w:lang w:val="es-ES_tradnl"/>
        </w:rPr>
        <w:t>317</w:t>
      </w:r>
      <w:r w:rsidR="000920F0" w:rsidRPr="00DC759C">
        <w:rPr>
          <w:rFonts w:ascii="Arial" w:eastAsia="Calibri" w:hAnsi="Arial" w:cs="Arial"/>
          <w:b/>
          <w:sz w:val="22"/>
          <w:lang w:val="es-ES_tradnl"/>
        </w:rPr>
        <w:t xml:space="preserve"> de 2020</w:t>
      </w:r>
    </w:p>
    <w:p w14:paraId="5FD7FADA" w14:textId="77777777" w:rsidR="000920F0" w:rsidRPr="00DC759C" w:rsidRDefault="000920F0" w:rsidP="000920F0">
      <w:pPr>
        <w:spacing w:line="276" w:lineRule="auto"/>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C759C" w:rsidRPr="00DC759C" w14:paraId="16CF89C4" w14:textId="77777777" w:rsidTr="00FC16B2">
        <w:tc>
          <w:tcPr>
            <w:tcW w:w="2689" w:type="dxa"/>
            <w:hideMark/>
          </w:tcPr>
          <w:p w14:paraId="7BBF5828" w14:textId="77777777" w:rsidR="000920F0" w:rsidRPr="00DC759C" w:rsidRDefault="000920F0" w:rsidP="00FC16B2">
            <w:pPr>
              <w:spacing w:line="276" w:lineRule="auto"/>
              <w:rPr>
                <w:rFonts w:ascii="Arial" w:eastAsia="Calibri" w:hAnsi="Arial" w:cs="Arial"/>
                <w:sz w:val="22"/>
                <w:lang w:val="es-ES_tradnl"/>
              </w:rPr>
            </w:pPr>
            <w:r w:rsidRPr="00DC759C">
              <w:rPr>
                <w:rFonts w:ascii="Arial" w:eastAsia="Calibri" w:hAnsi="Arial" w:cs="Arial"/>
                <w:b/>
                <w:sz w:val="22"/>
                <w:lang w:val="es-ES_tradnl"/>
              </w:rPr>
              <w:t>Temas:</w:t>
            </w:r>
            <w:r w:rsidRPr="00DC759C">
              <w:rPr>
                <w:rFonts w:ascii="Arial" w:eastAsia="Calibri" w:hAnsi="Arial" w:cs="Arial"/>
                <w:sz w:val="22"/>
                <w:lang w:val="es-ES_tradnl"/>
              </w:rPr>
              <w:t xml:space="preserve">           </w:t>
            </w:r>
          </w:p>
          <w:p w14:paraId="76A5E400" w14:textId="77777777" w:rsidR="000920F0" w:rsidRPr="00DC759C" w:rsidRDefault="000920F0" w:rsidP="00FC16B2">
            <w:pPr>
              <w:spacing w:line="276" w:lineRule="auto"/>
              <w:rPr>
                <w:rFonts w:ascii="Arial" w:eastAsia="Calibri" w:hAnsi="Arial" w:cs="Arial"/>
                <w:sz w:val="22"/>
                <w:lang w:val="es-ES_tradnl"/>
              </w:rPr>
            </w:pPr>
            <w:r w:rsidRPr="00DC759C">
              <w:rPr>
                <w:rFonts w:ascii="Arial" w:eastAsia="Calibri" w:hAnsi="Arial" w:cs="Arial"/>
                <w:sz w:val="22"/>
                <w:lang w:val="es-ES_tradnl"/>
              </w:rPr>
              <w:t xml:space="preserve">                           </w:t>
            </w:r>
          </w:p>
        </w:tc>
        <w:tc>
          <w:tcPr>
            <w:tcW w:w="6237" w:type="dxa"/>
            <w:hideMark/>
          </w:tcPr>
          <w:p w14:paraId="5528BC60" w14:textId="137E13F9" w:rsidR="000920F0" w:rsidRPr="00DC759C" w:rsidRDefault="00A71B85" w:rsidP="00A71B85">
            <w:pPr>
              <w:spacing w:line="276" w:lineRule="auto"/>
              <w:jc w:val="both"/>
              <w:rPr>
                <w:rFonts w:ascii="Arial" w:eastAsia="Calibri" w:hAnsi="Arial" w:cs="Arial"/>
                <w:sz w:val="22"/>
              </w:rPr>
            </w:pPr>
            <w:r w:rsidRPr="00A71B85">
              <w:rPr>
                <w:rFonts w:ascii="Arial" w:eastAsia="Calibri" w:hAnsi="Arial" w:cs="Arial"/>
                <w:sz w:val="22"/>
                <w:lang w:val="es-ES_tradnl"/>
              </w:rPr>
              <w:t>CONCEPTOS DE COLOMBIA COMPRA EFICIENTE – No son vinculantes ni obligatorios</w:t>
            </w:r>
            <w:r>
              <w:rPr>
                <w:rFonts w:ascii="Arial" w:eastAsia="Calibri" w:hAnsi="Arial" w:cs="Arial"/>
                <w:sz w:val="22"/>
                <w:lang w:val="es-ES_tradnl"/>
              </w:rPr>
              <w:t xml:space="preserve"> / </w:t>
            </w:r>
            <w:r w:rsidRPr="00A71B85">
              <w:rPr>
                <w:rFonts w:ascii="Arial" w:eastAsia="Calibri" w:hAnsi="Arial" w:cs="Arial"/>
                <w:sz w:val="22"/>
                <w:lang w:val="es-ES_tradnl"/>
              </w:rPr>
              <w:t xml:space="preserve">FUNCIÓN CONSULTIVA </w:t>
            </w:r>
            <w:r>
              <w:rPr>
                <w:rFonts w:ascii="Arial" w:eastAsia="Calibri" w:hAnsi="Arial" w:cs="Arial"/>
                <w:sz w:val="22"/>
                <w:lang w:val="es-ES_tradnl"/>
              </w:rPr>
              <w:t>–</w:t>
            </w:r>
            <w:r w:rsidRPr="00A71B85">
              <w:rPr>
                <w:rFonts w:ascii="Arial" w:eastAsia="Calibri" w:hAnsi="Arial" w:cs="Arial"/>
                <w:sz w:val="22"/>
                <w:lang w:val="es-ES_tradnl"/>
              </w:rPr>
              <w:t xml:space="preserve"> Alcance</w:t>
            </w:r>
            <w:r>
              <w:rPr>
                <w:rFonts w:ascii="Arial" w:eastAsia="Calibri" w:hAnsi="Arial" w:cs="Arial"/>
                <w:sz w:val="22"/>
                <w:lang w:val="es-ES_tradnl"/>
              </w:rPr>
              <w:t xml:space="preserve"> / </w:t>
            </w:r>
            <w:r w:rsidRPr="00A71B85">
              <w:rPr>
                <w:rFonts w:ascii="Arial" w:eastAsia="Calibri" w:hAnsi="Arial" w:cs="Arial"/>
                <w:sz w:val="22"/>
                <w:lang w:val="es-ES_tradnl"/>
              </w:rPr>
              <w:t>CONCEPTOS DE COLOMBIA COMPRA EFICIENTE – No son susceptibles de recursos</w:t>
            </w:r>
          </w:p>
        </w:tc>
      </w:tr>
      <w:tr w:rsidR="00771868" w:rsidRPr="00DC759C" w14:paraId="5C0B4203" w14:textId="77777777" w:rsidTr="000460C0">
        <w:trPr>
          <w:trHeight w:val="303"/>
        </w:trPr>
        <w:tc>
          <w:tcPr>
            <w:tcW w:w="2689" w:type="dxa"/>
          </w:tcPr>
          <w:p w14:paraId="32E4E458" w14:textId="77777777" w:rsidR="000920F0" w:rsidRPr="00DC759C" w:rsidRDefault="000920F0" w:rsidP="0062279A">
            <w:pPr>
              <w:spacing w:before="60" w:after="60" w:line="276" w:lineRule="auto"/>
              <w:rPr>
                <w:rFonts w:ascii="Arial" w:eastAsia="Calibri" w:hAnsi="Arial" w:cs="Arial"/>
                <w:b/>
                <w:sz w:val="22"/>
                <w:lang w:val="es-ES_tradnl"/>
              </w:rPr>
            </w:pPr>
            <w:r w:rsidRPr="00DC759C">
              <w:rPr>
                <w:rFonts w:ascii="Arial" w:eastAsia="Calibri" w:hAnsi="Arial" w:cs="Arial"/>
                <w:b/>
                <w:sz w:val="22"/>
                <w:lang w:val="es-ES_tradnl"/>
              </w:rPr>
              <w:t>Radicación:</w:t>
            </w:r>
            <w:r w:rsidRPr="00DC759C">
              <w:rPr>
                <w:rFonts w:ascii="Arial" w:eastAsia="Calibri" w:hAnsi="Arial" w:cs="Arial"/>
                <w:sz w:val="22"/>
                <w:lang w:val="es-ES_tradnl"/>
              </w:rPr>
              <w:t xml:space="preserve">                              </w:t>
            </w:r>
          </w:p>
        </w:tc>
        <w:tc>
          <w:tcPr>
            <w:tcW w:w="6237" w:type="dxa"/>
          </w:tcPr>
          <w:p w14:paraId="1218CA08" w14:textId="7060594F" w:rsidR="000920F0" w:rsidRPr="00DC759C" w:rsidRDefault="000920F0" w:rsidP="0062279A">
            <w:pPr>
              <w:spacing w:before="60" w:after="60" w:line="276" w:lineRule="auto"/>
              <w:jc w:val="both"/>
              <w:rPr>
                <w:rFonts w:ascii="Arial" w:eastAsia="Calibri" w:hAnsi="Arial" w:cs="Arial"/>
                <w:sz w:val="22"/>
                <w:lang w:val="es-ES_tradnl"/>
              </w:rPr>
            </w:pPr>
            <w:r w:rsidRPr="00DC759C">
              <w:rPr>
                <w:rFonts w:ascii="Arial" w:eastAsia="Calibri" w:hAnsi="Arial" w:cs="Arial"/>
                <w:sz w:val="22"/>
                <w:lang w:val="es-ES_tradnl"/>
              </w:rPr>
              <w:t xml:space="preserve">Respuesta a </w:t>
            </w:r>
            <w:r w:rsidR="00B335CC" w:rsidRPr="00DC759C">
              <w:rPr>
                <w:rFonts w:ascii="Arial" w:eastAsia="Calibri" w:hAnsi="Arial" w:cs="Arial"/>
                <w:sz w:val="22"/>
                <w:lang w:val="es-ES_tradnl"/>
              </w:rPr>
              <w:t xml:space="preserve">las </w:t>
            </w:r>
            <w:r w:rsidRPr="00DC759C">
              <w:rPr>
                <w:rFonts w:ascii="Arial" w:eastAsia="Calibri" w:hAnsi="Arial" w:cs="Arial"/>
                <w:sz w:val="22"/>
                <w:lang w:val="es-ES_tradnl"/>
              </w:rPr>
              <w:t>consulta</w:t>
            </w:r>
            <w:r w:rsidR="00B335CC" w:rsidRPr="00DC759C">
              <w:rPr>
                <w:rFonts w:ascii="Arial" w:eastAsia="Calibri" w:hAnsi="Arial" w:cs="Arial"/>
                <w:sz w:val="22"/>
                <w:lang w:val="es-ES_tradnl"/>
              </w:rPr>
              <w:t>s</w:t>
            </w:r>
            <w:r w:rsidRPr="00DC759C">
              <w:rPr>
                <w:rFonts w:ascii="Arial" w:eastAsia="Calibri" w:hAnsi="Arial" w:cs="Arial"/>
                <w:sz w:val="22"/>
                <w:lang w:val="es-ES_tradnl"/>
              </w:rPr>
              <w:t xml:space="preserve"> </w:t>
            </w:r>
            <w:r w:rsidR="00D60C9D" w:rsidRPr="00DC759C">
              <w:rPr>
                <w:rFonts w:ascii="Arial" w:hAnsi="Arial" w:cs="Arial"/>
                <w:sz w:val="22"/>
                <w:lang w:val="es-ES_tradnl"/>
              </w:rPr>
              <w:t>420201</w:t>
            </w:r>
            <w:r w:rsidR="00B335CC" w:rsidRPr="00DC759C">
              <w:rPr>
                <w:rFonts w:ascii="Arial" w:hAnsi="Arial" w:cs="Arial"/>
                <w:sz w:val="22"/>
                <w:lang w:val="es-ES_tradnl"/>
              </w:rPr>
              <w:t>3</w:t>
            </w:r>
            <w:r w:rsidR="00D60C9D" w:rsidRPr="00DC759C">
              <w:rPr>
                <w:rFonts w:ascii="Arial" w:hAnsi="Arial" w:cs="Arial"/>
                <w:sz w:val="22"/>
                <w:lang w:val="es-ES_tradnl"/>
              </w:rPr>
              <w:t>00000</w:t>
            </w:r>
            <w:r w:rsidR="00B335CC" w:rsidRPr="00DC759C">
              <w:rPr>
                <w:rFonts w:ascii="Arial" w:hAnsi="Arial" w:cs="Arial"/>
                <w:sz w:val="22"/>
                <w:lang w:val="es-ES_tradnl"/>
              </w:rPr>
              <w:t>3082 y 4202013000003091</w:t>
            </w:r>
            <w:r w:rsidR="00915A80" w:rsidRPr="00DC759C">
              <w:rPr>
                <w:rFonts w:ascii="Arial" w:hAnsi="Arial" w:cs="Arial"/>
                <w:sz w:val="22"/>
                <w:lang w:val="es-ES_tradnl"/>
              </w:rPr>
              <w:t xml:space="preserve"> </w:t>
            </w:r>
          </w:p>
        </w:tc>
      </w:tr>
    </w:tbl>
    <w:p w14:paraId="1B619448" w14:textId="33E07B84" w:rsidR="000920F0" w:rsidRPr="00DC759C" w:rsidRDefault="000920F0" w:rsidP="000920F0">
      <w:pPr>
        <w:spacing w:line="276" w:lineRule="auto"/>
        <w:rPr>
          <w:rFonts w:ascii="Arial" w:eastAsia="Calibri" w:hAnsi="Arial" w:cs="Arial"/>
          <w:sz w:val="22"/>
          <w:lang w:val="es-ES_tradnl"/>
        </w:rPr>
      </w:pPr>
      <w:r w:rsidRPr="00DC759C">
        <w:rPr>
          <w:rFonts w:ascii="Arial" w:eastAsia="Calibri" w:hAnsi="Arial" w:cs="Arial"/>
          <w:sz w:val="22"/>
          <w:lang w:val="es-ES_tradnl"/>
        </w:rPr>
        <w:t>Estimado</w:t>
      </w:r>
      <w:r w:rsidR="004233F3" w:rsidRPr="00DC759C">
        <w:rPr>
          <w:rFonts w:ascii="Arial" w:eastAsia="Calibri" w:hAnsi="Arial" w:cs="Arial"/>
          <w:sz w:val="22"/>
          <w:lang w:val="es-ES_tradnl"/>
        </w:rPr>
        <w:t>s</w:t>
      </w:r>
      <w:r w:rsidRPr="00DC759C">
        <w:rPr>
          <w:rFonts w:ascii="Arial" w:eastAsia="Calibri" w:hAnsi="Arial" w:cs="Arial"/>
          <w:sz w:val="22"/>
          <w:lang w:val="es-ES_tradnl"/>
        </w:rPr>
        <w:t xml:space="preserve"> </w:t>
      </w:r>
      <w:r w:rsidR="004233F3" w:rsidRPr="00DC759C">
        <w:rPr>
          <w:rFonts w:ascii="Arial" w:eastAsia="Calibri" w:hAnsi="Arial" w:cs="Arial"/>
          <w:sz w:val="22"/>
          <w:lang w:val="es-ES_tradnl"/>
        </w:rPr>
        <w:t>ciudadanos</w:t>
      </w:r>
      <w:r w:rsidRPr="00DC759C">
        <w:rPr>
          <w:rFonts w:ascii="Arial" w:eastAsia="Calibri" w:hAnsi="Arial" w:cs="Arial"/>
          <w:sz w:val="22"/>
          <w:lang w:val="es-ES_tradnl"/>
        </w:rPr>
        <w:t>,</w:t>
      </w:r>
    </w:p>
    <w:p w14:paraId="09825258" w14:textId="77777777" w:rsidR="000920F0" w:rsidRPr="00DC759C" w:rsidRDefault="000920F0" w:rsidP="000920F0">
      <w:pPr>
        <w:spacing w:line="276" w:lineRule="auto"/>
        <w:rPr>
          <w:rFonts w:ascii="Arial" w:eastAsia="Calibri" w:hAnsi="Arial" w:cs="Arial"/>
          <w:sz w:val="22"/>
          <w:lang w:val="es-ES_tradnl"/>
        </w:rPr>
      </w:pPr>
    </w:p>
    <w:p w14:paraId="679DB8AF" w14:textId="07B70495" w:rsidR="000920F0" w:rsidRPr="00DC759C" w:rsidRDefault="00541157" w:rsidP="000920F0">
      <w:pPr>
        <w:tabs>
          <w:tab w:val="left" w:pos="426"/>
        </w:tabs>
        <w:spacing w:line="276" w:lineRule="auto"/>
        <w:jc w:val="both"/>
        <w:rPr>
          <w:rFonts w:ascii="Arial" w:eastAsia="Calibri" w:hAnsi="Arial" w:cs="Arial"/>
          <w:sz w:val="22"/>
          <w:lang w:val="es-ES_tradnl"/>
        </w:rPr>
      </w:pPr>
      <w:r w:rsidRPr="00DC759C">
        <w:rPr>
          <w:rFonts w:ascii="Arial" w:eastAsia="Calibri" w:hAnsi="Arial" w:cs="Arial"/>
          <w:sz w:val="22"/>
          <w:lang w:val="es-ES_tradnl"/>
        </w:rPr>
        <w:lastRenderedPageBreak/>
        <w:t>En ejercicio de la competencia otorgada por el numeral 8 del artículo 11 y el numeral 5 del artículo 3 del Decreto Ley 4170 de 2011, la</w:t>
      </w:r>
      <w:r w:rsidR="000920F0" w:rsidRPr="00DC759C">
        <w:rPr>
          <w:rFonts w:ascii="Arial" w:eastAsia="Calibri" w:hAnsi="Arial" w:cs="Arial"/>
          <w:sz w:val="22"/>
          <w:lang w:val="es-ES_tradnl"/>
        </w:rPr>
        <w:t xml:space="preserve"> Agencia Nacional de Contratación Pública </w:t>
      </w:r>
      <w:r w:rsidR="00771676" w:rsidRPr="00DC759C">
        <w:rPr>
          <w:rFonts w:ascii="Arial" w:eastAsia="Calibri" w:hAnsi="Arial" w:cs="Arial"/>
          <w:sz w:val="22"/>
          <w:lang w:val="es-ES_tradnl"/>
        </w:rPr>
        <w:t>−</w:t>
      </w:r>
      <w:r w:rsidR="000920F0" w:rsidRPr="00DC759C">
        <w:rPr>
          <w:rFonts w:ascii="Arial" w:eastAsia="Calibri" w:hAnsi="Arial" w:cs="Arial"/>
          <w:sz w:val="22"/>
          <w:lang w:val="es-ES_tradnl"/>
        </w:rPr>
        <w:t xml:space="preserve"> Colombia Compra Eficiente responde su</w:t>
      </w:r>
      <w:r w:rsidR="0063748C" w:rsidRPr="00DC759C">
        <w:rPr>
          <w:rFonts w:ascii="Arial" w:eastAsia="Calibri" w:hAnsi="Arial" w:cs="Arial"/>
          <w:sz w:val="22"/>
          <w:lang w:val="es-ES_tradnl"/>
        </w:rPr>
        <w:t>s</w:t>
      </w:r>
      <w:r w:rsidR="000920F0" w:rsidRPr="00DC759C">
        <w:rPr>
          <w:rFonts w:ascii="Arial" w:eastAsia="Calibri" w:hAnsi="Arial" w:cs="Arial"/>
          <w:sz w:val="22"/>
          <w:lang w:val="es-ES_tradnl"/>
        </w:rPr>
        <w:t xml:space="preserve"> consulta</w:t>
      </w:r>
      <w:r w:rsidR="0063748C" w:rsidRPr="00DC759C">
        <w:rPr>
          <w:rFonts w:ascii="Arial" w:eastAsia="Calibri" w:hAnsi="Arial" w:cs="Arial"/>
          <w:sz w:val="22"/>
          <w:lang w:val="es-ES_tradnl"/>
        </w:rPr>
        <w:t>s</w:t>
      </w:r>
      <w:r w:rsidR="000920F0" w:rsidRPr="00DC759C">
        <w:rPr>
          <w:rFonts w:ascii="Arial" w:eastAsia="Calibri" w:hAnsi="Arial" w:cs="Arial"/>
          <w:sz w:val="22"/>
          <w:lang w:val="es-ES_tradnl"/>
        </w:rPr>
        <w:t xml:space="preserve"> del </w:t>
      </w:r>
      <w:r w:rsidR="005003FA" w:rsidRPr="00DC759C">
        <w:rPr>
          <w:rFonts w:ascii="Arial" w:eastAsia="Calibri" w:hAnsi="Arial" w:cs="Arial"/>
          <w:sz w:val="22"/>
          <w:lang w:val="es-ES_tradnl"/>
        </w:rPr>
        <w:t>2</w:t>
      </w:r>
      <w:r w:rsidR="00186A8A" w:rsidRPr="00DC759C">
        <w:rPr>
          <w:rFonts w:ascii="Arial" w:eastAsia="Calibri" w:hAnsi="Arial" w:cs="Arial"/>
          <w:sz w:val="22"/>
          <w:lang w:val="es-ES_tradnl"/>
        </w:rPr>
        <w:t xml:space="preserve">7 </w:t>
      </w:r>
      <w:r w:rsidR="0063748C" w:rsidRPr="00DC759C">
        <w:rPr>
          <w:rFonts w:ascii="Arial" w:eastAsia="Calibri" w:hAnsi="Arial" w:cs="Arial"/>
          <w:sz w:val="22"/>
          <w:lang w:val="es-ES_tradnl"/>
        </w:rPr>
        <w:t>de abril</w:t>
      </w:r>
      <w:r w:rsidR="000920F0" w:rsidRPr="00DC759C">
        <w:rPr>
          <w:rFonts w:ascii="Arial" w:eastAsia="Calibri" w:hAnsi="Arial" w:cs="Arial"/>
          <w:sz w:val="22"/>
          <w:lang w:val="es-ES_tradnl"/>
        </w:rPr>
        <w:t xml:space="preserve"> de</w:t>
      </w:r>
      <w:r w:rsidR="00186A8A" w:rsidRPr="00DC759C">
        <w:rPr>
          <w:rFonts w:ascii="Arial" w:eastAsia="Calibri" w:hAnsi="Arial" w:cs="Arial"/>
          <w:sz w:val="22"/>
          <w:lang w:val="es-ES_tradnl"/>
        </w:rPr>
        <w:t>l año</w:t>
      </w:r>
      <w:r w:rsidR="000920F0" w:rsidRPr="00DC759C">
        <w:rPr>
          <w:rFonts w:ascii="Arial" w:eastAsia="Calibri" w:hAnsi="Arial" w:cs="Arial"/>
          <w:sz w:val="22"/>
          <w:lang w:val="es-ES_tradnl"/>
        </w:rPr>
        <w:t xml:space="preserve"> 2020</w:t>
      </w:r>
      <w:r w:rsidR="00207E01" w:rsidRPr="00DC759C">
        <w:rPr>
          <w:rFonts w:ascii="Arial" w:eastAsia="Calibri" w:hAnsi="Arial" w:cs="Arial"/>
          <w:sz w:val="22"/>
          <w:lang w:val="es-ES_tradnl"/>
        </w:rPr>
        <w:t>.</w:t>
      </w:r>
      <w:r w:rsidR="000920F0" w:rsidRPr="00DC759C">
        <w:rPr>
          <w:rFonts w:ascii="Arial" w:eastAsia="Calibri" w:hAnsi="Arial" w:cs="Arial"/>
          <w:sz w:val="22"/>
          <w:lang w:val="es-ES_tradnl"/>
        </w:rPr>
        <w:t xml:space="preserve"> </w:t>
      </w:r>
    </w:p>
    <w:p w14:paraId="28C2ECB0" w14:textId="641467CC" w:rsidR="000920F0" w:rsidRPr="00DC759C" w:rsidRDefault="0035058C" w:rsidP="000920F0">
      <w:pPr>
        <w:tabs>
          <w:tab w:val="left" w:pos="426"/>
        </w:tabs>
        <w:spacing w:line="276" w:lineRule="auto"/>
        <w:jc w:val="both"/>
        <w:rPr>
          <w:rFonts w:ascii="Arial" w:eastAsia="Calibri" w:hAnsi="Arial" w:cs="Arial"/>
          <w:sz w:val="22"/>
          <w:lang w:val="es-ES_tradnl"/>
        </w:rPr>
      </w:pPr>
      <w:r w:rsidRPr="00DC759C">
        <w:rPr>
          <w:rFonts w:ascii="Arial" w:eastAsia="Calibri" w:hAnsi="Arial" w:cs="Arial"/>
          <w:sz w:val="22"/>
          <w:lang w:val="es-ES_tradnl"/>
        </w:rPr>
        <w:t xml:space="preserve"> </w:t>
      </w:r>
    </w:p>
    <w:p w14:paraId="58FEF0FB" w14:textId="77777777" w:rsidR="000920F0" w:rsidRPr="00DC759C" w:rsidRDefault="000920F0" w:rsidP="000920F0">
      <w:pPr>
        <w:pStyle w:val="Prrafodelista"/>
        <w:numPr>
          <w:ilvl w:val="0"/>
          <w:numId w:val="6"/>
        </w:numPr>
        <w:tabs>
          <w:tab w:val="left" w:pos="284"/>
        </w:tabs>
        <w:spacing w:line="276" w:lineRule="auto"/>
        <w:ind w:left="0" w:firstLine="0"/>
        <w:jc w:val="both"/>
        <w:rPr>
          <w:rFonts w:ascii="Arial" w:eastAsia="Calibri" w:hAnsi="Arial" w:cs="Arial"/>
          <w:b/>
          <w:sz w:val="22"/>
          <w:lang w:val="es-ES_tradnl"/>
        </w:rPr>
      </w:pPr>
      <w:r w:rsidRPr="00DC759C">
        <w:rPr>
          <w:rFonts w:ascii="Arial" w:eastAsia="Calibri" w:hAnsi="Arial" w:cs="Arial"/>
          <w:b/>
          <w:sz w:val="22"/>
          <w:lang w:val="es-ES_tradnl"/>
        </w:rPr>
        <w:t xml:space="preserve">Problemas planteados </w:t>
      </w:r>
    </w:p>
    <w:p w14:paraId="476FAD3E" w14:textId="77777777" w:rsidR="000920F0" w:rsidRPr="00DC759C" w:rsidRDefault="000920F0" w:rsidP="000920F0">
      <w:pPr>
        <w:tabs>
          <w:tab w:val="left" w:pos="426"/>
        </w:tabs>
        <w:spacing w:line="276" w:lineRule="auto"/>
        <w:jc w:val="both"/>
        <w:rPr>
          <w:rFonts w:ascii="Arial" w:eastAsia="Calibri" w:hAnsi="Arial" w:cs="Arial"/>
          <w:b/>
          <w:sz w:val="22"/>
          <w:lang w:val="es-ES_tradnl"/>
        </w:rPr>
      </w:pPr>
    </w:p>
    <w:p w14:paraId="5A01E3F9" w14:textId="2BBF8B52" w:rsidR="00EE4811" w:rsidRDefault="000920F0" w:rsidP="00EE4811">
      <w:pPr>
        <w:tabs>
          <w:tab w:val="left" w:pos="426"/>
        </w:tabs>
        <w:spacing w:line="276" w:lineRule="auto"/>
        <w:jc w:val="both"/>
        <w:rPr>
          <w:rFonts w:ascii="Arial" w:eastAsia="Calibri" w:hAnsi="Arial" w:cs="Arial"/>
          <w:sz w:val="22"/>
          <w:lang w:val="es-ES_tradnl"/>
        </w:rPr>
      </w:pPr>
      <w:r w:rsidRPr="00DC759C">
        <w:rPr>
          <w:rFonts w:ascii="Arial" w:eastAsia="Calibri" w:hAnsi="Arial" w:cs="Arial"/>
          <w:sz w:val="22"/>
          <w:lang w:val="es-ES_tradnl"/>
        </w:rPr>
        <w:t>Usted</w:t>
      </w:r>
      <w:r w:rsidR="00302B3B">
        <w:rPr>
          <w:rFonts w:ascii="Arial" w:eastAsia="Calibri" w:hAnsi="Arial" w:cs="Arial"/>
          <w:sz w:val="22"/>
          <w:lang w:val="es-ES_tradnl"/>
        </w:rPr>
        <w:t>es</w:t>
      </w:r>
      <w:r w:rsidRPr="00DC759C">
        <w:rPr>
          <w:rFonts w:ascii="Arial" w:eastAsia="Calibri" w:hAnsi="Arial" w:cs="Arial"/>
          <w:sz w:val="22"/>
          <w:lang w:val="es-ES_tradnl"/>
        </w:rPr>
        <w:t xml:space="preserve"> </w:t>
      </w:r>
      <w:r w:rsidR="0063748C" w:rsidRPr="00DC759C">
        <w:rPr>
          <w:rFonts w:ascii="Arial" w:eastAsia="Calibri" w:hAnsi="Arial" w:cs="Arial"/>
          <w:sz w:val="22"/>
          <w:lang w:val="es-ES_tradnl"/>
        </w:rPr>
        <w:t>solicita</w:t>
      </w:r>
      <w:r w:rsidR="00302B3B">
        <w:rPr>
          <w:rFonts w:ascii="Arial" w:eastAsia="Calibri" w:hAnsi="Arial" w:cs="Arial"/>
          <w:sz w:val="22"/>
          <w:lang w:val="es-ES_tradnl"/>
        </w:rPr>
        <w:t>n</w:t>
      </w:r>
      <w:r w:rsidR="0063748C" w:rsidRPr="00DC759C">
        <w:rPr>
          <w:rFonts w:ascii="Arial" w:eastAsia="Calibri" w:hAnsi="Arial" w:cs="Arial"/>
          <w:sz w:val="22"/>
          <w:lang w:val="es-ES_tradnl"/>
        </w:rPr>
        <w:t xml:space="preserve"> «dejar sin efectos o modificar los conceptos 4201912000005915 del 29 de agosto de 2019, radicado 2202013000002648 y C-212 […] del 14 de abril de 2020 […]». En su criterio, es necesario que esta entidad aclare que el artículo 12 de la Ley 84</w:t>
      </w:r>
      <w:r w:rsidR="00302B3B">
        <w:rPr>
          <w:rFonts w:ascii="Arial" w:eastAsia="Calibri" w:hAnsi="Arial" w:cs="Arial"/>
          <w:sz w:val="22"/>
          <w:lang w:val="es-ES_tradnl"/>
        </w:rPr>
        <w:t xml:space="preserve">2 </w:t>
      </w:r>
      <w:r w:rsidR="0063748C" w:rsidRPr="00DC759C">
        <w:rPr>
          <w:rFonts w:ascii="Arial" w:eastAsia="Calibri" w:hAnsi="Arial" w:cs="Arial"/>
          <w:sz w:val="22"/>
          <w:lang w:val="es-ES_tradnl"/>
        </w:rPr>
        <w:t>de 2003</w:t>
      </w:r>
      <w:r w:rsidR="00817210">
        <w:rPr>
          <w:rFonts w:ascii="Arial" w:eastAsia="Calibri" w:hAnsi="Arial" w:cs="Arial"/>
          <w:sz w:val="22"/>
          <w:lang w:val="es-ES_tradnl"/>
        </w:rPr>
        <w:t xml:space="preserve"> está</w:t>
      </w:r>
      <w:r w:rsidR="0063748C" w:rsidRPr="00DC759C">
        <w:rPr>
          <w:rFonts w:ascii="Arial" w:eastAsia="Calibri" w:hAnsi="Arial" w:cs="Arial"/>
          <w:sz w:val="22"/>
          <w:lang w:val="es-ES_tradnl"/>
        </w:rPr>
        <w:t xml:space="preserve"> vigente; en otras palabras, que no fue derogado tácitamente por el artículo 229 del Decreto Ley 19 de 2012, como se expuso en los conceptos antes citados. En términos generales, nos pide tener en cuenta: i) la naturaleza y funciones legales del Consejo Profesional Nacional de Ingeniería</w:t>
      </w:r>
      <w:r w:rsidR="00302B3B">
        <w:rPr>
          <w:rFonts w:ascii="Arial" w:eastAsia="Calibri" w:hAnsi="Arial" w:cs="Arial"/>
          <w:sz w:val="22"/>
          <w:lang w:val="es-ES_tradnl"/>
        </w:rPr>
        <w:t xml:space="preserve"> </w:t>
      </w:r>
      <w:r w:rsidR="00817210">
        <w:rPr>
          <w:rFonts w:ascii="Arial" w:eastAsia="Calibri" w:hAnsi="Arial" w:cs="Arial"/>
          <w:sz w:val="22"/>
          <w:lang w:val="es-ES_tradnl"/>
        </w:rPr>
        <w:t>–</w:t>
      </w:r>
      <w:r w:rsidR="00302B3B">
        <w:rPr>
          <w:rFonts w:ascii="Arial" w:eastAsia="Calibri" w:hAnsi="Arial" w:cs="Arial"/>
          <w:sz w:val="22"/>
          <w:lang w:val="es-ES_tradnl"/>
        </w:rPr>
        <w:t>en adelante</w:t>
      </w:r>
      <w:r w:rsidR="00817210">
        <w:rPr>
          <w:rFonts w:ascii="Arial" w:eastAsia="Calibri" w:hAnsi="Arial" w:cs="Arial"/>
          <w:sz w:val="22"/>
          <w:lang w:val="es-ES_tradnl"/>
        </w:rPr>
        <w:t>,</w:t>
      </w:r>
      <w:r w:rsidR="00302B3B">
        <w:rPr>
          <w:rFonts w:ascii="Arial" w:eastAsia="Calibri" w:hAnsi="Arial" w:cs="Arial"/>
          <w:sz w:val="22"/>
          <w:lang w:val="es-ES_tradnl"/>
        </w:rPr>
        <w:t xml:space="preserve"> COPNIA</w:t>
      </w:r>
      <w:r w:rsidR="00817210">
        <w:rPr>
          <w:rFonts w:ascii="Arial" w:eastAsia="Calibri" w:hAnsi="Arial" w:cs="Arial"/>
          <w:sz w:val="22"/>
          <w:lang w:val="es-ES_tradnl"/>
        </w:rPr>
        <w:t>–</w:t>
      </w:r>
      <w:r w:rsidR="0063748C" w:rsidRPr="00DC759C">
        <w:rPr>
          <w:rFonts w:ascii="Arial" w:eastAsia="Calibri" w:hAnsi="Arial" w:cs="Arial"/>
          <w:sz w:val="22"/>
          <w:lang w:val="es-ES_tradnl"/>
        </w:rPr>
        <w:t xml:space="preserve">; </w:t>
      </w:r>
      <w:proofErr w:type="spellStart"/>
      <w:r w:rsidR="0063748C" w:rsidRPr="00DC759C">
        <w:rPr>
          <w:rFonts w:ascii="Arial" w:eastAsia="Calibri" w:hAnsi="Arial" w:cs="Arial"/>
          <w:sz w:val="22"/>
          <w:lang w:val="es-ES_tradnl"/>
        </w:rPr>
        <w:t>ii</w:t>
      </w:r>
      <w:proofErr w:type="spellEnd"/>
      <w:r w:rsidR="0063748C" w:rsidRPr="00DC759C">
        <w:rPr>
          <w:rFonts w:ascii="Arial" w:eastAsia="Calibri" w:hAnsi="Arial" w:cs="Arial"/>
          <w:sz w:val="22"/>
          <w:lang w:val="es-ES_tradnl"/>
        </w:rPr>
        <w:t>) que el referido artículo 229 aplica para los temas relacionados con la «función pública y acceso al trabajo», no en la contratación estatal</w:t>
      </w:r>
      <w:r w:rsidR="000716D5" w:rsidRPr="00DC759C">
        <w:rPr>
          <w:rFonts w:ascii="Arial" w:eastAsia="Calibri" w:hAnsi="Arial" w:cs="Arial"/>
          <w:sz w:val="22"/>
          <w:lang w:val="es-ES_tradnl"/>
        </w:rPr>
        <w:t xml:space="preserve">; </w:t>
      </w:r>
      <w:proofErr w:type="spellStart"/>
      <w:r w:rsidR="000716D5" w:rsidRPr="00DC759C">
        <w:rPr>
          <w:rFonts w:ascii="Arial" w:eastAsia="Calibri" w:hAnsi="Arial" w:cs="Arial"/>
          <w:sz w:val="22"/>
          <w:lang w:val="es-ES_tradnl"/>
        </w:rPr>
        <w:t>iii</w:t>
      </w:r>
      <w:proofErr w:type="spellEnd"/>
      <w:r w:rsidR="000716D5" w:rsidRPr="00DC759C">
        <w:rPr>
          <w:rFonts w:ascii="Arial" w:eastAsia="Calibri" w:hAnsi="Arial" w:cs="Arial"/>
          <w:sz w:val="22"/>
          <w:lang w:val="es-ES_tradnl"/>
        </w:rPr>
        <w:t>) que la Corte Constitucional, mediante la sentencia C-296 de 2012</w:t>
      </w:r>
      <w:r w:rsidR="00E84A42">
        <w:rPr>
          <w:rStyle w:val="Refdenotaalpie"/>
          <w:rFonts w:ascii="Arial" w:eastAsia="Calibri" w:hAnsi="Arial" w:cs="Arial"/>
          <w:sz w:val="22"/>
          <w:lang w:val="es-ES_tradnl"/>
        </w:rPr>
        <w:footnoteReference w:id="2"/>
      </w:r>
      <w:r w:rsidR="000716D5" w:rsidRPr="00DC759C">
        <w:rPr>
          <w:rFonts w:ascii="Arial" w:eastAsia="Calibri" w:hAnsi="Arial" w:cs="Arial"/>
          <w:sz w:val="22"/>
          <w:lang w:val="es-ES_tradnl"/>
        </w:rPr>
        <w:t>, «estableció que [el] artículo [12 de la Ley 842 de 2003] no solo es exequible, sino que no ha sido derogado ni expresa ni tácitamente por ninguna norma»</w:t>
      </w:r>
      <w:r w:rsidR="000E57AA">
        <w:rPr>
          <w:rStyle w:val="Refdenotaalpie"/>
          <w:rFonts w:ascii="Arial" w:eastAsia="Calibri" w:hAnsi="Arial" w:cs="Arial"/>
          <w:sz w:val="22"/>
          <w:lang w:val="es-ES_tradnl"/>
        </w:rPr>
        <w:footnoteReference w:id="3"/>
      </w:r>
      <w:r w:rsidR="00C82CD8" w:rsidRPr="00DC759C">
        <w:rPr>
          <w:rFonts w:ascii="Arial" w:eastAsia="Calibri" w:hAnsi="Arial" w:cs="Arial"/>
          <w:sz w:val="22"/>
          <w:lang w:val="es-ES_tradnl"/>
        </w:rPr>
        <w:t xml:space="preserve">; </w:t>
      </w:r>
      <w:proofErr w:type="spellStart"/>
      <w:r w:rsidR="00C82CD8" w:rsidRPr="00DC759C">
        <w:rPr>
          <w:rFonts w:ascii="Arial" w:eastAsia="Calibri" w:hAnsi="Arial" w:cs="Arial"/>
          <w:sz w:val="22"/>
          <w:lang w:val="es-ES_tradnl"/>
        </w:rPr>
        <w:t>iv</w:t>
      </w:r>
      <w:proofErr w:type="spellEnd"/>
      <w:r w:rsidR="00C82CD8" w:rsidRPr="00DC759C">
        <w:rPr>
          <w:rFonts w:ascii="Arial" w:eastAsia="Calibri" w:hAnsi="Arial" w:cs="Arial"/>
          <w:sz w:val="22"/>
          <w:lang w:val="es-ES_tradnl"/>
        </w:rPr>
        <w:t xml:space="preserve">) que, en </w:t>
      </w:r>
      <w:r w:rsidR="00DC759C" w:rsidRPr="00DC759C">
        <w:rPr>
          <w:rFonts w:ascii="Arial" w:eastAsia="Calibri" w:hAnsi="Arial" w:cs="Arial"/>
          <w:sz w:val="22"/>
          <w:lang w:val="es-ES_tradnl"/>
        </w:rPr>
        <w:t>auto del 2 de octubre de 2017</w:t>
      </w:r>
      <w:r w:rsidR="00DC759C" w:rsidRPr="00DC759C">
        <w:rPr>
          <w:rStyle w:val="Refdenotaalpie"/>
          <w:rFonts w:ascii="Arial" w:eastAsia="Calibri" w:hAnsi="Arial" w:cs="Arial"/>
          <w:sz w:val="22"/>
          <w:lang w:val="es-ES_tradnl"/>
        </w:rPr>
        <w:footnoteReference w:id="4"/>
      </w:r>
      <w:r w:rsidR="00C82CD8" w:rsidRPr="00DC759C">
        <w:rPr>
          <w:rFonts w:ascii="Arial" w:eastAsia="Calibri" w:hAnsi="Arial" w:cs="Arial"/>
          <w:sz w:val="22"/>
          <w:lang w:val="es-ES_tradnl"/>
        </w:rPr>
        <w:t xml:space="preserve">, </w:t>
      </w:r>
      <w:r w:rsidR="00DC759C" w:rsidRPr="00DC759C">
        <w:rPr>
          <w:rFonts w:ascii="Arial" w:eastAsia="Calibri" w:hAnsi="Arial" w:cs="Arial"/>
          <w:sz w:val="22"/>
          <w:lang w:val="es-ES_tradnl"/>
        </w:rPr>
        <w:t>el Consejo de Estado respaldó la aplicación del artículo 12 de la Ley 842 de 2003</w:t>
      </w:r>
      <w:r w:rsidR="00DC759C">
        <w:rPr>
          <w:rFonts w:ascii="Arial" w:eastAsia="Calibri" w:hAnsi="Arial" w:cs="Arial"/>
          <w:sz w:val="22"/>
          <w:lang w:val="es-ES_tradnl"/>
        </w:rPr>
        <w:t>, a efectos de determinar la experiencia de los profesionales en ingeniería; y v) que los conceptos objeto de la solicitud de revocatoria son contrarios al criterio expuesto en la Circular Externa Única</w:t>
      </w:r>
      <w:r w:rsidR="006C3AA8">
        <w:rPr>
          <w:rFonts w:ascii="Arial" w:eastAsia="Calibri" w:hAnsi="Arial" w:cs="Arial"/>
          <w:sz w:val="22"/>
          <w:lang w:val="es-ES_tradnl"/>
        </w:rPr>
        <w:t xml:space="preserve"> </w:t>
      </w:r>
      <w:r w:rsidR="00DC759C">
        <w:rPr>
          <w:rFonts w:ascii="Arial" w:eastAsia="Calibri" w:hAnsi="Arial" w:cs="Arial"/>
          <w:sz w:val="22"/>
          <w:lang w:val="es-ES_tradnl"/>
        </w:rPr>
        <w:t xml:space="preserve">del </w:t>
      </w:r>
      <w:r w:rsidR="00634E46">
        <w:rPr>
          <w:rFonts w:ascii="Arial" w:eastAsia="Calibri" w:hAnsi="Arial" w:cs="Arial"/>
          <w:sz w:val="22"/>
          <w:lang w:val="es-ES_tradnl"/>
        </w:rPr>
        <w:t xml:space="preserve">año </w:t>
      </w:r>
      <w:r w:rsidR="00DC759C">
        <w:rPr>
          <w:rFonts w:ascii="Arial" w:eastAsia="Calibri" w:hAnsi="Arial" w:cs="Arial"/>
          <w:sz w:val="22"/>
          <w:lang w:val="es-ES_tradnl"/>
        </w:rPr>
        <w:t>2019, expedida por la Agencia Nacional de Contratación Estatal.</w:t>
      </w:r>
    </w:p>
    <w:p w14:paraId="0451C953" w14:textId="5C0D2E1E" w:rsidR="00F024DE" w:rsidRPr="00DC759C" w:rsidRDefault="00F024DE" w:rsidP="000E32DD">
      <w:pPr>
        <w:tabs>
          <w:tab w:val="left" w:pos="426"/>
        </w:tabs>
        <w:spacing w:before="120" w:line="276" w:lineRule="auto"/>
        <w:ind w:firstLine="709"/>
        <w:jc w:val="both"/>
        <w:rPr>
          <w:rFonts w:ascii="Arial" w:eastAsia="Calibri" w:hAnsi="Arial" w:cs="Arial"/>
          <w:sz w:val="22"/>
          <w:lang w:val="es-ES_tradnl"/>
        </w:rPr>
      </w:pPr>
      <w:r>
        <w:rPr>
          <w:rFonts w:ascii="Arial" w:eastAsia="Calibri" w:hAnsi="Arial" w:cs="Arial"/>
          <w:sz w:val="22"/>
          <w:lang w:val="es-ES_tradnl"/>
        </w:rPr>
        <w:t xml:space="preserve">Subsidiariamente, </w:t>
      </w:r>
      <w:r w:rsidR="00302B3B">
        <w:rPr>
          <w:rFonts w:ascii="Arial" w:eastAsia="Calibri" w:hAnsi="Arial" w:cs="Arial"/>
          <w:sz w:val="22"/>
          <w:lang w:val="es-ES_tradnl"/>
        </w:rPr>
        <w:t>ustedes</w:t>
      </w:r>
      <w:r>
        <w:rPr>
          <w:rFonts w:ascii="Arial" w:eastAsia="Calibri" w:hAnsi="Arial" w:cs="Arial"/>
          <w:sz w:val="22"/>
          <w:lang w:val="es-ES_tradnl"/>
        </w:rPr>
        <w:t xml:space="preserve"> </w:t>
      </w:r>
      <w:r w:rsidR="006E39DB">
        <w:rPr>
          <w:rFonts w:ascii="Arial" w:eastAsia="Calibri" w:hAnsi="Arial" w:cs="Arial"/>
          <w:sz w:val="22"/>
          <w:lang w:val="es-ES_tradnl"/>
        </w:rPr>
        <w:t>solicitan</w:t>
      </w:r>
      <w:r>
        <w:rPr>
          <w:rFonts w:ascii="Arial" w:eastAsia="Calibri" w:hAnsi="Arial" w:cs="Arial"/>
          <w:sz w:val="22"/>
          <w:lang w:val="es-ES_tradnl"/>
        </w:rPr>
        <w:t xml:space="preserve"> </w:t>
      </w:r>
      <w:r w:rsidR="000E32DD">
        <w:rPr>
          <w:rFonts w:ascii="Arial" w:eastAsia="Calibri" w:hAnsi="Arial" w:cs="Arial"/>
          <w:sz w:val="22"/>
          <w:lang w:val="es-ES_tradnl"/>
        </w:rPr>
        <w:t>«manifestar […] el sustento normativo que le faculta legalmente a la Agencia, [para] emitir e interpretar el artículo 12 de la Ley 842 de 2003, para dar alcance y lineamientos generales al país, dentro del ejercicio de la ingeniería colombiana».</w:t>
      </w:r>
      <w:r w:rsidR="00A57463">
        <w:rPr>
          <w:rFonts w:ascii="Arial" w:eastAsia="Calibri" w:hAnsi="Arial" w:cs="Arial"/>
          <w:sz w:val="22"/>
          <w:lang w:val="es-ES_tradnl"/>
        </w:rPr>
        <w:t xml:space="preserve"> Tal solicitud tiene como fundamento </w:t>
      </w:r>
      <w:r w:rsidR="00E84A42">
        <w:rPr>
          <w:rFonts w:ascii="Arial" w:eastAsia="Calibri" w:hAnsi="Arial" w:cs="Arial"/>
          <w:sz w:val="22"/>
          <w:lang w:val="es-ES_tradnl"/>
        </w:rPr>
        <w:t>«la competencia exclusiva y excluyente como facultad del Consejo Profesional Nacional de la Ingeniería, en su función de máximo organismo de interpretación normativa en lo relacionado al ejercicio de la ingeniería»</w:t>
      </w:r>
      <w:r w:rsidR="00E84A42">
        <w:rPr>
          <w:rStyle w:val="Refdenotaalpie"/>
          <w:rFonts w:ascii="Arial" w:eastAsia="Calibri" w:hAnsi="Arial" w:cs="Arial"/>
          <w:sz w:val="22"/>
          <w:lang w:val="es-ES_tradnl"/>
        </w:rPr>
        <w:footnoteReference w:id="5"/>
      </w:r>
      <w:r w:rsidR="006E39DB">
        <w:rPr>
          <w:rFonts w:ascii="Arial" w:eastAsia="Calibri" w:hAnsi="Arial" w:cs="Arial"/>
          <w:sz w:val="22"/>
          <w:lang w:val="es-ES_tradnl"/>
        </w:rPr>
        <w:t xml:space="preserve"> </w:t>
      </w:r>
      <w:bookmarkStart w:id="4" w:name="_Hlk42103106"/>
      <w:r w:rsidR="006E39DB">
        <w:rPr>
          <w:rFonts w:ascii="Arial" w:eastAsia="Calibri" w:hAnsi="Arial" w:cs="Arial"/>
          <w:sz w:val="22"/>
          <w:lang w:val="es-ES_tradnl"/>
        </w:rPr>
        <w:t>(Corchetes fuera de texto).</w:t>
      </w:r>
    </w:p>
    <w:bookmarkEnd w:id="4"/>
    <w:p w14:paraId="5B2CB774" w14:textId="77777777" w:rsidR="00EE4811" w:rsidRPr="00DC759C" w:rsidRDefault="00EE4811" w:rsidP="00EE4811">
      <w:pPr>
        <w:tabs>
          <w:tab w:val="left" w:pos="426"/>
        </w:tabs>
        <w:spacing w:line="276" w:lineRule="auto"/>
        <w:jc w:val="both"/>
        <w:rPr>
          <w:rFonts w:ascii="Arial" w:eastAsia="Calibri" w:hAnsi="Arial" w:cs="Arial"/>
          <w:sz w:val="22"/>
          <w:lang w:val="es-ES_tradnl"/>
        </w:rPr>
      </w:pPr>
    </w:p>
    <w:p w14:paraId="79882F8B" w14:textId="0A9B6DE9" w:rsidR="000920F0" w:rsidRPr="00DC759C" w:rsidRDefault="000920F0" w:rsidP="000920F0">
      <w:pPr>
        <w:tabs>
          <w:tab w:val="left" w:pos="426"/>
        </w:tabs>
        <w:spacing w:line="276" w:lineRule="auto"/>
        <w:jc w:val="both"/>
        <w:rPr>
          <w:rFonts w:ascii="Arial" w:eastAsia="Calibri" w:hAnsi="Arial" w:cs="Arial"/>
          <w:b/>
          <w:sz w:val="22"/>
          <w:lang w:val="es-ES_tradnl"/>
        </w:rPr>
      </w:pPr>
      <w:r w:rsidRPr="00DC759C">
        <w:rPr>
          <w:rFonts w:ascii="Arial" w:eastAsia="Calibri" w:hAnsi="Arial" w:cs="Arial"/>
          <w:b/>
          <w:sz w:val="22"/>
          <w:lang w:val="es-ES_tradnl"/>
        </w:rPr>
        <w:t>2. Consideraciones</w:t>
      </w:r>
    </w:p>
    <w:bookmarkEnd w:id="0"/>
    <w:bookmarkEnd w:id="1"/>
    <w:p w14:paraId="7894E838" w14:textId="77777777" w:rsidR="000920F0" w:rsidRPr="00DC759C" w:rsidRDefault="000920F0" w:rsidP="009E0B8A">
      <w:pPr>
        <w:jc w:val="both"/>
        <w:rPr>
          <w:rFonts w:ascii="Arial" w:hAnsi="Arial" w:cs="Arial"/>
          <w:sz w:val="22"/>
          <w:lang w:val="es-ES_tradnl"/>
        </w:rPr>
      </w:pPr>
    </w:p>
    <w:p w14:paraId="06C95F72" w14:textId="025B1648" w:rsidR="0073536E" w:rsidRDefault="0073536E" w:rsidP="001946FB">
      <w:pPr>
        <w:spacing w:line="276" w:lineRule="auto"/>
        <w:jc w:val="both"/>
        <w:rPr>
          <w:rFonts w:ascii="Arial" w:eastAsia="Calibri" w:hAnsi="Arial" w:cs="Arial"/>
          <w:sz w:val="22"/>
        </w:rPr>
      </w:pPr>
      <w:r w:rsidRPr="00DC759C">
        <w:rPr>
          <w:rFonts w:ascii="Arial" w:eastAsia="Calibri" w:hAnsi="Arial" w:cs="Arial"/>
          <w:sz w:val="22"/>
        </w:rPr>
        <w:lastRenderedPageBreak/>
        <w:t xml:space="preserve">Para </w:t>
      </w:r>
      <w:r w:rsidR="00283C88">
        <w:rPr>
          <w:rFonts w:ascii="Arial" w:eastAsia="Calibri" w:hAnsi="Arial" w:cs="Arial"/>
          <w:sz w:val="22"/>
        </w:rPr>
        <w:t>responder la solicitud</w:t>
      </w:r>
      <w:r w:rsidRPr="00DC759C">
        <w:rPr>
          <w:rFonts w:ascii="Arial" w:eastAsia="Calibri" w:hAnsi="Arial" w:cs="Arial"/>
          <w:sz w:val="22"/>
        </w:rPr>
        <w:t xml:space="preserve"> se explicará</w:t>
      </w:r>
      <w:r w:rsidR="009E0B8A">
        <w:rPr>
          <w:rFonts w:ascii="Arial" w:eastAsia="Calibri" w:hAnsi="Arial" w:cs="Arial"/>
          <w:sz w:val="22"/>
        </w:rPr>
        <w:t>n</w:t>
      </w:r>
      <w:r w:rsidR="00A642BC" w:rsidRPr="00DC759C">
        <w:rPr>
          <w:rFonts w:ascii="Arial" w:eastAsia="Calibri" w:hAnsi="Arial" w:cs="Arial"/>
          <w:sz w:val="22"/>
        </w:rPr>
        <w:t>, inicialmente,</w:t>
      </w:r>
      <w:r w:rsidRPr="00DC759C">
        <w:rPr>
          <w:rFonts w:ascii="Arial" w:eastAsia="Calibri" w:hAnsi="Arial" w:cs="Arial"/>
          <w:sz w:val="22"/>
        </w:rPr>
        <w:t xml:space="preserve"> </w:t>
      </w:r>
      <w:r w:rsidR="00F024DE">
        <w:rPr>
          <w:rFonts w:ascii="Arial" w:eastAsia="Calibri" w:hAnsi="Arial" w:cs="Arial"/>
          <w:sz w:val="22"/>
        </w:rPr>
        <w:t>los efectos jurídicos de los conceptos emitidos por Colombia Compra Eficiente</w:t>
      </w:r>
      <w:r w:rsidRPr="00DC759C">
        <w:rPr>
          <w:rFonts w:ascii="Arial" w:eastAsia="Calibri" w:hAnsi="Arial" w:cs="Arial"/>
          <w:sz w:val="22"/>
        </w:rPr>
        <w:t xml:space="preserve"> para</w:t>
      </w:r>
      <w:r w:rsidR="00A642BC" w:rsidRPr="00DC759C">
        <w:rPr>
          <w:rFonts w:ascii="Arial" w:eastAsia="Calibri" w:hAnsi="Arial" w:cs="Arial"/>
          <w:sz w:val="22"/>
        </w:rPr>
        <w:t xml:space="preserve">, </w:t>
      </w:r>
      <w:r w:rsidR="00817210">
        <w:rPr>
          <w:rFonts w:ascii="Arial" w:eastAsia="Calibri" w:hAnsi="Arial" w:cs="Arial"/>
          <w:sz w:val="22"/>
        </w:rPr>
        <w:t>posteriormente</w:t>
      </w:r>
      <w:r w:rsidR="00A642BC" w:rsidRPr="00DC759C">
        <w:rPr>
          <w:rFonts w:ascii="Arial" w:eastAsia="Calibri" w:hAnsi="Arial" w:cs="Arial"/>
          <w:sz w:val="22"/>
        </w:rPr>
        <w:t xml:space="preserve">, </w:t>
      </w:r>
      <w:r w:rsidR="00F024DE">
        <w:rPr>
          <w:rFonts w:ascii="Arial" w:eastAsia="Calibri" w:hAnsi="Arial" w:cs="Arial"/>
          <w:sz w:val="22"/>
        </w:rPr>
        <w:t xml:space="preserve">estudiar </w:t>
      </w:r>
      <w:r w:rsidR="009F5F82">
        <w:rPr>
          <w:rFonts w:ascii="Arial" w:eastAsia="Calibri" w:hAnsi="Arial" w:cs="Arial"/>
          <w:sz w:val="22"/>
        </w:rPr>
        <w:t>los argumentos propuestos</w:t>
      </w:r>
      <w:r w:rsidR="00F024DE">
        <w:rPr>
          <w:rFonts w:ascii="Arial" w:eastAsia="Calibri" w:hAnsi="Arial" w:cs="Arial"/>
          <w:sz w:val="22"/>
        </w:rPr>
        <w:t xml:space="preserve">, </w:t>
      </w:r>
      <w:r w:rsidR="00C54360">
        <w:rPr>
          <w:rFonts w:ascii="Arial" w:eastAsia="Calibri" w:hAnsi="Arial" w:cs="Arial"/>
          <w:sz w:val="22"/>
        </w:rPr>
        <w:t>lo que supone determinar</w:t>
      </w:r>
      <w:r w:rsidR="00F024DE">
        <w:rPr>
          <w:rFonts w:ascii="Arial" w:eastAsia="Calibri" w:hAnsi="Arial" w:cs="Arial"/>
          <w:sz w:val="22"/>
        </w:rPr>
        <w:t xml:space="preserve"> si el cómputo de la experiencia </w:t>
      </w:r>
      <w:r w:rsidR="000E32DD">
        <w:rPr>
          <w:rFonts w:ascii="Arial" w:eastAsia="Calibri" w:hAnsi="Arial" w:cs="Arial"/>
          <w:sz w:val="22"/>
        </w:rPr>
        <w:t>profesional de la ingeniería y sus profesiones afines y auxiliares</w:t>
      </w:r>
      <w:r w:rsidR="00930353">
        <w:rPr>
          <w:rFonts w:ascii="Arial" w:eastAsia="Calibri" w:hAnsi="Arial" w:cs="Arial"/>
          <w:sz w:val="22"/>
        </w:rPr>
        <w:t xml:space="preserve"> se realiza</w:t>
      </w:r>
      <w:r w:rsidR="00F024DE">
        <w:rPr>
          <w:rFonts w:ascii="Arial" w:eastAsia="Calibri" w:hAnsi="Arial" w:cs="Arial"/>
          <w:sz w:val="22"/>
        </w:rPr>
        <w:t xml:space="preserve"> según el artículo 12 de la Ley 842 de 2003, si </w:t>
      </w:r>
      <w:r w:rsidR="00930353">
        <w:rPr>
          <w:rFonts w:ascii="Arial" w:eastAsia="Calibri" w:hAnsi="Arial" w:cs="Arial"/>
          <w:sz w:val="22"/>
        </w:rPr>
        <w:t>aplica</w:t>
      </w:r>
      <w:r w:rsidR="00F024DE">
        <w:rPr>
          <w:rFonts w:ascii="Arial" w:eastAsia="Calibri" w:hAnsi="Arial" w:cs="Arial"/>
          <w:sz w:val="22"/>
        </w:rPr>
        <w:t xml:space="preserve"> el artículo 229 del Decreto Ley 19 de 2012</w:t>
      </w:r>
      <w:r w:rsidR="009F5F82">
        <w:rPr>
          <w:rFonts w:ascii="Arial" w:eastAsia="Calibri" w:hAnsi="Arial" w:cs="Arial"/>
          <w:sz w:val="22"/>
        </w:rPr>
        <w:t xml:space="preserve"> o, en su defecto, el artículo 192 de la Ley 1955 de 2019</w:t>
      </w:r>
      <w:r w:rsidRPr="00DC759C">
        <w:rPr>
          <w:rFonts w:ascii="Arial" w:eastAsia="Calibri" w:hAnsi="Arial" w:cs="Arial"/>
          <w:sz w:val="22"/>
        </w:rPr>
        <w:t>.</w:t>
      </w:r>
    </w:p>
    <w:p w14:paraId="2DC443D7" w14:textId="77777777" w:rsidR="00C54360" w:rsidRPr="00DC759C" w:rsidRDefault="00C54360" w:rsidP="00C54360">
      <w:pPr>
        <w:tabs>
          <w:tab w:val="left" w:pos="426"/>
        </w:tabs>
        <w:spacing w:line="276" w:lineRule="auto"/>
        <w:jc w:val="both"/>
        <w:rPr>
          <w:rFonts w:ascii="Arial" w:eastAsia="Calibri" w:hAnsi="Arial" w:cs="Arial"/>
          <w:sz w:val="22"/>
          <w:lang w:val="es-ES_tradnl"/>
        </w:rPr>
      </w:pPr>
    </w:p>
    <w:p w14:paraId="5D6B614D" w14:textId="558785BF" w:rsidR="00C54360" w:rsidRDefault="00C54360" w:rsidP="001946FB">
      <w:pPr>
        <w:tabs>
          <w:tab w:val="left" w:pos="426"/>
        </w:tabs>
        <w:spacing w:line="276" w:lineRule="auto"/>
        <w:jc w:val="both"/>
        <w:rPr>
          <w:rFonts w:ascii="Arial" w:eastAsia="Calibri" w:hAnsi="Arial" w:cs="Arial"/>
          <w:b/>
          <w:sz w:val="22"/>
          <w:lang w:val="es-ES_tradnl"/>
        </w:rPr>
      </w:pPr>
      <w:r w:rsidRPr="00DC759C">
        <w:rPr>
          <w:rFonts w:ascii="Arial" w:eastAsia="Calibri" w:hAnsi="Arial" w:cs="Arial"/>
          <w:b/>
          <w:sz w:val="22"/>
          <w:lang w:val="es-ES_tradnl"/>
        </w:rPr>
        <w:t>2.</w:t>
      </w:r>
      <w:r>
        <w:rPr>
          <w:rFonts w:ascii="Arial" w:eastAsia="Calibri" w:hAnsi="Arial" w:cs="Arial"/>
          <w:b/>
          <w:sz w:val="22"/>
          <w:lang w:val="es-ES_tradnl"/>
        </w:rPr>
        <w:t>1. Efectos de los conceptos emitidos por Colombia Compra Eficiente</w:t>
      </w:r>
    </w:p>
    <w:p w14:paraId="4B22D52A" w14:textId="125891DD" w:rsidR="000E57AA" w:rsidRDefault="000E57AA" w:rsidP="000E57AA">
      <w:pPr>
        <w:tabs>
          <w:tab w:val="left" w:pos="426"/>
        </w:tabs>
        <w:spacing w:line="276" w:lineRule="auto"/>
        <w:jc w:val="both"/>
        <w:rPr>
          <w:rFonts w:ascii="Arial" w:eastAsia="Calibri" w:hAnsi="Arial" w:cs="Arial"/>
          <w:b/>
          <w:sz w:val="22"/>
          <w:lang w:val="es-ES_tradnl"/>
        </w:rPr>
      </w:pPr>
    </w:p>
    <w:p w14:paraId="6AE08A73" w14:textId="38942E6A" w:rsidR="000E57AA" w:rsidRDefault="000E57AA" w:rsidP="000E57AA">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En ejercicio de las competencias consagradas en los artículos 3, numeral 5, 11, numeral 8, 12, numeral 6, y 13, numeral 4, del Decreto 4170 de 2011, la Agencia Nacional de Contratación Pública – Colombia Compra Eficiente resuelve las consultas sobre los asuntos de su competencia, esto es, sobre las temáticas</w:t>
      </w:r>
      <w:r w:rsidR="009F5F82">
        <w:rPr>
          <w:rFonts w:ascii="Arial" w:eastAsia="Calibri" w:hAnsi="Arial" w:cs="Arial"/>
          <w:bCs/>
          <w:sz w:val="22"/>
          <w:lang w:val="es-ES_tradnl"/>
        </w:rPr>
        <w:t xml:space="preserve"> de contratación estatal</w:t>
      </w:r>
      <w:r>
        <w:rPr>
          <w:rFonts w:ascii="Arial" w:eastAsia="Calibri" w:hAnsi="Arial" w:cs="Arial"/>
          <w:bCs/>
          <w:sz w:val="22"/>
          <w:lang w:val="es-ES_tradnl"/>
        </w:rPr>
        <w:t xml:space="preserve"> relacionadas en los artículos antes referidos. </w:t>
      </w:r>
      <w:r w:rsidR="00930353">
        <w:rPr>
          <w:rFonts w:ascii="Arial" w:eastAsia="Calibri" w:hAnsi="Arial" w:cs="Arial"/>
          <w:bCs/>
          <w:sz w:val="22"/>
          <w:lang w:val="es-ES_tradnl"/>
        </w:rPr>
        <w:t>Esta</w:t>
      </w:r>
      <w:r>
        <w:rPr>
          <w:rFonts w:ascii="Arial" w:eastAsia="Calibri" w:hAnsi="Arial" w:cs="Arial"/>
          <w:bCs/>
          <w:sz w:val="22"/>
          <w:lang w:val="es-ES_tradnl"/>
        </w:rPr>
        <w:t xml:space="preserve"> competencia consultiva se </w:t>
      </w:r>
      <w:r w:rsidR="00287445">
        <w:rPr>
          <w:rFonts w:ascii="Arial" w:eastAsia="Calibri" w:hAnsi="Arial" w:cs="Arial"/>
          <w:bCs/>
          <w:sz w:val="22"/>
          <w:lang w:val="es-ES_tradnl"/>
        </w:rPr>
        <w:t>relaciona con</w:t>
      </w:r>
      <w:r>
        <w:rPr>
          <w:rFonts w:ascii="Arial" w:eastAsia="Calibri" w:hAnsi="Arial" w:cs="Arial"/>
          <w:bCs/>
          <w:sz w:val="22"/>
          <w:lang w:val="es-ES_tradnl"/>
        </w:rPr>
        <w:t xml:space="preserve"> el artículo 28 de la Ley 1437 de 2011, sustituido por el artículo 1 de la Ley 1755, que </w:t>
      </w:r>
      <w:r w:rsidR="00930353">
        <w:rPr>
          <w:rFonts w:ascii="Arial" w:eastAsia="Calibri" w:hAnsi="Arial" w:cs="Arial"/>
          <w:bCs/>
          <w:sz w:val="22"/>
          <w:lang w:val="es-ES_tradnl"/>
        </w:rPr>
        <w:t xml:space="preserve">dispone </w:t>
      </w:r>
      <w:r>
        <w:rPr>
          <w:rFonts w:ascii="Arial" w:eastAsia="Calibri" w:hAnsi="Arial" w:cs="Arial"/>
          <w:bCs/>
          <w:sz w:val="22"/>
          <w:lang w:val="es-ES_tradnl"/>
        </w:rPr>
        <w:t>lo siguiente:</w:t>
      </w:r>
    </w:p>
    <w:p w14:paraId="3E9BE2CC" w14:textId="7D587CF4" w:rsidR="000E57AA" w:rsidRDefault="000E57AA" w:rsidP="000E57AA">
      <w:pPr>
        <w:tabs>
          <w:tab w:val="left" w:pos="426"/>
        </w:tabs>
        <w:spacing w:line="276" w:lineRule="auto"/>
        <w:jc w:val="both"/>
        <w:rPr>
          <w:rFonts w:ascii="Arial" w:eastAsia="Calibri" w:hAnsi="Arial" w:cs="Arial"/>
          <w:bCs/>
          <w:sz w:val="22"/>
          <w:lang w:val="es-ES_tradnl"/>
        </w:rPr>
      </w:pPr>
    </w:p>
    <w:p w14:paraId="46BE9C78" w14:textId="7AF5B04D" w:rsidR="000E57AA" w:rsidRPr="000E57AA" w:rsidRDefault="000E57AA" w:rsidP="000E57AA">
      <w:pPr>
        <w:tabs>
          <w:tab w:val="left" w:pos="426"/>
        </w:tabs>
        <w:ind w:left="709" w:right="709"/>
        <w:jc w:val="both"/>
        <w:rPr>
          <w:rFonts w:ascii="Arial" w:eastAsia="Calibri" w:hAnsi="Arial" w:cs="Arial"/>
          <w:bCs/>
          <w:sz w:val="21"/>
          <w:szCs w:val="21"/>
          <w:lang w:val="es-ES_tradnl"/>
        </w:rPr>
      </w:pPr>
      <w:r w:rsidRPr="001946FB">
        <w:rPr>
          <w:rFonts w:ascii="Arial" w:eastAsia="Calibri" w:hAnsi="Arial" w:cs="Arial"/>
          <w:bCs/>
          <w:sz w:val="21"/>
          <w:szCs w:val="21"/>
          <w:lang w:val="es-ES_tradnl"/>
        </w:rPr>
        <w:t>Artículo 28. Alcance de los conceptos</w:t>
      </w:r>
      <w:r w:rsidRPr="000E57AA">
        <w:rPr>
          <w:rFonts w:ascii="Arial" w:eastAsia="Calibri" w:hAnsi="Arial" w:cs="Arial"/>
          <w:bCs/>
          <w:sz w:val="21"/>
          <w:szCs w:val="21"/>
          <w:lang w:val="es-ES_tradnl"/>
        </w:rPr>
        <w:t xml:space="preserve">. Salvo disposición legal en contrario, los conceptos emitidos por las autoridades como respuestas a peticiones realizadas en ejercicio del derecho a formular consultas no serán de obligatorio cumplimiento o ejecución.  </w:t>
      </w:r>
    </w:p>
    <w:p w14:paraId="4686978D" w14:textId="3470C654" w:rsidR="000E57AA" w:rsidRDefault="000E57AA" w:rsidP="000E57AA">
      <w:pPr>
        <w:tabs>
          <w:tab w:val="left" w:pos="426"/>
        </w:tabs>
        <w:spacing w:line="276" w:lineRule="auto"/>
        <w:jc w:val="both"/>
        <w:rPr>
          <w:rFonts w:ascii="Arial" w:eastAsia="Calibri" w:hAnsi="Arial" w:cs="Arial"/>
          <w:bCs/>
          <w:sz w:val="22"/>
          <w:lang w:val="es-ES_tradnl"/>
        </w:rPr>
      </w:pPr>
    </w:p>
    <w:p w14:paraId="5A359A96" w14:textId="57016E2C" w:rsidR="001F3610" w:rsidRDefault="00930353" w:rsidP="00E021AA">
      <w:pPr>
        <w:tabs>
          <w:tab w:val="left" w:pos="709"/>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sidR="00E021AA">
        <w:rPr>
          <w:rFonts w:ascii="Arial" w:eastAsia="Calibri" w:hAnsi="Arial" w:cs="Arial"/>
          <w:bCs/>
          <w:sz w:val="22"/>
          <w:lang w:val="es-ES_tradnl"/>
        </w:rPr>
        <w:t>La</w:t>
      </w:r>
      <w:r w:rsidR="007754CA">
        <w:rPr>
          <w:rFonts w:ascii="Arial" w:eastAsia="Calibri" w:hAnsi="Arial" w:cs="Arial"/>
          <w:bCs/>
          <w:sz w:val="22"/>
          <w:lang w:val="es-ES_tradnl"/>
        </w:rPr>
        <w:t xml:space="preserve"> ley es clara cuando establece que los conceptos emitidos por las autoridades al responder peticiones realizadas en ejercicio del derecho a formular consultas </w:t>
      </w:r>
      <w:r>
        <w:rPr>
          <w:rFonts w:ascii="Arial" w:eastAsia="Calibri" w:hAnsi="Arial" w:cs="Arial"/>
          <w:bCs/>
          <w:sz w:val="22"/>
          <w:lang w:val="es-ES_tradnl"/>
        </w:rPr>
        <w:t>–</w:t>
      </w:r>
      <w:r w:rsidR="007754CA">
        <w:rPr>
          <w:rFonts w:ascii="Arial" w:eastAsia="Calibri" w:hAnsi="Arial" w:cs="Arial"/>
          <w:bCs/>
          <w:sz w:val="22"/>
          <w:lang w:val="es-ES_tradnl"/>
        </w:rPr>
        <w:t xml:space="preserve">como </w:t>
      </w:r>
      <w:r w:rsidR="001F3610">
        <w:rPr>
          <w:rFonts w:ascii="Arial" w:eastAsia="Calibri" w:hAnsi="Arial" w:cs="Arial"/>
          <w:bCs/>
          <w:sz w:val="22"/>
          <w:lang w:val="es-ES_tradnl"/>
        </w:rPr>
        <w:t>fue</w:t>
      </w:r>
      <w:r w:rsidR="007754CA">
        <w:rPr>
          <w:rFonts w:ascii="Arial" w:eastAsia="Calibri" w:hAnsi="Arial" w:cs="Arial"/>
          <w:bCs/>
          <w:sz w:val="22"/>
          <w:lang w:val="es-ES_tradnl"/>
        </w:rPr>
        <w:t xml:space="preserve"> el caso de los</w:t>
      </w:r>
      <w:r w:rsidR="00443E24">
        <w:rPr>
          <w:rFonts w:ascii="Arial" w:eastAsia="Calibri" w:hAnsi="Arial" w:cs="Arial"/>
          <w:bCs/>
          <w:sz w:val="22"/>
          <w:lang w:val="es-ES_tradnl"/>
        </w:rPr>
        <w:t xml:space="preserve"> </w:t>
      </w:r>
      <w:r w:rsidR="007754CA">
        <w:rPr>
          <w:rFonts w:ascii="Arial" w:eastAsia="Calibri" w:hAnsi="Arial" w:cs="Arial"/>
          <w:bCs/>
          <w:sz w:val="22"/>
          <w:lang w:val="es-ES_tradnl"/>
        </w:rPr>
        <w:t xml:space="preserve">conceptos objeto de la solicitud </w:t>
      </w:r>
      <w:r w:rsidR="001F3610" w:rsidRPr="001F3610">
        <w:rPr>
          <w:rFonts w:ascii="Arial" w:eastAsia="Calibri" w:hAnsi="Arial" w:cs="Arial"/>
          <w:bCs/>
          <w:sz w:val="22"/>
          <w:lang w:val="es-ES_tradnl"/>
        </w:rPr>
        <w:t>de revocatoria</w:t>
      </w:r>
      <w:r>
        <w:rPr>
          <w:rFonts w:ascii="Arial" w:eastAsia="Calibri" w:hAnsi="Arial" w:cs="Arial"/>
          <w:bCs/>
          <w:sz w:val="22"/>
          <w:lang w:val="es-ES_tradnl"/>
        </w:rPr>
        <w:t>–</w:t>
      </w:r>
      <w:r w:rsidR="007754CA">
        <w:rPr>
          <w:rFonts w:ascii="Arial" w:eastAsia="Calibri" w:hAnsi="Arial" w:cs="Arial"/>
          <w:bCs/>
          <w:sz w:val="22"/>
          <w:lang w:val="es-ES_tradnl"/>
        </w:rPr>
        <w:t xml:space="preserve"> </w:t>
      </w:r>
      <w:r w:rsidR="00283C88">
        <w:rPr>
          <w:rFonts w:ascii="Arial" w:eastAsia="Calibri" w:hAnsi="Arial" w:cs="Arial"/>
          <w:bCs/>
          <w:sz w:val="22"/>
          <w:lang w:val="es-ES_tradnl"/>
        </w:rPr>
        <w:t>no son de obligatorio cumplimiento o de obligatoria ejecución, en otras palabras, no tienen efectos vinculantes</w:t>
      </w:r>
      <w:r w:rsidR="007754CA">
        <w:rPr>
          <w:rFonts w:ascii="Arial" w:eastAsia="Calibri" w:hAnsi="Arial" w:cs="Arial"/>
          <w:bCs/>
          <w:sz w:val="22"/>
          <w:lang w:val="es-ES_tradnl"/>
        </w:rPr>
        <w:t xml:space="preserve">. </w:t>
      </w:r>
      <w:r w:rsidR="00283C88" w:rsidRPr="00283C88">
        <w:rPr>
          <w:rFonts w:ascii="Arial" w:eastAsia="Calibri" w:hAnsi="Arial" w:cs="Arial"/>
          <w:bCs/>
          <w:sz w:val="22"/>
          <w:lang w:val="es-ES_tradnl"/>
        </w:rPr>
        <w:t>Las respuestas emitidas como concepto, entonces, consisten en la posición hermenéutica que las entidades tienen respecto del ordenamiento jurídico</w:t>
      </w:r>
      <w:r w:rsidR="00034503">
        <w:rPr>
          <w:rFonts w:ascii="Arial" w:eastAsia="Calibri" w:hAnsi="Arial" w:cs="Arial"/>
          <w:bCs/>
          <w:sz w:val="22"/>
          <w:lang w:val="es-ES_tradnl"/>
        </w:rPr>
        <w:t xml:space="preserve">. </w:t>
      </w:r>
      <w:r w:rsidR="00D6503F">
        <w:rPr>
          <w:rFonts w:ascii="Arial" w:eastAsia="Calibri" w:hAnsi="Arial" w:cs="Arial"/>
          <w:bCs/>
          <w:sz w:val="22"/>
          <w:lang w:val="es-ES_tradnl"/>
        </w:rPr>
        <w:t xml:space="preserve">Esto explica por qué </w:t>
      </w:r>
      <w:r w:rsidR="00034503">
        <w:rPr>
          <w:rFonts w:ascii="Arial" w:eastAsia="Calibri" w:hAnsi="Arial" w:cs="Arial"/>
          <w:bCs/>
          <w:sz w:val="22"/>
          <w:lang w:val="es-ES_tradnl"/>
        </w:rPr>
        <w:t xml:space="preserve">esta </w:t>
      </w:r>
      <w:r w:rsidR="005410AD">
        <w:rPr>
          <w:rFonts w:ascii="Arial" w:eastAsia="Calibri" w:hAnsi="Arial" w:cs="Arial"/>
          <w:bCs/>
          <w:sz w:val="22"/>
          <w:lang w:val="es-ES_tradnl"/>
        </w:rPr>
        <w:t>Agencia</w:t>
      </w:r>
      <w:r w:rsidR="00034503">
        <w:rPr>
          <w:rFonts w:ascii="Arial" w:eastAsia="Calibri" w:hAnsi="Arial" w:cs="Arial"/>
          <w:bCs/>
          <w:sz w:val="22"/>
          <w:lang w:val="es-ES_tradnl"/>
        </w:rPr>
        <w:t xml:space="preserve">, reiteradamente, </w:t>
      </w:r>
      <w:r w:rsidR="0093788B">
        <w:rPr>
          <w:rFonts w:ascii="Arial" w:eastAsia="Calibri" w:hAnsi="Arial" w:cs="Arial"/>
          <w:bCs/>
          <w:sz w:val="22"/>
          <w:lang w:val="es-ES_tradnl"/>
        </w:rPr>
        <w:t>no</w:t>
      </w:r>
      <w:r w:rsidR="00D6503F">
        <w:rPr>
          <w:rFonts w:ascii="Arial" w:eastAsia="Calibri" w:hAnsi="Arial" w:cs="Arial"/>
          <w:bCs/>
          <w:sz w:val="22"/>
          <w:lang w:val="es-ES_tradnl"/>
        </w:rPr>
        <w:t xml:space="preserve"> res</w:t>
      </w:r>
      <w:r w:rsidR="0093788B">
        <w:rPr>
          <w:rFonts w:ascii="Arial" w:eastAsia="Calibri" w:hAnsi="Arial" w:cs="Arial"/>
          <w:bCs/>
          <w:sz w:val="22"/>
          <w:lang w:val="es-ES_tradnl"/>
        </w:rPr>
        <w:t>ue</w:t>
      </w:r>
      <w:r w:rsidR="00D6503F">
        <w:rPr>
          <w:rFonts w:ascii="Arial" w:eastAsia="Calibri" w:hAnsi="Arial" w:cs="Arial"/>
          <w:bCs/>
          <w:sz w:val="22"/>
          <w:lang w:val="es-ES_tradnl"/>
        </w:rPr>
        <w:t xml:space="preserve">lve controversias concretas </w:t>
      </w:r>
      <w:r w:rsidR="0093788B">
        <w:rPr>
          <w:rFonts w:ascii="Arial" w:eastAsia="Calibri" w:hAnsi="Arial" w:cs="Arial"/>
          <w:bCs/>
          <w:sz w:val="22"/>
          <w:lang w:val="es-ES_tradnl"/>
        </w:rPr>
        <w:t>ni</w:t>
      </w:r>
      <w:r w:rsidR="00D6503F">
        <w:rPr>
          <w:rFonts w:ascii="Arial" w:eastAsia="Calibri" w:hAnsi="Arial" w:cs="Arial"/>
          <w:bCs/>
          <w:sz w:val="22"/>
          <w:lang w:val="es-ES_tradnl"/>
        </w:rPr>
        <w:t xml:space="preserve"> brinda asesoría a los partícipes de la contratación estatal</w:t>
      </w:r>
      <w:r w:rsidR="00D6503F">
        <w:rPr>
          <w:rStyle w:val="Refdenotaalpie"/>
          <w:rFonts w:ascii="Arial" w:eastAsia="Calibri" w:hAnsi="Arial" w:cs="Arial"/>
          <w:bCs/>
          <w:sz w:val="22"/>
          <w:lang w:val="es-ES_tradnl"/>
        </w:rPr>
        <w:footnoteReference w:id="6"/>
      </w:r>
      <w:r w:rsidR="00D6503F">
        <w:rPr>
          <w:rFonts w:ascii="Arial" w:eastAsia="Calibri" w:hAnsi="Arial" w:cs="Arial"/>
          <w:bCs/>
          <w:sz w:val="22"/>
          <w:lang w:val="es-ES_tradnl"/>
        </w:rPr>
        <w:t>.</w:t>
      </w:r>
    </w:p>
    <w:p w14:paraId="21B2F58D" w14:textId="49B54C94" w:rsidR="006311DB" w:rsidRDefault="001F3610" w:rsidP="00443E24">
      <w:pPr>
        <w:tabs>
          <w:tab w:val="left" w:pos="709"/>
        </w:tabs>
        <w:spacing w:before="120" w:line="276" w:lineRule="auto"/>
        <w:jc w:val="both"/>
        <w:rPr>
          <w:rFonts w:ascii="Arial" w:eastAsia="Calibri" w:hAnsi="Arial" w:cs="Arial"/>
          <w:bCs/>
          <w:sz w:val="22"/>
          <w:lang w:val="es-CO"/>
        </w:rPr>
      </w:pPr>
      <w:r>
        <w:rPr>
          <w:rFonts w:ascii="Arial" w:eastAsia="Calibri" w:hAnsi="Arial" w:cs="Arial"/>
          <w:bCs/>
          <w:sz w:val="22"/>
          <w:lang w:val="es-ES_tradnl"/>
        </w:rPr>
        <w:lastRenderedPageBreak/>
        <w:tab/>
      </w:r>
      <w:r w:rsidR="006311DB">
        <w:rPr>
          <w:rFonts w:ascii="Arial" w:eastAsia="Calibri" w:hAnsi="Arial" w:cs="Arial"/>
          <w:bCs/>
          <w:sz w:val="22"/>
          <w:lang w:val="es-ES_tradnl"/>
        </w:rPr>
        <w:t>Esta posición es compartida por varias entidades públicas que ejercen la misma función</w:t>
      </w:r>
      <w:r w:rsidR="0093788B">
        <w:rPr>
          <w:rFonts w:ascii="Arial" w:eastAsia="Calibri" w:hAnsi="Arial" w:cs="Arial"/>
          <w:bCs/>
          <w:sz w:val="22"/>
          <w:lang w:val="es-ES_tradnl"/>
        </w:rPr>
        <w:t>. P</w:t>
      </w:r>
      <w:r w:rsidR="006311DB">
        <w:rPr>
          <w:rFonts w:ascii="Arial" w:eastAsia="Calibri" w:hAnsi="Arial" w:cs="Arial"/>
          <w:bCs/>
          <w:sz w:val="22"/>
          <w:lang w:val="es-ES_tradnl"/>
        </w:rPr>
        <w:t xml:space="preserve">or ejemplo, la Procuraduría General de la Nación aclaró que </w:t>
      </w:r>
      <w:r w:rsidR="0093788B">
        <w:rPr>
          <w:rFonts w:ascii="Arial" w:eastAsia="Calibri" w:hAnsi="Arial" w:cs="Arial"/>
          <w:bCs/>
          <w:sz w:val="22"/>
          <w:lang w:val="es-ES_tradnl"/>
        </w:rPr>
        <w:t>el concepto</w:t>
      </w:r>
      <w:r w:rsidR="006311DB">
        <w:rPr>
          <w:rFonts w:ascii="Arial" w:eastAsia="Calibri" w:hAnsi="Arial" w:cs="Arial"/>
          <w:bCs/>
          <w:sz w:val="22"/>
          <w:lang w:val="es-ES_tradnl"/>
        </w:rPr>
        <w:t xml:space="preserve"> «</w:t>
      </w:r>
      <w:r w:rsidR="006311DB" w:rsidRPr="00CF32CC">
        <w:rPr>
          <w:rFonts w:ascii="Arial" w:eastAsia="Calibri" w:hAnsi="Arial" w:cs="Arial"/>
          <w:bCs/>
          <w:sz w:val="22"/>
          <w:lang w:val="es-CO"/>
        </w:rPr>
        <w:t>sólo constituye un criterio auxiliar de interpretación y que no tiene carácter vinculante de acuerdo con lo dispuesto en los artículos 230 de la Constitución Política, 5° de la Ley 153 de 1887 y 28 de la ley 1437 de 2011</w:t>
      </w:r>
      <w:r w:rsidR="006311DB">
        <w:rPr>
          <w:rFonts w:ascii="Arial" w:eastAsia="Calibri" w:hAnsi="Arial" w:cs="Arial"/>
          <w:bCs/>
          <w:sz w:val="22"/>
          <w:lang w:val="es-CO"/>
        </w:rPr>
        <w:t>»</w:t>
      </w:r>
      <w:r w:rsidR="0093788B">
        <w:rPr>
          <w:rStyle w:val="Refdenotaalpie"/>
          <w:rFonts w:ascii="Arial" w:eastAsia="Calibri" w:hAnsi="Arial" w:cs="Arial"/>
          <w:bCs/>
          <w:sz w:val="22"/>
          <w:lang w:val="es-ES_tradnl"/>
        </w:rPr>
        <w:footnoteReference w:id="7"/>
      </w:r>
      <w:r w:rsidR="006311DB" w:rsidRPr="00CF32CC">
        <w:rPr>
          <w:rFonts w:ascii="Arial" w:eastAsia="Calibri" w:hAnsi="Arial" w:cs="Arial"/>
          <w:bCs/>
          <w:sz w:val="22"/>
          <w:lang w:val="es-CO"/>
        </w:rPr>
        <w:t>.</w:t>
      </w:r>
      <w:r w:rsidR="006311DB">
        <w:rPr>
          <w:rFonts w:ascii="Arial" w:eastAsia="Calibri" w:hAnsi="Arial" w:cs="Arial"/>
          <w:bCs/>
          <w:sz w:val="22"/>
          <w:lang w:val="es-CO"/>
        </w:rPr>
        <w:t xml:space="preserve"> Igualmente, en concepto del año 2017</w:t>
      </w:r>
      <w:r w:rsidR="001946FB">
        <w:rPr>
          <w:rStyle w:val="Refdenotaalpie"/>
          <w:rFonts w:ascii="Arial" w:eastAsia="Calibri" w:hAnsi="Arial" w:cs="Arial"/>
          <w:bCs/>
          <w:sz w:val="22"/>
          <w:lang w:val="es-CO"/>
        </w:rPr>
        <w:footnoteReference w:id="8"/>
      </w:r>
      <w:r w:rsidR="006311DB">
        <w:rPr>
          <w:rFonts w:ascii="Arial" w:eastAsia="Calibri" w:hAnsi="Arial" w:cs="Arial"/>
          <w:bCs/>
          <w:sz w:val="22"/>
          <w:lang w:val="es-CO"/>
        </w:rPr>
        <w:t xml:space="preserve">, la Contraloría General de la República precisó que los «[…] </w:t>
      </w:r>
      <w:r w:rsidR="006311DB" w:rsidRPr="000C00F6">
        <w:rPr>
          <w:rFonts w:ascii="Arial" w:eastAsia="Calibri" w:hAnsi="Arial" w:cs="Arial"/>
          <w:bCs/>
          <w:sz w:val="22"/>
          <w:lang w:val="es-CO"/>
        </w:rPr>
        <w:t>conceptos emitidos por la Oficina Jurídica de la Contraloría General de la República,</w:t>
      </w:r>
      <w:r w:rsidR="006311DB">
        <w:rPr>
          <w:rFonts w:ascii="Arial" w:eastAsia="Calibri" w:hAnsi="Arial" w:cs="Arial"/>
          <w:bCs/>
          <w:sz w:val="22"/>
          <w:lang w:val="es-CO"/>
        </w:rPr>
        <w:t xml:space="preserve"> </w:t>
      </w:r>
      <w:r w:rsidR="006311DB" w:rsidRPr="000C00F6">
        <w:rPr>
          <w:rFonts w:ascii="Arial" w:eastAsia="Calibri" w:hAnsi="Arial" w:cs="Arial"/>
          <w:bCs/>
          <w:sz w:val="22"/>
          <w:lang w:val="es-CO"/>
        </w:rPr>
        <w:t xml:space="preserve">son orientaciones de carácter general que </w:t>
      </w:r>
      <w:r w:rsidR="006311DB">
        <w:rPr>
          <w:rFonts w:ascii="Arial" w:eastAsia="Calibri" w:hAnsi="Arial" w:cs="Arial"/>
          <w:bCs/>
          <w:sz w:val="22"/>
          <w:lang w:val="es-CO"/>
        </w:rPr>
        <w:t xml:space="preserve">[…] </w:t>
      </w:r>
      <w:r w:rsidR="006311DB" w:rsidRPr="000C00F6">
        <w:rPr>
          <w:rFonts w:ascii="Arial" w:eastAsia="Calibri" w:hAnsi="Arial" w:cs="Arial"/>
          <w:bCs/>
          <w:sz w:val="22"/>
          <w:lang w:val="es-CO"/>
        </w:rPr>
        <w:t>no son de obligatorio cumplimiento o ejecución, ni tienen el</w:t>
      </w:r>
      <w:r w:rsidR="006311DB">
        <w:rPr>
          <w:rFonts w:ascii="Arial" w:eastAsia="Calibri" w:hAnsi="Arial" w:cs="Arial"/>
          <w:bCs/>
          <w:sz w:val="22"/>
          <w:lang w:val="es-CO"/>
        </w:rPr>
        <w:t xml:space="preserve"> </w:t>
      </w:r>
      <w:r w:rsidR="006311DB" w:rsidRPr="000C00F6">
        <w:rPr>
          <w:rFonts w:ascii="Arial" w:eastAsia="Calibri" w:hAnsi="Arial" w:cs="Arial"/>
          <w:bCs/>
          <w:sz w:val="22"/>
          <w:lang w:val="es-CO"/>
        </w:rPr>
        <w:t>carácter de fuente normativa y sólo pueden ser utilizados para facilitar la interpretación</w:t>
      </w:r>
      <w:r w:rsidR="006311DB">
        <w:rPr>
          <w:rFonts w:ascii="Arial" w:eastAsia="Calibri" w:hAnsi="Arial" w:cs="Arial"/>
          <w:bCs/>
          <w:sz w:val="22"/>
          <w:lang w:val="es-CO"/>
        </w:rPr>
        <w:t xml:space="preserve"> </w:t>
      </w:r>
      <w:r w:rsidR="006311DB" w:rsidRPr="000C00F6">
        <w:rPr>
          <w:rFonts w:ascii="Arial" w:eastAsia="Calibri" w:hAnsi="Arial" w:cs="Arial"/>
          <w:bCs/>
          <w:sz w:val="22"/>
          <w:lang w:val="es-CO"/>
        </w:rPr>
        <w:t>y aplicación de las normas jurídicas vigentes</w:t>
      </w:r>
      <w:r w:rsidR="006311DB">
        <w:rPr>
          <w:rFonts w:ascii="Arial" w:eastAsia="Calibri" w:hAnsi="Arial" w:cs="Arial"/>
          <w:bCs/>
          <w:sz w:val="22"/>
          <w:lang w:val="es-CO"/>
        </w:rPr>
        <w:t xml:space="preserve"> […]». Incluso, tal es el alcance que el COPNIA les otorga a los conceptos que emite en ejercicio de sus competencias legales, a los cuales cubre con los efectos del </w:t>
      </w:r>
      <w:r w:rsidR="0093788B">
        <w:rPr>
          <w:rFonts w:ascii="Arial" w:eastAsia="Calibri" w:hAnsi="Arial" w:cs="Arial"/>
          <w:bCs/>
          <w:sz w:val="22"/>
          <w:lang w:val="es-CO"/>
        </w:rPr>
        <w:t xml:space="preserve">citado </w:t>
      </w:r>
      <w:r w:rsidR="006311DB">
        <w:rPr>
          <w:rFonts w:ascii="Arial" w:eastAsia="Calibri" w:hAnsi="Arial" w:cs="Arial"/>
          <w:bCs/>
          <w:sz w:val="22"/>
          <w:lang w:val="es-CO"/>
        </w:rPr>
        <w:t>artículo 28</w:t>
      </w:r>
      <w:r w:rsidR="0093788B">
        <w:rPr>
          <w:rFonts w:ascii="Arial" w:eastAsia="Calibri" w:hAnsi="Arial" w:cs="Arial"/>
          <w:bCs/>
          <w:sz w:val="22"/>
          <w:lang w:val="es-CO"/>
        </w:rPr>
        <w:t xml:space="preserve"> de la Ley 1437 de 2011</w:t>
      </w:r>
      <w:r w:rsidR="006311DB">
        <w:rPr>
          <w:rFonts w:ascii="Arial" w:eastAsia="Calibri" w:hAnsi="Arial" w:cs="Arial"/>
          <w:bCs/>
          <w:sz w:val="22"/>
          <w:lang w:val="es-CO"/>
        </w:rPr>
        <w:t xml:space="preserve">. En efecto, en la intervención </w:t>
      </w:r>
      <w:r w:rsidR="00791C0E">
        <w:rPr>
          <w:rFonts w:ascii="Arial" w:eastAsia="Calibri" w:hAnsi="Arial" w:cs="Arial"/>
          <w:bCs/>
          <w:sz w:val="22"/>
          <w:lang w:val="es-CO"/>
        </w:rPr>
        <w:t>que realizó dentro d</w:t>
      </w:r>
      <w:r w:rsidR="006311DB">
        <w:rPr>
          <w:rFonts w:ascii="Arial" w:eastAsia="Calibri" w:hAnsi="Arial" w:cs="Arial"/>
          <w:bCs/>
          <w:sz w:val="22"/>
          <w:lang w:val="es-CO"/>
        </w:rPr>
        <w:t>el proceso judicial que nos pide tener en cuenta</w:t>
      </w:r>
      <w:r w:rsidR="00791C0E">
        <w:rPr>
          <w:rFonts w:ascii="Arial" w:eastAsia="Calibri" w:hAnsi="Arial" w:cs="Arial"/>
          <w:bCs/>
          <w:sz w:val="22"/>
          <w:lang w:val="es-CO"/>
        </w:rPr>
        <w:t>, al cual nos referiremos posteriormente en el numeral</w:t>
      </w:r>
      <w:r w:rsidR="006311DB">
        <w:rPr>
          <w:rFonts w:ascii="Arial" w:eastAsia="Calibri" w:hAnsi="Arial" w:cs="Arial"/>
          <w:bCs/>
          <w:sz w:val="22"/>
          <w:lang w:val="es-CO"/>
        </w:rPr>
        <w:t xml:space="preserve"> 2.3.2.</w:t>
      </w:r>
      <w:r w:rsidR="00791C0E">
        <w:rPr>
          <w:rFonts w:ascii="Arial" w:eastAsia="Calibri" w:hAnsi="Arial" w:cs="Arial"/>
          <w:bCs/>
          <w:sz w:val="22"/>
          <w:lang w:val="es-CO"/>
        </w:rPr>
        <w:t xml:space="preserve"> </w:t>
      </w:r>
      <w:r w:rsidR="00791C0E">
        <w:rPr>
          <w:rFonts w:ascii="Arial" w:eastAsia="Calibri" w:hAnsi="Arial" w:cs="Arial"/>
          <w:bCs/>
          <w:i/>
          <w:iCs/>
          <w:sz w:val="22"/>
          <w:lang w:val="es-CO"/>
        </w:rPr>
        <w:t>infra</w:t>
      </w:r>
      <w:r w:rsidR="006311DB">
        <w:rPr>
          <w:rFonts w:ascii="Arial" w:eastAsia="Calibri" w:hAnsi="Arial" w:cs="Arial"/>
          <w:bCs/>
          <w:sz w:val="22"/>
          <w:lang w:val="es-CO"/>
        </w:rPr>
        <w:t xml:space="preserve">, </w:t>
      </w:r>
      <w:r w:rsidR="00F94AEB">
        <w:rPr>
          <w:rFonts w:ascii="Arial" w:eastAsia="Calibri" w:hAnsi="Arial" w:cs="Arial"/>
          <w:bCs/>
          <w:sz w:val="22"/>
          <w:lang w:val="es-CO"/>
        </w:rPr>
        <w:t xml:space="preserve">el </w:t>
      </w:r>
      <w:r w:rsidR="00791C0E">
        <w:rPr>
          <w:rFonts w:ascii="Arial" w:eastAsia="Calibri" w:hAnsi="Arial" w:cs="Arial"/>
          <w:bCs/>
          <w:sz w:val="22"/>
          <w:lang w:val="es-CO"/>
        </w:rPr>
        <w:t>C</w:t>
      </w:r>
      <w:r w:rsidR="00F94AEB">
        <w:rPr>
          <w:rFonts w:ascii="Arial" w:eastAsia="Calibri" w:hAnsi="Arial" w:cs="Arial"/>
          <w:bCs/>
          <w:sz w:val="22"/>
          <w:lang w:val="es-CO"/>
        </w:rPr>
        <w:t xml:space="preserve">onsejo </w:t>
      </w:r>
      <w:r w:rsidR="00791C0E">
        <w:rPr>
          <w:rFonts w:ascii="Arial" w:eastAsia="Calibri" w:hAnsi="Arial" w:cs="Arial"/>
          <w:bCs/>
          <w:sz w:val="22"/>
          <w:lang w:val="es-CO"/>
        </w:rPr>
        <w:t xml:space="preserve">al que pertenecen quienes </w:t>
      </w:r>
      <w:r w:rsidR="0093788B">
        <w:rPr>
          <w:rFonts w:ascii="Arial" w:eastAsia="Calibri" w:hAnsi="Arial" w:cs="Arial"/>
          <w:bCs/>
          <w:sz w:val="22"/>
          <w:lang w:val="es-CO"/>
        </w:rPr>
        <w:t xml:space="preserve">actúan </w:t>
      </w:r>
      <w:r w:rsidR="00F94AEB">
        <w:rPr>
          <w:rFonts w:ascii="Arial" w:eastAsia="Calibri" w:hAnsi="Arial" w:cs="Arial"/>
          <w:bCs/>
          <w:sz w:val="22"/>
          <w:lang w:val="es-CO"/>
        </w:rPr>
        <w:t xml:space="preserve">como </w:t>
      </w:r>
      <w:r w:rsidR="0093788B">
        <w:rPr>
          <w:rFonts w:ascii="Arial" w:eastAsia="Calibri" w:hAnsi="Arial" w:cs="Arial"/>
          <w:bCs/>
          <w:sz w:val="22"/>
          <w:lang w:val="es-CO"/>
        </w:rPr>
        <w:t>peticionarios</w:t>
      </w:r>
      <w:r w:rsidR="00F94AEB">
        <w:rPr>
          <w:rFonts w:ascii="Arial" w:eastAsia="Calibri" w:hAnsi="Arial" w:cs="Arial"/>
          <w:bCs/>
          <w:sz w:val="22"/>
          <w:lang w:val="es-CO"/>
        </w:rPr>
        <w:t>, sostuv</w:t>
      </w:r>
      <w:r w:rsidR="006311DB">
        <w:rPr>
          <w:rFonts w:ascii="Arial" w:eastAsia="Calibri" w:hAnsi="Arial" w:cs="Arial"/>
          <w:bCs/>
          <w:sz w:val="22"/>
          <w:lang w:val="es-CO"/>
        </w:rPr>
        <w:t>o</w:t>
      </w:r>
      <w:r w:rsidR="00F85043">
        <w:rPr>
          <w:rFonts w:ascii="Arial" w:eastAsia="Calibri" w:hAnsi="Arial" w:cs="Arial"/>
          <w:bCs/>
          <w:sz w:val="22"/>
          <w:lang w:val="es-CO"/>
        </w:rPr>
        <w:t xml:space="preserve"> la tesis que s</w:t>
      </w:r>
      <w:r w:rsidR="007C09B3">
        <w:rPr>
          <w:rFonts w:ascii="Arial" w:eastAsia="Calibri" w:hAnsi="Arial" w:cs="Arial"/>
          <w:bCs/>
          <w:sz w:val="22"/>
          <w:lang w:val="es-CO"/>
        </w:rPr>
        <w:t>e resumió de esta forma:</w:t>
      </w:r>
    </w:p>
    <w:p w14:paraId="4B8076CC" w14:textId="1A5A57E3" w:rsidR="002928A0" w:rsidRDefault="002928A0" w:rsidP="006311DB">
      <w:pPr>
        <w:tabs>
          <w:tab w:val="left" w:pos="709"/>
        </w:tabs>
        <w:spacing w:line="276" w:lineRule="auto"/>
        <w:jc w:val="both"/>
        <w:rPr>
          <w:rFonts w:ascii="Arial" w:eastAsia="Calibri" w:hAnsi="Arial" w:cs="Arial"/>
          <w:bCs/>
          <w:sz w:val="22"/>
          <w:lang w:val="es-CO"/>
        </w:rPr>
      </w:pPr>
    </w:p>
    <w:p w14:paraId="67120EC8" w14:textId="77777777" w:rsidR="002928A0" w:rsidRPr="002928A0" w:rsidRDefault="002928A0" w:rsidP="002928A0">
      <w:pPr>
        <w:tabs>
          <w:tab w:val="left" w:pos="709"/>
        </w:tabs>
        <w:ind w:left="709" w:right="709"/>
        <w:jc w:val="both"/>
        <w:rPr>
          <w:rFonts w:ascii="Arial" w:eastAsia="Calibri" w:hAnsi="Arial" w:cs="Arial"/>
          <w:bCs/>
          <w:sz w:val="21"/>
          <w:szCs w:val="21"/>
          <w:lang w:val="es-CO"/>
        </w:rPr>
      </w:pPr>
      <w:r w:rsidRPr="002928A0">
        <w:rPr>
          <w:rFonts w:ascii="Arial" w:eastAsia="Calibri" w:hAnsi="Arial" w:cs="Arial"/>
          <w:bCs/>
          <w:sz w:val="21"/>
          <w:szCs w:val="21"/>
          <w:lang w:val="es-CO"/>
        </w:rPr>
        <w:t>El COPNIA, en escrito visible a folio 27 del cuaderno de la medida cautelar, señala que el Concepto demandado no es un acto administrativo y que fue expedido en cumplimiento de lo dispuesto en el artículo 28 del CPACA, el cual establece que «Salvo disposición legal en contrario, los conceptos emitidos por las autoridades como respuestas a peticiones realizadas en ejercicio del derecho a formular consultas no serán de obligatorio cumplimiento o ejecución».</w:t>
      </w:r>
    </w:p>
    <w:p w14:paraId="3ACDEC04" w14:textId="77777777" w:rsidR="002928A0" w:rsidRPr="002928A0" w:rsidRDefault="002928A0" w:rsidP="002928A0">
      <w:pPr>
        <w:tabs>
          <w:tab w:val="left" w:pos="709"/>
        </w:tabs>
        <w:ind w:left="709" w:right="709"/>
        <w:jc w:val="both"/>
        <w:rPr>
          <w:rFonts w:ascii="Arial" w:eastAsia="Calibri" w:hAnsi="Arial" w:cs="Arial"/>
          <w:bCs/>
          <w:sz w:val="21"/>
          <w:szCs w:val="21"/>
          <w:lang w:val="es-CO"/>
        </w:rPr>
      </w:pPr>
    </w:p>
    <w:p w14:paraId="16EA68E6" w14:textId="08E43BBC" w:rsidR="002928A0" w:rsidRPr="002928A0" w:rsidRDefault="002928A0" w:rsidP="002928A0">
      <w:pPr>
        <w:tabs>
          <w:tab w:val="left" w:pos="709"/>
        </w:tabs>
        <w:ind w:left="709" w:right="709"/>
        <w:jc w:val="both"/>
        <w:rPr>
          <w:rFonts w:ascii="Arial" w:eastAsia="Calibri" w:hAnsi="Arial" w:cs="Arial"/>
          <w:bCs/>
          <w:sz w:val="21"/>
          <w:szCs w:val="21"/>
          <w:lang w:val="es-CO"/>
        </w:rPr>
      </w:pPr>
      <w:r w:rsidRPr="002928A0">
        <w:rPr>
          <w:rFonts w:ascii="Arial" w:eastAsia="Calibri" w:hAnsi="Arial" w:cs="Arial"/>
          <w:bCs/>
          <w:sz w:val="21"/>
          <w:szCs w:val="21"/>
          <w:lang w:val="es-CO"/>
        </w:rPr>
        <w:t>Advierte que, el Concepto NAL-CE 2013-05276 de 17 de septiembre de 2013 se limita a señalar lo que preceptúa la Ley 842 en relación con el ejercicio legal de la profesión de ingeniero en Colombia, esto es, que la experiencia profesional se cuenta a partir de la fecha de expedición de la matrícula profesional, por lo que no puede afirmarse que el Concepto cree, modifique o extinga una situación jurídica particular.</w:t>
      </w:r>
    </w:p>
    <w:p w14:paraId="2071CB10" w14:textId="4887EDB8" w:rsidR="002928A0" w:rsidRDefault="002928A0" w:rsidP="006311DB">
      <w:pPr>
        <w:tabs>
          <w:tab w:val="left" w:pos="709"/>
        </w:tabs>
        <w:spacing w:line="276" w:lineRule="auto"/>
        <w:jc w:val="both"/>
        <w:rPr>
          <w:rFonts w:ascii="Arial" w:eastAsia="Calibri" w:hAnsi="Arial" w:cs="Arial"/>
          <w:bCs/>
          <w:sz w:val="22"/>
          <w:lang w:val="es-CO"/>
        </w:rPr>
      </w:pPr>
    </w:p>
    <w:p w14:paraId="3D8EA1A4" w14:textId="38F81229" w:rsidR="00566672" w:rsidRDefault="0093788B" w:rsidP="001946FB">
      <w:pPr>
        <w:tabs>
          <w:tab w:val="left" w:pos="709"/>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sidR="006311DB">
        <w:rPr>
          <w:rFonts w:ascii="Arial" w:eastAsia="Calibri" w:hAnsi="Arial" w:cs="Arial"/>
          <w:bCs/>
          <w:sz w:val="22"/>
          <w:lang w:val="es-ES_tradnl"/>
        </w:rPr>
        <w:t>En términos generales, l</w:t>
      </w:r>
      <w:r w:rsidR="00E021AA">
        <w:rPr>
          <w:rFonts w:ascii="Arial" w:eastAsia="Calibri" w:hAnsi="Arial" w:cs="Arial"/>
          <w:bCs/>
          <w:sz w:val="22"/>
          <w:lang w:val="es-ES_tradnl"/>
        </w:rPr>
        <w:t xml:space="preserve">o que se busca es </w:t>
      </w:r>
      <w:r w:rsidR="00034503">
        <w:rPr>
          <w:rFonts w:ascii="Arial" w:eastAsia="Calibri" w:hAnsi="Arial" w:cs="Arial"/>
          <w:bCs/>
          <w:sz w:val="22"/>
          <w:lang w:val="es-ES_tradnl"/>
        </w:rPr>
        <w:t xml:space="preserve">que </w:t>
      </w:r>
      <w:r w:rsidR="005410AD">
        <w:rPr>
          <w:rFonts w:ascii="Arial" w:eastAsia="Calibri" w:hAnsi="Arial" w:cs="Arial"/>
          <w:bCs/>
          <w:sz w:val="22"/>
          <w:lang w:val="es-ES_tradnl"/>
        </w:rPr>
        <w:t>la</w:t>
      </w:r>
      <w:r w:rsidR="00E021AA">
        <w:rPr>
          <w:rFonts w:ascii="Arial" w:eastAsia="Calibri" w:hAnsi="Arial" w:cs="Arial"/>
          <w:bCs/>
          <w:sz w:val="22"/>
          <w:lang w:val="es-ES_tradnl"/>
        </w:rPr>
        <w:t xml:space="preserve"> opinión jurídica </w:t>
      </w:r>
      <w:r w:rsidR="005410AD">
        <w:rPr>
          <w:rFonts w:ascii="Arial" w:eastAsia="Calibri" w:hAnsi="Arial" w:cs="Arial"/>
          <w:bCs/>
          <w:sz w:val="22"/>
          <w:lang w:val="es-ES_tradnl"/>
        </w:rPr>
        <w:t xml:space="preserve">de la entidad </w:t>
      </w:r>
      <w:r w:rsidR="00E021AA">
        <w:rPr>
          <w:rFonts w:ascii="Arial" w:eastAsia="Calibri" w:hAnsi="Arial" w:cs="Arial"/>
          <w:bCs/>
          <w:sz w:val="22"/>
          <w:lang w:val="es-ES_tradnl"/>
        </w:rPr>
        <w:t xml:space="preserve">sirva a los ciudadanos y a la administración </w:t>
      </w:r>
      <w:r w:rsidR="008D1706">
        <w:rPr>
          <w:rFonts w:ascii="Arial" w:eastAsia="Calibri" w:hAnsi="Arial" w:cs="Arial"/>
          <w:bCs/>
          <w:sz w:val="22"/>
          <w:lang w:val="es-ES_tradnl"/>
        </w:rPr>
        <w:t xml:space="preserve">pública </w:t>
      </w:r>
      <w:r w:rsidR="00E021AA">
        <w:rPr>
          <w:rFonts w:ascii="Arial" w:eastAsia="Calibri" w:hAnsi="Arial" w:cs="Arial"/>
          <w:bCs/>
          <w:sz w:val="22"/>
          <w:lang w:val="es-ES_tradnl"/>
        </w:rPr>
        <w:t xml:space="preserve">para el </w:t>
      </w:r>
      <w:r w:rsidR="006311DB">
        <w:rPr>
          <w:rFonts w:ascii="Arial" w:eastAsia="Calibri" w:hAnsi="Arial" w:cs="Arial"/>
          <w:bCs/>
          <w:sz w:val="22"/>
          <w:lang w:val="es-ES_tradnl"/>
        </w:rPr>
        <w:t>ejercicio de sus derechos y la defensa de sus intereses</w:t>
      </w:r>
      <w:r w:rsidR="008D1706">
        <w:rPr>
          <w:rFonts w:ascii="Arial" w:eastAsia="Calibri" w:hAnsi="Arial" w:cs="Arial"/>
          <w:bCs/>
          <w:sz w:val="22"/>
          <w:lang w:val="es-ES_tradnl"/>
        </w:rPr>
        <w:t xml:space="preserve">, y como criterio de orientación </w:t>
      </w:r>
      <w:r w:rsidR="006311DB">
        <w:rPr>
          <w:rFonts w:ascii="Arial" w:eastAsia="Calibri" w:hAnsi="Arial" w:cs="Arial"/>
          <w:bCs/>
          <w:sz w:val="22"/>
          <w:lang w:val="es-ES_tradnl"/>
        </w:rPr>
        <w:t xml:space="preserve">para </w:t>
      </w:r>
      <w:r w:rsidR="0002242D">
        <w:rPr>
          <w:rFonts w:ascii="Arial" w:eastAsia="Calibri" w:hAnsi="Arial" w:cs="Arial"/>
          <w:bCs/>
          <w:sz w:val="22"/>
          <w:lang w:val="es-ES_tradnl"/>
        </w:rPr>
        <w:t xml:space="preserve">el </w:t>
      </w:r>
      <w:r w:rsidR="006311DB">
        <w:rPr>
          <w:rFonts w:ascii="Arial" w:eastAsia="Calibri" w:hAnsi="Arial" w:cs="Arial"/>
          <w:bCs/>
          <w:sz w:val="22"/>
          <w:lang w:val="es-ES_tradnl"/>
        </w:rPr>
        <w:t>cumplimiento de sus competencias</w:t>
      </w:r>
      <w:r w:rsidR="008D1706">
        <w:rPr>
          <w:rFonts w:ascii="Arial" w:eastAsia="Calibri" w:hAnsi="Arial" w:cs="Arial"/>
          <w:bCs/>
          <w:sz w:val="22"/>
          <w:lang w:val="es-ES_tradnl"/>
        </w:rPr>
        <w:t xml:space="preserve"> legales</w:t>
      </w:r>
      <w:r w:rsidR="006311DB">
        <w:rPr>
          <w:rFonts w:ascii="Arial" w:eastAsia="Calibri" w:hAnsi="Arial" w:cs="Arial"/>
          <w:bCs/>
          <w:sz w:val="22"/>
          <w:lang w:val="es-ES_tradnl"/>
        </w:rPr>
        <w:t>,</w:t>
      </w:r>
      <w:r w:rsidR="0002242D">
        <w:rPr>
          <w:rFonts w:ascii="Arial" w:eastAsia="Calibri" w:hAnsi="Arial" w:cs="Arial"/>
          <w:bCs/>
          <w:sz w:val="22"/>
          <w:lang w:val="es-ES_tradnl"/>
        </w:rPr>
        <w:t xml:space="preserve"> sin que</w:t>
      </w:r>
      <w:r>
        <w:rPr>
          <w:rFonts w:ascii="Arial" w:eastAsia="Calibri" w:hAnsi="Arial" w:cs="Arial"/>
          <w:bCs/>
          <w:sz w:val="22"/>
          <w:lang w:val="es-ES_tradnl"/>
        </w:rPr>
        <w:t xml:space="preserve"> tome</w:t>
      </w:r>
      <w:r w:rsidR="0002242D">
        <w:rPr>
          <w:rFonts w:ascii="Arial" w:eastAsia="Calibri" w:hAnsi="Arial" w:cs="Arial"/>
          <w:bCs/>
          <w:sz w:val="22"/>
          <w:lang w:val="es-ES_tradnl"/>
        </w:rPr>
        <w:t xml:space="preserve"> partida por </w:t>
      </w:r>
      <w:r w:rsidR="009D049D">
        <w:rPr>
          <w:rFonts w:ascii="Arial" w:eastAsia="Calibri" w:hAnsi="Arial" w:cs="Arial"/>
          <w:bCs/>
          <w:sz w:val="22"/>
          <w:lang w:val="es-ES_tradnl"/>
        </w:rPr>
        <w:t>uno u otro</w:t>
      </w:r>
      <w:r w:rsidR="0002242D">
        <w:rPr>
          <w:rFonts w:ascii="Arial" w:eastAsia="Calibri" w:hAnsi="Arial" w:cs="Arial"/>
          <w:bCs/>
          <w:sz w:val="22"/>
          <w:lang w:val="es-ES_tradnl"/>
        </w:rPr>
        <w:t xml:space="preserve">, pues a la autoridad que emite el concepto </w:t>
      </w:r>
      <w:r w:rsidR="00E021AA">
        <w:rPr>
          <w:rFonts w:ascii="Arial" w:eastAsia="Calibri" w:hAnsi="Arial" w:cs="Arial"/>
          <w:bCs/>
          <w:sz w:val="22"/>
          <w:lang w:val="es-ES_tradnl"/>
        </w:rPr>
        <w:t>no le compete resolver una controversia</w:t>
      </w:r>
      <w:r w:rsidR="008D1706">
        <w:rPr>
          <w:rFonts w:ascii="Arial" w:eastAsia="Calibri" w:hAnsi="Arial" w:cs="Arial"/>
          <w:bCs/>
          <w:sz w:val="22"/>
          <w:lang w:val="es-ES_tradnl"/>
        </w:rPr>
        <w:t xml:space="preserve"> o prevenir una problemática</w:t>
      </w:r>
      <w:r w:rsidR="00E021AA">
        <w:rPr>
          <w:rFonts w:ascii="Arial" w:eastAsia="Calibri" w:hAnsi="Arial" w:cs="Arial"/>
          <w:bCs/>
          <w:sz w:val="22"/>
          <w:lang w:val="es-ES_tradnl"/>
        </w:rPr>
        <w:t xml:space="preserve">, esto es, no le corresponde determinar </w:t>
      </w:r>
      <w:r>
        <w:rPr>
          <w:rFonts w:ascii="Arial" w:eastAsia="Calibri" w:hAnsi="Arial" w:cs="Arial"/>
          <w:bCs/>
          <w:sz w:val="22"/>
          <w:lang w:val="es-ES_tradnl"/>
        </w:rPr>
        <w:t xml:space="preserve">quién </w:t>
      </w:r>
      <w:r w:rsidR="00E021AA">
        <w:rPr>
          <w:rFonts w:ascii="Arial" w:eastAsia="Calibri" w:hAnsi="Arial" w:cs="Arial"/>
          <w:bCs/>
          <w:sz w:val="22"/>
          <w:lang w:val="es-ES_tradnl"/>
        </w:rPr>
        <w:t>tienen la razón en su interpretación</w:t>
      </w:r>
      <w:r w:rsidR="005410AD">
        <w:rPr>
          <w:rFonts w:ascii="Arial" w:eastAsia="Calibri" w:hAnsi="Arial" w:cs="Arial"/>
          <w:bCs/>
          <w:sz w:val="22"/>
          <w:lang w:val="es-ES_tradnl"/>
        </w:rPr>
        <w:t xml:space="preserve"> normativa. Esto</w:t>
      </w:r>
      <w:r>
        <w:rPr>
          <w:rFonts w:ascii="Arial" w:eastAsia="Calibri" w:hAnsi="Arial" w:cs="Arial"/>
          <w:bCs/>
          <w:sz w:val="22"/>
          <w:lang w:val="es-ES_tradnl"/>
        </w:rPr>
        <w:t xml:space="preserve"> </w:t>
      </w:r>
      <w:r w:rsidR="005410AD">
        <w:rPr>
          <w:rFonts w:ascii="Arial" w:eastAsia="Calibri" w:hAnsi="Arial" w:cs="Arial"/>
          <w:bCs/>
          <w:sz w:val="22"/>
          <w:lang w:val="es-ES_tradnl"/>
        </w:rPr>
        <w:t>no descarta que</w:t>
      </w:r>
      <w:r w:rsidR="002928A0">
        <w:rPr>
          <w:rFonts w:ascii="Arial" w:eastAsia="Calibri" w:hAnsi="Arial" w:cs="Arial"/>
          <w:bCs/>
          <w:sz w:val="22"/>
          <w:lang w:val="es-ES_tradnl"/>
        </w:rPr>
        <w:t>,</w:t>
      </w:r>
      <w:r w:rsidR="005410AD">
        <w:rPr>
          <w:rFonts w:ascii="Arial" w:eastAsia="Calibri" w:hAnsi="Arial" w:cs="Arial"/>
          <w:bCs/>
          <w:sz w:val="22"/>
          <w:lang w:val="es-ES_tradnl"/>
        </w:rPr>
        <w:t xml:space="preserve"> en</w:t>
      </w:r>
      <w:r w:rsidR="00E021AA">
        <w:rPr>
          <w:rFonts w:ascii="Arial" w:eastAsia="Calibri" w:hAnsi="Arial" w:cs="Arial"/>
          <w:bCs/>
          <w:sz w:val="22"/>
          <w:lang w:val="es-ES_tradnl"/>
        </w:rPr>
        <w:t xml:space="preserve"> la práctica, al </w:t>
      </w:r>
      <w:r w:rsidR="005410AD">
        <w:rPr>
          <w:rFonts w:ascii="Arial" w:eastAsia="Calibri" w:hAnsi="Arial" w:cs="Arial"/>
          <w:bCs/>
          <w:sz w:val="22"/>
          <w:lang w:val="es-ES_tradnl"/>
        </w:rPr>
        <w:t xml:space="preserve">emitirse la opinión sobre la </w:t>
      </w:r>
      <w:r w:rsidR="00E021AA">
        <w:rPr>
          <w:rFonts w:ascii="Arial" w:eastAsia="Calibri" w:hAnsi="Arial" w:cs="Arial"/>
          <w:bCs/>
          <w:sz w:val="22"/>
          <w:lang w:val="es-ES_tradnl"/>
        </w:rPr>
        <w:t>interpreta</w:t>
      </w:r>
      <w:r w:rsidR="005410AD">
        <w:rPr>
          <w:rFonts w:ascii="Arial" w:eastAsia="Calibri" w:hAnsi="Arial" w:cs="Arial"/>
          <w:bCs/>
          <w:sz w:val="22"/>
          <w:lang w:val="es-ES_tradnl"/>
        </w:rPr>
        <w:t>ción d</w:t>
      </w:r>
      <w:r w:rsidR="00E021AA">
        <w:rPr>
          <w:rFonts w:ascii="Arial" w:eastAsia="Calibri" w:hAnsi="Arial" w:cs="Arial"/>
          <w:bCs/>
          <w:sz w:val="22"/>
          <w:lang w:val="es-ES_tradnl"/>
        </w:rPr>
        <w:t xml:space="preserve">el ordenamiento </w:t>
      </w:r>
      <w:r w:rsidR="00E021AA">
        <w:rPr>
          <w:rFonts w:ascii="Arial" w:eastAsia="Calibri" w:hAnsi="Arial" w:cs="Arial"/>
          <w:bCs/>
          <w:sz w:val="22"/>
          <w:lang w:val="es-ES_tradnl"/>
        </w:rPr>
        <w:lastRenderedPageBreak/>
        <w:t>jurídico</w:t>
      </w:r>
      <w:r w:rsidR="005410AD">
        <w:rPr>
          <w:rFonts w:ascii="Arial" w:eastAsia="Calibri" w:hAnsi="Arial" w:cs="Arial"/>
          <w:bCs/>
          <w:sz w:val="22"/>
          <w:lang w:val="es-ES_tradnl"/>
        </w:rPr>
        <w:t>,</w:t>
      </w:r>
      <w:r w:rsidR="00E021AA">
        <w:rPr>
          <w:rFonts w:ascii="Arial" w:eastAsia="Calibri" w:hAnsi="Arial" w:cs="Arial"/>
          <w:bCs/>
          <w:sz w:val="22"/>
          <w:lang w:val="es-ES_tradnl"/>
        </w:rPr>
        <w:t xml:space="preserve"> </w:t>
      </w:r>
      <w:r w:rsidR="0002242D">
        <w:rPr>
          <w:rFonts w:ascii="Arial" w:eastAsia="Calibri" w:hAnsi="Arial" w:cs="Arial"/>
          <w:bCs/>
          <w:sz w:val="22"/>
          <w:lang w:val="es-ES_tradnl"/>
        </w:rPr>
        <w:t>exist</w:t>
      </w:r>
      <w:r w:rsidR="00E6662F">
        <w:rPr>
          <w:rFonts w:ascii="Arial" w:eastAsia="Calibri" w:hAnsi="Arial" w:cs="Arial"/>
          <w:bCs/>
          <w:sz w:val="22"/>
          <w:lang w:val="es-ES_tradnl"/>
        </w:rPr>
        <w:t>a</w:t>
      </w:r>
      <w:r w:rsidR="0002242D">
        <w:rPr>
          <w:rFonts w:ascii="Arial" w:eastAsia="Calibri" w:hAnsi="Arial" w:cs="Arial"/>
          <w:bCs/>
          <w:sz w:val="22"/>
          <w:lang w:val="es-ES_tradnl"/>
        </w:rPr>
        <w:t xml:space="preserve"> coincidencia con el criterio que expone alguna de las partes</w:t>
      </w:r>
      <w:r w:rsidR="005410AD">
        <w:rPr>
          <w:rFonts w:ascii="Arial" w:eastAsia="Calibri" w:hAnsi="Arial" w:cs="Arial"/>
          <w:bCs/>
          <w:sz w:val="22"/>
          <w:lang w:val="es-ES_tradnl"/>
        </w:rPr>
        <w:t xml:space="preserve"> o la persona que solicita la consulta</w:t>
      </w:r>
      <w:r w:rsidR="0002242D">
        <w:rPr>
          <w:rFonts w:ascii="Arial" w:eastAsia="Calibri" w:hAnsi="Arial" w:cs="Arial"/>
          <w:bCs/>
          <w:sz w:val="22"/>
          <w:lang w:val="es-ES_tradnl"/>
        </w:rPr>
        <w:t xml:space="preserve">, </w:t>
      </w:r>
      <w:r w:rsidR="00E6662F">
        <w:rPr>
          <w:rFonts w:ascii="Arial" w:eastAsia="Calibri" w:hAnsi="Arial" w:cs="Arial"/>
          <w:bCs/>
          <w:sz w:val="22"/>
          <w:lang w:val="es-ES_tradnl"/>
        </w:rPr>
        <w:t xml:space="preserve">circunstancia que </w:t>
      </w:r>
      <w:r w:rsidR="0002242D">
        <w:rPr>
          <w:rFonts w:ascii="Arial" w:eastAsia="Calibri" w:hAnsi="Arial" w:cs="Arial"/>
          <w:bCs/>
          <w:sz w:val="22"/>
          <w:lang w:val="es-ES_tradnl"/>
        </w:rPr>
        <w:t xml:space="preserve">no descarta </w:t>
      </w:r>
      <w:r w:rsidR="005410AD">
        <w:rPr>
          <w:rFonts w:ascii="Arial" w:eastAsia="Calibri" w:hAnsi="Arial" w:cs="Arial"/>
          <w:bCs/>
          <w:sz w:val="22"/>
          <w:lang w:val="es-ES_tradnl"/>
        </w:rPr>
        <w:t>interpretaciones diferentes</w:t>
      </w:r>
      <w:r w:rsidR="0002242D">
        <w:rPr>
          <w:rFonts w:ascii="Arial" w:eastAsia="Calibri" w:hAnsi="Arial" w:cs="Arial"/>
          <w:bCs/>
          <w:sz w:val="22"/>
          <w:lang w:val="es-ES_tradnl"/>
        </w:rPr>
        <w:t xml:space="preserve"> y, mucho menos, </w:t>
      </w:r>
      <w:r w:rsidR="005410AD">
        <w:rPr>
          <w:rFonts w:ascii="Arial" w:eastAsia="Calibri" w:hAnsi="Arial" w:cs="Arial"/>
          <w:bCs/>
          <w:sz w:val="22"/>
          <w:lang w:val="es-ES_tradnl"/>
        </w:rPr>
        <w:t xml:space="preserve">valida la del peticionario, </w:t>
      </w:r>
      <w:r w:rsidR="00E6662F">
        <w:rPr>
          <w:rFonts w:ascii="Arial" w:eastAsia="Calibri" w:hAnsi="Arial" w:cs="Arial"/>
          <w:bCs/>
          <w:sz w:val="22"/>
          <w:lang w:val="es-ES_tradnl"/>
        </w:rPr>
        <w:t>ya que</w:t>
      </w:r>
      <w:r w:rsidR="005410AD">
        <w:rPr>
          <w:rFonts w:ascii="Arial" w:eastAsia="Calibri" w:hAnsi="Arial" w:cs="Arial"/>
          <w:bCs/>
          <w:sz w:val="22"/>
          <w:lang w:val="es-ES_tradnl"/>
        </w:rPr>
        <w:t xml:space="preserve"> las competencias consultivas no lo permit</w:t>
      </w:r>
      <w:r w:rsidR="00E6662F">
        <w:rPr>
          <w:rFonts w:ascii="Arial" w:eastAsia="Calibri" w:hAnsi="Arial" w:cs="Arial"/>
          <w:bCs/>
          <w:sz w:val="22"/>
          <w:lang w:val="es-ES_tradnl"/>
        </w:rPr>
        <w:t>en</w:t>
      </w:r>
      <w:r w:rsidR="0002242D">
        <w:rPr>
          <w:rFonts w:ascii="Arial" w:eastAsia="Calibri" w:hAnsi="Arial" w:cs="Arial"/>
          <w:bCs/>
          <w:sz w:val="22"/>
          <w:lang w:val="es-ES_tradnl"/>
        </w:rPr>
        <w:t>.</w:t>
      </w:r>
      <w:r w:rsidR="00E021AA">
        <w:rPr>
          <w:rFonts w:ascii="Arial" w:eastAsia="Calibri" w:hAnsi="Arial" w:cs="Arial"/>
          <w:bCs/>
          <w:sz w:val="22"/>
          <w:lang w:val="es-ES_tradnl"/>
        </w:rPr>
        <w:t xml:space="preserve"> </w:t>
      </w:r>
      <w:r w:rsidR="00566672">
        <w:rPr>
          <w:rFonts w:ascii="Arial" w:eastAsia="Calibri" w:hAnsi="Arial" w:cs="Arial"/>
          <w:bCs/>
          <w:sz w:val="22"/>
          <w:lang w:val="es-ES_tradnl"/>
        </w:rPr>
        <w:t>Al respecto, el profesor Enrique José Arboleda Perdomo, al interpretar el artículo transcrito, expuso lo siguiente:</w:t>
      </w:r>
    </w:p>
    <w:p w14:paraId="48BD0AE2" w14:textId="7D83B8D0" w:rsidR="00566672" w:rsidRDefault="00566672" w:rsidP="001946FB">
      <w:pPr>
        <w:tabs>
          <w:tab w:val="left" w:pos="709"/>
        </w:tabs>
        <w:spacing w:line="276" w:lineRule="auto"/>
        <w:jc w:val="both"/>
        <w:rPr>
          <w:rFonts w:ascii="Arial" w:eastAsia="Calibri" w:hAnsi="Arial" w:cs="Arial"/>
          <w:bCs/>
          <w:sz w:val="22"/>
          <w:lang w:val="es-ES_tradnl"/>
        </w:rPr>
      </w:pPr>
    </w:p>
    <w:p w14:paraId="03EF321D" w14:textId="1FDD9087" w:rsidR="00566672" w:rsidRPr="00566672" w:rsidRDefault="00566672" w:rsidP="001946FB">
      <w:pPr>
        <w:tabs>
          <w:tab w:val="left" w:pos="709"/>
        </w:tabs>
        <w:spacing w:after="120"/>
        <w:ind w:left="709" w:right="709"/>
        <w:jc w:val="both"/>
        <w:rPr>
          <w:rFonts w:ascii="Arial" w:eastAsia="Calibri" w:hAnsi="Arial" w:cs="Arial"/>
          <w:bCs/>
          <w:sz w:val="21"/>
          <w:szCs w:val="21"/>
          <w:lang w:val="es-ES_tradnl"/>
        </w:rPr>
      </w:pPr>
      <w:r w:rsidRPr="00566672">
        <w:rPr>
          <w:rFonts w:ascii="Arial" w:eastAsia="Calibri" w:hAnsi="Arial" w:cs="Arial"/>
          <w:bCs/>
          <w:sz w:val="21"/>
          <w:szCs w:val="21"/>
          <w:lang w:val="es-ES_tradnl"/>
        </w:rPr>
        <w:t xml:space="preserve">El artículo 28 regula los efectos jurídicos de los conceptos que emita la entidad como respuesta a las consultas que le formulen los particulares, ordenando que </w:t>
      </w:r>
      <w:r w:rsidRPr="00566672">
        <w:rPr>
          <w:rFonts w:ascii="Arial" w:eastAsia="Calibri" w:hAnsi="Arial" w:cs="Arial"/>
          <w:bCs/>
          <w:i/>
          <w:iCs/>
          <w:sz w:val="21"/>
          <w:szCs w:val="21"/>
          <w:lang w:val="es-ES_tradnl"/>
        </w:rPr>
        <w:t>no serán de obligatorio cumplimiento o ejecución</w:t>
      </w:r>
      <w:r w:rsidRPr="00566672">
        <w:rPr>
          <w:rFonts w:ascii="Arial" w:eastAsia="Calibri" w:hAnsi="Arial" w:cs="Arial"/>
          <w:bCs/>
          <w:sz w:val="21"/>
          <w:szCs w:val="21"/>
          <w:lang w:val="es-ES_tradnl"/>
        </w:rPr>
        <w:t>. De este mandato surgen las siguientes consideraciones:</w:t>
      </w:r>
    </w:p>
    <w:p w14:paraId="36DCB213" w14:textId="11FE5886" w:rsidR="00566672" w:rsidRPr="00566672" w:rsidRDefault="00566672" w:rsidP="001946FB">
      <w:pPr>
        <w:tabs>
          <w:tab w:val="left" w:pos="709"/>
        </w:tabs>
        <w:spacing w:after="120"/>
        <w:ind w:left="709" w:right="709"/>
        <w:jc w:val="both"/>
        <w:rPr>
          <w:rFonts w:ascii="Arial" w:eastAsia="Calibri" w:hAnsi="Arial" w:cs="Arial"/>
          <w:bCs/>
          <w:sz w:val="21"/>
          <w:szCs w:val="21"/>
        </w:rPr>
      </w:pPr>
      <w:r w:rsidRPr="00566672">
        <w:rPr>
          <w:rFonts w:ascii="Arial" w:eastAsia="Calibri" w:hAnsi="Arial" w:cs="Arial"/>
          <w:bCs/>
          <w:sz w:val="21"/>
          <w:szCs w:val="21"/>
          <w:lang w:val="es-ES_tradnl"/>
        </w:rPr>
        <w:t xml:space="preserve">La primera, </w:t>
      </w:r>
      <w:r w:rsidRPr="00566672">
        <w:rPr>
          <w:rFonts w:ascii="Arial" w:eastAsia="Calibri" w:hAnsi="Arial" w:cs="Arial"/>
          <w:bCs/>
          <w:sz w:val="21"/>
          <w:szCs w:val="21"/>
        </w:rPr>
        <w:t>que un concepto no es un acto administrativo de contenido particular pues en sí mismo no contiene una manifestación de la voluntad de la administración que tenga la virtualidad de producir efectos jurídicos vinculantes, en relación con el peticionario, con la autoridad que conceptúa y aún frente a terceros que pudieran estar interesados en la respuesta.</w:t>
      </w:r>
    </w:p>
    <w:p w14:paraId="1A2E1302" w14:textId="6596B91C" w:rsidR="00566672" w:rsidRPr="00566672" w:rsidRDefault="00566672" w:rsidP="001946FB">
      <w:pPr>
        <w:tabs>
          <w:tab w:val="left" w:pos="709"/>
        </w:tabs>
        <w:spacing w:after="120"/>
        <w:ind w:left="709" w:right="709"/>
        <w:jc w:val="both"/>
        <w:rPr>
          <w:rFonts w:ascii="Arial" w:eastAsia="Calibri" w:hAnsi="Arial" w:cs="Arial"/>
          <w:bCs/>
          <w:sz w:val="21"/>
          <w:szCs w:val="21"/>
        </w:rPr>
      </w:pPr>
      <w:r w:rsidRPr="00566672">
        <w:rPr>
          <w:rFonts w:ascii="Arial" w:eastAsia="Calibri" w:hAnsi="Arial" w:cs="Arial"/>
          <w:bCs/>
          <w:sz w:val="21"/>
          <w:szCs w:val="21"/>
        </w:rPr>
        <w:t>La segunda, que la forma como la administración actúa de manera vinculante para sí misma y para la Generalidad de las personas es el reglamento</w:t>
      </w:r>
      <w:r w:rsidR="00A76A74">
        <w:rPr>
          <w:rFonts w:ascii="Arial" w:eastAsia="Calibri" w:hAnsi="Arial" w:cs="Arial"/>
          <w:bCs/>
          <w:sz w:val="21"/>
          <w:szCs w:val="21"/>
        </w:rPr>
        <w:t>,</w:t>
      </w:r>
      <w:r w:rsidRPr="00566672">
        <w:rPr>
          <w:rFonts w:ascii="Arial" w:eastAsia="Calibri" w:hAnsi="Arial" w:cs="Arial"/>
          <w:bCs/>
          <w:sz w:val="21"/>
          <w:szCs w:val="21"/>
        </w:rPr>
        <w:t xml:space="preserve"> no sólo a través de la potestad reglamentaria propia del presidente de la República coma sino a través de los demás reglamentos de la administración en el preciso marco de las competencias de cada organismo o entidad</w:t>
      </w:r>
      <w:r w:rsidR="008D1706">
        <w:rPr>
          <w:rFonts w:ascii="Arial" w:eastAsia="Calibri" w:hAnsi="Arial" w:cs="Arial"/>
          <w:bCs/>
          <w:sz w:val="21"/>
          <w:szCs w:val="21"/>
        </w:rPr>
        <w:t xml:space="preserve">, </w:t>
      </w:r>
      <w:r w:rsidRPr="00566672">
        <w:rPr>
          <w:rFonts w:ascii="Arial" w:eastAsia="Calibri" w:hAnsi="Arial" w:cs="Arial"/>
          <w:bCs/>
          <w:sz w:val="21"/>
          <w:szCs w:val="21"/>
        </w:rPr>
        <w:t xml:space="preserve">por lo cual los conceptos emitidos no pueden suplir ni menos aún competir con los reglamentos. </w:t>
      </w:r>
    </w:p>
    <w:p w14:paraId="1FC75C1C" w14:textId="1CD9A285" w:rsidR="00566672" w:rsidRPr="00566672" w:rsidRDefault="00566672" w:rsidP="00566672">
      <w:pPr>
        <w:tabs>
          <w:tab w:val="left" w:pos="709"/>
        </w:tabs>
        <w:ind w:left="709" w:right="709"/>
        <w:jc w:val="both"/>
        <w:rPr>
          <w:rFonts w:ascii="Arial" w:eastAsia="Calibri" w:hAnsi="Arial" w:cs="Arial"/>
          <w:bCs/>
          <w:sz w:val="21"/>
          <w:szCs w:val="21"/>
          <w:lang w:val="es-ES_tradnl"/>
        </w:rPr>
      </w:pPr>
      <w:r w:rsidRPr="00566672">
        <w:rPr>
          <w:rFonts w:ascii="Arial" w:eastAsia="Calibri" w:hAnsi="Arial" w:cs="Arial"/>
          <w:bCs/>
          <w:sz w:val="21"/>
          <w:szCs w:val="21"/>
        </w:rPr>
        <w:t>La tercera, que los conceptos no pueden interpretar la ley en el sentido de darle un alcance o proferir un sentido frente a otro posible</w:t>
      </w:r>
      <w:r w:rsidR="008D1706">
        <w:rPr>
          <w:rFonts w:ascii="Arial" w:eastAsia="Calibri" w:hAnsi="Arial" w:cs="Arial"/>
          <w:bCs/>
          <w:sz w:val="21"/>
          <w:szCs w:val="21"/>
        </w:rPr>
        <w:t>,</w:t>
      </w:r>
      <w:r w:rsidRPr="00566672">
        <w:rPr>
          <w:rFonts w:ascii="Arial" w:eastAsia="Calibri" w:hAnsi="Arial" w:cs="Arial"/>
          <w:bCs/>
          <w:sz w:val="21"/>
          <w:szCs w:val="21"/>
        </w:rPr>
        <w:t xml:space="preserve"> se limitan a explicar las competencias a cargo de la entidad y la forma de ejercerlas</w:t>
      </w:r>
      <w:r w:rsidR="008D1706">
        <w:rPr>
          <w:rFonts w:ascii="Arial" w:eastAsia="Calibri" w:hAnsi="Arial" w:cs="Arial"/>
          <w:bCs/>
          <w:sz w:val="21"/>
          <w:szCs w:val="21"/>
        </w:rPr>
        <w:t xml:space="preserve">, </w:t>
      </w:r>
      <w:r w:rsidRPr="00566672">
        <w:rPr>
          <w:rFonts w:ascii="Arial" w:eastAsia="Calibri" w:hAnsi="Arial" w:cs="Arial"/>
          <w:bCs/>
          <w:sz w:val="21"/>
          <w:szCs w:val="21"/>
        </w:rPr>
        <w:t>con el fin de orientar a los particulares en el cumplimiento de sus deberes o el ejercicio de sus derechos</w:t>
      </w:r>
      <w:r w:rsidR="00E6662F">
        <w:rPr>
          <w:rStyle w:val="Refdenotaalpie"/>
          <w:rFonts w:ascii="Arial" w:eastAsia="Calibri" w:hAnsi="Arial" w:cs="Arial"/>
          <w:bCs/>
          <w:sz w:val="22"/>
          <w:lang w:val="es-ES_tradnl"/>
        </w:rPr>
        <w:footnoteReference w:id="9"/>
      </w:r>
      <w:r w:rsidRPr="00566672">
        <w:rPr>
          <w:rFonts w:ascii="Arial" w:eastAsia="Calibri" w:hAnsi="Arial" w:cs="Arial"/>
          <w:bCs/>
          <w:sz w:val="21"/>
          <w:szCs w:val="21"/>
        </w:rPr>
        <w:t>.</w:t>
      </w:r>
    </w:p>
    <w:p w14:paraId="526252E0" w14:textId="2112501E" w:rsidR="00566672" w:rsidRDefault="00566672" w:rsidP="007836C4">
      <w:pPr>
        <w:tabs>
          <w:tab w:val="left" w:pos="709"/>
        </w:tabs>
        <w:jc w:val="both"/>
        <w:rPr>
          <w:rFonts w:ascii="Arial" w:eastAsia="Calibri" w:hAnsi="Arial" w:cs="Arial"/>
          <w:bCs/>
          <w:sz w:val="22"/>
          <w:lang w:val="es-ES_tradnl"/>
        </w:rPr>
      </w:pPr>
    </w:p>
    <w:p w14:paraId="54450A7D" w14:textId="77D2FB1A" w:rsidR="002E7BC5" w:rsidRDefault="00E6662F" w:rsidP="001946FB">
      <w:pPr>
        <w:tabs>
          <w:tab w:val="left" w:pos="709"/>
        </w:tabs>
        <w:spacing w:line="276" w:lineRule="auto"/>
        <w:jc w:val="both"/>
        <w:rPr>
          <w:rFonts w:ascii="Arial" w:eastAsia="Calibri" w:hAnsi="Arial" w:cs="Arial"/>
          <w:bCs/>
          <w:sz w:val="22"/>
          <w:lang w:val="es-ES_tradnl"/>
        </w:rPr>
      </w:pPr>
      <w:r>
        <w:rPr>
          <w:rFonts w:ascii="Arial" w:eastAsia="Calibri" w:hAnsi="Arial" w:cs="Arial"/>
          <w:bCs/>
          <w:sz w:val="22"/>
          <w:lang w:val="es-ES_tradnl"/>
        </w:rPr>
        <w:tab/>
        <w:t>A</w:t>
      </w:r>
      <w:r w:rsidR="00A76A74">
        <w:rPr>
          <w:rFonts w:ascii="Arial" w:eastAsia="Calibri" w:hAnsi="Arial" w:cs="Arial"/>
          <w:bCs/>
          <w:sz w:val="22"/>
          <w:lang w:val="es-ES_tradnl"/>
        </w:rPr>
        <w:t xml:space="preserve"> las autoridades que ejercen funciones consultivas</w:t>
      </w:r>
      <w:r>
        <w:rPr>
          <w:rFonts w:ascii="Arial" w:eastAsia="Calibri" w:hAnsi="Arial" w:cs="Arial"/>
          <w:bCs/>
          <w:sz w:val="22"/>
          <w:lang w:val="es-ES_tradnl"/>
        </w:rPr>
        <w:t xml:space="preserve"> no les corresponde</w:t>
      </w:r>
      <w:r w:rsidR="00A76A74">
        <w:rPr>
          <w:rFonts w:ascii="Arial" w:eastAsia="Calibri" w:hAnsi="Arial" w:cs="Arial"/>
          <w:bCs/>
          <w:sz w:val="22"/>
          <w:lang w:val="es-ES_tradnl"/>
        </w:rPr>
        <w:t xml:space="preserve"> darle un alcance o preferir un sentido frente a otro, ya que estas se limitan </w:t>
      </w:r>
      <w:r w:rsidR="007243C4" w:rsidRPr="007243C4">
        <w:rPr>
          <w:rFonts w:ascii="Arial" w:eastAsia="Calibri" w:hAnsi="Arial" w:cs="Arial"/>
          <w:bCs/>
          <w:sz w:val="22"/>
          <w:lang w:val="es-ES_tradnl"/>
        </w:rPr>
        <w:t>a expresar su posición hermenéutica respecto a las disposiciones normativas</w:t>
      </w:r>
      <w:r w:rsidR="008773BB">
        <w:rPr>
          <w:rFonts w:ascii="Arial" w:eastAsia="Calibri" w:hAnsi="Arial" w:cs="Arial"/>
          <w:bCs/>
          <w:sz w:val="22"/>
          <w:lang w:val="es-ES_tradnl"/>
        </w:rPr>
        <w:t xml:space="preserve">. </w:t>
      </w:r>
      <w:r w:rsidR="00150473" w:rsidRPr="00150473">
        <w:rPr>
          <w:rFonts w:ascii="Arial" w:eastAsia="Calibri" w:hAnsi="Arial" w:cs="Arial"/>
          <w:bCs/>
          <w:sz w:val="22"/>
          <w:lang w:val="es-ES_tradnl"/>
        </w:rPr>
        <w:t xml:space="preserve">En tal sentido, no pueden, pues, sobreponer su opinión sobre otras posibles. Así, puede pasar, por ejemplo, que un ministerio considere que una norma debe entenderse en un sentido, pero que otra entidad, vinculada o adscrita a ese ministerio, entienda que la misma norma debe interpretarse de otra manera. Eso hace parte de la lógica deliberativa y dialéctica del funcionamiento del Estado y, en cierta medida, refleja el principio democrático. De todos modos, esto no significa que el criterio de una u otra tenga validez o prevalencia sobre la otra, ya que se trata de opiniones emitidas a título de concepto, pese a que entre las entidades exista una </w:t>
      </w:r>
      <w:r w:rsidR="00150473" w:rsidRPr="00150473">
        <w:rPr>
          <w:rFonts w:ascii="Arial" w:eastAsia="Calibri" w:hAnsi="Arial" w:cs="Arial"/>
          <w:bCs/>
          <w:sz w:val="22"/>
          <w:lang w:val="es-ES_tradnl"/>
        </w:rPr>
        <w:lastRenderedPageBreak/>
        <w:t xml:space="preserve">jerarquía o de la naturaleza y competencias que se prediquen de una y otra. Incluso, aun cuando los jueces interpreten con autoridad el sentido de la disposición normativa, el concepto emitido por la entidad no deja de ser un concepto y no adquiere efectos vinculantes, por más que coincida con el de la autoridad judicial, pues, en esa hipótesis, lo que vincula es la decisión del juez, no el de la entidad que ejerció la función consultiva, pues, como se viene diciendo, dicha competencia se enmarca en el artículo 28 de la Ley 1437 de 2011, en otras palabras, los conceptos «no serán de obligatorio cumplimiento o ejecución». </w:t>
      </w:r>
    </w:p>
    <w:p w14:paraId="6FD0153A" w14:textId="73F81ACA" w:rsidR="00CF32CC" w:rsidRDefault="002E7BC5" w:rsidP="00566672">
      <w:pPr>
        <w:tabs>
          <w:tab w:val="left" w:pos="709"/>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tab/>
      </w:r>
      <w:r w:rsidR="007754CA">
        <w:rPr>
          <w:rFonts w:ascii="Arial" w:eastAsia="Calibri" w:hAnsi="Arial" w:cs="Arial"/>
          <w:bCs/>
          <w:sz w:val="22"/>
          <w:lang w:val="es-ES_tradnl"/>
        </w:rPr>
        <w:t>En similares términos</w:t>
      </w:r>
      <w:r>
        <w:rPr>
          <w:rFonts w:ascii="Arial" w:eastAsia="Calibri" w:hAnsi="Arial" w:cs="Arial"/>
          <w:bCs/>
          <w:sz w:val="22"/>
          <w:lang w:val="es-ES_tradnl"/>
        </w:rPr>
        <w:t>,</w:t>
      </w:r>
      <w:r w:rsidR="007754CA">
        <w:rPr>
          <w:rFonts w:ascii="Arial" w:eastAsia="Calibri" w:hAnsi="Arial" w:cs="Arial"/>
          <w:bCs/>
          <w:sz w:val="22"/>
          <w:lang w:val="es-ES_tradnl"/>
        </w:rPr>
        <w:t xml:space="preserve"> el artículo 112 de la Ley 1437 de 2011 establece, en relación con la Sala de Consulta y Servicio Civil, que «los conceptos de la Sala no serán vinculantes, salvo que la ley disponga lo contrario»</w:t>
      </w:r>
      <w:r w:rsidR="007754CA">
        <w:rPr>
          <w:rStyle w:val="Refdenotaalpie"/>
          <w:rFonts w:ascii="Arial" w:eastAsia="Calibri" w:hAnsi="Arial" w:cs="Arial"/>
          <w:bCs/>
          <w:sz w:val="22"/>
          <w:lang w:val="es-ES_tradnl"/>
        </w:rPr>
        <w:footnoteReference w:id="10"/>
      </w:r>
      <w:r w:rsidR="007754CA">
        <w:rPr>
          <w:rFonts w:ascii="Arial" w:eastAsia="Calibri" w:hAnsi="Arial" w:cs="Arial"/>
          <w:bCs/>
          <w:sz w:val="22"/>
          <w:lang w:val="es-ES_tradnl"/>
        </w:rPr>
        <w:t xml:space="preserve">. Se trata, </w:t>
      </w:r>
      <w:r w:rsidR="007754CA">
        <w:rPr>
          <w:rFonts w:ascii="Arial" w:eastAsia="Calibri" w:hAnsi="Arial" w:cs="Arial"/>
          <w:bCs/>
          <w:i/>
          <w:iCs/>
          <w:sz w:val="22"/>
          <w:lang w:val="es-ES_tradnl"/>
        </w:rPr>
        <w:t xml:space="preserve">mutatis </w:t>
      </w:r>
      <w:proofErr w:type="spellStart"/>
      <w:r w:rsidR="007754CA">
        <w:rPr>
          <w:rFonts w:ascii="Arial" w:eastAsia="Calibri" w:hAnsi="Arial" w:cs="Arial"/>
          <w:bCs/>
          <w:i/>
          <w:iCs/>
          <w:sz w:val="22"/>
          <w:lang w:val="es-ES_tradnl"/>
        </w:rPr>
        <w:t>mutandi</w:t>
      </w:r>
      <w:proofErr w:type="spellEnd"/>
      <w:r w:rsidR="007754CA" w:rsidRPr="007754CA">
        <w:rPr>
          <w:rFonts w:ascii="Arial" w:eastAsia="Calibri" w:hAnsi="Arial" w:cs="Arial"/>
          <w:bCs/>
          <w:sz w:val="22"/>
          <w:lang w:val="es-ES_tradnl"/>
        </w:rPr>
        <w:t>,</w:t>
      </w:r>
      <w:r w:rsidR="007754CA">
        <w:rPr>
          <w:rFonts w:ascii="Arial" w:eastAsia="Calibri" w:hAnsi="Arial" w:cs="Arial"/>
          <w:bCs/>
          <w:i/>
          <w:iCs/>
          <w:sz w:val="22"/>
          <w:lang w:val="es-ES_tradnl"/>
        </w:rPr>
        <w:t xml:space="preserve"> </w:t>
      </w:r>
      <w:r w:rsidR="007754CA">
        <w:rPr>
          <w:rFonts w:ascii="Arial" w:eastAsia="Calibri" w:hAnsi="Arial" w:cs="Arial"/>
          <w:bCs/>
          <w:sz w:val="22"/>
          <w:lang w:val="es-ES_tradnl"/>
        </w:rPr>
        <w:t xml:space="preserve">del ejercicio de </w:t>
      </w:r>
      <w:r w:rsidR="00816563">
        <w:rPr>
          <w:rFonts w:ascii="Arial" w:eastAsia="Calibri" w:hAnsi="Arial" w:cs="Arial"/>
          <w:bCs/>
          <w:sz w:val="22"/>
          <w:lang w:val="es-ES_tradnl"/>
        </w:rPr>
        <w:t>una</w:t>
      </w:r>
      <w:r w:rsidR="007754CA">
        <w:rPr>
          <w:rFonts w:ascii="Arial" w:eastAsia="Calibri" w:hAnsi="Arial" w:cs="Arial"/>
          <w:bCs/>
          <w:sz w:val="22"/>
          <w:lang w:val="es-ES_tradnl"/>
        </w:rPr>
        <w:t xml:space="preserve"> función consultiva, cuyos efectos, por ende, serán los mismos: no vinculantes </w:t>
      </w:r>
      <w:r w:rsidR="0002242D">
        <w:rPr>
          <w:rFonts w:ascii="Arial" w:eastAsia="Calibri" w:hAnsi="Arial" w:cs="Arial"/>
          <w:bCs/>
          <w:sz w:val="22"/>
          <w:lang w:val="es-ES_tradnl"/>
        </w:rPr>
        <w:t>ni</w:t>
      </w:r>
      <w:r w:rsidR="007754CA">
        <w:rPr>
          <w:rFonts w:ascii="Arial" w:eastAsia="Calibri" w:hAnsi="Arial" w:cs="Arial"/>
          <w:bCs/>
          <w:sz w:val="22"/>
          <w:lang w:val="es-ES_tradnl"/>
        </w:rPr>
        <w:t xml:space="preserve"> de obligatorio cumplimiento.</w:t>
      </w:r>
      <w:r w:rsidR="00E021AA">
        <w:rPr>
          <w:rFonts w:ascii="Arial" w:eastAsia="Calibri" w:hAnsi="Arial" w:cs="Arial"/>
          <w:bCs/>
          <w:sz w:val="22"/>
          <w:lang w:val="es-ES_tradnl"/>
        </w:rPr>
        <w:t xml:space="preserve"> En relación con el tema objeto de controversia,</w:t>
      </w:r>
      <w:r w:rsidR="0002242D">
        <w:rPr>
          <w:rFonts w:ascii="Arial" w:eastAsia="Calibri" w:hAnsi="Arial" w:cs="Arial"/>
          <w:bCs/>
          <w:sz w:val="22"/>
          <w:lang w:val="es-ES_tradnl"/>
        </w:rPr>
        <w:t xml:space="preserve"> la Sala de Consulta y Servicio Civil del Consejo de Estado, se pronunció en los siguientes términos</w:t>
      </w:r>
      <w:r w:rsidR="00E021AA">
        <w:rPr>
          <w:rFonts w:ascii="Arial" w:eastAsia="Calibri" w:hAnsi="Arial" w:cs="Arial"/>
          <w:bCs/>
          <w:sz w:val="22"/>
          <w:lang w:val="es-ES_tradnl"/>
        </w:rPr>
        <w:t>:</w:t>
      </w:r>
    </w:p>
    <w:p w14:paraId="6C019360" w14:textId="137FBE3E" w:rsidR="00822436" w:rsidRDefault="00822436" w:rsidP="00822436">
      <w:pPr>
        <w:tabs>
          <w:tab w:val="left" w:pos="426"/>
        </w:tabs>
        <w:spacing w:line="276" w:lineRule="auto"/>
        <w:jc w:val="both"/>
        <w:rPr>
          <w:rFonts w:ascii="Arial" w:eastAsia="Calibri" w:hAnsi="Arial" w:cs="Arial"/>
          <w:bCs/>
          <w:sz w:val="22"/>
          <w:lang w:val="es-ES_tradnl"/>
        </w:rPr>
      </w:pPr>
    </w:p>
    <w:p w14:paraId="568917B8" w14:textId="1028AB73" w:rsidR="00822436" w:rsidRPr="00822436" w:rsidRDefault="00822436" w:rsidP="001946FB">
      <w:pPr>
        <w:tabs>
          <w:tab w:val="left" w:pos="426"/>
        </w:tabs>
        <w:spacing w:after="120"/>
        <w:ind w:left="709" w:right="709"/>
        <w:jc w:val="both"/>
        <w:rPr>
          <w:rFonts w:ascii="Arial" w:eastAsia="Calibri" w:hAnsi="Arial" w:cs="Arial"/>
          <w:bCs/>
          <w:sz w:val="21"/>
          <w:szCs w:val="21"/>
        </w:rPr>
      </w:pPr>
      <w:r w:rsidRPr="00822436">
        <w:rPr>
          <w:rFonts w:ascii="Arial" w:eastAsia="Calibri" w:hAnsi="Arial" w:cs="Arial"/>
          <w:bCs/>
          <w:sz w:val="21"/>
          <w:szCs w:val="21"/>
        </w:rPr>
        <w:t xml:space="preserve">De otra parte, recuerda la Sala que la función consultiva no constituye un trámite controversial de tipo judicial; se encuentra establecida como un mecanismo constitucional dirigido a asegurar que la actuación de la Administración se adecue al ordenamiento jurídico y al interés general por el que le corresponde velar en el ejercicio de sus funciones. La defensa del ordenamiento jurídico por esta vía se realiza a través de un órgano independiente y autónomo del poder judicial, que actúa por tanto con independencia de criterios, dentro de una lógica de colaboración armónica de poderes (art.113 C.P).  </w:t>
      </w:r>
    </w:p>
    <w:p w14:paraId="26B20773" w14:textId="5DE43A6E" w:rsidR="00822436" w:rsidRPr="00822436" w:rsidRDefault="00822436" w:rsidP="00822436">
      <w:pPr>
        <w:tabs>
          <w:tab w:val="left" w:pos="426"/>
        </w:tabs>
        <w:ind w:left="709" w:right="709"/>
        <w:jc w:val="both"/>
        <w:rPr>
          <w:rFonts w:ascii="Arial" w:eastAsia="Calibri" w:hAnsi="Arial" w:cs="Arial"/>
          <w:bCs/>
          <w:sz w:val="21"/>
          <w:szCs w:val="21"/>
        </w:rPr>
      </w:pPr>
      <w:r w:rsidRPr="00822436">
        <w:rPr>
          <w:rFonts w:ascii="Arial" w:eastAsia="Calibri" w:hAnsi="Arial" w:cs="Arial"/>
          <w:bCs/>
          <w:sz w:val="21"/>
          <w:szCs w:val="21"/>
        </w:rPr>
        <w:t>No se trata entonces de dar la razón a una u otra posición en temas controvertibles, sino de rendir un concepto jurídico que sirva a la Administración en la búsqueda del cumplimiento de las finalidades esenciales del Estado</w:t>
      </w:r>
      <w:r w:rsidR="00E6662F">
        <w:rPr>
          <w:rStyle w:val="Refdenotaalpie"/>
          <w:rFonts w:ascii="Arial" w:eastAsia="Calibri" w:hAnsi="Arial" w:cs="Arial"/>
          <w:bCs/>
          <w:sz w:val="22"/>
          <w:lang w:val="es-ES_tradnl"/>
        </w:rPr>
        <w:footnoteReference w:id="11"/>
      </w:r>
      <w:r w:rsidRPr="00822436">
        <w:rPr>
          <w:rFonts w:ascii="Arial" w:eastAsia="Calibri" w:hAnsi="Arial" w:cs="Arial"/>
          <w:bCs/>
          <w:sz w:val="21"/>
          <w:szCs w:val="21"/>
        </w:rPr>
        <w:t>.</w:t>
      </w:r>
    </w:p>
    <w:p w14:paraId="628A464A" w14:textId="53B34CDE" w:rsidR="00E021AA" w:rsidRDefault="00E021AA" w:rsidP="000E57AA">
      <w:pPr>
        <w:tabs>
          <w:tab w:val="left" w:pos="426"/>
        </w:tabs>
        <w:spacing w:line="276" w:lineRule="auto"/>
        <w:jc w:val="both"/>
        <w:rPr>
          <w:rFonts w:ascii="Arial" w:eastAsia="Calibri" w:hAnsi="Arial" w:cs="Arial"/>
          <w:bCs/>
          <w:sz w:val="22"/>
          <w:lang w:val="es-ES_tradnl"/>
        </w:rPr>
      </w:pPr>
    </w:p>
    <w:p w14:paraId="7C759AAD" w14:textId="6478AAB0" w:rsidR="00A21EA9" w:rsidRDefault="00E6662F" w:rsidP="001946FB">
      <w:pPr>
        <w:tabs>
          <w:tab w:val="left" w:pos="709"/>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sidR="00A35C73">
        <w:rPr>
          <w:rFonts w:ascii="Arial" w:eastAsia="Calibri" w:hAnsi="Arial" w:cs="Arial"/>
          <w:bCs/>
          <w:sz w:val="22"/>
          <w:lang w:val="es-ES_tradnl"/>
        </w:rPr>
        <w:t>E</w:t>
      </w:r>
      <w:r w:rsidR="002E7BC5">
        <w:rPr>
          <w:rFonts w:ascii="Arial" w:eastAsia="Calibri" w:hAnsi="Arial" w:cs="Arial"/>
          <w:bCs/>
          <w:sz w:val="22"/>
          <w:lang w:val="es-ES_tradnl"/>
        </w:rPr>
        <w:t xml:space="preserve">l ejercicio de la función consultiva </w:t>
      </w:r>
      <w:r w:rsidR="00B718BD">
        <w:rPr>
          <w:rFonts w:ascii="Arial" w:eastAsia="Calibri" w:hAnsi="Arial" w:cs="Arial"/>
          <w:bCs/>
          <w:sz w:val="22"/>
          <w:lang w:val="es-ES_tradnl"/>
        </w:rPr>
        <w:t xml:space="preserve">del artículo 28 de la Ley 1437 de 2011 </w:t>
      </w:r>
      <w:r w:rsidR="002E7BC5">
        <w:rPr>
          <w:rFonts w:ascii="Arial" w:eastAsia="Calibri" w:hAnsi="Arial" w:cs="Arial"/>
          <w:bCs/>
          <w:sz w:val="22"/>
          <w:lang w:val="es-ES_tradnl"/>
        </w:rPr>
        <w:t>d</w:t>
      </w:r>
      <w:r w:rsidR="00CF32CC">
        <w:rPr>
          <w:rFonts w:ascii="Arial" w:eastAsia="Calibri" w:hAnsi="Arial" w:cs="Arial"/>
          <w:bCs/>
          <w:sz w:val="22"/>
          <w:lang w:val="es-ES_tradnl"/>
        </w:rPr>
        <w:t>escarta</w:t>
      </w:r>
      <w:r w:rsidR="00816563">
        <w:rPr>
          <w:rFonts w:ascii="Arial" w:eastAsia="Calibri" w:hAnsi="Arial" w:cs="Arial"/>
          <w:bCs/>
          <w:sz w:val="22"/>
          <w:lang w:val="es-ES_tradnl"/>
        </w:rPr>
        <w:t xml:space="preserve"> </w:t>
      </w:r>
      <w:r w:rsidR="00A35C73">
        <w:rPr>
          <w:rFonts w:ascii="Arial" w:eastAsia="Calibri" w:hAnsi="Arial" w:cs="Arial"/>
          <w:bCs/>
          <w:sz w:val="22"/>
          <w:lang w:val="es-ES_tradnl"/>
        </w:rPr>
        <w:t xml:space="preserve">la resolución de </w:t>
      </w:r>
      <w:r w:rsidR="00CF32CC">
        <w:rPr>
          <w:rFonts w:ascii="Arial" w:eastAsia="Calibri" w:hAnsi="Arial" w:cs="Arial"/>
          <w:bCs/>
          <w:sz w:val="22"/>
          <w:lang w:val="es-ES_tradnl"/>
        </w:rPr>
        <w:t xml:space="preserve">controversias en curso o </w:t>
      </w:r>
      <w:r w:rsidR="00A35C73">
        <w:rPr>
          <w:rFonts w:ascii="Arial" w:eastAsia="Calibri" w:hAnsi="Arial" w:cs="Arial"/>
          <w:bCs/>
          <w:sz w:val="22"/>
          <w:lang w:val="es-ES_tradnl"/>
        </w:rPr>
        <w:t xml:space="preserve">de problemas cuyos efectos se </w:t>
      </w:r>
      <w:r>
        <w:rPr>
          <w:rFonts w:ascii="Arial" w:eastAsia="Calibri" w:hAnsi="Arial" w:cs="Arial"/>
          <w:bCs/>
          <w:sz w:val="22"/>
          <w:lang w:val="es-ES_tradnl"/>
        </w:rPr>
        <w:t>concreten</w:t>
      </w:r>
      <w:r w:rsidR="00150473">
        <w:rPr>
          <w:rFonts w:ascii="Arial" w:eastAsia="Calibri" w:hAnsi="Arial" w:cs="Arial"/>
          <w:bCs/>
          <w:sz w:val="22"/>
          <w:lang w:val="es-ES_tradnl"/>
        </w:rPr>
        <w:t>. L</w:t>
      </w:r>
      <w:r w:rsidR="00CF32CC">
        <w:rPr>
          <w:rFonts w:ascii="Arial" w:eastAsia="Calibri" w:hAnsi="Arial" w:cs="Arial"/>
          <w:bCs/>
          <w:sz w:val="22"/>
          <w:lang w:val="es-ES_tradnl"/>
        </w:rPr>
        <w:t>o primero</w:t>
      </w:r>
      <w:r w:rsidR="005D0D39">
        <w:rPr>
          <w:rFonts w:ascii="Arial" w:eastAsia="Calibri" w:hAnsi="Arial" w:cs="Arial"/>
          <w:bCs/>
          <w:sz w:val="22"/>
          <w:lang w:val="es-ES_tradnl"/>
        </w:rPr>
        <w:t>,</w:t>
      </w:r>
      <w:r w:rsidR="00CF32CC">
        <w:rPr>
          <w:rFonts w:ascii="Arial" w:eastAsia="Calibri" w:hAnsi="Arial" w:cs="Arial"/>
          <w:bCs/>
          <w:sz w:val="22"/>
          <w:lang w:val="es-ES_tradnl"/>
        </w:rPr>
        <w:t xml:space="preserve"> debe manejarlo la propia entidad </w:t>
      </w:r>
      <w:r w:rsidR="006A1CBA">
        <w:rPr>
          <w:rFonts w:ascii="Arial" w:eastAsia="Calibri" w:hAnsi="Arial" w:cs="Arial"/>
          <w:bCs/>
          <w:sz w:val="22"/>
          <w:lang w:val="es-ES_tradnl"/>
        </w:rPr>
        <w:t xml:space="preserve">ante la que se presenta el problema, </w:t>
      </w:r>
      <w:r w:rsidR="00CF32CC">
        <w:rPr>
          <w:rFonts w:ascii="Arial" w:eastAsia="Calibri" w:hAnsi="Arial" w:cs="Arial"/>
          <w:bCs/>
          <w:sz w:val="22"/>
          <w:lang w:val="es-ES_tradnl"/>
        </w:rPr>
        <w:t xml:space="preserve">y lo segundo el juez </w:t>
      </w:r>
      <w:r>
        <w:rPr>
          <w:rFonts w:ascii="Arial" w:eastAsia="Calibri" w:hAnsi="Arial" w:cs="Arial"/>
          <w:bCs/>
          <w:sz w:val="22"/>
          <w:lang w:val="es-ES_tradnl"/>
        </w:rPr>
        <w:t>competente</w:t>
      </w:r>
      <w:r w:rsidR="002E7BC5">
        <w:rPr>
          <w:rFonts w:ascii="Arial" w:eastAsia="Calibri" w:hAnsi="Arial" w:cs="Arial"/>
          <w:bCs/>
          <w:sz w:val="22"/>
          <w:lang w:val="es-ES_tradnl"/>
        </w:rPr>
        <w:t>. En últimas, siempre que no exista una decisión judicial vinculante, los destinatarios de la norma serán los que</w:t>
      </w:r>
      <w:r w:rsidR="00A35C73">
        <w:rPr>
          <w:rFonts w:ascii="Arial" w:eastAsia="Calibri" w:hAnsi="Arial" w:cs="Arial"/>
          <w:bCs/>
          <w:sz w:val="22"/>
          <w:lang w:val="es-ES_tradnl"/>
        </w:rPr>
        <w:t xml:space="preserve"> interpret</w:t>
      </w:r>
      <w:r>
        <w:rPr>
          <w:rFonts w:ascii="Arial" w:eastAsia="Calibri" w:hAnsi="Arial" w:cs="Arial"/>
          <w:bCs/>
          <w:sz w:val="22"/>
          <w:lang w:val="es-ES_tradnl"/>
        </w:rPr>
        <w:t>en</w:t>
      </w:r>
      <w:r w:rsidR="00A35C73">
        <w:rPr>
          <w:rFonts w:ascii="Arial" w:eastAsia="Calibri" w:hAnsi="Arial" w:cs="Arial"/>
          <w:bCs/>
          <w:sz w:val="22"/>
          <w:lang w:val="es-ES_tradnl"/>
        </w:rPr>
        <w:t xml:space="preserve"> el ordenamiento jurídico</w:t>
      </w:r>
      <w:r w:rsidR="002E7BC5">
        <w:rPr>
          <w:rFonts w:ascii="Arial" w:eastAsia="Calibri" w:hAnsi="Arial" w:cs="Arial"/>
          <w:bCs/>
          <w:sz w:val="22"/>
          <w:lang w:val="es-ES_tradnl"/>
        </w:rPr>
        <w:t xml:space="preserve">. Así las cosas, a título de ejemplo, si una entidad </w:t>
      </w:r>
      <w:r w:rsidR="00A35C73">
        <w:rPr>
          <w:rFonts w:ascii="Arial" w:eastAsia="Calibri" w:hAnsi="Arial" w:cs="Arial"/>
          <w:bCs/>
          <w:sz w:val="22"/>
          <w:lang w:val="es-ES_tradnl"/>
        </w:rPr>
        <w:t>considera</w:t>
      </w:r>
      <w:r w:rsidR="002E7BC5">
        <w:rPr>
          <w:rFonts w:ascii="Arial" w:eastAsia="Calibri" w:hAnsi="Arial" w:cs="Arial"/>
          <w:bCs/>
          <w:sz w:val="22"/>
          <w:lang w:val="es-ES_tradnl"/>
        </w:rPr>
        <w:t xml:space="preserve"> que </w:t>
      </w:r>
      <w:r w:rsidR="00A35C73">
        <w:rPr>
          <w:rFonts w:ascii="Arial" w:eastAsia="Calibri" w:hAnsi="Arial" w:cs="Arial"/>
          <w:bCs/>
          <w:sz w:val="22"/>
          <w:lang w:val="es-ES_tradnl"/>
        </w:rPr>
        <w:t>un término vence</w:t>
      </w:r>
      <w:r w:rsidR="0049255E">
        <w:rPr>
          <w:rFonts w:ascii="Arial" w:eastAsia="Calibri" w:hAnsi="Arial" w:cs="Arial"/>
          <w:bCs/>
          <w:sz w:val="22"/>
          <w:lang w:val="es-ES_tradnl"/>
        </w:rPr>
        <w:t xml:space="preserve"> en</w:t>
      </w:r>
      <w:r w:rsidR="00A35C73">
        <w:rPr>
          <w:rFonts w:ascii="Arial" w:eastAsia="Calibri" w:hAnsi="Arial" w:cs="Arial"/>
          <w:bCs/>
          <w:sz w:val="22"/>
          <w:lang w:val="es-ES_tradnl"/>
        </w:rPr>
        <w:t xml:space="preserve"> un momento </w:t>
      </w:r>
      <w:r w:rsidR="00A35C73">
        <w:rPr>
          <w:rFonts w:ascii="Arial" w:eastAsia="Calibri" w:hAnsi="Arial" w:cs="Arial"/>
          <w:bCs/>
          <w:sz w:val="22"/>
          <w:lang w:val="es-ES_tradnl"/>
        </w:rPr>
        <w:lastRenderedPageBreak/>
        <w:t>específic</w:t>
      </w:r>
      <w:r w:rsidR="0049255E">
        <w:rPr>
          <w:rFonts w:ascii="Arial" w:eastAsia="Calibri" w:hAnsi="Arial" w:cs="Arial"/>
          <w:bCs/>
          <w:sz w:val="22"/>
          <w:lang w:val="es-ES_tradnl"/>
        </w:rPr>
        <w:t>o</w:t>
      </w:r>
      <w:r w:rsidR="00A35C73">
        <w:rPr>
          <w:rFonts w:ascii="Arial" w:eastAsia="Calibri" w:hAnsi="Arial" w:cs="Arial"/>
          <w:bCs/>
          <w:sz w:val="22"/>
          <w:lang w:val="es-ES_tradnl"/>
        </w:rPr>
        <w:t>, habida cuenta de su lectura exegética de la norma respectiva</w:t>
      </w:r>
      <w:r w:rsidR="002E7BC5">
        <w:rPr>
          <w:rFonts w:ascii="Arial" w:eastAsia="Calibri" w:hAnsi="Arial" w:cs="Arial"/>
          <w:bCs/>
          <w:sz w:val="22"/>
          <w:lang w:val="es-ES_tradnl"/>
        </w:rPr>
        <w:t xml:space="preserve">, pero otra </w:t>
      </w:r>
      <w:r w:rsidR="00A35C73">
        <w:rPr>
          <w:rFonts w:ascii="Arial" w:eastAsia="Calibri" w:hAnsi="Arial" w:cs="Arial"/>
          <w:bCs/>
          <w:sz w:val="22"/>
          <w:lang w:val="es-ES_tradnl"/>
        </w:rPr>
        <w:t>entiende que el término vence en otro momento, amparada</w:t>
      </w:r>
      <w:r w:rsidR="0049255E">
        <w:rPr>
          <w:rFonts w:ascii="Arial" w:eastAsia="Calibri" w:hAnsi="Arial" w:cs="Arial"/>
          <w:bCs/>
          <w:sz w:val="22"/>
          <w:lang w:val="es-ES_tradnl"/>
        </w:rPr>
        <w:t xml:space="preserve"> en</w:t>
      </w:r>
      <w:r w:rsidR="00A35C73">
        <w:rPr>
          <w:rFonts w:ascii="Arial" w:eastAsia="Calibri" w:hAnsi="Arial" w:cs="Arial"/>
          <w:bCs/>
          <w:sz w:val="22"/>
          <w:lang w:val="es-ES_tradnl"/>
        </w:rPr>
        <w:t xml:space="preserve"> una lectura teleológica del ordenamiento jurídico</w:t>
      </w:r>
      <w:r w:rsidR="002E7BC5">
        <w:rPr>
          <w:rFonts w:ascii="Arial" w:eastAsia="Calibri" w:hAnsi="Arial" w:cs="Arial"/>
          <w:bCs/>
          <w:sz w:val="22"/>
          <w:lang w:val="es-ES_tradnl"/>
        </w:rPr>
        <w:t xml:space="preserve">, serán los destinatarios de dicha norma los que </w:t>
      </w:r>
      <w:r w:rsidR="00A35C73">
        <w:rPr>
          <w:rFonts w:ascii="Arial" w:eastAsia="Calibri" w:hAnsi="Arial" w:cs="Arial"/>
          <w:bCs/>
          <w:sz w:val="22"/>
          <w:lang w:val="es-ES_tradnl"/>
        </w:rPr>
        <w:t>decidirán cuál es la interpretación por la que optan</w:t>
      </w:r>
      <w:r w:rsidR="002E7BC5">
        <w:rPr>
          <w:rFonts w:ascii="Arial" w:eastAsia="Calibri" w:hAnsi="Arial" w:cs="Arial"/>
          <w:bCs/>
          <w:sz w:val="22"/>
          <w:lang w:val="es-ES_tradnl"/>
        </w:rPr>
        <w:t xml:space="preserve">, claro está, </w:t>
      </w:r>
      <w:r w:rsidR="00A35C73">
        <w:rPr>
          <w:rFonts w:ascii="Arial" w:eastAsia="Calibri" w:hAnsi="Arial" w:cs="Arial"/>
          <w:bCs/>
          <w:sz w:val="22"/>
          <w:lang w:val="es-ES_tradnl"/>
        </w:rPr>
        <w:t>sin perjuicio del posterior control judicial que podrá hacerse a solicitud de alguno de los interesados.</w:t>
      </w:r>
      <w:r w:rsidR="00287445">
        <w:rPr>
          <w:rFonts w:ascii="Arial" w:eastAsia="Calibri" w:hAnsi="Arial" w:cs="Arial"/>
          <w:bCs/>
          <w:sz w:val="22"/>
          <w:lang w:val="es-ES_tradnl"/>
        </w:rPr>
        <w:t xml:space="preserve"> </w:t>
      </w:r>
      <w:bookmarkStart w:id="5" w:name="_Hlk42104344"/>
      <w:r w:rsidR="00A21EA9">
        <w:rPr>
          <w:rFonts w:ascii="Arial" w:eastAsia="Calibri" w:hAnsi="Arial" w:cs="Arial"/>
          <w:bCs/>
          <w:sz w:val="22"/>
          <w:lang w:val="es-ES_tradnl"/>
        </w:rPr>
        <w:t xml:space="preserve">No se trata, </w:t>
      </w:r>
      <w:r w:rsidR="00DD4572">
        <w:rPr>
          <w:rFonts w:ascii="Arial" w:eastAsia="Calibri" w:hAnsi="Arial" w:cs="Arial"/>
          <w:bCs/>
          <w:sz w:val="22"/>
          <w:lang w:val="es-ES_tradnl"/>
        </w:rPr>
        <w:t>entonce</w:t>
      </w:r>
      <w:r w:rsidR="00A21EA9">
        <w:rPr>
          <w:rFonts w:ascii="Arial" w:eastAsia="Calibri" w:hAnsi="Arial" w:cs="Arial"/>
          <w:bCs/>
          <w:sz w:val="22"/>
          <w:lang w:val="es-ES_tradnl"/>
        </w:rPr>
        <w:t>s, de jerarquías interpretativas</w:t>
      </w:r>
      <w:r w:rsidR="00DD4572">
        <w:rPr>
          <w:rFonts w:ascii="Arial" w:eastAsia="Calibri" w:hAnsi="Arial" w:cs="Arial"/>
          <w:bCs/>
          <w:sz w:val="22"/>
          <w:lang w:val="es-ES_tradnl"/>
        </w:rPr>
        <w:t xml:space="preserve"> sino de opiniones diferentes. El peso de la interpretación depende</w:t>
      </w:r>
      <w:r w:rsidR="00D62332">
        <w:rPr>
          <w:rFonts w:ascii="Arial" w:eastAsia="Calibri" w:hAnsi="Arial" w:cs="Arial"/>
          <w:bCs/>
          <w:sz w:val="22"/>
          <w:lang w:val="es-ES_tradnl"/>
        </w:rPr>
        <w:t xml:space="preserve"> de</w:t>
      </w:r>
      <w:r w:rsidR="00DD4572">
        <w:rPr>
          <w:rFonts w:ascii="Arial" w:eastAsia="Calibri" w:hAnsi="Arial" w:cs="Arial"/>
          <w:bCs/>
          <w:sz w:val="22"/>
          <w:lang w:val="es-ES_tradnl"/>
        </w:rPr>
        <w:t xml:space="preserve"> la razonabilidad de</w:t>
      </w:r>
      <w:r w:rsidR="003E6EDE">
        <w:rPr>
          <w:rFonts w:ascii="Arial" w:eastAsia="Calibri" w:hAnsi="Arial" w:cs="Arial"/>
          <w:bCs/>
          <w:sz w:val="22"/>
          <w:lang w:val="es-ES_tradnl"/>
        </w:rPr>
        <w:t xml:space="preserve"> </w:t>
      </w:r>
      <w:r w:rsidR="00DD4572">
        <w:rPr>
          <w:rFonts w:ascii="Arial" w:eastAsia="Calibri" w:hAnsi="Arial" w:cs="Arial"/>
          <w:bCs/>
          <w:sz w:val="22"/>
          <w:lang w:val="es-ES_tradnl"/>
        </w:rPr>
        <w:t>l</w:t>
      </w:r>
      <w:r w:rsidR="003E6EDE">
        <w:rPr>
          <w:rFonts w:ascii="Arial" w:eastAsia="Calibri" w:hAnsi="Arial" w:cs="Arial"/>
          <w:bCs/>
          <w:sz w:val="22"/>
          <w:lang w:val="es-ES_tradnl"/>
        </w:rPr>
        <w:t>os</w:t>
      </w:r>
      <w:r w:rsidR="00DD4572">
        <w:rPr>
          <w:rFonts w:ascii="Arial" w:eastAsia="Calibri" w:hAnsi="Arial" w:cs="Arial"/>
          <w:bCs/>
          <w:sz w:val="22"/>
          <w:lang w:val="es-ES_tradnl"/>
        </w:rPr>
        <w:t xml:space="preserve"> argumento</w:t>
      </w:r>
      <w:r w:rsidR="003E6EDE">
        <w:rPr>
          <w:rFonts w:ascii="Arial" w:eastAsia="Calibri" w:hAnsi="Arial" w:cs="Arial"/>
          <w:bCs/>
          <w:sz w:val="22"/>
          <w:lang w:val="es-ES_tradnl"/>
        </w:rPr>
        <w:t>s</w:t>
      </w:r>
      <w:r w:rsidR="00DD4572">
        <w:rPr>
          <w:rFonts w:ascii="Arial" w:eastAsia="Calibri" w:hAnsi="Arial" w:cs="Arial"/>
          <w:bCs/>
          <w:sz w:val="22"/>
          <w:lang w:val="es-ES_tradnl"/>
        </w:rPr>
        <w:t xml:space="preserve"> y de </w:t>
      </w:r>
      <w:r w:rsidR="003E6EDE">
        <w:rPr>
          <w:rFonts w:ascii="Arial" w:eastAsia="Calibri" w:hAnsi="Arial" w:cs="Arial"/>
          <w:bCs/>
          <w:sz w:val="22"/>
          <w:lang w:val="es-ES_tradnl"/>
        </w:rPr>
        <w:t xml:space="preserve">la </w:t>
      </w:r>
      <w:r w:rsidR="00DD4572">
        <w:rPr>
          <w:rFonts w:ascii="Arial" w:eastAsia="Calibri" w:hAnsi="Arial" w:cs="Arial"/>
          <w:bCs/>
          <w:sz w:val="22"/>
          <w:lang w:val="es-ES_tradnl"/>
        </w:rPr>
        <w:t>inteligibilidad de la opinión, pero nunca de la autoridad de quien opina.</w:t>
      </w:r>
    </w:p>
    <w:bookmarkEnd w:id="5"/>
    <w:p w14:paraId="3FB2B2A8" w14:textId="7C3D2F24" w:rsidR="00CF32CC" w:rsidRDefault="00C65BC6" w:rsidP="006311DB">
      <w:pPr>
        <w:tabs>
          <w:tab w:val="left" w:pos="709"/>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tab/>
      </w:r>
      <w:r w:rsidR="00A35C73">
        <w:rPr>
          <w:rFonts w:ascii="Arial" w:eastAsia="Calibri" w:hAnsi="Arial" w:cs="Arial"/>
          <w:bCs/>
          <w:sz w:val="22"/>
          <w:lang w:val="es-ES_tradnl"/>
        </w:rPr>
        <w:t>Otr</w:t>
      </w:r>
      <w:r w:rsidR="00D62332">
        <w:rPr>
          <w:rFonts w:ascii="Arial" w:eastAsia="Calibri" w:hAnsi="Arial" w:cs="Arial"/>
          <w:bCs/>
          <w:sz w:val="22"/>
          <w:lang w:val="es-ES_tradnl"/>
        </w:rPr>
        <w:t>o</w:t>
      </w:r>
      <w:r w:rsidR="00A35C73">
        <w:rPr>
          <w:rFonts w:ascii="Arial" w:eastAsia="Calibri" w:hAnsi="Arial" w:cs="Arial"/>
          <w:bCs/>
          <w:sz w:val="22"/>
          <w:lang w:val="es-ES_tradnl"/>
        </w:rPr>
        <w:t xml:space="preserve"> </w:t>
      </w:r>
      <w:r w:rsidR="00FA60C2">
        <w:rPr>
          <w:rFonts w:ascii="Arial" w:eastAsia="Calibri" w:hAnsi="Arial" w:cs="Arial"/>
          <w:bCs/>
          <w:sz w:val="22"/>
          <w:lang w:val="es-ES_tradnl"/>
        </w:rPr>
        <w:t xml:space="preserve">asunto </w:t>
      </w:r>
      <w:r>
        <w:rPr>
          <w:rFonts w:ascii="Arial" w:eastAsia="Calibri" w:hAnsi="Arial" w:cs="Arial"/>
          <w:bCs/>
          <w:sz w:val="22"/>
          <w:lang w:val="es-ES_tradnl"/>
        </w:rPr>
        <w:t xml:space="preserve">es que la entidad que lee la norma </w:t>
      </w:r>
      <w:r w:rsidR="00FA60C2">
        <w:rPr>
          <w:rFonts w:ascii="Arial" w:eastAsia="Calibri" w:hAnsi="Arial" w:cs="Arial"/>
          <w:bCs/>
          <w:sz w:val="22"/>
          <w:lang w:val="es-ES_tradnl"/>
        </w:rPr>
        <w:t>exegéticamente</w:t>
      </w:r>
      <w:r>
        <w:rPr>
          <w:rFonts w:ascii="Arial" w:eastAsia="Calibri" w:hAnsi="Arial" w:cs="Arial"/>
          <w:bCs/>
          <w:sz w:val="22"/>
          <w:lang w:val="es-ES_tradnl"/>
        </w:rPr>
        <w:t xml:space="preserve">, luego de la decisión judicial, ejerza sus competencias desconociendo la interpretación </w:t>
      </w:r>
      <w:r w:rsidR="003E6EDE">
        <w:rPr>
          <w:rFonts w:ascii="Arial" w:eastAsia="Calibri" w:hAnsi="Arial" w:cs="Arial"/>
          <w:bCs/>
          <w:sz w:val="22"/>
          <w:lang w:val="es-ES_tradnl"/>
        </w:rPr>
        <w:t>del juez</w:t>
      </w:r>
      <w:r>
        <w:rPr>
          <w:rFonts w:ascii="Arial" w:eastAsia="Calibri" w:hAnsi="Arial" w:cs="Arial"/>
          <w:bCs/>
          <w:sz w:val="22"/>
          <w:lang w:val="es-ES_tradnl"/>
        </w:rPr>
        <w:t>, como podría pasar, en el ejemplo propuesto, si la entidad rechaza por extemporáneo un recurso, omitiendo la lectura que los jueces hicieron con</w:t>
      </w:r>
      <w:r w:rsidR="00FA60C2">
        <w:rPr>
          <w:rFonts w:ascii="Arial" w:eastAsia="Calibri" w:hAnsi="Arial" w:cs="Arial"/>
          <w:bCs/>
          <w:sz w:val="22"/>
          <w:lang w:val="es-ES_tradnl"/>
        </w:rPr>
        <w:t xml:space="preserve"> criterio de</w:t>
      </w:r>
      <w:r>
        <w:rPr>
          <w:rFonts w:ascii="Arial" w:eastAsia="Calibri" w:hAnsi="Arial" w:cs="Arial"/>
          <w:bCs/>
          <w:sz w:val="22"/>
          <w:lang w:val="es-ES_tradnl"/>
        </w:rPr>
        <w:t xml:space="preserve"> autoridad. Con todo, por la naturaleza de la función consultiva, es perfectamente válido que la misma entidad, a título de concepto, mantenga la opinión que no coincide con la judicial, porque la misma no es vinculante.</w:t>
      </w:r>
    </w:p>
    <w:p w14:paraId="5E26748F" w14:textId="54945049" w:rsidR="006311DB" w:rsidRDefault="003E6EDE" w:rsidP="001946FB">
      <w:pPr>
        <w:tabs>
          <w:tab w:val="left" w:pos="709"/>
        </w:tabs>
        <w:spacing w:before="120" w:after="120" w:line="276" w:lineRule="auto"/>
        <w:jc w:val="both"/>
        <w:rPr>
          <w:rFonts w:ascii="Arial" w:eastAsia="Calibri" w:hAnsi="Arial" w:cs="Arial"/>
          <w:bCs/>
          <w:sz w:val="22"/>
          <w:lang w:val="es-ES_tradnl"/>
        </w:rPr>
      </w:pPr>
      <w:r>
        <w:rPr>
          <w:rFonts w:ascii="Arial" w:eastAsia="Calibri" w:hAnsi="Arial" w:cs="Arial"/>
          <w:bCs/>
          <w:sz w:val="22"/>
          <w:lang w:val="es-ES_tradnl"/>
        </w:rPr>
        <w:tab/>
      </w:r>
      <w:bookmarkStart w:id="6" w:name="_Hlk42100007"/>
      <w:r w:rsidR="001B34EF">
        <w:rPr>
          <w:rFonts w:ascii="Arial" w:eastAsia="Calibri" w:hAnsi="Arial" w:cs="Arial"/>
          <w:bCs/>
          <w:sz w:val="22"/>
          <w:lang w:val="es-ES_tradnl"/>
        </w:rPr>
        <w:t>Así las cosas, Colombia Compra Eficiente considera que no hay lugar a acceder a la solicitud relacionada</w:t>
      </w:r>
      <w:r w:rsidR="002D487E">
        <w:rPr>
          <w:rFonts w:ascii="Arial" w:eastAsia="Calibri" w:hAnsi="Arial" w:cs="Arial"/>
          <w:bCs/>
          <w:sz w:val="22"/>
          <w:lang w:val="es-ES_tradnl"/>
        </w:rPr>
        <w:t xml:space="preserve"> con la revocación de</w:t>
      </w:r>
      <w:r w:rsidR="001B34EF">
        <w:rPr>
          <w:rFonts w:ascii="Arial" w:eastAsia="Calibri" w:hAnsi="Arial" w:cs="Arial"/>
          <w:bCs/>
          <w:sz w:val="22"/>
          <w:lang w:val="es-ES_tradnl"/>
        </w:rPr>
        <w:t xml:space="preserve"> los conceptos </w:t>
      </w:r>
      <w:r w:rsidR="001B34EF">
        <w:rPr>
          <w:rFonts w:ascii="Arial" w:eastAsia="Calibri" w:hAnsi="Arial" w:cs="Arial"/>
          <w:bCs/>
          <w:i/>
          <w:iCs/>
          <w:sz w:val="22"/>
          <w:lang w:val="es-ES_tradnl"/>
        </w:rPr>
        <w:t>sub examine</w:t>
      </w:r>
      <w:r w:rsidR="001B34EF">
        <w:rPr>
          <w:rFonts w:ascii="Arial" w:eastAsia="Calibri" w:hAnsi="Arial" w:cs="Arial"/>
          <w:bCs/>
          <w:sz w:val="22"/>
          <w:lang w:val="es-ES_tradnl"/>
        </w:rPr>
        <w:t>, pues no son actos administrativos, no tienen efectos vinculantes en relación con una situación jurídica particular y concreta,</w:t>
      </w:r>
      <w:r w:rsidR="007A4EB0">
        <w:rPr>
          <w:rFonts w:ascii="Arial" w:eastAsia="Calibri" w:hAnsi="Arial" w:cs="Arial"/>
          <w:bCs/>
          <w:sz w:val="22"/>
          <w:lang w:val="es-ES_tradnl"/>
        </w:rPr>
        <w:t xml:space="preserve"> y </w:t>
      </w:r>
      <w:r w:rsidR="002D487E">
        <w:rPr>
          <w:rFonts w:ascii="Arial" w:eastAsia="Calibri" w:hAnsi="Arial" w:cs="Arial"/>
          <w:bCs/>
          <w:sz w:val="22"/>
          <w:lang w:val="es-ES_tradnl"/>
        </w:rPr>
        <w:t>expone</w:t>
      </w:r>
      <w:r w:rsidR="007A4EB0">
        <w:rPr>
          <w:rFonts w:ascii="Arial" w:eastAsia="Calibri" w:hAnsi="Arial" w:cs="Arial"/>
          <w:bCs/>
          <w:sz w:val="22"/>
          <w:lang w:val="es-ES_tradnl"/>
        </w:rPr>
        <w:t>n</w:t>
      </w:r>
      <w:r w:rsidR="002D487E">
        <w:rPr>
          <w:rFonts w:ascii="Arial" w:eastAsia="Calibri" w:hAnsi="Arial" w:cs="Arial"/>
          <w:bCs/>
          <w:sz w:val="22"/>
          <w:lang w:val="es-ES_tradnl"/>
        </w:rPr>
        <w:t xml:space="preserve"> un criterio que, aunque jurídicamente fundamentado, no </w:t>
      </w:r>
      <w:r w:rsidR="007A4EB0">
        <w:rPr>
          <w:rFonts w:ascii="Arial" w:eastAsia="Calibri" w:hAnsi="Arial" w:cs="Arial"/>
          <w:bCs/>
          <w:sz w:val="22"/>
          <w:lang w:val="es-ES_tradnl"/>
        </w:rPr>
        <w:t>representan</w:t>
      </w:r>
      <w:r w:rsidR="001B34EF">
        <w:rPr>
          <w:rFonts w:ascii="Arial" w:eastAsia="Calibri" w:hAnsi="Arial" w:cs="Arial"/>
          <w:bCs/>
          <w:sz w:val="22"/>
          <w:lang w:val="es-ES_tradnl"/>
        </w:rPr>
        <w:t xml:space="preserve"> la</w:t>
      </w:r>
      <w:r w:rsidR="00BA0362">
        <w:rPr>
          <w:rFonts w:ascii="Arial" w:eastAsia="Calibri" w:hAnsi="Arial" w:cs="Arial"/>
          <w:bCs/>
          <w:sz w:val="22"/>
          <w:lang w:val="es-ES_tradnl"/>
        </w:rPr>
        <w:t xml:space="preserve"> única</w:t>
      </w:r>
      <w:r w:rsidR="001B34EF">
        <w:rPr>
          <w:rFonts w:ascii="Arial" w:eastAsia="Calibri" w:hAnsi="Arial" w:cs="Arial"/>
          <w:bCs/>
          <w:sz w:val="22"/>
          <w:lang w:val="es-ES_tradnl"/>
        </w:rPr>
        <w:t xml:space="preserve"> interpretación</w:t>
      </w:r>
      <w:r w:rsidR="00BA0362">
        <w:rPr>
          <w:rFonts w:ascii="Arial" w:eastAsia="Calibri" w:hAnsi="Arial" w:cs="Arial"/>
          <w:bCs/>
          <w:sz w:val="22"/>
          <w:lang w:val="es-ES_tradnl"/>
        </w:rPr>
        <w:t xml:space="preserve"> </w:t>
      </w:r>
      <w:r w:rsidR="001B34EF">
        <w:rPr>
          <w:rFonts w:ascii="Arial" w:eastAsia="Calibri" w:hAnsi="Arial" w:cs="Arial"/>
          <w:bCs/>
          <w:sz w:val="22"/>
          <w:lang w:val="es-ES_tradnl"/>
        </w:rPr>
        <w:t>válida del ordenamiento jurídico</w:t>
      </w:r>
      <w:r>
        <w:rPr>
          <w:rFonts w:ascii="Arial" w:eastAsia="Calibri" w:hAnsi="Arial" w:cs="Arial"/>
          <w:bCs/>
          <w:sz w:val="22"/>
          <w:lang w:val="es-ES_tradnl"/>
        </w:rPr>
        <w:t xml:space="preserve">. </w:t>
      </w:r>
      <w:bookmarkEnd w:id="6"/>
    </w:p>
    <w:p w14:paraId="1BDC8121" w14:textId="7DDB8417" w:rsidR="00E87B59" w:rsidRPr="008F277C" w:rsidRDefault="00E87B59" w:rsidP="00E87B59">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t xml:space="preserve">Lo anterior no implica que la Agencia Nacional de Contratación Pública – Colombia Compra Eficiente considere inalterables sus posturas, pues, de ser necesario, podría replantear una tesis previamente expuesta, bajo estrictos estándares argumentativos, al emitir otro concepto, </w:t>
      </w:r>
      <w:proofErr w:type="gramStart"/>
      <w:r>
        <w:rPr>
          <w:rFonts w:ascii="Arial" w:eastAsia="Calibri" w:hAnsi="Arial" w:cs="Arial"/>
          <w:bCs/>
          <w:sz w:val="22"/>
          <w:lang w:val="es-ES_tradnl"/>
        </w:rPr>
        <w:t>ya que</w:t>
      </w:r>
      <w:proofErr w:type="gramEnd"/>
      <w:r>
        <w:rPr>
          <w:rFonts w:ascii="Arial" w:eastAsia="Calibri" w:hAnsi="Arial" w:cs="Arial"/>
          <w:bCs/>
          <w:sz w:val="22"/>
          <w:lang w:val="es-ES_tradnl"/>
        </w:rPr>
        <w:t xml:space="preserve"> dada su falta de vinculatoriedad, la legitimación de sus posturas proviene de la fuerza de los argumentos. De manera que en lo que sigue se señalarán las razones por las cuales esta Agencia mantiene su postura emitida en conceptos anteriores.</w:t>
      </w:r>
    </w:p>
    <w:p w14:paraId="633101B7" w14:textId="77777777" w:rsidR="00DE37AD" w:rsidRDefault="00DE37AD" w:rsidP="001946FB">
      <w:pPr>
        <w:tabs>
          <w:tab w:val="left" w:pos="426"/>
        </w:tabs>
        <w:spacing w:line="276" w:lineRule="auto"/>
        <w:jc w:val="both"/>
        <w:rPr>
          <w:rFonts w:ascii="Arial" w:eastAsia="Calibri" w:hAnsi="Arial" w:cs="Arial"/>
          <w:b/>
          <w:sz w:val="22"/>
          <w:lang w:val="es-ES_tradnl"/>
        </w:rPr>
      </w:pPr>
    </w:p>
    <w:p w14:paraId="403921FE" w14:textId="2C3F0EB2" w:rsidR="00C54360" w:rsidRDefault="00C54360" w:rsidP="001946FB">
      <w:pPr>
        <w:tabs>
          <w:tab w:val="left" w:pos="426"/>
        </w:tabs>
        <w:spacing w:line="276" w:lineRule="auto"/>
        <w:jc w:val="both"/>
        <w:rPr>
          <w:rFonts w:ascii="Arial" w:eastAsia="Calibri" w:hAnsi="Arial" w:cs="Arial"/>
          <w:b/>
          <w:sz w:val="22"/>
          <w:lang w:val="es-ES_tradnl"/>
        </w:rPr>
      </w:pPr>
      <w:r>
        <w:rPr>
          <w:rFonts w:ascii="Arial" w:eastAsia="Calibri" w:hAnsi="Arial" w:cs="Arial"/>
          <w:b/>
          <w:sz w:val="22"/>
          <w:lang w:val="es-ES_tradnl"/>
        </w:rPr>
        <w:t>2.</w:t>
      </w:r>
      <w:r w:rsidR="00A3145C">
        <w:rPr>
          <w:rFonts w:ascii="Arial" w:eastAsia="Calibri" w:hAnsi="Arial" w:cs="Arial"/>
          <w:b/>
          <w:sz w:val="22"/>
          <w:lang w:val="es-ES_tradnl"/>
        </w:rPr>
        <w:t>2</w:t>
      </w:r>
      <w:r>
        <w:rPr>
          <w:rFonts w:ascii="Arial" w:eastAsia="Calibri" w:hAnsi="Arial" w:cs="Arial"/>
          <w:b/>
          <w:sz w:val="22"/>
          <w:lang w:val="es-ES_tradnl"/>
        </w:rPr>
        <w:t xml:space="preserve">. </w:t>
      </w:r>
      <w:r w:rsidR="00DE37AD">
        <w:rPr>
          <w:rFonts w:ascii="Arial" w:eastAsia="Calibri" w:hAnsi="Arial" w:cs="Arial"/>
          <w:b/>
          <w:sz w:val="22"/>
          <w:lang w:val="es-ES_tradnl"/>
        </w:rPr>
        <w:t>Análisis de</w:t>
      </w:r>
      <w:r>
        <w:rPr>
          <w:rFonts w:ascii="Arial" w:eastAsia="Calibri" w:hAnsi="Arial" w:cs="Arial"/>
          <w:b/>
          <w:sz w:val="22"/>
          <w:lang w:val="es-ES_tradnl"/>
        </w:rPr>
        <w:t xml:space="preserve"> los argumentos </w:t>
      </w:r>
      <w:r w:rsidR="00DE37AD">
        <w:rPr>
          <w:rFonts w:ascii="Arial" w:eastAsia="Calibri" w:hAnsi="Arial" w:cs="Arial"/>
          <w:b/>
          <w:sz w:val="22"/>
          <w:lang w:val="es-ES_tradnl"/>
        </w:rPr>
        <w:t>d</w:t>
      </w:r>
      <w:r>
        <w:rPr>
          <w:rFonts w:ascii="Arial" w:eastAsia="Calibri" w:hAnsi="Arial" w:cs="Arial"/>
          <w:b/>
          <w:sz w:val="22"/>
          <w:lang w:val="es-ES_tradnl"/>
        </w:rPr>
        <w:t xml:space="preserve">el </w:t>
      </w:r>
      <w:r w:rsidRPr="00C54360">
        <w:rPr>
          <w:rFonts w:ascii="Arial" w:eastAsia="Calibri" w:hAnsi="Arial" w:cs="Arial"/>
          <w:b/>
          <w:sz w:val="22"/>
          <w:lang w:val="es-ES_tradnl"/>
        </w:rPr>
        <w:t>Consejo Profesional Nacional de Ingeniería</w:t>
      </w:r>
    </w:p>
    <w:p w14:paraId="7DC0BC21" w14:textId="2779BE57" w:rsidR="00C54360" w:rsidRDefault="00C54360" w:rsidP="00C54360">
      <w:pPr>
        <w:tabs>
          <w:tab w:val="left" w:pos="426"/>
        </w:tabs>
        <w:spacing w:line="276" w:lineRule="auto"/>
        <w:jc w:val="both"/>
        <w:rPr>
          <w:rFonts w:ascii="Arial" w:eastAsia="Calibri" w:hAnsi="Arial" w:cs="Arial"/>
          <w:b/>
          <w:sz w:val="22"/>
          <w:lang w:val="es-ES_tradnl"/>
        </w:rPr>
      </w:pPr>
    </w:p>
    <w:p w14:paraId="53983F1F" w14:textId="1B1ABE01" w:rsidR="00007060" w:rsidRPr="00007060" w:rsidRDefault="00DA05E2" w:rsidP="001946FB">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Aunque l</w:t>
      </w:r>
      <w:r w:rsidR="00C54360" w:rsidRPr="006A1CBA">
        <w:rPr>
          <w:rFonts w:ascii="Arial" w:eastAsia="Calibri" w:hAnsi="Arial" w:cs="Arial"/>
          <w:bCs/>
          <w:sz w:val="22"/>
          <w:lang w:val="es-ES_tradnl"/>
        </w:rPr>
        <w:t xml:space="preserve">o </w:t>
      </w:r>
      <w:r>
        <w:rPr>
          <w:rFonts w:ascii="Arial" w:eastAsia="Calibri" w:hAnsi="Arial" w:cs="Arial"/>
          <w:bCs/>
          <w:sz w:val="22"/>
          <w:lang w:val="es-ES_tradnl"/>
        </w:rPr>
        <w:t>sostenido en el apartado precedente</w:t>
      </w:r>
      <w:r w:rsidR="00C54360" w:rsidRPr="006A1CBA">
        <w:rPr>
          <w:rFonts w:ascii="Arial" w:eastAsia="Calibri" w:hAnsi="Arial" w:cs="Arial"/>
          <w:bCs/>
          <w:sz w:val="22"/>
          <w:lang w:val="es-ES_tradnl"/>
        </w:rPr>
        <w:t xml:space="preserve"> </w:t>
      </w:r>
      <w:r w:rsidR="006A1CBA">
        <w:rPr>
          <w:rFonts w:ascii="Arial" w:eastAsia="Calibri" w:hAnsi="Arial" w:cs="Arial"/>
          <w:bCs/>
          <w:sz w:val="22"/>
          <w:lang w:val="es-ES_tradnl"/>
        </w:rPr>
        <w:t>es</w:t>
      </w:r>
      <w:r w:rsidR="00C54360" w:rsidRPr="006A1CBA">
        <w:rPr>
          <w:rFonts w:ascii="Arial" w:eastAsia="Calibri" w:hAnsi="Arial" w:cs="Arial"/>
          <w:bCs/>
          <w:sz w:val="22"/>
          <w:lang w:val="es-ES_tradnl"/>
        </w:rPr>
        <w:t xml:space="preserve"> suficiente para </w:t>
      </w:r>
      <w:r>
        <w:rPr>
          <w:rFonts w:ascii="Arial" w:eastAsia="Calibri" w:hAnsi="Arial" w:cs="Arial"/>
          <w:bCs/>
          <w:sz w:val="22"/>
          <w:lang w:val="es-ES_tradnl"/>
        </w:rPr>
        <w:t>negar</w:t>
      </w:r>
      <w:r w:rsidR="00C54360" w:rsidRPr="006A1CBA">
        <w:rPr>
          <w:rFonts w:ascii="Arial" w:eastAsia="Calibri" w:hAnsi="Arial" w:cs="Arial"/>
          <w:bCs/>
          <w:sz w:val="22"/>
          <w:lang w:val="es-ES_tradnl"/>
        </w:rPr>
        <w:t xml:space="preserve"> </w:t>
      </w:r>
      <w:r w:rsidR="006A1CBA">
        <w:rPr>
          <w:rFonts w:ascii="Arial" w:eastAsia="Calibri" w:hAnsi="Arial" w:cs="Arial"/>
          <w:bCs/>
          <w:sz w:val="22"/>
          <w:lang w:val="es-ES_tradnl"/>
        </w:rPr>
        <w:t>la solicitud</w:t>
      </w:r>
      <w:r>
        <w:rPr>
          <w:rFonts w:ascii="Arial" w:eastAsia="Calibri" w:hAnsi="Arial" w:cs="Arial"/>
          <w:bCs/>
          <w:sz w:val="22"/>
          <w:lang w:val="es-ES_tradnl"/>
        </w:rPr>
        <w:t xml:space="preserve"> planteada</w:t>
      </w:r>
      <w:r w:rsidR="00007060" w:rsidRPr="00007060">
        <w:rPr>
          <w:rFonts w:ascii="Arial" w:eastAsia="Calibri" w:hAnsi="Arial" w:cs="Arial"/>
          <w:bCs/>
          <w:sz w:val="22"/>
          <w:lang w:val="es-ES_tradnl"/>
        </w:rPr>
        <w:t xml:space="preserve">, </w:t>
      </w:r>
      <w:r w:rsidR="00E963FA">
        <w:rPr>
          <w:rFonts w:ascii="Arial" w:eastAsia="Calibri" w:hAnsi="Arial" w:cs="Arial"/>
          <w:bCs/>
          <w:sz w:val="22"/>
          <w:lang w:val="es-ES_tradnl"/>
        </w:rPr>
        <w:t>se abordaran los siguientes temas</w:t>
      </w:r>
      <w:r w:rsidR="00DE37AD" w:rsidRPr="00007060">
        <w:rPr>
          <w:rFonts w:ascii="Arial" w:eastAsia="Calibri" w:hAnsi="Arial" w:cs="Arial"/>
          <w:bCs/>
          <w:sz w:val="22"/>
          <w:lang w:val="es-ES_tradnl"/>
        </w:rPr>
        <w:t xml:space="preserve">: i) </w:t>
      </w:r>
      <w:r w:rsidR="00007060" w:rsidRPr="00007060">
        <w:rPr>
          <w:rFonts w:ascii="Arial" w:eastAsia="Calibri" w:hAnsi="Arial" w:cs="Arial"/>
          <w:bCs/>
          <w:sz w:val="22"/>
          <w:lang w:val="es-ES_tradnl"/>
        </w:rPr>
        <w:t>antecedentes de</w:t>
      </w:r>
      <w:r>
        <w:rPr>
          <w:rFonts w:ascii="Arial" w:eastAsia="Calibri" w:hAnsi="Arial" w:cs="Arial"/>
          <w:bCs/>
          <w:sz w:val="22"/>
          <w:lang w:val="es-ES_tradnl"/>
        </w:rPr>
        <w:t xml:space="preserve">l control </w:t>
      </w:r>
      <w:r w:rsidR="00007060" w:rsidRPr="00007060">
        <w:rPr>
          <w:rFonts w:ascii="Arial" w:eastAsia="Calibri" w:hAnsi="Arial" w:cs="Arial"/>
          <w:bCs/>
          <w:sz w:val="22"/>
          <w:lang w:val="es-ES_tradnl"/>
        </w:rPr>
        <w:t>de constitucionalidad</w:t>
      </w:r>
      <w:r>
        <w:rPr>
          <w:rFonts w:ascii="Arial" w:eastAsia="Calibri" w:hAnsi="Arial" w:cs="Arial"/>
          <w:bCs/>
          <w:sz w:val="22"/>
          <w:lang w:val="es-ES_tradnl"/>
        </w:rPr>
        <w:t>,</w:t>
      </w:r>
      <w:r w:rsidR="00007060">
        <w:rPr>
          <w:rFonts w:ascii="Arial" w:eastAsia="Calibri" w:hAnsi="Arial" w:cs="Arial"/>
          <w:bCs/>
          <w:sz w:val="22"/>
          <w:lang w:val="es-ES_tradnl"/>
        </w:rPr>
        <w:t xml:space="preserve"> </w:t>
      </w:r>
      <w:proofErr w:type="spellStart"/>
      <w:r w:rsidR="00007060">
        <w:rPr>
          <w:rFonts w:ascii="Arial" w:eastAsia="Calibri" w:hAnsi="Arial" w:cs="Arial"/>
          <w:bCs/>
          <w:sz w:val="22"/>
          <w:lang w:val="es-ES_tradnl"/>
        </w:rPr>
        <w:t>ii</w:t>
      </w:r>
      <w:proofErr w:type="spellEnd"/>
      <w:r w:rsidR="00007060">
        <w:rPr>
          <w:rFonts w:ascii="Arial" w:eastAsia="Calibri" w:hAnsi="Arial" w:cs="Arial"/>
          <w:bCs/>
          <w:sz w:val="22"/>
          <w:lang w:val="es-ES_tradnl"/>
        </w:rPr>
        <w:t xml:space="preserve">) </w:t>
      </w:r>
      <w:r w:rsidR="00007060" w:rsidRPr="00007060">
        <w:rPr>
          <w:rFonts w:ascii="Arial" w:eastAsia="Calibri" w:hAnsi="Arial" w:cs="Arial"/>
          <w:bCs/>
          <w:sz w:val="22"/>
          <w:lang w:val="es-ES_tradnl"/>
        </w:rPr>
        <w:t>antecedentes jurisprudenciales de la tesis sostenida por el COPNIA</w:t>
      </w:r>
      <w:r>
        <w:rPr>
          <w:rFonts w:ascii="Arial" w:eastAsia="Calibri" w:hAnsi="Arial" w:cs="Arial"/>
          <w:bCs/>
          <w:sz w:val="22"/>
          <w:lang w:val="es-ES_tradnl"/>
        </w:rPr>
        <w:t>,</w:t>
      </w:r>
      <w:r w:rsidR="00007060">
        <w:rPr>
          <w:rFonts w:ascii="Arial" w:eastAsia="Calibri" w:hAnsi="Arial" w:cs="Arial"/>
          <w:bCs/>
          <w:sz w:val="22"/>
          <w:lang w:val="es-ES_tradnl"/>
        </w:rPr>
        <w:t xml:space="preserve"> </w:t>
      </w:r>
      <w:proofErr w:type="spellStart"/>
      <w:r w:rsidR="00007060">
        <w:rPr>
          <w:rFonts w:ascii="Arial" w:eastAsia="Calibri" w:hAnsi="Arial" w:cs="Arial"/>
          <w:bCs/>
          <w:sz w:val="22"/>
          <w:lang w:val="es-ES_tradnl"/>
        </w:rPr>
        <w:t>iii</w:t>
      </w:r>
      <w:proofErr w:type="spellEnd"/>
      <w:r w:rsidR="00007060">
        <w:rPr>
          <w:rFonts w:ascii="Arial" w:eastAsia="Calibri" w:hAnsi="Arial" w:cs="Arial"/>
          <w:bCs/>
          <w:sz w:val="22"/>
          <w:lang w:val="es-ES_tradnl"/>
        </w:rPr>
        <w:t xml:space="preserve">) </w:t>
      </w:r>
      <w:r>
        <w:rPr>
          <w:rFonts w:ascii="Arial" w:eastAsia="Calibri" w:hAnsi="Arial" w:cs="Arial"/>
          <w:bCs/>
          <w:sz w:val="22"/>
          <w:lang w:val="es-ES_tradnl"/>
        </w:rPr>
        <w:t>coherencia</w:t>
      </w:r>
      <w:r w:rsidRPr="00007060">
        <w:rPr>
          <w:rFonts w:ascii="Arial" w:eastAsia="Calibri" w:hAnsi="Arial" w:cs="Arial"/>
          <w:bCs/>
          <w:sz w:val="22"/>
          <w:lang w:val="es-ES_tradnl"/>
        </w:rPr>
        <w:t xml:space="preserve"> </w:t>
      </w:r>
      <w:r w:rsidR="00007060" w:rsidRPr="00007060">
        <w:rPr>
          <w:rFonts w:ascii="Arial" w:eastAsia="Calibri" w:hAnsi="Arial" w:cs="Arial"/>
          <w:bCs/>
          <w:sz w:val="22"/>
          <w:lang w:val="es-ES_tradnl"/>
        </w:rPr>
        <w:t>de los conceptos emitidos por Colombia Compra Eficiente</w:t>
      </w:r>
      <w:r>
        <w:rPr>
          <w:rFonts w:ascii="Arial" w:eastAsia="Calibri" w:hAnsi="Arial" w:cs="Arial"/>
          <w:bCs/>
          <w:sz w:val="22"/>
          <w:lang w:val="es-ES_tradnl"/>
        </w:rPr>
        <w:t>,</w:t>
      </w:r>
      <w:r w:rsidR="00007060">
        <w:rPr>
          <w:rFonts w:ascii="Arial" w:eastAsia="Calibri" w:hAnsi="Arial" w:cs="Arial"/>
          <w:bCs/>
          <w:sz w:val="22"/>
          <w:lang w:val="es-ES_tradnl"/>
        </w:rPr>
        <w:t xml:space="preserve"> </w:t>
      </w:r>
      <w:proofErr w:type="spellStart"/>
      <w:r w:rsidR="00007060">
        <w:rPr>
          <w:rFonts w:ascii="Arial" w:eastAsia="Calibri" w:hAnsi="Arial" w:cs="Arial"/>
          <w:bCs/>
          <w:sz w:val="22"/>
          <w:lang w:val="es-ES_tradnl"/>
        </w:rPr>
        <w:t>iv</w:t>
      </w:r>
      <w:proofErr w:type="spellEnd"/>
      <w:r w:rsidR="00007060">
        <w:rPr>
          <w:rFonts w:ascii="Arial" w:eastAsia="Calibri" w:hAnsi="Arial" w:cs="Arial"/>
          <w:bCs/>
          <w:sz w:val="22"/>
          <w:lang w:val="es-ES_tradnl"/>
        </w:rPr>
        <w:t xml:space="preserve">) </w:t>
      </w:r>
      <w:r w:rsidR="00007060" w:rsidRPr="00007060">
        <w:rPr>
          <w:rFonts w:ascii="Arial" w:eastAsia="Calibri" w:hAnsi="Arial" w:cs="Arial"/>
          <w:bCs/>
          <w:sz w:val="22"/>
          <w:lang w:val="es-ES_tradnl"/>
        </w:rPr>
        <w:t>derogatoria tácita de la Ley 842 de 2003</w:t>
      </w:r>
      <w:r w:rsidR="00007060">
        <w:rPr>
          <w:rFonts w:ascii="Arial" w:eastAsia="Calibri" w:hAnsi="Arial" w:cs="Arial"/>
          <w:bCs/>
          <w:sz w:val="22"/>
          <w:lang w:val="es-ES_tradnl"/>
        </w:rPr>
        <w:t xml:space="preserve"> y v) </w:t>
      </w:r>
      <w:r>
        <w:rPr>
          <w:rFonts w:ascii="Arial" w:eastAsia="Calibri" w:hAnsi="Arial" w:cs="Arial"/>
          <w:bCs/>
          <w:sz w:val="22"/>
          <w:lang w:val="es-ES_tradnl"/>
        </w:rPr>
        <w:t xml:space="preserve">ausencia de </w:t>
      </w:r>
      <w:r w:rsidR="00007060">
        <w:rPr>
          <w:rFonts w:ascii="Arial" w:eastAsia="Calibri" w:hAnsi="Arial" w:cs="Arial"/>
          <w:bCs/>
          <w:sz w:val="22"/>
          <w:lang w:val="es-ES_tradnl"/>
        </w:rPr>
        <w:t>c</w:t>
      </w:r>
      <w:r w:rsidR="00007060" w:rsidRPr="00007060">
        <w:rPr>
          <w:rFonts w:ascii="Arial" w:eastAsia="Calibri" w:hAnsi="Arial" w:cs="Arial"/>
          <w:bCs/>
          <w:sz w:val="22"/>
          <w:lang w:val="es-ES_tradnl"/>
        </w:rPr>
        <w:t>ompetencia exclusiva y excluyente del COPNIA para interpretar la Ley 842 de 2003</w:t>
      </w:r>
      <w:r w:rsidR="00007060">
        <w:rPr>
          <w:rFonts w:ascii="Arial" w:eastAsia="Calibri" w:hAnsi="Arial" w:cs="Arial"/>
          <w:bCs/>
          <w:sz w:val="22"/>
          <w:lang w:val="es-ES_tradnl"/>
        </w:rPr>
        <w:t>.</w:t>
      </w:r>
    </w:p>
    <w:p w14:paraId="2BE2E382" w14:textId="3A3ECF5D" w:rsidR="00DE37AD" w:rsidRDefault="00DE37AD" w:rsidP="00C54360">
      <w:pPr>
        <w:tabs>
          <w:tab w:val="left" w:pos="426"/>
        </w:tabs>
        <w:spacing w:line="276" w:lineRule="auto"/>
        <w:jc w:val="both"/>
        <w:rPr>
          <w:rFonts w:ascii="Arial" w:eastAsia="Calibri" w:hAnsi="Arial" w:cs="Arial"/>
          <w:b/>
          <w:sz w:val="22"/>
          <w:lang w:val="es-ES_tradnl"/>
        </w:rPr>
      </w:pPr>
    </w:p>
    <w:p w14:paraId="16A5F429" w14:textId="3C1A1163" w:rsidR="00DE37AD" w:rsidRDefault="00DE37AD" w:rsidP="00C54360">
      <w:pPr>
        <w:tabs>
          <w:tab w:val="left" w:pos="426"/>
        </w:tabs>
        <w:spacing w:line="276" w:lineRule="auto"/>
        <w:jc w:val="both"/>
        <w:rPr>
          <w:rFonts w:ascii="Arial" w:eastAsia="Calibri" w:hAnsi="Arial" w:cs="Arial"/>
          <w:b/>
          <w:sz w:val="22"/>
          <w:lang w:val="es-ES_tradnl"/>
        </w:rPr>
      </w:pPr>
      <w:r>
        <w:rPr>
          <w:rFonts w:ascii="Arial" w:eastAsia="Calibri" w:hAnsi="Arial" w:cs="Arial"/>
          <w:b/>
          <w:sz w:val="22"/>
          <w:lang w:val="es-ES_tradnl"/>
        </w:rPr>
        <w:t>2.</w:t>
      </w:r>
      <w:r w:rsidR="00E963FA">
        <w:rPr>
          <w:rFonts w:ascii="Arial" w:eastAsia="Calibri" w:hAnsi="Arial" w:cs="Arial"/>
          <w:b/>
          <w:sz w:val="22"/>
          <w:lang w:val="es-ES_tradnl"/>
        </w:rPr>
        <w:t>2</w:t>
      </w:r>
      <w:r>
        <w:rPr>
          <w:rFonts w:ascii="Arial" w:eastAsia="Calibri" w:hAnsi="Arial" w:cs="Arial"/>
          <w:b/>
          <w:sz w:val="22"/>
          <w:lang w:val="es-ES_tradnl"/>
        </w:rPr>
        <w:t xml:space="preserve">.1. </w:t>
      </w:r>
      <w:r w:rsidR="00464EA9" w:rsidRPr="00464EA9">
        <w:rPr>
          <w:rFonts w:ascii="Arial" w:eastAsia="Calibri" w:hAnsi="Arial" w:cs="Arial"/>
          <w:b/>
          <w:sz w:val="22"/>
          <w:lang w:val="es-ES_tradnl"/>
        </w:rPr>
        <w:t xml:space="preserve">Argumento relacionado con el precedente de la Corte Constitucional </w:t>
      </w:r>
    </w:p>
    <w:p w14:paraId="7E0C4173" w14:textId="3CAA6840" w:rsidR="00007060" w:rsidRDefault="00007060" w:rsidP="00C54360">
      <w:pPr>
        <w:tabs>
          <w:tab w:val="left" w:pos="426"/>
        </w:tabs>
        <w:spacing w:line="276" w:lineRule="auto"/>
        <w:jc w:val="both"/>
        <w:rPr>
          <w:rFonts w:ascii="Arial" w:eastAsia="Calibri" w:hAnsi="Arial" w:cs="Arial"/>
          <w:b/>
          <w:sz w:val="22"/>
          <w:lang w:val="es-ES_tradnl"/>
        </w:rPr>
      </w:pPr>
    </w:p>
    <w:p w14:paraId="706E2D53" w14:textId="066907D0" w:rsidR="00494D25" w:rsidRDefault="00494D25" w:rsidP="00C54360">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 xml:space="preserve">El COPNIA asegura que existen antecedentes jurisprudenciales que respaldan su tesis, esto es, que el artículo 12 de la Ley 842 de 2003 está vigente y que no ha sido derogado. En su criterio, la sentencia C-296 de 2012 es muestra de ello, por una parte, porque la misma declaró la </w:t>
      </w:r>
      <w:proofErr w:type="spellStart"/>
      <w:r>
        <w:rPr>
          <w:rFonts w:ascii="Arial" w:eastAsia="Calibri" w:hAnsi="Arial" w:cs="Arial"/>
          <w:bCs/>
          <w:sz w:val="22"/>
          <w:lang w:val="es-ES_tradnl"/>
        </w:rPr>
        <w:t>exequibilidad</w:t>
      </w:r>
      <w:proofErr w:type="spellEnd"/>
      <w:r>
        <w:rPr>
          <w:rFonts w:ascii="Arial" w:eastAsia="Calibri" w:hAnsi="Arial" w:cs="Arial"/>
          <w:bCs/>
          <w:sz w:val="22"/>
          <w:lang w:val="es-ES_tradnl"/>
        </w:rPr>
        <w:t xml:space="preserve"> de dicha disposición y, por la otra, porque allí se dijo que tal norma no había sido derogada. En efecto, en la página 7 de la</w:t>
      </w:r>
      <w:r w:rsidR="00AC236B">
        <w:rPr>
          <w:rFonts w:ascii="Arial" w:eastAsia="Calibri" w:hAnsi="Arial" w:cs="Arial"/>
          <w:bCs/>
          <w:sz w:val="22"/>
          <w:lang w:val="es-ES_tradnl"/>
        </w:rPr>
        <w:t xml:space="preserve"> </w:t>
      </w:r>
      <w:r w:rsidR="001E249B">
        <w:rPr>
          <w:rFonts w:ascii="Arial" w:eastAsia="Calibri" w:hAnsi="Arial" w:cs="Arial"/>
          <w:bCs/>
          <w:sz w:val="22"/>
          <w:lang w:val="es-ES_tradnl"/>
        </w:rPr>
        <w:t>petición</w:t>
      </w:r>
      <w:r>
        <w:rPr>
          <w:rFonts w:ascii="Arial" w:eastAsia="Calibri" w:hAnsi="Arial" w:cs="Arial"/>
          <w:bCs/>
          <w:sz w:val="22"/>
          <w:lang w:val="es-ES_tradnl"/>
        </w:rPr>
        <w:t xml:space="preserve"> se observa el siguiente argumento:</w:t>
      </w:r>
    </w:p>
    <w:p w14:paraId="424D9858" w14:textId="35DA5194" w:rsidR="00494D25" w:rsidRDefault="00494D25" w:rsidP="00C54360">
      <w:pPr>
        <w:tabs>
          <w:tab w:val="left" w:pos="426"/>
        </w:tabs>
        <w:spacing w:line="276" w:lineRule="auto"/>
        <w:jc w:val="both"/>
        <w:rPr>
          <w:rFonts w:ascii="Arial" w:eastAsia="Calibri" w:hAnsi="Arial" w:cs="Arial"/>
          <w:bCs/>
          <w:sz w:val="22"/>
          <w:lang w:val="es-ES_tradnl"/>
        </w:rPr>
      </w:pPr>
    </w:p>
    <w:p w14:paraId="13785AAF" w14:textId="01714842" w:rsidR="00494D25" w:rsidRPr="00397D11" w:rsidRDefault="00494D25" w:rsidP="00397D11">
      <w:pPr>
        <w:tabs>
          <w:tab w:val="left" w:pos="426"/>
        </w:tabs>
        <w:ind w:left="709" w:right="709"/>
        <w:jc w:val="both"/>
        <w:rPr>
          <w:rFonts w:ascii="Arial" w:eastAsia="Calibri" w:hAnsi="Arial" w:cs="Arial"/>
          <w:bCs/>
          <w:sz w:val="21"/>
          <w:szCs w:val="21"/>
          <w:lang w:val="es-ES_tradnl"/>
        </w:rPr>
      </w:pPr>
      <w:r w:rsidRPr="00397D11">
        <w:rPr>
          <w:rFonts w:ascii="Arial" w:eastAsia="Calibri" w:hAnsi="Arial" w:cs="Arial"/>
          <w:bCs/>
          <w:sz w:val="21"/>
          <w:szCs w:val="21"/>
        </w:rPr>
        <w:t xml:space="preserve">Al manifestar los conceptos de la </w:t>
      </w:r>
      <w:r w:rsidR="00980317" w:rsidRPr="00397D11">
        <w:rPr>
          <w:rFonts w:ascii="Arial" w:eastAsia="Calibri" w:hAnsi="Arial" w:cs="Arial"/>
          <w:bCs/>
          <w:sz w:val="21"/>
          <w:szCs w:val="21"/>
        </w:rPr>
        <w:t>A</w:t>
      </w:r>
      <w:r w:rsidRPr="00397D11">
        <w:rPr>
          <w:rFonts w:ascii="Arial" w:eastAsia="Calibri" w:hAnsi="Arial" w:cs="Arial"/>
          <w:bCs/>
          <w:sz w:val="21"/>
          <w:szCs w:val="21"/>
        </w:rPr>
        <w:t>gencia, que el artículo 12 de la ley 842 de 2003</w:t>
      </w:r>
      <w:r w:rsidR="00980317" w:rsidRPr="00397D11">
        <w:rPr>
          <w:rFonts w:ascii="Arial" w:eastAsia="Calibri" w:hAnsi="Arial" w:cs="Arial"/>
          <w:bCs/>
          <w:sz w:val="21"/>
          <w:szCs w:val="21"/>
        </w:rPr>
        <w:t>,</w:t>
      </w:r>
      <w:r w:rsidRPr="00397D11">
        <w:rPr>
          <w:rFonts w:ascii="Arial" w:eastAsia="Calibri" w:hAnsi="Arial" w:cs="Arial"/>
          <w:bCs/>
          <w:sz w:val="21"/>
          <w:szCs w:val="21"/>
        </w:rPr>
        <w:t xml:space="preserve"> se encuentra derogado tácitamente, </w:t>
      </w:r>
      <w:r w:rsidR="00980317" w:rsidRPr="00397D11">
        <w:rPr>
          <w:rFonts w:ascii="Arial" w:eastAsia="Calibri" w:hAnsi="Arial" w:cs="Arial"/>
          <w:bCs/>
          <w:sz w:val="21"/>
          <w:szCs w:val="21"/>
        </w:rPr>
        <w:t xml:space="preserve">siendo que la Corte Constitucional en la sentencia referida estableció que este artículo no sólo es </w:t>
      </w:r>
      <w:r w:rsidR="00397D11" w:rsidRPr="00397D11">
        <w:rPr>
          <w:rFonts w:ascii="Arial" w:eastAsia="Calibri" w:hAnsi="Arial" w:cs="Arial"/>
          <w:bCs/>
          <w:sz w:val="21"/>
          <w:szCs w:val="21"/>
        </w:rPr>
        <w:t>exequible</w:t>
      </w:r>
      <w:r w:rsidR="00FF0F06">
        <w:rPr>
          <w:rFonts w:ascii="Arial" w:eastAsia="Calibri" w:hAnsi="Arial" w:cs="Arial"/>
          <w:bCs/>
          <w:sz w:val="21"/>
          <w:szCs w:val="21"/>
        </w:rPr>
        <w:t xml:space="preserve"> </w:t>
      </w:r>
      <w:r w:rsidR="00DE5AAF">
        <w:rPr>
          <w:rFonts w:ascii="Arial" w:eastAsia="Calibri" w:hAnsi="Arial" w:cs="Arial"/>
          <w:bCs/>
          <w:sz w:val="21"/>
          <w:szCs w:val="21"/>
        </w:rPr>
        <w:t>[,]</w:t>
      </w:r>
      <w:r w:rsidR="00980317" w:rsidRPr="00397D11">
        <w:rPr>
          <w:rFonts w:ascii="Arial" w:eastAsia="Calibri" w:hAnsi="Arial" w:cs="Arial"/>
          <w:bCs/>
          <w:sz w:val="21"/>
          <w:szCs w:val="21"/>
        </w:rPr>
        <w:t xml:space="preserve"> sino que no ha sido derogado ni expresa ni tácitamente por ninguna norma es claramente un desconocimiento no sólo a la legislación sino a las decisiones del alto Tribunal y a sus efectos</w:t>
      </w:r>
      <w:r w:rsidR="00D3704A">
        <w:rPr>
          <w:rFonts w:ascii="Arial" w:eastAsia="Calibri" w:hAnsi="Arial" w:cs="Arial"/>
          <w:bCs/>
          <w:sz w:val="21"/>
          <w:szCs w:val="21"/>
        </w:rPr>
        <w:t>.</w:t>
      </w:r>
      <w:r w:rsidR="00980317" w:rsidRPr="00397D11">
        <w:rPr>
          <w:rFonts w:ascii="Arial" w:eastAsia="Calibri" w:hAnsi="Arial" w:cs="Arial"/>
          <w:bCs/>
          <w:sz w:val="21"/>
          <w:szCs w:val="21"/>
        </w:rPr>
        <w:t xml:space="preserve"> </w:t>
      </w:r>
    </w:p>
    <w:p w14:paraId="761B7507" w14:textId="1665777F" w:rsidR="00007060" w:rsidRDefault="00007060" w:rsidP="00C54360">
      <w:pPr>
        <w:tabs>
          <w:tab w:val="left" w:pos="426"/>
        </w:tabs>
        <w:spacing w:line="276" w:lineRule="auto"/>
        <w:jc w:val="both"/>
        <w:rPr>
          <w:rFonts w:ascii="Arial" w:eastAsia="Calibri" w:hAnsi="Arial" w:cs="Arial"/>
          <w:b/>
          <w:sz w:val="22"/>
          <w:lang w:val="es-ES_tradnl"/>
        </w:rPr>
      </w:pPr>
    </w:p>
    <w:p w14:paraId="0F24E597" w14:textId="19059628" w:rsidR="00B27674" w:rsidRDefault="00D3704A" w:rsidP="001946FB">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r>
      <w:r w:rsidR="00DE5AAF">
        <w:rPr>
          <w:rFonts w:ascii="Arial" w:eastAsia="Calibri" w:hAnsi="Arial" w:cs="Arial"/>
          <w:bCs/>
          <w:sz w:val="22"/>
          <w:lang w:val="es-ES_tradnl"/>
        </w:rPr>
        <w:t>El argumento expuesto</w:t>
      </w:r>
      <w:r>
        <w:rPr>
          <w:rFonts w:ascii="Arial" w:eastAsia="Calibri" w:hAnsi="Arial" w:cs="Arial"/>
          <w:bCs/>
          <w:sz w:val="22"/>
          <w:lang w:val="es-ES_tradnl"/>
        </w:rPr>
        <w:t xml:space="preserve"> </w:t>
      </w:r>
      <w:r w:rsidR="00DE5AAF">
        <w:rPr>
          <w:rFonts w:ascii="Arial" w:eastAsia="Calibri" w:hAnsi="Arial" w:cs="Arial"/>
          <w:bCs/>
          <w:sz w:val="22"/>
          <w:lang w:val="es-ES_tradnl"/>
        </w:rPr>
        <w:t>contiene dos</w:t>
      </w:r>
      <w:r w:rsidR="00464EA9">
        <w:rPr>
          <w:rFonts w:ascii="Arial" w:eastAsia="Calibri" w:hAnsi="Arial" w:cs="Arial"/>
          <w:bCs/>
          <w:sz w:val="22"/>
          <w:lang w:val="es-ES_tradnl"/>
        </w:rPr>
        <w:t xml:space="preserve"> (2)</w:t>
      </w:r>
      <w:r w:rsidR="00DE5AAF">
        <w:rPr>
          <w:rFonts w:ascii="Arial" w:eastAsia="Calibri" w:hAnsi="Arial" w:cs="Arial"/>
          <w:bCs/>
          <w:sz w:val="22"/>
          <w:lang w:val="es-ES_tradnl"/>
        </w:rPr>
        <w:t xml:space="preserve"> </w:t>
      </w:r>
      <w:r>
        <w:rPr>
          <w:rFonts w:ascii="Arial" w:eastAsia="Calibri" w:hAnsi="Arial" w:cs="Arial"/>
          <w:bCs/>
          <w:sz w:val="22"/>
          <w:lang w:val="es-ES_tradnl"/>
        </w:rPr>
        <w:t>imprecisiones</w:t>
      </w:r>
      <w:r w:rsidR="00DE5AAF">
        <w:rPr>
          <w:rFonts w:ascii="Arial" w:eastAsia="Calibri" w:hAnsi="Arial" w:cs="Arial"/>
          <w:bCs/>
          <w:sz w:val="22"/>
          <w:lang w:val="es-ES_tradnl"/>
        </w:rPr>
        <w:t xml:space="preserve">. </w:t>
      </w:r>
      <w:r w:rsidR="00DE5AAF" w:rsidRPr="003741C3">
        <w:rPr>
          <w:rFonts w:ascii="Arial" w:eastAsia="Calibri" w:hAnsi="Arial" w:cs="Arial"/>
          <w:bCs/>
          <w:i/>
          <w:iCs/>
          <w:sz w:val="22"/>
          <w:lang w:val="es-ES_tradnl"/>
        </w:rPr>
        <w:t>Por un lado</w:t>
      </w:r>
      <w:r w:rsidR="00DE5AAF">
        <w:rPr>
          <w:rFonts w:ascii="Arial" w:eastAsia="Calibri" w:hAnsi="Arial" w:cs="Arial"/>
          <w:bCs/>
          <w:sz w:val="22"/>
          <w:lang w:val="es-ES_tradnl"/>
        </w:rPr>
        <w:t xml:space="preserve">, no es cierto que en la referida sentencia la Corte Constitucional hubiera dicho que la norma no fue derogada, incluso, al revisar detalladamente su contenido no se encuentra consideración alguna en relación con la vigencia de la </w:t>
      </w:r>
      <w:r w:rsidR="003741C3">
        <w:rPr>
          <w:rFonts w:ascii="Arial" w:eastAsia="Calibri" w:hAnsi="Arial" w:cs="Arial"/>
          <w:bCs/>
          <w:sz w:val="22"/>
          <w:lang w:val="es-ES_tradnl"/>
        </w:rPr>
        <w:t>disposición</w:t>
      </w:r>
      <w:r w:rsidR="00DE5AAF">
        <w:rPr>
          <w:rFonts w:ascii="Arial" w:eastAsia="Calibri" w:hAnsi="Arial" w:cs="Arial"/>
          <w:bCs/>
          <w:sz w:val="22"/>
          <w:lang w:val="es-ES_tradnl"/>
        </w:rPr>
        <w:t>. Valga la pena resaltar que la demanda que se resolvió tenía como parámetro</w:t>
      </w:r>
      <w:r w:rsidR="002B12B7">
        <w:rPr>
          <w:rFonts w:ascii="Arial" w:eastAsia="Calibri" w:hAnsi="Arial" w:cs="Arial"/>
          <w:bCs/>
          <w:sz w:val="22"/>
          <w:lang w:val="es-ES_tradnl"/>
        </w:rPr>
        <w:t xml:space="preserve"> de comparación</w:t>
      </w:r>
      <w:r w:rsidR="00DE5AAF">
        <w:rPr>
          <w:rFonts w:ascii="Arial" w:eastAsia="Calibri" w:hAnsi="Arial" w:cs="Arial"/>
          <w:bCs/>
          <w:sz w:val="22"/>
          <w:lang w:val="es-ES_tradnl"/>
        </w:rPr>
        <w:t xml:space="preserve"> </w:t>
      </w:r>
      <w:r w:rsidR="002B12B7">
        <w:rPr>
          <w:rFonts w:ascii="Arial" w:eastAsia="Calibri" w:hAnsi="Arial" w:cs="Arial"/>
          <w:bCs/>
          <w:sz w:val="22"/>
          <w:lang w:val="es-ES_tradnl"/>
        </w:rPr>
        <w:t>los requisitos regulados por e</w:t>
      </w:r>
      <w:r w:rsidR="002B12B7" w:rsidRPr="002B12B7">
        <w:rPr>
          <w:rFonts w:ascii="Arial" w:eastAsia="Calibri" w:hAnsi="Arial" w:cs="Arial"/>
          <w:bCs/>
          <w:sz w:val="22"/>
          <w:lang w:val="es-ES_tradnl"/>
        </w:rPr>
        <w:t>l artículo 14 del Decreto 2772 de 2005</w:t>
      </w:r>
      <w:r w:rsidR="002B12B7">
        <w:rPr>
          <w:rFonts w:ascii="Arial" w:eastAsia="Calibri" w:hAnsi="Arial" w:cs="Arial"/>
          <w:bCs/>
          <w:sz w:val="22"/>
          <w:lang w:val="es-ES_tradnl"/>
        </w:rPr>
        <w:t xml:space="preserve"> −no el artículo 229 del Decreto Ley 19 de 2012−</w:t>
      </w:r>
      <w:r w:rsidR="00DE5AAF">
        <w:rPr>
          <w:rFonts w:ascii="Arial" w:eastAsia="Calibri" w:hAnsi="Arial" w:cs="Arial"/>
          <w:bCs/>
          <w:sz w:val="22"/>
          <w:lang w:val="es-ES_tradnl"/>
        </w:rPr>
        <w:t xml:space="preserve">, frente al cual </w:t>
      </w:r>
      <w:r w:rsidR="002B12B7">
        <w:rPr>
          <w:rFonts w:ascii="Arial" w:eastAsia="Calibri" w:hAnsi="Arial" w:cs="Arial"/>
          <w:bCs/>
          <w:sz w:val="22"/>
          <w:lang w:val="es-ES_tradnl"/>
        </w:rPr>
        <w:t>los demandantes</w:t>
      </w:r>
      <w:r w:rsidR="00DE5AAF">
        <w:rPr>
          <w:rFonts w:ascii="Arial" w:eastAsia="Calibri" w:hAnsi="Arial" w:cs="Arial"/>
          <w:bCs/>
          <w:sz w:val="22"/>
          <w:lang w:val="es-ES_tradnl"/>
        </w:rPr>
        <w:t xml:space="preserve"> alegaron violaciones en relación con el derecho a la igualdad y al trabajo, pero nada relacionado con </w:t>
      </w:r>
      <w:r w:rsidR="002B12B7">
        <w:rPr>
          <w:rFonts w:ascii="Arial" w:eastAsia="Calibri" w:hAnsi="Arial" w:cs="Arial"/>
          <w:bCs/>
          <w:sz w:val="22"/>
          <w:lang w:val="es-ES_tradnl"/>
        </w:rPr>
        <w:t>la vigencia de la ley.</w:t>
      </w:r>
      <w:r>
        <w:rPr>
          <w:rFonts w:ascii="Arial" w:eastAsia="Calibri" w:hAnsi="Arial" w:cs="Arial"/>
          <w:bCs/>
          <w:sz w:val="22"/>
          <w:lang w:val="es-ES_tradnl"/>
        </w:rPr>
        <w:t xml:space="preserve"> </w:t>
      </w:r>
      <w:r w:rsidR="00B27674">
        <w:rPr>
          <w:rFonts w:ascii="Arial" w:eastAsia="Calibri" w:hAnsi="Arial" w:cs="Arial"/>
          <w:bCs/>
          <w:sz w:val="22"/>
          <w:lang w:val="es-ES_tradnl"/>
        </w:rPr>
        <w:t>E</w:t>
      </w:r>
      <w:r w:rsidR="00C478FE">
        <w:rPr>
          <w:rFonts w:ascii="Arial" w:eastAsia="Calibri" w:hAnsi="Arial" w:cs="Arial"/>
          <w:bCs/>
          <w:sz w:val="22"/>
          <w:lang w:val="es-ES_tradnl"/>
        </w:rPr>
        <w:t>n efecto, e</w:t>
      </w:r>
      <w:r w:rsidR="00B27674">
        <w:rPr>
          <w:rFonts w:ascii="Arial" w:eastAsia="Calibri" w:hAnsi="Arial" w:cs="Arial"/>
          <w:bCs/>
          <w:sz w:val="22"/>
          <w:lang w:val="es-ES_tradnl"/>
        </w:rPr>
        <w:t>l problema jurídico que se planteó</w:t>
      </w:r>
      <w:r w:rsidR="00C478FE">
        <w:rPr>
          <w:rFonts w:ascii="Arial" w:eastAsia="Calibri" w:hAnsi="Arial" w:cs="Arial"/>
          <w:bCs/>
          <w:sz w:val="22"/>
          <w:lang w:val="es-ES_tradnl"/>
        </w:rPr>
        <w:t xml:space="preserve"> en esa ocasión</w:t>
      </w:r>
      <w:r w:rsidR="00B27674">
        <w:rPr>
          <w:rFonts w:ascii="Arial" w:eastAsia="Calibri" w:hAnsi="Arial" w:cs="Arial"/>
          <w:bCs/>
          <w:sz w:val="22"/>
          <w:lang w:val="es-ES_tradnl"/>
        </w:rPr>
        <w:t xml:space="preserve"> fue el siguiente:</w:t>
      </w:r>
    </w:p>
    <w:p w14:paraId="52E309D0" w14:textId="6AFC4F92" w:rsidR="00B27674" w:rsidRDefault="00B27674" w:rsidP="001946FB">
      <w:pPr>
        <w:tabs>
          <w:tab w:val="left" w:pos="426"/>
        </w:tabs>
        <w:spacing w:line="276" w:lineRule="auto"/>
        <w:jc w:val="both"/>
        <w:rPr>
          <w:rFonts w:ascii="Arial" w:eastAsia="Calibri" w:hAnsi="Arial" w:cs="Arial"/>
          <w:bCs/>
          <w:sz w:val="22"/>
          <w:lang w:val="es-ES_tradnl"/>
        </w:rPr>
      </w:pPr>
    </w:p>
    <w:p w14:paraId="75067280" w14:textId="7EF8FE85" w:rsidR="00B27674" w:rsidRPr="00B27674" w:rsidRDefault="00B27674" w:rsidP="00B27674">
      <w:pPr>
        <w:tabs>
          <w:tab w:val="left" w:pos="426"/>
        </w:tabs>
        <w:ind w:left="709" w:right="709"/>
        <w:jc w:val="both"/>
        <w:rPr>
          <w:rFonts w:ascii="Arial" w:eastAsia="Calibri" w:hAnsi="Arial" w:cs="Arial"/>
          <w:bCs/>
          <w:sz w:val="21"/>
          <w:szCs w:val="21"/>
          <w:lang w:val="es-ES_tradnl"/>
        </w:rPr>
      </w:pPr>
      <w:r w:rsidRPr="00B27674">
        <w:rPr>
          <w:rFonts w:ascii="Arial" w:eastAsia="Calibri" w:hAnsi="Arial" w:cs="Arial"/>
          <w:bCs/>
          <w:sz w:val="21"/>
          <w:szCs w:val="21"/>
          <w:lang w:val="es-ES_tradnl"/>
        </w:rPr>
        <w:t xml:space="preserve">4.2. Por </w:t>
      </w:r>
      <w:proofErr w:type="gramStart"/>
      <w:r w:rsidRPr="00B27674">
        <w:rPr>
          <w:rFonts w:ascii="Arial" w:eastAsia="Calibri" w:hAnsi="Arial" w:cs="Arial"/>
          <w:bCs/>
          <w:sz w:val="21"/>
          <w:szCs w:val="21"/>
          <w:lang w:val="es-ES_tradnl"/>
        </w:rPr>
        <w:t>tanto</w:t>
      </w:r>
      <w:r w:rsidR="002B12B7">
        <w:rPr>
          <w:rFonts w:ascii="Arial" w:eastAsia="Calibri" w:hAnsi="Arial" w:cs="Arial"/>
          <w:bCs/>
          <w:sz w:val="21"/>
          <w:szCs w:val="21"/>
          <w:lang w:val="es-ES_tradnl"/>
        </w:rPr>
        <w:t>[</w:t>
      </w:r>
      <w:proofErr w:type="gramEnd"/>
      <w:r w:rsidR="002B12B7">
        <w:rPr>
          <w:rFonts w:ascii="Arial" w:eastAsia="Calibri" w:hAnsi="Arial" w:cs="Arial"/>
          <w:bCs/>
          <w:sz w:val="21"/>
          <w:szCs w:val="21"/>
          <w:lang w:val="es-ES_tradnl"/>
        </w:rPr>
        <w:t>,]</w:t>
      </w:r>
      <w:r w:rsidRPr="00B27674">
        <w:rPr>
          <w:rFonts w:ascii="Arial" w:eastAsia="Calibri" w:hAnsi="Arial" w:cs="Arial"/>
          <w:bCs/>
          <w:sz w:val="21"/>
          <w:szCs w:val="21"/>
          <w:lang w:val="es-ES_tradnl"/>
        </w:rPr>
        <w:t xml:space="preserve"> le corresponde a la Corte resolver el problema jurídico que consiste en determinar si el artículo 12 de la Ley 842 de 2003 que establece desde qué momento se empieza a contabilizar la experiencia profesional para ingenieros, y demás profesiones afines y auxiliares vulnera los artículos 13 sobre el derecho a la igualdad y el artículo 25 sobre el derecho al trabajo, al establecer mayores requisitos no justificados y proporcionales que para las demás profesiones y oficios. </w:t>
      </w:r>
    </w:p>
    <w:p w14:paraId="11B76E29" w14:textId="4509D0C5" w:rsidR="00B27674" w:rsidRDefault="00B27674" w:rsidP="00C54360">
      <w:pPr>
        <w:tabs>
          <w:tab w:val="left" w:pos="426"/>
        </w:tabs>
        <w:spacing w:line="276" w:lineRule="auto"/>
        <w:jc w:val="both"/>
        <w:rPr>
          <w:rFonts w:ascii="Arial" w:eastAsia="Calibri" w:hAnsi="Arial" w:cs="Arial"/>
          <w:bCs/>
          <w:sz w:val="22"/>
          <w:lang w:val="es-ES_tradnl"/>
        </w:rPr>
      </w:pPr>
    </w:p>
    <w:p w14:paraId="045AC6C4" w14:textId="0F6C0BD0" w:rsidR="00B27674" w:rsidRDefault="00D3704A" w:rsidP="00C54360">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t>En e</w:t>
      </w:r>
      <w:r w:rsidR="00B27674">
        <w:rPr>
          <w:rFonts w:ascii="Arial" w:eastAsia="Calibri" w:hAnsi="Arial" w:cs="Arial"/>
          <w:bCs/>
          <w:sz w:val="22"/>
          <w:lang w:val="es-ES_tradnl"/>
        </w:rPr>
        <w:t xml:space="preserve">l planteamiento del problema jurídico o en los considerandos a desarrollar, nada se </w:t>
      </w:r>
      <w:r>
        <w:rPr>
          <w:rFonts w:ascii="Arial" w:eastAsia="Calibri" w:hAnsi="Arial" w:cs="Arial"/>
          <w:bCs/>
          <w:sz w:val="22"/>
          <w:lang w:val="es-ES_tradnl"/>
        </w:rPr>
        <w:t xml:space="preserve">mencionó </w:t>
      </w:r>
      <w:r w:rsidR="00B27674">
        <w:rPr>
          <w:rFonts w:ascii="Arial" w:eastAsia="Calibri" w:hAnsi="Arial" w:cs="Arial"/>
          <w:bCs/>
          <w:sz w:val="22"/>
          <w:lang w:val="es-ES_tradnl"/>
        </w:rPr>
        <w:t>sobre la vigencia de la norma.</w:t>
      </w:r>
      <w:r w:rsidR="002C7FF6">
        <w:rPr>
          <w:rFonts w:ascii="Arial" w:eastAsia="Calibri" w:hAnsi="Arial" w:cs="Arial"/>
          <w:bCs/>
          <w:sz w:val="22"/>
          <w:lang w:val="es-ES_tradnl"/>
        </w:rPr>
        <w:t xml:space="preserve"> Incluso, en la «cuestión previa» de la sentencia tampoco se desarrolló </w:t>
      </w:r>
      <w:r>
        <w:rPr>
          <w:rFonts w:ascii="Arial" w:eastAsia="Calibri" w:hAnsi="Arial" w:cs="Arial"/>
          <w:bCs/>
          <w:sz w:val="22"/>
          <w:lang w:val="es-ES_tradnl"/>
        </w:rPr>
        <w:t>esta</w:t>
      </w:r>
      <w:r w:rsidR="002C7FF6">
        <w:rPr>
          <w:rFonts w:ascii="Arial" w:eastAsia="Calibri" w:hAnsi="Arial" w:cs="Arial"/>
          <w:bCs/>
          <w:sz w:val="22"/>
          <w:lang w:val="es-ES_tradnl"/>
        </w:rPr>
        <w:t xml:space="preserve"> temática. </w:t>
      </w:r>
      <w:r w:rsidR="00081943">
        <w:rPr>
          <w:rFonts w:ascii="Arial" w:eastAsia="Calibri" w:hAnsi="Arial" w:cs="Arial"/>
          <w:bCs/>
          <w:sz w:val="22"/>
          <w:lang w:val="es-ES_tradnl"/>
        </w:rPr>
        <w:t>Ahora, l</w:t>
      </w:r>
      <w:r w:rsidR="00B27674">
        <w:rPr>
          <w:rFonts w:ascii="Arial" w:eastAsia="Calibri" w:hAnsi="Arial" w:cs="Arial"/>
          <w:bCs/>
          <w:sz w:val="22"/>
          <w:lang w:val="es-ES_tradnl"/>
        </w:rPr>
        <w:t xml:space="preserve">a Agencia no </w:t>
      </w:r>
      <w:r w:rsidR="002C7FF6">
        <w:rPr>
          <w:rFonts w:ascii="Arial" w:eastAsia="Calibri" w:hAnsi="Arial" w:cs="Arial"/>
          <w:bCs/>
          <w:sz w:val="22"/>
          <w:lang w:val="es-ES_tradnl"/>
        </w:rPr>
        <w:t>desconoce</w:t>
      </w:r>
      <w:r w:rsidR="00B27674">
        <w:rPr>
          <w:rFonts w:ascii="Arial" w:eastAsia="Calibri" w:hAnsi="Arial" w:cs="Arial"/>
          <w:bCs/>
          <w:sz w:val="22"/>
          <w:lang w:val="es-ES_tradnl"/>
        </w:rPr>
        <w:t xml:space="preserve"> que los asuntos relacionados con la vigencia de la norma tuvieron</w:t>
      </w:r>
      <w:r w:rsidR="00464EA9">
        <w:rPr>
          <w:rFonts w:ascii="Arial" w:eastAsia="Calibri" w:hAnsi="Arial" w:cs="Arial"/>
          <w:bCs/>
          <w:sz w:val="22"/>
          <w:lang w:val="es-ES_tradnl"/>
        </w:rPr>
        <w:t xml:space="preserve"> que</w:t>
      </w:r>
      <w:r w:rsidR="00B27674">
        <w:rPr>
          <w:rFonts w:ascii="Arial" w:eastAsia="Calibri" w:hAnsi="Arial" w:cs="Arial"/>
          <w:bCs/>
          <w:sz w:val="22"/>
          <w:lang w:val="es-ES_tradnl"/>
        </w:rPr>
        <w:t xml:space="preserve"> desarrolla</w:t>
      </w:r>
      <w:r>
        <w:rPr>
          <w:rFonts w:ascii="Arial" w:eastAsia="Calibri" w:hAnsi="Arial" w:cs="Arial"/>
          <w:bCs/>
          <w:sz w:val="22"/>
          <w:lang w:val="es-ES_tradnl"/>
        </w:rPr>
        <w:t>r</w:t>
      </w:r>
      <w:r w:rsidR="00B27674">
        <w:rPr>
          <w:rFonts w:ascii="Arial" w:eastAsia="Calibri" w:hAnsi="Arial" w:cs="Arial"/>
          <w:bCs/>
          <w:sz w:val="22"/>
          <w:lang w:val="es-ES_tradnl"/>
        </w:rPr>
        <w:t>s</w:t>
      </w:r>
      <w:r>
        <w:rPr>
          <w:rFonts w:ascii="Arial" w:eastAsia="Calibri" w:hAnsi="Arial" w:cs="Arial"/>
          <w:bCs/>
          <w:sz w:val="22"/>
          <w:lang w:val="es-ES_tradnl"/>
        </w:rPr>
        <w:t>e</w:t>
      </w:r>
      <w:r w:rsidR="00B27674">
        <w:rPr>
          <w:rFonts w:ascii="Arial" w:eastAsia="Calibri" w:hAnsi="Arial" w:cs="Arial"/>
          <w:bCs/>
          <w:sz w:val="22"/>
          <w:lang w:val="es-ES_tradnl"/>
        </w:rPr>
        <w:t xml:space="preserve"> en esta sentencia, </w:t>
      </w:r>
      <w:r w:rsidR="00464EA9">
        <w:rPr>
          <w:rFonts w:ascii="Arial" w:eastAsia="Calibri" w:hAnsi="Arial" w:cs="Arial"/>
          <w:bCs/>
          <w:sz w:val="22"/>
          <w:lang w:val="es-ES_tradnl"/>
        </w:rPr>
        <w:t xml:space="preserve">pues es </w:t>
      </w:r>
      <w:r w:rsidR="00B27674">
        <w:rPr>
          <w:rFonts w:ascii="Arial" w:eastAsia="Calibri" w:hAnsi="Arial" w:cs="Arial"/>
          <w:bCs/>
          <w:sz w:val="22"/>
          <w:lang w:val="es-ES_tradnl"/>
        </w:rPr>
        <w:t>un presupuesto formal del control de constitucionalidad. Sin embargo, una cosa es que se pueda suponer que el asunto no se trató por el motivo que fuere, incluso</w:t>
      </w:r>
      <w:r w:rsidR="00081943">
        <w:rPr>
          <w:rFonts w:ascii="Arial" w:eastAsia="Calibri" w:hAnsi="Arial" w:cs="Arial"/>
          <w:bCs/>
          <w:sz w:val="22"/>
          <w:lang w:val="es-ES_tradnl"/>
        </w:rPr>
        <w:t>,</w:t>
      </w:r>
      <w:r w:rsidR="00B27674">
        <w:rPr>
          <w:rFonts w:ascii="Arial" w:eastAsia="Calibri" w:hAnsi="Arial" w:cs="Arial"/>
          <w:bCs/>
          <w:sz w:val="22"/>
          <w:lang w:val="es-ES_tradnl"/>
        </w:rPr>
        <w:t xml:space="preserve"> porque no se consideró necesario tratarlo, y otra, muy diferente, </w:t>
      </w:r>
      <w:r>
        <w:rPr>
          <w:rFonts w:ascii="Arial" w:eastAsia="Calibri" w:hAnsi="Arial" w:cs="Arial"/>
          <w:bCs/>
          <w:sz w:val="22"/>
          <w:lang w:val="es-ES_tradnl"/>
        </w:rPr>
        <w:t>sostener que</w:t>
      </w:r>
      <w:r w:rsidR="00B27674">
        <w:rPr>
          <w:rFonts w:ascii="Arial" w:eastAsia="Calibri" w:hAnsi="Arial" w:cs="Arial"/>
          <w:bCs/>
          <w:sz w:val="22"/>
          <w:lang w:val="es-ES_tradnl"/>
        </w:rPr>
        <w:t xml:space="preserve"> una sentencia </w:t>
      </w:r>
      <w:r>
        <w:rPr>
          <w:rFonts w:ascii="Arial" w:eastAsia="Calibri" w:hAnsi="Arial" w:cs="Arial"/>
          <w:bCs/>
          <w:sz w:val="22"/>
          <w:lang w:val="es-ES_tradnl"/>
        </w:rPr>
        <w:t xml:space="preserve">expresa </w:t>
      </w:r>
      <w:r w:rsidR="00B27674">
        <w:rPr>
          <w:rFonts w:ascii="Arial" w:eastAsia="Calibri" w:hAnsi="Arial" w:cs="Arial"/>
          <w:bCs/>
          <w:sz w:val="22"/>
          <w:lang w:val="es-ES_tradnl"/>
        </w:rPr>
        <w:t>algo que no dijo.</w:t>
      </w:r>
    </w:p>
    <w:p w14:paraId="3A31A3B3" w14:textId="56A889EB" w:rsidR="00B27674" w:rsidRDefault="00DE5AAF" w:rsidP="002C7FF6">
      <w:pPr>
        <w:tabs>
          <w:tab w:val="left" w:pos="709"/>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lastRenderedPageBreak/>
        <w:tab/>
      </w:r>
      <w:bookmarkStart w:id="7" w:name="_Hlk42104905"/>
      <w:r w:rsidR="003741C3">
        <w:rPr>
          <w:rFonts w:ascii="Arial" w:eastAsia="Calibri" w:hAnsi="Arial" w:cs="Arial"/>
          <w:bCs/>
          <w:i/>
          <w:iCs/>
          <w:sz w:val="22"/>
          <w:lang w:val="es-ES_tradnl"/>
        </w:rPr>
        <w:t xml:space="preserve">Por </w:t>
      </w:r>
      <w:r w:rsidR="002C7FF6">
        <w:rPr>
          <w:rFonts w:ascii="Arial" w:eastAsia="Calibri" w:hAnsi="Arial" w:cs="Arial"/>
          <w:bCs/>
          <w:i/>
          <w:iCs/>
          <w:sz w:val="22"/>
          <w:lang w:val="es-ES_tradnl"/>
        </w:rPr>
        <w:t>otro lado</w:t>
      </w:r>
      <w:r>
        <w:rPr>
          <w:rFonts w:ascii="Arial" w:eastAsia="Calibri" w:hAnsi="Arial" w:cs="Arial"/>
          <w:bCs/>
          <w:sz w:val="22"/>
          <w:lang w:val="es-ES_tradnl"/>
        </w:rPr>
        <w:t xml:space="preserve">, </w:t>
      </w:r>
      <w:r w:rsidR="00B27674">
        <w:rPr>
          <w:rFonts w:ascii="Arial" w:eastAsia="Calibri" w:hAnsi="Arial" w:cs="Arial"/>
          <w:bCs/>
          <w:sz w:val="22"/>
          <w:lang w:val="es-ES_tradnl"/>
        </w:rPr>
        <w:t xml:space="preserve">se </w:t>
      </w:r>
      <w:r>
        <w:rPr>
          <w:rFonts w:ascii="Arial" w:eastAsia="Calibri" w:hAnsi="Arial" w:cs="Arial"/>
          <w:bCs/>
          <w:sz w:val="22"/>
          <w:lang w:val="es-ES_tradnl"/>
        </w:rPr>
        <w:t>advierte que el argumento parte de una premisa errónea</w:t>
      </w:r>
      <w:r w:rsidR="00B27674">
        <w:rPr>
          <w:rFonts w:ascii="Arial" w:eastAsia="Calibri" w:hAnsi="Arial" w:cs="Arial"/>
          <w:bCs/>
          <w:sz w:val="22"/>
          <w:lang w:val="es-ES_tradnl"/>
        </w:rPr>
        <w:t>, esto es,</w:t>
      </w:r>
      <w:r>
        <w:rPr>
          <w:rFonts w:ascii="Arial" w:eastAsia="Calibri" w:hAnsi="Arial" w:cs="Arial"/>
          <w:bCs/>
          <w:sz w:val="22"/>
          <w:lang w:val="es-ES_tradnl"/>
        </w:rPr>
        <w:t xml:space="preserve"> que la declaratoria de </w:t>
      </w:r>
      <w:proofErr w:type="spellStart"/>
      <w:r>
        <w:rPr>
          <w:rFonts w:ascii="Arial" w:eastAsia="Calibri" w:hAnsi="Arial" w:cs="Arial"/>
          <w:bCs/>
          <w:sz w:val="22"/>
          <w:lang w:val="es-ES_tradnl"/>
        </w:rPr>
        <w:t>exequibilidad</w:t>
      </w:r>
      <w:proofErr w:type="spellEnd"/>
      <w:r>
        <w:rPr>
          <w:rFonts w:ascii="Arial" w:eastAsia="Calibri" w:hAnsi="Arial" w:cs="Arial"/>
          <w:bCs/>
          <w:sz w:val="22"/>
          <w:lang w:val="es-ES_tradnl"/>
        </w:rPr>
        <w:t xml:space="preserve"> de una norma impide que la misma sea derogada por otra norma posterior, bien sea de forma expresa o de forma táctica. </w:t>
      </w:r>
      <w:r w:rsidR="00D3704A">
        <w:rPr>
          <w:rFonts w:ascii="Arial" w:eastAsia="Calibri" w:hAnsi="Arial" w:cs="Arial"/>
          <w:bCs/>
          <w:sz w:val="22"/>
          <w:lang w:val="es-ES_tradnl"/>
        </w:rPr>
        <w:t>Al respecto</w:t>
      </w:r>
      <w:r>
        <w:rPr>
          <w:rFonts w:ascii="Arial" w:eastAsia="Calibri" w:hAnsi="Arial" w:cs="Arial"/>
          <w:bCs/>
          <w:sz w:val="22"/>
          <w:lang w:val="es-ES_tradnl"/>
        </w:rPr>
        <w:t>, no es posible suponer que</w:t>
      </w:r>
      <w:r w:rsidR="00B27674">
        <w:rPr>
          <w:rFonts w:ascii="Arial" w:eastAsia="Calibri" w:hAnsi="Arial" w:cs="Arial"/>
          <w:bCs/>
          <w:sz w:val="22"/>
          <w:lang w:val="es-ES_tradnl"/>
        </w:rPr>
        <w:t xml:space="preserve"> la constitucionalidad de una norma impide considerar que la misma ha sido derogada</w:t>
      </w:r>
      <w:r>
        <w:rPr>
          <w:rFonts w:ascii="Arial" w:eastAsia="Calibri" w:hAnsi="Arial" w:cs="Arial"/>
          <w:bCs/>
          <w:sz w:val="22"/>
          <w:lang w:val="es-ES_tradnl"/>
        </w:rPr>
        <w:t>, pues</w:t>
      </w:r>
      <w:r w:rsidR="00B27674">
        <w:rPr>
          <w:rFonts w:ascii="Arial" w:eastAsia="Calibri" w:hAnsi="Arial" w:cs="Arial"/>
          <w:bCs/>
          <w:sz w:val="22"/>
          <w:lang w:val="es-ES_tradnl"/>
        </w:rPr>
        <w:t xml:space="preserve"> se trata de asuntos diferentes</w:t>
      </w:r>
      <w:r w:rsidR="00D3704A">
        <w:rPr>
          <w:rFonts w:ascii="Arial" w:eastAsia="Calibri" w:hAnsi="Arial" w:cs="Arial"/>
          <w:bCs/>
          <w:sz w:val="22"/>
          <w:lang w:val="es-ES_tradnl"/>
        </w:rPr>
        <w:t>:</w:t>
      </w:r>
      <w:r w:rsidR="00B27674">
        <w:rPr>
          <w:rFonts w:ascii="Arial" w:eastAsia="Calibri" w:hAnsi="Arial" w:cs="Arial"/>
          <w:bCs/>
          <w:sz w:val="22"/>
          <w:lang w:val="es-ES_tradnl"/>
        </w:rPr>
        <w:t xml:space="preserve"> lo primero tiene que ver con la compatibilidad de la norma con la </w:t>
      </w:r>
      <w:r w:rsidR="00464EA9">
        <w:rPr>
          <w:rFonts w:ascii="Arial" w:eastAsia="Calibri" w:hAnsi="Arial" w:cs="Arial"/>
          <w:bCs/>
          <w:sz w:val="22"/>
          <w:lang w:val="es-ES_tradnl"/>
        </w:rPr>
        <w:t xml:space="preserve">Constitución </w:t>
      </w:r>
      <w:r w:rsidR="00B27674">
        <w:rPr>
          <w:rFonts w:ascii="Arial" w:eastAsia="Calibri" w:hAnsi="Arial" w:cs="Arial"/>
          <w:bCs/>
          <w:sz w:val="22"/>
          <w:lang w:val="es-ES_tradnl"/>
        </w:rPr>
        <w:t xml:space="preserve">Política y lo segundo, en cambio, con la voluntad del legislador de derogar una norma vigente, bien porque lo haga de forma expresa o tácita. Surgen, en ese contexto, las siguientes preguntas: ¿el fallo de </w:t>
      </w:r>
      <w:proofErr w:type="spellStart"/>
      <w:r w:rsidR="00B27674">
        <w:rPr>
          <w:rFonts w:ascii="Arial" w:eastAsia="Calibri" w:hAnsi="Arial" w:cs="Arial"/>
          <w:bCs/>
          <w:sz w:val="22"/>
          <w:lang w:val="es-ES_tradnl"/>
        </w:rPr>
        <w:t>exequibilidad</w:t>
      </w:r>
      <w:proofErr w:type="spellEnd"/>
      <w:r w:rsidR="00B27674">
        <w:rPr>
          <w:rFonts w:ascii="Arial" w:eastAsia="Calibri" w:hAnsi="Arial" w:cs="Arial"/>
          <w:bCs/>
          <w:sz w:val="22"/>
          <w:lang w:val="es-ES_tradnl"/>
        </w:rPr>
        <w:t xml:space="preserve"> impide que el legislador derogue la norma?</w:t>
      </w:r>
      <w:r w:rsidR="00D3704A">
        <w:rPr>
          <w:rFonts w:ascii="Arial" w:eastAsia="Calibri" w:hAnsi="Arial" w:cs="Arial"/>
          <w:bCs/>
          <w:sz w:val="22"/>
          <w:lang w:val="es-ES_tradnl"/>
        </w:rPr>
        <w:t xml:space="preserve">, </w:t>
      </w:r>
      <w:r w:rsidR="00B27674">
        <w:rPr>
          <w:rFonts w:ascii="Arial" w:eastAsia="Calibri" w:hAnsi="Arial" w:cs="Arial"/>
          <w:bCs/>
          <w:sz w:val="22"/>
          <w:lang w:val="es-ES_tradnl"/>
        </w:rPr>
        <w:t xml:space="preserve">¿de la declaratoria de constitucionalidad de una </w:t>
      </w:r>
      <w:r w:rsidR="00C73A35">
        <w:rPr>
          <w:rFonts w:ascii="Arial" w:eastAsia="Calibri" w:hAnsi="Arial" w:cs="Arial"/>
          <w:bCs/>
          <w:sz w:val="22"/>
          <w:lang w:val="es-ES_tradnl"/>
        </w:rPr>
        <w:t>disposición legal</w:t>
      </w:r>
      <w:r w:rsidR="00B27674">
        <w:rPr>
          <w:rFonts w:ascii="Arial" w:eastAsia="Calibri" w:hAnsi="Arial" w:cs="Arial"/>
          <w:bCs/>
          <w:sz w:val="22"/>
          <w:lang w:val="es-ES_tradnl"/>
        </w:rPr>
        <w:t xml:space="preserve"> se sigue que la misma no ha sido derogada? </w:t>
      </w:r>
    </w:p>
    <w:p w14:paraId="63D15FD3" w14:textId="53A6E3E3" w:rsidR="00DE5AAF" w:rsidRPr="00DE5AAF" w:rsidRDefault="00B27674" w:rsidP="001946FB">
      <w:pPr>
        <w:tabs>
          <w:tab w:val="left" w:pos="426"/>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tab/>
      </w:r>
      <w:r w:rsidR="003F7685">
        <w:rPr>
          <w:rFonts w:ascii="Arial" w:eastAsia="Calibri" w:hAnsi="Arial" w:cs="Arial"/>
          <w:bCs/>
          <w:sz w:val="22"/>
          <w:lang w:val="es-ES_tradnl"/>
        </w:rPr>
        <w:tab/>
      </w:r>
      <w:r w:rsidR="00464EA9">
        <w:rPr>
          <w:rFonts w:ascii="Arial" w:eastAsia="Calibri" w:hAnsi="Arial" w:cs="Arial"/>
          <w:bCs/>
          <w:sz w:val="22"/>
          <w:lang w:val="es-ES_tradnl"/>
        </w:rPr>
        <w:t>Consideramos que</w:t>
      </w:r>
      <w:r>
        <w:rPr>
          <w:rFonts w:ascii="Arial" w:eastAsia="Calibri" w:hAnsi="Arial" w:cs="Arial"/>
          <w:bCs/>
          <w:sz w:val="22"/>
          <w:lang w:val="es-ES_tradnl"/>
        </w:rPr>
        <w:t xml:space="preserve"> la respuesta a </w:t>
      </w:r>
      <w:r w:rsidR="00D3704A">
        <w:rPr>
          <w:rFonts w:ascii="Arial" w:eastAsia="Calibri" w:hAnsi="Arial" w:cs="Arial"/>
          <w:bCs/>
          <w:sz w:val="22"/>
          <w:lang w:val="es-ES_tradnl"/>
        </w:rPr>
        <w:t xml:space="preserve">ambas </w:t>
      </w:r>
      <w:r>
        <w:rPr>
          <w:rFonts w:ascii="Arial" w:eastAsia="Calibri" w:hAnsi="Arial" w:cs="Arial"/>
          <w:bCs/>
          <w:sz w:val="22"/>
          <w:lang w:val="es-ES_tradnl"/>
        </w:rPr>
        <w:t xml:space="preserve">preguntas </w:t>
      </w:r>
      <w:r w:rsidR="00EB1B67">
        <w:rPr>
          <w:rFonts w:ascii="Arial" w:eastAsia="Calibri" w:hAnsi="Arial" w:cs="Arial"/>
          <w:bCs/>
          <w:sz w:val="22"/>
          <w:lang w:val="es-ES_tradnl"/>
        </w:rPr>
        <w:t>es</w:t>
      </w:r>
      <w:r>
        <w:rPr>
          <w:rFonts w:ascii="Arial" w:eastAsia="Calibri" w:hAnsi="Arial" w:cs="Arial"/>
          <w:bCs/>
          <w:sz w:val="22"/>
          <w:lang w:val="es-ES_tradnl"/>
        </w:rPr>
        <w:t xml:space="preserve"> negativa. L</w:t>
      </w:r>
      <w:r w:rsidR="00DE5AAF">
        <w:rPr>
          <w:rFonts w:ascii="Arial" w:eastAsia="Calibri" w:hAnsi="Arial" w:cs="Arial"/>
          <w:bCs/>
          <w:sz w:val="22"/>
          <w:lang w:val="es-ES_tradnl"/>
        </w:rPr>
        <w:t>o que una sentencia de constitucionalidad impide es que la norma vuelva a ser demandada en relación con los mismos cargos y frente al mismo parámetro de constitucionalidad</w:t>
      </w:r>
      <w:r w:rsidR="0025433E">
        <w:rPr>
          <w:rFonts w:ascii="Arial" w:eastAsia="Calibri" w:hAnsi="Arial" w:cs="Arial"/>
          <w:bCs/>
          <w:sz w:val="22"/>
          <w:lang w:val="es-ES_tradnl"/>
        </w:rPr>
        <w:t>, por supuesto, siempre que la misma esté vigente o, en su defecto, produciendo efectos jurídicos</w:t>
      </w:r>
      <w:r w:rsidR="00DE5AAF">
        <w:rPr>
          <w:rFonts w:ascii="Arial" w:eastAsia="Calibri" w:hAnsi="Arial" w:cs="Arial"/>
          <w:bCs/>
          <w:sz w:val="22"/>
          <w:lang w:val="es-ES_tradnl"/>
        </w:rPr>
        <w:t xml:space="preserve">. </w:t>
      </w:r>
      <w:bookmarkStart w:id="8" w:name="_Hlk42073415"/>
      <w:r w:rsidR="00D3704A">
        <w:rPr>
          <w:rFonts w:ascii="Arial" w:eastAsia="Calibri" w:hAnsi="Arial" w:cs="Arial"/>
          <w:bCs/>
          <w:sz w:val="22"/>
          <w:lang w:val="es-ES_tradnl"/>
        </w:rPr>
        <w:t>L</w:t>
      </w:r>
      <w:r w:rsidR="00DE5AAF">
        <w:rPr>
          <w:rFonts w:ascii="Arial" w:eastAsia="Calibri" w:hAnsi="Arial" w:cs="Arial"/>
          <w:bCs/>
          <w:sz w:val="22"/>
          <w:lang w:val="es-ES_tradnl"/>
        </w:rPr>
        <w:t xml:space="preserve">a jurisprudencia </w:t>
      </w:r>
      <w:r w:rsidR="00B05BF7">
        <w:rPr>
          <w:rFonts w:ascii="Arial" w:eastAsia="Calibri" w:hAnsi="Arial" w:cs="Arial"/>
          <w:bCs/>
          <w:sz w:val="22"/>
          <w:lang w:val="es-ES_tradnl"/>
        </w:rPr>
        <w:t>denomina</w:t>
      </w:r>
      <w:r w:rsidR="00DE5AAF">
        <w:rPr>
          <w:rFonts w:ascii="Arial" w:eastAsia="Calibri" w:hAnsi="Arial" w:cs="Arial"/>
          <w:bCs/>
          <w:sz w:val="22"/>
          <w:lang w:val="es-ES_tradnl"/>
        </w:rPr>
        <w:t xml:space="preserve"> </w:t>
      </w:r>
      <w:r w:rsidR="00B05BF7">
        <w:rPr>
          <w:rFonts w:ascii="Arial" w:eastAsia="Calibri" w:hAnsi="Arial" w:cs="Arial"/>
          <w:bCs/>
          <w:sz w:val="22"/>
          <w:lang w:val="es-ES_tradnl"/>
        </w:rPr>
        <w:t>«</w:t>
      </w:r>
      <w:r w:rsidR="00DE5AAF">
        <w:rPr>
          <w:rFonts w:ascii="Arial" w:eastAsia="Calibri" w:hAnsi="Arial" w:cs="Arial"/>
          <w:bCs/>
          <w:sz w:val="22"/>
          <w:lang w:val="es-ES_tradnl"/>
        </w:rPr>
        <w:t>cosa juzgada</w:t>
      </w:r>
      <w:r w:rsidR="00984DF2">
        <w:rPr>
          <w:rFonts w:ascii="Arial" w:eastAsia="Calibri" w:hAnsi="Arial" w:cs="Arial"/>
          <w:bCs/>
          <w:sz w:val="22"/>
          <w:lang w:val="es-ES_tradnl"/>
        </w:rPr>
        <w:t xml:space="preserve"> aparente o</w:t>
      </w:r>
      <w:r w:rsidR="00DE5AAF">
        <w:rPr>
          <w:rFonts w:ascii="Arial" w:eastAsia="Calibri" w:hAnsi="Arial" w:cs="Arial"/>
          <w:bCs/>
          <w:sz w:val="22"/>
          <w:lang w:val="es-ES_tradnl"/>
        </w:rPr>
        <w:t xml:space="preserve"> </w:t>
      </w:r>
      <w:r w:rsidR="00984DF2">
        <w:rPr>
          <w:rFonts w:ascii="Arial" w:eastAsia="Calibri" w:hAnsi="Arial" w:cs="Arial"/>
          <w:bCs/>
          <w:sz w:val="22"/>
          <w:lang w:val="es-ES_tradnl"/>
        </w:rPr>
        <w:t>relativa</w:t>
      </w:r>
      <w:r w:rsidR="00B05BF7">
        <w:rPr>
          <w:rFonts w:ascii="Arial" w:eastAsia="Calibri" w:hAnsi="Arial" w:cs="Arial"/>
          <w:bCs/>
          <w:sz w:val="22"/>
          <w:lang w:val="es-ES_tradnl"/>
        </w:rPr>
        <w:t>»</w:t>
      </w:r>
      <w:r w:rsidR="00D3704A">
        <w:rPr>
          <w:rFonts w:ascii="Arial" w:eastAsia="Calibri" w:hAnsi="Arial" w:cs="Arial"/>
          <w:bCs/>
          <w:sz w:val="22"/>
          <w:lang w:val="es-ES_tradnl"/>
        </w:rPr>
        <w:t xml:space="preserve"> a este fenómeno</w:t>
      </w:r>
      <w:bookmarkEnd w:id="8"/>
      <w:r w:rsidR="00DE5AAF">
        <w:rPr>
          <w:rFonts w:ascii="Arial" w:eastAsia="Calibri" w:hAnsi="Arial" w:cs="Arial"/>
          <w:bCs/>
          <w:sz w:val="22"/>
          <w:lang w:val="es-ES_tradnl"/>
        </w:rPr>
        <w:t xml:space="preserve">. Sin embargo, de un fallo de </w:t>
      </w:r>
      <w:proofErr w:type="spellStart"/>
      <w:r>
        <w:rPr>
          <w:rFonts w:ascii="Arial" w:eastAsia="Calibri" w:hAnsi="Arial" w:cs="Arial"/>
          <w:bCs/>
          <w:sz w:val="22"/>
          <w:lang w:val="es-ES_tradnl"/>
        </w:rPr>
        <w:t>exequibilidad</w:t>
      </w:r>
      <w:proofErr w:type="spellEnd"/>
      <w:r w:rsidR="00DE5AAF">
        <w:rPr>
          <w:rFonts w:ascii="Arial" w:eastAsia="Calibri" w:hAnsi="Arial" w:cs="Arial"/>
          <w:bCs/>
          <w:sz w:val="22"/>
          <w:lang w:val="es-ES_tradnl"/>
        </w:rPr>
        <w:t xml:space="preserve"> no se </w:t>
      </w:r>
      <w:r w:rsidR="00B05BF7">
        <w:rPr>
          <w:rFonts w:ascii="Arial" w:eastAsia="Calibri" w:hAnsi="Arial" w:cs="Arial"/>
          <w:bCs/>
          <w:sz w:val="22"/>
          <w:lang w:val="es-ES_tradnl"/>
        </w:rPr>
        <w:t xml:space="preserve">desprende </w:t>
      </w:r>
      <w:r w:rsidR="00DE5AAF">
        <w:rPr>
          <w:rFonts w:ascii="Arial" w:eastAsia="Calibri" w:hAnsi="Arial" w:cs="Arial"/>
          <w:bCs/>
          <w:sz w:val="22"/>
          <w:lang w:val="es-ES_tradnl"/>
        </w:rPr>
        <w:t xml:space="preserve">que la </w:t>
      </w:r>
      <w:r w:rsidR="002B12B7">
        <w:rPr>
          <w:rFonts w:ascii="Arial" w:eastAsia="Calibri" w:hAnsi="Arial" w:cs="Arial"/>
          <w:bCs/>
          <w:sz w:val="22"/>
          <w:lang w:val="es-ES_tradnl"/>
        </w:rPr>
        <w:t xml:space="preserve">norma no pueda ser derogada posteriormente, así como tampoco se deriva que la autoridad que argumenta tal </w:t>
      </w:r>
      <w:r w:rsidR="002B3AE9">
        <w:rPr>
          <w:rFonts w:ascii="Arial" w:eastAsia="Calibri" w:hAnsi="Arial" w:cs="Arial"/>
          <w:bCs/>
          <w:sz w:val="22"/>
          <w:lang w:val="es-ES_tradnl"/>
        </w:rPr>
        <w:t>derogatoria</w:t>
      </w:r>
      <w:r w:rsidR="002B12B7">
        <w:rPr>
          <w:rFonts w:ascii="Arial" w:eastAsia="Calibri" w:hAnsi="Arial" w:cs="Arial"/>
          <w:bCs/>
          <w:sz w:val="22"/>
          <w:lang w:val="es-ES_tradnl"/>
        </w:rPr>
        <w:t xml:space="preserve"> esté desconociendo los efectos de la sentencia de constitucionalidad</w:t>
      </w:r>
      <w:r w:rsidR="00081943">
        <w:rPr>
          <w:rFonts w:ascii="Arial" w:eastAsia="Calibri" w:hAnsi="Arial" w:cs="Arial"/>
          <w:bCs/>
          <w:sz w:val="22"/>
          <w:lang w:val="es-ES_tradnl"/>
        </w:rPr>
        <w:t>, pues, se i</w:t>
      </w:r>
      <w:r w:rsidR="002B3AE9">
        <w:rPr>
          <w:rFonts w:ascii="Arial" w:eastAsia="Calibri" w:hAnsi="Arial" w:cs="Arial"/>
          <w:bCs/>
          <w:sz w:val="22"/>
          <w:lang w:val="es-ES_tradnl"/>
        </w:rPr>
        <w:t>ns</w:t>
      </w:r>
      <w:r w:rsidR="00C31C2A">
        <w:rPr>
          <w:rFonts w:ascii="Arial" w:eastAsia="Calibri" w:hAnsi="Arial" w:cs="Arial"/>
          <w:bCs/>
          <w:sz w:val="22"/>
          <w:lang w:val="es-ES_tradnl"/>
        </w:rPr>
        <w:t>is</w:t>
      </w:r>
      <w:r w:rsidR="002B3AE9">
        <w:rPr>
          <w:rFonts w:ascii="Arial" w:eastAsia="Calibri" w:hAnsi="Arial" w:cs="Arial"/>
          <w:bCs/>
          <w:sz w:val="22"/>
          <w:lang w:val="es-ES_tradnl"/>
        </w:rPr>
        <w:t>te</w:t>
      </w:r>
      <w:r w:rsidR="00081943">
        <w:rPr>
          <w:rFonts w:ascii="Arial" w:eastAsia="Calibri" w:hAnsi="Arial" w:cs="Arial"/>
          <w:bCs/>
          <w:sz w:val="22"/>
          <w:lang w:val="es-ES_tradnl"/>
        </w:rPr>
        <w:t>, se trata de dos aspectos de la norma que no tienen nada que</w:t>
      </w:r>
      <w:r w:rsidR="00B05BF7">
        <w:rPr>
          <w:rFonts w:ascii="Arial" w:eastAsia="Calibri" w:hAnsi="Arial" w:cs="Arial"/>
          <w:bCs/>
          <w:sz w:val="22"/>
          <w:lang w:val="es-ES_tradnl"/>
        </w:rPr>
        <w:t xml:space="preserve"> ver</w:t>
      </w:r>
      <w:r w:rsidR="00081943">
        <w:rPr>
          <w:rFonts w:ascii="Arial" w:eastAsia="Calibri" w:hAnsi="Arial" w:cs="Arial"/>
          <w:bCs/>
          <w:sz w:val="22"/>
          <w:lang w:val="es-ES_tradnl"/>
        </w:rPr>
        <w:t xml:space="preserve"> </w:t>
      </w:r>
      <w:r w:rsidR="00B05BF7">
        <w:rPr>
          <w:rFonts w:ascii="Arial" w:eastAsia="Calibri" w:hAnsi="Arial" w:cs="Arial"/>
          <w:bCs/>
          <w:sz w:val="22"/>
          <w:lang w:val="es-ES_tradnl"/>
        </w:rPr>
        <w:t>entre sí</w:t>
      </w:r>
      <w:r w:rsidR="002B12B7">
        <w:rPr>
          <w:rFonts w:ascii="Arial" w:eastAsia="Calibri" w:hAnsi="Arial" w:cs="Arial"/>
          <w:bCs/>
          <w:sz w:val="22"/>
          <w:lang w:val="es-ES_tradnl"/>
        </w:rPr>
        <w:t>.</w:t>
      </w:r>
      <w:r w:rsidR="008F28C3">
        <w:rPr>
          <w:rFonts w:ascii="Arial" w:eastAsia="Calibri" w:hAnsi="Arial" w:cs="Arial"/>
          <w:bCs/>
          <w:sz w:val="22"/>
          <w:lang w:val="es-ES_tradnl"/>
        </w:rPr>
        <w:t xml:space="preserve"> </w:t>
      </w:r>
      <w:r w:rsidR="00DE5AAF">
        <w:rPr>
          <w:rFonts w:ascii="Arial" w:eastAsia="Calibri" w:hAnsi="Arial" w:cs="Arial"/>
          <w:bCs/>
          <w:sz w:val="22"/>
          <w:lang w:val="es-ES_tradnl"/>
        </w:rPr>
        <w:t xml:space="preserve">Aceptar </w:t>
      </w:r>
      <w:r w:rsidR="00C31C2A">
        <w:rPr>
          <w:rFonts w:ascii="Arial" w:eastAsia="Calibri" w:hAnsi="Arial" w:cs="Arial"/>
          <w:bCs/>
          <w:sz w:val="22"/>
          <w:lang w:val="es-ES_tradnl"/>
        </w:rPr>
        <w:t>el argumento propuesto implicaría asumir que todas las derogatorias posteriores de la norma desconoc</w:t>
      </w:r>
      <w:r w:rsidR="00B05BF7">
        <w:rPr>
          <w:rFonts w:ascii="Arial" w:eastAsia="Calibri" w:hAnsi="Arial" w:cs="Arial"/>
          <w:bCs/>
          <w:sz w:val="22"/>
          <w:lang w:val="es-ES_tradnl"/>
        </w:rPr>
        <w:t>en</w:t>
      </w:r>
      <w:r w:rsidR="00C31C2A">
        <w:rPr>
          <w:rFonts w:ascii="Arial" w:eastAsia="Calibri" w:hAnsi="Arial" w:cs="Arial"/>
          <w:bCs/>
          <w:sz w:val="22"/>
          <w:lang w:val="es-ES_tradnl"/>
        </w:rPr>
        <w:t xml:space="preserve"> los efectos de la sentencia de constitucionalidad, lo cual, a todas luces, resultar infundado, desproporcionado e irra</w:t>
      </w:r>
      <w:r w:rsidR="00A568E2">
        <w:rPr>
          <w:rFonts w:ascii="Arial" w:eastAsia="Calibri" w:hAnsi="Arial" w:cs="Arial"/>
          <w:bCs/>
          <w:sz w:val="22"/>
          <w:lang w:val="es-ES_tradnl"/>
        </w:rPr>
        <w:t>zonable</w:t>
      </w:r>
      <w:r w:rsidR="00C31C2A">
        <w:rPr>
          <w:rFonts w:ascii="Arial" w:eastAsia="Calibri" w:hAnsi="Arial" w:cs="Arial"/>
          <w:bCs/>
          <w:sz w:val="22"/>
          <w:lang w:val="es-ES_tradnl"/>
        </w:rPr>
        <w:t>.</w:t>
      </w:r>
    </w:p>
    <w:bookmarkEnd w:id="7"/>
    <w:p w14:paraId="01163467" w14:textId="5508D658" w:rsidR="00984DF2" w:rsidRDefault="00C31C2A" w:rsidP="00D1707F">
      <w:pPr>
        <w:tabs>
          <w:tab w:val="left" w:pos="709"/>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tab/>
      </w:r>
      <w:bookmarkStart w:id="9" w:name="_Hlk42104932"/>
      <w:r w:rsidR="00984DF2">
        <w:rPr>
          <w:rFonts w:ascii="Arial" w:eastAsia="Calibri" w:hAnsi="Arial" w:cs="Arial"/>
          <w:bCs/>
          <w:sz w:val="22"/>
          <w:lang w:val="es-ES_tradnl"/>
        </w:rPr>
        <w:t>En ese sentido, al afirmar que el artículo 12 de la Ley 842 de 2003 fue derogado tácitamente, no se están desconociendo los efectos de la sentencia C-296 de 2012. Tampoco creemos que dicho fallo respalde la interpretación que expone el COPNIA, pues</w:t>
      </w:r>
      <w:r w:rsidR="00E80E49">
        <w:rPr>
          <w:rFonts w:ascii="Arial" w:eastAsia="Calibri" w:hAnsi="Arial" w:cs="Arial"/>
          <w:bCs/>
          <w:sz w:val="22"/>
          <w:lang w:val="es-ES_tradnl"/>
        </w:rPr>
        <w:t xml:space="preserve"> </w:t>
      </w:r>
      <w:r w:rsidR="00984DF2">
        <w:rPr>
          <w:rFonts w:ascii="Arial" w:eastAsia="Calibri" w:hAnsi="Arial" w:cs="Arial"/>
          <w:bCs/>
          <w:sz w:val="22"/>
          <w:lang w:val="es-ES_tradnl"/>
        </w:rPr>
        <w:t xml:space="preserve">allí nada </w:t>
      </w:r>
      <w:r w:rsidR="00B05BF7">
        <w:rPr>
          <w:rFonts w:ascii="Arial" w:eastAsia="Calibri" w:hAnsi="Arial" w:cs="Arial"/>
          <w:bCs/>
          <w:sz w:val="22"/>
          <w:lang w:val="es-ES_tradnl"/>
        </w:rPr>
        <w:t>señaló</w:t>
      </w:r>
      <w:r w:rsidR="00984DF2">
        <w:rPr>
          <w:rFonts w:ascii="Arial" w:eastAsia="Calibri" w:hAnsi="Arial" w:cs="Arial"/>
          <w:bCs/>
          <w:sz w:val="22"/>
          <w:lang w:val="es-ES_tradnl"/>
        </w:rPr>
        <w:t xml:space="preserve"> sobre la derogatoria de dicha norma, es más no se </w:t>
      </w:r>
      <w:r w:rsidR="00B05BF7">
        <w:rPr>
          <w:rFonts w:ascii="Arial" w:eastAsia="Calibri" w:hAnsi="Arial" w:cs="Arial"/>
          <w:bCs/>
          <w:sz w:val="22"/>
          <w:lang w:val="es-ES_tradnl"/>
        </w:rPr>
        <w:t>expresó</w:t>
      </w:r>
      <w:r w:rsidR="00984DF2">
        <w:rPr>
          <w:rFonts w:ascii="Arial" w:eastAsia="Calibri" w:hAnsi="Arial" w:cs="Arial"/>
          <w:bCs/>
          <w:sz w:val="22"/>
          <w:lang w:val="es-ES_tradnl"/>
        </w:rPr>
        <w:t xml:space="preserve"> nada en relación con el artículo 229 del Decreto Ley 19 de 2012 y, por obvias razones, tampoco </w:t>
      </w:r>
      <w:r w:rsidR="00810D3E">
        <w:rPr>
          <w:rFonts w:ascii="Arial" w:eastAsia="Calibri" w:hAnsi="Arial" w:cs="Arial"/>
          <w:bCs/>
          <w:sz w:val="22"/>
          <w:lang w:val="es-ES_tradnl"/>
        </w:rPr>
        <w:t xml:space="preserve">frete al </w:t>
      </w:r>
      <w:r w:rsidR="00984DF2">
        <w:rPr>
          <w:rFonts w:ascii="Arial" w:eastAsia="Calibri" w:hAnsi="Arial" w:cs="Arial"/>
          <w:bCs/>
          <w:sz w:val="22"/>
          <w:lang w:val="es-ES_tradnl"/>
        </w:rPr>
        <w:t>artículo 192 de la Ley 1955 de 2019</w:t>
      </w:r>
      <w:r>
        <w:rPr>
          <w:rFonts w:ascii="Arial" w:eastAsia="Calibri" w:hAnsi="Arial" w:cs="Arial"/>
          <w:bCs/>
          <w:sz w:val="22"/>
          <w:lang w:val="es-ES_tradnl"/>
        </w:rPr>
        <w:t xml:space="preserve">. Incluso, nada se dijo sobre el carácter especial de la norma y su incidencia en relación con </w:t>
      </w:r>
      <w:r w:rsidR="00D538A7">
        <w:rPr>
          <w:rFonts w:ascii="Arial" w:eastAsia="Calibri" w:hAnsi="Arial" w:cs="Arial"/>
          <w:bCs/>
          <w:sz w:val="22"/>
          <w:lang w:val="es-ES_tradnl"/>
        </w:rPr>
        <w:t xml:space="preserve">la vigencia de </w:t>
      </w:r>
      <w:r>
        <w:rPr>
          <w:rFonts w:ascii="Arial" w:eastAsia="Calibri" w:hAnsi="Arial" w:cs="Arial"/>
          <w:bCs/>
          <w:sz w:val="22"/>
          <w:lang w:val="es-ES_tradnl"/>
        </w:rPr>
        <w:t xml:space="preserve">otras </w:t>
      </w:r>
      <w:r w:rsidR="00B05BF7">
        <w:rPr>
          <w:rFonts w:ascii="Arial" w:eastAsia="Calibri" w:hAnsi="Arial" w:cs="Arial"/>
          <w:bCs/>
          <w:sz w:val="22"/>
          <w:lang w:val="es-ES_tradnl"/>
        </w:rPr>
        <w:t xml:space="preserve">disposiciones </w:t>
      </w:r>
      <w:r>
        <w:rPr>
          <w:rFonts w:ascii="Arial" w:eastAsia="Calibri" w:hAnsi="Arial" w:cs="Arial"/>
          <w:bCs/>
          <w:sz w:val="22"/>
          <w:lang w:val="es-ES_tradnl"/>
        </w:rPr>
        <w:t xml:space="preserve">que regulan aspectos similares, pues la </w:t>
      </w:r>
      <w:r>
        <w:rPr>
          <w:rFonts w:ascii="Arial" w:eastAsia="Calibri" w:hAnsi="Arial" w:cs="Arial"/>
          <w:bCs/>
          <w:i/>
          <w:iCs/>
          <w:sz w:val="22"/>
          <w:lang w:val="es-ES_tradnl"/>
        </w:rPr>
        <w:t xml:space="preserve">ratio </w:t>
      </w:r>
      <w:proofErr w:type="spellStart"/>
      <w:r>
        <w:rPr>
          <w:rFonts w:ascii="Arial" w:eastAsia="Calibri" w:hAnsi="Arial" w:cs="Arial"/>
          <w:bCs/>
          <w:i/>
          <w:iCs/>
          <w:sz w:val="22"/>
          <w:lang w:val="es-ES_tradnl"/>
        </w:rPr>
        <w:t>decidendi</w:t>
      </w:r>
      <w:proofErr w:type="spellEnd"/>
      <w:r>
        <w:rPr>
          <w:rFonts w:ascii="Arial" w:eastAsia="Calibri" w:hAnsi="Arial" w:cs="Arial"/>
          <w:bCs/>
          <w:i/>
          <w:iCs/>
          <w:sz w:val="22"/>
          <w:lang w:val="es-ES_tradnl"/>
        </w:rPr>
        <w:t xml:space="preserve"> </w:t>
      </w:r>
      <w:r>
        <w:rPr>
          <w:rFonts w:ascii="Arial" w:eastAsia="Calibri" w:hAnsi="Arial" w:cs="Arial"/>
          <w:bCs/>
          <w:sz w:val="22"/>
          <w:lang w:val="es-ES_tradnl"/>
        </w:rPr>
        <w:t>del fallo es que el trato diferente a ciertas profesiones persigue un fin constitucionalmente válido</w:t>
      </w:r>
      <w:r>
        <w:rPr>
          <w:rStyle w:val="Refdenotaalpie"/>
          <w:rFonts w:ascii="Arial" w:eastAsia="Calibri" w:hAnsi="Arial" w:cs="Arial"/>
          <w:bCs/>
          <w:sz w:val="22"/>
          <w:lang w:val="es-ES_tradnl"/>
        </w:rPr>
        <w:footnoteReference w:id="12"/>
      </w:r>
      <w:r w:rsidR="00D538A7">
        <w:rPr>
          <w:rFonts w:ascii="Arial" w:eastAsia="Calibri" w:hAnsi="Arial" w:cs="Arial"/>
          <w:bCs/>
          <w:sz w:val="22"/>
          <w:lang w:val="es-ES_tradnl"/>
        </w:rPr>
        <w:t xml:space="preserve">, conclusión que esta entidad </w:t>
      </w:r>
      <w:r w:rsidR="00D538A7">
        <w:rPr>
          <w:rFonts w:ascii="Arial" w:eastAsia="Calibri" w:hAnsi="Arial" w:cs="Arial"/>
          <w:bCs/>
          <w:sz w:val="22"/>
          <w:lang w:val="es-ES_tradnl"/>
        </w:rPr>
        <w:lastRenderedPageBreak/>
        <w:t>considera apropiado y pertinente</w:t>
      </w:r>
      <w:r w:rsidR="00F00D9C">
        <w:rPr>
          <w:rFonts w:ascii="Arial" w:eastAsia="Calibri" w:hAnsi="Arial" w:cs="Arial"/>
          <w:bCs/>
          <w:sz w:val="22"/>
          <w:lang w:val="es-ES_tradnl"/>
        </w:rPr>
        <w:t>, pero que no considera relacionad</w:t>
      </w:r>
      <w:r w:rsidR="00102135">
        <w:rPr>
          <w:rFonts w:ascii="Arial" w:eastAsia="Calibri" w:hAnsi="Arial" w:cs="Arial"/>
          <w:bCs/>
          <w:sz w:val="22"/>
          <w:lang w:val="es-ES_tradnl"/>
        </w:rPr>
        <w:t>a</w:t>
      </w:r>
      <w:r w:rsidR="00F00D9C">
        <w:rPr>
          <w:rFonts w:ascii="Arial" w:eastAsia="Calibri" w:hAnsi="Arial" w:cs="Arial"/>
          <w:bCs/>
          <w:sz w:val="22"/>
          <w:lang w:val="es-ES_tradnl"/>
        </w:rPr>
        <w:t xml:space="preserve"> con la tesis que exponen y defienden los solicitantes</w:t>
      </w:r>
      <w:r w:rsidR="00984DF2">
        <w:rPr>
          <w:rFonts w:ascii="Arial" w:eastAsia="Calibri" w:hAnsi="Arial" w:cs="Arial"/>
          <w:bCs/>
          <w:sz w:val="22"/>
          <w:lang w:val="es-ES_tradnl"/>
        </w:rPr>
        <w:t>.</w:t>
      </w:r>
    </w:p>
    <w:bookmarkEnd w:id="9"/>
    <w:p w14:paraId="12EB624D" w14:textId="6B26F199" w:rsidR="00007060" w:rsidRDefault="00007060" w:rsidP="00C54360">
      <w:pPr>
        <w:tabs>
          <w:tab w:val="left" w:pos="426"/>
        </w:tabs>
        <w:spacing w:line="276" w:lineRule="auto"/>
        <w:jc w:val="both"/>
        <w:rPr>
          <w:rFonts w:ascii="Arial" w:eastAsia="Calibri" w:hAnsi="Arial" w:cs="Arial"/>
          <w:b/>
          <w:sz w:val="22"/>
          <w:lang w:val="es-ES_tradnl"/>
        </w:rPr>
      </w:pPr>
    </w:p>
    <w:p w14:paraId="4F9ACAD8" w14:textId="64C775CF" w:rsidR="00D1707F" w:rsidRDefault="006C3AA8" w:rsidP="00C54360">
      <w:pPr>
        <w:tabs>
          <w:tab w:val="left" w:pos="426"/>
        </w:tabs>
        <w:spacing w:line="276" w:lineRule="auto"/>
        <w:jc w:val="both"/>
        <w:rPr>
          <w:rFonts w:ascii="Arial" w:eastAsia="Calibri" w:hAnsi="Arial" w:cs="Arial"/>
          <w:b/>
          <w:sz w:val="22"/>
          <w:lang w:val="es-ES_tradnl"/>
        </w:rPr>
      </w:pPr>
      <w:r>
        <w:rPr>
          <w:rFonts w:ascii="Arial" w:eastAsia="Calibri" w:hAnsi="Arial" w:cs="Arial"/>
          <w:b/>
          <w:sz w:val="22"/>
          <w:lang w:val="es-ES_tradnl"/>
        </w:rPr>
        <w:t>2.</w:t>
      </w:r>
      <w:r w:rsidR="00B05BF7">
        <w:rPr>
          <w:rFonts w:ascii="Arial" w:eastAsia="Calibri" w:hAnsi="Arial" w:cs="Arial"/>
          <w:b/>
          <w:sz w:val="22"/>
          <w:lang w:val="es-ES_tradnl"/>
        </w:rPr>
        <w:t>2</w:t>
      </w:r>
      <w:r>
        <w:rPr>
          <w:rFonts w:ascii="Arial" w:eastAsia="Calibri" w:hAnsi="Arial" w:cs="Arial"/>
          <w:b/>
          <w:sz w:val="22"/>
          <w:lang w:val="es-ES_tradnl"/>
        </w:rPr>
        <w:t xml:space="preserve">.2. </w:t>
      </w:r>
      <w:r w:rsidR="00B05BF7" w:rsidRPr="00B05BF7">
        <w:rPr>
          <w:rFonts w:ascii="Arial" w:eastAsia="Calibri" w:hAnsi="Arial" w:cs="Arial"/>
          <w:b/>
          <w:sz w:val="22"/>
          <w:lang w:val="es-ES_tradnl"/>
        </w:rPr>
        <w:t>Argumento relacionado con el precedente del Consejo de Estado</w:t>
      </w:r>
      <w:r w:rsidR="00B05BF7" w:rsidRPr="00B05BF7" w:rsidDel="00B05BF7">
        <w:rPr>
          <w:rFonts w:ascii="Arial" w:eastAsia="Calibri" w:hAnsi="Arial" w:cs="Arial"/>
          <w:b/>
          <w:sz w:val="22"/>
          <w:lang w:val="es-ES_tradnl"/>
        </w:rPr>
        <w:t xml:space="preserve"> </w:t>
      </w:r>
    </w:p>
    <w:p w14:paraId="315AB986" w14:textId="3DEEFFA6" w:rsidR="00D1707F" w:rsidRDefault="00D1707F" w:rsidP="00C54360">
      <w:pPr>
        <w:tabs>
          <w:tab w:val="left" w:pos="426"/>
        </w:tabs>
        <w:spacing w:line="276" w:lineRule="auto"/>
        <w:jc w:val="both"/>
        <w:rPr>
          <w:rFonts w:ascii="Arial" w:eastAsia="Calibri" w:hAnsi="Arial" w:cs="Arial"/>
          <w:b/>
          <w:sz w:val="22"/>
          <w:lang w:val="es-ES_tradnl"/>
        </w:rPr>
      </w:pPr>
    </w:p>
    <w:p w14:paraId="49B1A413" w14:textId="52FF7CBC" w:rsidR="000F1F6F" w:rsidRDefault="000F1F6F" w:rsidP="000F1F6F">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El COPNIA asegura que la jurisprudencia del Consejo de Estado también respalda su tesis, particularmente el auto del 2 de octubre de 2017, dictado por la Sección Primera del Consejo de Estado, en el marco de un proceso de simple nulidad en el que dicho consejo es el demandado</w:t>
      </w:r>
      <w:r>
        <w:rPr>
          <w:rStyle w:val="Refdenotaalpie"/>
          <w:rFonts w:ascii="Arial" w:eastAsia="Calibri" w:hAnsi="Arial" w:cs="Arial"/>
          <w:bCs/>
          <w:sz w:val="22"/>
          <w:lang w:val="es-ES_tradnl"/>
        </w:rPr>
        <w:footnoteReference w:id="13"/>
      </w:r>
      <w:r>
        <w:rPr>
          <w:rFonts w:ascii="Arial" w:eastAsia="Calibri" w:hAnsi="Arial" w:cs="Arial"/>
          <w:bCs/>
          <w:sz w:val="22"/>
          <w:lang w:val="es-ES_tradnl"/>
        </w:rPr>
        <w:t xml:space="preserve">. En términos generales, el COPNIA entiende que el referido auto, por un lado, descarta vicios en su interpretación respecto de la vigencia del artículo 12 de la Ley 842 de 2003 y, por el otro, permite concluir que </w:t>
      </w:r>
      <w:r w:rsidR="000C3725">
        <w:rPr>
          <w:rFonts w:ascii="Arial" w:eastAsia="Calibri" w:hAnsi="Arial" w:cs="Arial"/>
          <w:bCs/>
          <w:sz w:val="22"/>
          <w:lang w:val="es-ES_tradnl"/>
        </w:rPr>
        <w:t xml:space="preserve">tal </w:t>
      </w:r>
      <w:r w:rsidR="00066D01">
        <w:rPr>
          <w:rFonts w:ascii="Arial" w:eastAsia="Calibri" w:hAnsi="Arial" w:cs="Arial"/>
          <w:bCs/>
          <w:sz w:val="22"/>
          <w:lang w:val="es-ES_tradnl"/>
        </w:rPr>
        <w:t>interpretación</w:t>
      </w:r>
      <w:r>
        <w:rPr>
          <w:rFonts w:ascii="Arial" w:eastAsia="Calibri" w:hAnsi="Arial" w:cs="Arial"/>
          <w:bCs/>
          <w:sz w:val="22"/>
          <w:lang w:val="es-ES_tradnl"/>
        </w:rPr>
        <w:t xml:space="preserve"> se ajusta al ordenamiento jurídico. En efecto, en la página 9 de la solicitud se observa </w:t>
      </w:r>
      <w:r w:rsidR="008B2D49">
        <w:rPr>
          <w:rFonts w:ascii="Arial" w:eastAsia="Calibri" w:hAnsi="Arial" w:cs="Arial"/>
          <w:bCs/>
          <w:sz w:val="22"/>
          <w:lang w:val="es-ES_tradnl"/>
        </w:rPr>
        <w:t>la siguiente</w:t>
      </w:r>
      <w:r>
        <w:rPr>
          <w:rFonts w:ascii="Arial" w:eastAsia="Calibri" w:hAnsi="Arial" w:cs="Arial"/>
          <w:bCs/>
          <w:sz w:val="22"/>
          <w:lang w:val="es-ES_tradnl"/>
        </w:rPr>
        <w:t xml:space="preserve"> argument</w:t>
      </w:r>
      <w:r w:rsidR="008B2D49">
        <w:rPr>
          <w:rFonts w:ascii="Arial" w:eastAsia="Calibri" w:hAnsi="Arial" w:cs="Arial"/>
          <w:bCs/>
          <w:sz w:val="22"/>
          <w:lang w:val="es-ES_tradnl"/>
        </w:rPr>
        <w:t>ación</w:t>
      </w:r>
      <w:r>
        <w:rPr>
          <w:rFonts w:ascii="Arial" w:eastAsia="Calibri" w:hAnsi="Arial" w:cs="Arial"/>
          <w:bCs/>
          <w:sz w:val="22"/>
          <w:lang w:val="es-ES_tradnl"/>
        </w:rPr>
        <w:t>:</w:t>
      </w:r>
    </w:p>
    <w:p w14:paraId="14D25EF2" w14:textId="35481C19" w:rsidR="00D1707F" w:rsidRPr="00136E33" w:rsidRDefault="00D1707F" w:rsidP="00C54360">
      <w:pPr>
        <w:tabs>
          <w:tab w:val="left" w:pos="426"/>
        </w:tabs>
        <w:spacing w:line="276" w:lineRule="auto"/>
        <w:jc w:val="both"/>
        <w:rPr>
          <w:rFonts w:ascii="Arial" w:eastAsia="Calibri" w:hAnsi="Arial" w:cs="Arial"/>
          <w:bCs/>
          <w:sz w:val="22"/>
          <w:lang w:val="es-ES_tradnl"/>
        </w:rPr>
      </w:pPr>
    </w:p>
    <w:p w14:paraId="2F1D38E5" w14:textId="69D5C6B0" w:rsidR="00136E33" w:rsidRPr="00B27674" w:rsidRDefault="00136E33" w:rsidP="00136E33">
      <w:pPr>
        <w:tabs>
          <w:tab w:val="left" w:pos="426"/>
        </w:tabs>
        <w:ind w:left="709" w:right="709"/>
        <w:jc w:val="both"/>
        <w:rPr>
          <w:rFonts w:ascii="Arial" w:eastAsia="Calibri" w:hAnsi="Arial" w:cs="Arial"/>
          <w:bCs/>
          <w:sz w:val="21"/>
          <w:szCs w:val="21"/>
          <w:lang w:val="es-ES_tradnl"/>
        </w:rPr>
      </w:pPr>
      <w:r w:rsidRPr="00136E33">
        <w:rPr>
          <w:rFonts w:ascii="Arial" w:eastAsia="Calibri" w:hAnsi="Arial" w:cs="Arial"/>
          <w:bCs/>
          <w:sz w:val="21"/>
          <w:szCs w:val="21"/>
        </w:rPr>
        <w:t>La tesis sostenida por esta autoridad administrativa competente e</w:t>
      </w:r>
      <w:r>
        <w:rPr>
          <w:rFonts w:ascii="Arial" w:eastAsia="Calibri" w:hAnsi="Arial" w:cs="Arial"/>
          <w:bCs/>
          <w:sz w:val="21"/>
          <w:szCs w:val="21"/>
        </w:rPr>
        <w:t>n</w:t>
      </w:r>
      <w:r w:rsidRPr="00136E33">
        <w:rPr>
          <w:rFonts w:ascii="Arial" w:eastAsia="Calibri" w:hAnsi="Arial" w:cs="Arial"/>
          <w:bCs/>
          <w:sz w:val="21"/>
          <w:szCs w:val="21"/>
        </w:rPr>
        <w:t xml:space="preserve"> interpretar la forma de computar la experiencia profesional de la ingeniería </w:t>
      </w:r>
      <w:r>
        <w:rPr>
          <w:rFonts w:ascii="Arial" w:eastAsia="Calibri" w:hAnsi="Arial" w:cs="Arial"/>
          <w:bCs/>
          <w:sz w:val="21"/>
          <w:szCs w:val="21"/>
        </w:rPr>
        <w:t xml:space="preserve">[se refiere al COPNIA] </w:t>
      </w:r>
      <w:r w:rsidRPr="00136E33">
        <w:rPr>
          <w:rFonts w:ascii="Arial" w:eastAsia="Calibri" w:hAnsi="Arial" w:cs="Arial"/>
          <w:bCs/>
          <w:sz w:val="21"/>
          <w:szCs w:val="21"/>
        </w:rPr>
        <w:t>ha sido demandada en acción de nulidad ante el Consejo de Estad</w:t>
      </w:r>
      <w:r>
        <w:rPr>
          <w:rFonts w:ascii="Arial" w:eastAsia="Calibri" w:hAnsi="Arial" w:cs="Arial"/>
          <w:bCs/>
          <w:sz w:val="21"/>
          <w:szCs w:val="21"/>
        </w:rPr>
        <w:t>o,</w:t>
      </w:r>
      <w:r w:rsidRPr="00136E33">
        <w:rPr>
          <w:rFonts w:ascii="Arial" w:eastAsia="Calibri" w:hAnsi="Arial" w:cs="Arial"/>
          <w:bCs/>
          <w:sz w:val="21"/>
          <w:szCs w:val="21"/>
        </w:rPr>
        <w:t xml:space="preserve"> el cual, mediante una reciente decisión, expres</w:t>
      </w:r>
      <w:r>
        <w:rPr>
          <w:rFonts w:ascii="Arial" w:eastAsia="Calibri" w:hAnsi="Arial" w:cs="Arial"/>
          <w:bCs/>
          <w:sz w:val="21"/>
          <w:szCs w:val="21"/>
        </w:rPr>
        <w:t>ó</w:t>
      </w:r>
      <w:r w:rsidRPr="00136E33">
        <w:rPr>
          <w:rFonts w:ascii="Arial" w:eastAsia="Calibri" w:hAnsi="Arial" w:cs="Arial"/>
          <w:bCs/>
          <w:sz w:val="21"/>
          <w:szCs w:val="21"/>
        </w:rPr>
        <w:t xml:space="preserve"> que no existía un </w:t>
      </w:r>
      <w:r>
        <w:rPr>
          <w:rFonts w:ascii="Arial" w:eastAsia="Calibri" w:hAnsi="Arial" w:cs="Arial"/>
          <w:bCs/>
          <w:sz w:val="21"/>
          <w:szCs w:val="21"/>
        </w:rPr>
        <w:t>vicio</w:t>
      </w:r>
      <w:r w:rsidRPr="00136E33">
        <w:rPr>
          <w:rFonts w:ascii="Arial" w:eastAsia="Calibri" w:hAnsi="Arial" w:cs="Arial"/>
          <w:bCs/>
          <w:sz w:val="21"/>
          <w:szCs w:val="21"/>
        </w:rPr>
        <w:t xml:space="preserve"> aparente en sostener ese concepto</w:t>
      </w:r>
      <w:r>
        <w:rPr>
          <w:rFonts w:ascii="Arial" w:eastAsia="Calibri" w:hAnsi="Arial" w:cs="Arial"/>
          <w:bCs/>
          <w:sz w:val="21"/>
          <w:szCs w:val="21"/>
        </w:rPr>
        <w:t>,</w:t>
      </w:r>
      <w:r w:rsidRPr="00136E33">
        <w:rPr>
          <w:rFonts w:ascii="Arial" w:eastAsia="Calibri" w:hAnsi="Arial" w:cs="Arial"/>
          <w:bCs/>
          <w:sz w:val="21"/>
          <w:szCs w:val="21"/>
        </w:rPr>
        <w:t xml:space="preserve"> y qué</w:t>
      </w:r>
      <w:r>
        <w:rPr>
          <w:rFonts w:ascii="Arial" w:eastAsia="Calibri" w:hAnsi="Arial" w:cs="Arial"/>
          <w:bCs/>
          <w:sz w:val="21"/>
          <w:szCs w:val="21"/>
        </w:rPr>
        <w:t>,</w:t>
      </w:r>
      <w:r w:rsidRPr="00136E33">
        <w:rPr>
          <w:rFonts w:ascii="Arial" w:eastAsia="Calibri" w:hAnsi="Arial" w:cs="Arial"/>
          <w:bCs/>
          <w:sz w:val="21"/>
          <w:szCs w:val="21"/>
        </w:rPr>
        <w:t xml:space="preserve"> contrario a ello</w:t>
      </w:r>
      <w:r>
        <w:rPr>
          <w:rFonts w:ascii="Arial" w:eastAsia="Calibri" w:hAnsi="Arial" w:cs="Arial"/>
          <w:bCs/>
          <w:sz w:val="21"/>
          <w:szCs w:val="21"/>
        </w:rPr>
        <w:t xml:space="preserve">, </w:t>
      </w:r>
      <w:r w:rsidRPr="00136E33">
        <w:rPr>
          <w:rFonts w:ascii="Arial" w:eastAsia="Calibri" w:hAnsi="Arial" w:cs="Arial"/>
          <w:bCs/>
          <w:sz w:val="21"/>
          <w:szCs w:val="21"/>
        </w:rPr>
        <w:t xml:space="preserve">era </w:t>
      </w:r>
      <w:r>
        <w:rPr>
          <w:rFonts w:ascii="Arial" w:eastAsia="Calibri" w:hAnsi="Arial" w:cs="Arial"/>
          <w:bCs/>
          <w:sz w:val="21"/>
          <w:szCs w:val="21"/>
        </w:rPr>
        <w:t>ajustado</w:t>
      </w:r>
      <w:r w:rsidRPr="00136E33">
        <w:rPr>
          <w:rFonts w:ascii="Arial" w:eastAsia="Calibri" w:hAnsi="Arial" w:cs="Arial"/>
          <w:bCs/>
          <w:sz w:val="21"/>
          <w:szCs w:val="21"/>
        </w:rPr>
        <w:t xml:space="preserve"> a las normas legales y superiores, negando la solicitud de medida cautelar solicitada por los demandantes</w:t>
      </w:r>
      <w:r w:rsidR="00066D01">
        <w:rPr>
          <w:rFonts w:ascii="Arial" w:eastAsia="Calibri" w:hAnsi="Arial" w:cs="Arial"/>
          <w:bCs/>
          <w:sz w:val="21"/>
          <w:szCs w:val="21"/>
        </w:rPr>
        <w:t>.</w:t>
      </w:r>
      <w:r w:rsidR="00184294">
        <w:rPr>
          <w:rFonts w:ascii="Arial" w:eastAsia="Calibri" w:hAnsi="Arial" w:cs="Arial"/>
          <w:bCs/>
          <w:sz w:val="21"/>
          <w:szCs w:val="21"/>
        </w:rPr>
        <w:t xml:space="preserve"> (Corchetes fuera de texto)</w:t>
      </w:r>
      <w:r w:rsidRPr="00136E33">
        <w:rPr>
          <w:rFonts w:ascii="Arial" w:eastAsia="Calibri" w:hAnsi="Arial" w:cs="Arial"/>
          <w:bCs/>
          <w:sz w:val="21"/>
          <w:szCs w:val="21"/>
        </w:rPr>
        <w:t xml:space="preserve"> </w:t>
      </w:r>
    </w:p>
    <w:p w14:paraId="0F796181" w14:textId="4EB7B05E" w:rsidR="00136E33" w:rsidRPr="00136E33" w:rsidRDefault="00136E33" w:rsidP="00C54360">
      <w:pPr>
        <w:tabs>
          <w:tab w:val="left" w:pos="426"/>
        </w:tabs>
        <w:spacing w:line="276" w:lineRule="auto"/>
        <w:jc w:val="both"/>
        <w:rPr>
          <w:rFonts w:ascii="Arial" w:eastAsia="Calibri" w:hAnsi="Arial" w:cs="Arial"/>
          <w:bCs/>
          <w:sz w:val="22"/>
          <w:lang w:val="es-ES_tradnl"/>
        </w:rPr>
      </w:pPr>
    </w:p>
    <w:p w14:paraId="631D019C" w14:textId="79118073" w:rsidR="009338CE" w:rsidRDefault="00066D01" w:rsidP="001946FB">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sidR="003F7685">
        <w:rPr>
          <w:rFonts w:ascii="Arial" w:eastAsia="Calibri" w:hAnsi="Arial" w:cs="Arial"/>
          <w:bCs/>
          <w:sz w:val="22"/>
          <w:lang w:val="es-ES_tradnl"/>
        </w:rPr>
        <w:tab/>
      </w:r>
      <w:r w:rsidR="00136E33">
        <w:rPr>
          <w:rFonts w:ascii="Arial" w:eastAsia="Calibri" w:hAnsi="Arial" w:cs="Arial"/>
          <w:bCs/>
          <w:sz w:val="22"/>
          <w:lang w:val="es-ES_tradnl"/>
        </w:rPr>
        <w:t>En relación co</w:t>
      </w:r>
      <w:r>
        <w:rPr>
          <w:rFonts w:ascii="Arial" w:eastAsia="Calibri" w:hAnsi="Arial" w:cs="Arial"/>
          <w:bCs/>
          <w:sz w:val="22"/>
          <w:lang w:val="es-ES_tradnl"/>
        </w:rPr>
        <w:t>n este argumento se</w:t>
      </w:r>
      <w:r w:rsidR="00136E33">
        <w:rPr>
          <w:rFonts w:ascii="Arial" w:eastAsia="Calibri" w:hAnsi="Arial" w:cs="Arial"/>
          <w:bCs/>
          <w:sz w:val="22"/>
          <w:lang w:val="es-ES_tradnl"/>
        </w:rPr>
        <w:t xml:space="preserve"> considera que, nuevamente, se parte de </w:t>
      </w:r>
      <w:r w:rsidR="00184294">
        <w:rPr>
          <w:rFonts w:ascii="Arial" w:eastAsia="Calibri" w:hAnsi="Arial" w:cs="Arial"/>
          <w:bCs/>
          <w:sz w:val="22"/>
          <w:lang w:val="es-ES_tradnl"/>
        </w:rPr>
        <w:t xml:space="preserve">un </w:t>
      </w:r>
      <w:r w:rsidR="00136E33">
        <w:rPr>
          <w:rFonts w:ascii="Arial" w:eastAsia="Calibri" w:hAnsi="Arial" w:cs="Arial"/>
          <w:bCs/>
          <w:sz w:val="22"/>
          <w:lang w:val="es-ES_tradnl"/>
        </w:rPr>
        <w:t>supuesto que no se deriva de</w:t>
      </w:r>
      <w:r w:rsidR="00184294">
        <w:rPr>
          <w:rFonts w:ascii="Arial" w:eastAsia="Calibri" w:hAnsi="Arial" w:cs="Arial"/>
          <w:bCs/>
          <w:sz w:val="22"/>
          <w:lang w:val="es-ES_tradnl"/>
        </w:rPr>
        <w:t xml:space="preserve">l </w:t>
      </w:r>
      <w:r w:rsidR="00136E33">
        <w:rPr>
          <w:rFonts w:ascii="Arial" w:eastAsia="Calibri" w:hAnsi="Arial" w:cs="Arial"/>
          <w:bCs/>
          <w:sz w:val="22"/>
          <w:lang w:val="es-ES_tradnl"/>
        </w:rPr>
        <w:t xml:space="preserve">auto </w:t>
      </w:r>
      <w:r>
        <w:rPr>
          <w:rFonts w:ascii="Arial" w:eastAsia="Calibri" w:hAnsi="Arial" w:cs="Arial"/>
          <w:bCs/>
          <w:sz w:val="22"/>
          <w:lang w:val="es-ES_tradnl"/>
        </w:rPr>
        <w:t>d</w:t>
      </w:r>
      <w:r w:rsidR="00325389">
        <w:rPr>
          <w:rFonts w:ascii="Arial" w:eastAsia="Calibri" w:hAnsi="Arial" w:cs="Arial"/>
          <w:bCs/>
          <w:sz w:val="22"/>
          <w:lang w:val="es-ES_tradnl"/>
        </w:rPr>
        <w:t>el Consejo de Estado</w:t>
      </w:r>
      <w:r w:rsidR="00136E33">
        <w:rPr>
          <w:rFonts w:ascii="Arial" w:eastAsia="Calibri" w:hAnsi="Arial" w:cs="Arial"/>
          <w:bCs/>
          <w:sz w:val="22"/>
          <w:lang w:val="es-ES_tradnl"/>
        </w:rPr>
        <w:t>,</w:t>
      </w:r>
      <w:r w:rsidR="00184294">
        <w:rPr>
          <w:rFonts w:ascii="Arial" w:eastAsia="Calibri" w:hAnsi="Arial" w:cs="Arial"/>
          <w:bCs/>
          <w:sz w:val="22"/>
          <w:lang w:val="es-ES_tradnl"/>
        </w:rPr>
        <w:t xml:space="preserve"> pues</w:t>
      </w:r>
      <w:r w:rsidR="00136E33">
        <w:rPr>
          <w:rFonts w:ascii="Arial" w:eastAsia="Calibri" w:hAnsi="Arial" w:cs="Arial"/>
          <w:bCs/>
          <w:sz w:val="22"/>
          <w:lang w:val="es-ES_tradnl"/>
        </w:rPr>
        <w:t xml:space="preserve"> el COPNIA manifiesta que el Consejo de Estado calificó su interpretación del artículo 12 de la Ley 842 de 2003, contenida en el concepto demandado ante dicha autoridad, como ajustada a las normas legales superiores. Sin embargo, </w:t>
      </w:r>
      <w:r w:rsidR="00BA7AB4">
        <w:rPr>
          <w:rFonts w:ascii="Arial" w:eastAsia="Calibri" w:hAnsi="Arial" w:cs="Arial"/>
          <w:bCs/>
          <w:sz w:val="22"/>
          <w:lang w:val="es-ES_tradnl"/>
        </w:rPr>
        <w:t>analizado</w:t>
      </w:r>
      <w:r w:rsidR="00136E33">
        <w:rPr>
          <w:rFonts w:ascii="Arial" w:eastAsia="Calibri" w:hAnsi="Arial" w:cs="Arial"/>
          <w:bCs/>
          <w:sz w:val="22"/>
          <w:lang w:val="es-ES_tradnl"/>
        </w:rPr>
        <w:t xml:space="preserve"> </w:t>
      </w:r>
      <w:r w:rsidR="00BA7AB4">
        <w:rPr>
          <w:rFonts w:ascii="Arial" w:eastAsia="Calibri" w:hAnsi="Arial" w:cs="Arial"/>
          <w:bCs/>
          <w:sz w:val="22"/>
          <w:lang w:val="es-ES_tradnl"/>
        </w:rPr>
        <w:t>el auto que niega la suspensión provisional de dicho concepto</w:t>
      </w:r>
      <w:r w:rsidR="00136E33">
        <w:rPr>
          <w:rFonts w:ascii="Arial" w:eastAsia="Calibri" w:hAnsi="Arial" w:cs="Arial"/>
          <w:bCs/>
          <w:sz w:val="22"/>
          <w:lang w:val="es-ES_tradnl"/>
        </w:rPr>
        <w:t xml:space="preserve">, no se </w:t>
      </w:r>
      <w:r>
        <w:rPr>
          <w:rFonts w:ascii="Arial" w:eastAsia="Calibri" w:hAnsi="Arial" w:cs="Arial"/>
          <w:bCs/>
          <w:sz w:val="22"/>
          <w:lang w:val="es-ES_tradnl"/>
        </w:rPr>
        <w:t>encontró</w:t>
      </w:r>
      <w:r w:rsidR="00136E33">
        <w:rPr>
          <w:rFonts w:ascii="Arial" w:eastAsia="Calibri" w:hAnsi="Arial" w:cs="Arial"/>
          <w:bCs/>
          <w:sz w:val="22"/>
          <w:lang w:val="es-ES_tradnl"/>
        </w:rPr>
        <w:t xml:space="preserve"> tal argumentación, porque la misma corresponde a la sentencia</w:t>
      </w:r>
      <w:r w:rsidR="00694584">
        <w:rPr>
          <w:rFonts w:ascii="Arial" w:eastAsia="Calibri" w:hAnsi="Arial" w:cs="Arial"/>
          <w:bCs/>
          <w:sz w:val="22"/>
          <w:lang w:val="es-ES_tradnl"/>
        </w:rPr>
        <w:t xml:space="preserve"> de fondo</w:t>
      </w:r>
      <w:r w:rsidR="00136E33">
        <w:rPr>
          <w:rFonts w:ascii="Arial" w:eastAsia="Calibri" w:hAnsi="Arial" w:cs="Arial"/>
          <w:bCs/>
          <w:sz w:val="22"/>
          <w:lang w:val="es-ES_tradnl"/>
        </w:rPr>
        <w:t xml:space="preserve">, la cual no </w:t>
      </w:r>
      <w:r w:rsidR="00694584">
        <w:rPr>
          <w:rFonts w:ascii="Arial" w:eastAsia="Calibri" w:hAnsi="Arial" w:cs="Arial"/>
          <w:bCs/>
          <w:sz w:val="22"/>
          <w:lang w:val="es-ES_tradnl"/>
        </w:rPr>
        <w:t>ha proferido a la fecha</w:t>
      </w:r>
      <w:r w:rsidR="00BC6A39">
        <w:rPr>
          <w:rFonts w:ascii="Arial" w:eastAsia="Calibri" w:hAnsi="Arial" w:cs="Arial"/>
          <w:bCs/>
          <w:sz w:val="22"/>
          <w:lang w:val="es-ES_tradnl"/>
        </w:rPr>
        <w:t>.</w:t>
      </w:r>
      <w:r>
        <w:rPr>
          <w:rFonts w:ascii="Arial" w:eastAsia="Calibri" w:hAnsi="Arial" w:cs="Arial"/>
          <w:bCs/>
          <w:sz w:val="22"/>
          <w:lang w:val="es-ES_tradnl"/>
        </w:rPr>
        <w:t xml:space="preserve"> </w:t>
      </w:r>
      <w:r w:rsidR="00136E33">
        <w:rPr>
          <w:rFonts w:ascii="Arial" w:eastAsia="Calibri" w:hAnsi="Arial" w:cs="Arial"/>
          <w:bCs/>
          <w:sz w:val="22"/>
          <w:lang w:val="es-ES_tradnl"/>
        </w:rPr>
        <w:t>En efecto</w:t>
      </w:r>
      <w:r w:rsidR="009338CE">
        <w:rPr>
          <w:rFonts w:ascii="Arial" w:eastAsia="Calibri" w:hAnsi="Arial" w:cs="Arial"/>
          <w:bCs/>
          <w:sz w:val="22"/>
          <w:lang w:val="es-ES_tradnl"/>
        </w:rPr>
        <w:t xml:space="preserve">, hasta que los jueces no dicten sentencia no será posible establecer si el concepto materializa la tesis del COPNIA contiene «vicios aparentes» </w:t>
      </w:r>
      <w:r>
        <w:rPr>
          <w:rFonts w:ascii="Arial" w:eastAsia="Calibri" w:hAnsi="Arial" w:cs="Arial"/>
          <w:bCs/>
          <w:sz w:val="22"/>
          <w:lang w:val="es-ES_tradnl"/>
        </w:rPr>
        <w:t>o</w:t>
      </w:r>
      <w:r w:rsidR="009338CE">
        <w:rPr>
          <w:rFonts w:ascii="Arial" w:eastAsia="Calibri" w:hAnsi="Arial" w:cs="Arial"/>
          <w:bCs/>
          <w:sz w:val="22"/>
          <w:lang w:val="es-ES_tradnl"/>
        </w:rPr>
        <w:t xml:space="preserve"> si se ajusta «a las normas legales superiores».</w:t>
      </w:r>
      <w:r>
        <w:rPr>
          <w:rFonts w:ascii="Arial" w:eastAsia="Calibri" w:hAnsi="Arial" w:cs="Arial"/>
          <w:bCs/>
          <w:sz w:val="22"/>
          <w:lang w:val="es-ES_tradnl"/>
        </w:rPr>
        <w:t xml:space="preserve"> Sin perjuicio de lo anterior</w:t>
      </w:r>
      <w:r w:rsidR="009338CE">
        <w:rPr>
          <w:rFonts w:ascii="Arial" w:eastAsia="Calibri" w:hAnsi="Arial" w:cs="Arial"/>
          <w:bCs/>
          <w:sz w:val="22"/>
          <w:lang w:val="es-ES_tradnl"/>
        </w:rPr>
        <w:t>, el Consejo de Estado argumentó lo siguiente:</w:t>
      </w:r>
    </w:p>
    <w:p w14:paraId="4E077352" w14:textId="77777777" w:rsidR="00066D01" w:rsidRDefault="00066D01" w:rsidP="001946FB">
      <w:pPr>
        <w:tabs>
          <w:tab w:val="left" w:pos="426"/>
        </w:tabs>
        <w:ind w:left="709" w:right="709"/>
        <w:jc w:val="both"/>
        <w:rPr>
          <w:rFonts w:ascii="Arial" w:eastAsia="Calibri" w:hAnsi="Arial" w:cs="Arial"/>
          <w:bCs/>
          <w:sz w:val="21"/>
          <w:szCs w:val="21"/>
          <w:lang w:val="es-CO"/>
        </w:rPr>
      </w:pPr>
    </w:p>
    <w:p w14:paraId="1203F99D" w14:textId="2F79BBFB" w:rsidR="009338CE" w:rsidRPr="009338CE" w:rsidRDefault="009338CE">
      <w:pPr>
        <w:tabs>
          <w:tab w:val="left" w:pos="426"/>
        </w:tabs>
        <w:spacing w:before="120"/>
        <w:ind w:left="709" w:right="709"/>
        <w:jc w:val="both"/>
        <w:rPr>
          <w:rFonts w:ascii="Arial" w:eastAsia="Calibri" w:hAnsi="Arial" w:cs="Arial"/>
          <w:bCs/>
          <w:sz w:val="21"/>
          <w:szCs w:val="21"/>
          <w:lang w:val="es-CO"/>
        </w:rPr>
      </w:pPr>
      <w:r w:rsidRPr="009338CE">
        <w:rPr>
          <w:rFonts w:ascii="Arial" w:eastAsia="Calibri" w:hAnsi="Arial" w:cs="Arial"/>
          <w:bCs/>
          <w:sz w:val="21"/>
          <w:szCs w:val="21"/>
          <w:lang w:val="es-CO"/>
        </w:rPr>
        <w:lastRenderedPageBreak/>
        <w:t xml:space="preserve">Ahora bien, </w:t>
      </w:r>
      <w:r w:rsidR="00EB2323">
        <w:rPr>
          <w:rFonts w:ascii="Arial" w:eastAsia="Calibri" w:hAnsi="Arial" w:cs="Arial"/>
          <w:bCs/>
          <w:sz w:val="21"/>
          <w:szCs w:val="21"/>
          <w:lang w:val="es-CO"/>
        </w:rPr>
        <w:t>l</w:t>
      </w:r>
      <w:r w:rsidRPr="009338CE">
        <w:rPr>
          <w:rFonts w:ascii="Arial" w:eastAsia="Calibri" w:hAnsi="Arial" w:cs="Arial"/>
          <w:bCs/>
          <w:sz w:val="21"/>
          <w:szCs w:val="21"/>
          <w:lang w:val="es-CO"/>
        </w:rPr>
        <w:t>a Ley 842 modificó la reglamentación del ejercicio de la ingeniería, de sus profesiones afines y auxiliares y adoptó el Código de Ética Profesional. A partir de su vigencia, para el ejercicio de empleos públicos en ingeniería, sus profesiones afines y sus profesiones auxiliares, solo se contabiliza como experiencia profesional la obtenida después del otorgamiento de la matrícula profesional o del certificado de inscripción profesional, tal como se establece en el artículo 12 de dicha disposición.</w:t>
      </w:r>
    </w:p>
    <w:p w14:paraId="4C537A51" w14:textId="484E58F3" w:rsidR="009338CE" w:rsidRPr="009338CE" w:rsidRDefault="009338CE" w:rsidP="009338CE">
      <w:pPr>
        <w:tabs>
          <w:tab w:val="left" w:pos="426"/>
        </w:tabs>
        <w:spacing w:before="120"/>
        <w:ind w:left="709" w:right="709"/>
        <w:jc w:val="both"/>
        <w:rPr>
          <w:rFonts w:ascii="Arial" w:eastAsia="Calibri" w:hAnsi="Arial" w:cs="Arial"/>
          <w:bCs/>
          <w:sz w:val="22"/>
          <w:lang w:val="es-CO"/>
        </w:rPr>
      </w:pPr>
      <w:r w:rsidRPr="009338CE">
        <w:rPr>
          <w:rFonts w:ascii="Arial" w:eastAsia="Calibri" w:hAnsi="Arial" w:cs="Arial"/>
          <w:bCs/>
          <w:sz w:val="21"/>
          <w:szCs w:val="21"/>
          <w:lang w:val="es-CO"/>
        </w:rPr>
        <w:t xml:space="preserve">Es decir, que se trata de una norma especial, por lo que, en principio, </w:t>
      </w:r>
      <w:r w:rsidRPr="009338CE">
        <w:rPr>
          <w:rFonts w:ascii="Arial" w:eastAsia="Calibri" w:hAnsi="Arial" w:cs="Arial"/>
          <w:bCs/>
          <w:i/>
          <w:iCs/>
          <w:sz w:val="21"/>
          <w:szCs w:val="21"/>
          <w:lang w:val="es-CO"/>
        </w:rPr>
        <w:t>no aparecen razones suficientes para considerar que el Decreto proferido con posterioridad la haya derogado</w:t>
      </w:r>
      <w:r w:rsidRPr="009338CE">
        <w:rPr>
          <w:rFonts w:ascii="Arial" w:eastAsia="Calibri" w:hAnsi="Arial" w:cs="Arial"/>
          <w:bCs/>
          <w:sz w:val="21"/>
          <w:szCs w:val="21"/>
          <w:lang w:val="es-CO"/>
        </w:rPr>
        <w:t>, dado que, de una parte, la experiencia profesional para la ingeniería y carreras afines se encuentra específicamente definida en la Ley 842 y, de otra, el Decreto 019 de 2012 se refirió a los procedimientos de la «función pública», tal y como lo dispone el Capítulo XIX, en el cual se encuentra el artículo 229 invocado por los demandantes.</w:t>
      </w:r>
      <w:r>
        <w:rPr>
          <w:rFonts w:ascii="Arial" w:eastAsia="Calibri" w:hAnsi="Arial" w:cs="Arial"/>
          <w:bCs/>
          <w:sz w:val="21"/>
          <w:szCs w:val="21"/>
          <w:lang w:val="es-CO"/>
        </w:rPr>
        <w:t xml:space="preserve"> </w:t>
      </w:r>
      <w:r>
        <w:rPr>
          <w:rFonts w:ascii="Arial" w:eastAsia="Calibri" w:hAnsi="Arial" w:cs="Arial"/>
          <w:bCs/>
          <w:sz w:val="21"/>
          <w:szCs w:val="21"/>
          <w:lang w:val="es-CO"/>
        </w:rPr>
        <w:br/>
        <w:t>[Cursivas propias]</w:t>
      </w:r>
    </w:p>
    <w:p w14:paraId="5F35A7FC" w14:textId="0ECC7843" w:rsidR="009338CE" w:rsidRDefault="009338CE" w:rsidP="00136E33">
      <w:pPr>
        <w:tabs>
          <w:tab w:val="left" w:pos="426"/>
        </w:tabs>
        <w:spacing w:before="120" w:line="276" w:lineRule="auto"/>
        <w:jc w:val="both"/>
        <w:rPr>
          <w:rFonts w:ascii="Arial" w:eastAsia="Calibri" w:hAnsi="Arial" w:cs="Arial"/>
          <w:bCs/>
          <w:sz w:val="22"/>
          <w:lang w:val="es-ES_tradnl"/>
        </w:rPr>
      </w:pPr>
    </w:p>
    <w:p w14:paraId="16E3D4ED" w14:textId="59964DE5" w:rsidR="0013030F" w:rsidRPr="00B91345" w:rsidRDefault="00066D01">
      <w:pPr>
        <w:tabs>
          <w:tab w:val="left" w:pos="426"/>
        </w:tabs>
        <w:spacing w:after="120" w:line="276" w:lineRule="auto"/>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r>
      <w:r w:rsidR="006F5CE1">
        <w:rPr>
          <w:rFonts w:ascii="Arial" w:eastAsia="Calibri" w:hAnsi="Arial" w:cs="Arial"/>
          <w:bCs/>
          <w:sz w:val="22"/>
          <w:lang w:val="es-ES_tradnl"/>
        </w:rPr>
        <w:t>No se</w:t>
      </w:r>
      <w:r w:rsidR="009338CE">
        <w:rPr>
          <w:rFonts w:ascii="Arial" w:eastAsia="Calibri" w:hAnsi="Arial" w:cs="Arial"/>
          <w:bCs/>
          <w:sz w:val="22"/>
          <w:lang w:val="es-ES_tradnl"/>
        </w:rPr>
        <w:t xml:space="preserve"> desconoce la claridad de dicho argumento. Sin embargo, Colombia Compra Eficiente considera que el mismo no tiene la entidad suficiente para justificar el cambio de postura </w:t>
      </w:r>
      <w:r w:rsidR="006F5CE1">
        <w:rPr>
          <w:rFonts w:ascii="Arial" w:eastAsia="Calibri" w:hAnsi="Arial" w:cs="Arial"/>
          <w:bCs/>
          <w:sz w:val="22"/>
          <w:lang w:val="es-ES_tradnl"/>
        </w:rPr>
        <w:t>solicitado</w:t>
      </w:r>
      <w:r w:rsidR="00626766">
        <w:rPr>
          <w:rFonts w:ascii="Arial" w:eastAsia="Calibri" w:hAnsi="Arial" w:cs="Arial"/>
          <w:bCs/>
          <w:sz w:val="22"/>
          <w:lang w:val="es-ES_tradnl"/>
        </w:rPr>
        <w:t xml:space="preserve">, pues </w:t>
      </w:r>
      <w:r w:rsidR="00BA7AB4">
        <w:rPr>
          <w:rFonts w:ascii="Arial" w:eastAsia="Calibri" w:hAnsi="Arial" w:cs="Arial"/>
          <w:bCs/>
          <w:sz w:val="22"/>
          <w:lang w:val="es-ES_tradnl"/>
        </w:rPr>
        <w:t>los autos que deciden sobre la aplicación de las medidas cautelares, además de ser provisionales</w:t>
      </w:r>
      <w:r w:rsidR="002F2852">
        <w:rPr>
          <w:rFonts w:ascii="Arial" w:eastAsia="Calibri" w:hAnsi="Arial" w:cs="Arial"/>
          <w:bCs/>
          <w:sz w:val="22"/>
          <w:lang w:val="es-ES_tradnl"/>
        </w:rPr>
        <w:t xml:space="preserve"> y</w:t>
      </w:r>
      <w:r w:rsidR="00926A15">
        <w:rPr>
          <w:rFonts w:ascii="Arial" w:eastAsia="Calibri" w:hAnsi="Arial" w:cs="Arial"/>
          <w:bCs/>
          <w:sz w:val="22"/>
          <w:lang w:val="es-ES_tradnl"/>
        </w:rPr>
        <w:t xml:space="preserve"> no constituir prejuzgamiento</w:t>
      </w:r>
      <w:r w:rsidR="00BA7AB4">
        <w:rPr>
          <w:rFonts w:ascii="Arial" w:eastAsia="Calibri" w:hAnsi="Arial" w:cs="Arial"/>
          <w:bCs/>
          <w:sz w:val="22"/>
          <w:lang w:val="es-ES_tradnl"/>
        </w:rPr>
        <w:t>,</w:t>
      </w:r>
      <w:r w:rsidR="00F97FCF">
        <w:rPr>
          <w:rFonts w:ascii="Arial" w:eastAsia="Calibri" w:hAnsi="Arial" w:cs="Arial"/>
          <w:bCs/>
          <w:sz w:val="22"/>
          <w:lang w:val="es-ES_tradnl"/>
        </w:rPr>
        <w:t xml:space="preserve"> </w:t>
      </w:r>
      <w:r w:rsidR="00626766">
        <w:rPr>
          <w:rFonts w:ascii="Arial" w:eastAsia="Calibri" w:hAnsi="Arial" w:cs="Arial"/>
          <w:bCs/>
          <w:sz w:val="22"/>
          <w:lang w:val="es-ES_tradnl"/>
        </w:rPr>
        <w:t>solo genera</w:t>
      </w:r>
      <w:r w:rsidR="002F2852">
        <w:rPr>
          <w:rFonts w:ascii="Arial" w:eastAsia="Calibri" w:hAnsi="Arial" w:cs="Arial"/>
          <w:bCs/>
          <w:sz w:val="22"/>
          <w:lang w:val="es-ES_tradnl"/>
        </w:rPr>
        <w:t>n</w:t>
      </w:r>
      <w:r w:rsidR="00626766">
        <w:rPr>
          <w:rFonts w:ascii="Arial" w:eastAsia="Calibri" w:hAnsi="Arial" w:cs="Arial"/>
          <w:bCs/>
          <w:sz w:val="22"/>
          <w:lang w:val="es-ES_tradnl"/>
        </w:rPr>
        <w:t xml:space="preserve"> consecuencias en ese proceso judicial</w:t>
      </w:r>
      <w:r w:rsidR="005D472F">
        <w:rPr>
          <w:rFonts w:ascii="Arial" w:eastAsia="Calibri" w:hAnsi="Arial" w:cs="Arial"/>
          <w:bCs/>
          <w:sz w:val="22"/>
          <w:lang w:val="es-ES_tradnl"/>
        </w:rPr>
        <w:t xml:space="preserve"> determinado</w:t>
      </w:r>
      <w:r w:rsidR="00626766">
        <w:rPr>
          <w:rFonts w:ascii="Arial" w:eastAsia="Calibri" w:hAnsi="Arial" w:cs="Arial"/>
          <w:bCs/>
          <w:sz w:val="22"/>
          <w:lang w:val="es-ES_tradnl"/>
        </w:rPr>
        <w:t xml:space="preserve">, pues no se trata de una decisión con efectos </w:t>
      </w:r>
      <w:r w:rsidR="00626766" w:rsidRPr="001946FB">
        <w:rPr>
          <w:rFonts w:ascii="Arial" w:eastAsia="Calibri" w:hAnsi="Arial" w:cs="Arial"/>
          <w:bCs/>
          <w:i/>
          <w:iCs/>
          <w:sz w:val="22"/>
          <w:lang w:val="es-ES_tradnl"/>
        </w:rPr>
        <w:t>erga omnes</w:t>
      </w:r>
      <w:r w:rsidR="00626766">
        <w:rPr>
          <w:rFonts w:ascii="Arial" w:eastAsia="Calibri" w:hAnsi="Arial" w:cs="Arial"/>
          <w:bCs/>
          <w:sz w:val="22"/>
          <w:lang w:val="es-ES_tradnl"/>
        </w:rPr>
        <w:t>. Incluso</w:t>
      </w:r>
      <w:r w:rsidR="00E37241">
        <w:rPr>
          <w:rFonts w:ascii="Arial" w:eastAsia="Calibri" w:hAnsi="Arial" w:cs="Arial"/>
          <w:bCs/>
          <w:sz w:val="22"/>
          <w:lang w:val="es-ES_tradnl"/>
        </w:rPr>
        <w:t>, si</w:t>
      </w:r>
      <w:r w:rsidR="0013030F">
        <w:rPr>
          <w:rFonts w:ascii="Arial" w:eastAsia="Calibri" w:hAnsi="Arial" w:cs="Arial"/>
          <w:bCs/>
          <w:sz w:val="22"/>
          <w:lang w:val="es-ES_tradnl"/>
        </w:rPr>
        <w:t xml:space="preserve"> la jurisdicción contenciosa administrativa declara la legalidad del concepto emitido por el COPNIA, tampoco </w:t>
      </w:r>
      <w:r w:rsidR="00E37241">
        <w:rPr>
          <w:rFonts w:ascii="Arial" w:eastAsia="Calibri" w:hAnsi="Arial" w:cs="Arial"/>
          <w:bCs/>
          <w:sz w:val="22"/>
          <w:lang w:val="es-ES_tradnl"/>
        </w:rPr>
        <w:t>sería</w:t>
      </w:r>
      <w:r w:rsidR="0013030F">
        <w:rPr>
          <w:rFonts w:ascii="Arial" w:eastAsia="Calibri" w:hAnsi="Arial" w:cs="Arial"/>
          <w:bCs/>
          <w:sz w:val="22"/>
          <w:lang w:val="es-ES_tradnl"/>
        </w:rPr>
        <w:t xml:space="preserve"> posible </w:t>
      </w:r>
      <w:r w:rsidR="00084A32">
        <w:rPr>
          <w:rFonts w:ascii="Arial" w:eastAsia="Calibri" w:hAnsi="Arial" w:cs="Arial"/>
          <w:bCs/>
          <w:sz w:val="22"/>
          <w:lang w:val="es-ES_tradnl"/>
        </w:rPr>
        <w:t>solicitar</w:t>
      </w:r>
      <w:r w:rsidR="0013030F">
        <w:rPr>
          <w:rFonts w:ascii="Arial" w:eastAsia="Calibri" w:hAnsi="Arial" w:cs="Arial"/>
          <w:bCs/>
          <w:sz w:val="22"/>
          <w:lang w:val="es-ES_tradnl"/>
        </w:rPr>
        <w:t xml:space="preserve"> la revocatoria de los conceptos</w:t>
      </w:r>
      <w:r w:rsidR="006B45F3">
        <w:rPr>
          <w:rFonts w:ascii="Arial" w:eastAsia="Calibri" w:hAnsi="Arial" w:cs="Arial"/>
          <w:bCs/>
          <w:sz w:val="22"/>
          <w:lang w:val="es-ES_tradnl"/>
        </w:rPr>
        <w:t xml:space="preserve"> de </w:t>
      </w:r>
      <w:r w:rsidR="00626766">
        <w:rPr>
          <w:rFonts w:ascii="Arial" w:eastAsia="Calibri" w:hAnsi="Arial" w:cs="Arial"/>
          <w:bCs/>
          <w:sz w:val="22"/>
          <w:lang w:val="es-ES_tradnl"/>
        </w:rPr>
        <w:t>esta Agencia</w:t>
      </w:r>
      <w:r w:rsidR="00084A32">
        <w:rPr>
          <w:rFonts w:ascii="Arial" w:eastAsia="Calibri" w:hAnsi="Arial" w:cs="Arial"/>
          <w:bCs/>
          <w:sz w:val="22"/>
          <w:lang w:val="es-ES_tradnl"/>
        </w:rPr>
        <w:t xml:space="preserve">, en la medida que </w:t>
      </w:r>
      <w:r w:rsidR="006B45F3">
        <w:rPr>
          <w:rFonts w:ascii="Arial" w:eastAsia="Calibri" w:hAnsi="Arial" w:cs="Arial"/>
          <w:bCs/>
          <w:sz w:val="22"/>
          <w:lang w:val="es-ES_tradnl"/>
        </w:rPr>
        <w:t>los efectos de la sentencia se limita</w:t>
      </w:r>
      <w:r w:rsidR="00E37241">
        <w:rPr>
          <w:rFonts w:ascii="Arial" w:eastAsia="Calibri" w:hAnsi="Arial" w:cs="Arial"/>
          <w:bCs/>
          <w:sz w:val="22"/>
          <w:lang w:val="es-ES_tradnl"/>
        </w:rPr>
        <w:t>rían</w:t>
      </w:r>
      <w:r w:rsidR="006B45F3">
        <w:rPr>
          <w:rFonts w:ascii="Arial" w:eastAsia="Calibri" w:hAnsi="Arial" w:cs="Arial"/>
          <w:bCs/>
          <w:sz w:val="22"/>
          <w:lang w:val="es-ES_tradnl"/>
        </w:rPr>
        <w:t xml:space="preserve"> a ese caso </w:t>
      </w:r>
      <w:r w:rsidR="007932B8">
        <w:rPr>
          <w:rFonts w:ascii="Arial" w:eastAsia="Calibri" w:hAnsi="Arial" w:cs="Arial"/>
          <w:bCs/>
          <w:sz w:val="22"/>
          <w:lang w:val="es-ES_tradnl"/>
        </w:rPr>
        <w:t>concreto sometido al litigio</w:t>
      </w:r>
      <w:r w:rsidR="00B404AF">
        <w:rPr>
          <w:rFonts w:ascii="Arial" w:eastAsia="Calibri" w:hAnsi="Arial" w:cs="Arial"/>
          <w:bCs/>
          <w:sz w:val="22"/>
          <w:lang w:val="es-ES_tradnl"/>
        </w:rPr>
        <w:t xml:space="preserve">. </w:t>
      </w:r>
      <w:r w:rsidR="00732283">
        <w:rPr>
          <w:rFonts w:ascii="Arial" w:eastAsia="Calibri" w:hAnsi="Arial" w:cs="Arial"/>
          <w:bCs/>
          <w:sz w:val="22"/>
          <w:lang w:val="es-ES_tradnl"/>
        </w:rPr>
        <w:t>Por lo tanto, con el cumplimiento de la carga correspondiente al deber de motivación, las autoridades podrían separarse de la argumentación de esa</w:t>
      </w:r>
      <w:r w:rsidR="00E37241">
        <w:rPr>
          <w:rFonts w:ascii="Arial" w:eastAsia="Calibri" w:hAnsi="Arial" w:cs="Arial"/>
          <w:bCs/>
          <w:sz w:val="22"/>
          <w:lang w:val="es-ES_tradnl"/>
        </w:rPr>
        <w:t xml:space="preserve"> eventual</w:t>
      </w:r>
      <w:r w:rsidR="00732283">
        <w:rPr>
          <w:rFonts w:ascii="Arial" w:eastAsia="Calibri" w:hAnsi="Arial" w:cs="Arial"/>
          <w:bCs/>
          <w:sz w:val="22"/>
          <w:lang w:val="es-ES_tradnl"/>
        </w:rPr>
        <w:t xml:space="preserve"> providencia judicial</w:t>
      </w:r>
      <w:r w:rsidR="007932B8">
        <w:rPr>
          <w:rFonts w:ascii="Arial" w:eastAsia="Calibri" w:hAnsi="Arial" w:cs="Arial"/>
          <w:bCs/>
          <w:sz w:val="22"/>
          <w:lang w:val="es-ES_tradnl"/>
        </w:rPr>
        <w:t xml:space="preserve">, ya que los efectos </w:t>
      </w:r>
      <w:r w:rsidR="00DB7FEE">
        <w:rPr>
          <w:rFonts w:ascii="Arial" w:eastAsia="Calibri" w:hAnsi="Arial" w:cs="Arial"/>
          <w:bCs/>
          <w:sz w:val="22"/>
          <w:lang w:val="es-ES_tradnl"/>
        </w:rPr>
        <w:t>de la parte dispositiva</w:t>
      </w:r>
      <w:r w:rsidR="007932B8">
        <w:rPr>
          <w:rFonts w:ascii="Arial" w:eastAsia="Calibri" w:hAnsi="Arial" w:cs="Arial"/>
          <w:bCs/>
          <w:sz w:val="22"/>
          <w:lang w:val="es-ES_tradnl"/>
        </w:rPr>
        <w:t xml:space="preserve"> no se ext</w:t>
      </w:r>
      <w:r w:rsidR="00DB7FEE">
        <w:rPr>
          <w:rFonts w:ascii="Arial" w:eastAsia="Calibri" w:hAnsi="Arial" w:cs="Arial"/>
          <w:bCs/>
          <w:sz w:val="22"/>
          <w:lang w:val="es-ES_tradnl"/>
        </w:rPr>
        <w:t>enderían</w:t>
      </w:r>
      <w:r w:rsidR="007932B8">
        <w:rPr>
          <w:rFonts w:ascii="Arial" w:eastAsia="Calibri" w:hAnsi="Arial" w:cs="Arial"/>
          <w:bCs/>
          <w:sz w:val="22"/>
          <w:lang w:val="es-ES_tradnl"/>
        </w:rPr>
        <w:t xml:space="preserve"> a los conceptos de las demás entidades</w:t>
      </w:r>
      <w:r w:rsidR="00E37241">
        <w:rPr>
          <w:rFonts w:ascii="Arial" w:eastAsia="Calibri" w:hAnsi="Arial" w:cs="Arial"/>
          <w:bCs/>
          <w:sz w:val="22"/>
          <w:lang w:val="es-ES_tradnl"/>
        </w:rPr>
        <w:t xml:space="preserve"> del Estado</w:t>
      </w:r>
      <w:r w:rsidR="00DB7FEE">
        <w:rPr>
          <w:rFonts w:ascii="Arial" w:eastAsia="Calibri" w:hAnsi="Arial" w:cs="Arial"/>
          <w:bCs/>
          <w:sz w:val="22"/>
          <w:lang w:val="es-ES_tradnl"/>
        </w:rPr>
        <w:t>.</w:t>
      </w:r>
      <w:r w:rsidR="00DF1513">
        <w:rPr>
          <w:rFonts w:ascii="Arial" w:eastAsia="Calibri" w:hAnsi="Arial" w:cs="Arial"/>
          <w:bCs/>
          <w:sz w:val="22"/>
          <w:lang w:val="es-ES_tradnl"/>
        </w:rPr>
        <w:t xml:space="preserve">  </w:t>
      </w:r>
    </w:p>
    <w:p w14:paraId="4C1766F2" w14:textId="38CC8647" w:rsidR="00027C19" w:rsidRDefault="008B2D49" w:rsidP="0013030F">
      <w:pPr>
        <w:tabs>
          <w:tab w:val="left" w:pos="426"/>
        </w:tabs>
        <w:spacing w:after="120" w:line="276" w:lineRule="auto"/>
        <w:jc w:val="both"/>
        <w:rPr>
          <w:rFonts w:ascii="Arial" w:eastAsia="Calibri" w:hAnsi="Arial" w:cs="Arial"/>
          <w:bCs/>
          <w:sz w:val="22"/>
          <w:lang w:val="es-ES_tradnl"/>
        </w:rPr>
      </w:pPr>
      <w:r w:rsidRPr="008B2D49">
        <w:rPr>
          <w:rFonts w:ascii="Arial" w:eastAsia="Calibri" w:hAnsi="Arial" w:cs="Arial"/>
          <w:bCs/>
          <w:sz w:val="22"/>
          <w:lang w:val="es-ES_tradnl"/>
        </w:rPr>
        <w:tab/>
      </w:r>
      <w:r w:rsidR="005504E8">
        <w:rPr>
          <w:rFonts w:ascii="Arial" w:eastAsia="Calibri" w:hAnsi="Arial" w:cs="Arial"/>
          <w:bCs/>
          <w:sz w:val="22"/>
          <w:lang w:val="es-ES_tradnl"/>
        </w:rPr>
        <w:tab/>
      </w:r>
      <w:r w:rsidR="00F9766C">
        <w:rPr>
          <w:rFonts w:ascii="Arial" w:eastAsia="Calibri" w:hAnsi="Arial" w:cs="Arial"/>
          <w:bCs/>
          <w:sz w:val="22"/>
          <w:lang w:val="es-ES_tradnl"/>
        </w:rPr>
        <w:t>Sin perjuicio de lo anterior</w:t>
      </w:r>
      <w:r w:rsidRPr="008B2D49">
        <w:rPr>
          <w:rFonts w:ascii="Arial" w:eastAsia="Calibri" w:hAnsi="Arial" w:cs="Arial"/>
          <w:bCs/>
          <w:sz w:val="22"/>
          <w:lang w:val="es-ES_tradnl"/>
        </w:rPr>
        <w:t xml:space="preserve">, también consideramos improcedente </w:t>
      </w:r>
      <w:r w:rsidR="00A34468">
        <w:rPr>
          <w:rFonts w:ascii="Arial" w:eastAsia="Calibri" w:hAnsi="Arial" w:cs="Arial"/>
          <w:bCs/>
          <w:sz w:val="22"/>
          <w:lang w:val="es-ES_tradnl"/>
        </w:rPr>
        <w:t>lo expuesto</w:t>
      </w:r>
      <w:r w:rsidRPr="008B2D49">
        <w:rPr>
          <w:rFonts w:ascii="Arial" w:eastAsia="Calibri" w:hAnsi="Arial" w:cs="Arial"/>
          <w:bCs/>
          <w:sz w:val="22"/>
          <w:lang w:val="es-ES_tradnl"/>
        </w:rPr>
        <w:t xml:space="preserve"> en la página </w:t>
      </w:r>
      <w:r>
        <w:rPr>
          <w:rFonts w:ascii="Arial" w:eastAsia="Calibri" w:hAnsi="Arial" w:cs="Arial"/>
          <w:bCs/>
          <w:sz w:val="22"/>
          <w:lang w:val="es-ES_tradnl"/>
        </w:rPr>
        <w:t>11</w:t>
      </w:r>
      <w:r w:rsidR="00886582">
        <w:rPr>
          <w:rFonts w:ascii="Arial" w:eastAsia="Calibri" w:hAnsi="Arial" w:cs="Arial"/>
          <w:bCs/>
          <w:sz w:val="22"/>
          <w:lang w:val="es-ES_tradnl"/>
        </w:rPr>
        <w:t xml:space="preserve"> del escrito </w:t>
      </w:r>
      <w:r w:rsidR="00886582">
        <w:rPr>
          <w:rFonts w:ascii="Arial" w:eastAsia="Calibri" w:hAnsi="Arial" w:cs="Arial"/>
          <w:bCs/>
          <w:i/>
          <w:iCs/>
          <w:sz w:val="22"/>
          <w:lang w:val="es-ES_tradnl"/>
        </w:rPr>
        <w:t>sub examine</w:t>
      </w:r>
      <w:r w:rsidRPr="008B2D49">
        <w:rPr>
          <w:rFonts w:ascii="Arial" w:eastAsia="Calibri" w:hAnsi="Arial" w:cs="Arial"/>
          <w:bCs/>
          <w:sz w:val="22"/>
          <w:lang w:val="es-ES_tradnl"/>
        </w:rPr>
        <w:t xml:space="preserve">, según el cual se pueden aplicar «de manera idéntica» </w:t>
      </w:r>
      <w:r w:rsidR="007E0FB3">
        <w:rPr>
          <w:rFonts w:ascii="Arial" w:eastAsia="Calibri" w:hAnsi="Arial" w:cs="Arial"/>
          <w:bCs/>
          <w:sz w:val="22"/>
          <w:lang w:val="es-ES_tradnl"/>
        </w:rPr>
        <w:t>el argumento arriba transcrito</w:t>
      </w:r>
      <w:r>
        <w:rPr>
          <w:rFonts w:ascii="Arial" w:eastAsia="Calibri" w:hAnsi="Arial" w:cs="Arial"/>
          <w:bCs/>
          <w:sz w:val="22"/>
          <w:lang w:val="es-ES_tradnl"/>
        </w:rPr>
        <w:t xml:space="preserve"> </w:t>
      </w:r>
      <w:r w:rsidRPr="008B2D49">
        <w:rPr>
          <w:rFonts w:ascii="Arial" w:eastAsia="Calibri" w:hAnsi="Arial" w:cs="Arial"/>
          <w:bCs/>
          <w:sz w:val="22"/>
          <w:lang w:val="es-ES_tradnl"/>
        </w:rPr>
        <w:t>al artículo 192 de la Ley 1955 de 2019</w:t>
      </w:r>
      <w:r w:rsidR="007E0FB3">
        <w:rPr>
          <w:rFonts w:ascii="Arial" w:eastAsia="Calibri" w:hAnsi="Arial" w:cs="Arial"/>
          <w:bCs/>
          <w:sz w:val="22"/>
          <w:lang w:val="es-ES_tradnl"/>
        </w:rPr>
        <w:t xml:space="preserve">. </w:t>
      </w:r>
      <w:r w:rsidR="00A34468">
        <w:rPr>
          <w:rFonts w:ascii="Arial" w:eastAsia="Calibri" w:hAnsi="Arial" w:cs="Arial"/>
          <w:bCs/>
          <w:sz w:val="22"/>
          <w:lang w:val="es-ES_tradnl"/>
        </w:rPr>
        <w:t>Al respecto</w:t>
      </w:r>
      <w:r w:rsidR="00027C19">
        <w:rPr>
          <w:rFonts w:ascii="Arial" w:eastAsia="Calibri" w:hAnsi="Arial" w:cs="Arial"/>
          <w:bCs/>
          <w:sz w:val="22"/>
          <w:lang w:val="es-ES_tradnl"/>
        </w:rPr>
        <w:t xml:space="preserve">, se observa el siguiente </w:t>
      </w:r>
      <w:r w:rsidR="006F5CE1">
        <w:rPr>
          <w:rFonts w:ascii="Arial" w:eastAsia="Calibri" w:hAnsi="Arial" w:cs="Arial"/>
          <w:bCs/>
          <w:sz w:val="22"/>
          <w:lang w:val="es-ES_tradnl"/>
        </w:rPr>
        <w:t>razonamiento</w:t>
      </w:r>
      <w:r w:rsidR="00027C19">
        <w:rPr>
          <w:rFonts w:ascii="Arial" w:eastAsia="Calibri" w:hAnsi="Arial" w:cs="Arial"/>
          <w:bCs/>
          <w:sz w:val="22"/>
          <w:lang w:val="es-ES_tradnl"/>
        </w:rPr>
        <w:t>:</w:t>
      </w:r>
    </w:p>
    <w:p w14:paraId="59BA6DCB" w14:textId="77777777" w:rsidR="00027C19" w:rsidRDefault="00027C19" w:rsidP="00027C19">
      <w:pPr>
        <w:tabs>
          <w:tab w:val="left" w:pos="709"/>
        </w:tabs>
        <w:ind w:left="709" w:right="709"/>
        <w:jc w:val="both"/>
        <w:rPr>
          <w:rFonts w:ascii="Arial" w:eastAsia="Calibri" w:hAnsi="Arial" w:cs="Arial"/>
          <w:bCs/>
          <w:sz w:val="21"/>
          <w:szCs w:val="21"/>
          <w:lang w:val="es-ES_tradnl"/>
        </w:rPr>
      </w:pPr>
    </w:p>
    <w:p w14:paraId="67CAFC74" w14:textId="2DB4F61B" w:rsidR="00027C19" w:rsidRPr="00027C19" w:rsidRDefault="00027C19" w:rsidP="00027C19">
      <w:pPr>
        <w:tabs>
          <w:tab w:val="left" w:pos="709"/>
        </w:tabs>
        <w:ind w:left="709" w:right="709"/>
        <w:jc w:val="both"/>
        <w:rPr>
          <w:rFonts w:ascii="Arial" w:eastAsia="Calibri" w:hAnsi="Arial" w:cs="Arial"/>
          <w:bCs/>
          <w:sz w:val="21"/>
          <w:szCs w:val="21"/>
          <w:lang w:val="es-ES_tradnl"/>
        </w:rPr>
      </w:pPr>
      <w:r w:rsidRPr="00027C19">
        <w:rPr>
          <w:rFonts w:ascii="Arial" w:eastAsia="Calibri" w:hAnsi="Arial" w:cs="Arial"/>
          <w:bCs/>
          <w:sz w:val="21"/>
          <w:szCs w:val="21"/>
          <w:lang w:val="es-ES_tradnl"/>
        </w:rPr>
        <w:t>De esta forma es claro que</w:t>
      </w:r>
      <w:r>
        <w:rPr>
          <w:rFonts w:ascii="Arial" w:eastAsia="Calibri" w:hAnsi="Arial" w:cs="Arial"/>
          <w:bCs/>
          <w:sz w:val="21"/>
          <w:szCs w:val="21"/>
          <w:lang w:val="es-ES_tradnl"/>
        </w:rPr>
        <w:t xml:space="preserve">, </w:t>
      </w:r>
      <w:r w:rsidRPr="00027C19">
        <w:rPr>
          <w:rFonts w:ascii="Arial" w:eastAsia="Calibri" w:hAnsi="Arial" w:cs="Arial"/>
          <w:bCs/>
          <w:sz w:val="21"/>
          <w:szCs w:val="21"/>
          <w:lang w:val="es-ES_tradnl"/>
        </w:rPr>
        <w:t xml:space="preserve">el artículo 192 de la ley 1955 de 2019, tampoco regula la materia específica de la ingeniería ni de la contratación pública </w:t>
      </w:r>
      <w:r>
        <w:rPr>
          <w:rFonts w:ascii="Arial" w:eastAsia="Calibri" w:hAnsi="Arial" w:cs="Arial"/>
          <w:bCs/>
          <w:sz w:val="21"/>
          <w:szCs w:val="21"/>
          <w:lang w:val="es-ES_tradnl"/>
        </w:rPr>
        <w:t>−</w:t>
      </w:r>
      <w:r w:rsidRPr="00027C19">
        <w:rPr>
          <w:rFonts w:ascii="Arial" w:eastAsia="Calibri" w:hAnsi="Arial" w:cs="Arial"/>
          <w:bCs/>
          <w:sz w:val="21"/>
          <w:szCs w:val="21"/>
          <w:lang w:val="es-ES_tradnl"/>
        </w:rPr>
        <w:t>qué le permite computar experiencia en temas contractuales de una manera diferente</w:t>
      </w:r>
      <w:r>
        <w:rPr>
          <w:rFonts w:ascii="Arial" w:eastAsia="Calibri" w:hAnsi="Arial" w:cs="Arial"/>
          <w:bCs/>
          <w:sz w:val="21"/>
          <w:szCs w:val="21"/>
          <w:lang w:val="es-ES_tradnl"/>
        </w:rPr>
        <w:t>−</w:t>
      </w:r>
      <w:r w:rsidRPr="00027C19">
        <w:rPr>
          <w:rFonts w:ascii="Arial" w:eastAsia="Calibri" w:hAnsi="Arial" w:cs="Arial"/>
          <w:bCs/>
          <w:sz w:val="21"/>
          <w:szCs w:val="21"/>
          <w:lang w:val="es-ES_tradnl"/>
        </w:rPr>
        <w:t xml:space="preserve">, como ocurrió con el Decreto Legislativo 19 2012; siendo en consecuencia, aplicable de manera idéntica, los argumentos expuestos por el </w:t>
      </w:r>
      <w:r>
        <w:rPr>
          <w:rFonts w:ascii="Arial" w:eastAsia="Calibri" w:hAnsi="Arial" w:cs="Arial"/>
          <w:bCs/>
          <w:sz w:val="21"/>
          <w:szCs w:val="21"/>
          <w:lang w:val="es-ES_tradnl"/>
        </w:rPr>
        <w:t>H</w:t>
      </w:r>
      <w:r w:rsidRPr="00027C19">
        <w:rPr>
          <w:rFonts w:ascii="Arial" w:eastAsia="Calibri" w:hAnsi="Arial" w:cs="Arial"/>
          <w:bCs/>
          <w:sz w:val="21"/>
          <w:szCs w:val="21"/>
          <w:lang w:val="es-ES_tradnl"/>
        </w:rPr>
        <w:t xml:space="preserve"> Consejo de Estado en el análisis de legalidad que realizó sobre la norma contenida en el artículo 229 del decreto ley 19 de 2012</w:t>
      </w:r>
      <w:r w:rsidR="006F5CE1">
        <w:rPr>
          <w:rFonts w:ascii="Arial" w:eastAsia="Calibri" w:hAnsi="Arial" w:cs="Arial"/>
          <w:bCs/>
          <w:sz w:val="21"/>
          <w:szCs w:val="21"/>
          <w:lang w:val="es-ES_tradnl"/>
        </w:rPr>
        <w:t>.</w:t>
      </w:r>
    </w:p>
    <w:p w14:paraId="5321C9B5" w14:textId="77777777" w:rsidR="00027C19" w:rsidRDefault="00027C19" w:rsidP="006C38E8">
      <w:pPr>
        <w:tabs>
          <w:tab w:val="left" w:pos="709"/>
        </w:tabs>
        <w:jc w:val="both"/>
        <w:rPr>
          <w:rFonts w:ascii="Arial" w:eastAsia="Calibri" w:hAnsi="Arial" w:cs="Arial"/>
          <w:bCs/>
          <w:sz w:val="22"/>
          <w:lang w:val="es-ES_tradnl"/>
        </w:rPr>
      </w:pPr>
    </w:p>
    <w:p w14:paraId="7F0BD5A7" w14:textId="378BCA69" w:rsidR="008B2D49" w:rsidRDefault="006F5CE1" w:rsidP="001946FB">
      <w:pPr>
        <w:tabs>
          <w:tab w:val="left" w:pos="709"/>
        </w:tabs>
        <w:spacing w:line="276" w:lineRule="auto"/>
        <w:jc w:val="both"/>
        <w:rPr>
          <w:rFonts w:ascii="Arial" w:eastAsia="Calibri" w:hAnsi="Arial" w:cs="Arial"/>
          <w:bCs/>
          <w:sz w:val="22"/>
          <w:lang w:val="es-ES_tradnl"/>
        </w:rPr>
      </w:pPr>
      <w:r>
        <w:rPr>
          <w:rFonts w:ascii="Arial" w:eastAsia="Calibri" w:hAnsi="Arial" w:cs="Arial"/>
          <w:bCs/>
          <w:sz w:val="22"/>
          <w:lang w:val="es-ES_tradnl"/>
        </w:rPr>
        <w:lastRenderedPageBreak/>
        <w:tab/>
        <w:t>Lo anterior es una</w:t>
      </w:r>
      <w:r w:rsidR="008B2D49" w:rsidRPr="008B2D49">
        <w:rPr>
          <w:rFonts w:ascii="Arial" w:eastAsia="Calibri" w:hAnsi="Arial" w:cs="Arial"/>
          <w:bCs/>
          <w:sz w:val="22"/>
          <w:lang w:val="es-ES_tradnl"/>
        </w:rPr>
        <w:t xml:space="preserve"> suposici</w:t>
      </w:r>
      <w:r>
        <w:rPr>
          <w:rFonts w:ascii="Arial" w:eastAsia="Calibri" w:hAnsi="Arial" w:cs="Arial"/>
          <w:bCs/>
          <w:sz w:val="22"/>
          <w:lang w:val="es-ES_tradnl"/>
        </w:rPr>
        <w:t>ón</w:t>
      </w:r>
      <w:r w:rsidR="008B2D49" w:rsidRPr="008B2D49">
        <w:rPr>
          <w:rFonts w:ascii="Arial" w:eastAsia="Calibri" w:hAnsi="Arial" w:cs="Arial"/>
          <w:bCs/>
          <w:sz w:val="22"/>
          <w:lang w:val="es-ES_tradnl"/>
        </w:rPr>
        <w:t xml:space="preserve"> </w:t>
      </w:r>
      <w:r>
        <w:rPr>
          <w:rFonts w:ascii="Arial" w:eastAsia="Calibri" w:hAnsi="Arial" w:cs="Arial"/>
          <w:bCs/>
          <w:sz w:val="22"/>
          <w:lang w:val="es-ES_tradnl"/>
        </w:rPr>
        <w:t>respecto a</w:t>
      </w:r>
      <w:r w:rsidR="008B2D49" w:rsidRPr="008B2D49">
        <w:rPr>
          <w:rFonts w:ascii="Arial" w:eastAsia="Calibri" w:hAnsi="Arial" w:cs="Arial"/>
          <w:bCs/>
          <w:sz w:val="22"/>
          <w:lang w:val="es-ES_tradnl"/>
        </w:rPr>
        <w:t xml:space="preserve"> los efectos del auto </w:t>
      </w:r>
      <w:r>
        <w:rPr>
          <w:rFonts w:ascii="Arial" w:eastAsia="Calibri" w:hAnsi="Arial" w:cs="Arial"/>
          <w:bCs/>
          <w:sz w:val="22"/>
          <w:lang w:val="es-ES_tradnl"/>
        </w:rPr>
        <w:t>d</w:t>
      </w:r>
      <w:r w:rsidR="008B2D49" w:rsidRPr="008B2D49">
        <w:rPr>
          <w:rFonts w:ascii="Arial" w:eastAsia="Calibri" w:hAnsi="Arial" w:cs="Arial"/>
          <w:bCs/>
          <w:sz w:val="22"/>
          <w:lang w:val="es-ES_tradnl"/>
        </w:rPr>
        <w:t>el Consejo de Estado</w:t>
      </w:r>
      <w:r w:rsidR="008B2D49">
        <w:rPr>
          <w:rFonts w:ascii="Arial" w:eastAsia="Calibri" w:hAnsi="Arial" w:cs="Arial"/>
          <w:bCs/>
          <w:sz w:val="22"/>
          <w:lang w:val="es-ES_tradnl"/>
        </w:rPr>
        <w:t xml:space="preserve">, pues la </w:t>
      </w:r>
      <w:r w:rsidR="007E0FB3">
        <w:rPr>
          <w:rFonts w:ascii="Arial" w:eastAsia="Calibri" w:hAnsi="Arial" w:cs="Arial"/>
          <w:bCs/>
          <w:sz w:val="22"/>
          <w:lang w:val="es-ES_tradnl"/>
        </w:rPr>
        <w:t>providencia</w:t>
      </w:r>
      <w:r w:rsidR="008B2D49">
        <w:rPr>
          <w:rFonts w:ascii="Arial" w:eastAsia="Calibri" w:hAnsi="Arial" w:cs="Arial"/>
          <w:bCs/>
          <w:sz w:val="22"/>
          <w:lang w:val="es-ES_tradnl"/>
        </w:rPr>
        <w:t xml:space="preserve">, además de </w:t>
      </w:r>
      <w:r w:rsidR="006D6359">
        <w:rPr>
          <w:rFonts w:ascii="Arial" w:eastAsia="Calibri" w:hAnsi="Arial" w:cs="Arial"/>
          <w:bCs/>
          <w:sz w:val="22"/>
          <w:lang w:val="es-ES_tradnl"/>
        </w:rPr>
        <w:t>que no es</w:t>
      </w:r>
      <w:r w:rsidR="008B2D49">
        <w:rPr>
          <w:rFonts w:ascii="Arial" w:eastAsia="Calibri" w:hAnsi="Arial" w:cs="Arial"/>
          <w:bCs/>
          <w:sz w:val="22"/>
          <w:lang w:val="es-ES_tradnl"/>
        </w:rPr>
        <w:t xml:space="preserve"> definitiva, nada dijo sobre </w:t>
      </w:r>
      <w:r w:rsidR="00B15358">
        <w:rPr>
          <w:rFonts w:ascii="Arial" w:eastAsia="Calibri" w:hAnsi="Arial" w:cs="Arial"/>
          <w:bCs/>
          <w:sz w:val="22"/>
          <w:lang w:val="es-ES_tradnl"/>
        </w:rPr>
        <w:t>dicho artículo, lo que impide</w:t>
      </w:r>
      <w:r w:rsidR="00D12510">
        <w:rPr>
          <w:rFonts w:ascii="Arial" w:eastAsia="Calibri" w:hAnsi="Arial" w:cs="Arial"/>
          <w:bCs/>
          <w:sz w:val="22"/>
          <w:lang w:val="es-ES_tradnl"/>
        </w:rPr>
        <w:t xml:space="preserve"> </w:t>
      </w:r>
      <w:r>
        <w:rPr>
          <w:rFonts w:ascii="Arial" w:eastAsia="Calibri" w:hAnsi="Arial" w:cs="Arial"/>
          <w:bCs/>
          <w:sz w:val="22"/>
          <w:lang w:val="es-ES_tradnl"/>
        </w:rPr>
        <w:t>extender la argumentación</w:t>
      </w:r>
      <w:r w:rsidR="00B15358">
        <w:rPr>
          <w:rFonts w:ascii="Arial" w:eastAsia="Calibri" w:hAnsi="Arial" w:cs="Arial"/>
          <w:bCs/>
          <w:sz w:val="22"/>
          <w:lang w:val="es-ES_tradnl"/>
        </w:rPr>
        <w:t xml:space="preserve"> en relación con </w:t>
      </w:r>
      <w:r w:rsidR="00D12510">
        <w:rPr>
          <w:rFonts w:ascii="Arial" w:eastAsia="Calibri" w:hAnsi="Arial" w:cs="Arial"/>
          <w:bCs/>
          <w:sz w:val="22"/>
          <w:lang w:val="es-ES_tradnl"/>
        </w:rPr>
        <w:t>el artículo 192 de la Ley 1955</w:t>
      </w:r>
      <w:r w:rsidR="008B2D49" w:rsidRPr="008B2D49">
        <w:rPr>
          <w:rFonts w:ascii="Arial" w:eastAsia="Calibri" w:hAnsi="Arial" w:cs="Arial"/>
          <w:bCs/>
          <w:sz w:val="22"/>
          <w:lang w:val="es-ES_tradnl"/>
        </w:rPr>
        <w:t>.</w:t>
      </w:r>
      <w:r w:rsidR="00027C19">
        <w:rPr>
          <w:rFonts w:ascii="Arial" w:eastAsia="Calibri" w:hAnsi="Arial" w:cs="Arial"/>
          <w:bCs/>
          <w:sz w:val="22"/>
          <w:lang w:val="es-ES_tradnl"/>
        </w:rPr>
        <w:t xml:space="preserve"> Además, vale la pena insistir en que no es cierto que el Consejo de Estado </w:t>
      </w:r>
      <w:r w:rsidR="006D6359">
        <w:rPr>
          <w:rFonts w:ascii="Arial" w:eastAsia="Calibri" w:hAnsi="Arial" w:cs="Arial"/>
          <w:bCs/>
          <w:sz w:val="22"/>
          <w:lang w:val="es-ES_tradnl"/>
        </w:rPr>
        <w:t>estudiara</w:t>
      </w:r>
      <w:r w:rsidR="00027C19">
        <w:rPr>
          <w:rFonts w:ascii="Arial" w:eastAsia="Calibri" w:hAnsi="Arial" w:cs="Arial"/>
          <w:bCs/>
          <w:sz w:val="22"/>
          <w:lang w:val="es-ES_tradnl"/>
        </w:rPr>
        <w:t xml:space="preserve"> la legalidad del artículo 229 del Decreto </w:t>
      </w:r>
      <w:r w:rsidR="00F9766C">
        <w:rPr>
          <w:rFonts w:ascii="Arial" w:eastAsia="Calibri" w:hAnsi="Arial" w:cs="Arial"/>
          <w:bCs/>
          <w:sz w:val="22"/>
          <w:lang w:val="es-ES_tradnl"/>
        </w:rPr>
        <w:t>0</w:t>
      </w:r>
      <w:r w:rsidR="00027C19">
        <w:rPr>
          <w:rFonts w:ascii="Arial" w:eastAsia="Calibri" w:hAnsi="Arial" w:cs="Arial"/>
          <w:bCs/>
          <w:sz w:val="22"/>
          <w:lang w:val="es-ES_tradnl"/>
        </w:rPr>
        <w:t>19 de 2012.</w:t>
      </w:r>
    </w:p>
    <w:p w14:paraId="19869909" w14:textId="422CD377" w:rsidR="00D1707F" w:rsidRPr="00A05DA6" w:rsidRDefault="00027C19" w:rsidP="00D54ABC">
      <w:pPr>
        <w:tabs>
          <w:tab w:val="left" w:pos="709"/>
        </w:tabs>
        <w:spacing w:before="120" w:line="276" w:lineRule="auto"/>
        <w:jc w:val="both"/>
        <w:rPr>
          <w:rFonts w:ascii="Arial" w:eastAsia="Calibri" w:hAnsi="Arial" w:cs="Arial"/>
          <w:b/>
          <w:sz w:val="22"/>
          <w:lang w:val="es-ES_tradnl"/>
        </w:rPr>
      </w:pPr>
      <w:r>
        <w:rPr>
          <w:rFonts w:ascii="Arial" w:eastAsia="Calibri" w:hAnsi="Arial" w:cs="Arial"/>
          <w:bCs/>
          <w:sz w:val="22"/>
          <w:lang w:val="es-ES_tradnl"/>
        </w:rPr>
        <w:tab/>
      </w:r>
      <w:r w:rsidR="00D12510">
        <w:rPr>
          <w:rFonts w:ascii="Arial" w:eastAsia="Calibri" w:hAnsi="Arial" w:cs="Arial"/>
          <w:bCs/>
          <w:sz w:val="22"/>
          <w:lang w:val="es-ES_tradnl"/>
        </w:rPr>
        <w:t>En</w:t>
      </w:r>
      <w:r>
        <w:rPr>
          <w:rFonts w:ascii="Arial" w:eastAsia="Calibri" w:hAnsi="Arial" w:cs="Arial"/>
          <w:bCs/>
          <w:sz w:val="22"/>
          <w:lang w:val="es-ES_tradnl"/>
        </w:rPr>
        <w:t xml:space="preserve"> conclusión, l</w:t>
      </w:r>
      <w:r w:rsidR="00D12510">
        <w:rPr>
          <w:rFonts w:ascii="Arial" w:eastAsia="Calibri" w:hAnsi="Arial" w:cs="Arial"/>
          <w:bCs/>
          <w:sz w:val="22"/>
          <w:lang w:val="es-ES_tradnl"/>
        </w:rPr>
        <w:t>os</w:t>
      </w:r>
      <w:r>
        <w:rPr>
          <w:rFonts w:ascii="Arial" w:eastAsia="Calibri" w:hAnsi="Arial" w:cs="Arial"/>
          <w:bCs/>
          <w:sz w:val="22"/>
          <w:lang w:val="es-ES_tradnl"/>
        </w:rPr>
        <w:t xml:space="preserve"> argumento</w:t>
      </w:r>
      <w:r w:rsidR="00D12510">
        <w:rPr>
          <w:rFonts w:ascii="Arial" w:eastAsia="Calibri" w:hAnsi="Arial" w:cs="Arial"/>
          <w:bCs/>
          <w:sz w:val="22"/>
          <w:lang w:val="es-ES_tradnl"/>
        </w:rPr>
        <w:t>s</w:t>
      </w:r>
      <w:r>
        <w:rPr>
          <w:rFonts w:ascii="Arial" w:eastAsia="Calibri" w:hAnsi="Arial" w:cs="Arial"/>
          <w:bCs/>
          <w:sz w:val="22"/>
          <w:lang w:val="es-ES_tradnl"/>
        </w:rPr>
        <w:t xml:space="preserve"> expuesto</w:t>
      </w:r>
      <w:r w:rsidR="00D12510">
        <w:rPr>
          <w:rFonts w:ascii="Arial" w:eastAsia="Calibri" w:hAnsi="Arial" w:cs="Arial"/>
          <w:bCs/>
          <w:sz w:val="22"/>
          <w:lang w:val="es-ES_tradnl"/>
        </w:rPr>
        <w:t>s</w:t>
      </w:r>
      <w:r>
        <w:rPr>
          <w:rFonts w:ascii="Arial" w:eastAsia="Calibri" w:hAnsi="Arial" w:cs="Arial"/>
          <w:bCs/>
          <w:sz w:val="22"/>
          <w:lang w:val="es-ES_tradnl"/>
        </w:rPr>
        <w:t xml:space="preserve"> tampoco </w:t>
      </w:r>
      <w:r w:rsidR="00EB6755">
        <w:rPr>
          <w:rFonts w:ascii="Arial" w:eastAsia="Calibri" w:hAnsi="Arial" w:cs="Arial"/>
          <w:bCs/>
          <w:sz w:val="22"/>
          <w:lang w:val="es-ES_tradnl"/>
        </w:rPr>
        <w:t>sería</w:t>
      </w:r>
      <w:r w:rsidR="00D12510">
        <w:rPr>
          <w:rFonts w:ascii="Arial" w:eastAsia="Calibri" w:hAnsi="Arial" w:cs="Arial"/>
          <w:bCs/>
          <w:sz w:val="22"/>
          <w:lang w:val="es-ES_tradnl"/>
        </w:rPr>
        <w:t>n</w:t>
      </w:r>
      <w:r w:rsidR="00EB6755">
        <w:rPr>
          <w:rFonts w:ascii="Arial" w:eastAsia="Calibri" w:hAnsi="Arial" w:cs="Arial"/>
          <w:bCs/>
          <w:sz w:val="22"/>
          <w:lang w:val="es-ES_tradnl"/>
        </w:rPr>
        <w:t xml:space="preserve"> </w:t>
      </w:r>
      <w:r w:rsidR="00D12510">
        <w:rPr>
          <w:rFonts w:ascii="Arial" w:eastAsia="Calibri" w:hAnsi="Arial" w:cs="Arial"/>
          <w:bCs/>
          <w:sz w:val="22"/>
          <w:lang w:val="es-ES_tradnl"/>
        </w:rPr>
        <w:t>suficientes</w:t>
      </w:r>
      <w:r>
        <w:rPr>
          <w:rFonts w:ascii="Arial" w:eastAsia="Calibri" w:hAnsi="Arial" w:cs="Arial"/>
          <w:bCs/>
          <w:sz w:val="22"/>
          <w:lang w:val="es-ES_tradnl"/>
        </w:rPr>
        <w:t xml:space="preserve"> para acceder a la petición de revocar los conceptos, por un lado, porque </w:t>
      </w:r>
      <w:r w:rsidR="00D12510">
        <w:rPr>
          <w:rFonts w:ascii="Arial" w:eastAsia="Calibri" w:hAnsi="Arial" w:cs="Arial"/>
          <w:bCs/>
          <w:sz w:val="22"/>
          <w:lang w:val="es-ES_tradnl"/>
        </w:rPr>
        <w:t>los mismos</w:t>
      </w:r>
      <w:r>
        <w:rPr>
          <w:rFonts w:ascii="Arial" w:eastAsia="Calibri" w:hAnsi="Arial" w:cs="Arial"/>
          <w:bCs/>
          <w:sz w:val="22"/>
          <w:lang w:val="es-ES_tradnl"/>
        </w:rPr>
        <w:t xml:space="preserve"> supone</w:t>
      </w:r>
      <w:r w:rsidR="00D12510">
        <w:rPr>
          <w:rFonts w:ascii="Arial" w:eastAsia="Calibri" w:hAnsi="Arial" w:cs="Arial"/>
          <w:bCs/>
          <w:sz w:val="22"/>
          <w:lang w:val="es-ES_tradnl"/>
        </w:rPr>
        <w:t>n</w:t>
      </w:r>
      <w:r>
        <w:rPr>
          <w:rFonts w:ascii="Arial" w:eastAsia="Calibri" w:hAnsi="Arial" w:cs="Arial"/>
          <w:bCs/>
          <w:sz w:val="22"/>
          <w:lang w:val="es-ES_tradnl"/>
        </w:rPr>
        <w:t xml:space="preserve"> que el Consejo de Estado resolvió cuestiones </w:t>
      </w:r>
      <w:r w:rsidR="00D12510">
        <w:rPr>
          <w:rFonts w:ascii="Arial" w:eastAsia="Calibri" w:hAnsi="Arial" w:cs="Arial"/>
          <w:bCs/>
          <w:sz w:val="22"/>
          <w:lang w:val="es-ES_tradnl"/>
        </w:rPr>
        <w:t>sobre las que no se pronunció</w:t>
      </w:r>
      <w:r w:rsidR="005945EA">
        <w:rPr>
          <w:rFonts w:ascii="Arial" w:eastAsia="Calibri" w:hAnsi="Arial" w:cs="Arial"/>
          <w:bCs/>
          <w:sz w:val="22"/>
          <w:lang w:val="es-ES_tradnl"/>
        </w:rPr>
        <w:t>;</w:t>
      </w:r>
      <w:r>
        <w:rPr>
          <w:rFonts w:ascii="Arial" w:eastAsia="Calibri" w:hAnsi="Arial" w:cs="Arial"/>
          <w:bCs/>
          <w:sz w:val="22"/>
          <w:lang w:val="es-ES_tradnl"/>
        </w:rPr>
        <w:t xml:space="preserve"> segundo, porque, la </w:t>
      </w:r>
      <w:r w:rsidR="00171AA5">
        <w:rPr>
          <w:rFonts w:ascii="Arial" w:eastAsia="Calibri" w:hAnsi="Arial" w:cs="Arial"/>
          <w:bCs/>
          <w:sz w:val="22"/>
          <w:lang w:val="es-ES_tradnl"/>
        </w:rPr>
        <w:t xml:space="preserve">medida provisional, </w:t>
      </w:r>
      <w:r w:rsidR="00E161D2">
        <w:rPr>
          <w:rFonts w:ascii="Arial" w:eastAsia="Calibri" w:hAnsi="Arial" w:cs="Arial"/>
          <w:bCs/>
          <w:sz w:val="22"/>
          <w:lang w:val="es-ES_tradnl"/>
        </w:rPr>
        <w:t xml:space="preserve">además </w:t>
      </w:r>
      <w:r w:rsidR="00171AA5">
        <w:rPr>
          <w:rFonts w:ascii="Arial" w:eastAsia="Calibri" w:hAnsi="Arial" w:cs="Arial"/>
          <w:bCs/>
          <w:sz w:val="22"/>
          <w:lang w:val="es-ES_tradnl"/>
        </w:rPr>
        <w:t>de tener carácter temporal</w:t>
      </w:r>
      <w:r w:rsidR="002F2852">
        <w:rPr>
          <w:rFonts w:ascii="Arial" w:eastAsia="Calibri" w:hAnsi="Arial" w:cs="Arial"/>
          <w:bCs/>
          <w:sz w:val="22"/>
          <w:lang w:val="es-ES_tradnl"/>
        </w:rPr>
        <w:t xml:space="preserve"> y no implica prejuzgamiento</w:t>
      </w:r>
      <w:r w:rsidR="00171AA5">
        <w:rPr>
          <w:rFonts w:ascii="Arial" w:eastAsia="Calibri" w:hAnsi="Arial" w:cs="Arial"/>
          <w:bCs/>
          <w:sz w:val="22"/>
          <w:lang w:val="es-ES_tradnl"/>
        </w:rPr>
        <w:t>,</w:t>
      </w:r>
      <w:r w:rsidR="00E161D2">
        <w:rPr>
          <w:rFonts w:ascii="Arial" w:eastAsia="Calibri" w:hAnsi="Arial" w:cs="Arial"/>
          <w:bCs/>
          <w:sz w:val="22"/>
          <w:lang w:val="es-ES_tradnl"/>
        </w:rPr>
        <w:t xml:space="preserve"> solo produce efectos en el caso concreto sometido a litigio</w:t>
      </w:r>
      <w:r w:rsidR="005945EA">
        <w:rPr>
          <w:rFonts w:ascii="Arial" w:eastAsia="Calibri" w:hAnsi="Arial" w:cs="Arial"/>
          <w:bCs/>
          <w:sz w:val="22"/>
          <w:lang w:val="es-ES_tradnl"/>
        </w:rPr>
        <w:t>;</w:t>
      </w:r>
      <w:r w:rsidR="00510AAC">
        <w:rPr>
          <w:rFonts w:ascii="Arial" w:eastAsia="Calibri" w:hAnsi="Arial" w:cs="Arial"/>
          <w:bCs/>
          <w:sz w:val="22"/>
          <w:lang w:val="es-ES_tradnl"/>
        </w:rPr>
        <w:t xml:space="preserve"> y, </w:t>
      </w:r>
      <w:r w:rsidR="005945EA">
        <w:rPr>
          <w:rFonts w:ascii="Arial" w:eastAsia="Calibri" w:hAnsi="Arial" w:cs="Arial"/>
          <w:bCs/>
          <w:sz w:val="22"/>
          <w:lang w:val="es-ES_tradnl"/>
        </w:rPr>
        <w:t>finalmente</w:t>
      </w:r>
      <w:r w:rsidR="00510AAC" w:rsidRPr="00A05DA6">
        <w:rPr>
          <w:rFonts w:ascii="Arial" w:eastAsia="Calibri" w:hAnsi="Arial" w:cs="Arial"/>
          <w:bCs/>
          <w:sz w:val="22"/>
          <w:lang w:val="es-ES_tradnl"/>
        </w:rPr>
        <w:t>,</w:t>
      </w:r>
      <w:r w:rsidR="00F9766C">
        <w:rPr>
          <w:rFonts w:ascii="Arial" w:eastAsia="Calibri" w:hAnsi="Arial" w:cs="Arial"/>
          <w:bCs/>
          <w:sz w:val="22"/>
          <w:lang w:val="es-ES_tradnl"/>
        </w:rPr>
        <w:t xml:space="preserve"> </w:t>
      </w:r>
      <w:r w:rsidR="005945EA">
        <w:rPr>
          <w:rFonts w:ascii="Arial" w:eastAsia="Calibri" w:hAnsi="Arial" w:cs="Arial"/>
          <w:bCs/>
          <w:sz w:val="22"/>
          <w:lang w:val="es-ES_tradnl"/>
        </w:rPr>
        <w:t xml:space="preserve">porque </w:t>
      </w:r>
      <w:r w:rsidR="00E161D2">
        <w:rPr>
          <w:rFonts w:ascii="Arial" w:eastAsia="Calibri" w:hAnsi="Arial" w:cs="Arial"/>
          <w:bCs/>
          <w:sz w:val="22"/>
          <w:lang w:val="es-ES_tradnl"/>
        </w:rPr>
        <w:t>con una eventual sentencia favorable</w:t>
      </w:r>
      <w:r w:rsidR="00F9766C">
        <w:rPr>
          <w:rFonts w:ascii="Arial" w:eastAsia="Calibri" w:hAnsi="Arial" w:cs="Arial"/>
          <w:bCs/>
          <w:sz w:val="22"/>
          <w:lang w:val="es-ES_tradnl"/>
        </w:rPr>
        <w:t>,</w:t>
      </w:r>
      <w:r w:rsidR="00171AA5" w:rsidRPr="00171AA5">
        <w:rPr>
          <w:rFonts w:ascii="Arial" w:eastAsia="Calibri" w:hAnsi="Arial" w:cs="Arial"/>
          <w:bCs/>
          <w:sz w:val="22"/>
          <w:lang w:val="es-ES_tradnl"/>
        </w:rPr>
        <w:t xml:space="preserve"> </w:t>
      </w:r>
      <w:r w:rsidR="00171AA5">
        <w:rPr>
          <w:rFonts w:ascii="Arial" w:eastAsia="Calibri" w:hAnsi="Arial" w:cs="Arial"/>
          <w:bCs/>
          <w:sz w:val="22"/>
          <w:lang w:val="es-ES_tradnl"/>
        </w:rPr>
        <w:t>las autoridades podrían separarse de la argumentación, ya que los efectos de la parte dispositiva no se extenderían a los conceptos de las demás entidades del Estado</w:t>
      </w:r>
      <w:r w:rsidR="009C3898" w:rsidRPr="00A05DA6">
        <w:rPr>
          <w:rFonts w:ascii="Arial" w:eastAsia="Calibri" w:hAnsi="Arial" w:cs="Arial"/>
          <w:bCs/>
          <w:sz w:val="22"/>
          <w:lang w:val="es-ES_tradnl"/>
        </w:rPr>
        <w:t>.</w:t>
      </w:r>
    </w:p>
    <w:p w14:paraId="0392D033" w14:textId="77777777" w:rsidR="006C3AA8" w:rsidRPr="00A05DA6" w:rsidRDefault="006C3AA8" w:rsidP="00C54360">
      <w:pPr>
        <w:tabs>
          <w:tab w:val="left" w:pos="426"/>
        </w:tabs>
        <w:spacing w:line="276" w:lineRule="auto"/>
        <w:jc w:val="both"/>
        <w:rPr>
          <w:rFonts w:ascii="Arial" w:eastAsia="Calibri" w:hAnsi="Arial" w:cs="Arial"/>
          <w:b/>
          <w:sz w:val="22"/>
          <w:lang w:val="es-ES_tradnl"/>
        </w:rPr>
      </w:pPr>
    </w:p>
    <w:p w14:paraId="75E30365" w14:textId="7E2796B3" w:rsidR="006C3AA8" w:rsidRPr="00A05DA6" w:rsidRDefault="006C3AA8" w:rsidP="00C54360">
      <w:pPr>
        <w:tabs>
          <w:tab w:val="left" w:pos="426"/>
        </w:tabs>
        <w:spacing w:line="276" w:lineRule="auto"/>
        <w:jc w:val="both"/>
        <w:rPr>
          <w:rFonts w:ascii="Arial" w:eastAsia="Calibri" w:hAnsi="Arial" w:cs="Arial"/>
          <w:b/>
          <w:sz w:val="22"/>
          <w:lang w:val="es-ES_tradnl"/>
        </w:rPr>
      </w:pPr>
      <w:r w:rsidRPr="00A05DA6">
        <w:rPr>
          <w:rFonts w:ascii="Arial" w:eastAsia="Calibri" w:hAnsi="Arial" w:cs="Arial"/>
          <w:b/>
          <w:sz w:val="22"/>
          <w:lang w:val="es-ES_tradnl"/>
        </w:rPr>
        <w:t>2.</w:t>
      </w:r>
      <w:r w:rsidR="00127FB4">
        <w:rPr>
          <w:rFonts w:ascii="Arial" w:eastAsia="Calibri" w:hAnsi="Arial" w:cs="Arial"/>
          <w:b/>
          <w:sz w:val="22"/>
          <w:lang w:val="es-ES_tradnl"/>
        </w:rPr>
        <w:t>2</w:t>
      </w:r>
      <w:r w:rsidRPr="00A05DA6">
        <w:rPr>
          <w:rFonts w:ascii="Arial" w:eastAsia="Calibri" w:hAnsi="Arial" w:cs="Arial"/>
          <w:b/>
          <w:sz w:val="22"/>
          <w:lang w:val="es-ES_tradnl"/>
        </w:rPr>
        <w:t xml:space="preserve">.3. La </w:t>
      </w:r>
      <w:r w:rsidR="00713821">
        <w:rPr>
          <w:rFonts w:ascii="Arial" w:eastAsia="Calibri" w:hAnsi="Arial" w:cs="Arial"/>
          <w:b/>
          <w:sz w:val="22"/>
          <w:lang w:val="es-ES_tradnl"/>
        </w:rPr>
        <w:t>coherencia</w:t>
      </w:r>
      <w:r w:rsidR="00713821" w:rsidRPr="00A05DA6">
        <w:rPr>
          <w:rFonts w:ascii="Arial" w:eastAsia="Calibri" w:hAnsi="Arial" w:cs="Arial"/>
          <w:b/>
          <w:sz w:val="22"/>
          <w:lang w:val="es-ES_tradnl"/>
        </w:rPr>
        <w:t xml:space="preserve"> </w:t>
      </w:r>
      <w:r w:rsidRPr="00A05DA6">
        <w:rPr>
          <w:rFonts w:ascii="Arial" w:eastAsia="Calibri" w:hAnsi="Arial" w:cs="Arial"/>
          <w:b/>
          <w:sz w:val="22"/>
          <w:lang w:val="es-ES_tradnl"/>
        </w:rPr>
        <w:t>de los conceptos emitidos por Colombia Compra Eficiente</w:t>
      </w:r>
    </w:p>
    <w:p w14:paraId="1BB5D61B" w14:textId="29E3877A" w:rsidR="00A05DA6" w:rsidRPr="00A05DA6" w:rsidRDefault="00A05DA6" w:rsidP="00C54360">
      <w:pPr>
        <w:tabs>
          <w:tab w:val="left" w:pos="426"/>
        </w:tabs>
        <w:spacing w:line="276" w:lineRule="auto"/>
        <w:jc w:val="both"/>
        <w:rPr>
          <w:rFonts w:ascii="Arial" w:eastAsia="Calibri" w:hAnsi="Arial" w:cs="Arial"/>
          <w:b/>
          <w:sz w:val="22"/>
          <w:lang w:val="es-ES_tradnl"/>
        </w:rPr>
      </w:pPr>
    </w:p>
    <w:p w14:paraId="0245F397" w14:textId="0C8096E8" w:rsidR="00A05DA6" w:rsidRDefault="00A05DA6" w:rsidP="00A05DA6">
      <w:pPr>
        <w:tabs>
          <w:tab w:val="left" w:pos="426"/>
        </w:tabs>
        <w:spacing w:line="276" w:lineRule="auto"/>
        <w:jc w:val="both"/>
        <w:rPr>
          <w:rFonts w:ascii="Arial" w:eastAsia="Calibri" w:hAnsi="Arial" w:cs="Arial"/>
          <w:bCs/>
          <w:sz w:val="22"/>
          <w:lang w:val="es-ES_tradnl"/>
        </w:rPr>
      </w:pPr>
      <w:r w:rsidRPr="00A05DA6">
        <w:rPr>
          <w:rFonts w:ascii="Arial" w:eastAsia="Calibri" w:hAnsi="Arial" w:cs="Arial"/>
          <w:bCs/>
          <w:sz w:val="22"/>
          <w:lang w:val="es-ES_tradnl"/>
        </w:rPr>
        <w:t xml:space="preserve">Los peticionarios argumentan </w:t>
      </w:r>
      <w:r w:rsidR="00F61A85">
        <w:rPr>
          <w:rFonts w:ascii="Arial" w:eastAsia="Calibri" w:hAnsi="Arial" w:cs="Arial"/>
          <w:bCs/>
          <w:sz w:val="22"/>
          <w:lang w:val="es-ES_tradnl"/>
        </w:rPr>
        <w:t xml:space="preserve">que los conceptos </w:t>
      </w:r>
      <w:r w:rsidR="00F61A85">
        <w:rPr>
          <w:rFonts w:ascii="Arial" w:eastAsia="Calibri" w:hAnsi="Arial" w:cs="Arial"/>
          <w:bCs/>
          <w:i/>
          <w:iCs/>
          <w:sz w:val="22"/>
          <w:lang w:val="es-ES_tradnl"/>
        </w:rPr>
        <w:t xml:space="preserve">sub examine </w:t>
      </w:r>
      <w:r w:rsidR="00494666">
        <w:rPr>
          <w:rFonts w:ascii="Arial" w:eastAsia="Calibri" w:hAnsi="Arial" w:cs="Arial"/>
          <w:bCs/>
          <w:sz w:val="22"/>
          <w:lang w:val="es-ES_tradnl"/>
        </w:rPr>
        <w:t xml:space="preserve">contradicen el criterio contenido en </w:t>
      </w:r>
      <w:r w:rsidR="00F61A85">
        <w:rPr>
          <w:rFonts w:ascii="Arial" w:eastAsia="Calibri" w:hAnsi="Arial" w:cs="Arial"/>
          <w:bCs/>
          <w:sz w:val="22"/>
          <w:lang w:val="es-ES_tradnl"/>
        </w:rPr>
        <w:t xml:space="preserve">la Circular Externa Única de 2019, expedida por la Agencia Nacional de Contratación Estatal. Igualmente, consideran que tales conceptos </w:t>
      </w:r>
      <w:r w:rsidR="00D54ABC">
        <w:rPr>
          <w:rFonts w:ascii="Arial" w:eastAsia="Calibri" w:hAnsi="Arial" w:cs="Arial"/>
          <w:bCs/>
          <w:sz w:val="22"/>
          <w:lang w:val="es-ES_tradnl"/>
        </w:rPr>
        <w:t xml:space="preserve">nos apartamos </w:t>
      </w:r>
      <w:r w:rsidR="00F61A85">
        <w:rPr>
          <w:rFonts w:ascii="Arial" w:eastAsia="Calibri" w:hAnsi="Arial" w:cs="Arial"/>
          <w:bCs/>
          <w:sz w:val="22"/>
          <w:lang w:val="es-ES_tradnl"/>
        </w:rPr>
        <w:t>de lo expuesto en dicha Circular, por un lado, sin competencia legal y, por el otro, sin «mayor análisis». En efecto, en la página 11 de la solicitud se observa la siguiente argumentación:</w:t>
      </w:r>
    </w:p>
    <w:p w14:paraId="595C8BBF" w14:textId="4E6A11C7" w:rsidR="00F61A85" w:rsidRDefault="00F61A85" w:rsidP="00A05DA6">
      <w:pPr>
        <w:tabs>
          <w:tab w:val="left" w:pos="426"/>
        </w:tabs>
        <w:spacing w:line="276" w:lineRule="auto"/>
        <w:jc w:val="both"/>
        <w:rPr>
          <w:rFonts w:ascii="Arial" w:eastAsia="Calibri" w:hAnsi="Arial" w:cs="Arial"/>
          <w:bCs/>
          <w:sz w:val="22"/>
          <w:lang w:val="es-ES_tradnl"/>
        </w:rPr>
      </w:pPr>
    </w:p>
    <w:p w14:paraId="30362CE1" w14:textId="4317FDA5" w:rsidR="00F61A85" w:rsidRPr="00027C19" w:rsidRDefault="00F61A85" w:rsidP="00F61A85">
      <w:pPr>
        <w:tabs>
          <w:tab w:val="left" w:pos="709"/>
        </w:tabs>
        <w:ind w:left="709" w:right="709"/>
        <w:jc w:val="both"/>
        <w:rPr>
          <w:rFonts w:ascii="Arial" w:eastAsia="Calibri" w:hAnsi="Arial" w:cs="Arial"/>
          <w:bCs/>
          <w:sz w:val="21"/>
          <w:szCs w:val="21"/>
          <w:lang w:val="es-ES_tradnl"/>
        </w:rPr>
      </w:pPr>
      <w:r w:rsidRPr="00F61A85">
        <w:rPr>
          <w:rFonts w:ascii="Arial" w:eastAsia="Calibri" w:hAnsi="Arial" w:cs="Arial"/>
          <w:bCs/>
          <w:sz w:val="21"/>
          <w:szCs w:val="21"/>
        </w:rPr>
        <w:t xml:space="preserve">En ese sentido, </w:t>
      </w:r>
      <w:r w:rsidR="00D54ABC">
        <w:rPr>
          <w:rFonts w:ascii="Arial" w:eastAsia="Calibri" w:hAnsi="Arial" w:cs="Arial"/>
          <w:bCs/>
          <w:sz w:val="21"/>
          <w:szCs w:val="21"/>
        </w:rPr>
        <w:t xml:space="preserve">la </w:t>
      </w:r>
      <w:r w:rsidRPr="00F61A85">
        <w:rPr>
          <w:rFonts w:ascii="Arial" w:eastAsia="Calibri" w:hAnsi="Arial" w:cs="Arial"/>
          <w:bCs/>
          <w:sz w:val="21"/>
          <w:szCs w:val="21"/>
        </w:rPr>
        <w:t>circular fue desconocida por la propia Subdirección de Gestión Contractual al emitir los conceptos cuestionados, dado que</w:t>
      </w:r>
      <w:r>
        <w:rPr>
          <w:rFonts w:ascii="Arial" w:eastAsia="Calibri" w:hAnsi="Arial" w:cs="Arial"/>
          <w:bCs/>
          <w:sz w:val="21"/>
          <w:szCs w:val="21"/>
        </w:rPr>
        <w:t>,</w:t>
      </w:r>
      <w:r w:rsidRPr="00F61A85">
        <w:rPr>
          <w:rFonts w:ascii="Arial" w:eastAsia="Calibri" w:hAnsi="Arial" w:cs="Arial"/>
          <w:bCs/>
          <w:sz w:val="21"/>
          <w:szCs w:val="21"/>
        </w:rPr>
        <w:t xml:space="preserve"> de la lectura de dicha circular, se</w:t>
      </w:r>
      <w:r>
        <w:rPr>
          <w:rFonts w:ascii="Arial" w:eastAsia="Calibri" w:hAnsi="Arial" w:cs="Arial"/>
          <w:bCs/>
          <w:sz w:val="21"/>
          <w:szCs w:val="21"/>
        </w:rPr>
        <w:t xml:space="preserve"> de</w:t>
      </w:r>
      <w:r w:rsidRPr="00F61A85">
        <w:rPr>
          <w:rFonts w:ascii="Arial" w:eastAsia="Calibri" w:hAnsi="Arial" w:cs="Arial"/>
          <w:bCs/>
          <w:sz w:val="21"/>
          <w:szCs w:val="21"/>
        </w:rPr>
        <w:t>duce sin ninguna duda, la coherencia de posturas entre la agencia y el COP</w:t>
      </w:r>
      <w:r>
        <w:rPr>
          <w:rFonts w:ascii="Arial" w:eastAsia="Calibri" w:hAnsi="Arial" w:cs="Arial"/>
          <w:bCs/>
          <w:sz w:val="21"/>
          <w:szCs w:val="21"/>
        </w:rPr>
        <w:t>NIA</w:t>
      </w:r>
      <w:r w:rsidRPr="00F61A85">
        <w:rPr>
          <w:rFonts w:ascii="Arial" w:eastAsia="Calibri" w:hAnsi="Arial" w:cs="Arial"/>
          <w:bCs/>
          <w:sz w:val="21"/>
          <w:szCs w:val="21"/>
        </w:rPr>
        <w:t>, que hoy</w:t>
      </w:r>
      <w:r>
        <w:rPr>
          <w:rFonts w:ascii="Arial" w:eastAsia="Calibri" w:hAnsi="Arial" w:cs="Arial"/>
          <w:bCs/>
          <w:sz w:val="21"/>
          <w:szCs w:val="21"/>
        </w:rPr>
        <w:t>,</w:t>
      </w:r>
      <w:r w:rsidRPr="00F61A85">
        <w:rPr>
          <w:rFonts w:ascii="Arial" w:eastAsia="Calibri" w:hAnsi="Arial" w:cs="Arial"/>
          <w:bCs/>
          <w:sz w:val="21"/>
          <w:szCs w:val="21"/>
        </w:rPr>
        <w:t xml:space="preserve"> mediante unos conceptos posteriores</w:t>
      </w:r>
      <w:r>
        <w:rPr>
          <w:rFonts w:ascii="Arial" w:eastAsia="Calibri" w:hAnsi="Arial" w:cs="Arial"/>
          <w:bCs/>
          <w:sz w:val="21"/>
          <w:szCs w:val="21"/>
        </w:rPr>
        <w:t>,</w:t>
      </w:r>
      <w:r w:rsidRPr="00F61A85">
        <w:rPr>
          <w:rFonts w:ascii="Arial" w:eastAsia="Calibri" w:hAnsi="Arial" w:cs="Arial"/>
          <w:bCs/>
          <w:sz w:val="21"/>
          <w:szCs w:val="21"/>
        </w:rPr>
        <w:t xml:space="preserve"> sin competencia legal</w:t>
      </w:r>
      <w:r>
        <w:rPr>
          <w:rFonts w:ascii="Arial" w:eastAsia="Calibri" w:hAnsi="Arial" w:cs="Arial"/>
          <w:bCs/>
          <w:sz w:val="21"/>
          <w:szCs w:val="21"/>
        </w:rPr>
        <w:t>,</w:t>
      </w:r>
      <w:r w:rsidRPr="00F61A85">
        <w:rPr>
          <w:rFonts w:ascii="Arial" w:eastAsia="Calibri" w:hAnsi="Arial" w:cs="Arial"/>
          <w:bCs/>
          <w:sz w:val="21"/>
          <w:szCs w:val="21"/>
        </w:rPr>
        <w:t xml:space="preserve"> ni mayor análisis, muestra con todo respeto</w:t>
      </w:r>
      <w:r>
        <w:rPr>
          <w:rFonts w:ascii="Arial" w:eastAsia="Calibri" w:hAnsi="Arial" w:cs="Arial"/>
          <w:bCs/>
          <w:sz w:val="21"/>
          <w:szCs w:val="21"/>
        </w:rPr>
        <w:t>,</w:t>
      </w:r>
      <w:r w:rsidRPr="00F61A85">
        <w:rPr>
          <w:rFonts w:ascii="Arial" w:eastAsia="Calibri" w:hAnsi="Arial" w:cs="Arial"/>
          <w:bCs/>
          <w:sz w:val="21"/>
          <w:szCs w:val="21"/>
        </w:rPr>
        <w:t xml:space="preserve"> una postura jurídica completamente equivocada de la forma en que debe computarse la experiencia profesional en términos de la ingeniería regulada por la ley 842 de 2003 </w:t>
      </w:r>
    </w:p>
    <w:p w14:paraId="296479CC" w14:textId="77777777" w:rsidR="00F61A85" w:rsidRDefault="00F61A85" w:rsidP="004459D1">
      <w:pPr>
        <w:tabs>
          <w:tab w:val="left" w:pos="709"/>
        </w:tabs>
        <w:jc w:val="both"/>
        <w:rPr>
          <w:rFonts w:ascii="Arial" w:eastAsia="Calibri" w:hAnsi="Arial" w:cs="Arial"/>
          <w:bCs/>
          <w:sz w:val="22"/>
          <w:lang w:val="es-ES_tradnl"/>
        </w:rPr>
      </w:pPr>
    </w:p>
    <w:p w14:paraId="5638CEA4" w14:textId="34F54A1C" w:rsidR="00F61A85" w:rsidRDefault="005237C1" w:rsidP="00A05DA6">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t>Se advierte</w:t>
      </w:r>
      <w:r w:rsidR="00DF08DB">
        <w:rPr>
          <w:rFonts w:ascii="Arial" w:eastAsia="Calibri" w:hAnsi="Arial" w:cs="Arial"/>
          <w:bCs/>
          <w:sz w:val="22"/>
          <w:lang w:val="es-ES_tradnl"/>
        </w:rPr>
        <w:t xml:space="preserve"> que no es cierto que la tesis</w:t>
      </w:r>
      <w:r w:rsidR="006B1A0E">
        <w:rPr>
          <w:rFonts w:ascii="Arial" w:eastAsia="Calibri" w:hAnsi="Arial" w:cs="Arial"/>
          <w:bCs/>
          <w:sz w:val="22"/>
          <w:lang w:val="es-ES_tradnl"/>
        </w:rPr>
        <w:t xml:space="preserve"> contenida en los conceptos sea contraria </w:t>
      </w:r>
      <w:r w:rsidR="00DF08DB">
        <w:rPr>
          <w:rFonts w:ascii="Arial" w:eastAsia="Calibri" w:hAnsi="Arial" w:cs="Arial"/>
          <w:bCs/>
          <w:sz w:val="22"/>
          <w:lang w:val="es-ES_tradnl"/>
        </w:rPr>
        <w:t xml:space="preserve">a lo que se expuso en la mencionada Circular. </w:t>
      </w:r>
      <w:r>
        <w:rPr>
          <w:rFonts w:ascii="Arial" w:eastAsia="Calibri" w:hAnsi="Arial" w:cs="Arial"/>
          <w:bCs/>
          <w:sz w:val="22"/>
          <w:lang w:val="es-ES_tradnl"/>
        </w:rPr>
        <w:t>E</w:t>
      </w:r>
      <w:r w:rsidR="00DF08DB">
        <w:rPr>
          <w:rFonts w:ascii="Arial" w:eastAsia="Calibri" w:hAnsi="Arial" w:cs="Arial"/>
          <w:bCs/>
          <w:sz w:val="22"/>
          <w:lang w:val="es-ES_tradnl"/>
        </w:rPr>
        <w:t xml:space="preserve">n la Circular Externa Única, actualizada el 16 de abril de 2019, </w:t>
      </w:r>
      <w:r>
        <w:rPr>
          <w:rFonts w:ascii="Arial" w:eastAsia="Calibri" w:hAnsi="Arial" w:cs="Arial"/>
          <w:bCs/>
          <w:sz w:val="22"/>
          <w:lang w:val="es-ES_tradnl"/>
        </w:rPr>
        <w:t>dispone</w:t>
      </w:r>
      <w:r w:rsidR="00DF08DB">
        <w:rPr>
          <w:rFonts w:ascii="Arial" w:eastAsia="Calibri" w:hAnsi="Arial" w:cs="Arial"/>
          <w:bCs/>
          <w:sz w:val="22"/>
          <w:lang w:val="es-ES_tradnl"/>
        </w:rPr>
        <w:t xml:space="preserve"> lo siguiente:</w:t>
      </w:r>
    </w:p>
    <w:p w14:paraId="74EA9298" w14:textId="6606C86D" w:rsidR="00DF08DB" w:rsidRDefault="00DF08DB" w:rsidP="00A05DA6">
      <w:pPr>
        <w:tabs>
          <w:tab w:val="left" w:pos="426"/>
        </w:tabs>
        <w:spacing w:line="276" w:lineRule="auto"/>
        <w:jc w:val="both"/>
        <w:rPr>
          <w:rFonts w:ascii="Arial" w:eastAsia="Calibri" w:hAnsi="Arial" w:cs="Arial"/>
          <w:bCs/>
          <w:sz w:val="22"/>
          <w:lang w:val="es-ES_tradnl"/>
        </w:rPr>
      </w:pPr>
    </w:p>
    <w:p w14:paraId="22BEC796" w14:textId="676897C6" w:rsidR="00DF08DB" w:rsidRDefault="00DF08DB" w:rsidP="001946FB">
      <w:pPr>
        <w:tabs>
          <w:tab w:val="left" w:pos="426"/>
        </w:tabs>
        <w:spacing w:after="120"/>
        <w:ind w:left="709" w:right="709"/>
        <w:jc w:val="both"/>
        <w:rPr>
          <w:rFonts w:ascii="Arial" w:eastAsia="Calibri" w:hAnsi="Arial" w:cs="Arial"/>
          <w:bCs/>
          <w:sz w:val="21"/>
          <w:szCs w:val="21"/>
        </w:rPr>
      </w:pPr>
      <w:r w:rsidRPr="00DF08DB">
        <w:rPr>
          <w:rFonts w:ascii="Arial" w:eastAsia="Calibri" w:hAnsi="Arial" w:cs="Arial"/>
          <w:bCs/>
          <w:sz w:val="21"/>
          <w:szCs w:val="21"/>
        </w:rPr>
        <w:t xml:space="preserve">El Decreto – Ley 019 de 2012, establece que, para el ejercicio de diferentes profesiones acreditadas por el Ministerio de Educación Nacional, la experiencia profesional se computará a partir de la terminación y aprobación del pensum académico de educación superior; exceptuando de esta condición las profesiones relacionadas con el sistema de seguridad social en salud en las </w:t>
      </w:r>
      <w:r w:rsidRPr="00DF08DB">
        <w:rPr>
          <w:rFonts w:ascii="Arial" w:eastAsia="Calibri" w:hAnsi="Arial" w:cs="Arial"/>
          <w:bCs/>
          <w:sz w:val="21"/>
          <w:szCs w:val="21"/>
        </w:rPr>
        <w:lastRenderedPageBreak/>
        <w:t xml:space="preserve">cuales la experiencia profesional se computa a partir de la inscripción o registro profesional. </w:t>
      </w:r>
    </w:p>
    <w:p w14:paraId="2D43FD80" w14:textId="005A3ED2" w:rsidR="00DF08DB" w:rsidRPr="00DF08DB" w:rsidRDefault="00DF08DB" w:rsidP="001946FB">
      <w:pPr>
        <w:tabs>
          <w:tab w:val="left" w:pos="426"/>
        </w:tabs>
        <w:ind w:left="709" w:right="709"/>
        <w:jc w:val="both"/>
        <w:rPr>
          <w:rFonts w:ascii="Arial" w:eastAsia="Calibri" w:hAnsi="Arial" w:cs="Arial"/>
          <w:bCs/>
          <w:sz w:val="21"/>
          <w:szCs w:val="21"/>
        </w:rPr>
      </w:pPr>
      <w:r w:rsidRPr="00DF08DB">
        <w:rPr>
          <w:rFonts w:ascii="Arial" w:eastAsia="Calibri" w:hAnsi="Arial" w:cs="Arial"/>
          <w:bCs/>
          <w:sz w:val="21"/>
          <w:szCs w:val="21"/>
        </w:rPr>
        <w:t xml:space="preserve">Sin perjuicio de lo anterior, en los casos en los que el objeto del contrato requiera el ejercicio de profesiones sujetas a regulación especial en razón a la alta responsabilidad y riesgo social que implica su ejercicio para la </w:t>
      </w:r>
      <w:proofErr w:type="gramStart"/>
      <w:r w:rsidRPr="00DF08DB">
        <w:rPr>
          <w:rFonts w:ascii="Arial" w:eastAsia="Calibri" w:hAnsi="Arial" w:cs="Arial"/>
          <w:bCs/>
          <w:sz w:val="21"/>
          <w:szCs w:val="21"/>
        </w:rPr>
        <w:t>sociedad</w:t>
      </w:r>
      <w:r>
        <w:rPr>
          <w:rFonts w:ascii="Arial" w:eastAsia="Calibri" w:hAnsi="Arial" w:cs="Arial"/>
          <w:bCs/>
          <w:sz w:val="21"/>
          <w:szCs w:val="21"/>
        </w:rPr>
        <w:t>[</w:t>
      </w:r>
      <w:proofErr w:type="gramEnd"/>
      <w:r>
        <w:rPr>
          <w:rFonts w:ascii="Arial" w:eastAsia="Calibri" w:hAnsi="Arial" w:cs="Arial"/>
          <w:bCs/>
          <w:sz w:val="21"/>
          <w:szCs w:val="21"/>
        </w:rPr>
        <w:t>4]</w:t>
      </w:r>
      <w:r w:rsidRPr="00DF08DB">
        <w:rPr>
          <w:rFonts w:ascii="Arial" w:eastAsia="Calibri" w:hAnsi="Arial" w:cs="Arial"/>
          <w:bCs/>
          <w:sz w:val="21"/>
          <w:szCs w:val="21"/>
        </w:rPr>
        <w:t>, como es el caso de las profesiones relacionadas con la ingeniería o de alguna de sus profesiones afines o auxiliares</w:t>
      </w:r>
      <w:r>
        <w:rPr>
          <w:rFonts w:ascii="Arial" w:eastAsia="Calibri" w:hAnsi="Arial" w:cs="Arial"/>
          <w:bCs/>
          <w:sz w:val="21"/>
          <w:szCs w:val="21"/>
        </w:rPr>
        <w:t>[</w:t>
      </w:r>
      <w:r w:rsidRPr="00DF08DB">
        <w:rPr>
          <w:rFonts w:ascii="Arial" w:eastAsia="Calibri" w:hAnsi="Arial" w:cs="Arial"/>
          <w:bCs/>
          <w:sz w:val="21"/>
          <w:szCs w:val="21"/>
        </w:rPr>
        <w:t>5</w:t>
      </w:r>
      <w:r>
        <w:rPr>
          <w:rFonts w:ascii="Arial" w:eastAsia="Calibri" w:hAnsi="Arial" w:cs="Arial"/>
          <w:bCs/>
          <w:sz w:val="21"/>
          <w:szCs w:val="21"/>
        </w:rPr>
        <w:t>]</w:t>
      </w:r>
      <w:r w:rsidRPr="00DF08DB">
        <w:rPr>
          <w:rFonts w:ascii="Arial" w:eastAsia="Calibri" w:hAnsi="Arial" w:cs="Arial"/>
          <w:bCs/>
          <w:sz w:val="21"/>
          <w:szCs w:val="21"/>
        </w:rPr>
        <w:t>, la Entidad Estatal debe remitirse a lo establecido en la regulación específica acerca del cómputo de la experiencia.</w:t>
      </w:r>
    </w:p>
    <w:p w14:paraId="54F22A6E" w14:textId="69529746" w:rsidR="00DF08DB" w:rsidRDefault="00DF08DB" w:rsidP="00A05DA6">
      <w:pPr>
        <w:tabs>
          <w:tab w:val="left" w:pos="426"/>
        </w:tabs>
        <w:spacing w:line="276" w:lineRule="auto"/>
        <w:jc w:val="both"/>
        <w:rPr>
          <w:rFonts w:ascii="Arial" w:eastAsia="Calibri" w:hAnsi="Arial" w:cs="Arial"/>
          <w:bCs/>
          <w:sz w:val="22"/>
          <w:lang w:val="es-ES_tradnl"/>
        </w:rPr>
      </w:pPr>
    </w:p>
    <w:p w14:paraId="2082460D" w14:textId="25C774DC" w:rsidR="00DF08DB" w:rsidRDefault="005237C1" w:rsidP="00A05DA6">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r>
      <w:r w:rsidR="00A65B55">
        <w:rPr>
          <w:rFonts w:ascii="Arial" w:eastAsia="Calibri" w:hAnsi="Arial" w:cs="Arial"/>
          <w:bCs/>
          <w:sz w:val="22"/>
          <w:lang w:val="es-ES_tradnl"/>
        </w:rPr>
        <w:t>A</w:t>
      </w:r>
      <w:r w:rsidR="00DF08DB">
        <w:rPr>
          <w:rFonts w:ascii="Arial" w:eastAsia="Calibri" w:hAnsi="Arial" w:cs="Arial"/>
          <w:bCs/>
          <w:sz w:val="22"/>
          <w:lang w:val="es-ES_tradnl"/>
        </w:rPr>
        <w:t xml:space="preserve">llí se </w:t>
      </w:r>
      <w:r>
        <w:rPr>
          <w:rFonts w:ascii="Arial" w:eastAsia="Calibri" w:hAnsi="Arial" w:cs="Arial"/>
          <w:bCs/>
          <w:sz w:val="22"/>
          <w:lang w:val="es-ES_tradnl"/>
        </w:rPr>
        <w:t>menciona</w:t>
      </w:r>
      <w:r w:rsidR="00DF08DB">
        <w:rPr>
          <w:rFonts w:ascii="Arial" w:eastAsia="Calibri" w:hAnsi="Arial" w:cs="Arial"/>
          <w:bCs/>
          <w:sz w:val="22"/>
          <w:lang w:val="es-ES_tradnl"/>
        </w:rPr>
        <w:t xml:space="preserve"> una regla general y dos excepciones</w:t>
      </w:r>
      <w:r w:rsidR="00314133">
        <w:rPr>
          <w:rFonts w:ascii="Arial" w:eastAsia="Calibri" w:hAnsi="Arial" w:cs="Arial"/>
          <w:bCs/>
          <w:sz w:val="22"/>
          <w:lang w:val="es-ES_tradnl"/>
        </w:rPr>
        <w:t>: p</w:t>
      </w:r>
      <w:r w:rsidR="00DF08DB">
        <w:rPr>
          <w:rFonts w:ascii="Arial" w:eastAsia="Calibri" w:hAnsi="Arial" w:cs="Arial"/>
          <w:bCs/>
          <w:sz w:val="22"/>
          <w:lang w:val="es-ES_tradnl"/>
        </w:rPr>
        <w:t xml:space="preserve">or un lado, las profesiones relacionadas con el sistema de seguridad social en salud y, por el otro, las profesiones sujetas a regulación especial en razón a la alta responsabilidad y riesgo social que implica su ejercicio para la sociedad. También es necesario resaltar que en lo que tiene que ver con la segunda excepción, lo que se dijo es que </w:t>
      </w:r>
      <w:r w:rsidR="00314133">
        <w:rPr>
          <w:rFonts w:ascii="Arial" w:eastAsia="Calibri" w:hAnsi="Arial" w:cs="Arial"/>
          <w:bCs/>
          <w:sz w:val="22"/>
          <w:lang w:val="es-ES_tradnl"/>
        </w:rPr>
        <w:t>«</w:t>
      </w:r>
      <w:r w:rsidR="00314133" w:rsidRPr="00314133">
        <w:rPr>
          <w:rFonts w:ascii="Arial" w:eastAsia="Calibri" w:hAnsi="Arial" w:cs="Arial"/>
          <w:bCs/>
          <w:sz w:val="22"/>
          <w:lang w:val="es-ES_tradnl"/>
        </w:rPr>
        <w:t>la Entidad Estatal debe remitirse a lo establecido en la regulación específica acerca del cómputo de la experiencia</w:t>
      </w:r>
      <w:r w:rsidR="00314133">
        <w:rPr>
          <w:rFonts w:ascii="Arial" w:eastAsia="Calibri" w:hAnsi="Arial" w:cs="Arial"/>
          <w:bCs/>
          <w:sz w:val="22"/>
          <w:lang w:val="es-ES_tradnl"/>
        </w:rPr>
        <w:t>»</w:t>
      </w:r>
      <w:r w:rsidR="00DF08DB">
        <w:rPr>
          <w:rFonts w:ascii="Arial" w:eastAsia="Calibri" w:hAnsi="Arial" w:cs="Arial"/>
          <w:bCs/>
          <w:sz w:val="22"/>
          <w:lang w:val="es-ES_tradnl"/>
        </w:rPr>
        <w:t>,</w:t>
      </w:r>
      <w:r w:rsidR="00314133">
        <w:rPr>
          <w:rFonts w:ascii="Arial" w:eastAsia="Calibri" w:hAnsi="Arial" w:cs="Arial"/>
          <w:bCs/>
          <w:sz w:val="22"/>
          <w:lang w:val="es-ES_tradnl"/>
        </w:rPr>
        <w:t xml:space="preserve"> remisión normativa que </w:t>
      </w:r>
      <w:r w:rsidR="00DF08DB">
        <w:rPr>
          <w:rFonts w:ascii="Arial" w:eastAsia="Calibri" w:hAnsi="Arial" w:cs="Arial"/>
          <w:bCs/>
          <w:sz w:val="22"/>
          <w:lang w:val="es-ES_tradnl"/>
        </w:rPr>
        <w:t xml:space="preserve">supone que la «regulación específica» esté vigente, </w:t>
      </w:r>
      <w:r w:rsidR="00314133">
        <w:rPr>
          <w:rFonts w:ascii="Arial" w:eastAsia="Calibri" w:hAnsi="Arial" w:cs="Arial"/>
          <w:bCs/>
          <w:sz w:val="22"/>
          <w:lang w:val="es-ES_tradnl"/>
        </w:rPr>
        <w:t>so pena de no ser posible</w:t>
      </w:r>
      <w:r w:rsidR="00DF08DB">
        <w:rPr>
          <w:rFonts w:ascii="Arial" w:eastAsia="Calibri" w:hAnsi="Arial" w:cs="Arial"/>
          <w:bCs/>
          <w:sz w:val="22"/>
          <w:lang w:val="es-ES_tradnl"/>
        </w:rPr>
        <w:t xml:space="preserve"> la aplicación de esta excepción, siendo necesario</w:t>
      </w:r>
      <w:r w:rsidR="00314133">
        <w:rPr>
          <w:rFonts w:ascii="Arial" w:eastAsia="Calibri" w:hAnsi="Arial" w:cs="Arial"/>
          <w:bCs/>
          <w:sz w:val="22"/>
          <w:lang w:val="es-ES_tradnl"/>
        </w:rPr>
        <w:t>, pues,</w:t>
      </w:r>
      <w:r w:rsidR="00DF08DB">
        <w:rPr>
          <w:rFonts w:ascii="Arial" w:eastAsia="Calibri" w:hAnsi="Arial" w:cs="Arial"/>
          <w:bCs/>
          <w:sz w:val="22"/>
          <w:lang w:val="es-ES_tradnl"/>
        </w:rPr>
        <w:t xml:space="preserve"> aplicar la regla general</w:t>
      </w:r>
      <w:r w:rsidR="00314133">
        <w:rPr>
          <w:rFonts w:ascii="Arial" w:eastAsia="Calibri" w:hAnsi="Arial" w:cs="Arial"/>
          <w:bCs/>
          <w:sz w:val="22"/>
          <w:lang w:val="es-ES_tradnl"/>
        </w:rPr>
        <w:t xml:space="preserve"> para la determinación de la experiencia,</w:t>
      </w:r>
      <w:r w:rsidR="00DF08DB">
        <w:rPr>
          <w:rFonts w:ascii="Arial" w:eastAsia="Calibri" w:hAnsi="Arial" w:cs="Arial"/>
          <w:bCs/>
          <w:sz w:val="22"/>
          <w:lang w:val="es-ES_tradnl"/>
        </w:rPr>
        <w:t xml:space="preserve"> esto es, el Decreto Ley 19 </w:t>
      </w:r>
      <w:r>
        <w:rPr>
          <w:rFonts w:ascii="Arial" w:eastAsia="Calibri" w:hAnsi="Arial" w:cs="Arial"/>
          <w:bCs/>
          <w:sz w:val="22"/>
          <w:lang w:val="es-ES_tradnl"/>
        </w:rPr>
        <w:t>de</w:t>
      </w:r>
      <w:r w:rsidR="00DF08DB">
        <w:rPr>
          <w:rFonts w:ascii="Arial" w:eastAsia="Calibri" w:hAnsi="Arial" w:cs="Arial"/>
          <w:bCs/>
          <w:sz w:val="22"/>
          <w:lang w:val="es-ES_tradnl"/>
        </w:rPr>
        <w:t xml:space="preserve"> 2012.</w:t>
      </w:r>
    </w:p>
    <w:p w14:paraId="2CE3B78E" w14:textId="4128D9C8" w:rsidR="00DF08DB" w:rsidRDefault="00DF08DB" w:rsidP="004459D1">
      <w:pPr>
        <w:tabs>
          <w:tab w:val="left" w:pos="709"/>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tab/>
        <w:t xml:space="preserve">Colombia Compra Eficiente no descarta que en el futuro se expida otra norma regulando el cómputo de la experiencia </w:t>
      </w:r>
      <w:r w:rsidR="00FA314F">
        <w:rPr>
          <w:rFonts w:ascii="Arial" w:eastAsia="Calibri" w:hAnsi="Arial" w:cs="Arial"/>
          <w:bCs/>
          <w:sz w:val="22"/>
          <w:lang w:val="es-ES_tradnl"/>
        </w:rPr>
        <w:t xml:space="preserve">para las profesiones a las que les aplica la Ley 842 de 2003 </w:t>
      </w:r>
      <w:r>
        <w:rPr>
          <w:rFonts w:ascii="Arial" w:eastAsia="Calibri" w:hAnsi="Arial" w:cs="Arial"/>
          <w:bCs/>
          <w:sz w:val="22"/>
          <w:lang w:val="es-ES_tradnl"/>
        </w:rPr>
        <w:t xml:space="preserve">y, de ser así, sería necesario que, para efectos de la contratación estatal, las entidades se remitieran «a lo establecido en la regulación específica». Sin embargo, </w:t>
      </w:r>
      <w:r w:rsidR="005237C1">
        <w:rPr>
          <w:rFonts w:ascii="Arial" w:eastAsia="Calibri" w:hAnsi="Arial" w:cs="Arial"/>
          <w:bCs/>
          <w:sz w:val="22"/>
          <w:lang w:val="es-ES_tradnl"/>
        </w:rPr>
        <w:t>considerando</w:t>
      </w:r>
      <w:r>
        <w:rPr>
          <w:rFonts w:ascii="Arial" w:eastAsia="Calibri" w:hAnsi="Arial" w:cs="Arial"/>
          <w:bCs/>
          <w:sz w:val="22"/>
          <w:lang w:val="es-ES_tradnl"/>
        </w:rPr>
        <w:t xml:space="preserve"> la derogatoria tácita del artículo 12 </w:t>
      </w:r>
      <w:proofErr w:type="spellStart"/>
      <w:r w:rsidR="00FA314F">
        <w:rPr>
          <w:rFonts w:ascii="Arial" w:eastAsia="Calibri" w:hAnsi="Arial" w:cs="Arial"/>
          <w:bCs/>
          <w:i/>
          <w:iCs/>
          <w:sz w:val="22"/>
          <w:lang w:val="es-ES_tradnl"/>
        </w:rPr>
        <w:t>ibídem</w:t>
      </w:r>
      <w:proofErr w:type="spellEnd"/>
      <w:r>
        <w:rPr>
          <w:rFonts w:ascii="Arial" w:eastAsia="Calibri" w:hAnsi="Arial" w:cs="Arial"/>
          <w:bCs/>
          <w:sz w:val="22"/>
          <w:lang w:val="es-ES_tradnl"/>
        </w:rPr>
        <w:t>, no es posible</w:t>
      </w:r>
      <w:r w:rsidR="00FA314F">
        <w:rPr>
          <w:rFonts w:ascii="Arial" w:eastAsia="Calibri" w:hAnsi="Arial" w:cs="Arial"/>
          <w:bCs/>
          <w:sz w:val="22"/>
          <w:lang w:val="es-ES_tradnl"/>
        </w:rPr>
        <w:t xml:space="preserve"> aplicar la segunda excepción a la que se refiere a la Circular Externa Única</w:t>
      </w:r>
      <w:r>
        <w:rPr>
          <w:rFonts w:ascii="Arial" w:eastAsia="Calibri" w:hAnsi="Arial" w:cs="Arial"/>
          <w:bCs/>
          <w:sz w:val="22"/>
          <w:lang w:val="es-ES_tradnl"/>
        </w:rPr>
        <w:t>, lo que</w:t>
      </w:r>
      <w:r w:rsidR="00FA314F">
        <w:rPr>
          <w:rFonts w:ascii="Arial" w:eastAsia="Calibri" w:hAnsi="Arial" w:cs="Arial"/>
          <w:bCs/>
          <w:sz w:val="22"/>
          <w:lang w:val="es-ES_tradnl"/>
        </w:rPr>
        <w:t>, en consecuencia,</w:t>
      </w:r>
      <w:r>
        <w:rPr>
          <w:rFonts w:ascii="Arial" w:eastAsia="Calibri" w:hAnsi="Arial" w:cs="Arial"/>
          <w:bCs/>
          <w:sz w:val="22"/>
          <w:lang w:val="es-ES_tradnl"/>
        </w:rPr>
        <w:t xml:space="preserve"> </w:t>
      </w:r>
      <w:r w:rsidR="00FA314F">
        <w:rPr>
          <w:rFonts w:ascii="Arial" w:eastAsia="Calibri" w:hAnsi="Arial" w:cs="Arial"/>
          <w:bCs/>
          <w:sz w:val="22"/>
          <w:lang w:val="es-ES_tradnl"/>
        </w:rPr>
        <w:t xml:space="preserve">comporta </w:t>
      </w:r>
      <w:r>
        <w:rPr>
          <w:rFonts w:ascii="Arial" w:eastAsia="Calibri" w:hAnsi="Arial" w:cs="Arial"/>
          <w:bCs/>
          <w:sz w:val="22"/>
          <w:lang w:val="es-ES_tradnl"/>
        </w:rPr>
        <w:t xml:space="preserve">la obligación del aplicar la regla general, esto es, el Decreto Ley 19 </w:t>
      </w:r>
      <w:r w:rsidR="005237C1">
        <w:rPr>
          <w:rFonts w:ascii="Arial" w:eastAsia="Calibri" w:hAnsi="Arial" w:cs="Arial"/>
          <w:bCs/>
          <w:sz w:val="22"/>
          <w:lang w:val="es-ES_tradnl"/>
        </w:rPr>
        <w:t>de</w:t>
      </w:r>
      <w:r>
        <w:rPr>
          <w:rFonts w:ascii="Arial" w:eastAsia="Calibri" w:hAnsi="Arial" w:cs="Arial"/>
          <w:bCs/>
          <w:sz w:val="22"/>
          <w:lang w:val="es-ES_tradnl"/>
        </w:rPr>
        <w:t xml:space="preserve"> 2012.</w:t>
      </w:r>
      <w:r w:rsidR="004459D1">
        <w:rPr>
          <w:rFonts w:ascii="Arial" w:eastAsia="Calibri" w:hAnsi="Arial" w:cs="Arial"/>
          <w:bCs/>
          <w:sz w:val="22"/>
          <w:lang w:val="es-ES_tradnl"/>
        </w:rPr>
        <w:t xml:space="preserve"> Esto no se traduce en la contradicción que alegan los solicitantes.</w:t>
      </w:r>
    </w:p>
    <w:p w14:paraId="77141EAB" w14:textId="6195FA87" w:rsidR="007D28A1" w:rsidRDefault="00DF08DB" w:rsidP="00A514AE">
      <w:pPr>
        <w:tabs>
          <w:tab w:val="left" w:pos="709"/>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tab/>
      </w:r>
      <w:r w:rsidR="00FA314F">
        <w:rPr>
          <w:rFonts w:ascii="Arial" w:eastAsia="Calibri" w:hAnsi="Arial" w:cs="Arial"/>
          <w:bCs/>
          <w:sz w:val="22"/>
          <w:lang w:val="es-ES_tradnl"/>
        </w:rPr>
        <w:t>Con todo</w:t>
      </w:r>
      <w:r>
        <w:rPr>
          <w:rFonts w:ascii="Arial" w:eastAsia="Calibri" w:hAnsi="Arial" w:cs="Arial"/>
          <w:bCs/>
          <w:sz w:val="22"/>
          <w:lang w:val="es-ES_tradnl"/>
        </w:rPr>
        <w:t xml:space="preserve">, pareciera que el legislador apunta en otra dirección, como lo demuestra el artículo </w:t>
      </w:r>
      <w:r w:rsidR="00314133">
        <w:rPr>
          <w:rFonts w:ascii="Arial" w:eastAsia="Calibri" w:hAnsi="Arial" w:cs="Arial"/>
          <w:bCs/>
          <w:sz w:val="22"/>
          <w:lang w:val="es-ES_tradnl"/>
        </w:rPr>
        <w:t>192 de la Ley 1955 de 2019</w:t>
      </w:r>
      <w:r>
        <w:rPr>
          <w:rFonts w:ascii="Arial" w:eastAsia="Calibri" w:hAnsi="Arial" w:cs="Arial"/>
          <w:bCs/>
          <w:sz w:val="22"/>
          <w:lang w:val="es-ES_tradnl"/>
        </w:rPr>
        <w:t xml:space="preserve">, norma que también sirvió de fundamento a esta Subdirección para expedir los conceptos </w:t>
      </w:r>
      <w:r w:rsidR="005237C1">
        <w:rPr>
          <w:rFonts w:ascii="Arial" w:eastAsia="Calibri" w:hAnsi="Arial" w:cs="Arial"/>
          <w:bCs/>
          <w:sz w:val="22"/>
          <w:lang w:val="es-ES_tradnl"/>
        </w:rPr>
        <w:t>cuya revocatoria o corrección de solicita</w:t>
      </w:r>
      <w:r w:rsidR="00FA314F">
        <w:rPr>
          <w:rFonts w:ascii="Arial" w:eastAsia="Calibri" w:hAnsi="Arial" w:cs="Arial"/>
          <w:bCs/>
          <w:sz w:val="22"/>
          <w:lang w:val="es-ES_tradnl"/>
        </w:rPr>
        <w:t>, y en la que se da cuenta que la política legislativa apunta a reconocer como experiencia profesional, incluso, la que se obtiene en prácticas laborales previas a conseguir el título profesional</w:t>
      </w:r>
      <w:r w:rsidR="007D28A1">
        <w:rPr>
          <w:rFonts w:ascii="Arial" w:eastAsia="Calibri" w:hAnsi="Arial" w:cs="Arial"/>
          <w:bCs/>
          <w:sz w:val="22"/>
          <w:lang w:val="es-ES_tradnl"/>
        </w:rPr>
        <w:t xml:space="preserve">, con miras a garantizar la inclusión de los jóvenes en el motor productivo colombiano, </w:t>
      </w:r>
      <w:r w:rsidR="007C723B">
        <w:rPr>
          <w:rFonts w:ascii="Arial" w:eastAsia="Calibri" w:hAnsi="Arial" w:cs="Arial"/>
          <w:bCs/>
          <w:sz w:val="22"/>
          <w:lang w:val="es-ES_tradnl"/>
        </w:rPr>
        <w:t xml:space="preserve">y </w:t>
      </w:r>
      <w:r w:rsidR="007D28A1">
        <w:rPr>
          <w:rFonts w:ascii="Arial" w:eastAsia="Calibri" w:hAnsi="Arial" w:cs="Arial"/>
          <w:bCs/>
          <w:sz w:val="22"/>
          <w:lang w:val="es-ES_tradnl"/>
        </w:rPr>
        <w:t xml:space="preserve">sin </w:t>
      </w:r>
      <w:r w:rsidR="007D28A1" w:rsidRPr="002935EC">
        <w:rPr>
          <w:rFonts w:ascii="Arial" w:eastAsia="Calibri" w:hAnsi="Arial" w:cs="Arial"/>
          <w:bCs/>
          <w:sz w:val="22"/>
          <w:lang w:val="es-ES_tradnl"/>
        </w:rPr>
        <w:t>dist</w:t>
      </w:r>
      <w:r w:rsidR="00571534" w:rsidRPr="002935EC">
        <w:rPr>
          <w:rFonts w:ascii="Arial" w:eastAsia="Calibri" w:hAnsi="Arial" w:cs="Arial"/>
          <w:bCs/>
          <w:sz w:val="22"/>
          <w:lang w:val="es-ES_tradnl"/>
        </w:rPr>
        <w:t>inguir</w:t>
      </w:r>
      <w:r w:rsidR="007D28A1" w:rsidRPr="0019564A">
        <w:rPr>
          <w:rFonts w:ascii="Arial" w:eastAsia="Calibri" w:hAnsi="Arial" w:cs="Arial"/>
          <w:bCs/>
          <w:sz w:val="22"/>
          <w:lang w:val="es-ES_tradnl"/>
        </w:rPr>
        <w:t xml:space="preserve"> la naturaleza</w:t>
      </w:r>
      <w:r w:rsidR="007D28A1">
        <w:rPr>
          <w:rFonts w:ascii="Arial" w:eastAsia="Calibri" w:hAnsi="Arial" w:cs="Arial"/>
          <w:bCs/>
          <w:sz w:val="22"/>
          <w:lang w:val="es-ES_tradnl"/>
        </w:rPr>
        <w:t xml:space="preserve"> de la profesión ejercida</w:t>
      </w:r>
      <w:r w:rsidR="00A514AE">
        <w:rPr>
          <w:rFonts w:ascii="Arial" w:eastAsia="Calibri" w:hAnsi="Arial" w:cs="Arial"/>
          <w:bCs/>
          <w:sz w:val="22"/>
          <w:lang w:val="es-ES_tradnl"/>
        </w:rPr>
        <w:t xml:space="preserve">. Esto se puede </w:t>
      </w:r>
      <w:r w:rsidR="007D28A1">
        <w:rPr>
          <w:rFonts w:ascii="Arial" w:eastAsia="Calibri" w:hAnsi="Arial" w:cs="Arial"/>
          <w:bCs/>
          <w:sz w:val="22"/>
          <w:lang w:val="es-ES_tradnl"/>
        </w:rPr>
        <w:t xml:space="preserve">verificar al consultar, por un lado, las Bases del Plan Nacional de Desarrollo 2018-2020 − Literal G «Juventud Naranja», </w:t>
      </w:r>
      <w:r w:rsidR="007D28A1" w:rsidRPr="007D28A1">
        <w:rPr>
          <w:rFonts w:ascii="Arial" w:eastAsia="Calibri" w:hAnsi="Arial" w:cs="Arial"/>
          <w:bCs/>
          <w:sz w:val="22"/>
          <w:lang w:val="es-ES_tradnl"/>
        </w:rPr>
        <w:t>Objetivo 3</w:t>
      </w:r>
      <w:r w:rsidR="007D28A1">
        <w:rPr>
          <w:rFonts w:ascii="Arial" w:eastAsia="Calibri" w:hAnsi="Arial" w:cs="Arial"/>
          <w:bCs/>
          <w:sz w:val="22"/>
          <w:lang w:val="es-ES_tradnl"/>
        </w:rPr>
        <w:t xml:space="preserve"> «</w:t>
      </w:r>
      <w:r w:rsidR="007D28A1" w:rsidRPr="007D28A1">
        <w:rPr>
          <w:rFonts w:ascii="Arial" w:eastAsia="Calibri" w:hAnsi="Arial" w:cs="Arial"/>
          <w:bCs/>
          <w:sz w:val="22"/>
          <w:lang w:val="es-ES_tradnl"/>
        </w:rPr>
        <w:t>Fortalecer la calidad y la pertinencia de la</w:t>
      </w:r>
      <w:r w:rsidR="007D28A1">
        <w:rPr>
          <w:rFonts w:ascii="Arial" w:eastAsia="Calibri" w:hAnsi="Arial" w:cs="Arial"/>
          <w:bCs/>
          <w:sz w:val="22"/>
          <w:lang w:val="es-ES_tradnl"/>
        </w:rPr>
        <w:t xml:space="preserve"> </w:t>
      </w:r>
      <w:r w:rsidR="007D28A1" w:rsidRPr="007D28A1">
        <w:rPr>
          <w:rFonts w:ascii="Arial" w:eastAsia="Calibri" w:hAnsi="Arial" w:cs="Arial"/>
          <w:bCs/>
          <w:sz w:val="22"/>
          <w:lang w:val="es-ES_tradnl"/>
        </w:rPr>
        <w:t>educación acorde a las expectativas de desarrollo social y</w:t>
      </w:r>
      <w:r w:rsidR="007D28A1">
        <w:rPr>
          <w:rFonts w:ascii="Arial" w:eastAsia="Calibri" w:hAnsi="Arial" w:cs="Arial"/>
          <w:bCs/>
          <w:sz w:val="22"/>
          <w:lang w:val="es-ES_tradnl"/>
        </w:rPr>
        <w:t xml:space="preserve"> </w:t>
      </w:r>
      <w:r w:rsidR="007D28A1" w:rsidRPr="007D28A1">
        <w:rPr>
          <w:rFonts w:ascii="Arial" w:eastAsia="Calibri" w:hAnsi="Arial" w:cs="Arial"/>
          <w:bCs/>
          <w:sz w:val="22"/>
          <w:lang w:val="es-ES_tradnl"/>
        </w:rPr>
        <w:t>productivo</w:t>
      </w:r>
      <w:r w:rsidR="007D28A1">
        <w:rPr>
          <w:rFonts w:ascii="Arial" w:eastAsia="Calibri" w:hAnsi="Arial" w:cs="Arial"/>
          <w:bCs/>
          <w:sz w:val="22"/>
          <w:lang w:val="es-ES_tradnl"/>
        </w:rPr>
        <w:t>»</w:t>
      </w:r>
      <w:r w:rsidR="007D28A1">
        <w:rPr>
          <w:rStyle w:val="Refdenotaalpie"/>
          <w:rFonts w:ascii="Arial" w:eastAsia="Calibri" w:hAnsi="Arial" w:cs="Arial"/>
          <w:bCs/>
          <w:sz w:val="22"/>
          <w:lang w:val="es-ES_tradnl"/>
        </w:rPr>
        <w:footnoteReference w:id="14"/>
      </w:r>
      <w:r w:rsidR="007D28A1">
        <w:rPr>
          <w:rFonts w:ascii="Arial" w:eastAsia="Calibri" w:hAnsi="Arial" w:cs="Arial"/>
          <w:bCs/>
          <w:sz w:val="22"/>
          <w:lang w:val="es-ES_tradnl"/>
        </w:rPr>
        <w:t xml:space="preserve"> y, por el otro, los </w:t>
      </w:r>
      <w:r w:rsidR="007D28A1">
        <w:rPr>
          <w:rFonts w:ascii="Arial" w:eastAsia="Calibri" w:hAnsi="Arial" w:cs="Arial"/>
          <w:bCs/>
          <w:sz w:val="22"/>
          <w:lang w:val="es-ES_tradnl"/>
        </w:rPr>
        <w:lastRenderedPageBreak/>
        <w:t>antecedentes legislativos de la disposición, contenidos en las Gacetas 33, 130, 133, 136 y 273 de 2019 «Cámara» y las Gacetas 33, 131, 135, 272 y 315 de</w:t>
      </w:r>
      <w:r w:rsidR="00DC6018">
        <w:rPr>
          <w:rFonts w:ascii="Arial" w:eastAsia="Calibri" w:hAnsi="Arial" w:cs="Arial"/>
          <w:bCs/>
          <w:sz w:val="22"/>
          <w:lang w:val="es-ES_tradnl"/>
        </w:rPr>
        <w:t>l año</w:t>
      </w:r>
      <w:r w:rsidR="007D28A1">
        <w:rPr>
          <w:rFonts w:ascii="Arial" w:eastAsia="Calibri" w:hAnsi="Arial" w:cs="Arial"/>
          <w:bCs/>
          <w:sz w:val="22"/>
          <w:lang w:val="es-ES_tradnl"/>
        </w:rPr>
        <w:t xml:space="preserve"> 2019 «Senado».</w:t>
      </w:r>
    </w:p>
    <w:p w14:paraId="162A20D0" w14:textId="0D0D6373" w:rsidR="000835B7" w:rsidRDefault="007D28A1" w:rsidP="007D28A1">
      <w:pPr>
        <w:tabs>
          <w:tab w:val="left" w:pos="709"/>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tab/>
      </w:r>
      <w:r w:rsidR="00A05DA6">
        <w:rPr>
          <w:rFonts w:ascii="Arial" w:eastAsia="Calibri" w:hAnsi="Arial" w:cs="Arial"/>
          <w:bCs/>
          <w:sz w:val="22"/>
          <w:lang w:val="es-ES_tradnl"/>
        </w:rPr>
        <w:t>De todos modos, aun haciendo abstracción de lo dicho ante</w:t>
      </w:r>
      <w:r w:rsidR="00D6781D">
        <w:rPr>
          <w:rFonts w:ascii="Arial" w:eastAsia="Calibri" w:hAnsi="Arial" w:cs="Arial"/>
          <w:bCs/>
          <w:sz w:val="22"/>
          <w:lang w:val="es-ES_tradnl"/>
        </w:rPr>
        <w:t>riormente</w:t>
      </w:r>
      <w:r w:rsidR="00A05DA6">
        <w:rPr>
          <w:rFonts w:ascii="Arial" w:eastAsia="Calibri" w:hAnsi="Arial" w:cs="Arial"/>
          <w:bCs/>
          <w:sz w:val="22"/>
          <w:lang w:val="es-ES_tradnl"/>
        </w:rPr>
        <w:t xml:space="preserve">, esta Subdirección considera </w:t>
      </w:r>
      <w:r w:rsidR="00BA3902">
        <w:rPr>
          <w:rFonts w:ascii="Arial" w:eastAsia="Calibri" w:hAnsi="Arial" w:cs="Arial"/>
          <w:bCs/>
          <w:sz w:val="22"/>
          <w:lang w:val="es-ES_tradnl"/>
        </w:rPr>
        <w:t xml:space="preserve">importante tener en cuenta que </w:t>
      </w:r>
      <w:r w:rsidR="00D6781D">
        <w:rPr>
          <w:rFonts w:ascii="Arial" w:eastAsia="Calibri" w:hAnsi="Arial" w:cs="Arial"/>
          <w:bCs/>
          <w:sz w:val="22"/>
          <w:lang w:val="es-ES_tradnl"/>
        </w:rPr>
        <w:t xml:space="preserve">la Circular Externa Única de 2019 fue expedida </w:t>
      </w:r>
      <w:r w:rsidR="000835B7">
        <w:rPr>
          <w:rFonts w:ascii="Arial" w:eastAsia="Calibri" w:hAnsi="Arial" w:cs="Arial"/>
          <w:bCs/>
          <w:sz w:val="22"/>
          <w:lang w:val="es-ES_tradnl"/>
        </w:rPr>
        <w:t>en abril del año 2019, momento para el cual la Agencia Nacional de Contratación Estatal sostenía</w:t>
      </w:r>
      <w:r w:rsidR="00D6781D">
        <w:rPr>
          <w:rFonts w:ascii="Arial" w:eastAsia="Calibri" w:hAnsi="Arial" w:cs="Arial"/>
          <w:bCs/>
          <w:sz w:val="22"/>
          <w:lang w:val="es-ES_tradnl"/>
        </w:rPr>
        <w:t xml:space="preserve"> </w:t>
      </w:r>
      <w:r w:rsidR="000835B7">
        <w:rPr>
          <w:rFonts w:ascii="Arial" w:eastAsia="Calibri" w:hAnsi="Arial" w:cs="Arial"/>
          <w:bCs/>
          <w:sz w:val="22"/>
          <w:lang w:val="es-ES_tradnl"/>
        </w:rPr>
        <w:t xml:space="preserve">una </w:t>
      </w:r>
      <w:r w:rsidR="00D6781D">
        <w:rPr>
          <w:rFonts w:ascii="Arial" w:eastAsia="Calibri" w:hAnsi="Arial" w:cs="Arial"/>
          <w:bCs/>
          <w:sz w:val="22"/>
          <w:lang w:val="es-ES_tradnl"/>
        </w:rPr>
        <w:t xml:space="preserve">tesis diferente en relación con la vigencia del artículo 12 de la Ley 842 de 2003, lo cual </w:t>
      </w:r>
      <w:r w:rsidR="000835B7">
        <w:rPr>
          <w:rFonts w:ascii="Arial" w:eastAsia="Calibri" w:hAnsi="Arial" w:cs="Arial"/>
          <w:bCs/>
          <w:i/>
          <w:iCs/>
          <w:sz w:val="22"/>
          <w:lang w:val="es-ES_tradnl"/>
        </w:rPr>
        <w:t xml:space="preserve">prima facie </w:t>
      </w:r>
      <w:r w:rsidR="00066A31">
        <w:rPr>
          <w:rFonts w:ascii="Arial" w:eastAsia="Calibri" w:hAnsi="Arial" w:cs="Arial"/>
          <w:bCs/>
          <w:sz w:val="22"/>
          <w:lang w:val="es-ES_tradnl"/>
        </w:rPr>
        <w:t>explicaría</w:t>
      </w:r>
      <w:r w:rsidR="00D6781D">
        <w:rPr>
          <w:rFonts w:ascii="Arial" w:eastAsia="Calibri" w:hAnsi="Arial" w:cs="Arial"/>
          <w:bCs/>
          <w:sz w:val="22"/>
          <w:lang w:val="es-ES_tradnl"/>
        </w:rPr>
        <w:t xml:space="preserve"> la aparente oposición de criterios que exponen los ciudadanos solicitantes. </w:t>
      </w:r>
    </w:p>
    <w:p w14:paraId="29052961" w14:textId="38D1CA64" w:rsidR="00ED40AB" w:rsidRDefault="00F6645F" w:rsidP="009B503A">
      <w:pPr>
        <w:tabs>
          <w:tab w:val="left" w:pos="709"/>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tab/>
      </w:r>
      <w:r w:rsidR="000835B7">
        <w:rPr>
          <w:rFonts w:ascii="Arial" w:eastAsia="Calibri" w:hAnsi="Arial" w:cs="Arial"/>
          <w:bCs/>
          <w:sz w:val="22"/>
          <w:lang w:val="es-ES_tradnl"/>
        </w:rPr>
        <w:t>Al re</w:t>
      </w:r>
      <w:r>
        <w:rPr>
          <w:rFonts w:ascii="Arial" w:eastAsia="Calibri" w:hAnsi="Arial" w:cs="Arial"/>
          <w:bCs/>
          <w:sz w:val="22"/>
          <w:lang w:val="es-ES_tradnl"/>
        </w:rPr>
        <w:t>s</w:t>
      </w:r>
      <w:r w:rsidR="000835B7">
        <w:rPr>
          <w:rFonts w:ascii="Arial" w:eastAsia="Calibri" w:hAnsi="Arial" w:cs="Arial"/>
          <w:bCs/>
          <w:sz w:val="22"/>
          <w:lang w:val="es-ES_tradnl"/>
        </w:rPr>
        <w:t>pecto</w:t>
      </w:r>
      <w:r w:rsidR="00D6781D">
        <w:rPr>
          <w:rFonts w:ascii="Arial" w:eastAsia="Calibri" w:hAnsi="Arial" w:cs="Arial"/>
          <w:bCs/>
          <w:sz w:val="22"/>
          <w:lang w:val="es-ES_tradnl"/>
        </w:rPr>
        <w:t xml:space="preserve">, es necesario tener en cuenta </w:t>
      </w:r>
      <w:r>
        <w:rPr>
          <w:rFonts w:ascii="Arial" w:eastAsia="Calibri" w:hAnsi="Arial" w:cs="Arial"/>
          <w:bCs/>
          <w:sz w:val="22"/>
          <w:lang w:val="es-ES_tradnl"/>
        </w:rPr>
        <w:t xml:space="preserve">que una cosa es una contradicción y, otra diferente, la modificación del criterio jurídico. En el primer evento, lo que ocurre es que en un mismo periodo se exponen argumentos </w:t>
      </w:r>
      <w:r w:rsidR="0003777D">
        <w:rPr>
          <w:rFonts w:ascii="Arial" w:eastAsia="Calibri" w:hAnsi="Arial" w:cs="Arial"/>
          <w:bCs/>
          <w:sz w:val="22"/>
          <w:lang w:val="es-ES_tradnl"/>
        </w:rPr>
        <w:t>contrapuestos</w:t>
      </w:r>
      <w:r>
        <w:rPr>
          <w:rFonts w:ascii="Arial" w:eastAsia="Calibri" w:hAnsi="Arial" w:cs="Arial"/>
          <w:bCs/>
          <w:sz w:val="22"/>
          <w:lang w:val="es-ES_tradnl"/>
        </w:rPr>
        <w:t xml:space="preserve">, mientras que, en la segunda hipótesis, se cambia o modifica </w:t>
      </w:r>
      <w:r w:rsidR="0019564A">
        <w:rPr>
          <w:rFonts w:ascii="Arial" w:eastAsia="Calibri" w:hAnsi="Arial" w:cs="Arial"/>
          <w:bCs/>
          <w:sz w:val="22"/>
          <w:lang w:val="es-ES_tradnl"/>
        </w:rPr>
        <w:t xml:space="preserve">de forma motivada </w:t>
      </w:r>
      <w:r>
        <w:rPr>
          <w:rFonts w:ascii="Arial" w:eastAsia="Calibri" w:hAnsi="Arial" w:cs="Arial"/>
          <w:bCs/>
          <w:sz w:val="22"/>
          <w:lang w:val="es-ES_tradnl"/>
        </w:rPr>
        <w:t xml:space="preserve">un argumento que se venía sosteniendo y, partir de allí, el nuevo argumento se </w:t>
      </w:r>
      <w:r w:rsidR="0003777D">
        <w:rPr>
          <w:rFonts w:ascii="Arial" w:eastAsia="Calibri" w:hAnsi="Arial" w:cs="Arial"/>
          <w:bCs/>
          <w:sz w:val="22"/>
          <w:lang w:val="es-ES_tradnl"/>
        </w:rPr>
        <w:t>reitera</w:t>
      </w:r>
      <w:r>
        <w:rPr>
          <w:rFonts w:ascii="Arial" w:eastAsia="Calibri" w:hAnsi="Arial" w:cs="Arial"/>
          <w:bCs/>
          <w:sz w:val="22"/>
          <w:lang w:val="es-ES_tradnl"/>
        </w:rPr>
        <w:t xml:space="preserve"> de forma pacífica. </w:t>
      </w:r>
      <w:r w:rsidR="00A22130">
        <w:rPr>
          <w:rFonts w:ascii="Arial" w:eastAsia="Calibri" w:hAnsi="Arial" w:cs="Arial"/>
          <w:bCs/>
          <w:sz w:val="22"/>
          <w:lang w:val="es-ES_tradnl"/>
        </w:rPr>
        <w:t>Por otro lado, es necesario precisar que no es cierto que el cambio de criterio se hubiera dado sin argumentos «ni mayor análisis»</w:t>
      </w:r>
      <w:r w:rsidR="0003777D">
        <w:rPr>
          <w:rFonts w:ascii="Arial" w:eastAsia="Calibri" w:hAnsi="Arial" w:cs="Arial"/>
          <w:bCs/>
          <w:sz w:val="22"/>
          <w:lang w:val="es-ES_tradnl"/>
        </w:rPr>
        <w:t>. P</w:t>
      </w:r>
      <w:r w:rsidR="00A22130">
        <w:rPr>
          <w:rFonts w:ascii="Arial" w:eastAsia="Calibri" w:hAnsi="Arial" w:cs="Arial"/>
          <w:bCs/>
          <w:sz w:val="22"/>
          <w:lang w:val="es-ES_tradnl"/>
        </w:rPr>
        <w:t xml:space="preserve">or el contrario, en los conceptos </w:t>
      </w:r>
      <w:r w:rsidR="00A22130">
        <w:rPr>
          <w:rFonts w:ascii="Arial" w:eastAsia="Calibri" w:hAnsi="Arial" w:cs="Arial"/>
          <w:bCs/>
          <w:i/>
          <w:iCs/>
          <w:sz w:val="22"/>
          <w:lang w:val="es-ES_tradnl"/>
        </w:rPr>
        <w:t xml:space="preserve">sub examine </w:t>
      </w:r>
      <w:r w:rsidR="00A22130">
        <w:rPr>
          <w:rFonts w:ascii="Arial" w:eastAsia="Calibri" w:hAnsi="Arial" w:cs="Arial"/>
          <w:bCs/>
          <w:sz w:val="22"/>
          <w:lang w:val="es-ES_tradnl"/>
        </w:rPr>
        <w:t xml:space="preserve">se expusieron todos los argumentos de orden legal, jurisprudencial y doctrinario que sirvieron </w:t>
      </w:r>
      <w:r w:rsidR="0019564A">
        <w:rPr>
          <w:rFonts w:ascii="Arial" w:eastAsia="Calibri" w:hAnsi="Arial" w:cs="Arial"/>
          <w:bCs/>
          <w:sz w:val="22"/>
          <w:lang w:val="es-ES_tradnl"/>
        </w:rPr>
        <w:t>para cambiar de criterio</w:t>
      </w:r>
      <w:r w:rsidR="00A22130" w:rsidRPr="00A22130">
        <w:rPr>
          <w:rFonts w:ascii="Arial" w:eastAsia="Calibri" w:hAnsi="Arial" w:cs="Arial"/>
          <w:bCs/>
          <w:sz w:val="22"/>
          <w:lang w:val="es-ES_tradnl"/>
        </w:rPr>
        <w:t xml:space="preserve">. </w:t>
      </w:r>
      <w:r w:rsidR="00ED40AB">
        <w:rPr>
          <w:rFonts w:ascii="Arial" w:eastAsia="Calibri" w:hAnsi="Arial" w:cs="Arial"/>
          <w:bCs/>
          <w:sz w:val="22"/>
          <w:lang w:val="es-ES_tradnl"/>
        </w:rPr>
        <w:t>En términos generales,</w:t>
      </w:r>
      <w:r w:rsidR="00FE5287">
        <w:rPr>
          <w:rFonts w:ascii="Arial" w:eastAsia="Calibri" w:hAnsi="Arial" w:cs="Arial"/>
          <w:bCs/>
          <w:sz w:val="22"/>
          <w:lang w:val="es-ES_tradnl"/>
        </w:rPr>
        <w:t xml:space="preserve"> en los conceptos </w:t>
      </w:r>
      <w:r w:rsidR="00FE5287">
        <w:rPr>
          <w:rFonts w:ascii="Arial" w:eastAsia="Calibri" w:hAnsi="Arial" w:cs="Arial"/>
          <w:bCs/>
          <w:i/>
          <w:iCs/>
          <w:sz w:val="22"/>
          <w:lang w:val="es-ES_tradnl"/>
        </w:rPr>
        <w:t>sub examine</w:t>
      </w:r>
      <w:r w:rsidR="00ED40AB">
        <w:rPr>
          <w:rFonts w:ascii="Arial" w:eastAsia="Calibri" w:hAnsi="Arial" w:cs="Arial"/>
          <w:bCs/>
          <w:sz w:val="22"/>
          <w:lang w:val="es-ES_tradnl"/>
        </w:rPr>
        <w:t xml:space="preserve"> la entidad se planteó la siguiente pregunta «</w:t>
      </w:r>
      <w:r w:rsidR="00ED40AB" w:rsidRPr="00ED40AB">
        <w:rPr>
          <w:rFonts w:ascii="Arial" w:eastAsia="Calibri" w:hAnsi="Arial" w:cs="Arial"/>
          <w:bCs/>
          <w:sz w:val="22"/>
          <w:lang w:val="es-ES_tradnl"/>
        </w:rPr>
        <w:t>¿cuál es la normativa aplicable, para contabilizar el</w:t>
      </w:r>
      <w:r w:rsidR="00ED40AB">
        <w:rPr>
          <w:rFonts w:ascii="Arial" w:eastAsia="Calibri" w:hAnsi="Arial" w:cs="Arial"/>
          <w:bCs/>
          <w:sz w:val="22"/>
          <w:lang w:val="es-ES_tradnl"/>
        </w:rPr>
        <w:t xml:space="preserve"> </w:t>
      </w:r>
      <w:r w:rsidR="00ED40AB" w:rsidRPr="00ED40AB">
        <w:rPr>
          <w:rFonts w:ascii="Arial" w:eastAsia="Calibri" w:hAnsi="Arial" w:cs="Arial"/>
          <w:bCs/>
          <w:sz w:val="22"/>
          <w:lang w:val="es-ES_tradnl"/>
        </w:rPr>
        <w:t>término de la experiencia profesional para los ingenieros, el artículo 12 de la Ley 842 de</w:t>
      </w:r>
      <w:r w:rsidR="00ED40AB">
        <w:rPr>
          <w:rFonts w:ascii="Arial" w:eastAsia="Calibri" w:hAnsi="Arial" w:cs="Arial"/>
          <w:bCs/>
          <w:sz w:val="22"/>
          <w:lang w:val="es-ES_tradnl"/>
        </w:rPr>
        <w:t xml:space="preserve"> </w:t>
      </w:r>
      <w:r w:rsidR="00ED40AB" w:rsidRPr="00ED40AB">
        <w:rPr>
          <w:rFonts w:ascii="Arial" w:eastAsia="Calibri" w:hAnsi="Arial" w:cs="Arial"/>
          <w:bCs/>
          <w:sz w:val="22"/>
          <w:lang w:val="es-ES_tradnl"/>
        </w:rPr>
        <w:t>2003 o el artículo 229 del Decreto 019 de 2012 que establece que sea a partir de la</w:t>
      </w:r>
      <w:r w:rsidR="00ED40AB">
        <w:rPr>
          <w:rFonts w:ascii="Arial" w:eastAsia="Calibri" w:hAnsi="Arial" w:cs="Arial"/>
          <w:bCs/>
          <w:sz w:val="22"/>
          <w:lang w:val="es-ES_tradnl"/>
        </w:rPr>
        <w:t xml:space="preserve"> </w:t>
      </w:r>
      <w:r w:rsidR="00ED40AB" w:rsidRPr="00ED40AB">
        <w:rPr>
          <w:rFonts w:ascii="Arial" w:eastAsia="Calibri" w:hAnsi="Arial" w:cs="Arial"/>
          <w:bCs/>
          <w:sz w:val="22"/>
          <w:lang w:val="es-ES_tradnl"/>
        </w:rPr>
        <w:t>terminación y aprobación del pénsum académico?</w:t>
      </w:r>
      <w:r w:rsidR="00ED40AB">
        <w:rPr>
          <w:rFonts w:ascii="Arial" w:eastAsia="Calibri" w:hAnsi="Arial" w:cs="Arial"/>
          <w:bCs/>
          <w:sz w:val="22"/>
          <w:lang w:val="es-ES_tradnl"/>
        </w:rPr>
        <w:t>»</w:t>
      </w:r>
      <w:r w:rsidR="0003777D">
        <w:rPr>
          <w:rFonts w:ascii="Arial" w:eastAsia="Calibri" w:hAnsi="Arial" w:cs="Arial"/>
          <w:bCs/>
          <w:sz w:val="22"/>
          <w:lang w:val="es-ES_tradnl"/>
        </w:rPr>
        <w:t>, i</w:t>
      </w:r>
      <w:r w:rsidR="00ED40AB">
        <w:rPr>
          <w:rFonts w:ascii="Arial" w:eastAsia="Calibri" w:hAnsi="Arial" w:cs="Arial"/>
          <w:bCs/>
          <w:sz w:val="22"/>
          <w:lang w:val="es-ES_tradnl"/>
        </w:rPr>
        <w:t xml:space="preserve">nterrogante que </w:t>
      </w:r>
      <w:r w:rsidR="00C25B70">
        <w:rPr>
          <w:rFonts w:ascii="Arial" w:eastAsia="Calibri" w:hAnsi="Arial" w:cs="Arial"/>
          <w:bCs/>
          <w:sz w:val="22"/>
          <w:lang w:val="es-ES_tradnl"/>
        </w:rPr>
        <w:t xml:space="preserve">se </w:t>
      </w:r>
      <w:r w:rsidR="00ED40AB">
        <w:rPr>
          <w:rFonts w:ascii="Arial" w:eastAsia="Calibri" w:hAnsi="Arial" w:cs="Arial"/>
          <w:bCs/>
          <w:sz w:val="22"/>
          <w:lang w:val="es-ES_tradnl"/>
        </w:rPr>
        <w:t xml:space="preserve">respondió en favor de la segunda norma, para lo cual analizó </w:t>
      </w:r>
      <w:r w:rsidR="00762DF8">
        <w:rPr>
          <w:rFonts w:ascii="Arial" w:eastAsia="Calibri" w:hAnsi="Arial" w:cs="Arial"/>
          <w:bCs/>
          <w:sz w:val="22"/>
          <w:lang w:val="es-ES_tradnl"/>
        </w:rPr>
        <w:t xml:space="preserve">su </w:t>
      </w:r>
      <w:r w:rsidR="00ED40AB">
        <w:rPr>
          <w:rFonts w:ascii="Arial" w:eastAsia="Calibri" w:hAnsi="Arial" w:cs="Arial"/>
          <w:bCs/>
          <w:sz w:val="22"/>
          <w:lang w:val="es-ES_tradnl"/>
        </w:rPr>
        <w:t xml:space="preserve">contenido, </w:t>
      </w:r>
      <w:r w:rsidR="00762DF8">
        <w:rPr>
          <w:rFonts w:ascii="Arial" w:eastAsia="Calibri" w:hAnsi="Arial" w:cs="Arial"/>
          <w:bCs/>
          <w:sz w:val="22"/>
          <w:lang w:val="es-ES_tradnl"/>
        </w:rPr>
        <w:t xml:space="preserve">así como </w:t>
      </w:r>
      <w:r w:rsidR="00ED40AB">
        <w:rPr>
          <w:rFonts w:ascii="Arial" w:eastAsia="Calibri" w:hAnsi="Arial" w:cs="Arial"/>
          <w:bCs/>
          <w:sz w:val="22"/>
          <w:lang w:val="es-ES_tradnl"/>
        </w:rPr>
        <w:t xml:space="preserve">el de otras normas como el artículo </w:t>
      </w:r>
      <w:r w:rsidR="00ED40AB" w:rsidRPr="00ED40AB">
        <w:rPr>
          <w:rFonts w:ascii="Arial" w:eastAsia="Calibri" w:hAnsi="Arial" w:cs="Arial"/>
          <w:bCs/>
          <w:sz w:val="22"/>
          <w:lang w:val="es-ES_tradnl"/>
        </w:rPr>
        <w:t>2.2.1.2.1.4.9</w:t>
      </w:r>
      <w:r w:rsidR="00ED40AB">
        <w:rPr>
          <w:rFonts w:ascii="Arial" w:eastAsia="Calibri" w:hAnsi="Arial" w:cs="Arial"/>
          <w:bCs/>
          <w:sz w:val="22"/>
          <w:lang w:val="es-ES_tradnl"/>
        </w:rPr>
        <w:t xml:space="preserve"> del Decreto 1082 de 2015 y el artículo 1 de la Ley 190 de 1995</w:t>
      </w:r>
      <w:r w:rsidR="00762DF8">
        <w:rPr>
          <w:rFonts w:ascii="Arial" w:eastAsia="Calibri" w:hAnsi="Arial" w:cs="Arial"/>
          <w:bCs/>
          <w:sz w:val="22"/>
          <w:lang w:val="es-ES_tradnl"/>
        </w:rPr>
        <w:t xml:space="preserve">, </w:t>
      </w:r>
      <w:r w:rsidR="00C25B70">
        <w:rPr>
          <w:rFonts w:ascii="Arial" w:eastAsia="Calibri" w:hAnsi="Arial" w:cs="Arial"/>
          <w:bCs/>
          <w:sz w:val="22"/>
          <w:lang w:val="es-ES_tradnl"/>
        </w:rPr>
        <w:t xml:space="preserve">el de </w:t>
      </w:r>
      <w:r w:rsidR="00762DF8">
        <w:rPr>
          <w:rFonts w:ascii="Arial" w:eastAsia="Calibri" w:hAnsi="Arial" w:cs="Arial"/>
          <w:bCs/>
          <w:sz w:val="22"/>
          <w:lang w:val="es-ES_tradnl"/>
        </w:rPr>
        <w:t>la jurisprudencia constitucional sobre derogatoria de normas</w:t>
      </w:r>
      <w:r w:rsidR="00ED40AB">
        <w:rPr>
          <w:rFonts w:ascii="Arial" w:eastAsia="Calibri" w:hAnsi="Arial" w:cs="Arial"/>
          <w:bCs/>
          <w:sz w:val="22"/>
          <w:lang w:val="es-ES_tradnl"/>
        </w:rPr>
        <w:t xml:space="preserve"> e, incluso</w:t>
      </w:r>
      <w:r w:rsidR="00762DF8">
        <w:rPr>
          <w:rFonts w:ascii="Arial" w:eastAsia="Calibri" w:hAnsi="Arial" w:cs="Arial"/>
          <w:bCs/>
          <w:sz w:val="22"/>
          <w:lang w:val="es-ES_tradnl"/>
        </w:rPr>
        <w:t>,</w:t>
      </w:r>
      <w:r w:rsidR="00ED40AB">
        <w:rPr>
          <w:rFonts w:ascii="Arial" w:eastAsia="Calibri" w:hAnsi="Arial" w:cs="Arial"/>
          <w:bCs/>
          <w:sz w:val="22"/>
          <w:lang w:val="es-ES_tradnl"/>
        </w:rPr>
        <w:t xml:space="preserve"> </w:t>
      </w:r>
      <w:r w:rsidR="00C25B70">
        <w:rPr>
          <w:rFonts w:ascii="Arial" w:eastAsia="Calibri" w:hAnsi="Arial" w:cs="Arial"/>
          <w:bCs/>
          <w:sz w:val="22"/>
          <w:lang w:val="es-ES_tradnl"/>
        </w:rPr>
        <w:t xml:space="preserve">el de </w:t>
      </w:r>
      <w:r w:rsidR="00ED40AB">
        <w:rPr>
          <w:rFonts w:ascii="Arial" w:eastAsia="Calibri" w:hAnsi="Arial" w:cs="Arial"/>
          <w:bCs/>
          <w:sz w:val="22"/>
          <w:lang w:val="es-ES_tradnl"/>
        </w:rPr>
        <w:t>la Circular Externa Única del año 2019.</w:t>
      </w:r>
    </w:p>
    <w:p w14:paraId="10867E80" w14:textId="416EDA32" w:rsidR="00A05DA6" w:rsidRPr="00A22130" w:rsidRDefault="00ED40AB" w:rsidP="00787B8A">
      <w:pPr>
        <w:tabs>
          <w:tab w:val="left" w:pos="709"/>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tab/>
      </w:r>
      <w:r w:rsidR="00A22130" w:rsidRPr="00A22130">
        <w:rPr>
          <w:rFonts w:ascii="Arial" w:eastAsia="Calibri" w:hAnsi="Arial" w:cs="Arial"/>
          <w:bCs/>
          <w:sz w:val="22"/>
          <w:lang w:val="es-ES_tradnl"/>
        </w:rPr>
        <w:t>Puede</w:t>
      </w:r>
      <w:r w:rsidR="00A22130">
        <w:rPr>
          <w:rFonts w:ascii="Arial" w:eastAsia="Calibri" w:hAnsi="Arial" w:cs="Arial"/>
          <w:bCs/>
          <w:sz w:val="22"/>
          <w:lang w:val="es-ES_tradnl"/>
        </w:rPr>
        <w:t xml:space="preserve"> decirse, pues, que los solicitantes acusan los conceptos por considerarlos carentes de argumentación, cuando, en realidad, lo que exponen</w:t>
      </w:r>
      <w:r w:rsidR="00D67739">
        <w:rPr>
          <w:rFonts w:ascii="Arial" w:eastAsia="Calibri" w:hAnsi="Arial" w:cs="Arial"/>
          <w:bCs/>
          <w:sz w:val="22"/>
          <w:lang w:val="es-ES_tradnl"/>
        </w:rPr>
        <w:t xml:space="preserve"> es</w:t>
      </w:r>
      <w:r w:rsidR="00A22130">
        <w:rPr>
          <w:rFonts w:ascii="Arial" w:eastAsia="Calibri" w:hAnsi="Arial" w:cs="Arial"/>
          <w:bCs/>
          <w:sz w:val="22"/>
          <w:lang w:val="es-ES_tradnl"/>
        </w:rPr>
        <w:t xml:space="preserve"> su inconformidad con </w:t>
      </w:r>
      <w:r w:rsidR="0003777D">
        <w:rPr>
          <w:rFonts w:ascii="Arial" w:eastAsia="Calibri" w:hAnsi="Arial" w:cs="Arial"/>
          <w:bCs/>
          <w:sz w:val="22"/>
          <w:lang w:val="es-ES_tradnl"/>
        </w:rPr>
        <w:t>ella</w:t>
      </w:r>
      <w:r w:rsidR="00A22130">
        <w:rPr>
          <w:rFonts w:ascii="Arial" w:eastAsia="Calibri" w:hAnsi="Arial" w:cs="Arial"/>
          <w:bCs/>
          <w:sz w:val="22"/>
          <w:lang w:val="es-ES_tradnl"/>
        </w:rPr>
        <w:t xml:space="preserve">. Sin embargo, una cosa es </w:t>
      </w:r>
      <w:r w:rsidR="0003777D">
        <w:rPr>
          <w:rFonts w:ascii="Arial" w:eastAsia="Calibri" w:hAnsi="Arial" w:cs="Arial"/>
          <w:bCs/>
          <w:sz w:val="22"/>
          <w:lang w:val="es-ES_tradnl"/>
        </w:rPr>
        <w:t>la ausencia de motivación</w:t>
      </w:r>
      <w:r w:rsidR="00D67739">
        <w:rPr>
          <w:rFonts w:ascii="Arial" w:eastAsia="Calibri" w:hAnsi="Arial" w:cs="Arial"/>
          <w:bCs/>
          <w:sz w:val="22"/>
          <w:lang w:val="es-ES_tradnl"/>
        </w:rPr>
        <w:t xml:space="preserve"> </w:t>
      </w:r>
      <w:r w:rsidR="00A22130">
        <w:rPr>
          <w:rFonts w:ascii="Arial" w:eastAsia="Calibri" w:hAnsi="Arial" w:cs="Arial"/>
          <w:bCs/>
          <w:sz w:val="22"/>
          <w:lang w:val="es-ES_tradnl"/>
        </w:rPr>
        <w:t xml:space="preserve">y otra, </w:t>
      </w:r>
      <w:r w:rsidR="00D67739">
        <w:rPr>
          <w:rFonts w:ascii="Arial" w:eastAsia="Calibri" w:hAnsi="Arial" w:cs="Arial"/>
          <w:bCs/>
          <w:sz w:val="22"/>
          <w:lang w:val="es-ES_tradnl"/>
        </w:rPr>
        <w:t xml:space="preserve">muy </w:t>
      </w:r>
      <w:r w:rsidR="00A22130">
        <w:rPr>
          <w:rFonts w:ascii="Arial" w:eastAsia="Calibri" w:hAnsi="Arial" w:cs="Arial"/>
          <w:bCs/>
          <w:sz w:val="22"/>
          <w:lang w:val="es-ES_tradnl"/>
        </w:rPr>
        <w:t>distinta, que el argumento expuesto no sea compartido. Este último evento, válido por el carácter deliberativo de las ciencias jurídicas, no da cuenta de la materialización de conductas ilegales, arbitrarias o caprichosas</w:t>
      </w:r>
      <w:r w:rsidR="0003777D">
        <w:rPr>
          <w:rFonts w:ascii="Arial" w:eastAsia="Calibri" w:hAnsi="Arial" w:cs="Arial"/>
          <w:bCs/>
          <w:sz w:val="22"/>
          <w:lang w:val="es-ES_tradnl"/>
        </w:rPr>
        <w:t>,</w:t>
      </w:r>
      <w:r w:rsidR="00A22130">
        <w:rPr>
          <w:rFonts w:ascii="Arial" w:eastAsia="Calibri" w:hAnsi="Arial" w:cs="Arial"/>
          <w:bCs/>
          <w:sz w:val="22"/>
          <w:lang w:val="es-ES_tradnl"/>
        </w:rPr>
        <w:t xml:space="preserve"> solo de </w:t>
      </w:r>
      <w:r w:rsidR="00530FD6">
        <w:rPr>
          <w:rFonts w:ascii="Arial" w:eastAsia="Calibri" w:hAnsi="Arial" w:cs="Arial"/>
          <w:bCs/>
          <w:sz w:val="22"/>
          <w:lang w:val="es-ES_tradnl"/>
        </w:rPr>
        <w:t xml:space="preserve">simples </w:t>
      </w:r>
      <w:r w:rsidR="00A22130">
        <w:rPr>
          <w:rFonts w:ascii="Arial" w:eastAsia="Calibri" w:hAnsi="Arial" w:cs="Arial"/>
          <w:bCs/>
          <w:sz w:val="22"/>
          <w:lang w:val="es-ES_tradnl"/>
        </w:rPr>
        <w:t>discrepancias argumentativas.</w:t>
      </w:r>
    </w:p>
    <w:p w14:paraId="7065E81C" w14:textId="5B8EAED1" w:rsidR="00A05DA6" w:rsidRDefault="00E9098C" w:rsidP="00F25909">
      <w:pPr>
        <w:tabs>
          <w:tab w:val="left" w:pos="709"/>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tab/>
        <w:t xml:space="preserve">En suma, se tiene que el argumento expuesto tampoco </w:t>
      </w:r>
      <w:r w:rsidR="0003777D">
        <w:rPr>
          <w:rFonts w:ascii="Arial" w:eastAsia="Calibri" w:hAnsi="Arial" w:cs="Arial"/>
          <w:bCs/>
          <w:sz w:val="22"/>
          <w:lang w:val="es-ES_tradnl"/>
        </w:rPr>
        <w:t>prosperaría</w:t>
      </w:r>
      <w:r>
        <w:rPr>
          <w:rFonts w:ascii="Arial" w:eastAsia="Calibri" w:hAnsi="Arial" w:cs="Arial"/>
          <w:bCs/>
          <w:sz w:val="22"/>
          <w:lang w:val="es-ES_tradnl"/>
        </w:rPr>
        <w:t xml:space="preserve">, pues no existe la contradicción a la que se refirieren los </w:t>
      </w:r>
      <w:r w:rsidR="0003777D">
        <w:rPr>
          <w:rFonts w:ascii="Arial" w:eastAsia="Calibri" w:hAnsi="Arial" w:cs="Arial"/>
          <w:bCs/>
          <w:sz w:val="22"/>
          <w:lang w:val="es-ES_tradnl"/>
        </w:rPr>
        <w:t>s</w:t>
      </w:r>
      <w:r>
        <w:rPr>
          <w:rFonts w:ascii="Arial" w:eastAsia="Calibri" w:hAnsi="Arial" w:cs="Arial"/>
          <w:bCs/>
          <w:sz w:val="22"/>
          <w:lang w:val="es-ES_tradnl"/>
        </w:rPr>
        <w:t>olicitantes. En gracia de discusión</w:t>
      </w:r>
      <w:r w:rsidR="00F25909">
        <w:rPr>
          <w:rFonts w:ascii="Arial" w:eastAsia="Calibri" w:hAnsi="Arial" w:cs="Arial"/>
          <w:bCs/>
          <w:sz w:val="22"/>
          <w:lang w:val="es-ES_tradnl"/>
        </w:rPr>
        <w:t>,</w:t>
      </w:r>
      <w:r>
        <w:rPr>
          <w:rFonts w:ascii="Arial" w:eastAsia="Calibri" w:hAnsi="Arial" w:cs="Arial"/>
          <w:bCs/>
          <w:sz w:val="22"/>
          <w:lang w:val="es-ES_tradnl"/>
        </w:rPr>
        <w:t xml:space="preserve"> lo que se observa es un cambio de postura en relación con un punto de derecho, el cual, además, está debidamente justificado y sustentado. </w:t>
      </w:r>
      <w:r w:rsidR="0019564A">
        <w:rPr>
          <w:rFonts w:ascii="Arial" w:eastAsia="Calibri" w:hAnsi="Arial" w:cs="Arial"/>
          <w:bCs/>
          <w:sz w:val="22"/>
          <w:lang w:val="es-ES_tradnl"/>
        </w:rPr>
        <w:t xml:space="preserve">Una cuestión diferente </w:t>
      </w:r>
      <w:r>
        <w:rPr>
          <w:rFonts w:ascii="Arial" w:eastAsia="Calibri" w:hAnsi="Arial" w:cs="Arial"/>
          <w:bCs/>
          <w:sz w:val="22"/>
          <w:lang w:val="es-ES_tradnl"/>
        </w:rPr>
        <w:t xml:space="preserve">es que estos argumentos no sean compartidos </w:t>
      </w:r>
      <w:r w:rsidR="0003777D">
        <w:rPr>
          <w:rFonts w:ascii="Arial" w:eastAsia="Calibri" w:hAnsi="Arial" w:cs="Arial"/>
          <w:bCs/>
          <w:sz w:val="22"/>
          <w:lang w:val="es-ES_tradnl"/>
        </w:rPr>
        <w:t>por los peticionarios</w:t>
      </w:r>
      <w:r>
        <w:rPr>
          <w:rFonts w:ascii="Arial" w:eastAsia="Calibri" w:hAnsi="Arial" w:cs="Arial"/>
          <w:bCs/>
          <w:sz w:val="22"/>
          <w:lang w:val="es-ES_tradnl"/>
        </w:rPr>
        <w:t>.</w:t>
      </w:r>
    </w:p>
    <w:p w14:paraId="76E644AE" w14:textId="77777777" w:rsidR="00A05DA6" w:rsidRPr="00A05DA6" w:rsidRDefault="00A05DA6" w:rsidP="00C54360">
      <w:pPr>
        <w:tabs>
          <w:tab w:val="left" w:pos="426"/>
        </w:tabs>
        <w:spacing w:line="276" w:lineRule="auto"/>
        <w:jc w:val="both"/>
        <w:rPr>
          <w:rFonts w:ascii="Arial" w:eastAsia="Calibri" w:hAnsi="Arial" w:cs="Arial"/>
          <w:bCs/>
          <w:sz w:val="22"/>
          <w:lang w:val="es-ES_tradnl"/>
        </w:rPr>
      </w:pPr>
    </w:p>
    <w:p w14:paraId="16242BC9" w14:textId="78AD3636" w:rsidR="006C3AA8" w:rsidRDefault="006C3AA8" w:rsidP="00C54360">
      <w:pPr>
        <w:tabs>
          <w:tab w:val="left" w:pos="426"/>
        </w:tabs>
        <w:spacing w:line="276" w:lineRule="auto"/>
        <w:jc w:val="both"/>
        <w:rPr>
          <w:rFonts w:ascii="Arial" w:eastAsia="Calibri" w:hAnsi="Arial" w:cs="Arial"/>
          <w:b/>
          <w:sz w:val="22"/>
          <w:lang w:val="es-ES_tradnl"/>
        </w:rPr>
      </w:pPr>
      <w:r>
        <w:rPr>
          <w:rFonts w:ascii="Arial" w:eastAsia="Calibri" w:hAnsi="Arial" w:cs="Arial"/>
          <w:b/>
          <w:sz w:val="22"/>
          <w:lang w:val="es-ES_tradnl"/>
        </w:rPr>
        <w:lastRenderedPageBreak/>
        <w:t>2.</w:t>
      </w:r>
      <w:r w:rsidR="00127FB4">
        <w:rPr>
          <w:rFonts w:ascii="Arial" w:eastAsia="Calibri" w:hAnsi="Arial" w:cs="Arial"/>
          <w:b/>
          <w:sz w:val="22"/>
          <w:lang w:val="es-ES_tradnl"/>
        </w:rPr>
        <w:t>2</w:t>
      </w:r>
      <w:r>
        <w:rPr>
          <w:rFonts w:ascii="Arial" w:eastAsia="Calibri" w:hAnsi="Arial" w:cs="Arial"/>
          <w:b/>
          <w:sz w:val="22"/>
          <w:lang w:val="es-ES_tradnl"/>
        </w:rPr>
        <w:t xml:space="preserve">.4. </w:t>
      </w:r>
      <w:r w:rsidR="0019564A">
        <w:rPr>
          <w:rFonts w:ascii="Arial" w:eastAsia="Calibri" w:hAnsi="Arial" w:cs="Arial"/>
          <w:b/>
          <w:sz w:val="22"/>
          <w:lang w:val="es-ES_tradnl"/>
        </w:rPr>
        <w:t>D</w:t>
      </w:r>
      <w:r>
        <w:rPr>
          <w:rFonts w:ascii="Arial" w:eastAsia="Calibri" w:hAnsi="Arial" w:cs="Arial"/>
          <w:b/>
          <w:sz w:val="22"/>
          <w:lang w:val="es-ES_tradnl"/>
        </w:rPr>
        <w:t>erogatoria</w:t>
      </w:r>
      <w:r w:rsidR="00493D05">
        <w:rPr>
          <w:rFonts w:ascii="Arial" w:eastAsia="Calibri" w:hAnsi="Arial" w:cs="Arial"/>
          <w:b/>
          <w:sz w:val="22"/>
          <w:lang w:val="es-ES_tradnl"/>
        </w:rPr>
        <w:t xml:space="preserve"> </w:t>
      </w:r>
      <w:r>
        <w:rPr>
          <w:rFonts w:ascii="Arial" w:eastAsia="Calibri" w:hAnsi="Arial" w:cs="Arial"/>
          <w:b/>
          <w:sz w:val="22"/>
          <w:lang w:val="es-ES_tradnl"/>
        </w:rPr>
        <w:t>tácita de la Ley 842 de 2003</w:t>
      </w:r>
    </w:p>
    <w:p w14:paraId="3F063EFC" w14:textId="6DAB263B" w:rsidR="00493D05" w:rsidRPr="00493D05" w:rsidRDefault="00493D05" w:rsidP="00387538">
      <w:pPr>
        <w:tabs>
          <w:tab w:val="left" w:pos="426"/>
        </w:tabs>
        <w:jc w:val="both"/>
        <w:rPr>
          <w:rFonts w:ascii="Arial" w:eastAsia="Calibri" w:hAnsi="Arial" w:cs="Arial"/>
          <w:bCs/>
          <w:sz w:val="22"/>
          <w:lang w:val="es-ES_tradnl"/>
        </w:rPr>
      </w:pPr>
    </w:p>
    <w:p w14:paraId="5D5F7784" w14:textId="7ED23D5C" w:rsidR="008A42EF" w:rsidRDefault="00204F24" w:rsidP="00F25909">
      <w:pPr>
        <w:tabs>
          <w:tab w:val="left" w:pos="426"/>
        </w:tabs>
        <w:spacing w:before="120" w:line="276" w:lineRule="auto"/>
        <w:jc w:val="both"/>
        <w:rPr>
          <w:rFonts w:ascii="Arial" w:eastAsia="Calibri" w:hAnsi="Arial" w:cs="Arial"/>
          <w:bCs/>
          <w:sz w:val="22"/>
          <w:lang w:val="es-ES_tradnl"/>
        </w:rPr>
      </w:pPr>
      <w:r w:rsidRPr="008A42EF">
        <w:rPr>
          <w:rFonts w:ascii="Arial" w:eastAsia="Calibri" w:hAnsi="Arial" w:cs="Arial"/>
          <w:bCs/>
          <w:sz w:val="22"/>
          <w:lang w:val="es-ES_tradnl"/>
        </w:rPr>
        <w:t xml:space="preserve">No consideramos necesario </w:t>
      </w:r>
      <w:r w:rsidR="00493D05" w:rsidRPr="008A42EF">
        <w:rPr>
          <w:rFonts w:ascii="Arial" w:eastAsia="Calibri" w:hAnsi="Arial" w:cs="Arial"/>
          <w:bCs/>
          <w:sz w:val="22"/>
          <w:lang w:val="es-ES_tradnl"/>
        </w:rPr>
        <w:t xml:space="preserve">reiterar las ideas desarrolladas en </w:t>
      </w:r>
      <w:r w:rsidRPr="008A42EF">
        <w:rPr>
          <w:rFonts w:ascii="Arial" w:eastAsia="Calibri" w:hAnsi="Arial" w:cs="Arial"/>
          <w:bCs/>
          <w:sz w:val="22"/>
          <w:lang w:val="es-ES_tradnl"/>
        </w:rPr>
        <w:t>los conceptos cuya revocatoria solicitan los peticionarios, pues del hecho que estos se aparten del criterio expuesto por Colombia Compra Eficiente</w:t>
      </w:r>
      <w:r w:rsidR="00EE385D">
        <w:rPr>
          <w:rFonts w:ascii="Arial" w:eastAsia="Calibri" w:hAnsi="Arial" w:cs="Arial"/>
          <w:bCs/>
          <w:sz w:val="22"/>
          <w:lang w:val="es-ES_tradnl"/>
        </w:rPr>
        <w:t xml:space="preserve"> significa</w:t>
      </w:r>
      <w:r w:rsidRPr="008A42EF">
        <w:rPr>
          <w:rFonts w:ascii="Arial" w:eastAsia="Calibri" w:hAnsi="Arial" w:cs="Arial"/>
          <w:bCs/>
          <w:sz w:val="22"/>
          <w:lang w:val="es-ES_tradnl"/>
        </w:rPr>
        <w:t xml:space="preserve"> que conocen sus fundamentos. Basta con reiterar los argumentos expuestos</w:t>
      </w:r>
      <w:r>
        <w:rPr>
          <w:rFonts w:ascii="Arial" w:eastAsia="Calibri" w:hAnsi="Arial" w:cs="Arial"/>
          <w:bCs/>
          <w:sz w:val="22"/>
          <w:lang w:val="es-ES_tradnl"/>
        </w:rPr>
        <w:t xml:space="preserve"> en los conceptos </w:t>
      </w:r>
      <w:r>
        <w:rPr>
          <w:rFonts w:ascii="Arial" w:eastAsia="Calibri" w:hAnsi="Arial" w:cs="Arial"/>
          <w:bCs/>
          <w:i/>
          <w:iCs/>
          <w:sz w:val="22"/>
          <w:lang w:val="es-ES_tradnl"/>
        </w:rPr>
        <w:t xml:space="preserve">sub examine </w:t>
      </w:r>
      <w:r>
        <w:rPr>
          <w:rFonts w:ascii="Arial" w:eastAsia="Calibri" w:hAnsi="Arial" w:cs="Arial"/>
          <w:bCs/>
          <w:sz w:val="22"/>
          <w:lang w:val="es-ES_tradnl"/>
        </w:rPr>
        <w:t xml:space="preserve">y la conclusión que los acompaña: en materia de contratación estatal, para contabilizar el término de experiencia profesional de los ingenieros «[l] </w:t>
      </w:r>
      <w:r w:rsidRPr="00204F24">
        <w:rPr>
          <w:rFonts w:ascii="Arial" w:eastAsia="Calibri" w:hAnsi="Arial" w:cs="Arial"/>
          <w:bCs/>
          <w:sz w:val="22"/>
          <w:lang w:val="es-ES_tradnl"/>
        </w:rPr>
        <w:t>a norma aplicable es el artículo 229 del Decreto 019 de 2012, el cual establece que la</w:t>
      </w:r>
      <w:r>
        <w:rPr>
          <w:rFonts w:ascii="Arial" w:eastAsia="Calibri" w:hAnsi="Arial" w:cs="Arial"/>
          <w:bCs/>
          <w:sz w:val="22"/>
          <w:lang w:val="es-ES_tradnl"/>
        </w:rPr>
        <w:t xml:space="preserve"> </w:t>
      </w:r>
      <w:r w:rsidRPr="00204F24">
        <w:rPr>
          <w:rFonts w:ascii="Arial" w:eastAsia="Calibri" w:hAnsi="Arial" w:cs="Arial"/>
          <w:bCs/>
          <w:sz w:val="22"/>
          <w:lang w:val="es-ES_tradnl"/>
        </w:rPr>
        <w:t>experiencia profesional comienza a contarse a partir de la terminación y aprobación del</w:t>
      </w:r>
      <w:r>
        <w:rPr>
          <w:rFonts w:ascii="Arial" w:eastAsia="Calibri" w:hAnsi="Arial" w:cs="Arial"/>
          <w:bCs/>
          <w:sz w:val="22"/>
          <w:lang w:val="es-ES_tradnl"/>
        </w:rPr>
        <w:t xml:space="preserve"> </w:t>
      </w:r>
      <w:r w:rsidRPr="00204F24">
        <w:rPr>
          <w:rFonts w:ascii="Arial" w:eastAsia="Calibri" w:hAnsi="Arial" w:cs="Arial"/>
          <w:bCs/>
          <w:sz w:val="22"/>
          <w:lang w:val="es-ES_tradnl"/>
        </w:rPr>
        <w:t>pensum académico. Lo anterior, sin perjuicio de lo dispuesto en el artículo 192 de la Ley</w:t>
      </w:r>
      <w:r>
        <w:rPr>
          <w:rFonts w:ascii="Arial" w:eastAsia="Calibri" w:hAnsi="Arial" w:cs="Arial"/>
          <w:bCs/>
          <w:sz w:val="22"/>
          <w:lang w:val="es-ES_tradnl"/>
        </w:rPr>
        <w:t xml:space="preserve"> </w:t>
      </w:r>
      <w:r w:rsidRPr="00204F24">
        <w:rPr>
          <w:rFonts w:ascii="Arial" w:eastAsia="Calibri" w:hAnsi="Arial" w:cs="Arial"/>
          <w:bCs/>
          <w:sz w:val="22"/>
          <w:lang w:val="es-ES_tradnl"/>
        </w:rPr>
        <w:t xml:space="preserve">1955 de 2019, que dispone que </w:t>
      </w:r>
      <w:r w:rsidR="00A03EED">
        <w:rPr>
          <w:rFonts w:ascii="Arial" w:eastAsia="Calibri" w:hAnsi="Arial" w:cs="Arial"/>
          <w:bCs/>
          <w:sz w:val="22"/>
          <w:lang w:val="es-ES_tradnl"/>
        </w:rPr>
        <w:t>“</w:t>
      </w:r>
      <w:r w:rsidRPr="00204F24">
        <w:rPr>
          <w:rFonts w:ascii="Arial" w:eastAsia="Calibri" w:hAnsi="Arial" w:cs="Arial"/>
          <w:bCs/>
          <w:sz w:val="22"/>
          <w:lang w:val="es-ES_tradnl"/>
        </w:rPr>
        <w:t>la práctica laboral que el estudiante realice para optar a</w:t>
      </w:r>
      <w:r>
        <w:rPr>
          <w:rFonts w:ascii="Arial" w:eastAsia="Calibri" w:hAnsi="Arial" w:cs="Arial"/>
          <w:bCs/>
          <w:sz w:val="22"/>
          <w:lang w:val="es-ES_tradnl"/>
        </w:rPr>
        <w:t xml:space="preserve"> </w:t>
      </w:r>
      <w:r w:rsidRPr="00204F24">
        <w:rPr>
          <w:rFonts w:ascii="Arial" w:eastAsia="Calibri" w:hAnsi="Arial" w:cs="Arial"/>
          <w:bCs/>
          <w:sz w:val="22"/>
          <w:lang w:val="es-ES_tradnl"/>
        </w:rPr>
        <w:t>su título de profesional, tecnológico o técnico cuenta como experiencia laboral</w:t>
      </w:r>
      <w:r w:rsidR="00A03EED">
        <w:rPr>
          <w:rFonts w:ascii="Arial" w:eastAsia="Calibri" w:hAnsi="Arial" w:cs="Arial"/>
          <w:bCs/>
          <w:sz w:val="22"/>
          <w:lang w:val="es-ES_tradnl"/>
        </w:rPr>
        <w:t>”</w:t>
      </w:r>
      <w:r w:rsidRPr="00204F24">
        <w:rPr>
          <w:rFonts w:ascii="Arial" w:eastAsia="Calibri" w:hAnsi="Arial" w:cs="Arial"/>
          <w:bCs/>
          <w:sz w:val="22"/>
          <w:lang w:val="es-ES_tradnl"/>
        </w:rPr>
        <w:t>».</w:t>
      </w:r>
      <w:r w:rsidR="00F25909">
        <w:rPr>
          <w:rFonts w:ascii="Arial" w:eastAsia="Calibri" w:hAnsi="Arial" w:cs="Arial"/>
          <w:bCs/>
          <w:sz w:val="22"/>
          <w:lang w:val="es-ES_tradnl"/>
        </w:rPr>
        <w:t xml:space="preserve"> </w:t>
      </w:r>
      <w:r w:rsidR="008A42EF">
        <w:rPr>
          <w:rFonts w:ascii="Arial" w:eastAsia="Calibri" w:hAnsi="Arial" w:cs="Arial"/>
          <w:bCs/>
          <w:sz w:val="22"/>
          <w:lang w:val="es-ES_tradnl"/>
        </w:rPr>
        <w:tab/>
      </w:r>
    </w:p>
    <w:p w14:paraId="397BB240" w14:textId="61FD437D" w:rsidR="00387538" w:rsidRDefault="008A42EF" w:rsidP="00CC78AD">
      <w:pPr>
        <w:tabs>
          <w:tab w:val="left" w:pos="426"/>
        </w:tabs>
        <w:spacing w:before="120" w:line="276" w:lineRule="auto"/>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r>
      <w:r w:rsidR="00387538">
        <w:rPr>
          <w:rFonts w:ascii="Arial" w:eastAsia="Calibri" w:hAnsi="Arial" w:cs="Arial"/>
          <w:bCs/>
          <w:sz w:val="22"/>
          <w:lang w:val="es-ES_tradnl"/>
        </w:rPr>
        <w:t>En este punto</w:t>
      </w:r>
      <w:r>
        <w:rPr>
          <w:rFonts w:ascii="Arial" w:eastAsia="Calibri" w:hAnsi="Arial" w:cs="Arial"/>
          <w:bCs/>
          <w:sz w:val="22"/>
          <w:lang w:val="es-ES_tradnl"/>
        </w:rPr>
        <w:t xml:space="preserve"> es </w:t>
      </w:r>
      <w:r w:rsidR="00F16DB4">
        <w:rPr>
          <w:rFonts w:ascii="Arial" w:eastAsia="Calibri" w:hAnsi="Arial" w:cs="Arial"/>
          <w:bCs/>
          <w:sz w:val="22"/>
          <w:lang w:val="es-ES_tradnl"/>
        </w:rPr>
        <w:t>pertinente</w:t>
      </w:r>
      <w:r w:rsidR="00387538">
        <w:rPr>
          <w:rFonts w:ascii="Arial" w:eastAsia="Calibri" w:hAnsi="Arial" w:cs="Arial"/>
          <w:bCs/>
          <w:sz w:val="22"/>
          <w:lang w:val="es-ES_tradnl"/>
        </w:rPr>
        <w:t xml:space="preserve"> </w:t>
      </w:r>
      <w:r w:rsidR="00F16DB4">
        <w:rPr>
          <w:rFonts w:ascii="Arial" w:eastAsia="Calibri" w:hAnsi="Arial" w:cs="Arial"/>
          <w:bCs/>
          <w:sz w:val="22"/>
          <w:lang w:val="es-ES_tradnl"/>
        </w:rPr>
        <w:t>resaltar</w:t>
      </w:r>
      <w:r w:rsidR="00387538">
        <w:rPr>
          <w:rFonts w:ascii="Arial" w:eastAsia="Calibri" w:hAnsi="Arial" w:cs="Arial"/>
          <w:bCs/>
          <w:sz w:val="22"/>
          <w:lang w:val="es-ES_tradnl"/>
        </w:rPr>
        <w:t xml:space="preserve"> que la interpretación relacionada con la derogatoria tácita del artículo 12 de la Ley 842 de 2003 es compartida por varias entidades públicas.</w:t>
      </w:r>
      <w:r>
        <w:rPr>
          <w:rFonts w:ascii="Arial" w:eastAsia="Calibri" w:hAnsi="Arial" w:cs="Arial"/>
          <w:bCs/>
          <w:sz w:val="22"/>
          <w:lang w:val="es-ES_tradnl"/>
        </w:rPr>
        <w:t xml:space="preserve"> </w:t>
      </w:r>
      <w:r w:rsidR="007954A5">
        <w:rPr>
          <w:rFonts w:ascii="Arial" w:eastAsia="Calibri" w:hAnsi="Arial" w:cs="Arial"/>
          <w:bCs/>
          <w:sz w:val="22"/>
          <w:lang w:val="es-ES_tradnl"/>
        </w:rPr>
        <w:t>Al respecto, e</w:t>
      </w:r>
      <w:r w:rsidR="00387538">
        <w:rPr>
          <w:rFonts w:ascii="Arial" w:eastAsia="Calibri" w:hAnsi="Arial" w:cs="Arial"/>
          <w:bCs/>
          <w:sz w:val="22"/>
          <w:lang w:val="es-ES_tradnl"/>
        </w:rPr>
        <w:t>l Departamento Administrativo de la Función Pública, en conceptos del 20 de febrero</w:t>
      </w:r>
      <w:r w:rsidR="00387538">
        <w:rPr>
          <w:rStyle w:val="Refdenotaalpie"/>
          <w:rFonts w:ascii="Arial" w:eastAsia="Calibri" w:hAnsi="Arial" w:cs="Arial"/>
          <w:bCs/>
          <w:sz w:val="22"/>
          <w:lang w:val="es-ES_tradnl"/>
        </w:rPr>
        <w:footnoteReference w:id="15"/>
      </w:r>
      <w:r w:rsidR="00387538">
        <w:rPr>
          <w:rFonts w:ascii="Arial" w:eastAsia="Calibri" w:hAnsi="Arial" w:cs="Arial"/>
          <w:bCs/>
          <w:sz w:val="22"/>
          <w:lang w:val="es-ES_tradnl"/>
        </w:rPr>
        <w:t xml:space="preserve"> y el 2 de marzo</w:t>
      </w:r>
      <w:r w:rsidR="00387538">
        <w:rPr>
          <w:rStyle w:val="Refdenotaalpie"/>
          <w:rFonts w:ascii="Arial" w:eastAsia="Calibri" w:hAnsi="Arial" w:cs="Arial"/>
          <w:bCs/>
          <w:sz w:val="22"/>
          <w:lang w:val="es-ES_tradnl"/>
        </w:rPr>
        <w:footnoteReference w:id="16"/>
      </w:r>
      <w:r w:rsidR="00387538">
        <w:rPr>
          <w:rFonts w:ascii="Arial" w:eastAsia="Calibri" w:hAnsi="Arial" w:cs="Arial"/>
          <w:bCs/>
          <w:sz w:val="22"/>
          <w:lang w:val="es-ES_tradnl"/>
        </w:rPr>
        <w:t xml:space="preserve"> de 2012, defendió la derogatoria </w:t>
      </w:r>
      <w:r w:rsidR="00C230A7">
        <w:rPr>
          <w:rFonts w:ascii="Arial" w:eastAsia="Calibri" w:hAnsi="Arial" w:cs="Arial"/>
          <w:bCs/>
          <w:sz w:val="22"/>
          <w:lang w:val="es-ES_tradnl"/>
        </w:rPr>
        <w:t>del artículo 12 de la Ley 842 de 2003 por</w:t>
      </w:r>
      <w:r w:rsidR="007954A5">
        <w:rPr>
          <w:rFonts w:ascii="Arial" w:eastAsia="Calibri" w:hAnsi="Arial" w:cs="Arial"/>
          <w:bCs/>
          <w:sz w:val="22"/>
          <w:lang w:val="es-ES_tradnl"/>
        </w:rPr>
        <w:t xml:space="preserve"> parte</w:t>
      </w:r>
      <w:r w:rsidR="00C230A7">
        <w:rPr>
          <w:rFonts w:ascii="Arial" w:eastAsia="Calibri" w:hAnsi="Arial" w:cs="Arial"/>
          <w:bCs/>
          <w:sz w:val="22"/>
          <w:lang w:val="es-ES_tradnl"/>
        </w:rPr>
        <w:t xml:space="preserve"> </w:t>
      </w:r>
      <w:r w:rsidR="007954A5">
        <w:rPr>
          <w:rFonts w:ascii="Arial" w:eastAsia="Calibri" w:hAnsi="Arial" w:cs="Arial"/>
          <w:bCs/>
          <w:sz w:val="22"/>
          <w:lang w:val="es-ES_tradnl"/>
        </w:rPr>
        <w:t>d</w:t>
      </w:r>
      <w:r w:rsidR="00C230A7">
        <w:rPr>
          <w:rFonts w:ascii="Arial" w:eastAsia="Calibri" w:hAnsi="Arial" w:cs="Arial"/>
          <w:bCs/>
          <w:sz w:val="22"/>
          <w:lang w:val="es-ES_tradnl"/>
        </w:rPr>
        <w:t>el artículo 229 del Decreto Ley 19 de 2012. Posteriormente, en el concepto del 3 de septiembre de 20</w:t>
      </w:r>
      <w:r w:rsidR="00F16DB4">
        <w:rPr>
          <w:rFonts w:ascii="Arial" w:eastAsia="Calibri" w:hAnsi="Arial" w:cs="Arial"/>
          <w:bCs/>
          <w:sz w:val="22"/>
          <w:lang w:val="es-ES_tradnl"/>
        </w:rPr>
        <w:t>1</w:t>
      </w:r>
      <w:r w:rsidR="00C230A7">
        <w:rPr>
          <w:rFonts w:ascii="Arial" w:eastAsia="Calibri" w:hAnsi="Arial" w:cs="Arial"/>
          <w:bCs/>
          <w:sz w:val="22"/>
          <w:lang w:val="es-ES_tradnl"/>
        </w:rPr>
        <w:t>3</w:t>
      </w:r>
      <w:r w:rsidR="00C230A7">
        <w:rPr>
          <w:rStyle w:val="Refdenotaalpie"/>
          <w:rFonts w:ascii="Arial" w:eastAsia="Calibri" w:hAnsi="Arial" w:cs="Arial"/>
          <w:bCs/>
          <w:sz w:val="22"/>
          <w:lang w:val="es-ES_tradnl"/>
        </w:rPr>
        <w:footnoteReference w:id="17"/>
      </w:r>
      <w:r w:rsidR="00C230A7">
        <w:rPr>
          <w:rFonts w:ascii="Arial" w:eastAsia="Calibri" w:hAnsi="Arial" w:cs="Arial"/>
          <w:bCs/>
          <w:sz w:val="22"/>
          <w:lang w:val="es-ES_tradnl"/>
        </w:rPr>
        <w:t xml:space="preserve">, expuso </w:t>
      </w:r>
      <w:r w:rsidR="00387538">
        <w:rPr>
          <w:rFonts w:ascii="Arial" w:eastAsia="Calibri" w:hAnsi="Arial" w:cs="Arial"/>
          <w:bCs/>
          <w:sz w:val="22"/>
          <w:lang w:val="es-ES_tradnl"/>
        </w:rPr>
        <w:t>las siguientes consideraciones</w:t>
      </w:r>
      <w:r w:rsidR="00C230A7">
        <w:rPr>
          <w:rFonts w:ascii="Arial" w:eastAsia="Calibri" w:hAnsi="Arial" w:cs="Arial"/>
          <w:bCs/>
          <w:sz w:val="22"/>
          <w:lang w:val="es-ES_tradnl"/>
        </w:rPr>
        <w:t xml:space="preserve"> frente al </w:t>
      </w:r>
      <w:r w:rsidR="007954A5">
        <w:rPr>
          <w:rFonts w:ascii="Arial" w:eastAsia="Calibri" w:hAnsi="Arial" w:cs="Arial"/>
          <w:bCs/>
          <w:sz w:val="22"/>
          <w:lang w:val="es-ES_tradnl"/>
        </w:rPr>
        <w:t>tema</w:t>
      </w:r>
      <w:r w:rsidR="00387538">
        <w:rPr>
          <w:rFonts w:ascii="Arial" w:eastAsia="Calibri" w:hAnsi="Arial" w:cs="Arial"/>
          <w:bCs/>
          <w:sz w:val="22"/>
          <w:lang w:val="es-ES_tradnl"/>
        </w:rPr>
        <w:t xml:space="preserve">: </w:t>
      </w:r>
    </w:p>
    <w:p w14:paraId="2A5BEBC3" w14:textId="77777777" w:rsidR="00C230A7" w:rsidRDefault="00C230A7" w:rsidP="00C230A7">
      <w:pPr>
        <w:tabs>
          <w:tab w:val="left" w:pos="426"/>
        </w:tabs>
        <w:spacing w:line="276" w:lineRule="auto"/>
        <w:jc w:val="both"/>
        <w:rPr>
          <w:rFonts w:ascii="Arial" w:eastAsia="Calibri" w:hAnsi="Arial" w:cs="Arial"/>
          <w:bCs/>
          <w:sz w:val="22"/>
          <w:lang w:val="es-ES_tradnl"/>
        </w:rPr>
      </w:pPr>
    </w:p>
    <w:p w14:paraId="5CCD5F98" w14:textId="4C130A85" w:rsidR="00C230A7" w:rsidRPr="00C230A7" w:rsidRDefault="00C230A7" w:rsidP="001946FB">
      <w:pPr>
        <w:tabs>
          <w:tab w:val="left" w:pos="426"/>
        </w:tabs>
        <w:spacing w:after="120"/>
        <w:ind w:left="709" w:right="709"/>
        <w:jc w:val="both"/>
        <w:rPr>
          <w:rFonts w:ascii="Arial" w:eastAsia="Calibri" w:hAnsi="Arial" w:cs="Arial"/>
          <w:bCs/>
          <w:sz w:val="21"/>
          <w:szCs w:val="21"/>
        </w:rPr>
      </w:pPr>
      <w:r w:rsidRPr="00C230A7">
        <w:rPr>
          <w:rFonts w:ascii="Arial" w:eastAsia="Calibri" w:hAnsi="Arial" w:cs="Arial"/>
          <w:bCs/>
          <w:sz w:val="21"/>
          <w:szCs w:val="21"/>
        </w:rPr>
        <w:t xml:space="preserve">De acuerdo con lo anterior, el Decreto ley 019 de 2012 rige a partir del 10 de enero de 2012 y debe aplicarse para todas aquellas situaciones que se presenten con posterioridad a su </w:t>
      </w:r>
      <w:proofErr w:type="gramStart"/>
      <w:r w:rsidRPr="00C230A7">
        <w:rPr>
          <w:rFonts w:ascii="Arial" w:eastAsia="Calibri" w:hAnsi="Arial" w:cs="Arial"/>
          <w:bCs/>
          <w:sz w:val="21"/>
          <w:szCs w:val="21"/>
        </w:rPr>
        <w:t>entrada en vigencia</w:t>
      </w:r>
      <w:proofErr w:type="gramEnd"/>
      <w:r w:rsidRPr="00C230A7">
        <w:rPr>
          <w:rFonts w:ascii="Arial" w:eastAsia="Calibri" w:hAnsi="Arial" w:cs="Arial"/>
          <w:bCs/>
          <w:sz w:val="21"/>
          <w:szCs w:val="21"/>
        </w:rPr>
        <w:t>.</w:t>
      </w:r>
    </w:p>
    <w:p w14:paraId="0B29C026" w14:textId="2D83660D" w:rsidR="00387538" w:rsidRDefault="00C230A7" w:rsidP="00CC78AD">
      <w:pPr>
        <w:tabs>
          <w:tab w:val="left" w:pos="426"/>
        </w:tabs>
        <w:ind w:left="709" w:right="709"/>
        <w:jc w:val="both"/>
        <w:rPr>
          <w:rFonts w:ascii="Arial" w:eastAsia="Calibri" w:hAnsi="Arial" w:cs="Arial"/>
          <w:bCs/>
          <w:sz w:val="21"/>
          <w:szCs w:val="21"/>
        </w:rPr>
      </w:pPr>
      <w:r w:rsidRPr="00C230A7">
        <w:rPr>
          <w:rFonts w:ascii="Arial" w:eastAsia="Calibri" w:hAnsi="Arial" w:cs="Arial"/>
          <w:bCs/>
          <w:sz w:val="21"/>
          <w:szCs w:val="21"/>
        </w:rPr>
        <w:t>Vale la pena aclarar que con el Decreto ley 0019 de 2012 operó una derogatoria tácita de las normas que le son contrarias, es decir, aquellas que contemplaban que la experiencia profesional se computaba a partir de la fecha de expedición de la matrícula profesional o del certificado de inscripción profesional, respectivamente.</w:t>
      </w:r>
    </w:p>
    <w:p w14:paraId="53B5EF4A" w14:textId="564B532E" w:rsidR="00E023BC" w:rsidRDefault="00E023BC" w:rsidP="001946FB">
      <w:pPr>
        <w:tabs>
          <w:tab w:val="left" w:pos="426"/>
        </w:tabs>
        <w:spacing w:after="120"/>
        <w:ind w:left="709" w:right="709"/>
        <w:jc w:val="both"/>
        <w:rPr>
          <w:rFonts w:ascii="Arial" w:eastAsia="Calibri" w:hAnsi="Arial" w:cs="Arial"/>
          <w:bCs/>
          <w:sz w:val="21"/>
          <w:szCs w:val="21"/>
        </w:rPr>
      </w:pPr>
      <w:r>
        <w:rPr>
          <w:rFonts w:ascii="Arial" w:eastAsia="Calibri" w:hAnsi="Arial" w:cs="Arial"/>
          <w:bCs/>
          <w:sz w:val="21"/>
          <w:szCs w:val="21"/>
        </w:rPr>
        <w:t>[…]</w:t>
      </w:r>
    </w:p>
    <w:p w14:paraId="05A9D51C" w14:textId="77777777" w:rsidR="00E023BC" w:rsidRPr="00C230A7" w:rsidRDefault="00E023BC" w:rsidP="00E023BC">
      <w:pPr>
        <w:tabs>
          <w:tab w:val="left" w:pos="426"/>
        </w:tabs>
        <w:ind w:left="709" w:right="709"/>
        <w:jc w:val="both"/>
        <w:rPr>
          <w:rFonts w:ascii="Arial" w:eastAsia="Calibri" w:hAnsi="Arial" w:cs="Arial"/>
          <w:bCs/>
          <w:sz w:val="21"/>
          <w:szCs w:val="21"/>
        </w:rPr>
      </w:pPr>
      <w:r w:rsidRPr="00224187">
        <w:rPr>
          <w:rFonts w:ascii="Arial" w:eastAsia="Calibri" w:hAnsi="Arial" w:cs="Arial"/>
          <w:bCs/>
          <w:sz w:val="21"/>
          <w:szCs w:val="21"/>
        </w:rPr>
        <w:t xml:space="preserve">Es decir, la experiencia profesional de todas las personas que se vinculen con posterioridad a la expedición del Decreto-ley 0019 de 2012, deberá contabilizarse a partir de la aprobación del pensum académico de la formación </w:t>
      </w:r>
      <w:r w:rsidRPr="00224187">
        <w:rPr>
          <w:rFonts w:ascii="Arial" w:eastAsia="Calibri" w:hAnsi="Arial" w:cs="Arial"/>
          <w:bCs/>
          <w:sz w:val="21"/>
          <w:szCs w:val="21"/>
        </w:rPr>
        <w:lastRenderedPageBreak/>
        <w:t>profesional respectiva, salvo como ya se advirtió, las profesiones relacionadas con el sistema de seguridad social en salud.</w:t>
      </w:r>
    </w:p>
    <w:p w14:paraId="24EEC1A6" w14:textId="77777777" w:rsidR="00E023BC" w:rsidRPr="00C230A7" w:rsidRDefault="00E023BC" w:rsidP="00CC78AD">
      <w:pPr>
        <w:tabs>
          <w:tab w:val="left" w:pos="426"/>
        </w:tabs>
        <w:ind w:left="709" w:right="709"/>
        <w:jc w:val="both"/>
        <w:rPr>
          <w:rFonts w:ascii="Arial" w:eastAsia="Calibri" w:hAnsi="Arial" w:cs="Arial"/>
          <w:bCs/>
          <w:sz w:val="21"/>
          <w:szCs w:val="21"/>
        </w:rPr>
      </w:pPr>
    </w:p>
    <w:p w14:paraId="66FA5E6B" w14:textId="597CB34E" w:rsidR="00F107A9" w:rsidRDefault="00F107A9" w:rsidP="001946FB">
      <w:pPr>
        <w:tabs>
          <w:tab w:val="left" w:pos="426"/>
        </w:tabs>
        <w:spacing w:before="120" w:after="120" w:line="276" w:lineRule="auto"/>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t xml:space="preserve">Las consideraciones del Departamento Administrativo de la Función Pública son especialmente relevantes </w:t>
      </w:r>
      <w:r w:rsidR="007954A5">
        <w:rPr>
          <w:rFonts w:ascii="Arial" w:eastAsia="Calibri" w:hAnsi="Arial" w:cs="Arial"/>
          <w:bCs/>
          <w:sz w:val="22"/>
          <w:lang w:val="es-ES_tradnl"/>
        </w:rPr>
        <w:t>considerando</w:t>
      </w:r>
      <w:r>
        <w:rPr>
          <w:rFonts w:ascii="Arial" w:eastAsia="Calibri" w:hAnsi="Arial" w:cs="Arial"/>
          <w:bCs/>
          <w:sz w:val="22"/>
          <w:lang w:val="es-ES_tradnl"/>
        </w:rPr>
        <w:t xml:space="preserve"> la ubicación del artículo 229 del Decreto Ley 019 de 2012, toda vez que se encuentra en capítulo XIX «</w:t>
      </w:r>
      <w:r w:rsidRPr="007915BC">
        <w:rPr>
          <w:rFonts w:ascii="Arial" w:eastAsia="Calibri" w:hAnsi="Arial" w:cs="Arial"/>
          <w:bCs/>
          <w:sz w:val="22"/>
          <w:lang w:val="es-ES_tradnl"/>
        </w:rPr>
        <w:t>trámites, procedimientos y regulaciones del sector administrativo de la función pública</w:t>
      </w:r>
      <w:r>
        <w:rPr>
          <w:rFonts w:ascii="Arial" w:eastAsia="Calibri" w:hAnsi="Arial" w:cs="Arial"/>
          <w:bCs/>
          <w:sz w:val="22"/>
          <w:lang w:val="es-ES_tradnl"/>
        </w:rPr>
        <w:t>». La importancia de este aspecto, en relación con los conceptos aludidos, se debe a que fue en esta entidad donde se originó el contenido del</w:t>
      </w:r>
      <w:r w:rsidR="007954A5">
        <w:rPr>
          <w:rFonts w:ascii="Arial" w:eastAsia="Calibri" w:hAnsi="Arial" w:cs="Arial"/>
          <w:bCs/>
          <w:sz w:val="22"/>
          <w:lang w:val="es-ES_tradnl"/>
        </w:rPr>
        <w:t xml:space="preserve"> citado</w:t>
      </w:r>
      <w:r>
        <w:rPr>
          <w:rFonts w:ascii="Arial" w:eastAsia="Calibri" w:hAnsi="Arial" w:cs="Arial"/>
          <w:bCs/>
          <w:sz w:val="22"/>
          <w:lang w:val="es-ES_tradnl"/>
        </w:rPr>
        <w:t xml:space="preserve"> artículo 229, de manera que cuentan con un alto grado de idoneidad y legitimidad para señalar el espíritu, alcance o finalidad de dicha disposición. A partir de allí </w:t>
      </w:r>
      <w:r w:rsidR="007954A5">
        <w:rPr>
          <w:rFonts w:ascii="Arial" w:eastAsia="Calibri" w:hAnsi="Arial" w:cs="Arial"/>
          <w:bCs/>
          <w:sz w:val="22"/>
          <w:lang w:val="es-ES_tradnl"/>
        </w:rPr>
        <w:t>se concluye</w:t>
      </w:r>
      <w:r>
        <w:rPr>
          <w:rFonts w:ascii="Arial" w:eastAsia="Calibri" w:hAnsi="Arial" w:cs="Arial"/>
          <w:bCs/>
          <w:sz w:val="22"/>
          <w:lang w:val="es-ES_tradnl"/>
        </w:rPr>
        <w:t xml:space="preserve"> que la finalidad de dicho artículo fue derogar las disposiciones que contemplan el cómputo de la experiencia profesional desde la expedición de </w:t>
      </w:r>
      <w:r w:rsidR="007954A5">
        <w:rPr>
          <w:rFonts w:ascii="Arial" w:eastAsia="Calibri" w:hAnsi="Arial" w:cs="Arial"/>
          <w:bCs/>
          <w:sz w:val="22"/>
          <w:lang w:val="es-ES_tradnl"/>
        </w:rPr>
        <w:t>la</w:t>
      </w:r>
      <w:r>
        <w:rPr>
          <w:rFonts w:ascii="Arial" w:eastAsia="Calibri" w:hAnsi="Arial" w:cs="Arial"/>
          <w:bCs/>
          <w:sz w:val="22"/>
          <w:lang w:val="es-ES_tradnl"/>
        </w:rPr>
        <w:t xml:space="preserve"> matrícula profesional o certificado de inscripción profesional, con excepción de las </w:t>
      </w:r>
      <w:r w:rsidRPr="00224187">
        <w:rPr>
          <w:rFonts w:ascii="Arial" w:eastAsia="Calibri" w:hAnsi="Arial" w:cs="Arial"/>
          <w:bCs/>
          <w:sz w:val="22"/>
          <w:lang w:val="es-ES_tradnl"/>
        </w:rPr>
        <w:t>profesiones relacionadas con el sistema de seguridad social en salud</w:t>
      </w:r>
      <w:r>
        <w:rPr>
          <w:rFonts w:ascii="Arial" w:eastAsia="Calibri" w:hAnsi="Arial" w:cs="Arial"/>
          <w:bCs/>
          <w:sz w:val="22"/>
          <w:lang w:val="es-ES_tradnl"/>
        </w:rPr>
        <w:t xml:space="preserve">, tal como se desprende del aparte </w:t>
      </w:r>
      <w:r w:rsidR="007954A5">
        <w:rPr>
          <w:rFonts w:ascii="Arial" w:eastAsia="Calibri" w:hAnsi="Arial" w:cs="Arial"/>
          <w:bCs/>
          <w:sz w:val="22"/>
          <w:lang w:val="es-ES_tradnl"/>
        </w:rPr>
        <w:t xml:space="preserve">anteriormente </w:t>
      </w:r>
      <w:r>
        <w:rPr>
          <w:rFonts w:ascii="Arial" w:eastAsia="Calibri" w:hAnsi="Arial" w:cs="Arial"/>
          <w:bCs/>
          <w:sz w:val="22"/>
          <w:lang w:val="es-ES_tradnl"/>
        </w:rPr>
        <w:t>citado.</w:t>
      </w:r>
    </w:p>
    <w:p w14:paraId="0E7932A6" w14:textId="13FA66F4" w:rsidR="00493D05" w:rsidRDefault="00F107A9" w:rsidP="001946FB">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ab/>
        <w:t xml:space="preserve">Sin perjuicio de lo anterior, y en aras de señalar como esta interpretación es ampliamente compartida por otras autoridades, se expondrá la posición de algunas de ellas. </w:t>
      </w:r>
      <w:r w:rsidR="00C230A7">
        <w:rPr>
          <w:rFonts w:ascii="Arial" w:eastAsia="Calibri" w:hAnsi="Arial" w:cs="Arial"/>
          <w:bCs/>
          <w:sz w:val="22"/>
          <w:lang w:val="es-ES_tradnl"/>
        </w:rPr>
        <w:t>E</w:t>
      </w:r>
      <w:r w:rsidR="007954A5">
        <w:rPr>
          <w:rFonts w:ascii="Arial" w:eastAsia="Calibri" w:hAnsi="Arial" w:cs="Arial"/>
          <w:bCs/>
          <w:sz w:val="22"/>
          <w:lang w:val="es-ES_tradnl"/>
        </w:rPr>
        <w:t>n este sentido, e</w:t>
      </w:r>
      <w:r w:rsidR="00C230A7">
        <w:rPr>
          <w:rFonts w:ascii="Arial" w:eastAsia="Calibri" w:hAnsi="Arial" w:cs="Arial"/>
          <w:bCs/>
          <w:sz w:val="22"/>
          <w:lang w:val="es-ES_tradnl"/>
        </w:rPr>
        <w:t xml:space="preserve">l Ministerio de Educación Nacional, </w:t>
      </w:r>
      <w:r w:rsidR="00131E85">
        <w:rPr>
          <w:rFonts w:ascii="Arial" w:eastAsia="Calibri" w:hAnsi="Arial" w:cs="Arial"/>
          <w:bCs/>
          <w:sz w:val="22"/>
          <w:lang w:val="es-ES_tradnl"/>
        </w:rPr>
        <w:t>mediante concepto del 8 de mayo de 2015</w:t>
      </w:r>
      <w:r w:rsidR="001E79FF">
        <w:rPr>
          <w:rStyle w:val="Refdenotaalpie"/>
          <w:rFonts w:ascii="Arial" w:eastAsia="Calibri" w:hAnsi="Arial" w:cs="Arial"/>
          <w:bCs/>
          <w:sz w:val="22"/>
          <w:lang w:val="es-ES_tradnl"/>
        </w:rPr>
        <w:footnoteReference w:id="18"/>
      </w:r>
      <w:r w:rsidR="00131E85">
        <w:rPr>
          <w:rFonts w:ascii="Arial" w:eastAsia="Calibri" w:hAnsi="Arial" w:cs="Arial"/>
          <w:bCs/>
          <w:sz w:val="22"/>
          <w:lang w:val="es-ES_tradnl"/>
        </w:rPr>
        <w:t xml:space="preserve">, </w:t>
      </w:r>
      <w:r w:rsidR="00C230A7">
        <w:rPr>
          <w:rFonts w:ascii="Arial" w:eastAsia="Calibri" w:hAnsi="Arial" w:cs="Arial"/>
          <w:bCs/>
          <w:sz w:val="22"/>
          <w:lang w:val="es-ES_tradnl"/>
        </w:rPr>
        <w:t>dijo lo siguiente</w:t>
      </w:r>
      <w:r w:rsidR="008A42EF" w:rsidRPr="008A42EF">
        <w:rPr>
          <w:rFonts w:ascii="Arial" w:eastAsia="Calibri" w:hAnsi="Arial" w:cs="Arial"/>
          <w:bCs/>
          <w:sz w:val="22"/>
          <w:lang w:val="es-ES_tradnl"/>
        </w:rPr>
        <w:t xml:space="preserve"> </w:t>
      </w:r>
      <w:r w:rsidR="008A42EF">
        <w:rPr>
          <w:rFonts w:ascii="Arial" w:eastAsia="Calibri" w:hAnsi="Arial" w:cs="Arial"/>
          <w:bCs/>
          <w:sz w:val="22"/>
          <w:lang w:val="es-ES_tradnl"/>
        </w:rPr>
        <w:t>en relación con el tema</w:t>
      </w:r>
      <w:r w:rsidR="00C230A7">
        <w:rPr>
          <w:rFonts w:ascii="Arial" w:eastAsia="Calibri" w:hAnsi="Arial" w:cs="Arial"/>
          <w:bCs/>
          <w:sz w:val="22"/>
          <w:lang w:val="es-ES_tradnl"/>
        </w:rPr>
        <w:t>:</w:t>
      </w:r>
    </w:p>
    <w:p w14:paraId="0302E44A" w14:textId="20FC92F9" w:rsidR="00131E85" w:rsidRDefault="00131E85" w:rsidP="001E79FF">
      <w:pPr>
        <w:tabs>
          <w:tab w:val="left" w:pos="426"/>
        </w:tabs>
        <w:spacing w:line="276" w:lineRule="auto"/>
        <w:jc w:val="both"/>
        <w:rPr>
          <w:rFonts w:ascii="Arial" w:eastAsia="Calibri" w:hAnsi="Arial" w:cs="Arial"/>
          <w:bCs/>
          <w:sz w:val="22"/>
          <w:lang w:val="es-ES_tradnl"/>
        </w:rPr>
      </w:pPr>
    </w:p>
    <w:p w14:paraId="7F6EA8C5" w14:textId="76A8D005" w:rsidR="00A52C5B" w:rsidRPr="001946FB" w:rsidRDefault="00131E85" w:rsidP="001946FB">
      <w:pPr>
        <w:tabs>
          <w:tab w:val="left" w:pos="426"/>
        </w:tabs>
        <w:ind w:left="709" w:right="709"/>
        <w:jc w:val="both"/>
        <w:rPr>
          <w:rFonts w:ascii="Arial" w:eastAsia="Calibri" w:hAnsi="Arial" w:cs="Arial"/>
          <w:bCs/>
          <w:sz w:val="21"/>
          <w:szCs w:val="21"/>
          <w:lang w:val="es-ES_tradnl"/>
        </w:rPr>
      </w:pPr>
      <w:r w:rsidRPr="00131E85">
        <w:rPr>
          <w:rFonts w:ascii="Arial" w:eastAsia="Calibri" w:hAnsi="Arial" w:cs="Arial"/>
          <w:bCs/>
          <w:sz w:val="21"/>
          <w:szCs w:val="21"/>
          <w:lang w:val="es-ES_tradnl"/>
        </w:rPr>
        <w:t xml:space="preserve">Teniendo en cuenta ese marco normativo, esta Oficina ha considerado, de forma reiterada, que debe aplicarse el Artículo 229 del Decreto Ley 019 de 2012, puesto </w:t>
      </w:r>
      <w:proofErr w:type="gramStart"/>
      <w:r w:rsidRPr="00131E85">
        <w:rPr>
          <w:rFonts w:ascii="Arial" w:eastAsia="Calibri" w:hAnsi="Arial" w:cs="Arial"/>
          <w:bCs/>
          <w:sz w:val="21"/>
          <w:szCs w:val="21"/>
          <w:lang w:val="es-ES_tradnl"/>
        </w:rPr>
        <w:t>que</w:t>
      </w:r>
      <w:r>
        <w:rPr>
          <w:rFonts w:ascii="Arial" w:eastAsia="Calibri" w:hAnsi="Arial" w:cs="Arial"/>
          <w:bCs/>
          <w:sz w:val="21"/>
          <w:szCs w:val="21"/>
          <w:lang w:val="es-ES_tradnl"/>
        </w:rPr>
        <w:t>[</w:t>
      </w:r>
      <w:proofErr w:type="gramEnd"/>
      <w:r>
        <w:rPr>
          <w:rFonts w:ascii="Arial" w:eastAsia="Calibri" w:hAnsi="Arial" w:cs="Arial"/>
          <w:bCs/>
          <w:sz w:val="21"/>
          <w:szCs w:val="21"/>
          <w:lang w:val="es-ES_tradnl"/>
        </w:rPr>
        <w:t>,]</w:t>
      </w:r>
      <w:r w:rsidRPr="00131E85">
        <w:rPr>
          <w:rFonts w:ascii="Arial" w:eastAsia="Calibri" w:hAnsi="Arial" w:cs="Arial"/>
          <w:bCs/>
          <w:sz w:val="21"/>
          <w:szCs w:val="21"/>
          <w:lang w:val="es-ES_tradnl"/>
        </w:rPr>
        <w:t xml:space="preserve"> en nuestra opinión, con la expedición de este Decreto extraordinario operó la derogatoria tácita del Artículo 12 de la Ley 842 de 2003. Por ejemplo, en el Concepto 2012ER43404, se señaló que </w:t>
      </w:r>
      <w:r>
        <w:rPr>
          <w:rFonts w:ascii="Arial" w:eastAsia="Calibri" w:hAnsi="Arial" w:cs="Arial"/>
          <w:bCs/>
          <w:sz w:val="21"/>
          <w:szCs w:val="21"/>
          <w:lang w:val="es-ES_tradnl"/>
        </w:rPr>
        <w:t>«</w:t>
      </w:r>
      <w:r w:rsidRPr="00131E85">
        <w:rPr>
          <w:rFonts w:ascii="Arial" w:eastAsia="Calibri" w:hAnsi="Arial" w:cs="Arial"/>
          <w:bCs/>
          <w:sz w:val="21"/>
          <w:szCs w:val="21"/>
          <w:lang w:val="es-ES_tradnl"/>
        </w:rPr>
        <w:t xml:space="preserve">siguiendo el principio señalado en el artículo 71 del Código Civil según el cual la derogación de una ley es “…tácita cuando la nueva ley contiene disposiciones que no pueden conciliarse con la de la ley anterior”, el artículo 12 de la ley 842 de 2003 fue derogado tácitamente por el artículo 229 del </w:t>
      </w:r>
      <w:proofErr w:type="spellStart"/>
      <w:r w:rsidRPr="00131E85">
        <w:rPr>
          <w:rFonts w:ascii="Arial" w:eastAsia="Calibri" w:hAnsi="Arial" w:cs="Arial"/>
          <w:bCs/>
          <w:sz w:val="21"/>
          <w:szCs w:val="21"/>
          <w:lang w:val="es-ES_tradnl"/>
        </w:rPr>
        <w:t>Decreto­ley</w:t>
      </w:r>
      <w:proofErr w:type="spellEnd"/>
      <w:r w:rsidRPr="00131E85">
        <w:rPr>
          <w:rFonts w:ascii="Arial" w:eastAsia="Calibri" w:hAnsi="Arial" w:cs="Arial"/>
          <w:bCs/>
          <w:sz w:val="21"/>
          <w:szCs w:val="21"/>
          <w:lang w:val="es-ES_tradnl"/>
        </w:rPr>
        <w:t xml:space="preserve"> 019 de 2012</w:t>
      </w:r>
      <w:r>
        <w:rPr>
          <w:rFonts w:ascii="Arial" w:eastAsia="Calibri" w:hAnsi="Arial" w:cs="Arial"/>
          <w:bCs/>
          <w:sz w:val="21"/>
          <w:szCs w:val="21"/>
          <w:lang w:val="es-ES_tradnl"/>
        </w:rPr>
        <w:t>»</w:t>
      </w:r>
      <w:r w:rsidRPr="00131E85">
        <w:rPr>
          <w:rFonts w:ascii="Arial" w:eastAsia="Calibri" w:hAnsi="Arial" w:cs="Arial"/>
          <w:bCs/>
          <w:sz w:val="21"/>
          <w:szCs w:val="21"/>
          <w:lang w:val="es-ES_tradnl"/>
        </w:rPr>
        <w:t>.</w:t>
      </w:r>
      <w:r w:rsidR="00A52C5B">
        <w:rPr>
          <w:rFonts w:ascii="Arial" w:eastAsia="Calibri" w:hAnsi="Arial" w:cs="Arial"/>
          <w:bCs/>
          <w:sz w:val="22"/>
          <w:lang w:val="es-ES_tradnl"/>
        </w:rPr>
        <w:t xml:space="preserve"> </w:t>
      </w:r>
    </w:p>
    <w:p w14:paraId="37037CF0" w14:textId="77777777" w:rsidR="00A52C5B" w:rsidRDefault="00A52C5B" w:rsidP="001E79FF">
      <w:pPr>
        <w:tabs>
          <w:tab w:val="left" w:pos="426"/>
        </w:tabs>
        <w:jc w:val="both"/>
        <w:rPr>
          <w:rFonts w:ascii="Arial" w:eastAsia="Calibri" w:hAnsi="Arial" w:cs="Arial"/>
          <w:bCs/>
          <w:sz w:val="22"/>
          <w:lang w:val="es-ES_tradnl"/>
        </w:rPr>
      </w:pPr>
    </w:p>
    <w:p w14:paraId="28037E26" w14:textId="34743C9E" w:rsidR="001E79FF" w:rsidRDefault="00A52C5B" w:rsidP="001E79FF">
      <w:pPr>
        <w:tabs>
          <w:tab w:val="left" w:pos="426"/>
        </w:tabs>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r>
      <w:r w:rsidR="001E79FF" w:rsidRPr="001E79FF">
        <w:rPr>
          <w:rFonts w:ascii="Arial" w:eastAsia="Calibri" w:hAnsi="Arial" w:cs="Arial"/>
          <w:bCs/>
          <w:sz w:val="22"/>
          <w:lang w:val="es-ES_tradnl"/>
        </w:rPr>
        <w:t>El servicio Nacional de Aprendizaje −SENA−, en concepto del 21 de febrero de 2018, dijo:</w:t>
      </w:r>
    </w:p>
    <w:p w14:paraId="662CA50F" w14:textId="59C511EE" w:rsidR="001E79FF" w:rsidRDefault="001E79FF" w:rsidP="001E79FF">
      <w:pPr>
        <w:tabs>
          <w:tab w:val="left" w:pos="426"/>
        </w:tabs>
        <w:rPr>
          <w:rFonts w:ascii="Arial" w:eastAsia="Calibri" w:hAnsi="Arial" w:cs="Arial"/>
          <w:bCs/>
          <w:sz w:val="22"/>
          <w:lang w:val="es-ES_tradnl"/>
        </w:rPr>
      </w:pPr>
    </w:p>
    <w:p w14:paraId="784DBD5C" w14:textId="02015778" w:rsidR="001E79FF" w:rsidRPr="001E79FF" w:rsidRDefault="001E79FF" w:rsidP="00CC78AD">
      <w:pPr>
        <w:tabs>
          <w:tab w:val="left" w:pos="426"/>
        </w:tabs>
        <w:ind w:left="709" w:right="709"/>
        <w:jc w:val="both"/>
        <w:rPr>
          <w:rFonts w:ascii="Arial" w:eastAsia="Calibri" w:hAnsi="Arial" w:cs="Arial"/>
          <w:bCs/>
          <w:sz w:val="21"/>
          <w:szCs w:val="21"/>
          <w:lang w:val="es-ES_tradnl"/>
        </w:rPr>
      </w:pPr>
      <w:r w:rsidRPr="001E79FF">
        <w:rPr>
          <w:rFonts w:ascii="Arial" w:eastAsia="Calibri" w:hAnsi="Arial" w:cs="Arial"/>
          <w:bCs/>
          <w:sz w:val="21"/>
          <w:szCs w:val="21"/>
          <w:lang w:val="es-ES_tradnl"/>
        </w:rPr>
        <w:t xml:space="preserve">En este orden de ideas, al haberse producido el fenómeno de la derogatoria tácita del artículo 12 de la Ley 842 de 2003 por la nueva regulación que sobre la misma materia consagra el artículo 229 del Decreto Ley 019 de 2012, encontramos que la experiencia profesional en toda nueva vinculación que se realice para proveer empleos públicos a partir de la vigencia del Decreto 019 de 2012, se reconocerá y contabilizará a partir de la terminación y aprobación de </w:t>
      </w:r>
      <w:r w:rsidRPr="001E79FF">
        <w:rPr>
          <w:rFonts w:ascii="Arial" w:eastAsia="Calibri" w:hAnsi="Arial" w:cs="Arial"/>
          <w:bCs/>
          <w:sz w:val="21"/>
          <w:szCs w:val="21"/>
          <w:lang w:val="es-ES_tradnl"/>
        </w:rPr>
        <w:lastRenderedPageBreak/>
        <w:t>la totalidad de materias que conforman el pensum académico de educación superior de la formación profesional respectiva.</w:t>
      </w:r>
    </w:p>
    <w:p w14:paraId="72B6F690" w14:textId="30408D4C" w:rsidR="00493D05" w:rsidRDefault="00493D05" w:rsidP="00C54360">
      <w:pPr>
        <w:tabs>
          <w:tab w:val="left" w:pos="426"/>
        </w:tabs>
        <w:spacing w:line="276" w:lineRule="auto"/>
        <w:jc w:val="both"/>
        <w:rPr>
          <w:rFonts w:ascii="Arial" w:eastAsia="Calibri" w:hAnsi="Arial" w:cs="Arial"/>
          <w:b/>
          <w:sz w:val="22"/>
          <w:lang w:val="es-ES_tradnl"/>
        </w:rPr>
      </w:pPr>
    </w:p>
    <w:p w14:paraId="3779619F" w14:textId="43D1606C" w:rsidR="00135A79" w:rsidRDefault="00EE385D" w:rsidP="00C54360">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r>
      <w:r w:rsidR="001A64D1" w:rsidRPr="001A64D1">
        <w:rPr>
          <w:rFonts w:ascii="Arial" w:eastAsia="Calibri" w:hAnsi="Arial" w:cs="Arial"/>
          <w:bCs/>
          <w:sz w:val="22"/>
          <w:lang w:val="es-ES_tradnl"/>
        </w:rPr>
        <w:t>El Ministerio de Salud</w:t>
      </w:r>
      <w:r w:rsidR="003A4125">
        <w:rPr>
          <w:rFonts w:ascii="Arial" w:eastAsia="Calibri" w:hAnsi="Arial" w:cs="Arial"/>
          <w:bCs/>
          <w:sz w:val="22"/>
          <w:lang w:val="es-ES_tradnl"/>
        </w:rPr>
        <w:t xml:space="preserve"> y la Protección Social</w:t>
      </w:r>
      <w:r w:rsidR="003A4125">
        <w:rPr>
          <w:rStyle w:val="Refdenotaalpie"/>
          <w:rFonts w:ascii="Arial" w:eastAsia="Calibri" w:hAnsi="Arial" w:cs="Arial"/>
          <w:bCs/>
          <w:sz w:val="22"/>
          <w:lang w:val="es-ES_tradnl"/>
        </w:rPr>
        <w:footnoteReference w:id="19"/>
      </w:r>
      <w:r w:rsidR="003A4125">
        <w:rPr>
          <w:rFonts w:ascii="Arial" w:eastAsia="Calibri" w:hAnsi="Arial" w:cs="Arial"/>
          <w:bCs/>
          <w:sz w:val="22"/>
          <w:lang w:val="es-ES_tradnl"/>
        </w:rPr>
        <w:t>, por su parte, se pronunció en estos términos:</w:t>
      </w:r>
    </w:p>
    <w:p w14:paraId="50BC5720" w14:textId="646739B8" w:rsidR="003A4125" w:rsidRDefault="003A4125" w:rsidP="00C54360">
      <w:pPr>
        <w:tabs>
          <w:tab w:val="left" w:pos="426"/>
        </w:tabs>
        <w:spacing w:line="276" w:lineRule="auto"/>
        <w:jc w:val="both"/>
        <w:rPr>
          <w:rFonts w:ascii="Arial" w:eastAsia="Calibri" w:hAnsi="Arial" w:cs="Arial"/>
          <w:bCs/>
          <w:sz w:val="22"/>
          <w:lang w:val="es-ES_tradnl"/>
        </w:rPr>
      </w:pPr>
    </w:p>
    <w:p w14:paraId="671E328A" w14:textId="374E75C3" w:rsidR="003A4125" w:rsidRPr="003A4125" w:rsidRDefault="003A4125" w:rsidP="001946FB">
      <w:pPr>
        <w:tabs>
          <w:tab w:val="left" w:pos="426"/>
        </w:tabs>
        <w:ind w:left="709" w:right="709"/>
        <w:jc w:val="both"/>
        <w:rPr>
          <w:rFonts w:ascii="Arial" w:eastAsia="Calibri" w:hAnsi="Arial" w:cs="Arial"/>
          <w:bCs/>
          <w:sz w:val="21"/>
          <w:szCs w:val="21"/>
          <w:lang w:val="es-ES_tradnl"/>
        </w:rPr>
      </w:pPr>
      <w:r w:rsidRPr="003A4125">
        <w:rPr>
          <w:rFonts w:ascii="Arial" w:eastAsia="Calibri" w:hAnsi="Arial" w:cs="Arial"/>
          <w:bCs/>
          <w:sz w:val="21"/>
          <w:szCs w:val="21"/>
          <w:lang w:val="es-ES_tradnl"/>
        </w:rPr>
        <w:t xml:space="preserve">Bajo el entendido de </w:t>
      </w:r>
      <w:proofErr w:type="gramStart"/>
      <w:r w:rsidRPr="003A4125">
        <w:rPr>
          <w:rFonts w:ascii="Arial" w:eastAsia="Calibri" w:hAnsi="Arial" w:cs="Arial"/>
          <w:bCs/>
          <w:sz w:val="21"/>
          <w:szCs w:val="21"/>
          <w:lang w:val="es-ES_tradnl"/>
        </w:rPr>
        <w:t>que</w:t>
      </w:r>
      <w:r>
        <w:rPr>
          <w:rFonts w:ascii="Arial" w:eastAsia="Calibri" w:hAnsi="Arial" w:cs="Arial"/>
          <w:bCs/>
          <w:sz w:val="21"/>
          <w:szCs w:val="21"/>
          <w:lang w:val="es-ES_tradnl"/>
        </w:rPr>
        <w:t>[</w:t>
      </w:r>
      <w:proofErr w:type="gramEnd"/>
      <w:r>
        <w:rPr>
          <w:rFonts w:ascii="Arial" w:eastAsia="Calibri" w:hAnsi="Arial" w:cs="Arial"/>
          <w:bCs/>
          <w:sz w:val="21"/>
          <w:szCs w:val="21"/>
          <w:lang w:val="es-ES_tradnl"/>
        </w:rPr>
        <w:t>,]</w:t>
      </w:r>
      <w:r w:rsidRPr="003A4125">
        <w:rPr>
          <w:rFonts w:ascii="Arial" w:eastAsia="Calibri" w:hAnsi="Arial" w:cs="Arial"/>
          <w:bCs/>
          <w:sz w:val="21"/>
          <w:szCs w:val="21"/>
          <w:lang w:val="es-ES_tradnl"/>
        </w:rPr>
        <w:t xml:space="preserve"> al celebrar contratos de prestación de servicios con profesionales de la ingeniería, estos se comportan como particulares en ejercicio de funciones administrativas, esta Dirección considera que deberá darse aplicación a lo dispuesto en el artículo 229 del Decreto 019 de 2012</w:t>
      </w:r>
      <w:r w:rsidR="00A55FFA">
        <w:rPr>
          <w:rFonts w:ascii="Arial" w:eastAsia="Calibri" w:hAnsi="Arial" w:cs="Arial"/>
          <w:bCs/>
          <w:sz w:val="21"/>
          <w:szCs w:val="21"/>
          <w:lang w:val="es-ES_tradnl"/>
        </w:rPr>
        <w:t>.</w:t>
      </w:r>
    </w:p>
    <w:p w14:paraId="540B33F6" w14:textId="77777777" w:rsidR="001A64D1" w:rsidRDefault="001A64D1" w:rsidP="00C54360">
      <w:pPr>
        <w:tabs>
          <w:tab w:val="left" w:pos="426"/>
        </w:tabs>
        <w:spacing w:line="276" w:lineRule="auto"/>
        <w:jc w:val="both"/>
        <w:rPr>
          <w:rFonts w:ascii="Arial" w:eastAsia="Calibri" w:hAnsi="Arial" w:cs="Arial"/>
          <w:bCs/>
          <w:sz w:val="22"/>
          <w:lang w:val="es-ES_tradnl"/>
        </w:rPr>
      </w:pPr>
    </w:p>
    <w:p w14:paraId="6EFB768F" w14:textId="4327F355" w:rsidR="00135A79" w:rsidRDefault="00EE385D" w:rsidP="00C54360">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r>
      <w:r w:rsidR="00135A79">
        <w:rPr>
          <w:rFonts w:ascii="Arial" w:eastAsia="Calibri" w:hAnsi="Arial" w:cs="Arial"/>
          <w:bCs/>
          <w:sz w:val="22"/>
          <w:lang w:val="es-ES_tradnl"/>
        </w:rPr>
        <w:t>Respecto de este último concepto, es importante resaltar que</w:t>
      </w:r>
      <w:r w:rsidR="00A55FFA">
        <w:rPr>
          <w:rFonts w:ascii="Arial" w:eastAsia="Calibri" w:hAnsi="Arial" w:cs="Arial"/>
          <w:bCs/>
          <w:sz w:val="22"/>
          <w:lang w:val="es-ES_tradnl"/>
        </w:rPr>
        <w:t>,</w:t>
      </w:r>
      <w:r w:rsidR="00135A79">
        <w:rPr>
          <w:rFonts w:ascii="Arial" w:eastAsia="Calibri" w:hAnsi="Arial" w:cs="Arial"/>
          <w:bCs/>
          <w:sz w:val="22"/>
          <w:lang w:val="es-ES_tradnl"/>
        </w:rPr>
        <w:t xml:space="preserve"> en cuanto a la aplicación del Decreto Ley 19 de 2012, no se distinguió entre la vinculación laboral y la de prestación de servicios. En efecto</w:t>
      </w:r>
      <w:r w:rsidR="00A55FFA">
        <w:rPr>
          <w:rFonts w:ascii="Arial" w:eastAsia="Calibri" w:hAnsi="Arial" w:cs="Arial"/>
          <w:bCs/>
          <w:sz w:val="22"/>
          <w:lang w:val="es-ES_tradnl"/>
        </w:rPr>
        <w:t>,</w:t>
      </w:r>
      <w:r w:rsidR="00135A79">
        <w:rPr>
          <w:rFonts w:ascii="Arial" w:eastAsia="Calibri" w:hAnsi="Arial" w:cs="Arial"/>
          <w:bCs/>
          <w:sz w:val="22"/>
          <w:lang w:val="es-ES_tradnl"/>
        </w:rPr>
        <w:t xml:space="preserve"> se dijo:</w:t>
      </w:r>
    </w:p>
    <w:p w14:paraId="465C19EA" w14:textId="565B07A3" w:rsidR="00135A79" w:rsidRDefault="00135A79" w:rsidP="00C54360">
      <w:pPr>
        <w:tabs>
          <w:tab w:val="left" w:pos="426"/>
        </w:tabs>
        <w:spacing w:line="276" w:lineRule="auto"/>
        <w:jc w:val="both"/>
        <w:rPr>
          <w:rFonts w:ascii="Arial" w:eastAsia="Calibri" w:hAnsi="Arial" w:cs="Arial"/>
          <w:bCs/>
          <w:sz w:val="22"/>
          <w:lang w:val="es-ES_tradnl"/>
        </w:rPr>
      </w:pPr>
    </w:p>
    <w:p w14:paraId="00B15801" w14:textId="1E3087A1" w:rsidR="00135A79" w:rsidRPr="00CC78AD" w:rsidRDefault="00135A79" w:rsidP="00CC78AD">
      <w:pPr>
        <w:tabs>
          <w:tab w:val="left" w:pos="426"/>
        </w:tabs>
        <w:ind w:left="709" w:right="709"/>
        <w:jc w:val="both"/>
        <w:rPr>
          <w:rFonts w:ascii="Arial" w:eastAsia="Calibri" w:hAnsi="Arial" w:cs="Arial"/>
          <w:bCs/>
          <w:sz w:val="21"/>
          <w:szCs w:val="21"/>
          <w:lang w:val="es-ES_tradnl"/>
        </w:rPr>
      </w:pPr>
      <w:r w:rsidRPr="00CC78AD">
        <w:rPr>
          <w:rFonts w:ascii="Arial" w:eastAsia="Calibri" w:hAnsi="Arial" w:cs="Arial"/>
          <w:bCs/>
          <w:sz w:val="21"/>
          <w:szCs w:val="21"/>
          <w:lang w:val="es-ES_tradnl"/>
        </w:rPr>
        <w:t xml:space="preserve">Se colige de lo anterior que la norma en general no aplica sobre el ejercicio liberal de las profesiones toda vez que como lo señala el escrito de consulta, el precepto legal contenido en el artículo 229 </w:t>
      </w:r>
      <w:proofErr w:type="spellStart"/>
      <w:r w:rsidRPr="00CC78AD">
        <w:rPr>
          <w:rFonts w:ascii="Arial" w:eastAsia="Calibri" w:hAnsi="Arial" w:cs="Arial"/>
          <w:bCs/>
          <w:sz w:val="21"/>
          <w:szCs w:val="21"/>
          <w:lang w:val="es-ES_tradnl"/>
        </w:rPr>
        <w:t>ibídem</w:t>
      </w:r>
      <w:proofErr w:type="spellEnd"/>
      <w:r w:rsidRPr="00CC78AD">
        <w:rPr>
          <w:rFonts w:ascii="Arial" w:eastAsia="Calibri" w:hAnsi="Arial" w:cs="Arial"/>
          <w:bCs/>
          <w:sz w:val="21"/>
          <w:szCs w:val="21"/>
          <w:lang w:val="es-ES_tradnl"/>
        </w:rPr>
        <w:t>, se encuentra ubicado dentro del capítulo XIX que se refiere a “Trámites, procedimientos y regulaciones del sector administrativo de la función pública”, hecho que permite concluir sobre el precitado artículo, que su aplicación, abarca tanto a aquellos profesionales que van a acceder a la administración pública con vinculación laboral como a quienes lo hacen mediante contratación.</w:t>
      </w:r>
    </w:p>
    <w:p w14:paraId="46CFFFA2" w14:textId="45FCC59E" w:rsidR="00135A79" w:rsidRPr="00CC78AD" w:rsidRDefault="00135A79" w:rsidP="00CC78AD">
      <w:pPr>
        <w:tabs>
          <w:tab w:val="left" w:pos="426"/>
        </w:tabs>
        <w:ind w:left="709" w:right="709"/>
        <w:jc w:val="both"/>
        <w:rPr>
          <w:rFonts w:ascii="Arial" w:eastAsia="Calibri" w:hAnsi="Arial" w:cs="Arial"/>
          <w:bCs/>
          <w:sz w:val="21"/>
          <w:szCs w:val="21"/>
          <w:lang w:val="es-ES_tradnl"/>
        </w:rPr>
      </w:pPr>
      <w:r w:rsidRPr="00CC78AD">
        <w:rPr>
          <w:rFonts w:ascii="Arial" w:eastAsia="Calibri" w:hAnsi="Arial" w:cs="Arial"/>
          <w:bCs/>
          <w:sz w:val="21"/>
          <w:szCs w:val="21"/>
          <w:lang w:val="es-ES_tradnl"/>
        </w:rPr>
        <w:t>[…]</w:t>
      </w:r>
    </w:p>
    <w:p w14:paraId="0D361A90" w14:textId="6FA5C9D2" w:rsidR="00135A79" w:rsidRPr="00CC78AD" w:rsidRDefault="00135A79" w:rsidP="00CC78AD">
      <w:pPr>
        <w:tabs>
          <w:tab w:val="left" w:pos="426"/>
        </w:tabs>
        <w:ind w:left="709" w:right="709"/>
        <w:jc w:val="both"/>
        <w:rPr>
          <w:rFonts w:ascii="Arial" w:eastAsia="Calibri" w:hAnsi="Arial" w:cs="Arial"/>
          <w:bCs/>
          <w:sz w:val="21"/>
          <w:szCs w:val="21"/>
          <w:lang w:val="es-ES_tradnl"/>
        </w:rPr>
      </w:pPr>
    </w:p>
    <w:p w14:paraId="5F533520" w14:textId="3E25386B" w:rsidR="00135A79" w:rsidRPr="00CC78AD" w:rsidRDefault="00135A79" w:rsidP="00CC78AD">
      <w:pPr>
        <w:tabs>
          <w:tab w:val="left" w:pos="426"/>
        </w:tabs>
        <w:ind w:left="709" w:right="709"/>
        <w:jc w:val="both"/>
        <w:rPr>
          <w:rFonts w:ascii="Arial" w:eastAsia="Calibri" w:hAnsi="Arial" w:cs="Arial"/>
          <w:bCs/>
          <w:sz w:val="21"/>
          <w:szCs w:val="21"/>
          <w:lang w:val="es-ES_tradnl"/>
        </w:rPr>
      </w:pPr>
      <w:r w:rsidRPr="00CC78AD">
        <w:rPr>
          <w:rFonts w:ascii="Arial" w:eastAsia="Calibri" w:hAnsi="Arial" w:cs="Arial"/>
          <w:bCs/>
          <w:sz w:val="21"/>
          <w:szCs w:val="21"/>
          <w:lang w:val="es-ES_tradnl"/>
        </w:rPr>
        <w:t>De conformidad con lo expuesto en el punto primero, el artículo 229 del Decreto 019 de 2002 aplica para el ejercicio de las profesiones en la administración pública en cualquier modalidad de vinculación. En tal sentido, solamente se tendrá en cuenta para la determinación de la experiencia de quien va a</w:t>
      </w:r>
      <w:r w:rsidR="00CC78AD" w:rsidRPr="00CC78AD">
        <w:rPr>
          <w:rFonts w:ascii="Arial" w:eastAsia="Calibri" w:hAnsi="Arial" w:cs="Arial"/>
          <w:bCs/>
          <w:sz w:val="21"/>
          <w:szCs w:val="21"/>
          <w:lang w:val="es-ES_tradnl"/>
        </w:rPr>
        <w:t xml:space="preserve"> </w:t>
      </w:r>
      <w:r w:rsidRPr="00CC78AD">
        <w:rPr>
          <w:rFonts w:ascii="Arial" w:eastAsia="Calibri" w:hAnsi="Arial" w:cs="Arial"/>
          <w:bCs/>
          <w:sz w:val="21"/>
          <w:szCs w:val="21"/>
          <w:lang w:val="es-ES_tradnl"/>
        </w:rPr>
        <w:t>ingresar a la administración pública, si la profesión es o no relacionada con el Sistema General de</w:t>
      </w:r>
      <w:r w:rsidR="00CC78AD" w:rsidRPr="00CC78AD">
        <w:rPr>
          <w:rFonts w:ascii="Arial" w:eastAsia="Calibri" w:hAnsi="Arial" w:cs="Arial"/>
          <w:bCs/>
          <w:sz w:val="21"/>
          <w:szCs w:val="21"/>
          <w:lang w:val="es-ES_tradnl"/>
        </w:rPr>
        <w:t xml:space="preserve"> </w:t>
      </w:r>
      <w:r w:rsidRPr="00CC78AD">
        <w:rPr>
          <w:rFonts w:ascii="Arial" w:eastAsia="Calibri" w:hAnsi="Arial" w:cs="Arial"/>
          <w:bCs/>
          <w:sz w:val="21"/>
          <w:szCs w:val="21"/>
          <w:lang w:val="es-ES_tradnl"/>
        </w:rPr>
        <w:t>Seguridad Social en Salud, pues en este último caso, la experiencia profesional se computa a partir de</w:t>
      </w:r>
      <w:r w:rsidR="00CC78AD" w:rsidRPr="00CC78AD">
        <w:rPr>
          <w:rFonts w:ascii="Arial" w:eastAsia="Calibri" w:hAnsi="Arial" w:cs="Arial"/>
          <w:bCs/>
          <w:sz w:val="21"/>
          <w:szCs w:val="21"/>
          <w:lang w:val="es-ES_tradnl"/>
        </w:rPr>
        <w:t xml:space="preserve"> </w:t>
      </w:r>
      <w:r w:rsidRPr="00CC78AD">
        <w:rPr>
          <w:rFonts w:ascii="Arial" w:eastAsia="Calibri" w:hAnsi="Arial" w:cs="Arial"/>
          <w:bCs/>
          <w:sz w:val="21"/>
          <w:szCs w:val="21"/>
          <w:lang w:val="es-ES_tradnl"/>
        </w:rPr>
        <w:t>la inscripción o registro profesional y no a partir de la terminación y aprobación del pensum académico</w:t>
      </w:r>
      <w:r w:rsidR="00CC78AD" w:rsidRPr="00CC78AD">
        <w:rPr>
          <w:rFonts w:ascii="Arial" w:eastAsia="Calibri" w:hAnsi="Arial" w:cs="Arial"/>
          <w:bCs/>
          <w:sz w:val="21"/>
          <w:szCs w:val="21"/>
          <w:lang w:val="es-ES_tradnl"/>
        </w:rPr>
        <w:t xml:space="preserve"> </w:t>
      </w:r>
      <w:r w:rsidRPr="00CC78AD">
        <w:rPr>
          <w:rFonts w:ascii="Arial" w:eastAsia="Calibri" w:hAnsi="Arial" w:cs="Arial"/>
          <w:bCs/>
          <w:sz w:val="21"/>
          <w:szCs w:val="21"/>
          <w:lang w:val="es-ES_tradnl"/>
        </w:rPr>
        <w:t>de educación superior como lo indica el texto de la norma.</w:t>
      </w:r>
    </w:p>
    <w:p w14:paraId="2D288349" w14:textId="77777777" w:rsidR="00CC78AD" w:rsidRPr="00CC78AD" w:rsidRDefault="00CC78AD" w:rsidP="00CC78AD">
      <w:pPr>
        <w:tabs>
          <w:tab w:val="left" w:pos="426"/>
        </w:tabs>
        <w:ind w:left="709" w:right="709"/>
        <w:jc w:val="both"/>
        <w:rPr>
          <w:rFonts w:ascii="Arial" w:eastAsia="Calibri" w:hAnsi="Arial" w:cs="Arial"/>
          <w:bCs/>
          <w:sz w:val="21"/>
          <w:szCs w:val="21"/>
          <w:lang w:val="es-ES_tradnl"/>
        </w:rPr>
      </w:pPr>
    </w:p>
    <w:p w14:paraId="7EBFA19C" w14:textId="3F9E9542" w:rsidR="00135A79" w:rsidRPr="00CC78AD" w:rsidRDefault="00135A79" w:rsidP="00CC78AD">
      <w:pPr>
        <w:tabs>
          <w:tab w:val="left" w:pos="426"/>
        </w:tabs>
        <w:ind w:left="709" w:right="709"/>
        <w:jc w:val="both"/>
        <w:rPr>
          <w:rFonts w:ascii="Arial" w:eastAsia="Calibri" w:hAnsi="Arial" w:cs="Arial"/>
          <w:bCs/>
          <w:sz w:val="21"/>
          <w:szCs w:val="21"/>
          <w:lang w:val="es-ES_tradnl"/>
        </w:rPr>
      </w:pPr>
      <w:r w:rsidRPr="00CC78AD">
        <w:rPr>
          <w:rFonts w:ascii="Arial" w:eastAsia="Calibri" w:hAnsi="Arial" w:cs="Arial"/>
          <w:bCs/>
          <w:sz w:val="21"/>
          <w:szCs w:val="21"/>
          <w:lang w:val="es-ES_tradnl"/>
        </w:rPr>
        <w:t>Así las cosas, si este Ministerio decide vincular un ingeniero o un abogado se entiende que el aspirante</w:t>
      </w:r>
      <w:r w:rsidR="00CC78AD" w:rsidRPr="00CC78AD">
        <w:rPr>
          <w:rFonts w:ascii="Arial" w:eastAsia="Calibri" w:hAnsi="Arial" w:cs="Arial"/>
          <w:bCs/>
          <w:sz w:val="21"/>
          <w:szCs w:val="21"/>
          <w:lang w:val="es-ES_tradnl"/>
        </w:rPr>
        <w:t xml:space="preserve"> </w:t>
      </w:r>
      <w:r w:rsidRPr="00CC78AD">
        <w:rPr>
          <w:rFonts w:ascii="Arial" w:eastAsia="Calibri" w:hAnsi="Arial" w:cs="Arial"/>
          <w:bCs/>
          <w:sz w:val="21"/>
          <w:szCs w:val="21"/>
          <w:lang w:val="es-ES_tradnl"/>
        </w:rPr>
        <w:t>debe acreditar la experiencia profesional mínima requerida, contada a partir de la terminación y</w:t>
      </w:r>
      <w:r w:rsidR="00CC78AD" w:rsidRPr="00CC78AD">
        <w:rPr>
          <w:rFonts w:ascii="Arial" w:eastAsia="Calibri" w:hAnsi="Arial" w:cs="Arial"/>
          <w:bCs/>
          <w:sz w:val="21"/>
          <w:szCs w:val="21"/>
          <w:lang w:val="es-ES_tradnl"/>
        </w:rPr>
        <w:t xml:space="preserve"> </w:t>
      </w:r>
      <w:r w:rsidRPr="00CC78AD">
        <w:rPr>
          <w:rFonts w:ascii="Arial" w:eastAsia="Calibri" w:hAnsi="Arial" w:cs="Arial"/>
          <w:bCs/>
          <w:sz w:val="21"/>
          <w:szCs w:val="21"/>
          <w:lang w:val="es-ES_tradnl"/>
        </w:rPr>
        <w:t>aprobación de materias. Pero si lo que requiere la entidad es un médico, una enfermera o cualquier</w:t>
      </w:r>
      <w:r w:rsidR="00CC78AD" w:rsidRPr="00CC78AD">
        <w:rPr>
          <w:rFonts w:ascii="Arial" w:eastAsia="Calibri" w:hAnsi="Arial" w:cs="Arial"/>
          <w:bCs/>
          <w:sz w:val="21"/>
          <w:szCs w:val="21"/>
          <w:lang w:val="es-ES_tradnl"/>
        </w:rPr>
        <w:t xml:space="preserve"> </w:t>
      </w:r>
      <w:r w:rsidRPr="00CC78AD">
        <w:rPr>
          <w:rFonts w:ascii="Arial" w:eastAsia="Calibri" w:hAnsi="Arial" w:cs="Arial"/>
          <w:bCs/>
          <w:sz w:val="21"/>
          <w:szCs w:val="21"/>
          <w:lang w:val="es-ES_tradnl"/>
        </w:rPr>
        <w:t>profesión relacionada con el SGSSS, su experiencia se validará a partir de la inscripción en el registro</w:t>
      </w:r>
      <w:r w:rsidR="00CC78AD" w:rsidRPr="00CC78AD">
        <w:rPr>
          <w:rFonts w:ascii="Arial" w:eastAsia="Calibri" w:hAnsi="Arial" w:cs="Arial"/>
          <w:bCs/>
          <w:sz w:val="21"/>
          <w:szCs w:val="21"/>
          <w:lang w:val="es-ES_tradnl"/>
        </w:rPr>
        <w:t xml:space="preserve"> </w:t>
      </w:r>
      <w:r w:rsidRPr="00CC78AD">
        <w:rPr>
          <w:rFonts w:ascii="Arial" w:eastAsia="Calibri" w:hAnsi="Arial" w:cs="Arial"/>
          <w:bCs/>
          <w:sz w:val="21"/>
          <w:szCs w:val="21"/>
          <w:lang w:val="es-ES_tradnl"/>
        </w:rPr>
        <w:t>profesional.</w:t>
      </w:r>
    </w:p>
    <w:p w14:paraId="125E1955" w14:textId="77777777" w:rsidR="00CC78AD" w:rsidRPr="00CC78AD" w:rsidRDefault="00CC78AD" w:rsidP="00CC78AD">
      <w:pPr>
        <w:tabs>
          <w:tab w:val="left" w:pos="426"/>
        </w:tabs>
        <w:ind w:left="709" w:right="709"/>
        <w:jc w:val="both"/>
        <w:rPr>
          <w:rFonts w:ascii="Arial" w:eastAsia="Calibri" w:hAnsi="Arial" w:cs="Arial"/>
          <w:bCs/>
          <w:sz w:val="21"/>
          <w:szCs w:val="21"/>
          <w:lang w:val="es-ES_tradnl"/>
        </w:rPr>
      </w:pPr>
    </w:p>
    <w:p w14:paraId="463C7061" w14:textId="7549F66B" w:rsidR="00135A79" w:rsidRPr="00CC78AD" w:rsidRDefault="00135A79" w:rsidP="00CC78AD">
      <w:pPr>
        <w:tabs>
          <w:tab w:val="left" w:pos="426"/>
        </w:tabs>
        <w:ind w:left="709" w:right="709"/>
        <w:jc w:val="both"/>
        <w:rPr>
          <w:rFonts w:ascii="Arial" w:eastAsia="Calibri" w:hAnsi="Arial" w:cs="Arial"/>
          <w:bCs/>
          <w:sz w:val="21"/>
          <w:szCs w:val="21"/>
          <w:lang w:val="es-ES_tradnl"/>
        </w:rPr>
      </w:pPr>
      <w:r w:rsidRPr="00CC78AD">
        <w:rPr>
          <w:rFonts w:ascii="Arial" w:eastAsia="Calibri" w:hAnsi="Arial" w:cs="Arial"/>
          <w:bCs/>
          <w:sz w:val="21"/>
          <w:szCs w:val="21"/>
          <w:lang w:val="es-ES_tradnl"/>
        </w:rPr>
        <w:lastRenderedPageBreak/>
        <w:t>Es preciso aclarar que una u otra opción no están determinadas por el sitio donde se va a desempeñar</w:t>
      </w:r>
      <w:r w:rsidR="00CC78AD" w:rsidRPr="00CC78AD">
        <w:rPr>
          <w:rFonts w:ascii="Arial" w:eastAsia="Calibri" w:hAnsi="Arial" w:cs="Arial"/>
          <w:bCs/>
          <w:sz w:val="21"/>
          <w:szCs w:val="21"/>
          <w:lang w:val="es-ES_tradnl"/>
        </w:rPr>
        <w:t xml:space="preserve"> </w:t>
      </w:r>
      <w:r w:rsidRPr="00CC78AD">
        <w:rPr>
          <w:rFonts w:ascii="Arial" w:eastAsia="Calibri" w:hAnsi="Arial" w:cs="Arial"/>
          <w:bCs/>
          <w:sz w:val="21"/>
          <w:szCs w:val="21"/>
          <w:lang w:val="es-ES_tradnl"/>
        </w:rPr>
        <w:t>el profesional al interior de la administración pública sino por la profesión que acredita el candidato, para</w:t>
      </w:r>
      <w:r w:rsidR="00CC78AD" w:rsidRPr="00CC78AD">
        <w:rPr>
          <w:rFonts w:ascii="Arial" w:eastAsia="Calibri" w:hAnsi="Arial" w:cs="Arial"/>
          <w:bCs/>
          <w:sz w:val="21"/>
          <w:szCs w:val="21"/>
          <w:lang w:val="es-ES_tradnl"/>
        </w:rPr>
        <w:t xml:space="preserve"> </w:t>
      </w:r>
      <w:r w:rsidRPr="00CC78AD">
        <w:rPr>
          <w:rFonts w:ascii="Arial" w:eastAsia="Calibri" w:hAnsi="Arial" w:cs="Arial"/>
          <w:bCs/>
          <w:sz w:val="21"/>
          <w:szCs w:val="21"/>
          <w:lang w:val="es-ES_tradnl"/>
        </w:rPr>
        <w:t>efectos de lo cual deberá consultar con la Dirección de Talento Humano en Salud a fin de identificar</w:t>
      </w:r>
      <w:r w:rsidR="00CC78AD" w:rsidRPr="00CC78AD">
        <w:rPr>
          <w:rFonts w:ascii="Arial" w:eastAsia="Calibri" w:hAnsi="Arial" w:cs="Arial"/>
          <w:bCs/>
          <w:sz w:val="21"/>
          <w:szCs w:val="21"/>
          <w:lang w:val="es-ES_tradnl"/>
        </w:rPr>
        <w:t xml:space="preserve"> </w:t>
      </w:r>
      <w:r w:rsidRPr="00CC78AD">
        <w:rPr>
          <w:rFonts w:ascii="Arial" w:eastAsia="Calibri" w:hAnsi="Arial" w:cs="Arial"/>
          <w:bCs/>
          <w:sz w:val="21"/>
          <w:szCs w:val="21"/>
          <w:lang w:val="es-ES_tradnl"/>
        </w:rPr>
        <w:t>aquellas profesiones relacionadas con el SGSSS.</w:t>
      </w:r>
      <w:r w:rsidR="003E238A" w:rsidRPr="003E238A">
        <w:rPr>
          <w:rStyle w:val="Refdenotaalpie"/>
          <w:rFonts w:ascii="Arial" w:eastAsia="Calibri" w:hAnsi="Arial" w:cs="Arial"/>
          <w:bCs/>
          <w:sz w:val="22"/>
          <w:lang w:val="es-ES_tradnl"/>
        </w:rPr>
        <w:t xml:space="preserve"> </w:t>
      </w:r>
      <w:r w:rsidR="003E238A">
        <w:rPr>
          <w:rStyle w:val="Refdenotaalpie"/>
          <w:rFonts w:ascii="Arial" w:eastAsia="Calibri" w:hAnsi="Arial" w:cs="Arial"/>
          <w:bCs/>
          <w:sz w:val="22"/>
          <w:lang w:val="es-ES_tradnl"/>
        </w:rPr>
        <w:footnoteReference w:id="20"/>
      </w:r>
    </w:p>
    <w:p w14:paraId="131EC321" w14:textId="2EBFF093" w:rsidR="00135A79" w:rsidRDefault="00135A79" w:rsidP="00135A79">
      <w:pPr>
        <w:tabs>
          <w:tab w:val="left" w:pos="426"/>
        </w:tabs>
        <w:spacing w:line="276" w:lineRule="auto"/>
        <w:jc w:val="both"/>
        <w:rPr>
          <w:rFonts w:ascii="Arial" w:eastAsia="Calibri" w:hAnsi="Arial" w:cs="Arial"/>
          <w:bCs/>
          <w:sz w:val="22"/>
          <w:lang w:val="es-ES_tradnl"/>
        </w:rPr>
      </w:pPr>
    </w:p>
    <w:p w14:paraId="2CD1ED9B" w14:textId="2ED096CC" w:rsidR="00CC78AD" w:rsidRPr="0062027E" w:rsidRDefault="00EE385D" w:rsidP="001946FB">
      <w:pPr>
        <w:tabs>
          <w:tab w:val="left" w:pos="426"/>
        </w:tabs>
        <w:spacing w:line="276" w:lineRule="auto"/>
        <w:jc w:val="both"/>
        <w:rPr>
          <w:rFonts w:ascii="Arial" w:eastAsia="Calibri" w:hAnsi="Arial" w:cs="Arial"/>
          <w:bCs/>
          <w:sz w:val="22"/>
          <w:lang w:val="es-ES_tradnl"/>
        </w:rPr>
      </w:pPr>
      <w:r>
        <w:rPr>
          <w:rFonts w:ascii="Arial" w:eastAsia="Calibri" w:hAnsi="Arial" w:cs="Arial"/>
          <w:bCs/>
          <w:sz w:val="22"/>
          <w:lang w:val="es-ES_tradnl"/>
        </w:rPr>
        <w:tab/>
      </w:r>
      <w:r>
        <w:rPr>
          <w:rFonts w:ascii="Arial" w:eastAsia="Calibri" w:hAnsi="Arial" w:cs="Arial"/>
          <w:bCs/>
          <w:sz w:val="22"/>
          <w:lang w:val="es-ES_tradnl"/>
        </w:rPr>
        <w:tab/>
      </w:r>
      <w:r w:rsidR="00CC78AD">
        <w:rPr>
          <w:rFonts w:ascii="Arial" w:eastAsia="Calibri" w:hAnsi="Arial" w:cs="Arial"/>
          <w:bCs/>
          <w:sz w:val="22"/>
          <w:lang w:val="es-ES_tradnl"/>
        </w:rPr>
        <w:t xml:space="preserve">Nótese que lo relevante no es la relación con la «función pública», como parecen entenderlo los </w:t>
      </w:r>
      <w:r w:rsidR="00B85B60">
        <w:rPr>
          <w:rFonts w:ascii="Arial" w:eastAsia="Calibri" w:hAnsi="Arial" w:cs="Arial"/>
          <w:bCs/>
          <w:sz w:val="22"/>
          <w:lang w:val="es-ES_tradnl"/>
        </w:rPr>
        <w:t>peticionarios</w:t>
      </w:r>
      <w:r w:rsidR="00CC78AD">
        <w:rPr>
          <w:rFonts w:ascii="Arial" w:eastAsia="Calibri" w:hAnsi="Arial" w:cs="Arial"/>
          <w:bCs/>
          <w:sz w:val="22"/>
          <w:lang w:val="es-ES_tradnl"/>
        </w:rPr>
        <w:t>, sino «la profesión que acredita el candidato».</w:t>
      </w:r>
      <w:r w:rsidR="00A55FFA">
        <w:rPr>
          <w:rFonts w:ascii="Arial" w:eastAsia="Calibri" w:hAnsi="Arial" w:cs="Arial"/>
          <w:bCs/>
          <w:sz w:val="22"/>
          <w:lang w:val="es-ES_tradnl"/>
        </w:rPr>
        <w:t xml:space="preserve"> Para nosotros, el argumento expuesto es suficiente para descartar el dicho de los peticionarios, sobre la obligación de aplicar el artículo 229 del Decreto 19 de 2012 solo a la «función pública».</w:t>
      </w:r>
      <w:r w:rsidR="00141698">
        <w:rPr>
          <w:rFonts w:ascii="Arial" w:eastAsia="Calibri" w:hAnsi="Arial" w:cs="Arial"/>
          <w:bCs/>
          <w:sz w:val="22"/>
          <w:lang w:val="es-ES_tradnl"/>
        </w:rPr>
        <w:t xml:space="preserve"> </w:t>
      </w:r>
      <w:r w:rsidR="00953BB3">
        <w:rPr>
          <w:rFonts w:ascii="Arial" w:eastAsia="Calibri" w:hAnsi="Arial" w:cs="Arial"/>
          <w:bCs/>
          <w:sz w:val="22"/>
          <w:lang w:val="es-ES_tradnl"/>
        </w:rPr>
        <w:t xml:space="preserve">En suma, </w:t>
      </w:r>
      <w:r w:rsidR="00CC78AD">
        <w:rPr>
          <w:rFonts w:ascii="Arial" w:eastAsia="Calibri" w:hAnsi="Arial" w:cs="Arial"/>
          <w:bCs/>
          <w:sz w:val="22"/>
          <w:lang w:val="es-ES_tradnl"/>
        </w:rPr>
        <w:t xml:space="preserve">los argumentos expuestos por los solicitantes </w:t>
      </w:r>
      <w:r w:rsidR="00953BB3">
        <w:rPr>
          <w:rFonts w:ascii="Arial" w:eastAsia="Calibri" w:hAnsi="Arial" w:cs="Arial"/>
          <w:bCs/>
          <w:sz w:val="22"/>
          <w:lang w:val="es-ES_tradnl"/>
        </w:rPr>
        <w:t>tampoco serían</w:t>
      </w:r>
      <w:r w:rsidR="00CC78AD">
        <w:rPr>
          <w:rFonts w:ascii="Arial" w:eastAsia="Calibri" w:hAnsi="Arial" w:cs="Arial"/>
          <w:bCs/>
          <w:sz w:val="22"/>
          <w:lang w:val="es-ES_tradnl"/>
        </w:rPr>
        <w:t xml:space="preserve"> suficientes para justificar el cambio de tesis </w:t>
      </w:r>
      <w:r w:rsidR="00141698">
        <w:rPr>
          <w:rFonts w:ascii="Arial" w:eastAsia="Calibri" w:hAnsi="Arial" w:cs="Arial"/>
          <w:bCs/>
          <w:sz w:val="22"/>
          <w:lang w:val="es-ES_tradnl"/>
        </w:rPr>
        <w:t>solicitado</w:t>
      </w:r>
      <w:r w:rsidR="00CC78AD">
        <w:rPr>
          <w:rFonts w:ascii="Arial" w:eastAsia="Calibri" w:hAnsi="Arial" w:cs="Arial"/>
          <w:bCs/>
          <w:sz w:val="22"/>
          <w:lang w:val="es-ES_tradnl"/>
        </w:rPr>
        <w:t xml:space="preserve">. Por el contrario, se ha demostrado que los argumentos </w:t>
      </w:r>
      <w:r w:rsidR="00141698">
        <w:rPr>
          <w:rFonts w:ascii="Arial" w:eastAsia="Calibri" w:hAnsi="Arial" w:cs="Arial"/>
          <w:bCs/>
          <w:sz w:val="22"/>
          <w:lang w:val="es-ES_tradnl"/>
        </w:rPr>
        <w:t>expuestos</w:t>
      </w:r>
      <w:r w:rsidR="00CC78AD">
        <w:rPr>
          <w:rFonts w:ascii="Arial" w:eastAsia="Calibri" w:hAnsi="Arial" w:cs="Arial"/>
          <w:bCs/>
          <w:sz w:val="22"/>
          <w:lang w:val="es-ES_tradnl"/>
        </w:rPr>
        <w:t xml:space="preserve">, además de ser razonables y coherentes, </w:t>
      </w:r>
      <w:r w:rsidR="00141698">
        <w:rPr>
          <w:rFonts w:ascii="Arial" w:eastAsia="Calibri" w:hAnsi="Arial" w:cs="Arial"/>
          <w:bCs/>
          <w:sz w:val="22"/>
          <w:lang w:val="es-ES_tradnl"/>
        </w:rPr>
        <w:t>también se comparten</w:t>
      </w:r>
      <w:r w:rsidR="00CC78AD" w:rsidRPr="0062027E">
        <w:rPr>
          <w:rFonts w:ascii="Arial" w:eastAsia="Calibri" w:hAnsi="Arial" w:cs="Arial"/>
          <w:bCs/>
          <w:sz w:val="22"/>
          <w:lang w:val="es-ES_tradnl"/>
        </w:rPr>
        <w:t xml:space="preserve"> </w:t>
      </w:r>
      <w:r w:rsidR="00141698">
        <w:rPr>
          <w:rFonts w:ascii="Arial" w:eastAsia="Calibri" w:hAnsi="Arial" w:cs="Arial"/>
          <w:bCs/>
          <w:sz w:val="22"/>
          <w:lang w:val="es-ES_tradnl"/>
        </w:rPr>
        <w:t>con</w:t>
      </w:r>
      <w:r w:rsidR="00CC78AD" w:rsidRPr="0062027E">
        <w:rPr>
          <w:rFonts w:ascii="Arial" w:eastAsia="Calibri" w:hAnsi="Arial" w:cs="Arial"/>
          <w:bCs/>
          <w:sz w:val="22"/>
          <w:lang w:val="es-ES_tradnl"/>
        </w:rPr>
        <w:t xml:space="preserve"> diferentes entidades públicas, lo que descarta su arbitrariedad</w:t>
      </w:r>
      <w:r w:rsidR="00953BB3">
        <w:rPr>
          <w:rFonts w:ascii="Arial" w:eastAsia="Calibri" w:hAnsi="Arial" w:cs="Arial"/>
          <w:bCs/>
          <w:sz w:val="22"/>
          <w:lang w:val="es-ES_tradnl"/>
        </w:rPr>
        <w:t xml:space="preserve"> o cualquier tipo de subjetividad</w:t>
      </w:r>
      <w:r w:rsidR="00CC78AD" w:rsidRPr="0062027E">
        <w:rPr>
          <w:rFonts w:ascii="Arial" w:eastAsia="Calibri" w:hAnsi="Arial" w:cs="Arial"/>
          <w:bCs/>
          <w:sz w:val="22"/>
          <w:lang w:val="es-ES_tradnl"/>
        </w:rPr>
        <w:t>.</w:t>
      </w:r>
    </w:p>
    <w:p w14:paraId="1547E3FC" w14:textId="77777777" w:rsidR="00CC78AD" w:rsidRPr="0062027E" w:rsidRDefault="00CC78AD" w:rsidP="00135A79">
      <w:pPr>
        <w:tabs>
          <w:tab w:val="left" w:pos="426"/>
        </w:tabs>
        <w:spacing w:line="276" w:lineRule="auto"/>
        <w:jc w:val="both"/>
        <w:rPr>
          <w:rFonts w:ascii="Arial" w:eastAsia="Calibri" w:hAnsi="Arial" w:cs="Arial"/>
          <w:bCs/>
          <w:sz w:val="22"/>
          <w:lang w:val="es-ES_tradnl"/>
        </w:rPr>
      </w:pPr>
    </w:p>
    <w:p w14:paraId="5CD2FD4E" w14:textId="11DC3770" w:rsidR="006C3AA8" w:rsidRDefault="006C3AA8" w:rsidP="00C54360">
      <w:pPr>
        <w:tabs>
          <w:tab w:val="left" w:pos="426"/>
        </w:tabs>
        <w:spacing w:line="276" w:lineRule="auto"/>
        <w:jc w:val="both"/>
        <w:rPr>
          <w:rFonts w:ascii="Arial" w:eastAsia="Calibri" w:hAnsi="Arial" w:cs="Arial"/>
          <w:b/>
          <w:sz w:val="22"/>
          <w:lang w:val="es-ES_tradnl"/>
        </w:rPr>
      </w:pPr>
      <w:r w:rsidRPr="0062027E">
        <w:rPr>
          <w:rFonts w:ascii="Arial" w:eastAsia="Calibri" w:hAnsi="Arial" w:cs="Arial"/>
          <w:b/>
          <w:sz w:val="22"/>
          <w:lang w:val="es-ES_tradnl"/>
        </w:rPr>
        <w:t>2.</w:t>
      </w:r>
      <w:r w:rsidR="00127FB4">
        <w:rPr>
          <w:rFonts w:ascii="Arial" w:eastAsia="Calibri" w:hAnsi="Arial" w:cs="Arial"/>
          <w:b/>
          <w:sz w:val="22"/>
          <w:lang w:val="es-ES_tradnl"/>
        </w:rPr>
        <w:t>2</w:t>
      </w:r>
      <w:r w:rsidRPr="0062027E">
        <w:rPr>
          <w:rFonts w:ascii="Arial" w:eastAsia="Calibri" w:hAnsi="Arial" w:cs="Arial"/>
          <w:b/>
          <w:sz w:val="22"/>
          <w:lang w:val="es-ES_tradnl"/>
        </w:rPr>
        <w:t xml:space="preserve">.5. </w:t>
      </w:r>
      <w:r w:rsidR="00EC5571">
        <w:rPr>
          <w:rFonts w:ascii="Arial" w:eastAsia="Calibri" w:hAnsi="Arial" w:cs="Arial"/>
          <w:b/>
          <w:sz w:val="22"/>
          <w:lang w:val="es-ES_tradnl"/>
        </w:rPr>
        <w:t>E</w:t>
      </w:r>
      <w:r w:rsidRPr="0062027E">
        <w:rPr>
          <w:rFonts w:ascii="Arial" w:eastAsia="Calibri" w:hAnsi="Arial" w:cs="Arial"/>
          <w:b/>
          <w:sz w:val="22"/>
          <w:lang w:val="es-ES_tradnl"/>
        </w:rPr>
        <w:t xml:space="preserve">l COPNIA </w:t>
      </w:r>
      <w:r w:rsidR="00EC5571">
        <w:rPr>
          <w:rFonts w:ascii="Arial" w:eastAsia="Calibri" w:hAnsi="Arial" w:cs="Arial"/>
          <w:b/>
          <w:sz w:val="22"/>
          <w:lang w:val="es-ES_tradnl"/>
        </w:rPr>
        <w:t>carece de c</w:t>
      </w:r>
      <w:r w:rsidR="00EC5571" w:rsidRPr="0062027E">
        <w:rPr>
          <w:rFonts w:ascii="Arial" w:eastAsia="Calibri" w:hAnsi="Arial" w:cs="Arial"/>
          <w:b/>
          <w:sz w:val="22"/>
          <w:lang w:val="es-ES_tradnl"/>
        </w:rPr>
        <w:t xml:space="preserve">ompetencia exclusiva y excluyente </w:t>
      </w:r>
      <w:r w:rsidRPr="0062027E">
        <w:rPr>
          <w:rFonts w:ascii="Arial" w:eastAsia="Calibri" w:hAnsi="Arial" w:cs="Arial"/>
          <w:b/>
          <w:sz w:val="22"/>
          <w:lang w:val="es-ES_tradnl"/>
        </w:rPr>
        <w:t>para interpretar la Ley 842 de 2003</w:t>
      </w:r>
    </w:p>
    <w:p w14:paraId="60300888" w14:textId="77777777" w:rsidR="00C54360" w:rsidRPr="0062027E" w:rsidRDefault="00C54360" w:rsidP="0062027E">
      <w:pPr>
        <w:jc w:val="both"/>
        <w:rPr>
          <w:rFonts w:ascii="Arial" w:eastAsia="Calibri" w:hAnsi="Arial" w:cs="Arial"/>
          <w:sz w:val="22"/>
        </w:rPr>
      </w:pPr>
    </w:p>
    <w:p w14:paraId="6A51B7DC" w14:textId="484780E7" w:rsidR="0062027E" w:rsidRDefault="0062027E" w:rsidP="001946FB">
      <w:pPr>
        <w:spacing w:line="276" w:lineRule="auto"/>
        <w:jc w:val="both"/>
        <w:rPr>
          <w:rFonts w:ascii="Arial" w:eastAsia="Calibri" w:hAnsi="Arial" w:cs="Arial"/>
          <w:sz w:val="22"/>
          <w:lang w:val="es-ES_tradnl"/>
        </w:rPr>
      </w:pPr>
      <w:r>
        <w:rPr>
          <w:rFonts w:ascii="Arial" w:eastAsia="Calibri" w:hAnsi="Arial" w:cs="Arial"/>
          <w:sz w:val="22"/>
          <w:lang w:val="es-ES_tradnl"/>
        </w:rPr>
        <w:t xml:space="preserve">El COPNIA asegura que la Agencia Nacional de Contratación Pública no tiene competencia para interpretar los «aspectos relacionados estrictamente con la ingeniería y su ejercicio» y, en ese mismo sentido, entiende que tal interpretación </w:t>
      </w:r>
      <w:r w:rsidR="00190B5C">
        <w:rPr>
          <w:rFonts w:ascii="Arial" w:eastAsia="Calibri" w:hAnsi="Arial" w:cs="Arial"/>
          <w:sz w:val="22"/>
          <w:lang w:val="es-ES_tradnl"/>
        </w:rPr>
        <w:t>le compete única y exclusivamente a dicho Consejo</w:t>
      </w:r>
      <w:r>
        <w:rPr>
          <w:rFonts w:ascii="Arial" w:eastAsia="Calibri" w:hAnsi="Arial" w:cs="Arial"/>
          <w:sz w:val="22"/>
          <w:lang w:val="es-ES_tradnl"/>
        </w:rPr>
        <w:t>. Estos argumentos</w:t>
      </w:r>
      <w:r w:rsidR="00190B5C">
        <w:rPr>
          <w:rFonts w:ascii="Arial" w:eastAsia="Calibri" w:hAnsi="Arial" w:cs="Arial"/>
          <w:sz w:val="22"/>
          <w:lang w:val="es-ES_tradnl"/>
        </w:rPr>
        <w:t>, aunque ciertos,</w:t>
      </w:r>
      <w:r>
        <w:rPr>
          <w:rFonts w:ascii="Arial" w:eastAsia="Calibri" w:hAnsi="Arial" w:cs="Arial"/>
          <w:sz w:val="22"/>
          <w:lang w:val="es-ES_tradnl"/>
        </w:rPr>
        <w:t xml:space="preserve"> carecen de fundamento</w:t>
      </w:r>
      <w:r w:rsidR="00190B5C">
        <w:rPr>
          <w:rFonts w:ascii="Arial" w:eastAsia="Calibri" w:hAnsi="Arial" w:cs="Arial"/>
          <w:sz w:val="22"/>
          <w:lang w:val="es-ES_tradnl"/>
        </w:rPr>
        <w:t xml:space="preserve"> para la petición de revocatoria de los conceptos </w:t>
      </w:r>
      <w:r w:rsidR="00190B5C">
        <w:rPr>
          <w:rFonts w:ascii="Arial" w:eastAsia="Calibri" w:hAnsi="Arial" w:cs="Arial"/>
          <w:i/>
          <w:iCs/>
          <w:sz w:val="22"/>
          <w:lang w:val="es-ES_tradnl"/>
        </w:rPr>
        <w:t>sub examine</w:t>
      </w:r>
      <w:r>
        <w:rPr>
          <w:rFonts w:ascii="Arial" w:eastAsia="Calibri" w:hAnsi="Arial" w:cs="Arial"/>
          <w:sz w:val="22"/>
          <w:lang w:val="es-ES_tradnl"/>
        </w:rPr>
        <w:t xml:space="preserve">, pues </w:t>
      </w:r>
      <w:r w:rsidR="00D3446D">
        <w:rPr>
          <w:rFonts w:ascii="Arial" w:eastAsia="Calibri" w:hAnsi="Arial" w:cs="Arial"/>
          <w:sz w:val="22"/>
          <w:lang w:val="es-ES_tradnl"/>
        </w:rPr>
        <w:t xml:space="preserve">se </w:t>
      </w:r>
      <w:r>
        <w:rPr>
          <w:rFonts w:ascii="Arial" w:eastAsia="Calibri" w:hAnsi="Arial" w:cs="Arial"/>
          <w:sz w:val="22"/>
          <w:lang w:val="es-ES_tradnl"/>
        </w:rPr>
        <w:t xml:space="preserve">confunden </w:t>
      </w:r>
      <w:r w:rsidR="00190B5C">
        <w:rPr>
          <w:rFonts w:ascii="Arial" w:eastAsia="Calibri" w:hAnsi="Arial" w:cs="Arial"/>
          <w:sz w:val="22"/>
          <w:lang w:val="es-ES_tradnl"/>
        </w:rPr>
        <w:t>dos</w:t>
      </w:r>
      <w:r>
        <w:rPr>
          <w:rFonts w:ascii="Arial" w:eastAsia="Calibri" w:hAnsi="Arial" w:cs="Arial"/>
          <w:sz w:val="22"/>
          <w:lang w:val="es-ES_tradnl"/>
        </w:rPr>
        <w:t xml:space="preserve"> competencias </w:t>
      </w:r>
      <w:r w:rsidR="00190B5C">
        <w:rPr>
          <w:rFonts w:ascii="Arial" w:eastAsia="Calibri" w:hAnsi="Arial" w:cs="Arial"/>
          <w:sz w:val="22"/>
          <w:lang w:val="es-ES_tradnl"/>
        </w:rPr>
        <w:t xml:space="preserve">que son distintas: la </w:t>
      </w:r>
      <w:r>
        <w:rPr>
          <w:rFonts w:ascii="Arial" w:eastAsia="Calibri" w:hAnsi="Arial" w:cs="Arial"/>
          <w:sz w:val="22"/>
          <w:lang w:val="es-ES_tradnl"/>
        </w:rPr>
        <w:t>de interpretación normativa y las de interpretación de «aspectos relacionados con la ingeniería», siendo esto último y no lo primero lo que le corresponde</w:t>
      </w:r>
      <w:r w:rsidR="00190B5C">
        <w:rPr>
          <w:rFonts w:ascii="Arial" w:eastAsia="Calibri" w:hAnsi="Arial" w:cs="Arial"/>
          <w:sz w:val="22"/>
          <w:lang w:val="es-ES_tradnl"/>
        </w:rPr>
        <w:t xml:space="preserve"> hacer</w:t>
      </w:r>
      <w:r>
        <w:rPr>
          <w:rFonts w:ascii="Arial" w:eastAsia="Calibri" w:hAnsi="Arial" w:cs="Arial"/>
          <w:sz w:val="22"/>
          <w:lang w:val="es-ES_tradnl"/>
        </w:rPr>
        <w:t xml:space="preserve"> al COPNIA.</w:t>
      </w:r>
      <w:r w:rsidR="00190B5C">
        <w:rPr>
          <w:rFonts w:ascii="Arial" w:eastAsia="Calibri" w:hAnsi="Arial" w:cs="Arial"/>
          <w:sz w:val="22"/>
          <w:lang w:val="es-ES_tradnl"/>
        </w:rPr>
        <w:t xml:space="preserve"> En efecto, el artículo 26 de la Ley 842 del año 2003, </w:t>
      </w:r>
      <w:r w:rsidR="00141698">
        <w:rPr>
          <w:rFonts w:ascii="Arial" w:eastAsia="Calibri" w:hAnsi="Arial" w:cs="Arial"/>
          <w:sz w:val="22"/>
          <w:lang w:val="es-ES_tradnl"/>
        </w:rPr>
        <w:t xml:space="preserve">dispone </w:t>
      </w:r>
      <w:r w:rsidR="00190B5C">
        <w:rPr>
          <w:rFonts w:ascii="Arial" w:eastAsia="Calibri" w:hAnsi="Arial" w:cs="Arial"/>
          <w:sz w:val="22"/>
          <w:lang w:val="es-ES_tradnl"/>
        </w:rPr>
        <w:t>lo siguiente:</w:t>
      </w:r>
    </w:p>
    <w:p w14:paraId="5F4CF3E7" w14:textId="2635DF6D" w:rsidR="00190B5C" w:rsidRDefault="00190B5C" w:rsidP="00190B5C">
      <w:pPr>
        <w:jc w:val="both"/>
        <w:rPr>
          <w:rFonts w:ascii="Arial" w:eastAsia="Calibri" w:hAnsi="Arial" w:cs="Arial"/>
          <w:sz w:val="22"/>
          <w:lang w:val="es-ES_tradnl"/>
        </w:rPr>
      </w:pPr>
    </w:p>
    <w:p w14:paraId="32273ECB" w14:textId="710A19DA" w:rsidR="00190B5C" w:rsidRPr="00190B5C" w:rsidRDefault="00190B5C" w:rsidP="001946FB">
      <w:pPr>
        <w:spacing w:after="120"/>
        <w:ind w:left="709" w:right="709"/>
        <w:jc w:val="both"/>
        <w:rPr>
          <w:rFonts w:ascii="Arial" w:eastAsia="Calibri" w:hAnsi="Arial" w:cs="Arial"/>
          <w:sz w:val="21"/>
          <w:szCs w:val="21"/>
          <w:lang w:val="es-ES_tradnl"/>
        </w:rPr>
      </w:pPr>
      <w:r w:rsidRPr="00190B5C">
        <w:rPr>
          <w:rFonts w:ascii="Arial" w:eastAsia="Calibri" w:hAnsi="Arial" w:cs="Arial"/>
          <w:sz w:val="21"/>
          <w:szCs w:val="21"/>
          <w:lang w:val="es-ES_tradnl"/>
        </w:rPr>
        <w:t xml:space="preserve">El Consejo Profesional Nacional de Ingeniería, </w:t>
      </w:r>
      <w:proofErr w:type="spellStart"/>
      <w:r w:rsidRPr="00190B5C">
        <w:rPr>
          <w:rFonts w:ascii="Arial" w:eastAsia="Calibri" w:hAnsi="Arial" w:cs="Arial"/>
          <w:sz w:val="21"/>
          <w:szCs w:val="21"/>
          <w:lang w:val="es-ES_tradnl"/>
        </w:rPr>
        <w:t>Copnia</w:t>
      </w:r>
      <w:proofErr w:type="spellEnd"/>
      <w:r w:rsidRPr="00190B5C">
        <w:rPr>
          <w:rFonts w:ascii="Arial" w:eastAsia="Calibri" w:hAnsi="Arial" w:cs="Arial"/>
          <w:sz w:val="21"/>
          <w:szCs w:val="21"/>
          <w:lang w:val="es-ES_tradnl"/>
        </w:rPr>
        <w:t>, tendrá como funciones específicas las siguientes:</w:t>
      </w:r>
    </w:p>
    <w:p w14:paraId="5EFF58D3" w14:textId="2B8EBBD4" w:rsidR="00190B5C" w:rsidRPr="00190B5C" w:rsidRDefault="00190B5C" w:rsidP="001946FB">
      <w:pPr>
        <w:spacing w:after="120"/>
        <w:ind w:left="709" w:right="709"/>
        <w:jc w:val="both"/>
        <w:rPr>
          <w:rFonts w:ascii="Arial" w:eastAsia="Calibri" w:hAnsi="Arial" w:cs="Arial"/>
          <w:sz w:val="21"/>
          <w:szCs w:val="21"/>
          <w:lang w:val="es-ES_tradnl"/>
        </w:rPr>
      </w:pPr>
      <w:r w:rsidRPr="00190B5C">
        <w:rPr>
          <w:rFonts w:ascii="Arial" w:eastAsia="Calibri" w:hAnsi="Arial" w:cs="Arial"/>
          <w:sz w:val="21"/>
          <w:szCs w:val="21"/>
          <w:lang w:val="es-ES_tradnl"/>
        </w:rPr>
        <w:t>i) Emitir conceptos y responder consultas sobre aspectos relacionados con el ejercicio de la ingeniería, sus profesiones afines y sus profesiones auxiliares, cuando así se le solicite para cualquier efecto legal o profesional;</w:t>
      </w:r>
    </w:p>
    <w:p w14:paraId="5B8A89E5" w14:textId="1DC882C5" w:rsidR="00190B5C" w:rsidRPr="00190B5C" w:rsidRDefault="00190B5C" w:rsidP="001946FB">
      <w:pPr>
        <w:ind w:left="709" w:right="709"/>
        <w:jc w:val="both"/>
        <w:rPr>
          <w:rFonts w:ascii="Arial" w:eastAsia="Calibri" w:hAnsi="Arial" w:cs="Arial"/>
          <w:sz w:val="21"/>
          <w:szCs w:val="21"/>
          <w:lang w:val="es-ES_tradnl"/>
        </w:rPr>
      </w:pPr>
      <w:r w:rsidRPr="00190B5C">
        <w:rPr>
          <w:rFonts w:ascii="Arial" w:eastAsia="Calibri" w:hAnsi="Arial" w:cs="Arial"/>
          <w:sz w:val="21"/>
          <w:szCs w:val="21"/>
          <w:lang w:val="es-ES_tradnl"/>
        </w:rPr>
        <w:t>j) Servir de cuerpo consultivo oficial del Gobierno, en todos los asuntos inherentes a la reglamentación de la ingeniería, de sus profesiones afines y de sus profesiones auxiliares;</w:t>
      </w:r>
      <w:r w:rsidR="00447246">
        <w:rPr>
          <w:rFonts w:ascii="Arial" w:eastAsia="Calibri" w:hAnsi="Arial" w:cs="Arial"/>
          <w:sz w:val="21"/>
          <w:szCs w:val="21"/>
          <w:lang w:val="es-ES_tradnl"/>
        </w:rPr>
        <w:t xml:space="preserve"> […]</w:t>
      </w:r>
    </w:p>
    <w:p w14:paraId="4BE7F48F" w14:textId="77777777" w:rsidR="00AD06CE" w:rsidRDefault="00AD06CE" w:rsidP="001946FB">
      <w:pPr>
        <w:spacing w:line="276" w:lineRule="auto"/>
        <w:jc w:val="both"/>
        <w:rPr>
          <w:rFonts w:ascii="Arial" w:eastAsia="Calibri" w:hAnsi="Arial" w:cs="Arial"/>
          <w:sz w:val="22"/>
          <w:lang w:val="es-ES_tradnl"/>
        </w:rPr>
      </w:pPr>
    </w:p>
    <w:p w14:paraId="0A80EB20" w14:textId="3E9488E1" w:rsidR="00447246" w:rsidRDefault="00907140" w:rsidP="001946FB">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lastRenderedPageBreak/>
        <w:t>Colombia Compra Eficiente considera que de la expresión «</w:t>
      </w:r>
      <w:r w:rsidRPr="00907140">
        <w:rPr>
          <w:rFonts w:ascii="Arial" w:eastAsia="Calibri" w:hAnsi="Arial" w:cs="Arial"/>
          <w:sz w:val="22"/>
          <w:lang w:val="es-ES_tradnl"/>
        </w:rPr>
        <w:t>consultas sobre aspectos relacionados con el ejercicio de la ingeniería</w:t>
      </w:r>
      <w:r>
        <w:rPr>
          <w:rFonts w:ascii="Arial" w:eastAsia="Calibri" w:hAnsi="Arial" w:cs="Arial"/>
          <w:sz w:val="22"/>
          <w:lang w:val="es-ES_tradnl"/>
        </w:rPr>
        <w:t xml:space="preserve">» no se deriva ninguna competencia para interpretar las </w:t>
      </w:r>
      <w:r w:rsidR="00447246">
        <w:rPr>
          <w:rFonts w:ascii="Arial" w:eastAsia="Calibri" w:hAnsi="Arial" w:cs="Arial"/>
          <w:sz w:val="22"/>
          <w:lang w:val="es-ES_tradnl"/>
        </w:rPr>
        <w:t xml:space="preserve">leyes </w:t>
      </w:r>
      <w:r>
        <w:rPr>
          <w:rFonts w:ascii="Arial" w:eastAsia="Calibri" w:hAnsi="Arial" w:cs="Arial"/>
          <w:sz w:val="22"/>
          <w:lang w:val="es-ES_tradnl"/>
        </w:rPr>
        <w:t>que regulan la ingeniería</w:t>
      </w:r>
      <w:r w:rsidR="00141698">
        <w:rPr>
          <w:rFonts w:ascii="Arial" w:eastAsia="Calibri" w:hAnsi="Arial" w:cs="Arial"/>
          <w:sz w:val="22"/>
          <w:lang w:val="es-ES_tradnl"/>
        </w:rPr>
        <w:t>.</w:t>
      </w:r>
      <w:r>
        <w:rPr>
          <w:rFonts w:ascii="Arial" w:eastAsia="Calibri" w:hAnsi="Arial" w:cs="Arial"/>
          <w:sz w:val="22"/>
          <w:lang w:val="es-ES_tradnl"/>
        </w:rPr>
        <w:t xml:space="preserve"> </w:t>
      </w:r>
      <w:r w:rsidR="003D7167">
        <w:rPr>
          <w:rFonts w:ascii="Arial" w:eastAsia="Calibri" w:hAnsi="Arial" w:cs="Arial"/>
          <w:sz w:val="22"/>
          <w:lang w:val="es-ES_tradnl"/>
        </w:rPr>
        <w:t>Es</w:t>
      </w:r>
      <w:r>
        <w:rPr>
          <w:rFonts w:ascii="Arial" w:eastAsia="Calibri" w:hAnsi="Arial" w:cs="Arial"/>
          <w:sz w:val="22"/>
          <w:lang w:val="es-ES_tradnl"/>
        </w:rPr>
        <w:t xml:space="preserve"> </w:t>
      </w:r>
      <w:r w:rsidR="00141698">
        <w:rPr>
          <w:rFonts w:ascii="Arial" w:eastAsia="Calibri" w:hAnsi="Arial" w:cs="Arial"/>
          <w:sz w:val="22"/>
          <w:lang w:val="es-ES_tradnl"/>
        </w:rPr>
        <w:t>una atribución</w:t>
      </w:r>
      <w:r>
        <w:rPr>
          <w:rFonts w:ascii="Arial" w:eastAsia="Calibri" w:hAnsi="Arial" w:cs="Arial"/>
          <w:sz w:val="22"/>
          <w:lang w:val="es-ES_tradnl"/>
        </w:rPr>
        <w:t xml:space="preserve"> eminentemente técnica sobre el ejercicio de la ingeniería y sus profesiones afines y auxiliares. Tampoco se considera que </w:t>
      </w:r>
      <w:r w:rsidR="00447246">
        <w:rPr>
          <w:rFonts w:ascii="Arial" w:eastAsia="Calibri" w:hAnsi="Arial" w:cs="Arial"/>
          <w:sz w:val="22"/>
          <w:lang w:val="es-ES_tradnl"/>
        </w:rPr>
        <w:t>la expresión «</w:t>
      </w:r>
      <w:r w:rsidR="00447246" w:rsidRPr="00447246">
        <w:rPr>
          <w:rFonts w:ascii="Arial" w:eastAsia="Calibri" w:hAnsi="Arial" w:cs="Arial"/>
          <w:sz w:val="22"/>
          <w:lang w:val="es-ES_tradnl"/>
        </w:rPr>
        <w:t>cuando así se le solicite para cualquier efecto legal</w:t>
      </w:r>
      <w:r w:rsidR="00447246">
        <w:rPr>
          <w:rFonts w:ascii="Arial" w:eastAsia="Calibri" w:hAnsi="Arial" w:cs="Arial"/>
          <w:sz w:val="22"/>
          <w:lang w:val="es-ES_tradnl"/>
        </w:rPr>
        <w:t>»</w:t>
      </w:r>
      <w:r>
        <w:rPr>
          <w:rFonts w:ascii="Arial" w:eastAsia="Calibri" w:hAnsi="Arial" w:cs="Arial"/>
          <w:sz w:val="22"/>
          <w:lang w:val="es-ES_tradnl"/>
        </w:rPr>
        <w:t xml:space="preserve">, sirva como fundamento para ejercer competencias en relación con la interpretación de </w:t>
      </w:r>
      <w:r w:rsidR="00447246">
        <w:rPr>
          <w:rFonts w:ascii="Arial" w:eastAsia="Calibri" w:hAnsi="Arial" w:cs="Arial"/>
          <w:sz w:val="22"/>
          <w:lang w:val="es-ES_tradnl"/>
        </w:rPr>
        <w:t xml:space="preserve">las </w:t>
      </w:r>
      <w:r>
        <w:rPr>
          <w:rFonts w:ascii="Arial" w:eastAsia="Calibri" w:hAnsi="Arial" w:cs="Arial"/>
          <w:sz w:val="22"/>
          <w:lang w:val="es-ES_tradnl"/>
        </w:rPr>
        <w:t>normas</w:t>
      </w:r>
      <w:r w:rsidR="00447246">
        <w:rPr>
          <w:rFonts w:ascii="Arial" w:eastAsia="Calibri" w:hAnsi="Arial" w:cs="Arial"/>
          <w:sz w:val="22"/>
          <w:lang w:val="es-ES_tradnl"/>
        </w:rPr>
        <w:t xml:space="preserve"> legales que regulan la ingeniería</w:t>
      </w:r>
      <w:r>
        <w:rPr>
          <w:rFonts w:ascii="Arial" w:eastAsia="Calibri" w:hAnsi="Arial" w:cs="Arial"/>
          <w:sz w:val="22"/>
          <w:lang w:val="es-ES_tradnl"/>
        </w:rPr>
        <w:t xml:space="preserve">, pues una cosa es el objeto de la consulta, esto es, </w:t>
      </w:r>
      <w:r w:rsidR="00447246">
        <w:rPr>
          <w:rFonts w:ascii="Arial" w:eastAsia="Calibri" w:hAnsi="Arial" w:cs="Arial"/>
          <w:sz w:val="22"/>
          <w:lang w:val="es-ES_tradnl"/>
        </w:rPr>
        <w:t>los «</w:t>
      </w:r>
      <w:r w:rsidR="00447246" w:rsidRPr="00907140">
        <w:rPr>
          <w:rFonts w:ascii="Arial" w:eastAsia="Calibri" w:hAnsi="Arial" w:cs="Arial"/>
          <w:sz w:val="22"/>
          <w:lang w:val="es-ES_tradnl"/>
        </w:rPr>
        <w:t>aspectos relacionados con el ejercicio de la ingeniería</w:t>
      </w:r>
      <w:r w:rsidR="00447246">
        <w:rPr>
          <w:rFonts w:ascii="Arial" w:eastAsia="Calibri" w:hAnsi="Arial" w:cs="Arial"/>
          <w:sz w:val="22"/>
          <w:lang w:val="es-ES_tradnl"/>
        </w:rPr>
        <w:t xml:space="preserve">» </w:t>
      </w:r>
      <w:r>
        <w:rPr>
          <w:rFonts w:ascii="Arial" w:eastAsia="Calibri" w:hAnsi="Arial" w:cs="Arial"/>
          <w:sz w:val="22"/>
          <w:lang w:val="es-ES_tradnl"/>
        </w:rPr>
        <w:t xml:space="preserve">y otro, distinto, que se </w:t>
      </w:r>
      <w:r w:rsidR="000A3D18">
        <w:rPr>
          <w:rFonts w:ascii="Arial" w:eastAsia="Calibri" w:hAnsi="Arial" w:cs="Arial"/>
          <w:sz w:val="22"/>
          <w:lang w:val="es-ES_tradnl"/>
        </w:rPr>
        <w:t>solicit</w:t>
      </w:r>
      <w:r w:rsidR="003D7167">
        <w:rPr>
          <w:rFonts w:ascii="Arial" w:eastAsia="Calibri" w:hAnsi="Arial" w:cs="Arial"/>
          <w:sz w:val="22"/>
          <w:lang w:val="es-ES_tradnl"/>
        </w:rPr>
        <w:t>e</w:t>
      </w:r>
      <w:r>
        <w:rPr>
          <w:rFonts w:ascii="Arial" w:eastAsia="Calibri" w:hAnsi="Arial" w:cs="Arial"/>
          <w:sz w:val="22"/>
          <w:lang w:val="es-ES_tradnl"/>
        </w:rPr>
        <w:t xml:space="preserve"> un concepto dentro de un proceso judicial</w:t>
      </w:r>
      <w:r w:rsidR="000622EA">
        <w:rPr>
          <w:rFonts w:ascii="Arial" w:eastAsia="Calibri" w:hAnsi="Arial" w:cs="Arial"/>
          <w:sz w:val="22"/>
          <w:lang w:val="es-ES_tradnl"/>
        </w:rPr>
        <w:t xml:space="preserve"> o administrativo.</w:t>
      </w:r>
      <w:r w:rsidR="000A3D18">
        <w:rPr>
          <w:rFonts w:ascii="Arial" w:eastAsia="Calibri" w:hAnsi="Arial" w:cs="Arial"/>
          <w:sz w:val="22"/>
          <w:lang w:val="es-ES_tradnl"/>
        </w:rPr>
        <w:t xml:space="preserve"> Se llegan a</w:t>
      </w:r>
      <w:r w:rsidR="00447246">
        <w:rPr>
          <w:rFonts w:ascii="Arial" w:eastAsia="Calibri" w:hAnsi="Arial" w:cs="Arial"/>
          <w:sz w:val="22"/>
          <w:lang w:val="es-ES_tradnl"/>
        </w:rPr>
        <w:t xml:space="preserve"> </w:t>
      </w:r>
      <w:r w:rsidR="000A3D18">
        <w:rPr>
          <w:rFonts w:ascii="Arial" w:eastAsia="Calibri" w:hAnsi="Arial" w:cs="Arial"/>
          <w:sz w:val="22"/>
          <w:lang w:val="es-ES_tradnl"/>
        </w:rPr>
        <w:t xml:space="preserve">concusiones </w:t>
      </w:r>
      <w:r w:rsidR="00447246">
        <w:rPr>
          <w:rFonts w:ascii="Arial" w:eastAsia="Calibri" w:hAnsi="Arial" w:cs="Arial"/>
          <w:sz w:val="22"/>
          <w:lang w:val="es-ES_tradnl"/>
        </w:rPr>
        <w:t xml:space="preserve">similares con el literal </w:t>
      </w:r>
      <w:r w:rsidR="000A3D18">
        <w:rPr>
          <w:rFonts w:ascii="Arial" w:eastAsia="Calibri" w:hAnsi="Arial" w:cs="Arial"/>
          <w:sz w:val="22"/>
          <w:lang w:val="es-ES_tradnl"/>
        </w:rPr>
        <w:t>j)</w:t>
      </w:r>
      <w:r w:rsidR="00447246">
        <w:rPr>
          <w:rFonts w:ascii="Arial" w:eastAsia="Calibri" w:hAnsi="Arial" w:cs="Arial"/>
          <w:sz w:val="22"/>
          <w:lang w:val="es-ES_tradnl"/>
        </w:rPr>
        <w:t xml:space="preserve"> transcrito, pues de la competencia como «cuerpo consultivo del Gobierno Nacional», tampoco se deriva una </w:t>
      </w:r>
      <w:r w:rsidR="000A3D18">
        <w:rPr>
          <w:rFonts w:ascii="Arial" w:eastAsia="Calibri" w:hAnsi="Arial" w:cs="Arial"/>
          <w:sz w:val="22"/>
          <w:lang w:val="es-ES_tradnl"/>
        </w:rPr>
        <w:t xml:space="preserve">atribución </w:t>
      </w:r>
      <w:r w:rsidR="00447246">
        <w:rPr>
          <w:rFonts w:ascii="Arial" w:eastAsia="Calibri" w:hAnsi="Arial" w:cs="Arial"/>
          <w:sz w:val="22"/>
          <w:lang w:val="es-ES_tradnl"/>
        </w:rPr>
        <w:t xml:space="preserve">genérica </w:t>
      </w:r>
      <w:r w:rsidR="000A3D18">
        <w:rPr>
          <w:rFonts w:ascii="Arial" w:eastAsia="Calibri" w:hAnsi="Arial" w:cs="Arial"/>
          <w:sz w:val="22"/>
          <w:lang w:val="es-ES_tradnl"/>
        </w:rPr>
        <w:t>para la</w:t>
      </w:r>
      <w:r w:rsidR="00447246">
        <w:rPr>
          <w:rFonts w:ascii="Arial" w:eastAsia="Calibri" w:hAnsi="Arial" w:cs="Arial"/>
          <w:sz w:val="22"/>
          <w:lang w:val="es-ES_tradnl"/>
        </w:rPr>
        <w:t xml:space="preserve"> interpretación de las leyes que regulan la ingeniería y sus profesiones afines o auxiliares y, en general, de cualquier tipo de norma del mismo rango. </w:t>
      </w:r>
    </w:p>
    <w:p w14:paraId="6F159146" w14:textId="6353F155" w:rsidR="00447246" w:rsidRDefault="00447246" w:rsidP="00447246">
      <w:pPr>
        <w:spacing w:before="120" w:line="276" w:lineRule="auto"/>
        <w:ind w:firstLine="708"/>
        <w:jc w:val="both"/>
        <w:rPr>
          <w:rFonts w:ascii="Arial" w:eastAsia="Calibri" w:hAnsi="Arial" w:cs="Arial"/>
          <w:sz w:val="22"/>
          <w:lang w:val="es-ES_tradnl"/>
        </w:rPr>
      </w:pPr>
      <w:r w:rsidRPr="001946FB">
        <w:rPr>
          <w:rFonts w:ascii="Arial" w:eastAsia="Calibri" w:hAnsi="Arial" w:cs="Arial"/>
          <w:i/>
          <w:iCs/>
          <w:sz w:val="22"/>
          <w:lang w:val="es-ES_tradnl"/>
        </w:rPr>
        <w:t>Contrario sensu</w:t>
      </w:r>
      <w:r>
        <w:rPr>
          <w:rFonts w:ascii="Arial" w:eastAsia="Calibri" w:hAnsi="Arial" w:cs="Arial"/>
          <w:sz w:val="22"/>
          <w:lang w:val="es-ES_tradnl"/>
        </w:rPr>
        <w:t>, el artículo 3, numeral 5, del Decreto 4170 de 2011</w:t>
      </w:r>
      <w:r w:rsidR="00136B20">
        <w:rPr>
          <w:rFonts w:ascii="Arial" w:eastAsia="Calibri" w:hAnsi="Arial" w:cs="Arial"/>
          <w:sz w:val="22"/>
          <w:lang w:val="es-ES_tradnl"/>
        </w:rPr>
        <w:t xml:space="preserve"> </w:t>
      </w:r>
      <w:r>
        <w:rPr>
          <w:rFonts w:ascii="Arial" w:eastAsia="Calibri" w:hAnsi="Arial" w:cs="Arial"/>
          <w:sz w:val="22"/>
          <w:lang w:val="es-ES_tradnl"/>
        </w:rPr>
        <w:t>otorga competencia a la Agencia Nacional de Contratación Pública para la interpretación de normas de carácter general en materia de compras y contratación pública, en estos términos:</w:t>
      </w:r>
    </w:p>
    <w:p w14:paraId="48E4AF2C" w14:textId="77777777" w:rsidR="00447246" w:rsidRDefault="00447246" w:rsidP="00447246">
      <w:pPr>
        <w:ind w:left="709" w:right="709"/>
        <w:jc w:val="both"/>
        <w:rPr>
          <w:rFonts w:ascii="Arial" w:eastAsia="Calibri" w:hAnsi="Arial" w:cs="Arial"/>
          <w:sz w:val="21"/>
          <w:szCs w:val="21"/>
          <w:lang w:val="es-ES_tradnl"/>
        </w:rPr>
      </w:pPr>
    </w:p>
    <w:p w14:paraId="1E0325A3" w14:textId="265E42AA" w:rsidR="00447246" w:rsidRPr="00447246" w:rsidRDefault="00447246" w:rsidP="00447246">
      <w:pPr>
        <w:ind w:left="709" w:right="709"/>
        <w:jc w:val="both"/>
        <w:rPr>
          <w:rFonts w:ascii="Arial" w:eastAsia="Calibri" w:hAnsi="Arial" w:cs="Arial"/>
          <w:sz w:val="21"/>
          <w:szCs w:val="21"/>
          <w:lang w:val="es-ES_tradnl"/>
        </w:rPr>
      </w:pPr>
      <w:r w:rsidRPr="00447246">
        <w:rPr>
          <w:rFonts w:ascii="Arial" w:eastAsia="Calibri" w:hAnsi="Arial" w:cs="Arial"/>
          <w:sz w:val="21"/>
          <w:szCs w:val="21"/>
          <w:lang w:val="es-ES_tradnl"/>
        </w:rPr>
        <w:t>La Agencia Nacional de Contratación Pública –Colombia Compra Eficiente– ejercerá las siguientes funciones:</w:t>
      </w:r>
    </w:p>
    <w:p w14:paraId="1C0E7A63" w14:textId="13FD53EA" w:rsidR="00447246" w:rsidRPr="00447246" w:rsidRDefault="00447246" w:rsidP="001946FB">
      <w:pPr>
        <w:spacing w:after="120"/>
        <w:ind w:left="709" w:right="709"/>
        <w:jc w:val="both"/>
        <w:rPr>
          <w:rFonts w:ascii="Arial" w:eastAsia="Calibri" w:hAnsi="Arial" w:cs="Arial"/>
          <w:sz w:val="21"/>
          <w:szCs w:val="21"/>
          <w:lang w:val="es-ES_tradnl"/>
        </w:rPr>
      </w:pPr>
      <w:r>
        <w:rPr>
          <w:rFonts w:ascii="Arial" w:eastAsia="Calibri" w:hAnsi="Arial" w:cs="Arial"/>
          <w:sz w:val="21"/>
          <w:szCs w:val="21"/>
          <w:lang w:val="es-ES_tradnl"/>
        </w:rPr>
        <w:t>[…]</w:t>
      </w:r>
    </w:p>
    <w:p w14:paraId="7279D631" w14:textId="73FA0FD3" w:rsidR="00447246" w:rsidRPr="00447246" w:rsidRDefault="00447246" w:rsidP="00447246">
      <w:pPr>
        <w:ind w:left="709" w:right="709"/>
        <w:jc w:val="both"/>
        <w:rPr>
          <w:rFonts w:ascii="Arial" w:eastAsia="Calibri" w:hAnsi="Arial" w:cs="Arial"/>
          <w:sz w:val="21"/>
          <w:szCs w:val="21"/>
          <w:lang w:val="es-ES_tradnl"/>
        </w:rPr>
      </w:pPr>
      <w:r w:rsidRPr="00447246">
        <w:rPr>
          <w:rFonts w:ascii="Arial" w:eastAsia="Calibri" w:hAnsi="Arial" w:cs="Arial"/>
          <w:sz w:val="21"/>
          <w:szCs w:val="21"/>
          <w:lang w:val="es-ES_tradnl"/>
        </w:rPr>
        <w:t>5. Absolver consultas sobre la aplicación de normas de carácter general y expedir circulares externas en materia de compras y contratación pública.</w:t>
      </w:r>
      <w:r>
        <w:rPr>
          <w:rFonts w:ascii="Arial" w:eastAsia="Calibri" w:hAnsi="Arial" w:cs="Arial"/>
          <w:sz w:val="21"/>
          <w:szCs w:val="21"/>
          <w:lang w:val="es-ES_tradnl"/>
        </w:rPr>
        <w:t xml:space="preserve"> […]</w:t>
      </w:r>
    </w:p>
    <w:p w14:paraId="471B18C6" w14:textId="77777777" w:rsidR="00447246" w:rsidRPr="00447246" w:rsidRDefault="00447246" w:rsidP="009354D3">
      <w:pPr>
        <w:ind w:firstLine="709"/>
        <w:jc w:val="both"/>
        <w:rPr>
          <w:rFonts w:ascii="Arial" w:eastAsia="Calibri" w:hAnsi="Arial" w:cs="Arial"/>
          <w:sz w:val="22"/>
          <w:lang w:val="es-ES_tradnl"/>
        </w:rPr>
      </w:pPr>
    </w:p>
    <w:p w14:paraId="6E73DEE2" w14:textId="1C89FA72" w:rsidR="00437263" w:rsidRDefault="00447246" w:rsidP="001946FB">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A la Subdirección de Gestión Contractual, puntualmente, le corresponde «</w:t>
      </w:r>
      <w:r>
        <w:rPr>
          <w:lang w:val="es-ES_tradnl"/>
        </w:rPr>
        <w:t>a</w:t>
      </w:r>
      <w:r w:rsidRPr="00447246">
        <w:rPr>
          <w:rFonts w:ascii="Arial" w:eastAsia="Calibri" w:hAnsi="Arial" w:cs="Arial"/>
          <w:sz w:val="22"/>
          <w:lang w:val="es-ES_tradnl"/>
        </w:rPr>
        <w:t>bsolver consultas sobre la aplicación de normas de carácter general</w:t>
      </w:r>
      <w:r>
        <w:rPr>
          <w:rFonts w:ascii="Arial" w:eastAsia="Calibri" w:hAnsi="Arial" w:cs="Arial"/>
          <w:sz w:val="22"/>
          <w:lang w:val="es-ES_tradnl"/>
        </w:rPr>
        <w:t xml:space="preserve">». Esto, en aplicación del artículo 11, numeral 8, del Decreto 4170 de 2011. De hecho, fue en ejercicio de tal competencia que se dictaron los conceptos que </w:t>
      </w:r>
      <w:r w:rsidR="00437263">
        <w:rPr>
          <w:rFonts w:ascii="Arial" w:eastAsia="Calibri" w:hAnsi="Arial" w:cs="Arial"/>
          <w:sz w:val="22"/>
          <w:lang w:val="es-ES_tradnl"/>
        </w:rPr>
        <w:t>el COPNIA solicita revo</w:t>
      </w:r>
      <w:r w:rsidR="00136B20">
        <w:rPr>
          <w:rFonts w:ascii="Arial" w:eastAsia="Calibri" w:hAnsi="Arial" w:cs="Arial"/>
          <w:sz w:val="22"/>
          <w:lang w:val="es-ES_tradnl"/>
        </w:rPr>
        <w:t>car</w:t>
      </w:r>
      <w:r w:rsidR="000A3D18">
        <w:rPr>
          <w:rFonts w:ascii="Arial" w:eastAsia="Calibri" w:hAnsi="Arial" w:cs="Arial"/>
          <w:sz w:val="22"/>
          <w:lang w:val="es-ES_tradnl"/>
        </w:rPr>
        <w:t xml:space="preserve"> </w:t>
      </w:r>
    </w:p>
    <w:p w14:paraId="51B3E6F8" w14:textId="54B63462" w:rsidR="00437263" w:rsidRDefault="009354D3" w:rsidP="00D3446D">
      <w:pPr>
        <w:spacing w:before="120" w:line="276" w:lineRule="auto"/>
        <w:ind w:firstLine="708"/>
        <w:jc w:val="both"/>
        <w:rPr>
          <w:rFonts w:ascii="Arial" w:eastAsia="Calibri" w:hAnsi="Arial" w:cs="Arial"/>
          <w:sz w:val="22"/>
          <w:lang w:val="es-ES_tradnl"/>
        </w:rPr>
      </w:pPr>
      <w:r>
        <w:rPr>
          <w:rFonts w:ascii="Arial" w:eastAsia="Calibri" w:hAnsi="Arial" w:cs="Arial"/>
          <w:sz w:val="22"/>
          <w:lang w:val="es-ES_tradnl"/>
        </w:rPr>
        <w:t>Ahora bien, aun asumiendo en gracia de discusión que el COPNIA es el llamado a interpretar la Ley 84</w:t>
      </w:r>
      <w:r w:rsidR="00E53750">
        <w:rPr>
          <w:rFonts w:ascii="Arial" w:eastAsia="Calibri" w:hAnsi="Arial" w:cs="Arial"/>
          <w:sz w:val="22"/>
          <w:lang w:val="es-ES_tradnl"/>
        </w:rPr>
        <w:t>2</w:t>
      </w:r>
      <w:r>
        <w:rPr>
          <w:rFonts w:ascii="Arial" w:eastAsia="Calibri" w:hAnsi="Arial" w:cs="Arial"/>
          <w:sz w:val="22"/>
          <w:lang w:val="es-ES_tradnl"/>
        </w:rPr>
        <w:t xml:space="preserve"> de 2002, lo cierto es que no existe </w:t>
      </w:r>
      <w:r w:rsidR="00D3446D">
        <w:rPr>
          <w:rFonts w:ascii="Arial" w:eastAsia="Calibri" w:hAnsi="Arial" w:cs="Arial"/>
          <w:sz w:val="22"/>
          <w:lang w:val="es-ES_tradnl"/>
        </w:rPr>
        <w:t xml:space="preserve">ninguna </w:t>
      </w:r>
      <w:r>
        <w:rPr>
          <w:rFonts w:ascii="Arial" w:eastAsia="Calibri" w:hAnsi="Arial" w:cs="Arial"/>
          <w:sz w:val="22"/>
          <w:lang w:val="es-ES_tradnl"/>
        </w:rPr>
        <w:t>razón válida que justifique que su competencia sea</w:t>
      </w:r>
      <w:r w:rsidR="00136B20">
        <w:rPr>
          <w:rFonts w:ascii="Arial" w:eastAsia="Calibri" w:hAnsi="Arial" w:cs="Arial"/>
          <w:sz w:val="22"/>
          <w:lang w:val="es-ES_tradnl"/>
        </w:rPr>
        <w:t xml:space="preserve"> </w:t>
      </w:r>
      <w:r>
        <w:rPr>
          <w:rFonts w:ascii="Arial" w:eastAsia="Calibri" w:hAnsi="Arial" w:cs="Arial"/>
          <w:sz w:val="22"/>
          <w:lang w:val="es-ES_tradnl"/>
        </w:rPr>
        <w:t xml:space="preserve">«exclusiva y excluyente», pues dicha norma, por su carácter general, debe ser interpretada por todos los actores del sistema normativo, esto es, por las entidades públicas y los usuarios, claro está, dentro del marco de los asuntos de su competencia. Esto se hace </w:t>
      </w:r>
      <w:r w:rsidR="00136B20">
        <w:rPr>
          <w:rFonts w:ascii="Arial" w:eastAsia="Calibri" w:hAnsi="Arial" w:cs="Arial"/>
          <w:sz w:val="22"/>
          <w:lang w:val="es-ES_tradnl"/>
        </w:rPr>
        <w:t>aún</w:t>
      </w:r>
      <w:r>
        <w:rPr>
          <w:rFonts w:ascii="Arial" w:eastAsia="Calibri" w:hAnsi="Arial" w:cs="Arial"/>
          <w:sz w:val="22"/>
          <w:lang w:val="es-ES_tradnl"/>
        </w:rPr>
        <w:t xml:space="preserve"> más evidente cuando se trata de una norma como el artículo 12 </w:t>
      </w:r>
      <w:r>
        <w:rPr>
          <w:rFonts w:ascii="Arial" w:eastAsia="Calibri" w:hAnsi="Arial" w:cs="Arial"/>
          <w:i/>
          <w:iCs/>
          <w:sz w:val="22"/>
          <w:lang w:val="es-ES_tradnl"/>
        </w:rPr>
        <w:t xml:space="preserve">ibidem </w:t>
      </w:r>
      <w:r>
        <w:rPr>
          <w:rFonts w:ascii="Arial" w:eastAsia="Calibri" w:hAnsi="Arial" w:cs="Arial"/>
          <w:sz w:val="22"/>
          <w:lang w:val="es-ES_tradnl"/>
        </w:rPr>
        <w:t>que regul</w:t>
      </w:r>
      <w:r w:rsidR="00D3446D">
        <w:rPr>
          <w:rFonts w:ascii="Arial" w:eastAsia="Calibri" w:hAnsi="Arial" w:cs="Arial"/>
          <w:sz w:val="22"/>
          <w:lang w:val="es-ES_tradnl"/>
        </w:rPr>
        <w:t>ó</w:t>
      </w:r>
      <w:r>
        <w:rPr>
          <w:rFonts w:ascii="Arial" w:eastAsia="Calibri" w:hAnsi="Arial" w:cs="Arial"/>
          <w:sz w:val="22"/>
          <w:lang w:val="es-ES_tradnl"/>
        </w:rPr>
        <w:t xml:space="preserve"> la experiencia de los ingenieros y sus profesiones afines y auxiliares, debido a que el ámbito laboral de estas puede resultar relevante en muchos campos, como ocurre normalmente con la contratación estatal.</w:t>
      </w:r>
    </w:p>
    <w:p w14:paraId="40CC7D53" w14:textId="4A7747B0" w:rsidR="00CA28B2" w:rsidRDefault="00CA28B2" w:rsidP="00447246">
      <w:pPr>
        <w:spacing w:before="120" w:line="276" w:lineRule="auto"/>
        <w:jc w:val="both"/>
        <w:rPr>
          <w:rFonts w:ascii="Arial" w:eastAsia="Calibri" w:hAnsi="Arial" w:cs="Arial"/>
          <w:sz w:val="22"/>
          <w:lang w:val="es-ES_tradnl"/>
        </w:rPr>
      </w:pPr>
      <w:r>
        <w:rPr>
          <w:rFonts w:ascii="Arial" w:eastAsia="Calibri" w:hAnsi="Arial" w:cs="Arial"/>
          <w:sz w:val="22"/>
          <w:lang w:val="es-ES_tradnl"/>
        </w:rPr>
        <w:lastRenderedPageBreak/>
        <w:tab/>
      </w:r>
      <w:r w:rsidR="00136B20">
        <w:rPr>
          <w:rFonts w:ascii="Arial" w:eastAsia="Calibri" w:hAnsi="Arial" w:cs="Arial"/>
          <w:sz w:val="22"/>
          <w:lang w:val="es-ES_tradnl"/>
        </w:rPr>
        <w:t>P</w:t>
      </w:r>
      <w:r>
        <w:rPr>
          <w:rFonts w:ascii="Arial" w:eastAsia="Calibri" w:hAnsi="Arial" w:cs="Arial"/>
          <w:sz w:val="22"/>
          <w:lang w:val="es-ES_tradnl"/>
        </w:rPr>
        <w:t>or hacer referencia a algunas disposiciones relacionadas con la experiencia de los proponentes</w:t>
      </w:r>
      <w:r w:rsidR="00F46F5A">
        <w:rPr>
          <w:rFonts w:ascii="Arial" w:eastAsia="Calibri" w:hAnsi="Arial" w:cs="Arial"/>
          <w:sz w:val="22"/>
          <w:lang w:val="es-ES_tradnl"/>
        </w:rPr>
        <w:t xml:space="preserve"> en la que es necesaria la remisión </w:t>
      </w:r>
      <w:r w:rsidR="00136B20">
        <w:rPr>
          <w:rFonts w:ascii="Arial" w:eastAsia="Calibri" w:hAnsi="Arial" w:cs="Arial"/>
          <w:sz w:val="22"/>
          <w:lang w:val="es-ES_tradnl"/>
        </w:rPr>
        <w:t>a</w:t>
      </w:r>
      <w:r w:rsidR="00F46F5A">
        <w:rPr>
          <w:rFonts w:ascii="Arial" w:eastAsia="Calibri" w:hAnsi="Arial" w:cs="Arial"/>
          <w:sz w:val="22"/>
          <w:lang w:val="es-ES_tradnl"/>
        </w:rPr>
        <w:t xml:space="preserve"> la Ley 84</w:t>
      </w:r>
      <w:r w:rsidR="00E22C7C">
        <w:rPr>
          <w:rFonts w:ascii="Arial" w:eastAsia="Calibri" w:hAnsi="Arial" w:cs="Arial"/>
          <w:sz w:val="22"/>
          <w:lang w:val="es-ES_tradnl"/>
        </w:rPr>
        <w:t>2</w:t>
      </w:r>
      <w:r w:rsidR="00F46F5A">
        <w:rPr>
          <w:rFonts w:ascii="Arial" w:eastAsia="Calibri" w:hAnsi="Arial" w:cs="Arial"/>
          <w:sz w:val="22"/>
          <w:lang w:val="es-ES_tradnl"/>
        </w:rPr>
        <w:t xml:space="preserve"> de 2002, se resaltan</w:t>
      </w:r>
      <w:r w:rsidR="00F821FC">
        <w:rPr>
          <w:rFonts w:ascii="Arial" w:eastAsia="Calibri" w:hAnsi="Arial" w:cs="Arial"/>
          <w:sz w:val="22"/>
          <w:lang w:val="es-ES_tradnl"/>
        </w:rPr>
        <w:t xml:space="preserve"> las siguientes disposiciones</w:t>
      </w:r>
      <w:r w:rsidR="000C27B6">
        <w:rPr>
          <w:rFonts w:ascii="Arial" w:eastAsia="Calibri" w:hAnsi="Arial" w:cs="Arial"/>
          <w:sz w:val="22"/>
          <w:lang w:val="es-ES_tradnl"/>
        </w:rPr>
        <w:t xml:space="preserve">: el artículo </w:t>
      </w:r>
      <w:r w:rsidR="000C27B6" w:rsidRPr="000C27B6">
        <w:rPr>
          <w:rFonts w:ascii="Arial" w:eastAsia="Calibri" w:hAnsi="Arial" w:cs="Arial"/>
          <w:sz w:val="22"/>
          <w:lang w:val="es-ES_tradnl"/>
        </w:rPr>
        <w:t xml:space="preserve">2.2.1.1.1.5.3. </w:t>
      </w:r>
      <w:r w:rsidR="000C27B6">
        <w:rPr>
          <w:rFonts w:ascii="Arial" w:eastAsia="Calibri" w:hAnsi="Arial" w:cs="Arial"/>
          <w:sz w:val="22"/>
          <w:lang w:val="es-ES_tradnl"/>
        </w:rPr>
        <w:t xml:space="preserve">del Decreto 1082 de 2015, relacionado con los requisitos habilitantes, dentro de los cuales se encuentra la experiencia; el </w:t>
      </w:r>
      <w:r w:rsidR="00F46F5A">
        <w:rPr>
          <w:rFonts w:ascii="Arial" w:eastAsia="Calibri" w:hAnsi="Arial" w:cs="Arial"/>
          <w:sz w:val="22"/>
          <w:lang w:val="es-ES_tradnl"/>
        </w:rPr>
        <w:t>artículo</w:t>
      </w:r>
      <w:r w:rsidR="000C27B6">
        <w:rPr>
          <w:rFonts w:ascii="Arial" w:eastAsia="Calibri" w:hAnsi="Arial" w:cs="Arial"/>
          <w:sz w:val="22"/>
          <w:lang w:val="es-ES_tradnl"/>
        </w:rPr>
        <w:t xml:space="preserve"> </w:t>
      </w:r>
      <w:r w:rsidR="000C27B6" w:rsidRPr="000C27B6">
        <w:rPr>
          <w:rFonts w:ascii="Arial" w:eastAsia="Calibri" w:hAnsi="Arial" w:cs="Arial"/>
          <w:sz w:val="22"/>
          <w:lang w:val="es-ES_tradnl"/>
        </w:rPr>
        <w:t>2.2.1.1.1.6.4.</w:t>
      </w:r>
      <w:r w:rsidR="000C27B6">
        <w:rPr>
          <w:rFonts w:ascii="Arial" w:eastAsia="Calibri" w:hAnsi="Arial" w:cs="Arial"/>
          <w:sz w:val="22"/>
          <w:lang w:val="es-ES_tradnl"/>
        </w:rPr>
        <w:t xml:space="preserve"> </w:t>
      </w:r>
      <w:r w:rsidR="000C27B6">
        <w:rPr>
          <w:rFonts w:ascii="Arial" w:eastAsia="Calibri" w:hAnsi="Arial" w:cs="Arial"/>
          <w:i/>
          <w:iCs/>
          <w:sz w:val="22"/>
          <w:lang w:val="es-ES_tradnl"/>
        </w:rPr>
        <w:t>ibidem</w:t>
      </w:r>
      <w:r w:rsidR="000C27B6">
        <w:rPr>
          <w:rFonts w:ascii="Arial" w:eastAsia="Calibri" w:hAnsi="Arial" w:cs="Arial"/>
          <w:sz w:val="22"/>
          <w:lang w:val="es-ES_tradnl"/>
        </w:rPr>
        <w:t>, que regula la capacidad residual, aspecto en donde la experiencia cobra gran importancia; el artículo 5 de la Ley 1150 de 2007, en donde la experiencia juega un papel importante a la hora de garantizar la selección objetiva; y el artículo</w:t>
      </w:r>
      <w:r w:rsidR="001327C6">
        <w:rPr>
          <w:rFonts w:ascii="Arial" w:eastAsia="Calibri" w:hAnsi="Arial" w:cs="Arial"/>
          <w:sz w:val="22"/>
          <w:lang w:val="es-ES_tradnl"/>
        </w:rPr>
        <w:t xml:space="preserve"> 22 </w:t>
      </w:r>
      <w:r w:rsidR="000C27B6">
        <w:rPr>
          <w:rFonts w:ascii="Arial" w:eastAsia="Calibri" w:hAnsi="Arial" w:cs="Arial"/>
          <w:sz w:val="22"/>
          <w:lang w:val="es-ES_tradnl"/>
        </w:rPr>
        <w:t>de la Ley 80 de 1993, entre otras normas</w:t>
      </w:r>
      <w:r w:rsidR="001327C6">
        <w:rPr>
          <w:rFonts w:ascii="Arial" w:eastAsia="Calibri" w:hAnsi="Arial" w:cs="Arial"/>
          <w:sz w:val="22"/>
          <w:lang w:val="es-ES_tradnl"/>
        </w:rPr>
        <w:t xml:space="preserve"> que tratan la experiencia en la contratación pública</w:t>
      </w:r>
      <w:r w:rsidR="00F46F5A">
        <w:rPr>
          <w:rFonts w:ascii="Arial" w:eastAsia="Calibri" w:hAnsi="Arial" w:cs="Arial"/>
          <w:sz w:val="22"/>
          <w:lang w:val="es-ES_tradnl"/>
        </w:rPr>
        <w:t xml:space="preserve">. No se podría aquí pasar por alto la relación </w:t>
      </w:r>
      <w:r w:rsidR="001327C6">
        <w:rPr>
          <w:rFonts w:ascii="Arial" w:eastAsia="Calibri" w:hAnsi="Arial" w:cs="Arial"/>
          <w:sz w:val="22"/>
          <w:lang w:val="es-ES_tradnl"/>
        </w:rPr>
        <w:t>de</w:t>
      </w:r>
      <w:r w:rsidR="00F46F5A">
        <w:rPr>
          <w:rFonts w:ascii="Arial" w:eastAsia="Calibri" w:hAnsi="Arial" w:cs="Arial"/>
          <w:sz w:val="22"/>
          <w:lang w:val="es-ES_tradnl"/>
        </w:rPr>
        <w:t xml:space="preserve"> los profesionales regulados por la </w:t>
      </w:r>
      <w:r w:rsidR="001327C6">
        <w:rPr>
          <w:rFonts w:ascii="Arial" w:eastAsia="Calibri" w:hAnsi="Arial" w:cs="Arial"/>
          <w:sz w:val="22"/>
          <w:lang w:val="es-ES_tradnl"/>
        </w:rPr>
        <w:t>Ley 84</w:t>
      </w:r>
      <w:r w:rsidR="00E22C7C">
        <w:rPr>
          <w:rFonts w:ascii="Arial" w:eastAsia="Calibri" w:hAnsi="Arial" w:cs="Arial"/>
          <w:sz w:val="22"/>
          <w:lang w:val="es-ES_tradnl"/>
        </w:rPr>
        <w:t>2</w:t>
      </w:r>
      <w:r w:rsidR="001327C6">
        <w:rPr>
          <w:rFonts w:ascii="Arial" w:eastAsia="Calibri" w:hAnsi="Arial" w:cs="Arial"/>
          <w:sz w:val="22"/>
          <w:lang w:val="es-ES_tradnl"/>
        </w:rPr>
        <w:t xml:space="preserve"> de 2002</w:t>
      </w:r>
      <w:r w:rsidR="00F46F5A">
        <w:rPr>
          <w:rFonts w:ascii="Arial" w:eastAsia="Calibri" w:hAnsi="Arial" w:cs="Arial"/>
          <w:sz w:val="22"/>
          <w:lang w:val="es-ES_tradnl"/>
        </w:rPr>
        <w:t xml:space="preserve">, </w:t>
      </w:r>
      <w:r w:rsidR="001327C6">
        <w:rPr>
          <w:rFonts w:ascii="Arial" w:eastAsia="Calibri" w:hAnsi="Arial" w:cs="Arial"/>
          <w:sz w:val="22"/>
          <w:lang w:val="es-ES_tradnl"/>
        </w:rPr>
        <w:t>con</w:t>
      </w:r>
      <w:r w:rsidR="00F46F5A">
        <w:rPr>
          <w:rFonts w:ascii="Arial" w:eastAsia="Calibri" w:hAnsi="Arial" w:cs="Arial"/>
          <w:sz w:val="22"/>
          <w:lang w:val="es-ES_tradnl"/>
        </w:rPr>
        <w:t xml:space="preserve"> la ejecución de las obras públicas de infraestructura de transporte, en relación con las cuales Colombia Compra Eficiente profirió los denominados </w:t>
      </w:r>
      <w:r w:rsidR="000A3D18">
        <w:rPr>
          <w:rFonts w:ascii="Arial" w:eastAsia="Calibri" w:hAnsi="Arial" w:cs="Arial"/>
          <w:sz w:val="22"/>
          <w:lang w:val="es-ES_tradnl"/>
        </w:rPr>
        <w:t>«</w:t>
      </w:r>
      <w:r w:rsidR="00F46F5A">
        <w:rPr>
          <w:rFonts w:ascii="Arial" w:eastAsia="Calibri" w:hAnsi="Arial" w:cs="Arial"/>
          <w:sz w:val="22"/>
          <w:lang w:val="es-ES_tradnl"/>
        </w:rPr>
        <w:t>Pliegos Tipo</w:t>
      </w:r>
      <w:r w:rsidR="000A3D18">
        <w:rPr>
          <w:rFonts w:ascii="Arial" w:eastAsia="Calibri" w:hAnsi="Arial" w:cs="Arial"/>
          <w:sz w:val="22"/>
          <w:lang w:val="es-ES_tradnl"/>
        </w:rPr>
        <w:t>»</w:t>
      </w:r>
      <w:r w:rsidR="000C27B6">
        <w:rPr>
          <w:rFonts w:ascii="Arial" w:eastAsia="Calibri" w:hAnsi="Arial" w:cs="Arial"/>
          <w:sz w:val="22"/>
          <w:lang w:val="es-ES_tradnl"/>
        </w:rPr>
        <w:t xml:space="preserve">, documentos </w:t>
      </w:r>
      <w:r w:rsidR="001327C6">
        <w:rPr>
          <w:rFonts w:ascii="Arial" w:eastAsia="Calibri" w:hAnsi="Arial" w:cs="Arial"/>
          <w:sz w:val="22"/>
          <w:lang w:val="es-ES_tradnl"/>
        </w:rPr>
        <w:t xml:space="preserve">que desarrollan </w:t>
      </w:r>
      <w:r w:rsidR="000C27B6">
        <w:rPr>
          <w:rFonts w:ascii="Arial" w:eastAsia="Calibri" w:hAnsi="Arial" w:cs="Arial"/>
          <w:sz w:val="22"/>
          <w:lang w:val="es-ES_tradnl"/>
        </w:rPr>
        <w:t xml:space="preserve">criterios para estudiar la experiencia de los proponentes, </w:t>
      </w:r>
      <w:r w:rsidR="001327C6">
        <w:rPr>
          <w:rFonts w:ascii="Arial" w:eastAsia="Calibri" w:hAnsi="Arial" w:cs="Arial"/>
          <w:sz w:val="22"/>
          <w:lang w:val="es-ES_tradnl"/>
        </w:rPr>
        <w:t>incluidos los ingenieros y las profesiones afines o auxiliares.</w:t>
      </w:r>
    </w:p>
    <w:p w14:paraId="27027414" w14:textId="57379DAE" w:rsidR="00934422" w:rsidRDefault="009354D3" w:rsidP="00447246">
      <w:pPr>
        <w:spacing w:before="120" w:line="276" w:lineRule="auto"/>
        <w:jc w:val="both"/>
        <w:rPr>
          <w:rFonts w:ascii="Arial" w:eastAsia="Calibri" w:hAnsi="Arial" w:cs="Arial"/>
          <w:sz w:val="22"/>
          <w:lang w:val="es-ES_tradnl"/>
        </w:rPr>
      </w:pPr>
      <w:r>
        <w:rPr>
          <w:rFonts w:ascii="Arial" w:eastAsia="Calibri" w:hAnsi="Arial" w:cs="Arial"/>
          <w:sz w:val="22"/>
          <w:lang w:val="es-ES_tradnl"/>
        </w:rPr>
        <w:tab/>
        <w:t>En este punto, vale la pena preguntarse si el COPNIA es el único llamado a interpretar la Ley 84</w:t>
      </w:r>
      <w:r w:rsidR="00B556D7">
        <w:rPr>
          <w:rFonts w:ascii="Arial" w:eastAsia="Calibri" w:hAnsi="Arial" w:cs="Arial"/>
          <w:sz w:val="22"/>
          <w:lang w:val="es-ES_tradnl"/>
        </w:rPr>
        <w:t>2</w:t>
      </w:r>
      <w:r>
        <w:rPr>
          <w:rFonts w:ascii="Arial" w:eastAsia="Calibri" w:hAnsi="Arial" w:cs="Arial"/>
          <w:sz w:val="22"/>
          <w:lang w:val="es-ES_tradnl"/>
        </w:rPr>
        <w:t xml:space="preserve"> de 2002, ¿la Sala de Consulta y Servicio Civil del Consejo de Estado estaría imposibilitad</w:t>
      </w:r>
      <w:r w:rsidR="00CC39BD">
        <w:rPr>
          <w:rFonts w:ascii="Arial" w:eastAsia="Calibri" w:hAnsi="Arial" w:cs="Arial"/>
          <w:sz w:val="22"/>
          <w:lang w:val="es-ES_tradnl"/>
        </w:rPr>
        <w:t>a</w:t>
      </w:r>
      <w:r>
        <w:rPr>
          <w:rFonts w:ascii="Arial" w:eastAsia="Calibri" w:hAnsi="Arial" w:cs="Arial"/>
          <w:sz w:val="22"/>
          <w:lang w:val="es-ES_tradnl"/>
        </w:rPr>
        <w:t xml:space="preserve"> para responder cualquier consulta que se relacione con esa norma?</w:t>
      </w:r>
      <w:r w:rsidR="000A3D18">
        <w:rPr>
          <w:rFonts w:ascii="Arial" w:eastAsia="Calibri" w:hAnsi="Arial" w:cs="Arial"/>
          <w:sz w:val="22"/>
          <w:lang w:val="es-ES_tradnl"/>
        </w:rPr>
        <w:t>,</w:t>
      </w:r>
      <w:r>
        <w:rPr>
          <w:rFonts w:ascii="Arial" w:eastAsia="Calibri" w:hAnsi="Arial" w:cs="Arial"/>
          <w:sz w:val="22"/>
          <w:lang w:val="es-ES_tradnl"/>
        </w:rPr>
        <w:t xml:space="preserve"> </w:t>
      </w:r>
      <w:r w:rsidR="007C6A83">
        <w:rPr>
          <w:rFonts w:ascii="Arial" w:eastAsia="Calibri" w:hAnsi="Arial" w:cs="Arial"/>
          <w:sz w:val="22"/>
          <w:lang w:val="es-ES_tradnl"/>
        </w:rPr>
        <w:t>¿cada vez que una entidad pública quiera verificar la experiencia de un ingeniero, debe solicitarle concepto al COPNIA?</w:t>
      </w:r>
      <w:r w:rsidR="00934422">
        <w:rPr>
          <w:rFonts w:ascii="Arial" w:eastAsia="Calibri" w:hAnsi="Arial" w:cs="Arial"/>
          <w:sz w:val="22"/>
          <w:lang w:val="es-ES_tradnl"/>
        </w:rPr>
        <w:t xml:space="preserve"> Para nosotros, la respuesta a estas preguntas es</w:t>
      </w:r>
      <w:r w:rsidR="000A3D18">
        <w:rPr>
          <w:rFonts w:ascii="Arial" w:eastAsia="Calibri" w:hAnsi="Arial" w:cs="Arial"/>
          <w:sz w:val="22"/>
          <w:lang w:val="es-ES_tradnl"/>
        </w:rPr>
        <w:t xml:space="preserve"> </w:t>
      </w:r>
      <w:r w:rsidR="00934422">
        <w:rPr>
          <w:rFonts w:ascii="Arial" w:eastAsia="Calibri" w:hAnsi="Arial" w:cs="Arial"/>
          <w:sz w:val="22"/>
          <w:lang w:val="es-ES_tradnl"/>
        </w:rPr>
        <w:t>negativa, porque el carácter general de la ley exige que la misma sea interpretada por sus destinatarios, esto es, por las personas naturales o jurídicas a las que se dirige, sin que pueda atribuirse a una entidad o a una persona la interpretación «exclusiva y excluyente» de una norma, como si se tratar</w:t>
      </w:r>
      <w:r w:rsidR="000A3D18">
        <w:rPr>
          <w:rFonts w:ascii="Arial" w:eastAsia="Calibri" w:hAnsi="Arial" w:cs="Arial"/>
          <w:sz w:val="22"/>
          <w:lang w:val="es-ES_tradnl"/>
        </w:rPr>
        <w:t>a</w:t>
      </w:r>
      <w:r w:rsidR="00934422">
        <w:rPr>
          <w:rFonts w:ascii="Arial" w:eastAsia="Calibri" w:hAnsi="Arial" w:cs="Arial"/>
          <w:sz w:val="22"/>
          <w:lang w:val="es-ES_tradnl"/>
        </w:rPr>
        <w:t xml:space="preserve"> de un monopolio. </w:t>
      </w:r>
      <w:r w:rsidR="000A3D18">
        <w:rPr>
          <w:rFonts w:ascii="Arial" w:eastAsia="Calibri" w:hAnsi="Arial" w:cs="Arial"/>
          <w:sz w:val="22"/>
          <w:lang w:val="es-ES_tradnl"/>
        </w:rPr>
        <w:t>Lo anterior</w:t>
      </w:r>
      <w:r w:rsidR="00934422">
        <w:rPr>
          <w:rFonts w:ascii="Arial" w:eastAsia="Calibri" w:hAnsi="Arial" w:cs="Arial"/>
          <w:sz w:val="22"/>
          <w:lang w:val="es-ES_tradnl"/>
        </w:rPr>
        <w:t>, claro está, sin perjuicio de las competencias de los jueces de la República para interpretar las leyes y aplicarlas a un caso concreto.</w:t>
      </w:r>
    </w:p>
    <w:p w14:paraId="5DB3B8CF" w14:textId="13E6CD28" w:rsidR="009354D3" w:rsidRPr="009354D3" w:rsidRDefault="00934422" w:rsidP="00EE1DD8">
      <w:pPr>
        <w:spacing w:before="120" w:line="276" w:lineRule="auto"/>
        <w:jc w:val="both"/>
        <w:rPr>
          <w:rFonts w:ascii="Arial" w:eastAsia="Calibri" w:hAnsi="Arial" w:cs="Arial"/>
          <w:sz w:val="22"/>
          <w:lang w:val="es-ES_tradnl"/>
        </w:rPr>
      </w:pPr>
      <w:r>
        <w:rPr>
          <w:rFonts w:ascii="Arial" w:eastAsia="Calibri" w:hAnsi="Arial" w:cs="Arial"/>
          <w:sz w:val="22"/>
          <w:lang w:val="es-ES_tradnl"/>
        </w:rPr>
        <w:tab/>
      </w:r>
      <w:r w:rsidR="0072001B">
        <w:rPr>
          <w:rFonts w:ascii="Arial" w:eastAsia="Calibri" w:hAnsi="Arial" w:cs="Arial"/>
          <w:sz w:val="22"/>
          <w:lang w:val="es-ES_tradnl"/>
        </w:rPr>
        <w:t>Excepcionalmente</w:t>
      </w:r>
      <w:r>
        <w:rPr>
          <w:rFonts w:ascii="Arial" w:eastAsia="Calibri" w:hAnsi="Arial" w:cs="Arial"/>
          <w:sz w:val="22"/>
          <w:lang w:val="es-ES_tradnl"/>
        </w:rPr>
        <w:t>,</w:t>
      </w:r>
      <w:r w:rsidR="005F6FA2">
        <w:rPr>
          <w:rFonts w:ascii="Arial" w:eastAsia="Calibri" w:hAnsi="Arial" w:cs="Arial"/>
          <w:sz w:val="22"/>
          <w:lang w:val="es-ES_tradnl"/>
        </w:rPr>
        <w:t xml:space="preserve"> conforme al artículo 25 del Código Civil,</w:t>
      </w:r>
      <w:r>
        <w:rPr>
          <w:rFonts w:ascii="Arial" w:eastAsia="Calibri" w:hAnsi="Arial" w:cs="Arial"/>
          <w:sz w:val="22"/>
          <w:lang w:val="es-ES_tradnl"/>
        </w:rPr>
        <w:t xml:space="preserve"> </w:t>
      </w:r>
      <w:r w:rsidR="005F6FA2">
        <w:rPr>
          <w:rFonts w:ascii="Arial" w:eastAsia="Calibri" w:hAnsi="Arial" w:cs="Arial"/>
          <w:sz w:val="22"/>
          <w:lang w:val="es-ES_tradnl"/>
        </w:rPr>
        <w:t>e</w:t>
      </w:r>
      <w:r>
        <w:rPr>
          <w:rFonts w:ascii="Arial" w:eastAsia="Calibri" w:hAnsi="Arial" w:cs="Arial"/>
          <w:sz w:val="22"/>
          <w:lang w:val="es-ES_tradnl"/>
        </w:rPr>
        <w:t>l Congreso de la República</w:t>
      </w:r>
      <w:r w:rsidR="005F6FA2">
        <w:rPr>
          <w:rFonts w:ascii="Arial" w:eastAsia="Calibri" w:hAnsi="Arial" w:cs="Arial"/>
          <w:sz w:val="22"/>
          <w:lang w:val="es-ES_tradnl"/>
        </w:rPr>
        <w:t xml:space="preserve"> tiene competencia para interpretar auténticamente las leyes</w:t>
      </w:r>
      <w:r w:rsidR="005F6FA2">
        <w:rPr>
          <w:rStyle w:val="Refdenotaalpie"/>
          <w:rFonts w:ascii="Arial" w:eastAsia="Calibri" w:hAnsi="Arial" w:cs="Arial"/>
          <w:sz w:val="22"/>
          <w:lang w:val="es-ES_tradnl"/>
        </w:rPr>
        <w:footnoteReference w:id="21"/>
      </w:r>
      <w:r w:rsidR="005F6FA2">
        <w:rPr>
          <w:rFonts w:ascii="Arial" w:eastAsia="Calibri" w:hAnsi="Arial" w:cs="Arial"/>
          <w:sz w:val="22"/>
          <w:lang w:val="es-ES_tradnl"/>
        </w:rPr>
        <w:t xml:space="preserve">. </w:t>
      </w:r>
      <w:r w:rsidR="00477439">
        <w:rPr>
          <w:rFonts w:ascii="Arial" w:eastAsia="Calibri" w:hAnsi="Arial" w:cs="Arial"/>
          <w:sz w:val="22"/>
          <w:lang w:val="es-ES_tradnl"/>
        </w:rPr>
        <w:t>Esta facultad también</w:t>
      </w:r>
      <w:r w:rsidR="003D19A1">
        <w:rPr>
          <w:rFonts w:ascii="Arial" w:eastAsia="Calibri" w:hAnsi="Arial" w:cs="Arial"/>
          <w:sz w:val="22"/>
          <w:lang w:val="es-ES_tradnl"/>
        </w:rPr>
        <w:t xml:space="preserve"> corresponde</w:t>
      </w:r>
      <w:r w:rsidR="00E140D1">
        <w:rPr>
          <w:rFonts w:ascii="Arial" w:eastAsia="Calibri" w:hAnsi="Arial" w:cs="Arial"/>
          <w:sz w:val="22"/>
          <w:lang w:val="es-ES_tradnl"/>
        </w:rPr>
        <w:t xml:space="preserve"> </w:t>
      </w:r>
      <w:r>
        <w:rPr>
          <w:rFonts w:ascii="Arial" w:eastAsia="Calibri" w:hAnsi="Arial" w:cs="Arial"/>
          <w:sz w:val="22"/>
          <w:lang w:val="es-ES_tradnl"/>
        </w:rPr>
        <w:t>a la Corte Constitucional cuando</w:t>
      </w:r>
      <w:r w:rsidR="00B222C2">
        <w:rPr>
          <w:rFonts w:ascii="Arial" w:eastAsia="Calibri" w:hAnsi="Arial" w:cs="Arial"/>
          <w:sz w:val="22"/>
          <w:lang w:val="es-ES_tradnl"/>
        </w:rPr>
        <w:t>,</w:t>
      </w:r>
      <w:r>
        <w:rPr>
          <w:rFonts w:ascii="Arial" w:eastAsia="Calibri" w:hAnsi="Arial" w:cs="Arial"/>
          <w:sz w:val="22"/>
          <w:lang w:val="es-ES_tradnl"/>
        </w:rPr>
        <w:t xml:space="preserve"> </w:t>
      </w:r>
      <w:r w:rsidR="00B222C2">
        <w:rPr>
          <w:rFonts w:ascii="Arial" w:eastAsia="Calibri" w:hAnsi="Arial" w:cs="Arial"/>
          <w:sz w:val="22"/>
          <w:lang w:val="es-ES_tradnl"/>
        </w:rPr>
        <w:t xml:space="preserve">conforme al artículo 241.4 </w:t>
      </w:r>
      <w:proofErr w:type="gramStart"/>
      <w:r w:rsidR="00B222C2">
        <w:rPr>
          <w:rFonts w:ascii="Arial" w:eastAsia="Calibri" w:hAnsi="Arial" w:cs="Arial"/>
          <w:sz w:val="22"/>
          <w:lang w:val="es-ES_tradnl"/>
        </w:rPr>
        <w:t xml:space="preserve">superior, </w:t>
      </w:r>
      <w:r>
        <w:rPr>
          <w:rFonts w:ascii="Arial" w:eastAsia="Calibri" w:hAnsi="Arial" w:cs="Arial"/>
          <w:sz w:val="22"/>
          <w:lang w:val="es-ES_tradnl"/>
        </w:rPr>
        <w:t xml:space="preserve"> se</w:t>
      </w:r>
      <w:proofErr w:type="gramEnd"/>
      <w:r>
        <w:rPr>
          <w:rFonts w:ascii="Arial" w:eastAsia="Calibri" w:hAnsi="Arial" w:cs="Arial"/>
          <w:sz w:val="22"/>
          <w:lang w:val="es-ES_tradnl"/>
        </w:rPr>
        <w:t xml:space="preserve"> integren contenidos </w:t>
      </w:r>
      <w:r w:rsidR="00477439">
        <w:rPr>
          <w:rFonts w:ascii="Arial" w:eastAsia="Calibri" w:hAnsi="Arial" w:cs="Arial"/>
          <w:sz w:val="22"/>
          <w:lang w:val="es-ES_tradnl"/>
        </w:rPr>
        <w:t>de la Carta Política</w:t>
      </w:r>
      <w:r>
        <w:rPr>
          <w:rFonts w:ascii="Arial" w:eastAsia="Calibri" w:hAnsi="Arial" w:cs="Arial"/>
          <w:sz w:val="22"/>
          <w:lang w:val="es-ES_tradnl"/>
        </w:rPr>
        <w:t xml:space="preserve"> </w:t>
      </w:r>
      <w:r w:rsidR="00B222C2">
        <w:rPr>
          <w:rFonts w:ascii="Arial" w:eastAsia="Calibri" w:hAnsi="Arial" w:cs="Arial"/>
          <w:sz w:val="22"/>
          <w:lang w:val="es-ES_tradnl"/>
        </w:rPr>
        <w:t>en la interpretación de normas oscuras</w:t>
      </w:r>
      <w:r w:rsidR="00B222C2">
        <w:rPr>
          <w:rStyle w:val="Refdenotaalpie"/>
          <w:rFonts w:ascii="Arial" w:eastAsia="Calibri" w:hAnsi="Arial" w:cs="Arial"/>
          <w:sz w:val="22"/>
          <w:lang w:val="es-ES_tradnl"/>
        </w:rPr>
        <w:footnoteReference w:id="22"/>
      </w:r>
      <w:r>
        <w:rPr>
          <w:rFonts w:ascii="Arial" w:eastAsia="Calibri" w:hAnsi="Arial" w:cs="Arial"/>
          <w:sz w:val="22"/>
          <w:lang w:val="es-ES_tradnl"/>
        </w:rPr>
        <w:t xml:space="preserve">. De </w:t>
      </w:r>
      <w:r>
        <w:rPr>
          <w:rFonts w:ascii="Arial" w:eastAsia="Calibri" w:hAnsi="Arial" w:cs="Arial"/>
          <w:sz w:val="22"/>
          <w:lang w:val="es-ES_tradnl"/>
        </w:rPr>
        <w:lastRenderedPageBreak/>
        <w:t xml:space="preserve">todas formas, tal exclusividad interpretativa no puede predicarse de ninguna otra </w:t>
      </w:r>
      <w:r w:rsidR="0072001B">
        <w:rPr>
          <w:rFonts w:ascii="Arial" w:eastAsia="Calibri" w:hAnsi="Arial" w:cs="Arial"/>
          <w:sz w:val="22"/>
          <w:lang w:val="es-ES_tradnl"/>
        </w:rPr>
        <w:t>autoridad</w:t>
      </w:r>
      <w:r>
        <w:rPr>
          <w:rFonts w:ascii="Arial" w:eastAsia="Calibri" w:hAnsi="Arial" w:cs="Arial"/>
          <w:sz w:val="22"/>
          <w:lang w:val="es-ES_tradnl"/>
        </w:rPr>
        <w:t>, por más técnic</w:t>
      </w:r>
      <w:r w:rsidR="00EA73F7">
        <w:rPr>
          <w:rFonts w:ascii="Arial" w:eastAsia="Calibri" w:hAnsi="Arial" w:cs="Arial"/>
          <w:sz w:val="22"/>
          <w:lang w:val="es-ES_tradnl"/>
        </w:rPr>
        <w:t>o</w:t>
      </w:r>
      <w:r>
        <w:rPr>
          <w:rFonts w:ascii="Arial" w:eastAsia="Calibri" w:hAnsi="Arial" w:cs="Arial"/>
          <w:sz w:val="22"/>
          <w:lang w:val="es-ES_tradnl"/>
        </w:rPr>
        <w:t xml:space="preserve"> y especializad</w:t>
      </w:r>
      <w:r w:rsidR="00EA73F7">
        <w:rPr>
          <w:rFonts w:ascii="Arial" w:eastAsia="Calibri" w:hAnsi="Arial" w:cs="Arial"/>
          <w:sz w:val="22"/>
          <w:lang w:val="es-ES_tradnl"/>
        </w:rPr>
        <w:t>o</w:t>
      </w:r>
      <w:r>
        <w:rPr>
          <w:rFonts w:ascii="Arial" w:eastAsia="Calibri" w:hAnsi="Arial" w:cs="Arial"/>
          <w:sz w:val="22"/>
          <w:lang w:val="es-ES_tradnl"/>
        </w:rPr>
        <w:t xml:space="preserve"> que sea el tema de la norma a interpreta</w:t>
      </w:r>
      <w:r w:rsidR="00EA73F7">
        <w:rPr>
          <w:rFonts w:ascii="Arial" w:eastAsia="Calibri" w:hAnsi="Arial" w:cs="Arial"/>
          <w:sz w:val="22"/>
          <w:lang w:val="es-ES_tradnl"/>
        </w:rPr>
        <w:t>da</w:t>
      </w:r>
      <w:r>
        <w:rPr>
          <w:rFonts w:ascii="Arial" w:eastAsia="Calibri" w:hAnsi="Arial" w:cs="Arial"/>
          <w:sz w:val="22"/>
          <w:lang w:val="es-ES_tradnl"/>
        </w:rPr>
        <w:t>.</w:t>
      </w:r>
    </w:p>
    <w:p w14:paraId="7DADF4E0" w14:textId="4291A741" w:rsidR="00190B5C" w:rsidRDefault="00EF5252" w:rsidP="00372BC6">
      <w:pPr>
        <w:tabs>
          <w:tab w:val="left" w:pos="709"/>
        </w:tabs>
        <w:spacing w:before="120" w:line="276" w:lineRule="auto"/>
        <w:jc w:val="both"/>
        <w:rPr>
          <w:rFonts w:ascii="Arial" w:eastAsia="Calibri" w:hAnsi="Arial" w:cs="Arial"/>
          <w:sz w:val="22"/>
          <w:lang w:val="es-ES_tradnl"/>
        </w:rPr>
      </w:pPr>
      <w:r>
        <w:rPr>
          <w:rFonts w:ascii="Arial" w:eastAsia="Calibri" w:hAnsi="Arial" w:cs="Arial"/>
          <w:sz w:val="22"/>
          <w:lang w:val="es-ES_tradnl"/>
        </w:rPr>
        <w:tab/>
        <w:t xml:space="preserve">En suma, no </w:t>
      </w:r>
      <w:r w:rsidR="00923335">
        <w:rPr>
          <w:rFonts w:ascii="Arial" w:eastAsia="Calibri" w:hAnsi="Arial" w:cs="Arial"/>
          <w:sz w:val="22"/>
          <w:lang w:val="es-ES_tradnl"/>
        </w:rPr>
        <w:t>se comparte</w:t>
      </w:r>
      <w:r>
        <w:rPr>
          <w:rFonts w:ascii="Arial" w:eastAsia="Calibri" w:hAnsi="Arial" w:cs="Arial"/>
          <w:sz w:val="22"/>
          <w:lang w:val="es-ES_tradnl"/>
        </w:rPr>
        <w:t xml:space="preserve"> que el COPNIA sea el intérprete «exclusivo y excluyente» de la Ley 84</w:t>
      </w:r>
      <w:r w:rsidR="0072001B">
        <w:rPr>
          <w:rFonts w:ascii="Arial" w:eastAsia="Calibri" w:hAnsi="Arial" w:cs="Arial"/>
          <w:sz w:val="22"/>
          <w:lang w:val="es-ES_tradnl"/>
        </w:rPr>
        <w:t>2</w:t>
      </w:r>
      <w:r>
        <w:rPr>
          <w:rFonts w:ascii="Arial" w:eastAsia="Calibri" w:hAnsi="Arial" w:cs="Arial"/>
          <w:sz w:val="22"/>
          <w:lang w:val="es-ES_tradnl"/>
        </w:rPr>
        <w:t xml:space="preserve"> de 2002, y tampoco es</w:t>
      </w:r>
      <w:r w:rsidR="0072001B">
        <w:rPr>
          <w:rFonts w:ascii="Arial" w:eastAsia="Calibri" w:hAnsi="Arial" w:cs="Arial"/>
          <w:sz w:val="22"/>
          <w:lang w:val="es-ES_tradnl"/>
        </w:rPr>
        <w:t xml:space="preserve"> cierto</w:t>
      </w:r>
      <w:r>
        <w:rPr>
          <w:rFonts w:ascii="Arial" w:eastAsia="Calibri" w:hAnsi="Arial" w:cs="Arial"/>
          <w:sz w:val="22"/>
          <w:lang w:val="es-ES_tradnl"/>
        </w:rPr>
        <w:t xml:space="preserve"> que la Agencia Nacional de Contratación Pública </w:t>
      </w:r>
      <w:r w:rsidR="0072001B">
        <w:rPr>
          <w:rFonts w:ascii="Arial" w:eastAsia="Calibri" w:hAnsi="Arial" w:cs="Arial"/>
          <w:sz w:val="22"/>
          <w:lang w:val="es-ES_tradnl"/>
        </w:rPr>
        <w:t>carezca de</w:t>
      </w:r>
      <w:r>
        <w:rPr>
          <w:rFonts w:ascii="Arial" w:eastAsia="Calibri" w:hAnsi="Arial" w:cs="Arial"/>
          <w:sz w:val="22"/>
          <w:lang w:val="es-ES_tradnl"/>
        </w:rPr>
        <w:t xml:space="preserve"> competencias legales para interpretar dicha norma, pues la misma se relaciona con la contratación estatal, temática en relación con la cual </w:t>
      </w:r>
      <w:r w:rsidR="00923335">
        <w:rPr>
          <w:rFonts w:ascii="Arial" w:eastAsia="Calibri" w:hAnsi="Arial" w:cs="Arial"/>
          <w:sz w:val="22"/>
          <w:lang w:val="es-ES_tradnl"/>
        </w:rPr>
        <w:t>la entidad está habilitada</w:t>
      </w:r>
      <w:r>
        <w:rPr>
          <w:rFonts w:ascii="Arial" w:eastAsia="Calibri" w:hAnsi="Arial" w:cs="Arial"/>
          <w:sz w:val="22"/>
          <w:lang w:val="es-ES_tradnl"/>
        </w:rPr>
        <w:t xml:space="preserve"> para emitir conceptos, pese a que los mismos </w:t>
      </w:r>
      <w:r w:rsidR="00923335">
        <w:rPr>
          <w:rFonts w:ascii="Arial" w:eastAsia="Calibri" w:hAnsi="Arial" w:cs="Arial"/>
          <w:sz w:val="22"/>
          <w:lang w:val="es-ES_tradnl"/>
        </w:rPr>
        <w:t xml:space="preserve">sean </w:t>
      </w:r>
      <w:r>
        <w:rPr>
          <w:rFonts w:ascii="Arial" w:eastAsia="Calibri" w:hAnsi="Arial" w:cs="Arial"/>
          <w:sz w:val="22"/>
          <w:lang w:val="es-ES_tradnl"/>
        </w:rPr>
        <w:t>considerados</w:t>
      </w:r>
      <w:r w:rsidR="00923335">
        <w:rPr>
          <w:rFonts w:ascii="Arial" w:eastAsia="Calibri" w:hAnsi="Arial" w:cs="Arial"/>
          <w:sz w:val="22"/>
          <w:lang w:val="es-ES_tradnl"/>
        </w:rPr>
        <w:t xml:space="preserve"> como</w:t>
      </w:r>
      <w:r>
        <w:rPr>
          <w:rFonts w:ascii="Arial" w:eastAsia="Calibri" w:hAnsi="Arial" w:cs="Arial"/>
          <w:sz w:val="22"/>
          <w:lang w:val="es-ES_tradnl"/>
        </w:rPr>
        <w:t xml:space="preserve"> opiniones de orden legal.</w:t>
      </w:r>
    </w:p>
    <w:p w14:paraId="7416BCFE" w14:textId="77777777" w:rsidR="001927EA" w:rsidRDefault="001927EA" w:rsidP="00FB51C9">
      <w:pPr>
        <w:jc w:val="both"/>
        <w:rPr>
          <w:rFonts w:ascii="Arial" w:eastAsia="Calibri" w:hAnsi="Arial" w:cs="Arial"/>
          <w:sz w:val="22"/>
        </w:rPr>
      </w:pPr>
    </w:p>
    <w:p w14:paraId="0F9206E5" w14:textId="68CA2F0B" w:rsidR="00923335" w:rsidRDefault="00A65AD5" w:rsidP="00923335">
      <w:pPr>
        <w:spacing w:line="276" w:lineRule="auto"/>
        <w:jc w:val="both"/>
        <w:rPr>
          <w:rFonts w:ascii="Arial" w:eastAsia="Calibri" w:hAnsi="Arial" w:cs="Arial"/>
          <w:b/>
          <w:bCs/>
          <w:sz w:val="22"/>
        </w:rPr>
      </w:pPr>
      <w:r>
        <w:rPr>
          <w:rFonts w:ascii="Arial" w:eastAsia="Calibri" w:hAnsi="Arial" w:cs="Arial"/>
          <w:b/>
          <w:bCs/>
          <w:sz w:val="22"/>
        </w:rPr>
        <w:t>2.</w:t>
      </w:r>
      <w:r w:rsidR="00942649">
        <w:rPr>
          <w:rFonts w:ascii="Arial" w:eastAsia="Calibri" w:hAnsi="Arial" w:cs="Arial"/>
          <w:b/>
          <w:bCs/>
          <w:sz w:val="22"/>
        </w:rPr>
        <w:t>3</w:t>
      </w:r>
      <w:r w:rsidR="001927EA" w:rsidRPr="00923335">
        <w:rPr>
          <w:rFonts w:ascii="Arial" w:eastAsia="Calibri" w:hAnsi="Arial" w:cs="Arial"/>
          <w:b/>
          <w:bCs/>
          <w:sz w:val="22"/>
        </w:rPr>
        <w:t>.</w:t>
      </w:r>
      <w:r w:rsidR="001927EA" w:rsidRPr="001946FB">
        <w:rPr>
          <w:rFonts w:ascii="Arial" w:eastAsia="Calibri" w:hAnsi="Arial" w:cs="Arial"/>
          <w:b/>
          <w:bCs/>
          <w:sz w:val="22"/>
        </w:rPr>
        <w:t xml:space="preserve"> </w:t>
      </w:r>
      <w:r w:rsidR="00923335" w:rsidRPr="001946FB">
        <w:rPr>
          <w:rFonts w:ascii="Arial" w:eastAsia="Calibri" w:hAnsi="Arial" w:cs="Arial"/>
          <w:b/>
          <w:bCs/>
          <w:sz w:val="22"/>
        </w:rPr>
        <w:t xml:space="preserve">Colofón </w:t>
      </w:r>
    </w:p>
    <w:p w14:paraId="2A8272C2" w14:textId="77777777" w:rsidR="00923335" w:rsidRPr="001946FB" w:rsidRDefault="00923335" w:rsidP="001946FB">
      <w:pPr>
        <w:spacing w:line="276" w:lineRule="auto"/>
        <w:jc w:val="both"/>
        <w:rPr>
          <w:rFonts w:ascii="Arial" w:eastAsia="Calibri" w:hAnsi="Arial" w:cs="Arial"/>
          <w:b/>
          <w:bCs/>
          <w:sz w:val="22"/>
        </w:rPr>
      </w:pPr>
    </w:p>
    <w:p w14:paraId="2EEDE3EF" w14:textId="41512607" w:rsidR="00A639E3" w:rsidRDefault="001927EA" w:rsidP="001946FB">
      <w:pPr>
        <w:spacing w:line="276" w:lineRule="auto"/>
        <w:jc w:val="both"/>
        <w:rPr>
          <w:rFonts w:ascii="Arial" w:eastAsia="Calibri" w:hAnsi="Arial" w:cs="Arial"/>
          <w:sz w:val="22"/>
          <w:lang w:val="es-ES_tradnl"/>
        </w:rPr>
      </w:pPr>
      <w:r>
        <w:rPr>
          <w:rFonts w:ascii="Arial" w:eastAsia="Calibri" w:hAnsi="Arial" w:cs="Arial"/>
          <w:sz w:val="22"/>
        </w:rPr>
        <w:t>A título de conclusión</w:t>
      </w:r>
      <w:r w:rsidR="00D47E14">
        <w:rPr>
          <w:rFonts w:ascii="Arial" w:eastAsia="Calibri" w:hAnsi="Arial" w:cs="Arial"/>
          <w:sz w:val="22"/>
        </w:rPr>
        <w:t xml:space="preserve"> general</w:t>
      </w:r>
      <w:r>
        <w:rPr>
          <w:rFonts w:ascii="Arial" w:eastAsia="Calibri" w:hAnsi="Arial" w:cs="Arial"/>
          <w:sz w:val="22"/>
        </w:rPr>
        <w:t xml:space="preserve">, </w:t>
      </w:r>
      <w:r w:rsidR="00A639E3">
        <w:rPr>
          <w:rFonts w:ascii="Arial" w:eastAsia="Calibri" w:hAnsi="Arial" w:cs="Arial"/>
          <w:bCs/>
          <w:sz w:val="22"/>
          <w:lang w:val="es-ES_tradnl"/>
        </w:rPr>
        <w:t xml:space="preserve">no </w:t>
      </w:r>
      <w:r w:rsidR="00923335">
        <w:rPr>
          <w:rFonts w:ascii="Arial" w:eastAsia="Calibri" w:hAnsi="Arial" w:cs="Arial"/>
          <w:bCs/>
          <w:sz w:val="22"/>
          <w:lang w:val="es-ES_tradnl"/>
        </w:rPr>
        <w:t>se accede</w:t>
      </w:r>
      <w:r w:rsidR="00A639E3">
        <w:rPr>
          <w:rFonts w:ascii="Arial" w:eastAsia="Calibri" w:hAnsi="Arial" w:cs="Arial"/>
          <w:bCs/>
          <w:sz w:val="22"/>
          <w:lang w:val="es-ES_tradnl"/>
        </w:rPr>
        <w:t xml:space="preserve"> a la solicitud de revocatoria de los conceptos </w:t>
      </w:r>
      <w:r w:rsidR="00A639E3">
        <w:rPr>
          <w:rFonts w:ascii="Arial" w:eastAsia="Calibri" w:hAnsi="Arial" w:cs="Arial"/>
          <w:bCs/>
          <w:i/>
          <w:iCs/>
          <w:sz w:val="22"/>
          <w:lang w:val="es-ES_tradnl"/>
        </w:rPr>
        <w:t>sub examine</w:t>
      </w:r>
      <w:r w:rsidR="00A639E3">
        <w:rPr>
          <w:rFonts w:ascii="Arial" w:eastAsia="Calibri" w:hAnsi="Arial" w:cs="Arial"/>
          <w:bCs/>
          <w:sz w:val="22"/>
          <w:lang w:val="es-ES_tradnl"/>
        </w:rPr>
        <w:t xml:space="preserve">, pues se </w:t>
      </w:r>
      <w:r w:rsidR="00923335">
        <w:rPr>
          <w:rFonts w:ascii="Arial" w:eastAsia="Calibri" w:hAnsi="Arial" w:cs="Arial"/>
          <w:bCs/>
          <w:sz w:val="22"/>
          <w:lang w:val="es-ES_tradnl"/>
        </w:rPr>
        <w:t xml:space="preserve">encuentra </w:t>
      </w:r>
      <w:r w:rsidR="00A639E3">
        <w:rPr>
          <w:rFonts w:ascii="Arial" w:eastAsia="Calibri" w:hAnsi="Arial" w:cs="Arial"/>
          <w:bCs/>
          <w:sz w:val="22"/>
          <w:lang w:val="es-ES_tradnl"/>
        </w:rPr>
        <w:t xml:space="preserve">que: i) al </w:t>
      </w:r>
      <w:r w:rsidR="003C6C59">
        <w:rPr>
          <w:rFonts w:ascii="Arial" w:eastAsia="Calibri" w:hAnsi="Arial" w:cs="Arial"/>
          <w:bCs/>
          <w:sz w:val="22"/>
          <w:lang w:val="es-ES_tradnl"/>
        </w:rPr>
        <w:t>explicar</w:t>
      </w:r>
      <w:r w:rsidR="00A639E3">
        <w:rPr>
          <w:rFonts w:ascii="Arial" w:eastAsia="Calibri" w:hAnsi="Arial" w:cs="Arial"/>
          <w:bCs/>
          <w:sz w:val="22"/>
          <w:lang w:val="es-ES_tradnl"/>
        </w:rPr>
        <w:t xml:space="preserve"> que el artículo 12 de la Ley 842 de 2003 fue derogado tácitamente, no se </w:t>
      </w:r>
      <w:r w:rsidR="004549BD">
        <w:rPr>
          <w:rFonts w:ascii="Arial" w:eastAsia="Calibri" w:hAnsi="Arial" w:cs="Arial"/>
          <w:bCs/>
          <w:sz w:val="22"/>
          <w:lang w:val="es-ES_tradnl"/>
        </w:rPr>
        <w:t>desconocen</w:t>
      </w:r>
      <w:r w:rsidR="00A639E3">
        <w:rPr>
          <w:rFonts w:ascii="Arial" w:eastAsia="Calibri" w:hAnsi="Arial" w:cs="Arial"/>
          <w:bCs/>
          <w:sz w:val="22"/>
          <w:lang w:val="es-ES_tradnl"/>
        </w:rPr>
        <w:t xml:space="preserve"> los efectos de la sentencia C-296 de 2012; </w:t>
      </w:r>
      <w:proofErr w:type="spellStart"/>
      <w:r w:rsidR="00A639E3">
        <w:rPr>
          <w:rFonts w:ascii="Arial" w:eastAsia="Calibri" w:hAnsi="Arial" w:cs="Arial"/>
          <w:bCs/>
          <w:sz w:val="22"/>
          <w:lang w:val="es-ES_tradnl"/>
        </w:rPr>
        <w:t>ii</w:t>
      </w:r>
      <w:proofErr w:type="spellEnd"/>
      <w:r w:rsidR="00A639E3">
        <w:rPr>
          <w:rFonts w:ascii="Arial" w:eastAsia="Calibri" w:hAnsi="Arial" w:cs="Arial"/>
          <w:bCs/>
          <w:sz w:val="22"/>
          <w:lang w:val="es-ES_tradnl"/>
        </w:rPr>
        <w:t xml:space="preserve">) la providencia del Consejo de Estado tiene efectos </w:t>
      </w:r>
      <w:r w:rsidR="004549BD">
        <w:rPr>
          <w:rFonts w:ascii="Arial" w:eastAsia="Calibri" w:hAnsi="Arial" w:cs="Arial"/>
          <w:bCs/>
          <w:sz w:val="22"/>
          <w:lang w:val="es-ES_tradnl"/>
        </w:rPr>
        <w:t>provisionales</w:t>
      </w:r>
      <w:r w:rsidR="00A639E3">
        <w:rPr>
          <w:rFonts w:ascii="Arial" w:eastAsia="Calibri" w:hAnsi="Arial" w:cs="Arial"/>
          <w:bCs/>
          <w:sz w:val="22"/>
          <w:lang w:val="es-ES_tradnl"/>
        </w:rPr>
        <w:t xml:space="preserve"> </w:t>
      </w:r>
      <w:r w:rsidR="004549BD">
        <w:rPr>
          <w:rFonts w:ascii="Arial" w:eastAsia="Calibri" w:hAnsi="Arial" w:cs="Arial"/>
          <w:bCs/>
          <w:sz w:val="22"/>
          <w:lang w:val="es-ES_tradnl"/>
        </w:rPr>
        <w:t>que, aunque eventualmente podrían ser definitivos con la sentencia de fondo</w:t>
      </w:r>
      <w:r w:rsidR="00A639E3" w:rsidRPr="00A05DA6">
        <w:rPr>
          <w:rFonts w:ascii="Arial" w:eastAsia="Calibri" w:hAnsi="Arial" w:cs="Arial"/>
          <w:bCs/>
          <w:sz w:val="22"/>
          <w:lang w:val="es-ES_tradnl"/>
        </w:rPr>
        <w:t xml:space="preserve">, </w:t>
      </w:r>
      <w:r w:rsidR="00FB2E3E">
        <w:rPr>
          <w:rFonts w:ascii="Arial" w:eastAsia="Calibri" w:hAnsi="Arial" w:cs="Arial"/>
          <w:bCs/>
          <w:sz w:val="22"/>
          <w:lang w:val="es-ES_tradnl"/>
        </w:rPr>
        <w:t>no se extienden a los conceptos de Colombia Compra Eficiente</w:t>
      </w:r>
      <w:r w:rsidR="00A639E3">
        <w:rPr>
          <w:rFonts w:ascii="Arial" w:eastAsia="Calibri" w:hAnsi="Arial" w:cs="Arial"/>
          <w:bCs/>
          <w:sz w:val="22"/>
          <w:lang w:val="es-ES_tradnl"/>
        </w:rPr>
        <w:t xml:space="preserve">; </w:t>
      </w:r>
      <w:proofErr w:type="spellStart"/>
      <w:r w:rsidR="00A639E3">
        <w:rPr>
          <w:rFonts w:ascii="Arial" w:eastAsia="Calibri" w:hAnsi="Arial" w:cs="Arial"/>
          <w:bCs/>
          <w:sz w:val="22"/>
          <w:lang w:val="es-ES_tradnl"/>
        </w:rPr>
        <w:t>iii</w:t>
      </w:r>
      <w:proofErr w:type="spellEnd"/>
      <w:r w:rsidR="00A639E3">
        <w:rPr>
          <w:rFonts w:ascii="Arial" w:eastAsia="Calibri" w:hAnsi="Arial" w:cs="Arial"/>
          <w:bCs/>
          <w:sz w:val="22"/>
          <w:lang w:val="es-ES_tradnl"/>
        </w:rPr>
        <w:t xml:space="preserve">) no existe la contradicción a la que se refirieren los </w:t>
      </w:r>
      <w:r w:rsidR="00923335">
        <w:rPr>
          <w:rFonts w:ascii="Arial" w:eastAsia="Calibri" w:hAnsi="Arial" w:cs="Arial"/>
          <w:bCs/>
          <w:sz w:val="22"/>
          <w:lang w:val="es-ES_tradnl"/>
        </w:rPr>
        <w:t>peticionarios</w:t>
      </w:r>
      <w:r w:rsidR="00A639E3">
        <w:rPr>
          <w:rFonts w:ascii="Arial" w:eastAsia="Calibri" w:hAnsi="Arial" w:cs="Arial"/>
          <w:bCs/>
          <w:sz w:val="22"/>
          <w:lang w:val="es-ES_tradnl"/>
        </w:rPr>
        <w:t xml:space="preserve"> frente a la Circular Externa Única de 2019 y, en gracia de discusión, lo que se observa es un cambio de postura en relación con un punto de derecho, el cual, además, está debidamente justificad</w:t>
      </w:r>
      <w:r w:rsidR="00F90131">
        <w:rPr>
          <w:rFonts w:ascii="Arial" w:eastAsia="Calibri" w:hAnsi="Arial" w:cs="Arial"/>
          <w:bCs/>
          <w:sz w:val="22"/>
          <w:lang w:val="es-ES_tradnl"/>
        </w:rPr>
        <w:t>a</w:t>
      </w:r>
      <w:r w:rsidR="00A639E3">
        <w:rPr>
          <w:rFonts w:ascii="Arial" w:eastAsia="Calibri" w:hAnsi="Arial" w:cs="Arial"/>
          <w:bCs/>
          <w:sz w:val="22"/>
          <w:lang w:val="es-ES_tradnl"/>
        </w:rPr>
        <w:t xml:space="preserve"> y sustentad</w:t>
      </w:r>
      <w:r w:rsidR="00F90131">
        <w:rPr>
          <w:rFonts w:ascii="Arial" w:eastAsia="Calibri" w:hAnsi="Arial" w:cs="Arial"/>
          <w:bCs/>
          <w:sz w:val="22"/>
          <w:lang w:val="es-ES_tradnl"/>
        </w:rPr>
        <w:t>a</w:t>
      </w:r>
      <w:r w:rsidR="00A639E3">
        <w:rPr>
          <w:rFonts w:ascii="Arial" w:eastAsia="Calibri" w:hAnsi="Arial" w:cs="Arial"/>
          <w:bCs/>
          <w:sz w:val="22"/>
          <w:lang w:val="es-ES_tradnl"/>
        </w:rPr>
        <w:t xml:space="preserve">; </w:t>
      </w:r>
      <w:proofErr w:type="spellStart"/>
      <w:r w:rsidR="00A639E3">
        <w:rPr>
          <w:rFonts w:ascii="Arial" w:eastAsia="Calibri" w:hAnsi="Arial" w:cs="Arial"/>
          <w:bCs/>
          <w:sz w:val="22"/>
          <w:lang w:val="es-ES_tradnl"/>
        </w:rPr>
        <w:t>iv</w:t>
      </w:r>
      <w:proofErr w:type="spellEnd"/>
      <w:r w:rsidR="00A639E3">
        <w:rPr>
          <w:rFonts w:ascii="Arial" w:eastAsia="Calibri" w:hAnsi="Arial" w:cs="Arial"/>
          <w:bCs/>
          <w:sz w:val="22"/>
          <w:lang w:val="es-ES_tradnl"/>
        </w:rPr>
        <w:t xml:space="preserve">) la tesis </w:t>
      </w:r>
      <w:r w:rsidR="004549BD">
        <w:rPr>
          <w:rFonts w:ascii="Arial" w:eastAsia="Calibri" w:hAnsi="Arial" w:cs="Arial"/>
          <w:bCs/>
          <w:sz w:val="22"/>
          <w:lang w:val="es-ES_tradnl"/>
        </w:rPr>
        <w:t>de</w:t>
      </w:r>
      <w:r w:rsidR="00A639E3">
        <w:rPr>
          <w:rFonts w:ascii="Arial" w:eastAsia="Calibri" w:hAnsi="Arial" w:cs="Arial"/>
          <w:bCs/>
          <w:sz w:val="22"/>
          <w:lang w:val="es-ES_tradnl"/>
        </w:rPr>
        <w:t xml:space="preserve"> esta Agencia, además de ser razonable y coherente, ha </w:t>
      </w:r>
      <w:r w:rsidR="00A639E3" w:rsidRPr="0062027E">
        <w:rPr>
          <w:rFonts w:ascii="Arial" w:eastAsia="Calibri" w:hAnsi="Arial" w:cs="Arial"/>
          <w:bCs/>
          <w:sz w:val="22"/>
          <w:lang w:val="es-ES_tradnl"/>
        </w:rPr>
        <w:t>sido expuest</w:t>
      </w:r>
      <w:r w:rsidR="00A639E3">
        <w:rPr>
          <w:rFonts w:ascii="Arial" w:eastAsia="Calibri" w:hAnsi="Arial" w:cs="Arial"/>
          <w:bCs/>
          <w:sz w:val="22"/>
          <w:lang w:val="es-ES_tradnl"/>
        </w:rPr>
        <w:t>a</w:t>
      </w:r>
      <w:r w:rsidR="00A639E3" w:rsidRPr="0062027E">
        <w:rPr>
          <w:rFonts w:ascii="Arial" w:eastAsia="Calibri" w:hAnsi="Arial" w:cs="Arial"/>
          <w:bCs/>
          <w:sz w:val="22"/>
          <w:lang w:val="es-ES_tradnl"/>
        </w:rPr>
        <w:t xml:space="preserve"> por diferentes entidades, </w:t>
      </w:r>
      <w:r w:rsidR="003C6C59">
        <w:rPr>
          <w:rFonts w:ascii="Arial" w:eastAsia="Calibri" w:hAnsi="Arial" w:cs="Arial"/>
          <w:bCs/>
          <w:sz w:val="22"/>
          <w:lang w:val="es-ES_tradnl"/>
        </w:rPr>
        <w:t xml:space="preserve">especialmente, por el Departamento Administrativo de la Función Pública, </w:t>
      </w:r>
      <w:r w:rsidR="00A639E3" w:rsidRPr="0062027E">
        <w:rPr>
          <w:rFonts w:ascii="Arial" w:eastAsia="Calibri" w:hAnsi="Arial" w:cs="Arial"/>
          <w:bCs/>
          <w:sz w:val="22"/>
          <w:lang w:val="es-ES_tradnl"/>
        </w:rPr>
        <w:t>lo que descarta su arbitrariedad</w:t>
      </w:r>
      <w:r w:rsidR="00A639E3">
        <w:rPr>
          <w:rFonts w:ascii="Arial" w:eastAsia="Calibri" w:hAnsi="Arial" w:cs="Arial"/>
          <w:bCs/>
          <w:sz w:val="22"/>
          <w:lang w:val="es-ES_tradnl"/>
        </w:rPr>
        <w:t xml:space="preserve"> o subjetividad; y v) </w:t>
      </w:r>
      <w:r w:rsidR="00A639E3">
        <w:rPr>
          <w:rFonts w:ascii="Arial" w:eastAsia="Calibri" w:hAnsi="Arial" w:cs="Arial"/>
          <w:sz w:val="22"/>
          <w:lang w:val="es-ES_tradnl"/>
        </w:rPr>
        <w:t xml:space="preserve">el COPNIA </w:t>
      </w:r>
      <w:r w:rsidR="00942649">
        <w:rPr>
          <w:rFonts w:ascii="Arial" w:eastAsia="Calibri" w:hAnsi="Arial" w:cs="Arial"/>
          <w:sz w:val="22"/>
          <w:lang w:val="es-ES_tradnl"/>
        </w:rPr>
        <w:t xml:space="preserve">no es </w:t>
      </w:r>
      <w:r w:rsidR="00A639E3">
        <w:rPr>
          <w:rFonts w:ascii="Arial" w:eastAsia="Calibri" w:hAnsi="Arial" w:cs="Arial"/>
          <w:sz w:val="22"/>
          <w:lang w:val="es-ES_tradnl"/>
        </w:rPr>
        <w:t>el intérprete «exclusivo y excluyente» de la Ley 84</w:t>
      </w:r>
      <w:r w:rsidR="00591DC2">
        <w:rPr>
          <w:rFonts w:ascii="Arial" w:eastAsia="Calibri" w:hAnsi="Arial" w:cs="Arial"/>
          <w:sz w:val="22"/>
          <w:lang w:val="es-ES_tradnl"/>
        </w:rPr>
        <w:t>2</w:t>
      </w:r>
      <w:r w:rsidR="00A639E3">
        <w:rPr>
          <w:rFonts w:ascii="Arial" w:eastAsia="Calibri" w:hAnsi="Arial" w:cs="Arial"/>
          <w:sz w:val="22"/>
          <w:lang w:val="es-ES_tradnl"/>
        </w:rPr>
        <w:t xml:space="preserve"> de 2002, </w:t>
      </w:r>
      <w:r w:rsidR="00942649">
        <w:rPr>
          <w:rFonts w:ascii="Arial" w:eastAsia="Calibri" w:hAnsi="Arial" w:cs="Arial"/>
          <w:sz w:val="22"/>
          <w:lang w:val="es-ES_tradnl"/>
        </w:rPr>
        <w:t>además la</w:t>
      </w:r>
      <w:r w:rsidR="00A639E3">
        <w:rPr>
          <w:rFonts w:ascii="Arial" w:eastAsia="Calibri" w:hAnsi="Arial" w:cs="Arial"/>
          <w:sz w:val="22"/>
          <w:lang w:val="es-ES_tradnl"/>
        </w:rPr>
        <w:t xml:space="preserve"> Agencia Nacional de Contratación Pública </w:t>
      </w:r>
      <w:r w:rsidR="00942649">
        <w:rPr>
          <w:rFonts w:ascii="Arial" w:eastAsia="Calibri" w:hAnsi="Arial" w:cs="Arial"/>
          <w:sz w:val="22"/>
          <w:lang w:val="es-ES_tradnl"/>
        </w:rPr>
        <w:t>está facultada legalmente</w:t>
      </w:r>
      <w:r w:rsidR="00A639E3">
        <w:rPr>
          <w:rFonts w:ascii="Arial" w:eastAsia="Calibri" w:hAnsi="Arial" w:cs="Arial"/>
          <w:sz w:val="22"/>
          <w:lang w:val="es-ES_tradnl"/>
        </w:rPr>
        <w:t xml:space="preserve"> para interpretar </w:t>
      </w:r>
      <w:r w:rsidR="00F90131">
        <w:rPr>
          <w:rFonts w:ascii="Arial" w:eastAsia="Calibri" w:hAnsi="Arial" w:cs="Arial"/>
          <w:sz w:val="22"/>
          <w:lang w:val="es-ES_tradnl"/>
        </w:rPr>
        <w:t>esa</w:t>
      </w:r>
      <w:r w:rsidR="00A639E3">
        <w:rPr>
          <w:rFonts w:ascii="Arial" w:eastAsia="Calibri" w:hAnsi="Arial" w:cs="Arial"/>
          <w:sz w:val="22"/>
          <w:lang w:val="es-ES_tradnl"/>
        </w:rPr>
        <w:t xml:space="preserve"> norma.</w:t>
      </w:r>
    </w:p>
    <w:p w14:paraId="1EBFCF54" w14:textId="77777777" w:rsidR="0073536E" w:rsidRPr="00EF5252" w:rsidRDefault="0073536E" w:rsidP="001946FB">
      <w:pPr>
        <w:spacing w:line="276" w:lineRule="auto"/>
        <w:jc w:val="both"/>
        <w:rPr>
          <w:rFonts w:ascii="Arial" w:eastAsia="Calibri" w:hAnsi="Arial" w:cs="Arial"/>
          <w:sz w:val="22"/>
          <w:lang w:val="es-CO"/>
        </w:rPr>
      </w:pPr>
    </w:p>
    <w:p w14:paraId="2980998C" w14:textId="612CB26F" w:rsidR="000920F0" w:rsidRPr="00DC759C" w:rsidRDefault="00A65AD5" w:rsidP="000920F0">
      <w:pPr>
        <w:pStyle w:val="Prrafodelista"/>
        <w:tabs>
          <w:tab w:val="left" w:pos="284"/>
        </w:tabs>
        <w:spacing w:line="276" w:lineRule="auto"/>
        <w:ind w:left="0"/>
        <w:jc w:val="both"/>
        <w:rPr>
          <w:rFonts w:ascii="Arial" w:eastAsia="Calibri" w:hAnsi="Arial" w:cs="Arial"/>
          <w:sz w:val="22"/>
          <w:lang w:val="es-ES_tradnl"/>
        </w:rPr>
      </w:pPr>
      <w:r>
        <w:rPr>
          <w:rFonts w:ascii="Arial" w:eastAsia="Calibri" w:hAnsi="Arial" w:cs="Arial"/>
          <w:b/>
          <w:sz w:val="22"/>
          <w:lang w:val="es-ES_tradnl"/>
        </w:rPr>
        <w:t>3</w:t>
      </w:r>
      <w:r w:rsidR="000920F0" w:rsidRPr="00DC759C">
        <w:rPr>
          <w:rFonts w:ascii="Arial" w:eastAsia="Calibri" w:hAnsi="Arial" w:cs="Arial"/>
          <w:b/>
          <w:sz w:val="22"/>
          <w:lang w:val="es-ES_tradnl"/>
        </w:rPr>
        <w:t>. Respuesta</w:t>
      </w:r>
    </w:p>
    <w:p w14:paraId="458F619B" w14:textId="77777777" w:rsidR="000920F0" w:rsidRPr="00DC759C" w:rsidRDefault="000920F0" w:rsidP="000920F0">
      <w:pPr>
        <w:spacing w:line="276" w:lineRule="auto"/>
        <w:ind w:left="709" w:right="709"/>
        <w:jc w:val="both"/>
        <w:rPr>
          <w:rFonts w:ascii="Arial" w:eastAsia="Calibri" w:hAnsi="Arial" w:cs="Arial"/>
          <w:i/>
          <w:sz w:val="22"/>
          <w:lang w:val="es-ES_tradnl"/>
        </w:rPr>
      </w:pPr>
    </w:p>
    <w:p w14:paraId="737CAB7F" w14:textId="77777777" w:rsidR="00167D3A" w:rsidRPr="00167D3A" w:rsidRDefault="00167D3A" w:rsidP="00167D3A">
      <w:pPr>
        <w:ind w:left="709" w:right="709"/>
        <w:jc w:val="both"/>
        <w:rPr>
          <w:sz w:val="21"/>
          <w:szCs w:val="21"/>
        </w:rPr>
      </w:pPr>
      <w:r w:rsidRPr="00167D3A">
        <w:rPr>
          <w:rFonts w:ascii="Arial" w:eastAsia="Calibri" w:hAnsi="Arial" w:cs="Arial"/>
          <w:sz w:val="21"/>
          <w:szCs w:val="21"/>
          <w:lang w:val="es-ES_tradnl"/>
        </w:rPr>
        <w:t xml:space="preserve">Usted solicita que «dejar sin efectos o modificar los conceptos 4201912000005915 del 29 de agosto de 2019, radicado 2202013000002648 y C-212 […] del 14 de abril de 2020 […]». </w:t>
      </w:r>
    </w:p>
    <w:p w14:paraId="467385A0" w14:textId="77777777" w:rsidR="000E5B7B" w:rsidRPr="00DC759C" w:rsidRDefault="000E5B7B" w:rsidP="00BC600B">
      <w:pPr>
        <w:jc w:val="both"/>
        <w:rPr>
          <w:rFonts w:ascii="Arial" w:eastAsia="Calibri" w:hAnsi="Arial" w:cs="Arial"/>
          <w:sz w:val="22"/>
          <w:lang w:val="es-ES_tradnl"/>
        </w:rPr>
      </w:pPr>
    </w:p>
    <w:p w14:paraId="179E31B5" w14:textId="07CB2161" w:rsidR="00642A35" w:rsidRDefault="00167D3A" w:rsidP="002D4329">
      <w:pPr>
        <w:spacing w:line="276" w:lineRule="auto"/>
        <w:jc w:val="both"/>
        <w:rPr>
          <w:rFonts w:ascii="Arial" w:eastAsia="Calibri" w:hAnsi="Arial" w:cs="Arial"/>
          <w:bCs/>
          <w:sz w:val="22"/>
          <w:lang w:val="es-ES_tradnl"/>
        </w:rPr>
      </w:pPr>
      <w:r>
        <w:rPr>
          <w:rFonts w:ascii="Arial" w:eastAsia="Calibri" w:hAnsi="Arial" w:cs="Arial"/>
          <w:sz w:val="22"/>
          <w:lang w:val="es-ES_tradnl"/>
        </w:rPr>
        <w:t xml:space="preserve">Dada la naturaleza de tales conceptos, de acuerdo </w:t>
      </w:r>
      <w:r w:rsidR="00776FB2">
        <w:rPr>
          <w:rFonts w:ascii="Arial" w:eastAsia="Calibri" w:hAnsi="Arial" w:cs="Arial"/>
          <w:sz w:val="22"/>
          <w:lang w:val="es-ES_tradnl"/>
        </w:rPr>
        <w:t xml:space="preserve">con las consideraciones </w:t>
      </w:r>
      <w:r w:rsidR="00677E33">
        <w:rPr>
          <w:rFonts w:ascii="Arial" w:eastAsia="Calibri" w:hAnsi="Arial" w:cs="Arial"/>
          <w:sz w:val="22"/>
          <w:lang w:val="es-ES_tradnl"/>
        </w:rPr>
        <w:t>expuestas anteriormente</w:t>
      </w:r>
      <w:r>
        <w:rPr>
          <w:rFonts w:ascii="Arial" w:eastAsia="Calibri" w:hAnsi="Arial" w:cs="Arial"/>
          <w:sz w:val="22"/>
          <w:lang w:val="es-ES_tradnl"/>
        </w:rPr>
        <w:t xml:space="preserve">, no es posible acceder a </w:t>
      </w:r>
      <w:r w:rsidR="00776FB2">
        <w:rPr>
          <w:rFonts w:ascii="Arial" w:eastAsia="Calibri" w:hAnsi="Arial" w:cs="Arial"/>
          <w:sz w:val="22"/>
          <w:lang w:val="es-ES_tradnl"/>
        </w:rPr>
        <w:t>la</w:t>
      </w:r>
      <w:r>
        <w:rPr>
          <w:rFonts w:ascii="Arial" w:eastAsia="Calibri" w:hAnsi="Arial" w:cs="Arial"/>
          <w:sz w:val="22"/>
          <w:lang w:val="es-ES_tradnl"/>
        </w:rPr>
        <w:t xml:space="preserve"> solicitud. </w:t>
      </w:r>
      <w:r w:rsidR="00FE4BD3" w:rsidRPr="00BA68F7">
        <w:rPr>
          <w:rFonts w:ascii="Arial" w:eastAsia="Calibri" w:hAnsi="Arial" w:cs="Arial"/>
          <w:sz w:val="22"/>
          <w:lang w:val="es-ES_tradnl"/>
        </w:rPr>
        <w:t xml:space="preserve">Por el contrario, en esta ocasión se reitera que, en materia de contratación estatal, para contabilizar el término de experiencia profesional de los ingenieros, la norma aplicable es el artículo 229 del Decreto 019 de 2012, el cual establece que la experiencia profesional </w:t>
      </w:r>
      <w:r w:rsidR="00FE4BD3">
        <w:rPr>
          <w:rFonts w:ascii="Arial" w:eastAsia="Calibri" w:hAnsi="Arial" w:cs="Arial"/>
          <w:sz w:val="22"/>
          <w:lang w:val="es-ES_tradnl"/>
        </w:rPr>
        <w:t>se cuenta</w:t>
      </w:r>
      <w:r w:rsidR="00FE4BD3" w:rsidRPr="00BA68F7">
        <w:rPr>
          <w:rFonts w:ascii="Arial" w:eastAsia="Calibri" w:hAnsi="Arial" w:cs="Arial"/>
          <w:sz w:val="22"/>
          <w:lang w:val="es-ES_tradnl"/>
        </w:rPr>
        <w:t xml:space="preserve"> a partir de la terminación y aprobación del pensum académico. Lo anterior, sin perjuicio de lo dispuesto en el artículo 192 de la Ley 1955 de 2019, </w:t>
      </w:r>
      <w:r w:rsidR="00FE4BD3">
        <w:rPr>
          <w:rFonts w:ascii="Arial" w:eastAsia="Calibri" w:hAnsi="Arial" w:cs="Arial"/>
          <w:sz w:val="22"/>
          <w:lang w:val="es-ES_tradnl"/>
        </w:rPr>
        <w:t>el cual</w:t>
      </w:r>
      <w:r w:rsidR="00FE4BD3" w:rsidRPr="00BA68F7">
        <w:rPr>
          <w:rFonts w:ascii="Arial" w:eastAsia="Calibri" w:hAnsi="Arial" w:cs="Arial"/>
          <w:sz w:val="22"/>
          <w:lang w:val="es-ES_tradnl"/>
        </w:rPr>
        <w:t xml:space="preserve"> dispone que cuenta como experiencia laboral la </w:t>
      </w:r>
      <w:r w:rsidR="00FE4BD3" w:rsidRPr="00BA68F7">
        <w:rPr>
          <w:rFonts w:ascii="Arial" w:eastAsia="Calibri" w:hAnsi="Arial" w:cs="Arial"/>
          <w:sz w:val="22"/>
          <w:lang w:val="es-ES_tradnl"/>
        </w:rPr>
        <w:lastRenderedPageBreak/>
        <w:t>práctica laboral que el estudiante realice para optar a su título de profesional, tecnológico o técnico. Lo anterior, en la medida que el artículo 229 del Decreto 019 de 2012 –al ser una norma posterior– derogó tácitamente el artículo 12 de la Ley 842 de 2003 en lo que respecta al cómputo de la experiencia profesional</w:t>
      </w:r>
      <w:r w:rsidR="002D4329" w:rsidRPr="002D4329">
        <w:rPr>
          <w:rFonts w:ascii="Arial" w:eastAsia="Calibri" w:hAnsi="Arial" w:cs="Arial"/>
          <w:bCs/>
          <w:sz w:val="22"/>
          <w:lang w:val="es-ES_tradnl"/>
        </w:rPr>
        <w:t>.</w:t>
      </w:r>
    </w:p>
    <w:p w14:paraId="35DB8699" w14:textId="77777777" w:rsidR="002D4329" w:rsidRDefault="002D4329" w:rsidP="002D4329">
      <w:pPr>
        <w:spacing w:line="276" w:lineRule="auto"/>
        <w:jc w:val="both"/>
        <w:rPr>
          <w:rFonts w:ascii="Arial" w:eastAsia="Calibri" w:hAnsi="Arial" w:cs="Arial"/>
          <w:sz w:val="22"/>
          <w:lang w:val="es-ES_tradnl"/>
        </w:rPr>
      </w:pPr>
    </w:p>
    <w:p w14:paraId="304E3EE8" w14:textId="098C2ED4" w:rsidR="00167D3A" w:rsidRDefault="00167D3A" w:rsidP="00167D3A">
      <w:pPr>
        <w:tabs>
          <w:tab w:val="left" w:pos="426"/>
        </w:tabs>
        <w:ind w:left="709" w:right="709"/>
        <w:jc w:val="both"/>
        <w:rPr>
          <w:rFonts w:ascii="Arial" w:eastAsia="Calibri" w:hAnsi="Arial" w:cs="Arial"/>
          <w:sz w:val="21"/>
          <w:szCs w:val="21"/>
          <w:lang w:val="es-ES_tradnl"/>
        </w:rPr>
      </w:pPr>
      <w:r w:rsidRPr="00167D3A">
        <w:rPr>
          <w:rFonts w:ascii="Arial" w:eastAsia="Calibri" w:hAnsi="Arial" w:cs="Arial"/>
          <w:sz w:val="21"/>
          <w:szCs w:val="21"/>
          <w:lang w:val="es-ES_tradnl"/>
        </w:rPr>
        <w:t>Subsidiariamente, se nos solicita «manifestar […] el sustento normativo que le faculta legalmente a la Agencia, [para] emitir e interpretar el artículo 12 de la Ley 842 de 2003, para dar alcance y lineamientos generales al país, dentro del ejercicio de la ingeniería colombiana». Tal solicitud tiene como fundamento «la competencia exclusiva y excluyente como facultad del Consejo Profesional Nacional de la Ingeniería, en su función de máximo organismo de interpretación normativa en lo relacionado al ejercicio de la ingeniería»</w:t>
      </w:r>
      <w:r w:rsidR="0015639F">
        <w:rPr>
          <w:rFonts w:ascii="Arial" w:eastAsia="Calibri" w:hAnsi="Arial" w:cs="Arial"/>
          <w:sz w:val="21"/>
          <w:szCs w:val="21"/>
          <w:lang w:val="es-ES_tradnl"/>
        </w:rPr>
        <w:t xml:space="preserve"> </w:t>
      </w:r>
      <w:r w:rsidR="0015639F" w:rsidRPr="0015639F">
        <w:rPr>
          <w:rFonts w:ascii="Arial" w:eastAsia="Calibri" w:hAnsi="Arial" w:cs="Arial"/>
          <w:sz w:val="21"/>
          <w:szCs w:val="21"/>
          <w:lang w:val="es-ES_tradnl"/>
        </w:rPr>
        <w:t>(Corchetes fuera de texto)</w:t>
      </w:r>
      <w:r w:rsidRPr="00167D3A">
        <w:rPr>
          <w:rFonts w:ascii="Arial" w:eastAsia="Calibri" w:hAnsi="Arial" w:cs="Arial"/>
          <w:sz w:val="21"/>
          <w:szCs w:val="21"/>
          <w:lang w:val="es-ES_tradnl"/>
        </w:rPr>
        <w:t>.</w:t>
      </w:r>
    </w:p>
    <w:p w14:paraId="7B9318E4" w14:textId="552ECAD4" w:rsidR="00167D3A" w:rsidRDefault="00167D3A" w:rsidP="00167D3A">
      <w:pPr>
        <w:tabs>
          <w:tab w:val="left" w:pos="426"/>
        </w:tabs>
        <w:ind w:left="709" w:right="709"/>
        <w:jc w:val="both"/>
        <w:rPr>
          <w:rFonts w:ascii="Arial" w:eastAsia="Calibri" w:hAnsi="Arial" w:cs="Arial"/>
          <w:sz w:val="21"/>
          <w:szCs w:val="21"/>
          <w:lang w:val="es-ES_tradnl"/>
        </w:rPr>
      </w:pPr>
    </w:p>
    <w:p w14:paraId="144CBEB4" w14:textId="6A9EE700" w:rsidR="00D1783F" w:rsidRPr="003F7473" w:rsidRDefault="00167D3A" w:rsidP="001946FB">
      <w:pPr>
        <w:spacing w:after="120" w:line="276" w:lineRule="auto"/>
        <w:jc w:val="both"/>
        <w:rPr>
          <w:rFonts w:ascii="Arial" w:eastAsia="Calibri" w:hAnsi="Arial" w:cs="Arial"/>
          <w:sz w:val="22"/>
          <w:lang w:val="es-ES_tradnl"/>
        </w:rPr>
      </w:pPr>
      <w:r w:rsidRPr="00DC759C">
        <w:rPr>
          <w:rFonts w:ascii="Arial" w:eastAsia="Calibri" w:hAnsi="Arial" w:cs="Arial"/>
          <w:sz w:val="22"/>
          <w:lang w:val="es-ES_tradnl"/>
        </w:rPr>
        <w:t xml:space="preserve">Sea lo primero </w:t>
      </w:r>
      <w:r w:rsidR="00A83633">
        <w:rPr>
          <w:rFonts w:ascii="Arial" w:eastAsia="Calibri" w:hAnsi="Arial" w:cs="Arial"/>
          <w:sz w:val="22"/>
          <w:lang w:val="es-ES_tradnl"/>
        </w:rPr>
        <w:t>precisar</w:t>
      </w:r>
      <w:r w:rsidR="00A83633" w:rsidRPr="00DC759C">
        <w:rPr>
          <w:rFonts w:ascii="Arial" w:eastAsia="Calibri" w:hAnsi="Arial" w:cs="Arial"/>
          <w:sz w:val="22"/>
          <w:lang w:val="es-ES_tradnl"/>
        </w:rPr>
        <w:t xml:space="preserve"> </w:t>
      </w:r>
      <w:r w:rsidRPr="00DC759C">
        <w:rPr>
          <w:rFonts w:ascii="Arial" w:eastAsia="Calibri" w:hAnsi="Arial" w:cs="Arial"/>
          <w:sz w:val="22"/>
          <w:lang w:val="es-ES_tradnl"/>
        </w:rPr>
        <w:t xml:space="preserve">que la </w:t>
      </w:r>
      <w:r w:rsidR="003F7473">
        <w:rPr>
          <w:rFonts w:ascii="Arial" w:eastAsia="Calibri" w:hAnsi="Arial" w:cs="Arial"/>
          <w:sz w:val="22"/>
          <w:lang w:val="es-ES_tradnl"/>
        </w:rPr>
        <w:t xml:space="preserve">Agencia Nacional de Contratación Pública, a través de los conceptos </w:t>
      </w:r>
      <w:r w:rsidR="003F7473">
        <w:rPr>
          <w:rFonts w:ascii="Arial" w:eastAsia="Calibri" w:hAnsi="Arial" w:cs="Arial"/>
          <w:i/>
          <w:iCs/>
          <w:sz w:val="22"/>
          <w:lang w:val="es-ES_tradnl"/>
        </w:rPr>
        <w:t>sub examine</w:t>
      </w:r>
      <w:r w:rsidR="000714A3">
        <w:rPr>
          <w:rFonts w:ascii="Arial" w:eastAsia="Calibri" w:hAnsi="Arial" w:cs="Arial"/>
          <w:sz w:val="22"/>
          <w:lang w:val="es-ES_tradnl"/>
        </w:rPr>
        <w:t>,</w:t>
      </w:r>
      <w:r w:rsidR="003F7473">
        <w:rPr>
          <w:rFonts w:ascii="Arial" w:eastAsia="Calibri" w:hAnsi="Arial" w:cs="Arial"/>
          <w:i/>
          <w:iCs/>
          <w:sz w:val="22"/>
          <w:lang w:val="es-ES_tradnl"/>
        </w:rPr>
        <w:t xml:space="preserve"> </w:t>
      </w:r>
      <w:r w:rsidR="003F7473">
        <w:rPr>
          <w:rFonts w:ascii="Arial" w:eastAsia="Calibri" w:hAnsi="Arial" w:cs="Arial"/>
          <w:sz w:val="22"/>
          <w:lang w:val="es-ES_tradnl"/>
        </w:rPr>
        <w:t xml:space="preserve">no </w:t>
      </w:r>
      <w:r w:rsidR="00A83633">
        <w:rPr>
          <w:rFonts w:ascii="Arial" w:eastAsia="Calibri" w:hAnsi="Arial" w:cs="Arial"/>
          <w:sz w:val="22"/>
          <w:lang w:val="es-ES_tradnl"/>
        </w:rPr>
        <w:t xml:space="preserve">expidió </w:t>
      </w:r>
      <w:r w:rsidR="003F7473">
        <w:rPr>
          <w:rFonts w:ascii="Arial" w:eastAsia="Calibri" w:hAnsi="Arial" w:cs="Arial"/>
          <w:sz w:val="22"/>
          <w:lang w:val="es-ES_tradnl"/>
        </w:rPr>
        <w:t xml:space="preserve">lineamientos generales para el ejercicio de la ingeniería. Ahora, </w:t>
      </w:r>
      <w:r w:rsidR="000B7EB6">
        <w:rPr>
          <w:rFonts w:ascii="Arial" w:eastAsia="Calibri" w:hAnsi="Arial" w:cs="Arial"/>
          <w:sz w:val="22"/>
          <w:lang w:val="es-ES_tradnl"/>
        </w:rPr>
        <w:t>la</w:t>
      </w:r>
      <w:r w:rsidR="003F7473">
        <w:rPr>
          <w:rFonts w:ascii="Arial" w:eastAsia="Calibri" w:hAnsi="Arial" w:cs="Arial"/>
          <w:sz w:val="22"/>
          <w:lang w:val="es-ES_tradnl"/>
        </w:rPr>
        <w:t xml:space="preserve"> competencia para la interpreta</w:t>
      </w:r>
      <w:r w:rsidR="000B7EB6">
        <w:rPr>
          <w:rFonts w:ascii="Arial" w:eastAsia="Calibri" w:hAnsi="Arial" w:cs="Arial"/>
          <w:sz w:val="22"/>
          <w:lang w:val="es-ES_tradnl"/>
        </w:rPr>
        <w:t>r</w:t>
      </w:r>
      <w:r w:rsidR="003F7473">
        <w:rPr>
          <w:rFonts w:ascii="Arial" w:eastAsia="Calibri" w:hAnsi="Arial" w:cs="Arial"/>
          <w:sz w:val="22"/>
          <w:lang w:val="es-ES_tradnl"/>
        </w:rPr>
        <w:t xml:space="preserve"> el artículo 12 de la Ley 84</w:t>
      </w:r>
      <w:r w:rsidR="000B7EB6">
        <w:rPr>
          <w:rFonts w:ascii="Arial" w:eastAsia="Calibri" w:hAnsi="Arial" w:cs="Arial"/>
          <w:sz w:val="22"/>
          <w:lang w:val="es-ES_tradnl"/>
        </w:rPr>
        <w:t>2</w:t>
      </w:r>
      <w:r w:rsidR="003F7473">
        <w:rPr>
          <w:rFonts w:ascii="Arial" w:eastAsia="Calibri" w:hAnsi="Arial" w:cs="Arial"/>
          <w:sz w:val="22"/>
          <w:lang w:val="es-ES_tradnl"/>
        </w:rPr>
        <w:t xml:space="preserve"> de 2002</w:t>
      </w:r>
      <w:r w:rsidR="000B7EB6">
        <w:rPr>
          <w:rFonts w:ascii="Arial" w:eastAsia="Calibri" w:hAnsi="Arial" w:cs="Arial"/>
          <w:sz w:val="22"/>
          <w:lang w:val="es-ES_tradnl"/>
        </w:rPr>
        <w:t xml:space="preserve"> se fundamenta</w:t>
      </w:r>
      <w:r w:rsidR="003F7473">
        <w:rPr>
          <w:rFonts w:ascii="Arial" w:eastAsia="Calibri" w:hAnsi="Arial" w:cs="Arial"/>
          <w:sz w:val="22"/>
          <w:lang w:val="es-ES_tradnl"/>
        </w:rPr>
        <w:t xml:space="preserve"> en los artículos 3</w:t>
      </w:r>
      <w:r w:rsidR="000B7EB6">
        <w:rPr>
          <w:rFonts w:ascii="Arial" w:eastAsia="Calibri" w:hAnsi="Arial" w:cs="Arial"/>
          <w:sz w:val="22"/>
          <w:lang w:val="es-ES_tradnl"/>
        </w:rPr>
        <w:t>.</w:t>
      </w:r>
      <w:r w:rsidR="003F7473">
        <w:rPr>
          <w:rFonts w:ascii="Arial" w:eastAsia="Calibri" w:hAnsi="Arial" w:cs="Arial"/>
          <w:sz w:val="22"/>
          <w:lang w:val="es-ES_tradnl"/>
        </w:rPr>
        <w:t>5 y 11</w:t>
      </w:r>
      <w:r w:rsidR="000B7EB6">
        <w:rPr>
          <w:rFonts w:ascii="Arial" w:eastAsia="Calibri" w:hAnsi="Arial" w:cs="Arial"/>
          <w:sz w:val="22"/>
          <w:lang w:val="es-ES_tradnl"/>
        </w:rPr>
        <w:t>.</w:t>
      </w:r>
      <w:r w:rsidR="003F7473">
        <w:rPr>
          <w:rFonts w:ascii="Arial" w:eastAsia="Calibri" w:hAnsi="Arial" w:cs="Arial"/>
          <w:sz w:val="22"/>
          <w:lang w:val="es-ES_tradnl"/>
        </w:rPr>
        <w:t>8</w:t>
      </w:r>
      <w:r w:rsidR="000B7EB6">
        <w:rPr>
          <w:rFonts w:ascii="Arial" w:eastAsia="Calibri" w:hAnsi="Arial" w:cs="Arial"/>
          <w:sz w:val="22"/>
          <w:lang w:val="es-ES_tradnl"/>
        </w:rPr>
        <w:t xml:space="preserve"> </w:t>
      </w:r>
      <w:r w:rsidR="003F7473">
        <w:rPr>
          <w:rFonts w:ascii="Arial" w:eastAsia="Calibri" w:hAnsi="Arial" w:cs="Arial"/>
          <w:sz w:val="22"/>
          <w:lang w:val="es-ES_tradnl"/>
        </w:rPr>
        <w:t>del Decreto 4170 de 2011</w:t>
      </w:r>
      <w:r w:rsidR="00C71EBB">
        <w:rPr>
          <w:rFonts w:ascii="Arial" w:eastAsia="Calibri" w:hAnsi="Arial" w:cs="Arial"/>
          <w:sz w:val="22"/>
          <w:lang w:val="es-ES_tradnl"/>
        </w:rPr>
        <w:t xml:space="preserve">, según las consideraciones </w:t>
      </w:r>
      <w:r w:rsidR="00A83633">
        <w:rPr>
          <w:rFonts w:ascii="Arial" w:eastAsia="Calibri" w:hAnsi="Arial" w:cs="Arial"/>
          <w:sz w:val="22"/>
          <w:lang w:val="es-ES_tradnl"/>
        </w:rPr>
        <w:t>del presente concepto</w:t>
      </w:r>
      <w:r w:rsidR="003F7473">
        <w:rPr>
          <w:rFonts w:ascii="Arial" w:eastAsia="Calibri" w:hAnsi="Arial" w:cs="Arial"/>
          <w:sz w:val="22"/>
          <w:lang w:val="es-ES_tradnl"/>
        </w:rPr>
        <w:t xml:space="preserve">. Lo anterior, claro está, teniendo en cuenta que </w:t>
      </w:r>
      <w:r w:rsidR="001E7F64">
        <w:rPr>
          <w:rFonts w:ascii="Arial" w:eastAsia="Calibri" w:hAnsi="Arial" w:cs="Arial"/>
          <w:sz w:val="22"/>
          <w:lang w:val="es-ES_tradnl"/>
        </w:rPr>
        <w:t>la</w:t>
      </w:r>
      <w:r w:rsidR="00F4790E">
        <w:rPr>
          <w:rFonts w:ascii="Arial" w:eastAsia="Calibri" w:hAnsi="Arial" w:cs="Arial"/>
          <w:sz w:val="22"/>
          <w:lang w:val="es-ES_tradnl"/>
        </w:rPr>
        <w:t xml:space="preserve"> </w:t>
      </w:r>
      <w:r w:rsidR="003F7473">
        <w:rPr>
          <w:rFonts w:ascii="Arial" w:eastAsia="Calibri" w:hAnsi="Arial" w:cs="Arial"/>
          <w:sz w:val="22"/>
          <w:lang w:val="es-ES_tradnl"/>
        </w:rPr>
        <w:t>interpretación es una opinión legal.</w:t>
      </w:r>
    </w:p>
    <w:p w14:paraId="7E12BF9F" w14:textId="77777777" w:rsidR="00167D3A" w:rsidRPr="00DC759C" w:rsidRDefault="00167D3A">
      <w:pPr>
        <w:spacing w:line="276" w:lineRule="auto"/>
        <w:jc w:val="both"/>
        <w:rPr>
          <w:rFonts w:ascii="Arial" w:eastAsia="Calibri" w:hAnsi="Arial" w:cs="Arial"/>
          <w:sz w:val="22"/>
          <w:lang w:val="es-ES_tradnl"/>
        </w:rPr>
      </w:pPr>
    </w:p>
    <w:p w14:paraId="544609D3" w14:textId="01C82D3A" w:rsidR="000920F0" w:rsidRPr="00DC759C" w:rsidRDefault="000920F0" w:rsidP="000920F0">
      <w:pPr>
        <w:spacing w:line="276" w:lineRule="auto"/>
        <w:jc w:val="both"/>
        <w:rPr>
          <w:rFonts w:ascii="Arial" w:eastAsia="Calibri" w:hAnsi="Arial" w:cs="Arial"/>
          <w:sz w:val="22"/>
          <w:lang w:val="es-ES_tradnl"/>
        </w:rPr>
      </w:pPr>
      <w:r w:rsidRPr="00DC759C">
        <w:rPr>
          <w:rFonts w:ascii="Arial" w:eastAsia="Calibri" w:hAnsi="Arial" w:cs="Arial"/>
          <w:sz w:val="22"/>
          <w:lang w:val="es-ES_tradnl"/>
        </w:rPr>
        <w:t>Este concepto</w:t>
      </w:r>
      <w:r w:rsidR="003F7473">
        <w:rPr>
          <w:rFonts w:ascii="Arial" w:eastAsia="Calibri" w:hAnsi="Arial" w:cs="Arial"/>
          <w:sz w:val="22"/>
          <w:lang w:val="es-ES_tradnl"/>
        </w:rPr>
        <w:t>, al igual que los que se reiteran,</w:t>
      </w:r>
      <w:r w:rsidRPr="00DC759C">
        <w:rPr>
          <w:rFonts w:ascii="Arial" w:eastAsia="Calibri" w:hAnsi="Arial" w:cs="Arial"/>
          <w:sz w:val="22"/>
          <w:lang w:val="es-ES_tradnl"/>
        </w:rPr>
        <w:t xml:space="preserve"> tiene el alcance previsto en el artículo 28 del Código de Procedimiento Administrativo y de lo Contencioso Administrativo</w:t>
      </w:r>
      <w:r w:rsidR="00CE51AE" w:rsidRPr="00DC759C">
        <w:rPr>
          <w:rFonts w:ascii="Arial" w:eastAsia="Calibri" w:hAnsi="Arial" w:cs="Arial"/>
          <w:sz w:val="22"/>
          <w:lang w:val="es-ES_tradnl"/>
        </w:rPr>
        <w:t>, modificado por el artículo 1 de la Ley 1755 de 2015</w:t>
      </w:r>
      <w:r w:rsidRPr="00DC759C">
        <w:rPr>
          <w:rFonts w:ascii="Arial" w:eastAsia="Calibri" w:hAnsi="Arial" w:cs="Arial"/>
          <w:sz w:val="22"/>
          <w:lang w:val="es-ES_tradnl"/>
        </w:rPr>
        <w:t>.</w:t>
      </w:r>
      <w:r w:rsidR="00000049">
        <w:rPr>
          <w:rFonts w:ascii="Arial" w:eastAsia="Calibri" w:hAnsi="Arial" w:cs="Arial"/>
          <w:sz w:val="22"/>
          <w:lang w:val="es-ES_tradnl"/>
        </w:rPr>
        <w:t xml:space="preserve"> </w:t>
      </w:r>
    </w:p>
    <w:p w14:paraId="069E278A" w14:textId="77777777" w:rsidR="001A7B0C" w:rsidRPr="00DC759C" w:rsidRDefault="001A7B0C" w:rsidP="00777704">
      <w:pPr>
        <w:rPr>
          <w:rFonts w:ascii="Arial" w:eastAsia="Calibri" w:hAnsi="Arial" w:cs="Arial"/>
          <w:sz w:val="22"/>
          <w:lang w:val="es-ES_tradnl"/>
        </w:rPr>
      </w:pPr>
    </w:p>
    <w:p w14:paraId="537553D5" w14:textId="38CF5FE2" w:rsidR="000920F0" w:rsidRPr="00DC759C" w:rsidRDefault="000920F0" w:rsidP="000920F0">
      <w:pPr>
        <w:spacing w:line="276" w:lineRule="auto"/>
        <w:rPr>
          <w:rFonts w:ascii="Arial" w:hAnsi="Arial" w:cs="Arial"/>
          <w:sz w:val="22"/>
          <w:lang w:val="es-ES_tradnl" w:eastAsia="es-CO"/>
        </w:rPr>
      </w:pPr>
      <w:r w:rsidRPr="21519309">
        <w:rPr>
          <w:rFonts w:ascii="Arial" w:hAnsi="Arial" w:cs="Arial"/>
          <w:sz w:val="22"/>
          <w:lang w:val="es-ES" w:eastAsia="es-CO"/>
        </w:rPr>
        <w:t>Atentamente,</w:t>
      </w:r>
    </w:p>
    <w:p w14:paraId="571DF5BC" w14:textId="08FB83D2" w:rsidR="000920F0" w:rsidRPr="00DC759C" w:rsidRDefault="453E67EF" w:rsidP="21519309">
      <w:pPr>
        <w:spacing w:line="276" w:lineRule="auto"/>
        <w:jc w:val="center"/>
      </w:pPr>
      <w:r>
        <w:rPr>
          <w:noProof/>
        </w:rPr>
        <w:drawing>
          <wp:inline distT="0" distB="0" distL="0" distR="0" wp14:anchorId="6F89E6FF" wp14:editId="7348FA77">
            <wp:extent cx="2771775" cy="990600"/>
            <wp:effectExtent l="0" t="0" r="0" b="0"/>
            <wp:docPr id="1804760253" name="Imagen 180476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2D229176" w14:textId="00F43F72" w:rsidR="21519309" w:rsidRDefault="21519309" w:rsidP="21519309">
      <w:pPr>
        <w:spacing w:line="276" w:lineRule="aut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C759C" w:rsidRPr="00DC759C" w14:paraId="5F526272" w14:textId="77777777" w:rsidTr="00FC16B2">
        <w:trPr>
          <w:trHeight w:val="315"/>
        </w:trPr>
        <w:tc>
          <w:tcPr>
            <w:tcW w:w="812" w:type="dxa"/>
            <w:vAlign w:val="center"/>
            <w:hideMark/>
          </w:tcPr>
          <w:p w14:paraId="33690198" w14:textId="77777777" w:rsidR="000920F0" w:rsidRPr="00DC759C" w:rsidRDefault="000920F0" w:rsidP="00FC16B2">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26EF6323" w14:textId="77777777" w:rsidR="000920F0" w:rsidRPr="00DC759C" w:rsidRDefault="00696A12" w:rsidP="00FC16B2">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David Castellanos Carreño</w:t>
            </w:r>
          </w:p>
          <w:p w14:paraId="5E6EE4F5" w14:textId="6D10EC40" w:rsidR="00C727E6" w:rsidRPr="00DC759C" w:rsidRDefault="00C727E6" w:rsidP="00FC16B2">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Contratista</w:t>
            </w:r>
            <w:r w:rsidR="00A83633">
              <w:rPr>
                <w:rFonts w:ascii="Arial" w:hAnsi="Arial" w:cs="Arial"/>
                <w:sz w:val="16"/>
                <w:szCs w:val="16"/>
                <w:lang w:val="es-ES_tradnl" w:eastAsia="es-ES"/>
              </w:rPr>
              <w:t xml:space="preserve"> de la</w:t>
            </w:r>
            <w:r w:rsidR="00CE51AE" w:rsidRPr="00DC759C">
              <w:rPr>
                <w:rFonts w:ascii="Arial" w:hAnsi="Arial" w:cs="Arial"/>
                <w:sz w:val="16"/>
                <w:szCs w:val="16"/>
                <w:lang w:val="es-ES_tradnl" w:eastAsia="es-ES"/>
              </w:rPr>
              <w:t xml:space="preserve"> </w:t>
            </w:r>
            <w:r w:rsidRPr="00DC759C">
              <w:rPr>
                <w:rFonts w:ascii="Arial" w:hAnsi="Arial" w:cs="Arial"/>
                <w:sz w:val="16"/>
                <w:szCs w:val="16"/>
                <w:lang w:val="es-ES_tradnl" w:eastAsia="es-ES"/>
              </w:rPr>
              <w:t>Subdirección de Gestión Contractual</w:t>
            </w:r>
          </w:p>
        </w:tc>
      </w:tr>
      <w:tr w:rsidR="00DC759C" w:rsidRPr="00DC759C" w14:paraId="0C137F1C" w14:textId="77777777" w:rsidTr="00FC16B2">
        <w:trPr>
          <w:trHeight w:val="330"/>
        </w:trPr>
        <w:tc>
          <w:tcPr>
            <w:tcW w:w="812" w:type="dxa"/>
            <w:vAlign w:val="center"/>
            <w:hideMark/>
          </w:tcPr>
          <w:p w14:paraId="76978847" w14:textId="77777777" w:rsidR="000920F0" w:rsidRPr="00DC759C" w:rsidRDefault="000920F0" w:rsidP="00FC16B2">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1B8A08" w14:textId="3D4439C1" w:rsidR="00635BE6" w:rsidRPr="00DC759C" w:rsidRDefault="00A83633" w:rsidP="00635BE6">
            <w:pPr>
              <w:spacing w:line="276" w:lineRule="auto"/>
              <w:rPr>
                <w:rFonts w:ascii="Arial" w:hAnsi="Arial" w:cs="Arial"/>
                <w:sz w:val="16"/>
                <w:szCs w:val="16"/>
                <w:lang w:val="es-ES_tradnl" w:eastAsia="es-ES"/>
              </w:rPr>
            </w:pPr>
            <w:r>
              <w:rPr>
                <w:rFonts w:ascii="Arial" w:hAnsi="Arial" w:cs="Arial"/>
                <w:sz w:val="16"/>
                <w:szCs w:val="16"/>
                <w:lang w:val="es-ES_tradnl" w:eastAsia="es-ES"/>
              </w:rPr>
              <w:t xml:space="preserve">Juan David Montoya Penagos </w:t>
            </w:r>
          </w:p>
          <w:p w14:paraId="660FED67" w14:textId="7D68672B" w:rsidR="000920F0" w:rsidRPr="00DC759C" w:rsidRDefault="00A83633" w:rsidP="00635BE6">
            <w:pPr>
              <w:spacing w:line="276" w:lineRule="auto"/>
              <w:rPr>
                <w:rFonts w:ascii="Arial" w:hAnsi="Arial" w:cs="Arial"/>
                <w:sz w:val="16"/>
                <w:szCs w:val="16"/>
                <w:lang w:val="es-ES_tradnl" w:eastAsia="es-ES"/>
              </w:rPr>
            </w:pPr>
            <w:r>
              <w:rPr>
                <w:rFonts w:ascii="Arial" w:hAnsi="Arial" w:cs="Arial"/>
                <w:sz w:val="16"/>
                <w:szCs w:val="16"/>
                <w:lang w:val="es-ES_tradnl" w:eastAsia="es-ES"/>
              </w:rPr>
              <w:t xml:space="preserve">Contratista de la </w:t>
            </w:r>
            <w:r w:rsidRPr="00DC759C">
              <w:rPr>
                <w:rFonts w:ascii="Arial" w:hAnsi="Arial" w:cs="Arial"/>
                <w:sz w:val="16"/>
                <w:szCs w:val="16"/>
                <w:lang w:val="es-ES_tradnl" w:eastAsia="es-ES"/>
              </w:rPr>
              <w:t>Subdirección de Gestión Contractual</w:t>
            </w:r>
          </w:p>
        </w:tc>
      </w:tr>
      <w:tr w:rsidR="000920F0" w:rsidRPr="00DC759C" w14:paraId="59D3F9A5" w14:textId="77777777" w:rsidTr="00FC16B2">
        <w:trPr>
          <w:trHeight w:val="300"/>
        </w:trPr>
        <w:tc>
          <w:tcPr>
            <w:tcW w:w="812" w:type="dxa"/>
            <w:vAlign w:val="center"/>
            <w:hideMark/>
          </w:tcPr>
          <w:p w14:paraId="62FFFDDB" w14:textId="77777777" w:rsidR="000920F0" w:rsidRPr="00DC759C" w:rsidRDefault="000920F0" w:rsidP="00FC16B2">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7777777" w:rsidR="000920F0" w:rsidRPr="00DC759C" w:rsidRDefault="000920F0" w:rsidP="00FC16B2">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Fabián Gonzalo Marín Cortés</w:t>
            </w:r>
          </w:p>
          <w:p w14:paraId="417C54F4" w14:textId="77777777" w:rsidR="000920F0" w:rsidRPr="00DC759C" w:rsidRDefault="000920F0" w:rsidP="00FC16B2">
            <w:pPr>
              <w:spacing w:line="276" w:lineRule="auto"/>
              <w:rPr>
                <w:rFonts w:ascii="Arial" w:hAnsi="Arial" w:cs="Arial"/>
                <w:sz w:val="16"/>
                <w:szCs w:val="16"/>
                <w:lang w:val="es-ES_tradnl" w:eastAsia="es-ES"/>
              </w:rPr>
            </w:pPr>
            <w:r w:rsidRPr="00DC759C">
              <w:rPr>
                <w:rFonts w:ascii="Arial" w:hAnsi="Arial" w:cs="Arial"/>
                <w:sz w:val="16"/>
                <w:szCs w:val="16"/>
                <w:lang w:val="es-ES_tradnl" w:eastAsia="es-ES"/>
              </w:rPr>
              <w:t>Subdirector de Gestión Contractual</w:t>
            </w:r>
          </w:p>
        </w:tc>
      </w:tr>
      <w:bookmarkEnd w:id="2"/>
      <w:bookmarkEnd w:id="3"/>
    </w:tbl>
    <w:p w14:paraId="7EBF297E" w14:textId="77777777" w:rsidR="007B0854" w:rsidRPr="00DC759C" w:rsidRDefault="007B0854" w:rsidP="00777704">
      <w:pPr>
        <w:spacing w:line="120" w:lineRule="auto"/>
        <w:rPr>
          <w:lang w:val="es-ES_tradnl"/>
        </w:rPr>
      </w:pPr>
    </w:p>
    <w:sectPr w:rsidR="007B0854" w:rsidRPr="00DC759C"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34532" w14:textId="77777777" w:rsidR="007F3E22" w:rsidRDefault="007F3E22">
      <w:r>
        <w:separator/>
      </w:r>
    </w:p>
  </w:endnote>
  <w:endnote w:type="continuationSeparator" w:id="0">
    <w:p w14:paraId="539E9C84" w14:textId="77777777" w:rsidR="007F3E22" w:rsidRDefault="007F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3834" w14:textId="77777777" w:rsidR="001946FB" w:rsidRDefault="001946FB" w:rsidP="00F72936">
    <w:pPr>
      <w:pStyle w:val="Sinespaciado"/>
      <w:jc w:val="right"/>
      <w:rPr>
        <w:rFonts w:ascii="Arial" w:hAnsi="Arial" w:cs="Arial"/>
        <w:sz w:val="18"/>
        <w:szCs w:val="18"/>
      </w:rPr>
    </w:pPr>
  </w:p>
  <w:p w14:paraId="17CC9D90" w14:textId="77777777" w:rsidR="001946FB" w:rsidRPr="008217B7" w:rsidRDefault="001946FB" w:rsidP="00F7293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1FC56E89" w14:textId="77777777" w:rsidR="001946FB" w:rsidRDefault="4C34D6AC" w:rsidP="00F72936">
    <w:pPr>
      <w:pStyle w:val="Piedepgina"/>
      <w:jc w:val="center"/>
      <w:rPr>
        <w:lang w:val="es-ES"/>
      </w:rPr>
    </w:pPr>
    <w:r>
      <w:rPr>
        <w:noProof/>
      </w:rPr>
      <w:drawing>
        <wp:inline distT="0" distB="0" distL="0" distR="0" wp14:anchorId="29A046D9" wp14:editId="2966DBA7">
          <wp:extent cx="3700130" cy="519139"/>
          <wp:effectExtent l="0" t="0" r="0" b="0"/>
          <wp:docPr id="85192874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742E53B6" w14:textId="77777777" w:rsidR="001946FB" w:rsidRDefault="001946FB" w:rsidP="00F72936">
    <w:pPr>
      <w:pStyle w:val="Piedepgina"/>
      <w:jc w:val="center"/>
      <w:rPr>
        <w:lang w:val="es-ES"/>
      </w:rPr>
    </w:pPr>
  </w:p>
  <w:p w14:paraId="304E5412" w14:textId="77777777" w:rsidR="001946FB" w:rsidRPr="007B0854" w:rsidRDefault="001946FB" w:rsidP="00F72936">
    <w:pPr>
      <w:pStyle w:val="Piedepgina"/>
      <w:jc w:val="center"/>
      <w:rPr>
        <w:lang w:val="es-ES"/>
      </w:rPr>
    </w:pPr>
  </w:p>
  <w:p w14:paraId="47FC0032" w14:textId="77777777" w:rsidR="001946FB" w:rsidRPr="00856133" w:rsidRDefault="001946FB" w:rsidP="00F72936">
    <w:pPr>
      <w:pStyle w:val="Piedepgina"/>
    </w:pPr>
  </w:p>
  <w:p w14:paraId="6C0EFC49" w14:textId="77777777" w:rsidR="001946FB" w:rsidRPr="00F72936" w:rsidRDefault="001946FB" w:rsidP="00F729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7951F" w14:textId="77777777" w:rsidR="007F3E22" w:rsidRDefault="007F3E22">
      <w:r>
        <w:separator/>
      </w:r>
    </w:p>
  </w:footnote>
  <w:footnote w:type="continuationSeparator" w:id="0">
    <w:p w14:paraId="165605BC" w14:textId="77777777" w:rsidR="007F3E22" w:rsidRDefault="007F3E22">
      <w:r>
        <w:continuationSeparator/>
      </w:r>
    </w:p>
  </w:footnote>
  <w:footnote w:id="1">
    <w:p w14:paraId="65C80127" w14:textId="77777777" w:rsidR="00C273E6" w:rsidRPr="003A4125" w:rsidRDefault="00C273E6" w:rsidP="00C273E6">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Cfr. HERNÁNDEZ BECERRA, Augusto. Función Consultiva y Consejo de Estado en Colombia. Ponencia presentada en las III Jornadas Internacionales de la Función Consultiva, organizadas por el Instituto de Investigaciones Jurídicas y el programa de Postgrado en Derecho de la Universidad Nacional Autónoma de México – UNAM. México. 2012. Pág. 9. Texto disponible para ser consultado en el siguiente hipervínculo: </w:t>
      </w:r>
      <w:hyperlink r:id="rId1" w:history="1">
        <w:r w:rsidRPr="003A4125">
          <w:rPr>
            <w:rStyle w:val="Hipervnculo"/>
            <w:rFonts w:ascii="Arial" w:hAnsi="Arial" w:cs="Arial"/>
            <w:color w:val="auto"/>
            <w:sz w:val="19"/>
            <w:szCs w:val="19"/>
          </w:rPr>
          <w:t>https://issuu.com/estudiolegalhernandez/docs/ahb._funci__n_consultiva_y_consejo_</w:t>
        </w:r>
      </w:hyperlink>
      <w:r w:rsidRPr="003A4125">
        <w:rPr>
          <w:rFonts w:ascii="Arial" w:hAnsi="Arial" w:cs="Arial"/>
          <w:sz w:val="19"/>
          <w:szCs w:val="19"/>
        </w:rPr>
        <w:t>.</w:t>
      </w:r>
    </w:p>
    <w:p w14:paraId="44E11C7E" w14:textId="77777777" w:rsidR="00C273E6" w:rsidRPr="003A4125" w:rsidRDefault="00C273E6" w:rsidP="00C273E6">
      <w:pPr>
        <w:pStyle w:val="Textonotapie"/>
        <w:ind w:firstLine="709"/>
        <w:jc w:val="both"/>
        <w:rPr>
          <w:rFonts w:ascii="Arial" w:hAnsi="Arial" w:cs="Arial"/>
          <w:sz w:val="19"/>
          <w:szCs w:val="19"/>
        </w:rPr>
      </w:pPr>
    </w:p>
  </w:footnote>
  <w:footnote w:id="2">
    <w:p w14:paraId="3CABCA57" w14:textId="430A39F7" w:rsidR="001946FB" w:rsidRPr="003A4125" w:rsidRDefault="001946FB" w:rsidP="003A4125">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Corte Constitucional. Sentencia C-296 de 2012. M.P. Juan Carlos Henao Pérez.</w:t>
      </w:r>
    </w:p>
    <w:p w14:paraId="37A61D35" w14:textId="77777777" w:rsidR="001946FB" w:rsidRPr="003A4125" w:rsidRDefault="001946FB" w:rsidP="003A4125">
      <w:pPr>
        <w:pStyle w:val="Textonotapie"/>
        <w:ind w:firstLine="709"/>
        <w:jc w:val="both"/>
        <w:rPr>
          <w:rFonts w:ascii="Arial" w:hAnsi="Arial" w:cs="Arial"/>
          <w:sz w:val="19"/>
          <w:szCs w:val="19"/>
        </w:rPr>
      </w:pPr>
    </w:p>
  </w:footnote>
  <w:footnote w:id="3">
    <w:p w14:paraId="09C3D5FD" w14:textId="5D934F29" w:rsidR="001946FB" w:rsidRPr="003A4125" w:rsidRDefault="001946FB" w:rsidP="003A4125">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Página 7 de la consulta.</w:t>
      </w:r>
    </w:p>
    <w:p w14:paraId="134B9145" w14:textId="77777777" w:rsidR="001946FB" w:rsidRPr="003A4125" w:rsidRDefault="001946FB" w:rsidP="003A4125">
      <w:pPr>
        <w:pStyle w:val="Textonotapie"/>
        <w:ind w:firstLine="709"/>
        <w:jc w:val="both"/>
        <w:rPr>
          <w:rFonts w:ascii="Arial" w:hAnsi="Arial" w:cs="Arial"/>
          <w:sz w:val="19"/>
          <w:szCs w:val="19"/>
        </w:rPr>
      </w:pPr>
    </w:p>
  </w:footnote>
  <w:footnote w:id="4">
    <w:p w14:paraId="4C46824B" w14:textId="5A532A47" w:rsidR="001946FB" w:rsidRPr="003A4125" w:rsidRDefault="001946FB" w:rsidP="003A4125">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Consejo de Estado. Sección Primera. Auto del 2 de octubre de 2017. Expediente 11001-03-24-000-2015-00502-00. M.P. María Elizabeth García González. </w:t>
      </w:r>
    </w:p>
    <w:p w14:paraId="4389CE51" w14:textId="77777777" w:rsidR="001946FB" w:rsidRPr="003A4125" w:rsidRDefault="001946FB" w:rsidP="003A4125">
      <w:pPr>
        <w:pStyle w:val="Textonotapie"/>
        <w:ind w:firstLine="709"/>
        <w:jc w:val="both"/>
        <w:rPr>
          <w:rFonts w:ascii="Arial" w:hAnsi="Arial" w:cs="Arial"/>
          <w:sz w:val="19"/>
          <w:szCs w:val="19"/>
        </w:rPr>
      </w:pPr>
    </w:p>
  </w:footnote>
  <w:footnote w:id="5">
    <w:p w14:paraId="083AE823" w14:textId="065D5CC4" w:rsidR="001946FB" w:rsidRPr="003A4125" w:rsidRDefault="001946FB" w:rsidP="003A4125">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Página 3 de la consulta.</w:t>
      </w:r>
    </w:p>
  </w:footnote>
  <w:footnote w:id="6">
    <w:p w14:paraId="1424596D" w14:textId="0F2C2452" w:rsidR="001946FB" w:rsidRDefault="001946FB" w:rsidP="003A4125">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Cfr. Respuestas emitidas dentro de los radicados Nos.: 4202013000002250, 4202013000002249, 202013000002232, 4202013000002225, 4202013000002227, 4202013000002220, 4202013000002221, 4202013000002217, 4202013000002215, 4202013000002230, 4202013000002223, 4202013000002219, 4202013000002237, 4202013000002210, 4202013000002278, 4202013000002277, 4202013000002272, 4202013000002696, 4202013000002699, 4202012000002681, 4202012000002683, 4202012000002676, 4202012000002682, 4202012000002689, 4202013000002697, 4202013000002723, 4202012000002688, 4202013000002813, 4202013000002808, 4202013000002798, 4202013000002793, 4202013000002792, 4202013000002791, 4202013000002790 y 4202020000002788, entre muchos otros similares.</w:t>
      </w:r>
    </w:p>
    <w:p w14:paraId="2B7A1D68" w14:textId="77777777" w:rsidR="001946FB" w:rsidRPr="003A4125" w:rsidRDefault="001946FB" w:rsidP="003A4125">
      <w:pPr>
        <w:pStyle w:val="Textonotapie"/>
        <w:ind w:firstLine="708"/>
        <w:jc w:val="both"/>
        <w:rPr>
          <w:rFonts w:ascii="Arial" w:hAnsi="Arial" w:cs="Arial"/>
          <w:sz w:val="19"/>
          <w:szCs w:val="19"/>
        </w:rPr>
      </w:pPr>
    </w:p>
  </w:footnote>
  <w:footnote w:id="7">
    <w:p w14:paraId="25341FF9" w14:textId="1815C18A" w:rsidR="001946FB" w:rsidRPr="001946FB" w:rsidRDefault="001946FB" w:rsidP="0093788B">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Procuraduría General de la Nación. </w:t>
      </w:r>
      <w:r>
        <w:rPr>
          <w:rFonts w:ascii="Arial" w:hAnsi="Arial" w:cs="Arial"/>
          <w:sz w:val="19"/>
          <w:szCs w:val="19"/>
        </w:rPr>
        <w:t>C</w:t>
      </w:r>
      <w:r w:rsidRPr="0093788B">
        <w:rPr>
          <w:rFonts w:ascii="Arial" w:hAnsi="Arial" w:cs="Arial"/>
          <w:sz w:val="19"/>
          <w:szCs w:val="19"/>
        </w:rPr>
        <w:t>oncepto del 15 de octubre de 2014</w:t>
      </w:r>
      <w:r>
        <w:rPr>
          <w:rFonts w:ascii="Arial" w:hAnsi="Arial" w:cs="Arial"/>
          <w:sz w:val="19"/>
          <w:szCs w:val="19"/>
        </w:rPr>
        <w:t xml:space="preserve">. </w:t>
      </w:r>
      <w:r w:rsidRPr="003A4125">
        <w:rPr>
          <w:rFonts w:ascii="Arial" w:hAnsi="Arial" w:cs="Arial"/>
          <w:sz w:val="19"/>
          <w:szCs w:val="19"/>
        </w:rPr>
        <w:t xml:space="preserve">Procuraduría </w:t>
      </w:r>
      <w:r w:rsidRPr="001946FB">
        <w:rPr>
          <w:rFonts w:ascii="Arial" w:hAnsi="Arial" w:cs="Arial"/>
          <w:sz w:val="19"/>
          <w:szCs w:val="19"/>
        </w:rPr>
        <w:t>Delegada para Asuntos Disciplinarios. Radicado PAD C-114-2014.</w:t>
      </w:r>
    </w:p>
    <w:p w14:paraId="15AE7D90" w14:textId="77777777" w:rsidR="001946FB" w:rsidRPr="001946FB" w:rsidRDefault="001946FB" w:rsidP="0093788B">
      <w:pPr>
        <w:pStyle w:val="Textonotapie"/>
        <w:ind w:firstLine="709"/>
        <w:jc w:val="both"/>
        <w:rPr>
          <w:rFonts w:ascii="Arial" w:hAnsi="Arial" w:cs="Arial"/>
          <w:sz w:val="19"/>
          <w:szCs w:val="19"/>
        </w:rPr>
      </w:pPr>
    </w:p>
  </w:footnote>
  <w:footnote w:id="8">
    <w:p w14:paraId="4B479644" w14:textId="5AFA653E" w:rsidR="001946FB" w:rsidRDefault="001946FB" w:rsidP="001946FB">
      <w:pPr>
        <w:pStyle w:val="Textonotapie"/>
        <w:ind w:firstLine="708"/>
      </w:pPr>
      <w:r w:rsidRPr="001946FB">
        <w:rPr>
          <w:rStyle w:val="Refdenotaalpie"/>
          <w:rFonts w:ascii="Arial" w:hAnsi="Arial" w:cs="Arial"/>
          <w:sz w:val="19"/>
          <w:szCs w:val="19"/>
        </w:rPr>
        <w:footnoteRef/>
      </w:r>
      <w:r w:rsidRPr="001946FB">
        <w:rPr>
          <w:rFonts w:ascii="Arial" w:hAnsi="Arial" w:cs="Arial"/>
          <w:sz w:val="19"/>
          <w:szCs w:val="19"/>
        </w:rPr>
        <w:t xml:space="preserve"> Contraloría General de la República. Oficina Jurídica. Concepto 80112-OJ-008 2017</w:t>
      </w:r>
      <w:r w:rsidR="00482E45">
        <w:rPr>
          <w:rFonts w:ascii="Arial" w:hAnsi="Arial" w:cs="Arial"/>
          <w:sz w:val="19"/>
          <w:szCs w:val="19"/>
        </w:rPr>
        <w:t>.</w:t>
      </w:r>
    </w:p>
  </w:footnote>
  <w:footnote w:id="9">
    <w:p w14:paraId="643C9C76" w14:textId="0AA34752" w:rsidR="001946FB" w:rsidRDefault="001946FB" w:rsidP="00E6662F">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ARBOLEDA PERDONO, Enrique José. Comentarios al Nuevo Código de Procedimiento Administrativo y de lo Contencioso Administrativo (2ª ed.). Editorial Legis. Bogotá. 2012. p.59.</w:t>
      </w:r>
    </w:p>
    <w:p w14:paraId="34F3D574" w14:textId="77777777" w:rsidR="001946FB" w:rsidRPr="003A4125" w:rsidRDefault="001946FB" w:rsidP="00E6662F">
      <w:pPr>
        <w:pStyle w:val="Textonotapie"/>
        <w:ind w:firstLine="708"/>
        <w:jc w:val="both"/>
        <w:rPr>
          <w:rFonts w:ascii="Arial" w:hAnsi="Arial" w:cs="Arial"/>
          <w:sz w:val="19"/>
          <w:szCs w:val="19"/>
        </w:rPr>
      </w:pPr>
    </w:p>
  </w:footnote>
  <w:footnote w:id="10">
    <w:p w14:paraId="3DB82B57" w14:textId="27D0F679" w:rsidR="001946FB" w:rsidRPr="003A4125" w:rsidRDefault="001946FB" w:rsidP="003A4125">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Cfr. HERNÁNDEZ BECERRA, Augusto. Función Consultiva y Consejo de Estado en Colombia. Ponencia presentada en las III Jornadas Internacionales de la Función Consultiva, organizadas por el Instituto de Investigaciones Jurídicas y el programa de Postgrado en Derecho de la Universidad Nacional Autónoma de México – UNAM. México. 2012. Pág. 9. Texto disponible para ser consultado en el siguiente hipervínculo: </w:t>
      </w:r>
      <w:hyperlink r:id="rId2" w:history="1">
        <w:r w:rsidRPr="003A4125">
          <w:rPr>
            <w:rStyle w:val="Hipervnculo"/>
            <w:rFonts w:ascii="Arial" w:hAnsi="Arial" w:cs="Arial"/>
            <w:color w:val="auto"/>
            <w:sz w:val="19"/>
            <w:szCs w:val="19"/>
          </w:rPr>
          <w:t>https://issuu.com/estudiolegalhernandez/docs/ahb._funci__n_consultiva_y_consejo_</w:t>
        </w:r>
      </w:hyperlink>
      <w:r w:rsidRPr="003A4125">
        <w:rPr>
          <w:rFonts w:ascii="Arial" w:hAnsi="Arial" w:cs="Arial"/>
          <w:sz w:val="19"/>
          <w:szCs w:val="19"/>
        </w:rPr>
        <w:t>.</w:t>
      </w:r>
    </w:p>
    <w:p w14:paraId="168C52AE" w14:textId="77777777" w:rsidR="001946FB" w:rsidRPr="003A4125" w:rsidRDefault="001946FB" w:rsidP="003A4125">
      <w:pPr>
        <w:pStyle w:val="Textonotapie"/>
        <w:ind w:firstLine="709"/>
        <w:jc w:val="both"/>
        <w:rPr>
          <w:rFonts w:ascii="Arial" w:hAnsi="Arial" w:cs="Arial"/>
          <w:sz w:val="19"/>
          <w:szCs w:val="19"/>
        </w:rPr>
      </w:pPr>
    </w:p>
  </w:footnote>
  <w:footnote w:id="11">
    <w:p w14:paraId="17A26B8D" w14:textId="77777777" w:rsidR="001946FB" w:rsidRPr="003A4125" w:rsidRDefault="001946FB" w:rsidP="00E6662F">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Consejo de Estado. Sala de Consulta y Servicio Civil. Concepto del 5 de octubre de 2009. Expediente 11001-03-06-000-2009-00049-00(1966). C.P. William Zambrano Cetina.</w:t>
      </w:r>
    </w:p>
  </w:footnote>
  <w:footnote w:id="12">
    <w:p w14:paraId="287313C2" w14:textId="7C11C730" w:rsidR="001946FB" w:rsidRPr="003A4125" w:rsidRDefault="001946FB" w:rsidP="003A4125">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En la sentencia se dice: «7.49. En </w:t>
      </w:r>
      <w:proofErr w:type="gramStart"/>
      <w:r w:rsidRPr="003A4125">
        <w:rPr>
          <w:rFonts w:ascii="Arial" w:hAnsi="Arial" w:cs="Arial"/>
          <w:sz w:val="19"/>
          <w:szCs w:val="19"/>
        </w:rPr>
        <w:t>conclusión[</w:t>
      </w:r>
      <w:proofErr w:type="gramEnd"/>
      <w:r w:rsidRPr="003A4125">
        <w:rPr>
          <w:rFonts w:ascii="Arial" w:hAnsi="Arial" w:cs="Arial"/>
          <w:sz w:val="19"/>
          <w:szCs w:val="19"/>
        </w:rPr>
        <w:t>,] estima la Corte que el artículo 12 de la Ley 842 de 2003 no desconoció el derecho a la igualdad contenido en el artículo 13 superior ni el artículo 25 de la C.P referente al trabajo, y por ende la norma demandada debe declararse exequible ya que en este caso la mayor exigencia del cómputo de la experiencia profesional a partir de la expedición de la matrícula profesional se justifica razonablemente. En efecto, en este caso la norma demandada tiene una explicación constitucionalmente legítima, es idónea y proporcional ya que trata de prevenir y evitar el riesgo social que conlleva el ejercicio de la ingeniería, profesiones afines y auxiliares. En este caso se admite la diferenciación del cómputo de la experiencia profesional con relación a otras actividades y oficios, ya que la exigencia de la matrícula profesional o el certificado de inscripción profesional tiene una finalidad constitucionalmente legítima que consiste en demostrar que se cuenta con una formación académica y una experiencia específica para asumir la responsabilidad que implica el ejercicio de estas profesiones que pueden afectar derechos fundamentales de primerísimo orden.».</w:t>
      </w:r>
    </w:p>
    <w:p w14:paraId="51137B24" w14:textId="77777777" w:rsidR="001946FB" w:rsidRPr="003A4125" w:rsidRDefault="001946FB" w:rsidP="003A4125">
      <w:pPr>
        <w:pStyle w:val="Textonotapie"/>
        <w:ind w:firstLine="708"/>
        <w:jc w:val="both"/>
        <w:rPr>
          <w:rFonts w:ascii="Arial" w:hAnsi="Arial" w:cs="Arial"/>
          <w:sz w:val="19"/>
          <w:szCs w:val="19"/>
        </w:rPr>
      </w:pPr>
    </w:p>
  </w:footnote>
  <w:footnote w:id="13">
    <w:p w14:paraId="760517B2" w14:textId="77777777" w:rsidR="001946FB" w:rsidRPr="003A4125" w:rsidRDefault="001946FB" w:rsidP="003A4125">
      <w:pPr>
        <w:pStyle w:val="Textonotapie"/>
        <w:ind w:firstLine="709"/>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Consejo de Estado. Sección Primera. Auto del 2 de octubre de 2017. Expediente 11001-03-24-000-2015-00502-00. M.P. María Elizabeth García González. </w:t>
      </w:r>
    </w:p>
    <w:p w14:paraId="2C7FF87E" w14:textId="3C6AF0CA" w:rsidR="001946FB" w:rsidRPr="003A4125" w:rsidRDefault="001946FB" w:rsidP="003A4125">
      <w:pPr>
        <w:pStyle w:val="Textonotapie"/>
        <w:ind w:firstLine="708"/>
        <w:jc w:val="both"/>
        <w:rPr>
          <w:rFonts w:ascii="Arial" w:hAnsi="Arial" w:cs="Arial"/>
          <w:sz w:val="19"/>
          <w:szCs w:val="19"/>
        </w:rPr>
      </w:pPr>
    </w:p>
  </w:footnote>
  <w:footnote w:id="14">
    <w:p w14:paraId="62CCB637" w14:textId="01AC95B5" w:rsidR="001946FB" w:rsidRPr="003A4125" w:rsidRDefault="001946FB" w:rsidP="003A4125">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Gaceta No. 33 del 7 de febrero de 2019. p. 380.</w:t>
      </w:r>
    </w:p>
  </w:footnote>
  <w:footnote w:id="15">
    <w:p w14:paraId="18499732" w14:textId="3B203BD6" w:rsidR="001946FB" w:rsidRPr="003A4125" w:rsidRDefault="001946FB" w:rsidP="003A4125">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Concepto 20124000026371 del 20 de febrero de 2012.</w:t>
      </w:r>
    </w:p>
    <w:p w14:paraId="5EA45795" w14:textId="77777777" w:rsidR="001946FB" w:rsidRPr="003A4125" w:rsidRDefault="001946FB" w:rsidP="003A4125">
      <w:pPr>
        <w:pStyle w:val="Textonotapie"/>
        <w:ind w:firstLine="708"/>
        <w:jc w:val="both"/>
        <w:rPr>
          <w:rFonts w:ascii="Arial" w:hAnsi="Arial" w:cs="Arial"/>
          <w:sz w:val="19"/>
          <w:szCs w:val="19"/>
        </w:rPr>
      </w:pPr>
    </w:p>
  </w:footnote>
  <w:footnote w:id="16">
    <w:p w14:paraId="61C0DCF9" w14:textId="277ACF8D" w:rsidR="001946FB" w:rsidRPr="003A4125" w:rsidRDefault="001946FB" w:rsidP="003A4125">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Concepto 20126000034601 del 2 de marzo de 2012.</w:t>
      </w:r>
    </w:p>
    <w:p w14:paraId="07966DAC" w14:textId="3EEA213C" w:rsidR="001946FB" w:rsidRPr="003A4125" w:rsidRDefault="001946FB" w:rsidP="003A4125">
      <w:pPr>
        <w:pStyle w:val="Textonotapie"/>
        <w:ind w:firstLine="708"/>
        <w:jc w:val="both"/>
        <w:rPr>
          <w:rFonts w:ascii="Arial" w:hAnsi="Arial" w:cs="Arial"/>
          <w:sz w:val="19"/>
          <w:szCs w:val="19"/>
        </w:rPr>
      </w:pPr>
    </w:p>
  </w:footnote>
  <w:footnote w:id="17">
    <w:p w14:paraId="2B1979A5" w14:textId="37120778" w:rsidR="001946FB" w:rsidRPr="003A4125" w:rsidRDefault="001946FB" w:rsidP="003A4125">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Concepto 20136000135041 del </w:t>
      </w:r>
      <w:r>
        <w:rPr>
          <w:rFonts w:ascii="Arial" w:hAnsi="Arial" w:cs="Arial"/>
          <w:sz w:val="19"/>
          <w:szCs w:val="19"/>
        </w:rPr>
        <w:t>3 de septiembre</w:t>
      </w:r>
      <w:r w:rsidRPr="003A4125">
        <w:rPr>
          <w:rFonts w:ascii="Arial" w:hAnsi="Arial" w:cs="Arial"/>
          <w:sz w:val="19"/>
          <w:szCs w:val="19"/>
        </w:rPr>
        <w:t xml:space="preserve"> de 201</w:t>
      </w:r>
      <w:r>
        <w:rPr>
          <w:rFonts w:ascii="Arial" w:hAnsi="Arial" w:cs="Arial"/>
          <w:sz w:val="19"/>
          <w:szCs w:val="19"/>
        </w:rPr>
        <w:t>3</w:t>
      </w:r>
      <w:r w:rsidRPr="003A4125">
        <w:rPr>
          <w:rFonts w:ascii="Arial" w:hAnsi="Arial" w:cs="Arial"/>
          <w:sz w:val="19"/>
          <w:szCs w:val="19"/>
        </w:rPr>
        <w:t>.</w:t>
      </w:r>
    </w:p>
    <w:p w14:paraId="4A7633CD" w14:textId="77777777" w:rsidR="001946FB" w:rsidRPr="003A4125" w:rsidRDefault="001946FB" w:rsidP="003A4125">
      <w:pPr>
        <w:pStyle w:val="Textonotapie"/>
        <w:ind w:firstLine="708"/>
        <w:jc w:val="both"/>
        <w:rPr>
          <w:rFonts w:ascii="Arial" w:hAnsi="Arial" w:cs="Arial"/>
          <w:sz w:val="19"/>
          <w:szCs w:val="19"/>
        </w:rPr>
      </w:pPr>
    </w:p>
  </w:footnote>
  <w:footnote w:id="18">
    <w:p w14:paraId="1717BC28" w14:textId="6AD075F7" w:rsidR="001946FB" w:rsidRPr="003A4125" w:rsidRDefault="001946FB" w:rsidP="003A4125">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Concepto 8940 de 2018. </w:t>
      </w:r>
    </w:p>
    <w:p w14:paraId="5A4A6516" w14:textId="77777777" w:rsidR="001946FB" w:rsidRPr="003A4125" w:rsidRDefault="001946FB" w:rsidP="003A4125">
      <w:pPr>
        <w:pStyle w:val="Textonotapie"/>
        <w:ind w:firstLine="708"/>
        <w:jc w:val="both"/>
        <w:rPr>
          <w:rFonts w:ascii="Arial" w:hAnsi="Arial" w:cs="Arial"/>
          <w:sz w:val="19"/>
          <w:szCs w:val="19"/>
        </w:rPr>
      </w:pPr>
    </w:p>
  </w:footnote>
  <w:footnote w:id="19">
    <w:p w14:paraId="03CF43AE" w14:textId="058563AB" w:rsidR="001946FB" w:rsidRPr="003A4125" w:rsidRDefault="001946FB" w:rsidP="003A4125">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Concepto 1100000 - 84905 – 92892 del 8 de mayo de 2012.</w:t>
      </w:r>
    </w:p>
  </w:footnote>
  <w:footnote w:id="20">
    <w:p w14:paraId="7A0A396D" w14:textId="77777777" w:rsidR="003E238A" w:rsidRPr="003A4125" w:rsidRDefault="003E238A" w:rsidP="003E238A">
      <w:pPr>
        <w:pStyle w:val="Textonotapie"/>
        <w:ind w:firstLine="708"/>
        <w:jc w:val="both"/>
        <w:rPr>
          <w:rFonts w:ascii="Arial" w:hAnsi="Arial" w:cs="Arial"/>
          <w:sz w:val="19"/>
          <w:szCs w:val="19"/>
        </w:rPr>
      </w:pPr>
      <w:r w:rsidRPr="003A4125">
        <w:rPr>
          <w:rStyle w:val="Refdenotaalpie"/>
          <w:rFonts w:ascii="Arial" w:hAnsi="Arial" w:cs="Arial"/>
          <w:sz w:val="19"/>
          <w:szCs w:val="19"/>
        </w:rPr>
        <w:footnoteRef/>
      </w:r>
      <w:r w:rsidRPr="003A4125">
        <w:rPr>
          <w:rFonts w:ascii="Arial" w:hAnsi="Arial" w:cs="Arial"/>
          <w:sz w:val="19"/>
          <w:szCs w:val="19"/>
        </w:rPr>
        <w:t xml:space="preserve"> Concepto 1100000 - 84905 – 92892 del 8 de mayo de 2012.</w:t>
      </w:r>
    </w:p>
  </w:footnote>
  <w:footnote w:id="21">
    <w:p w14:paraId="1655EBDA" w14:textId="16CDF240" w:rsidR="001946FB" w:rsidRPr="001946FB" w:rsidRDefault="001946FB" w:rsidP="001946FB">
      <w:pPr>
        <w:pStyle w:val="Textocomentario"/>
        <w:ind w:firstLine="708"/>
        <w:jc w:val="both"/>
        <w:rPr>
          <w:rFonts w:ascii="Arial" w:hAnsi="Arial" w:cs="Arial"/>
          <w:sz w:val="19"/>
          <w:szCs w:val="19"/>
        </w:rPr>
      </w:pPr>
      <w:r w:rsidRPr="001946FB">
        <w:rPr>
          <w:rStyle w:val="Refdenotaalpie"/>
          <w:rFonts w:ascii="Arial" w:hAnsi="Arial" w:cs="Arial"/>
          <w:sz w:val="19"/>
          <w:szCs w:val="19"/>
        </w:rPr>
        <w:footnoteRef/>
      </w:r>
      <w:r w:rsidRPr="001946FB">
        <w:rPr>
          <w:rFonts w:ascii="Arial" w:hAnsi="Arial" w:cs="Arial"/>
          <w:sz w:val="19"/>
          <w:szCs w:val="19"/>
        </w:rPr>
        <w:t xml:space="preserve"> </w:t>
      </w:r>
      <w:r>
        <w:rPr>
          <w:rFonts w:ascii="Arial" w:hAnsi="Arial" w:cs="Arial"/>
          <w:sz w:val="19"/>
          <w:szCs w:val="19"/>
        </w:rPr>
        <w:t>En concordancia con las competencias dispuestas en el artículo 150, numeral 1, de la Constitución Política, el artículo 25 del Código Civil dispone que «</w:t>
      </w:r>
      <w:r w:rsidRPr="001946FB">
        <w:rPr>
          <w:rFonts w:ascii="Arial" w:hAnsi="Arial" w:cs="Arial"/>
          <w:sz w:val="19"/>
          <w:szCs w:val="19"/>
        </w:rPr>
        <w:t xml:space="preserve">La interpretación que se hace </w:t>
      </w:r>
      <w:r w:rsidRPr="001946FB">
        <w:rPr>
          <w:rFonts w:ascii="Arial" w:hAnsi="Arial" w:cs="Arial"/>
          <w:strike/>
          <w:sz w:val="19"/>
          <w:szCs w:val="19"/>
        </w:rPr>
        <w:t>con autoridad</w:t>
      </w:r>
      <w:r w:rsidRPr="001946FB">
        <w:rPr>
          <w:rFonts w:ascii="Arial" w:hAnsi="Arial" w:cs="Arial"/>
          <w:sz w:val="19"/>
          <w:szCs w:val="19"/>
        </w:rPr>
        <w:t xml:space="preserve"> para fijar el sentido de una ley oscura, de una manera general, </w:t>
      </w:r>
      <w:r w:rsidRPr="001946FB">
        <w:rPr>
          <w:rFonts w:ascii="Arial" w:hAnsi="Arial" w:cs="Arial"/>
          <w:strike/>
          <w:sz w:val="19"/>
          <w:szCs w:val="19"/>
        </w:rPr>
        <w:t>sólo</w:t>
      </w:r>
      <w:r w:rsidRPr="001946FB">
        <w:rPr>
          <w:rFonts w:ascii="Arial" w:hAnsi="Arial" w:cs="Arial"/>
          <w:sz w:val="19"/>
          <w:szCs w:val="19"/>
        </w:rPr>
        <w:t xml:space="preserve"> corresponde al legislador</w:t>
      </w:r>
      <w:r>
        <w:rPr>
          <w:rFonts w:ascii="Arial" w:hAnsi="Arial" w:cs="Arial"/>
          <w:sz w:val="19"/>
          <w:szCs w:val="19"/>
        </w:rPr>
        <w:t>»</w:t>
      </w:r>
      <w:r w:rsidRPr="001946FB">
        <w:rPr>
          <w:rFonts w:ascii="Arial" w:hAnsi="Arial" w:cs="Arial"/>
          <w:sz w:val="19"/>
          <w:szCs w:val="19"/>
        </w:rPr>
        <w:t>.</w:t>
      </w:r>
      <w:r>
        <w:rPr>
          <w:rFonts w:ascii="Arial" w:hAnsi="Arial" w:cs="Arial"/>
          <w:sz w:val="19"/>
          <w:szCs w:val="19"/>
        </w:rPr>
        <w:t xml:space="preserve"> </w:t>
      </w:r>
      <w:r w:rsidRPr="001946FB">
        <w:rPr>
          <w:rFonts w:ascii="Arial" w:hAnsi="Arial" w:cs="Arial"/>
          <w:sz w:val="19"/>
          <w:szCs w:val="19"/>
        </w:rPr>
        <w:t>Salvo las expresiones tachadas que fueron declaradas inexequibles condicionalmente por la Corte Constitucional, la Corporación declaró exequible este artículo en la Sentencia C-820 de 2006</w:t>
      </w:r>
      <w:r>
        <w:rPr>
          <w:rFonts w:ascii="Arial" w:hAnsi="Arial" w:cs="Arial"/>
          <w:sz w:val="19"/>
          <w:szCs w:val="19"/>
        </w:rPr>
        <w:t xml:space="preserve">, con ponencia del Magistrado </w:t>
      </w:r>
      <w:r w:rsidRPr="005F6FA2">
        <w:rPr>
          <w:rFonts w:ascii="Arial" w:hAnsi="Arial" w:cs="Arial"/>
          <w:sz w:val="19"/>
          <w:szCs w:val="19"/>
        </w:rPr>
        <w:t>Marco Gerardo Monroy Cabra</w:t>
      </w:r>
      <w:r w:rsidRPr="001946FB">
        <w:rPr>
          <w:rFonts w:ascii="Arial" w:hAnsi="Arial" w:cs="Arial"/>
          <w:sz w:val="19"/>
          <w:szCs w:val="19"/>
        </w:rPr>
        <w:t>).</w:t>
      </w:r>
    </w:p>
    <w:p w14:paraId="483E8E67" w14:textId="7945CEAD" w:rsidR="001946FB" w:rsidRPr="001946FB" w:rsidRDefault="001946FB" w:rsidP="001946FB">
      <w:pPr>
        <w:pStyle w:val="Textonotapie"/>
        <w:ind w:firstLine="708"/>
        <w:jc w:val="both"/>
        <w:rPr>
          <w:rFonts w:ascii="Arial" w:hAnsi="Arial" w:cs="Arial"/>
          <w:sz w:val="19"/>
          <w:szCs w:val="19"/>
          <w:lang w:val="es-ES"/>
        </w:rPr>
      </w:pPr>
    </w:p>
  </w:footnote>
  <w:footnote w:id="22">
    <w:p w14:paraId="1A0DEA3E" w14:textId="3879A483" w:rsidR="001946FB" w:rsidRPr="001946FB" w:rsidRDefault="001946FB" w:rsidP="001946FB">
      <w:pPr>
        <w:pStyle w:val="Textonotapie"/>
        <w:ind w:firstLine="708"/>
        <w:jc w:val="both"/>
        <w:rPr>
          <w:rFonts w:ascii="Arial" w:hAnsi="Arial" w:cs="Arial"/>
          <w:sz w:val="19"/>
          <w:szCs w:val="19"/>
          <w:lang w:val="es-ES"/>
        </w:rPr>
      </w:pPr>
      <w:r w:rsidRPr="001946FB">
        <w:rPr>
          <w:rStyle w:val="Refdenotaalpie"/>
          <w:rFonts w:ascii="Arial" w:hAnsi="Arial" w:cs="Arial"/>
          <w:sz w:val="19"/>
          <w:szCs w:val="19"/>
        </w:rPr>
        <w:footnoteRef/>
      </w:r>
      <w:r w:rsidRPr="001946FB">
        <w:rPr>
          <w:rFonts w:ascii="Arial" w:hAnsi="Arial" w:cs="Arial"/>
          <w:sz w:val="19"/>
          <w:szCs w:val="19"/>
        </w:rPr>
        <w:t xml:space="preserve"> </w:t>
      </w:r>
      <w:r>
        <w:rPr>
          <w:rFonts w:ascii="Arial" w:hAnsi="Arial" w:cs="Arial"/>
          <w:sz w:val="19"/>
          <w:szCs w:val="19"/>
        </w:rPr>
        <w:t>En este sentido, la jurisprudencia explica que «</w:t>
      </w:r>
      <w:r w:rsidRPr="00DA052E">
        <w:rPr>
          <w:rFonts w:ascii="Arial" w:hAnsi="Arial" w:cs="Arial"/>
          <w:sz w:val="19"/>
          <w:szCs w:val="19"/>
        </w:rPr>
        <w:t>En el Estado constitucional, la interpretación para fijar el sentido de una ley oscura, de una manera general, no es una facultad exclusiva del legislador, pues también está a cargo de la Corte Constitucional cuando ésta ejerce el control de constitucionalidad de la ley y fija el sentido válido de la misma</w:t>
      </w:r>
      <w:r>
        <w:rPr>
          <w:rFonts w:ascii="Arial" w:hAnsi="Arial" w:cs="Arial"/>
          <w:sz w:val="19"/>
          <w:szCs w:val="19"/>
        </w:rPr>
        <w:t xml:space="preserve">» (Corte Constitucional. </w:t>
      </w:r>
      <w:r w:rsidRPr="00DA052E">
        <w:rPr>
          <w:rFonts w:ascii="Arial" w:hAnsi="Arial" w:cs="Arial"/>
          <w:sz w:val="19"/>
          <w:szCs w:val="19"/>
        </w:rPr>
        <w:t>Sentencia C-820 de 2006</w:t>
      </w:r>
      <w:r>
        <w:rPr>
          <w:rFonts w:ascii="Arial" w:hAnsi="Arial" w:cs="Arial"/>
          <w:sz w:val="19"/>
          <w:szCs w:val="19"/>
        </w:rPr>
        <w:t xml:space="preserve">. M.P. </w:t>
      </w:r>
      <w:r w:rsidRPr="005F6FA2">
        <w:rPr>
          <w:rFonts w:ascii="Arial" w:hAnsi="Arial" w:cs="Arial"/>
          <w:sz w:val="19"/>
          <w:szCs w:val="19"/>
        </w:rPr>
        <w:t>Marco Gerardo Monroy Cabra</w:t>
      </w:r>
      <w:r>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1946FB" w:rsidRDefault="001946FB">
    <w:pPr>
      <w:pStyle w:val="Encabezado"/>
    </w:pPr>
    <w:r>
      <w:rPr>
        <w:noProof/>
        <w:lang w:val="es-ES_tradnl" w:eastAsia="es-ES_tradnl"/>
      </w:rPr>
      <w:drawing>
        <wp:anchor distT="0" distB="0" distL="114300" distR="114300" simplePos="0" relativeHeight="251659776"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8E2F504"/>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BC5E56"/>
    <w:multiLevelType w:val="hybridMultilevel"/>
    <w:tmpl w:val="2D80D0E0"/>
    <w:lvl w:ilvl="0" w:tplc="C2E44790">
      <w:start w:val="1"/>
      <w:numFmt w:val="lowerLetter"/>
      <w:lvlText w:val="%1)"/>
      <w:lvlJc w:val="left"/>
      <w:pPr>
        <w:ind w:left="1211" w:hanging="360"/>
      </w:pPr>
      <w:rPr>
        <w:rFonts w:hint="default"/>
        <w:b w:val="0"/>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AED4881"/>
    <w:multiLevelType w:val="hybridMultilevel"/>
    <w:tmpl w:val="9A16D9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0B90CDA"/>
    <w:multiLevelType w:val="hybridMultilevel"/>
    <w:tmpl w:val="F1A61CF0"/>
    <w:lvl w:ilvl="0" w:tplc="A7B2C88A">
      <w:start w:val="1"/>
      <w:numFmt w:val="lowerLetter"/>
      <w:lvlText w:val="%1)"/>
      <w:lvlJc w:val="left"/>
      <w:pPr>
        <w:ind w:left="1068" w:hanging="360"/>
      </w:pPr>
      <w:rPr>
        <w:rFonts w:eastAsiaTheme="minorHAnsi" w:hint="default"/>
        <w:b w:val="0"/>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88C0EAF"/>
    <w:multiLevelType w:val="hybridMultilevel"/>
    <w:tmpl w:val="0476A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7"/>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049"/>
    <w:rsid w:val="00001B31"/>
    <w:rsid w:val="00005156"/>
    <w:rsid w:val="00007060"/>
    <w:rsid w:val="00012451"/>
    <w:rsid w:val="00015278"/>
    <w:rsid w:val="0001647C"/>
    <w:rsid w:val="00016B91"/>
    <w:rsid w:val="000172BD"/>
    <w:rsid w:val="00020D7A"/>
    <w:rsid w:val="0002242D"/>
    <w:rsid w:val="00023BA0"/>
    <w:rsid w:val="00025773"/>
    <w:rsid w:val="00027C19"/>
    <w:rsid w:val="00034503"/>
    <w:rsid w:val="000362F9"/>
    <w:rsid w:val="0003777D"/>
    <w:rsid w:val="000460C0"/>
    <w:rsid w:val="000556D4"/>
    <w:rsid w:val="00061980"/>
    <w:rsid w:val="000622EA"/>
    <w:rsid w:val="00066A31"/>
    <w:rsid w:val="00066BF6"/>
    <w:rsid w:val="00066D01"/>
    <w:rsid w:val="000714A3"/>
    <w:rsid w:val="000716D5"/>
    <w:rsid w:val="0007204C"/>
    <w:rsid w:val="00076993"/>
    <w:rsid w:val="00081943"/>
    <w:rsid w:val="000835B7"/>
    <w:rsid w:val="00084290"/>
    <w:rsid w:val="00084A32"/>
    <w:rsid w:val="00087918"/>
    <w:rsid w:val="000920F0"/>
    <w:rsid w:val="00092640"/>
    <w:rsid w:val="00093BBF"/>
    <w:rsid w:val="000942EB"/>
    <w:rsid w:val="00096B92"/>
    <w:rsid w:val="000972F2"/>
    <w:rsid w:val="000A15EF"/>
    <w:rsid w:val="000A2D62"/>
    <w:rsid w:val="000A3D18"/>
    <w:rsid w:val="000A46B2"/>
    <w:rsid w:val="000A70B7"/>
    <w:rsid w:val="000B103F"/>
    <w:rsid w:val="000B2BAD"/>
    <w:rsid w:val="000B6017"/>
    <w:rsid w:val="000B70EA"/>
    <w:rsid w:val="000B7EB6"/>
    <w:rsid w:val="000C00F6"/>
    <w:rsid w:val="000C0FE0"/>
    <w:rsid w:val="000C1BA0"/>
    <w:rsid w:val="000C1D18"/>
    <w:rsid w:val="000C2755"/>
    <w:rsid w:val="000C27B6"/>
    <w:rsid w:val="000C3725"/>
    <w:rsid w:val="000C5863"/>
    <w:rsid w:val="000C660A"/>
    <w:rsid w:val="000D09E9"/>
    <w:rsid w:val="000E151F"/>
    <w:rsid w:val="000E1934"/>
    <w:rsid w:val="000E32DD"/>
    <w:rsid w:val="000E57AA"/>
    <w:rsid w:val="000E5B7B"/>
    <w:rsid w:val="000E6CFE"/>
    <w:rsid w:val="000F14E8"/>
    <w:rsid w:val="000F1F6F"/>
    <w:rsid w:val="00101355"/>
    <w:rsid w:val="00101585"/>
    <w:rsid w:val="00102135"/>
    <w:rsid w:val="00103915"/>
    <w:rsid w:val="00111BBD"/>
    <w:rsid w:val="00112CBD"/>
    <w:rsid w:val="00122B23"/>
    <w:rsid w:val="00124620"/>
    <w:rsid w:val="00124702"/>
    <w:rsid w:val="0012487F"/>
    <w:rsid w:val="001254E5"/>
    <w:rsid w:val="00127FB4"/>
    <w:rsid w:val="0013030F"/>
    <w:rsid w:val="00131E85"/>
    <w:rsid w:val="001327C6"/>
    <w:rsid w:val="00133FB0"/>
    <w:rsid w:val="00135A79"/>
    <w:rsid w:val="00136B20"/>
    <w:rsid w:val="00136E33"/>
    <w:rsid w:val="00137FFA"/>
    <w:rsid w:val="00141698"/>
    <w:rsid w:val="0014212D"/>
    <w:rsid w:val="0014668E"/>
    <w:rsid w:val="00150473"/>
    <w:rsid w:val="00151919"/>
    <w:rsid w:val="00152973"/>
    <w:rsid w:val="0015538A"/>
    <w:rsid w:val="0015639F"/>
    <w:rsid w:val="00161EB6"/>
    <w:rsid w:val="001625B3"/>
    <w:rsid w:val="00163183"/>
    <w:rsid w:val="00166B24"/>
    <w:rsid w:val="0016737A"/>
    <w:rsid w:val="00167D3A"/>
    <w:rsid w:val="001715FA"/>
    <w:rsid w:val="00171AA5"/>
    <w:rsid w:val="00174ED6"/>
    <w:rsid w:val="00184294"/>
    <w:rsid w:val="00186221"/>
    <w:rsid w:val="00186461"/>
    <w:rsid w:val="00186A8A"/>
    <w:rsid w:val="00190B5C"/>
    <w:rsid w:val="001923FE"/>
    <w:rsid w:val="001927EA"/>
    <w:rsid w:val="00193089"/>
    <w:rsid w:val="001946FB"/>
    <w:rsid w:val="0019564A"/>
    <w:rsid w:val="00195DBB"/>
    <w:rsid w:val="001A56A2"/>
    <w:rsid w:val="001A64D1"/>
    <w:rsid w:val="001A7B0C"/>
    <w:rsid w:val="001B0EAD"/>
    <w:rsid w:val="001B2A19"/>
    <w:rsid w:val="001B34EF"/>
    <w:rsid w:val="001B3CE2"/>
    <w:rsid w:val="001C4473"/>
    <w:rsid w:val="001C5231"/>
    <w:rsid w:val="001D631B"/>
    <w:rsid w:val="001D7061"/>
    <w:rsid w:val="001E0C6C"/>
    <w:rsid w:val="001E249B"/>
    <w:rsid w:val="001E384B"/>
    <w:rsid w:val="001E4627"/>
    <w:rsid w:val="001E79FF"/>
    <w:rsid w:val="001E7F64"/>
    <w:rsid w:val="001F0317"/>
    <w:rsid w:val="001F2C77"/>
    <w:rsid w:val="001F3610"/>
    <w:rsid w:val="001F49B8"/>
    <w:rsid w:val="002040B0"/>
    <w:rsid w:val="002048B9"/>
    <w:rsid w:val="00204F24"/>
    <w:rsid w:val="00206199"/>
    <w:rsid w:val="00207E01"/>
    <w:rsid w:val="00211860"/>
    <w:rsid w:val="00213199"/>
    <w:rsid w:val="00216E4D"/>
    <w:rsid w:val="0022745A"/>
    <w:rsid w:val="00231E5B"/>
    <w:rsid w:val="00234B84"/>
    <w:rsid w:val="0025328D"/>
    <w:rsid w:val="0025433E"/>
    <w:rsid w:val="002611D5"/>
    <w:rsid w:val="002724BD"/>
    <w:rsid w:val="00273BED"/>
    <w:rsid w:val="00276488"/>
    <w:rsid w:val="002809C2"/>
    <w:rsid w:val="00281F53"/>
    <w:rsid w:val="00283C88"/>
    <w:rsid w:val="00286596"/>
    <w:rsid w:val="00287445"/>
    <w:rsid w:val="002928A0"/>
    <w:rsid w:val="00293450"/>
    <w:rsid w:val="002935EC"/>
    <w:rsid w:val="002A11B0"/>
    <w:rsid w:val="002A417A"/>
    <w:rsid w:val="002B12B7"/>
    <w:rsid w:val="002B3AE9"/>
    <w:rsid w:val="002B4BDD"/>
    <w:rsid w:val="002B7237"/>
    <w:rsid w:val="002C4CB0"/>
    <w:rsid w:val="002C7FF6"/>
    <w:rsid w:val="002D4329"/>
    <w:rsid w:val="002D487E"/>
    <w:rsid w:val="002D68BF"/>
    <w:rsid w:val="002E0383"/>
    <w:rsid w:val="002E375C"/>
    <w:rsid w:val="002E46AB"/>
    <w:rsid w:val="002E75EE"/>
    <w:rsid w:val="002E7BC5"/>
    <w:rsid w:val="002E7C6A"/>
    <w:rsid w:val="002F2369"/>
    <w:rsid w:val="002F2852"/>
    <w:rsid w:val="0030098E"/>
    <w:rsid w:val="00300F87"/>
    <w:rsid w:val="00302B3B"/>
    <w:rsid w:val="003033BA"/>
    <w:rsid w:val="00314133"/>
    <w:rsid w:val="00325389"/>
    <w:rsid w:val="00326A3E"/>
    <w:rsid w:val="003308BA"/>
    <w:rsid w:val="00342280"/>
    <w:rsid w:val="003462C7"/>
    <w:rsid w:val="0034680A"/>
    <w:rsid w:val="0035058C"/>
    <w:rsid w:val="00360EDD"/>
    <w:rsid w:val="00362A25"/>
    <w:rsid w:val="00370500"/>
    <w:rsid w:val="00372BC6"/>
    <w:rsid w:val="003741C3"/>
    <w:rsid w:val="0037462F"/>
    <w:rsid w:val="0037658D"/>
    <w:rsid w:val="00382B7C"/>
    <w:rsid w:val="0038505E"/>
    <w:rsid w:val="00386456"/>
    <w:rsid w:val="00387538"/>
    <w:rsid w:val="00397D11"/>
    <w:rsid w:val="003A4125"/>
    <w:rsid w:val="003A581E"/>
    <w:rsid w:val="003B0003"/>
    <w:rsid w:val="003B27D1"/>
    <w:rsid w:val="003B2E60"/>
    <w:rsid w:val="003C173E"/>
    <w:rsid w:val="003C57ED"/>
    <w:rsid w:val="003C6C59"/>
    <w:rsid w:val="003D19A1"/>
    <w:rsid w:val="003D29C0"/>
    <w:rsid w:val="003D4B59"/>
    <w:rsid w:val="003D7167"/>
    <w:rsid w:val="003E238A"/>
    <w:rsid w:val="003E550F"/>
    <w:rsid w:val="003E6EDE"/>
    <w:rsid w:val="003E7BB5"/>
    <w:rsid w:val="003F3FB5"/>
    <w:rsid w:val="003F52AD"/>
    <w:rsid w:val="003F7473"/>
    <w:rsid w:val="003F7685"/>
    <w:rsid w:val="004002F0"/>
    <w:rsid w:val="0040320B"/>
    <w:rsid w:val="00404075"/>
    <w:rsid w:val="004041DC"/>
    <w:rsid w:val="0040673C"/>
    <w:rsid w:val="00407EBC"/>
    <w:rsid w:val="004108AC"/>
    <w:rsid w:val="004115E9"/>
    <w:rsid w:val="004164A1"/>
    <w:rsid w:val="00420A12"/>
    <w:rsid w:val="00421649"/>
    <w:rsid w:val="004233F3"/>
    <w:rsid w:val="00425F08"/>
    <w:rsid w:val="00431FBF"/>
    <w:rsid w:val="00434F7E"/>
    <w:rsid w:val="00437263"/>
    <w:rsid w:val="00437459"/>
    <w:rsid w:val="004422D6"/>
    <w:rsid w:val="00443E24"/>
    <w:rsid w:val="004459D1"/>
    <w:rsid w:val="00446789"/>
    <w:rsid w:val="00447246"/>
    <w:rsid w:val="00453E19"/>
    <w:rsid w:val="004549BD"/>
    <w:rsid w:val="0046011E"/>
    <w:rsid w:val="00464EA9"/>
    <w:rsid w:val="0046654C"/>
    <w:rsid w:val="00466E17"/>
    <w:rsid w:val="00474A17"/>
    <w:rsid w:val="00474C49"/>
    <w:rsid w:val="004755B2"/>
    <w:rsid w:val="00477439"/>
    <w:rsid w:val="00481A85"/>
    <w:rsid w:val="00482E45"/>
    <w:rsid w:val="0049255E"/>
    <w:rsid w:val="004935AA"/>
    <w:rsid w:val="00493D05"/>
    <w:rsid w:val="00494666"/>
    <w:rsid w:val="00494D25"/>
    <w:rsid w:val="004A34D2"/>
    <w:rsid w:val="004A571C"/>
    <w:rsid w:val="004B0D2E"/>
    <w:rsid w:val="004C14EB"/>
    <w:rsid w:val="004C1DEC"/>
    <w:rsid w:val="004C58AC"/>
    <w:rsid w:val="004C6821"/>
    <w:rsid w:val="004D0366"/>
    <w:rsid w:val="004D04B3"/>
    <w:rsid w:val="004D0D78"/>
    <w:rsid w:val="004D56A5"/>
    <w:rsid w:val="004E146B"/>
    <w:rsid w:val="004E48EF"/>
    <w:rsid w:val="004E5E36"/>
    <w:rsid w:val="004F3A2F"/>
    <w:rsid w:val="005003FA"/>
    <w:rsid w:val="005025EC"/>
    <w:rsid w:val="0051074C"/>
    <w:rsid w:val="00510AAC"/>
    <w:rsid w:val="00512ECF"/>
    <w:rsid w:val="0051365E"/>
    <w:rsid w:val="00513AF2"/>
    <w:rsid w:val="005150EE"/>
    <w:rsid w:val="005152EB"/>
    <w:rsid w:val="00522F29"/>
    <w:rsid w:val="005237C1"/>
    <w:rsid w:val="00524FF6"/>
    <w:rsid w:val="00527CAC"/>
    <w:rsid w:val="00530FD6"/>
    <w:rsid w:val="0053114F"/>
    <w:rsid w:val="00533B32"/>
    <w:rsid w:val="005347D0"/>
    <w:rsid w:val="00537B78"/>
    <w:rsid w:val="005410AD"/>
    <w:rsid w:val="00541157"/>
    <w:rsid w:val="00541360"/>
    <w:rsid w:val="0054413A"/>
    <w:rsid w:val="005468F5"/>
    <w:rsid w:val="005504E8"/>
    <w:rsid w:val="00551CE1"/>
    <w:rsid w:val="00554AF7"/>
    <w:rsid w:val="005564CA"/>
    <w:rsid w:val="00556F01"/>
    <w:rsid w:val="00561973"/>
    <w:rsid w:val="005631FD"/>
    <w:rsid w:val="00566672"/>
    <w:rsid w:val="00567364"/>
    <w:rsid w:val="00571534"/>
    <w:rsid w:val="00580F7A"/>
    <w:rsid w:val="00581D03"/>
    <w:rsid w:val="00582E16"/>
    <w:rsid w:val="00591DC2"/>
    <w:rsid w:val="00593FCA"/>
    <w:rsid w:val="005945EA"/>
    <w:rsid w:val="00597360"/>
    <w:rsid w:val="005A04E7"/>
    <w:rsid w:val="005A1225"/>
    <w:rsid w:val="005A262A"/>
    <w:rsid w:val="005B785D"/>
    <w:rsid w:val="005C1651"/>
    <w:rsid w:val="005C230E"/>
    <w:rsid w:val="005C3080"/>
    <w:rsid w:val="005D02C1"/>
    <w:rsid w:val="005D0D39"/>
    <w:rsid w:val="005D114F"/>
    <w:rsid w:val="005D36AA"/>
    <w:rsid w:val="005D3EBF"/>
    <w:rsid w:val="005D472F"/>
    <w:rsid w:val="005D6B45"/>
    <w:rsid w:val="005E17F1"/>
    <w:rsid w:val="005E7CD7"/>
    <w:rsid w:val="005F076A"/>
    <w:rsid w:val="005F3327"/>
    <w:rsid w:val="005F4E61"/>
    <w:rsid w:val="005F66B2"/>
    <w:rsid w:val="005F687B"/>
    <w:rsid w:val="005F6FA2"/>
    <w:rsid w:val="00602DAA"/>
    <w:rsid w:val="00604A92"/>
    <w:rsid w:val="00612EFD"/>
    <w:rsid w:val="0061730D"/>
    <w:rsid w:val="0062027E"/>
    <w:rsid w:val="00620B25"/>
    <w:rsid w:val="0062279A"/>
    <w:rsid w:val="00626766"/>
    <w:rsid w:val="006311DB"/>
    <w:rsid w:val="006316C6"/>
    <w:rsid w:val="0063488E"/>
    <w:rsid w:val="00634E46"/>
    <w:rsid w:val="00635BE6"/>
    <w:rsid w:val="0063748C"/>
    <w:rsid w:val="00640C08"/>
    <w:rsid w:val="00642A35"/>
    <w:rsid w:val="00646A1E"/>
    <w:rsid w:val="0065129F"/>
    <w:rsid w:val="00652E6F"/>
    <w:rsid w:val="00655371"/>
    <w:rsid w:val="00662755"/>
    <w:rsid w:val="00662AA8"/>
    <w:rsid w:val="006653F7"/>
    <w:rsid w:val="00666EB9"/>
    <w:rsid w:val="0066744E"/>
    <w:rsid w:val="006709A2"/>
    <w:rsid w:val="00677E33"/>
    <w:rsid w:val="006808DB"/>
    <w:rsid w:val="006822ED"/>
    <w:rsid w:val="00686641"/>
    <w:rsid w:val="00691522"/>
    <w:rsid w:val="00694584"/>
    <w:rsid w:val="006956E7"/>
    <w:rsid w:val="00696A12"/>
    <w:rsid w:val="00697665"/>
    <w:rsid w:val="006A0664"/>
    <w:rsid w:val="006A1CBA"/>
    <w:rsid w:val="006A5E7E"/>
    <w:rsid w:val="006A7FD0"/>
    <w:rsid w:val="006B17C4"/>
    <w:rsid w:val="006B1A0E"/>
    <w:rsid w:val="006B3828"/>
    <w:rsid w:val="006B45F3"/>
    <w:rsid w:val="006C22EC"/>
    <w:rsid w:val="006C38E8"/>
    <w:rsid w:val="006C3AA8"/>
    <w:rsid w:val="006D3F5E"/>
    <w:rsid w:val="006D6359"/>
    <w:rsid w:val="006D68A5"/>
    <w:rsid w:val="006D7687"/>
    <w:rsid w:val="006E04F9"/>
    <w:rsid w:val="006E0572"/>
    <w:rsid w:val="006E218C"/>
    <w:rsid w:val="006E2F73"/>
    <w:rsid w:val="006E39DB"/>
    <w:rsid w:val="006F5CE1"/>
    <w:rsid w:val="00700B53"/>
    <w:rsid w:val="00705631"/>
    <w:rsid w:val="00713821"/>
    <w:rsid w:val="00717F04"/>
    <w:rsid w:val="0072001B"/>
    <w:rsid w:val="0072020D"/>
    <w:rsid w:val="00722357"/>
    <w:rsid w:val="007243C4"/>
    <w:rsid w:val="00730851"/>
    <w:rsid w:val="00732283"/>
    <w:rsid w:val="00732E20"/>
    <w:rsid w:val="0073536E"/>
    <w:rsid w:val="00736612"/>
    <w:rsid w:val="00742DD2"/>
    <w:rsid w:val="00743848"/>
    <w:rsid w:val="007440C7"/>
    <w:rsid w:val="0074447C"/>
    <w:rsid w:val="00751B9D"/>
    <w:rsid w:val="0075647A"/>
    <w:rsid w:val="00757693"/>
    <w:rsid w:val="00762DF8"/>
    <w:rsid w:val="007634AD"/>
    <w:rsid w:val="0076404D"/>
    <w:rsid w:val="00765580"/>
    <w:rsid w:val="00771676"/>
    <w:rsid w:val="00771868"/>
    <w:rsid w:val="00771AFF"/>
    <w:rsid w:val="0077277B"/>
    <w:rsid w:val="007754CA"/>
    <w:rsid w:val="00776FB2"/>
    <w:rsid w:val="00777704"/>
    <w:rsid w:val="0078122E"/>
    <w:rsid w:val="00783166"/>
    <w:rsid w:val="007836C4"/>
    <w:rsid w:val="0078462A"/>
    <w:rsid w:val="00787B8A"/>
    <w:rsid w:val="00791C0E"/>
    <w:rsid w:val="007932A3"/>
    <w:rsid w:val="007932B8"/>
    <w:rsid w:val="007954A5"/>
    <w:rsid w:val="00795C9B"/>
    <w:rsid w:val="007A2433"/>
    <w:rsid w:val="007A2D91"/>
    <w:rsid w:val="007A3FFB"/>
    <w:rsid w:val="007A4EB0"/>
    <w:rsid w:val="007A7968"/>
    <w:rsid w:val="007B0854"/>
    <w:rsid w:val="007B0F6A"/>
    <w:rsid w:val="007B2F1D"/>
    <w:rsid w:val="007B36D3"/>
    <w:rsid w:val="007B6A3C"/>
    <w:rsid w:val="007B7018"/>
    <w:rsid w:val="007C09B3"/>
    <w:rsid w:val="007C0C92"/>
    <w:rsid w:val="007C0CCC"/>
    <w:rsid w:val="007C6A83"/>
    <w:rsid w:val="007C723B"/>
    <w:rsid w:val="007D28A1"/>
    <w:rsid w:val="007D3004"/>
    <w:rsid w:val="007D33DE"/>
    <w:rsid w:val="007D375A"/>
    <w:rsid w:val="007E0324"/>
    <w:rsid w:val="007E0A81"/>
    <w:rsid w:val="007E0FB3"/>
    <w:rsid w:val="007E75F9"/>
    <w:rsid w:val="007F25A8"/>
    <w:rsid w:val="007F3C2B"/>
    <w:rsid w:val="007F3E22"/>
    <w:rsid w:val="007F72CB"/>
    <w:rsid w:val="00803115"/>
    <w:rsid w:val="00806381"/>
    <w:rsid w:val="00810D3E"/>
    <w:rsid w:val="00811577"/>
    <w:rsid w:val="00812B27"/>
    <w:rsid w:val="0081304C"/>
    <w:rsid w:val="00816563"/>
    <w:rsid w:val="00817210"/>
    <w:rsid w:val="00821EA2"/>
    <w:rsid w:val="00822436"/>
    <w:rsid w:val="00826CB5"/>
    <w:rsid w:val="0083119B"/>
    <w:rsid w:val="008337E4"/>
    <w:rsid w:val="008343AF"/>
    <w:rsid w:val="00834B5D"/>
    <w:rsid w:val="00836EAB"/>
    <w:rsid w:val="0083703B"/>
    <w:rsid w:val="0085092D"/>
    <w:rsid w:val="00851E9A"/>
    <w:rsid w:val="0086284E"/>
    <w:rsid w:val="008773BB"/>
    <w:rsid w:val="00880FA3"/>
    <w:rsid w:val="00881418"/>
    <w:rsid w:val="00882315"/>
    <w:rsid w:val="008824CD"/>
    <w:rsid w:val="00884552"/>
    <w:rsid w:val="00886582"/>
    <w:rsid w:val="00890358"/>
    <w:rsid w:val="00897407"/>
    <w:rsid w:val="00897F70"/>
    <w:rsid w:val="008A1845"/>
    <w:rsid w:val="008A42EF"/>
    <w:rsid w:val="008A472C"/>
    <w:rsid w:val="008A664D"/>
    <w:rsid w:val="008B0AA4"/>
    <w:rsid w:val="008B2D49"/>
    <w:rsid w:val="008C0B90"/>
    <w:rsid w:val="008C4AF4"/>
    <w:rsid w:val="008D1706"/>
    <w:rsid w:val="008D5BD1"/>
    <w:rsid w:val="008D71F6"/>
    <w:rsid w:val="008E0D30"/>
    <w:rsid w:val="008E12EE"/>
    <w:rsid w:val="008E1C15"/>
    <w:rsid w:val="008E28A2"/>
    <w:rsid w:val="008E2924"/>
    <w:rsid w:val="008E5454"/>
    <w:rsid w:val="008E7495"/>
    <w:rsid w:val="008F277C"/>
    <w:rsid w:val="008F28C3"/>
    <w:rsid w:val="008F7DB3"/>
    <w:rsid w:val="00902D31"/>
    <w:rsid w:val="009047C5"/>
    <w:rsid w:val="00907140"/>
    <w:rsid w:val="00912B49"/>
    <w:rsid w:val="00912E23"/>
    <w:rsid w:val="00913B77"/>
    <w:rsid w:val="00914EB3"/>
    <w:rsid w:val="00915A80"/>
    <w:rsid w:val="0092177B"/>
    <w:rsid w:val="00921C93"/>
    <w:rsid w:val="00923335"/>
    <w:rsid w:val="00926A15"/>
    <w:rsid w:val="00927995"/>
    <w:rsid w:val="00930254"/>
    <w:rsid w:val="00930353"/>
    <w:rsid w:val="009311E9"/>
    <w:rsid w:val="009338CE"/>
    <w:rsid w:val="00934422"/>
    <w:rsid w:val="009354D3"/>
    <w:rsid w:val="00937202"/>
    <w:rsid w:val="0093788B"/>
    <w:rsid w:val="00940A85"/>
    <w:rsid w:val="00942649"/>
    <w:rsid w:val="00946AE6"/>
    <w:rsid w:val="00950143"/>
    <w:rsid w:val="0095385A"/>
    <w:rsid w:val="00953BB3"/>
    <w:rsid w:val="009575B9"/>
    <w:rsid w:val="009644A4"/>
    <w:rsid w:val="009654FC"/>
    <w:rsid w:val="0097086E"/>
    <w:rsid w:val="00972DC1"/>
    <w:rsid w:val="009760A8"/>
    <w:rsid w:val="00980317"/>
    <w:rsid w:val="00980B43"/>
    <w:rsid w:val="00984DF2"/>
    <w:rsid w:val="00985200"/>
    <w:rsid w:val="00986E16"/>
    <w:rsid w:val="009A4189"/>
    <w:rsid w:val="009B16A3"/>
    <w:rsid w:val="009B403D"/>
    <w:rsid w:val="009B503A"/>
    <w:rsid w:val="009B6E17"/>
    <w:rsid w:val="009C131F"/>
    <w:rsid w:val="009C14B6"/>
    <w:rsid w:val="009C3898"/>
    <w:rsid w:val="009C452A"/>
    <w:rsid w:val="009D049D"/>
    <w:rsid w:val="009D2AFF"/>
    <w:rsid w:val="009D3207"/>
    <w:rsid w:val="009E0B8A"/>
    <w:rsid w:val="009E0C7E"/>
    <w:rsid w:val="009E0E46"/>
    <w:rsid w:val="009E1E26"/>
    <w:rsid w:val="009E2162"/>
    <w:rsid w:val="009E6DB3"/>
    <w:rsid w:val="009F0AB8"/>
    <w:rsid w:val="009F3774"/>
    <w:rsid w:val="009F5F82"/>
    <w:rsid w:val="00A03EED"/>
    <w:rsid w:val="00A05D8C"/>
    <w:rsid w:val="00A05DA6"/>
    <w:rsid w:val="00A13CD2"/>
    <w:rsid w:val="00A17B66"/>
    <w:rsid w:val="00A20538"/>
    <w:rsid w:val="00A21EA9"/>
    <w:rsid w:val="00A22130"/>
    <w:rsid w:val="00A22A93"/>
    <w:rsid w:val="00A235AC"/>
    <w:rsid w:val="00A24560"/>
    <w:rsid w:val="00A2549D"/>
    <w:rsid w:val="00A3145C"/>
    <w:rsid w:val="00A33957"/>
    <w:rsid w:val="00A34468"/>
    <w:rsid w:val="00A34538"/>
    <w:rsid w:val="00A35C73"/>
    <w:rsid w:val="00A43E8E"/>
    <w:rsid w:val="00A44C5F"/>
    <w:rsid w:val="00A45772"/>
    <w:rsid w:val="00A514AE"/>
    <w:rsid w:val="00A52684"/>
    <w:rsid w:val="00A52C5B"/>
    <w:rsid w:val="00A55FFA"/>
    <w:rsid w:val="00A568E2"/>
    <w:rsid w:val="00A57463"/>
    <w:rsid w:val="00A639E3"/>
    <w:rsid w:val="00A642BC"/>
    <w:rsid w:val="00A65AD5"/>
    <w:rsid w:val="00A65B55"/>
    <w:rsid w:val="00A6602D"/>
    <w:rsid w:val="00A67077"/>
    <w:rsid w:val="00A67203"/>
    <w:rsid w:val="00A71490"/>
    <w:rsid w:val="00A71B85"/>
    <w:rsid w:val="00A76A74"/>
    <w:rsid w:val="00A76E9F"/>
    <w:rsid w:val="00A8041D"/>
    <w:rsid w:val="00A83633"/>
    <w:rsid w:val="00A86133"/>
    <w:rsid w:val="00A90118"/>
    <w:rsid w:val="00A92252"/>
    <w:rsid w:val="00A931D2"/>
    <w:rsid w:val="00AA442B"/>
    <w:rsid w:val="00AA5923"/>
    <w:rsid w:val="00AB4502"/>
    <w:rsid w:val="00AC12F3"/>
    <w:rsid w:val="00AC236B"/>
    <w:rsid w:val="00AC3EA8"/>
    <w:rsid w:val="00AC40BB"/>
    <w:rsid w:val="00AC4FAA"/>
    <w:rsid w:val="00AC646F"/>
    <w:rsid w:val="00AD06CE"/>
    <w:rsid w:val="00AD64C4"/>
    <w:rsid w:val="00AE09B5"/>
    <w:rsid w:val="00AE39B6"/>
    <w:rsid w:val="00AF154D"/>
    <w:rsid w:val="00AF6FCD"/>
    <w:rsid w:val="00B05013"/>
    <w:rsid w:val="00B05BF7"/>
    <w:rsid w:val="00B0697D"/>
    <w:rsid w:val="00B1177E"/>
    <w:rsid w:val="00B13BC2"/>
    <w:rsid w:val="00B15358"/>
    <w:rsid w:val="00B1784E"/>
    <w:rsid w:val="00B222C2"/>
    <w:rsid w:val="00B22E22"/>
    <w:rsid w:val="00B27674"/>
    <w:rsid w:val="00B32FAD"/>
    <w:rsid w:val="00B335CC"/>
    <w:rsid w:val="00B404AF"/>
    <w:rsid w:val="00B42C66"/>
    <w:rsid w:val="00B501C8"/>
    <w:rsid w:val="00B525CB"/>
    <w:rsid w:val="00B556D7"/>
    <w:rsid w:val="00B55759"/>
    <w:rsid w:val="00B61B94"/>
    <w:rsid w:val="00B63CB2"/>
    <w:rsid w:val="00B65DAE"/>
    <w:rsid w:val="00B70FBE"/>
    <w:rsid w:val="00B718BD"/>
    <w:rsid w:val="00B7578A"/>
    <w:rsid w:val="00B800CF"/>
    <w:rsid w:val="00B82B59"/>
    <w:rsid w:val="00B85B60"/>
    <w:rsid w:val="00B867ED"/>
    <w:rsid w:val="00B86E5D"/>
    <w:rsid w:val="00B91345"/>
    <w:rsid w:val="00B91DB6"/>
    <w:rsid w:val="00B92A72"/>
    <w:rsid w:val="00B942F0"/>
    <w:rsid w:val="00B972B1"/>
    <w:rsid w:val="00BA0362"/>
    <w:rsid w:val="00BA3902"/>
    <w:rsid w:val="00BA7AB4"/>
    <w:rsid w:val="00BB0273"/>
    <w:rsid w:val="00BB2313"/>
    <w:rsid w:val="00BC5833"/>
    <w:rsid w:val="00BC600B"/>
    <w:rsid w:val="00BC6A39"/>
    <w:rsid w:val="00BC6CB0"/>
    <w:rsid w:val="00BC7CB2"/>
    <w:rsid w:val="00BD247B"/>
    <w:rsid w:val="00BD2BBF"/>
    <w:rsid w:val="00BD78FE"/>
    <w:rsid w:val="00BD7CED"/>
    <w:rsid w:val="00BE083B"/>
    <w:rsid w:val="00BF077E"/>
    <w:rsid w:val="00BF5BE9"/>
    <w:rsid w:val="00C112B3"/>
    <w:rsid w:val="00C120FB"/>
    <w:rsid w:val="00C21B88"/>
    <w:rsid w:val="00C2219E"/>
    <w:rsid w:val="00C230A7"/>
    <w:rsid w:val="00C25B70"/>
    <w:rsid w:val="00C273E6"/>
    <w:rsid w:val="00C305DF"/>
    <w:rsid w:val="00C31C2A"/>
    <w:rsid w:val="00C33C1B"/>
    <w:rsid w:val="00C450A6"/>
    <w:rsid w:val="00C478FE"/>
    <w:rsid w:val="00C54360"/>
    <w:rsid w:val="00C65BC6"/>
    <w:rsid w:val="00C66254"/>
    <w:rsid w:val="00C71364"/>
    <w:rsid w:val="00C71EBB"/>
    <w:rsid w:val="00C727E6"/>
    <w:rsid w:val="00C73A35"/>
    <w:rsid w:val="00C82CD8"/>
    <w:rsid w:val="00C929BE"/>
    <w:rsid w:val="00C938AC"/>
    <w:rsid w:val="00C95CE7"/>
    <w:rsid w:val="00CA07A0"/>
    <w:rsid w:val="00CA28B2"/>
    <w:rsid w:val="00CA7C1E"/>
    <w:rsid w:val="00CB1C41"/>
    <w:rsid w:val="00CB4825"/>
    <w:rsid w:val="00CB7FD5"/>
    <w:rsid w:val="00CC00CD"/>
    <w:rsid w:val="00CC20B8"/>
    <w:rsid w:val="00CC296B"/>
    <w:rsid w:val="00CC356E"/>
    <w:rsid w:val="00CC39BD"/>
    <w:rsid w:val="00CC4AF2"/>
    <w:rsid w:val="00CC78AD"/>
    <w:rsid w:val="00CD3357"/>
    <w:rsid w:val="00CD4E7D"/>
    <w:rsid w:val="00CE2F6A"/>
    <w:rsid w:val="00CE51AE"/>
    <w:rsid w:val="00CF0BE1"/>
    <w:rsid w:val="00CF32CC"/>
    <w:rsid w:val="00CF7D4A"/>
    <w:rsid w:val="00D01AD2"/>
    <w:rsid w:val="00D04887"/>
    <w:rsid w:val="00D12510"/>
    <w:rsid w:val="00D125D8"/>
    <w:rsid w:val="00D13AEB"/>
    <w:rsid w:val="00D146A4"/>
    <w:rsid w:val="00D16E39"/>
    <w:rsid w:val="00D1707F"/>
    <w:rsid w:val="00D171B3"/>
    <w:rsid w:val="00D1783F"/>
    <w:rsid w:val="00D31A7E"/>
    <w:rsid w:val="00D3446D"/>
    <w:rsid w:val="00D36C85"/>
    <w:rsid w:val="00D3704A"/>
    <w:rsid w:val="00D47E14"/>
    <w:rsid w:val="00D52D73"/>
    <w:rsid w:val="00D538A7"/>
    <w:rsid w:val="00D54ABC"/>
    <w:rsid w:val="00D57FD3"/>
    <w:rsid w:val="00D60C9D"/>
    <w:rsid w:val="00D62332"/>
    <w:rsid w:val="00D63124"/>
    <w:rsid w:val="00D6503F"/>
    <w:rsid w:val="00D66920"/>
    <w:rsid w:val="00D67739"/>
    <w:rsid w:val="00D6781D"/>
    <w:rsid w:val="00D72E9D"/>
    <w:rsid w:val="00D72F8C"/>
    <w:rsid w:val="00D77376"/>
    <w:rsid w:val="00D82CE5"/>
    <w:rsid w:val="00D979FA"/>
    <w:rsid w:val="00DA052E"/>
    <w:rsid w:val="00DA05E2"/>
    <w:rsid w:val="00DA338C"/>
    <w:rsid w:val="00DA5AB1"/>
    <w:rsid w:val="00DB187E"/>
    <w:rsid w:val="00DB200E"/>
    <w:rsid w:val="00DB441A"/>
    <w:rsid w:val="00DB7FEE"/>
    <w:rsid w:val="00DC2F65"/>
    <w:rsid w:val="00DC3D2C"/>
    <w:rsid w:val="00DC6018"/>
    <w:rsid w:val="00DC62E5"/>
    <w:rsid w:val="00DC6AC9"/>
    <w:rsid w:val="00DC759C"/>
    <w:rsid w:val="00DD2F48"/>
    <w:rsid w:val="00DD4572"/>
    <w:rsid w:val="00DD49E3"/>
    <w:rsid w:val="00DD5D44"/>
    <w:rsid w:val="00DD735D"/>
    <w:rsid w:val="00DE2507"/>
    <w:rsid w:val="00DE2DF5"/>
    <w:rsid w:val="00DE3119"/>
    <w:rsid w:val="00DE37AD"/>
    <w:rsid w:val="00DE5AAF"/>
    <w:rsid w:val="00DE5DFC"/>
    <w:rsid w:val="00DE7F05"/>
    <w:rsid w:val="00DF02B6"/>
    <w:rsid w:val="00DF08DB"/>
    <w:rsid w:val="00DF1513"/>
    <w:rsid w:val="00DF236B"/>
    <w:rsid w:val="00DF3A85"/>
    <w:rsid w:val="00E021AA"/>
    <w:rsid w:val="00E023BC"/>
    <w:rsid w:val="00E03626"/>
    <w:rsid w:val="00E03788"/>
    <w:rsid w:val="00E069DD"/>
    <w:rsid w:val="00E108B5"/>
    <w:rsid w:val="00E12F0E"/>
    <w:rsid w:val="00E13AB8"/>
    <w:rsid w:val="00E140D1"/>
    <w:rsid w:val="00E15067"/>
    <w:rsid w:val="00E161D2"/>
    <w:rsid w:val="00E1636A"/>
    <w:rsid w:val="00E229B3"/>
    <w:rsid w:val="00E22C7C"/>
    <w:rsid w:val="00E26AD9"/>
    <w:rsid w:val="00E26B16"/>
    <w:rsid w:val="00E27588"/>
    <w:rsid w:val="00E33900"/>
    <w:rsid w:val="00E33B62"/>
    <w:rsid w:val="00E35809"/>
    <w:rsid w:val="00E37241"/>
    <w:rsid w:val="00E40250"/>
    <w:rsid w:val="00E50C59"/>
    <w:rsid w:val="00E532B0"/>
    <w:rsid w:val="00E53750"/>
    <w:rsid w:val="00E60AC9"/>
    <w:rsid w:val="00E65E97"/>
    <w:rsid w:val="00E6662F"/>
    <w:rsid w:val="00E71A51"/>
    <w:rsid w:val="00E72FB1"/>
    <w:rsid w:val="00E74FEA"/>
    <w:rsid w:val="00E80E49"/>
    <w:rsid w:val="00E818E7"/>
    <w:rsid w:val="00E81E25"/>
    <w:rsid w:val="00E84A42"/>
    <w:rsid w:val="00E87619"/>
    <w:rsid w:val="00E87B59"/>
    <w:rsid w:val="00E9098C"/>
    <w:rsid w:val="00E9406F"/>
    <w:rsid w:val="00E952BD"/>
    <w:rsid w:val="00E963FA"/>
    <w:rsid w:val="00E96BB0"/>
    <w:rsid w:val="00EA73F7"/>
    <w:rsid w:val="00EA7BBF"/>
    <w:rsid w:val="00EB10FC"/>
    <w:rsid w:val="00EB1B67"/>
    <w:rsid w:val="00EB2323"/>
    <w:rsid w:val="00EB3B91"/>
    <w:rsid w:val="00EB6755"/>
    <w:rsid w:val="00EC228A"/>
    <w:rsid w:val="00EC3A65"/>
    <w:rsid w:val="00EC3ADA"/>
    <w:rsid w:val="00EC5571"/>
    <w:rsid w:val="00ED1997"/>
    <w:rsid w:val="00ED3EC1"/>
    <w:rsid w:val="00ED40AB"/>
    <w:rsid w:val="00EE0AFC"/>
    <w:rsid w:val="00EE1DD8"/>
    <w:rsid w:val="00EE385D"/>
    <w:rsid w:val="00EE4811"/>
    <w:rsid w:val="00EF27DC"/>
    <w:rsid w:val="00EF5252"/>
    <w:rsid w:val="00EF7F78"/>
    <w:rsid w:val="00F00D9C"/>
    <w:rsid w:val="00F024DE"/>
    <w:rsid w:val="00F0509E"/>
    <w:rsid w:val="00F06982"/>
    <w:rsid w:val="00F107A9"/>
    <w:rsid w:val="00F10F3F"/>
    <w:rsid w:val="00F11991"/>
    <w:rsid w:val="00F1367B"/>
    <w:rsid w:val="00F16DB4"/>
    <w:rsid w:val="00F25909"/>
    <w:rsid w:val="00F3385C"/>
    <w:rsid w:val="00F371F8"/>
    <w:rsid w:val="00F43F0C"/>
    <w:rsid w:val="00F46F5A"/>
    <w:rsid w:val="00F4790E"/>
    <w:rsid w:val="00F51AA4"/>
    <w:rsid w:val="00F61A85"/>
    <w:rsid w:val="00F62DD5"/>
    <w:rsid w:val="00F6645F"/>
    <w:rsid w:val="00F7146B"/>
    <w:rsid w:val="00F718AB"/>
    <w:rsid w:val="00F72936"/>
    <w:rsid w:val="00F7435A"/>
    <w:rsid w:val="00F80EF1"/>
    <w:rsid w:val="00F821FC"/>
    <w:rsid w:val="00F82435"/>
    <w:rsid w:val="00F84899"/>
    <w:rsid w:val="00F85043"/>
    <w:rsid w:val="00F859F0"/>
    <w:rsid w:val="00F86B14"/>
    <w:rsid w:val="00F90131"/>
    <w:rsid w:val="00F927F1"/>
    <w:rsid w:val="00F94AEB"/>
    <w:rsid w:val="00F94EA0"/>
    <w:rsid w:val="00F9766C"/>
    <w:rsid w:val="00F97FCF"/>
    <w:rsid w:val="00FA314F"/>
    <w:rsid w:val="00FA4BD7"/>
    <w:rsid w:val="00FA5B21"/>
    <w:rsid w:val="00FA5D0A"/>
    <w:rsid w:val="00FA60C2"/>
    <w:rsid w:val="00FA61F4"/>
    <w:rsid w:val="00FA6B85"/>
    <w:rsid w:val="00FB0218"/>
    <w:rsid w:val="00FB2E3E"/>
    <w:rsid w:val="00FB51C9"/>
    <w:rsid w:val="00FB6D4E"/>
    <w:rsid w:val="00FB710A"/>
    <w:rsid w:val="00FC16B2"/>
    <w:rsid w:val="00FE141E"/>
    <w:rsid w:val="00FE4BD3"/>
    <w:rsid w:val="00FE5287"/>
    <w:rsid w:val="00FE7FF8"/>
    <w:rsid w:val="00FF0F06"/>
    <w:rsid w:val="00FF0FE0"/>
    <w:rsid w:val="00FF155F"/>
    <w:rsid w:val="00FF2575"/>
    <w:rsid w:val="197FC776"/>
    <w:rsid w:val="21519309"/>
    <w:rsid w:val="22780ED7"/>
    <w:rsid w:val="3C758499"/>
    <w:rsid w:val="453E67EF"/>
    <w:rsid w:val="4C34D6AC"/>
    <w:rsid w:val="67E8F7D8"/>
    <w:rsid w:val="751365A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rsid w:val="00DE2DF5"/>
    <w:rPr>
      <w:color w:val="605E5C"/>
      <w:shd w:val="clear" w:color="auto" w:fill="E1DFDD"/>
    </w:rPr>
  </w:style>
  <w:style w:type="paragraph" w:customStyle="1" w:styleId="Default">
    <w:name w:val="Default"/>
    <w:rsid w:val="00A7149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429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54107497">
      <w:bodyDiv w:val="1"/>
      <w:marLeft w:val="0"/>
      <w:marRight w:val="0"/>
      <w:marTop w:val="0"/>
      <w:marBottom w:val="0"/>
      <w:divBdr>
        <w:top w:val="none" w:sz="0" w:space="0" w:color="auto"/>
        <w:left w:val="none" w:sz="0" w:space="0" w:color="auto"/>
        <w:bottom w:val="none" w:sz="0" w:space="0" w:color="auto"/>
        <w:right w:val="none" w:sz="0" w:space="0" w:color="auto"/>
      </w:divBdr>
    </w:div>
    <w:div w:id="198205299">
      <w:bodyDiv w:val="1"/>
      <w:marLeft w:val="0"/>
      <w:marRight w:val="0"/>
      <w:marTop w:val="0"/>
      <w:marBottom w:val="0"/>
      <w:divBdr>
        <w:top w:val="none" w:sz="0" w:space="0" w:color="auto"/>
        <w:left w:val="none" w:sz="0" w:space="0" w:color="auto"/>
        <w:bottom w:val="none" w:sz="0" w:space="0" w:color="auto"/>
        <w:right w:val="none" w:sz="0" w:space="0" w:color="auto"/>
      </w:divBdr>
    </w:div>
    <w:div w:id="214120956">
      <w:bodyDiv w:val="1"/>
      <w:marLeft w:val="0"/>
      <w:marRight w:val="0"/>
      <w:marTop w:val="0"/>
      <w:marBottom w:val="0"/>
      <w:divBdr>
        <w:top w:val="none" w:sz="0" w:space="0" w:color="auto"/>
        <w:left w:val="none" w:sz="0" w:space="0" w:color="auto"/>
        <w:bottom w:val="none" w:sz="0" w:space="0" w:color="auto"/>
        <w:right w:val="none" w:sz="0" w:space="0" w:color="auto"/>
      </w:divBdr>
    </w:div>
    <w:div w:id="27906768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35253185">
      <w:bodyDiv w:val="1"/>
      <w:marLeft w:val="0"/>
      <w:marRight w:val="0"/>
      <w:marTop w:val="0"/>
      <w:marBottom w:val="0"/>
      <w:divBdr>
        <w:top w:val="none" w:sz="0" w:space="0" w:color="auto"/>
        <w:left w:val="none" w:sz="0" w:space="0" w:color="auto"/>
        <w:bottom w:val="none" w:sz="0" w:space="0" w:color="auto"/>
        <w:right w:val="none" w:sz="0" w:space="0" w:color="auto"/>
      </w:divBdr>
    </w:div>
    <w:div w:id="623270787">
      <w:bodyDiv w:val="1"/>
      <w:marLeft w:val="0"/>
      <w:marRight w:val="0"/>
      <w:marTop w:val="0"/>
      <w:marBottom w:val="0"/>
      <w:divBdr>
        <w:top w:val="none" w:sz="0" w:space="0" w:color="auto"/>
        <w:left w:val="none" w:sz="0" w:space="0" w:color="auto"/>
        <w:bottom w:val="none" w:sz="0" w:space="0" w:color="auto"/>
        <w:right w:val="none" w:sz="0" w:space="0" w:color="auto"/>
      </w:divBdr>
    </w:div>
    <w:div w:id="793138389">
      <w:bodyDiv w:val="1"/>
      <w:marLeft w:val="0"/>
      <w:marRight w:val="0"/>
      <w:marTop w:val="0"/>
      <w:marBottom w:val="0"/>
      <w:divBdr>
        <w:top w:val="none" w:sz="0" w:space="0" w:color="auto"/>
        <w:left w:val="none" w:sz="0" w:space="0" w:color="auto"/>
        <w:bottom w:val="none" w:sz="0" w:space="0" w:color="auto"/>
        <w:right w:val="none" w:sz="0" w:space="0" w:color="auto"/>
      </w:divBdr>
    </w:div>
    <w:div w:id="1001391864">
      <w:bodyDiv w:val="1"/>
      <w:marLeft w:val="0"/>
      <w:marRight w:val="0"/>
      <w:marTop w:val="0"/>
      <w:marBottom w:val="0"/>
      <w:divBdr>
        <w:top w:val="none" w:sz="0" w:space="0" w:color="auto"/>
        <w:left w:val="none" w:sz="0" w:space="0" w:color="auto"/>
        <w:bottom w:val="none" w:sz="0" w:space="0" w:color="auto"/>
        <w:right w:val="none" w:sz="0" w:space="0" w:color="auto"/>
      </w:divBdr>
    </w:div>
    <w:div w:id="1335571700">
      <w:bodyDiv w:val="1"/>
      <w:marLeft w:val="0"/>
      <w:marRight w:val="0"/>
      <w:marTop w:val="0"/>
      <w:marBottom w:val="0"/>
      <w:divBdr>
        <w:top w:val="none" w:sz="0" w:space="0" w:color="auto"/>
        <w:left w:val="none" w:sz="0" w:space="0" w:color="auto"/>
        <w:bottom w:val="none" w:sz="0" w:space="0" w:color="auto"/>
        <w:right w:val="none" w:sz="0" w:space="0" w:color="auto"/>
      </w:divBdr>
    </w:div>
    <w:div w:id="1514102197">
      <w:bodyDiv w:val="1"/>
      <w:marLeft w:val="0"/>
      <w:marRight w:val="0"/>
      <w:marTop w:val="0"/>
      <w:marBottom w:val="0"/>
      <w:divBdr>
        <w:top w:val="none" w:sz="0" w:space="0" w:color="auto"/>
        <w:left w:val="none" w:sz="0" w:space="0" w:color="auto"/>
        <w:bottom w:val="none" w:sz="0" w:space="0" w:color="auto"/>
        <w:right w:val="none" w:sz="0" w:space="0" w:color="auto"/>
      </w:divBdr>
    </w:div>
    <w:div w:id="1803378425">
      <w:bodyDiv w:val="1"/>
      <w:marLeft w:val="0"/>
      <w:marRight w:val="0"/>
      <w:marTop w:val="0"/>
      <w:marBottom w:val="0"/>
      <w:divBdr>
        <w:top w:val="none" w:sz="0" w:space="0" w:color="auto"/>
        <w:left w:val="none" w:sz="0" w:space="0" w:color="auto"/>
        <w:bottom w:val="none" w:sz="0" w:space="0" w:color="auto"/>
        <w:right w:val="none" w:sz="0" w:space="0" w:color="auto"/>
      </w:divBdr>
    </w:div>
    <w:div w:id="19107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issuu.com/estudiolegalhernandez/docs/ahb._funci__n_consultiva_y_consejo_" TargetMode="External"/><Relationship Id="rId1" Type="http://schemas.openxmlformats.org/officeDocument/2006/relationships/hyperlink" Target="https://issuu.com/estudiolegalhernandez/docs/ahb._funci__n_consultiva_y_consejo_"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B8217E2-3FFF-BC49-9CE1-82CA7A93379D}">
  <ds:schemaRefs>
    <ds:schemaRef ds:uri="http://schemas.openxmlformats.org/officeDocument/2006/bibliography"/>
  </ds:schemaRefs>
</ds:datastoreItem>
</file>

<file path=customXml/itemProps4.xml><?xml version="1.0" encoding="utf-8"?>
<ds:datastoreItem xmlns:ds="http://schemas.openxmlformats.org/officeDocument/2006/customXml" ds:itemID="{6A7FD9A3-45AB-463E-A4F2-1EA97B18F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23</Pages>
  <Words>9050</Words>
  <Characters>49781</Characters>
  <Application>Microsoft Office Word</Application>
  <DocSecurity>0</DocSecurity>
  <Lines>414</Lines>
  <Paragraphs>117</Paragraphs>
  <ScaleCrop>false</ScaleCrop>
  <Company/>
  <LinksUpToDate>false</LinksUpToDate>
  <CharactersWithSpaces>58714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14</cp:revision>
  <cp:lastPrinted>2020-04-27T16:05:00Z</cp:lastPrinted>
  <dcterms:created xsi:type="dcterms:W3CDTF">2020-06-11T15:19:00Z</dcterms:created>
  <dcterms:modified xsi:type="dcterms:W3CDTF">2020-08-04T12:33:00Z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