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8FE72B" w14:textId="77777777" w:rsidR="008E7F5C" w:rsidRPr="008E7F5C" w:rsidRDefault="008E7F5C" w:rsidP="008E7F5C">
      <w:pPr>
        <w:spacing w:after="0" w:line="240" w:lineRule="auto"/>
        <w:jc w:val="both"/>
        <w:rPr>
          <w:rFonts w:ascii="Arial" w:eastAsia="Calibri" w:hAnsi="Arial" w:cs="Arial"/>
          <w:b/>
          <w:bCs/>
          <w:kern w:val="0"/>
          <w:lang w:eastAsia="es-CO"/>
          <w14:ligatures w14:val="none"/>
        </w:rPr>
      </w:pPr>
      <w:bookmarkStart w:id="0" w:name="_Hlk140827234"/>
      <w:bookmarkStart w:id="1" w:name="_Hlk141863155"/>
      <w:bookmarkStart w:id="2" w:name="_Hlk141863246"/>
      <w:r w:rsidRPr="008E7F5C">
        <w:rPr>
          <w:rFonts w:ascii="Arial" w:eastAsia="Calibri" w:hAnsi="Arial" w:cs="Arial"/>
          <w:b/>
          <w:bCs/>
          <w:kern w:val="0"/>
          <w:lang w:eastAsia="es-ES_tradnl"/>
          <w14:ligatures w14:val="none"/>
        </w:rPr>
        <w:t xml:space="preserve">COLOMBIA COMPRA EFICIENTE </w:t>
      </w:r>
      <w:bookmarkStart w:id="3" w:name="_Hlk140044303"/>
      <w:r w:rsidRPr="008E7F5C">
        <w:rPr>
          <w:rFonts w:ascii="Arial" w:eastAsia="Calibri" w:hAnsi="Arial" w:cs="Arial"/>
          <w:b/>
          <w:kern w:val="0"/>
          <w:lang w:eastAsia="es-ES_tradnl"/>
          <w14:ligatures w14:val="none"/>
        </w:rPr>
        <w:t>–</w:t>
      </w:r>
      <w:bookmarkEnd w:id="3"/>
      <w:r w:rsidRPr="008E7F5C">
        <w:rPr>
          <w:rFonts w:ascii="Arial" w:eastAsia="Calibri" w:hAnsi="Arial" w:cs="Arial"/>
          <w:b/>
          <w:bCs/>
          <w:kern w:val="0"/>
          <w:lang w:eastAsia="es-ES_tradnl"/>
          <w14:ligatures w14:val="none"/>
        </w:rPr>
        <w:t xml:space="preserve"> Competencia Consultiva </w:t>
      </w:r>
      <w:bookmarkStart w:id="4" w:name="_Hlk140036003"/>
      <w:r w:rsidRPr="008E7F5C">
        <w:rPr>
          <w:rFonts w:ascii="Arial" w:eastAsia="Calibri" w:hAnsi="Arial" w:cs="Arial"/>
          <w:b/>
          <w:bCs/>
          <w:kern w:val="0"/>
          <w:lang w:eastAsia="es-ES_tradnl"/>
          <w14:ligatures w14:val="none"/>
        </w:rPr>
        <w:t>–</w:t>
      </w:r>
      <w:bookmarkEnd w:id="4"/>
      <w:r w:rsidRPr="008E7F5C">
        <w:rPr>
          <w:rFonts w:ascii="Arial" w:eastAsia="Calibri" w:hAnsi="Arial" w:cs="Arial"/>
          <w:b/>
          <w:bCs/>
          <w:kern w:val="0"/>
          <w:lang w:eastAsia="es-ES_tradnl"/>
          <w14:ligatures w14:val="none"/>
        </w:rPr>
        <w:t xml:space="preserve"> Contratación Estatal – Normas Generales</w:t>
      </w:r>
    </w:p>
    <w:p w14:paraId="4FA4509C" w14:textId="77777777" w:rsidR="008E7F5C" w:rsidRPr="008E7F5C" w:rsidRDefault="008E7F5C" w:rsidP="008E7F5C">
      <w:pPr>
        <w:spacing w:after="0" w:line="240" w:lineRule="auto"/>
        <w:jc w:val="both"/>
        <w:rPr>
          <w:rFonts w:ascii="Arial" w:eastAsia="Times New Roman" w:hAnsi="Arial" w:cs="Arial"/>
          <w:bCs/>
          <w:kern w:val="0"/>
          <w:sz w:val="20"/>
          <w:szCs w:val="20"/>
          <w:lang w:eastAsia="es-ES_tradnl"/>
          <w14:ligatures w14:val="none"/>
        </w:rPr>
      </w:pPr>
    </w:p>
    <w:p w14:paraId="6DB55167" w14:textId="255D4720" w:rsidR="008E7F5C" w:rsidRPr="008E7F5C" w:rsidRDefault="00FE7A30" w:rsidP="008E7F5C">
      <w:pPr>
        <w:spacing w:after="120" w:line="240" w:lineRule="auto"/>
        <w:jc w:val="both"/>
        <w:rPr>
          <w:rFonts w:ascii="Arial" w:eastAsia="Times New Roman" w:hAnsi="Arial" w:cs="Arial"/>
          <w:bCs/>
          <w:kern w:val="0"/>
          <w:sz w:val="20"/>
          <w:szCs w:val="20"/>
          <w:lang w:eastAsia="es-ES_tradnl"/>
          <w14:ligatures w14:val="none"/>
        </w:rPr>
      </w:pPr>
      <w:r>
        <w:rPr>
          <w:rFonts w:ascii="Arial" w:eastAsia="Times New Roman" w:hAnsi="Arial" w:cs="Arial"/>
          <w:bCs/>
          <w:kern w:val="0"/>
          <w:sz w:val="20"/>
          <w:szCs w:val="20"/>
          <w:lang w:eastAsia="es-ES_tradnl"/>
          <w14:ligatures w14:val="none"/>
        </w:rPr>
        <w:t>“</w:t>
      </w:r>
      <w:r w:rsidR="008E7F5C" w:rsidRPr="008E7F5C">
        <w:rPr>
          <w:rFonts w:ascii="Arial" w:eastAsia="Times New Roman" w:hAnsi="Arial" w:cs="Arial"/>
          <w:bCs/>
          <w:kern w:val="0"/>
          <w:sz w:val="20"/>
          <w:szCs w:val="20"/>
          <w:lang w:eastAsia="es-ES_tradnl"/>
          <w14:ligatures w14:val="none"/>
        </w:rPr>
        <w:t>Debe tenerse en cuenta que esta entidad solo tiene competencia para responder solicitudes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concretos de todos los partícipes de la contratación estatal ni para asesorar procesos de contratación.</w:t>
      </w:r>
    </w:p>
    <w:p w14:paraId="6000C95D" w14:textId="0204D13F" w:rsidR="008E7F5C" w:rsidRPr="008E7F5C" w:rsidRDefault="008E7F5C" w:rsidP="008E7F5C">
      <w:pPr>
        <w:spacing w:after="0" w:line="240" w:lineRule="auto"/>
        <w:jc w:val="both"/>
        <w:rPr>
          <w:rFonts w:ascii="Arial" w:eastAsia="Times New Roman" w:hAnsi="Arial" w:cs="Arial"/>
          <w:bCs/>
          <w:kern w:val="0"/>
          <w:sz w:val="20"/>
          <w:szCs w:val="20"/>
          <w:lang w:eastAsia="es-ES_tradnl"/>
          <w14:ligatures w14:val="none"/>
        </w:rPr>
      </w:pPr>
      <w:r w:rsidRPr="008E7F5C">
        <w:rPr>
          <w:rFonts w:ascii="Arial" w:eastAsia="Times New Roman" w:hAnsi="Arial" w:cs="Arial"/>
          <w:bCs/>
          <w:kern w:val="0"/>
          <w:sz w:val="20"/>
          <w:szCs w:val="20"/>
          <w:lang w:eastAsia="es-ES_tradnl"/>
          <w14:ligatures w14:val="none"/>
        </w:rPr>
        <w:t>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Por lo anterior, previo concepto de sus órganos asesores, la solución de estos temas corresponde a la entidad que adelanta el procedimiento de selección y, en caso de conflicto, a las autoridades judiciales, fiscales y disciplinarias, según corresponda</w:t>
      </w:r>
      <w:r w:rsidR="00FE7A30">
        <w:rPr>
          <w:rFonts w:ascii="Arial" w:eastAsia="Times New Roman" w:hAnsi="Arial" w:cs="Arial"/>
          <w:bCs/>
          <w:kern w:val="0"/>
          <w:sz w:val="20"/>
          <w:szCs w:val="20"/>
          <w:lang w:eastAsia="es-ES_tradnl"/>
          <w14:ligatures w14:val="none"/>
        </w:rPr>
        <w:t>”</w:t>
      </w:r>
      <w:r w:rsidRPr="008E7F5C">
        <w:rPr>
          <w:rFonts w:ascii="Arial" w:eastAsia="Times New Roman" w:hAnsi="Arial" w:cs="Arial"/>
          <w:bCs/>
          <w:kern w:val="0"/>
          <w:sz w:val="20"/>
          <w:szCs w:val="20"/>
          <w:lang w:eastAsia="es-ES_tradnl"/>
          <w14:ligatures w14:val="none"/>
        </w:rPr>
        <w:t>.</w:t>
      </w:r>
    </w:p>
    <w:p w14:paraId="670AF6A2" w14:textId="77777777" w:rsidR="00B875C9" w:rsidRDefault="00B875C9" w:rsidP="00B875C9">
      <w:pPr>
        <w:spacing w:after="0" w:line="240" w:lineRule="auto"/>
        <w:jc w:val="both"/>
        <w:rPr>
          <w:rFonts w:ascii="Times New Roman" w:eastAsia="Times New Roman" w:hAnsi="Times New Roman" w:cs="Times New Roman"/>
          <w:kern w:val="0"/>
          <w:sz w:val="24"/>
          <w:szCs w:val="24"/>
          <w:highlight w:val="yellow"/>
          <w:lang w:eastAsia="es-ES_tradnl"/>
          <w14:ligatures w14:val="none"/>
        </w:rPr>
      </w:pPr>
    </w:p>
    <w:p w14:paraId="75DC4E36" w14:textId="36C23509" w:rsidR="000D31B8" w:rsidRDefault="000D31B8" w:rsidP="000D31B8">
      <w:pPr>
        <w:spacing w:after="120" w:line="276" w:lineRule="auto"/>
        <w:jc w:val="both"/>
        <w:rPr>
          <w:rFonts w:ascii="Arial" w:eastAsia="Calibri" w:hAnsi="Arial" w:cs="Arial"/>
          <w:b/>
          <w:kern w:val="0"/>
          <w:szCs w:val="24"/>
          <w:lang w:val="es-ES_tradnl" w:eastAsia="es-CO"/>
          <w14:ligatures w14:val="none"/>
        </w:rPr>
      </w:pPr>
      <w:r>
        <w:rPr>
          <w:rFonts w:ascii="Arial" w:eastAsia="Times New Roman" w:hAnsi="Arial" w:cs="Arial"/>
          <w:b/>
          <w:bCs/>
          <w:kern w:val="0"/>
          <w:szCs w:val="24"/>
          <w:lang w:eastAsia="es-ES_tradnl"/>
          <w14:ligatures w14:val="none"/>
        </w:rPr>
        <w:t>EMPRENDIMIENTOS Y EMPRESAS DE MUJERES EN EL DECRETO 1860 DE 2021</w:t>
      </w:r>
      <w:r w:rsidR="00495606">
        <w:rPr>
          <w:rFonts w:ascii="Arial" w:eastAsia="Times New Roman" w:hAnsi="Arial" w:cs="Arial"/>
          <w:b/>
          <w:bCs/>
          <w:kern w:val="0"/>
          <w:szCs w:val="24"/>
          <w:lang w:eastAsia="es-ES_tradnl"/>
          <w14:ligatures w14:val="none"/>
        </w:rPr>
        <w:t xml:space="preserve"> </w:t>
      </w:r>
      <w:r w:rsidR="00495606" w:rsidRPr="008E7F5C">
        <w:rPr>
          <w:rFonts w:ascii="Arial" w:eastAsia="Calibri" w:hAnsi="Arial" w:cs="Arial"/>
          <w:b/>
          <w:bCs/>
          <w:kern w:val="0"/>
          <w:lang w:eastAsia="es-ES_tradnl"/>
          <w14:ligatures w14:val="none"/>
        </w:rPr>
        <w:t>–</w:t>
      </w:r>
      <w:r w:rsidR="00495606">
        <w:rPr>
          <w:rFonts w:ascii="Arial" w:eastAsia="Calibri" w:hAnsi="Arial" w:cs="Arial"/>
          <w:b/>
          <w:bCs/>
          <w:kern w:val="0"/>
          <w:lang w:eastAsia="es-ES_tradnl"/>
          <w14:ligatures w14:val="none"/>
        </w:rPr>
        <w:t xml:space="preserve"> Vigencia y definición reglamentaria</w:t>
      </w:r>
    </w:p>
    <w:p w14:paraId="1E87BC99" w14:textId="77777777" w:rsidR="00495606" w:rsidRDefault="00495606" w:rsidP="00495606">
      <w:pPr>
        <w:spacing w:after="0" w:line="240" w:lineRule="auto"/>
        <w:jc w:val="both"/>
        <w:rPr>
          <w:rFonts w:ascii="Arial" w:eastAsia="Times New Roman" w:hAnsi="Arial" w:cs="Arial"/>
          <w:color w:val="000000"/>
          <w:kern w:val="0"/>
          <w:sz w:val="20"/>
          <w:szCs w:val="20"/>
          <w:shd w:val="clear" w:color="auto" w:fill="FFFFFF"/>
          <w:lang w:eastAsia="es-ES_tradnl"/>
          <w14:ligatures w14:val="none"/>
        </w:rPr>
      </w:pPr>
      <w:r>
        <w:rPr>
          <w:rFonts w:ascii="Arial" w:hAnsi="Arial" w:cs="Arial"/>
          <w:kern w:val="0"/>
          <w:sz w:val="20"/>
          <w:szCs w:val="20"/>
          <w:lang w:val="es-MX"/>
          <w14:ligatures w14:val="none"/>
        </w:rPr>
        <w:t>“</w:t>
      </w:r>
      <w:r w:rsidR="000D31B8" w:rsidRPr="00495606">
        <w:rPr>
          <w:rFonts w:ascii="Arial" w:hAnsi="Arial" w:cs="Arial"/>
          <w:kern w:val="0"/>
          <w:sz w:val="20"/>
          <w:szCs w:val="20"/>
          <w:lang w:val="es-MX"/>
          <w14:ligatures w14:val="none"/>
        </w:rPr>
        <w:t>A</w:t>
      </w:r>
      <w:r w:rsidR="000D31B8" w:rsidRPr="00B868BF">
        <w:rPr>
          <w:rFonts w:ascii="Arial" w:hAnsi="Arial" w:cs="Arial"/>
          <w:kern w:val="0"/>
          <w:sz w:val="20"/>
          <w:szCs w:val="20"/>
          <w:lang w:val="es-MX"/>
          <w14:ligatures w14:val="none"/>
        </w:rPr>
        <w:t xml:space="preserve"> través del artículo 32 de la Ley 2069 de 2020 “</w:t>
      </w:r>
      <w:r w:rsidR="000D31B8" w:rsidRPr="00495606">
        <w:rPr>
          <w:rFonts w:ascii="Arial" w:hAnsi="Arial" w:cs="Arial"/>
          <w:kern w:val="0"/>
          <w:sz w:val="20"/>
          <w:szCs w:val="20"/>
          <w:lang w:val="es-MX"/>
          <w14:ligatures w14:val="none"/>
        </w:rPr>
        <w:t>[p]</w:t>
      </w:r>
      <w:r w:rsidR="000D31B8" w:rsidRPr="00B868BF">
        <w:rPr>
          <w:rFonts w:ascii="Arial" w:hAnsi="Arial" w:cs="Arial"/>
          <w:kern w:val="0"/>
          <w:sz w:val="20"/>
          <w:szCs w:val="20"/>
          <w:lang w:val="es-MX"/>
          <w14:ligatures w14:val="none"/>
        </w:rPr>
        <w:t>or medio de la cual se impulsa el emprendimiento en Colombia”, se establecieron una serie de criterios diferenciales para promover la vinculación de emprendimientos y empresas de mujeres al sistema de compras públicas.</w:t>
      </w:r>
    </w:p>
    <w:p w14:paraId="3752DB6F" w14:textId="77777777" w:rsidR="00495606" w:rsidRDefault="00495606" w:rsidP="00495606">
      <w:pPr>
        <w:spacing w:after="0" w:line="240" w:lineRule="auto"/>
        <w:jc w:val="both"/>
        <w:rPr>
          <w:rFonts w:ascii="Arial" w:eastAsia="Times New Roman" w:hAnsi="Arial" w:cs="Arial"/>
          <w:color w:val="000000"/>
          <w:kern w:val="0"/>
          <w:sz w:val="20"/>
          <w:szCs w:val="20"/>
          <w:shd w:val="clear" w:color="auto" w:fill="FFFFFF"/>
          <w:lang w:eastAsia="es-ES_tradnl"/>
          <w14:ligatures w14:val="none"/>
        </w:rPr>
      </w:pPr>
    </w:p>
    <w:p w14:paraId="5C1622AE" w14:textId="77777777" w:rsidR="00495606" w:rsidRDefault="000D31B8" w:rsidP="00495606">
      <w:pPr>
        <w:spacing w:after="0" w:line="240" w:lineRule="auto"/>
        <w:jc w:val="both"/>
        <w:rPr>
          <w:rFonts w:ascii="Arial" w:hAnsi="Arial" w:cs="Arial"/>
          <w:kern w:val="0"/>
          <w:sz w:val="20"/>
          <w:szCs w:val="20"/>
          <w:lang w:val="es-MX"/>
          <w14:ligatures w14:val="none"/>
        </w:rPr>
      </w:pPr>
      <w:r w:rsidRPr="00B868BF">
        <w:rPr>
          <w:rFonts w:ascii="Arial" w:hAnsi="Arial" w:cs="Arial"/>
          <w:kern w:val="0"/>
          <w:sz w:val="20"/>
          <w:szCs w:val="20"/>
          <w:lang w:val="es-MX"/>
          <w14:ligatures w14:val="none"/>
        </w:rPr>
        <w:t>Según el precepto en cita, “</w:t>
      </w:r>
      <w:r w:rsidRPr="00495606">
        <w:rPr>
          <w:rFonts w:ascii="Arial" w:hAnsi="Arial" w:cs="Arial"/>
          <w:kern w:val="0"/>
          <w:sz w:val="20"/>
          <w:szCs w:val="20"/>
          <w:lang w:val="es-MX"/>
          <w14:ligatures w14:val="none"/>
        </w:rPr>
        <w:t>[d]</w:t>
      </w:r>
      <w:r w:rsidRPr="00B868BF">
        <w:rPr>
          <w:rFonts w:ascii="Arial" w:hAnsi="Arial" w:cs="Arial"/>
          <w:kern w:val="0"/>
          <w:sz w:val="20"/>
          <w:szCs w:val="20"/>
          <w:lang w:val="es-MX"/>
          <w14:ligatures w14:val="none"/>
        </w:rPr>
        <w:t xml:space="preserve">e acuerdo con el resultado del análisis del sector, las entidades estatales incluirán requisitos diferenciales y puntajes adicionales en los procesos de licitación pública, selección abreviada de menor cuantía y concurso de méritos, así como en los procesos competitivos que adelanten las entidades estatales que no apliquen en su gestión contractual el Estatuto General de Contratación Administrativa, </w:t>
      </w:r>
      <w:r w:rsidRPr="00B868BF">
        <w:rPr>
          <w:rFonts w:ascii="Arial" w:hAnsi="Arial" w:cs="Arial"/>
          <w:i/>
          <w:iCs/>
          <w:kern w:val="0"/>
          <w:sz w:val="20"/>
          <w:szCs w:val="20"/>
          <w:lang w:val="es-MX"/>
          <w14:ligatures w14:val="none"/>
        </w:rPr>
        <w:t>como medidas de acción afirmativa, para incentivar emprendimientos y empresas de mujeres en el sistema de compras públicas, sin perjuicio de los compromisos adquiridos por Colombia en los acuerdos comerciales en vigor”</w:t>
      </w:r>
      <w:r w:rsidRPr="00B868BF">
        <w:rPr>
          <w:rFonts w:ascii="Arial" w:hAnsi="Arial" w:cs="Arial"/>
          <w:kern w:val="0"/>
          <w:sz w:val="20"/>
          <w:szCs w:val="20"/>
          <w:lang w:val="es-MX"/>
          <w14:ligatures w14:val="none"/>
        </w:rPr>
        <w:t>. (Cursiva</w:t>
      </w:r>
      <w:r w:rsidRPr="00495606">
        <w:rPr>
          <w:rFonts w:ascii="Arial" w:hAnsi="Arial" w:cs="Arial"/>
          <w:kern w:val="0"/>
          <w:sz w:val="20"/>
          <w:szCs w:val="20"/>
          <w:lang w:val="es-MX"/>
          <w14:ligatures w14:val="none"/>
        </w:rPr>
        <w:t xml:space="preserve"> </w:t>
      </w:r>
      <w:r w:rsidRPr="00B868BF">
        <w:rPr>
          <w:rFonts w:ascii="Arial" w:hAnsi="Arial" w:cs="Arial"/>
          <w:kern w:val="0"/>
          <w:sz w:val="20"/>
          <w:szCs w:val="20"/>
          <w:lang w:val="es-MX"/>
          <w14:ligatures w14:val="none"/>
        </w:rPr>
        <w:t>fuera del texto original)</w:t>
      </w:r>
      <w:r w:rsidR="00495606">
        <w:rPr>
          <w:rFonts w:ascii="Arial" w:hAnsi="Arial" w:cs="Arial"/>
          <w:kern w:val="0"/>
          <w:sz w:val="20"/>
          <w:szCs w:val="20"/>
          <w:lang w:val="es-MX"/>
          <w14:ligatures w14:val="none"/>
        </w:rPr>
        <w:t>.</w:t>
      </w:r>
    </w:p>
    <w:p w14:paraId="46145EC5" w14:textId="77777777" w:rsidR="00495606" w:rsidRDefault="00495606" w:rsidP="00495606">
      <w:pPr>
        <w:spacing w:after="0" w:line="240" w:lineRule="auto"/>
        <w:jc w:val="both"/>
        <w:rPr>
          <w:rFonts w:ascii="Arial" w:hAnsi="Arial" w:cs="Arial"/>
          <w:kern w:val="0"/>
          <w:sz w:val="20"/>
          <w:szCs w:val="20"/>
          <w:lang w:val="es-MX"/>
          <w14:ligatures w14:val="none"/>
        </w:rPr>
      </w:pPr>
    </w:p>
    <w:p w14:paraId="2E4DDE0E" w14:textId="77777777" w:rsidR="00495606" w:rsidRDefault="000D31B8" w:rsidP="00495606">
      <w:pPr>
        <w:spacing w:after="0" w:line="240" w:lineRule="auto"/>
        <w:jc w:val="both"/>
        <w:rPr>
          <w:rFonts w:ascii="Arial" w:eastAsia="Times New Roman" w:hAnsi="Arial" w:cs="Arial"/>
          <w:color w:val="000000"/>
          <w:kern w:val="0"/>
          <w:sz w:val="20"/>
          <w:szCs w:val="20"/>
          <w:shd w:val="clear" w:color="auto" w:fill="FFFFFF"/>
          <w:lang w:val="es-MX" w:eastAsia="es-ES_tradnl"/>
          <w14:ligatures w14:val="none"/>
        </w:rPr>
      </w:pPr>
      <w:r w:rsidRPr="00B868BF">
        <w:rPr>
          <w:rFonts w:ascii="Arial" w:hAnsi="Arial" w:cs="Arial"/>
          <w:kern w:val="0"/>
          <w:sz w:val="20"/>
          <w:szCs w:val="20"/>
          <w:lang w:val="es-MX"/>
          <w14:ligatures w14:val="none"/>
        </w:rPr>
        <w:t>Esto significa que los criterios diferenciales -que incluyen tanto requisitos diferenciales como puntajes adicionales- habrán de ser observados en todos los procesos de contratación cuyas modalidades de selección sean de licitación pública, selección abreviada de menor cuantía y/o concursos de méritos, con excepción de las demás modalidades descritas en el artículo 2º de la Ley 1150 de 2007. Adicionalmente, los referidos criterios serán aplicables en todos los procedimientos de escogencia o selección que lleven a cabo las entidades estatales que no apliquen en su gestión contractual el Estatuto General de Contratación de la Administración Pública.</w:t>
      </w:r>
    </w:p>
    <w:p w14:paraId="1FC7A277" w14:textId="77777777" w:rsidR="00495606" w:rsidRDefault="00495606" w:rsidP="00495606">
      <w:pPr>
        <w:spacing w:after="0" w:line="240" w:lineRule="auto"/>
        <w:jc w:val="both"/>
        <w:rPr>
          <w:rFonts w:ascii="Arial" w:eastAsia="Times New Roman" w:hAnsi="Arial" w:cs="Arial"/>
          <w:color w:val="000000"/>
          <w:kern w:val="0"/>
          <w:sz w:val="20"/>
          <w:szCs w:val="20"/>
          <w:shd w:val="clear" w:color="auto" w:fill="FFFFFF"/>
          <w:lang w:val="es-MX" w:eastAsia="es-ES_tradnl"/>
          <w14:ligatures w14:val="none"/>
        </w:rPr>
      </w:pPr>
    </w:p>
    <w:p w14:paraId="708ABBED" w14:textId="77777777" w:rsidR="00495606" w:rsidRDefault="000D31B8" w:rsidP="00495606">
      <w:pPr>
        <w:spacing w:after="0" w:line="240" w:lineRule="auto"/>
        <w:jc w:val="both"/>
        <w:rPr>
          <w:rFonts w:ascii="Arial" w:eastAsia="Times New Roman" w:hAnsi="Arial" w:cs="Arial"/>
          <w:color w:val="000000"/>
          <w:kern w:val="0"/>
          <w:sz w:val="20"/>
          <w:szCs w:val="20"/>
          <w:shd w:val="clear" w:color="auto" w:fill="FFFFFF"/>
          <w:lang w:val="es-MX" w:eastAsia="es-ES_tradnl"/>
          <w14:ligatures w14:val="none"/>
        </w:rPr>
      </w:pPr>
      <w:r w:rsidRPr="00B868BF">
        <w:rPr>
          <w:rFonts w:ascii="Arial" w:hAnsi="Arial" w:cs="Arial"/>
          <w:kern w:val="0"/>
          <w:sz w:val="20"/>
          <w:szCs w:val="20"/>
          <w:lang w:val="es-MX"/>
          <w14:ligatures w14:val="none"/>
        </w:rPr>
        <w:t>Con todo, interesa señalar que el parágrafo 1º del artículo 32 de la Ley 2069 de 2020 alude a la necesidad de desarrollo normativo posterior, pues allí expresamente se dispuso que “la definición de emprendimientos y empresas de mujeres se reglamentará por el gobierno nacional”. En este sentido, la aplicación de los criterios diferenciales en favor de emprendimientos y empresas de mujeres quedó condicionada al eventual ejercicio de la potestad reglamentaria a cargo del ejecutivo, en función de la cual se establezca y delimite su efectiva materialización.</w:t>
      </w:r>
    </w:p>
    <w:p w14:paraId="7AF91D69" w14:textId="77777777" w:rsidR="00495606" w:rsidRDefault="00495606" w:rsidP="00495606">
      <w:pPr>
        <w:spacing w:after="0" w:line="240" w:lineRule="auto"/>
        <w:jc w:val="both"/>
        <w:rPr>
          <w:rFonts w:ascii="Arial" w:eastAsia="Times New Roman" w:hAnsi="Arial" w:cs="Arial"/>
          <w:color w:val="000000"/>
          <w:kern w:val="0"/>
          <w:sz w:val="20"/>
          <w:szCs w:val="20"/>
          <w:shd w:val="clear" w:color="auto" w:fill="FFFFFF"/>
          <w:lang w:val="es-MX" w:eastAsia="es-ES_tradnl"/>
          <w14:ligatures w14:val="none"/>
        </w:rPr>
      </w:pPr>
    </w:p>
    <w:p w14:paraId="100605EC" w14:textId="77777777" w:rsidR="00495606" w:rsidRDefault="000D31B8" w:rsidP="00495606">
      <w:pPr>
        <w:spacing w:after="0" w:line="240" w:lineRule="auto"/>
        <w:jc w:val="both"/>
        <w:rPr>
          <w:rFonts w:ascii="Arial" w:eastAsia="Times New Roman" w:hAnsi="Arial" w:cs="Arial"/>
          <w:color w:val="000000"/>
          <w:kern w:val="0"/>
          <w:sz w:val="20"/>
          <w:szCs w:val="20"/>
          <w:shd w:val="clear" w:color="auto" w:fill="FFFFFF"/>
          <w:lang w:val="es-MX" w:eastAsia="es-ES_tradnl"/>
          <w14:ligatures w14:val="none"/>
        </w:rPr>
      </w:pPr>
      <w:r w:rsidRPr="00B868BF">
        <w:rPr>
          <w:rFonts w:ascii="Arial" w:hAnsi="Arial" w:cs="Arial"/>
          <w:kern w:val="0"/>
          <w:sz w:val="20"/>
          <w:szCs w:val="20"/>
          <w:lang w:val="es-MX"/>
          <w14:ligatures w14:val="none"/>
        </w:rPr>
        <w:lastRenderedPageBreak/>
        <w:t>Pues bien, con la expedición del Decreto 1860 de 2021 “Por el cual se modifica y adiciona el Decreto 1082 de 2015, Único Reglamentario del Sector Administrativo de Planeación Nacional, con el fin de reglamentar los artículos 30, 31, 32, 34 y 35 de la Ley 2069 de 2020, en lo relativo al sistema de compras públicas y se dictan otras disposiciones”, el Presidente de la República, específicamente en el artículo 3º, adicionó los artículos 2.2.1.2.4.2.14, 2.2.1.2.4.2.15, 2.2.1.2.4.2.16, 2.2.1.2.4.2.17 y 2.2.1.2.4.2.18 a la Subsección 2 de la Sección 4 del Capítulo 2 del Título 1 de la Parte 2 del Libro 2 del Decreto 1082 de 2015.</w:t>
      </w:r>
    </w:p>
    <w:p w14:paraId="62F71B32" w14:textId="77777777" w:rsidR="00495606" w:rsidRDefault="00495606" w:rsidP="00495606">
      <w:pPr>
        <w:spacing w:after="0" w:line="240" w:lineRule="auto"/>
        <w:jc w:val="both"/>
        <w:rPr>
          <w:rFonts w:ascii="Arial" w:eastAsia="Times New Roman" w:hAnsi="Arial" w:cs="Arial"/>
          <w:color w:val="000000"/>
          <w:kern w:val="0"/>
          <w:sz w:val="20"/>
          <w:szCs w:val="20"/>
          <w:shd w:val="clear" w:color="auto" w:fill="FFFFFF"/>
          <w:lang w:val="es-MX" w:eastAsia="es-ES_tradnl"/>
          <w14:ligatures w14:val="none"/>
        </w:rPr>
      </w:pPr>
    </w:p>
    <w:p w14:paraId="77AF0DFE" w14:textId="77777777" w:rsidR="00495606" w:rsidRDefault="000D31B8" w:rsidP="000D31B8">
      <w:pPr>
        <w:spacing w:after="0" w:line="240" w:lineRule="auto"/>
        <w:jc w:val="both"/>
        <w:rPr>
          <w:rFonts w:ascii="Arial" w:hAnsi="Arial" w:cs="Arial"/>
          <w:kern w:val="0"/>
          <w:sz w:val="20"/>
          <w:szCs w:val="20"/>
          <w:lang w:val="es-MX"/>
          <w14:ligatures w14:val="none"/>
        </w:rPr>
      </w:pPr>
      <w:r w:rsidRPr="00B868BF">
        <w:rPr>
          <w:rFonts w:ascii="Arial" w:hAnsi="Arial" w:cs="Arial"/>
          <w:kern w:val="0"/>
          <w:sz w:val="20"/>
          <w:szCs w:val="20"/>
          <w:lang w:val="es-MX"/>
          <w14:ligatures w14:val="none"/>
        </w:rPr>
        <w:t>Mientras la primera de las normas adicionadas consagra una definición de emprendimientos y empresas de mujeres, la segunda, por su parte, fija unas condiciones objetivas habilitantes que deberán tener en cuenta las distintas entidades contratantes para dar cabal aplicación a los criterios diferenciales dirigidos a promover y facilitar su acceso como proponentes al sistema de compras públicas. La normativa restante, en su orden, versa sobre el fomento de la ejecución de contratos estatales por parte de población en pobreza extrema, la existencia de factores de desempate y acreditación para seleccionar al oferente favorecido, y las condiciones habilitantes diferenciales que faciliten la participación en los procedimientos de selección competitivos de las Mipymes domiciliadas en Colombia.</w:t>
      </w:r>
    </w:p>
    <w:p w14:paraId="752DCC12" w14:textId="77777777" w:rsidR="00495606" w:rsidRDefault="00495606" w:rsidP="000D31B8">
      <w:pPr>
        <w:spacing w:after="0" w:line="240" w:lineRule="auto"/>
        <w:jc w:val="both"/>
        <w:rPr>
          <w:rFonts w:ascii="Arial" w:hAnsi="Arial" w:cs="Arial"/>
          <w:kern w:val="0"/>
          <w:sz w:val="20"/>
          <w:szCs w:val="20"/>
          <w:lang w:val="es-MX"/>
          <w14:ligatures w14:val="none"/>
        </w:rPr>
      </w:pPr>
    </w:p>
    <w:p w14:paraId="2A485C31" w14:textId="4E2E2CE8" w:rsidR="000D31B8" w:rsidRPr="00495606" w:rsidRDefault="000D31B8" w:rsidP="000D31B8">
      <w:pPr>
        <w:spacing w:after="0" w:line="240" w:lineRule="auto"/>
        <w:jc w:val="both"/>
        <w:rPr>
          <w:rFonts w:ascii="Times New Roman" w:eastAsia="Times New Roman" w:hAnsi="Times New Roman" w:cs="Times New Roman"/>
          <w:kern w:val="0"/>
          <w:sz w:val="20"/>
          <w:szCs w:val="20"/>
          <w:highlight w:val="yellow"/>
          <w:lang w:eastAsia="es-ES_tradnl"/>
          <w14:ligatures w14:val="none"/>
        </w:rPr>
      </w:pPr>
      <w:r w:rsidRPr="00495606">
        <w:rPr>
          <w:rFonts w:ascii="Arial" w:hAnsi="Arial" w:cs="Arial"/>
          <w:kern w:val="0"/>
          <w:sz w:val="20"/>
          <w:szCs w:val="20"/>
          <w:lang w:val="es-MX"/>
          <w14:ligatures w14:val="none"/>
        </w:rPr>
        <w:t xml:space="preserve">Justamente, cabe resaltar </w:t>
      </w:r>
      <w:r w:rsidRPr="00B868BF">
        <w:rPr>
          <w:rFonts w:ascii="Arial" w:hAnsi="Arial" w:cs="Arial"/>
          <w:kern w:val="0"/>
          <w:sz w:val="20"/>
          <w:szCs w:val="20"/>
          <w:lang w:val="es-MX"/>
          <w14:ligatures w14:val="none"/>
        </w:rPr>
        <w:t xml:space="preserve">que el artículo 2.2.1.2.4.2.14. establece unas condiciones y requisitos que deben cumplirse para entender que se trata de emprendimientos y empresas de mujeres. Con la acreditación de alguna de ellas, habrá de darse paso a la adopción de las medidas afirmativas correspondientes para incentivar la participación de las mujeres en el sistema de compras públicas. </w:t>
      </w:r>
      <w:r w:rsidRPr="00495606">
        <w:rPr>
          <w:rFonts w:ascii="Arial" w:hAnsi="Arial" w:cs="Arial"/>
          <w:kern w:val="0"/>
          <w:sz w:val="20"/>
          <w:szCs w:val="20"/>
          <w:lang w:val="es-MX"/>
          <w14:ligatures w14:val="none"/>
        </w:rPr>
        <w:t>En concreto</w:t>
      </w:r>
      <w:r w:rsidRPr="00B868BF">
        <w:rPr>
          <w:rFonts w:ascii="Arial" w:hAnsi="Arial" w:cs="Arial"/>
          <w:kern w:val="0"/>
          <w:sz w:val="20"/>
          <w:szCs w:val="20"/>
          <w:lang w:val="es-MX"/>
          <w14:ligatures w14:val="none"/>
        </w:rPr>
        <w:t>,</w:t>
      </w:r>
      <w:r w:rsidRPr="00495606">
        <w:rPr>
          <w:rFonts w:ascii="Arial" w:hAnsi="Arial" w:cs="Arial"/>
          <w:kern w:val="0"/>
          <w:sz w:val="20"/>
          <w:szCs w:val="20"/>
          <w:lang w:val="es-MX"/>
          <w14:ligatures w14:val="none"/>
        </w:rPr>
        <w:t xml:space="preserve"> </w:t>
      </w:r>
      <w:r w:rsidRPr="00B868BF">
        <w:rPr>
          <w:rFonts w:ascii="Arial" w:hAnsi="Arial" w:cs="Arial"/>
          <w:kern w:val="0"/>
          <w:sz w:val="20"/>
          <w:szCs w:val="20"/>
          <w:lang w:val="es-MX"/>
          <w14:ligatures w14:val="none"/>
        </w:rPr>
        <w:t>se trata de cuatro numerales que perfilan unas hipótesis específicas bajo las cuales se definen los emprendimientos y empresas de mujeres, en función de la eventual aplicación tanto de requisitos habilitantes como de puntajes adicionales</w:t>
      </w:r>
      <w:r w:rsidR="00495606">
        <w:rPr>
          <w:rFonts w:ascii="Arial" w:hAnsi="Arial" w:cs="Arial"/>
          <w:kern w:val="0"/>
          <w:sz w:val="20"/>
          <w:szCs w:val="20"/>
          <w:lang w:val="es-MX"/>
          <w14:ligatures w14:val="none"/>
        </w:rPr>
        <w:t>”</w:t>
      </w:r>
      <w:r w:rsidRPr="00B868BF">
        <w:rPr>
          <w:rFonts w:ascii="Arial" w:hAnsi="Arial" w:cs="Arial"/>
          <w:kern w:val="0"/>
          <w:sz w:val="20"/>
          <w:szCs w:val="20"/>
          <w:lang w:val="es-MX"/>
          <w14:ligatures w14:val="none"/>
        </w:rPr>
        <w:t>.</w:t>
      </w:r>
    </w:p>
    <w:p w14:paraId="2E8484DB" w14:textId="77777777" w:rsidR="000D31B8" w:rsidRPr="00F657BC" w:rsidRDefault="000D31B8" w:rsidP="00B875C9">
      <w:pPr>
        <w:spacing w:after="0" w:line="240" w:lineRule="auto"/>
        <w:jc w:val="both"/>
        <w:rPr>
          <w:rFonts w:ascii="Times New Roman" w:eastAsia="Times New Roman" w:hAnsi="Times New Roman" w:cs="Times New Roman"/>
          <w:kern w:val="0"/>
          <w:sz w:val="24"/>
          <w:szCs w:val="24"/>
          <w:highlight w:val="yellow"/>
          <w:lang w:eastAsia="es-ES_tradnl"/>
          <w14:ligatures w14:val="none"/>
        </w:rPr>
      </w:pPr>
    </w:p>
    <w:p w14:paraId="2AA49CAA" w14:textId="6CC0DE03" w:rsidR="00B875C9" w:rsidRPr="00495606" w:rsidRDefault="00495606" w:rsidP="00B875C9">
      <w:pPr>
        <w:spacing w:after="0" w:line="240" w:lineRule="auto"/>
        <w:jc w:val="both"/>
        <w:rPr>
          <w:rFonts w:ascii="Arial" w:eastAsia="Calibri" w:hAnsi="Arial" w:cs="Arial"/>
          <w:b/>
          <w:bCs/>
          <w:kern w:val="0"/>
          <w:lang w:eastAsia="es-ES_tradnl"/>
          <w14:ligatures w14:val="none"/>
        </w:rPr>
      </w:pPr>
      <w:r w:rsidRPr="00495606">
        <w:rPr>
          <w:rFonts w:ascii="Arial" w:eastAsia="Calibri" w:hAnsi="Arial" w:cs="Arial"/>
          <w:b/>
          <w:bCs/>
          <w:kern w:val="0"/>
          <w:lang w:eastAsia="es-ES_tradnl"/>
          <w14:ligatures w14:val="none"/>
        </w:rPr>
        <w:t>MEDIDAS CONTRA ACCIONISTAS MOROSOS EN EL PAGO DE CUOTAS DE ACCIONES SUSCRITAS</w:t>
      </w:r>
      <w:r w:rsidR="00B875C9" w:rsidRPr="00495606">
        <w:rPr>
          <w:rFonts w:ascii="Arial" w:eastAsia="Calibri" w:hAnsi="Arial" w:cs="Arial"/>
          <w:b/>
          <w:bCs/>
          <w:kern w:val="0"/>
          <w:lang w:eastAsia="es-ES_tradnl"/>
          <w14:ligatures w14:val="none"/>
        </w:rPr>
        <w:t xml:space="preserve"> – </w:t>
      </w:r>
      <w:r w:rsidRPr="00495606">
        <w:rPr>
          <w:rFonts w:ascii="Arial" w:eastAsia="Calibri" w:hAnsi="Arial" w:cs="Arial"/>
          <w:b/>
          <w:bCs/>
          <w:kern w:val="0"/>
          <w:lang w:eastAsia="es-ES_tradnl"/>
          <w14:ligatures w14:val="none"/>
        </w:rPr>
        <w:t>Alcance del artículo 397 del Código de Comercio</w:t>
      </w:r>
    </w:p>
    <w:p w14:paraId="081AEA3F" w14:textId="77777777" w:rsidR="00B875C9" w:rsidRDefault="00B875C9" w:rsidP="00B875C9">
      <w:pPr>
        <w:spacing w:after="0" w:line="240" w:lineRule="auto"/>
        <w:jc w:val="both"/>
        <w:rPr>
          <w:rFonts w:ascii="Times New Roman" w:eastAsia="Times New Roman" w:hAnsi="Times New Roman" w:cs="Times New Roman"/>
          <w:kern w:val="0"/>
          <w:sz w:val="24"/>
          <w:szCs w:val="24"/>
          <w:highlight w:val="yellow"/>
          <w:lang w:eastAsia="es-ES_tradnl"/>
          <w14:ligatures w14:val="none"/>
        </w:rPr>
      </w:pPr>
    </w:p>
    <w:bookmarkEnd w:id="0"/>
    <w:p w14:paraId="09137835" w14:textId="3482258B" w:rsidR="00FE7A30" w:rsidRPr="00FE7A30" w:rsidRDefault="00FE7A30" w:rsidP="00FE7A30">
      <w:pPr>
        <w:spacing w:after="0" w:line="240" w:lineRule="auto"/>
        <w:jc w:val="both"/>
        <w:textAlignment w:val="baseline"/>
        <w:rPr>
          <w:rFonts w:ascii="Arial" w:eastAsia="Times New Roman" w:hAnsi="Arial" w:cs="Arial"/>
          <w:color w:val="000000"/>
          <w:kern w:val="0"/>
          <w:sz w:val="20"/>
          <w:szCs w:val="20"/>
          <w:lang w:eastAsia="es-CO"/>
          <w14:ligatures w14:val="none"/>
        </w:rPr>
      </w:pPr>
      <w:r>
        <w:rPr>
          <w:rFonts w:ascii="Arial" w:eastAsia="Calibri" w:hAnsi="Arial" w:cs="Arial"/>
          <w:kern w:val="0"/>
          <w:sz w:val="20"/>
          <w:szCs w:val="20"/>
          <w:lang w:val="es-ES_tradnl" w:eastAsia="es-CO"/>
          <w14:ligatures w14:val="none"/>
        </w:rPr>
        <w:t>“</w:t>
      </w:r>
      <w:r w:rsidRPr="00FE7A30">
        <w:rPr>
          <w:rFonts w:ascii="Arial" w:eastAsia="Calibri" w:hAnsi="Arial" w:cs="Arial"/>
          <w:kern w:val="0"/>
          <w:sz w:val="20"/>
          <w:szCs w:val="20"/>
          <w:lang w:val="es-ES_tradnl" w:eastAsia="es-CO"/>
          <w14:ligatures w14:val="none"/>
        </w:rPr>
        <w:t xml:space="preserve">El artículo 379 de dicho cuerpo normativo dispone expresamente que cada acción conferirá a su propietario los siguientes derechos propios, comunes y esenciales que, en general, se confieren a todo accionista por igual: </w:t>
      </w:r>
      <w:r w:rsidRPr="00FE7A30">
        <w:rPr>
          <w:rFonts w:ascii="Arial" w:eastAsia="Calibri" w:hAnsi="Arial" w:cs="Arial"/>
          <w:i/>
          <w:iCs/>
          <w:kern w:val="0"/>
          <w:sz w:val="20"/>
          <w:szCs w:val="20"/>
          <w:lang w:val="es-ES_tradnl" w:eastAsia="es-CO"/>
          <w14:ligatures w14:val="none"/>
        </w:rPr>
        <w:t>(i)</w:t>
      </w:r>
      <w:r w:rsidRPr="00FE7A30">
        <w:rPr>
          <w:rFonts w:ascii="Arial" w:eastAsia="Calibri" w:hAnsi="Arial" w:cs="Arial"/>
          <w:kern w:val="0"/>
          <w:sz w:val="20"/>
          <w:szCs w:val="20"/>
          <w:lang w:val="es-ES_tradnl" w:eastAsia="es-CO"/>
          <w14:ligatures w14:val="none"/>
        </w:rPr>
        <w:t xml:space="preserve"> el de participar en las deliberaciones de la asamblea general de accionistas y votar en ella; </w:t>
      </w:r>
      <w:r w:rsidRPr="00FE7A30">
        <w:rPr>
          <w:rFonts w:ascii="Arial" w:eastAsia="Calibri" w:hAnsi="Arial" w:cs="Arial"/>
          <w:i/>
          <w:iCs/>
          <w:kern w:val="0"/>
          <w:sz w:val="20"/>
          <w:szCs w:val="20"/>
          <w:lang w:val="es-ES_tradnl" w:eastAsia="es-CO"/>
          <w14:ligatures w14:val="none"/>
        </w:rPr>
        <w:t xml:space="preserve">(ii) </w:t>
      </w:r>
      <w:r w:rsidRPr="00FE7A30">
        <w:rPr>
          <w:rFonts w:ascii="Arial" w:eastAsia="Calibri" w:hAnsi="Arial" w:cs="Arial"/>
          <w:kern w:val="0"/>
          <w:sz w:val="20"/>
          <w:szCs w:val="20"/>
          <w:lang w:val="es-ES_tradnl" w:eastAsia="es-CO"/>
          <w14:ligatures w14:val="none"/>
        </w:rPr>
        <w:t xml:space="preserve">el de recibir una parte proporcional de los beneficios sociales establecidos por los balances de fin de ejercicio, con sujeción a lo dispuesto en la ley o en los estatutos; </w:t>
      </w:r>
      <w:r w:rsidRPr="00FE7A30">
        <w:rPr>
          <w:rFonts w:ascii="Arial" w:eastAsia="Calibri" w:hAnsi="Arial" w:cs="Arial"/>
          <w:i/>
          <w:iCs/>
          <w:kern w:val="0"/>
          <w:sz w:val="20"/>
          <w:szCs w:val="20"/>
          <w:lang w:val="es-ES_tradnl" w:eastAsia="es-CO"/>
          <w14:ligatures w14:val="none"/>
        </w:rPr>
        <w:t>(iii)</w:t>
      </w:r>
      <w:r w:rsidRPr="00FE7A30">
        <w:rPr>
          <w:rFonts w:ascii="Arial" w:eastAsia="Calibri" w:hAnsi="Arial" w:cs="Arial"/>
          <w:kern w:val="0"/>
          <w:sz w:val="20"/>
          <w:szCs w:val="20"/>
          <w:lang w:val="es-ES_tradnl" w:eastAsia="es-CO"/>
          <w14:ligatures w14:val="none"/>
        </w:rPr>
        <w:t xml:space="preserve"> el de negociar libremente las acciones, a menos que se estipule el derecho de preferencia en favor de la sociedad o de los accionistas, o de ambos; </w:t>
      </w:r>
      <w:r w:rsidRPr="00FE7A30">
        <w:rPr>
          <w:rFonts w:ascii="Arial" w:eastAsia="Calibri" w:hAnsi="Arial" w:cs="Arial"/>
          <w:i/>
          <w:iCs/>
          <w:kern w:val="0"/>
          <w:sz w:val="20"/>
          <w:szCs w:val="20"/>
          <w:lang w:val="es-ES_tradnl" w:eastAsia="es-CO"/>
          <w14:ligatures w14:val="none"/>
        </w:rPr>
        <w:t>(iv)</w:t>
      </w:r>
      <w:r w:rsidRPr="00FE7A30">
        <w:rPr>
          <w:rFonts w:ascii="Arial" w:eastAsia="Calibri" w:hAnsi="Arial" w:cs="Arial"/>
          <w:kern w:val="0"/>
          <w:sz w:val="20"/>
          <w:szCs w:val="20"/>
          <w:lang w:val="es-ES_tradnl" w:eastAsia="es-CO"/>
          <w14:ligatures w14:val="none"/>
        </w:rPr>
        <w:t xml:space="preserve"> el de inspeccionar, libremente, los libros y papeles sociales dentro de los quince días hábiles anteriores a las reuniones de la asamblea en que se examinen los balances de fin de ejercicio; y </w:t>
      </w:r>
      <w:r w:rsidRPr="00FE7A30">
        <w:rPr>
          <w:rFonts w:ascii="Arial" w:eastAsia="Calibri" w:hAnsi="Arial" w:cs="Arial"/>
          <w:i/>
          <w:iCs/>
          <w:kern w:val="0"/>
          <w:sz w:val="20"/>
          <w:szCs w:val="20"/>
          <w:lang w:val="es-ES_tradnl" w:eastAsia="es-CO"/>
          <w14:ligatures w14:val="none"/>
        </w:rPr>
        <w:t>(v)</w:t>
      </w:r>
      <w:r w:rsidRPr="00FE7A30">
        <w:rPr>
          <w:rFonts w:ascii="Arial" w:eastAsia="Calibri" w:hAnsi="Arial" w:cs="Arial"/>
          <w:kern w:val="0"/>
          <w:sz w:val="20"/>
          <w:szCs w:val="20"/>
          <w:lang w:val="es-ES_tradnl" w:eastAsia="es-CO"/>
          <w14:ligatures w14:val="none"/>
        </w:rPr>
        <w:t xml:space="preserve"> el de recibir una parte proporcional de los activos sociales al tiempo de la liquidación y una vez pagado el pasivo externo de la sociedad.</w:t>
      </w:r>
    </w:p>
    <w:p w14:paraId="09D903FF" w14:textId="77777777" w:rsidR="00FE7A30" w:rsidRPr="00FE7A30" w:rsidRDefault="00FE7A30" w:rsidP="00FE7A30">
      <w:pPr>
        <w:spacing w:after="0" w:line="240" w:lineRule="auto"/>
        <w:jc w:val="both"/>
        <w:textAlignment w:val="baseline"/>
        <w:rPr>
          <w:rFonts w:ascii="Arial" w:eastAsia="Times New Roman" w:hAnsi="Arial" w:cs="Arial"/>
          <w:color w:val="000000"/>
          <w:kern w:val="0"/>
          <w:sz w:val="20"/>
          <w:szCs w:val="20"/>
          <w:lang w:val="es-ES_tradnl" w:eastAsia="es-CO"/>
          <w14:ligatures w14:val="none"/>
        </w:rPr>
      </w:pPr>
    </w:p>
    <w:p w14:paraId="0F603DDF" w14:textId="5610366D" w:rsidR="00FE7A30" w:rsidRPr="00FE7A30" w:rsidRDefault="00FE7A30" w:rsidP="00FE7A30">
      <w:pPr>
        <w:spacing w:after="0" w:line="240" w:lineRule="auto"/>
        <w:jc w:val="both"/>
        <w:textAlignment w:val="baseline"/>
        <w:rPr>
          <w:rFonts w:ascii="Arial" w:eastAsia="Calibri" w:hAnsi="Arial" w:cs="Arial"/>
          <w:kern w:val="0"/>
          <w:sz w:val="20"/>
          <w:szCs w:val="20"/>
          <w:lang w:val="es-ES_tradnl" w:eastAsia="es-CO"/>
          <w14:ligatures w14:val="none"/>
        </w:rPr>
      </w:pPr>
      <w:r w:rsidRPr="00FE7A30">
        <w:rPr>
          <w:rFonts w:ascii="Arial" w:eastAsia="Calibri" w:hAnsi="Arial" w:cs="Arial"/>
          <w:kern w:val="0"/>
          <w:sz w:val="20"/>
          <w:szCs w:val="20"/>
          <w:lang w:val="es-ES_tradnl" w:eastAsia="es-CO"/>
          <w14:ligatures w14:val="none"/>
        </w:rPr>
        <w:t xml:space="preserve">Respecto de esta cláusula, la Superintendencia de Sociedades ha advertido con claridad que “confiere al titular de la acción unos </w:t>
      </w:r>
      <w:r w:rsidRPr="00FE7A30">
        <w:rPr>
          <w:rFonts w:ascii="Arial" w:eastAsia="Calibri" w:hAnsi="Arial" w:cs="Arial"/>
          <w:i/>
          <w:iCs/>
          <w:kern w:val="0"/>
          <w:sz w:val="20"/>
          <w:szCs w:val="20"/>
          <w:lang w:val="es-ES_tradnl" w:eastAsia="es-CO"/>
          <w14:ligatures w14:val="none"/>
        </w:rPr>
        <w:t>derechos económicos</w:t>
      </w:r>
      <w:r w:rsidRPr="00FE7A30">
        <w:rPr>
          <w:rFonts w:ascii="Arial" w:eastAsia="Calibri" w:hAnsi="Arial" w:cs="Arial"/>
          <w:kern w:val="0"/>
          <w:sz w:val="20"/>
          <w:szCs w:val="20"/>
          <w:lang w:val="es-ES_tradnl" w:eastAsia="es-CO"/>
          <w14:ligatures w14:val="none"/>
        </w:rPr>
        <w:t xml:space="preserve">, tales como el de percibir proporcionalmente las utilidades que arroje el negocio de que se trate la empresa; el de recibir una parte proporcional de los activos sociales al tiempo de la liquidación y una vez pagado el pasivo externo de la sociedad y </w:t>
      </w:r>
      <w:r w:rsidRPr="00FE7A30">
        <w:rPr>
          <w:rFonts w:ascii="Arial" w:eastAsia="Calibri" w:hAnsi="Arial" w:cs="Arial"/>
          <w:i/>
          <w:iCs/>
          <w:kern w:val="0"/>
          <w:sz w:val="20"/>
          <w:szCs w:val="20"/>
          <w:lang w:val="es-ES_tradnl" w:eastAsia="es-CO"/>
          <w14:ligatures w14:val="none"/>
        </w:rPr>
        <w:t>derechos políticos</w:t>
      </w:r>
      <w:r w:rsidRPr="00FE7A30">
        <w:rPr>
          <w:rFonts w:ascii="Arial" w:eastAsia="Calibri" w:hAnsi="Arial" w:cs="Arial"/>
          <w:kern w:val="0"/>
          <w:sz w:val="20"/>
          <w:szCs w:val="20"/>
          <w:lang w:val="es-ES_tradnl" w:eastAsia="es-CO"/>
          <w14:ligatures w14:val="none"/>
        </w:rPr>
        <w:t xml:space="preserve">, dentro de los que se cuenta el derecho de votar las decisiones que le competen a ese máximo órgano social, así como el derecho de información que se concreta en el derecho de inspección de los libros y papeles sociales, que respecto de las </w:t>
      </w:r>
      <w:r w:rsidRPr="00FE7A30">
        <w:rPr>
          <w:rFonts w:ascii="Arial" w:eastAsia="Calibri" w:hAnsi="Arial" w:cs="Arial"/>
          <w:kern w:val="0"/>
          <w:sz w:val="20"/>
          <w:szCs w:val="20"/>
          <w:lang w:val="es-ES_tradnl" w:eastAsia="es-CO"/>
          <w14:ligatures w14:val="none"/>
        </w:rPr>
        <w:lastRenderedPageBreak/>
        <w:t>sociedades anónimas puede ejercerse dentro de los quince (15) días hábiles anteriores a las reuniones de la asamblea general en que se examinen los balances de fin de ejercicio”</w:t>
      </w:r>
      <w:r>
        <w:rPr>
          <w:rFonts w:ascii="Arial" w:eastAsia="Calibri" w:hAnsi="Arial" w:cs="Arial"/>
          <w:kern w:val="0"/>
          <w:sz w:val="20"/>
          <w:szCs w:val="20"/>
          <w:lang w:val="es-ES_tradnl" w:eastAsia="es-CO"/>
          <w14:ligatures w14:val="none"/>
        </w:rPr>
        <w:t>.</w:t>
      </w:r>
    </w:p>
    <w:p w14:paraId="3E74A115" w14:textId="77777777" w:rsidR="00FE7A30" w:rsidRPr="00FE7A30" w:rsidRDefault="00FE7A30" w:rsidP="00FE7A30">
      <w:pPr>
        <w:spacing w:after="0" w:line="240" w:lineRule="auto"/>
        <w:jc w:val="both"/>
        <w:textAlignment w:val="baseline"/>
        <w:rPr>
          <w:rFonts w:ascii="Arial" w:eastAsia="Calibri" w:hAnsi="Arial" w:cs="Arial"/>
          <w:kern w:val="0"/>
          <w:sz w:val="20"/>
          <w:szCs w:val="20"/>
          <w:lang w:val="es-ES_tradnl" w:eastAsia="es-CO"/>
          <w14:ligatures w14:val="none"/>
        </w:rPr>
      </w:pPr>
    </w:p>
    <w:p w14:paraId="1500F02B" w14:textId="32FB5EFC" w:rsidR="00FE7A30" w:rsidRPr="00FE7A30" w:rsidRDefault="00FE7A30" w:rsidP="00FE7A30">
      <w:pPr>
        <w:spacing w:after="0" w:line="240" w:lineRule="auto"/>
        <w:jc w:val="both"/>
        <w:textAlignment w:val="baseline"/>
        <w:rPr>
          <w:rFonts w:ascii="Arial" w:eastAsia="Calibri" w:hAnsi="Arial" w:cs="Arial"/>
          <w:kern w:val="0"/>
          <w:sz w:val="20"/>
          <w:szCs w:val="20"/>
          <w:lang w:val="es-ES_tradnl" w:eastAsia="es-CO"/>
          <w14:ligatures w14:val="none"/>
        </w:rPr>
      </w:pPr>
      <w:r w:rsidRPr="00FE7A30">
        <w:rPr>
          <w:rFonts w:ascii="Arial" w:eastAsia="Calibri" w:hAnsi="Arial" w:cs="Arial"/>
          <w:kern w:val="0"/>
          <w:sz w:val="20"/>
          <w:szCs w:val="20"/>
          <w:lang w:val="es-ES_tradnl" w:eastAsia="es-CO"/>
          <w14:ligatures w14:val="none"/>
        </w:rPr>
        <w:t>(…)</w:t>
      </w:r>
    </w:p>
    <w:p w14:paraId="0311E958" w14:textId="77777777" w:rsidR="00FE7A30" w:rsidRPr="00FE7A30" w:rsidRDefault="00FE7A30" w:rsidP="00FE7A30">
      <w:pPr>
        <w:spacing w:after="0" w:line="276" w:lineRule="auto"/>
        <w:jc w:val="both"/>
        <w:rPr>
          <w:rFonts w:ascii="Arial" w:eastAsia="Calibri" w:hAnsi="Arial" w:cs="Arial"/>
          <w:kern w:val="0"/>
          <w:sz w:val="20"/>
          <w:szCs w:val="20"/>
          <w:lang w:val="es-ES_tradnl" w:eastAsia="es-CO"/>
          <w14:ligatures w14:val="none"/>
        </w:rPr>
      </w:pPr>
    </w:p>
    <w:p w14:paraId="1BE3F934" w14:textId="1E3816AE" w:rsidR="00FE7A30" w:rsidRPr="00FE7A30" w:rsidRDefault="00FE7A30" w:rsidP="00FE7A30">
      <w:pPr>
        <w:spacing w:after="0" w:line="276" w:lineRule="auto"/>
        <w:jc w:val="both"/>
        <w:rPr>
          <w:rFonts w:ascii="Arial" w:eastAsia="Calibri" w:hAnsi="Arial" w:cs="Arial"/>
          <w:kern w:val="0"/>
          <w:sz w:val="20"/>
          <w:szCs w:val="20"/>
          <w:lang w:val="es-ES_tradnl" w:eastAsia="es-CO"/>
          <w14:ligatures w14:val="none"/>
        </w:rPr>
      </w:pPr>
      <w:r w:rsidRPr="00FE7A30">
        <w:rPr>
          <w:rFonts w:ascii="Arial" w:eastAsia="Calibri" w:hAnsi="Arial" w:cs="Arial"/>
          <w:kern w:val="0"/>
          <w:sz w:val="20"/>
          <w:szCs w:val="20"/>
          <w:lang w:val="es-ES_tradnl" w:eastAsia="es-CO"/>
          <w14:ligatures w14:val="none"/>
        </w:rPr>
        <w:t xml:space="preserve">Como se puede apreciar, el artículo </w:t>
      </w:r>
      <w:r w:rsidRPr="00FE7A30">
        <w:rPr>
          <w:rFonts w:ascii="Arial" w:eastAsia="Calibri" w:hAnsi="Arial" w:cs="Arial"/>
          <w:kern w:val="0"/>
          <w:sz w:val="20"/>
          <w:szCs w:val="20"/>
          <w:lang w:val="es-ES_tradnl" w:eastAsia="es-CO"/>
          <w14:ligatures w14:val="none"/>
        </w:rPr>
        <w:t xml:space="preserve">397 del Código de Comercio </w:t>
      </w:r>
      <w:r w:rsidRPr="00FE7A30">
        <w:rPr>
          <w:rFonts w:ascii="Arial" w:eastAsia="Calibri" w:hAnsi="Arial" w:cs="Arial"/>
          <w:kern w:val="0"/>
          <w:sz w:val="20"/>
          <w:szCs w:val="20"/>
          <w:lang w:val="es-ES_tradnl" w:eastAsia="es-CO"/>
          <w14:ligatures w14:val="none"/>
        </w:rPr>
        <w:t xml:space="preserve">refiere la situación en la que incurre un accionista que suscribe un paquete accionario, paga por lo general un porcentaje inicial y presenta un saldo pendiente. En caso de no pagar en el plazo indicado, el artículo en cita otorga al cuerpo colegiado de una sociedad anónima la posibilidad de emplear uno de los arbitrios que la ley describe: (i) acudir directamente al cobro judicial; </w:t>
      </w:r>
      <w:r w:rsidRPr="00FE7A30">
        <w:rPr>
          <w:rFonts w:ascii="Arial" w:eastAsia="Calibri" w:hAnsi="Arial" w:cs="Arial"/>
          <w:i/>
          <w:iCs/>
          <w:kern w:val="0"/>
          <w:sz w:val="20"/>
          <w:szCs w:val="20"/>
          <w:lang w:val="es-ES_tradnl" w:eastAsia="es-CO"/>
          <w14:ligatures w14:val="none"/>
        </w:rPr>
        <w:t xml:space="preserve">(ii) </w:t>
      </w:r>
      <w:r w:rsidRPr="00FE7A30">
        <w:rPr>
          <w:rFonts w:ascii="Arial" w:eastAsia="Calibri" w:hAnsi="Arial" w:cs="Arial"/>
          <w:kern w:val="0"/>
          <w:sz w:val="20"/>
          <w:szCs w:val="20"/>
          <w:lang w:val="es-ES_tradnl" w:eastAsia="es-CO"/>
          <w14:ligatures w14:val="none"/>
        </w:rPr>
        <w:t>Vender de cuenta y riesgo del accionista moroso y por conducto de un comisionista, las acciones que hubiere suscrito inicialmente; o (iii) imputar las sumas recibidas a la liberación del número de acciones que correspondan a las cuotas pagadas, previa deducción de un 20% a título de indemnización de perjuicios, que se presumirán causados. Comoquiera que en el caso de las sociedades por acciones simplificadas la junta directiva no es un órgano de obligatoria existencia, las medidas por adoptar estarán a cargo del máximo órgano social previsto estatutariamente o por el representante legal designado por la asamblea</w:t>
      </w:r>
      <w:r>
        <w:rPr>
          <w:rFonts w:ascii="Arial" w:eastAsia="Calibri" w:hAnsi="Arial" w:cs="Arial"/>
          <w:kern w:val="0"/>
          <w:sz w:val="20"/>
          <w:szCs w:val="20"/>
          <w:lang w:val="es-ES_tradnl" w:eastAsia="es-CO"/>
          <w14:ligatures w14:val="none"/>
        </w:rPr>
        <w:t xml:space="preserve"> (…)”</w:t>
      </w:r>
      <w:r w:rsidRPr="00FE7A30">
        <w:rPr>
          <w:rFonts w:ascii="Arial" w:eastAsia="Calibri" w:hAnsi="Arial" w:cs="Arial"/>
          <w:kern w:val="0"/>
          <w:sz w:val="20"/>
          <w:szCs w:val="20"/>
          <w:lang w:val="es-ES_tradnl" w:eastAsia="es-CO"/>
          <w14:ligatures w14:val="none"/>
        </w:rPr>
        <w:t>.</w:t>
      </w:r>
    </w:p>
    <w:bookmarkEnd w:id="1"/>
    <w:p w14:paraId="3DD58B8D" w14:textId="77777777" w:rsidR="008E7F5C" w:rsidRPr="00FE7A30" w:rsidRDefault="008E7F5C" w:rsidP="008E7F5C">
      <w:pPr>
        <w:spacing w:after="0" w:line="240" w:lineRule="auto"/>
        <w:jc w:val="both"/>
        <w:rPr>
          <w:rFonts w:ascii="Arial" w:eastAsia="Times New Roman" w:hAnsi="Arial" w:cs="Arial"/>
          <w:kern w:val="0"/>
          <w:sz w:val="20"/>
          <w:szCs w:val="20"/>
          <w:lang w:val="es-ES_tradnl" w:eastAsia="es-MX"/>
          <w14:ligatures w14:val="none"/>
        </w:rPr>
      </w:pPr>
    </w:p>
    <w:p w14:paraId="724BEBAA" w14:textId="77777777" w:rsidR="00495606" w:rsidRDefault="00495606" w:rsidP="008E7F5C">
      <w:pPr>
        <w:spacing w:after="0" w:line="240" w:lineRule="auto"/>
        <w:jc w:val="both"/>
        <w:rPr>
          <w:rFonts w:ascii="Arial" w:eastAsia="Times New Roman" w:hAnsi="Arial" w:cs="Arial"/>
          <w:kern w:val="0"/>
          <w:sz w:val="20"/>
          <w:szCs w:val="20"/>
          <w:lang w:val="es-ES_tradnl" w:eastAsia="es-MX"/>
          <w14:ligatures w14:val="none"/>
        </w:rPr>
      </w:pPr>
    </w:p>
    <w:p w14:paraId="46080430" w14:textId="77777777" w:rsidR="00FE7A30" w:rsidRDefault="00FE7A30" w:rsidP="008E7F5C">
      <w:pPr>
        <w:spacing w:after="0" w:line="240" w:lineRule="auto"/>
        <w:jc w:val="both"/>
        <w:rPr>
          <w:rFonts w:ascii="Arial" w:eastAsia="Times New Roman" w:hAnsi="Arial" w:cs="Arial"/>
          <w:kern w:val="0"/>
          <w:sz w:val="20"/>
          <w:szCs w:val="20"/>
          <w:lang w:val="es-ES_tradnl" w:eastAsia="es-MX"/>
          <w14:ligatures w14:val="none"/>
        </w:rPr>
      </w:pPr>
    </w:p>
    <w:p w14:paraId="4D240545" w14:textId="77777777" w:rsidR="00FE7A30" w:rsidRDefault="00FE7A30" w:rsidP="008E7F5C">
      <w:pPr>
        <w:spacing w:after="0" w:line="240" w:lineRule="auto"/>
        <w:jc w:val="both"/>
        <w:rPr>
          <w:rFonts w:ascii="Arial" w:eastAsia="Times New Roman" w:hAnsi="Arial" w:cs="Arial"/>
          <w:kern w:val="0"/>
          <w:sz w:val="20"/>
          <w:szCs w:val="20"/>
          <w:lang w:val="es-ES_tradnl" w:eastAsia="es-MX"/>
          <w14:ligatures w14:val="none"/>
        </w:rPr>
      </w:pPr>
    </w:p>
    <w:p w14:paraId="458A2BEA" w14:textId="77777777" w:rsidR="00FE7A30" w:rsidRDefault="00FE7A30" w:rsidP="008E7F5C">
      <w:pPr>
        <w:spacing w:after="0" w:line="240" w:lineRule="auto"/>
        <w:jc w:val="both"/>
        <w:rPr>
          <w:rFonts w:ascii="Arial" w:eastAsia="Times New Roman" w:hAnsi="Arial" w:cs="Arial"/>
          <w:kern w:val="0"/>
          <w:sz w:val="20"/>
          <w:szCs w:val="20"/>
          <w:lang w:val="es-ES_tradnl" w:eastAsia="es-MX"/>
          <w14:ligatures w14:val="none"/>
        </w:rPr>
      </w:pPr>
    </w:p>
    <w:p w14:paraId="46F3EDDE" w14:textId="77777777" w:rsidR="00FE7A30" w:rsidRDefault="00FE7A30" w:rsidP="008E7F5C">
      <w:pPr>
        <w:spacing w:after="0" w:line="240" w:lineRule="auto"/>
        <w:jc w:val="both"/>
        <w:rPr>
          <w:rFonts w:ascii="Arial" w:eastAsia="Times New Roman" w:hAnsi="Arial" w:cs="Arial"/>
          <w:kern w:val="0"/>
          <w:sz w:val="20"/>
          <w:szCs w:val="20"/>
          <w:lang w:val="es-ES_tradnl" w:eastAsia="es-MX"/>
          <w14:ligatures w14:val="none"/>
        </w:rPr>
      </w:pPr>
    </w:p>
    <w:p w14:paraId="7336F80B" w14:textId="77777777" w:rsidR="00FE7A30" w:rsidRDefault="00FE7A30" w:rsidP="008E7F5C">
      <w:pPr>
        <w:spacing w:after="0" w:line="240" w:lineRule="auto"/>
        <w:jc w:val="both"/>
        <w:rPr>
          <w:rFonts w:ascii="Arial" w:eastAsia="Times New Roman" w:hAnsi="Arial" w:cs="Arial"/>
          <w:kern w:val="0"/>
          <w:sz w:val="20"/>
          <w:szCs w:val="20"/>
          <w:lang w:val="es-ES_tradnl" w:eastAsia="es-MX"/>
          <w14:ligatures w14:val="none"/>
        </w:rPr>
      </w:pPr>
    </w:p>
    <w:p w14:paraId="2D62D243" w14:textId="77777777" w:rsidR="00FE7A30" w:rsidRDefault="00FE7A30" w:rsidP="008E7F5C">
      <w:pPr>
        <w:spacing w:after="0" w:line="240" w:lineRule="auto"/>
        <w:jc w:val="both"/>
        <w:rPr>
          <w:rFonts w:ascii="Arial" w:eastAsia="Times New Roman" w:hAnsi="Arial" w:cs="Arial"/>
          <w:kern w:val="0"/>
          <w:sz w:val="20"/>
          <w:szCs w:val="20"/>
          <w:lang w:val="es-ES_tradnl" w:eastAsia="es-MX"/>
          <w14:ligatures w14:val="none"/>
        </w:rPr>
      </w:pPr>
    </w:p>
    <w:p w14:paraId="1A98F205" w14:textId="77777777" w:rsidR="00FE7A30" w:rsidRDefault="00FE7A30" w:rsidP="008E7F5C">
      <w:pPr>
        <w:spacing w:after="0" w:line="240" w:lineRule="auto"/>
        <w:jc w:val="both"/>
        <w:rPr>
          <w:rFonts w:ascii="Arial" w:eastAsia="Times New Roman" w:hAnsi="Arial" w:cs="Arial"/>
          <w:kern w:val="0"/>
          <w:sz w:val="20"/>
          <w:szCs w:val="20"/>
          <w:lang w:val="es-ES_tradnl" w:eastAsia="es-MX"/>
          <w14:ligatures w14:val="none"/>
        </w:rPr>
      </w:pPr>
    </w:p>
    <w:p w14:paraId="4A39E77E" w14:textId="77777777" w:rsidR="00FE7A30" w:rsidRDefault="00FE7A30" w:rsidP="008E7F5C">
      <w:pPr>
        <w:spacing w:after="0" w:line="240" w:lineRule="auto"/>
        <w:jc w:val="both"/>
        <w:rPr>
          <w:rFonts w:ascii="Arial" w:eastAsia="Times New Roman" w:hAnsi="Arial" w:cs="Arial"/>
          <w:kern w:val="0"/>
          <w:sz w:val="20"/>
          <w:szCs w:val="20"/>
          <w:lang w:val="es-ES_tradnl" w:eastAsia="es-MX"/>
          <w14:ligatures w14:val="none"/>
        </w:rPr>
      </w:pPr>
    </w:p>
    <w:p w14:paraId="0D6E4FB1" w14:textId="77777777" w:rsidR="00FE7A30" w:rsidRDefault="00FE7A30" w:rsidP="008E7F5C">
      <w:pPr>
        <w:spacing w:after="0" w:line="240" w:lineRule="auto"/>
        <w:jc w:val="both"/>
        <w:rPr>
          <w:rFonts w:ascii="Arial" w:eastAsia="Times New Roman" w:hAnsi="Arial" w:cs="Arial"/>
          <w:kern w:val="0"/>
          <w:sz w:val="20"/>
          <w:szCs w:val="20"/>
          <w:lang w:val="es-ES_tradnl" w:eastAsia="es-MX"/>
          <w14:ligatures w14:val="none"/>
        </w:rPr>
      </w:pPr>
    </w:p>
    <w:p w14:paraId="370BE8C3" w14:textId="77777777" w:rsidR="00FE7A30" w:rsidRDefault="00FE7A30" w:rsidP="008E7F5C">
      <w:pPr>
        <w:spacing w:after="0" w:line="240" w:lineRule="auto"/>
        <w:jc w:val="both"/>
        <w:rPr>
          <w:rFonts w:ascii="Arial" w:eastAsia="Times New Roman" w:hAnsi="Arial" w:cs="Arial"/>
          <w:kern w:val="0"/>
          <w:sz w:val="20"/>
          <w:szCs w:val="20"/>
          <w:lang w:val="es-ES_tradnl" w:eastAsia="es-MX"/>
          <w14:ligatures w14:val="none"/>
        </w:rPr>
      </w:pPr>
    </w:p>
    <w:p w14:paraId="4EAC05B3" w14:textId="77777777" w:rsidR="00FE7A30" w:rsidRDefault="00FE7A30" w:rsidP="008E7F5C">
      <w:pPr>
        <w:spacing w:after="0" w:line="240" w:lineRule="auto"/>
        <w:jc w:val="both"/>
        <w:rPr>
          <w:rFonts w:ascii="Arial" w:eastAsia="Times New Roman" w:hAnsi="Arial" w:cs="Arial"/>
          <w:kern w:val="0"/>
          <w:sz w:val="20"/>
          <w:szCs w:val="20"/>
          <w:lang w:val="es-ES_tradnl" w:eastAsia="es-MX"/>
          <w14:ligatures w14:val="none"/>
        </w:rPr>
      </w:pPr>
    </w:p>
    <w:p w14:paraId="5B288799" w14:textId="77777777" w:rsidR="00FE7A30" w:rsidRDefault="00FE7A30" w:rsidP="008E7F5C">
      <w:pPr>
        <w:spacing w:after="0" w:line="240" w:lineRule="auto"/>
        <w:jc w:val="both"/>
        <w:rPr>
          <w:rFonts w:ascii="Arial" w:eastAsia="Times New Roman" w:hAnsi="Arial" w:cs="Arial"/>
          <w:kern w:val="0"/>
          <w:sz w:val="20"/>
          <w:szCs w:val="20"/>
          <w:lang w:val="es-ES_tradnl" w:eastAsia="es-MX"/>
          <w14:ligatures w14:val="none"/>
        </w:rPr>
      </w:pPr>
    </w:p>
    <w:p w14:paraId="7D5A13F5" w14:textId="77777777" w:rsidR="00FE7A30" w:rsidRDefault="00FE7A30" w:rsidP="008E7F5C">
      <w:pPr>
        <w:spacing w:after="0" w:line="240" w:lineRule="auto"/>
        <w:jc w:val="both"/>
        <w:rPr>
          <w:rFonts w:ascii="Arial" w:eastAsia="Times New Roman" w:hAnsi="Arial" w:cs="Arial"/>
          <w:kern w:val="0"/>
          <w:sz w:val="20"/>
          <w:szCs w:val="20"/>
          <w:lang w:val="es-ES_tradnl" w:eastAsia="es-MX"/>
          <w14:ligatures w14:val="none"/>
        </w:rPr>
      </w:pPr>
    </w:p>
    <w:p w14:paraId="7339C997" w14:textId="77777777" w:rsidR="00FE7A30" w:rsidRDefault="00FE7A30" w:rsidP="008E7F5C">
      <w:pPr>
        <w:spacing w:after="0" w:line="240" w:lineRule="auto"/>
        <w:jc w:val="both"/>
        <w:rPr>
          <w:rFonts w:ascii="Arial" w:eastAsia="Times New Roman" w:hAnsi="Arial" w:cs="Arial"/>
          <w:kern w:val="0"/>
          <w:sz w:val="20"/>
          <w:szCs w:val="20"/>
          <w:lang w:val="es-ES_tradnl" w:eastAsia="es-MX"/>
          <w14:ligatures w14:val="none"/>
        </w:rPr>
      </w:pPr>
    </w:p>
    <w:p w14:paraId="554C3194" w14:textId="77777777" w:rsidR="00FE7A30" w:rsidRDefault="00FE7A30" w:rsidP="008E7F5C">
      <w:pPr>
        <w:spacing w:after="0" w:line="240" w:lineRule="auto"/>
        <w:jc w:val="both"/>
        <w:rPr>
          <w:rFonts w:ascii="Arial" w:eastAsia="Times New Roman" w:hAnsi="Arial" w:cs="Arial"/>
          <w:kern w:val="0"/>
          <w:sz w:val="20"/>
          <w:szCs w:val="20"/>
          <w:lang w:val="es-ES_tradnl" w:eastAsia="es-MX"/>
          <w14:ligatures w14:val="none"/>
        </w:rPr>
      </w:pPr>
    </w:p>
    <w:p w14:paraId="72B326CC" w14:textId="77777777" w:rsidR="00FE7A30" w:rsidRDefault="00FE7A30" w:rsidP="008E7F5C">
      <w:pPr>
        <w:spacing w:after="0" w:line="240" w:lineRule="auto"/>
        <w:jc w:val="both"/>
        <w:rPr>
          <w:rFonts w:ascii="Arial" w:eastAsia="Times New Roman" w:hAnsi="Arial" w:cs="Arial"/>
          <w:kern w:val="0"/>
          <w:sz w:val="20"/>
          <w:szCs w:val="20"/>
          <w:lang w:val="es-ES_tradnl" w:eastAsia="es-MX"/>
          <w14:ligatures w14:val="none"/>
        </w:rPr>
      </w:pPr>
    </w:p>
    <w:p w14:paraId="19A3B907" w14:textId="77777777" w:rsidR="00FE7A30" w:rsidRDefault="00FE7A30" w:rsidP="008E7F5C">
      <w:pPr>
        <w:spacing w:after="0" w:line="240" w:lineRule="auto"/>
        <w:jc w:val="both"/>
        <w:rPr>
          <w:rFonts w:ascii="Arial" w:eastAsia="Times New Roman" w:hAnsi="Arial" w:cs="Arial"/>
          <w:kern w:val="0"/>
          <w:sz w:val="20"/>
          <w:szCs w:val="20"/>
          <w:lang w:val="es-ES_tradnl" w:eastAsia="es-MX"/>
          <w14:ligatures w14:val="none"/>
        </w:rPr>
      </w:pPr>
    </w:p>
    <w:p w14:paraId="02572ADD" w14:textId="77777777" w:rsidR="00FE7A30" w:rsidRDefault="00FE7A30" w:rsidP="008E7F5C">
      <w:pPr>
        <w:spacing w:after="0" w:line="240" w:lineRule="auto"/>
        <w:jc w:val="both"/>
        <w:rPr>
          <w:rFonts w:ascii="Arial" w:eastAsia="Times New Roman" w:hAnsi="Arial" w:cs="Arial"/>
          <w:kern w:val="0"/>
          <w:sz w:val="20"/>
          <w:szCs w:val="20"/>
          <w:lang w:val="es-ES_tradnl" w:eastAsia="es-MX"/>
          <w14:ligatures w14:val="none"/>
        </w:rPr>
      </w:pPr>
    </w:p>
    <w:p w14:paraId="4C4468AA" w14:textId="77777777" w:rsidR="00FE7A30" w:rsidRDefault="00FE7A30" w:rsidP="008E7F5C">
      <w:pPr>
        <w:spacing w:after="0" w:line="240" w:lineRule="auto"/>
        <w:jc w:val="both"/>
        <w:rPr>
          <w:rFonts w:ascii="Arial" w:eastAsia="Times New Roman" w:hAnsi="Arial" w:cs="Arial"/>
          <w:kern w:val="0"/>
          <w:sz w:val="20"/>
          <w:szCs w:val="20"/>
          <w:lang w:val="es-ES_tradnl" w:eastAsia="es-MX"/>
          <w14:ligatures w14:val="none"/>
        </w:rPr>
      </w:pPr>
    </w:p>
    <w:p w14:paraId="21D15A6A" w14:textId="77777777" w:rsidR="00FE7A30" w:rsidRDefault="00FE7A30" w:rsidP="008E7F5C">
      <w:pPr>
        <w:spacing w:after="0" w:line="240" w:lineRule="auto"/>
        <w:jc w:val="both"/>
        <w:rPr>
          <w:rFonts w:ascii="Arial" w:eastAsia="Times New Roman" w:hAnsi="Arial" w:cs="Arial"/>
          <w:kern w:val="0"/>
          <w:sz w:val="20"/>
          <w:szCs w:val="20"/>
          <w:lang w:val="es-ES_tradnl" w:eastAsia="es-MX"/>
          <w14:ligatures w14:val="none"/>
        </w:rPr>
      </w:pPr>
    </w:p>
    <w:p w14:paraId="7602DA87" w14:textId="77777777" w:rsidR="00FE7A30" w:rsidRDefault="00FE7A30" w:rsidP="008E7F5C">
      <w:pPr>
        <w:spacing w:after="0" w:line="240" w:lineRule="auto"/>
        <w:jc w:val="both"/>
        <w:rPr>
          <w:rFonts w:ascii="Arial" w:eastAsia="Times New Roman" w:hAnsi="Arial" w:cs="Arial"/>
          <w:kern w:val="0"/>
          <w:sz w:val="20"/>
          <w:szCs w:val="20"/>
          <w:lang w:val="es-ES_tradnl" w:eastAsia="es-MX"/>
          <w14:ligatures w14:val="none"/>
        </w:rPr>
      </w:pPr>
    </w:p>
    <w:p w14:paraId="49E10C42" w14:textId="77777777" w:rsidR="00FE7A30" w:rsidRDefault="00FE7A30" w:rsidP="008E7F5C">
      <w:pPr>
        <w:spacing w:after="0" w:line="240" w:lineRule="auto"/>
        <w:jc w:val="both"/>
        <w:rPr>
          <w:rFonts w:ascii="Arial" w:eastAsia="Times New Roman" w:hAnsi="Arial" w:cs="Arial"/>
          <w:kern w:val="0"/>
          <w:sz w:val="20"/>
          <w:szCs w:val="20"/>
          <w:lang w:val="es-ES_tradnl" w:eastAsia="es-MX"/>
          <w14:ligatures w14:val="none"/>
        </w:rPr>
      </w:pPr>
    </w:p>
    <w:p w14:paraId="1FC5824A" w14:textId="77777777" w:rsidR="00FE7A30" w:rsidRDefault="00FE7A30" w:rsidP="008E7F5C">
      <w:pPr>
        <w:spacing w:after="0" w:line="240" w:lineRule="auto"/>
        <w:jc w:val="both"/>
        <w:rPr>
          <w:rFonts w:ascii="Arial" w:eastAsia="Times New Roman" w:hAnsi="Arial" w:cs="Arial"/>
          <w:kern w:val="0"/>
          <w:sz w:val="20"/>
          <w:szCs w:val="20"/>
          <w:lang w:val="es-ES_tradnl" w:eastAsia="es-MX"/>
          <w14:ligatures w14:val="none"/>
        </w:rPr>
      </w:pPr>
    </w:p>
    <w:p w14:paraId="406E198E" w14:textId="77777777" w:rsidR="00FE7A30" w:rsidRDefault="00FE7A30" w:rsidP="008E7F5C">
      <w:pPr>
        <w:spacing w:after="0" w:line="240" w:lineRule="auto"/>
        <w:jc w:val="both"/>
        <w:rPr>
          <w:rFonts w:ascii="Arial" w:eastAsia="Times New Roman" w:hAnsi="Arial" w:cs="Arial"/>
          <w:kern w:val="0"/>
          <w:sz w:val="20"/>
          <w:szCs w:val="20"/>
          <w:lang w:val="es-ES_tradnl" w:eastAsia="es-MX"/>
          <w14:ligatures w14:val="none"/>
        </w:rPr>
      </w:pPr>
    </w:p>
    <w:p w14:paraId="0A86E559" w14:textId="77777777" w:rsidR="00FE7A30" w:rsidRDefault="00FE7A30" w:rsidP="008E7F5C">
      <w:pPr>
        <w:spacing w:after="0" w:line="240" w:lineRule="auto"/>
        <w:jc w:val="both"/>
        <w:rPr>
          <w:rFonts w:ascii="Arial" w:eastAsia="Times New Roman" w:hAnsi="Arial" w:cs="Arial"/>
          <w:kern w:val="0"/>
          <w:sz w:val="20"/>
          <w:szCs w:val="20"/>
          <w:lang w:val="es-ES_tradnl" w:eastAsia="es-MX"/>
          <w14:ligatures w14:val="none"/>
        </w:rPr>
      </w:pPr>
    </w:p>
    <w:p w14:paraId="04CFC172" w14:textId="77777777" w:rsidR="00FE7A30" w:rsidRDefault="00FE7A30" w:rsidP="008E7F5C">
      <w:pPr>
        <w:spacing w:after="0" w:line="240" w:lineRule="auto"/>
        <w:jc w:val="both"/>
        <w:rPr>
          <w:rFonts w:ascii="Arial" w:eastAsia="Times New Roman" w:hAnsi="Arial" w:cs="Arial"/>
          <w:kern w:val="0"/>
          <w:sz w:val="20"/>
          <w:szCs w:val="20"/>
          <w:lang w:val="es-ES_tradnl" w:eastAsia="es-MX"/>
          <w14:ligatures w14:val="none"/>
        </w:rPr>
      </w:pPr>
    </w:p>
    <w:p w14:paraId="7144337A" w14:textId="77777777" w:rsidR="00FE7A30" w:rsidRPr="00FE7A30" w:rsidRDefault="00FE7A30" w:rsidP="008E7F5C">
      <w:pPr>
        <w:spacing w:after="0" w:line="240" w:lineRule="auto"/>
        <w:jc w:val="both"/>
        <w:rPr>
          <w:rFonts w:ascii="Arial" w:eastAsia="Times New Roman" w:hAnsi="Arial" w:cs="Arial"/>
          <w:kern w:val="0"/>
          <w:sz w:val="20"/>
          <w:szCs w:val="20"/>
          <w:lang w:val="es-ES_tradnl" w:eastAsia="es-MX"/>
          <w14:ligatures w14:val="none"/>
        </w:rPr>
      </w:pPr>
    </w:p>
    <w:p w14:paraId="4BC397FB" w14:textId="77777777" w:rsidR="00495606" w:rsidRDefault="00495606" w:rsidP="008E7F5C">
      <w:pPr>
        <w:spacing w:after="0" w:line="240" w:lineRule="auto"/>
        <w:jc w:val="both"/>
        <w:rPr>
          <w:rFonts w:ascii="Arial" w:eastAsia="Times New Roman" w:hAnsi="Arial" w:cs="Arial"/>
          <w:kern w:val="0"/>
          <w:sz w:val="20"/>
          <w:szCs w:val="20"/>
          <w:lang w:eastAsia="es-MX"/>
          <w14:ligatures w14:val="none"/>
        </w:rPr>
      </w:pPr>
    </w:p>
    <w:bookmarkEnd w:id="2"/>
    <w:p w14:paraId="11B23F0A" w14:textId="77777777" w:rsidR="008E7F5C" w:rsidRPr="008E7F5C" w:rsidRDefault="008E7F5C" w:rsidP="008E7F5C">
      <w:pPr>
        <w:spacing w:after="0" w:line="276" w:lineRule="auto"/>
        <w:contextualSpacing/>
        <w:rPr>
          <w:rFonts w:ascii="Arial" w:eastAsia="Calibri" w:hAnsi="Arial" w:cs="Arial"/>
          <w:kern w:val="0"/>
          <w:sz w:val="20"/>
          <w:szCs w:val="20"/>
          <w:lang w:eastAsia="es-CO"/>
          <w14:ligatures w14:val="none"/>
        </w:rPr>
      </w:pPr>
    </w:p>
    <w:p w14:paraId="5C3C0D12" w14:textId="343681D0" w:rsidR="008E7F5C" w:rsidRPr="008E7F5C" w:rsidRDefault="008E7F5C" w:rsidP="008E7F5C">
      <w:pPr>
        <w:spacing w:after="0" w:line="240" w:lineRule="auto"/>
        <w:rPr>
          <w:rFonts w:ascii="Arial" w:eastAsia="Times New Roman" w:hAnsi="Arial" w:cs="Arial"/>
          <w:kern w:val="0"/>
          <w:szCs w:val="24"/>
          <w:lang w:eastAsia="es-ES_tradnl"/>
          <w14:ligatures w14:val="none"/>
        </w:rPr>
      </w:pPr>
      <w:r w:rsidRPr="008E7F5C">
        <w:rPr>
          <w:rFonts w:ascii="Arial" w:eastAsia="Times New Roman" w:hAnsi="Arial" w:cs="Arial"/>
          <w:kern w:val="0"/>
          <w:szCs w:val="24"/>
          <w:shd w:val="clear" w:color="auto" w:fill="E6E6E6"/>
          <w:lang w:eastAsia="es-CO"/>
          <w14:ligatures w14:val="none"/>
        </w:rPr>
        <w:lastRenderedPageBreak/>
        <w:t xml:space="preserve">Bogotá D.C., </w:t>
      </w:r>
      <w:r w:rsidR="001E67A1">
        <w:rPr>
          <w:rFonts w:ascii="Arial" w:eastAsia="Times New Roman" w:hAnsi="Arial" w:cs="Arial"/>
          <w:kern w:val="0"/>
          <w:szCs w:val="24"/>
          <w:shd w:val="clear" w:color="auto" w:fill="E6E6E6"/>
          <w:lang w:eastAsia="es-CO"/>
          <w14:ligatures w14:val="none"/>
        </w:rPr>
        <w:t>2</w:t>
      </w:r>
      <w:r w:rsidR="00F657BC">
        <w:rPr>
          <w:rFonts w:ascii="Arial" w:eastAsia="Times New Roman" w:hAnsi="Arial" w:cs="Arial"/>
          <w:kern w:val="0"/>
          <w:szCs w:val="24"/>
          <w:shd w:val="clear" w:color="auto" w:fill="E6E6E6"/>
          <w:lang w:eastAsia="es-CO"/>
          <w14:ligatures w14:val="none"/>
        </w:rPr>
        <w:t xml:space="preserve"> </w:t>
      </w:r>
      <w:r w:rsidRPr="008E7F5C">
        <w:rPr>
          <w:rFonts w:ascii="Arial" w:eastAsia="Times New Roman" w:hAnsi="Arial" w:cs="Arial"/>
          <w:kern w:val="0"/>
          <w:szCs w:val="24"/>
          <w:shd w:val="clear" w:color="auto" w:fill="E6E6E6"/>
          <w:lang w:eastAsia="es-CO"/>
          <w14:ligatures w14:val="none"/>
        </w:rPr>
        <w:t xml:space="preserve">de </w:t>
      </w:r>
      <w:r w:rsidR="00F657BC">
        <w:rPr>
          <w:rFonts w:ascii="Arial" w:eastAsia="Times New Roman" w:hAnsi="Arial" w:cs="Arial"/>
          <w:kern w:val="0"/>
          <w:szCs w:val="24"/>
          <w:shd w:val="clear" w:color="auto" w:fill="E6E6E6"/>
          <w:lang w:eastAsia="es-CO"/>
          <w14:ligatures w14:val="none"/>
        </w:rPr>
        <w:t xml:space="preserve">agosto </w:t>
      </w:r>
      <w:r w:rsidRPr="008E7F5C">
        <w:rPr>
          <w:rFonts w:ascii="Arial" w:eastAsia="Times New Roman" w:hAnsi="Arial" w:cs="Arial"/>
          <w:kern w:val="0"/>
          <w:szCs w:val="24"/>
          <w:shd w:val="clear" w:color="auto" w:fill="E6E6E6"/>
          <w:lang w:eastAsia="es-CO"/>
          <w14:ligatures w14:val="none"/>
        </w:rPr>
        <w:t>de 2023</w:t>
      </w:r>
    </w:p>
    <w:p w14:paraId="06CE50EC" w14:textId="77777777" w:rsidR="008E7F5C" w:rsidRPr="00505895" w:rsidRDefault="008E7F5C" w:rsidP="008E7F5C">
      <w:pPr>
        <w:spacing w:after="0" w:line="276" w:lineRule="auto"/>
        <w:jc w:val="both"/>
        <w:rPr>
          <w:rFonts w:ascii="Arial" w:eastAsia="Times New Roman" w:hAnsi="Arial" w:cs="Arial"/>
          <w:noProof/>
          <w:kern w:val="0"/>
          <w:szCs w:val="24"/>
          <w:lang w:eastAsia="es-ES_tradnl"/>
          <w14:ligatures w14:val="none"/>
        </w:rPr>
      </w:pPr>
    </w:p>
    <w:p w14:paraId="340317FF" w14:textId="77777777" w:rsidR="008E7F5C" w:rsidRPr="008E7F5C" w:rsidRDefault="008E7F5C" w:rsidP="008E7F5C">
      <w:pPr>
        <w:spacing w:after="0" w:line="276" w:lineRule="auto"/>
        <w:jc w:val="both"/>
        <w:rPr>
          <w:rFonts w:ascii="Arial" w:eastAsia="Times New Roman" w:hAnsi="Arial" w:cs="Arial"/>
          <w:noProof/>
          <w:kern w:val="0"/>
          <w:szCs w:val="24"/>
          <w:lang w:val="es-ES_tradnl" w:eastAsia="es-ES_tradnl"/>
          <w14:ligatures w14:val="none"/>
        </w:rPr>
      </w:pPr>
      <w:bookmarkStart w:id="5" w:name="_Hlk140827279"/>
    </w:p>
    <w:p w14:paraId="75BC5631" w14:textId="77777777" w:rsidR="008E7F5C" w:rsidRPr="008E7F5C" w:rsidRDefault="008E7F5C" w:rsidP="008E7F5C">
      <w:pPr>
        <w:spacing w:after="0" w:line="276" w:lineRule="auto"/>
        <w:contextualSpacing/>
        <w:rPr>
          <w:rFonts w:ascii="Arial" w:eastAsia="Calibri" w:hAnsi="Arial" w:cs="Arial"/>
          <w:kern w:val="0"/>
          <w:lang w:eastAsia="es-CO"/>
          <w14:ligatures w14:val="none"/>
        </w:rPr>
      </w:pPr>
      <w:r w:rsidRPr="008E7F5C">
        <w:rPr>
          <w:rFonts w:ascii="Arial" w:eastAsia="Calibri" w:hAnsi="Arial" w:cs="Arial"/>
          <w:kern w:val="0"/>
          <w:lang w:eastAsia="es-CO"/>
          <w14:ligatures w14:val="none"/>
        </w:rPr>
        <w:t>Señor</w:t>
      </w:r>
    </w:p>
    <w:p w14:paraId="1E0688DE" w14:textId="6C60AE97" w:rsidR="008E7F5C" w:rsidRPr="00B875C9" w:rsidRDefault="00AA587F" w:rsidP="008E7F5C">
      <w:pPr>
        <w:spacing w:after="0" w:line="276" w:lineRule="auto"/>
        <w:contextualSpacing/>
        <w:rPr>
          <w:rFonts w:ascii="Arial" w:eastAsia="Calibri" w:hAnsi="Arial" w:cs="Arial"/>
          <w:b/>
          <w:bCs/>
          <w:kern w:val="0"/>
          <w:lang w:eastAsia="es-CO"/>
          <w14:ligatures w14:val="none"/>
        </w:rPr>
      </w:pPr>
      <w:r>
        <w:rPr>
          <w:rFonts w:ascii="Arial" w:eastAsia="Calibri" w:hAnsi="Arial" w:cs="Arial"/>
          <w:b/>
          <w:bCs/>
          <w:kern w:val="0"/>
          <w:lang w:eastAsia="es-CO"/>
          <w14:ligatures w14:val="none"/>
        </w:rPr>
        <w:t>Gerardo Santamaría Borda</w:t>
      </w:r>
    </w:p>
    <w:p w14:paraId="7BBD6B23" w14:textId="0B851662" w:rsidR="008E7F5C" w:rsidRPr="008E7F5C" w:rsidRDefault="00AA587F" w:rsidP="008E7F5C">
      <w:pPr>
        <w:spacing w:after="0" w:line="276" w:lineRule="auto"/>
        <w:contextualSpacing/>
        <w:rPr>
          <w:rFonts w:ascii="Arial" w:eastAsia="Calibri" w:hAnsi="Arial" w:cs="Arial"/>
          <w:kern w:val="0"/>
          <w:lang w:eastAsia="es-CO"/>
          <w14:ligatures w14:val="none"/>
        </w:rPr>
      </w:pPr>
      <w:r>
        <w:rPr>
          <w:rFonts w:ascii="Arial" w:eastAsia="Calibri" w:hAnsi="Arial" w:cs="Arial"/>
          <w:kern w:val="0"/>
          <w:lang w:eastAsia="es-CO"/>
          <w14:ligatures w14:val="none"/>
        </w:rPr>
        <w:t>Bogotá D.C.</w:t>
      </w:r>
    </w:p>
    <w:p w14:paraId="2CC40A4A" w14:textId="77777777" w:rsidR="008E7F5C" w:rsidRPr="008E7F5C" w:rsidRDefault="008E7F5C" w:rsidP="008E7F5C">
      <w:pPr>
        <w:spacing w:after="0" w:line="276" w:lineRule="auto"/>
        <w:contextualSpacing/>
        <w:rPr>
          <w:rFonts w:ascii="Arial" w:eastAsia="Calibri" w:hAnsi="Arial" w:cs="Arial"/>
          <w:kern w:val="0"/>
          <w:lang w:eastAsia="es-CO"/>
          <w14:ligatures w14:val="none"/>
        </w:rPr>
      </w:pPr>
    </w:p>
    <w:p w14:paraId="532E09E7" w14:textId="77777777" w:rsidR="008E7F5C" w:rsidRPr="008E7F5C" w:rsidRDefault="008E7F5C" w:rsidP="008E7F5C">
      <w:pPr>
        <w:spacing w:after="0" w:line="240" w:lineRule="auto"/>
        <w:contextualSpacing/>
        <w:rPr>
          <w:rFonts w:ascii="Arial" w:eastAsia="Calibri" w:hAnsi="Arial" w:cs="Arial"/>
          <w:kern w:val="0"/>
          <w:szCs w:val="24"/>
          <w:lang w:eastAsia="es-CO"/>
          <w14:ligatures w14:val="none"/>
        </w:rPr>
      </w:pPr>
    </w:p>
    <w:p w14:paraId="283EBDF5" w14:textId="5C0216E7" w:rsidR="008E7F5C" w:rsidRPr="008E7F5C" w:rsidRDefault="008E7F5C" w:rsidP="008E7F5C">
      <w:pPr>
        <w:spacing w:after="0" w:line="240" w:lineRule="auto"/>
        <w:ind w:right="571"/>
        <w:contextualSpacing/>
        <w:jc w:val="center"/>
        <w:rPr>
          <w:rFonts w:ascii="Arial" w:eastAsia="Calibri" w:hAnsi="Arial" w:cs="Arial"/>
          <w:b/>
          <w:bCs/>
          <w:kern w:val="0"/>
          <w:szCs w:val="24"/>
          <w:lang w:eastAsia="es-CO"/>
          <w14:ligatures w14:val="none"/>
        </w:rPr>
      </w:pPr>
      <w:r w:rsidRPr="008E7F5C">
        <w:rPr>
          <w:rFonts w:ascii="Arial" w:eastAsia="Calibri" w:hAnsi="Arial" w:cs="Arial"/>
          <w:b/>
          <w:bCs/>
          <w:kern w:val="0"/>
          <w:szCs w:val="24"/>
          <w:lang w:eastAsia="es-CO"/>
          <w14:ligatures w14:val="none"/>
        </w:rPr>
        <w:t>Concepto</w:t>
      </w:r>
      <w:r w:rsidR="00505895">
        <w:rPr>
          <w:rFonts w:ascii="Arial" w:eastAsia="Calibri" w:hAnsi="Arial" w:cs="Arial"/>
          <w:b/>
          <w:bCs/>
          <w:kern w:val="0"/>
          <w:szCs w:val="24"/>
          <w:lang w:eastAsia="es-CO"/>
          <w14:ligatures w14:val="none"/>
        </w:rPr>
        <w:t xml:space="preserve"> </w:t>
      </w:r>
      <w:r w:rsidRPr="008E7F5C">
        <w:rPr>
          <w:rFonts w:ascii="Arial" w:eastAsia="Calibri" w:hAnsi="Arial" w:cs="Arial"/>
          <w:b/>
          <w:bCs/>
          <w:kern w:val="0"/>
          <w:szCs w:val="24"/>
          <w:lang w:eastAsia="es-CO"/>
          <w14:ligatures w14:val="none"/>
        </w:rPr>
        <w:t>C-</w:t>
      </w:r>
      <w:r w:rsidR="00AA587F">
        <w:rPr>
          <w:rFonts w:ascii="Arial" w:eastAsia="Calibri" w:hAnsi="Arial" w:cs="Arial"/>
          <w:b/>
          <w:bCs/>
          <w:kern w:val="0"/>
          <w:szCs w:val="24"/>
          <w:lang w:eastAsia="es-CO"/>
          <w14:ligatures w14:val="none"/>
        </w:rPr>
        <w:t xml:space="preserve">318 </w:t>
      </w:r>
      <w:r w:rsidRPr="008E7F5C">
        <w:rPr>
          <w:rFonts w:ascii="Arial" w:eastAsia="Calibri" w:hAnsi="Arial" w:cs="Arial"/>
          <w:b/>
          <w:bCs/>
          <w:kern w:val="0"/>
          <w:szCs w:val="24"/>
          <w:lang w:eastAsia="es-CO"/>
          <w14:ligatures w14:val="none"/>
        </w:rPr>
        <w:t>de 2023</w:t>
      </w:r>
    </w:p>
    <w:p w14:paraId="0A0A2E15" w14:textId="77777777" w:rsidR="008E7F5C" w:rsidRPr="008E7F5C" w:rsidRDefault="008E7F5C" w:rsidP="008E7F5C">
      <w:pPr>
        <w:spacing w:after="0" w:line="240" w:lineRule="auto"/>
        <w:jc w:val="both"/>
        <w:rPr>
          <w:rFonts w:ascii="Arial" w:eastAsia="Calibri" w:hAnsi="Arial" w:cs="Arial"/>
          <w:kern w:val="0"/>
          <w:szCs w:val="24"/>
          <w:lang w:val="es-ES_tradnl" w:eastAsia="es-ES_tradnl"/>
          <w14:ligatures w14:val="none"/>
        </w:rPr>
      </w:pPr>
    </w:p>
    <w:tbl>
      <w:tblPr>
        <w:tblStyle w:val="Tablaconcuadrcula"/>
        <w:tblW w:w="8075"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38"/>
        <w:gridCol w:w="6237"/>
      </w:tblGrid>
      <w:tr w:rsidR="008E7F5C" w:rsidRPr="008E7F5C" w14:paraId="464F5B1C" w14:textId="77777777" w:rsidTr="006F41D8">
        <w:trPr>
          <w:jc w:val="right"/>
        </w:trPr>
        <w:tc>
          <w:tcPr>
            <w:tcW w:w="1838" w:type="dxa"/>
          </w:tcPr>
          <w:p w14:paraId="43969972" w14:textId="77777777" w:rsidR="008E7F5C" w:rsidRPr="008E7F5C" w:rsidRDefault="008E7F5C" w:rsidP="008E7F5C">
            <w:pPr>
              <w:jc w:val="center"/>
              <w:rPr>
                <w:rFonts w:ascii="Arial" w:eastAsia="Calibri" w:hAnsi="Arial" w:cs="Arial"/>
                <w:szCs w:val="24"/>
                <w:lang w:val="es-ES_tradnl" w:eastAsia="es-ES_tradnl"/>
              </w:rPr>
            </w:pPr>
            <w:r w:rsidRPr="008E7F5C">
              <w:rPr>
                <w:rFonts w:ascii="Arial" w:eastAsia="Calibri" w:hAnsi="Arial" w:cs="Arial"/>
                <w:b/>
                <w:szCs w:val="24"/>
                <w:lang w:val="es-ES_tradnl" w:eastAsia="es-ES_tradnl"/>
              </w:rPr>
              <w:t>Temas:</w:t>
            </w:r>
          </w:p>
        </w:tc>
        <w:tc>
          <w:tcPr>
            <w:tcW w:w="6237" w:type="dxa"/>
          </w:tcPr>
          <w:p w14:paraId="03897EA3" w14:textId="309921DF" w:rsidR="008E7F5C" w:rsidRPr="008E7F5C" w:rsidRDefault="008E7F5C" w:rsidP="008E7F5C">
            <w:pPr>
              <w:jc w:val="both"/>
              <w:rPr>
                <w:rFonts w:ascii="Arial" w:eastAsia="Calibri" w:hAnsi="Arial" w:cs="Arial"/>
                <w:szCs w:val="24"/>
                <w:lang w:val="es-ES_tradnl" w:eastAsia="es-ES_tradnl"/>
              </w:rPr>
            </w:pPr>
            <w:r w:rsidRPr="008E7F5C">
              <w:rPr>
                <w:rFonts w:ascii="Arial" w:eastAsia="Calibri" w:hAnsi="Arial" w:cs="Arial"/>
                <w:szCs w:val="24"/>
                <w:lang w:eastAsia="es-ES_tradnl"/>
              </w:rPr>
              <w:t>COLOMBIA COMPRA EFICIENTE –</w:t>
            </w:r>
            <w:r w:rsidR="00E0709A">
              <w:rPr>
                <w:rFonts w:ascii="Arial" w:eastAsia="Calibri" w:hAnsi="Arial" w:cs="Arial"/>
                <w:szCs w:val="24"/>
                <w:lang w:eastAsia="es-ES_tradnl"/>
              </w:rPr>
              <w:t xml:space="preserve"> </w:t>
            </w:r>
            <w:r w:rsidRPr="008E7F5C">
              <w:rPr>
                <w:rFonts w:ascii="Arial" w:eastAsia="Calibri" w:hAnsi="Arial" w:cs="Arial"/>
                <w:szCs w:val="24"/>
                <w:lang w:eastAsia="es-ES_tradnl"/>
              </w:rPr>
              <w:t>Competencia Consultiva – Contratación Estatal – Normas</w:t>
            </w:r>
            <w:r w:rsidR="00E0709A">
              <w:rPr>
                <w:rFonts w:ascii="Arial" w:eastAsia="Calibri" w:hAnsi="Arial" w:cs="Arial"/>
                <w:szCs w:val="24"/>
                <w:lang w:eastAsia="es-ES_tradnl"/>
              </w:rPr>
              <w:t xml:space="preserve"> </w:t>
            </w:r>
            <w:r w:rsidRPr="008E7F5C">
              <w:rPr>
                <w:rFonts w:ascii="Arial" w:eastAsia="Calibri" w:hAnsi="Arial" w:cs="Arial"/>
                <w:szCs w:val="24"/>
                <w:lang w:eastAsia="es-ES_tradnl"/>
              </w:rPr>
              <w:t>Generales</w:t>
            </w:r>
            <w:r w:rsidRPr="008E7F5C">
              <w:rPr>
                <w:rFonts w:ascii="Arial" w:eastAsia="Calibri" w:hAnsi="Arial" w:cs="Arial"/>
                <w:szCs w:val="24"/>
                <w:lang w:val="es-ES_tradnl" w:eastAsia="es-ES_tradnl"/>
              </w:rPr>
              <w:t xml:space="preserve"> / </w:t>
            </w:r>
            <w:r w:rsidR="005557F8" w:rsidRPr="009869B7">
              <w:rPr>
                <w:rFonts w:ascii="Arial" w:eastAsia="Calibri" w:hAnsi="Arial" w:cs="Arial"/>
                <w:szCs w:val="24"/>
                <w:lang w:val="es-ES_tradnl" w:eastAsia="es-ES_tradnl"/>
              </w:rPr>
              <w:t>LEY DE EMPRENDIMIENTO</w:t>
            </w:r>
            <w:r w:rsidRPr="009869B7">
              <w:rPr>
                <w:rFonts w:ascii="Arial" w:eastAsia="Calibri" w:hAnsi="Arial" w:cs="Arial"/>
                <w:szCs w:val="24"/>
                <w:lang w:val="es-ES_tradnl" w:eastAsia="es-ES_tradnl"/>
              </w:rPr>
              <w:t xml:space="preserve"> </w:t>
            </w:r>
            <w:r w:rsidRPr="009869B7">
              <w:rPr>
                <w:rFonts w:ascii="Arial" w:eastAsia="Calibri" w:hAnsi="Arial" w:cs="Arial"/>
                <w:szCs w:val="24"/>
                <w:lang w:eastAsia="es-ES_tradnl"/>
              </w:rPr>
              <w:t xml:space="preserve">– </w:t>
            </w:r>
            <w:r w:rsidR="005557F8" w:rsidRPr="009869B7">
              <w:rPr>
                <w:rFonts w:ascii="Arial" w:eastAsia="Calibri" w:hAnsi="Arial" w:cs="Arial"/>
                <w:szCs w:val="24"/>
                <w:lang w:eastAsia="es-ES_tradnl"/>
              </w:rPr>
              <w:t>Ley 2069 de 2020</w:t>
            </w:r>
            <w:r w:rsidRPr="009869B7">
              <w:rPr>
                <w:rFonts w:ascii="Arial" w:eastAsia="Calibri" w:hAnsi="Arial" w:cs="Arial"/>
                <w:szCs w:val="24"/>
                <w:lang w:eastAsia="es-ES_tradnl"/>
              </w:rPr>
              <w:t xml:space="preserve"> – </w:t>
            </w:r>
            <w:r w:rsidR="005557F8" w:rsidRPr="009869B7">
              <w:rPr>
                <w:rFonts w:ascii="Arial" w:eastAsia="Calibri" w:hAnsi="Arial" w:cs="Arial"/>
                <w:szCs w:val="24"/>
                <w:lang w:eastAsia="es-ES_tradnl"/>
              </w:rPr>
              <w:t>Artículo 3</w:t>
            </w:r>
            <w:r w:rsidR="00E0709A" w:rsidRPr="009869B7">
              <w:rPr>
                <w:rFonts w:ascii="Arial" w:eastAsia="Calibri" w:hAnsi="Arial" w:cs="Arial"/>
                <w:szCs w:val="24"/>
                <w:lang w:eastAsia="es-ES_tradnl"/>
              </w:rPr>
              <w:t>2</w:t>
            </w:r>
            <w:r w:rsidRPr="009869B7">
              <w:rPr>
                <w:rFonts w:ascii="Arial" w:eastAsia="Calibri" w:hAnsi="Arial" w:cs="Arial"/>
                <w:szCs w:val="24"/>
                <w:lang w:eastAsia="es-ES_tradnl"/>
              </w:rPr>
              <w:t xml:space="preserve"> </w:t>
            </w:r>
            <w:r w:rsidR="00E0709A" w:rsidRPr="009869B7">
              <w:rPr>
                <w:rFonts w:ascii="Arial" w:eastAsia="Calibri" w:hAnsi="Arial" w:cs="Arial"/>
                <w:szCs w:val="24"/>
                <w:lang w:eastAsia="es-ES_tradnl"/>
              </w:rPr>
              <w:t>–</w:t>
            </w:r>
            <w:r w:rsidR="00E0709A" w:rsidRPr="009869B7">
              <w:rPr>
                <w:rFonts w:ascii="Arial" w:eastAsia="Calibri" w:hAnsi="Arial" w:cs="Arial"/>
                <w:szCs w:val="24"/>
                <w:lang w:eastAsia="es-ES_tradnl"/>
              </w:rPr>
              <w:t xml:space="preserve"> Criterios diferenciales</w:t>
            </w:r>
            <w:r w:rsidRPr="009869B7">
              <w:rPr>
                <w:rFonts w:ascii="Arial" w:eastAsia="Calibri" w:hAnsi="Arial" w:cs="Arial"/>
                <w:szCs w:val="24"/>
                <w:lang w:eastAsia="es-ES_tradnl"/>
              </w:rPr>
              <w:t xml:space="preserve"> – </w:t>
            </w:r>
            <w:r w:rsidR="00E0709A" w:rsidRPr="009869B7">
              <w:rPr>
                <w:rFonts w:ascii="Arial" w:eastAsia="Calibri" w:hAnsi="Arial" w:cs="Arial"/>
                <w:szCs w:val="24"/>
                <w:lang w:eastAsia="es-ES_tradnl"/>
              </w:rPr>
              <w:t xml:space="preserve">Emprendimientos de mujeres </w:t>
            </w:r>
            <w:r w:rsidR="00E0709A" w:rsidRPr="009869B7">
              <w:rPr>
                <w:rFonts w:ascii="Arial" w:eastAsia="Calibri" w:hAnsi="Arial" w:cs="Arial"/>
                <w:szCs w:val="24"/>
                <w:lang w:eastAsia="es-ES_tradnl"/>
              </w:rPr>
              <w:t>–</w:t>
            </w:r>
            <w:r w:rsidR="00E0709A" w:rsidRPr="009869B7">
              <w:rPr>
                <w:rFonts w:ascii="Arial" w:eastAsia="Calibri" w:hAnsi="Arial" w:cs="Arial"/>
                <w:szCs w:val="24"/>
                <w:lang w:eastAsia="es-ES_tradnl"/>
              </w:rPr>
              <w:t xml:space="preserve"> Empresas de mujeres / DECRETO 1860 DE 2021 </w:t>
            </w:r>
            <w:r w:rsidR="005557F8" w:rsidRPr="009869B7">
              <w:rPr>
                <w:rFonts w:ascii="Arial" w:eastAsia="Calibri" w:hAnsi="Arial" w:cs="Arial"/>
                <w:szCs w:val="24"/>
                <w:lang w:eastAsia="es-ES_tradnl"/>
              </w:rPr>
              <w:t xml:space="preserve">– </w:t>
            </w:r>
            <w:r w:rsidR="00E0709A" w:rsidRPr="009869B7">
              <w:rPr>
                <w:rFonts w:ascii="Arial" w:eastAsia="Calibri" w:hAnsi="Arial" w:cs="Arial"/>
                <w:szCs w:val="24"/>
                <w:lang w:eastAsia="es-ES_tradnl"/>
              </w:rPr>
              <w:t xml:space="preserve">Vigencia </w:t>
            </w:r>
            <w:r w:rsidR="00E0709A" w:rsidRPr="009869B7">
              <w:rPr>
                <w:rFonts w:ascii="Arial" w:eastAsia="Calibri" w:hAnsi="Arial" w:cs="Arial"/>
                <w:szCs w:val="24"/>
                <w:lang w:eastAsia="es-ES_tradnl"/>
              </w:rPr>
              <w:t>–</w:t>
            </w:r>
            <w:r w:rsidR="00E0709A" w:rsidRPr="009869B7">
              <w:rPr>
                <w:rFonts w:ascii="Arial" w:eastAsia="Calibri" w:hAnsi="Arial" w:cs="Arial"/>
                <w:szCs w:val="24"/>
                <w:lang w:eastAsia="es-ES_tradnl"/>
              </w:rPr>
              <w:t xml:space="preserve"> Definición </w:t>
            </w:r>
            <w:r w:rsidR="00E0709A" w:rsidRPr="009869B7">
              <w:rPr>
                <w:rFonts w:ascii="Arial" w:eastAsia="Calibri" w:hAnsi="Arial" w:cs="Arial"/>
                <w:szCs w:val="24"/>
                <w:lang w:eastAsia="es-ES_tradnl"/>
              </w:rPr>
              <w:t>–</w:t>
            </w:r>
            <w:r w:rsidR="00E0709A" w:rsidRPr="009869B7">
              <w:rPr>
                <w:rFonts w:ascii="Arial" w:eastAsia="Calibri" w:hAnsi="Arial" w:cs="Arial"/>
                <w:szCs w:val="24"/>
                <w:lang w:eastAsia="es-ES_tradnl"/>
              </w:rPr>
              <w:t xml:space="preserve"> Artículo 2.2.1.2.4.2.14. </w:t>
            </w:r>
            <w:r w:rsidR="00E0709A" w:rsidRPr="009869B7">
              <w:rPr>
                <w:rFonts w:ascii="Arial" w:eastAsia="Calibri" w:hAnsi="Arial" w:cs="Arial"/>
                <w:szCs w:val="24"/>
                <w:lang w:eastAsia="es-ES_tradnl"/>
              </w:rPr>
              <w:t>–</w:t>
            </w:r>
            <w:r w:rsidR="00E0709A" w:rsidRPr="009869B7">
              <w:rPr>
                <w:rFonts w:ascii="Arial" w:eastAsia="Calibri" w:hAnsi="Arial" w:cs="Arial"/>
                <w:szCs w:val="24"/>
                <w:lang w:eastAsia="es-ES_tradnl"/>
              </w:rPr>
              <w:t xml:space="preserve"> Acreditación </w:t>
            </w:r>
            <w:r w:rsidRPr="009869B7">
              <w:rPr>
                <w:rFonts w:ascii="Arial" w:eastAsia="Calibri" w:hAnsi="Arial" w:cs="Arial"/>
                <w:szCs w:val="24"/>
                <w:lang w:eastAsia="es-ES_tradnl"/>
              </w:rPr>
              <w:t>/</w:t>
            </w:r>
            <w:r w:rsidR="00E0709A" w:rsidRPr="009869B7">
              <w:rPr>
                <w:rFonts w:ascii="Arial" w:eastAsia="Calibri" w:hAnsi="Arial" w:cs="Arial"/>
                <w:szCs w:val="24"/>
                <w:lang w:eastAsia="es-ES_tradnl"/>
              </w:rPr>
              <w:t xml:space="preserve"> </w:t>
            </w:r>
            <w:bookmarkStart w:id="6" w:name="_Hlk141820588"/>
            <w:r w:rsidR="00E0709A" w:rsidRPr="009869B7">
              <w:rPr>
                <w:rFonts w:ascii="Arial" w:eastAsia="Calibri" w:hAnsi="Arial" w:cs="Arial"/>
                <w:szCs w:val="24"/>
                <w:lang w:eastAsia="es-ES_tradnl"/>
              </w:rPr>
              <w:t>ARTÍCULO 397 DEL CÓDIGO DE COMERCIO</w:t>
            </w:r>
            <w:r w:rsidRPr="009869B7">
              <w:rPr>
                <w:rFonts w:ascii="Arial" w:eastAsia="Calibri" w:hAnsi="Arial" w:cs="Arial"/>
                <w:szCs w:val="24"/>
                <w:lang w:eastAsia="es-ES_tradnl"/>
              </w:rPr>
              <w:t xml:space="preserve"> – </w:t>
            </w:r>
            <w:bookmarkStart w:id="7" w:name="_Hlk141819043"/>
            <w:r w:rsidR="009869B7" w:rsidRPr="009869B7">
              <w:rPr>
                <w:rFonts w:ascii="Arial" w:eastAsia="Calibri" w:hAnsi="Arial" w:cs="Arial"/>
                <w:szCs w:val="24"/>
                <w:lang w:eastAsia="es-ES_tradnl"/>
              </w:rPr>
              <w:t>Medidas contra accionistas morosos en el pago de cuotas de acciones suscritas</w:t>
            </w:r>
            <w:r w:rsidR="009869B7">
              <w:rPr>
                <w:rFonts w:ascii="Arial" w:eastAsia="Calibri" w:hAnsi="Arial" w:cs="Arial"/>
                <w:szCs w:val="24"/>
                <w:lang w:eastAsia="es-ES_tradnl"/>
              </w:rPr>
              <w:t xml:space="preserve"> </w:t>
            </w:r>
            <w:bookmarkEnd w:id="7"/>
            <w:r w:rsidR="009869B7" w:rsidRPr="009869B7">
              <w:rPr>
                <w:rFonts w:ascii="Arial" w:eastAsia="Calibri" w:hAnsi="Arial" w:cs="Arial"/>
                <w:szCs w:val="24"/>
                <w:lang w:eastAsia="es-ES_tradnl"/>
              </w:rPr>
              <w:t>–</w:t>
            </w:r>
            <w:r w:rsidR="009869B7">
              <w:rPr>
                <w:rFonts w:ascii="Arial" w:eastAsia="Calibri" w:hAnsi="Arial" w:cs="Arial"/>
                <w:szCs w:val="24"/>
                <w:lang w:eastAsia="es-ES_tradnl"/>
              </w:rPr>
              <w:t xml:space="preserve"> Alcance</w:t>
            </w:r>
          </w:p>
          <w:bookmarkEnd w:id="6"/>
          <w:p w14:paraId="4CCBECFC" w14:textId="77777777" w:rsidR="008E7F5C" w:rsidRPr="008E7F5C" w:rsidRDefault="008E7F5C" w:rsidP="008E7F5C">
            <w:pPr>
              <w:jc w:val="both"/>
              <w:rPr>
                <w:rFonts w:ascii="Arial" w:eastAsia="Times New Roman" w:hAnsi="Arial" w:cs="Arial"/>
                <w:szCs w:val="24"/>
                <w:lang w:val="es-ES_tradnl" w:eastAsia="es-ES_tradnl"/>
              </w:rPr>
            </w:pPr>
          </w:p>
        </w:tc>
      </w:tr>
      <w:tr w:rsidR="008E7F5C" w:rsidRPr="008E7F5C" w14:paraId="50038732" w14:textId="77777777" w:rsidTr="006F41D8">
        <w:trPr>
          <w:jc w:val="right"/>
        </w:trPr>
        <w:tc>
          <w:tcPr>
            <w:tcW w:w="1838" w:type="dxa"/>
          </w:tcPr>
          <w:p w14:paraId="6D6719A9" w14:textId="77777777" w:rsidR="008E7F5C" w:rsidRPr="008E7F5C" w:rsidRDefault="008E7F5C" w:rsidP="008E7F5C">
            <w:pPr>
              <w:jc w:val="center"/>
              <w:rPr>
                <w:rFonts w:ascii="Arial" w:eastAsia="Calibri" w:hAnsi="Arial" w:cs="Arial"/>
                <w:b/>
                <w:szCs w:val="24"/>
                <w:lang w:eastAsia="es-ES_tradnl"/>
              </w:rPr>
            </w:pPr>
            <w:r w:rsidRPr="008E7F5C">
              <w:rPr>
                <w:rFonts w:ascii="Arial" w:eastAsia="Calibri" w:hAnsi="Arial" w:cs="Arial"/>
                <w:b/>
                <w:szCs w:val="24"/>
                <w:lang w:eastAsia="es-ES_tradnl"/>
              </w:rPr>
              <w:t>Radicación:</w:t>
            </w:r>
          </w:p>
        </w:tc>
        <w:tc>
          <w:tcPr>
            <w:tcW w:w="6237" w:type="dxa"/>
          </w:tcPr>
          <w:p w14:paraId="27505617" w14:textId="64124659" w:rsidR="008E7F5C" w:rsidRPr="008E7F5C" w:rsidRDefault="008E7F5C" w:rsidP="008E7F5C">
            <w:pPr>
              <w:jc w:val="both"/>
              <w:rPr>
                <w:rFonts w:ascii="Arial" w:eastAsia="Calibri" w:hAnsi="Arial" w:cs="Arial"/>
                <w:szCs w:val="24"/>
                <w:lang w:eastAsia="es-ES_tradnl"/>
              </w:rPr>
            </w:pPr>
            <w:r w:rsidRPr="008E7F5C">
              <w:rPr>
                <w:rFonts w:ascii="Arial" w:eastAsia="Calibri" w:hAnsi="Arial" w:cs="Arial"/>
                <w:szCs w:val="24"/>
                <w:lang w:eastAsia="es-ES_tradnl"/>
              </w:rPr>
              <w:t>Respuesta a consulta P20230</w:t>
            </w:r>
            <w:r w:rsidR="00FF57F6">
              <w:rPr>
                <w:rFonts w:ascii="Arial" w:eastAsia="Calibri" w:hAnsi="Arial" w:cs="Arial"/>
                <w:szCs w:val="24"/>
                <w:lang w:eastAsia="es-ES_tradnl"/>
              </w:rPr>
              <w:t>6</w:t>
            </w:r>
            <w:r w:rsidR="00AA587F">
              <w:rPr>
                <w:rFonts w:ascii="Arial" w:eastAsia="Calibri" w:hAnsi="Arial" w:cs="Arial"/>
                <w:szCs w:val="24"/>
                <w:lang w:eastAsia="es-ES_tradnl"/>
              </w:rPr>
              <w:t>20012461</w:t>
            </w:r>
          </w:p>
        </w:tc>
      </w:tr>
    </w:tbl>
    <w:p w14:paraId="05F648AA" w14:textId="77777777" w:rsidR="005557F8" w:rsidRDefault="005557F8" w:rsidP="008E7F5C">
      <w:pPr>
        <w:spacing w:after="0" w:line="276" w:lineRule="auto"/>
        <w:jc w:val="both"/>
        <w:rPr>
          <w:rFonts w:ascii="Arial" w:eastAsia="Calibri" w:hAnsi="Arial" w:cs="Arial"/>
          <w:kern w:val="0"/>
          <w:szCs w:val="24"/>
          <w:lang w:val="es-ES_tradnl" w:eastAsia="es-ES_tradnl"/>
          <w14:ligatures w14:val="none"/>
        </w:rPr>
      </w:pPr>
    </w:p>
    <w:p w14:paraId="657F7677" w14:textId="607EEE10" w:rsidR="008E7F5C" w:rsidRPr="008E7F5C" w:rsidRDefault="008E7F5C" w:rsidP="008E7F5C">
      <w:pPr>
        <w:spacing w:after="0" w:line="276" w:lineRule="auto"/>
        <w:jc w:val="both"/>
        <w:rPr>
          <w:rFonts w:ascii="Arial" w:eastAsia="Calibri" w:hAnsi="Arial" w:cs="Arial"/>
          <w:bCs/>
          <w:kern w:val="0"/>
          <w:szCs w:val="24"/>
          <w:lang w:val="es-ES_tradnl" w:eastAsia="es-ES_tradnl"/>
          <w14:ligatures w14:val="none"/>
        </w:rPr>
      </w:pPr>
      <w:r w:rsidRPr="008E7F5C">
        <w:rPr>
          <w:rFonts w:ascii="Arial" w:eastAsia="Calibri" w:hAnsi="Arial" w:cs="Arial"/>
          <w:kern w:val="0"/>
          <w:szCs w:val="24"/>
          <w:lang w:val="es-ES_tradnl" w:eastAsia="es-ES_tradnl"/>
          <w14:ligatures w14:val="none"/>
        </w:rPr>
        <w:t xml:space="preserve">Estimado señor </w:t>
      </w:r>
      <w:r w:rsidR="00AA587F">
        <w:rPr>
          <w:rFonts w:ascii="Arial" w:eastAsia="Calibri" w:hAnsi="Arial" w:cs="Arial"/>
          <w:kern w:val="0"/>
          <w:szCs w:val="24"/>
          <w:lang w:val="es-ES_tradnl" w:eastAsia="es-ES_tradnl"/>
          <w14:ligatures w14:val="none"/>
        </w:rPr>
        <w:t>Santamaría</w:t>
      </w:r>
      <w:r w:rsidRPr="008E7F5C">
        <w:rPr>
          <w:rFonts w:ascii="Arial" w:eastAsia="Calibri" w:hAnsi="Arial" w:cs="Arial"/>
          <w:kern w:val="0"/>
          <w:szCs w:val="24"/>
          <w:lang w:val="es-ES_tradnl" w:eastAsia="es-ES_tradnl"/>
          <w14:ligatures w14:val="none"/>
        </w:rPr>
        <w:t>:</w:t>
      </w:r>
    </w:p>
    <w:p w14:paraId="65F098C2" w14:textId="77777777" w:rsidR="008E7F5C" w:rsidRPr="008E7F5C" w:rsidRDefault="008E7F5C" w:rsidP="008E7F5C">
      <w:pPr>
        <w:spacing w:after="0" w:line="276" w:lineRule="auto"/>
        <w:jc w:val="both"/>
        <w:rPr>
          <w:rFonts w:ascii="Arial" w:eastAsia="Calibri" w:hAnsi="Arial" w:cs="Arial"/>
          <w:bCs/>
          <w:kern w:val="0"/>
          <w:szCs w:val="24"/>
          <w:lang w:val="es-ES_tradnl" w:eastAsia="es-ES_tradnl"/>
          <w14:ligatures w14:val="none"/>
        </w:rPr>
      </w:pPr>
    </w:p>
    <w:p w14:paraId="5A212909" w14:textId="64B30E6E" w:rsidR="008E7F5C" w:rsidRPr="008E7F5C" w:rsidRDefault="008E7F5C" w:rsidP="008E7F5C">
      <w:pPr>
        <w:spacing w:after="0" w:line="276" w:lineRule="auto"/>
        <w:jc w:val="both"/>
        <w:rPr>
          <w:rFonts w:ascii="Arial" w:eastAsia="Calibri" w:hAnsi="Arial" w:cs="Arial"/>
          <w:kern w:val="0"/>
          <w:szCs w:val="24"/>
          <w:lang w:val="es-ES" w:eastAsia="es-ES_tradnl"/>
          <w14:ligatures w14:val="none"/>
        </w:rPr>
      </w:pPr>
      <w:r w:rsidRPr="008E7F5C">
        <w:rPr>
          <w:rFonts w:ascii="Arial" w:eastAsia="Calibri" w:hAnsi="Arial" w:cs="Arial"/>
          <w:kern w:val="0"/>
          <w:szCs w:val="24"/>
          <w:lang w:val="es-ES" w:eastAsia="es-ES_tradnl"/>
          <w14:ligatures w14:val="none"/>
        </w:rPr>
        <w:t xml:space="preserve">En virtud de la competencia conferida por el numeral 8 del artículo 11 y el numeral 5 del artículo 3 del Decreto Ley 4170 de 2011, la Agencia Nacional de Contratación Pública </w:t>
      </w:r>
      <w:r w:rsidR="009869B7">
        <w:rPr>
          <w:rFonts w:ascii="Arial" w:eastAsia="Calibri" w:hAnsi="Arial" w:cs="Arial"/>
          <w:kern w:val="0"/>
          <w:szCs w:val="24"/>
          <w:lang w:val="es-ES" w:eastAsia="es-ES_tradnl"/>
          <w14:ligatures w14:val="none"/>
        </w:rPr>
        <w:t xml:space="preserve">            </w:t>
      </w:r>
      <w:r w:rsidRPr="008E7F5C">
        <w:rPr>
          <w:rFonts w:ascii="Arial" w:eastAsia="Calibri" w:hAnsi="Arial" w:cs="Arial"/>
          <w:kern w:val="0"/>
          <w:szCs w:val="24"/>
          <w:lang w:val="es-ES" w:eastAsia="es-ES_tradnl"/>
          <w14:ligatures w14:val="none"/>
        </w:rPr>
        <w:t xml:space="preserve">-Colombia Compra Eficiente- responde a su consulta del </w:t>
      </w:r>
      <w:r w:rsidR="00AA587F">
        <w:rPr>
          <w:rFonts w:ascii="Arial" w:eastAsia="Calibri" w:hAnsi="Arial" w:cs="Arial"/>
          <w:kern w:val="0"/>
          <w:szCs w:val="24"/>
          <w:lang w:val="es-ES" w:eastAsia="es-ES_tradnl"/>
          <w14:ligatures w14:val="none"/>
        </w:rPr>
        <w:t xml:space="preserve">20 </w:t>
      </w:r>
      <w:r w:rsidRPr="008E7F5C">
        <w:rPr>
          <w:rFonts w:ascii="Arial" w:eastAsia="Calibri" w:hAnsi="Arial" w:cs="Arial"/>
          <w:kern w:val="0"/>
          <w:szCs w:val="24"/>
          <w:lang w:val="es-ES" w:eastAsia="es-ES_tradnl"/>
          <w14:ligatures w14:val="none"/>
        </w:rPr>
        <w:t xml:space="preserve">de </w:t>
      </w:r>
      <w:r w:rsidR="00FF57F6">
        <w:rPr>
          <w:rFonts w:ascii="Arial" w:eastAsia="Calibri" w:hAnsi="Arial" w:cs="Arial"/>
          <w:kern w:val="0"/>
          <w:szCs w:val="24"/>
          <w:lang w:val="es-ES" w:eastAsia="es-ES_tradnl"/>
          <w14:ligatures w14:val="none"/>
        </w:rPr>
        <w:t xml:space="preserve">junio </w:t>
      </w:r>
      <w:r w:rsidRPr="008E7F5C">
        <w:rPr>
          <w:rFonts w:ascii="Arial" w:eastAsia="Calibri" w:hAnsi="Arial" w:cs="Arial"/>
          <w:kern w:val="0"/>
          <w:szCs w:val="24"/>
          <w:lang w:val="es-ES" w:eastAsia="es-ES_tradnl"/>
          <w14:ligatures w14:val="none"/>
        </w:rPr>
        <w:t>de 2023</w:t>
      </w:r>
      <w:bookmarkStart w:id="8" w:name="_Hlk133234847"/>
      <w:bookmarkStart w:id="9" w:name="_Hlk133406549"/>
      <w:r w:rsidR="00AA587F">
        <w:rPr>
          <w:rFonts w:ascii="Arial" w:eastAsia="Calibri" w:hAnsi="Arial" w:cs="Arial"/>
          <w:kern w:val="0"/>
          <w:szCs w:val="24"/>
          <w:lang w:val="es-ES" w:eastAsia="es-ES_tradnl"/>
          <w14:ligatures w14:val="none"/>
        </w:rPr>
        <w:t>.</w:t>
      </w:r>
    </w:p>
    <w:p w14:paraId="453020F3" w14:textId="77777777" w:rsidR="008E7F5C" w:rsidRPr="008E7F5C" w:rsidRDefault="008E7F5C" w:rsidP="008E7F5C">
      <w:pPr>
        <w:spacing w:after="0" w:line="276" w:lineRule="auto"/>
        <w:jc w:val="both"/>
        <w:rPr>
          <w:rFonts w:ascii="Arial" w:eastAsia="Calibri" w:hAnsi="Arial" w:cs="Arial"/>
          <w:bCs/>
          <w:kern w:val="0"/>
          <w:szCs w:val="24"/>
          <w:lang w:val="es-ES_tradnl" w:eastAsia="es-CO"/>
          <w14:ligatures w14:val="none"/>
        </w:rPr>
      </w:pPr>
      <w:bookmarkStart w:id="10" w:name="_Hlk133234829"/>
    </w:p>
    <w:p w14:paraId="626CEC95" w14:textId="77777777" w:rsidR="008E7F5C" w:rsidRPr="008E7F5C" w:rsidRDefault="008E7F5C" w:rsidP="008E7F5C">
      <w:pPr>
        <w:spacing w:after="0" w:line="276" w:lineRule="auto"/>
        <w:jc w:val="both"/>
        <w:rPr>
          <w:rFonts w:ascii="Arial" w:eastAsia="Calibri" w:hAnsi="Arial" w:cs="Arial"/>
          <w:b/>
          <w:kern w:val="0"/>
          <w:szCs w:val="24"/>
          <w:lang w:val="es-ES_tradnl" w:eastAsia="es-CO"/>
          <w14:ligatures w14:val="none"/>
        </w:rPr>
      </w:pPr>
      <w:r w:rsidRPr="008E7F5C">
        <w:rPr>
          <w:rFonts w:ascii="Arial" w:eastAsia="Calibri" w:hAnsi="Arial" w:cs="Arial"/>
          <w:b/>
          <w:kern w:val="0"/>
          <w:szCs w:val="24"/>
          <w:lang w:val="es-ES_tradnl" w:eastAsia="es-CO"/>
          <w14:ligatures w14:val="none"/>
        </w:rPr>
        <w:t>1.</w:t>
      </w:r>
      <w:r w:rsidRPr="008E7F5C">
        <w:rPr>
          <w:rFonts w:ascii="Arial" w:eastAsia="Calibri" w:hAnsi="Arial" w:cs="Arial"/>
          <w:b/>
          <w:kern w:val="0"/>
          <w:szCs w:val="24"/>
          <w:lang w:val="es-ES_tradnl" w:eastAsia="es-CO"/>
          <w14:ligatures w14:val="none"/>
        </w:rPr>
        <w:tab/>
        <w:t>Problema planteado</w:t>
      </w:r>
    </w:p>
    <w:p w14:paraId="07BCF5F6" w14:textId="77777777" w:rsidR="008E7F5C" w:rsidRPr="008E7F5C" w:rsidRDefault="008E7F5C" w:rsidP="008E7F5C">
      <w:pPr>
        <w:tabs>
          <w:tab w:val="left" w:pos="0"/>
          <w:tab w:val="left" w:pos="142"/>
          <w:tab w:val="left" w:pos="284"/>
        </w:tabs>
        <w:spacing w:after="0" w:line="276" w:lineRule="auto"/>
        <w:contextualSpacing/>
        <w:jc w:val="both"/>
        <w:rPr>
          <w:rFonts w:ascii="Arial" w:eastAsia="Calibri" w:hAnsi="Arial" w:cs="Arial"/>
          <w:bCs/>
          <w:kern w:val="0"/>
          <w:szCs w:val="24"/>
          <w:lang w:val="es-ES_tradnl" w:eastAsia="es-ES_tradnl"/>
          <w14:ligatures w14:val="none"/>
        </w:rPr>
      </w:pPr>
    </w:p>
    <w:p w14:paraId="77348C12" w14:textId="48CE730A" w:rsidR="008E7F5C" w:rsidRPr="00C3770A" w:rsidRDefault="008E7F5C" w:rsidP="008E7F5C">
      <w:pPr>
        <w:spacing w:after="0" w:line="276" w:lineRule="auto"/>
        <w:jc w:val="both"/>
        <w:rPr>
          <w:rFonts w:ascii="Arial" w:eastAsia="Times New Roman" w:hAnsi="Arial" w:cs="Arial"/>
          <w:kern w:val="0"/>
          <w:szCs w:val="24"/>
          <w:lang w:val="es-ES_tradnl" w:eastAsia="es-ES_tradnl"/>
          <w14:ligatures w14:val="none"/>
        </w:rPr>
      </w:pPr>
      <w:bookmarkStart w:id="11" w:name="_Hlk133498899"/>
      <w:bookmarkEnd w:id="8"/>
      <w:bookmarkEnd w:id="10"/>
      <w:r w:rsidRPr="008E7F5C">
        <w:rPr>
          <w:rFonts w:ascii="Arial" w:eastAsia="Times New Roman" w:hAnsi="Arial" w:cs="Arial"/>
          <w:kern w:val="0"/>
          <w:szCs w:val="24"/>
          <w:lang w:val="es-ES_tradnl" w:eastAsia="es-ES_tradnl"/>
          <w14:ligatures w14:val="none"/>
        </w:rPr>
        <w:t xml:space="preserve">En </w:t>
      </w:r>
      <w:r w:rsidRPr="00AA587F">
        <w:rPr>
          <w:rFonts w:ascii="Arial" w:eastAsia="Times New Roman" w:hAnsi="Arial" w:cs="Arial"/>
          <w:kern w:val="0"/>
          <w:szCs w:val="24"/>
          <w:lang w:val="es-ES_tradnl" w:eastAsia="es-ES_tradnl"/>
          <w14:ligatures w14:val="none"/>
        </w:rPr>
        <w:t>el respectivo escrito,</w:t>
      </w:r>
      <w:r w:rsidR="00AA587F" w:rsidRPr="00AA587F">
        <w:rPr>
          <w:rFonts w:ascii="Arial" w:eastAsia="Times New Roman" w:hAnsi="Arial" w:cs="Arial"/>
          <w:kern w:val="0"/>
          <w:szCs w:val="24"/>
          <w:lang w:val="es-ES_tradnl" w:eastAsia="es-ES_tradnl"/>
          <w14:ligatures w14:val="none"/>
        </w:rPr>
        <w:t xml:space="preserve"> en relación con la definición de emprendimientos y empresas de mujeres contenida en el artículo 2.2.1.2.4.2.1.4. del Decreto 1082 de 2015 </w:t>
      </w:r>
      <w:r w:rsidR="00AA587F" w:rsidRPr="00AA587F">
        <w:rPr>
          <w:rFonts w:ascii="Arial" w:hAnsi="Arial" w:cs="Arial"/>
          <w:kern w:val="0"/>
          <w:lang w:val="es-MX"/>
          <w14:ligatures w14:val="none"/>
        </w:rPr>
        <w:t>“[p]or medio del cual se expide el decreto único reglamentario del sector Administrativo de Planeación Nacional”</w:t>
      </w:r>
      <w:r w:rsidR="00AA587F">
        <w:rPr>
          <w:rFonts w:ascii="Arial" w:hAnsi="Arial" w:cs="Arial"/>
          <w:kern w:val="0"/>
          <w:lang w:val="es-MX"/>
          <w14:ligatures w14:val="none"/>
        </w:rPr>
        <w:t xml:space="preserve">, </w:t>
      </w:r>
      <w:r w:rsidRPr="008E7F5C">
        <w:rPr>
          <w:rFonts w:ascii="Arial" w:eastAsia="Times New Roman" w:hAnsi="Arial" w:cs="Arial"/>
          <w:kern w:val="0"/>
          <w:szCs w:val="24"/>
          <w:lang w:val="es-ES_tradnl" w:eastAsia="es-ES_tradnl"/>
          <w14:ligatures w14:val="none"/>
        </w:rPr>
        <w:t xml:space="preserve">usted solicita sea emitido concepto jurídico sobre </w:t>
      </w:r>
      <w:bookmarkStart w:id="12" w:name="_Hlk141858348"/>
      <w:r w:rsidR="00C3770A">
        <w:rPr>
          <w:rFonts w:ascii="Arial" w:eastAsia="Times New Roman" w:hAnsi="Arial" w:cs="Arial"/>
          <w:kern w:val="0"/>
          <w:szCs w:val="24"/>
          <w:lang w:val="es-ES_tradnl" w:eastAsia="es-ES_tradnl"/>
          <w14:ligatures w14:val="none"/>
        </w:rPr>
        <w:t>“si una entidad puede realizar la asignación de puntaje adicional para los emprendimientos y empresas de mujeres cuando las accionistas se encuentran en mora del pago de cuotas de acciones, en virtud de la pérdida de derechos de conformidad con el artículo 397 del Código de Comercio”</w:t>
      </w:r>
      <w:bookmarkStart w:id="13" w:name="_Hlk139323233"/>
      <w:bookmarkStart w:id="14" w:name="_Hlk136199855"/>
      <w:bookmarkEnd w:id="12"/>
      <w:r w:rsidR="00C3770A">
        <w:rPr>
          <w:rFonts w:ascii="Arial" w:eastAsia="Times New Roman" w:hAnsi="Arial" w:cs="Arial"/>
          <w:i/>
          <w:iCs/>
          <w:kern w:val="0"/>
          <w:szCs w:val="24"/>
          <w:lang w:val="es-ES_tradnl" w:eastAsia="es-ES_tradnl"/>
          <w14:ligatures w14:val="none"/>
        </w:rPr>
        <w:t>.</w:t>
      </w:r>
    </w:p>
    <w:bookmarkEnd w:id="11"/>
    <w:bookmarkEnd w:id="13"/>
    <w:bookmarkEnd w:id="14"/>
    <w:p w14:paraId="77C04385" w14:textId="77777777" w:rsidR="00AA587F" w:rsidRPr="008E7F5C" w:rsidRDefault="00AA587F" w:rsidP="008E7F5C">
      <w:pPr>
        <w:spacing w:after="0" w:line="276" w:lineRule="auto"/>
        <w:jc w:val="both"/>
        <w:rPr>
          <w:rFonts w:ascii="Arial" w:eastAsia="Times New Roman" w:hAnsi="Arial" w:cs="Arial"/>
          <w:kern w:val="0"/>
          <w:szCs w:val="24"/>
          <w:lang w:val="es-ES_tradnl" w:eastAsia="es-ES_tradnl"/>
          <w14:ligatures w14:val="none"/>
        </w:rPr>
      </w:pPr>
    </w:p>
    <w:p w14:paraId="1AC1ADF7" w14:textId="77777777" w:rsidR="008E7F5C" w:rsidRPr="008E7F5C" w:rsidRDefault="008E7F5C" w:rsidP="008E7F5C">
      <w:pPr>
        <w:spacing w:after="0" w:line="276" w:lineRule="auto"/>
        <w:jc w:val="both"/>
        <w:rPr>
          <w:rFonts w:ascii="Arial" w:eastAsia="Calibri" w:hAnsi="Arial" w:cs="Arial"/>
          <w:b/>
          <w:kern w:val="0"/>
          <w:szCs w:val="24"/>
          <w:lang w:val="es-ES_tradnl" w:eastAsia="es-CO"/>
          <w14:ligatures w14:val="none"/>
        </w:rPr>
      </w:pPr>
      <w:bookmarkStart w:id="15" w:name="_Hlk133406532"/>
      <w:bookmarkStart w:id="16" w:name="_Hlk136199719"/>
      <w:bookmarkEnd w:id="9"/>
      <w:r w:rsidRPr="008E7F5C">
        <w:rPr>
          <w:rFonts w:ascii="Arial" w:eastAsia="Calibri" w:hAnsi="Arial" w:cs="Arial"/>
          <w:b/>
          <w:kern w:val="0"/>
          <w:szCs w:val="24"/>
          <w:lang w:val="es-ES_tradnl" w:eastAsia="es-CO"/>
          <w14:ligatures w14:val="none"/>
        </w:rPr>
        <w:t>2.</w:t>
      </w:r>
      <w:r w:rsidRPr="008E7F5C">
        <w:rPr>
          <w:rFonts w:ascii="Arial" w:eastAsia="Calibri" w:hAnsi="Arial" w:cs="Arial"/>
          <w:b/>
          <w:kern w:val="0"/>
          <w:szCs w:val="24"/>
          <w:lang w:val="es-ES_tradnl" w:eastAsia="es-CO"/>
          <w14:ligatures w14:val="none"/>
        </w:rPr>
        <w:tab/>
        <w:t>Consideraciones</w:t>
      </w:r>
      <w:bookmarkEnd w:id="15"/>
    </w:p>
    <w:bookmarkEnd w:id="16"/>
    <w:p w14:paraId="133B9514" w14:textId="77777777" w:rsidR="008E7F5C" w:rsidRPr="008E7F5C" w:rsidRDefault="008E7F5C" w:rsidP="008E7F5C">
      <w:pPr>
        <w:spacing w:after="0" w:line="276" w:lineRule="auto"/>
        <w:jc w:val="both"/>
        <w:rPr>
          <w:rFonts w:ascii="Arial" w:eastAsia="Times New Roman" w:hAnsi="Arial" w:cs="Arial"/>
          <w:kern w:val="0"/>
          <w:szCs w:val="24"/>
          <w:lang w:val="es-ES_tradnl" w:eastAsia="es-ES_tradnl"/>
          <w14:ligatures w14:val="none"/>
        </w:rPr>
      </w:pPr>
    </w:p>
    <w:p w14:paraId="6FD2EA84" w14:textId="74001EEE" w:rsidR="008E7F5C" w:rsidRPr="008E7F5C" w:rsidRDefault="008E7F5C" w:rsidP="008E7F5C">
      <w:pPr>
        <w:spacing w:after="120" w:line="276" w:lineRule="auto"/>
        <w:jc w:val="both"/>
        <w:rPr>
          <w:rFonts w:ascii="Arial" w:eastAsia="Times New Roman" w:hAnsi="Arial" w:cs="Arial"/>
          <w:kern w:val="0"/>
          <w:szCs w:val="24"/>
          <w:lang w:val="es-ES" w:eastAsia="es-ES_tradnl"/>
          <w14:ligatures w14:val="none"/>
        </w:rPr>
      </w:pPr>
      <w:bookmarkStart w:id="17" w:name="_Hlk136161866"/>
      <w:bookmarkStart w:id="18" w:name="_Hlk131417155"/>
      <w:r w:rsidRPr="008E7F5C">
        <w:rPr>
          <w:rFonts w:ascii="Arial" w:eastAsia="Times New Roman" w:hAnsi="Arial" w:cs="Arial"/>
          <w:kern w:val="0"/>
          <w:szCs w:val="24"/>
          <w:lang w:eastAsia="es-ES_tradnl"/>
          <w14:ligatures w14:val="none"/>
        </w:rPr>
        <w:lastRenderedPageBreak/>
        <w:t>En ejercicio de las competencias previstas en los artículos 3.5 y 11.8 del Decreto-Ley 4170 de 2011, la Agencia Nacional de Contratación Pública -Colombia Compra Eficiente- resuelve las consultas sobre los asuntos de su competencia, esto es, sobre las temáticas de la contratación estatal y compras públicas relacionadas en los artículos citados</w:t>
      </w:r>
      <w:bookmarkStart w:id="19" w:name="_Hlk61701014"/>
      <w:bookmarkStart w:id="20" w:name="_Hlk62136649"/>
      <w:r w:rsidR="00505895">
        <w:rPr>
          <w:rFonts w:ascii="Arial" w:eastAsia="Times New Roman" w:hAnsi="Arial" w:cs="Arial"/>
          <w:kern w:val="0"/>
          <w:szCs w:val="24"/>
          <w:lang w:eastAsia="es-ES_tradnl"/>
          <w14:ligatures w14:val="none"/>
        </w:rPr>
        <w:t xml:space="preserve">. </w:t>
      </w:r>
      <w:r w:rsidRPr="008E7F5C">
        <w:rPr>
          <w:rFonts w:ascii="Arial" w:eastAsia="Times New Roman" w:hAnsi="Arial" w:cs="Arial"/>
          <w:kern w:val="0"/>
          <w:szCs w:val="24"/>
          <w:lang w:val="es-ES" w:eastAsia="es-ES_tradnl"/>
          <w14:ligatures w14:val="none"/>
        </w:rPr>
        <w:t xml:space="preserve">Es necesario tener en cuenta que </w:t>
      </w:r>
      <w:bookmarkStart w:id="21" w:name="_Hlk61026958"/>
      <w:r w:rsidRPr="008E7F5C">
        <w:rPr>
          <w:rFonts w:ascii="Arial" w:eastAsia="Times New Roman" w:hAnsi="Arial" w:cs="Arial"/>
          <w:kern w:val="0"/>
          <w:szCs w:val="24"/>
          <w:lang w:val="es-ES" w:eastAsia="es-ES_tradnl"/>
          <w14:ligatures w14:val="none"/>
        </w:rPr>
        <w:t>esta entidad solo tiene competencia para responder solicitudes sobre la aplicación de normas de carácter general en materia de compras y contratación pública. En este sentido, resolver casos particulares desborda las atribuciones asignadas por el legislador extraordinario, que no concibió a Colombia Compra Eficiente como una autoridad para solucionar problemas jurídicos particulares</w:t>
      </w:r>
      <w:r w:rsidRPr="008E7F5C">
        <w:rPr>
          <w:rFonts w:ascii="Arial" w:eastAsia="Times New Roman" w:hAnsi="Arial" w:cs="Arial"/>
          <w:kern w:val="0"/>
          <w:szCs w:val="24"/>
          <w:lang w:eastAsia="es-ES_tradnl"/>
          <w14:ligatures w14:val="none"/>
        </w:rPr>
        <w:t xml:space="preserve"> de todos los partícipes de la contratación estatal.</w:t>
      </w:r>
      <w:bookmarkStart w:id="22" w:name="_Hlk133416774"/>
    </w:p>
    <w:p w14:paraId="097BCA62" w14:textId="77777777" w:rsidR="008E7F5C" w:rsidRPr="008E7F5C" w:rsidRDefault="008E7F5C" w:rsidP="008E7F5C">
      <w:pPr>
        <w:spacing w:after="120" w:line="276" w:lineRule="auto"/>
        <w:ind w:firstLine="708"/>
        <w:jc w:val="both"/>
        <w:rPr>
          <w:rFonts w:ascii="Arial" w:eastAsia="Times New Roman" w:hAnsi="Arial" w:cs="Arial"/>
          <w:kern w:val="0"/>
          <w:szCs w:val="24"/>
          <w:lang w:val="es-ES" w:eastAsia="es-ES_tradnl"/>
          <w14:ligatures w14:val="none"/>
        </w:rPr>
      </w:pPr>
      <w:r w:rsidRPr="008E7F5C">
        <w:rPr>
          <w:rFonts w:ascii="Arial" w:eastAsia="Times New Roman" w:hAnsi="Arial" w:cs="Arial"/>
          <w:kern w:val="0"/>
          <w:szCs w:val="24"/>
          <w:lang w:val="es-ES" w:eastAsia="es-ES_tradnl"/>
          <w14:ligatures w14:val="none"/>
        </w:rPr>
        <w:t>La competencia de esta entidad se fija con límites claros, con el objeto de evitar que la Agencia intervenga como una instancia de validación de las actuaciones de las entidades sujetas a la Ley 80 de 1993 o de los demás participantes de la contratación pública</w:t>
      </w:r>
      <w:r w:rsidRPr="008E7F5C">
        <w:rPr>
          <w:rFonts w:ascii="Arial" w:eastAsia="Times New Roman" w:hAnsi="Arial" w:cs="Arial"/>
          <w:kern w:val="0"/>
          <w:szCs w:val="24"/>
          <w:vertAlign w:val="superscript"/>
          <w:lang w:val="es-ES" w:eastAsia="es-ES_tradnl"/>
          <w14:ligatures w14:val="none"/>
        </w:rPr>
        <w:footnoteReference w:id="2"/>
      </w:r>
      <w:r w:rsidRPr="008E7F5C">
        <w:rPr>
          <w:rFonts w:ascii="Arial" w:eastAsia="Times New Roman" w:hAnsi="Arial" w:cs="Arial"/>
          <w:kern w:val="0"/>
          <w:szCs w:val="24"/>
          <w:lang w:val="es-ES" w:eastAsia="es-ES_tradnl"/>
          <w14:ligatures w14:val="none"/>
        </w:rPr>
        <w:t>. Esta competencia de interpretación de normas generales, por definición, no puede extenderse a la resolución de controversias, ni a brindar asesorías sobre casos puntuales. Esto, en la medida en que, para resolver una consulta de carácter particular, además de conocer un sinnúmero de detalles de la actuación administrativa, es necesario acceder al expediente y a los documentos del procedimiento contractual donde surge la inquietud</w:t>
      </w:r>
      <w:bookmarkEnd w:id="21"/>
      <w:r w:rsidRPr="008E7F5C">
        <w:rPr>
          <w:rFonts w:ascii="Arial" w:eastAsia="Times New Roman" w:hAnsi="Arial" w:cs="Arial"/>
          <w:kern w:val="0"/>
          <w:szCs w:val="24"/>
          <w:lang w:val="es-ES" w:eastAsia="es-ES_tradnl"/>
          <w14:ligatures w14:val="none"/>
        </w:rPr>
        <w:t>. Por lo anterior, previo concepto de sus órganos asesores, la solución de estos temas corresponde a la entidad que adelanta el procedimiento de selección y, en caso de conflicto, a las autoridades judiciales, fiscales y/o disciplinarias</w:t>
      </w:r>
      <w:bookmarkEnd w:id="19"/>
      <w:r w:rsidRPr="008E7F5C">
        <w:rPr>
          <w:rFonts w:ascii="Arial" w:eastAsia="Times New Roman" w:hAnsi="Arial" w:cs="Arial"/>
          <w:kern w:val="0"/>
          <w:szCs w:val="24"/>
          <w:lang w:val="es-ES" w:eastAsia="es-ES_tradnl"/>
          <w14:ligatures w14:val="none"/>
        </w:rPr>
        <w:t>, según corresponda.</w:t>
      </w:r>
      <w:bookmarkEnd w:id="17"/>
    </w:p>
    <w:p w14:paraId="0B87EB62" w14:textId="77777777" w:rsidR="00B868BF" w:rsidRDefault="008E7F5C" w:rsidP="00B868BF">
      <w:pPr>
        <w:spacing w:after="120" w:line="276" w:lineRule="auto"/>
        <w:ind w:firstLine="708"/>
        <w:jc w:val="both"/>
        <w:rPr>
          <w:rFonts w:ascii="Arial" w:eastAsia="Calibri" w:hAnsi="Arial" w:cs="Arial"/>
          <w:szCs w:val="24"/>
          <w:lang w:eastAsia="es-ES_tradnl"/>
        </w:rPr>
      </w:pPr>
      <w:r w:rsidRPr="008E7F5C">
        <w:rPr>
          <w:rFonts w:ascii="Arial" w:eastAsia="Times New Roman" w:hAnsi="Arial" w:cs="Arial"/>
          <w:kern w:val="0"/>
          <w:szCs w:val="24"/>
          <w:lang w:val="es-ES" w:eastAsia="es-ES_tradnl"/>
          <w14:ligatures w14:val="none"/>
        </w:rPr>
        <w:t>Bajo este entendido</w:t>
      </w:r>
      <w:bookmarkEnd w:id="20"/>
      <w:r w:rsidRPr="008E7F5C">
        <w:rPr>
          <w:rFonts w:ascii="Arial" w:eastAsia="Times New Roman" w:hAnsi="Arial" w:cs="Arial"/>
          <w:kern w:val="0"/>
          <w:szCs w:val="24"/>
          <w:lang w:val="es-ES" w:eastAsia="es-ES_tradnl"/>
          <w14:ligatures w14:val="none"/>
        </w:rPr>
        <w:t xml:space="preserve">, </w:t>
      </w:r>
      <w:r w:rsidRPr="008E7F5C">
        <w:rPr>
          <w:rFonts w:ascii="Arial" w:eastAsia="Times New Roman" w:hAnsi="Arial" w:cs="Arial"/>
          <w:kern w:val="0"/>
          <w:szCs w:val="24"/>
          <w:lang w:eastAsia="es-ES_tradnl"/>
          <w14:ligatures w14:val="none"/>
        </w:rPr>
        <w:t>la Subdirección -dentro del límite de sus atribuciones, esto es, haciendo abstracción de cualquier caso particular que pueda llegar a proponer el peticionario- resolverá la presente consulta de acuerdo con el alcance general de las normas en materia de contratación e</w:t>
      </w:r>
      <w:r w:rsidRPr="009869B7">
        <w:rPr>
          <w:rFonts w:ascii="Arial" w:eastAsia="Times New Roman" w:hAnsi="Arial" w:cs="Arial"/>
          <w:kern w:val="0"/>
          <w:szCs w:val="24"/>
          <w:lang w:eastAsia="es-ES_tradnl"/>
          <w14:ligatures w14:val="none"/>
        </w:rPr>
        <w:t xml:space="preserve">statal. Con tal propósito, analizará </w:t>
      </w:r>
      <w:r w:rsidR="009869B7" w:rsidRPr="009869B7">
        <w:rPr>
          <w:rFonts w:ascii="Arial" w:eastAsia="Times New Roman" w:hAnsi="Arial" w:cs="Arial"/>
          <w:kern w:val="0"/>
          <w:szCs w:val="24"/>
          <w:lang w:eastAsia="es-ES_tradnl"/>
          <w14:ligatures w14:val="none"/>
        </w:rPr>
        <w:t xml:space="preserve">los siguientes temas: </w:t>
      </w:r>
      <w:r w:rsidRPr="009869B7">
        <w:rPr>
          <w:rFonts w:ascii="Arial" w:eastAsia="Times New Roman" w:hAnsi="Arial" w:cs="Arial"/>
          <w:i/>
          <w:iCs/>
          <w:kern w:val="0"/>
          <w:szCs w:val="24"/>
          <w:lang w:eastAsia="es-ES_tradnl"/>
          <w14:ligatures w14:val="none"/>
        </w:rPr>
        <w:t>(i)</w:t>
      </w:r>
      <w:r w:rsidRPr="009869B7">
        <w:rPr>
          <w:rFonts w:ascii="Arial" w:eastAsia="Times New Roman" w:hAnsi="Arial" w:cs="Arial"/>
          <w:kern w:val="0"/>
          <w:szCs w:val="24"/>
          <w:lang w:eastAsia="es-ES_tradnl"/>
          <w14:ligatures w14:val="none"/>
        </w:rPr>
        <w:t xml:space="preserve"> </w:t>
      </w:r>
      <w:bookmarkStart w:id="23" w:name="_Hlk141819630"/>
      <w:r w:rsidR="009869B7" w:rsidRPr="009869B7">
        <w:rPr>
          <w:rFonts w:ascii="Arial" w:eastAsia="Times New Roman" w:hAnsi="Arial" w:cs="Arial"/>
          <w:kern w:val="0"/>
          <w:szCs w:val="24"/>
          <w:lang w:eastAsia="es-ES_tradnl"/>
          <w14:ligatures w14:val="none"/>
        </w:rPr>
        <w:t xml:space="preserve">la </w:t>
      </w:r>
      <w:r w:rsidR="00FC6461" w:rsidRPr="009869B7">
        <w:rPr>
          <w:rFonts w:ascii="Arial" w:eastAsia="Times New Roman" w:hAnsi="Arial" w:cs="Arial"/>
          <w:kern w:val="0"/>
          <w:szCs w:val="24"/>
          <w:lang w:eastAsia="es-ES_tradnl"/>
          <w14:ligatures w14:val="none"/>
        </w:rPr>
        <w:t>vigencia</w:t>
      </w:r>
      <w:r w:rsidR="009869B7" w:rsidRPr="009869B7">
        <w:rPr>
          <w:rFonts w:ascii="Arial" w:eastAsia="Times New Roman" w:hAnsi="Arial" w:cs="Arial"/>
          <w:kern w:val="0"/>
          <w:szCs w:val="24"/>
          <w:lang w:eastAsia="es-ES_tradnl"/>
          <w14:ligatures w14:val="none"/>
        </w:rPr>
        <w:t xml:space="preserve"> y definición de emprendimientos y empresas de mujeres en el Decreto 1860 de 2021</w:t>
      </w:r>
      <w:bookmarkEnd w:id="23"/>
      <w:r w:rsidR="000D38A4" w:rsidRPr="009869B7">
        <w:rPr>
          <w:rFonts w:ascii="Arial" w:eastAsia="Times New Roman" w:hAnsi="Arial" w:cs="Arial"/>
          <w:kern w:val="0"/>
          <w:szCs w:val="24"/>
          <w:lang w:eastAsia="es-ES_tradnl"/>
          <w14:ligatures w14:val="none"/>
        </w:rPr>
        <w:t>,</w:t>
      </w:r>
      <w:r w:rsidR="009869B7" w:rsidRPr="009869B7">
        <w:rPr>
          <w:rFonts w:ascii="Arial" w:eastAsia="Times New Roman" w:hAnsi="Arial" w:cs="Arial"/>
          <w:kern w:val="0"/>
          <w:szCs w:val="24"/>
          <w:lang w:eastAsia="es-ES_tradnl"/>
          <w14:ligatures w14:val="none"/>
        </w:rPr>
        <w:t xml:space="preserve"> </w:t>
      </w:r>
      <w:r w:rsidR="000D38A4" w:rsidRPr="009869B7">
        <w:rPr>
          <w:rFonts w:ascii="Arial" w:eastAsia="Times New Roman" w:hAnsi="Arial" w:cs="Arial"/>
          <w:kern w:val="0"/>
          <w:szCs w:val="24"/>
          <w:lang w:eastAsia="es-ES_tradnl"/>
          <w14:ligatures w14:val="none"/>
        </w:rPr>
        <w:t xml:space="preserve">así como </w:t>
      </w:r>
      <w:r w:rsidRPr="009869B7">
        <w:rPr>
          <w:rFonts w:ascii="Arial" w:eastAsia="Times New Roman" w:hAnsi="Arial" w:cs="Arial"/>
          <w:i/>
          <w:iCs/>
          <w:kern w:val="0"/>
          <w:szCs w:val="24"/>
          <w:lang w:eastAsia="es-ES_tradnl"/>
          <w14:ligatures w14:val="none"/>
        </w:rPr>
        <w:t>(ii)</w:t>
      </w:r>
      <w:r w:rsidR="000D38A4" w:rsidRPr="009869B7">
        <w:rPr>
          <w:rFonts w:ascii="Arial" w:eastAsia="Times New Roman" w:hAnsi="Arial" w:cs="Arial"/>
          <w:i/>
          <w:iCs/>
          <w:kern w:val="0"/>
          <w:szCs w:val="24"/>
          <w:lang w:eastAsia="es-ES_tradnl"/>
          <w14:ligatures w14:val="none"/>
        </w:rPr>
        <w:t xml:space="preserve"> </w:t>
      </w:r>
      <w:r w:rsidR="009869B7" w:rsidRPr="009869B7">
        <w:rPr>
          <w:rFonts w:ascii="Arial" w:eastAsia="Times New Roman" w:hAnsi="Arial" w:cs="Arial"/>
          <w:kern w:val="0"/>
          <w:szCs w:val="24"/>
          <w:lang w:eastAsia="es-ES_tradnl"/>
          <w14:ligatures w14:val="none"/>
        </w:rPr>
        <w:t xml:space="preserve">el alcance del artículo 397 del Código de Comercio sobre las medidas </w:t>
      </w:r>
      <w:r w:rsidR="009869B7" w:rsidRPr="009869B7">
        <w:rPr>
          <w:rFonts w:ascii="Arial" w:eastAsia="Calibri" w:hAnsi="Arial" w:cs="Arial"/>
          <w:szCs w:val="24"/>
          <w:lang w:eastAsia="es-ES_tradnl"/>
        </w:rPr>
        <w:t>contra accionistas morosos en el pago de cuotas de acciones suscritas</w:t>
      </w:r>
      <w:r w:rsidR="00B868BF">
        <w:rPr>
          <w:rFonts w:ascii="Arial" w:eastAsia="Calibri" w:hAnsi="Arial" w:cs="Arial"/>
          <w:szCs w:val="24"/>
          <w:lang w:eastAsia="es-ES_tradnl"/>
        </w:rPr>
        <w:t>.</w:t>
      </w:r>
    </w:p>
    <w:p w14:paraId="7A241253" w14:textId="057DC303" w:rsidR="00B868BF" w:rsidRDefault="008E7F5C" w:rsidP="00B868BF">
      <w:pPr>
        <w:spacing w:after="120" w:line="276" w:lineRule="auto"/>
        <w:ind w:firstLine="708"/>
        <w:jc w:val="both"/>
        <w:rPr>
          <w:rFonts w:ascii="Arial" w:eastAsia="Times New Roman" w:hAnsi="Arial" w:cs="Arial"/>
          <w:kern w:val="0"/>
          <w:szCs w:val="24"/>
          <w:lang w:eastAsia="es-ES_tradnl"/>
          <w14:ligatures w14:val="none"/>
        </w:rPr>
      </w:pPr>
      <w:r w:rsidRPr="00B868BF">
        <w:rPr>
          <w:rFonts w:ascii="Arial" w:eastAsia="Times New Roman" w:hAnsi="Arial" w:cs="Arial"/>
          <w:kern w:val="0"/>
          <w:szCs w:val="24"/>
          <w:lang w:eastAsia="es-ES_tradnl"/>
          <w14:ligatures w14:val="none"/>
        </w:rPr>
        <w:t xml:space="preserve">La Agencia Nacional de Contratación Pública -Colombia Compra Eficiente- se ha referido previamente </w:t>
      </w:r>
      <w:r w:rsidR="000D38A4" w:rsidRPr="00B868BF">
        <w:rPr>
          <w:rFonts w:ascii="Arial" w:eastAsia="Times New Roman" w:hAnsi="Arial" w:cs="Arial"/>
          <w:kern w:val="0"/>
          <w:szCs w:val="24"/>
          <w:lang w:eastAsia="es-ES_tradnl"/>
          <w14:ligatures w14:val="none"/>
        </w:rPr>
        <w:t>al</w:t>
      </w:r>
      <w:r w:rsidR="009869B7" w:rsidRPr="00B868BF">
        <w:rPr>
          <w:rFonts w:ascii="Arial" w:eastAsia="Times New Roman" w:hAnsi="Arial" w:cs="Arial"/>
          <w:kern w:val="0"/>
          <w:szCs w:val="24"/>
          <w:lang w:eastAsia="es-ES_tradnl"/>
          <w14:ligatures w14:val="none"/>
        </w:rPr>
        <w:t xml:space="preserve"> primero de los temas planteados </w:t>
      </w:r>
      <w:r w:rsidR="000D38A4" w:rsidRPr="00B868BF">
        <w:rPr>
          <w:rFonts w:ascii="Arial" w:eastAsia="Times New Roman" w:hAnsi="Arial" w:cs="Arial"/>
          <w:kern w:val="0"/>
          <w:szCs w:val="24"/>
          <w:lang w:eastAsia="es-ES_tradnl"/>
          <w14:ligatures w14:val="none"/>
        </w:rPr>
        <w:t xml:space="preserve">en </w:t>
      </w:r>
      <w:r w:rsidRPr="00B868BF">
        <w:rPr>
          <w:rFonts w:ascii="Arial" w:eastAsia="Times New Roman" w:hAnsi="Arial" w:cs="Arial"/>
          <w:kern w:val="0"/>
          <w:szCs w:val="24"/>
          <w:lang w:eastAsia="es-ES_tradnl"/>
          <w14:ligatures w14:val="none"/>
        </w:rPr>
        <w:t>los conceptos</w:t>
      </w:r>
      <w:r w:rsidR="000D38A4" w:rsidRPr="00B868BF">
        <w:rPr>
          <w:rFonts w:ascii="Arial" w:eastAsia="Times New Roman" w:hAnsi="Arial" w:cs="Arial"/>
          <w:kern w:val="0"/>
          <w:szCs w:val="24"/>
          <w:lang w:eastAsia="es-ES_tradnl"/>
          <w14:ligatures w14:val="none"/>
        </w:rPr>
        <w:t xml:space="preserve"> </w:t>
      </w:r>
      <w:r w:rsidR="00B868BF" w:rsidRPr="00926AA8">
        <w:rPr>
          <w:rFonts w:ascii="Arial" w:eastAsia="Times New Roman" w:hAnsi="Arial" w:cs="Arial"/>
          <w:kern w:val="0"/>
          <w:shd w:val="clear" w:color="auto" w:fill="FFFFFF"/>
          <w:lang w:eastAsia="es-ES_tradnl"/>
          <w14:ligatures w14:val="none"/>
        </w:rPr>
        <w:t xml:space="preserve">C-029 del 21 de </w:t>
      </w:r>
      <w:r w:rsidR="00B868BF" w:rsidRPr="00926AA8">
        <w:rPr>
          <w:rFonts w:ascii="Arial" w:eastAsia="Times New Roman" w:hAnsi="Arial" w:cs="Arial"/>
          <w:kern w:val="0"/>
          <w:shd w:val="clear" w:color="auto" w:fill="FFFFFF"/>
          <w:lang w:eastAsia="es-ES_tradnl"/>
          <w14:ligatures w14:val="none"/>
        </w:rPr>
        <w:lastRenderedPageBreak/>
        <w:t xml:space="preserve">febrero de 2021, C-037 del 26 de febrero de 2021, C-141 del 8 de abril de 2021, C-114 del 13 de abril de 2021, C-031 del 1 de marzo de 2022, C-213 del 21 de abril de 2022, C-217 del 21 de abril de 2022, C-281 del 12 de mayo de 2022, C-322 del 20 de mayo de 2022, </w:t>
      </w:r>
      <w:r w:rsidR="00B868BF">
        <w:rPr>
          <w:rFonts w:ascii="Arial" w:eastAsia="Times New Roman" w:hAnsi="Arial" w:cs="Arial"/>
          <w:kern w:val="0"/>
          <w:shd w:val="clear" w:color="auto" w:fill="FFFFFF"/>
          <w:lang w:eastAsia="es-ES_tradnl"/>
          <w14:ligatures w14:val="none"/>
        </w:rPr>
        <w:t xml:space="preserve">  </w:t>
      </w:r>
      <w:r w:rsidR="00B868BF" w:rsidRPr="00926AA8">
        <w:rPr>
          <w:rFonts w:ascii="Arial" w:eastAsia="Times New Roman" w:hAnsi="Arial" w:cs="Arial"/>
          <w:kern w:val="0"/>
          <w:shd w:val="clear" w:color="auto" w:fill="FFFFFF"/>
          <w:lang w:eastAsia="es-ES_tradnl"/>
          <w14:ligatures w14:val="none"/>
        </w:rPr>
        <w:t>C-323 del 17 de junio de 2022, C-326 del 18 de mayo de 2022, C-398 del 15 de junio de 2022, C-399 del 21 de junio de 2022, C-421 del 6 de julio de 2022, C-429 del 18 de julio de 2022, C-438 del 11 de julio de 2022, C-454 del 13 de julio de 2022, C-476 del 21 de junio de 2022, C-479 del 26 de julio de 2022, C-504 del 8 de agosto de 2022, C-522 del 16 de agosto de 2022, C-642 del 11 de octubre de 2022, C-696 de 26 de octubre de 2022, C-781 de 25 de noviembre de 2022, C-861 del 15 de diciembre de 2022</w:t>
      </w:r>
      <w:r w:rsidR="00B868BF">
        <w:rPr>
          <w:rFonts w:ascii="Arial" w:eastAsia="Times New Roman" w:hAnsi="Arial" w:cs="Arial"/>
          <w:kern w:val="0"/>
          <w:shd w:val="clear" w:color="auto" w:fill="FFFFFF"/>
          <w:lang w:eastAsia="es-ES_tradnl"/>
          <w14:ligatures w14:val="none"/>
        </w:rPr>
        <w:t xml:space="preserve">, </w:t>
      </w:r>
      <w:r w:rsidR="00B868BF" w:rsidRPr="00926AA8">
        <w:rPr>
          <w:rFonts w:ascii="Arial" w:eastAsia="Times New Roman" w:hAnsi="Arial" w:cs="Arial"/>
          <w:kern w:val="0"/>
          <w:shd w:val="clear" w:color="auto" w:fill="FFFFFF"/>
          <w:lang w:eastAsia="es-ES_tradnl"/>
          <w14:ligatures w14:val="none"/>
        </w:rPr>
        <w:t>C-029 del 11 de mayo de 2023,</w:t>
      </w:r>
      <w:r w:rsidR="00B868BF">
        <w:rPr>
          <w:rFonts w:ascii="Arial" w:eastAsia="Times New Roman" w:hAnsi="Arial" w:cs="Arial"/>
          <w:kern w:val="0"/>
          <w:shd w:val="clear" w:color="auto" w:fill="FFFFFF"/>
          <w:lang w:eastAsia="es-ES_tradnl"/>
          <w14:ligatures w14:val="none"/>
        </w:rPr>
        <w:t xml:space="preserve"> C-048 del 12 de abril de 2023, C-282 del 17 de julio de 2023 y C-309 del 28 de julio de 2023, </w:t>
      </w:r>
      <w:r w:rsidR="00B868BF" w:rsidRPr="00926AA8">
        <w:rPr>
          <w:rFonts w:ascii="Arial" w:eastAsia="Times New Roman" w:hAnsi="Arial" w:cs="Arial"/>
          <w:kern w:val="0"/>
          <w:shd w:val="clear" w:color="auto" w:fill="FFFFFF"/>
          <w:lang w:eastAsia="es-ES_tradnl"/>
          <w14:ligatures w14:val="none"/>
        </w:rPr>
        <w:t>entre muchos otros</w:t>
      </w:r>
      <w:r w:rsidR="00B868BF" w:rsidRPr="00926AA8">
        <w:rPr>
          <w:rFonts w:ascii="Arial" w:eastAsia="Calibri" w:hAnsi="Arial" w:cs="Arial"/>
          <w:kern w:val="0"/>
          <w:vertAlign w:val="superscript"/>
          <w:lang w:val="es-ES" w:eastAsia="es-ES"/>
          <w14:ligatures w14:val="none"/>
        </w:rPr>
        <w:footnoteReference w:id="3"/>
      </w:r>
      <w:r w:rsidR="00B868BF" w:rsidRPr="00926AA8">
        <w:rPr>
          <w:rFonts w:ascii="Arial" w:eastAsia="Calibri" w:hAnsi="Arial" w:cs="Arial"/>
          <w:kern w:val="0"/>
          <w:lang w:val="es-ES" w:eastAsia="es-ES"/>
          <w14:ligatures w14:val="none"/>
        </w:rPr>
        <w:t>. La tesis expuesta en estos conceptos se reitera y complementa en lo pertinente a continuación.</w:t>
      </w:r>
      <w:bookmarkStart w:id="24" w:name="_Hlk133491084"/>
      <w:bookmarkEnd w:id="22"/>
    </w:p>
    <w:p w14:paraId="22AD5DD4" w14:textId="6AAB0AD2" w:rsidR="00B868BF" w:rsidRDefault="008E7F5C" w:rsidP="00B868BF">
      <w:pPr>
        <w:spacing w:after="120" w:line="276" w:lineRule="auto"/>
        <w:jc w:val="both"/>
        <w:rPr>
          <w:rFonts w:ascii="Arial" w:eastAsia="Calibri" w:hAnsi="Arial" w:cs="Arial"/>
          <w:b/>
          <w:kern w:val="0"/>
          <w:szCs w:val="24"/>
          <w:lang w:val="es-ES_tradnl" w:eastAsia="es-CO"/>
          <w14:ligatures w14:val="none"/>
        </w:rPr>
      </w:pPr>
      <w:r w:rsidRPr="008E7F5C">
        <w:rPr>
          <w:rFonts w:ascii="Arial" w:eastAsia="Calibri" w:hAnsi="Arial" w:cs="Arial"/>
          <w:b/>
          <w:kern w:val="0"/>
          <w:szCs w:val="24"/>
          <w:lang w:val="es-ES_tradnl" w:eastAsia="es-CO"/>
          <w14:ligatures w14:val="none"/>
        </w:rPr>
        <w:t>2.1.</w:t>
      </w:r>
      <w:bookmarkStart w:id="25" w:name="_Hlk133499202"/>
      <w:r w:rsidRPr="008E7F5C">
        <w:rPr>
          <w:rFonts w:ascii="Arial" w:eastAsia="Calibri" w:hAnsi="Arial" w:cs="Arial"/>
          <w:b/>
          <w:kern w:val="0"/>
          <w:szCs w:val="24"/>
          <w:lang w:val="es-ES_tradnl" w:eastAsia="es-CO"/>
          <w14:ligatures w14:val="none"/>
        </w:rPr>
        <w:tab/>
      </w:r>
      <w:bookmarkStart w:id="26" w:name="_Hlk140035885"/>
      <w:bookmarkStart w:id="27" w:name="_Hlk127422237"/>
      <w:bookmarkStart w:id="28" w:name="_Hlk141820344"/>
      <w:bookmarkEnd w:id="18"/>
      <w:bookmarkEnd w:id="24"/>
      <w:bookmarkEnd w:id="25"/>
      <w:r w:rsidR="00B868BF" w:rsidRPr="00B868BF">
        <w:rPr>
          <w:rFonts w:ascii="Arial" w:eastAsia="Times New Roman" w:hAnsi="Arial" w:cs="Arial"/>
          <w:b/>
          <w:bCs/>
          <w:kern w:val="0"/>
          <w:szCs w:val="24"/>
          <w:lang w:eastAsia="es-ES_tradnl"/>
          <w14:ligatures w14:val="none"/>
        </w:rPr>
        <w:t>V</w:t>
      </w:r>
      <w:r w:rsidR="00B868BF" w:rsidRPr="00B868BF">
        <w:rPr>
          <w:rFonts w:ascii="Arial" w:eastAsia="Times New Roman" w:hAnsi="Arial" w:cs="Arial"/>
          <w:b/>
          <w:bCs/>
          <w:kern w:val="0"/>
          <w:szCs w:val="24"/>
          <w:lang w:eastAsia="es-ES_tradnl"/>
          <w14:ligatures w14:val="none"/>
        </w:rPr>
        <w:t>igencia y definición de emprendimientos y empresas de mujeres en el Decreto 1860 de 2021</w:t>
      </w:r>
    </w:p>
    <w:p w14:paraId="02E70581" w14:textId="77777777" w:rsidR="00495606" w:rsidRDefault="000D31B8" w:rsidP="000D31B8">
      <w:pPr>
        <w:spacing w:after="0" w:line="276" w:lineRule="auto"/>
        <w:jc w:val="both"/>
        <w:rPr>
          <w:rFonts w:ascii="Arial" w:hAnsi="Arial" w:cs="Arial"/>
          <w:kern w:val="0"/>
          <w:lang w:val="es-MX"/>
          <w14:ligatures w14:val="none"/>
        </w:rPr>
      </w:pPr>
      <w:bookmarkStart w:id="29" w:name="_Hlk136184980"/>
      <w:r>
        <w:rPr>
          <w:rFonts w:ascii="Arial" w:hAnsi="Arial" w:cs="Arial"/>
          <w:kern w:val="0"/>
          <w:lang w:val="es-MX"/>
          <w14:ligatures w14:val="none"/>
        </w:rPr>
        <w:t>A</w:t>
      </w:r>
      <w:r w:rsidR="00B868BF" w:rsidRPr="00B868BF">
        <w:rPr>
          <w:rFonts w:ascii="Arial" w:hAnsi="Arial" w:cs="Arial"/>
          <w:kern w:val="0"/>
          <w:lang w:val="es-MX"/>
          <w14:ligatures w14:val="none"/>
        </w:rPr>
        <w:t xml:space="preserve"> través del artículo 32 de la Ley 2069 de 2020 </w:t>
      </w:r>
      <w:bookmarkStart w:id="30" w:name="_Hlk127355689"/>
      <w:r w:rsidR="00B868BF" w:rsidRPr="00B868BF">
        <w:rPr>
          <w:rFonts w:ascii="Arial" w:hAnsi="Arial" w:cs="Arial"/>
          <w:kern w:val="0"/>
          <w:lang w:val="es-MX"/>
          <w14:ligatures w14:val="none"/>
        </w:rPr>
        <w:t>“</w:t>
      </w:r>
      <w:r>
        <w:rPr>
          <w:rFonts w:ascii="Arial" w:hAnsi="Arial" w:cs="Arial"/>
          <w:kern w:val="0"/>
          <w:lang w:val="es-MX"/>
          <w14:ligatures w14:val="none"/>
        </w:rPr>
        <w:t>[p]</w:t>
      </w:r>
      <w:r w:rsidR="00B868BF" w:rsidRPr="00B868BF">
        <w:rPr>
          <w:rFonts w:ascii="Arial" w:hAnsi="Arial" w:cs="Arial"/>
          <w:kern w:val="0"/>
          <w:lang w:val="es-MX"/>
          <w14:ligatures w14:val="none"/>
        </w:rPr>
        <w:t>or medio de la cual se impulsa el emprendimiento en Colombia</w:t>
      </w:r>
      <w:bookmarkEnd w:id="30"/>
      <w:r w:rsidR="00B868BF" w:rsidRPr="00B868BF">
        <w:rPr>
          <w:rFonts w:ascii="Arial" w:hAnsi="Arial" w:cs="Arial"/>
          <w:kern w:val="0"/>
          <w:lang w:val="es-MX"/>
          <w14:ligatures w14:val="none"/>
        </w:rPr>
        <w:t>”, se establecieron una serie de criterios diferenciales para promover la vinculación de emprendimientos y empresas de mujeres al sistema de compras públicas.</w:t>
      </w:r>
    </w:p>
    <w:p w14:paraId="4A53B582" w14:textId="77777777" w:rsidR="00495606" w:rsidRDefault="00495606" w:rsidP="000D31B8">
      <w:pPr>
        <w:spacing w:after="0" w:line="276" w:lineRule="auto"/>
        <w:jc w:val="both"/>
        <w:rPr>
          <w:rFonts w:ascii="Arial" w:hAnsi="Arial" w:cs="Arial"/>
          <w:kern w:val="0"/>
          <w:lang w:val="es-MX"/>
          <w14:ligatures w14:val="none"/>
        </w:rPr>
      </w:pPr>
    </w:p>
    <w:p w14:paraId="7D89C0E9" w14:textId="0867238E" w:rsidR="00B868BF" w:rsidRPr="00B868BF" w:rsidRDefault="00495606" w:rsidP="000D31B8">
      <w:pPr>
        <w:spacing w:after="0" w:line="276" w:lineRule="auto"/>
        <w:jc w:val="both"/>
        <w:rPr>
          <w:rFonts w:ascii="Arial" w:hAnsi="Arial" w:cs="Arial"/>
          <w:kern w:val="0"/>
          <w:lang w:val="es-MX"/>
          <w14:ligatures w14:val="none"/>
        </w:rPr>
      </w:pPr>
      <w:r>
        <w:rPr>
          <w:rFonts w:ascii="Arial" w:hAnsi="Arial" w:cs="Arial"/>
          <w:kern w:val="0"/>
          <w:lang w:val="es-MX"/>
          <w14:ligatures w14:val="none"/>
        </w:rPr>
        <w:tab/>
      </w:r>
      <w:r w:rsidR="00B868BF" w:rsidRPr="00B868BF">
        <w:rPr>
          <w:rFonts w:ascii="Arial" w:hAnsi="Arial" w:cs="Arial"/>
          <w:kern w:val="0"/>
          <w:lang w:val="es-MX"/>
          <w14:ligatures w14:val="none"/>
        </w:rPr>
        <w:t>Según el precepto en cita, “</w:t>
      </w:r>
      <w:r w:rsidR="000D31B8">
        <w:rPr>
          <w:rFonts w:ascii="Arial" w:hAnsi="Arial" w:cs="Arial"/>
          <w:kern w:val="0"/>
          <w:lang w:val="es-MX"/>
          <w14:ligatures w14:val="none"/>
        </w:rPr>
        <w:t>[d]</w:t>
      </w:r>
      <w:r w:rsidR="00B868BF" w:rsidRPr="00B868BF">
        <w:rPr>
          <w:rFonts w:ascii="Arial" w:hAnsi="Arial" w:cs="Arial"/>
          <w:kern w:val="0"/>
          <w:lang w:val="es-MX"/>
          <w14:ligatures w14:val="none"/>
        </w:rPr>
        <w:t xml:space="preserve">e acuerdo con el resultado del análisis del sector, las entidades estatales incluirán requisitos diferenciales y puntajes adicionales en los procesos de licitación pública, selección abreviada de menor cuantía y concurso de méritos, así como en los procesos competitivos que adelanten las entidades estatales que no apliquen en su gestión contractual el Estatuto General de Contratación Administrativa, </w:t>
      </w:r>
      <w:r w:rsidR="00B868BF" w:rsidRPr="00B868BF">
        <w:rPr>
          <w:rFonts w:ascii="Arial" w:hAnsi="Arial" w:cs="Arial"/>
          <w:i/>
          <w:iCs/>
          <w:kern w:val="0"/>
          <w:lang w:val="es-MX"/>
          <w14:ligatures w14:val="none"/>
        </w:rPr>
        <w:t>como medidas de acción afirmativa, para incentivar emprendimientos y empresas de mujeres en el sistema de compras públicas, sin perjuicio de los compromisos adquiridos por Colombia en los acuerdos comerciales en vigor”</w:t>
      </w:r>
      <w:r w:rsidR="00B868BF" w:rsidRPr="00B868BF">
        <w:rPr>
          <w:rFonts w:ascii="Arial" w:hAnsi="Arial" w:cs="Arial"/>
          <w:kern w:val="0"/>
          <w:lang w:val="es-MX"/>
          <w14:ligatures w14:val="none"/>
        </w:rPr>
        <w:t>. (Cursiva</w:t>
      </w:r>
      <w:r w:rsidR="000D31B8">
        <w:rPr>
          <w:rFonts w:ascii="Arial" w:hAnsi="Arial" w:cs="Arial"/>
          <w:kern w:val="0"/>
          <w:lang w:val="es-MX"/>
          <w14:ligatures w14:val="none"/>
        </w:rPr>
        <w:t xml:space="preserve"> </w:t>
      </w:r>
      <w:r w:rsidR="00B868BF" w:rsidRPr="00B868BF">
        <w:rPr>
          <w:rFonts w:ascii="Arial" w:hAnsi="Arial" w:cs="Arial"/>
          <w:kern w:val="0"/>
          <w:lang w:val="es-MX"/>
          <w14:ligatures w14:val="none"/>
        </w:rPr>
        <w:t>fuera del texto original).</w:t>
      </w:r>
    </w:p>
    <w:p w14:paraId="28BAA29B" w14:textId="77777777" w:rsidR="00B868BF" w:rsidRPr="00B868BF" w:rsidRDefault="00B868BF" w:rsidP="00B868BF">
      <w:pPr>
        <w:spacing w:after="0" w:line="276" w:lineRule="auto"/>
        <w:ind w:firstLine="708"/>
        <w:jc w:val="both"/>
        <w:rPr>
          <w:rFonts w:ascii="Arial" w:hAnsi="Arial" w:cs="Arial"/>
          <w:kern w:val="0"/>
          <w:lang w:val="es-MX"/>
          <w14:ligatures w14:val="none"/>
        </w:rPr>
      </w:pPr>
    </w:p>
    <w:p w14:paraId="1AFCE6CF" w14:textId="77777777" w:rsidR="00B868BF" w:rsidRPr="00B868BF" w:rsidRDefault="00B868BF" w:rsidP="00B868BF">
      <w:pPr>
        <w:spacing w:after="0" w:line="276" w:lineRule="auto"/>
        <w:ind w:firstLine="708"/>
        <w:jc w:val="both"/>
        <w:rPr>
          <w:rFonts w:ascii="Arial" w:hAnsi="Arial" w:cs="Arial"/>
          <w:kern w:val="0"/>
          <w:lang w:val="es-MX"/>
          <w14:ligatures w14:val="none"/>
        </w:rPr>
      </w:pPr>
      <w:r w:rsidRPr="00B868BF">
        <w:rPr>
          <w:rFonts w:ascii="Arial" w:hAnsi="Arial" w:cs="Arial"/>
          <w:kern w:val="0"/>
          <w:lang w:val="es-MX"/>
          <w14:ligatures w14:val="none"/>
        </w:rPr>
        <w:t xml:space="preserve">Esto significa que los criterios diferenciales -que incluyen tanto requisitos diferenciales como puntajes adicionales- habrán de ser observados en todos los procesos de contratación cuyas modalidades de selección sean de licitación pública, selección abreviada de menor cuantía y/o concursos de méritos, con excepción de las demás modalidades descritas en el artículo 2º de la Ley 1150 de 2007. Adicionalmente, los referidos criterios serán aplicables en todos los procedimientos de escogencia o selección </w:t>
      </w:r>
      <w:r w:rsidRPr="00B868BF">
        <w:rPr>
          <w:rFonts w:ascii="Arial" w:hAnsi="Arial" w:cs="Arial"/>
          <w:kern w:val="0"/>
          <w:lang w:val="es-MX"/>
          <w14:ligatures w14:val="none"/>
        </w:rPr>
        <w:lastRenderedPageBreak/>
        <w:t>que lleven a cabo las entidades estatales que no apliquen en su gestión contractual el Estatuto General de Contratación de la Administración Pública.</w:t>
      </w:r>
    </w:p>
    <w:p w14:paraId="732F4626" w14:textId="77777777" w:rsidR="00B868BF" w:rsidRPr="00B868BF" w:rsidRDefault="00B868BF" w:rsidP="00B868BF">
      <w:pPr>
        <w:spacing w:after="0" w:line="276" w:lineRule="auto"/>
        <w:ind w:firstLine="708"/>
        <w:jc w:val="both"/>
        <w:rPr>
          <w:rFonts w:ascii="Arial" w:hAnsi="Arial" w:cs="Arial"/>
          <w:kern w:val="0"/>
          <w:lang w:val="es-MX"/>
          <w14:ligatures w14:val="none"/>
        </w:rPr>
      </w:pPr>
    </w:p>
    <w:p w14:paraId="77A30D6C" w14:textId="77777777" w:rsidR="00B868BF" w:rsidRPr="00B868BF" w:rsidRDefault="00B868BF" w:rsidP="00B868BF">
      <w:pPr>
        <w:spacing w:after="0" w:line="276" w:lineRule="auto"/>
        <w:ind w:firstLine="708"/>
        <w:jc w:val="both"/>
        <w:rPr>
          <w:rFonts w:ascii="Arial" w:hAnsi="Arial" w:cs="Arial"/>
          <w:kern w:val="0"/>
          <w:lang w:val="es-MX"/>
          <w14:ligatures w14:val="none"/>
        </w:rPr>
      </w:pPr>
      <w:r w:rsidRPr="00B868BF">
        <w:rPr>
          <w:rFonts w:ascii="Arial" w:hAnsi="Arial" w:cs="Arial"/>
          <w:kern w:val="0"/>
          <w:lang w:val="es-MX"/>
          <w14:ligatures w14:val="none"/>
        </w:rPr>
        <w:t>Con todo, interesa señalar que el parágrafo 1º del artículo 32 de la Ley 2069 de 2020 alude a la necesidad de desarrollo normativo posterior, pues allí expresamente se dispuso que “la definición de emprendimientos y empresas de mujeres se reglamentará por el gobierno nacional”. En este sentido, la aplicación de los criterios diferenciales en favor de emprendimientos y empresas de mujeres quedó condicionada al eventual ejercicio de la potestad reglamentaria a cargo del ejecutivo, en función de la cual se establezca y delimite su efectiva materialización.</w:t>
      </w:r>
    </w:p>
    <w:p w14:paraId="4546DE8C" w14:textId="77777777" w:rsidR="00B868BF" w:rsidRPr="00B868BF" w:rsidRDefault="00B868BF" w:rsidP="00B868BF">
      <w:pPr>
        <w:spacing w:after="0" w:line="276" w:lineRule="auto"/>
        <w:ind w:firstLine="708"/>
        <w:jc w:val="both"/>
        <w:rPr>
          <w:rFonts w:ascii="Arial" w:hAnsi="Arial" w:cs="Arial"/>
          <w:kern w:val="0"/>
          <w:lang w:val="es-MX"/>
          <w14:ligatures w14:val="none"/>
        </w:rPr>
      </w:pPr>
    </w:p>
    <w:p w14:paraId="5360031D" w14:textId="25D650FC" w:rsidR="00B868BF" w:rsidRPr="00B868BF" w:rsidRDefault="00B868BF" w:rsidP="00B868BF">
      <w:pPr>
        <w:spacing w:after="0" w:line="276" w:lineRule="auto"/>
        <w:ind w:firstLine="708"/>
        <w:jc w:val="both"/>
        <w:rPr>
          <w:rFonts w:ascii="Arial" w:hAnsi="Arial" w:cs="Arial"/>
          <w:kern w:val="0"/>
          <w:lang w:val="es-MX"/>
          <w14:ligatures w14:val="none"/>
        </w:rPr>
      </w:pPr>
      <w:r w:rsidRPr="00B868BF">
        <w:rPr>
          <w:rFonts w:ascii="Arial" w:hAnsi="Arial" w:cs="Arial"/>
          <w:kern w:val="0"/>
          <w:lang w:val="es-MX"/>
          <w14:ligatures w14:val="none"/>
        </w:rPr>
        <w:t xml:space="preserve">Pues bien, con la expedición del Decreto 1860 de 2021 </w:t>
      </w:r>
      <w:bookmarkStart w:id="31" w:name="_Hlk127428602"/>
      <w:r w:rsidRPr="00B868BF">
        <w:rPr>
          <w:rFonts w:ascii="Arial" w:hAnsi="Arial" w:cs="Arial"/>
          <w:kern w:val="0"/>
          <w:lang w:val="es-MX"/>
          <w14:ligatures w14:val="none"/>
        </w:rPr>
        <w:t>“Por el cual se modifica y adiciona el Decreto 1082 de 2015, Único Reglamentario del Sector Administrativo de Planeación Nacional, con el fin de reglamentar los artículos 30, 31, 32, 34 y 35 de la Ley 2069 de 2020, en lo relativo al sistema de compras públicas y se dictan otras disposiciones</w:t>
      </w:r>
      <w:bookmarkEnd w:id="31"/>
      <w:r w:rsidRPr="00B868BF">
        <w:rPr>
          <w:rFonts w:ascii="Arial" w:hAnsi="Arial" w:cs="Arial"/>
          <w:kern w:val="0"/>
          <w:lang w:val="es-MX"/>
          <w14:ligatures w14:val="none"/>
        </w:rPr>
        <w:t>”, el Presidente de la República, específicamente en el artículo 3º, adicionó los artículos 2.2.1.2.4.2.14, 2.2.1.2.4.2.15, 2.2.1.2.4.2.16, 2.2.1.2.4.2.17 y 2.2.1.2.4.2.18 a la Subsección 2 de la Sección 4 del Capítulo 2 del Título 1 de la Parte 2 del Libro 2 del Decreto 1082 de 2015.</w:t>
      </w:r>
    </w:p>
    <w:p w14:paraId="1B47617D" w14:textId="77777777" w:rsidR="000D31B8" w:rsidRDefault="000D31B8" w:rsidP="00B868BF">
      <w:pPr>
        <w:spacing w:after="0" w:line="276" w:lineRule="auto"/>
        <w:ind w:firstLine="708"/>
        <w:jc w:val="both"/>
        <w:rPr>
          <w:rFonts w:ascii="Arial" w:hAnsi="Arial" w:cs="Arial"/>
          <w:kern w:val="0"/>
          <w:lang w:val="es-MX"/>
          <w14:ligatures w14:val="none"/>
        </w:rPr>
      </w:pPr>
    </w:p>
    <w:p w14:paraId="256454EA" w14:textId="29ED9A5B" w:rsidR="00B868BF" w:rsidRPr="00B868BF" w:rsidRDefault="00B868BF" w:rsidP="00B868BF">
      <w:pPr>
        <w:spacing w:after="0" w:line="276" w:lineRule="auto"/>
        <w:ind w:firstLine="708"/>
        <w:jc w:val="both"/>
        <w:rPr>
          <w:rFonts w:ascii="Arial" w:hAnsi="Arial" w:cs="Arial"/>
          <w:kern w:val="0"/>
          <w:lang w:val="es-MX"/>
          <w14:ligatures w14:val="none"/>
        </w:rPr>
      </w:pPr>
      <w:r w:rsidRPr="00B868BF">
        <w:rPr>
          <w:rFonts w:ascii="Arial" w:hAnsi="Arial" w:cs="Arial"/>
          <w:kern w:val="0"/>
          <w:lang w:val="es-MX"/>
          <w14:ligatures w14:val="none"/>
        </w:rPr>
        <w:t>Mientras la primera de las normas adicionadas consagra una definición de emprendimientos y empresas de mujeres, la segunda, por su parte, fija unas condiciones objetivas habilitantes que deberán tener en cuenta las distintas entidades contratantes para dar cabal aplicación a los criterios diferenciales dirigidos a promover y facilitar su acceso como proponentes al sistema de compras públicas. La normativa restante, en su orden, versa sobre el fomento de la ejecución de contratos estatales por parte de población en pobreza extrema, la existencia de factores de desempate y acreditación para seleccionar al oferente favorecido, y las condiciones habilitantes diferenciales que faciliten la participación en los procedimientos de selección competitivos de las Mipymes domiciliadas en Colombia.</w:t>
      </w:r>
    </w:p>
    <w:p w14:paraId="151A65A2" w14:textId="77777777" w:rsidR="00B868BF" w:rsidRPr="00B868BF" w:rsidRDefault="00B868BF" w:rsidP="00B868BF">
      <w:pPr>
        <w:spacing w:after="0" w:line="276" w:lineRule="auto"/>
        <w:ind w:firstLine="708"/>
        <w:jc w:val="both"/>
        <w:rPr>
          <w:rFonts w:ascii="Arial" w:hAnsi="Arial" w:cs="Arial"/>
          <w:kern w:val="0"/>
          <w:lang w:val="es-MX"/>
          <w14:ligatures w14:val="none"/>
        </w:rPr>
      </w:pPr>
    </w:p>
    <w:p w14:paraId="30B9BC6A" w14:textId="58899D45" w:rsidR="00B868BF" w:rsidRPr="00B868BF" w:rsidRDefault="000D31B8" w:rsidP="00B868BF">
      <w:pPr>
        <w:spacing w:after="0" w:line="276" w:lineRule="auto"/>
        <w:ind w:firstLine="708"/>
        <w:jc w:val="both"/>
        <w:rPr>
          <w:rFonts w:ascii="Arial" w:hAnsi="Arial" w:cs="Arial"/>
          <w:kern w:val="0"/>
          <w:lang w:val="es-MX"/>
          <w14:ligatures w14:val="none"/>
        </w:rPr>
      </w:pPr>
      <w:r>
        <w:rPr>
          <w:rFonts w:ascii="Arial" w:hAnsi="Arial" w:cs="Arial"/>
          <w:kern w:val="0"/>
          <w:lang w:val="es-MX"/>
          <w14:ligatures w14:val="none"/>
        </w:rPr>
        <w:t xml:space="preserve">Justamente, cabe resaltar </w:t>
      </w:r>
      <w:r w:rsidR="00B868BF" w:rsidRPr="00B868BF">
        <w:rPr>
          <w:rFonts w:ascii="Arial" w:hAnsi="Arial" w:cs="Arial"/>
          <w:kern w:val="0"/>
          <w:lang w:val="es-MX"/>
          <w14:ligatures w14:val="none"/>
        </w:rPr>
        <w:t xml:space="preserve">que el artículo 2.2.1.2.4.2.14. establece unas condiciones y requisitos que deben cumplirse para entender que se trata de emprendimientos y empresas de mujeres. Con la acreditación de alguna de ellas, habrá de darse paso a la adopción de las medidas afirmativas correspondientes para incentivar la participación de las mujeres en el sistema de compras públicas. </w:t>
      </w:r>
      <w:r>
        <w:rPr>
          <w:rFonts w:ascii="Arial" w:hAnsi="Arial" w:cs="Arial"/>
          <w:kern w:val="0"/>
          <w:lang w:val="es-MX"/>
          <w14:ligatures w14:val="none"/>
        </w:rPr>
        <w:t>En concreto</w:t>
      </w:r>
      <w:r w:rsidR="00B868BF" w:rsidRPr="00B868BF">
        <w:rPr>
          <w:rFonts w:ascii="Arial" w:hAnsi="Arial" w:cs="Arial"/>
          <w:kern w:val="0"/>
          <w:lang w:val="es-MX"/>
          <w14:ligatures w14:val="none"/>
        </w:rPr>
        <w:t>,</w:t>
      </w:r>
      <w:r>
        <w:rPr>
          <w:rFonts w:ascii="Arial" w:hAnsi="Arial" w:cs="Arial"/>
          <w:kern w:val="0"/>
          <w:lang w:val="es-MX"/>
          <w14:ligatures w14:val="none"/>
        </w:rPr>
        <w:t xml:space="preserve"> </w:t>
      </w:r>
      <w:r w:rsidR="00B868BF" w:rsidRPr="00B868BF">
        <w:rPr>
          <w:rFonts w:ascii="Arial" w:hAnsi="Arial" w:cs="Arial"/>
          <w:kern w:val="0"/>
          <w:lang w:val="es-MX"/>
          <w14:ligatures w14:val="none"/>
        </w:rPr>
        <w:t>se trata de cuatro numerales que perfilan unas hipótesis específicas bajo las cuales se definen los emprendimientos y empresas de mujeres, en función de la eventual aplicación tanto de requisitos habilitantes como de puntajes adicionales.</w:t>
      </w:r>
      <w:bookmarkEnd w:id="28"/>
      <w:r w:rsidR="00B868BF" w:rsidRPr="00B868BF">
        <w:rPr>
          <w:rFonts w:ascii="Arial" w:hAnsi="Arial" w:cs="Arial"/>
          <w:kern w:val="0"/>
          <w:lang w:val="es-MX"/>
          <w14:ligatures w14:val="none"/>
        </w:rPr>
        <w:t xml:space="preserve"> El tenor literal de la norma en comento es el siguiente:</w:t>
      </w:r>
    </w:p>
    <w:p w14:paraId="607DE9B3" w14:textId="77777777" w:rsidR="00B868BF" w:rsidRPr="00B868BF" w:rsidRDefault="00B868BF" w:rsidP="00B868BF">
      <w:pPr>
        <w:spacing w:after="0" w:line="276" w:lineRule="auto"/>
        <w:ind w:firstLine="708"/>
        <w:jc w:val="both"/>
        <w:rPr>
          <w:rFonts w:ascii="Arial" w:hAnsi="Arial" w:cs="Arial"/>
          <w:kern w:val="0"/>
          <w:lang w:val="es-MX"/>
          <w14:ligatures w14:val="none"/>
        </w:rPr>
      </w:pPr>
    </w:p>
    <w:p w14:paraId="597B64E6" w14:textId="77777777" w:rsidR="00B868BF" w:rsidRPr="00B868BF" w:rsidRDefault="00B868BF" w:rsidP="00B868BF">
      <w:pPr>
        <w:shd w:val="clear" w:color="auto" w:fill="FFFFFF"/>
        <w:spacing w:after="0" w:line="240" w:lineRule="auto"/>
        <w:ind w:left="567" w:right="571"/>
        <w:jc w:val="both"/>
        <w:rPr>
          <w:rFonts w:ascii="Arial" w:eastAsia="Times New Roman" w:hAnsi="Arial" w:cs="Arial"/>
          <w:kern w:val="0"/>
          <w:sz w:val="21"/>
          <w:szCs w:val="21"/>
          <w:lang w:eastAsia="es-CO"/>
          <w14:ligatures w14:val="none"/>
        </w:rPr>
      </w:pPr>
      <w:r w:rsidRPr="00B868BF">
        <w:rPr>
          <w:rFonts w:ascii="Arial" w:eastAsia="Times New Roman" w:hAnsi="Arial" w:cs="Arial"/>
          <w:b/>
          <w:bCs/>
          <w:kern w:val="0"/>
          <w:sz w:val="21"/>
          <w:szCs w:val="21"/>
          <w:lang w:eastAsia="es-CO"/>
          <w14:ligatures w14:val="none"/>
        </w:rPr>
        <w:lastRenderedPageBreak/>
        <w:t>"</w:t>
      </w:r>
      <w:bookmarkStart w:id="32" w:name="_Hlk127422750"/>
      <w:r w:rsidRPr="00B868BF">
        <w:rPr>
          <w:rFonts w:ascii="Arial" w:eastAsia="Times New Roman" w:hAnsi="Arial" w:cs="Arial"/>
          <w:b/>
          <w:bCs/>
          <w:kern w:val="0"/>
          <w:sz w:val="21"/>
          <w:szCs w:val="21"/>
          <w:lang w:eastAsia="es-CO"/>
          <w14:ligatures w14:val="none"/>
        </w:rPr>
        <w:t xml:space="preserve">ARTÍCULO 2.2.1.2.4.2.14. </w:t>
      </w:r>
      <w:bookmarkEnd w:id="32"/>
      <w:r w:rsidRPr="00B868BF">
        <w:rPr>
          <w:rFonts w:ascii="Arial" w:eastAsia="Times New Roman" w:hAnsi="Arial" w:cs="Arial"/>
          <w:b/>
          <w:bCs/>
          <w:kern w:val="0"/>
          <w:sz w:val="21"/>
          <w:szCs w:val="21"/>
          <w:lang w:eastAsia="es-CO"/>
          <w14:ligatures w14:val="none"/>
        </w:rPr>
        <w:t>Definición de emprendimientos y empresas de mujeres.</w:t>
      </w:r>
      <w:r w:rsidRPr="00B868BF">
        <w:rPr>
          <w:rFonts w:ascii="Arial" w:eastAsia="Times New Roman" w:hAnsi="Arial" w:cs="Arial"/>
          <w:kern w:val="0"/>
          <w:sz w:val="21"/>
          <w:szCs w:val="21"/>
          <w:lang w:eastAsia="es-CO"/>
          <w14:ligatures w14:val="none"/>
        </w:rPr>
        <w:t xml:space="preserve"> Con el propósito de adoptar medidas afirmativas que incentiven la participación de las mujeres en el sistema de compras públicas, se entenderán como emprendimientos y empresas de mujeres aquellas que cumplan con alguna de las siguientes condiciones:</w:t>
      </w:r>
    </w:p>
    <w:p w14:paraId="6DDAA278" w14:textId="77777777" w:rsidR="00B868BF" w:rsidRPr="00B868BF" w:rsidRDefault="00B868BF" w:rsidP="00B868BF">
      <w:pPr>
        <w:shd w:val="clear" w:color="auto" w:fill="FFFFFF"/>
        <w:spacing w:after="0" w:line="240" w:lineRule="auto"/>
        <w:ind w:left="567" w:right="571"/>
        <w:jc w:val="both"/>
        <w:rPr>
          <w:rFonts w:ascii="Arial" w:eastAsia="Times New Roman" w:hAnsi="Arial" w:cs="Arial"/>
          <w:kern w:val="0"/>
          <w:sz w:val="21"/>
          <w:szCs w:val="21"/>
          <w:lang w:eastAsia="es-CO"/>
          <w14:ligatures w14:val="none"/>
        </w:rPr>
      </w:pPr>
    </w:p>
    <w:p w14:paraId="7797CA67" w14:textId="77777777" w:rsidR="00B868BF" w:rsidRPr="00B868BF" w:rsidRDefault="00B868BF" w:rsidP="00B868BF">
      <w:pPr>
        <w:shd w:val="clear" w:color="auto" w:fill="FFFFFF"/>
        <w:spacing w:after="0" w:line="240" w:lineRule="auto"/>
        <w:ind w:left="567" w:right="571"/>
        <w:jc w:val="both"/>
        <w:rPr>
          <w:rFonts w:ascii="Arial" w:eastAsia="Times New Roman" w:hAnsi="Arial" w:cs="Arial"/>
          <w:i/>
          <w:iCs/>
          <w:kern w:val="0"/>
          <w:sz w:val="21"/>
          <w:szCs w:val="21"/>
          <w:lang w:eastAsia="es-CO"/>
          <w14:ligatures w14:val="none"/>
        </w:rPr>
      </w:pPr>
      <w:r w:rsidRPr="00B868BF">
        <w:rPr>
          <w:rFonts w:ascii="Arial" w:eastAsia="Times New Roman" w:hAnsi="Arial" w:cs="Arial"/>
          <w:i/>
          <w:iCs/>
          <w:kern w:val="0"/>
          <w:sz w:val="21"/>
          <w:szCs w:val="21"/>
          <w:lang w:eastAsia="es-CO"/>
          <w14:ligatures w14:val="none"/>
        </w:rPr>
        <w:t>1. Cuando más del cincuenta por ciento (50%) de las acciones, partes de interés o cuotas de participación de la persona jurídica pertenezcan a mujeres y los derechos de propiedad hayan pertenecido a estas durante al menos el último año anterior a la fecha de cierre del Proceso de Selección. Esta circunstancia se acreditará mediante certificación expedida por el representante legal y el revisor fiscal, cuando exista de acuerdo con los requerimientos de ley, o el contador, donde conste la distribución de los derechos en la sociedad y el tiempo en el que las mujeres han mantenido su participación.</w:t>
      </w:r>
    </w:p>
    <w:p w14:paraId="153CD884" w14:textId="77777777" w:rsidR="00B868BF" w:rsidRPr="00B868BF" w:rsidRDefault="00B868BF" w:rsidP="00B868BF">
      <w:pPr>
        <w:shd w:val="clear" w:color="auto" w:fill="FFFFFF"/>
        <w:spacing w:after="0" w:line="240" w:lineRule="auto"/>
        <w:ind w:left="567" w:right="571"/>
        <w:jc w:val="both"/>
        <w:rPr>
          <w:rFonts w:ascii="Arial" w:eastAsia="Times New Roman" w:hAnsi="Arial" w:cs="Arial"/>
          <w:i/>
          <w:iCs/>
          <w:kern w:val="0"/>
          <w:sz w:val="21"/>
          <w:szCs w:val="21"/>
          <w:lang w:eastAsia="es-CO"/>
          <w14:ligatures w14:val="none"/>
        </w:rPr>
      </w:pPr>
    </w:p>
    <w:p w14:paraId="5A4B069C" w14:textId="77777777" w:rsidR="00B868BF" w:rsidRPr="00B868BF" w:rsidRDefault="00B868BF" w:rsidP="00B868BF">
      <w:pPr>
        <w:shd w:val="clear" w:color="auto" w:fill="FFFFFF"/>
        <w:spacing w:after="0" w:line="240" w:lineRule="auto"/>
        <w:ind w:left="567" w:right="571"/>
        <w:jc w:val="both"/>
        <w:rPr>
          <w:rFonts w:ascii="Arial" w:eastAsia="Times New Roman" w:hAnsi="Arial" w:cs="Arial"/>
          <w:i/>
          <w:iCs/>
          <w:kern w:val="0"/>
          <w:sz w:val="21"/>
          <w:szCs w:val="21"/>
          <w:lang w:eastAsia="es-CO"/>
          <w14:ligatures w14:val="none"/>
        </w:rPr>
      </w:pPr>
      <w:r w:rsidRPr="00B868BF">
        <w:rPr>
          <w:rFonts w:ascii="Arial" w:eastAsia="Times New Roman" w:hAnsi="Arial" w:cs="Arial"/>
          <w:i/>
          <w:iCs/>
          <w:kern w:val="0"/>
          <w:sz w:val="21"/>
          <w:szCs w:val="21"/>
          <w:lang w:eastAsia="es-CO"/>
          <w14:ligatures w14:val="none"/>
        </w:rPr>
        <w:t>2. Cuando por lo menos el cincuenta por ciento (50%) de los empleos del nivel directivo de la persona jurídica sean ejercidos por mujeres y éstas hayan estado vinculadas laboralmente a la empresa durante al menos el último año anterior a la fecha de cierre del Proceso de Selección en el mismo cargo u otro del mismo nivel.</w:t>
      </w:r>
    </w:p>
    <w:p w14:paraId="0B497387" w14:textId="77777777" w:rsidR="00B868BF" w:rsidRPr="00B868BF" w:rsidRDefault="00B868BF" w:rsidP="00B868BF">
      <w:pPr>
        <w:shd w:val="clear" w:color="auto" w:fill="FFFFFF"/>
        <w:spacing w:after="0" w:line="240" w:lineRule="auto"/>
        <w:ind w:left="567" w:right="571"/>
        <w:jc w:val="both"/>
        <w:rPr>
          <w:rFonts w:ascii="Arial" w:eastAsia="Times New Roman" w:hAnsi="Arial" w:cs="Arial"/>
          <w:i/>
          <w:iCs/>
          <w:kern w:val="0"/>
          <w:sz w:val="21"/>
          <w:szCs w:val="21"/>
          <w:lang w:eastAsia="es-CO"/>
          <w14:ligatures w14:val="none"/>
        </w:rPr>
      </w:pPr>
    </w:p>
    <w:p w14:paraId="1BE1C841" w14:textId="77777777" w:rsidR="00B868BF" w:rsidRPr="00B868BF" w:rsidRDefault="00B868BF" w:rsidP="00B868BF">
      <w:pPr>
        <w:shd w:val="clear" w:color="auto" w:fill="FFFFFF"/>
        <w:spacing w:after="0" w:line="240" w:lineRule="auto"/>
        <w:ind w:left="567" w:right="571"/>
        <w:jc w:val="both"/>
        <w:rPr>
          <w:rFonts w:ascii="Arial" w:eastAsia="Times New Roman" w:hAnsi="Arial" w:cs="Arial"/>
          <w:i/>
          <w:iCs/>
          <w:kern w:val="0"/>
          <w:sz w:val="21"/>
          <w:szCs w:val="21"/>
          <w:lang w:eastAsia="es-CO"/>
          <w14:ligatures w14:val="none"/>
        </w:rPr>
      </w:pPr>
      <w:r w:rsidRPr="00B868BF">
        <w:rPr>
          <w:rFonts w:ascii="Arial" w:eastAsia="Times New Roman" w:hAnsi="Arial" w:cs="Arial"/>
          <w:i/>
          <w:iCs/>
          <w:kern w:val="0"/>
          <w:sz w:val="21"/>
          <w:szCs w:val="21"/>
          <w:lang w:eastAsia="es-CO"/>
          <w14:ligatures w14:val="none"/>
        </w:rPr>
        <w:t>Se entenderá como empleos del nivel directivo aquellos cuyas funciones están relacionadas con la dirección de áreas misionales de la empresa y la toma de decisiones a nivel estratégico. En este sentido, serán cargos de nivel directivo los que dentro de la organización de la empresa se encuentran ubicados en un nivel de mando o los que por su jerarquía desempeñan cargos encaminados al cumplimiento de funciones orientadas a representar al empleador.</w:t>
      </w:r>
    </w:p>
    <w:p w14:paraId="3FCC20A8" w14:textId="77777777" w:rsidR="00B868BF" w:rsidRPr="00B868BF" w:rsidRDefault="00B868BF" w:rsidP="00B868BF">
      <w:pPr>
        <w:shd w:val="clear" w:color="auto" w:fill="FFFFFF"/>
        <w:spacing w:after="0" w:line="240" w:lineRule="auto"/>
        <w:ind w:left="567" w:right="571"/>
        <w:jc w:val="both"/>
        <w:rPr>
          <w:rFonts w:ascii="Arial" w:eastAsia="Times New Roman" w:hAnsi="Arial" w:cs="Arial"/>
          <w:i/>
          <w:iCs/>
          <w:kern w:val="0"/>
          <w:sz w:val="21"/>
          <w:szCs w:val="21"/>
          <w:lang w:eastAsia="es-CO"/>
          <w14:ligatures w14:val="none"/>
        </w:rPr>
      </w:pPr>
    </w:p>
    <w:p w14:paraId="150DABF8" w14:textId="77777777" w:rsidR="00B868BF" w:rsidRPr="00B868BF" w:rsidRDefault="00B868BF" w:rsidP="00B868BF">
      <w:pPr>
        <w:shd w:val="clear" w:color="auto" w:fill="FFFFFF"/>
        <w:spacing w:after="0" w:line="240" w:lineRule="auto"/>
        <w:ind w:left="567" w:right="571"/>
        <w:jc w:val="both"/>
        <w:rPr>
          <w:rFonts w:ascii="Arial" w:eastAsia="Times New Roman" w:hAnsi="Arial" w:cs="Arial"/>
          <w:i/>
          <w:iCs/>
          <w:kern w:val="0"/>
          <w:sz w:val="21"/>
          <w:szCs w:val="21"/>
          <w:lang w:eastAsia="es-CO"/>
          <w14:ligatures w14:val="none"/>
        </w:rPr>
      </w:pPr>
      <w:r w:rsidRPr="00B868BF">
        <w:rPr>
          <w:rFonts w:ascii="Arial" w:eastAsia="Times New Roman" w:hAnsi="Arial" w:cs="Arial"/>
          <w:i/>
          <w:iCs/>
          <w:kern w:val="0"/>
          <w:sz w:val="21"/>
          <w:szCs w:val="21"/>
          <w:lang w:eastAsia="es-CO"/>
          <w14:ligatures w14:val="none"/>
        </w:rPr>
        <w:t>Esta circunstancia se acreditará mediante certificación expedida por el representante legal y el revisor fiscal, cuando exista de acuerdo con los requerimientos de ley, o el contador, donde se señale de manera detallada todas las personas que conforman los cargos de nivel directivo del proponente, el número de mujeres y el tiempo de vinculación.</w:t>
      </w:r>
    </w:p>
    <w:p w14:paraId="488B01E4" w14:textId="77777777" w:rsidR="00B868BF" w:rsidRPr="00B868BF" w:rsidRDefault="00B868BF" w:rsidP="00B868BF">
      <w:pPr>
        <w:shd w:val="clear" w:color="auto" w:fill="FFFFFF"/>
        <w:spacing w:after="0" w:line="240" w:lineRule="auto"/>
        <w:ind w:left="567" w:right="571"/>
        <w:jc w:val="both"/>
        <w:rPr>
          <w:rFonts w:ascii="Arial" w:eastAsia="Times New Roman" w:hAnsi="Arial" w:cs="Arial"/>
          <w:i/>
          <w:iCs/>
          <w:kern w:val="0"/>
          <w:sz w:val="21"/>
          <w:szCs w:val="21"/>
          <w:lang w:eastAsia="es-CO"/>
          <w14:ligatures w14:val="none"/>
        </w:rPr>
      </w:pPr>
    </w:p>
    <w:p w14:paraId="17D45588" w14:textId="77777777" w:rsidR="00B868BF" w:rsidRPr="00B868BF" w:rsidRDefault="00B868BF" w:rsidP="00B868BF">
      <w:pPr>
        <w:shd w:val="clear" w:color="auto" w:fill="FFFFFF"/>
        <w:spacing w:after="0" w:line="240" w:lineRule="auto"/>
        <w:ind w:left="567" w:right="571"/>
        <w:jc w:val="both"/>
        <w:rPr>
          <w:rFonts w:ascii="Arial" w:eastAsia="Times New Roman" w:hAnsi="Arial" w:cs="Arial"/>
          <w:i/>
          <w:iCs/>
          <w:kern w:val="0"/>
          <w:sz w:val="21"/>
          <w:szCs w:val="21"/>
          <w:lang w:eastAsia="es-CO"/>
          <w14:ligatures w14:val="none"/>
        </w:rPr>
      </w:pPr>
      <w:r w:rsidRPr="00B868BF">
        <w:rPr>
          <w:rFonts w:ascii="Arial" w:eastAsia="Times New Roman" w:hAnsi="Arial" w:cs="Arial"/>
          <w:i/>
          <w:iCs/>
          <w:kern w:val="0"/>
          <w:sz w:val="21"/>
          <w:szCs w:val="21"/>
          <w:lang w:eastAsia="es-CO"/>
          <w14:ligatures w14:val="none"/>
        </w:rPr>
        <w:t>La certificación deberá relacionar el nombre completo y el número de documento de identidad de cada una de las personas que conforman el nivel directivo del proponente. Como soporte, se anexará copia de los respectivos documentos de identidad, copia de los contratos de trabajo o certificación laboral con las funciones, así como el certificado de aportes a seguridad social del último año en el que se demuestren los pagos realizados por el empleador.</w:t>
      </w:r>
    </w:p>
    <w:p w14:paraId="47E203BE" w14:textId="77777777" w:rsidR="00B868BF" w:rsidRPr="00B868BF" w:rsidRDefault="00B868BF" w:rsidP="00B868BF">
      <w:pPr>
        <w:shd w:val="clear" w:color="auto" w:fill="FFFFFF"/>
        <w:spacing w:after="0" w:line="240" w:lineRule="auto"/>
        <w:ind w:left="567" w:right="571"/>
        <w:jc w:val="both"/>
        <w:rPr>
          <w:rFonts w:ascii="Arial" w:eastAsia="Times New Roman" w:hAnsi="Arial" w:cs="Arial"/>
          <w:i/>
          <w:iCs/>
          <w:kern w:val="0"/>
          <w:sz w:val="21"/>
          <w:szCs w:val="21"/>
          <w:lang w:eastAsia="es-CO"/>
          <w14:ligatures w14:val="none"/>
        </w:rPr>
      </w:pPr>
    </w:p>
    <w:p w14:paraId="44B678D9" w14:textId="77777777" w:rsidR="00B868BF" w:rsidRPr="00B868BF" w:rsidRDefault="00B868BF" w:rsidP="00B868BF">
      <w:pPr>
        <w:shd w:val="clear" w:color="auto" w:fill="FFFFFF"/>
        <w:spacing w:after="0" w:line="240" w:lineRule="auto"/>
        <w:ind w:left="567" w:right="571"/>
        <w:jc w:val="both"/>
        <w:rPr>
          <w:rFonts w:ascii="Arial" w:eastAsia="Times New Roman" w:hAnsi="Arial" w:cs="Arial"/>
          <w:kern w:val="0"/>
          <w:sz w:val="21"/>
          <w:szCs w:val="21"/>
          <w:lang w:eastAsia="es-CO"/>
          <w14:ligatures w14:val="none"/>
        </w:rPr>
      </w:pPr>
      <w:r w:rsidRPr="00B868BF">
        <w:rPr>
          <w:rFonts w:ascii="Arial" w:eastAsia="Times New Roman" w:hAnsi="Arial" w:cs="Arial"/>
          <w:kern w:val="0"/>
          <w:sz w:val="21"/>
          <w:szCs w:val="21"/>
          <w:lang w:eastAsia="es-CO"/>
          <w14:ligatures w14:val="none"/>
        </w:rPr>
        <w:t>3</w:t>
      </w:r>
      <w:bookmarkStart w:id="33" w:name="_Hlk127423226"/>
      <w:r w:rsidRPr="00B868BF">
        <w:rPr>
          <w:rFonts w:ascii="Arial" w:eastAsia="Times New Roman" w:hAnsi="Arial" w:cs="Arial"/>
          <w:kern w:val="0"/>
          <w:sz w:val="21"/>
          <w:szCs w:val="21"/>
          <w:lang w:eastAsia="es-CO"/>
          <w14:ligatures w14:val="none"/>
        </w:rPr>
        <w:t>. Cuando la persona natural sea una mujer y haya ejercido actividades comerciales a través de un establecimiento de comercio durante al menos el último año anterior a la fecha de cierre del proceso de selección. Esta circunstancia se acreditará mediante la copia de cédula de ciudadanía, la cédula de extranjería o el pasaporte, así como la copia del registro mercantil.</w:t>
      </w:r>
    </w:p>
    <w:p w14:paraId="2746FB18" w14:textId="77777777" w:rsidR="00B868BF" w:rsidRPr="00B868BF" w:rsidRDefault="00B868BF" w:rsidP="00B868BF">
      <w:pPr>
        <w:shd w:val="clear" w:color="auto" w:fill="FFFFFF"/>
        <w:spacing w:after="0" w:line="240" w:lineRule="auto"/>
        <w:ind w:left="567" w:right="571"/>
        <w:jc w:val="both"/>
        <w:rPr>
          <w:rFonts w:ascii="Arial" w:eastAsia="Times New Roman" w:hAnsi="Arial" w:cs="Arial"/>
          <w:kern w:val="0"/>
          <w:sz w:val="21"/>
          <w:szCs w:val="21"/>
          <w:lang w:eastAsia="es-CO"/>
          <w14:ligatures w14:val="none"/>
        </w:rPr>
      </w:pPr>
    </w:p>
    <w:bookmarkEnd w:id="33"/>
    <w:p w14:paraId="691B8E86" w14:textId="77777777" w:rsidR="00B868BF" w:rsidRPr="00B868BF" w:rsidRDefault="00B868BF" w:rsidP="00B868BF">
      <w:pPr>
        <w:shd w:val="clear" w:color="auto" w:fill="FFFFFF"/>
        <w:spacing w:after="0" w:line="240" w:lineRule="auto"/>
        <w:ind w:left="567" w:right="571"/>
        <w:jc w:val="both"/>
        <w:rPr>
          <w:rFonts w:ascii="Arial" w:eastAsia="Times New Roman" w:hAnsi="Arial" w:cs="Arial"/>
          <w:kern w:val="0"/>
          <w:sz w:val="21"/>
          <w:szCs w:val="21"/>
          <w:lang w:eastAsia="es-CO"/>
          <w14:ligatures w14:val="none"/>
        </w:rPr>
      </w:pPr>
      <w:r w:rsidRPr="00B868BF">
        <w:rPr>
          <w:rFonts w:ascii="Arial" w:eastAsia="Times New Roman" w:hAnsi="Arial" w:cs="Arial"/>
          <w:kern w:val="0"/>
          <w:sz w:val="21"/>
          <w:szCs w:val="21"/>
          <w:lang w:eastAsia="es-CO"/>
          <w14:ligatures w14:val="none"/>
        </w:rPr>
        <w:lastRenderedPageBreak/>
        <w:t>4. Para las asociaciones y cooperativas, cuando más del cincuenta por ciento (50%) de los asociados sean mujeres y la participación haya correspondido a estas durante al menos el último año anterior a la fecha de cierre del Proceso de Selección. Esta circunstancia se acreditará mediante certificación expedida por el representante legal.</w:t>
      </w:r>
    </w:p>
    <w:p w14:paraId="61379D78" w14:textId="77777777" w:rsidR="00B868BF" w:rsidRPr="00B868BF" w:rsidRDefault="00B868BF" w:rsidP="00B868BF">
      <w:pPr>
        <w:shd w:val="clear" w:color="auto" w:fill="FFFFFF"/>
        <w:spacing w:after="0" w:line="240" w:lineRule="auto"/>
        <w:ind w:left="567" w:right="571"/>
        <w:jc w:val="both"/>
        <w:rPr>
          <w:rFonts w:ascii="Arial" w:eastAsia="Times New Roman" w:hAnsi="Arial" w:cs="Arial"/>
          <w:kern w:val="0"/>
          <w:sz w:val="21"/>
          <w:szCs w:val="21"/>
          <w:lang w:eastAsia="es-CO"/>
          <w14:ligatures w14:val="none"/>
        </w:rPr>
      </w:pPr>
    </w:p>
    <w:p w14:paraId="2DA0E8ED" w14:textId="77777777" w:rsidR="00B868BF" w:rsidRPr="00B868BF" w:rsidRDefault="00B868BF" w:rsidP="00B868BF">
      <w:pPr>
        <w:shd w:val="clear" w:color="auto" w:fill="FFFFFF"/>
        <w:spacing w:after="0" w:line="240" w:lineRule="auto"/>
        <w:ind w:left="567" w:right="571"/>
        <w:jc w:val="both"/>
        <w:rPr>
          <w:rFonts w:ascii="Arial" w:eastAsia="Times New Roman" w:hAnsi="Arial" w:cs="Arial"/>
          <w:kern w:val="0"/>
          <w:sz w:val="21"/>
          <w:szCs w:val="21"/>
          <w:lang w:eastAsia="es-CO"/>
          <w14:ligatures w14:val="none"/>
        </w:rPr>
      </w:pPr>
      <w:r w:rsidRPr="00B868BF">
        <w:rPr>
          <w:rFonts w:ascii="Arial" w:eastAsia="Times New Roman" w:hAnsi="Arial" w:cs="Arial"/>
          <w:b/>
          <w:bCs/>
          <w:kern w:val="0"/>
          <w:sz w:val="21"/>
          <w:szCs w:val="21"/>
          <w:lang w:eastAsia="es-CO"/>
          <w14:ligatures w14:val="none"/>
        </w:rPr>
        <w:t>PARÁGRAFO.</w:t>
      </w:r>
      <w:r w:rsidRPr="00B868BF">
        <w:rPr>
          <w:rFonts w:ascii="Arial" w:eastAsia="Times New Roman" w:hAnsi="Arial" w:cs="Arial"/>
          <w:kern w:val="0"/>
          <w:sz w:val="21"/>
          <w:szCs w:val="21"/>
          <w:lang w:eastAsia="es-CO"/>
          <w14:ligatures w14:val="none"/>
        </w:rPr>
        <w:t xml:space="preserve"> Respecto a los incentivos contractuales para los emprendimientos y empresas de mujeres, las certificaciones de trata el presente artículo deben expedirse bajo la gravedad de juramento con una fecha de máximo treinta (30) días calendario anteriores a la prevista para el cierre del procedimiento de selección (Énfasis añadido).</w:t>
      </w:r>
    </w:p>
    <w:p w14:paraId="111487E5" w14:textId="77777777" w:rsidR="00B868BF" w:rsidRPr="00B868BF" w:rsidRDefault="00B868BF" w:rsidP="00B868BF">
      <w:pPr>
        <w:spacing w:after="0" w:line="276" w:lineRule="auto"/>
        <w:jc w:val="both"/>
        <w:rPr>
          <w:rFonts w:ascii="Arial" w:hAnsi="Arial" w:cs="Arial"/>
          <w:kern w:val="0"/>
          <w:lang w:val="es-MX"/>
          <w14:ligatures w14:val="none"/>
        </w:rPr>
      </w:pPr>
    </w:p>
    <w:p w14:paraId="5BAE0DB8" w14:textId="77777777" w:rsidR="00B868BF" w:rsidRPr="00B868BF" w:rsidRDefault="00B868BF" w:rsidP="00B868BF">
      <w:pPr>
        <w:spacing w:after="0" w:line="276" w:lineRule="auto"/>
        <w:ind w:firstLine="567"/>
        <w:jc w:val="both"/>
        <w:rPr>
          <w:rFonts w:ascii="Arial" w:eastAsia="Calibri" w:hAnsi="Arial" w:cs="Arial"/>
          <w:kern w:val="0"/>
          <w:lang w:val="es-ES_tradnl"/>
          <w14:ligatures w14:val="none"/>
        </w:rPr>
      </w:pPr>
      <w:r w:rsidRPr="00B868BF">
        <w:rPr>
          <w:rFonts w:ascii="Arial" w:hAnsi="Arial" w:cs="Arial"/>
          <w:kern w:val="0"/>
          <w:lang w:val="es-MX"/>
          <w14:ligatures w14:val="none"/>
        </w:rPr>
        <w:t xml:space="preserve">Conforme con lo expuesto, a fin de aplicar los criterios diferenciales en el sistema de compras públicas en los términos del artículo 32 de la Ley 2069 de 2020, se considerarán emprendimientos y/o empresas de mujeres aquellas personas jurídicas o naturales </w:t>
      </w:r>
      <w:r w:rsidRPr="00B868BF">
        <w:rPr>
          <w:rFonts w:ascii="Arial" w:eastAsia="Calibri" w:hAnsi="Arial" w:cs="Arial"/>
          <w:kern w:val="0"/>
          <w:lang w:val="es-ES_tradnl"/>
          <w14:ligatures w14:val="none"/>
        </w:rPr>
        <w:t>que cumplan alguno de los cuatro supuestos de hecho previstos en la norma citada y esto sea acreditado mediante la documentación respectiva. Para el caso de las condiciones aplicables a las personas jurídicas, resulta relevante el análisis de los criterios definidos en los numerales 1º y 2º del artículo 2.2.1.2.4.2.14.</w:t>
      </w:r>
    </w:p>
    <w:p w14:paraId="3F512828" w14:textId="77777777" w:rsidR="00B868BF" w:rsidRPr="00B868BF" w:rsidRDefault="00B868BF" w:rsidP="00B868BF">
      <w:pPr>
        <w:spacing w:after="0" w:line="276" w:lineRule="auto"/>
        <w:ind w:firstLine="567"/>
        <w:jc w:val="both"/>
        <w:rPr>
          <w:rFonts w:ascii="Arial" w:eastAsia="Calibri" w:hAnsi="Arial" w:cs="Arial"/>
          <w:kern w:val="0"/>
          <w:lang w:val="es-ES_tradnl"/>
          <w14:ligatures w14:val="none"/>
        </w:rPr>
      </w:pPr>
    </w:p>
    <w:p w14:paraId="277E57FB" w14:textId="77777777" w:rsidR="00B868BF" w:rsidRPr="00B868BF" w:rsidRDefault="00B868BF" w:rsidP="00B868BF">
      <w:pPr>
        <w:spacing w:after="0" w:line="276" w:lineRule="auto"/>
        <w:ind w:firstLine="567"/>
        <w:jc w:val="both"/>
        <w:rPr>
          <w:rFonts w:ascii="Arial" w:eastAsia="Calibri" w:hAnsi="Arial" w:cs="Arial"/>
          <w:kern w:val="0"/>
          <w:lang w:val="es-ES_tradnl"/>
          <w14:ligatures w14:val="none"/>
        </w:rPr>
      </w:pPr>
      <w:r w:rsidRPr="00B868BF">
        <w:rPr>
          <w:rFonts w:ascii="Arial" w:eastAsia="Calibri" w:hAnsi="Arial" w:cs="Arial"/>
          <w:kern w:val="0"/>
          <w:lang w:val="es-ES" w:eastAsia="es-ES_tradnl"/>
          <w14:ligatures w14:val="none"/>
        </w:rPr>
        <w:t xml:space="preserve">Por una parte, el </w:t>
      </w:r>
      <w:r w:rsidRPr="00B868BF">
        <w:rPr>
          <w:rFonts w:ascii="Arial" w:eastAsia="Times New Roman" w:hAnsi="Arial" w:cs="Arial"/>
          <w:i/>
          <w:kern w:val="0"/>
          <w:lang w:val="es-ES_tradnl" w:eastAsia="es-ES"/>
          <w14:ligatures w14:val="none"/>
        </w:rPr>
        <w:t>numeral primero</w:t>
      </w:r>
      <w:r w:rsidRPr="00B868BF">
        <w:rPr>
          <w:rFonts w:ascii="Arial" w:eastAsia="Times New Roman" w:hAnsi="Arial" w:cs="Arial"/>
          <w:kern w:val="0"/>
          <w:lang w:val="es-ES_tradnl" w:eastAsia="es-ES"/>
          <w14:ligatures w14:val="none"/>
        </w:rPr>
        <w:t xml:space="preserve"> establece que </w:t>
      </w:r>
      <w:r w:rsidRPr="00B868BF">
        <w:rPr>
          <w:rFonts w:ascii="Arial" w:eastAsia="Calibri" w:hAnsi="Arial" w:cs="Arial"/>
          <w:kern w:val="0"/>
          <w:lang w:val="es-ES_tradnl"/>
          <w14:ligatures w14:val="none"/>
        </w:rPr>
        <w:t>una sociedad podrá ser considerada como un emprendimiento o empresa de mujeres cuando más del cincuenta por ciento (50%) de sus acciones, partes de interés o cuotas de participación, pertenezcan a mujeres. Pero también, el supuesto de hecho de la norma transcrita exige que la titularidad de tal participación haya pertenecido a mujeres, por lo menos, durante el año anterior a la fecha de cierre del proceso de selección.</w:t>
      </w:r>
    </w:p>
    <w:p w14:paraId="3501FCAB" w14:textId="77777777" w:rsidR="00B868BF" w:rsidRPr="00B868BF" w:rsidRDefault="00B868BF" w:rsidP="00B868BF">
      <w:pPr>
        <w:spacing w:after="0" w:line="276" w:lineRule="auto"/>
        <w:ind w:firstLine="567"/>
        <w:jc w:val="both"/>
        <w:rPr>
          <w:rFonts w:ascii="Arial" w:eastAsia="Calibri" w:hAnsi="Arial" w:cs="Arial"/>
          <w:kern w:val="0"/>
          <w:lang w:val="es-ES_tradnl"/>
          <w14:ligatures w14:val="none"/>
        </w:rPr>
      </w:pPr>
    </w:p>
    <w:p w14:paraId="284706B6" w14:textId="77777777" w:rsidR="00B868BF" w:rsidRPr="00B868BF" w:rsidRDefault="00B868BF" w:rsidP="00B868BF">
      <w:pPr>
        <w:spacing w:after="0" w:line="276" w:lineRule="auto"/>
        <w:ind w:firstLine="567"/>
        <w:jc w:val="both"/>
        <w:rPr>
          <w:rFonts w:ascii="Arial" w:eastAsia="Calibri" w:hAnsi="Arial" w:cs="Arial"/>
          <w:kern w:val="0"/>
          <w:lang w:val="es-ES_tradnl"/>
          <w14:ligatures w14:val="none"/>
        </w:rPr>
      </w:pPr>
      <w:r w:rsidRPr="00B868BF">
        <w:rPr>
          <w:rFonts w:ascii="Arial" w:eastAsia="Calibri" w:hAnsi="Arial" w:cs="Arial"/>
          <w:kern w:val="0"/>
          <w:lang w:val="es-ES_tradnl"/>
          <w14:ligatures w14:val="none"/>
        </w:rPr>
        <w:t>Ello significa que no basta con que la participación en una sociedad sea mayoritariamente de mujeres para que sea considerada como un emprendimiento o empresa a la que se refiere la norma, sino que además es necesario que dicha participación mayoritaria se haya mantenido como mínimo durante el periodo de un (1) año, contado a partir de la fecha de cierre del proceso de selección. Así las cosas, el primer criterio establecido en la norma para definir los emprendimientos y empresas de mujeres deja por fuera de esta categoría a aquellas sociedades que, a pesar de contar con la participación mayoritaria de mujeres, no cuenten con el requerimiento del tiempo mínimo de un (1) año.</w:t>
      </w:r>
    </w:p>
    <w:p w14:paraId="47D93EBF" w14:textId="77777777" w:rsidR="00B868BF" w:rsidRPr="00B868BF" w:rsidRDefault="00B868BF" w:rsidP="00B868BF">
      <w:pPr>
        <w:spacing w:after="0" w:line="276" w:lineRule="auto"/>
        <w:ind w:firstLine="567"/>
        <w:jc w:val="both"/>
        <w:rPr>
          <w:rFonts w:ascii="Arial" w:eastAsia="Calibri" w:hAnsi="Arial" w:cs="Arial"/>
          <w:kern w:val="0"/>
          <w:lang w:val="es-ES_tradnl"/>
          <w14:ligatures w14:val="none"/>
        </w:rPr>
      </w:pPr>
    </w:p>
    <w:p w14:paraId="7448FBED" w14:textId="77777777" w:rsidR="00B868BF" w:rsidRPr="00B868BF" w:rsidRDefault="00B868BF" w:rsidP="00B868BF">
      <w:pPr>
        <w:spacing w:after="0" w:line="276" w:lineRule="auto"/>
        <w:ind w:firstLine="567"/>
        <w:jc w:val="both"/>
        <w:rPr>
          <w:rFonts w:ascii="Arial" w:eastAsia="Calibri" w:hAnsi="Arial" w:cs="Arial"/>
          <w:kern w:val="0"/>
          <w14:ligatures w14:val="none"/>
        </w:rPr>
      </w:pPr>
      <w:r w:rsidRPr="00B868BF">
        <w:rPr>
          <w:rFonts w:ascii="Arial" w:eastAsia="Calibri" w:hAnsi="Arial" w:cs="Arial"/>
          <w:kern w:val="0"/>
          <w:lang w:val="es-ES_tradnl"/>
          <w14:ligatures w14:val="none"/>
        </w:rPr>
        <w:t xml:space="preserve">De igual forma, cabe precisar que la participación mayoritaria de mujeres </w:t>
      </w:r>
      <w:r w:rsidRPr="00B868BF">
        <w:rPr>
          <w:rFonts w:ascii="Arial" w:hAnsi="Arial" w:cs="Arial"/>
          <w:kern w:val="0"/>
          <w14:ligatures w14:val="none"/>
        </w:rPr>
        <w:t xml:space="preserve">puede ser ejercida por diferentes personas durante el último año, siempre que durante dicho periodo la participación </w:t>
      </w:r>
      <w:r w:rsidRPr="00B868BF">
        <w:rPr>
          <w:rFonts w:ascii="Arial" w:hAnsi="Arial" w:cs="Arial"/>
          <w:i/>
          <w:iCs/>
          <w:kern w:val="0"/>
          <w14:ligatures w14:val="none"/>
        </w:rPr>
        <w:t>mayoritaria</w:t>
      </w:r>
      <w:r w:rsidRPr="00B868BF">
        <w:rPr>
          <w:rFonts w:ascii="Arial" w:hAnsi="Arial" w:cs="Arial"/>
          <w:kern w:val="0"/>
          <w14:ligatures w14:val="none"/>
        </w:rPr>
        <w:t xml:space="preserve"> de mujeres se haya mantenido, aunque se trate de mujeres distintas. En este sentido, se cumple con la norma, toda vez que su teleología apunta a que </w:t>
      </w:r>
      <w:r w:rsidRPr="00B868BF">
        <w:rPr>
          <w:rFonts w:ascii="Arial" w:hAnsi="Arial" w:cs="Arial"/>
          <w:kern w:val="0"/>
          <w14:ligatures w14:val="none"/>
        </w:rPr>
        <w:lastRenderedPageBreak/>
        <w:t>la titularidad mayoritaria por un (1) año sea ejercida por mujeres, a pesar de que varíen las propietarias de las partes de interés o cuotas de participación.</w:t>
      </w:r>
    </w:p>
    <w:p w14:paraId="2EF5AB6F" w14:textId="77777777" w:rsidR="00B868BF" w:rsidRPr="00B868BF" w:rsidRDefault="00B868BF" w:rsidP="00B868BF">
      <w:pPr>
        <w:spacing w:after="0" w:line="276" w:lineRule="auto"/>
        <w:ind w:firstLine="567"/>
        <w:jc w:val="both"/>
        <w:rPr>
          <w:rFonts w:ascii="Arial" w:eastAsia="Calibri" w:hAnsi="Arial" w:cs="Arial"/>
          <w:kern w:val="0"/>
          <w14:ligatures w14:val="none"/>
        </w:rPr>
      </w:pPr>
    </w:p>
    <w:p w14:paraId="21BE9060" w14:textId="77777777" w:rsidR="00B868BF" w:rsidRPr="00B868BF" w:rsidRDefault="00B868BF" w:rsidP="00B868BF">
      <w:pPr>
        <w:spacing w:after="0" w:line="276" w:lineRule="auto"/>
        <w:ind w:firstLine="567"/>
        <w:jc w:val="both"/>
        <w:rPr>
          <w:rFonts w:ascii="Arial" w:hAnsi="Arial" w:cs="Arial"/>
          <w:kern w:val="0"/>
          <w14:ligatures w14:val="none"/>
        </w:rPr>
      </w:pPr>
      <w:r w:rsidRPr="00B868BF">
        <w:rPr>
          <w:rFonts w:ascii="Arial" w:eastAsia="Calibri" w:hAnsi="Arial" w:cs="Arial"/>
          <w:kern w:val="0"/>
          <w14:ligatures w14:val="none"/>
        </w:rPr>
        <w:t>Ahora, c</w:t>
      </w:r>
      <w:r w:rsidRPr="00B868BF">
        <w:rPr>
          <w:rFonts w:ascii="Arial" w:hAnsi="Arial" w:cs="Arial"/>
          <w:kern w:val="0"/>
          <w14:ligatures w14:val="none"/>
        </w:rPr>
        <w:t xml:space="preserve">omo medio para la acreditación de este criterio, señala la norma referida que: </w:t>
      </w:r>
      <w:r w:rsidRPr="00B868BF">
        <w:rPr>
          <w:rFonts w:ascii="Arial" w:eastAsia="Times New Roman" w:hAnsi="Arial" w:cs="Arial"/>
          <w:i/>
          <w:kern w:val="0"/>
          <w:lang w:val="es-ES_tradnl" w:eastAsia="es-ES"/>
          <w14:ligatures w14:val="none"/>
        </w:rPr>
        <w:t>“</w:t>
      </w:r>
      <w:r w:rsidRPr="00B868BF">
        <w:rPr>
          <w:rFonts w:ascii="Arial" w:hAnsi="Arial" w:cs="Arial"/>
          <w:i/>
          <w:kern w:val="0"/>
          <w14:ligatures w14:val="none"/>
        </w:rPr>
        <w:t>Esta circunstancia se acreditará mediante certificación expedida por el representante legal y el revisor fiscal, cuando exista de acuerdo con los requerimientos de ley, o el contador, donde conste la distribución de los derechos en la sociedad y el tiempo en el que las mujeres han mantenido su participación</w:t>
      </w:r>
      <w:r w:rsidRPr="00B868BF">
        <w:rPr>
          <w:rFonts w:ascii="Arial" w:eastAsia="Times New Roman" w:hAnsi="Arial" w:cs="Arial"/>
          <w:i/>
          <w:kern w:val="0"/>
          <w:lang w:val="es-ES_tradnl" w:eastAsia="es-ES"/>
          <w14:ligatures w14:val="none"/>
        </w:rPr>
        <w:t>”</w:t>
      </w:r>
      <w:r w:rsidRPr="00B868BF">
        <w:rPr>
          <w:rFonts w:ascii="Arial" w:hAnsi="Arial" w:cs="Arial"/>
          <w:kern w:val="0"/>
          <w14:ligatures w14:val="none"/>
        </w:rPr>
        <w:t>.</w:t>
      </w:r>
    </w:p>
    <w:p w14:paraId="26B57E8E" w14:textId="77777777" w:rsidR="00B868BF" w:rsidRPr="00B868BF" w:rsidRDefault="00B868BF" w:rsidP="00B868BF">
      <w:pPr>
        <w:spacing w:after="0" w:line="276" w:lineRule="auto"/>
        <w:ind w:firstLine="567"/>
        <w:jc w:val="both"/>
        <w:rPr>
          <w:rFonts w:ascii="Arial" w:hAnsi="Arial" w:cs="Arial"/>
          <w:kern w:val="0"/>
          <w14:ligatures w14:val="none"/>
        </w:rPr>
      </w:pPr>
    </w:p>
    <w:p w14:paraId="1BC4D299" w14:textId="08B1221A" w:rsidR="00B868BF" w:rsidRPr="00B868BF" w:rsidRDefault="00B868BF" w:rsidP="00B868BF">
      <w:pPr>
        <w:spacing w:after="0" w:line="276" w:lineRule="auto"/>
        <w:ind w:firstLine="567"/>
        <w:jc w:val="both"/>
        <w:rPr>
          <w:rFonts w:ascii="Arial" w:eastAsia="Calibri" w:hAnsi="Arial" w:cs="Arial"/>
          <w:kern w:val="0"/>
          <w:lang w:val="es-ES" w:eastAsia="es-ES_tradnl"/>
          <w14:ligatures w14:val="none"/>
        </w:rPr>
      </w:pPr>
      <w:r w:rsidRPr="00B868BF">
        <w:rPr>
          <w:rFonts w:ascii="Arial" w:eastAsia="Calibri" w:hAnsi="Arial" w:cs="Arial"/>
          <w:kern w:val="0"/>
          <w:lang w:val="es-ES" w:eastAsia="es-ES_tradnl"/>
          <w14:ligatures w14:val="none"/>
        </w:rPr>
        <w:t xml:space="preserve">Por su parte, el </w:t>
      </w:r>
      <w:r w:rsidRPr="00B868BF">
        <w:rPr>
          <w:rFonts w:ascii="Arial" w:eastAsia="Calibri" w:hAnsi="Arial" w:cs="Arial"/>
          <w:i/>
          <w:kern w:val="0"/>
          <w:lang w:val="es-ES" w:eastAsia="es-ES_tradnl"/>
          <w14:ligatures w14:val="none"/>
        </w:rPr>
        <w:t>numeral segundo</w:t>
      </w:r>
      <w:r w:rsidRPr="00B868BF">
        <w:rPr>
          <w:rFonts w:ascii="Arial" w:eastAsia="Calibri" w:hAnsi="Arial" w:cs="Arial"/>
          <w:kern w:val="0"/>
          <w:lang w:val="es-ES" w:eastAsia="es-ES_tradnl"/>
          <w14:ligatures w14:val="none"/>
        </w:rPr>
        <w:t xml:space="preserve"> establece que otra alternativa tratándose de personas jurídicas para ser consideradas empresas y emprendimientos de mujeres y, consecuencialmente, ser destinatarias de los criterios diferenciales de que trata el artículo 32 de la Ley de Emprendimiento es la siguiente: </w:t>
      </w:r>
      <w:r w:rsidRPr="00B868BF">
        <w:rPr>
          <w:rFonts w:ascii="Arial" w:eastAsia="Calibri" w:hAnsi="Arial" w:cs="Arial"/>
          <w:i/>
          <w:iCs/>
          <w:kern w:val="0"/>
          <w:lang w:val="es-ES" w:eastAsia="es-ES_tradnl"/>
          <w14:ligatures w14:val="none"/>
        </w:rPr>
        <w:t>(i)</w:t>
      </w:r>
      <w:r w:rsidRPr="00B868BF">
        <w:rPr>
          <w:rFonts w:ascii="Arial" w:eastAsia="Calibri" w:hAnsi="Arial" w:cs="Arial"/>
          <w:kern w:val="0"/>
          <w:lang w:val="es-ES" w:eastAsia="es-ES_tradnl"/>
          <w14:ligatures w14:val="none"/>
        </w:rPr>
        <w:t xml:space="preserve"> cuando más del cincuenta por ciento (50%) de los empleos del nivel directivo sean ejercidos por mujeres</w:t>
      </w:r>
      <w:r w:rsidR="000D31B8">
        <w:rPr>
          <w:rFonts w:ascii="Arial" w:eastAsia="Calibri" w:hAnsi="Arial" w:cs="Arial"/>
          <w:kern w:val="0"/>
          <w:lang w:val="es-ES" w:eastAsia="es-ES_tradnl"/>
          <w14:ligatures w14:val="none"/>
        </w:rPr>
        <w:t>;</w:t>
      </w:r>
      <w:r w:rsidRPr="00B868BF">
        <w:rPr>
          <w:rFonts w:ascii="Arial" w:eastAsia="Calibri" w:hAnsi="Arial" w:cs="Arial"/>
          <w:kern w:val="0"/>
          <w:lang w:val="es-ES" w:eastAsia="es-ES_tradnl"/>
          <w14:ligatures w14:val="none"/>
        </w:rPr>
        <w:t xml:space="preserve"> </w:t>
      </w:r>
      <w:r w:rsidRPr="00B868BF">
        <w:rPr>
          <w:rFonts w:ascii="Arial" w:eastAsia="Calibri" w:hAnsi="Arial" w:cs="Arial"/>
          <w:i/>
          <w:iCs/>
          <w:kern w:val="0"/>
          <w:lang w:val="es-ES" w:eastAsia="es-ES_tradnl"/>
          <w14:ligatures w14:val="none"/>
        </w:rPr>
        <w:t>(</w:t>
      </w:r>
      <w:proofErr w:type="spellStart"/>
      <w:r w:rsidRPr="00B868BF">
        <w:rPr>
          <w:rFonts w:ascii="Arial" w:eastAsia="Calibri" w:hAnsi="Arial" w:cs="Arial"/>
          <w:i/>
          <w:iCs/>
          <w:kern w:val="0"/>
          <w:lang w:val="es-ES" w:eastAsia="es-ES_tradnl"/>
          <w14:ligatures w14:val="none"/>
        </w:rPr>
        <w:t>ii</w:t>
      </w:r>
      <w:proofErr w:type="spellEnd"/>
      <w:r w:rsidRPr="00B868BF">
        <w:rPr>
          <w:rFonts w:ascii="Arial" w:eastAsia="Calibri" w:hAnsi="Arial" w:cs="Arial"/>
          <w:i/>
          <w:iCs/>
          <w:kern w:val="0"/>
          <w:lang w:val="es-ES" w:eastAsia="es-ES_tradnl"/>
          <w14:ligatures w14:val="none"/>
        </w:rPr>
        <w:t>)</w:t>
      </w:r>
      <w:r w:rsidRPr="00B868BF">
        <w:rPr>
          <w:rFonts w:ascii="Arial" w:eastAsia="Calibri" w:hAnsi="Arial" w:cs="Arial"/>
          <w:kern w:val="0"/>
          <w:lang w:val="es-ES" w:eastAsia="es-ES_tradnl"/>
          <w14:ligatures w14:val="none"/>
        </w:rPr>
        <w:t xml:space="preserve"> estas hayan estado vinculadas laboralmente en dichos cargos</w:t>
      </w:r>
      <w:r w:rsidR="000D31B8">
        <w:rPr>
          <w:rFonts w:ascii="Arial" w:eastAsia="Calibri" w:hAnsi="Arial" w:cs="Arial"/>
          <w:kern w:val="0"/>
          <w:lang w:val="es-ES" w:eastAsia="es-ES_tradnl"/>
          <w14:ligatures w14:val="none"/>
        </w:rPr>
        <w:t>;</w:t>
      </w:r>
      <w:r w:rsidRPr="00B868BF">
        <w:rPr>
          <w:rFonts w:ascii="Arial" w:eastAsia="Calibri" w:hAnsi="Arial" w:cs="Arial"/>
          <w:kern w:val="0"/>
          <w:lang w:val="es-ES" w:eastAsia="es-ES_tradnl"/>
          <w14:ligatures w14:val="none"/>
        </w:rPr>
        <w:t xml:space="preserve"> y </w:t>
      </w:r>
      <w:r w:rsidRPr="00B868BF">
        <w:rPr>
          <w:rFonts w:ascii="Arial" w:eastAsia="Calibri" w:hAnsi="Arial" w:cs="Arial"/>
          <w:i/>
          <w:iCs/>
          <w:kern w:val="0"/>
          <w:lang w:val="es-ES" w:eastAsia="es-ES_tradnl"/>
          <w14:ligatures w14:val="none"/>
        </w:rPr>
        <w:t>(</w:t>
      </w:r>
      <w:proofErr w:type="spellStart"/>
      <w:r w:rsidRPr="00B868BF">
        <w:rPr>
          <w:rFonts w:ascii="Arial" w:eastAsia="Calibri" w:hAnsi="Arial" w:cs="Arial"/>
          <w:i/>
          <w:iCs/>
          <w:kern w:val="0"/>
          <w:lang w:val="es-ES" w:eastAsia="es-ES_tradnl"/>
          <w14:ligatures w14:val="none"/>
        </w:rPr>
        <w:t>iii</w:t>
      </w:r>
      <w:proofErr w:type="spellEnd"/>
      <w:r w:rsidRPr="00B868BF">
        <w:rPr>
          <w:rFonts w:ascii="Arial" w:eastAsia="Calibri" w:hAnsi="Arial" w:cs="Arial"/>
          <w:i/>
          <w:iCs/>
          <w:kern w:val="0"/>
          <w:lang w:val="es-ES" w:eastAsia="es-ES_tradnl"/>
          <w14:ligatures w14:val="none"/>
        </w:rPr>
        <w:t>)</w:t>
      </w:r>
      <w:r w:rsidRPr="00B868BF">
        <w:rPr>
          <w:rFonts w:ascii="Arial" w:eastAsia="Calibri" w:hAnsi="Arial" w:cs="Arial"/>
          <w:kern w:val="0"/>
          <w:lang w:val="es-ES" w:eastAsia="es-ES_tradnl"/>
          <w14:ligatures w14:val="none"/>
        </w:rPr>
        <w:t xml:space="preserve"> que esta vinculación haya permanecido, al menos, el año inmediato anterior a la fecha del cierre del proceso de selección.</w:t>
      </w:r>
    </w:p>
    <w:p w14:paraId="68CFF638" w14:textId="77777777" w:rsidR="00B868BF" w:rsidRPr="00B868BF" w:rsidRDefault="00B868BF" w:rsidP="00B868BF">
      <w:pPr>
        <w:spacing w:after="0" w:line="276" w:lineRule="auto"/>
        <w:ind w:firstLine="567"/>
        <w:jc w:val="both"/>
        <w:rPr>
          <w:rFonts w:ascii="Arial" w:eastAsia="Calibri" w:hAnsi="Arial" w:cs="Arial"/>
          <w:kern w:val="0"/>
          <w:lang w:val="es-ES" w:eastAsia="es-ES_tradnl"/>
          <w14:ligatures w14:val="none"/>
        </w:rPr>
      </w:pPr>
    </w:p>
    <w:p w14:paraId="0D25BCDB" w14:textId="77777777" w:rsidR="00B868BF" w:rsidRPr="00B868BF" w:rsidRDefault="00B868BF" w:rsidP="00B868BF">
      <w:pPr>
        <w:spacing w:after="0" w:line="276" w:lineRule="auto"/>
        <w:ind w:firstLine="567"/>
        <w:jc w:val="both"/>
        <w:rPr>
          <w:rFonts w:ascii="Arial" w:eastAsia="Times New Roman" w:hAnsi="Arial" w:cs="Arial"/>
          <w:kern w:val="0"/>
          <w:lang w:eastAsia="es-CO"/>
          <w14:ligatures w14:val="none"/>
        </w:rPr>
      </w:pPr>
      <w:r w:rsidRPr="00B868BF">
        <w:rPr>
          <w:rFonts w:ascii="Arial" w:eastAsia="Times New Roman" w:hAnsi="Arial" w:cs="Arial"/>
          <w:kern w:val="0"/>
          <w:lang w:eastAsia="es-CO"/>
          <w14:ligatures w14:val="none"/>
        </w:rPr>
        <w:t>Los “empleos del nivel directivo” a los que se refiere la norma son aquellos relacionados con la dirección de áreas misionales y las decisiones de nivel estratégico de la respectiva persona jurídica. De esta manera, los cargos directivos deben identificarse de acuerdo con la definición que para el efecto estableció el Decreto 1082 de 2015, adicionado por el Decreto 1860 de 2021. En ese sentido, independientemente de la denominación del cargo, su naturaleza será directiva bien porque se encuentra en un nivel especial de mando o porque, de acuerdo con su jerarquía, representan al empleador en los términos del artículo 32 del Código Sustantivo del Trabajo</w:t>
      </w:r>
      <w:r w:rsidRPr="00B868BF">
        <w:rPr>
          <w:rFonts w:ascii="Arial" w:eastAsia="Times New Roman" w:hAnsi="Arial" w:cs="Arial"/>
          <w:kern w:val="0"/>
          <w:vertAlign w:val="superscript"/>
          <w:lang w:eastAsia="es-CO"/>
          <w14:ligatures w14:val="none"/>
        </w:rPr>
        <w:footnoteReference w:id="4"/>
      </w:r>
      <w:r w:rsidRPr="00B868BF">
        <w:rPr>
          <w:rFonts w:ascii="Arial" w:eastAsia="Times New Roman" w:hAnsi="Arial" w:cs="Arial"/>
          <w:kern w:val="0"/>
          <w:lang w:eastAsia="es-CO"/>
          <w14:ligatures w14:val="none"/>
        </w:rPr>
        <w:t>.</w:t>
      </w:r>
    </w:p>
    <w:p w14:paraId="7BCAD05B" w14:textId="77777777" w:rsidR="00B868BF" w:rsidRPr="00B868BF" w:rsidRDefault="00B868BF" w:rsidP="00B868BF">
      <w:pPr>
        <w:spacing w:after="0" w:line="276" w:lineRule="auto"/>
        <w:ind w:firstLine="567"/>
        <w:jc w:val="both"/>
        <w:rPr>
          <w:rFonts w:ascii="Arial" w:eastAsia="Times New Roman" w:hAnsi="Arial" w:cs="Arial"/>
          <w:kern w:val="0"/>
          <w:lang w:eastAsia="es-CO"/>
          <w14:ligatures w14:val="none"/>
        </w:rPr>
      </w:pPr>
    </w:p>
    <w:p w14:paraId="2EA8391B" w14:textId="77777777" w:rsidR="00B868BF" w:rsidRPr="00B868BF" w:rsidRDefault="00B868BF" w:rsidP="00B868BF">
      <w:pPr>
        <w:spacing w:after="0" w:line="276" w:lineRule="auto"/>
        <w:ind w:firstLine="567"/>
        <w:jc w:val="both"/>
        <w:rPr>
          <w:rFonts w:ascii="Arial" w:eastAsia="Times New Roman" w:hAnsi="Arial" w:cs="Arial"/>
          <w:kern w:val="0"/>
          <w:lang w:eastAsia="es-MX"/>
          <w14:ligatures w14:val="none"/>
        </w:rPr>
      </w:pPr>
      <w:r w:rsidRPr="00B868BF">
        <w:rPr>
          <w:rFonts w:ascii="Arial" w:eastAsia="Times New Roman" w:hAnsi="Arial" w:cs="Arial"/>
          <w:kern w:val="0"/>
          <w:lang w:eastAsia="es-MX"/>
          <w14:ligatures w14:val="none"/>
        </w:rPr>
        <w:t xml:space="preserve">Para la acreditación de este requisito, la norma establece que deben entenderse como </w:t>
      </w:r>
      <w:r w:rsidRPr="00B868BF">
        <w:rPr>
          <w:rFonts w:ascii="Arial" w:eastAsia="Times New Roman" w:hAnsi="Arial" w:cs="Arial"/>
          <w:i/>
          <w:iCs/>
          <w:kern w:val="0"/>
          <w:lang w:eastAsia="es-MX"/>
          <w14:ligatures w14:val="none"/>
        </w:rPr>
        <w:t>empleos del nivel directivo</w:t>
      </w:r>
      <w:r w:rsidRPr="00B868BF">
        <w:rPr>
          <w:rFonts w:ascii="Arial" w:eastAsia="Times New Roman" w:hAnsi="Arial" w:cs="Arial"/>
          <w:kern w:val="0"/>
          <w:lang w:eastAsia="es-MX"/>
          <w14:ligatures w14:val="none"/>
        </w:rPr>
        <w:t xml:space="preserve"> aquellos relacionados con la dirección de áreas misionales y la toma de decisiones estratégicas. Además, que también lo serán aquellos que se encuentran ubicados en un nivel de mando o los que por su jerarquía desempeñan cargos </w:t>
      </w:r>
      <w:r w:rsidRPr="00B868BF">
        <w:rPr>
          <w:rFonts w:ascii="Arial" w:eastAsia="Times New Roman" w:hAnsi="Arial" w:cs="Arial"/>
          <w:kern w:val="0"/>
          <w:lang w:eastAsia="es-MX"/>
          <w14:ligatures w14:val="none"/>
        </w:rPr>
        <w:lastRenderedPageBreak/>
        <w:t>encaminados al cumplimiento de funciones orientadas a representar al empleador. En relación con lo anterior, el artículo 196 del Código de Comercio establece que “[l]a representación de la sociedad y la administración de sus bienes y negocios se ajustarán a las estipulaciones del contrato social, conforme al régimen de cada tipo de sociedad (…)”.</w:t>
      </w:r>
    </w:p>
    <w:p w14:paraId="06A39901" w14:textId="77777777" w:rsidR="00B868BF" w:rsidRPr="00B868BF" w:rsidRDefault="00B868BF" w:rsidP="00B868BF">
      <w:pPr>
        <w:spacing w:after="0" w:line="276" w:lineRule="auto"/>
        <w:ind w:firstLine="567"/>
        <w:jc w:val="both"/>
        <w:rPr>
          <w:rFonts w:ascii="Arial" w:eastAsia="Times New Roman" w:hAnsi="Arial" w:cs="Arial"/>
          <w:kern w:val="0"/>
          <w:lang w:eastAsia="es-MX"/>
          <w14:ligatures w14:val="none"/>
        </w:rPr>
      </w:pPr>
    </w:p>
    <w:p w14:paraId="4D3166D2" w14:textId="565CA454" w:rsidR="00B868BF" w:rsidRPr="00B868BF" w:rsidRDefault="00B868BF" w:rsidP="00B868BF">
      <w:pPr>
        <w:spacing w:after="0" w:line="276" w:lineRule="auto"/>
        <w:ind w:firstLine="567"/>
        <w:jc w:val="both"/>
        <w:rPr>
          <w:rFonts w:ascii="Arial" w:eastAsia="Times New Roman" w:hAnsi="Arial" w:cs="Arial"/>
          <w:kern w:val="0"/>
          <w:lang w:eastAsia="es-MX"/>
          <w14:ligatures w14:val="none"/>
        </w:rPr>
      </w:pPr>
      <w:r w:rsidRPr="00B868BF">
        <w:rPr>
          <w:rFonts w:ascii="Arial" w:eastAsia="Times New Roman" w:hAnsi="Arial" w:cs="Arial"/>
          <w:kern w:val="0"/>
          <w:lang w:eastAsia="es-MX"/>
          <w14:ligatures w14:val="none"/>
        </w:rPr>
        <w:t xml:space="preserve">Por </w:t>
      </w:r>
      <w:r w:rsidR="000D31B8">
        <w:rPr>
          <w:rFonts w:ascii="Arial" w:eastAsia="Times New Roman" w:hAnsi="Arial" w:cs="Arial"/>
          <w:kern w:val="0"/>
          <w:lang w:eastAsia="es-MX"/>
          <w14:ligatures w14:val="none"/>
        </w:rPr>
        <w:t xml:space="preserve">regla </w:t>
      </w:r>
      <w:r w:rsidRPr="00B868BF">
        <w:rPr>
          <w:rFonts w:ascii="Arial" w:eastAsia="Times New Roman" w:hAnsi="Arial" w:cs="Arial"/>
          <w:kern w:val="0"/>
          <w:lang w:eastAsia="es-MX"/>
          <w14:ligatures w14:val="none"/>
        </w:rPr>
        <w:t>general, la junta directiva es el primer órgano directivo con incidencia en la adopción de decisiones estratégicas que permiten la orientación gerencial de la actividad económica, la generación de valor y la gestión de sus riesgos a largo plazo</w:t>
      </w:r>
      <w:r w:rsidRPr="00B868BF">
        <w:rPr>
          <w:rFonts w:ascii="Arial" w:eastAsia="Times New Roman" w:hAnsi="Arial" w:cs="Arial"/>
          <w:kern w:val="0"/>
          <w:vertAlign w:val="superscript"/>
          <w:lang w:eastAsia="es-MX"/>
          <w14:ligatures w14:val="none"/>
        </w:rPr>
        <w:footnoteReference w:id="5"/>
      </w:r>
      <w:r w:rsidRPr="00B868BF">
        <w:rPr>
          <w:rFonts w:ascii="Arial" w:eastAsia="Times New Roman" w:hAnsi="Arial" w:cs="Arial"/>
          <w:kern w:val="0"/>
          <w:lang w:eastAsia="es-MX"/>
          <w14:ligatures w14:val="none"/>
        </w:rPr>
        <w:t>. La junta o comisión directiva se encarga entonces, entre otros asuntos, de la designación, evaluación y remoción del personal directivo; la definición, aprobación y seguimiento del plan estratégico, de los objetivos de gestión y presupuesto anual; y de la aprobación de inversiones o desinversiones materiales o estratégicas</w:t>
      </w:r>
      <w:r w:rsidRPr="00B868BF">
        <w:rPr>
          <w:rFonts w:ascii="Arial" w:eastAsia="Times New Roman" w:hAnsi="Arial" w:cs="Arial"/>
          <w:kern w:val="0"/>
          <w:vertAlign w:val="superscript"/>
          <w:lang w:eastAsia="es-MX"/>
          <w14:ligatures w14:val="none"/>
        </w:rPr>
        <w:footnoteReference w:id="6"/>
      </w:r>
      <w:r w:rsidR="000D31B8">
        <w:rPr>
          <w:rFonts w:ascii="Arial" w:eastAsia="Times New Roman" w:hAnsi="Arial" w:cs="Arial"/>
          <w:kern w:val="0"/>
          <w:lang w:eastAsia="es-MX"/>
          <w14:ligatures w14:val="none"/>
        </w:rPr>
        <w:t>.</w:t>
      </w:r>
    </w:p>
    <w:p w14:paraId="7B426D9D" w14:textId="77777777" w:rsidR="00B868BF" w:rsidRPr="00B868BF" w:rsidRDefault="00B868BF" w:rsidP="00B868BF">
      <w:pPr>
        <w:spacing w:after="0" w:line="276" w:lineRule="auto"/>
        <w:ind w:firstLine="567"/>
        <w:jc w:val="both"/>
        <w:rPr>
          <w:rFonts w:ascii="Arial" w:eastAsia="Times New Roman" w:hAnsi="Arial" w:cs="Arial"/>
          <w:kern w:val="0"/>
          <w:lang w:eastAsia="es-MX"/>
          <w14:ligatures w14:val="none"/>
        </w:rPr>
      </w:pPr>
    </w:p>
    <w:p w14:paraId="3E740C62" w14:textId="77777777" w:rsidR="00B868BF" w:rsidRPr="00B868BF" w:rsidRDefault="00B868BF" w:rsidP="00B868BF">
      <w:pPr>
        <w:spacing w:after="0" w:line="276" w:lineRule="auto"/>
        <w:ind w:firstLine="567"/>
        <w:jc w:val="both"/>
        <w:rPr>
          <w:rFonts w:ascii="Arial" w:eastAsia="Times New Roman" w:hAnsi="Arial" w:cs="Arial"/>
          <w:kern w:val="0"/>
          <w:lang w:eastAsia="es-MX"/>
          <w14:ligatures w14:val="none"/>
        </w:rPr>
      </w:pPr>
      <w:r w:rsidRPr="00B868BF">
        <w:rPr>
          <w:rFonts w:ascii="Arial" w:eastAsia="Times New Roman" w:hAnsi="Arial" w:cs="Arial"/>
          <w:kern w:val="0"/>
          <w:lang w:eastAsia="es-MX"/>
          <w14:ligatures w14:val="none"/>
        </w:rPr>
        <w:t>También ejercerán actividades de dirección, según lo establece el Decreto 1860 de 2021, quienes lideren áreas misionales y quienes lideren procesos operativos que resulten claves para la actividad de la persona jurídica de cara a su desempeño y rentabilidad, tales como la dirección jurídica o la dirección financiera de la empresa. Estos se diseñan y adaptan al tamaño de la persona jurídica, requerimientos del mercado, a la entrada de insumos y recursos, y a la producción de los bienes o servicios específicos, de manera que pueden resultar diferentes e incluso dinámicos. En este sentido, corresponderá a cada proponente, atendiendo a sus circunstancias particulares, indicar cuáles son sus cargos del nivel directiv</w:t>
      </w:r>
      <w:bookmarkStart w:id="34" w:name="_Hlk110603413"/>
      <w:r w:rsidRPr="00B868BF">
        <w:rPr>
          <w:rFonts w:ascii="Arial" w:eastAsia="Times New Roman" w:hAnsi="Arial" w:cs="Arial"/>
          <w:kern w:val="0"/>
          <w:lang w:eastAsia="es-MX"/>
          <w14:ligatures w14:val="none"/>
        </w:rPr>
        <w:t>o.</w:t>
      </w:r>
    </w:p>
    <w:p w14:paraId="050BD842" w14:textId="77777777" w:rsidR="00B868BF" w:rsidRPr="00B868BF" w:rsidRDefault="00B868BF" w:rsidP="00B868BF">
      <w:pPr>
        <w:spacing w:after="0" w:line="276" w:lineRule="auto"/>
        <w:ind w:firstLine="567"/>
        <w:jc w:val="both"/>
        <w:rPr>
          <w:rFonts w:ascii="Arial" w:eastAsia="Times New Roman" w:hAnsi="Arial" w:cs="Arial"/>
          <w:kern w:val="0"/>
          <w:lang w:eastAsia="es-MX"/>
          <w14:ligatures w14:val="none"/>
        </w:rPr>
      </w:pPr>
    </w:p>
    <w:p w14:paraId="3274087C" w14:textId="77777777" w:rsidR="00B868BF" w:rsidRPr="00B868BF" w:rsidRDefault="00B868BF" w:rsidP="00B868BF">
      <w:pPr>
        <w:spacing w:after="0" w:line="276" w:lineRule="auto"/>
        <w:ind w:firstLine="567"/>
        <w:jc w:val="both"/>
        <w:rPr>
          <w:rFonts w:ascii="Arial" w:eastAsia="Times New Roman" w:hAnsi="Arial" w:cs="Arial"/>
          <w:kern w:val="0"/>
          <w:lang w:eastAsia="es-CO"/>
          <w14:ligatures w14:val="none"/>
        </w:rPr>
      </w:pPr>
      <w:r w:rsidRPr="00B868BF">
        <w:rPr>
          <w:rFonts w:ascii="Arial" w:eastAsia="Calibri" w:hAnsi="Arial" w:cs="Arial"/>
          <w:kern w:val="0"/>
          <w:lang w:val="es-ES_tradnl" w:eastAsia="es-ES_tradnl"/>
          <w14:ligatures w14:val="none"/>
        </w:rPr>
        <w:t xml:space="preserve">De este modo, para la aplicación de la definición en comento debe tenerse en cuenta únicamente a los empleos del nivel directivo, lo que excluye a los demás empleos de la planta de personal, como por ejemplo los operativos. Así mismo, se excluyen las personas vinculadas mediante </w:t>
      </w:r>
      <w:r w:rsidRPr="00B868BF">
        <w:rPr>
          <w:rFonts w:ascii="Arial" w:eastAsia="Calibri" w:hAnsi="Arial" w:cs="Arial"/>
          <w:kern w:val="0"/>
          <w:lang w:val="es-ES" w:eastAsia="es-ES_tradnl"/>
          <w14:ligatures w14:val="none"/>
        </w:rPr>
        <w:t>figuras jurídicas</w:t>
      </w:r>
      <w:r w:rsidRPr="00B868BF">
        <w:rPr>
          <w:rFonts w:ascii="Arial" w:eastAsia="Calibri" w:hAnsi="Arial" w:cs="Arial"/>
          <w:kern w:val="0"/>
          <w:lang w:val="es-ES_tradnl" w:eastAsia="es-ES_tradnl"/>
          <w14:ligatures w14:val="none"/>
        </w:rPr>
        <w:t xml:space="preserve"> diferentes a un contrato de trabajo, como es el caso de los contratos de prestación de servicios. </w:t>
      </w:r>
      <w:r w:rsidRPr="00B868BF">
        <w:rPr>
          <w:rFonts w:ascii="Arial" w:eastAsia="Calibri" w:hAnsi="Arial" w:cs="Arial"/>
          <w:kern w:val="0"/>
          <w:lang w:val="es-ES" w:eastAsia="es-ES_tradnl"/>
          <w14:ligatures w14:val="none"/>
        </w:rPr>
        <w:t xml:space="preserve">Al respecto, debe tenerse en cuenta que la disposición en estudio indica que la vinculación de las mujeres en los cargos directivos de </w:t>
      </w:r>
      <w:r w:rsidRPr="00B868BF">
        <w:rPr>
          <w:rFonts w:ascii="Arial" w:eastAsia="Calibri" w:hAnsi="Arial" w:cs="Arial"/>
          <w:kern w:val="0"/>
          <w:lang w:val="es-ES" w:eastAsia="es-ES_tradnl"/>
          <w14:ligatures w14:val="none"/>
        </w:rPr>
        <w:lastRenderedPageBreak/>
        <w:t xml:space="preserve">la persona jurídica debe ser de índole laboral, al establecer de forma expresa: “(…) </w:t>
      </w:r>
      <w:r w:rsidRPr="00B868BF">
        <w:rPr>
          <w:rFonts w:ascii="Arial" w:eastAsia="Times New Roman" w:hAnsi="Arial" w:cs="Arial"/>
          <w:i/>
          <w:iCs/>
          <w:kern w:val="0"/>
          <w:lang w:eastAsia="es-CO"/>
          <w14:ligatures w14:val="none"/>
        </w:rPr>
        <w:t>hayan estado vinculadas laboralmente (…)</w:t>
      </w:r>
      <w:r w:rsidRPr="00B868BF">
        <w:rPr>
          <w:rFonts w:ascii="Arial" w:eastAsia="Times New Roman" w:hAnsi="Arial" w:cs="Arial"/>
          <w:kern w:val="0"/>
          <w:lang w:eastAsia="es-CO"/>
          <w14:ligatures w14:val="none"/>
        </w:rPr>
        <w:t>”.</w:t>
      </w:r>
    </w:p>
    <w:p w14:paraId="287652D7" w14:textId="77777777" w:rsidR="00B868BF" w:rsidRPr="00B868BF" w:rsidRDefault="00B868BF" w:rsidP="00B868BF">
      <w:pPr>
        <w:spacing w:after="0" w:line="276" w:lineRule="auto"/>
        <w:ind w:firstLine="567"/>
        <w:jc w:val="both"/>
        <w:rPr>
          <w:rFonts w:ascii="Arial" w:eastAsia="Times New Roman" w:hAnsi="Arial" w:cs="Arial"/>
          <w:kern w:val="0"/>
          <w:lang w:eastAsia="es-CO"/>
          <w14:ligatures w14:val="none"/>
        </w:rPr>
      </w:pPr>
    </w:p>
    <w:p w14:paraId="695AC067" w14:textId="77777777" w:rsidR="00495606" w:rsidRDefault="00B868BF" w:rsidP="00B868BF">
      <w:pPr>
        <w:spacing w:after="0" w:line="276" w:lineRule="auto"/>
        <w:ind w:firstLine="567"/>
        <w:jc w:val="both"/>
        <w:rPr>
          <w:rFonts w:ascii="Arial" w:eastAsia="Calibri" w:hAnsi="Arial" w:cs="Arial"/>
          <w:kern w:val="0"/>
          <w:lang w:val="es-ES_tradnl" w:eastAsia="es-ES_tradnl"/>
          <w14:ligatures w14:val="none"/>
        </w:rPr>
      </w:pPr>
      <w:r w:rsidRPr="00B868BF">
        <w:rPr>
          <w:rFonts w:ascii="Arial" w:eastAsia="Calibri" w:hAnsi="Arial" w:cs="Arial"/>
          <w:kern w:val="0"/>
          <w:lang w:val="es-ES_tradnl" w:eastAsia="es-ES_tradnl"/>
          <w14:ligatures w14:val="none"/>
        </w:rPr>
        <w:t>Al igual que ocurre para el numeral primero, no basta con que los cargos directivos en una sociedad sean mayoritariamente de mujeres para que sea considerada como un emprendimiento o empresa a la que se refiere la norma, sino que además es necesario que dicha vinculación mayoritaria de mujeres en los empleos del nivel directivo de la persona jurídica se haya mantenido como mínimo durante el periodo de un (1) año, contado a partir de la fecha de cierre del proceso de selección</w:t>
      </w:r>
      <w:bookmarkEnd w:id="34"/>
      <w:r w:rsidRPr="00B868BF">
        <w:rPr>
          <w:rFonts w:ascii="Arial" w:eastAsia="Calibri" w:hAnsi="Arial" w:cs="Arial"/>
          <w:kern w:val="0"/>
          <w:lang w:val="es-ES_tradnl" w:eastAsia="es-ES_tradnl"/>
          <w14:ligatures w14:val="none"/>
        </w:rPr>
        <w:t>. De esta manera, el criterio establecido en la norma para definir los emprendimientos y empresas de mujeres deja por fuera de esta categoría a aquellas sociedades que, a pesar de contar con la participación mayoritaria de mujeres en el nivel directivo, no cuenten con el requerimiento del tiempo mínimo de un (1) año</w:t>
      </w:r>
      <w:r w:rsidR="00495606">
        <w:rPr>
          <w:rFonts w:ascii="Arial" w:eastAsia="Calibri" w:hAnsi="Arial" w:cs="Arial"/>
          <w:kern w:val="0"/>
          <w:lang w:val="es-ES_tradnl" w:eastAsia="es-ES_tradnl"/>
          <w14:ligatures w14:val="none"/>
        </w:rPr>
        <w:t>.</w:t>
      </w:r>
    </w:p>
    <w:p w14:paraId="24611F08" w14:textId="77777777" w:rsidR="00495606" w:rsidRDefault="00495606" w:rsidP="00B868BF">
      <w:pPr>
        <w:spacing w:after="0" w:line="276" w:lineRule="auto"/>
        <w:ind w:firstLine="567"/>
        <w:jc w:val="both"/>
        <w:rPr>
          <w:rFonts w:ascii="Arial" w:eastAsia="Calibri" w:hAnsi="Arial" w:cs="Arial"/>
          <w:kern w:val="0"/>
          <w:lang w:val="es-ES_tradnl" w:eastAsia="es-ES_tradnl"/>
          <w14:ligatures w14:val="none"/>
        </w:rPr>
      </w:pPr>
    </w:p>
    <w:p w14:paraId="235E5B16" w14:textId="59942BCC" w:rsidR="00B868BF" w:rsidRPr="00B868BF" w:rsidRDefault="00B868BF" w:rsidP="00B868BF">
      <w:pPr>
        <w:spacing w:after="0" w:line="276" w:lineRule="auto"/>
        <w:ind w:firstLine="567"/>
        <w:jc w:val="both"/>
        <w:rPr>
          <w:rFonts w:ascii="Arial" w:eastAsia="Calibri" w:hAnsi="Arial" w:cs="Arial"/>
          <w:kern w:val="0"/>
          <w:lang w:val="es-ES_tradnl" w:eastAsia="es-ES_tradnl"/>
          <w14:ligatures w14:val="none"/>
        </w:rPr>
      </w:pPr>
      <w:r w:rsidRPr="00B868BF">
        <w:rPr>
          <w:rFonts w:ascii="Arial" w:eastAsia="Calibri" w:hAnsi="Arial" w:cs="Arial"/>
          <w:kern w:val="0"/>
          <w:lang w:val="es-ES_tradnl" w:eastAsia="es-ES_tradnl"/>
          <w14:ligatures w14:val="none"/>
        </w:rPr>
        <w:t>Como medio para la acreditación de la condición en comento, la disposición en cita establece una certificación expedida por el representante legal y el revisor fiscal en la que consten todas las personas que conforman los cargos de nivel directivo del proponente, el número de mujeres y el tiempo de vinculación. Dicho documento además debe relacionar los nombres completos de las personas que integran el nivel directivo y los números de documentos de identidad de cada uno de ellos. Adicionalmente, la norma dispone que la mencionada certificación debe presentarse acompañada de copia de los respectivos documentos de identidad, copia de los contratos de trabajo o certificación laboral con funciones, así como el certificado de aportes a seguridad social del último año en el que se demuestren los pagos realizados por el empleador.</w:t>
      </w:r>
    </w:p>
    <w:p w14:paraId="75D9253E" w14:textId="77777777" w:rsidR="00B868BF" w:rsidRPr="00B868BF" w:rsidRDefault="00B868BF" w:rsidP="00B868BF">
      <w:pPr>
        <w:spacing w:after="0" w:line="276" w:lineRule="auto"/>
        <w:ind w:firstLine="567"/>
        <w:jc w:val="both"/>
        <w:rPr>
          <w:rFonts w:ascii="Arial" w:eastAsia="Calibri" w:hAnsi="Arial" w:cs="Arial"/>
          <w:kern w:val="0"/>
          <w:lang w:val="es-ES_tradnl" w:eastAsia="es-ES_tradnl"/>
          <w14:ligatures w14:val="none"/>
        </w:rPr>
      </w:pPr>
    </w:p>
    <w:p w14:paraId="762F928F" w14:textId="37B1EC14" w:rsidR="00495606" w:rsidRDefault="00B868BF" w:rsidP="00B868BF">
      <w:pPr>
        <w:spacing w:after="0" w:line="276" w:lineRule="auto"/>
        <w:ind w:firstLine="567"/>
        <w:jc w:val="both"/>
        <w:rPr>
          <w:rFonts w:ascii="Arial" w:eastAsia="Calibri" w:hAnsi="Arial" w:cs="Arial"/>
          <w:kern w:val="0"/>
          <w:lang w:val="es-ES_tradnl" w:eastAsia="es-ES_tradnl"/>
          <w14:ligatures w14:val="none"/>
        </w:rPr>
      </w:pPr>
      <w:r w:rsidRPr="00B868BF">
        <w:rPr>
          <w:rFonts w:ascii="Arial" w:eastAsia="Calibri" w:hAnsi="Arial" w:cs="Arial"/>
          <w:kern w:val="0"/>
          <w:lang w:val="es-ES_tradnl" w:eastAsia="es-ES_tradnl"/>
          <w14:ligatures w14:val="none"/>
        </w:rPr>
        <w:t xml:space="preserve">Así pues, de acuerdo con la revisión de todos los numerales del artículo 2.2.1.2.4.2.14 es posible advertir que para cada uno de estos fueron expresamente establecidos los documentos que sirven como medio para su acreditación. En concreto, dichos documentos constituyen una tarifa legal probatoria para demostrar que los proponentes son emprendimientos o empresas de mujeres y que, por lo tanto, tienen derecho a la aplicación de los criterios diferenciales reglamentados por el artículo 2.2.1.2.4.2.15. del Decreto 1082 de 2015, en desarrollo del artículo 32 de la Ley 2069 de 2020. Esto significa que quienes pretendan acceder a tales beneficios en consideración a las definiciones establecidas en los numerales </w:t>
      </w:r>
      <w:r w:rsidRPr="00B868BF">
        <w:rPr>
          <w:rFonts w:ascii="Arial" w:eastAsia="Calibri" w:hAnsi="Arial" w:cs="Arial"/>
          <w:i/>
          <w:iCs/>
          <w:kern w:val="0"/>
          <w:lang w:val="es-ES_tradnl" w:eastAsia="es-ES_tradnl"/>
          <w14:ligatures w14:val="none"/>
        </w:rPr>
        <w:t>primero</w:t>
      </w:r>
      <w:r w:rsidRPr="00B868BF">
        <w:rPr>
          <w:rFonts w:ascii="Arial" w:eastAsia="Calibri" w:hAnsi="Arial" w:cs="Arial"/>
          <w:kern w:val="0"/>
          <w:lang w:val="es-ES_tradnl" w:eastAsia="es-ES_tradnl"/>
          <w14:ligatures w14:val="none"/>
        </w:rPr>
        <w:t xml:space="preserve"> y </w:t>
      </w:r>
      <w:r w:rsidRPr="00B868BF">
        <w:rPr>
          <w:rFonts w:ascii="Arial" w:eastAsia="Calibri" w:hAnsi="Arial" w:cs="Arial"/>
          <w:i/>
          <w:iCs/>
          <w:kern w:val="0"/>
          <w:lang w:val="es-ES_tradnl" w:eastAsia="es-ES_tradnl"/>
          <w14:ligatures w14:val="none"/>
        </w:rPr>
        <w:t>segundo</w:t>
      </w:r>
      <w:r w:rsidRPr="00B868BF">
        <w:rPr>
          <w:rFonts w:ascii="Arial" w:eastAsia="Calibri" w:hAnsi="Arial" w:cs="Arial"/>
          <w:kern w:val="0"/>
          <w:lang w:val="es-ES_tradnl" w:eastAsia="es-ES_tradnl"/>
          <w14:ligatures w14:val="none"/>
        </w:rPr>
        <w:t xml:space="preserve"> del artículo 2.2.1.2.4.2.14., deberán presentar la mencionada certificación con sus respectivos soportes.</w:t>
      </w:r>
    </w:p>
    <w:p w14:paraId="705C47FE" w14:textId="77777777" w:rsidR="00F51A9A" w:rsidRDefault="00F51A9A" w:rsidP="00B868BF">
      <w:pPr>
        <w:spacing w:after="0" w:line="276" w:lineRule="auto"/>
        <w:ind w:firstLine="567"/>
        <w:jc w:val="both"/>
        <w:rPr>
          <w:rFonts w:ascii="Arial" w:eastAsia="Calibri" w:hAnsi="Arial" w:cs="Arial"/>
          <w:kern w:val="0"/>
          <w:lang w:val="es-ES_tradnl" w:eastAsia="es-ES_tradnl"/>
          <w14:ligatures w14:val="none"/>
        </w:rPr>
      </w:pPr>
    </w:p>
    <w:p w14:paraId="4B913E59" w14:textId="14B55197" w:rsidR="00495606" w:rsidRDefault="008E7F5C" w:rsidP="00495606">
      <w:pPr>
        <w:jc w:val="both"/>
        <w:rPr>
          <w:rFonts w:ascii="Arial" w:eastAsia="Calibri" w:hAnsi="Arial" w:cs="Arial"/>
          <w:b/>
          <w:bCs/>
          <w:iCs/>
        </w:rPr>
      </w:pPr>
      <w:bookmarkStart w:id="35" w:name="_Hlk140037965"/>
      <w:bookmarkStart w:id="36" w:name="_Hlk140037929"/>
      <w:bookmarkStart w:id="37" w:name="_Hlk140042942"/>
      <w:bookmarkStart w:id="38" w:name="_Hlk136187315"/>
      <w:bookmarkStart w:id="39" w:name="_Hlk136188490"/>
      <w:bookmarkEnd w:id="26"/>
      <w:bookmarkEnd w:id="29"/>
      <w:r w:rsidRPr="008E7F5C">
        <w:rPr>
          <w:rFonts w:ascii="Arial" w:eastAsia="Calibri" w:hAnsi="Arial" w:cs="Arial"/>
          <w:b/>
          <w:bCs/>
          <w:iCs/>
          <w:kern w:val="0"/>
          <w14:ligatures w14:val="none"/>
        </w:rPr>
        <w:t>2.2.</w:t>
      </w:r>
      <w:r w:rsidRPr="008E7F5C">
        <w:rPr>
          <w:rFonts w:ascii="Arial" w:eastAsia="Calibri" w:hAnsi="Arial" w:cs="Arial"/>
          <w:b/>
          <w:bCs/>
          <w:iCs/>
          <w:kern w:val="0"/>
          <w14:ligatures w14:val="none"/>
        </w:rPr>
        <w:tab/>
      </w:r>
      <w:bookmarkStart w:id="40" w:name="_Hlk140044277"/>
      <w:bookmarkStart w:id="41" w:name="_Hlk136201775"/>
      <w:bookmarkStart w:id="42" w:name="_Hlk141862818"/>
      <w:bookmarkEnd w:id="35"/>
      <w:bookmarkEnd w:id="36"/>
      <w:r w:rsidR="00495606">
        <w:rPr>
          <w:rFonts w:ascii="Arial" w:eastAsia="Calibri" w:hAnsi="Arial" w:cs="Arial"/>
          <w:b/>
          <w:bCs/>
          <w:iCs/>
          <w:kern w:val="0"/>
          <w14:ligatures w14:val="none"/>
        </w:rPr>
        <w:t>Medidas contra accionistas morosos en el pago de cuotas de acciones suscritas. Alcance del artículo 397 del Código de Comercio</w:t>
      </w:r>
    </w:p>
    <w:p w14:paraId="0B0E7221" w14:textId="77777777" w:rsidR="007A1DF0" w:rsidRDefault="007A1DF0" w:rsidP="00495606">
      <w:pPr>
        <w:jc w:val="both"/>
        <w:rPr>
          <w:rFonts w:ascii="Arial" w:eastAsia="Calibri" w:hAnsi="Arial" w:cs="Arial"/>
          <w:szCs w:val="24"/>
          <w:lang w:val="es-ES_tradnl" w:eastAsia="es-ES_tradnl"/>
        </w:rPr>
      </w:pPr>
    </w:p>
    <w:p w14:paraId="293B8734" w14:textId="5234AF35" w:rsidR="00495606" w:rsidRPr="008E7F5C" w:rsidRDefault="007A1DF0" w:rsidP="00495606">
      <w:pPr>
        <w:jc w:val="both"/>
        <w:rPr>
          <w:rFonts w:ascii="Arial" w:eastAsia="Calibri" w:hAnsi="Arial" w:cs="Arial"/>
          <w:szCs w:val="24"/>
          <w:lang w:val="es-ES_tradnl" w:eastAsia="es-ES_tradnl"/>
        </w:rPr>
      </w:pPr>
      <w:r>
        <w:rPr>
          <w:rFonts w:ascii="Arial" w:eastAsia="Calibri" w:hAnsi="Arial" w:cs="Arial"/>
          <w:szCs w:val="24"/>
          <w:lang w:val="es-ES_tradnl" w:eastAsia="es-ES_tradnl"/>
        </w:rPr>
        <w:t xml:space="preserve">En líneas generales, las sociedades anónimas constituyen una modalidad de forma asociativa </w:t>
      </w:r>
      <w:r w:rsidR="007A18E4">
        <w:rPr>
          <w:rFonts w:ascii="Arial" w:eastAsia="Calibri" w:hAnsi="Arial" w:cs="Arial"/>
          <w:szCs w:val="24"/>
          <w:lang w:val="es-ES_tradnl" w:eastAsia="es-ES_tradnl"/>
        </w:rPr>
        <w:t>-</w:t>
      </w:r>
      <w:r w:rsidR="007A18E4" w:rsidRPr="007A18E4">
        <w:rPr>
          <w:rFonts w:ascii="Arial" w:eastAsia="Calibri" w:hAnsi="Arial" w:cs="Arial"/>
          <w:i/>
          <w:iCs/>
          <w:szCs w:val="24"/>
          <w:lang w:val="es-ES_tradnl" w:eastAsia="es-ES_tradnl"/>
        </w:rPr>
        <w:t>persona jurídica</w:t>
      </w:r>
      <w:r w:rsidR="007A18E4">
        <w:rPr>
          <w:rFonts w:ascii="Arial" w:eastAsia="Calibri" w:hAnsi="Arial" w:cs="Arial"/>
          <w:szCs w:val="24"/>
          <w:lang w:val="es-ES_tradnl" w:eastAsia="es-ES_tradnl"/>
        </w:rPr>
        <w:t xml:space="preserve">- </w:t>
      </w:r>
      <w:r>
        <w:rPr>
          <w:rFonts w:ascii="Arial" w:eastAsia="Calibri" w:hAnsi="Arial" w:cs="Arial"/>
          <w:szCs w:val="24"/>
          <w:lang w:val="es-ES_tradnl" w:eastAsia="es-ES_tradnl"/>
        </w:rPr>
        <w:t xml:space="preserve">creada </w:t>
      </w:r>
      <w:r w:rsidR="007A18E4">
        <w:rPr>
          <w:rFonts w:ascii="Arial" w:eastAsia="Calibri" w:hAnsi="Arial" w:cs="Arial"/>
          <w:szCs w:val="24"/>
          <w:lang w:val="es-ES_tradnl" w:eastAsia="es-ES_tradnl"/>
        </w:rPr>
        <w:t xml:space="preserve">por la ley en virtud del derecho de asociación, </w:t>
      </w:r>
      <w:r>
        <w:rPr>
          <w:rFonts w:ascii="Arial" w:eastAsia="Calibri" w:hAnsi="Arial" w:cs="Arial"/>
          <w:szCs w:val="24"/>
          <w:lang w:val="es-ES_tradnl" w:eastAsia="es-ES_tradnl"/>
        </w:rPr>
        <w:t>con la finalidad de realizar las empresas que implican grandes capitales y suponen enormes riesgos, necesarias para impulsar el crecimiento y el desarrollo económico como pilares estructurales de la Constitución económica</w:t>
      </w:r>
      <w:r>
        <w:rPr>
          <w:rStyle w:val="Refdenotaalpie"/>
          <w:rFonts w:ascii="Arial" w:eastAsia="Calibri" w:hAnsi="Arial" w:cs="Arial"/>
          <w:szCs w:val="24"/>
          <w:lang w:val="es-ES_tradnl" w:eastAsia="es-ES_tradnl"/>
        </w:rPr>
        <w:footnoteReference w:id="7"/>
      </w:r>
      <w:r>
        <w:rPr>
          <w:rFonts w:ascii="Arial" w:eastAsia="Calibri" w:hAnsi="Arial" w:cs="Arial"/>
          <w:szCs w:val="24"/>
          <w:lang w:val="es-ES_tradnl" w:eastAsia="es-ES_tradnl"/>
        </w:rPr>
        <w:t>.</w:t>
      </w:r>
    </w:p>
    <w:p w14:paraId="4AD4B214" w14:textId="44DF6E5E" w:rsidR="00D31305" w:rsidRDefault="006E42D4" w:rsidP="00495606">
      <w:pPr>
        <w:spacing w:after="120" w:line="276" w:lineRule="auto"/>
        <w:jc w:val="both"/>
        <w:rPr>
          <w:rFonts w:ascii="Arial" w:eastAsia="Calibri" w:hAnsi="Arial" w:cs="Arial"/>
          <w:kern w:val="0"/>
          <w:lang w:val="es-ES_tradnl" w:eastAsia="es-CO"/>
          <w14:ligatures w14:val="none"/>
        </w:rPr>
      </w:pPr>
      <w:r>
        <w:rPr>
          <w:rFonts w:ascii="Arial" w:eastAsia="Calibri" w:hAnsi="Arial" w:cs="Arial"/>
          <w:kern w:val="0"/>
          <w:lang w:val="es-ES_tradnl" w:eastAsia="es-CO"/>
          <w14:ligatures w14:val="none"/>
        </w:rPr>
        <w:tab/>
      </w:r>
      <w:r w:rsidR="007A18E4">
        <w:rPr>
          <w:rFonts w:ascii="Arial" w:eastAsia="Calibri" w:hAnsi="Arial" w:cs="Arial"/>
          <w:kern w:val="0"/>
          <w:lang w:val="es-ES_tradnl" w:eastAsia="es-CO"/>
          <w14:ligatures w14:val="none"/>
        </w:rPr>
        <w:t>Específicamente, po</w:t>
      </w:r>
      <w:r w:rsidR="00454CE5">
        <w:rPr>
          <w:rFonts w:ascii="Arial" w:eastAsia="Calibri" w:hAnsi="Arial" w:cs="Arial"/>
          <w:kern w:val="0"/>
          <w:lang w:val="es-ES_tradnl" w:eastAsia="es-CO"/>
          <w14:ligatures w14:val="none"/>
        </w:rPr>
        <w:t xml:space="preserve">r interesar a la </w:t>
      </w:r>
      <w:r w:rsidR="00164A8E">
        <w:rPr>
          <w:rFonts w:ascii="Arial" w:eastAsia="Calibri" w:hAnsi="Arial" w:cs="Arial"/>
          <w:kern w:val="0"/>
          <w:lang w:val="es-ES_tradnl" w:eastAsia="es-CO"/>
          <w14:ligatures w14:val="none"/>
        </w:rPr>
        <w:t xml:space="preserve">presente </w:t>
      </w:r>
      <w:r w:rsidR="00454CE5">
        <w:rPr>
          <w:rFonts w:ascii="Arial" w:eastAsia="Calibri" w:hAnsi="Arial" w:cs="Arial"/>
          <w:kern w:val="0"/>
          <w:lang w:val="es-ES_tradnl" w:eastAsia="es-CO"/>
          <w14:ligatures w14:val="none"/>
        </w:rPr>
        <w:t>consulta, debe señalarse</w:t>
      </w:r>
      <w:r w:rsidR="007A18E4">
        <w:rPr>
          <w:rFonts w:ascii="Arial" w:eastAsia="Calibri" w:hAnsi="Arial" w:cs="Arial"/>
          <w:kern w:val="0"/>
          <w:lang w:val="es-ES_tradnl" w:eastAsia="es-CO"/>
          <w14:ligatures w14:val="none"/>
        </w:rPr>
        <w:t xml:space="preserve"> </w:t>
      </w:r>
      <w:r w:rsidR="00454CE5">
        <w:rPr>
          <w:rFonts w:ascii="Arial" w:eastAsia="Calibri" w:hAnsi="Arial" w:cs="Arial"/>
          <w:kern w:val="0"/>
          <w:lang w:val="es-ES_tradnl" w:eastAsia="es-CO"/>
          <w14:ligatures w14:val="none"/>
        </w:rPr>
        <w:t>que</w:t>
      </w:r>
      <w:r w:rsidR="00164A8E">
        <w:rPr>
          <w:rFonts w:ascii="Arial" w:eastAsia="Calibri" w:hAnsi="Arial" w:cs="Arial"/>
          <w:kern w:val="0"/>
          <w:lang w:val="es-ES_tradnl" w:eastAsia="es-CO"/>
          <w14:ligatures w14:val="none"/>
        </w:rPr>
        <w:t xml:space="preserve"> el cap</w:t>
      </w:r>
      <w:r w:rsidR="007A18E4">
        <w:rPr>
          <w:rFonts w:ascii="Arial" w:eastAsia="Calibri" w:hAnsi="Arial" w:cs="Arial"/>
          <w:kern w:val="0"/>
          <w:lang w:val="es-ES_tradnl" w:eastAsia="es-CO"/>
          <w14:ligatures w14:val="none"/>
        </w:rPr>
        <w:t>í</w:t>
      </w:r>
      <w:r w:rsidR="00164A8E">
        <w:rPr>
          <w:rFonts w:ascii="Arial" w:eastAsia="Calibri" w:hAnsi="Arial" w:cs="Arial"/>
          <w:kern w:val="0"/>
          <w:lang w:val="es-ES_tradnl" w:eastAsia="es-CO"/>
          <w14:ligatures w14:val="none"/>
        </w:rPr>
        <w:t>tulo II del Título VI del Código de Comercio hace referencia a la emisión de acciones en la sociedad anónima, las cuales podrán ser nominativas (el titular es la persona designada en el título</w:t>
      </w:r>
      <w:r w:rsidR="00856C0E">
        <w:rPr>
          <w:rFonts w:ascii="Arial" w:eastAsia="Calibri" w:hAnsi="Arial" w:cs="Arial"/>
          <w:kern w:val="0"/>
          <w:lang w:val="es-ES_tradnl" w:eastAsia="es-CO"/>
          <w14:ligatures w14:val="none"/>
        </w:rPr>
        <w:t xml:space="preserve"> con la respectiva inscripción en el libro de registro de accionistas de la sociedad</w:t>
      </w:r>
      <w:r w:rsidR="00164A8E">
        <w:rPr>
          <w:rFonts w:ascii="Arial" w:eastAsia="Calibri" w:hAnsi="Arial" w:cs="Arial"/>
          <w:kern w:val="0"/>
          <w:lang w:val="es-ES_tradnl" w:eastAsia="es-CO"/>
          <w14:ligatures w14:val="none"/>
        </w:rPr>
        <w:t xml:space="preserve">) o al portador (el titular es el portador del título), </w:t>
      </w:r>
      <w:r w:rsidR="0002517A">
        <w:rPr>
          <w:rFonts w:ascii="Arial" w:eastAsia="Calibri" w:hAnsi="Arial" w:cs="Arial"/>
          <w:kern w:val="0"/>
          <w:lang w:val="es-ES_tradnl" w:eastAsia="es-CO"/>
          <w14:ligatures w14:val="none"/>
        </w:rPr>
        <w:t xml:space="preserve">pero deberán </w:t>
      </w:r>
      <w:r w:rsidR="00164A8E">
        <w:rPr>
          <w:rFonts w:ascii="Arial" w:eastAsia="Calibri" w:hAnsi="Arial" w:cs="Arial"/>
          <w:kern w:val="0"/>
          <w:lang w:val="es-ES_tradnl" w:eastAsia="es-CO"/>
          <w14:ligatures w14:val="none"/>
        </w:rPr>
        <w:t xml:space="preserve">nominativas </w:t>
      </w:r>
      <w:r w:rsidR="0002517A">
        <w:rPr>
          <w:rFonts w:ascii="Arial" w:eastAsia="Calibri" w:hAnsi="Arial" w:cs="Arial"/>
          <w:kern w:val="0"/>
          <w:lang w:val="es-ES_tradnl" w:eastAsia="es-CO"/>
          <w14:ligatures w14:val="none"/>
        </w:rPr>
        <w:t xml:space="preserve">mientras </w:t>
      </w:r>
      <w:r w:rsidR="00164A8E">
        <w:rPr>
          <w:rFonts w:ascii="Arial" w:eastAsia="Calibri" w:hAnsi="Arial" w:cs="Arial"/>
          <w:kern w:val="0"/>
          <w:lang w:val="es-ES_tradnl" w:eastAsia="es-CO"/>
          <w14:ligatures w14:val="none"/>
        </w:rPr>
        <w:t>no se hayan pagado íntegramente</w:t>
      </w:r>
      <w:r w:rsidR="00164A8E">
        <w:rPr>
          <w:rStyle w:val="Refdenotaalpie"/>
          <w:rFonts w:ascii="Arial" w:eastAsia="Calibri" w:hAnsi="Arial" w:cs="Arial"/>
          <w:kern w:val="0"/>
          <w:lang w:val="es-ES_tradnl" w:eastAsia="es-CO"/>
          <w14:ligatures w14:val="none"/>
        </w:rPr>
        <w:footnoteReference w:id="8"/>
      </w:r>
      <w:r w:rsidR="00164A8E">
        <w:rPr>
          <w:rFonts w:ascii="Arial" w:eastAsia="Calibri" w:hAnsi="Arial" w:cs="Arial"/>
          <w:kern w:val="0"/>
          <w:lang w:val="es-ES_tradnl" w:eastAsia="es-CO"/>
          <w14:ligatures w14:val="none"/>
        </w:rPr>
        <w:t>.</w:t>
      </w:r>
    </w:p>
    <w:p w14:paraId="371A39ED" w14:textId="3374F6F8" w:rsidR="0002517A" w:rsidRDefault="0002517A" w:rsidP="00495606">
      <w:pPr>
        <w:spacing w:after="120" w:line="276" w:lineRule="auto"/>
        <w:jc w:val="both"/>
        <w:rPr>
          <w:rFonts w:ascii="Arial" w:eastAsia="Calibri" w:hAnsi="Arial" w:cs="Arial"/>
          <w:kern w:val="0"/>
          <w:lang w:val="es-ES_tradnl" w:eastAsia="es-CO"/>
          <w14:ligatures w14:val="none"/>
        </w:rPr>
      </w:pPr>
      <w:r>
        <w:rPr>
          <w:rFonts w:ascii="Arial" w:eastAsia="Calibri" w:hAnsi="Arial" w:cs="Arial"/>
          <w:kern w:val="0"/>
          <w:lang w:val="es-ES_tradnl" w:eastAsia="es-CO"/>
          <w14:ligatures w14:val="none"/>
        </w:rPr>
        <w:tab/>
        <w:t>El artículo 379 de dicho cuerpo normativo dispone expresamente que cada acción conferirá a su propietario los siguientes derechos</w:t>
      </w:r>
      <w:r w:rsidR="00856C0E">
        <w:rPr>
          <w:rFonts w:ascii="Arial" w:eastAsia="Calibri" w:hAnsi="Arial" w:cs="Arial"/>
          <w:kern w:val="0"/>
          <w:lang w:val="es-ES_tradnl" w:eastAsia="es-CO"/>
          <w14:ligatures w14:val="none"/>
        </w:rPr>
        <w:t xml:space="preserve"> propios, comunes y esenciales que, en general, se confieren a todo accionista por igual</w:t>
      </w:r>
      <w:r>
        <w:rPr>
          <w:rFonts w:ascii="Arial" w:eastAsia="Calibri" w:hAnsi="Arial" w:cs="Arial"/>
          <w:kern w:val="0"/>
          <w:lang w:val="es-ES_tradnl" w:eastAsia="es-CO"/>
          <w14:ligatures w14:val="none"/>
        </w:rPr>
        <w:t xml:space="preserve">: </w:t>
      </w:r>
      <w:r w:rsidRPr="0002517A">
        <w:rPr>
          <w:rFonts w:ascii="Arial" w:eastAsia="Calibri" w:hAnsi="Arial" w:cs="Arial"/>
          <w:i/>
          <w:iCs/>
          <w:kern w:val="0"/>
          <w:lang w:val="es-ES_tradnl" w:eastAsia="es-CO"/>
          <w14:ligatures w14:val="none"/>
        </w:rPr>
        <w:t>(</w:t>
      </w:r>
      <w:r>
        <w:rPr>
          <w:rFonts w:ascii="Arial" w:eastAsia="Calibri" w:hAnsi="Arial" w:cs="Arial"/>
          <w:i/>
          <w:iCs/>
          <w:kern w:val="0"/>
          <w:lang w:val="es-ES_tradnl" w:eastAsia="es-CO"/>
          <w14:ligatures w14:val="none"/>
        </w:rPr>
        <w:t>i)</w:t>
      </w:r>
      <w:r>
        <w:rPr>
          <w:rFonts w:ascii="Arial" w:eastAsia="Calibri" w:hAnsi="Arial" w:cs="Arial"/>
          <w:kern w:val="0"/>
          <w:lang w:val="es-ES_tradnl" w:eastAsia="es-CO"/>
          <w14:ligatures w14:val="none"/>
        </w:rPr>
        <w:t xml:space="preserve"> el de participar en las deliberaciones de la asamblea general de accionistas y votar en ella; </w:t>
      </w:r>
      <w:r w:rsidRPr="0002517A">
        <w:rPr>
          <w:rFonts w:ascii="Arial" w:eastAsia="Calibri" w:hAnsi="Arial" w:cs="Arial"/>
          <w:i/>
          <w:iCs/>
          <w:kern w:val="0"/>
          <w:lang w:val="es-ES_tradnl" w:eastAsia="es-CO"/>
          <w14:ligatures w14:val="none"/>
        </w:rPr>
        <w:t>(ii)</w:t>
      </w:r>
      <w:r>
        <w:rPr>
          <w:rFonts w:ascii="Arial" w:eastAsia="Calibri" w:hAnsi="Arial" w:cs="Arial"/>
          <w:i/>
          <w:iCs/>
          <w:kern w:val="0"/>
          <w:lang w:val="es-ES_tradnl" w:eastAsia="es-CO"/>
          <w14:ligatures w14:val="none"/>
        </w:rPr>
        <w:t xml:space="preserve"> </w:t>
      </w:r>
      <w:r>
        <w:rPr>
          <w:rFonts w:ascii="Arial" w:eastAsia="Calibri" w:hAnsi="Arial" w:cs="Arial"/>
          <w:kern w:val="0"/>
          <w:lang w:val="es-ES_tradnl" w:eastAsia="es-CO"/>
          <w14:ligatures w14:val="none"/>
        </w:rPr>
        <w:t xml:space="preserve">el de recibir una parte proporcional de los beneficios sociales establecidos por los balances de fin de ejercicio, con sujeción a lo dispuesto en la ley o en los estatutos; </w:t>
      </w:r>
      <w:r w:rsidRPr="0002517A">
        <w:rPr>
          <w:rFonts w:ascii="Arial" w:eastAsia="Calibri" w:hAnsi="Arial" w:cs="Arial"/>
          <w:i/>
          <w:iCs/>
          <w:kern w:val="0"/>
          <w:lang w:val="es-ES_tradnl" w:eastAsia="es-CO"/>
          <w14:ligatures w14:val="none"/>
        </w:rPr>
        <w:t>(iii)</w:t>
      </w:r>
      <w:r>
        <w:rPr>
          <w:rFonts w:ascii="Arial" w:eastAsia="Calibri" w:hAnsi="Arial" w:cs="Arial"/>
          <w:kern w:val="0"/>
          <w:lang w:val="es-ES_tradnl" w:eastAsia="es-CO"/>
          <w14:ligatures w14:val="none"/>
        </w:rPr>
        <w:t xml:space="preserve"> el de negociar libremente las acciones, a menos que se estipule el derecho de preferencia en favor de la sociedad o de los accionistas, o de ambos; </w:t>
      </w:r>
      <w:r w:rsidRPr="0002517A">
        <w:rPr>
          <w:rFonts w:ascii="Arial" w:eastAsia="Calibri" w:hAnsi="Arial" w:cs="Arial"/>
          <w:i/>
          <w:iCs/>
          <w:kern w:val="0"/>
          <w:lang w:val="es-ES_tradnl" w:eastAsia="es-CO"/>
          <w14:ligatures w14:val="none"/>
        </w:rPr>
        <w:t>(iv)</w:t>
      </w:r>
      <w:r>
        <w:rPr>
          <w:rFonts w:ascii="Arial" w:eastAsia="Calibri" w:hAnsi="Arial" w:cs="Arial"/>
          <w:kern w:val="0"/>
          <w:lang w:val="es-ES_tradnl" w:eastAsia="es-CO"/>
          <w14:ligatures w14:val="none"/>
        </w:rPr>
        <w:t xml:space="preserve"> el de inspeccionar, libremente, los libros y papeles sociales dentro de los quince días hábiles anteriores a las reuniones de la asamblea en que se examinen los balances de fin de ejercicio; y </w:t>
      </w:r>
      <w:r w:rsidRPr="0002517A">
        <w:rPr>
          <w:rFonts w:ascii="Arial" w:eastAsia="Calibri" w:hAnsi="Arial" w:cs="Arial"/>
          <w:i/>
          <w:iCs/>
          <w:kern w:val="0"/>
          <w:lang w:val="es-ES_tradnl" w:eastAsia="es-CO"/>
          <w14:ligatures w14:val="none"/>
        </w:rPr>
        <w:t>(v)</w:t>
      </w:r>
      <w:r>
        <w:rPr>
          <w:rFonts w:ascii="Arial" w:eastAsia="Calibri" w:hAnsi="Arial" w:cs="Arial"/>
          <w:kern w:val="0"/>
          <w:lang w:val="es-ES_tradnl" w:eastAsia="es-CO"/>
          <w14:ligatures w14:val="none"/>
        </w:rPr>
        <w:t xml:space="preserve"> el de recibir una parte proporcional de los activos sociales al tiempo de la liquidación y una vez pagado el pasivo externo de la sociedad.</w:t>
      </w:r>
    </w:p>
    <w:p w14:paraId="0EB3FA17" w14:textId="77B7C407" w:rsidR="006E42D4" w:rsidRDefault="006E42D4" w:rsidP="00495606">
      <w:pPr>
        <w:spacing w:after="120" w:line="276" w:lineRule="auto"/>
        <w:jc w:val="both"/>
        <w:rPr>
          <w:rFonts w:ascii="Arial" w:eastAsia="Calibri" w:hAnsi="Arial" w:cs="Arial"/>
          <w:kern w:val="0"/>
          <w:lang w:val="es-ES_tradnl" w:eastAsia="es-CO"/>
          <w14:ligatures w14:val="none"/>
        </w:rPr>
      </w:pPr>
      <w:r>
        <w:rPr>
          <w:rFonts w:ascii="Arial" w:eastAsia="Calibri" w:hAnsi="Arial" w:cs="Arial"/>
          <w:kern w:val="0"/>
          <w:lang w:val="es-ES_tradnl" w:eastAsia="es-CO"/>
          <w14:ligatures w14:val="none"/>
        </w:rPr>
        <w:tab/>
        <w:t xml:space="preserve">Respecto de esta cláusula, la Superintendencia de Sociedades ha advertido con claridad que “confiere al titular de la acción unos </w:t>
      </w:r>
      <w:r w:rsidRPr="006E42D4">
        <w:rPr>
          <w:rFonts w:ascii="Arial" w:eastAsia="Calibri" w:hAnsi="Arial" w:cs="Arial"/>
          <w:i/>
          <w:iCs/>
          <w:kern w:val="0"/>
          <w:u w:val="single"/>
          <w:lang w:val="es-ES_tradnl" w:eastAsia="es-CO"/>
          <w14:ligatures w14:val="none"/>
        </w:rPr>
        <w:t>derechos económicos</w:t>
      </w:r>
      <w:r>
        <w:rPr>
          <w:rFonts w:ascii="Arial" w:eastAsia="Calibri" w:hAnsi="Arial" w:cs="Arial"/>
          <w:kern w:val="0"/>
          <w:lang w:val="es-ES_tradnl" w:eastAsia="es-CO"/>
          <w14:ligatures w14:val="none"/>
        </w:rPr>
        <w:t xml:space="preserve">, tales como el de percibir proporcionalmente las utilidades que arroje el negocio de que se trate la empresa; el de recibir una parte proporcional de los activos sociales al tiempo de la liquidación y una vez pagado el pasivo externo de la sociedad y </w:t>
      </w:r>
      <w:r w:rsidRPr="006E42D4">
        <w:rPr>
          <w:rFonts w:ascii="Arial" w:eastAsia="Calibri" w:hAnsi="Arial" w:cs="Arial"/>
          <w:i/>
          <w:iCs/>
          <w:kern w:val="0"/>
          <w:u w:val="single"/>
          <w:lang w:val="es-ES_tradnl" w:eastAsia="es-CO"/>
          <w14:ligatures w14:val="none"/>
        </w:rPr>
        <w:t>derechos políticos</w:t>
      </w:r>
      <w:r>
        <w:rPr>
          <w:rFonts w:ascii="Arial" w:eastAsia="Calibri" w:hAnsi="Arial" w:cs="Arial"/>
          <w:kern w:val="0"/>
          <w:lang w:val="es-ES_tradnl" w:eastAsia="es-CO"/>
          <w14:ligatures w14:val="none"/>
        </w:rPr>
        <w:t xml:space="preserve">, dentro de los que se cuenta el derecho de votar las decisiones que le competen a ese máximo órgano social, así como el derecho de información que se concreta en el derecho de inspección de los libros y papeles sociales, que respecto de las sociedades anónimas puede ejercerse dentro de </w:t>
      </w:r>
      <w:r>
        <w:rPr>
          <w:rFonts w:ascii="Arial" w:eastAsia="Calibri" w:hAnsi="Arial" w:cs="Arial"/>
          <w:kern w:val="0"/>
          <w:lang w:val="es-ES_tradnl" w:eastAsia="es-CO"/>
          <w14:ligatures w14:val="none"/>
        </w:rPr>
        <w:lastRenderedPageBreak/>
        <w:t>los quince (15) días hábiles anteriores a las reuniones de la asamblea general en que se examinen los balances de fin de ejercicio”</w:t>
      </w:r>
      <w:r>
        <w:rPr>
          <w:rStyle w:val="Refdenotaalpie"/>
          <w:rFonts w:ascii="Arial" w:eastAsia="Calibri" w:hAnsi="Arial" w:cs="Arial"/>
          <w:kern w:val="0"/>
          <w:lang w:val="es-ES_tradnl" w:eastAsia="es-CO"/>
          <w14:ligatures w14:val="none"/>
        </w:rPr>
        <w:footnoteReference w:id="9"/>
      </w:r>
      <w:r>
        <w:rPr>
          <w:rFonts w:ascii="Arial" w:eastAsia="Calibri" w:hAnsi="Arial" w:cs="Arial"/>
          <w:kern w:val="0"/>
          <w:lang w:val="es-ES_tradnl" w:eastAsia="es-CO"/>
          <w14:ligatures w14:val="none"/>
        </w:rPr>
        <w:t>(Cursiva y subrayas no originales).</w:t>
      </w:r>
    </w:p>
    <w:p w14:paraId="76BF7378" w14:textId="1A83F181" w:rsidR="00856C0E" w:rsidRDefault="00856C0E" w:rsidP="00495606">
      <w:pPr>
        <w:spacing w:after="120" w:line="276" w:lineRule="auto"/>
        <w:jc w:val="both"/>
        <w:rPr>
          <w:rFonts w:ascii="Arial" w:eastAsia="Calibri" w:hAnsi="Arial" w:cs="Arial"/>
          <w:kern w:val="0"/>
          <w:lang w:val="es-ES_tradnl" w:eastAsia="es-CO"/>
          <w14:ligatures w14:val="none"/>
        </w:rPr>
      </w:pPr>
      <w:r>
        <w:rPr>
          <w:rFonts w:ascii="Arial" w:eastAsia="Calibri" w:hAnsi="Arial" w:cs="Arial"/>
          <w:kern w:val="0"/>
          <w:lang w:val="es-ES_tradnl" w:eastAsia="es-CO"/>
          <w14:ligatures w14:val="none"/>
        </w:rPr>
        <w:tab/>
      </w:r>
      <w:bookmarkStart w:id="44" w:name="_Hlk141855506"/>
      <w:r>
        <w:rPr>
          <w:rFonts w:ascii="Arial" w:eastAsia="Calibri" w:hAnsi="Arial" w:cs="Arial"/>
          <w:kern w:val="0"/>
          <w:lang w:val="es-ES_tradnl" w:eastAsia="es-CO"/>
          <w14:ligatures w14:val="none"/>
        </w:rPr>
        <w:t xml:space="preserve">Ahora bien, con independencia </w:t>
      </w:r>
      <w:r w:rsidR="00606A70">
        <w:rPr>
          <w:rFonts w:ascii="Arial" w:eastAsia="Calibri" w:hAnsi="Arial" w:cs="Arial"/>
          <w:kern w:val="0"/>
          <w:lang w:val="es-ES_tradnl" w:eastAsia="es-CO"/>
          <w14:ligatures w14:val="none"/>
        </w:rPr>
        <w:t>de las acciones privilegiadas o de goce o industria, es de mencionar que el artículo 384 del Código de Comercio define la suscripción de acciones como un contrato por virtud del cual una persona se obliga a pagar un aporte a la sociedad de acuerdo con el reglamento respectivo y a someterse a sus estatutos. Por correlato, la compañía se obliga a reconocerle la calidad de accionista y a entregarle el título correspondiente.</w:t>
      </w:r>
    </w:p>
    <w:p w14:paraId="0F88BD4F" w14:textId="42CACEDC" w:rsidR="00B84569" w:rsidRDefault="00B84569" w:rsidP="00495606">
      <w:pPr>
        <w:spacing w:after="120" w:line="276" w:lineRule="auto"/>
        <w:jc w:val="both"/>
        <w:rPr>
          <w:rFonts w:ascii="Arial" w:eastAsia="Calibri" w:hAnsi="Arial" w:cs="Arial"/>
          <w:kern w:val="0"/>
          <w:lang w:val="es-ES_tradnl" w:eastAsia="es-CO"/>
          <w14:ligatures w14:val="none"/>
        </w:rPr>
      </w:pPr>
      <w:r>
        <w:rPr>
          <w:rFonts w:ascii="Arial" w:eastAsia="Calibri" w:hAnsi="Arial" w:cs="Arial"/>
          <w:kern w:val="0"/>
          <w:lang w:val="es-ES_tradnl" w:eastAsia="es-CO"/>
          <w14:ligatures w14:val="none"/>
        </w:rPr>
        <w:tab/>
        <w:t>Cuando el respectivo reglamento prevea la cancelación por cuotas, al momento de la suscripción se cubrirá, por lo menos, la tercera parte del valor de cada acción suscrita. El plazo para el pago total de las cuotas pendientes no excederá de un año contado desde la fecha de la suscripción</w:t>
      </w:r>
      <w:r>
        <w:rPr>
          <w:rStyle w:val="Refdenotaalpie"/>
          <w:rFonts w:ascii="Arial" w:eastAsia="Calibri" w:hAnsi="Arial" w:cs="Arial"/>
          <w:kern w:val="0"/>
          <w:lang w:val="es-ES_tradnl" w:eastAsia="es-CO"/>
          <w14:ligatures w14:val="none"/>
        </w:rPr>
        <w:footnoteReference w:id="10"/>
      </w:r>
      <w:r>
        <w:rPr>
          <w:rFonts w:ascii="Arial" w:eastAsia="Calibri" w:hAnsi="Arial" w:cs="Arial"/>
          <w:kern w:val="0"/>
          <w:lang w:val="es-ES_tradnl" w:eastAsia="es-CO"/>
          <w14:ligatures w14:val="none"/>
        </w:rPr>
        <w:t>.</w:t>
      </w:r>
    </w:p>
    <w:bookmarkEnd w:id="44"/>
    <w:p w14:paraId="4313A296" w14:textId="6210D201" w:rsidR="00E77F1E" w:rsidRDefault="00E77F1E" w:rsidP="00495606">
      <w:pPr>
        <w:spacing w:after="120" w:line="276" w:lineRule="auto"/>
        <w:jc w:val="both"/>
        <w:rPr>
          <w:rFonts w:ascii="Arial" w:eastAsia="Calibri" w:hAnsi="Arial" w:cs="Arial"/>
          <w:kern w:val="0"/>
          <w:lang w:val="es-ES_tradnl" w:eastAsia="es-CO"/>
          <w14:ligatures w14:val="none"/>
        </w:rPr>
      </w:pPr>
      <w:r>
        <w:rPr>
          <w:rFonts w:ascii="Arial" w:eastAsia="Calibri" w:hAnsi="Arial" w:cs="Arial"/>
          <w:kern w:val="0"/>
          <w:lang w:val="es-ES_tradnl" w:eastAsia="es-CO"/>
          <w14:ligatures w14:val="none"/>
        </w:rPr>
        <w:tab/>
      </w:r>
      <w:r w:rsidR="00CC18E2">
        <w:rPr>
          <w:rFonts w:ascii="Arial" w:eastAsia="Calibri" w:hAnsi="Arial" w:cs="Arial"/>
          <w:kern w:val="0"/>
          <w:lang w:val="es-ES_tradnl" w:eastAsia="es-CO"/>
          <w14:ligatures w14:val="none"/>
        </w:rPr>
        <w:t xml:space="preserve">Sin embargo, en </w:t>
      </w:r>
      <w:r>
        <w:rPr>
          <w:rFonts w:ascii="Arial" w:eastAsia="Calibri" w:hAnsi="Arial" w:cs="Arial"/>
          <w:kern w:val="0"/>
          <w:lang w:val="es-ES_tradnl" w:eastAsia="es-CO"/>
          <w14:ligatures w14:val="none"/>
        </w:rPr>
        <w:t xml:space="preserve">el caso de las sociedades por acciones simplificadas, reguladas por la Ley 1258 de 2008, la suscripción y pago del capital varía respecto de las sociedades anónimas. En el artículo 9º de dicha preceptiva se establece expresamente que tanto lo uno como lo otro podrá hacerse en condiciones, proporciones y plazos distintos de los contemplados en el Código de Comercio, sin que en ningún caso el plazo para de las acciones exceda de dos (2) años, pudiéndose establecer en los respectivos estatutos porcentajes o montos mínimos o máximos del capital social que podrán ser controlados por uno o más accionistas, en forma directa o indirecta. Esto significa, en ultimas, que el pago del capital suscrito puede hacerse en el plazo de dos años, es decir, que bien puede no pagarse absolutamente nada durante tal término, sin que además se consagre una sanción específica </w:t>
      </w:r>
      <w:r w:rsidR="00CC18E2">
        <w:rPr>
          <w:rFonts w:ascii="Arial" w:eastAsia="Calibri" w:hAnsi="Arial" w:cs="Arial"/>
          <w:kern w:val="0"/>
          <w:lang w:val="es-ES_tradnl" w:eastAsia="es-CO"/>
          <w14:ligatures w14:val="none"/>
        </w:rPr>
        <w:t>a los accionistas que incumplan dicha obligación. En este contexto, es necesario recurrir a la remisión prevista en el artículo 45 de la normativa, según el cual “[en] lo no previsto en la presente ley, la sociedad por acciones simplificada se regirá por las disposiciones contenidas en los estatutos sociales, por las normas legales que rigen a la sociedad anónima y, en su defecto, en cuanto no resulten contradictorias, por las disposiciones generales que rigen a las sociedades previstas en el Código de Comercio”, sin perjuicio de reconocer la inspección, vigilancia y control que sobre tales sociedades ejerce la Superintendencia de Sociedades.</w:t>
      </w:r>
    </w:p>
    <w:p w14:paraId="2BB65643" w14:textId="15352B09" w:rsidR="00CC18E2" w:rsidRDefault="00CC18E2" w:rsidP="00495606">
      <w:pPr>
        <w:spacing w:after="120" w:line="276" w:lineRule="auto"/>
        <w:jc w:val="both"/>
        <w:rPr>
          <w:rFonts w:ascii="Arial" w:eastAsia="Calibri" w:hAnsi="Arial" w:cs="Arial"/>
          <w:kern w:val="0"/>
          <w:lang w:val="es-ES_tradnl" w:eastAsia="es-CO"/>
          <w14:ligatures w14:val="none"/>
        </w:rPr>
      </w:pPr>
      <w:r>
        <w:rPr>
          <w:rFonts w:ascii="Arial" w:eastAsia="Calibri" w:hAnsi="Arial" w:cs="Arial"/>
          <w:kern w:val="0"/>
          <w:lang w:val="es-ES_tradnl" w:eastAsia="es-CO"/>
          <w14:ligatures w14:val="none"/>
        </w:rPr>
        <w:lastRenderedPageBreak/>
        <w:t>De ahí que sea necesario aludir al artículo 397 sobre medidas contra accionistas morosos en el pago de cuotas de acciones suscritas, cuyo tenor literal es el siguiente:</w:t>
      </w:r>
    </w:p>
    <w:p w14:paraId="0B2D3EB5" w14:textId="77777777" w:rsidR="007533E2" w:rsidRDefault="007533E2" w:rsidP="00495606">
      <w:pPr>
        <w:spacing w:after="120" w:line="276" w:lineRule="auto"/>
        <w:jc w:val="both"/>
        <w:rPr>
          <w:rFonts w:ascii="Arial" w:eastAsia="Calibri" w:hAnsi="Arial" w:cs="Arial"/>
          <w:kern w:val="0"/>
          <w:lang w:val="es-ES_tradnl" w:eastAsia="es-CO"/>
          <w14:ligatures w14:val="none"/>
        </w:rPr>
      </w:pPr>
    </w:p>
    <w:p w14:paraId="3B48FFD1" w14:textId="5BCB478C" w:rsidR="00CC18E2" w:rsidRDefault="00CC18E2" w:rsidP="00CC18E2">
      <w:pPr>
        <w:spacing w:after="0" w:line="240" w:lineRule="auto"/>
        <w:ind w:left="709" w:right="709"/>
        <w:contextualSpacing/>
        <w:jc w:val="both"/>
        <w:rPr>
          <w:rFonts w:ascii="Arial" w:hAnsi="Arial" w:cs="Arial"/>
          <w:kern w:val="0"/>
          <w:sz w:val="21"/>
          <w:szCs w:val="21"/>
          <w14:ligatures w14:val="none"/>
        </w:rPr>
      </w:pPr>
      <w:r w:rsidRPr="009419CF">
        <w:rPr>
          <w:rFonts w:ascii="Arial" w:hAnsi="Arial" w:cs="Arial"/>
          <w:kern w:val="0"/>
          <w:sz w:val="21"/>
          <w:szCs w:val="21"/>
          <w14:ligatures w14:val="none"/>
        </w:rPr>
        <w:t>“</w:t>
      </w:r>
      <w:r>
        <w:rPr>
          <w:rFonts w:ascii="Arial" w:hAnsi="Arial" w:cs="Arial"/>
          <w:kern w:val="0"/>
          <w:sz w:val="21"/>
          <w:szCs w:val="21"/>
          <w14:ligatures w14:val="none"/>
        </w:rPr>
        <w:t>Cuando un accionista esté en mora de pagar las cuotas de las acciones que haya suscrito, no podrá ejercer los derechos inherentes a ellas. Para este efecto, la sociedad anotará los pagos efectuados y los saldos</w:t>
      </w:r>
      <w:r w:rsidR="001767E4">
        <w:rPr>
          <w:rFonts w:ascii="Arial" w:hAnsi="Arial" w:cs="Arial"/>
          <w:kern w:val="0"/>
          <w:sz w:val="21"/>
          <w:szCs w:val="21"/>
          <w14:ligatures w14:val="none"/>
        </w:rPr>
        <w:t xml:space="preserve"> pendientes.</w:t>
      </w:r>
    </w:p>
    <w:p w14:paraId="0AB2CB2B" w14:textId="77777777" w:rsidR="001767E4" w:rsidRDefault="001767E4" w:rsidP="00CC18E2">
      <w:pPr>
        <w:spacing w:after="0" w:line="240" w:lineRule="auto"/>
        <w:ind w:left="709" w:right="709"/>
        <w:contextualSpacing/>
        <w:jc w:val="both"/>
        <w:rPr>
          <w:rFonts w:ascii="Arial" w:hAnsi="Arial" w:cs="Arial"/>
          <w:kern w:val="0"/>
          <w:sz w:val="21"/>
          <w:szCs w:val="21"/>
          <w14:ligatures w14:val="none"/>
        </w:rPr>
      </w:pPr>
    </w:p>
    <w:p w14:paraId="23AF45A9" w14:textId="1A6D0D3F" w:rsidR="001767E4" w:rsidRDefault="001767E4" w:rsidP="00CC18E2">
      <w:pPr>
        <w:spacing w:after="0" w:line="240" w:lineRule="auto"/>
        <w:ind w:left="709" w:right="709"/>
        <w:contextualSpacing/>
        <w:jc w:val="both"/>
        <w:rPr>
          <w:rFonts w:ascii="Arial" w:hAnsi="Arial" w:cs="Arial"/>
          <w:kern w:val="0"/>
          <w:sz w:val="21"/>
          <w:szCs w:val="21"/>
          <w14:ligatures w14:val="none"/>
        </w:rPr>
      </w:pPr>
      <w:r>
        <w:rPr>
          <w:rFonts w:ascii="Arial" w:hAnsi="Arial" w:cs="Arial"/>
          <w:kern w:val="0"/>
          <w:sz w:val="21"/>
          <w:szCs w:val="21"/>
          <w14:ligatures w14:val="none"/>
        </w:rPr>
        <w:t>Si la sociedad tuviere obligaciones vencidas a cargo de los accionistas por concepto de cuotas de las acciones suscritas, acudirá a elección de la junta directiva, al cobro judicial, o a vender de cuenta y riesgo del moroso y por conducto de un comisionista, las acciones que hubiere suscrito, o a imputar las sumas recibidas a la liberación del número de acciones que correspondan a las cuotas pagadas, previa deducción de un veinte por ciento a título de indemnización de perjuicios, que se presumirán causados.</w:t>
      </w:r>
    </w:p>
    <w:p w14:paraId="3173C1EC" w14:textId="77777777" w:rsidR="001767E4" w:rsidRDefault="001767E4" w:rsidP="00CC18E2">
      <w:pPr>
        <w:spacing w:after="0" w:line="240" w:lineRule="auto"/>
        <w:ind w:left="709" w:right="709"/>
        <w:contextualSpacing/>
        <w:jc w:val="both"/>
        <w:rPr>
          <w:rFonts w:ascii="Arial" w:hAnsi="Arial" w:cs="Arial"/>
          <w:kern w:val="0"/>
          <w:sz w:val="21"/>
          <w:szCs w:val="21"/>
          <w14:ligatures w14:val="none"/>
        </w:rPr>
      </w:pPr>
    </w:p>
    <w:p w14:paraId="6B9AE3CC" w14:textId="78908856" w:rsidR="001767E4" w:rsidRDefault="001767E4" w:rsidP="00CC18E2">
      <w:pPr>
        <w:spacing w:after="0" w:line="240" w:lineRule="auto"/>
        <w:ind w:left="709" w:right="709"/>
        <w:contextualSpacing/>
        <w:jc w:val="both"/>
        <w:rPr>
          <w:rFonts w:ascii="Arial" w:hAnsi="Arial" w:cs="Arial"/>
          <w:kern w:val="0"/>
          <w:sz w:val="21"/>
          <w:szCs w:val="21"/>
          <w14:ligatures w14:val="none"/>
        </w:rPr>
      </w:pPr>
      <w:r>
        <w:rPr>
          <w:rFonts w:ascii="Arial" w:hAnsi="Arial" w:cs="Arial"/>
          <w:kern w:val="0"/>
          <w:sz w:val="21"/>
          <w:szCs w:val="21"/>
          <w14:ligatures w14:val="none"/>
        </w:rPr>
        <w:t>Las acciones que la sociedad retire al accionista moroso las colocará de inmediato”.</w:t>
      </w:r>
    </w:p>
    <w:p w14:paraId="116A85F0" w14:textId="77777777" w:rsidR="001767E4" w:rsidRDefault="001767E4" w:rsidP="001767E4">
      <w:pPr>
        <w:spacing w:after="120" w:line="276" w:lineRule="auto"/>
        <w:jc w:val="both"/>
        <w:rPr>
          <w:rFonts w:ascii="Arial" w:eastAsia="Calibri" w:hAnsi="Arial" w:cs="Arial"/>
          <w:kern w:val="0"/>
          <w:lang w:val="es-ES_tradnl" w:eastAsia="es-CO"/>
          <w14:ligatures w14:val="none"/>
        </w:rPr>
      </w:pPr>
    </w:p>
    <w:p w14:paraId="5A50E008" w14:textId="3B85BA14" w:rsidR="001767E4" w:rsidRPr="001767E4" w:rsidRDefault="001767E4" w:rsidP="001767E4">
      <w:pPr>
        <w:spacing w:after="120" w:line="276" w:lineRule="auto"/>
        <w:jc w:val="both"/>
        <w:rPr>
          <w:rFonts w:ascii="Arial" w:eastAsia="Calibri" w:hAnsi="Arial" w:cs="Arial"/>
          <w:kern w:val="0"/>
          <w:lang w:val="es-ES_tradnl" w:eastAsia="es-CO"/>
          <w14:ligatures w14:val="none"/>
        </w:rPr>
      </w:pPr>
      <w:r>
        <w:rPr>
          <w:rFonts w:ascii="Arial" w:eastAsia="Calibri" w:hAnsi="Arial" w:cs="Arial"/>
          <w:kern w:val="0"/>
          <w:lang w:val="es-ES_tradnl" w:eastAsia="es-CO"/>
          <w14:ligatures w14:val="none"/>
        </w:rPr>
        <w:tab/>
      </w:r>
      <w:bookmarkStart w:id="45" w:name="_Hlk141861117"/>
      <w:r>
        <w:rPr>
          <w:rFonts w:ascii="Arial" w:eastAsia="Calibri" w:hAnsi="Arial" w:cs="Arial"/>
          <w:kern w:val="0"/>
          <w:lang w:val="es-ES_tradnl" w:eastAsia="es-CO"/>
          <w14:ligatures w14:val="none"/>
        </w:rPr>
        <w:t xml:space="preserve">Como se puede apreciar, el artículo en cita refiere la situación en la que incurre un accionista que suscribe un paquete accionario, paga por lo general un porcentaje inicial y presenta un saldo pendiente. En caso de no pagar en el plazo indicado, el artículo en cita otorga al cuerpo colegiado de una sociedad anónima la posibilidad de emplear uno de los arbitrios que la ley </w:t>
      </w:r>
      <w:r w:rsidR="00684964">
        <w:rPr>
          <w:rFonts w:ascii="Arial" w:eastAsia="Calibri" w:hAnsi="Arial" w:cs="Arial"/>
          <w:kern w:val="0"/>
          <w:lang w:val="es-ES_tradnl" w:eastAsia="es-CO"/>
          <w14:ligatures w14:val="none"/>
        </w:rPr>
        <w:t>describe</w:t>
      </w:r>
      <w:r>
        <w:rPr>
          <w:rFonts w:ascii="Arial" w:eastAsia="Calibri" w:hAnsi="Arial" w:cs="Arial"/>
          <w:kern w:val="0"/>
          <w:lang w:val="es-ES_tradnl" w:eastAsia="es-CO"/>
          <w14:ligatures w14:val="none"/>
        </w:rPr>
        <w:t xml:space="preserve">: (i) acudir directamente al cobro judicial; </w:t>
      </w:r>
      <w:r w:rsidRPr="001767E4">
        <w:rPr>
          <w:rFonts w:ascii="Arial" w:eastAsia="Calibri" w:hAnsi="Arial" w:cs="Arial"/>
          <w:i/>
          <w:iCs/>
          <w:kern w:val="0"/>
          <w:lang w:val="es-ES_tradnl" w:eastAsia="es-CO"/>
          <w14:ligatures w14:val="none"/>
        </w:rPr>
        <w:t>(ii)</w:t>
      </w:r>
      <w:r>
        <w:rPr>
          <w:rFonts w:ascii="Arial" w:eastAsia="Calibri" w:hAnsi="Arial" w:cs="Arial"/>
          <w:i/>
          <w:iCs/>
          <w:kern w:val="0"/>
          <w:lang w:val="es-ES_tradnl" w:eastAsia="es-CO"/>
          <w14:ligatures w14:val="none"/>
        </w:rPr>
        <w:t xml:space="preserve"> </w:t>
      </w:r>
      <w:r>
        <w:rPr>
          <w:rFonts w:ascii="Arial" w:eastAsia="Calibri" w:hAnsi="Arial" w:cs="Arial"/>
          <w:kern w:val="0"/>
          <w:lang w:val="es-ES_tradnl" w:eastAsia="es-CO"/>
          <w14:ligatures w14:val="none"/>
        </w:rPr>
        <w:t>Vender de cuenta y riesgo del accionista moroso y por conducto de un comisionista, las acciones que hubiere suscrito inicialmente;</w:t>
      </w:r>
      <w:r w:rsidR="00684964">
        <w:rPr>
          <w:rFonts w:ascii="Arial" w:eastAsia="Calibri" w:hAnsi="Arial" w:cs="Arial"/>
          <w:kern w:val="0"/>
          <w:lang w:val="es-ES_tradnl" w:eastAsia="es-CO"/>
          <w14:ligatures w14:val="none"/>
        </w:rPr>
        <w:t xml:space="preserve"> o (iii) imputar las sumas recibidas a la liberación del número de acciones que correspondan a las cuotas pagadas, previa deducción de un 20% a título de indemnización de perjuicios, que se presumirán causados. Comoquiera que en el caso de las sociedades por acciones simplificadas</w:t>
      </w:r>
      <w:r w:rsidR="00D26B8A">
        <w:rPr>
          <w:rFonts w:ascii="Arial" w:eastAsia="Calibri" w:hAnsi="Arial" w:cs="Arial"/>
          <w:kern w:val="0"/>
          <w:lang w:val="es-ES_tradnl" w:eastAsia="es-CO"/>
          <w14:ligatures w14:val="none"/>
        </w:rPr>
        <w:t xml:space="preserve"> </w:t>
      </w:r>
      <w:r w:rsidR="00E50B4D">
        <w:rPr>
          <w:rFonts w:ascii="Arial" w:eastAsia="Calibri" w:hAnsi="Arial" w:cs="Arial"/>
          <w:kern w:val="0"/>
          <w:lang w:val="es-ES_tradnl" w:eastAsia="es-CO"/>
          <w14:ligatures w14:val="none"/>
        </w:rPr>
        <w:t xml:space="preserve">la </w:t>
      </w:r>
      <w:r w:rsidR="00D26B8A">
        <w:rPr>
          <w:rFonts w:ascii="Arial" w:eastAsia="Calibri" w:hAnsi="Arial" w:cs="Arial"/>
          <w:kern w:val="0"/>
          <w:lang w:val="es-ES_tradnl" w:eastAsia="es-CO"/>
          <w14:ligatures w14:val="none"/>
        </w:rPr>
        <w:t>junta directiva</w:t>
      </w:r>
      <w:r w:rsidR="00E50B4D">
        <w:rPr>
          <w:rFonts w:ascii="Arial" w:eastAsia="Calibri" w:hAnsi="Arial" w:cs="Arial"/>
          <w:kern w:val="0"/>
          <w:lang w:val="es-ES_tradnl" w:eastAsia="es-CO"/>
          <w14:ligatures w14:val="none"/>
        </w:rPr>
        <w:t xml:space="preserve"> no es un órgano de obligatoria existencia</w:t>
      </w:r>
      <w:r w:rsidR="00D26B8A">
        <w:rPr>
          <w:rStyle w:val="Refdenotaalpie"/>
          <w:rFonts w:ascii="Arial" w:eastAsia="Calibri" w:hAnsi="Arial" w:cs="Arial"/>
          <w:kern w:val="0"/>
          <w:lang w:val="es-ES_tradnl" w:eastAsia="es-CO"/>
          <w14:ligatures w14:val="none"/>
        </w:rPr>
        <w:footnoteReference w:id="11"/>
      </w:r>
      <w:r w:rsidR="00E50B4D">
        <w:rPr>
          <w:rFonts w:ascii="Arial" w:eastAsia="Calibri" w:hAnsi="Arial" w:cs="Arial"/>
          <w:kern w:val="0"/>
          <w:lang w:val="es-ES_tradnl" w:eastAsia="es-CO"/>
          <w14:ligatures w14:val="none"/>
        </w:rPr>
        <w:t>, las medidas por adoptar estarán a cargo del máximo órgano social previsto estatutariamente o por el representante legal designado por la asamblea</w:t>
      </w:r>
      <w:r w:rsidR="00E50B4D">
        <w:rPr>
          <w:rStyle w:val="Refdenotaalpie"/>
          <w:rFonts w:ascii="Arial" w:eastAsia="Calibri" w:hAnsi="Arial" w:cs="Arial"/>
          <w:kern w:val="0"/>
          <w:lang w:val="es-ES_tradnl" w:eastAsia="es-CO"/>
          <w14:ligatures w14:val="none"/>
        </w:rPr>
        <w:footnoteReference w:id="12"/>
      </w:r>
      <w:r w:rsidR="00E50B4D">
        <w:rPr>
          <w:rFonts w:ascii="Arial" w:eastAsia="Calibri" w:hAnsi="Arial" w:cs="Arial"/>
          <w:kern w:val="0"/>
          <w:lang w:val="es-ES_tradnl" w:eastAsia="es-CO"/>
          <w14:ligatures w14:val="none"/>
        </w:rPr>
        <w:t>.</w:t>
      </w:r>
      <w:bookmarkEnd w:id="45"/>
    </w:p>
    <w:p w14:paraId="14B8AF13" w14:textId="0AF55920" w:rsidR="00CA3445" w:rsidRDefault="001767E4" w:rsidP="001767E4">
      <w:pPr>
        <w:spacing w:after="120" w:line="276" w:lineRule="auto"/>
        <w:jc w:val="both"/>
        <w:rPr>
          <w:rFonts w:ascii="Arial" w:eastAsia="Calibri" w:hAnsi="Arial" w:cs="Arial"/>
          <w:kern w:val="0"/>
          <w:lang w:val="es-ES_tradnl" w:eastAsia="es-CO"/>
          <w14:ligatures w14:val="none"/>
        </w:rPr>
      </w:pPr>
      <w:r>
        <w:rPr>
          <w:rFonts w:ascii="Arial" w:eastAsia="Calibri" w:hAnsi="Arial" w:cs="Arial"/>
          <w:kern w:val="0"/>
          <w:lang w:val="es-ES_tradnl" w:eastAsia="es-CO"/>
          <w14:ligatures w14:val="none"/>
        </w:rPr>
        <w:tab/>
      </w:r>
      <w:r w:rsidR="00CA3445">
        <w:rPr>
          <w:rFonts w:ascii="Arial" w:eastAsia="Calibri" w:hAnsi="Arial" w:cs="Arial"/>
          <w:kern w:val="0"/>
          <w:lang w:val="es-ES_tradnl" w:eastAsia="es-CO"/>
          <w14:ligatures w14:val="none"/>
        </w:rPr>
        <w:t>En síntesis, el contrato de suscripción de acciones es un contrato consensual que se perfecciona a partir de la aceptación de la oferta contenida en el reglamento de suscripción de acciones, momento desde el cual surgen las obligaciones para los contratantes</w:t>
      </w:r>
      <w:r w:rsidR="00E17CCE">
        <w:rPr>
          <w:rFonts w:ascii="Arial" w:eastAsia="Calibri" w:hAnsi="Arial" w:cs="Arial"/>
          <w:kern w:val="0"/>
          <w:lang w:val="es-ES_tradnl" w:eastAsia="es-CO"/>
          <w14:ligatures w14:val="none"/>
        </w:rPr>
        <w:t xml:space="preserve">, entre las que se destacan, por un lado, el pago de aportes para quien suscribe </w:t>
      </w:r>
      <w:r w:rsidR="00E17CCE">
        <w:rPr>
          <w:rFonts w:ascii="Arial" w:eastAsia="Calibri" w:hAnsi="Arial" w:cs="Arial"/>
          <w:kern w:val="0"/>
          <w:lang w:val="es-ES_tradnl" w:eastAsia="es-CO"/>
          <w14:ligatures w14:val="none"/>
        </w:rPr>
        <w:lastRenderedPageBreak/>
        <w:t>la oferta y, por otro, el reconocimiento al suscriptor de la calidad de accionista, la entrega del título respectivo, la inscripción en el libro de accionistas y el ejercicio pleno de los derechos que confiere esa calidad -con las restricciones legales pertinentes- por parte de la sociedad de que se trate.</w:t>
      </w:r>
    </w:p>
    <w:p w14:paraId="2CE8A344" w14:textId="39007480" w:rsidR="00E17CCE" w:rsidRDefault="00E17CCE" w:rsidP="001767E4">
      <w:pPr>
        <w:spacing w:after="120" w:line="276" w:lineRule="auto"/>
        <w:jc w:val="both"/>
        <w:rPr>
          <w:rFonts w:ascii="Arial" w:eastAsia="Calibri" w:hAnsi="Arial" w:cs="Arial"/>
          <w:kern w:val="0"/>
          <w:lang w:val="es-ES_tradnl" w:eastAsia="es-CO"/>
          <w14:ligatures w14:val="none"/>
        </w:rPr>
      </w:pPr>
      <w:r>
        <w:rPr>
          <w:rFonts w:ascii="Arial" w:eastAsia="Calibri" w:hAnsi="Arial" w:cs="Arial"/>
          <w:kern w:val="0"/>
          <w:lang w:val="es-ES_tradnl" w:eastAsia="es-CO"/>
          <w14:ligatures w14:val="none"/>
        </w:rPr>
        <w:t>Por tal motivo, cuando quiera que el suscriptor se encuentre en mora de pagar acciones en los términos, condiciones y plazos establecidos en el respectivo reglamento de suscripción, no podrá ejercer los derechos políticos y económicos inherentes a ellas.</w:t>
      </w:r>
    </w:p>
    <w:bookmarkEnd w:id="42"/>
    <w:p w14:paraId="0AEAA23F" w14:textId="77777777" w:rsidR="00010DE6" w:rsidRPr="008E7F5C" w:rsidRDefault="00010DE6" w:rsidP="00010DE6">
      <w:pPr>
        <w:spacing w:before="120" w:after="0" w:line="276" w:lineRule="auto"/>
        <w:jc w:val="both"/>
        <w:rPr>
          <w:rFonts w:ascii="Arial" w:eastAsia="Times New Roman" w:hAnsi="Arial" w:cs="Arial"/>
          <w:b/>
          <w:bCs/>
          <w:kern w:val="0"/>
          <w:szCs w:val="24"/>
          <w:lang w:eastAsia="es-MX"/>
          <w14:ligatures w14:val="none"/>
        </w:rPr>
      </w:pPr>
      <w:r w:rsidRPr="008E7F5C">
        <w:rPr>
          <w:rFonts w:ascii="Arial" w:eastAsia="Times New Roman" w:hAnsi="Arial" w:cs="Arial"/>
          <w:b/>
          <w:bCs/>
          <w:kern w:val="0"/>
          <w:szCs w:val="24"/>
          <w:lang w:eastAsia="es-MX"/>
          <w14:ligatures w14:val="none"/>
        </w:rPr>
        <w:t>3.</w:t>
      </w:r>
      <w:r w:rsidRPr="008E7F5C">
        <w:rPr>
          <w:rFonts w:ascii="Arial" w:eastAsia="Times New Roman" w:hAnsi="Arial" w:cs="Arial"/>
          <w:b/>
          <w:bCs/>
          <w:kern w:val="0"/>
          <w:szCs w:val="24"/>
          <w:lang w:eastAsia="es-MX"/>
          <w14:ligatures w14:val="none"/>
        </w:rPr>
        <w:tab/>
        <w:t>Respuesta</w:t>
      </w:r>
    </w:p>
    <w:p w14:paraId="665EF931" w14:textId="77777777" w:rsidR="00010DE6" w:rsidRPr="008E7F5C" w:rsidRDefault="00010DE6" w:rsidP="00010DE6">
      <w:pPr>
        <w:spacing w:after="0" w:line="240" w:lineRule="auto"/>
        <w:ind w:right="714"/>
        <w:jc w:val="both"/>
        <w:rPr>
          <w:rFonts w:ascii="Arial" w:eastAsia="Times New Roman" w:hAnsi="Arial" w:cs="Arial"/>
          <w:i/>
          <w:iCs/>
          <w:kern w:val="0"/>
          <w:szCs w:val="24"/>
          <w:lang w:val="es-ES_tradnl" w:eastAsia="es-ES_tradnl"/>
          <w14:ligatures w14:val="none"/>
        </w:rPr>
      </w:pPr>
    </w:p>
    <w:p w14:paraId="0A3F022F" w14:textId="434F46B4" w:rsidR="00010DE6" w:rsidRPr="00010DE6" w:rsidRDefault="00010DE6" w:rsidP="00010DE6">
      <w:pPr>
        <w:spacing w:after="0" w:line="240" w:lineRule="auto"/>
        <w:ind w:left="709" w:right="714"/>
        <w:jc w:val="both"/>
        <w:rPr>
          <w:rFonts w:ascii="Arial" w:eastAsia="Calibri" w:hAnsi="Arial" w:cs="Arial"/>
          <w:iCs/>
          <w:kern w:val="0"/>
          <w:sz w:val="21"/>
          <w:szCs w:val="21"/>
          <w:lang w:val="es-ES_tradnl"/>
          <w14:ligatures w14:val="none"/>
        </w:rPr>
      </w:pPr>
      <w:r w:rsidRPr="00010DE6">
        <w:rPr>
          <w:rFonts w:ascii="Arial" w:eastAsia="Times New Roman" w:hAnsi="Arial" w:cs="Arial"/>
          <w:i/>
          <w:iCs/>
          <w:kern w:val="0"/>
          <w:lang w:val="es-ES_tradnl" w:eastAsia="es-ES_tradnl"/>
          <w14:ligatures w14:val="none"/>
        </w:rPr>
        <w:t>“</w:t>
      </w:r>
      <w:r w:rsidR="007533E2">
        <w:rPr>
          <w:rFonts w:ascii="Arial" w:eastAsia="Times New Roman" w:hAnsi="Arial" w:cs="Arial"/>
          <w:kern w:val="0"/>
          <w:szCs w:val="24"/>
          <w:lang w:val="es-ES_tradnl" w:eastAsia="es-ES_tradnl"/>
          <w14:ligatures w14:val="none"/>
        </w:rPr>
        <w:t xml:space="preserve">(…) </w:t>
      </w:r>
      <w:r w:rsidR="007533E2">
        <w:rPr>
          <w:rFonts w:ascii="Arial" w:eastAsia="Times New Roman" w:hAnsi="Arial" w:cs="Arial"/>
          <w:kern w:val="0"/>
          <w:szCs w:val="24"/>
          <w:lang w:val="es-ES_tradnl" w:eastAsia="es-ES_tradnl"/>
          <w14:ligatures w14:val="none"/>
        </w:rPr>
        <w:t>si una entidad puede realizar la asignación de puntaje adicional para los emprendimientos y empresas de mujeres cuando las accionistas se encuentran en mora del pago de cuotas de acciones, en virtud de la pérdida de derechos de conformidad con el artículo 397 del Código de Comercio”</w:t>
      </w:r>
    </w:p>
    <w:p w14:paraId="3DE29441" w14:textId="77777777" w:rsidR="00010DE6" w:rsidRDefault="00010DE6" w:rsidP="00010DE6">
      <w:pPr>
        <w:spacing w:after="0" w:line="276" w:lineRule="auto"/>
        <w:jc w:val="both"/>
        <w:rPr>
          <w:rFonts w:ascii="Arial" w:eastAsia="Times New Roman" w:hAnsi="Arial" w:cs="Arial"/>
          <w:kern w:val="0"/>
          <w:lang w:val="es-ES" w:eastAsia="es-CO"/>
          <w14:ligatures w14:val="none"/>
        </w:rPr>
      </w:pPr>
    </w:p>
    <w:p w14:paraId="7D71D317" w14:textId="5E33A8A9" w:rsidR="007533E2" w:rsidRDefault="00010DE6" w:rsidP="001D6A7F">
      <w:pPr>
        <w:spacing w:after="0" w:line="276" w:lineRule="auto"/>
        <w:ind w:firstLine="709"/>
        <w:jc w:val="both"/>
        <w:rPr>
          <w:rFonts w:ascii="Arial" w:eastAsia="Times New Roman" w:hAnsi="Arial" w:cs="Arial"/>
          <w:kern w:val="0"/>
          <w:lang w:eastAsia="es-CO"/>
          <w14:ligatures w14:val="none"/>
        </w:rPr>
      </w:pPr>
      <w:r w:rsidRPr="008E7F5C">
        <w:rPr>
          <w:rFonts w:ascii="Arial" w:eastAsia="Times New Roman" w:hAnsi="Arial" w:cs="Arial"/>
          <w:kern w:val="0"/>
          <w:lang w:val="es-ES" w:eastAsia="es-CO"/>
          <w14:ligatures w14:val="none"/>
        </w:rPr>
        <w:t xml:space="preserve">En ejercicio de las competencias establecidas en los artículos 3.5 y 11.8 del Decreto 4170 de 2011, la Agencia Nacional de Contratación Pública -Colombia Compra Eficiente- solo tiene competencia para responder solicitudes sobre la aplicación de normas de carácter general en materia de compras y contratación pública. En ese sentido, esta Agencia no tiene competencia para </w:t>
      </w:r>
      <w:r w:rsidRPr="008E7F5C">
        <w:rPr>
          <w:rFonts w:ascii="Arial" w:eastAsia="Times New Roman" w:hAnsi="Arial" w:cs="Arial"/>
          <w:kern w:val="0"/>
          <w:lang w:eastAsia="es-CO"/>
          <w14:ligatures w14:val="none"/>
        </w:rPr>
        <w:t xml:space="preserve">brindar asesorías, ni para pronunciarse sobre asuntos particulares, mucho menos para brindar directrices especiales en materia </w:t>
      </w:r>
      <w:r w:rsidR="007533E2">
        <w:rPr>
          <w:rFonts w:ascii="Arial" w:eastAsia="Times New Roman" w:hAnsi="Arial" w:cs="Arial"/>
          <w:kern w:val="0"/>
          <w:lang w:eastAsia="es-CO"/>
          <w14:ligatures w14:val="none"/>
        </w:rPr>
        <w:t>de aplicación de requisitos habilitantes diferenciales y puntajes adicionales en favor de los emprendimientos y empresas de mujeres.</w:t>
      </w:r>
    </w:p>
    <w:p w14:paraId="3105C8D2" w14:textId="77777777" w:rsidR="001767E4" w:rsidRDefault="001767E4" w:rsidP="001D6A7F">
      <w:pPr>
        <w:spacing w:after="0" w:line="276" w:lineRule="auto"/>
        <w:ind w:firstLine="709"/>
        <w:jc w:val="both"/>
        <w:rPr>
          <w:rFonts w:ascii="Arial" w:eastAsia="Times New Roman" w:hAnsi="Arial" w:cs="Arial"/>
          <w:kern w:val="0"/>
          <w:lang w:eastAsia="es-CO"/>
          <w14:ligatures w14:val="none"/>
        </w:rPr>
      </w:pPr>
    </w:p>
    <w:p w14:paraId="37E01985" w14:textId="64F51973" w:rsidR="007533E2" w:rsidRPr="007533E2" w:rsidRDefault="00010DE6" w:rsidP="007533E2">
      <w:pPr>
        <w:spacing w:after="0" w:line="276" w:lineRule="auto"/>
        <w:ind w:firstLine="709"/>
        <w:jc w:val="both"/>
        <w:rPr>
          <w:rFonts w:ascii="Arial" w:eastAsia="Arial" w:hAnsi="Arial" w:cs="Arial"/>
          <w:color w:val="000000"/>
          <w:kern w:val="0"/>
          <w:lang w:val="es-ES_tradnl"/>
          <w14:ligatures w14:val="none"/>
        </w:rPr>
      </w:pPr>
      <w:r w:rsidRPr="0037567A">
        <w:rPr>
          <w:rFonts w:ascii="Arial" w:eastAsia="Calibri" w:hAnsi="Arial" w:cs="Arial"/>
          <w:kern w:val="0"/>
          <w:lang w:val="es-MX"/>
          <w14:ligatures w14:val="none"/>
        </w:rPr>
        <w:t>Sin embargo, en línea con las precisiones normativas previamente realizadas, conviene</w:t>
      </w:r>
      <w:bookmarkStart w:id="46" w:name="_Hlk98489914"/>
      <w:r w:rsidRPr="0037567A">
        <w:rPr>
          <w:rFonts w:ascii="Arial" w:eastAsia="Calibri" w:hAnsi="Arial" w:cs="Arial"/>
          <w:kern w:val="0"/>
          <w:lang w:val="es-MX"/>
          <w14:ligatures w14:val="none"/>
        </w:rPr>
        <w:t xml:space="preserve"> </w:t>
      </w:r>
      <w:r w:rsidR="0037567A">
        <w:rPr>
          <w:rFonts w:ascii="Arial" w:eastAsia="Calibri" w:hAnsi="Arial" w:cs="Arial"/>
          <w:kern w:val="0"/>
          <w:lang w:val="es-MX"/>
          <w14:ligatures w14:val="none"/>
        </w:rPr>
        <w:t xml:space="preserve">señalar </w:t>
      </w:r>
      <w:r w:rsidR="001D6A7F" w:rsidRPr="0037567A">
        <w:rPr>
          <w:rFonts w:ascii="Arial" w:eastAsia="Calibri" w:hAnsi="Arial" w:cs="Arial"/>
          <w:kern w:val="0"/>
          <w:lang w:val="es-MX"/>
          <w14:ligatures w14:val="none"/>
        </w:rPr>
        <w:t>qu</w:t>
      </w:r>
      <w:r w:rsidR="007533E2" w:rsidRPr="0037567A">
        <w:rPr>
          <w:rFonts w:ascii="Arial" w:eastAsia="Calibri" w:hAnsi="Arial" w:cs="Arial"/>
          <w:kern w:val="0"/>
          <w:lang w:val="es-MX"/>
          <w14:ligatures w14:val="none"/>
        </w:rPr>
        <w:t>e</w:t>
      </w:r>
      <w:r w:rsidR="007533E2" w:rsidRPr="0037567A">
        <w:rPr>
          <w:rFonts w:ascii="Arial" w:eastAsia="Times New Roman" w:hAnsi="Arial" w:cs="Arial"/>
          <w:kern w:val="0"/>
          <w:lang w:val="es-MX" w:eastAsia="es-ES"/>
          <w14:ligatures w14:val="none"/>
        </w:rPr>
        <w:t xml:space="preserve"> </w:t>
      </w:r>
      <w:r w:rsidR="007533E2" w:rsidRPr="007533E2">
        <w:rPr>
          <w:rFonts w:ascii="Arial" w:eastAsia="Calibri" w:hAnsi="Arial" w:cs="Arial"/>
          <w:kern w:val="0"/>
          <w:lang w:val="es-ES_tradnl"/>
          <w14:ligatures w14:val="none"/>
        </w:rPr>
        <w:t xml:space="preserve">una sociedad podrá ser considerada como un emprendimiento o empresa de mujeres cuando más del cincuenta por ciento (50%) de sus acciones, partes de interés o cuotas de participación, pertenezcan a mujeres. </w:t>
      </w:r>
      <w:r w:rsidR="0037567A">
        <w:rPr>
          <w:rFonts w:ascii="Arial" w:eastAsia="Calibri" w:hAnsi="Arial" w:cs="Arial"/>
          <w:kern w:val="0"/>
          <w:lang w:val="es-ES_tradnl"/>
          <w14:ligatures w14:val="none"/>
        </w:rPr>
        <w:t>En este punto, e</w:t>
      </w:r>
      <w:r w:rsidR="007533E2" w:rsidRPr="007533E2">
        <w:rPr>
          <w:rFonts w:ascii="Arial" w:eastAsia="Calibri" w:hAnsi="Arial" w:cs="Arial"/>
          <w:kern w:val="0"/>
          <w:lang w:val="es-ES_tradnl"/>
          <w14:ligatures w14:val="none"/>
        </w:rPr>
        <w:t>l supuesto de hecho de la norma</w:t>
      </w:r>
      <w:r w:rsidR="0037567A">
        <w:rPr>
          <w:rFonts w:ascii="Arial" w:eastAsia="Calibri" w:hAnsi="Arial" w:cs="Arial"/>
          <w:kern w:val="0"/>
          <w:lang w:val="es-ES_tradnl"/>
          <w14:ligatures w14:val="none"/>
        </w:rPr>
        <w:t xml:space="preserve"> también </w:t>
      </w:r>
      <w:r w:rsidR="007533E2" w:rsidRPr="007533E2">
        <w:rPr>
          <w:rFonts w:ascii="Arial" w:eastAsia="Calibri" w:hAnsi="Arial" w:cs="Arial"/>
          <w:kern w:val="0"/>
          <w:lang w:val="es-ES_tradnl"/>
          <w14:ligatures w14:val="none"/>
        </w:rPr>
        <w:t>exige que la titularidad de tal participación haya pertenecido a mujeres, por lo menos, durante el año anterior a la fecha de cierre del proceso de selección.</w:t>
      </w:r>
    </w:p>
    <w:p w14:paraId="2B3FDF54" w14:textId="77777777" w:rsidR="007533E2" w:rsidRPr="007533E2" w:rsidRDefault="007533E2" w:rsidP="007533E2">
      <w:pPr>
        <w:spacing w:after="0" w:line="276" w:lineRule="auto"/>
        <w:ind w:firstLine="567"/>
        <w:jc w:val="both"/>
        <w:rPr>
          <w:rFonts w:ascii="Arial" w:eastAsia="Calibri" w:hAnsi="Arial" w:cs="Arial"/>
          <w:kern w:val="0"/>
          <w:lang w:val="es-ES_tradnl"/>
          <w14:ligatures w14:val="none"/>
        </w:rPr>
      </w:pPr>
    </w:p>
    <w:p w14:paraId="1AD0E344" w14:textId="374D753C" w:rsidR="007533E2" w:rsidRPr="007533E2" w:rsidRDefault="007533E2" w:rsidP="007533E2">
      <w:pPr>
        <w:spacing w:after="0" w:line="276" w:lineRule="auto"/>
        <w:ind w:firstLine="567"/>
        <w:jc w:val="both"/>
        <w:rPr>
          <w:rFonts w:ascii="Arial" w:eastAsia="Calibri" w:hAnsi="Arial" w:cs="Arial"/>
          <w:kern w:val="0"/>
          <w14:ligatures w14:val="none"/>
        </w:rPr>
      </w:pPr>
      <w:r w:rsidRPr="007533E2">
        <w:rPr>
          <w:rFonts w:ascii="Arial" w:eastAsia="Calibri" w:hAnsi="Arial" w:cs="Arial"/>
          <w:kern w:val="0"/>
          <w:lang w:val="es-ES_tradnl"/>
          <w14:ligatures w14:val="none"/>
        </w:rPr>
        <w:t>Ello significa que no basta con que la participación en una sociedad sea mayoritariamente de mujeres para que sea considerada como un emprendimiento o empresa a la que se refiere la norma, sino que además es necesario que dicha participación mayoritaria se haya mantenido como mínimo durante el periodo de un (1) año, contado a partir de la fecha de cierre del proceso de selección.</w:t>
      </w:r>
      <w:r w:rsidR="0037567A">
        <w:rPr>
          <w:rFonts w:ascii="Arial" w:eastAsia="Calibri" w:hAnsi="Arial" w:cs="Arial"/>
          <w:kern w:val="0"/>
          <w:lang w:val="es-ES_tradnl"/>
          <w14:ligatures w14:val="none"/>
        </w:rPr>
        <w:t xml:space="preserve"> Asimismo</w:t>
      </w:r>
      <w:r w:rsidRPr="007533E2">
        <w:rPr>
          <w:rFonts w:ascii="Arial" w:eastAsia="Calibri" w:hAnsi="Arial" w:cs="Arial"/>
          <w:kern w:val="0"/>
          <w:lang w:val="es-ES_tradnl"/>
          <w14:ligatures w14:val="none"/>
        </w:rPr>
        <w:t xml:space="preserve">, </w:t>
      </w:r>
      <w:r w:rsidR="0037567A">
        <w:rPr>
          <w:rFonts w:ascii="Arial" w:eastAsia="Calibri" w:hAnsi="Arial" w:cs="Arial"/>
          <w:kern w:val="0"/>
          <w:lang w:val="es-ES_tradnl"/>
          <w14:ligatures w14:val="none"/>
        </w:rPr>
        <w:t xml:space="preserve">no sobra indicar </w:t>
      </w:r>
      <w:r w:rsidRPr="007533E2">
        <w:rPr>
          <w:rFonts w:ascii="Arial" w:eastAsia="Calibri" w:hAnsi="Arial" w:cs="Arial"/>
          <w:kern w:val="0"/>
          <w:lang w:val="es-ES_tradnl"/>
          <w14:ligatures w14:val="none"/>
        </w:rPr>
        <w:t xml:space="preserve">que la participación mayoritaria de mujeres </w:t>
      </w:r>
      <w:r w:rsidRPr="007533E2">
        <w:rPr>
          <w:rFonts w:ascii="Arial" w:hAnsi="Arial" w:cs="Arial"/>
          <w:kern w:val="0"/>
          <w14:ligatures w14:val="none"/>
        </w:rPr>
        <w:t xml:space="preserve">puede ser ejercida por diferentes personas durante el último año, siempre que durante dicho periodo la participación </w:t>
      </w:r>
      <w:r w:rsidRPr="007533E2">
        <w:rPr>
          <w:rFonts w:ascii="Arial" w:hAnsi="Arial" w:cs="Arial"/>
          <w:i/>
          <w:iCs/>
          <w:kern w:val="0"/>
          <w14:ligatures w14:val="none"/>
        </w:rPr>
        <w:t>mayoritaria</w:t>
      </w:r>
      <w:r w:rsidRPr="007533E2">
        <w:rPr>
          <w:rFonts w:ascii="Arial" w:hAnsi="Arial" w:cs="Arial"/>
          <w:kern w:val="0"/>
          <w14:ligatures w14:val="none"/>
        </w:rPr>
        <w:t xml:space="preserve"> de mujeres se haya mantenido, aunque se trate de mujeres distintas.</w:t>
      </w:r>
    </w:p>
    <w:p w14:paraId="5AAB5A0E" w14:textId="77777777" w:rsidR="007533E2" w:rsidRPr="007533E2" w:rsidRDefault="007533E2" w:rsidP="007533E2">
      <w:pPr>
        <w:spacing w:after="0" w:line="276" w:lineRule="auto"/>
        <w:ind w:firstLine="567"/>
        <w:jc w:val="both"/>
        <w:rPr>
          <w:rFonts w:ascii="Arial" w:eastAsia="Calibri" w:hAnsi="Arial" w:cs="Arial"/>
          <w:kern w:val="0"/>
          <w14:ligatures w14:val="none"/>
        </w:rPr>
      </w:pPr>
    </w:p>
    <w:p w14:paraId="7AAAA752" w14:textId="77777777" w:rsidR="007533E2" w:rsidRPr="007533E2" w:rsidRDefault="007533E2" w:rsidP="007533E2">
      <w:pPr>
        <w:spacing w:after="0" w:line="276" w:lineRule="auto"/>
        <w:ind w:firstLine="567"/>
        <w:jc w:val="both"/>
        <w:rPr>
          <w:rFonts w:ascii="Arial" w:hAnsi="Arial" w:cs="Arial"/>
          <w:kern w:val="0"/>
          <w14:ligatures w14:val="none"/>
        </w:rPr>
      </w:pPr>
      <w:r w:rsidRPr="007533E2">
        <w:rPr>
          <w:rFonts w:ascii="Arial" w:eastAsia="Calibri" w:hAnsi="Arial" w:cs="Arial"/>
          <w:kern w:val="0"/>
          <w14:ligatures w14:val="none"/>
        </w:rPr>
        <w:t>Ahora, c</w:t>
      </w:r>
      <w:r w:rsidRPr="007533E2">
        <w:rPr>
          <w:rFonts w:ascii="Arial" w:hAnsi="Arial" w:cs="Arial"/>
          <w:kern w:val="0"/>
          <w14:ligatures w14:val="none"/>
        </w:rPr>
        <w:t xml:space="preserve">omo medio para la acreditación de este criterio, señala la norma referida que: </w:t>
      </w:r>
      <w:r w:rsidRPr="007533E2">
        <w:rPr>
          <w:rFonts w:ascii="Arial" w:eastAsia="Times New Roman" w:hAnsi="Arial" w:cs="Arial"/>
          <w:i/>
          <w:kern w:val="0"/>
          <w:lang w:val="es-ES_tradnl" w:eastAsia="es-ES"/>
          <w14:ligatures w14:val="none"/>
        </w:rPr>
        <w:t>“</w:t>
      </w:r>
      <w:r w:rsidRPr="007533E2">
        <w:rPr>
          <w:rFonts w:ascii="Arial" w:hAnsi="Arial" w:cs="Arial"/>
          <w:i/>
          <w:kern w:val="0"/>
          <w14:ligatures w14:val="none"/>
        </w:rPr>
        <w:t>Esta circunstancia se acreditará mediante certificación expedida por el representante legal y el revisor fiscal, cuando exista de acuerdo con los requerimientos de ley, o el contador, donde conste la distribución de los derechos en la sociedad y el tiempo en el que las mujeres han mantenido su participación</w:t>
      </w:r>
      <w:r w:rsidRPr="007533E2">
        <w:rPr>
          <w:rFonts w:ascii="Arial" w:eastAsia="Times New Roman" w:hAnsi="Arial" w:cs="Arial"/>
          <w:i/>
          <w:kern w:val="0"/>
          <w:lang w:val="es-ES_tradnl" w:eastAsia="es-ES"/>
          <w14:ligatures w14:val="none"/>
        </w:rPr>
        <w:t>”</w:t>
      </w:r>
      <w:r w:rsidRPr="007533E2">
        <w:rPr>
          <w:rFonts w:ascii="Arial" w:hAnsi="Arial" w:cs="Arial"/>
          <w:kern w:val="0"/>
          <w14:ligatures w14:val="none"/>
        </w:rPr>
        <w:t>.</w:t>
      </w:r>
    </w:p>
    <w:p w14:paraId="7FE1E5A1" w14:textId="77777777" w:rsidR="007533E2" w:rsidRPr="007533E2" w:rsidRDefault="007533E2" w:rsidP="007533E2">
      <w:pPr>
        <w:spacing w:after="0" w:line="276" w:lineRule="auto"/>
        <w:ind w:firstLine="567"/>
        <w:jc w:val="both"/>
        <w:rPr>
          <w:rFonts w:ascii="Arial" w:hAnsi="Arial" w:cs="Arial"/>
          <w:kern w:val="0"/>
          <w14:ligatures w14:val="none"/>
        </w:rPr>
      </w:pPr>
    </w:p>
    <w:p w14:paraId="1833409C" w14:textId="603018A3" w:rsidR="007533E2" w:rsidRPr="007533E2" w:rsidRDefault="0037567A" w:rsidP="007533E2">
      <w:pPr>
        <w:spacing w:after="0" w:line="276" w:lineRule="auto"/>
        <w:ind w:firstLine="567"/>
        <w:jc w:val="both"/>
        <w:rPr>
          <w:rFonts w:ascii="Arial" w:eastAsia="Calibri" w:hAnsi="Arial" w:cs="Arial"/>
          <w:kern w:val="0"/>
          <w:lang w:val="es-ES" w:eastAsia="es-ES_tradnl"/>
          <w14:ligatures w14:val="none"/>
        </w:rPr>
      </w:pPr>
      <w:r>
        <w:rPr>
          <w:rFonts w:ascii="Arial" w:eastAsia="Calibri" w:hAnsi="Arial" w:cs="Arial"/>
          <w:kern w:val="0"/>
          <w:lang w:val="es-ES" w:eastAsia="es-ES_tradnl"/>
          <w14:ligatures w14:val="none"/>
        </w:rPr>
        <w:t>Adicionalmente</w:t>
      </w:r>
      <w:r w:rsidRPr="0037567A">
        <w:rPr>
          <w:rFonts w:ascii="Arial" w:eastAsia="Calibri" w:hAnsi="Arial" w:cs="Arial"/>
          <w:kern w:val="0"/>
          <w:lang w:val="es-ES" w:eastAsia="es-ES_tradnl"/>
          <w14:ligatures w14:val="none"/>
        </w:rPr>
        <w:t>, o</w:t>
      </w:r>
      <w:r w:rsidR="007533E2" w:rsidRPr="007533E2">
        <w:rPr>
          <w:rFonts w:ascii="Arial" w:eastAsia="Calibri" w:hAnsi="Arial" w:cs="Arial"/>
          <w:kern w:val="0"/>
          <w:lang w:val="es-ES" w:eastAsia="es-ES_tradnl"/>
          <w14:ligatures w14:val="none"/>
        </w:rPr>
        <w:t xml:space="preserve">tra alternativa tratándose de personas jurídicas para ser consideradas empresas y emprendimientos de mujeres y, consecuencialmente, ser destinatarias de los criterios diferenciales de que trata el artículo 32 de la Ley de Emprendimiento es la siguiente: </w:t>
      </w:r>
      <w:r w:rsidR="007533E2" w:rsidRPr="007533E2">
        <w:rPr>
          <w:rFonts w:ascii="Arial" w:eastAsia="Calibri" w:hAnsi="Arial" w:cs="Arial"/>
          <w:i/>
          <w:iCs/>
          <w:kern w:val="0"/>
          <w:lang w:val="es-ES" w:eastAsia="es-ES_tradnl"/>
          <w14:ligatures w14:val="none"/>
        </w:rPr>
        <w:t>(i)</w:t>
      </w:r>
      <w:r w:rsidR="007533E2" w:rsidRPr="007533E2">
        <w:rPr>
          <w:rFonts w:ascii="Arial" w:eastAsia="Calibri" w:hAnsi="Arial" w:cs="Arial"/>
          <w:kern w:val="0"/>
          <w:lang w:val="es-ES" w:eastAsia="es-ES_tradnl"/>
          <w14:ligatures w14:val="none"/>
        </w:rPr>
        <w:t xml:space="preserve"> cuando más del cincuenta por ciento (50%) de los empleos del nivel directivo sean ejercidos por mujeres, </w:t>
      </w:r>
      <w:r w:rsidR="007533E2" w:rsidRPr="007533E2">
        <w:rPr>
          <w:rFonts w:ascii="Arial" w:eastAsia="Calibri" w:hAnsi="Arial" w:cs="Arial"/>
          <w:i/>
          <w:iCs/>
          <w:kern w:val="0"/>
          <w:lang w:val="es-ES" w:eastAsia="es-ES_tradnl"/>
          <w14:ligatures w14:val="none"/>
        </w:rPr>
        <w:t>(</w:t>
      </w:r>
      <w:proofErr w:type="spellStart"/>
      <w:r w:rsidR="007533E2" w:rsidRPr="007533E2">
        <w:rPr>
          <w:rFonts w:ascii="Arial" w:eastAsia="Calibri" w:hAnsi="Arial" w:cs="Arial"/>
          <w:i/>
          <w:iCs/>
          <w:kern w:val="0"/>
          <w:lang w:val="es-ES" w:eastAsia="es-ES_tradnl"/>
          <w14:ligatures w14:val="none"/>
        </w:rPr>
        <w:t>ii</w:t>
      </w:r>
      <w:proofErr w:type="spellEnd"/>
      <w:r w:rsidR="007533E2" w:rsidRPr="007533E2">
        <w:rPr>
          <w:rFonts w:ascii="Arial" w:eastAsia="Calibri" w:hAnsi="Arial" w:cs="Arial"/>
          <w:i/>
          <w:iCs/>
          <w:kern w:val="0"/>
          <w:lang w:val="es-ES" w:eastAsia="es-ES_tradnl"/>
          <w14:ligatures w14:val="none"/>
        </w:rPr>
        <w:t>)</w:t>
      </w:r>
      <w:r w:rsidR="007533E2" w:rsidRPr="007533E2">
        <w:rPr>
          <w:rFonts w:ascii="Arial" w:eastAsia="Calibri" w:hAnsi="Arial" w:cs="Arial"/>
          <w:kern w:val="0"/>
          <w:lang w:val="es-ES" w:eastAsia="es-ES_tradnl"/>
          <w14:ligatures w14:val="none"/>
        </w:rPr>
        <w:t xml:space="preserve"> estas hayan estado vinculadas laboralmente en dichos cargos y </w:t>
      </w:r>
      <w:r w:rsidR="007533E2" w:rsidRPr="007533E2">
        <w:rPr>
          <w:rFonts w:ascii="Arial" w:eastAsia="Calibri" w:hAnsi="Arial" w:cs="Arial"/>
          <w:i/>
          <w:iCs/>
          <w:kern w:val="0"/>
          <w:lang w:val="es-ES" w:eastAsia="es-ES_tradnl"/>
          <w14:ligatures w14:val="none"/>
        </w:rPr>
        <w:t>(</w:t>
      </w:r>
      <w:proofErr w:type="spellStart"/>
      <w:r w:rsidR="007533E2" w:rsidRPr="007533E2">
        <w:rPr>
          <w:rFonts w:ascii="Arial" w:eastAsia="Calibri" w:hAnsi="Arial" w:cs="Arial"/>
          <w:i/>
          <w:iCs/>
          <w:kern w:val="0"/>
          <w:lang w:val="es-ES" w:eastAsia="es-ES_tradnl"/>
          <w14:ligatures w14:val="none"/>
        </w:rPr>
        <w:t>iii</w:t>
      </w:r>
      <w:proofErr w:type="spellEnd"/>
      <w:r w:rsidR="007533E2" w:rsidRPr="007533E2">
        <w:rPr>
          <w:rFonts w:ascii="Arial" w:eastAsia="Calibri" w:hAnsi="Arial" w:cs="Arial"/>
          <w:i/>
          <w:iCs/>
          <w:kern w:val="0"/>
          <w:lang w:val="es-ES" w:eastAsia="es-ES_tradnl"/>
          <w14:ligatures w14:val="none"/>
        </w:rPr>
        <w:t>)</w:t>
      </w:r>
      <w:r w:rsidR="007533E2" w:rsidRPr="007533E2">
        <w:rPr>
          <w:rFonts w:ascii="Arial" w:eastAsia="Calibri" w:hAnsi="Arial" w:cs="Arial"/>
          <w:kern w:val="0"/>
          <w:lang w:val="es-ES" w:eastAsia="es-ES_tradnl"/>
          <w14:ligatures w14:val="none"/>
        </w:rPr>
        <w:t xml:space="preserve"> que esta vinculación haya permanecido, al menos, el año inmediato anterior a la fecha del cierre del proceso de selección.</w:t>
      </w:r>
    </w:p>
    <w:p w14:paraId="0142628A" w14:textId="77777777" w:rsidR="007533E2" w:rsidRPr="0037567A" w:rsidRDefault="007533E2" w:rsidP="007533E2">
      <w:pPr>
        <w:spacing w:after="0" w:line="276" w:lineRule="auto"/>
        <w:ind w:firstLine="567"/>
        <w:jc w:val="both"/>
        <w:rPr>
          <w:rFonts w:ascii="Arial" w:eastAsia="Calibri" w:hAnsi="Arial" w:cs="Arial"/>
          <w:kern w:val="0"/>
          <w:lang w:val="es-ES" w:eastAsia="es-ES_tradnl"/>
          <w14:ligatures w14:val="none"/>
        </w:rPr>
      </w:pPr>
    </w:p>
    <w:p w14:paraId="1B52F03B" w14:textId="1E0CFCF9" w:rsidR="0037567A" w:rsidRPr="0037567A" w:rsidRDefault="0037567A" w:rsidP="0037567A">
      <w:pPr>
        <w:spacing w:after="0" w:line="276" w:lineRule="auto"/>
        <w:ind w:firstLine="567"/>
        <w:jc w:val="both"/>
        <w:rPr>
          <w:rFonts w:ascii="Arial" w:eastAsia="Calibri" w:hAnsi="Arial" w:cs="Arial"/>
          <w:kern w:val="0"/>
          <w:lang w:val="es-ES_tradnl" w:eastAsia="es-ES_tradnl"/>
          <w14:ligatures w14:val="none"/>
        </w:rPr>
      </w:pPr>
      <w:r w:rsidRPr="0037567A">
        <w:rPr>
          <w:rFonts w:ascii="Arial" w:eastAsia="Calibri" w:hAnsi="Arial" w:cs="Arial"/>
          <w:kern w:val="0"/>
          <w:lang w:val="es-ES_tradnl" w:eastAsia="es-ES_tradnl"/>
          <w14:ligatures w14:val="none"/>
        </w:rPr>
        <w:t xml:space="preserve">Como medio para la acreditación de la condición en comento, </w:t>
      </w:r>
      <w:r>
        <w:rPr>
          <w:rFonts w:ascii="Arial" w:eastAsia="Calibri" w:hAnsi="Arial" w:cs="Arial"/>
          <w:kern w:val="0"/>
          <w:lang w:val="es-ES_tradnl" w:eastAsia="es-ES_tradnl"/>
          <w14:ligatures w14:val="none"/>
        </w:rPr>
        <w:t xml:space="preserve">se exige </w:t>
      </w:r>
      <w:r w:rsidRPr="0037567A">
        <w:rPr>
          <w:rFonts w:ascii="Arial" w:eastAsia="Calibri" w:hAnsi="Arial" w:cs="Arial"/>
          <w:kern w:val="0"/>
          <w:lang w:val="es-ES_tradnl" w:eastAsia="es-ES_tradnl"/>
          <w14:ligatures w14:val="none"/>
        </w:rPr>
        <w:t xml:space="preserve">una certificación expedida por el representante legal y el revisor fiscal en la que consten todas las personas que conforman los cargos de nivel directivo del proponente, el número de mujeres y el tiempo de vinculación. Dicho documento además debe relacionar los nombres completos de las personas que integran el nivel directivo y los números de documentos de identidad de cada uno de ellos. </w:t>
      </w:r>
      <w:r>
        <w:rPr>
          <w:rFonts w:ascii="Arial" w:eastAsia="Calibri" w:hAnsi="Arial" w:cs="Arial"/>
          <w:kern w:val="0"/>
          <w:lang w:val="es-ES_tradnl" w:eastAsia="es-ES_tradnl"/>
          <w14:ligatures w14:val="none"/>
        </w:rPr>
        <w:t xml:space="preserve">Esta </w:t>
      </w:r>
      <w:r w:rsidRPr="0037567A">
        <w:rPr>
          <w:rFonts w:ascii="Arial" w:eastAsia="Calibri" w:hAnsi="Arial" w:cs="Arial"/>
          <w:kern w:val="0"/>
          <w:lang w:val="es-ES_tradnl" w:eastAsia="es-ES_tradnl"/>
          <w14:ligatures w14:val="none"/>
        </w:rPr>
        <w:t>certificación debe presentarse acompañada de copia de los respectivos documentos de identidad, copia de los contratos de trabajo o certificación laboral con funciones, así como el certificado de aportes a seguridad social del último año en el que se demuestren los pagos realizados por el empleador.</w:t>
      </w:r>
    </w:p>
    <w:p w14:paraId="0E32A7AD" w14:textId="77777777" w:rsidR="0037567A" w:rsidRPr="00654F2F" w:rsidRDefault="0037567A" w:rsidP="007533E2">
      <w:pPr>
        <w:spacing w:after="0" w:line="276" w:lineRule="auto"/>
        <w:ind w:firstLine="567"/>
        <w:jc w:val="both"/>
        <w:rPr>
          <w:rFonts w:ascii="Arial" w:eastAsia="Calibri" w:hAnsi="Arial" w:cs="Arial"/>
          <w:kern w:val="0"/>
          <w:lang w:val="es-ES_tradnl" w:eastAsia="es-ES_tradnl"/>
          <w14:ligatures w14:val="none"/>
        </w:rPr>
      </w:pPr>
    </w:p>
    <w:p w14:paraId="659ED815" w14:textId="55CBB75B" w:rsidR="0037567A" w:rsidRPr="00654F2F" w:rsidRDefault="0037567A" w:rsidP="0037567A">
      <w:pPr>
        <w:spacing w:after="0" w:line="276" w:lineRule="auto"/>
        <w:ind w:firstLine="567"/>
        <w:jc w:val="both"/>
        <w:rPr>
          <w:rFonts w:ascii="Arial" w:eastAsia="Calibri" w:hAnsi="Arial" w:cs="Arial"/>
          <w:kern w:val="0"/>
          <w:lang w:val="es-ES_tradnl" w:eastAsia="es-ES_tradnl"/>
          <w14:ligatures w14:val="none"/>
        </w:rPr>
      </w:pPr>
      <w:r w:rsidRPr="0037567A">
        <w:rPr>
          <w:rFonts w:ascii="Arial" w:eastAsia="Calibri" w:hAnsi="Arial" w:cs="Arial"/>
          <w:kern w:val="0"/>
          <w:lang w:val="es-ES_tradnl" w:eastAsia="es-ES_tradnl"/>
          <w14:ligatures w14:val="none"/>
        </w:rPr>
        <w:t>En con</w:t>
      </w:r>
      <w:r w:rsidR="00F22A95" w:rsidRPr="00654F2F">
        <w:rPr>
          <w:rFonts w:ascii="Arial" w:eastAsia="Calibri" w:hAnsi="Arial" w:cs="Arial"/>
          <w:kern w:val="0"/>
          <w:lang w:val="es-ES_tradnl" w:eastAsia="es-ES_tradnl"/>
          <w14:ligatures w14:val="none"/>
        </w:rPr>
        <w:t>clusión</w:t>
      </w:r>
      <w:r w:rsidRPr="0037567A">
        <w:rPr>
          <w:rFonts w:ascii="Arial" w:eastAsia="Calibri" w:hAnsi="Arial" w:cs="Arial"/>
          <w:kern w:val="0"/>
          <w:lang w:val="es-ES_tradnl" w:eastAsia="es-ES_tradnl"/>
          <w14:ligatures w14:val="none"/>
        </w:rPr>
        <w:t xml:space="preserve">, </w:t>
      </w:r>
      <w:r w:rsidRPr="00654F2F">
        <w:rPr>
          <w:rFonts w:ascii="Arial" w:eastAsia="Calibri" w:hAnsi="Arial" w:cs="Arial"/>
          <w:kern w:val="0"/>
          <w:lang w:val="es-ES_tradnl" w:eastAsia="es-ES_tradnl"/>
          <w14:ligatures w14:val="none"/>
        </w:rPr>
        <w:t>l</w:t>
      </w:r>
      <w:r w:rsidR="00F22A95" w:rsidRPr="00654F2F">
        <w:rPr>
          <w:rFonts w:ascii="Arial" w:eastAsia="Calibri" w:hAnsi="Arial" w:cs="Arial"/>
          <w:kern w:val="0"/>
          <w:lang w:val="es-ES_tradnl" w:eastAsia="es-ES_tradnl"/>
          <w14:ligatures w14:val="none"/>
        </w:rPr>
        <w:t>a</w:t>
      </w:r>
      <w:r w:rsidRPr="00654F2F">
        <w:rPr>
          <w:rFonts w:ascii="Arial" w:eastAsia="Calibri" w:hAnsi="Arial" w:cs="Arial"/>
          <w:kern w:val="0"/>
          <w:lang w:val="es-ES_tradnl" w:eastAsia="es-ES_tradnl"/>
          <w14:ligatures w14:val="none"/>
        </w:rPr>
        <w:t xml:space="preserve"> document</w:t>
      </w:r>
      <w:r w:rsidR="00F22A95" w:rsidRPr="00654F2F">
        <w:rPr>
          <w:rFonts w:ascii="Arial" w:eastAsia="Calibri" w:hAnsi="Arial" w:cs="Arial"/>
          <w:kern w:val="0"/>
          <w:lang w:val="es-ES_tradnl" w:eastAsia="es-ES_tradnl"/>
          <w14:ligatures w14:val="none"/>
        </w:rPr>
        <w:t xml:space="preserve">ación </w:t>
      </w:r>
      <w:r w:rsidRPr="00654F2F">
        <w:rPr>
          <w:rFonts w:ascii="Arial" w:eastAsia="Calibri" w:hAnsi="Arial" w:cs="Arial"/>
          <w:kern w:val="0"/>
          <w:lang w:val="es-ES_tradnl" w:eastAsia="es-ES_tradnl"/>
          <w14:ligatures w14:val="none"/>
        </w:rPr>
        <w:t xml:space="preserve">que se requiere acreditar </w:t>
      </w:r>
      <w:r w:rsidRPr="0037567A">
        <w:rPr>
          <w:rFonts w:ascii="Arial" w:eastAsia="Calibri" w:hAnsi="Arial" w:cs="Arial"/>
          <w:kern w:val="0"/>
          <w:lang w:val="es-ES_tradnl" w:eastAsia="es-ES_tradnl"/>
          <w14:ligatures w14:val="none"/>
        </w:rPr>
        <w:t xml:space="preserve">constituye una tarifa legal probatoria para demostrar que los proponentes son emprendimientos o empresas de mujeres y que, por lo tanto, tienen derecho a la aplicación de los criterios diferenciales reglamentados por el artículo 2.2.1.2.4.2.15. del Decreto 1082 de 2015, en desarrollo del artículo 32 de la Ley 2069 de 2020. Esto significa que quienes pretendan acceder a tales beneficios en consideración a las definiciones establecidas en los numerales </w:t>
      </w:r>
      <w:r w:rsidRPr="0037567A">
        <w:rPr>
          <w:rFonts w:ascii="Arial" w:eastAsia="Calibri" w:hAnsi="Arial" w:cs="Arial"/>
          <w:i/>
          <w:iCs/>
          <w:kern w:val="0"/>
          <w:lang w:val="es-ES_tradnl" w:eastAsia="es-ES_tradnl"/>
          <w14:ligatures w14:val="none"/>
        </w:rPr>
        <w:t>primero</w:t>
      </w:r>
      <w:r w:rsidRPr="0037567A">
        <w:rPr>
          <w:rFonts w:ascii="Arial" w:eastAsia="Calibri" w:hAnsi="Arial" w:cs="Arial"/>
          <w:kern w:val="0"/>
          <w:lang w:val="es-ES_tradnl" w:eastAsia="es-ES_tradnl"/>
          <w14:ligatures w14:val="none"/>
        </w:rPr>
        <w:t xml:space="preserve"> y </w:t>
      </w:r>
      <w:r w:rsidRPr="0037567A">
        <w:rPr>
          <w:rFonts w:ascii="Arial" w:eastAsia="Calibri" w:hAnsi="Arial" w:cs="Arial"/>
          <w:i/>
          <w:iCs/>
          <w:kern w:val="0"/>
          <w:lang w:val="es-ES_tradnl" w:eastAsia="es-ES_tradnl"/>
          <w14:ligatures w14:val="none"/>
        </w:rPr>
        <w:t>segundo</w:t>
      </w:r>
      <w:r w:rsidRPr="0037567A">
        <w:rPr>
          <w:rFonts w:ascii="Arial" w:eastAsia="Calibri" w:hAnsi="Arial" w:cs="Arial"/>
          <w:kern w:val="0"/>
          <w:lang w:val="es-ES_tradnl" w:eastAsia="es-ES_tradnl"/>
          <w14:ligatures w14:val="none"/>
        </w:rPr>
        <w:t xml:space="preserve"> del artículo 2.2.1.2.4.2.14., deberán presentar la</w:t>
      </w:r>
      <w:r w:rsidR="00F22A95" w:rsidRPr="00654F2F">
        <w:rPr>
          <w:rFonts w:ascii="Arial" w:eastAsia="Calibri" w:hAnsi="Arial" w:cs="Arial"/>
          <w:kern w:val="0"/>
          <w:lang w:val="es-ES_tradnl" w:eastAsia="es-ES_tradnl"/>
          <w14:ligatures w14:val="none"/>
        </w:rPr>
        <w:t xml:space="preserve">s certificaciones exigidas </w:t>
      </w:r>
      <w:r w:rsidRPr="0037567A">
        <w:rPr>
          <w:rFonts w:ascii="Arial" w:eastAsia="Calibri" w:hAnsi="Arial" w:cs="Arial"/>
          <w:kern w:val="0"/>
          <w:lang w:val="es-ES_tradnl" w:eastAsia="es-ES_tradnl"/>
          <w14:ligatures w14:val="none"/>
        </w:rPr>
        <w:t>con sus respectivos soportes.</w:t>
      </w:r>
    </w:p>
    <w:p w14:paraId="2FAE33EF" w14:textId="77777777" w:rsidR="00F22A95" w:rsidRPr="00654F2F" w:rsidRDefault="00F22A95" w:rsidP="0037567A">
      <w:pPr>
        <w:spacing w:after="0" w:line="276" w:lineRule="auto"/>
        <w:ind w:firstLine="567"/>
        <w:jc w:val="both"/>
        <w:rPr>
          <w:rFonts w:ascii="Arial" w:eastAsia="Calibri" w:hAnsi="Arial" w:cs="Arial"/>
          <w:kern w:val="0"/>
          <w:lang w:val="es-ES_tradnl" w:eastAsia="es-ES_tradnl"/>
          <w14:ligatures w14:val="none"/>
        </w:rPr>
      </w:pPr>
    </w:p>
    <w:p w14:paraId="015DA7B3" w14:textId="11A4B95F" w:rsidR="00654F2F" w:rsidRDefault="00F22A95" w:rsidP="00970BD5">
      <w:pPr>
        <w:spacing w:after="0" w:line="276" w:lineRule="auto"/>
        <w:ind w:firstLine="567"/>
        <w:jc w:val="both"/>
        <w:rPr>
          <w:rFonts w:ascii="Arial" w:eastAsia="Calibri" w:hAnsi="Arial" w:cs="Arial"/>
          <w:kern w:val="0"/>
          <w:lang w:val="es-ES_tradnl" w:eastAsia="es-ES_tradnl"/>
          <w14:ligatures w14:val="none"/>
        </w:rPr>
      </w:pPr>
      <w:r w:rsidRPr="00654F2F">
        <w:rPr>
          <w:rFonts w:ascii="Arial" w:eastAsia="Calibri" w:hAnsi="Arial" w:cs="Arial"/>
          <w:kern w:val="0"/>
          <w:lang w:val="es-ES_tradnl" w:eastAsia="es-ES_tradnl"/>
          <w14:ligatures w14:val="none"/>
        </w:rPr>
        <w:t>Ahora</w:t>
      </w:r>
      <w:r w:rsidR="00AB7D73" w:rsidRPr="00654F2F">
        <w:rPr>
          <w:rFonts w:ascii="Arial" w:eastAsia="Calibri" w:hAnsi="Arial" w:cs="Arial"/>
          <w:kern w:val="0"/>
          <w:lang w:val="es-ES_tradnl" w:eastAsia="es-ES_tradnl"/>
          <w14:ligatures w14:val="none"/>
        </w:rPr>
        <w:t xml:space="preserve"> bien, </w:t>
      </w:r>
      <w:r w:rsidR="00970BD5" w:rsidRPr="00654F2F">
        <w:rPr>
          <w:rFonts w:ascii="Arial" w:eastAsia="Calibri" w:hAnsi="Arial" w:cs="Arial"/>
          <w:kern w:val="0"/>
          <w:lang w:val="es-ES_tradnl" w:eastAsia="es-ES_tradnl"/>
          <w14:ligatures w14:val="none"/>
        </w:rPr>
        <w:t xml:space="preserve">la situación particular de que un suscriptor se encuentre en mora de pagar acciones en los términos, condiciones y plazos establecidos en el respectivo reglamento de suscripción, si bien conlleva la consecuencia práctica de no poder ejercer los derechos políticos y económicos inherentes a ellas -establecidos en el artículo 379 del Código de </w:t>
      </w:r>
      <w:r w:rsidR="00970BD5" w:rsidRPr="00654F2F">
        <w:rPr>
          <w:rFonts w:ascii="Arial" w:eastAsia="Calibri" w:hAnsi="Arial" w:cs="Arial"/>
          <w:kern w:val="0"/>
          <w:lang w:val="es-ES_tradnl" w:eastAsia="es-ES_tradnl"/>
          <w14:ligatures w14:val="none"/>
        </w:rPr>
        <w:lastRenderedPageBreak/>
        <w:t>Comercio-, no tiene la virtualidad</w:t>
      </w:r>
      <w:r w:rsidR="008847C9">
        <w:rPr>
          <w:rFonts w:ascii="Arial" w:eastAsia="Calibri" w:hAnsi="Arial" w:cs="Arial"/>
          <w:kern w:val="0"/>
          <w:lang w:val="es-ES_tradnl" w:eastAsia="es-ES_tradnl"/>
          <w14:ligatures w14:val="none"/>
        </w:rPr>
        <w:t xml:space="preserve">, </w:t>
      </w:r>
      <w:r w:rsidR="008847C9" w:rsidRPr="008847C9">
        <w:rPr>
          <w:rFonts w:ascii="Arial" w:eastAsia="Calibri" w:hAnsi="Arial" w:cs="Arial"/>
          <w:i/>
          <w:iCs/>
          <w:kern w:val="0"/>
          <w:lang w:val="es-ES_tradnl" w:eastAsia="es-ES_tradnl"/>
          <w14:ligatures w14:val="none"/>
        </w:rPr>
        <w:t>prima facie</w:t>
      </w:r>
      <w:r w:rsidR="008847C9">
        <w:rPr>
          <w:rFonts w:ascii="Arial" w:eastAsia="Calibri" w:hAnsi="Arial" w:cs="Arial"/>
          <w:kern w:val="0"/>
          <w:lang w:val="es-ES_tradnl" w:eastAsia="es-ES_tradnl"/>
          <w14:ligatures w14:val="none"/>
        </w:rPr>
        <w:t>,</w:t>
      </w:r>
      <w:r w:rsidR="00970BD5" w:rsidRPr="00654F2F">
        <w:rPr>
          <w:rFonts w:ascii="Arial" w:eastAsia="Calibri" w:hAnsi="Arial" w:cs="Arial"/>
          <w:kern w:val="0"/>
          <w:lang w:val="es-ES_tradnl" w:eastAsia="es-ES_tradnl"/>
          <w14:ligatures w14:val="none"/>
        </w:rPr>
        <w:t xml:space="preserve"> de afectar</w:t>
      </w:r>
      <w:r w:rsidR="00654F2F" w:rsidRPr="00654F2F">
        <w:rPr>
          <w:rFonts w:ascii="Arial" w:eastAsia="Calibri" w:hAnsi="Arial" w:cs="Arial"/>
          <w:kern w:val="0"/>
          <w:lang w:val="es-ES_tradnl" w:eastAsia="es-ES_tradnl"/>
          <w14:ligatures w14:val="none"/>
        </w:rPr>
        <w:t xml:space="preserve"> </w:t>
      </w:r>
      <w:r w:rsidR="00970BD5" w:rsidRPr="00970BD5">
        <w:rPr>
          <w:rFonts w:ascii="Arial" w:eastAsia="Calibri" w:hAnsi="Arial" w:cs="Arial"/>
          <w:kern w:val="0"/>
          <w:lang w:val="es-ES_tradnl" w:eastAsia="es-ES_tradnl"/>
          <w14:ligatures w14:val="none"/>
        </w:rPr>
        <w:t>la aplicación de los criterios diferenciales a favor de los emprendimientos y empresas de mujeres</w:t>
      </w:r>
      <w:r w:rsidR="00970BD5" w:rsidRPr="00654F2F">
        <w:rPr>
          <w:rFonts w:ascii="Arial" w:eastAsia="Calibri" w:hAnsi="Arial" w:cs="Arial"/>
          <w:kern w:val="0"/>
          <w:lang w:val="es-ES_tradnl" w:eastAsia="es-ES_tradnl"/>
          <w14:ligatures w14:val="none"/>
        </w:rPr>
        <w:t xml:space="preserve"> </w:t>
      </w:r>
      <w:r w:rsidR="00654F2F" w:rsidRPr="00654F2F">
        <w:rPr>
          <w:rFonts w:ascii="Arial" w:eastAsia="Calibri" w:hAnsi="Arial" w:cs="Arial"/>
          <w:kern w:val="0"/>
          <w:lang w:val="es-ES_tradnl" w:eastAsia="es-ES_tradnl"/>
          <w14:ligatures w14:val="none"/>
        </w:rPr>
        <w:t>contenidos e</w:t>
      </w:r>
      <w:r w:rsidR="00654F2F" w:rsidRPr="00654F2F">
        <w:rPr>
          <w:rFonts w:ascii="Arial" w:eastAsia="Calibri" w:hAnsi="Arial" w:cs="Arial"/>
          <w:kern w:val="0"/>
          <w:lang w:val="es-ES_tradnl" w:eastAsia="es-ES_tradnl"/>
          <w14:ligatures w14:val="none"/>
        </w:rPr>
        <w:t>n el artículo 2.2.1.2.4.2.14. del Decreto 1082 de 2015,</w:t>
      </w:r>
      <w:r w:rsidR="00654F2F" w:rsidRPr="00654F2F">
        <w:rPr>
          <w:rFonts w:ascii="Arial" w:eastAsia="Calibri" w:hAnsi="Arial" w:cs="Arial"/>
          <w:kern w:val="0"/>
          <w:lang w:val="es-ES_tradnl" w:eastAsia="es-ES_tradnl"/>
          <w14:ligatures w14:val="none"/>
        </w:rPr>
        <w:t xml:space="preserve"> </w:t>
      </w:r>
      <w:r w:rsidR="008847C9">
        <w:rPr>
          <w:rFonts w:ascii="Arial" w:eastAsia="Calibri" w:hAnsi="Arial" w:cs="Arial"/>
          <w:kern w:val="0"/>
          <w:lang w:val="es-ES_tradnl" w:eastAsia="es-ES_tradnl"/>
          <w14:ligatures w14:val="none"/>
        </w:rPr>
        <w:t xml:space="preserve">no solo en cuanto </w:t>
      </w:r>
      <w:r w:rsidR="00654F2F">
        <w:rPr>
          <w:rFonts w:ascii="Arial" w:eastAsia="Calibri" w:hAnsi="Arial" w:cs="Arial"/>
          <w:kern w:val="0"/>
          <w:lang w:val="es-ES_tradnl" w:eastAsia="es-ES_tradnl"/>
          <w14:ligatures w14:val="none"/>
        </w:rPr>
        <w:t xml:space="preserve">no suponen una prerrogativa de tipo político o económico derivada de </w:t>
      </w:r>
      <w:r w:rsidR="008847C9">
        <w:rPr>
          <w:rFonts w:ascii="Arial" w:eastAsia="Calibri" w:hAnsi="Arial" w:cs="Arial"/>
          <w:kern w:val="0"/>
          <w:lang w:val="es-ES_tradnl" w:eastAsia="es-ES_tradnl"/>
          <w14:ligatures w14:val="none"/>
        </w:rPr>
        <w:t xml:space="preserve">la adquisición de acciones suscritas, sino además porque </w:t>
      </w:r>
      <w:r w:rsidR="00654F2F">
        <w:rPr>
          <w:rFonts w:ascii="Arial" w:eastAsia="Calibri" w:hAnsi="Arial" w:cs="Arial"/>
          <w:kern w:val="0"/>
          <w:lang w:val="es-ES_tradnl" w:eastAsia="es-ES_tradnl"/>
          <w14:ligatures w14:val="none"/>
        </w:rPr>
        <w:t>el artículo 397 del Código de Comercio tan solo dispone</w:t>
      </w:r>
      <w:r w:rsidR="008847C9">
        <w:rPr>
          <w:rFonts w:ascii="Arial" w:eastAsia="Calibri" w:hAnsi="Arial" w:cs="Arial"/>
          <w:kern w:val="0"/>
          <w:lang w:val="es-ES_tradnl" w:eastAsia="es-ES_tradnl"/>
          <w14:ligatures w14:val="none"/>
        </w:rPr>
        <w:t xml:space="preserve"> las alternativas </w:t>
      </w:r>
      <w:r w:rsidR="00654F2F">
        <w:rPr>
          <w:rFonts w:ascii="Arial" w:eastAsia="Calibri" w:hAnsi="Arial" w:cs="Arial"/>
          <w:kern w:val="0"/>
          <w:lang w:val="es-ES_tradnl" w:eastAsia="es-ES_tradnl"/>
          <w14:ligatures w14:val="none"/>
        </w:rPr>
        <w:t>que, a elección de la junta directiva o de</w:t>
      </w:r>
      <w:r w:rsidR="008847C9">
        <w:rPr>
          <w:rFonts w:ascii="Arial" w:eastAsia="Calibri" w:hAnsi="Arial" w:cs="Arial"/>
          <w:kern w:val="0"/>
          <w:lang w:val="es-ES_tradnl" w:eastAsia="es-ES_tradnl"/>
          <w14:ligatures w14:val="none"/>
        </w:rPr>
        <w:t xml:space="preserve">l </w:t>
      </w:r>
      <w:r w:rsidR="00654F2F">
        <w:rPr>
          <w:rFonts w:ascii="Arial" w:eastAsia="Calibri" w:hAnsi="Arial" w:cs="Arial"/>
          <w:kern w:val="0"/>
          <w:lang w:val="es-ES_tradnl" w:eastAsia="es-ES_tradnl"/>
          <w14:ligatures w14:val="none"/>
        </w:rPr>
        <w:t>máximo órgano social</w:t>
      </w:r>
      <w:r w:rsidR="008847C9">
        <w:rPr>
          <w:rFonts w:ascii="Arial" w:eastAsia="Calibri" w:hAnsi="Arial" w:cs="Arial"/>
          <w:kern w:val="0"/>
          <w:lang w:val="es-ES_tradnl" w:eastAsia="es-ES_tradnl"/>
          <w14:ligatures w14:val="none"/>
        </w:rPr>
        <w:t xml:space="preserve"> existente</w:t>
      </w:r>
      <w:r w:rsidR="00654F2F">
        <w:rPr>
          <w:rFonts w:ascii="Arial" w:eastAsia="Calibri" w:hAnsi="Arial" w:cs="Arial"/>
          <w:kern w:val="0"/>
          <w:lang w:val="es-ES_tradnl" w:eastAsia="es-ES_tradnl"/>
          <w14:ligatures w14:val="none"/>
        </w:rPr>
        <w:t>, pueden aplicarse en caso de que un accionista presente obligaciones pendientes con la sociedad de que se trate</w:t>
      </w:r>
      <w:r w:rsidR="008847C9">
        <w:rPr>
          <w:rFonts w:ascii="Arial" w:eastAsia="Calibri" w:hAnsi="Arial" w:cs="Arial"/>
          <w:kern w:val="0"/>
          <w:lang w:val="es-ES_tradnl" w:eastAsia="es-ES_tradnl"/>
          <w14:ligatures w14:val="none"/>
        </w:rPr>
        <w:t>, sin que sobre reconocer que los perjuicios que eventualmente puedan sufrir los accionistas que sí pagaron sus aportes de manera oportuna puedan ser reclamados por vía de las acciones judiciales pertinentes.</w:t>
      </w:r>
    </w:p>
    <w:p w14:paraId="2B6B8904" w14:textId="77777777" w:rsidR="008847C9" w:rsidRDefault="008847C9" w:rsidP="00970BD5">
      <w:pPr>
        <w:spacing w:after="0" w:line="276" w:lineRule="auto"/>
        <w:ind w:firstLine="567"/>
        <w:jc w:val="both"/>
        <w:rPr>
          <w:rFonts w:ascii="Arial" w:eastAsia="Calibri" w:hAnsi="Arial" w:cs="Arial"/>
          <w:kern w:val="0"/>
          <w:lang w:val="es-ES_tradnl" w:eastAsia="es-ES_tradnl"/>
          <w14:ligatures w14:val="none"/>
        </w:rPr>
      </w:pPr>
    </w:p>
    <w:p w14:paraId="62D29319" w14:textId="0B7C5DF8" w:rsidR="00846141" w:rsidRDefault="007940BE" w:rsidP="00970BD5">
      <w:pPr>
        <w:spacing w:after="0" w:line="276" w:lineRule="auto"/>
        <w:ind w:firstLine="567"/>
        <w:jc w:val="both"/>
        <w:rPr>
          <w:rFonts w:ascii="Arial" w:eastAsia="Calibri" w:hAnsi="Arial" w:cs="Arial"/>
          <w:kern w:val="0"/>
          <w:lang w:val="es-ES_tradnl" w:eastAsia="es-ES_tradnl"/>
          <w14:ligatures w14:val="none"/>
        </w:rPr>
      </w:pPr>
      <w:r>
        <w:rPr>
          <w:rFonts w:ascii="Arial" w:eastAsia="Calibri" w:hAnsi="Arial" w:cs="Arial"/>
          <w:kern w:val="0"/>
          <w:lang w:val="es-ES_tradnl" w:eastAsia="es-ES_tradnl"/>
          <w14:ligatures w14:val="none"/>
        </w:rPr>
        <w:t>Con todo, ha de indicarse que</w:t>
      </w:r>
      <w:r w:rsidR="008847C9">
        <w:rPr>
          <w:rFonts w:ascii="Arial" w:eastAsia="Calibri" w:hAnsi="Arial" w:cs="Arial"/>
          <w:kern w:val="0"/>
          <w:lang w:val="es-ES_tradnl" w:eastAsia="es-ES_tradnl"/>
          <w14:ligatures w14:val="none"/>
        </w:rPr>
        <w:t xml:space="preserve">, como </w:t>
      </w:r>
      <w:r>
        <w:rPr>
          <w:rFonts w:ascii="Arial" w:eastAsia="Calibri" w:hAnsi="Arial" w:cs="Arial"/>
          <w:kern w:val="0"/>
          <w:lang w:val="es-ES_tradnl" w:eastAsia="es-ES_tradnl"/>
          <w14:ligatures w14:val="none"/>
        </w:rPr>
        <w:t xml:space="preserve">quedó establecido </w:t>
      </w:r>
      <w:r w:rsidR="008847C9">
        <w:rPr>
          <w:rFonts w:ascii="Arial" w:eastAsia="Calibri" w:hAnsi="Arial" w:cs="Arial"/>
          <w:kern w:val="0"/>
          <w:lang w:val="es-ES_tradnl" w:eastAsia="es-ES_tradnl"/>
          <w14:ligatures w14:val="none"/>
        </w:rPr>
        <w:t xml:space="preserve">en el presente concepto, en el evento de impago de acciones en el plazo </w:t>
      </w:r>
      <w:r>
        <w:rPr>
          <w:rFonts w:ascii="Arial" w:eastAsia="Calibri" w:hAnsi="Arial" w:cs="Arial"/>
          <w:kern w:val="0"/>
          <w:lang w:val="es-ES_tradnl" w:eastAsia="es-ES_tradnl"/>
          <w14:ligatures w14:val="none"/>
        </w:rPr>
        <w:t>señalado</w:t>
      </w:r>
      <w:r w:rsidR="008847C9">
        <w:rPr>
          <w:rFonts w:ascii="Arial" w:eastAsia="Calibri" w:hAnsi="Arial" w:cs="Arial"/>
          <w:kern w:val="0"/>
          <w:lang w:val="es-ES_tradnl" w:eastAsia="es-ES_tradnl"/>
          <w14:ligatures w14:val="none"/>
        </w:rPr>
        <w:t xml:space="preserve">, el artículo 397 del Código de Comercio habilita al cuerpo colegiado de la sociedad anónima para emplear </w:t>
      </w:r>
      <w:r w:rsidR="00846141">
        <w:rPr>
          <w:rFonts w:ascii="Arial" w:eastAsia="Calibri" w:hAnsi="Arial" w:cs="Arial"/>
          <w:kern w:val="0"/>
          <w:lang w:val="es-ES_tradnl" w:eastAsia="es-ES_tradnl"/>
          <w14:ligatures w14:val="none"/>
        </w:rPr>
        <w:t xml:space="preserve">alguno </w:t>
      </w:r>
      <w:r w:rsidR="008847C9">
        <w:rPr>
          <w:rFonts w:ascii="Arial" w:eastAsia="Calibri" w:hAnsi="Arial" w:cs="Arial"/>
          <w:kern w:val="0"/>
          <w:lang w:val="es-ES_tradnl" w:eastAsia="es-ES_tradnl"/>
          <w14:ligatures w14:val="none"/>
        </w:rPr>
        <w:t xml:space="preserve">de los arbitrios </w:t>
      </w:r>
      <w:r w:rsidR="00846141">
        <w:rPr>
          <w:rFonts w:ascii="Arial" w:eastAsia="Calibri" w:hAnsi="Arial" w:cs="Arial"/>
          <w:kern w:val="0"/>
          <w:lang w:val="es-ES_tradnl" w:eastAsia="es-ES_tradnl"/>
          <w14:ligatures w14:val="none"/>
        </w:rPr>
        <w:t xml:space="preserve">excluyentes entre sí </w:t>
      </w:r>
      <w:r w:rsidR="008847C9">
        <w:rPr>
          <w:rFonts w:ascii="Arial" w:eastAsia="Calibri" w:hAnsi="Arial" w:cs="Arial"/>
          <w:kern w:val="0"/>
          <w:lang w:val="es-ES_tradnl" w:eastAsia="es-ES_tradnl"/>
          <w14:ligatures w14:val="none"/>
        </w:rPr>
        <w:t>que aquel expresamente describe y que, para el caso de las sociedades por acciones simplificadas que no dispongan en sus estatutos de junta directiva, estarán a cargo del representante legal designado por la asamblea.</w:t>
      </w:r>
      <w:r w:rsidR="00846141">
        <w:rPr>
          <w:rFonts w:ascii="Arial" w:eastAsia="Calibri" w:hAnsi="Arial" w:cs="Arial"/>
          <w:kern w:val="0"/>
          <w:lang w:val="es-ES_tradnl" w:eastAsia="es-ES_tradnl"/>
          <w14:ligatures w14:val="none"/>
        </w:rPr>
        <w:t xml:space="preserve"> </w:t>
      </w:r>
      <w:r>
        <w:rPr>
          <w:rFonts w:ascii="Arial" w:eastAsia="Calibri" w:hAnsi="Arial" w:cs="Arial"/>
          <w:kern w:val="0"/>
          <w:lang w:val="es-ES_tradnl" w:eastAsia="es-ES_tradnl"/>
          <w14:ligatures w14:val="none"/>
        </w:rPr>
        <w:t xml:space="preserve">Así las cosas, de aplicarse </w:t>
      </w:r>
      <w:r w:rsidR="00846141">
        <w:rPr>
          <w:rFonts w:ascii="Arial" w:eastAsia="Calibri" w:hAnsi="Arial" w:cs="Arial"/>
          <w:kern w:val="0"/>
          <w:lang w:val="es-ES_tradnl" w:eastAsia="es-ES_tradnl"/>
          <w14:ligatures w14:val="none"/>
        </w:rPr>
        <w:t xml:space="preserve">una de las tres opciones ofrecidas por la ley para superar la situación de la respectiva sociedad por obligaciones vencidas a cargo de los accionistas por concepto de pago de cuotas de acciones suscritas, será aquella autoridad a la que le corresponda </w:t>
      </w:r>
      <w:r>
        <w:rPr>
          <w:rFonts w:ascii="Arial" w:eastAsia="Calibri" w:hAnsi="Arial" w:cs="Arial"/>
          <w:kern w:val="0"/>
          <w:lang w:val="es-ES_tradnl" w:eastAsia="es-ES_tradnl"/>
          <w14:ligatures w14:val="none"/>
        </w:rPr>
        <w:t xml:space="preserve">no solo </w:t>
      </w:r>
      <w:r w:rsidR="008A2E37">
        <w:rPr>
          <w:rFonts w:ascii="Arial" w:eastAsia="Calibri" w:hAnsi="Arial" w:cs="Arial"/>
          <w:kern w:val="0"/>
          <w:lang w:val="es-ES_tradnl" w:eastAsia="es-ES_tradnl"/>
          <w14:ligatures w14:val="none"/>
        </w:rPr>
        <w:t>determinar</w:t>
      </w:r>
      <w:r>
        <w:rPr>
          <w:rFonts w:ascii="Arial" w:eastAsia="Calibri" w:hAnsi="Arial" w:cs="Arial"/>
          <w:kern w:val="0"/>
          <w:lang w:val="es-ES_tradnl" w:eastAsia="es-ES_tradnl"/>
          <w14:ligatures w14:val="none"/>
        </w:rPr>
        <w:t xml:space="preserve"> si expide o no la respectiva certificación en donde conste la distribución de los derechos en la sociedad y el tiempo en el que las mujeres han mantenido su participación, sino además las eventuales condiciones </w:t>
      </w:r>
      <w:r w:rsidR="008A2E37">
        <w:rPr>
          <w:rFonts w:ascii="Arial" w:eastAsia="Calibri" w:hAnsi="Arial" w:cs="Arial"/>
          <w:kern w:val="0"/>
          <w:lang w:val="es-ES_tradnl" w:eastAsia="es-ES_tradnl"/>
          <w14:ligatures w14:val="none"/>
        </w:rPr>
        <w:t>de colocación de las acciones</w:t>
      </w:r>
      <w:r>
        <w:rPr>
          <w:rFonts w:ascii="Arial" w:eastAsia="Calibri" w:hAnsi="Arial" w:cs="Arial"/>
          <w:kern w:val="0"/>
          <w:lang w:val="es-ES_tradnl" w:eastAsia="es-ES_tradnl"/>
          <w14:ligatures w14:val="none"/>
        </w:rPr>
        <w:t xml:space="preserve"> objeto de retiro</w:t>
      </w:r>
      <w:r w:rsidR="008A2E37">
        <w:rPr>
          <w:rFonts w:ascii="Arial" w:eastAsia="Calibri" w:hAnsi="Arial" w:cs="Arial"/>
          <w:kern w:val="0"/>
          <w:lang w:val="es-ES_tradnl" w:eastAsia="es-ES_tradnl"/>
          <w14:ligatures w14:val="none"/>
        </w:rPr>
        <w:t>, señalar su precio, su forma de pago y plazo para la pronta recuperación del capital suscrito dejado de pagar.</w:t>
      </w:r>
    </w:p>
    <w:p w14:paraId="2676C309" w14:textId="77777777" w:rsidR="00846141" w:rsidRDefault="00846141" w:rsidP="00970BD5">
      <w:pPr>
        <w:spacing w:after="0" w:line="276" w:lineRule="auto"/>
        <w:ind w:firstLine="567"/>
        <w:jc w:val="both"/>
        <w:rPr>
          <w:rFonts w:ascii="Arial" w:eastAsia="Calibri" w:hAnsi="Arial" w:cs="Arial"/>
          <w:kern w:val="0"/>
          <w:lang w:val="es-ES_tradnl" w:eastAsia="es-ES_tradnl"/>
          <w14:ligatures w14:val="none"/>
        </w:rPr>
      </w:pPr>
    </w:p>
    <w:bookmarkEnd w:id="46"/>
    <w:p w14:paraId="4E6ED31A" w14:textId="77777777" w:rsidR="00010DE6" w:rsidRPr="008E7F5C" w:rsidRDefault="00010DE6" w:rsidP="00010DE6">
      <w:pPr>
        <w:spacing w:after="0" w:line="276" w:lineRule="auto"/>
        <w:ind w:firstLine="709"/>
        <w:jc w:val="both"/>
        <w:rPr>
          <w:rFonts w:ascii="Arial" w:eastAsia="Times New Roman" w:hAnsi="Arial" w:cs="Arial"/>
          <w:kern w:val="0"/>
          <w:szCs w:val="24"/>
          <w:lang w:eastAsia="es-CO"/>
          <w14:ligatures w14:val="none"/>
        </w:rPr>
      </w:pPr>
      <w:r w:rsidRPr="008E7F5C">
        <w:rPr>
          <w:rFonts w:ascii="Arial" w:eastAsia="Times New Roman" w:hAnsi="Arial" w:cs="Arial"/>
          <w:kern w:val="0"/>
          <w:szCs w:val="24"/>
          <w:lang w:eastAsia="es-CO"/>
          <w14:ligatures w14:val="none"/>
        </w:rPr>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bookmarkStart w:id="47" w:name="_Hlk34951122"/>
    </w:p>
    <w:p w14:paraId="0CA577AC" w14:textId="77777777" w:rsidR="00010DE6" w:rsidRPr="008A2E37" w:rsidRDefault="00010DE6" w:rsidP="00010DE6">
      <w:pPr>
        <w:spacing w:after="0" w:line="276" w:lineRule="auto"/>
        <w:ind w:firstLine="709"/>
        <w:jc w:val="both"/>
        <w:rPr>
          <w:rFonts w:ascii="Arial" w:eastAsia="Calibri" w:hAnsi="Arial" w:cs="Arial"/>
          <w:kern w:val="0"/>
          <w14:ligatures w14:val="none"/>
        </w:rPr>
      </w:pPr>
    </w:p>
    <w:p w14:paraId="42ECB230" w14:textId="77777777" w:rsidR="00010DE6" w:rsidRPr="008E7F5C" w:rsidRDefault="00010DE6" w:rsidP="00010DE6">
      <w:pPr>
        <w:spacing w:after="120" w:line="276" w:lineRule="auto"/>
        <w:jc w:val="both"/>
        <w:rPr>
          <w:rFonts w:ascii="Arial" w:eastAsia="Calibri" w:hAnsi="Arial" w:cs="Arial"/>
          <w:iCs/>
          <w:kern w:val="0"/>
          <w14:ligatures w14:val="none"/>
        </w:rPr>
      </w:pPr>
      <w:r w:rsidRPr="008E7F5C">
        <w:rPr>
          <w:rFonts w:ascii="Arial" w:eastAsia="Times New Roman" w:hAnsi="Arial" w:cs="Arial"/>
          <w:kern w:val="0"/>
          <w:lang w:val="es-MX" w:eastAsia="es-CO"/>
          <w14:ligatures w14:val="none"/>
        </w:rPr>
        <w:t>Atentamente,</w:t>
      </w:r>
    </w:p>
    <w:p w14:paraId="0D7CB7D4" w14:textId="77777777" w:rsidR="00010DE6" w:rsidRPr="008E7F5C" w:rsidRDefault="00010DE6" w:rsidP="00010DE6">
      <w:pPr>
        <w:spacing w:after="0" w:line="276" w:lineRule="auto"/>
        <w:jc w:val="center"/>
        <w:textAlignment w:val="baseline"/>
        <w:rPr>
          <w:rFonts w:ascii="Arial" w:eastAsia="Times New Roman" w:hAnsi="Arial" w:cs="Arial"/>
          <w:kern w:val="0"/>
          <w:sz w:val="24"/>
          <w:szCs w:val="24"/>
          <w:lang w:eastAsia="es-CO"/>
          <w14:ligatures w14:val="none"/>
        </w:rPr>
      </w:pPr>
      <w:r w:rsidRPr="008E7F5C">
        <w:rPr>
          <w:rFonts w:ascii="Arial" w:hAnsi="Arial" w:cs="Arial"/>
          <w:noProof/>
          <w:kern w:val="0"/>
          <w:sz w:val="24"/>
          <w:szCs w:val="24"/>
          <w14:ligatures w14:val="none"/>
        </w:rPr>
        <w:drawing>
          <wp:inline distT="0" distB="0" distL="0" distR="0" wp14:anchorId="650F53C5" wp14:editId="180DA5BA">
            <wp:extent cx="2759103" cy="862219"/>
            <wp:effectExtent l="0" t="0" r="3175" b="0"/>
            <wp:docPr id="1" name="Imagen 1" descr="Texto, Cart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Texto, Carta&#10;&#10;Descripción generada automáticamente"/>
                    <pic:cNvPicPr/>
                  </pic:nvPicPr>
                  <pic:blipFill>
                    <a:blip r:embed="rId11"/>
                    <a:stretch>
                      <a:fillRect/>
                    </a:stretch>
                  </pic:blipFill>
                  <pic:spPr>
                    <a:xfrm>
                      <a:off x="0" y="0"/>
                      <a:ext cx="2772602" cy="866438"/>
                    </a:xfrm>
                    <a:prstGeom prst="rect">
                      <a:avLst/>
                    </a:prstGeom>
                  </pic:spPr>
                </pic:pic>
              </a:graphicData>
            </a:graphic>
          </wp:inline>
        </w:drawing>
      </w:r>
    </w:p>
    <w:p w14:paraId="04A4F212" w14:textId="77777777" w:rsidR="00010DE6" w:rsidRPr="008E7F5C" w:rsidRDefault="00010DE6" w:rsidP="00010DE6">
      <w:pPr>
        <w:spacing w:after="0" w:line="276" w:lineRule="auto"/>
        <w:jc w:val="both"/>
        <w:textAlignment w:val="baseline"/>
        <w:rPr>
          <w:rFonts w:ascii="Arial" w:eastAsia="Times New Roman" w:hAnsi="Arial" w:cs="Arial"/>
          <w:kern w:val="0"/>
          <w:sz w:val="24"/>
          <w:szCs w:val="24"/>
          <w:lang w:eastAsia="es-CO"/>
          <w14:ligatures w14:val="none"/>
        </w:rPr>
      </w:pPr>
      <w:bookmarkStart w:id="48" w:name="_Hlk140049914"/>
    </w:p>
    <w:tbl>
      <w:tblPr>
        <w:tblW w:w="581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96"/>
        <w:gridCol w:w="5220"/>
      </w:tblGrid>
      <w:tr w:rsidR="00010DE6" w:rsidRPr="008E7F5C" w14:paraId="49C6CE8E" w14:textId="77777777" w:rsidTr="00EF77D0">
        <w:trPr>
          <w:trHeight w:val="315"/>
        </w:trPr>
        <w:tc>
          <w:tcPr>
            <w:tcW w:w="596" w:type="dxa"/>
            <w:tcBorders>
              <w:top w:val="nil"/>
              <w:left w:val="nil"/>
              <w:bottom w:val="nil"/>
              <w:right w:val="nil"/>
            </w:tcBorders>
            <w:shd w:val="clear" w:color="auto" w:fill="auto"/>
            <w:vAlign w:val="center"/>
            <w:hideMark/>
          </w:tcPr>
          <w:p w14:paraId="46E75CE7" w14:textId="77777777" w:rsidR="00010DE6" w:rsidRPr="008E7F5C" w:rsidRDefault="00010DE6" w:rsidP="00EF77D0">
            <w:pPr>
              <w:spacing w:after="0" w:line="240" w:lineRule="auto"/>
              <w:textAlignment w:val="baseline"/>
              <w:rPr>
                <w:rFonts w:ascii="Arial" w:eastAsia="Times New Roman" w:hAnsi="Arial" w:cs="Arial"/>
                <w:kern w:val="0"/>
                <w:sz w:val="16"/>
                <w:szCs w:val="16"/>
                <w:lang w:val="es-MX" w:eastAsia="es-CO"/>
                <w14:ligatures w14:val="none"/>
              </w:rPr>
            </w:pPr>
            <w:r w:rsidRPr="008E7F5C">
              <w:rPr>
                <w:rFonts w:ascii="Arial" w:eastAsia="Times New Roman" w:hAnsi="Arial" w:cs="Arial"/>
                <w:kern w:val="0"/>
                <w:sz w:val="16"/>
                <w:szCs w:val="16"/>
                <w:lang w:val="es-MX" w:eastAsia="es-CO"/>
                <w14:ligatures w14:val="none"/>
              </w:rPr>
              <w:t>Elaboró:</w:t>
            </w:r>
          </w:p>
        </w:tc>
        <w:tc>
          <w:tcPr>
            <w:tcW w:w="5220" w:type="dxa"/>
            <w:tcBorders>
              <w:top w:val="nil"/>
              <w:left w:val="nil"/>
              <w:bottom w:val="dotted" w:sz="6" w:space="0" w:color="7F7F7F"/>
              <w:right w:val="nil"/>
            </w:tcBorders>
            <w:shd w:val="clear" w:color="auto" w:fill="auto"/>
            <w:vAlign w:val="center"/>
            <w:hideMark/>
          </w:tcPr>
          <w:p w14:paraId="34E3E4E2" w14:textId="77777777" w:rsidR="00010DE6" w:rsidRPr="008E7F5C" w:rsidRDefault="00010DE6" w:rsidP="00EF77D0">
            <w:pPr>
              <w:spacing w:after="0" w:line="240" w:lineRule="auto"/>
              <w:textAlignment w:val="baseline"/>
              <w:rPr>
                <w:rFonts w:ascii="Arial" w:eastAsia="Times New Roman" w:hAnsi="Arial" w:cs="Arial"/>
                <w:kern w:val="0"/>
                <w:sz w:val="16"/>
                <w:szCs w:val="16"/>
                <w:lang w:val="es-MX" w:eastAsia="es-CO"/>
                <w14:ligatures w14:val="none"/>
              </w:rPr>
            </w:pPr>
            <w:r w:rsidRPr="008E7F5C">
              <w:rPr>
                <w:rFonts w:ascii="Arial" w:eastAsia="Times New Roman" w:hAnsi="Arial" w:cs="Arial"/>
                <w:kern w:val="0"/>
                <w:sz w:val="16"/>
                <w:szCs w:val="16"/>
                <w:lang w:val="es-MX" w:eastAsia="es-CO"/>
                <w14:ligatures w14:val="none"/>
              </w:rPr>
              <w:t>Diego Andrés Zambrano Pérez</w:t>
            </w:r>
          </w:p>
          <w:p w14:paraId="25D07936" w14:textId="77777777" w:rsidR="00010DE6" w:rsidRPr="008E7F5C" w:rsidRDefault="00010DE6" w:rsidP="00EF77D0">
            <w:pPr>
              <w:spacing w:after="0" w:line="240" w:lineRule="auto"/>
              <w:textAlignment w:val="baseline"/>
              <w:rPr>
                <w:rFonts w:ascii="Arial" w:eastAsia="Times New Roman" w:hAnsi="Arial" w:cs="Arial"/>
                <w:kern w:val="0"/>
                <w:sz w:val="16"/>
                <w:szCs w:val="16"/>
                <w:lang w:val="es-MX" w:eastAsia="es-CO"/>
                <w14:ligatures w14:val="none"/>
              </w:rPr>
            </w:pPr>
            <w:r w:rsidRPr="008E7F5C">
              <w:rPr>
                <w:rFonts w:ascii="Arial" w:eastAsia="Times New Roman" w:hAnsi="Arial" w:cs="Arial"/>
                <w:kern w:val="0"/>
                <w:sz w:val="16"/>
                <w:szCs w:val="16"/>
                <w:lang w:val="es-MX" w:eastAsia="es-CO"/>
                <w14:ligatures w14:val="none"/>
              </w:rPr>
              <w:t>Contratista de la Subdirección de Gestión Contractual</w:t>
            </w:r>
          </w:p>
        </w:tc>
      </w:tr>
      <w:tr w:rsidR="00010DE6" w:rsidRPr="008E7F5C" w14:paraId="2128E854" w14:textId="77777777" w:rsidTr="00EF77D0">
        <w:trPr>
          <w:trHeight w:val="315"/>
        </w:trPr>
        <w:tc>
          <w:tcPr>
            <w:tcW w:w="596" w:type="dxa"/>
            <w:tcBorders>
              <w:top w:val="nil"/>
              <w:left w:val="nil"/>
              <w:bottom w:val="nil"/>
              <w:right w:val="nil"/>
            </w:tcBorders>
            <w:shd w:val="clear" w:color="auto" w:fill="auto"/>
            <w:vAlign w:val="center"/>
            <w:hideMark/>
          </w:tcPr>
          <w:p w14:paraId="6AEEF16E" w14:textId="77777777" w:rsidR="00010DE6" w:rsidRPr="008E7F5C" w:rsidRDefault="00010DE6" w:rsidP="00EF77D0">
            <w:pPr>
              <w:spacing w:after="0" w:line="240" w:lineRule="auto"/>
              <w:textAlignment w:val="baseline"/>
              <w:rPr>
                <w:rFonts w:ascii="Arial" w:eastAsia="Times New Roman" w:hAnsi="Arial" w:cs="Arial"/>
                <w:kern w:val="0"/>
                <w:sz w:val="16"/>
                <w:szCs w:val="16"/>
                <w:lang w:val="es-MX" w:eastAsia="es-CO"/>
                <w14:ligatures w14:val="none"/>
              </w:rPr>
            </w:pPr>
            <w:r w:rsidRPr="008E7F5C">
              <w:rPr>
                <w:rFonts w:ascii="Arial" w:eastAsia="Times New Roman" w:hAnsi="Arial" w:cs="Arial"/>
                <w:kern w:val="0"/>
                <w:sz w:val="16"/>
                <w:szCs w:val="16"/>
                <w:lang w:val="es-MX" w:eastAsia="es-CO"/>
                <w14:ligatures w14:val="none"/>
              </w:rPr>
              <w:t>Revisó:</w:t>
            </w:r>
          </w:p>
        </w:tc>
        <w:tc>
          <w:tcPr>
            <w:tcW w:w="5220" w:type="dxa"/>
            <w:tcBorders>
              <w:top w:val="dotted" w:sz="6" w:space="0" w:color="7F7F7F"/>
              <w:left w:val="nil"/>
              <w:bottom w:val="dotted" w:sz="6" w:space="0" w:color="7F7F7F"/>
              <w:right w:val="nil"/>
            </w:tcBorders>
            <w:shd w:val="clear" w:color="auto" w:fill="auto"/>
            <w:vAlign w:val="center"/>
            <w:hideMark/>
          </w:tcPr>
          <w:p w14:paraId="6BB0EC9D" w14:textId="77777777" w:rsidR="00010DE6" w:rsidRPr="008E7F5C" w:rsidRDefault="00010DE6" w:rsidP="00EF77D0">
            <w:pPr>
              <w:spacing w:after="0" w:line="240" w:lineRule="auto"/>
              <w:textAlignment w:val="baseline"/>
              <w:rPr>
                <w:rFonts w:ascii="Arial" w:eastAsia="Times New Roman" w:hAnsi="Arial" w:cs="Arial"/>
                <w:kern w:val="0"/>
                <w:sz w:val="16"/>
                <w:szCs w:val="16"/>
                <w:lang w:val="es-MX" w:eastAsia="es-CO"/>
                <w14:ligatures w14:val="none"/>
              </w:rPr>
            </w:pPr>
            <w:r w:rsidRPr="008E7F5C">
              <w:rPr>
                <w:rFonts w:ascii="Arial" w:eastAsia="Times New Roman" w:hAnsi="Arial" w:cs="Arial"/>
                <w:kern w:val="0"/>
                <w:sz w:val="16"/>
                <w:szCs w:val="16"/>
                <w:lang w:val="es-MX" w:eastAsia="es-CO"/>
                <w14:ligatures w14:val="none"/>
              </w:rPr>
              <w:t>Alejandro Raúl Sarmiento Cantillo</w:t>
            </w:r>
          </w:p>
          <w:p w14:paraId="7D723359" w14:textId="77777777" w:rsidR="00010DE6" w:rsidRPr="008E7F5C" w:rsidRDefault="00010DE6" w:rsidP="00EF77D0">
            <w:pPr>
              <w:spacing w:after="0" w:line="240" w:lineRule="auto"/>
              <w:textAlignment w:val="baseline"/>
              <w:rPr>
                <w:rFonts w:ascii="Arial" w:eastAsia="Times New Roman" w:hAnsi="Arial" w:cs="Arial"/>
                <w:kern w:val="0"/>
                <w:sz w:val="16"/>
                <w:szCs w:val="16"/>
                <w:lang w:val="es-MX" w:eastAsia="es-CO"/>
                <w14:ligatures w14:val="none"/>
              </w:rPr>
            </w:pPr>
            <w:r w:rsidRPr="008E7F5C">
              <w:rPr>
                <w:rFonts w:ascii="Arial" w:eastAsia="Times New Roman" w:hAnsi="Arial" w:cs="Arial"/>
                <w:kern w:val="0"/>
                <w:sz w:val="16"/>
                <w:szCs w:val="16"/>
                <w:lang w:val="es-MX" w:eastAsia="es-CO"/>
                <w14:ligatures w14:val="none"/>
              </w:rPr>
              <w:t>Gestor T1-15 de la Subdirección de Gestión Contractual</w:t>
            </w:r>
          </w:p>
        </w:tc>
      </w:tr>
      <w:tr w:rsidR="00010DE6" w:rsidRPr="008E7F5C" w14:paraId="2F38BFE3" w14:textId="77777777" w:rsidTr="00EF77D0">
        <w:trPr>
          <w:trHeight w:val="300"/>
        </w:trPr>
        <w:tc>
          <w:tcPr>
            <w:tcW w:w="596" w:type="dxa"/>
            <w:tcBorders>
              <w:top w:val="nil"/>
              <w:left w:val="nil"/>
              <w:bottom w:val="nil"/>
              <w:right w:val="nil"/>
            </w:tcBorders>
            <w:shd w:val="clear" w:color="auto" w:fill="auto"/>
            <w:vAlign w:val="center"/>
            <w:hideMark/>
          </w:tcPr>
          <w:p w14:paraId="39658FE5" w14:textId="77777777" w:rsidR="00010DE6" w:rsidRPr="008E7F5C" w:rsidRDefault="00010DE6" w:rsidP="00EF77D0">
            <w:pPr>
              <w:spacing w:after="0" w:line="240" w:lineRule="auto"/>
              <w:textAlignment w:val="baseline"/>
              <w:rPr>
                <w:rFonts w:ascii="Arial" w:eastAsia="Times New Roman" w:hAnsi="Arial" w:cs="Arial"/>
                <w:kern w:val="0"/>
                <w:sz w:val="16"/>
                <w:szCs w:val="16"/>
                <w:lang w:val="es-MX" w:eastAsia="es-CO"/>
                <w14:ligatures w14:val="none"/>
              </w:rPr>
            </w:pPr>
            <w:r w:rsidRPr="008E7F5C">
              <w:rPr>
                <w:rFonts w:ascii="Arial" w:eastAsia="Times New Roman" w:hAnsi="Arial" w:cs="Arial"/>
                <w:kern w:val="0"/>
                <w:sz w:val="16"/>
                <w:szCs w:val="16"/>
                <w:lang w:val="es-MX" w:eastAsia="es-CO"/>
                <w14:ligatures w14:val="none"/>
              </w:rPr>
              <w:t>Aprobó:</w:t>
            </w:r>
          </w:p>
        </w:tc>
        <w:tc>
          <w:tcPr>
            <w:tcW w:w="5220" w:type="dxa"/>
            <w:tcBorders>
              <w:top w:val="dotted" w:sz="6" w:space="0" w:color="7F7F7F"/>
              <w:left w:val="nil"/>
              <w:bottom w:val="dotted" w:sz="6" w:space="0" w:color="7F7F7F"/>
              <w:right w:val="nil"/>
            </w:tcBorders>
            <w:shd w:val="clear" w:color="auto" w:fill="auto"/>
            <w:vAlign w:val="center"/>
            <w:hideMark/>
          </w:tcPr>
          <w:p w14:paraId="084E1292" w14:textId="77777777" w:rsidR="00010DE6" w:rsidRPr="008E7F5C" w:rsidRDefault="00010DE6" w:rsidP="00EF77D0">
            <w:pPr>
              <w:spacing w:after="0" w:line="240" w:lineRule="auto"/>
              <w:textAlignment w:val="baseline"/>
              <w:rPr>
                <w:rFonts w:ascii="Arial" w:eastAsia="Times New Roman" w:hAnsi="Arial" w:cs="Arial"/>
                <w:kern w:val="0"/>
                <w:sz w:val="16"/>
                <w:szCs w:val="16"/>
                <w:lang w:val="es-MX" w:eastAsia="es-CO"/>
                <w14:ligatures w14:val="none"/>
              </w:rPr>
            </w:pPr>
            <w:r w:rsidRPr="008E7F5C">
              <w:rPr>
                <w:rFonts w:ascii="Arial" w:eastAsia="Times New Roman" w:hAnsi="Arial" w:cs="Arial"/>
                <w:kern w:val="0"/>
                <w:sz w:val="16"/>
                <w:szCs w:val="16"/>
                <w:lang w:val="es-MX" w:eastAsia="es-CO"/>
                <w14:ligatures w14:val="none"/>
              </w:rPr>
              <w:t xml:space="preserve">Nohelia del Carmen </w:t>
            </w:r>
            <w:proofErr w:type="spellStart"/>
            <w:r w:rsidRPr="008E7F5C">
              <w:rPr>
                <w:rFonts w:ascii="Arial" w:eastAsia="Times New Roman" w:hAnsi="Arial" w:cs="Arial"/>
                <w:kern w:val="0"/>
                <w:sz w:val="16"/>
                <w:szCs w:val="16"/>
                <w:lang w:val="es-MX" w:eastAsia="es-CO"/>
                <w14:ligatures w14:val="none"/>
              </w:rPr>
              <w:t>Zawady</w:t>
            </w:r>
            <w:proofErr w:type="spellEnd"/>
            <w:r w:rsidRPr="008E7F5C">
              <w:rPr>
                <w:rFonts w:ascii="Arial" w:eastAsia="Times New Roman" w:hAnsi="Arial" w:cs="Arial"/>
                <w:kern w:val="0"/>
                <w:sz w:val="16"/>
                <w:szCs w:val="16"/>
                <w:lang w:val="es-MX" w:eastAsia="es-CO"/>
                <w14:ligatures w14:val="none"/>
              </w:rPr>
              <w:t xml:space="preserve"> Palacio</w:t>
            </w:r>
          </w:p>
          <w:p w14:paraId="362B1E5E" w14:textId="77777777" w:rsidR="00010DE6" w:rsidRPr="008E7F5C" w:rsidRDefault="00010DE6" w:rsidP="00EF77D0">
            <w:pPr>
              <w:spacing w:after="0" w:line="240" w:lineRule="auto"/>
              <w:textAlignment w:val="baseline"/>
              <w:rPr>
                <w:rFonts w:ascii="Arial" w:eastAsia="Times New Roman" w:hAnsi="Arial" w:cs="Arial"/>
                <w:kern w:val="0"/>
                <w:sz w:val="16"/>
                <w:szCs w:val="16"/>
                <w:lang w:val="es-MX" w:eastAsia="es-CO"/>
                <w14:ligatures w14:val="none"/>
              </w:rPr>
            </w:pPr>
            <w:r w:rsidRPr="008E7F5C">
              <w:rPr>
                <w:rFonts w:ascii="Arial" w:eastAsia="Times New Roman" w:hAnsi="Arial" w:cs="Arial"/>
                <w:kern w:val="0"/>
                <w:sz w:val="16"/>
                <w:szCs w:val="16"/>
                <w:lang w:val="es-MX" w:eastAsia="es-CO"/>
                <w14:ligatures w14:val="none"/>
              </w:rPr>
              <w:t>Subdirectora de Gestión Contractual</w:t>
            </w:r>
          </w:p>
        </w:tc>
      </w:tr>
      <w:bookmarkEnd w:id="5"/>
      <w:bookmarkEnd w:id="27"/>
      <w:bookmarkEnd w:id="37"/>
      <w:bookmarkEnd w:id="38"/>
      <w:bookmarkEnd w:id="39"/>
      <w:bookmarkEnd w:id="40"/>
      <w:bookmarkEnd w:id="41"/>
      <w:bookmarkEnd w:id="47"/>
      <w:bookmarkEnd w:id="48"/>
    </w:tbl>
    <w:p w14:paraId="69E1083F" w14:textId="77777777" w:rsidR="00010DE6" w:rsidRDefault="00010DE6" w:rsidP="008E7F5C">
      <w:pPr>
        <w:spacing w:after="120" w:line="276" w:lineRule="auto"/>
        <w:jc w:val="both"/>
        <w:rPr>
          <w:rFonts w:ascii="Arial" w:eastAsia="Calibri" w:hAnsi="Arial" w:cs="Arial"/>
          <w:kern w:val="0"/>
          <w:lang w:val="es-ES_tradnl" w:eastAsia="es-CO"/>
          <w14:ligatures w14:val="none"/>
        </w:rPr>
      </w:pPr>
    </w:p>
    <w:sectPr w:rsidR="00010DE6">
      <w:headerReference w:type="default" r:id="rId12"/>
      <w:footerReference w:type="defaul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09A0B6" w14:textId="77777777" w:rsidR="00DD3EC0" w:rsidRDefault="00DD3EC0" w:rsidP="00D8156F">
      <w:pPr>
        <w:spacing w:after="0" w:line="240" w:lineRule="auto"/>
      </w:pPr>
      <w:r>
        <w:separator/>
      </w:r>
    </w:p>
  </w:endnote>
  <w:endnote w:type="continuationSeparator" w:id="0">
    <w:p w14:paraId="46337809" w14:textId="77777777" w:rsidR="00DD3EC0" w:rsidRDefault="00DD3EC0" w:rsidP="00D8156F">
      <w:pPr>
        <w:spacing w:after="0" w:line="240" w:lineRule="auto"/>
      </w:pPr>
      <w:r>
        <w:continuationSeparator/>
      </w:r>
    </w:p>
  </w:endnote>
  <w:endnote w:type="continuationNotice" w:id="1">
    <w:p w14:paraId="2FD86DD6" w14:textId="77777777" w:rsidR="00DD3EC0" w:rsidRDefault="00DD3EC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Geomanist Bold">
    <w:altName w:val="Calibri"/>
    <w:panose1 w:val="00000000000000000000"/>
    <w:charset w:val="00"/>
    <w:family w:val="modern"/>
    <w:notTrueType/>
    <w:pitch w:val="variable"/>
    <w:sig w:usb0="A000002F" w:usb1="1000004A" w:usb2="00000000" w:usb3="00000000" w:csb0="00000193" w:csb1="00000000"/>
  </w:font>
  <w:font w:name="Century Gothic">
    <w:panose1 w:val="020B0502020202020204"/>
    <w:charset w:val="00"/>
    <w:family w:val="swiss"/>
    <w:pitch w:val="variable"/>
    <w:sig w:usb0="00000287" w:usb1="00000000" w:usb2="00000000" w:usb3="00000000" w:csb0="0000009F" w:csb1="00000000"/>
  </w:font>
  <w:font w:name="Geomanist Light">
    <w:altName w:val="Calibri"/>
    <w:panose1 w:val="00000000000000000000"/>
    <w:charset w:val="00"/>
    <w:family w:val="modern"/>
    <w:notTrueType/>
    <w:pitch w:val="variable"/>
    <w:sig w:usb0="A000002F" w:usb1="1000004A" w:usb2="00000000" w:usb3="00000000" w:csb0="00000193"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A6F7B" w14:textId="77777777" w:rsidR="00D8156F" w:rsidRDefault="00D8156F" w:rsidP="00D8156F">
    <w:pPr>
      <w:pStyle w:val="Piedepgina"/>
      <w:jc w:val="right"/>
      <w:rPr>
        <w:b/>
        <w:bCs/>
        <w:color w:val="7F7F7F" w:themeColor="text1" w:themeTint="80"/>
        <w:sz w:val="16"/>
        <w:szCs w:val="16"/>
      </w:rPr>
    </w:pPr>
    <w:r w:rsidRPr="00A135F4">
      <w:rPr>
        <w:rFonts w:ascii="Geomanist Bold" w:hAnsi="Geomanist Bold"/>
        <w:b/>
        <w:bCs/>
        <w:noProof/>
        <w:color w:val="002060"/>
        <w:sz w:val="24"/>
        <w:szCs w:val="24"/>
      </w:rPr>
      <w:drawing>
        <wp:anchor distT="0" distB="0" distL="114300" distR="114300" simplePos="0" relativeHeight="251658243" behindDoc="0" locked="0" layoutInCell="1" allowOverlap="1" wp14:anchorId="03F1B732" wp14:editId="6B0DACF0">
          <wp:simplePos x="0" y="0"/>
          <wp:positionH relativeFrom="page">
            <wp:posOffset>-238125</wp:posOffset>
          </wp:positionH>
          <wp:positionV relativeFrom="page">
            <wp:posOffset>8260715</wp:posOffset>
          </wp:positionV>
          <wp:extent cx="665480" cy="3098800"/>
          <wp:effectExtent l="0" t="0" r="1270" b="6350"/>
          <wp:wrapThrough wrapText="bothSides">
            <wp:wrapPolygon edited="0">
              <wp:start x="4947" y="0"/>
              <wp:lineTo x="0" y="1328"/>
              <wp:lineTo x="0" y="4913"/>
              <wp:lineTo x="5565" y="6374"/>
              <wp:lineTo x="0" y="7967"/>
              <wp:lineTo x="0" y="11818"/>
              <wp:lineTo x="3092" y="12748"/>
              <wp:lineTo x="0" y="14739"/>
              <wp:lineTo x="0" y="15138"/>
              <wp:lineTo x="3710" y="16997"/>
              <wp:lineTo x="0" y="17926"/>
              <wp:lineTo x="0" y="18590"/>
              <wp:lineTo x="1237" y="19121"/>
              <wp:lineTo x="9275" y="21246"/>
              <wp:lineTo x="11130" y="21511"/>
              <wp:lineTo x="15458" y="21511"/>
              <wp:lineTo x="21023" y="20184"/>
              <wp:lineTo x="21023" y="19918"/>
              <wp:lineTo x="17931" y="19121"/>
              <wp:lineTo x="21023" y="16864"/>
              <wp:lineTo x="21023" y="16466"/>
              <wp:lineTo x="14221" y="14872"/>
              <wp:lineTo x="21023" y="13544"/>
              <wp:lineTo x="21023" y="9693"/>
              <wp:lineTo x="16076" y="8498"/>
              <wp:lineTo x="21023" y="6772"/>
              <wp:lineTo x="21023" y="6241"/>
              <wp:lineTo x="17931" y="4249"/>
              <wp:lineTo x="21023" y="3452"/>
              <wp:lineTo x="21023" y="2789"/>
              <wp:lineTo x="9275" y="0"/>
              <wp:lineTo x="4947" y="0"/>
            </wp:wrapPolygon>
          </wp:wrapThrough>
          <wp:docPr id="1567040523" name="Picture 1567040523" descr="Imagen en blanco y negr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040523" name="Imagen 1567040523" descr="Imagen en blanco y negro&#10;&#10;Descripción generada automáticamente con confianza media"/>
                  <pic:cNvPicPr/>
                </pic:nvPicPr>
                <pic:blipFill>
                  <a:blip r:embed="rId1"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r>
      <w:rPr>
        <w:color w:val="7F7F7F" w:themeColor="text1" w:themeTint="80"/>
        <w:sz w:val="16"/>
        <w:szCs w:val="16"/>
      </w:rPr>
      <w:t>pág</w:t>
    </w:r>
    <w:r w:rsidRPr="00D96304">
      <w:rPr>
        <w:color w:val="7F7F7F" w:themeColor="text1" w:themeTint="80"/>
        <w:sz w:val="16"/>
        <w:szCs w:val="16"/>
      </w:rPr>
      <w:t xml:space="preserve">ina </w:t>
    </w:r>
    <w:r w:rsidRPr="00D96304">
      <w:rPr>
        <w:b/>
        <w:bCs/>
        <w:color w:val="7F7F7F" w:themeColor="text1" w:themeTint="80"/>
        <w:sz w:val="16"/>
        <w:szCs w:val="16"/>
      </w:rPr>
      <w:fldChar w:fldCharType="begin"/>
    </w:r>
    <w:r w:rsidRPr="00D96304">
      <w:rPr>
        <w:b/>
        <w:bCs/>
        <w:color w:val="7F7F7F" w:themeColor="text1" w:themeTint="80"/>
        <w:sz w:val="16"/>
        <w:szCs w:val="16"/>
      </w:rPr>
      <w:instrText>PAGE  \* Arabic  \* MERGEFORMAT</w:instrText>
    </w:r>
    <w:r w:rsidRPr="00D96304">
      <w:rPr>
        <w:b/>
        <w:bCs/>
        <w:color w:val="7F7F7F" w:themeColor="text1" w:themeTint="80"/>
        <w:sz w:val="16"/>
        <w:szCs w:val="16"/>
      </w:rPr>
      <w:fldChar w:fldCharType="separate"/>
    </w:r>
    <w:r>
      <w:rPr>
        <w:b/>
        <w:bCs/>
        <w:color w:val="7F7F7F" w:themeColor="text1" w:themeTint="80"/>
        <w:sz w:val="16"/>
        <w:szCs w:val="16"/>
      </w:rPr>
      <w:t>1</w:t>
    </w:r>
    <w:r w:rsidRPr="00D96304">
      <w:rPr>
        <w:b/>
        <w:bCs/>
        <w:color w:val="7F7F7F" w:themeColor="text1" w:themeTint="80"/>
        <w:sz w:val="16"/>
        <w:szCs w:val="16"/>
      </w:rPr>
      <w:fldChar w:fldCharType="end"/>
    </w:r>
    <w:r w:rsidRPr="00D96304">
      <w:rPr>
        <w:color w:val="7F7F7F" w:themeColor="text1" w:themeTint="80"/>
        <w:sz w:val="16"/>
        <w:szCs w:val="16"/>
      </w:rPr>
      <w:t xml:space="preserve"> de </w:t>
    </w:r>
    <w:r w:rsidRPr="00D96304">
      <w:rPr>
        <w:b/>
        <w:bCs/>
        <w:color w:val="7F7F7F" w:themeColor="text1" w:themeTint="80"/>
        <w:sz w:val="16"/>
        <w:szCs w:val="16"/>
      </w:rPr>
      <w:fldChar w:fldCharType="begin"/>
    </w:r>
    <w:r w:rsidRPr="00D96304">
      <w:rPr>
        <w:b/>
        <w:bCs/>
        <w:color w:val="7F7F7F" w:themeColor="text1" w:themeTint="80"/>
        <w:sz w:val="16"/>
        <w:szCs w:val="16"/>
      </w:rPr>
      <w:instrText>NUMPAGES  \* Arabic  \* MERGEFORMAT</w:instrText>
    </w:r>
    <w:r w:rsidRPr="00D96304">
      <w:rPr>
        <w:b/>
        <w:bCs/>
        <w:color w:val="7F7F7F" w:themeColor="text1" w:themeTint="80"/>
        <w:sz w:val="16"/>
        <w:szCs w:val="16"/>
      </w:rPr>
      <w:fldChar w:fldCharType="separate"/>
    </w:r>
    <w:r>
      <w:rPr>
        <w:b/>
        <w:bCs/>
        <w:color w:val="7F7F7F" w:themeColor="text1" w:themeTint="80"/>
        <w:sz w:val="16"/>
        <w:szCs w:val="16"/>
      </w:rPr>
      <w:t>2</w:t>
    </w:r>
    <w:r w:rsidRPr="00D96304">
      <w:rPr>
        <w:b/>
        <w:bCs/>
        <w:color w:val="7F7F7F" w:themeColor="text1" w:themeTint="80"/>
        <w:sz w:val="16"/>
        <w:szCs w:val="16"/>
      </w:rPr>
      <w:fldChar w:fldCharType="end"/>
    </w:r>
  </w:p>
  <w:p w14:paraId="401386C5" w14:textId="77777777" w:rsidR="00D8156F" w:rsidRPr="00D96304" w:rsidRDefault="00D8156F" w:rsidP="00D8156F">
    <w:pPr>
      <w:pStyle w:val="Piedepgina"/>
      <w:jc w:val="right"/>
      <w:rPr>
        <w:color w:val="7F7F7F" w:themeColor="text1" w:themeTint="80"/>
        <w:sz w:val="16"/>
        <w:szCs w:val="16"/>
      </w:rPr>
    </w:pPr>
    <w:r>
      <w:rPr>
        <w:noProof/>
        <w:color w:val="7F7F7F" w:themeColor="text1" w:themeTint="80"/>
        <w:sz w:val="16"/>
        <w:szCs w:val="16"/>
      </w:rPr>
      <w:drawing>
        <wp:inline distT="0" distB="0" distL="0" distR="0" wp14:anchorId="06B060BD" wp14:editId="377BD55A">
          <wp:extent cx="5400040" cy="624840"/>
          <wp:effectExtent l="0" t="0" r="0" b="3810"/>
          <wp:docPr id="541020788" name="Picture 541020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020788" name="Imagen 541020788"/>
                  <pic:cNvPicPr/>
                </pic:nvPicPr>
                <pic:blipFill>
                  <a:blip r:embed="rId2"/>
                  <a:stretch>
                    <a:fillRect/>
                  </a:stretch>
                </pic:blipFill>
                <pic:spPr>
                  <a:xfrm>
                    <a:off x="0" y="0"/>
                    <a:ext cx="5400040" cy="624840"/>
                  </a:xfrm>
                  <a:prstGeom prst="rect">
                    <a:avLst/>
                  </a:prstGeom>
                </pic:spPr>
              </pic:pic>
            </a:graphicData>
          </a:graphic>
        </wp:inline>
      </w:drawing>
    </w:r>
  </w:p>
  <w:tbl>
    <w:tblPr>
      <w:tblStyle w:val="Tablaconcuadrcula"/>
      <w:tblW w:w="920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7"/>
      <w:gridCol w:w="455"/>
      <w:gridCol w:w="905"/>
      <w:gridCol w:w="1977"/>
      <w:gridCol w:w="829"/>
      <w:gridCol w:w="2624"/>
      <w:gridCol w:w="1481"/>
    </w:tblGrid>
    <w:tr w:rsidR="00D8156F" w:rsidRPr="00B10DB8" w14:paraId="17DA88B9" w14:textId="77777777" w:rsidTr="006C3E05">
      <w:trPr>
        <w:trHeight w:val="249"/>
        <w:jc w:val="center"/>
      </w:trPr>
      <w:tc>
        <w:tcPr>
          <w:tcW w:w="937" w:type="dxa"/>
          <w:tcBorders>
            <w:top w:val="dotted" w:sz="4" w:space="0" w:color="808080" w:themeColor="background1" w:themeShade="80"/>
            <w:left w:val="dotted" w:sz="4" w:space="0" w:color="808080" w:themeColor="background1" w:themeShade="80"/>
            <w:bottom w:val="dotted" w:sz="4" w:space="0" w:color="808080" w:themeColor="background1" w:themeShade="80"/>
          </w:tcBorders>
          <w:shd w:val="clear" w:color="auto" w:fill="F2F2F2" w:themeFill="background1" w:themeFillShade="F2"/>
        </w:tcPr>
        <w:p w14:paraId="4825F92D" w14:textId="77777777" w:rsidR="00D8156F" w:rsidRPr="00B10DB8" w:rsidRDefault="00D8156F" w:rsidP="00D8156F">
          <w:pPr>
            <w:pStyle w:val="Piedepgina"/>
            <w:jc w:val="center"/>
            <w:rPr>
              <w:rFonts w:ascii="Geomanist Light" w:hAnsi="Geomanist Light"/>
              <w:color w:val="000000" w:themeColor="text1"/>
              <w:sz w:val="20"/>
              <w:szCs w:val="20"/>
            </w:rPr>
          </w:pPr>
          <w:r w:rsidRPr="00B10DB8">
            <w:rPr>
              <w:rFonts w:ascii="Geomanist Light" w:hAnsi="Geomanist Light"/>
              <w:color w:val="000000" w:themeColor="text1"/>
              <w:sz w:val="20"/>
              <w:szCs w:val="20"/>
            </w:rPr>
            <w:t>Versión:</w:t>
          </w:r>
        </w:p>
      </w:tc>
      <w:tc>
        <w:tcPr>
          <w:tcW w:w="455" w:type="dxa"/>
          <w:tcBorders>
            <w:top w:val="dotted" w:sz="4" w:space="0" w:color="808080" w:themeColor="background1" w:themeShade="80"/>
            <w:bottom w:val="dotted" w:sz="4" w:space="0" w:color="808080" w:themeColor="background1" w:themeShade="80"/>
            <w:right w:val="dotted" w:sz="4" w:space="0" w:color="808080" w:themeColor="background1" w:themeShade="80"/>
          </w:tcBorders>
        </w:tcPr>
        <w:p w14:paraId="73D5035E" w14:textId="77777777" w:rsidR="00D8156F" w:rsidRPr="00B10DB8" w:rsidRDefault="00D8156F" w:rsidP="00D8156F">
          <w:pPr>
            <w:pStyle w:val="Piedepgina"/>
            <w:jc w:val="center"/>
            <w:rPr>
              <w:rFonts w:ascii="Geomanist Light" w:hAnsi="Geomanist Light"/>
              <w:color w:val="000000" w:themeColor="text1"/>
              <w:sz w:val="20"/>
              <w:szCs w:val="20"/>
            </w:rPr>
          </w:pPr>
          <w:r w:rsidRPr="00B10DB8">
            <w:rPr>
              <w:rFonts w:ascii="Geomanist Light" w:hAnsi="Geomanist Light"/>
              <w:color w:val="000000" w:themeColor="text1"/>
              <w:sz w:val="20"/>
              <w:szCs w:val="20"/>
            </w:rPr>
            <w:t>02</w:t>
          </w:r>
        </w:p>
      </w:tc>
      <w:tc>
        <w:tcPr>
          <w:tcW w:w="905" w:type="dxa"/>
          <w:tcBorders>
            <w:top w:val="dotted" w:sz="4" w:space="0" w:color="808080" w:themeColor="background1" w:themeShade="80"/>
            <w:left w:val="dotted" w:sz="4" w:space="0" w:color="808080" w:themeColor="background1" w:themeShade="80"/>
            <w:bottom w:val="dotted" w:sz="4" w:space="0" w:color="808080" w:themeColor="background1" w:themeShade="80"/>
          </w:tcBorders>
          <w:shd w:val="clear" w:color="auto" w:fill="F2F2F2" w:themeFill="background1" w:themeFillShade="F2"/>
        </w:tcPr>
        <w:p w14:paraId="4DEF2D0D" w14:textId="77777777" w:rsidR="00D8156F" w:rsidRPr="00B10DB8" w:rsidRDefault="00D8156F" w:rsidP="00D8156F">
          <w:pPr>
            <w:pStyle w:val="Piedepgina"/>
            <w:jc w:val="center"/>
            <w:rPr>
              <w:rFonts w:ascii="Geomanist Light" w:hAnsi="Geomanist Light"/>
              <w:color w:val="000000" w:themeColor="text1"/>
              <w:sz w:val="20"/>
              <w:szCs w:val="20"/>
            </w:rPr>
          </w:pPr>
          <w:r w:rsidRPr="00B10DB8">
            <w:rPr>
              <w:rFonts w:ascii="Geomanist Light" w:hAnsi="Geomanist Light"/>
              <w:color w:val="000000" w:themeColor="text1"/>
              <w:sz w:val="20"/>
              <w:szCs w:val="20"/>
            </w:rPr>
            <w:t>Código:</w:t>
          </w:r>
        </w:p>
      </w:tc>
      <w:tc>
        <w:tcPr>
          <w:tcW w:w="1977" w:type="dxa"/>
          <w:tcBorders>
            <w:top w:val="dotted" w:sz="4" w:space="0" w:color="808080" w:themeColor="background1" w:themeShade="80"/>
            <w:bottom w:val="dotted" w:sz="4" w:space="0" w:color="808080" w:themeColor="background1" w:themeShade="80"/>
            <w:right w:val="dotted" w:sz="4" w:space="0" w:color="808080" w:themeColor="background1" w:themeShade="80"/>
          </w:tcBorders>
          <w:vAlign w:val="center"/>
        </w:tcPr>
        <w:p w14:paraId="6BA027F5" w14:textId="77777777" w:rsidR="00D8156F" w:rsidRPr="00B10DB8" w:rsidRDefault="00D8156F" w:rsidP="00D8156F">
          <w:pPr>
            <w:pStyle w:val="Piedepgina"/>
            <w:jc w:val="center"/>
            <w:rPr>
              <w:rFonts w:ascii="Geomanist Light" w:hAnsi="Geomanist Light"/>
              <w:color w:val="000000" w:themeColor="text1"/>
              <w:sz w:val="20"/>
              <w:szCs w:val="20"/>
            </w:rPr>
          </w:pPr>
          <w:r w:rsidRPr="00B10DB8">
            <w:rPr>
              <w:rFonts w:ascii="Geomanist Light" w:eastAsia="Arial" w:hAnsi="Geomanist Light" w:cs="Arial"/>
              <w:color w:val="000000" w:themeColor="text1"/>
              <w:sz w:val="20"/>
              <w:szCs w:val="20"/>
              <w:lang w:eastAsia="es-CO"/>
            </w:rPr>
            <w:t>CCE-DES-FM-19</w:t>
          </w:r>
        </w:p>
      </w:tc>
      <w:tc>
        <w:tcPr>
          <w:tcW w:w="829" w:type="dxa"/>
          <w:tcBorders>
            <w:top w:val="dotted" w:sz="4" w:space="0" w:color="808080" w:themeColor="background1" w:themeShade="80"/>
            <w:left w:val="dotted" w:sz="4" w:space="0" w:color="808080" w:themeColor="background1" w:themeShade="80"/>
            <w:bottom w:val="dotted" w:sz="4" w:space="0" w:color="808080" w:themeColor="background1" w:themeShade="80"/>
          </w:tcBorders>
          <w:shd w:val="clear" w:color="auto" w:fill="F2F2F2" w:themeFill="background1" w:themeFillShade="F2"/>
        </w:tcPr>
        <w:p w14:paraId="7A29D2D8" w14:textId="77777777" w:rsidR="00D8156F" w:rsidRPr="00B10DB8" w:rsidRDefault="00D8156F" w:rsidP="00D8156F">
          <w:pPr>
            <w:pStyle w:val="Piedepgina"/>
            <w:jc w:val="center"/>
            <w:rPr>
              <w:rFonts w:ascii="Geomanist Light" w:hAnsi="Geomanist Light"/>
              <w:color w:val="000000" w:themeColor="text1"/>
              <w:sz w:val="20"/>
              <w:szCs w:val="20"/>
            </w:rPr>
          </w:pPr>
          <w:r w:rsidRPr="00B10DB8">
            <w:rPr>
              <w:rFonts w:ascii="Geomanist Light" w:hAnsi="Geomanist Light"/>
              <w:color w:val="000000" w:themeColor="text1"/>
              <w:sz w:val="20"/>
              <w:szCs w:val="20"/>
            </w:rPr>
            <w:t>Fecha:</w:t>
          </w:r>
        </w:p>
      </w:tc>
      <w:tc>
        <w:tcPr>
          <w:tcW w:w="2624" w:type="dxa"/>
          <w:tcBorders>
            <w:top w:val="dotted" w:sz="4" w:space="0" w:color="808080" w:themeColor="background1" w:themeShade="80"/>
            <w:bottom w:val="dotted" w:sz="4" w:space="0" w:color="808080" w:themeColor="background1" w:themeShade="80"/>
            <w:right w:val="dotted" w:sz="4" w:space="0" w:color="808080" w:themeColor="background1" w:themeShade="80"/>
          </w:tcBorders>
        </w:tcPr>
        <w:p w14:paraId="318A9797" w14:textId="77777777" w:rsidR="00D8156F" w:rsidRPr="00B10DB8" w:rsidRDefault="00D8156F" w:rsidP="00D8156F">
          <w:pPr>
            <w:pStyle w:val="Piedepgina"/>
            <w:jc w:val="center"/>
            <w:rPr>
              <w:rFonts w:ascii="Geomanist Light" w:hAnsi="Geomanist Light"/>
              <w:color w:val="000000" w:themeColor="text1"/>
              <w:sz w:val="20"/>
              <w:szCs w:val="20"/>
            </w:rPr>
          </w:pPr>
          <w:r w:rsidRPr="00B10DB8">
            <w:rPr>
              <w:rFonts w:ascii="Geomanist Light" w:hAnsi="Geomanist Light"/>
              <w:color w:val="000000" w:themeColor="text1"/>
              <w:sz w:val="20"/>
              <w:szCs w:val="20"/>
            </w:rPr>
            <w:t>31 de enero de 2022</w:t>
          </w:r>
        </w:p>
      </w:tc>
      <w:tc>
        <w:tcPr>
          <w:tcW w:w="1481" w:type="dxa"/>
          <w:tc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tcBorders>
        </w:tcPr>
        <w:p w14:paraId="2CE63DB8" w14:textId="77777777" w:rsidR="00D8156F" w:rsidRPr="00B10DB8" w:rsidRDefault="00D8156F" w:rsidP="00D8156F">
          <w:pPr>
            <w:pStyle w:val="Piedepgina"/>
            <w:jc w:val="right"/>
            <w:rPr>
              <w:rFonts w:ascii="Geomanist Light" w:hAnsi="Geomanist Light"/>
              <w:color w:val="000000" w:themeColor="text1"/>
              <w:sz w:val="20"/>
              <w:szCs w:val="20"/>
            </w:rPr>
          </w:pPr>
          <w:r w:rsidRPr="00B10DB8">
            <w:rPr>
              <w:rFonts w:ascii="Geomanist Light" w:hAnsi="Geomanist Light"/>
              <w:color w:val="000000" w:themeColor="text1"/>
              <w:sz w:val="20"/>
              <w:szCs w:val="20"/>
            </w:rPr>
            <w:t xml:space="preserve">Página </w:t>
          </w:r>
          <w:r w:rsidRPr="00B10DB8">
            <w:rPr>
              <w:rFonts w:ascii="Geomanist Light" w:hAnsi="Geomanist Light"/>
              <w:b/>
              <w:bCs/>
              <w:color w:val="000000" w:themeColor="text1"/>
              <w:sz w:val="20"/>
              <w:szCs w:val="20"/>
            </w:rPr>
            <w:fldChar w:fldCharType="begin"/>
          </w:r>
          <w:r w:rsidRPr="00B10DB8">
            <w:rPr>
              <w:rFonts w:ascii="Geomanist Light" w:hAnsi="Geomanist Light"/>
              <w:b/>
              <w:bCs/>
              <w:color w:val="000000" w:themeColor="text1"/>
              <w:sz w:val="20"/>
              <w:szCs w:val="20"/>
            </w:rPr>
            <w:instrText>PAGE  \* Arabic  \* MERGEFORMAT</w:instrText>
          </w:r>
          <w:r w:rsidRPr="00B10DB8">
            <w:rPr>
              <w:rFonts w:ascii="Geomanist Light" w:hAnsi="Geomanist Light"/>
              <w:b/>
              <w:bCs/>
              <w:color w:val="000000" w:themeColor="text1"/>
              <w:sz w:val="20"/>
              <w:szCs w:val="20"/>
            </w:rPr>
            <w:fldChar w:fldCharType="separate"/>
          </w:r>
          <w:r>
            <w:rPr>
              <w:rFonts w:ascii="Geomanist Light" w:hAnsi="Geomanist Light"/>
              <w:b/>
              <w:bCs/>
              <w:color w:val="000000" w:themeColor="text1"/>
              <w:sz w:val="20"/>
              <w:szCs w:val="20"/>
            </w:rPr>
            <w:t>1</w:t>
          </w:r>
          <w:r w:rsidRPr="00B10DB8">
            <w:rPr>
              <w:rFonts w:ascii="Geomanist Light" w:hAnsi="Geomanist Light"/>
              <w:b/>
              <w:bCs/>
              <w:color w:val="000000" w:themeColor="text1"/>
              <w:sz w:val="20"/>
              <w:szCs w:val="20"/>
            </w:rPr>
            <w:fldChar w:fldCharType="end"/>
          </w:r>
          <w:r w:rsidRPr="00B10DB8">
            <w:rPr>
              <w:rFonts w:ascii="Geomanist Light" w:hAnsi="Geomanist Light"/>
              <w:color w:val="000000" w:themeColor="text1"/>
              <w:sz w:val="20"/>
              <w:szCs w:val="20"/>
            </w:rPr>
            <w:t xml:space="preserve"> de </w:t>
          </w:r>
          <w:r w:rsidRPr="00B10DB8">
            <w:rPr>
              <w:rFonts w:ascii="Geomanist Light" w:hAnsi="Geomanist Light"/>
              <w:b/>
              <w:bCs/>
              <w:color w:val="000000" w:themeColor="text1"/>
              <w:sz w:val="20"/>
              <w:szCs w:val="20"/>
            </w:rPr>
            <w:fldChar w:fldCharType="begin"/>
          </w:r>
          <w:r w:rsidRPr="00B10DB8">
            <w:rPr>
              <w:rFonts w:ascii="Geomanist Light" w:hAnsi="Geomanist Light"/>
              <w:b/>
              <w:bCs/>
              <w:color w:val="000000" w:themeColor="text1"/>
              <w:sz w:val="20"/>
              <w:szCs w:val="20"/>
            </w:rPr>
            <w:instrText>NUMPAGES  \* Arabic  \* MERGEFORMAT</w:instrText>
          </w:r>
          <w:r w:rsidRPr="00B10DB8">
            <w:rPr>
              <w:rFonts w:ascii="Geomanist Light" w:hAnsi="Geomanist Light"/>
              <w:b/>
              <w:bCs/>
              <w:color w:val="000000" w:themeColor="text1"/>
              <w:sz w:val="20"/>
              <w:szCs w:val="20"/>
            </w:rPr>
            <w:fldChar w:fldCharType="separate"/>
          </w:r>
          <w:r>
            <w:rPr>
              <w:rFonts w:ascii="Geomanist Light" w:hAnsi="Geomanist Light"/>
              <w:b/>
              <w:bCs/>
              <w:color w:val="000000" w:themeColor="text1"/>
              <w:sz w:val="20"/>
              <w:szCs w:val="20"/>
            </w:rPr>
            <w:t>2</w:t>
          </w:r>
          <w:r w:rsidRPr="00B10DB8">
            <w:rPr>
              <w:rFonts w:ascii="Geomanist Light" w:hAnsi="Geomanist Light"/>
              <w:b/>
              <w:bCs/>
              <w:color w:val="000000" w:themeColor="text1"/>
              <w:sz w:val="20"/>
              <w:szCs w:val="20"/>
            </w:rPr>
            <w:fldChar w:fldCharType="end"/>
          </w:r>
        </w:p>
      </w:tc>
    </w:tr>
  </w:tbl>
  <w:p w14:paraId="35BBE29F" w14:textId="77777777" w:rsidR="00D8156F" w:rsidRDefault="00D8156F" w:rsidP="00D8156F">
    <w:pPr>
      <w:pStyle w:val="Piedepgina"/>
    </w:pPr>
  </w:p>
  <w:p w14:paraId="71F8093E" w14:textId="77777777" w:rsidR="00D8156F" w:rsidRDefault="00D8156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D98F1A" w14:textId="77777777" w:rsidR="00DD3EC0" w:rsidRDefault="00DD3EC0" w:rsidP="00D8156F">
      <w:pPr>
        <w:spacing w:after="0" w:line="240" w:lineRule="auto"/>
      </w:pPr>
      <w:r>
        <w:separator/>
      </w:r>
    </w:p>
  </w:footnote>
  <w:footnote w:type="continuationSeparator" w:id="0">
    <w:p w14:paraId="17CF3004" w14:textId="77777777" w:rsidR="00DD3EC0" w:rsidRDefault="00DD3EC0" w:rsidP="00D8156F">
      <w:pPr>
        <w:spacing w:after="0" w:line="240" w:lineRule="auto"/>
      </w:pPr>
      <w:r>
        <w:continuationSeparator/>
      </w:r>
    </w:p>
  </w:footnote>
  <w:footnote w:type="continuationNotice" w:id="1">
    <w:p w14:paraId="64B3D6BA" w14:textId="77777777" w:rsidR="00DD3EC0" w:rsidRDefault="00DD3EC0">
      <w:pPr>
        <w:spacing w:after="0" w:line="240" w:lineRule="auto"/>
      </w:pPr>
    </w:p>
  </w:footnote>
  <w:footnote w:id="2">
    <w:p w14:paraId="73B125BF" w14:textId="77777777" w:rsidR="008E7F5C" w:rsidRPr="00FE7A30" w:rsidRDefault="008E7F5C" w:rsidP="008E7F5C">
      <w:pPr>
        <w:pStyle w:val="Textonotapie"/>
        <w:ind w:firstLine="708"/>
        <w:jc w:val="both"/>
        <w:rPr>
          <w:rFonts w:ascii="Arial" w:hAnsi="Arial" w:cs="Arial"/>
          <w:sz w:val="18"/>
          <w:szCs w:val="18"/>
          <w:lang w:val="es-ES"/>
        </w:rPr>
      </w:pPr>
      <w:r w:rsidRPr="00FE7A30">
        <w:rPr>
          <w:rStyle w:val="Refdenotaalpie"/>
          <w:rFonts w:ascii="Arial" w:eastAsiaTheme="majorEastAsia" w:hAnsi="Arial" w:cs="Arial"/>
          <w:sz w:val="18"/>
          <w:szCs w:val="18"/>
        </w:rPr>
        <w:footnoteRef/>
      </w:r>
      <w:r w:rsidRPr="00FE7A30">
        <w:rPr>
          <w:rFonts w:ascii="Arial" w:hAnsi="Arial" w:cs="Arial"/>
          <w:sz w:val="18"/>
          <w:szCs w:val="18"/>
        </w:rPr>
        <w:t xml:space="preserve"> La Agencia Nacional de Contratación Pública -Colombia Compra Eficiente- fue creada por el Decreto-Ley 4170 de 2011. Su objetivo es servir como ente rector de la política de compras y contratación pública del Estado. Para tales fines, como órgano técnico especializado, le corresponde formular políticas públicas, normas y unificar los procesos de contratación estatal, con el objetivo de lograr una mayor eficiencia, transparencia y optimización de los recursos del Estado. El artículo 3º </w:t>
      </w:r>
      <w:r w:rsidRPr="00FE7A30">
        <w:rPr>
          <w:rFonts w:ascii="Arial" w:hAnsi="Arial" w:cs="Arial"/>
          <w:i/>
          <w:iCs/>
          <w:sz w:val="18"/>
          <w:szCs w:val="18"/>
        </w:rPr>
        <w:t xml:space="preserve">ibidem </w:t>
      </w:r>
      <w:r w:rsidRPr="00FE7A30">
        <w:rPr>
          <w:rFonts w:ascii="Arial" w:hAnsi="Arial" w:cs="Arial"/>
          <w:sz w:val="18"/>
          <w:szCs w:val="18"/>
        </w:rPr>
        <w:t xml:space="preserve">señala, de manera precisa, las funciones de la entidad. Concretamente, el numeral 5º del citado artículo establece que le corresponde a esta entidad: </w:t>
      </w:r>
      <w:r w:rsidRPr="00FE7A30">
        <w:rPr>
          <w:rFonts w:ascii="Arial" w:hAnsi="Arial" w:cs="Arial"/>
          <w:i/>
          <w:iCs/>
          <w:sz w:val="18"/>
          <w:szCs w:val="18"/>
        </w:rPr>
        <w:t>“[a]bsolver consultas sobre la aplicación de normas de carácter general y expedir circulares externas en materia de compras y contratación pública”</w:t>
      </w:r>
      <w:r w:rsidRPr="00FE7A30">
        <w:rPr>
          <w:rFonts w:ascii="Arial" w:hAnsi="Arial" w:cs="Arial"/>
          <w:sz w:val="18"/>
          <w:szCs w:val="18"/>
        </w:rPr>
        <w:t xml:space="preserve">. A su turno, el numeral 8º del artículo 11 </w:t>
      </w:r>
      <w:r w:rsidRPr="00FE7A30">
        <w:rPr>
          <w:rFonts w:ascii="Arial" w:hAnsi="Arial" w:cs="Arial"/>
          <w:i/>
          <w:iCs/>
          <w:sz w:val="18"/>
          <w:szCs w:val="18"/>
        </w:rPr>
        <w:t>ibidem</w:t>
      </w:r>
      <w:r w:rsidRPr="00FE7A30">
        <w:rPr>
          <w:rFonts w:ascii="Arial" w:hAnsi="Arial" w:cs="Arial"/>
          <w:sz w:val="18"/>
          <w:szCs w:val="18"/>
        </w:rPr>
        <w:t xml:space="preserve"> indica que es función de la Subdirección de Gestión Contractual: </w:t>
      </w:r>
      <w:r w:rsidRPr="00FE7A30">
        <w:rPr>
          <w:rFonts w:ascii="Arial" w:hAnsi="Arial" w:cs="Arial"/>
          <w:i/>
          <w:iCs/>
          <w:sz w:val="18"/>
          <w:szCs w:val="18"/>
        </w:rPr>
        <w:t>“[a]bsolver consultas sobre la aplicación de normas de carácter general”</w:t>
      </w:r>
      <w:r w:rsidRPr="00FE7A30">
        <w:rPr>
          <w:rFonts w:ascii="Arial" w:hAnsi="Arial" w:cs="Arial"/>
          <w:sz w:val="18"/>
          <w:szCs w:val="18"/>
        </w:rPr>
        <w:t>.</w:t>
      </w:r>
    </w:p>
  </w:footnote>
  <w:footnote w:id="3">
    <w:p w14:paraId="02FF2B1B" w14:textId="44AEEBCF" w:rsidR="00B868BF" w:rsidRPr="00FE7A30" w:rsidRDefault="00B868BF" w:rsidP="00B868BF">
      <w:pPr>
        <w:pStyle w:val="Textonotapie"/>
        <w:ind w:firstLine="708"/>
        <w:contextualSpacing/>
        <w:jc w:val="both"/>
        <w:rPr>
          <w:rStyle w:val="Hipervnculo"/>
          <w:rFonts w:ascii="Arial" w:hAnsi="Arial" w:cs="Arial"/>
          <w:sz w:val="18"/>
          <w:szCs w:val="18"/>
        </w:rPr>
      </w:pPr>
      <w:r w:rsidRPr="00FE7A30">
        <w:rPr>
          <w:rStyle w:val="Refdenotaalpie"/>
          <w:rFonts w:ascii="Arial" w:hAnsi="Arial" w:cs="Arial"/>
          <w:sz w:val="18"/>
          <w:szCs w:val="18"/>
        </w:rPr>
        <w:footnoteRef/>
      </w:r>
      <w:r w:rsidRPr="00FE7A30">
        <w:rPr>
          <w:rFonts w:ascii="Arial" w:hAnsi="Arial" w:cs="Arial"/>
          <w:sz w:val="18"/>
          <w:szCs w:val="18"/>
        </w:rPr>
        <w:t xml:space="preserve"> Los conceptos expedidos por la Subdirección de Gestión Contractual de la Agencia Nacional de Contratación Pública pueden ser consultados en plataforma de relatoría a la cual se puede acceder a través del siguiente enlace:  </w:t>
      </w:r>
      <w:hyperlink r:id="rId1" w:history="1">
        <w:r w:rsidRPr="00FE7A30">
          <w:rPr>
            <w:rStyle w:val="Hipervnculo"/>
            <w:rFonts w:ascii="Arial" w:hAnsi="Arial" w:cs="Arial"/>
            <w:sz w:val="18"/>
            <w:szCs w:val="18"/>
          </w:rPr>
          <w:t>https://relatoria.colombiacompra.gov.co/busqueda/conceptos</w:t>
        </w:r>
      </w:hyperlink>
      <w:r w:rsidRPr="00FE7A30">
        <w:rPr>
          <w:rStyle w:val="Hipervnculo"/>
          <w:rFonts w:ascii="Arial" w:hAnsi="Arial" w:cs="Arial"/>
          <w:sz w:val="18"/>
          <w:szCs w:val="18"/>
        </w:rPr>
        <w:t>.</w:t>
      </w:r>
    </w:p>
    <w:p w14:paraId="616CA8A2" w14:textId="77777777" w:rsidR="00B868BF" w:rsidRPr="00FE7A30" w:rsidRDefault="00B868BF" w:rsidP="00B868BF">
      <w:pPr>
        <w:pStyle w:val="Textonotapie"/>
        <w:ind w:firstLine="708"/>
        <w:contextualSpacing/>
        <w:jc w:val="both"/>
        <w:rPr>
          <w:rFonts w:ascii="Arial" w:hAnsi="Arial" w:cs="Arial"/>
          <w:sz w:val="18"/>
          <w:szCs w:val="18"/>
        </w:rPr>
      </w:pPr>
    </w:p>
  </w:footnote>
  <w:footnote w:id="4">
    <w:p w14:paraId="34154001" w14:textId="77777777" w:rsidR="00B868BF" w:rsidRPr="00FE7A30" w:rsidRDefault="00B868BF" w:rsidP="00B868BF">
      <w:pPr>
        <w:pStyle w:val="NormalWeb"/>
        <w:spacing w:after="0"/>
        <w:ind w:firstLine="708"/>
        <w:contextualSpacing/>
        <w:jc w:val="both"/>
        <w:rPr>
          <w:rFonts w:ascii="Arial" w:hAnsi="Arial" w:cs="Arial"/>
          <w:sz w:val="18"/>
          <w:szCs w:val="18"/>
          <w:lang w:val="es-MX"/>
        </w:rPr>
      </w:pPr>
      <w:r w:rsidRPr="00FE7A30">
        <w:rPr>
          <w:rStyle w:val="Refdenotaalpie"/>
          <w:rFonts w:ascii="Arial" w:hAnsi="Arial" w:cs="Arial"/>
          <w:sz w:val="18"/>
          <w:szCs w:val="18"/>
          <w:lang w:val="es-MX"/>
        </w:rPr>
        <w:footnoteRef/>
      </w:r>
      <w:r w:rsidRPr="00FE7A30">
        <w:rPr>
          <w:rStyle w:val="Refdenotaalpie"/>
          <w:rFonts w:ascii="Arial" w:hAnsi="Arial" w:cs="Arial"/>
          <w:sz w:val="18"/>
          <w:szCs w:val="18"/>
          <w:lang w:val="es-MX"/>
        </w:rPr>
        <w:t xml:space="preserve"> </w:t>
      </w:r>
      <w:r w:rsidRPr="00FE7A30">
        <w:rPr>
          <w:rFonts w:ascii="Arial" w:hAnsi="Arial" w:cs="Arial"/>
          <w:sz w:val="18"/>
          <w:szCs w:val="18"/>
          <w:lang w:val="es-MX"/>
        </w:rPr>
        <w:t>Decreto Ley 2663 del 5 de agosto de 1950, Código Sustantivo del Trabajo: “Son representantes del {empleador} y como tales lo obligan frente a sus trabajadores además de quienes tienen ese carácter según la ley, la convención o el reglamento de trabajo, las siguientes personas:</w:t>
      </w:r>
    </w:p>
    <w:p w14:paraId="2E454154" w14:textId="77777777" w:rsidR="00B868BF" w:rsidRPr="00FE7A30" w:rsidRDefault="00B868BF" w:rsidP="00B868BF">
      <w:pPr>
        <w:ind w:left="709"/>
        <w:contextualSpacing/>
        <w:jc w:val="both"/>
        <w:rPr>
          <w:rFonts w:ascii="Arial" w:hAnsi="Arial" w:cs="Arial"/>
          <w:sz w:val="18"/>
          <w:szCs w:val="18"/>
        </w:rPr>
      </w:pPr>
      <w:r w:rsidRPr="00FE7A30">
        <w:rPr>
          <w:rFonts w:ascii="Arial" w:hAnsi="Arial" w:cs="Arial"/>
          <w:sz w:val="18"/>
          <w:szCs w:val="18"/>
        </w:rPr>
        <w:t>a) Las que ejerzan funciones de dirección o administración, tales como directores, gerentes, administradores, síndicos o liquidadores, mayordomos y capitanes de barco, y quienes ejercitan actos de representación con la aquiescencia expresa o tácita del {empleador};</w:t>
      </w:r>
    </w:p>
    <w:p w14:paraId="31E7FAA0" w14:textId="77777777" w:rsidR="00B868BF" w:rsidRPr="00FE7A30" w:rsidRDefault="00B868BF" w:rsidP="00B868BF">
      <w:pPr>
        <w:ind w:left="709"/>
        <w:contextualSpacing/>
        <w:jc w:val="both"/>
        <w:rPr>
          <w:rFonts w:ascii="Arial" w:hAnsi="Arial" w:cs="Arial"/>
          <w:sz w:val="18"/>
          <w:szCs w:val="18"/>
        </w:rPr>
      </w:pPr>
      <w:r w:rsidRPr="00FE7A30">
        <w:rPr>
          <w:rFonts w:ascii="Arial" w:hAnsi="Arial" w:cs="Arial"/>
          <w:sz w:val="18"/>
          <w:szCs w:val="18"/>
        </w:rPr>
        <w:t>b) Los intermediarios”.</w:t>
      </w:r>
    </w:p>
    <w:p w14:paraId="2B868E10" w14:textId="77777777" w:rsidR="00B868BF" w:rsidRPr="00FE7A30" w:rsidRDefault="00B868BF" w:rsidP="00B868BF">
      <w:pPr>
        <w:ind w:left="709"/>
        <w:contextualSpacing/>
        <w:jc w:val="both"/>
        <w:rPr>
          <w:rFonts w:ascii="Arial" w:hAnsi="Arial" w:cs="Arial"/>
          <w:sz w:val="18"/>
          <w:szCs w:val="18"/>
        </w:rPr>
      </w:pPr>
    </w:p>
  </w:footnote>
  <w:footnote w:id="5">
    <w:p w14:paraId="6404CFA8" w14:textId="77777777" w:rsidR="00B868BF" w:rsidRPr="00FE7A30" w:rsidRDefault="00B868BF" w:rsidP="00B868BF">
      <w:pPr>
        <w:pStyle w:val="Textonotapie"/>
        <w:ind w:firstLine="708"/>
        <w:contextualSpacing/>
        <w:jc w:val="both"/>
        <w:rPr>
          <w:rFonts w:ascii="Arial" w:hAnsi="Arial" w:cs="Arial"/>
          <w:sz w:val="18"/>
          <w:szCs w:val="18"/>
        </w:rPr>
      </w:pPr>
      <w:r w:rsidRPr="00FE7A30">
        <w:rPr>
          <w:rStyle w:val="Refdenotaalpie"/>
          <w:rFonts w:ascii="Arial" w:hAnsi="Arial" w:cs="Arial"/>
          <w:sz w:val="18"/>
          <w:szCs w:val="18"/>
        </w:rPr>
        <w:footnoteRef/>
      </w:r>
      <w:r w:rsidRPr="00FE7A30">
        <w:rPr>
          <w:rFonts w:ascii="Arial" w:hAnsi="Arial" w:cs="Arial"/>
          <w:sz w:val="18"/>
          <w:szCs w:val="18"/>
        </w:rPr>
        <w:t xml:space="preserve"> Código País. Código de mejores prácticas corporativas. ANDI, Asobancaria, </w:t>
      </w:r>
      <w:proofErr w:type="spellStart"/>
      <w:r w:rsidRPr="00FE7A30">
        <w:rPr>
          <w:rFonts w:ascii="Arial" w:hAnsi="Arial" w:cs="Arial"/>
          <w:sz w:val="18"/>
          <w:szCs w:val="18"/>
        </w:rPr>
        <w:t>Asofiduciarias</w:t>
      </w:r>
      <w:proofErr w:type="spellEnd"/>
      <w:r w:rsidRPr="00FE7A30">
        <w:rPr>
          <w:rFonts w:ascii="Arial" w:hAnsi="Arial" w:cs="Arial"/>
          <w:sz w:val="18"/>
          <w:szCs w:val="18"/>
        </w:rPr>
        <w:t xml:space="preserve">, Asofondos, Bolsa de Valores de Colombia, Confecámaras, </w:t>
      </w:r>
      <w:proofErr w:type="spellStart"/>
      <w:r w:rsidRPr="00FE7A30">
        <w:rPr>
          <w:rFonts w:ascii="Arial" w:hAnsi="Arial" w:cs="Arial"/>
          <w:sz w:val="18"/>
          <w:szCs w:val="18"/>
        </w:rPr>
        <w:t>Fasecolda</w:t>
      </w:r>
      <w:proofErr w:type="spellEnd"/>
      <w:r w:rsidRPr="00FE7A30">
        <w:rPr>
          <w:rFonts w:ascii="Arial" w:hAnsi="Arial" w:cs="Arial"/>
          <w:sz w:val="18"/>
          <w:szCs w:val="18"/>
        </w:rPr>
        <w:t xml:space="preserve">, Comité de Emisores de la Bolsa de Valores de Colombia, CAF y Superintendencia Financiera de Colombia. 2014. (En línea). Disponible en: </w:t>
      </w:r>
      <w:hyperlink r:id="rId2" w:history="1">
        <w:r w:rsidRPr="00FE7A30">
          <w:rPr>
            <w:rStyle w:val="Hipervnculo"/>
            <w:rFonts w:ascii="Arial" w:hAnsi="Arial" w:cs="Arial"/>
            <w:sz w:val="18"/>
            <w:szCs w:val="18"/>
          </w:rPr>
          <w:t>https://www.superfinanciera.gov.co/inicio/industrias-supervisadas/gobierno-corporativo/codigo-pais-61162</w:t>
        </w:r>
      </w:hyperlink>
      <w:r w:rsidRPr="00FE7A30">
        <w:rPr>
          <w:rFonts w:ascii="Arial" w:hAnsi="Arial" w:cs="Arial"/>
          <w:sz w:val="18"/>
          <w:szCs w:val="18"/>
        </w:rPr>
        <w:t xml:space="preserve"> </w:t>
      </w:r>
    </w:p>
  </w:footnote>
  <w:footnote w:id="6">
    <w:p w14:paraId="279F43B0" w14:textId="77777777" w:rsidR="00B868BF" w:rsidRPr="00FE7A30" w:rsidRDefault="00B868BF" w:rsidP="00B868BF">
      <w:pPr>
        <w:pStyle w:val="Textonotapie"/>
        <w:ind w:firstLine="708"/>
        <w:contextualSpacing/>
        <w:jc w:val="both"/>
        <w:rPr>
          <w:rFonts w:ascii="Arial" w:hAnsi="Arial" w:cs="Arial"/>
          <w:sz w:val="18"/>
          <w:szCs w:val="18"/>
        </w:rPr>
      </w:pPr>
      <w:r w:rsidRPr="00FE7A30">
        <w:rPr>
          <w:rStyle w:val="Refdenotaalpie"/>
          <w:rFonts w:ascii="Arial" w:hAnsi="Arial" w:cs="Arial"/>
          <w:sz w:val="18"/>
          <w:szCs w:val="18"/>
        </w:rPr>
        <w:footnoteRef/>
      </w:r>
      <w:r w:rsidRPr="00FE7A30">
        <w:rPr>
          <w:rFonts w:ascii="Arial" w:hAnsi="Arial" w:cs="Arial"/>
          <w:sz w:val="18"/>
          <w:szCs w:val="18"/>
        </w:rPr>
        <w:t xml:space="preserve"> Guía de Buenas Prácticas de Gobierno Corporativo para Empresas Competitivas, Productivas y Perdurables. Cámara de Comercio de Bogotá, Confederación Colombiana de Cámaras de Comercio y Superintendencia de Sociedades. 2020. (En línea). Disponible en: </w:t>
      </w:r>
      <w:hyperlink r:id="rId3" w:history="1">
        <w:r w:rsidRPr="00FE7A30">
          <w:rPr>
            <w:rStyle w:val="Hipervnculo"/>
            <w:rFonts w:ascii="Arial" w:hAnsi="Arial" w:cs="Arial"/>
            <w:sz w:val="18"/>
            <w:szCs w:val="18"/>
          </w:rPr>
          <w:t>https://www.supersociedades.gov.co/Noticias/Publicaciones/Revistas/2020/GUIA-GOBIERNO-CORPORATIVO-2020.pdf</w:t>
        </w:r>
      </w:hyperlink>
      <w:r w:rsidRPr="00FE7A30">
        <w:rPr>
          <w:rFonts w:ascii="Arial" w:hAnsi="Arial" w:cs="Arial"/>
          <w:sz w:val="18"/>
          <w:szCs w:val="18"/>
        </w:rPr>
        <w:t xml:space="preserve"> </w:t>
      </w:r>
    </w:p>
  </w:footnote>
  <w:footnote w:id="7">
    <w:p w14:paraId="25AB92BB" w14:textId="0802C58B" w:rsidR="007A1DF0" w:rsidRPr="00FE7A30" w:rsidRDefault="007A18E4">
      <w:pPr>
        <w:pStyle w:val="Textonotapie"/>
        <w:rPr>
          <w:rFonts w:ascii="Arial" w:hAnsi="Arial" w:cs="Arial"/>
          <w:sz w:val="18"/>
          <w:szCs w:val="18"/>
        </w:rPr>
      </w:pPr>
      <w:r w:rsidRPr="00FE7A30">
        <w:rPr>
          <w:rFonts w:ascii="Arial" w:hAnsi="Arial" w:cs="Arial"/>
          <w:sz w:val="18"/>
          <w:szCs w:val="18"/>
        </w:rPr>
        <w:tab/>
      </w:r>
      <w:r w:rsidR="007A1DF0" w:rsidRPr="00FE7A30">
        <w:rPr>
          <w:rStyle w:val="Refdenotaalpie"/>
          <w:rFonts w:ascii="Arial" w:hAnsi="Arial" w:cs="Arial"/>
          <w:sz w:val="18"/>
          <w:szCs w:val="18"/>
        </w:rPr>
        <w:footnoteRef/>
      </w:r>
      <w:r w:rsidRPr="00FE7A30">
        <w:rPr>
          <w:rFonts w:ascii="Arial" w:hAnsi="Arial" w:cs="Arial"/>
          <w:sz w:val="18"/>
          <w:szCs w:val="18"/>
        </w:rPr>
        <w:t xml:space="preserve"> Corte Constitucional, </w:t>
      </w:r>
      <w:r w:rsidR="007A1DF0" w:rsidRPr="00FE7A30">
        <w:rPr>
          <w:rFonts w:ascii="Arial" w:hAnsi="Arial" w:cs="Arial"/>
          <w:sz w:val="18"/>
          <w:szCs w:val="18"/>
        </w:rPr>
        <w:t>Sentencia C-865 de 2004</w:t>
      </w:r>
      <w:r w:rsidRPr="00FE7A30">
        <w:rPr>
          <w:rFonts w:ascii="Arial" w:hAnsi="Arial" w:cs="Arial"/>
          <w:sz w:val="18"/>
          <w:szCs w:val="18"/>
        </w:rPr>
        <w:t>, M.P. Rodrigo Escobar Gil.</w:t>
      </w:r>
    </w:p>
  </w:footnote>
  <w:footnote w:id="8">
    <w:p w14:paraId="64DEB020" w14:textId="6D6129C1" w:rsidR="00164A8E" w:rsidRPr="00FE7A30" w:rsidRDefault="007A18E4" w:rsidP="00164A8E">
      <w:pPr>
        <w:pStyle w:val="Textonotapie"/>
        <w:jc w:val="both"/>
        <w:rPr>
          <w:rFonts w:ascii="Arial" w:hAnsi="Arial" w:cs="Arial"/>
          <w:sz w:val="18"/>
          <w:szCs w:val="18"/>
          <w:lang w:val="es-CO"/>
        </w:rPr>
      </w:pPr>
      <w:r w:rsidRPr="00FE7A30">
        <w:rPr>
          <w:rFonts w:ascii="Arial" w:hAnsi="Arial" w:cs="Arial"/>
          <w:sz w:val="18"/>
          <w:szCs w:val="18"/>
        </w:rPr>
        <w:tab/>
      </w:r>
      <w:r w:rsidR="00164A8E" w:rsidRPr="00FE7A30">
        <w:rPr>
          <w:rStyle w:val="Refdenotaalpie"/>
          <w:rFonts w:ascii="Arial" w:hAnsi="Arial" w:cs="Arial"/>
          <w:sz w:val="18"/>
          <w:szCs w:val="18"/>
        </w:rPr>
        <w:footnoteRef/>
      </w:r>
      <w:r w:rsidR="00164A8E" w:rsidRPr="00FE7A30">
        <w:rPr>
          <w:rFonts w:ascii="Arial" w:hAnsi="Arial" w:cs="Arial"/>
          <w:sz w:val="18"/>
          <w:szCs w:val="18"/>
        </w:rPr>
        <w:t xml:space="preserve"> Artículo 377 </w:t>
      </w:r>
      <w:bookmarkStart w:id="43" w:name="_Hlk141854021"/>
      <w:r w:rsidR="00164A8E" w:rsidRPr="00FE7A30">
        <w:rPr>
          <w:rFonts w:ascii="Arial" w:hAnsi="Arial" w:cs="Arial"/>
          <w:sz w:val="18"/>
          <w:szCs w:val="18"/>
        </w:rPr>
        <w:t>del Decreto 410 de 1971 “Por el cual se expide el Código de Comercio”.</w:t>
      </w:r>
      <w:bookmarkEnd w:id="43"/>
    </w:p>
  </w:footnote>
  <w:footnote w:id="9">
    <w:p w14:paraId="5FE83056" w14:textId="706AF6F3" w:rsidR="006E42D4" w:rsidRPr="00FE7A30" w:rsidRDefault="006E42D4" w:rsidP="006E42D4">
      <w:pPr>
        <w:pStyle w:val="Textonotapie"/>
        <w:jc w:val="both"/>
        <w:rPr>
          <w:rFonts w:ascii="Arial" w:hAnsi="Arial" w:cs="Arial"/>
          <w:sz w:val="18"/>
          <w:szCs w:val="18"/>
          <w:lang w:val="es-CO"/>
        </w:rPr>
      </w:pPr>
      <w:r w:rsidRPr="00FE7A30">
        <w:rPr>
          <w:rFonts w:ascii="Arial" w:hAnsi="Arial" w:cs="Arial"/>
          <w:sz w:val="18"/>
          <w:szCs w:val="18"/>
        </w:rPr>
        <w:tab/>
      </w:r>
      <w:r w:rsidRPr="00FE7A30">
        <w:rPr>
          <w:rStyle w:val="Refdenotaalpie"/>
          <w:rFonts w:ascii="Arial" w:hAnsi="Arial" w:cs="Arial"/>
          <w:sz w:val="18"/>
          <w:szCs w:val="18"/>
        </w:rPr>
        <w:footnoteRef/>
      </w:r>
      <w:r w:rsidRPr="00FE7A30">
        <w:rPr>
          <w:rFonts w:ascii="Arial" w:hAnsi="Arial" w:cs="Arial"/>
          <w:sz w:val="18"/>
          <w:szCs w:val="18"/>
        </w:rPr>
        <w:t xml:space="preserve"> Superintendencia de Sociedades. Oficio 220-041372 del 21 de febrero de 2023 sobre cesión de derechos políticos y derecho de preferencia en la negociación de acciones. </w:t>
      </w:r>
      <w:r w:rsidRPr="00FE7A30">
        <w:rPr>
          <w:rFonts w:ascii="Arial" w:hAnsi="Arial" w:cs="Arial"/>
          <w:sz w:val="18"/>
          <w:szCs w:val="18"/>
          <w:lang w:val="es-CO"/>
        </w:rPr>
        <w:t xml:space="preserve">Ver enlace web: </w:t>
      </w:r>
      <w:hyperlink r:id="rId4" w:history="1">
        <w:r w:rsidRPr="00FE7A30">
          <w:rPr>
            <w:rStyle w:val="Hipervnculo"/>
            <w:rFonts w:ascii="Arial" w:hAnsi="Arial" w:cs="Arial"/>
            <w:sz w:val="18"/>
            <w:szCs w:val="18"/>
            <w:lang w:val="es-CO"/>
          </w:rPr>
          <w:t>https://www.supersociedades.gov.co/web/nuestra-entidad/conceptos-juridicos?keyword=derechos%20de%20los%20accionistas&amp;id=1256460</w:t>
        </w:r>
      </w:hyperlink>
      <w:r w:rsidRPr="00FE7A30">
        <w:rPr>
          <w:rFonts w:ascii="Arial" w:hAnsi="Arial" w:cs="Arial"/>
          <w:sz w:val="18"/>
          <w:szCs w:val="18"/>
          <w:lang w:val="es-CO"/>
        </w:rPr>
        <w:t xml:space="preserve"> </w:t>
      </w:r>
    </w:p>
  </w:footnote>
  <w:footnote w:id="10">
    <w:p w14:paraId="796EAC41" w14:textId="73F0A16F" w:rsidR="00B84569" w:rsidRPr="00FE7A30" w:rsidRDefault="00B84569">
      <w:pPr>
        <w:pStyle w:val="Textonotapie"/>
        <w:rPr>
          <w:rFonts w:ascii="Arial" w:hAnsi="Arial" w:cs="Arial"/>
          <w:sz w:val="18"/>
          <w:szCs w:val="18"/>
        </w:rPr>
      </w:pPr>
      <w:r w:rsidRPr="00FE7A30">
        <w:rPr>
          <w:rFonts w:ascii="Arial" w:hAnsi="Arial" w:cs="Arial"/>
          <w:sz w:val="18"/>
          <w:szCs w:val="18"/>
        </w:rPr>
        <w:tab/>
      </w:r>
      <w:r w:rsidRPr="00FE7A30">
        <w:rPr>
          <w:rStyle w:val="Refdenotaalpie"/>
          <w:rFonts w:ascii="Arial" w:hAnsi="Arial" w:cs="Arial"/>
          <w:sz w:val="18"/>
          <w:szCs w:val="18"/>
        </w:rPr>
        <w:footnoteRef/>
      </w:r>
      <w:r w:rsidRPr="00FE7A30">
        <w:rPr>
          <w:rFonts w:ascii="Arial" w:hAnsi="Arial" w:cs="Arial"/>
          <w:sz w:val="18"/>
          <w:szCs w:val="18"/>
        </w:rPr>
        <w:t xml:space="preserve"> Artículo 387 </w:t>
      </w:r>
      <w:r w:rsidRPr="00FE7A30">
        <w:rPr>
          <w:rFonts w:ascii="Arial" w:hAnsi="Arial" w:cs="Arial"/>
          <w:sz w:val="18"/>
          <w:szCs w:val="18"/>
        </w:rPr>
        <w:t>del Decreto 410 de 1971 “Por el cual se expide el Código de Comercio”.</w:t>
      </w:r>
    </w:p>
  </w:footnote>
  <w:footnote w:id="11">
    <w:p w14:paraId="1F8FBBD2" w14:textId="587538E9" w:rsidR="00D26B8A" w:rsidRPr="00FE7A30" w:rsidRDefault="00D26B8A">
      <w:pPr>
        <w:pStyle w:val="Textonotapie"/>
        <w:rPr>
          <w:rFonts w:ascii="Arial" w:hAnsi="Arial" w:cs="Arial"/>
          <w:sz w:val="18"/>
          <w:szCs w:val="18"/>
        </w:rPr>
      </w:pPr>
      <w:r w:rsidRPr="00FE7A30">
        <w:rPr>
          <w:rFonts w:ascii="Arial" w:hAnsi="Arial" w:cs="Arial"/>
          <w:sz w:val="18"/>
          <w:szCs w:val="18"/>
        </w:rPr>
        <w:tab/>
      </w:r>
      <w:r w:rsidRPr="00FE7A30">
        <w:rPr>
          <w:rStyle w:val="Refdenotaalpie"/>
          <w:rFonts w:ascii="Arial" w:hAnsi="Arial" w:cs="Arial"/>
          <w:sz w:val="18"/>
          <w:szCs w:val="18"/>
        </w:rPr>
        <w:footnoteRef/>
      </w:r>
      <w:r w:rsidRPr="00FE7A30">
        <w:rPr>
          <w:rFonts w:ascii="Arial" w:hAnsi="Arial" w:cs="Arial"/>
          <w:sz w:val="18"/>
          <w:szCs w:val="18"/>
        </w:rPr>
        <w:t xml:space="preserve"> Artículo 25 de la Ley 1258 de 2008.</w:t>
      </w:r>
    </w:p>
  </w:footnote>
  <w:footnote w:id="12">
    <w:p w14:paraId="144075BF" w14:textId="228E7EBE" w:rsidR="00E50B4D" w:rsidRPr="00FE7A30" w:rsidRDefault="00E50B4D" w:rsidP="00CA3445">
      <w:pPr>
        <w:pStyle w:val="Textonotapie"/>
        <w:jc w:val="both"/>
        <w:rPr>
          <w:rFonts w:ascii="Arial" w:hAnsi="Arial" w:cs="Arial"/>
          <w:sz w:val="18"/>
          <w:szCs w:val="18"/>
        </w:rPr>
      </w:pPr>
      <w:r w:rsidRPr="00FE7A30">
        <w:rPr>
          <w:rFonts w:ascii="Arial" w:hAnsi="Arial" w:cs="Arial"/>
          <w:sz w:val="18"/>
          <w:szCs w:val="18"/>
        </w:rPr>
        <w:tab/>
      </w:r>
      <w:r w:rsidRPr="00FE7A30">
        <w:rPr>
          <w:rStyle w:val="Refdenotaalpie"/>
          <w:rFonts w:ascii="Arial" w:hAnsi="Arial" w:cs="Arial"/>
          <w:sz w:val="18"/>
          <w:szCs w:val="18"/>
        </w:rPr>
        <w:footnoteRef/>
      </w:r>
      <w:r w:rsidRPr="00FE7A30">
        <w:rPr>
          <w:rFonts w:ascii="Arial" w:hAnsi="Arial" w:cs="Arial"/>
          <w:sz w:val="18"/>
          <w:szCs w:val="18"/>
        </w:rPr>
        <w:t xml:space="preserve"> Superintendencia de Sociedades, Oficio 220-005782 del 22 de enero de 2013</w:t>
      </w:r>
      <w:r w:rsidR="00731E4C" w:rsidRPr="00FE7A30">
        <w:rPr>
          <w:rFonts w:ascii="Arial" w:hAnsi="Arial" w:cs="Arial"/>
          <w:sz w:val="18"/>
          <w:szCs w:val="18"/>
        </w:rPr>
        <w:t xml:space="preserve"> sobre sociedades por acciones simplificadas y no pago oportuno de las acciones su</w:t>
      </w:r>
      <w:r w:rsidR="00CA3445" w:rsidRPr="00FE7A30">
        <w:rPr>
          <w:rFonts w:ascii="Arial" w:hAnsi="Arial" w:cs="Arial"/>
          <w:sz w:val="18"/>
          <w:szCs w:val="18"/>
        </w:rPr>
        <w:t>s</w:t>
      </w:r>
      <w:r w:rsidR="00731E4C" w:rsidRPr="00FE7A30">
        <w:rPr>
          <w:rFonts w:ascii="Arial" w:hAnsi="Arial" w:cs="Arial"/>
          <w:sz w:val="18"/>
          <w:szCs w:val="18"/>
        </w:rPr>
        <w:t>critas</w:t>
      </w:r>
      <w:r w:rsidR="00CA3445" w:rsidRPr="00FE7A30">
        <w:rPr>
          <w:rFonts w:ascii="Arial" w:hAnsi="Arial" w:cs="Arial"/>
          <w:sz w:val="18"/>
          <w:szCs w:val="18"/>
        </w:rPr>
        <w:t xml:space="preserve">. Ver enlace web en: </w:t>
      </w:r>
      <w:hyperlink r:id="rId5" w:history="1">
        <w:r w:rsidR="00CA3445" w:rsidRPr="00FE7A30">
          <w:rPr>
            <w:rStyle w:val="Hipervnculo"/>
            <w:rFonts w:ascii="Arial" w:hAnsi="Arial" w:cs="Arial"/>
            <w:sz w:val="18"/>
            <w:szCs w:val="18"/>
          </w:rPr>
          <w:t>https://www.supersociedades.gov.co/web/nuestra-entidad/conceptos-juridicos?keyword=accionistas%20morosos&amp;id=1256460</w:t>
        </w:r>
      </w:hyperlink>
      <w:r w:rsidR="00CA3445" w:rsidRPr="00FE7A30">
        <w:rPr>
          <w:rFonts w:ascii="Arial" w:hAnsi="Arial" w:cs="Arial"/>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B3C04" w14:textId="77777777" w:rsidR="00D8156F" w:rsidRDefault="00D8156F" w:rsidP="00D8156F">
    <w:pPr>
      <w:pStyle w:val="Encabezado"/>
      <w:jc w:val="right"/>
    </w:pPr>
    <w:r w:rsidRPr="00852E0B">
      <w:rPr>
        <w:noProof/>
        <w:color w:val="46589C"/>
      </w:rPr>
      <w:drawing>
        <wp:anchor distT="0" distB="0" distL="114300" distR="114300" simplePos="0" relativeHeight="251658241" behindDoc="1" locked="0" layoutInCell="1" allowOverlap="1" wp14:anchorId="0C9C3044" wp14:editId="5EF4565A">
          <wp:simplePos x="0" y="0"/>
          <wp:positionH relativeFrom="margin">
            <wp:align>right</wp:align>
          </wp:positionH>
          <wp:positionV relativeFrom="topMargin">
            <wp:posOffset>325120</wp:posOffset>
          </wp:positionV>
          <wp:extent cx="1757045" cy="628650"/>
          <wp:effectExtent l="0" t="0" r="0" b="0"/>
          <wp:wrapNone/>
          <wp:docPr id="864305913" name="Picture 864305913" descr="Imagen que contiene 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305913" name="Imagen 7" descr="Imagen que contiene Logotip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757045" cy="628650"/>
                  </a:xfrm>
                  <a:prstGeom prst="rect">
                    <a:avLst/>
                  </a:prstGeom>
                </pic:spPr>
              </pic:pic>
            </a:graphicData>
          </a:graphic>
          <wp14:sizeRelH relativeFrom="margin">
            <wp14:pctWidth>0</wp14:pctWidth>
          </wp14:sizeRelH>
          <wp14:sizeRelV relativeFrom="margin">
            <wp14:pctHeight>0</wp14:pctHeight>
          </wp14:sizeRelV>
        </wp:anchor>
      </w:drawing>
    </w:r>
    <w:r w:rsidRPr="00852E0B">
      <w:rPr>
        <w:noProof/>
        <w:color w:val="46589C"/>
      </w:rPr>
      <w:drawing>
        <wp:anchor distT="0" distB="0" distL="114300" distR="114300" simplePos="0" relativeHeight="251658240" behindDoc="0" locked="0" layoutInCell="1" allowOverlap="1" wp14:anchorId="5EA196A1" wp14:editId="781C99D1">
          <wp:simplePos x="0" y="0"/>
          <wp:positionH relativeFrom="margin">
            <wp:align>left</wp:align>
          </wp:positionH>
          <wp:positionV relativeFrom="paragraph">
            <wp:posOffset>-50165</wp:posOffset>
          </wp:positionV>
          <wp:extent cx="1399540" cy="485775"/>
          <wp:effectExtent l="0" t="0" r="0" b="9525"/>
          <wp:wrapThrough wrapText="bothSides">
            <wp:wrapPolygon edited="0">
              <wp:start x="0" y="0"/>
              <wp:lineTo x="0" y="21176"/>
              <wp:lineTo x="21169" y="21176"/>
              <wp:lineTo x="21169" y="0"/>
              <wp:lineTo x="0" y="0"/>
            </wp:wrapPolygon>
          </wp:wrapThrough>
          <wp:docPr id="910553655" name="Picture 910553655" descr="Un dibujo con letra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553655" name="Imagen 6" descr="Un dibujo con letras&#10;&#10;Descripción generada automáticamente con confianza media"/>
                  <pic:cNvPicPr/>
                </pic:nvPicPr>
                <pic:blipFill>
                  <a:blip r:embed="rId2">
                    <a:extLst>
                      <a:ext uri="{28A0092B-C50C-407E-A947-70E740481C1C}">
                        <a14:useLocalDpi xmlns:a14="http://schemas.microsoft.com/office/drawing/2010/main" val="0"/>
                      </a:ext>
                    </a:extLst>
                  </a:blip>
                  <a:stretch>
                    <a:fillRect/>
                  </a:stretch>
                </pic:blipFill>
                <pic:spPr>
                  <a:xfrm>
                    <a:off x="0" y="0"/>
                    <a:ext cx="1399540" cy="485775"/>
                  </a:xfrm>
                  <a:prstGeom prst="rect">
                    <a:avLst/>
                  </a:prstGeom>
                </pic:spPr>
              </pic:pic>
            </a:graphicData>
          </a:graphic>
          <wp14:sizeRelH relativeFrom="page">
            <wp14:pctWidth>0</wp14:pctWidth>
          </wp14:sizeRelH>
          <wp14:sizeRelV relativeFrom="page">
            <wp14:pctHeight>0</wp14:pctHeight>
          </wp14:sizeRelV>
        </wp:anchor>
      </w:drawing>
    </w:r>
    <w:r w:rsidRPr="00852E0B">
      <w:rPr>
        <w:rFonts w:ascii="Geomanist Bold" w:hAnsi="Geomanist Bold"/>
        <w:b/>
        <w:bCs/>
        <w:noProof/>
        <w:color w:val="46589C"/>
        <w:sz w:val="24"/>
        <w:szCs w:val="24"/>
      </w:rPr>
      <w:drawing>
        <wp:anchor distT="0" distB="0" distL="114300" distR="114300" simplePos="0" relativeHeight="251658242" behindDoc="0" locked="0" layoutInCell="1" allowOverlap="1" wp14:anchorId="7C45E660" wp14:editId="20A3F008">
          <wp:simplePos x="0" y="0"/>
          <wp:positionH relativeFrom="page">
            <wp:posOffset>7128510</wp:posOffset>
          </wp:positionH>
          <wp:positionV relativeFrom="margin">
            <wp:posOffset>-2049145</wp:posOffset>
          </wp:positionV>
          <wp:extent cx="665480" cy="3098800"/>
          <wp:effectExtent l="0" t="0" r="1270" b="6350"/>
          <wp:wrapThrough wrapText="bothSides">
            <wp:wrapPolygon edited="0">
              <wp:start x="4947" y="0"/>
              <wp:lineTo x="0" y="1328"/>
              <wp:lineTo x="0" y="1593"/>
              <wp:lineTo x="2473" y="2125"/>
              <wp:lineTo x="0" y="4648"/>
              <wp:lineTo x="0" y="4913"/>
              <wp:lineTo x="5565" y="6374"/>
              <wp:lineTo x="0" y="7967"/>
              <wp:lineTo x="0" y="11818"/>
              <wp:lineTo x="3092" y="12748"/>
              <wp:lineTo x="0" y="14739"/>
              <wp:lineTo x="0" y="15138"/>
              <wp:lineTo x="3710" y="16997"/>
              <wp:lineTo x="0" y="17926"/>
              <wp:lineTo x="0" y="18590"/>
              <wp:lineTo x="1237" y="19121"/>
              <wp:lineTo x="9275" y="21246"/>
              <wp:lineTo x="11130" y="21511"/>
              <wp:lineTo x="15458" y="21511"/>
              <wp:lineTo x="21023" y="20184"/>
              <wp:lineTo x="21023" y="19918"/>
              <wp:lineTo x="17931" y="19121"/>
              <wp:lineTo x="21023" y="16864"/>
              <wp:lineTo x="21023" y="16466"/>
              <wp:lineTo x="14221" y="14872"/>
              <wp:lineTo x="21023" y="13544"/>
              <wp:lineTo x="21023" y="9693"/>
              <wp:lineTo x="16076" y="8498"/>
              <wp:lineTo x="21023" y="6772"/>
              <wp:lineTo x="21023" y="6241"/>
              <wp:lineTo x="17931" y="4249"/>
              <wp:lineTo x="21023" y="3452"/>
              <wp:lineTo x="21023" y="2789"/>
              <wp:lineTo x="9275" y="0"/>
              <wp:lineTo x="4947" y="0"/>
            </wp:wrapPolygon>
          </wp:wrapThrough>
          <wp:docPr id="962149914" name="Picture 962149914" descr="Imagen en blanco y negr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149914" name="Imagen 962149914" descr="Imagen en blanco y negro&#10;&#10;Descripción generada automáticamente con confianza media"/>
                  <pic:cNvPicPr/>
                </pic:nvPicPr>
                <pic:blipFill>
                  <a:blip r:embed="rId3"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r>
      <w:t xml:space="preserve">                                                                                                                           </w:t>
    </w:r>
  </w:p>
  <w:p w14:paraId="5E4A376C" w14:textId="77777777" w:rsidR="00D8156F" w:rsidRDefault="00D8156F" w:rsidP="00D8156F">
    <w:pPr>
      <w:pStyle w:val="Encabezado"/>
      <w:rPr>
        <w:rFonts w:ascii="Geomanist Bold" w:hAnsi="Geomanist Bold"/>
        <w:b/>
        <w:bCs/>
        <w:color w:val="002060"/>
        <w:sz w:val="24"/>
        <w:szCs w:val="24"/>
      </w:rPr>
    </w:pPr>
  </w:p>
  <w:p w14:paraId="603D1F7F" w14:textId="77777777" w:rsidR="00D8156F" w:rsidRDefault="00D8156F" w:rsidP="00D8156F">
    <w:pPr>
      <w:pStyle w:val="Encabezado"/>
      <w:jc w:val="both"/>
      <w:rPr>
        <w:rFonts w:ascii="Century Gothic" w:hAnsi="Century Gothic"/>
        <w:b/>
        <w:bCs/>
        <w:color w:val="002060"/>
        <w:sz w:val="24"/>
        <w:szCs w:val="24"/>
      </w:rPr>
    </w:pPr>
  </w:p>
  <w:p w14:paraId="2643947D" w14:textId="77777777" w:rsidR="00D8156F" w:rsidRDefault="00D8156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7B5BDD"/>
    <w:multiLevelType w:val="multilevel"/>
    <w:tmpl w:val="118C8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3FE64B2"/>
    <w:multiLevelType w:val="multilevel"/>
    <w:tmpl w:val="99F83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CE84421"/>
    <w:multiLevelType w:val="hybridMultilevel"/>
    <w:tmpl w:val="111235B4"/>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 w15:restartNumberingAfterBreak="0">
    <w:nsid w:val="473A2F93"/>
    <w:multiLevelType w:val="multilevel"/>
    <w:tmpl w:val="C90C6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BA00E35"/>
    <w:multiLevelType w:val="hybridMultilevel"/>
    <w:tmpl w:val="AC7E04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62CE4DAF"/>
    <w:multiLevelType w:val="hybridMultilevel"/>
    <w:tmpl w:val="EFBEF5F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6D4830B1"/>
    <w:multiLevelType w:val="hybridMultilevel"/>
    <w:tmpl w:val="63868FC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853835457">
    <w:abstractNumId w:val="4"/>
  </w:num>
  <w:num w:numId="2" w16cid:durableId="1267276449">
    <w:abstractNumId w:val="2"/>
  </w:num>
  <w:num w:numId="3" w16cid:durableId="864678">
    <w:abstractNumId w:val="5"/>
  </w:num>
  <w:num w:numId="4" w16cid:durableId="1122917808">
    <w:abstractNumId w:val="6"/>
  </w:num>
  <w:num w:numId="5" w16cid:durableId="1961954019">
    <w:abstractNumId w:val="1"/>
  </w:num>
  <w:num w:numId="6" w16cid:durableId="1569341092">
    <w:abstractNumId w:val="3"/>
  </w:num>
  <w:num w:numId="7" w16cid:durableId="17338480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A57"/>
    <w:rsid w:val="00010DE6"/>
    <w:rsid w:val="0002517A"/>
    <w:rsid w:val="00060AEB"/>
    <w:rsid w:val="00062733"/>
    <w:rsid w:val="00064D47"/>
    <w:rsid w:val="00076F37"/>
    <w:rsid w:val="000D31B8"/>
    <w:rsid w:val="000D38A4"/>
    <w:rsid w:val="000E3105"/>
    <w:rsid w:val="00164A8E"/>
    <w:rsid w:val="00165D84"/>
    <w:rsid w:val="001767E4"/>
    <w:rsid w:val="00192741"/>
    <w:rsid w:val="001D6A7F"/>
    <w:rsid w:val="001D7B96"/>
    <w:rsid w:val="001E67A1"/>
    <w:rsid w:val="00211E64"/>
    <w:rsid w:val="00221626"/>
    <w:rsid w:val="00310350"/>
    <w:rsid w:val="0034679A"/>
    <w:rsid w:val="0037373B"/>
    <w:rsid w:val="0037567A"/>
    <w:rsid w:val="003A18FD"/>
    <w:rsid w:val="0042679D"/>
    <w:rsid w:val="00454CE5"/>
    <w:rsid w:val="00463A57"/>
    <w:rsid w:val="00467EC2"/>
    <w:rsid w:val="00470EA4"/>
    <w:rsid w:val="00495606"/>
    <w:rsid w:val="00505895"/>
    <w:rsid w:val="00527873"/>
    <w:rsid w:val="005557F8"/>
    <w:rsid w:val="005608D0"/>
    <w:rsid w:val="005874F9"/>
    <w:rsid w:val="005B2732"/>
    <w:rsid w:val="005D60AA"/>
    <w:rsid w:val="005D7456"/>
    <w:rsid w:val="00606A70"/>
    <w:rsid w:val="006335EA"/>
    <w:rsid w:val="00637E39"/>
    <w:rsid w:val="00654F2F"/>
    <w:rsid w:val="006662EB"/>
    <w:rsid w:val="00684964"/>
    <w:rsid w:val="006B6343"/>
    <w:rsid w:val="006C3E05"/>
    <w:rsid w:val="006E42D4"/>
    <w:rsid w:val="006F24BC"/>
    <w:rsid w:val="00731E4C"/>
    <w:rsid w:val="007533E2"/>
    <w:rsid w:val="00777C1D"/>
    <w:rsid w:val="0079365C"/>
    <w:rsid w:val="007940BE"/>
    <w:rsid w:val="007A18E4"/>
    <w:rsid w:val="007A1DF0"/>
    <w:rsid w:val="007B7EF9"/>
    <w:rsid w:val="00822722"/>
    <w:rsid w:val="00846141"/>
    <w:rsid w:val="00856C0E"/>
    <w:rsid w:val="008670D0"/>
    <w:rsid w:val="008847C9"/>
    <w:rsid w:val="008A2E37"/>
    <w:rsid w:val="008B2A14"/>
    <w:rsid w:val="008E7F5C"/>
    <w:rsid w:val="00926AA8"/>
    <w:rsid w:val="009419CF"/>
    <w:rsid w:val="00970BD5"/>
    <w:rsid w:val="009869B7"/>
    <w:rsid w:val="009968A4"/>
    <w:rsid w:val="009D781D"/>
    <w:rsid w:val="00A07C32"/>
    <w:rsid w:val="00A42A73"/>
    <w:rsid w:val="00A554EA"/>
    <w:rsid w:val="00A6771B"/>
    <w:rsid w:val="00AA587F"/>
    <w:rsid w:val="00AB1EFC"/>
    <w:rsid w:val="00AB7D73"/>
    <w:rsid w:val="00B170DC"/>
    <w:rsid w:val="00B55C9B"/>
    <w:rsid w:val="00B84569"/>
    <w:rsid w:val="00B868BF"/>
    <w:rsid w:val="00B875C9"/>
    <w:rsid w:val="00BA1A16"/>
    <w:rsid w:val="00C3770A"/>
    <w:rsid w:val="00C708BA"/>
    <w:rsid w:val="00C72B0A"/>
    <w:rsid w:val="00CA3445"/>
    <w:rsid w:val="00CB752D"/>
    <w:rsid w:val="00CC18E2"/>
    <w:rsid w:val="00CEDA2B"/>
    <w:rsid w:val="00D26B8A"/>
    <w:rsid w:val="00D31305"/>
    <w:rsid w:val="00D5784D"/>
    <w:rsid w:val="00D62958"/>
    <w:rsid w:val="00D8156F"/>
    <w:rsid w:val="00DA35A5"/>
    <w:rsid w:val="00DB034B"/>
    <w:rsid w:val="00DD3EC0"/>
    <w:rsid w:val="00E0709A"/>
    <w:rsid w:val="00E17CCE"/>
    <w:rsid w:val="00E37D9C"/>
    <w:rsid w:val="00E42118"/>
    <w:rsid w:val="00E50B4D"/>
    <w:rsid w:val="00E74F32"/>
    <w:rsid w:val="00E77F1E"/>
    <w:rsid w:val="00E94C6D"/>
    <w:rsid w:val="00E994FA"/>
    <w:rsid w:val="00EB042A"/>
    <w:rsid w:val="00EB07EA"/>
    <w:rsid w:val="00EE58E9"/>
    <w:rsid w:val="00F03EF6"/>
    <w:rsid w:val="00F22A95"/>
    <w:rsid w:val="00F51A9A"/>
    <w:rsid w:val="00F6068B"/>
    <w:rsid w:val="00F62103"/>
    <w:rsid w:val="00F657BC"/>
    <w:rsid w:val="00FC6461"/>
    <w:rsid w:val="00FE68C9"/>
    <w:rsid w:val="00FE7A30"/>
    <w:rsid w:val="00FE7BE2"/>
    <w:rsid w:val="00FF57F6"/>
    <w:rsid w:val="01F6804A"/>
    <w:rsid w:val="01F7A2E8"/>
    <w:rsid w:val="0209A62F"/>
    <w:rsid w:val="03736145"/>
    <w:rsid w:val="03FDFC83"/>
    <w:rsid w:val="05F7FF85"/>
    <w:rsid w:val="14375986"/>
    <w:rsid w:val="14485079"/>
    <w:rsid w:val="164B99E1"/>
    <w:rsid w:val="16ED00BE"/>
    <w:rsid w:val="1768641A"/>
    <w:rsid w:val="17DE5D22"/>
    <w:rsid w:val="18B4B033"/>
    <w:rsid w:val="18CC8167"/>
    <w:rsid w:val="18F7FD60"/>
    <w:rsid w:val="1912B82F"/>
    <w:rsid w:val="1B119483"/>
    <w:rsid w:val="1D4F56BB"/>
    <w:rsid w:val="1D52C02C"/>
    <w:rsid w:val="1D7949C3"/>
    <w:rsid w:val="1E963578"/>
    <w:rsid w:val="1FC9AE5C"/>
    <w:rsid w:val="20DB822F"/>
    <w:rsid w:val="2191C232"/>
    <w:rsid w:val="22B99A75"/>
    <w:rsid w:val="2A10C4C6"/>
    <w:rsid w:val="2BE45C4A"/>
    <w:rsid w:val="2C597758"/>
    <w:rsid w:val="2C6BCFB5"/>
    <w:rsid w:val="2C929358"/>
    <w:rsid w:val="2D4423C9"/>
    <w:rsid w:val="2E5DF1EC"/>
    <w:rsid w:val="3057FD44"/>
    <w:rsid w:val="322FC15A"/>
    <w:rsid w:val="33F55DF3"/>
    <w:rsid w:val="349E1BC8"/>
    <w:rsid w:val="35E7C944"/>
    <w:rsid w:val="36F92748"/>
    <w:rsid w:val="389657BE"/>
    <w:rsid w:val="39101CAB"/>
    <w:rsid w:val="39718CEB"/>
    <w:rsid w:val="3A199A59"/>
    <w:rsid w:val="3B57C459"/>
    <w:rsid w:val="3D0334DE"/>
    <w:rsid w:val="3E8A04F0"/>
    <w:rsid w:val="4088DBDD"/>
    <w:rsid w:val="4094A8F6"/>
    <w:rsid w:val="40AE8B60"/>
    <w:rsid w:val="411DF3C9"/>
    <w:rsid w:val="416D46D1"/>
    <w:rsid w:val="41CA8A26"/>
    <w:rsid w:val="4331166B"/>
    <w:rsid w:val="436F64D6"/>
    <w:rsid w:val="44D1D384"/>
    <w:rsid w:val="454ADE37"/>
    <w:rsid w:val="47AC7E9F"/>
    <w:rsid w:val="490296E1"/>
    <w:rsid w:val="4AD8AD44"/>
    <w:rsid w:val="4C8B6E4B"/>
    <w:rsid w:val="4E93EC73"/>
    <w:rsid w:val="4F4BABB9"/>
    <w:rsid w:val="502FBCD4"/>
    <w:rsid w:val="509D77CD"/>
    <w:rsid w:val="51799A3D"/>
    <w:rsid w:val="5239482E"/>
    <w:rsid w:val="52D9EA48"/>
    <w:rsid w:val="52E117ED"/>
    <w:rsid w:val="52F4455F"/>
    <w:rsid w:val="531D5824"/>
    <w:rsid w:val="54CA635C"/>
    <w:rsid w:val="54CE409C"/>
    <w:rsid w:val="5654F8E6"/>
    <w:rsid w:val="5740CE53"/>
    <w:rsid w:val="58EA26A2"/>
    <w:rsid w:val="59B679B4"/>
    <w:rsid w:val="5A344D31"/>
    <w:rsid w:val="5A786F15"/>
    <w:rsid w:val="5C143F76"/>
    <w:rsid w:val="5DDBD56A"/>
    <w:rsid w:val="5E45539A"/>
    <w:rsid w:val="5E91C203"/>
    <w:rsid w:val="5F26A4FD"/>
    <w:rsid w:val="60B4DF8D"/>
    <w:rsid w:val="612192D4"/>
    <w:rsid w:val="63EC804F"/>
    <w:rsid w:val="64CF4C4F"/>
    <w:rsid w:val="65E14D37"/>
    <w:rsid w:val="6941B40C"/>
    <w:rsid w:val="69CD5D14"/>
    <w:rsid w:val="69EDFB47"/>
    <w:rsid w:val="6B3E8DD3"/>
    <w:rsid w:val="6C632DDB"/>
    <w:rsid w:val="6D89FF43"/>
    <w:rsid w:val="6DE66D57"/>
    <w:rsid w:val="6E1C0C7D"/>
    <w:rsid w:val="6E604A80"/>
    <w:rsid w:val="6F2A25C2"/>
    <w:rsid w:val="70A0E407"/>
    <w:rsid w:val="70D14212"/>
    <w:rsid w:val="74AC65E8"/>
    <w:rsid w:val="75B81D29"/>
    <w:rsid w:val="7803E87E"/>
    <w:rsid w:val="7D6C0A09"/>
    <w:rsid w:val="7D97661E"/>
    <w:rsid w:val="7ED4CED2"/>
    <w:rsid w:val="7FEACD6C"/>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44CB9"/>
  <w15:chartTrackingRefBased/>
  <w15:docId w15:val="{5B8805EB-CBB1-4DAF-BBAE-055F8BDF6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463A57"/>
    <w:rPr>
      <w:b/>
      <w:bCs/>
    </w:rPr>
  </w:style>
  <w:style w:type="character" w:styleId="nfasis">
    <w:name w:val="Emphasis"/>
    <w:basedOn w:val="Fuentedeprrafopredeter"/>
    <w:uiPriority w:val="20"/>
    <w:qFormat/>
    <w:rsid w:val="00463A57"/>
    <w:rPr>
      <w:i/>
      <w:iCs/>
    </w:rPr>
  </w:style>
  <w:style w:type="character" w:customStyle="1" w:styleId="normaltextrun">
    <w:name w:val="normaltextrun"/>
    <w:basedOn w:val="Fuentedeprrafopredeter"/>
    <w:rsid w:val="00463A57"/>
  </w:style>
  <w:style w:type="character" w:customStyle="1" w:styleId="eop">
    <w:name w:val="eop"/>
    <w:basedOn w:val="Fuentedeprrafopredeter"/>
    <w:rsid w:val="00463A57"/>
  </w:style>
  <w:style w:type="paragraph" w:customStyle="1" w:styleId="paragraph">
    <w:name w:val="paragraph"/>
    <w:basedOn w:val="Normal"/>
    <w:rsid w:val="00463A57"/>
    <w:pPr>
      <w:spacing w:before="100" w:beforeAutospacing="1" w:after="100" w:afterAutospacing="1" w:line="240" w:lineRule="auto"/>
    </w:pPr>
    <w:rPr>
      <w:rFonts w:ascii="Times New Roman" w:eastAsia="Times New Roman" w:hAnsi="Times New Roman" w:cs="Times New Roman"/>
      <w:kern w:val="0"/>
      <w:sz w:val="24"/>
      <w:szCs w:val="24"/>
      <w:lang w:eastAsia="es-CO"/>
      <w14:ligatures w14:val="none"/>
    </w:rPr>
  </w:style>
  <w:style w:type="paragraph" w:styleId="Prrafodelista">
    <w:name w:val="List Paragraph"/>
    <w:basedOn w:val="Normal"/>
    <w:uiPriority w:val="34"/>
    <w:qFormat/>
    <w:rsid w:val="00463A57"/>
    <w:pPr>
      <w:ind w:left="720"/>
      <w:contextualSpacing/>
    </w:pPr>
  </w:style>
  <w:style w:type="character" w:styleId="Hipervnculo">
    <w:name w:val="Hyperlink"/>
    <w:basedOn w:val="Fuentedeprrafopredeter"/>
    <w:uiPriority w:val="99"/>
    <w:unhideWhenUsed/>
    <w:rsid w:val="00F6068B"/>
    <w:rPr>
      <w:color w:val="0000FF"/>
      <w:u w:val="single"/>
    </w:rPr>
  </w:style>
  <w:style w:type="character" w:styleId="Mencinsinresolver">
    <w:name w:val="Unresolved Mention"/>
    <w:basedOn w:val="Fuentedeprrafopredeter"/>
    <w:uiPriority w:val="99"/>
    <w:semiHidden/>
    <w:unhideWhenUsed/>
    <w:rsid w:val="00D8156F"/>
    <w:rPr>
      <w:color w:val="605E5C"/>
      <w:shd w:val="clear" w:color="auto" w:fill="E1DFDD"/>
    </w:rPr>
  </w:style>
  <w:style w:type="paragraph" w:styleId="Encabezado">
    <w:name w:val="header"/>
    <w:basedOn w:val="Normal"/>
    <w:link w:val="EncabezadoCar"/>
    <w:uiPriority w:val="99"/>
    <w:unhideWhenUsed/>
    <w:rsid w:val="00D8156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8156F"/>
  </w:style>
  <w:style w:type="paragraph" w:styleId="Piedepgina">
    <w:name w:val="footer"/>
    <w:basedOn w:val="Normal"/>
    <w:link w:val="PiedepginaCar"/>
    <w:uiPriority w:val="99"/>
    <w:unhideWhenUsed/>
    <w:rsid w:val="00D8156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8156F"/>
  </w:style>
  <w:style w:type="table" w:styleId="Tablaconcuadrcula">
    <w:name w:val="Table Grid"/>
    <w:basedOn w:val="Tablanormal"/>
    <w:uiPriority w:val="59"/>
    <w:qFormat/>
    <w:rsid w:val="00D8156F"/>
    <w:pPr>
      <w:spacing w:after="0" w:line="240" w:lineRule="auto"/>
    </w:pPr>
    <w:rPr>
      <w:kern w:val="0"/>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8E7F5C"/>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8E7F5C"/>
    <w:pPr>
      <w:spacing w:after="0" w:line="240" w:lineRule="auto"/>
    </w:pPr>
    <w:rPr>
      <w:sz w:val="20"/>
      <w:szCs w:val="20"/>
      <w:lang w:val="es-MX"/>
    </w:rPr>
  </w:style>
  <w:style w:type="character" w:customStyle="1" w:styleId="TextonotapieCar1">
    <w:name w:val="Texto nota pie Car1"/>
    <w:basedOn w:val="Fuentedeprrafopredeter"/>
    <w:uiPriority w:val="99"/>
    <w:semiHidden/>
    <w:rsid w:val="008E7F5C"/>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symbol,Footnote,Ref. de nota al pie2,F"/>
    <w:basedOn w:val="Fuentedeprrafopredeter"/>
    <w:link w:val="Appelnotedebasde"/>
    <w:unhideWhenUsed/>
    <w:qFormat/>
    <w:rsid w:val="008E7F5C"/>
    <w:rPr>
      <w:vertAlign w:val="superscript"/>
    </w:rPr>
  </w:style>
  <w:style w:type="paragraph" w:customStyle="1" w:styleId="Appelnotedebasde">
    <w:name w:val="Appel note de bas de..."/>
    <w:basedOn w:val="Normal"/>
    <w:link w:val="Refdenotaalpie"/>
    <w:rsid w:val="008E7F5C"/>
    <w:pPr>
      <w:spacing w:line="240" w:lineRule="exact"/>
    </w:pPr>
    <w:rPr>
      <w:vertAlign w:val="superscript"/>
    </w:rPr>
  </w:style>
  <w:style w:type="paragraph" w:customStyle="1" w:styleId="Car1">
    <w:name w:val="Car1"/>
    <w:basedOn w:val="Normal"/>
    <w:next w:val="Textonotapie"/>
    <w:uiPriority w:val="99"/>
    <w:unhideWhenUsed/>
    <w:qFormat/>
    <w:rsid w:val="009419CF"/>
    <w:pPr>
      <w:spacing w:after="0" w:line="240" w:lineRule="auto"/>
    </w:pPr>
    <w:rPr>
      <w:kern w:val="0"/>
      <w:sz w:val="20"/>
      <w:szCs w:val="20"/>
      <w:lang w:val="es-MX"/>
      <w14:ligatures w14:val="none"/>
    </w:rPr>
  </w:style>
  <w:style w:type="paragraph" w:styleId="NormalWeb">
    <w:name w:val="Normal (Web)"/>
    <w:basedOn w:val="Normal"/>
    <w:uiPriority w:val="99"/>
    <w:semiHidden/>
    <w:unhideWhenUsed/>
    <w:rsid w:val="00B868B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429175">
      <w:bodyDiv w:val="1"/>
      <w:marLeft w:val="0"/>
      <w:marRight w:val="0"/>
      <w:marTop w:val="0"/>
      <w:marBottom w:val="0"/>
      <w:divBdr>
        <w:top w:val="none" w:sz="0" w:space="0" w:color="auto"/>
        <w:left w:val="none" w:sz="0" w:space="0" w:color="auto"/>
        <w:bottom w:val="none" w:sz="0" w:space="0" w:color="auto"/>
        <w:right w:val="none" w:sz="0" w:space="0" w:color="auto"/>
      </w:divBdr>
      <w:divsChild>
        <w:div w:id="63114755">
          <w:marLeft w:val="0"/>
          <w:marRight w:val="0"/>
          <w:marTop w:val="0"/>
          <w:marBottom w:val="0"/>
          <w:divBdr>
            <w:top w:val="none" w:sz="0" w:space="0" w:color="auto"/>
            <w:left w:val="none" w:sz="0" w:space="0" w:color="auto"/>
            <w:bottom w:val="none" w:sz="0" w:space="0" w:color="auto"/>
            <w:right w:val="none" w:sz="0" w:space="0" w:color="auto"/>
          </w:divBdr>
        </w:div>
        <w:div w:id="202138099">
          <w:marLeft w:val="0"/>
          <w:marRight w:val="0"/>
          <w:marTop w:val="0"/>
          <w:marBottom w:val="0"/>
          <w:divBdr>
            <w:top w:val="none" w:sz="0" w:space="0" w:color="auto"/>
            <w:left w:val="none" w:sz="0" w:space="0" w:color="auto"/>
            <w:bottom w:val="none" w:sz="0" w:space="0" w:color="auto"/>
            <w:right w:val="none" w:sz="0" w:space="0" w:color="auto"/>
          </w:divBdr>
        </w:div>
        <w:div w:id="1220677316">
          <w:marLeft w:val="0"/>
          <w:marRight w:val="0"/>
          <w:marTop w:val="0"/>
          <w:marBottom w:val="0"/>
          <w:divBdr>
            <w:top w:val="none" w:sz="0" w:space="0" w:color="auto"/>
            <w:left w:val="none" w:sz="0" w:space="0" w:color="auto"/>
            <w:bottom w:val="none" w:sz="0" w:space="0" w:color="auto"/>
            <w:right w:val="none" w:sz="0" w:space="0" w:color="auto"/>
          </w:divBdr>
        </w:div>
      </w:divsChild>
    </w:div>
    <w:div w:id="66152403">
      <w:bodyDiv w:val="1"/>
      <w:marLeft w:val="0"/>
      <w:marRight w:val="0"/>
      <w:marTop w:val="0"/>
      <w:marBottom w:val="0"/>
      <w:divBdr>
        <w:top w:val="none" w:sz="0" w:space="0" w:color="auto"/>
        <w:left w:val="none" w:sz="0" w:space="0" w:color="auto"/>
        <w:bottom w:val="none" w:sz="0" w:space="0" w:color="auto"/>
        <w:right w:val="none" w:sz="0" w:space="0" w:color="auto"/>
      </w:divBdr>
    </w:div>
    <w:div w:id="139931808">
      <w:bodyDiv w:val="1"/>
      <w:marLeft w:val="0"/>
      <w:marRight w:val="0"/>
      <w:marTop w:val="0"/>
      <w:marBottom w:val="0"/>
      <w:divBdr>
        <w:top w:val="none" w:sz="0" w:space="0" w:color="auto"/>
        <w:left w:val="none" w:sz="0" w:space="0" w:color="auto"/>
        <w:bottom w:val="none" w:sz="0" w:space="0" w:color="auto"/>
        <w:right w:val="none" w:sz="0" w:space="0" w:color="auto"/>
      </w:divBdr>
    </w:div>
    <w:div w:id="249046052">
      <w:bodyDiv w:val="1"/>
      <w:marLeft w:val="0"/>
      <w:marRight w:val="0"/>
      <w:marTop w:val="0"/>
      <w:marBottom w:val="0"/>
      <w:divBdr>
        <w:top w:val="none" w:sz="0" w:space="0" w:color="auto"/>
        <w:left w:val="none" w:sz="0" w:space="0" w:color="auto"/>
        <w:bottom w:val="none" w:sz="0" w:space="0" w:color="auto"/>
        <w:right w:val="none" w:sz="0" w:space="0" w:color="auto"/>
      </w:divBdr>
    </w:div>
    <w:div w:id="535509948">
      <w:bodyDiv w:val="1"/>
      <w:marLeft w:val="0"/>
      <w:marRight w:val="0"/>
      <w:marTop w:val="0"/>
      <w:marBottom w:val="0"/>
      <w:divBdr>
        <w:top w:val="none" w:sz="0" w:space="0" w:color="auto"/>
        <w:left w:val="none" w:sz="0" w:space="0" w:color="auto"/>
        <w:bottom w:val="none" w:sz="0" w:space="0" w:color="auto"/>
        <w:right w:val="none" w:sz="0" w:space="0" w:color="auto"/>
      </w:divBdr>
      <w:divsChild>
        <w:div w:id="209415134">
          <w:marLeft w:val="0"/>
          <w:marRight w:val="0"/>
          <w:marTop w:val="0"/>
          <w:marBottom w:val="0"/>
          <w:divBdr>
            <w:top w:val="none" w:sz="0" w:space="0" w:color="auto"/>
            <w:left w:val="none" w:sz="0" w:space="0" w:color="auto"/>
            <w:bottom w:val="none" w:sz="0" w:space="0" w:color="auto"/>
            <w:right w:val="none" w:sz="0" w:space="0" w:color="auto"/>
          </w:divBdr>
        </w:div>
        <w:div w:id="1111432835">
          <w:marLeft w:val="0"/>
          <w:marRight w:val="0"/>
          <w:marTop w:val="0"/>
          <w:marBottom w:val="0"/>
          <w:divBdr>
            <w:top w:val="none" w:sz="0" w:space="0" w:color="auto"/>
            <w:left w:val="none" w:sz="0" w:space="0" w:color="auto"/>
            <w:bottom w:val="none" w:sz="0" w:space="0" w:color="auto"/>
            <w:right w:val="none" w:sz="0" w:space="0" w:color="auto"/>
          </w:divBdr>
        </w:div>
        <w:div w:id="1325889448">
          <w:marLeft w:val="0"/>
          <w:marRight w:val="0"/>
          <w:marTop w:val="0"/>
          <w:marBottom w:val="0"/>
          <w:divBdr>
            <w:top w:val="none" w:sz="0" w:space="0" w:color="auto"/>
            <w:left w:val="none" w:sz="0" w:space="0" w:color="auto"/>
            <w:bottom w:val="none" w:sz="0" w:space="0" w:color="auto"/>
            <w:right w:val="none" w:sz="0" w:space="0" w:color="auto"/>
          </w:divBdr>
        </w:div>
      </w:divsChild>
    </w:div>
    <w:div w:id="891118337">
      <w:bodyDiv w:val="1"/>
      <w:marLeft w:val="0"/>
      <w:marRight w:val="0"/>
      <w:marTop w:val="0"/>
      <w:marBottom w:val="0"/>
      <w:divBdr>
        <w:top w:val="none" w:sz="0" w:space="0" w:color="auto"/>
        <w:left w:val="none" w:sz="0" w:space="0" w:color="auto"/>
        <w:bottom w:val="none" w:sz="0" w:space="0" w:color="auto"/>
        <w:right w:val="none" w:sz="0" w:space="0" w:color="auto"/>
      </w:divBdr>
    </w:div>
    <w:div w:id="1074858358">
      <w:bodyDiv w:val="1"/>
      <w:marLeft w:val="0"/>
      <w:marRight w:val="0"/>
      <w:marTop w:val="0"/>
      <w:marBottom w:val="0"/>
      <w:divBdr>
        <w:top w:val="none" w:sz="0" w:space="0" w:color="auto"/>
        <w:left w:val="none" w:sz="0" w:space="0" w:color="auto"/>
        <w:bottom w:val="none" w:sz="0" w:space="0" w:color="auto"/>
        <w:right w:val="none" w:sz="0" w:space="0" w:color="auto"/>
      </w:divBdr>
    </w:div>
    <w:div w:id="1154184068">
      <w:bodyDiv w:val="1"/>
      <w:marLeft w:val="0"/>
      <w:marRight w:val="0"/>
      <w:marTop w:val="0"/>
      <w:marBottom w:val="0"/>
      <w:divBdr>
        <w:top w:val="none" w:sz="0" w:space="0" w:color="auto"/>
        <w:left w:val="none" w:sz="0" w:space="0" w:color="auto"/>
        <w:bottom w:val="none" w:sz="0" w:space="0" w:color="auto"/>
        <w:right w:val="none" w:sz="0" w:space="0" w:color="auto"/>
      </w:divBdr>
      <w:divsChild>
        <w:div w:id="183830352">
          <w:marLeft w:val="0"/>
          <w:marRight w:val="0"/>
          <w:marTop w:val="0"/>
          <w:marBottom w:val="0"/>
          <w:divBdr>
            <w:top w:val="none" w:sz="0" w:space="0" w:color="auto"/>
            <w:left w:val="none" w:sz="0" w:space="0" w:color="auto"/>
            <w:bottom w:val="none" w:sz="0" w:space="0" w:color="auto"/>
            <w:right w:val="none" w:sz="0" w:space="0" w:color="auto"/>
          </w:divBdr>
        </w:div>
        <w:div w:id="472064844">
          <w:marLeft w:val="0"/>
          <w:marRight w:val="0"/>
          <w:marTop w:val="0"/>
          <w:marBottom w:val="0"/>
          <w:divBdr>
            <w:top w:val="none" w:sz="0" w:space="0" w:color="auto"/>
            <w:left w:val="none" w:sz="0" w:space="0" w:color="auto"/>
            <w:bottom w:val="none" w:sz="0" w:space="0" w:color="auto"/>
            <w:right w:val="none" w:sz="0" w:space="0" w:color="auto"/>
          </w:divBdr>
        </w:div>
        <w:div w:id="602225587">
          <w:marLeft w:val="0"/>
          <w:marRight w:val="0"/>
          <w:marTop w:val="0"/>
          <w:marBottom w:val="0"/>
          <w:divBdr>
            <w:top w:val="none" w:sz="0" w:space="0" w:color="auto"/>
            <w:left w:val="none" w:sz="0" w:space="0" w:color="auto"/>
            <w:bottom w:val="none" w:sz="0" w:space="0" w:color="auto"/>
            <w:right w:val="none" w:sz="0" w:space="0" w:color="auto"/>
          </w:divBdr>
        </w:div>
        <w:div w:id="1377659309">
          <w:marLeft w:val="0"/>
          <w:marRight w:val="0"/>
          <w:marTop w:val="0"/>
          <w:marBottom w:val="0"/>
          <w:divBdr>
            <w:top w:val="none" w:sz="0" w:space="0" w:color="auto"/>
            <w:left w:val="none" w:sz="0" w:space="0" w:color="auto"/>
            <w:bottom w:val="none" w:sz="0" w:space="0" w:color="auto"/>
            <w:right w:val="none" w:sz="0" w:space="0" w:color="auto"/>
          </w:divBdr>
        </w:div>
        <w:div w:id="1530609619">
          <w:marLeft w:val="0"/>
          <w:marRight w:val="0"/>
          <w:marTop w:val="0"/>
          <w:marBottom w:val="0"/>
          <w:divBdr>
            <w:top w:val="none" w:sz="0" w:space="0" w:color="auto"/>
            <w:left w:val="none" w:sz="0" w:space="0" w:color="auto"/>
            <w:bottom w:val="none" w:sz="0" w:space="0" w:color="auto"/>
            <w:right w:val="none" w:sz="0" w:space="0" w:color="auto"/>
          </w:divBdr>
        </w:div>
        <w:div w:id="1590580803">
          <w:marLeft w:val="0"/>
          <w:marRight w:val="0"/>
          <w:marTop w:val="0"/>
          <w:marBottom w:val="0"/>
          <w:divBdr>
            <w:top w:val="none" w:sz="0" w:space="0" w:color="auto"/>
            <w:left w:val="none" w:sz="0" w:space="0" w:color="auto"/>
            <w:bottom w:val="none" w:sz="0" w:space="0" w:color="auto"/>
            <w:right w:val="none" w:sz="0" w:space="0" w:color="auto"/>
          </w:divBdr>
        </w:div>
      </w:divsChild>
    </w:div>
    <w:div w:id="1206212153">
      <w:bodyDiv w:val="1"/>
      <w:marLeft w:val="0"/>
      <w:marRight w:val="0"/>
      <w:marTop w:val="0"/>
      <w:marBottom w:val="0"/>
      <w:divBdr>
        <w:top w:val="none" w:sz="0" w:space="0" w:color="auto"/>
        <w:left w:val="none" w:sz="0" w:space="0" w:color="auto"/>
        <w:bottom w:val="none" w:sz="0" w:space="0" w:color="auto"/>
        <w:right w:val="none" w:sz="0" w:space="0" w:color="auto"/>
      </w:divBdr>
      <w:divsChild>
        <w:div w:id="121971722">
          <w:marLeft w:val="0"/>
          <w:marRight w:val="0"/>
          <w:marTop w:val="0"/>
          <w:marBottom w:val="0"/>
          <w:divBdr>
            <w:top w:val="none" w:sz="0" w:space="0" w:color="auto"/>
            <w:left w:val="none" w:sz="0" w:space="0" w:color="auto"/>
            <w:bottom w:val="none" w:sz="0" w:space="0" w:color="auto"/>
            <w:right w:val="none" w:sz="0" w:space="0" w:color="auto"/>
          </w:divBdr>
        </w:div>
        <w:div w:id="505245037">
          <w:marLeft w:val="0"/>
          <w:marRight w:val="0"/>
          <w:marTop w:val="0"/>
          <w:marBottom w:val="0"/>
          <w:divBdr>
            <w:top w:val="none" w:sz="0" w:space="0" w:color="auto"/>
            <w:left w:val="none" w:sz="0" w:space="0" w:color="auto"/>
            <w:bottom w:val="none" w:sz="0" w:space="0" w:color="auto"/>
            <w:right w:val="none" w:sz="0" w:space="0" w:color="auto"/>
          </w:divBdr>
        </w:div>
        <w:div w:id="617950510">
          <w:marLeft w:val="0"/>
          <w:marRight w:val="0"/>
          <w:marTop w:val="0"/>
          <w:marBottom w:val="0"/>
          <w:divBdr>
            <w:top w:val="none" w:sz="0" w:space="0" w:color="auto"/>
            <w:left w:val="none" w:sz="0" w:space="0" w:color="auto"/>
            <w:bottom w:val="none" w:sz="0" w:space="0" w:color="auto"/>
            <w:right w:val="none" w:sz="0" w:space="0" w:color="auto"/>
          </w:divBdr>
        </w:div>
        <w:div w:id="1065421832">
          <w:marLeft w:val="0"/>
          <w:marRight w:val="0"/>
          <w:marTop w:val="0"/>
          <w:marBottom w:val="0"/>
          <w:divBdr>
            <w:top w:val="none" w:sz="0" w:space="0" w:color="auto"/>
            <w:left w:val="none" w:sz="0" w:space="0" w:color="auto"/>
            <w:bottom w:val="none" w:sz="0" w:space="0" w:color="auto"/>
            <w:right w:val="none" w:sz="0" w:space="0" w:color="auto"/>
          </w:divBdr>
        </w:div>
        <w:div w:id="1234588870">
          <w:marLeft w:val="0"/>
          <w:marRight w:val="0"/>
          <w:marTop w:val="0"/>
          <w:marBottom w:val="0"/>
          <w:divBdr>
            <w:top w:val="none" w:sz="0" w:space="0" w:color="auto"/>
            <w:left w:val="none" w:sz="0" w:space="0" w:color="auto"/>
            <w:bottom w:val="none" w:sz="0" w:space="0" w:color="auto"/>
            <w:right w:val="none" w:sz="0" w:space="0" w:color="auto"/>
          </w:divBdr>
        </w:div>
        <w:div w:id="1328628493">
          <w:marLeft w:val="0"/>
          <w:marRight w:val="0"/>
          <w:marTop w:val="0"/>
          <w:marBottom w:val="0"/>
          <w:divBdr>
            <w:top w:val="none" w:sz="0" w:space="0" w:color="auto"/>
            <w:left w:val="none" w:sz="0" w:space="0" w:color="auto"/>
            <w:bottom w:val="none" w:sz="0" w:space="0" w:color="auto"/>
            <w:right w:val="none" w:sz="0" w:space="0" w:color="auto"/>
          </w:divBdr>
        </w:div>
        <w:div w:id="1455370523">
          <w:marLeft w:val="0"/>
          <w:marRight w:val="0"/>
          <w:marTop w:val="0"/>
          <w:marBottom w:val="0"/>
          <w:divBdr>
            <w:top w:val="none" w:sz="0" w:space="0" w:color="auto"/>
            <w:left w:val="none" w:sz="0" w:space="0" w:color="auto"/>
            <w:bottom w:val="none" w:sz="0" w:space="0" w:color="auto"/>
            <w:right w:val="none" w:sz="0" w:space="0" w:color="auto"/>
          </w:divBdr>
        </w:div>
        <w:div w:id="1495413835">
          <w:marLeft w:val="0"/>
          <w:marRight w:val="0"/>
          <w:marTop w:val="0"/>
          <w:marBottom w:val="0"/>
          <w:divBdr>
            <w:top w:val="none" w:sz="0" w:space="0" w:color="auto"/>
            <w:left w:val="none" w:sz="0" w:space="0" w:color="auto"/>
            <w:bottom w:val="none" w:sz="0" w:space="0" w:color="auto"/>
            <w:right w:val="none" w:sz="0" w:space="0" w:color="auto"/>
          </w:divBdr>
        </w:div>
        <w:div w:id="1525745643">
          <w:marLeft w:val="0"/>
          <w:marRight w:val="0"/>
          <w:marTop w:val="0"/>
          <w:marBottom w:val="0"/>
          <w:divBdr>
            <w:top w:val="none" w:sz="0" w:space="0" w:color="auto"/>
            <w:left w:val="none" w:sz="0" w:space="0" w:color="auto"/>
            <w:bottom w:val="none" w:sz="0" w:space="0" w:color="auto"/>
            <w:right w:val="none" w:sz="0" w:space="0" w:color="auto"/>
          </w:divBdr>
        </w:div>
        <w:div w:id="1637175077">
          <w:marLeft w:val="0"/>
          <w:marRight w:val="0"/>
          <w:marTop w:val="0"/>
          <w:marBottom w:val="0"/>
          <w:divBdr>
            <w:top w:val="none" w:sz="0" w:space="0" w:color="auto"/>
            <w:left w:val="none" w:sz="0" w:space="0" w:color="auto"/>
            <w:bottom w:val="none" w:sz="0" w:space="0" w:color="auto"/>
            <w:right w:val="none" w:sz="0" w:space="0" w:color="auto"/>
          </w:divBdr>
        </w:div>
        <w:div w:id="1642614322">
          <w:marLeft w:val="0"/>
          <w:marRight w:val="0"/>
          <w:marTop w:val="0"/>
          <w:marBottom w:val="0"/>
          <w:divBdr>
            <w:top w:val="none" w:sz="0" w:space="0" w:color="auto"/>
            <w:left w:val="none" w:sz="0" w:space="0" w:color="auto"/>
            <w:bottom w:val="none" w:sz="0" w:space="0" w:color="auto"/>
            <w:right w:val="none" w:sz="0" w:space="0" w:color="auto"/>
          </w:divBdr>
        </w:div>
        <w:div w:id="1723597760">
          <w:marLeft w:val="0"/>
          <w:marRight w:val="0"/>
          <w:marTop w:val="0"/>
          <w:marBottom w:val="0"/>
          <w:divBdr>
            <w:top w:val="none" w:sz="0" w:space="0" w:color="auto"/>
            <w:left w:val="none" w:sz="0" w:space="0" w:color="auto"/>
            <w:bottom w:val="none" w:sz="0" w:space="0" w:color="auto"/>
            <w:right w:val="none" w:sz="0" w:space="0" w:color="auto"/>
          </w:divBdr>
        </w:div>
        <w:div w:id="1743017909">
          <w:marLeft w:val="0"/>
          <w:marRight w:val="0"/>
          <w:marTop w:val="0"/>
          <w:marBottom w:val="0"/>
          <w:divBdr>
            <w:top w:val="none" w:sz="0" w:space="0" w:color="auto"/>
            <w:left w:val="none" w:sz="0" w:space="0" w:color="auto"/>
            <w:bottom w:val="none" w:sz="0" w:space="0" w:color="auto"/>
            <w:right w:val="none" w:sz="0" w:space="0" w:color="auto"/>
          </w:divBdr>
        </w:div>
        <w:div w:id="1856772110">
          <w:marLeft w:val="0"/>
          <w:marRight w:val="0"/>
          <w:marTop w:val="0"/>
          <w:marBottom w:val="0"/>
          <w:divBdr>
            <w:top w:val="none" w:sz="0" w:space="0" w:color="auto"/>
            <w:left w:val="none" w:sz="0" w:space="0" w:color="auto"/>
            <w:bottom w:val="none" w:sz="0" w:space="0" w:color="auto"/>
            <w:right w:val="none" w:sz="0" w:space="0" w:color="auto"/>
          </w:divBdr>
        </w:div>
        <w:div w:id="1893613585">
          <w:marLeft w:val="0"/>
          <w:marRight w:val="0"/>
          <w:marTop w:val="0"/>
          <w:marBottom w:val="0"/>
          <w:divBdr>
            <w:top w:val="none" w:sz="0" w:space="0" w:color="auto"/>
            <w:left w:val="none" w:sz="0" w:space="0" w:color="auto"/>
            <w:bottom w:val="none" w:sz="0" w:space="0" w:color="auto"/>
            <w:right w:val="none" w:sz="0" w:space="0" w:color="auto"/>
          </w:divBdr>
        </w:div>
        <w:div w:id="1896817122">
          <w:marLeft w:val="0"/>
          <w:marRight w:val="0"/>
          <w:marTop w:val="0"/>
          <w:marBottom w:val="0"/>
          <w:divBdr>
            <w:top w:val="none" w:sz="0" w:space="0" w:color="auto"/>
            <w:left w:val="none" w:sz="0" w:space="0" w:color="auto"/>
            <w:bottom w:val="none" w:sz="0" w:space="0" w:color="auto"/>
            <w:right w:val="none" w:sz="0" w:space="0" w:color="auto"/>
          </w:divBdr>
        </w:div>
        <w:div w:id="2082561003">
          <w:marLeft w:val="0"/>
          <w:marRight w:val="0"/>
          <w:marTop w:val="0"/>
          <w:marBottom w:val="0"/>
          <w:divBdr>
            <w:top w:val="none" w:sz="0" w:space="0" w:color="auto"/>
            <w:left w:val="none" w:sz="0" w:space="0" w:color="auto"/>
            <w:bottom w:val="none" w:sz="0" w:space="0" w:color="auto"/>
            <w:right w:val="none" w:sz="0" w:space="0" w:color="auto"/>
          </w:divBdr>
        </w:div>
      </w:divsChild>
    </w:div>
    <w:div w:id="1254123356">
      <w:bodyDiv w:val="1"/>
      <w:marLeft w:val="0"/>
      <w:marRight w:val="0"/>
      <w:marTop w:val="0"/>
      <w:marBottom w:val="0"/>
      <w:divBdr>
        <w:top w:val="none" w:sz="0" w:space="0" w:color="auto"/>
        <w:left w:val="none" w:sz="0" w:space="0" w:color="auto"/>
        <w:bottom w:val="none" w:sz="0" w:space="0" w:color="auto"/>
        <w:right w:val="none" w:sz="0" w:space="0" w:color="auto"/>
      </w:divBdr>
    </w:div>
    <w:div w:id="1262101822">
      <w:bodyDiv w:val="1"/>
      <w:marLeft w:val="0"/>
      <w:marRight w:val="0"/>
      <w:marTop w:val="0"/>
      <w:marBottom w:val="0"/>
      <w:divBdr>
        <w:top w:val="none" w:sz="0" w:space="0" w:color="auto"/>
        <w:left w:val="none" w:sz="0" w:space="0" w:color="auto"/>
        <w:bottom w:val="none" w:sz="0" w:space="0" w:color="auto"/>
        <w:right w:val="none" w:sz="0" w:space="0" w:color="auto"/>
      </w:divBdr>
      <w:divsChild>
        <w:div w:id="10647001">
          <w:marLeft w:val="0"/>
          <w:marRight w:val="0"/>
          <w:marTop w:val="0"/>
          <w:marBottom w:val="0"/>
          <w:divBdr>
            <w:top w:val="none" w:sz="0" w:space="0" w:color="auto"/>
            <w:left w:val="none" w:sz="0" w:space="0" w:color="auto"/>
            <w:bottom w:val="none" w:sz="0" w:space="0" w:color="auto"/>
            <w:right w:val="none" w:sz="0" w:space="0" w:color="auto"/>
          </w:divBdr>
        </w:div>
        <w:div w:id="99495796">
          <w:marLeft w:val="0"/>
          <w:marRight w:val="0"/>
          <w:marTop w:val="0"/>
          <w:marBottom w:val="0"/>
          <w:divBdr>
            <w:top w:val="none" w:sz="0" w:space="0" w:color="auto"/>
            <w:left w:val="none" w:sz="0" w:space="0" w:color="auto"/>
            <w:bottom w:val="none" w:sz="0" w:space="0" w:color="auto"/>
            <w:right w:val="none" w:sz="0" w:space="0" w:color="auto"/>
          </w:divBdr>
        </w:div>
        <w:div w:id="293947277">
          <w:marLeft w:val="0"/>
          <w:marRight w:val="0"/>
          <w:marTop w:val="0"/>
          <w:marBottom w:val="0"/>
          <w:divBdr>
            <w:top w:val="none" w:sz="0" w:space="0" w:color="auto"/>
            <w:left w:val="none" w:sz="0" w:space="0" w:color="auto"/>
            <w:bottom w:val="none" w:sz="0" w:space="0" w:color="auto"/>
            <w:right w:val="none" w:sz="0" w:space="0" w:color="auto"/>
          </w:divBdr>
        </w:div>
        <w:div w:id="323165619">
          <w:marLeft w:val="0"/>
          <w:marRight w:val="0"/>
          <w:marTop w:val="0"/>
          <w:marBottom w:val="0"/>
          <w:divBdr>
            <w:top w:val="none" w:sz="0" w:space="0" w:color="auto"/>
            <w:left w:val="none" w:sz="0" w:space="0" w:color="auto"/>
            <w:bottom w:val="none" w:sz="0" w:space="0" w:color="auto"/>
            <w:right w:val="none" w:sz="0" w:space="0" w:color="auto"/>
          </w:divBdr>
        </w:div>
        <w:div w:id="364912748">
          <w:marLeft w:val="0"/>
          <w:marRight w:val="0"/>
          <w:marTop w:val="0"/>
          <w:marBottom w:val="0"/>
          <w:divBdr>
            <w:top w:val="none" w:sz="0" w:space="0" w:color="auto"/>
            <w:left w:val="none" w:sz="0" w:space="0" w:color="auto"/>
            <w:bottom w:val="none" w:sz="0" w:space="0" w:color="auto"/>
            <w:right w:val="none" w:sz="0" w:space="0" w:color="auto"/>
          </w:divBdr>
        </w:div>
        <w:div w:id="387842676">
          <w:marLeft w:val="0"/>
          <w:marRight w:val="0"/>
          <w:marTop w:val="0"/>
          <w:marBottom w:val="0"/>
          <w:divBdr>
            <w:top w:val="none" w:sz="0" w:space="0" w:color="auto"/>
            <w:left w:val="none" w:sz="0" w:space="0" w:color="auto"/>
            <w:bottom w:val="none" w:sz="0" w:space="0" w:color="auto"/>
            <w:right w:val="none" w:sz="0" w:space="0" w:color="auto"/>
          </w:divBdr>
        </w:div>
        <w:div w:id="434248279">
          <w:marLeft w:val="0"/>
          <w:marRight w:val="0"/>
          <w:marTop w:val="0"/>
          <w:marBottom w:val="0"/>
          <w:divBdr>
            <w:top w:val="none" w:sz="0" w:space="0" w:color="auto"/>
            <w:left w:val="none" w:sz="0" w:space="0" w:color="auto"/>
            <w:bottom w:val="none" w:sz="0" w:space="0" w:color="auto"/>
            <w:right w:val="none" w:sz="0" w:space="0" w:color="auto"/>
          </w:divBdr>
        </w:div>
        <w:div w:id="444688979">
          <w:marLeft w:val="0"/>
          <w:marRight w:val="0"/>
          <w:marTop w:val="0"/>
          <w:marBottom w:val="0"/>
          <w:divBdr>
            <w:top w:val="none" w:sz="0" w:space="0" w:color="auto"/>
            <w:left w:val="none" w:sz="0" w:space="0" w:color="auto"/>
            <w:bottom w:val="none" w:sz="0" w:space="0" w:color="auto"/>
            <w:right w:val="none" w:sz="0" w:space="0" w:color="auto"/>
          </w:divBdr>
        </w:div>
        <w:div w:id="485051662">
          <w:marLeft w:val="0"/>
          <w:marRight w:val="0"/>
          <w:marTop w:val="0"/>
          <w:marBottom w:val="0"/>
          <w:divBdr>
            <w:top w:val="none" w:sz="0" w:space="0" w:color="auto"/>
            <w:left w:val="none" w:sz="0" w:space="0" w:color="auto"/>
            <w:bottom w:val="none" w:sz="0" w:space="0" w:color="auto"/>
            <w:right w:val="none" w:sz="0" w:space="0" w:color="auto"/>
          </w:divBdr>
        </w:div>
        <w:div w:id="566722406">
          <w:marLeft w:val="0"/>
          <w:marRight w:val="0"/>
          <w:marTop w:val="0"/>
          <w:marBottom w:val="0"/>
          <w:divBdr>
            <w:top w:val="none" w:sz="0" w:space="0" w:color="auto"/>
            <w:left w:val="none" w:sz="0" w:space="0" w:color="auto"/>
            <w:bottom w:val="none" w:sz="0" w:space="0" w:color="auto"/>
            <w:right w:val="none" w:sz="0" w:space="0" w:color="auto"/>
          </w:divBdr>
        </w:div>
        <w:div w:id="607659969">
          <w:marLeft w:val="0"/>
          <w:marRight w:val="0"/>
          <w:marTop w:val="0"/>
          <w:marBottom w:val="0"/>
          <w:divBdr>
            <w:top w:val="none" w:sz="0" w:space="0" w:color="auto"/>
            <w:left w:val="none" w:sz="0" w:space="0" w:color="auto"/>
            <w:bottom w:val="none" w:sz="0" w:space="0" w:color="auto"/>
            <w:right w:val="none" w:sz="0" w:space="0" w:color="auto"/>
          </w:divBdr>
        </w:div>
        <w:div w:id="653727257">
          <w:marLeft w:val="0"/>
          <w:marRight w:val="0"/>
          <w:marTop w:val="0"/>
          <w:marBottom w:val="0"/>
          <w:divBdr>
            <w:top w:val="none" w:sz="0" w:space="0" w:color="auto"/>
            <w:left w:val="none" w:sz="0" w:space="0" w:color="auto"/>
            <w:bottom w:val="none" w:sz="0" w:space="0" w:color="auto"/>
            <w:right w:val="none" w:sz="0" w:space="0" w:color="auto"/>
          </w:divBdr>
        </w:div>
        <w:div w:id="856850117">
          <w:marLeft w:val="0"/>
          <w:marRight w:val="0"/>
          <w:marTop w:val="0"/>
          <w:marBottom w:val="0"/>
          <w:divBdr>
            <w:top w:val="none" w:sz="0" w:space="0" w:color="auto"/>
            <w:left w:val="none" w:sz="0" w:space="0" w:color="auto"/>
            <w:bottom w:val="none" w:sz="0" w:space="0" w:color="auto"/>
            <w:right w:val="none" w:sz="0" w:space="0" w:color="auto"/>
          </w:divBdr>
        </w:div>
        <w:div w:id="915938769">
          <w:marLeft w:val="0"/>
          <w:marRight w:val="0"/>
          <w:marTop w:val="0"/>
          <w:marBottom w:val="0"/>
          <w:divBdr>
            <w:top w:val="none" w:sz="0" w:space="0" w:color="auto"/>
            <w:left w:val="none" w:sz="0" w:space="0" w:color="auto"/>
            <w:bottom w:val="none" w:sz="0" w:space="0" w:color="auto"/>
            <w:right w:val="none" w:sz="0" w:space="0" w:color="auto"/>
          </w:divBdr>
        </w:div>
        <w:div w:id="1487821104">
          <w:marLeft w:val="0"/>
          <w:marRight w:val="0"/>
          <w:marTop w:val="0"/>
          <w:marBottom w:val="0"/>
          <w:divBdr>
            <w:top w:val="none" w:sz="0" w:space="0" w:color="auto"/>
            <w:left w:val="none" w:sz="0" w:space="0" w:color="auto"/>
            <w:bottom w:val="none" w:sz="0" w:space="0" w:color="auto"/>
            <w:right w:val="none" w:sz="0" w:space="0" w:color="auto"/>
          </w:divBdr>
        </w:div>
        <w:div w:id="1780446357">
          <w:marLeft w:val="0"/>
          <w:marRight w:val="0"/>
          <w:marTop w:val="0"/>
          <w:marBottom w:val="0"/>
          <w:divBdr>
            <w:top w:val="none" w:sz="0" w:space="0" w:color="auto"/>
            <w:left w:val="none" w:sz="0" w:space="0" w:color="auto"/>
            <w:bottom w:val="none" w:sz="0" w:space="0" w:color="auto"/>
            <w:right w:val="none" w:sz="0" w:space="0" w:color="auto"/>
          </w:divBdr>
        </w:div>
        <w:div w:id="1812283980">
          <w:marLeft w:val="0"/>
          <w:marRight w:val="0"/>
          <w:marTop w:val="0"/>
          <w:marBottom w:val="0"/>
          <w:divBdr>
            <w:top w:val="none" w:sz="0" w:space="0" w:color="auto"/>
            <w:left w:val="none" w:sz="0" w:space="0" w:color="auto"/>
            <w:bottom w:val="none" w:sz="0" w:space="0" w:color="auto"/>
            <w:right w:val="none" w:sz="0" w:space="0" w:color="auto"/>
          </w:divBdr>
        </w:div>
      </w:divsChild>
    </w:div>
    <w:div w:id="1340038607">
      <w:bodyDiv w:val="1"/>
      <w:marLeft w:val="0"/>
      <w:marRight w:val="0"/>
      <w:marTop w:val="0"/>
      <w:marBottom w:val="0"/>
      <w:divBdr>
        <w:top w:val="none" w:sz="0" w:space="0" w:color="auto"/>
        <w:left w:val="none" w:sz="0" w:space="0" w:color="auto"/>
        <w:bottom w:val="none" w:sz="0" w:space="0" w:color="auto"/>
        <w:right w:val="none" w:sz="0" w:space="0" w:color="auto"/>
      </w:divBdr>
      <w:divsChild>
        <w:div w:id="75565426">
          <w:marLeft w:val="0"/>
          <w:marRight w:val="0"/>
          <w:marTop w:val="0"/>
          <w:marBottom w:val="0"/>
          <w:divBdr>
            <w:top w:val="none" w:sz="0" w:space="0" w:color="auto"/>
            <w:left w:val="none" w:sz="0" w:space="0" w:color="auto"/>
            <w:bottom w:val="none" w:sz="0" w:space="0" w:color="auto"/>
            <w:right w:val="none" w:sz="0" w:space="0" w:color="auto"/>
          </w:divBdr>
        </w:div>
        <w:div w:id="745805915">
          <w:marLeft w:val="0"/>
          <w:marRight w:val="0"/>
          <w:marTop w:val="0"/>
          <w:marBottom w:val="0"/>
          <w:divBdr>
            <w:top w:val="none" w:sz="0" w:space="0" w:color="auto"/>
            <w:left w:val="none" w:sz="0" w:space="0" w:color="auto"/>
            <w:bottom w:val="none" w:sz="0" w:space="0" w:color="auto"/>
            <w:right w:val="none" w:sz="0" w:space="0" w:color="auto"/>
          </w:divBdr>
        </w:div>
        <w:div w:id="791098263">
          <w:marLeft w:val="0"/>
          <w:marRight w:val="0"/>
          <w:marTop w:val="0"/>
          <w:marBottom w:val="0"/>
          <w:divBdr>
            <w:top w:val="none" w:sz="0" w:space="0" w:color="auto"/>
            <w:left w:val="none" w:sz="0" w:space="0" w:color="auto"/>
            <w:bottom w:val="none" w:sz="0" w:space="0" w:color="auto"/>
            <w:right w:val="none" w:sz="0" w:space="0" w:color="auto"/>
          </w:divBdr>
        </w:div>
        <w:div w:id="798494444">
          <w:marLeft w:val="0"/>
          <w:marRight w:val="0"/>
          <w:marTop w:val="0"/>
          <w:marBottom w:val="0"/>
          <w:divBdr>
            <w:top w:val="none" w:sz="0" w:space="0" w:color="auto"/>
            <w:left w:val="none" w:sz="0" w:space="0" w:color="auto"/>
            <w:bottom w:val="none" w:sz="0" w:space="0" w:color="auto"/>
            <w:right w:val="none" w:sz="0" w:space="0" w:color="auto"/>
          </w:divBdr>
        </w:div>
        <w:div w:id="1204437618">
          <w:marLeft w:val="0"/>
          <w:marRight w:val="0"/>
          <w:marTop w:val="0"/>
          <w:marBottom w:val="0"/>
          <w:divBdr>
            <w:top w:val="none" w:sz="0" w:space="0" w:color="auto"/>
            <w:left w:val="none" w:sz="0" w:space="0" w:color="auto"/>
            <w:bottom w:val="none" w:sz="0" w:space="0" w:color="auto"/>
            <w:right w:val="none" w:sz="0" w:space="0" w:color="auto"/>
          </w:divBdr>
        </w:div>
        <w:div w:id="1505247528">
          <w:marLeft w:val="0"/>
          <w:marRight w:val="0"/>
          <w:marTop w:val="0"/>
          <w:marBottom w:val="0"/>
          <w:divBdr>
            <w:top w:val="none" w:sz="0" w:space="0" w:color="auto"/>
            <w:left w:val="none" w:sz="0" w:space="0" w:color="auto"/>
            <w:bottom w:val="none" w:sz="0" w:space="0" w:color="auto"/>
            <w:right w:val="none" w:sz="0" w:space="0" w:color="auto"/>
          </w:divBdr>
        </w:div>
        <w:div w:id="1968969358">
          <w:marLeft w:val="0"/>
          <w:marRight w:val="0"/>
          <w:marTop w:val="0"/>
          <w:marBottom w:val="0"/>
          <w:divBdr>
            <w:top w:val="none" w:sz="0" w:space="0" w:color="auto"/>
            <w:left w:val="none" w:sz="0" w:space="0" w:color="auto"/>
            <w:bottom w:val="none" w:sz="0" w:space="0" w:color="auto"/>
            <w:right w:val="none" w:sz="0" w:space="0" w:color="auto"/>
          </w:divBdr>
        </w:div>
        <w:div w:id="1969848231">
          <w:marLeft w:val="0"/>
          <w:marRight w:val="0"/>
          <w:marTop w:val="0"/>
          <w:marBottom w:val="0"/>
          <w:divBdr>
            <w:top w:val="none" w:sz="0" w:space="0" w:color="auto"/>
            <w:left w:val="none" w:sz="0" w:space="0" w:color="auto"/>
            <w:bottom w:val="none" w:sz="0" w:space="0" w:color="auto"/>
            <w:right w:val="none" w:sz="0" w:space="0" w:color="auto"/>
          </w:divBdr>
        </w:div>
        <w:div w:id="2058821067">
          <w:marLeft w:val="0"/>
          <w:marRight w:val="0"/>
          <w:marTop w:val="0"/>
          <w:marBottom w:val="0"/>
          <w:divBdr>
            <w:top w:val="none" w:sz="0" w:space="0" w:color="auto"/>
            <w:left w:val="none" w:sz="0" w:space="0" w:color="auto"/>
            <w:bottom w:val="none" w:sz="0" w:space="0" w:color="auto"/>
            <w:right w:val="none" w:sz="0" w:space="0" w:color="auto"/>
          </w:divBdr>
        </w:div>
      </w:divsChild>
    </w:div>
    <w:div w:id="1481380130">
      <w:bodyDiv w:val="1"/>
      <w:marLeft w:val="0"/>
      <w:marRight w:val="0"/>
      <w:marTop w:val="0"/>
      <w:marBottom w:val="0"/>
      <w:divBdr>
        <w:top w:val="none" w:sz="0" w:space="0" w:color="auto"/>
        <w:left w:val="none" w:sz="0" w:space="0" w:color="auto"/>
        <w:bottom w:val="none" w:sz="0" w:space="0" w:color="auto"/>
        <w:right w:val="none" w:sz="0" w:space="0" w:color="auto"/>
      </w:divBdr>
      <w:divsChild>
        <w:div w:id="503282705">
          <w:marLeft w:val="0"/>
          <w:marRight w:val="0"/>
          <w:marTop w:val="0"/>
          <w:marBottom w:val="0"/>
          <w:divBdr>
            <w:top w:val="none" w:sz="0" w:space="0" w:color="auto"/>
            <w:left w:val="none" w:sz="0" w:space="0" w:color="auto"/>
            <w:bottom w:val="none" w:sz="0" w:space="0" w:color="auto"/>
            <w:right w:val="none" w:sz="0" w:space="0" w:color="auto"/>
          </w:divBdr>
        </w:div>
        <w:div w:id="945692741">
          <w:marLeft w:val="0"/>
          <w:marRight w:val="0"/>
          <w:marTop w:val="0"/>
          <w:marBottom w:val="0"/>
          <w:divBdr>
            <w:top w:val="none" w:sz="0" w:space="0" w:color="auto"/>
            <w:left w:val="none" w:sz="0" w:space="0" w:color="auto"/>
            <w:bottom w:val="none" w:sz="0" w:space="0" w:color="auto"/>
            <w:right w:val="none" w:sz="0" w:space="0" w:color="auto"/>
          </w:divBdr>
        </w:div>
        <w:div w:id="1405642299">
          <w:marLeft w:val="0"/>
          <w:marRight w:val="0"/>
          <w:marTop w:val="0"/>
          <w:marBottom w:val="0"/>
          <w:divBdr>
            <w:top w:val="none" w:sz="0" w:space="0" w:color="auto"/>
            <w:left w:val="none" w:sz="0" w:space="0" w:color="auto"/>
            <w:bottom w:val="none" w:sz="0" w:space="0" w:color="auto"/>
            <w:right w:val="none" w:sz="0" w:space="0" w:color="auto"/>
          </w:divBdr>
        </w:div>
        <w:div w:id="2035034227">
          <w:marLeft w:val="0"/>
          <w:marRight w:val="0"/>
          <w:marTop w:val="0"/>
          <w:marBottom w:val="0"/>
          <w:divBdr>
            <w:top w:val="none" w:sz="0" w:space="0" w:color="auto"/>
            <w:left w:val="none" w:sz="0" w:space="0" w:color="auto"/>
            <w:bottom w:val="none" w:sz="0" w:space="0" w:color="auto"/>
            <w:right w:val="none" w:sz="0" w:space="0" w:color="auto"/>
          </w:divBdr>
        </w:div>
      </w:divsChild>
    </w:div>
    <w:div w:id="1587762548">
      <w:bodyDiv w:val="1"/>
      <w:marLeft w:val="0"/>
      <w:marRight w:val="0"/>
      <w:marTop w:val="0"/>
      <w:marBottom w:val="0"/>
      <w:divBdr>
        <w:top w:val="none" w:sz="0" w:space="0" w:color="auto"/>
        <w:left w:val="none" w:sz="0" w:space="0" w:color="auto"/>
        <w:bottom w:val="none" w:sz="0" w:space="0" w:color="auto"/>
        <w:right w:val="none" w:sz="0" w:space="0" w:color="auto"/>
      </w:divBdr>
      <w:divsChild>
        <w:div w:id="19598910">
          <w:marLeft w:val="0"/>
          <w:marRight w:val="0"/>
          <w:marTop w:val="0"/>
          <w:marBottom w:val="0"/>
          <w:divBdr>
            <w:top w:val="none" w:sz="0" w:space="0" w:color="auto"/>
            <w:left w:val="none" w:sz="0" w:space="0" w:color="auto"/>
            <w:bottom w:val="none" w:sz="0" w:space="0" w:color="auto"/>
            <w:right w:val="none" w:sz="0" w:space="0" w:color="auto"/>
          </w:divBdr>
        </w:div>
        <w:div w:id="55513286">
          <w:marLeft w:val="0"/>
          <w:marRight w:val="0"/>
          <w:marTop w:val="0"/>
          <w:marBottom w:val="0"/>
          <w:divBdr>
            <w:top w:val="none" w:sz="0" w:space="0" w:color="auto"/>
            <w:left w:val="none" w:sz="0" w:space="0" w:color="auto"/>
            <w:bottom w:val="none" w:sz="0" w:space="0" w:color="auto"/>
            <w:right w:val="none" w:sz="0" w:space="0" w:color="auto"/>
          </w:divBdr>
        </w:div>
        <w:div w:id="166405077">
          <w:marLeft w:val="0"/>
          <w:marRight w:val="0"/>
          <w:marTop w:val="0"/>
          <w:marBottom w:val="0"/>
          <w:divBdr>
            <w:top w:val="none" w:sz="0" w:space="0" w:color="auto"/>
            <w:left w:val="none" w:sz="0" w:space="0" w:color="auto"/>
            <w:bottom w:val="none" w:sz="0" w:space="0" w:color="auto"/>
            <w:right w:val="none" w:sz="0" w:space="0" w:color="auto"/>
          </w:divBdr>
        </w:div>
        <w:div w:id="214199637">
          <w:marLeft w:val="0"/>
          <w:marRight w:val="0"/>
          <w:marTop w:val="0"/>
          <w:marBottom w:val="0"/>
          <w:divBdr>
            <w:top w:val="none" w:sz="0" w:space="0" w:color="auto"/>
            <w:left w:val="none" w:sz="0" w:space="0" w:color="auto"/>
            <w:bottom w:val="none" w:sz="0" w:space="0" w:color="auto"/>
            <w:right w:val="none" w:sz="0" w:space="0" w:color="auto"/>
          </w:divBdr>
        </w:div>
        <w:div w:id="346061741">
          <w:marLeft w:val="0"/>
          <w:marRight w:val="0"/>
          <w:marTop w:val="0"/>
          <w:marBottom w:val="0"/>
          <w:divBdr>
            <w:top w:val="none" w:sz="0" w:space="0" w:color="auto"/>
            <w:left w:val="none" w:sz="0" w:space="0" w:color="auto"/>
            <w:bottom w:val="none" w:sz="0" w:space="0" w:color="auto"/>
            <w:right w:val="none" w:sz="0" w:space="0" w:color="auto"/>
          </w:divBdr>
        </w:div>
        <w:div w:id="596404792">
          <w:marLeft w:val="0"/>
          <w:marRight w:val="0"/>
          <w:marTop w:val="0"/>
          <w:marBottom w:val="0"/>
          <w:divBdr>
            <w:top w:val="none" w:sz="0" w:space="0" w:color="auto"/>
            <w:left w:val="none" w:sz="0" w:space="0" w:color="auto"/>
            <w:bottom w:val="none" w:sz="0" w:space="0" w:color="auto"/>
            <w:right w:val="none" w:sz="0" w:space="0" w:color="auto"/>
          </w:divBdr>
        </w:div>
        <w:div w:id="603001351">
          <w:marLeft w:val="0"/>
          <w:marRight w:val="0"/>
          <w:marTop w:val="0"/>
          <w:marBottom w:val="0"/>
          <w:divBdr>
            <w:top w:val="none" w:sz="0" w:space="0" w:color="auto"/>
            <w:left w:val="none" w:sz="0" w:space="0" w:color="auto"/>
            <w:bottom w:val="none" w:sz="0" w:space="0" w:color="auto"/>
            <w:right w:val="none" w:sz="0" w:space="0" w:color="auto"/>
          </w:divBdr>
        </w:div>
        <w:div w:id="705063444">
          <w:marLeft w:val="0"/>
          <w:marRight w:val="0"/>
          <w:marTop w:val="0"/>
          <w:marBottom w:val="0"/>
          <w:divBdr>
            <w:top w:val="none" w:sz="0" w:space="0" w:color="auto"/>
            <w:left w:val="none" w:sz="0" w:space="0" w:color="auto"/>
            <w:bottom w:val="none" w:sz="0" w:space="0" w:color="auto"/>
            <w:right w:val="none" w:sz="0" w:space="0" w:color="auto"/>
          </w:divBdr>
        </w:div>
        <w:div w:id="789205104">
          <w:marLeft w:val="0"/>
          <w:marRight w:val="0"/>
          <w:marTop w:val="0"/>
          <w:marBottom w:val="0"/>
          <w:divBdr>
            <w:top w:val="none" w:sz="0" w:space="0" w:color="auto"/>
            <w:left w:val="none" w:sz="0" w:space="0" w:color="auto"/>
            <w:bottom w:val="none" w:sz="0" w:space="0" w:color="auto"/>
            <w:right w:val="none" w:sz="0" w:space="0" w:color="auto"/>
          </w:divBdr>
        </w:div>
        <w:div w:id="2032414998">
          <w:marLeft w:val="0"/>
          <w:marRight w:val="0"/>
          <w:marTop w:val="0"/>
          <w:marBottom w:val="0"/>
          <w:divBdr>
            <w:top w:val="none" w:sz="0" w:space="0" w:color="auto"/>
            <w:left w:val="none" w:sz="0" w:space="0" w:color="auto"/>
            <w:bottom w:val="none" w:sz="0" w:space="0" w:color="auto"/>
            <w:right w:val="none" w:sz="0" w:space="0" w:color="auto"/>
          </w:divBdr>
        </w:div>
      </w:divsChild>
    </w:div>
    <w:div w:id="1637107972">
      <w:bodyDiv w:val="1"/>
      <w:marLeft w:val="0"/>
      <w:marRight w:val="0"/>
      <w:marTop w:val="0"/>
      <w:marBottom w:val="0"/>
      <w:divBdr>
        <w:top w:val="none" w:sz="0" w:space="0" w:color="auto"/>
        <w:left w:val="none" w:sz="0" w:space="0" w:color="auto"/>
        <w:bottom w:val="none" w:sz="0" w:space="0" w:color="auto"/>
        <w:right w:val="none" w:sz="0" w:space="0" w:color="auto"/>
      </w:divBdr>
    </w:div>
    <w:div w:id="1860390752">
      <w:bodyDiv w:val="1"/>
      <w:marLeft w:val="0"/>
      <w:marRight w:val="0"/>
      <w:marTop w:val="0"/>
      <w:marBottom w:val="0"/>
      <w:divBdr>
        <w:top w:val="none" w:sz="0" w:space="0" w:color="auto"/>
        <w:left w:val="none" w:sz="0" w:space="0" w:color="auto"/>
        <w:bottom w:val="none" w:sz="0" w:space="0" w:color="auto"/>
        <w:right w:val="none" w:sz="0" w:space="0" w:color="auto"/>
      </w:divBdr>
      <w:divsChild>
        <w:div w:id="144857100">
          <w:marLeft w:val="0"/>
          <w:marRight w:val="0"/>
          <w:marTop w:val="0"/>
          <w:marBottom w:val="0"/>
          <w:divBdr>
            <w:top w:val="none" w:sz="0" w:space="0" w:color="auto"/>
            <w:left w:val="none" w:sz="0" w:space="0" w:color="auto"/>
            <w:bottom w:val="none" w:sz="0" w:space="0" w:color="auto"/>
            <w:right w:val="none" w:sz="0" w:space="0" w:color="auto"/>
          </w:divBdr>
        </w:div>
        <w:div w:id="1063406194">
          <w:marLeft w:val="0"/>
          <w:marRight w:val="0"/>
          <w:marTop w:val="0"/>
          <w:marBottom w:val="0"/>
          <w:divBdr>
            <w:top w:val="none" w:sz="0" w:space="0" w:color="auto"/>
            <w:left w:val="none" w:sz="0" w:space="0" w:color="auto"/>
            <w:bottom w:val="none" w:sz="0" w:space="0" w:color="auto"/>
            <w:right w:val="none" w:sz="0" w:space="0" w:color="auto"/>
          </w:divBdr>
        </w:div>
        <w:div w:id="1637176545">
          <w:marLeft w:val="0"/>
          <w:marRight w:val="0"/>
          <w:marTop w:val="0"/>
          <w:marBottom w:val="0"/>
          <w:divBdr>
            <w:top w:val="none" w:sz="0" w:space="0" w:color="auto"/>
            <w:left w:val="none" w:sz="0" w:space="0" w:color="auto"/>
            <w:bottom w:val="none" w:sz="0" w:space="0" w:color="auto"/>
            <w:right w:val="none" w:sz="0" w:space="0" w:color="auto"/>
          </w:divBdr>
        </w:div>
      </w:divsChild>
    </w:div>
    <w:div w:id="2008435090">
      <w:bodyDiv w:val="1"/>
      <w:marLeft w:val="0"/>
      <w:marRight w:val="0"/>
      <w:marTop w:val="0"/>
      <w:marBottom w:val="0"/>
      <w:divBdr>
        <w:top w:val="none" w:sz="0" w:space="0" w:color="auto"/>
        <w:left w:val="none" w:sz="0" w:space="0" w:color="auto"/>
        <w:bottom w:val="none" w:sz="0" w:space="0" w:color="auto"/>
        <w:right w:val="none" w:sz="0" w:space="0" w:color="auto"/>
      </w:divBdr>
    </w:div>
    <w:div w:id="2011713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3" Type="http://schemas.openxmlformats.org/officeDocument/2006/relationships/hyperlink" Target="https://www.supersociedades.gov.co/Noticias/Publicaciones/Revistas/2020/GUIA-GOBIERNO-CORPORATIVO-2020.pdf" TargetMode="External"/><Relationship Id="rId2" Type="http://schemas.openxmlformats.org/officeDocument/2006/relationships/hyperlink" Target="https://www.superfinanciera.gov.co/inicio/industrias-supervisadas/gobierno-corporativo/codigo-pais-61162" TargetMode="External"/><Relationship Id="rId1" Type="http://schemas.openxmlformats.org/officeDocument/2006/relationships/hyperlink" Target="https://relatoria.colombiacompra.gov.co/busqueda/conceptos" TargetMode="External"/><Relationship Id="rId5" Type="http://schemas.openxmlformats.org/officeDocument/2006/relationships/hyperlink" Target="https://www.supersociedades.gov.co/web/nuestra-entidad/conceptos-juridicos?keyword=accionistas%20morosos&amp;id=1256460" TargetMode="External"/><Relationship Id="rId4" Type="http://schemas.openxmlformats.org/officeDocument/2006/relationships/hyperlink" Target="https://www.supersociedades.gov.co/web/nuestra-entidad/conceptos-juridicos?keyword=derechos%20de%20los%20accionistas&amp;id=1256460"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19" ma:contentTypeDescription="Crear nuevo documento." ma:contentTypeScope="" ma:versionID="d5ae9f8d474a6ffa893796061015c198">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b1a281eef382c5c83056bb39ef08c8eb"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lcf76f155ced4ddcb4097134ff3c332f xmlns="9d85dbaf-23eb-4e57-a637-93dcacc8b1a1">
      <Terms xmlns="http://schemas.microsoft.com/office/infopath/2007/PartnerControls"/>
    </lcf76f155ced4ddcb4097134ff3c332f>
    <_Flow_SignoffStatus xmlns="9d85dbaf-23eb-4e57-a637-93dcacc8b1a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90D97E-70C0-427D-96EE-EF3FB1B4375A}">
  <ds:schemaRefs>
    <ds:schemaRef ds:uri="http://schemas.microsoft.com/sharepoint/v3/contenttype/forms"/>
  </ds:schemaRefs>
</ds:datastoreItem>
</file>

<file path=customXml/itemProps2.xml><?xml version="1.0" encoding="utf-8"?>
<ds:datastoreItem xmlns:ds="http://schemas.openxmlformats.org/officeDocument/2006/customXml" ds:itemID="{67AFAA12-F84A-4BCB-9EE1-CA2DD27183DB}"/>
</file>

<file path=customXml/itemProps3.xml><?xml version="1.0" encoding="utf-8"?>
<ds:datastoreItem xmlns:ds="http://schemas.openxmlformats.org/officeDocument/2006/customXml" ds:itemID="{E088C81D-1CA3-42C5-B29B-A3D6E3CA0748}">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4.xml><?xml version="1.0" encoding="utf-8"?>
<ds:datastoreItem xmlns:ds="http://schemas.openxmlformats.org/officeDocument/2006/customXml" ds:itemID="{CBD676CF-5C8C-4247-97F5-9647B1B823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813</TotalTime>
  <Pages>19</Pages>
  <Words>7141</Words>
  <Characters>39276</Characters>
  <Application>Microsoft Office Word</Application>
  <DocSecurity>0</DocSecurity>
  <Lines>327</Lines>
  <Paragraphs>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SGC-ANCP</dc:creator>
  <cp:keywords/>
  <dc:description/>
  <cp:lastModifiedBy>Diego Andres Zambrano Perez</cp:lastModifiedBy>
  <cp:revision>24</cp:revision>
  <dcterms:created xsi:type="dcterms:W3CDTF">2023-08-01T20:01:00Z</dcterms:created>
  <dcterms:modified xsi:type="dcterms:W3CDTF">2023-08-02T15:08:00Z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