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B5357" w:rsidR="00BE1E33" w:rsidP="00BE1E33" w:rsidRDefault="00BE1E33" w14:paraId="2D47BA26" w14:textId="77777777">
      <w:pPr>
        <w:jc w:val="right"/>
        <w:rPr>
          <w:rFonts w:ascii="Arial" w:hAnsi="Arial" w:cs="Arial"/>
          <w:b/>
          <w:color w:val="000000" w:themeColor="text1"/>
          <w:sz w:val="16"/>
          <w:szCs w:val="16"/>
          <w:lang w:eastAsia="es-ES"/>
        </w:rPr>
      </w:pPr>
      <w:bookmarkStart w:name="_Hlk28946138" w:id="0"/>
      <w:bookmarkStart w:name="_Hlk29548183" w:id="1"/>
      <w:r w:rsidRPr="00DB5357">
        <w:rPr>
          <w:rFonts w:ascii="Arial" w:hAnsi="Arial" w:cs="Arial"/>
          <w:b/>
          <w:color w:val="000000" w:themeColor="text1"/>
          <w:sz w:val="16"/>
          <w:szCs w:val="16"/>
          <w:lang w:eastAsia="es-ES"/>
        </w:rPr>
        <w:tab/>
      </w:r>
      <w:r w:rsidRPr="00DB5357">
        <w:rPr>
          <w:rFonts w:ascii="Arial" w:hAnsi="Arial" w:cs="Arial"/>
          <w:b/>
          <w:color w:val="000000" w:themeColor="text1"/>
          <w:sz w:val="16"/>
          <w:szCs w:val="16"/>
          <w:lang w:eastAsia="es-ES"/>
        </w:rPr>
        <w:t>CCE-DES-FM-17</w:t>
      </w:r>
    </w:p>
    <w:p w:rsidRPr="00DB5357" w:rsidR="00BE1E33" w:rsidP="00BE1E33" w:rsidRDefault="00BE1E33" w14:paraId="25784C1D" w14:textId="77777777">
      <w:pPr>
        <w:jc w:val="both"/>
        <w:rPr>
          <w:rFonts w:ascii="Arial" w:hAnsi="Arial" w:eastAsia="Calibri" w:cs="Arial"/>
          <w:b/>
          <w:color w:val="000000" w:themeColor="text1"/>
          <w:sz w:val="20"/>
          <w:szCs w:val="20"/>
        </w:rPr>
      </w:pPr>
    </w:p>
    <w:p w:rsidRPr="00DB5357" w:rsidR="00242129" w:rsidP="00242129" w:rsidRDefault="00242129" w14:paraId="1C2012C5" w14:textId="77A93F0D">
      <w:pPr>
        <w:jc w:val="both"/>
        <w:rPr>
          <w:rFonts w:ascii="Arial" w:hAnsi="Arial" w:eastAsia="Calibri" w:cs="Arial"/>
          <w:b/>
          <w:color w:val="000000" w:themeColor="text1"/>
          <w:sz w:val="22"/>
        </w:rPr>
      </w:pPr>
      <w:r w:rsidRPr="00DB5357">
        <w:rPr>
          <w:rFonts w:ascii="Arial" w:hAnsi="Arial" w:eastAsia="Calibri" w:cs="Arial"/>
          <w:b/>
          <w:color w:val="000000" w:themeColor="text1"/>
          <w:sz w:val="22"/>
        </w:rPr>
        <w:t xml:space="preserve">CAPACIDAD RESIDUAL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Definición</w:t>
      </w:r>
    </w:p>
    <w:p w:rsidRPr="00DB5357" w:rsidR="00242129" w:rsidP="00242129" w:rsidRDefault="00242129" w14:paraId="157CD3D4" w14:textId="77777777">
      <w:pPr>
        <w:jc w:val="both"/>
        <w:rPr>
          <w:rFonts w:ascii="Arial" w:hAnsi="Arial" w:eastAsia="Calibri" w:cs="Arial"/>
          <w:b/>
          <w:color w:val="000000" w:themeColor="text1"/>
          <w:sz w:val="20"/>
          <w:szCs w:val="20"/>
        </w:rPr>
      </w:pPr>
    </w:p>
    <w:p w:rsidRPr="00DB5357" w:rsidR="00242129" w:rsidP="00A6641B" w:rsidRDefault="00242129" w14:paraId="70D731B2" w14:textId="49EC67F8">
      <w:pPr>
        <w:jc w:val="both"/>
        <w:rPr>
          <w:rFonts w:ascii="Arial" w:hAnsi="Arial" w:eastAsia="Calibri" w:cs="Arial"/>
          <w:bCs/>
          <w:color w:val="000000" w:themeColor="text1"/>
          <w:sz w:val="20"/>
          <w:szCs w:val="20"/>
        </w:rPr>
      </w:pPr>
      <w:r w:rsidRPr="00DB5357">
        <w:rPr>
          <w:rFonts w:ascii="Arial" w:hAnsi="Arial" w:eastAsia="Calibri" w:cs="Arial"/>
          <w:bCs/>
          <w:color w:val="000000" w:themeColor="text1"/>
          <w:sz w:val="20"/>
          <w:szCs w:val="20"/>
        </w:rPr>
        <w:t xml:space="preserve">La capacidad residual es una aptitud de los oferentes que tiene por finalidad cumplir de manera oportuna y a cabalidad el objeto de un contrato de obra, esto sin que los demás compromisos contractuales que ha adquirido afecten la habilidad de cumplir el objeto del contrato que está en proceso de selección. El Consejo de Estado la ha definido como </w:t>
      </w:r>
      <w:r w:rsidRPr="00DB5357" w:rsidR="000F514D">
        <w:rPr>
          <w:rFonts w:ascii="Arial" w:hAnsi="Arial" w:eastAsia="Calibri" w:cs="Arial"/>
          <w:bCs/>
          <w:color w:val="000000" w:themeColor="text1"/>
          <w:sz w:val="20"/>
          <w:szCs w:val="20"/>
        </w:rPr>
        <w:t>«</w:t>
      </w:r>
      <w:r w:rsidRPr="00DB5357">
        <w:rPr>
          <w:rFonts w:ascii="Arial" w:hAnsi="Arial" w:eastAsia="Calibri" w:cs="Arial"/>
          <w:bCs/>
          <w:color w:val="000000" w:themeColor="text1"/>
          <w:sz w:val="20"/>
          <w:szCs w:val="20"/>
        </w:rPr>
        <w:t>la diferencia que existe entre el potencial de contratación que se tiene y los compromisos que haya adquirido y que se encuentren en ejecución, para la fecha de presentación de la oferta</w:t>
      </w:r>
      <w:r w:rsidRPr="00DB5357" w:rsidR="000F514D">
        <w:rPr>
          <w:rFonts w:ascii="Arial" w:hAnsi="Arial" w:eastAsia="Calibri" w:cs="Arial"/>
          <w:bCs/>
          <w:color w:val="000000" w:themeColor="text1"/>
          <w:sz w:val="20"/>
          <w:szCs w:val="20"/>
        </w:rPr>
        <w:t xml:space="preserve">». </w:t>
      </w:r>
      <w:r w:rsidRPr="00DB5357">
        <w:rPr>
          <w:rFonts w:ascii="Arial" w:hAnsi="Arial" w:eastAsia="Calibri" w:cs="Arial"/>
          <w:bCs/>
          <w:color w:val="000000" w:themeColor="text1"/>
          <w:sz w:val="20"/>
          <w:szCs w:val="20"/>
        </w:rPr>
        <w:t>En atención a lo anterior, la capacidad residual hace referencia a la suficiencia que tiene el proponente para asumir nuevas obligaciones que se derivan del contrato objeto del proceso de contratación en relación con las obligaciones que ya ha adquirido simultáneamente.</w:t>
      </w:r>
    </w:p>
    <w:p w:rsidRPr="00DB5357" w:rsidR="00242129" w:rsidP="00242129" w:rsidRDefault="00242129" w14:paraId="0A9A7706" w14:textId="77777777">
      <w:pPr>
        <w:jc w:val="both"/>
        <w:rPr>
          <w:rFonts w:ascii="Arial" w:hAnsi="Arial" w:eastAsia="Calibri" w:cs="Arial"/>
          <w:bCs/>
          <w:color w:val="000000" w:themeColor="text1"/>
          <w:sz w:val="20"/>
          <w:szCs w:val="20"/>
        </w:rPr>
      </w:pPr>
    </w:p>
    <w:p w:rsidRPr="00DB5357" w:rsidR="00242129" w:rsidP="00242129" w:rsidRDefault="00242129" w14:paraId="62D4D04F" w14:textId="5F718CB2">
      <w:pPr>
        <w:jc w:val="both"/>
        <w:rPr>
          <w:rFonts w:ascii="Arial" w:hAnsi="Arial" w:eastAsia="Calibri" w:cs="Arial"/>
          <w:b/>
          <w:color w:val="000000" w:themeColor="text1"/>
          <w:sz w:val="22"/>
        </w:rPr>
      </w:pPr>
      <w:r w:rsidRPr="00DB5357">
        <w:rPr>
          <w:rFonts w:ascii="Arial" w:hAnsi="Arial" w:eastAsia="Calibri" w:cs="Arial"/>
          <w:b/>
          <w:color w:val="000000" w:themeColor="text1"/>
          <w:sz w:val="22"/>
        </w:rPr>
        <w:t xml:space="preserve">CAPACIDAD RESIDUAL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Cálculo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Factores</w:t>
      </w:r>
    </w:p>
    <w:p w:rsidRPr="00DB5357" w:rsidR="00242129" w:rsidP="00242129" w:rsidRDefault="00242129" w14:paraId="19484A35" w14:textId="77777777">
      <w:pPr>
        <w:jc w:val="both"/>
        <w:rPr>
          <w:rFonts w:ascii="Arial" w:hAnsi="Arial" w:eastAsia="Calibri" w:cs="Arial"/>
          <w:b/>
          <w:color w:val="000000" w:themeColor="text1"/>
          <w:sz w:val="20"/>
          <w:szCs w:val="20"/>
        </w:rPr>
      </w:pPr>
    </w:p>
    <w:p w:rsidRPr="00DB5357" w:rsidR="00BE1E33" w:rsidP="00A6641B" w:rsidRDefault="00242129" w14:paraId="04112049" w14:textId="18BDB41C">
      <w:pPr>
        <w:jc w:val="both"/>
        <w:rPr>
          <w:rFonts w:ascii="Arial" w:hAnsi="Arial" w:eastAsia="Calibri" w:cs="Arial"/>
          <w:bCs/>
          <w:color w:val="000000" w:themeColor="text1"/>
          <w:sz w:val="20"/>
          <w:szCs w:val="20"/>
        </w:rPr>
      </w:pPr>
      <w:r w:rsidRPr="00DB5357">
        <w:rPr>
          <w:rFonts w:ascii="Arial" w:hAnsi="Arial" w:eastAsia="Calibri" w:cs="Arial"/>
          <w:bCs/>
          <w:color w:val="000000" w:themeColor="text1"/>
          <w:sz w:val="20"/>
          <w:szCs w:val="20"/>
        </w:rPr>
        <w:t xml:space="preserve">La Ley 1150 de 2007 establece que la capacidad residual de los interesados en participar en procesos de selección para contratos de obra deberá ser igual o superior al que la entidad ha establecido en los pliegos de condiciones […] El artículo 2.2.1.1.1.6.3 del Decreto 1082 de 2015 estableció que las entidades estatales deberán calcular la capacidad residual conforme a la metodología definida por la Agencia Nacional de Contratación Pública – Colombia Compra Eficiente y precisó que para ello se debían tener en cuenta los factores de experiencia, capacidad financiera, capacidad técnica, capacidad de organización y los saldos de los contratos en ejecución […]  De conformidad con lo anterior, la Agencia Nacional de Contratación Pública – Colombia Compra Eficiente expidió la Guía para Determinar y Verificar la Capacidad Residual del Proponente en los Procesos de Contratación de Obra Pública. La Agencia Nacional de Contratación Pública estableció como </w:t>
      </w:r>
      <w:r w:rsidRPr="00DB5357" w:rsidR="005E76CC">
        <w:rPr>
          <w:rFonts w:ascii="Arial" w:hAnsi="Arial" w:eastAsia="Calibri" w:cs="Arial"/>
          <w:bCs/>
          <w:color w:val="000000" w:themeColor="text1"/>
          <w:sz w:val="20"/>
          <w:szCs w:val="20"/>
        </w:rPr>
        <w:t>fórmula</w:t>
      </w:r>
      <w:r w:rsidRPr="00DB5357">
        <w:rPr>
          <w:rFonts w:ascii="Arial" w:hAnsi="Arial" w:eastAsia="Calibri" w:cs="Arial"/>
          <w:bCs/>
          <w:color w:val="000000" w:themeColor="text1"/>
          <w:sz w:val="20"/>
          <w:szCs w:val="20"/>
        </w:rPr>
        <w:t xml:space="preserve"> que las entidades estatales calculen la experiencia conforme a los cinco factores que deben ser tenidos en cuenta, así: Capacidad Residual del Proponente= Co*[(E+CT+CF) / 100] - SCE […] Conforme a lo anterior, es la entidad estatal quien debe calcular la capacidad residual, pero el proponente tiene como carga aportar los documentos para acreditar su capacidad residual.</w:t>
      </w:r>
    </w:p>
    <w:p w:rsidRPr="00DB5357" w:rsidR="00B506CF" w:rsidP="00242129" w:rsidRDefault="00B506CF" w14:paraId="6F86E461" w14:textId="24F44D7C">
      <w:pPr>
        <w:jc w:val="both"/>
        <w:rPr>
          <w:rFonts w:ascii="Arial" w:hAnsi="Arial" w:eastAsia="Calibri" w:cs="Arial"/>
          <w:bCs/>
          <w:color w:val="000000" w:themeColor="text1"/>
          <w:sz w:val="20"/>
          <w:szCs w:val="20"/>
        </w:rPr>
      </w:pPr>
    </w:p>
    <w:p w:rsidRPr="00DB5357" w:rsidR="00B506CF" w:rsidP="00B506CF" w:rsidRDefault="00B506CF" w14:paraId="6E6CFCA0" w14:textId="00E0AB50">
      <w:pPr>
        <w:jc w:val="both"/>
        <w:rPr>
          <w:rFonts w:ascii="Arial" w:hAnsi="Arial" w:eastAsia="Calibri" w:cs="Arial"/>
          <w:b/>
          <w:color w:val="000000" w:themeColor="text1"/>
          <w:sz w:val="22"/>
        </w:rPr>
      </w:pPr>
      <w:r w:rsidRPr="00DB5357">
        <w:rPr>
          <w:rFonts w:ascii="Arial" w:hAnsi="Arial" w:eastAsia="Calibri" w:cs="Arial"/>
          <w:b/>
          <w:color w:val="000000" w:themeColor="text1"/>
          <w:sz w:val="22"/>
        </w:rPr>
        <w:t xml:space="preserve">CAPACIDAD RESIDUAL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Cálculo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Factores en contratos de obra</w:t>
      </w:r>
    </w:p>
    <w:p w:rsidRPr="00DB5357" w:rsidR="00B506CF" w:rsidP="00B506CF" w:rsidRDefault="00B506CF" w14:paraId="66246F66" w14:textId="77777777">
      <w:pPr>
        <w:jc w:val="both"/>
        <w:rPr>
          <w:rFonts w:ascii="Arial" w:hAnsi="Arial" w:eastAsia="Calibri" w:cs="Arial"/>
          <w:b/>
          <w:color w:val="000000" w:themeColor="text1"/>
          <w:sz w:val="20"/>
          <w:szCs w:val="20"/>
        </w:rPr>
      </w:pPr>
    </w:p>
    <w:p w:rsidRPr="00DB5357" w:rsidR="00B506CF" w:rsidP="00A6641B" w:rsidRDefault="00B506CF" w14:paraId="4B4D456B" w14:textId="138AAE58">
      <w:pPr>
        <w:jc w:val="both"/>
        <w:rPr>
          <w:rFonts w:ascii="Arial" w:hAnsi="Arial" w:eastAsia="Calibri" w:cs="Arial"/>
          <w:bCs/>
          <w:color w:val="000000" w:themeColor="text1"/>
          <w:sz w:val="20"/>
          <w:szCs w:val="20"/>
          <w:lang w:val="es-ES"/>
        </w:rPr>
      </w:pPr>
      <w:r w:rsidRPr="00DB5357">
        <w:rPr>
          <w:rFonts w:ascii="Arial" w:hAnsi="Arial" w:eastAsia="Calibri" w:cs="Arial"/>
          <w:bCs/>
          <w:color w:val="000000" w:themeColor="text1"/>
          <w:sz w:val="20"/>
          <w:szCs w:val="20"/>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rsidRPr="00DB5357" w:rsidR="00BE1E33" w:rsidP="00BE1E33" w:rsidRDefault="00BE1E33" w14:paraId="2010468C" w14:textId="5B446A4B">
      <w:pPr>
        <w:jc w:val="both"/>
        <w:rPr>
          <w:rFonts w:ascii="Arial" w:hAnsi="Arial" w:eastAsia="Calibri" w:cs="Arial"/>
          <w:bCs/>
          <w:color w:val="000000" w:themeColor="text1"/>
          <w:sz w:val="20"/>
          <w:szCs w:val="20"/>
        </w:rPr>
      </w:pPr>
    </w:p>
    <w:p w:rsidRPr="00DB5357" w:rsidR="00B506CF" w:rsidP="0183057B" w:rsidRDefault="00B506CF" w14:paraId="4B94C03A" w14:textId="0CB2029A">
      <w:pPr>
        <w:pStyle w:val="Normal"/>
        <w:jc w:val="both"/>
        <w:rPr>
          <w:rFonts w:ascii="Arial" w:hAnsi="Arial" w:eastAsia="Calibri" w:cs="Arial"/>
          <w:b w:val="1"/>
          <w:bCs w:val="1"/>
          <w:color w:val="000000" w:themeColor="text1"/>
          <w:sz w:val="22"/>
          <w:szCs w:val="22"/>
        </w:rPr>
      </w:pPr>
      <w:r w:rsidRPr="0183057B" w:rsidR="00B506CF">
        <w:rPr>
          <w:rFonts w:ascii="Arial" w:hAnsi="Arial" w:eastAsia="Calibri" w:cs="Arial"/>
          <w:b w:val="1"/>
          <w:bCs w:val="1"/>
          <w:color w:val="000000" w:themeColor="text1" w:themeTint="FF" w:themeShade="FF"/>
          <w:sz w:val="22"/>
          <w:szCs w:val="22"/>
        </w:rPr>
        <w:t xml:space="preserve">CAPACIDAD RESIDUAL </w:t>
      </w:r>
      <w:r w:rsidRPr="0183057B" w:rsidR="002448CB">
        <w:rPr>
          <w:rFonts w:ascii="Arial" w:hAnsi="Arial" w:eastAsia="Calibri" w:cs="Arial"/>
          <w:b w:val="1"/>
          <w:bCs w:val="1"/>
          <w:color w:val="000000" w:themeColor="text1" w:themeTint="FF" w:themeShade="FF"/>
          <w:sz w:val="22"/>
          <w:szCs w:val="22"/>
        </w:rPr>
        <w:t>−</w:t>
      </w:r>
      <w:r w:rsidRPr="0183057B" w:rsidR="00B506CF">
        <w:rPr>
          <w:rFonts w:ascii="Arial" w:hAnsi="Arial" w:eastAsia="Calibri" w:cs="Arial"/>
          <w:b w:val="1"/>
          <w:bCs w:val="1"/>
          <w:color w:val="000000" w:themeColor="text1" w:themeTint="FF" w:themeShade="FF"/>
          <w:sz w:val="22"/>
          <w:szCs w:val="22"/>
        </w:rPr>
        <w:t xml:space="preserve"> </w:t>
      </w:r>
      <w:r w:rsidRPr="0183057B" w:rsidR="1446D403">
        <w:rPr>
          <w:rFonts w:ascii="Arial" w:hAnsi="Arial" w:eastAsia="Calibri" w:cs="Arial"/>
          <w:b w:val="1"/>
          <w:bCs w:val="1"/>
          <w:color w:val="000000" w:themeColor="text1" w:themeTint="FF" w:themeShade="FF"/>
          <w:sz w:val="22"/>
          <w:szCs w:val="22"/>
        </w:rPr>
        <w:t xml:space="preserve">Entidades públicas − </w:t>
      </w:r>
      <w:r w:rsidRPr="0183057B" w:rsidR="00B506CF">
        <w:rPr>
          <w:rFonts w:ascii="Arial" w:hAnsi="Arial" w:eastAsia="Calibri" w:cs="Arial"/>
          <w:b w:val="1"/>
          <w:bCs w:val="1"/>
          <w:color w:val="000000" w:themeColor="text1" w:themeTint="FF" w:themeShade="FF"/>
          <w:sz w:val="22"/>
          <w:szCs w:val="22"/>
        </w:rPr>
        <w:t>Carga</w:t>
      </w:r>
    </w:p>
    <w:p w:rsidRPr="00DB5357" w:rsidR="00B506CF" w:rsidP="00B506CF" w:rsidRDefault="00B506CF" w14:paraId="249F4E82" w14:textId="77777777">
      <w:pPr>
        <w:jc w:val="both"/>
        <w:rPr>
          <w:rFonts w:ascii="Arial" w:hAnsi="Arial" w:eastAsia="Calibri" w:cs="Arial"/>
          <w:b/>
          <w:color w:val="000000" w:themeColor="text1"/>
          <w:sz w:val="20"/>
          <w:szCs w:val="20"/>
        </w:rPr>
      </w:pPr>
    </w:p>
    <w:p w:rsidRPr="00DB5357" w:rsidR="00B506CF" w:rsidP="00A6641B" w:rsidRDefault="00B506CF" w14:paraId="6AAEB64E" w14:textId="3BCB79CE">
      <w:pPr>
        <w:jc w:val="both"/>
        <w:rPr>
          <w:rFonts w:ascii="Arial" w:hAnsi="Arial" w:eastAsia="Calibri" w:cs="Arial"/>
          <w:bCs/>
          <w:color w:val="000000" w:themeColor="text1"/>
          <w:sz w:val="20"/>
          <w:szCs w:val="20"/>
        </w:rPr>
      </w:pPr>
      <w:r w:rsidRPr="00DB5357">
        <w:rPr>
          <w:rFonts w:ascii="Arial" w:hAnsi="Arial" w:eastAsia="Calibri" w:cs="Arial"/>
          <w:bCs/>
          <w:color w:val="000000" w:themeColor="text1"/>
          <w:sz w:val="20"/>
          <w:szCs w:val="20"/>
        </w:rPr>
        <w:t>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w:t>
      </w:r>
    </w:p>
    <w:p w:rsidRPr="00DB5357" w:rsidR="00B506CF" w:rsidP="00BE1E33" w:rsidRDefault="00B506CF" w14:paraId="080CABE1" w14:textId="692A9A9F">
      <w:pPr>
        <w:jc w:val="both"/>
        <w:rPr>
          <w:rFonts w:ascii="Arial" w:hAnsi="Arial" w:eastAsia="Calibri" w:cs="Arial"/>
          <w:bCs/>
          <w:color w:val="000000" w:themeColor="text1"/>
          <w:sz w:val="20"/>
          <w:szCs w:val="20"/>
        </w:rPr>
      </w:pPr>
    </w:p>
    <w:p w:rsidRPr="00DB5357" w:rsidR="00B506CF" w:rsidP="0183057B" w:rsidRDefault="00B506CF" w14:paraId="6EA0592E" w14:textId="2A471915">
      <w:pPr>
        <w:pStyle w:val="Normal"/>
        <w:jc w:val="both"/>
        <w:rPr>
          <w:rFonts w:ascii="Arial" w:hAnsi="Arial" w:eastAsia="Calibri" w:cs="Arial"/>
          <w:b w:val="1"/>
          <w:bCs w:val="1"/>
          <w:color w:val="000000" w:themeColor="text1"/>
          <w:sz w:val="22"/>
          <w:szCs w:val="22"/>
        </w:rPr>
      </w:pPr>
      <w:r w:rsidRPr="0183057B" w:rsidR="00B506CF">
        <w:rPr>
          <w:rFonts w:ascii="Arial" w:hAnsi="Arial" w:eastAsia="Calibri" w:cs="Arial"/>
          <w:b w:val="1"/>
          <w:bCs w:val="1"/>
          <w:color w:val="000000" w:themeColor="text1" w:themeTint="FF" w:themeShade="FF"/>
          <w:sz w:val="22"/>
          <w:szCs w:val="22"/>
        </w:rPr>
        <w:t xml:space="preserve">CAPACIDAD RESIDUAL </w:t>
      </w:r>
      <w:r w:rsidRPr="0183057B" w:rsidR="002448CB">
        <w:rPr>
          <w:rFonts w:ascii="Arial" w:hAnsi="Arial" w:eastAsia="Calibri" w:cs="Arial"/>
          <w:b w:val="1"/>
          <w:bCs w:val="1"/>
          <w:color w:val="000000" w:themeColor="text1" w:themeTint="FF" w:themeShade="FF"/>
          <w:sz w:val="22"/>
          <w:szCs w:val="22"/>
        </w:rPr>
        <w:t>−</w:t>
      </w:r>
      <w:r w:rsidRPr="0183057B" w:rsidR="00B506CF">
        <w:rPr>
          <w:rFonts w:ascii="Arial" w:hAnsi="Arial" w:eastAsia="Calibri" w:cs="Arial"/>
          <w:b w:val="1"/>
          <w:bCs w:val="1"/>
          <w:color w:val="000000" w:themeColor="text1" w:themeTint="FF" w:themeShade="FF"/>
          <w:sz w:val="22"/>
          <w:szCs w:val="22"/>
        </w:rPr>
        <w:t xml:space="preserve"> </w:t>
      </w:r>
      <w:r w:rsidRPr="0183057B" w:rsidR="0B17F8F9">
        <w:rPr>
          <w:rFonts w:ascii="Arial" w:hAnsi="Arial" w:eastAsia="Calibri" w:cs="Arial"/>
          <w:b w:val="1"/>
          <w:bCs w:val="1"/>
          <w:color w:val="000000" w:themeColor="text1" w:themeTint="FF" w:themeShade="FF"/>
          <w:sz w:val="22"/>
          <w:szCs w:val="22"/>
        </w:rPr>
        <w:t>Proponentes − Carga</w:t>
      </w:r>
    </w:p>
    <w:p w:rsidRPr="00DB5357" w:rsidR="00B506CF" w:rsidP="00B506CF" w:rsidRDefault="00B506CF" w14:paraId="188A3EDC" w14:textId="77777777">
      <w:pPr>
        <w:jc w:val="both"/>
        <w:rPr>
          <w:rFonts w:ascii="Arial" w:hAnsi="Arial" w:eastAsia="Calibri" w:cs="Arial"/>
          <w:b/>
          <w:color w:val="000000" w:themeColor="text1"/>
          <w:sz w:val="20"/>
          <w:szCs w:val="20"/>
        </w:rPr>
      </w:pPr>
    </w:p>
    <w:p w:rsidRPr="00DB5357" w:rsidR="00B506CF" w:rsidP="00A6641B" w:rsidRDefault="00B506CF" w14:paraId="227AB555" w14:textId="082D0BC5">
      <w:pPr>
        <w:jc w:val="both"/>
        <w:rPr>
          <w:rFonts w:ascii="Arial" w:hAnsi="Arial" w:eastAsia="Calibri" w:cs="Arial"/>
          <w:bCs/>
          <w:color w:val="000000" w:themeColor="text1"/>
          <w:sz w:val="20"/>
          <w:szCs w:val="20"/>
        </w:rPr>
      </w:pPr>
      <w:r w:rsidRPr="00DB5357">
        <w:rPr>
          <w:rFonts w:ascii="Arial" w:hAnsi="Arial" w:eastAsia="Calibri" w:cs="Arial"/>
          <w:bCs/>
          <w:color w:val="000000" w:themeColor="text1"/>
          <w:sz w:val="20"/>
          <w:szCs w:val="20"/>
        </w:rPr>
        <w:t>La siguiente información debe ser aportada por el proponente: •</w:t>
      </w:r>
      <w:r w:rsidRPr="00DB5357">
        <w:rPr>
          <w:rFonts w:ascii="Arial" w:hAnsi="Arial" w:eastAsia="Calibri" w:cs="Arial"/>
          <w:bCs/>
          <w:color w:val="000000" w:themeColor="text1"/>
          <w:sz w:val="20"/>
          <w:szCs w:val="20"/>
        </w:rPr>
        <w:tab/>
      </w:r>
      <w:r w:rsidRPr="00DB5357">
        <w:rPr>
          <w:rFonts w:ascii="Arial" w:hAnsi="Arial" w:eastAsia="Calibri" w:cs="Arial"/>
          <w:bCs/>
          <w:color w:val="000000" w:themeColor="text1"/>
          <w:sz w:val="20"/>
          <w:szCs w:val="20"/>
        </w:rPr>
        <w:t>La lista de los Contratos en Ejecución, así como el valor y plazo de tales contratos. • La lista de los Contratos en Ejecución, suscritos por sociedades, consorcios o uniones temporales, en los cuales el proponente tenga participación, así como el valor y plazo de tales contratos. • 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rsidRPr="00DB5357" w:rsidR="00B506CF" w:rsidP="00B506CF" w:rsidRDefault="00B506CF" w14:paraId="432929F5" w14:textId="1D3B67FC">
      <w:pPr>
        <w:jc w:val="both"/>
        <w:rPr>
          <w:rFonts w:ascii="Arial" w:hAnsi="Arial" w:eastAsia="Calibri" w:cs="Arial"/>
          <w:bCs/>
          <w:color w:val="000000" w:themeColor="text1"/>
          <w:sz w:val="20"/>
          <w:szCs w:val="20"/>
        </w:rPr>
      </w:pPr>
    </w:p>
    <w:p w:rsidRPr="00DB5357" w:rsidR="00B506CF" w:rsidP="0183057B" w:rsidRDefault="00B506CF" w14:paraId="22CA05B2" w14:textId="4085DA0B">
      <w:pPr>
        <w:pStyle w:val="Normal"/>
        <w:jc w:val="both"/>
        <w:rPr>
          <w:rFonts w:ascii="Arial" w:hAnsi="Arial" w:eastAsia="Calibri" w:cs="Arial"/>
          <w:b w:val="1"/>
          <w:bCs w:val="1"/>
          <w:color w:val="000000" w:themeColor="text1"/>
          <w:sz w:val="22"/>
          <w:szCs w:val="22"/>
        </w:rPr>
      </w:pPr>
      <w:r w:rsidRPr="0183057B" w:rsidR="00B506CF">
        <w:rPr>
          <w:rFonts w:ascii="Arial" w:hAnsi="Arial" w:eastAsia="Calibri" w:cs="Arial"/>
          <w:b w:val="1"/>
          <w:bCs w:val="1"/>
          <w:color w:val="000000" w:themeColor="text1" w:themeTint="FF" w:themeShade="FF"/>
          <w:sz w:val="22"/>
          <w:szCs w:val="22"/>
        </w:rPr>
        <w:t xml:space="preserve">CAPACIDAD RESIDUAL </w:t>
      </w:r>
      <w:r w:rsidRPr="0183057B" w:rsidR="464192FB">
        <w:rPr>
          <w:rFonts w:ascii="Arial" w:hAnsi="Arial" w:eastAsia="Calibri" w:cs="Arial"/>
          <w:b w:val="1"/>
          <w:bCs w:val="1"/>
          <w:color w:val="000000" w:themeColor="text1" w:themeTint="FF" w:themeShade="FF"/>
          <w:sz w:val="22"/>
          <w:szCs w:val="22"/>
        </w:rPr>
        <w:t>− Proceso</w:t>
      </w:r>
      <w:r w:rsidRPr="0183057B" w:rsidR="464192FB">
        <w:rPr>
          <w:rFonts w:ascii="Arial" w:hAnsi="Arial" w:eastAsia="Calibri" w:cs="Arial"/>
          <w:b w:val="1"/>
          <w:bCs w:val="1"/>
          <w:color w:val="000000" w:themeColor="text1" w:themeTint="FF" w:themeShade="FF"/>
          <w:sz w:val="22"/>
          <w:szCs w:val="22"/>
        </w:rPr>
        <w:t xml:space="preserve"> de contratación</w:t>
      </w:r>
      <w:r w:rsidRPr="0183057B" w:rsidR="00D558E2">
        <w:rPr>
          <w:rFonts w:ascii="Arial" w:hAnsi="Arial" w:eastAsia="Calibri" w:cs="Arial"/>
          <w:b w:val="1"/>
          <w:bCs w:val="1"/>
          <w:color w:val="000000" w:themeColor="text1" w:themeTint="FF" w:themeShade="FF"/>
          <w:sz w:val="22"/>
          <w:szCs w:val="22"/>
        </w:rPr>
        <w:t xml:space="preserve"> </w:t>
      </w:r>
      <w:r w:rsidRPr="0183057B" w:rsidR="002448CB">
        <w:rPr>
          <w:rFonts w:ascii="Arial" w:hAnsi="Arial" w:eastAsia="Calibri" w:cs="Arial"/>
          <w:b w:val="1"/>
          <w:bCs w:val="1"/>
          <w:color w:val="000000" w:themeColor="text1" w:themeTint="FF" w:themeShade="FF"/>
          <w:sz w:val="22"/>
          <w:szCs w:val="22"/>
        </w:rPr>
        <w:t>−</w:t>
      </w:r>
      <w:r w:rsidRPr="0183057B" w:rsidR="00B506CF">
        <w:rPr>
          <w:rFonts w:ascii="Arial" w:hAnsi="Arial" w:eastAsia="Calibri" w:cs="Arial"/>
          <w:b w:val="1"/>
          <w:bCs w:val="1"/>
          <w:color w:val="000000" w:themeColor="text1" w:themeTint="FF" w:themeShade="FF"/>
          <w:sz w:val="22"/>
          <w:szCs w:val="22"/>
        </w:rPr>
        <w:t xml:space="preserve"> Cálculo</w:t>
      </w:r>
    </w:p>
    <w:p w:rsidRPr="00DB5357" w:rsidR="00B506CF" w:rsidP="00B506CF" w:rsidRDefault="00B506CF" w14:paraId="3B49534F" w14:textId="77777777">
      <w:pPr>
        <w:jc w:val="both"/>
        <w:rPr>
          <w:rFonts w:ascii="Arial" w:hAnsi="Arial" w:eastAsia="Calibri" w:cs="Arial"/>
          <w:b/>
          <w:color w:val="000000" w:themeColor="text1"/>
          <w:sz w:val="22"/>
        </w:rPr>
      </w:pPr>
    </w:p>
    <w:p w:rsidRPr="00DB5357" w:rsidR="00B506CF" w:rsidP="00A6641B" w:rsidRDefault="00D558E2" w14:paraId="0B10E912" w14:textId="40DBAF64">
      <w:pPr>
        <w:jc w:val="both"/>
        <w:rPr>
          <w:rFonts w:ascii="Arial" w:hAnsi="Arial" w:eastAsia="Calibri" w:cs="Arial"/>
          <w:bCs/>
          <w:color w:val="000000" w:themeColor="text1"/>
          <w:sz w:val="20"/>
          <w:szCs w:val="20"/>
        </w:rPr>
      </w:pPr>
      <w:r w:rsidRPr="00DB5357">
        <w:rPr>
          <w:rFonts w:ascii="Arial" w:hAnsi="Arial" w:eastAsia="Calibri" w:cs="Arial"/>
          <w:bCs/>
          <w:color w:val="000000" w:themeColor="text1"/>
          <w:sz w:val="20"/>
          <w:szCs w:val="20"/>
        </w:rPr>
        <w:t>Para establecer la capacidad residual del proceso de contratación «CRPC», se debe establecer si el plazo del contrato es superior de doce meses. Si no lo es, la CRPC equivale al presupuesto oficial estimado del Proceso de Contratación menos el anticipo o pago anticipado cuando haya lugar. Si sí lo es, equivale a la proporción lineal de 12 meses del presupuesto oficial estimado menos el anticipo o pago anticipado.</w:t>
      </w:r>
    </w:p>
    <w:p w:rsidRPr="00DB5357" w:rsidR="00D558E2" w:rsidP="00B506CF" w:rsidRDefault="00D558E2" w14:paraId="46E4760E" w14:textId="4591D20D">
      <w:pPr>
        <w:jc w:val="both"/>
        <w:rPr>
          <w:rFonts w:ascii="Arial" w:hAnsi="Arial" w:eastAsia="Calibri" w:cs="Arial"/>
          <w:bCs/>
          <w:color w:val="000000" w:themeColor="text1"/>
          <w:sz w:val="20"/>
          <w:szCs w:val="20"/>
        </w:rPr>
      </w:pPr>
    </w:p>
    <w:p w:rsidRPr="00DB5357" w:rsidR="00D558E2" w:rsidP="0183057B" w:rsidRDefault="00D558E2" w14:paraId="1483C452" w14:textId="1D3F8160">
      <w:pPr>
        <w:pStyle w:val="Normal"/>
        <w:jc w:val="both"/>
        <w:rPr>
          <w:rFonts w:ascii="Arial" w:hAnsi="Arial" w:eastAsia="Calibri" w:cs="Arial"/>
          <w:b w:val="1"/>
          <w:bCs w:val="1"/>
          <w:color w:val="000000" w:themeColor="text1"/>
          <w:sz w:val="22"/>
          <w:szCs w:val="22"/>
        </w:rPr>
      </w:pPr>
      <w:r w:rsidRPr="0183057B" w:rsidR="00D558E2">
        <w:rPr>
          <w:rFonts w:ascii="Arial" w:hAnsi="Arial" w:eastAsia="Calibri" w:cs="Arial"/>
          <w:b w:val="1"/>
          <w:bCs w:val="1"/>
          <w:color w:val="000000" w:themeColor="text1" w:themeTint="FF" w:themeShade="FF"/>
          <w:sz w:val="22"/>
          <w:szCs w:val="22"/>
        </w:rPr>
        <w:t xml:space="preserve">CAPACIDAD RESIDUAL </w:t>
      </w:r>
      <w:r w:rsidRPr="0183057B" w:rsidR="7EBBF08C">
        <w:rPr>
          <w:rFonts w:ascii="Arial" w:hAnsi="Arial" w:eastAsia="Calibri" w:cs="Arial"/>
          <w:b w:val="1"/>
          <w:bCs w:val="1"/>
          <w:color w:val="000000" w:themeColor="text1" w:themeTint="FF" w:themeShade="FF"/>
          <w:sz w:val="22"/>
          <w:szCs w:val="22"/>
        </w:rPr>
        <w:t>− Proponente</w:t>
      </w:r>
      <w:r w:rsidRPr="0183057B" w:rsidR="00D558E2">
        <w:rPr>
          <w:rFonts w:ascii="Arial" w:hAnsi="Arial" w:eastAsia="Calibri" w:cs="Arial"/>
          <w:b w:val="1"/>
          <w:bCs w:val="1"/>
          <w:color w:val="000000" w:themeColor="text1" w:themeTint="FF" w:themeShade="FF"/>
          <w:sz w:val="22"/>
          <w:szCs w:val="22"/>
        </w:rPr>
        <w:t xml:space="preserve"> </w:t>
      </w:r>
      <w:r w:rsidRPr="0183057B" w:rsidR="002448CB">
        <w:rPr>
          <w:rFonts w:ascii="Arial" w:hAnsi="Arial" w:eastAsia="Calibri" w:cs="Arial"/>
          <w:b w:val="1"/>
          <w:bCs w:val="1"/>
          <w:color w:val="000000" w:themeColor="text1" w:themeTint="FF" w:themeShade="FF"/>
          <w:sz w:val="22"/>
          <w:szCs w:val="22"/>
        </w:rPr>
        <w:t>−</w:t>
      </w:r>
      <w:r w:rsidRPr="0183057B" w:rsidR="00D558E2">
        <w:rPr>
          <w:rFonts w:ascii="Arial" w:hAnsi="Arial" w:eastAsia="Calibri" w:cs="Arial"/>
          <w:b w:val="1"/>
          <w:bCs w:val="1"/>
          <w:color w:val="000000" w:themeColor="text1" w:themeTint="FF" w:themeShade="FF"/>
          <w:sz w:val="22"/>
          <w:szCs w:val="22"/>
        </w:rPr>
        <w:t xml:space="preserve"> Cálculo</w:t>
      </w:r>
    </w:p>
    <w:p w:rsidRPr="00DB5357" w:rsidR="00D558E2" w:rsidP="00D558E2" w:rsidRDefault="00D558E2" w14:paraId="1E0F2B46" w14:textId="77777777">
      <w:pPr>
        <w:jc w:val="both"/>
        <w:rPr>
          <w:rFonts w:ascii="Arial" w:hAnsi="Arial" w:eastAsia="Calibri" w:cs="Arial"/>
          <w:b/>
          <w:color w:val="000000" w:themeColor="text1"/>
          <w:sz w:val="20"/>
          <w:szCs w:val="20"/>
        </w:rPr>
      </w:pPr>
    </w:p>
    <w:p w:rsidRPr="00DB5357" w:rsidR="00D558E2" w:rsidP="00A6641B" w:rsidRDefault="00D558E2" w14:paraId="2A05DF9E" w14:textId="599A21E9">
      <w:pPr>
        <w:jc w:val="both"/>
        <w:rPr>
          <w:rFonts w:ascii="Arial" w:hAnsi="Arial" w:eastAsia="Calibri" w:cs="Arial"/>
          <w:bCs/>
          <w:color w:val="000000" w:themeColor="text1"/>
          <w:sz w:val="20"/>
          <w:szCs w:val="20"/>
        </w:rPr>
      </w:pPr>
      <w:r w:rsidRPr="00DB5357">
        <w:rPr>
          <w:rFonts w:ascii="Arial" w:hAnsi="Arial" w:eastAsia="Calibri" w:cs="Arial"/>
          <w:bCs/>
          <w:color w:val="000000" w:themeColor="text1"/>
          <w:sz w:val="20"/>
          <w:szCs w:val="20"/>
        </w:rPr>
        <w:t xml:space="preserve">Para […] verificar que cada proponente cumple con la CRPC,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DB5357">
        <w:rPr>
          <w:rFonts w:ascii="Arial" w:hAnsi="Arial" w:eastAsia="Calibri" w:cs="Arial"/>
          <w:bCs/>
          <w:color w:val="000000" w:themeColor="text1"/>
          <w:sz w:val="20"/>
          <w:szCs w:val="20"/>
        </w:rPr>
        <w:t>ii</w:t>
      </w:r>
      <w:proofErr w:type="spellEnd"/>
      <w:r w:rsidRPr="00DB5357">
        <w:rPr>
          <w:rFonts w:ascii="Arial" w:hAnsi="Arial" w:eastAsia="Calibri" w:cs="Arial"/>
          <w:bCs/>
          <w:color w:val="000000" w:themeColor="text1"/>
          <w:sz w:val="20"/>
          <w:szCs w:val="20"/>
        </w:rPr>
        <w:t xml:space="preserve">) capacidad financiera «CF»; </w:t>
      </w:r>
      <w:proofErr w:type="spellStart"/>
      <w:r w:rsidRPr="00DB5357">
        <w:rPr>
          <w:rFonts w:ascii="Arial" w:hAnsi="Arial" w:eastAsia="Calibri" w:cs="Arial"/>
          <w:bCs/>
          <w:color w:val="000000" w:themeColor="text1"/>
          <w:sz w:val="20"/>
          <w:szCs w:val="20"/>
        </w:rPr>
        <w:t>iii</w:t>
      </w:r>
      <w:proofErr w:type="spellEnd"/>
      <w:r w:rsidRPr="00DB5357">
        <w:rPr>
          <w:rFonts w:ascii="Arial" w:hAnsi="Arial" w:eastAsia="Calibri" w:cs="Arial"/>
          <w:bCs/>
          <w:color w:val="000000" w:themeColor="text1"/>
          <w:sz w:val="20"/>
          <w:szCs w:val="20"/>
        </w:rPr>
        <w:t xml:space="preserve">) capacidad técnica «CT», </w:t>
      </w:r>
      <w:proofErr w:type="spellStart"/>
      <w:r w:rsidRPr="00DB5357">
        <w:rPr>
          <w:rFonts w:ascii="Arial" w:hAnsi="Arial" w:eastAsia="Calibri" w:cs="Arial"/>
          <w:bCs/>
          <w:color w:val="000000" w:themeColor="text1"/>
          <w:sz w:val="20"/>
          <w:szCs w:val="20"/>
        </w:rPr>
        <w:t>iv</w:t>
      </w:r>
      <w:proofErr w:type="spellEnd"/>
      <w:r w:rsidRPr="00DB5357">
        <w:rPr>
          <w:rFonts w:ascii="Arial" w:hAnsi="Arial" w:eastAsia="Calibri" w:cs="Arial"/>
          <w:bCs/>
          <w:color w:val="000000" w:themeColor="text1"/>
          <w:sz w:val="20"/>
          <w:szCs w:val="20"/>
        </w:rPr>
        <w:t>) capacidad de organización «CO»; y v) los saldos de los contratos en ejecución «SCE», y según la siguiente formula:</w:t>
      </w:r>
    </w:p>
    <w:p w:rsidRPr="00DB5357" w:rsidR="00D558E2" w:rsidP="00D558E2" w:rsidRDefault="00D558E2" w14:paraId="3E607B1A" w14:textId="72125AE1">
      <w:pPr>
        <w:jc w:val="both"/>
        <w:rPr>
          <w:rFonts w:ascii="Arial" w:hAnsi="Arial" w:eastAsia="Calibri" w:cs="Arial"/>
          <w:bCs/>
          <w:color w:val="000000" w:themeColor="text1"/>
          <w:sz w:val="20"/>
          <w:szCs w:val="20"/>
        </w:rPr>
      </w:pPr>
      <w:r w:rsidRPr="00DB5357">
        <w:rPr>
          <w:noProof/>
          <w:color w:val="000000" w:themeColor="text1"/>
          <w:lang w:val="en-US"/>
        </w:rPr>
        <w:drawing>
          <wp:anchor distT="0" distB="0" distL="0" distR="0" simplePos="0" relativeHeight="251661312" behindDoc="0" locked="0" layoutInCell="1" allowOverlap="1" wp14:anchorId="25D1F08C" wp14:editId="45357016">
            <wp:simplePos x="0" y="0"/>
            <wp:positionH relativeFrom="margin">
              <wp:align>left</wp:align>
            </wp:positionH>
            <wp:positionV relativeFrom="paragraph">
              <wp:posOffset>179070</wp:posOffset>
            </wp:positionV>
            <wp:extent cx="4638040" cy="674370"/>
            <wp:effectExtent l="0" t="0" r="0" b="0"/>
            <wp:wrapTopAndBottom/>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38040" cy="674370"/>
                    </a:xfrm>
                    <a:prstGeom prst="rect">
                      <a:avLst/>
                    </a:prstGeom>
                  </pic:spPr>
                </pic:pic>
              </a:graphicData>
            </a:graphic>
            <wp14:sizeRelH relativeFrom="margin">
              <wp14:pctWidth>0</wp14:pctWidth>
            </wp14:sizeRelH>
          </wp:anchor>
        </w:drawing>
      </w:r>
      <w:r w:rsidR="0183057B">
        <w:rPr/>
        <w:t/>
      </w:r>
    </w:p>
    <w:p w:rsidRPr="00DB5357" w:rsidR="00D558E2" w:rsidP="00D558E2" w:rsidRDefault="00D558E2" w14:paraId="165F71F5" w14:textId="40A0C0D4">
      <w:pPr>
        <w:jc w:val="both"/>
        <w:rPr>
          <w:rFonts w:ascii="Arial" w:hAnsi="Arial" w:eastAsia="Calibri" w:cs="Arial"/>
          <w:bCs/>
          <w:color w:val="000000" w:themeColor="text1"/>
          <w:sz w:val="20"/>
          <w:szCs w:val="20"/>
        </w:rPr>
      </w:pPr>
    </w:p>
    <w:p w:rsidRPr="00DB5357" w:rsidR="00D558E2" w:rsidP="00A6641B" w:rsidRDefault="00D558E2" w14:paraId="063403D5" w14:textId="13CC4AD1">
      <w:pPr>
        <w:jc w:val="both"/>
        <w:rPr>
          <w:rFonts w:ascii="Arial" w:hAnsi="Arial" w:eastAsia="Calibri" w:cs="Arial"/>
          <w:bCs/>
          <w:color w:val="000000" w:themeColor="text1"/>
          <w:sz w:val="20"/>
          <w:szCs w:val="20"/>
        </w:rPr>
      </w:pPr>
      <w:r w:rsidRPr="00DB5357">
        <w:rPr>
          <w:rFonts w:ascii="Arial" w:hAnsi="Arial" w:eastAsia="Calibri" w:cs="Arial"/>
          <w:bCs/>
          <w:color w:val="000000" w:themeColor="text1"/>
          <w:sz w:val="20"/>
          <w:szCs w:val="20"/>
        </w:rPr>
        <w:t>La «CO» no tiene asignación de puntaje en la fórmula, por un lado, porque su unidad de medida es en pesos colombianos «COP» y, por el otro, debido a que el mismo constituye un factor multiplicador de los demás factores en la fórmula.</w:t>
      </w:r>
    </w:p>
    <w:p w:rsidRPr="00DB5357" w:rsidR="00D558E2" w:rsidP="00D558E2" w:rsidRDefault="00D558E2" w14:paraId="1F5F005B" w14:textId="1A9D6107">
      <w:pPr>
        <w:jc w:val="both"/>
        <w:rPr>
          <w:rFonts w:ascii="Arial" w:hAnsi="Arial" w:eastAsia="Calibri" w:cs="Arial"/>
          <w:bCs/>
          <w:color w:val="000000" w:themeColor="text1"/>
          <w:sz w:val="20"/>
          <w:szCs w:val="20"/>
        </w:rPr>
      </w:pPr>
    </w:p>
    <w:p w:rsidRPr="00DB5357" w:rsidR="00D558E2" w:rsidP="0183057B" w:rsidRDefault="00D558E2" w14:paraId="6FF98C21" w14:textId="59F2D6E8">
      <w:pPr>
        <w:pStyle w:val="Normal"/>
        <w:jc w:val="both"/>
        <w:rPr>
          <w:rFonts w:ascii="Arial" w:hAnsi="Arial" w:eastAsia="Calibri" w:cs="Arial"/>
          <w:b w:val="1"/>
          <w:bCs w:val="1"/>
          <w:color w:val="000000" w:themeColor="text1"/>
          <w:sz w:val="22"/>
          <w:szCs w:val="22"/>
        </w:rPr>
      </w:pPr>
      <w:r w:rsidRPr="0183057B" w:rsidR="00D558E2">
        <w:rPr>
          <w:rFonts w:ascii="Arial" w:hAnsi="Arial" w:eastAsia="Calibri" w:cs="Arial"/>
          <w:b w:val="1"/>
          <w:bCs w:val="1"/>
          <w:color w:val="000000" w:themeColor="text1" w:themeTint="FF" w:themeShade="FF"/>
          <w:sz w:val="22"/>
          <w:szCs w:val="22"/>
        </w:rPr>
        <w:t xml:space="preserve">CAPACIDAD RESIDUAL </w:t>
      </w:r>
      <w:r w:rsidRPr="0183057B" w:rsidR="6FE2B221">
        <w:rPr>
          <w:rFonts w:ascii="Arial" w:hAnsi="Arial" w:eastAsia="Calibri" w:cs="Arial"/>
          <w:b w:val="1"/>
          <w:bCs w:val="1"/>
          <w:color w:val="000000" w:themeColor="text1" w:themeTint="FF" w:themeShade="FF"/>
          <w:sz w:val="22"/>
          <w:szCs w:val="22"/>
        </w:rPr>
        <w:t>− Proponente</w:t>
      </w:r>
      <w:r w:rsidRPr="0183057B" w:rsidR="00D558E2">
        <w:rPr>
          <w:rFonts w:ascii="Arial" w:hAnsi="Arial" w:eastAsia="Calibri" w:cs="Arial"/>
          <w:b w:val="1"/>
          <w:bCs w:val="1"/>
          <w:color w:val="000000" w:themeColor="text1" w:themeTint="FF" w:themeShade="FF"/>
          <w:sz w:val="22"/>
          <w:szCs w:val="22"/>
        </w:rPr>
        <w:t xml:space="preserve"> </w:t>
      </w:r>
      <w:r w:rsidRPr="0183057B" w:rsidR="002448CB">
        <w:rPr>
          <w:rFonts w:ascii="Arial" w:hAnsi="Arial" w:eastAsia="Calibri" w:cs="Arial"/>
          <w:b w:val="1"/>
          <w:bCs w:val="1"/>
          <w:color w:val="000000" w:themeColor="text1" w:themeTint="FF" w:themeShade="FF"/>
          <w:sz w:val="22"/>
          <w:szCs w:val="22"/>
        </w:rPr>
        <w:t>−</w:t>
      </w:r>
      <w:r w:rsidRPr="0183057B" w:rsidR="00D558E2">
        <w:rPr>
          <w:rFonts w:ascii="Arial" w:hAnsi="Arial" w:eastAsia="Calibri" w:cs="Arial"/>
          <w:b w:val="1"/>
          <w:bCs w:val="1"/>
          <w:color w:val="000000" w:themeColor="text1" w:themeTint="FF" w:themeShade="FF"/>
          <w:sz w:val="22"/>
          <w:szCs w:val="22"/>
        </w:rPr>
        <w:t xml:space="preserve"> Experiencia</w:t>
      </w:r>
    </w:p>
    <w:p w:rsidRPr="00DB5357" w:rsidR="00D558E2" w:rsidP="00D558E2" w:rsidRDefault="00D558E2" w14:paraId="5381D0AA" w14:textId="77777777">
      <w:pPr>
        <w:jc w:val="both"/>
        <w:rPr>
          <w:rFonts w:ascii="Arial" w:hAnsi="Arial" w:eastAsia="Calibri" w:cs="Arial"/>
          <w:b/>
          <w:color w:val="000000" w:themeColor="text1"/>
          <w:sz w:val="20"/>
          <w:szCs w:val="20"/>
        </w:rPr>
      </w:pPr>
    </w:p>
    <w:p w:rsidRPr="00DB5357" w:rsidR="00D558E2" w:rsidP="00A6641B" w:rsidRDefault="00A6641B" w14:paraId="22A00556" w14:textId="77406FED">
      <w:pPr>
        <w:jc w:val="both"/>
        <w:rPr>
          <w:rFonts w:ascii="Arial" w:hAnsi="Arial" w:eastAsia="Calibri" w:cs="Arial"/>
          <w:bCs/>
          <w:color w:val="000000" w:themeColor="text1"/>
          <w:sz w:val="20"/>
          <w:szCs w:val="20"/>
        </w:rPr>
      </w:pPr>
      <w:r w:rsidRPr="00DB5357">
        <w:rPr>
          <w:rFonts w:ascii="Arial" w:hAnsi="Arial" w:eastAsia="Calibri" w:cs="Arial"/>
          <w:bCs/>
          <w:color w:val="000000" w:themeColor="text1"/>
          <w:sz w:val="20"/>
          <w:szCs w:val="20"/>
        </w:rPr>
        <w:t>Para los efectos de la capacidad residual −no para la experiencia general que debe acreditar el contratista según la Matriz 1−, corresponde a la relación entre «el valor total en pesos de los contratos relacionados con la actividad de la construcción inscritos por el proponente en el RUP en el segmento 72 […] del Clasificador de Bienes y Servicios», de un lado, y el presupuesto oficial estimado del Proceso de Contratación, del otro. La relación indica el número de veces que el proponente ha ejecutado contratos equivalentes a la cuantía del proceso de contratación, según se explica en esta fórmula:</w:t>
      </w:r>
    </w:p>
    <w:p w:rsidRPr="00DB5357" w:rsidR="00A6641B" w:rsidP="00A6641B" w:rsidRDefault="00A6641B" w14:paraId="7E12CE4E" w14:textId="77777777">
      <w:pPr>
        <w:jc w:val="both"/>
        <w:rPr>
          <w:rFonts w:ascii="Arial" w:hAnsi="Arial" w:eastAsia="Calibri" w:cs="Arial"/>
          <w:bCs/>
          <w:color w:val="000000" w:themeColor="text1"/>
          <w:sz w:val="19"/>
          <w:szCs w:val="19"/>
        </w:rPr>
      </w:pPr>
    </w:p>
    <w:p w:rsidRPr="00DB5357" w:rsidR="00A6641B" w:rsidP="00D558E2" w:rsidRDefault="00A6641B" w14:paraId="1CD14736" w14:textId="52AD55DA">
      <w:pPr>
        <w:jc w:val="both"/>
        <w:rPr>
          <w:rFonts w:ascii="Arial" w:hAnsi="Arial" w:eastAsia="Calibri" w:cs="Arial"/>
          <w:bCs/>
          <w:color w:val="000000" w:themeColor="text1"/>
          <w:sz w:val="20"/>
          <w:szCs w:val="20"/>
          <w:lang w:val="es-ES"/>
        </w:rPr>
      </w:pPr>
      <w:r w:rsidR="00A6641B">
        <w:drawing>
          <wp:inline wp14:editId="4E25E709" wp14:anchorId="5BD65C74">
            <wp:extent cx="4696459" cy="615315"/>
            <wp:effectExtent l="0" t="0" r="8890" b="0"/>
            <wp:docPr id="691558006" name="Imagen 11" title=""/>
            <wp:cNvGraphicFramePr>
              <a:graphicFrameLocks noChangeAspect="1"/>
            </wp:cNvGraphicFramePr>
            <a:graphic>
              <a:graphicData uri="http://schemas.openxmlformats.org/drawingml/2006/picture">
                <pic:pic>
                  <pic:nvPicPr>
                    <pic:cNvPr id="0" name="Imagen 11"/>
                    <pic:cNvPicPr/>
                  </pic:nvPicPr>
                  <pic:blipFill>
                    <a:blip r:embed="R541034d338d04df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96459" cy="615315"/>
                    </a:xfrm>
                    <a:prstGeom prst="rect">
                      <a:avLst/>
                    </a:prstGeom>
                  </pic:spPr>
                </pic:pic>
              </a:graphicData>
            </a:graphic>
          </wp:inline>
        </w:drawing>
      </w:r>
    </w:p>
    <w:p w:rsidRPr="00DB5357" w:rsidR="0044260A" w:rsidP="0044260A" w:rsidRDefault="0044260A" w14:paraId="1B928B84" w14:textId="77777777">
      <w:pPr>
        <w:jc w:val="both"/>
        <w:rPr>
          <w:rFonts w:ascii="Arial" w:hAnsi="Arial" w:eastAsia="Calibri" w:cs="Arial"/>
          <w:b/>
          <w:color w:val="000000" w:themeColor="text1"/>
          <w:sz w:val="20"/>
          <w:szCs w:val="20"/>
        </w:rPr>
      </w:pPr>
    </w:p>
    <w:p w:rsidRPr="00DB5357" w:rsidR="0044260A" w:rsidP="0044260A" w:rsidRDefault="003D3D64" w14:paraId="286BB24A" w14:textId="7BB161E8">
      <w:pPr>
        <w:jc w:val="both"/>
        <w:rPr>
          <w:rFonts w:ascii="Arial" w:hAnsi="Arial" w:eastAsia="Calibri" w:cs="Arial"/>
          <w:b/>
          <w:color w:val="000000" w:themeColor="text1"/>
          <w:sz w:val="22"/>
        </w:rPr>
      </w:pPr>
      <w:r>
        <w:rPr>
          <w:rFonts w:ascii="Arial" w:hAnsi="Arial" w:eastAsia="Calibri" w:cs="Arial"/>
          <w:b/>
          <w:color w:val="000000" w:themeColor="text1"/>
          <w:sz w:val="22"/>
        </w:rPr>
        <w:t xml:space="preserve">ANEXO 1 – Diligenciamiento – </w:t>
      </w:r>
      <w:r w:rsidRPr="00DB5357" w:rsidR="0044260A">
        <w:rPr>
          <w:rFonts w:ascii="Arial" w:hAnsi="Arial" w:eastAsia="Calibri" w:cs="Arial"/>
          <w:b/>
          <w:color w:val="000000" w:themeColor="text1"/>
          <w:sz w:val="22"/>
        </w:rPr>
        <w:t>G</w:t>
      </w:r>
      <w:r w:rsidRPr="00DB5357">
        <w:rPr>
          <w:rFonts w:ascii="Arial" w:hAnsi="Arial" w:eastAsia="Calibri" w:cs="Arial"/>
          <w:b/>
          <w:color w:val="000000" w:themeColor="text1"/>
          <w:sz w:val="22"/>
        </w:rPr>
        <w:t>uía para determinar y verificar la capacidad residual del proponente en los procesos de contra</w:t>
      </w:r>
      <w:r>
        <w:rPr>
          <w:rFonts w:ascii="Arial" w:hAnsi="Arial" w:eastAsia="Calibri" w:cs="Arial"/>
          <w:b/>
          <w:color w:val="000000" w:themeColor="text1"/>
          <w:sz w:val="22"/>
        </w:rPr>
        <w:t>tación de obra pública</w:t>
      </w:r>
    </w:p>
    <w:p w:rsidRPr="00DB5357" w:rsidR="0044260A" w:rsidP="0044260A" w:rsidRDefault="0044260A" w14:paraId="46A38C56" w14:textId="77777777">
      <w:pPr>
        <w:jc w:val="both"/>
        <w:rPr>
          <w:rFonts w:ascii="Arial" w:hAnsi="Arial" w:eastAsia="Calibri" w:cs="Arial"/>
          <w:b/>
          <w:color w:val="000000" w:themeColor="text1"/>
          <w:sz w:val="20"/>
          <w:szCs w:val="20"/>
        </w:rPr>
      </w:pPr>
    </w:p>
    <w:p w:rsidRPr="00DB5357" w:rsidR="0044260A" w:rsidP="00FB59E2" w:rsidRDefault="0044260A" w14:paraId="4C1A4F94" w14:textId="399B3D4B">
      <w:pPr>
        <w:jc w:val="both"/>
        <w:rPr>
          <w:rFonts w:ascii="Arial" w:hAnsi="Arial" w:eastAsia="Calibri" w:cs="Arial"/>
          <w:bCs/>
          <w:color w:val="000000" w:themeColor="text1"/>
          <w:sz w:val="20"/>
          <w:szCs w:val="20"/>
        </w:rPr>
      </w:pPr>
      <w:r w:rsidRPr="00DB5357">
        <w:rPr>
          <w:rFonts w:ascii="Arial" w:hAnsi="Arial" w:eastAsia="Calibri" w:cs="Arial"/>
          <w:bCs/>
          <w:color w:val="000000" w:themeColor="text1"/>
          <w:sz w:val="20"/>
          <w:szCs w:val="20"/>
        </w:rPr>
        <w:t xml:space="preserve">En criterio de la Agencia Nacional de Contratación Pública, en </w:t>
      </w:r>
      <w:r w:rsidRPr="00DB5357" w:rsidR="00FB59E2">
        <w:rPr>
          <w:rFonts w:ascii="Arial" w:hAnsi="Arial" w:eastAsia="Calibri" w:cs="Arial"/>
          <w:bCs/>
          <w:color w:val="000000" w:themeColor="text1"/>
          <w:sz w:val="20"/>
          <w:szCs w:val="20"/>
        </w:rPr>
        <w:t xml:space="preserve">el Anexo 1 se debe hacer referencia: i) al contrato relacionado con la actividad de la construcción −segmento 72, clasificador UNSPSC−; y </w:t>
      </w:r>
      <w:proofErr w:type="spellStart"/>
      <w:r w:rsidRPr="00DB5357" w:rsidR="00FB59E2">
        <w:rPr>
          <w:rFonts w:ascii="Arial" w:hAnsi="Arial" w:eastAsia="Calibri" w:cs="Arial"/>
          <w:bCs/>
          <w:color w:val="000000" w:themeColor="text1"/>
          <w:sz w:val="20"/>
          <w:szCs w:val="20"/>
        </w:rPr>
        <w:t>ii</w:t>
      </w:r>
      <w:proofErr w:type="spellEnd"/>
      <w:r w:rsidRPr="00DB5357" w:rsidR="00FB59E2">
        <w:rPr>
          <w:rFonts w:ascii="Arial" w:hAnsi="Arial" w:eastAsia="Calibri" w:cs="Arial"/>
          <w:bCs/>
          <w:color w:val="000000" w:themeColor="text1"/>
          <w:sz w:val="20"/>
          <w:szCs w:val="20"/>
        </w:rPr>
        <w:t xml:space="preserve">) al valor de cada uno de esos contratos </w:t>
      </w:r>
      <w:proofErr w:type="gramStart"/>
      <w:r w:rsidRPr="00DB5357" w:rsidR="00FB59E2">
        <w:rPr>
          <w:rFonts w:ascii="Arial" w:hAnsi="Arial" w:eastAsia="Calibri" w:cs="Arial"/>
          <w:bCs/>
          <w:color w:val="000000" w:themeColor="text1"/>
          <w:sz w:val="20"/>
          <w:szCs w:val="20"/>
        </w:rPr>
        <w:t>de acuerdo a</w:t>
      </w:r>
      <w:proofErr w:type="gramEnd"/>
      <w:r w:rsidRPr="00DB5357" w:rsidR="00FB59E2">
        <w:rPr>
          <w:rFonts w:ascii="Arial" w:hAnsi="Arial" w:eastAsia="Calibri" w:cs="Arial"/>
          <w:bCs/>
          <w:color w:val="000000" w:themeColor="text1"/>
          <w:sz w:val="20"/>
          <w:szCs w:val="20"/>
        </w:rPr>
        <w:t xml:space="preserve"> los salarios mínimos mensuales legales vigentes «SMMLV» registrados en el RUP. De ser necesario, el proponente tendrá que diligenciar la casilla del porcentaje de «participación del proponente en el contratista plural» y calcular, según dicho porcentaje, el valor del contrato a tener en cuenta, de tal forma que si, por ejemplo, el contrato inscrito en el RUP es de cien (100)  SMMLV, pero su participación fue del cincuenta (50) por ciento, en la casilla «valor total de los contratos ejecutados» solo se podrán incluir cincuenta (50) de los cien (100) SMMLV, dado el porcentaje de participación del proponente. De todos modos, el valor total de los contratos referidos en el Anexo 1 debe liquidarse según el salario mínimo mensual legal vigente para el momento en el que se realiza la presentación de la oferta. Esta conversión de salarios a pesos encuentra fundamento, por un lado, en los criterios expuestos en la «Guía para Determinar y Verificar la Capacidad Residual del Proponente en los Procesos de Contratación de Obra Pública», particularmente en lo que señala el párrafo 5 de la página 7 de dicho documento. Por otro lado, se justifica en el hecho de que la fórmula a aplicar requiere que la información se exprese en pesos y no en SMMLV.</w:t>
      </w:r>
    </w:p>
    <w:p w:rsidRPr="00DB5357" w:rsidR="006518AC" w:rsidP="00FB59E2" w:rsidRDefault="006518AC" w14:paraId="138B46AF" w14:textId="61235248">
      <w:pPr>
        <w:jc w:val="both"/>
        <w:rPr>
          <w:rFonts w:ascii="Arial" w:hAnsi="Arial" w:eastAsia="Calibri" w:cs="Arial"/>
          <w:bCs/>
          <w:color w:val="000000" w:themeColor="text1"/>
          <w:sz w:val="19"/>
          <w:szCs w:val="19"/>
        </w:rPr>
      </w:pPr>
    </w:p>
    <w:p w:rsidRPr="00DB5357" w:rsidR="006518AC" w:rsidP="006518AC" w:rsidRDefault="006518AC" w14:paraId="7E543DDF" w14:textId="400A9D31">
      <w:pPr>
        <w:jc w:val="both"/>
        <w:rPr>
          <w:rFonts w:ascii="Arial" w:hAnsi="Arial" w:eastAsia="Calibri" w:cs="Arial"/>
          <w:b/>
          <w:color w:val="000000" w:themeColor="text1"/>
          <w:sz w:val="22"/>
        </w:rPr>
      </w:pPr>
      <w:r w:rsidRPr="00DB5357">
        <w:rPr>
          <w:rFonts w:ascii="Arial" w:hAnsi="Arial" w:eastAsia="Calibri" w:cs="Arial"/>
          <w:b/>
          <w:color w:val="000000" w:themeColor="text1"/>
          <w:sz w:val="22"/>
        </w:rPr>
        <w:t xml:space="preserve">EXPERIENCIA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Requisito habilitante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Concepto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Acreditación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RUP</w:t>
      </w:r>
    </w:p>
    <w:p w:rsidRPr="00DB5357" w:rsidR="006518AC" w:rsidP="006518AC" w:rsidRDefault="006518AC" w14:paraId="00D68322" w14:textId="77777777">
      <w:pPr>
        <w:jc w:val="both"/>
        <w:rPr>
          <w:rFonts w:ascii="Arial" w:hAnsi="Arial" w:eastAsia="Calibri" w:cs="Arial"/>
          <w:color w:val="000000" w:themeColor="text1"/>
          <w:sz w:val="20"/>
        </w:rPr>
      </w:pPr>
    </w:p>
    <w:p w:rsidRPr="00DB5357" w:rsidR="006518AC" w:rsidP="006518AC" w:rsidRDefault="006518AC" w14:paraId="40717137" w14:textId="5D7CEB40">
      <w:pPr>
        <w:jc w:val="both"/>
        <w:rPr>
          <w:rFonts w:ascii="Arial" w:hAnsi="Arial" w:eastAsia="Calibri" w:cs="Arial"/>
          <w:color w:val="000000" w:themeColor="text1"/>
          <w:sz w:val="20"/>
          <w:szCs w:val="20"/>
        </w:rPr>
      </w:pPr>
      <w:r w:rsidRPr="00DB5357">
        <w:rPr>
          <w:rFonts w:ascii="Arial" w:hAnsi="Arial" w:eastAsia="Calibri" w:cs="Arial"/>
          <w:color w:val="000000" w:themeColor="text1"/>
          <w:sz w:val="20"/>
          <w:szCs w:val="20"/>
        </w:rPr>
        <w:t>La experiencia que se deriva de los contratos que el proponente ha celebrado y ejecutado con diferentes contratantes, sin importar la naturaleza de estos, se verifica con el Registro Único de Proponentes (RUP), cuando este certificado sea exigible de acuerdo con la ley, en el cual constan los requisitos habilitantes, que se evalúan exclusivamente con este documento, que es su plena prueba, sin que sea posible para la entidad o el proponente solicitar o aportar otra documentación.</w:t>
      </w:r>
    </w:p>
    <w:p w:rsidRPr="00DB5357" w:rsidR="006518AC" w:rsidP="006518AC" w:rsidRDefault="006518AC" w14:paraId="5B1117DB" w14:textId="77777777">
      <w:pPr>
        <w:jc w:val="both"/>
        <w:rPr>
          <w:rFonts w:ascii="Arial" w:hAnsi="Arial" w:eastAsia="Calibri" w:cs="Arial"/>
          <w:color w:val="000000" w:themeColor="text1"/>
          <w:sz w:val="20"/>
          <w:szCs w:val="20"/>
        </w:rPr>
      </w:pPr>
    </w:p>
    <w:p w:rsidRPr="00DB5357" w:rsidR="006518AC" w:rsidP="0183057B" w:rsidRDefault="006518AC" w14:paraId="39CD1FCD" w14:textId="4F1D4230">
      <w:pPr>
        <w:pStyle w:val="Normal"/>
        <w:jc w:val="both"/>
        <w:rPr>
          <w:rFonts w:ascii="Arial" w:hAnsi="Arial" w:eastAsia="Calibri" w:cs="Arial"/>
          <w:b w:val="1"/>
          <w:bCs w:val="1"/>
          <w:color w:val="000000" w:themeColor="text1"/>
          <w:sz w:val="22"/>
          <w:szCs w:val="22"/>
        </w:rPr>
      </w:pPr>
      <w:r w:rsidRPr="0183057B" w:rsidR="006518AC">
        <w:rPr>
          <w:rFonts w:ascii="Arial" w:hAnsi="Arial" w:eastAsia="Calibri" w:cs="Arial"/>
          <w:b w:val="1"/>
          <w:bCs w:val="1"/>
          <w:color w:val="000000" w:themeColor="text1" w:themeTint="FF" w:themeShade="FF"/>
          <w:sz w:val="22"/>
          <w:szCs w:val="22"/>
        </w:rPr>
        <w:t xml:space="preserve">EXPERIENCIA </w:t>
      </w:r>
      <w:r w:rsidRPr="0183057B" w:rsidR="002448CB">
        <w:rPr>
          <w:rFonts w:ascii="Arial" w:hAnsi="Arial" w:eastAsia="Calibri" w:cs="Arial"/>
          <w:b w:val="1"/>
          <w:bCs w:val="1"/>
          <w:color w:val="000000" w:themeColor="text1" w:themeTint="FF" w:themeShade="FF"/>
          <w:sz w:val="22"/>
          <w:szCs w:val="22"/>
        </w:rPr>
        <w:t>−</w:t>
      </w:r>
      <w:r w:rsidRPr="0183057B" w:rsidR="006518AC">
        <w:rPr>
          <w:rFonts w:ascii="Arial" w:hAnsi="Arial" w:eastAsia="Calibri" w:cs="Arial"/>
          <w:b w:val="1"/>
          <w:bCs w:val="1"/>
          <w:color w:val="000000" w:themeColor="text1" w:themeTint="FF" w:themeShade="FF"/>
          <w:sz w:val="22"/>
          <w:szCs w:val="22"/>
        </w:rPr>
        <w:t xml:space="preserve"> Requisito habilitante </w:t>
      </w:r>
      <w:r w:rsidRPr="0183057B" w:rsidR="002448CB">
        <w:rPr>
          <w:rFonts w:ascii="Arial" w:hAnsi="Arial" w:eastAsia="Calibri" w:cs="Arial"/>
          <w:b w:val="1"/>
          <w:bCs w:val="1"/>
          <w:color w:val="000000" w:themeColor="text1" w:themeTint="FF" w:themeShade="FF"/>
          <w:sz w:val="22"/>
          <w:szCs w:val="22"/>
        </w:rPr>
        <w:t>−</w:t>
      </w:r>
      <w:r w:rsidRPr="0183057B" w:rsidR="006518AC">
        <w:rPr>
          <w:rFonts w:ascii="Arial" w:hAnsi="Arial" w:eastAsia="Calibri" w:cs="Arial"/>
          <w:b w:val="1"/>
          <w:bCs w:val="1"/>
          <w:color w:val="000000" w:themeColor="text1" w:themeTint="FF" w:themeShade="FF"/>
          <w:sz w:val="22"/>
          <w:szCs w:val="22"/>
        </w:rPr>
        <w:t xml:space="preserve"> Factor </w:t>
      </w:r>
      <w:r w:rsidRPr="0183057B" w:rsidR="788BEEA9">
        <w:rPr>
          <w:rFonts w:ascii="Arial" w:hAnsi="Arial" w:eastAsia="Calibri" w:cs="Arial"/>
          <w:b w:val="1"/>
          <w:bCs w:val="1"/>
          <w:color w:val="000000" w:themeColor="text1" w:themeTint="FF" w:themeShade="FF"/>
          <w:sz w:val="22"/>
          <w:szCs w:val="22"/>
        </w:rPr>
        <w:t>− F</w:t>
      </w:r>
      <w:r w:rsidRPr="0183057B" w:rsidR="006518AC">
        <w:rPr>
          <w:rFonts w:ascii="Arial" w:hAnsi="Arial" w:eastAsia="Calibri" w:cs="Arial"/>
          <w:b w:val="1"/>
          <w:bCs w:val="1"/>
          <w:color w:val="000000" w:themeColor="text1" w:themeTint="FF" w:themeShade="FF"/>
          <w:sz w:val="22"/>
          <w:szCs w:val="22"/>
        </w:rPr>
        <w:t xml:space="preserve">órmula capacidad residual </w:t>
      </w:r>
      <w:r w:rsidRPr="0183057B" w:rsidR="002448CB">
        <w:rPr>
          <w:rFonts w:ascii="Arial" w:hAnsi="Arial" w:eastAsia="Calibri" w:cs="Arial"/>
          <w:b w:val="1"/>
          <w:bCs w:val="1"/>
          <w:color w:val="000000" w:themeColor="text1" w:themeTint="FF" w:themeShade="FF"/>
          <w:sz w:val="22"/>
          <w:szCs w:val="22"/>
        </w:rPr>
        <w:t>−</w:t>
      </w:r>
      <w:r w:rsidRPr="0183057B" w:rsidR="006518AC">
        <w:rPr>
          <w:rFonts w:ascii="Arial" w:hAnsi="Arial" w:eastAsia="Calibri" w:cs="Arial"/>
          <w:b w:val="1"/>
          <w:bCs w:val="1"/>
          <w:color w:val="000000" w:themeColor="text1" w:themeTint="FF" w:themeShade="FF"/>
          <w:sz w:val="22"/>
          <w:szCs w:val="22"/>
        </w:rPr>
        <w:t xml:space="preserve"> Similitud</w:t>
      </w:r>
    </w:p>
    <w:p w:rsidRPr="00DB5357" w:rsidR="006518AC" w:rsidP="006518AC" w:rsidRDefault="006518AC" w14:paraId="0D49BCE3" w14:textId="77777777">
      <w:pPr>
        <w:jc w:val="both"/>
        <w:rPr>
          <w:rFonts w:ascii="Arial" w:hAnsi="Arial" w:eastAsia="Calibri" w:cs="Arial"/>
          <w:b/>
          <w:color w:val="000000" w:themeColor="text1"/>
          <w:sz w:val="22"/>
        </w:rPr>
      </w:pPr>
    </w:p>
    <w:p w:rsidRPr="00DB5357" w:rsidR="006518AC" w:rsidP="006518AC" w:rsidRDefault="006518AC" w14:paraId="60E019E5" w14:textId="77777777">
      <w:pPr>
        <w:jc w:val="both"/>
        <w:rPr>
          <w:rFonts w:ascii="Arial" w:hAnsi="Arial" w:eastAsia="Calibri" w:cs="Arial"/>
          <w:color w:val="000000" w:themeColor="text1"/>
          <w:sz w:val="20"/>
          <w:szCs w:val="20"/>
        </w:rPr>
      </w:pPr>
      <w:r w:rsidRPr="00DB5357">
        <w:rPr>
          <w:rFonts w:ascii="Arial" w:hAnsi="Arial" w:eastAsia="Calibri" w:cs="Arial"/>
          <w:color w:val="000000" w:themeColor="text1"/>
          <w:sz w:val="20"/>
          <w:szCs w:val="20"/>
        </w:rPr>
        <w:t xml:space="preserve">Por último, al observar el concepto de experiencia, como «requisito habilitante», y teniendo en cuenta que su consulta se relaciona con la experiencia, como «factor de la fórmula de la capacidad residual», de acuerdo con lo señalado para cada concepto, es decir, que el «requisito habilitante» se deriva de los contratos celebrados por el proponente que deben inscribirse en el RUP, y que el «factor de la fórmula de la capacidad residual» </w:t>
      </w:r>
      <w:proofErr w:type="spellStart"/>
      <w:r w:rsidRPr="00DB5357">
        <w:rPr>
          <w:rFonts w:ascii="Arial" w:hAnsi="Arial" w:eastAsia="Calibri" w:cs="Arial"/>
          <w:color w:val="000000" w:themeColor="text1"/>
          <w:sz w:val="20"/>
          <w:szCs w:val="20"/>
        </w:rPr>
        <w:t>esta</w:t>
      </w:r>
      <w:proofErr w:type="spellEnd"/>
      <w:r w:rsidRPr="00DB5357">
        <w:rPr>
          <w:rFonts w:ascii="Arial" w:hAnsi="Arial" w:eastAsia="Calibri" w:cs="Arial"/>
          <w:color w:val="000000" w:themeColor="text1"/>
          <w:sz w:val="20"/>
          <w:szCs w:val="20"/>
        </w:rPr>
        <w:t xml:space="preserve"> determinado por el valor total en pesos de los contratos que figuran en el RUP, la experiencia en ambos casos se refiere a la misma definición.</w:t>
      </w:r>
    </w:p>
    <w:p w:rsidRPr="00DB5357" w:rsidR="006518AC" w:rsidP="006518AC" w:rsidRDefault="006518AC" w14:paraId="104E4055" w14:textId="77777777">
      <w:pPr>
        <w:jc w:val="both"/>
        <w:rPr>
          <w:rFonts w:ascii="Arial" w:hAnsi="Arial" w:eastAsia="Calibri" w:cs="Arial"/>
          <w:b/>
          <w:color w:val="000000" w:themeColor="text1"/>
          <w:sz w:val="22"/>
        </w:rPr>
      </w:pPr>
    </w:p>
    <w:p w:rsidRPr="00DB5357" w:rsidR="006518AC" w:rsidP="006518AC" w:rsidRDefault="006518AC" w14:paraId="2506C410" w14:textId="6A8549CB">
      <w:pPr>
        <w:jc w:val="both"/>
        <w:rPr>
          <w:rFonts w:ascii="Arial" w:hAnsi="Arial" w:cs="Arial"/>
          <w:color w:val="000000" w:themeColor="text1"/>
          <w:sz w:val="22"/>
        </w:rPr>
      </w:pPr>
      <w:r w:rsidRPr="00DB5357">
        <w:rPr>
          <w:rFonts w:ascii="Arial" w:hAnsi="Arial" w:eastAsia="Calibri" w:cs="Arial"/>
          <w:b/>
          <w:color w:val="000000" w:themeColor="text1"/>
          <w:sz w:val="22"/>
        </w:rPr>
        <w:t xml:space="preserve">EXPERIENCIA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Características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Compartir </w:t>
      </w:r>
      <w:r w:rsidRPr="00DB5357" w:rsidR="002448CB">
        <w:rPr>
          <w:rFonts w:ascii="Arial" w:hAnsi="Arial" w:eastAsia="Calibri" w:cs="Arial"/>
          <w:b/>
          <w:color w:val="000000" w:themeColor="text1"/>
          <w:sz w:val="22"/>
        </w:rPr>
        <w:t>−</w:t>
      </w:r>
      <w:r w:rsidRPr="00DB5357">
        <w:rPr>
          <w:rFonts w:ascii="Arial" w:hAnsi="Arial" w:eastAsia="Calibri" w:cs="Arial"/>
          <w:b/>
          <w:color w:val="000000" w:themeColor="text1"/>
          <w:sz w:val="22"/>
        </w:rPr>
        <w:t xml:space="preserve"> Transferir</w:t>
      </w:r>
    </w:p>
    <w:p w:rsidRPr="00DB5357" w:rsidR="006518AC" w:rsidP="006518AC" w:rsidRDefault="006518AC" w14:paraId="0F9C62B9" w14:textId="77777777">
      <w:pPr>
        <w:jc w:val="both"/>
        <w:rPr>
          <w:rFonts w:ascii="Arial" w:hAnsi="Arial" w:cs="Arial"/>
          <w:color w:val="000000" w:themeColor="text1"/>
          <w:sz w:val="20"/>
          <w:szCs w:val="20"/>
        </w:rPr>
      </w:pPr>
    </w:p>
    <w:p w:rsidRPr="00DB5357" w:rsidR="006518AC" w:rsidP="006518AC" w:rsidRDefault="006518AC" w14:paraId="7D83FC90" w14:textId="77777777">
      <w:pPr>
        <w:spacing w:before="120"/>
        <w:jc w:val="both"/>
        <w:rPr>
          <w:rFonts w:ascii="Arial" w:hAnsi="Arial" w:cs="Arial"/>
          <w:color w:val="000000" w:themeColor="text1"/>
          <w:sz w:val="20"/>
          <w:szCs w:val="20"/>
        </w:rPr>
      </w:pPr>
      <w:r w:rsidRPr="00DB5357">
        <w:rPr>
          <w:rFonts w:ascii="Arial" w:hAnsi="Arial" w:cs="Arial"/>
          <w:color w:val="000000" w:themeColor="text1"/>
          <w:sz w:val="20"/>
          <w:szCs w:val="20"/>
        </w:rPr>
        <w:t>i) La experiencia es personal, esto es, se adquiere participando, directa o indirectamente, sin que sea posible no participar y tener una experiencia que no es propia.</w:t>
      </w:r>
    </w:p>
    <w:p w:rsidRPr="00DB5357" w:rsidR="006518AC" w:rsidP="006518AC" w:rsidRDefault="006518AC" w14:paraId="4B7D2AB4" w14:textId="77777777">
      <w:pPr>
        <w:spacing w:before="120"/>
        <w:jc w:val="both"/>
        <w:rPr>
          <w:rFonts w:ascii="Arial" w:hAnsi="Arial" w:cs="Arial"/>
          <w:color w:val="000000" w:themeColor="text1"/>
          <w:sz w:val="20"/>
          <w:szCs w:val="20"/>
        </w:rPr>
      </w:pPr>
      <w:proofErr w:type="spellStart"/>
      <w:r w:rsidRPr="00DB5357">
        <w:rPr>
          <w:rFonts w:ascii="Arial" w:hAnsi="Arial" w:cs="Arial"/>
          <w:color w:val="000000" w:themeColor="text1"/>
          <w:sz w:val="20"/>
          <w:szCs w:val="20"/>
        </w:rPr>
        <w:lastRenderedPageBreak/>
        <w:t>ii</w:t>
      </w:r>
      <w:proofErr w:type="spellEnd"/>
      <w:r w:rsidRPr="00DB5357">
        <w:rPr>
          <w:rFonts w:ascii="Arial" w:hAnsi="Arial" w:cs="Arial"/>
          <w:color w:val="000000" w:themeColor="text1"/>
          <w:sz w:val="20"/>
          <w:szCs w:val="20"/>
        </w:rPr>
        <w:t>)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p>
    <w:p w:rsidRPr="00DB5357" w:rsidR="006518AC" w:rsidP="006518AC" w:rsidRDefault="006518AC" w14:paraId="1BDC281D" w14:textId="77777777">
      <w:pPr>
        <w:spacing w:before="120"/>
        <w:jc w:val="both"/>
        <w:rPr>
          <w:rFonts w:ascii="Arial" w:hAnsi="Arial" w:cs="Arial"/>
          <w:color w:val="000000" w:themeColor="text1"/>
          <w:sz w:val="20"/>
          <w:szCs w:val="20"/>
        </w:rPr>
      </w:pPr>
      <w:proofErr w:type="spellStart"/>
      <w:r w:rsidRPr="00DB5357">
        <w:rPr>
          <w:rFonts w:ascii="Arial" w:hAnsi="Arial" w:cs="Arial"/>
          <w:color w:val="000000" w:themeColor="text1"/>
          <w:sz w:val="20"/>
          <w:szCs w:val="20"/>
        </w:rPr>
        <w:t>iii</w:t>
      </w:r>
      <w:proofErr w:type="spellEnd"/>
      <w:r w:rsidRPr="00DB5357">
        <w:rPr>
          <w:rFonts w:ascii="Arial" w:hAnsi="Arial" w:cs="Arial"/>
          <w:color w:val="000000" w:themeColor="text1"/>
          <w:sz w:val="20"/>
          <w:szCs w:val="20"/>
        </w:rPr>
        <w:t>) La experiencia se puede transferir, y es diferente a compartir, puesto que implica que la experiencia de una persona se traslada a otra, y esta última acredita esa experiencia como propia, lo cual es el caso de las figuras y reformas estatutarias como transformación, fusión y escisión.</w:t>
      </w:r>
    </w:p>
    <w:p w:rsidRPr="00DB5357" w:rsidR="006518AC" w:rsidP="006518AC" w:rsidRDefault="006518AC" w14:paraId="67FBA983" w14:textId="7B51B758">
      <w:pPr>
        <w:spacing w:before="120"/>
        <w:jc w:val="both"/>
        <w:rPr>
          <w:rFonts w:ascii="Arial" w:hAnsi="Arial" w:cs="Arial"/>
          <w:color w:val="000000" w:themeColor="text1"/>
          <w:sz w:val="20"/>
          <w:szCs w:val="20"/>
        </w:rPr>
      </w:pPr>
      <w:proofErr w:type="spellStart"/>
      <w:r w:rsidRPr="00DB5357">
        <w:rPr>
          <w:rFonts w:ascii="Arial" w:hAnsi="Arial" w:cs="Arial"/>
          <w:color w:val="000000" w:themeColor="text1"/>
          <w:sz w:val="20"/>
          <w:szCs w:val="20"/>
        </w:rPr>
        <w:t>iv</w:t>
      </w:r>
      <w:proofErr w:type="spellEnd"/>
      <w:r w:rsidRPr="00DB5357">
        <w:rPr>
          <w:rFonts w:ascii="Arial" w:hAnsi="Arial" w:cs="Arial"/>
          <w:color w:val="000000" w:themeColor="text1"/>
          <w:sz w:val="20"/>
          <w:szCs w:val="20"/>
        </w:rPr>
        <w:t>) Solo es posible transferir o compartir la experiencia de una persona natural o jurídica a otra, en los casos señalados en los numerales anteriores, por lo cual no es posible que se acredite la experiencia adquirida por un tercero</w:t>
      </w:r>
      <w:r w:rsidRPr="00DB5357" w:rsidR="002448CB">
        <w:rPr>
          <w:rFonts w:ascii="Arial" w:hAnsi="Arial" w:cs="Arial"/>
          <w:color w:val="000000" w:themeColor="text1"/>
          <w:sz w:val="20"/>
          <w:szCs w:val="20"/>
        </w:rPr>
        <w:t xml:space="preserve"> −</w:t>
      </w:r>
      <w:r w:rsidRPr="00DB5357">
        <w:rPr>
          <w:rFonts w:ascii="Arial" w:hAnsi="Arial" w:cs="Arial"/>
          <w:color w:val="000000" w:themeColor="text1"/>
          <w:sz w:val="20"/>
          <w:szCs w:val="20"/>
        </w:rPr>
        <w:t>que es otra persona diferente a la principal</w:t>
      </w:r>
      <w:proofErr w:type="gramStart"/>
      <w:r w:rsidRPr="00DB5357" w:rsidR="002448CB">
        <w:rPr>
          <w:rFonts w:ascii="Arial" w:hAnsi="Arial" w:cs="Arial"/>
          <w:color w:val="000000" w:themeColor="text1"/>
          <w:sz w:val="20"/>
          <w:szCs w:val="20"/>
        </w:rPr>
        <w:t>−</w:t>
      </w:r>
      <w:r w:rsidRPr="00DB5357">
        <w:rPr>
          <w:rFonts w:ascii="Arial" w:hAnsi="Arial" w:cs="Arial"/>
          <w:color w:val="000000" w:themeColor="text1"/>
          <w:sz w:val="20"/>
          <w:szCs w:val="20"/>
        </w:rPr>
        <w:t xml:space="preserve">  sin</w:t>
      </w:r>
      <w:proofErr w:type="gramEnd"/>
      <w:r w:rsidRPr="00DB5357">
        <w:rPr>
          <w:rFonts w:ascii="Arial" w:hAnsi="Arial" w:cs="Arial"/>
          <w:color w:val="000000" w:themeColor="text1"/>
          <w:sz w:val="20"/>
          <w:szCs w:val="20"/>
        </w:rPr>
        <w:t xml:space="preserve"> que se relacione con lo establecido, ya que la experiencia es personal, esto es, de quien la adquirió.</w:t>
      </w:r>
    </w:p>
    <w:p w:rsidRPr="00DB5357" w:rsidR="006518AC" w:rsidP="00C57ECD" w:rsidRDefault="006518AC" w14:paraId="3CA303A5" w14:textId="77777777">
      <w:pPr>
        <w:jc w:val="both"/>
        <w:rPr>
          <w:rFonts w:ascii="Arial" w:hAnsi="Arial" w:cs="Arial"/>
          <w:color w:val="000000" w:themeColor="text1"/>
          <w:sz w:val="20"/>
          <w:szCs w:val="20"/>
        </w:rPr>
      </w:pPr>
      <w:r w:rsidRPr="00DB5357">
        <w:rPr>
          <w:rFonts w:ascii="Arial" w:hAnsi="Arial" w:cs="Arial"/>
          <w:color w:val="000000" w:themeColor="text1"/>
          <w:sz w:val="20"/>
          <w:szCs w:val="20"/>
        </w:rPr>
        <w:t>No obstante, las entidades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w:t>
      </w:r>
    </w:p>
    <w:p w:rsidRPr="00C57ECD" w:rsidR="006518AC" w:rsidP="00C57ECD" w:rsidRDefault="006518AC" w14:paraId="23188287" w14:textId="77777777">
      <w:pPr>
        <w:jc w:val="both"/>
        <w:rPr>
          <w:color w:val="000000" w:themeColor="text1"/>
          <w:sz w:val="20"/>
          <w:szCs w:val="20"/>
        </w:rPr>
      </w:pPr>
    </w:p>
    <w:p w:rsidRPr="00DB5357" w:rsidR="00A6641B" w:rsidP="00C57ECD" w:rsidRDefault="00A6641B" w14:paraId="1EE98661" w14:textId="77777777">
      <w:pPr>
        <w:spacing w:line="259" w:lineRule="auto"/>
        <w:rPr>
          <w:rFonts w:ascii="Arial" w:hAnsi="Arial" w:cs="Arial"/>
          <w:color w:val="000000" w:themeColor="text1"/>
          <w:sz w:val="20"/>
          <w:szCs w:val="20"/>
        </w:rPr>
      </w:pPr>
    </w:p>
    <w:p w:rsidRPr="00DB5357" w:rsidR="00BE1E33" w:rsidP="00C57ECD" w:rsidRDefault="00BE1E33" w14:paraId="6068435F" w14:textId="548189FD">
      <w:pPr>
        <w:rPr>
          <w:rFonts w:ascii="Arial" w:hAnsi="Arial" w:cs="Arial"/>
          <w:b/>
          <w:color w:val="000000" w:themeColor="text1"/>
          <w:sz w:val="22"/>
        </w:rPr>
      </w:pPr>
      <w:r w:rsidRPr="00DB5357">
        <w:rPr>
          <w:rFonts w:ascii="Arial" w:hAnsi="Arial" w:cs="Arial"/>
          <w:color w:val="000000" w:themeColor="text1"/>
          <w:sz w:val="22"/>
        </w:rPr>
        <w:t xml:space="preserve">Bogotá D.C., </w:t>
      </w:r>
      <w:r w:rsidRPr="0090034D" w:rsidR="0090034D">
        <w:rPr>
          <w:rFonts w:ascii="Arial" w:hAnsi="Arial" w:cs="Arial"/>
          <w:b/>
          <w:color w:val="000000" w:themeColor="text1"/>
          <w:sz w:val="22"/>
        </w:rPr>
        <w:t>09/06/2020 Hora 12:47:49s</w:t>
      </w:r>
    </w:p>
    <w:p w:rsidRPr="00DB5357" w:rsidR="00BE1E33" w:rsidP="00BE1E33" w:rsidRDefault="00BE1E33" w14:paraId="1AED6E7A" w14:textId="00BF8BBB">
      <w:pPr>
        <w:jc w:val="right"/>
        <w:rPr>
          <w:rFonts w:ascii="Arial" w:hAnsi="Arial" w:cs="Arial"/>
          <w:b/>
          <w:color w:val="000000" w:themeColor="text1"/>
          <w:sz w:val="22"/>
        </w:rPr>
      </w:pPr>
      <w:proofErr w:type="spellStart"/>
      <w:r w:rsidRPr="00DB5357">
        <w:rPr>
          <w:rFonts w:ascii="Arial" w:hAnsi="Arial" w:cs="Arial"/>
          <w:b/>
          <w:color w:val="000000" w:themeColor="text1"/>
          <w:sz w:val="22"/>
        </w:rPr>
        <w:t>N°</w:t>
      </w:r>
      <w:proofErr w:type="spellEnd"/>
      <w:r w:rsidRPr="00DB5357">
        <w:rPr>
          <w:rFonts w:ascii="Arial" w:hAnsi="Arial" w:cs="Arial"/>
          <w:b/>
          <w:color w:val="000000" w:themeColor="text1"/>
          <w:sz w:val="22"/>
        </w:rPr>
        <w:t xml:space="preserve"> Radicado: </w:t>
      </w:r>
      <w:r w:rsidRPr="0090034D" w:rsidR="0090034D">
        <w:rPr>
          <w:rFonts w:ascii="Arial" w:hAnsi="Arial" w:cs="Arial"/>
          <w:b/>
          <w:color w:val="000000" w:themeColor="text1"/>
          <w:sz w:val="22"/>
        </w:rPr>
        <w:t>2202013000004760</w:t>
      </w:r>
    </w:p>
    <w:p w:rsidRPr="00DB5357" w:rsidR="00BE1E33" w:rsidP="00BE1E33" w:rsidRDefault="00BE1E33" w14:paraId="12A234ED" w14:textId="77777777">
      <w:pPr>
        <w:rPr>
          <w:rFonts w:ascii="Arial" w:hAnsi="Arial" w:eastAsia="Calibri" w:cs="Arial"/>
          <w:color w:val="000000" w:themeColor="text1"/>
          <w:sz w:val="22"/>
        </w:rPr>
      </w:pPr>
    </w:p>
    <w:p w:rsidRPr="00DB5357" w:rsidR="00BE1E33" w:rsidP="00BE1E33" w:rsidRDefault="00BE1E33" w14:paraId="73D51859" w14:textId="55A100ED">
      <w:pPr>
        <w:rPr>
          <w:rFonts w:ascii="Arial" w:hAnsi="Arial" w:eastAsia="Calibri" w:cs="Arial"/>
          <w:color w:val="000000" w:themeColor="text1"/>
          <w:sz w:val="22"/>
        </w:rPr>
      </w:pPr>
      <w:r w:rsidRPr="00DB5357">
        <w:rPr>
          <w:rFonts w:ascii="Arial" w:hAnsi="Arial" w:eastAsia="Calibri" w:cs="Arial"/>
          <w:color w:val="000000" w:themeColor="text1"/>
          <w:sz w:val="22"/>
        </w:rPr>
        <w:t>Señor</w:t>
      </w:r>
    </w:p>
    <w:p w:rsidRPr="00DB5357" w:rsidR="00BE1E33" w:rsidP="00BE1E33" w:rsidRDefault="00FB5052" w14:paraId="51140DA2" w14:textId="036ABBFE">
      <w:pPr>
        <w:rPr>
          <w:rFonts w:ascii="Arial" w:hAnsi="Arial" w:eastAsia="Calibri" w:cs="Arial"/>
          <w:b/>
          <w:color w:val="000000" w:themeColor="text1"/>
          <w:sz w:val="22"/>
        </w:rPr>
      </w:pPr>
      <w:r w:rsidRPr="00DB5357">
        <w:rPr>
          <w:rFonts w:ascii="Arial" w:hAnsi="Arial" w:eastAsia="Calibri" w:cs="Arial"/>
          <w:b/>
          <w:color w:val="000000" w:themeColor="text1"/>
          <w:sz w:val="22"/>
        </w:rPr>
        <w:t>Arbey Ortiz Mena</w:t>
      </w:r>
    </w:p>
    <w:p w:rsidRPr="00DB5357" w:rsidR="00BE1E33" w:rsidP="00BE1E33" w:rsidRDefault="00FB5052" w14:paraId="095BF112" w14:textId="362D8367">
      <w:pPr>
        <w:rPr>
          <w:rFonts w:ascii="Arial" w:hAnsi="Arial" w:eastAsia="Calibri" w:cs="Arial"/>
          <w:color w:val="000000" w:themeColor="text1"/>
          <w:sz w:val="22"/>
        </w:rPr>
      </w:pPr>
      <w:r w:rsidRPr="00DB5357">
        <w:rPr>
          <w:rFonts w:ascii="Arial" w:hAnsi="Arial" w:eastAsia="Calibri" w:cs="Arial"/>
          <w:color w:val="000000" w:themeColor="text1"/>
          <w:sz w:val="22"/>
        </w:rPr>
        <w:t>Bogotá</w:t>
      </w:r>
    </w:p>
    <w:p w:rsidRPr="00DB5357" w:rsidR="00BE1E33" w:rsidP="00BE1E33" w:rsidRDefault="00BE1E33" w14:paraId="738DBA53" w14:textId="77777777">
      <w:pPr>
        <w:rPr>
          <w:rFonts w:ascii="Arial" w:hAnsi="Arial" w:eastAsia="Calibri" w:cs="Arial"/>
          <w:color w:val="000000" w:themeColor="text1"/>
          <w:sz w:val="22"/>
        </w:rPr>
      </w:pPr>
    </w:p>
    <w:p w:rsidRPr="00DB5357" w:rsidR="00BE1E33" w:rsidP="00BE1E33" w:rsidRDefault="00BE1E33" w14:paraId="1F3204AE" w14:textId="77777777">
      <w:pPr>
        <w:rPr>
          <w:rFonts w:ascii="Arial" w:hAnsi="Arial" w:eastAsia="Calibri" w:cs="Arial"/>
          <w:color w:val="000000" w:themeColor="text1"/>
          <w:sz w:val="22"/>
        </w:rPr>
      </w:pPr>
    </w:p>
    <w:p w:rsidRPr="00DB5357" w:rsidR="00BE1E33" w:rsidP="00BE1E33" w:rsidRDefault="00BE1E33" w14:paraId="5CEA4ADF" w14:textId="49FBB21D">
      <w:pPr>
        <w:ind w:firstLine="2694"/>
        <w:rPr>
          <w:rFonts w:ascii="Arial" w:hAnsi="Arial" w:eastAsia="Calibri" w:cs="Arial"/>
          <w:b/>
          <w:color w:val="000000" w:themeColor="text1"/>
          <w:sz w:val="22"/>
        </w:rPr>
      </w:pPr>
      <w:r w:rsidRPr="00DB5357">
        <w:rPr>
          <w:rFonts w:ascii="Arial" w:hAnsi="Arial" w:eastAsia="Calibri" w:cs="Arial"/>
          <w:b/>
          <w:color w:val="000000" w:themeColor="text1"/>
          <w:sz w:val="22"/>
        </w:rPr>
        <w:t>Concepto C</w:t>
      </w:r>
      <w:r w:rsidRPr="00DB5357" w:rsidR="002D29E5">
        <w:rPr>
          <w:rFonts w:ascii="Arial" w:hAnsi="Arial" w:eastAsia="Calibri" w:cs="Arial"/>
          <w:b/>
          <w:color w:val="000000" w:themeColor="text1"/>
          <w:sz w:val="22"/>
        </w:rPr>
        <w:t>-326</w:t>
      </w:r>
      <w:r w:rsidRPr="00DB5357">
        <w:rPr>
          <w:rFonts w:ascii="Arial" w:hAnsi="Arial" w:eastAsia="Calibri" w:cs="Arial"/>
          <w:b/>
          <w:color w:val="000000" w:themeColor="text1"/>
          <w:sz w:val="22"/>
        </w:rPr>
        <w:t xml:space="preserve"> de 2020</w:t>
      </w:r>
    </w:p>
    <w:p w:rsidRPr="00DB5357" w:rsidR="00BE1E33" w:rsidP="00BE1E33" w:rsidRDefault="00BE1E33" w14:paraId="234727AD"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BC1A07" w:rsidR="00BC1A07" w:rsidTr="004101BC" w14:paraId="2553E4F3" w14:textId="77777777">
        <w:tc>
          <w:tcPr>
            <w:tcW w:w="2689" w:type="dxa"/>
            <w:hideMark/>
          </w:tcPr>
          <w:p w:rsidRPr="00DB5357" w:rsidR="00BE1E33" w:rsidP="004101BC" w:rsidRDefault="00BE1E33" w14:paraId="7BC9E971" w14:textId="77777777">
            <w:pPr>
              <w:rPr>
                <w:rFonts w:ascii="Arial" w:hAnsi="Arial" w:eastAsia="Calibri" w:cs="Arial"/>
                <w:color w:val="000000" w:themeColor="text1"/>
                <w:sz w:val="22"/>
              </w:rPr>
            </w:pPr>
            <w:r w:rsidRPr="00DB5357">
              <w:rPr>
                <w:rFonts w:ascii="Arial" w:hAnsi="Arial" w:eastAsia="Calibri" w:cs="Arial"/>
                <w:b/>
                <w:color w:val="000000" w:themeColor="text1"/>
                <w:sz w:val="22"/>
              </w:rPr>
              <w:t>Temas:</w:t>
            </w:r>
            <w:r w:rsidRPr="00DB5357">
              <w:rPr>
                <w:rFonts w:ascii="Arial" w:hAnsi="Arial" w:eastAsia="Calibri" w:cs="Arial"/>
                <w:color w:val="000000" w:themeColor="text1"/>
                <w:sz w:val="22"/>
              </w:rPr>
              <w:t xml:space="preserve">           </w:t>
            </w:r>
          </w:p>
          <w:p w:rsidRPr="00DB5357" w:rsidR="00BE1E33" w:rsidP="004101BC" w:rsidRDefault="00BE1E33" w14:paraId="0C0D8CD7" w14:textId="77777777">
            <w:pPr>
              <w:rPr>
                <w:rFonts w:ascii="Arial" w:hAnsi="Arial" w:eastAsia="Calibri" w:cs="Arial"/>
                <w:color w:val="000000" w:themeColor="text1"/>
                <w:sz w:val="22"/>
              </w:rPr>
            </w:pPr>
            <w:r w:rsidRPr="00DB5357">
              <w:rPr>
                <w:rFonts w:ascii="Arial" w:hAnsi="Arial" w:eastAsia="Calibri" w:cs="Arial"/>
                <w:color w:val="000000" w:themeColor="text1"/>
                <w:sz w:val="22"/>
              </w:rPr>
              <w:t xml:space="preserve">                           </w:t>
            </w:r>
          </w:p>
        </w:tc>
        <w:tc>
          <w:tcPr>
            <w:tcW w:w="6237" w:type="dxa"/>
            <w:hideMark/>
          </w:tcPr>
          <w:p w:rsidRPr="00DB5357" w:rsidR="00840651" w:rsidP="00840651" w:rsidRDefault="00840651" w14:paraId="28999231" w14:textId="794F3CAE">
            <w:pPr>
              <w:jc w:val="both"/>
              <w:rPr>
                <w:rFonts w:ascii="Arial" w:hAnsi="Arial" w:eastAsia="Calibri" w:cs="Arial"/>
                <w:color w:val="000000" w:themeColor="text1"/>
                <w:sz w:val="22"/>
              </w:rPr>
            </w:pPr>
            <w:r w:rsidRPr="00DB5357">
              <w:rPr>
                <w:rFonts w:ascii="Arial" w:hAnsi="Arial" w:eastAsia="Calibri" w:cs="Arial"/>
                <w:color w:val="000000" w:themeColor="text1"/>
                <w:sz w:val="22"/>
              </w:rPr>
              <w:t>CAPACIDAD RESIDUAL — Definición / CAPACIDAD RESIDUAL — Cálculo — Factores CAPACIDAD RESIDUAL — Cálculo — Factores en contratos de obra CAPACIDAD RESIDUAL — Carga de las entidades públicas CAPACIDAD RESIDUAL — Carga de los proponentes / CAPACIDAD RESIDUAL DEL PROCESO DE CONTRATACIÓN — Cálculo /</w:t>
            </w:r>
          </w:p>
          <w:p w:rsidRPr="00DB5357" w:rsidR="00BE1E33" w:rsidP="003D3D64" w:rsidRDefault="00840651" w14:paraId="0F35FDBD" w14:textId="1B77AD21">
            <w:pPr>
              <w:jc w:val="both"/>
              <w:rPr>
                <w:rFonts w:ascii="Arial" w:hAnsi="Arial" w:eastAsia="Calibri" w:cs="Arial"/>
                <w:color w:val="000000" w:themeColor="text1"/>
                <w:sz w:val="22"/>
              </w:rPr>
            </w:pPr>
            <w:r w:rsidRPr="00DB5357">
              <w:rPr>
                <w:rFonts w:ascii="Arial" w:hAnsi="Arial" w:eastAsia="Calibri" w:cs="Arial"/>
                <w:color w:val="000000" w:themeColor="text1"/>
                <w:sz w:val="22"/>
              </w:rPr>
              <w:t>CAPACIDAD RESIDUAL DEL PROPONENTE — Cálculo / CAPACIDAD RESIDUAL DEL PROPONENTE — Experiencia</w:t>
            </w:r>
            <w:r w:rsidRPr="00DB5357" w:rsidR="005E76CC">
              <w:rPr>
                <w:rFonts w:ascii="Arial" w:hAnsi="Arial" w:eastAsia="Calibri" w:cs="Arial"/>
                <w:color w:val="000000" w:themeColor="text1"/>
                <w:sz w:val="22"/>
              </w:rPr>
              <w:t xml:space="preserve"> / </w:t>
            </w:r>
            <w:r w:rsidRPr="003D3D64" w:rsidR="003D3D64">
              <w:rPr>
                <w:rFonts w:ascii="Arial" w:hAnsi="Arial" w:eastAsia="Calibri" w:cs="Arial"/>
                <w:color w:val="000000" w:themeColor="text1"/>
                <w:sz w:val="22"/>
              </w:rPr>
              <w:t>ANEXO 1 – Diligenciamiento – Guía para determinar y verificar la capacidad residual del proponente en los procesos de contratación de obra pública</w:t>
            </w:r>
            <w:r w:rsidR="003D3D64">
              <w:rPr>
                <w:rFonts w:ascii="Arial" w:hAnsi="Arial" w:eastAsia="Calibri" w:cs="Arial"/>
                <w:color w:val="000000" w:themeColor="text1"/>
                <w:sz w:val="22"/>
              </w:rPr>
              <w:t xml:space="preserve"> </w:t>
            </w:r>
            <w:r w:rsidRPr="00DB5357" w:rsidR="00FD7B36">
              <w:rPr>
                <w:rFonts w:ascii="Arial" w:hAnsi="Arial" w:eastAsia="Calibri" w:cs="Arial"/>
                <w:color w:val="000000" w:themeColor="text1"/>
                <w:sz w:val="22"/>
              </w:rPr>
              <w:t>- EXPERIENCIA − Requisito habilitante − Concepto − Acreditación – RUP / EXPERIENCIA − Requisito habilitante − Factor de la fórmula de la capacidad residual – Similitud / EXPERIENCIA − Características − Compartir − Transferir</w:t>
            </w:r>
          </w:p>
        </w:tc>
      </w:tr>
      <w:tr w:rsidRPr="00BC1A07" w:rsidR="008C27FB" w:rsidTr="004101BC" w14:paraId="20F2A3B6" w14:textId="77777777">
        <w:tc>
          <w:tcPr>
            <w:tcW w:w="2689" w:type="dxa"/>
          </w:tcPr>
          <w:p w:rsidRPr="00DB5357" w:rsidR="00BE1E33" w:rsidP="004101BC" w:rsidRDefault="00BE1E33" w14:paraId="1E82F4FA" w14:textId="77777777">
            <w:pPr>
              <w:spacing w:before="120"/>
              <w:rPr>
                <w:rFonts w:ascii="Arial" w:hAnsi="Arial" w:eastAsia="Calibri" w:cs="Arial"/>
                <w:b/>
                <w:color w:val="000000" w:themeColor="text1"/>
                <w:sz w:val="22"/>
              </w:rPr>
            </w:pPr>
            <w:r w:rsidRPr="00DB5357">
              <w:rPr>
                <w:rFonts w:ascii="Arial" w:hAnsi="Arial" w:eastAsia="Calibri" w:cs="Arial"/>
                <w:b/>
                <w:color w:val="000000" w:themeColor="text1"/>
                <w:sz w:val="22"/>
              </w:rPr>
              <w:t>Radicación:</w:t>
            </w:r>
            <w:r w:rsidRPr="00DB5357">
              <w:rPr>
                <w:rFonts w:ascii="Arial" w:hAnsi="Arial" w:eastAsia="Calibri" w:cs="Arial"/>
                <w:color w:val="000000" w:themeColor="text1"/>
                <w:sz w:val="22"/>
              </w:rPr>
              <w:t xml:space="preserve">                              </w:t>
            </w:r>
          </w:p>
        </w:tc>
        <w:tc>
          <w:tcPr>
            <w:tcW w:w="6237" w:type="dxa"/>
          </w:tcPr>
          <w:p w:rsidRPr="00DB5357" w:rsidR="00BE1E33" w:rsidP="004101BC" w:rsidRDefault="00BE1E33" w14:paraId="20FCE53A" w14:textId="617DD130">
            <w:pPr>
              <w:spacing w:before="120"/>
              <w:jc w:val="both"/>
              <w:rPr>
                <w:rFonts w:ascii="Arial" w:hAnsi="Arial" w:eastAsia="Calibri" w:cs="Arial"/>
                <w:color w:val="000000" w:themeColor="text1"/>
                <w:sz w:val="22"/>
              </w:rPr>
            </w:pPr>
            <w:r w:rsidRPr="00DB5357">
              <w:rPr>
                <w:rFonts w:ascii="Arial" w:hAnsi="Arial" w:eastAsia="Calibri" w:cs="Arial"/>
                <w:color w:val="000000" w:themeColor="text1"/>
                <w:sz w:val="22"/>
              </w:rPr>
              <w:t>Respuesta a consulta 420201300000</w:t>
            </w:r>
            <w:r w:rsidRPr="00DB5357" w:rsidR="00FB5052">
              <w:rPr>
                <w:rFonts w:ascii="Arial" w:hAnsi="Arial" w:eastAsia="Calibri" w:cs="Arial"/>
                <w:color w:val="000000" w:themeColor="text1"/>
                <w:sz w:val="22"/>
              </w:rPr>
              <w:t>3270</w:t>
            </w:r>
            <w:r w:rsidRPr="00DB5357">
              <w:rPr>
                <w:rFonts w:ascii="Arial" w:hAnsi="Arial" w:eastAsia="Calibri" w:cs="Arial"/>
                <w:color w:val="000000" w:themeColor="text1"/>
                <w:sz w:val="22"/>
              </w:rPr>
              <w:t xml:space="preserve"> </w:t>
            </w:r>
          </w:p>
        </w:tc>
      </w:tr>
    </w:tbl>
    <w:p w:rsidRPr="00DB5357" w:rsidR="00BE1E33" w:rsidP="00BE1E33" w:rsidRDefault="00BE1E33" w14:paraId="177F3517" w14:textId="77777777">
      <w:pPr>
        <w:spacing w:before="120"/>
        <w:jc w:val="both"/>
        <w:rPr>
          <w:rFonts w:ascii="Arial" w:hAnsi="Arial" w:eastAsia="Calibri" w:cs="Arial"/>
          <w:color w:val="000000" w:themeColor="text1"/>
          <w:sz w:val="22"/>
        </w:rPr>
      </w:pPr>
    </w:p>
    <w:p w:rsidRPr="00DB5357" w:rsidR="00BE1E33" w:rsidP="00BE1E33" w:rsidRDefault="00BE1E33" w14:paraId="06248123" w14:textId="77777777">
      <w:pPr>
        <w:jc w:val="both"/>
        <w:rPr>
          <w:rFonts w:ascii="Arial" w:hAnsi="Arial" w:eastAsia="Calibri" w:cs="Arial"/>
          <w:color w:val="000000" w:themeColor="text1"/>
          <w:sz w:val="22"/>
        </w:rPr>
      </w:pPr>
    </w:p>
    <w:p w:rsidRPr="00DB5357" w:rsidR="00BE1E33" w:rsidP="00BE1E33" w:rsidRDefault="00BE1E33" w14:paraId="417ABDA8" w14:textId="5CDBFCB7">
      <w:pPr>
        <w:rPr>
          <w:rFonts w:ascii="Arial" w:hAnsi="Arial" w:eastAsia="Calibri" w:cs="Arial"/>
          <w:color w:val="000000" w:themeColor="text1"/>
          <w:sz w:val="22"/>
        </w:rPr>
      </w:pPr>
      <w:r w:rsidRPr="00DB5357">
        <w:rPr>
          <w:rFonts w:ascii="Arial" w:hAnsi="Arial" w:eastAsia="Calibri" w:cs="Arial"/>
          <w:color w:val="000000" w:themeColor="text1"/>
          <w:sz w:val="22"/>
        </w:rPr>
        <w:t>Estimad</w:t>
      </w:r>
      <w:r w:rsidRPr="00DB5357" w:rsidR="00FB5052">
        <w:rPr>
          <w:rFonts w:ascii="Arial" w:hAnsi="Arial" w:eastAsia="Calibri" w:cs="Arial"/>
          <w:color w:val="000000" w:themeColor="text1"/>
          <w:sz w:val="22"/>
        </w:rPr>
        <w:t>o</w:t>
      </w:r>
      <w:r w:rsidRPr="00DB5357">
        <w:rPr>
          <w:rFonts w:ascii="Arial" w:hAnsi="Arial" w:eastAsia="Calibri" w:cs="Arial"/>
          <w:color w:val="000000" w:themeColor="text1"/>
          <w:sz w:val="22"/>
        </w:rPr>
        <w:t xml:space="preserve"> señor </w:t>
      </w:r>
      <w:r w:rsidRPr="00DB5357" w:rsidR="00FB5052">
        <w:rPr>
          <w:rFonts w:ascii="Arial" w:hAnsi="Arial" w:eastAsia="Calibri" w:cs="Arial"/>
          <w:color w:val="000000" w:themeColor="text1"/>
          <w:sz w:val="22"/>
        </w:rPr>
        <w:t>Ortiz Mena</w:t>
      </w:r>
      <w:r w:rsidRPr="00DB5357">
        <w:rPr>
          <w:rFonts w:ascii="Arial" w:hAnsi="Arial" w:eastAsia="Calibri" w:cs="Arial"/>
          <w:color w:val="000000" w:themeColor="text1"/>
          <w:sz w:val="22"/>
        </w:rPr>
        <w:t>:</w:t>
      </w:r>
    </w:p>
    <w:p w:rsidRPr="00DB5357" w:rsidR="00BE1E33" w:rsidP="00BE1E33" w:rsidRDefault="00BE1E33" w14:paraId="1CCABABD" w14:textId="77777777">
      <w:pPr>
        <w:rPr>
          <w:rFonts w:ascii="Arial" w:hAnsi="Arial" w:eastAsia="Calibri" w:cs="Arial"/>
          <w:color w:val="000000" w:themeColor="text1"/>
          <w:sz w:val="22"/>
        </w:rPr>
      </w:pPr>
    </w:p>
    <w:p w:rsidRPr="00DB5357" w:rsidR="00BE1E33" w:rsidP="00BE1E33" w:rsidRDefault="00BE1E33" w14:paraId="286A9CEF" w14:textId="2CD9DF18">
      <w:pPr>
        <w:spacing w:line="276" w:lineRule="auto"/>
        <w:jc w:val="both"/>
        <w:rPr>
          <w:rFonts w:ascii="Arial" w:hAnsi="Arial" w:eastAsia="Calibri" w:cs="Arial"/>
          <w:color w:val="000000" w:themeColor="text1"/>
          <w:sz w:val="22"/>
        </w:rPr>
      </w:pPr>
      <w:r w:rsidRPr="00DB5357">
        <w:rPr>
          <w:rFonts w:ascii="Arial" w:hAnsi="Arial" w:eastAsia="Calibri"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Pr="00DB5357" w:rsidR="00FB5052">
        <w:rPr>
          <w:rFonts w:ascii="Arial" w:hAnsi="Arial" w:eastAsia="Calibri" w:cs="Arial"/>
          <w:color w:val="000000" w:themeColor="text1"/>
          <w:sz w:val="22"/>
        </w:rPr>
        <w:t>30 de abril</w:t>
      </w:r>
      <w:r w:rsidRPr="00DB5357">
        <w:rPr>
          <w:rFonts w:ascii="Arial" w:hAnsi="Arial" w:eastAsia="Calibri" w:cs="Arial"/>
          <w:color w:val="000000" w:themeColor="text1"/>
          <w:sz w:val="22"/>
        </w:rPr>
        <w:t xml:space="preserve"> de 2020. </w:t>
      </w:r>
    </w:p>
    <w:p w:rsidRPr="00DB5357" w:rsidR="00BE1E33" w:rsidP="00BE1E33" w:rsidRDefault="00BE1E33" w14:paraId="1D13401D" w14:textId="77777777">
      <w:pPr>
        <w:spacing w:line="276" w:lineRule="auto"/>
        <w:jc w:val="both"/>
        <w:rPr>
          <w:rFonts w:ascii="Arial" w:hAnsi="Arial" w:eastAsia="Calibri" w:cs="Arial"/>
          <w:color w:val="000000" w:themeColor="text1"/>
          <w:sz w:val="22"/>
        </w:rPr>
      </w:pPr>
    </w:p>
    <w:p w:rsidRPr="00DB5357" w:rsidR="00BE1E33" w:rsidP="00BE1E33" w:rsidRDefault="00BE1E33" w14:paraId="068F505C"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rPr>
      </w:pPr>
      <w:r w:rsidRPr="00DB5357">
        <w:rPr>
          <w:rFonts w:ascii="Arial" w:hAnsi="Arial" w:eastAsia="Calibri" w:cs="Arial"/>
          <w:b/>
          <w:color w:val="000000" w:themeColor="text1"/>
          <w:sz w:val="22"/>
        </w:rPr>
        <w:t xml:space="preserve">Problemas planteados </w:t>
      </w:r>
    </w:p>
    <w:p w:rsidRPr="00DB5357" w:rsidR="00BE1E33" w:rsidP="00BE1E33" w:rsidRDefault="00BE1E33" w14:paraId="430A9943" w14:textId="77777777">
      <w:pPr>
        <w:tabs>
          <w:tab w:val="left" w:pos="426"/>
        </w:tabs>
        <w:spacing w:line="276" w:lineRule="auto"/>
        <w:jc w:val="both"/>
        <w:rPr>
          <w:rFonts w:ascii="Arial" w:hAnsi="Arial" w:eastAsia="Calibri" w:cs="Arial"/>
          <w:b/>
          <w:color w:val="000000" w:themeColor="text1"/>
          <w:sz w:val="22"/>
        </w:rPr>
      </w:pPr>
    </w:p>
    <w:p w:rsidRPr="00DB5357" w:rsidR="00BE1E33" w:rsidP="009E4A43" w:rsidRDefault="006440BC" w14:paraId="741F3B6B" w14:textId="6EA1D631">
      <w:pPr>
        <w:tabs>
          <w:tab w:val="left" w:pos="426"/>
        </w:tabs>
        <w:spacing w:line="276" w:lineRule="auto"/>
        <w:jc w:val="both"/>
        <w:rPr>
          <w:rFonts w:ascii="Arial" w:hAnsi="Arial" w:eastAsia="Calibri" w:cs="Arial"/>
          <w:color w:val="000000" w:themeColor="text1"/>
          <w:sz w:val="22"/>
        </w:rPr>
      </w:pPr>
      <w:r w:rsidRPr="00DB5357">
        <w:rPr>
          <w:rFonts w:ascii="Arial" w:hAnsi="Arial" w:eastAsia="Calibri" w:cs="Arial"/>
          <w:color w:val="000000" w:themeColor="text1"/>
          <w:sz w:val="22"/>
        </w:rPr>
        <w:t>En relación con la «capacidad residual», u</w:t>
      </w:r>
      <w:r w:rsidRPr="00DB5357" w:rsidR="00BE1E33">
        <w:rPr>
          <w:rFonts w:ascii="Arial" w:hAnsi="Arial" w:eastAsia="Calibri" w:cs="Arial"/>
          <w:color w:val="000000" w:themeColor="text1"/>
          <w:sz w:val="22"/>
        </w:rPr>
        <w:t>sted realiza la siguiente</w:t>
      </w:r>
      <w:r w:rsidRPr="00DB5357" w:rsidR="009E4A43">
        <w:rPr>
          <w:rFonts w:ascii="Arial" w:hAnsi="Arial" w:eastAsia="Calibri" w:cs="Arial"/>
          <w:color w:val="000000" w:themeColor="text1"/>
          <w:sz w:val="22"/>
        </w:rPr>
        <w:t xml:space="preserve"> </w:t>
      </w:r>
      <w:r w:rsidRPr="00DB5357" w:rsidR="00BE1E33">
        <w:rPr>
          <w:rFonts w:ascii="Arial" w:hAnsi="Arial" w:eastAsia="Calibri" w:cs="Arial"/>
          <w:color w:val="000000" w:themeColor="text1"/>
          <w:sz w:val="22"/>
        </w:rPr>
        <w:t>pregunta: «¿</w:t>
      </w:r>
      <w:r w:rsidRPr="00DB5357">
        <w:rPr>
          <w:rFonts w:ascii="Arial" w:hAnsi="Arial" w:cs="Arial"/>
          <w:color w:val="000000" w:themeColor="text1"/>
          <w:sz w:val="22"/>
        </w:rPr>
        <w:t xml:space="preserve">[…] </w:t>
      </w:r>
      <w:r w:rsidRPr="00DB5357" w:rsidR="00C579BE">
        <w:rPr>
          <w:rFonts w:ascii="Arial" w:hAnsi="Arial" w:eastAsia="Calibri" w:cs="Arial"/>
          <w:color w:val="000000" w:themeColor="text1"/>
          <w:sz w:val="22"/>
        </w:rPr>
        <w:t xml:space="preserve">el k-residual de un consorcio o unión temporal quien lo aportar en una licitación </w:t>
      </w:r>
      <w:proofErr w:type="spellStart"/>
      <w:r w:rsidRPr="00DB5357" w:rsidR="00C579BE">
        <w:rPr>
          <w:rFonts w:ascii="Arial" w:hAnsi="Arial" w:eastAsia="Calibri" w:cs="Arial"/>
          <w:color w:val="000000" w:themeColor="text1"/>
          <w:sz w:val="22"/>
        </w:rPr>
        <w:t>publica</w:t>
      </w:r>
      <w:proofErr w:type="spellEnd"/>
      <w:r w:rsidRPr="00DB5357" w:rsidR="00C579BE">
        <w:rPr>
          <w:rFonts w:ascii="Arial" w:hAnsi="Arial" w:eastAsia="Calibri" w:cs="Arial"/>
          <w:color w:val="000000" w:themeColor="text1"/>
          <w:sz w:val="22"/>
        </w:rPr>
        <w:t xml:space="preserve"> (sic) de pliegos tipo […]?». Usted nos pide tener en cuenta a la hora de responder su inquietud, que: «</w:t>
      </w:r>
      <w:r w:rsidRPr="00DB5357" w:rsidR="0011577F">
        <w:rPr>
          <w:rFonts w:ascii="Arial" w:hAnsi="Arial" w:eastAsia="Calibri" w:cs="Arial"/>
          <w:color w:val="000000" w:themeColor="text1"/>
          <w:sz w:val="22"/>
        </w:rPr>
        <w:t xml:space="preserve">[…] </w:t>
      </w:r>
      <w:r w:rsidRPr="00DB5357" w:rsidR="00C579BE">
        <w:rPr>
          <w:rFonts w:ascii="Arial" w:hAnsi="Arial" w:eastAsia="Calibri" w:cs="Arial"/>
          <w:color w:val="000000" w:themeColor="text1"/>
          <w:sz w:val="22"/>
        </w:rPr>
        <w:t>a (un integrante no tiene k-residual) [y] b: (los demás aportan el k-residual) […]</w:t>
      </w:r>
      <w:r w:rsidRPr="00DB5357" w:rsidR="00BE1E33">
        <w:rPr>
          <w:rFonts w:ascii="Arial" w:hAnsi="Arial" w:eastAsia="Calibri" w:cs="Arial"/>
          <w:color w:val="000000" w:themeColor="text1"/>
          <w:sz w:val="22"/>
        </w:rPr>
        <w:t xml:space="preserve">». </w:t>
      </w:r>
    </w:p>
    <w:p w:rsidRPr="00DB5357" w:rsidR="00BE1E33" w:rsidP="00BE1E33" w:rsidRDefault="00BE1E33" w14:paraId="6D375D8C" w14:textId="77777777">
      <w:pPr>
        <w:tabs>
          <w:tab w:val="left" w:pos="709"/>
        </w:tabs>
        <w:spacing w:before="120" w:line="276" w:lineRule="auto"/>
        <w:jc w:val="both"/>
        <w:rPr>
          <w:rFonts w:ascii="Arial" w:hAnsi="Arial" w:eastAsia="Calibri" w:cs="Arial"/>
          <w:color w:val="000000" w:themeColor="text1"/>
          <w:sz w:val="22"/>
        </w:rPr>
      </w:pPr>
    </w:p>
    <w:p w:rsidRPr="00DB5357" w:rsidR="00BE1E33" w:rsidP="00BE1E33" w:rsidRDefault="00BE1E33" w14:paraId="000CB06F" w14:textId="77777777">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rPr>
      </w:pPr>
      <w:r w:rsidRPr="00DB5357">
        <w:rPr>
          <w:rFonts w:ascii="Arial" w:hAnsi="Arial" w:eastAsia="Calibri" w:cs="Arial"/>
          <w:b/>
          <w:color w:val="000000" w:themeColor="text1"/>
          <w:sz w:val="22"/>
        </w:rPr>
        <w:t>Consideraciones</w:t>
      </w:r>
    </w:p>
    <w:p w:rsidRPr="00DB5357" w:rsidR="00BE1E33" w:rsidP="00BE1E33" w:rsidRDefault="00BE1E33" w14:paraId="01D94D72" w14:textId="77777777">
      <w:pPr>
        <w:spacing w:line="276" w:lineRule="auto"/>
        <w:jc w:val="both"/>
        <w:rPr>
          <w:rFonts w:ascii="Arial" w:hAnsi="Arial" w:eastAsia="Calibri" w:cs="Arial"/>
          <w:color w:val="000000" w:themeColor="text1"/>
          <w:sz w:val="22"/>
        </w:rPr>
      </w:pPr>
    </w:p>
    <w:p w:rsidRPr="00DB5357" w:rsidR="00BE1E33" w:rsidP="00F419B1" w:rsidRDefault="00BE1E33" w14:paraId="087CCDF5" w14:textId="0C724D65">
      <w:pPr>
        <w:spacing w:line="276" w:lineRule="auto"/>
        <w:jc w:val="both"/>
        <w:rPr>
          <w:rFonts w:ascii="Arial" w:hAnsi="Arial" w:eastAsia="Calibri" w:cs="Arial"/>
          <w:color w:val="000000" w:themeColor="text1"/>
          <w:sz w:val="22"/>
        </w:rPr>
      </w:pPr>
      <w:r w:rsidRPr="00DB5357">
        <w:rPr>
          <w:rFonts w:ascii="Arial" w:hAnsi="Arial" w:eastAsia="Calibri" w:cs="Arial"/>
          <w:color w:val="000000" w:themeColor="text1"/>
          <w:sz w:val="22"/>
        </w:rPr>
        <w:t xml:space="preserve">La Agencia Nacional de Contratación Pública − Colombia Compra Eficiente se ha pronunciado sobre la </w:t>
      </w:r>
      <w:r w:rsidRPr="00DB5357" w:rsidR="00721D1D">
        <w:rPr>
          <w:rFonts w:ascii="Arial" w:hAnsi="Arial" w:eastAsia="Calibri" w:cs="Arial"/>
          <w:color w:val="000000" w:themeColor="text1"/>
          <w:sz w:val="22"/>
        </w:rPr>
        <w:t xml:space="preserve">experiencia como requisito habilitante y como factor para determinar la </w:t>
      </w:r>
      <w:r w:rsidRPr="00DB5357" w:rsidR="000D5ABE">
        <w:rPr>
          <w:rFonts w:ascii="Arial" w:hAnsi="Arial" w:eastAsia="Calibri" w:cs="Arial"/>
          <w:color w:val="000000" w:themeColor="text1"/>
          <w:sz w:val="22"/>
        </w:rPr>
        <w:t>capacidad residual</w:t>
      </w:r>
      <w:r w:rsidRPr="00DB5357" w:rsidR="00721D1D">
        <w:rPr>
          <w:rFonts w:ascii="Arial" w:hAnsi="Arial" w:eastAsia="Calibri" w:cs="Arial"/>
          <w:color w:val="000000" w:themeColor="text1"/>
          <w:sz w:val="22"/>
        </w:rPr>
        <w:t xml:space="preserve">, así como también sobre </w:t>
      </w:r>
      <w:r w:rsidRPr="00DB5357" w:rsidR="000D5ABE">
        <w:rPr>
          <w:rFonts w:ascii="Arial" w:hAnsi="Arial" w:eastAsia="Calibri" w:cs="Arial"/>
          <w:color w:val="000000" w:themeColor="text1"/>
          <w:sz w:val="22"/>
        </w:rPr>
        <w:t>la forma en que se debe determinar</w:t>
      </w:r>
      <w:r w:rsidRPr="00DB5357" w:rsidR="00721D1D">
        <w:rPr>
          <w:rFonts w:ascii="Arial" w:hAnsi="Arial" w:eastAsia="Calibri" w:cs="Arial"/>
          <w:color w:val="000000" w:themeColor="text1"/>
          <w:sz w:val="22"/>
        </w:rPr>
        <w:t xml:space="preserve"> esta última</w:t>
      </w:r>
      <w:r w:rsidRPr="00DB5357">
        <w:rPr>
          <w:rFonts w:ascii="Arial" w:hAnsi="Arial" w:eastAsia="Calibri" w:cs="Arial"/>
          <w:color w:val="000000" w:themeColor="text1"/>
          <w:sz w:val="22"/>
        </w:rPr>
        <w:t xml:space="preserve">, en los conceptos del </w:t>
      </w:r>
      <w:r w:rsidRPr="00DB5357" w:rsidR="000D5ABE">
        <w:rPr>
          <w:rFonts w:ascii="Arial" w:hAnsi="Arial" w:eastAsia="Calibri" w:cs="Arial"/>
          <w:color w:val="000000" w:themeColor="text1"/>
          <w:sz w:val="22"/>
        </w:rPr>
        <w:t xml:space="preserve">27 de agosto y el 20 y 26 (2) de diciembre de 2019 </w:t>
      </w:r>
      <w:r w:rsidRPr="00DB5357">
        <w:rPr>
          <w:rFonts w:ascii="Arial" w:hAnsi="Arial" w:eastAsia="Calibri" w:cs="Arial"/>
          <w:color w:val="000000" w:themeColor="text1"/>
          <w:sz w:val="22"/>
        </w:rPr>
        <w:t xml:space="preserve">−radicados Nos. </w:t>
      </w:r>
      <w:r w:rsidRPr="00DB5357" w:rsidR="000D5ABE">
        <w:rPr>
          <w:rFonts w:ascii="Arial" w:hAnsi="Arial" w:eastAsia="Calibri" w:cs="Arial"/>
          <w:color w:val="000000" w:themeColor="text1"/>
          <w:sz w:val="22"/>
        </w:rPr>
        <w:t>2201913000006275, 2201913000009465, 2201913000009642 y 2201913000009640</w:t>
      </w:r>
      <w:r w:rsidRPr="00DB5357">
        <w:rPr>
          <w:rFonts w:ascii="Arial" w:hAnsi="Arial" w:eastAsia="Calibri" w:cs="Arial"/>
          <w:color w:val="000000" w:themeColor="text1"/>
          <w:sz w:val="22"/>
        </w:rPr>
        <w:t>−</w:t>
      </w:r>
      <w:r w:rsidRPr="00DB5357" w:rsidR="00CD1001">
        <w:rPr>
          <w:rFonts w:ascii="Arial" w:hAnsi="Arial" w:eastAsia="Calibri" w:cs="Arial"/>
          <w:color w:val="000000" w:themeColor="text1"/>
          <w:sz w:val="22"/>
        </w:rPr>
        <w:t xml:space="preserve">. </w:t>
      </w:r>
      <w:r w:rsidRPr="00DB5357" w:rsidR="00DB5357">
        <w:rPr>
          <w:rFonts w:ascii="Arial" w:hAnsi="Arial" w:eastAsia="Calibri" w:cs="Arial"/>
          <w:color w:val="000000" w:themeColor="text1"/>
          <w:sz w:val="22"/>
        </w:rPr>
        <w:t>Igualmente,</w:t>
      </w:r>
      <w:r w:rsidRPr="00DB5357" w:rsidR="00CD1001">
        <w:rPr>
          <w:rFonts w:ascii="Arial" w:hAnsi="Arial" w:eastAsia="Calibri" w:cs="Arial"/>
          <w:color w:val="000000" w:themeColor="text1"/>
          <w:sz w:val="22"/>
        </w:rPr>
        <w:t xml:space="preserve"> en los conceptos C-022, C-089, C-112, C-133</w:t>
      </w:r>
      <w:r w:rsidRPr="00DB5357" w:rsidR="0011577F">
        <w:rPr>
          <w:rFonts w:ascii="Arial" w:hAnsi="Arial" w:eastAsia="Calibri" w:cs="Arial"/>
          <w:color w:val="000000" w:themeColor="text1"/>
          <w:sz w:val="22"/>
        </w:rPr>
        <w:t>, C-194</w:t>
      </w:r>
      <w:r w:rsidRPr="00DB5357" w:rsidR="00CD1001">
        <w:rPr>
          <w:rFonts w:ascii="Arial" w:hAnsi="Arial" w:eastAsia="Calibri" w:cs="Arial"/>
          <w:color w:val="000000" w:themeColor="text1"/>
          <w:sz w:val="22"/>
        </w:rPr>
        <w:t xml:space="preserve"> y C-222 de 2020</w:t>
      </w:r>
      <w:r w:rsidRPr="00DB5357" w:rsidR="000D5ABE">
        <w:rPr>
          <w:rFonts w:ascii="Arial" w:hAnsi="Arial" w:eastAsia="Calibri" w:cs="Arial"/>
          <w:color w:val="000000" w:themeColor="text1"/>
          <w:sz w:val="22"/>
        </w:rPr>
        <w:t>.</w:t>
      </w:r>
      <w:r w:rsidRPr="00DB5357">
        <w:rPr>
          <w:rFonts w:ascii="Arial" w:hAnsi="Arial" w:eastAsia="Calibri" w:cs="Arial"/>
          <w:color w:val="000000" w:themeColor="text1"/>
          <w:sz w:val="22"/>
        </w:rPr>
        <w:t xml:space="preserve"> La tesis propuesta se expone</w:t>
      </w:r>
      <w:r w:rsidRPr="00DB5357" w:rsidR="00647DF6">
        <w:rPr>
          <w:rFonts w:ascii="Arial" w:hAnsi="Arial" w:eastAsia="Calibri" w:cs="Arial"/>
          <w:color w:val="000000" w:themeColor="text1"/>
          <w:sz w:val="22"/>
        </w:rPr>
        <w:t xml:space="preserve"> y</w:t>
      </w:r>
      <w:r w:rsidRPr="00DB5357" w:rsidR="00C243AD">
        <w:rPr>
          <w:rFonts w:ascii="Arial" w:hAnsi="Arial" w:eastAsia="Calibri" w:cs="Arial"/>
          <w:color w:val="000000" w:themeColor="text1"/>
          <w:sz w:val="22"/>
        </w:rPr>
        <w:t>, en lo necesario, se</w:t>
      </w:r>
      <w:r w:rsidRPr="00DB5357" w:rsidR="00647DF6">
        <w:rPr>
          <w:rFonts w:ascii="Arial" w:hAnsi="Arial" w:eastAsia="Calibri" w:cs="Arial"/>
          <w:color w:val="000000" w:themeColor="text1"/>
          <w:sz w:val="22"/>
        </w:rPr>
        <w:t xml:space="preserve"> complementa</w:t>
      </w:r>
      <w:r w:rsidRPr="00DB5357" w:rsidR="00057468">
        <w:rPr>
          <w:rFonts w:ascii="Arial" w:hAnsi="Arial" w:eastAsia="Calibri" w:cs="Arial"/>
          <w:color w:val="000000" w:themeColor="text1"/>
          <w:sz w:val="22"/>
        </w:rPr>
        <w:t>n</w:t>
      </w:r>
      <w:r w:rsidRPr="00DB5357" w:rsidR="00647DF6">
        <w:rPr>
          <w:rFonts w:ascii="Arial" w:hAnsi="Arial" w:eastAsia="Calibri" w:cs="Arial"/>
          <w:color w:val="000000" w:themeColor="text1"/>
          <w:sz w:val="22"/>
        </w:rPr>
        <w:t xml:space="preserve"> en las </w:t>
      </w:r>
      <w:r w:rsidRPr="00DB5357" w:rsidR="00410CC6">
        <w:rPr>
          <w:rFonts w:ascii="Arial" w:hAnsi="Arial" w:eastAsia="Calibri" w:cs="Arial"/>
          <w:color w:val="000000" w:themeColor="text1"/>
          <w:sz w:val="22"/>
        </w:rPr>
        <w:t xml:space="preserve">siguientes </w:t>
      </w:r>
      <w:r w:rsidRPr="00DB5357" w:rsidR="00647DF6">
        <w:rPr>
          <w:rFonts w:ascii="Arial" w:hAnsi="Arial" w:eastAsia="Calibri" w:cs="Arial"/>
          <w:color w:val="000000" w:themeColor="text1"/>
          <w:sz w:val="22"/>
        </w:rPr>
        <w:t>consideraciones</w:t>
      </w:r>
      <w:r w:rsidRPr="00DB5357" w:rsidR="00410CC6">
        <w:rPr>
          <w:rFonts w:ascii="Arial" w:hAnsi="Arial" w:eastAsia="Calibri" w:cs="Arial"/>
          <w:color w:val="000000" w:themeColor="text1"/>
          <w:sz w:val="22"/>
        </w:rPr>
        <w:t>:</w:t>
      </w:r>
    </w:p>
    <w:p w:rsidRPr="00DB5357" w:rsidR="00721D1D" w:rsidP="00871562" w:rsidRDefault="00721D1D" w14:paraId="31D3026D" w14:textId="77777777">
      <w:pPr>
        <w:pStyle w:val="Textoindependiente"/>
        <w:ind w:right="51"/>
        <w:jc w:val="both"/>
        <w:rPr>
          <w:color w:val="000000" w:themeColor="text1"/>
        </w:rPr>
      </w:pPr>
    </w:p>
    <w:p w:rsidRPr="00DB5357" w:rsidR="00721D1D" w:rsidP="00721D1D" w:rsidRDefault="00721D1D" w14:paraId="2ECF9FC0" w14:textId="3A30E678">
      <w:pPr>
        <w:pStyle w:val="Textoindependiente"/>
        <w:spacing w:before="120" w:line="276" w:lineRule="auto"/>
        <w:ind w:right="51"/>
        <w:jc w:val="both"/>
        <w:rPr>
          <w:b/>
          <w:bCs/>
          <w:color w:val="000000" w:themeColor="text1"/>
          <w:lang w:val="es-MX"/>
        </w:rPr>
      </w:pPr>
      <w:r w:rsidRPr="00DB5357">
        <w:rPr>
          <w:b/>
          <w:bCs/>
          <w:color w:val="000000" w:themeColor="text1"/>
        </w:rPr>
        <w:t>2.1.</w:t>
      </w:r>
      <w:r w:rsidRPr="00DB5357" w:rsidR="00871562">
        <w:rPr>
          <w:b/>
          <w:bCs/>
          <w:color w:val="000000" w:themeColor="text1"/>
        </w:rPr>
        <w:t xml:space="preserve"> </w:t>
      </w:r>
      <w:r w:rsidRPr="00DB5357">
        <w:rPr>
          <w:b/>
          <w:bCs/>
          <w:color w:val="000000" w:themeColor="text1"/>
        </w:rPr>
        <w:t>Capacidad residual</w:t>
      </w:r>
      <w:r w:rsidRPr="00DB5357" w:rsidR="00871562">
        <w:rPr>
          <w:color w:val="000000" w:themeColor="text1"/>
        </w:rPr>
        <w:t xml:space="preserve">: </w:t>
      </w:r>
      <w:r w:rsidRPr="00DB5357" w:rsidR="00871562">
        <w:rPr>
          <w:b/>
          <w:bCs/>
          <w:color w:val="000000" w:themeColor="text1"/>
        </w:rPr>
        <w:t>fórmula y factores para calcularla.</w:t>
      </w:r>
    </w:p>
    <w:p w:rsidRPr="00DB5357" w:rsidR="00721D1D" w:rsidP="00871562" w:rsidRDefault="00721D1D" w14:paraId="3727A08C" w14:textId="77777777">
      <w:pPr>
        <w:pStyle w:val="Textoindependiente"/>
        <w:ind w:right="51"/>
        <w:jc w:val="both"/>
        <w:rPr>
          <w:color w:val="000000" w:themeColor="text1"/>
        </w:rPr>
      </w:pPr>
    </w:p>
    <w:p w:rsidRPr="00DB5357" w:rsidR="00F419B1" w:rsidP="00721D1D" w:rsidRDefault="00F419B1" w14:paraId="76456D62" w14:textId="49254DD4">
      <w:pPr>
        <w:pStyle w:val="Textoindependiente"/>
        <w:spacing w:before="120" w:line="276" w:lineRule="auto"/>
        <w:ind w:right="51"/>
        <w:jc w:val="both"/>
        <w:rPr>
          <w:color w:val="000000" w:themeColor="text1"/>
        </w:rPr>
      </w:pPr>
      <w:r w:rsidRPr="00DB5357">
        <w:rPr>
          <w:color w:val="000000" w:themeColor="text1"/>
        </w:rPr>
        <w:t xml:space="preserve">La capacidad residual es una aptitud </w:t>
      </w:r>
      <w:r w:rsidRPr="00DB5357" w:rsidR="00137F39">
        <w:rPr>
          <w:color w:val="000000" w:themeColor="text1"/>
        </w:rPr>
        <w:t xml:space="preserve">que se exige a </w:t>
      </w:r>
      <w:r w:rsidRPr="00DB5357">
        <w:rPr>
          <w:color w:val="000000" w:themeColor="text1"/>
        </w:rPr>
        <w:t xml:space="preserve">los oferentes </w:t>
      </w:r>
      <w:r w:rsidRPr="00DB5357" w:rsidR="00137F39">
        <w:rPr>
          <w:color w:val="000000" w:themeColor="text1"/>
        </w:rPr>
        <w:t>con el objetivo de establecer o determinar si estos pueden o no c</w:t>
      </w:r>
      <w:r w:rsidRPr="00DB5357">
        <w:rPr>
          <w:color w:val="000000" w:themeColor="text1"/>
        </w:rPr>
        <w:t xml:space="preserve">umplir de manera oportuna y a cabalidad </w:t>
      </w:r>
      <w:r w:rsidRPr="00DB5357" w:rsidR="00137F39">
        <w:rPr>
          <w:color w:val="000000" w:themeColor="text1"/>
        </w:rPr>
        <w:t xml:space="preserve">con las obligaciones derivadas del contrato de obra pública, </w:t>
      </w:r>
      <w:r w:rsidRPr="00DB5357">
        <w:rPr>
          <w:color w:val="000000" w:themeColor="text1"/>
        </w:rPr>
        <w:t xml:space="preserve">sin que los demás compromisos contractuales que </w:t>
      </w:r>
      <w:r w:rsidRPr="00DB5357" w:rsidR="001A17D9">
        <w:rPr>
          <w:color w:val="000000" w:themeColor="text1"/>
        </w:rPr>
        <w:t>hubieran</w:t>
      </w:r>
      <w:r w:rsidRPr="00DB5357">
        <w:rPr>
          <w:color w:val="000000" w:themeColor="text1"/>
        </w:rPr>
        <w:t xml:space="preserve"> adquirido </w:t>
      </w:r>
      <w:r w:rsidRPr="00DB5357" w:rsidR="00B6482A">
        <w:rPr>
          <w:color w:val="000000" w:themeColor="text1"/>
        </w:rPr>
        <w:t xml:space="preserve">les </w:t>
      </w:r>
      <w:r w:rsidRPr="00DB5357">
        <w:rPr>
          <w:color w:val="000000" w:themeColor="text1"/>
        </w:rPr>
        <w:t xml:space="preserve">afecte la habilidad de cumplir </w:t>
      </w:r>
      <w:r w:rsidRPr="00DB5357" w:rsidR="001A17D9">
        <w:rPr>
          <w:color w:val="000000" w:themeColor="text1"/>
        </w:rPr>
        <w:t xml:space="preserve">con </w:t>
      </w:r>
      <w:r w:rsidRPr="00DB5357">
        <w:rPr>
          <w:color w:val="000000" w:themeColor="text1"/>
        </w:rPr>
        <w:t>el objeto del contrato que está en proceso de selección</w:t>
      </w:r>
      <w:r w:rsidRPr="00DB5357" w:rsidR="00137F39">
        <w:rPr>
          <w:rStyle w:val="Refdenotaalpie"/>
          <w:color w:val="000000" w:themeColor="text1"/>
        </w:rPr>
        <w:footnoteReference w:id="1"/>
      </w:r>
      <w:r w:rsidRPr="00DB5357">
        <w:rPr>
          <w:color w:val="000000" w:themeColor="text1"/>
        </w:rPr>
        <w:t xml:space="preserve">. El Consejo de Estado ha definido </w:t>
      </w:r>
      <w:r w:rsidRPr="00DB5357" w:rsidR="00B00247">
        <w:rPr>
          <w:color w:val="000000" w:themeColor="text1"/>
        </w:rPr>
        <w:lastRenderedPageBreak/>
        <w:t xml:space="preserve">la capacidad residual </w:t>
      </w:r>
      <w:r w:rsidRPr="00DB5357">
        <w:rPr>
          <w:color w:val="000000" w:themeColor="text1"/>
        </w:rPr>
        <w:t xml:space="preserve">como </w:t>
      </w:r>
      <w:r w:rsidRPr="00DB5357" w:rsidR="00B00247">
        <w:rPr>
          <w:color w:val="000000" w:themeColor="text1"/>
        </w:rPr>
        <w:t>«</w:t>
      </w:r>
      <w:r w:rsidRPr="00DB5357">
        <w:rPr>
          <w:color w:val="000000" w:themeColor="text1"/>
        </w:rPr>
        <w:t xml:space="preserve">la diferencia que existe entre el potencial de contratación que se tiene y los compromisos que haya adquirido y que se encuentren en ejecución, para la fecha </w:t>
      </w:r>
      <w:r w:rsidRPr="00DB5357" w:rsidR="009E2185">
        <w:rPr>
          <w:color w:val="000000" w:themeColor="text1"/>
        </w:rPr>
        <w:t>d</w:t>
      </w:r>
      <w:r w:rsidRPr="00DB5357">
        <w:rPr>
          <w:color w:val="000000" w:themeColor="text1"/>
        </w:rPr>
        <w:t>e presentación de la oferta</w:t>
      </w:r>
      <w:r w:rsidRPr="00DB5357" w:rsidR="00B00247">
        <w:rPr>
          <w:color w:val="000000" w:themeColor="text1"/>
        </w:rPr>
        <w:t>»</w:t>
      </w:r>
      <w:r w:rsidRPr="00DB5357">
        <w:rPr>
          <w:rStyle w:val="Refdenotaalpie"/>
          <w:color w:val="000000" w:themeColor="text1"/>
        </w:rPr>
        <w:footnoteReference w:id="2"/>
      </w:r>
      <w:r w:rsidRPr="00DB5357">
        <w:rPr>
          <w:color w:val="000000" w:themeColor="text1"/>
        </w:rPr>
        <w:t>.</w:t>
      </w:r>
    </w:p>
    <w:p w:rsidRPr="00DB5357" w:rsidR="00F419B1" w:rsidP="00F419B1" w:rsidRDefault="00565A9A" w14:paraId="02100E80" w14:textId="27616AE1">
      <w:pPr>
        <w:pStyle w:val="Textoindependiente"/>
        <w:spacing w:before="120" w:line="276" w:lineRule="auto"/>
        <w:ind w:right="51" w:firstLine="709"/>
        <w:jc w:val="both"/>
        <w:rPr>
          <w:color w:val="000000" w:themeColor="text1"/>
        </w:rPr>
      </w:pPr>
      <w:r w:rsidRPr="00DB5357">
        <w:rPr>
          <w:color w:val="000000" w:themeColor="text1"/>
        </w:rPr>
        <w:t>Teniendo en cuenta lo dicho antes</w:t>
      </w:r>
      <w:r w:rsidRPr="00DB5357" w:rsidR="00F419B1">
        <w:rPr>
          <w:color w:val="000000" w:themeColor="text1"/>
        </w:rPr>
        <w:t xml:space="preserve">, </w:t>
      </w:r>
      <w:r w:rsidRPr="00DB5357">
        <w:rPr>
          <w:color w:val="000000" w:themeColor="text1"/>
        </w:rPr>
        <w:t xml:space="preserve">la Agencia Nacional de Contratación Pública considera que </w:t>
      </w:r>
      <w:r w:rsidRPr="00DB5357" w:rsidR="00F419B1">
        <w:rPr>
          <w:color w:val="000000" w:themeColor="text1"/>
        </w:rPr>
        <w:t xml:space="preserve">la capacidad residual hace referencia a la suficiencia que </w:t>
      </w:r>
      <w:r w:rsidRPr="00DB5357">
        <w:rPr>
          <w:color w:val="000000" w:themeColor="text1"/>
        </w:rPr>
        <w:t>se predica d</w:t>
      </w:r>
      <w:r w:rsidRPr="00DB5357" w:rsidR="00F419B1">
        <w:rPr>
          <w:color w:val="000000" w:themeColor="text1"/>
        </w:rPr>
        <w:t>el proponente para asumir nuevas obligaciones que se derivan del contrato objeto del proceso de contratación</w:t>
      </w:r>
      <w:r w:rsidRPr="00DB5357">
        <w:rPr>
          <w:color w:val="000000" w:themeColor="text1"/>
        </w:rPr>
        <w:t>,</w:t>
      </w:r>
      <w:r w:rsidRPr="00DB5357" w:rsidR="00F419B1">
        <w:rPr>
          <w:color w:val="000000" w:themeColor="text1"/>
        </w:rPr>
        <w:t xml:space="preserve"> en relación con las obligaciones que ya ha adquirido simultáneamente.</w:t>
      </w:r>
    </w:p>
    <w:p w:rsidRPr="00DB5357" w:rsidR="00F419B1" w:rsidP="00F419B1" w:rsidRDefault="00F419B1" w14:paraId="1AEA7156" w14:textId="77777777">
      <w:pPr>
        <w:pStyle w:val="Textoindependiente"/>
        <w:spacing w:before="120" w:line="276" w:lineRule="auto"/>
        <w:ind w:right="51" w:firstLine="709"/>
        <w:jc w:val="both"/>
        <w:rPr>
          <w:color w:val="000000" w:themeColor="text1"/>
        </w:rPr>
      </w:pPr>
      <w:r w:rsidRPr="00DB5357">
        <w:rPr>
          <w:color w:val="000000" w:themeColor="text1"/>
        </w:rPr>
        <w:t>La Ley 1150 de 2007 establece que la capacidad residual de los interesados en participar en procesos de selección para contratos de obra deberá ser igual o superior al que la entidad ha establecido en los pliegos de condiciones, en los siguientes términos:</w:t>
      </w:r>
    </w:p>
    <w:p w:rsidRPr="00DB5357" w:rsidR="00F419B1" w:rsidP="00F419B1" w:rsidRDefault="00F419B1" w14:paraId="2F0AA6DE" w14:textId="77777777">
      <w:pPr>
        <w:pStyle w:val="Textoindependiente"/>
        <w:ind w:right="49"/>
        <w:rPr>
          <w:color w:val="000000" w:themeColor="text1"/>
        </w:rPr>
      </w:pPr>
    </w:p>
    <w:p w:rsidRPr="00DB5357" w:rsidR="00F419B1" w:rsidP="00F419B1" w:rsidRDefault="00F419B1" w14:paraId="46B05615" w14:textId="77777777">
      <w:pPr>
        <w:pStyle w:val="Textoindependiente"/>
        <w:ind w:left="709" w:right="758"/>
        <w:jc w:val="both"/>
        <w:rPr>
          <w:color w:val="000000" w:themeColor="text1"/>
          <w:sz w:val="21"/>
          <w:szCs w:val="21"/>
        </w:rPr>
      </w:pPr>
      <w:r w:rsidRPr="00DB5357">
        <w:rPr>
          <w:color w:val="000000" w:themeColor="text1"/>
          <w:sz w:val="21"/>
          <w:szCs w:val="21"/>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DB5357">
        <w:rPr>
          <w:color w:val="000000" w:themeColor="text1"/>
          <w:spacing w:val="-3"/>
          <w:sz w:val="21"/>
          <w:szCs w:val="21"/>
        </w:rPr>
        <w:t xml:space="preserve"> </w:t>
      </w:r>
      <w:r w:rsidRPr="00DB5357">
        <w:rPr>
          <w:color w:val="000000" w:themeColor="text1"/>
          <w:sz w:val="21"/>
          <w:szCs w:val="21"/>
        </w:rPr>
        <w:t>principal.</w:t>
      </w:r>
    </w:p>
    <w:p w:rsidRPr="00DB5357" w:rsidR="00F419B1" w:rsidP="00F419B1" w:rsidRDefault="00F419B1" w14:paraId="75E34FBF" w14:textId="77777777">
      <w:pPr>
        <w:pStyle w:val="Textoindependiente"/>
        <w:ind w:left="709" w:right="758"/>
        <w:rPr>
          <w:color w:val="000000" w:themeColor="text1"/>
          <w:sz w:val="21"/>
          <w:szCs w:val="21"/>
        </w:rPr>
      </w:pPr>
      <w:r w:rsidRPr="00DB5357">
        <w:rPr>
          <w:color w:val="000000" w:themeColor="text1"/>
          <w:sz w:val="21"/>
          <w:szCs w:val="21"/>
        </w:rPr>
        <w:t>(…)</w:t>
      </w:r>
    </w:p>
    <w:p w:rsidRPr="00DB5357" w:rsidR="00F419B1" w:rsidP="00F419B1" w:rsidRDefault="00F419B1" w14:paraId="2C7756B6" w14:textId="77777777">
      <w:pPr>
        <w:pStyle w:val="Textoindependiente"/>
        <w:spacing w:before="2"/>
        <w:ind w:left="709" w:right="758"/>
        <w:rPr>
          <w:color w:val="000000" w:themeColor="text1"/>
          <w:sz w:val="21"/>
          <w:szCs w:val="21"/>
        </w:rPr>
      </w:pPr>
    </w:p>
    <w:p w:rsidRPr="00DB5357" w:rsidR="00F419B1" w:rsidP="00F419B1" w:rsidRDefault="00F419B1" w14:paraId="79465590" w14:textId="77777777">
      <w:pPr>
        <w:pStyle w:val="Textoindependiente"/>
        <w:ind w:left="709" w:right="758"/>
        <w:jc w:val="both"/>
        <w:rPr>
          <w:color w:val="000000" w:themeColor="text1"/>
          <w:sz w:val="21"/>
          <w:szCs w:val="21"/>
        </w:rPr>
      </w:pPr>
      <w:r w:rsidRPr="00DB5357">
        <w:rPr>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rsidRPr="00DB5357" w:rsidR="00F419B1" w:rsidP="00F419B1" w:rsidRDefault="00F419B1" w14:paraId="1A4D602A" w14:textId="77777777">
      <w:pPr>
        <w:pStyle w:val="Textoindependiente"/>
        <w:ind w:right="49"/>
        <w:rPr>
          <w:color w:val="000000" w:themeColor="text1"/>
        </w:rPr>
      </w:pPr>
    </w:p>
    <w:p w:rsidRPr="00DB5357" w:rsidR="00F91408" w:rsidP="00F91408" w:rsidRDefault="00F91408" w14:paraId="53D19E70" w14:textId="12411F39">
      <w:pPr>
        <w:pStyle w:val="Textoindependiente"/>
        <w:spacing w:before="1" w:line="276" w:lineRule="auto"/>
        <w:ind w:right="49" w:firstLine="708"/>
        <w:jc w:val="both"/>
        <w:rPr>
          <w:color w:val="000000" w:themeColor="text1"/>
        </w:rPr>
      </w:pPr>
      <w:r w:rsidRPr="00DB5357">
        <w:rPr>
          <w:color w:val="000000" w:themeColor="text1"/>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rsidRPr="00DB5357" w:rsidR="00F419B1" w:rsidP="00F91408" w:rsidRDefault="00F419B1" w14:paraId="256EDFA2" w14:textId="0E2D7E0B">
      <w:pPr>
        <w:pStyle w:val="Textoindependiente"/>
        <w:spacing w:before="120" w:line="276" w:lineRule="auto"/>
        <w:ind w:right="51" w:firstLine="709"/>
        <w:jc w:val="both"/>
        <w:rPr>
          <w:color w:val="000000" w:themeColor="text1"/>
        </w:rPr>
      </w:pPr>
      <w:r w:rsidRPr="00DB5357">
        <w:rPr>
          <w:color w:val="000000" w:themeColor="text1"/>
        </w:rPr>
        <w:t>El artículo 2.2.1.1.1.6.</w:t>
      </w:r>
      <w:r w:rsidRPr="00DB5357" w:rsidR="006577C3">
        <w:rPr>
          <w:color w:val="000000" w:themeColor="text1"/>
        </w:rPr>
        <w:t>4</w:t>
      </w:r>
      <w:r w:rsidRPr="00DB5357">
        <w:rPr>
          <w:color w:val="000000" w:themeColor="text1"/>
        </w:rPr>
        <w:t xml:space="preserve"> del Decreto 1082 de 2015</w:t>
      </w:r>
      <w:r w:rsidRPr="00DB5357" w:rsidR="00565A9A">
        <w:rPr>
          <w:color w:val="000000" w:themeColor="text1"/>
        </w:rPr>
        <w:t>, por su parte,</w:t>
      </w:r>
      <w:r w:rsidRPr="00DB5357">
        <w:rPr>
          <w:color w:val="000000" w:themeColor="text1"/>
        </w:rPr>
        <w:t xml:space="preserve"> estable</w:t>
      </w:r>
      <w:r w:rsidRPr="00DB5357" w:rsidR="00E57EAF">
        <w:rPr>
          <w:color w:val="000000" w:themeColor="text1"/>
        </w:rPr>
        <w:t>ce</w:t>
      </w:r>
      <w:r w:rsidRPr="00DB5357">
        <w:rPr>
          <w:color w:val="000000" w:themeColor="text1"/>
        </w:rPr>
        <w:t xml:space="preserve"> que las entidades estatales deberán calcular la capacidad residual conforme a la metodología definida por Colombia Compre Eficiente y precisó que</w:t>
      </w:r>
      <w:r w:rsidRPr="00DB5357" w:rsidR="00114BD6">
        <w:rPr>
          <w:color w:val="000000" w:themeColor="text1"/>
        </w:rPr>
        <w:t>, para tale fines, resulta necesario</w:t>
      </w:r>
      <w:r w:rsidRPr="00DB5357">
        <w:rPr>
          <w:color w:val="000000" w:themeColor="text1"/>
        </w:rPr>
        <w:t xml:space="preserve"> tener en cuenta los factores de</w:t>
      </w:r>
      <w:r w:rsidRPr="00DB5357" w:rsidR="00114BD6">
        <w:rPr>
          <w:color w:val="000000" w:themeColor="text1"/>
        </w:rPr>
        <w:t>: i)</w:t>
      </w:r>
      <w:r w:rsidRPr="00DB5357">
        <w:rPr>
          <w:color w:val="000000" w:themeColor="text1"/>
        </w:rPr>
        <w:t xml:space="preserve"> experiencia</w:t>
      </w:r>
      <w:r w:rsidRPr="00DB5357" w:rsidR="00114BD6">
        <w:rPr>
          <w:color w:val="000000" w:themeColor="text1"/>
        </w:rPr>
        <w:t xml:space="preserve">; </w:t>
      </w:r>
      <w:proofErr w:type="spellStart"/>
      <w:r w:rsidRPr="00DB5357" w:rsidR="00114BD6">
        <w:rPr>
          <w:color w:val="000000" w:themeColor="text1"/>
        </w:rPr>
        <w:t>ii</w:t>
      </w:r>
      <w:proofErr w:type="spellEnd"/>
      <w:r w:rsidRPr="00DB5357" w:rsidR="00114BD6">
        <w:rPr>
          <w:color w:val="000000" w:themeColor="text1"/>
        </w:rPr>
        <w:t xml:space="preserve">) </w:t>
      </w:r>
      <w:r w:rsidRPr="00DB5357">
        <w:rPr>
          <w:color w:val="000000" w:themeColor="text1"/>
        </w:rPr>
        <w:t>capacidad financiera</w:t>
      </w:r>
      <w:r w:rsidRPr="00DB5357" w:rsidR="00114BD6">
        <w:rPr>
          <w:color w:val="000000" w:themeColor="text1"/>
        </w:rPr>
        <w:t xml:space="preserve">; </w:t>
      </w:r>
      <w:proofErr w:type="spellStart"/>
      <w:r w:rsidRPr="00DB5357" w:rsidR="00114BD6">
        <w:rPr>
          <w:color w:val="000000" w:themeColor="text1"/>
        </w:rPr>
        <w:t>iii</w:t>
      </w:r>
      <w:proofErr w:type="spellEnd"/>
      <w:r w:rsidRPr="00DB5357" w:rsidR="00114BD6">
        <w:rPr>
          <w:color w:val="000000" w:themeColor="text1"/>
        </w:rPr>
        <w:t>)</w:t>
      </w:r>
      <w:r w:rsidRPr="00DB5357">
        <w:rPr>
          <w:color w:val="000000" w:themeColor="text1"/>
        </w:rPr>
        <w:t xml:space="preserve"> capacidad </w:t>
      </w:r>
      <w:r w:rsidRPr="00DB5357">
        <w:rPr>
          <w:color w:val="000000" w:themeColor="text1"/>
        </w:rPr>
        <w:lastRenderedPageBreak/>
        <w:t>técnica</w:t>
      </w:r>
      <w:r w:rsidRPr="00DB5357" w:rsidR="00114BD6">
        <w:rPr>
          <w:color w:val="000000" w:themeColor="text1"/>
        </w:rPr>
        <w:t xml:space="preserve">; </w:t>
      </w:r>
      <w:proofErr w:type="spellStart"/>
      <w:r w:rsidRPr="00DB5357" w:rsidR="00114BD6">
        <w:rPr>
          <w:color w:val="000000" w:themeColor="text1"/>
        </w:rPr>
        <w:t>iv</w:t>
      </w:r>
      <w:proofErr w:type="spellEnd"/>
      <w:r w:rsidRPr="00DB5357" w:rsidR="00114BD6">
        <w:rPr>
          <w:color w:val="000000" w:themeColor="text1"/>
        </w:rPr>
        <w:t>)</w:t>
      </w:r>
      <w:r w:rsidRPr="00DB5357">
        <w:rPr>
          <w:color w:val="000000" w:themeColor="text1"/>
        </w:rPr>
        <w:t xml:space="preserve"> capacidad de organización</w:t>
      </w:r>
      <w:r w:rsidRPr="00DB5357" w:rsidR="00114BD6">
        <w:rPr>
          <w:color w:val="000000" w:themeColor="text1"/>
        </w:rPr>
        <w:t>;</w:t>
      </w:r>
      <w:r w:rsidRPr="00DB5357">
        <w:rPr>
          <w:color w:val="000000" w:themeColor="text1"/>
        </w:rPr>
        <w:t xml:space="preserve"> y</w:t>
      </w:r>
      <w:r w:rsidRPr="00DB5357" w:rsidR="00114BD6">
        <w:rPr>
          <w:color w:val="000000" w:themeColor="text1"/>
        </w:rPr>
        <w:t xml:space="preserve"> v)</w:t>
      </w:r>
      <w:r w:rsidRPr="00DB5357">
        <w:rPr>
          <w:color w:val="000000" w:themeColor="text1"/>
        </w:rPr>
        <w:t xml:space="preserve"> los saldos de los contratos en ejecución, así:</w:t>
      </w:r>
    </w:p>
    <w:p w:rsidRPr="00DB5357" w:rsidR="00F419B1" w:rsidP="00F419B1" w:rsidRDefault="00F419B1" w14:paraId="2986226B" w14:textId="77777777">
      <w:pPr>
        <w:pStyle w:val="Textoindependiente"/>
        <w:spacing w:before="8"/>
        <w:ind w:right="49"/>
        <w:rPr>
          <w:color w:val="000000" w:themeColor="text1"/>
          <w:sz w:val="21"/>
        </w:rPr>
      </w:pPr>
    </w:p>
    <w:p w:rsidRPr="00DB5357" w:rsidR="00F419B1" w:rsidP="00F419B1" w:rsidRDefault="00F419B1" w14:paraId="19E3312C" w14:textId="77777777">
      <w:pPr>
        <w:pStyle w:val="Textoindependiente"/>
        <w:ind w:left="709" w:right="760" w:firstLine="2"/>
        <w:rPr>
          <w:color w:val="000000" w:themeColor="text1"/>
          <w:sz w:val="21"/>
          <w:szCs w:val="21"/>
        </w:rPr>
      </w:pPr>
      <w:r w:rsidRPr="00DB5357">
        <w:rPr>
          <w:color w:val="000000" w:themeColor="text1"/>
          <w:sz w:val="21"/>
          <w:szCs w:val="21"/>
        </w:rPr>
        <w:t>Artículo 2.2.1.1.1.6.4. Capacidad Residual. El interesado en celebrar contratos de obra pública con Entidades Estatales debe acreditar su Capacidad Residual o K de Contratación con los siguientes documentos: (…)</w:t>
      </w:r>
    </w:p>
    <w:p w:rsidRPr="00DB5357" w:rsidR="00F419B1" w:rsidP="00F419B1" w:rsidRDefault="00F419B1" w14:paraId="3BE237B5" w14:textId="77777777">
      <w:pPr>
        <w:pStyle w:val="Textoindependiente"/>
        <w:ind w:left="709" w:right="760"/>
        <w:rPr>
          <w:color w:val="000000" w:themeColor="text1"/>
          <w:sz w:val="21"/>
          <w:szCs w:val="21"/>
        </w:rPr>
      </w:pPr>
    </w:p>
    <w:p w:rsidRPr="00DB5357" w:rsidR="00F419B1" w:rsidP="00F419B1" w:rsidRDefault="00F419B1" w14:paraId="707FE29C" w14:textId="77777777">
      <w:pPr>
        <w:pStyle w:val="Textoindependiente"/>
        <w:ind w:left="709" w:right="760" w:firstLine="2"/>
        <w:jc w:val="both"/>
        <w:rPr>
          <w:color w:val="000000" w:themeColor="text1"/>
          <w:sz w:val="21"/>
          <w:szCs w:val="21"/>
        </w:rPr>
      </w:pPr>
      <w:r w:rsidRPr="00DB5357">
        <w:rPr>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rsidRPr="00DB5357" w:rsidR="00F419B1" w:rsidP="00F419B1" w:rsidRDefault="00F419B1" w14:paraId="75255BED" w14:textId="77777777">
      <w:pPr>
        <w:pStyle w:val="Textoindependiente"/>
        <w:ind w:right="49"/>
        <w:rPr>
          <w:color w:val="000000" w:themeColor="text1"/>
        </w:rPr>
      </w:pPr>
    </w:p>
    <w:p w:rsidRPr="00DB5357" w:rsidR="00F419B1" w:rsidP="00F419B1" w:rsidRDefault="00F419B1" w14:paraId="35448A9C" w14:textId="607C74AF">
      <w:pPr>
        <w:pStyle w:val="Textoindependiente"/>
        <w:spacing w:line="276" w:lineRule="auto"/>
        <w:ind w:right="49" w:firstLine="709"/>
        <w:jc w:val="both"/>
        <w:rPr>
          <w:color w:val="000000" w:themeColor="text1"/>
        </w:rPr>
      </w:pPr>
      <w:r w:rsidRPr="00DB5357">
        <w:rPr>
          <w:color w:val="000000" w:themeColor="text1"/>
        </w:rPr>
        <w:t xml:space="preserve">De conformidad con lo anterior, la Agencia Nacional de Contratación Pública – Colombia Compra Eficiente expidió la </w:t>
      </w:r>
      <w:r w:rsidRPr="00DB5357" w:rsidR="00A81BA0">
        <w:rPr>
          <w:color w:val="000000" w:themeColor="text1"/>
        </w:rPr>
        <w:t>«</w:t>
      </w:r>
      <w:r w:rsidRPr="00DB5357">
        <w:rPr>
          <w:color w:val="000000" w:themeColor="text1"/>
        </w:rPr>
        <w:t>Guía para Determinar y Verificar la Capacidad Residual del Proponente en los Procesos de Contratación de Obra Pública</w:t>
      </w:r>
      <w:r w:rsidRPr="00DB5357" w:rsidR="00A81BA0">
        <w:rPr>
          <w:color w:val="000000" w:themeColor="text1"/>
        </w:rPr>
        <w:t>»</w:t>
      </w:r>
      <w:r w:rsidRPr="00DB5357">
        <w:rPr>
          <w:color w:val="000000" w:themeColor="text1"/>
        </w:rPr>
        <w:t>.</w:t>
      </w:r>
      <w:r w:rsidRPr="00DB5357" w:rsidR="00F91408">
        <w:rPr>
          <w:color w:val="000000" w:themeColor="text1"/>
        </w:rPr>
        <w:t xml:space="preserve"> Este documento establece, entre otras cuestiones, que a la entidad contratante corresponde, </w:t>
      </w:r>
      <w:r w:rsidRPr="00DB5357" w:rsidR="00F03091">
        <w:rPr>
          <w:color w:val="000000" w:themeColor="text1"/>
        </w:rPr>
        <w:t>primero</w:t>
      </w:r>
      <w:r w:rsidRPr="00DB5357" w:rsidR="00F91408">
        <w:rPr>
          <w:color w:val="000000" w:themeColor="text1"/>
        </w:rPr>
        <w:t>, establecer la capacidad residual del proceso de contratación</w:t>
      </w:r>
      <w:r w:rsidRPr="00DB5357" w:rsidR="00F03091">
        <w:rPr>
          <w:color w:val="000000" w:themeColor="text1"/>
        </w:rPr>
        <w:t xml:space="preserve"> «CRPC»</w:t>
      </w:r>
      <w:r w:rsidRPr="00DB5357" w:rsidR="00F91408">
        <w:rPr>
          <w:color w:val="000000" w:themeColor="text1"/>
        </w:rPr>
        <w:t xml:space="preserve"> y, </w:t>
      </w:r>
      <w:r w:rsidRPr="00DB5357" w:rsidR="00F03091">
        <w:rPr>
          <w:color w:val="000000" w:themeColor="text1"/>
        </w:rPr>
        <w:t>segundo</w:t>
      </w:r>
      <w:r w:rsidRPr="00DB5357" w:rsidR="00F91408">
        <w:rPr>
          <w:color w:val="000000" w:themeColor="text1"/>
        </w:rPr>
        <w:t>, determinar si los proponentes cumplen con la capacidad residual del proceso de contratación, claro está, teniendo en cuenta la siguiente información aportada por el proponente:</w:t>
      </w:r>
    </w:p>
    <w:p w:rsidRPr="00DB5357" w:rsidR="00F91408" w:rsidP="00F91408" w:rsidRDefault="00F91408" w14:paraId="5A44BFD5" w14:textId="1A802F0A">
      <w:pPr>
        <w:pStyle w:val="Textoindependiente"/>
        <w:ind w:left="709" w:right="760"/>
        <w:jc w:val="both"/>
        <w:rPr>
          <w:color w:val="000000" w:themeColor="text1"/>
          <w:sz w:val="21"/>
          <w:szCs w:val="21"/>
        </w:rPr>
      </w:pPr>
    </w:p>
    <w:p w:rsidRPr="00DB5357" w:rsidR="00F03091" w:rsidP="00F03091" w:rsidRDefault="00F91408" w14:paraId="206A23E8" w14:textId="5828238A">
      <w:pPr>
        <w:pStyle w:val="Textoindependiente"/>
        <w:numPr>
          <w:ilvl w:val="0"/>
          <w:numId w:val="6"/>
        </w:numPr>
        <w:tabs>
          <w:tab w:val="left" w:pos="993"/>
        </w:tabs>
        <w:ind w:left="709" w:right="760" w:firstLine="0"/>
        <w:jc w:val="both"/>
        <w:rPr>
          <w:color w:val="000000" w:themeColor="text1"/>
          <w:sz w:val="21"/>
          <w:szCs w:val="21"/>
        </w:rPr>
      </w:pPr>
      <w:r w:rsidRPr="00DB5357">
        <w:rPr>
          <w:color w:val="000000" w:themeColor="text1"/>
          <w:sz w:val="21"/>
          <w:szCs w:val="21"/>
        </w:rPr>
        <w:t>La lista de los Contratos en Ejecución, así como el valor y plazo de tales contratos.</w:t>
      </w:r>
    </w:p>
    <w:p w:rsidRPr="00DB5357" w:rsidR="008C5A24" w:rsidP="008C5A24" w:rsidRDefault="008C5A24" w14:paraId="16E84F16" w14:textId="77777777">
      <w:pPr>
        <w:pStyle w:val="Textoindependiente"/>
        <w:tabs>
          <w:tab w:val="left" w:pos="993"/>
        </w:tabs>
        <w:ind w:left="709" w:right="760"/>
        <w:jc w:val="both"/>
        <w:rPr>
          <w:color w:val="000000" w:themeColor="text1"/>
          <w:sz w:val="21"/>
          <w:szCs w:val="21"/>
        </w:rPr>
      </w:pPr>
    </w:p>
    <w:p w:rsidRPr="00DB5357" w:rsidR="00F03091" w:rsidP="00F03091" w:rsidRDefault="00F91408" w14:paraId="31191B56" w14:textId="3E95C1DF">
      <w:pPr>
        <w:pStyle w:val="Textoindependiente"/>
        <w:numPr>
          <w:ilvl w:val="0"/>
          <w:numId w:val="6"/>
        </w:numPr>
        <w:tabs>
          <w:tab w:val="left" w:pos="993"/>
        </w:tabs>
        <w:ind w:left="709" w:right="760" w:firstLine="0"/>
        <w:jc w:val="both"/>
        <w:rPr>
          <w:color w:val="000000" w:themeColor="text1"/>
          <w:sz w:val="21"/>
          <w:szCs w:val="21"/>
        </w:rPr>
      </w:pPr>
      <w:r w:rsidRPr="00DB5357">
        <w:rPr>
          <w:color w:val="000000" w:themeColor="text1"/>
          <w:sz w:val="21"/>
          <w:szCs w:val="21"/>
        </w:rPr>
        <w:t>La lista de los Contratos en Ejecución, suscritos por sociedades, consorcios o uniones temporales, en los cuales el proponente tenga participación, así como el valor y plazo de tales contratos.</w:t>
      </w:r>
    </w:p>
    <w:p w:rsidRPr="00DB5357" w:rsidR="008C5A24" w:rsidP="00DB5357" w:rsidRDefault="008C5A24" w14:paraId="123B5A10" w14:textId="77777777">
      <w:pPr>
        <w:pStyle w:val="Textoindependiente"/>
        <w:tabs>
          <w:tab w:val="left" w:pos="993"/>
        </w:tabs>
        <w:ind w:right="760"/>
        <w:jc w:val="both"/>
        <w:rPr>
          <w:color w:val="000000" w:themeColor="text1"/>
          <w:sz w:val="21"/>
          <w:szCs w:val="21"/>
        </w:rPr>
      </w:pPr>
    </w:p>
    <w:p w:rsidRPr="00DB5357" w:rsidR="00F91408" w:rsidP="00F03091" w:rsidRDefault="00F91408" w14:paraId="4468E48B" w14:textId="785D5F2C">
      <w:pPr>
        <w:pStyle w:val="Textoindependiente"/>
        <w:numPr>
          <w:ilvl w:val="0"/>
          <w:numId w:val="6"/>
        </w:numPr>
        <w:tabs>
          <w:tab w:val="left" w:pos="993"/>
        </w:tabs>
        <w:ind w:left="709" w:right="760" w:firstLine="0"/>
        <w:jc w:val="both"/>
        <w:rPr>
          <w:color w:val="000000" w:themeColor="text1"/>
          <w:sz w:val="21"/>
          <w:szCs w:val="21"/>
        </w:rPr>
      </w:pPr>
      <w:r w:rsidRPr="00DB5357">
        <w:rPr>
          <w:color w:val="000000" w:themeColor="text1"/>
          <w:sz w:val="21"/>
          <w:szCs w:val="21"/>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rsidRPr="00DB5357" w:rsidR="00F03091" w:rsidP="00F419B1" w:rsidRDefault="00F03091" w14:paraId="222F2D1D" w14:textId="77777777">
      <w:pPr>
        <w:pStyle w:val="Textoindependiente"/>
        <w:spacing w:before="120" w:line="276" w:lineRule="auto"/>
        <w:ind w:right="51" w:firstLine="709"/>
        <w:jc w:val="both"/>
        <w:rPr>
          <w:color w:val="000000" w:themeColor="text1"/>
        </w:rPr>
      </w:pPr>
    </w:p>
    <w:p w:rsidRPr="00DB5357" w:rsidR="00F03091" w:rsidP="00F03091" w:rsidRDefault="00F03091" w14:paraId="50176C68" w14:textId="067123EA">
      <w:pPr>
        <w:pStyle w:val="Textoindependiente"/>
        <w:spacing w:before="120" w:line="276" w:lineRule="auto"/>
        <w:ind w:right="51" w:firstLine="709"/>
        <w:jc w:val="both"/>
        <w:rPr>
          <w:color w:val="000000" w:themeColor="text1"/>
        </w:rPr>
      </w:pPr>
      <w:r w:rsidRPr="00DB5357">
        <w:rPr>
          <w:color w:val="000000" w:themeColor="text1"/>
        </w:rPr>
        <w:t>Ahora bien, p</w:t>
      </w:r>
      <w:r w:rsidRPr="00DB5357" w:rsidR="00F91408">
        <w:rPr>
          <w:color w:val="000000" w:themeColor="text1"/>
        </w:rPr>
        <w:t>ara lo primero</w:t>
      </w:r>
      <w:r w:rsidRPr="00DB5357">
        <w:rPr>
          <w:color w:val="000000" w:themeColor="text1"/>
        </w:rPr>
        <w:t xml:space="preserve">, esto es, para establecer la capacidad residual del proceso de contratación «CRPC», se debe establecer si el plazo del contrato es superior de doce meses. Si no lo es, </w:t>
      </w:r>
      <w:r w:rsidRPr="00DB5357" w:rsidR="00F624CD">
        <w:rPr>
          <w:color w:val="000000" w:themeColor="text1"/>
        </w:rPr>
        <w:t xml:space="preserve">la CRPC </w:t>
      </w:r>
      <w:r w:rsidRPr="00DB5357">
        <w:rPr>
          <w:color w:val="000000" w:themeColor="text1"/>
        </w:rPr>
        <w:t>equivale al presupuesto oficial estimado del Proceso de Contratación menos el anticipo o pago anticipado cuando haya lugar. Si sí lo es, equivale a la proporción lineal de 12 meses del presupuesto oficial estimado menos el anticipo o pago anticipado.</w:t>
      </w:r>
    </w:p>
    <w:p w:rsidRPr="00DB5357" w:rsidR="00D07B4C" w:rsidP="005239E4" w:rsidRDefault="00F91408" w14:paraId="2BF7E83F" w14:textId="12D57497">
      <w:pPr>
        <w:pStyle w:val="Textoindependiente"/>
        <w:spacing w:before="120" w:line="276" w:lineRule="auto"/>
        <w:ind w:right="51" w:firstLine="709"/>
        <w:jc w:val="both"/>
        <w:rPr>
          <w:color w:val="000000" w:themeColor="text1"/>
        </w:rPr>
      </w:pPr>
      <w:r w:rsidRPr="00DB5357">
        <w:rPr>
          <w:color w:val="000000" w:themeColor="text1"/>
        </w:rPr>
        <w:lastRenderedPageBreak/>
        <w:t>Para lo segundo</w:t>
      </w:r>
      <w:r w:rsidRPr="00DB5357" w:rsidR="00F03091">
        <w:rPr>
          <w:color w:val="000000" w:themeColor="text1"/>
        </w:rPr>
        <w:t xml:space="preserve">, es decir, verificar que cada proponente cumple con la </w:t>
      </w:r>
      <w:r w:rsidRPr="00DB5357" w:rsidR="00F624CD">
        <w:rPr>
          <w:color w:val="000000" w:themeColor="text1"/>
        </w:rPr>
        <w:t>CRPC</w:t>
      </w:r>
      <w:r w:rsidRPr="00DB5357" w:rsidR="00F03091">
        <w:rPr>
          <w:color w:val="000000" w:themeColor="text1"/>
        </w:rPr>
        <w:t xml:space="preserve">, la entidad pública debe verificar que la capacidad residual del proponente </w:t>
      </w:r>
      <w:r w:rsidRPr="00DB5357" w:rsidR="00D07B4C">
        <w:rPr>
          <w:color w:val="000000" w:themeColor="text1"/>
        </w:rPr>
        <w:t xml:space="preserve">«CRP» </w:t>
      </w:r>
      <w:r w:rsidRPr="00DB5357" w:rsidR="00F03091">
        <w:rPr>
          <w:color w:val="000000" w:themeColor="text1"/>
        </w:rPr>
        <w:t xml:space="preserve">sea igual o superior a la capacidad referida en el párrafo precedente. </w:t>
      </w:r>
      <w:r w:rsidRPr="00DB5357" w:rsidR="00D07B4C">
        <w:rPr>
          <w:color w:val="000000" w:themeColor="text1"/>
        </w:rPr>
        <w:t>De todas formas</w:t>
      </w:r>
      <w:r w:rsidRPr="00DB5357" w:rsidR="00F03091">
        <w:rPr>
          <w:color w:val="000000" w:themeColor="text1"/>
        </w:rPr>
        <w:t xml:space="preserve">, </w:t>
      </w:r>
      <w:r w:rsidRPr="00DB5357" w:rsidR="00D07B4C">
        <w:rPr>
          <w:color w:val="000000" w:themeColor="text1"/>
        </w:rPr>
        <w:t>previamente</w:t>
      </w:r>
      <w:r w:rsidRPr="00DB5357" w:rsidR="00F03091">
        <w:rPr>
          <w:color w:val="000000" w:themeColor="text1"/>
        </w:rPr>
        <w:t xml:space="preserve"> debe establecer la </w:t>
      </w:r>
      <w:r w:rsidRPr="00DB5357" w:rsidR="00D07B4C">
        <w:rPr>
          <w:color w:val="000000" w:themeColor="text1"/>
        </w:rPr>
        <w:t>CRP</w:t>
      </w:r>
      <w:r w:rsidRPr="00DB5357" w:rsidR="00F03091">
        <w:rPr>
          <w:color w:val="000000" w:themeColor="text1"/>
        </w:rPr>
        <w:t xml:space="preserve">, </w:t>
      </w:r>
      <w:r w:rsidRPr="00DB5357" w:rsidR="005239E4">
        <w:rPr>
          <w:color w:val="000000" w:themeColor="text1"/>
        </w:rPr>
        <w:t xml:space="preserve">con fundamento en los siguientes factores: i) experiencia «E»; </w:t>
      </w:r>
      <w:proofErr w:type="spellStart"/>
      <w:r w:rsidRPr="00DB5357" w:rsidR="005239E4">
        <w:rPr>
          <w:color w:val="000000" w:themeColor="text1"/>
        </w:rPr>
        <w:t>ii</w:t>
      </w:r>
      <w:proofErr w:type="spellEnd"/>
      <w:r w:rsidRPr="00DB5357" w:rsidR="005239E4">
        <w:rPr>
          <w:color w:val="000000" w:themeColor="text1"/>
        </w:rPr>
        <w:t xml:space="preserve">) capacidad financiera «CF»; </w:t>
      </w:r>
      <w:proofErr w:type="spellStart"/>
      <w:r w:rsidRPr="00DB5357" w:rsidR="005239E4">
        <w:rPr>
          <w:color w:val="000000" w:themeColor="text1"/>
        </w:rPr>
        <w:t>iii</w:t>
      </w:r>
      <w:proofErr w:type="spellEnd"/>
      <w:r w:rsidRPr="00DB5357" w:rsidR="005239E4">
        <w:rPr>
          <w:color w:val="000000" w:themeColor="text1"/>
        </w:rPr>
        <w:t xml:space="preserve">) capacidad técnica «CT», </w:t>
      </w:r>
      <w:proofErr w:type="spellStart"/>
      <w:r w:rsidRPr="00DB5357" w:rsidR="005239E4">
        <w:rPr>
          <w:color w:val="000000" w:themeColor="text1"/>
        </w:rPr>
        <w:t>iv</w:t>
      </w:r>
      <w:proofErr w:type="spellEnd"/>
      <w:r w:rsidRPr="00DB5357" w:rsidR="005239E4">
        <w:rPr>
          <w:color w:val="000000" w:themeColor="text1"/>
        </w:rPr>
        <w:t xml:space="preserve">) capacidad de organización «CO»; y v) los saldos de los contratos en ejecución «SCE», </w:t>
      </w:r>
      <w:r w:rsidRPr="00DB5357" w:rsidR="006143E3">
        <w:rPr>
          <w:color w:val="000000" w:themeColor="text1"/>
        </w:rPr>
        <w:t xml:space="preserve">y </w:t>
      </w:r>
      <w:r w:rsidRPr="00DB5357" w:rsidR="005239E4">
        <w:rPr>
          <w:color w:val="000000" w:themeColor="text1"/>
        </w:rPr>
        <w:t>según la siguiente formula:</w:t>
      </w:r>
    </w:p>
    <w:p w:rsidRPr="00DB5357" w:rsidR="00D07B4C" w:rsidP="00D07B4C" w:rsidRDefault="00D07B4C" w14:paraId="609588C2" w14:textId="77777777">
      <w:pPr>
        <w:pStyle w:val="Textoindependiente"/>
        <w:tabs>
          <w:tab w:val="left" w:pos="709"/>
          <w:tab w:val="left" w:pos="8080"/>
        </w:tabs>
        <w:spacing w:before="10"/>
        <w:ind w:right="49"/>
        <w:rPr>
          <w:color w:val="000000" w:themeColor="text1"/>
          <w:sz w:val="18"/>
        </w:rPr>
      </w:pPr>
      <w:r w:rsidRPr="00DB5357">
        <w:rPr>
          <w:noProof/>
          <w:color w:val="000000" w:themeColor="text1"/>
          <w:lang w:val="en-US" w:eastAsia="en-US" w:bidi="ar-SA"/>
        </w:rPr>
        <w:drawing>
          <wp:anchor distT="0" distB="0" distL="0" distR="0" simplePos="0" relativeHeight="251659264" behindDoc="0" locked="0" layoutInCell="1" allowOverlap="1" wp14:anchorId="63AC6C71" wp14:editId="68C90F74">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38040" cy="674370"/>
                    </a:xfrm>
                    <a:prstGeom prst="rect">
                      <a:avLst/>
                    </a:prstGeom>
                  </pic:spPr>
                </pic:pic>
              </a:graphicData>
            </a:graphic>
            <wp14:sizeRelH relativeFrom="margin">
              <wp14:pctWidth>0</wp14:pctWidth>
            </wp14:sizeRelH>
          </wp:anchor>
        </w:drawing>
      </w:r>
      <w:r w:rsidR="0183057B">
        <w:rPr/>
        <w:t/>
      </w:r>
    </w:p>
    <w:p w:rsidRPr="00DB5357" w:rsidR="00F03091" w:rsidP="00F419B1" w:rsidRDefault="00F03091" w14:paraId="59668A02" w14:textId="77777777">
      <w:pPr>
        <w:pStyle w:val="Textoindependiente"/>
        <w:spacing w:before="120" w:line="276" w:lineRule="auto"/>
        <w:ind w:right="51" w:firstLine="709"/>
        <w:jc w:val="both"/>
        <w:rPr>
          <w:color w:val="000000" w:themeColor="text1"/>
        </w:rPr>
      </w:pPr>
    </w:p>
    <w:p w:rsidRPr="00DB5357" w:rsidR="00F03091" w:rsidP="006143E3" w:rsidRDefault="005239E4" w14:paraId="752E71B6" w14:textId="7B470886">
      <w:pPr>
        <w:pStyle w:val="Textoindependiente"/>
        <w:spacing w:before="120" w:line="276" w:lineRule="auto"/>
        <w:ind w:right="51" w:firstLine="709"/>
        <w:jc w:val="both"/>
        <w:rPr>
          <w:color w:val="000000" w:themeColor="text1"/>
        </w:rPr>
      </w:pPr>
      <w:r w:rsidRPr="00DB5357">
        <w:rPr>
          <w:color w:val="000000" w:themeColor="text1"/>
        </w:rPr>
        <w:t xml:space="preserve">A cada uno de estos factores se les debe asignar el siguiente puntaje máximo: i) «E» 120; </w:t>
      </w:r>
      <w:proofErr w:type="spellStart"/>
      <w:r w:rsidRPr="00DB5357">
        <w:rPr>
          <w:color w:val="000000" w:themeColor="text1"/>
        </w:rPr>
        <w:t>ii</w:t>
      </w:r>
      <w:proofErr w:type="spellEnd"/>
      <w:r w:rsidRPr="00DB5357">
        <w:rPr>
          <w:color w:val="000000" w:themeColor="text1"/>
        </w:rPr>
        <w:t xml:space="preserve">) «CF» 40; y </w:t>
      </w:r>
      <w:proofErr w:type="spellStart"/>
      <w:r w:rsidRPr="00DB5357">
        <w:rPr>
          <w:color w:val="000000" w:themeColor="text1"/>
        </w:rPr>
        <w:t>iii</w:t>
      </w:r>
      <w:proofErr w:type="spellEnd"/>
      <w:r w:rsidRPr="00DB5357">
        <w:rPr>
          <w:color w:val="000000" w:themeColor="text1"/>
        </w:rPr>
        <w:t xml:space="preserve">) «CT» 40. </w:t>
      </w:r>
      <w:r w:rsidRPr="00DB5357" w:rsidR="006143E3">
        <w:rPr>
          <w:color w:val="000000" w:themeColor="text1"/>
        </w:rPr>
        <w:t>La «CO»</w:t>
      </w:r>
      <w:r w:rsidRPr="00DB5357">
        <w:rPr>
          <w:color w:val="000000" w:themeColor="text1"/>
        </w:rPr>
        <w:t xml:space="preserve"> </w:t>
      </w:r>
      <w:r w:rsidRPr="00DB5357" w:rsidR="006143E3">
        <w:rPr>
          <w:color w:val="000000" w:themeColor="text1"/>
        </w:rPr>
        <w:t>no tiene asignación de puntaje en la fórmula, por un lado, porque su unidad de medida es en pesos colombianos «COP» y, por el otro, debido a que el mismo constituye un factor multiplicador de los demás factores en la fórmula. A continuación</w:t>
      </w:r>
      <w:r w:rsidRPr="00DB5357" w:rsidR="00CE3495">
        <w:rPr>
          <w:color w:val="000000" w:themeColor="text1"/>
        </w:rPr>
        <w:t>,</w:t>
      </w:r>
      <w:r w:rsidRPr="00DB5357" w:rsidR="006143E3">
        <w:rPr>
          <w:color w:val="000000" w:themeColor="text1"/>
        </w:rPr>
        <w:t xml:space="preserve"> se explicar</w:t>
      </w:r>
      <w:r w:rsidRPr="00DB5357" w:rsidR="00CE3495">
        <w:rPr>
          <w:color w:val="000000" w:themeColor="text1"/>
        </w:rPr>
        <w:t>á</w:t>
      </w:r>
      <w:r w:rsidRPr="00DB5357" w:rsidR="006143E3">
        <w:rPr>
          <w:color w:val="000000" w:themeColor="text1"/>
        </w:rPr>
        <w:t>, en términos generales, c</w:t>
      </w:r>
      <w:r w:rsidRPr="00DB5357" w:rsidR="00CE3495">
        <w:rPr>
          <w:color w:val="000000" w:themeColor="text1"/>
        </w:rPr>
        <w:t>ó</w:t>
      </w:r>
      <w:r w:rsidRPr="00DB5357" w:rsidR="006143E3">
        <w:rPr>
          <w:color w:val="000000" w:themeColor="text1"/>
        </w:rPr>
        <w:t>mo calcular cada factor:</w:t>
      </w:r>
    </w:p>
    <w:p w:rsidRPr="00DB5357" w:rsidR="006143E3" w:rsidP="006143E3" w:rsidRDefault="006143E3" w14:paraId="257C6BAD" w14:textId="6BED4919">
      <w:pPr>
        <w:pStyle w:val="Textoindependiente"/>
        <w:numPr>
          <w:ilvl w:val="0"/>
          <w:numId w:val="8"/>
        </w:numPr>
        <w:tabs>
          <w:tab w:val="left" w:pos="993"/>
        </w:tabs>
        <w:spacing w:before="120" w:line="276" w:lineRule="auto"/>
        <w:ind w:left="0" w:right="51" w:firstLine="709"/>
        <w:jc w:val="both"/>
        <w:rPr>
          <w:i/>
          <w:iCs/>
          <w:color w:val="000000" w:themeColor="text1"/>
        </w:rPr>
      </w:pPr>
      <w:r w:rsidRPr="00DB5357">
        <w:rPr>
          <w:i/>
          <w:iCs/>
          <w:color w:val="000000" w:themeColor="text1"/>
        </w:rPr>
        <w:t>Capacidad financiera.</w:t>
      </w:r>
      <w:r w:rsidRPr="00DB5357">
        <w:rPr>
          <w:color w:val="000000" w:themeColor="text1"/>
        </w:rPr>
        <w:t xml:space="preserve"> Se mide por el «índice de liquidez» y este, a su vez, corresponde al resulta de dividir el «activo corriente» sobre el «pasivo corriente». El resultado puede ser calificado entre 20 y cuarenta puntos, según se explica en la </w:t>
      </w:r>
      <w:r w:rsidRPr="00DB5357" w:rsidR="00826804">
        <w:rPr>
          <w:color w:val="000000" w:themeColor="text1"/>
        </w:rPr>
        <w:t>Guía</w:t>
      </w:r>
      <w:r w:rsidRPr="00DB5357">
        <w:rPr>
          <w:color w:val="000000" w:themeColor="text1"/>
        </w:rPr>
        <w:t>.</w:t>
      </w:r>
    </w:p>
    <w:p w:rsidRPr="00DB5357" w:rsidR="006143E3" w:rsidP="006143E3" w:rsidRDefault="006143E3" w14:paraId="116961D1" w14:textId="20D8F62E">
      <w:pPr>
        <w:pStyle w:val="Textoindependiente"/>
        <w:numPr>
          <w:ilvl w:val="0"/>
          <w:numId w:val="8"/>
        </w:numPr>
        <w:tabs>
          <w:tab w:val="left" w:pos="993"/>
        </w:tabs>
        <w:spacing w:before="120" w:line="276" w:lineRule="auto"/>
        <w:ind w:left="0" w:right="51" w:firstLine="709"/>
        <w:jc w:val="both"/>
        <w:rPr>
          <w:i/>
          <w:iCs/>
          <w:color w:val="000000" w:themeColor="text1"/>
        </w:rPr>
      </w:pPr>
      <w:r w:rsidRPr="00DB5357">
        <w:rPr>
          <w:i/>
          <w:iCs/>
          <w:color w:val="000000" w:themeColor="text1"/>
        </w:rPr>
        <w:t>Capacidad técnica</w:t>
      </w:r>
      <w:r w:rsidRPr="00DB5357">
        <w:rPr>
          <w:color w:val="000000" w:themeColor="text1"/>
        </w:rPr>
        <w:t xml:space="preserve">. Se determina teniendo en cuenta el número de socios y profesionales de la arquitectura, ingeniería y geología vinculados mediante una relación laboral o contractual. </w:t>
      </w:r>
      <w:proofErr w:type="gramStart"/>
      <w:r w:rsidRPr="00DB5357">
        <w:rPr>
          <w:color w:val="000000" w:themeColor="text1"/>
        </w:rPr>
        <w:t>El puntaje a asignar</w:t>
      </w:r>
      <w:proofErr w:type="gramEnd"/>
      <w:r w:rsidRPr="00DB5357">
        <w:rPr>
          <w:color w:val="000000" w:themeColor="text1"/>
        </w:rPr>
        <w:t>, según la Guía, oscila entre 20 y 40 puntos. Para tales fines, se aclara, el proponente debe diligenciar el Anexo 2 de la «Guía para Determinar y Verificar la Capacidad Residual del Proponente en los Procesos de Contratación de Obra Pública» −</w:t>
      </w:r>
      <w:r w:rsidRPr="00DB5357" w:rsidR="008F184D">
        <w:rPr>
          <w:color w:val="000000" w:themeColor="text1"/>
        </w:rPr>
        <w:t xml:space="preserve">este es diferente </w:t>
      </w:r>
      <w:r w:rsidRPr="00DB5357">
        <w:rPr>
          <w:color w:val="000000" w:themeColor="text1"/>
        </w:rPr>
        <w:t>al Anexo 2 de los Documentos Tipo−</w:t>
      </w:r>
      <w:r w:rsidRPr="00DB5357" w:rsidR="00CE3495">
        <w:rPr>
          <w:color w:val="000000" w:themeColor="text1"/>
        </w:rPr>
        <w:t>.</w:t>
      </w:r>
    </w:p>
    <w:p w:rsidRPr="00DB5357" w:rsidR="00CE3495" w:rsidP="006143E3" w:rsidRDefault="00CE3495" w14:paraId="3E69082B" w14:textId="267EB981">
      <w:pPr>
        <w:pStyle w:val="Textoindependiente"/>
        <w:numPr>
          <w:ilvl w:val="0"/>
          <w:numId w:val="8"/>
        </w:numPr>
        <w:tabs>
          <w:tab w:val="left" w:pos="993"/>
        </w:tabs>
        <w:spacing w:before="120" w:line="276" w:lineRule="auto"/>
        <w:ind w:left="0" w:right="51" w:firstLine="709"/>
        <w:jc w:val="both"/>
        <w:rPr>
          <w:i/>
          <w:iCs/>
          <w:color w:val="000000" w:themeColor="text1"/>
        </w:rPr>
      </w:pPr>
      <w:r w:rsidRPr="00DB5357">
        <w:rPr>
          <w:i/>
          <w:iCs/>
          <w:color w:val="000000" w:themeColor="text1"/>
        </w:rPr>
        <w:t>Capacidad de organización</w:t>
      </w:r>
      <w:r w:rsidRPr="00DB5357">
        <w:rPr>
          <w:color w:val="000000" w:themeColor="text1"/>
        </w:rPr>
        <w:t>. Corresponde a los ingresos operacionales, según el siguiente cuadro:</w:t>
      </w:r>
    </w:p>
    <w:p w:rsidRPr="00DB5357" w:rsidR="00CE3495" w:rsidP="00CE3495" w:rsidRDefault="00CE3495" w14:paraId="669F56F6" w14:textId="166DF0A0">
      <w:pPr>
        <w:pStyle w:val="Textoindependiente"/>
        <w:tabs>
          <w:tab w:val="left" w:pos="993"/>
        </w:tabs>
        <w:spacing w:before="120" w:line="276" w:lineRule="auto"/>
        <w:ind w:left="709" w:right="51"/>
        <w:jc w:val="both"/>
        <w:rPr>
          <w:i/>
          <w:iCs/>
          <w:color w:val="000000" w:themeColor="text1"/>
        </w:rPr>
      </w:pPr>
    </w:p>
    <w:tbl>
      <w:tblPr>
        <w:tblStyle w:val="Tablaconcuadrcula"/>
        <w:tblW w:w="7366" w:type="dxa"/>
        <w:tblInd w:w="709" w:type="dxa"/>
        <w:tblLook w:val="04A0" w:firstRow="1" w:lastRow="0" w:firstColumn="1" w:lastColumn="0" w:noHBand="0" w:noVBand="1"/>
      </w:tblPr>
      <w:tblGrid>
        <w:gridCol w:w="4053"/>
        <w:gridCol w:w="3313"/>
      </w:tblGrid>
      <w:tr w:rsidRPr="00BC1A07" w:rsidR="00BC1A07" w:rsidTr="00CE3495" w14:paraId="6C2915B1" w14:textId="77777777">
        <w:tc>
          <w:tcPr>
            <w:tcW w:w="4053" w:type="dxa"/>
            <w:shd w:val="clear" w:color="auto" w:fill="D9D9D9" w:themeFill="background1" w:themeFillShade="D9"/>
          </w:tcPr>
          <w:p w:rsidRPr="00DB5357" w:rsidR="00CE3495" w:rsidP="00CE3495" w:rsidRDefault="00CE3495" w14:paraId="175CC62E" w14:textId="1F5456C2">
            <w:pPr>
              <w:pStyle w:val="Textoindependiente"/>
              <w:tabs>
                <w:tab w:val="left" w:pos="993"/>
              </w:tabs>
              <w:spacing w:before="120" w:line="276" w:lineRule="auto"/>
              <w:ind w:right="51"/>
              <w:jc w:val="center"/>
              <w:rPr>
                <w:b/>
                <w:bCs/>
                <w:color w:val="000000" w:themeColor="text1"/>
                <w:sz w:val="21"/>
                <w:szCs w:val="21"/>
              </w:rPr>
            </w:pPr>
            <w:r w:rsidRPr="00DB5357">
              <w:rPr>
                <w:b/>
                <w:bCs/>
                <w:color w:val="000000" w:themeColor="text1"/>
                <w:sz w:val="21"/>
                <w:szCs w:val="21"/>
              </w:rPr>
              <w:t>Años de información financiera</w:t>
            </w:r>
          </w:p>
        </w:tc>
        <w:tc>
          <w:tcPr>
            <w:tcW w:w="3313" w:type="dxa"/>
            <w:shd w:val="clear" w:color="auto" w:fill="D9D9D9" w:themeFill="background1" w:themeFillShade="D9"/>
          </w:tcPr>
          <w:p w:rsidRPr="00DB5357" w:rsidR="00CE3495" w:rsidP="00CE3495" w:rsidRDefault="00CE3495" w14:paraId="5D2B9612" w14:textId="3F7D1A36">
            <w:pPr>
              <w:pStyle w:val="Textoindependiente"/>
              <w:tabs>
                <w:tab w:val="left" w:pos="993"/>
              </w:tabs>
              <w:spacing w:before="120" w:line="276" w:lineRule="auto"/>
              <w:ind w:right="51"/>
              <w:jc w:val="center"/>
              <w:rPr>
                <w:b/>
                <w:bCs/>
                <w:color w:val="000000" w:themeColor="text1"/>
                <w:sz w:val="21"/>
                <w:szCs w:val="21"/>
              </w:rPr>
            </w:pPr>
            <w:r w:rsidRPr="00DB5357">
              <w:rPr>
                <w:b/>
                <w:bCs/>
                <w:color w:val="000000" w:themeColor="text1"/>
                <w:sz w:val="21"/>
                <w:szCs w:val="21"/>
              </w:rPr>
              <w:t>Capacidad de organización</w:t>
            </w:r>
          </w:p>
        </w:tc>
      </w:tr>
      <w:tr w:rsidRPr="00BC1A07" w:rsidR="00BC1A07" w:rsidTr="00CE3495" w14:paraId="0F0F6610" w14:textId="77777777">
        <w:tc>
          <w:tcPr>
            <w:tcW w:w="4053" w:type="dxa"/>
          </w:tcPr>
          <w:p w:rsidRPr="00DB5357" w:rsidR="00CE3495" w:rsidP="00CE3495" w:rsidRDefault="00CE3495" w14:paraId="7F320961" w14:textId="06ECC3A9">
            <w:pPr>
              <w:pStyle w:val="Textoindependiente"/>
              <w:tabs>
                <w:tab w:val="left" w:pos="993"/>
              </w:tabs>
              <w:spacing w:before="120" w:line="276" w:lineRule="auto"/>
              <w:ind w:right="51"/>
              <w:jc w:val="both"/>
              <w:rPr>
                <w:color w:val="000000" w:themeColor="text1"/>
                <w:sz w:val="21"/>
                <w:szCs w:val="21"/>
              </w:rPr>
            </w:pPr>
            <w:r w:rsidRPr="00DB5357">
              <w:rPr>
                <w:color w:val="000000" w:themeColor="text1"/>
                <w:sz w:val="21"/>
                <w:szCs w:val="21"/>
              </w:rPr>
              <w:t>Cinco (5) años o más</w:t>
            </w:r>
          </w:p>
        </w:tc>
        <w:tc>
          <w:tcPr>
            <w:tcW w:w="3313" w:type="dxa"/>
          </w:tcPr>
          <w:p w:rsidRPr="00DB5357" w:rsidR="00CE3495" w:rsidP="00CE3495" w:rsidRDefault="00CE3495" w14:paraId="3D9EC599" w14:textId="27A456EA">
            <w:pPr>
              <w:pStyle w:val="Textoindependiente"/>
              <w:tabs>
                <w:tab w:val="left" w:pos="993"/>
              </w:tabs>
              <w:spacing w:before="120" w:line="276" w:lineRule="auto"/>
              <w:ind w:right="51"/>
              <w:jc w:val="both"/>
              <w:rPr>
                <w:color w:val="000000" w:themeColor="text1"/>
                <w:sz w:val="21"/>
                <w:szCs w:val="21"/>
              </w:rPr>
            </w:pPr>
            <w:r w:rsidRPr="00DB5357">
              <w:rPr>
                <w:color w:val="000000" w:themeColor="text1"/>
                <w:sz w:val="21"/>
                <w:szCs w:val="21"/>
              </w:rPr>
              <w:t>Mayor ingreso operacional de los últimos cinco años</w:t>
            </w:r>
          </w:p>
        </w:tc>
      </w:tr>
      <w:tr w:rsidRPr="00BC1A07" w:rsidR="00BC1A07" w:rsidTr="00CE3495" w14:paraId="67D35A9C" w14:textId="77777777">
        <w:tc>
          <w:tcPr>
            <w:tcW w:w="4053" w:type="dxa"/>
          </w:tcPr>
          <w:p w:rsidRPr="00DB5357" w:rsidR="00CE3495" w:rsidP="00CE3495" w:rsidRDefault="00CE3495" w14:paraId="5CCB215E" w14:textId="46E07A82">
            <w:pPr>
              <w:pStyle w:val="Textoindependiente"/>
              <w:tabs>
                <w:tab w:val="left" w:pos="993"/>
              </w:tabs>
              <w:spacing w:before="120" w:line="276" w:lineRule="auto"/>
              <w:ind w:right="51"/>
              <w:jc w:val="both"/>
              <w:rPr>
                <w:color w:val="000000" w:themeColor="text1"/>
                <w:sz w:val="21"/>
                <w:szCs w:val="21"/>
              </w:rPr>
            </w:pPr>
            <w:r w:rsidRPr="00DB5357">
              <w:rPr>
                <w:color w:val="000000" w:themeColor="text1"/>
                <w:sz w:val="21"/>
                <w:szCs w:val="21"/>
              </w:rPr>
              <w:t>Entre uno (1) y cinco (5) años</w:t>
            </w:r>
          </w:p>
        </w:tc>
        <w:tc>
          <w:tcPr>
            <w:tcW w:w="3313" w:type="dxa"/>
          </w:tcPr>
          <w:p w:rsidRPr="00DB5357" w:rsidR="00CE3495" w:rsidP="00CE3495" w:rsidRDefault="00CE3495" w14:paraId="77CBFDC5" w14:textId="5A0937AC">
            <w:pPr>
              <w:pStyle w:val="Textoindependiente"/>
              <w:tabs>
                <w:tab w:val="left" w:pos="993"/>
              </w:tabs>
              <w:spacing w:before="120" w:line="276" w:lineRule="auto"/>
              <w:ind w:right="51"/>
              <w:jc w:val="both"/>
              <w:rPr>
                <w:color w:val="000000" w:themeColor="text1"/>
                <w:sz w:val="21"/>
                <w:szCs w:val="21"/>
              </w:rPr>
            </w:pPr>
            <w:r w:rsidRPr="00DB5357">
              <w:rPr>
                <w:color w:val="000000" w:themeColor="text1"/>
                <w:sz w:val="21"/>
                <w:szCs w:val="21"/>
              </w:rPr>
              <w:t>Mayor ingreso operacional de los años de vida del oferente</w:t>
            </w:r>
          </w:p>
        </w:tc>
      </w:tr>
      <w:tr w:rsidRPr="00BC1A07" w:rsidR="008C27FB" w:rsidTr="00CE3495" w14:paraId="7993DAAF" w14:textId="77777777">
        <w:tc>
          <w:tcPr>
            <w:tcW w:w="4053" w:type="dxa"/>
          </w:tcPr>
          <w:p w:rsidRPr="00DB5357" w:rsidR="00CE3495" w:rsidP="00CE3495" w:rsidRDefault="00CE3495" w14:paraId="3248102E" w14:textId="2F516AF7">
            <w:pPr>
              <w:pStyle w:val="Textoindependiente"/>
              <w:tabs>
                <w:tab w:val="left" w:pos="993"/>
              </w:tabs>
              <w:spacing w:before="120" w:line="276" w:lineRule="auto"/>
              <w:ind w:right="51"/>
              <w:jc w:val="both"/>
              <w:rPr>
                <w:color w:val="000000" w:themeColor="text1"/>
                <w:sz w:val="21"/>
                <w:szCs w:val="21"/>
              </w:rPr>
            </w:pPr>
            <w:r w:rsidRPr="00DB5357">
              <w:rPr>
                <w:color w:val="000000" w:themeColor="text1"/>
                <w:sz w:val="21"/>
                <w:szCs w:val="21"/>
              </w:rPr>
              <w:t>Menos de un (1) año</w:t>
            </w:r>
          </w:p>
        </w:tc>
        <w:tc>
          <w:tcPr>
            <w:tcW w:w="3313" w:type="dxa"/>
          </w:tcPr>
          <w:p w:rsidRPr="00DB5357" w:rsidR="00CE3495" w:rsidP="00CE3495" w:rsidRDefault="00CE3495" w14:paraId="11A171B5" w14:textId="0606CBE5">
            <w:pPr>
              <w:pStyle w:val="Textoindependiente"/>
              <w:tabs>
                <w:tab w:val="left" w:pos="993"/>
              </w:tabs>
              <w:spacing w:before="120" w:line="276" w:lineRule="auto"/>
              <w:ind w:right="51"/>
              <w:jc w:val="both"/>
              <w:rPr>
                <w:color w:val="000000" w:themeColor="text1"/>
                <w:sz w:val="21"/>
                <w:szCs w:val="21"/>
              </w:rPr>
            </w:pPr>
            <w:r w:rsidRPr="00DB5357">
              <w:rPr>
                <w:color w:val="000000" w:themeColor="text1"/>
                <w:sz w:val="21"/>
                <w:szCs w:val="21"/>
              </w:rPr>
              <w:t>USD 125.000</w:t>
            </w:r>
          </w:p>
        </w:tc>
      </w:tr>
    </w:tbl>
    <w:p w:rsidRPr="00DB5357" w:rsidR="00CE3495" w:rsidP="00CE3495" w:rsidRDefault="00CE3495" w14:paraId="421F67CA" w14:textId="49DD8BA5">
      <w:pPr>
        <w:pStyle w:val="Textoindependiente"/>
        <w:tabs>
          <w:tab w:val="left" w:pos="993"/>
        </w:tabs>
        <w:spacing w:before="120" w:line="276" w:lineRule="auto"/>
        <w:ind w:left="709" w:right="51"/>
        <w:jc w:val="both"/>
        <w:rPr>
          <w:i/>
          <w:iCs/>
          <w:color w:val="000000" w:themeColor="text1"/>
        </w:rPr>
      </w:pPr>
    </w:p>
    <w:p w:rsidRPr="00DB5357" w:rsidR="00580EB2" w:rsidP="00DB5357" w:rsidRDefault="00580EB2" w14:paraId="2B3C5499" w14:textId="7EBD0464">
      <w:pPr>
        <w:pStyle w:val="Textoindependiente"/>
        <w:numPr>
          <w:ilvl w:val="0"/>
          <w:numId w:val="8"/>
        </w:numPr>
        <w:tabs>
          <w:tab w:val="left" w:pos="993"/>
        </w:tabs>
        <w:spacing w:line="276" w:lineRule="auto"/>
        <w:ind w:left="0" w:right="51" w:firstLine="709"/>
        <w:jc w:val="both"/>
        <w:rPr>
          <w:color w:val="000000" w:themeColor="text1"/>
        </w:rPr>
      </w:pPr>
      <w:r w:rsidRPr="00DB5357">
        <w:rPr>
          <w:i/>
          <w:iCs/>
          <w:color w:val="000000" w:themeColor="text1"/>
        </w:rPr>
        <w:lastRenderedPageBreak/>
        <w:t>Saldos de los contratos en ejecución</w:t>
      </w:r>
      <w:r w:rsidRPr="00DB5357">
        <w:rPr>
          <w:color w:val="000000" w:themeColor="text1"/>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en un contrato es superior a 360 días, solo se tendrá en cuenta la proporción lineal de 12 meses.</w:t>
      </w:r>
    </w:p>
    <w:p w:rsidRPr="00DB5357" w:rsidR="008C27FB" w:rsidP="00EF1F19" w:rsidRDefault="00742C98" w14:paraId="3C4EE3BD" w14:textId="3084907B">
      <w:pPr>
        <w:pStyle w:val="Textoindependiente"/>
        <w:numPr>
          <w:ilvl w:val="0"/>
          <w:numId w:val="8"/>
        </w:numPr>
        <w:tabs>
          <w:tab w:val="left" w:pos="993"/>
        </w:tabs>
        <w:spacing w:before="120" w:line="276" w:lineRule="auto"/>
        <w:ind w:left="0" w:right="51" w:firstLine="709"/>
        <w:jc w:val="both"/>
        <w:rPr>
          <w:color w:val="000000" w:themeColor="text1"/>
        </w:rPr>
      </w:pPr>
      <w:r w:rsidRPr="00DB5357">
        <w:rPr>
          <w:i/>
          <w:iCs/>
          <w:color w:val="000000" w:themeColor="text1"/>
        </w:rPr>
        <w:t>Experiencia</w:t>
      </w:r>
      <w:r w:rsidRPr="00DB5357">
        <w:rPr>
          <w:color w:val="000000" w:themeColor="text1"/>
        </w:rPr>
        <w:t>.</w:t>
      </w:r>
      <w:r w:rsidRPr="00DB5357" w:rsidR="008C27FB">
        <w:rPr>
          <w:color w:val="000000" w:themeColor="text1"/>
        </w:rPr>
        <w:t xml:space="preserve"> Para los efectos de la capacidad residual −no para la experiencia general que debe acreditar el contratista según la Matriz 1−, corresponde a la relación entre «el valor total en pesos de los contratos relacionados con la actividad de la construcción inscritos por el proponente en el R</w:t>
      </w:r>
      <w:r w:rsidRPr="00DB5357" w:rsidR="009420F7">
        <w:rPr>
          <w:color w:val="000000" w:themeColor="text1"/>
        </w:rPr>
        <w:t>egistro Único de Proponentes «R</w:t>
      </w:r>
      <w:r w:rsidRPr="00DB5357" w:rsidR="008C27FB">
        <w:rPr>
          <w:color w:val="000000" w:themeColor="text1"/>
        </w:rPr>
        <w:t>UP</w:t>
      </w:r>
      <w:r w:rsidRPr="00DB5357" w:rsidR="009420F7">
        <w:rPr>
          <w:color w:val="000000" w:themeColor="text1"/>
        </w:rPr>
        <w:t>»</w:t>
      </w:r>
      <w:r w:rsidRPr="00DB5357" w:rsidR="008C27FB">
        <w:rPr>
          <w:color w:val="000000" w:themeColor="text1"/>
        </w:rPr>
        <w:t xml:space="preserve"> en el segmento 72 […] del Clasificador de Bienes y Servicios», de un lado, y el presupuesto oficial estimado del Proceso de Contratación, del otro. La relación indica el número de veces que el proponente ha ejecutado contratos equivalentes a la cuantía del proceso de contratación, según se explica en esta fórmula:</w:t>
      </w:r>
    </w:p>
    <w:p w:rsidRPr="00DB5357" w:rsidR="008C27FB" w:rsidP="008C27FB" w:rsidRDefault="008C27FB" w14:paraId="3FC15689" w14:textId="28A14A56">
      <w:pPr>
        <w:pStyle w:val="Textoindependiente"/>
        <w:spacing w:before="120" w:line="276" w:lineRule="auto"/>
        <w:ind w:right="51"/>
        <w:jc w:val="both"/>
        <w:rPr>
          <w:color w:val="000000" w:themeColor="text1"/>
        </w:rPr>
      </w:pPr>
    </w:p>
    <w:p w:rsidRPr="00DB5357" w:rsidR="008C27FB" w:rsidP="008C27FB" w:rsidRDefault="008C27FB" w14:paraId="4EAD9106" w14:textId="6945544D">
      <w:pPr>
        <w:pStyle w:val="Textoindependiente"/>
        <w:spacing w:before="120" w:line="276" w:lineRule="auto"/>
        <w:ind w:left="709" w:right="758"/>
        <w:jc w:val="both"/>
        <w:rPr>
          <w:color w:val="000000" w:themeColor="text1"/>
        </w:rPr>
      </w:pPr>
      <w:r w:rsidR="008C27FB">
        <w:drawing>
          <wp:inline wp14:editId="6533539E" wp14:anchorId="1AD16C75">
            <wp:extent cx="4696459" cy="615315"/>
            <wp:effectExtent l="0" t="0" r="8890" b="0"/>
            <wp:docPr id="964474302" name="Imagen 6" title=""/>
            <wp:cNvGraphicFramePr>
              <a:graphicFrameLocks noChangeAspect="1"/>
            </wp:cNvGraphicFramePr>
            <a:graphic>
              <a:graphicData uri="http://schemas.openxmlformats.org/drawingml/2006/picture">
                <pic:pic>
                  <pic:nvPicPr>
                    <pic:cNvPr id="0" name="Imagen 6"/>
                    <pic:cNvPicPr/>
                  </pic:nvPicPr>
                  <pic:blipFill>
                    <a:blip r:embed="Reb4d1de479a941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96459" cy="615315"/>
                    </a:xfrm>
                    <a:prstGeom prst="rect">
                      <a:avLst/>
                    </a:prstGeom>
                  </pic:spPr>
                </pic:pic>
              </a:graphicData>
            </a:graphic>
          </wp:inline>
        </w:drawing>
      </w:r>
    </w:p>
    <w:p w:rsidRPr="00DB5357" w:rsidR="008C27FB" w:rsidP="008C27FB" w:rsidRDefault="008C27FB" w14:paraId="11E8F59D" w14:textId="31234434">
      <w:pPr>
        <w:pStyle w:val="Textoindependiente"/>
        <w:spacing w:before="120" w:line="276" w:lineRule="auto"/>
        <w:ind w:right="51"/>
        <w:jc w:val="both"/>
        <w:rPr>
          <w:color w:val="000000" w:themeColor="text1"/>
        </w:rPr>
      </w:pPr>
    </w:p>
    <w:p w:rsidRPr="00DB5357" w:rsidR="00F91408" w:rsidP="00DB5357" w:rsidRDefault="00F91408" w14:paraId="2E2AF611" w14:textId="1F60EFD2">
      <w:pPr>
        <w:pStyle w:val="Textoindependiente"/>
        <w:spacing w:line="276" w:lineRule="auto"/>
        <w:ind w:right="51" w:firstLine="709"/>
        <w:jc w:val="both"/>
        <w:rPr>
          <w:color w:val="000000" w:themeColor="text1"/>
        </w:rPr>
      </w:pPr>
      <w:r w:rsidRPr="00DB5357">
        <w:rPr>
          <w:color w:val="000000" w:themeColor="text1"/>
        </w:rPr>
        <w:t>Resulta del caso precisar que si bien es cierto que es la entidad estatal la que debe calcular la capacidad residual de los proponentes, también lo es que estos últimos</w:t>
      </w:r>
      <w:r w:rsidRPr="00DB5357" w:rsidR="008C27FB">
        <w:rPr>
          <w:color w:val="000000" w:themeColor="text1"/>
        </w:rPr>
        <w:t>, como ya se dijo,</w:t>
      </w:r>
      <w:r w:rsidRPr="00DB5357">
        <w:rPr>
          <w:color w:val="000000" w:themeColor="text1"/>
        </w:rPr>
        <w:t xml:space="preserve"> tienen como carga aportar los documentos para acreditar su capacidad residual</w:t>
      </w:r>
      <w:r w:rsidRPr="00DB5357">
        <w:rPr>
          <w:rStyle w:val="Refdenotaalpie"/>
          <w:color w:val="000000" w:themeColor="text1"/>
        </w:rPr>
        <w:footnoteReference w:id="3"/>
      </w:r>
      <w:r w:rsidRPr="00DB5357">
        <w:rPr>
          <w:color w:val="000000" w:themeColor="text1"/>
        </w:rPr>
        <w:t xml:space="preserve">. </w:t>
      </w:r>
      <w:r w:rsidRPr="00DB5357">
        <w:rPr>
          <w:color w:val="000000" w:themeColor="text1"/>
        </w:rPr>
        <w:lastRenderedPageBreak/>
        <w:t>Al respecto, la Circular Externa Única de Colombia Compra Eficiente, en el punto 7, establece lo siguiente:</w:t>
      </w:r>
    </w:p>
    <w:p w:rsidRPr="00DB5357" w:rsidR="00F91408" w:rsidP="00F91408" w:rsidRDefault="00F91408" w14:paraId="412EB1E2" w14:textId="77777777">
      <w:pPr>
        <w:pStyle w:val="Textoindependiente"/>
        <w:spacing w:before="120" w:line="276" w:lineRule="auto"/>
        <w:ind w:right="51" w:firstLine="709"/>
        <w:jc w:val="both"/>
        <w:rPr>
          <w:color w:val="000000" w:themeColor="text1"/>
        </w:rPr>
      </w:pPr>
    </w:p>
    <w:p w:rsidRPr="00DB5357" w:rsidR="00F91408" w:rsidP="00F91408" w:rsidRDefault="00F91408" w14:paraId="376AFE6C" w14:textId="77777777">
      <w:pPr>
        <w:pStyle w:val="Textoindependiente"/>
        <w:ind w:left="709" w:right="760"/>
        <w:jc w:val="both"/>
        <w:rPr>
          <w:color w:val="000000" w:themeColor="text1"/>
          <w:sz w:val="21"/>
          <w:szCs w:val="21"/>
        </w:rPr>
      </w:pPr>
      <w:r w:rsidRPr="00DB5357">
        <w:rPr>
          <w:color w:val="000000" w:themeColor="text1"/>
          <w:sz w:val="21"/>
          <w:szCs w:val="21"/>
        </w:rPr>
        <w:t>En desarrollo del artículo 2.2.1.1.1.6.4. del Decreto 1082 de 2015, Colombia Compra Eficiente expide la “Guía para determinar y verificar la Capacidad Residual del proponente en los procesos de contratación de obra pública”, y conjuntamente un aplicativo de Excel diseñado para facilitar el cálculo. Este aplicativo es un instrumento de apoyo que no exime a las Entidades Estatales y a los proponentes de realizar el cálculo de la Capacidad Residual en los términos de la Guía.</w:t>
      </w:r>
    </w:p>
    <w:p w:rsidRPr="00DB5357" w:rsidR="00F91408" w:rsidP="00F91408" w:rsidRDefault="00F91408" w14:paraId="1EAF4E7A" w14:textId="77777777">
      <w:pPr>
        <w:pStyle w:val="Textoindependiente"/>
        <w:ind w:left="709" w:right="760"/>
        <w:jc w:val="both"/>
        <w:rPr>
          <w:color w:val="000000" w:themeColor="text1"/>
          <w:sz w:val="21"/>
          <w:szCs w:val="21"/>
        </w:rPr>
      </w:pPr>
    </w:p>
    <w:p w:rsidRPr="00DB5357" w:rsidR="00F91408" w:rsidP="00F91408" w:rsidRDefault="00F91408" w14:paraId="46625E9C" w14:textId="77777777">
      <w:pPr>
        <w:pStyle w:val="Textoindependiente"/>
        <w:ind w:left="709" w:right="760"/>
        <w:jc w:val="both"/>
        <w:rPr>
          <w:color w:val="000000" w:themeColor="text1"/>
          <w:sz w:val="21"/>
          <w:szCs w:val="21"/>
        </w:rPr>
      </w:pPr>
      <w:r w:rsidRPr="00DB5357">
        <w:rPr>
          <w:color w:val="000000" w:themeColor="text1"/>
          <w:sz w:val="21"/>
          <w:szCs w:val="21"/>
        </w:rPr>
        <w:t xml:space="preserve">La “Guía para determinar y verificar la Capacidad Residual del proponente en los procesos de contratación de obra pública” y el aplicativo de Excel están disponibles en la página web: </w:t>
      </w:r>
      <w:hyperlink w:history="1" r:id="rId12">
        <w:r w:rsidRPr="00DB5357">
          <w:rPr>
            <w:rStyle w:val="Hipervnculo"/>
            <w:color w:val="000000" w:themeColor="text1"/>
            <w:sz w:val="21"/>
            <w:szCs w:val="21"/>
          </w:rPr>
          <w:t>https://www.colombiacompra.gov.co/manuales-guias-y-pliegos-tipo/manuales-y-guias</w:t>
        </w:r>
      </w:hyperlink>
    </w:p>
    <w:p w:rsidRPr="00DB5357" w:rsidR="00F91408" w:rsidP="00F91408" w:rsidRDefault="00F91408" w14:paraId="46D45AAB" w14:textId="77777777">
      <w:pPr>
        <w:pStyle w:val="Textoindependiente"/>
        <w:ind w:left="709" w:right="760"/>
        <w:jc w:val="both"/>
        <w:rPr>
          <w:color w:val="000000" w:themeColor="text1"/>
          <w:sz w:val="21"/>
          <w:szCs w:val="21"/>
        </w:rPr>
      </w:pPr>
    </w:p>
    <w:p w:rsidRPr="00DB5357" w:rsidR="000619F5" w:rsidP="008C27FB" w:rsidRDefault="008C27FB" w14:paraId="517888B9" w14:textId="19977C68">
      <w:pPr>
        <w:pStyle w:val="Textoindependiente"/>
        <w:spacing w:before="120" w:line="276" w:lineRule="auto"/>
        <w:ind w:right="51" w:firstLine="709"/>
        <w:jc w:val="both"/>
        <w:rPr>
          <w:color w:val="000000" w:themeColor="text1"/>
        </w:rPr>
      </w:pPr>
      <w:r w:rsidRPr="00DB5357">
        <w:rPr>
          <w:color w:val="000000" w:themeColor="text1"/>
        </w:rPr>
        <w:t>Para</w:t>
      </w:r>
      <w:r w:rsidRPr="00DB5357" w:rsidR="00F91408">
        <w:rPr>
          <w:color w:val="000000" w:themeColor="text1"/>
        </w:rPr>
        <w:t xml:space="preserve"> acreditar </w:t>
      </w:r>
      <w:r w:rsidRPr="00DB5357">
        <w:rPr>
          <w:color w:val="000000" w:themeColor="text1"/>
        </w:rPr>
        <w:t xml:space="preserve">el factor </w:t>
      </w:r>
      <w:r w:rsidRPr="00DB5357" w:rsidR="00F91408">
        <w:rPr>
          <w:color w:val="000000" w:themeColor="text1"/>
        </w:rPr>
        <w:t>experiencia</w:t>
      </w:r>
      <w:r w:rsidRPr="00DB5357">
        <w:rPr>
          <w:color w:val="000000" w:themeColor="text1"/>
        </w:rPr>
        <w:t xml:space="preserve"> «E», por ejemplo, el proponente debe </w:t>
      </w:r>
      <w:r w:rsidRPr="00DB5357" w:rsidR="00F7035B">
        <w:rPr>
          <w:color w:val="000000" w:themeColor="text1"/>
        </w:rPr>
        <w:t xml:space="preserve">suscribir </w:t>
      </w:r>
      <w:r w:rsidRPr="00DB5357">
        <w:rPr>
          <w:color w:val="000000" w:themeColor="text1"/>
        </w:rPr>
        <w:t>el formato correspondiente al Anexo 1 de la «Guía para Determinar y Verificar la Capacidad Residual del Proponente en los Procesos de Contratación de Obra Pública» −este es diferente al Anexo 1 de los Documentos Tipo−, el cual debe ser diligenciado, por un lado, con los contratos inscritos en el segmento 72 y</w:t>
      </w:r>
      <w:r w:rsidRPr="00DB5357" w:rsidR="000619F5">
        <w:rPr>
          <w:color w:val="000000" w:themeColor="text1"/>
        </w:rPr>
        <w:t xml:space="preserve">, por el otro, con el </w:t>
      </w:r>
      <w:r w:rsidRPr="00DB5357">
        <w:rPr>
          <w:color w:val="000000" w:themeColor="text1"/>
        </w:rPr>
        <w:t xml:space="preserve">valor total </w:t>
      </w:r>
      <w:r w:rsidRPr="00DB5357" w:rsidR="000619F5">
        <w:rPr>
          <w:color w:val="000000" w:themeColor="text1"/>
        </w:rPr>
        <w:t xml:space="preserve">de dichos contratos expresado </w:t>
      </w:r>
      <w:r w:rsidRPr="00DB5357">
        <w:rPr>
          <w:color w:val="000000" w:themeColor="text1"/>
        </w:rPr>
        <w:t>en pesos colombianos</w:t>
      </w:r>
      <w:r w:rsidRPr="00DB5357" w:rsidR="000619F5">
        <w:rPr>
          <w:color w:val="000000" w:themeColor="text1"/>
        </w:rPr>
        <w:t xml:space="preserve"> y </w:t>
      </w:r>
      <w:r w:rsidRPr="00DB5357">
        <w:rPr>
          <w:color w:val="000000" w:themeColor="text1"/>
        </w:rPr>
        <w:t xml:space="preserve"> liquidados con el SMMLV.</w:t>
      </w:r>
      <w:r w:rsidRPr="00DB5357" w:rsidR="000619F5">
        <w:rPr>
          <w:color w:val="000000" w:themeColor="text1"/>
        </w:rPr>
        <w:t xml:space="preserve"> </w:t>
      </w:r>
      <w:r w:rsidRPr="00DB5357" w:rsidR="00504F2E">
        <w:rPr>
          <w:color w:val="000000" w:themeColor="text1"/>
        </w:rPr>
        <w:t xml:space="preserve">El Anexo </w:t>
      </w:r>
      <w:r w:rsidRPr="00DB5357" w:rsidR="0044260A">
        <w:rPr>
          <w:color w:val="000000" w:themeColor="text1"/>
        </w:rPr>
        <w:t xml:space="preserve">1 </w:t>
      </w:r>
      <w:r w:rsidRPr="00DB5357" w:rsidR="00504F2E">
        <w:rPr>
          <w:color w:val="000000" w:themeColor="text1"/>
        </w:rPr>
        <w:t xml:space="preserve">es </w:t>
      </w:r>
      <w:proofErr w:type="spellStart"/>
      <w:r w:rsidRPr="00DB5357" w:rsidR="0044260A">
        <w:rPr>
          <w:color w:val="000000" w:themeColor="text1"/>
        </w:rPr>
        <w:t>l</w:t>
      </w:r>
      <w:proofErr w:type="spellEnd"/>
      <w:r w:rsidRPr="00DB5357" w:rsidR="0044260A">
        <w:rPr>
          <w:color w:val="000000" w:themeColor="text1"/>
        </w:rPr>
        <w:t xml:space="preserve"> siguiente</w:t>
      </w:r>
      <w:r w:rsidRPr="00DB5357" w:rsidR="00504F2E">
        <w:rPr>
          <w:color w:val="000000" w:themeColor="text1"/>
        </w:rPr>
        <w:t>:</w:t>
      </w:r>
    </w:p>
    <w:p w:rsidRPr="00DB5357" w:rsidR="000619F5" w:rsidP="008C27FB" w:rsidRDefault="000619F5" w14:paraId="6DD933C4" w14:textId="77777777">
      <w:pPr>
        <w:pStyle w:val="Textoindependiente"/>
        <w:spacing w:before="120" w:line="276" w:lineRule="auto"/>
        <w:ind w:right="51" w:firstLine="709"/>
        <w:jc w:val="both"/>
        <w:rPr>
          <w:color w:val="000000" w:themeColor="text1"/>
        </w:rPr>
      </w:pPr>
    </w:p>
    <w:p w:rsidRPr="00DB5357" w:rsidR="000619F5" w:rsidP="00FD7B36" w:rsidRDefault="00504F2E" w14:paraId="7B75F3C7" w14:textId="354F333D">
      <w:pPr>
        <w:pStyle w:val="Textoindependiente"/>
        <w:spacing w:before="120" w:line="276" w:lineRule="auto"/>
        <w:ind w:right="51"/>
        <w:jc w:val="center"/>
        <w:rPr>
          <w:color w:val="000000" w:themeColor="text1"/>
        </w:rPr>
      </w:pPr>
      <w:r w:rsidR="00504F2E">
        <w:drawing>
          <wp:inline wp14:editId="5080973F" wp14:anchorId="7A40F60F">
            <wp:extent cx="3881382" cy="3773979"/>
            <wp:effectExtent l="0" t="0" r="5080" b="0"/>
            <wp:docPr id="2018970010" name="Imagen 8" title=""/>
            <wp:cNvGraphicFramePr>
              <a:graphicFrameLocks noChangeAspect="1"/>
            </wp:cNvGraphicFramePr>
            <a:graphic>
              <a:graphicData uri="http://schemas.openxmlformats.org/drawingml/2006/picture">
                <pic:pic>
                  <pic:nvPicPr>
                    <pic:cNvPr id="0" name="Imagen 8"/>
                    <pic:cNvPicPr/>
                  </pic:nvPicPr>
                  <pic:blipFill>
                    <a:blip r:embed="R929fee0112b747a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81382" cy="3773979"/>
                    </a:xfrm>
                    <a:prstGeom prst="rect">
                      <a:avLst/>
                    </a:prstGeom>
                  </pic:spPr>
                </pic:pic>
              </a:graphicData>
            </a:graphic>
          </wp:inline>
        </w:drawing>
      </w:r>
    </w:p>
    <w:p w:rsidRPr="00DB5357" w:rsidR="00DB0032" w:rsidP="00504F2E" w:rsidRDefault="00504F2E" w14:paraId="274DF3F0" w14:textId="633B70EF">
      <w:pPr>
        <w:pStyle w:val="Textoindependiente"/>
        <w:spacing w:before="120" w:line="276" w:lineRule="auto"/>
        <w:ind w:right="51" w:firstLine="709"/>
        <w:jc w:val="both"/>
        <w:rPr>
          <w:color w:val="000000" w:themeColor="text1"/>
        </w:rPr>
      </w:pPr>
      <w:r w:rsidRPr="00DB5357">
        <w:rPr>
          <w:color w:val="000000" w:themeColor="text1"/>
        </w:rPr>
        <w:t xml:space="preserve">Nótese que </w:t>
      </w:r>
      <w:r w:rsidRPr="00DB5357" w:rsidR="003072FC">
        <w:rPr>
          <w:color w:val="000000" w:themeColor="text1"/>
        </w:rPr>
        <w:t xml:space="preserve">en la parte superior derecha </w:t>
      </w:r>
      <w:r w:rsidRPr="00DB5357">
        <w:rPr>
          <w:color w:val="000000" w:themeColor="text1"/>
        </w:rPr>
        <w:t xml:space="preserve">se lee que el valor total de los contratos ejecutados corresponde «al valor del contrato ponderado por la participación en pesos colombianos». </w:t>
      </w:r>
      <w:r w:rsidRPr="00DB5357" w:rsidR="003072FC">
        <w:rPr>
          <w:color w:val="000000" w:themeColor="text1"/>
        </w:rPr>
        <w:t>Ahora bien, e</w:t>
      </w:r>
      <w:r w:rsidRPr="00DB5357" w:rsidR="000619F5">
        <w:rPr>
          <w:color w:val="000000" w:themeColor="text1"/>
        </w:rPr>
        <w:t>n criterio de</w:t>
      </w:r>
      <w:r w:rsidRPr="00DB5357">
        <w:rPr>
          <w:color w:val="000000" w:themeColor="text1"/>
        </w:rPr>
        <w:t xml:space="preserve"> la Agencia Nacional de Contratación Pública</w:t>
      </w:r>
      <w:r w:rsidRPr="00DB5357" w:rsidR="002D09E1">
        <w:rPr>
          <w:color w:val="000000" w:themeColor="text1"/>
        </w:rPr>
        <w:t>,</w:t>
      </w:r>
      <w:r w:rsidRPr="00DB5357">
        <w:rPr>
          <w:color w:val="000000" w:themeColor="text1"/>
        </w:rPr>
        <w:t xml:space="preserve"> la noción «liquidados con el SMMLV», contenida en la página 7 de la «Guía para Determinar y Verificar la Capacidad Residual del Proponente en los Procesos de Contratación de Obra Pública», implica que </w:t>
      </w:r>
      <w:r w:rsidRPr="00DB5357" w:rsidR="003072FC">
        <w:rPr>
          <w:color w:val="000000" w:themeColor="text1"/>
        </w:rPr>
        <w:t xml:space="preserve">para efectos prácticos </w:t>
      </w:r>
      <w:r w:rsidRPr="00DB5357" w:rsidR="009420F7">
        <w:rPr>
          <w:color w:val="000000" w:themeColor="text1"/>
        </w:rPr>
        <w:t xml:space="preserve">en </w:t>
      </w:r>
      <w:r w:rsidRPr="00DB5357" w:rsidR="002D09E1">
        <w:rPr>
          <w:color w:val="000000" w:themeColor="text1"/>
        </w:rPr>
        <w:t xml:space="preserve">el </w:t>
      </w:r>
      <w:r w:rsidRPr="00DB5357" w:rsidR="009420F7">
        <w:rPr>
          <w:color w:val="000000" w:themeColor="text1"/>
        </w:rPr>
        <w:t>Anexo 1 se</w:t>
      </w:r>
      <w:r w:rsidRPr="00DB5357" w:rsidR="008B3426">
        <w:rPr>
          <w:color w:val="000000" w:themeColor="text1"/>
        </w:rPr>
        <w:t xml:space="preserve"> debe hacer referencia</w:t>
      </w:r>
      <w:r w:rsidRPr="00DB5357" w:rsidR="009420F7">
        <w:rPr>
          <w:color w:val="000000" w:themeColor="text1"/>
        </w:rPr>
        <w:t xml:space="preserve">: i) al contrato relacionado con la actividad de la construcción −segmento 72, clasificador UNSPSC−; y </w:t>
      </w:r>
      <w:proofErr w:type="spellStart"/>
      <w:r w:rsidRPr="00DB5357" w:rsidR="009420F7">
        <w:rPr>
          <w:color w:val="000000" w:themeColor="text1"/>
        </w:rPr>
        <w:t>ii</w:t>
      </w:r>
      <w:proofErr w:type="spellEnd"/>
      <w:r w:rsidRPr="00DB5357" w:rsidR="009420F7">
        <w:rPr>
          <w:color w:val="000000" w:themeColor="text1"/>
        </w:rPr>
        <w:t>) al valor de cada uno de esos contratos de acuerdo a los salarios mínimos mensuales legales vigentes «SMMLV» registrados en el RUP</w:t>
      </w:r>
      <w:r w:rsidRPr="00DB5357" w:rsidR="00401826">
        <w:rPr>
          <w:rStyle w:val="Refdenotaalpie"/>
          <w:color w:val="000000" w:themeColor="text1"/>
        </w:rPr>
        <w:footnoteReference w:id="4"/>
      </w:r>
      <w:r w:rsidRPr="00DB5357" w:rsidR="009420F7">
        <w:rPr>
          <w:color w:val="000000" w:themeColor="text1"/>
        </w:rPr>
        <w:t xml:space="preserve">. De ser necesario, el </w:t>
      </w:r>
      <w:r w:rsidRPr="00DB5357" w:rsidR="009420F7">
        <w:rPr>
          <w:color w:val="000000" w:themeColor="text1"/>
        </w:rPr>
        <w:lastRenderedPageBreak/>
        <w:t>proponente tendrá que diligenciar la casilla del porcentaje de «participación del proponente en el contratista plural» y calcular, según dicho porcentaje, el valor del contrato a tener en cuenta, de tal forma que si, por ejemplo, el contrato inscrito en el RUP es de cien (100)  SMMLV</w:t>
      </w:r>
      <w:r w:rsidRPr="00DB5357" w:rsidR="003E048E">
        <w:rPr>
          <w:color w:val="000000" w:themeColor="text1"/>
        </w:rPr>
        <w:t xml:space="preserve">, pero su </w:t>
      </w:r>
      <w:r w:rsidRPr="00DB5357" w:rsidR="009420F7">
        <w:rPr>
          <w:color w:val="000000" w:themeColor="text1"/>
        </w:rPr>
        <w:t>participación fue del cincuenta (50) por ciento, en la casilla «valor</w:t>
      </w:r>
      <w:r w:rsidRPr="00DB5357" w:rsidR="005C5D46">
        <w:rPr>
          <w:color w:val="000000" w:themeColor="text1"/>
        </w:rPr>
        <w:t xml:space="preserve"> </w:t>
      </w:r>
      <w:r w:rsidRPr="00DB5357" w:rsidR="009420F7">
        <w:rPr>
          <w:color w:val="000000" w:themeColor="text1"/>
        </w:rPr>
        <w:t xml:space="preserve">total de los contratos ejecutados» </w:t>
      </w:r>
      <w:r w:rsidRPr="00DB5357" w:rsidR="003E048E">
        <w:rPr>
          <w:color w:val="000000" w:themeColor="text1"/>
        </w:rPr>
        <w:t>solo se</w:t>
      </w:r>
      <w:r w:rsidRPr="00DB5357" w:rsidR="009420F7">
        <w:rPr>
          <w:color w:val="000000" w:themeColor="text1"/>
        </w:rPr>
        <w:t xml:space="preserve"> podrá</w:t>
      </w:r>
      <w:r w:rsidRPr="00DB5357" w:rsidR="003E048E">
        <w:rPr>
          <w:color w:val="000000" w:themeColor="text1"/>
        </w:rPr>
        <w:t>n</w:t>
      </w:r>
      <w:r w:rsidRPr="00DB5357" w:rsidR="009420F7">
        <w:rPr>
          <w:color w:val="000000" w:themeColor="text1"/>
        </w:rPr>
        <w:t xml:space="preserve"> incluir cincuenta (50) de los cien (100) SMMLV</w:t>
      </w:r>
      <w:r w:rsidRPr="00DB5357" w:rsidR="005C5D46">
        <w:rPr>
          <w:color w:val="000000" w:themeColor="text1"/>
        </w:rPr>
        <w:t xml:space="preserve">, </w:t>
      </w:r>
      <w:r w:rsidRPr="00DB5357" w:rsidR="009420F7">
        <w:rPr>
          <w:color w:val="000000" w:themeColor="text1"/>
        </w:rPr>
        <w:t>dad</w:t>
      </w:r>
      <w:r w:rsidRPr="00DB5357" w:rsidR="003E048E">
        <w:rPr>
          <w:color w:val="000000" w:themeColor="text1"/>
        </w:rPr>
        <w:t xml:space="preserve">o el porcentaje de </w:t>
      </w:r>
      <w:r w:rsidRPr="00DB5357" w:rsidR="009420F7">
        <w:rPr>
          <w:color w:val="000000" w:themeColor="text1"/>
        </w:rPr>
        <w:t>participación</w:t>
      </w:r>
      <w:r w:rsidRPr="00DB5357" w:rsidR="003E048E">
        <w:rPr>
          <w:color w:val="000000" w:themeColor="text1"/>
        </w:rPr>
        <w:t xml:space="preserve"> del proponente</w:t>
      </w:r>
      <w:r w:rsidRPr="00DB5357">
        <w:rPr>
          <w:color w:val="000000" w:themeColor="text1"/>
        </w:rPr>
        <w:t>.</w:t>
      </w:r>
      <w:r w:rsidRPr="00DB5357" w:rsidR="009420F7">
        <w:rPr>
          <w:color w:val="000000" w:themeColor="text1"/>
        </w:rPr>
        <w:t xml:space="preserve"> </w:t>
      </w:r>
    </w:p>
    <w:p w:rsidRPr="00DB5357" w:rsidR="008C27FB" w:rsidP="00504F2E" w:rsidRDefault="009420F7" w14:paraId="5C9F1E92" w14:textId="01AD14B7">
      <w:pPr>
        <w:pStyle w:val="Textoindependiente"/>
        <w:spacing w:before="120" w:line="276" w:lineRule="auto"/>
        <w:ind w:right="51" w:firstLine="709"/>
        <w:jc w:val="both"/>
        <w:rPr>
          <w:color w:val="000000" w:themeColor="text1"/>
        </w:rPr>
      </w:pPr>
      <w:r w:rsidRPr="00DB5357">
        <w:rPr>
          <w:color w:val="000000" w:themeColor="text1"/>
        </w:rPr>
        <w:t xml:space="preserve">De todos modos, el valor </w:t>
      </w:r>
      <w:r w:rsidRPr="00DB5357" w:rsidR="006C4025">
        <w:rPr>
          <w:color w:val="000000" w:themeColor="text1"/>
        </w:rPr>
        <w:t xml:space="preserve">total de </w:t>
      </w:r>
      <w:r w:rsidRPr="00DB5357">
        <w:rPr>
          <w:color w:val="000000" w:themeColor="text1"/>
        </w:rPr>
        <w:t xml:space="preserve">los contratos </w:t>
      </w:r>
      <w:r w:rsidRPr="00DB5357" w:rsidR="00DB0032">
        <w:rPr>
          <w:color w:val="000000" w:themeColor="text1"/>
        </w:rPr>
        <w:t xml:space="preserve">referidos en el Anexo 1 </w:t>
      </w:r>
      <w:r w:rsidRPr="00DB5357">
        <w:rPr>
          <w:color w:val="000000" w:themeColor="text1"/>
        </w:rPr>
        <w:t xml:space="preserve">debe liquidarse </w:t>
      </w:r>
      <w:r w:rsidRPr="00DB5357" w:rsidR="00401E43">
        <w:rPr>
          <w:color w:val="000000" w:themeColor="text1"/>
        </w:rPr>
        <w:t xml:space="preserve">en pesos colombianos </w:t>
      </w:r>
      <w:r w:rsidRPr="00DB5357" w:rsidR="00DB0032">
        <w:rPr>
          <w:color w:val="000000" w:themeColor="text1"/>
        </w:rPr>
        <w:t>según el</w:t>
      </w:r>
      <w:r w:rsidRPr="00DB5357" w:rsidR="00051B08">
        <w:rPr>
          <w:color w:val="000000" w:themeColor="text1"/>
        </w:rPr>
        <w:t xml:space="preserve"> salario mínimo mensual legal vigente para </w:t>
      </w:r>
      <w:r w:rsidRPr="00DB5357">
        <w:rPr>
          <w:color w:val="000000" w:themeColor="text1"/>
        </w:rPr>
        <w:t xml:space="preserve">el momento </w:t>
      </w:r>
      <w:r w:rsidRPr="00DB5357" w:rsidR="00DB0032">
        <w:rPr>
          <w:color w:val="000000" w:themeColor="text1"/>
        </w:rPr>
        <w:t>en el que se realiza la presentación de la oferta. Esta conversión</w:t>
      </w:r>
      <w:r w:rsidRPr="00DB5357" w:rsidR="00051B08">
        <w:rPr>
          <w:color w:val="000000" w:themeColor="text1"/>
        </w:rPr>
        <w:t xml:space="preserve"> de salarios a pesos encuentra fundamento</w:t>
      </w:r>
      <w:r w:rsidRPr="00DB5357" w:rsidR="00DB0032">
        <w:rPr>
          <w:color w:val="000000" w:themeColor="text1"/>
        </w:rPr>
        <w:t>, por un lado, en los criterios expuestos en la «Guía para Determinar y Verificar la Capacidad Residual del Proponente en los Procesos de Contratación de Obra Pública»</w:t>
      </w:r>
      <w:r w:rsidRPr="00DB5357" w:rsidR="0044260A">
        <w:rPr>
          <w:color w:val="000000" w:themeColor="text1"/>
        </w:rPr>
        <w:t xml:space="preserve">, particularmente en </w:t>
      </w:r>
      <w:r w:rsidRPr="00DB5357" w:rsidR="00051B08">
        <w:rPr>
          <w:color w:val="000000" w:themeColor="text1"/>
        </w:rPr>
        <w:t>lo que señala el párrafo 5 de la página 7 de dicho documento</w:t>
      </w:r>
      <w:r w:rsidRPr="00DB5357" w:rsidR="0044260A">
        <w:rPr>
          <w:color w:val="000000" w:themeColor="text1"/>
        </w:rPr>
        <w:t xml:space="preserve">. Por </w:t>
      </w:r>
      <w:r w:rsidRPr="00DB5357" w:rsidR="00DB0032">
        <w:rPr>
          <w:color w:val="000000" w:themeColor="text1"/>
        </w:rPr>
        <w:t>otro</w:t>
      </w:r>
      <w:r w:rsidRPr="00DB5357" w:rsidR="0044260A">
        <w:rPr>
          <w:color w:val="000000" w:themeColor="text1"/>
        </w:rPr>
        <w:t xml:space="preserve"> lado</w:t>
      </w:r>
      <w:r w:rsidRPr="00DB5357" w:rsidR="00DB0032">
        <w:rPr>
          <w:color w:val="000000" w:themeColor="text1"/>
        </w:rPr>
        <w:t xml:space="preserve">, </w:t>
      </w:r>
      <w:r w:rsidRPr="00DB5357" w:rsidR="00051B08">
        <w:rPr>
          <w:color w:val="000000" w:themeColor="text1"/>
        </w:rPr>
        <w:t xml:space="preserve">se justifica </w:t>
      </w:r>
      <w:r w:rsidRPr="00DB5357" w:rsidR="00DB0032">
        <w:rPr>
          <w:color w:val="000000" w:themeColor="text1"/>
        </w:rPr>
        <w:t xml:space="preserve">en el hecho </w:t>
      </w:r>
      <w:r w:rsidRPr="00DB5357" w:rsidR="00051B08">
        <w:rPr>
          <w:color w:val="000000" w:themeColor="text1"/>
        </w:rPr>
        <w:t xml:space="preserve">de </w:t>
      </w:r>
      <w:r w:rsidRPr="00DB5357" w:rsidR="00DB0032">
        <w:rPr>
          <w:color w:val="000000" w:themeColor="text1"/>
        </w:rPr>
        <w:t xml:space="preserve">que la fórmula a aplicar </w:t>
      </w:r>
      <w:r w:rsidRPr="00DB5357" w:rsidR="00051B08">
        <w:rPr>
          <w:color w:val="000000" w:themeColor="text1"/>
        </w:rPr>
        <w:t xml:space="preserve">requiere que la información se exprese </w:t>
      </w:r>
      <w:r w:rsidRPr="00DB5357" w:rsidR="00DB0032">
        <w:rPr>
          <w:color w:val="000000" w:themeColor="text1"/>
        </w:rPr>
        <w:t>en pesos y no en SMMLV.</w:t>
      </w:r>
      <w:r w:rsidRPr="00DB5357" w:rsidR="00401826">
        <w:rPr>
          <w:color w:val="000000" w:themeColor="text1"/>
        </w:rPr>
        <w:t xml:space="preserve"> Incluso, en los conceptos C-089 y C-222 de 2020, esta Subdirección manifestó lo siguiente</w:t>
      </w:r>
      <w:r w:rsidRPr="00DB5357" w:rsidR="006C4025">
        <w:rPr>
          <w:color w:val="000000" w:themeColor="text1"/>
        </w:rPr>
        <w:t>,</w:t>
      </w:r>
      <w:r w:rsidRPr="00DB5357" w:rsidR="00401826">
        <w:rPr>
          <w:color w:val="000000" w:themeColor="text1"/>
        </w:rPr>
        <w:t xml:space="preserve"> en relación con el tema </w:t>
      </w:r>
      <w:r w:rsidRPr="00DB5357" w:rsidR="00051B08">
        <w:rPr>
          <w:color w:val="000000" w:themeColor="text1"/>
        </w:rPr>
        <w:t xml:space="preserve">objeto de </w:t>
      </w:r>
      <w:r w:rsidRPr="00DB5357" w:rsidR="00F05F7E">
        <w:rPr>
          <w:color w:val="000000" w:themeColor="text1"/>
        </w:rPr>
        <w:t>análisis</w:t>
      </w:r>
      <w:r w:rsidRPr="00DB5357" w:rsidR="00401826">
        <w:rPr>
          <w:color w:val="000000" w:themeColor="text1"/>
        </w:rPr>
        <w:t>:</w:t>
      </w:r>
    </w:p>
    <w:p w:rsidRPr="00DB5357" w:rsidR="00745970" w:rsidP="006C4025" w:rsidRDefault="00745970" w14:paraId="5A1469C9" w14:textId="5C2B1EC2">
      <w:pPr>
        <w:pStyle w:val="Textoindependiente"/>
        <w:ind w:right="51" w:firstLine="709"/>
        <w:jc w:val="both"/>
        <w:rPr>
          <w:color w:val="000000" w:themeColor="text1"/>
        </w:rPr>
      </w:pPr>
    </w:p>
    <w:p w:rsidRPr="00DB5357" w:rsidR="00745970" w:rsidP="00745970" w:rsidRDefault="00745970" w14:paraId="7D47D10A" w14:textId="17072A0B">
      <w:pPr>
        <w:pStyle w:val="Textoindependiente"/>
        <w:spacing w:before="120"/>
        <w:ind w:left="709" w:right="758"/>
        <w:jc w:val="both"/>
        <w:rPr>
          <w:color w:val="000000" w:themeColor="text1"/>
          <w:sz w:val="21"/>
          <w:szCs w:val="21"/>
          <w:lang w:val="es-MX"/>
        </w:rPr>
      </w:pPr>
      <w:r w:rsidRPr="00DB5357">
        <w:rPr>
          <w:color w:val="000000" w:themeColor="text1"/>
          <w:sz w:val="21"/>
          <w:szCs w:val="21"/>
          <w:lang w:val="es-MX"/>
        </w:rPr>
        <w:t xml:space="preserve">Por último, al observar el concepto de experiencia, como «requisito habilitante», y teniendo en cuenta que su consulta se relaciona con la experiencia, como «factor de la fórmula de la capacidad residual», de acuerdo con lo señalado para cada concepto, es decir, que el «requisito habilitante» se deriva de los contratos celebrados por el proponente que deben inscribirse en el RUP, y que el «factor de la fórmula de la capacidad residual» </w:t>
      </w:r>
      <w:r w:rsidRPr="00DB5357">
        <w:rPr>
          <w:i/>
          <w:iCs/>
          <w:color w:val="000000" w:themeColor="text1"/>
          <w:sz w:val="21"/>
          <w:szCs w:val="21"/>
          <w:lang w:val="es-MX"/>
        </w:rPr>
        <w:t>está determinado por el valor total en pesos de los contratos que figuran en el RUP</w:t>
      </w:r>
      <w:r w:rsidRPr="00DB5357">
        <w:rPr>
          <w:color w:val="000000" w:themeColor="text1"/>
          <w:sz w:val="21"/>
          <w:szCs w:val="21"/>
          <w:lang w:val="es-MX"/>
        </w:rPr>
        <w:t xml:space="preserve">, la experiencia en ambos casos se refiere a la misma definición. </w:t>
      </w:r>
      <w:r w:rsidRPr="00DB5357" w:rsidR="0025014F">
        <w:rPr>
          <w:color w:val="000000" w:themeColor="text1"/>
          <w:sz w:val="21"/>
          <w:szCs w:val="21"/>
          <w:lang w:val="es-MX"/>
        </w:rPr>
        <w:t>[</w:t>
      </w:r>
      <w:r w:rsidRPr="00DB5357">
        <w:rPr>
          <w:color w:val="000000" w:themeColor="text1"/>
          <w:sz w:val="21"/>
          <w:szCs w:val="21"/>
          <w:lang w:val="es-MX"/>
        </w:rPr>
        <w:t>Cursivas propias</w:t>
      </w:r>
      <w:r w:rsidRPr="00DB5357" w:rsidR="0025014F">
        <w:rPr>
          <w:color w:val="000000" w:themeColor="text1"/>
          <w:sz w:val="21"/>
          <w:szCs w:val="21"/>
          <w:lang w:val="es-MX"/>
        </w:rPr>
        <w:t>]</w:t>
      </w:r>
    </w:p>
    <w:p w:rsidRPr="00DB5357" w:rsidR="00401826" w:rsidP="006C4025" w:rsidRDefault="00401826" w14:paraId="201BD57C" w14:textId="77777777">
      <w:pPr>
        <w:pStyle w:val="Textoindependiente"/>
        <w:ind w:right="51" w:firstLine="709"/>
        <w:jc w:val="both"/>
        <w:rPr>
          <w:color w:val="000000" w:themeColor="text1"/>
        </w:rPr>
      </w:pPr>
    </w:p>
    <w:p w:rsidRPr="00DB5357" w:rsidR="00E52298" w:rsidP="00F419B1" w:rsidRDefault="000619F5" w14:paraId="46AF3677" w14:textId="2B60B74B">
      <w:pPr>
        <w:pStyle w:val="Textoindependiente"/>
        <w:spacing w:before="120" w:line="276" w:lineRule="auto"/>
        <w:ind w:right="51" w:firstLine="709"/>
        <w:jc w:val="both"/>
        <w:rPr>
          <w:color w:val="000000" w:themeColor="text1"/>
        </w:rPr>
      </w:pPr>
      <w:r w:rsidRPr="00DB5357">
        <w:rPr>
          <w:color w:val="000000" w:themeColor="text1"/>
        </w:rPr>
        <w:t xml:space="preserve">En suma, a la entidad contratante corresponde, por una parte, establecer la capacidad residual del proceso de contratación «CRPC» y, por la otra, determinar si los proponentes cumplen con la capacidad residual del proceso de contratación, claro está, teniendo en cuenta la información aportada por el proponente, </w:t>
      </w:r>
      <w:r w:rsidRPr="00DB5357" w:rsidR="006C4025">
        <w:rPr>
          <w:color w:val="000000" w:themeColor="text1"/>
        </w:rPr>
        <w:t xml:space="preserve">y </w:t>
      </w:r>
      <w:r w:rsidRPr="00DB5357">
        <w:rPr>
          <w:color w:val="000000" w:themeColor="text1"/>
        </w:rPr>
        <w:t>según</w:t>
      </w:r>
      <w:r w:rsidRPr="00DB5357" w:rsidR="006C4025">
        <w:rPr>
          <w:color w:val="000000" w:themeColor="text1"/>
        </w:rPr>
        <w:t xml:space="preserve"> los criterios y directrices contenidos en los párrafos precedentes</w:t>
      </w:r>
      <w:r w:rsidRPr="00DB5357">
        <w:rPr>
          <w:color w:val="000000" w:themeColor="text1"/>
        </w:rPr>
        <w:t>.</w:t>
      </w:r>
    </w:p>
    <w:p w:rsidRPr="00DB5357" w:rsidR="00871562" w:rsidP="00F419B1" w:rsidRDefault="00871562" w14:paraId="3864753D" w14:textId="00F27975">
      <w:pPr>
        <w:pStyle w:val="Textoindependiente"/>
        <w:spacing w:before="120" w:line="276" w:lineRule="auto"/>
        <w:ind w:right="51" w:firstLine="709"/>
        <w:jc w:val="both"/>
        <w:rPr>
          <w:color w:val="000000" w:themeColor="text1"/>
        </w:rPr>
      </w:pPr>
    </w:p>
    <w:p w:rsidRPr="00DB5357" w:rsidR="00871562" w:rsidP="00871562" w:rsidRDefault="00871562" w14:paraId="7CA2A7F6" w14:textId="77777777">
      <w:pPr>
        <w:spacing w:line="276" w:lineRule="auto"/>
        <w:jc w:val="both"/>
        <w:rPr>
          <w:rFonts w:ascii="Arial" w:hAnsi="Arial" w:eastAsia="Calibri" w:cs="Arial"/>
          <w:b/>
          <w:color w:val="000000" w:themeColor="text1"/>
          <w:sz w:val="22"/>
        </w:rPr>
      </w:pPr>
      <w:r w:rsidRPr="00DB5357">
        <w:rPr>
          <w:rFonts w:ascii="Arial" w:hAnsi="Arial" w:eastAsia="Calibri" w:cs="Arial"/>
          <w:b/>
          <w:color w:val="000000" w:themeColor="text1"/>
          <w:sz w:val="22"/>
        </w:rPr>
        <w:t>2.2. La experiencia como «requisito habilitante» y «factor de la fórmula de la capacidad residual»</w:t>
      </w:r>
    </w:p>
    <w:p w:rsidRPr="00DB5357" w:rsidR="00871562" w:rsidP="00871562" w:rsidRDefault="00871562" w14:paraId="07129337" w14:textId="77777777">
      <w:pPr>
        <w:spacing w:line="276" w:lineRule="auto"/>
        <w:jc w:val="both"/>
        <w:rPr>
          <w:rFonts w:ascii="Arial" w:hAnsi="Arial" w:eastAsia="Calibri" w:cs="Arial"/>
          <w:b/>
          <w:color w:val="000000" w:themeColor="text1"/>
          <w:sz w:val="22"/>
        </w:rPr>
      </w:pPr>
      <w:r w:rsidRPr="00DB5357">
        <w:rPr>
          <w:rFonts w:ascii="Arial" w:hAnsi="Arial" w:eastAsia="Calibri" w:cs="Arial"/>
          <w:b/>
          <w:color w:val="000000" w:themeColor="text1"/>
          <w:sz w:val="22"/>
        </w:rPr>
        <w:t xml:space="preserve"> </w:t>
      </w:r>
    </w:p>
    <w:p w:rsidRPr="00DB5357" w:rsidR="00871562" w:rsidP="00871562" w:rsidRDefault="00871562" w14:paraId="6EA6486B" w14:textId="77777777">
      <w:pPr>
        <w:spacing w:line="276" w:lineRule="auto"/>
        <w:jc w:val="both"/>
        <w:rPr>
          <w:rFonts w:ascii="Arial" w:hAnsi="Arial" w:eastAsia="Calibri" w:cs="Arial"/>
          <w:color w:val="000000" w:themeColor="text1"/>
          <w:sz w:val="22"/>
        </w:rPr>
      </w:pPr>
      <w:r w:rsidRPr="00DB5357">
        <w:rPr>
          <w:rFonts w:ascii="Arial" w:hAnsi="Arial" w:eastAsia="Calibri" w:cs="Arial"/>
          <w:color w:val="000000" w:themeColor="text1"/>
          <w:sz w:val="22"/>
        </w:rPr>
        <w:t xml:space="preserve">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w:t>
      </w:r>
      <w:r w:rsidRPr="00DB5357">
        <w:rPr>
          <w:rFonts w:ascii="Arial" w:hAnsi="Arial" w:eastAsia="Calibri" w:cs="Arial"/>
          <w:color w:val="000000" w:themeColor="text1"/>
          <w:sz w:val="22"/>
        </w:rPr>
        <w:lastRenderedPageBreak/>
        <w:t>Pública, con el fin de procurar un equilibrio y el cumplimiento de los principios de la contratación pública, entre otros objetivos.</w:t>
      </w:r>
    </w:p>
    <w:p w:rsidRPr="00DB5357" w:rsidR="00871562" w:rsidP="00871562" w:rsidRDefault="00871562" w14:paraId="7C352DD9" w14:textId="6DBC8B53">
      <w:pPr>
        <w:spacing w:before="120" w:after="120" w:line="276" w:lineRule="auto"/>
        <w:ind w:firstLine="708"/>
        <w:jc w:val="both"/>
        <w:rPr>
          <w:rFonts w:ascii="Arial" w:hAnsi="Arial" w:eastAsia="Calibri" w:cs="Arial"/>
          <w:color w:val="000000" w:themeColor="text1"/>
          <w:sz w:val="22"/>
        </w:rPr>
      </w:pPr>
      <w:r w:rsidRPr="00DB5357">
        <w:rPr>
          <w:rFonts w:ascii="Arial" w:hAnsi="Arial" w:eastAsia="Calibri" w:cs="Arial"/>
          <w:color w:val="000000" w:themeColor="text1"/>
          <w:sz w:val="22"/>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w:t>
      </w:r>
      <w:r w:rsidRPr="00DB5357" w:rsidR="00D865A1">
        <w:rPr>
          <w:rFonts w:ascii="Arial" w:hAnsi="Arial" w:eastAsia="Calibri" w:cs="Arial"/>
          <w:color w:val="000000" w:themeColor="text1"/>
          <w:sz w:val="22"/>
        </w:rPr>
        <w:t xml:space="preserve"> o documentos equivalentes</w:t>
      </w:r>
      <w:r w:rsidRPr="00DB5357">
        <w:rPr>
          <w:rStyle w:val="Refdenotaalpie"/>
          <w:rFonts w:ascii="Arial" w:hAnsi="Arial" w:eastAsia="Calibri" w:cs="Arial"/>
          <w:color w:val="000000" w:themeColor="text1"/>
          <w:sz w:val="22"/>
        </w:rPr>
        <w:footnoteReference w:id="5"/>
      </w:r>
      <w:r w:rsidRPr="00DB5357">
        <w:rPr>
          <w:rFonts w:ascii="Arial" w:hAnsi="Arial" w:eastAsia="Calibri" w:cs="Arial"/>
          <w:color w:val="000000" w:themeColor="text1"/>
          <w:sz w:val="22"/>
        </w:rPr>
        <w:t xml:space="preserve">. </w:t>
      </w:r>
    </w:p>
    <w:p w:rsidRPr="00DB5357" w:rsidR="00871562" w:rsidP="00871562" w:rsidRDefault="00871562" w14:paraId="1F2CDD23" w14:textId="77777777">
      <w:pPr>
        <w:spacing w:before="120" w:after="120" w:line="276" w:lineRule="auto"/>
        <w:ind w:firstLine="708"/>
        <w:jc w:val="both"/>
        <w:rPr>
          <w:rFonts w:ascii="Arial" w:hAnsi="Arial" w:eastAsia="Calibri" w:cs="Arial"/>
          <w:color w:val="000000" w:themeColor="text1"/>
          <w:sz w:val="22"/>
        </w:rPr>
      </w:pPr>
      <w:r w:rsidRPr="00DB5357">
        <w:rPr>
          <w:rFonts w:ascii="Arial" w:hAnsi="Arial" w:eastAsia="Calibri" w:cs="Arial"/>
          <w:color w:val="000000" w:themeColor="text1"/>
          <w:sz w:val="22"/>
        </w:rPr>
        <w:t>En ese sentido, se debe tener en cuenta que de acuerdo con la Ley 80 de 1993, quienes pueden ser proveedores del Estado son las personas consideradas legalmente capaces, como las personas jurídicas</w:t>
      </w:r>
      <w:r w:rsidRPr="00DB5357">
        <w:rPr>
          <w:rStyle w:val="Refdenotaalpie"/>
          <w:rFonts w:ascii="Arial" w:hAnsi="Arial" w:eastAsia="Calibri" w:cs="Arial"/>
          <w:color w:val="000000" w:themeColor="text1"/>
          <w:sz w:val="22"/>
        </w:rPr>
        <w:footnoteReference w:id="6"/>
      </w:r>
      <w:r w:rsidRPr="00DB5357">
        <w:rPr>
          <w:rFonts w:ascii="Arial" w:hAnsi="Arial" w:eastAsia="Calibri" w:cs="Arial"/>
          <w:color w:val="000000" w:themeColor="text1"/>
          <w:sz w:val="22"/>
        </w:rPr>
        <w:t xml:space="preserve">, que de acuerdo con el Código Civil tienen capacidad para ejercer derechos y contraer obligaciones, por </w:t>
      </w:r>
      <w:proofErr w:type="gramStart"/>
      <w:r w:rsidRPr="00DB5357">
        <w:rPr>
          <w:rFonts w:ascii="Arial" w:hAnsi="Arial" w:eastAsia="Calibri" w:cs="Arial"/>
          <w:color w:val="000000" w:themeColor="text1"/>
          <w:sz w:val="22"/>
        </w:rPr>
        <w:t>ende</w:t>
      </w:r>
      <w:proofErr w:type="gramEnd"/>
      <w:r w:rsidRPr="00DB5357">
        <w:rPr>
          <w:rFonts w:ascii="Arial" w:hAnsi="Arial" w:eastAsia="Calibri" w:cs="Arial"/>
          <w:color w:val="000000" w:themeColor="text1"/>
          <w:sz w:val="22"/>
        </w:rPr>
        <w:t xml:space="preserve"> tienen capacidad jurídica. Un tipo de persona jurídica son las sociedades comerciales</w:t>
      </w:r>
      <w:r w:rsidRPr="00DB5357">
        <w:rPr>
          <w:rStyle w:val="Refdenotaalpie"/>
          <w:rFonts w:ascii="Arial" w:hAnsi="Arial" w:eastAsia="Calibri" w:cs="Arial"/>
          <w:color w:val="000000" w:themeColor="text1"/>
          <w:sz w:val="22"/>
        </w:rPr>
        <w:footnoteReference w:id="7"/>
      </w:r>
      <w:r w:rsidRPr="00DB5357">
        <w:rPr>
          <w:rFonts w:ascii="Arial" w:hAnsi="Arial" w:eastAsia="Calibri" w:cs="Arial"/>
          <w:color w:val="000000" w:themeColor="text1"/>
          <w:sz w:val="22"/>
        </w:rPr>
        <w:t xml:space="preserve"> reguladas, principalmente, en el Código de Comercio</w:t>
      </w:r>
      <w:r w:rsidRPr="00DB5357">
        <w:rPr>
          <w:rStyle w:val="Refdenotaalpie"/>
          <w:rFonts w:ascii="Arial" w:hAnsi="Arial" w:eastAsia="Calibri" w:cs="Arial"/>
          <w:color w:val="000000" w:themeColor="text1"/>
          <w:sz w:val="22"/>
        </w:rPr>
        <w:footnoteReference w:id="8"/>
      </w:r>
      <w:r w:rsidRPr="00DB5357">
        <w:rPr>
          <w:rFonts w:ascii="Arial" w:hAnsi="Arial" w:eastAsia="Calibri" w:cs="Arial"/>
          <w:color w:val="000000" w:themeColor="text1"/>
          <w:sz w:val="22"/>
        </w:rPr>
        <w:t xml:space="preserve">, donde se establece la posibilidad de que existan matrices y subordinadas de estas.   </w:t>
      </w:r>
    </w:p>
    <w:p w:rsidRPr="00DB5357" w:rsidR="00871562" w:rsidP="002448CB" w:rsidRDefault="00871562" w14:paraId="2CFEB019" w14:textId="77777777">
      <w:pPr>
        <w:spacing w:before="120" w:after="120" w:line="276" w:lineRule="auto"/>
        <w:ind w:firstLine="708"/>
        <w:jc w:val="both"/>
        <w:rPr>
          <w:rFonts w:ascii="Arial" w:hAnsi="Arial" w:eastAsia="Calibri" w:cs="Arial"/>
          <w:color w:val="000000" w:themeColor="text1"/>
          <w:sz w:val="22"/>
          <w:highlight w:val="yellow"/>
        </w:rPr>
      </w:pPr>
      <w:r w:rsidRPr="00DB5357">
        <w:rPr>
          <w:rFonts w:ascii="Arial" w:hAnsi="Arial" w:eastAsia="Calibri" w:cs="Arial"/>
          <w:color w:val="000000" w:themeColor="text1"/>
          <w:sz w:val="22"/>
        </w:rPr>
        <w:lastRenderedPageBreak/>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DB5357">
        <w:rPr>
          <w:rStyle w:val="Refdenotaalpie"/>
          <w:rFonts w:ascii="Arial" w:hAnsi="Arial" w:eastAsia="Calibri" w:cs="Arial"/>
          <w:color w:val="000000" w:themeColor="text1"/>
          <w:sz w:val="22"/>
        </w:rPr>
        <w:footnoteReference w:id="9"/>
      </w:r>
      <w:r w:rsidRPr="00DB5357">
        <w:rPr>
          <w:rFonts w:ascii="Arial" w:hAnsi="Arial" w:eastAsia="Calibri" w:cs="Arial"/>
          <w:color w:val="000000" w:themeColor="text1"/>
          <w:sz w:val="22"/>
        </w:rPr>
        <w:t>.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DB5357">
        <w:rPr>
          <w:rStyle w:val="Refdenotaalpie"/>
          <w:rFonts w:ascii="Arial" w:hAnsi="Arial" w:eastAsia="Calibri" w:cs="Arial"/>
          <w:color w:val="000000" w:themeColor="text1"/>
          <w:sz w:val="22"/>
        </w:rPr>
        <w:footnoteReference w:id="10"/>
      </w:r>
      <w:r w:rsidRPr="00DB5357">
        <w:rPr>
          <w:rFonts w:ascii="Arial" w:hAnsi="Arial" w:eastAsia="Calibri" w:cs="Arial"/>
          <w:color w:val="000000" w:themeColor="text1"/>
          <w:sz w:val="22"/>
        </w:rPr>
        <w:t>.</w:t>
      </w:r>
    </w:p>
    <w:p w:rsidRPr="00DB5357" w:rsidR="00871562" w:rsidP="00871562" w:rsidRDefault="00871562" w14:paraId="41B66854" w14:textId="77777777">
      <w:pPr>
        <w:spacing w:before="120" w:after="120" w:line="276" w:lineRule="auto"/>
        <w:ind w:firstLine="708"/>
        <w:jc w:val="both"/>
        <w:rPr>
          <w:rFonts w:ascii="Arial" w:hAnsi="Arial" w:eastAsia="Calibri" w:cs="Arial"/>
          <w:color w:val="000000" w:themeColor="text1"/>
          <w:sz w:val="22"/>
        </w:rPr>
      </w:pPr>
      <w:r w:rsidRPr="00DB5357">
        <w:rPr>
          <w:rFonts w:ascii="Arial" w:hAnsi="Arial" w:eastAsia="Calibri" w:cs="Arial"/>
          <w:color w:val="000000" w:themeColor="text1"/>
          <w:sz w:val="22"/>
        </w:rPr>
        <w:t>La experiencia que se deriva de los contratos que el proponente ha celebrado y ejecutado con diferentes contratantes, sin importar la naturaleza de estos, se verifica con el Registro Único de Proponentes (RUP)</w:t>
      </w:r>
      <w:r w:rsidRPr="00DB5357">
        <w:rPr>
          <w:rStyle w:val="Refdenotaalpie"/>
          <w:rFonts w:ascii="Arial" w:hAnsi="Arial" w:eastAsia="Calibri" w:cs="Arial"/>
          <w:color w:val="000000" w:themeColor="text1"/>
          <w:sz w:val="22"/>
        </w:rPr>
        <w:footnoteReference w:id="11"/>
      </w:r>
      <w:r w:rsidRPr="00DB5357">
        <w:rPr>
          <w:rFonts w:ascii="Arial" w:hAnsi="Arial" w:eastAsia="Calibri" w:cs="Arial"/>
          <w:color w:val="000000" w:themeColor="text1"/>
          <w:sz w:val="22"/>
        </w:rPr>
        <w:t xml:space="preserve">, cuando este certificado sea exigible de acuerdo </w:t>
      </w:r>
      <w:r w:rsidRPr="00DB5357">
        <w:rPr>
          <w:rFonts w:ascii="Arial" w:hAnsi="Arial" w:eastAsia="Calibri" w:cs="Arial"/>
          <w:color w:val="000000" w:themeColor="text1"/>
          <w:sz w:val="22"/>
        </w:rPr>
        <w:lastRenderedPageBreak/>
        <w:t>con la ley, en el cual constan los requisitos habilitantes, que se evalúan exclusivamente con este documento, que es su plena prueba, sin que sea posible para la entidad o el proponente solicitar o aportar otra documentación</w:t>
      </w:r>
      <w:r w:rsidRPr="00DB5357">
        <w:rPr>
          <w:rStyle w:val="Refdenotaalpie"/>
          <w:rFonts w:ascii="Arial" w:hAnsi="Arial" w:eastAsia="Calibri" w:cs="Arial"/>
          <w:color w:val="000000" w:themeColor="text1"/>
          <w:sz w:val="22"/>
        </w:rPr>
        <w:footnoteReference w:id="12"/>
      </w:r>
      <w:r w:rsidRPr="00DB5357">
        <w:rPr>
          <w:rFonts w:ascii="Arial" w:hAnsi="Arial" w:eastAsia="Calibri" w:cs="Arial"/>
          <w:color w:val="000000" w:themeColor="text1"/>
          <w:sz w:val="22"/>
        </w:rPr>
        <w:t>.</w:t>
      </w:r>
    </w:p>
    <w:p w:rsidRPr="00DB5357" w:rsidR="00871562" w:rsidP="00871562" w:rsidRDefault="00871562" w14:paraId="0DCD2FAB" w14:textId="77777777">
      <w:pPr>
        <w:spacing w:before="120" w:after="120" w:line="276" w:lineRule="auto"/>
        <w:ind w:firstLine="709"/>
        <w:jc w:val="both"/>
        <w:rPr>
          <w:rFonts w:ascii="Arial" w:hAnsi="Arial" w:eastAsia="Calibri" w:cs="Arial"/>
          <w:color w:val="000000" w:themeColor="text1"/>
          <w:sz w:val="22"/>
        </w:rPr>
      </w:pPr>
      <w:r w:rsidRPr="00DB5357">
        <w:rPr>
          <w:rFonts w:ascii="Arial" w:hAnsi="Arial" w:eastAsia="Calibri" w:cs="Arial"/>
          <w:color w:val="000000" w:themeColor="text1"/>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DB5357">
        <w:rPr>
          <w:rStyle w:val="Refdenotaalpie"/>
          <w:rFonts w:ascii="Arial" w:hAnsi="Arial" w:eastAsia="Calibri" w:cs="Arial"/>
          <w:color w:val="000000" w:themeColor="text1"/>
          <w:sz w:val="22"/>
        </w:rPr>
        <w:footnoteReference w:id="13"/>
      </w:r>
      <w:r w:rsidRPr="00DB5357">
        <w:rPr>
          <w:rFonts w:ascii="Arial" w:hAnsi="Arial" w:eastAsia="Calibri" w:cs="Arial"/>
          <w:color w:val="000000" w:themeColor="text1"/>
          <w:sz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w:t>
      </w:r>
      <w:r w:rsidRPr="00DB5357">
        <w:rPr>
          <w:rFonts w:ascii="Arial" w:hAnsi="Arial" w:eastAsia="Calibri" w:cs="Arial"/>
          <w:color w:val="000000" w:themeColor="text1"/>
          <w:sz w:val="22"/>
        </w:rPr>
        <w:lastRenderedPageBreak/>
        <w:t>o servicios que los proveedores ofrecen y que las entidades solicitan, sin que la entidad los evalúe, ya que lo que es objeto de evaluación es la experiencia clasificada de esta forma.</w:t>
      </w:r>
    </w:p>
    <w:p w:rsidRPr="00DB5357" w:rsidR="00871562" w:rsidP="00871562" w:rsidRDefault="00871562" w14:paraId="13AA5BBC" w14:textId="78D85966">
      <w:pPr>
        <w:spacing w:line="276" w:lineRule="auto"/>
        <w:ind w:firstLine="709"/>
        <w:jc w:val="both"/>
        <w:rPr>
          <w:rFonts w:ascii="Arial" w:hAnsi="Arial" w:eastAsia="Calibri" w:cs="Arial"/>
          <w:color w:val="000000" w:themeColor="text1"/>
          <w:sz w:val="22"/>
        </w:rPr>
      </w:pPr>
      <w:r w:rsidRPr="00DB5357">
        <w:rPr>
          <w:rFonts w:ascii="Arial" w:hAnsi="Arial" w:eastAsia="Calibri" w:cs="Arial"/>
          <w:color w:val="000000" w:themeColor="text1"/>
          <w:sz w:val="22"/>
        </w:rPr>
        <w:t xml:space="preserve">Por último, al observar el concepto de experiencia, como «requisito habilitante», y teniendo en cuenta que su consulta se relaciona con la experiencia, como «factor de la fórmula de la capacidad residual», de acuerdo con lo señalado para cada concepto, es decir, que el «requisito habilitante» se deriva de los contratos celebrados por el proponente que deben inscribirse en el RUP, y que el «factor de la fórmula de la capacidad residual» </w:t>
      </w:r>
      <w:r w:rsidRPr="00DB5357" w:rsidR="00CE1800">
        <w:rPr>
          <w:rFonts w:ascii="Arial" w:hAnsi="Arial" w:eastAsia="Calibri" w:cs="Arial"/>
          <w:color w:val="000000" w:themeColor="text1"/>
          <w:sz w:val="22"/>
        </w:rPr>
        <w:t>está</w:t>
      </w:r>
      <w:r w:rsidRPr="00DB5357">
        <w:rPr>
          <w:rFonts w:ascii="Arial" w:hAnsi="Arial" w:eastAsia="Calibri" w:cs="Arial"/>
          <w:color w:val="000000" w:themeColor="text1"/>
          <w:sz w:val="22"/>
        </w:rPr>
        <w:t xml:space="preserve"> determinado por el valor </w:t>
      </w:r>
      <w:r w:rsidRPr="00DB5357">
        <w:rPr>
          <w:rFonts w:ascii="Arial" w:hAnsi="Arial" w:cs="Arial"/>
          <w:color w:val="000000" w:themeColor="text1"/>
          <w:sz w:val="22"/>
        </w:rPr>
        <w:t>total en pesos de los contratos que figuran en el RUP, la experiencia en ambos casos se refiere a la misma definición.</w:t>
      </w:r>
    </w:p>
    <w:p w:rsidRPr="00DB5357" w:rsidR="00871562" w:rsidP="00D26C93" w:rsidRDefault="00871562" w14:paraId="0D8F86DE" w14:textId="77777777">
      <w:pPr>
        <w:spacing w:before="120" w:line="276" w:lineRule="auto"/>
        <w:ind w:firstLine="709"/>
        <w:jc w:val="both"/>
        <w:rPr>
          <w:rFonts w:ascii="Arial" w:hAnsi="Arial" w:eastAsia="Calibri" w:cs="Arial"/>
          <w:color w:val="000000" w:themeColor="text1"/>
          <w:sz w:val="22"/>
        </w:rPr>
      </w:pPr>
      <w:r w:rsidRPr="00DB5357">
        <w:rPr>
          <w:rFonts w:ascii="Arial" w:hAnsi="Arial" w:eastAsia="Calibri" w:cs="Arial"/>
          <w:color w:val="000000" w:themeColor="text1"/>
          <w:sz w:val="22"/>
        </w:rPr>
        <w:t>La Agencia Nacional de Contratación Pública - Colombia Compra Eficiente puso a disposición de los interesados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la experiencia se tiene por la participación, con anterioridad, en actividades que le permitieron conocer cómo ejecutar el objeto contractual, que la entidad pretende satisfacer ahora</w:t>
      </w:r>
      <w:r w:rsidRPr="00DB5357">
        <w:rPr>
          <w:rStyle w:val="Refdenotaalpie"/>
          <w:rFonts w:ascii="Arial" w:hAnsi="Arial" w:eastAsia="Calibri" w:cs="Arial"/>
          <w:color w:val="000000" w:themeColor="text1"/>
          <w:sz w:val="22"/>
        </w:rPr>
        <w:footnoteReference w:id="14"/>
      </w:r>
      <w:r w:rsidRPr="00DB5357">
        <w:rPr>
          <w:rFonts w:ascii="Arial" w:hAnsi="Arial" w:eastAsia="Calibri" w:cs="Arial"/>
          <w:color w:val="000000" w:themeColor="text1"/>
          <w:sz w:val="22"/>
        </w:rPr>
        <w:t>.</w:t>
      </w:r>
    </w:p>
    <w:p w:rsidRPr="00DB5357" w:rsidR="00871562" w:rsidP="00871562" w:rsidRDefault="00871562" w14:paraId="5635BCFA" w14:textId="3A6D818E">
      <w:pPr>
        <w:spacing w:before="120" w:after="120" w:line="276" w:lineRule="auto"/>
        <w:ind w:firstLine="708"/>
        <w:jc w:val="both"/>
        <w:rPr>
          <w:rFonts w:ascii="Arial" w:hAnsi="Arial" w:eastAsia="Calibri" w:cs="Arial"/>
          <w:color w:val="000000" w:themeColor="text1"/>
          <w:sz w:val="22"/>
        </w:rPr>
      </w:pPr>
      <w:r w:rsidRPr="00DB5357">
        <w:rPr>
          <w:rFonts w:ascii="Arial" w:hAnsi="Arial" w:eastAsia="Calibri" w:cs="Arial"/>
          <w:color w:val="000000" w:themeColor="text1"/>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w:t>
      </w:r>
      <w:r w:rsidRPr="00DB5357">
        <w:rPr>
          <w:rFonts w:ascii="Arial" w:hAnsi="Arial" w:eastAsia="Calibri" w:cs="Arial"/>
          <w:color w:val="000000" w:themeColor="text1"/>
          <w:sz w:val="22"/>
        </w:rPr>
        <w:lastRenderedPageBreak/>
        <w:t>contratación pública es importante, ya que garantiza que no habrá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w:t>
      </w:r>
      <w:r w:rsidRPr="00DB5357" w:rsidR="00FD7B36">
        <w:rPr>
          <w:rFonts w:ascii="Arial" w:hAnsi="Arial" w:eastAsia="Calibri" w:cs="Arial"/>
          <w:color w:val="000000" w:themeColor="text1"/>
          <w:sz w:val="22"/>
        </w:rPr>
        <w:t>,</w:t>
      </w:r>
      <w:r w:rsidRPr="00DB5357">
        <w:rPr>
          <w:rFonts w:ascii="Arial" w:hAnsi="Arial" w:eastAsia="Calibri" w:cs="Arial"/>
          <w:color w:val="000000" w:themeColor="text1"/>
          <w:sz w:val="22"/>
        </w:rPr>
        <w:t xml:space="preserve">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cuatro conclusiones relevantes para evaluar las matrices y subordinadas de las sociedades comerciales, respecto de la experiencia: </w:t>
      </w:r>
    </w:p>
    <w:p w:rsidRPr="00DB5357" w:rsidR="00871562" w:rsidP="00871562" w:rsidRDefault="00871562" w14:paraId="669FA3DA" w14:textId="77777777">
      <w:pPr>
        <w:spacing w:before="120" w:after="120" w:line="276" w:lineRule="auto"/>
        <w:ind w:firstLine="708"/>
        <w:jc w:val="both"/>
        <w:rPr>
          <w:rFonts w:ascii="Arial" w:hAnsi="Arial" w:eastAsia="Calibri" w:cs="Arial"/>
          <w:color w:val="000000" w:themeColor="text1"/>
          <w:sz w:val="22"/>
        </w:rPr>
      </w:pPr>
      <w:r w:rsidRPr="00DB5357">
        <w:rPr>
          <w:rFonts w:ascii="Arial" w:hAnsi="Arial" w:eastAsia="Calibri" w:cs="Arial"/>
          <w:color w:val="000000" w:themeColor="text1"/>
          <w:sz w:val="22"/>
        </w:rPr>
        <w:t>i) La experiencia es personal, esto es, se adquiere participando, directa o indirectamente, sin que sea posible no participar y tener una experiencia que no es propia.</w:t>
      </w:r>
    </w:p>
    <w:p w:rsidRPr="00DB5357" w:rsidR="00871562" w:rsidP="00871562" w:rsidRDefault="00871562" w14:paraId="155DC4A7" w14:textId="77777777">
      <w:pPr>
        <w:spacing w:before="120" w:after="120" w:line="276" w:lineRule="auto"/>
        <w:ind w:firstLine="708"/>
        <w:jc w:val="both"/>
        <w:rPr>
          <w:rFonts w:ascii="Arial" w:hAnsi="Arial" w:eastAsia="Calibri" w:cs="Arial"/>
          <w:color w:val="000000" w:themeColor="text1"/>
          <w:sz w:val="22"/>
        </w:rPr>
      </w:pPr>
      <w:proofErr w:type="spellStart"/>
      <w:r w:rsidRPr="00DB5357">
        <w:rPr>
          <w:rFonts w:ascii="Arial" w:hAnsi="Arial" w:eastAsia="Calibri" w:cs="Arial"/>
          <w:color w:val="000000" w:themeColor="text1"/>
          <w:sz w:val="22"/>
        </w:rPr>
        <w:t>ii</w:t>
      </w:r>
      <w:proofErr w:type="spellEnd"/>
      <w:r w:rsidRPr="00DB5357">
        <w:rPr>
          <w:rFonts w:ascii="Arial" w:hAnsi="Arial" w:eastAsia="Calibri" w:cs="Arial"/>
          <w:color w:val="000000" w:themeColor="text1"/>
          <w:sz w:val="22"/>
        </w:rPr>
        <w:t>)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p>
    <w:p w:rsidRPr="00DB5357" w:rsidR="00871562" w:rsidP="00871562" w:rsidRDefault="00871562" w14:paraId="494E0812" w14:textId="77777777">
      <w:pPr>
        <w:spacing w:before="120" w:after="120" w:line="276" w:lineRule="auto"/>
        <w:ind w:firstLine="708"/>
        <w:jc w:val="both"/>
        <w:rPr>
          <w:rFonts w:ascii="Arial" w:hAnsi="Arial" w:eastAsia="Calibri" w:cs="Arial"/>
          <w:color w:val="000000" w:themeColor="text1"/>
          <w:sz w:val="22"/>
        </w:rPr>
      </w:pPr>
      <w:proofErr w:type="spellStart"/>
      <w:r w:rsidRPr="00DB5357">
        <w:rPr>
          <w:rFonts w:ascii="Arial" w:hAnsi="Arial" w:eastAsia="Calibri" w:cs="Arial"/>
          <w:color w:val="000000" w:themeColor="text1"/>
          <w:sz w:val="22"/>
        </w:rPr>
        <w:t>iii</w:t>
      </w:r>
      <w:proofErr w:type="spellEnd"/>
      <w:r w:rsidRPr="00DB5357">
        <w:rPr>
          <w:rFonts w:ascii="Arial" w:hAnsi="Arial" w:eastAsia="Calibri" w:cs="Arial"/>
          <w:color w:val="000000" w:themeColor="text1"/>
          <w:sz w:val="22"/>
        </w:rPr>
        <w:t>) La experiencia se puede transferir, y es diferente a compartir, puesto que implica que la experiencia de una persona se traslada a otra, y esta última acredita esa experiencia como propia, lo cual es el caso de las figuras y reformas estatutarias como transformación, fusión y escisión.</w:t>
      </w:r>
    </w:p>
    <w:p w:rsidR="00871562" w:rsidP="00871562" w:rsidRDefault="00871562" w14:paraId="5198665E" w14:textId="09BB21C3">
      <w:pPr>
        <w:spacing w:before="120" w:after="120" w:line="276" w:lineRule="auto"/>
        <w:ind w:firstLine="709"/>
        <w:jc w:val="both"/>
        <w:rPr>
          <w:rFonts w:ascii="Arial" w:hAnsi="Arial" w:eastAsia="Calibri" w:cs="Arial"/>
          <w:color w:val="000000" w:themeColor="text1"/>
          <w:sz w:val="22"/>
        </w:rPr>
      </w:pPr>
      <w:proofErr w:type="spellStart"/>
      <w:r w:rsidRPr="00DB5357">
        <w:rPr>
          <w:rFonts w:ascii="Arial" w:hAnsi="Arial" w:eastAsia="Calibri" w:cs="Arial"/>
          <w:color w:val="000000" w:themeColor="text1"/>
          <w:sz w:val="22"/>
        </w:rPr>
        <w:t>iv</w:t>
      </w:r>
      <w:proofErr w:type="spellEnd"/>
      <w:r w:rsidRPr="00DB5357">
        <w:rPr>
          <w:rFonts w:ascii="Arial" w:hAnsi="Arial" w:eastAsia="Calibri" w:cs="Arial"/>
          <w:color w:val="000000" w:themeColor="text1"/>
          <w:sz w:val="22"/>
        </w:rPr>
        <w:t>) Solo es posible transferir o compartir la experiencia de una persona natural o jurídica a otra, en los casos señalados en los numerales anteriores, por lo cual no es posible que se acredite la experiencia adquirida por un terce</w:t>
      </w:r>
      <w:r w:rsidRPr="00DB5357" w:rsidR="00FD7B36">
        <w:rPr>
          <w:rFonts w:ascii="Arial" w:hAnsi="Arial" w:eastAsia="Calibri" w:cs="Arial"/>
          <w:color w:val="000000" w:themeColor="text1"/>
          <w:sz w:val="22"/>
        </w:rPr>
        <w:t>ro −</w:t>
      </w:r>
      <w:r w:rsidRPr="00DB5357">
        <w:rPr>
          <w:rFonts w:ascii="Arial" w:hAnsi="Arial" w:eastAsia="Calibri" w:cs="Arial"/>
          <w:color w:val="000000" w:themeColor="text1"/>
          <w:sz w:val="22"/>
        </w:rPr>
        <w:t>que es otra persona diferente a la principal</w:t>
      </w:r>
      <w:r w:rsidRPr="00DB5357" w:rsidR="00FD7B36">
        <w:rPr>
          <w:rFonts w:ascii="Arial" w:hAnsi="Arial" w:eastAsia="Calibri" w:cs="Arial"/>
          <w:color w:val="000000" w:themeColor="text1"/>
          <w:sz w:val="22"/>
        </w:rPr>
        <w:t>−</w:t>
      </w:r>
      <w:r w:rsidRPr="00DB5357">
        <w:rPr>
          <w:rFonts w:ascii="Arial" w:hAnsi="Arial" w:eastAsia="Calibri" w:cs="Arial"/>
          <w:color w:val="000000" w:themeColor="text1"/>
          <w:sz w:val="22"/>
        </w:rPr>
        <w:t xml:space="preserve"> sin que se relacione con lo establecido, ya que la experiencia es personal, esto es, de quien la adquirió.</w:t>
      </w:r>
    </w:p>
    <w:p w:rsidRPr="00DB5357" w:rsidR="008B7D41" w:rsidP="00871562" w:rsidRDefault="008B7D41" w14:paraId="6B0AFCA5" w14:textId="0F235C83">
      <w:pPr>
        <w:spacing w:before="120" w:after="120" w:line="276" w:lineRule="auto"/>
        <w:ind w:firstLine="709"/>
        <w:jc w:val="both"/>
        <w:rPr>
          <w:rFonts w:ascii="Arial" w:hAnsi="Arial" w:eastAsia="Calibri" w:cs="Arial"/>
          <w:color w:val="000000" w:themeColor="text1"/>
          <w:sz w:val="22"/>
        </w:rPr>
      </w:pPr>
      <w:r>
        <w:rPr>
          <w:rFonts w:ascii="Arial" w:hAnsi="Arial" w:eastAsia="Calibri" w:cs="Arial"/>
          <w:color w:val="000000" w:themeColor="text1"/>
          <w:sz w:val="22"/>
        </w:rPr>
        <w:t>A lo dicho habría que agregar que en los procesos en los que resulta obligatorio el uso de los Pliegos Tipo para las licitaciones de obra pública de infraestructura de transporte, así como los de menor cuantía, según lo establecido en el numeral 3.11.2 de</w:t>
      </w:r>
      <w:r w:rsidR="004763BC">
        <w:rPr>
          <w:rFonts w:ascii="Arial" w:hAnsi="Arial" w:eastAsia="Calibri" w:cs="Arial"/>
          <w:color w:val="000000" w:themeColor="text1"/>
          <w:sz w:val="22"/>
        </w:rPr>
        <w:t xml:space="preserve"> </w:t>
      </w:r>
      <w:r>
        <w:rPr>
          <w:rFonts w:ascii="Arial" w:hAnsi="Arial" w:eastAsia="Calibri" w:cs="Arial"/>
          <w:color w:val="000000" w:themeColor="text1"/>
          <w:sz w:val="22"/>
        </w:rPr>
        <w:t>l</w:t>
      </w:r>
      <w:r w:rsidR="004763BC">
        <w:rPr>
          <w:rFonts w:ascii="Arial" w:hAnsi="Arial" w:eastAsia="Calibri" w:cs="Arial"/>
          <w:color w:val="000000" w:themeColor="text1"/>
          <w:sz w:val="22"/>
        </w:rPr>
        <w:t>os</w:t>
      </w:r>
      <w:r>
        <w:rPr>
          <w:rFonts w:ascii="Arial" w:hAnsi="Arial" w:eastAsia="Calibri" w:cs="Arial"/>
          <w:color w:val="000000" w:themeColor="text1"/>
          <w:sz w:val="22"/>
        </w:rPr>
        <w:t xml:space="preserve"> Documento</w:t>
      </w:r>
      <w:r w:rsidR="004763BC">
        <w:rPr>
          <w:rFonts w:ascii="Arial" w:hAnsi="Arial" w:eastAsia="Calibri" w:cs="Arial"/>
          <w:color w:val="000000" w:themeColor="text1"/>
          <w:sz w:val="22"/>
        </w:rPr>
        <w:t>s</w:t>
      </w:r>
      <w:r>
        <w:rPr>
          <w:rFonts w:ascii="Arial" w:hAnsi="Arial" w:eastAsia="Calibri" w:cs="Arial"/>
          <w:color w:val="000000" w:themeColor="text1"/>
          <w:sz w:val="22"/>
        </w:rPr>
        <w:t xml:space="preserve"> Base, la capacidad residual «</w:t>
      </w:r>
      <w:r w:rsidRPr="008B7D41">
        <w:rPr>
          <w:rFonts w:ascii="Arial" w:hAnsi="Arial" w:eastAsia="Calibri" w:cs="Arial"/>
          <w:color w:val="000000" w:themeColor="text1"/>
          <w:sz w:val="22"/>
        </w:rPr>
        <w:t>del Proponente Plural es la suma de la capacidad residual de cada uno de sus miembros, sin tener en cuenta el porcentaje de participación de los integrantes de la estructura plural</w:t>
      </w:r>
      <w:r>
        <w:rPr>
          <w:rFonts w:ascii="Arial" w:hAnsi="Arial" w:eastAsia="Calibri" w:cs="Arial"/>
          <w:color w:val="000000" w:themeColor="text1"/>
          <w:sz w:val="22"/>
        </w:rPr>
        <w:t xml:space="preserve">. Es del caso precisar que en caso </w:t>
      </w:r>
      <w:r w:rsidRPr="008B7D41">
        <w:rPr>
          <w:rFonts w:ascii="Arial" w:hAnsi="Arial" w:eastAsia="Calibri" w:cs="Arial"/>
          <w:color w:val="000000" w:themeColor="text1"/>
          <w:sz w:val="22"/>
        </w:rPr>
        <w:t>de ser negativa la capacidad residual de uno de los miembros, este valor se restará de la capacidad residual total del Proponente plural</w:t>
      </w:r>
      <w:r>
        <w:rPr>
          <w:rFonts w:ascii="Arial" w:hAnsi="Arial" w:eastAsia="Calibri" w:cs="Arial"/>
          <w:color w:val="000000" w:themeColor="text1"/>
          <w:sz w:val="22"/>
        </w:rPr>
        <w:t>.</w:t>
      </w:r>
    </w:p>
    <w:p w:rsidRPr="00DB5357" w:rsidR="00871562" w:rsidP="00871562" w:rsidRDefault="00871562" w14:paraId="5E9BF718" w14:textId="77777777">
      <w:pPr>
        <w:spacing w:before="120" w:line="276" w:lineRule="auto"/>
        <w:ind w:firstLine="709"/>
        <w:jc w:val="both"/>
        <w:rPr>
          <w:rFonts w:ascii="Arial" w:hAnsi="Arial" w:eastAsia="Calibri" w:cs="Arial"/>
          <w:color w:val="000000" w:themeColor="text1"/>
          <w:sz w:val="22"/>
        </w:rPr>
      </w:pPr>
      <w:r w:rsidRPr="00DB5357">
        <w:rPr>
          <w:rFonts w:ascii="Arial" w:hAnsi="Arial" w:eastAsia="Calibri" w:cs="Arial"/>
          <w:color w:val="000000" w:themeColor="text1"/>
          <w:sz w:val="22"/>
        </w:rPr>
        <w:lastRenderedPageBreak/>
        <w:t>No obstante, las entidades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w:t>
      </w:r>
    </w:p>
    <w:p w:rsidRPr="00DB5357" w:rsidR="00D26C93" w:rsidP="00F419B1" w:rsidRDefault="00D26C93" w14:paraId="6F2D301D" w14:textId="77777777">
      <w:pPr>
        <w:spacing w:before="120" w:line="276" w:lineRule="auto"/>
        <w:ind w:firstLine="709"/>
        <w:jc w:val="both"/>
        <w:rPr>
          <w:rFonts w:ascii="Arial" w:hAnsi="Arial" w:cs="Arial"/>
          <w:color w:val="000000" w:themeColor="text1"/>
          <w:sz w:val="21"/>
          <w:szCs w:val="21"/>
          <w:lang w:val="es-ES"/>
        </w:rPr>
      </w:pPr>
    </w:p>
    <w:p w:rsidRPr="00DB5357" w:rsidR="00BE1E33" w:rsidP="00BE1E33" w:rsidRDefault="00BE1E33" w14:paraId="4DAE4437" w14:textId="77777777">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DB5357">
        <w:rPr>
          <w:rFonts w:ascii="Arial" w:hAnsi="Arial" w:cs="Arial"/>
          <w:b/>
          <w:bCs/>
          <w:color w:val="000000" w:themeColor="text1"/>
          <w:sz w:val="22"/>
          <w:lang w:val="es-CO"/>
        </w:rPr>
        <w:t xml:space="preserve">Respuesta </w:t>
      </w:r>
    </w:p>
    <w:p w:rsidRPr="00DB5357" w:rsidR="00BE1E33" w:rsidP="00BE1E33" w:rsidRDefault="00BE1E33" w14:paraId="317BE2F9" w14:textId="77777777">
      <w:pPr>
        <w:spacing w:line="276" w:lineRule="auto"/>
        <w:ind w:right="709"/>
        <w:jc w:val="both"/>
        <w:rPr>
          <w:rFonts w:ascii="Arial" w:hAnsi="Arial" w:cs="Arial"/>
          <w:color w:val="000000" w:themeColor="text1"/>
          <w:sz w:val="21"/>
          <w:szCs w:val="21"/>
          <w:lang w:val="es-CO"/>
        </w:rPr>
      </w:pPr>
    </w:p>
    <w:p w:rsidRPr="00017BD4" w:rsidR="00D26C93" w:rsidP="00D26C93" w:rsidRDefault="00D26C93" w14:paraId="7726B0F8" w14:textId="77777777">
      <w:pPr>
        <w:ind w:left="709" w:right="758"/>
        <w:jc w:val="both"/>
        <w:rPr>
          <w:rFonts w:ascii="Arial" w:hAnsi="Arial" w:eastAsia="Calibri" w:cs="Arial"/>
          <w:color w:val="000000" w:themeColor="text1"/>
          <w:sz w:val="22"/>
        </w:rPr>
      </w:pPr>
      <w:r w:rsidRPr="00DB5357">
        <w:rPr>
          <w:rFonts w:ascii="Arial" w:hAnsi="Arial" w:eastAsia="Calibri" w:cs="Arial"/>
          <w:color w:val="000000" w:themeColor="text1"/>
          <w:sz w:val="21"/>
          <w:szCs w:val="21"/>
        </w:rPr>
        <w:t xml:space="preserve">En relación con la «capacidad residual», usted realiza la siguiente pregunta: «¿[…] el k-residual de un consorcio o unión temporal quien lo aportar en una licitación </w:t>
      </w:r>
      <w:proofErr w:type="spellStart"/>
      <w:r w:rsidRPr="00DB5357">
        <w:rPr>
          <w:rFonts w:ascii="Arial" w:hAnsi="Arial" w:eastAsia="Calibri" w:cs="Arial"/>
          <w:color w:val="000000" w:themeColor="text1"/>
          <w:sz w:val="21"/>
          <w:szCs w:val="21"/>
        </w:rPr>
        <w:t>publica</w:t>
      </w:r>
      <w:proofErr w:type="spellEnd"/>
      <w:r w:rsidRPr="00DB5357">
        <w:rPr>
          <w:rFonts w:ascii="Arial" w:hAnsi="Arial" w:eastAsia="Calibri" w:cs="Arial"/>
          <w:color w:val="000000" w:themeColor="text1"/>
          <w:sz w:val="21"/>
          <w:szCs w:val="21"/>
        </w:rPr>
        <w:t xml:space="preserve"> (sic) de pliegos tipo</w:t>
      </w:r>
      <w:r w:rsidRPr="00017BD4">
        <w:rPr>
          <w:rFonts w:ascii="Arial" w:hAnsi="Arial" w:eastAsia="Calibri" w:cs="Arial"/>
          <w:color w:val="000000" w:themeColor="text1"/>
          <w:sz w:val="21"/>
          <w:szCs w:val="21"/>
        </w:rPr>
        <w:t xml:space="preserve"> […]?». Usted nos pide tener en cuenta a la hora de responder su inquietud, que: «[…] a (un integrante no tiene k-residual) [y] b: (los demás aportan el k-residual)</w:t>
      </w:r>
      <w:r w:rsidRPr="00017BD4">
        <w:rPr>
          <w:rFonts w:ascii="Arial" w:hAnsi="Arial" w:eastAsia="Calibri" w:cs="Arial"/>
          <w:color w:val="000000" w:themeColor="text1"/>
          <w:sz w:val="22"/>
        </w:rPr>
        <w:t xml:space="preserve"> […]». </w:t>
      </w:r>
    </w:p>
    <w:p w:rsidRPr="00017BD4" w:rsidR="009F7860" w:rsidP="00BE1E33" w:rsidRDefault="009F7860" w14:paraId="59FDFC07" w14:textId="77777777">
      <w:pPr>
        <w:jc w:val="both"/>
        <w:rPr>
          <w:rFonts w:ascii="Arial" w:hAnsi="Arial" w:eastAsia="Calibri" w:cs="Arial"/>
          <w:color w:val="000000" w:themeColor="text1"/>
          <w:sz w:val="22"/>
        </w:rPr>
      </w:pPr>
    </w:p>
    <w:p w:rsidRPr="00017BD4" w:rsidR="00D26C93" w:rsidP="001517FD" w:rsidRDefault="00D26C93" w14:paraId="7F2E87F0" w14:textId="14692A73">
      <w:pPr>
        <w:pStyle w:val="Textoindependiente"/>
        <w:spacing w:before="120" w:line="276" w:lineRule="auto"/>
        <w:ind w:right="51"/>
        <w:jc w:val="both"/>
        <w:rPr>
          <w:color w:val="000000" w:themeColor="text1"/>
        </w:rPr>
      </w:pPr>
      <w:r w:rsidRPr="00017BD4">
        <w:rPr>
          <w:color w:val="000000" w:themeColor="text1"/>
        </w:rPr>
        <w:t>Su pregunta supone dos hipótesis diferentes con respuestas, igualmente, distintas. Por un lado, que el proponente pretenda acreditar experiencia adquirida en otro contrato en el que actuó consorciado o como miembro de una unión temporal. Por el otro, que el proponente sea un consorcio o una unión temporal y que pretenda acreditar experiencia adquirida de forma independiente por sus miembros.</w:t>
      </w:r>
    </w:p>
    <w:p w:rsidRPr="00017BD4" w:rsidR="00F05F7E" w:rsidP="001517FD" w:rsidRDefault="00D26C93" w14:paraId="62D06627" w14:textId="6E138CEA">
      <w:pPr>
        <w:pStyle w:val="Textoindependiente"/>
        <w:spacing w:before="120" w:line="276" w:lineRule="auto"/>
        <w:ind w:right="51"/>
        <w:jc w:val="both"/>
        <w:rPr>
          <w:color w:val="000000" w:themeColor="text1"/>
        </w:rPr>
      </w:pPr>
      <w:r w:rsidRPr="00017BD4">
        <w:rPr>
          <w:color w:val="000000" w:themeColor="text1"/>
        </w:rPr>
        <w:tab/>
      </w:r>
      <w:r w:rsidRPr="00017BD4">
        <w:rPr>
          <w:color w:val="000000" w:themeColor="text1"/>
        </w:rPr>
        <w:t>Si es la primera hipótesis, pa</w:t>
      </w:r>
      <w:r w:rsidRPr="00017BD4" w:rsidR="00F7035B">
        <w:rPr>
          <w:color w:val="000000" w:themeColor="text1"/>
        </w:rPr>
        <w:t xml:space="preserve">ra acreditar el factor experiencia «E», el proponente </w:t>
      </w:r>
      <w:r w:rsidRPr="00017BD4" w:rsidR="001517FD">
        <w:rPr>
          <w:color w:val="000000" w:themeColor="text1"/>
        </w:rPr>
        <w:t>puede</w:t>
      </w:r>
      <w:r w:rsidRPr="00017BD4" w:rsidR="00F7035B">
        <w:rPr>
          <w:color w:val="000000" w:themeColor="text1"/>
        </w:rPr>
        <w:t xml:space="preserve"> diligenciar el formato correspondiente al Anexo 1 de la «Guía para Determinar y Verificar la Capacidad Residual del Proponente en los Procesos de Contratación de Obra Pública» −este es diferente al Anexo 1 de los Documentos Tipo−.</w:t>
      </w:r>
      <w:r w:rsidRPr="00017BD4" w:rsidR="002D09E1">
        <w:rPr>
          <w:color w:val="000000" w:themeColor="text1"/>
        </w:rPr>
        <w:t xml:space="preserve"> </w:t>
      </w:r>
      <w:r w:rsidRPr="00017BD4">
        <w:rPr>
          <w:color w:val="000000" w:themeColor="text1"/>
        </w:rPr>
        <w:t>El</w:t>
      </w:r>
      <w:r w:rsidRPr="00017BD4" w:rsidR="00F05F7E">
        <w:rPr>
          <w:color w:val="000000" w:themeColor="text1"/>
        </w:rPr>
        <w:t xml:space="preserve"> proponente tendrá que diligenciar la casilla del porcentaje de «participación del proponente en el contratista plural» y calcular, según dicho porcentaje, el valor del contrato a tener en cuenta, de tal forma que si, por ejemplo, el contrato inscrito en el RUP es de cien (100)  SMMLV, pero su participación fue del cincuenta (50) por ciento, en la casilla «valor total de los contratos ejecutados» solo se podrán incluir cincuenta (50) de los cien (100) SMMLV, dado el porcentaje de participación del proponente. </w:t>
      </w:r>
    </w:p>
    <w:p w:rsidRPr="00017BD4" w:rsidR="00D26C93" w:rsidP="00D26C93" w:rsidRDefault="00D26C93" w14:paraId="089BFF27" w14:textId="169427AE">
      <w:pPr>
        <w:pStyle w:val="Textoindependiente"/>
        <w:spacing w:before="120" w:line="276" w:lineRule="auto"/>
        <w:ind w:right="51" w:firstLine="709"/>
        <w:jc w:val="both"/>
        <w:rPr>
          <w:color w:val="000000" w:themeColor="text1"/>
        </w:rPr>
      </w:pPr>
      <w:r w:rsidRPr="00017BD4">
        <w:rPr>
          <w:color w:val="000000" w:themeColor="text1"/>
        </w:rPr>
        <w:t>En la segunda hipótesis, se debe tener en cuenta que</w:t>
      </w:r>
      <w:r w:rsidRPr="00017BD4">
        <w:rPr>
          <w:color w:val="000000" w:themeColor="text1"/>
          <w:lang w:val="es-MX"/>
        </w:rPr>
        <w:t xml:space="preserve"> la fórmula señalada en el artículo 2.2.1.1.1.6.4. del Decreto 1082 de 2015, contiene como factor la experiencia (E), que está determinada por el valor total en pesos de los contratos que figuran en el RUP, lo cual no es diferente a la experiencia como «requisito habilitante» de la Ley 1150 de 2007, que también se verifica con el RUP, cuando este certificado sea exigible de acuerdo con la ley, y donde se inscriben los contratos celebrados por el proponente con diferentes contratantes, codificados con el clasificador de bienes y servicios en el tercer nivel.</w:t>
      </w:r>
    </w:p>
    <w:p w:rsidRPr="00DB5357" w:rsidR="00017BD4" w:rsidP="00017BD4" w:rsidRDefault="00D26C93" w14:paraId="3C454426" w14:textId="77777777">
      <w:pPr>
        <w:spacing w:before="120" w:after="120" w:line="276" w:lineRule="auto"/>
        <w:ind w:firstLine="709"/>
        <w:jc w:val="both"/>
        <w:rPr>
          <w:rFonts w:ascii="Arial" w:hAnsi="Arial" w:eastAsia="Calibri" w:cs="Arial"/>
          <w:color w:val="000000" w:themeColor="text1"/>
          <w:sz w:val="22"/>
        </w:rPr>
      </w:pPr>
      <w:r w:rsidRPr="00017BD4">
        <w:rPr>
          <w:color w:val="000000" w:themeColor="text1"/>
        </w:rPr>
        <w:t xml:space="preserve">En ese sentido, </w:t>
      </w:r>
      <w:r w:rsidR="00017BD4">
        <w:rPr>
          <w:rFonts w:ascii="Arial" w:hAnsi="Arial" w:eastAsia="Calibri" w:cs="Arial"/>
          <w:color w:val="000000" w:themeColor="text1"/>
          <w:sz w:val="22"/>
        </w:rPr>
        <w:t>en los procesos en los que resulta obligatorio el uso de los Pliegos Tipo para las licitaciones de obra pública de infraestructura de transporte, así como los de menor cuantía, según lo establecido en el numeral 3.11.2 de los Documentos Base, la capacidad residual «</w:t>
      </w:r>
      <w:r w:rsidRPr="008B7D41" w:rsidR="00017BD4">
        <w:rPr>
          <w:rFonts w:ascii="Arial" w:hAnsi="Arial" w:eastAsia="Calibri" w:cs="Arial"/>
          <w:color w:val="000000" w:themeColor="text1"/>
          <w:sz w:val="22"/>
        </w:rPr>
        <w:t xml:space="preserve">del Proponente Plural es la suma de la capacidad residual de cada uno </w:t>
      </w:r>
      <w:r w:rsidRPr="008B7D41" w:rsidR="00017BD4">
        <w:rPr>
          <w:rFonts w:ascii="Arial" w:hAnsi="Arial" w:eastAsia="Calibri" w:cs="Arial"/>
          <w:color w:val="000000" w:themeColor="text1"/>
          <w:sz w:val="22"/>
        </w:rPr>
        <w:lastRenderedPageBreak/>
        <w:t>de sus miembros, sin tener en cuenta el porcentaje de participación de los integrantes de la estructura plural</w:t>
      </w:r>
      <w:r w:rsidR="00017BD4">
        <w:rPr>
          <w:rFonts w:ascii="Arial" w:hAnsi="Arial" w:eastAsia="Calibri" w:cs="Arial"/>
          <w:color w:val="000000" w:themeColor="text1"/>
          <w:sz w:val="22"/>
        </w:rPr>
        <w:t xml:space="preserve">. Es del caso precisar que en caso </w:t>
      </w:r>
      <w:r w:rsidRPr="008B7D41" w:rsidR="00017BD4">
        <w:rPr>
          <w:rFonts w:ascii="Arial" w:hAnsi="Arial" w:eastAsia="Calibri" w:cs="Arial"/>
          <w:color w:val="000000" w:themeColor="text1"/>
          <w:sz w:val="22"/>
        </w:rPr>
        <w:t>de ser negativa la capacidad residual de uno de los miembros, este valor se restará de la capacidad residual total del Proponente plural</w:t>
      </w:r>
      <w:r w:rsidR="00017BD4">
        <w:rPr>
          <w:rFonts w:ascii="Arial" w:hAnsi="Arial" w:eastAsia="Calibri" w:cs="Arial"/>
          <w:color w:val="000000" w:themeColor="text1"/>
          <w:sz w:val="22"/>
        </w:rPr>
        <w:t>.</w:t>
      </w:r>
    </w:p>
    <w:p w:rsidRPr="00017BD4" w:rsidR="00BE1E33" w:rsidP="00F05F7E" w:rsidRDefault="00BE1E33" w14:paraId="315D744B" w14:textId="4595F758">
      <w:pPr>
        <w:spacing w:line="276" w:lineRule="auto"/>
        <w:jc w:val="both"/>
        <w:rPr>
          <w:rFonts w:ascii="Arial" w:hAnsi="Arial" w:cs="Arial"/>
          <w:color w:val="000000" w:themeColor="text1"/>
          <w:sz w:val="22"/>
          <w:lang w:val="es-ES"/>
        </w:rPr>
      </w:pPr>
    </w:p>
    <w:p w:rsidRPr="00017BD4" w:rsidR="00BE1E33" w:rsidP="00F05F7E" w:rsidRDefault="00BE1E33" w14:paraId="66CE4DD8" w14:textId="77777777">
      <w:pPr>
        <w:spacing w:before="120" w:line="276" w:lineRule="auto"/>
        <w:jc w:val="both"/>
        <w:rPr>
          <w:rFonts w:ascii="Arial" w:hAnsi="Arial" w:eastAsia="Calibri" w:cs="Arial"/>
          <w:color w:val="000000" w:themeColor="text1"/>
          <w:sz w:val="22"/>
        </w:rPr>
      </w:pPr>
      <w:r w:rsidRPr="00017BD4">
        <w:rPr>
          <w:rFonts w:ascii="Arial" w:hAnsi="Arial" w:eastAsia="Calibri" w:cs="Arial"/>
          <w:color w:val="000000" w:themeColor="text1"/>
          <w:sz w:val="22"/>
        </w:rPr>
        <w:t>Este concepto tiene el alcance previsto en el artículo 28 del Código de Procedimiento Administrativo y de lo Contencioso Administrativo.</w:t>
      </w:r>
    </w:p>
    <w:p w:rsidRPr="00017BD4" w:rsidR="00BE1E33" w:rsidP="00F05F7E" w:rsidRDefault="00BE1E33" w14:paraId="138D33A2" w14:textId="77777777">
      <w:pPr>
        <w:spacing w:line="276" w:lineRule="auto"/>
        <w:ind w:firstLine="709"/>
        <w:jc w:val="both"/>
        <w:rPr>
          <w:rFonts w:ascii="Arial" w:hAnsi="Arial" w:eastAsia="Calibri" w:cs="Arial"/>
          <w:color w:val="000000" w:themeColor="text1"/>
          <w:sz w:val="22"/>
        </w:rPr>
      </w:pPr>
    </w:p>
    <w:p w:rsidRPr="00017BD4" w:rsidR="00BE1E33" w:rsidP="00F05F7E" w:rsidRDefault="00BE1E33" w14:paraId="2B02915D" w14:textId="77777777">
      <w:pPr>
        <w:spacing w:line="276" w:lineRule="auto"/>
        <w:jc w:val="both"/>
        <w:rPr>
          <w:rFonts w:ascii="Arial" w:hAnsi="Arial" w:eastAsia="Times New Roman" w:cs="Arial"/>
          <w:color w:val="000000" w:themeColor="text1"/>
          <w:sz w:val="22"/>
          <w:lang w:eastAsia="es-CO"/>
        </w:rPr>
      </w:pPr>
      <w:r w:rsidRPr="00017BD4">
        <w:rPr>
          <w:rFonts w:ascii="Arial" w:hAnsi="Arial" w:eastAsia="Times New Roman" w:cs="Arial"/>
          <w:color w:val="000000" w:themeColor="text1"/>
          <w:sz w:val="22"/>
          <w:lang w:eastAsia="es-CO"/>
        </w:rPr>
        <w:t>Atentamente,</w:t>
      </w:r>
    </w:p>
    <w:bookmarkEnd w:id="0"/>
    <w:bookmarkEnd w:id="1"/>
    <w:p w:rsidRPr="00017BD4" w:rsidR="00BE1E33" w:rsidP="00BE1E33" w:rsidRDefault="000721E5" w14:paraId="1C8F6984" w14:textId="5C92B8F9">
      <w:pPr>
        <w:jc w:val="center"/>
        <w:rPr>
          <w:rFonts w:ascii="Arial" w:hAnsi="Arial" w:eastAsia="Times New Roman" w:cs="Arial"/>
          <w:color w:val="000000" w:themeColor="text1"/>
          <w:sz w:val="18"/>
          <w:szCs w:val="20"/>
          <w:lang w:eastAsia="es-CO"/>
        </w:rPr>
      </w:pPr>
      <w:r w:rsidR="000721E5">
        <w:drawing>
          <wp:inline wp14:editId="283177F8" wp14:anchorId="03CF1FBF">
            <wp:extent cx="2773144" cy="988695"/>
            <wp:effectExtent l="0" t="0" r="0" b="0"/>
            <wp:docPr id="1266202031" name="Imagen 20" title=""/>
            <wp:cNvGraphicFramePr>
              <a:graphicFrameLocks noChangeAspect="1"/>
            </wp:cNvGraphicFramePr>
            <a:graphic>
              <a:graphicData uri="http://schemas.openxmlformats.org/drawingml/2006/picture">
                <pic:pic>
                  <pic:nvPicPr>
                    <pic:cNvPr id="0" name="Imagen 20"/>
                    <pic:cNvPicPr/>
                  </pic:nvPicPr>
                  <pic:blipFill>
                    <a:blip r:embed="Rca29197a1bc1401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BC1A07" w:rsidR="00BC1A07" w:rsidTr="004101BC" w14:paraId="7E5CB93D" w14:textId="77777777">
        <w:trPr>
          <w:trHeight w:val="315"/>
        </w:trPr>
        <w:tc>
          <w:tcPr>
            <w:tcW w:w="812" w:type="dxa"/>
            <w:vAlign w:val="center"/>
            <w:hideMark/>
          </w:tcPr>
          <w:p w:rsidRPr="00017BD4" w:rsidR="00BE1E33" w:rsidP="004101BC" w:rsidRDefault="00BE1E33" w14:paraId="44CFA06E" w14:textId="77777777">
            <w:pPr>
              <w:rPr>
                <w:rFonts w:ascii="Arial" w:hAnsi="Arial" w:eastAsia="Times New Roman" w:cs="Arial"/>
                <w:color w:val="000000" w:themeColor="text1"/>
                <w:sz w:val="16"/>
                <w:szCs w:val="16"/>
                <w:lang w:eastAsia="es-ES"/>
              </w:rPr>
            </w:pPr>
            <w:r w:rsidRPr="00017BD4">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017BD4" w:rsidR="00BE1E33" w:rsidP="004101BC" w:rsidRDefault="00BE1E33" w14:paraId="56D7561C" w14:textId="77777777">
            <w:pPr>
              <w:rPr>
                <w:rFonts w:ascii="Arial" w:hAnsi="Arial" w:eastAsia="Times New Roman" w:cs="Arial"/>
                <w:color w:val="000000" w:themeColor="text1"/>
                <w:sz w:val="16"/>
                <w:szCs w:val="16"/>
                <w:lang w:eastAsia="es-ES"/>
              </w:rPr>
            </w:pPr>
            <w:r w:rsidRPr="00017BD4">
              <w:rPr>
                <w:rFonts w:ascii="Arial" w:hAnsi="Arial" w:eastAsia="Times New Roman" w:cs="Arial"/>
                <w:color w:val="000000" w:themeColor="text1"/>
                <w:sz w:val="16"/>
                <w:szCs w:val="16"/>
                <w:lang w:eastAsia="es-ES"/>
              </w:rPr>
              <w:t>David Castellanos Carreño</w:t>
            </w:r>
          </w:p>
          <w:p w:rsidRPr="00017BD4" w:rsidR="00982E99" w:rsidP="004101BC" w:rsidRDefault="00982E99" w14:paraId="6C4A6DA1" w14:textId="40CCEFDC">
            <w:pPr>
              <w:rPr>
                <w:rFonts w:ascii="Arial" w:hAnsi="Arial" w:eastAsia="Times New Roman" w:cs="Arial"/>
                <w:color w:val="000000" w:themeColor="text1"/>
                <w:sz w:val="16"/>
                <w:szCs w:val="16"/>
                <w:lang w:eastAsia="es-ES"/>
              </w:rPr>
            </w:pPr>
            <w:r w:rsidRPr="00017BD4">
              <w:rPr>
                <w:rFonts w:ascii="Arial" w:hAnsi="Arial" w:eastAsia="Times New Roman" w:cs="Arial"/>
                <w:color w:val="000000" w:themeColor="text1"/>
                <w:sz w:val="16"/>
                <w:szCs w:val="16"/>
                <w:lang w:eastAsia="es-ES"/>
              </w:rPr>
              <w:t>Contratista</w:t>
            </w:r>
            <w:r w:rsidRPr="00017BD4" w:rsidR="00976C8D">
              <w:rPr>
                <w:rFonts w:ascii="Arial" w:hAnsi="Arial" w:eastAsia="Times New Roman" w:cs="Arial"/>
                <w:color w:val="000000" w:themeColor="text1"/>
                <w:sz w:val="16"/>
                <w:szCs w:val="16"/>
                <w:lang w:eastAsia="es-ES"/>
              </w:rPr>
              <w:t xml:space="preserve">, </w:t>
            </w:r>
            <w:r w:rsidRPr="00017BD4">
              <w:rPr>
                <w:rFonts w:ascii="Arial" w:hAnsi="Arial" w:eastAsia="Times New Roman" w:cs="Arial"/>
                <w:color w:val="000000" w:themeColor="text1"/>
                <w:sz w:val="16"/>
                <w:szCs w:val="16"/>
                <w:lang w:eastAsia="es-ES"/>
              </w:rPr>
              <w:t>Subdirección de Gestión Contractual</w:t>
            </w:r>
          </w:p>
        </w:tc>
      </w:tr>
      <w:tr w:rsidRPr="00BC1A07" w:rsidR="00BC1A07" w:rsidTr="004101BC" w14:paraId="092BCD16" w14:textId="77777777">
        <w:trPr>
          <w:trHeight w:val="330"/>
        </w:trPr>
        <w:tc>
          <w:tcPr>
            <w:tcW w:w="812" w:type="dxa"/>
            <w:vAlign w:val="center"/>
            <w:hideMark/>
          </w:tcPr>
          <w:p w:rsidRPr="00017BD4" w:rsidR="00BE1E33" w:rsidP="004101BC" w:rsidRDefault="00BE1E33" w14:paraId="463B4DD3" w14:textId="77777777">
            <w:pPr>
              <w:rPr>
                <w:rFonts w:ascii="Arial" w:hAnsi="Arial" w:eastAsia="Times New Roman" w:cs="Arial"/>
                <w:color w:val="000000" w:themeColor="text1"/>
                <w:sz w:val="16"/>
                <w:szCs w:val="16"/>
                <w:lang w:eastAsia="es-ES"/>
              </w:rPr>
            </w:pPr>
            <w:r w:rsidRPr="00017BD4">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17BD4" w:rsidR="00627E31" w:rsidP="00627E31" w:rsidRDefault="005E2174" w14:paraId="578D10D6" w14:textId="4BC40F41">
            <w:pPr>
              <w:rPr>
                <w:rFonts w:ascii="Arial" w:hAnsi="Arial" w:eastAsia="Times New Roman" w:cs="Arial"/>
                <w:color w:val="000000" w:themeColor="text1"/>
                <w:sz w:val="16"/>
                <w:szCs w:val="16"/>
                <w:lang w:eastAsia="es-ES"/>
              </w:rPr>
            </w:pPr>
            <w:r w:rsidRPr="00017BD4">
              <w:rPr>
                <w:rFonts w:ascii="Arial" w:hAnsi="Arial" w:eastAsia="Times New Roman" w:cs="Arial"/>
                <w:color w:val="000000" w:themeColor="text1"/>
                <w:sz w:val="16"/>
                <w:szCs w:val="16"/>
                <w:lang w:eastAsia="es-ES"/>
              </w:rPr>
              <w:t>Cristian Andrés Díaz Díez</w:t>
            </w:r>
          </w:p>
          <w:p w:rsidRPr="00017BD4" w:rsidR="00BE1E33" w:rsidP="00627E31" w:rsidRDefault="005E2174" w14:paraId="72718C99" w14:textId="3B8A1637">
            <w:pPr>
              <w:rPr>
                <w:rFonts w:ascii="Arial" w:hAnsi="Arial" w:eastAsia="Times New Roman" w:cs="Arial"/>
                <w:color w:val="000000" w:themeColor="text1"/>
                <w:sz w:val="16"/>
                <w:szCs w:val="16"/>
                <w:lang w:eastAsia="es-ES"/>
              </w:rPr>
            </w:pPr>
            <w:r w:rsidRPr="00017BD4">
              <w:rPr>
                <w:rFonts w:ascii="Arial" w:hAnsi="Arial" w:eastAsia="Times New Roman" w:cs="Arial"/>
                <w:color w:val="000000" w:themeColor="text1"/>
                <w:sz w:val="16"/>
                <w:szCs w:val="16"/>
                <w:lang w:eastAsia="es-ES"/>
              </w:rPr>
              <w:t xml:space="preserve">Contratista, </w:t>
            </w:r>
            <w:r w:rsidRPr="00017BD4" w:rsidR="00627E31">
              <w:rPr>
                <w:rFonts w:ascii="Arial" w:hAnsi="Arial" w:eastAsia="Times New Roman" w:cs="Arial"/>
                <w:color w:val="000000" w:themeColor="text1"/>
                <w:sz w:val="16"/>
                <w:szCs w:val="16"/>
                <w:lang w:eastAsia="es-ES"/>
              </w:rPr>
              <w:t>Subdirec</w:t>
            </w:r>
            <w:r w:rsidRPr="00017BD4">
              <w:rPr>
                <w:rFonts w:ascii="Arial" w:hAnsi="Arial" w:eastAsia="Times New Roman" w:cs="Arial"/>
                <w:color w:val="000000" w:themeColor="text1"/>
                <w:sz w:val="16"/>
                <w:szCs w:val="16"/>
                <w:lang w:eastAsia="es-ES"/>
              </w:rPr>
              <w:t>ción</w:t>
            </w:r>
            <w:r w:rsidRPr="00017BD4" w:rsidR="00627E31">
              <w:rPr>
                <w:rFonts w:ascii="Arial" w:hAnsi="Arial" w:eastAsia="Times New Roman" w:cs="Arial"/>
                <w:color w:val="000000" w:themeColor="text1"/>
                <w:sz w:val="16"/>
                <w:szCs w:val="16"/>
                <w:lang w:eastAsia="es-ES"/>
              </w:rPr>
              <w:t xml:space="preserve"> de Gestión Contractual</w:t>
            </w:r>
          </w:p>
        </w:tc>
      </w:tr>
      <w:tr w:rsidRPr="00BC1A07" w:rsidR="00982E99" w:rsidTr="004101BC" w14:paraId="57DAFEF9" w14:textId="77777777">
        <w:trPr>
          <w:trHeight w:val="300"/>
        </w:trPr>
        <w:tc>
          <w:tcPr>
            <w:tcW w:w="812" w:type="dxa"/>
            <w:vAlign w:val="center"/>
            <w:hideMark/>
          </w:tcPr>
          <w:p w:rsidRPr="00017BD4" w:rsidR="00BE1E33" w:rsidP="004101BC" w:rsidRDefault="00BE1E33" w14:paraId="70677013" w14:textId="77777777">
            <w:pPr>
              <w:rPr>
                <w:rFonts w:ascii="Arial" w:hAnsi="Arial" w:eastAsia="Times New Roman" w:cs="Arial"/>
                <w:color w:val="000000" w:themeColor="text1"/>
                <w:sz w:val="16"/>
                <w:szCs w:val="16"/>
                <w:lang w:eastAsia="es-ES"/>
              </w:rPr>
            </w:pPr>
            <w:r w:rsidRPr="00017BD4">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17BD4" w:rsidR="00BE1E33" w:rsidP="004101BC" w:rsidRDefault="00BE1E33" w14:paraId="4B4373C0" w14:textId="77777777">
            <w:pPr>
              <w:rPr>
                <w:rFonts w:ascii="Arial" w:hAnsi="Arial" w:eastAsia="Times New Roman" w:cs="Arial"/>
                <w:color w:val="000000" w:themeColor="text1"/>
                <w:sz w:val="16"/>
                <w:szCs w:val="16"/>
                <w:lang w:eastAsia="es-ES"/>
              </w:rPr>
            </w:pPr>
            <w:r w:rsidRPr="00017BD4">
              <w:rPr>
                <w:rFonts w:ascii="Arial" w:hAnsi="Arial" w:eastAsia="Times New Roman" w:cs="Arial"/>
                <w:color w:val="000000" w:themeColor="text1"/>
                <w:sz w:val="16"/>
                <w:szCs w:val="16"/>
                <w:lang w:eastAsia="es-ES"/>
              </w:rPr>
              <w:t>Fabián Gonzalo Marín Cortés</w:t>
            </w:r>
          </w:p>
          <w:p w:rsidRPr="00017BD4" w:rsidR="00BE1E33" w:rsidP="004101BC" w:rsidRDefault="00BE1E33" w14:paraId="75BC677C" w14:textId="77777777">
            <w:pPr>
              <w:rPr>
                <w:rFonts w:ascii="Arial" w:hAnsi="Arial" w:eastAsia="Times New Roman" w:cs="Arial"/>
                <w:color w:val="000000" w:themeColor="text1"/>
                <w:sz w:val="16"/>
                <w:szCs w:val="16"/>
                <w:lang w:eastAsia="es-ES"/>
              </w:rPr>
            </w:pPr>
            <w:r w:rsidRPr="00017BD4">
              <w:rPr>
                <w:rFonts w:ascii="Arial" w:hAnsi="Arial" w:eastAsia="Times New Roman" w:cs="Arial"/>
                <w:color w:val="000000" w:themeColor="text1"/>
                <w:sz w:val="16"/>
                <w:szCs w:val="16"/>
                <w:lang w:eastAsia="es-ES"/>
              </w:rPr>
              <w:t>Subdirector de Gestión Contractual</w:t>
            </w:r>
          </w:p>
        </w:tc>
      </w:tr>
    </w:tbl>
    <w:p w:rsidRPr="00017BD4" w:rsidR="00BE1E33" w:rsidP="00BE1E33" w:rsidRDefault="00BE1E33" w14:paraId="07748B46" w14:textId="77777777">
      <w:pPr>
        <w:rPr>
          <w:rFonts w:ascii="Arial" w:hAnsi="Arial" w:cs="Arial"/>
          <w:color w:val="000000" w:themeColor="text1"/>
        </w:rPr>
      </w:pPr>
    </w:p>
    <w:p w:rsidRPr="00017BD4" w:rsidR="006C5955" w:rsidP="00BE1E33" w:rsidRDefault="006C5955" w14:paraId="085A31AB" w14:textId="77777777">
      <w:pPr>
        <w:rPr>
          <w:color w:val="000000" w:themeColor="text1"/>
        </w:rPr>
      </w:pPr>
    </w:p>
    <w:sectPr w:rsidRPr="00017BD4" w:rsidR="006C5955" w:rsidSect="005D791B">
      <w:headerReference w:type="default" r:id="rId15"/>
      <w:footerReference w:type="default" r:id="rId16"/>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215E" w:rsidP="008C487C" w:rsidRDefault="00D7215E" w14:paraId="07ADEB0A" w14:textId="77777777">
      <w:r>
        <w:separator/>
      </w:r>
    </w:p>
  </w:endnote>
  <w:endnote w:type="continuationSeparator" w:id="0">
    <w:p w:rsidR="00D7215E" w:rsidP="008C487C" w:rsidRDefault="00D7215E" w14:paraId="4F0300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2937" w:rsidRDefault="00C57ECD" w14:paraId="5D37B59A" w14:textId="3A65DB1A">
    <w:pPr>
      <w:pStyle w:val="Sinespaciado"/>
      <w:jc w:val="right"/>
      <w:rPr>
        <w:rFonts w:ascii="Arial" w:hAnsi="Arial" w:cs="Arial"/>
        <w:sz w:val="18"/>
        <w:szCs w:val="18"/>
      </w:rPr>
    </w:pPr>
  </w:p>
  <w:p w:rsidR="00F501D2" w:rsidP="00322937" w:rsidRDefault="00F501D2" w14:paraId="709352A1" w14:textId="77777777">
    <w:pPr>
      <w:pStyle w:val="Sinespaciado"/>
      <w:jc w:val="right"/>
      <w:rPr>
        <w:rFonts w:ascii="Arial" w:hAnsi="Arial" w:cs="Arial"/>
        <w:sz w:val="18"/>
        <w:szCs w:val="18"/>
      </w:rPr>
    </w:pPr>
  </w:p>
  <w:p w:rsidRPr="008217B7" w:rsidR="00FE42ED" w:rsidP="00FE42ED" w:rsidRDefault="008C487C" w14:paraId="3D3EB348" w14:textId="2B1C09F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721E5">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721E5">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rsidR="009047C5" w:rsidP="00322937" w:rsidRDefault="008C487C" w14:paraId="29709EEF" w14:textId="77777777">
    <w:pPr>
      <w:pStyle w:val="Piedepgina"/>
      <w:jc w:val="center"/>
      <w:rPr>
        <w:lang w:val="es-ES"/>
      </w:rPr>
    </w:pPr>
    <w:r w:rsidR="0183057B">
      <w:drawing>
        <wp:inline wp14:editId="794B52CA" wp14:anchorId="0323F87D">
          <wp:extent cx="3700130" cy="519139"/>
          <wp:effectExtent l="0" t="0" r="0" b="0"/>
          <wp:docPr id="1125808498" name="Imagen 3" title=""/>
          <wp:cNvGraphicFramePr>
            <a:graphicFrameLocks noChangeAspect="1"/>
          </wp:cNvGraphicFramePr>
          <a:graphic>
            <a:graphicData uri="http://schemas.openxmlformats.org/drawingml/2006/picture">
              <pic:pic>
                <pic:nvPicPr>
                  <pic:cNvPr id="0" name="Imagen 3"/>
                  <pic:cNvPicPr/>
                </pic:nvPicPr>
                <pic:blipFill>
                  <a:blip r:embed="R9719bd00b6604c4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322937" w:rsidP="007B0854" w:rsidRDefault="00C57ECD" w14:paraId="608DFF21" w14:textId="77777777">
    <w:pPr>
      <w:pStyle w:val="Piedepgina"/>
      <w:jc w:val="center"/>
      <w:rPr>
        <w:sz w:val="18"/>
        <w:szCs w:val="18"/>
        <w:lang w:val="es-ES"/>
      </w:rPr>
    </w:pPr>
  </w:p>
  <w:p w:rsidRPr="00E756AC" w:rsidR="004A34D2" w:rsidP="007B0854" w:rsidRDefault="00C57ECD" w14:paraId="428179B1"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215E" w:rsidP="008C487C" w:rsidRDefault="00D7215E" w14:paraId="4AB281CA" w14:textId="77777777">
      <w:r>
        <w:separator/>
      </w:r>
    </w:p>
  </w:footnote>
  <w:footnote w:type="continuationSeparator" w:id="0">
    <w:p w:rsidR="00D7215E" w:rsidP="008C487C" w:rsidRDefault="00D7215E" w14:paraId="0E6D6C01" w14:textId="77777777">
      <w:r>
        <w:continuationSeparator/>
      </w:r>
    </w:p>
  </w:footnote>
  <w:footnote w:id="1">
    <w:p w:rsidRPr="00465DB9" w:rsidR="00137F39" w:rsidP="00401826" w:rsidRDefault="00137F39" w14:paraId="4FD4E364" w14:textId="77777777">
      <w:pPr>
        <w:ind w:right="49" w:firstLine="720"/>
        <w:jc w:val="both"/>
        <w:rPr>
          <w:rFonts w:ascii="Arial" w:hAnsi="Arial" w:cs="Arial"/>
          <w:color w:val="404040" w:themeColor="text1" w:themeTint="BF"/>
          <w:sz w:val="19"/>
          <w:szCs w:val="19"/>
        </w:rPr>
      </w:pPr>
      <w:r w:rsidRPr="00465DB9">
        <w:rPr>
          <w:rStyle w:val="Refdenotaalpie"/>
          <w:rFonts w:ascii="Arial" w:hAnsi="Arial" w:cs="Arial"/>
          <w:color w:val="404040" w:themeColor="text1" w:themeTint="BF"/>
          <w:sz w:val="19"/>
          <w:szCs w:val="19"/>
        </w:rPr>
        <w:footnoteRef/>
      </w:r>
      <w:r w:rsidRPr="00465DB9">
        <w:rPr>
          <w:rFonts w:ascii="Arial" w:hAnsi="Arial" w:cs="Arial"/>
          <w:color w:val="404040" w:themeColor="text1" w:themeTint="BF"/>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465DB9">
        <w:rPr>
          <w:rFonts w:ascii="Arial" w:hAnsi="Arial" w:cs="Arial"/>
          <w:color w:val="404040" w:themeColor="text1" w:themeTint="BF"/>
          <w:spacing w:val="-14"/>
          <w:sz w:val="19"/>
          <w:szCs w:val="19"/>
        </w:rPr>
        <w:t xml:space="preserve"> </w:t>
      </w:r>
      <w:r w:rsidRPr="00465DB9">
        <w:rPr>
          <w:rFonts w:ascii="Arial" w:hAnsi="Arial" w:cs="Arial"/>
          <w:color w:val="404040" w:themeColor="text1" w:themeTint="BF"/>
          <w:sz w:val="19"/>
          <w:szCs w:val="19"/>
        </w:rPr>
        <w:t>utilizados.</w:t>
      </w:r>
    </w:p>
    <w:p w:rsidRPr="00465DB9" w:rsidR="00137F39" w:rsidP="00401826" w:rsidRDefault="00137F39" w14:paraId="352459FB" w14:textId="77777777">
      <w:pPr>
        <w:ind w:right="49" w:firstLine="708"/>
        <w:jc w:val="both"/>
        <w:rPr>
          <w:rFonts w:ascii="Arial" w:hAnsi="Arial" w:cs="Arial"/>
          <w:color w:val="404040" w:themeColor="text1" w:themeTint="BF"/>
          <w:sz w:val="19"/>
          <w:szCs w:val="19"/>
        </w:rPr>
      </w:pPr>
      <w:r w:rsidRPr="00465DB9">
        <w:rPr>
          <w:rFonts w:ascii="Arial" w:hAnsi="Arial" w:cs="Arial"/>
          <w:color w:val="404040" w:themeColor="text1" w:themeTint="BF"/>
          <w:sz w:val="19"/>
          <w:szCs w:val="19"/>
        </w:rPr>
        <w:t>[…]</w:t>
      </w:r>
    </w:p>
    <w:p w:rsidRPr="00465DB9" w:rsidR="00137F39" w:rsidP="00401826" w:rsidRDefault="00137F39" w14:paraId="4E9CC62D" w14:textId="77777777">
      <w:pPr>
        <w:ind w:right="49" w:firstLine="708"/>
        <w:jc w:val="both"/>
        <w:rPr>
          <w:rFonts w:ascii="Arial" w:hAnsi="Arial" w:cs="Arial"/>
          <w:color w:val="404040" w:themeColor="text1" w:themeTint="BF"/>
          <w:sz w:val="19"/>
          <w:szCs w:val="19"/>
        </w:rPr>
      </w:pPr>
    </w:p>
    <w:p w:rsidRPr="00465DB9" w:rsidR="00137F39" w:rsidP="00401826" w:rsidRDefault="00137F39" w14:paraId="2BE9B0C5" w14:textId="2515BFC4">
      <w:pPr>
        <w:ind w:right="49" w:firstLine="708"/>
        <w:jc w:val="both"/>
        <w:rPr>
          <w:rFonts w:ascii="Arial" w:hAnsi="Arial" w:cs="Arial"/>
          <w:color w:val="404040" w:themeColor="text1" w:themeTint="BF"/>
          <w:sz w:val="19"/>
          <w:szCs w:val="19"/>
        </w:rPr>
      </w:pPr>
      <w:proofErr w:type="gramStart"/>
      <w:r w:rsidRPr="00465DB9">
        <w:rPr>
          <w:rFonts w:ascii="Arial" w:hAnsi="Arial" w:cs="Arial"/>
          <w:color w:val="404040" w:themeColor="text1" w:themeTint="BF"/>
          <w:sz w:val="19"/>
          <w:szCs w:val="19"/>
        </w:rPr>
        <w:t>»Capacidad</w:t>
      </w:r>
      <w:proofErr w:type="gramEnd"/>
      <w:r w:rsidRPr="00465DB9">
        <w:rPr>
          <w:rFonts w:ascii="Arial" w:hAnsi="Arial" w:cs="Arial"/>
          <w:color w:val="404040" w:themeColor="text1" w:themeTint="BF"/>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p>
    <w:p w:rsidRPr="00465DB9" w:rsidR="00377E57" w:rsidP="00401826" w:rsidRDefault="00377E57" w14:paraId="4E6A9BBE" w14:textId="77777777">
      <w:pPr>
        <w:ind w:right="49" w:firstLine="708"/>
        <w:jc w:val="both"/>
        <w:rPr>
          <w:rFonts w:ascii="Arial" w:hAnsi="Arial" w:cs="Arial"/>
          <w:color w:val="404040" w:themeColor="text1" w:themeTint="BF"/>
          <w:sz w:val="19"/>
          <w:szCs w:val="19"/>
        </w:rPr>
      </w:pPr>
    </w:p>
  </w:footnote>
  <w:footnote w:id="2">
    <w:p w:rsidRPr="00465DB9" w:rsidR="00F419B1" w:rsidP="00401826" w:rsidRDefault="00F419B1" w14:paraId="1830AAD6" w14:textId="458F5597">
      <w:pPr>
        <w:ind w:right="49" w:firstLine="720"/>
        <w:jc w:val="both"/>
        <w:rPr>
          <w:rFonts w:ascii="Arial" w:hAnsi="Arial" w:cs="Arial"/>
          <w:color w:val="404040" w:themeColor="text1" w:themeTint="BF"/>
          <w:sz w:val="19"/>
          <w:szCs w:val="19"/>
        </w:rPr>
      </w:pPr>
      <w:r w:rsidRPr="00465DB9">
        <w:rPr>
          <w:rStyle w:val="Refdenotaalpie"/>
          <w:rFonts w:ascii="Arial" w:hAnsi="Arial" w:cs="Arial"/>
          <w:color w:val="404040" w:themeColor="text1" w:themeTint="BF"/>
          <w:sz w:val="19"/>
          <w:szCs w:val="19"/>
        </w:rPr>
        <w:footnoteRef/>
      </w:r>
      <w:r w:rsidRPr="00465DB9">
        <w:rPr>
          <w:rFonts w:ascii="Arial" w:hAnsi="Arial" w:cs="Arial"/>
          <w:color w:val="404040" w:themeColor="text1" w:themeTint="BF"/>
          <w:sz w:val="19"/>
          <w:szCs w:val="19"/>
        </w:rPr>
        <w:t xml:space="preserve"> Consejo de Estado. Sección Tercera. </w:t>
      </w:r>
      <w:r w:rsidRPr="00465DB9" w:rsidR="004221B5">
        <w:rPr>
          <w:rFonts w:ascii="Arial" w:hAnsi="Arial" w:cs="Arial"/>
          <w:color w:val="404040" w:themeColor="text1" w:themeTint="BF"/>
          <w:sz w:val="19"/>
          <w:szCs w:val="19"/>
        </w:rPr>
        <w:t xml:space="preserve">Providencia del 26 de junio de 2003. </w:t>
      </w:r>
      <w:proofErr w:type="spellStart"/>
      <w:r w:rsidRPr="00465DB9" w:rsidR="004221B5">
        <w:rPr>
          <w:rFonts w:ascii="Arial" w:hAnsi="Arial" w:cs="Arial"/>
          <w:color w:val="404040" w:themeColor="text1" w:themeTint="BF"/>
          <w:sz w:val="19"/>
          <w:szCs w:val="19"/>
        </w:rPr>
        <w:t>Exp</w:t>
      </w:r>
      <w:proofErr w:type="spellEnd"/>
      <w:r w:rsidRPr="00465DB9" w:rsidR="004221B5">
        <w:rPr>
          <w:rFonts w:ascii="Arial" w:hAnsi="Arial" w:cs="Arial"/>
          <w:color w:val="404040" w:themeColor="text1" w:themeTint="BF"/>
          <w:sz w:val="19"/>
          <w:szCs w:val="19"/>
        </w:rPr>
        <w:t xml:space="preserve">. 13.354. M.P. </w:t>
      </w:r>
      <w:r w:rsidRPr="00465DB9">
        <w:rPr>
          <w:rFonts w:ascii="Arial" w:hAnsi="Arial" w:cs="Arial"/>
          <w:color w:val="404040" w:themeColor="text1" w:themeTint="BF"/>
          <w:sz w:val="19"/>
          <w:szCs w:val="19"/>
        </w:rPr>
        <w:t>María Elena Giraldo Gómez.</w:t>
      </w:r>
    </w:p>
    <w:p w:rsidRPr="00465DB9" w:rsidR="00F419B1" w:rsidP="00401826" w:rsidRDefault="00F419B1" w14:paraId="1E16813A" w14:textId="77777777">
      <w:pPr>
        <w:pStyle w:val="Textonotapie"/>
        <w:ind w:right="49"/>
        <w:jc w:val="both"/>
        <w:rPr>
          <w:rFonts w:ascii="Arial" w:hAnsi="Arial" w:cs="Arial"/>
          <w:color w:val="404040" w:themeColor="text1" w:themeTint="BF"/>
          <w:sz w:val="19"/>
          <w:szCs w:val="19"/>
          <w:lang w:val="es-CO"/>
        </w:rPr>
      </w:pPr>
    </w:p>
  </w:footnote>
  <w:footnote w:id="3">
    <w:p w:rsidRPr="00465DB9" w:rsidR="00F91408" w:rsidP="00401826" w:rsidRDefault="00F91408" w14:paraId="351DC742" w14:textId="04EBEF8B">
      <w:pPr>
        <w:ind w:left="300" w:right="49" w:firstLine="707"/>
        <w:jc w:val="both"/>
        <w:rPr>
          <w:rFonts w:ascii="Arial" w:hAnsi="Arial" w:cs="Arial"/>
          <w:color w:val="404040" w:themeColor="text1" w:themeTint="BF"/>
          <w:sz w:val="19"/>
          <w:szCs w:val="19"/>
        </w:rPr>
      </w:pPr>
      <w:r w:rsidRPr="00465DB9">
        <w:rPr>
          <w:rStyle w:val="Refdenotaalpie"/>
          <w:rFonts w:ascii="Arial" w:hAnsi="Arial" w:cs="Arial"/>
          <w:color w:val="404040" w:themeColor="text1" w:themeTint="BF"/>
          <w:sz w:val="19"/>
          <w:szCs w:val="19"/>
        </w:rPr>
        <w:footnoteRef/>
      </w:r>
      <w:r w:rsidRPr="00465DB9">
        <w:rPr>
          <w:rFonts w:ascii="Arial" w:hAnsi="Arial" w:cs="Arial"/>
          <w:color w:val="404040" w:themeColor="text1" w:themeTint="BF"/>
          <w:sz w:val="19"/>
          <w:szCs w:val="19"/>
        </w:rPr>
        <w:t xml:space="preserve"> Decreto 1082 de 2015. </w:t>
      </w:r>
      <w:r w:rsidR="00E238E2">
        <w:rPr>
          <w:rFonts w:ascii="Arial" w:hAnsi="Arial" w:cs="Arial"/>
          <w:color w:val="404040" w:themeColor="text1" w:themeTint="BF"/>
          <w:sz w:val="19"/>
          <w:szCs w:val="19"/>
        </w:rPr>
        <w:t>«</w:t>
      </w:r>
      <w:r w:rsidRPr="00465DB9">
        <w:rPr>
          <w:rFonts w:ascii="Arial" w:hAnsi="Arial" w:cs="Arial"/>
          <w:color w:val="404040" w:themeColor="text1" w:themeTint="BF"/>
          <w:sz w:val="19"/>
          <w:szCs w:val="19"/>
        </w:rPr>
        <w:t>Artículo 2.2.1.1.1.6.4. Capacidad Residual. El interesado en celebrar contratos de obra pública con Entidades Estatales debe acreditar su Capacidad Residual o K de Contratación con los siguientes</w:t>
      </w:r>
      <w:r w:rsidRPr="00465DB9">
        <w:rPr>
          <w:rFonts w:ascii="Arial" w:hAnsi="Arial" w:cs="Arial"/>
          <w:color w:val="404040" w:themeColor="text1" w:themeTint="BF"/>
          <w:spacing w:val="-3"/>
          <w:sz w:val="19"/>
          <w:szCs w:val="19"/>
        </w:rPr>
        <w:t xml:space="preserve"> </w:t>
      </w:r>
      <w:r w:rsidRPr="00465DB9">
        <w:rPr>
          <w:rFonts w:ascii="Arial" w:hAnsi="Arial" w:cs="Arial"/>
          <w:color w:val="404040" w:themeColor="text1" w:themeTint="BF"/>
          <w:sz w:val="19"/>
          <w:szCs w:val="19"/>
        </w:rPr>
        <w:t>documentos:</w:t>
      </w:r>
    </w:p>
    <w:p w:rsidRPr="00465DB9" w:rsidR="00F91408" w:rsidP="00401826" w:rsidRDefault="00F91408" w14:paraId="52720658" w14:textId="77777777">
      <w:pPr>
        <w:pStyle w:val="Textoindependiente"/>
        <w:ind w:right="49"/>
        <w:jc w:val="both"/>
        <w:rPr>
          <w:color w:val="404040" w:themeColor="text1" w:themeTint="BF"/>
          <w:sz w:val="19"/>
          <w:szCs w:val="19"/>
        </w:rPr>
      </w:pPr>
    </w:p>
    <w:p w:rsidRPr="00465DB9" w:rsidR="00F91408" w:rsidP="00401826" w:rsidRDefault="00E238E2" w14:paraId="7B6A2FDD" w14:textId="19E44325">
      <w:pPr>
        <w:ind w:left="300" w:right="49"/>
        <w:jc w:val="both"/>
        <w:rPr>
          <w:rFonts w:ascii="Arial" w:hAnsi="Arial" w:cs="Arial"/>
          <w:color w:val="404040" w:themeColor="text1" w:themeTint="BF"/>
          <w:sz w:val="19"/>
          <w:szCs w:val="19"/>
        </w:rPr>
      </w:pPr>
      <w:r>
        <w:rPr>
          <w:rFonts w:ascii="Arial" w:hAnsi="Arial" w:cs="Arial"/>
          <w:color w:val="404040" w:themeColor="text1" w:themeTint="BF"/>
          <w:sz w:val="19"/>
          <w:szCs w:val="19"/>
        </w:rPr>
        <w:t>»</w:t>
      </w:r>
      <w:r w:rsidRPr="00465DB9" w:rsidR="00F91408">
        <w:rPr>
          <w:rFonts w:ascii="Arial" w:hAnsi="Arial" w:cs="Arial"/>
          <w:color w:val="404040" w:themeColor="text1" w:themeTint="BF"/>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465DB9" w:rsidR="00F91408">
        <w:rPr>
          <w:rFonts w:ascii="Arial" w:hAnsi="Arial" w:cs="Arial"/>
          <w:color w:val="404040" w:themeColor="text1" w:themeTint="BF"/>
          <w:spacing w:val="-4"/>
          <w:sz w:val="19"/>
          <w:szCs w:val="19"/>
        </w:rPr>
        <w:t xml:space="preserve"> </w:t>
      </w:r>
      <w:r w:rsidRPr="00465DB9" w:rsidR="00F91408">
        <w:rPr>
          <w:rFonts w:ascii="Arial" w:hAnsi="Arial" w:cs="Arial"/>
          <w:color w:val="404040" w:themeColor="text1" w:themeTint="BF"/>
          <w:sz w:val="19"/>
          <w:szCs w:val="19"/>
        </w:rPr>
        <w:t>concesionarios.</w:t>
      </w:r>
    </w:p>
    <w:p w:rsidRPr="00465DB9" w:rsidR="00F91408" w:rsidP="00401826" w:rsidRDefault="00F91408" w14:paraId="33BB1F95" w14:textId="77777777">
      <w:pPr>
        <w:pStyle w:val="Textoindependiente"/>
        <w:ind w:right="49"/>
        <w:jc w:val="both"/>
        <w:rPr>
          <w:color w:val="404040" w:themeColor="text1" w:themeTint="BF"/>
          <w:sz w:val="19"/>
          <w:szCs w:val="19"/>
        </w:rPr>
      </w:pPr>
    </w:p>
    <w:p w:rsidRPr="00465DB9" w:rsidR="00F91408" w:rsidP="00401826" w:rsidRDefault="00E238E2" w14:paraId="2CB758FE" w14:textId="64F0977D">
      <w:pPr>
        <w:ind w:left="300" w:right="49"/>
        <w:jc w:val="both"/>
        <w:rPr>
          <w:rFonts w:ascii="Arial" w:hAnsi="Arial" w:cs="Arial"/>
          <w:color w:val="404040" w:themeColor="text1" w:themeTint="BF"/>
          <w:sz w:val="19"/>
          <w:szCs w:val="19"/>
        </w:rPr>
      </w:pPr>
      <w:r>
        <w:rPr>
          <w:rFonts w:ascii="Arial" w:hAnsi="Arial" w:cs="Arial"/>
          <w:color w:val="404040" w:themeColor="text1" w:themeTint="BF"/>
          <w:sz w:val="19"/>
          <w:szCs w:val="19"/>
        </w:rPr>
        <w:t>»</w:t>
      </w:r>
      <w:r w:rsidRPr="00465DB9" w:rsidR="00F91408">
        <w:rPr>
          <w:rFonts w:ascii="Arial" w:hAnsi="Arial" w:cs="Arial"/>
          <w:color w:val="404040" w:themeColor="text1" w:themeTint="BF"/>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rsidRPr="00465DB9" w:rsidR="00F91408" w:rsidP="00401826" w:rsidRDefault="00F91408" w14:paraId="10DDD527" w14:textId="77777777">
      <w:pPr>
        <w:ind w:right="49"/>
        <w:jc w:val="both"/>
        <w:rPr>
          <w:rFonts w:ascii="Arial" w:hAnsi="Arial" w:cs="Arial"/>
          <w:color w:val="404040" w:themeColor="text1" w:themeTint="BF"/>
          <w:sz w:val="19"/>
          <w:szCs w:val="19"/>
        </w:rPr>
      </w:pPr>
    </w:p>
    <w:p w:rsidRPr="00465DB9" w:rsidR="00F91408" w:rsidP="00401826" w:rsidRDefault="00E238E2" w14:paraId="2946FA95" w14:textId="7CF08753">
      <w:pPr>
        <w:ind w:left="300" w:right="49"/>
        <w:jc w:val="both"/>
        <w:rPr>
          <w:rFonts w:ascii="Arial" w:hAnsi="Arial" w:cs="Arial"/>
          <w:color w:val="404040" w:themeColor="text1" w:themeTint="BF"/>
          <w:sz w:val="19"/>
          <w:szCs w:val="19"/>
        </w:rPr>
      </w:pPr>
      <w:r>
        <w:rPr>
          <w:rFonts w:ascii="Arial" w:hAnsi="Arial" w:cs="Arial"/>
          <w:color w:val="404040" w:themeColor="text1" w:themeTint="BF"/>
          <w:sz w:val="19"/>
          <w:szCs w:val="19"/>
        </w:rPr>
        <w:t>»</w:t>
      </w:r>
      <w:r w:rsidRPr="00465DB9" w:rsidR="00F91408">
        <w:rPr>
          <w:rFonts w:ascii="Arial" w:hAnsi="Arial" w:cs="Arial"/>
          <w:color w:val="404040" w:themeColor="text1" w:themeTint="BF"/>
          <w:sz w:val="19"/>
          <w:szCs w:val="19"/>
        </w:rPr>
        <w:t xml:space="preserve">3. Balance general auditado del año inmediatamente anterior y estado de resultados auditado del año en que haya obtenido el mayor ingreso operacional en los últimos cinco (5) años. Los estados financieros deben </w:t>
      </w:r>
      <w:r w:rsidRPr="00E45057" w:rsidR="00F91408">
        <w:rPr>
          <w:rFonts w:ascii="Arial" w:hAnsi="Arial" w:cs="Arial"/>
          <w:color w:val="404040" w:themeColor="text1" w:themeTint="BF"/>
          <w:sz w:val="19"/>
          <w:szCs w:val="19"/>
        </w:rPr>
        <w:t xml:space="preserve">estar suscritos por el interesado o su representante legal y el revisor fiscal si está obligado a tenerlo, o el auditor o </w:t>
      </w:r>
      <w:r w:rsidRPr="00E45057" w:rsidR="00E45057">
        <w:rPr>
          <w:rFonts w:ascii="Arial" w:hAnsi="Arial" w:cs="Arial"/>
          <w:color w:val="404040" w:themeColor="text1" w:themeTint="BF"/>
          <w:sz w:val="19"/>
          <w:szCs w:val="19"/>
        </w:rPr>
        <w:t>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rsidRPr="00465DB9" w:rsidR="00F91408" w:rsidP="00401826" w:rsidRDefault="00F91408" w14:paraId="2307EF90" w14:textId="77777777">
      <w:pPr>
        <w:pStyle w:val="Textonotapie"/>
        <w:ind w:right="49"/>
        <w:jc w:val="both"/>
        <w:rPr>
          <w:rFonts w:ascii="Arial" w:hAnsi="Arial" w:cs="Arial"/>
          <w:color w:val="404040" w:themeColor="text1" w:themeTint="BF"/>
          <w:sz w:val="19"/>
          <w:szCs w:val="19"/>
        </w:rPr>
      </w:pPr>
    </w:p>
  </w:footnote>
  <w:footnote w:id="4">
    <w:p w:rsidRPr="00465DB9" w:rsidR="00401826" w:rsidP="00401826" w:rsidRDefault="00401826" w14:paraId="0894ADAB" w14:textId="4B0F99E4">
      <w:pPr>
        <w:pStyle w:val="Textonotapie"/>
        <w:ind w:firstLine="300"/>
        <w:jc w:val="both"/>
        <w:rPr>
          <w:rFonts w:ascii="Arial" w:hAnsi="Arial" w:cs="Arial"/>
          <w:color w:val="404040" w:themeColor="text1" w:themeTint="BF"/>
          <w:sz w:val="19"/>
          <w:szCs w:val="19"/>
        </w:rPr>
      </w:pPr>
      <w:r w:rsidRPr="00465DB9">
        <w:rPr>
          <w:rStyle w:val="Refdenotaalpie"/>
          <w:rFonts w:ascii="Arial" w:hAnsi="Arial" w:cs="Arial"/>
          <w:color w:val="404040" w:themeColor="text1" w:themeTint="BF"/>
          <w:sz w:val="19"/>
          <w:szCs w:val="19"/>
        </w:rPr>
        <w:footnoteRef/>
      </w:r>
      <w:r w:rsidRPr="00465DB9">
        <w:rPr>
          <w:rFonts w:ascii="Arial" w:hAnsi="Arial" w:cs="Arial"/>
          <w:color w:val="404040" w:themeColor="text1" w:themeTint="BF"/>
          <w:sz w:val="19"/>
          <w:szCs w:val="19"/>
        </w:rPr>
        <w:t xml:space="preserve"> Decreto 1082 de 2015. Artículo 2.2.1.1.1.5.3. Allí se lee: «Requisitos habilitantes contenidos en el RUP. Las cámaras de comercio, con base en la información a la que hace referencia el artículo anterior, deben verificar y certificar los siguientes requisitos habilitantes:</w:t>
      </w:r>
    </w:p>
    <w:p w:rsidRPr="00465DB9" w:rsidR="00401826" w:rsidP="00401826" w:rsidRDefault="00401826" w14:paraId="4AD71BD0" w14:textId="77777777">
      <w:pPr>
        <w:pStyle w:val="Textonotapie"/>
        <w:ind w:firstLine="300"/>
        <w:jc w:val="both"/>
        <w:rPr>
          <w:rFonts w:ascii="Arial" w:hAnsi="Arial" w:cs="Arial"/>
          <w:color w:val="404040" w:themeColor="text1" w:themeTint="BF"/>
          <w:sz w:val="19"/>
          <w:szCs w:val="19"/>
        </w:rPr>
      </w:pPr>
    </w:p>
    <w:p w:rsidRPr="00465DB9" w:rsidR="00401826" w:rsidP="00401826" w:rsidRDefault="00401826" w14:paraId="3952D839" w14:textId="6A67A0DC">
      <w:pPr>
        <w:pStyle w:val="Textonotapie"/>
        <w:ind w:firstLine="300"/>
        <w:jc w:val="both"/>
        <w:rPr>
          <w:rFonts w:ascii="Arial" w:hAnsi="Arial" w:cs="Arial"/>
          <w:color w:val="404040" w:themeColor="text1" w:themeTint="BF"/>
          <w:sz w:val="19"/>
          <w:szCs w:val="19"/>
        </w:rPr>
      </w:pPr>
      <w:r w:rsidRPr="00465DB9">
        <w:rPr>
          <w:rFonts w:ascii="Arial" w:hAnsi="Arial" w:cs="Arial"/>
          <w:color w:val="404040" w:themeColor="text1" w:themeTint="BF"/>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rsidRPr="00465DB9" w:rsidR="00401826" w:rsidP="00401826" w:rsidRDefault="00401826" w14:paraId="3A3DDE7F" w14:textId="77777777">
      <w:pPr>
        <w:pStyle w:val="Textonotapie"/>
        <w:ind w:firstLine="300"/>
        <w:jc w:val="both"/>
        <w:rPr>
          <w:rFonts w:ascii="Arial" w:hAnsi="Arial" w:cs="Arial"/>
          <w:color w:val="404040" w:themeColor="text1" w:themeTint="BF"/>
          <w:sz w:val="19"/>
          <w:szCs w:val="19"/>
        </w:rPr>
      </w:pPr>
    </w:p>
    <w:p w:rsidRPr="00465DB9" w:rsidR="00401826" w:rsidP="00401826" w:rsidRDefault="00401826" w14:paraId="681FB050" w14:textId="71CB891D">
      <w:pPr>
        <w:pStyle w:val="Textonotapie"/>
        <w:ind w:firstLine="300"/>
        <w:jc w:val="both"/>
        <w:rPr>
          <w:rFonts w:ascii="Arial" w:hAnsi="Arial" w:cs="Arial"/>
          <w:color w:val="404040" w:themeColor="text1" w:themeTint="BF"/>
          <w:sz w:val="19"/>
          <w:szCs w:val="19"/>
        </w:rPr>
      </w:pPr>
      <w:proofErr w:type="gramStart"/>
      <w:r w:rsidRPr="00465DB9">
        <w:rPr>
          <w:rFonts w:ascii="Arial" w:hAnsi="Arial" w:cs="Arial"/>
          <w:color w:val="404040" w:themeColor="text1" w:themeTint="BF"/>
          <w:sz w:val="19"/>
          <w:szCs w:val="19"/>
        </w:rPr>
        <w:t>»Los</w:t>
      </w:r>
      <w:proofErr w:type="gramEnd"/>
      <w:r w:rsidRPr="00465DB9">
        <w:rPr>
          <w:rFonts w:ascii="Arial" w:hAnsi="Arial" w:cs="Arial"/>
          <w:color w:val="404040" w:themeColor="text1" w:themeTint="BF"/>
          <w:sz w:val="19"/>
          <w:szCs w:val="19"/>
        </w:rPr>
        <w:t xml:space="preserve">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p>
  </w:footnote>
  <w:footnote w:id="5">
    <w:p w:rsidRPr="00293ED9" w:rsidR="00871562" w:rsidP="00871562" w:rsidRDefault="00871562" w14:paraId="2063307B"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293ED9" w:rsidR="00871562" w:rsidP="00871562" w:rsidRDefault="00871562" w14:paraId="1847B395" w14:textId="77777777">
      <w:pPr>
        <w:pStyle w:val="Textonotapie"/>
        <w:ind w:firstLine="708"/>
        <w:jc w:val="both"/>
        <w:rPr>
          <w:rFonts w:ascii="Arial" w:hAnsi="Arial" w:cs="Arial"/>
          <w:sz w:val="19"/>
          <w:szCs w:val="19"/>
        </w:rPr>
      </w:pPr>
      <w:r w:rsidRPr="00293ED9">
        <w:rPr>
          <w:rFonts w:ascii="Arial" w:hAnsi="Arial" w:cs="Arial"/>
          <w:sz w:val="19"/>
          <w:szCs w:val="19"/>
        </w:rPr>
        <w:t>»[...]</w:t>
      </w:r>
    </w:p>
    <w:p w:rsidRPr="00293ED9" w:rsidR="00871562" w:rsidP="00871562" w:rsidRDefault="00871562" w14:paraId="11C106E4" w14:textId="77777777">
      <w:pPr>
        <w:pStyle w:val="Textonotapie"/>
        <w:ind w:firstLine="708"/>
        <w:jc w:val="both"/>
        <w:rPr>
          <w:rFonts w:ascii="Arial" w:hAnsi="Arial" w:cs="Arial"/>
          <w:sz w:val="19"/>
          <w:szCs w:val="19"/>
        </w:rPr>
      </w:pPr>
      <w:proofErr w:type="gramStart"/>
      <w:r w:rsidRPr="00293ED9">
        <w:rPr>
          <w:rFonts w:ascii="Arial" w:hAnsi="Arial" w:cs="Arial"/>
          <w:sz w:val="19"/>
          <w:szCs w:val="19"/>
        </w:rPr>
        <w:t>»Documentos</w:t>
      </w:r>
      <w:proofErr w:type="gramEnd"/>
      <w:r w:rsidRPr="00293ED9">
        <w:rPr>
          <w:rFonts w:ascii="Arial" w:hAnsi="Arial" w:cs="Arial"/>
          <w:sz w:val="19"/>
          <w:szCs w:val="19"/>
        </w:rPr>
        <w:t xml:space="preserve">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rsidRPr="00293ED9" w:rsidR="00871562" w:rsidP="00871562" w:rsidRDefault="00871562" w14:paraId="35320F4D" w14:textId="77777777">
      <w:pPr>
        <w:pStyle w:val="Textonotapie"/>
        <w:ind w:firstLine="708"/>
        <w:jc w:val="both"/>
        <w:rPr>
          <w:rFonts w:ascii="Arial" w:hAnsi="Arial" w:cs="Arial"/>
          <w:sz w:val="19"/>
          <w:szCs w:val="19"/>
        </w:rPr>
      </w:pPr>
      <w:r w:rsidRPr="00293ED9">
        <w:rPr>
          <w:rFonts w:ascii="Arial" w:hAnsi="Arial" w:cs="Arial"/>
          <w:sz w:val="19"/>
          <w:szCs w:val="19"/>
        </w:rPr>
        <w:t>»[...]».</w:t>
      </w:r>
    </w:p>
    <w:p w:rsidRPr="00293ED9" w:rsidR="00871562" w:rsidP="00871562" w:rsidRDefault="00871562" w14:paraId="5C81D8D5" w14:textId="77777777">
      <w:pPr>
        <w:pStyle w:val="Textonotapie"/>
        <w:jc w:val="both"/>
        <w:rPr>
          <w:rFonts w:ascii="Arial" w:hAnsi="Arial" w:cs="Arial"/>
          <w:sz w:val="19"/>
          <w:szCs w:val="19"/>
          <w:lang w:val="es-ES"/>
        </w:rPr>
      </w:pPr>
    </w:p>
  </w:footnote>
  <w:footnote w:id="6">
    <w:p w:rsidRPr="00293ED9" w:rsidR="00871562" w:rsidP="00871562" w:rsidRDefault="00871562" w14:paraId="7C6857BD"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rsidRPr="00293ED9" w:rsidR="00871562" w:rsidP="00871562" w:rsidRDefault="00871562" w14:paraId="49FAF13C" w14:textId="77777777">
      <w:pPr>
        <w:pStyle w:val="Textonotapie"/>
        <w:ind w:firstLine="708"/>
        <w:jc w:val="both"/>
        <w:rPr>
          <w:rFonts w:ascii="Arial" w:hAnsi="Arial" w:cs="Arial"/>
          <w:sz w:val="19"/>
          <w:szCs w:val="19"/>
        </w:rPr>
      </w:pPr>
      <w:proofErr w:type="gramStart"/>
      <w:r w:rsidRPr="00293ED9">
        <w:rPr>
          <w:rFonts w:ascii="Arial" w:hAnsi="Arial" w:cs="Arial"/>
          <w:sz w:val="19"/>
          <w:szCs w:val="19"/>
        </w:rPr>
        <w:t>»Las</w:t>
      </w:r>
      <w:proofErr w:type="gramEnd"/>
      <w:r w:rsidRPr="00293ED9">
        <w:rPr>
          <w:rFonts w:ascii="Arial" w:hAnsi="Arial" w:cs="Arial"/>
          <w:sz w:val="19"/>
          <w:szCs w:val="19"/>
        </w:rPr>
        <w:t xml:space="preserve"> personas jurídicas nacionales y extranjeras deberán acreditar que su duración no será inferior a la del plazo del contrato y un año más».</w:t>
      </w:r>
    </w:p>
    <w:p w:rsidRPr="00293ED9" w:rsidR="00871562" w:rsidP="00871562" w:rsidRDefault="00871562" w14:paraId="3B056323" w14:textId="77777777">
      <w:pPr>
        <w:pStyle w:val="Textonotapie"/>
        <w:jc w:val="both"/>
        <w:rPr>
          <w:rFonts w:ascii="Arial" w:hAnsi="Arial" w:cs="Arial"/>
          <w:sz w:val="19"/>
          <w:szCs w:val="19"/>
          <w:lang w:val="es-CO"/>
        </w:rPr>
      </w:pPr>
      <w:r w:rsidRPr="00293ED9">
        <w:rPr>
          <w:rFonts w:ascii="Arial" w:hAnsi="Arial" w:cs="Arial"/>
          <w:sz w:val="19"/>
          <w:szCs w:val="19"/>
        </w:rPr>
        <w:t xml:space="preserve"> </w:t>
      </w:r>
    </w:p>
  </w:footnote>
  <w:footnote w:id="7">
    <w:p w:rsidRPr="00293ED9" w:rsidR="00871562" w:rsidP="00871562" w:rsidRDefault="00871562" w14:paraId="58B91579"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rsidRPr="00293ED9" w:rsidR="00871562" w:rsidP="00871562" w:rsidRDefault="00871562" w14:paraId="4F79A20A" w14:textId="77777777">
      <w:pPr>
        <w:pStyle w:val="Textonotapie"/>
        <w:ind w:firstLine="708"/>
        <w:jc w:val="both"/>
        <w:rPr>
          <w:rFonts w:ascii="Arial" w:hAnsi="Arial" w:cs="Arial"/>
          <w:sz w:val="19"/>
          <w:szCs w:val="19"/>
        </w:rPr>
      </w:pPr>
      <w:proofErr w:type="gramStart"/>
      <w:r w:rsidRPr="00293ED9">
        <w:rPr>
          <w:rFonts w:ascii="Arial" w:hAnsi="Arial" w:cs="Arial"/>
          <w:sz w:val="19"/>
          <w:szCs w:val="19"/>
        </w:rPr>
        <w:t>»Las</w:t>
      </w:r>
      <w:proofErr w:type="gramEnd"/>
      <w:r w:rsidRPr="00293ED9">
        <w:rPr>
          <w:rFonts w:ascii="Arial" w:hAnsi="Arial" w:cs="Arial"/>
          <w:sz w:val="19"/>
          <w:szCs w:val="19"/>
        </w:rPr>
        <w:t xml:space="preserve"> personas jurídicas son de dos especies: corporaciones y fundaciones de beneficencia pública.</w:t>
      </w:r>
    </w:p>
    <w:p w:rsidRPr="00293ED9" w:rsidR="00871562" w:rsidP="00871562" w:rsidRDefault="00871562" w14:paraId="084A46BB" w14:textId="77777777">
      <w:pPr>
        <w:pStyle w:val="Textonotapie"/>
        <w:ind w:firstLine="708"/>
        <w:jc w:val="both"/>
        <w:rPr>
          <w:rFonts w:ascii="Arial" w:hAnsi="Arial" w:cs="Arial"/>
          <w:sz w:val="19"/>
          <w:szCs w:val="19"/>
          <w:lang w:val="es-CO"/>
        </w:rPr>
      </w:pPr>
      <w:proofErr w:type="gramStart"/>
      <w:r w:rsidRPr="00293ED9">
        <w:rPr>
          <w:rFonts w:ascii="Arial" w:hAnsi="Arial" w:cs="Arial"/>
          <w:sz w:val="19"/>
          <w:szCs w:val="19"/>
        </w:rPr>
        <w:t>»Hay</w:t>
      </w:r>
      <w:proofErr w:type="gramEnd"/>
      <w:r w:rsidRPr="00293ED9">
        <w:rPr>
          <w:rFonts w:ascii="Arial" w:hAnsi="Arial" w:cs="Arial"/>
          <w:sz w:val="19"/>
          <w:szCs w:val="19"/>
        </w:rPr>
        <w:t xml:space="preserve"> personas jurídicas que participan de uno y otro carácter».</w:t>
      </w:r>
    </w:p>
  </w:footnote>
  <w:footnote w:id="8">
    <w:p w:rsidRPr="00293ED9" w:rsidR="00871562" w:rsidP="00871562" w:rsidRDefault="00871562" w14:paraId="24883965" w14:textId="77777777">
      <w:pPr>
        <w:pStyle w:val="Textonotapie"/>
        <w:ind w:firstLine="708"/>
        <w:jc w:val="both"/>
        <w:rPr>
          <w:rFonts w:ascii="Arial" w:hAnsi="Arial" w:cs="Arial"/>
          <w:sz w:val="19"/>
          <w:szCs w:val="19"/>
          <w:lang w:val="es-CO"/>
        </w:rPr>
      </w:pPr>
    </w:p>
    <w:p w:rsidRPr="00293ED9" w:rsidR="00871562" w:rsidP="00871562" w:rsidRDefault="00871562" w14:paraId="190E99C8"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Código de Comercio: «Artículo 1. Aplicabilidad de la ley comercial. Los comerciantes y los asuntos mercantiles se regirán por las disposiciones de la ley comercial, y los casos no regulados expresamente en ella serán decididos por analogía de sus normas.</w:t>
      </w:r>
    </w:p>
    <w:p w:rsidRPr="00293ED9" w:rsidR="00871562" w:rsidP="00871562" w:rsidRDefault="00871562" w14:paraId="602E4913" w14:textId="77777777">
      <w:pPr>
        <w:pStyle w:val="Textonotapie"/>
        <w:ind w:firstLine="708"/>
        <w:jc w:val="both"/>
        <w:rPr>
          <w:rFonts w:ascii="Arial" w:hAnsi="Arial" w:cs="Arial"/>
          <w:sz w:val="19"/>
          <w:szCs w:val="19"/>
        </w:rPr>
      </w:pPr>
      <w:proofErr w:type="gramStart"/>
      <w:r w:rsidRPr="00293ED9">
        <w:rPr>
          <w:rFonts w:ascii="Arial" w:hAnsi="Arial" w:cs="Arial"/>
          <w:sz w:val="19"/>
          <w:szCs w:val="19"/>
        </w:rPr>
        <w:t>»Artículo</w:t>
      </w:r>
      <w:proofErr w:type="gramEnd"/>
      <w:r w:rsidRPr="00293ED9">
        <w:rPr>
          <w:rFonts w:ascii="Arial" w:hAnsi="Arial" w:cs="Arial"/>
          <w:sz w:val="19"/>
          <w:szCs w:val="19"/>
        </w:rPr>
        <w:t xml:space="preserve"> 2. Aplicación de la legislación civil. En las cuestiones comerciales que no pudieren regularse conforme a la regla anterior, se aplicarán las disposiciones de la legislación civil».</w:t>
      </w:r>
    </w:p>
    <w:p w:rsidRPr="00293ED9" w:rsidR="00871562" w:rsidP="00871562" w:rsidRDefault="00871562" w14:paraId="6AB63950" w14:textId="77777777">
      <w:pPr>
        <w:pStyle w:val="Textonotapie"/>
        <w:jc w:val="both"/>
        <w:rPr>
          <w:rFonts w:ascii="Arial" w:hAnsi="Arial" w:cs="Arial"/>
          <w:sz w:val="19"/>
          <w:szCs w:val="19"/>
          <w:lang w:val="es-CO"/>
        </w:rPr>
      </w:pPr>
    </w:p>
  </w:footnote>
  <w:footnote w:id="9">
    <w:p w:rsidRPr="00293ED9" w:rsidR="00871562" w:rsidP="00871562" w:rsidRDefault="00871562" w14:paraId="6BC1A2FA"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293ED9">
        <w:rPr>
          <w:rFonts w:ascii="Arial" w:hAnsi="Arial" w:cs="Arial"/>
          <w:sz w:val="19"/>
          <w:szCs w:val="19"/>
        </w:rPr>
        <w:t>equivalentes,</w:t>
      </w:r>
      <w:proofErr w:type="gramEnd"/>
      <w:r w:rsidRPr="00293ED9">
        <w:rPr>
          <w:rFonts w:ascii="Arial" w:hAnsi="Arial" w:cs="Arial"/>
          <w:sz w:val="19"/>
          <w:szCs w:val="19"/>
        </w:rPr>
        <w:t xml:space="preserve"> tendrán en cuenta los siguientes criterios:</w:t>
      </w:r>
    </w:p>
    <w:p w:rsidRPr="00293ED9" w:rsidR="00871562" w:rsidP="00871562" w:rsidRDefault="00871562" w14:paraId="7E9646C1" w14:textId="77777777">
      <w:pPr>
        <w:pStyle w:val="Textonotapie"/>
        <w:ind w:firstLine="708"/>
        <w:jc w:val="both"/>
        <w:rPr>
          <w:rFonts w:ascii="Arial" w:hAnsi="Arial" w:cs="Arial"/>
          <w:sz w:val="19"/>
          <w:szCs w:val="19"/>
        </w:rPr>
      </w:pPr>
      <w:r w:rsidRPr="00293ED9">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rsidRPr="00293ED9" w:rsidR="00871562" w:rsidP="00871562" w:rsidRDefault="00871562" w14:paraId="662556B8" w14:textId="77777777">
      <w:pPr>
        <w:pStyle w:val="Textonotapie"/>
        <w:ind w:firstLine="708"/>
        <w:jc w:val="both"/>
        <w:rPr>
          <w:rFonts w:ascii="Arial" w:hAnsi="Arial" w:cs="Arial"/>
          <w:sz w:val="19"/>
          <w:szCs w:val="19"/>
        </w:rPr>
      </w:pPr>
      <w:r w:rsidRPr="00293ED9">
        <w:rPr>
          <w:rFonts w:ascii="Arial" w:hAnsi="Arial" w:cs="Arial"/>
          <w:sz w:val="19"/>
          <w:szCs w:val="19"/>
        </w:rPr>
        <w:t>»[...]».</w:t>
      </w:r>
    </w:p>
    <w:p w:rsidRPr="00293ED9" w:rsidR="00871562" w:rsidP="00871562" w:rsidRDefault="00871562" w14:paraId="417CAD61" w14:textId="77777777">
      <w:pPr>
        <w:pStyle w:val="Textonotapie"/>
        <w:jc w:val="both"/>
        <w:rPr>
          <w:rFonts w:ascii="Arial" w:hAnsi="Arial" w:cs="Arial"/>
          <w:sz w:val="19"/>
          <w:szCs w:val="19"/>
          <w:lang w:val="es-ES"/>
        </w:rPr>
      </w:pPr>
    </w:p>
  </w:footnote>
  <w:footnote w:id="10">
    <w:p w:rsidRPr="00293ED9" w:rsidR="00871562" w:rsidP="00871562" w:rsidRDefault="00871562" w14:paraId="67144897"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rsidRPr="00293ED9" w:rsidR="00871562" w:rsidP="00871562" w:rsidRDefault="00871562" w14:paraId="1031A758" w14:textId="77777777">
      <w:pPr>
        <w:pStyle w:val="Textonotapie"/>
        <w:ind w:firstLine="708"/>
        <w:jc w:val="both"/>
        <w:rPr>
          <w:rFonts w:ascii="Arial" w:hAnsi="Arial" w:cs="Arial"/>
          <w:sz w:val="19"/>
          <w:szCs w:val="19"/>
          <w:lang w:val="es-ES"/>
        </w:rPr>
      </w:pPr>
    </w:p>
  </w:footnote>
  <w:footnote w:id="11">
    <w:p w:rsidRPr="00293ED9" w:rsidR="00871562" w:rsidP="00871562" w:rsidRDefault="00871562" w14:paraId="5BED9051"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rsidRPr="00293ED9" w:rsidR="00871562" w:rsidP="00871562" w:rsidRDefault="00871562" w14:paraId="43C659DA" w14:textId="77777777">
      <w:pPr>
        <w:pStyle w:val="Textonotapie"/>
        <w:ind w:firstLine="708"/>
        <w:jc w:val="both"/>
        <w:rPr>
          <w:rFonts w:ascii="Arial" w:hAnsi="Arial" w:cs="Arial"/>
          <w:sz w:val="19"/>
          <w:szCs w:val="19"/>
        </w:rPr>
      </w:pPr>
      <w:r w:rsidRPr="00293ED9">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rsidRPr="00293ED9" w:rsidR="00871562" w:rsidP="00871562" w:rsidRDefault="00871562" w14:paraId="2B71E5A6" w14:textId="77777777">
      <w:pPr>
        <w:pStyle w:val="Textonotapie"/>
        <w:ind w:firstLine="708"/>
        <w:jc w:val="both"/>
        <w:rPr>
          <w:rFonts w:ascii="Arial" w:hAnsi="Arial" w:cs="Arial"/>
          <w:sz w:val="19"/>
          <w:szCs w:val="19"/>
        </w:rPr>
      </w:pPr>
      <w:r w:rsidRPr="00293ED9">
        <w:rPr>
          <w:rFonts w:ascii="Arial" w:hAnsi="Arial" w:cs="Arial"/>
          <w:sz w:val="19"/>
          <w:szCs w:val="19"/>
        </w:rPr>
        <w:t>»[...]».</w:t>
      </w:r>
    </w:p>
    <w:p w:rsidRPr="00293ED9" w:rsidR="00871562" w:rsidP="00871562" w:rsidRDefault="00871562" w14:paraId="4B83E8E5" w14:textId="77777777">
      <w:pPr>
        <w:pStyle w:val="Textonotapie"/>
        <w:ind w:firstLine="708"/>
        <w:jc w:val="both"/>
        <w:rPr>
          <w:rFonts w:ascii="Arial" w:hAnsi="Arial" w:cs="Arial"/>
          <w:sz w:val="19"/>
          <w:szCs w:val="19"/>
          <w:lang w:val="es-ES"/>
        </w:rPr>
      </w:pPr>
    </w:p>
  </w:footnote>
  <w:footnote w:id="12">
    <w:p w:rsidRPr="00293ED9" w:rsidR="00871562" w:rsidP="00871562" w:rsidRDefault="00871562" w14:paraId="1E8A7FFF"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293ED9" w:rsidR="00871562" w:rsidP="00871562" w:rsidRDefault="00871562" w14:paraId="425D1534" w14:textId="77777777">
      <w:pPr>
        <w:pStyle w:val="Textonotapie"/>
        <w:ind w:firstLine="708"/>
        <w:jc w:val="both"/>
        <w:rPr>
          <w:rFonts w:ascii="Arial" w:hAnsi="Arial" w:cs="Arial"/>
          <w:sz w:val="19"/>
          <w:szCs w:val="19"/>
        </w:rPr>
      </w:pPr>
      <w:r w:rsidRPr="00293ED9">
        <w:rPr>
          <w:rFonts w:ascii="Arial" w:hAnsi="Arial" w:cs="Arial"/>
          <w:sz w:val="19"/>
          <w:szCs w:val="19"/>
        </w:rPr>
        <w:t>»[...]</w:t>
      </w:r>
    </w:p>
    <w:p w:rsidRPr="00293ED9" w:rsidR="00871562" w:rsidP="00871562" w:rsidRDefault="00871562" w14:paraId="0803553E" w14:textId="77777777">
      <w:pPr>
        <w:pStyle w:val="Textonotapie"/>
        <w:ind w:firstLine="708"/>
        <w:jc w:val="both"/>
        <w:rPr>
          <w:rFonts w:ascii="Arial" w:hAnsi="Arial" w:cs="Arial"/>
          <w:sz w:val="19"/>
          <w:szCs w:val="19"/>
        </w:rPr>
      </w:pPr>
      <w:proofErr w:type="gramStart"/>
      <w:r w:rsidRPr="00293ED9">
        <w:rPr>
          <w:rFonts w:ascii="Arial" w:hAnsi="Arial" w:cs="Arial"/>
          <w:sz w:val="19"/>
          <w:szCs w:val="19"/>
        </w:rPr>
        <w:t>»El</w:t>
      </w:r>
      <w:proofErr w:type="gramEnd"/>
      <w:r w:rsidRPr="00293ED9">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rsidRPr="00293ED9" w:rsidR="00871562" w:rsidP="00871562" w:rsidRDefault="00871562" w14:paraId="02E9EDD7" w14:textId="77777777">
      <w:pPr>
        <w:pStyle w:val="Textonotapie"/>
        <w:ind w:firstLine="708"/>
        <w:jc w:val="both"/>
        <w:rPr>
          <w:rFonts w:ascii="Arial" w:hAnsi="Arial" w:cs="Arial"/>
          <w:sz w:val="19"/>
          <w:szCs w:val="19"/>
        </w:rPr>
      </w:pPr>
      <w:proofErr w:type="gramStart"/>
      <w:r w:rsidRPr="00293ED9">
        <w:rPr>
          <w:rFonts w:ascii="Arial" w:hAnsi="Arial" w:cs="Arial"/>
          <w:sz w:val="19"/>
          <w:szCs w:val="19"/>
        </w:rPr>
        <w:t>»No</w:t>
      </w:r>
      <w:proofErr w:type="gramEnd"/>
      <w:r w:rsidRPr="00293ED9">
        <w:rPr>
          <w:rFonts w:ascii="Arial" w:hAnsi="Arial" w:cs="Arial"/>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rsidRPr="00293ED9" w:rsidR="00871562" w:rsidP="00871562" w:rsidRDefault="00871562" w14:paraId="6355FB10" w14:textId="77777777">
      <w:pPr>
        <w:pStyle w:val="Textonotapie"/>
        <w:jc w:val="both"/>
        <w:rPr>
          <w:rFonts w:ascii="Arial" w:hAnsi="Arial" w:cs="Arial"/>
          <w:sz w:val="19"/>
          <w:szCs w:val="19"/>
          <w:lang w:val="es-ES"/>
        </w:rPr>
      </w:pPr>
    </w:p>
  </w:footnote>
  <w:footnote w:id="13">
    <w:p w:rsidRPr="00293ED9" w:rsidR="00871562" w:rsidP="00871562" w:rsidRDefault="00871562" w14:paraId="748D8A39"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293ED9" w:rsidR="00871562" w:rsidP="00871562" w:rsidRDefault="00871562" w14:paraId="74FCB5BF" w14:textId="77777777">
      <w:pPr>
        <w:pStyle w:val="Textonotapie"/>
        <w:ind w:firstLine="708"/>
        <w:jc w:val="both"/>
        <w:rPr>
          <w:rFonts w:ascii="Arial" w:hAnsi="Arial" w:cs="Arial"/>
          <w:sz w:val="19"/>
          <w:szCs w:val="19"/>
        </w:rPr>
      </w:pPr>
      <w:r w:rsidRPr="00293ED9">
        <w:rPr>
          <w:rFonts w:ascii="Arial" w:hAnsi="Arial" w:cs="Arial"/>
          <w:sz w:val="19"/>
          <w:szCs w:val="19"/>
        </w:rPr>
        <w:t>»1. Si es una persona natural:</w:t>
      </w:r>
    </w:p>
    <w:p w:rsidRPr="00293ED9" w:rsidR="00871562" w:rsidP="00871562" w:rsidRDefault="00871562" w14:paraId="1DD56922" w14:textId="77777777">
      <w:pPr>
        <w:pStyle w:val="Textonotapie"/>
        <w:ind w:firstLine="708"/>
        <w:jc w:val="both"/>
        <w:rPr>
          <w:rFonts w:ascii="Arial" w:hAnsi="Arial" w:cs="Arial"/>
          <w:sz w:val="19"/>
          <w:szCs w:val="19"/>
        </w:rPr>
      </w:pPr>
      <w:r w:rsidRPr="00293ED9">
        <w:rPr>
          <w:rFonts w:ascii="Arial" w:hAnsi="Arial" w:cs="Arial"/>
          <w:sz w:val="19"/>
          <w:szCs w:val="19"/>
        </w:rPr>
        <w:t>»1.1. Bienes, obras y servicios que ofrecerá a las Entidades Estatales, identificados con el Clasificador de Bienes y Servicios en el tercer nivel.</w:t>
      </w:r>
    </w:p>
    <w:p w:rsidRPr="00293ED9" w:rsidR="00871562" w:rsidP="00871562" w:rsidRDefault="00871562" w14:paraId="1F2F03DD" w14:textId="77777777">
      <w:pPr>
        <w:pStyle w:val="Textonotapie"/>
        <w:ind w:firstLine="708"/>
        <w:jc w:val="both"/>
        <w:rPr>
          <w:rFonts w:ascii="Arial" w:hAnsi="Arial" w:cs="Arial"/>
          <w:sz w:val="19"/>
          <w:szCs w:val="19"/>
        </w:rPr>
      </w:pPr>
      <w:r w:rsidRPr="00293ED9">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rsidRPr="00293ED9" w:rsidR="00871562" w:rsidP="00871562" w:rsidRDefault="00871562" w14:paraId="69B3E5D6" w14:textId="77777777">
      <w:pPr>
        <w:pStyle w:val="Textonotapie"/>
        <w:ind w:firstLine="708"/>
        <w:jc w:val="both"/>
        <w:rPr>
          <w:rFonts w:ascii="Arial" w:hAnsi="Arial" w:cs="Arial"/>
          <w:sz w:val="19"/>
          <w:szCs w:val="19"/>
          <w:lang w:val="es-ES"/>
        </w:rPr>
      </w:pPr>
    </w:p>
  </w:footnote>
  <w:footnote w:id="14">
    <w:p w:rsidRPr="00293ED9" w:rsidR="00871562" w:rsidP="00871562" w:rsidRDefault="00871562" w14:paraId="3585378E" w14:textId="77777777">
      <w:pPr>
        <w:pStyle w:val="Textonotapie"/>
        <w:ind w:firstLine="708"/>
        <w:jc w:val="both"/>
        <w:rPr>
          <w:rFonts w:ascii="Arial" w:hAnsi="Arial" w:cs="Arial"/>
          <w:sz w:val="19"/>
          <w:szCs w:val="19"/>
        </w:rPr>
      </w:pPr>
      <w:r w:rsidRPr="00293ED9">
        <w:rPr>
          <w:rStyle w:val="Refdenotaalpie"/>
          <w:rFonts w:ascii="Arial" w:hAnsi="Arial" w:cs="Arial"/>
          <w:sz w:val="19"/>
          <w:szCs w:val="19"/>
        </w:rPr>
        <w:footnoteRef/>
      </w:r>
      <w:r w:rsidRPr="00293ED9">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rsidRPr="00293ED9" w:rsidR="00871562" w:rsidP="00871562" w:rsidRDefault="00871562" w14:paraId="52B1233E" w14:textId="77777777">
      <w:pPr>
        <w:pStyle w:val="Textonotapie"/>
        <w:ind w:firstLine="708"/>
        <w:jc w:val="both"/>
        <w:rPr>
          <w:rFonts w:ascii="Arial" w:hAnsi="Arial" w:cs="Arial"/>
          <w:sz w:val="19"/>
          <w:szCs w:val="19"/>
        </w:rPr>
      </w:pPr>
      <w:proofErr w:type="gramStart"/>
      <w:r w:rsidRPr="00293ED9">
        <w:rPr>
          <w:rFonts w:ascii="Arial" w:hAnsi="Arial" w:cs="Arial"/>
          <w:sz w:val="19"/>
          <w:szCs w:val="19"/>
        </w:rPr>
        <w:t>»Los</w:t>
      </w:r>
      <w:proofErr w:type="gramEnd"/>
      <w:r w:rsidRPr="00293ED9">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rsidRPr="00293ED9" w:rsidR="00871562" w:rsidP="00871562" w:rsidRDefault="00871562" w14:paraId="70A1E780" w14:textId="77777777">
      <w:pPr>
        <w:pStyle w:val="Textonotapie"/>
        <w:ind w:firstLine="708"/>
        <w:jc w:val="both"/>
        <w:rPr>
          <w:rFonts w:ascii="Arial" w:hAnsi="Arial" w:cs="Arial"/>
          <w:sz w:val="19"/>
          <w:szCs w:val="19"/>
        </w:rPr>
      </w:pPr>
      <w:r w:rsidRPr="00293ED9">
        <w:rPr>
          <w:rFonts w:ascii="Arial" w:hAnsi="Arial" w:cs="Arial"/>
          <w:sz w:val="19"/>
          <w:szCs w:val="19"/>
        </w:rPr>
        <w:t>»[...]</w:t>
      </w:r>
    </w:p>
    <w:p w:rsidRPr="00293ED9" w:rsidR="00871562" w:rsidP="00871562" w:rsidRDefault="00871562" w14:paraId="0E3AFB82" w14:textId="77777777">
      <w:pPr>
        <w:pStyle w:val="Textonotapie"/>
        <w:ind w:firstLine="708"/>
        <w:jc w:val="both"/>
        <w:rPr>
          <w:rFonts w:ascii="Arial" w:hAnsi="Arial" w:cs="Arial"/>
          <w:sz w:val="19"/>
          <w:szCs w:val="19"/>
        </w:rPr>
      </w:pPr>
      <w:proofErr w:type="gramStart"/>
      <w:r w:rsidRPr="00293ED9">
        <w:rPr>
          <w:rFonts w:ascii="Arial" w:hAnsi="Arial" w:cs="Arial"/>
          <w:sz w:val="19"/>
          <w:szCs w:val="19"/>
        </w:rPr>
        <w:t>»La</w:t>
      </w:r>
      <w:proofErr w:type="gramEnd"/>
      <w:r w:rsidRPr="00293ED9">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rsidRPr="00293ED9" w:rsidR="00871562" w:rsidP="00871562" w:rsidRDefault="00871562" w14:paraId="07CF742F" w14:textId="77777777">
      <w:pPr>
        <w:pStyle w:val="Textonotapie"/>
        <w:ind w:firstLine="708"/>
        <w:jc w:val="both"/>
        <w:rPr>
          <w:rFonts w:ascii="Arial" w:hAnsi="Arial" w:cs="Arial"/>
          <w:sz w:val="19"/>
          <w:szCs w:val="19"/>
        </w:rPr>
      </w:pPr>
      <w:proofErr w:type="gramStart"/>
      <w:r w:rsidRPr="00293ED9">
        <w:rPr>
          <w:rFonts w:ascii="Arial" w:hAnsi="Arial" w:cs="Arial"/>
          <w:sz w:val="19"/>
          <w:szCs w:val="19"/>
        </w:rPr>
        <w:t>»La</w:t>
      </w:r>
      <w:proofErr w:type="gramEnd"/>
      <w:r w:rsidRPr="00293ED9">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rsidRPr="00293ED9" w:rsidR="00871562" w:rsidP="00871562" w:rsidRDefault="00871562" w14:paraId="3CA8ED44" w14:textId="77777777">
      <w:pPr>
        <w:pStyle w:val="Textonotapie"/>
        <w:ind w:firstLine="708"/>
        <w:jc w:val="both"/>
        <w:rPr>
          <w:rFonts w:ascii="Arial" w:hAnsi="Arial" w:cs="Arial"/>
          <w:sz w:val="19"/>
          <w:szCs w:val="19"/>
        </w:rPr>
      </w:pPr>
      <w:r w:rsidRPr="00293ED9">
        <w:rPr>
          <w:rFonts w:ascii="Arial" w:hAnsi="Arial" w:cs="Arial"/>
          <w:sz w:val="19"/>
          <w:szCs w:val="19"/>
        </w:rPr>
        <w:t>»[...]».</w:t>
      </w:r>
    </w:p>
    <w:p w:rsidRPr="00293ED9" w:rsidR="00871562" w:rsidP="00871562" w:rsidRDefault="00871562" w14:paraId="37A31A67" w14:textId="77777777">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8C487C"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183057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F60B1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D48097D"/>
    <w:multiLevelType w:val="hybridMultilevel"/>
    <w:tmpl w:val="97B20F78"/>
    <w:lvl w:ilvl="0" w:tplc="3AC27060">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6" w15:restartNumberingAfterBreak="0">
    <w:nsid w:val="67032B02"/>
    <w:multiLevelType w:val="hybridMultilevel"/>
    <w:tmpl w:val="593E1724"/>
    <w:lvl w:ilvl="0" w:tplc="080A0001">
      <w:start w:val="1"/>
      <w:numFmt w:val="bullet"/>
      <w:lvlText w:val=""/>
      <w:lvlJc w:val="left"/>
      <w:pPr>
        <w:ind w:left="1429" w:hanging="360"/>
      </w:pPr>
      <w:rPr>
        <w:rFonts w:hint="default" w:ascii="Symbol" w:hAnsi="Symbol"/>
      </w:rPr>
    </w:lvl>
    <w:lvl w:ilvl="1" w:tplc="080A0003" w:tentative="1">
      <w:start w:val="1"/>
      <w:numFmt w:val="bullet"/>
      <w:lvlText w:val="o"/>
      <w:lvlJc w:val="left"/>
      <w:pPr>
        <w:ind w:left="2149" w:hanging="360"/>
      </w:pPr>
      <w:rPr>
        <w:rFonts w:hint="default" w:ascii="Courier New" w:hAnsi="Courier New" w:cs="Courier New"/>
      </w:rPr>
    </w:lvl>
    <w:lvl w:ilvl="2" w:tplc="080A0005" w:tentative="1">
      <w:start w:val="1"/>
      <w:numFmt w:val="bullet"/>
      <w:lvlText w:val=""/>
      <w:lvlJc w:val="left"/>
      <w:pPr>
        <w:ind w:left="2869" w:hanging="360"/>
      </w:pPr>
      <w:rPr>
        <w:rFonts w:hint="default" w:ascii="Wingdings" w:hAnsi="Wingdings"/>
      </w:rPr>
    </w:lvl>
    <w:lvl w:ilvl="3" w:tplc="080A0001" w:tentative="1">
      <w:start w:val="1"/>
      <w:numFmt w:val="bullet"/>
      <w:lvlText w:val=""/>
      <w:lvlJc w:val="left"/>
      <w:pPr>
        <w:ind w:left="3589" w:hanging="360"/>
      </w:pPr>
      <w:rPr>
        <w:rFonts w:hint="default" w:ascii="Symbol" w:hAnsi="Symbol"/>
      </w:rPr>
    </w:lvl>
    <w:lvl w:ilvl="4" w:tplc="080A0003" w:tentative="1">
      <w:start w:val="1"/>
      <w:numFmt w:val="bullet"/>
      <w:lvlText w:val="o"/>
      <w:lvlJc w:val="left"/>
      <w:pPr>
        <w:ind w:left="4309" w:hanging="360"/>
      </w:pPr>
      <w:rPr>
        <w:rFonts w:hint="default" w:ascii="Courier New" w:hAnsi="Courier New" w:cs="Courier New"/>
      </w:rPr>
    </w:lvl>
    <w:lvl w:ilvl="5" w:tplc="080A0005" w:tentative="1">
      <w:start w:val="1"/>
      <w:numFmt w:val="bullet"/>
      <w:lvlText w:val=""/>
      <w:lvlJc w:val="left"/>
      <w:pPr>
        <w:ind w:left="5029" w:hanging="360"/>
      </w:pPr>
      <w:rPr>
        <w:rFonts w:hint="default" w:ascii="Wingdings" w:hAnsi="Wingdings"/>
      </w:rPr>
    </w:lvl>
    <w:lvl w:ilvl="6" w:tplc="080A0001" w:tentative="1">
      <w:start w:val="1"/>
      <w:numFmt w:val="bullet"/>
      <w:lvlText w:val=""/>
      <w:lvlJc w:val="left"/>
      <w:pPr>
        <w:ind w:left="5749" w:hanging="360"/>
      </w:pPr>
      <w:rPr>
        <w:rFonts w:hint="default" w:ascii="Symbol" w:hAnsi="Symbol"/>
      </w:rPr>
    </w:lvl>
    <w:lvl w:ilvl="7" w:tplc="080A0003" w:tentative="1">
      <w:start w:val="1"/>
      <w:numFmt w:val="bullet"/>
      <w:lvlText w:val="o"/>
      <w:lvlJc w:val="left"/>
      <w:pPr>
        <w:ind w:left="6469" w:hanging="360"/>
      </w:pPr>
      <w:rPr>
        <w:rFonts w:hint="default" w:ascii="Courier New" w:hAnsi="Courier New" w:cs="Courier New"/>
      </w:rPr>
    </w:lvl>
    <w:lvl w:ilvl="8" w:tplc="080A0005" w:tentative="1">
      <w:start w:val="1"/>
      <w:numFmt w:val="bullet"/>
      <w:lvlText w:val=""/>
      <w:lvlJc w:val="left"/>
      <w:pPr>
        <w:ind w:left="7189" w:hanging="360"/>
      </w:pPr>
      <w:rPr>
        <w:rFonts w:hint="default" w:ascii="Wingdings" w:hAnsi="Wingdings"/>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4D43"/>
    <w:rsid w:val="00010D30"/>
    <w:rsid w:val="00017BD4"/>
    <w:rsid w:val="0003091B"/>
    <w:rsid w:val="000333A2"/>
    <w:rsid w:val="00040D6E"/>
    <w:rsid w:val="00042C0C"/>
    <w:rsid w:val="00044FF2"/>
    <w:rsid w:val="00051B08"/>
    <w:rsid w:val="00057468"/>
    <w:rsid w:val="000619F5"/>
    <w:rsid w:val="00061EE4"/>
    <w:rsid w:val="00062B0D"/>
    <w:rsid w:val="000721E5"/>
    <w:rsid w:val="00086A16"/>
    <w:rsid w:val="00097CD6"/>
    <w:rsid w:val="000A1DBA"/>
    <w:rsid w:val="000A6338"/>
    <w:rsid w:val="000C0E39"/>
    <w:rsid w:val="000D088F"/>
    <w:rsid w:val="000D5ABE"/>
    <w:rsid w:val="000E6867"/>
    <w:rsid w:val="000F0DB9"/>
    <w:rsid w:val="000F514D"/>
    <w:rsid w:val="00107607"/>
    <w:rsid w:val="00112597"/>
    <w:rsid w:val="00114BD6"/>
    <w:rsid w:val="0011577F"/>
    <w:rsid w:val="001171CE"/>
    <w:rsid w:val="00124AF0"/>
    <w:rsid w:val="001321AB"/>
    <w:rsid w:val="00137F39"/>
    <w:rsid w:val="00140E57"/>
    <w:rsid w:val="00141C64"/>
    <w:rsid w:val="0014462B"/>
    <w:rsid w:val="001517FD"/>
    <w:rsid w:val="0016313F"/>
    <w:rsid w:val="00164E79"/>
    <w:rsid w:val="00175DA0"/>
    <w:rsid w:val="0017603D"/>
    <w:rsid w:val="00181A3E"/>
    <w:rsid w:val="00194C50"/>
    <w:rsid w:val="001A17D9"/>
    <w:rsid w:val="001A5B62"/>
    <w:rsid w:val="001E5DBB"/>
    <w:rsid w:val="001F1051"/>
    <w:rsid w:val="001F13AC"/>
    <w:rsid w:val="001F34A8"/>
    <w:rsid w:val="002034AD"/>
    <w:rsid w:val="002239B4"/>
    <w:rsid w:val="00234C6C"/>
    <w:rsid w:val="00242129"/>
    <w:rsid w:val="002448CB"/>
    <w:rsid w:val="0025014F"/>
    <w:rsid w:val="00265031"/>
    <w:rsid w:val="00266277"/>
    <w:rsid w:val="00284C12"/>
    <w:rsid w:val="00286834"/>
    <w:rsid w:val="002B282F"/>
    <w:rsid w:val="002B4B30"/>
    <w:rsid w:val="002D09E1"/>
    <w:rsid w:val="002D29E5"/>
    <w:rsid w:val="002D798B"/>
    <w:rsid w:val="002E7BC2"/>
    <w:rsid w:val="002F63BB"/>
    <w:rsid w:val="00302F9F"/>
    <w:rsid w:val="00304386"/>
    <w:rsid w:val="003072FC"/>
    <w:rsid w:val="003401FE"/>
    <w:rsid w:val="00340A7A"/>
    <w:rsid w:val="00365589"/>
    <w:rsid w:val="00377E57"/>
    <w:rsid w:val="00390DCF"/>
    <w:rsid w:val="003A2944"/>
    <w:rsid w:val="003A3006"/>
    <w:rsid w:val="003B0DEF"/>
    <w:rsid w:val="003C2074"/>
    <w:rsid w:val="003C3ADB"/>
    <w:rsid w:val="003D11B5"/>
    <w:rsid w:val="003D134C"/>
    <w:rsid w:val="003D3D64"/>
    <w:rsid w:val="003D69A5"/>
    <w:rsid w:val="003E048E"/>
    <w:rsid w:val="003E14F9"/>
    <w:rsid w:val="003F3119"/>
    <w:rsid w:val="00401826"/>
    <w:rsid w:val="00401E43"/>
    <w:rsid w:val="00410CC6"/>
    <w:rsid w:val="00417051"/>
    <w:rsid w:val="004221B5"/>
    <w:rsid w:val="00430B5A"/>
    <w:rsid w:val="0044207D"/>
    <w:rsid w:val="0044260A"/>
    <w:rsid w:val="00447FE5"/>
    <w:rsid w:val="004617B8"/>
    <w:rsid w:val="00465DB9"/>
    <w:rsid w:val="004758FE"/>
    <w:rsid w:val="004763BC"/>
    <w:rsid w:val="004830C8"/>
    <w:rsid w:val="004837AB"/>
    <w:rsid w:val="00483A2F"/>
    <w:rsid w:val="004A6EE1"/>
    <w:rsid w:val="004B1BEE"/>
    <w:rsid w:val="004D53C1"/>
    <w:rsid w:val="004D6D53"/>
    <w:rsid w:val="004D770C"/>
    <w:rsid w:val="004E370E"/>
    <w:rsid w:val="004F0F85"/>
    <w:rsid w:val="004F4387"/>
    <w:rsid w:val="00504F2E"/>
    <w:rsid w:val="00510BF5"/>
    <w:rsid w:val="00521BA7"/>
    <w:rsid w:val="005239E4"/>
    <w:rsid w:val="005252E2"/>
    <w:rsid w:val="00534B9F"/>
    <w:rsid w:val="005511D5"/>
    <w:rsid w:val="00562F5F"/>
    <w:rsid w:val="00565A9A"/>
    <w:rsid w:val="00580EB2"/>
    <w:rsid w:val="00585FB5"/>
    <w:rsid w:val="00591586"/>
    <w:rsid w:val="005C5D46"/>
    <w:rsid w:val="005C6D19"/>
    <w:rsid w:val="005E2174"/>
    <w:rsid w:val="005E76CC"/>
    <w:rsid w:val="005F5D19"/>
    <w:rsid w:val="005F6CBF"/>
    <w:rsid w:val="005F6FC7"/>
    <w:rsid w:val="006135E6"/>
    <w:rsid w:val="006143E3"/>
    <w:rsid w:val="00627E31"/>
    <w:rsid w:val="00632EA5"/>
    <w:rsid w:val="00637EC9"/>
    <w:rsid w:val="006440BC"/>
    <w:rsid w:val="00647DF6"/>
    <w:rsid w:val="006518AC"/>
    <w:rsid w:val="0065701C"/>
    <w:rsid w:val="006577C3"/>
    <w:rsid w:val="006818B6"/>
    <w:rsid w:val="006824B8"/>
    <w:rsid w:val="006A40F4"/>
    <w:rsid w:val="006A7743"/>
    <w:rsid w:val="006B5D35"/>
    <w:rsid w:val="006B6C6A"/>
    <w:rsid w:val="006C234F"/>
    <w:rsid w:val="006C4025"/>
    <w:rsid w:val="006C5955"/>
    <w:rsid w:val="006E11FE"/>
    <w:rsid w:val="006F39D0"/>
    <w:rsid w:val="006F7746"/>
    <w:rsid w:val="00711157"/>
    <w:rsid w:val="007114AE"/>
    <w:rsid w:val="00721D1D"/>
    <w:rsid w:val="00736C89"/>
    <w:rsid w:val="00742C98"/>
    <w:rsid w:val="00745744"/>
    <w:rsid w:val="00745970"/>
    <w:rsid w:val="0075032A"/>
    <w:rsid w:val="00761A04"/>
    <w:rsid w:val="00770D7D"/>
    <w:rsid w:val="00772497"/>
    <w:rsid w:val="00784FE3"/>
    <w:rsid w:val="00791377"/>
    <w:rsid w:val="007D1C5F"/>
    <w:rsid w:val="007D62C7"/>
    <w:rsid w:val="007E54C4"/>
    <w:rsid w:val="007E6C41"/>
    <w:rsid w:val="007F7AC6"/>
    <w:rsid w:val="00803061"/>
    <w:rsid w:val="00806622"/>
    <w:rsid w:val="00807EEE"/>
    <w:rsid w:val="008135F4"/>
    <w:rsid w:val="00813893"/>
    <w:rsid w:val="0082266E"/>
    <w:rsid w:val="00824361"/>
    <w:rsid w:val="00826804"/>
    <w:rsid w:val="008327EE"/>
    <w:rsid w:val="00832DFA"/>
    <w:rsid w:val="00840651"/>
    <w:rsid w:val="00842E74"/>
    <w:rsid w:val="00843BE5"/>
    <w:rsid w:val="00863DD9"/>
    <w:rsid w:val="00866446"/>
    <w:rsid w:val="0086741B"/>
    <w:rsid w:val="00871562"/>
    <w:rsid w:val="00884CA7"/>
    <w:rsid w:val="00886F29"/>
    <w:rsid w:val="00894DAB"/>
    <w:rsid w:val="008A0633"/>
    <w:rsid w:val="008A53F2"/>
    <w:rsid w:val="008A6927"/>
    <w:rsid w:val="008B3426"/>
    <w:rsid w:val="008B7D41"/>
    <w:rsid w:val="008C24B6"/>
    <w:rsid w:val="008C27FB"/>
    <w:rsid w:val="008C487C"/>
    <w:rsid w:val="008C4C28"/>
    <w:rsid w:val="008C5A24"/>
    <w:rsid w:val="008E0FCC"/>
    <w:rsid w:val="008E2FE3"/>
    <w:rsid w:val="008E5F34"/>
    <w:rsid w:val="008F184D"/>
    <w:rsid w:val="008F2267"/>
    <w:rsid w:val="0090034D"/>
    <w:rsid w:val="009231E0"/>
    <w:rsid w:val="00936499"/>
    <w:rsid w:val="009420F7"/>
    <w:rsid w:val="0094508D"/>
    <w:rsid w:val="009506A7"/>
    <w:rsid w:val="00967230"/>
    <w:rsid w:val="00972C13"/>
    <w:rsid w:val="00976C8D"/>
    <w:rsid w:val="009812D7"/>
    <w:rsid w:val="00982E99"/>
    <w:rsid w:val="0099426F"/>
    <w:rsid w:val="009A5714"/>
    <w:rsid w:val="009A5DA7"/>
    <w:rsid w:val="009B1AEC"/>
    <w:rsid w:val="009D1D57"/>
    <w:rsid w:val="009E2185"/>
    <w:rsid w:val="009E2544"/>
    <w:rsid w:val="009E2770"/>
    <w:rsid w:val="009E4A43"/>
    <w:rsid w:val="009F2261"/>
    <w:rsid w:val="009F3537"/>
    <w:rsid w:val="009F7860"/>
    <w:rsid w:val="00A25657"/>
    <w:rsid w:val="00A329B6"/>
    <w:rsid w:val="00A367A1"/>
    <w:rsid w:val="00A415D2"/>
    <w:rsid w:val="00A460BA"/>
    <w:rsid w:val="00A510F6"/>
    <w:rsid w:val="00A6641B"/>
    <w:rsid w:val="00A80739"/>
    <w:rsid w:val="00A81BA0"/>
    <w:rsid w:val="00A83829"/>
    <w:rsid w:val="00A95100"/>
    <w:rsid w:val="00AA615B"/>
    <w:rsid w:val="00AC0C81"/>
    <w:rsid w:val="00AD047E"/>
    <w:rsid w:val="00AE668A"/>
    <w:rsid w:val="00AE6858"/>
    <w:rsid w:val="00AF5C62"/>
    <w:rsid w:val="00AF7270"/>
    <w:rsid w:val="00B00247"/>
    <w:rsid w:val="00B17BC5"/>
    <w:rsid w:val="00B2158C"/>
    <w:rsid w:val="00B24E57"/>
    <w:rsid w:val="00B506CF"/>
    <w:rsid w:val="00B5123E"/>
    <w:rsid w:val="00B522C4"/>
    <w:rsid w:val="00B52B0E"/>
    <w:rsid w:val="00B5337D"/>
    <w:rsid w:val="00B6482A"/>
    <w:rsid w:val="00B65290"/>
    <w:rsid w:val="00B70E26"/>
    <w:rsid w:val="00B95D9E"/>
    <w:rsid w:val="00B97D95"/>
    <w:rsid w:val="00BA7E78"/>
    <w:rsid w:val="00BB0EA7"/>
    <w:rsid w:val="00BB59F9"/>
    <w:rsid w:val="00BC15B8"/>
    <w:rsid w:val="00BC1A07"/>
    <w:rsid w:val="00BC5279"/>
    <w:rsid w:val="00BC6C4E"/>
    <w:rsid w:val="00BD58A7"/>
    <w:rsid w:val="00BE1E33"/>
    <w:rsid w:val="00BE2AD3"/>
    <w:rsid w:val="00BE36F7"/>
    <w:rsid w:val="00BF2443"/>
    <w:rsid w:val="00C12201"/>
    <w:rsid w:val="00C1405A"/>
    <w:rsid w:val="00C22D1B"/>
    <w:rsid w:val="00C243AD"/>
    <w:rsid w:val="00C439B9"/>
    <w:rsid w:val="00C50B1B"/>
    <w:rsid w:val="00C52801"/>
    <w:rsid w:val="00C579BE"/>
    <w:rsid w:val="00C57ECD"/>
    <w:rsid w:val="00C6210F"/>
    <w:rsid w:val="00C745C6"/>
    <w:rsid w:val="00C964DE"/>
    <w:rsid w:val="00CA5790"/>
    <w:rsid w:val="00CA634C"/>
    <w:rsid w:val="00CD1001"/>
    <w:rsid w:val="00CD5E72"/>
    <w:rsid w:val="00CE1800"/>
    <w:rsid w:val="00CE3495"/>
    <w:rsid w:val="00CF326B"/>
    <w:rsid w:val="00D06145"/>
    <w:rsid w:val="00D0763E"/>
    <w:rsid w:val="00D07B4C"/>
    <w:rsid w:val="00D24682"/>
    <w:rsid w:val="00D24F06"/>
    <w:rsid w:val="00D25AEF"/>
    <w:rsid w:val="00D26C93"/>
    <w:rsid w:val="00D349EE"/>
    <w:rsid w:val="00D558E2"/>
    <w:rsid w:val="00D56D47"/>
    <w:rsid w:val="00D70FB4"/>
    <w:rsid w:val="00D7215E"/>
    <w:rsid w:val="00D74A1C"/>
    <w:rsid w:val="00D815C1"/>
    <w:rsid w:val="00D85C85"/>
    <w:rsid w:val="00D865A1"/>
    <w:rsid w:val="00D92F6C"/>
    <w:rsid w:val="00D95879"/>
    <w:rsid w:val="00D97A6B"/>
    <w:rsid w:val="00DA2FA3"/>
    <w:rsid w:val="00DB0032"/>
    <w:rsid w:val="00DB5357"/>
    <w:rsid w:val="00DB751D"/>
    <w:rsid w:val="00DC679E"/>
    <w:rsid w:val="00DD0E98"/>
    <w:rsid w:val="00DE4935"/>
    <w:rsid w:val="00DE64DE"/>
    <w:rsid w:val="00DE7AB4"/>
    <w:rsid w:val="00DF4D86"/>
    <w:rsid w:val="00E01D84"/>
    <w:rsid w:val="00E137BB"/>
    <w:rsid w:val="00E238E2"/>
    <w:rsid w:val="00E23D06"/>
    <w:rsid w:val="00E3199C"/>
    <w:rsid w:val="00E45057"/>
    <w:rsid w:val="00E52298"/>
    <w:rsid w:val="00E57EAF"/>
    <w:rsid w:val="00E64988"/>
    <w:rsid w:val="00E64A38"/>
    <w:rsid w:val="00E756AC"/>
    <w:rsid w:val="00E8381A"/>
    <w:rsid w:val="00E87596"/>
    <w:rsid w:val="00E87794"/>
    <w:rsid w:val="00E96422"/>
    <w:rsid w:val="00EA5A59"/>
    <w:rsid w:val="00EB3D8F"/>
    <w:rsid w:val="00EF2CA6"/>
    <w:rsid w:val="00F03091"/>
    <w:rsid w:val="00F05F7E"/>
    <w:rsid w:val="00F117B1"/>
    <w:rsid w:val="00F134F9"/>
    <w:rsid w:val="00F2232E"/>
    <w:rsid w:val="00F24C62"/>
    <w:rsid w:val="00F34138"/>
    <w:rsid w:val="00F419B1"/>
    <w:rsid w:val="00F47FCE"/>
    <w:rsid w:val="00F501D2"/>
    <w:rsid w:val="00F5266F"/>
    <w:rsid w:val="00F5411B"/>
    <w:rsid w:val="00F56447"/>
    <w:rsid w:val="00F624CD"/>
    <w:rsid w:val="00F64055"/>
    <w:rsid w:val="00F7035B"/>
    <w:rsid w:val="00F710C6"/>
    <w:rsid w:val="00F75B92"/>
    <w:rsid w:val="00F87E81"/>
    <w:rsid w:val="00F91408"/>
    <w:rsid w:val="00FB5052"/>
    <w:rsid w:val="00FB59E2"/>
    <w:rsid w:val="00FC510F"/>
    <w:rsid w:val="00FC755D"/>
    <w:rsid w:val="00FD7B36"/>
    <w:rsid w:val="00FF67C8"/>
    <w:rsid w:val="0183057B"/>
    <w:rsid w:val="0B17F8F9"/>
    <w:rsid w:val="1446D403"/>
    <w:rsid w:val="278E9E4C"/>
    <w:rsid w:val="464192FB"/>
    <w:rsid w:val="4F2B1DF2"/>
    <w:rsid w:val="663692A2"/>
    <w:rsid w:val="6FE2B221"/>
    <w:rsid w:val="74FC68BF"/>
    <w:rsid w:val="788BEEA9"/>
    <w:rsid w:val="7EBBF0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BE1E33"/>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BE1E33"/>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BE1E33"/>
    <w:rPr>
      <w:rFonts w:ascii="Arial Narrow" w:hAnsi="Arial Narrow" w:eastAsia="Times New Roman" w:cs="Times New Roman"/>
      <w:sz w:val="24"/>
      <w:szCs w:val="24"/>
      <w:lang w:val="en-US" w:eastAsia="es-ES"/>
    </w:rPr>
  </w:style>
  <w:style w:type="paragraph" w:styleId="Textoindependiente">
    <w:name w:val="Body Text"/>
    <w:basedOn w:val="Normal"/>
    <w:link w:val="TextoindependienteCar"/>
    <w:uiPriority w:val="1"/>
    <w:qFormat/>
    <w:rsid w:val="00F419B1"/>
    <w:pPr>
      <w:widowControl w:val="0"/>
      <w:autoSpaceDE w:val="0"/>
      <w:autoSpaceDN w:val="0"/>
    </w:pPr>
    <w:rPr>
      <w:rFonts w:ascii="Arial" w:hAnsi="Arial" w:eastAsia="Arial" w:cs="Arial"/>
      <w:sz w:val="22"/>
      <w:lang w:val="es-ES" w:eastAsia="es-ES" w:bidi="es-ES"/>
    </w:rPr>
  </w:style>
  <w:style w:type="character" w:styleId="TextoindependienteCar" w:customStyle="1">
    <w:name w:val="Texto independiente Car"/>
    <w:basedOn w:val="Fuentedeprrafopredeter"/>
    <w:link w:val="Textoindependiente"/>
    <w:uiPriority w:val="1"/>
    <w:rsid w:val="00F419B1"/>
    <w:rPr>
      <w:rFonts w:ascii="Arial" w:hAnsi="Arial" w:eastAsia="Arial" w:cs="Arial"/>
      <w:lang w:val="es-ES" w:eastAsia="es-ES" w:bidi="es-ES"/>
    </w:rPr>
  </w:style>
  <w:style w:type="character" w:styleId="Refdecomentario">
    <w:name w:val="annotation reference"/>
    <w:basedOn w:val="Fuentedeprrafopredeter"/>
    <w:uiPriority w:val="99"/>
    <w:semiHidden/>
    <w:unhideWhenUsed/>
    <w:rsid w:val="001F13AC"/>
    <w:rPr>
      <w:sz w:val="16"/>
      <w:szCs w:val="16"/>
    </w:rPr>
  </w:style>
  <w:style w:type="paragraph" w:styleId="Textocomentario">
    <w:name w:val="annotation text"/>
    <w:basedOn w:val="Normal"/>
    <w:link w:val="TextocomentarioCar"/>
    <w:uiPriority w:val="99"/>
    <w:semiHidden/>
    <w:unhideWhenUsed/>
    <w:rsid w:val="001F13AC"/>
    <w:rPr>
      <w:sz w:val="20"/>
      <w:szCs w:val="20"/>
    </w:rPr>
  </w:style>
  <w:style w:type="character" w:styleId="TextocomentarioCar" w:customStyle="1">
    <w:name w:val="Texto comentario Car"/>
    <w:basedOn w:val="Fuentedeprrafopredeter"/>
    <w:link w:val="Textocomentario"/>
    <w:uiPriority w:val="99"/>
    <w:semiHidden/>
    <w:rsid w:val="001F13A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1F13AC"/>
    <w:rPr>
      <w:b/>
      <w:bCs/>
    </w:rPr>
  </w:style>
  <w:style w:type="character" w:styleId="AsuntodelcomentarioCar" w:customStyle="1">
    <w:name w:val="Asunto del comentario Car"/>
    <w:basedOn w:val="TextocomentarioCar"/>
    <w:link w:val="Asuntodelcomentario"/>
    <w:uiPriority w:val="99"/>
    <w:semiHidden/>
    <w:rsid w:val="001F13AC"/>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42518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olombiacompra.gov.co/manuales-guias-y-pliegos-tipo/manuales-y-guia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6.png" Id="R541034d338d04df0" /><Relationship Type="http://schemas.openxmlformats.org/officeDocument/2006/relationships/image" Target="/media/image7.png" Id="Reb4d1de479a941c2" /><Relationship Type="http://schemas.openxmlformats.org/officeDocument/2006/relationships/image" Target="/media/image8.png" Id="R929fee0112b747ad" /><Relationship Type="http://schemas.openxmlformats.org/officeDocument/2006/relationships/image" Target="/media/image9.png" Id="Rca29197a1bc14018" /></Relationships>
</file>

<file path=word/_rels/footer1.xml.rels>&#65279;<?xml version="1.0" encoding="utf-8"?><Relationships xmlns="http://schemas.openxmlformats.org/package/2006/relationships"><Relationship Type="http://schemas.openxmlformats.org/officeDocument/2006/relationships/image" Target="/media/imagea.png" Id="R9719bd00b6604c4d"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7B0EC48-4FAD-45C4-8456-BA0062A23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11</revision>
  <lastPrinted>2020-03-17T17:42:00.0000000Z</lastPrinted>
  <dcterms:created xsi:type="dcterms:W3CDTF">2020-06-05T01:05:00.0000000Z</dcterms:created>
  <dcterms:modified xsi:type="dcterms:W3CDTF">2020-07-28T16:30:32.1133054Z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