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366ED7" w:rsidR="00B747AE" w:rsidP="00B747AE" w:rsidRDefault="00B747AE" w14:paraId="0C8CD53E" w14:textId="77777777">
      <w:pPr>
        <w:spacing w:line="276" w:lineRule="auto"/>
        <w:jc w:val="right"/>
        <w:rPr>
          <w:rFonts w:ascii="Arial" w:hAnsi="Arial" w:eastAsia="Calibri" w:cs="Arial"/>
          <w:b/>
          <w:bCs/>
          <w:sz w:val="22"/>
        </w:rPr>
      </w:pPr>
      <w:bookmarkStart w:name="_Hlk38401078" w:id="0"/>
      <w:bookmarkStart w:name="_Hlk29890381" w:id="1"/>
      <w:r w:rsidRPr="00366ED7">
        <w:rPr>
          <w:rFonts w:ascii="Arial" w:hAnsi="Arial" w:cs="Arial"/>
          <w:b/>
          <w:bCs/>
          <w:sz w:val="16"/>
          <w:szCs w:val="16"/>
          <w:lang w:eastAsia="es-ES"/>
        </w:rPr>
        <w:t>CCE-DES-FM-17</w:t>
      </w:r>
    </w:p>
    <w:p w:rsidRPr="00366ED7" w:rsidR="008E06C9" w:rsidP="0018572B" w:rsidRDefault="008E06C9" w14:paraId="6DCE5720" w14:textId="77777777">
      <w:pPr>
        <w:jc w:val="both"/>
        <w:rPr>
          <w:rFonts w:ascii="Arial" w:hAnsi="Arial" w:eastAsia="Calibri" w:cs="Arial"/>
          <w:b/>
          <w:bCs/>
          <w:color w:val="000000" w:themeColor="text1"/>
          <w:sz w:val="16"/>
          <w:szCs w:val="16"/>
        </w:rPr>
      </w:pPr>
    </w:p>
    <w:p w:rsidRPr="00601A7E" w:rsidR="0018572B" w:rsidP="70631289" w:rsidRDefault="0018572B" w14:paraId="0B440A0A" w14:textId="74C85FDB">
      <w:pPr>
        <w:pStyle w:val="Normal"/>
        <w:jc w:val="both"/>
        <w:rPr>
          <w:rFonts w:ascii="Arial" w:hAnsi="Arial" w:eastAsia="Calibri" w:cs="Arial"/>
          <w:b w:val="1"/>
          <w:bCs w:val="1"/>
          <w:color w:val="000000" w:themeColor="text1"/>
          <w:sz w:val="22"/>
          <w:szCs w:val="22"/>
        </w:rPr>
      </w:pPr>
      <w:r w:rsidRPr="70631289" w:rsidR="0018572B">
        <w:rPr>
          <w:rFonts w:ascii="Arial" w:hAnsi="Arial" w:eastAsia="Calibri" w:cs="Arial"/>
          <w:b w:val="1"/>
          <w:bCs w:val="1"/>
          <w:color w:val="000000" w:themeColor="text1" w:themeTint="FF" w:themeShade="FF"/>
          <w:sz w:val="22"/>
          <w:szCs w:val="22"/>
        </w:rPr>
        <w:t xml:space="preserve">DOCUMENTOS TIPO </w:t>
      </w:r>
      <w:r w:rsidRPr="70631289" w:rsidR="0018572B">
        <w:rPr>
          <w:rFonts w:ascii="Arial" w:hAnsi="Arial" w:eastAsia="Calibri" w:cs="Arial"/>
          <w:b w:val="1"/>
          <w:bCs w:val="1"/>
          <w:color w:val="000000" w:themeColor="text1" w:themeTint="FF" w:themeShade="FF"/>
          <w:sz w:val="22"/>
          <w:szCs w:val="22"/>
        </w:rPr>
        <w:t>–</w:t>
      </w:r>
      <w:r w:rsidRPr="70631289" w:rsidR="0018572B">
        <w:rPr>
          <w:rFonts w:ascii="Arial" w:hAnsi="Arial" w:eastAsia="Calibri" w:cs="Arial"/>
          <w:b w:val="1"/>
          <w:bCs w:val="1"/>
          <w:color w:val="000000" w:themeColor="text1" w:themeTint="FF" w:themeShade="FF"/>
          <w:sz w:val="22"/>
          <w:szCs w:val="22"/>
        </w:rPr>
        <w:t xml:space="preserve"> Inalterabilidad </w:t>
      </w:r>
      <w:r w:rsidRPr="70631289" w:rsidR="0018572B">
        <w:rPr>
          <w:rFonts w:ascii="Arial" w:hAnsi="Arial" w:eastAsia="Calibri" w:cs="Arial"/>
          <w:b w:val="1"/>
          <w:bCs w:val="1"/>
          <w:color w:val="000000" w:themeColor="text1" w:themeTint="FF" w:themeShade="FF"/>
          <w:sz w:val="22"/>
          <w:szCs w:val="22"/>
        </w:rPr>
        <w:t>–</w:t>
      </w:r>
      <w:r w:rsidRPr="70631289" w:rsidR="0018572B">
        <w:rPr>
          <w:rFonts w:ascii="Arial" w:hAnsi="Arial" w:eastAsia="Calibri" w:cs="Arial"/>
          <w:b w:val="1"/>
          <w:bCs w:val="1"/>
          <w:color w:val="000000" w:themeColor="text1" w:themeTint="FF" w:themeShade="FF"/>
          <w:sz w:val="22"/>
          <w:szCs w:val="22"/>
        </w:rPr>
        <w:t xml:space="preserve"> Configuración </w:t>
      </w:r>
      <w:r w:rsidRPr="70631289" w:rsidR="1C0B02D4">
        <w:rPr>
          <w:rFonts w:ascii="Arial" w:hAnsi="Arial" w:eastAsia="Calibri" w:cs="Arial"/>
          <w:b w:val="1"/>
          <w:bCs w:val="1"/>
          <w:color w:val="000000" w:themeColor="text1" w:themeTint="FF" w:themeShade="FF"/>
          <w:sz w:val="22"/>
          <w:szCs w:val="22"/>
        </w:rPr>
        <w:t>–</w:t>
      </w:r>
      <w:r w:rsidRPr="70631289" w:rsidR="0018572B">
        <w:rPr>
          <w:rFonts w:ascii="Arial" w:hAnsi="Arial" w:eastAsia="Calibri" w:cs="Arial"/>
          <w:b w:val="1"/>
          <w:bCs w:val="1"/>
          <w:color w:val="000000" w:themeColor="text1" w:themeTint="FF" w:themeShade="FF"/>
          <w:sz w:val="22"/>
          <w:szCs w:val="22"/>
        </w:rPr>
        <w:t xml:space="preserve"> </w:t>
      </w:r>
      <w:r w:rsidRPr="70631289" w:rsidR="29D997CF">
        <w:rPr>
          <w:rFonts w:ascii="Arial" w:hAnsi="Arial" w:eastAsia="Calibri" w:cs="Arial"/>
          <w:b w:val="1"/>
          <w:bCs w:val="1"/>
          <w:color w:val="000000" w:themeColor="text1" w:themeTint="FF" w:themeShade="FF"/>
          <w:sz w:val="22"/>
          <w:szCs w:val="22"/>
        </w:rPr>
        <w:t>P</w:t>
      </w:r>
      <w:r w:rsidRPr="70631289" w:rsidR="0018572B">
        <w:rPr>
          <w:rFonts w:ascii="Arial" w:hAnsi="Arial" w:eastAsia="Calibri" w:cs="Arial"/>
          <w:b w:val="1"/>
          <w:bCs w:val="1"/>
          <w:color w:val="000000" w:themeColor="text1" w:themeTint="FF" w:themeShade="FF"/>
          <w:sz w:val="22"/>
          <w:szCs w:val="22"/>
        </w:rPr>
        <w:t xml:space="preserve">liego de </w:t>
      </w:r>
      <w:r w:rsidRPr="70631289" w:rsidR="00696DC7">
        <w:rPr>
          <w:rFonts w:ascii="Arial" w:hAnsi="Arial" w:eastAsia="Calibri" w:cs="Arial"/>
          <w:b w:val="1"/>
          <w:bCs w:val="1"/>
          <w:color w:val="000000" w:themeColor="text1" w:themeTint="FF" w:themeShade="FF"/>
          <w:sz w:val="22"/>
          <w:szCs w:val="22"/>
        </w:rPr>
        <w:t>c</w:t>
      </w:r>
      <w:r w:rsidRPr="70631289" w:rsidR="0018572B">
        <w:rPr>
          <w:rFonts w:ascii="Arial" w:hAnsi="Arial" w:eastAsia="Calibri" w:cs="Arial"/>
          <w:b w:val="1"/>
          <w:bCs w:val="1"/>
          <w:color w:val="000000" w:themeColor="text1" w:themeTint="FF" w:themeShade="FF"/>
          <w:sz w:val="22"/>
          <w:szCs w:val="22"/>
        </w:rPr>
        <w:t xml:space="preserve">ondiciones </w:t>
      </w:r>
      <w:r w:rsidRPr="70631289" w:rsidR="0018572B">
        <w:rPr>
          <w:rFonts w:ascii="Arial" w:hAnsi="Arial" w:eastAsia="Calibri" w:cs="Arial"/>
          <w:b w:val="1"/>
          <w:bCs w:val="1"/>
          <w:color w:val="000000" w:themeColor="text1" w:themeTint="FF" w:themeShade="FF"/>
          <w:sz w:val="22"/>
          <w:szCs w:val="22"/>
        </w:rPr>
        <w:t>–</w:t>
      </w:r>
      <w:r w:rsidRPr="70631289" w:rsidR="0018572B">
        <w:rPr>
          <w:rFonts w:ascii="Arial" w:hAnsi="Arial" w:eastAsia="Calibri" w:cs="Arial"/>
          <w:b w:val="1"/>
          <w:bCs w:val="1"/>
          <w:color w:val="000000" w:themeColor="text1" w:themeTint="FF" w:themeShade="FF"/>
          <w:sz w:val="22"/>
          <w:szCs w:val="22"/>
        </w:rPr>
        <w:t xml:space="preserve"> Alcance</w:t>
      </w:r>
    </w:p>
    <w:p w:rsidRPr="00601A7E" w:rsidR="0018572B" w:rsidP="0018572B" w:rsidRDefault="0018572B" w14:paraId="4C41EB2D" w14:textId="77777777">
      <w:pPr>
        <w:jc w:val="both"/>
        <w:rPr>
          <w:rFonts w:ascii="Arial" w:hAnsi="Arial" w:eastAsia="Calibri" w:cs="Arial"/>
          <w:b/>
          <w:bCs/>
          <w:color w:val="000000" w:themeColor="text1"/>
          <w:sz w:val="20"/>
          <w:szCs w:val="20"/>
        </w:rPr>
      </w:pPr>
    </w:p>
    <w:p w:rsidRPr="00601A7E" w:rsidR="0018572B" w:rsidP="0018572B" w:rsidRDefault="0018572B" w14:paraId="17E7EEC3" w14:textId="5337E699">
      <w:pPr>
        <w:jc w:val="both"/>
        <w:rPr>
          <w:rFonts w:ascii="Arial" w:hAnsi="Arial" w:eastAsia="Calibri" w:cs="Arial"/>
          <w:color w:val="000000" w:themeColor="text1"/>
          <w:sz w:val="20"/>
          <w:szCs w:val="20"/>
        </w:rPr>
      </w:pPr>
      <w:r w:rsidRPr="00601A7E">
        <w:rPr>
          <w:rFonts w:ascii="Arial" w:hAnsi="Arial" w:eastAsia="Calibri" w:cs="Arial"/>
          <w:color w:val="000000" w:themeColor="text1"/>
          <w:sz w:val="20"/>
          <w:szCs w:val="20"/>
        </w:rPr>
        <w:t>Los documentos tipo son inalterables, es decir, las entidades estatales no pueden, en los pliegos de condiciones elaborados en el marco de aquellos, establecer exigencias más allá de lo que permiten tales documentos tipo, de conformidad con el artículo 2.2.1.2.6.1.4. del Decreto 342 de 2019 y el artículo 2 de la Resolución No. 0045 de 2020.</w:t>
      </w:r>
    </w:p>
    <w:p w:rsidRPr="00601A7E" w:rsidR="0018572B" w:rsidP="0018572B" w:rsidRDefault="0018572B" w14:paraId="229660AA" w14:textId="26178E15">
      <w:pPr>
        <w:jc w:val="both"/>
        <w:rPr>
          <w:rFonts w:ascii="Arial" w:hAnsi="Arial" w:eastAsia="Calibri" w:cs="Arial"/>
          <w:color w:val="000000" w:themeColor="text1"/>
          <w:sz w:val="20"/>
          <w:szCs w:val="20"/>
        </w:rPr>
      </w:pPr>
    </w:p>
    <w:p w:rsidRPr="00601A7E" w:rsidR="00F85FB4" w:rsidP="70631289" w:rsidRDefault="00E3356D" w14:paraId="70B271B9" w14:textId="6C917701">
      <w:pPr>
        <w:pStyle w:val="Normal"/>
        <w:jc w:val="both"/>
        <w:rPr>
          <w:rFonts w:ascii="Arial" w:hAnsi="Arial" w:eastAsia="Calibri" w:cs="Arial"/>
          <w:b w:val="1"/>
          <w:bCs w:val="1"/>
          <w:color w:val="000000" w:themeColor="text1"/>
          <w:sz w:val="22"/>
          <w:szCs w:val="22"/>
        </w:rPr>
      </w:pPr>
      <w:r w:rsidRPr="70631289" w:rsidR="00E3356D">
        <w:rPr>
          <w:rFonts w:ascii="Arial" w:hAnsi="Arial" w:eastAsia="Calibri" w:cs="Arial"/>
          <w:b w:val="1"/>
          <w:bCs w:val="1"/>
          <w:color w:val="000000" w:themeColor="text1" w:themeTint="FF" w:themeShade="FF"/>
          <w:sz w:val="22"/>
          <w:szCs w:val="22"/>
        </w:rPr>
        <w:t>RE</w:t>
      </w:r>
      <w:r w:rsidRPr="70631289" w:rsidR="715B3A1C">
        <w:rPr>
          <w:rFonts w:ascii="Arial" w:hAnsi="Arial" w:eastAsia="Calibri" w:cs="Arial"/>
          <w:b w:val="1"/>
          <w:bCs w:val="1"/>
          <w:color w:val="000000" w:themeColor="text1" w:themeTint="FF" w:themeShade="FF"/>
          <w:sz w:val="22"/>
          <w:szCs w:val="22"/>
        </w:rPr>
        <w:t>GISTRO ÚNICO DE PROPONENTES</w:t>
      </w:r>
      <w:r w:rsidRPr="70631289" w:rsidR="00696DC7">
        <w:rPr>
          <w:rFonts w:ascii="Arial" w:hAnsi="Arial" w:eastAsia="Calibri" w:cs="Arial"/>
          <w:b w:val="1"/>
          <w:bCs w:val="1"/>
          <w:color w:val="000000" w:themeColor="text1" w:themeTint="FF" w:themeShade="FF"/>
          <w:sz w:val="22"/>
          <w:szCs w:val="22"/>
        </w:rPr>
        <w:t xml:space="preserve"> – </w:t>
      </w:r>
      <w:r w:rsidRPr="70631289" w:rsidR="1B3DC8EF">
        <w:rPr>
          <w:rFonts w:ascii="Arial" w:hAnsi="Arial" w:eastAsia="Calibri" w:cs="Arial"/>
          <w:b w:val="1"/>
          <w:bCs w:val="1"/>
          <w:color w:val="000000" w:themeColor="text1" w:themeTint="FF" w:themeShade="FF"/>
          <w:sz w:val="22"/>
          <w:szCs w:val="22"/>
        </w:rPr>
        <w:t xml:space="preserve">Renovación – </w:t>
      </w:r>
      <w:r w:rsidRPr="70631289" w:rsidR="00696DC7">
        <w:rPr>
          <w:rFonts w:ascii="Arial" w:hAnsi="Arial" w:eastAsia="Calibri" w:cs="Arial"/>
          <w:b w:val="1"/>
          <w:bCs w:val="1"/>
          <w:color w:val="000000" w:themeColor="text1" w:themeTint="FF" w:themeShade="FF"/>
          <w:sz w:val="22"/>
          <w:szCs w:val="22"/>
        </w:rPr>
        <w:t>Documentos Tipo</w:t>
      </w:r>
      <w:r w:rsidRPr="70631289" w:rsidR="00CA26C2">
        <w:rPr>
          <w:rFonts w:ascii="Arial" w:hAnsi="Arial" w:eastAsia="Calibri" w:cs="Arial"/>
          <w:b w:val="1"/>
          <w:bCs w:val="1"/>
          <w:color w:val="000000" w:themeColor="text1" w:themeTint="FF" w:themeShade="FF"/>
          <w:sz w:val="22"/>
          <w:szCs w:val="22"/>
        </w:rPr>
        <w:t xml:space="preserve"> </w:t>
      </w:r>
      <w:r w:rsidRPr="70631289" w:rsidR="00CA26C2">
        <w:rPr>
          <w:rFonts w:ascii="Arial" w:hAnsi="Arial" w:eastAsia="Calibri" w:cs="Arial"/>
          <w:b w:val="1"/>
          <w:bCs w:val="1"/>
          <w:color w:val="000000" w:themeColor="text1" w:themeTint="FF" w:themeShade="FF"/>
          <w:sz w:val="22"/>
          <w:szCs w:val="22"/>
        </w:rPr>
        <w:t xml:space="preserve">– </w:t>
      </w:r>
      <w:r w:rsidRPr="70631289" w:rsidR="00E3356D">
        <w:rPr>
          <w:rFonts w:ascii="Arial" w:hAnsi="Arial" w:eastAsia="Calibri" w:cs="Arial"/>
          <w:b w:val="1"/>
          <w:bCs w:val="1"/>
          <w:color w:val="000000" w:themeColor="text1" w:themeTint="FF" w:themeShade="FF"/>
          <w:sz w:val="22"/>
          <w:szCs w:val="22"/>
        </w:rPr>
        <w:t>Causal</w:t>
      </w:r>
      <w:r w:rsidRPr="70631289" w:rsidR="00696DC7">
        <w:rPr>
          <w:rFonts w:ascii="Arial" w:hAnsi="Arial" w:eastAsia="Calibri" w:cs="Arial"/>
          <w:b w:val="1"/>
          <w:bCs w:val="1"/>
          <w:color w:val="000000" w:themeColor="text1" w:themeTint="FF" w:themeShade="FF"/>
          <w:sz w:val="22"/>
          <w:szCs w:val="22"/>
        </w:rPr>
        <w:t>es</w:t>
      </w:r>
      <w:r w:rsidRPr="70631289" w:rsidR="00E3356D">
        <w:rPr>
          <w:rFonts w:ascii="Arial" w:hAnsi="Arial" w:eastAsia="Calibri" w:cs="Arial"/>
          <w:b w:val="1"/>
          <w:bCs w:val="1"/>
          <w:color w:val="000000" w:themeColor="text1" w:themeTint="FF" w:themeShade="FF"/>
          <w:sz w:val="22"/>
          <w:szCs w:val="22"/>
        </w:rPr>
        <w:t xml:space="preserve"> de </w:t>
      </w:r>
      <w:r w:rsidRPr="70631289" w:rsidR="00667C1A">
        <w:rPr>
          <w:rFonts w:ascii="Arial" w:hAnsi="Arial" w:eastAsia="Calibri" w:cs="Arial"/>
          <w:b w:val="1"/>
          <w:bCs w:val="1"/>
          <w:color w:val="000000" w:themeColor="text1" w:themeTint="FF" w:themeShade="FF"/>
          <w:sz w:val="22"/>
          <w:szCs w:val="22"/>
        </w:rPr>
        <w:t>R</w:t>
      </w:r>
      <w:r w:rsidRPr="70631289" w:rsidR="00E3356D">
        <w:rPr>
          <w:rFonts w:ascii="Arial" w:hAnsi="Arial" w:eastAsia="Calibri" w:cs="Arial"/>
          <w:b w:val="1"/>
          <w:bCs w:val="1"/>
          <w:color w:val="000000" w:themeColor="text1" w:themeTint="FF" w:themeShade="FF"/>
          <w:sz w:val="22"/>
          <w:szCs w:val="22"/>
        </w:rPr>
        <w:t xml:space="preserve">echazo </w:t>
      </w:r>
      <w:r w:rsidRPr="70631289" w:rsidR="00696DC7">
        <w:rPr>
          <w:rFonts w:ascii="Arial" w:hAnsi="Arial" w:eastAsia="Calibri" w:cs="Arial"/>
          <w:b w:val="1"/>
          <w:bCs w:val="1"/>
          <w:color w:val="000000" w:themeColor="text1" w:themeTint="FF" w:themeShade="FF"/>
          <w:sz w:val="22"/>
          <w:szCs w:val="22"/>
        </w:rPr>
        <w:t>– L</w:t>
      </w:r>
      <w:r w:rsidRPr="70631289" w:rsidR="00667C1A">
        <w:rPr>
          <w:rFonts w:ascii="Arial" w:hAnsi="Arial" w:eastAsia="Calibri" w:cs="Arial"/>
          <w:b w:val="1"/>
          <w:bCs w:val="1"/>
          <w:color w:val="000000" w:themeColor="text1" w:themeTint="FF" w:themeShade="FF"/>
          <w:sz w:val="22"/>
          <w:szCs w:val="22"/>
        </w:rPr>
        <w:t xml:space="preserve">iteral </w:t>
      </w:r>
      <w:r w:rsidRPr="70631289" w:rsidR="00E3356D">
        <w:rPr>
          <w:rFonts w:ascii="Arial" w:hAnsi="Arial" w:eastAsia="Calibri" w:cs="Arial"/>
          <w:b w:val="1"/>
          <w:bCs w:val="1"/>
          <w:color w:val="000000" w:themeColor="text1" w:themeTint="FF" w:themeShade="FF"/>
          <w:sz w:val="22"/>
          <w:szCs w:val="22"/>
        </w:rPr>
        <w:t>G</w:t>
      </w:r>
      <w:r w:rsidRPr="70631289" w:rsidR="00696DC7">
        <w:rPr>
          <w:rFonts w:ascii="Arial" w:hAnsi="Arial" w:eastAsia="Calibri" w:cs="Arial"/>
          <w:b w:val="1"/>
          <w:bCs w:val="1"/>
          <w:color w:val="000000" w:themeColor="text1" w:themeTint="FF" w:themeShade="FF"/>
          <w:sz w:val="22"/>
          <w:szCs w:val="22"/>
        </w:rPr>
        <w:t xml:space="preserve"> </w:t>
      </w:r>
      <w:r w:rsidRPr="70631289" w:rsidR="00E3356D">
        <w:rPr>
          <w:rFonts w:ascii="Arial" w:hAnsi="Arial" w:eastAsia="Calibri" w:cs="Arial"/>
          <w:b w:val="1"/>
          <w:bCs w:val="1"/>
          <w:color w:val="000000" w:themeColor="text1" w:themeTint="FF" w:themeShade="FF"/>
          <w:sz w:val="22"/>
          <w:szCs w:val="22"/>
        </w:rPr>
        <w:t>– P</w:t>
      </w:r>
      <w:r w:rsidRPr="70631289" w:rsidR="00696DC7">
        <w:rPr>
          <w:rFonts w:ascii="Arial" w:hAnsi="Arial" w:eastAsia="Calibri" w:cs="Arial"/>
          <w:b w:val="1"/>
          <w:bCs w:val="1"/>
          <w:color w:val="000000" w:themeColor="text1" w:themeTint="FF" w:themeShade="FF"/>
          <w:sz w:val="22"/>
          <w:szCs w:val="22"/>
        </w:rPr>
        <w:t>é</w:t>
      </w:r>
      <w:r w:rsidRPr="70631289" w:rsidR="00E3356D">
        <w:rPr>
          <w:rFonts w:ascii="Arial" w:hAnsi="Arial" w:eastAsia="Calibri" w:cs="Arial"/>
          <w:b w:val="1"/>
          <w:bCs w:val="1"/>
          <w:color w:val="000000" w:themeColor="text1" w:themeTint="FF" w:themeShade="FF"/>
          <w:sz w:val="22"/>
          <w:szCs w:val="22"/>
        </w:rPr>
        <w:t xml:space="preserve">rdida </w:t>
      </w:r>
      <w:r w:rsidRPr="70631289" w:rsidR="00696DC7">
        <w:rPr>
          <w:rFonts w:ascii="Arial" w:hAnsi="Arial" w:eastAsia="Calibri" w:cs="Arial"/>
          <w:b w:val="1"/>
          <w:bCs w:val="1"/>
          <w:color w:val="000000" w:themeColor="text1" w:themeTint="FF" w:themeShade="FF"/>
          <w:sz w:val="22"/>
          <w:szCs w:val="22"/>
        </w:rPr>
        <w:t>de f</w:t>
      </w:r>
      <w:r w:rsidRPr="70631289" w:rsidR="00E3356D">
        <w:rPr>
          <w:rFonts w:ascii="Arial" w:hAnsi="Arial" w:eastAsia="Calibri" w:cs="Arial"/>
          <w:b w:val="1"/>
          <w:bCs w:val="1"/>
          <w:color w:val="000000" w:themeColor="text1" w:themeTint="FF" w:themeShade="FF"/>
          <w:sz w:val="22"/>
          <w:szCs w:val="22"/>
        </w:rPr>
        <w:t xml:space="preserve">uerza </w:t>
      </w:r>
      <w:r w:rsidRPr="70631289" w:rsidR="00696DC7">
        <w:rPr>
          <w:rFonts w:ascii="Arial" w:hAnsi="Arial" w:eastAsia="Calibri" w:cs="Arial"/>
          <w:b w:val="1"/>
          <w:bCs w:val="1"/>
          <w:color w:val="000000" w:themeColor="text1" w:themeTint="FF" w:themeShade="FF"/>
          <w:sz w:val="22"/>
          <w:szCs w:val="22"/>
        </w:rPr>
        <w:t>e</w:t>
      </w:r>
      <w:r w:rsidRPr="70631289" w:rsidR="00E3356D">
        <w:rPr>
          <w:rFonts w:ascii="Arial" w:hAnsi="Arial" w:eastAsia="Calibri" w:cs="Arial"/>
          <w:b w:val="1"/>
          <w:bCs w:val="1"/>
          <w:color w:val="000000" w:themeColor="text1" w:themeTint="FF" w:themeShade="FF"/>
          <w:sz w:val="22"/>
          <w:szCs w:val="22"/>
        </w:rPr>
        <w:t xml:space="preserve">jecutoria – </w:t>
      </w:r>
      <w:r w:rsidRPr="70631289" w:rsidR="00CA26C2">
        <w:rPr>
          <w:rFonts w:ascii="Arial" w:hAnsi="Arial" w:eastAsia="Calibri" w:cs="Arial"/>
          <w:b w:val="1"/>
          <w:bCs w:val="1"/>
          <w:color w:val="000000" w:themeColor="text1" w:themeTint="FF" w:themeShade="FF"/>
          <w:sz w:val="22"/>
          <w:szCs w:val="22"/>
        </w:rPr>
        <w:t xml:space="preserve">Decreto </w:t>
      </w:r>
      <w:r w:rsidRPr="70631289" w:rsidR="00E3356D">
        <w:rPr>
          <w:rFonts w:ascii="Arial" w:hAnsi="Arial" w:eastAsia="Calibri" w:cs="Arial"/>
          <w:b w:val="1"/>
          <w:bCs w:val="1"/>
          <w:color w:val="000000" w:themeColor="text1" w:themeTint="FF" w:themeShade="FF"/>
          <w:sz w:val="22"/>
          <w:szCs w:val="22"/>
        </w:rPr>
        <w:t>434 de</w:t>
      </w:r>
      <w:r w:rsidRPr="70631289" w:rsidR="00CA26C2">
        <w:rPr>
          <w:rFonts w:ascii="Arial" w:hAnsi="Arial" w:eastAsia="Calibri" w:cs="Arial"/>
          <w:b w:val="1"/>
          <w:bCs w:val="1"/>
          <w:color w:val="000000" w:themeColor="text1" w:themeTint="FF" w:themeShade="FF"/>
          <w:sz w:val="22"/>
          <w:szCs w:val="22"/>
        </w:rPr>
        <w:t xml:space="preserve"> 2020 – </w:t>
      </w:r>
      <w:r w:rsidRPr="70631289" w:rsidR="00667C1A">
        <w:rPr>
          <w:rFonts w:ascii="Arial" w:hAnsi="Arial" w:eastAsia="Calibri" w:cs="Arial"/>
          <w:b w:val="1"/>
          <w:bCs w:val="1"/>
          <w:color w:val="000000" w:themeColor="text1" w:themeTint="FF" w:themeShade="FF"/>
          <w:sz w:val="22"/>
          <w:szCs w:val="22"/>
        </w:rPr>
        <w:t>P</w:t>
      </w:r>
      <w:r w:rsidRPr="70631289" w:rsidR="00E3356D">
        <w:rPr>
          <w:rFonts w:ascii="Arial" w:hAnsi="Arial" w:eastAsia="Calibri" w:cs="Arial"/>
          <w:b w:val="1"/>
          <w:bCs w:val="1"/>
          <w:color w:val="000000" w:themeColor="text1" w:themeTint="FF" w:themeShade="FF"/>
          <w:sz w:val="22"/>
          <w:szCs w:val="22"/>
        </w:rPr>
        <w:t xml:space="preserve">lazos </w:t>
      </w:r>
      <w:r w:rsidRPr="70631289" w:rsidR="00696DC7">
        <w:rPr>
          <w:rFonts w:ascii="Arial" w:hAnsi="Arial" w:eastAsia="Calibri" w:cs="Arial"/>
          <w:b w:val="1"/>
          <w:bCs w:val="1"/>
          <w:color w:val="000000" w:themeColor="text1" w:themeTint="FF" w:themeShade="FF"/>
          <w:sz w:val="22"/>
          <w:szCs w:val="22"/>
        </w:rPr>
        <w:t>e</w:t>
      </w:r>
      <w:r w:rsidRPr="70631289" w:rsidR="00E3356D">
        <w:rPr>
          <w:rFonts w:ascii="Arial" w:hAnsi="Arial" w:eastAsia="Calibri" w:cs="Arial"/>
          <w:b w:val="1"/>
          <w:bCs w:val="1"/>
          <w:color w:val="000000" w:themeColor="text1" w:themeTint="FF" w:themeShade="FF"/>
          <w:sz w:val="22"/>
          <w:szCs w:val="22"/>
        </w:rPr>
        <w:t>speciales</w:t>
      </w:r>
      <w:r w:rsidRPr="70631289" w:rsidR="00CD5AE1">
        <w:rPr>
          <w:rFonts w:ascii="Arial" w:hAnsi="Arial" w:eastAsia="Calibri" w:cs="Arial"/>
          <w:b w:val="1"/>
          <w:bCs w:val="1"/>
          <w:color w:val="000000" w:themeColor="text1" w:themeTint="FF" w:themeShade="FF"/>
          <w:sz w:val="22"/>
          <w:szCs w:val="22"/>
        </w:rPr>
        <w:t xml:space="preserve"> –</w:t>
      </w:r>
      <w:r w:rsidRPr="70631289" w:rsidR="00CD5AE1">
        <w:rPr>
          <w:rFonts w:ascii="Arial" w:hAnsi="Arial" w:eastAsia="Calibri" w:cs="Arial"/>
          <w:b w:val="1"/>
          <w:bCs w:val="1"/>
          <w:color w:val="000000" w:themeColor="text1" w:themeTint="FF" w:themeShade="FF"/>
          <w:sz w:val="22"/>
          <w:szCs w:val="22"/>
        </w:rPr>
        <w:t xml:space="preserve"> </w:t>
      </w:r>
      <w:r w:rsidRPr="70631289" w:rsidR="00CA26C2">
        <w:rPr>
          <w:rFonts w:ascii="Arial" w:hAnsi="Arial" w:eastAsia="Calibri" w:cs="Arial"/>
          <w:b w:val="1"/>
          <w:bCs w:val="1"/>
          <w:color w:val="000000" w:themeColor="text1" w:themeTint="FF" w:themeShade="FF"/>
          <w:sz w:val="22"/>
          <w:szCs w:val="22"/>
        </w:rPr>
        <w:t xml:space="preserve">Alcance </w:t>
      </w:r>
    </w:p>
    <w:p w:rsidRPr="00601A7E" w:rsidR="00CA26C2" w:rsidP="0018572B" w:rsidRDefault="00CA26C2" w14:paraId="17B3D651" w14:textId="6931AD2D">
      <w:pPr>
        <w:jc w:val="both"/>
        <w:rPr>
          <w:rFonts w:ascii="Arial" w:hAnsi="Arial" w:eastAsia="Calibri" w:cs="Arial"/>
          <w:b/>
          <w:color w:val="000000" w:themeColor="text1"/>
          <w:sz w:val="22"/>
          <w:highlight w:val="yellow"/>
        </w:rPr>
      </w:pPr>
    </w:p>
    <w:p w:rsidRPr="00601A7E" w:rsidR="00E3356D" w:rsidP="00444E51" w:rsidRDefault="00E3356D" w14:paraId="4938171C" w14:textId="3D6D5540">
      <w:pPr>
        <w:spacing w:after="120"/>
        <w:jc w:val="both"/>
        <w:rPr>
          <w:rFonts w:ascii="Arial" w:hAnsi="Arial" w:eastAsia="Calibri" w:cs="Arial"/>
          <w:color w:val="000000" w:themeColor="text1"/>
          <w:sz w:val="20"/>
          <w:szCs w:val="20"/>
        </w:rPr>
      </w:pPr>
      <w:r w:rsidRPr="00601A7E">
        <w:rPr>
          <w:rFonts w:ascii="Arial" w:hAnsi="Arial" w:eastAsia="Calibri" w:cs="Arial"/>
          <w:color w:val="000000" w:themeColor="text1"/>
          <w:sz w:val="20"/>
          <w:szCs w:val="20"/>
        </w:rPr>
        <w:t>Para contribuir con las medidas de contención y prevención del riesgo de contagio, buscando que las personas no se acerquen a las Cámaras de Comercio para tramitar lo que corresponde al RUES, y particularmente al RUP, el artículo 2 del Decreto 434 de 2020 amplió el plazo para renovarlo, teniendo en cuenta que el artículo 2.2.1.1.1.5.1. del Decreto 1082 de 2015 impone la obligación de adelantar el trámite de renovación del RUP a más tardar el quinto día hábil del mes de abril, lo cual se extiende al quinto día hábil del mes de julio de 2020.</w:t>
      </w:r>
    </w:p>
    <w:p w:rsidRPr="00601A7E" w:rsidR="00667C1A" w:rsidP="00444E51" w:rsidRDefault="00667C1A" w14:paraId="266C58AF" w14:textId="18CCA6BB">
      <w:pPr>
        <w:spacing w:after="120"/>
        <w:jc w:val="both"/>
        <w:rPr>
          <w:rFonts w:ascii="Arial" w:hAnsi="Arial" w:eastAsia="Calibri" w:cs="Arial"/>
          <w:color w:val="000000" w:themeColor="text1"/>
          <w:sz w:val="20"/>
          <w:szCs w:val="20"/>
        </w:rPr>
      </w:pPr>
      <w:r w:rsidRPr="00601A7E">
        <w:rPr>
          <w:rFonts w:ascii="Arial" w:hAnsi="Arial" w:eastAsia="Calibri" w:cs="Arial"/>
          <w:color w:val="000000" w:themeColor="text1"/>
          <w:sz w:val="20"/>
          <w:szCs w:val="20"/>
        </w:rPr>
        <w:t xml:space="preserve">[…] es claro para esta Subdirección que el contenido de la causal de rechazo contenida en el literal </w:t>
      </w:r>
      <w:r w:rsidRPr="00601A7E" w:rsidR="00601A7E">
        <w:rPr>
          <w:rFonts w:ascii="Arial" w:hAnsi="Arial" w:eastAsia="Calibri" w:cs="Arial"/>
          <w:color w:val="000000" w:themeColor="text1"/>
          <w:sz w:val="20"/>
          <w:szCs w:val="20"/>
        </w:rPr>
        <w:t>G</w:t>
      </w:r>
      <w:r w:rsidRPr="00601A7E">
        <w:rPr>
          <w:rFonts w:ascii="Arial" w:hAnsi="Arial" w:eastAsia="Calibri" w:cs="Arial"/>
          <w:color w:val="000000" w:themeColor="text1"/>
          <w:sz w:val="20"/>
          <w:szCs w:val="20"/>
        </w:rPr>
        <w:t xml:space="preserve"> se encuentra frente a una situación de modificación por parte del Decreto 434 de 2020. De tal suerte que, previendo los posibles cambios normativos que se llegasen a presentar y que tengan incidencia en </w:t>
      </w:r>
      <w:r w:rsidRPr="00601A7E" w:rsidR="00601A7E">
        <w:rPr>
          <w:rFonts w:ascii="Arial" w:hAnsi="Arial" w:eastAsia="Calibri" w:cs="Arial"/>
          <w:color w:val="000000" w:themeColor="text1"/>
          <w:sz w:val="20"/>
          <w:szCs w:val="20"/>
        </w:rPr>
        <w:t>el contenido</w:t>
      </w:r>
      <w:r w:rsidRPr="00601A7E">
        <w:rPr>
          <w:rFonts w:ascii="Arial" w:hAnsi="Arial" w:eastAsia="Calibri" w:cs="Arial"/>
          <w:color w:val="000000" w:themeColor="text1"/>
          <w:sz w:val="20"/>
          <w:szCs w:val="20"/>
        </w:rPr>
        <w:t xml:space="preserve"> de los documentos </w:t>
      </w:r>
      <w:r w:rsidRPr="00601A7E" w:rsidR="00601A7E">
        <w:rPr>
          <w:rFonts w:ascii="Arial" w:hAnsi="Arial" w:eastAsia="Calibri" w:cs="Arial"/>
          <w:color w:val="000000" w:themeColor="text1"/>
          <w:sz w:val="20"/>
          <w:szCs w:val="20"/>
        </w:rPr>
        <w:t>tipo; dentro</w:t>
      </w:r>
      <w:r w:rsidRPr="00601A7E">
        <w:rPr>
          <w:rFonts w:ascii="Arial" w:hAnsi="Arial" w:eastAsia="Calibri" w:cs="Arial"/>
          <w:color w:val="000000" w:themeColor="text1"/>
          <w:sz w:val="20"/>
          <w:szCs w:val="20"/>
        </w:rPr>
        <w:t xml:space="preserve"> de la «introducción» de los mismos, fue incluida una disposición que imprime la obligación a las entidades de aplicar la normatividad aplicable así: «El uso de los Documentos Tipo no exime a la Entidad Estatal de la obligación que le asiste de aplicar la normativa y la jurisprudencia aplicable al Proceso de Contratación […]».</w:t>
      </w:r>
    </w:p>
    <w:p w:rsidRPr="00601A7E" w:rsidR="00667C1A" w:rsidP="00444E51" w:rsidRDefault="00667C1A" w14:paraId="393DF3D3" w14:textId="0AF36341">
      <w:pPr>
        <w:spacing w:after="120"/>
        <w:jc w:val="both"/>
        <w:rPr>
          <w:rFonts w:ascii="Arial" w:hAnsi="Arial" w:eastAsia="Calibri" w:cs="Arial"/>
          <w:color w:val="000000" w:themeColor="text1"/>
          <w:sz w:val="20"/>
          <w:szCs w:val="20"/>
        </w:rPr>
      </w:pPr>
      <w:r w:rsidRPr="00601A7E">
        <w:rPr>
          <w:rFonts w:ascii="Arial" w:hAnsi="Arial" w:eastAsia="Calibri" w:cs="Arial"/>
          <w:color w:val="000000" w:themeColor="text1"/>
          <w:sz w:val="20"/>
          <w:szCs w:val="20"/>
        </w:rPr>
        <w:t xml:space="preserve">Según lo señalado, nos encontramos </w:t>
      </w:r>
      <w:r w:rsidR="009124CF">
        <w:rPr>
          <w:rFonts w:ascii="Arial" w:hAnsi="Arial" w:eastAsia="Calibri" w:cs="Arial"/>
          <w:color w:val="000000" w:themeColor="text1"/>
          <w:sz w:val="20"/>
          <w:szCs w:val="20"/>
        </w:rPr>
        <w:t>de cara</w:t>
      </w:r>
      <w:r w:rsidRPr="00601A7E" w:rsidR="009124CF">
        <w:rPr>
          <w:rFonts w:ascii="Arial" w:hAnsi="Arial" w:eastAsia="Calibri" w:cs="Arial"/>
          <w:color w:val="000000" w:themeColor="text1"/>
          <w:sz w:val="20"/>
          <w:szCs w:val="20"/>
        </w:rPr>
        <w:t xml:space="preserve"> </w:t>
      </w:r>
      <w:r w:rsidRPr="00601A7E">
        <w:rPr>
          <w:rFonts w:ascii="Arial" w:hAnsi="Arial" w:eastAsia="Calibri" w:cs="Arial"/>
          <w:color w:val="000000" w:themeColor="text1"/>
          <w:sz w:val="20"/>
          <w:szCs w:val="20"/>
        </w:rPr>
        <w:t>a</w:t>
      </w:r>
      <w:r w:rsidR="009124CF">
        <w:rPr>
          <w:rFonts w:ascii="Arial" w:hAnsi="Arial" w:eastAsia="Calibri" w:cs="Arial"/>
          <w:color w:val="000000" w:themeColor="text1"/>
          <w:sz w:val="20"/>
          <w:szCs w:val="20"/>
        </w:rPr>
        <w:t>l</w:t>
      </w:r>
      <w:r w:rsidRPr="00601A7E">
        <w:rPr>
          <w:rFonts w:ascii="Arial" w:hAnsi="Arial" w:eastAsia="Calibri" w:cs="Arial"/>
          <w:color w:val="000000" w:themeColor="text1"/>
          <w:sz w:val="20"/>
          <w:szCs w:val="20"/>
        </w:rPr>
        <w:t xml:space="preserve"> </w:t>
      </w:r>
      <w:r w:rsidRPr="00601A7E" w:rsidR="00601A7E">
        <w:rPr>
          <w:rFonts w:ascii="Arial" w:hAnsi="Arial" w:eastAsia="Calibri" w:cs="Arial"/>
          <w:color w:val="000000" w:themeColor="text1"/>
          <w:sz w:val="20"/>
          <w:szCs w:val="20"/>
        </w:rPr>
        <w:t>fenómeno</w:t>
      </w:r>
      <w:r w:rsidRPr="00601A7E">
        <w:rPr>
          <w:rFonts w:ascii="Arial" w:hAnsi="Arial" w:eastAsia="Calibri" w:cs="Arial"/>
          <w:color w:val="000000" w:themeColor="text1"/>
          <w:sz w:val="20"/>
          <w:szCs w:val="20"/>
        </w:rPr>
        <w:t xml:space="preserve"> </w:t>
      </w:r>
      <w:r w:rsidR="009124CF">
        <w:rPr>
          <w:rFonts w:ascii="Arial" w:hAnsi="Arial" w:eastAsia="Calibri" w:cs="Arial"/>
          <w:color w:val="000000" w:themeColor="text1"/>
          <w:sz w:val="20"/>
          <w:szCs w:val="20"/>
        </w:rPr>
        <w:t xml:space="preserve">del </w:t>
      </w:r>
      <w:r w:rsidRPr="00601A7E">
        <w:rPr>
          <w:rFonts w:ascii="Arial" w:hAnsi="Arial" w:eastAsia="Calibri" w:cs="Arial"/>
          <w:color w:val="000000" w:themeColor="text1"/>
          <w:sz w:val="20"/>
          <w:szCs w:val="20"/>
        </w:rPr>
        <w:t xml:space="preserve">decaimiento del acto administrativo, pues los elementos de derecho </w:t>
      </w:r>
      <w:r w:rsidRPr="00601A7E" w:rsidR="00601A7E">
        <w:rPr>
          <w:rFonts w:ascii="Arial" w:hAnsi="Arial" w:eastAsia="Calibri" w:cs="Arial"/>
          <w:color w:val="000000" w:themeColor="text1"/>
          <w:sz w:val="20"/>
          <w:szCs w:val="20"/>
        </w:rPr>
        <w:t>que configuraron</w:t>
      </w:r>
      <w:r w:rsidRPr="00601A7E">
        <w:rPr>
          <w:rFonts w:ascii="Arial" w:hAnsi="Arial" w:eastAsia="Calibri" w:cs="Arial"/>
          <w:color w:val="000000" w:themeColor="text1"/>
          <w:sz w:val="20"/>
          <w:szCs w:val="20"/>
        </w:rPr>
        <w:t xml:space="preserve"> en un principio la causal de rechazo G, del Documento Tipo, fueron modificados por el artículo 2 del Decreto 434 de 2020, el cual amplió la renovación del Registro Único de Proponentes hasta el quinto día hábil del mes de julio de 2020. Así las cosas, esta situación, se encuentra en </w:t>
      </w:r>
      <w:r w:rsidRPr="00601A7E" w:rsidR="00601A7E">
        <w:rPr>
          <w:rFonts w:ascii="Arial" w:hAnsi="Arial" w:eastAsia="Calibri" w:cs="Arial"/>
          <w:color w:val="000000" w:themeColor="text1"/>
          <w:sz w:val="20"/>
          <w:szCs w:val="20"/>
        </w:rPr>
        <w:t>íntima</w:t>
      </w:r>
      <w:r w:rsidRPr="00601A7E">
        <w:rPr>
          <w:rFonts w:ascii="Arial" w:hAnsi="Arial" w:eastAsia="Calibri" w:cs="Arial"/>
          <w:color w:val="000000" w:themeColor="text1"/>
          <w:sz w:val="20"/>
          <w:szCs w:val="20"/>
        </w:rPr>
        <w:t xml:space="preserve"> relación con la motivación del acto, y la aparición de la nueva normatividad conlleva a que desaparezcan los elementos integrantes del concepto motivante del acto</w:t>
      </w:r>
      <w:r w:rsidR="009124CF">
        <w:rPr>
          <w:rFonts w:ascii="Arial" w:hAnsi="Arial" w:eastAsia="Calibri" w:cs="Arial"/>
          <w:color w:val="000000" w:themeColor="text1"/>
          <w:sz w:val="20"/>
          <w:szCs w:val="20"/>
        </w:rPr>
        <w:t>.</w:t>
      </w:r>
    </w:p>
    <w:p w:rsidRPr="00601A7E" w:rsidR="005E1633" w:rsidP="0018572B" w:rsidRDefault="005E1633" w14:paraId="4955AFB1" w14:textId="77420139">
      <w:pPr>
        <w:jc w:val="both"/>
        <w:rPr>
          <w:rFonts w:ascii="Arial" w:hAnsi="Arial" w:eastAsia="Calibri" w:cs="Arial"/>
          <w:bCs/>
          <w:color w:val="000000" w:themeColor="text1"/>
          <w:sz w:val="20"/>
          <w:szCs w:val="20"/>
        </w:rPr>
      </w:pPr>
    </w:p>
    <w:p w:rsidR="005E1633" w:rsidP="70631289" w:rsidRDefault="005E1633" w14:paraId="0BC40EF9" w14:textId="7D02A9A5">
      <w:pPr>
        <w:pStyle w:val="Normal"/>
        <w:bidi w:val="0"/>
        <w:spacing w:before="0" w:beforeAutospacing="off" w:after="0" w:afterAutospacing="off" w:line="240" w:lineRule="auto"/>
        <w:ind w:left="0" w:right="0"/>
        <w:jc w:val="both"/>
        <w:rPr>
          <w:rFonts w:ascii="Arial" w:hAnsi="Arial" w:cs="Arial"/>
          <w:b w:val="1"/>
          <w:bCs w:val="1"/>
          <w:color w:val="000000" w:themeColor="text1" w:themeTint="FF" w:themeShade="FF"/>
          <w:sz w:val="22"/>
          <w:szCs w:val="22"/>
        </w:rPr>
      </w:pPr>
      <w:r w:rsidRPr="70631289" w:rsidR="005E1633">
        <w:rPr>
          <w:rFonts w:ascii="Arial" w:hAnsi="Arial" w:cs="Arial"/>
          <w:b w:val="1"/>
          <w:bCs w:val="1"/>
          <w:color w:val="000000" w:themeColor="text1" w:themeTint="FF" w:themeShade="FF"/>
          <w:sz w:val="22"/>
          <w:szCs w:val="22"/>
        </w:rPr>
        <w:t xml:space="preserve">OBSERVACIONES </w:t>
      </w:r>
      <w:r w:rsidRPr="70631289" w:rsidR="005E1633">
        <w:rPr>
          <w:rFonts w:ascii="Arial" w:hAnsi="Arial" w:eastAsia="Calibri" w:cs="Arial"/>
          <w:b w:val="1"/>
          <w:bCs w:val="1"/>
          <w:color w:val="000000" w:themeColor="text1" w:themeTint="FF" w:themeShade="FF"/>
          <w:sz w:val="22"/>
          <w:szCs w:val="22"/>
        </w:rPr>
        <w:t>–</w:t>
      </w:r>
      <w:r w:rsidRPr="70631289" w:rsidR="005E1633">
        <w:rPr>
          <w:rFonts w:ascii="Arial" w:hAnsi="Arial" w:cs="Arial"/>
          <w:b w:val="1"/>
          <w:bCs w:val="1"/>
          <w:color w:val="000000" w:themeColor="text1" w:themeTint="FF" w:themeShade="FF"/>
          <w:sz w:val="22"/>
          <w:szCs w:val="22"/>
        </w:rPr>
        <w:t xml:space="preserve"> Proyecto de pliego de condiciones </w:t>
      </w:r>
      <w:r w:rsidRPr="70631289" w:rsidR="005E1633">
        <w:rPr>
          <w:rFonts w:ascii="Arial" w:hAnsi="Arial" w:eastAsia="Calibri" w:cs="Arial"/>
          <w:b w:val="1"/>
          <w:bCs w:val="1"/>
          <w:color w:val="000000" w:themeColor="text1" w:themeTint="FF" w:themeShade="FF"/>
          <w:sz w:val="22"/>
          <w:szCs w:val="22"/>
        </w:rPr>
        <w:t>–</w:t>
      </w:r>
      <w:r w:rsidRPr="70631289" w:rsidR="005E1633">
        <w:rPr>
          <w:rFonts w:ascii="Arial" w:hAnsi="Arial" w:cs="Arial"/>
          <w:b w:val="1"/>
          <w:bCs w:val="1"/>
          <w:color w:val="000000" w:themeColor="text1" w:themeTint="FF" w:themeShade="FF"/>
          <w:sz w:val="22"/>
          <w:szCs w:val="22"/>
        </w:rPr>
        <w:t xml:space="preserve"> Término p</w:t>
      </w:r>
      <w:r w:rsidRPr="70631289" w:rsidR="47F28314">
        <w:rPr>
          <w:rFonts w:ascii="Arial" w:hAnsi="Arial" w:cs="Arial"/>
          <w:b w:val="1"/>
          <w:bCs w:val="1"/>
          <w:color w:val="000000" w:themeColor="text1" w:themeTint="FF" w:themeShade="FF"/>
          <w:sz w:val="22"/>
          <w:szCs w:val="22"/>
        </w:rPr>
        <w:t>resentación</w:t>
      </w:r>
      <w:r w:rsidRPr="70631289" w:rsidR="005E1633">
        <w:rPr>
          <w:rFonts w:ascii="Arial" w:hAnsi="Arial" w:cs="Arial"/>
          <w:b w:val="1"/>
          <w:bCs w:val="1"/>
          <w:color w:val="000000" w:themeColor="text1" w:themeTint="FF" w:themeShade="FF"/>
          <w:sz w:val="22"/>
          <w:szCs w:val="22"/>
        </w:rPr>
        <w:t xml:space="preserve"> </w:t>
      </w:r>
      <w:r w:rsidRPr="70631289" w:rsidR="005E1633">
        <w:rPr>
          <w:rFonts w:ascii="Arial" w:hAnsi="Arial" w:eastAsia="Calibri" w:cs="Arial"/>
          <w:b w:val="1"/>
          <w:bCs w:val="1"/>
          <w:color w:val="000000" w:themeColor="text1" w:themeTint="FF" w:themeShade="FF"/>
          <w:sz w:val="22"/>
          <w:szCs w:val="22"/>
        </w:rPr>
        <w:t>–</w:t>
      </w:r>
      <w:r w:rsidRPr="70631289" w:rsidR="005E1633">
        <w:rPr>
          <w:rFonts w:ascii="Arial" w:hAnsi="Arial" w:cs="Arial"/>
          <w:b w:val="1"/>
          <w:bCs w:val="1"/>
          <w:color w:val="000000" w:themeColor="text1" w:themeTint="FF" w:themeShade="FF"/>
          <w:sz w:val="22"/>
          <w:szCs w:val="22"/>
        </w:rPr>
        <w:t xml:space="preserve"> Término </w:t>
      </w:r>
      <w:r w:rsidRPr="70631289" w:rsidR="6A2CDD0A">
        <w:rPr>
          <w:rFonts w:ascii="Arial" w:hAnsi="Arial" w:cs="Arial"/>
          <w:b w:val="1"/>
          <w:bCs w:val="1"/>
          <w:color w:val="000000" w:themeColor="text1" w:themeTint="FF" w:themeShade="FF"/>
          <w:sz w:val="22"/>
          <w:szCs w:val="22"/>
        </w:rPr>
        <w:t>respuesta</w:t>
      </w:r>
    </w:p>
    <w:p w:rsidR="70631289" w:rsidP="70631289" w:rsidRDefault="70631289" w14:paraId="18C68AEC" w14:textId="03531299">
      <w:pPr>
        <w:pStyle w:val="Normal"/>
        <w:bidi w:val="0"/>
        <w:spacing w:before="0" w:beforeAutospacing="off" w:after="0" w:afterAutospacing="off" w:line="240" w:lineRule="auto"/>
        <w:ind w:left="0" w:right="0"/>
        <w:jc w:val="both"/>
        <w:rPr>
          <w:rFonts w:ascii="Arial" w:hAnsi="Arial" w:cs="Arial"/>
          <w:b w:val="1"/>
          <w:bCs w:val="1"/>
          <w:color w:val="000000" w:themeColor="text1" w:themeTint="FF" w:themeShade="FF"/>
          <w:sz w:val="22"/>
          <w:szCs w:val="22"/>
        </w:rPr>
      </w:pPr>
    </w:p>
    <w:p w:rsidRPr="00601A7E" w:rsidR="005E1633" w:rsidP="005E1633" w:rsidRDefault="005E1633" w14:paraId="4C224026" w14:textId="363376ED">
      <w:pPr>
        <w:spacing w:after="120"/>
        <w:jc w:val="both"/>
        <w:rPr>
          <w:rFonts w:ascii="Arial" w:hAnsi="Arial" w:cs="Arial"/>
          <w:color w:val="000000" w:themeColor="text1"/>
          <w:sz w:val="20"/>
          <w:szCs w:val="20"/>
        </w:rPr>
      </w:pPr>
      <w:r w:rsidRPr="00601A7E">
        <w:rPr>
          <w:rFonts w:ascii="Arial" w:hAnsi="Arial" w:cs="Arial"/>
          <w:color w:val="000000" w:themeColor="text1"/>
          <w:sz w:val="20"/>
          <w:szCs w:val="20"/>
        </w:rPr>
        <w:t xml:space="preserve">En cuanto al plazo o término para presentar observaciones al proyecto de pliego de condiciones en el artículo 2.2.1.1.2.1.4. del mencionado cuerpo normativo se afirma que «Los interesados pueden hacer comentarios al proyecto de pliegos de condiciones a partir de la fecha de publicación de </w:t>
      </w:r>
      <w:r w:rsidRPr="00601A7E" w:rsidR="00601A7E">
        <w:rPr>
          <w:rFonts w:ascii="Arial" w:hAnsi="Arial" w:cs="Arial"/>
          <w:color w:val="000000" w:themeColor="text1"/>
          <w:sz w:val="20"/>
          <w:szCs w:val="20"/>
        </w:rPr>
        <w:t>estos</w:t>
      </w:r>
      <w:r w:rsidRPr="00601A7E">
        <w:rPr>
          <w:rFonts w:ascii="Arial" w:hAnsi="Arial" w:cs="Arial"/>
          <w:color w:val="000000" w:themeColor="text1"/>
          <w:sz w:val="20"/>
          <w:szCs w:val="20"/>
        </w:rPr>
        <w:t>: (a) durante un término de diez (10) días hábiles en la licitación pública; y (b) durante un término de cinco (5) días hábiles en la selección abreviada y el concurso de méritos».</w:t>
      </w:r>
    </w:p>
    <w:p w:rsidRPr="00601A7E" w:rsidR="005E1633" w:rsidP="005E1633" w:rsidRDefault="005E1633" w14:paraId="5903D289" w14:textId="77777777">
      <w:pPr>
        <w:jc w:val="both"/>
        <w:rPr>
          <w:rFonts w:ascii="Arial" w:hAnsi="Arial" w:cs="Arial"/>
          <w:color w:val="000000" w:themeColor="text1"/>
          <w:sz w:val="20"/>
          <w:szCs w:val="20"/>
        </w:rPr>
      </w:pPr>
      <w:r w:rsidRPr="00601A7E">
        <w:rPr>
          <w:rFonts w:ascii="Arial" w:hAnsi="Arial" w:cs="Arial"/>
          <w:color w:val="000000" w:themeColor="text1"/>
          <w:sz w:val="20"/>
          <w:szCs w:val="20"/>
        </w:rPr>
        <w:t xml:space="preserve">Sin embargo, esa circunstancia de ninguna manera implica la inexistencia de un límite, ya que de conformidad con lo establecido en las disposiciones que rigen el procedimiento de contratación este se realiza por fases o etapas. Así las cosas, si bien no existe un término expreso para responder las observaciones al proyecto de pliego de condiciones, no lo es menos que existe un límite para que la entidad estatal profiera la respuesta a esas observaciones. Límite que está constituido por la promulgación del acto administrativo de apertura del proceso de selección. Esto significa que antes </w:t>
      </w:r>
      <w:r w:rsidRPr="00601A7E">
        <w:rPr>
          <w:rFonts w:ascii="Arial" w:hAnsi="Arial" w:cs="Arial"/>
          <w:color w:val="000000" w:themeColor="text1"/>
          <w:sz w:val="20"/>
          <w:szCs w:val="20"/>
        </w:rPr>
        <w:lastRenderedPageBreak/>
        <w:t>que la entidad estatal profiera dicho acto administrativo y publique el pliego de condiciones definitivo, deberá responder las observaciones presentadas al proyecto de pliego de condiciones.</w:t>
      </w:r>
    </w:p>
    <w:p w:rsidRPr="00601A7E" w:rsidR="005E1633" w:rsidP="005E1633" w:rsidRDefault="005E1633" w14:paraId="02B0BEB8" w14:textId="77777777">
      <w:pPr>
        <w:ind w:firstLine="709"/>
        <w:jc w:val="both"/>
        <w:rPr>
          <w:rFonts w:ascii="Arial" w:hAnsi="Arial" w:cs="Arial"/>
          <w:color w:val="000000" w:themeColor="text1"/>
          <w:sz w:val="20"/>
          <w:szCs w:val="20"/>
        </w:rPr>
      </w:pPr>
    </w:p>
    <w:p w:rsidRPr="00601A7E" w:rsidR="005E1633" w:rsidP="70631289" w:rsidRDefault="005E1633" w14:paraId="5191505D" w14:textId="3F9CD108">
      <w:pPr>
        <w:jc w:val="both"/>
        <w:rPr>
          <w:rFonts w:ascii="Arial" w:hAnsi="Arial" w:cs="Arial"/>
          <w:b w:val="1"/>
          <w:bCs w:val="1"/>
          <w:color w:val="000000" w:themeColor="text1"/>
          <w:sz w:val="22"/>
          <w:szCs w:val="22"/>
        </w:rPr>
      </w:pPr>
      <w:r w:rsidRPr="70631289" w:rsidR="005E1633">
        <w:rPr>
          <w:rFonts w:ascii="Arial" w:hAnsi="Arial" w:cs="Arial"/>
          <w:b w:val="1"/>
          <w:bCs w:val="1"/>
          <w:color w:val="000000" w:themeColor="text1" w:themeTint="FF" w:themeShade="FF"/>
          <w:sz w:val="22"/>
          <w:szCs w:val="22"/>
        </w:rPr>
        <w:t xml:space="preserve">OBSERVACIONES </w:t>
      </w:r>
      <w:r w:rsidRPr="70631289" w:rsidR="005E1633">
        <w:rPr>
          <w:rFonts w:ascii="Arial" w:hAnsi="Arial" w:eastAsia="Calibri" w:cs="Arial"/>
          <w:b w:val="1"/>
          <w:bCs w:val="1"/>
          <w:color w:val="000000" w:themeColor="text1" w:themeTint="FF" w:themeShade="FF"/>
          <w:sz w:val="22"/>
          <w:szCs w:val="22"/>
        </w:rPr>
        <w:t>–</w:t>
      </w:r>
      <w:r w:rsidRPr="70631289" w:rsidR="005E1633">
        <w:rPr>
          <w:rFonts w:ascii="Arial" w:hAnsi="Arial" w:cs="Arial"/>
          <w:b w:val="1"/>
          <w:bCs w:val="1"/>
          <w:color w:val="000000" w:themeColor="text1" w:themeTint="FF" w:themeShade="FF"/>
          <w:sz w:val="22"/>
          <w:szCs w:val="22"/>
        </w:rPr>
        <w:t xml:space="preserve"> Pliego de condiciones definitivo </w:t>
      </w:r>
      <w:r w:rsidRPr="70631289" w:rsidR="005E1633">
        <w:rPr>
          <w:rFonts w:ascii="Arial" w:hAnsi="Arial" w:eastAsia="Calibri" w:cs="Arial"/>
          <w:b w:val="1"/>
          <w:bCs w:val="1"/>
          <w:color w:val="000000" w:themeColor="text1" w:themeTint="FF" w:themeShade="FF"/>
          <w:sz w:val="22"/>
          <w:szCs w:val="22"/>
        </w:rPr>
        <w:t>–</w:t>
      </w:r>
      <w:r w:rsidRPr="70631289" w:rsidR="005E1633">
        <w:rPr>
          <w:rFonts w:ascii="Arial" w:hAnsi="Arial" w:cs="Arial"/>
          <w:b w:val="1"/>
          <w:bCs w:val="1"/>
          <w:color w:val="000000" w:themeColor="text1" w:themeTint="FF" w:themeShade="FF"/>
          <w:sz w:val="22"/>
          <w:szCs w:val="22"/>
        </w:rPr>
        <w:t xml:space="preserve"> Término p</w:t>
      </w:r>
      <w:r w:rsidRPr="70631289" w:rsidR="723CD690">
        <w:rPr>
          <w:rFonts w:ascii="Arial" w:hAnsi="Arial" w:cs="Arial"/>
          <w:b w:val="1"/>
          <w:bCs w:val="1"/>
          <w:color w:val="000000" w:themeColor="text1" w:themeTint="FF" w:themeShade="FF"/>
          <w:sz w:val="22"/>
          <w:szCs w:val="22"/>
        </w:rPr>
        <w:t xml:space="preserve">resentación </w:t>
      </w:r>
      <w:r w:rsidRPr="70631289" w:rsidR="006E2387">
        <w:rPr>
          <w:rFonts w:ascii="Arial" w:hAnsi="Arial" w:cs="Arial"/>
          <w:b w:val="1"/>
          <w:bCs w:val="1"/>
          <w:color w:val="000000" w:themeColor="text1" w:themeTint="FF" w:themeShade="FF"/>
          <w:sz w:val="22"/>
          <w:szCs w:val="22"/>
        </w:rPr>
        <w:t>–</w:t>
      </w:r>
      <w:r w:rsidRPr="70631289" w:rsidR="005E1633">
        <w:rPr>
          <w:rFonts w:ascii="Arial" w:hAnsi="Arial" w:cs="Arial"/>
          <w:b w:val="1"/>
          <w:bCs w:val="1"/>
          <w:color w:val="000000" w:themeColor="text1" w:themeTint="FF" w:themeShade="FF"/>
          <w:sz w:val="22"/>
          <w:szCs w:val="22"/>
        </w:rPr>
        <w:t xml:space="preserve"> Término </w:t>
      </w:r>
      <w:r w:rsidRPr="70631289" w:rsidR="7FD6EC1A">
        <w:rPr>
          <w:rFonts w:ascii="Arial" w:hAnsi="Arial" w:cs="Arial"/>
          <w:b w:val="1"/>
          <w:bCs w:val="1"/>
          <w:color w:val="000000" w:themeColor="text1" w:themeTint="FF" w:themeShade="FF"/>
          <w:sz w:val="22"/>
          <w:szCs w:val="22"/>
        </w:rPr>
        <w:t>respuesta</w:t>
      </w:r>
    </w:p>
    <w:p w:rsidRPr="00720DD9" w:rsidR="00720DD9" w:rsidP="00720DD9" w:rsidRDefault="00720DD9" w14:paraId="49BDA1DE" w14:textId="77777777">
      <w:pPr>
        <w:spacing w:before="120" w:after="120" w:line="276" w:lineRule="auto"/>
        <w:jc w:val="both"/>
        <w:rPr>
          <w:rStyle w:val="Textoennegrita"/>
          <w:rFonts w:ascii="Arial" w:hAnsi="Arial" w:cs="Arial"/>
          <w:b w:val="0"/>
          <w:bCs w:val="0"/>
          <w:color w:val="000000" w:themeColor="text1"/>
          <w:sz w:val="20"/>
          <w:szCs w:val="20"/>
        </w:rPr>
      </w:pPr>
      <w:r w:rsidRPr="00720DD9">
        <w:rPr>
          <w:rFonts w:ascii="Arial" w:hAnsi="Arial" w:cs="Arial"/>
          <w:color w:val="000000" w:themeColor="text1"/>
          <w:sz w:val="20"/>
          <w:szCs w:val="20"/>
        </w:rPr>
        <w:t>El ordenamiento jurídico no estableció un término para presentar observaciones al pliego de condiciones definitivo, salvo en la licitación pública, en una actuación muy concreta, en tanto, a solicitud de alguno de los interesados, dentro de los tres días hábiles siguientes al inicio del término para la presentación de propuestas se debe realizar una audiencia con el propósito de precisar el contenido y alcance de los pliegos de condiciones</w:t>
      </w:r>
      <w:r w:rsidRPr="00720DD9">
        <w:rPr>
          <w:rStyle w:val="Refdenotaalpie"/>
          <w:rFonts w:ascii="Arial" w:hAnsi="Arial" w:cs="Arial"/>
          <w:color w:val="000000" w:themeColor="text1"/>
          <w:sz w:val="20"/>
          <w:szCs w:val="20"/>
        </w:rPr>
        <w:footnoteReference w:id="1"/>
      </w:r>
      <w:r w:rsidRPr="00720DD9">
        <w:rPr>
          <w:rFonts w:ascii="Arial" w:hAnsi="Arial" w:cs="Arial"/>
          <w:color w:val="000000" w:themeColor="text1"/>
          <w:sz w:val="20"/>
          <w:szCs w:val="20"/>
        </w:rPr>
        <w:t xml:space="preserve">; asunto que, de conformidad con lo establecido en el artículo </w:t>
      </w:r>
      <w:r w:rsidRPr="00720DD9">
        <w:rPr>
          <w:rStyle w:val="Textoennegrita"/>
          <w:rFonts w:ascii="Arial" w:hAnsi="Arial" w:cs="Arial"/>
          <w:b w:val="0"/>
          <w:bCs w:val="0"/>
          <w:color w:val="000000" w:themeColor="text1"/>
          <w:sz w:val="20"/>
          <w:szCs w:val="20"/>
        </w:rPr>
        <w:t xml:space="preserve">2.2.1.2.1.1.2. del Decreto 1082 de 2015, se abordará y resolverá en la audiencia de asignación de riesgos de que trata el artículo 4 de la Ley 1150 de 2007. Esto significa que las observaciones o solicitudes de aclaraciones realizadas al pliego de condiciones en la audiencia de asignación de riesgos, deben resolverse por la entidad en la misma diligencia.  </w:t>
      </w:r>
    </w:p>
    <w:p w:rsidRPr="00601A7E" w:rsidR="00667C1A" w:rsidP="00B747AE" w:rsidRDefault="00667C1A" w14:paraId="2C466267" w14:textId="77777777">
      <w:pPr>
        <w:rPr>
          <w:rFonts w:ascii="Arial" w:hAnsi="Arial" w:cs="Arial"/>
          <w:sz w:val="22"/>
        </w:rPr>
      </w:pPr>
    </w:p>
    <w:p w:rsidRPr="00601A7E" w:rsidR="00B747AE" w:rsidP="00B747AE" w:rsidRDefault="00B747AE" w14:paraId="31ECA2F0" w14:textId="78DA00C7">
      <w:pPr>
        <w:jc w:val="both"/>
        <w:rPr>
          <w:rFonts w:ascii="Arial" w:hAnsi="Arial" w:eastAsia="Calibri" w:cs="Arial"/>
          <w:sz w:val="20"/>
        </w:rPr>
      </w:pPr>
      <w:r w:rsidRPr="00601A7E">
        <w:rPr>
          <w:rFonts w:ascii="Arial" w:hAnsi="Arial" w:cs="Arial"/>
          <w:sz w:val="22"/>
        </w:rPr>
        <w:t xml:space="preserve">Bogotá D.C., </w:t>
      </w:r>
      <w:r w:rsidR="00231D4F">
        <w:rPr>
          <w:rFonts w:ascii="Arial" w:hAnsi="Arial" w:cs="Arial"/>
          <w:b/>
          <w:sz w:val="22"/>
        </w:rPr>
        <w:t>30/06/2020 Hora 19:51:15s</w:t>
      </w:r>
    </w:p>
    <w:p w:rsidRPr="00601A7E" w:rsidR="00B747AE" w:rsidP="00B747AE" w:rsidRDefault="00B747AE" w14:paraId="5E33A196" w14:textId="6D0F4F92">
      <w:pPr>
        <w:jc w:val="right"/>
        <w:rPr>
          <w:rFonts w:ascii="Arial" w:hAnsi="Arial" w:cs="Arial"/>
          <w:b/>
          <w:sz w:val="22"/>
        </w:rPr>
      </w:pPr>
      <w:proofErr w:type="spellStart"/>
      <w:r w:rsidRPr="00601A7E">
        <w:rPr>
          <w:rFonts w:ascii="Arial" w:hAnsi="Arial" w:cs="Arial"/>
          <w:b/>
          <w:sz w:val="22"/>
        </w:rPr>
        <w:t>N°</w:t>
      </w:r>
      <w:proofErr w:type="spellEnd"/>
      <w:r w:rsidRPr="00601A7E">
        <w:rPr>
          <w:rFonts w:ascii="Arial" w:hAnsi="Arial" w:cs="Arial"/>
          <w:b/>
          <w:sz w:val="22"/>
        </w:rPr>
        <w:t xml:space="preserve"> Radicado: </w:t>
      </w:r>
      <w:r w:rsidR="00231D4F">
        <w:rPr>
          <w:rFonts w:ascii="Arial" w:hAnsi="Arial" w:cs="Arial"/>
          <w:b/>
          <w:sz w:val="22"/>
        </w:rPr>
        <w:t>2202013000005623</w:t>
      </w:r>
    </w:p>
    <w:p w:rsidR="004838AD" w:rsidP="00B747AE" w:rsidRDefault="004838AD" w14:paraId="213082A0" w14:textId="77777777">
      <w:pPr>
        <w:tabs>
          <w:tab w:val="left" w:pos="3374"/>
        </w:tabs>
        <w:rPr>
          <w:rFonts w:ascii="Arial" w:hAnsi="Arial" w:eastAsia="Calibri" w:cs="Arial"/>
          <w:sz w:val="22"/>
        </w:rPr>
      </w:pPr>
    </w:p>
    <w:p w:rsidRPr="00601A7E" w:rsidR="00B747AE" w:rsidP="00B747AE" w:rsidRDefault="00B747AE" w14:paraId="7DCACD82" w14:textId="3C0B866B">
      <w:pPr>
        <w:tabs>
          <w:tab w:val="left" w:pos="3374"/>
        </w:tabs>
        <w:rPr>
          <w:rFonts w:ascii="Arial" w:hAnsi="Arial" w:eastAsia="Calibri" w:cs="Arial"/>
          <w:sz w:val="22"/>
        </w:rPr>
      </w:pPr>
      <w:r w:rsidRPr="00601A7E">
        <w:rPr>
          <w:rFonts w:ascii="Arial" w:hAnsi="Arial" w:eastAsia="Calibri" w:cs="Arial"/>
          <w:sz w:val="22"/>
        </w:rPr>
        <w:tab/>
      </w:r>
    </w:p>
    <w:p w:rsidRPr="00601A7E" w:rsidR="00B747AE" w:rsidP="00B747AE" w:rsidRDefault="00B747AE" w14:paraId="683AE225" w14:textId="74B47003">
      <w:pPr>
        <w:rPr>
          <w:rFonts w:ascii="Arial" w:hAnsi="Arial" w:eastAsia="Calibri" w:cs="Arial"/>
          <w:sz w:val="22"/>
        </w:rPr>
      </w:pPr>
      <w:r w:rsidRPr="00601A7E">
        <w:rPr>
          <w:rFonts w:ascii="Arial" w:hAnsi="Arial" w:eastAsia="Calibri" w:cs="Arial"/>
          <w:sz w:val="22"/>
        </w:rPr>
        <w:t>Señor</w:t>
      </w:r>
    </w:p>
    <w:p w:rsidRPr="00601A7E" w:rsidR="00B747AE" w:rsidP="00B747AE" w:rsidRDefault="008E00CA" w14:paraId="36029144" w14:textId="1CF54DBF">
      <w:pPr>
        <w:rPr>
          <w:rFonts w:ascii="Arial" w:hAnsi="Arial" w:eastAsia="Calibri" w:cs="Arial"/>
          <w:b/>
          <w:sz w:val="22"/>
        </w:rPr>
      </w:pPr>
      <w:r w:rsidRPr="00601A7E">
        <w:rPr>
          <w:rFonts w:ascii="Arial" w:hAnsi="Arial" w:eastAsia="Calibri" w:cs="Arial"/>
          <w:b/>
          <w:sz w:val="22"/>
        </w:rPr>
        <w:t xml:space="preserve">Cristian Arengas Caro </w:t>
      </w:r>
    </w:p>
    <w:p w:rsidRPr="00601A7E" w:rsidR="00B747AE" w:rsidP="00B747AE" w:rsidRDefault="008E00CA" w14:paraId="1B8B9FCB" w14:textId="56B43717">
      <w:pPr>
        <w:rPr>
          <w:rFonts w:ascii="Arial" w:hAnsi="Arial" w:eastAsia="Calibri" w:cs="Arial"/>
          <w:sz w:val="22"/>
        </w:rPr>
      </w:pPr>
      <w:r w:rsidRPr="00601A7E">
        <w:rPr>
          <w:rFonts w:ascii="Arial" w:hAnsi="Arial" w:eastAsia="Calibri" w:cs="Arial"/>
          <w:sz w:val="22"/>
        </w:rPr>
        <w:t>Bogotá D.C</w:t>
      </w:r>
      <w:r w:rsidR="009124CF">
        <w:rPr>
          <w:rFonts w:ascii="Arial" w:hAnsi="Arial" w:eastAsia="Calibri" w:cs="Arial"/>
          <w:sz w:val="22"/>
        </w:rPr>
        <w:t>.</w:t>
      </w:r>
      <w:r w:rsidRPr="00601A7E">
        <w:rPr>
          <w:rFonts w:ascii="Arial" w:hAnsi="Arial" w:eastAsia="Calibri" w:cs="Arial"/>
          <w:sz w:val="22"/>
        </w:rPr>
        <w:t xml:space="preserve"> </w:t>
      </w:r>
    </w:p>
    <w:p w:rsidR="00345D95" w:rsidP="00B747AE" w:rsidRDefault="00345D95" w14:paraId="1951C4C1" w14:textId="5D10001A">
      <w:pPr>
        <w:rPr>
          <w:rFonts w:ascii="Arial" w:hAnsi="Arial" w:eastAsia="Calibri" w:cs="Arial"/>
          <w:sz w:val="22"/>
        </w:rPr>
      </w:pPr>
    </w:p>
    <w:p w:rsidRPr="00601A7E" w:rsidR="004838AD" w:rsidP="00B747AE" w:rsidRDefault="004838AD" w14:paraId="49E0C654" w14:textId="77777777">
      <w:pPr>
        <w:rPr>
          <w:rFonts w:ascii="Arial" w:hAnsi="Arial" w:eastAsia="Calibri" w:cs="Arial"/>
          <w:sz w:val="22"/>
        </w:rPr>
      </w:pPr>
    </w:p>
    <w:p w:rsidR="00B747AE" w:rsidP="00B747AE" w:rsidRDefault="00B747AE" w14:paraId="567DEA2A" w14:textId="28327316">
      <w:pPr>
        <w:jc w:val="center"/>
        <w:rPr>
          <w:rFonts w:ascii="Arial" w:hAnsi="Arial" w:eastAsia="Calibri" w:cs="Arial"/>
          <w:b/>
          <w:sz w:val="22"/>
        </w:rPr>
      </w:pPr>
      <w:r w:rsidRPr="00601A7E">
        <w:rPr>
          <w:rFonts w:ascii="Arial" w:hAnsi="Arial" w:eastAsia="Calibri" w:cs="Arial"/>
          <w:b/>
          <w:sz w:val="22"/>
        </w:rPr>
        <w:t xml:space="preserve">Concepto C ─ </w:t>
      </w:r>
      <w:r w:rsidRPr="00601A7E" w:rsidR="00976B10">
        <w:rPr>
          <w:rFonts w:ascii="Arial" w:hAnsi="Arial" w:eastAsia="Calibri" w:cs="Arial"/>
          <w:b/>
          <w:sz w:val="22"/>
        </w:rPr>
        <w:t>3</w:t>
      </w:r>
      <w:r w:rsidR="009036D9">
        <w:rPr>
          <w:rFonts w:ascii="Arial" w:hAnsi="Arial" w:eastAsia="Calibri" w:cs="Arial"/>
          <w:b/>
          <w:sz w:val="22"/>
        </w:rPr>
        <w:t>28</w:t>
      </w:r>
      <w:r w:rsidRPr="00601A7E">
        <w:rPr>
          <w:rFonts w:ascii="Arial" w:hAnsi="Arial" w:eastAsia="Calibri" w:cs="Arial"/>
          <w:b/>
          <w:sz w:val="22"/>
        </w:rPr>
        <w:t xml:space="preserve"> de 2020</w:t>
      </w:r>
    </w:p>
    <w:p w:rsidRPr="00601A7E" w:rsidR="004838AD" w:rsidP="00B747AE" w:rsidRDefault="004838AD" w14:paraId="3275ECFB" w14:textId="77777777">
      <w:pPr>
        <w:jc w:val="center"/>
        <w:rPr>
          <w:rFonts w:ascii="Arial" w:hAnsi="Arial" w:eastAsia="Calibri" w:cs="Arial"/>
          <w:b/>
          <w:sz w:val="22"/>
        </w:rPr>
      </w:pPr>
    </w:p>
    <w:p w:rsidRPr="00601A7E" w:rsidR="00B747AE" w:rsidP="00B747AE" w:rsidRDefault="00B747AE" w14:paraId="378D28AC" w14:textId="77777777">
      <w:pPr>
        <w:rPr>
          <w:rFonts w:ascii="Arial" w:hAnsi="Arial" w:eastAsia="Calibri" w:cs="Arial"/>
          <w:sz w:val="22"/>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601A7E" w:rsidR="00B747AE" w:rsidTr="00B747AE" w14:paraId="181DF3DC" w14:textId="77777777">
        <w:tc>
          <w:tcPr>
            <w:tcW w:w="2689" w:type="dxa"/>
            <w:hideMark/>
          </w:tcPr>
          <w:p w:rsidRPr="00601A7E" w:rsidR="00B747AE" w:rsidRDefault="00B747AE" w14:paraId="3D5E190A" w14:textId="77777777">
            <w:pPr>
              <w:rPr>
                <w:rFonts w:ascii="Arial" w:hAnsi="Arial" w:eastAsia="Calibri" w:cs="Arial"/>
                <w:sz w:val="22"/>
              </w:rPr>
            </w:pPr>
            <w:r w:rsidRPr="00601A7E">
              <w:rPr>
                <w:rFonts w:ascii="Arial" w:hAnsi="Arial" w:eastAsia="Calibri" w:cs="Arial"/>
                <w:b/>
                <w:sz w:val="22"/>
              </w:rPr>
              <w:t>Temas:</w:t>
            </w:r>
            <w:r w:rsidRPr="00601A7E">
              <w:rPr>
                <w:rFonts w:ascii="Arial" w:hAnsi="Arial" w:eastAsia="Calibri" w:cs="Arial"/>
                <w:sz w:val="22"/>
              </w:rPr>
              <w:t xml:space="preserve">           </w:t>
            </w:r>
          </w:p>
          <w:p w:rsidRPr="00601A7E" w:rsidR="00B747AE" w:rsidRDefault="00B747AE" w14:paraId="5DF36435" w14:textId="77777777">
            <w:pPr>
              <w:rPr>
                <w:rFonts w:ascii="Arial" w:hAnsi="Arial" w:eastAsia="Calibri" w:cs="Arial"/>
                <w:sz w:val="22"/>
              </w:rPr>
            </w:pPr>
            <w:r w:rsidRPr="00601A7E">
              <w:rPr>
                <w:rFonts w:ascii="Arial" w:hAnsi="Arial" w:eastAsia="Calibri" w:cs="Arial"/>
                <w:sz w:val="22"/>
              </w:rPr>
              <w:t xml:space="preserve">                           </w:t>
            </w:r>
          </w:p>
        </w:tc>
        <w:tc>
          <w:tcPr>
            <w:tcW w:w="6237" w:type="dxa"/>
            <w:hideMark/>
          </w:tcPr>
          <w:p w:rsidRPr="00A14472" w:rsidR="00A14472" w:rsidP="00A14472" w:rsidRDefault="00A14472" w14:paraId="46326410" w14:textId="77777777">
            <w:pPr>
              <w:jc w:val="both"/>
              <w:rPr>
                <w:rFonts w:ascii="Arial" w:hAnsi="Arial" w:eastAsia="Calibri" w:cs="Arial"/>
                <w:color w:val="000000" w:themeColor="text1"/>
                <w:sz w:val="20"/>
                <w:szCs w:val="20"/>
              </w:rPr>
            </w:pPr>
            <w:r w:rsidRPr="00A14472">
              <w:rPr>
                <w:rFonts w:ascii="Arial" w:hAnsi="Arial" w:eastAsia="Calibri" w:cs="Arial"/>
                <w:color w:val="000000" w:themeColor="text1"/>
                <w:sz w:val="22"/>
              </w:rPr>
              <w:t xml:space="preserve">DOCUMENTOS TIPO – Inalterabilidad – Configuración del pliego de condiciones – Alcance / </w:t>
            </w:r>
          </w:p>
          <w:p w:rsidRPr="00A14472" w:rsidR="00A14472" w:rsidP="00A14472" w:rsidRDefault="00A14472" w14:paraId="28FD0E3B" w14:textId="77777777">
            <w:pPr>
              <w:jc w:val="both"/>
              <w:rPr>
                <w:rFonts w:ascii="Arial" w:hAnsi="Arial" w:cs="Arial"/>
                <w:color w:val="000000" w:themeColor="text1"/>
                <w:sz w:val="22"/>
              </w:rPr>
            </w:pPr>
            <w:r w:rsidRPr="00A14472">
              <w:rPr>
                <w:rFonts w:ascii="Arial" w:hAnsi="Arial" w:eastAsia="Calibri" w:cs="Arial"/>
                <w:color w:val="000000" w:themeColor="text1"/>
                <w:sz w:val="22"/>
                <w:szCs w:val="22"/>
              </w:rPr>
              <w:t xml:space="preserve">RENOVACIÓN DEL RUP – Documentos Tipo – Causales de Rechazo – Literal G – Pérdida de fuerza ejecutoria – Decreto 434 de 2020 – Plazos especiales – Alcance / </w:t>
            </w:r>
            <w:r w:rsidRPr="00A14472">
              <w:rPr>
                <w:rFonts w:ascii="Arial" w:hAnsi="Arial" w:cs="Arial"/>
                <w:color w:val="000000" w:themeColor="text1"/>
                <w:sz w:val="22"/>
              </w:rPr>
              <w:t xml:space="preserve">OBSERVACIONES </w:t>
            </w:r>
            <w:r w:rsidRPr="00A14472">
              <w:rPr>
                <w:rFonts w:ascii="Arial" w:hAnsi="Arial" w:eastAsia="Calibri" w:cs="Arial"/>
                <w:color w:val="000000" w:themeColor="text1"/>
                <w:sz w:val="22"/>
              </w:rPr>
              <w:t>–</w:t>
            </w:r>
            <w:r w:rsidRPr="00A14472">
              <w:rPr>
                <w:rFonts w:ascii="Arial" w:hAnsi="Arial" w:cs="Arial"/>
                <w:color w:val="000000" w:themeColor="text1"/>
                <w:sz w:val="22"/>
              </w:rPr>
              <w:t xml:space="preserve"> Proyecto de pliego de condiciones </w:t>
            </w:r>
            <w:r w:rsidRPr="00A14472">
              <w:rPr>
                <w:rFonts w:ascii="Arial" w:hAnsi="Arial" w:eastAsia="Calibri" w:cs="Arial"/>
                <w:color w:val="000000" w:themeColor="text1"/>
                <w:sz w:val="22"/>
              </w:rPr>
              <w:t>–</w:t>
            </w:r>
            <w:r w:rsidRPr="00A14472">
              <w:rPr>
                <w:rFonts w:ascii="Arial" w:hAnsi="Arial" w:cs="Arial"/>
                <w:color w:val="000000" w:themeColor="text1"/>
                <w:sz w:val="22"/>
              </w:rPr>
              <w:t xml:space="preserve"> Término para presentarlas </w:t>
            </w:r>
            <w:r w:rsidRPr="00A14472">
              <w:rPr>
                <w:rFonts w:ascii="Arial" w:hAnsi="Arial" w:eastAsia="Calibri" w:cs="Arial"/>
                <w:color w:val="000000" w:themeColor="text1"/>
                <w:sz w:val="22"/>
              </w:rPr>
              <w:t>–</w:t>
            </w:r>
            <w:r w:rsidRPr="00A14472">
              <w:rPr>
                <w:rFonts w:ascii="Arial" w:hAnsi="Arial" w:cs="Arial"/>
                <w:color w:val="000000" w:themeColor="text1"/>
                <w:sz w:val="22"/>
              </w:rPr>
              <w:t xml:space="preserve"> Término para responderlas / OBSERVACIONES </w:t>
            </w:r>
            <w:r w:rsidRPr="00A14472">
              <w:rPr>
                <w:rFonts w:ascii="Arial" w:hAnsi="Arial" w:eastAsia="Calibri" w:cs="Arial"/>
                <w:color w:val="000000" w:themeColor="text1"/>
                <w:sz w:val="22"/>
              </w:rPr>
              <w:t>–</w:t>
            </w:r>
            <w:r w:rsidRPr="00A14472">
              <w:rPr>
                <w:rFonts w:ascii="Arial" w:hAnsi="Arial" w:cs="Arial"/>
                <w:color w:val="000000" w:themeColor="text1"/>
                <w:sz w:val="22"/>
              </w:rPr>
              <w:t xml:space="preserve"> Pliego de condiciones definitivo </w:t>
            </w:r>
            <w:r w:rsidRPr="00A14472">
              <w:rPr>
                <w:rFonts w:ascii="Arial" w:hAnsi="Arial" w:eastAsia="Calibri" w:cs="Arial"/>
                <w:color w:val="000000" w:themeColor="text1"/>
                <w:sz w:val="22"/>
              </w:rPr>
              <w:t>–</w:t>
            </w:r>
            <w:r w:rsidRPr="00A14472">
              <w:rPr>
                <w:rFonts w:ascii="Arial" w:hAnsi="Arial" w:cs="Arial"/>
                <w:color w:val="000000" w:themeColor="text1"/>
                <w:sz w:val="22"/>
              </w:rPr>
              <w:t xml:space="preserve"> Término para presentarlas – Término para responderlas</w:t>
            </w:r>
          </w:p>
          <w:p w:rsidRPr="00601A7E" w:rsidR="00A14472" w:rsidP="00A14472" w:rsidRDefault="00A14472" w14:paraId="23BC5B68" w14:textId="23485E7E">
            <w:pPr>
              <w:jc w:val="both"/>
              <w:rPr>
                <w:rFonts w:ascii="Arial" w:hAnsi="Arial" w:eastAsia="Calibri" w:cs="Arial"/>
                <w:b/>
                <w:bCs/>
                <w:color w:val="000000" w:themeColor="text1"/>
                <w:sz w:val="22"/>
              </w:rPr>
            </w:pPr>
          </w:p>
          <w:p w:rsidRPr="00601A7E" w:rsidR="00CD5AE1" w:rsidP="00CD5AE1" w:rsidRDefault="00CD5AE1" w14:paraId="0345F33C" w14:textId="1430F840">
            <w:pPr>
              <w:jc w:val="both"/>
              <w:rPr>
                <w:rFonts w:ascii="Arial" w:hAnsi="Arial" w:eastAsia="Calibri" w:cs="Arial"/>
                <w:b/>
                <w:color w:val="000000" w:themeColor="text1"/>
                <w:sz w:val="22"/>
                <w:highlight w:val="yellow"/>
              </w:rPr>
            </w:pPr>
          </w:p>
          <w:p w:rsidRPr="00601A7E" w:rsidR="00345D95" w:rsidRDefault="00345D95" w14:paraId="2352A78E" w14:textId="77777777">
            <w:pPr>
              <w:jc w:val="both"/>
              <w:rPr>
                <w:rFonts w:ascii="Arial" w:hAnsi="Arial" w:eastAsia="Calibri" w:cs="Arial"/>
                <w:sz w:val="22"/>
              </w:rPr>
            </w:pPr>
          </w:p>
          <w:p w:rsidRPr="00601A7E" w:rsidR="00722AE9" w:rsidRDefault="00722AE9" w14:paraId="5D581B58" w14:textId="5B873670">
            <w:pPr>
              <w:jc w:val="both"/>
              <w:rPr>
                <w:rFonts w:ascii="Arial" w:hAnsi="Arial" w:eastAsia="Calibri" w:cs="Arial"/>
                <w:sz w:val="22"/>
              </w:rPr>
            </w:pPr>
          </w:p>
        </w:tc>
      </w:tr>
      <w:tr w:rsidRPr="00601A7E" w:rsidR="00B747AE" w:rsidTr="00B747AE" w14:paraId="2D5E48D8" w14:textId="77777777">
        <w:tc>
          <w:tcPr>
            <w:tcW w:w="2689" w:type="dxa"/>
            <w:hideMark/>
          </w:tcPr>
          <w:p w:rsidRPr="00601A7E" w:rsidR="00B747AE" w:rsidRDefault="00B747AE" w14:paraId="5021002F" w14:textId="77777777">
            <w:pPr>
              <w:rPr>
                <w:rFonts w:ascii="Arial" w:hAnsi="Arial" w:eastAsia="Calibri" w:cs="Arial"/>
                <w:b/>
                <w:sz w:val="22"/>
              </w:rPr>
            </w:pPr>
            <w:r w:rsidRPr="00601A7E">
              <w:rPr>
                <w:rFonts w:ascii="Arial" w:hAnsi="Arial" w:eastAsia="Calibri" w:cs="Arial"/>
                <w:b/>
                <w:sz w:val="22"/>
              </w:rPr>
              <w:lastRenderedPageBreak/>
              <w:t>Radicación:</w:t>
            </w:r>
            <w:r w:rsidRPr="00601A7E">
              <w:rPr>
                <w:rFonts w:ascii="Arial" w:hAnsi="Arial" w:eastAsia="Calibri" w:cs="Arial"/>
                <w:sz w:val="22"/>
              </w:rPr>
              <w:t xml:space="preserve">                              </w:t>
            </w:r>
          </w:p>
        </w:tc>
        <w:tc>
          <w:tcPr>
            <w:tcW w:w="6237" w:type="dxa"/>
            <w:hideMark/>
          </w:tcPr>
          <w:p w:rsidRPr="00601A7E" w:rsidR="00B747AE" w:rsidRDefault="00B747AE" w14:paraId="1D10ECEF" w14:textId="2DD06331">
            <w:pPr>
              <w:jc w:val="both"/>
              <w:rPr>
                <w:rFonts w:ascii="Arial" w:hAnsi="Arial" w:eastAsia="Calibri" w:cs="Arial"/>
                <w:sz w:val="22"/>
              </w:rPr>
            </w:pPr>
            <w:r w:rsidRPr="00601A7E">
              <w:rPr>
                <w:rFonts w:ascii="Arial" w:hAnsi="Arial" w:eastAsia="Calibri" w:cs="Arial"/>
                <w:sz w:val="22"/>
              </w:rPr>
              <w:t xml:space="preserve">Respuesta a consulta # </w:t>
            </w:r>
            <w:r w:rsidRPr="00601A7E" w:rsidR="008E00CA">
              <w:rPr>
                <w:rFonts w:ascii="Arial" w:hAnsi="Arial" w:eastAsia="Calibri" w:cs="Arial"/>
                <w:sz w:val="22"/>
              </w:rPr>
              <w:t>4202013000003760</w:t>
            </w:r>
          </w:p>
        </w:tc>
      </w:tr>
    </w:tbl>
    <w:p w:rsidRPr="00601A7E" w:rsidR="00B747AE" w:rsidP="00B747AE" w:rsidRDefault="00B747AE" w14:paraId="151D4CE7" w14:textId="77777777">
      <w:pPr>
        <w:jc w:val="both"/>
        <w:rPr>
          <w:rFonts w:ascii="Arial" w:hAnsi="Arial" w:eastAsia="Calibri" w:cs="Arial"/>
          <w:sz w:val="22"/>
        </w:rPr>
      </w:pPr>
    </w:p>
    <w:p w:rsidRPr="00601A7E" w:rsidR="00B747AE" w:rsidP="00B747AE" w:rsidRDefault="00B747AE" w14:paraId="201C09DE" w14:textId="77777777">
      <w:pPr>
        <w:rPr>
          <w:rFonts w:ascii="Arial" w:hAnsi="Arial" w:eastAsia="Calibri" w:cs="Arial"/>
          <w:sz w:val="22"/>
        </w:rPr>
      </w:pPr>
    </w:p>
    <w:p w:rsidRPr="00601A7E" w:rsidR="00B747AE" w:rsidP="00B747AE" w:rsidRDefault="00B747AE" w14:paraId="6EB35C38" w14:textId="3DD8CE16">
      <w:pPr>
        <w:rPr>
          <w:rFonts w:ascii="Arial" w:hAnsi="Arial" w:eastAsia="Calibri" w:cs="Arial"/>
          <w:sz w:val="22"/>
        </w:rPr>
      </w:pPr>
      <w:r w:rsidRPr="00601A7E">
        <w:rPr>
          <w:rFonts w:ascii="Arial" w:hAnsi="Arial" w:eastAsia="Calibri" w:cs="Arial"/>
          <w:sz w:val="22"/>
        </w:rPr>
        <w:t>Estimad</w:t>
      </w:r>
      <w:r w:rsidRPr="00601A7E" w:rsidR="00345D95">
        <w:rPr>
          <w:rFonts w:ascii="Arial" w:hAnsi="Arial" w:eastAsia="Calibri" w:cs="Arial"/>
          <w:sz w:val="22"/>
        </w:rPr>
        <w:t>o</w:t>
      </w:r>
      <w:r w:rsidRPr="00601A7E">
        <w:rPr>
          <w:rFonts w:ascii="Arial" w:hAnsi="Arial" w:eastAsia="Calibri" w:cs="Arial"/>
          <w:sz w:val="22"/>
        </w:rPr>
        <w:t xml:space="preserve"> señor</w:t>
      </w:r>
      <w:r w:rsidRPr="00601A7E" w:rsidR="008E00CA">
        <w:rPr>
          <w:rFonts w:ascii="Arial" w:hAnsi="Arial" w:eastAsia="Calibri" w:cs="Arial"/>
          <w:sz w:val="22"/>
        </w:rPr>
        <w:t xml:space="preserve"> Arengas</w:t>
      </w:r>
      <w:r w:rsidRPr="00601A7E">
        <w:rPr>
          <w:rFonts w:ascii="Arial" w:hAnsi="Arial" w:eastAsia="Calibri" w:cs="Arial"/>
          <w:sz w:val="22"/>
        </w:rPr>
        <w:t>,</w:t>
      </w:r>
    </w:p>
    <w:p w:rsidRPr="00601A7E" w:rsidR="00B747AE" w:rsidP="00B747AE" w:rsidRDefault="00B747AE" w14:paraId="71E5B0A0" w14:textId="77777777">
      <w:pPr>
        <w:rPr>
          <w:rFonts w:ascii="Arial" w:hAnsi="Arial" w:eastAsia="Calibri" w:cs="Arial"/>
          <w:sz w:val="22"/>
        </w:rPr>
      </w:pPr>
    </w:p>
    <w:p w:rsidRPr="00601A7E" w:rsidR="00746C20" w:rsidP="00B747AE" w:rsidRDefault="00B747AE" w14:paraId="7EE0AAE8" w14:textId="38B5E058">
      <w:pPr>
        <w:spacing w:line="276" w:lineRule="auto"/>
        <w:ind w:right="49"/>
        <w:jc w:val="both"/>
        <w:rPr>
          <w:rFonts w:ascii="Arial" w:hAnsi="Arial" w:eastAsia="Calibri" w:cs="Arial"/>
          <w:sz w:val="22"/>
        </w:rPr>
      </w:pPr>
      <w:r w:rsidRPr="00601A7E">
        <w:rPr>
          <w:rFonts w:ascii="Arial" w:hAnsi="Arial" w:eastAsia="Calibri" w:cs="Arial"/>
          <w:sz w:val="22"/>
        </w:rPr>
        <w:t xml:space="preserve">La Agencia Nacional de Contratación Pública - Colombia Compra Eficiente responde su consulta del </w:t>
      </w:r>
      <w:r w:rsidRPr="00601A7E" w:rsidR="008E00CA">
        <w:rPr>
          <w:rFonts w:ascii="Arial" w:hAnsi="Arial" w:eastAsia="Calibri" w:cs="Arial"/>
          <w:sz w:val="22"/>
        </w:rPr>
        <w:t xml:space="preserve">16 de </w:t>
      </w:r>
      <w:r w:rsidRPr="00601A7E" w:rsidR="00582607">
        <w:rPr>
          <w:rFonts w:ascii="Arial" w:hAnsi="Arial" w:eastAsia="Calibri" w:cs="Arial"/>
          <w:sz w:val="22"/>
        </w:rPr>
        <w:t>mayo de</w:t>
      </w:r>
      <w:r w:rsidRPr="00601A7E">
        <w:rPr>
          <w:rFonts w:ascii="Arial" w:hAnsi="Arial" w:eastAsia="Calibri" w:cs="Arial"/>
          <w:sz w:val="22"/>
        </w:rPr>
        <w:t xml:space="preserve"> 2020, en ejercicio de la competencia otorgada por el numeral 8 del artículo 11 y el numeral 5 del artículo 3 del Decreto Ley 4170 de 2011. </w:t>
      </w:r>
    </w:p>
    <w:p w:rsidRPr="00601A7E" w:rsidR="00B747AE" w:rsidP="00B747AE" w:rsidRDefault="00B747AE" w14:paraId="41875152" w14:textId="77777777">
      <w:pPr>
        <w:spacing w:line="276" w:lineRule="auto"/>
        <w:jc w:val="both"/>
        <w:rPr>
          <w:rFonts w:ascii="Arial" w:hAnsi="Arial" w:eastAsia="Calibri" w:cs="Arial"/>
          <w:sz w:val="22"/>
        </w:rPr>
      </w:pPr>
    </w:p>
    <w:p w:rsidRPr="00601A7E" w:rsidR="00B747AE" w:rsidP="00B747AE" w:rsidRDefault="00B747AE" w14:paraId="7F4781B7" w14:textId="77777777">
      <w:pPr>
        <w:pStyle w:val="Prrafodelista"/>
        <w:tabs>
          <w:tab w:val="left" w:pos="284"/>
        </w:tabs>
        <w:spacing w:line="276" w:lineRule="auto"/>
        <w:ind w:left="0"/>
        <w:jc w:val="both"/>
        <w:rPr>
          <w:rFonts w:ascii="Arial" w:hAnsi="Arial" w:eastAsia="Calibri" w:cs="Arial"/>
          <w:b/>
          <w:sz w:val="22"/>
        </w:rPr>
      </w:pPr>
      <w:r w:rsidRPr="00601A7E">
        <w:rPr>
          <w:rFonts w:ascii="Arial" w:hAnsi="Arial" w:eastAsia="Calibri" w:cs="Arial"/>
          <w:b/>
          <w:sz w:val="22"/>
        </w:rPr>
        <w:t>1. Problema planteado</w:t>
      </w:r>
    </w:p>
    <w:p w:rsidRPr="00601A7E" w:rsidR="00B747AE" w:rsidP="00B747AE" w:rsidRDefault="00B747AE" w14:paraId="75483BE5" w14:textId="77777777">
      <w:pPr>
        <w:tabs>
          <w:tab w:val="left" w:pos="426"/>
        </w:tabs>
        <w:spacing w:line="276" w:lineRule="auto"/>
        <w:jc w:val="both"/>
        <w:rPr>
          <w:rFonts w:ascii="Arial" w:hAnsi="Arial" w:eastAsia="Calibri" w:cs="Arial"/>
          <w:b/>
          <w:sz w:val="22"/>
        </w:rPr>
      </w:pPr>
    </w:p>
    <w:p w:rsidRPr="00601A7E" w:rsidR="00922AC2" w:rsidP="00B747AE" w:rsidRDefault="00B747AE" w14:paraId="4E29FD74" w14:textId="1DB3450C">
      <w:pPr>
        <w:tabs>
          <w:tab w:val="left" w:pos="426"/>
        </w:tabs>
        <w:spacing w:line="276" w:lineRule="auto"/>
        <w:jc w:val="both"/>
        <w:rPr>
          <w:rFonts w:ascii="Arial" w:hAnsi="Arial" w:eastAsia="Calibri" w:cs="Arial"/>
          <w:sz w:val="22"/>
        </w:rPr>
      </w:pPr>
      <w:r w:rsidRPr="00601A7E">
        <w:rPr>
          <w:rFonts w:ascii="Arial" w:hAnsi="Arial" w:eastAsia="Calibri" w:cs="Arial"/>
          <w:sz w:val="22"/>
        </w:rPr>
        <w:t>Usted realiza la</w:t>
      </w:r>
      <w:r w:rsidRPr="00601A7E" w:rsidR="003E3981">
        <w:rPr>
          <w:rFonts w:ascii="Arial" w:hAnsi="Arial" w:eastAsia="Calibri" w:cs="Arial"/>
          <w:sz w:val="22"/>
        </w:rPr>
        <w:t xml:space="preserve">s </w:t>
      </w:r>
      <w:r w:rsidRPr="00601A7E">
        <w:rPr>
          <w:rFonts w:ascii="Arial" w:hAnsi="Arial" w:eastAsia="Calibri" w:cs="Arial"/>
          <w:sz w:val="22"/>
        </w:rPr>
        <w:t>siguiente</w:t>
      </w:r>
      <w:r w:rsidRPr="00601A7E" w:rsidR="003E3981">
        <w:rPr>
          <w:rFonts w:ascii="Arial" w:hAnsi="Arial" w:eastAsia="Calibri" w:cs="Arial"/>
          <w:sz w:val="22"/>
        </w:rPr>
        <w:t>s</w:t>
      </w:r>
      <w:r w:rsidRPr="00601A7E">
        <w:rPr>
          <w:rFonts w:ascii="Arial" w:hAnsi="Arial" w:eastAsia="Calibri" w:cs="Arial"/>
          <w:sz w:val="22"/>
        </w:rPr>
        <w:t xml:space="preserve"> pregunta</w:t>
      </w:r>
      <w:r w:rsidRPr="00601A7E" w:rsidR="003E3981">
        <w:rPr>
          <w:rFonts w:ascii="Arial" w:hAnsi="Arial" w:eastAsia="Calibri" w:cs="Arial"/>
          <w:sz w:val="22"/>
        </w:rPr>
        <w:t>s</w:t>
      </w:r>
      <w:r w:rsidRPr="00601A7E" w:rsidR="008E00CA">
        <w:rPr>
          <w:rFonts w:ascii="Arial" w:hAnsi="Arial" w:eastAsia="Calibri" w:cs="Arial"/>
          <w:sz w:val="22"/>
        </w:rPr>
        <w:t xml:space="preserve"> frente a </w:t>
      </w:r>
      <w:r w:rsidRPr="00601A7E" w:rsidR="00582607">
        <w:rPr>
          <w:rFonts w:ascii="Arial" w:hAnsi="Arial" w:eastAsia="Calibri" w:cs="Arial"/>
          <w:sz w:val="22"/>
        </w:rPr>
        <w:t>la causal</w:t>
      </w:r>
      <w:r w:rsidRPr="00601A7E" w:rsidR="008E00CA">
        <w:rPr>
          <w:rFonts w:ascii="Arial" w:hAnsi="Arial" w:eastAsia="Calibri" w:cs="Arial"/>
          <w:sz w:val="22"/>
        </w:rPr>
        <w:t xml:space="preserve"> de rechazo del literal G de los documentos </w:t>
      </w:r>
      <w:r w:rsidRPr="00601A7E" w:rsidR="00582607">
        <w:rPr>
          <w:rFonts w:ascii="Arial" w:hAnsi="Arial" w:eastAsia="Calibri" w:cs="Arial"/>
          <w:sz w:val="22"/>
        </w:rPr>
        <w:t>tipo</w:t>
      </w:r>
      <w:r w:rsidRPr="00601A7E">
        <w:rPr>
          <w:rFonts w:ascii="Arial" w:hAnsi="Arial" w:eastAsia="Calibri" w:cs="Arial"/>
          <w:sz w:val="22"/>
        </w:rPr>
        <w:t xml:space="preserve">: </w:t>
      </w:r>
      <w:r w:rsidRPr="00601A7E" w:rsidR="003E3981">
        <w:rPr>
          <w:rFonts w:ascii="Arial" w:hAnsi="Arial" w:eastAsia="Calibri" w:cs="Arial"/>
          <w:sz w:val="22"/>
        </w:rPr>
        <w:t xml:space="preserve">i) </w:t>
      </w:r>
      <w:r w:rsidRPr="00601A7E" w:rsidR="00582607">
        <w:rPr>
          <w:rFonts w:ascii="Arial" w:hAnsi="Arial" w:eastAsia="Calibri" w:cs="Arial"/>
          <w:sz w:val="22"/>
        </w:rPr>
        <w:t xml:space="preserve">¿Esta causal de rechazo se ajusta automáticamente hasta el quinto día hábil del mes de julio del 2020 de acuerdo con el Decreto 434 de 2020? </w:t>
      </w:r>
      <w:proofErr w:type="spellStart"/>
      <w:r w:rsidRPr="00601A7E" w:rsidR="00582607">
        <w:rPr>
          <w:rFonts w:ascii="Arial" w:hAnsi="Arial" w:eastAsia="Calibri" w:cs="Arial"/>
          <w:sz w:val="22"/>
        </w:rPr>
        <w:t>ii</w:t>
      </w:r>
      <w:proofErr w:type="spellEnd"/>
      <w:r w:rsidRPr="00601A7E" w:rsidR="00582607">
        <w:rPr>
          <w:rFonts w:ascii="Arial" w:hAnsi="Arial" w:eastAsia="Calibri" w:cs="Arial"/>
          <w:sz w:val="22"/>
        </w:rPr>
        <w:t>) ¿Durante el tiempo de observaciones al proyecto de pliego de condiciones, se puede solicitar a la entidad contratante de obra pública de infraestructura de transporte, que modifique dicha causal de rechazo por medio de una adenda de acuerdo con el Decreto 43</w:t>
      </w:r>
      <w:r w:rsidRPr="00601A7E" w:rsidR="00383ADB">
        <w:rPr>
          <w:rFonts w:ascii="Arial" w:hAnsi="Arial" w:eastAsia="Calibri" w:cs="Arial"/>
          <w:sz w:val="22"/>
        </w:rPr>
        <w:t>4</w:t>
      </w:r>
      <w:r w:rsidRPr="00601A7E" w:rsidR="00582607">
        <w:rPr>
          <w:rFonts w:ascii="Arial" w:hAnsi="Arial" w:eastAsia="Calibri" w:cs="Arial"/>
          <w:sz w:val="22"/>
        </w:rPr>
        <w:t xml:space="preserve"> de 2020? y </w:t>
      </w:r>
      <w:proofErr w:type="spellStart"/>
      <w:r w:rsidRPr="00601A7E" w:rsidR="00582607">
        <w:rPr>
          <w:rFonts w:ascii="Arial" w:hAnsi="Arial" w:eastAsia="Calibri" w:cs="Arial"/>
          <w:sz w:val="22"/>
        </w:rPr>
        <w:t>iii</w:t>
      </w:r>
      <w:proofErr w:type="spellEnd"/>
      <w:r w:rsidRPr="00601A7E" w:rsidR="00582607">
        <w:rPr>
          <w:rFonts w:ascii="Arial" w:hAnsi="Arial" w:eastAsia="Calibri" w:cs="Arial"/>
          <w:sz w:val="22"/>
        </w:rPr>
        <w:t>) ¿</w:t>
      </w:r>
      <w:r w:rsidRPr="00601A7E" w:rsidR="00383ADB">
        <w:rPr>
          <w:rFonts w:ascii="Arial" w:hAnsi="Arial" w:eastAsia="Calibri" w:cs="Arial"/>
          <w:sz w:val="22"/>
        </w:rPr>
        <w:t>Es posible solicitar a la entidad contratante de obra pública de infraestructura de transporte, después de vencido el plazo de presentación de observaciones al pliego de condiciones definitivo que modifique la causal de rechazo por medio de una adenda de acuerdo con el Decreto 434 de 2020?</w:t>
      </w:r>
    </w:p>
    <w:p w:rsidRPr="00601A7E" w:rsidR="00B747AE" w:rsidP="00B747AE" w:rsidRDefault="00B747AE" w14:paraId="6BF45E56" w14:textId="77777777">
      <w:pPr>
        <w:tabs>
          <w:tab w:val="left" w:pos="426"/>
        </w:tabs>
        <w:spacing w:line="276" w:lineRule="auto"/>
        <w:jc w:val="both"/>
        <w:rPr>
          <w:rFonts w:ascii="Arial" w:hAnsi="Arial" w:eastAsia="Calibri" w:cs="Arial"/>
          <w:sz w:val="22"/>
        </w:rPr>
      </w:pPr>
    </w:p>
    <w:p w:rsidRPr="00601A7E" w:rsidR="000F6BB0" w:rsidP="000F6BB0" w:rsidRDefault="00B747AE" w14:paraId="18D6E2AD" w14:textId="4386889A">
      <w:pPr>
        <w:tabs>
          <w:tab w:val="left" w:pos="426"/>
        </w:tabs>
        <w:spacing w:line="276" w:lineRule="auto"/>
        <w:jc w:val="both"/>
        <w:rPr>
          <w:rFonts w:ascii="Arial" w:hAnsi="Arial" w:eastAsia="Calibri" w:cs="Arial"/>
          <w:b/>
          <w:sz w:val="22"/>
        </w:rPr>
      </w:pPr>
      <w:r w:rsidRPr="00601A7E">
        <w:rPr>
          <w:rFonts w:ascii="Arial" w:hAnsi="Arial" w:eastAsia="Calibri" w:cs="Arial"/>
          <w:b/>
          <w:sz w:val="22"/>
        </w:rPr>
        <w:t>2. Consideraciones</w:t>
      </w:r>
    </w:p>
    <w:p w:rsidRPr="008E06C9" w:rsidR="00CC6288" w:rsidP="000F6BB0" w:rsidRDefault="00CC6288" w14:paraId="1B335DE1" w14:textId="77777777">
      <w:pPr>
        <w:tabs>
          <w:tab w:val="left" w:pos="426"/>
        </w:tabs>
        <w:spacing w:line="276" w:lineRule="auto"/>
        <w:jc w:val="both"/>
        <w:rPr>
          <w:rFonts w:ascii="Arial" w:hAnsi="Arial" w:eastAsia="Calibri" w:cs="Arial"/>
          <w:sz w:val="22"/>
        </w:rPr>
      </w:pPr>
    </w:p>
    <w:p w:rsidRPr="00601A7E" w:rsidR="00862599" w:rsidP="008E06C9" w:rsidRDefault="003F3BB6" w14:paraId="4A7721D1" w14:textId="56C35ED5">
      <w:pPr>
        <w:tabs>
          <w:tab w:val="left" w:pos="426"/>
        </w:tabs>
        <w:spacing w:line="276" w:lineRule="auto"/>
        <w:jc w:val="both"/>
        <w:rPr>
          <w:rFonts w:ascii="Arial" w:hAnsi="Arial" w:eastAsia="Calibri" w:cs="Arial"/>
          <w:bCs/>
          <w:color w:val="000000" w:themeColor="text1"/>
          <w:sz w:val="22"/>
        </w:rPr>
      </w:pPr>
      <w:r w:rsidRPr="008E06C9">
        <w:rPr>
          <w:rFonts w:ascii="Arial" w:hAnsi="Arial" w:eastAsia="Calibri" w:cs="Arial"/>
          <w:sz w:val="22"/>
        </w:rPr>
        <w:t>Pa</w:t>
      </w:r>
      <w:r w:rsidRPr="00601A7E">
        <w:rPr>
          <w:rFonts w:ascii="Arial" w:hAnsi="Arial" w:cs="Arial"/>
          <w:bCs/>
          <w:color w:val="000000" w:themeColor="text1"/>
          <w:sz w:val="22"/>
        </w:rPr>
        <w:t xml:space="preserve">ra resolver esta consulta se hará un análisis de los siguientes temas: i) </w:t>
      </w:r>
      <w:r w:rsidRPr="00601A7E" w:rsidR="00862599">
        <w:rPr>
          <w:rFonts w:ascii="Arial" w:hAnsi="Arial" w:cs="Arial"/>
          <w:bCs/>
          <w:color w:val="000000" w:themeColor="text1"/>
          <w:sz w:val="22"/>
        </w:rPr>
        <w:t xml:space="preserve">Inalterabilidad de los documentos tipo, </w:t>
      </w:r>
      <w:r w:rsidRPr="00601A7E">
        <w:rPr>
          <w:rFonts w:ascii="Arial" w:hAnsi="Arial" w:cs="Arial"/>
          <w:bCs/>
          <w:color w:val="000000" w:themeColor="text1"/>
          <w:sz w:val="22"/>
        </w:rPr>
        <w:t xml:space="preserve"> </w:t>
      </w:r>
      <w:proofErr w:type="spellStart"/>
      <w:r w:rsidRPr="00601A7E">
        <w:rPr>
          <w:rFonts w:ascii="Arial" w:hAnsi="Arial" w:cs="Arial"/>
          <w:bCs/>
          <w:color w:val="000000" w:themeColor="text1"/>
          <w:sz w:val="22"/>
        </w:rPr>
        <w:t>ii</w:t>
      </w:r>
      <w:proofErr w:type="spellEnd"/>
      <w:r w:rsidRPr="00601A7E">
        <w:rPr>
          <w:rFonts w:ascii="Arial" w:hAnsi="Arial" w:cs="Arial"/>
          <w:bCs/>
          <w:color w:val="000000" w:themeColor="text1"/>
          <w:sz w:val="22"/>
        </w:rPr>
        <w:t xml:space="preserve">) </w:t>
      </w:r>
      <w:r w:rsidRPr="00601A7E" w:rsidR="00862599">
        <w:rPr>
          <w:rFonts w:ascii="Arial" w:hAnsi="Arial" w:cs="Arial"/>
          <w:bCs/>
          <w:color w:val="000000" w:themeColor="text1"/>
          <w:sz w:val="22"/>
        </w:rPr>
        <w:t xml:space="preserve">Ampliación del plazo para renovar el Registro Único de Proponentes </w:t>
      </w:r>
      <w:r w:rsidR="006E2387">
        <w:rPr>
          <w:rFonts w:ascii="Arial" w:hAnsi="Arial" w:cs="Arial"/>
          <w:bCs/>
          <w:color w:val="000000" w:themeColor="text1"/>
          <w:sz w:val="22"/>
        </w:rPr>
        <w:t>–</w:t>
      </w:r>
      <w:r w:rsidRPr="00601A7E" w:rsidR="00862599">
        <w:rPr>
          <w:rFonts w:ascii="Arial" w:hAnsi="Arial" w:cs="Arial"/>
          <w:bCs/>
          <w:color w:val="000000" w:themeColor="text1"/>
          <w:sz w:val="22"/>
        </w:rPr>
        <w:t>RUP</w:t>
      </w:r>
      <w:r w:rsidR="006E2387">
        <w:rPr>
          <w:rFonts w:ascii="Arial" w:hAnsi="Arial" w:cs="Arial"/>
          <w:bCs/>
          <w:color w:val="000000" w:themeColor="text1"/>
          <w:sz w:val="22"/>
        </w:rPr>
        <w:t>–</w:t>
      </w:r>
      <w:r w:rsidRPr="00601A7E" w:rsidR="00862599">
        <w:rPr>
          <w:rFonts w:ascii="Arial" w:hAnsi="Arial" w:cs="Arial"/>
          <w:bCs/>
          <w:color w:val="000000" w:themeColor="text1"/>
          <w:sz w:val="22"/>
        </w:rPr>
        <w:t xml:space="preserve"> con el fin de mitigar los efectos económicos y la propagación del Coronavirus COVID-19,</w:t>
      </w:r>
      <w:r w:rsidR="006E2387">
        <w:rPr>
          <w:rFonts w:ascii="Arial" w:hAnsi="Arial" w:cs="Arial"/>
          <w:bCs/>
          <w:color w:val="000000" w:themeColor="text1"/>
          <w:sz w:val="22"/>
        </w:rPr>
        <w:t xml:space="preserve"> en virtud del</w:t>
      </w:r>
      <w:r w:rsidRPr="00601A7E" w:rsidR="00862599">
        <w:rPr>
          <w:rFonts w:ascii="Arial" w:hAnsi="Arial" w:cs="Arial"/>
          <w:bCs/>
          <w:color w:val="000000" w:themeColor="text1"/>
          <w:sz w:val="22"/>
        </w:rPr>
        <w:t xml:space="preserve"> Decreto 434 de 2020, </w:t>
      </w:r>
      <w:r w:rsidRPr="00601A7E">
        <w:rPr>
          <w:rFonts w:ascii="Arial" w:hAnsi="Arial" w:cs="Arial"/>
          <w:bCs/>
          <w:color w:val="000000" w:themeColor="text1"/>
          <w:sz w:val="22"/>
        </w:rPr>
        <w:t xml:space="preserve"> </w:t>
      </w:r>
      <w:proofErr w:type="spellStart"/>
      <w:r w:rsidRPr="00601A7E">
        <w:rPr>
          <w:rFonts w:ascii="Arial" w:hAnsi="Arial" w:cs="Arial"/>
          <w:bCs/>
          <w:color w:val="000000" w:themeColor="text1"/>
          <w:sz w:val="22"/>
        </w:rPr>
        <w:t>iii</w:t>
      </w:r>
      <w:proofErr w:type="spellEnd"/>
      <w:r w:rsidRPr="00601A7E">
        <w:rPr>
          <w:rFonts w:ascii="Arial" w:hAnsi="Arial" w:cs="Arial"/>
          <w:bCs/>
          <w:color w:val="000000" w:themeColor="text1"/>
          <w:sz w:val="22"/>
        </w:rPr>
        <w:t xml:space="preserve">) </w:t>
      </w:r>
      <w:r w:rsidRPr="00601A7E" w:rsidR="00862599">
        <w:rPr>
          <w:rFonts w:ascii="Arial" w:hAnsi="Arial" w:eastAsia="Calibri" w:cs="Arial"/>
          <w:bCs/>
          <w:color w:val="000000" w:themeColor="text1"/>
          <w:sz w:val="22"/>
        </w:rPr>
        <w:t>Causal de rechazo del literal G, de los documentos tipo para licitación de obra pública de infraestructura de transporte</w:t>
      </w:r>
      <w:r w:rsidR="006E2387">
        <w:rPr>
          <w:rFonts w:ascii="Arial" w:hAnsi="Arial" w:eastAsia="Calibri" w:cs="Arial"/>
          <w:bCs/>
          <w:color w:val="000000" w:themeColor="text1"/>
          <w:sz w:val="22"/>
        </w:rPr>
        <w:t>,</w:t>
      </w:r>
      <w:r w:rsidRPr="00601A7E" w:rsidR="00862599">
        <w:rPr>
          <w:rFonts w:ascii="Arial" w:hAnsi="Arial" w:eastAsia="Calibri" w:cs="Arial"/>
          <w:bCs/>
          <w:color w:val="000000" w:themeColor="text1"/>
          <w:sz w:val="22"/>
        </w:rPr>
        <w:t xml:space="preserve"> conforme al Decreto 434 de 2020 y </w:t>
      </w:r>
      <w:proofErr w:type="spellStart"/>
      <w:r w:rsidRPr="00601A7E" w:rsidR="00862599">
        <w:rPr>
          <w:rFonts w:ascii="Arial" w:hAnsi="Arial" w:eastAsia="Calibri" w:cs="Arial"/>
          <w:bCs/>
          <w:color w:val="000000" w:themeColor="text1"/>
          <w:sz w:val="22"/>
        </w:rPr>
        <w:t>iv</w:t>
      </w:r>
      <w:proofErr w:type="spellEnd"/>
      <w:r w:rsidRPr="00601A7E" w:rsidR="00862599">
        <w:rPr>
          <w:rFonts w:ascii="Arial" w:hAnsi="Arial" w:eastAsia="Calibri" w:cs="Arial"/>
          <w:bCs/>
          <w:color w:val="000000" w:themeColor="text1"/>
          <w:sz w:val="22"/>
        </w:rPr>
        <w:t xml:space="preserve">) </w:t>
      </w:r>
      <w:r w:rsidRPr="00601A7E" w:rsidR="006A59D1">
        <w:rPr>
          <w:rFonts w:ascii="Arial" w:hAnsi="Arial" w:eastAsia="Calibri" w:cs="Arial"/>
          <w:bCs/>
          <w:color w:val="000000" w:themeColor="text1"/>
          <w:sz w:val="22"/>
        </w:rPr>
        <w:t>el p</w:t>
      </w:r>
      <w:r w:rsidRPr="00601A7E" w:rsidR="00862599">
        <w:rPr>
          <w:rFonts w:ascii="Arial" w:hAnsi="Arial" w:eastAsia="Calibri" w:cs="Arial"/>
          <w:bCs/>
          <w:color w:val="000000" w:themeColor="text1"/>
          <w:sz w:val="22"/>
        </w:rPr>
        <w:t xml:space="preserve">lazo para </w:t>
      </w:r>
      <w:r w:rsidRPr="00601A7E" w:rsidR="00CC6288">
        <w:rPr>
          <w:rFonts w:ascii="Arial" w:hAnsi="Arial" w:eastAsia="Calibri" w:cs="Arial"/>
          <w:bCs/>
          <w:color w:val="000000" w:themeColor="text1"/>
          <w:sz w:val="22"/>
        </w:rPr>
        <w:t>p</w:t>
      </w:r>
      <w:r w:rsidRPr="00601A7E" w:rsidR="00862599">
        <w:rPr>
          <w:rFonts w:ascii="Arial" w:hAnsi="Arial" w:eastAsia="Calibri" w:cs="Arial"/>
          <w:bCs/>
          <w:color w:val="000000" w:themeColor="text1"/>
          <w:sz w:val="22"/>
        </w:rPr>
        <w:t xml:space="preserve">resentar y </w:t>
      </w:r>
      <w:r w:rsidR="006E2387">
        <w:rPr>
          <w:rFonts w:ascii="Arial" w:hAnsi="Arial" w:eastAsia="Calibri" w:cs="Arial"/>
          <w:bCs/>
          <w:color w:val="000000" w:themeColor="text1"/>
          <w:sz w:val="22"/>
        </w:rPr>
        <w:t>r</w:t>
      </w:r>
      <w:r w:rsidRPr="00601A7E" w:rsidR="00862599">
        <w:rPr>
          <w:rFonts w:ascii="Arial" w:hAnsi="Arial" w:eastAsia="Calibri" w:cs="Arial"/>
          <w:bCs/>
          <w:color w:val="000000" w:themeColor="text1"/>
          <w:sz w:val="22"/>
        </w:rPr>
        <w:t xml:space="preserve">esolver las </w:t>
      </w:r>
      <w:r w:rsidRPr="00601A7E" w:rsidR="00CC6288">
        <w:rPr>
          <w:rFonts w:ascii="Arial" w:hAnsi="Arial" w:eastAsia="Calibri" w:cs="Arial"/>
          <w:bCs/>
          <w:color w:val="000000" w:themeColor="text1"/>
          <w:sz w:val="22"/>
        </w:rPr>
        <w:t>o</w:t>
      </w:r>
      <w:r w:rsidRPr="00601A7E" w:rsidR="00862599">
        <w:rPr>
          <w:rFonts w:ascii="Arial" w:hAnsi="Arial" w:eastAsia="Calibri" w:cs="Arial"/>
          <w:bCs/>
          <w:color w:val="000000" w:themeColor="text1"/>
          <w:sz w:val="22"/>
        </w:rPr>
        <w:t>bservaciones</w:t>
      </w:r>
      <w:r w:rsidRPr="00601A7E" w:rsidR="006A59D1">
        <w:rPr>
          <w:rFonts w:ascii="Arial" w:hAnsi="Arial" w:eastAsia="Calibri" w:cs="Arial"/>
          <w:bCs/>
          <w:color w:val="000000" w:themeColor="text1"/>
          <w:sz w:val="22"/>
        </w:rPr>
        <w:t xml:space="preserve"> al proyecto </w:t>
      </w:r>
      <w:r w:rsidRPr="00601A7E" w:rsidR="00CC6288">
        <w:rPr>
          <w:rFonts w:ascii="Arial" w:hAnsi="Arial" w:eastAsia="Calibri" w:cs="Arial"/>
          <w:bCs/>
          <w:color w:val="000000" w:themeColor="text1"/>
          <w:sz w:val="22"/>
        </w:rPr>
        <w:t xml:space="preserve">de pliego de condiciones y pliego de condiciones definitivo. </w:t>
      </w:r>
    </w:p>
    <w:p w:rsidR="00862599" w:rsidP="00746C20" w:rsidRDefault="00AC7399" w14:paraId="10640AC6" w14:textId="09FA170D">
      <w:pPr>
        <w:spacing w:before="120" w:after="120" w:line="276" w:lineRule="auto"/>
        <w:ind w:firstLine="709"/>
        <w:jc w:val="both"/>
        <w:rPr>
          <w:rFonts w:ascii="Arial" w:hAnsi="Arial" w:eastAsia="Calibri" w:cs="Arial"/>
          <w:color w:val="000000" w:themeColor="text1"/>
          <w:sz w:val="22"/>
        </w:rPr>
      </w:pPr>
      <w:r w:rsidRPr="00601A7E">
        <w:rPr>
          <w:rFonts w:ascii="Arial" w:hAnsi="Arial" w:eastAsia="Calibri" w:cs="Arial"/>
          <w:bCs/>
          <w:color w:val="000000" w:themeColor="text1"/>
          <w:sz w:val="22"/>
        </w:rPr>
        <w:t>La Agencia</w:t>
      </w:r>
      <w:r w:rsidRPr="00601A7E">
        <w:rPr>
          <w:rFonts w:ascii="Arial" w:hAnsi="Arial" w:cs="Arial"/>
          <w:color w:val="000000" w:themeColor="text1"/>
          <w:sz w:val="22"/>
        </w:rPr>
        <w:t xml:space="preserve"> Nacional de Contratación Pública </w:t>
      </w:r>
      <w:r w:rsidR="006E2387">
        <w:rPr>
          <w:rFonts w:ascii="Arial" w:hAnsi="Arial" w:cs="Arial"/>
          <w:color w:val="000000" w:themeColor="text1"/>
          <w:sz w:val="22"/>
        </w:rPr>
        <w:t xml:space="preserve">– </w:t>
      </w:r>
      <w:r w:rsidRPr="00601A7E">
        <w:rPr>
          <w:rFonts w:ascii="Arial" w:hAnsi="Arial" w:cs="Arial"/>
          <w:color w:val="000000" w:themeColor="text1"/>
          <w:sz w:val="22"/>
        </w:rPr>
        <w:t>Colombia Compra Eficiente</w:t>
      </w:r>
      <w:r w:rsidRPr="00601A7E">
        <w:rPr>
          <w:rFonts w:ascii="Arial" w:hAnsi="Arial" w:eastAsia="Calibri" w:cs="Arial"/>
          <w:color w:val="000000" w:themeColor="text1"/>
          <w:sz w:val="22"/>
        </w:rPr>
        <w:t xml:space="preserve"> </w:t>
      </w:r>
      <w:r w:rsidRPr="00601A7E" w:rsidR="002B193C">
        <w:rPr>
          <w:rFonts w:ascii="Arial" w:hAnsi="Arial" w:eastAsia="Calibri" w:cs="Arial"/>
          <w:color w:val="000000" w:themeColor="text1"/>
          <w:sz w:val="22"/>
        </w:rPr>
        <w:t xml:space="preserve">mediante concepto C – 242 de 2020, se pronunció sobre la inalterabilidad de los </w:t>
      </w:r>
      <w:r w:rsidRPr="00601A7E" w:rsidR="0018572B">
        <w:rPr>
          <w:rFonts w:ascii="Arial" w:hAnsi="Arial" w:eastAsia="Calibri" w:cs="Arial"/>
          <w:color w:val="000000" w:themeColor="text1"/>
          <w:sz w:val="22"/>
        </w:rPr>
        <w:t xml:space="preserve">documentos </w:t>
      </w:r>
      <w:r w:rsidRPr="00601A7E" w:rsidR="006E318E">
        <w:rPr>
          <w:rFonts w:ascii="Arial" w:hAnsi="Arial" w:eastAsia="Calibri" w:cs="Arial"/>
          <w:color w:val="000000" w:themeColor="text1"/>
          <w:sz w:val="22"/>
        </w:rPr>
        <w:t xml:space="preserve">tipo. </w:t>
      </w:r>
      <w:r w:rsidR="006E2387">
        <w:rPr>
          <w:rFonts w:ascii="Arial" w:hAnsi="Arial" w:eastAsia="Calibri" w:cs="Arial"/>
          <w:color w:val="000000" w:themeColor="text1"/>
          <w:sz w:val="22"/>
        </w:rPr>
        <w:t>La t</w:t>
      </w:r>
      <w:r w:rsidRPr="00601A7E">
        <w:rPr>
          <w:rFonts w:ascii="Arial" w:hAnsi="Arial" w:eastAsia="Calibri" w:cs="Arial"/>
          <w:color w:val="000000" w:themeColor="text1"/>
          <w:sz w:val="22"/>
        </w:rPr>
        <w:t>esis desarrollada se expon</w:t>
      </w:r>
      <w:r w:rsidR="006E2387">
        <w:rPr>
          <w:rFonts w:ascii="Arial" w:hAnsi="Arial" w:eastAsia="Calibri" w:cs="Arial"/>
          <w:color w:val="000000" w:themeColor="text1"/>
          <w:sz w:val="22"/>
        </w:rPr>
        <w:t>e</w:t>
      </w:r>
      <w:r w:rsidRPr="00601A7E">
        <w:rPr>
          <w:rFonts w:ascii="Arial" w:hAnsi="Arial" w:eastAsia="Calibri" w:cs="Arial"/>
          <w:color w:val="000000" w:themeColor="text1"/>
          <w:sz w:val="22"/>
        </w:rPr>
        <w:t xml:space="preserve"> a continuación</w:t>
      </w:r>
      <w:r w:rsidR="006E2387">
        <w:rPr>
          <w:rFonts w:ascii="Arial" w:hAnsi="Arial" w:eastAsia="Calibri" w:cs="Arial"/>
          <w:color w:val="000000" w:themeColor="text1"/>
          <w:sz w:val="22"/>
        </w:rPr>
        <w:t>.</w:t>
      </w:r>
      <w:r w:rsidRPr="00601A7E">
        <w:rPr>
          <w:rFonts w:ascii="Arial" w:hAnsi="Arial" w:eastAsia="Calibri" w:cs="Arial"/>
          <w:color w:val="000000" w:themeColor="text1"/>
          <w:sz w:val="22"/>
        </w:rPr>
        <w:t xml:space="preserve"> </w:t>
      </w:r>
    </w:p>
    <w:p w:rsidRPr="00601A7E" w:rsidR="00202203" w:rsidP="00A14472" w:rsidRDefault="00202203" w14:paraId="41F4544E" w14:textId="77777777">
      <w:pPr>
        <w:spacing w:line="276" w:lineRule="auto"/>
        <w:ind w:firstLine="709"/>
        <w:jc w:val="both"/>
        <w:rPr>
          <w:rFonts w:ascii="Arial" w:hAnsi="Arial" w:eastAsia="Calibri" w:cs="Arial"/>
          <w:color w:val="000000" w:themeColor="text1"/>
          <w:sz w:val="22"/>
        </w:rPr>
      </w:pPr>
    </w:p>
    <w:p w:rsidRPr="00601A7E" w:rsidR="002B193C" w:rsidP="002B193C" w:rsidRDefault="002B193C" w14:paraId="70A3B646" w14:textId="5B40690C">
      <w:pPr>
        <w:tabs>
          <w:tab w:val="left" w:pos="426"/>
        </w:tabs>
        <w:spacing w:line="276" w:lineRule="auto"/>
        <w:jc w:val="both"/>
        <w:rPr>
          <w:rFonts w:ascii="Arial" w:hAnsi="Arial" w:eastAsia="Calibri" w:cs="Arial"/>
          <w:b/>
          <w:color w:val="000000" w:themeColor="text1"/>
          <w:sz w:val="22"/>
        </w:rPr>
      </w:pPr>
      <w:r w:rsidRPr="00601A7E">
        <w:rPr>
          <w:rFonts w:ascii="Arial" w:hAnsi="Arial" w:eastAsia="Calibri" w:cs="Arial"/>
          <w:b/>
          <w:color w:val="000000" w:themeColor="text1"/>
          <w:sz w:val="22"/>
        </w:rPr>
        <w:t>2.</w:t>
      </w:r>
      <w:r w:rsidRPr="00601A7E" w:rsidR="00D77580">
        <w:rPr>
          <w:rFonts w:ascii="Arial" w:hAnsi="Arial" w:eastAsia="Calibri" w:cs="Arial"/>
          <w:b/>
          <w:color w:val="000000" w:themeColor="text1"/>
          <w:sz w:val="22"/>
        </w:rPr>
        <w:t xml:space="preserve">1. </w:t>
      </w:r>
      <w:r w:rsidRPr="00601A7E">
        <w:rPr>
          <w:rFonts w:ascii="Arial" w:hAnsi="Arial" w:eastAsia="Calibri" w:cs="Arial"/>
          <w:b/>
          <w:color w:val="000000" w:themeColor="text1"/>
          <w:sz w:val="22"/>
        </w:rPr>
        <w:t>Documentos tipo para licitación de obra pública de infraestructura de transporte: inalterabilidad por parte de las entidades estatales al configurar el pliego de condiciones</w:t>
      </w:r>
    </w:p>
    <w:p w:rsidRPr="00601A7E" w:rsidR="002B193C" w:rsidP="002B193C" w:rsidRDefault="002B193C" w14:paraId="53948467" w14:textId="77777777">
      <w:pPr>
        <w:spacing w:line="276" w:lineRule="auto"/>
        <w:jc w:val="both"/>
        <w:rPr>
          <w:rFonts w:ascii="Arial" w:hAnsi="Arial" w:eastAsia="Calibri" w:cs="Arial"/>
          <w:color w:val="000000" w:themeColor="text1"/>
          <w:sz w:val="22"/>
        </w:rPr>
      </w:pPr>
    </w:p>
    <w:p w:rsidRPr="00601A7E" w:rsidR="002B193C" w:rsidP="002B193C" w:rsidRDefault="002B193C" w14:paraId="03A84FB1" w14:textId="77777777">
      <w:pPr>
        <w:spacing w:line="276" w:lineRule="auto"/>
        <w:jc w:val="both"/>
        <w:rPr>
          <w:rFonts w:ascii="Arial" w:hAnsi="Arial" w:eastAsia="Calibri" w:cs="Arial"/>
          <w:bCs/>
          <w:color w:val="000000" w:themeColor="text1"/>
          <w:sz w:val="22"/>
        </w:rPr>
      </w:pPr>
      <w:r w:rsidRPr="00601A7E">
        <w:rPr>
          <w:rFonts w:ascii="Arial" w:hAnsi="Arial" w:eastAsia="Calibri" w:cs="Arial"/>
          <w:bCs/>
          <w:color w:val="000000" w:themeColor="text1"/>
          <w:sz w:val="22"/>
        </w:rPr>
        <w:lastRenderedPageBreak/>
        <w:t xml:space="preserve">El artículo 4 de la Ley 1882 de 2018 establece que corresponde al Gobierno Nacional adoptar los «documentos tipo para los pliegos de condiciones de los procesos de selección de obras públicas» y que estos «deberán ser utilizados por todas las entidades sometidas al Estatuto General de la Contratación de la Administración Pública en los procesos de selección que adelanten». </w:t>
      </w:r>
    </w:p>
    <w:p w:rsidRPr="00601A7E" w:rsidR="002B193C" w:rsidP="002B193C" w:rsidRDefault="002B193C" w14:paraId="6B05FED5" w14:textId="77777777">
      <w:pPr>
        <w:spacing w:before="120" w:after="120" w:line="276" w:lineRule="auto"/>
        <w:ind w:firstLine="709"/>
        <w:jc w:val="both"/>
        <w:rPr>
          <w:rFonts w:ascii="Arial" w:hAnsi="Arial" w:eastAsia="Calibri" w:cs="Arial"/>
          <w:bCs/>
          <w:color w:val="000000" w:themeColor="text1"/>
          <w:sz w:val="22"/>
        </w:rPr>
      </w:pPr>
      <w:r w:rsidRPr="00601A7E">
        <w:rPr>
          <w:rFonts w:ascii="Arial" w:hAnsi="Arial" w:eastAsia="Calibri" w:cs="Arial"/>
          <w:bCs/>
          <w:color w:val="000000" w:themeColor="text1"/>
          <w:sz w:val="22"/>
        </w:rPr>
        <w:t>Adicionalmente, señala frente a su contenido que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 teniendo en cuenta la naturaleza y la cuantía de los contratos».</w:t>
      </w:r>
    </w:p>
    <w:p w:rsidRPr="00601A7E" w:rsidR="002B193C" w:rsidP="002B193C" w:rsidRDefault="002B193C" w14:paraId="600E20CC" w14:textId="77777777">
      <w:pPr>
        <w:spacing w:before="120" w:after="120" w:line="276" w:lineRule="auto"/>
        <w:ind w:firstLine="709"/>
        <w:jc w:val="both"/>
        <w:rPr>
          <w:rFonts w:ascii="Arial" w:hAnsi="Arial" w:eastAsia="Calibri" w:cs="Arial"/>
          <w:bCs/>
          <w:color w:val="000000" w:themeColor="text1"/>
          <w:sz w:val="22"/>
        </w:rPr>
      </w:pPr>
      <w:r w:rsidRPr="00601A7E">
        <w:rPr>
          <w:rFonts w:ascii="Arial" w:hAnsi="Arial" w:eastAsia="Calibri" w:cs="Arial"/>
          <w:bCs/>
          <w:color w:val="000000" w:themeColor="text1"/>
          <w:sz w:val="22"/>
        </w:rPr>
        <w:t xml:space="preserve">Conforme a lo anterior, el Gobierno Nacional adoptó los Documentos Tipo para los pliegos de condiciones de los procesos de selección de licitación de obra pública de infraestructura de transporte mediante la expedición del Decreto 342 de 2019, el cual adiciona el Decreto 1082 de 2015. </w:t>
      </w:r>
    </w:p>
    <w:p w:rsidRPr="00601A7E" w:rsidR="002B193C" w:rsidP="002B193C" w:rsidRDefault="002B193C" w14:paraId="190D0FD9" w14:textId="3EA92849">
      <w:pPr>
        <w:spacing w:before="120" w:after="120" w:line="276" w:lineRule="auto"/>
        <w:ind w:firstLine="709"/>
        <w:jc w:val="both"/>
        <w:rPr>
          <w:rFonts w:ascii="Arial" w:hAnsi="Arial" w:eastAsia="Calibri" w:cs="Arial"/>
          <w:bCs/>
          <w:color w:val="000000" w:themeColor="text1"/>
          <w:sz w:val="22"/>
        </w:rPr>
      </w:pPr>
      <w:r w:rsidRPr="00601A7E">
        <w:rPr>
          <w:rFonts w:ascii="Arial" w:hAnsi="Arial" w:eastAsia="Calibri" w:cs="Arial"/>
          <w:bCs/>
          <w:color w:val="000000" w:themeColor="text1"/>
          <w:sz w:val="22"/>
        </w:rPr>
        <w:t xml:space="preserve">Con el fin de establecer cuáles son los Documentos Tipo que están sujetos a esta disposición, el artículo 2.2.1.2.6.1.2. estableció un listado que determina el alcance de los documentos. Por su parte, el artículo 2.2.1.2.6.1.3. dispone </w:t>
      </w:r>
      <w:r w:rsidRPr="00601A7E" w:rsidR="00601A7E">
        <w:rPr>
          <w:rFonts w:ascii="Arial" w:hAnsi="Arial" w:eastAsia="Calibri" w:cs="Arial"/>
          <w:bCs/>
          <w:color w:val="000000" w:themeColor="text1"/>
          <w:sz w:val="22"/>
        </w:rPr>
        <w:t>que,</w:t>
      </w:r>
      <w:r w:rsidRPr="00601A7E">
        <w:rPr>
          <w:rFonts w:ascii="Arial" w:hAnsi="Arial" w:eastAsia="Calibri" w:cs="Arial"/>
          <w:bCs/>
          <w:color w:val="000000" w:themeColor="text1"/>
          <w:sz w:val="22"/>
        </w:rPr>
        <w:t xml:space="preserve"> en el desarrollo e implementación de los documentos señalados, la Agencia Nacional de Contratación Pública – Colombia Compra Eficiente, en coordinación con el Departamento Nacional de Planeación (DNP) y el Ministerio de Transporte, debe «Implementar formatos, anexos, matrices o formularios necesarios para la presentación de las ofertas y descripción del proceso de contratación». </w:t>
      </w:r>
    </w:p>
    <w:p w:rsidRPr="00601A7E" w:rsidR="002B193C" w:rsidP="002B193C" w:rsidRDefault="002B193C" w14:paraId="2525B43A" w14:textId="77777777">
      <w:pPr>
        <w:spacing w:before="120" w:after="120" w:line="276" w:lineRule="auto"/>
        <w:ind w:firstLine="709"/>
        <w:jc w:val="both"/>
        <w:rPr>
          <w:rFonts w:ascii="Arial" w:hAnsi="Arial" w:eastAsia="Calibri" w:cs="Arial"/>
          <w:bCs/>
          <w:color w:val="000000" w:themeColor="text1"/>
          <w:sz w:val="22"/>
        </w:rPr>
      </w:pPr>
      <w:r w:rsidRPr="00601A7E">
        <w:rPr>
          <w:rFonts w:ascii="Arial" w:hAnsi="Arial" w:eastAsia="Calibri" w:cs="Arial"/>
          <w:bCs/>
          <w:color w:val="000000" w:themeColor="text1"/>
          <w:sz w:val="22"/>
        </w:rPr>
        <w:t xml:space="preserve">En cumplimiento de este mandato, la Resolución No. 1798 del 1 de abril de 2019, expedida por la Agencia Nacional de Contratación Pública – Colombia Compra Eficiente, implementó y desarrolló los documentos tipo aplicables a los procesos de licitación de obra pública de infraestructura de transporte, en su versión 1. </w:t>
      </w:r>
    </w:p>
    <w:p w:rsidRPr="00601A7E" w:rsidR="002B193C" w:rsidP="002B193C" w:rsidRDefault="002B193C" w14:paraId="327FD7FC" w14:textId="77777777">
      <w:pPr>
        <w:spacing w:before="120" w:after="120" w:line="276" w:lineRule="auto"/>
        <w:ind w:firstLine="709"/>
        <w:jc w:val="both"/>
        <w:rPr>
          <w:rFonts w:ascii="Arial" w:hAnsi="Arial" w:eastAsia="Calibri" w:cs="Arial"/>
          <w:bCs/>
          <w:color w:val="000000" w:themeColor="text1"/>
          <w:sz w:val="22"/>
        </w:rPr>
      </w:pPr>
      <w:r w:rsidRPr="00601A7E">
        <w:rPr>
          <w:rFonts w:ascii="Arial" w:hAnsi="Arial" w:eastAsia="Calibri" w:cs="Arial"/>
          <w:bCs/>
          <w:color w:val="000000" w:themeColor="text1"/>
          <w:sz w:val="22"/>
        </w:rPr>
        <w:t>Recientemente, la Agencia expidió la Resolución No. 0045 del 14 de febrero de 2020, mediante la cual adoptó la versión 2 de los documentos tipo en dichos procesos de selección.</w:t>
      </w:r>
    </w:p>
    <w:p w:rsidRPr="00601A7E" w:rsidR="002B193C" w:rsidP="002B193C" w:rsidRDefault="002B193C" w14:paraId="6D8D99E3" w14:textId="77777777">
      <w:pPr>
        <w:spacing w:before="120" w:after="120" w:line="276" w:lineRule="auto"/>
        <w:ind w:firstLine="709"/>
        <w:jc w:val="both"/>
        <w:rPr>
          <w:rFonts w:ascii="Arial" w:hAnsi="Arial" w:eastAsia="Calibri" w:cs="Arial"/>
          <w:bCs/>
          <w:color w:val="000000" w:themeColor="text1"/>
          <w:sz w:val="22"/>
        </w:rPr>
      </w:pPr>
      <w:r w:rsidRPr="00601A7E">
        <w:rPr>
          <w:rFonts w:ascii="Arial" w:hAnsi="Arial" w:eastAsia="Calibri" w:cs="Arial"/>
          <w:bCs/>
          <w:color w:val="000000" w:themeColor="text1"/>
          <w:sz w:val="22"/>
        </w:rPr>
        <w:t xml:space="preserve">Ahora bien, el artículo 2.2.1.2.6.1.4. del Decreto 1082 de 2015, adicionado por el artículo 1 del Decreto 342 de 2019, establece la </w:t>
      </w:r>
      <w:r w:rsidRPr="00601A7E">
        <w:rPr>
          <w:rFonts w:ascii="Arial" w:hAnsi="Arial" w:eastAsia="Calibri" w:cs="Arial"/>
          <w:bCs/>
          <w:i/>
          <w:color w:val="000000" w:themeColor="text1"/>
          <w:sz w:val="22"/>
        </w:rPr>
        <w:t>inalterabilidad de los Documentos Tipo</w:t>
      </w:r>
      <w:r w:rsidRPr="00601A7E">
        <w:rPr>
          <w:rFonts w:ascii="Arial" w:hAnsi="Arial" w:eastAsia="Calibri" w:cs="Arial"/>
          <w:bCs/>
          <w:color w:val="000000" w:themeColor="text1"/>
          <w:sz w:val="22"/>
        </w:rPr>
        <w:t xml:space="preserve">,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que sean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que en ellos sean fijados. </w:t>
      </w:r>
    </w:p>
    <w:p w:rsidR="00746C20" w:rsidP="00366ED7" w:rsidRDefault="002B193C" w14:paraId="6636A0D2" w14:textId="66451692">
      <w:pPr>
        <w:spacing w:line="276" w:lineRule="auto"/>
        <w:ind w:firstLine="709"/>
        <w:jc w:val="both"/>
        <w:rPr>
          <w:rFonts w:ascii="Arial" w:hAnsi="Arial" w:eastAsia="Calibri" w:cs="Arial"/>
          <w:bCs/>
          <w:color w:val="000000" w:themeColor="text1"/>
          <w:sz w:val="22"/>
        </w:rPr>
      </w:pPr>
      <w:r w:rsidRPr="00601A7E">
        <w:rPr>
          <w:rFonts w:ascii="Arial" w:hAnsi="Arial" w:eastAsia="Calibri" w:cs="Arial"/>
          <w:bCs/>
          <w:color w:val="000000" w:themeColor="text1"/>
          <w:sz w:val="22"/>
        </w:rPr>
        <w:lastRenderedPageBreak/>
        <w:t xml:space="preserve">Esta prohibición la ratifica actualmente el artículo 2 de la Resolución No. 0045 de 2020, «Por la cual se actualizan los Documentos Tipo para los procesos de selección de licitación de obra pública de infraestructura de transporte y se deroga la Resolución 1798 de 2019», al consagrar la inalterabilidad de los documentos tipo en los siguientes términos: «Las Entidades Estatales no pueden incluir condiciones o modificar las señaladas en los Documentos Tipo, a menos que expresamente se les faculte para hacerlo». </w:t>
      </w:r>
    </w:p>
    <w:p w:rsidRPr="00601A7E" w:rsidR="006E2387" w:rsidP="00366ED7" w:rsidRDefault="006E2387" w14:paraId="037FC2C6" w14:textId="77777777">
      <w:pPr>
        <w:spacing w:line="276" w:lineRule="auto"/>
        <w:ind w:firstLine="709"/>
        <w:jc w:val="both"/>
        <w:rPr>
          <w:rFonts w:ascii="Arial" w:hAnsi="Arial" w:eastAsia="Calibri" w:cs="Arial"/>
          <w:bCs/>
          <w:color w:val="000000" w:themeColor="text1"/>
          <w:sz w:val="22"/>
        </w:rPr>
      </w:pPr>
    </w:p>
    <w:p w:rsidRPr="00601A7E" w:rsidR="00F85FB4" w:rsidP="00366ED7" w:rsidRDefault="00D77580" w14:paraId="265A51E6" w14:textId="76537C20">
      <w:pPr>
        <w:tabs>
          <w:tab w:val="left" w:pos="284"/>
        </w:tabs>
        <w:spacing w:line="276" w:lineRule="auto"/>
        <w:jc w:val="both"/>
        <w:rPr>
          <w:rFonts w:ascii="Arial" w:hAnsi="Arial" w:eastAsia="Calibri" w:cs="Arial"/>
          <w:b/>
          <w:sz w:val="22"/>
        </w:rPr>
      </w:pPr>
      <w:r w:rsidRPr="00601A7E">
        <w:rPr>
          <w:rFonts w:ascii="Arial" w:hAnsi="Arial" w:eastAsia="Calibri" w:cs="Arial"/>
          <w:b/>
          <w:sz w:val="22"/>
        </w:rPr>
        <w:t xml:space="preserve">2.2. </w:t>
      </w:r>
      <w:r w:rsidRPr="00601A7E" w:rsidR="00AF3BFD">
        <w:rPr>
          <w:rFonts w:ascii="Arial" w:hAnsi="Arial" w:eastAsia="Calibri" w:cs="Arial"/>
          <w:b/>
          <w:sz w:val="22"/>
        </w:rPr>
        <w:t xml:space="preserve">Ampliación del plazo para renovar el Registro Único de Proponentes </w:t>
      </w:r>
      <w:r w:rsidR="006E2387">
        <w:rPr>
          <w:rFonts w:ascii="Arial" w:hAnsi="Arial" w:eastAsia="Calibri" w:cs="Arial"/>
          <w:b/>
          <w:sz w:val="22"/>
        </w:rPr>
        <w:t>–</w:t>
      </w:r>
      <w:r w:rsidRPr="00601A7E" w:rsidR="00AF3BFD">
        <w:rPr>
          <w:rFonts w:ascii="Arial" w:hAnsi="Arial" w:eastAsia="Calibri" w:cs="Arial"/>
          <w:b/>
          <w:sz w:val="22"/>
        </w:rPr>
        <w:t>RUP</w:t>
      </w:r>
      <w:r w:rsidR="006E2387">
        <w:rPr>
          <w:rFonts w:ascii="Arial" w:hAnsi="Arial" w:eastAsia="Calibri" w:cs="Arial"/>
          <w:b/>
          <w:sz w:val="22"/>
        </w:rPr>
        <w:t>–</w:t>
      </w:r>
      <w:r w:rsidRPr="00601A7E" w:rsidR="00AF3BFD">
        <w:rPr>
          <w:rFonts w:ascii="Arial" w:hAnsi="Arial" w:eastAsia="Calibri" w:cs="Arial"/>
          <w:b/>
          <w:sz w:val="22"/>
        </w:rPr>
        <w:t xml:space="preserve"> </w:t>
      </w:r>
      <w:r w:rsidRPr="00601A7E" w:rsidR="00DB5E1A">
        <w:rPr>
          <w:rFonts w:ascii="Arial" w:hAnsi="Arial" w:eastAsia="Calibri" w:cs="Arial"/>
          <w:b/>
          <w:sz w:val="22"/>
        </w:rPr>
        <w:t>con el fin de mitigar los efectos económicos y la propagación del Coronavirus COVID-19</w:t>
      </w:r>
      <w:r w:rsidR="006E2387">
        <w:rPr>
          <w:rFonts w:ascii="Arial" w:hAnsi="Arial" w:eastAsia="Calibri" w:cs="Arial"/>
          <w:b/>
          <w:sz w:val="22"/>
        </w:rPr>
        <w:t>.</w:t>
      </w:r>
      <w:r w:rsidRPr="00601A7E" w:rsidR="00232504">
        <w:rPr>
          <w:rFonts w:ascii="Arial" w:hAnsi="Arial" w:eastAsia="Calibri" w:cs="Arial"/>
          <w:b/>
          <w:sz w:val="22"/>
        </w:rPr>
        <w:t xml:space="preserve"> Decreto 434 de 2020</w:t>
      </w:r>
    </w:p>
    <w:p w:rsidRPr="00601A7E" w:rsidR="00862599" w:rsidP="00C04579" w:rsidRDefault="00862599" w14:paraId="06F6E3D8" w14:textId="77777777">
      <w:pPr>
        <w:tabs>
          <w:tab w:val="left" w:pos="284"/>
        </w:tabs>
        <w:spacing w:line="276" w:lineRule="auto"/>
        <w:jc w:val="both"/>
        <w:rPr>
          <w:rFonts w:ascii="Arial" w:hAnsi="Arial" w:eastAsia="Calibri" w:cs="Arial"/>
          <w:b/>
          <w:color w:val="000000" w:themeColor="text1"/>
          <w:sz w:val="22"/>
        </w:rPr>
      </w:pPr>
    </w:p>
    <w:p w:rsidRPr="00601A7E" w:rsidR="00D77580" w:rsidP="00D21AAB" w:rsidRDefault="00D77580" w14:paraId="7AC205B6" w14:textId="45B6D2A0">
      <w:pPr>
        <w:spacing w:after="120" w:line="276" w:lineRule="auto"/>
        <w:jc w:val="both"/>
        <w:rPr>
          <w:rFonts w:ascii="Arial" w:hAnsi="Arial" w:eastAsia="Calibri" w:cs="Arial"/>
          <w:sz w:val="22"/>
        </w:rPr>
      </w:pPr>
      <w:r w:rsidRPr="00601A7E">
        <w:rPr>
          <w:rFonts w:ascii="Arial" w:hAnsi="Arial" w:eastAsia="Calibri" w:cs="Arial"/>
          <w:sz w:val="22"/>
        </w:rPr>
        <w:t>En virtud de las facultades extraordinarias otorgadas al presidente de la República, por la declaratoria del Estado de Emergencia Económica, Social y Ecológica ocasionado por el nuevo coronavirus COVID-19, se han expedido diferentes decretos para mitigar sus efectos en los diferentes ámbitos del país. El Decreto 434 de 2020 se refiere a los efectos económicos de la emergencia, y establece plazos especiales para renova</w:t>
      </w:r>
      <w:r w:rsidR="006E2387">
        <w:rPr>
          <w:rFonts w:ascii="Arial" w:hAnsi="Arial" w:eastAsia="Calibri" w:cs="Arial"/>
          <w:sz w:val="22"/>
        </w:rPr>
        <w:t>r</w:t>
      </w:r>
      <w:r w:rsidRPr="00601A7E">
        <w:rPr>
          <w:rFonts w:ascii="Arial" w:hAnsi="Arial" w:eastAsia="Calibri" w:cs="Arial"/>
          <w:sz w:val="22"/>
        </w:rPr>
        <w:t xml:space="preserve"> </w:t>
      </w:r>
      <w:r w:rsidR="006E2387">
        <w:rPr>
          <w:rFonts w:ascii="Arial" w:hAnsi="Arial" w:eastAsia="Calibri" w:cs="Arial"/>
          <w:sz w:val="22"/>
        </w:rPr>
        <w:t>algunos</w:t>
      </w:r>
      <w:r w:rsidRPr="00601A7E">
        <w:rPr>
          <w:rFonts w:ascii="Arial" w:hAnsi="Arial" w:eastAsia="Calibri" w:cs="Arial"/>
          <w:sz w:val="22"/>
        </w:rPr>
        <w:t xml:space="preserve"> registros</w:t>
      </w:r>
      <w:r w:rsidR="006E2387">
        <w:rPr>
          <w:rFonts w:ascii="Arial" w:hAnsi="Arial" w:eastAsia="Calibri" w:cs="Arial"/>
          <w:sz w:val="22"/>
        </w:rPr>
        <w:t>,</w:t>
      </w:r>
      <w:r w:rsidRPr="00601A7E">
        <w:rPr>
          <w:rFonts w:ascii="Arial" w:hAnsi="Arial" w:eastAsia="Calibri" w:cs="Arial"/>
          <w:sz w:val="22"/>
        </w:rPr>
        <w:t xml:space="preserve"> como la matrícula mercantil y el Registro Único Empresarial y </w:t>
      </w:r>
      <w:r w:rsidRPr="00601A7E" w:rsidR="00601A7E">
        <w:rPr>
          <w:rFonts w:ascii="Arial" w:hAnsi="Arial" w:eastAsia="Calibri" w:cs="Arial"/>
          <w:sz w:val="22"/>
        </w:rPr>
        <w:t xml:space="preserve">Social </w:t>
      </w:r>
      <w:r w:rsidR="006E2387">
        <w:rPr>
          <w:rFonts w:ascii="Arial" w:hAnsi="Arial" w:eastAsia="Calibri" w:cs="Arial"/>
          <w:sz w:val="22"/>
        </w:rPr>
        <w:t>–</w:t>
      </w:r>
      <w:r w:rsidRPr="00601A7E">
        <w:rPr>
          <w:rFonts w:ascii="Arial" w:hAnsi="Arial" w:eastAsia="Calibri" w:cs="Arial"/>
          <w:sz w:val="22"/>
        </w:rPr>
        <w:t>RUES</w:t>
      </w:r>
      <w:r w:rsidR="006E2387">
        <w:rPr>
          <w:rFonts w:ascii="Arial" w:hAnsi="Arial" w:eastAsia="Calibri" w:cs="Arial"/>
          <w:sz w:val="22"/>
        </w:rPr>
        <w:t xml:space="preserve">–, </w:t>
      </w:r>
      <w:r w:rsidRPr="00601A7E">
        <w:rPr>
          <w:rFonts w:ascii="Arial" w:hAnsi="Arial" w:eastAsia="Calibri" w:cs="Arial"/>
          <w:sz w:val="22"/>
        </w:rPr>
        <w:t>y para adelantar las reuniones ordinarias de asambleas y demás cuerpos colegiados.</w:t>
      </w:r>
    </w:p>
    <w:p w:rsidRPr="00601A7E" w:rsidR="00D77580" w:rsidP="00D77580" w:rsidRDefault="00D77580" w14:paraId="00620C02" w14:textId="46E0AEC8">
      <w:pPr>
        <w:spacing w:after="120" w:line="276" w:lineRule="auto"/>
        <w:jc w:val="both"/>
        <w:rPr>
          <w:rFonts w:ascii="Arial" w:hAnsi="Arial" w:eastAsia="Calibri" w:cs="Arial"/>
          <w:sz w:val="22"/>
        </w:rPr>
      </w:pPr>
      <w:r w:rsidRPr="00601A7E">
        <w:rPr>
          <w:rFonts w:ascii="Arial" w:hAnsi="Arial" w:eastAsia="Calibri" w:cs="Arial"/>
          <w:sz w:val="22"/>
        </w:rPr>
        <w:tab/>
      </w:r>
      <w:r w:rsidRPr="00601A7E">
        <w:rPr>
          <w:rFonts w:ascii="Arial" w:hAnsi="Arial" w:eastAsia="Calibri" w:cs="Arial"/>
          <w:sz w:val="22"/>
        </w:rPr>
        <w:t>Respecto del RUES, las consideraciones del decreto citado señalan que el RUP es parte de este y que es administrado por las cámaras de comercio, de conformidad con el artículo 166 del Decreto Ley 019 de 2012</w:t>
      </w:r>
      <w:r w:rsidRPr="00601A7E">
        <w:rPr>
          <w:rStyle w:val="Refdenotaalpie"/>
          <w:rFonts w:ascii="Arial" w:hAnsi="Arial" w:eastAsia="Calibri" w:cs="Arial"/>
          <w:sz w:val="22"/>
        </w:rPr>
        <w:footnoteReference w:id="2"/>
      </w:r>
      <w:r w:rsidRPr="00601A7E">
        <w:rPr>
          <w:rFonts w:ascii="Arial" w:hAnsi="Arial" w:eastAsia="Calibri" w:cs="Arial"/>
          <w:sz w:val="22"/>
        </w:rPr>
        <w:t xml:space="preserve">, entre otros registros que lo componen; y que se considera necesario evitar </w:t>
      </w:r>
      <w:r w:rsidR="008E062C">
        <w:rPr>
          <w:rFonts w:ascii="Arial" w:hAnsi="Arial" w:eastAsia="Calibri" w:cs="Arial"/>
          <w:sz w:val="22"/>
        </w:rPr>
        <w:t>el hacinamiento</w:t>
      </w:r>
      <w:r w:rsidRPr="00601A7E">
        <w:rPr>
          <w:rFonts w:ascii="Arial" w:hAnsi="Arial" w:eastAsia="Calibri" w:cs="Arial"/>
          <w:sz w:val="22"/>
        </w:rPr>
        <w:t xml:space="preserve"> de personas en las cámaras de comercio para adelantar los trámites asociados al RUES, teniendo en cuenta que la Confederación Colombiana de Cámaras de </w:t>
      </w:r>
      <w:r w:rsidRPr="00601A7E" w:rsidR="00601A7E">
        <w:rPr>
          <w:rFonts w:ascii="Arial" w:hAnsi="Arial" w:eastAsia="Calibri" w:cs="Arial"/>
          <w:sz w:val="22"/>
        </w:rPr>
        <w:t>Comercio</w:t>
      </w:r>
      <w:r w:rsidRPr="00601A7E">
        <w:rPr>
          <w:rFonts w:ascii="Arial" w:hAnsi="Arial" w:eastAsia="Calibri" w:cs="Arial"/>
          <w:sz w:val="22"/>
        </w:rPr>
        <w:t xml:space="preserve"> certificó que solo se </w:t>
      </w:r>
      <w:r w:rsidR="008E062C">
        <w:rPr>
          <w:rFonts w:ascii="Arial" w:hAnsi="Arial" w:eastAsia="Calibri" w:cs="Arial"/>
          <w:sz w:val="22"/>
        </w:rPr>
        <w:t>habían</w:t>
      </w:r>
      <w:r w:rsidRPr="00601A7E" w:rsidR="008E062C">
        <w:rPr>
          <w:rFonts w:ascii="Arial" w:hAnsi="Arial" w:eastAsia="Calibri" w:cs="Arial"/>
          <w:sz w:val="22"/>
        </w:rPr>
        <w:t xml:space="preserve"> </w:t>
      </w:r>
      <w:r w:rsidRPr="00601A7E">
        <w:rPr>
          <w:rFonts w:ascii="Arial" w:hAnsi="Arial" w:eastAsia="Calibri" w:cs="Arial"/>
          <w:sz w:val="22"/>
        </w:rPr>
        <w:t xml:space="preserve">tramitado el 40% de los registros aproximadamente, lo que indica que la mayoría de las personas naturales y jurídicas se encuentran pendientes de acudir a las </w:t>
      </w:r>
      <w:r w:rsidR="008E062C">
        <w:rPr>
          <w:rFonts w:ascii="Arial" w:hAnsi="Arial" w:eastAsia="Calibri" w:cs="Arial"/>
          <w:sz w:val="22"/>
        </w:rPr>
        <w:t>c</w:t>
      </w:r>
      <w:r w:rsidRPr="00601A7E">
        <w:rPr>
          <w:rFonts w:ascii="Arial" w:hAnsi="Arial" w:eastAsia="Calibri" w:cs="Arial"/>
          <w:sz w:val="22"/>
        </w:rPr>
        <w:t xml:space="preserve">ámaras de </w:t>
      </w:r>
      <w:r w:rsidR="008E062C">
        <w:rPr>
          <w:rFonts w:ascii="Arial" w:hAnsi="Arial" w:eastAsia="Calibri" w:cs="Arial"/>
          <w:sz w:val="22"/>
        </w:rPr>
        <w:t>c</w:t>
      </w:r>
      <w:r w:rsidRPr="00601A7E">
        <w:rPr>
          <w:rFonts w:ascii="Arial" w:hAnsi="Arial" w:eastAsia="Calibri" w:cs="Arial"/>
          <w:sz w:val="22"/>
        </w:rPr>
        <w:t>omercio para cumplir sus obligaciones con el registro.</w:t>
      </w:r>
    </w:p>
    <w:p w:rsidR="007430B8" w:rsidP="00D77580" w:rsidRDefault="00D77580" w14:paraId="35A29AE6" w14:textId="1F8534B2">
      <w:pPr>
        <w:spacing w:after="120" w:line="276" w:lineRule="auto"/>
        <w:jc w:val="both"/>
        <w:rPr>
          <w:rFonts w:ascii="Arial" w:hAnsi="Arial" w:eastAsia="Calibri" w:cs="Arial"/>
          <w:i/>
          <w:iCs/>
          <w:sz w:val="22"/>
        </w:rPr>
      </w:pPr>
      <w:r w:rsidRPr="00601A7E">
        <w:rPr>
          <w:rFonts w:ascii="Arial" w:hAnsi="Arial" w:eastAsia="Calibri" w:cs="Arial"/>
          <w:sz w:val="22"/>
        </w:rPr>
        <w:tab/>
      </w:r>
      <w:r w:rsidRPr="00601A7E">
        <w:rPr>
          <w:rFonts w:ascii="Arial" w:hAnsi="Arial" w:eastAsia="Calibri" w:cs="Arial"/>
          <w:sz w:val="22"/>
        </w:rPr>
        <w:t xml:space="preserve">En ese sentido, para contribuir con las medidas de contención y prevención del riesgo de contagio, buscando que las personas no se acerquen a las Cámaras de Comercio para tramitar lo que corresponde al RUES, y particularmente al RUP, el artículo 2 del Decreto 434 de 2020 amplió el plazo para renovarlo, teniendo en cuenta que el artículo 2.2.1.1.1.5.1. del Decreto 1082 de 2015 impone la obligación de adelantar el trámite de renovación del RUP a más tardar el quinto día hábil del mes de abril, lo cual se extiende </w:t>
      </w:r>
      <w:r w:rsidRPr="00601A7E">
        <w:rPr>
          <w:rFonts w:ascii="Arial" w:hAnsi="Arial" w:eastAsia="Calibri" w:cs="Arial"/>
          <w:i/>
          <w:iCs/>
          <w:sz w:val="22"/>
        </w:rPr>
        <w:t>al quinto día hábil del mes de julio de 2020</w:t>
      </w:r>
      <w:r w:rsidRPr="00601A7E">
        <w:rPr>
          <w:rStyle w:val="Refdenotaalpie"/>
          <w:rFonts w:ascii="Arial" w:hAnsi="Arial" w:eastAsia="Calibri" w:cs="Arial"/>
          <w:sz w:val="22"/>
        </w:rPr>
        <w:footnoteReference w:id="3"/>
      </w:r>
      <w:r w:rsidRPr="00601A7E">
        <w:rPr>
          <w:rFonts w:ascii="Arial" w:hAnsi="Arial" w:eastAsia="Calibri" w:cs="Arial"/>
          <w:i/>
          <w:iCs/>
          <w:sz w:val="22"/>
        </w:rPr>
        <w:t>.</w:t>
      </w:r>
    </w:p>
    <w:p w:rsidRPr="00601A7E" w:rsidR="00D77580" w:rsidP="00C04579" w:rsidRDefault="00DB5E1A" w14:paraId="036A186C" w14:textId="654619CC">
      <w:pPr>
        <w:tabs>
          <w:tab w:val="left" w:pos="284"/>
        </w:tabs>
        <w:spacing w:line="276" w:lineRule="auto"/>
        <w:jc w:val="both"/>
        <w:rPr>
          <w:rFonts w:ascii="Arial" w:hAnsi="Arial" w:eastAsia="Calibri" w:cs="Arial"/>
          <w:b/>
          <w:color w:val="000000" w:themeColor="text1"/>
          <w:sz w:val="22"/>
        </w:rPr>
      </w:pPr>
      <w:r w:rsidRPr="00601A7E">
        <w:rPr>
          <w:rFonts w:ascii="Arial" w:hAnsi="Arial" w:eastAsia="Calibri" w:cs="Arial"/>
          <w:b/>
          <w:color w:val="000000" w:themeColor="text1"/>
          <w:sz w:val="22"/>
        </w:rPr>
        <w:lastRenderedPageBreak/>
        <w:t>2.3. Causal de rechazo del literal G, de los documentos tipo para licitación de obra pública de infraestructura de transporte</w:t>
      </w:r>
      <w:r w:rsidR="008E062C">
        <w:rPr>
          <w:rFonts w:ascii="Arial" w:hAnsi="Arial" w:eastAsia="Calibri" w:cs="Arial"/>
          <w:b/>
          <w:color w:val="000000" w:themeColor="text1"/>
          <w:sz w:val="22"/>
        </w:rPr>
        <w:t>,</w:t>
      </w:r>
      <w:r w:rsidRPr="00601A7E">
        <w:rPr>
          <w:rFonts w:ascii="Arial" w:hAnsi="Arial" w:eastAsia="Calibri" w:cs="Arial"/>
          <w:b/>
          <w:color w:val="000000" w:themeColor="text1"/>
          <w:sz w:val="22"/>
        </w:rPr>
        <w:t xml:space="preserve"> conforme al Decreto 434 de 2020</w:t>
      </w:r>
    </w:p>
    <w:p w:rsidRPr="00601A7E" w:rsidR="00DB5E1A" w:rsidP="00C04579" w:rsidRDefault="00DB5E1A" w14:paraId="291EE961" w14:textId="21EBF9B1">
      <w:pPr>
        <w:tabs>
          <w:tab w:val="left" w:pos="284"/>
        </w:tabs>
        <w:spacing w:line="276" w:lineRule="auto"/>
        <w:jc w:val="both"/>
        <w:rPr>
          <w:rFonts w:ascii="Arial" w:hAnsi="Arial" w:eastAsia="Calibri" w:cs="Arial"/>
          <w:b/>
          <w:color w:val="000000" w:themeColor="text1"/>
          <w:sz w:val="22"/>
        </w:rPr>
      </w:pPr>
    </w:p>
    <w:p w:rsidRPr="00601A7E" w:rsidR="00D77580" w:rsidP="00667C1A" w:rsidRDefault="00D645DA" w14:paraId="25E124B1" w14:textId="55143A37">
      <w:pPr>
        <w:spacing w:after="120" w:line="276" w:lineRule="auto"/>
        <w:jc w:val="both"/>
        <w:rPr>
          <w:rFonts w:ascii="Arial" w:hAnsi="Arial" w:eastAsia="Calibri" w:cs="Arial"/>
          <w:sz w:val="22"/>
        </w:rPr>
      </w:pPr>
      <w:r w:rsidRPr="00601A7E">
        <w:rPr>
          <w:rFonts w:ascii="Arial" w:hAnsi="Arial" w:eastAsia="Calibri" w:cs="Arial"/>
          <w:bCs/>
          <w:color w:val="000000" w:themeColor="text1"/>
          <w:sz w:val="22"/>
        </w:rPr>
        <w:t>En el entendido de que la regla general es la «inalterabilidad» de los documentos tipo por parte de las entidades estatales, r</w:t>
      </w:r>
      <w:r w:rsidRPr="00601A7E" w:rsidR="00DB5E1A">
        <w:rPr>
          <w:rFonts w:ascii="Arial" w:hAnsi="Arial" w:eastAsia="Calibri" w:cs="Arial"/>
          <w:bCs/>
          <w:color w:val="000000" w:themeColor="text1"/>
          <w:sz w:val="22"/>
        </w:rPr>
        <w:t xml:space="preserve">esulta oportuno para el análisis del caso bajo estudio, desarrollar algunos puntos </w:t>
      </w:r>
      <w:r w:rsidRPr="00601A7E">
        <w:rPr>
          <w:rFonts w:ascii="Arial" w:hAnsi="Arial" w:eastAsia="Calibri" w:cs="Arial"/>
          <w:bCs/>
          <w:color w:val="000000" w:themeColor="text1"/>
          <w:sz w:val="22"/>
        </w:rPr>
        <w:t xml:space="preserve">sobre </w:t>
      </w:r>
      <w:r w:rsidR="00927E56">
        <w:rPr>
          <w:rFonts w:ascii="Arial" w:hAnsi="Arial" w:eastAsia="Calibri" w:cs="Arial"/>
          <w:bCs/>
          <w:color w:val="000000" w:themeColor="text1"/>
          <w:sz w:val="22"/>
        </w:rPr>
        <w:t>estos</w:t>
      </w:r>
      <w:r w:rsidRPr="00601A7E">
        <w:rPr>
          <w:rFonts w:ascii="Arial" w:hAnsi="Arial" w:eastAsia="Calibri" w:cs="Arial"/>
          <w:bCs/>
          <w:color w:val="000000" w:themeColor="text1"/>
          <w:sz w:val="22"/>
        </w:rPr>
        <w:t xml:space="preserve">, y la interpretación que se debe hacer frente al contenido del artículo 2 del Decreto 434 de </w:t>
      </w:r>
      <w:r w:rsidRPr="00601A7E">
        <w:rPr>
          <w:rFonts w:ascii="Arial" w:hAnsi="Arial" w:eastAsia="Calibri" w:cs="Arial"/>
          <w:sz w:val="22"/>
        </w:rPr>
        <w:t xml:space="preserve">2020. </w:t>
      </w:r>
    </w:p>
    <w:p w:rsidRPr="00601A7E" w:rsidR="007302FC" w:rsidP="00667C1A" w:rsidRDefault="00555852" w14:paraId="417AB654" w14:textId="6DE1267C">
      <w:pPr>
        <w:spacing w:after="120" w:line="276" w:lineRule="auto"/>
        <w:ind w:firstLine="709"/>
        <w:jc w:val="both"/>
        <w:rPr>
          <w:rFonts w:ascii="Arial" w:hAnsi="Arial" w:eastAsia="Calibri" w:cs="Arial"/>
          <w:sz w:val="22"/>
        </w:rPr>
      </w:pPr>
      <w:r w:rsidRPr="00601A7E">
        <w:rPr>
          <w:rFonts w:ascii="Arial" w:hAnsi="Arial" w:eastAsia="Calibri" w:cs="Arial"/>
          <w:sz w:val="22"/>
        </w:rPr>
        <w:t>La</w:t>
      </w:r>
      <w:r w:rsidRPr="00601A7E">
        <w:rPr>
          <w:rFonts w:ascii="Arial" w:hAnsi="Arial" w:eastAsia="Calibri" w:cs="Arial"/>
          <w:bCs/>
          <w:color w:val="000000" w:themeColor="text1"/>
          <w:sz w:val="22"/>
        </w:rPr>
        <w:t>s entidades públicas tienen la posibilidad de diligenciar la información contenida en los documentos</w:t>
      </w:r>
      <w:r w:rsidRPr="00601A7E" w:rsidR="008A5D02">
        <w:rPr>
          <w:rFonts w:ascii="Arial" w:hAnsi="Arial" w:eastAsia="Calibri" w:cs="Arial"/>
          <w:bCs/>
          <w:color w:val="000000" w:themeColor="text1"/>
          <w:sz w:val="22"/>
        </w:rPr>
        <w:t xml:space="preserve"> tipo</w:t>
      </w:r>
      <w:r w:rsidRPr="00601A7E">
        <w:rPr>
          <w:rFonts w:ascii="Arial" w:hAnsi="Arial" w:eastAsia="Calibri" w:cs="Arial"/>
          <w:bCs/>
          <w:color w:val="000000" w:themeColor="text1"/>
          <w:sz w:val="22"/>
        </w:rPr>
        <w:t xml:space="preserve"> cuando expresamente se les faculte para hacerlo</w:t>
      </w:r>
      <w:r w:rsidRPr="00601A7E" w:rsidR="008E062C">
        <w:rPr>
          <w:rStyle w:val="Refdenotaalpie"/>
          <w:rFonts w:ascii="Arial" w:hAnsi="Arial" w:eastAsia="Calibri" w:cs="Arial"/>
          <w:bCs/>
          <w:color w:val="000000" w:themeColor="text1"/>
          <w:sz w:val="22"/>
        </w:rPr>
        <w:footnoteReference w:id="4"/>
      </w:r>
      <w:r w:rsidRPr="00601A7E" w:rsidR="008A5D02">
        <w:rPr>
          <w:rFonts w:ascii="Arial" w:hAnsi="Arial" w:eastAsia="Calibri" w:cs="Arial"/>
          <w:bCs/>
          <w:color w:val="000000" w:themeColor="text1"/>
          <w:sz w:val="22"/>
        </w:rPr>
        <w:t xml:space="preserve">, </w:t>
      </w:r>
      <w:r w:rsidRPr="00601A7E" w:rsidR="007302FC">
        <w:rPr>
          <w:rFonts w:ascii="Arial" w:hAnsi="Arial" w:eastAsia="Calibri" w:cs="Arial"/>
          <w:bCs/>
          <w:color w:val="000000" w:themeColor="text1"/>
          <w:sz w:val="22"/>
        </w:rPr>
        <w:t>por tal motivo</w:t>
      </w:r>
      <w:r w:rsidRPr="00601A7E" w:rsidR="000304A2">
        <w:rPr>
          <w:rFonts w:ascii="Arial" w:hAnsi="Arial" w:eastAsia="Calibri" w:cs="Arial"/>
          <w:bCs/>
          <w:color w:val="000000" w:themeColor="text1"/>
          <w:sz w:val="22"/>
        </w:rPr>
        <w:t>,</w:t>
      </w:r>
      <w:r w:rsidRPr="00601A7E" w:rsidR="006401A4">
        <w:rPr>
          <w:rFonts w:ascii="Arial" w:hAnsi="Arial" w:eastAsia="Calibri" w:cs="Arial"/>
          <w:bCs/>
          <w:color w:val="000000" w:themeColor="text1"/>
          <w:sz w:val="22"/>
        </w:rPr>
        <w:t xml:space="preserve"> dentro del contenido de </w:t>
      </w:r>
      <w:r w:rsidRPr="00601A7E" w:rsidR="00423358">
        <w:rPr>
          <w:rFonts w:ascii="Arial" w:hAnsi="Arial" w:eastAsia="Calibri" w:cs="Arial"/>
          <w:bCs/>
          <w:color w:val="000000" w:themeColor="text1"/>
          <w:sz w:val="22"/>
        </w:rPr>
        <w:t>estos</w:t>
      </w:r>
      <w:r w:rsidRPr="00601A7E" w:rsidR="006401A4">
        <w:rPr>
          <w:rFonts w:ascii="Arial" w:hAnsi="Arial" w:eastAsia="Calibri" w:cs="Arial"/>
          <w:bCs/>
          <w:color w:val="000000" w:themeColor="text1"/>
          <w:sz w:val="22"/>
        </w:rPr>
        <w:t xml:space="preserve">, </w:t>
      </w:r>
      <w:r w:rsidR="008E062C">
        <w:rPr>
          <w:rFonts w:ascii="Arial" w:hAnsi="Arial" w:eastAsia="Calibri" w:cs="Arial"/>
          <w:bCs/>
          <w:color w:val="000000" w:themeColor="text1"/>
          <w:sz w:val="22"/>
        </w:rPr>
        <w:t>se</w:t>
      </w:r>
      <w:r w:rsidRPr="00601A7E" w:rsidR="006401A4">
        <w:rPr>
          <w:rFonts w:ascii="Arial" w:hAnsi="Arial" w:eastAsia="Calibri" w:cs="Arial"/>
          <w:bCs/>
          <w:color w:val="000000" w:themeColor="text1"/>
          <w:sz w:val="22"/>
        </w:rPr>
        <w:t xml:space="preserve"> </w:t>
      </w:r>
      <w:r w:rsidR="008E062C">
        <w:rPr>
          <w:rFonts w:ascii="Arial" w:hAnsi="Arial" w:eastAsia="Calibri" w:cs="Arial"/>
          <w:bCs/>
          <w:color w:val="000000" w:themeColor="text1"/>
          <w:sz w:val="22"/>
        </w:rPr>
        <w:t>circunscribió</w:t>
      </w:r>
      <w:r w:rsidRPr="00601A7E" w:rsidR="008E062C">
        <w:rPr>
          <w:rFonts w:ascii="Arial" w:hAnsi="Arial" w:eastAsia="Calibri" w:cs="Arial"/>
          <w:bCs/>
          <w:color w:val="000000" w:themeColor="text1"/>
          <w:sz w:val="22"/>
        </w:rPr>
        <w:t xml:space="preserve"> </w:t>
      </w:r>
      <w:r w:rsidRPr="00601A7E" w:rsidR="006401A4">
        <w:rPr>
          <w:rFonts w:ascii="Arial" w:hAnsi="Arial" w:eastAsia="Calibri" w:cs="Arial"/>
          <w:bCs/>
          <w:color w:val="000000" w:themeColor="text1"/>
          <w:sz w:val="22"/>
        </w:rPr>
        <w:t xml:space="preserve">esta </w:t>
      </w:r>
      <w:r w:rsidR="008E062C">
        <w:rPr>
          <w:rFonts w:ascii="Arial" w:hAnsi="Arial" w:eastAsia="Calibri" w:cs="Arial"/>
          <w:bCs/>
          <w:color w:val="000000" w:themeColor="text1"/>
          <w:sz w:val="22"/>
        </w:rPr>
        <w:t>facultad</w:t>
      </w:r>
      <w:r w:rsidRPr="00601A7E" w:rsidR="008E062C">
        <w:rPr>
          <w:rFonts w:ascii="Arial" w:hAnsi="Arial" w:eastAsia="Calibri" w:cs="Arial"/>
          <w:bCs/>
          <w:color w:val="000000" w:themeColor="text1"/>
          <w:sz w:val="22"/>
        </w:rPr>
        <w:t xml:space="preserve"> </w:t>
      </w:r>
      <w:r w:rsidRPr="00601A7E" w:rsidR="006401A4">
        <w:rPr>
          <w:rFonts w:ascii="Arial" w:hAnsi="Arial" w:eastAsia="Calibri" w:cs="Arial"/>
          <w:bCs/>
          <w:color w:val="000000" w:themeColor="text1"/>
          <w:sz w:val="22"/>
        </w:rPr>
        <w:t>a los aspectos incluidos en corchetes y resaltados en gris</w:t>
      </w:r>
      <w:r w:rsidR="008E062C">
        <w:rPr>
          <w:rFonts w:ascii="Arial" w:hAnsi="Arial" w:eastAsia="Calibri" w:cs="Arial"/>
          <w:bCs/>
          <w:color w:val="000000" w:themeColor="text1"/>
          <w:sz w:val="22"/>
        </w:rPr>
        <w:t xml:space="preserve">. Esta posibilidad también se habilitó </w:t>
      </w:r>
      <w:r w:rsidRPr="00601A7E" w:rsidR="007302FC">
        <w:rPr>
          <w:rFonts w:ascii="Arial" w:hAnsi="Arial" w:eastAsia="Calibri" w:cs="Arial"/>
          <w:bCs/>
          <w:color w:val="000000" w:themeColor="text1"/>
          <w:sz w:val="22"/>
        </w:rPr>
        <w:t>cuando el objeto contractual incluye bienes o servicios ajenos a la obra pública de infraestructura de transporte</w:t>
      </w:r>
      <w:r w:rsidR="008E062C">
        <w:rPr>
          <w:rFonts w:ascii="Arial" w:hAnsi="Arial" w:eastAsia="Calibri" w:cs="Arial"/>
          <w:bCs/>
          <w:color w:val="000000" w:themeColor="text1"/>
          <w:sz w:val="22"/>
        </w:rPr>
        <w:t>, caso en que</w:t>
      </w:r>
      <w:r w:rsidRPr="00601A7E" w:rsidR="007302FC">
        <w:rPr>
          <w:rFonts w:ascii="Arial" w:hAnsi="Arial" w:eastAsia="Calibri" w:cs="Arial"/>
          <w:bCs/>
          <w:color w:val="000000" w:themeColor="text1"/>
          <w:sz w:val="22"/>
        </w:rPr>
        <w:t xml:space="preserve"> se podrá incluir información </w:t>
      </w:r>
      <w:r w:rsidRPr="00601A7E" w:rsidR="007302FC">
        <w:rPr>
          <w:rFonts w:ascii="Arial" w:hAnsi="Arial" w:eastAsia="Calibri" w:cs="Arial"/>
          <w:sz w:val="22"/>
        </w:rPr>
        <w:t>adicional</w:t>
      </w:r>
      <w:r w:rsidRPr="00601A7E" w:rsidR="006401A4">
        <w:rPr>
          <w:rFonts w:ascii="Arial" w:hAnsi="Arial" w:eastAsia="Calibri" w:cs="Arial"/>
          <w:sz w:val="22"/>
        </w:rPr>
        <w:t xml:space="preserve">. </w:t>
      </w:r>
    </w:p>
    <w:p w:rsidRPr="00601A7E" w:rsidR="000304A2" w:rsidP="00CC6288" w:rsidRDefault="008E062C" w14:paraId="380A1AD0" w14:textId="7E5D9C63">
      <w:pPr>
        <w:spacing w:after="120" w:line="276" w:lineRule="auto"/>
        <w:ind w:firstLine="709"/>
        <w:jc w:val="both"/>
        <w:rPr>
          <w:rFonts w:ascii="Arial" w:hAnsi="Arial" w:eastAsia="Calibri" w:cs="Arial"/>
          <w:sz w:val="22"/>
        </w:rPr>
      </w:pPr>
      <w:r>
        <w:rPr>
          <w:rFonts w:ascii="Arial" w:hAnsi="Arial" w:eastAsia="Calibri" w:cs="Arial"/>
          <w:sz w:val="22"/>
        </w:rPr>
        <w:t>Precisado lo anterior</w:t>
      </w:r>
      <w:r w:rsidRPr="00601A7E" w:rsidR="006401A4">
        <w:rPr>
          <w:rFonts w:ascii="Arial" w:hAnsi="Arial" w:eastAsia="Calibri" w:cs="Arial"/>
          <w:bCs/>
          <w:color w:val="000000" w:themeColor="text1"/>
          <w:sz w:val="22"/>
        </w:rPr>
        <w:t xml:space="preserve">, </w:t>
      </w:r>
      <w:r w:rsidRPr="00601A7E" w:rsidR="000304A2">
        <w:rPr>
          <w:rFonts w:ascii="Arial" w:hAnsi="Arial" w:eastAsia="Calibri" w:cs="Arial"/>
          <w:bCs/>
          <w:color w:val="000000" w:themeColor="text1"/>
          <w:sz w:val="22"/>
        </w:rPr>
        <w:t xml:space="preserve">la causal de rechazo contenida en el litera G del </w:t>
      </w:r>
      <w:r>
        <w:rPr>
          <w:rFonts w:ascii="Arial" w:hAnsi="Arial" w:eastAsia="Calibri" w:cs="Arial"/>
          <w:bCs/>
          <w:color w:val="000000" w:themeColor="text1"/>
          <w:sz w:val="22"/>
        </w:rPr>
        <w:t>numeral</w:t>
      </w:r>
      <w:r w:rsidRPr="00601A7E">
        <w:rPr>
          <w:rFonts w:ascii="Arial" w:hAnsi="Arial" w:eastAsia="Calibri" w:cs="Arial"/>
          <w:bCs/>
          <w:color w:val="000000" w:themeColor="text1"/>
          <w:sz w:val="22"/>
        </w:rPr>
        <w:t xml:space="preserve"> </w:t>
      </w:r>
      <w:r w:rsidRPr="00601A7E" w:rsidR="000304A2">
        <w:rPr>
          <w:rFonts w:ascii="Arial" w:hAnsi="Arial" w:eastAsia="Calibri" w:cs="Arial"/>
          <w:bCs/>
          <w:color w:val="000000" w:themeColor="text1"/>
          <w:sz w:val="22"/>
        </w:rPr>
        <w:t>1.15 de los documentos tipo</w:t>
      </w:r>
      <w:r>
        <w:rPr>
          <w:rFonts w:ascii="Arial" w:hAnsi="Arial" w:eastAsia="Calibri" w:cs="Arial"/>
          <w:bCs/>
          <w:color w:val="000000" w:themeColor="text1"/>
          <w:sz w:val="22"/>
        </w:rPr>
        <w:t>, que</w:t>
      </w:r>
      <w:r w:rsidRPr="00601A7E" w:rsidR="007302FC">
        <w:rPr>
          <w:rFonts w:ascii="Arial" w:hAnsi="Arial" w:eastAsia="Calibri" w:cs="Arial"/>
          <w:bCs/>
          <w:color w:val="000000" w:themeColor="text1"/>
          <w:sz w:val="22"/>
        </w:rPr>
        <w:t xml:space="preserve"> </w:t>
      </w:r>
      <w:r w:rsidRPr="00601A7E" w:rsidR="000304A2">
        <w:rPr>
          <w:rFonts w:ascii="Arial" w:hAnsi="Arial" w:eastAsia="Calibri" w:cs="Arial"/>
          <w:bCs/>
          <w:color w:val="000000" w:themeColor="text1"/>
          <w:sz w:val="22"/>
        </w:rPr>
        <w:t>señala: «</w:t>
      </w:r>
      <w:r w:rsidRPr="00601A7E" w:rsidR="000304A2">
        <w:rPr>
          <w:rFonts w:ascii="Arial" w:hAnsi="Arial" w:eastAsia="Calibri" w:cs="Arial"/>
          <w:bCs/>
          <w:color w:val="000000" w:themeColor="text1"/>
          <w:sz w:val="22"/>
          <w:szCs w:val="22"/>
          <w:lang w:eastAsia="en-US"/>
        </w:rPr>
        <w:t>Que el Proponente no acredite la presentación de la información para renovar el Registro Único de Proponentes (RUP) a más tardar el quinto día hábil del mes de abril de cada año</w:t>
      </w:r>
      <w:r w:rsidRPr="00601A7E" w:rsidR="000304A2">
        <w:rPr>
          <w:rFonts w:ascii="Arial" w:hAnsi="Arial" w:eastAsia="Calibri" w:cs="Arial"/>
          <w:bCs/>
          <w:color w:val="000000" w:themeColor="text1"/>
          <w:sz w:val="22"/>
        </w:rPr>
        <w:t>»</w:t>
      </w:r>
      <w:r w:rsidRPr="00601A7E" w:rsidR="00B531F9">
        <w:rPr>
          <w:rFonts w:ascii="Arial" w:hAnsi="Arial" w:eastAsia="Calibri" w:cs="Arial"/>
          <w:bCs/>
          <w:color w:val="000000" w:themeColor="text1"/>
          <w:sz w:val="22"/>
        </w:rPr>
        <w:t xml:space="preserve">, </w:t>
      </w:r>
      <w:r w:rsidRPr="00601A7E" w:rsidR="007302FC">
        <w:rPr>
          <w:rFonts w:ascii="Arial" w:hAnsi="Arial" w:eastAsia="Calibri" w:cs="Arial"/>
          <w:bCs/>
          <w:color w:val="000000" w:themeColor="text1"/>
          <w:sz w:val="22"/>
        </w:rPr>
        <w:t xml:space="preserve">no </w:t>
      </w:r>
      <w:r w:rsidR="00036DBB">
        <w:rPr>
          <w:rFonts w:ascii="Arial" w:hAnsi="Arial" w:eastAsia="Calibri" w:cs="Arial"/>
          <w:bCs/>
          <w:color w:val="000000" w:themeColor="text1"/>
          <w:sz w:val="22"/>
        </w:rPr>
        <w:t>es de aquellas susceptibles de diligenciamiento o modificación</w:t>
      </w:r>
      <w:r w:rsidRPr="00601A7E" w:rsidR="007302FC">
        <w:rPr>
          <w:rFonts w:ascii="Arial" w:hAnsi="Arial" w:eastAsia="Calibri" w:cs="Arial"/>
          <w:bCs/>
          <w:color w:val="000000" w:themeColor="text1"/>
          <w:sz w:val="22"/>
        </w:rPr>
        <w:t xml:space="preserve"> por parte de las entidades</w:t>
      </w:r>
      <w:r w:rsidR="00036DBB">
        <w:rPr>
          <w:rFonts w:ascii="Arial" w:hAnsi="Arial" w:eastAsia="Calibri" w:cs="Arial"/>
          <w:bCs/>
          <w:color w:val="000000" w:themeColor="text1"/>
          <w:sz w:val="22"/>
        </w:rPr>
        <w:t>, en consecuencia,</w:t>
      </w:r>
      <w:r w:rsidRPr="00601A7E" w:rsidR="007302FC">
        <w:rPr>
          <w:rFonts w:ascii="Arial" w:hAnsi="Arial" w:eastAsia="Calibri" w:cs="Arial"/>
          <w:bCs/>
          <w:color w:val="000000" w:themeColor="text1"/>
          <w:sz w:val="22"/>
        </w:rPr>
        <w:t xml:space="preserve"> su contenido </w:t>
      </w:r>
      <w:r w:rsidR="00036DBB">
        <w:rPr>
          <w:rFonts w:ascii="Arial" w:hAnsi="Arial" w:eastAsia="Calibri" w:cs="Arial"/>
          <w:bCs/>
          <w:color w:val="000000" w:themeColor="text1"/>
          <w:sz w:val="22"/>
        </w:rPr>
        <w:t>es inalterable</w:t>
      </w:r>
      <w:r w:rsidRPr="00601A7E" w:rsidR="00B531F9">
        <w:rPr>
          <w:rFonts w:ascii="Arial" w:hAnsi="Arial" w:eastAsia="Calibri" w:cs="Arial"/>
          <w:sz w:val="22"/>
        </w:rPr>
        <w:t xml:space="preserve">; esta afirmación cobra sustento </w:t>
      </w:r>
      <w:r w:rsidR="002B0CE9">
        <w:rPr>
          <w:rFonts w:ascii="Arial" w:hAnsi="Arial" w:eastAsia="Calibri" w:cs="Arial"/>
          <w:sz w:val="22"/>
        </w:rPr>
        <w:t>de acuerdo al</w:t>
      </w:r>
      <w:r w:rsidRPr="00601A7E" w:rsidR="00B531F9">
        <w:rPr>
          <w:rFonts w:ascii="Arial" w:hAnsi="Arial" w:eastAsia="Calibri" w:cs="Arial"/>
          <w:sz w:val="22"/>
        </w:rPr>
        <w:t xml:space="preserve"> primer párrafo del citado título de los documentos tipo, en cual dispuso que </w:t>
      </w:r>
      <w:r w:rsidRPr="00601A7E" w:rsidR="00B531F9">
        <w:rPr>
          <w:rFonts w:ascii="Arial" w:hAnsi="Arial" w:eastAsia="Calibri" w:cs="Arial"/>
          <w:bCs/>
          <w:color w:val="000000" w:themeColor="text1"/>
          <w:sz w:val="22"/>
        </w:rPr>
        <w:t>«</w:t>
      </w:r>
      <w:r w:rsidRPr="00601A7E" w:rsidR="00B531F9">
        <w:rPr>
          <w:rFonts w:ascii="Arial" w:hAnsi="Arial" w:eastAsia="Calibri" w:cs="Arial"/>
          <w:sz w:val="22"/>
        </w:rPr>
        <w:t>Las Entidades no podrán modificar o incluir causales de rechazo distintas a las señaladas en la presente sección</w:t>
      </w:r>
      <w:r w:rsidRPr="00601A7E" w:rsidR="00B531F9">
        <w:rPr>
          <w:rFonts w:ascii="Arial" w:hAnsi="Arial" w:eastAsia="Calibri" w:cs="Arial"/>
          <w:bCs/>
          <w:color w:val="000000" w:themeColor="text1"/>
          <w:sz w:val="22"/>
        </w:rPr>
        <w:t>»</w:t>
      </w:r>
      <w:r w:rsidRPr="00601A7E" w:rsidR="007302FC">
        <w:rPr>
          <w:rFonts w:ascii="Arial" w:hAnsi="Arial" w:eastAsia="Calibri" w:cs="Arial"/>
          <w:sz w:val="22"/>
        </w:rPr>
        <w:t xml:space="preserve">. </w:t>
      </w:r>
    </w:p>
    <w:p w:rsidRPr="00601A7E" w:rsidR="00017995" w:rsidP="00C23227" w:rsidRDefault="00232504" w14:paraId="5AEE5FA8" w14:textId="2A1DC7B0">
      <w:pPr>
        <w:spacing w:after="120" w:line="276" w:lineRule="auto"/>
        <w:ind w:firstLine="709"/>
        <w:jc w:val="both"/>
        <w:rPr>
          <w:rFonts w:ascii="Arial" w:hAnsi="Arial" w:eastAsia="Calibri" w:cs="Arial"/>
          <w:bCs/>
          <w:color w:val="000000" w:themeColor="text1"/>
          <w:sz w:val="22"/>
        </w:rPr>
      </w:pPr>
      <w:r w:rsidRPr="00601A7E">
        <w:rPr>
          <w:rFonts w:ascii="Arial" w:hAnsi="Arial" w:eastAsia="Calibri" w:cs="Arial"/>
          <w:sz w:val="22"/>
        </w:rPr>
        <w:t>Sin embargo, para esta Subdirec</w:t>
      </w:r>
      <w:r w:rsidRPr="00601A7E">
        <w:rPr>
          <w:rFonts w:ascii="Arial" w:hAnsi="Arial" w:eastAsia="Calibri" w:cs="Arial"/>
          <w:bCs/>
          <w:color w:val="000000" w:themeColor="text1"/>
          <w:sz w:val="22"/>
        </w:rPr>
        <w:t>ción</w:t>
      </w:r>
      <w:r w:rsidR="002B0CE9">
        <w:rPr>
          <w:rFonts w:ascii="Arial" w:hAnsi="Arial" w:eastAsia="Calibri" w:cs="Arial"/>
          <w:bCs/>
          <w:color w:val="000000" w:themeColor="text1"/>
          <w:sz w:val="22"/>
        </w:rPr>
        <w:t>,</w:t>
      </w:r>
      <w:r w:rsidRPr="00601A7E">
        <w:rPr>
          <w:rFonts w:ascii="Arial" w:hAnsi="Arial" w:eastAsia="Calibri" w:cs="Arial"/>
          <w:bCs/>
          <w:color w:val="000000" w:themeColor="text1"/>
          <w:sz w:val="22"/>
        </w:rPr>
        <w:t xml:space="preserve"> </w:t>
      </w:r>
      <w:r w:rsidR="00036DBB">
        <w:rPr>
          <w:rFonts w:ascii="Arial" w:hAnsi="Arial" w:eastAsia="Calibri" w:cs="Arial"/>
          <w:bCs/>
          <w:color w:val="000000" w:themeColor="text1"/>
          <w:sz w:val="22"/>
        </w:rPr>
        <w:t>la literalidad d</w:t>
      </w:r>
      <w:r w:rsidRPr="00601A7E" w:rsidR="00830F1E">
        <w:rPr>
          <w:rFonts w:ascii="Arial" w:hAnsi="Arial" w:eastAsia="Calibri" w:cs="Arial"/>
          <w:bCs/>
          <w:color w:val="000000" w:themeColor="text1"/>
          <w:sz w:val="22"/>
        </w:rPr>
        <w:t xml:space="preserve">el contenido de </w:t>
      </w:r>
      <w:r w:rsidR="002B0CE9">
        <w:rPr>
          <w:rFonts w:ascii="Arial" w:hAnsi="Arial" w:eastAsia="Calibri" w:cs="Arial"/>
          <w:bCs/>
          <w:color w:val="000000" w:themeColor="text1"/>
          <w:sz w:val="22"/>
        </w:rPr>
        <w:t xml:space="preserve">dicha causal de rechazo </w:t>
      </w:r>
      <w:r w:rsidRPr="00601A7E" w:rsidR="00830F1E">
        <w:rPr>
          <w:rFonts w:ascii="Arial" w:hAnsi="Arial" w:eastAsia="Calibri" w:cs="Arial"/>
          <w:bCs/>
          <w:color w:val="000000" w:themeColor="text1"/>
          <w:sz w:val="22"/>
        </w:rPr>
        <w:t xml:space="preserve">se encuentra </w:t>
      </w:r>
      <w:r w:rsidR="002B0CE9">
        <w:rPr>
          <w:rFonts w:ascii="Arial" w:hAnsi="Arial" w:eastAsia="Calibri" w:cs="Arial"/>
          <w:bCs/>
          <w:color w:val="000000" w:themeColor="text1"/>
          <w:sz w:val="22"/>
        </w:rPr>
        <w:t>modificada</w:t>
      </w:r>
      <w:r w:rsidR="00036DBB">
        <w:rPr>
          <w:rFonts w:ascii="Arial" w:hAnsi="Arial" w:eastAsia="Calibri" w:cs="Arial"/>
          <w:bCs/>
          <w:color w:val="000000" w:themeColor="text1"/>
          <w:sz w:val="22"/>
        </w:rPr>
        <w:t xml:space="preserve"> temporalmente</w:t>
      </w:r>
      <w:r w:rsidRPr="00601A7E" w:rsidR="00830F1E">
        <w:rPr>
          <w:rFonts w:ascii="Arial" w:hAnsi="Arial" w:eastAsia="Calibri" w:cs="Arial"/>
          <w:bCs/>
          <w:color w:val="000000" w:themeColor="text1"/>
          <w:sz w:val="22"/>
        </w:rPr>
        <w:t xml:space="preserve"> por el Decreto 434 de 2020. </w:t>
      </w:r>
      <w:r w:rsidR="002B0CE9">
        <w:rPr>
          <w:rFonts w:ascii="Arial" w:hAnsi="Arial" w:eastAsia="Calibri" w:cs="Arial"/>
          <w:bCs/>
          <w:color w:val="000000" w:themeColor="text1"/>
          <w:sz w:val="22"/>
        </w:rPr>
        <w:t>En efecto</w:t>
      </w:r>
      <w:r w:rsidRPr="00601A7E" w:rsidR="00830F1E">
        <w:rPr>
          <w:rFonts w:ascii="Arial" w:hAnsi="Arial" w:eastAsia="Calibri" w:cs="Arial"/>
          <w:bCs/>
          <w:color w:val="000000" w:themeColor="text1"/>
          <w:sz w:val="22"/>
        </w:rPr>
        <w:t xml:space="preserve">, </w:t>
      </w:r>
      <w:r w:rsidR="002B0CE9">
        <w:rPr>
          <w:rFonts w:ascii="Arial" w:hAnsi="Arial" w:eastAsia="Calibri" w:cs="Arial"/>
          <w:bCs/>
          <w:color w:val="000000" w:themeColor="text1"/>
          <w:sz w:val="22"/>
        </w:rPr>
        <w:t xml:space="preserve">los documentos tipo, de manera general, </w:t>
      </w:r>
      <w:r w:rsidRPr="00601A7E" w:rsidR="00830F1E">
        <w:rPr>
          <w:rFonts w:ascii="Arial" w:hAnsi="Arial" w:eastAsia="Calibri" w:cs="Arial"/>
          <w:bCs/>
          <w:color w:val="000000" w:themeColor="text1"/>
          <w:sz w:val="22"/>
        </w:rPr>
        <w:t>previendo los posibles cambios normativos que se llega</w:t>
      </w:r>
      <w:r w:rsidR="002B0CE9">
        <w:rPr>
          <w:rFonts w:ascii="Arial" w:hAnsi="Arial" w:eastAsia="Calibri" w:cs="Arial"/>
          <w:bCs/>
          <w:color w:val="000000" w:themeColor="text1"/>
          <w:sz w:val="22"/>
        </w:rPr>
        <w:t>ra</w:t>
      </w:r>
      <w:r w:rsidRPr="00601A7E" w:rsidR="00830F1E">
        <w:rPr>
          <w:rFonts w:ascii="Arial" w:hAnsi="Arial" w:eastAsia="Calibri" w:cs="Arial"/>
          <w:bCs/>
          <w:color w:val="000000" w:themeColor="text1"/>
          <w:sz w:val="22"/>
        </w:rPr>
        <w:t xml:space="preserve">n a presentar </w:t>
      </w:r>
      <w:r w:rsidRPr="00601A7E" w:rsidR="001B607C">
        <w:rPr>
          <w:rFonts w:ascii="Arial" w:hAnsi="Arial" w:eastAsia="Calibri" w:cs="Arial"/>
          <w:bCs/>
          <w:color w:val="000000" w:themeColor="text1"/>
          <w:sz w:val="22"/>
        </w:rPr>
        <w:t xml:space="preserve">y </w:t>
      </w:r>
      <w:r w:rsidRPr="00601A7E" w:rsidR="00C23227">
        <w:rPr>
          <w:rFonts w:ascii="Arial" w:hAnsi="Arial" w:eastAsia="Calibri" w:cs="Arial"/>
          <w:bCs/>
          <w:color w:val="000000" w:themeColor="text1"/>
          <w:sz w:val="22"/>
        </w:rPr>
        <w:t xml:space="preserve">que </w:t>
      </w:r>
      <w:r w:rsidRPr="00601A7E" w:rsidR="001B607C">
        <w:rPr>
          <w:rFonts w:ascii="Arial" w:hAnsi="Arial" w:eastAsia="Calibri" w:cs="Arial"/>
          <w:bCs/>
          <w:color w:val="000000" w:themeColor="text1"/>
          <w:sz w:val="22"/>
        </w:rPr>
        <w:t>t</w:t>
      </w:r>
      <w:r w:rsidR="002B0CE9">
        <w:rPr>
          <w:rFonts w:ascii="Arial" w:hAnsi="Arial" w:eastAsia="Calibri" w:cs="Arial"/>
          <w:bCs/>
          <w:color w:val="000000" w:themeColor="text1"/>
          <w:sz w:val="22"/>
        </w:rPr>
        <w:t>uvieran</w:t>
      </w:r>
      <w:r w:rsidRPr="00601A7E" w:rsidR="001B607C">
        <w:rPr>
          <w:rFonts w:ascii="Arial" w:hAnsi="Arial" w:eastAsia="Calibri" w:cs="Arial"/>
          <w:bCs/>
          <w:color w:val="000000" w:themeColor="text1"/>
          <w:sz w:val="22"/>
        </w:rPr>
        <w:t xml:space="preserve"> incidencia</w:t>
      </w:r>
      <w:r w:rsidR="002B0CE9">
        <w:rPr>
          <w:rFonts w:ascii="Arial" w:hAnsi="Arial" w:eastAsia="Calibri" w:cs="Arial"/>
          <w:bCs/>
          <w:color w:val="000000" w:themeColor="text1"/>
          <w:sz w:val="22"/>
        </w:rPr>
        <w:t xml:space="preserve"> en</w:t>
      </w:r>
      <w:r w:rsidRPr="00601A7E" w:rsidR="001B607C">
        <w:rPr>
          <w:rFonts w:ascii="Arial" w:hAnsi="Arial" w:eastAsia="Calibri" w:cs="Arial"/>
          <w:bCs/>
          <w:color w:val="000000" w:themeColor="text1"/>
          <w:sz w:val="22"/>
        </w:rPr>
        <w:t xml:space="preserve"> </w:t>
      </w:r>
      <w:r w:rsidR="002B0CE9">
        <w:rPr>
          <w:rFonts w:ascii="Arial" w:hAnsi="Arial" w:eastAsia="Calibri" w:cs="Arial"/>
          <w:bCs/>
          <w:color w:val="000000" w:themeColor="text1"/>
          <w:sz w:val="22"/>
        </w:rPr>
        <w:t>su contenido, en</w:t>
      </w:r>
      <w:r w:rsidRPr="00601A7E" w:rsidR="00017995">
        <w:rPr>
          <w:rFonts w:ascii="Arial" w:hAnsi="Arial" w:eastAsia="Calibri" w:cs="Arial"/>
          <w:bCs/>
          <w:color w:val="000000" w:themeColor="text1"/>
          <w:sz w:val="22"/>
        </w:rPr>
        <w:t xml:space="preserve"> la </w:t>
      </w:r>
      <w:r w:rsidRPr="00601A7E" w:rsidR="00C23227">
        <w:rPr>
          <w:rFonts w:ascii="Arial" w:hAnsi="Arial" w:eastAsia="Calibri" w:cs="Arial"/>
          <w:bCs/>
          <w:color w:val="000000" w:themeColor="text1"/>
          <w:sz w:val="22"/>
        </w:rPr>
        <w:t>«</w:t>
      </w:r>
      <w:r w:rsidRPr="00601A7E" w:rsidR="00017995">
        <w:rPr>
          <w:rFonts w:ascii="Arial" w:hAnsi="Arial" w:eastAsia="Calibri" w:cs="Arial"/>
          <w:bCs/>
          <w:color w:val="000000" w:themeColor="text1"/>
          <w:sz w:val="22"/>
        </w:rPr>
        <w:t>introducción</w:t>
      </w:r>
      <w:r w:rsidRPr="00601A7E" w:rsidR="00C23227">
        <w:rPr>
          <w:rFonts w:ascii="Arial" w:hAnsi="Arial" w:eastAsia="Calibri" w:cs="Arial"/>
          <w:bCs/>
          <w:color w:val="000000" w:themeColor="text1"/>
          <w:sz w:val="22"/>
        </w:rPr>
        <w:t>»</w:t>
      </w:r>
      <w:r w:rsidRPr="00601A7E" w:rsidR="00017995">
        <w:rPr>
          <w:rFonts w:ascii="Arial" w:hAnsi="Arial" w:eastAsia="Calibri" w:cs="Arial"/>
          <w:bCs/>
          <w:color w:val="000000" w:themeColor="text1"/>
          <w:sz w:val="22"/>
        </w:rPr>
        <w:t xml:space="preserve"> fue incluida </w:t>
      </w:r>
      <w:r w:rsidRPr="00601A7E" w:rsidR="00152DD5">
        <w:rPr>
          <w:rFonts w:ascii="Arial" w:hAnsi="Arial" w:eastAsia="Calibri" w:cs="Arial"/>
          <w:bCs/>
          <w:color w:val="000000" w:themeColor="text1"/>
          <w:sz w:val="22"/>
        </w:rPr>
        <w:t xml:space="preserve">una disposición que imprime la obligación a las entidades de aplicar la normatividad </w:t>
      </w:r>
      <w:r w:rsidR="002B0CE9">
        <w:rPr>
          <w:rFonts w:ascii="Arial" w:hAnsi="Arial" w:eastAsia="Calibri" w:cs="Arial"/>
          <w:bCs/>
          <w:color w:val="000000" w:themeColor="text1"/>
          <w:sz w:val="22"/>
        </w:rPr>
        <w:t>vigente</w:t>
      </w:r>
      <w:r w:rsidRPr="00601A7E" w:rsidR="002B0CE9">
        <w:rPr>
          <w:rFonts w:ascii="Arial" w:hAnsi="Arial" w:eastAsia="Calibri" w:cs="Arial"/>
          <w:bCs/>
          <w:color w:val="000000" w:themeColor="text1"/>
          <w:sz w:val="22"/>
        </w:rPr>
        <w:t xml:space="preserve"> </w:t>
      </w:r>
      <w:r w:rsidRPr="00601A7E" w:rsidR="00152DD5">
        <w:rPr>
          <w:rFonts w:ascii="Arial" w:hAnsi="Arial" w:eastAsia="Calibri" w:cs="Arial"/>
          <w:bCs/>
          <w:color w:val="000000" w:themeColor="text1"/>
          <w:sz w:val="22"/>
        </w:rPr>
        <w:t>así</w:t>
      </w:r>
      <w:r w:rsidRPr="00601A7E" w:rsidR="00017995">
        <w:rPr>
          <w:rFonts w:ascii="Arial" w:hAnsi="Arial" w:eastAsia="Calibri" w:cs="Arial"/>
          <w:bCs/>
          <w:color w:val="000000" w:themeColor="text1"/>
          <w:sz w:val="22"/>
        </w:rPr>
        <w:t>: «El uso de los Documentos Tipo no exime a la Entidad Estatal de la obligación que le asiste de aplicar la normativa y la jurisprudencia aplicable al Proceso de Contratación</w:t>
      </w:r>
      <w:r w:rsidRPr="00601A7E" w:rsidR="00B531F9">
        <w:rPr>
          <w:rFonts w:ascii="Arial" w:hAnsi="Arial" w:eastAsia="Calibri" w:cs="Arial"/>
          <w:bCs/>
          <w:color w:val="000000" w:themeColor="text1"/>
          <w:sz w:val="22"/>
        </w:rPr>
        <w:t xml:space="preserve"> […]</w:t>
      </w:r>
      <w:r w:rsidRPr="00601A7E" w:rsidR="00017995">
        <w:rPr>
          <w:rFonts w:ascii="Arial" w:hAnsi="Arial" w:eastAsia="Calibri" w:cs="Arial"/>
          <w:bCs/>
          <w:color w:val="000000" w:themeColor="text1"/>
          <w:sz w:val="22"/>
        </w:rPr>
        <w:t>»</w:t>
      </w:r>
      <w:r w:rsidRPr="00601A7E" w:rsidR="00152DD5">
        <w:rPr>
          <w:rFonts w:ascii="Arial" w:hAnsi="Arial" w:eastAsia="Calibri" w:cs="Arial"/>
          <w:bCs/>
          <w:color w:val="000000" w:themeColor="text1"/>
          <w:sz w:val="22"/>
        </w:rPr>
        <w:t xml:space="preserve">. </w:t>
      </w:r>
    </w:p>
    <w:p w:rsidRPr="00601A7E" w:rsidR="00152DD5" w:rsidP="00C23227" w:rsidRDefault="002B0CE9" w14:paraId="73F7B649" w14:textId="151385D2">
      <w:pPr>
        <w:spacing w:after="120" w:line="276" w:lineRule="auto"/>
        <w:ind w:firstLine="709"/>
        <w:jc w:val="both"/>
        <w:rPr>
          <w:rFonts w:ascii="Arial" w:hAnsi="Arial" w:eastAsia="Calibri" w:cs="Arial"/>
          <w:bCs/>
          <w:color w:val="000000" w:themeColor="text1"/>
          <w:sz w:val="22"/>
        </w:rPr>
      </w:pPr>
      <w:r>
        <w:rPr>
          <w:rFonts w:ascii="Arial" w:hAnsi="Arial" w:eastAsia="Calibri" w:cs="Arial"/>
          <w:bCs/>
          <w:color w:val="000000" w:themeColor="text1"/>
          <w:sz w:val="22"/>
        </w:rPr>
        <w:t xml:space="preserve">Frente al supuesto anterior, se presenta el </w:t>
      </w:r>
      <w:r w:rsidR="00590852">
        <w:rPr>
          <w:rFonts w:ascii="Arial" w:hAnsi="Arial" w:eastAsia="Calibri" w:cs="Arial"/>
          <w:bCs/>
          <w:color w:val="000000" w:themeColor="text1"/>
          <w:sz w:val="22"/>
        </w:rPr>
        <w:t>fenómeno de la</w:t>
      </w:r>
      <w:r w:rsidRPr="00601A7E" w:rsidR="00152DD5">
        <w:rPr>
          <w:rFonts w:ascii="Arial" w:hAnsi="Arial" w:eastAsia="Calibri" w:cs="Arial"/>
          <w:bCs/>
          <w:color w:val="000000" w:themeColor="text1"/>
          <w:sz w:val="22"/>
        </w:rPr>
        <w:t xml:space="preserve"> </w:t>
      </w:r>
      <w:r w:rsidRPr="00601A7E" w:rsidR="00601A7E">
        <w:rPr>
          <w:rFonts w:ascii="Arial" w:hAnsi="Arial" w:eastAsia="Calibri" w:cs="Arial"/>
          <w:bCs/>
          <w:color w:val="000000" w:themeColor="text1"/>
          <w:sz w:val="22"/>
        </w:rPr>
        <w:t>pérdida</w:t>
      </w:r>
      <w:r w:rsidRPr="00601A7E" w:rsidR="00152DD5">
        <w:rPr>
          <w:rFonts w:ascii="Arial" w:hAnsi="Arial" w:eastAsia="Calibri" w:cs="Arial"/>
          <w:bCs/>
          <w:color w:val="000000" w:themeColor="text1"/>
          <w:sz w:val="22"/>
        </w:rPr>
        <w:t xml:space="preserve"> de fuerza ejecutoria, limitada </w:t>
      </w:r>
      <w:r w:rsidR="00590852">
        <w:rPr>
          <w:rFonts w:ascii="Arial" w:hAnsi="Arial" w:eastAsia="Calibri" w:cs="Arial"/>
          <w:bCs/>
          <w:color w:val="000000" w:themeColor="text1"/>
          <w:sz w:val="22"/>
        </w:rPr>
        <w:t>al año 2020</w:t>
      </w:r>
      <w:r w:rsidRPr="00601A7E" w:rsidR="0088492F">
        <w:rPr>
          <w:rFonts w:ascii="Arial" w:hAnsi="Arial" w:eastAsia="Calibri" w:cs="Arial"/>
          <w:bCs/>
          <w:color w:val="000000" w:themeColor="text1"/>
          <w:sz w:val="22"/>
        </w:rPr>
        <w:t xml:space="preserve">, </w:t>
      </w:r>
      <w:r w:rsidR="00C9366B">
        <w:rPr>
          <w:rFonts w:ascii="Arial" w:hAnsi="Arial" w:eastAsia="Calibri" w:cs="Arial"/>
          <w:bCs/>
          <w:color w:val="000000" w:themeColor="text1"/>
          <w:sz w:val="22"/>
        </w:rPr>
        <w:t>con fundamento en lo siguiente</w:t>
      </w:r>
      <w:r w:rsidRPr="00601A7E" w:rsidR="0088492F">
        <w:rPr>
          <w:rFonts w:ascii="Arial" w:hAnsi="Arial" w:eastAsia="Calibri" w:cs="Arial"/>
          <w:bCs/>
          <w:color w:val="000000" w:themeColor="text1"/>
          <w:sz w:val="22"/>
        </w:rPr>
        <w:t xml:space="preserve">: </w:t>
      </w:r>
    </w:p>
    <w:p w:rsidR="0088492F" w:rsidP="00C23227" w:rsidRDefault="0088492F" w14:paraId="6605FDE0" w14:textId="683C281B">
      <w:pPr>
        <w:spacing w:after="120" w:line="276" w:lineRule="auto"/>
        <w:ind w:firstLine="709"/>
        <w:jc w:val="both"/>
        <w:rPr>
          <w:rFonts w:ascii="Arial" w:hAnsi="Arial" w:eastAsia="Calibri" w:cs="Arial"/>
          <w:bCs/>
          <w:color w:val="000000" w:themeColor="text1"/>
          <w:sz w:val="22"/>
        </w:rPr>
      </w:pPr>
      <w:r w:rsidRPr="00601A7E">
        <w:rPr>
          <w:rFonts w:ascii="Arial" w:hAnsi="Arial" w:eastAsia="Calibri" w:cs="Arial"/>
          <w:bCs/>
          <w:color w:val="000000" w:themeColor="text1"/>
          <w:sz w:val="22"/>
        </w:rPr>
        <w:t xml:space="preserve">El artículo 91 de la Ley 1437 de 2011, </w:t>
      </w:r>
      <w:r w:rsidRPr="00601A7E" w:rsidR="00762C9A">
        <w:rPr>
          <w:rFonts w:ascii="Arial" w:hAnsi="Arial" w:eastAsia="Calibri" w:cs="Arial"/>
          <w:bCs/>
          <w:color w:val="000000" w:themeColor="text1"/>
          <w:sz w:val="22"/>
        </w:rPr>
        <w:t>señala los</w:t>
      </w:r>
      <w:r w:rsidRPr="00601A7E" w:rsidR="0037462A">
        <w:rPr>
          <w:rFonts w:ascii="Arial" w:hAnsi="Arial" w:eastAsia="Calibri" w:cs="Arial"/>
          <w:bCs/>
          <w:color w:val="000000" w:themeColor="text1"/>
          <w:sz w:val="22"/>
        </w:rPr>
        <w:t xml:space="preserve"> casos </w:t>
      </w:r>
      <w:r w:rsidRPr="00601A7E" w:rsidR="00762C9A">
        <w:rPr>
          <w:rFonts w:ascii="Arial" w:hAnsi="Arial" w:eastAsia="Calibri" w:cs="Arial"/>
          <w:bCs/>
          <w:color w:val="000000" w:themeColor="text1"/>
          <w:sz w:val="22"/>
        </w:rPr>
        <w:t>concretos que</w:t>
      </w:r>
      <w:r w:rsidRPr="00601A7E" w:rsidR="0088539C">
        <w:rPr>
          <w:rFonts w:ascii="Arial" w:hAnsi="Arial" w:eastAsia="Calibri" w:cs="Arial"/>
          <w:bCs/>
          <w:color w:val="000000" w:themeColor="text1"/>
          <w:sz w:val="22"/>
        </w:rPr>
        <w:t xml:space="preserve"> generan la p</w:t>
      </w:r>
      <w:r w:rsidR="008553D5">
        <w:rPr>
          <w:rFonts w:ascii="Arial" w:hAnsi="Arial" w:eastAsia="Calibri" w:cs="Arial"/>
          <w:bCs/>
          <w:color w:val="000000" w:themeColor="text1"/>
          <w:sz w:val="22"/>
        </w:rPr>
        <w:t>é</w:t>
      </w:r>
      <w:r w:rsidRPr="00601A7E" w:rsidR="0088539C">
        <w:rPr>
          <w:rFonts w:ascii="Arial" w:hAnsi="Arial" w:eastAsia="Calibri" w:cs="Arial"/>
          <w:bCs/>
          <w:color w:val="000000" w:themeColor="text1"/>
          <w:sz w:val="22"/>
        </w:rPr>
        <w:t xml:space="preserve">rdida de ejecutoriedad del acto administrativo, denominadas por la doctrina administrativa </w:t>
      </w:r>
      <w:r w:rsidRPr="00601A7E" w:rsidR="0088539C">
        <w:rPr>
          <w:rFonts w:ascii="Arial" w:hAnsi="Arial" w:eastAsia="Calibri" w:cs="Arial"/>
          <w:bCs/>
          <w:color w:val="000000" w:themeColor="text1"/>
          <w:sz w:val="22"/>
        </w:rPr>
        <w:lastRenderedPageBreak/>
        <w:t>como «alteraciones a la normal eficacia del acto administrativo» según Santofimio Gambo</w:t>
      </w:r>
      <w:r w:rsidR="008553D5">
        <w:rPr>
          <w:rFonts w:ascii="Arial" w:hAnsi="Arial" w:eastAsia="Calibri" w:cs="Arial"/>
          <w:bCs/>
          <w:color w:val="000000" w:themeColor="text1"/>
          <w:sz w:val="22"/>
        </w:rPr>
        <w:t>a. D</w:t>
      </w:r>
      <w:r w:rsidRPr="00601A7E" w:rsidR="0037462A">
        <w:rPr>
          <w:rFonts w:ascii="Arial" w:hAnsi="Arial" w:eastAsia="Calibri" w:cs="Arial"/>
          <w:bCs/>
          <w:color w:val="000000" w:themeColor="text1"/>
          <w:sz w:val="22"/>
        </w:rPr>
        <w:t xml:space="preserve">entro de las cuales se encuentran: </w:t>
      </w:r>
    </w:p>
    <w:p w:rsidRPr="00601A7E" w:rsidR="00202203" w:rsidP="00A14472" w:rsidRDefault="00202203" w14:paraId="1FF17D00" w14:textId="77777777">
      <w:pPr>
        <w:spacing w:line="276" w:lineRule="auto"/>
        <w:ind w:firstLine="709"/>
        <w:jc w:val="both"/>
        <w:rPr>
          <w:rFonts w:ascii="Arial" w:hAnsi="Arial" w:eastAsia="Calibri" w:cs="Arial"/>
          <w:bCs/>
          <w:color w:val="000000" w:themeColor="text1"/>
          <w:sz w:val="22"/>
        </w:rPr>
      </w:pPr>
    </w:p>
    <w:p w:rsidRPr="00A14472" w:rsidR="0037462A" w:rsidP="70631289" w:rsidRDefault="0037462A" w14:paraId="4D3BAF17" w14:textId="77777777">
      <w:pPr>
        <w:pStyle w:val="Prrafodelista"/>
        <w:numPr>
          <w:ilvl w:val="0"/>
          <w:numId w:val="10"/>
        </w:numPr>
        <w:spacing w:after="120"/>
        <w:ind w:left="1134" w:right="709" w:hanging="425"/>
        <w:jc w:val="both"/>
        <w:rPr>
          <w:rFonts w:ascii="Arial" w:hAnsi="Arial" w:eastAsia="Calibri" w:cs="Arial"/>
          <w:color w:val="000000" w:themeColor="text1"/>
          <w:sz w:val="21"/>
          <w:szCs w:val="21"/>
          <w:lang w:eastAsia="en-US"/>
        </w:rPr>
      </w:pPr>
      <w:r w:rsidRPr="70631289" w:rsidR="0037462A">
        <w:rPr>
          <w:rFonts w:ascii="Arial" w:hAnsi="Arial" w:eastAsia="Calibri" w:cs="Arial"/>
          <w:color w:val="000000" w:themeColor="text1" w:themeTint="FF" w:themeShade="FF"/>
          <w:sz w:val="21"/>
          <w:szCs w:val="21"/>
          <w:lang w:eastAsia="en-US"/>
        </w:rPr>
        <w:t>Cuando sean suspendidos provisionalmente sus efectos por la Jurisdicción de lo Contencioso Administrativo.</w:t>
      </w:r>
    </w:p>
    <w:p w:rsidRPr="00A14472" w:rsidR="0037462A" w:rsidP="70631289" w:rsidRDefault="0037462A" w14:paraId="59CAC152" w14:textId="42284938">
      <w:pPr>
        <w:pStyle w:val="Prrafodelista"/>
        <w:numPr>
          <w:ilvl w:val="0"/>
          <w:numId w:val="10"/>
        </w:numPr>
        <w:spacing w:after="120"/>
        <w:ind w:left="1134" w:right="709" w:hanging="425"/>
        <w:jc w:val="both"/>
        <w:rPr>
          <w:rFonts w:ascii="Arial" w:hAnsi="Arial" w:eastAsia="Calibri" w:cs="Arial"/>
          <w:color w:val="000000" w:themeColor="text1"/>
          <w:sz w:val="21"/>
          <w:szCs w:val="21"/>
        </w:rPr>
      </w:pPr>
      <w:r w:rsidRPr="70631289" w:rsidR="0037462A">
        <w:rPr>
          <w:rFonts w:ascii="Arial" w:hAnsi="Arial" w:eastAsia="Calibri" w:cs="Arial"/>
          <w:color w:val="000000" w:themeColor="text1" w:themeTint="FF" w:themeShade="FF"/>
          <w:sz w:val="21"/>
          <w:szCs w:val="21"/>
        </w:rPr>
        <w:t>Cuando desaparezcan sus fundamentos de hecho o de derecho.</w:t>
      </w:r>
    </w:p>
    <w:p w:rsidRPr="00A14472" w:rsidR="0037462A" w:rsidP="70631289" w:rsidRDefault="0037462A" w14:paraId="1E8DBEEA" w14:textId="7F91C134">
      <w:pPr>
        <w:pStyle w:val="Prrafodelista"/>
        <w:numPr>
          <w:ilvl w:val="0"/>
          <w:numId w:val="10"/>
        </w:numPr>
        <w:spacing w:after="120"/>
        <w:ind w:left="1134" w:right="709" w:hanging="425"/>
        <w:jc w:val="both"/>
        <w:rPr>
          <w:rFonts w:ascii="Arial" w:hAnsi="Arial" w:eastAsia="Calibri" w:cs="Arial"/>
          <w:color w:val="000000" w:themeColor="text1"/>
          <w:sz w:val="21"/>
          <w:szCs w:val="21"/>
        </w:rPr>
      </w:pPr>
      <w:r w:rsidRPr="70631289" w:rsidR="0037462A">
        <w:rPr>
          <w:rFonts w:ascii="Arial" w:hAnsi="Arial" w:eastAsia="Calibri" w:cs="Arial"/>
          <w:color w:val="000000" w:themeColor="text1" w:themeTint="FF" w:themeShade="FF"/>
          <w:sz w:val="21"/>
          <w:szCs w:val="21"/>
        </w:rPr>
        <w:t>Cuando al cabo de cinco (5) años de estar en firme, la autoridad no ha realizado los actos que le correspondan para ejecutarlos.</w:t>
      </w:r>
    </w:p>
    <w:p w:rsidRPr="00A14472" w:rsidR="0037462A" w:rsidP="70631289" w:rsidRDefault="0037462A" w14:paraId="15ADF79B" w14:textId="4F9D70DE">
      <w:pPr>
        <w:pStyle w:val="Prrafodelista"/>
        <w:numPr>
          <w:ilvl w:val="0"/>
          <w:numId w:val="10"/>
        </w:numPr>
        <w:spacing w:after="120"/>
        <w:ind w:left="1134" w:right="709" w:hanging="425"/>
        <w:jc w:val="both"/>
        <w:rPr>
          <w:rFonts w:ascii="Arial" w:hAnsi="Arial" w:eastAsia="Calibri" w:cs="Arial"/>
          <w:color w:val="000000" w:themeColor="text1"/>
          <w:sz w:val="21"/>
          <w:szCs w:val="21"/>
        </w:rPr>
      </w:pPr>
      <w:r w:rsidRPr="70631289" w:rsidR="0037462A">
        <w:rPr>
          <w:rFonts w:ascii="Arial" w:hAnsi="Arial" w:eastAsia="Calibri" w:cs="Arial"/>
          <w:color w:val="000000" w:themeColor="text1" w:themeTint="FF" w:themeShade="FF"/>
          <w:sz w:val="21"/>
          <w:szCs w:val="21"/>
        </w:rPr>
        <w:t>Cuando se cumpla la condición resolutoria a que se encuentre sometido el acto.</w:t>
      </w:r>
    </w:p>
    <w:p w:rsidRPr="00A14472" w:rsidR="0037462A" w:rsidP="70631289" w:rsidRDefault="0037462A" w14:paraId="65FFD4DB" w14:textId="0D90CF84">
      <w:pPr>
        <w:pStyle w:val="Prrafodelista"/>
        <w:numPr>
          <w:ilvl w:val="0"/>
          <w:numId w:val="10"/>
        </w:numPr>
        <w:spacing w:after="120"/>
        <w:ind w:left="1134" w:right="709" w:hanging="425"/>
        <w:jc w:val="both"/>
        <w:rPr>
          <w:rFonts w:ascii="Arial" w:hAnsi="Arial" w:eastAsia="Calibri" w:cs="Arial"/>
          <w:color w:val="000000" w:themeColor="text1"/>
          <w:sz w:val="21"/>
          <w:szCs w:val="21"/>
        </w:rPr>
      </w:pPr>
      <w:r w:rsidRPr="70631289" w:rsidR="0037462A">
        <w:rPr>
          <w:rFonts w:ascii="Arial" w:hAnsi="Arial" w:eastAsia="Calibri" w:cs="Arial"/>
          <w:color w:val="000000" w:themeColor="text1"/>
          <w:sz w:val="21"/>
          <w:szCs w:val="21"/>
        </w:rPr>
        <w:t>Cuando pierdan vigencia</w:t>
      </w:r>
      <w:r w:rsidRPr="70631289">
        <w:rPr>
          <w:rStyle w:val="Refdenotaalpie"/>
          <w:rFonts w:ascii="Arial" w:hAnsi="Arial" w:eastAsia="Calibri" w:cs="Arial"/>
          <w:color w:val="000000" w:themeColor="text1"/>
          <w:sz w:val="21"/>
          <w:szCs w:val="21"/>
        </w:rPr>
        <w:footnoteReference w:id="5"/>
      </w:r>
      <w:r w:rsidRPr="70631289" w:rsidR="0037462A">
        <w:rPr>
          <w:rFonts w:ascii="Arial" w:hAnsi="Arial" w:eastAsia="Calibri" w:cs="Arial"/>
          <w:color w:val="000000" w:themeColor="text1"/>
          <w:sz w:val="21"/>
          <w:szCs w:val="21"/>
        </w:rPr>
        <w:t>.</w:t>
      </w:r>
    </w:p>
    <w:p w:rsidRPr="00601A7E" w:rsidR="008553D5" w:rsidP="00A14472" w:rsidRDefault="008553D5" w14:paraId="0775ABF6" w14:textId="77777777">
      <w:pPr>
        <w:pStyle w:val="Prrafodelista"/>
        <w:spacing w:after="120" w:line="276" w:lineRule="auto"/>
        <w:ind w:left="1429" w:right="709"/>
        <w:jc w:val="both"/>
        <w:rPr>
          <w:rFonts w:ascii="Arial" w:hAnsi="Arial" w:eastAsia="Calibri" w:cs="Arial"/>
          <w:bCs/>
          <w:color w:val="000000" w:themeColor="text1"/>
          <w:sz w:val="22"/>
        </w:rPr>
      </w:pPr>
    </w:p>
    <w:p w:rsidR="00762C9A" w:rsidP="00762C9A" w:rsidRDefault="008F30CE" w14:paraId="139FFBE9" w14:textId="6362169D">
      <w:pPr>
        <w:spacing w:after="120" w:line="276" w:lineRule="auto"/>
        <w:ind w:firstLine="709"/>
        <w:jc w:val="both"/>
        <w:rPr>
          <w:rFonts w:ascii="Arial" w:hAnsi="Arial" w:eastAsia="Calibri" w:cs="Arial"/>
          <w:bCs/>
          <w:color w:val="000000" w:themeColor="text1"/>
          <w:sz w:val="22"/>
        </w:rPr>
      </w:pPr>
      <w:r w:rsidRPr="00601A7E">
        <w:rPr>
          <w:rFonts w:ascii="Arial" w:hAnsi="Arial" w:eastAsia="Calibri" w:cs="Arial"/>
          <w:bCs/>
          <w:color w:val="000000" w:themeColor="text1"/>
          <w:sz w:val="22"/>
        </w:rPr>
        <w:t xml:space="preserve">En la conformación de </w:t>
      </w:r>
      <w:r w:rsidRPr="00601A7E" w:rsidR="00762C9A">
        <w:rPr>
          <w:rFonts w:ascii="Arial" w:hAnsi="Arial" w:eastAsia="Calibri" w:cs="Arial"/>
          <w:bCs/>
          <w:color w:val="000000" w:themeColor="text1"/>
          <w:sz w:val="22"/>
        </w:rPr>
        <w:t xml:space="preserve">los Documentos Tipo, </w:t>
      </w:r>
      <w:r w:rsidRPr="00601A7E">
        <w:rPr>
          <w:rFonts w:ascii="Arial" w:hAnsi="Arial" w:eastAsia="Calibri" w:cs="Arial"/>
          <w:bCs/>
          <w:color w:val="000000" w:themeColor="text1"/>
          <w:sz w:val="22"/>
        </w:rPr>
        <w:t>actualizados</w:t>
      </w:r>
      <w:r w:rsidRPr="00601A7E" w:rsidR="00762C9A">
        <w:rPr>
          <w:rFonts w:ascii="Arial" w:hAnsi="Arial" w:eastAsia="Calibri" w:cs="Arial"/>
          <w:bCs/>
          <w:color w:val="000000" w:themeColor="text1"/>
          <w:sz w:val="22"/>
        </w:rPr>
        <w:t xml:space="preserve"> mediante Resolución 0045 de 2020, se </w:t>
      </w:r>
      <w:r w:rsidR="0089169B">
        <w:rPr>
          <w:rFonts w:ascii="Arial" w:hAnsi="Arial" w:eastAsia="Calibri" w:cs="Arial"/>
          <w:bCs/>
          <w:color w:val="000000" w:themeColor="text1"/>
          <w:sz w:val="22"/>
        </w:rPr>
        <w:t>aplicó lo dispuesto en el</w:t>
      </w:r>
      <w:r w:rsidRPr="00601A7E" w:rsidR="00762C9A">
        <w:rPr>
          <w:rFonts w:ascii="Arial" w:hAnsi="Arial" w:eastAsia="Calibri" w:cs="Arial"/>
          <w:bCs/>
          <w:color w:val="000000" w:themeColor="text1"/>
          <w:sz w:val="22"/>
        </w:rPr>
        <w:t xml:space="preserve"> artículo 2.2.1.1.1.5.1. del Decreto 1082 de 2015, específicamente l</w:t>
      </w:r>
      <w:r w:rsidRPr="00601A7E">
        <w:rPr>
          <w:rFonts w:ascii="Arial" w:hAnsi="Arial" w:eastAsia="Calibri" w:cs="Arial"/>
          <w:bCs/>
          <w:color w:val="000000" w:themeColor="text1"/>
          <w:sz w:val="22"/>
        </w:rPr>
        <w:t>o relacionado con el límite temporal de la renovación del RUP</w:t>
      </w:r>
      <w:r w:rsidR="006738C2">
        <w:rPr>
          <w:rFonts w:ascii="Arial" w:hAnsi="Arial" w:eastAsia="Calibri" w:cs="Arial"/>
          <w:bCs/>
          <w:color w:val="000000" w:themeColor="text1"/>
          <w:sz w:val="22"/>
        </w:rPr>
        <w:t>,</w:t>
      </w:r>
      <w:r w:rsidRPr="00601A7E">
        <w:rPr>
          <w:rFonts w:ascii="Arial" w:hAnsi="Arial" w:eastAsia="Calibri" w:cs="Arial"/>
          <w:bCs/>
          <w:color w:val="000000" w:themeColor="text1"/>
          <w:sz w:val="22"/>
        </w:rPr>
        <w:t xml:space="preserve"> a más tardar el quinto día hábil de</w:t>
      </w:r>
      <w:r w:rsidR="006738C2">
        <w:rPr>
          <w:rFonts w:ascii="Arial" w:hAnsi="Arial" w:eastAsia="Calibri" w:cs="Arial"/>
          <w:bCs/>
          <w:color w:val="000000" w:themeColor="text1"/>
          <w:sz w:val="22"/>
        </w:rPr>
        <w:t>l</w:t>
      </w:r>
      <w:r w:rsidRPr="00601A7E">
        <w:rPr>
          <w:rFonts w:ascii="Arial" w:hAnsi="Arial" w:eastAsia="Calibri" w:cs="Arial"/>
          <w:bCs/>
          <w:color w:val="000000" w:themeColor="text1"/>
          <w:sz w:val="22"/>
        </w:rPr>
        <w:t xml:space="preserve"> mes de abril</w:t>
      </w:r>
      <w:r w:rsidR="00184964">
        <w:rPr>
          <w:rFonts w:ascii="Arial" w:hAnsi="Arial" w:eastAsia="Calibri" w:cs="Arial"/>
          <w:bCs/>
          <w:color w:val="000000" w:themeColor="text1"/>
          <w:sz w:val="22"/>
        </w:rPr>
        <w:t xml:space="preserve"> </w:t>
      </w:r>
      <w:r w:rsidRPr="00601A7E" w:rsidR="00184964">
        <w:rPr>
          <w:rFonts w:ascii="Arial" w:hAnsi="Arial" w:eastAsia="Calibri" w:cs="Arial"/>
          <w:bCs/>
          <w:color w:val="000000" w:themeColor="text1"/>
          <w:sz w:val="22"/>
        </w:rPr>
        <w:t>de cada año</w:t>
      </w:r>
      <w:r w:rsidRPr="00A14472">
        <w:rPr>
          <w:rStyle w:val="Refdenotaalpie"/>
          <w:rFonts w:ascii="Arial" w:hAnsi="Arial" w:eastAsia="Calibri" w:cs="Arial"/>
          <w:bCs/>
          <w:color w:val="000000" w:themeColor="text1"/>
          <w:sz w:val="22"/>
        </w:rPr>
        <w:footnoteReference w:id="6"/>
      </w:r>
      <w:r w:rsidRPr="00601A7E">
        <w:rPr>
          <w:rFonts w:ascii="Arial" w:hAnsi="Arial" w:eastAsia="Calibri" w:cs="Arial"/>
          <w:bCs/>
          <w:color w:val="000000" w:themeColor="text1"/>
          <w:sz w:val="22"/>
        </w:rPr>
        <w:t>, para configurar la causal de rechazo del literal G</w:t>
      </w:r>
      <w:r w:rsidR="006738C2">
        <w:rPr>
          <w:rFonts w:ascii="Arial" w:hAnsi="Arial" w:eastAsia="Calibri" w:cs="Arial"/>
          <w:bCs/>
          <w:color w:val="000000" w:themeColor="text1"/>
          <w:sz w:val="22"/>
        </w:rPr>
        <w:t>;</w:t>
      </w:r>
      <w:r w:rsidRPr="00601A7E">
        <w:rPr>
          <w:rFonts w:ascii="Arial" w:hAnsi="Arial" w:eastAsia="Calibri" w:cs="Arial"/>
          <w:bCs/>
          <w:color w:val="000000" w:themeColor="text1"/>
          <w:sz w:val="22"/>
        </w:rPr>
        <w:t xml:space="preserve"> </w:t>
      </w:r>
      <w:r w:rsidR="0089169B">
        <w:rPr>
          <w:rFonts w:ascii="Arial" w:hAnsi="Arial" w:eastAsia="Calibri" w:cs="Arial"/>
          <w:bCs/>
          <w:color w:val="000000" w:themeColor="text1"/>
          <w:sz w:val="22"/>
        </w:rPr>
        <w:t>no obstante</w:t>
      </w:r>
      <w:r w:rsidRPr="00601A7E" w:rsidR="00A352D4">
        <w:rPr>
          <w:rFonts w:ascii="Arial" w:hAnsi="Arial" w:eastAsia="Calibri" w:cs="Arial"/>
          <w:bCs/>
          <w:color w:val="000000" w:themeColor="text1"/>
          <w:sz w:val="22"/>
        </w:rPr>
        <w:t>, est</w:t>
      </w:r>
      <w:r w:rsidR="0089169B">
        <w:rPr>
          <w:rFonts w:ascii="Arial" w:hAnsi="Arial" w:eastAsia="Calibri" w:cs="Arial"/>
          <w:bCs/>
          <w:color w:val="000000" w:themeColor="text1"/>
          <w:sz w:val="22"/>
        </w:rPr>
        <w:t>a</w:t>
      </w:r>
      <w:r w:rsidRPr="00601A7E" w:rsidR="00A352D4">
        <w:rPr>
          <w:rFonts w:ascii="Arial" w:hAnsi="Arial" w:eastAsia="Calibri" w:cs="Arial"/>
          <w:bCs/>
          <w:color w:val="000000" w:themeColor="text1"/>
          <w:sz w:val="22"/>
        </w:rPr>
        <w:t xml:space="preserve"> f</w:t>
      </w:r>
      <w:r w:rsidR="0089169B">
        <w:rPr>
          <w:rFonts w:ascii="Arial" w:hAnsi="Arial" w:eastAsia="Calibri" w:cs="Arial"/>
          <w:bCs/>
          <w:color w:val="000000" w:themeColor="text1"/>
          <w:sz w:val="22"/>
        </w:rPr>
        <w:t>uente</w:t>
      </w:r>
      <w:r w:rsidRPr="00601A7E" w:rsidR="00A352D4">
        <w:rPr>
          <w:rFonts w:ascii="Arial" w:hAnsi="Arial" w:eastAsia="Calibri" w:cs="Arial"/>
          <w:bCs/>
          <w:color w:val="000000" w:themeColor="text1"/>
          <w:sz w:val="22"/>
        </w:rPr>
        <w:t xml:space="preserve"> </w:t>
      </w:r>
      <w:r w:rsidR="0089169B">
        <w:rPr>
          <w:rFonts w:ascii="Arial" w:hAnsi="Arial" w:eastAsia="Calibri" w:cs="Arial"/>
          <w:bCs/>
          <w:color w:val="000000" w:themeColor="text1"/>
          <w:sz w:val="22"/>
        </w:rPr>
        <w:t>normativa</w:t>
      </w:r>
      <w:r w:rsidRPr="00601A7E" w:rsidR="00A352D4">
        <w:rPr>
          <w:rFonts w:ascii="Arial" w:hAnsi="Arial" w:eastAsia="Calibri" w:cs="Arial"/>
          <w:bCs/>
          <w:color w:val="000000" w:themeColor="text1"/>
          <w:sz w:val="22"/>
        </w:rPr>
        <w:t xml:space="preserve"> sufrió</w:t>
      </w:r>
      <w:r w:rsidR="0089169B">
        <w:rPr>
          <w:rFonts w:ascii="Arial" w:hAnsi="Arial" w:eastAsia="Calibri" w:cs="Arial"/>
          <w:bCs/>
          <w:color w:val="000000" w:themeColor="text1"/>
          <w:sz w:val="22"/>
        </w:rPr>
        <w:t>, para el año 2020,</w:t>
      </w:r>
      <w:r w:rsidRPr="00601A7E" w:rsidR="00A352D4">
        <w:rPr>
          <w:rFonts w:ascii="Arial" w:hAnsi="Arial" w:eastAsia="Calibri" w:cs="Arial"/>
          <w:bCs/>
          <w:color w:val="000000" w:themeColor="text1"/>
          <w:sz w:val="22"/>
        </w:rPr>
        <w:t xml:space="preserve"> una </w:t>
      </w:r>
      <w:r w:rsidR="0089169B">
        <w:rPr>
          <w:rFonts w:ascii="Arial" w:hAnsi="Arial" w:eastAsia="Calibri" w:cs="Arial"/>
          <w:bCs/>
          <w:color w:val="000000" w:themeColor="text1"/>
          <w:sz w:val="22"/>
        </w:rPr>
        <w:t>alteración</w:t>
      </w:r>
      <w:r w:rsidRPr="00601A7E" w:rsidR="0089169B">
        <w:rPr>
          <w:rFonts w:ascii="Arial" w:hAnsi="Arial" w:eastAsia="Calibri" w:cs="Arial"/>
          <w:bCs/>
          <w:color w:val="000000" w:themeColor="text1"/>
          <w:sz w:val="22"/>
        </w:rPr>
        <w:t xml:space="preserve"> </w:t>
      </w:r>
      <w:r w:rsidR="006738C2">
        <w:rPr>
          <w:rFonts w:ascii="Arial" w:hAnsi="Arial" w:eastAsia="Calibri" w:cs="Arial"/>
          <w:bCs/>
          <w:color w:val="000000" w:themeColor="text1"/>
          <w:sz w:val="22"/>
        </w:rPr>
        <w:t>debido a</w:t>
      </w:r>
      <w:r w:rsidRPr="00601A7E" w:rsidR="00A352D4">
        <w:rPr>
          <w:rFonts w:ascii="Arial" w:hAnsi="Arial" w:eastAsia="Calibri" w:cs="Arial"/>
          <w:bCs/>
          <w:color w:val="000000" w:themeColor="text1"/>
          <w:sz w:val="22"/>
        </w:rPr>
        <w:t xml:space="preserve"> la expedición del Decreto 434 de 2020, </w:t>
      </w:r>
      <w:r w:rsidR="0089169B">
        <w:rPr>
          <w:rFonts w:ascii="Arial" w:hAnsi="Arial" w:eastAsia="Calibri" w:cs="Arial"/>
          <w:bCs/>
          <w:color w:val="000000" w:themeColor="text1"/>
          <w:sz w:val="22"/>
        </w:rPr>
        <w:t xml:space="preserve">lo que causó </w:t>
      </w:r>
      <w:r w:rsidRPr="00601A7E" w:rsidR="00A352D4">
        <w:rPr>
          <w:rFonts w:ascii="Arial" w:hAnsi="Arial" w:eastAsia="Calibri" w:cs="Arial"/>
          <w:bCs/>
          <w:color w:val="000000" w:themeColor="text1"/>
          <w:sz w:val="22"/>
        </w:rPr>
        <w:t xml:space="preserve">una </w:t>
      </w:r>
      <w:r w:rsidRPr="00601A7E" w:rsidR="00601A7E">
        <w:rPr>
          <w:rFonts w:ascii="Arial" w:hAnsi="Arial" w:eastAsia="Calibri" w:cs="Arial"/>
          <w:bCs/>
          <w:color w:val="000000" w:themeColor="text1"/>
          <w:sz w:val="22"/>
        </w:rPr>
        <w:t>pérdida</w:t>
      </w:r>
      <w:r w:rsidRPr="00601A7E" w:rsidR="00A352D4">
        <w:rPr>
          <w:rFonts w:ascii="Arial" w:hAnsi="Arial" w:eastAsia="Calibri" w:cs="Arial"/>
          <w:bCs/>
          <w:color w:val="000000" w:themeColor="text1"/>
          <w:sz w:val="22"/>
        </w:rPr>
        <w:t xml:space="preserve"> de fuerza ejecutoria, de acuerdo con el numeral 2 de artículo 91 de la Ley 1437 de 2011. Sobre la </w:t>
      </w:r>
      <w:r w:rsidRPr="00601A7E" w:rsidR="00601A7E">
        <w:rPr>
          <w:rFonts w:ascii="Arial" w:hAnsi="Arial" w:eastAsia="Calibri" w:cs="Arial"/>
          <w:bCs/>
          <w:color w:val="000000" w:themeColor="text1"/>
          <w:sz w:val="22"/>
        </w:rPr>
        <w:t>pérdida</w:t>
      </w:r>
      <w:r w:rsidRPr="00601A7E" w:rsidR="00A352D4">
        <w:rPr>
          <w:rFonts w:ascii="Arial" w:hAnsi="Arial" w:eastAsia="Calibri" w:cs="Arial"/>
          <w:bCs/>
          <w:color w:val="000000" w:themeColor="text1"/>
          <w:sz w:val="22"/>
        </w:rPr>
        <w:t xml:space="preserve"> de fuerza ejecutoria por desaparición de</w:t>
      </w:r>
      <w:r w:rsidR="00184964">
        <w:rPr>
          <w:rFonts w:ascii="Arial" w:hAnsi="Arial" w:eastAsia="Calibri" w:cs="Arial"/>
          <w:bCs/>
          <w:color w:val="000000" w:themeColor="text1"/>
          <w:sz w:val="22"/>
        </w:rPr>
        <w:t xml:space="preserve"> los</w:t>
      </w:r>
      <w:r w:rsidRPr="00601A7E" w:rsidR="00A352D4">
        <w:rPr>
          <w:rFonts w:ascii="Arial" w:hAnsi="Arial" w:eastAsia="Calibri" w:cs="Arial"/>
          <w:bCs/>
          <w:color w:val="000000" w:themeColor="text1"/>
          <w:sz w:val="22"/>
        </w:rPr>
        <w:t xml:space="preserve"> fundamentos de hecho o de derecho, el Consejo de Estado, en sentencia del 29 de abril de 2012 señaló: </w:t>
      </w:r>
    </w:p>
    <w:p w:rsidRPr="00601A7E" w:rsidR="008553D5" w:rsidP="00A14472" w:rsidRDefault="008553D5" w14:paraId="0E1AC28C" w14:textId="77777777">
      <w:pPr>
        <w:spacing w:line="276" w:lineRule="auto"/>
        <w:ind w:firstLine="709"/>
        <w:jc w:val="both"/>
        <w:rPr>
          <w:rFonts w:ascii="Arial" w:hAnsi="Arial" w:eastAsia="Calibri" w:cs="Arial"/>
          <w:bCs/>
          <w:color w:val="000000" w:themeColor="text1"/>
          <w:sz w:val="22"/>
        </w:rPr>
      </w:pPr>
    </w:p>
    <w:p w:rsidR="00A352D4" w:rsidP="00184964" w:rsidRDefault="00A352D4" w14:paraId="53F1E8FF" w14:textId="4162E3BB">
      <w:pPr>
        <w:spacing w:after="120"/>
        <w:ind w:left="709" w:right="709"/>
        <w:jc w:val="both"/>
        <w:rPr>
          <w:rFonts w:ascii="Arial" w:hAnsi="Arial" w:eastAsia="Calibri" w:cs="Arial"/>
          <w:bCs/>
          <w:color w:val="000000" w:themeColor="text1"/>
          <w:sz w:val="21"/>
          <w:szCs w:val="21"/>
        </w:rPr>
      </w:pPr>
      <w:r w:rsidRPr="00601A7E">
        <w:rPr>
          <w:rFonts w:ascii="Arial" w:hAnsi="Arial" w:eastAsia="Calibri" w:cs="Arial"/>
          <w:bCs/>
          <w:color w:val="000000" w:themeColor="text1"/>
          <w:sz w:val="21"/>
          <w:szCs w:val="21"/>
        </w:rPr>
        <w:lastRenderedPageBreak/>
        <w:t>Este evento ha sido conocido en la doctrina como decaimiento, y se define como un fenómeno de derogación implícita aplicable a los actos administrativos dictados en ejecución de una ley y cuya validez se sustenta en la que se predique de la norma que le da sostén. De modo que cuando una ley es declarada inconstitucional o es derogada, los actos administrativos expedidos para desarrollarla, implementarla o con fundamento en esta (</w:t>
      </w:r>
      <w:proofErr w:type="spellStart"/>
      <w:r w:rsidRPr="00601A7E">
        <w:rPr>
          <w:rFonts w:ascii="Arial" w:hAnsi="Arial" w:eastAsia="Calibri" w:cs="Arial"/>
          <w:bCs/>
          <w:color w:val="000000" w:themeColor="text1"/>
          <w:sz w:val="21"/>
          <w:szCs w:val="21"/>
        </w:rPr>
        <w:t>secundum</w:t>
      </w:r>
      <w:proofErr w:type="spellEnd"/>
      <w:r w:rsidRPr="00601A7E">
        <w:rPr>
          <w:rFonts w:ascii="Arial" w:hAnsi="Arial" w:eastAsia="Calibri" w:cs="Arial"/>
          <w:bCs/>
          <w:color w:val="000000" w:themeColor="text1"/>
          <w:sz w:val="21"/>
          <w:szCs w:val="21"/>
        </w:rPr>
        <w:t xml:space="preserve"> </w:t>
      </w:r>
      <w:proofErr w:type="spellStart"/>
      <w:r w:rsidRPr="00601A7E">
        <w:rPr>
          <w:rFonts w:ascii="Arial" w:hAnsi="Arial" w:eastAsia="Calibri" w:cs="Arial"/>
          <w:bCs/>
          <w:color w:val="000000" w:themeColor="text1"/>
          <w:sz w:val="21"/>
          <w:szCs w:val="21"/>
        </w:rPr>
        <w:t>legem</w:t>
      </w:r>
      <w:proofErr w:type="spellEnd"/>
      <w:r w:rsidRPr="00601A7E">
        <w:rPr>
          <w:rFonts w:ascii="Arial" w:hAnsi="Arial" w:eastAsia="Calibri" w:cs="Arial"/>
          <w:bCs/>
          <w:color w:val="000000" w:themeColor="text1"/>
          <w:sz w:val="21"/>
          <w:szCs w:val="21"/>
        </w:rPr>
        <w:t xml:space="preserve">), dejan de tener fuerza obligatoria y pierden vigencia de facto. Sobre el fenómeno del decaimiento el Consejo de Estado ha afirmado que en el derecho colombiano no existe una acción autónoma que lo declare o que exprese por esa vía la pérdida de su fuerza ejecutoria, pues, el decaimiento de un acto administrativo es un fenómeno que genera la </w:t>
      </w:r>
      <w:r w:rsidRPr="00601A7E" w:rsidR="00601A7E">
        <w:rPr>
          <w:rFonts w:ascii="Arial" w:hAnsi="Arial" w:eastAsia="Calibri" w:cs="Arial"/>
          <w:bCs/>
          <w:color w:val="000000" w:themeColor="text1"/>
          <w:sz w:val="21"/>
          <w:szCs w:val="21"/>
        </w:rPr>
        <w:t>pérdida</w:t>
      </w:r>
      <w:r w:rsidRPr="00601A7E">
        <w:rPr>
          <w:rFonts w:ascii="Arial" w:hAnsi="Arial" w:eastAsia="Calibri" w:cs="Arial"/>
          <w:bCs/>
          <w:color w:val="000000" w:themeColor="text1"/>
          <w:sz w:val="21"/>
          <w:szCs w:val="21"/>
        </w:rPr>
        <w:t xml:space="preserve"> de fuerza ejecutoria, </w:t>
      </w:r>
      <w:proofErr w:type="gramStart"/>
      <w:r w:rsidRPr="00601A7E">
        <w:rPr>
          <w:rFonts w:ascii="Arial" w:hAnsi="Arial" w:eastAsia="Calibri" w:cs="Arial"/>
          <w:bCs/>
          <w:color w:val="000000" w:themeColor="text1"/>
          <w:sz w:val="21"/>
          <w:szCs w:val="21"/>
        </w:rPr>
        <w:t>y</w:t>
      </w:r>
      <w:proofErr w:type="gramEnd"/>
      <w:r w:rsidRPr="00601A7E">
        <w:rPr>
          <w:rFonts w:ascii="Arial" w:hAnsi="Arial" w:eastAsia="Calibri" w:cs="Arial"/>
          <w:bCs/>
          <w:color w:val="000000" w:themeColor="text1"/>
          <w:sz w:val="21"/>
          <w:szCs w:val="21"/>
        </w:rPr>
        <w:t xml:space="preserve"> por lo tanto, su declaración conforma una excepción, alegable cuando la administración pretende hacerlo efectivo en ejercicio del privilegio de la ejecución de oficio</w:t>
      </w:r>
      <w:r w:rsidRPr="00601A7E">
        <w:rPr>
          <w:rStyle w:val="Refdenotaalpie"/>
          <w:rFonts w:ascii="Arial" w:hAnsi="Arial" w:eastAsia="Calibri" w:cs="Arial"/>
          <w:bCs/>
          <w:color w:val="000000" w:themeColor="text1"/>
          <w:sz w:val="21"/>
          <w:szCs w:val="21"/>
        </w:rPr>
        <w:footnoteReference w:id="7"/>
      </w:r>
      <w:r w:rsidRPr="00601A7E">
        <w:rPr>
          <w:rFonts w:ascii="Arial" w:hAnsi="Arial" w:eastAsia="Calibri" w:cs="Arial"/>
          <w:bCs/>
          <w:color w:val="000000" w:themeColor="text1"/>
          <w:sz w:val="21"/>
          <w:szCs w:val="21"/>
        </w:rPr>
        <w:t>.</w:t>
      </w:r>
    </w:p>
    <w:p w:rsidRPr="00601A7E" w:rsidR="00184964" w:rsidP="00A14472" w:rsidRDefault="00184964" w14:paraId="09C76397" w14:textId="77777777">
      <w:pPr>
        <w:ind w:left="709" w:right="709"/>
        <w:jc w:val="both"/>
        <w:rPr>
          <w:rFonts w:ascii="Arial" w:hAnsi="Arial" w:eastAsia="Calibri" w:cs="Arial"/>
          <w:bCs/>
          <w:color w:val="000000" w:themeColor="text1"/>
          <w:sz w:val="21"/>
          <w:szCs w:val="21"/>
        </w:rPr>
      </w:pPr>
    </w:p>
    <w:p w:rsidRPr="00601A7E" w:rsidR="001B1614" w:rsidP="001B1614" w:rsidRDefault="0089169B" w14:paraId="33C35F75" w14:textId="608AF6A7">
      <w:pPr>
        <w:spacing w:after="120" w:line="276" w:lineRule="auto"/>
        <w:ind w:firstLine="709"/>
        <w:jc w:val="both"/>
        <w:rPr>
          <w:rFonts w:ascii="Arial" w:hAnsi="Arial" w:eastAsia="Calibri" w:cs="Arial"/>
          <w:bCs/>
          <w:color w:val="000000" w:themeColor="text1"/>
          <w:sz w:val="22"/>
        </w:rPr>
      </w:pPr>
      <w:r>
        <w:rPr>
          <w:rFonts w:ascii="Arial" w:hAnsi="Arial" w:eastAsia="Calibri" w:cs="Arial"/>
          <w:bCs/>
          <w:color w:val="000000" w:themeColor="text1"/>
          <w:sz w:val="22"/>
          <w:szCs w:val="22"/>
        </w:rPr>
        <w:t>Así las cosas</w:t>
      </w:r>
      <w:r w:rsidRPr="00601A7E" w:rsidR="001B1614">
        <w:rPr>
          <w:rFonts w:ascii="Arial" w:hAnsi="Arial" w:eastAsia="Calibri" w:cs="Arial"/>
          <w:bCs/>
          <w:color w:val="000000" w:themeColor="text1"/>
          <w:sz w:val="22"/>
          <w:szCs w:val="22"/>
        </w:rPr>
        <w:t xml:space="preserve">, </w:t>
      </w:r>
      <w:r>
        <w:rPr>
          <w:rFonts w:ascii="Arial" w:hAnsi="Arial" w:eastAsia="Calibri" w:cs="Arial"/>
          <w:bCs/>
          <w:color w:val="000000" w:themeColor="text1"/>
          <w:sz w:val="22"/>
          <w:szCs w:val="22"/>
        </w:rPr>
        <w:t xml:space="preserve">de cara a este asunto en particular, </w:t>
      </w:r>
      <w:r w:rsidRPr="00601A7E" w:rsidR="001B1614">
        <w:rPr>
          <w:rFonts w:ascii="Arial" w:hAnsi="Arial" w:eastAsia="Calibri" w:cs="Arial"/>
          <w:bCs/>
          <w:color w:val="000000" w:themeColor="text1"/>
          <w:sz w:val="22"/>
          <w:szCs w:val="22"/>
        </w:rPr>
        <w:t>nos encontramos frente a</w:t>
      </w:r>
      <w:r>
        <w:rPr>
          <w:rFonts w:ascii="Arial" w:hAnsi="Arial" w:eastAsia="Calibri" w:cs="Arial"/>
          <w:bCs/>
          <w:color w:val="000000" w:themeColor="text1"/>
          <w:sz w:val="22"/>
          <w:szCs w:val="22"/>
        </w:rPr>
        <w:t>l</w:t>
      </w:r>
      <w:r w:rsidRPr="00601A7E" w:rsidR="001B1614">
        <w:rPr>
          <w:rFonts w:ascii="Arial" w:hAnsi="Arial" w:eastAsia="Calibri" w:cs="Arial"/>
          <w:bCs/>
          <w:color w:val="000000" w:themeColor="text1"/>
          <w:sz w:val="22"/>
          <w:szCs w:val="22"/>
        </w:rPr>
        <w:t xml:space="preserve"> </w:t>
      </w:r>
      <w:r w:rsidRPr="00601A7E" w:rsidR="00601A7E">
        <w:rPr>
          <w:rFonts w:ascii="Arial" w:hAnsi="Arial" w:eastAsia="Calibri" w:cs="Arial"/>
          <w:bCs/>
          <w:color w:val="000000" w:themeColor="text1"/>
          <w:sz w:val="22"/>
          <w:szCs w:val="22"/>
        </w:rPr>
        <w:t>fenómeno</w:t>
      </w:r>
      <w:r w:rsidRPr="00601A7E" w:rsidR="001B1614">
        <w:rPr>
          <w:rFonts w:ascii="Arial" w:hAnsi="Arial" w:eastAsia="Calibri" w:cs="Arial"/>
          <w:bCs/>
          <w:color w:val="000000" w:themeColor="text1"/>
          <w:sz w:val="22"/>
          <w:szCs w:val="22"/>
        </w:rPr>
        <w:t xml:space="preserve"> </w:t>
      </w:r>
      <w:r>
        <w:rPr>
          <w:rFonts w:ascii="Arial" w:hAnsi="Arial" w:eastAsia="Calibri" w:cs="Arial"/>
          <w:bCs/>
          <w:color w:val="000000" w:themeColor="text1"/>
          <w:sz w:val="22"/>
          <w:szCs w:val="22"/>
        </w:rPr>
        <w:t xml:space="preserve">del </w:t>
      </w:r>
      <w:r w:rsidRPr="00601A7E" w:rsidR="001B1614">
        <w:rPr>
          <w:rFonts w:ascii="Arial" w:hAnsi="Arial" w:eastAsia="Calibri" w:cs="Arial"/>
          <w:bCs/>
          <w:color w:val="000000" w:themeColor="text1"/>
          <w:sz w:val="22"/>
          <w:szCs w:val="22"/>
        </w:rPr>
        <w:t xml:space="preserve">decaimiento del acto administrativo, pues los elementos de derecho </w:t>
      </w:r>
      <w:r w:rsidRPr="00601A7E" w:rsidR="00601A7E">
        <w:rPr>
          <w:rFonts w:ascii="Arial" w:hAnsi="Arial" w:eastAsia="Calibri" w:cs="Arial"/>
          <w:bCs/>
          <w:color w:val="000000" w:themeColor="text1"/>
          <w:sz w:val="22"/>
          <w:szCs w:val="22"/>
        </w:rPr>
        <w:t xml:space="preserve">que </w:t>
      </w:r>
      <w:r>
        <w:rPr>
          <w:rFonts w:ascii="Arial" w:hAnsi="Arial" w:eastAsia="Calibri" w:cs="Arial"/>
          <w:bCs/>
          <w:color w:val="000000" w:themeColor="text1"/>
          <w:sz w:val="22"/>
          <w:szCs w:val="22"/>
        </w:rPr>
        <w:t>fundamenta</w:t>
      </w:r>
      <w:r w:rsidR="00184964">
        <w:rPr>
          <w:rFonts w:ascii="Arial" w:hAnsi="Arial" w:eastAsia="Calibri" w:cs="Arial"/>
          <w:bCs/>
          <w:color w:val="000000" w:themeColor="text1"/>
          <w:sz w:val="22"/>
          <w:szCs w:val="22"/>
        </w:rPr>
        <w:t>ban</w:t>
      </w:r>
      <w:r w:rsidRPr="00601A7E" w:rsidR="001B1614">
        <w:rPr>
          <w:rFonts w:ascii="Arial" w:hAnsi="Arial" w:eastAsia="Calibri" w:cs="Arial"/>
          <w:bCs/>
          <w:color w:val="000000" w:themeColor="text1"/>
          <w:sz w:val="22"/>
          <w:szCs w:val="22"/>
        </w:rPr>
        <w:t xml:space="preserve"> la causal de rechazo G, del Documento Tipo, fueron </w:t>
      </w:r>
      <w:r>
        <w:rPr>
          <w:rFonts w:ascii="Arial" w:hAnsi="Arial" w:eastAsia="Calibri" w:cs="Arial"/>
          <w:bCs/>
          <w:color w:val="000000" w:themeColor="text1"/>
          <w:sz w:val="22"/>
          <w:szCs w:val="22"/>
        </w:rPr>
        <w:t>alterados, para el año 2020,</w:t>
      </w:r>
      <w:r w:rsidRPr="00601A7E">
        <w:rPr>
          <w:rFonts w:ascii="Arial" w:hAnsi="Arial" w:eastAsia="Calibri" w:cs="Arial"/>
          <w:bCs/>
          <w:color w:val="000000" w:themeColor="text1"/>
          <w:sz w:val="22"/>
          <w:szCs w:val="22"/>
        </w:rPr>
        <w:t xml:space="preserve"> </w:t>
      </w:r>
      <w:r w:rsidRPr="00601A7E" w:rsidR="001B1614">
        <w:rPr>
          <w:rFonts w:ascii="Arial" w:hAnsi="Arial" w:eastAsia="Calibri" w:cs="Arial"/>
          <w:bCs/>
          <w:color w:val="000000" w:themeColor="text1"/>
          <w:sz w:val="22"/>
          <w:szCs w:val="22"/>
        </w:rPr>
        <w:t xml:space="preserve">por el artículo 2 del Decreto 434 de 2020, el cual amplió la renovación del Registro Único de Proponentes hasta el quinto día hábil </w:t>
      </w:r>
      <w:r w:rsidRPr="00601A7E" w:rsidR="002545D2">
        <w:rPr>
          <w:rFonts w:ascii="Arial" w:hAnsi="Arial" w:eastAsia="Calibri" w:cs="Arial"/>
          <w:bCs/>
          <w:color w:val="000000" w:themeColor="text1"/>
          <w:sz w:val="22"/>
          <w:szCs w:val="22"/>
        </w:rPr>
        <w:t>del mes de julio de 2020</w:t>
      </w:r>
      <w:r w:rsidR="00235A69">
        <w:rPr>
          <w:rFonts w:ascii="Arial" w:hAnsi="Arial" w:eastAsia="Calibri" w:cs="Arial"/>
          <w:bCs/>
          <w:color w:val="000000" w:themeColor="text1"/>
          <w:sz w:val="22"/>
          <w:szCs w:val="22"/>
        </w:rPr>
        <w:t xml:space="preserve">, así las cosas este decreto </w:t>
      </w:r>
      <w:r w:rsidRPr="00601A7E" w:rsidR="002545D2">
        <w:rPr>
          <w:rFonts w:ascii="Arial" w:hAnsi="Arial" w:eastAsia="Calibri" w:cs="Arial"/>
          <w:bCs/>
          <w:color w:val="000000" w:themeColor="text1"/>
          <w:sz w:val="22"/>
          <w:szCs w:val="22"/>
        </w:rPr>
        <w:t xml:space="preserve">conlleva a que desaparezcan los elementos integrantes del concepto motivante </w:t>
      </w:r>
      <w:r w:rsidR="00235A69">
        <w:rPr>
          <w:rFonts w:ascii="Arial" w:hAnsi="Arial" w:eastAsia="Calibri" w:cs="Arial"/>
          <w:bCs/>
          <w:color w:val="000000" w:themeColor="text1"/>
          <w:sz w:val="22"/>
          <w:szCs w:val="22"/>
        </w:rPr>
        <w:t xml:space="preserve">de los documentos tipo en este sentido en particular. </w:t>
      </w:r>
    </w:p>
    <w:p w:rsidR="001D4627" w:rsidP="001D4627" w:rsidRDefault="005E44BA" w14:paraId="22B22406" w14:textId="6BC4DF6B">
      <w:pPr>
        <w:spacing w:after="120" w:line="276" w:lineRule="auto"/>
        <w:ind w:firstLine="709"/>
        <w:jc w:val="both"/>
        <w:rPr>
          <w:rFonts w:ascii="Arial" w:hAnsi="Arial" w:eastAsia="Calibri" w:cs="Arial"/>
          <w:bCs/>
          <w:color w:val="000000" w:themeColor="text1"/>
          <w:sz w:val="22"/>
          <w:szCs w:val="22"/>
        </w:rPr>
      </w:pPr>
      <w:r w:rsidRPr="00746C20">
        <w:rPr>
          <w:rFonts w:ascii="Arial" w:hAnsi="Arial" w:eastAsia="Calibri" w:cs="Arial"/>
          <w:bCs/>
          <w:color w:val="000000" w:themeColor="text1"/>
          <w:sz w:val="22"/>
          <w:szCs w:val="22"/>
        </w:rPr>
        <w:t xml:space="preserve">Al respecto, es preciso </w:t>
      </w:r>
      <w:r w:rsidR="006C2C33">
        <w:rPr>
          <w:rFonts w:ascii="Arial" w:hAnsi="Arial" w:eastAsia="Calibri" w:cs="Arial"/>
          <w:bCs/>
          <w:color w:val="000000" w:themeColor="text1"/>
          <w:sz w:val="22"/>
          <w:szCs w:val="22"/>
        </w:rPr>
        <w:t>señalar</w:t>
      </w:r>
      <w:r w:rsidRPr="00746C20" w:rsidR="006C2C33">
        <w:rPr>
          <w:rFonts w:ascii="Arial" w:hAnsi="Arial" w:eastAsia="Calibri" w:cs="Arial"/>
          <w:bCs/>
          <w:color w:val="000000" w:themeColor="text1"/>
          <w:sz w:val="22"/>
          <w:szCs w:val="22"/>
        </w:rPr>
        <w:t xml:space="preserve"> </w:t>
      </w:r>
      <w:r w:rsidRPr="00746C20">
        <w:rPr>
          <w:rFonts w:ascii="Arial" w:hAnsi="Arial" w:eastAsia="Calibri" w:cs="Arial"/>
          <w:bCs/>
          <w:color w:val="000000" w:themeColor="text1"/>
          <w:sz w:val="22"/>
          <w:szCs w:val="22"/>
        </w:rPr>
        <w:t>que los Documentos Tipo no fueron ajenos a estas circunstancias</w:t>
      </w:r>
      <w:r w:rsidR="006C2C33">
        <w:rPr>
          <w:rFonts w:ascii="Arial" w:hAnsi="Arial" w:eastAsia="Calibri" w:cs="Arial"/>
          <w:bCs/>
          <w:color w:val="000000" w:themeColor="text1"/>
          <w:sz w:val="22"/>
          <w:szCs w:val="22"/>
        </w:rPr>
        <w:t>,</w:t>
      </w:r>
      <w:r w:rsidRPr="00746C20">
        <w:rPr>
          <w:rFonts w:ascii="Arial" w:hAnsi="Arial" w:eastAsia="Calibri" w:cs="Arial"/>
          <w:bCs/>
          <w:color w:val="000000" w:themeColor="text1"/>
          <w:sz w:val="22"/>
          <w:szCs w:val="22"/>
        </w:rPr>
        <w:t xml:space="preserve"> pues obligan a la</w:t>
      </w:r>
      <w:r w:rsidR="006C2C33">
        <w:rPr>
          <w:rFonts w:ascii="Arial" w:hAnsi="Arial" w:eastAsia="Calibri" w:cs="Arial"/>
          <w:bCs/>
          <w:color w:val="000000" w:themeColor="text1"/>
          <w:sz w:val="22"/>
          <w:szCs w:val="22"/>
        </w:rPr>
        <w:t>s</w:t>
      </w:r>
      <w:r w:rsidRPr="00746C20">
        <w:rPr>
          <w:rFonts w:ascii="Arial" w:hAnsi="Arial" w:eastAsia="Calibri" w:cs="Arial"/>
          <w:bCs/>
          <w:color w:val="000000" w:themeColor="text1"/>
          <w:sz w:val="22"/>
          <w:szCs w:val="22"/>
        </w:rPr>
        <w:t xml:space="preserve"> </w:t>
      </w:r>
      <w:r w:rsidR="00184964">
        <w:rPr>
          <w:rFonts w:ascii="Arial" w:hAnsi="Arial" w:eastAsia="Calibri" w:cs="Arial"/>
          <w:bCs/>
          <w:color w:val="000000" w:themeColor="text1"/>
          <w:sz w:val="22"/>
          <w:szCs w:val="22"/>
        </w:rPr>
        <w:t>e</w:t>
      </w:r>
      <w:r w:rsidRPr="00746C20">
        <w:rPr>
          <w:rFonts w:ascii="Arial" w:hAnsi="Arial" w:eastAsia="Calibri" w:cs="Arial"/>
          <w:bCs/>
          <w:color w:val="000000" w:themeColor="text1"/>
          <w:sz w:val="22"/>
          <w:szCs w:val="22"/>
        </w:rPr>
        <w:t>ntidad</w:t>
      </w:r>
      <w:r w:rsidR="006C2C33">
        <w:rPr>
          <w:rFonts w:ascii="Arial" w:hAnsi="Arial" w:eastAsia="Calibri" w:cs="Arial"/>
          <w:bCs/>
          <w:color w:val="000000" w:themeColor="text1"/>
          <w:sz w:val="22"/>
          <w:szCs w:val="22"/>
        </w:rPr>
        <w:t>es</w:t>
      </w:r>
      <w:r w:rsidRPr="00746C20">
        <w:rPr>
          <w:rFonts w:ascii="Arial" w:hAnsi="Arial" w:eastAsia="Calibri" w:cs="Arial"/>
          <w:bCs/>
          <w:color w:val="000000" w:themeColor="text1"/>
          <w:sz w:val="22"/>
          <w:szCs w:val="22"/>
        </w:rPr>
        <w:t xml:space="preserve"> </w:t>
      </w:r>
      <w:r w:rsidR="006C2C33">
        <w:rPr>
          <w:rFonts w:ascii="Arial" w:hAnsi="Arial" w:eastAsia="Calibri" w:cs="Arial"/>
          <w:bCs/>
          <w:color w:val="000000" w:themeColor="text1"/>
          <w:sz w:val="22"/>
          <w:szCs w:val="22"/>
        </w:rPr>
        <w:t>e</w:t>
      </w:r>
      <w:r w:rsidRPr="00746C20">
        <w:rPr>
          <w:rFonts w:ascii="Arial" w:hAnsi="Arial" w:eastAsia="Calibri" w:cs="Arial"/>
          <w:bCs/>
          <w:color w:val="000000" w:themeColor="text1"/>
          <w:sz w:val="22"/>
          <w:szCs w:val="22"/>
        </w:rPr>
        <w:t>statal</w:t>
      </w:r>
      <w:r w:rsidR="006C2C33">
        <w:rPr>
          <w:rFonts w:ascii="Arial" w:hAnsi="Arial" w:eastAsia="Calibri" w:cs="Arial"/>
          <w:bCs/>
          <w:color w:val="000000" w:themeColor="text1"/>
          <w:sz w:val="22"/>
          <w:szCs w:val="22"/>
        </w:rPr>
        <w:t>es</w:t>
      </w:r>
      <w:r w:rsidRPr="00746C20" w:rsidR="00746C20">
        <w:rPr>
          <w:rFonts w:ascii="Arial" w:hAnsi="Arial" w:eastAsia="Calibri" w:cs="Arial"/>
          <w:bCs/>
          <w:color w:val="000000" w:themeColor="text1"/>
          <w:sz w:val="22"/>
          <w:szCs w:val="22"/>
        </w:rPr>
        <w:t xml:space="preserve"> a</w:t>
      </w:r>
      <w:r w:rsidRPr="00746C20">
        <w:rPr>
          <w:rFonts w:ascii="Arial" w:hAnsi="Arial" w:eastAsia="Calibri" w:cs="Arial"/>
          <w:bCs/>
          <w:color w:val="000000" w:themeColor="text1"/>
          <w:sz w:val="22"/>
          <w:szCs w:val="22"/>
        </w:rPr>
        <w:t xml:space="preserve"> aplicar la normativa y la jurisprudencia aplicable al </w:t>
      </w:r>
      <w:r w:rsidR="006C2C33">
        <w:rPr>
          <w:rFonts w:ascii="Arial" w:hAnsi="Arial" w:eastAsia="Calibri" w:cs="Arial"/>
          <w:bCs/>
          <w:color w:val="000000" w:themeColor="text1"/>
          <w:sz w:val="22"/>
          <w:szCs w:val="22"/>
        </w:rPr>
        <w:t>p</w:t>
      </w:r>
      <w:r w:rsidRPr="00746C20">
        <w:rPr>
          <w:rFonts w:ascii="Arial" w:hAnsi="Arial" w:eastAsia="Calibri" w:cs="Arial"/>
          <w:bCs/>
          <w:color w:val="000000" w:themeColor="text1"/>
          <w:sz w:val="22"/>
          <w:szCs w:val="22"/>
        </w:rPr>
        <w:t xml:space="preserve">roceso de </w:t>
      </w:r>
      <w:r w:rsidR="006C2C33">
        <w:rPr>
          <w:rFonts w:ascii="Arial" w:hAnsi="Arial" w:eastAsia="Calibri" w:cs="Arial"/>
          <w:bCs/>
          <w:color w:val="000000" w:themeColor="text1"/>
          <w:sz w:val="22"/>
          <w:szCs w:val="22"/>
        </w:rPr>
        <w:t>c</w:t>
      </w:r>
      <w:r w:rsidRPr="00746C20">
        <w:rPr>
          <w:rFonts w:ascii="Arial" w:hAnsi="Arial" w:eastAsia="Calibri" w:cs="Arial"/>
          <w:bCs/>
          <w:color w:val="000000" w:themeColor="text1"/>
          <w:sz w:val="22"/>
          <w:szCs w:val="22"/>
        </w:rPr>
        <w:t>ontratación</w:t>
      </w:r>
      <w:r w:rsidR="00235A69">
        <w:rPr>
          <w:rStyle w:val="Refdenotaalpie"/>
          <w:rFonts w:ascii="Arial" w:hAnsi="Arial" w:eastAsia="Calibri" w:cs="Arial"/>
          <w:bCs/>
          <w:color w:val="000000" w:themeColor="text1"/>
          <w:sz w:val="22"/>
          <w:szCs w:val="22"/>
        </w:rPr>
        <w:footnoteReference w:id="8"/>
      </w:r>
      <w:r w:rsidRPr="00746C20" w:rsidR="00A86E56">
        <w:rPr>
          <w:rFonts w:ascii="Arial" w:hAnsi="Arial" w:eastAsia="Calibri" w:cs="Arial"/>
          <w:bCs/>
          <w:color w:val="000000" w:themeColor="text1"/>
          <w:sz w:val="22"/>
          <w:szCs w:val="22"/>
        </w:rPr>
        <w:t>. En ese</w:t>
      </w:r>
      <w:r w:rsidR="00A86E56">
        <w:rPr>
          <w:rFonts w:ascii="Arial" w:hAnsi="Arial" w:eastAsia="Calibri" w:cs="Arial"/>
          <w:bCs/>
          <w:color w:val="000000" w:themeColor="text1"/>
          <w:sz w:val="22"/>
          <w:szCs w:val="22"/>
        </w:rPr>
        <w:t xml:space="preserve"> entendido, </w:t>
      </w:r>
      <w:r w:rsidRPr="00601A7E" w:rsidR="000E4E69">
        <w:rPr>
          <w:rFonts w:ascii="Arial" w:hAnsi="Arial" w:eastAsia="Calibri" w:cs="Arial"/>
          <w:bCs/>
          <w:color w:val="000000" w:themeColor="text1"/>
          <w:sz w:val="22"/>
          <w:szCs w:val="22"/>
        </w:rPr>
        <w:t>el Decreto 434 de 2020, expedido con ocasión a la declaración del Estado de Emergencia Económica, Social y Ecológica a casusa del coronavirus COVID-19</w:t>
      </w:r>
      <w:r w:rsidR="00A86E56">
        <w:rPr>
          <w:rFonts w:ascii="Arial" w:hAnsi="Arial" w:eastAsia="Calibri" w:cs="Arial"/>
          <w:bCs/>
          <w:color w:val="000000" w:themeColor="text1"/>
          <w:sz w:val="22"/>
          <w:szCs w:val="22"/>
        </w:rPr>
        <w:t>, para el año 2020,</w:t>
      </w:r>
      <w:r w:rsidRPr="00601A7E" w:rsidR="000E4E69">
        <w:rPr>
          <w:rFonts w:ascii="Arial" w:hAnsi="Arial" w:eastAsia="Calibri" w:cs="Arial"/>
          <w:bCs/>
          <w:color w:val="000000" w:themeColor="text1"/>
          <w:sz w:val="22"/>
          <w:szCs w:val="22"/>
        </w:rPr>
        <w:t xml:space="preserve"> establec</w:t>
      </w:r>
      <w:r w:rsidR="00A86E56">
        <w:rPr>
          <w:rFonts w:ascii="Arial" w:hAnsi="Arial" w:eastAsia="Calibri" w:cs="Arial"/>
          <w:bCs/>
          <w:color w:val="000000" w:themeColor="text1"/>
          <w:sz w:val="22"/>
          <w:szCs w:val="22"/>
        </w:rPr>
        <w:t>ió</w:t>
      </w:r>
      <w:r w:rsidRPr="00601A7E" w:rsidR="000E4E69">
        <w:rPr>
          <w:rFonts w:ascii="Arial" w:hAnsi="Arial" w:eastAsia="Calibri" w:cs="Arial"/>
          <w:bCs/>
          <w:color w:val="000000" w:themeColor="text1"/>
          <w:sz w:val="22"/>
          <w:szCs w:val="22"/>
        </w:rPr>
        <w:t xml:space="preserve"> </w:t>
      </w:r>
      <w:r w:rsidR="00A86E56">
        <w:rPr>
          <w:rFonts w:ascii="Arial" w:hAnsi="Arial" w:eastAsia="Calibri" w:cs="Arial"/>
          <w:bCs/>
          <w:color w:val="000000" w:themeColor="text1"/>
          <w:sz w:val="22"/>
          <w:szCs w:val="22"/>
        </w:rPr>
        <w:t>una modificación del término para renovar</w:t>
      </w:r>
      <w:r w:rsidR="006C2C33">
        <w:rPr>
          <w:rFonts w:ascii="Arial" w:hAnsi="Arial" w:eastAsia="Calibri" w:cs="Arial"/>
          <w:bCs/>
          <w:color w:val="000000" w:themeColor="text1"/>
          <w:sz w:val="22"/>
          <w:szCs w:val="22"/>
        </w:rPr>
        <w:t xml:space="preserve"> el RUP</w:t>
      </w:r>
      <w:r w:rsidRPr="00601A7E" w:rsidR="00D07E06">
        <w:rPr>
          <w:rFonts w:ascii="Arial" w:hAnsi="Arial" w:eastAsia="Calibri" w:cs="Arial"/>
          <w:bCs/>
          <w:color w:val="000000" w:themeColor="text1"/>
          <w:sz w:val="22"/>
          <w:szCs w:val="22"/>
        </w:rPr>
        <w:t xml:space="preserve">, </w:t>
      </w:r>
      <w:r w:rsidR="00A86E56">
        <w:rPr>
          <w:rFonts w:ascii="Arial" w:hAnsi="Arial" w:eastAsia="Calibri" w:cs="Arial"/>
          <w:bCs/>
          <w:color w:val="000000" w:themeColor="text1"/>
          <w:sz w:val="22"/>
          <w:szCs w:val="22"/>
        </w:rPr>
        <w:t>lo cual exige a la</w:t>
      </w:r>
      <w:r w:rsidR="006C2C33">
        <w:rPr>
          <w:rFonts w:ascii="Arial" w:hAnsi="Arial" w:eastAsia="Calibri" w:cs="Arial"/>
          <w:bCs/>
          <w:color w:val="000000" w:themeColor="text1"/>
          <w:sz w:val="22"/>
          <w:szCs w:val="22"/>
        </w:rPr>
        <w:t>s</w:t>
      </w:r>
      <w:r w:rsidR="00A86E56">
        <w:rPr>
          <w:rFonts w:ascii="Arial" w:hAnsi="Arial" w:eastAsia="Calibri" w:cs="Arial"/>
          <w:bCs/>
          <w:color w:val="000000" w:themeColor="text1"/>
          <w:sz w:val="22"/>
          <w:szCs w:val="22"/>
        </w:rPr>
        <w:t xml:space="preserve"> entidad</w:t>
      </w:r>
      <w:r w:rsidR="006C2C33">
        <w:rPr>
          <w:rFonts w:ascii="Arial" w:hAnsi="Arial" w:eastAsia="Calibri" w:cs="Arial"/>
          <w:bCs/>
          <w:color w:val="000000" w:themeColor="text1"/>
          <w:sz w:val="22"/>
          <w:szCs w:val="22"/>
        </w:rPr>
        <w:t>es</w:t>
      </w:r>
      <w:r w:rsidR="00A86E56">
        <w:rPr>
          <w:rFonts w:ascii="Arial" w:hAnsi="Arial" w:eastAsia="Calibri" w:cs="Arial"/>
          <w:bCs/>
          <w:color w:val="000000" w:themeColor="text1"/>
          <w:sz w:val="22"/>
          <w:szCs w:val="22"/>
        </w:rPr>
        <w:t xml:space="preserve"> contratante</w:t>
      </w:r>
      <w:r w:rsidR="006C2C33">
        <w:rPr>
          <w:rFonts w:ascii="Arial" w:hAnsi="Arial" w:eastAsia="Calibri" w:cs="Arial"/>
          <w:bCs/>
          <w:color w:val="000000" w:themeColor="text1"/>
          <w:sz w:val="22"/>
          <w:szCs w:val="22"/>
        </w:rPr>
        <w:t>s</w:t>
      </w:r>
      <w:r w:rsidR="00A86E56">
        <w:rPr>
          <w:rFonts w:ascii="Arial" w:hAnsi="Arial" w:eastAsia="Calibri" w:cs="Arial"/>
          <w:bCs/>
          <w:color w:val="000000" w:themeColor="text1"/>
          <w:sz w:val="22"/>
          <w:szCs w:val="22"/>
        </w:rPr>
        <w:t xml:space="preserve"> </w:t>
      </w:r>
      <w:r w:rsidR="006C2C33">
        <w:rPr>
          <w:rFonts w:ascii="Arial" w:hAnsi="Arial" w:eastAsia="Calibri" w:cs="Arial"/>
          <w:bCs/>
          <w:color w:val="000000" w:themeColor="text1"/>
          <w:sz w:val="22"/>
          <w:szCs w:val="22"/>
        </w:rPr>
        <w:t>cumplir</w:t>
      </w:r>
      <w:r w:rsidR="00A86E56">
        <w:rPr>
          <w:rFonts w:ascii="Arial" w:hAnsi="Arial" w:eastAsia="Calibri" w:cs="Arial"/>
          <w:bCs/>
          <w:color w:val="000000" w:themeColor="text1"/>
          <w:sz w:val="22"/>
          <w:szCs w:val="22"/>
        </w:rPr>
        <w:t xml:space="preserve"> </w:t>
      </w:r>
      <w:r w:rsidR="006C2C33">
        <w:rPr>
          <w:rFonts w:ascii="Arial" w:hAnsi="Arial" w:eastAsia="Calibri" w:cs="Arial"/>
          <w:bCs/>
          <w:color w:val="000000" w:themeColor="text1"/>
          <w:sz w:val="22"/>
          <w:szCs w:val="22"/>
        </w:rPr>
        <w:t>e</w:t>
      </w:r>
      <w:r w:rsidR="00A86E56">
        <w:rPr>
          <w:rFonts w:ascii="Arial" w:hAnsi="Arial" w:eastAsia="Calibri" w:cs="Arial"/>
          <w:bCs/>
          <w:color w:val="000000" w:themeColor="text1"/>
          <w:sz w:val="22"/>
          <w:szCs w:val="22"/>
        </w:rPr>
        <w:t>l Decreto con fuerza de Ley.</w:t>
      </w:r>
      <w:r w:rsidRPr="00601A7E" w:rsidR="001759FC">
        <w:rPr>
          <w:rFonts w:ascii="Arial" w:hAnsi="Arial" w:eastAsia="Calibri" w:cs="Arial"/>
          <w:bCs/>
          <w:color w:val="000000" w:themeColor="text1"/>
          <w:sz w:val="22"/>
          <w:szCs w:val="22"/>
        </w:rPr>
        <w:t xml:space="preserve"> </w:t>
      </w:r>
    </w:p>
    <w:p w:rsidRPr="00601A7E" w:rsidR="00184964" w:rsidP="00A14472" w:rsidRDefault="00184964" w14:paraId="1E3F4982" w14:textId="77777777">
      <w:pPr>
        <w:spacing w:line="276" w:lineRule="auto"/>
        <w:ind w:firstLine="709"/>
        <w:jc w:val="both"/>
        <w:rPr>
          <w:rFonts w:ascii="Arial" w:hAnsi="Arial" w:eastAsia="Calibri" w:cs="Arial"/>
          <w:bCs/>
          <w:color w:val="000000" w:themeColor="text1"/>
          <w:sz w:val="22"/>
          <w:szCs w:val="22"/>
        </w:rPr>
      </w:pPr>
    </w:p>
    <w:p w:rsidRPr="00601A7E" w:rsidR="001D4627" w:rsidP="001D4627" w:rsidRDefault="001D4627" w14:paraId="271CBD78" w14:textId="1B4578DF">
      <w:pPr>
        <w:spacing w:line="276" w:lineRule="auto"/>
        <w:jc w:val="both"/>
        <w:rPr>
          <w:rFonts w:ascii="Arial" w:hAnsi="Arial" w:cs="Arial"/>
          <w:b/>
          <w:bCs/>
          <w:color w:val="000000" w:themeColor="text1"/>
          <w:sz w:val="22"/>
        </w:rPr>
      </w:pPr>
      <w:r w:rsidRPr="00601A7E">
        <w:rPr>
          <w:rFonts w:ascii="Arial" w:hAnsi="Arial" w:cs="Arial"/>
          <w:b/>
          <w:bCs/>
          <w:color w:val="000000" w:themeColor="text1"/>
          <w:sz w:val="22"/>
        </w:rPr>
        <w:t xml:space="preserve">2.4. Plazo para </w:t>
      </w:r>
      <w:r w:rsidRPr="00601A7E" w:rsidR="00CC6288">
        <w:rPr>
          <w:rFonts w:ascii="Arial" w:hAnsi="Arial" w:cs="Arial"/>
          <w:b/>
          <w:bCs/>
          <w:color w:val="000000" w:themeColor="text1"/>
          <w:sz w:val="22"/>
        </w:rPr>
        <w:t>p</w:t>
      </w:r>
      <w:r w:rsidRPr="00601A7E">
        <w:rPr>
          <w:rFonts w:ascii="Arial" w:hAnsi="Arial" w:cs="Arial"/>
          <w:b/>
          <w:bCs/>
          <w:color w:val="000000" w:themeColor="text1"/>
          <w:sz w:val="22"/>
        </w:rPr>
        <w:t xml:space="preserve">resentar y </w:t>
      </w:r>
      <w:r w:rsidRPr="00601A7E" w:rsidR="00CC6288">
        <w:rPr>
          <w:rFonts w:ascii="Arial" w:hAnsi="Arial" w:cs="Arial"/>
          <w:b/>
          <w:bCs/>
          <w:color w:val="000000" w:themeColor="text1"/>
          <w:sz w:val="22"/>
        </w:rPr>
        <w:t>r</w:t>
      </w:r>
      <w:r w:rsidRPr="00601A7E">
        <w:rPr>
          <w:rFonts w:ascii="Arial" w:hAnsi="Arial" w:cs="Arial"/>
          <w:b/>
          <w:bCs/>
          <w:color w:val="000000" w:themeColor="text1"/>
          <w:sz w:val="22"/>
        </w:rPr>
        <w:t xml:space="preserve">esolver las </w:t>
      </w:r>
      <w:r w:rsidRPr="00601A7E" w:rsidR="00CC6288">
        <w:rPr>
          <w:rFonts w:ascii="Arial" w:hAnsi="Arial" w:cs="Arial"/>
          <w:b/>
          <w:bCs/>
          <w:color w:val="000000" w:themeColor="text1"/>
          <w:sz w:val="22"/>
        </w:rPr>
        <w:t>o</w:t>
      </w:r>
      <w:r w:rsidRPr="00601A7E">
        <w:rPr>
          <w:rFonts w:ascii="Arial" w:hAnsi="Arial" w:cs="Arial"/>
          <w:b/>
          <w:bCs/>
          <w:color w:val="000000" w:themeColor="text1"/>
          <w:sz w:val="22"/>
        </w:rPr>
        <w:t>bservaciones</w:t>
      </w:r>
      <w:r w:rsidRPr="00601A7E" w:rsidR="00CC6288">
        <w:rPr>
          <w:rFonts w:ascii="Arial" w:hAnsi="Arial" w:cs="Arial"/>
          <w:b/>
          <w:bCs/>
          <w:color w:val="000000" w:themeColor="text1"/>
          <w:sz w:val="22"/>
        </w:rPr>
        <w:t xml:space="preserve"> </w:t>
      </w:r>
      <w:r w:rsidR="00B1127C">
        <w:rPr>
          <w:rFonts w:ascii="Arial" w:hAnsi="Arial" w:cs="Arial"/>
          <w:b/>
          <w:bCs/>
          <w:color w:val="000000" w:themeColor="text1"/>
          <w:sz w:val="22"/>
        </w:rPr>
        <w:t>en el procedimiento de selección</w:t>
      </w:r>
      <w:r w:rsidRPr="00601A7E" w:rsidR="00CC6288">
        <w:rPr>
          <w:rFonts w:ascii="Arial" w:hAnsi="Arial" w:cs="Arial"/>
          <w:b/>
          <w:bCs/>
          <w:color w:val="000000" w:themeColor="text1"/>
          <w:sz w:val="22"/>
        </w:rPr>
        <w:t xml:space="preserve"> </w:t>
      </w:r>
    </w:p>
    <w:p w:rsidRPr="00601A7E" w:rsidR="00862599" w:rsidP="001D4627" w:rsidRDefault="00862599" w14:paraId="0B20FCFD" w14:textId="0B9626B1">
      <w:pPr>
        <w:spacing w:line="276" w:lineRule="auto"/>
        <w:jc w:val="both"/>
        <w:rPr>
          <w:rFonts w:ascii="Arial" w:hAnsi="Arial" w:cs="Arial"/>
          <w:b/>
          <w:bCs/>
          <w:color w:val="000000" w:themeColor="text1"/>
          <w:sz w:val="22"/>
        </w:rPr>
      </w:pPr>
    </w:p>
    <w:p w:rsidRPr="00601A7E" w:rsidR="00862599" w:rsidP="00862599" w:rsidRDefault="00862599" w14:paraId="1A57114C" w14:textId="7E5F096C">
      <w:pPr>
        <w:spacing w:after="120" w:line="276" w:lineRule="auto"/>
        <w:jc w:val="both"/>
        <w:rPr>
          <w:rFonts w:ascii="Arial" w:hAnsi="Arial" w:eastAsia="Calibri" w:cs="Arial"/>
          <w:sz w:val="22"/>
        </w:rPr>
      </w:pPr>
      <w:r w:rsidRPr="00601A7E">
        <w:rPr>
          <w:rFonts w:ascii="Arial" w:hAnsi="Arial" w:cs="Arial"/>
          <w:color w:val="000000" w:themeColor="text1"/>
          <w:sz w:val="22"/>
        </w:rPr>
        <w:t xml:space="preserve">La Agencia Nacional de Contratación Pública ― Colombia Compra Eficiente, </w:t>
      </w:r>
      <w:r w:rsidRPr="00601A7E">
        <w:rPr>
          <w:rFonts w:ascii="Arial" w:hAnsi="Arial" w:eastAsia="Calibri" w:cs="Arial"/>
          <w:color w:val="000000" w:themeColor="text1"/>
          <w:sz w:val="22"/>
        </w:rPr>
        <w:t xml:space="preserve">en los conceptos con radicados números 4201614000005342 del 8 de noviembre de 2016, 4201714000002354 del 5 de junio de 2017, 4201714000006628 del 17 de enero de 2018, 4201713000007273 del 5 de febrero de 2018, 4201814000001007 del 20 de marzo de 2018, 4201814000006367 del 27 de agosto de 2018, y, 4201912000002664 del 5 de junio de 2019, </w:t>
      </w:r>
      <w:r w:rsidRPr="00601A7E">
        <w:rPr>
          <w:rFonts w:ascii="Arial" w:hAnsi="Arial" w:eastAsia="Calibri" w:cs="Arial"/>
          <w:color w:val="000000" w:themeColor="text1"/>
          <w:sz w:val="22"/>
        </w:rPr>
        <w:lastRenderedPageBreak/>
        <w:t>estudió el deber de las entidades estatales de responder las observaciones realizadas de manera extemporánea, en los procesos de contratación. La tesis desarrollada en estos conceptos se expone y reitera a continuación</w:t>
      </w:r>
      <w:r w:rsidRPr="00601A7E">
        <w:rPr>
          <w:rFonts w:ascii="Arial" w:hAnsi="Arial" w:eastAsia="Calibri" w:cs="Arial"/>
          <w:sz w:val="22"/>
        </w:rPr>
        <w:t>:</w:t>
      </w:r>
    </w:p>
    <w:p w:rsidRPr="00601A7E" w:rsidR="001D4627" w:rsidP="00862599" w:rsidRDefault="00B926A8" w14:paraId="73EF34B5" w14:textId="29EA06C4">
      <w:pPr>
        <w:spacing w:after="120" w:line="276" w:lineRule="auto"/>
        <w:ind w:firstLine="567"/>
        <w:jc w:val="both"/>
        <w:rPr>
          <w:rFonts w:ascii="Arial" w:hAnsi="Arial" w:cs="Arial"/>
          <w:color w:val="000000" w:themeColor="text1"/>
          <w:sz w:val="22"/>
        </w:rPr>
      </w:pPr>
      <w:r>
        <w:rPr>
          <w:rFonts w:ascii="Arial" w:hAnsi="Arial" w:eastAsia="Calibri" w:cs="Arial"/>
          <w:sz w:val="22"/>
        </w:rPr>
        <w:t>Es necesario</w:t>
      </w:r>
      <w:r w:rsidRPr="00601A7E" w:rsidR="001D4627">
        <w:rPr>
          <w:rFonts w:ascii="Arial" w:hAnsi="Arial" w:cs="Arial"/>
          <w:color w:val="000000" w:themeColor="text1"/>
          <w:sz w:val="22"/>
        </w:rPr>
        <w:t xml:space="preserve"> distinguir las etapas o fases del proceso contractual, </w:t>
      </w:r>
      <w:r>
        <w:rPr>
          <w:rFonts w:ascii="Arial" w:hAnsi="Arial" w:cs="Arial"/>
          <w:color w:val="000000" w:themeColor="text1"/>
          <w:sz w:val="22"/>
        </w:rPr>
        <w:t>para</w:t>
      </w:r>
      <w:r w:rsidRPr="00601A7E" w:rsidR="001D4627">
        <w:rPr>
          <w:rFonts w:ascii="Arial" w:hAnsi="Arial" w:cs="Arial"/>
          <w:color w:val="000000" w:themeColor="text1"/>
          <w:sz w:val="22"/>
        </w:rPr>
        <w:t xml:space="preserve"> establecer el término o plazo para presentar observaciones por parte de los interesados y el plazo para responderlas por parte de las entidades estatales.</w:t>
      </w:r>
    </w:p>
    <w:p w:rsidRPr="00601A7E" w:rsidR="001D4627" w:rsidP="001D4627" w:rsidRDefault="001D4627" w14:paraId="3AC5FAAA" w14:textId="5EA41511">
      <w:pPr>
        <w:spacing w:before="120" w:after="120" w:line="276" w:lineRule="auto"/>
        <w:ind w:firstLine="709"/>
        <w:jc w:val="both"/>
        <w:rPr>
          <w:rFonts w:ascii="Arial" w:hAnsi="Arial" w:cs="Arial"/>
          <w:color w:val="000000" w:themeColor="text1"/>
          <w:sz w:val="22"/>
        </w:rPr>
      </w:pPr>
      <w:r w:rsidRPr="00601A7E">
        <w:rPr>
          <w:rFonts w:ascii="Arial" w:hAnsi="Arial" w:cs="Arial"/>
          <w:color w:val="000000" w:themeColor="text1"/>
          <w:sz w:val="22"/>
        </w:rPr>
        <w:t xml:space="preserve">i) </w:t>
      </w:r>
      <w:r w:rsidRPr="00A14472">
        <w:rPr>
          <w:rFonts w:ascii="Arial" w:hAnsi="Arial" w:cs="Arial"/>
          <w:i/>
          <w:iCs/>
          <w:color w:val="000000" w:themeColor="text1"/>
          <w:sz w:val="22"/>
        </w:rPr>
        <w:t>Publicación del proyecto de pliego de condiciones.</w:t>
      </w:r>
      <w:r w:rsidRPr="00601A7E">
        <w:rPr>
          <w:rFonts w:ascii="Arial" w:hAnsi="Arial" w:cs="Arial"/>
          <w:color w:val="000000" w:themeColor="text1"/>
          <w:sz w:val="22"/>
        </w:rPr>
        <w:t xml:space="preserve"> La </w:t>
      </w:r>
      <w:r w:rsidR="0057753F">
        <w:rPr>
          <w:rFonts w:ascii="Arial" w:hAnsi="Arial" w:cs="Arial"/>
          <w:color w:val="000000" w:themeColor="text1"/>
          <w:sz w:val="22"/>
        </w:rPr>
        <w:t>91</w:t>
      </w:r>
      <w:r w:rsidRPr="00601A7E">
        <w:rPr>
          <w:rFonts w:ascii="Arial" w:hAnsi="Arial" w:cs="Arial"/>
          <w:color w:val="000000" w:themeColor="text1"/>
          <w:sz w:val="22"/>
        </w:rPr>
        <w:t xml:space="preserve"> de 2007</w:t>
      </w:r>
      <w:r w:rsidRPr="00601A7E">
        <w:rPr>
          <w:rStyle w:val="Refdenotaalpie"/>
          <w:rFonts w:ascii="Arial" w:hAnsi="Arial" w:cs="Arial"/>
          <w:color w:val="000000" w:themeColor="text1"/>
          <w:sz w:val="22"/>
        </w:rPr>
        <w:footnoteReference w:id="9"/>
      </w:r>
      <w:r w:rsidRPr="00601A7E">
        <w:rPr>
          <w:rFonts w:ascii="Arial" w:hAnsi="Arial" w:cs="Arial"/>
          <w:color w:val="000000" w:themeColor="text1"/>
          <w:sz w:val="22"/>
        </w:rPr>
        <w:t xml:space="preserve"> estableció en el artículo 8 la obligación de las entidades estatales de publicar el proyecto de pliego de condiciones o su documento equivalente, con el único propósito de que el público en general pueda presentar las observaciones que estime pertinentes. Esa misma disposición también consagra la obligación de las entidades estatales de pronunciarse sobre las observaciones presentadas, pronunciamiento que debe ser motivado</w:t>
      </w:r>
      <w:r w:rsidR="00B926A8">
        <w:rPr>
          <w:rFonts w:ascii="Arial" w:hAnsi="Arial" w:cs="Arial"/>
          <w:color w:val="000000" w:themeColor="text1"/>
          <w:sz w:val="22"/>
        </w:rPr>
        <w:t>,</w:t>
      </w:r>
      <w:r w:rsidRPr="00601A7E">
        <w:rPr>
          <w:rFonts w:ascii="Arial" w:hAnsi="Arial" w:cs="Arial"/>
          <w:color w:val="000000" w:themeColor="text1"/>
          <w:sz w:val="22"/>
        </w:rPr>
        <w:t xml:space="preserve"> ya sea para acogerlas o para rechazarlas.</w:t>
      </w:r>
    </w:p>
    <w:p w:rsidRPr="00601A7E" w:rsidR="001D4627" w:rsidP="001D4627" w:rsidRDefault="001D4627" w14:paraId="582E2FC9" w14:textId="77777777">
      <w:pPr>
        <w:spacing w:before="120" w:after="120" w:line="276" w:lineRule="auto"/>
        <w:ind w:firstLine="709"/>
        <w:jc w:val="both"/>
        <w:rPr>
          <w:rFonts w:ascii="Arial" w:hAnsi="Arial" w:cs="Arial"/>
          <w:color w:val="000000" w:themeColor="text1"/>
          <w:sz w:val="22"/>
        </w:rPr>
      </w:pPr>
      <w:r w:rsidRPr="00601A7E">
        <w:rPr>
          <w:rFonts w:ascii="Arial" w:hAnsi="Arial" w:cs="Arial"/>
          <w:color w:val="000000" w:themeColor="text1"/>
          <w:sz w:val="22"/>
        </w:rPr>
        <w:t xml:space="preserve">Por su parte, el Decreto 1082 de 2015, en relación con esta obligación, precisó en el inciso 2 del artículo 2.2.1.1.1.7.1. que «[…] La Entidad Estatal está obligada a publicar oportunamente el aviso de convocatoria o la invitación en los Procesos de Contratación de mínima cuantía y </w:t>
      </w:r>
      <w:r w:rsidRPr="00601A7E">
        <w:rPr>
          <w:rFonts w:ascii="Arial" w:hAnsi="Arial" w:cs="Arial"/>
          <w:i/>
          <w:iCs/>
          <w:color w:val="000000" w:themeColor="text1"/>
          <w:sz w:val="22"/>
        </w:rPr>
        <w:t>el proyecto de pliegos de condiciones</w:t>
      </w:r>
      <w:r w:rsidRPr="00601A7E">
        <w:rPr>
          <w:rFonts w:ascii="Arial" w:hAnsi="Arial" w:cs="Arial"/>
          <w:color w:val="000000" w:themeColor="text1"/>
          <w:sz w:val="22"/>
        </w:rPr>
        <w:t xml:space="preserve"> en el </w:t>
      </w:r>
      <w:proofErr w:type="spellStart"/>
      <w:r w:rsidRPr="00601A7E">
        <w:rPr>
          <w:rFonts w:ascii="Arial" w:hAnsi="Arial" w:cs="Arial"/>
          <w:color w:val="000000" w:themeColor="text1"/>
          <w:sz w:val="22"/>
        </w:rPr>
        <w:t>Secop</w:t>
      </w:r>
      <w:proofErr w:type="spellEnd"/>
      <w:r w:rsidRPr="00601A7E">
        <w:rPr>
          <w:rFonts w:ascii="Arial" w:hAnsi="Arial" w:cs="Arial"/>
          <w:color w:val="000000" w:themeColor="text1"/>
          <w:sz w:val="22"/>
        </w:rPr>
        <w:t xml:space="preserve"> para que los interesados en el Proceso de Contratación puedan presentar observaciones o solicitar aclaraciones en el término previsto para el efecto […]». (Cursiva fuera texto)</w:t>
      </w:r>
    </w:p>
    <w:p w:rsidRPr="00601A7E" w:rsidR="001D4627" w:rsidP="001D4627" w:rsidRDefault="001D4627" w14:paraId="7EEC1EA9" w14:textId="25FE5BA3">
      <w:pPr>
        <w:spacing w:before="120" w:after="120" w:line="276" w:lineRule="auto"/>
        <w:ind w:firstLine="709"/>
        <w:jc w:val="both"/>
        <w:rPr>
          <w:rFonts w:ascii="Arial" w:hAnsi="Arial" w:cs="Arial"/>
          <w:color w:val="000000" w:themeColor="text1"/>
          <w:sz w:val="22"/>
        </w:rPr>
      </w:pPr>
      <w:r w:rsidRPr="00601A7E">
        <w:rPr>
          <w:rFonts w:ascii="Arial" w:hAnsi="Arial" w:cs="Arial"/>
          <w:color w:val="000000" w:themeColor="text1"/>
          <w:sz w:val="22"/>
        </w:rPr>
        <w:t xml:space="preserve">En cuanto al plazo o término para presentar observaciones al proyecto de pliego de condiciones, en el artículo 2.2.1.1.2.1.4. del mencionado cuerpo normativo se afirma que «Los interesados pueden hacer comentarios al proyecto de pliegos de condiciones a partir de la fecha de publicación de </w:t>
      </w:r>
      <w:r w:rsidRPr="00601A7E" w:rsidR="00601A7E">
        <w:rPr>
          <w:rFonts w:ascii="Arial" w:hAnsi="Arial" w:cs="Arial"/>
          <w:color w:val="000000" w:themeColor="text1"/>
          <w:sz w:val="22"/>
        </w:rPr>
        <w:t>estos</w:t>
      </w:r>
      <w:r w:rsidRPr="00601A7E">
        <w:rPr>
          <w:rFonts w:ascii="Arial" w:hAnsi="Arial" w:cs="Arial"/>
          <w:color w:val="000000" w:themeColor="text1"/>
          <w:sz w:val="22"/>
        </w:rPr>
        <w:t>: (a) durante un término de diez (10) días hábiles en la licitación pública; y (b) durante un término de cinco (5) días hábiles en la selección abreviada y el concurso de méritos».</w:t>
      </w:r>
    </w:p>
    <w:p w:rsidRPr="00601A7E" w:rsidR="001D4627" w:rsidP="001D4627" w:rsidRDefault="001D4627" w14:paraId="43614822" w14:textId="668C483A">
      <w:pPr>
        <w:spacing w:before="120" w:after="120" w:line="276" w:lineRule="auto"/>
        <w:ind w:firstLine="709"/>
        <w:jc w:val="both"/>
        <w:rPr>
          <w:rFonts w:ascii="Arial" w:hAnsi="Arial" w:cs="Arial"/>
          <w:color w:val="000000" w:themeColor="text1"/>
          <w:sz w:val="22"/>
        </w:rPr>
      </w:pPr>
      <w:r w:rsidRPr="00601A7E">
        <w:rPr>
          <w:rFonts w:ascii="Arial" w:hAnsi="Arial" w:cs="Arial"/>
          <w:color w:val="000000" w:themeColor="text1"/>
          <w:sz w:val="22"/>
        </w:rPr>
        <w:t xml:space="preserve">En relación con la respuesta a las observaciones presentadas al proyecto de pliego de condiciones, </w:t>
      </w:r>
      <w:r w:rsidR="00B926A8">
        <w:rPr>
          <w:rFonts w:ascii="Arial" w:hAnsi="Arial" w:cs="Arial"/>
          <w:color w:val="000000" w:themeColor="text1"/>
          <w:sz w:val="22"/>
        </w:rPr>
        <w:t>se advierte</w:t>
      </w:r>
      <w:r w:rsidRPr="00601A7E" w:rsidR="00B926A8">
        <w:rPr>
          <w:rFonts w:ascii="Arial" w:hAnsi="Arial" w:cs="Arial"/>
          <w:color w:val="000000" w:themeColor="text1"/>
          <w:sz w:val="22"/>
        </w:rPr>
        <w:t xml:space="preserve"> </w:t>
      </w:r>
      <w:r w:rsidRPr="00601A7E">
        <w:rPr>
          <w:rFonts w:ascii="Arial" w:hAnsi="Arial" w:cs="Arial"/>
          <w:color w:val="000000" w:themeColor="text1"/>
          <w:sz w:val="22"/>
        </w:rPr>
        <w:t>que el ordenamiento jurídico no contempló un término para tal efecto.</w:t>
      </w:r>
    </w:p>
    <w:p w:rsidRPr="00601A7E" w:rsidR="001D4627" w:rsidP="001D4627" w:rsidRDefault="001D4627" w14:paraId="06191B3E" w14:textId="1116D49C">
      <w:pPr>
        <w:spacing w:before="120" w:after="120" w:line="276" w:lineRule="auto"/>
        <w:ind w:firstLine="709"/>
        <w:jc w:val="both"/>
        <w:rPr>
          <w:rFonts w:ascii="Arial" w:hAnsi="Arial" w:cs="Arial"/>
          <w:color w:val="000000" w:themeColor="text1"/>
          <w:sz w:val="22"/>
        </w:rPr>
      </w:pPr>
      <w:r w:rsidRPr="00601A7E">
        <w:rPr>
          <w:rFonts w:ascii="Arial" w:hAnsi="Arial" w:cs="Arial"/>
          <w:color w:val="000000" w:themeColor="text1"/>
          <w:sz w:val="22"/>
        </w:rPr>
        <w:lastRenderedPageBreak/>
        <w:t>Sin embargo, esa circunstancia de ninguna manera implica la inexistencia de un límite, ya que de conformidad con lo establecido en las disposiciones que rigen el procedimiento de contratación, este se realiza por fases o etapas. Así las cosas, si bien no existe un</w:t>
      </w:r>
      <w:r w:rsidR="00B926A8">
        <w:rPr>
          <w:rFonts w:ascii="Arial" w:hAnsi="Arial" w:cs="Arial"/>
          <w:color w:val="000000" w:themeColor="text1"/>
          <w:sz w:val="22"/>
        </w:rPr>
        <w:t>a norma que fije un término explícito</w:t>
      </w:r>
      <w:r w:rsidRPr="00601A7E">
        <w:rPr>
          <w:rFonts w:ascii="Arial" w:hAnsi="Arial" w:cs="Arial"/>
          <w:color w:val="000000" w:themeColor="text1"/>
          <w:sz w:val="22"/>
        </w:rPr>
        <w:t xml:space="preserve"> para responder las observaciones al proyecto de pliego de condiciones, </w:t>
      </w:r>
      <w:r w:rsidR="00B926A8">
        <w:rPr>
          <w:rFonts w:ascii="Arial" w:hAnsi="Arial" w:cs="Arial"/>
          <w:color w:val="000000" w:themeColor="text1"/>
          <w:sz w:val="22"/>
        </w:rPr>
        <w:t>sí</w:t>
      </w:r>
      <w:r w:rsidRPr="00601A7E">
        <w:rPr>
          <w:rFonts w:ascii="Arial" w:hAnsi="Arial" w:cs="Arial"/>
          <w:color w:val="000000" w:themeColor="text1"/>
          <w:sz w:val="22"/>
        </w:rPr>
        <w:t xml:space="preserve"> existe un límite para que la entidad estatal </w:t>
      </w:r>
      <w:r w:rsidR="00B926A8">
        <w:rPr>
          <w:rFonts w:ascii="Arial" w:hAnsi="Arial" w:cs="Arial"/>
          <w:color w:val="000000" w:themeColor="text1"/>
          <w:sz w:val="22"/>
        </w:rPr>
        <w:t>responda dichas</w:t>
      </w:r>
      <w:r w:rsidRPr="00601A7E">
        <w:rPr>
          <w:rFonts w:ascii="Arial" w:hAnsi="Arial" w:cs="Arial"/>
          <w:color w:val="000000" w:themeColor="text1"/>
          <w:sz w:val="22"/>
        </w:rPr>
        <w:t xml:space="preserve"> observaciones</w:t>
      </w:r>
      <w:r w:rsidR="00B926A8">
        <w:rPr>
          <w:rFonts w:ascii="Arial" w:hAnsi="Arial" w:cs="Arial"/>
          <w:color w:val="000000" w:themeColor="text1"/>
          <w:sz w:val="22"/>
        </w:rPr>
        <w:t xml:space="preserve">, que constituye </w:t>
      </w:r>
      <w:r w:rsidRPr="00601A7E">
        <w:rPr>
          <w:rFonts w:ascii="Arial" w:hAnsi="Arial" w:cs="Arial"/>
          <w:color w:val="000000" w:themeColor="text1"/>
          <w:sz w:val="22"/>
        </w:rPr>
        <w:t xml:space="preserve">la </w:t>
      </w:r>
      <w:r w:rsidR="00B926A8">
        <w:rPr>
          <w:rFonts w:ascii="Arial" w:hAnsi="Arial" w:cs="Arial"/>
          <w:color w:val="000000" w:themeColor="text1"/>
          <w:sz w:val="22"/>
        </w:rPr>
        <w:t>expedición</w:t>
      </w:r>
      <w:r w:rsidRPr="00601A7E" w:rsidR="00B926A8">
        <w:rPr>
          <w:rFonts w:ascii="Arial" w:hAnsi="Arial" w:cs="Arial"/>
          <w:color w:val="000000" w:themeColor="text1"/>
          <w:sz w:val="22"/>
        </w:rPr>
        <w:t xml:space="preserve"> </w:t>
      </w:r>
      <w:r w:rsidRPr="00601A7E">
        <w:rPr>
          <w:rFonts w:ascii="Arial" w:hAnsi="Arial" w:cs="Arial"/>
          <w:color w:val="000000" w:themeColor="text1"/>
          <w:sz w:val="22"/>
        </w:rPr>
        <w:t xml:space="preserve">del acto administrativo de apertura del proceso de selección. Esto significa que antes </w:t>
      </w:r>
      <w:r w:rsidR="00B926A8">
        <w:rPr>
          <w:rFonts w:ascii="Arial" w:hAnsi="Arial" w:cs="Arial"/>
          <w:color w:val="000000" w:themeColor="text1"/>
          <w:sz w:val="22"/>
        </w:rPr>
        <w:t xml:space="preserve">de </w:t>
      </w:r>
      <w:r w:rsidRPr="00601A7E">
        <w:rPr>
          <w:rFonts w:ascii="Arial" w:hAnsi="Arial" w:cs="Arial"/>
          <w:color w:val="000000" w:themeColor="text1"/>
          <w:sz w:val="22"/>
        </w:rPr>
        <w:t>que la entidad estatal profiera dicho acto administrativo y publique el pliego de condiciones definitivo, debe responder las observaciones presentadas al proyecto de pliego de condiciones.</w:t>
      </w:r>
    </w:p>
    <w:p w:rsidRPr="00601A7E" w:rsidR="001D4627" w:rsidP="001D4627" w:rsidRDefault="001D4627" w14:paraId="0C36D9AA" w14:textId="774EDD4F">
      <w:pPr>
        <w:spacing w:before="120" w:after="120" w:line="276" w:lineRule="auto"/>
        <w:ind w:firstLine="709"/>
        <w:jc w:val="both"/>
        <w:rPr>
          <w:rFonts w:ascii="Arial" w:hAnsi="Arial" w:cs="Arial"/>
          <w:color w:val="000000" w:themeColor="text1"/>
          <w:sz w:val="22"/>
        </w:rPr>
      </w:pPr>
      <w:proofErr w:type="spellStart"/>
      <w:r w:rsidRPr="00601A7E">
        <w:rPr>
          <w:rFonts w:ascii="Arial" w:hAnsi="Arial" w:cs="Arial"/>
          <w:color w:val="000000" w:themeColor="text1"/>
          <w:sz w:val="22"/>
        </w:rPr>
        <w:t>ii</w:t>
      </w:r>
      <w:proofErr w:type="spellEnd"/>
      <w:r w:rsidRPr="00601A7E">
        <w:rPr>
          <w:rFonts w:ascii="Arial" w:hAnsi="Arial" w:cs="Arial"/>
          <w:color w:val="000000" w:themeColor="text1"/>
          <w:sz w:val="22"/>
        </w:rPr>
        <w:t xml:space="preserve">) </w:t>
      </w:r>
      <w:r w:rsidRPr="00A14472">
        <w:rPr>
          <w:rFonts w:ascii="Arial" w:hAnsi="Arial" w:cs="Arial"/>
          <w:i/>
          <w:iCs/>
          <w:color w:val="000000" w:themeColor="text1"/>
          <w:sz w:val="22"/>
        </w:rPr>
        <w:t>Apertura del proceso de selección</w:t>
      </w:r>
      <w:r w:rsidRPr="00601A7E">
        <w:rPr>
          <w:rFonts w:ascii="Arial" w:hAnsi="Arial" w:cs="Arial"/>
          <w:color w:val="000000" w:themeColor="text1"/>
          <w:sz w:val="22"/>
        </w:rPr>
        <w:t>. Esta fase o etapa inicia con la expedición del acto administrativo de apertura del proceso de selección, momento en el cual se publica el pliego de condiciones definitivo</w:t>
      </w:r>
      <w:r w:rsidR="00B926A8">
        <w:rPr>
          <w:rFonts w:ascii="Arial" w:hAnsi="Arial" w:cs="Arial"/>
          <w:color w:val="000000" w:themeColor="text1"/>
          <w:sz w:val="22"/>
        </w:rPr>
        <w:t>,</w:t>
      </w:r>
      <w:r w:rsidRPr="00601A7E">
        <w:rPr>
          <w:rFonts w:ascii="Arial" w:hAnsi="Arial" w:cs="Arial"/>
          <w:color w:val="000000" w:themeColor="text1"/>
          <w:sz w:val="22"/>
        </w:rPr>
        <w:t xml:space="preserve"> </w:t>
      </w:r>
      <w:r w:rsidR="00B926A8">
        <w:rPr>
          <w:rFonts w:ascii="Arial" w:hAnsi="Arial" w:cs="Arial"/>
          <w:color w:val="000000" w:themeColor="text1"/>
          <w:sz w:val="22"/>
        </w:rPr>
        <w:t xml:space="preserve">frente al </w:t>
      </w:r>
      <w:r w:rsidRPr="00601A7E">
        <w:rPr>
          <w:rFonts w:ascii="Arial" w:hAnsi="Arial" w:cs="Arial"/>
          <w:color w:val="000000" w:themeColor="text1"/>
          <w:sz w:val="22"/>
        </w:rPr>
        <w:t>cual también se pueden presentar observaciones y/o solicitudes de aclaraciones.</w:t>
      </w:r>
    </w:p>
    <w:p w:rsidRPr="00601A7E" w:rsidR="001D4627" w:rsidP="001D4627" w:rsidRDefault="001D4627" w14:paraId="2F4914D1" w14:textId="138C03C1">
      <w:pPr>
        <w:spacing w:before="120" w:after="120" w:line="276" w:lineRule="auto"/>
        <w:ind w:firstLine="709"/>
        <w:jc w:val="both"/>
        <w:rPr>
          <w:rStyle w:val="Textoennegrita"/>
          <w:rFonts w:ascii="Arial" w:hAnsi="Arial" w:cs="Arial"/>
          <w:b w:val="0"/>
          <w:bCs w:val="0"/>
          <w:color w:val="000000" w:themeColor="text1"/>
          <w:sz w:val="22"/>
        </w:rPr>
      </w:pPr>
      <w:r w:rsidRPr="00601A7E">
        <w:rPr>
          <w:rFonts w:ascii="Arial" w:hAnsi="Arial" w:cs="Arial"/>
          <w:color w:val="000000" w:themeColor="text1"/>
          <w:sz w:val="22"/>
        </w:rPr>
        <w:t>El ordenamiento jurídico no estableció un término para presenta</w:t>
      </w:r>
      <w:r w:rsidR="00B926A8">
        <w:rPr>
          <w:rFonts w:ascii="Arial" w:hAnsi="Arial" w:cs="Arial"/>
          <w:color w:val="000000" w:themeColor="text1"/>
          <w:sz w:val="22"/>
        </w:rPr>
        <w:t>r</w:t>
      </w:r>
      <w:r w:rsidRPr="00601A7E">
        <w:rPr>
          <w:rFonts w:ascii="Arial" w:hAnsi="Arial" w:cs="Arial"/>
          <w:color w:val="000000" w:themeColor="text1"/>
          <w:sz w:val="22"/>
        </w:rPr>
        <w:t xml:space="preserve"> observaciones al pliego de condiciones definitivo, salvo en la licitación pública, </w:t>
      </w:r>
      <w:r w:rsidR="003B7FE9">
        <w:rPr>
          <w:rFonts w:ascii="Arial" w:hAnsi="Arial" w:cs="Arial"/>
          <w:color w:val="000000" w:themeColor="text1"/>
          <w:sz w:val="22"/>
        </w:rPr>
        <w:t>en una actuación</w:t>
      </w:r>
      <w:r w:rsidR="00B926A8">
        <w:rPr>
          <w:rFonts w:ascii="Arial" w:hAnsi="Arial" w:cs="Arial"/>
          <w:color w:val="000000" w:themeColor="text1"/>
          <w:sz w:val="22"/>
        </w:rPr>
        <w:t xml:space="preserve"> muy concreta, </w:t>
      </w:r>
      <w:r w:rsidR="003B7FE9">
        <w:rPr>
          <w:rFonts w:ascii="Arial" w:hAnsi="Arial" w:cs="Arial"/>
          <w:color w:val="000000" w:themeColor="text1"/>
          <w:sz w:val="22"/>
        </w:rPr>
        <w:t>en tanto,</w:t>
      </w:r>
      <w:r w:rsidRPr="00601A7E">
        <w:rPr>
          <w:rFonts w:ascii="Arial" w:hAnsi="Arial" w:cs="Arial"/>
          <w:color w:val="000000" w:themeColor="text1"/>
          <w:sz w:val="22"/>
        </w:rPr>
        <w:t xml:space="preserve"> a solicitud de </w:t>
      </w:r>
      <w:r w:rsidR="003B7FE9">
        <w:rPr>
          <w:rFonts w:ascii="Arial" w:hAnsi="Arial" w:cs="Arial"/>
          <w:color w:val="000000" w:themeColor="text1"/>
          <w:sz w:val="22"/>
        </w:rPr>
        <w:t>alg</w:t>
      </w:r>
      <w:r w:rsidRPr="00601A7E">
        <w:rPr>
          <w:rFonts w:ascii="Arial" w:hAnsi="Arial" w:cs="Arial"/>
          <w:color w:val="000000" w:themeColor="text1"/>
          <w:sz w:val="22"/>
        </w:rPr>
        <w:t xml:space="preserve">uno de los interesados, dentro de los tres días hábiles siguientes al inicio del término para la presentación de propuestas se </w:t>
      </w:r>
      <w:r w:rsidR="00B926A8">
        <w:rPr>
          <w:rFonts w:ascii="Arial" w:hAnsi="Arial" w:cs="Arial"/>
          <w:color w:val="000000" w:themeColor="text1"/>
          <w:sz w:val="22"/>
        </w:rPr>
        <w:t>debe realizar</w:t>
      </w:r>
      <w:r w:rsidRPr="00601A7E" w:rsidR="00B926A8">
        <w:rPr>
          <w:rFonts w:ascii="Arial" w:hAnsi="Arial" w:cs="Arial"/>
          <w:color w:val="000000" w:themeColor="text1"/>
          <w:sz w:val="22"/>
        </w:rPr>
        <w:t xml:space="preserve"> </w:t>
      </w:r>
      <w:r w:rsidRPr="00601A7E">
        <w:rPr>
          <w:rFonts w:ascii="Arial" w:hAnsi="Arial" w:cs="Arial"/>
          <w:color w:val="000000" w:themeColor="text1"/>
          <w:sz w:val="22"/>
        </w:rPr>
        <w:t>una audiencia con el propósito de precisar el contenido y alcance de los pliegos de condiciones</w:t>
      </w:r>
      <w:r w:rsidRPr="00601A7E">
        <w:rPr>
          <w:rStyle w:val="Refdenotaalpie"/>
          <w:rFonts w:ascii="Arial" w:hAnsi="Arial" w:cs="Arial"/>
          <w:color w:val="000000" w:themeColor="text1"/>
          <w:sz w:val="22"/>
        </w:rPr>
        <w:footnoteReference w:id="10"/>
      </w:r>
      <w:r w:rsidRPr="00601A7E">
        <w:rPr>
          <w:rFonts w:ascii="Arial" w:hAnsi="Arial" w:cs="Arial"/>
          <w:color w:val="000000" w:themeColor="text1"/>
          <w:sz w:val="22"/>
        </w:rPr>
        <w:t xml:space="preserve">; asunto que, de conformidad con lo </w:t>
      </w:r>
      <w:r w:rsidR="00B926A8">
        <w:rPr>
          <w:rFonts w:ascii="Arial" w:hAnsi="Arial" w:cs="Arial"/>
          <w:color w:val="000000" w:themeColor="text1"/>
          <w:sz w:val="22"/>
        </w:rPr>
        <w:t>establecido</w:t>
      </w:r>
      <w:r w:rsidRPr="00601A7E" w:rsidR="00B926A8">
        <w:rPr>
          <w:rFonts w:ascii="Arial" w:hAnsi="Arial" w:cs="Arial"/>
          <w:color w:val="000000" w:themeColor="text1"/>
          <w:sz w:val="22"/>
        </w:rPr>
        <w:t xml:space="preserve"> </w:t>
      </w:r>
      <w:r w:rsidRPr="00601A7E">
        <w:rPr>
          <w:rFonts w:ascii="Arial" w:hAnsi="Arial" w:cs="Arial"/>
          <w:color w:val="000000" w:themeColor="text1"/>
          <w:sz w:val="22"/>
        </w:rPr>
        <w:t xml:space="preserve">en el artículo </w:t>
      </w:r>
      <w:r w:rsidRPr="00601A7E">
        <w:rPr>
          <w:rStyle w:val="Textoennegrita"/>
          <w:rFonts w:ascii="Arial" w:hAnsi="Arial" w:cs="Arial"/>
          <w:b w:val="0"/>
          <w:bCs w:val="0"/>
          <w:color w:val="000000" w:themeColor="text1"/>
          <w:sz w:val="22"/>
        </w:rPr>
        <w:t>2.2.1.2.1.1.2. del Decreto 1082 de 2015, se abordará y resolverá en la audiencia de asignación de riesgos de que trata el artículo 4 de la Ley 1150 de 2007. Esto significa que las observaciones o solicitudes de aclaraciones realizadas al pliego de condiciones en la audiencia de asignación de riesgos</w:t>
      </w:r>
      <w:r w:rsidR="00B959F4">
        <w:rPr>
          <w:rStyle w:val="Textoennegrita"/>
          <w:rFonts w:ascii="Arial" w:hAnsi="Arial" w:cs="Arial"/>
          <w:b w:val="0"/>
          <w:bCs w:val="0"/>
          <w:color w:val="000000" w:themeColor="text1"/>
          <w:sz w:val="22"/>
        </w:rPr>
        <w:t xml:space="preserve">, </w:t>
      </w:r>
      <w:r w:rsidR="003B7FE9">
        <w:rPr>
          <w:rStyle w:val="Textoennegrita"/>
          <w:rFonts w:ascii="Arial" w:hAnsi="Arial" w:cs="Arial"/>
          <w:b w:val="0"/>
          <w:bCs w:val="0"/>
          <w:color w:val="000000" w:themeColor="text1"/>
          <w:sz w:val="22"/>
        </w:rPr>
        <w:t>deben resolverse por la entidad</w:t>
      </w:r>
      <w:r w:rsidR="00B959F4">
        <w:rPr>
          <w:rStyle w:val="Textoennegrita"/>
          <w:rFonts w:ascii="Arial" w:hAnsi="Arial" w:cs="Arial"/>
          <w:b w:val="0"/>
          <w:bCs w:val="0"/>
          <w:color w:val="000000" w:themeColor="text1"/>
          <w:sz w:val="22"/>
        </w:rPr>
        <w:t xml:space="preserve"> en la misma diligencia</w:t>
      </w:r>
      <w:r w:rsidRPr="00601A7E">
        <w:rPr>
          <w:rStyle w:val="Textoennegrita"/>
          <w:rFonts w:ascii="Arial" w:hAnsi="Arial" w:cs="Arial"/>
          <w:b w:val="0"/>
          <w:bCs w:val="0"/>
          <w:color w:val="000000" w:themeColor="text1"/>
          <w:sz w:val="22"/>
        </w:rPr>
        <w:t xml:space="preserve">.  </w:t>
      </w:r>
    </w:p>
    <w:p w:rsidRPr="00601A7E" w:rsidR="001D4627" w:rsidP="001D4627" w:rsidRDefault="001D4627" w14:paraId="25BAD90F" w14:textId="41AD0251">
      <w:pPr>
        <w:spacing w:before="120" w:after="120" w:line="276" w:lineRule="auto"/>
        <w:ind w:firstLine="709"/>
        <w:jc w:val="both"/>
        <w:rPr>
          <w:rStyle w:val="Textoennegrita"/>
          <w:rFonts w:ascii="Arial" w:hAnsi="Arial" w:cs="Arial"/>
          <w:b w:val="0"/>
          <w:bCs w:val="0"/>
          <w:color w:val="000000" w:themeColor="text1"/>
          <w:sz w:val="22"/>
        </w:rPr>
      </w:pPr>
      <w:r w:rsidRPr="00601A7E">
        <w:rPr>
          <w:rStyle w:val="Textoennegrita"/>
          <w:rFonts w:ascii="Arial" w:hAnsi="Arial" w:cs="Arial"/>
          <w:b w:val="0"/>
          <w:bCs w:val="0"/>
          <w:color w:val="000000" w:themeColor="text1"/>
          <w:sz w:val="22"/>
        </w:rPr>
        <w:t>Ahora bien, en esta fase o etapa del proceso de contratación el ordenamiento jurídico tampoco contempló un término para responder las observaciones o solicitudes de aclaraci</w:t>
      </w:r>
      <w:r w:rsidR="0064138C">
        <w:rPr>
          <w:rStyle w:val="Textoennegrita"/>
          <w:rFonts w:ascii="Arial" w:hAnsi="Arial" w:cs="Arial"/>
          <w:b w:val="0"/>
          <w:bCs w:val="0"/>
          <w:color w:val="000000" w:themeColor="text1"/>
          <w:sz w:val="22"/>
        </w:rPr>
        <w:t>ón</w:t>
      </w:r>
      <w:r w:rsidRPr="00601A7E">
        <w:rPr>
          <w:rStyle w:val="Textoennegrita"/>
          <w:rFonts w:ascii="Arial" w:hAnsi="Arial" w:cs="Arial"/>
          <w:b w:val="0"/>
          <w:bCs w:val="0"/>
          <w:color w:val="000000" w:themeColor="text1"/>
          <w:sz w:val="22"/>
        </w:rPr>
        <w:t xml:space="preserve">; sin embargo, también </w:t>
      </w:r>
      <w:r w:rsidR="003B7FE9">
        <w:rPr>
          <w:rStyle w:val="Textoennegrita"/>
          <w:rFonts w:ascii="Arial" w:hAnsi="Arial" w:cs="Arial"/>
          <w:b w:val="0"/>
          <w:bCs w:val="0"/>
          <w:color w:val="000000" w:themeColor="text1"/>
          <w:sz w:val="22"/>
        </w:rPr>
        <w:t>se encuentra</w:t>
      </w:r>
      <w:r w:rsidRPr="00601A7E" w:rsidR="003B7FE9">
        <w:rPr>
          <w:rStyle w:val="Textoennegrita"/>
          <w:rFonts w:ascii="Arial" w:hAnsi="Arial" w:cs="Arial"/>
          <w:b w:val="0"/>
          <w:bCs w:val="0"/>
          <w:color w:val="000000" w:themeColor="text1"/>
          <w:sz w:val="22"/>
        </w:rPr>
        <w:t xml:space="preserve"> </w:t>
      </w:r>
      <w:r w:rsidRPr="00601A7E">
        <w:rPr>
          <w:rStyle w:val="Textoennegrita"/>
          <w:rFonts w:ascii="Arial" w:hAnsi="Arial" w:cs="Arial"/>
          <w:b w:val="0"/>
          <w:bCs w:val="0"/>
          <w:color w:val="000000" w:themeColor="text1"/>
          <w:sz w:val="22"/>
        </w:rPr>
        <w:t>un límite para que la entidad estatal se pronunc</w:t>
      </w:r>
      <w:r w:rsidR="003B7FE9">
        <w:rPr>
          <w:rStyle w:val="Textoennegrita"/>
          <w:rFonts w:ascii="Arial" w:hAnsi="Arial" w:cs="Arial"/>
          <w:b w:val="0"/>
          <w:bCs w:val="0"/>
          <w:color w:val="000000" w:themeColor="text1"/>
          <w:sz w:val="22"/>
        </w:rPr>
        <w:t>ie</w:t>
      </w:r>
      <w:r w:rsidRPr="00601A7E">
        <w:rPr>
          <w:rStyle w:val="Textoennegrita"/>
          <w:rFonts w:ascii="Arial" w:hAnsi="Arial" w:cs="Arial"/>
          <w:b w:val="0"/>
          <w:bCs w:val="0"/>
          <w:color w:val="000000" w:themeColor="text1"/>
          <w:sz w:val="22"/>
        </w:rPr>
        <w:t xml:space="preserve"> </w:t>
      </w:r>
      <w:r w:rsidR="003B7FE9">
        <w:rPr>
          <w:rStyle w:val="Textoennegrita"/>
          <w:rFonts w:ascii="Arial" w:hAnsi="Arial" w:cs="Arial"/>
          <w:b w:val="0"/>
          <w:bCs w:val="0"/>
          <w:color w:val="000000" w:themeColor="text1"/>
          <w:sz w:val="22"/>
        </w:rPr>
        <w:t>frente a ellas, en tanto d</w:t>
      </w:r>
      <w:r w:rsidRPr="00601A7E">
        <w:rPr>
          <w:rStyle w:val="Textoennegrita"/>
          <w:rFonts w:ascii="Arial" w:hAnsi="Arial" w:cs="Arial"/>
          <w:b w:val="0"/>
          <w:bCs w:val="0"/>
          <w:color w:val="000000" w:themeColor="text1"/>
          <w:sz w:val="22"/>
        </w:rPr>
        <w:t>ebe</w:t>
      </w:r>
      <w:r w:rsidR="003B7FE9">
        <w:rPr>
          <w:rStyle w:val="Textoennegrita"/>
          <w:rFonts w:ascii="Arial" w:hAnsi="Arial" w:cs="Arial"/>
          <w:b w:val="0"/>
          <w:bCs w:val="0"/>
          <w:color w:val="000000" w:themeColor="text1"/>
          <w:sz w:val="22"/>
        </w:rPr>
        <w:t>n</w:t>
      </w:r>
      <w:r w:rsidRPr="00601A7E">
        <w:rPr>
          <w:rStyle w:val="Textoennegrita"/>
          <w:rFonts w:ascii="Arial" w:hAnsi="Arial" w:cs="Arial"/>
          <w:b w:val="0"/>
          <w:bCs w:val="0"/>
          <w:color w:val="000000" w:themeColor="text1"/>
          <w:sz w:val="22"/>
        </w:rPr>
        <w:t xml:space="preserve"> </w:t>
      </w:r>
      <w:r w:rsidR="003B7FE9">
        <w:rPr>
          <w:rStyle w:val="Textoennegrita"/>
          <w:rFonts w:ascii="Arial" w:hAnsi="Arial" w:cs="Arial"/>
          <w:b w:val="0"/>
          <w:bCs w:val="0"/>
          <w:color w:val="000000" w:themeColor="text1"/>
          <w:sz w:val="22"/>
        </w:rPr>
        <w:t>hacerlo</w:t>
      </w:r>
      <w:r w:rsidRPr="00601A7E">
        <w:rPr>
          <w:rStyle w:val="Textoennegrita"/>
          <w:rFonts w:ascii="Arial" w:hAnsi="Arial" w:cs="Arial"/>
          <w:b w:val="0"/>
          <w:bCs w:val="0"/>
          <w:color w:val="000000" w:themeColor="text1"/>
          <w:sz w:val="22"/>
        </w:rPr>
        <w:t xml:space="preserve"> antes del vencimiento del plazo establecido en el cronograma para la presentación de las propuestas. Esto</w:t>
      </w:r>
      <w:r w:rsidR="0064138C">
        <w:rPr>
          <w:rStyle w:val="Textoennegrita"/>
          <w:rFonts w:ascii="Arial" w:hAnsi="Arial" w:cs="Arial"/>
          <w:b w:val="0"/>
          <w:bCs w:val="0"/>
          <w:color w:val="000000" w:themeColor="text1"/>
          <w:sz w:val="22"/>
        </w:rPr>
        <w:t>,</w:t>
      </w:r>
      <w:r w:rsidRPr="00601A7E">
        <w:rPr>
          <w:rStyle w:val="Textoennegrita"/>
          <w:rFonts w:ascii="Arial" w:hAnsi="Arial" w:cs="Arial"/>
          <w:b w:val="0"/>
          <w:bCs w:val="0"/>
          <w:color w:val="000000" w:themeColor="text1"/>
          <w:sz w:val="22"/>
        </w:rPr>
        <w:t xml:space="preserve"> en consideración a lo </w:t>
      </w:r>
      <w:r w:rsidR="0064138C">
        <w:rPr>
          <w:rStyle w:val="Textoennegrita"/>
          <w:rFonts w:ascii="Arial" w:hAnsi="Arial" w:cs="Arial"/>
          <w:b w:val="0"/>
          <w:bCs w:val="0"/>
          <w:color w:val="000000" w:themeColor="text1"/>
          <w:sz w:val="22"/>
        </w:rPr>
        <w:t>establecido</w:t>
      </w:r>
      <w:r w:rsidRPr="00601A7E">
        <w:rPr>
          <w:rStyle w:val="Textoennegrita"/>
          <w:rFonts w:ascii="Arial" w:hAnsi="Arial" w:cs="Arial"/>
          <w:b w:val="0"/>
          <w:bCs w:val="0"/>
          <w:color w:val="000000" w:themeColor="text1"/>
          <w:sz w:val="22"/>
        </w:rPr>
        <w:t xml:space="preserve"> en el numeral 6 del artículo 30 de la Ley 80 de 1993</w:t>
      </w:r>
      <w:r w:rsidRPr="00601A7E">
        <w:rPr>
          <w:rStyle w:val="Refdenotaalpie"/>
          <w:rFonts w:ascii="Arial" w:hAnsi="Arial" w:cs="Arial"/>
          <w:color w:val="000000" w:themeColor="text1"/>
          <w:sz w:val="22"/>
        </w:rPr>
        <w:footnoteReference w:id="11"/>
      </w:r>
      <w:r w:rsidRPr="00601A7E">
        <w:rPr>
          <w:rStyle w:val="Textoennegrita"/>
          <w:rFonts w:ascii="Arial" w:hAnsi="Arial" w:cs="Arial"/>
          <w:b w:val="0"/>
          <w:bCs w:val="0"/>
          <w:color w:val="000000" w:themeColor="text1"/>
          <w:sz w:val="22"/>
        </w:rPr>
        <w:t xml:space="preserve">, pues la propuesta se debe ajustar a todos los puntos </w:t>
      </w:r>
      <w:r w:rsidR="0064138C">
        <w:rPr>
          <w:rStyle w:val="Textoennegrita"/>
          <w:rFonts w:ascii="Arial" w:hAnsi="Arial" w:cs="Arial"/>
          <w:b w:val="0"/>
          <w:bCs w:val="0"/>
          <w:color w:val="000000" w:themeColor="text1"/>
          <w:sz w:val="22"/>
        </w:rPr>
        <w:t>contenidos</w:t>
      </w:r>
      <w:r w:rsidRPr="00601A7E" w:rsidR="0064138C">
        <w:rPr>
          <w:rStyle w:val="Textoennegrita"/>
          <w:rFonts w:ascii="Arial" w:hAnsi="Arial" w:cs="Arial"/>
          <w:b w:val="0"/>
          <w:bCs w:val="0"/>
          <w:color w:val="000000" w:themeColor="text1"/>
          <w:sz w:val="22"/>
        </w:rPr>
        <w:t xml:space="preserve"> </w:t>
      </w:r>
      <w:r w:rsidRPr="00601A7E">
        <w:rPr>
          <w:rStyle w:val="Textoennegrita"/>
          <w:rFonts w:ascii="Arial" w:hAnsi="Arial" w:cs="Arial"/>
          <w:b w:val="0"/>
          <w:bCs w:val="0"/>
          <w:color w:val="000000" w:themeColor="text1"/>
          <w:sz w:val="22"/>
        </w:rPr>
        <w:t>en el pliego de condiciones.</w:t>
      </w:r>
    </w:p>
    <w:p w:rsidRPr="00601A7E" w:rsidR="001D4627" w:rsidP="001D4627" w:rsidRDefault="0064138C" w14:paraId="0C25E932" w14:textId="130B271F">
      <w:pPr>
        <w:spacing w:before="120" w:after="120" w:line="276" w:lineRule="auto"/>
        <w:ind w:firstLine="709"/>
        <w:jc w:val="both"/>
        <w:rPr>
          <w:rStyle w:val="Textoennegrita"/>
          <w:rFonts w:ascii="Arial" w:hAnsi="Arial" w:cs="Arial"/>
          <w:b w:val="0"/>
          <w:bCs w:val="0"/>
          <w:color w:val="000000" w:themeColor="text1"/>
          <w:sz w:val="22"/>
        </w:rPr>
      </w:pPr>
      <w:r>
        <w:rPr>
          <w:rStyle w:val="Textoennegrita"/>
          <w:rFonts w:ascii="Arial" w:hAnsi="Arial" w:cs="Arial"/>
          <w:b w:val="0"/>
          <w:bCs w:val="0"/>
          <w:color w:val="000000" w:themeColor="text1"/>
          <w:sz w:val="22"/>
        </w:rPr>
        <w:lastRenderedPageBreak/>
        <w:t>En caso de incumplirse lo anterior, es decir,</w:t>
      </w:r>
      <w:r w:rsidRPr="00601A7E" w:rsidR="001D4627">
        <w:rPr>
          <w:rStyle w:val="Textoennegrita"/>
          <w:rFonts w:ascii="Arial" w:hAnsi="Arial" w:cs="Arial"/>
          <w:b w:val="0"/>
          <w:bCs w:val="0"/>
          <w:color w:val="000000" w:themeColor="text1"/>
          <w:sz w:val="22"/>
        </w:rPr>
        <w:t xml:space="preserve"> si la respuesta a las observaciones o solicitudes de aclaraci</w:t>
      </w:r>
      <w:r>
        <w:rPr>
          <w:rStyle w:val="Textoennegrita"/>
          <w:rFonts w:ascii="Arial" w:hAnsi="Arial" w:cs="Arial"/>
          <w:b w:val="0"/>
          <w:bCs w:val="0"/>
          <w:color w:val="000000" w:themeColor="text1"/>
          <w:sz w:val="22"/>
        </w:rPr>
        <w:t>ón</w:t>
      </w:r>
      <w:r w:rsidRPr="00601A7E" w:rsidR="001D4627">
        <w:rPr>
          <w:rStyle w:val="Textoennegrita"/>
          <w:rFonts w:ascii="Arial" w:hAnsi="Arial" w:cs="Arial"/>
          <w:b w:val="0"/>
          <w:bCs w:val="0"/>
          <w:color w:val="000000" w:themeColor="text1"/>
          <w:sz w:val="22"/>
        </w:rPr>
        <w:t xml:space="preserve"> al pliego de condiciones definitivo se realiza de forma posterior al vencimiento del término para presentar las propuestas, en el evento que se acoja alguna de esas observaciones y/o solicitudes de aclaraciones, se impedirá la presentación de propuestas que se ajusten al pliego de condiciones, circunstancia que atenta contra el principio de transparencia que rige la actividad contractual del Estado.</w:t>
      </w:r>
    </w:p>
    <w:p w:rsidRPr="00601A7E" w:rsidR="001D4627" w:rsidP="001D4627" w:rsidRDefault="001D4627" w14:paraId="256FE75A" w14:textId="4F9DD74A">
      <w:pPr>
        <w:spacing w:before="120" w:after="120" w:line="276" w:lineRule="auto"/>
        <w:ind w:firstLine="709"/>
        <w:jc w:val="both"/>
        <w:rPr>
          <w:rStyle w:val="Textoennegrita"/>
          <w:rFonts w:ascii="Arial" w:hAnsi="Arial" w:cs="Arial"/>
          <w:b w:val="0"/>
          <w:bCs w:val="0"/>
          <w:color w:val="000000" w:themeColor="text1"/>
          <w:sz w:val="22"/>
        </w:rPr>
      </w:pPr>
      <w:proofErr w:type="spellStart"/>
      <w:r w:rsidRPr="00601A7E">
        <w:rPr>
          <w:rStyle w:val="Textoennegrita"/>
          <w:rFonts w:ascii="Arial" w:hAnsi="Arial" w:cs="Arial"/>
          <w:b w:val="0"/>
          <w:bCs w:val="0"/>
          <w:color w:val="000000" w:themeColor="text1"/>
          <w:sz w:val="22"/>
        </w:rPr>
        <w:t>iii</w:t>
      </w:r>
      <w:proofErr w:type="spellEnd"/>
      <w:r w:rsidRPr="00601A7E">
        <w:rPr>
          <w:rStyle w:val="Textoennegrita"/>
          <w:rFonts w:ascii="Arial" w:hAnsi="Arial" w:cs="Arial"/>
          <w:b w:val="0"/>
          <w:bCs w:val="0"/>
          <w:color w:val="000000" w:themeColor="text1"/>
          <w:sz w:val="22"/>
        </w:rPr>
        <w:t xml:space="preserve">) </w:t>
      </w:r>
      <w:r w:rsidRPr="00A14472">
        <w:rPr>
          <w:rStyle w:val="Textoennegrita"/>
          <w:rFonts w:ascii="Arial" w:hAnsi="Arial" w:cs="Arial"/>
          <w:b w:val="0"/>
          <w:bCs w:val="0"/>
          <w:i/>
          <w:iCs/>
          <w:color w:val="000000" w:themeColor="text1"/>
          <w:sz w:val="22"/>
        </w:rPr>
        <w:t>Informes de evaluación</w:t>
      </w:r>
      <w:r w:rsidRPr="00601A7E">
        <w:rPr>
          <w:rStyle w:val="Textoennegrita"/>
          <w:rFonts w:ascii="Arial" w:hAnsi="Arial" w:cs="Arial"/>
          <w:b w:val="0"/>
          <w:bCs w:val="0"/>
          <w:color w:val="000000" w:themeColor="text1"/>
          <w:sz w:val="22"/>
        </w:rPr>
        <w:t>. En los procesos de licitación pública</w:t>
      </w:r>
      <w:r w:rsidR="00B1127C">
        <w:rPr>
          <w:rStyle w:val="Textoennegrita"/>
          <w:rFonts w:ascii="Arial" w:hAnsi="Arial" w:cs="Arial"/>
          <w:b w:val="0"/>
          <w:bCs w:val="0"/>
          <w:color w:val="000000" w:themeColor="text1"/>
          <w:sz w:val="22"/>
        </w:rPr>
        <w:t>,</w:t>
      </w:r>
      <w:r w:rsidRPr="00601A7E">
        <w:rPr>
          <w:rStyle w:val="Textoennegrita"/>
          <w:rFonts w:ascii="Arial" w:hAnsi="Arial" w:cs="Arial"/>
          <w:b w:val="0"/>
          <w:bCs w:val="0"/>
          <w:color w:val="000000" w:themeColor="text1"/>
          <w:sz w:val="22"/>
        </w:rPr>
        <w:t xml:space="preserve"> el informe de evaluación de las propuestas debe permanecer </w:t>
      </w:r>
      <w:r w:rsidR="00B1127C">
        <w:rPr>
          <w:rStyle w:val="Textoennegrita"/>
          <w:rFonts w:ascii="Arial" w:hAnsi="Arial" w:cs="Arial"/>
          <w:b w:val="0"/>
          <w:bCs w:val="0"/>
          <w:color w:val="000000" w:themeColor="text1"/>
          <w:sz w:val="22"/>
        </w:rPr>
        <w:t>a disposición de los interesados</w:t>
      </w:r>
      <w:r w:rsidRPr="00601A7E">
        <w:rPr>
          <w:rStyle w:val="Textoennegrita"/>
          <w:rFonts w:ascii="Arial" w:hAnsi="Arial" w:cs="Arial"/>
          <w:b w:val="0"/>
          <w:bCs w:val="0"/>
          <w:color w:val="000000" w:themeColor="text1"/>
          <w:sz w:val="22"/>
        </w:rPr>
        <w:t>, por un término de cinco (5) días hábiles</w:t>
      </w:r>
      <w:r w:rsidRPr="00601A7E">
        <w:rPr>
          <w:rStyle w:val="Refdenotaalpie"/>
          <w:rFonts w:ascii="Arial" w:hAnsi="Arial" w:cs="Arial"/>
          <w:color w:val="000000" w:themeColor="text1"/>
          <w:sz w:val="22"/>
        </w:rPr>
        <w:footnoteReference w:id="12"/>
      </w:r>
      <w:r w:rsidRPr="00601A7E">
        <w:rPr>
          <w:rStyle w:val="Textoennegrita"/>
          <w:rFonts w:ascii="Arial" w:hAnsi="Arial" w:cs="Arial"/>
          <w:b w:val="0"/>
          <w:bCs w:val="0"/>
          <w:color w:val="000000" w:themeColor="text1"/>
          <w:sz w:val="22"/>
        </w:rPr>
        <w:t>.</w:t>
      </w:r>
    </w:p>
    <w:p w:rsidRPr="00601A7E" w:rsidR="001D4627" w:rsidP="001D4627" w:rsidRDefault="001D4627" w14:paraId="510B2669" w14:textId="43AD3339">
      <w:pPr>
        <w:spacing w:before="120" w:after="120" w:line="276" w:lineRule="auto"/>
        <w:ind w:firstLine="709"/>
        <w:jc w:val="both"/>
        <w:rPr>
          <w:rStyle w:val="Textoennegrita"/>
          <w:rFonts w:ascii="Arial" w:hAnsi="Arial" w:cs="Arial"/>
          <w:b w:val="0"/>
          <w:bCs w:val="0"/>
          <w:color w:val="000000" w:themeColor="text1"/>
          <w:sz w:val="22"/>
        </w:rPr>
      </w:pPr>
      <w:r w:rsidRPr="00601A7E">
        <w:rPr>
          <w:rStyle w:val="Textoennegrita"/>
          <w:rFonts w:ascii="Arial" w:hAnsi="Arial" w:cs="Arial"/>
          <w:b w:val="0"/>
          <w:bCs w:val="0"/>
          <w:color w:val="000000" w:themeColor="text1"/>
          <w:sz w:val="22"/>
        </w:rPr>
        <w:t>En los procesos de selección de concurso de méritos y de selección abreviada de menor cuantía, las entidades estatales están en la obligación de publicar el informe de evaluación por un término de tres (3) días hábiles, mientras que en los procesos de mínima cuantía ese informe de evaluación debe publicarse al menos por un (1) día hábil</w:t>
      </w:r>
      <w:r w:rsidRPr="00601A7E">
        <w:rPr>
          <w:rStyle w:val="Refdenotaalpie"/>
          <w:rFonts w:ascii="Arial" w:hAnsi="Arial" w:cs="Arial"/>
          <w:color w:val="000000" w:themeColor="text1"/>
          <w:sz w:val="22"/>
        </w:rPr>
        <w:footnoteReference w:id="13"/>
      </w:r>
      <w:r w:rsidRPr="00601A7E">
        <w:rPr>
          <w:rStyle w:val="Textoennegrita"/>
          <w:rFonts w:ascii="Arial" w:hAnsi="Arial" w:cs="Arial"/>
          <w:b w:val="0"/>
          <w:bCs w:val="0"/>
          <w:color w:val="000000" w:themeColor="text1"/>
          <w:sz w:val="22"/>
        </w:rPr>
        <w:t>.</w:t>
      </w:r>
    </w:p>
    <w:p w:rsidRPr="00601A7E" w:rsidR="001D4627" w:rsidP="001D4627" w:rsidRDefault="001D4627" w14:paraId="33CD6542" w14:textId="39E5F077">
      <w:pPr>
        <w:spacing w:before="120" w:after="120" w:line="276" w:lineRule="auto"/>
        <w:ind w:firstLine="709"/>
        <w:jc w:val="both"/>
        <w:rPr>
          <w:rStyle w:val="Textoennegrita"/>
          <w:rFonts w:ascii="Arial" w:hAnsi="Arial" w:cs="Arial"/>
          <w:b w:val="0"/>
          <w:bCs w:val="0"/>
          <w:color w:val="000000" w:themeColor="text1"/>
          <w:sz w:val="22"/>
        </w:rPr>
      </w:pPr>
      <w:r w:rsidRPr="00601A7E">
        <w:rPr>
          <w:rStyle w:val="Textoennegrita"/>
          <w:rFonts w:ascii="Arial" w:hAnsi="Arial" w:cs="Arial"/>
          <w:b w:val="0"/>
          <w:bCs w:val="0"/>
          <w:color w:val="000000" w:themeColor="text1"/>
          <w:sz w:val="22"/>
        </w:rPr>
        <w:lastRenderedPageBreak/>
        <w:t>El propósito de la publicidad del informe de evaluación de las propuestas</w:t>
      </w:r>
      <w:r w:rsidR="004A63EA">
        <w:rPr>
          <w:rStyle w:val="Textoennegrita"/>
          <w:rFonts w:ascii="Arial" w:hAnsi="Arial" w:cs="Arial"/>
          <w:b w:val="0"/>
          <w:bCs w:val="0"/>
          <w:color w:val="000000" w:themeColor="text1"/>
          <w:sz w:val="22"/>
        </w:rPr>
        <w:t>,</w:t>
      </w:r>
      <w:r w:rsidRPr="00601A7E">
        <w:rPr>
          <w:rStyle w:val="Textoennegrita"/>
          <w:rFonts w:ascii="Arial" w:hAnsi="Arial" w:cs="Arial"/>
          <w:b w:val="0"/>
          <w:bCs w:val="0"/>
          <w:color w:val="000000" w:themeColor="text1"/>
          <w:sz w:val="22"/>
        </w:rPr>
        <w:t xml:space="preserve"> en cada uno de los procesos de selección citados</w:t>
      </w:r>
      <w:r w:rsidR="004A63EA">
        <w:rPr>
          <w:rStyle w:val="Textoennegrita"/>
          <w:rFonts w:ascii="Arial" w:hAnsi="Arial" w:cs="Arial"/>
          <w:b w:val="0"/>
          <w:bCs w:val="0"/>
          <w:color w:val="000000" w:themeColor="text1"/>
          <w:sz w:val="22"/>
        </w:rPr>
        <w:t>,</w:t>
      </w:r>
      <w:r w:rsidRPr="00601A7E">
        <w:rPr>
          <w:rStyle w:val="Textoennegrita"/>
          <w:rFonts w:ascii="Arial" w:hAnsi="Arial" w:cs="Arial"/>
          <w:b w:val="0"/>
          <w:bCs w:val="0"/>
          <w:color w:val="000000" w:themeColor="text1"/>
          <w:sz w:val="22"/>
        </w:rPr>
        <w:t xml:space="preserve"> es que los oferentes puedan realizar las observaciones que a su juicio consideren pertinentes.</w:t>
      </w:r>
    </w:p>
    <w:p w:rsidRPr="00601A7E" w:rsidR="001D4627" w:rsidP="001D4627" w:rsidRDefault="001D4627" w14:paraId="69B26A05" w14:textId="0A6050B9">
      <w:pPr>
        <w:spacing w:before="120" w:after="120" w:line="276" w:lineRule="auto"/>
        <w:ind w:firstLine="709"/>
        <w:jc w:val="both"/>
        <w:rPr>
          <w:rStyle w:val="Textoennegrita"/>
          <w:rFonts w:ascii="Arial" w:hAnsi="Arial" w:cs="Arial"/>
          <w:b w:val="0"/>
          <w:bCs w:val="0"/>
          <w:color w:val="000000" w:themeColor="text1"/>
          <w:sz w:val="22"/>
        </w:rPr>
      </w:pPr>
      <w:r w:rsidRPr="00601A7E">
        <w:rPr>
          <w:rStyle w:val="Textoennegrita"/>
          <w:rFonts w:ascii="Arial" w:hAnsi="Arial" w:cs="Arial"/>
          <w:b w:val="0"/>
          <w:bCs w:val="0"/>
          <w:color w:val="000000" w:themeColor="text1"/>
          <w:sz w:val="22"/>
        </w:rPr>
        <w:t>Ahora bien, el ordenamiento jurídico no contemp</w:t>
      </w:r>
      <w:r w:rsidR="004A63EA">
        <w:rPr>
          <w:rStyle w:val="Textoennegrita"/>
          <w:rFonts w:ascii="Arial" w:hAnsi="Arial" w:cs="Arial"/>
          <w:b w:val="0"/>
          <w:bCs w:val="0"/>
          <w:color w:val="000000" w:themeColor="text1"/>
          <w:sz w:val="22"/>
        </w:rPr>
        <w:t>la</w:t>
      </w:r>
      <w:r w:rsidRPr="00601A7E">
        <w:rPr>
          <w:rStyle w:val="Textoennegrita"/>
          <w:rFonts w:ascii="Arial" w:hAnsi="Arial" w:cs="Arial"/>
          <w:b w:val="0"/>
          <w:bCs w:val="0"/>
          <w:color w:val="000000" w:themeColor="text1"/>
          <w:sz w:val="22"/>
        </w:rPr>
        <w:t xml:space="preserve"> un término </w:t>
      </w:r>
      <w:r w:rsidR="004A63EA">
        <w:rPr>
          <w:rStyle w:val="Textoennegrita"/>
          <w:rFonts w:ascii="Arial" w:hAnsi="Arial" w:cs="Arial"/>
          <w:b w:val="0"/>
          <w:bCs w:val="0"/>
          <w:color w:val="000000" w:themeColor="text1"/>
          <w:sz w:val="22"/>
        </w:rPr>
        <w:t xml:space="preserve">específico </w:t>
      </w:r>
      <w:r w:rsidRPr="00601A7E">
        <w:rPr>
          <w:rStyle w:val="Textoennegrita"/>
          <w:rFonts w:ascii="Arial" w:hAnsi="Arial" w:cs="Arial"/>
          <w:b w:val="0"/>
          <w:bCs w:val="0"/>
          <w:color w:val="000000" w:themeColor="text1"/>
          <w:sz w:val="22"/>
        </w:rPr>
        <w:t>para que las entidades estatales se pronuncien sobre las observaciones presentadas al informe de evaluación; no obstante esta circunstancia</w:t>
      </w:r>
      <w:r w:rsidR="004A63EA">
        <w:rPr>
          <w:rStyle w:val="Textoennegrita"/>
          <w:rFonts w:ascii="Arial" w:hAnsi="Arial" w:cs="Arial"/>
          <w:b w:val="0"/>
          <w:bCs w:val="0"/>
          <w:color w:val="000000" w:themeColor="text1"/>
          <w:sz w:val="22"/>
        </w:rPr>
        <w:t>,</w:t>
      </w:r>
      <w:r w:rsidRPr="00601A7E">
        <w:rPr>
          <w:rStyle w:val="Textoennegrita"/>
          <w:rFonts w:ascii="Arial" w:hAnsi="Arial" w:cs="Arial"/>
          <w:b w:val="0"/>
          <w:bCs w:val="0"/>
          <w:color w:val="000000" w:themeColor="text1"/>
          <w:sz w:val="22"/>
        </w:rPr>
        <w:t xml:space="preserve"> se precisa que aquellas s</w:t>
      </w:r>
      <w:r w:rsidR="004A63EA">
        <w:rPr>
          <w:rStyle w:val="Textoennegrita"/>
          <w:rFonts w:ascii="Arial" w:hAnsi="Arial" w:cs="Arial"/>
          <w:b w:val="0"/>
          <w:bCs w:val="0"/>
          <w:color w:val="000000" w:themeColor="text1"/>
          <w:sz w:val="22"/>
        </w:rPr>
        <w:t>í</w:t>
      </w:r>
      <w:r w:rsidRPr="00601A7E">
        <w:rPr>
          <w:rStyle w:val="Textoennegrita"/>
          <w:rFonts w:ascii="Arial" w:hAnsi="Arial" w:cs="Arial"/>
          <w:b w:val="0"/>
          <w:bCs w:val="0"/>
          <w:color w:val="000000" w:themeColor="text1"/>
          <w:sz w:val="22"/>
        </w:rPr>
        <w:t xml:space="preserve"> cuentan con un límite para responder esas observaciones, que está determinado por el acto de adjudicación del respectivo contrato, es decir, la entidad antes de proferir su decisión de adjudicación del contrato, está en la obligación de responder las observaciones presentadas al informe de evaluación de las propuestas.</w:t>
      </w:r>
    </w:p>
    <w:p w:rsidRPr="00601A7E" w:rsidR="001D4627" w:rsidP="001D4627" w:rsidRDefault="001D4627" w14:paraId="7C9A21DF" w14:textId="54D3E8B7">
      <w:pPr>
        <w:spacing w:before="120" w:after="120" w:line="276" w:lineRule="auto"/>
        <w:ind w:firstLine="709"/>
        <w:jc w:val="both"/>
        <w:rPr>
          <w:rFonts w:ascii="Arial" w:hAnsi="Arial" w:cs="Arial"/>
          <w:color w:val="000000" w:themeColor="text1"/>
          <w:sz w:val="22"/>
        </w:rPr>
      </w:pPr>
      <w:r w:rsidRPr="008E6478">
        <w:rPr>
          <w:rStyle w:val="Textoennegrita"/>
          <w:rFonts w:ascii="Arial" w:hAnsi="Arial" w:cs="Arial"/>
          <w:b w:val="0"/>
          <w:bCs w:val="0"/>
          <w:color w:val="000000" w:themeColor="text1"/>
          <w:sz w:val="22"/>
        </w:rPr>
        <w:t xml:space="preserve">Es de resaltar </w:t>
      </w:r>
      <w:r w:rsidRPr="008E6478" w:rsidR="00601A7E">
        <w:rPr>
          <w:rStyle w:val="Textoennegrita"/>
          <w:rFonts w:ascii="Arial" w:hAnsi="Arial" w:cs="Arial"/>
          <w:b w:val="0"/>
          <w:bCs w:val="0"/>
          <w:color w:val="000000" w:themeColor="text1"/>
          <w:sz w:val="22"/>
        </w:rPr>
        <w:t>que,</w:t>
      </w:r>
      <w:r w:rsidRPr="008E6478">
        <w:rPr>
          <w:rStyle w:val="Textoennegrita"/>
          <w:rFonts w:ascii="Arial" w:hAnsi="Arial" w:cs="Arial"/>
          <w:b w:val="0"/>
          <w:bCs w:val="0"/>
          <w:color w:val="000000" w:themeColor="text1"/>
          <w:sz w:val="22"/>
        </w:rPr>
        <w:t xml:space="preserve"> en los procesos de licitación, la respuesta a las observaciones presentadas al informe de evaluación debe efectuarse antes de realiza</w:t>
      </w:r>
      <w:r w:rsidRPr="008E6478" w:rsidR="004A63EA">
        <w:rPr>
          <w:rStyle w:val="Textoennegrita"/>
          <w:rFonts w:ascii="Arial" w:hAnsi="Arial" w:cs="Arial"/>
          <w:b w:val="0"/>
          <w:bCs w:val="0"/>
          <w:color w:val="000000" w:themeColor="text1"/>
          <w:sz w:val="22"/>
        </w:rPr>
        <w:t>r</w:t>
      </w:r>
      <w:r w:rsidRPr="008E6478">
        <w:rPr>
          <w:rStyle w:val="Textoennegrita"/>
          <w:rFonts w:ascii="Arial" w:hAnsi="Arial" w:cs="Arial"/>
          <w:b w:val="0"/>
          <w:bCs w:val="0"/>
          <w:color w:val="000000" w:themeColor="text1"/>
          <w:sz w:val="22"/>
        </w:rPr>
        <w:t xml:space="preserve"> la audiencia de adjudicación</w:t>
      </w:r>
      <w:r w:rsidRPr="00A14472" w:rsidR="008E6478">
        <w:rPr>
          <w:rStyle w:val="Textoennegrita"/>
          <w:rFonts w:ascii="Arial" w:hAnsi="Arial" w:cs="Arial"/>
          <w:b w:val="0"/>
          <w:bCs w:val="0"/>
          <w:color w:val="000000" w:themeColor="text1"/>
          <w:sz w:val="22"/>
        </w:rPr>
        <w:t xml:space="preserve"> o durante el desarrollo de </w:t>
      </w:r>
      <w:proofErr w:type="gramStart"/>
      <w:r w:rsidRPr="00A14472" w:rsidR="008E6478">
        <w:rPr>
          <w:rStyle w:val="Textoennegrita"/>
          <w:rFonts w:ascii="Arial" w:hAnsi="Arial" w:cs="Arial"/>
          <w:b w:val="0"/>
          <w:bCs w:val="0"/>
          <w:color w:val="000000" w:themeColor="text1"/>
          <w:sz w:val="22"/>
        </w:rPr>
        <w:t>la misma</w:t>
      </w:r>
      <w:proofErr w:type="gramEnd"/>
      <w:r w:rsidRPr="008E6478">
        <w:rPr>
          <w:rStyle w:val="Textoennegrita"/>
          <w:rFonts w:ascii="Arial" w:hAnsi="Arial" w:cs="Arial"/>
          <w:b w:val="0"/>
          <w:bCs w:val="0"/>
          <w:color w:val="000000" w:themeColor="text1"/>
          <w:sz w:val="22"/>
        </w:rPr>
        <w:t>, puesto que en esa audiencia «</w:t>
      </w:r>
      <w:r w:rsidRPr="008E6478">
        <w:rPr>
          <w:rFonts w:ascii="Arial" w:hAnsi="Arial" w:cs="Arial"/>
          <w:color w:val="000000" w:themeColor="text1"/>
          <w:sz w:val="22"/>
        </w:rPr>
        <w:t>los oferentes pueden pronunciarse sobre las respuestas dadas por la Entidad Estatal a las observaciones presentadas respecto del informe de evaluación»</w:t>
      </w:r>
      <w:r w:rsidRPr="008E6478">
        <w:rPr>
          <w:rStyle w:val="Refdenotaalpie"/>
          <w:rFonts w:ascii="Arial" w:hAnsi="Arial" w:cs="Arial"/>
          <w:color w:val="000000" w:themeColor="text1"/>
          <w:sz w:val="22"/>
        </w:rPr>
        <w:footnoteReference w:id="14"/>
      </w:r>
      <w:r w:rsidRPr="008E6478">
        <w:rPr>
          <w:rFonts w:ascii="Arial" w:hAnsi="Arial" w:cs="Arial"/>
          <w:color w:val="000000" w:themeColor="text1"/>
          <w:sz w:val="22"/>
        </w:rPr>
        <w:t>.</w:t>
      </w:r>
    </w:p>
    <w:p w:rsidRPr="00601A7E" w:rsidR="001D4627" w:rsidP="001D4627" w:rsidRDefault="001D4627" w14:paraId="401262F8" w14:textId="1EB07F94">
      <w:pPr>
        <w:spacing w:before="120" w:after="120" w:line="276" w:lineRule="auto"/>
        <w:ind w:firstLine="709"/>
        <w:jc w:val="both"/>
        <w:rPr>
          <w:rFonts w:ascii="Arial" w:hAnsi="Arial" w:cs="Arial"/>
          <w:color w:val="000000" w:themeColor="text1"/>
          <w:sz w:val="22"/>
        </w:rPr>
      </w:pPr>
      <w:r w:rsidRPr="00601A7E">
        <w:rPr>
          <w:rFonts w:ascii="Arial" w:hAnsi="Arial" w:cs="Arial"/>
          <w:color w:val="000000" w:themeColor="text1"/>
          <w:sz w:val="22"/>
        </w:rPr>
        <w:t>En conclusión y en relación con los términos o plazos con que cuentan las entidades estatales para responder las observaciones</w:t>
      </w:r>
      <w:r w:rsidR="004A63EA">
        <w:rPr>
          <w:rFonts w:ascii="Arial" w:hAnsi="Arial" w:cs="Arial"/>
          <w:color w:val="000000" w:themeColor="text1"/>
          <w:sz w:val="22"/>
        </w:rPr>
        <w:t xml:space="preserve"> </w:t>
      </w:r>
      <w:r w:rsidRPr="00601A7E">
        <w:rPr>
          <w:rFonts w:ascii="Arial" w:hAnsi="Arial" w:cs="Arial"/>
          <w:color w:val="000000" w:themeColor="text1"/>
          <w:sz w:val="22"/>
        </w:rPr>
        <w:t>o solicitudes de aclaraci</w:t>
      </w:r>
      <w:r w:rsidR="004A63EA">
        <w:rPr>
          <w:rFonts w:ascii="Arial" w:hAnsi="Arial" w:cs="Arial"/>
          <w:color w:val="000000" w:themeColor="text1"/>
          <w:sz w:val="22"/>
        </w:rPr>
        <w:t>ón</w:t>
      </w:r>
      <w:r w:rsidRPr="00601A7E">
        <w:rPr>
          <w:rFonts w:ascii="Arial" w:hAnsi="Arial" w:cs="Arial"/>
          <w:color w:val="000000" w:themeColor="text1"/>
          <w:sz w:val="22"/>
        </w:rPr>
        <w:t xml:space="preserve"> en las distintas etapas o fases del proceso de contratación, precisamos que si bien el ordenamiento jurídico no contempl</w:t>
      </w:r>
      <w:r w:rsidR="004A63EA">
        <w:rPr>
          <w:rFonts w:ascii="Arial" w:hAnsi="Arial" w:cs="Arial"/>
          <w:color w:val="000000" w:themeColor="text1"/>
          <w:sz w:val="22"/>
        </w:rPr>
        <w:t>a</w:t>
      </w:r>
      <w:r w:rsidRPr="00601A7E">
        <w:rPr>
          <w:rFonts w:ascii="Arial" w:hAnsi="Arial" w:cs="Arial"/>
          <w:color w:val="000000" w:themeColor="text1"/>
          <w:sz w:val="22"/>
        </w:rPr>
        <w:t xml:space="preserve"> de manera expresa </w:t>
      </w:r>
      <w:r w:rsidR="004A63EA">
        <w:rPr>
          <w:rFonts w:ascii="Arial" w:hAnsi="Arial" w:cs="Arial"/>
          <w:color w:val="000000" w:themeColor="text1"/>
          <w:sz w:val="22"/>
        </w:rPr>
        <w:t>estos</w:t>
      </w:r>
      <w:r w:rsidRPr="00601A7E" w:rsidR="004A63EA">
        <w:rPr>
          <w:rFonts w:ascii="Arial" w:hAnsi="Arial" w:cs="Arial"/>
          <w:color w:val="000000" w:themeColor="text1"/>
          <w:sz w:val="22"/>
        </w:rPr>
        <w:t xml:space="preserve"> </w:t>
      </w:r>
      <w:r w:rsidRPr="00601A7E">
        <w:rPr>
          <w:rFonts w:ascii="Arial" w:hAnsi="Arial" w:cs="Arial"/>
          <w:color w:val="000000" w:themeColor="text1"/>
          <w:sz w:val="22"/>
        </w:rPr>
        <w:t>plazo</w:t>
      </w:r>
      <w:r w:rsidR="004A63EA">
        <w:rPr>
          <w:rFonts w:ascii="Arial" w:hAnsi="Arial" w:cs="Arial"/>
          <w:color w:val="000000" w:themeColor="text1"/>
          <w:sz w:val="22"/>
        </w:rPr>
        <w:t>s</w:t>
      </w:r>
      <w:r w:rsidRPr="00601A7E">
        <w:rPr>
          <w:rFonts w:ascii="Arial" w:hAnsi="Arial" w:cs="Arial"/>
          <w:color w:val="000000" w:themeColor="text1"/>
          <w:sz w:val="22"/>
        </w:rPr>
        <w:t>, el mismo se encuentra establecido de forma tácita, en tanto, no es posible avanzar en las fases o etapas del proceso de contratación, si la entidad estatal, previamente, no ha resuelto las observaciones o solicitudes de aclaraci</w:t>
      </w:r>
      <w:r w:rsidR="004A63EA">
        <w:rPr>
          <w:rFonts w:ascii="Arial" w:hAnsi="Arial" w:cs="Arial"/>
          <w:color w:val="000000" w:themeColor="text1"/>
          <w:sz w:val="22"/>
        </w:rPr>
        <w:t>ón</w:t>
      </w:r>
      <w:r w:rsidRPr="00601A7E">
        <w:rPr>
          <w:rFonts w:ascii="Arial" w:hAnsi="Arial" w:cs="Arial"/>
          <w:color w:val="000000" w:themeColor="text1"/>
          <w:sz w:val="22"/>
        </w:rPr>
        <w:t xml:space="preserve"> realizadas en cada una de las etapas analizadas.</w:t>
      </w:r>
    </w:p>
    <w:p w:rsidRPr="00601A7E" w:rsidR="001D4627" w:rsidP="001D4627" w:rsidRDefault="001D4627" w14:paraId="1C6BA0C8" w14:textId="7C79CC72">
      <w:pPr>
        <w:spacing w:before="120" w:after="120" w:line="276" w:lineRule="auto"/>
        <w:ind w:firstLine="709"/>
        <w:jc w:val="both"/>
        <w:rPr>
          <w:rFonts w:ascii="Arial" w:hAnsi="Arial" w:cs="Arial"/>
          <w:color w:val="000000" w:themeColor="text1"/>
          <w:sz w:val="22"/>
        </w:rPr>
      </w:pPr>
      <w:r w:rsidRPr="00601A7E">
        <w:rPr>
          <w:rFonts w:ascii="Arial" w:hAnsi="Arial" w:cs="Arial"/>
          <w:color w:val="000000" w:themeColor="text1"/>
          <w:sz w:val="22"/>
        </w:rPr>
        <w:t xml:space="preserve">De otra parte, puede </w:t>
      </w:r>
      <w:r w:rsidR="004A63EA">
        <w:rPr>
          <w:rFonts w:ascii="Arial" w:hAnsi="Arial" w:cs="Arial"/>
          <w:color w:val="000000" w:themeColor="text1"/>
          <w:sz w:val="22"/>
        </w:rPr>
        <w:t>s</w:t>
      </w:r>
      <w:r w:rsidRPr="00601A7E">
        <w:rPr>
          <w:rFonts w:ascii="Arial" w:hAnsi="Arial" w:cs="Arial"/>
          <w:color w:val="000000" w:themeColor="text1"/>
          <w:sz w:val="22"/>
        </w:rPr>
        <w:t>uceder, como en efecto ocurre, que los interesados en un proceso de contratación presenten observaciones o solicitudes de aclaraci</w:t>
      </w:r>
      <w:r w:rsidR="004A63EA">
        <w:rPr>
          <w:rFonts w:ascii="Arial" w:hAnsi="Arial" w:cs="Arial"/>
          <w:color w:val="000000" w:themeColor="text1"/>
          <w:sz w:val="22"/>
        </w:rPr>
        <w:t>ón</w:t>
      </w:r>
      <w:r w:rsidRPr="00601A7E">
        <w:rPr>
          <w:rFonts w:ascii="Arial" w:hAnsi="Arial" w:cs="Arial"/>
          <w:color w:val="000000" w:themeColor="text1"/>
          <w:sz w:val="22"/>
        </w:rPr>
        <w:t xml:space="preserve"> </w:t>
      </w:r>
      <w:r w:rsidR="007E39C3">
        <w:rPr>
          <w:rFonts w:ascii="Arial" w:hAnsi="Arial" w:cs="Arial"/>
          <w:color w:val="000000" w:themeColor="text1"/>
          <w:sz w:val="22"/>
        </w:rPr>
        <w:t>frente al</w:t>
      </w:r>
      <w:r w:rsidRPr="00601A7E" w:rsidR="007E39C3">
        <w:rPr>
          <w:rFonts w:ascii="Arial" w:hAnsi="Arial" w:cs="Arial"/>
          <w:color w:val="000000" w:themeColor="text1"/>
          <w:sz w:val="22"/>
        </w:rPr>
        <w:t xml:space="preserve"> </w:t>
      </w:r>
      <w:r w:rsidRPr="00601A7E">
        <w:rPr>
          <w:rFonts w:ascii="Arial" w:hAnsi="Arial" w:cs="Arial"/>
          <w:color w:val="000000" w:themeColor="text1"/>
          <w:sz w:val="22"/>
        </w:rPr>
        <w:t>proyecto de pliego de condiciones, al pliego de condiciones o al informe de evaluación de las ofertas, fuera de los plazos establecidos por el ordenamiento jurídico y por el cronograma del respectivo proceso de contratación pública, según el caso. Esta circunstancia de suyo implica que la observación es extemporánea.</w:t>
      </w:r>
    </w:p>
    <w:p w:rsidRPr="00601A7E" w:rsidR="001D4627" w:rsidP="00A14472" w:rsidRDefault="001D4627" w14:paraId="78B1B85E" w14:textId="4A5D7D10">
      <w:pPr>
        <w:spacing w:before="120" w:after="120" w:line="276" w:lineRule="auto"/>
        <w:ind w:firstLine="709"/>
        <w:jc w:val="both"/>
        <w:rPr>
          <w:rFonts w:ascii="Arial" w:hAnsi="Arial" w:cs="Arial"/>
          <w:color w:val="000000" w:themeColor="text1"/>
          <w:sz w:val="22"/>
        </w:rPr>
      </w:pPr>
      <w:r w:rsidRPr="00601A7E">
        <w:rPr>
          <w:rFonts w:ascii="Arial" w:hAnsi="Arial" w:cs="Arial"/>
          <w:color w:val="000000" w:themeColor="text1"/>
          <w:sz w:val="22"/>
        </w:rPr>
        <w:lastRenderedPageBreak/>
        <w:t xml:space="preserve">Si bien la entidad estatal que adelanta un proceso de contratación está en la obligación de responder las observaciones extemporáneas, no lo es menos que esa respuesta </w:t>
      </w:r>
      <w:r w:rsidR="008E6478">
        <w:rPr>
          <w:rFonts w:ascii="Arial" w:hAnsi="Arial" w:cs="Arial"/>
          <w:color w:val="000000" w:themeColor="text1"/>
          <w:sz w:val="22"/>
        </w:rPr>
        <w:t>puede</w:t>
      </w:r>
      <w:r w:rsidRPr="00601A7E" w:rsidR="008E6478">
        <w:rPr>
          <w:rFonts w:ascii="Arial" w:hAnsi="Arial" w:cs="Arial"/>
          <w:color w:val="000000" w:themeColor="text1"/>
          <w:sz w:val="22"/>
        </w:rPr>
        <w:t xml:space="preserve"> </w:t>
      </w:r>
      <w:r w:rsidRPr="00601A7E">
        <w:rPr>
          <w:rFonts w:ascii="Arial" w:hAnsi="Arial" w:cs="Arial"/>
          <w:color w:val="000000" w:themeColor="text1"/>
          <w:sz w:val="22"/>
        </w:rPr>
        <w:t xml:space="preserve">consistir o limitarse al rechazo de la observación, precisamente, por ser extemporánea. </w:t>
      </w:r>
      <w:r w:rsidR="007E39C3">
        <w:rPr>
          <w:rFonts w:ascii="Arial" w:hAnsi="Arial" w:cs="Arial"/>
          <w:color w:val="000000" w:themeColor="text1"/>
          <w:sz w:val="22"/>
        </w:rPr>
        <w:t>Esto</w:t>
      </w:r>
      <w:r w:rsidRPr="00601A7E">
        <w:rPr>
          <w:rFonts w:ascii="Arial" w:hAnsi="Arial" w:cs="Arial"/>
          <w:color w:val="000000" w:themeColor="text1"/>
          <w:sz w:val="22"/>
        </w:rPr>
        <w:t xml:space="preserve"> encuentra fundamento en el principio de económica que rige los procesos de contratación, especialmente, en el numeral 1º del artículo 25 de la Ley 80 de 1993</w:t>
      </w:r>
      <w:r w:rsidR="00E613E2">
        <w:rPr>
          <w:rFonts w:ascii="Arial" w:hAnsi="Arial" w:cs="Arial"/>
          <w:color w:val="000000" w:themeColor="text1"/>
          <w:sz w:val="22"/>
        </w:rPr>
        <w:t>,</w:t>
      </w:r>
      <w:r w:rsidRPr="00601A7E">
        <w:rPr>
          <w:rFonts w:ascii="Arial" w:hAnsi="Arial" w:cs="Arial"/>
          <w:color w:val="000000" w:themeColor="text1"/>
          <w:sz w:val="22"/>
        </w:rPr>
        <w:t xml:space="preserve"> </w:t>
      </w:r>
      <w:r w:rsidR="00E613E2">
        <w:rPr>
          <w:rFonts w:ascii="Arial" w:hAnsi="Arial" w:cs="Arial"/>
          <w:color w:val="000000" w:themeColor="text1"/>
          <w:sz w:val="22"/>
        </w:rPr>
        <w:t>el cual</w:t>
      </w:r>
      <w:r w:rsidRPr="00601A7E" w:rsidR="00E613E2">
        <w:rPr>
          <w:rFonts w:ascii="Arial" w:hAnsi="Arial" w:cs="Arial"/>
          <w:color w:val="000000" w:themeColor="text1"/>
          <w:sz w:val="22"/>
        </w:rPr>
        <w:t xml:space="preserve"> </w:t>
      </w:r>
      <w:r w:rsidR="00E613E2">
        <w:rPr>
          <w:rFonts w:ascii="Arial" w:hAnsi="Arial" w:cs="Arial"/>
          <w:color w:val="000000" w:themeColor="text1"/>
          <w:sz w:val="22"/>
        </w:rPr>
        <w:t>establece</w:t>
      </w:r>
      <w:r w:rsidRPr="00601A7E">
        <w:rPr>
          <w:rFonts w:ascii="Arial" w:hAnsi="Arial" w:cs="Arial"/>
          <w:color w:val="000000" w:themeColor="text1"/>
          <w:sz w:val="22"/>
        </w:rPr>
        <w:t xml:space="preserve"> que los términos o plazos para la etapas o fases del proceso de selección son preclusivos y perentorios</w:t>
      </w:r>
      <w:r w:rsidRPr="00601A7E" w:rsidR="003F2D8A">
        <w:rPr>
          <w:rStyle w:val="Refdenotaalpie"/>
          <w:rFonts w:ascii="Arial" w:hAnsi="Arial" w:cs="Arial"/>
          <w:color w:val="000000" w:themeColor="text1"/>
          <w:sz w:val="22"/>
        </w:rPr>
        <w:footnoteReference w:id="15"/>
      </w:r>
      <w:r w:rsidRPr="00601A7E">
        <w:rPr>
          <w:rFonts w:ascii="Arial" w:hAnsi="Arial" w:cs="Arial"/>
          <w:color w:val="000000" w:themeColor="text1"/>
          <w:sz w:val="22"/>
        </w:rPr>
        <w:t>. Sobre este asunto, la Sección Tercera del Consejo de Estado, sostuvo:</w:t>
      </w:r>
    </w:p>
    <w:p w:rsidRPr="00601A7E" w:rsidR="001D4627" w:rsidP="001D4627" w:rsidRDefault="001D4627" w14:paraId="54FAF0F9" w14:textId="77777777">
      <w:pPr>
        <w:spacing w:line="276" w:lineRule="auto"/>
        <w:ind w:firstLine="709"/>
        <w:jc w:val="both"/>
        <w:rPr>
          <w:rFonts w:ascii="Arial" w:hAnsi="Arial" w:cs="Arial"/>
          <w:color w:val="000000" w:themeColor="text1"/>
          <w:sz w:val="22"/>
        </w:rPr>
      </w:pPr>
    </w:p>
    <w:p w:rsidRPr="00601A7E" w:rsidR="001D4627" w:rsidP="001D4627" w:rsidRDefault="001D4627" w14:paraId="39FB5FFE" w14:textId="77777777">
      <w:pPr>
        <w:ind w:left="709" w:right="709"/>
        <w:jc w:val="both"/>
        <w:rPr>
          <w:rFonts w:ascii="Arial" w:hAnsi="Arial" w:cs="Arial"/>
          <w:color w:val="000000" w:themeColor="text1"/>
          <w:sz w:val="21"/>
          <w:szCs w:val="21"/>
        </w:rPr>
      </w:pPr>
      <w:r w:rsidRPr="00601A7E">
        <w:rPr>
          <w:rFonts w:ascii="Arial" w:hAnsi="Arial" w:cs="Arial"/>
          <w:color w:val="000000" w:themeColor="text1"/>
          <w:sz w:val="21"/>
          <w:szCs w:val="21"/>
        </w:rPr>
        <w:t xml:space="preserve">Estos plazos, que corresponden a las distintas etapas del proceso de selección, son, como lo consagra el numeral 1º del artículo 25 del Estatuto Contractual, perentorios y preclusivos. </w:t>
      </w:r>
    </w:p>
    <w:p w:rsidRPr="00601A7E" w:rsidR="001D4627" w:rsidP="001D4627" w:rsidRDefault="001D4627" w14:paraId="7B9E5D73" w14:textId="77777777">
      <w:pPr>
        <w:ind w:left="709" w:right="709"/>
        <w:jc w:val="both"/>
        <w:rPr>
          <w:rFonts w:ascii="Arial" w:hAnsi="Arial" w:cs="Arial"/>
          <w:color w:val="000000" w:themeColor="text1"/>
          <w:sz w:val="21"/>
          <w:szCs w:val="21"/>
        </w:rPr>
      </w:pPr>
    </w:p>
    <w:p w:rsidRPr="00601A7E" w:rsidR="001D4627" w:rsidP="001D4627" w:rsidRDefault="001D4627" w14:paraId="0573FE3D" w14:textId="77777777">
      <w:pPr>
        <w:ind w:left="709" w:right="709"/>
        <w:jc w:val="both"/>
        <w:rPr>
          <w:rFonts w:ascii="Arial" w:hAnsi="Arial" w:cs="Arial"/>
          <w:color w:val="000000" w:themeColor="text1"/>
          <w:sz w:val="21"/>
          <w:szCs w:val="21"/>
        </w:rPr>
      </w:pPr>
      <w:r w:rsidRPr="00601A7E">
        <w:rPr>
          <w:rFonts w:ascii="Arial" w:hAnsi="Arial" w:cs="Arial"/>
          <w:color w:val="000000" w:themeColor="text1"/>
          <w:sz w:val="21"/>
          <w:szCs w:val="21"/>
        </w:rPr>
        <w:t xml:space="preserve">Perentorio, significa «Decisivo o concluyente»; según el Diccionario de la Real Academia de la Lengua Española: </w:t>
      </w:r>
    </w:p>
    <w:p w:rsidRPr="00601A7E" w:rsidR="001D4627" w:rsidP="001D4627" w:rsidRDefault="001D4627" w14:paraId="4DED2E92" w14:textId="77777777">
      <w:pPr>
        <w:ind w:left="709" w:right="709"/>
        <w:jc w:val="both"/>
        <w:rPr>
          <w:rFonts w:ascii="Arial" w:hAnsi="Arial" w:cs="Arial"/>
          <w:color w:val="000000" w:themeColor="text1"/>
          <w:sz w:val="21"/>
          <w:szCs w:val="21"/>
        </w:rPr>
      </w:pPr>
    </w:p>
    <w:p w:rsidRPr="00601A7E" w:rsidR="001D4627" w:rsidP="001D4627" w:rsidRDefault="001D4627" w14:paraId="1F206AA9" w14:textId="77777777">
      <w:pPr>
        <w:ind w:left="709" w:right="709"/>
        <w:jc w:val="both"/>
        <w:rPr>
          <w:rFonts w:ascii="Arial" w:hAnsi="Arial" w:cs="Arial"/>
          <w:color w:val="000000" w:themeColor="text1"/>
          <w:sz w:val="21"/>
          <w:szCs w:val="21"/>
        </w:rPr>
      </w:pPr>
      <w:r w:rsidRPr="00601A7E">
        <w:rPr>
          <w:rFonts w:ascii="Arial" w:hAnsi="Arial" w:cs="Arial"/>
          <w:color w:val="000000" w:themeColor="text1"/>
          <w:sz w:val="21"/>
          <w:szCs w:val="21"/>
        </w:rPr>
        <w:t>«1. adj. Se dice del último plazo que se concede, o de la resolución final que se toma en cualquier asunto.</w:t>
      </w:r>
    </w:p>
    <w:p w:rsidRPr="00601A7E" w:rsidR="001D4627" w:rsidP="001D4627" w:rsidRDefault="001D4627" w14:paraId="39A8A425" w14:textId="77777777">
      <w:pPr>
        <w:ind w:left="709" w:right="709"/>
        <w:jc w:val="both"/>
        <w:rPr>
          <w:rFonts w:ascii="Arial" w:hAnsi="Arial" w:cs="Arial"/>
          <w:color w:val="000000" w:themeColor="text1"/>
          <w:sz w:val="21"/>
          <w:szCs w:val="21"/>
        </w:rPr>
      </w:pPr>
      <w:r w:rsidRPr="00601A7E">
        <w:rPr>
          <w:rFonts w:ascii="Arial" w:hAnsi="Arial" w:cs="Arial"/>
          <w:color w:val="000000" w:themeColor="text1"/>
          <w:sz w:val="21"/>
          <w:szCs w:val="21"/>
        </w:rPr>
        <w:t>2. adj. Concluyente, decisivo, determinante.</w:t>
      </w:r>
    </w:p>
    <w:p w:rsidRPr="00601A7E" w:rsidR="001D4627" w:rsidP="001D4627" w:rsidRDefault="001D4627" w14:paraId="15ADF59D" w14:textId="77777777">
      <w:pPr>
        <w:ind w:left="709" w:right="709"/>
        <w:jc w:val="both"/>
        <w:rPr>
          <w:rFonts w:ascii="Arial" w:hAnsi="Arial" w:cs="Arial"/>
          <w:color w:val="000000" w:themeColor="text1"/>
          <w:sz w:val="21"/>
          <w:szCs w:val="21"/>
        </w:rPr>
      </w:pPr>
      <w:r w:rsidRPr="00601A7E">
        <w:rPr>
          <w:rFonts w:ascii="Arial" w:hAnsi="Arial" w:cs="Arial"/>
          <w:color w:val="000000" w:themeColor="text1"/>
          <w:sz w:val="21"/>
          <w:szCs w:val="21"/>
        </w:rPr>
        <w:t>3. adj. Urgente, apremiante».</w:t>
      </w:r>
    </w:p>
    <w:p w:rsidRPr="00601A7E" w:rsidR="001D4627" w:rsidP="001D4627" w:rsidRDefault="001D4627" w14:paraId="4DB4372A" w14:textId="77777777">
      <w:pPr>
        <w:ind w:left="709" w:right="709"/>
        <w:jc w:val="both"/>
        <w:rPr>
          <w:rFonts w:ascii="Arial" w:hAnsi="Arial" w:cs="Arial"/>
          <w:color w:val="000000" w:themeColor="text1"/>
          <w:sz w:val="21"/>
          <w:szCs w:val="21"/>
        </w:rPr>
      </w:pPr>
      <w:r w:rsidRPr="00601A7E">
        <w:rPr>
          <w:rFonts w:ascii="Arial" w:hAnsi="Arial" w:cs="Arial"/>
          <w:color w:val="000000" w:themeColor="text1"/>
          <w:sz w:val="21"/>
          <w:szCs w:val="21"/>
        </w:rPr>
        <w:t xml:space="preserve">   </w:t>
      </w:r>
    </w:p>
    <w:p w:rsidRPr="00601A7E" w:rsidR="001D4627" w:rsidP="001D4627" w:rsidRDefault="001D4627" w14:paraId="15B529C4" w14:textId="77777777">
      <w:pPr>
        <w:ind w:left="709" w:right="709"/>
        <w:jc w:val="both"/>
        <w:rPr>
          <w:rFonts w:ascii="Arial" w:hAnsi="Arial" w:cs="Arial"/>
          <w:color w:val="000000" w:themeColor="text1"/>
          <w:sz w:val="21"/>
          <w:szCs w:val="21"/>
        </w:rPr>
      </w:pPr>
      <w:r w:rsidRPr="00601A7E">
        <w:rPr>
          <w:rFonts w:ascii="Arial" w:hAnsi="Arial" w:cs="Arial"/>
          <w:color w:val="000000" w:themeColor="text1"/>
          <w:sz w:val="21"/>
          <w:szCs w:val="21"/>
        </w:rPr>
        <w:t xml:space="preserve">Y el «término perentorio», significa «El improrrogable, cuyo transcurso extingue o cancela la facultad o el derecho que durante él no se ejercitó». </w:t>
      </w:r>
    </w:p>
    <w:p w:rsidRPr="00601A7E" w:rsidR="001D4627" w:rsidP="001D4627" w:rsidRDefault="001D4627" w14:paraId="62100012" w14:textId="77777777">
      <w:pPr>
        <w:ind w:left="709" w:right="709"/>
        <w:jc w:val="both"/>
        <w:rPr>
          <w:rFonts w:ascii="Arial" w:hAnsi="Arial" w:cs="Arial"/>
          <w:color w:val="000000" w:themeColor="text1"/>
          <w:sz w:val="21"/>
          <w:szCs w:val="21"/>
        </w:rPr>
      </w:pPr>
    </w:p>
    <w:p w:rsidRPr="00601A7E" w:rsidR="001D4627" w:rsidP="001D4627" w:rsidRDefault="001D4627" w14:paraId="1ADF9167" w14:textId="77777777">
      <w:pPr>
        <w:ind w:left="709" w:right="709"/>
        <w:jc w:val="both"/>
        <w:rPr>
          <w:rFonts w:ascii="Arial" w:hAnsi="Arial" w:cs="Arial"/>
          <w:color w:val="000000" w:themeColor="text1"/>
          <w:sz w:val="21"/>
          <w:szCs w:val="21"/>
        </w:rPr>
      </w:pPr>
      <w:r w:rsidRPr="00601A7E">
        <w:rPr>
          <w:rFonts w:ascii="Arial" w:hAnsi="Arial" w:cs="Arial"/>
          <w:color w:val="000000" w:themeColor="text1"/>
          <w:sz w:val="21"/>
          <w:szCs w:val="21"/>
        </w:rPr>
        <w:t>Por su parte, preclusivo significa, según el mismo diccionario, «Que causa o determina preclusión»; y a su vez, preclusión, es definido como «Carácter del proceso, según el cual el juicio se divide en etapas, cada una de las cuales clausura la anterior sin posibilidad de replantear lo ya decidido en ella».</w:t>
      </w:r>
    </w:p>
    <w:p w:rsidRPr="00601A7E" w:rsidR="001D4627" w:rsidP="001D4627" w:rsidRDefault="001D4627" w14:paraId="0DD9CE40" w14:textId="77777777">
      <w:pPr>
        <w:ind w:left="709" w:right="709"/>
        <w:jc w:val="both"/>
        <w:rPr>
          <w:rFonts w:ascii="Arial" w:hAnsi="Arial" w:cs="Arial"/>
          <w:color w:val="000000" w:themeColor="text1"/>
          <w:sz w:val="21"/>
          <w:szCs w:val="21"/>
        </w:rPr>
      </w:pPr>
      <w:r w:rsidRPr="00601A7E">
        <w:rPr>
          <w:rFonts w:ascii="Arial" w:hAnsi="Arial" w:cs="Arial"/>
          <w:color w:val="000000" w:themeColor="text1"/>
          <w:sz w:val="21"/>
          <w:szCs w:val="21"/>
        </w:rPr>
        <w:t xml:space="preserve"> </w:t>
      </w:r>
    </w:p>
    <w:p w:rsidRPr="00601A7E" w:rsidR="001D4627" w:rsidP="001D4627" w:rsidRDefault="001D4627" w14:paraId="77CA18B5" w14:textId="77777777">
      <w:pPr>
        <w:ind w:left="709" w:right="709"/>
        <w:jc w:val="both"/>
        <w:rPr>
          <w:rFonts w:ascii="Arial" w:hAnsi="Arial" w:cs="Arial"/>
          <w:color w:val="000000" w:themeColor="text1"/>
          <w:sz w:val="21"/>
          <w:szCs w:val="21"/>
        </w:rPr>
      </w:pPr>
      <w:r w:rsidRPr="00601A7E">
        <w:rPr>
          <w:rFonts w:ascii="Arial" w:hAnsi="Arial" w:cs="Arial"/>
          <w:color w:val="000000" w:themeColor="text1"/>
          <w:sz w:val="21"/>
          <w:szCs w:val="21"/>
        </w:rPr>
        <w:t>Preclusión: Extinción, clausura, caducidad; acción y efecto de extinguirse el derecho a realizar un acto procesal, sea por prohibición de la ley, por haberse dejado pasar la oportunidad de verificarlo o por haberse realizado otro incompatible con aquel (Couture). // Principio procesal según el cual el juicio se divide en etapas, cada una de las cuales supone la clausura de la anterior, sin posibilidad de renovarla (Couture). Esta segunda definición coincide con la de Chiovenda cuando afirma que el proceso avanza cerrando estadios precedentes y no puede retroceder».</w:t>
      </w:r>
    </w:p>
    <w:p w:rsidRPr="00601A7E" w:rsidR="001D4627" w:rsidP="001D4627" w:rsidRDefault="001D4627" w14:paraId="1F22BF15" w14:textId="77777777">
      <w:pPr>
        <w:ind w:left="709" w:right="709"/>
        <w:jc w:val="both"/>
        <w:rPr>
          <w:rFonts w:ascii="Arial" w:hAnsi="Arial" w:cs="Arial"/>
          <w:color w:val="000000" w:themeColor="text1"/>
          <w:sz w:val="21"/>
          <w:szCs w:val="21"/>
        </w:rPr>
      </w:pPr>
    </w:p>
    <w:p w:rsidR="001D4627" w:rsidP="00746C20" w:rsidRDefault="001D4627" w14:paraId="671C8968" w14:textId="7F93B982">
      <w:pPr>
        <w:ind w:left="709" w:right="709"/>
        <w:jc w:val="both"/>
        <w:rPr>
          <w:rFonts w:ascii="Arial" w:hAnsi="Arial" w:cs="Arial"/>
          <w:color w:val="000000" w:themeColor="text1"/>
          <w:sz w:val="21"/>
          <w:szCs w:val="21"/>
        </w:rPr>
      </w:pPr>
      <w:r w:rsidRPr="00601A7E">
        <w:rPr>
          <w:rFonts w:ascii="Arial" w:hAnsi="Arial" w:cs="Arial"/>
          <w:color w:val="000000" w:themeColor="text1"/>
          <w:sz w:val="21"/>
          <w:szCs w:val="21"/>
        </w:rPr>
        <w:lastRenderedPageBreak/>
        <w:t>«preclusión. Efecto del transcurso de los plazos y de la finalización de los términos consistente en hacer imposible o completamente ineficaces los actos correspondientes (…)».</w:t>
      </w:r>
      <w:r w:rsidRPr="00601A7E">
        <w:rPr>
          <w:rStyle w:val="Refdenotaalpie"/>
          <w:rFonts w:ascii="Arial" w:hAnsi="Arial" w:cs="Arial"/>
          <w:color w:val="000000" w:themeColor="text1"/>
          <w:sz w:val="21"/>
          <w:szCs w:val="21"/>
        </w:rPr>
        <w:footnoteReference w:id="16"/>
      </w:r>
    </w:p>
    <w:p w:rsidRPr="00746C20" w:rsidR="003F2D8A" w:rsidP="00746C20" w:rsidRDefault="003F2D8A" w14:paraId="4C61629B" w14:textId="77777777">
      <w:pPr>
        <w:ind w:left="709" w:right="709"/>
        <w:jc w:val="both"/>
        <w:rPr>
          <w:rFonts w:ascii="Arial" w:hAnsi="Arial" w:cs="Arial"/>
          <w:color w:val="000000" w:themeColor="text1"/>
          <w:sz w:val="21"/>
          <w:szCs w:val="21"/>
        </w:rPr>
      </w:pPr>
    </w:p>
    <w:p w:rsidRPr="00746C20" w:rsidR="007430B8" w:rsidP="00746C20" w:rsidRDefault="001D4627" w14:paraId="53C99DB1" w14:textId="6140A33D">
      <w:pPr>
        <w:spacing w:before="120" w:line="276" w:lineRule="auto"/>
        <w:ind w:firstLine="709"/>
        <w:jc w:val="both"/>
        <w:rPr>
          <w:rFonts w:ascii="Arial" w:hAnsi="Arial" w:cs="Arial"/>
          <w:color w:val="000000" w:themeColor="text1"/>
          <w:sz w:val="22"/>
        </w:rPr>
      </w:pPr>
      <w:r w:rsidRPr="00601A7E">
        <w:rPr>
          <w:rFonts w:ascii="Arial" w:hAnsi="Arial" w:cs="Arial"/>
          <w:color w:val="000000" w:themeColor="text1"/>
          <w:sz w:val="22"/>
        </w:rPr>
        <w:t xml:space="preserve">En conclusión y en virtud del principio de economía, si bien tanto a los interesados como a la ciudadanía en general les asiste el derecho a realizar observaciones, este derecho debe ejercerse dentro de los plazos establecidos por el ordenamiento jurídico y por el cronograma del proceso de contratación, so pena de perder tal facultad por la </w:t>
      </w:r>
      <w:proofErr w:type="spellStart"/>
      <w:r w:rsidRPr="00601A7E">
        <w:rPr>
          <w:rFonts w:ascii="Arial" w:hAnsi="Arial" w:cs="Arial"/>
          <w:color w:val="000000" w:themeColor="text1"/>
          <w:sz w:val="22"/>
        </w:rPr>
        <w:t>preclusividad</w:t>
      </w:r>
      <w:proofErr w:type="spellEnd"/>
      <w:r w:rsidRPr="00601A7E">
        <w:rPr>
          <w:rFonts w:ascii="Arial" w:hAnsi="Arial" w:cs="Arial"/>
          <w:color w:val="000000" w:themeColor="text1"/>
          <w:sz w:val="22"/>
        </w:rPr>
        <w:t xml:space="preserve"> y perentoriedad de los términos que rigen las fases o etapas del proceso de contratación, máxime teniendo en cuenta que una vez agotada una fase del proceso de contratación la entidad estatal, en principio, no puede volver sobre esa etapa del </w:t>
      </w:r>
      <w:r w:rsidR="003F2D8A">
        <w:rPr>
          <w:rFonts w:ascii="Arial" w:hAnsi="Arial" w:cs="Arial"/>
          <w:color w:val="000000" w:themeColor="text1"/>
          <w:sz w:val="22"/>
        </w:rPr>
        <w:t>procedimiento</w:t>
      </w:r>
      <w:r w:rsidRPr="00601A7E">
        <w:rPr>
          <w:rFonts w:ascii="Arial" w:hAnsi="Arial" w:cs="Arial"/>
          <w:color w:val="000000" w:themeColor="text1"/>
          <w:sz w:val="22"/>
        </w:rPr>
        <w:t>.</w:t>
      </w:r>
    </w:p>
    <w:p w:rsidRPr="00601A7E" w:rsidR="00746C20" w:rsidP="00C04579" w:rsidRDefault="00746C20" w14:paraId="52B4CDEE" w14:textId="77777777">
      <w:pPr>
        <w:tabs>
          <w:tab w:val="left" w:pos="284"/>
        </w:tabs>
        <w:spacing w:line="276" w:lineRule="auto"/>
        <w:jc w:val="both"/>
        <w:rPr>
          <w:rFonts w:ascii="Arial" w:hAnsi="Arial" w:eastAsia="Calibri" w:cs="Arial"/>
          <w:b/>
          <w:sz w:val="22"/>
        </w:rPr>
      </w:pPr>
    </w:p>
    <w:p w:rsidRPr="00601A7E" w:rsidR="00B747AE" w:rsidP="00B747AE" w:rsidRDefault="00B747AE" w14:paraId="45ADA8BD" w14:textId="77777777">
      <w:pPr>
        <w:pStyle w:val="Prrafodelista"/>
        <w:tabs>
          <w:tab w:val="left" w:pos="284"/>
        </w:tabs>
        <w:spacing w:line="276" w:lineRule="auto"/>
        <w:ind w:left="0"/>
        <w:jc w:val="both"/>
        <w:rPr>
          <w:rFonts w:ascii="Arial" w:hAnsi="Arial" w:eastAsia="Calibri" w:cs="Arial"/>
          <w:sz w:val="22"/>
        </w:rPr>
      </w:pPr>
      <w:r w:rsidRPr="00601A7E">
        <w:rPr>
          <w:rFonts w:ascii="Arial" w:hAnsi="Arial" w:eastAsia="Calibri" w:cs="Arial"/>
          <w:b/>
          <w:sz w:val="22"/>
        </w:rPr>
        <w:t>3. Respuesta</w:t>
      </w:r>
    </w:p>
    <w:p w:rsidRPr="00601A7E" w:rsidR="00B747AE" w:rsidP="00B747AE" w:rsidRDefault="00B747AE" w14:paraId="322F34CD" w14:textId="77777777">
      <w:pPr>
        <w:spacing w:line="276" w:lineRule="auto"/>
        <w:ind w:left="709" w:right="709"/>
        <w:jc w:val="both"/>
        <w:rPr>
          <w:rFonts w:ascii="Arial" w:hAnsi="Arial" w:eastAsia="Calibri" w:cs="Arial"/>
          <w:i/>
          <w:sz w:val="22"/>
        </w:rPr>
      </w:pPr>
    </w:p>
    <w:p w:rsidRPr="00A14472" w:rsidR="001759FC" w:rsidP="00A14472" w:rsidRDefault="001759FC" w14:paraId="5B80B347" w14:textId="02B44481">
      <w:pPr>
        <w:tabs>
          <w:tab w:val="left" w:pos="426"/>
        </w:tabs>
        <w:ind w:left="709" w:right="709"/>
        <w:jc w:val="both"/>
        <w:rPr>
          <w:rFonts w:ascii="Arial" w:hAnsi="Arial" w:eastAsia="Calibri" w:cs="Arial"/>
          <w:sz w:val="21"/>
          <w:szCs w:val="21"/>
        </w:rPr>
      </w:pPr>
      <w:r w:rsidRPr="00A14472">
        <w:rPr>
          <w:rFonts w:ascii="Arial" w:hAnsi="Arial" w:eastAsia="Calibri" w:cs="Arial"/>
          <w:sz w:val="21"/>
          <w:szCs w:val="21"/>
        </w:rPr>
        <w:t xml:space="preserve">¿Esta causal de rechazo se ajusta automáticamente hasta el quinto día hábil del mes de julio del 2020 de acuerdo con el Decreto 434 de 2020? </w:t>
      </w:r>
    </w:p>
    <w:p w:rsidRPr="00601A7E" w:rsidR="00381B62" w:rsidP="001759FC" w:rsidRDefault="00381B62" w14:paraId="69B23F2F" w14:textId="77777777">
      <w:pPr>
        <w:tabs>
          <w:tab w:val="left" w:pos="426"/>
        </w:tabs>
        <w:spacing w:line="276" w:lineRule="auto"/>
        <w:ind w:right="709"/>
        <w:jc w:val="both"/>
        <w:rPr>
          <w:rFonts w:ascii="Arial" w:hAnsi="Arial" w:eastAsia="Calibri" w:cs="Arial"/>
          <w:sz w:val="22"/>
        </w:rPr>
      </w:pPr>
    </w:p>
    <w:p w:rsidRPr="00601A7E" w:rsidR="00381B62" w:rsidP="00381B62" w:rsidRDefault="005926F2" w14:paraId="22AD3A42" w14:textId="48B23200">
      <w:pPr>
        <w:tabs>
          <w:tab w:val="left" w:pos="426"/>
        </w:tabs>
        <w:spacing w:line="276" w:lineRule="auto"/>
        <w:jc w:val="both"/>
        <w:rPr>
          <w:rFonts w:ascii="Arial" w:hAnsi="Arial" w:eastAsia="Calibri" w:cs="Arial"/>
          <w:sz w:val="22"/>
        </w:rPr>
      </w:pPr>
      <w:r w:rsidRPr="00601A7E">
        <w:rPr>
          <w:rFonts w:ascii="Arial" w:hAnsi="Arial" w:eastAsia="Calibri" w:cs="Arial"/>
          <w:sz w:val="22"/>
        </w:rPr>
        <w:t>Las entidades esta</w:t>
      </w:r>
      <w:r w:rsidRPr="00601A7E" w:rsidR="00381B62">
        <w:rPr>
          <w:rFonts w:ascii="Arial" w:hAnsi="Arial" w:eastAsia="Calibri" w:cs="Arial"/>
          <w:sz w:val="22"/>
        </w:rPr>
        <w:t>tales se encuentran en la obligación de aplicar la normativ</w:t>
      </w:r>
      <w:r w:rsidR="001C2F4C">
        <w:rPr>
          <w:rFonts w:ascii="Arial" w:hAnsi="Arial" w:eastAsia="Calibri" w:cs="Arial"/>
          <w:sz w:val="22"/>
        </w:rPr>
        <w:t>a</w:t>
      </w:r>
      <w:r w:rsidRPr="00601A7E" w:rsidR="00381B62">
        <w:rPr>
          <w:rFonts w:ascii="Arial" w:hAnsi="Arial" w:eastAsia="Calibri" w:cs="Arial"/>
          <w:sz w:val="22"/>
        </w:rPr>
        <w:t xml:space="preserve"> </w:t>
      </w:r>
      <w:r w:rsidR="001C2F4C">
        <w:rPr>
          <w:rFonts w:ascii="Arial" w:hAnsi="Arial" w:eastAsia="Calibri" w:cs="Arial"/>
          <w:sz w:val="22"/>
        </w:rPr>
        <w:t>vigente</w:t>
      </w:r>
      <w:r w:rsidRPr="00601A7E" w:rsidR="00381B62">
        <w:rPr>
          <w:rFonts w:ascii="Arial" w:hAnsi="Arial" w:eastAsia="Calibri" w:cs="Arial"/>
          <w:sz w:val="22"/>
        </w:rPr>
        <w:t xml:space="preserve"> al proceso de contratación. En virtud de lo anterior, al momento de </w:t>
      </w:r>
      <w:r w:rsidR="001C2F4C">
        <w:rPr>
          <w:rFonts w:ascii="Arial" w:hAnsi="Arial" w:eastAsia="Calibri" w:cs="Arial"/>
          <w:sz w:val="22"/>
        </w:rPr>
        <w:t>v</w:t>
      </w:r>
      <w:r w:rsidRPr="00601A7E" w:rsidR="00381B62">
        <w:rPr>
          <w:rFonts w:ascii="Arial" w:hAnsi="Arial" w:eastAsia="Calibri" w:cs="Arial"/>
          <w:sz w:val="22"/>
        </w:rPr>
        <w:t>erifica</w:t>
      </w:r>
      <w:r w:rsidR="001C2F4C">
        <w:rPr>
          <w:rFonts w:ascii="Arial" w:hAnsi="Arial" w:eastAsia="Calibri" w:cs="Arial"/>
          <w:sz w:val="22"/>
        </w:rPr>
        <w:t>r</w:t>
      </w:r>
      <w:r w:rsidRPr="00601A7E" w:rsidR="00381B62">
        <w:rPr>
          <w:rFonts w:ascii="Arial" w:hAnsi="Arial" w:eastAsia="Calibri" w:cs="Arial"/>
          <w:sz w:val="22"/>
        </w:rPr>
        <w:t xml:space="preserve"> los requisitos habilitantes, debe</w:t>
      </w:r>
      <w:r w:rsidR="001C2F4C">
        <w:rPr>
          <w:rFonts w:ascii="Arial" w:hAnsi="Arial" w:eastAsia="Calibri" w:cs="Arial"/>
          <w:sz w:val="22"/>
        </w:rPr>
        <w:t>n</w:t>
      </w:r>
      <w:r w:rsidRPr="00601A7E" w:rsidR="00381B62">
        <w:rPr>
          <w:rFonts w:ascii="Arial" w:hAnsi="Arial" w:eastAsia="Calibri" w:cs="Arial"/>
          <w:sz w:val="22"/>
        </w:rPr>
        <w:t xml:space="preserve"> observa</w:t>
      </w:r>
      <w:r w:rsidR="001C2F4C">
        <w:rPr>
          <w:rFonts w:ascii="Arial" w:hAnsi="Arial" w:eastAsia="Calibri" w:cs="Arial"/>
          <w:sz w:val="22"/>
        </w:rPr>
        <w:t>r</w:t>
      </w:r>
      <w:r w:rsidRPr="00601A7E" w:rsidR="00381B62">
        <w:rPr>
          <w:rFonts w:ascii="Arial" w:hAnsi="Arial" w:eastAsia="Calibri" w:cs="Arial"/>
          <w:sz w:val="22"/>
        </w:rPr>
        <w:t xml:space="preserve"> lo contenido en el artículo 2 del Decreto 434 de 2020. </w:t>
      </w:r>
    </w:p>
    <w:p w:rsidRPr="00601A7E" w:rsidR="001759FC" w:rsidP="001759FC" w:rsidRDefault="001759FC" w14:paraId="27F2527B" w14:textId="77777777">
      <w:pPr>
        <w:tabs>
          <w:tab w:val="left" w:pos="426"/>
        </w:tabs>
        <w:spacing w:line="276" w:lineRule="auto"/>
        <w:jc w:val="both"/>
        <w:rPr>
          <w:rFonts w:ascii="Arial" w:hAnsi="Arial" w:eastAsia="Calibri" w:cs="Arial"/>
          <w:sz w:val="22"/>
        </w:rPr>
      </w:pPr>
    </w:p>
    <w:p w:rsidRPr="00A14472" w:rsidR="001759FC" w:rsidP="00A14472" w:rsidRDefault="001759FC" w14:paraId="65BF776C" w14:textId="0546CB18">
      <w:pPr>
        <w:tabs>
          <w:tab w:val="left" w:pos="426"/>
        </w:tabs>
        <w:ind w:left="709" w:right="709"/>
        <w:jc w:val="both"/>
        <w:rPr>
          <w:rFonts w:ascii="Arial" w:hAnsi="Arial" w:eastAsia="Calibri" w:cs="Arial"/>
          <w:sz w:val="21"/>
          <w:szCs w:val="21"/>
        </w:rPr>
      </w:pPr>
      <w:r w:rsidRPr="00A14472">
        <w:rPr>
          <w:rFonts w:ascii="Arial" w:hAnsi="Arial" w:eastAsia="Calibri" w:cs="Arial"/>
          <w:sz w:val="21"/>
          <w:szCs w:val="21"/>
        </w:rPr>
        <w:t>¿Durante el tiempo de observaciones al proyecto de pliego de condiciones, se puede solicitar a la entidad contratante de obra pública de infraestructura de transporte, que modifique dicha causal de rechazo por medio de una adenda de acuerdo con el Decreto 434 de 2020?</w:t>
      </w:r>
    </w:p>
    <w:p w:rsidRPr="00601A7E" w:rsidR="00381B62" w:rsidP="001759FC" w:rsidRDefault="00381B62" w14:paraId="07EA0641" w14:textId="77777777">
      <w:pPr>
        <w:tabs>
          <w:tab w:val="left" w:pos="426"/>
        </w:tabs>
        <w:spacing w:line="276" w:lineRule="auto"/>
        <w:ind w:left="709" w:right="709"/>
        <w:jc w:val="both"/>
        <w:rPr>
          <w:rFonts w:ascii="Arial" w:hAnsi="Arial" w:eastAsia="Calibri" w:cs="Arial"/>
          <w:sz w:val="22"/>
        </w:rPr>
      </w:pPr>
    </w:p>
    <w:p w:rsidRPr="00601A7E" w:rsidR="00381B62" w:rsidP="00381B62" w:rsidRDefault="00381B62" w14:paraId="1CDA0BD2" w14:textId="5644F54D">
      <w:pPr>
        <w:tabs>
          <w:tab w:val="left" w:pos="426"/>
        </w:tabs>
        <w:spacing w:line="276" w:lineRule="auto"/>
        <w:jc w:val="both"/>
        <w:rPr>
          <w:rFonts w:ascii="Arial" w:hAnsi="Arial" w:eastAsia="Calibri" w:cs="Arial"/>
          <w:sz w:val="22"/>
        </w:rPr>
      </w:pPr>
      <w:r w:rsidRPr="00601A7E">
        <w:rPr>
          <w:rFonts w:ascii="Arial" w:hAnsi="Arial" w:eastAsia="Calibri" w:cs="Arial"/>
          <w:sz w:val="22"/>
        </w:rPr>
        <w:t>Si bien la regla general de los Documentos Tipo es su inalterabilidad, no se exime a la entidad de aplicar la normativ</w:t>
      </w:r>
      <w:r w:rsidR="001C2F4C">
        <w:rPr>
          <w:rFonts w:ascii="Arial" w:hAnsi="Arial" w:eastAsia="Calibri" w:cs="Arial"/>
          <w:sz w:val="22"/>
        </w:rPr>
        <w:t>a</w:t>
      </w:r>
      <w:r w:rsidR="000C5AAB">
        <w:rPr>
          <w:rFonts w:ascii="Arial" w:hAnsi="Arial" w:eastAsia="Calibri" w:cs="Arial"/>
          <w:sz w:val="22"/>
        </w:rPr>
        <w:t xml:space="preserve"> vigente</w:t>
      </w:r>
      <w:r w:rsidRPr="00601A7E">
        <w:rPr>
          <w:rFonts w:ascii="Arial" w:hAnsi="Arial" w:eastAsia="Calibri" w:cs="Arial"/>
          <w:sz w:val="22"/>
        </w:rPr>
        <w:t xml:space="preserve"> aplicable al proceso de contratación</w:t>
      </w:r>
      <w:r w:rsidR="001C2F4C">
        <w:rPr>
          <w:rFonts w:ascii="Arial" w:hAnsi="Arial" w:eastAsia="Calibri" w:cs="Arial"/>
          <w:sz w:val="22"/>
        </w:rPr>
        <w:t>.</w:t>
      </w:r>
      <w:r w:rsidRPr="00601A7E">
        <w:rPr>
          <w:rFonts w:ascii="Arial" w:hAnsi="Arial" w:eastAsia="Calibri" w:cs="Arial"/>
          <w:sz w:val="22"/>
        </w:rPr>
        <w:t xml:space="preserve"> </w:t>
      </w:r>
      <w:r w:rsidR="001C2F4C">
        <w:rPr>
          <w:rFonts w:ascii="Arial" w:hAnsi="Arial" w:eastAsia="Calibri" w:cs="Arial"/>
          <w:sz w:val="22"/>
        </w:rPr>
        <w:t>P</w:t>
      </w:r>
      <w:r w:rsidRPr="00601A7E">
        <w:rPr>
          <w:rFonts w:ascii="Arial" w:hAnsi="Arial" w:eastAsia="Calibri" w:cs="Arial"/>
          <w:sz w:val="22"/>
        </w:rPr>
        <w:t>or lo tanto</w:t>
      </w:r>
      <w:r w:rsidR="001C2F4C">
        <w:rPr>
          <w:rFonts w:ascii="Arial" w:hAnsi="Arial" w:eastAsia="Calibri" w:cs="Arial"/>
          <w:sz w:val="22"/>
        </w:rPr>
        <w:t>,</w:t>
      </w:r>
      <w:r w:rsidRPr="00601A7E">
        <w:rPr>
          <w:rFonts w:ascii="Arial" w:hAnsi="Arial" w:eastAsia="Calibri" w:cs="Arial"/>
          <w:sz w:val="22"/>
        </w:rPr>
        <w:t xml:space="preserve"> </w:t>
      </w:r>
      <w:r w:rsidRPr="00601A7E" w:rsidR="00D81E03">
        <w:rPr>
          <w:rFonts w:ascii="Arial" w:hAnsi="Arial" w:eastAsia="Calibri" w:cs="Arial"/>
          <w:sz w:val="22"/>
        </w:rPr>
        <w:t xml:space="preserve">en caso de que la entidad lo considere pertinente, </w:t>
      </w:r>
      <w:r w:rsidR="001C2F4C">
        <w:rPr>
          <w:rFonts w:ascii="Arial" w:hAnsi="Arial" w:eastAsia="Calibri" w:cs="Arial"/>
          <w:sz w:val="22"/>
        </w:rPr>
        <w:t>puede</w:t>
      </w:r>
      <w:r w:rsidRPr="00601A7E" w:rsidR="00D81E03">
        <w:rPr>
          <w:rFonts w:ascii="Arial" w:hAnsi="Arial" w:eastAsia="Calibri" w:cs="Arial"/>
          <w:sz w:val="22"/>
        </w:rPr>
        <w:t xml:space="preserve"> expedir una adenda con </w:t>
      </w:r>
      <w:r w:rsidRPr="00601A7E" w:rsidR="00601A7E">
        <w:rPr>
          <w:rFonts w:ascii="Arial" w:hAnsi="Arial" w:eastAsia="Calibri" w:cs="Arial"/>
          <w:sz w:val="22"/>
        </w:rPr>
        <w:t>contenido</w:t>
      </w:r>
      <w:r w:rsidRPr="00601A7E" w:rsidR="00D81E03">
        <w:rPr>
          <w:rFonts w:ascii="Arial" w:hAnsi="Arial" w:eastAsia="Calibri" w:cs="Arial"/>
          <w:sz w:val="22"/>
        </w:rPr>
        <w:t xml:space="preserve"> aclaratorio frente a la causal de rechazo del literal G, del </w:t>
      </w:r>
      <w:r w:rsidR="001C2F4C">
        <w:rPr>
          <w:rFonts w:ascii="Arial" w:hAnsi="Arial" w:eastAsia="Calibri" w:cs="Arial"/>
          <w:sz w:val="22"/>
        </w:rPr>
        <w:t>numeral</w:t>
      </w:r>
      <w:r w:rsidRPr="00601A7E" w:rsidR="001C2F4C">
        <w:rPr>
          <w:rFonts w:ascii="Arial" w:hAnsi="Arial" w:eastAsia="Calibri" w:cs="Arial"/>
          <w:sz w:val="22"/>
        </w:rPr>
        <w:t xml:space="preserve"> </w:t>
      </w:r>
      <w:r w:rsidRPr="00601A7E" w:rsidR="00D81E03">
        <w:rPr>
          <w:rFonts w:ascii="Arial" w:hAnsi="Arial" w:eastAsia="Calibri" w:cs="Arial"/>
          <w:sz w:val="22"/>
        </w:rPr>
        <w:t xml:space="preserve">1.15 de los Documentos Tipo, </w:t>
      </w:r>
      <w:r w:rsidR="001C2F4C">
        <w:rPr>
          <w:rFonts w:ascii="Arial" w:hAnsi="Arial" w:eastAsia="Calibri" w:cs="Arial"/>
          <w:sz w:val="22"/>
        </w:rPr>
        <w:t>ya que</w:t>
      </w:r>
      <w:r w:rsidRPr="00601A7E" w:rsidR="00D81E03">
        <w:rPr>
          <w:rFonts w:ascii="Arial" w:hAnsi="Arial" w:eastAsia="Calibri" w:cs="Arial"/>
          <w:sz w:val="22"/>
        </w:rPr>
        <w:t xml:space="preserve"> estos son un reglamento </w:t>
      </w:r>
      <w:r w:rsidR="001C2F4C">
        <w:rPr>
          <w:rFonts w:ascii="Arial" w:hAnsi="Arial" w:eastAsia="Calibri" w:cs="Arial"/>
          <w:sz w:val="22"/>
        </w:rPr>
        <w:t>sometido a</w:t>
      </w:r>
      <w:r w:rsidRPr="00601A7E" w:rsidR="005E1633">
        <w:rPr>
          <w:rFonts w:ascii="Arial" w:hAnsi="Arial" w:eastAsia="Calibri" w:cs="Arial"/>
          <w:sz w:val="22"/>
        </w:rPr>
        <w:t xml:space="preserve"> la ley</w:t>
      </w:r>
      <w:r w:rsidR="001C2F4C">
        <w:rPr>
          <w:rFonts w:ascii="Arial" w:hAnsi="Arial" w:eastAsia="Calibri" w:cs="Arial"/>
          <w:sz w:val="22"/>
        </w:rPr>
        <w:t>;</w:t>
      </w:r>
      <w:r w:rsidRPr="00601A7E" w:rsidR="005E1633">
        <w:rPr>
          <w:rFonts w:ascii="Arial" w:hAnsi="Arial" w:eastAsia="Calibri" w:cs="Arial"/>
          <w:sz w:val="22"/>
        </w:rPr>
        <w:t xml:space="preserve"> por lo tanto, si la ley cambia o sufre modificaciones, deben ajustarse y aplicarse las disposiciones vigentes. La causal de rechazo </w:t>
      </w:r>
      <w:r w:rsidRPr="00601A7E" w:rsidR="00601A7E">
        <w:rPr>
          <w:rFonts w:ascii="Arial" w:hAnsi="Arial" w:eastAsia="Calibri" w:cs="Arial"/>
          <w:sz w:val="22"/>
        </w:rPr>
        <w:t>mencionada</w:t>
      </w:r>
      <w:r w:rsidRPr="00601A7E" w:rsidR="005E1633">
        <w:rPr>
          <w:rFonts w:ascii="Arial" w:hAnsi="Arial" w:eastAsia="Calibri" w:cs="Arial"/>
          <w:sz w:val="22"/>
        </w:rPr>
        <w:t xml:space="preserve"> pierde fuerza ejecutoria y su contenido </w:t>
      </w:r>
      <w:r w:rsidR="001C2F4C">
        <w:rPr>
          <w:rFonts w:ascii="Arial" w:hAnsi="Arial" w:eastAsia="Calibri" w:cs="Arial"/>
          <w:sz w:val="22"/>
        </w:rPr>
        <w:t xml:space="preserve">se </w:t>
      </w:r>
      <w:r w:rsidRPr="00601A7E" w:rsidR="005E1633">
        <w:rPr>
          <w:rFonts w:ascii="Arial" w:hAnsi="Arial" w:eastAsia="Calibri" w:cs="Arial"/>
          <w:sz w:val="22"/>
        </w:rPr>
        <w:t>adec</w:t>
      </w:r>
      <w:r w:rsidR="001C2F4C">
        <w:rPr>
          <w:rFonts w:ascii="Arial" w:hAnsi="Arial" w:eastAsia="Calibri" w:cs="Arial"/>
          <w:sz w:val="22"/>
        </w:rPr>
        <w:t>úa</w:t>
      </w:r>
      <w:r w:rsidRPr="00601A7E" w:rsidR="005E1633">
        <w:rPr>
          <w:rFonts w:ascii="Arial" w:hAnsi="Arial" w:eastAsia="Calibri" w:cs="Arial"/>
          <w:sz w:val="22"/>
        </w:rPr>
        <w:t xml:space="preserve"> a lo </w:t>
      </w:r>
      <w:r w:rsidR="001C2F4C">
        <w:rPr>
          <w:rFonts w:ascii="Arial" w:hAnsi="Arial" w:eastAsia="Calibri" w:cs="Arial"/>
          <w:sz w:val="22"/>
        </w:rPr>
        <w:t>establecido</w:t>
      </w:r>
      <w:r w:rsidRPr="00601A7E" w:rsidR="001C2F4C">
        <w:rPr>
          <w:rFonts w:ascii="Arial" w:hAnsi="Arial" w:eastAsia="Calibri" w:cs="Arial"/>
          <w:sz w:val="22"/>
        </w:rPr>
        <w:t xml:space="preserve"> </w:t>
      </w:r>
      <w:r w:rsidRPr="00601A7E" w:rsidR="005E1633">
        <w:rPr>
          <w:rFonts w:ascii="Arial" w:hAnsi="Arial" w:eastAsia="Calibri" w:cs="Arial"/>
          <w:sz w:val="22"/>
        </w:rPr>
        <w:t xml:space="preserve">en el </w:t>
      </w:r>
      <w:r w:rsidRPr="00601A7E" w:rsidR="00601A7E">
        <w:rPr>
          <w:rFonts w:ascii="Arial" w:hAnsi="Arial" w:eastAsia="Calibri" w:cs="Arial"/>
          <w:sz w:val="22"/>
        </w:rPr>
        <w:t>artículo</w:t>
      </w:r>
      <w:r w:rsidRPr="00601A7E" w:rsidR="005E1633">
        <w:rPr>
          <w:rFonts w:ascii="Arial" w:hAnsi="Arial" w:eastAsia="Calibri" w:cs="Arial"/>
          <w:sz w:val="22"/>
        </w:rPr>
        <w:t xml:space="preserve"> 2 del Decreto 434 de 2020. </w:t>
      </w:r>
    </w:p>
    <w:p w:rsidRPr="00601A7E" w:rsidR="001759FC" w:rsidP="001759FC" w:rsidRDefault="001759FC" w14:paraId="502644C4" w14:textId="77777777">
      <w:pPr>
        <w:tabs>
          <w:tab w:val="left" w:pos="426"/>
        </w:tabs>
        <w:spacing w:line="276" w:lineRule="auto"/>
        <w:jc w:val="both"/>
        <w:rPr>
          <w:rFonts w:ascii="Arial" w:hAnsi="Arial" w:eastAsia="Calibri" w:cs="Arial"/>
          <w:sz w:val="22"/>
        </w:rPr>
      </w:pPr>
    </w:p>
    <w:p w:rsidRPr="00A14472" w:rsidR="001759FC" w:rsidP="00A14472" w:rsidRDefault="001759FC" w14:paraId="023B5A39" w14:textId="3CD1148E">
      <w:pPr>
        <w:tabs>
          <w:tab w:val="left" w:pos="426"/>
        </w:tabs>
        <w:ind w:left="709" w:right="709"/>
        <w:jc w:val="both"/>
        <w:rPr>
          <w:rFonts w:ascii="Arial" w:hAnsi="Arial" w:eastAsia="Calibri" w:cs="Arial"/>
          <w:sz w:val="21"/>
          <w:szCs w:val="21"/>
        </w:rPr>
      </w:pPr>
      <w:r w:rsidRPr="00A14472">
        <w:rPr>
          <w:rFonts w:ascii="Arial" w:hAnsi="Arial" w:eastAsia="Calibri" w:cs="Arial"/>
          <w:sz w:val="21"/>
          <w:szCs w:val="21"/>
        </w:rPr>
        <w:t xml:space="preserve">¿Es posible solicitar a la entidad contratante de obra pública de infraestructura de transporte, después de vencido el plazo de presentación de observaciones al pliego de condiciones definitivo que modifique la causal de rechazo por medio de una adenda de acuerdo con el Decreto 434 de </w:t>
      </w:r>
      <w:r w:rsidRPr="00A14472" w:rsidR="00601A7E">
        <w:rPr>
          <w:rFonts w:ascii="Arial" w:hAnsi="Arial" w:eastAsia="Calibri" w:cs="Arial"/>
          <w:sz w:val="21"/>
          <w:szCs w:val="21"/>
        </w:rPr>
        <w:t>2020?</w:t>
      </w:r>
      <w:r w:rsidRPr="00A14472">
        <w:rPr>
          <w:rFonts w:ascii="Arial" w:hAnsi="Arial" w:eastAsia="Calibri" w:cs="Arial"/>
          <w:sz w:val="21"/>
          <w:szCs w:val="21"/>
        </w:rPr>
        <w:t xml:space="preserve">  </w:t>
      </w:r>
    </w:p>
    <w:p w:rsidRPr="00601A7E" w:rsidR="005E1633" w:rsidP="001759FC" w:rsidRDefault="005E1633" w14:paraId="3A4288C7" w14:textId="77777777">
      <w:pPr>
        <w:tabs>
          <w:tab w:val="left" w:pos="426"/>
        </w:tabs>
        <w:spacing w:line="276" w:lineRule="auto"/>
        <w:ind w:left="709" w:right="709"/>
        <w:jc w:val="both"/>
        <w:rPr>
          <w:rFonts w:ascii="Arial" w:hAnsi="Arial" w:eastAsia="Calibri" w:cs="Arial"/>
          <w:sz w:val="22"/>
        </w:rPr>
      </w:pPr>
    </w:p>
    <w:p w:rsidRPr="00601A7E" w:rsidR="001759FC" w:rsidP="001759FC" w:rsidRDefault="005E1633" w14:paraId="3A00DE0D" w14:textId="0D751DD7">
      <w:pPr>
        <w:tabs>
          <w:tab w:val="left" w:pos="426"/>
        </w:tabs>
        <w:spacing w:line="276" w:lineRule="auto"/>
        <w:jc w:val="both"/>
        <w:rPr>
          <w:rFonts w:ascii="Arial" w:hAnsi="Arial" w:eastAsia="Calibri" w:cs="Arial"/>
          <w:sz w:val="22"/>
        </w:rPr>
      </w:pPr>
      <w:r w:rsidRPr="00601A7E">
        <w:rPr>
          <w:rFonts w:ascii="Arial" w:hAnsi="Arial" w:eastAsia="Calibri" w:cs="Arial"/>
          <w:sz w:val="22"/>
        </w:rPr>
        <w:lastRenderedPageBreak/>
        <w:t xml:space="preserve">Se reitera la tesis </w:t>
      </w:r>
      <w:r w:rsidRPr="00601A7E" w:rsidR="00601A7E">
        <w:rPr>
          <w:rFonts w:ascii="Arial" w:hAnsi="Arial" w:eastAsia="Calibri" w:cs="Arial"/>
          <w:sz w:val="22"/>
        </w:rPr>
        <w:t>planteada</w:t>
      </w:r>
      <w:r w:rsidRPr="00601A7E">
        <w:rPr>
          <w:rFonts w:ascii="Arial" w:hAnsi="Arial" w:eastAsia="Calibri" w:cs="Arial"/>
          <w:sz w:val="22"/>
        </w:rPr>
        <w:t xml:space="preserve"> en el </w:t>
      </w:r>
      <w:r w:rsidR="000C5AAB">
        <w:rPr>
          <w:rFonts w:ascii="Arial" w:hAnsi="Arial" w:eastAsia="Calibri" w:cs="Arial"/>
          <w:sz w:val="22"/>
        </w:rPr>
        <w:t>numeral 2.4.</w:t>
      </w:r>
      <w:r w:rsidRPr="00601A7E">
        <w:rPr>
          <w:rFonts w:ascii="Arial" w:hAnsi="Arial" w:eastAsia="Calibri" w:cs="Arial"/>
          <w:sz w:val="22"/>
        </w:rPr>
        <w:t xml:space="preserve"> del presente concepto, frente al trámite de las observaciones presentadas por fuera del término establecido en el cronograma</w:t>
      </w:r>
      <w:r w:rsidR="000C5AAB">
        <w:rPr>
          <w:rFonts w:ascii="Arial" w:hAnsi="Arial" w:eastAsia="Calibri" w:cs="Arial"/>
          <w:sz w:val="22"/>
        </w:rPr>
        <w:t>;</w:t>
      </w:r>
      <w:r w:rsidRPr="00601A7E">
        <w:rPr>
          <w:rFonts w:ascii="Arial" w:hAnsi="Arial" w:eastAsia="Calibri" w:cs="Arial"/>
          <w:sz w:val="22"/>
        </w:rPr>
        <w:t xml:space="preserve"> no obstante, la entidad al momento de verificar los requisitos </w:t>
      </w:r>
      <w:r w:rsidRPr="00601A7E" w:rsidR="00601A7E">
        <w:rPr>
          <w:rFonts w:ascii="Arial" w:hAnsi="Arial" w:eastAsia="Calibri" w:cs="Arial"/>
          <w:sz w:val="22"/>
        </w:rPr>
        <w:t>habilitantes</w:t>
      </w:r>
      <w:r w:rsidRPr="00601A7E">
        <w:rPr>
          <w:rFonts w:ascii="Arial" w:hAnsi="Arial" w:eastAsia="Calibri" w:cs="Arial"/>
          <w:sz w:val="22"/>
        </w:rPr>
        <w:t xml:space="preserve"> debe aplica</w:t>
      </w:r>
      <w:r w:rsidR="000C5AAB">
        <w:rPr>
          <w:rFonts w:ascii="Arial" w:hAnsi="Arial" w:eastAsia="Calibri" w:cs="Arial"/>
          <w:sz w:val="22"/>
        </w:rPr>
        <w:t>r</w:t>
      </w:r>
      <w:r w:rsidRPr="00601A7E">
        <w:rPr>
          <w:rFonts w:ascii="Arial" w:hAnsi="Arial" w:eastAsia="Calibri" w:cs="Arial"/>
          <w:sz w:val="22"/>
        </w:rPr>
        <w:t xml:space="preserve"> lo dispuesto en el artículo 2 del Decreto 434 de 2020. </w:t>
      </w:r>
    </w:p>
    <w:p w:rsidRPr="00601A7E" w:rsidR="00B747AE" w:rsidP="00B747AE" w:rsidRDefault="00B747AE" w14:paraId="4E369B21" w14:textId="77777777">
      <w:pPr>
        <w:spacing w:line="276" w:lineRule="auto"/>
        <w:jc w:val="both"/>
        <w:rPr>
          <w:rFonts w:ascii="Arial" w:hAnsi="Arial" w:eastAsia="Calibri" w:cs="Arial"/>
          <w:sz w:val="22"/>
        </w:rPr>
      </w:pPr>
    </w:p>
    <w:p w:rsidRPr="00601A7E" w:rsidR="00B747AE" w:rsidP="00B747AE" w:rsidRDefault="00B747AE" w14:paraId="1FEA295E" w14:textId="01A9C848">
      <w:pPr>
        <w:spacing w:line="276" w:lineRule="auto"/>
        <w:jc w:val="both"/>
        <w:rPr>
          <w:rFonts w:ascii="Arial" w:hAnsi="Arial" w:eastAsia="Calibri" w:cs="Arial"/>
          <w:sz w:val="22"/>
        </w:rPr>
      </w:pPr>
      <w:r w:rsidRPr="00601A7E">
        <w:rPr>
          <w:rFonts w:ascii="Arial" w:hAnsi="Arial" w:eastAsia="Calibri" w:cs="Arial"/>
          <w:sz w:val="22"/>
        </w:rPr>
        <w:t>Este concepto tiene el alcance previsto en el artículo 28 del Código de Procedimiento Administrativo y de lo Contencioso Administrativo.</w:t>
      </w:r>
      <w:r w:rsidRPr="00601A7E" w:rsidR="00DB5E1A">
        <w:rPr>
          <w:rFonts w:ascii="Arial" w:hAnsi="Arial" w:eastAsia="Calibri" w:cs="Arial"/>
          <w:sz w:val="22"/>
        </w:rPr>
        <w:t xml:space="preserve"> </w:t>
      </w:r>
    </w:p>
    <w:p w:rsidRPr="00601A7E" w:rsidR="00B747AE" w:rsidP="00B747AE" w:rsidRDefault="00B747AE" w14:paraId="7541BB0F" w14:textId="77777777">
      <w:pPr>
        <w:spacing w:line="276" w:lineRule="auto"/>
        <w:jc w:val="both"/>
        <w:rPr>
          <w:rFonts w:ascii="Arial" w:hAnsi="Arial" w:eastAsia="Calibri" w:cs="Arial"/>
          <w:sz w:val="22"/>
        </w:rPr>
      </w:pPr>
    </w:p>
    <w:p w:rsidRPr="00601A7E" w:rsidR="00B747AE" w:rsidP="00B747AE" w:rsidRDefault="00B747AE" w14:paraId="75B22C53" w14:textId="1F3E721D">
      <w:pPr>
        <w:jc w:val="both"/>
        <w:rPr>
          <w:rFonts w:ascii="Arial" w:hAnsi="Arial" w:eastAsia="Calibri" w:cs="Arial"/>
          <w:sz w:val="22"/>
        </w:rPr>
      </w:pPr>
      <w:r w:rsidRPr="00601A7E">
        <w:rPr>
          <w:noProof/>
        </w:rPr>
        <mc:AlternateContent>
          <mc:Choice Requires="wps">
            <w:drawing>
              <wp:anchor distT="0" distB="0" distL="114300" distR="114300" simplePos="0" relativeHeight="251659264" behindDoc="0" locked="0" layoutInCell="1" allowOverlap="1" wp14:anchorId="7B97E255" wp14:editId="4678B181">
                <wp:simplePos x="0" y="0"/>
                <wp:positionH relativeFrom="page">
                  <wp:posOffset>1514475</wp:posOffset>
                </wp:positionH>
                <wp:positionV relativeFrom="paragraph">
                  <wp:posOffset>10160</wp:posOffset>
                </wp:positionV>
                <wp:extent cx="4686300" cy="0"/>
                <wp:effectExtent l="0" t="0" r="0" b="0"/>
                <wp:wrapNone/>
                <wp:docPr id="6" name="Conector recto 6"/>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w14:anchorId="18FF5775">
              <v:line id="Conector recto 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18DB3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">
                <w10:wrap anchorx="page"/>
              </v:line>
            </w:pict>
          </mc:Fallback>
        </mc:AlternateContent>
      </w:r>
    </w:p>
    <w:p w:rsidRPr="00601A7E" w:rsidR="00B747AE" w:rsidP="00B747AE" w:rsidRDefault="00B747AE" w14:paraId="4F5B7259" w14:textId="77777777">
      <w:pPr>
        <w:rPr>
          <w:rFonts w:ascii="Arial" w:hAnsi="Arial" w:cs="Arial"/>
          <w:sz w:val="22"/>
          <w:lang w:eastAsia="es-CO"/>
        </w:rPr>
      </w:pPr>
      <w:r w:rsidRPr="00601A7E">
        <w:rPr>
          <w:rFonts w:ascii="Arial" w:hAnsi="Arial" w:cs="Arial"/>
          <w:sz w:val="22"/>
          <w:lang w:eastAsia="es-CO"/>
        </w:rPr>
        <w:t>Atentamente,</w:t>
      </w:r>
    </w:p>
    <w:p w:rsidRPr="00601A7E" w:rsidR="00B747AE" w:rsidP="00B747AE" w:rsidRDefault="00B747AE" w14:paraId="023EA677" w14:textId="77777777">
      <w:pPr>
        <w:rPr>
          <w:rFonts w:ascii="Arial" w:hAnsi="Arial" w:cs="Arial"/>
          <w:sz w:val="22"/>
          <w:lang w:eastAsia="es-CO"/>
        </w:rPr>
      </w:pPr>
    </w:p>
    <w:p w:rsidRPr="00601A7E" w:rsidR="00B747AE" w:rsidP="00B747AE" w:rsidRDefault="004838AD" w14:paraId="3884C673" w14:textId="74B86075">
      <w:pPr>
        <w:jc w:val="center"/>
        <w:rPr>
          <w:rFonts w:ascii="Arial" w:hAnsi="Arial" w:cs="Arial"/>
          <w:sz w:val="22"/>
          <w:lang w:eastAsia="es-CO"/>
        </w:rPr>
      </w:pPr>
      <w:r w:rsidR="004838AD">
        <w:drawing>
          <wp:inline wp14:editId="392FB64D" wp14:anchorId="60595D3E">
            <wp:extent cx="2773045" cy="988695"/>
            <wp:effectExtent l="0" t="0" r="0" b="0"/>
            <wp:docPr id="1407909586" name="Imagen 2" title=""/>
            <wp:cNvGraphicFramePr>
              <a:graphicFrameLocks/>
            </wp:cNvGraphicFramePr>
            <a:graphic>
              <a:graphicData uri="http://schemas.openxmlformats.org/drawingml/2006/picture">
                <pic:pic>
                  <pic:nvPicPr>
                    <pic:cNvPr id="0" name="Imagen 2"/>
                    <pic:cNvPicPr/>
                  </pic:nvPicPr>
                  <pic:blipFill>
                    <a:blip r:embed="Re85cd4f4115a402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601A7E" w:rsidR="00B747AE" w:rsidP="00B747AE" w:rsidRDefault="00B747AE" w14:paraId="58BDEB7E" w14:textId="77777777">
      <w:pPr>
        <w:jc w:val="center"/>
        <w:rPr>
          <w:rFonts w:ascii="Arial" w:hAnsi="Arial" w:cs="Arial"/>
          <w:sz w:val="18"/>
          <w:szCs w:val="20"/>
          <w:lang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601A7E" w:rsidR="00B747AE" w:rsidTr="00B747AE" w14:paraId="37DF1E20" w14:textId="77777777">
        <w:trPr>
          <w:trHeight w:val="315"/>
        </w:trPr>
        <w:tc>
          <w:tcPr>
            <w:tcW w:w="488" w:type="dxa"/>
            <w:vAlign w:val="center"/>
            <w:hideMark/>
          </w:tcPr>
          <w:p w:rsidRPr="00601A7E" w:rsidR="00B747AE" w:rsidRDefault="00B747AE" w14:paraId="090016B8" w14:textId="77777777">
            <w:pPr>
              <w:rPr>
                <w:rFonts w:ascii="Arial" w:hAnsi="Arial" w:cs="Arial"/>
                <w:sz w:val="16"/>
                <w:szCs w:val="16"/>
                <w:lang w:eastAsia="es-ES"/>
              </w:rPr>
            </w:pPr>
            <w:r w:rsidRPr="00601A7E">
              <w:rPr>
                <w:rFonts w:ascii="Arial" w:hAnsi="Arial" w:cs="Arial"/>
                <w:sz w:val="16"/>
                <w:szCs w:val="16"/>
                <w:lang w:eastAsia="es-ES"/>
              </w:rPr>
              <w:t>Elaboró:</w:t>
            </w:r>
          </w:p>
        </w:tc>
        <w:tc>
          <w:tcPr>
            <w:tcW w:w="4413" w:type="dxa"/>
            <w:tcBorders>
              <w:top w:val="nil"/>
              <w:left w:val="nil"/>
              <w:bottom w:val="dotted" w:color="7F7F7F" w:themeColor="text1" w:themeTint="80" w:sz="4" w:space="0"/>
              <w:right w:val="nil"/>
            </w:tcBorders>
            <w:vAlign w:val="center"/>
            <w:hideMark/>
          </w:tcPr>
          <w:p w:rsidR="00B747AE" w:rsidRDefault="00922AC2" w14:paraId="0FCFB130" w14:textId="77777777">
            <w:pPr>
              <w:rPr>
                <w:rFonts w:ascii="Arial" w:hAnsi="Arial" w:cs="Arial"/>
                <w:sz w:val="16"/>
                <w:szCs w:val="16"/>
                <w:lang w:eastAsia="es-ES"/>
              </w:rPr>
            </w:pPr>
            <w:r w:rsidRPr="00601A7E">
              <w:rPr>
                <w:rFonts w:ascii="Arial" w:hAnsi="Arial" w:cs="Arial"/>
                <w:sz w:val="16"/>
                <w:szCs w:val="16"/>
                <w:lang w:eastAsia="es-ES"/>
              </w:rPr>
              <w:t>Omar Germán Mejía Olmos</w:t>
            </w:r>
          </w:p>
          <w:p w:rsidRPr="00601A7E" w:rsidR="00600A8B" w:rsidRDefault="00600A8B" w14:paraId="0064D8D5" w14:textId="2DCD2F24">
            <w:pPr>
              <w:rPr>
                <w:rFonts w:ascii="Arial" w:hAnsi="Arial" w:cs="Arial"/>
                <w:sz w:val="16"/>
                <w:szCs w:val="16"/>
                <w:lang w:eastAsia="es-ES"/>
              </w:rPr>
            </w:pPr>
            <w:r>
              <w:rPr>
                <w:rFonts w:ascii="Arial" w:hAnsi="Arial" w:cs="Arial"/>
                <w:sz w:val="16"/>
                <w:szCs w:val="16"/>
                <w:lang w:eastAsia="es-ES"/>
              </w:rPr>
              <w:t>Contratista – Subdirección de Gestión Contractual</w:t>
            </w:r>
          </w:p>
        </w:tc>
      </w:tr>
      <w:tr w:rsidRPr="00601A7E" w:rsidR="00B747AE" w:rsidTr="00B747AE" w14:paraId="08491A4B" w14:textId="77777777">
        <w:trPr>
          <w:trHeight w:val="330"/>
        </w:trPr>
        <w:tc>
          <w:tcPr>
            <w:tcW w:w="488" w:type="dxa"/>
            <w:vAlign w:val="center"/>
            <w:hideMark/>
          </w:tcPr>
          <w:p w:rsidRPr="00601A7E" w:rsidR="00B747AE" w:rsidRDefault="00B747AE" w14:paraId="059374B1" w14:textId="77777777">
            <w:pPr>
              <w:rPr>
                <w:rFonts w:ascii="Arial" w:hAnsi="Arial" w:cs="Arial"/>
                <w:sz w:val="16"/>
                <w:szCs w:val="16"/>
                <w:lang w:eastAsia="es-ES"/>
              </w:rPr>
            </w:pPr>
            <w:r w:rsidRPr="00601A7E">
              <w:rPr>
                <w:rFonts w:ascii="Arial" w:hAnsi="Arial" w:cs="Arial"/>
                <w:sz w:val="16"/>
                <w:szCs w:val="16"/>
                <w:lang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601A7E" w:rsidR="004927E3" w:rsidP="004927E3" w:rsidRDefault="00600A8B" w14:paraId="33B5922E" w14:textId="61066A04">
            <w:pPr>
              <w:rPr>
                <w:rFonts w:ascii="Arial" w:hAnsi="Arial" w:cs="Arial"/>
                <w:sz w:val="16"/>
                <w:szCs w:val="16"/>
                <w:lang w:eastAsia="es-ES"/>
              </w:rPr>
            </w:pPr>
            <w:r>
              <w:rPr>
                <w:rFonts w:ascii="Arial" w:hAnsi="Arial" w:cs="Arial"/>
                <w:sz w:val="16"/>
                <w:szCs w:val="16"/>
                <w:lang w:eastAsia="es-ES"/>
              </w:rPr>
              <w:t>Sebastián Ramírez Grisales</w:t>
            </w:r>
          </w:p>
          <w:p w:rsidRPr="00601A7E" w:rsidR="00B747AE" w:rsidRDefault="00600A8B" w14:paraId="13F710B8" w14:textId="4E1DFC09">
            <w:pPr>
              <w:rPr>
                <w:rFonts w:ascii="Arial" w:hAnsi="Arial" w:cs="Arial"/>
                <w:sz w:val="16"/>
                <w:szCs w:val="16"/>
                <w:lang w:eastAsia="es-ES"/>
              </w:rPr>
            </w:pPr>
            <w:r>
              <w:rPr>
                <w:rFonts w:ascii="Arial" w:hAnsi="Arial" w:cs="Arial"/>
                <w:sz w:val="16"/>
                <w:szCs w:val="16"/>
                <w:lang w:eastAsia="es-ES"/>
              </w:rPr>
              <w:t>Contratista – Subdirección de Gestión Contractual</w:t>
            </w:r>
          </w:p>
        </w:tc>
      </w:tr>
      <w:tr w:rsidRPr="00601A7E" w:rsidR="00B747AE" w:rsidTr="00B747AE" w14:paraId="4E8CDBF1" w14:textId="77777777">
        <w:trPr>
          <w:trHeight w:val="300"/>
        </w:trPr>
        <w:tc>
          <w:tcPr>
            <w:tcW w:w="488" w:type="dxa"/>
            <w:vAlign w:val="center"/>
            <w:hideMark/>
          </w:tcPr>
          <w:p w:rsidRPr="00601A7E" w:rsidR="00B747AE" w:rsidRDefault="00B747AE" w14:paraId="7782729B" w14:textId="77777777">
            <w:pPr>
              <w:rPr>
                <w:rFonts w:ascii="Arial" w:hAnsi="Arial" w:cs="Arial"/>
                <w:sz w:val="16"/>
                <w:szCs w:val="16"/>
                <w:lang w:eastAsia="es-ES"/>
              </w:rPr>
            </w:pPr>
            <w:r w:rsidRPr="00601A7E">
              <w:rPr>
                <w:rFonts w:ascii="Arial" w:hAnsi="Arial" w:cs="Arial"/>
                <w:sz w:val="16"/>
                <w:szCs w:val="16"/>
                <w:lang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601A7E" w:rsidR="00B747AE" w:rsidRDefault="00B747AE" w14:paraId="62738976" w14:textId="77777777">
            <w:pPr>
              <w:rPr>
                <w:rFonts w:ascii="Arial" w:hAnsi="Arial" w:cs="Arial"/>
                <w:sz w:val="16"/>
                <w:szCs w:val="16"/>
                <w:lang w:eastAsia="es-ES"/>
              </w:rPr>
            </w:pPr>
            <w:r w:rsidRPr="00601A7E">
              <w:rPr>
                <w:rFonts w:ascii="Arial" w:hAnsi="Arial" w:cs="Arial"/>
                <w:sz w:val="16"/>
                <w:szCs w:val="16"/>
                <w:lang w:eastAsia="es-ES"/>
              </w:rPr>
              <w:t>Fabián Gonzalo Marín Cortés</w:t>
            </w:r>
          </w:p>
          <w:p w:rsidRPr="00601A7E" w:rsidR="00B747AE" w:rsidRDefault="00B747AE" w14:paraId="056D561A" w14:textId="77777777">
            <w:pPr>
              <w:rPr>
                <w:rFonts w:ascii="Arial" w:hAnsi="Arial" w:cs="Arial"/>
                <w:sz w:val="16"/>
                <w:szCs w:val="16"/>
                <w:lang w:eastAsia="es-ES"/>
              </w:rPr>
            </w:pPr>
            <w:r w:rsidRPr="00601A7E">
              <w:rPr>
                <w:rFonts w:ascii="Arial" w:hAnsi="Arial" w:cs="Arial"/>
                <w:sz w:val="16"/>
                <w:szCs w:val="16"/>
                <w:lang w:eastAsia="es-ES"/>
              </w:rPr>
              <w:t>Subdirector de Gestión Contractual</w:t>
            </w:r>
          </w:p>
        </w:tc>
      </w:tr>
      <w:tr w:rsidRPr="00601A7E" w:rsidR="00B747AE" w:rsidTr="00B747AE" w14:paraId="7852CBCB" w14:textId="77777777">
        <w:trPr>
          <w:trHeight w:val="300"/>
        </w:trPr>
        <w:tc>
          <w:tcPr>
            <w:tcW w:w="488" w:type="dxa"/>
            <w:vAlign w:val="center"/>
            <w:hideMark/>
          </w:tcPr>
          <w:p w:rsidRPr="00601A7E" w:rsidR="00B747AE" w:rsidRDefault="00B747AE" w14:paraId="0CDE84BF" w14:textId="77777777">
            <w:pPr>
              <w:rPr>
                <w:rFonts w:ascii="Arial" w:hAnsi="Arial" w:cs="Arial"/>
                <w:sz w:val="16"/>
                <w:szCs w:val="16"/>
                <w:lang w:eastAsia="es-ES"/>
              </w:rPr>
            </w:pPr>
            <w:r w:rsidRPr="00601A7E">
              <w:rPr>
                <w:rFonts w:ascii="Arial" w:hAnsi="Arial" w:cs="Arial"/>
                <w:sz w:val="16"/>
                <w:szCs w:val="16"/>
                <w:lang w:eastAsia="es-ES"/>
              </w:rPr>
              <w:t>Anexo:</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601A7E" w:rsidR="00B747AE" w:rsidRDefault="00B747AE" w14:paraId="4F973ED8" w14:textId="77777777">
            <w:pPr>
              <w:rPr>
                <w:rFonts w:ascii="Arial" w:hAnsi="Arial" w:cs="Arial"/>
                <w:sz w:val="16"/>
                <w:szCs w:val="16"/>
                <w:lang w:eastAsia="es-ES"/>
              </w:rPr>
            </w:pPr>
            <w:r w:rsidRPr="00601A7E">
              <w:rPr>
                <w:rFonts w:ascii="Arial" w:hAnsi="Arial" w:cs="Arial"/>
                <w:sz w:val="16"/>
                <w:szCs w:val="16"/>
                <w:lang w:eastAsia="es-ES"/>
              </w:rPr>
              <w:t>0</w:t>
            </w:r>
          </w:p>
        </w:tc>
      </w:tr>
    </w:tbl>
    <w:p w:rsidRPr="00601A7E" w:rsidR="00B747AE" w:rsidP="00B747AE" w:rsidRDefault="00B747AE" w14:paraId="1B611718" w14:textId="77777777">
      <w:pPr>
        <w:jc w:val="both"/>
        <w:rPr>
          <w:rFonts w:ascii="Arial" w:hAnsi="Arial" w:eastAsia="Calibri" w:cs="Arial"/>
          <w:sz w:val="22"/>
        </w:rPr>
      </w:pPr>
    </w:p>
    <w:bookmarkEnd w:id="0"/>
    <w:p w:rsidRPr="00601A7E" w:rsidR="00B747AE" w:rsidP="00B747AE" w:rsidRDefault="00B747AE" w14:paraId="76BFC05E" w14:textId="77777777">
      <w:pPr>
        <w:spacing w:before="120" w:after="120" w:line="276" w:lineRule="auto"/>
        <w:jc w:val="both"/>
        <w:rPr>
          <w:rFonts w:ascii="Arial" w:hAnsi="Arial" w:eastAsia="Calibri" w:cs="Arial"/>
          <w:sz w:val="22"/>
        </w:rPr>
      </w:pPr>
    </w:p>
    <w:bookmarkEnd w:id="1"/>
    <w:p w:rsidRPr="00601A7E" w:rsidR="007B0854" w:rsidP="00B747AE" w:rsidRDefault="007B0854" w14:paraId="7EBF297E" w14:textId="77777777"/>
    <w:sectPr w:rsidRPr="00601A7E" w:rsidR="007B0854" w:rsidSect="008E06C9">
      <w:headerReference w:type="default" r:id="rId12"/>
      <w:footerReference w:type="default" r:id="rId13"/>
      <w:pgSz w:w="12240" w:h="15840" w:orient="portrait"/>
      <w:pgMar w:top="1779" w:right="1608"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B60B5" w:rsidRDefault="000B60B5" w14:paraId="40D6645E" w14:textId="77777777">
      <w:r>
        <w:separator/>
      </w:r>
    </w:p>
  </w:endnote>
  <w:endnote w:type="continuationSeparator" w:id="0">
    <w:p w:rsidR="000B60B5" w:rsidRDefault="000B60B5" w14:paraId="3EA3FDD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6A59D1" w:rsidP="007B0854" w:rsidRDefault="006A59D1" w14:paraId="6E90F2C9" w14:textId="77777777">
    <w:pPr>
      <w:pStyle w:val="Sinespaciado"/>
      <w:jc w:val="center"/>
      <w:rPr>
        <w:rFonts w:ascii="Arial" w:hAnsi="Arial" w:cs="Arial"/>
        <w:sz w:val="18"/>
        <w:szCs w:val="18"/>
      </w:rPr>
    </w:pPr>
  </w:p>
  <w:p w:rsidRPr="005A79FE" w:rsidR="006A59D1" w:rsidP="005A79FE" w:rsidRDefault="006A59D1" w14:paraId="312C4A14" w14:textId="1CC17C36">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p>
  <w:p w:rsidR="006A59D1" w:rsidP="007B0854" w:rsidRDefault="006A59D1" w14:paraId="48FC6A04" w14:textId="0E0B8C38">
    <w:pPr>
      <w:pStyle w:val="Piedepgina"/>
      <w:jc w:val="center"/>
      <w:rPr>
        <w:lang w:val="es-ES"/>
      </w:rPr>
    </w:pPr>
    <w:r w:rsidR="70631289">
      <w:drawing>
        <wp:inline wp14:editId="180C5C12" wp14:anchorId="608B196D">
          <wp:extent cx="4241994" cy="595165"/>
          <wp:effectExtent l="0" t="0" r="6350" b="0"/>
          <wp:docPr id="1785295470" name="Imagen 12" title=""/>
          <wp:cNvGraphicFramePr>
            <a:graphicFrameLocks noChangeAspect="1"/>
          </wp:cNvGraphicFramePr>
          <a:graphic>
            <a:graphicData uri="http://schemas.openxmlformats.org/drawingml/2006/picture">
              <pic:pic>
                <pic:nvPicPr>
                  <pic:cNvPr id="0" name="Imagen 12"/>
                  <pic:cNvPicPr/>
                </pic:nvPicPr>
                <pic:blipFill>
                  <a:blip r:embed="R10c57e492d76403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241994" cy="595165"/>
                  </a:xfrm>
                  <a:prstGeom prst="rect">
                    <a:avLst/>
                  </a:prstGeom>
                </pic:spPr>
              </pic:pic>
            </a:graphicData>
          </a:graphic>
        </wp:inline>
      </w:drawing>
    </w:r>
  </w:p>
  <w:p w:rsidRPr="007B0854" w:rsidR="006A59D1" w:rsidP="007B0854" w:rsidRDefault="006A59D1" w14:paraId="6C0EFC49" w14:textId="7777777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B60B5" w:rsidRDefault="000B60B5" w14:paraId="56F3E345" w14:textId="77777777">
      <w:r>
        <w:separator/>
      </w:r>
    </w:p>
  </w:footnote>
  <w:footnote w:type="continuationSeparator" w:id="0">
    <w:p w:rsidR="000B60B5" w:rsidRDefault="000B60B5" w14:paraId="15C495F7" w14:textId="77777777">
      <w:r>
        <w:continuationSeparator/>
      </w:r>
    </w:p>
  </w:footnote>
  <w:footnote w:id="1">
    <w:p w:rsidRPr="0091353E" w:rsidR="00720DD9" w:rsidP="00720DD9" w:rsidRDefault="00720DD9" w14:paraId="0AF7A8FA" w14:textId="77777777">
      <w:pPr>
        <w:pStyle w:val="Textonotapie"/>
        <w:ind w:firstLine="709"/>
        <w:jc w:val="both"/>
        <w:rPr>
          <w:rFonts w:ascii="Arial" w:hAnsi="Arial" w:cs="Arial"/>
          <w:color w:val="000000" w:themeColor="text1"/>
          <w:sz w:val="19"/>
          <w:szCs w:val="19"/>
        </w:rPr>
      </w:pPr>
      <w:r w:rsidRPr="0091353E">
        <w:rPr>
          <w:rStyle w:val="Refdenotaalpie"/>
          <w:rFonts w:ascii="Arial" w:hAnsi="Arial" w:cs="Arial"/>
          <w:color w:val="000000" w:themeColor="text1"/>
          <w:sz w:val="19"/>
          <w:szCs w:val="19"/>
        </w:rPr>
        <w:footnoteRef/>
      </w:r>
      <w:r w:rsidRPr="0091353E">
        <w:rPr>
          <w:rFonts w:ascii="Arial" w:hAnsi="Arial" w:cs="Arial"/>
          <w:color w:val="000000" w:themeColor="text1"/>
          <w:sz w:val="19"/>
          <w:szCs w:val="19"/>
        </w:rPr>
        <w:t xml:space="preserve"> Ley 80 de 1993: «Artículo 30. De la estructura de los procedimientos de selección. La licitación se efectuará conforme a las siguientes reglas:</w:t>
      </w:r>
    </w:p>
    <w:p w:rsidRPr="0091353E" w:rsidR="00720DD9" w:rsidP="00720DD9" w:rsidRDefault="00720DD9" w14:paraId="5A1A44CD" w14:textId="77777777">
      <w:pPr>
        <w:pStyle w:val="Textonotapie"/>
        <w:ind w:firstLine="709"/>
        <w:jc w:val="both"/>
        <w:rPr>
          <w:rFonts w:ascii="Arial" w:hAnsi="Arial" w:cs="Arial"/>
          <w:color w:val="000000" w:themeColor="text1"/>
          <w:sz w:val="19"/>
          <w:szCs w:val="19"/>
        </w:rPr>
      </w:pPr>
      <w:r w:rsidRPr="0091353E">
        <w:rPr>
          <w:rFonts w:ascii="Arial" w:hAnsi="Arial" w:cs="Arial"/>
          <w:color w:val="000000" w:themeColor="text1"/>
          <w:sz w:val="19"/>
          <w:szCs w:val="19"/>
        </w:rPr>
        <w:t>[…]</w:t>
      </w:r>
    </w:p>
    <w:p w:rsidRPr="0091353E" w:rsidR="00720DD9" w:rsidP="00720DD9" w:rsidRDefault="00720DD9" w14:paraId="3CCE5F57" w14:textId="77777777">
      <w:pPr>
        <w:pStyle w:val="Textonotapie"/>
        <w:ind w:firstLine="709"/>
        <w:jc w:val="both"/>
        <w:rPr>
          <w:rFonts w:ascii="Arial" w:hAnsi="Arial" w:cs="Arial"/>
          <w:color w:val="000000" w:themeColor="text1"/>
          <w:sz w:val="19"/>
          <w:szCs w:val="19"/>
        </w:rPr>
      </w:pPr>
      <w:proofErr w:type="gramStart"/>
      <w:r w:rsidRPr="0091353E">
        <w:rPr>
          <w:rFonts w:ascii="Arial" w:hAnsi="Arial" w:cs="Arial"/>
          <w:color w:val="000000" w:themeColor="text1"/>
          <w:sz w:val="19"/>
          <w:szCs w:val="19"/>
        </w:rPr>
        <w:t>»4º.</w:t>
      </w:r>
      <w:proofErr w:type="gramEnd"/>
      <w:r w:rsidRPr="0091353E">
        <w:rPr>
          <w:rFonts w:ascii="Arial" w:hAnsi="Arial" w:cs="Arial"/>
          <w:color w:val="000000" w:themeColor="text1"/>
          <w:sz w:val="19"/>
          <w:szCs w:val="19"/>
        </w:rPr>
        <w:t xml:space="preserve"> Dentro de los tres (3) días hábiles siguientes al inicio del plazo para </w:t>
      </w:r>
      <w:proofErr w:type="spellStart"/>
      <w:r w:rsidRPr="0091353E">
        <w:rPr>
          <w:rFonts w:ascii="Arial" w:hAnsi="Arial" w:cs="Arial"/>
          <w:color w:val="000000" w:themeColor="text1"/>
          <w:sz w:val="19"/>
          <w:szCs w:val="19"/>
        </w:rPr>
        <w:t>Ia</w:t>
      </w:r>
      <w:proofErr w:type="spellEnd"/>
      <w:r w:rsidRPr="0091353E">
        <w:rPr>
          <w:rFonts w:ascii="Arial" w:hAnsi="Arial" w:cs="Arial"/>
          <w:color w:val="000000" w:themeColor="text1"/>
          <w:sz w:val="19"/>
          <w:szCs w:val="19"/>
        </w:rPr>
        <w:t xml:space="preserve"> presentación de propuestas y a solicitud de cualquiera de las personas interesadas en el proceso se celebrará una audiencia con el objeto de precisar el contenido y alcance de los pliegos de condiciones, de lo cual se levantará un acta suscrita por los intervinientes. En </w:t>
      </w:r>
      <w:proofErr w:type="spellStart"/>
      <w:r w:rsidRPr="0091353E">
        <w:rPr>
          <w:rFonts w:ascii="Arial" w:hAnsi="Arial" w:cs="Arial"/>
          <w:color w:val="000000" w:themeColor="text1"/>
          <w:sz w:val="19"/>
          <w:szCs w:val="19"/>
        </w:rPr>
        <w:t>Ia</w:t>
      </w:r>
      <w:proofErr w:type="spellEnd"/>
      <w:r w:rsidRPr="0091353E">
        <w:rPr>
          <w:rFonts w:ascii="Arial" w:hAnsi="Arial" w:cs="Arial"/>
          <w:color w:val="000000" w:themeColor="text1"/>
          <w:sz w:val="19"/>
          <w:szCs w:val="19"/>
        </w:rPr>
        <w:t xml:space="preserve"> misma audiencia se revisará </w:t>
      </w:r>
      <w:proofErr w:type="spellStart"/>
      <w:r w:rsidRPr="0091353E">
        <w:rPr>
          <w:rFonts w:ascii="Arial" w:hAnsi="Arial" w:cs="Arial"/>
          <w:color w:val="000000" w:themeColor="text1"/>
          <w:sz w:val="19"/>
          <w:szCs w:val="19"/>
        </w:rPr>
        <w:t>Ia</w:t>
      </w:r>
      <w:proofErr w:type="spellEnd"/>
      <w:r w:rsidRPr="0091353E">
        <w:rPr>
          <w:rFonts w:ascii="Arial" w:hAnsi="Arial" w:cs="Arial"/>
          <w:color w:val="000000" w:themeColor="text1"/>
          <w:sz w:val="19"/>
          <w:szCs w:val="19"/>
        </w:rPr>
        <w:t xml:space="preserve"> asignación de riesgos que trata el artículo 4 de </w:t>
      </w:r>
      <w:proofErr w:type="spellStart"/>
      <w:r w:rsidRPr="0091353E">
        <w:rPr>
          <w:rFonts w:ascii="Arial" w:hAnsi="Arial" w:cs="Arial"/>
          <w:color w:val="000000" w:themeColor="text1"/>
          <w:sz w:val="19"/>
          <w:szCs w:val="19"/>
        </w:rPr>
        <w:t>Ia</w:t>
      </w:r>
      <w:proofErr w:type="spellEnd"/>
      <w:r w:rsidRPr="0091353E">
        <w:rPr>
          <w:rFonts w:ascii="Arial" w:hAnsi="Arial" w:cs="Arial"/>
          <w:color w:val="000000" w:themeColor="text1"/>
          <w:sz w:val="19"/>
          <w:szCs w:val="19"/>
        </w:rPr>
        <w:t xml:space="preserve"> Ley 1150 de 2007 con el fin de establecer su tipificación, estimación y asignación definitiva».</w:t>
      </w:r>
    </w:p>
    <w:p w:rsidRPr="0091353E" w:rsidR="00720DD9" w:rsidP="00720DD9" w:rsidRDefault="00720DD9" w14:paraId="542C518A" w14:textId="77777777">
      <w:pPr>
        <w:pStyle w:val="Textonotapie"/>
        <w:ind w:firstLine="709"/>
        <w:jc w:val="both"/>
        <w:rPr>
          <w:rFonts w:ascii="Arial" w:hAnsi="Arial" w:cs="Arial"/>
          <w:color w:val="000000" w:themeColor="text1"/>
          <w:sz w:val="19"/>
          <w:szCs w:val="19"/>
        </w:rPr>
      </w:pPr>
    </w:p>
  </w:footnote>
  <w:footnote w:id="2">
    <w:p w:rsidR="006A59D1" w:rsidP="00D77580" w:rsidRDefault="006A59D1" w14:paraId="02B5F0C6" w14:textId="77777777">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eastAsia="es-CO"/>
        </w:rPr>
        <w:t>Decreto Ley 019 de 2012: «Artículo 166. Del Registro Único Empresarial y Social. Al Registro Único Empresarial (RUE) de que trata el artículo 11 de la Ley 590 de 2000, que integró el Registro Mercantil y el Registro Único de Proponentes[...]».</w:t>
      </w:r>
      <w:r>
        <w:rPr>
          <w:rFonts w:ascii="Arial" w:hAnsi="Arial" w:cs="Arial"/>
          <w:sz w:val="19"/>
          <w:szCs w:val="19"/>
        </w:rPr>
        <w:t xml:space="preserve"> </w:t>
      </w:r>
    </w:p>
    <w:p w:rsidR="006A59D1" w:rsidP="00D77580" w:rsidRDefault="006A59D1" w14:paraId="18E27FF9" w14:textId="77777777">
      <w:pPr>
        <w:pStyle w:val="Textonotapie"/>
        <w:ind w:firstLine="708"/>
        <w:jc w:val="both"/>
        <w:rPr>
          <w:rFonts w:ascii="Arial" w:hAnsi="Arial" w:cs="Arial"/>
          <w:sz w:val="19"/>
          <w:szCs w:val="19"/>
          <w:lang w:val="es-ES"/>
        </w:rPr>
      </w:pPr>
    </w:p>
  </w:footnote>
  <w:footnote w:id="3">
    <w:p w:rsidR="006A59D1" w:rsidP="00D77580" w:rsidRDefault="006A59D1" w14:paraId="44543519" w14:textId="77777777">
      <w:pPr>
        <w:pStyle w:val="Textonotapie"/>
        <w:ind w:firstLine="708"/>
        <w:jc w:val="both"/>
        <w:rPr>
          <w:rFonts w:ascii="Arial" w:hAnsi="Arial" w:cs="Arial"/>
          <w:sz w:val="19"/>
          <w:szCs w:val="19"/>
          <w:lang w:eastAsia="es-CO"/>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eastAsia="es-CO"/>
        </w:rPr>
        <w:t>Decreto 434 de 2020: «Artículo 2. Renovación del Registro Único de Proponentes. Las personas naturales y jurídicas, nacionales o extranjeras, con domicilio en Colombia, interesadas en participar en Procesos de Contratación convocados por las entidades estatales, deben estar inscritas en el RUP, salvo las excepciones previstas de forma taxativa en la ley. Las personas inscritas en el RUP deben presentar la información para renovar su registro a más tardar el quinto día hábil del mes de julio de 2020».</w:t>
      </w:r>
    </w:p>
    <w:p w:rsidR="006A59D1" w:rsidP="00D77580" w:rsidRDefault="006A59D1" w14:paraId="6D85CF0E" w14:textId="77777777">
      <w:pPr>
        <w:pStyle w:val="Textonotapie"/>
        <w:ind w:firstLine="708"/>
        <w:jc w:val="both"/>
        <w:rPr>
          <w:rFonts w:ascii="Arial" w:hAnsi="Arial" w:cs="Arial"/>
          <w:sz w:val="19"/>
          <w:szCs w:val="19"/>
          <w:lang w:val="es-ES"/>
        </w:rPr>
      </w:pPr>
    </w:p>
  </w:footnote>
  <w:footnote w:id="4">
    <w:p w:rsidRPr="008F30CE" w:rsidR="008E062C" w:rsidP="008E062C" w:rsidRDefault="008E062C" w14:paraId="25BDB16A" w14:textId="77777777">
      <w:pPr>
        <w:pStyle w:val="Textonotapie"/>
        <w:ind w:firstLine="708"/>
        <w:jc w:val="both"/>
        <w:rPr>
          <w:rFonts w:ascii="Arial" w:hAnsi="Arial" w:cs="Arial"/>
          <w:sz w:val="19"/>
          <w:szCs w:val="19"/>
          <w:lang w:eastAsia="es-CO"/>
        </w:rPr>
      </w:pPr>
      <w:r w:rsidRPr="00CC6288">
        <w:rPr>
          <w:rStyle w:val="Refdenotaalpie"/>
          <w:rFonts w:ascii="Arial" w:hAnsi="Arial" w:cs="Arial"/>
          <w:sz w:val="19"/>
          <w:szCs w:val="19"/>
        </w:rPr>
        <w:footnoteRef/>
      </w:r>
      <w:r>
        <w:t xml:space="preserve"> </w:t>
      </w:r>
      <w:r w:rsidRPr="008F30CE">
        <w:rPr>
          <w:rFonts w:ascii="Arial" w:hAnsi="Arial" w:cs="Arial"/>
          <w:sz w:val="19"/>
          <w:szCs w:val="19"/>
        </w:rPr>
        <w:t xml:space="preserve">Resolución 0045 de 2020: </w:t>
      </w:r>
      <w:r w:rsidRPr="008F30CE">
        <w:rPr>
          <w:rFonts w:ascii="Arial" w:hAnsi="Arial" w:cs="Arial"/>
          <w:sz w:val="19"/>
          <w:szCs w:val="19"/>
          <w:lang w:eastAsia="es-CO"/>
        </w:rPr>
        <w:t>«</w:t>
      </w:r>
      <w:r w:rsidRPr="008F30CE">
        <w:rPr>
          <w:rFonts w:ascii="Arial" w:hAnsi="Arial" w:cs="Arial"/>
          <w:sz w:val="19"/>
          <w:szCs w:val="19"/>
        </w:rPr>
        <w:t>Artículo 2. Inalterabilidad de los Documentos Tipo. Las Entidades Estatales no pueden incluir condiciones o modificar las señaladas en los Documentos Tipo, a menos que expresamente se les faculte para hacerlo</w:t>
      </w:r>
      <w:r w:rsidRPr="008F30CE">
        <w:rPr>
          <w:rFonts w:ascii="Arial" w:hAnsi="Arial" w:cs="Arial"/>
          <w:sz w:val="19"/>
          <w:szCs w:val="19"/>
          <w:lang w:eastAsia="es-CO"/>
        </w:rPr>
        <w:t>».</w:t>
      </w:r>
    </w:p>
  </w:footnote>
  <w:footnote w:id="5">
    <w:p w:rsidRPr="008F30CE" w:rsidR="006A59D1" w:rsidP="0037462A" w:rsidRDefault="006A59D1" w14:paraId="382944C7" w14:textId="11E402B8">
      <w:pPr>
        <w:pStyle w:val="Textonotapie"/>
        <w:ind w:firstLine="709"/>
        <w:jc w:val="both"/>
        <w:rPr>
          <w:rFonts w:ascii="Arial" w:hAnsi="Arial" w:cs="Arial"/>
          <w:sz w:val="19"/>
          <w:szCs w:val="19"/>
        </w:rPr>
      </w:pPr>
      <w:r w:rsidRPr="00CC6288">
        <w:rPr>
          <w:rStyle w:val="Refdenotaalpie"/>
          <w:rFonts w:ascii="Arial" w:hAnsi="Arial" w:cs="Arial"/>
          <w:sz w:val="19"/>
          <w:szCs w:val="19"/>
        </w:rPr>
        <w:footnoteRef/>
      </w:r>
      <w:r w:rsidRPr="00CC6288">
        <w:rPr>
          <w:rFonts w:ascii="Arial" w:hAnsi="Arial" w:cs="Arial"/>
        </w:rPr>
        <w:t xml:space="preserve"> </w:t>
      </w:r>
      <w:r w:rsidRPr="008F30CE">
        <w:rPr>
          <w:rFonts w:ascii="Arial" w:hAnsi="Arial" w:cs="Arial"/>
          <w:sz w:val="19"/>
          <w:szCs w:val="19"/>
        </w:rPr>
        <w:t xml:space="preserve">Ley 1437 de 2011: </w:t>
      </w:r>
      <w:r w:rsidRPr="008F30CE">
        <w:rPr>
          <w:rFonts w:ascii="Arial" w:hAnsi="Arial" w:cs="Arial"/>
          <w:sz w:val="19"/>
          <w:szCs w:val="19"/>
          <w:lang w:eastAsia="es-CO"/>
        </w:rPr>
        <w:t>«</w:t>
      </w:r>
      <w:r w:rsidRPr="008F30CE">
        <w:rPr>
          <w:rFonts w:ascii="Arial" w:hAnsi="Arial" w:cs="Arial"/>
          <w:sz w:val="19"/>
          <w:szCs w:val="19"/>
        </w:rPr>
        <w:t xml:space="preserve">Artículo </w:t>
      </w:r>
      <w:r w:rsidR="009E7810">
        <w:rPr>
          <w:rFonts w:ascii="Arial" w:hAnsi="Arial" w:cs="Arial"/>
          <w:sz w:val="19"/>
          <w:szCs w:val="19"/>
        </w:rPr>
        <w:t>ley</w:t>
      </w:r>
      <w:r w:rsidRPr="008F30CE">
        <w:rPr>
          <w:rFonts w:ascii="Arial" w:hAnsi="Arial" w:cs="Arial"/>
          <w:sz w:val="19"/>
          <w:szCs w:val="19"/>
        </w:rPr>
        <w:t>. Perdida de Ejecutoriedad del Acto Administrativo. Salvo</w:t>
      </w:r>
      <w:r w:rsidRPr="008F30CE">
        <w:rPr>
          <w:rFonts w:ascii="Arial" w:hAnsi="Arial" w:cs="Arial"/>
        </w:rPr>
        <w:t xml:space="preserve"> norma </w:t>
      </w:r>
      <w:r w:rsidRPr="008F30CE">
        <w:rPr>
          <w:rFonts w:ascii="Arial" w:hAnsi="Arial" w:cs="Arial"/>
          <w:sz w:val="19"/>
          <w:szCs w:val="19"/>
        </w:rPr>
        <w:t xml:space="preserve">expresa en contrario, los actos administrativos en firme serán obligatorios mientras no hayan sido anulados por la Jurisdicción de lo Contencioso Administrativo. Perderán obligatoriedad y, por lo tanto, no podrán ser ejecutados en los siguientes casos: </w:t>
      </w:r>
    </w:p>
    <w:p w:rsidRPr="0037462A" w:rsidR="006A59D1" w:rsidP="70631289" w:rsidRDefault="006A59D1" w14:paraId="383675AE" w14:textId="1BB99E39">
      <w:pPr>
        <w:pStyle w:val="Textonotapie"/>
        <w:numPr>
          <w:ilvl w:val="0"/>
          <w:numId w:val="10"/>
        </w:numPr>
        <w:ind w:left="993" w:hanging="284"/>
        <w:jc w:val="both"/>
        <w:rPr>
          <w:rFonts w:ascii="Arial" w:hAnsi="Arial" w:eastAsia="Calibri" w:cs="Arial" w:eastAsiaTheme="minorAscii"/>
          <w:sz w:val="19"/>
          <w:szCs w:val="19"/>
          <w:lang w:eastAsia="en-US"/>
        </w:rPr>
      </w:pPr>
      <w:r w:rsidRPr="70631289" w:rsidR="70631289">
        <w:rPr>
          <w:rFonts w:ascii="Arial" w:hAnsi="Arial" w:eastAsia="Calibri" w:cs="Arial" w:eastAsiaTheme="minorAscii"/>
          <w:sz w:val="19"/>
          <w:szCs w:val="19"/>
          <w:lang w:eastAsia="en-US"/>
        </w:rPr>
        <w:t>Cuando sean suspendidos provisionalmente sus efectos por la Jurisdicción de lo Contencioso Administrativo.</w:t>
      </w:r>
    </w:p>
    <w:p w:rsidRPr="0037462A" w:rsidR="006A59D1" w:rsidP="70631289" w:rsidRDefault="006A59D1" w14:paraId="3112E398" w14:textId="77777777">
      <w:pPr>
        <w:pStyle w:val="Textonotapie"/>
        <w:numPr>
          <w:ilvl w:val="0"/>
          <w:numId w:val="10"/>
        </w:numPr>
        <w:ind w:left="993" w:hanging="284"/>
        <w:jc w:val="both"/>
        <w:rPr>
          <w:rFonts w:ascii="Arial" w:hAnsi="Arial" w:eastAsia="Calibri" w:cs="Arial" w:eastAsiaTheme="minorAscii"/>
          <w:sz w:val="19"/>
          <w:szCs w:val="19"/>
          <w:lang w:val="es-ES" w:eastAsia="en-US"/>
        </w:rPr>
      </w:pPr>
      <w:r w:rsidRPr="70631289" w:rsidR="70631289">
        <w:rPr>
          <w:rFonts w:ascii="Arial" w:hAnsi="Arial" w:eastAsia="Calibri" w:cs="Arial" w:eastAsiaTheme="minorAscii"/>
          <w:sz w:val="19"/>
          <w:szCs w:val="19"/>
          <w:lang w:val="es-ES" w:eastAsia="en-US"/>
        </w:rPr>
        <w:t>Cuando desaparezcan sus fundamentos de hecho o de derecho.</w:t>
      </w:r>
    </w:p>
    <w:p w:rsidRPr="0037462A" w:rsidR="006A59D1" w:rsidP="70631289" w:rsidRDefault="006A59D1" w14:paraId="3CB2173C" w14:textId="77777777">
      <w:pPr>
        <w:pStyle w:val="Textonotapie"/>
        <w:numPr>
          <w:ilvl w:val="0"/>
          <w:numId w:val="10"/>
        </w:numPr>
        <w:ind w:left="993" w:hanging="284"/>
        <w:jc w:val="both"/>
        <w:rPr>
          <w:rFonts w:ascii="Arial" w:hAnsi="Arial" w:eastAsia="Calibri" w:cs="Arial" w:eastAsiaTheme="minorAscii"/>
          <w:sz w:val="19"/>
          <w:szCs w:val="19"/>
          <w:lang w:val="es-ES" w:eastAsia="en-US"/>
        </w:rPr>
      </w:pPr>
      <w:r w:rsidRPr="70631289" w:rsidR="70631289">
        <w:rPr>
          <w:rFonts w:ascii="Arial" w:hAnsi="Arial" w:eastAsia="Calibri" w:cs="Arial" w:eastAsiaTheme="minorAscii"/>
          <w:sz w:val="19"/>
          <w:szCs w:val="19"/>
          <w:lang w:val="es-ES" w:eastAsia="en-US"/>
        </w:rPr>
        <w:t>Cuando al cabo de cinco (5) años de estar en firme, la autoridad no ha realizado los actos que le correspondan para ejecutarlos.</w:t>
      </w:r>
    </w:p>
    <w:p w:rsidRPr="008F30CE" w:rsidR="006A59D1" w:rsidP="70631289" w:rsidRDefault="006A59D1" w14:paraId="2BCECB1B" w14:textId="77777777">
      <w:pPr>
        <w:pStyle w:val="Textonotapie"/>
        <w:numPr>
          <w:ilvl w:val="0"/>
          <w:numId w:val="10"/>
        </w:numPr>
        <w:ind w:left="993" w:hanging="284"/>
        <w:jc w:val="both"/>
        <w:rPr>
          <w:rFonts w:ascii="Arial" w:hAnsi="Arial" w:cs="Arial"/>
          <w:sz w:val="19"/>
          <w:szCs w:val="19"/>
        </w:rPr>
      </w:pPr>
      <w:r w:rsidRPr="70631289" w:rsidR="70631289">
        <w:rPr>
          <w:rFonts w:ascii="Arial" w:hAnsi="Arial" w:eastAsia="Calibri" w:cs="Arial" w:eastAsiaTheme="minorAscii"/>
          <w:sz w:val="19"/>
          <w:szCs w:val="19"/>
          <w:lang w:val="es-ES" w:eastAsia="en-US"/>
        </w:rPr>
        <w:t>Cuando se cumpla la condición resolutoria a que se encuentre sometido el acto.</w:t>
      </w:r>
    </w:p>
    <w:p w:rsidRPr="008F30CE" w:rsidR="006A59D1" w:rsidP="70631289" w:rsidRDefault="006A59D1" w14:paraId="2C61BF72" w14:textId="4E49A137">
      <w:pPr>
        <w:pStyle w:val="Textonotapie"/>
        <w:numPr>
          <w:ilvl w:val="0"/>
          <w:numId w:val="10"/>
        </w:numPr>
        <w:ind w:left="993" w:hanging="284"/>
        <w:jc w:val="both"/>
        <w:rPr>
          <w:rFonts w:ascii="Arial" w:hAnsi="Arial" w:eastAsia="Calibri" w:cs="Arial" w:eastAsiaTheme="minorAscii"/>
          <w:sz w:val="19"/>
          <w:szCs w:val="19"/>
          <w:lang w:eastAsia="en-US"/>
        </w:rPr>
      </w:pPr>
      <w:r w:rsidRPr="70631289" w:rsidR="70631289">
        <w:rPr>
          <w:rFonts w:ascii="Arial" w:hAnsi="Arial" w:cs="Arial"/>
          <w:sz w:val="19"/>
          <w:szCs w:val="19"/>
        </w:rPr>
        <w:t>Cuando pierdan vigencia</w:t>
      </w:r>
      <w:r w:rsidRPr="70631289" w:rsidR="70631289">
        <w:rPr>
          <w:rFonts w:ascii="Arial" w:hAnsi="Arial" w:cs="Arial"/>
          <w:sz w:val="19"/>
          <w:szCs w:val="19"/>
          <w:lang w:eastAsia="es-CO"/>
        </w:rPr>
        <w:t>»</w:t>
      </w:r>
    </w:p>
    <w:p w:rsidRPr="008F30CE" w:rsidR="006A59D1" w:rsidP="008F30CE" w:rsidRDefault="006A59D1" w14:paraId="79BAA54D" w14:textId="77777777">
      <w:pPr>
        <w:pStyle w:val="Textonotapie"/>
        <w:ind w:left="993"/>
        <w:jc w:val="both"/>
        <w:rPr>
          <w:rFonts w:ascii="Arial" w:hAnsi="Arial" w:cs="Arial"/>
          <w:bCs/>
        </w:rPr>
      </w:pPr>
    </w:p>
  </w:footnote>
  <w:footnote w:id="6">
    <w:p w:rsidRPr="008F30CE" w:rsidR="006A59D1" w:rsidP="008F30CE" w:rsidRDefault="006A59D1" w14:paraId="32E10472" w14:textId="0828BDED">
      <w:pPr>
        <w:pStyle w:val="Textonotapie"/>
        <w:ind w:firstLine="709"/>
        <w:jc w:val="both"/>
        <w:rPr>
          <w:rFonts w:ascii="Arial" w:hAnsi="Arial" w:cs="Arial" w:eastAsiaTheme="minorHAnsi"/>
          <w:sz w:val="19"/>
          <w:szCs w:val="19"/>
          <w:lang w:eastAsia="en-US"/>
        </w:rPr>
      </w:pPr>
      <w:r w:rsidRPr="00CC6288">
        <w:rPr>
          <w:rStyle w:val="Refdenotaalpie"/>
          <w:rFonts w:ascii="Arial" w:hAnsi="Arial" w:cs="Arial"/>
          <w:sz w:val="19"/>
          <w:szCs w:val="19"/>
        </w:rPr>
        <w:footnoteRef/>
      </w:r>
      <w:r>
        <w:t xml:space="preserve"> </w:t>
      </w:r>
      <w:r w:rsidRPr="008F30CE">
        <w:rPr>
          <w:rFonts w:ascii="Arial" w:hAnsi="Arial" w:cs="Arial"/>
          <w:sz w:val="19"/>
          <w:szCs w:val="19"/>
        </w:rPr>
        <w:t xml:space="preserve">Decreto 1082 de 2015: </w:t>
      </w:r>
      <w:r w:rsidR="00184964">
        <w:rPr>
          <w:rFonts w:ascii="Arial" w:hAnsi="Arial" w:cs="Arial"/>
          <w:sz w:val="19"/>
          <w:szCs w:val="19"/>
        </w:rPr>
        <w:t xml:space="preserve">«Artículo </w:t>
      </w:r>
      <w:r w:rsidRPr="00A14472" w:rsidR="00184964">
        <w:rPr>
          <w:rFonts w:ascii="Arial" w:hAnsi="Arial" w:cs="Arial"/>
          <w:sz w:val="19"/>
          <w:szCs w:val="19"/>
        </w:rPr>
        <w:t>2.2.1.1.1.5.1.</w:t>
      </w:r>
      <w:r w:rsidR="00184964">
        <w:rPr>
          <w:rFonts w:ascii="Arial" w:hAnsi="Arial" w:eastAsia="Calibri" w:cs="Arial"/>
          <w:bCs/>
          <w:color w:val="000000" w:themeColor="text1"/>
          <w:sz w:val="22"/>
        </w:rPr>
        <w:t xml:space="preserve"> </w:t>
      </w:r>
      <w:r w:rsidRPr="008F30CE">
        <w:rPr>
          <w:rFonts w:ascii="Arial" w:hAnsi="Arial" w:cs="Arial"/>
          <w:sz w:val="19"/>
          <w:szCs w:val="19"/>
        </w:rPr>
        <w:t>Inscripción, renovación, actualización y cancelación del RUP.</w:t>
      </w:r>
      <w:r w:rsidR="00184964">
        <w:rPr>
          <w:rFonts w:ascii="Arial" w:hAnsi="Arial" w:cs="Arial"/>
          <w:sz w:val="19"/>
          <w:szCs w:val="19"/>
          <w:lang w:eastAsia="es-CO"/>
        </w:rPr>
        <w:t xml:space="preserve"> </w:t>
      </w:r>
      <w:r w:rsidRPr="008F30CE">
        <w:rPr>
          <w:rFonts w:ascii="Arial" w:hAnsi="Arial" w:cs="Arial" w:eastAsiaTheme="minorHAnsi"/>
          <w:sz w:val="19"/>
          <w:szCs w:val="19"/>
          <w:lang w:eastAsia="en-US"/>
        </w:rPr>
        <w:t>Las personas naturales y jurídicas, nacionales o extranjeras, con domicilio en Colombia, interesadas en participar en Procesos de Contratación convocados por las Entidades Estatales, deben estar inscritas en el RUP, salvo las excepciones previstas de forma taxativa en la ley.</w:t>
      </w:r>
    </w:p>
    <w:p w:rsidRPr="008F30CE" w:rsidR="006A59D1" w:rsidP="00A14472" w:rsidRDefault="00184964" w14:paraId="7D744EB8" w14:textId="72226484">
      <w:pPr>
        <w:pStyle w:val="Textonotapie"/>
        <w:ind w:firstLine="708"/>
        <w:jc w:val="both"/>
        <w:rPr>
          <w:rFonts w:ascii="Arial" w:hAnsi="Arial" w:cs="Arial" w:eastAsiaTheme="minorHAnsi"/>
          <w:sz w:val="19"/>
          <w:szCs w:val="19"/>
          <w:lang w:eastAsia="en-US"/>
        </w:rPr>
      </w:pPr>
      <w:proofErr w:type="gramStart"/>
      <w:r>
        <w:rPr>
          <w:rFonts w:ascii="Arial" w:hAnsi="Arial" w:cs="Arial" w:eastAsiaTheme="minorHAnsi"/>
          <w:sz w:val="19"/>
          <w:szCs w:val="19"/>
          <w:lang w:eastAsia="en-US"/>
        </w:rPr>
        <w:t>»</w:t>
      </w:r>
      <w:r w:rsidRPr="008F30CE" w:rsidR="006A59D1">
        <w:rPr>
          <w:rFonts w:ascii="Arial" w:hAnsi="Arial" w:cs="Arial" w:eastAsiaTheme="minorHAnsi"/>
          <w:sz w:val="19"/>
          <w:szCs w:val="19"/>
          <w:lang w:eastAsia="en-US"/>
        </w:rPr>
        <w:t>La</w:t>
      </w:r>
      <w:proofErr w:type="gramEnd"/>
      <w:r w:rsidRPr="008F30CE" w:rsidR="006A59D1">
        <w:rPr>
          <w:rFonts w:ascii="Arial" w:hAnsi="Arial" w:cs="Arial" w:eastAsiaTheme="minorHAnsi"/>
          <w:sz w:val="19"/>
          <w:szCs w:val="19"/>
          <w:lang w:eastAsia="en-US"/>
        </w:rPr>
        <w:t xml:space="preserve">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p w:rsidRPr="008F30CE" w:rsidR="006A59D1" w:rsidP="00A14472" w:rsidRDefault="00184964" w14:paraId="71FCF75B" w14:textId="3BA240E1">
      <w:pPr>
        <w:pStyle w:val="Textonotapie"/>
        <w:ind w:firstLine="708"/>
        <w:jc w:val="both"/>
        <w:rPr>
          <w:rFonts w:ascii="Arial" w:hAnsi="Arial" w:cs="Arial" w:eastAsiaTheme="minorHAnsi"/>
          <w:sz w:val="19"/>
          <w:szCs w:val="19"/>
          <w:lang w:eastAsia="en-US"/>
        </w:rPr>
      </w:pPr>
      <w:proofErr w:type="gramStart"/>
      <w:r>
        <w:rPr>
          <w:rFonts w:ascii="Arial" w:hAnsi="Arial" w:cs="Arial" w:eastAsiaTheme="minorHAnsi"/>
          <w:sz w:val="19"/>
          <w:szCs w:val="19"/>
          <w:lang w:eastAsia="en-US"/>
        </w:rPr>
        <w:t>»</w:t>
      </w:r>
      <w:r w:rsidRPr="008F30CE" w:rsidR="006A59D1">
        <w:rPr>
          <w:rFonts w:ascii="Arial" w:hAnsi="Arial" w:cs="Arial" w:eastAsiaTheme="minorHAnsi"/>
          <w:sz w:val="19"/>
          <w:szCs w:val="19"/>
          <w:lang w:eastAsia="en-US"/>
        </w:rPr>
        <w:t>Los</w:t>
      </w:r>
      <w:proofErr w:type="gramEnd"/>
      <w:r w:rsidRPr="008F30CE" w:rsidR="006A59D1">
        <w:rPr>
          <w:rFonts w:ascii="Arial" w:hAnsi="Arial" w:cs="Arial" w:eastAsiaTheme="minorHAnsi"/>
          <w:sz w:val="19"/>
          <w:szCs w:val="19"/>
          <w:lang w:eastAsia="en-US"/>
        </w:rPr>
        <w:t xml:space="preserve"> inscritos en el RUP pueden en cualquier momento solicitar a la cámara de comercio cancelar su inscripción</w:t>
      </w:r>
      <w:r>
        <w:rPr>
          <w:rFonts w:ascii="Arial" w:hAnsi="Arial" w:cs="Arial" w:eastAsiaTheme="minorHAnsi"/>
          <w:sz w:val="19"/>
          <w:szCs w:val="19"/>
          <w:lang w:eastAsia="en-US"/>
        </w:rPr>
        <w:t>»</w:t>
      </w:r>
      <w:r w:rsidRPr="008F30CE" w:rsidR="006A59D1">
        <w:rPr>
          <w:rFonts w:ascii="Arial" w:hAnsi="Arial" w:cs="Arial" w:eastAsiaTheme="minorHAnsi"/>
          <w:sz w:val="19"/>
          <w:szCs w:val="19"/>
          <w:lang w:eastAsia="en-US"/>
        </w:rPr>
        <w:t>.</w:t>
      </w:r>
    </w:p>
    <w:p w:rsidR="006A59D1" w:rsidRDefault="006A59D1" w14:paraId="46EE288A" w14:textId="10AA4A7C">
      <w:pPr>
        <w:pStyle w:val="Textonotapie"/>
      </w:pPr>
    </w:p>
  </w:footnote>
  <w:footnote w:id="7">
    <w:p w:rsidRPr="001B1614" w:rsidR="006A59D1" w:rsidP="00A352D4" w:rsidRDefault="006A59D1" w14:paraId="62E4BFF7" w14:textId="5B39D6CD">
      <w:pPr>
        <w:ind w:firstLine="709"/>
        <w:jc w:val="both"/>
        <w:rPr>
          <w:rFonts w:ascii="Arial" w:hAnsi="Arial" w:cs="Arial" w:eastAsiaTheme="minorHAnsi"/>
          <w:sz w:val="19"/>
          <w:szCs w:val="19"/>
          <w:lang w:eastAsia="en-US"/>
        </w:rPr>
      </w:pPr>
      <w:r w:rsidRPr="00CC6288">
        <w:rPr>
          <w:rStyle w:val="Refdenotaalpie"/>
          <w:rFonts w:ascii="Arial" w:hAnsi="Arial" w:cs="Arial"/>
          <w:sz w:val="19"/>
          <w:szCs w:val="19"/>
        </w:rPr>
        <w:footnoteRef/>
      </w:r>
      <w:r w:rsidRPr="00CC6288">
        <w:rPr>
          <w:rFonts w:ascii="Arial" w:hAnsi="Arial" w:cs="Arial"/>
          <w:sz w:val="19"/>
          <w:szCs w:val="19"/>
        </w:rPr>
        <w:t xml:space="preserve"> </w:t>
      </w:r>
      <w:r w:rsidRPr="001B1614">
        <w:rPr>
          <w:rFonts w:ascii="Arial" w:hAnsi="Arial" w:cs="Arial" w:eastAsiaTheme="minorHAnsi"/>
          <w:sz w:val="19"/>
          <w:szCs w:val="19"/>
          <w:lang w:eastAsia="en-US"/>
        </w:rPr>
        <w:t>Consejo de Estado</w:t>
      </w:r>
      <w:r w:rsidR="00184964">
        <w:rPr>
          <w:rFonts w:ascii="Arial" w:hAnsi="Arial" w:cs="Arial" w:eastAsiaTheme="minorHAnsi"/>
          <w:sz w:val="19"/>
          <w:szCs w:val="19"/>
          <w:lang w:eastAsia="en-US"/>
        </w:rPr>
        <w:t>.</w:t>
      </w:r>
      <w:r w:rsidRPr="001B1614">
        <w:rPr>
          <w:rFonts w:ascii="Arial" w:hAnsi="Arial" w:cs="Arial" w:eastAsiaTheme="minorHAnsi"/>
          <w:sz w:val="19"/>
          <w:szCs w:val="19"/>
          <w:lang w:eastAsia="en-US"/>
        </w:rPr>
        <w:t xml:space="preserve"> </w:t>
      </w:r>
      <w:r w:rsidR="00184964">
        <w:rPr>
          <w:rFonts w:ascii="Arial" w:hAnsi="Arial" w:cs="Arial" w:eastAsiaTheme="minorHAnsi"/>
          <w:sz w:val="19"/>
          <w:szCs w:val="19"/>
          <w:lang w:eastAsia="en-US"/>
        </w:rPr>
        <w:t>Sección</w:t>
      </w:r>
      <w:r w:rsidRPr="001B1614">
        <w:rPr>
          <w:rFonts w:ascii="Arial" w:hAnsi="Arial" w:cs="Arial" w:eastAsiaTheme="minorHAnsi"/>
          <w:sz w:val="19"/>
          <w:szCs w:val="19"/>
          <w:lang w:eastAsia="en-US"/>
        </w:rPr>
        <w:t xml:space="preserve"> Tercera. </w:t>
      </w:r>
      <w:r w:rsidR="00184964">
        <w:rPr>
          <w:rFonts w:ascii="Arial" w:hAnsi="Arial" w:cs="Arial" w:eastAsiaTheme="minorHAnsi"/>
          <w:sz w:val="19"/>
          <w:szCs w:val="19"/>
          <w:lang w:eastAsia="en-US"/>
        </w:rPr>
        <w:t xml:space="preserve">Subsección B. Sentencia del </w:t>
      </w:r>
      <w:r w:rsidRPr="001B1614">
        <w:rPr>
          <w:rFonts w:ascii="Arial" w:hAnsi="Arial" w:cs="Arial" w:eastAsiaTheme="minorHAnsi"/>
          <w:sz w:val="19"/>
          <w:szCs w:val="19"/>
          <w:lang w:eastAsia="en-US"/>
        </w:rPr>
        <w:t>29 de marzo de 2012</w:t>
      </w:r>
      <w:r w:rsidR="00184964">
        <w:rPr>
          <w:rFonts w:ascii="Arial" w:hAnsi="Arial" w:cs="Arial" w:eastAsiaTheme="minorHAnsi"/>
          <w:sz w:val="19"/>
          <w:szCs w:val="19"/>
          <w:lang w:eastAsia="en-US"/>
        </w:rPr>
        <w:t>.</w:t>
      </w:r>
      <w:r w:rsidRPr="001B1614">
        <w:rPr>
          <w:rFonts w:ascii="Arial" w:hAnsi="Arial" w:cs="Arial" w:eastAsiaTheme="minorHAnsi"/>
          <w:sz w:val="19"/>
          <w:szCs w:val="19"/>
          <w:lang w:eastAsia="en-US"/>
        </w:rPr>
        <w:t xml:space="preserve"> </w:t>
      </w:r>
      <w:proofErr w:type="spellStart"/>
      <w:r w:rsidR="00184964">
        <w:rPr>
          <w:rFonts w:ascii="Arial" w:hAnsi="Arial" w:cs="Arial" w:eastAsiaTheme="minorHAnsi"/>
          <w:sz w:val="19"/>
          <w:szCs w:val="19"/>
          <w:lang w:eastAsia="en-US"/>
        </w:rPr>
        <w:t>Exp</w:t>
      </w:r>
      <w:proofErr w:type="spellEnd"/>
      <w:r w:rsidR="00184964">
        <w:rPr>
          <w:rFonts w:ascii="Arial" w:hAnsi="Arial" w:cs="Arial" w:eastAsiaTheme="minorHAnsi"/>
          <w:sz w:val="19"/>
          <w:szCs w:val="19"/>
          <w:lang w:eastAsia="en-US"/>
        </w:rPr>
        <w:t>.</w:t>
      </w:r>
      <w:r w:rsidRPr="001B1614">
        <w:rPr>
          <w:rFonts w:ascii="Arial" w:hAnsi="Arial" w:cs="Arial" w:eastAsiaTheme="minorHAnsi"/>
          <w:sz w:val="19"/>
          <w:szCs w:val="19"/>
          <w:lang w:eastAsia="en-US"/>
        </w:rPr>
        <w:t xml:space="preserve"> 25</w:t>
      </w:r>
      <w:r w:rsidR="00184964">
        <w:rPr>
          <w:rFonts w:ascii="Arial" w:hAnsi="Arial" w:cs="Arial" w:eastAsiaTheme="minorHAnsi"/>
          <w:sz w:val="19"/>
          <w:szCs w:val="19"/>
          <w:lang w:eastAsia="en-US"/>
        </w:rPr>
        <w:t>.</w:t>
      </w:r>
      <w:r w:rsidRPr="001B1614">
        <w:rPr>
          <w:rFonts w:ascii="Arial" w:hAnsi="Arial" w:cs="Arial" w:eastAsiaTheme="minorHAnsi"/>
          <w:sz w:val="19"/>
          <w:szCs w:val="19"/>
          <w:lang w:eastAsia="en-US"/>
        </w:rPr>
        <w:t>693</w:t>
      </w:r>
      <w:r w:rsidR="00184964">
        <w:rPr>
          <w:rFonts w:ascii="Arial" w:hAnsi="Arial" w:cs="Arial" w:eastAsiaTheme="minorHAnsi"/>
          <w:sz w:val="19"/>
          <w:szCs w:val="19"/>
          <w:lang w:eastAsia="en-US"/>
        </w:rPr>
        <w:t>.</w:t>
      </w:r>
      <w:r w:rsidRPr="001B1614">
        <w:rPr>
          <w:rFonts w:ascii="Arial" w:hAnsi="Arial" w:cs="Arial" w:eastAsiaTheme="minorHAnsi"/>
          <w:sz w:val="19"/>
          <w:szCs w:val="19"/>
          <w:lang w:eastAsia="en-US"/>
        </w:rPr>
        <w:t xml:space="preserve"> </w:t>
      </w:r>
      <w:r w:rsidR="00184964">
        <w:rPr>
          <w:rFonts w:ascii="Arial" w:hAnsi="Arial" w:cs="Arial" w:eastAsiaTheme="minorHAnsi"/>
          <w:sz w:val="19"/>
          <w:szCs w:val="19"/>
          <w:lang w:eastAsia="en-US"/>
        </w:rPr>
        <w:t xml:space="preserve">C.P. </w:t>
      </w:r>
      <w:r w:rsidRPr="001B1614">
        <w:rPr>
          <w:rFonts w:ascii="Arial" w:hAnsi="Arial" w:cs="Arial" w:eastAsiaTheme="minorHAnsi"/>
          <w:sz w:val="19"/>
          <w:szCs w:val="19"/>
          <w:lang w:eastAsia="en-US"/>
        </w:rPr>
        <w:t xml:space="preserve">Danilo Rojas </w:t>
      </w:r>
      <w:proofErr w:type="spellStart"/>
      <w:r w:rsidRPr="001B1614">
        <w:rPr>
          <w:rFonts w:ascii="Arial" w:hAnsi="Arial" w:cs="Arial" w:eastAsiaTheme="minorHAnsi"/>
          <w:sz w:val="19"/>
          <w:szCs w:val="19"/>
          <w:lang w:eastAsia="en-US"/>
        </w:rPr>
        <w:t>Betancourth</w:t>
      </w:r>
      <w:proofErr w:type="spellEnd"/>
      <w:r w:rsidR="00184964">
        <w:rPr>
          <w:rFonts w:ascii="Arial" w:hAnsi="Arial" w:cs="Arial" w:eastAsiaTheme="minorHAnsi"/>
          <w:sz w:val="19"/>
          <w:szCs w:val="19"/>
          <w:lang w:eastAsia="en-US"/>
        </w:rPr>
        <w:t>.</w:t>
      </w:r>
    </w:p>
    <w:p w:rsidRPr="00A352D4" w:rsidR="006A59D1" w:rsidRDefault="006A59D1" w14:paraId="7E649E35" w14:textId="7CA54C7B">
      <w:pPr>
        <w:pStyle w:val="Textonotapie"/>
        <w:rPr>
          <w:lang w:val="es-ES"/>
        </w:rPr>
      </w:pPr>
      <w:r>
        <w:rPr>
          <w:lang w:val="es-ES"/>
        </w:rPr>
        <w:t xml:space="preserve"> </w:t>
      </w:r>
    </w:p>
  </w:footnote>
  <w:footnote w:id="8">
    <w:p w:rsidRPr="00235A69" w:rsidR="00235A69" w:rsidP="00235A69" w:rsidRDefault="00235A69" w14:paraId="60E0263A" w14:textId="603CF47C">
      <w:pPr>
        <w:pStyle w:val="Textonotapie"/>
        <w:ind w:firstLine="709"/>
        <w:rPr>
          <w:rFonts w:ascii="Arial" w:hAnsi="Arial" w:cs="Arial"/>
          <w:color w:val="000000" w:themeColor="text1"/>
          <w:sz w:val="19"/>
          <w:szCs w:val="19"/>
        </w:rPr>
      </w:pPr>
      <w:r w:rsidRPr="00235A69">
        <w:rPr>
          <w:rStyle w:val="Refdenotaalpie"/>
          <w:rFonts w:ascii="Arial" w:hAnsi="Arial" w:cs="Arial"/>
          <w:sz w:val="19"/>
          <w:szCs w:val="19"/>
        </w:rPr>
        <w:footnoteRef/>
      </w:r>
      <w:r w:rsidRPr="00235A69">
        <w:rPr>
          <w:rFonts w:ascii="Arial" w:hAnsi="Arial" w:cs="Arial"/>
          <w:sz w:val="19"/>
          <w:szCs w:val="19"/>
        </w:rPr>
        <w:t xml:space="preserve"> </w:t>
      </w:r>
      <w:r>
        <w:rPr>
          <w:rFonts w:ascii="Arial" w:hAnsi="Arial" w:cs="Arial"/>
          <w:lang w:val="es-ES"/>
        </w:rPr>
        <w:t xml:space="preserve">Así lo establece </w:t>
      </w:r>
      <w:proofErr w:type="gramStart"/>
      <w:r>
        <w:rPr>
          <w:rFonts w:ascii="Arial" w:hAnsi="Arial" w:cs="Arial"/>
          <w:lang w:val="es-ES"/>
        </w:rPr>
        <w:t xml:space="preserve">el  </w:t>
      </w:r>
      <w:r w:rsidRPr="0091353E">
        <w:rPr>
          <w:rFonts w:ascii="Arial" w:hAnsi="Arial" w:cs="Arial"/>
          <w:color w:val="000000" w:themeColor="text1"/>
          <w:sz w:val="19"/>
          <w:szCs w:val="19"/>
        </w:rPr>
        <w:t>«</w:t>
      </w:r>
      <w:proofErr w:type="gramEnd"/>
      <w:r>
        <w:rPr>
          <w:rFonts w:ascii="Arial" w:hAnsi="Arial" w:cs="Arial"/>
          <w:lang w:val="es-ES"/>
        </w:rPr>
        <w:t>documento base</w:t>
      </w:r>
      <w:r w:rsidRPr="0091353E">
        <w:rPr>
          <w:rFonts w:ascii="Arial" w:hAnsi="Arial" w:cs="Arial"/>
          <w:color w:val="000000" w:themeColor="text1"/>
          <w:sz w:val="19"/>
          <w:szCs w:val="19"/>
        </w:rPr>
        <w:t>»</w:t>
      </w:r>
      <w:r>
        <w:rPr>
          <w:rFonts w:ascii="Arial" w:hAnsi="Arial" w:cs="Arial"/>
          <w:color w:val="000000" w:themeColor="text1"/>
          <w:sz w:val="19"/>
          <w:szCs w:val="19"/>
        </w:rPr>
        <w:t xml:space="preserve"> o </w:t>
      </w:r>
      <w:r w:rsidRPr="0091353E">
        <w:rPr>
          <w:rFonts w:ascii="Arial" w:hAnsi="Arial" w:cs="Arial"/>
          <w:color w:val="000000" w:themeColor="text1"/>
          <w:sz w:val="19"/>
          <w:szCs w:val="19"/>
        </w:rPr>
        <w:t>«</w:t>
      </w:r>
      <w:r>
        <w:rPr>
          <w:rFonts w:ascii="Arial" w:hAnsi="Arial" w:cs="Arial"/>
          <w:color w:val="000000" w:themeColor="text1"/>
          <w:sz w:val="19"/>
          <w:szCs w:val="19"/>
        </w:rPr>
        <w:t>pliego tipo</w:t>
      </w:r>
      <w:r w:rsidRPr="0091353E">
        <w:rPr>
          <w:rFonts w:ascii="Arial" w:hAnsi="Arial" w:cs="Arial"/>
          <w:color w:val="000000" w:themeColor="text1"/>
          <w:sz w:val="19"/>
          <w:szCs w:val="19"/>
        </w:rPr>
        <w:t>»</w:t>
      </w:r>
      <w:r>
        <w:rPr>
          <w:rFonts w:ascii="Arial" w:hAnsi="Arial" w:cs="Arial"/>
          <w:color w:val="000000" w:themeColor="text1"/>
          <w:sz w:val="19"/>
          <w:szCs w:val="19"/>
        </w:rPr>
        <w:t xml:space="preserve"> versión 2 en su introducción, los cuales fueron actualizados mediante Resolución 0045 del 14 de febrero de 2020. </w:t>
      </w:r>
    </w:p>
  </w:footnote>
  <w:footnote w:id="9">
    <w:p w:rsidRPr="0091353E" w:rsidR="006A59D1" w:rsidP="001D4627" w:rsidRDefault="006A59D1" w14:paraId="6C7F3269" w14:textId="77777777">
      <w:pPr>
        <w:pStyle w:val="Textonotapie"/>
        <w:ind w:firstLine="709"/>
        <w:jc w:val="both"/>
        <w:rPr>
          <w:rFonts w:ascii="Arial" w:hAnsi="Arial" w:cs="Arial"/>
          <w:color w:val="000000" w:themeColor="text1"/>
          <w:sz w:val="19"/>
          <w:szCs w:val="19"/>
        </w:rPr>
      </w:pPr>
      <w:r w:rsidRPr="0091353E">
        <w:rPr>
          <w:rStyle w:val="Refdenotaalpie"/>
          <w:rFonts w:ascii="Arial" w:hAnsi="Arial" w:cs="Arial"/>
          <w:color w:val="000000" w:themeColor="text1"/>
          <w:sz w:val="19"/>
          <w:szCs w:val="19"/>
        </w:rPr>
        <w:footnoteRef/>
      </w:r>
      <w:r w:rsidRPr="0091353E">
        <w:rPr>
          <w:rFonts w:ascii="Arial" w:hAnsi="Arial" w:cs="Arial"/>
          <w:color w:val="000000" w:themeColor="text1"/>
          <w:sz w:val="19"/>
          <w:szCs w:val="19"/>
        </w:rPr>
        <w:t xml:space="preserve"> Ley 1150 de 2007: «Artículo 8. De la publicación de proyectos de pliegos de condiciones, y estudios previos. Con el propósito de suministrar al público en general la información que le permita formular observaciones a su contenido, las entidades publicarán los proyectos de pliegos de condiciones o sus equivalentes, en las condiciones que señale el reglamento. La información publicada debe ser veraz, responsable, ecuánime, suficiente y oportuna.</w:t>
      </w:r>
    </w:p>
    <w:p w:rsidRPr="0091353E" w:rsidR="006A59D1" w:rsidP="001D4627" w:rsidRDefault="006A59D1" w14:paraId="66BDE140" w14:textId="77777777">
      <w:pPr>
        <w:pStyle w:val="Textonotapie"/>
        <w:ind w:firstLine="709"/>
        <w:jc w:val="both"/>
        <w:rPr>
          <w:rFonts w:ascii="Arial" w:hAnsi="Arial" w:cs="Arial"/>
          <w:color w:val="000000" w:themeColor="text1"/>
          <w:sz w:val="19"/>
          <w:szCs w:val="19"/>
        </w:rPr>
      </w:pPr>
      <w:r w:rsidRPr="0091353E">
        <w:rPr>
          <w:rFonts w:ascii="Arial" w:hAnsi="Arial" w:cs="Arial"/>
          <w:color w:val="000000" w:themeColor="text1"/>
          <w:sz w:val="19"/>
          <w:szCs w:val="19"/>
        </w:rPr>
        <w:t>[…]</w:t>
      </w:r>
    </w:p>
    <w:p w:rsidRPr="0091353E" w:rsidR="006A59D1" w:rsidP="001D4627" w:rsidRDefault="006A59D1" w14:paraId="1D773EE0" w14:textId="77777777">
      <w:pPr>
        <w:pStyle w:val="Textonotapie"/>
        <w:ind w:firstLine="709"/>
        <w:jc w:val="both"/>
        <w:rPr>
          <w:rFonts w:ascii="Arial" w:hAnsi="Arial" w:cs="Arial"/>
          <w:color w:val="000000" w:themeColor="text1"/>
          <w:sz w:val="19"/>
          <w:szCs w:val="19"/>
        </w:rPr>
      </w:pPr>
      <w:proofErr w:type="gramStart"/>
      <w:r w:rsidRPr="0091353E">
        <w:rPr>
          <w:rFonts w:ascii="Arial" w:hAnsi="Arial" w:cs="Arial"/>
          <w:color w:val="000000" w:themeColor="text1"/>
          <w:sz w:val="19"/>
          <w:szCs w:val="19"/>
        </w:rPr>
        <w:t>»Junto</w:t>
      </w:r>
      <w:proofErr w:type="gramEnd"/>
      <w:r w:rsidRPr="0091353E">
        <w:rPr>
          <w:rFonts w:ascii="Arial" w:hAnsi="Arial" w:cs="Arial"/>
          <w:color w:val="000000" w:themeColor="text1"/>
          <w:sz w:val="19"/>
          <w:szCs w:val="19"/>
        </w:rPr>
        <w:t xml:space="preserve"> con los proyectos de pliegos de condiciones se publicarán los estudios y documentos previos que sirvieron de base para su elaboración.</w:t>
      </w:r>
    </w:p>
    <w:p w:rsidRPr="0091353E" w:rsidR="006A59D1" w:rsidP="001D4627" w:rsidRDefault="006A59D1" w14:paraId="02B3DD10" w14:textId="77777777">
      <w:pPr>
        <w:pStyle w:val="Textonotapie"/>
        <w:ind w:firstLine="709"/>
        <w:jc w:val="both"/>
        <w:rPr>
          <w:rFonts w:ascii="Arial" w:hAnsi="Arial" w:cs="Arial"/>
          <w:color w:val="000000" w:themeColor="text1"/>
          <w:sz w:val="19"/>
          <w:szCs w:val="19"/>
        </w:rPr>
      </w:pPr>
      <w:proofErr w:type="gramStart"/>
      <w:r w:rsidRPr="0091353E">
        <w:rPr>
          <w:rFonts w:ascii="Arial" w:hAnsi="Arial" w:cs="Arial"/>
          <w:color w:val="000000" w:themeColor="text1"/>
          <w:sz w:val="19"/>
          <w:szCs w:val="19"/>
        </w:rPr>
        <w:t>»Las</w:t>
      </w:r>
      <w:proofErr w:type="gramEnd"/>
      <w:r w:rsidRPr="0091353E">
        <w:rPr>
          <w:rFonts w:ascii="Arial" w:hAnsi="Arial" w:cs="Arial"/>
          <w:color w:val="000000" w:themeColor="text1"/>
          <w:sz w:val="19"/>
          <w:szCs w:val="19"/>
        </w:rPr>
        <w:t xml:space="preserve"> Entidades deberán publicar las razones por las cuales se acogen o rechazan las observaciones a los proyectos de pliegos».</w:t>
      </w:r>
    </w:p>
    <w:p w:rsidRPr="0091353E" w:rsidR="006A59D1" w:rsidP="001D4627" w:rsidRDefault="006A59D1" w14:paraId="49345F71" w14:textId="77777777">
      <w:pPr>
        <w:pStyle w:val="Textonotapie"/>
        <w:ind w:firstLine="709"/>
        <w:jc w:val="both"/>
        <w:rPr>
          <w:rFonts w:ascii="Arial" w:hAnsi="Arial" w:cs="Arial"/>
          <w:color w:val="000000" w:themeColor="text1"/>
          <w:sz w:val="19"/>
          <w:szCs w:val="19"/>
        </w:rPr>
      </w:pPr>
    </w:p>
  </w:footnote>
  <w:footnote w:id="10">
    <w:p w:rsidRPr="0091353E" w:rsidR="006A59D1" w:rsidP="001D4627" w:rsidRDefault="006A59D1" w14:paraId="793E4778" w14:textId="77777777">
      <w:pPr>
        <w:pStyle w:val="Textonotapie"/>
        <w:ind w:firstLine="709"/>
        <w:jc w:val="both"/>
        <w:rPr>
          <w:rFonts w:ascii="Arial" w:hAnsi="Arial" w:cs="Arial"/>
          <w:color w:val="000000" w:themeColor="text1"/>
          <w:sz w:val="19"/>
          <w:szCs w:val="19"/>
        </w:rPr>
      </w:pPr>
      <w:r w:rsidRPr="0091353E">
        <w:rPr>
          <w:rStyle w:val="Refdenotaalpie"/>
          <w:rFonts w:ascii="Arial" w:hAnsi="Arial" w:cs="Arial"/>
          <w:color w:val="000000" w:themeColor="text1"/>
          <w:sz w:val="19"/>
          <w:szCs w:val="19"/>
        </w:rPr>
        <w:footnoteRef/>
      </w:r>
      <w:r w:rsidRPr="0091353E">
        <w:rPr>
          <w:rFonts w:ascii="Arial" w:hAnsi="Arial" w:cs="Arial"/>
          <w:color w:val="000000" w:themeColor="text1"/>
          <w:sz w:val="19"/>
          <w:szCs w:val="19"/>
        </w:rPr>
        <w:t xml:space="preserve"> Ley 80 de 1993: «Artículo 30. De la estructura de los procedimientos de selección. La licitación se efectuará conforme a las siguientes reglas:</w:t>
      </w:r>
    </w:p>
    <w:p w:rsidRPr="0091353E" w:rsidR="006A59D1" w:rsidP="001D4627" w:rsidRDefault="006A59D1" w14:paraId="6548BA22" w14:textId="77777777">
      <w:pPr>
        <w:pStyle w:val="Textonotapie"/>
        <w:ind w:firstLine="709"/>
        <w:jc w:val="both"/>
        <w:rPr>
          <w:rFonts w:ascii="Arial" w:hAnsi="Arial" w:cs="Arial"/>
          <w:color w:val="000000" w:themeColor="text1"/>
          <w:sz w:val="19"/>
          <w:szCs w:val="19"/>
        </w:rPr>
      </w:pPr>
      <w:r w:rsidRPr="0091353E">
        <w:rPr>
          <w:rFonts w:ascii="Arial" w:hAnsi="Arial" w:cs="Arial"/>
          <w:color w:val="000000" w:themeColor="text1"/>
          <w:sz w:val="19"/>
          <w:szCs w:val="19"/>
        </w:rPr>
        <w:t>[…]</w:t>
      </w:r>
    </w:p>
    <w:p w:rsidRPr="0091353E" w:rsidR="006A59D1" w:rsidP="001D4627" w:rsidRDefault="006A59D1" w14:paraId="321987CA" w14:textId="77777777">
      <w:pPr>
        <w:pStyle w:val="Textonotapie"/>
        <w:ind w:firstLine="709"/>
        <w:jc w:val="both"/>
        <w:rPr>
          <w:rFonts w:ascii="Arial" w:hAnsi="Arial" w:cs="Arial"/>
          <w:color w:val="000000" w:themeColor="text1"/>
          <w:sz w:val="19"/>
          <w:szCs w:val="19"/>
        </w:rPr>
      </w:pPr>
      <w:proofErr w:type="gramStart"/>
      <w:r w:rsidRPr="0091353E">
        <w:rPr>
          <w:rFonts w:ascii="Arial" w:hAnsi="Arial" w:cs="Arial"/>
          <w:color w:val="000000" w:themeColor="text1"/>
          <w:sz w:val="19"/>
          <w:szCs w:val="19"/>
        </w:rPr>
        <w:t>»4º.</w:t>
      </w:r>
      <w:proofErr w:type="gramEnd"/>
      <w:r w:rsidRPr="0091353E">
        <w:rPr>
          <w:rFonts w:ascii="Arial" w:hAnsi="Arial" w:cs="Arial"/>
          <w:color w:val="000000" w:themeColor="text1"/>
          <w:sz w:val="19"/>
          <w:szCs w:val="19"/>
        </w:rPr>
        <w:t xml:space="preserve"> Dentro de los tres (3) días hábiles siguientes al inicio del plazo para </w:t>
      </w:r>
      <w:proofErr w:type="spellStart"/>
      <w:r w:rsidRPr="0091353E">
        <w:rPr>
          <w:rFonts w:ascii="Arial" w:hAnsi="Arial" w:cs="Arial"/>
          <w:color w:val="000000" w:themeColor="text1"/>
          <w:sz w:val="19"/>
          <w:szCs w:val="19"/>
        </w:rPr>
        <w:t>Ia</w:t>
      </w:r>
      <w:proofErr w:type="spellEnd"/>
      <w:r w:rsidRPr="0091353E">
        <w:rPr>
          <w:rFonts w:ascii="Arial" w:hAnsi="Arial" w:cs="Arial"/>
          <w:color w:val="000000" w:themeColor="text1"/>
          <w:sz w:val="19"/>
          <w:szCs w:val="19"/>
        </w:rPr>
        <w:t xml:space="preserve"> presentación de propuestas y a solicitud de cualquiera de las personas interesadas en el proceso se celebrará una audiencia con el objeto de precisar el contenido y alcance de los pliegos de condiciones, de lo cual se levantará un acta suscrita por los intervinientes. En </w:t>
      </w:r>
      <w:proofErr w:type="spellStart"/>
      <w:r w:rsidRPr="0091353E">
        <w:rPr>
          <w:rFonts w:ascii="Arial" w:hAnsi="Arial" w:cs="Arial"/>
          <w:color w:val="000000" w:themeColor="text1"/>
          <w:sz w:val="19"/>
          <w:szCs w:val="19"/>
        </w:rPr>
        <w:t>Ia</w:t>
      </w:r>
      <w:proofErr w:type="spellEnd"/>
      <w:r w:rsidRPr="0091353E">
        <w:rPr>
          <w:rFonts w:ascii="Arial" w:hAnsi="Arial" w:cs="Arial"/>
          <w:color w:val="000000" w:themeColor="text1"/>
          <w:sz w:val="19"/>
          <w:szCs w:val="19"/>
        </w:rPr>
        <w:t xml:space="preserve"> misma audiencia se revisará </w:t>
      </w:r>
      <w:proofErr w:type="spellStart"/>
      <w:r w:rsidRPr="0091353E">
        <w:rPr>
          <w:rFonts w:ascii="Arial" w:hAnsi="Arial" w:cs="Arial"/>
          <w:color w:val="000000" w:themeColor="text1"/>
          <w:sz w:val="19"/>
          <w:szCs w:val="19"/>
        </w:rPr>
        <w:t>Ia</w:t>
      </w:r>
      <w:proofErr w:type="spellEnd"/>
      <w:r w:rsidRPr="0091353E">
        <w:rPr>
          <w:rFonts w:ascii="Arial" w:hAnsi="Arial" w:cs="Arial"/>
          <w:color w:val="000000" w:themeColor="text1"/>
          <w:sz w:val="19"/>
          <w:szCs w:val="19"/>
        </w:rPr>
        <w:t xml:space="preserve"> asignación de riesgos que trata el artículo 4 de </w:t>
      </w:r>
      <w:proofErr w:type="spellStart"/>
      <w:r w:rsidRPr="0091353E">
        <w:rPr>
          <w:rFonts w:ascii="Arial" w:hAnsi="Arial" w:cs="Arial"/>
          <w:color w:val="000000" w:themeColor="text1"/>
          <w:sz w:val="19"/>
          <w:szCs w:val="19"/>
        </w:rPr>
        <w:t>Ia</w:t>
      </w:r>
      <w:proofErr w:type="spellEnd"/>
      <w:r w:rsidRPr="0091353E">
        <w:rPr>
          <w:rFonts w:ascii="Arial" w:hAnsi="Arial" w:cs="Arial"/>
          <w:color w:val="000000" w:themeColor="text1"/>
          <w:sz w:val="19"/>
          <w:szCs w:val="19"/>
        </w:rPr>
        <w:t xml:space="preserve"> Ley 1150 de 2007 con el fin de establecer su tipificación, estimación y asignación definitiva».</w:t>
      </w:r>
    </w:p>
    <w:p w:rsidRPr="0091353E" w:rsidR="006A59D1" w:rsidP="001D4627" w:rsidRDefault="006A59D1" w14:paraId="187B1745" w14:textId="77777777">
      <w:pPr>
        <w:pStyle w:val="Textonotapie"/>
        <w:ind w:firstLine="709"/>
        <w:jc w:val="both"/>
        <w:rPr>
          <w:rFonts w:ascii="Arial" w:hAnsi="Arial" w:cs="Arial"/>
          <w:color w:val="000000" w:themeColor="text1"/>
          <w:sz w:val="19"/>
          <w:szCs w:val="19"/>
        </w:rPr>
      </w:pPr>
    </w:p>
  </w:footnote>
  <w:footnote w:id="11">
    <w:p w:rsidRPr="0091353E" w:rsidR="006A59D1" w:rsidP="001D4627" w:rsidRDefault="006A59D1" w14:paraId="4021536A" w14:textId="77777777">
      <w:pPr>
        <w:pStyle w:val="Textonotapie"/>
        <w:ind w:firstLine="709"/>
        <w:jc w:val="both"/>
        <w:rPr>
          <w:rFonts w:ascii="Arial" w:hAnsi="Arial" w:cs="Arial"/>
          <w:color w:val="000000" w:themeColor="text1"/>
          <w:sz w:val="19"/>
          <w:szCs w:val="19"/>
        </w:rPr>
      </w:pPr>
      <w:r w:rsidRPr="0091353E">
        <w:rPr>
          <w:rStyle w:val="Refdenotaalpie"/>
          <w:rFonts w:ascii="Arial" w:hAnsi="Arial" w:cs="Arial"/>
          <w:color w:val="000000" w:themeColor="text1"/>
          <w:sz w:val="19"/>
          <w:szCs w:val="19"/>
        </w:rPr>
        <w:footnoteRef/>
      </w:r>
      <w:r w:rsidRPr="0091353E">
        <w:rPr>
          <w:rFonts w:ascii="Arial" w:hAnsi="Arial" w:cs="Arial"/>
          <w:color w:val="000000" w:themeColor="text1"/>
          <w:sz w:val="19"/>
          <w:szCs w:val="19"/>
        </w:rPr>
        <w:t xml:space="preserve"> Ley 80 de 1993: «Artículo 30. De la estructura de los procedimientos de selección. La licitación se efectuará conforme a las siguientes reglas:</w:t>
      </w:r>
    </w:p>
    <w:p w:rsidRPr="0091353E" w:rsidR="006A59D1" w:rsidP="001D4627" w:rsidRDefault="006A59D1" w14:paraId="5989DDE0" w14:textId="77777777">
      <w:pPr>
        <w:pStyle w:val="Textonotapie"/>
        <w:ind w:firstLine="709"/>
        <w:jc w:val="both"/>
        <w:rPr>
          <w:rFonts w:ascii="Arial" w:hAnsi="Arial" w:cs="Arial"/>
          <w:color w:val="000000" w:themeColor="text1"/>
          <w:sz w:val="19"/>
          <w:szCs w:val="19"/>
        </w:rPr>
      </w:pPr>
      <w:r w:rsidRPr="0091353E">
        <w:rPr>
          <w:rFonts w:ascii="Arial" w:hAnsi="Arial" w:cs="Arial"/>
          <w:color w:val="000000" w:themeColor="text1"/>
          <w:sz w:val="19"/>
          <w:szCs w:val="19"/>
        </w:rPr>
        <w:t>[…]</w:t>
      </w:r>
    </w:p>
    <w:p w:rsidR="006A59D1" w:rsidP="001D4627" w:rsidRDefault="006A59D1" w14:paraId="1911C873" w14:textId="0C10AE3E">
      <w:pPr>
        <w:pStyle w:val="Textonotapie"/>
        <w:ind w:firstLine="709"/>
        <w:jc w:val="both"/>
        <w:rPr>
          <w:rFonts w:ascii="Arial" w:hAnsi="Arial" w:cs="Arial"/>
          <w:color w:val="000000" w:themeColor="text1"/>
          <w:sz w:val="19"/>
          <w:szCs w:val="19"/>
        </w:rPr>
      </w:pPr>
      <w:r w:rsidRPr="0091353E">
        <w:rPr>
          <w:rFonts w:ascii="Arial" w:hAnsi="Arial" w:cs="Arial"/>
          <w:color w:val="000000" w:themeColor="text1"/>
          <w:sz w:val="19"/>
          <w:szCs w:val="19"/>
        </w:rPr>
        <w:t>»6º. Las propuestas deben referirse y sujetarse a todos y cada uno de los puntos contenidos en el pliego de condiciones».</w:t>
      </w:r>
    </w:p>
    <w:p w:rsidRPr="0091353E" w:rsidR="0064138C" w:rsidP="001D4627" w:rsidRDefault="0064138C" w14:paraId="76F92F0D" w14:textId="77777777">
      <w:pPr>
        <w:pStyle w:val="Textonotapie"/>
        <w:ind w:firstLine="709"/>
        <w:jc w:val="both"/>
        <w:rPr>
          <w:rFonts w:ascii="Arial" w:hAnsi="Arial" w:cs="Arial"/>
          <w:color w:val="000000" w:themeColor="text1"/>
          <w:sz w:val="19"/>
          <w:szCs w:val="19"/>
        </w:rPr>
      </w:pPr>
    </w:p>
  </w:footnote>
  <w:footnote w:id="12">
    <w:p w:rsidRPr="0091353E" w:rsidR="006A59D1" w:rsidP="001D4627" w:rsidRDefault="006A59D1" w14:paraId="5A4390BC" w14:textId="77777777">
      <w:pPr>
        <w:pStyle w:val="Textonotapie"/>
        <w:ind w:firstLine="709"/>
        <w:jc w:val="both"/>
        <w:rPr>
          <w:rFonts w:ascii="Arial" w:hAnsi="Arial" w:cs="Arial"/>
          <w:color w:val="000000" w:themeColor="text1"/>
          <w:sz w:val="19"/>
          <w:szCs w:val="19"/>
        </w:rPr>
      </w:pPr>
      <w:r w:rsidRPr="0091353E">
        <w:rPr>
          <w:rStyle w:val="Refdenotaalpie"/>
          <w:rFonts w:ascii="Arial" w:hAnsi="Arial" w:cs="Arial"/>
          <w:color w:val="000000" w:themeColor="text1"/>
          <w:sz w:val="19"/>
          <w:szCs w:val="19"/>
        </w:rPr>
        <w:footnoteRef/>
      </w:r>
      <w:r w:rsidRPr="0091353E">
        <w:rPr>
          <w:rFonts w:ascii="Arial" w:hAnsi="Arial" w:cs="Arial"/>
          <w:color w:val="000000" w:themeColor="text1"/>
          <w:sz w:val="19"/>
          <w:szCs w:val="19"/>
        </w:rPr>
        <w:t xml:space="preserve"> Ley 80 de 1993: «Artículo 30. De la estructura de los procedimientos de selección. La licitación se efectuará conforme a las siguientes reglas:</w:t>
      </w:r>
    </w:p>
    <w:p w:rsidRPr="0091353E" w:rsidR="006A59D1" w:rsidP="001D4627" w:rsidRDefault="006A59D1" w14:paraId="6D145589" w14:textId="77777777">
      <w:pPr>
        <w:pStyle w:val="Textonotapie"/>
        <w:ind w:firstLine="709"/>
        <w:jc w:val="both"/>
        <w:rPr>
          <w:rFonts w:ascii="Arial" w:hAnsi="Arial" w:cs="Arial"/>
          <w:color w:val="000000" w:themeColor="text1"/>
          <w:sz w:val="19"/>
          <w:szCs w:val="19"/>
        </w:rPr>
      </w:pPr>
      <w:r w:rsidRPr="0091353E">
        <w:rPr>
          <w:rFonts w:ascii="Arial" w:hAnsi="Arial" w:cs="Arial"/>
          <w:color w:val="000000" w:themeColor="text1"/>
          <w:sz w:val="19"/>
          <w:szCs w:val="19"/>
        </w:rPr>
        <w:t>[…]</w:t>
      </w:r>
    </w:p>
    <w:p w:rsidRPr="0091353E" w:rsidR="006A59D1" w:rsidP="001D4627" w:rsidRDefault="006A59D1" w14:paraId="40224F6C" w14:textId="77777777">
      <w:pPr>
        <w:pStyle w:val="Textonotapie"/>
        <w:ind w:firstLine="709"/>
        <w:jc w:val="both"/>
        <w:rPr>
          <w:rFonts w:ascii="Arial" w:hAnsi="Arial" w:cs="Arial"/>
          <w:color w:val="000000" w:themeColor="text1"/>
          <w:sz w:val="19"/>
          <w:szCs w:val="19"/>
        </w:rPr>
      </w:pPr>
      <w:r w:rsidRPr="0091353E">
        <w:rPr>
          <w:rFonts w:ascii="Arial" w:hAnsi="Arial" w:cs="Arial"/>
          <w:color w:val="000000" w:themeColor="text1"/>
          <w:sz w:val="19"/>
          <w:szCs w:val="19"/>
        </w:rPr>
        <w:t>»8º.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p w:rsidRPr="0091353E" w:rsidR="006A59D1" w:rsidP="001D4627" w:rsidRDefault="006A59D1" w14:paraId="7F4DB660" w14:textId="77777777">
      <w:pPr>
        <w:pStyle w:val="Textonotapie"/>
        <w:jc w:val="both"/>
        <w:rPr>
          <w:rFonts w:ascii="Arial" w:hAnsi="Arial" w:cs="Arial"/>
          <w:color w:val="000000" w:themeColor="text1"/>
          <w:sz w:val="19"/>
          <w:szCs w:val="19"/>
        </w:rPr>
      </w:pPr>
    </w:p>
  </w:footnote>
  <w:footnote w:id="13">
    <w:p w:rsidRPr="0091353E" w:rsidR="006A59D1" w:rsidP="001D4627" w:rsidRDefault="006A59D1" w14:paraId="635A8067" w14:textId="77777777">
      <w:pPr>
        <w:pStyle w:val="Textonotapie"/>
        <w:ind w:firstLine="709"/>
        <w:jc w:val="both"/>
        <w:rPr>
          <w:rFonts w:ascii="Arial" w:hAnsi="Arial" w:cs="Arial"/>
          <w:color w:val="000000" w:themeColor="text1"/>
          <w:sz w:val="19"/>
          <w:szCs w:val="19"/>
        </w:rPr>
      </w:pPr>
      <w:r w:rsidRPr="0091353E">
        <w:rPr>
          <w:rStyle w:val="Refdenotaalpie"/>
          <w:rFonts w:ascii="Arial" w:hAnsi="Arial" w:cs="Arial"/>
          <w:color w:val="000000" w:themeColor="text1"/>
          <w:sz w:val="19"/>
          <w:szCs w:val="19"/>
        </w:rPr>
        <w:footnoteRef/>
      </w:r>
      <w:r w:rsidRPr="0091353E">
        <w:rPr>
          <w:rFonts w:ascii="Arial" w:hAnsi="Arial" w:cs="Arial"/>
          <w:color w:val="000000" w:themeColor="text1"/>
          <w:sz w:val="19"/>
          <w:szCs w:val="19"/>
        </w:rPr>
        <w:t xml:space="preserve"> Decreto 1082 de 2015: «Artículo 2.2.1.2.1.2.20. Procedimiento para la selección abreviada de menor cuantía. Además de las normas generales establecidas en el presente título, las siguientes reglas son aplicables a la selección abreviada de menor cuantía: </w:t>
      </w:r>
    </w:p>
    <w:p w:rsidRPr="0091353E" w:rsidR="006A59D1" w:rsidP="001D4627" w:rsidRDefault="006A59D1" w14:paraId="21FCCF41" w14:textId="77777777">
      <w:pPr>
        <w:pStyle w:val="Textonotapie"/>
        <w:ind w:firstLine="709"/>
        <w:jc w:val="both"/>
        <w:rPr>
          <w:rFonts w:ascii="Arial" w:hAnsi="Arial" w:cs="Arial"/>
          <w:color w:val="000000" w:themeColor="text1"/>
          <w:sz w:val="19"/>
          <w:szCs w:val="19"/>
        </w:rPr>
      </w:pPr>
      <w:r w:rsidRPr="0091353E">
        <w:rPr>
          <w:rFonts w:ascii="Arial" w:hAnsi="Arial" w:cs="Arial"/>
          <w:color w:val="000000" w:themeColor="text1"/>
          <w:sz w:val="19"/>
          <w:szCs w:val="19"/>
        </w:rPr>
        <w:t>[…]</w:t>
      </w:r>
    </w:p>
    <w:p w:rsidRPr="0091353E" w:rsidR="006A59D1" w:rsidP="001D4627" w:rsidRDefault="006A59D1" w14:paraId="7AA7B04D" w14:textId="77777777">
      <w:pPr>
        <w:pStyle w:val="Textonotapie"/>
        <w:ind w:firstLine="709"/>
        <w:jc w:val="both"/>
        <w:rPr>
          <w:rFonts w:ascii="Arial" w:hAnsi="Arial" w:cs="Arial"/>
          <w:color w:val="000000" w:themeColor="text1"/>
          <w:sz w:val="19"/>
          <w:szCs w:val="19"/>
        </w:rPr>
      </w:pPr>
      <w:r w:rsidRPr="0091353E">
        <w:rPr>
          <w:rFonts w:ascii="Arial" w:hAnsi="Arial" w:cs="Arial"/>
          <w:color w:val="000000" w:themeColor="text1"/>
          <w:sz w:val="19"/>
          <w:szCs w:val="19"/>
        </w:rPr>
        <w:t>»4. La Entidad Estatal debe publicar el informe de evaluación de ofertas durante tres (3) días hábiles».</w:t>
      </w:r>
    </w:p>
    <w:p w:rsidRPr="0091353E" w:rsidR="006A59D1" w:rsidP="001D4627" w:rsidRDefault="006A59D1" w14:paraId="0E2362F3" w14:textId="77777777">
      <w:pPr>
        <w:pStyle w:val="Textonotapie"/>
        <w:ind w:firstLine="709"/>
        <w:jc w:val="both"/>
        <w:rPr>
          <w:rFonts w:ascii="Arial" w:hAnsi="Arial" w:cs="Arial"/>
          <w:color w:val="000000" w:themeColor="text1"/>
          <w:sz w:val="19"/>
          <w:szCs w:val="19"/>
        </w:rPr>
      </w:pPr>
    </w:p>
    <w:p w:rsidRPr="0091353E" w:rsidR="006A59D1" w:rsidP="001D4627" w:rsidRDefault="006A59D1" w14:paraId="7E97CA2F" w14:textId="77777777">
      <w:pPr>
        <w:pStyle w:val="Textonotapie"/>
        <w:ind w:firstLine="709"/>
        <w:jc w:val="both"/>
        <w:rPr>
          <w:rFonts w:ascii="Arial" w:hAnsi="Arial" w:cs="Arial"/>
          <w:color w:val="000000" w:themeColor="text1"/>
          <w:sz w:val="19"/>
          <w:szCs w:val="19"/>
        </w:rPr>
      </w:pPr>
      <w:r w:rsidRPr="0091353E">
        <w:rPr>
          <w:rFonts w:ascii="Arial" w:hAnsi="Arial" w:cs="Arial"/>
          <w:color w:val="000000" w:themeColor="text1"/>
          <w:sz w:val="19"/>
          <w:szCs w:val="19"/>
        </w:rPr>
        <w:t>«Artículo 2.2.1.2.1.3.2. Procedimiento del concurso de méritos. Además de las reglas generales previstas en la ley y en el presente título, las siguientes reglas son aplicables al concurso de méritos abierto o con precalificación:</w:t>
      </w:r>
    </w:p>
    <w:p w:rsidRPr="0091353E" w:rsidR="006A59D1" w:rsidP="001D4627" w:rsidRDefault="006A59D1" w14:paraId="203458F9" w14:textId="77777777">
      <w:pPr>
        <w:pStyle w:val="Textonotapie"/>
        <w:ind w:firstLine="709"/>
        <w:jc w:val="both"/>
        <w:rPr>
          <w:rFonts w:ascii="Arial" w:hAnsi="Arial" w:cs="Arial"/>
          <w:color w:val="000000" w:themeColor="text1"/>
          <w:sz w:val="19"/>
          <w:szCs w:val="19"/>
        </w:rPr>
      </w:pPr>
      <w:r w:rsidRPr="0091353E">
        <w:rPr>
          <w:rFonts w:ascii="Arial" w:hAnsi="Arial" w:cs="Arial"/>
          <w:color w:val="000000" w:themeColor="text1"/>
          <w:sz w:val="19"/>
          <w:szCs w:val="19"/>
        </w:rPr>
        <w:t>[…]</w:t>
      </w:r>
    </w:p>
    <w:p w:rsidRPr="0091353E" w:rsidR="006A59D1" w:rsidP="001D4627" w:rsidRDefault="006A59D1" w14:paraId="13461184" w14:textId="77777777">
      <w:pPr>
        <w:pStyle w:val="Textonotapie"/>
        <w:ind w:firstLine="709"/>
        <w:jc w:val="both"/>
        <w:rPr>
          <w:rFonts w:ascii="Arial" w:hAnsi="Arial" w:cs="Arial"/>
          <w:color w:val="000000" w:themeColor="text1"/>
          <w:sz w:val="19"/>
          <w:szCs w:val="19"/>
        </w:rPr>
      </w:pPr>
      <w:r w:rsidRPr="0091353E">
        <w:rPr>
          <w:rFonts w:ascii="Arial" w:hAnsi="Arial" w:cs="Arial"/>
          <w:color w:val="000000" w:themeColor="text1"/>
          <w:sz w:val="19"/>
          <w:szCs w:val="19"/>
        </w:rPr>
        <w:t>»2. La Entidad Estatal debe publicar durante tres (3) días hábiles el informe de evaluación, el cual debe contener la calificación técnica y el orden de elegibilidad».</w:t>
      </w:r>
    </w:p>
    <w:p w:rsidRPr="0091353E" w:rsidR="006A59D1" w:rsidP="001D4627" w:rsidRDefault="006A59D1" w14:paraId="021AAC41" w14:textId="77777777">
      <w:pPr>
        <w:pStyle w:val="Textonotapie"/>
        <w:ind w:firstLine="709"/>
        <w:jc w:val="both"/>
        <w:rPr>
          <w:rFonts w:ascii="Arial" w:hAnsi="Arial" w:cs="Arial"/>
          <w:color w:val="000000" w:themeColor="text1"/>
          <w:sz w:val="19"/>
          <w:szCs w:val="19"/>
        </w:rPr>
      </w:pPr>
    </w:p>
    <w:p w:rsidRPr="0091353E" w:rsidR="006A59D1" w:rsidP="001D4627" w:rsidRDefault="006A59D1" w14:paraId="544EEF09" w14:textId="77777777">
      <w:pPr>
        <w:pStyle w:val="Textonotapie"/>
        <w:ind w:firstLine="709"/>
        <w:jc w:val="both"/>
        <w:rPr>
          <w:rFonts w:ascii="Arial" w:hAnsi="Arial" w:cs="Arial"/>
          <w:color w:val="000000" w:themeColor="text1"/>
          <w:sz w:val="19"/>
          <w:szCs w:val="19"/>
        </w:rPr>
      </w:pPr>
      <w:r w:rsidRPr="0091353E">
        <w:rPr>
          <w:rFonts w:ascii="Arial" w:hAnsi="Arial" w:cs="Arial"/>
          <w:color w:val="000000" w:themeColor="text1"/>
          <w:sz w:val="19"/>
          <w:szCs w:val="19"/>
        </w:rPr>
        <w:t>«Artículo 2.2.1.2.1.5.2. Procedimiento para la contratación de mínima cuantía. Las siguientes reglas son aplicables a la contratación cuyo valor no excede del 10% de la menor cuantía de la Entidad Estatal, independientemente de su objeto:</w:t>
      </w:r>
    </w:p>
    <w:p w:rsidRPr="0091353E" w:rsidR="006A59D1" w:rsidP="001D4627" w:rsidRDefault="006A59D1" w14:paraId="733519AA" w14:textId="77777777">
      <w:pPr>
        <w:pStyle w:val="Textonotapie"/>
        <w:ind w:firstLine="709"/>
        <w:jc w:val="both"/>
        <w:rPr>
          <w:rFonts w:ascii="Arial" w:hAnsi="Arial" w:cs="Arial"/>
          <w:color w:val="000000" w:themeColor="text1"/>
          <w:sz w:val="19"/>
          <w:szCs w:val="19"/>
        </w:rPr>
      </w:pPr>
      <w:r w:rsidRPr="0091353E">
        <w:rPr>
          <w:rFonts w:ascii="Arial" w:hAnsi="Arial" w:cs="Arial"/>
          <w:color w:val="000000" w:themeColor="text1"/>
          <w:sz w:val="19"/>
          <w:szCs w:val="19"/>
        </w:rPr>
        <w:t>[…]</w:t>
      </w:r>
    </w:p>
    <w:p w:rsidRPr="0091353E" w:rsidR="006A59D1" w:rsidP="001D4627" w:rsidRDefault="006A59D1" w14:paraId="57268717" w14:textId="77777777">
      <w:pPr>
        <w:pStyle w:val="Textonotapie"/>
        <w:ind w:firstLine="709"/>
        <w:jc w:val="both"/>
        <w:rPr>
          <w:rFonts w:ascii="Arial" w:hAnsi="Arial" w:cs="Arial"/>
          <w:color w:val="000000" w:themeColor="text1"/>
          <w:sz w:val="19"/>
          <w:szCs w:val="19"/>
        </w:rPr>
      </w:pPr>
      <w:r w:rsidRPr="0091353E">
        <w:rPr>
          <w:rFonts w:ascii="Arial" w:hAnsi="Arial" w:cs="Arial"/>
          <w:color w:val="000000" w:themeColor="text1"/>
          <w:sz w:val="19"/>
          <w:szCs w:val="19"/>
        </w:rPr>
        <w:t>»5. La Entidad Estatal debe publicar el informe de evaluación durante un (1) día hábil».</w:t>
      </w:r>
    </w:p>
    <w:p w:rsidRPr="0091353E" w:rsidR="006A59D1" w:rsidP="001D4627" w:rsidRDefault="006A59D1" w14:paraId="7C1972C4" w14:textId="77777777">
      <w:pPr>
        <w:pStyle w:val="Textonotapie"/>
        <w:ind w:firstLine="709"/>
        <w:jc w:val="both"/>
        <w:rPr>
          <w:rFonts w:ascii="Arial" w:hAnsi="Arial" w:cs="Arial"/>
          <w:color w:val="000000" w:themeColor="text1"/>
          <w:sz w:val="19"/>
          <w:szCs w:val="19"/>
        </w:rPr>
      </w:pPr>
    </w:p>
  </w:footnote>
  <w:footnote w:id="14">
    <w:p w:rsidRPr="0091353E" w:rsidR="006A59D1" w:rsidP="001D4627" w:rsidRDefault="006A59D1" w14:paraId="7754BB3E" w14:textId="77777777">
      <w:pPr>
        <w:pStyle w:val="Textonotapie"/>
        <w:ind w:firstLine="709"/>
        <w:jc w:val="both"/>
        <w:rPr>
          <w:rFonts w:ascii="Arial" w:hAnsi="Arial" w:cs="Arial"/>
          <w:color w:val="000000" w:themeColor="text1"/>
          <w:sz w:val="19"/>
          <w:szCs w:val="19"/>
        </w:rPr>
      </w:pPr>
      <w:r w:rsidRPr="0091353E">
        <w:rPr>
          <w:rStyle w:val="Refdenotaalpie"/>
          <w:rFonts w:ascii="Arial" w:hAnsi="Arial" w:cs="Arial"/>
          <w:color w:val="000000" w:themeColor="text1"/>
          <w:sz w:val="19"/>
          <w:szCs w:val="19"/>
        </w:rPr>
        <w:footnoteRef/>
      </w:r>
      <w:r w:rsidRPr="0091353E">
        <w:rPr>
          <w:rFonts w:ascii="Arial" w:hAnsi="Arial" w:cs="Arial"/>
          <w:color w:val="000000" w:themeColor="text1"/>
          <w:sz w:val="19"/>
          <w:szCs w:val="19"/>
        </w:rPr>
        <w:t xml:space="preserve"> Decreto 1082 de 2015: «Artículo 2.2.1.2.1.1.2. Audiencias en la licitación.</w:t>
      </w:r>
    </w:p>
    <w:p w:rsidRPr="0091353E" w:rsidR="006A59D1" w:rsidP="001D4627" w:rsidRDefault="006A59D1" w14:paraId="08A0250D" w14:textId="77777777">
      <w:pPr>
        <w:pStyle w:val="Textonotapie"/>
        <w:ind w:firstLine="709"/>
        <w:jc w:val="both"/>
        <w:rPr>
          <w:rFonts w:ascii="Arial" w:hAnsi="Arial" w:cs="Arial"/>
          <w:color w:val="000000" w:themeColor="text1"/>
          <w:sz w:val="19"/>
          <w:szCs w:val="19"/>
        </w:rPr>
      </w:pPr>
      <w:r w:rsidRPr="0091353E">
        <w:rPr>
          <w:rFonts w:ascii="Arial" w:hAnsi="Arial" w:cs="Arial"/>
          <w:color w:val="000000" w:themeColor="text1"/>
          <w:sz w:val="19"/>
          <w:szCs w:val="19"/>
        </w:rPr>
        <w:t>[…]</w:t>
      </w:r>
    </w:p>
    <w:p w:rsidRPr="0091353E" w:rsidR="006A59D1" w:rsidP="001D4627" w:rsidRDefault="006A59D1" w14:paraId="02BA0A04" w14:textId="77777777">
      <w:pPr>
        <w:pStyle w:val="Textonotapie"/>
        <w:ind w:firstLine="709"/>
        <w:jc w:val="both"/>
        <w:rPr>
          <w:rFonts w:ascii="Arial" w:hAnsi="Arial" w:cs="Arial"/>
          <w:color w:val="000000" w:themeColor="text1"/>
          <w:sz w:val="19"/>
          <w:szCs w:val="19"/>
        </w:rPr>
      </w:pPr>
      <w:proofErr w:type="gramStart"/>
      <w:r w:rsidRPr="0091353E">
        <w:rPr>
          <w:rFonts w:ascii="Arial" w:hAnsi="Arial" w:cs="Arial"/>
          <w:color w:val="000000" w:themeColor="text1"/>
          <w:sz w:val="19"/>
          <w:szCs w:val="19"/>
        </w:rPr>
        <w:t>»La</w:t>
      </w:r>
      <w:proofErr w:type="gramEnd"/>
      <w:r w:rsidRPr="0091353E">
        <w:rPr>
          <w:rFonts w:ascii="Arial" w:hAnsi="Arial" w:cs="Arial"/>
          <w:color w:val="000000" w:themeColor="text1"/>
          <w:sz w:val="19"/>
          <w:szCs w:val="19"/>
        </w:rPr>
        <w:t xml:space="preserve"> Entidad Estatal debe realizar la audiencia de adjudicación en la fecha y hora establecida en el Cronograma, la cual se realizará de acuerdo con las reglas establecidas para el efecto en los mismos y las siguientes consideraciones:</w:t>
      </w:r>
    </w:p>
    <w:p w:rsidRPr="0091353E" w:rsidR="006A59D1" w:rsidP="001D4627" w:rsidRDefault="006A59D1" w14:paraId="361EE7F6" w14:textId="77777777">
      <w:pPr>
        <w:pStyle w:val="Textonotapie"/>
        <w:ind w:firstLine="709"/>
        <w:jc w:val="both"/>
        <w:rPr>
          <w:rFonts w:ascii="Arial" w:hAnsi="Arial" w:cs="Arial"/>
          <w:color w:val="000000" w:themeColor="text1"/>
          <w:sz w:val="19"/>
          <w:szCs w:val="19"/>
        </w:rPr>
      </w:pPr>
      <w:r w:rsidRPr="0091353E">
        <w:rPr>
          <w:rFonts w:ascii="Arial" w:hAnsi="Arial" w:cs="Arial"/>
          <w:color w:val="000000" w:themeColor="text1"/>
          <w:sz w:val="19"/>
          <w:szCs w:val="19"/>
        </w:rPr>
        <w:t>»1. En la audiencia los oferentes pueden pronunciarse sobre las respuestas dadas por la Entidad Estatal a las observaciones presentadas respecto del informe de evaluación, lo cual no implica una nueva oportunidad para mejorar o modificar la oferta. Si hay pronunciamientos que a juicio de la Entidad Estatal requiere análisis adicional y su solución puede incidir en el sentido de la decisión a adoptar, la audiencia puede suspenderse por el término necesario para la verificación de los asuntos debatidos y la comprobación de lo alegado».</w:t>
      </w:r>
    </w:p>
    <w:p w:rsidRPr="0091353E" w:rsidR="006A59D1" w:rsidP="001D4627" w:rsidRDefault="006A59D1" w14:paraId="5AB59E29" w14:textId="77777777">
      <w:pPr>
        <w:pStyle w:val="Textonotapie"/>
        <w:ind w:firstLine="709"/>
        <w:jc w:val="both"/>
        <w:rPr>
          <w:rFonts w:ascii="Arial" w:hAnsi="Arial" w:cs="Arial"/>
          <w:color w:val="000000" w:themeColor="text1"/>
          <w:sz w:val="19"/>
          <w:szCs w:val="19"/>
        </w:rPr>
      </w:pPr>
    </w:p>
  </w:footnote>
  <w:footnote w:id="15">
    <w:p w:rsidRPr="0091353E" w:rsidR="003F2D8A" w:rsidP="003F2D8A" w:rsidRDefault="003F2D8A" w14:paraId="69137B1F" w14:textId="54F26511">
      <w:pPr>
        <w:pStyle w:val="Textonotapie"/>
        <w:ind w:firstLine="709"/>
        <w:jc w:val="both"/>
        <w:rPr>
          <w:rFonts w:ascii="Arial" w:hAnsi="Arial" w:cs="Arial"/>
          <w:color w:val="000000" w:themeColor="text1"/>
          <w:sz w:val="19"/>
          <w:szCs w:val="19"/>
        </w:rPr>
      </w:pPr>
      <w:r w:rsidRPr="0091353E">
        <w:rPr>
          <w:rStyle w:val="Refdenotaalpie"/>
          <w:rFonts w:ascii="Arial" w:hAnsi="Arial" w:cs="Arial"/>
          <w:color w:val="000000" w:themeColor="text1"/>
          <w:sz w:val="19"/>
          <w:szCs w:val="19"/>
        </w:rPr>
        <w:footnoteRef/>
      </w:r>
      <w:r w:rsidRPr="0091353E">
        <w:rPr>
          <w:rFonts w:ascii="Arial" w:hAnsi="Arial" w:cs="Arial"/>
          <w:color w:val="000000" w:themeColor="text1"/>
          <w:sz w:val="19"/>
          <w:szCs w:val="19"/>
        </w:rPr>
        <w:t xml:space="preserve"> «Artículo 25. Del principio de economía. En virtud de este principio:</w:t>
      </w:r>
    </w:p>
    <w:p w:rsidRPr="0091353E" w:rsidR="003F2D8A" w:rsidP="003F2D8A" w:rsidRDefault="003F2D8A" w14:paraId="2B6739A4" w14:textId="77777777">
      <w:pPr>
        <w:pStyle w:val="Textonotapie"/>
        <w:ind w:firstLine="709"/>
        <w:jc w:val="both"/>
        <w:rPr>
          <w:rFonts w:ascii="Arial" w:hAnsi="Arial" w:cs="Arial"/>
          <w:color w:val="000000" w:themeColor="text1"/>
          <w:sz w:val="19"/>
          <w:szCs w:val="19"/>
          <w:lang w:val="es-ES"/>
        </w:rPr>
      </w:pPr>
      <w:r w:rsidRPr="0091353E">
        <w:rPr>
          <w:rFonts w:ascii="Arial" w:hAnsi="Arial" w:cs="Arial"/>
          <w:color w:val="000000" w:themeColor="text1"/>
          <w:sz w:val="19"/>
          <w:szCs w:val="19"/>
        </w:rPr>
        <w:t>»1º. En las normas de selección y en los pliegos de condiciones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footnote>
  <w:footnote w:id="16">
    <w:p w:rsidRPr="0091353E" w:rsidR="006A59D1" w:rsidP="001D4627" w:rsidRDefault="006A59D1" w14:paraId="3C79E01F" w14:textId="3B413F67">
      <w:pPr>
        <w:pStyle w:val="Textonotapie"/>
        <w:ind w:firstLine="709"/>
        <w:jc w:val="both"/>
        <w:rPr>
          <w:rFonts w:ascii="Arial" w:hAnsi="Arial" w:cs="Arial"/>
          <w:color w:val="000000" w:themeColor="text1"/>
          <w:sz w:val="19"/>
          <w:szCs w:val="19"/>
          <w:lang w:val="es-ES"/>
        </w:rPr>
      </w:pPr>
      <w:r w:rsidRPr="0091353E">
        <w:rPr>
          <w:rStyle w:val="Refdenotaalpie"/>
          <w:rFonts w:ascii="Arial" w:hAnsi="Arial" w:cs="Arial"/>
          <w:color w:val="000000" w:themeColor="text1"/>
          <w:sz w:val="19"/>
          <w:szCs w:val="19"/>
        </w:rPr>
        <w:footnoteRef/>
      </w:r>
      <w:r w:rsidRPr="0091353E">
        <w:rPr>
          <w:rFonts w:ascii="Arial" w:hAnsi="Arial" w:cs="Arial"/>
          <w:color w:val="000000" w:themeColor="text1"/>
          <w:sz w:val="19"/>
          <w:szCs w:val="19"/>
        </w:rPr>
        <w:t xml:space="preserve"> Consejo de Estado. Sección Tercera. Sentencia del 3 de mayo 2007. </w:t>
      </w:r>
      <w:proofErr w:type="spellStart"/>
      <w:r w:rsidRPr="0091353E">
        <w:rPr>
          <w:rFonts w:ascii="Arial" w:hAnsi="Arial" w:cs="Arial"/>
          <w:color w:val="000000" w:themeColor="text1"/>
          <w:sz w:val="19"/>
          <w:szCs w:val="19"/>
        </w:rPr>
        <w:t>Exp</w:t>
      </w:r>
      <w:proofErr w:type="spellEnd"/>
      <w:r w:rsidRPr="0091353E">
        <w:rPr>
          <w:rFonts w:ascii="Arial" w:hAnsi="Arial" w:cs="Arial"/>
          <w:color w:val="000000" w:themeColor="text1"/>
          <w:sz w:val="19"/>
          <w:szCs w:val="19"/>
        </w:rPr>
        <w:t>. 16.209. C</w:t>
      </w:r>
      <w:r w:rsidR="003F2D8A">
        <w:rPr>
          <w:rFonts w:ascii="Arial" w:hAnsi="Arial" w:cs="Arial"/>
          <w:color w:val="000000" w:themeColor="text1"/>
          <w:sz w:val="19"/>
          <w:szCs w:val="19"/>
        </w:rPr>
        <w:t>.</w:t>
      </w:r>
      <w:r w:rsidRPr="0091353E">
        <w:rPr>
          <w:rFonts w:ascii="Arial" w:hAnsi="Arial" w:cs="Arial"/>
          <w:color w:val="000000" w:themeColor="text1"/>
          <w:sz w:val="19"/>
          <w:szCs w:val="19"/>
        </w:rPr>
        <w:t>P</w:t>
      </w:r>
      <w:r w:rsidR="003F2D8A">
        <w:rPr>
          <w:rFonts w:ascii="Arial" w:hAnsi="Arial" w:cs="Arial"/>
          <w:color w:val="000000" w:themeColor="text1"/>
          <w:sz w:val="19"/>
          <w:szCs w:val="19"/>
        </w:rPr>
        <w:t>.</w:t>
      </w:r>
      <w:r w:rsidRPr="0091353E">
        <w:rPr>
          <w:rFonts w:ascii="Arial" w:hAnsi="Arial" w:cs="Arial"/>
          <w:color w:val="000000" w:themeColor="text1"/>
          <w:sz w:val="19"/>
          <w:szCs w:val="19"/>
        </w:rPr>
        <w:t xml:space="preserve"> Ramiro Saavedra Becerra.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6A59D1" w:rsidRDefault="006A59D1" w14:paraId="4CEB5923" w14:textId="72BD7C0A">
    <w:pPr>
      <w:pStyle w:val="Encabezado"/>
    </w:pPr>
  </w:p>
  <w:p w:rsidR="006A59D1" w:rsidRDefault="006A59D1" w14:paraId="6A4C7F2C" w14:textId="7D093DBB">
    <w:pPr>
      <w:pStyle w:val="Encabezado"/>
    </w:pPr>
  </w:p>
  <w:p w:rsidR="006A59D1" w:rsidRDefault="006A59D1" w14:paraId="055F2E1F" w14:textId="0B935ADD">
    <w:pPr>
      <w:pStyle w:val="Encabezado"/>
    </w:pPr>
    <w:r>
      <w:rPr>
        <w:noProof/>
        <w:lang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70631289">
      <w:rPr/>
      <w:t/>
    </w:r>
  </w:p>
  <w:p w:rsidR="006A59D1" w:rsidRDefault="006A59D1" w14:paraId="51400574" w14:textId="61BAF652">
    <w:pPr>
      <w:pStyle w:val="Encabezado"/>
    </w:pPr>
  </w:p>
  <w:p w:rsidR="006A59D1" w:rsidRDefault="006A59D1" w14:paraId="3D323BDB" w14:textId="04AF0DE6">
    <w:pPr>
      <w:pStyle w:val="Encabezado"/>
    </w:pPr>
  </w:p>
  <w:p w:rsidR="006A59D1" w:rsidRDefault="006A59D1" w14:paraId="6520770B" w14:textId="18EB07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9C6709D"/>
    <w:multiLevelType w:val="hybridMultilevel"/>
    <w:tmpl w:val="1FDA541E"/>
    <w:lvl w:ilvl="0" w:tplc="5A0C052C">
      <w:start w:val="1"/>
      <w:numFmt w:val="bullet"/>
      <w:lvlText w:val=""/>
      <w:lvlJc w:val="left"/>
      <w:pPr>
        <w:ind w:left="720" w:hanging="360"/>
      </w:pPr>
      <w:rPr>
        <w:rFonts w:hint="default" w:ascii="Symbol" w:hAnsi="Symbol"/>
      </w:rPr>
    </w:lvl>
    <w:lvl w:ilvl="1" w:tplc="C2862920">
      <w:start w:val="1"/>
      <w:numFmt w:val="bullet"/>
      <w:lvlText w:val="o"/>
      <w:lvlJc w:val="left"/>
      <w:pPr>
        <w:ind w:left="1440" w:hanging="360"/>
      </w:pPr>
      <w:rPr>
        <w:rFonts w:hint="default" w:ascii="Courier New" w:hAnsi="Courier New"/>
      </w:rPr>
    </w:lvl>
    <w:lvl w:ilvl="2" w:tplc="15F82430">
      <w:start w:val="1"/>
      <w:numFmt w:val="bullet"/>
      <w:lvlText w:val=""/>
      <w:lvlJc w:val="left"/>
      <w:pPr>
        <w:ind w:left="2160" w:hanging="360"/>
      </w:pPr>
      <w:rPr>
        <w:rFonts w:hint="default" w:ascii="Wingdings" w:hAnsi="Wingdings"/>
      </w:rPr>
    </w:lvl>
    <w:lvl w:ilvl="3" w:tplc="A0823E82">
      <w:start w:val="1"/>
      <w:numFmt w:val="bullet"/>
      <w:lvlText w:val=""/>
      <w:lvlJc w:val="left"/>
      <w:pPr>
        <w:ind w:left="2880" w:hanging="360"/>
      </w:pPr>
      <w:rPr>
        <w:rFonts w:hint="default" w:ascii="Symbol" w:hAnsi="Symbol"/>
      </w:rPr>
    </w:lvl>
    <w:lvl w:ilvl="4" w:tplc="4A46BDF6">
      <w:start w:val="1"/>
      <w:numFmt w:val="bullet"/>
      <w:lvlText w:val="o"/>
      <w:lvlJc w:val="left"/>
      <w:pPr>
        <w:ind w:left="3600" w:hanging="360"/>
      </w:pPr>
      <w:rPr>
        <w:rFonts w:hint="default" w:ascii="Courier New" w:hAnsi="Courier New"/>
      </w:rPr>
    </w:lvl>
    <w:lvl w:ilvl="5" w:tplc="28FE1CAE">
      <w:start w:val="1"/>
      <w:numFmt w:val="bullet"/>
      <w:lvlText w:val=""/>
      <w:lvlJc w:val="left"/>
      <w:pPr>
        <w:ind w:left="4320" w:hanging="360"/>
      </w:pPr>
      <w:rPr>
        <w:rFonts w:hint="default" w:ascii="Wingdings" w:hAnsi="Wingdings"/>
      </w:rPr>
    </w:lvl>
    <w:lvl w:ilvl="6" w:tplc="C5E42D50">
      <w:start w:val="1"/>
      <w:numFmt w:val="bullet"/>
      <w:lvlText w:val=""/>
      <w:lvlJc w:val="left"/>
      <w:pPr>
        <w:ind w:left="5040" w:hanging="360"/>
      </w:pPr>
      <w:rPr>
        <w:rFonts w:hint="default" w:ascii="Symbol" w:hAnsi="Symbol"/>
      </w:rPr>
    </w:lvl>
    <w:lvl w:ilvl="7" w:tplc="E168116C">
      <w:start w:val="1"/>
      <w:numFmt w:val="bullet"/>
      <w:lvlText w:val="o"/>
      <w:lvlJc w:val="left"/>
      <w:pPr>
        <w:ind w:left="5760" w:hanging="360"/>
      </w:pPr>
      <w:rPr>
        <w:rFonts w:hint="default" w:ascii="Courier New" w:hAnsi="Courier New"/>
      </w:rPr>
    </w:lvl>
    <w:lvl w:ilvl="8" w:tplc="C8865674">
      <w:start w:val="1"/>
      <w:numFmt w:val="bullet"/>
      <w:lvlText w:val=""/>
      <w:lvlJc w:val="left"/>
      <w:pPr>
        <w:ind w:left="6480" w:hanging="360"/>
      </w:pPr>
      <w:rPr>
        <w:rFonts w:hint="default" w:ascii="Wingdings" w:hAnsi="Wingdings"/>
      </w:rPr>
    </w:lvl>
  </w:abstractNum>
  <w:abstractNum w:abstractNumId="2"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0B00C3C"/>
    <w:multiLevelType w:val="hybridMultilevel"/>
    <w:tmpl w:val="253A8B9E"/>
    <w:lvl w:ilvl="0" w:tplc="D08AC756">
      <w:start w:val="1"/>
      <w:numFmt w:val="upperLetter"/>
      <w:lvlText w:val="%1."/>
      <w:lvlJc w:val="left"/>
      <w:pPr>
        <w:ind w:left="720" w:hanging="360"/>
      </w:pPr>
      <w:rPr>
        <w:rFonts w:hint="default" w:ascii="Arial" w:hAnsi="Arial" w:cs="Arial"/>
        <w:color w:val="3C3C3C" w:themeColor="background2" w:themeShade="40"/>
        <w:sz w:val="20"/>
        <w:szCs w:val="18"/>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7C363DE"/>
    <w:multiLevelType w:val="hybridMultilevel"/>
    <w:tmpl w:val="9768DD5A"/>
    <w:lvl w:ilvl="0" w:tplc="4C7EEC08">
      <w:start w:val="1"/>
      <w:numFmt w:val="lowerRoman"/>
      <w:lvlText w:val="%1)"/>
      <w:lvlJc w:val="left"/>
      <w:pPr>
        <w:ind w:left="1429" w:hanging="72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4"/>
  </w:num>
  <w:num w:numId="4">
    <w:abstractNumId w:val="5"/>
  </w:num>
  <w:num w:numId="5">
    <w:abstractNumId w:val="8"/>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num>
  <w:num w:numId="9">
    <w:abstractNumId w:val="6"/>
  </w:num>
  <w:num w:numId="10">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2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17995"/>
    <w:rsid w:val="000304A2"/>
    <w:rsid w:val="0003352A"/>
    <w:rsid w:val="00036DBB"/>
    <w:rsid w:val="00042A0C"/>
    <w:rsid w:val="000440EF"/>
    <w:rsid w:val="000659B6"/>
    <w:rsid w:val="00067C10"/>
    <w:rsid w:val="00087EA0"/>
    <w:rsid w:val="000942EB"/>
    <w:rsid w:val="000A41AD"/>
    <w:rsid w:val="000B103F"/>
    <w:rsid w:val="000B60B5"/>
    <w:rsid w:val="000C5AAB"/>
    <w:rsid w:val="000C75F9"/>
    <w:rsid w:val="000E4E69"/>
    <w:rsid w:val="000F14E8"/>
    <w:rsid w:val="000F6BB0"/>
    <w:rsid w:val="00103915"/>
    <w:rsid w:val="00115D2C"/>
    <w:rsid w:val="00116948"/>
    <w:rsid w:val="00122B23"/>
    <w:rsid w:val="00137FFA"/>
    <w:rsid w:val="0014334D"/>
    <w:rsid w:val="00152DD5"/>
    <w:rsid w:val="00162B53"/>
    <w:rsid w:val="00164B3C"/>
    <w:rsid w:val="001759FC"/>
    <w:rsid w:val="00184964"/>
    <w:rsid w:val="0018572B"/>
    <w:rsid w:val="001A0C50"/>
    <w:rsid w:val="001B1614"/>
    <w:rsid w:val="001B607C"/>
    <w:rsid w:val="001C2F4C"/>
    <w:rsid w:val="001D4627"/>
    <w:rsid w:val="00202203"/>
    <w:rsid w:val="00231D4F"/>
    <w:rsid w:val="00232504"/>
    <w:rsid w:val="00234B84"/>
    <w:rsid w:val="00235A69"/>
    <w:rsid w:val="002545D2"/>
    <w:rsid w:val="00281DE2"/>
    <w:rsid w:val="00297282"/>
    <w:rsid w:val="002A089F"/>
    <w:rsid w:val="002A7810"/>
    <w:rsid w:val="002B0CE9"/>
    <w:rsid w:val="002B193C"/>
    <w:rsid w:val="002D3509"/>
    <w:rsid w:val="003033BA"/>
    <w:rsid w:val="003156ED"/>
    <w:rsid w:val="0033440C"/>
    <w:rsid w:val="00345D95"/>
    <w:rsid w:val="0034680A"/>
    <w:rsid w:val="00366ED7"/>
    <w:rsid w:val="0037462A"/>
    <w:rsid w:val="00377EDE"/>
    <w:rsid w:val="00381B62"/>
    <w:rsid w:val="00383ADB"/>
    <w:rsid w:val="00386456"/>
    <w:rsid w:val="003954B8"/>
    <w:rsid w:val="003A581E"/>
    <w:rsid w:val="003B7FE9"/>
    <w:rsid w:val="003C28AA"/>
    <w:rsid w:val="003C50AF"/>
    <w:rsid w:val="003D4214"/>
    <w:rsid w:val="003E3981"/>
    <w:rsid w:val="003F2D8A"/>
    <w:rsid w:val="003F3BB6"/>
    <w:rsid w:val="00423358"/>
    <w:rsid w:val="004422D6"/>
    <w:rsid w:val="00444E51"/>
    <w:rsid w:val="00461857"/>
    <w:rsid w:val="00480BC7"/>
    <w:rsid w:val="004838AD"/>
    <w:rsid w:val="004927E3"/>
    <w:rsid w:val="004A34D2"/>
    <w:rsid w:val="004A63EA"/>
    <w:rsid w:val="004B4530"/>
    <w:rsid w:val="004D70C7"/>
    <w:rsid w:val="004E5A4A"/>
    <w:rsid w:val="004F5132"/>
    <w:rsid w:val="0051074C"/>
    <w:rsid w:val="00513AF2"/>
    <w:rsid w:val="0054413A"/>
    <w:rsid w:val="00555852"/>
    <w:rsid w:val="005564CA"/>
    <w:rsid w:val="00560929"/>
    <w:rsid w:val="0057753F"/>
    <w:rsid w:val="00582607"/>
    <w:rsid w:val="00590852"/>
    <w:rsid w:val="005926F2"/>
    <w:rsid w:val="005A79FE"/>
    <w:rsid w:val="005C0180"/>
    <w:rsid w:val="005E1633"/>
    <w:rsid w:val="005E44BA"/>
    <w:rsid w:val="00600A8B"/>
    <w:rsid w:val="00601A7E"/>
    <w:rsid w:val="00604392"/>
    <w:rsid w:val="006150D8"/>
    <w:rsid w:val="0061612F"/>
    <w:rsid w:val="006401A4"/>
    <w:rsid w:val="0064138C"/>
    <w:rsid w:val="006420FD"/>
    <w:rsid w:val="006429C5"/>
    <w:rsid w:val="00655371"/>
    <w:rsid w:val="00661373"/>
    <w:rsid w:val="00667C1A"/>
    <w:rsid w:val="006738C2"/>
    <w:rsid w:val="006846FB"/>
    <w:rsid w:val="00696DC7"/>
    <w:rsid w:val="00697665"/>
    <w:rsid w:val="006A59D1"/>
    <w:rsid w:val="006A7FD0"/>
    <w:rsid w:val="006C2C33"/>
    <w:rsid w:val="006D7687"/>
    <w:rsid w:val="006E0572"/>
    <w:rsid w:val="006E0CB0"/>
    <w:rsid w:val="006E2387"/>
    <w:rsid w:val="006E318E"/>
    <w:rsid w:val="006F1F27"/>
    <w:rsid w:val="00705631"/>
    <w:rsid w:val="00716CD7"/>
    <w:rsid w:val="00720DD9"/>
    <w:rsid w:val="00722AE9"/>
    <w:rsid w:val="007302FC"/>
    <w:rsid w:val="00736F27"/>
    <w:rsid w:val="00742DD2"/>
    <w:rsid w:val="007430B8"/>
    <w:rsid w:val="00743256"/>
    <w:rsid w:val="00746C20"/>
    <w:rsid w:val="0075647A"/>
    <w:rsid w:val="00762C9A"/>
    <w:rsid w:val="007634AD"/>
    <w:rsid w:val="00770CF5"/>
    <w:rsid w:val="0078122E"/>
    <w:rsid w:val="007B0854"/>
    <w:rsid w:val="007E39C3"/>
    <w:rsid w:val="007F72CB"/>
    <w:rsid w:val="00830F1E"/>
    <w:rsid w:val="0083119B"/>
    <w:rsid w:val="00831517"/>
    <w:rsid w:val="00836EAB"/>
    <w:rsid w:val="0085092D"/>
    <w:rsid w:val="008553D5"/>
    <w:rsid w:val="00862599"/>
    <w:rsid w:val="00867397"/>
    <w:rsid w:val="0088492F"/>
    <w:rsid w:val="0088539C"/>
    <w:rsid w:val="0089169B"/>
    <w:rsid w:val="00897ED3"/>
    <w:rsid w:val="008A5D02"/>
    <w:rsid w:val="008B35F7"/>
    <w:rsid w:val="008C54A3"/>
    <w:rsid w:val="008E00CA"/>
    <w:rsid w:val="008E062C"/>
    <w:rsid w:val="008E06C9"/>
    <w:rsid w:val="008E1C15"/>
    <w:rsid w:val="008E6478"/>
    <w:rsid w:val="008F30CE"/>
    <w:rsid w:val="00901D1F"/>
    <w:rsid w:val="009036D9"/>
    <w:rsid w:val="009047C5"/>
    <w:rsid w:val="009124CF"/>
    <w:rsid w:val="00916590"/>
    <w:rsid w:val="00922AC2"/>
    <w:rsid w:val="00927E56"/>
    <w:rsid w:val="0095385A"/>
    <w:rsid w:val="00976B10"/>
    <w:rsid w:val="00991FC9"/>
    <w:rsid w:val="00997F7C"/>
    <w:rsid w:val="009A165F"/>
    <w:rsid w:val="009B389F"/>
    <w:rsid w:val="009B40C5"/>
    <w:rsid w:val="009E7810"/>
    <w:rsid w:val="009E7FE0"/>
    <w:rsid w:val="009F2C95"/>
    <w:rsid w:val="00A07AC4"/>
    <w:rsid w:val="00A14472"/>
    <w:rsid w:val="00A17CF0"/>
    <w:rsid w:val="00A24560"/>
    <w:rsid w:val="00A34538"/>
    <w:rsid w:val="00A352D4"/>
    <w:rsid w:val="00A8139E"/>
    <w:rsid w:val="00A86E56"/>
    <w:rsid w:val="00A92D5A"/>
    <w:rsid w:val="00AA442B"/>
    <w:rsid w:val="00AB5F23"/>
    <w:rsid w:val="00AC633F"/>
    <w:rsid w:val="00AC7399"/>
    <w:rsid w:val="00AD1AEB"/>
    <w:rsid w:val="00AF20DD"/>
    <w:rsid w:val="00AF3BFD"/>
    <w:rsid w:val="00B1127C"/>
    <w:rsid w:val="00B22E22"/>
    <w:rsid w:val="00B525CB"/>
    <w:rsid w:val="00B531F9"/>
    <w:rsid w:val="00B63CB2"/>
    <w:rsid w:val="00B747AE"/>
    <w:rsid w:val="00B926A8"/>
    <w:rsid w:val="00B959F4"/>
    <w:rsid w:val="00BD78FE"/>
    <w:rsid w:val="00C04579"/>
    <w:rsid w:val="00C172A4"/>
    <w:rsid w:val="00C23227"/>
    <w:rsid w:val="00C3123A"/>
    <w:rsid w:val="00C447DD"/>
    <w:rsid w:val="00C51F78"/>
    <w:rsid w:val="00C74AA1"/>
    <w:rsid w:val="00C9366B"/>
    <w:rsid w:val="00C971F3"/>
    <w:rsid w:val="00CA26C2"/>
    <w:rsid w:val="00CA287E"/>
    <w:rsid w:val="00CC00CD"/>
    <w:rsid w:val="00CC6288"/>
    <w:rsid w:val="00CD5AE1"/>
    <w:rsid w:val="00CE343A"/>
    <w:rsid w:val="00D05392"/>
    <w:rsid w:val="00D07E06"/>
    <w:rsid w:val="00D16E39"/>
    <w:rsid w:val="00D21AAB"/>
    <w:rsid w:val="00D4724B"/>
    <w:rsid w:val="00D645DA"/>
    <w:rsid w:val="00D67858"/>
    <w:rsid w:val="00D72E9D"/>
    <w:rsid w:val="00D77580"/>
    <w:rsid w:val="00D81E03"/>
    <w:rsid w:val="00D82CE5"/>
    <w:rsid w:val="00D91B81"/>
    <w:rsid w:val="00DA5AB1"/>
    <w:rsid w:val="00DB55DE"/>
    <w:rsid w:val="00DB5E1A"/>
    <w:rsid w:val="00DC62E5"/>
    <w:rsid w:val="00DD6EA8"/>
    <w:rsid w:val="00DD735D"/>
    <w:rsid w:val="00DE3119"/>
    <w:rsid w:val="00DF236B"/>
    <w:rsid w:val="00E13AB8"/>
    <w:rsid w:val="00E3356D"/>
    <w:rsid w:val="00E33B62"/>
    <w:rsid w:val="00E613E2"/>
    <w:rsid w:val="00E91F73"/>
    <w:rsid w:val="00EE586C"/>
    <w:rsid w:val="00EF1499"/>
    <w:rsid w:val="00F25501"/>
    <w:rsid w:val="00F37A17"/>
    <w:rsid w:val="00F5079C"/>
    <w:rsid w:val="00F64E97"/>
    <w:rsid w:val="00F84899"/>
    <w:rsid w:val="00F859F0"/>
    <w:rsid w:val="00F85FB4"/>
    <w:rsid w:val="00FC43D5"/>
    <w:rsid w:val="00FE1261"/>
    <w:rsid w:val="00FE141E"/>
    <w:rsid w:val="03884AC9"/>
    <w:rsid w:val="1B3DC8EF"/>
    <w:rsid w:val="1C0B02D4"/>
    <w:rsid w:val="29D997CF"/>
    <w:rsid w:val="47F28314"/>
    <w:rsid w:val="5D779A09"/>
    <w:rsid w:val="6A2CDD0A"/>
    <w:rsid w:val="70631289"/>
    <w:rsid w:val="715B3A1C"/>
    <w:rsid w:val="723CD690"/>
    <w:rsid w:val="7FD6EC1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F30CE"/>
    <w:pPr>
      <w:spacing w:after="0" w:line="240" w:lineRule="auto"/>
    </w:pPr>
    <w:rPr>
      <w:rFonts w:ascii="Times New Roman" w:hAnsi="Times New Roman" w:eastAsia="Times New Roman" w:cs="Times New Roman"/>
      <w:sz w:val="24"/>
      <w:szCs w:val="24"/>
      <w:lang w:eastAsia="es-ES_tradnl"/>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lang w:eastAsia="es-CO"/>
    </w:rPr>
  </w:style>
  <w:style w:type="paragraph" w:styleId="Sinespaciado">
    <w:name w:val="No Spacing"/>
    <w:uiPriority w:val="1"/>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character" w:styleId="Mencinsinresolver">
    <w:name w:val="Unresolved Mention"/>
    <w:basedOn w:val="Fuentedeprrafopredeter"/>
    <w:uiPriority w:val="99"/>
    <w:semiHidden/>
    <w:unhideWhenUsed/>
    <w:rsid w:val="00743256"/>
    <w:rPr>
      <w:color w:val="605E5C"/>
      <w:shd w:val="clear" w:color="auto" w:fill="E1DFDD"/>
    </w:rPr>
  </w:style>
  <w:style w:type="character" w:styleId="Textoennegrita">
    <w:name w:val="Strong"/>
    <w:basedOn w:val="Fuentedeprrafopredeter"/>
    <w:uiPriority w:val="22"/>
    <w:qFormat/>
    <w:rsid w:val="00AC7399"/>
    <w:rPr>
      <w:b/>
      <w:bCs/>
    </w:rPr>
  </w:style>
  <w:style w:type="character" w:styleId="nfasis">
    <w:name w:val="Emphasis"/>
    <w:basedOn w:val="Fuentedeprrafopredeter"/>
    <w:uiPriority w:val="20"/>
    <w:qFormat/>
    <w:rsid w:val="00AC7399"/>
    <w:rPr>
      <w:i/>
      <w:iCs/>
    </w:rPr>
  </w:style>
  <w:style w:type="character" w:styleId="Textodelmarcadordeposicin">
    <w:name w:val="Placeholder Text"/>
    <w:basedOn w:val="Fuentedeprrafopredeter"/>
    <w:uiPriority w:val="99"/>
    <w:semiHidden/>
    <w:rsid w:val="005E16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67507644">
      <w:bodyDiv w:val="1"/>
      <w:marLeft w:val="0"/>
      <w:marRight w:val="0"/>
      <w:marTop w:val="0"/>
      <w:marBottom w:val="0"/>
      <w:divBdr>
        <w:top w:val="none" w:sz="0" w:space="0" w:color="auto"/>
        <w:left w:val="none" w:sz="0" w:space="0" w:color="auto"/>
        <w:bottom w:val="none" w:sz="0" w:space="0" w:color="auto"/>
        <w:right w:val="none" w:sz="0" w:space="0" w:color="auto"/>
      </w:divBdr>
    </w:div>
    <w:div w:id="117379368">
      <w:bodyDiv w:val="1"/>
      <w:marLeft w:val="0"/>
      <w:marRight w:val="0"/>
      <w:marTop w:val="0"/>
      <w:marBottom w:val="0"/>
      <w:divBdr>
        <w:top w:val="none" w:sz="0" w:space="0" w:color="auto"/>
        <w:left w:val="none" w:sz="0" w:space="0" w:color="auto"/>
        <w:bottom w:val="none" w:sz="0" w:space="0" w:color="auto"/>
        <w:right w:val="none" w:sz="0" w:space="0" w:color="auto"/>
      </w:divBdr>
    </w:div>
    <w:div w:id="120391465">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17685079">
      <w:bodyDiv w:val="1"/>
      <w:marLeft w:val="0"/>
      <w:marRight w:val="0"/>
      <w:marTop w:val="0"/>
      <w:marBottom w:val="0"/>
      <w:divBdr>
        <w:top w:val="none" w:sz="0" w:space="0" w:color="auto"/>
        <w:left w:val="none" w:sz="0" w:space="0" w:color="auto"/>
        <w:bottom w:val="none" w:sz="0" w:space="0" w:color="auto"/>
        <w:right w:val="none" w:sz="0" w:space="0" w:color="auto"/>
      </w:divBdr>
    </w:div>
    <w:div w:id="391851365">
      <w:bodyDiv w:val="1"/>
      <w:marLeft w:val="0"/>
      <w:marRight w:val="0"/>
      <w:marTop w:val="0"/>
      <w:marBottom w:val="0"/>
      <w:divBdr>
        <w:top w:val="none" w:sz="0" w:space="0" w:color="auto"/>
        <w:left w:val="none" w:sz="0" w:space="0" w:color="auto"/>
        <w:bottom w:val="none" w:sz="0" w:space="0" w:color="auto"/>
        <w:right w:val="none" w:sz="0" w:space="0" w:color="auto"/>
      </w:divBdr>
    </w:div>
    <w:div w:id="676424521">
      <w:bodyDiv w:val="1"/>
      <w:marLeft w:val="0"/>
      <w:marRight w:val="0"/>
      <w:marTop w:val="0"/>
      <w:marBottom w:val="0"/>
      <w:divBdr>
        <w:top w:val="none" w:sz="0" w:space="0" w:color="auto"/>
        <w:left w:val="none" w:sz="0" w:space="0" w:color="auto"/>
        <w:bottom w:val="none" w:sz="0" w:space="0" w:color="auto"/>
        <w:right w:val="none" w:sz="0" w:space="0" w:color="auto"/>
      </w:divBdr>
    </w:div>
    <w:div w:id="974330429">
      <w:bodyDiv w:val="1"/>
      <w:marLeft w:val="0"/>
      <w:marRight w:val="0"/>
      <w:marTop w:val="0"/>
      <w:marBottom w:val="0"/>
      <w:divBdr>
        <w:top w:val="none" w:sz="0" w:space="0" w:color="auto"/>
        <w:left w:val="none" w:sz="0" w:space="0" w:color="auto"/>
        <w:bottom w:val="none" w:sz="0" w:space="0" w:color="auto"/>
        <w:right w:val="none" w:sz="0" w:space="0" w:color="auto"/>
      </w:divBdr>
    </w:div>
    <w:div w:id="1504469052">
      <w:bodyDiv w:val="1"/>
      <w:marLeft w:val="0"/>
      <w:marRight w:val="0"/>
      <w:marTop w:val="0"/>
      <w:marBottom w:val="0"/>
      <w:divBdr>
        <w:top w:val="none" w:sz="0" w:space="0" w:color="auto"/>
        <w:left w:val="none" w:sz="0" w:space="0" w:color="auto"/>
        <w:bottom w:val="none" w:sz="0" w:space="0" w:color="auto"/>
        <w:right w:val="none" w:sz="0" w:space="0" w:color="auto"/>
      </w:divBdr>
    </w:div>
    <w:div w:id="1773016883">
      <w:bodyDiv w:val="1"/>
      <w:marLeft w:val="0"/>
      <w:marRight w:val="0"/>
      <w:marTop w:val="0"/>
      <w:marBottom w:val="0"/>
      <w:divBdr>
        <w:top w:val="none" w:sz="0" w:space="0" w:color="auto"/>
        <w:left w:val="none" w:sz="0" w:space="0" w:color="auto"/>
        <w:bottom w:val="none" w:sz="0" w:space="0" w:color="auto"/>
        <w:right w:val="none" w:sz="0" w:space="0" w:color="auto"/>
      </w:divBdr>
    </w:div>
    <w:div w:id="197128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e85cd4f4115a4022" /></Relationships>
</file>

<file path=word/_rels/footer1.xml.rels>&#65279;<?xml version="1.0" encoding="utf-8"?><Relationships xmlns="http://schemas.openxmlformats.org/package/2006/relationships"><Relationship Type="http://schemas.openxmlformats.org/officeDocument/2006/relationships/image" Target="/media/image5.png" Id="R10c57e492d76403f"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3902D1D6-6297-4F31-9677-711D6E53B406}">
  <ds:schemaRefs>
    <ds:schemaRef ds:uri="http://schemas.openxmlformats.org/officeDocument/2006/bibliography"/>
  </ds:schemaRefs>
</ds:datastoreItem>
</file>

<file path=customXml/itemProps2.xml><?xml version="1.0" encoding="utf-8"?>
<ds:datastoreItem xmlns:ds="http://schemas.openxmlformats.org/officeDocument/2006/customXml" ds:itemID="{094B462A-9749-454A-B640-6D1645C0D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968DCD02-28AF-4D4E-8312-34AF2BB5009F}">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18</revision>
  <dcterms:created xsi:type="dcterms:W3CDTF">2020-06-30T17:03:00.0000000Z</dcterms:created>
  <dcterms:modified xsi:type="dcterms:W3CDTF">2020-07-28T16:38:27.2104877Z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