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07154" w:rsidR="0092237F" w:rsidP="000673C9" w:rsidRDefault="0092237F" w14:paraId="20B86E96" w14:textId="77777777">
      <w:pPr>
        <w:jc w:val="right"/>
        <w:rPr>
          <w:rFonts w:ascii="Arial" w:hAnsi="Arial" w:cs="Arial"/>
          <w:b/>
          <w:sz w:val="16"/>
          <w:szCs w:val="16"/>
          <w:lang w:eastAsia="es-ES"/>
        </w:rPr>
      </w:pPr>
      <w:bookmarkStart w:name="_Hlk28946138" w:id="0"/>
      <w:bookmarkStart w:name="_Hlk29548183" w:id="1"/>
      <w:r w:rsidRPr="006C78A2">
        <w:rPr>
          <w:rFonts w:ascii="Arial" w:hAnsi="Arial" w:cs="Arial"/>
          <w:b/>
          <w:sz w:val="21"/>
          <w:szCs w:val="21"/>
          <w:lang w:eastAsia="es-ES"/>
        </w:rPr>
        <w:tab/>
      </w:r>
      <w:r w:rsidRPr="00507154">
        <w:rPr>
          <w:rFonts w:ascii="Arial" w:hAnsi="Arial" w:cs="Arial"/>
          <w:b/>
          <w:sz w:val="16"/>
          <w:szCs w:val="16"/>
          <w:lang w:eastAsia="es-ES"/>
        </w:rPr>
        <w:t>CCE-DES-FM-17</w:t>
      </w:r>
    </w:p>
    <w:bookmarkEnd w:id="0"/>
    <w:bookmarkEnd w:id="1"/>
    <w:p w:rsidRPr="006C78A2" w:rsidR="00BE66EA" w:rsidP="00BE66EA" w:rsidRDefault="00BE66EA" w14:paraId="5085065D" w14:textId="77777777">
      <w:pPr>
        <w:jc w:val="both"/>
        <w:rPr>
          <w:rFonts w:ascii="Arial" w:hAnsi="Arial" w:eastAsia="Calibri" w:cs="Arial"/>
          <w:b/>
          <w:sz w:val="20"/>
          <w:szCs w:val="20"/>
        </w:rPr>
      </w:pPr>
    </w:p>
    <w:p w:rsidRPr="006C78A2" w:rsidR="00BB30A4" w:rsidP="008363A2" w:rsidRDefault="00216561" w14:paraId="16F1BD7F" w14:textId="00EB04D1">
      <w:pPr>
        <w:jc w:val="both"/>
        <w:rPr>
          <w:rFonts w:ascii="Arial" w:hAnsi="Arial" w:eastAsia="Calibri" w:cs="Arial"/>
          <w:b/>
          <w:sz w:val="22"/>
        </w:rPr>
      </w:pPr>
      <w:r>
        <w:rPr>
          <w:rFonts w:ascii="Arial" w:hAnsi="Arial" w:eastAsia="Calibri" w:cs="Arial"/>
          <w:b/>
          <w:sz w:val="22"/>
        </w:rPr>
        <w:t>DOCUMENT</w:t>
      </w:r>
      <w:r w:rsidRPr="006C78A2" w:rsidR="00BB30A4">
        <w:rPr>
          <w:rFonts w:ascii="Arial" w:hAnsi="Arial" w:eastAsia="Calibri" w:cs="Arial"/>
          <w:b/>
          <w:sz w:val="22"/>
        </w:rPr>
        <w:t xml:space="preserve">OS TIPO </w:t>
      </w:r>
      <w:r w:rsidRPr="006C78A2" w:rsidR="008363A2">
        <w:rPr>
          <w:rFonts w:ascii="Arial" w:hAnsi="Arial" w:eastAsia="Calibri" w:cs="Arial"/>
          <w:b/>
          <w:sz w:val="22"/>
        </w:rPr>
        <w:t>–</w:t>
      </w:r>
      <w:r w:rsidRPr="006C78A2" w:rsidR="00BB30A4">
        <w:rPr>
          <w:rFonts w:ascii="Arial" w:hAnsi="Arial" w:eastAsia="Calibri" w:cs="Arial"/>
          <w:b/>
          <w:sz w:val="22"/>
        </w:rPr>
        <w:t xml:space="preserve"> Obligatoriedad</w:t>
      </w:r>
    </w:p>
    <w:p w:rsidRPr="006C78A2" w:rsidR="00BB30A4" w:rsidP="008363A2" w:rsidRDefault="00BB30A4" w14:paraId="52FF6E34" w14:textId="77777777">
      <w:pPr>
        <w:jc w:val="both"/>
        <w:rPr>
          <w:rFonts w:ascii="Arial" w:hAnsi="Arial" w:cs="Arial"/>
          <w:sz w:val="20"/>
          <w:szCs w:val="20"/>
        </w:rPr>
      </w:pPr>
    </w:p>
    <w:p w:rsidRPr="006C78A2" w:rsidR="00DD77F2" w:rsidP="002B6345" w:rsidRDefault="005023F5" w14:paraId="4085AFEC" w14:textId="77777777">
      <w:pPr>
        <w:spacing w:after="120"/>
        <w:jc w:val="both"/>
        <w:rPr>
          <w:rFonts w:ascii="Arial" w:hAnsi="Arial" w:eastAsia="Calibri" w:cs="Arial"/>
          <w:sz w:val="20"/>
          <w:szCs w:val="20"/>
        </w:rPr>
      </w:pPr>
      <w:r w:rsidRPr="006C78A2">
        <w:rPr>
          <w:rFonts w:ascii="Arial" w:hAnsi="Arial" w:eastAsia="Calibri" w:cs="Arial"/>
          <w:sz w:val="20"/>
          <w:szCs w:val="20"/>
        </w:rPr>
        <w:t xml:space="preserve">[…] </w:t>
      </w:r>
      <w:r w:rsidRPr="006C78A2" w:rsidR="00BB30A4">
        <w:rPr>
          <w:rFonts w:ascii="Arial" w:hAnsi="Arial" w:eastAsia="Calibri" w:cs="Arial"/>
          <w:sz w:val="20"/>
          <w:szCs w:val="20"/>
        </w:rPr>
        <w:t>El artículo 2, parágrafo 7º, de la Ley 1150 de 2007, adicionado por el artículo 4 de la Ley 1882 de 2018, establece la obligatoriedad de la adopción de documentos tipo para diferentes procesos de selección […].</w:t>
      </w:r>
      <w:r w:rsidRPr="006C78A2" w:rsidR="00DD77F2">
        <w:rPr>
          <w:rFonts w:ascii="Arial" w:hAnsi="Arial" w:eastAsia="Calibri" w:cs="Arial"/>
          <w:sz w:val="20"/>
          <w:szCs w:val="20"/>
        </w:rPr>
        <w:t xml:space="preserve"> </w:t>
      </w:r>
    </w:p>
    <w:p w:rsidRPr="006C78A2" w:rsidR="00BB30A4" w:rsidP="0044426F" w:rsidRDefault="009927A8" w14:paraId="52FA6726" w14:textId="4D68976B">
      <w:pPr>
        <w:jc w:val="both"/>
        <w:rPr>
          <w:rFonts w:ascii="Arial" w:hAnsi="Arial" w:eastAsia="Calibri" w:cs="Arial"/>
          <w:sz w:val="20"/>
          <w:szCs w:val="20"/>
        </w:rPr>
      </w:pPr>
      <w:r w:rsidRPr="006C78A2">
        <w:rPr>
          <w:rFonts w:ascii="Arial" w:hAnsi="Arial" w:eastAsia="Calibri" w:cs="Arial"/>
          <w:sz w:val="20"/>
          <w:szCs w:val="20"/>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p>
    <w:p w:rsidRPr="006C78A2" w:rsidR="009927A8" w:rsidP="008363A2" w:rsidRDefault="009927A8" w14:paraId="0E26EFF9" w14:textId="77777777">
      <w:pPr>
        <w:pStyle w:val="Prrafodelista"/>
        <w:ind w:left="0"/>
        <w:jc w:val="both"/>
        <w:rPr>
          <w:rFonts w:ascii="Arial" w:hAnsi="Arial" w:eastAsia="Calibri" w:cs="Arial"/>
          <w:sz w:val="22"/>
        </w:rPr>
      </w:pPr>
    </w:p>
    <w:p w:rsidRPr="006C78A2" w:rsidR="00BB30A4" w:rsidP="008363A2" w:rsidRDefault="00216561" w14:paraId="6B53F49E" w14:textId="532489BC">
      <w:pPr>
        <w:jc w:val="both"/>
        <w:rPr>
          <w:rFonts w:ascii="Arial" w:hAnsi="Arial" w:eastAsia="Calibri" w:cs="Arial"/>
          <w:b/>
          <w:sz w:val="22"/>
        </w:rPr>
      </w:pPr>
      <w:r>
        <w:rPr>
          <w:rFonts w:ascii="Arial" w:hAnsi="Arial" w:eastAsia="Calibri" w:cs="Arial"/>
          <w:b/>
          <w:sz w:val="22"/>
        </w:rPr>
        <w:t>DOCUMENT</w:t>
      </w:r>
      <w:r w:rsidRPr="006C78A2">
        <w:rPr>
          <w:rFonts w:ascii="Arial" w:hAnsi="Arial" w:eastAsia="Calibri" w:cs="Arial"/>
          <w:b/>
          <w:sz w:val="22"/>
        </w:rPr>
        <w:t xml:space="preserve">OS TIPO </w:t>
      </w:r>
      <w:r w:rsidRPr="006C78A2" w:rsidR="008363A2">
        <w:rPr>
          <w:rFonts w:ascii="Arial" w:hAnsi="Arial" w:eastAsia="Calibri" w:cs="Arial"/>
          <w:b/>
          <w:sz w:val="22"/>
        </w:rPr>
        <w:t>–</w:t>
      </w:r>
      <w:r w:rsidRPr="006C78A2" w:rsidR="00BB30A4">
        <w:rPr>
          <w:rFonts w:ascii="Arial" w:hAnsi="Arial" w:eastAsia="Calibri" w:cs="Arial"/>
          <w:b/>
          <w:sz w:val="22"/>
        </w:rPr>
        <w:t xml:space="preserve"> </w:t>
      </w:r>
      <w:r w:rsidRPr="006C78A2" w:rsidR="00437E0C">
        <w:rPr>
          <w:rFonts w:ascii="Arial" w:hAnsi="Arial" w:eastAsia="Calibri" w:cs="Arial"/>
          <w:b/>
          <w:sz w:val="22"/>
        </w:rPr>
        <w:t>Finalidad legislativa</w:t>
      </w:r>
    </w:p>
    <w:p w:rsidRPr="006C78A2" w:rsidR="00BB30A4" w:rsidP="008363A2" w:rsidRDefault="00BB30A4" w14:paraId="0EDC4D1C" w14:textId="77777777">
      <w:pPr>
        <w:jc w:val="both"/>
        <w:rPr>
          <w:rFonts w:ascii="Arial" w:hAnsi="Arial" w:cs="Arial"/>
          <w:sz w:val="20"/>
          <w:szCs w:val="20"/>
        </w:rPr>
      </w:pPr>
    </w:p>
    <w:p w:rsidRPr="006C78A2" w:rsidR="00734FE4" w:rsidP="00734FE4" w:rsidRDefault="004B2423" w14:paraId="310FFB95" w14:textId="77777777">
      <w:pPr>
        <w:spacing w:after="120"/>
        <w:jc w:val="both"/>
        <w:rPr>
          <w:rFonts w:ascii="Arial" w:hAnsi="Arial" w:eastAsia="Calibri" w:cs="Arial"/>
          <w:sz w:val="20"/>
          <w:szCs w:val="20"/>
        </w:rPr>
      </w:pPr>
      <w:r w:rsidRPr="006C78A2">
        <w:rPr>
          <w:rFonts w:ascii="Arial" w:hAnsi="Arial" w:eastAsia="Calibri" w:cs="Arial"/>
          <w:sz w:val="20"/>
          <w:szCs w:val="20"/>
        </w:rPr>
        <w:t>La intención de esta medida era agilizar y darle</w:t>
      </w:r>
      <w:r w:rsidRPr="006C78A2" w:rsidR="0073685E">
        <w:rPr>
          <w:rFonts w:ascii="Arial" w:hAnsi="Arial" w:eastAsia="Calibri" w:cs="Arial"/>
          <w:sz w:val="20"/>
          <w:szCs w:val="20"/>
        </w:rPr>
        <w:t>s</w:t>
      </w:r>
      <w:r w:rsidRPr="006C78A2">
        <w:rPr>
          <w:rFonts w:ascii="Arial" w:hAnsi="Arial" w:eastAsia="Calibri" w:cs="Arial"/>
          <w:sz w:val="20"/>
          <w:szCs w:val="20"/>
        </w:rPr>
        <w:t xml:space="preserve">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p>
    <w:p w:rsidRPr="006C78A2" w:rsidR="00BB30A4" w:rsidP="008363A2" w:rsidRDefault="004007FF" w14:paraId="34775F38" w14:textId="4A2CBEF5">
      <w:pPr>
        <w:jc w:val="both"/>
        <w:rPr>
          <w:rFonts w:ascii="Arial" w:hAnsi="Arial" w:eastAsia="Calibri" w:cs="Arial"/>
          <w:sz w:val="20"/>
          <w:szCs w:val="20"/>
        </w:rPr>
      </w:pPr>
      <w:r w:rsidRPr="006C78A2">
        <w:rPr>
          <w:rFonts w:ascii="Arial" w:hAnsi="Arial" w:eastAsia="Calibri" w:cs="Arial"/>
          <w:sz w:val="20"/>
          <w:szCs w:val="20"/>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rsidRPr="006C78A2" w:rsidR="004007FF" w:rsidP="008363A2" w:rsidRDefault="004007FF" w14:paraId="6E338CC4" w14:textId="77777777">
      <w:pPr>
        <w:jc w:val="both"/>
        <w:rPr>
          <w:rFonts w:ascii="Arial" w:hAnsi="Arial" w:eastAsia="Calibri" w:cs="Arial"/>
          <w:b/>
          <w:sz w:val="20"/>
          <w:szCs w:val="20"/>
          <w:lang w:val="es-ES"/>
        </w:rPr>
      </w:pPr>
    </w:p>
    <w:p w:rsidRPr="006C78A2" w:rsidR="00BB30A4" w:rsidP="008363A2" w:rsidRDefault="00216561" w14:paraId="69999DCE" w14:textId="3BC4D9E6">
      <w:pPr>
        <w:jc w:val="both"/>
        <w:rPr>
          <w:rFonts w:ascii="Arial" w:hAnsi="Arial" w:eastAsia="Calibri" w:cs="Arial"/>
          <w:b/>
          <w:sz w:val="22"/>
        </w:rPr>
      </w:pPr>
      <w:r>
        <w:rPr>
          <w:rFonts w:ascii="Arial" w:hAnsi="Arial" w:eastAsia="Calibri" w:cs="Arial"/>
          <w:b/>
          <w:sz w:val="22"/>
        </w:rPr>
        <w:t>DOCUMENT</w:t>
      </w:r>
      <w:r w:rsidRPr="006C78A2">
        <w:rPr>
          <w:rFonts w:ascii="Arial" w:hAnsi="Arial" w:eastAsia="Calibri" w:cs="Arial"/>
          <w:b/>
          <w:sz w:val="22"/>
        </w:rPr>
        <w:t xml:space="preserve">OS TIPO </w:t>
      </w:r>
      <w:r w:rsidRPr="006C78A2" w:rsidR="008363A2">
        <w:rPr>
          <w:rFonts w:ascii="Arial" w:hAnsi="Arial" w:eastAsia="Calibri" w:cs="Arial"/>
          <w:b/>
          <w:sz w:val="22"/>
        </w:rPr>
        <w:t>–</w:t>
      </w:r>
      <w:r w:rsidRPr="006C78A2" w:rsidR="00BB30A4">
        <w:rPr>
          <w:rFonts w:ascii="Arial" w:hAnsi="Arial" w:eastAsia="Calibri" w:cs="Arial"/>
          <w:b/>
          <w:sz w:val="22"/>
        </w:rPr>
        <w:t xml:space="preserve"> Ámbito de aplicación</w:t>
      </w:r>
    </w:p>
    <w:p w:rsidRPr="006C78A2" w:rsidR="00BB30A4" w:rsidP="008363A2" w:rsidRDefault="00BB30A4" w14:paraId="4547D754" w14:textId="77777777">
      <w:pPr>
        <w:jc w:val="both"/>
        <w:rPr>
          <w:rFonts w:ascii="Arial" w:hAnsi="Arial" w:cs="Arial"/>
          <w:sz w:val="20"/>
          <w:szCs w:val="20"/>
        </w:rPr>
      </w:pPr>
    </w:p>
    <w:p w:rsidRPr="006C78A2" w:rsidR="0092237F" w:rsidP="008363A2" w:rsidRDefault="003573DB" w14:paraId="2F687486" w14:textId="2E748CA7">
      <w:pPr>
        <w:jc w:val="both"/>
        <w:rPr>
          <w:rFonts w:ascii="Arial" w:hAnsi="Arial" w:eastAsia="Calibri" w:cs="Arial"/>
          <w:sz w:val="20"/>
          <w:szCs w:val="20"/>
        </w:rPr>
      </w:pPr>
      <w:r w:rsidRPr="006C78A2">
        <w:rPr>
          <w:rFonts w:ascii="Arial" w:hAnsi="Arial" w:eastAsia="Calibri" w:cs="Arial"/>
          <w:sz w:val="20"/>
          <w:szCs w:val="20"/>
        </w:rPr>
        <w:t xml:space="preserve">[…] </w:t>
      </w:r>
      <w:r w:rsidRPr="006C78A2" w:rsidR="004007FF">
        <w:rPr>
          <w:rFonts w:ascii="Arial" w:hAnsi="Arial" w:eastAsia="Calibri" w:cs="Arial"/>
          <w:sz w:val="20"/>
          <w:szCs w:val="20"/>
        </w:rPr>
        <w:t>En l</w:t>
      </w:r>
      <w:r w:rsidRPr="006C78A2" w:rsidR="00BB30A4">
        <w:rPr>
          <w:rFonts w:ascii="Arial" w:hAnsi="Arial" w:eastAsia="Calibri" w:cs="Arial"/>
          <w:sz w:val="20"/>
          <w:szCs w:val="20"/>
        </w:rPr>
        <w:t xml:space="preserve">os </w:t>
      </w:r>
      <w:r w:rsidRPr="006C78A2" w:rsidR="004007FF">
        <w:rPr>
          <w:rFonts w:ascii="Arial" w:hAnsi="Arial" w:eastAsia="Calibri" w:cs="Arial"/>
          <w:sz w:val="20"/>
          <w:szCs w:val="20"/>
        </w:rPr>
        <w:t>Documentos Base de licitación pública y de selección abreviada se hace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Asimismo, los referidos documentos establecen, respectivamente, que «las actividades de infraestructura de transporte no contempladas en la Matriz 1 – Experiencia no tienen que aplicar los Documentos Tipo», y que «las actividades de infraestructura de transporte no contempladas en la Matriz 1 – Experiencia no tienen que aplicar los Documentos Tipo».</w:t>
      </w:r>
    </w:p>
    <w:p w:rsidRPr="006C78A2" w:rsidR="00D24BB3" w:rsidP="008363A2" w:rsidRDefault="00D24BB3" w14:paraId="48449FBC" w14:textId="6CBDA47E">
      <w:pPr>
        <w:jc w:val="both"/>
        <w:rPr>
          <w:rFonts w:ascii="Arial" w:hAnsi="Arial" w:eastAsia="Calibri" w:cs="Arial"/>
          <w:sz w:val="20"/>
          <w:szCs w:val="20"/>
        </w:rPr>
      </w:pPr>
    </w:p>
    <w:p w:rsidRPr="00452DE9" w:rsidR="00B336EF" w:rsidP="7F345C4A" w:rsidRDefault="00216561" w14:paraId="4A4B9323" w14:textId="3CB87CC6">
      <w:pPr>
        <w:pStyle w:val="Normal"/>
        <w:jc w:val="both"/>
        <w:rPr>
          <w:rFonts w:ascii="Arial" w:hAnsi="Arial" w:eastAsia="Calibri" w:cs="Arial"/>
          <w:b w:val="1"/>
          <w:bCs w:val="1"/>
          <w:sz w:val="22"/>
          <w:szCs w:val="22"/>
        </w:rPr>
      </w:pPr>
      <w:r w:rsidRPr="7F345C4A" w:rsidR="00216561">
        <w:rPr>
          <w:rFonts w:ascii="Arial" w:hAnsi="Arial" w:eastAsia="Calibri" w:cs="Arial"/>
          <w:b w:val="1"/>
          <w:bCs w:val="1"/>
          <w:sz w:val="22"/>
          <w:szCs w:val="22"/>
        </w:rPr>
        <w:t xml:space="preserve">DOCUMENTOS TIPO </w:t>
      </w:r>
      <w:r w:rsidRPr="7F345C4A" w:rsidR="00B336EF">
        <w:rPr>
          <w:rFonts w:ascii="Arial" w:hAnsi="Arial" w:eastAsia="Calibri" w:cs="Arial"/>
          <w:b w:val="1"/>
          <w:bCs w:val="1"/>
          <w:sz w:val="22"/>
          <w:szCs w:val="22"/>
        </w:rPr>
        <w:t xml:space="preserve">– Bienes o servicios adicionales </w:t>
      </w:r>
      <w:r w:rsidRPr="7F345C4A" w:rsidR="5B449FA3">
        <w:rPr>
          <w:rFonts w:ascii="Arial" w:hAnsi="Arial" w:eastAsia="Calibri" w:cs="Arial"/>
          <w:b w:val="1"/>
          <w:bCs w:val="1"/>
          <w:sz w:val="22"/>
          <w:szCs w:val="22"/>
        </w:rPr>
        <w:t>– O</w:t>
      </w:r>
      <w:r w:rsidRPr="7F345C4A" w:rsidR="00B336EF">
        <w:rPr>
          <w:rFonts w:ascii="Arial" w:hAnsi="Arial" w:eastAsia="Calibri" w:cs="Arial"/>
          <w:b w:val="1"/>
          <w:bCs w:val="1"/>
          <w:sz w:val="22"/>
          <w:szCs w:val="22"/>
        </w:rPr>
        <w:t xml:space="preserve">bra pública </w:t>
      </w:r>
      <w:r w:rsidRPr="7F345C4A" w:rsidR="6734CDBA">
        <w:rPr>
          <w:rFonts w:ascii="Arial" w:hAnsi="Arial" w:eastAsia="Calibri" w:cs="Arial"/>
          <w:b w:val="1"/>
          <w:bCs w:val="1"/>
          <w:sz w:val="22"/>
          <w:szCs w:val="22"/>
        </w:rPr>
        <w:t>–</w:t>
      </w:r>
      <w:r w:rsidRPr="7F345C4A" w:rsidR="00B336EF">
        <w:rPr>
          <w:rFonts w:ascii="Arial" w:hAnsi="Arial" w:eastAsia="Calibri" w:cs="Arial"/>
          <w:b w:val="1"/>
          <w:bCs w:val="1"/>
          <w:sz w:val="22"/>
          <w:szCs w:val="22"/>
        </w:rPr>
        <w:t xml:space="preserve"> </w:t>
      </w:r>
      <w:r w:rsidRPr="7F345C4A" w:rsidR="7575E7F0">
        <w:rPr>
          <w:rFonts w:ascii="Arial" w:hAnsi="Arial" w:eastAsia="Calibri" w:cs="Arial"/>
          <w:b w:val="1"/>
          <w:bCs w:val="1"/>
          <w:sz w:val="22"/>
          <w:szCs w:val="22"/>
        </w:rPr>
        <w:t>I</w:t>
      </w:r>
      <w:r w:rsidRPr="7F345C4A" w:rsidR="00B336EF">
        <w:rPr>
          <w:rFonts w:ascii="Arial" w:hAnsi="Arial" w:eastAsia="Calibri" w:cs="Arial"/>
          <w:b w:val="1"/>
          <w:bCs w:val="1"/>
          <w:sz w:val="22"/>
          <w:szCs w:val="22"/>
        </w:rPr>
        <w:t xml:space="preserve">nfraestructura de transporte </w:t>
      </w:r>
    </w:p>
    <w:p w:rsidR="00B336EF" w:rsidP="00B336EF" w:rsidRDefault="00B336EF" w14:paraId="505890F0" w14:textId="77777777">
      <w:pPr>
        <w:jc w:val="both"/>
        <w:rPr>
          <w:rFonts w:ascii="Arial" w:hAnsi="Arial" w:eastAsia="Calibri" w:cs="Arial"/>
          <w:sz w:val="20"/>
          <w:szCs w:val="20"/>
        </w:rPr>
      </w:pPr>
    </w:p>
    <w:p w:rsidRPr="00452DE9" w:rsidR="00B336EF" w:rsidP="00B336EF" w:rsidRDefault="00B336EF" w14:paraId="6038FA22" w14:textId="77777777">
      <w:pPr>
        <w:jc w:val="both"/>
        <w:rPr>
          <w:rFonts w:ascii="Arial" w:hAnsi="Arial" w:eastAsia="Calibri" w:cs="Arial"/>
          <w:sz w:val="18"/>
          <w:szCs w:val="18"/>
        </w:rPr>
      </w:pPr>
      <w:r w:rsidRPr="00452DE9">
        <w:rPr>
          <w:rFonts w:ascii="Arial" w:hAnsi="Arial" w:cs="Arial"/>
          <w:sz w:val="20"/>
          <w:szCs w:val="20"/>
        </w:rPr>
        <w:t>El artículo en cita</w:t>
      </w:r>
      <w:r>
        <w:rPr>
          <w:rFonts w:ascii="Arial" w:hAnsi="Arial" w:cs="Arial"/>
          <w:sz w:val="20"/>
          <w:szCs w:val="20"/>
        </w:rPr>
        <w:t xml:space="preserve"> [</w:t>
      </w:r>
      <w:r w:rsidRPr="00452DE9">
        <w:rPr>
          <w:rFonts w:ascii="Arial" w:hAnsi="Arial" w:cs="Arial"/>
          <w:sz w:val="20"/>
          <w:szCs w:val="20"/>
        </w:rPr>
        <w:t>2.2.1.2.6.1.5. del Decreto 1082 de 2015</w:t>
      </w:r>
      <w:r>
        <w:rPr>
          <w:rFonts w:ascii="Arial" w:hAnsi="Arial" w:cs="Arial"/>
          <w:sz w:val="20"/>
          <w:szCs w:val="20"/>
        </w:rPr>
        <w:t>]</w:t>
      </w:r>
      <w:r w:rsidRPr="00452DE9">
        <w:rPr>
          <w:rFonts w:ascii="Arial" w:hAnsi="Arial" w:cs="Arial"/>
          <w:sz w:val="20"/>
          <w:szCs w:val="20"/>
        </w:rPr>
        <w:t xml:space="preserve"> establece de manera clara que en los casos en los que el objeto contractual, además de la intervención de infraestructura vial, involucre bienes o servicios adicionales a la obra publica de infraestructura de transporte, deberán aplicarse los Documentos Tipo, estableciendo además unos parámetros para la configuración de la requisitos de experiencia adicionales a los establecidos en la Matriz 1, aplicables cuando sean requeridos para evaluar la idoneidad de los proponentes en el desarrollo de las bienes o servicios adicionales a la obra pública de infraestructura de transporte que se pretenden contratar. Conforme a esto, el hecho </w:t>
      </w:r>
      <w:r w:rsidRPr="00452DE9">
        <w:rPr>
          <w:rFonts w:ascii="Arial" w:hAnsi="Arial" w:cs="Arial"/>
          <w:sz w:val="20"/>
          <w:szCs w:val="20"/>
        </w:rPr>
        <w:lastRenderedPageBreak/>
        <w:t>que el objeto contractual abarque bienes o servicios adicionales a la obra pública de infraestructura de transporte, no va en detrimento de la obligatoria aplicación de los Documentos Tipo.</w:t>
      </w:r>
    </w:p>
    <w:p w:rsidR="00B336EF" w:rsidP="00B336EF" w:rsidRDefault="00B336EF" w14:paraId="6D53FE31" w14:textId="77777777">
      <w:pPr>
        <w:jc w:val="both"/>
        <w:rPr>
          <w:rFonts w:ascii="Arial" w:hAnsi="Arial" w:eastAsia="Calibri" w:cs="Arial"/>
          <w:b/>
          <w:bCs/>
          <w:sz w:val="22"/>
        </w:rPr>
      </w:pPr>
    </w:p>
    <w:p w:rsidRPr="00DA3100" w:rsidR="00B336EF" w:rsidP="7F345C4A" w:rsidRDefault="00216561" w14:paraId="7CC01855" w14:textId="211C11A8">
      <w:pPr>
        <w:pStyle w:val="Normal"/>
        <w:jc w:val="both"/>
        <w:rPr>
          <w:rFonts w:ascii="Arial" w:hAnsi="Arial" w:eastAsia="Calibri" w:cs="Arial"/>
          <w:b w:val="1"/>
          <w:bCs w:val="1"/>
          <w:sz w:val="22"/>
          <w:szCs w:val="22"/>
        </w:rPr>
      </w:pPr>
      <w:r w:rsidRPr="7F345C4A" w:rsidR="00216561">
        <w:rPr>
          <w:rFonts w:ascii="Arial" w:hAnsi="Arial" w:eastAsia="Calibri" w:cs="Arial"/>
          <w:b w:val="1"/>
          <w:bCs w:val="1"/>
          <w:sz w:val="22"/>
          <w:szCs w:val="22"/>
        </w:rPr>
        <w:t>DOCUMENT</w:t>
      </w:r>
      <w:r w:rsidRPr="7F345C4A" w:rsidR="00216561">
        <w:rPr>
          <w:rFonts w:ascii="Arial" w:hAnsi="Arial" w:eastAsia="Calibri" w:cs="Arial"/>
          <w:b w:val="1"/>
          <w:bCs w:val="1"/>
          <w:sz w:val="22"/>
          <w:szCs w:val="22"/>
        </w:rPr>
        <w:t xml:space="preserve">OS TIPO </w:t>
      </w:r>
      <w:r w:rsidRPr="7F345C4A" w:rsidR="00B336EF">
        <w:rPr>
          <w:rFonts w:ascii="Arial" w:hAnsi="Arial" w:eastAsia="Calibri" w:cs="Arial"/>
          <w:b w:val="1"/>
          <w:bCs w:val="1"/>
          <w:sz w:val="22"/>
          <w:szCs w:val="22"/>
        </w:rPr>
        <w:t xml:space="preserve">– Bienes o servicios adicionales </w:t>
      </w:r>
      <w:r w:rsidRPr="7F345C4A" w:rsidR="744DE927">
        <w:rPr>
          <w:rFonts w:ascii="Arial" w:hAnsi="Arial" w:eastAsia="Calibri" w:cs="Arial"/>
          <w:b w:val="1"/>
          <w:bCs w:val="1"/>
          <w:sz w:val="22"/>
          <w:szCs w:val="22"/>
        </w:rPr>
        <w:t>– O</w:t>
      </w:r>
      <w:r w:rsidRPr="7F345C4A" w:rsidR="00B336EF">
        <w:rPr>
          <w:rFonts w:ascii="Arial" w:hAnsi="Arial" w:eastAsia="Calibri" w:cs="Arial"/>
          <w:b w:val="1"/>
          <w:bCs w:val="1"/>
          <w:sz w:val="22"/>
          <w:szCs w:val="22"/>
        </w:rPr>
        <w:t xml:space="preserve">bra pública </w:t>
      </w:r>
      <w:r w:rsidRPr="7F345C4A" w:rsidR="4292D596">
        <w:rPr>
          <w:rFonts w:ascii="Arial" w:hAnsi="Arial" w:eastAsia="Calibri" w:cs="Arial"/>
          <w:b w:val="1"/>
          <w:bCs w:val="1"/>
          <w:sz w:val="22"/>
          <w:szCs w:val="22"/>
        </w:rPr>
        <w:t>–</w:t>
      </w:r>
      <w:r w:rsidRPr="7F345C4A" w:rsidR="00B336EF">
        <w:rPr>
          <w:rFonts w:ascii="Arial" w:hAnsi="Arial" w:eastAsia="Calibri" w:cs="Arial"/>
          <w:b w:val="1"/>
          <w:bCs w:val="1"/>
          <w:sz w:val="22"/>
          <w:szCs w:val="22"/>
        </w:rPr>
        <w:t xml:space="preserve"> </w:t>
      </w:r>
      <w:r w:rsidRPr="7F345C4A" w:rsidR="7B6FC328">
        <w:rPr>
          <w:rFonts w:ascii="Arial" w:hAnsi="Arial" w:eastAsia="Calibri" w:cs="Arial"/>
          <w:b w:val="1"/>
          <w:bCs w:val="1"/>
          <w:sz w:val="22"/>
          <w:szCs w:val="22"/>
        </w:rPr>
        <w:t>I</w:t>
      </w:r>
      <w:r w:rsidRPr="7F345C4A" w:rsidR="00B336EF">
        <w:rPr>
          <w:rFonts w:ascii="Arial" w:hAnsi="Arial" w:eastAsia="Calibri" w:cs="Arial"/>
          <w:b w:val="1"/>
          <w:bCs w:val="1"/>
          <w:sz w:val="22"/>
          <w:szCs w:val="22"/>
        </w:rPr>
        <w:t xml:space="preserve">nfraestructura de transporte – </w:t>
      </w:r>
      <w:r w:rsidRPr="7F345C4A" w:rsidR="00B336EF">
        <w:rPr>
          <w:rFonts w:ascii="Arial" w:hAnsi="Arial" w:eastAsia="Calibri" w:cs="Arial"/>
          <w:b w:val="1"/>
          <w:bCs w:val="1"/>
          <w:sz w:val="22"/>
          <w:szCs w:val="22"/>
        </w:rPr>
        <w:t>Infraestructura vial urbana</w:t>
      </w:r>
    </w:p>
    <w:p w:rsidR="00B336EF" w:rsidP="00B336EF" w:rsidRDefault="00B336EF" w14:paraId="70727920" w14:textId="77777777">
      <w:pPr>
        <w:jc w:val="both"/>
        <w:rPr>
          <w:rFonts w:ascii="Arial" w:hAnsi="Arial" w:eastAsia="Calibri" w:cs="Arial"/>
          <w:sz w:val="20"/>
          <w:szCs w:val="20"/>
        </w:rPr>
      </w:pPr>
    </w:p>
    <w:p w:rsidRPr="00DA3100" w:rsidR="00B336EF" w:rsidP="00B336EF" w:rsidRDefault="00B336EF" w14:paraId="729DB164" w14:textId="15F35036">
      <w:pPr>
        <w:jc w:val="both"/>
        <w:rPr>
          <w:rFonts w:ascii="Arial" w:hAnsi="Arial" w:eastAsia="Calibri" w:cs="Arial"/>
          <w:sz w:val="20"/>
          <w:szCs w:val="20"/>
        </w:rPr>
      </w:pPr>
      <w:r>
        <w:rPr>
          <w:rFonts w:ascii="Arial" w:hAnsi="Arial" w:eastAsia="Calibri" w:cs="Arial"/>
          <w:sz w:val="20"/>
          <w:szCs w:val="20"/>
        </w:rPr>
        <w:t xml:space="preserve">[…] </w:t>
      </w:r>
      <w:r w:rsidRPr="00DA3100">
        <w:rPr>
          <w:rFonts w:ascii="Arial" w:hAnsi="Arial" w:eastAsia="Calibri" w:cs="Arial"/>
          <w:sz w:val="20"/>
          <w:szCs w:val="20"/>
        </w:rPr>
        <w:t>si el objeto del contrato en el que se incluye un componente de mantenimiento de redes hidrosanitarias está dirigido al adelantamiento de proyectos de construcción, mejoramiento o rehabilitación de vías urbanas,  o a proyectos de construcción o reforzamiento de infraestructura de sistemas de transporte masivo, deberán aplicarse los Documentos Tipo y configurarse las condiciones de experiencia general y espec</w:t>
      </w:r>
      <w:r w:rsidR="00F23F8A">
        <w:rPr>
          <w:rFonts w:ascii="Arial" w:hAnsi="Arial" w:eastAsia="Calibri" w:cs="Arial"/>
          <w:sz w:val="20"/>
          <w:szCs w:val="20"/>
        </w:rPr>
        <w:t>í</w:t>
      </w:r>
      <w:r w:rsidRPr="00DA3100">
        <w:rPr>
          <w:rFonts w:ascii="Arial" w:hAnsi="Arial" w:eastAsia="Calibri" w:cs="Arial"/>
          <w:sz w:val="20"/>
          <w:szCs w:val="20"/>
        </w:rPr>
        <w:t xml:space="preserve">fica de acuerdo a lo establecido en los numeral 6.1 y 6.11 de la Matriz 1, según corresponda, sin que sea necesario, en principio, acudir a los parámetros del artículo 2.2.1.2.6.1.5. </w:t>
      </w:r>
      <w:r w:rsidRPr="00DA3100">
        <w:rPr>
          <w:rFonts w:ascii="Arial" w:hAnsi="Arial" w:eastAsia="Calibri" w:cs="Arial"/>
          <w:i/>
          <w:iCs/>
          <w:sz w:val="20"/>
          <w:szCs w:val="20"/>
        </w:rPr>
        <w:t>Ibídem</w:t>
      </w:r>
      <w:r w:rsidRPr="00DA3100">
        <w:rPr>
          <w:rFonts w:ascii="Arial" w:hAnsi="Arial" w:eastAsia="Calibri" w:cs="Arial"/>
          <w:sz w:val="20"/>
          <w:szCs w:val="20"/>
        </w:rPr>
        <w:t xml:space="preserve"> ya que los referidos numerales establecen requisitos de experiencia para actividades relacionadas con la intervención de redes de servicios públicos. No obstante, si la entidad determina que las condiciones del objeto del contrato, en lo referente a la intervención de las redes hidrosanitarias, precisan de la exigencia de requisitos de experiencia adicionales a los establecidos en la Matriz 1, en aras de evaluar la idoneidad de los participantes del proceso para la ejecución del objeto del contrato, podrá exigir experiencia adicional de conformidad con los parámetros establecidos en el artículo 2.2.1.2.6.1.5. del Decreto 1082 de 2015.</w:t>
      </w:r>
    </w:p>
    <w:p w:rsidRPr="00C73AB2" w:rsidR="00FF355E" w:rsidP="00FF355E" w:rsidRDefault="00FF355E" w14:paraId="148A36EC" w14:textId="77777777">
      <w:pPr>
        <w:autoSpaceDE w:val="0"/>
        <w:autoSpaceDN w:val="0"/>
        <w:adjustRightInd w:val="0"/>
        <w:rPr>
          <w:rFonts w:ascii="Arial" w:hAnsi="Arial" w:cs="Arial"/>
          <w:sz w:val="20"/>
          <w:szCs w:val="20"/>
          <w:lang w:val="es-CO"/>
        </w:rPr>
      </w:pPr>
    </w:p>
    <w:p w:rsidRPr="00ED1399" w:rsidR="00ED1399" w:rsidP="00ED1399" w:rsidRDefault="00ED1399" w14:paraId="43FAAC14" w14:textId="77777777">
      <w:pPr>
        <w:autoSpaceDE w:val="0"/>
        <w:autoSpaceDN w:val="0"/>
        <w:adjustRightInd w:val="0"/>
        <w:rPr>
          <w:rFonts w:ascii="Arial" w:hAnsi="Arial" w:cs="Arial"/>
          <w:color w:val="000000"/>
          <w:szCs w:val="24"/>
          <w:lang w:val="es-CO"/>
        </w:rPr>
      </w:pPr>
    </w:p>
    <w:p w:rsidRPr="00ED1399" w:rsidR="00ED1399" w:rsidP="00ED1399" w:rsidRDefault="00ED1399" w14:paraId="02A854CF" w14:textId="2D11908A">
      <w:pPr>
        <w:autoSpaceDE w:val="0"/>
        <w:autoSpaceDN w:val="0"/>
        <w:adjustRightInd w:val="0"/>
        <w:rPr>
          <w:rFonts w:ascii="Arial" w:hAnsi="Arial" w:cs="Arial"/>
          <w:color w:val="000000"/>
          <w:sz w:val="22"/>
          <w:lang w:val="es-CO"/>
        </w:rPr>
      </w:pPr>
      <w:r w:rsidRPr="00ED1399">
        <w:rPr>
          <w:rFonts w:ascii="Arial" w:hAnsi="Arial" w:cs="Arial"/>
          <w:color w:val="000000"/>
          <w:sz w:val="22"/>
          <w:lang w:val="es-CO"/>
        </w:rPr>
        <w:t xml:space="preserve">Bogotá D.C., </w:t>
      </w:r>
      <w:r w:rsidRPr="00ED1399">
        <w:rPr>
          <w:rFonts w:ascii="Arial" w:hAnsi="Arial" w:cs="Arial"/>
          <w:b/>
          <w:bCs/>
          <w:color w:val="000000"/>
          <w:sz w:val="22"/>
          <w:lang w:val="es-CO"/>
        </w:rPr>
        <w:t xml:space="preserve">04/06/2020 Hora 20:27:48s </w:t>
      </w:r>
    </w:p>
    <w:p w:rsidRPr="00C73AB2" w:rsidR="00121DAD" w:rsidP="00ED1399" w:rsidRDefault="00ED1399" w14:paraId="218A2443" w14:textId="0ECA3F00">
      <w:pPr>
        <w:jc w:val="right"/>
        <w:rPr>
          <w:rFonts w:ascii="Arial" w:hAnsi="Arial" w:eastAsia="Calibri" w:cs="Arial"/>
          <w:sz w:val="22"/>
        </w:rPr>
      </w:pPr>
      <w:proofErr w:type="spellStart"/>
      <w:r w:rsidRPr="00ED1399">
        <w:rPr>
          <w:rFonts w:ascii="Arial" w:hAnsi="Arial" w:cs="Arial"/>
          <w:b/>
          <w:bCs/>
          <w:color w:val="000000"/>
          <w:sz w:val="22"/>
          <w:lang w:val="es-CO"/>
        </w:rPr>
        <w:t>N°</w:t>
      </w:r>
      <w:proofErr w:type="spellEnd"/>
      <w:r w:rsidRPr="00ED1399">
        <w:rPr>
          <w:rFonts w:ascii="Arial" w:hAnsi="Arial" w:cs="Arial"/>
          <w:b/>
          <w:bCs/>
          <w:color w:val="000000"/>
          <w:sz w:val="22"/>
          <w:lang w:val="es-CO"/>
        </w:rPr>
        <w:t xml:space="preserve"> Radicado: 2202013000004602</w:t>
      </w:r>
    </w:p>
    <w:p w:rsidRPr="00C73AB2" w:rsidR="00B96957" w:rsidP="0092237F" w:rsidRDefault="00B96957" w14:paraId="38D3C8B0" w14:textId="77777777">
      <w:pPr>
        <w:rPr>
          <w:rFonts w:ascii="Arial" w:hAnsi="Arial" w:eastAsia="Calibri" w:cs="Arial"/>
          <w:sz w:val="22"/>
        </w:rPr>
      </w:pPr>
    </w:p>
    <w:p w:rsidRPr="00C73AB2" w:rsidR="005010AE" w:rsidP="0092237F" w:rsidRDefault="0092237F" w14:paraId="41ED2045" w14:textId="77777777">
      <w:pPr>
        <w:rPr>
          <w:rFonts w:ascii="Arial" w:hAnsi="Arial" w:eastAsia="Calibri" w:cs="Arial"/>
          <w:sz w:val="22"/>
        </w:rPr>
      </w:pPr>
      <w:r w:rsidRPr="00C73AB2">
        <w:rPr>
          <w:rFonts w:ascii="Arial" w:hAnsi="Arial" w:eastAsia="Calibri" w:cs="Arial"/>
          <w:sz w:val="22"/>
        </w:rPr>
        <w:t xml:space="preserve">Señor </w:t>
      </w:r>
    </w:p>
    <w:p w:rsidRPr="00C73AB2" w:rsidR="0092237F" w:rsidP="0092237F" w:rsidRDefault="00C73AB2" w14:paraId="35D346F3" w14:textId="37247F12">
      <w:pPr>
        <w:rPr>
          <w:rFonts w:ascii="Arial" w:hAnsi="Arial" w:eastAsia="Calibri" w:cs="Arial"/>
          <w:b/>
          <w:sz w:val="22"/>
        </w:rPr>
      </w:pPr>
      <w:r w:rsidRPr="00C73AB2">
        <w:rPr>
          <w:rFonts w:ascii="Arial" w:hAnsi="Arial" w:eastAsia="Calibri" w:cs="Arial"/>
          <w:b/>
          <w:sz w:val="22"/>
        </w:rPr>
        <w:t>Oscar Lizarazo Peña</w:t>
      </w:r>
    </w:p>
    <w:p w:rsidRPr="00C73AB2" w:rsidR="0092237F" w:rsidP="0092237F" w:rsidRDefault="00C73AB2" w14:paraId="0555B7AA" w14:textId="3FE4D760">
      <w:pPr>
        <w:rPr>
          <w:rFonts w:ascii="Arial" w:hAnsi="Arial" w:eastAsia="Calibri" w:cs="Arial"/>
          <w:sz w:val="22"/>
        </w:rPr>
      </w:pPr>
      <w:r w:rsidRPr="00C73AB2">
        <w:rPr>
          <w:rFonts w:ascii="Arial" w:hAnsi="Arial" w:eastAsia="Calibri" w:cs="Arial"/>
          <w:sz w:val="22"/>
        </w:rPr>
        <w:t>Cúcuta, Norte de Santander</w:t>
      </w:r>
    </w:p>
    <w:p w:rsidRPr="00C73AB2" w:rsidR="00CE1723" w:rsidP="0092237F" w:rsidRDefault="00CE1723" w14:paraId="586EEE88" w14:textId="2FC6DE2E">
      <w:pPr>
        <w:rPr>
          <w:rFonts w:ascii="Arial" w:hAnsi="Arial" w:eastAsia="Calibri" w:cs="Arial"/>
          <w:color w:val="FF0000"/>
          <w:sz w:val="22"/>
        </w:rPr>
      </w:pPr>
    </w:p>
    <w:p w:rsidRPr="00C73AB2" w:rsidR="00CE1723" w:rsidP="0092237F" w:rsidRDefault="00CE1723" w14:paraId="1E605D97" w14:textId="77777777">
      <w:pPr>
        <w:rPr>
          <w:rFonts w:ascii="Arial" w:hAnsi="Arial" w:eastAsia="Calibri" w:cs="Arial"/>
          <w:color w:val="FF0000"/>
          <w:sz w:val="22"/>
        </w:rPr>
      </w:pPr>
    </w:p>
    <w:p w:rsidRPr="006C78A2" w:rsidR="0092237F" w:rsidP="0092237F" w:rsidRDefault="0092237F" w14:paraId="4473B100" w14:textId="6D326206">
      <w:pPr>
        <w:jc w:val="center"/>
        <w:rPr>
          <w:rFonts w:ascii="Arial" w:hAnsi="Arial" w:eastAsia="Calibri" w:cs="Arial"/>
          <w:b/>
          <w:sz w:val="22"/>
        </w:rPr>
      </w:pPr>
      <w:bookmarkStart w:name="_Hlk29890381" w:id="2"/>
      <w:r w:rsidRPr="006C78A2">
        <w:rPr>
          <w:rFonts w:ascii="Arial" w:hAnsi="Arial" w:eastAsia="Calibri" w:cs="Arial"/>
          <w:b/>
          <w:sz w:val="22"/>
        </w:rPr>
        <w:t xml:space="preserve">Concepto C </w:t>
      </w:r>
      <w:r w:rsidR="00A46D7F">
        <w:rPr>
          <w:rFonts w:ascii="Arial" w:hAnsi="Arial" w:eastAsia="Calibri" w:cs="Arial"/>
          <w:b/>
          <w:sz w:val="22"/>
        </w:rPr>
        <w:t>–</w:t>
      </w:r>
      <w:r w:rsidRPr="006C78A2">
        <w:rPr>
          <w:rFonts w:ascii="Arial" w:hAnsi="Arial" w:eastAsia="Calibri" w:cs="Arial"/>
          <w:b/>
          <w:sz w:val="22"/>
        </w:rPr>
        <w:t>─</w:t>
      </w:r>
      <w:r w:rsidRPr="006C78A2" w:rsidR="00C73AB2">
        <w:rPr>
          <w:rFonts w:ascii="Arial" w:hAnsi="Arial" w:eastAsia="Calibri" w:cs="Arial"/>
          <w:b/>
          <w:sz w:val="22"/>
        </w:rPr>
        <w:t>338</w:t>
      </w:r>
      <w:r w:rsidRPr="006C78A2">
        <w:rPr>
          <w:rFonts w:ascii="Arial" w:hAnsi="Arial" w:eastAsia="Calibri" w:cs="Arial"/>
          <w:b/>
          <w:sz w:val="22"/>
        </w:rPr>
        <w:t xml:space="preserve"> de 2020</w:t>
      </w:r>
    </w:p>
    <w:p w:rsidRPr="006C78A2" w:rsidR="0092237F" w:rsidP="0092237F" w:rsidRDefault="0092237F" w14:paraId="255A2857" w14:textId="77777777">
      <w:pPr>
        <w:rPr>
          <w:rFonts w:ascii="Arial" w:hAnsi="Arial" w:eastAsia="Calibri" w:cs="Arial"/>
          <w:sz w:val="22"/>
        </w:rPr>
      </w:pPr>
    </w:p>
    <w:tbl>
      <w:tblPr>
        <w:tblStyle w:val="Tablaconcuadrcula"/>
        <w:tblW w:w="8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58"/>
        <w:gridCol w:w="6167"/>
      </w:tblGrid>
      <w:tr w:rsidRPr="006C78A2" w:rsidR="006C78A2" w:rsidTr="006C78A2" w14:paraId="577F589B" w14:textId="77777777">
        <w:trPr>
          <w:trHeight w:val="1346"/>
        </w:trPr>
        <w:tc>
          <w:tcPr>
            <w:tcW w:w="2658" w:type="dxa"/>
            <w:hideMark/>
          </w:tcPr>
          <w:p w:rsidRPr="006C78A2" w:rsidR="0092237F" w:rsidP="00446BC1" w:rsidRDefault="0092237F" w14:paraId="0ECA5532" w14:textId="77777777">
            <w:pPr>
              <w:rPr>
                <w:rFonts w:ascii="Arial" w:hAnsi="Arial" w:eastAsia="Calibri" w:cs="Arial"/>
                <w:sz w:val="22"/>
              </w:rPr>
            </w:pPr>
            <w:r w:rsidRPr="006C78A2">
              <w:rPr>
                <w:rFonts w:ascii="Arial" w:hAnsi="Arial" w:eastAsia="Calibri" w:cs="Arial"/>
                <w:b/>
                <w:sz w:val="22"/>
              </w:rPr>
              <w:t>Temas:</w:t>
            </w:r>
            <w:r w:rsidRPr="006C78A2">
              <w:rPr>
                <w:rFonts w:ascii="Arial" w:hAnsi="Arial" w:eastAsia="Calibri" w:cs="Arial"/>
                <w:sz w:val="22"/>
              </w:rPr>
              <w:t xml:space="preserve">           </w:t>
            </w:r>
          </w:p>
          <w:p w:rsidRPr="006C78A2" w:rsidR="0092237F" w:rsidP="00446BC1" w:rsidRDefault="0092237F" w14:paraId="03330C80" w14:textId="77777777">
            <w:pPr>
              <w:rPr>
                <w:rFonts w:ascii="Arial" w:hAnsi="Arial" w:eastAsia="Calibri" w:cs="Arial"/>
                <w:sz w:val="22"/>
              </w:rPr>
            </w:pPr>
            <w:r w:rsidRPr="006C78A2">
              <w:rPr>
                <w:rFonts w:ascii="Arial" w:hAnsi="Arial" w:eastAsia="Calibri" w:cs="Arial"/>
                <w:sz w:val="22"/>
              </w:rPr>
              <w:t xml:space="preserve">                           </w:t>
            </w:r>
          </w:p>
        </w:tc>
        <w:tc>
          <w:tcPr>
            <w:tcW w:w="6167" w:type="dxa"/>
            <w:hideMark/>
          </w:tcPr>
          <w:p w:rsidRPr="001774B0" w:rsidR="0092237F" w:rsidP="00446BC1" w:rsidRDefault="00216561" w14:paraId="587339DB" w14:textId="112E1C4A">
            <w:pPr>
              <w:jc w:val="both"/>
              <w:rPr>
                <w:rFonts w:ascii="Arial" w:hAnsi="Arial" w:eastAsia="Calibri" w:cs="Arial"/>
                <w:sz w:val="21"/>
                <w:szCs w:val="21"/>
              </w:rPr>
            </w:pPr>
            <w:r w:rsidRPr="001774B0">
              <w:rPr>
                <w:rFonts w:ascii="Arial" w:hAnsi="Arial" w:eastAsia="Calibri" w:cs="Arial"/>
                <w:sz w:val="22"/>
              </w:rPr>
              <w:t xml:space="preserve">DOCUMENTOS TIPO </w:t>
            </w:r>
            <w:r w:rsidRPr="00216561" w:rsidR="006C78A2">
              <w:rPr>
                <w:rFonts w:ascii="Arial" w:hAnsi="Arial" w:eastAsia="Calibri" w:cs="Arial"/>
                <w:sz w:val="22"/>
              </w:rPr>
              <w:t xml:space="preserve">– Obligatoriedad / </w:t>
            </w:r>
            <w:r w:rsidRPr="001774B0">
              <w:rPr>
                <w:rFonts w:ascii="Arial" w:hAnsi="Arial" w:eastAsia="Calibri" w:cs="Arial"/>
                <w:sz w:val="22"/>
              </w:rPr>
              <w:t xml:space="preserve">DOCUMENTOS TIPO </w:t>
            </w:r>
            <w:r w:rsidRPr="00216561" w:rsidR="006C78A2">
              <w:rPr>
                <w:rFonts w:ascii="Arial" w:hAnsi="Arial" w:eastAsia="Calibri" w:cs="Arial"/>
                <w:sz w:val="22"/>
              </w:rPr>
              <w:t xml:space="preserve">– Finalidad legislativa / </w:t>
            </w:r>
            <w:r w:rsidRPr="001774B0">
              <w:rPr>
                <w:rFonts w:ascii="Arial" w:hAnsi="Arial" w:eastAsia="Calibri" w:cs="Arial"/>
                <w:sz w:val="22"/>
              </w:rPr>
              <w:t xml:space="preserve">DOCUMENTOS TIPO </w:t>
            </w:r>
            <w:r w:rsidRPr="00216561" w:rsidR="006C78A2">
              <w:rPr>
                <w:rFonts w:ascii="Arial" w:hAnsi="Arial" w:eastAsia="Calibri" w:cs="Arial"/>
                <w:sz w:val="22"/>
              </w:rPr>
              <w:t xml:space="preserve">– Adquisición de bienes y servicios adicionales a la obra pública de infraestructura / </w:t>
            </w:r>
            <w:r w:rsidRPr="001774B0">
              <w:rPr>
                <w:rFonts w:ascii="Arial" w:hAnsi="Arial" w:eastAsia="Calibri" w:cs="Arial"/>
                <w:sz w:val="22"/>
              </w:rPr>
              <w:t xml:space="preserve">DOCUMENTOS TIPO </w:t>
            </w:r>
            <w:r w:rsidRPr="00216561" w:rsidR="006C78A2">
              <w:rPr>
                <w:rFonts w:ascii="Arial" w:hAnsi="Arial" w:eastAsia="Calibri" w:cs="Arial"/>
                <w:sz w:val="22"/>
              </w:rPr>
              <w:t xml:space="preserve">– Ámbito de aplicación / </w:t>
            </w:r>
            <w:r w:rsidRPr="001774B0">
              <w:rPr>
                <w:rFonts w:ascii="Arial" w:hAnsi="Arial" w:eastAsia="Calibri" w:cs="Arial"/>
                <w:sz w:val="22"/>
              </w:rPr>
              <w:t xml:space="preserve">DOCUMENTOS TIPO </w:t>
            </w:r>
            <w:r w:rsidRPr="00216561" w:rsidR="006C78A2">
              <w:rPr>
                <w:rFonts w:ascii="Arial" w:hAnsi="Arial" w:eastAsia="Calibri" w:cs="Arial"/>
                <w:sz w:val="22"/>
              </w:rPr>
              <w:t xml:space="preserve">– Mantenimiento de redes hidrosanitarias  </w:t>
            </w:r>
          </w:p>
        </w:tc>
      </w:tr>
      <w:tr w:rsidRPr="006C78A2" w:rsidR="006C78A2" w:rsidTr="006C78A2" w14:paraId="327C34F0" w14:textId="77777777">
        <w:trPr>
          <w:trHeight w:val="641"/>
        </w:trPr>
        <w:tc>
          <w:tcPr>
            <w:tcW w:w="2658" w:type="dxa"/>
            <w:hideMark/>
          </w:tcPr>
          <w:p w:rsidRPr="006C78A2" w:rsidR="0092237F" w:rsidP="00BE66EA" w:rsidRDefault="0092237F" w14:paraId="4B771F2E" w14:textId="77777777">
            <w:pPr>
              <w:spacing w:before="120"/>
              <w:rPr>
                <w:rFonts w:ascii="Arial" w:hAnsi="Arial" w:eastAsia="Calibri" w:cs="Arial"/>
                <w:b/>
                <w:sz w:val="22"/>
              </w:rPr>
            </w:pPr>
            <w:r w:rsidRPr="006C78A2">
              <w:rPr>
                <w:rFonts w:ascii="Arial" w:hAnsi="Arial" w:eastAsia="Calibri" w:cs="Arial"/>
                <w:b/>
                <w:sz w:val="22"/>
              </w:rPr>
              <w:t>Radicación:</w:t>
            </w:r>
            <w:r w:rsidRPr="006C78A2">
              <w:rPr>
                <w:rFonts w:ascii="Arial" w:hAnsi="Arial" w:eastAsia="Calibri" w:cs="Arial"/>
                <w:sz w:val="22"/>
              </w:rPr>
              <w:t xml:space="preserve">                              </w:t>
            </w:r>
          </w:p>
        </w:tc>
        <w:tc>
          <w:tcPr>
            <w:tcW w:w="6167" w:type="dxa"/>
            <w:hideMark/>
          </w:tcPr>
          <w:p w:rsidRPr="006C78A2" w:rsidR="0092237F" w:rsidP="00BE66EA" w:rsidRDefault="0092237F" w14:paraId="33F3FEA1" w14:textId="2F3AD938">
            <w:pPr>
              <w:spacing w:before="120"/>
              <w:jc w:val="both"/>
              <w:rPr>
                <w:rFonts w:ascii="Arial" w:hAnsi="Arial" w:eastAsia="Calibri" w:cs="Arial"/>
                <w:sz w:val="22"/>
              </w:rPr>
            </w:pPr>
            <w:r w:rsidRPr="006C78A2">
              <w:rPr>
                <w:rFonts w:ascii="Arial" w:hAnsi="Arial" w:eastAsia="Calibri" w:cs="Arial"/>
                <w:sz w:val="22"/>
              </w:rPr>
              <w:t xml:space="preserve">Respuesta a </w:t>
            </w:r>
            <w:r w:rsidRPr="006C78A2" w:rsidR="00CE1723">
              <w:rPr>
                <w:rFonts w:ascii="Arial" w:hAnsi="Arial" w:eastAsia="Calibri" w:cs="Arial"/>
                <w:sz w:val="22"/>
              </w:rPr>
              <w:t xml:space="preserve">la </w:t>
            </w:r>
            <w:r w:rsidRPr="006C78A2">
              <w:rPr>
                <w:rFonts w:ascii="Arial" w:hAnsi="Arial" w:eastAsia="Calibri" w:cs="Arial"/>
                <w:sz w:val="22"/>
              </w:rPr>
              <w:t xml:space="preserve">consulta # </w:t>
            </w:r>
            <w:r w:rsidRPr="006C78A2" w:rsidR="00C73AB2">
              <w:rPr>
                <w:rFonts w:ascii="Arial" w:hAnsi="Arial" w:eastAsia="Calibri" w:cs="Arial"/>
                <w:sz w:val="22"/>
              </w:rPr>
              <w:t>4202013000003442</w:t>
            </w:r>
          </w:p>
        </w:tc>
      </w:tr>
    </w:tbl>
    <w:p w:rsidRPr="00C73AB2" w:rsidR="00BE66EA" w:rsidP="0092237F" w:rsidRDefault="00BE66EA" w14:paraId="032E7819" w14:textId="2CC71907">
      <w:pPr>
        <w:jc w:val="both"/>
        <w:rPr>
          <w:rFonts w:ascii="Arial" w:hAnsi="Arial" w:eastAsia="Calibri" w:cs="Arial"/>
          <w:color w:val="FF0000"/>
          <w:sz w:val="22"/>
        </w:rPr>
      </w:pPr>
    </w:p>
    <w:p w:rsidRPr="00C73AB2" w:rsidR="00BE66EA" w:rsidP="0092237F" w:rsidRDefault="00BE66EA" w14:paraId="6D17F888" w14:textId="77777777">
      <w:pPr>
        <w:jc w:val="both"/>
        <w:rPr>
          <w:rFonts w:ascii="Arial" w:hAnsi="Arial" w:eastAsia="Calibri" w:cs="Arial"/>
          <w:sz w:val="22"/>
        </w:rPr>
      </w:pPr>
    </w:p>
    <w:p w:rsidRPr="00C73AB2" w:rsidR="0092237F" w:rsidP="0092237F" w:rsidRDefault="0092237F" w14:paraId="64C87E6B" w14:textId="02B71643">
      <w:pPr>
        <w:rPr>
          <w:rFonts w:ascii="Arial" w:hAnsi="Arial" w:eastAsia="Calibri" w:cs="Arial"/>
          <w:sz w:val="22"/>
        </w:rPr>
      </w:pPr>
      <w:r w:rsidRPr="00C73AB2">
        <w:rPr>
          <w:rFonts w:ascii="Arial" w:hAnsi="Arial" w:eastAsia="Calibri" w:cs="Arial"/>
          <w:sz w:val="22"/>
        </w:rPr>
        <w:t>Estimado señor</w:t>
      </w:r>
      <w:r w:rsidRPr="00C73AB2" w:rsidR="00247386">
        <w:rPr>
          <w:rFonts w:ascii="Arial" w:hAnsi="Arial" w:eastAsia="Calibri" w:cs="Arial"/>
          <w:sz w:val="22"/>
        </w:rPr>
        <w:t xml:space="preserve"> </w:t>
      </w:r>
      <w:r w:rsidRPr="00C73AB2" w:rsidR="00C73AB2">
        <w:rPr>
          <w:rFonts w:ascii="Arial" w:hAnsi="Arial" w:eastAsia="Calibri" w:cs="Arial"/>
          <w:sz w:val="22"/>
        </w:rPr>
        <w:t>Lizarazo</w:t>
      </w:r>
      <w:r w:rsidRPr="00C73AB2" w:rsidR="00ED7F7C">
        <w:rPr>
          <w:rFonts w:ascii="Arial" w:hAnsi="Arial" w:eastAsia="Calibri" w:cs="Arial"/>
          <w:sz w:val="22"/>
        </w:rPr>
        <w:t>:</w:t>
      </w:r>
    </w:p>
    <w:p w:rsidRPr="00C73AB2" w:rsidR="0092237F" w:rsidP="0092237F" w:rsidRDefault="0092237F" w14:paraId="7AA6BF2F" w14:textId="77777777">
      <w:pPr>
        <w:rPr>
          <w:rFonts w:ascii="Arial" w:hAnsi="Arial" w:eastAsia="Calibri" w:cs="Arial"/>
          <w:sz w:val="22"/>
        </w:rPr>
      </w:pPr>
    </w:p>
    <w:p w:rsidRPr="00C73AB2" w:rsidR="0092237F" w:rsidP="0092237F" w:rsidRDefault="0092237F" w14:paraId="6A0178FD" w14:textId="7401B8B4">
      <w:pPr>
        <w:spacing w:line="276" w:lineRule="auto"/>
        <w:jc w:val="both"/>
        <w:rPr>
          <w:rFonts w:ascii="Arial" w:hAnsi="Arial" w:eastAsia="Calibri" w:cs="Arial"/>
          <w:sz w:val="22"/>
        </w:rPr>
      </w:pPr>
      <w:r w:rsidRPr="00C73AB2">
        <w:rPr>
          <w:rFonts w:ascii="Arial" w:hAnsi="Arial" w:eastAsia="Calibri" w:cs="Arial"/>
          <w:sz w:val="22"/>
        </w:rPr>
        <w:t>En ejercicio de la competencia otorgada por los artículos 11, numeral 8º, y 3º, numeral 5º, del Decreto Ley 4170 de 2011, la Agencia Nacional de Contratación Pública ― Colombia Compra Eficiente responde su</w:t>
      </w:r>
      <w:r w:rsidRPr="00C73AB2" w:rsidR="00C73AB2">
        <w:rPr>
          <w:rFonts w:ascii="Arial" w:hAnsi="Arial" w:eastAsia="Calibri" w:cs="Arial"/>
          <w:sz w:val="22"/>
        </w:rPr>
        <w:t xml:space="preserve"> consulta </w:t>
      </w:r>
      <w:r w:rsidRPr="00C73AB2">
        <w:rPr>
          <w:rFonts w:ascii="Arial" w:hAnsi="Arial" w:eastAsia="Calibri" w:cs="Arial"/>
          <w:sz w:val="22"/>
        </w:rPr>
        <w:t>de</w:t>
      </w:r>
      <w:r w:rsidRPr="00C73AB2" w:rsidR="00C73AB2">
        <w:rPr>
          <w:rFonts w:ascii="Arial" w:hAnsi="Arial" w:eastAsia="Calibri" w:cs="Arial"/>
          <w:sz w:val="22"/>
        </w:rPr>
        <w:t>l</w:t>
      </w:r>
      <w:r w:rsidRPr="00C73AB2">
        <w:rPr>
          <w:rFonts w:ascii="Arial" w:hAnsi="Arial" w:eastAsia="Calibri" w:cs="Arial"/>
          <w:sz w:val="22"/>
        </w:rPr>
        <w:t xml:space="preserve"> </w:t>
      </w:r>
      <w:r w:rsidRPr="00C73AB2" w:rsidR="00C73AB2">
        <w:rPr>
          <w:rFonts w:ascii="Arial" w:hAnsi="Arial" w:eastAsia="Calibri" w:cs="Arial"/>
          <w:sz w:val="22"/>
        </w:rPr>
        <w:t>6</w:t>
      </w:r>
      <w:r w:rsidRPr="00C73AB2" w:rsidR="00E47A4D">
        <w:rPr>
          <w:rFonts w:ascii="Arial" w:hAnsi="Arial" w:eastAsia="Calibri" w:cs="Arial"/>
          <w:sz w:val="22"/>
        </w:rPr>
        <w:t xml:space="preserve"> de </w:t>
      </w:r>
      <w:r w:rsidRPr="00C73AB2" w:rsidR="00C73AB2">
        <w:rPr>
          <w:rFonts w:ascii="Arial" w:hAnsi="Arial" w:eastAsia="Calibri" w:cs="Arial"/>
          <w:sz w:val="22"/>
        </w:rPr>
        <w:t>mayo</w:t>
      </w:r>
      <w:r w:rsidRPr="00C73AB2" w:rsidR="00E47A4D">
        <w:rPr>
          <w:rFonts w:ascii="Arial" w:hAnsi="Arial" w:eastAsia="Calibri" w:cs="Arial"/>
          <w:sz w:val="22"/>
        </w:rPr>
        <w:t xml:space="preserve"> </w:t>
      </w:r>
      <w:r w:rsidRPr="00C73AB2">
        <w:rPr>
          <w:rFonts w:ascii="Arial" w:hAnsi="Arial" w:eastAsia="Calibri" w:cs="Arial"/>
          <w:sz w:val="22"/>
        </w:rPr>
        <w:t>de</w:t>
      </w:r>
      <w:r w:rsidRPr="00C73AB2" w:rsidR="00C73AB2">
        <w:rPr>
          <w:rFonts w:ascii="Arial" w:hAnsi="Arial" w:eastAsia="Calibri" w:cs="Arial"/>
          <w:sz w:val="22"/>
        </w:rPr>
        <w:t xml:space="preserve"> </w:t>
      </w:r>
      <w:r w:rsidRPr="00C73AB2">
        <w:rPr>
          <w:rFonts w:ascii="Arial" w:hAnsi="Arial" w:eastAsia="Calibri" w:cs="Arial"/>
          <w:sz w:val="22"/>
        </w:rPr>
        <w:t xml:space="preserve">2020. </w:t>
      </w:r>
    </w:p>
    <w:p w:rsidR="0092237F" w:rsidP="0092237F" w:rsidRDefault="0092237F" w14:paraId="558B791F" w14:textId="4A560114">
      <w:pPr>
        <w:spacing w:line="276" w:lineRule="auto"/>
        <w:jc w:val="both"/>
        <w:rPr>
          <w:rFonts w:ascii="Arial" w:hAnsi="Arial" w:eastAsia="Calibri" w:cs="Arial"/>
          <w:color w:val="FF0000"/>
          <w:sz w:val="22"/>
        </w:rPr>
      </w:pPr>
    </w:p>
    <w:p w:rsidRPr="00C73AB2" w:rsidR="00A53952" w:rsidP="0092237F" w:rsidRDefault="00A53952" w14:paraId="60743FB2" w14:textId="77777777">
      <w:pPr>
        <w:spacing w:line="276" w:lineRule="auto"/>
        <w:jc w:val="both"/>
        <w:rPr>
          <w:rFonts w:ascii="Arial" w:hAnsi="Arial" w:eastAsia="Calibri" w:cs="Arial"/>
          <w:color w:val="FF0000"/>
          <w:sz w:val="22"/>
        </w:rPr>
      </w:pPr>
    </w:p>
    <w:p w:rsidRPr="00C73AB2" w:rsidR="0092237F" w:rsidP="0092237F" w:rsidRDefault="0092237F" w14:paraId="62B273B9" w14:textId="77777777">
      <w:pPr>
        <w:pStyle w:val="Prrafodelista"/>
        <w:numPr>
          <w:ilvl w:val="0"/>
          <w:numId w:val="1"/>
        </w:numPr>
        <w:tabs>
          <w:tab w:val="left" w:pos="284"/>
        </w:tabs>
        <w:spacing w:line="276" w:lineRule="auto"/>
        <w:ind w:left="0" w:firstLine="0"/>
        <w:jc w:val="both"/>
        <w:rPr>
          <w:rFonts w:ascii="Arial" w:hAnsi="Arial" w:eastAsia="Calibri" w:cs="Arial"/>
          <w:b/>
          <w:sz w:val="22"/>
        </w:rPr>
      </w:pPr>
      <w:r w:rsidRPr="00C73AB2">
        <w:rPr>
          <w:rFonts w:ascii="Arial" w:hAnsi="Arial" w:eastAsia="Calibri" w:cs="Arial"/>
          <w:b/>
          <w:sz w:val="22"/>
        </w:rPr>
        <w:t xml:space="preserve">Problemas planteados </w:t>
      </w:r>
    </w:p>
    <w:p w:rsidRPr="00C73AB2" w:rsidR="0092237F" w:rsidP="0092237F" w:rsidRDefault="0092237F" w14:paraId="730E7BC3" w14:textId="77777777">
      <w:pPr>
        <w:tabs>
          <w:tab w:val="left" w:pos="426"/>
        </w:tabs>
        <w:spacing w:line="276" w:lineRule="auto"/>
        <w:jc w:val="both"/>
        <w:rPr>
          <w:rFonts w:ascii="Arial" w:hAnsi="Arial" w:eastAsia="Calibri" w:cs="Arial"/>
          <w:b/>
          <w:sz w:val="22"/>
        </w:rPr>
      </w:pPr>
    </w:p>
    <w:p w:rsidRPr="00C73AB2" w:rsidR="0092237F" w:rsidP="0092237F" w:rsidRDefault="00C73AB2" w14:paraId="0DAED5D7" w14:textId="6ED0C8A0">
      <w:pPr>
        <w:tabs>
          <w:tab w:val="left" w:pos="426"/>
        </w:tabs>
        <w:spacing w:line="276" w:lineRule="auto"/>
        <w:jc w:val="both"/>
        <w:rPr>
          <w:rFonts w:ascii="Arial" w:hAnsi="Arial" w:eastAsia="Calibri" w:cs="Arial"/>
          <w:sz w:val="22"/>
        </w:rPr>
      </w:pPr>
      <w:r>
        <w:rPr>
          <w:rFonts w:ascii="Arial" w:hAnsi="Arial" w:eastAsia="Calibri" w:cs="Arial"/>
          <w:sz w:val="22"/>
        </w:rPr>
        <w:t>U</w:t>
      </w:r>
      <w:r w:rsidRPr="00C73AB2" w:rsidR="0092237F">
        <w:rPr>
          <w:rFonts w:ascii="Arial" w:hAnsi="Arial" w:eastAsia="Calibri" w:cs="Arial"/>
          <w:sz w:val="22"/>
        </w:rPr>
        <w:t xml:space="preserve">sted pregunta </w:t>
      </w:r>
      <w:r>
        <w:rPr>
          <w:rFonts w:ascii="Arial" w:hAnsi="Arial" w:eastAsia="Calibri" w:cs="Arial"/>
          <w:sz w:val="22"/>
        </w:rPr>
        <w:t>manifiesta la</w:t>
      </w:r>
      <w:r w:rsidRPr="00C73AB2" w:rsidR="00F16CC2">
        <w:rPr>
          <w:rFonts w:ascii="Arial" w:hAnsi="Arial" w:eastAsia="Calibri" w:cs="Arial"/>
          <w:sz w:val="22"/>
        </w:rPr>
        <w:t xml:space="preserve"> siguiente</w:t>
      </w:r>
      <w:r>
        <w:rPr>
          <w:rFonts w:ascii="Arial" w:hAnsi="Arial" w:eastAsia="Calibri" w:cs="Arial"/>
          <w:sz w:val="22"/>
        </w:rPr>
        <w:t xml:space="preserve"> inquietud</w:t>
      </w:r>
      <w:r w:rsidRPr="00C73AB2" w:rsidR="00F16CC2">
        <w:rPr>
          <w:rFonts w:ascii="Arial" w:hAnsi="Arial" w:eastAsia="Calibri" w:cs="Arial"/>
          <w:sz w:val="22"/>
        </w:rPr>
        <w:t xml:space="preserve">: </w:t>
      </w:r>
      <w:r w:rsidRPr="00C73AB2">
        <w:rPr>
          <w:rFonts w:ascii="Arial" w:hAnsi="Arial" w:eastAsia="Calibri" w:cs="Arial"/>
          <w:sz w:val="22"/>
        </w:rPr>
        <w:t>«</w:t>
      </w:r>
      <w:r w:rsidR="00A53952">
        <w:rPr>
          <w:rFonts w:ascii="Arial" w:hAnsi="Arial" w:eastAsia="Calibri" w:cs="Arial"/>
          <w:sz w:val="22"/>
        </w:rPr>
        <w:t xml:space="preserve">[…] </w:t>
      </w:r>
      <w:r w:rsidRPr="00C73AB2">
        <w:rPr>
          <w:rFonts w:ascii="Arial" w:hAnsi="Arial" w:eastAsia="Calibri" w:cs="Arial"/>
          <w:sz w:val="22"/>
        </w:rPr>
        <w:t>LA ENTIDAD CONTRATANTE MANIFIESTA QUE DANDO CUMPLIMIENTO A LO CONSIGNADO EN EL DECRETO 2096 DEL 21 DE NOVIEMBRE DE 2019 DONDE OBLIGA A LAS ENTIDADES CONTRATANTES A UTILIZAR PLIEGOS TIPO PARA PROCESOS DE SELECCION ABREVIADA, PERO MI CONSULTA ESTA DIRIGIDA A SI ESTO APLICA A PESAR DE QUE EL PROCESO DE CONTRATACION TIENE UN COMPONENTE DE SANEAMIENTO BASICO Y UN COMPONENTE DE INFRAESCTRUCTURA VIAL MAXIME CUANDO PARA PODER PAVIMENTAR SE REQUIERE HACER EL MANTENIMIENTO DE LAS REDES HIDROSANITARIAS</w:t>
      </w:r>
      <w:r w:rsidR="00A53952">
        <w:rPr>
          <w:rFonts w:ascii="Arial" w:hAnsi="Arial" w:eastAsia="Calibri" w:cs="Arial"/>
          <w:sz w:val="22"/>
        </w:rPr>
        <w:t xml:space="preserve"> […]</w:t>
      </w:r>
      <w:r w:rsidRPr="00C73AB2">
        <w:rPr>
          <w:rFonts w:ascii="Arial" w:hAnsi="Arial" w:eastAsia="Calibri" w:cs="Arial"/>
          <w:sz w:val="22"/>
        </w:rPr>
        <w:t>».</w:t>
      </w:r>
    </w:p>
    <w:p w:rsidRPr="00C73AB2" w:rsidR="0092237F" w:rsidP="0092237F" w:rsidRDefault="0092237F" w14:paraId="074E3F19" w14:textId="77777777">
      <w:pPr>
        <w:tabs>
          <w:tab w:val="left" w:pos="426"/>
        </w:tabs>
        <w:spacing w:line="276" w:lineRule="auto"/>
        <w:jc w:val="both"/>
        <w:rPr>
          <w:rFonts w:ascii="Arial" w:hAnsi="Arial" w:eastAsia="Calibri" w:cs="Arial"/>
          <w:color w:val="FF0000"/>
          <w:sz w:val="22"/>
        </w:rPr>
      </w:pPr>
    </w:p>
    <w:p w:rsidRPr="00A82C4B" w:rsidR="0092237F" w:rsidP="0092237F" w:rsidRDefault="0092237F" w14:paraId="5FD75914" w14:textId="77777777">
      <w:pPr>
        <w:pStyle w:val="Prrafodelista"/>
        <w:numPr>
          <w:ilvl w:val="0"/>
          <w:numId w:val="1"/>
        </w:numPr>
        <w:tabs>
          <w:tab w:val="left" w:pos="426"/>
        </w:tabs>
        <w:spacing w:line="276" w:lineRule="auto"/>
        <w:ind w:left="284" w:hanging="284"/>
        <w:jc w:val="both"/>
        <w:rPr>
          <w:rFonts w:ascii="Arial" w:hAnsi="Arial" w:eastAsia="Calibri" w:cs="Arial"/>
          <w:b/>
          <w:sz w:val="22"/>
        </w:rPr>
      </w:pPr>
      <w:r w:rsidRPr="00A82C4B">
        <w:rPr>
          <w:rFonts w:ascii="Arial" w:hAnsi="Arial" w:eastAsia="Calibri" w:cs="Arial"/>
          <w:b/>
          <w:sz w:val="22"/>
        </w:rPr>
        <w:t>Consideraciones</w:t>
      </w:r>
    </w:p>
    <w:p w:rsidRPr="00A82C4B" w:rsidR="0092237F" w:rsidP="0092237F" w:rsidRDefault="0092237F" w14:paraId="63813A8A" w14:textId="77777777">
      <w:pPr>
        <w:spacing w:line="276" w:lineRule="auto"/>
        <w:jc w:val="both"/>
        <w:rPr>
          <w:rFonts w:ascii="Arial" w:hAnsi="Arial" w:eastAsia="Calibri" w:cs="Arial"/>
          <w:sz w:val="22"/>
        </w:rPr>
      </w:pPr>
    </w:p>
    <w:p w:rsidRPr="00A82C4B" w:rsidR="00311003" w:rsidP="00A82C4B" w:rsidRDefault="00311003" w14:paraId="22D89C18" w14:textId="48A48E19">
      <w:pPr>
        <w:spacing w:after="120" w:line="276" w:lineRule="auto"/>
        <w:jc w:val="both"/>
        <w:rPr>
          <w:rFonts w:ascii="Arial" w:hAnsi="Arial" w:eastAsia="Calibri" w:cs="Arial"/>
          <w:sz w:val="22"/>
        </w:rPr>
      </w:pPr>
      <w:r w:rsidRPr="00A82C4B">
        <w:rPr>
          <w:rFonts w:ascii="Arial" w:hAnsi="Arial" w:cs="Arial"/>
          <w:sz w:val="22"/>
        </w:rPr>
        <w:t xml:space="preserve">La Agencia Nacional de Contratación Pública ― Colombia Compra Eficiente </w:t>
      </w:r>
      <w:r w:rsidRPr="00A82C4B">
        <w:rPr>
          <w:rFonts w:ascii="Arial" w:hAnsi="Arial" w:eastAsia="Calibri" w:cs="Arial"/>
          <w:sz w:val="22"/>
        </w:rPr>
        <w:t>en</w:t>
      </w:r>
      <w:r w:rsidRPr="00A82C4B" w:rsidR="00C73AB2">
        <w:rPr>
          <w:rFonts w:ascii="Arial" w:hAnsi="Arial" w:eastAsia="Calibri" w:cs="Arial"/>
          <w:sz w:val="22"/>
        </w:rPr>
        <w:t xml:space="preserve"> los</w:t>
      </w:r>
      <w:r w:rsidRPr="00A82C4B" w:rsidR="00EC125B">
        <w:rPr>
          <w:rFonts w:ascii="Arial" w:hAnsi="Arial" w:eastAsia="Calibri" w:cs="Arial"/>
          <w:sz w:val="22"/>
        </w:rPr>
        <w:t xml:space="preserve"> concepto</w:t>
      </w:r>
      <w:r w:rsidRPr="00A82C4B" w:rsidR="00C73AB2">
        <w:rPr>
          <w:rFonts w:ascii="Arial" w:hAnsi="Arial" w:eastAsia="Calibri" w:cs="Arial"/>
          <w:sz w:val="22"/>
        </w:rPr>
        <w:t>s</w:t>
      </w:r>
      <w:r w:rsidRPr="00A82C4B" w:rsidR="00EC125B">
        <w:rPr>
          <w:rFonts w:ascii="Arial" w:hAnsi="Arial" w:eastAsia="Calibri" w:cs="Arial"/>
          <w:sz w:val="22"/>
        </w:rPr>
        <w:t xml:space="preserve"> C-144 del 2 de marzo de 2020</w:t>
      </w:r>
      <w:r w:rsidRPr="00A82C4B" w:rsidR="00C73AB2">
        <w:rPr>
          <w:rFonts w:ascii="Arial" w:hAnsi="Arial" w:eastAsia="Calibri" w:cs="Arial"/>
          <w:sz w:val="22"/>
        </w:rPr>
        <w:t xml:space="preserve"> y C-143 del 8 de marzo de 2020,</w:t>
      </w:r>
      <w:r w:rsidRPr="00A82C4B" w:rsidR="00EC125B">
        <w:rPr>
          <w:rFonts w:ascii="Arial" w:hAnsi="Arial" w:eastAsia="Calibri" w:cs="Arial"/>
          <w:sz w:val="22"/>
        </w:rPr>
        <w:t xml:space="preserve"> así como en el concepto </w:t>
      </w:r>
      <w:r w:rsidRPr="00A82C4B">
        <w:rPr>
          <w:rFonts w:ascii="Arial" w:hAnsi="Arial" w:eastAsia="Calibri" w:cs="Arial"/>
          <w:sz w:val="22"/>
        </w:rPr>
        <w:t xml:space="preserve">del 26 de agosto de 2019 </w:t>
      </w:r>
      <w:r w:rsidRPr="00A82C4B" w:rsidR="00E550E8">
        <w:rPr>
          <w:rFonts w:ascii="Arial" w:hAnsi="Arial" w:eastAsia="Calibri" w:cs="Arial"/>
          <w:sz w:val="22"/>
        </w:rPr>
        <w:t>−r</w:t>
      </w:r>
      <w:r w:rsidRPr="00A82C4B">
        <w:rPr>
          <w:rFonts w:ascii="Arial" w:hAnsi="Arial" w:eastAsia="Calibri" w:cs="Arial"/>
          <w:sz w:val="22"/>
        </w:rPr>
        <w:t>adicado No. 2201913000006232</w:t>
      </w:r>
      <w:r w:rsidRPr="00A82C4B" w:rsidR="00E550E8">
        <w:rPr>
          <w:rFonts w:ascii="Arial" w:hAnsi="Arial" w:eastAsia="Calibri" w:cs="Arial"/>
          <w:sz w:val="22"/>
        </w:rPr>
        <w:t>−</w:t>
      </w:r>
      <w:r w:rsidRPr="00A82C4B">
        <w:rPr>
          <w:rFonts w:ascii="Arial" w:hAnsi="Arial" w:eastAsia="Calibri" w:cs="Arial"/>
          <w:sz w:val="22"/>
        </w:rPr>
        <w:t>, estudió el carácter vinculante de los «Pliegos Tipo».</w:t>
      </w:r>
      <w:r w:rsidRPr="00A82C4B" w:rsidR="00BA29DC">
        <w:rPr>
          <w:rFonts w:ascii="Arial" w:hAnsi="Arial" w:cs="Arial"/>
          <w:sz w:val="22"/>
        </w:rPr>
        <w:t xml:space="preserve"> </w:t>
      </w:r>
      <w:r w:rsidRPr="00A82C4B">
        <w:rPr>
          <w:rFonts w:ascii="Arial" w:hAnsi="Arial" w:eastAsia="Calibri" w:cs="Arial"/>
          <w:sz w:val="22"/>
        </w:rPr>
        <w:t>La</w:t>
      </w:r>
      <w:r w:rsidRPr="00A82C4B" w:rsidR="00C73AB2">
        <w:rPr>
          <w:rFonts w:ascii="Arial" w:hAnsi="Arial" w:eastAsia="Calibri" w:cs="Arial"/>
          <w:sz w:val="22"/>
        </w:rPr>
        <w:t>s</w:t>
      </w:r>
      <w:r w:rsidRPr="00A82C4B">
        <w:rPr>
          <w:rFonts w:ascii="Arial" w:hAnsi="Arial" w:eastAsia="Calibri" w:cs="Arial"/>
          <w:sz w:val="22"/>
        </w:rPr>
        <w:t xml:space="preserve"> tesis desarrollada</w:t>
      </w:r>
      <w:r w:rsidRPr="00A82C4B" w:rsidR="00BA29DC">
        <w:rPr>
          <w:rFonts w:ascii="Arial" w:hAnsi="Arial" w:eastAsia="Calibri" w:cs="Arial"/>
          <w:sz w:val="22"/>
        </w:rPr>
        <w:t>s</w:t>
      </w:r>
      <w:r w:rsidRPr="00A82C4B">
        <w:rPr>
          <w:rFonts w:ascii="Arial" w:hAnsi="Arial" w:eastAsia="Calibri" w:cs="Arial"/>
          <w:sz w:val="22"/>
        </w:rPr>
        <w:t xml:space="preserve"> se expon</w:t>
      </w:r>
      <w:r w:rsidRPr="00A82C4B" w:rsidR="00F80791">
        <w:rPr>
          <w:rFonts w:ascii="Arial" w:hAnsi="Arial" w:eastAsia="Calibri" w:cs="Arial"/>
          <w:sz w:val="22"/>
        </w:rPr>
        <w:t>drá</w:t>
      </w:r>
      <w:r w:rsidRPr="00A82C4B" w:rsidR="00E62F63">
        <w:rPr>
          <w:rFonts w:ascii="Arial" w:hAnsi="Arial" w:eastAsia="Calibri" w:cs="Arial"/>
          <w:sz w:val="22"/>
        </w:rPr>
        <w:t>n</w:t>
      </w:r>
      <w:r w:rsidRPr="00A82C4B">
        <w:rPr>
          <w:rFonts w:ascii="Arial" w:hAnsi="Arial" w:eastAsia="Calibri" w:cs="Arial"/>
          <w:sz w:val="22"/>
        </w:rPr>
        <w:t xml:space="preserve"> a continuación. </w:t>
      </w:r>
    </w:p>
    <w:p w:rsidRPr="00A82C4B" w:rsidR="00BD4897" w:rsidP="00A82C4B" w:rsidRDefault="00BD4897" w14:paraId="2D6447B5" w14:textId="77777777">
      <w:pPr>
        <w:spacing w:line="276" w:lineRule="auto"/>
        <w:ind w:firstLine="708"/>
        <w:jc w:val="both"/>
        <w:rPr>
          <w:rFonts w:ascii="Arial" w:hAnsi="Arial" w:cs="Arial"/>
          <w:sz w:val="22"/>
          <w:lang w:val="es-ES"/>
        </w:rPr>
      </w:pPr>
      <w:r w:rsidRPr="00A82C4B">
        <w:rPr>
          <w:rFonts w:ascii="Arial" w:hAnsi="Arial" w:cs="Arial"/>
          <w:sz w:val="22"/>
          <w:lang w:val="es-ES"/>
        </w:rPr>
        <w:t>El parágrafo 3 del artículo 2 de la Ley 1150 de 2007 facultó por primera vez al Gobierno Nacional para adoptar estándares generales en los pliegos de condiciones en estos términos:</w:t>
      </w:r>
    </w:p>
    <w:p w:rsidRPr="00A82C4B" w:rsidR="00BD4897" w:rsidP="00BD4897" w:rsidRDefault="00BD4897" w14:paraId="7B1FACB0" w14:textId="77777777">
      <w:pPr>
        <w:spacing w:line="276" w:lineRule="auto"/>
        <w:jc w:val="both"/>
        <w:rPr>
          <w:rFonts w:ascii="Arial" w:hAnsi="Arial" w:cs="Arial"/>
          <w:sz w:val="22"/>
          <w:lang w:val="es-ES"/>
        </w:rPr>
      </w:pPr>
    </w:p>
    <w:p w:rsidRPr="00A82C4B" w:rsidR="00BD4897" w:rsidP="00BD4897" w:rsidRDefault="00BD4897" w14:paraId="0930D626" w14:textId="77777777">
      <w:pPr>
        <w:ind w:left="708" w:right="616"/>
        <w:jc w:val="both"/>
        <w:rPr>
          <w:rFonts w:ascii="Arial" w:hAnsi="Arial" w:cs="Arial"/>
          <w:sz w:val="21"/>
          <w:szCs w:val="21"/>
          <w:lang w:val="es-ES"/>
        </w:rPr>
      </w:pPr>
      <w:r w:rsidRPr="00A82C4B">
        <w:rPr>
          <w:rFonts w:ascii="Arial" w:hAnsi="Arial" w:cs="Arial"/>
          <w:bCs/>
          <w:sz w:val="21"/>
          <w:szCs w:val="21"/>
          <w:lang w:val="es-ES"/>
        </w:rPr>
        <w:t>Parágrafo 3°.</w:t>
      </w:r>
      <w:r w:rsidRPr="00A82C4B">
        <w:rPr>
          <w:rFonts w:ascii="Arial" w:hAnsi="Arial" w:cs="Arial"/>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rsidRPr="00C73AB2" w:rsidR="00BD4897" w:rsidP="00BD4897" w:rsidRDefault="00BD4897" w14:paraId="31942D2C" w14:textId="77777777">
      <w:pPr>
        <w:spacing w:line="276" w:lineRule="auto"/>
        <w:jc w:val="both"/>
        <w:rPr>
          <w:rFonts w:ascii="Arial" w:hAnsi="Arial" w:cs="Arial"/>
          <w:color w:val="FF0000"/>
          <w:sz w:val="22"/>
          <w:lang w:val="es-ES"/>
        </w:rPr>
      </w:pPr>
    </w:p>
    <w:p w:rsidRPr="00A82C4B" w:rsidR="00BD4897" w:rsidP="00BD4897" w:rsidRDefault="00BD4897" w14:paraId="1C95C1C2" w14:textId="77777777">
      <w:pPr>
        <w:spacing w:after="120" w:line="276" w:lineRule="auto"/>
        <w:ind w:firstLine="708"/>
        <w:jc w:val="both"/>
      </w:pPr>
      <w:r w:rsidRPr="00A82C4B">
        <w:rPr>
          <w:rFonts w:ascii="Arial" w:hAnsi="Arial" w:cs="Arial"/>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A82C4B">
        <w:rPr>
          <w:rStyle w:val="Refdenotaalpie"/>
          <w:rFonts w:ascii="Arial" w:hAnsi="Arial" w:cs="Arial"/>
          <w:sz w:val="22"/>
          <w:lang w:val="es-ES"/>
        </w:rPr>
        <w:footnoteReference w:id="2"/>
      </w:r>
      <w:r w:rsidRPr="00A82C4B">
        <w:rPr>
          <w:rFonts w:ascii="Arial" w:hAnsi="Arial" w:cs="Arial"/>
          <w:sz w:val="22"/>
          <w:lang w:val="es-ES"/>
        </w:rPr>
        <w:t>.</w:t>
      </w:r>
    </w:p>
    <w:p w:rsidRPr="00A82C4B" w:rsidR="00BD4897" w:rsidP="00BD4897" w:rsidRDefault="00BD4897" w14:paraId="383701F9" w14:textId="6B9E1B10">
      <w:pPr>
        <w:spacing w:before="120" w:line="276" w:lineRule="auto"/>
        <w:jc w:val="both"/>
        <w:rPr>
          <w:rFonts w:ascii="Arial" w:hAnsi="Arial" w:cs="Arial"/>
          <w:sz w:val="22"/>
          <w:lang w:val="es-ES"/>
        </w:rPr>
      </w:pPr>
      <w:r w:rsidRPr="00C73AB2">
        <w:rPr>
          <w:color w:val="FF0000"/>
        </w:rPr>
        <w:lastRenderedPageBreak/>
        <w:tab/>
      </w:r>
      <w:r w:rsidRPr="00A82C4B">
        <w:rPr>
          <w:rFonts w:ascii="Arial" w:hAnsi="Arial" w:cs="Arial"/>
          <w:sz w:val="22"/>
          <w:lang w:val="es-ES"/>
        </w:rPr>
        <w:t xml:space="preserve">La intención de esta medida era agilizar y </w:t>
      </w:r>
      <w:r w:rsidRPr="00A82C4B" w:rsidR="00411C28">
        <w:rPr>
          <w:rFonts w:ascii="Arial" w:hAnsi="Arial" w:cs="Arial"/>
          <w:sz w:val="22"/>
          <w:lang w:val="es-ES"/>
        </w:rPr>
        <w:t>darles</w:t>
      </w:r>
      <w:r w:rsidRPr="00A82C4B">
        <w:rPr>
          <w:rFonts w:ascii="Arial" w:hAnsi="Arial" w:cs="Arial"/>
          <w:sz w:val="22"/>
          <w:lang w:val="es-ES"/>
        </w:rPr>
        <w:t xml:space="preserve">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r w:rsidRPr="00A82C4B">
        <w:rPr>
          <w:rFonts w:ascii="Arial" w:hAnsi="Arial" w:cs="Arial"/>
          <w:sz w:val="22"/>
          <w:vertAlign w:val="superscript"/>
          <w:lang w:val="es-ES"/>
        </w:rPr>
        <w:footnoteReference w:id="3"/>
      </w:r>
      <w:r w:rsidRPr="00A82C4B">
        <w:rPr>
          <w:rFonts w:ascii="Arial" w:hAnsi="Arial" w:cs="Arial"/>
          <w:sz w:val="22"/>
          <w:vertAlign w:val="superscript"/>
          <w:lang w:val="es-ES"/>
        </w:rPr>
        <w:t>.</w:t>
      </w:r>
      <w:r w:rsidRPr="00A82C4B">
        <w:rPr>
          <w:rFonts w:ascii="Arial" w:hAnsi="Arial" w:cs="Arial"/>
          <w:sz w:val="22"/>
          <w:lang w:val="es-ES"/>
        </w:rPr>
        <w:t xml:space="preserve">. Sin embargo, en el texto aprobado los Pliegos Tipo se limitaron a la adquisición o suministro de bienes de características técnicas uniformes: </w:t>
      </w:r>
    </w:p>
    <w:p w:rsidRPr="00A82C4B" w:rsidR="00BD4897" w:rsidP="00BD4897" w:rsidRDefault="00BD4897" w14:paraId="315386C6" w14:textId="77777777">
      <w:pPr>
        <w:spacing w:line="276" w:lineRule="auto"/>
        <w:jc w:val="both"/>
        <w:rPr>
          <w:rFonts w:ascii="Arial" w:hAnsi="Arial" w:cs="Arial"/>
          <w:sz w:val="22"/>
          <w:lang w:val="es-ES"/>
        </w:rPr>
      </w:pPr>
    </w:p>
    <w:p w:rsidRPr="00A82C4B" w:rsidR="00BD4897" w:rsidP="00BD4897" w:rsidRDefault="00BD4897" w14:paraId="6C66212F" w14:textId="77777777">
      <w:pPr>
        <w:ind w:left="708" w:right="616"/>
        <w:jc w:val="both"/>
        <w:rPr>
          <w:rFonts w:ascii="Arial" w:hAnsi="Arial" w:cs="Arial"/>
          <w:sz w:val="21"/>
          <w:szCs w:val="21"/>
          <w:lang w:val="es-ES"/>
        </w:rPr>
      </w:pPr>
      <w:r w:rsidRPr="00A82C4B">
        <w:rPr>
          <w:rFonts w:ascii="Arial" w:hAnsi="Arial" w:cs="Arial"/>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A82C4B">
        <w:rPr>
          <w:rStyle w:val="Refdenotaalpie"/>
          <w:rFonts w:ascii="Arial" w:hAnsi="Arial" w:cs="Arial"/>
          <w:sz w:val="21"/>
          <w:szCs w:val="21"/>
          <w:lang w:val="es-ES"/>
        </w:rPr>
        <w:footnoteReference w:id="4"/>
      </w:r>
      <w:r w:rsidRPr="00A82C4B">
        <w:rPr>
          <w:rFonts w:ascii="Arial" w:hAnsi="Arial" w:cs="Arial"/>
          <w:sz w:val="21"/>
          <w:szCs w:val="21"/>
          <w:lang w:val="es-ES"/>
        </w:rPr>
        <w:t>.</w:t>
      </w:r>
    </w:p>
    <w:p w:rsidRPr="00A82C4B" w:rsidR="00BD4897" w:rsidP="00BD4897" w:rsidRDefault="00BD4897" w14:paraId="2513FE50" w14:textId="77777777">
      <w:pPr>
        <w:spacing w:line="276" w:lineRule="auto"/>
        <w:jc w:val="both"/>
        <w:rPr>
          <w:rFonts w:ascii="Arial" w:hAnsi="Arial" w:cs="Arial"/>
          <w:sz w:val="22"/>
          <w:lang w:val="es-ES"/>
        </w:rPr>
      </w:pPr>
    </w:p>
    <w:p w:rsidRPr="00A82C4B" w:rsidR="00FA36FD" w:rsidP="00A82C4B" w:rsidRDefault="00BD4897" w14:paraId="1B4E3713" w14:textId="0B17DD54">
      <w:pPr>
        <w:spacing w:line="276" w:lineRule="auto"/>
        <w:ind w:firstLine="708"/>
        <w:jc w:val="both"/>
        <w:rPr>
          <w:rFonts w:ascii="Arial" w:hAnsi="Arial" w:cs="Arial"/>
          <w:sz w:val="22"/>
        </w:rPr>
      </w:pPr>
      <w:r w:rsidRPr="00A82C4B">
        <w:rPr>
          <w:rFonts w:ascii="Arial" w:hAnsi="Arial" w:cs="Arial"/>
          <w:sz w:val="22"/>
        </w:rPr>
        <w:t>Posteriormente, e</w:t>
      </w:r>
      <w:r w:rsidRPr="00A82C4B" w:rsidR="00FA36FD">
        <w:rPr>
          <w:rFonts w:ascii="Arial" w:hAnsi="Arial" w:cs="Arial"/>
          <w:sz w:val="22"/>
        </w:rPr>
        <w:t xml:space="preserve">l artículo 2, parágrafo 7º, de la Ley 1150 de 2007, adicionado por el artículo 4 de la Ley 1882 de 2018, establece la obligatoriedad de la adopción de documentos tipo para diferentes procesos de selección, en los siguientes términos: </w:t>
      </w:r>
    </w:p>
    <w:p w:rsidRPr="00A82C4B" w:rsidR="00FA36FD" w:rsidP="00FA36FD" w:rsidRDefault="00FA36FD" w14:paraId="22A39B89" w14:textId="77777777">
      <w:pPr>
        <w:ind w:firstLine="709"/>
        <w:jc w:val="both"/>
        <w:rPr>
          <w:rFonts w:ascii="Arial" w:hAnsi="Arial" w:cs="Arial"/>
          <w:sz w:val="22"/>
        </w:rPr>
      </w:pPr>
    </w:p>
    <w:p w:rsidRPr="00A82C4B" w:rsidR="00FA36FD" w:rsidP="00FA36FD" w:rsidRDefault="00FA36FD" w14:paraId="7992A31E" w14:textId="7EEAD32F">
      <w:pPr>
        <w:ind w:left="709" w:right="758"/>
        <w:jc w:val="both"/>
        <w:rPr>
          <w:rFonts w:ascii="Arial" w:hAnsi="Arial" w:cs="Arial"/>
          <w:sz w:val="21"/>
          <w:szCs w:val="21"/>
        </w:rPr>
      </w:pPr>
      <w:r w:rsidRPr="00A82C4B">
        <w:rPr>
          <w:rFonts w:ascii="Arial" w:hAnsi="Arial" w:cs="Arial"/>
          <w:sz w:val="21"/>
          <w:szCs w:val="21"/>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A82C4B" w:rsidR="006C7284">
        <w:rPr>
          <w:rFonts w:ascii="Arial" w:hAnsi="Arial" w:cs="Arial"/>
          <w:sz w:val="21"/>
          <w:szCs w:val="21"/>
        </w:rPr>
        <w:t>[…]</w:t>
      </w:r>
      <w:r w:rsidRPr="00A82C4B">
        <w:rPr>
          <w:rFonts w:ascii="Arial" w:hAnsi="Arial" w:cs="Arial"/>
          <w:sz w:val="21"/>
          <w:szCs w:val="21"/>
        </w:rPr>
        <w:t>.</w:t>
      </w:r>
    </w:p>
    <w:p w:rsidRPr="00A82C4B" w:rsidR="00FA36FD" w:rsidP="00FA36FD" w:rsidRDefault="00FA36FD" w14:paraId="0988B9A0" w14:textId="77777777">
      <w:pPr>
        <w:jc w:val="both"/>
        <w:rPr>
          <w:rFonts w:ascii="Arial" w:hAnsi="Arial" w:cs="Arial"/>
          <w:sz w:val="22"/>
        </w:rPr>
      </w:pPr>
    </w:p>
    <w:p w:rsidRPr="00A82C4B" w:rsidR="00821363" w:rsidP="00821363" w:rsidRDefault="00C211F4" w14:paraId="69BEC4FC" w14:textId="252829C2">
      <w:pPr>
        <w:spacing w:before="120" w:line="276" w:lineRule="auto"/>
        <w:ind w:firstLine="708"/>
        <w:jc w:val="both"/>
        <w:rPr>
          <w:rFonts w:ascii="Arial" w:hAnsi="Arial" w:cs="Arial"/>
          <w:sz w:val="22"/>
        </w:rPr>
      </w:pPr>
      <w:r w:rsidRPr="00A82C4B">
        <w:rPr>
          <w:rFonts w:ascii="Arial" w:hAnsi="Arial" w:cs="Arial"/>
          <w:sz w:val="22"/>
        </w:rPr>
        <w:t>Asimismo, e</w:t>
      </w:r>
      <w:r w:rsidRPr="00A82C4B" w:rsidR="00821363">
        <w:rPr>
          <w:rFonts w:ascii="Arial" w:hAnsi="Arial" w:cs="Arial"/>
          <w:sz w:val="22"/>
        </w:rPr>
        <w:t>l artículo 4 de la Ley 1882 de 2018 establece que al Gobierno Nacional le corresponde adoptar los «documentos tipo para los pliegos de condiciones de los procesos de selección de obras públicas» y que estos «</w:t>
      </w:r>
      <w:r w:rsidRPr="00A82C4B" w:rsidR="00821363">
        <w:rPr>
          <w:rFonts w:ascii="Arial" w:hAnsi="Arial" w:cs="Arial"/>
          <w:i/>
          <w:sz w:val="22"/>
        </w:rPr>
        <w:t>deberán</w:t>
      </w:r>
      <w:r w:rsidRPr="00A82C4B" w:rsidR="00821363">
        <w:rPr>
          <w:rFonts w:ascii="Arial" w:hAnsi="Arial" w:cs="Arial"/>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Pr="00A82C4B" w:rsidR="00821363">
        <w:rPr>
          <w:rFonts w:ascii="Arial" w:hAnsi="Arial" w:cs="Arial"/>
          <w:i/>
          <w:sz w:val="22"/>
        </w:rPr>
        <w:t>alcance obligatorio</w:t>
      </w:r>
      <w:r w:rsidRPr="00A82C4B" w:rsidR="00821363">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rsidRPr="00A82C4B" w:rsidR="00BD4897" w:rsidP="00FB3241" w:rsidRDefault="00BD4897" w14:paraId="56C8D423" w14:textId="77777777">
      <w:pPr>
        <w:spacing w:before="120" w:line="276" w:lineRule="auto"/>
        <w:ind w:firstLine="703"/>
        <w:jc w:val="both"/>
        <w:rPr>
          <w:rFonts w:ascii="Arial" w:hAnsi="Arial" w:cs="Arial"/>
          <w:sz w:val="22"/>
          <w:lang w:val="es-ES"/>
        </w:rPr>
      </w:pPr>
      <w:r w:rsidRPr="00A82C4B">
        <w:rPr>
          <w:rFonts w:ascii="Arial" w:hAnsi="Arial" w:cs="Arial"/>
          <w:sz w:val="22"/>
          <w:lang w:val="es-ES"/>
        </w:rPr>
        <w:t xml:space="preserve">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w:t>
      </w:r>
      <w:r w:rsidRPr="00A82C4B">
        <w:rPr>
          <w:rFonts w:ascii="Arial" w:hAnsi="Arial" w:cs="Arial"/>
          <w:sz w:val="22"/>
          <w:lang w:val="es-ES"/>
        </w:rPr>
        <w:lastRenderedPageBreak/>
        <w:t>contratación, al entender que los documentos tipo son una medida eficaz contra la corrupción y permiten una Administración pública más eficiente y moderna.</w:t>
      </w:r>
    </w:p>
    <w:p w:rsidRPr="00A82C4B" w:rsidR="00BD4897" w:rsidP="00BD4897" w:rsidRDefault="00BD4897" w14:paraId="717F1FB3" w14:textId="77777777">
      <w:pPr>
        <w:spacing w:before="120" w:after="120" w:line="276" w:lineRule="auto"/>
        <w:ind w:firstLine="705"/>
        <w:jc w:val="both"/>
        <w:rPr>
          <w:rFonts w:ascii="Arial" w:hAnsi="Arial" w:cs="Arial"/>
          <w:sz w:val="22"/>
          <w:lang w:val="es-ES"/>
        </w:rPr>
      </w:pPr>
      <w:r w:rsidRPr="00A82C4B">
        <w:rPr>
          <w:rFonts w:ascii="Arial" w:hAnsi="Arial" w:cs="Arial"/>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A82C4B">
        <w:rPr>
          <w:rFonts w:ascii="Arial" w:hAnsi="Arial" w:cs="Arial"/>
          <w:sz w:val="22"/>
        </w:rPr>
        <w:t>la Sección 6 y la Subsección 1 al Capítulo 2 del Título 1 de la Parte 2 del Libro 2 del Decreto 1082 de 2015, Decreto Único Reglamentario del Sector Administrativo de Planeación Nacional.</w:t>
      </w:r>
      <w:r w:rsidRPr="00A82C4B">
        <w:rPr>
          <w:rFonts w:ascii="Arial" w:hAnsi="Arial" w:cs="Arial"/>
          <w:sz w:val="22"/>
          <w:lang w:val="es-ES"/>
        </w:rPr>
        <w:t xml:space="preserve"> </w:t>
      </w:r>
    </w:p>
    <w:p w:rsidRPr="00A82C4B" w:rsidR="00BD4897" w:rsidP="00B23340" w:rsidRDefault="00BD4897" w14:paraId="34EFFFD4" w14:textId="58B54DD8">
      <w:pPr>
        <w:spacing w:before="120" w:after="120" w:line="276" w:lineRule="auto"/>
        <w:ind w:firstLine="705"/>
        <w:jc w:val="both"/>
        <w:rPr>
          <w:rFonts w:ascii="Arial" w:hAnsi="Arial" w:cs="Arial"/>
          <w:sz w:val="22"/>
          <w:lang w:val="es-ES"/>
        </w:rPr>
      </w:pPr>
      <w:r w:rsidRPr="00A82C4B">
        <w:rPr>
          <w:rFonts w:ascii="Arial" w:hAnsi="Arial" w:cs="Arial"/>
          <w:sz w:val="22"/>
          <w:lang w:val="es-ES"/>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rsidRPr="00A82C4B" w:rsidR="00BD4897" w:rsidP="00B23340" w:rsidRDefault="00BD4897" w14:paraId="76362DC5" w14:textId="3E7835F4">
      <w:pPr>
        <w:spacing w:before="120" w:after="120" w:line="276" w:lineRule="auto"/>
        <w:ind w:firstLine="705"/>
        <w:jc w:val="both"/>
      </w:pPr>
      <w:r w:rsidRPr="00A82C4B">
        <w:rPr>
          <w:rFonts w:ascii="Arial" w:hAnsi="Arial" w:cs="Arial"/>
          <w:sz w:val="22"/>
          <w:lang w:val="es-ES"/>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A82C4B">
        <w:rPr>
          <w:rStyle w:val="Refdenotaalpie"/>
          <w:rFonts w:ascii="Arial" w:hAnsi="Arial" w:cs="Arial"/>
          <w:sz w:val="22"/>
          <w:lang w:val="es-ES"/>
        </w:rPr>
        <w:footnoteReference w:id="5"/>
      </w:r>
      <w:r w:rsidRPr="00A82C4B">
        <w:rPr>
          <w:rFonts w:ascii="Arial" w:hAnsi="Arial" w:cs="Arial"/>
          <w:sz w:val="22"/>
          <w:lang w:val="es-ES"/>
        </w:rPr>
        <w:t>.</w:t>
      </w:r>
      <w:r w:rsidRPr="00A82C4B">
        <w:rPr>
          <w:lang w:val="es-ES"/>
        </w:rPr>
        <w:t xml:space="preserve"> </w:t>
      </w:r>
    </w:p>
    <w:p w:rsidRPr="00A82C4B" w:rsidR="00BD4897" w:rsidP="00B23340" w:rsidRDefault="00BD4897" w14:paraId="1786E2E4" w14:textId="24BAAD5B">
      <w:pPr>
        <w:spacing w:before="120" w:after="120" w:line="276" w:lineRule="auto"/>
        <w:ind w:firstLine="705"/>
        <w:jc w:val="both"/>
        <w:rPr>
          <w:rFonts w:ascii="Arial" w:hAnsi="Arial" w:cs="Arial"/>
          <w:sz w:val="22"/>
          <w:lang w:val="es-ES"/>
        </w:rPr>
      </w:pPr>
      <w:r w:rsidRPr="00A82C4B">
        <w:rPr>
          <w:rFonts w:ascii="Arial" w:hAnsi="Arial" w:cs="Arial"/>
          <w:sz w:val="22"/>
          <w:lang w:val="es-ES"/>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rsidRPr="00A82C4B" w:rsidR="00BD4897" w:rsidP="00BD4897" w:rsidRDefault="00BD4897" w14:paraId="2CBB1647" w14:textId="77777777">
      <w:pPr>
        <w:spacing w:before="120" w:after="120" w:line="276" w:lineRule="auto"/>
        <w:jc w:val="both"/>
        <w:rPr>
          <w:rFonts w:ascii="Arial" w:hAnsi="Arial" w:cs="Arial"/>
          <w:sz w:val="22"/>
        </w:rPr>
      </w:pPr>
      <w:r w:rsidRPr="00A82C4B">
        <w:rPr>
          <w:rFonts w:ascii="Arial" w:hAnsi="Arial" w:cs="Arial"/>
          <w:sz w:val="22"/>
          <w:lang w:val="es-ES"/>
        </w:rPr>
        <w:lastRenderedPageBreak/>
        <w:tab/>
      </w:r>
      <w:r w:rsidRPr="00A82C4B">
        <w:rPr>
          <w:rFonts w:ascii="Arial" w:hAnsi="Arial" w:cs="Arial"/>
          <w:sz w:val="22"/>
          <w:lang w:val="es-ES"/>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A82C4B">
        <w:rPr>
          <w:rFonts w:ascii="Arial" w:hAnsi="Arial" w:cs="Arial"/>
          <w:sz w:val="22"/>
        </w:rPr>
        <w:t xml:space="preserve">fortalecerlos y adaptarlos a la realidad de la contratación del país, implementó la Versión 2 de los mismos expidiendo la Resolución No. 0045 del 14 de febrero de 2020, «Por la cual se actualizan los Documentos Tipo para los procesos de selección de licitación de obra pública de infraestructura de transporte y se deroga la Resolución 1798 de 2019». </w:t>
      </w:r>
    </w:p>
    <w:p w:rsidRPr="00A82C4B" w:rsidR="00BD4897" w:rsidP="00BD4897" w:rsidRDefault="00BD4897" w14:paraId="20526648" w14:textId="77777777">
      <w:pPr>
        <w:spacing w:before="120" w:after="120" w:line="276" w:lineRule="auto"/>
        <w:ind w:firstLine="708"/>
        <w:jc w:val="both"/>
        <w:rPr>
          <w:rFonts w:ascii="Arial" w:hAnsi="Arial" w:cs="Arial"/>
          <w:sz w:val="22"/>
        </w:rPr>
      </w:pPr>
      <w:r w:rsidRPr="00A82C4B">
        <w:rPr>
          <w:rFonts w:ascii="Arial" w:hAnsi="Arial" w:cs="Arial"/>
          <w:sz w:val="22"/>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w:t>
      </w:r>
    </w:p>
    <w:p w:rsidRPr="00A82C4B" w:rsidR="00BD4897" w:rsidP="00BD4897" w:rsidRDefault="00BD4897" w14:paraId="142A8C62" w14:textId="77777777">
      <w:pPr>
        <w:spacing w:before="120" w:after="120" w:line="276" w:lineRule="auto"/>
        <w:ind w:firstLine="708"/>
        <w:jc w:val="both"/>
        <w:rPr>
          <w:rFonts w:ascii="Arial" w:hAnsi="Arial" w:cs="Arial"/>
          <w:sz w:val="22"/>
          <w:lang w:val="es-ES"/>
        </w:rPr>
      </w:pPr>
      <w:r w:rsidRPr="00A82C4B">
        <w:rPr>
          <w:rFonts w:ascii="Arial" w:hAnsi="Arial" w:cs="Arial"/>
          <w:sz w:val="22"/>
          <w:lang w:val="es-ES"/>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A82C4B">
        <w:rPr>
          <w:rFonts w:ascii="Arial" w:hAnsi="Arial" w:cs="Arial"/>
          <w:sz w:val="22"/>
        </w:rPr>
        <w:t xml:space="preserve">del Capítulo 2 del Título 1 de la parte 2 del Libro 2 </w:t>
      </w:r>
      <w:r w:rsidRPr="00A82C4B">
        <w:rPr>
          <w:rFonts w:ascii="Arial" w:hAnsi="Arial" w:cs="Arial"/>
          <w:sz w:val="22"/>
          <w:lang w:val="es-ES"/>
        </w:rPr>
        <w:t xml:space="preserve">del Decreto 1082 de 2015. </w:t>
      </w:r>
    </w:p>
    <w:p w:rsidRPr="00A82C4B" w:rsidR="00BD4897" w:rsidP="00BD4897" w:rsidRDefault="00BD4897" w14:paraId="3F58563B" w14:textId="77777777">
      <w:pPr>
        <w:spacing w:before="120" w:after="120" w:line="276" w:lineRule="auto"/>
        <w:ind w:firstLine="709"/>
        <w:jc w:val="both"/>
        <w:rPr>
          <w:rFonts w:ascii="Arial" w:hAnsi="Arial" w:cs="Arial"/>
          <w:sz w:val="22"/>
          <w:lang w:val="es-ES"/>
        </w:rPr>
      </w:pPr>
      <w:r w:rsidRPr="00A82C4B">
        <w:rPr>
          <w:rFonts w:ascii="Arial" w:hAnsi="Arial" w:cs="Arial"/>
          <w:sz w:val="22"/>
          <w:lang w:val="es-ES"/>
        </w:rPr>
        <w:t>En similares términos a los del Decreto 342 de 2019, el Decreto 2096 de 2019 desarrolló la regulación de los Documentos Tipo aplicables a la contratación de obra pública de infraestructura de transporte en la modalidad de selección abreviada de menor cuantía, al establecer que «</w:t>
      </w:r>
      <w:r w:rsidRPr="00A82C4B">
        <w:rPr>
          <w:rFonts w:ascii="Arial" w:hAnsi="Arial" w:cs="Arial"/>
          <w:sz w:val="22"/>
        </w:rPr>
        <w:t>contienen parámetros obligatorios para las Entidades sometidas al Estatuto General de Contratación la Administración Pública que adelanten procesos de selección abreviada de menor cuantía de obra pública de infraestructura de transporte»</w:t>
      </w:r>
      <w:r w:rsidRPr="00A82C4B">
        <w:rPr>
          <w:rStyle w:val="Refdenotaalpie"/>
          <w:rFonts w:ascii="Arial" w:hAnsi="Arial" w:cs="Arial"/>
          <w:sz w:val="22"/>
        </w:rPr>
        <w:footnoteReference w:id="6"/>
      </w:r>
      <w:r w:rsidRPr="00A82C4B">
        <w:rPr>
          <w:rFonts w:ascii="Arial" w:hAnsi="Arial" w:cs="Arial"/>
          <w:sz w:val="22"/>
        </w:rPr>
        <w:t>.</w:t>
      </w:r>
    </w:p>
    <w:p w:rsidRPr="00A82C4B" w:rsidR="00BD4897" w:rsidP="00BD4897" w:rsidRDefault="00BD4897" w14:paraId="3AF0EBFA" w14:textId="77777777">
      <w:pPr>
        <w:spacing w:before="120" w:after="120" w:line="276" w:lineRule="auto"/>
        <w:jc w:val="both"/>
        <w:rPr>
          <w:rFonts w:ascii="Arial" w:hAnsi="Arial" w:eastAsia="Calibri" w:cs="Arial"/>
          <w:bCs/>
          <w:sz w:val="22"/>
        </w:rPr>
      </w:pPr>
      <w:r w:rsidRPr="00A82C4B">
        <w:rPr>
          <w:rFonts w:ascii="Arial" w:hAnsi="Arial" w:eastAsia="Calibri" w:cs="Arial"/>
          <w:bCs/>
          <w:sz w:val="22"/>
        </w:rPr>
        <w:tab/>
      </w:r>
      <w:r w:rsidRPr="00A82C4B">
        <w:rPr>
          <w:rFonts w:ascii="Arial" w:hAnsi="Arial" w:eastAsia="Calibri" w:cs="Arial"/>
          <w:bCs/>
          <w:sz w:val="22"/>
        </w:rPr>
        <w:t>Dentro de las normas adicionadas al Decreto 1082 de 2015 por el Decreto 2096 de 2019 se encuentra el artículo 2.2.1.2.6.2.2</w:t>
      </w:r>
      <w:r w:rsidRPr="00A82C4B">
        <w:rPr>
          <w:rStyle w:val="Refdenotaalpie"/>
          <w:rFonts w:ascii="Arial" w:hAnsi="Arial" w:eastAsia="Calibri" w:cs="Arial"/>
          <w:bCs/>
          <w:sz w:val="22"/>
        </w:rPr>
        <w:footnoteReference w:id="7"/>
      </w:r>
      <w:r w:rsidRPr="00A82C4B">
        <w:rPr>
          <w:rFonts w:ascii="Arial" w:hAnsi="Arial" w:eastAsia="Calibri" w:cs="Arial"/>
          <w:bCs/>
          <w:sz w:val="22"/>
        </w:rPr>
        <w:t xml:space="preserve"> que contiene el listado de los Documentos Tipo </w:t>
      </w:r>
      <w:r w:rsidRPr="00A82C4B">
        <w:rPr>
          <w:rFonts w:ascii="Arial" w:hAnsi="Arial" w:eastAsia="Calibri" w:cs="Arial"/>
          <w:bCs/>
          <w:sz w:val="22"/>
        </w:rPr>
        <w:lastRenderedPageBreak/>
        <w:t xml:space="preserve">aplicables a los </w:t>
      </w:r>
      <w:r w:rsidRPr="00A82C4B">
        <w:rPr>
          <w:rFonts w:ascii="Arial" w:hAnsi="Arial" w:cs="Arial"/>
          <w:sz w:val="22"/>
        </w:rPr>
        <w:t>procesos de selección abreviada de menor cuantía para la contratación de obra pública de infraestructura de transporte</w:t>
      </w:r>
      <w:r w:rsidRPr="00A82C4B">
        <w:rPr>
          <w:rFonts w:ascii="Arial" w:hAnsi="Arial" w:eastAsia="Calibri" w:cs="Arial"/>
          <w:bCs/>
          <w:sz w:val="22"/>
        </w:rPr>
        <w:t xml:space="preserve">, mientras que el </w:t>
      </w:r>
      <w:r w:rsidRPr="00A82C4B">
        <w:rPr>
          <w:rFonts w:ascii="Arial" w:hAnsi="Arial" w:cs="Arial"/>
          <w:sz w:val="22"/>
        </w:rPr>
        <w:t xml:space="preserve">2.2.1.2.6.2.3 </w:t>
      </w:r>
      <w:r w:rsidRPr="00A82C4B">
        <w:rPr>
          <w:rFonts w:ascii="Arial" w:hAnsi="Arial" w:cs="Arial"/>
          <w:sz w:val="22"/>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A82C4B">
        <w:rPr>
          <w:rFonts w:ascii="Arial" w:hAnsi="Arial" w:eastAsia="Calibri" w:cs="Arial"/>
          <w:bCs/>
          <w:sz w:val="22"/>
        </w:rPr>
        <w:t xml:space="preserve">del Decreto 2096 de 2019 deberán ser aplicados en </w:t>
      </w:r>
      <w:r w:rsidRPr="00A82C4B">
        <w:rPr>
          <w:rFonts w:ascii="Arial" w:hAnsi="Arial" w:cs="Arial"/>
          <w:sz w:val="22"/>
        </w:rPr>
        <w:t>«los procesos de contratación de selección abreviada de menor cuantía cuyo aviso de convocatoria sea publicado a partir del 17 de febrero de 2020</w:t>
      </w:r>
      <w:r w:rsidRPr="00A82C4B">
        <w:rPr>
          <w:rFonts w:ascii="Arial" w:hAnsi="Arial" w:eastAsia="Calibri" w:cs="Arial"/>
          <w:bCs/>
          <w:sz w:val="22"/>
        </w:rPr>
        <w:t xml:space="preserve">». </w:t>
      </w:r>
    </w:p>
    <w:p w:rsidRPr="00A82C4B" w:rsidR="00FA36FD" w:rsidP="00BD4897" w:rsidRDefault="00BD4897" w14:paraId="4763633C" w14:textId="2C8F9504">
      <w:pPr>
        <w:spacing w:before="120" w:line="276" w:lineRule="auto"/>
        <w:ind w:firstLine="709"/>
        <w:jc w:val="both"/>
        <w:rPr>
          <w:rFonts w:ascii="Arial" w:hAnsi="Arial" w:cs="Arial"/>
          <w:sz w:val="22"/>
        </w:rPr>
      </w:pPr>
      <w:r w:rsidRPr="00A82C4B">
        <w:rPr>
          <w:rFonts w:ascii="Arial" w:hAnsi="Arial" w:cs="Arial"/>
          <w:sz w:val="22"/>
        </w:rPr>
        <w:t xml:space="preserve"> </w:t>
      </w:r>
      <w:r w:rsidRPr="00A82C4B" w:rsidR="00557563">
        <w:rPr>
          <w:rFonts w:ascii="Arial" w:hAnsi="Arial" w:cs="Arial"/>
          <w:sz w:val="22"/>
        </w:rPr>
        <w:t>En suma</w:t>
      </w:r>
      <w:r w:rsidRPr="00A82C4B" w:rsidR="00FA36FD">
        <w:rPr>
          <w:rFonts w:ascii="Arial" w:hAnsi="Arial" w:cs="Arial"/>
          <w:sz w:val="22"/>
        </w:rPr>
        <w:t>, los Documentos Tipo para</w:t>
      </w:r>
      <w:r w:rsidRPr="00A82C4B" w:rsidR="007E5472">
        <w:rPr>
          <w:rFonts w:ascii="Arial" w:hAnsi="Arial" w:cs="Arial"/>
          <w:sz w:val="22"/>
        </w:rPr>
        <w:t xml:space="preserve"> selección abreviada de menor cuantía y</w:t>
      </w:r>
      <w:r w:rsidRPr="00A82C4B" w:rsidR="00FA36FD">
        <w:rPr>
          <w:rFonts w:ascii="Arial" w:hAnsi="Arial" w:cs="Arial"/>
          <w:sz w:val="22"/>
        </w:rPr>
        <w:t xml:space="preserve"> licitación de obra pública de infraestructura de transporte, son obligatorios y deben ser aplicados por las entidades estatales sometidas al Estatuto General de la Contratación de la Administración Pública. </w:t>
      </w:r>
    </w:p>
    <w:p w:rsidRPr="00A82C4B" w:rsidR="00FA36FD" w:rsidP="00FA36FD" w:rsidRDefault="00501CA5" w14:paraId="4AE2C51F" w14:textId="41CDFE5A">
      <w:pPr>
        <w:spacing w:before="120" w:line="276" w:lineRule="auto"/>
        <w:ind w:firstLine="709"/>
        <w:jc w:val="both"/>
        <w:rPr>
          <w:rFonts w:ascii="Arial" w:hAnsi="Arial" w:cs="Arial"/>
          <w:sz w:val="22"/>
        </w:rPr>
      </w:pPr>
      <w:r w:rsidRPr="00A82C4B">
        <w:rPr>
          <w:rFonts w:ascii="Arial" w:hAnsi="Arial" w:cs="Arial"/>
          <w:sz w:val="22"/>
        </w:rPr>
        <w:t xml:space="preserve">Ahora bien, </w:t>
      </w:r>
      <w:r w:rsidRPr="00A82C4B" w:rsidR="00FA36FD">
        <w:rPr>
          <w:rFonts w:ascii="Arial" w:hAnsi="Arial" w:cs="Arial"/>
          <w:sz w:val="22"/>
        </w:rPr>
        <w:t>en los Documentos Base de licitación pública y de selección abreviada se hace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Asimismo, los referidos documentos establecen, respectivamente, que «las actividades de infraestructura de transporte no contempladas en la Matriz 1 – Experiencia no tienen que aplicar los Documentos Tipo», y que «las actividades de infraestructura de transporte no contempladas en la Matriz 1 – Experiencia no tienen que aplicar los Documentos Tipo».</w:t>
      </w:r>
    </w:p>
    <w:p w:rsidRPr="00A82C4B" w:rsidR="00FA36FD" w:rsidP="00FA36FD" w:rsidRDefault="00FA36FD" w14:paraId="78B1054F" w14:textId="3258E296">
      <w:pPr>
        <w:spacing w:before="120" w:line="276" w:lineRule="auto"/>
        <w:ind w:firstLine="709"/>
        <w:jc w:val="both"/>
        <w:rPr>
          <w:rFonts w:ascii="Arial" w:hAnsi="Arial" w:cs="Arial"/>
          <w:sz w:val="22"/>
        </w:rPr>
      </w:pPr>
      <w:r w:rsidRPr="00A82C4B">
        <w:rPr>
          <w:rFonts w:ascii="Arial" w:hAnsi="Arial" w:cs="Arial"/>
          <w:sz w:val="22"/>
        </w:rPr>
        <w:t xml:space="preserve">Para determinar el ámbito de aplicación de los Documentos Tipo, entonces, se debe acudir a la Matriz 1 ─ Experiencia (en adelante Matriz 1). En ambos casos, la Matriz 1 de los Pliegos Tipo está constituida por ocho </w:t>
      </w:r>
      <w:r w:rsidRPr="00A82C4B" w:rsidR="007E5472">
        <w:rPr>
          <w:rFonts w:ascii="Arial" w:hAnsi="Arial" w:cs="Arial"/>
          <w:sz w:val="22"/>
        </w:rPr>
        <w:t>(</w:t>
      </w:r>
      <w:r w:rsidRPr="00A82C4B">
        <w:rPr>
          <w:rFonts w:ascii="Arial" w:hAnsi="Arial" w:cs="Arial"/>
          <w:sz w:val="22"/>
        </w:rPr>
        <w:t>8</w:t>
      </w:r>
      <w:r w:rsidRPr="00A82C4B" w:rsidR="007E5472">
        <w:rPr>
          <w:rFonts w:ascii="Arial" w:hAnsi="Arial" w:cs="Arial"/>
          <w:sz w:val="22"/>
        </w:rPr>
        <w:t>)</w:t>
      </w:r>
      <w:r w:rsidRPr="00A82C4B">
        <w:rPr>
          <w:rFonts w:ascii="Arial" w:hAnsi="Arial" w:cs="Arial"/>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rsidRPr="00A82C4B" w:rsidR="00501CA5" w:rsidP="005C510B" w:rsidRDefault="00765C27" w14:paraId="10FB8874" w14:textId="77777777">
      <w:pPr>
        <w:spacing w:before="120" w:line="276" w:lineRule="auto"/>
        <w:ind w:firstLine="708"/>
        <w:jc w:val="both"/>
        <w:rPr>
          <w:rFonts w:ascii="Arial" w:hAnsi="Arial" w:cs="Arial"/>
          <w:sz w:val="22"/>
        </w:rPr>
      </w:pPr>
      <w:r w:rsidRPr="00A82C4B">
        <w:rPr>
          <w:rFonts w:ascii="Arial" w:hAnsi="Arial" w:cs="Arial"/>
          <w:sz w:val="22"/>
        </w:rPr>
        <w:lastRenderedPageBreak/>
        <w:t>Con respecto a la</w:t>
      </w:r>
      <w:r w:rsidRPr="00A82C4B" w:rsidR="00501CA5">
        <w:rPr>
          <w:rFonts w:ascii="Arial" w:hAnsi="Arial" w:cs="Arial"/>
          <w:sz w:val="22"/>
        </w:rPr>
        <w:t>s</w:t>
      </w:r>
      <w:r w:rsidRPr="00A82C4B">
        <w:rPr>
          <w:rFonts w:ascii="Arial" w:hAnsi="Arial" w:cs="Arial"/>
          <w:sz w:val="22"/>
        </w:rPr>
        <w:t xml:space="preserve"> </w:t>
      </w:r>
      <w:r w:rsidRPr="00A82C4B" w:rsidR="00501CA5">
        <w:rPr>
          <w:rFonts w:ascii="Arial" w:hAnsi="Arial" w:cs="Arial"/>
          <w:sz w:val="22"/>
        </w:rPr>
        <w:t>«</w:t>
      </w:r>
      <w:r w:rsidRPr="00A82C4B">
        <w:rPr>
          <w:rFonts w:ascii="Arial" w:hAnsi="Arial" w:cs="Arial"/>
          <w:sz w:val="22"/>
        </w:rPr>
        <w:t>actividad</w:t>
      </w:r>
      <w:r w:rsidRPr="00A82C4B" w:rsidR="00501CA5">
        <w:rPr>
          <w:rFonts w:ascii="Arial" w:hAnsi="Arial" w:cs="Arial"/>
          <w:sz w:val="22"/>
        </w:rPr>
        <w:t>es</w:t>
      </w:r>
      <w:r w:rsidRPr="00A82C4B">
        <w:rPr>
          <w:rFonts w:ascii="Arial" w:hAnsi="Arial" w:cs="Arial"/>
          <w:sz w:val="22"/>
        </w:rPr>
        <w:t xml:space="preserve"> a contratar</w:t>
      </w:r>
      <w:r w:rsidRPr="00A82C4B" w:rsidR="00501CA5">
        <w:rPr>
          <w:rFonts w:ascii="Arial" w:hAnsi="Arial" w:cs="Arial"/>
          <w:sz w:val="22"/>
        </w:rPr>
        <w:t>»</w:t>
      </w:r>
      <w:r w:rsidRPr="00A82C4B">
        <w:rPr>
          <w:rFonts w:ascii="Arial" w:hAnsi="Arial" w:cs="Arial"/>
          <w:sz w:val="22"/>
        </w:rPr>
        <w:t xml:space="preserve">,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w:t>
      </w:r>
      <w:r w:rsidRPr="00A82C4B" w:rsidR="00FA36FD">
        <w:rPr>
          <w:rFonts w:ascii="Arial" w:hAnsi="Arial" w:cs="Arial"/>
          <w:sz w:val="22"/>
        </w:rPr>
        <w:t>Por ejemplo, las «obras en vías terciarias» están subdivididas en tres actividades a contratar, a saber: «2.1 PROYECTOS DE CONSTRUCCIÓN DE VÍAS TERCIARIAS», «2.2 MEJORAMIENTO EN VÍAS TERCIARIAS» y «2.3 MANTENIMIENTO O REHABILITACIÓN EN VÍAS TERCIARIAS». Esta división es la misma en los Documentos Tipo de licitación pública y en los de selección abreviada de menor cuantía.</w:t>
      </w:r>
    </w:p>
    <w:p w:rsidRPr="00A82C4B" w:rsidR="00FA36FD" w:rsidP="00943EA6" w:rsidRDefault="00FA36FD" w14:paraId="4F87D32E" w14:textId="08459F75">
      <w:pPr>
        <w:spacing w:before="120" w:line="276" w:lineRule="auto"/>
        <w:ind w:firstLine="708"/>
        <w:jc w:val="both"/>
        <w:rPr>
          <w:rFonts w:ascii="Arial" w:hAnsi="Arial" w:cs="Arial"/>
          <w:sz w:val="22"/>
        </w:rPr>
      </w:pPr>
      <w:r w:rsidRPr="00A82C4B">
        <w:rPr>
          <w:rFonts w:ascii="Arial" w:hAnsi="Arial" w:cs="Arial"/>
          <w:sz w:val="22"/>
        </w:rPr>
        <w:t>De esta forma, si la entidad pretende contratar alguna de tales actividades debe acudir a los Documentos Tipo, ya sea a los de licitación pública o a los de selección abreviada de menor cuantía, dependiendo de las particularidades del proceso de contratación.</w:t>
      </w:r>
      <w:r w:rsidRPr="00A82C4B" w:rsidR="00943EA6">
        <w:rPr>
          <w:rFonts w:ascii="Arial" w:hAnsi="Arial" w:cs="Arial"/>
          <w:sz w:val="22"/>
        </w:rPr>
        <w:t xml:space="preserve"> </w:t>
      </w:r>
      <w:r w:rsidRPr="00A82C4B">
        <w:rPr>
          <w:rFonts w:ascii="Arial" w:hAnsi="Arial" w:cs="Arial"/>
          <w:sz w:val="22"/>
        </w:rPr>
        <w:t xml:space="preserve">Esto sin perjuicio de la aplicación </w:t>
      </w:r>
      <w:r w:rsidRPr="00A82C4B" w:rsidR="00943EA6">
        <w:rPr>
          <w:rFonts w:ascii="Arial" w:hAnsi="Arial" w:cs="Arial"/>
          <w:sz w:val="22"/>
        </w:rPr>
        <w:t>de lo establecido en el</w:t>
      </w:r>
      <w:r w:rsidRPr="00A82C4B">
        <w:rPr>
          <w:rFonts w:ascii="Arial" w:hAnsi="Arial" w:cs="Arial"/>
          <w:sz w:val="22"/>
        </w:rPr>
        <w:t xml:space="preserve"> artículo 2.2.1.2.6.1.5. del Decreto 1082 de 2015, adicionado por el artículo 1º del Decreto 342 de 2019, que establece lo siguiente:</w:t>
      </w:r>
    </w:p>
    <w:p w:rsidRPr="00A82C4B" w:rsidR="00FA36FD" w:rsidP="00FA36FD" w:rsidRDefault="00FA36FD" w14:paraId="28BD7EA7" w14:textId="77777777">
      <w:pPr>
        <w:jc w:val="both"/>
        <w:rPr>
          <w:rFonts w:ascii="Arial" w:hAnsi="Arial" w:cs="Arial"/>
          <w:sz w:val="22"/>
        </w:rPr>
      </w:pPr>
    </w:p>
    <w:p w:rsidRPr="00A82C4B" w:rsidR="00FA36FD" w:rsidP="00FA36FD" w:rsidRDefault="00FA36FD" w14:paraId="08B09893" w14:textId="77777777">
      <w:pPr>
        <w:ind w:left="709" w:right="758"/>
        <w:jc w:val="both"/>
        <w:rPr>
          <w:rFonts w:ascii="Arial" w:hAnsi="Arial" w:cs="Arial"/>
          <w:sz w:val="21"/>
          <w:szCs w:val="21"/>
        </w:rPr>
      </w:pPr>
      <w:r w:rsidRPr="00A82C4B">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Pr="00A82C4B" w:rsidR="00FA36FD" w:rsidP="00FA36FD" w:rsidRDefault="00FA36FD" w14:paraId="79D9F2F3" w14:textId="77777777">
      <w:pPr>
        <w:ind w:left="709" w:right="758"/>
        <w:jc w:val="both"/>
        <w:rPr>
          <w:rFonts w:ascii="Arial" w:hAnsi="Arial" w:cs="Arial"/>
          <w:sz w:val="21"/>
          <w:szCs w:val="21"/>
        </w:rPr>
      </w:pPr>
    </w:p>
    <w:p w:rsidRPr="00A82C4B" w:rsidR="00FA36FD" w:rsidP="00FA36FD" w:rsidRDefault="00FA36FD" w14:paraId="394A5348" w14:textId="77777777">
      <w:pPr>
        <w:ind w:left="709" w:right="758"/>
        <w:jc w:val="both"/>
        <w:rPr>
          <w:rFonts w:ascii="Arial" w:hAnsi="Arial" w:cs="Arial"/>
          <w:sz w:val="21"/>
          <w:szCs w:val="21"/>
        </w:rPr>
      </w:pPr>
      <w:r w:rsidRPr="00A82C4B">
        <w:rPr>
          <w:rFonts w:ascii="Arial" w:hAnsi="Arial" w:cs="Arial"/>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rsidRPr="00A82C4B" w:rsidR="00FA36FD" w:rsidP="00FA36FD" w:rsidRDefault="00FA36FD" w14:paraId="7369C67F" w14:textId="77777777">
      <w:pPr>
        <w:ind w:left="709" w:right="758"/>
        <w:jc w:val="both"/>
        <w:rPr>
          <w:rFonts w:ascii="Arial" w:hAnsi="Arial" w:cs="Arial"/>
          <w:sz w:val="21"/>
          <w:szCs w:val="21"/>
        </w:rPr>
      </w:pPr>
    </w:p>
    <w:p w:rsidRPr="00A82C4B" w:rsidR="00FA36FD" w:rsidP="00FA36FD" w:rsidRDefault="00FA36FD" w14:paraId="3BF0F212" w14:textId="77777777">
      <w:pPr>
        <w:ind w:left="709" w:right="758"/>
        <w:jc w:val="both"/>
        <w:rPr>
          <w:rFonts w:ascii="Arial" w:hAnsi="Arial" w:cs="Arial"/>
          <w:sz w:val="21"/>
          <w:szCs w:val="21"/>
        </w:rPr>
      </w:pPr>
      <w:r w:rsidRPr="00A82C4B">
        <w:rPr>
          <w:rFonts w:ascii="Arial" w:hAnsi="Arial" w:cs="Arial"/>
          <w:sz w:val="21"/>
          <w:szCs w:val="21"/>
        </w:rPr>
        <w:t>2. Conservar los requisitos exigidos en los Documentos Tipo.</w:t>
      </w:r>
    </w:p>
    <w:p w:rsidRPr="00A82C4B" w:rsidR="00FA36FD" w:rsidP="00FA36FD" w:rsidRDefault="00FA36FD" w14:paraId="258360CD" w14:textId="77777777">
      <w:pPr>
        <w:ind w:left="709" w:right="758"/>
        <w:jc w:val="both"/>
        <w:rPr>
          <w:rFonts w:ascii="Arial" w:hAnsi="Arial" w:cs="Arial"/>
          <w:sz w:val="21"/>
          <w:szCs w:val="21"/>
        </w:rPr>
      </w:pPr>
    </w:p>
    <w:p w:rsidRPr="00A82C4B" w:rsidR="00FA36FD" w:rsidP="00FA36FD" w:rsidRDefault="00FA36FD" w14:paraId="3C255E28" w14:textId="77777777">
      <w:pPr>
        <w:ind w:left="709" w:right="758"/>
        <w:jc w:val="both"/>
        <w:rPr>
          <w:rFonts w:ascii="Arial" w:hAnsi="Arial" w:cs="Arial"/>
          <w:sz w:val="21"/>
          <w:szCs w:val="21"/>
        </w:rPr>
      </w:pPr>
      <w:r w:rsidRPr="00A82C4B">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rsidRPr="00A82C4B" w:rsidR="00FA36FD" w:rsidP="00FA36FD" w:rsidRDefault="00FA36FD" w14:paraId="0099FB87" w14:textId="77777777">
      <w:pPr>
        <w:ind w:left="709" w:right="758"/>
        <w:jc w:val="both"/>
        <w:rPr>
          <w:rFonts w:ascii="Arial" w:hAnsi="Arial" w:cs="Arial"/>
          <w:sz w:val="21"/>
          <w:szCs w:val="21"/>
        </w:rPr>
      </w:pPr>
    </w:p>
    <w:p w:rsidRPr="00A82C4B" w:rsidR="00FA36FD" w:rsidP="00FA36FD" w:rsidRDefault="00FA36FD" w14:paraId="2E531919" w14:textId="77777777">
      <w:pPr>
        <w:ind w:left="709" w:right="758"/>
        <w:jc w:val="both"/>
        <w:rPr>
          <w:rFonts w:ascii="Arial" w:hAnsi="Arial" w:cs="Arial"/>
          <w:sz w:val="21"/>
          <w:szCs w:val="21"/>
        </w:rPr>
      </w:pPr>
      <w:r w:rsidRPr="00A82C4B">
        <w:rPr>
          <w:rFonts w:ascii="Arial" w:hAnsi="Arial" w:cs="Arial"/>
          <w:sz w:val="21"/>
          <w:szCs w:val="21"/>
        </w:rPr>
        <w:t>4. Clasificar la experiencia requerida solo hasta el tercer nivel del Clasificador de Bienes y Servicios e incluir exclusivamente los códigos que estén relacionados directamente con el objeto a contratar.</w:t>
      </w:r>
    </w:p>
    <w:p w:rsidRPr="00A82C4B" w:rsidR="00FA36FD" w:rsidP="00FA36FD" w:rsidRDefault="00FA36FD" w14:paraId="44F6B09F" w14:textId="77777777">
      <w:pPr>
        <w:pStyle w:val="Default"/>
        <w:rPr>
          <w:color w:val="auto"/>
        </w:rPr>
      </w:pPr>
    </w:p>
    <w:p w:rsidRPr="00337F75" w:rsidR="00413CE8" w:rsidP="00413CE8" w:rsidRDefault="00413CE8" w14:paraId="3FB87C6D" w14:textId="283FCBC8">
      <w:pPr>
        <w:spacing w:before="120" w:line="276" w:lineRule="auto"/>
        <w:jc w:val="both"/>
        <w:rPr>
          <w:rFonts w:ascii="Arial" w:hAnsi="Arial" w:cs="Arial"/>
          <w:sz w:val="22"/>
        </w:rPr>
      </w:pPr>
      <w:r>
        <w:rPr>
          <w:rFonts w:ascii="Arial" w:hAnsi="Arial" w:cs="Arial"/>
          <w:sz w:val="22"/>
        </w:rPr>
        <w:tab/>
      </w:r>
      <w:bookmarkStart w:name="_Hlk40275772" w:id="3"/>
      <w:bookmarkStart w:name="_Hlk40274239" w:id="4"/>
      <w:r w:rsidRPr="00337F75">
        <w:rPr>
          <w:rFonts w:ascii="Arial" w:hAnsi="Arial" w:cs="Arial"/>
          <w:sz w:val="22"/>
        </w:rPr>
        <w:t xml:space="preserve">El artículo en cita establece de manera clara que en los casos en los que el objeto contractual, además de la intervención de infraestructura vial, involucre bienes o servicios adicionales a la obra publica de infraestructura de transporte, deberán aplicarse los Documentos Tipo, estableciendo además unos parámetros para la configuración de la requisitos de experiencia adicionales a los establecidos en la Matriz 1, aplicables cuando </w:t>
      </w:r>
      <w:r w:rsidRPr="00337F75">
        <w:rPr>
          <w:rFonts w:ascii="Arial" w:hAnsi="Arial" w:cs="Arial"/>
          <w:sz w:val="22"/>
        </w:rPr>
        <w:lastRenderedPageBreak/>
        <w:t>sea</w:t>
      </w:r>
      <w:r w:rsidRPr="00337F75" w:rsidR="009321B5">
        <w:rPr>
          <w:rFonts w:ascii="Arial" w:hAnsi="Arial" w:cs="Arial"/>
          <w:sz w:val="22"/>
        </w:rPr>
        <w:t>n</w:t>
      </w:r>
      <w:r w:rsidRPr="00337F75">
        <w:rPr>
          <w:rFonts w:ascii="Arial" w:hAnsi="Arial" w:cs="Arial"/>
          <w:sz w:val="22"/>
        </w:rPr>
        <w:t xml:space="preserve"> requeridos para evaluar la idoneidad de los proponentes en el desarrollo de las bienes o servicios adicionales a la obra pública de infraestructura de transporte que se pretenden contratar.</w:t>
      </w:r>
      <w:r w:rsidRPr="00337F75" w:rsidR="009321B5">
        <w:rPr>
          <w:rFonts w:ascii="Arial" w:hAnsi="Arial" w:cs="Arial"/>
          <w:sz w:val="22"/>
        </w:rPr>
        <w:t xml:space="preserve"> Conforme a esto</w:t>
      </w:r>
      <w:r w:rsidRPr="00337F75" w:rsidR="00742C9C">
        <w:rPr>
          <w:rFonts w:ascii="Arial" w:hAnsi="Arial" w:cs="Arial"/>
          <w:sz w:val="22"/>
        </w:rPr>
        <w:t>,</w:t>
      </w:r>
      <w:r w:rsidRPr="00337F75" w:rsidR="009321B5">
        <w:rPr>
          <w:rFonts w:ascii="Arial" w:hAnsi="Arial" w:cs="Arial"/>
          <w:sz w:val="22"/>
        </w:rPr>
        <w:t xml:space="preserve"> el hecho que el objeto contractual abarque bienes o servicios adicionales </w:t>
      </w:r>
      <w:r w:rsidRPr="00337F75" w:rsidR="00742C9C">
        <w:rPr>
          <w:rFonts w:ascii="Arial" w:hAnsi="Arial" w:cs="Arial"/>
          <w:sz w:val="22"/>
        </w:rPr>
        <w:t xml:space="preserve">a la obra pública de infraestructura de transporte, no va en detrimento de la obligatoria aplicación de los Documentos Tipo. </w:t>
      </w:r>
      <w:bookmarkEnd w:id="3"/>
    </w:p>
    <w:p w:rsidRPr="00337F75" w:rsidR="005B6698" w:rsidP="005B6698" w:rsidRDefault="005B6698" w14:paraId="01AAA5BF" w14:textId="71F4980F">
      <w:pPr>
        <w:spacing w:before="120" w:line="276" w:lineRule="auto"/>
        <w:ind w:firstLine="708"/>
        <w:jc w:val="both"/>
        <w:rPr>
          <w:rFonts w:ascii="Arial" w:hAnsi="Arial" w:cs="Arial"/>
          <w:sz w:val="22"/>
        </w:rPr>
      </w:pPr>
      <w:r w:rsidRPr="00337F75">
        <w:rPr>
          <w:rFonts w:ascii="Arial" w:hAnsi="Arial" w:cs="Arial"/>
          <w:sz w:val="22"/>
        </w:rPr>
        <w:t>En ese sentido, los Documentos Tipo son obligatorios para las entidades públicas, así mismo que el ámbito de aplicación de dichos documentos está determinado por las actividades a contratar establecidas en la Matriz 1 y, eventualmente, en el artículo 2.2.1.2.6.1.5. del Decreto 1082 de 2015, adicionado por el artículo 1º del Decreto 342 de 2019, en relación con la adquisición de bienes o servicios adicionales a la obra pública en procesos de licitación, el cual de conformidad con el artículo 2.2.1.2.6.2.3 del Decreto 1082 de 2015, también es aplicable en procedimientos de selección abreviada de menor cuantía</w:t>
      </w:r>
      <w:r w:rsidRPr="00337F75">
        <w:rPr>
          <w:rStyle w:val="Refdenotaalpie"/>
          <w:rFonts w:ascii="Arial" w:hAnsi="Arial" w:cs="Arial"/>
          <w:sz w:val="22"/>
        </w:rPr>
        <w:footnoteReference w:id="8"/>
      </w:r>
      <w:r w:rsidRPr="00337F75">
        <w:rPr>
          <w:rFonts w:ascii="Arial" w:hAnsi="Arial" w:cs="Arial"/>
          <w:sz w:val="22"/>
        </w:rPr>
        <w:t>.</w:t>
      </w:r>
    </w:p>
    <w:p w:rsidRPr="00337F75" w:rsidR="00494039" w:rsidP="00E533FE" w:rsidRDefault="006746D9" w14:paraId="072134FF" w14:textId="16F96C76">
      <w:pPr>
        <w:spacing w:before="120" w:line="276" w:lineRule="auto"/>
        <w:ind w:firstLine="708"/>
        <w:jc w:val="both"/>
        <w:rPr>
          <w:rFonts w:ascii="Arial" w:hAnsi="Arial" w:cs="Arial"/>
          <w:sz w:val="22"/>
        </w:rPr>
      </w:pPr>
      <w:r w:rsidRPr="00337F75">
        <w:rPr>
          <w:rFonts w:ascii="Arial" w:hAnsi="Arial" w:cs="Arial"/>
          <w:sz w:val="22"/>
        </w:rPr>
        <w:t xml:space="preserve">Ahora bien, para determinar la </w:t>
      </w:r>
      <w:r w:rsidRPr="00337F75" w:rsidR="00EF1446">
        <w:rPr>
          <w:rFonts w:ascii="Arial" w:hAnsi="Arial" w:cs="Arial"/>
          <w:sz w:val="22"/>
        </w:rPr>
        <w:t>obligatoriedad</w:t>
      </w:r>
      <w:r w:rsidRPr="00337F75">
        <w:rPr>
          <w:rFonts w:ascii="Arial" w:hAnsi="Arial" w:cs="Arial"/>
          <w:sz w:val="22"/>
        </w:rPr>
        <w:t xml:space="preserve"> de los documentos tipo y la forma en la que deben configurarse las condiciones de experiencia exigibles</w:t>
      </w:r>
      <w:r w:rsidRPr="00337F75" w:rsidR="00EF1446">
        <w:rPr>
          <w:rFonts w:ascii="Arial" w:hAnsi="Arial" w:cs="Arial"/>
          <w:sz w:val="22"/>
        </w:rPr>
        <w:t>, conforme impone la adecuada aplicación de la Matriz 1, debe en primera medida precisarse sobre qu</w:t>
      </w:r>
      <w:r w:rsidRPr="00337F75" w:rsidR="00140BDF">
        <w:rPr>
          <w:rFonts w:ascii="Arial" w:hAnsi="Arial" w:cs="Arial"/>
          <w:sz w:val="22"/>
        </w:rPr>
        <w:t>é</w:t>
      </w:r>
      <w:r w:rsidRPr="00337F75" w:rsidR="00EF1446">
        <w:rPr>
          <w:rFonts w:ascii="Arial" w:hAnsi="Arial" w:cs="Arial"/>
          <w:sz w:val="22"/>
        </w:rPr>
        <w:t xml:space="preserve"> tipo de infraestructura recaerán las actividades </w:t>
      </w:r>
      <w:r w:rsidRPr="00337F75" w:rsidR="00C66126">
        <w:rPr>
          <w:rFonts w:ascii="Arial" w:hAnsi="Arial" w:cs="Arial"/>
          <w:sz w:val="22"/>
        </w:rPr>
        <w:t xml:space="preserve">de </w:t>
      </w:r>
      <w:r w:rsidRPr="00337F75" w:rsidR="00EF1446">
        <w:rPr>
          <w:rFonts w:ascii="Arial" w:hAnsi="Arial" w:cs="Arial"/>
          <w:sz w:val="22"/>
        </w:rPr>
        <w:t xml:space="preserve">pavimentación ligadas al mantenimiento de redes hidrosanitarias, </w:t>
      </w:r>
      <w:r w:rsidRPr="00337F75" w:rsidR="005F48D7">
        <w:rPr>
          <w:rFonts w:ascii="Arial" w:hAnsi="Arial" w:cs="Arial"/>
          <w:sz w:val="22"/>
        </w:rPr>
        <w:t>lo cual tiene particular relevancia frente al objeto de la consulta, ya que dentro del componente «6. OBRAS DE INFRAESTRUCTURA VIAL URBANA» de la Matriz 1, se incluyó la actividad «6.1 PROYECTOS DE CONSTRUCCIÓN O MEJORAMIENTO O REHABILITACIÓN DE VÍAS URBANAS», la cual faculta a las entidades para exigir como experiencia especifica «Por lo menos uno (1) de los contratos válidos aportados como experiencia general debe acreditar la intervención de redes de servicios públicos»</w:t>
      </w:r>
      <w:r w:rsidRPr="00337F75" w:rsidR="00494039">
        <w:rPr>
          <w:rFonts w:ascii="Arial" w:hAnsi="Arial" w:cs="Arial"/>
          <w:sz w:val="22"/>
        </w:rPr>
        <w:t>.</w:t>
      </w:r>
      <w:r w:rsidRPr="00337F75" w:rsidR="005F48D7">
        <w:rPr>
          <w:rFonts w:ascii="Arial" w:hAnsi="Arial" w:cs="Arial"/>
          <w:sz w:val="22"/>
        </w:rPr>
        <w:t xml:space="preserve"> </w:t>
      </w:r>
      <w:r w:rsidRPr="00337F75" w:rsidR="00494039">
        <w:rPr>
          <w:rFonts w:ascii="Arial" w:hAnsi="Arial" w:cs="Arial"/>
          <w:sz w:val="22"/>
        </w:rPr>
        <w:t>P</w:t>
      </w:r>
      <w:r w:rsidRPr="00337F75" w:rsidR="005F48D7">
        <w:rPr>
          <w:rFonts w:ascii="Arial" w:hAnsi="Arial" w:cs="Arial"/>
          <w:sz w:val="22"/>
        </w:rPr>
        <w:t xml:space="preserve">ara </w:t>
      </w:r>
      <w:r w:rsidRPr="00337F75" w:rsidR="00494039">
        <w:rPr>
          <w:rFonts w:ascii="Arial" w:hAnsi="Arial" w:cs="Arial"/>
          <w:sz w:val="22"/>
        </w:rPr>
        <w:t xml:space="preserve">tales efectos, </w:t>
      </w:r>
      <w:r w:rsidRPr="00337F75" w:rsidR="005F48D7">
        <w:rPr>
          <w:rFonts w:ascii="Arial" w:hAnsi="Arial" w:cs="Arial"/>
          <w:sz w:val="22"/>
        </w:rPr>
        <w:t>deberá tener</w:t>
      </w:r>
      <w:r w:rsidRPr="00337F75" w:rsidR="00494039">
        <w:rPr>
          <w:rFonts w:ascii="Arial" w:hAnsi="Arial" w:cs="Arial"/>
          <w:sz w:val="22"/>
        </w:rPr>
        <w:t>se</w:t>
      </w:r>
      <w:r w:rsidRPr="00337F75" w:rsidR="005F48D7">
        <w:rPr>
          <w:rFonts w:ascii="Arial" w:hAnsi="Arial" w:cs="Arial"/>
          <w:sz w:val="22"/>
        </w:rPr>
        <w:t xml:space="preserve"> en cuenta lo señalado por la </w:t>
      </w:r>
      <w:r w:rsidRPr="00337F75" w:rsidR="005F48D7">
        <w:rPr>
          <w:rFonts w:ascii="Arial" w:hAnsi="Arial" w:cs="Arial"/>
          <w:i/>
          <w:iCs/>
          <w:sz w:val="22"/>
        </w:rPr>
        <w:t xml:space="preserve">Nota </w:t>
      </w:r>
      <w:r w:rsidRPr="00337F75" w:rsidR="005F48D7">
        <w:rPr>
          <w:rFonts w:ascii="Arial" w:hAnsi="Arial" w:cs="Arial"/>
          <w:sz w:val="22"/>
        </w:rPr>
        <w:t>incluida en este campo de la Matriz 1, que señala que l</w:t>
      </w:r>
      <w:r w:rsidRPr="00337F75" w:rsidR="00E533FE">
        <w:rPr>
          <w:rFonts w:ascii="Arial" w:hAnsi="Arial" w:cs="Arial"/>
          <w:sz w:val="22"/>
        </w:rPr>
        <w:t>a</w:t>
      </w:r>
      <w:r w:rsidRPr="00337F75" w:rsidR="005F48D7">
        <w:rPr>
          <w:rFonts w:ascii="Arial" w:hAnsi="Arial" w:cs="Arial"/>
          <w:sz w:val="22"/>
        </w:rPr>
        <w:t xml:space="preserve"> entidad estatal </w:t>
      </w:r>
      <w:r w:rsidRPr="00337F75" w:rsidR="005F48D7">
        <w:t xml:space="preserve"> «</w:t>
      </w:r>
      <w:r w:rsidRPr="00337F75" w:rsidR="005F48D7">
        <w:rPr>
          <w:rFonts w:ascii="Arial" w:hAnsi="Arial" w:cs="Arial"/>
          <w:sz w:val="22"/>
        </w:rPr>
        <w:t>dentro de su labor de planeación y según la naturaleza propia de su proceso de contratación y el objeto que pretende celebrar, establecerá la pertinencia de requerir como experiencia específica las dos condiciones anteriores, es decir, intervención a la estructura de pavimentos y a redes de servicios públicos, o si por el contrario, únicamente requiere uno de estos dos».</w:t>
      </w:r>
      <w:r w:rsidRPr="00337F75" w:rsidR="00E533FE">
        <w:rPr>
          <w:rFonts w:ascii="Arial" w:hAnsi="Arial" w:cs="Arial"/>
          <w:sz w:val="22"/>
        </w:rPr>
        <w:t xml:space="preserve"> En este mismo sentido, </w:t>
      </w:r>
      <w:r w:rsidRPr="00337F75" w:rsidR="00742C9C">
        <w:rPr>
          <w:rFonts w:ascii="Arial" w:hAnsi="Arial" w:cs="Arial"/>
          <w:sz w:val="22"/>
        </w:rPr>
        <w:t>la</w:t>
      </w:r>
      <w:r w:rsidRPr="00337F75" w:rsidR="00E533FE">
        <w:rPr>
          <w:rFonts w:ascii="Arial" w:hAnsi="Arial" w:cs="Arial"/>
          <w:sz w:val="22"/>
        </w:rPr>
        <w:t xml:space="preserve"> </w:t>
      </w:r>
      <w:r w:rsidRPr="00337F75" w:rsidR="00742C9C">
        <w:rPr>
          <w:rFonts w:ascii="Arial" w:hAnsi="Arial" w:cs="Arial"/>
          <w:sz w:val="22"/>
        </w:rPr>
        <w:t>actividad</w:t>
      </w:r>
      <w:r w:rsidRPr="00337F75" w:rsidR="00E533FE">
        <w:rPr>
          <w:rFonts w:ascii="Arial" w:hAnsi="Arial" w:cs="Arial"/>
          <w:sz w:val="22"/>
        </w:rPr>
        <w:t xml:space="preserve"> «6.11 PROYECTOS DE CONSTRUCCIÓN O REFORZAMIENTO DE INFRAESTRUCTURA SISTEMAS DE TRANSPORTE MASIVO» incluye como requisito de experiencia general </w:t>
      </w:r>
      <w:r w:rsidRPr="00337F75" w:rsidR="00C66126">
        <w:rPr>
          <w:rFonts w:ascii="Arial" w:hAnsi="Arial" w:cs="Arial"/>
          <w:sz w:val="22"/>
        </w:rPr>
        <w:t xml:space="preserve">la </w:t>
      </w:r>
      <w:r w:rsidRPr="00337F75" w:rsidR="00E533FE">
        <w:rPr>
          <w:rFonts w:ascii="Arial" w:hAnsi="Arial" w:cs="Arial"/>
          <w:sz w:val="22"/>
        </w:rPr>
        <w:t xml:space="preserve">«CONSTRUCCIÓN O REHABILITACIÓN </w:t>
      </w:r>
      <w:r w:rsidRPr="00337F75" w:rsidR="00E533FE">
        <w:rPr>
          <w:rFonts w:ascii="Arial" w:hAnsi="Arial" w:cs="Arial"/>
          <w:sz w:val="22"/>
        </w:rPr>
        <w:lastRenderedPageBreak/>
        <w:t>O MEJORAMIENTO DE INFRAESTRUCTURA VIAL PARA TRÁFICO VEHICULAR DE VÍAS URBANAS O VÍAS PRIMARIAS»,</w:t>
      </w:r>
      <w:r w:rsidRPr="00337F75" w:rsidR="00C66126">
        <w:rPr>
          <w:rFonts w:ascii="Arial" w:hAnsi="Arial" w:cs="Arial"/>
          <w:sz w:val="22"/>
        </w:rPr>
        <w:t xml:space="preserve"> </w:t>
      </w:r>
      <w:r w:rsidRPr="00337F75" w:rsidR="00E533FE">
        <w:rPr>
          <w:rFonts w:ascii="Arial" w:hAnsi="Arial" w:cs="Arial"/>
          <w:sz w:val="22"/>
        </w:rPr>
        <w:t>precisando la</w:t>
      </w:r>
      <w:r w:rsidRPr="00337F75" w:rsidR="00E533FE">
        <w:rPr>
          <w:rFonts w:ascii="Arial" w:hAnsi="Arial" w:cs="Arial"/>
          <w:i/>
          <w:iCs/>
          <w:sz w:val="22"/>
        </w:rPr>
        <w:t xml:space="preserve"> Nota 2</w:t>
      </w:r>
      <w:r w:rsidRPr="00337F75" w:rsidR="00E533FE">
        <w:rPr>
          <w:rFonts w:ascii="Arial" w:hAnsi="Arial" w:cs="Arial"/>
          <w:sz w:val="22"/>
        </w:rPr>
        <w:t xml:space="preserve"> que «Por lo menos uno (1) de los contratos válidos aportados como experiencia general deberá demostrar la ejecución de redes subterráneas de servicios públicos».</w:t>
      </w:r>
    </w:p>
    <w:p w:rsidRPr="00337F75" w:rsidR="00494039" w:rsidP="00FA36FD" w:rsidRDefault="00494039" w14:paraId="599AB4D2" w14:textId="79C2A7C8">
      <w:pPr>
        <w:spacing w:before="120" w:line="276" w:lineRule="auto"/>
        <w:ind w:firstLine="708"/>
        <w:jc w:val="both"/>
        <w:rPr>
          <w:rFonts w:ascii="Arial" w:hAnsi="Arial" w:cs="Arial"/>
          <w:sz w:val="22"/>
        </w:rPr>
      </w:pPr>
      <w:r w:rsidRPr="00337F75">
        <w:rPr>
          <w:rFonts w:ascii="Arial" w:hAnsi="Arial" w:cs="Arial"/>
          <w:sz w:val="22"/>
        </w:rPr>
        <w:t xml:space="preserve">Conforme a lo anterior, si el objeto del contrato en el que se incluye un componente de mantenimiento de redes </w:t>
      </w:r>
      <w:r w:rsidRPr="00337F75" w:rsidR="00E533FE">
        <w:rPr>
          <w:rFonts w:ascii="Arial" w:hAnsi="Arial" w:cs="Arial"/>
          <w:sz w:val="22"/>
        </w:rPr>
        <w:t>hidrosanitarias</w:t>
      </w:r>
      <w:r w:rsidRPr="00337F75">
        <w:rPr>
          <w:rFonts w:ascii="Arial" w:hAnsi="Arial" w:cs="Arial"/>
          <w:sz w:val="22"/>
        </w:rPr>
        <w:t xml:space="preserve"> está dirigido al adelantamiento de proyecto</w:t>
      </w:r>
      <w:r w:rsidRPr="00337F75" w:rsidR="00E533FE">
        <w:rPr>
          <w:rFonts w:ascii="Arial" w:hAnsi="Arial" w:cs="Arial"/>
          <w:sz w:val="22"/>
        </w:rPr>
        <w:t>s</w:t>
      </w:r>
      <w:r w:rsidRPr="00337F75">
        <w:rPr>
          <w:rFonts w:ascii="Arial" w:hAnsi="Arial" w:cs="Arial"/>
          <w:sz w:val="22"/>
        </w:rPr>
        <w:t xml:space="preserve"> de construcción, mejoramiento o rehabilitación de vías urbanas,</w:t>
      </w:r>
      <w:r w:rsidRPr="00337F75" w:rsidR="00E533FE">
        <w:rPr>
          <w:rFonts w:ascii="Arial" w:hAnsi="Arial" w:cs="Arial"/>
          <w:sz w:val="22"/>
        </w:rPr>
        <w:t xml:space="preserve">  </w:t>
      </w:r>
      <w:r w:rsidRPr="00337F75" w:rsidR="00C66126">
        <w:rPr>
          <w:rFonts w:ascii="Arial" w:hAnsi="Arial" w:cs="Arial"/>
          <w:sz w:val="22"/>
        </w:rPr>
        <w:t>o a</w:t>
      </w:r>
      <w:r w:rsidRPr="00337F75" w:rsidR="00E533FE">
        <w:rPr>
          <w:rFonts w:ascii="Arial" w:hAnsi="Arial" w:cs="Arial"/>
          <w:sz w:val="22"/>
        </w:rPr>
        <w:t xml:space="preserve"> proyectos de construcción o reforzamiento de infraestructura </w:t>
      </w:r>
      <w:r w:rsidRPr="00337F75" w:rsidR="00C66126">
        <w:rPr>
          <w:rFonts w:ascii="Arial" w:hAnsi="Arial" w:cs="Arial"/>
          <w:sz w:val="22"/>
        </w:rPr>
        <w:t xml:space="preserve">de </w:t>
      </w:r>
      <w:r w:rsidRPr="00337F75" w:rsidR="00E533FE">
        <w:rPr>
          <w:rFonts w:ascii="Arial" w:hAnsi="Arial" w:cs="Arial"/>
          <w:sz w:val="22"/>
        </w:rPr>
        <w:t>sistemas de transporte masivo,</w:t>
      </w:r>
      <w:r w:rsidRPr="00337F75">
        <w:rPr>
          <w:rFonts w:ascii="Arial" w:hAnsi="Arial" w:cs="Arial"/>
          <w:sz w:val="22"/>
        </w:rPr>
        <w:t xml:space="preserve"> deberán aplicarse los </w:t>
      </w:r>
      <w:r w:rsidRPr="00337F75" w:rsidR="00C66126">
        <w:rPr>
          <w:rFonts w:ascii="Arial" w:hAnsi="Arial" w:cs="Arial"/>
          <w:sz w:val="22"/>
        </w:rPr>
        <w:t>D</w:t>
      </w:r>
      <w:r w:rsidRPr="00337F75">
        <w:rPr>
          <w:rFonts w:ascii="Arial" w:hAnsi="Arial" w:cs="Arial"/>
          <w:sz w:val="22"/>
        </w:rPr>
        <w:t xml:space="preserve">ocumentos </w:t>
      </w:r>
      <w:r w:rsidRPr="00337F75" w:rsidR="00C66126">
        <w:rPr>
          <w:rFonts w:ascii="Arial" w:hAnsi="Arial" w:cs="Arial"/>
          <w:sz w:val="22"/>
        </w:rPr>
        <w:t>T</w:t>
      </w:r>
      <w:r w:rsidRPr="00337F75">
        <w:rPr>
          <w:rFonts w:ascii="Arial" w:hAnsi="Arial" w:cs="Arial"/>
          <w:sz w:val="22"/>
        </w:rPr>
        <w:t>ipo y configurarse las condiciones de experiencia general y espec</w:t>
      </w:r>
      <w:r w:rsidRPr="00337F75" w:rsidR="00B22F5C">
        <w:rPr>
          <w:rFonts w:ascii="Arial" w:hAnsi="Arial" w:cs="Arial"/>
          <w:sz w:val="22"/>
        </w:rPr>
        <w:t>í</w:t>
      </w:r>
      <w:r w:rsidRPr="00337F75">
        <w:rPr>
          <w:rFonts w:ascii="Arial" w:hAnsi="Arial" w:cs="Arial"/>
          <w:sz w:val="22"/>
        </w:rPr>
        <w:t xml:space="preserve">fica de acuerdo a lo establecido en </w:t>
      </w:r>
      <w:r w:rsidRPr="00337F75" w:rsidR="00E533FE">
        <w:rPr>
          <w:rFonts w:ascii="Arial" w:hAnsi="Arial" w:cs="Arial"/>
          <w:sz w:val="22"/>
        </w:rPr>
        <w:t>los</w:t>
      </w:r>
      <w:r w:rsidRPr="00337F75">
        <w:rPr>
          <w:rFonts w:ascii="Arial" w:hAnsi="Arial" w:cs="Arial"/>
          <w:sz w:val="22"/>
        </w:rPr>
        <w:t xml:space="preserve"> numeral 6.1</w:t>
      </w:r>
      <w:r w:rsidRPr="00337F75" w:rsidR="00E533FE">
        <w:rPr>
          <w:rFonts w:ascii="Arial" w:hAnsi="Arial" w:cs="Arial"/>
          <w:sz w:val="22"/>
        </w:rPr>
        <w:t xml:space="preserve"> y 6.11</w:t>
      </w:r>
      <w:r w:rsidRPr="00337F75">
        <w:rPr>
          <w:rFonts w:ascii="Arial" w:hAnsi="Arial" w:cs="Arial"/>
          <w:sz w:val="22"/>
        </w:rPr>
        <w:t xml:space="preserve"> de la Matriz 1,</w:t>
      </w:r>
      <w:r w:rsidRPr="00337F75" w:rsidR="00E533FE">
        <w:rPr>
          <w:rFonts w:ascii="Arial" w:hAnsi="Arial" w:cs="Arial"/>
          <w:sz w:val="22"/>
        </w:rPr>
        <w:t xml:space="preserve"> según corresponda,</w:t>
      </w:r>
      <w:r w:rsidRPr="00337F75">
        <w:rPr>
          <w:rFonts w:ascii="Arial" w:hAnsi="Arial" w:cs="Arial"/>
          <w:sz w:val="22"/>
        </w:rPr>
        <w:t xml:space="preserve"> sin que sea necesario</w:t>
      </w:r>
      <w:r w:rsidRPr="00337F75" w:rsidR="00E533FE">
        <w:rPr>
          <w:rFonts w:ascii="Arial" w:hAnsi="Arial" w:cs="Arial"/>
          <w:sz w:val="22"/>
        </w:rPr>
        <w:t>, en principio,</w:t>
      </w:r>
      <w:r w:rsidRPr="00337F75">
        <w:rPr>
          <w:rFonts w:ascii="Arial" w:hAnsi="Arial" w:cs="Arial"/>
          <w:sz w:val="22"/>
        </w:rPr>
        <w:t xml:space="preserve"> acudir a los parámetros del artículo 2.2.1.2.6.1.5. </w:t>
      </w:r>
      <w:r w:rsidRPr="00337F75" w:rsidR="00742C9C">
        <w:rPr>
          <w:rFonts w:ascii="Arial" w:hAnsi="Arial" w:cs="Arial"/>
          <w:i/>
          <w:iCs/>
          <w:sz w:val="22"/>
        </w:rPr>
        <w:t>Ibídem</w:t>
      </w:r>
      <w:r w:rsidRPr="00337F75">
        <w:rPr>
          <w:rFonts w:ascii="Arial" w:hAnsi="Arial" w:cs="Arial"/>
          <w:sz w:val="22"/>
        </w:rPr>
        <w:t xml:space="preserve"> ya</w:t>
      </w:r>
      <w:r w:rsidRPr="00337F75" w:rsidR="00E533FE">
        <w:rPr>
          <w:rFonts w:ascii="Arial" w:hAnsi="Arial" w:cs="Arial"/>
          <w:sz w:val="22"/>
        </w:rPr>
        <w:t xml:space="preserve"> que los</w:t>
      </w:r>
      <w:r w:rsidRPr="00337F75">
        <w:rPr>
          <w:rFonts w:ascii="Arial" w:hAnsi="Arial" w:cs="Arial"/>
          <w:sz w:val="22"/>
        </w:rPr>
        <w:t xml:space="preserve"> referido</w:t>
      </w:r>
      <w:r w:rsidRPr="00337F75" w:rsidR="00E533FE">
        <w:rPr>
          <w:rFonts w:ascii="Arial" w:hAnsi="Arial" w:cs="Arial"/>
          <w:sz w:val="22"/>
        </w:rPr>
        <w:t>s</w:t>
      </w:r>
      <w:r w:rsidRPr="00337F75">
        <w:rPr>
          <w:rFonts w:ascii="Arial" w:hAnsi="Arial" w:cs="Arial"/>
          <w:sz w:val="22"/>
        </w:rPr>
        <w:t xml:space="preserve"> numeral</w:t>
      </w:r>
      <w:r w:rsidRPr="00337F75" w:rsidR="00E533FE">
        <w:rPr>
          <w:rFonts w:ascii="Arial" w:hAnsi="Arial" w:cs="Arial"/>
          <w:sz w:val="22"/>
        </w:rPr>
        <w:t>es</w:t>
      </w:r>
      <w:r w:rsidRPr="00337F75">
        <w:rPr>
          <w:rFonts w:ascii="Arial" w:hAnsi="Arial" w:cs="Arial"/>
          <w:sz w:val="22"/>
        </w:rPr>
        <w:t xml:space="preserve"> establece</w:t>
      </w:r>
      <w:r w:rsidRPr="00337F75" w:rsidR="00E533FE">
        <w:rPr>
          <w:rFonts w:ascii="Arial" w:hAnsi="Arial" w:cs="Arial"/>
          <w:sz w:val="22"/>
        </w:rPr>
        <w:t>n</w:t>
      </w:r>
      <w:r w:rsidRPr="00337F75">
        <w:rPr>
          <w:rFonts w:ascii="Arial" w:hAnsi="Arial" w:cs="Arial"/>
          <w:sz w:val="22"/>
        </w:rPr>
        <w:t xml:space="preserve"> requisitos de experiencia para actividades relacionadas con la intervención de redes</w:t>
      </w:r>
      <w:r w:rsidRPr="00337F75" w:rsidR="00E533FE">
        <w:rPr>
          <w:rFonts w:ascii="Arial" w:hAnsi="Arial" w:cs="Arial"/>
          <w:sz w:val="22"/>
        </w:rPr>
        <w:t xml:space="preserve"> de servicios públicos.</w:t>
      </w:r>
      <w:r w:rsidRPr="00337F75">
        <w:rPr>
          <w:rFonts w:ascii="Arial" w:hAnsi="Arial" w:cs="Arial"/>
          <w:sz w:val="22"/>
        </w:rPr>
        <w:t xml:space="preserve"> </w:t>
      </w:r>
      <w:r w:rsidRPr="00337F75" w:rsidR="00D76AE1">
        <w:rPr>
          <w:rFonts w:ascii="Arial" w:hAnsi="Arial" w:cs="Arial"/>
          <w:sz w:val="22"/>
        </w:rPr>
        <w:t>No obstante, si la entidad determina que las condiciones del objeto del contrato, en lo referente a la intervención de las redes hidrosanitarias, precisa</w:t>
      </w:r>
      <w:r w:rsidRPr="00337F75" w:rsidR="003B627F">
        <w:rPr>
          <w:rFonts w:ascii="Arial" w:hAnsi="Arial" w:cs="Arial"/>
          <w:sz w:val="22"/>
        </w:rPr>
        <w:t>n</w:t>
      </w:r>
      <w:r w:rsidRPr="00337F75" w:rsidR="00D76AE1">
        <w:rPr>
          <w:rFonts w:ascii="Arial" w:hAnsi="Arial" w:cs="Arial"/>
          <w:sz w:val="22"/>
        </w:rPr>
        <w:t xml:space="preserve"> de la exigencia de </w:t>
      </w:r>
      <w:r w:rsidRPr="00337F75" w:rsidR="009321B5">
        <w:rPr>
          <w:rFonts w:ascii="Arial" w:hAnsi="Arial" w:cs="Arial"/>
          <w:sz w:val="22"/>
        </w:rPr>
        <w:t>requisitos</w:t>
      </w:r>
      <w:r w:rsidRPr="00337F75" w:rsidR="00D76AE1">
        <w:rPr>
          <w:rFonts w:ascii="Arial" w:hAnsi="Arial" w:cs="Arial"/>
          <w:sz w:val="22"/>
        </w:rPr>
        <w:t xml:space="preserve"> de experiencia adicionales a l</w:t>
      </w:r>
      <w:r w:rsidRPr="00337F75" w:rsidR="009321B5">
        <w:rPr>
          <w:rFonts w:ascii="Arial" w:hAnsi="Arial" w:cs="Arial"/>
          <w:sz w:val="22"/>
        </w:rPr>
        <w:t>os</w:t>
      </w:r>
      <w:r w:rsidRPr="00337F75" w:rsidR="00D76AE1">
        <w:rPr>
          <w:rFonts w:ascii="Arial" w:hAnsi="Arial" w:cs="Arial"/>
          <w:sz w:val="22"/>
        </w:rPr>
        <w:t xml:space="preserve"> establecid</w:t>
      </w:r>
      <w:r w:rsidRPr="00337F75" w:rsidR="009321B5">
        <w:rPr>
          <w:rFonts w:ascii="Arial" w:hAnsi="Arial" w:cs="Arial"/>
          <w:sz w:val="22"/>
        </w:rPr>
        <w:t>o</w:t>
      </w:r>
      <w:r w:rsidRPr="00337F75" w:rsidR="00D76AE1">
        <w:rPr>
          <w:rFonts w:ascii="Arial" w:hAnsi="Arial" w:cs="Arial"/>
          <w:sz w:val="22"/>
        </w:rPr>
        <w:t xml:space="preserve">s en la Matriz 1, en aras de </w:t>
      </w:r>
      <w:r w:rsidRPr="00337F75" w:rsidR="00C66126">
        <w:rPr>
          <w:rFonts w:ascii="Arial" w:hAnsi="Arial" w:cs="Arial"/>
          <w:sz w:val="22"/>
        </w:rPr>
        <w:t>evaluar</w:t>
      </w:r>
      <w:r w:rsidRPr="00337F75" w:rsidR="00D76AE1">
        <w:rPr>
          <w:rFonts w:ascii="Arial" w:hAnsi="Arial" w:cs="Arial"/>
          <w:sz w:val="22"/>
        </w:rPr>
        <w:t xml:space="preserve"> la idoneidad </w:t>
      </w:r>
      <w:r w:rsidRPr="00337F75" w:rsidR="00C66126">
        <w:rPr>
          <w:rFonts w:ascii="Arial" w:hAnsi="Arial" w:cs="Arial"/>
          <w:sz w:val="22"/>
        </w:rPr>
        <w:t xml:space="preserve">de </w:t>
      </w:r>
      <w:r w:rsidRPr="00337F75" w:rsidR="00D76AE1">
        <w:rPr>
          <w:rFonts w:ascii="Arial" w:hAnsi="Arial" w:cs="Arial"/>
          <w:sz w:val="22"/>
        </w:rPr>
        <w:t>los participantes del proceso para la ejecución del objeto del contrato, podrá exigir experiencia adicional de conformidad con los parámetros establecidos en el artículo 2.2.1.2.6.1.5. del Decreto 1082 de 2015</w:t>
      </w:r>
      <w:r w:rsidRPr="00337F75" w:rsidR="003B627F">
        <w:rPr>
          <w:rFonts w:ascii="Arial" w:hAnsi="Arial" w:cs="Arial"/>
          <w:sz w:val="22"/>
        </w:rPr>
        <w:t>.</w:t>
      </w:r>
    </w:p>
    <w:p w:rsidRPr="00337F75" w:rsidR="00A82C4B" w:rsidP="00FA36FD" w:rsidRDefault="003B627F" w14:paraId="11CFC456" w14:textId="5AAA0F32">
      <w:pPr>
        <w:spacing w:before="120" w:line="276" w:lineRule="auto"/>
        <w:ind w:firstLine="708"/>
        <w:jc w:val="both"/>
        <w:rPr>
          <w:rFonts w:ascii="Arial" w:hAnsi="Arial" w:cs="Arial"/>
          <w:sz w:val="22"/>
        </w:rPr>
      </w:pPr>
      <w:r w:rsidRPr="00337F75">
        <w:rPr>
          <w:rFonts w:ascii="Arial" w:hAnsi="Arial" w:cs="Arial"/>
          <w:sz w:val="22"/>
        </w:rPr>
        <w:t>De otra parte, si el componente de mantenimiento de redes hidrosanitarias está ligado a la intervención de infraestructura de transporte diferente a la urbana, la entidad deberá verificar si el tipo de obra y actividad a ejecutar se encuentra</w:t>
      </w:r>
      <w:r w:rsidRPr="00337F75" w:rsidR="009F502F">
        <w:rPr>
          <w:rFonts w:ascii="Arial" w:hAnsi="Arial" w:cs="Arial"/>
          <w:sz w:val="22"/>
        </w:rPr>
        <w:t>n</w:t>
      </w:r>
      <w:r w:rsidRPr="00337F75">
        <w:rPr>
          <w:rFonts w:ascii="Arial" w:hAnsi="Arial" w:cs="Arial"/>
          <w:sz w:val="22"/>
        </w:rPr>
        <w:t xml:space="preserve"> comprendido</w:t>
      </w:r>
      <w:r w:rsidRPr="00337F75" w:rsidR="009F502F">
        <w:rPr>
          <w:rFonts w:ascii="Arial" w:hAnsi="Arial" w:cs="Arial"/>
          <w:sz w:val="22"/>
        </w:rPr>
        <w:t>s</w:t>
      </w:r>
      <w:r w:rsidRPr="00337F75">
        <w:rPr>
          <w:rFonts w:ascii="Arial" w:hAnsi="Arial" w:cs="Arial"/>
          <w:sz w:val="22"/>
        </w:rPr>
        <w:t xml:space="preserve"> dentro de algun</w:t>
      </w:r>
      <w:r w:rsidRPr="00337F75" w:rsidR="009F502F">
        <w:rPr>
          <w:rFonts w:ascii="Arial" w:hAnsi="Arial" w:cs="Arial"/>
          <w:sz w:val="22"/>
        </w:rPr>
        <w:t>a</w:t>
      </w:r>
      <w:r w:rsidRPr="00337F75">
        <w:rPr>
          <w:rFonts w:ascii="Arial" w:hAnsi="Arial" w:cs="Arial"/>
          <w:sz w:val="22"/>
        </w:rPr>
        <w:t xml:space="preserve"> de l</w:t>
      </w:r>
      <w:r w:rsidRPr="00337F75" w:rsidR="009F502F">
        <w:rPr>
          <w:rFonts w:ascii="Arial" w:hAnsi="Arial" w:cs="Arial"/>
          <w:sz w:val="22"/>
        </w:rPr>
        <w:t>a</w:t>
      </w:r>
      <w:r w:rsidRPr="00337F75">
        <w:rPr>
          <w:rFonts w:ascii="Arial" w:hAnsi="Arial" w:cs="Arial"/>
          <w:sz w:val="22"/>
        </w:rPr>
        <w:t>s</w:t>
      </w:r>
      <w:r w:rsidRPr="00337F75" w:rsidR="009F502F">
        <w:rPr>
          <w:rFonts w:ascii="Arial" w:hAnsi="Arial" w:cs="Arial"/>
          <w:sz w:val="22"/>
        </w:rPr>
        <w:t xml:space="preserve"> otras</w:t>
      </w:r>
      <w:r w:rsidRPr="00337F75">
        <w:rPr>
          <w:rFonts w:ascii="Arial" w:hAnsi="Arial" w:cs="Arial"/>
          <w:sz w:val="22"/>
        </w:rPr>
        <w:t xml:space="preserve"> </w:t>
      </w:r>
      <w:r w:rsidRPr="00337F75" w:rsidR="009F502F">
        <w:rPr>
          <w:rFonts w:ascii="Arial" w:hAnsi="Arial" w:cs="Arial"/>
          <w:sz w:val="22"/>
        </w:rPr>
        <w:t>secciones</w:t>
      </w:r>
      <w:r w:rsidRPr="00337F75">
        <w:rPr>
          <w:rFonts w:ascii="Arial" w:hAnsi="Arial" w:cs="Arial"/>
          <w:sz w:val="22"/>
        </w:rPr>
        <w:t xml:space="preserve"> de la Matriz 1. De resultar encuadrada</w:t>
      </w:r>
      <w:r w:rsidRPr="00337F75" w:rsidR="009F502F">
        <w:rPr>
          <w:rFonts w:ascii="Arial" w:hAnsi="Arial" w:cs="Arial"/>
          <w:sz w:val="22"/>
        </w:rPr>
        <w:t>s</w:t>
      </w:r>
      <w:r w:rsidRPr="00337F75">
        <w:rPr>
          <w:rFonts w:ascii="Arial" w:hAnsi="Arial" w:cs="Arial"/>
          <w:sz w:val="22"/>
        </w:rPr>
        <w:t xml:space="preserve"> la obra y actividad a contr</w:t>
      </w:r>
      <w:r w:rsidRPr="00337F75" w:rsidR="009F502F">
        <w:rPr>
          <w:rFonts w:ascii="Arial" w:hAnsi="Arial" w:cs="Arial"/>
          <w:sz w:val="22"/>
        </w:rPr>
        <w:t>atar</w:t>
      </w:r>
      <w:r w:rsidRPr="00337F75">
        <w:rPr>
          <w:rFonts w:ascii="Arial" w:hAnsi="Arial" w:cs="Arial"/>
          <w:sz w:val="22"/>
        </w:rPr>
        <w:t xml:space="preserve"> dentro de la Matriz 1, </w:t>
      </w:r>
      <w:r w:rsidRPr="00337F75" w:rsidR="009F502F">
        <w:rPr>
          <w:rFonts w:ascii="Arial" w:hAnsi="Arial" w:cs="Arial"/>
          <w:sz w:val="22"/>
        </w:rPr>
        <w:t xml:space="preserve">será </w:t>
      </w:r>
      <w:r w:rsidRPr="00337F75">
        <w:rPr>
          <w:rFonts w:ascii="Arial" w:hAnsi="Arial" w:cs="Arial"/>
          <w:sz w:val="22"/>
        </w:rPr>
        <w:t xml:space="preserve">obligatoria la aplicación de los </w:t>
      </w:r>
      <w:r w:rsidRPr="00337F75" w:rsidR="00C66126">
        <w:rPr>
          <w:rFonts w:ascii="Arial" w:hAnsi="Arial" w:cs="Arial"/>
          <w:sz w:val="22"/>
        </w:rPr>
        <w:t>D</w:t>
      </w:r>
      <w:r w:rsidRPr="00337F75">
        <w:rPr>
          <w:rFonts w:ascii="Arial" w:hAnsi="Arial" w:cs="Arial"/>
          <w:sz w:val="22"/>
        </w:rPr>
        <w:t xml:space="preserve">ocumentos </w:t>
      </w:r>
      <w:r w:rsidRPr="00337F75" w:rsidR="00C66126">
        <w:rPr>
          <w:rFonts w:ascii="Arial" w:hAnsi="Arial" w:cs="Arial"/>
          <w:sz w:val="22"/>
        </w:rPr>
        <w:t>T</w:t>
      </w:r>
      <w:r w:rsidRPr="00337F75">
        <w:rPr>
          <w:rFonts w:ascii="Arial" w:hAnsi="Arial" w:cs="Arial"/>
          <w:sz w:val="22"/>
        </w:rPr>
        <w:t>ipo,</w:t>
      </w:r>
      <w:r w:rsidRPr="00337F75" w:rsidR="00D9166A">
        <w:rPr>
          <w:rFonts w:ascii="Arial" w:hAnsi="Arial" w:cs="Arial"/>
          <w:sz w:val="22"/>
        </w:rPr>
        <w:t xml:space="preserve"> ya que a pesar de</w:t>
      </w:r>
      <w:r w:rsidRPr="00337F75" w:rsidR="009F502F">
        <w:rPr>
          <w:rFonts w:ascii="Arial" w:hAnsi="Arial" w:cs="Arial"/>
          <w:sz w:val="22"/>
        </w:rPr>
        <w:t xml:space="preserve"> que el objeto contractual</w:t>
      </w:r>
      <w:r w:rsidRPr="00337F75" w:rsidR="00D9166A">
        <w:rPr>
          <w:rFonts w:ascii="Arial" w:hAnsi="Arial" w:cs="Arial"/>
          <w:sz w:val="22"/>
        </w:rPr>
        <w:t xml:space="preserve"> involucr</w:t>
      </w:r>
      <w:r w:rsidRPr="00337F75" w:rsidR="009F502F">
        <w:rPr>
          <w:rFonts w:ascii="Arial" w:hAnsi="Arial" w:cs="Arial"/>
          <w:sz w:val="22"/>
        </w:rPr>
        <w:t>e</w:t>
      </w:r>
      <w:r w:rsidRPr="00337F75" w:rsidR="00D9166A">
        <w:rPr>
          <w:rFonts w:ascii="Arial" w:hAnsi="Arial" w:cs="Arial"/>
          <w:sz w:val="22"/>
        </w:rPr>
        <w:t xml:space="preserve"> la </w:t>
      </w:r>
      <w:r w:rsidRPr="00337F75" w:rsidR="009F502F">
        <w:rPr>
          <w:rFonts w:ascii="Arial" w:hAnsi="Arial" w:cs="Arial"/>
          <w:sz w:val="22"/>
        </w:rPr>
        <w:t>ejecución</w:t>
      </w:r>
      <w:r w:rsidRPr="00337F75" w:rsidR="00D9166A">
        <w:rPr>
          <w:rFonts w:ascii="Arial" w:hAnsi="Arial" w:cs="Arial"/>
          <w:sz w:val="22"/>
        </w:rPr>
        <w:t xml:space="preserve"> de actividades </w:t>
      </w:r>
      <w:r w:rsidRPr="00337F75" w:rsidR="009F502F">
        <w:rPr>
          <w:rFonts w:ascii="Arial" w:hAnsi="Arial" w:cs="Arial"/>
          <w:sz w:val="22"/>
        </w:rPr>
        <w:t>de</w:t>
      </w:r>
      <w:r w:rsidRPr="00337F75" w:rsidR="00D9166A">
        <w:rPr>
          <w:rFonts w:ascii="Arial" w:hAnsi="Arial" w:cs="Arial"/>
          <w:sz w:val="22"/>
        </w:rPr>
        <w:t xml:space="preserve"> mantenimiento de redes hidrosanitarias, </w:t>
      </w:r>
      <w:r w:rsidRPr="00337F75" w:rsidR="009F502F">
        <w:rPr>
          <w:rFonts w:ascii="Arial" w:hAnsi="Arial" w:cs="Arial"/>
          <w:sz w:val="22"/>
        </w:rPr>
        <w:t xml:space="preserve">estas son adicionales a las </w:t>
      </w:r>
      <w:r w:rsidRPr="00337F75" w:rsidR="00D9166A">
        <w:rPr>
          <w:rFonts w:ascii="Arial" w:hAnsi="Arial" w:cs="Arial"/>
          <w:sz w:val="22"/>
        </w:rPr>
        <w:t xml:space="preserve">de pavimentación de  </w:t>
      </w:r>
      <w:r w:rsidRPr="00337F75" w:rsidR="00651C27">
        <w:rPr>
          <w:rFonts w:ascii="Arial" w:hAnsi="Arial" w:cs="Arial"/>
          <w:sz w:val="22"/>
        </w:rPr>
        <w:t>infraestructura de transporte</w:t>
      </w:r>
      <w:r w:rsidRPr="00337F75" w:rsidR="00D9166A">
        <w:rPr>
          <w:rFonts w:ascii="Arial" w:hAnsi="Arial" w:cs="Arial"/>
          <w:sz w:val="22"/>
        </w:rPr>
        <w:t>, razón por la que el mantenimiento de las redes hidrosanitarias</w:t>
      </w:r>
      <w:r w:rsidRPr="00337F75" w:rsidR="00E828D0">
        <w:rPr>
          <w:rFonts w:ascii="Arial" w:hAnsi="Arial" w:cs="Arial"/>
          <w:sz w:val="22"/>
        </w:rPr>
        <w:t xml:space="preserve"> al que usted se refiere</w:t>
      </w:r>
      <w:r w:rsidRPr="00337F75" w:rsidR="00D9166A">
        <w:rPr>
          <w:rFonts w:ascii="Arial" w:hAnsi="Arial" w:cs="Arial"/>
          <w:sz w:val="22"/>
        </w:rPr>
        <w:t xml:space="preserve"> </w:t>
      </w:r>
      <w:r w:rsidRPr="00337F75" w:rsidR="009F502F">
        <w:rPr>
          <w:rFonts w:ascii="Arial" w:hAnsi="Arial" w:cs="Arial"/>
          <w:sz w:val="22"/>
        </w:rPr>
        <w:t>encajaría</w:t>
      </w:r>
      <w:r w:rsidRPr="00337F75" w:rsidR="00D9166A">
        <w:rPr>
          <w:rFonts w:ascii="Arial" w:hAnsi="Arial" w:cs="Arial"/>
          <w:sz w:val="22"/>
        </w:rPr>
        <w:t xml:space="preserve"> dentro del supuesto</w:t>
      </w:r>
      <w:r w:rsidRPr="00337F75" w:rsidR="009F502F">
        <w:rPr>
          <w:rFonts w:ascii="Arial" w:hAnsi="Arial" w:cs="Arial"/>
          <w:sz w:val="22"/>
        </w:rPr>
        <w:t xml:space="preserve"> de hecho</w:t>
      </w:r>
      <w:r w:rsidRPr="00337F75" w:rsidR="00D9166A">
        <w:rPr>
          <w:rFonts w:ascii="Arial" w:hAnsi="Arial" w:cs="Arial"/>
          <w:sz w:val="22"/>
        </w:rPr>
        <w:t xml:space="preserve"> del artículo 2.2.1.2.6.1.5 del Decreto 1082 de 2015, como un servicio adicional a la obra pública</w:t>
      </w:r>
      <w:r w:rsidRPr="00337F75" w:rsidR="009F502F">
        <w:rPr>
          <w:rFonts w:ascii="Arial" w:hAnsi="Arial" w:cs="Arial"/>
          <w:sz w:val="22"/>
        </w:rPr>
        <w:t>, en virtud del cual la respectiva entidad podría exigir experiencia adicional de acuerdo a los parámetros establecidos en dicho artículo.</w:t>
      </w:r>
    </w:p>
    <w:p w:rsidRPr="00337F75" w:rsidR="00893A9F" w:rsidP="00E828D0" w:rsidRDefault="00286DA7" w14:paraId="31E23C22" w14:textId="2FDC1253">
      <w:pPr>
        <w:spacing w:before="120" w:line="276" w:lineRule="auto"/>
        <w:ind w:firstLine="708"/>
        <w:jc w:val="both"/>
        <w:rPr>
          <w:rFonts w:ascii="Arial" w:hAnsi="Arial" w:cs="Arial"/>
          <w:sz w:val="21"/>
          <w:szCs w:val="21"/>
          <w:lang w:val="es-CO"/>
        </w:rPr>
      </w:pPr>
      <w:r w:rsidRPr="00337F75">
        <w:rPr>
          <w:rFonts w:ascii="Arial" w:hAnsi="Arial" w:cs="Arial"/>
          <w:sz w:val="22"/>
        </w:rPr>
        <w:t>En ese sentido</w:t>
      </w:r>
      <w:r w:rsidRPr="00337F75" w:rsidR="00D9166A">
        <w:rPr>
          <w:rFonts w:ascii="Arial" w:hAnsi="Arial" w:cs="Arial"/>
          <w:sz w:val="22"/>
        </w:rPr>
        <w:t>, es a la entidad</w:t>
      </w:r>
      <w:r w:rsidRPr="00337F75">
        <w:rPr>
          <w:rFonts w:ascii="Arial" w:hAnsi="Arial" w:cs="Arial"/>
          <w:sz w:val="22"/>
        </w:rPr>
        <w:t xml:space="preserve"> estatal</w:t>
      </w:r>
      <w:r w:rsidRPr="00337F75" w:rsidR="00D9166A">
        <w:rPr>
          <w:rFonts w:ascii="Arial" w:hAnsi="Arial" w:cs="Arial"/>
          <w:sz w:val="22"/>
        </w:rPr>
        <w:t xml:space="preserve"> a quien le corresponde determinar, conforme a la aplicación de la </w:t>
      </w:r>
      <w:r w:rsidRPr="00337F75" w:rsidR="00E828D0">
        <w:rPr>
          <w:rFonts w:ascii="Arial" w:hAnsi="Arial" w:cs="Arial"/>
          <w:sz w:val="22"/>
        </w:rPr>
        <w:t>M</w:t>
      </w:r>
      <w:r w:rsidRPr="00337F75" w:rsidR="00D9166A">
        <w:rPr>
          <w:rFonts w:ascii="Arial" w:hAnsi="Arial" w:cs="Arial"/>
          <w:sz w:val="22"/>
        </w:rPr>
        <w:t>atriz 1</w:t>
      </w:r>
      <w:r w:rsidRPr="00337F75" w:rsidR="00E828D0">
        <w:rPr>
          <w:rFonts w:ascii="Arial" w:hAnsi="Arial" w:cs="Arial"/>
          <w:sz w:val="22"/>
        </w:rPr>
        <w:t xml:space="preserve"> explicada, si el componente de pavimentación en concreto rígido encaja dentro de </w:t>
      </w:r>
      <w:r w:rsidRPr="00337F75" w:rsidR="00C66126">
        <w:rPr>
          <w:rFonts w:ascii="Arial" w:hAnsi="Arial" w:cs="Arial"/>
          <w:sz w:val="22"/>
        </w:rPr>
        <w:t>alguno de los</w:t>
      </w:r>
      <w:r w:rsidRPr="00337F75" w:rsidR="00E828D0">
        <w:rPr>
          <w:rFonts w:ascii="Arial" w:hAnsi="Arial" w:cs="Arial"/>
          <w:sz w:val="22"/>
        </w:rPr>
        <w:t xml:space="preserve"> ocho (8) tipos de obras de infraestructura de transporte </w:t>
      </w:r>
      <w:r w:rsidRPr="00337F75" w:rsidR="005B6698">
        <w:rPr>
          <w:rFonts w:ascii="Arial" w:hAnsi="Arial" w:cs="Arial"/>
          <w:sz w:val="22"/>
        </w:rPr>
        <w:t>antes referidas</w:t>
      </w:r>
      <w:r w:rsidRPr="00337F75" w:rsidR="00E828D0">
        <w:rPr>
          <w:rFonts w:ascii="Arial" w:hAnsi="Arial" w:cs="Arial"/>
          <w:sz w:val="22"/>
        </w:rPr>
        <w:t xml:space="preserve">, y si la actividad a contratar </w:t>
      </w:r>
      <w:r w:rsidRPr="00337F75" w:rsidR="005B6698">
        <w:rPr>
          <w:rFonts w:ascii="Arial" w:hAnsi="Arial" w:cs="Arial"/>
          <w:sz w:val="22"/>
        </w:rPr>
        <w:t>se encuentra dentro de las</w:t>
      </w:r>
      <w:r w:rsidRPr="00337F75" w:rsidR="00E828D0">
        <w:rPr>
          <w:rFonts w:ascii="Arial" w:hAnsi="Arial" w:cs="Arial"/>
          <w:sz w:val="22"/>
        </w:rPr>
        <w:t xml:space="preserve"> establecidas para </w:t>
      </w:r>
      <w:r w:rsidRPr="00337F75" w:rsidR="00C66126">
        <w:rPr>
          <w:rFonts w:ascii="Arial" w:hAnsi="Arial" w:cs="Arial"/>
          <w:sz w:val="22"/>
        </w:rPr>
        <w:t>ese</w:t>
      </w:r>
      <w:r w:rsidRPr="00337F75" w:rsidR="00E828D0">
        <w:rPr>
          <w:rFonts w:ascii="Arial" w:hAnsi="Arial" w:cs="Arial"/>
          <w:sz w:val="22"/>
        </w:rPr>
        <w:t xml:space="preserve"> tipo de obra.</w:t>
      </w:r>
      <w:r w:rsidRPr="00337F75">
        <w:rPr>
          <w:rFonts w:ascii="Arial" w:hAnsi="Arial" w:cs="Arial"/>
          <w:sz w:val="22"/>
        </w:rPr>
        <w:t xml:space="preserve"> Si la entidad determina que la intervención de la infraestructura de transporte a contratarse está incluida dentro de </w:t>
      </w:r>
      <w:r w:rsidRPr="00337F75" w:rsidR="00C66126">
        <w:rPr>
          <w:rFonts w:ascii="Arial" w:hAnsi="Arial" w:cs="Arial"/>
          <w:sz w:val="22"/>
        </w:rPr>
        <w:t>uno</w:t>
      </w:r>
      <w:r w:rsidRPr="00337F75">
        <w:rPr>
          <w:rFonts w:ascii="Arial" w:hAnsi="Arial" w:cs="Arial"/>
          <w:sz w:val="22"/>
        </w:rPr>
        <w:t xml:space="preserve"> de los </w:t>
      </w:r>
      <w:r w:rsidRPr="00337F75" w:rsidR="00742C9C">
        <w:rPr>
          <w:rFonts w:ascii="Arial" w:hAnsi="Arial" w:cs="Arial"/>
          <w:sz w:val="22"/>
        </w:rPr>
        <w:t>tipos de obra y actividades</w:t>
      </w:r>
      <w:r w:rsidRPr="00337F75">
        <w:rPr>
          <w:rFonts w:ascii="Arial" w:hAnsi="Arial" w:cs="Arial"/>
          <w:sz w:val="22"/>
        </w:rPr>
        <w:t xml:space="preserve"> de la Matriz 1, deberán aplicarse de manera obligatoria los Documentos Tipo, exigiéndose los requisitos de experiencia </w:t>
      </w:r>
      <w:r w:rsidRPr="00337F75" w:rsidR="005B6698">
        <w:rPr>
          <w:rFonts w:ascii="Arial" w:hAnsi="Arial" w:cs="Arial"/>
          <w:sz w:val="22"/>
        </w:rPr>
        <w:t>establecidos</w:t>
      </w:r>
      <w:r w:rsidRPr="00337F75" w:rsidR="00742C9C">
        <w:rPr>
          <w:rFonts w:ascii="Arial" w:hAnsi="Arial" w:cs="Arial"/>
          <w:sz w:val="22"/>
        </w:rPr>
        <w:t xml:space="preserve"> en dicha matriz</w:t>
      </w:r>
      <w:r w:rsidRPr="00337F75" w:rsidR="005B6698">
        <w:rPr>
          <w:rFonts w:ascii="Arial" w:hAnsi="Arial" w:cs="Arial"/>
          <w:sz w:val="22"/>
        </w:rPr>
        <w:t xml:space="preserve">, </w:t>
      </w:r>
      <w:r w:rsidRPr="00337F75" w:rsidR="00E828D0">
        <w:rPr>
          <w:rFonts w:ascii="Arial" w:hAnsi="Arial" w:cs="Arial"/>
          <w:sz w:val="22"/>
        </w:rPr>
        <w:t xml:space="preserve">salvo </w:t>
      </w:r>
      <w:r w:rsidRPr="00337F75" w:rsidR="00D24BB3">
        <w:rPr>
          <w:rFonts w:ascii="Arial" w:hAnsi="Arial" w:cs="Arial"/>
          <w:sz w:val="22"/>
        </w:rPr>
        <w:t xml:space="preserve">en lo </w:t>
      </w:r>
      <w:r w:rsidRPr="00337F75" w:rsidR="00D24BB3">
        <w:rPr>
          <w:rFonts w:ascii="Arial" w:hAnsi="Arial" w:cs="Arial"/>
          <w:sz w:val="22"/>
        </w:rPr>
        <w:lastRenderedPageBreak/>
        <w:t>relacionado</w:t>
      </w:r>
      <w:r w:rsidRPr="00337F75" w:rsidR="00E828D0">
        <w:rPr>
          <w:rFonts w:ascii="Arial" w:hAnsi="Arial" w:cs="Arial"/>
          <w:sz w:val="22"/>
        </w:rPr>
        <w:t xml:space="preserve"> </w:t>
      </w:r>
      <w:r w:rsidRPr="00337F75" w:rsidR="00D24BB3">
        <w:rPr>
          <w:rFonts w:ascii="Arial" w:hAnsi="Arial" w:cs="Arial"/>
          <w:sz w:val="22"/>
        </w:rPr>
        <w:t>con el</w:t>
      </w:r>
      <w:r w:rsidRPr="00337F75" w:rsidR="00E828D0">
        <w:rPr>
          <w:rFonts w:ascii="Arial" w:hAnsi="Arial" w:cs="Arial"/>
          <w:sz w:val="22"/>
        </w:rPr>
        <w:t xml:space="preserve"> componente de mantenimiento de redes hidrosanitaria</w:t>
      </w:r>
      <w:r w:rsidRPr="00337F75" w:rsidR="006F0163">
        <w:rPr>
          <w:rFonts w:ascii="Arial" w:hAnsi="Arial" w:cs="Arial"/>
          <w:sz w:val="22"/>
        </w:rPr>
        <w:t>s</w:t>
      </w:r>
      <w:r w:rsidRPr="00337F75" w:rsidR="00C66126">
        <w:rPr>
          <w:rFonts w:ascii="Arial" w:hAnsi="Arial" w:cs="Arial"/>
          <w:sz w:val="22"/>
        </w:rPr>
        <w:t xml:space="preserve">, respecto del cual, </w:t>
      </w:r>
      <w:r w:rsidRPr="00337F75" w:rsidR="005B6698">
        <w:rPr>
          <w:rFonts w:ascii="Arial" w:hAnsi="Arial" w:cs="Arial"/>
          <w:sz w:val="22"/>
        </w:rPr>
        <w:t>para evaluar la idoneidad</w:t>
      </w:r>
      <w:r w:rsidRPr="00337F75" w:rsidR="00C66126">
        <w:rPr>
          <w:rFonts w:ascii="Arial" w:hAnsi="Arial" w:cs="Arial"/>
          <w:sz w:val="22"/>
        </w:rPr>
        <w:t xml:space="preserve"> de los proponentes,</w:t>
      </w:r>
      <w:r w:rsidRPr="00337F75" w:rsidR="005B6698">
        <w:rPr>
          <w:rFonts w:ascii="Arial" w:hAnsi="Arial" w:cs="Arial"/>
          <w:sz w:val="22"/>
        </w:rPr>
        <w:t xml:space="preserve"> podrá exigirse experiencia adicional</w:t>
      </w:r>
      <w:r w:rsidRPr="00337F75" w:rsidR="006F0163">
        <w:rPr>
          <w:rFonts w:ascii="Arial" w:hAnsi="Arial" w:cs="Arial"/>
          <w:sz w:val="22"/>
        </w:rPr>
        <w:t xml:space="preserve"> o complementaria a la de la referida matriz</w:t>
      </w:r>
      <w:r w:rsidRPr="00337F75" w:rsidR="005B6698">
        <w:rPr>
          <w:rFonts w:ascii="Arial" w:hAnsi="Arial" w:cs="Arial"/>
          <w:sz w:val="22"/>
        </w:rPr>
        <w:t xml:space="preserve"> de acuerdo a</w:t>
      </w:r>
      <w:r w:rsidRPr="00337F75" w:rsidR="00E828D0">
        <w:rPr>
          <w:rFonts w:ascii="Arial" w:hAnsi="Arial" w:cs="Arial"/>
          <w:sz w:val="22"/>
        </w:rPr>
        <w:t xml:space="preserve"> l</w:t>
      </w:r>
      <w:r w:rsidRPr="00337F75" w:rsidR="00D24BB3">
        <w:rPr>
          <w:rFonts w:ascii="Arial" w:hAnsi="Arial" w:cs="Arial"/>
          <w:sz w:val="22"/>
        </w:rPr>
        <w:t>os parámetros del</w:t>
      </w:r>
      <w:r w:rsidRPr="00337F75" w:rsidR="00E828D0">
        <w:rPr>
          <w:rFonts w:ascii="Arial" w:hAnsi="Arial" w:cs="Arial"/>
          <w:sz w:val="22"/>
        </w:rPr>
        <w:t xml:space="preserve"> artículo 2.2.1.2.6.1.5 del Decreto 1082 de 2015</w:t>
      </w:r>
      <w:r w:rsidRPr="00337F75" w:rsidR="00D24BB3">
        <w:rPr>
          <w:rFonts w:ascii="Arial" w:hAnsi="Arial" w:cs="Arial"/>
          <w:sz w:val="22"/>
        </w:rPr>
        <w:t xml:space="preserve">. </w:t>
      </w:r>
    </w:p>
    <w:bookmarkEnd w:id="4"/>
    <w:p w:rsidRPr="00337F75" w:rsidR="00893A9F" w:rsidP="00893A9F" w:rsidRDefault="00893A9F" w14:paraId="4F29AE4E" w14:textId="3279898E">
      <w:pPr>
        <w:pStyle w:val="Prrafodelista"/>
        <w:ind w:left="709" w:right="709"/>
        <w:jc w:val="both"/>
        <w:rPr>
          <w:rFonts w:ascii="Arial" w:hAnsi="Arial" w:cs="Arial"/>
          <w:color w:val="FF0000"/>
          <w:sz w:val="20"/>
          <w:szCs w:val="20"/>
          <w:lang w:val="es-CO"/>
        </w:rPr>
      </w:pPr>
    </w:p>
    <w:p w:rsidRPr="00337F75" w:rsidR="0092237F" w:rsidP="0092237F" w:rsidRDefault="0092237F" w14:paraId="2C46A830" w14:textId="77777777">
      <w:pPr>
        <w:pStyle w:val="Prrafodelista"/>
        <w:numPr>
          <w:ilvl w:val="0"/>
          <w:numId w:val="1"/>
        </w:numPr>
        <w:tabs>
          <w:tab w:val="left" w:pos="284"/>
        </w:tabs>
        <w:spacing w:line="360" w:lineRule="auto"/>
        <w:ind w:left="0" w:firstLine="0"/>
        <w:rPr>
          <w:rFonts w:ascii="Arial" w:hAnsi="Arial" w:cs="Arial"/>
          <w:b/>
          <w:bCs/>
          <w:sz w:val="22"/>
          <w:lang w:val="es-CO"/>
        </w:rPr>
      </w:pPr>
      <w:r w:rsidRPr="00337F75">
        <w:rPr>
          <w:rFonts w:ascii="Arial" w:hAnsi="Arial" w:cs="Arial"/>
          <w:b/>
          <w:bCs/>
          <w:sz w:val="22"/>
          <w:lang w:val="es-CO"/>
        </w:rPr>
        <w:t xml:space="preserve">Respuesta </w:t>
      </w:r>
    </w:p>
    <w:p w:rsidRPr="00337F75" w:rsidR="0092237F" w:rsidP="0092237F" w:rsidRDefault="0092237F" w14:paraId="2DAEF442" w14:textId="77777777">
      <w:pPr>
        <w:spacing w:line="276" w:lineRule="auto"/>
        <w:jc w:val="both"/>
        <w:rPr>
          <w:rFonts w:ascii="Arial" w:hAnsi="Arial" w:cs="Arial"/>
          <w:sz w:val="22"/>
          <w:lang w:val="es-CO"/>
        </w:rPr>
      </w:pPr>
    </w:p>
    <w:p w:rsidRPr="00337F75" w:rsidR="00651E8C" w:rsidP="002B69B2" w:rsidRDefault="00651E8C" w14:paraId="38925528" w14:textId="01BBBB83">
      <w:pPr>
        <w:ind w:left="709" w:right="709"/>
        <w:jc w:val="both"/>
        <w:rPr>
          <w:rFonts w:ascii="Arial" w:hAnsi="Arial" w:eastAsia="Calibri" w:cs="Arial"/>
          <w:sz w:val="21"/>
          <w:szCs w:val="21"/>
        </w:rPr>
      </w:pPr>
      <w:r w:rsidRPr="00337F75">
        <w:rPr>
          <w:rFonts w:ascii="Arial" w:hAnsi="Arial" w:eastAsia="Calibri" w:cs="Arial"/>
          <w:sz w:val="21"/>
          <w:szCs w:val="21"/>
        </w:rPr>
        <w:t>«</w:t>
      </w:r>
      <w:r w:rsidRPr="00337F75" w:rsidR="00A53952">
        <w:rPr>
          <w:rFonts w:ascii="Arial" w:hAnsi="Arial" w:eastAsia="Calibri" w:cs="Arial"/>
          <w:sz w:val="21"/>
          <w:szCs w:val="21"/>
        </w:rPr>
        <w:t xml:space="preserve">[…] </w:t>
      </w:r>
      <w:r w:rsidRPr="00337F75" w:rsidR="00D24BB3">
        <w:rPr>
          <w:rFonts w:ascii="Arial" w:hAnsi="Arial" w:eastAsia="Calibri" w:cs="Arial"/>
          <w:sz w:val="21"/>
          <w:szCs w:val="21"/>
        </w:rPr>
        <w:t>LA ENTIDAD CONTRATANTE MANIFIESTA QUE DANDO CUMPLIMIENTO A LO CONSIGNADO EN EL DECRETO 2096 DEL 21 DE NOVIEMBRE DE 2019 DONDE OBLIGA A LAS ENTIDADES CONTRATANTES A UTILIZAR PLIEGOS TIPO PARA PROCESOS DE SELECCION ABREVIADA, PERO MI CONSULTA ESTA DIRIGIDA A SI ESTO APLICA A PESAR DE QUE EL PROCESO DE CONTRATACION TIENE UN COMPONENTE DE SANEAMIENTO BASICO Y UN COMPONENTE DE INFRAESCTRUCTURA VIAL MAXIME CUANDO PARA PODER PAVIMENTAR SE REQUIERE HACER EL MANTENIMIENTO DE LAS REDES HIDROSANITARIAS</w:t>
      </w:r>
      <w:r w:rsidRPr="00337F75" w:rsidR="00A53952">
        <w:rPr>
          <w:rFonts w:ascii="Arial" w:hAnsi="Arial" w:eastAsia="Calibri" w:cs="Arial"/>
          <w:sz w:val="21"/>
          <w:szCs w:val="21"/>
        </w:rPr>
        <w:t xml:space="preserve"> […]</w:t>
      </w:r>
      <w:r w:rsidRPr="00337F75" w:rsidR="006C78A2">
        <w:rPr>
          <w:rFonts w:ascii="Arial" w:hAnsi="Arial" w:eastAsia="Calibri" w:cs="Arial"/>
          <w:sz w:val="21"/>
          <w:szCs w:val="21"/>
        </w:rPr>
        <w:t>»</w:t>
      </w:r>
    </w:p>
    <w:p w:rsidRPr="00337F75" w:rsidR="002B69B2" w:rsidP="002B69B2" w:rsidRDefault="002B69B2" w14:paraId="7195A8AD" w14:textId="1574F940">
      <w:pPr>
        <w:spacing w:line="276" w:lineRule="auto"/>
        <w:ind w:right="709"/>
        <w:jc w:val="both"/>
        <w:rPr>
          <w:rFonts w:ascii="Arial" w:hAnsi="Arial" w:eastAsia="Calibri" w:cs="Arial"/>
          <w:sz w:val="22"/>
        </w:rPr>
      </w:pPr>
    </w:p>
    <w:p w:rsidRPr="00337F75" w:rsidR="002B69B2" w:rsidP="002B69B2" w:rsidRDefault="002B69B2" w14:paraId="407A5472" w14:textId="618FC14E">
      <w:pPr>
        <w:spacing w:before="120" w:line="276" w:lineRule="auto"/>
        <w:jc w:val="both"/>
        <w:rPr>
          <w:rFonts w:ascii="Arial" w:hAnsi="Arial" w:cs="Arial"/>
          <w:sz w:val="22"/>
        </w:rPr>
      </w:pPr>
      <w:bookmarkStart w:name="_Hlk40275172" w:id="5"/>
      <w:r w:rsidRPr="00337F75">
        <w:rPr>
          <w:rFonts w:ascii="Arial" w:hAnsi="Arial" w:eastAsia="Calibri" w:cs="Arial"/>
          <w:sz w:val="22"/>
        </w:rPr>
        <w:t>L</w:t>
      </w:r>
      <w:r w:rsidRPr="00337F75">
        <w:rPr>
          <w:rFonts w:ascii="Arial" w:hAnsi="Arial" w:cs="Arial"/>
          <w:sz w:val="22"/>
        </w:rPr>
        <w:t xml:space="preserve">os Documentos Base de licitación pública y de selección abreviada hacen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Asimismo, </w:t>
      </w:r>
      <w:r w:rsidRPr="00337F75" w:rsidR="00D84666">
        <w:rPr>
          <w:rFonts w:ascii="Arial" w:hAnsi="Arial" w:cs="Arial"/>
          <w:sz w:val="22"/>
        </w:rPr>
        <w:t xml:space="preserve">ambos </w:t>
      </w:r>
      <w:r w:rsidRPr="00337F75">
        <w:rPr>
          <w:rFonts w:ascii="Arial" w:hAnsi="Arial" w:cs="Arial"/>
          <w:sz w:val="22"/>
        </w:rPr>
        <w:t>documentos establecen</w:t>
      </w:r>
      <w:r w:rsidRPr="00337F75" w:rsidR="00D84666">
        <w:rPr>
          <w:rFonts w:ascii="Arial" w:hAnsi="Arial" w:cs="Arial"/>
          <w:sz w:val="22"/>
        </w:rPr>
        <w:t xml:space="preserve"> textualmente</w:t>
      </w:r>
      <w:r w:rsidRPr="00337F75">
        <w:rPr>
          <w:rFonts w:ascii="Arial" w:hAnsi="Arial" w:cs="Arial"/>
          <w:sz w:val="22"/>
        </w:rPr>
        <w:t xml:space="preserve"> que «las actividades de infraestructura de transporte no contempladas en la Matriz 1 no tienen que aplicar los Documentos Tipo.</w:t>
      </w:r>
    </w:p>
    <w:p w:rsidRPr="00337F75" w:rsidR="006F0163" w:rsidP="00C22C28" w:rsidRDefault="002B69B2" w14:paraId="1636155F" w14:textId="3BAB9759">
      <w:pPr>
        <w:spacing w:before="120" w:line="276" w:lineRule="auto"/>
        <w:ind w:firstLine="709"/>
        <w:jc w:val="both"/>
        <w:rPr>
          <w:rFonts w:ascii="Arial" w:hAnsi="Arial" w:cs="Arial"/>
          <w:sz w:val="22"/>
        </w:rPr>
      </w:pPr>
      <w:r w:rsidRPr="00337F75">
        <w:rPr>
          <w:rFonts w:ascii="Arial" w:hAnsi="Arial" w:cs="Arial"/>
          <w:sz w:val="22"/>
        </w:rPr>
        <w:t>Para determinar el ámbito de aplicación de los Documentos Tipo, entonces, se debe acudir a la Matriz 1</w:t>
      </w:r>
      <w:r w:rsidRPr="00337F75" w:rsidR="00684328">
        <w:rPr>
          <w:rFonts w:ascii="Arial" w:hAnsi="Arial" w:cs="Arial"/>
          <w:sz w:val="22"/>
        </w:rPr>
        <w:t xml:space="preserve"> − </w:t>
      </w:r>
      <w:r w:rsidRPr="00337F75">
        <w:rPr>
          <w:rFonts w:ascii="Arial" w:hAnsi="Arial" w:cs="Arial"/>
          <w:sz w:val="22"/>
        </w:rPr>
        <w:t>Experiencia</w:t>
      </w:r>
      <w:r w:rsidRPr="00337F75" w:rsidR="00C22C28">
        <w:rPr>
          <w:rFonts w:ascii="Arial" w:hAnsi="Arial" w:cs="Arial"/>
          <w:sz w:val="22"/>
        </w:rPr>
        <w:t xml:space="preserve">, que </w:t>
      </w:r>
      <w:r w:rsidRPr="00337F75">
        <w:rPr>
          <w:rFonts w:ascii="Arial" w:hAnsi="Arial" w:cs="Arial"/>
          <w:sz w:val="22"/>
        </w:rPr>
        <w:t xml:space="preserve">está constituida por ocho </w:t>
      </w:r>
      <w:r w:rsidRPr="00337F75" w:rsidR="00684328">
        <w:rPr>
          <w:rFonts w:ascii="Arial" w:hAnsi="Arial" w:cs="Arial"/>
          <w:sz w:val="22"/>
        </w:rPr>
        <w:t>(</w:t>
      </w:r>
      <w:r w:rsidRPr="00337F75">
        <w:rPr>
          <w:rFonts w:ascii="Arial" w:hAnsi="Arial" w:cs="Arial"/>
          <w:sz w:val="22"/>
        </w:rPr>
        <w:t>8</w:t>
      </w:r>
      <w:r w:rsidRPr="00337F75" w:rsidR="00684328">
        <w:rPr>
          <w:rFonts w:ascii="Arial" w:hAnsi="Arial" w:cs="Arial"/>
          <w:sz w:val="22"/>
        </w:rPr>
        <w:t>)</w:t>
      </w:r>
      <w:r w:rsidRPr="00337F75">
        <w:rPr>
          <w:rFonts w:ascii="Arial" w:hAnsi="Arial" w:cs="Arial"/>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r w:rsidRPr="00337F75" w:rsidR="006F0163">
        <w:rPr>
          <w:rFonts w:ascii="Arial" w:hAnsi="Arial" w:cs="Arial"/>
          <w:sz w:val="22"/>
        </w:rPr>
        <w:t>. Si la actividad a ejecutarse sobre la infraestructura de transporte encaja dentro de alguno de estos tipos de obra, y a su vez corresponde a alguna de las actividades establecidas para este tipo de obra, será obligatoria la aplicación de los Documentos Tipo y de los requisitos de experiencia establecidos en la Matriz 1.</w:t>
      </w:r>
    </w:p>
    <w:p w:rsidRPr="00337F75" w:rsidR="003A4C95" w:rsidP="00C22C28" w:rsidRDefault="006F0163" w14:paraId="26813B9C" w14:textId="7E37176D">
      <w:pPr>
        <w:spacing w:before="120" w:line="276" w:lineRule="auto"/>
        <w:ind w:firstLine="709"/>
        <w:jc w:val="both"/>
        <w:rPr>
          <w:rFonts w:ascii="Arial" w:hAnsi="Arial" w:cs="Arial"/>
          <w:sz w:val="22"/>
        </w:rPr>
      </w:pPr>
      <w:r w:rsidRPr="00337F75">
        <w:rPr>
          <w:rFonts w:ascii="Arial" w:hAnsi="Arial" w:cs="Arial"/>
          <w:sz w:val="22"/>
        </w:rPr>
        <w:t xml:space="preserve">En caso de que el objeto a contratarse además de la intervención de la infraestructura vial involucre bienes o servicios adicionales a la obra pública de infraestructura de transporte, de conformidad con el artículo 2.2.1.2.6.1.5. del Decreto 1082 </w:t>
      </w:r>
      <w:r w:rsidRPr="00337F75">
        <w:rPr>
          <w:rFonts w:ascii="Arial" w:hAnsi="Arial" w:cs="Arial"/>
          <w:sz w:val="22"/>
        </w:rPr>
        <w:lastRenderedPageBreak/>
        <w:t>de 2015,</w:t>
      </w:r>
      <w:r w:rsidRPr="00337F75" w:rsidR="003A4C95">
        <w:rPr>
          <w:rFonts w:ascii="Arial" w:hAnsi="Arial" w:cs="Arial"/>
          <w:sz w:val="22"/>
        </w:rPr>
        <w:t xml:space="preserve"> </w:t>
      </w:r>
      <w:proofErr w:type="gramStart"/>
      <w:r w:rsidRPr="00337F75" w:rsidR="003A4C95">
        <w:rPr>
          <w:rFonts w:ascii="Arial" w:hAnsi="Arial" w:cs="Arial"/>
          <w:sz w:val="22"/>
        </w:rPr>
        <w:t>como</w:t>
      </w:r>
      <w:proofErr w:type="gramEnd"/>
      <w:r w:rsidRPr="00337F75" w:rsidR="003A4C95">
        <w:rPr>
          <w:rFonts w:ascii="Arial" w:hAnsi="Arial" w:cs="Arial"/>
          <w:sz w:val="22"/>
        </w:rPr>
        <w:t xml:space="preserve"> por ejemplo, el mantenimiento de redes hidrosanitarias,</w:t>
      </w:r>
      <w:r w:rsidRPr="00337F75">
        <w:rPr>
          <w:rFonts w:ascii="Arial" w:hAnsi="Arial" w:cs="Arial"/>
          <w:sz w:val="22"/>
        </w:rPr>
        <w:t xml:space="preserve"> tambi</w:t>
      </w:r>
      <w:r w:rsidRPr="00337F75" w:rsidR="003A4C95">
        <w:rPr>
          <w:rFonts w:ascii="Arial" w:hAnsi="Arial" w:cs="Arial"/>
          <w:sz w:val="22"/>
        </w:rPr>
        <w:t>én es obligatoria la aplicación de los Documentos Tipo, situación en la cual la entidad, para evaluar la idoneidad de los proponentes, podrá exigir requisitos de experiencia adicionales o complementarios de los establecidos en la Matriz 1, aplicando los parámetros establecidos en el referido artículo.</w:t>
      </w:r>
    </w:p>
    <w:p w:rsidRPr="00337F75" w:rsidR="004E6D2E" w:rsidP="00C22C28" w:rsidRDefault="003A4C95" w14:paraId="09602B8F" w14:textId="695E0B40">
      <w:pPr>
        <w:spacing w:before="120" w:line="276" w:lineRule="auto"/>
        <w:ind w:firstLine="709"/>
        <w:jc w:val="both"/>
        <w:rPr>
          <w:rFonts w:ascii="Arial" w:hAnsi="Arial" w:cs="Arial"/>
          <w:sz w:val="22"/>
        </w:rPr>
      </w:pPr>
      <w:r w:rsidRPr="00337F75">
        <w:rPr>
          <w:rFonts w:ascii="Arial" w:hAnsi="Arial" w:cs="Arial"/>
          <w:sz w:val="22"/>
        </w:rPr>
        <w:t xml:space="preserve">Tratándose de contratos en los que el mantenimiento de redes hidrosanitarias </w:t>
      </w:r>
      <w:r w:rsidRPr="00337F75" w:rsidR="00E46A91">
        <w:rPr>
          <w:rFonts w:ascii="Arial" w:hAnsi="Arial" w:cs="Arial"/>
          <w:sz w:val="22"/>
        </w:rPr>
        <w:t>esté</w:t>
      </w:r>
      <w:r w:rsidRPr="00337F75">
        <w:rPr>
          <w:rFonts w:ascii="Arial" w:hAnsi="Arial" w:cs="Arial"/>
          <w:sz w:val="22"/>
        </w:rPr>
        <w:t xml:space="preserve"> ligado a la intervención de infraestructura </w:t>
      </w:r>
      <w:r w:rsidRPr="00337F75" w:rsidR="00E46A91">
        <w:rPr>
          <w:rFonts w:ascii="Arial" w:hAnsi="Arial" w:cs="Arial"/>
          <w:sz w:val="22"/>
        </w:rPr>
        <w:t xml:space="preserve">vial </w:t>
      </w:r>
      <w:r w:rsidRPr="00337F75">
        <w:rPr>
          <w:rFonts w:ascii="Arial" w:hAnsi="Arial" w:cs="Arial"/>
          <w:sz w:val="22"/>
        </w:rPr>
        <w:t xml:space="preserve">urbana, la entidad deberá tener </w:t>
      </w:r>
      <w:r w:rsidRPr="00337F75" w:rsidR="00E46A91">
        <w:rPr>
          <w:rFonts w:ascii="Arial" w:hAnsi="Arial" w:cs="Arial"/>
          <w:sz w:val="22"/>
        </w:rPr>
        <w:t>en cuenta que dentro de las actividades referidas en los</w:t>
      </w:r>
      <w:r w:rsidRPr="00337F75">
        <w:rPr>
          <w:rFonts w:ascii="Arial" w:hAnsi="Arial" w:cs="Arial"/>
          <w:sz w:val="22"/>
        </w:rPr>
        <w:t xml:space="preserve"> numerales «6.1 PROYECTOS DE CONSTRUCCIÓN O MEJORAMIENTO O REHABILITACIÓN DE VÍAS URBANAS» y «6.11 PROYECTOS DE CONSTRUCCIÓN O REFORZAMIENTO DE INFRAESTRUCTURA SISTEMAS DE TRANSPORTE MASIVO» de la Matriz 1, </w:t>
      </w:r>
      <w:r w:rsidRPr="00337F75" w:rsidR="00E46A91">
        <w:rPr>
          <w:rFonts w:ascii="Arial" w:hAnsi="Arial" w:cs="Arial"/>
          <w:sz w:val="22"/>
        </w:rPr>
        <w:t xml:space="preserve">se </w:t>
      </w:r>
      <w:r w:rsidRPr="00337F75">
        <w:rPr>
          <w:rFonts w:ascii="Arial" w:hAnsi="Arial" w:cs="Arial"/>
          <w:sz w:val="22"/>
        </w:rPr>
        <w:t>contemplan requisitos de experiencia general y espec</w:t>
      </w:r>
      <w:r w:rsidRPr="00337F75" w:rsidR="00C15144">
        <w:rPr>
          <w:rFonts w:ascii="Arial" w:hAnsi="Arial" w:cs="Arial"/>
          <w:sz w:val="22"/>
        </w:rPr>
        <w:t>í</w:t>
      </w:r>
      <w:r w:rsidRPr="00337F75">
        <w:rPr>
          <w:rFonts w:ascii="Arial" w:hAnsi="Arial" w:cs="Arial"/>
          <w:sz w:val="22"/>
        </w:rPr>
        <w:t>fica relacionados con la intervención de redes de servicios públicos</w:t>
      </w:r>
      <w:r w:rsidRPr="00337F75" w:rsidR="00E46A91">
        <w:rPr>
          <w:rFonts w:ascii="Arial" w:hAnsi="Arial" w:cs="Arial"/>
          <w:sz w:val="22"/>
        </w:rPr>
        <w:t>, por lo que</w:t>
      </w:r>
      <w:r w:rsidRPr="00337F75" w:rsidR="00C15144">
        <w:rPr>
          <w:rFonts w:ascii="Arial" w:hAnsi="Arial" w:cs="Arial"/>
          <w:sz w:val="22"/>
        </w:rPr>
        <w:t>,</w:t>
      </w:r>
      <w:r w:rsidRPr="00337F75" w:rsidR="00E46A91">
        <w:rPr>
          <w:rFonts w:ascii="Arial" w:hAnsi="Arial" w:cs="Arial"/>
          <w:sz w:val="22"/>
        </w:rPr>
        <w:t xml:space="preserve"> al configurar la experiencia exigible en procesos dirigidos a la contratación de estas actividades</w:t>
      </w:r>
      <w:r w:rsidRPr="00337F75" w:rsidR="00C15144">
        <w:rPr>
          <w:rFonts w:ascii="Arial" w:hAnsi="Arial" w:cs="Arial"/>
          <w:sz w:val="22"/>
        </w:rPr>
        <w:t>,</w:t>
      </w:r>
      <w:r w:rsidRPr="00337F75" w:rsidR="00E46A91">
        <w:rPr>
          <w:rFonts w:ascii="Arial" w:hAnsi="Arial" w:cs="Arial"/>
          <w:sz w:val="22"/>
        </w:rPr>
        <w:t xml:space="preserve"> en conjunto con el mantenimiento de redes hidrosanitarias, deberá considerar si para evaluar la idoneidad de los proponentes en lo referente al servicio adicional a la obra pública de infraestructura de transporte</w:t>
      </w:r>
      <w:r w:rsidRPr="00337F75" w:rsidR="006E58CB">
        <w:rPr>
          <w:rFonts w:ascii="Arial" w:hAnsi="Arial" w:cs="Arial"/>
          <w:sz w:val="22"/>
        </w:rPr>
        <w:t>,</w:t>
      </w:r>
      <w:r w:rsidRPr="00337F75" w:rsidR="00E46A91">
        <w:rPr>
          <w:rFonts w:ascii="Arial" w:hAnsi="Arial" w:cs="Arial"/>
          <w:sz w:val="22"/>
        </w:rPr>
        <w:t xml:space="preserve"> es o no necesario incluir requisitos de experiencia adicionales de conformidad con el artículo </w:t>
      </w:r>
      <w:r w:rsidRPr="00337F75" w:rsidR="00337F75">
        <w:rPr>
          <w:rFonts w:ascii="Arial" w:hAnsi="Arial" w:cs="Arial"/>
          <w:color w:val="000000"/>
          <w:sz w:val="20"/>
          <w:szCs w:val="20"/>
        </w:rPr>
        <w:t>2.2.1.2.6.1.5</w:t>
      </w:r>
      <w:r w:rsidRPr="00337F75" w:rsidR="00E46A91">
        <w:rPr>
          <w:rFonts w:ascii="Arial" w:hAnsi="Arial" w:cs="Arial"/>
          <w:sz w:val="22"/>
        </w:rPr>
        <w:t>. del Decreto 1082 de 2015.</w:t>
      </w:r>
    </w:p>
    <w:bookmarkEnd w:id="5"/>
    <w:p w:rsidRPr="00337F75" w:rsidR="00163B5D" w:rsidP="00121DAD" w:rsidRDefault="00163B5D" w14:paraId="7467B759" w14:textId="77777777">
      <w:pPr>
        <w:spacing w:line="276" w:lineRule="auto"/>
        <w:jc w:val="both"/>
        <w:rPr>
          <w:rFonts w:ascii="Arial" w:hAnsi="Arial" w:eastAsia="Calibri" w:cs="Arial"/>
          <w:sz w:val="22"/>
        </w:rPr>
      </w:pPr>
    </w:p>
    <w:p w:rsidRPr="00D24BB3" w:rsidR="0092237F" w:rsidP="00121DAD" w:rsidRDefault="0092237F" w14:paraId="594851E6" w14:textId="77777777">
      <w:pPr>
        <w:spacing w:line="276" w:lineRule="auto"/>
        <w:jc w:val="both"/>
        <w:rPr>
          <w:rFonts w:ascii="Arial" w:hAnsi="Arial" w:eastAsia="Calibri" w:cs="Arial"/>
          <w:sz w:val="22"/>
        </w:rPr>
      </w:pPr>
      <w:r w:rsidRPr="00337F75">
        <w:rPr>
          <w:rFonts w:ascii="Arial" w:hAnsi="Arial" w:eastAsia="Calibri" w:cs="Arial"/>
          <w:sz w:val="22"/>
        </w:rPr>
        <w:t>Este concepto tiene el alcance previsto en el artículo 28 del Código de Procedimiento Administrativo y de lo Contencioso Administrativo.</w:t>
      </w:r>
    </w:p>
    <w:p w:rsidRPr="00D24BB3" w:rsidR="0092237F" w:rsidP="0092237F" w:rsidRDefault="0092237F" w14:paraId="467ABE78" w14:textId="77777777">
      <w:pPr>
        <w:spacing w:line="276" w:lineRule="auto"/>
        <w:ind w:firstLine="708"/>
        <w:jc w:val="both"/>
        <w:rPr>
          <w:rFonts w:ascii="Arial" w:hAnsi="Arial" w:eastAsia="Calibri" w:cs="Arial"/>
          <w:sz w:val="22"/>
        </w:rPr>
      </w:pPr>
    </w:p>
    <w:p w:rsidRPr="00D24BB3" w:rsidR="0092237F" w:rsidP="0092237F" w:rsidRDefault="0092237F" w14:paraId="6DE9DA3B" w14:textId="77777777">
      <w:pPr>
        <w:spacing w:line="276" w:lineRule="auto"/>
        <w:jc w:val="both"/>
        <w:rPr>
          <w:rFonts w:ascii="Arial" w:hAnsi="Arial" w:eastAsia="Times New Roman" w:cs="Arial"/>
          <w:sz w:val="22"/>
          <w:lang w:eastAsia="es-CO"/>
        </w:rPr>
      </w:pPr>
      <w:r w:rsidRPr="00D24BB3">
        <w:rPr>
          <w:rFonts w:ascii="Arial" w:hAnsi="Arial" w:eastAsia="Times New Roman" w:cs="Arial"/>
          <w:sz w:val="22"/>
          <w:lang w:eastAsia="es-CO"/>
        </w:rPr>
        <w:t>Atentamente,</w:t>
      </w:r>
    </w:p>
    <w:bookmarkEnd w:id="2"/>
    <w:p w:rsidRPr="00D24BB3" w:rsidR="0092237F" w:rsidP="0092237F" w:rsidRDefault="00BC2761" w14:paraId="3F660511" w14:textId="2868819C">
      <w:pPr>
        <w:jc w:val="center"/>
        <w:rPr>
          <w:rFonts w:ascii="Arial" w:hAnsi="Arial" w:eastAsia="Times New Roman" w:cs="Arial"/>
          <w:sz w:val="18"/>
          <w:szCs w:val="20"/>
          <w:lang w:eastAsia="es-CO"/>
        </w:rPr>
      </w:pPr>
      <w:r w:rsidR="00BC2761">
        <w:drawing>
          <wp:inline wp14:editId="4812A4B7" wp14:anchorId="4C410647">
            <wp:extent cx="2773144" cy="988695"/>
            <wp:effectExtent l="0" t="0" r="0" b="0"/>
            <wp:docPr id="338026174" name="Imagen 20" title=""/>
            <wp:cNvGraphicFramePr>
              <a:graphicFrameLocks noChangeAspect="1"/>
            </wp:cNvGraphicFramePr>
            <a:graphic>
              <a:graphicData uri="http://schemas.openxmlformats.org/drawingml/2006/picture">
                <pic:pic>
                  <pic:nvPicPr>
                    <pic:cNvPr id="0" name="Imagen 20"/>
                    <pic:cNvPicPr/>
                  </pic:nvPicPr>
                  <pic:blipFill>
                    <a:blip r:embed="Radd88a4b0056412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D24BB3" w:rsidR="004F2F4E" w:rsidP="0092237F" w:rsidRDefault="004F2F4E" w14:paraId="38957F15"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24BB3" w:rsidR="00D24BB3" w:rsidTr="00446BC1" w14:paraId="30A810AC" w14:textId="77777777">
        <w:trPr>
          <w:trHeight w:val="315"/>
        </w:trPr>
        <w:tc>
          <w:tcPr>
            <w:tcW w:w="812" w:type="dxa"/>
            <w:vAlign w:val="center"/>
            <w:hideMark/>
          </w:tcPr>
          <w:p w:rsidRPr="00D24BB3" w:rsidR="0092237F" w:rsidP="00446BC1" w:rsidRDefault="0092237F" w14:paraId="47DD2BED" w14:textId="77777777">
            <w:pPr>
              <w:rPr>
                <w:rFonts w:ascii="Arial" w:hAnsi="Arial" w:eastAsia="Times New Roman" w:cs="Arial"/>
                <w:sz w:val="16"/>
                <w:szCs w:val="16"/>
                <w:lang w:eastAsia="es-ES"/>
              </w:rPr>
            </w:pPr>
            <w:r w:rsidRPr="00D24BB3">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D24BB3" w:rsidR="0092237F" w:rsidP="00446BC1" w:rsidRDefault="00D24BB3" w14:paraId="0AEAF945" w14:textId="3E3849F1">
            <w:pPr>
              <w:rPr>
                <w:rFonts w:ascii="Arial" w:hAnsi="Arial" w:eastAsia="Times New Roman" w:cs="Arial"/>
                <w:sz w:val="16"/>
                <w:szCs w:val="16"/>
                <w:lang w:eastAsia="es-ES"/>
              </w:rPr>
            </w:pPr>
            <w:r w:rsidRPr="00D24BB3">
              <w:rPr>
                <w:rFonts w:ascii="Arial" w:hAnsi="Arial" w:eastAsia="Times New Roman" w:cs="Arial"/>
                <w:sz w:val="16"/>
                <w:szCs w:val="16"/>
                <w:lang w:eastAsia="es-ES"/>
              </w:rPr>
              <w:t>Alejandro Sarmiento Cantillo</w:t>
            </w:r>
          </w:p>
          <w:p w:rsidRPr="00D24BB3" w:rsidR="0092237F" w:rsidP="00446BC1" w:rsidRDefault="0092237F" w14:paraId="73697B32" w14:textId="61DF532D">
            <w:pPr>
              <w:rPr>
                <w:rFonts w:ascii="Arial" w:hAnsi="Arial" w:eastAsia="Times New Roman" w:cs="Arial"/>
                <w:sz w:val="16"/>
                <w:szCs w:val="16"/>
                <w:lang w:eastAsia="es-ES"/>
              </w:rPr>
            </w:pPr>
            <w:r w:rsidRPr="00D24BB3">
              <w:rPr>
                <w:rFonts w:ascii="Arial" w:hAnsi="Arial" w:eastAsia="Times New Roman" w:cs="Arial"/>
                <w:sz w:val="16"/>
                <w:szCs w:val="16"/>
                <w:lang w:eastAsia="es-ES"/>
              </w:rPr>
              <w:t>Contratista</w:t>
            </w:r>
            <w:r w:rsidR="00337F75">
              <w:rPr>
                <w:rFonts w:ascii="Arial" w:hAnsi="Arial" w:eastAsia="Times New Roman" w:cs="Arial"/>
                <w:sz w:val="16"/>
                <w:szCs w:val="16"/>
                <w:lang w:eastAsia="es-ES"/>
              </w:rPr>
              <w:t xml:space="preserve">, </w:t>
            </w:r>
            <w:r w:rsidRPr="00D24BB3" w:rsidR="00D24BB3">
              <w:rPr>
                <w:rFonts w:ascii="Arial" w:hAnsi="Arial" w:eastAsia="Times New Roman" w:cs="Arial"/>
                <w:sz w:val="16"/>
                <w:szCs w:val="16"/>
                <w:lang w:eastAsia="es-ES"/>
              </w:rPr>
              <w:t>Subdirección de Gestión Contractual</w:t>
            </w:r>
          </w:p>
        </w:tc>
      </w:tr>
      <w:tr w:rsidRPr="00D24BB3" w:rsidR="00D24BB3" w:rsidTr="00446BC1" w14:paraId="43FFF41D" w14:textId="77777777">
        <w:trPr>
          <w:trHeight w:val="330"/>
        </w:trPr>
        <w:tc>
          <w:tcPr>
            <w:tcW w:w="812" w:type="dxa"/>
            <w:vAlign w:val="center"/>
            <w:hideMark/>
          </w:tcPr>
          <w:p w:rsidRPr="00D24BB3" w:rsidR="0092237F" w:rsidP="00446BC1" w:rsidRDefault="0092237F" w14:paraId="3A94525A" w14:textId="77777777">
            <w:pPr>
              <w:rPr>
                <w:rFonts w:ascii="Arial" w:hAnsi="Arial" w:eastAsia="Times New Roman" w:cs="Arial"/>
                <w:sz w:val="16"/>
                <w:szCs w:val="16"/>
                <w:lang w:eastAsia="es-ES"/>
              </w:rPr>
            </w:pPr>
            <w:r w:rsidRPr="00D24BB3">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154B0F" w:rsidP="00154B0F" w:rsidRDefault="00420639" w14:paraId="658DEF8A" w14:textId="4A9A2110">
            <w:pPr>
              <w:rPr>
                <w:rFonts w:ascii="Arial" w:hAnsi="Arial" w:eastAsia="Times New Roman" w:cs="Arial"/>
                <w:sz w:val="16"/>
                <w:szCs w:val="16"/>
                <w:lang w:eastAsia="es-ES"/>
              </w:rPr>
            </w:pPr>
            <w:r>
              <w:rPr>
                <w:rFonts w:ascii="Arial" w:hAnsi="Arial" w:eastAsia="Times New Roman" w:cs="Arial"/>
                <w:sz w:val="16"/>
                <w:szCs w:val="16"/>
                <w:lang w:eastAsia="es-ES"/>
              </w:rPr>
              <w:t>Cristian Andrés Díaz Díez</w:t>
            </w:r>
          </w:p>
          <w:p w:rsidRPr="00D24BB3" w:rsidR="00420639" w:rsidP="00154B0F" w:rsidRDefault="00420639" w14:paraId="7102BB79" w14:textId="564844F9">
            <w:pPr>
              <w:rPr>
                <w:rFonts w:ascii="Arial" w:hAnsi="Arial" w:eastAsia="Times New Roman" w:cs="Arial"/>
                <w:sz w:val="16"/>
                <w:szCs w:val="16"/>
                <w:lang w:eastAsia="es-ES"/>
              </w:rPr>
            </w:pPr>
            <w:r>
              <w:rPr>
                <w:rFonts w:ascii="Arial" w:hAnsi="Arial" w:eastAsia="Times New Roman" w:cs="Arial"/>
                <w:sz w:val="16"/>
                <w:szCs w:val="16"/>
                <w:lang w:eastAsia="es-ES"/>
              </w:rPr>
              <w:t>Contratista</w:t>
            </w:r>
            <w:r w:rsidR="005E1225">
              <w:rPr>
                <w:rFonts w:ascii="Arial" w:hAnsi="Arial" w:eastAsia="Times New Roman" w:cs="Arial"/>
                <w:sz w:val="16"/>
                <w:szCs w:val="16"/>
                <w:lang w:eastAsia="es-ES"/>
              </w:rPr>
              <w:t xml:space="preserve">, </w:t>
            </w:r>
            <w:r>
              <w:rPr>
                <w:rFonts w:ascii="Arial" w:hAnsi="Arial" w:eastAsia="Times New Roman" w:cs="Arial"/>
                <w:sz w:val="16"/>
                <w:szCs w:val="16"/>
                <w:lang w:eastAsia="es-ES"/>
              </w:rPr>
              <w:t>Subdirección de Gestión Contractual</w:t>
            </w:r>
          </w:p>
          <w:p w:rsidRPr="00D24BB3" w:rsidR="0092237F" w:rsidP="00154B0F" w:rsidRDefault="0092237F" w14:paraId="0A3590C8" w14:textId="7E8970C8">
            <w:pPr>
              <w:rPr>
                <w:rFonts w:ascii="Arial" w:hAnsi="Arial" w:eastAsia="Times New Roman" w:cs="Arial"/>
                <w:sz w:val="16"/>
                <w:szCs w:val="16"/>
                <w:lang w:eastAsia="es-ES"/>
              </w:rPr>
            </w:pPr>
          </w:p>
        </w:tc>
      </w:tr>
      <w:tr w:rsidRPr="00D24BB3" w:rsidR="00D24BB3" w:rsidTr="00446BC1" w14:paraId="22C8CFFA" w14:textId="77777777">
        <w:trPr>
          <w:trHeight w:val="300"/>
        </w:trPr>
        <w:tc>
          <w:tcPr>
            <w:tcW w:w="812" w:type="dxa"/>
            <w:vAlign w:val="center"/>
            <w:hideMark/>
          </w:tcPr>
          <w:p w:rsidRPr="00D24BB3" w:rsidR="0092237F" w:rsidP="00446BC1" w:rsidRDefault="0092237F" w14:paraId="4D44E3DC" w14:textId="77777777">
            <w:pPr>
              <w:rPr>
                <w:rFonts w:ascii="Arial" w:hAnsi="Arial" w:eastAsia="Times New Roman" w:cs="Arial"/>
                <w:sz w:val="16"/>
                <w:szCs w:val="16"/>
                <w:lang w:eastAsia="es-ES"/>
              </w:rPr>
            </w:pPr>
            <w:r w:rsidRPr="00D24BB3">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24BB3" w:rsidR="0092237F" w:rsidP="00446BC1" w:rsidRDefault="0092237F" w14:paraId="66E65B44" w14:textId="77777777">
            <w:pPr>
              <w:rPr>
                <w:rFonts w:ascii="Arial" w:hAnsi="Arial" w:eastAsia="Times New Roman" w:cs="Arial"/>
                <w:sz w:val="16"/>
                <w:szCs w:val="16"/>
                <w:lang w:eastAsia="es-ES"/>
              </w:rPr>
            </w:pPr>
            <w:r w:rsidRPr="00D24BB3">
              <w:rPr>
                <w:rFonts w:ascii="Arial" w:hAnsi="Arial" w:eastAsia="Times New Roman" w:cs="Arial"/>
                <w:sz w:val="16"/>
                <w:szCs w:val="16"/>
                <w:lang w:eastAsia="es-ES"/>
              </w:rPr>
              <w:t>Fabián Gonzalo Marín Cortés</w:t>
            </w:r>
          </w:p>
          <w:p w:rsidRPr="00D24BB3" w:rsidR="0092237F" w:rsidP="00446BC1" w:rsidRDefault="0092237F" w14:paraId="2E483292" w14:textId="77777777">
            <w:pPr>
              <w:rPr>
                <w:rFonts w:ascii="Arial" w:hAnsi="Arial" w:eastAsia="Times New Roman" w:cs="Arial"/>
                <w:sz w:val="16"/>
                <w:szCs w:val="16"/>
                <w:lang w:eastAsia="es-ES"/>
              </w:rPr>
            </w:pPr>
            <w:r w:rsidRPr="00D24BB3">
              <w:rPr>
                <w:rFonts w:ascii="Arial" w:hAnsi="Arial" w:eastAsia="Times New Roman" w:cs="Arial"/>
                <w:sz w:val="16"/>
                <w:szCs w:val="16"/>
                <w:lang w:eastAsia="es-ES"/>
              </w:rPr>
              <w:t>Subdirector de Gestión Contractual</w:t>
            </w:r>
          </w:p>
        </w:tc>
      </w:tr>
    </w:tbl>
    <w:p w:rsidRPr="00C73AB2" w:rsidR="00121DAD" w:rsidP="00121DAD" w:rsidRDefault="00121DAD" w14:paraId="70080673" w14:textId="77777777">
      <w:pPr>
        <w:rPr>
          <w:rFonts w:ascii="Arial" w:hAnsi="Arial" w:cs="Arial"/>
          <w:color w:val="FF0000"/>
        </w:rPr>
      </w:pPr>
    </w:p>
    <w:sectPr w:rsidRPr="00C73AB2" w:rsidR="00121DAD" w:rsidSect="00446BC1">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53F5" w:rsidP="0092237F" w:rsidRDefault="004E53F5" w14:paraId="570E910A" w14:textId="77777777">
      <w:r>
        <w:separator/>
      </w:r>
    </w:p>
  </w:endnote>
  <w:endnote w:type="continuationSeparator" w:id="0">
    <w:p w:rsidR="004E53F5" w:rsidP="0092237F" w:rsidRDefault="004E53F5" w14:paraId="5F2FB1C7" w14:textId="77777777">
      <w:r>
        <w:continuationSeparator/>
      </w:r>
    </w:p>
  </w:endnote>
  <w:endnote w:type="continuationNotice" w:id="1">
    <w:p w:rsidR="004E53F5" w:rsidRDefault="004E53F5" w14:paraId="519DCE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336EF" w:rsidP="00446BC1" w:rsidRDefault="00B336EF" w14:paraId="56A4A35D" w14:textId="77777777">
    <w:pPr>
      <w:pStyle w:val="Sinespaciado"/>
      <w:jc w:val="center"/>
      <w:rPr>
        <w:rFonts w:ascii="Arial" w:hAnsi="Arial" w:cs="Arial"/>
        <w:sz w:val="18"/>
        <w:szCs w:val="18"/>
      </w:rPr>
    </w:pPr>
  </w:p>
  <w:p w:rsidR="00B336EF" w:rsidP="00446BC1" w:rsidRDefault="00B336EF" w14:paraId="051C1023" w14:textId="77777777">
    <w:pPr>
      <w:pStyle w:val="Sinespaciado"/>
      <w:jc w:val="center"/>
      <w:rPr>
        <w:rFonts w:ascii="Arial" w:hAnsi="Arial" w:cs="Arial"/>
        <w:sz w:val="18"/>
        <w:szCs w:val="18"/>
      </w:rPr>
    </w:pPr>
  </w:p>
  <w:p w:rsidRPr="008217B7" w:rsidR="00B336EF" w:rsidP="00EC125B" w:rsidRDefault="00B336EF" w14:paraId="01C7C1F4" w14:textId="10BFBA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C2761">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C2761">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rsidR="00B336EF" w:rsidP="00446BC1" w:rsidRDefault="00B336EF" w14:paraId="4796C9DE" w14:textId="77777777">
    <w:pPr>
      <w:pStyle w:val="Piedepgina"/>
      <w:jc w:val="center"/>
      <w:rPr>
        <w:lang w:val="es-ES"/>
      </w:rPr>
    </w:pPr>
    <w:r w:rsidR="7F345C4A">
      <w:drawing>
        <wp:inline wp14:editId="51E6EF84" wp14:anchorId="7805A7F2">
          <wp:extent cx="4241994" cy="595165"/>
          <wp:effectExtent l="0" t="0" r="6350" b="0"/>
          <wp:docPr id="1201945210" name="Imagen 12" title=""/>
          <wp:cNvGraphicFramePr>
            <a:graphicFrameLocks noChangeAspect="1"/>
          </wp:cNvGraphicFramePr>
          <a:graphic>
            <a:graphicData uri="http://schemas.openxmlformats.org/drawingml/2006/picture">
              <pic:pic>
                <pic:nvPicPr>
                  <pic:cNvPr id="0" name="Imagen 12"/>
                  <pic:cNvPicPr/>
                </pic:nvPicPr>
                <pic:blipFill>
                  <a:blip r:embed="Rb5db076677ce44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00B336EF" w:rsidP="00446BC1" w:rsidRDefault="00B336EF" w14:paraId="7ECB18B2" w14:textId="77777777">
    <w:pPr>
      <w:pStyle w:val="Sinespaciado"/>
      <w:jc w:val="center"/>
      <w:rPr>
        <w:rFonts w:ascii="Arial" w:hAnsi="Arial" w:cs="Arial"/>
        <w:sz w:val="18"/>
        <w:szCs w:val="18"/>
      </w:rPr>
    </w:pPr>
  </w:p>
  <w:p w:rsidR="00B336EF" w:rsidP="00446BC1" w:rsidRDefault="00B336EF" w14:paraId="507F56B4"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53F5" w:rsidP="0092237F" w:rsidRDefault="004E53F5" w14:paraId="258E073D" w14:textId="77777777">
      <w:r>
        <w:separator/>
      </w:r>
    </w:p>
  </w:footnote>
  <w:footnote w:type="continuationSeparator" w:id="0">
    <w:p w:rsidR="004E53F5" w:rsidP="0092237F" w:rsidRDefault="004E53F5" w14:paraId="41425229" w14:textId="77777777">
      <w:r>
        <w:continuationSeparator/>
      </w:r>
    </w:p>
  </w:footnote>
  <w:footnote w:type="continuationNotice" w:id="1">
    <w:p w:rsidR="004E53F5" w:rsidRDefault="004E53F5" w14:paraId="26AFCB54" w14:textId="77777777"/>
  </w:footnote>
  <w:footnote w:id="2">
    <w:p w:rsidRPr="0029604B" w:rsidR="00B336EF" w:rsidP="00C73ECA" w:rsidRDefault="00B336EF" w14:paraId="0B100ED2" w14:textId="77777777">
      <w:pPr>
        <w:pStyle w:val="Textonotapie"/>
        <w:ind w:firstLine="708"/>
        <w:jc w:val="both"/>
        <w:rPr>
          <w:rFonts w:ascii="Arial" w:hAnsi="Arial" w:eastAsia="Calibri" w:cs="Arial"/>
          <w:color w:val="000000" w:themeColor="text1"/>
          <w:sz w:val="18"/>
          <w:szCs w:val="18"/>
        </w:rPr>
      </w:pPr>
      <w:r w:rsidRPr="0029604B">
        <w:rPr>
          <w:rStyle w:val="Refdenotaalpie"/>
          <w:rFonts w:ascii="Arial" w:hAnsi="Arial" w:cs="Arial"/>
          <w:color w:val="000000" w:themeColor="text1"/>
          <w:sz w:val="18"/>
          <w:szCs w:val="18"/>
        </w:rPr>
        <w:footnoteRef/>
      </w:r>
      <w:r w:rsidRPr="0029604B">
        <w:rPr>
          <w:rFonts w:ascii="Arial" w:hAnsi="Arial" w:cs="Arial"/>
          <w:color w:val="000000" w:themeColor="text1"/>
          <w:sz w:val="18"/>
          <w:szCs w:val="18"/>
        </w:rPr>
        <w:t xml:space="preserve"> </w:t>
      </w:r>
      <w:r w:rsidRPr="0029604B">
        <w:rPr>
          <w:rFonts w:ascii="Arial" w:hAnsi="Arial" w:eastAsia="Calibri" w:cs="Arial"/>
          <w:color w:val="000000" w:themeColor="text1"/>
          <w:sz w:val="18"/>
          <w:szCs w:val="18"/>
        </w:rPr>
        <w:t xml:space="preserve">Diario Oficial. Gaceta del Congreso 458 de 2005. </w:t>
      </w:r>
    </w:p>
    <w:p w:rsidRPr="0029604B" w:rsidR="00B336EF" w:rsidP="00C73ECA" w:rsidRDefault="00B336EF" w14:paraId="021533E8" w14:textId="77777777">
      <w:pPr>
        <w:pStyle w:val="Textonotapie"/>
        <w:ind w:firstLine="708"/>
        <w:jc w:val="both"/>
        <w:rPr>
          <w:rFonts w:ascii="Arial" w:hAnsi="Arial" w:cs="Arial"/>
          <w:color w:val="000000" w:themeColor="text1"/>
          <w:sz w:val="18"/>
          <w:szCs w:val="18"/>
          <w:lang w:val="es-ES"/>
        </w:rPr>
      </w:pPr>
    </w:p>
  </w:footnote>
  <w:footnote w:id="3">
    <w:p w:rsidRPr="0029604B" w:rsidR="00B336EF" w:rsidP="00C73ECA" w:rsidRDefault="00B336EF" w14:paraId="027505CE" w14:textId="77777777">
      <w:pPr>
        <w:pStyle w:val="Textonotapie"/>
        <w:ind w:left="708"/>
        <w:jc w:val="both"/>
        <w:rPr>
          <w:rFonts w:ascii="Arial" w:hAnsi="Arial" w:cs="Arial"/>
          <w:color w:val="000000" w:themeColor="text1"/>
          <w:sz w:val="18"/>
          <w:szCs w:val="18"/>
          <w:lang w:val="es-ES"/>
        </w:rPr>
      </w:pPr>
      <w:r w:rsidRPr="0029604B">
        <w:rPr>
          <w:rFonts w:ascii="Arial" w:hAnsi="Arial" w:cs="Arial"/>
          <w:color w:val="000000" w:themeColor="text1"/>
          <w:sz w:val="18"/>
          <w:szCs w:val="18"/>
          <w:vertAlign w:val="superscript"/>
          <w:lang w:val="es-ES"/>
        </w:rPr>
        <w:footnoteRef/>
      </w:r>
      <w:r w:rsidRPr="0029604B">
        <w:rPr>
          <w:rFonts w:ascii="Arial" w:hAnsi="Arial" w:cs="Arial"/>
          <w:color w:val="000000" w:themeColor="text1"/>
          <w:sz w:val="18"/>
          <w:szCs w:val="18"/>
          <w:vertAlign w:val="superscript"/>
          <w:lang w:val="es-ES"/>
        </w:rPr>
        <w:t xml:space="preserve"> </w:t>
      </w:r>
      <w:r w:rsidRPr="0029604B">
        <w:rPr>
          <w:rFonts w:ascii="Arial" w:hAnsi="Arial" w:cs="Arial"/>
          <w:i/>
          <w:iCs/>
          <w:color w:val="000000" w:themeColor="text1"/>
          <w:sz w:val="18"/>
          <w:szCs w:val="18"/>
          <w:lang w:val="es-ES"/>
        </w:rPr>
        <w:t>Ibídem</w:t>
      </w:r>
      <w:r w:rsidRPr="0029604B">
        <w:rPr>
          <w:rFonts w:ascii="Arial" w:hAnsi="Arial" w:cs="Arial"/>
          <w:color w:val="000000" w:themeColor="text1"/>
          <w:sz w:val="18"/>
          <w:szCs w:val="18"/>
          <w:lang w:val="es-ES"/>
        </w:rPr>
        <w:t xml:space="preserve">. </w:t>
      </w:r>
    </w:p>
    <w:p w:rsidRPr="0029604B" w:rsidR="00B336EF" w:rsidP="00C73ECA" w:rsidRDefault="00B336EF" w14:paraId="5E6C5DFE" w14:textId="77777777">
      <w:pPr>
        <w:pStyle w:val="Textonotapie"/>
        <w:ind w:left="708"/>
        <w:jc w:val="both"/>
        <w:rPr>
          <w:rFonts w:ascii="Arial" w:hAnsi="Arial" w:cs="Arial"/>
          <w:color w:val="000000" w:themeColor="text1"/>
          <w:sz w:val="18"/>
          <w:szCs w:val="18"/>
          <w:lang w:val="es-ES"/>
        </w:rPr>
      </w:pPr>
    </w:p>
  </w:footnote>
  <w:footnote w:id="4">
    <w:p w:rsidRPr="0029604B" w:rsidR="00B336EF" w:rsidP="00C73ECA" w:rsidRDefault="00B336EF" w14:paraId="7E5EC5E9" w14:textId="77777777">
      <w:pPr>
        <w:pStyle w:val="Textonotapie"/>
        <w:ind w:firstLine="708"/>
        <w:jc w:val="both"/>
        <w:rPr>
          <w:rFonts w:ascii="Arial" w:hAnsi="Arial" w:cs="Arial"/>
          <w:color w:val="000000" w:themeColor="text1"/>
          <w:sz w:val="18"/>
          <w:szCs w:val="18"/>
          <w:lang w:val="es-ES"/>
        </w:rPr>
      </w:pPr>
      <w:r w:rsidRPr="0029604B">
        <w:rPr>
          <w:rFonts w:ascii="Arial" w:hAnsi="Arial" w:cs="Arial"/>
          <w:color w:val="000000" w:themeColor="text1"/>
          <w:sz w:val="18"/>
          <w:szCs w:val="18"/>
          <w:vertAlign w:val="superscript"/>
          <w:lang w:val="es-ES"/>
        </w:rPr>
        <w:footnoteRef/>
      </w:r>
      <w:r w:rsidRPr="0029604B">
        <w:rPr>
          <w:rFonts w:ascii="Arial" w:hAnsi="Arial" w:cs="Arial"/>
          <w:color w:val="000000" w:themeColor="text1"/>
          <w:sz w:val="18"/>
          <w:szCs w:val="18"/>
          <w:lang w:val="es-ES"/>
        </w:rPr>
        <w:t xml:space="preserve"> Diario Oficial. Gaceta del Congreso 416 de 2007, Informe de Conciliación Senado. </w:t>
      </w:r>
    </w:p>
  </w:footnote>
  <w:footnote w:id="5">
    <w:p w:rsidRPr="0029604B" w:rsidR="00B336EF" w:rsidRDefault="00B336EF" w14:paraId="4799A7CB" w14:textId="77777777">
      <w:pPr>
        <w:pStyle w:val="NormalWeb"/>
        <w:spacing w:before="0" w:beforeAutospacing="0" w:after="0" w:afterAutospacing="0"/>
        <w:ind w:firstLine="708"/>
        <w:jc w:val="both"/>
        <w:rPr>
          <w:rFonts w:ascii="Arial" w:hAnsi="Arial" w:cs="Arial"/>
          <w:color w:val="000000" w:themeColor="text1"/>
          <w:sz w:val="18"/>
          <w:szCs w:val="18"/>
        </w:rPr>
      </w:pPr>
      <w:r w:rsidRPr="0029604B">
        <w:rPr>
          <w:rStyle w:val="Refdenotaalpie"/>
          <w:rFonts w:ascii="Arial" w:hAnsi="Arial" w:cs="Arial"/>
          <w:color w:val="000000" w:themeColor="text1"/>
          <w:sz w:val="18"/>
          <w:szCs w:val="18"/>
        </w:rPr>
        <w:footnoteRef/>
      </w:r>
      <w:r w:rsidRPr="0029604B">
        <w:rPr>
          <w:rFonts w:ascii="Arial" w:hAnsi="Arial" w:cs="Arial"/>
          <w:color w:val="000000" w:themeColor="text1"/>
          <w:sz w:val="18"/>
          <w:szCs w:val="18"/>
        </w:rPr>
        <w:t xml:space="preserve"> «</w:t>
      </w:r>
      <w:r w:rsidRPr="00337F75">
        <w:rPr>
          <w:rStyle w:val="Textoennegrita"/>
          <w:rFonts w:ascii="Arial" w:hAnsi="Arial" w:cs="Arial"/>
          <w:b w:val="0"/>
          <w:bCs w:val="0"/>
          <w:color w:val="000000" w:themeColor="text1"/>
          <w:sz w:val="18"/>
          <w:szCs w:val="18"/>
        </w:rPr>
        <w:t>2.2.1.2.6.1.2. </w:t>
      </w:r>
      <w:r w:rsidRPr="0029604B">
        <w:rPr>
          <w:rStyle w:val="nfasis"/>
          <w:rFonts w:ascii="Arial" w:hAnsi="Arial" w:cs="Arial"/>
          <w:color w:val="000000" w:themeColor="text1"/>
          <w:sz w:val="18"/>
          <w:szCs w:val="18"/>
        </w:rPr>
        <w:t>Alcance</w:t>
      </w:r>
      <w:r w:rsidRPr="004C24DB">
        <w:rPr>
          <w:rFonts w:ascii="Arial" w:hAnsi="Arial" w:cs="Arial"/>
          <w:color w:val="000000" w:themeColor="text1"/>
          <w:sz w:val="18"/>
          <w:szCs w:val="18"/>
        </w:rPr>
        <w:t xml:space="preserve">. Los Documentos Tipo contienen parámetros obligatorios para las entidades estatales sometidas al Estatuto General de la Contratación Pública que </w:t>
      </w:r>
      <w:r w:rsidRPr="0029604B">
        <w:rPr>
          <w:rFonts w:ascii="Arial" w:hAnsi="Arial" w:cs="Arial"/>
          <w:color w:val="000000" w:themeColor="text1"/>
          <w:sz w:val="18"/>
          <w:szCs w:val="18"/>
        </w:rPr>
        <w:t>adelanten procesos de selección de licitación de obra pública de infraestructura de transporte. Estos documentos son: </w:t>
      </w:r>
    </w:p>
    <w:p w:rsidRPr="004C24DB" w:rsidR="00B336EF" w:rsidRDefault="00B336EF" w14:paraId="6CC6E5A5" w14:textId="77777777">
      <w:pPr>
        <w:pStyle w:val="NormalWeb"/>
        <w:spacing w:before="0" w:beforeAutospacing="0" w:after="0" w:afterAutospacing="0"/>
        <w:ind w:firstLine="708"/>
        <w:jc w:val="both"/>
        <w:rPr>
          <w:rFonts w:ascii="Arial" w:hAnsi="Arial" w:cs="Arial"/>
          <w:color w:val="000000" w:themeColor="text1"/>
          <w:sz w:val="18"/>
          <w:szCs w:val="18"/>
        </w:rPr>
      </w:pPr>
      <w:r w:rsidRPr="00337F75">
        <w:rPr>
          <w:rFonts w:ascii="Arial" w:hAnsi="Arial" w:cs="Arial"/>
          <w:color w:val="000000" w:themeColor="text1"/>
          <w:sz w:val="18"/>
          <w:szCs w:val="18"/>
        </w:rPr>
        <w:t>»</w:t>
      </w:r>
      <w:r w:rsidRPr="00337F75">
        <w:rPr>
          <w:rStyle w:val="Textoennegrita"/>
          <w:rFonts w:ascii="Arial" w:hAnsi="Arial" w:cs="Arial"/>
          <w:b w:val="0"/>
          <w:bCs w:val="0"/>
          <w:color w:val="000000" w:themeColor="text1"/>
          <w:sz w:val="18"/>
          <w:szCs w:val="18"/>
        </w:rPr>
        <w:t xml:space="preserve">A) Documento Base del Pliego Tipo; B) ANEXOS: </w:t>
      </w:r>
      <w:r w:rsidRPr="0029604B">
        <w:rPr>
          <w:rFonts w:ascii="Arial" w:hAnsi="Arial" w:cs="Arial"/>
          <w:color w:val="000000" w:themeColor="text1"/>
          <w:sz w:val="18"/>
          <w:szCs w:val="18"/>
        </w:rPr>
        <w:t xml:space="preserve">1. Anexo 1- Anexo Técnico, 2. Anexo 2- Cronograma, 3. Anexo 3- Glosario, 4. Anexo 4- Pacto de Transparencia, 5. Anexo 5- Minuta del Contrato; </w:t>
      </w:r>
      <w:r w:rsidRPr="00337F75">
        <w:rPr>
          <w:rStyle w:val="Textoennegrita"/>
          <w:rFonts w:ascii="Arial" w:hAnsi="Arial" w:cs="Arial"/>
          <w:b w:val="0"/>
          <w:bCs w:val="0"/>
          <w:color w:val="000000" w:themeColor="text1"/>
          <w:sz w:val="18"/>
          <w:szCs w:val="18"/>
        </w:rPr>
        <w:t>C) FORMATOS:</w:t>
      </w:r>
      <w:r w:rsidRPr="0029604B">
        <w:rPr>
          <w:rFonts w:ascii="Arial" w:hAnsi="Arial" w:cs="Arial"/>
          <w:color w:val="000000" w:themeColor="text1"/>
          <w:sz w:val="18"/>
          <w:szCs w:val="18"/>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337F75">
        <w:rPr>
          <w:rStyle w:val="Textoennegrita"/>
          <w:rFonts w:ascii="Arial" w:hAnsi="Arial" w:cs="Arial"/>
          <w:b w:val="0"/>
          <w:bCs w:val="0"/>
          <w:color w:val="000000" w:themeColor="text1"/>
          <w:sz w:val="18"/>
          <w:szCs w:val="18"/>
        </w:rPr>
        <w:t xml:space="preserve">D) MATRICES: </w:t>
      </w:r>
      <w:r w:rsidRPr="0029604B">
        <w:rPr>
          <w:rFonts w:ascii="Arial" w:hAnsi="Arial" w:cs="Arial"/>
          <w:color w:val="000000" w:themeColor="text1"/>
          <w:sz w:val="18"/>
          <w:szCs w:val="18"/>
        </w:rPr>
        <w:t xml:space="preserve">1. Matriz 1 – Experiencia, 2. Matriz 2 - Indicadores financieros y organizacionales, 3. Matriz 3 – Riesgos; </w:t>
      </w:r>
      <w:r w:rsidRPr="00337F75">
        <w:rPr>
          <w:rStyle w:val="Textoennegrita"/>
          <w:rFonts w:ascii="Arial" w:hAnsi="Arial" w:cs="Arial"/>
          <w:b w:val="0"/>
          <w:bCs w:val="0"/>
          <w:color w:val="000000" w:themeColor="text1"/>
          <w:sz w:val="18"/>
          <w:szCs w:val="18"/>
        </w:rPr>
        <w:t xml:space="preserve">E) FORMULARIOS: </w:t>
      </w:r>
      <w:r w:rsidRPr="0029604B">
        <w:rPr>
          <w:rFonts w:ascii="Arial" w:hAnsi="Arial" w:cs="Arial"/>
          <w:color w:val="000000" w:themeColor="text1"/>
          <w:sz w:val="18"/>
          <w:szCs w:val="18"/>
        </w:rPr>
        <w:t>1. Formulario 1- Formulario de Presupuesto Of</w:t>
      </w:r>
      <w:r w:rsidRPr="004C24DB">
        <w:rPr>
          <w:rFonts w:ascii="Arial" w:hAnsi="Arial" w:cs="Arial"/>
          <w:color w:val="000000" w:themeColor="text1"/>
          <w:sz w:val="18"/>
          <w:szCs w:val="18"/>
        </w:rPr>
        <w:t xml:space="preserve">icial. </w:t>
      </w:r>
    </w:p>
    <w:p w:rsidRPr="0029604B" w:rsidR="00B336EF" w:rsidRDefault="00B336EF" w14:paraId="2564CF0C" w14:textId="77777777">
      <w:pPr>
        <w:pStyle w:val="NormalWeb"/>
        <w:spacing w:before="0" w:beforeAutospacing="0" w:after="0" w:afterAutospacing="0"/>
        <w:ind w:firstLine="708"/>
        <w:jc w:val="both"/>
        <w:rPr>
          <w:rFonts w:ascii="Arial" w:hAnsi="Arial" w:cs="Arial"/>
          <w:color w:val="000000" w:themeColor="text1"/>
          <w:sz w:val="18"/>
          <w:szCs w:val="18"/>
        </w:rPr>
      </w:pPr>
      <w:r w:rsidRPr="0029604B">
        <w:rPr>
          <w:rFonts w:ascii="Arial" w:hAnsi="Arial" w:cs="Arial"/>
          <w:color w:val="000000" w:themeColor="text1"/>
          <w:sz w:val="18"/>
          <w:szCs w:val="18"/>
        </w:rPr>
        <w:t>»Parágrafo. Cuando la entidad estatal utilice SECOP II, o el sistema que haga sus veces, debe adaptar el contenido de los Documentos Tipo a esta plataforma».</w:t>
      </w:r>
    </w:p>
    <w:p w:rsidRPr="0029604B" w:rsidR="00B336EF" w:rsidP="00C73ECA" w:rsidRDefault="00B336EF" w14:paraId="2767CC9D" w14:textId="77777777">
      <w:pPr>
        <w:pStyle w:val="Textonotapie"/>
        <w:jc w:val="both"/>
        <w:rPr>
          <w:rFonts w:ascii="Arial" w:hAnsi="Arial" w:cs="Arial"/>
          <w:color w:val="000000" w:themeColor="text1"/>
          <w:sz w:val="18"/>
          <w:szCs w:val="18"/>
          <w:lang w:val="es-CO"/>
        </w:rPr>
      </w:pPr>
    </w:p>
  </w:footnote>
  <w:footnote w:id="6">
    <w:p w:rsidRPr="0029604B" w:rsidR="00B336EF" w:rsidP="00C73ECA" w:rsidRDefault="00B336EF" w14:paraId="542160ED" w14:textId="77777777">
      <w:pPr>
        <w:pStyle w:val="Textonotapie"/>
        <w:ind w:firstLine="708"/>
        <w:jc w:val="both"/>
        <w:rPr>
          <w:rFonts w:ascii="Arial" w:hAnsi="Arial" w:cs="Arial"/>
          <w:color w:val="000000" w:themeColor="text1"/>
          <w:sz w:val="18"/>
          <w:szCs w:val="18"/>
          <w:lang w:val="es-CO"/>
        </w:rPr>
      </w:pPr>
      <w:r w:rsidRPr="0029604B">
        <w:rPr>
          <w:rStyle w:val="Refdenotaalpie"/>
          <w:rFonts w:ascii="Arial" w:hAnsi="Arial" w:cs="Arial"/>
          <w:color w:val="000000" w:themeColor="text1"/>
          <w:sz w:val="18"/>
          <w:szCs w:val="18"/>
        </w:rPr>
        <w:footnoteRef/>
      </w:r>
      <w:r w:rsidRPr="0029604B">
        <w:rPr>
          <w:rFonts w:ascii="Arial" w:hAnsi="Arial" w:cs="Arial"/>
          <w:color w:val="000000" w:themeColor="text1"/>
          <w:sz w:val="18"/>
          <w:szCs w:val="18"/>
        </w:rPr>
        <w:t xml:space="preserve"> </w:t>
      </w:r>
      <w:r w:rsidRPr="00E84E43">
        <w:rPr>
          <w:rFonts w:ascii="Arial" w:hAnsi="Arial" w:cs="Arial"/>
          <w:color w:val="000000" w:themeColor="text1"/>
          <w:sz w:val="18"/>
          <w:szCs w:val="18"/>
          <w:lang w:val="es-CO"/>
        </w:rPr>
        <w:t xml:space="preserve">Artículo </w:t>
      </w:r>
      <w:r w:rsidRPr="004C24DB">
        <w:rPr>
          <w:rFonts w:ascii="Arial" w:hAnsi="Arial" w:cs="Arial"/>
          <w:color w:val="000000" w:themeColor="text1"/>
          <w:sz w:val="18"/>
          <w:szCs w:val="18"/>
        </w:rPr>
        <w:t>2.2.1.2.6.2.2 del Decreto 1082 de 2015, adicionado por el artículo 1 del Decre</w:t>
      </w:r>
      <w:r w:rsidRPr="00B22F5C">
        <w:rPr>
          <w:rFonts w:ascii="Arial" w:hAnsi="Arial" w:cs="Arial"/>
          <w:color w:val="000000" w:themeColor="text1"/>
          <w:sz w:val="18"/>
          <w:szCs w:val="18"/>
        </w:rPr>
        <w:t>to 2096 de 2019.</w:t>
      </w:r>
    </w:p>
  </w:footnote>
  <w:footnote w:id="7">
    <w:p w:rsidRPr="0029604B" w:rsidR="00B336EF" w:rsidRDefault="00B336EF" w14:paraId="1F903F4A" w14:textId="77777777">
      <w:pPr>
        <w:pStyle w:val="Textonotapie"/>
        <w:ind w:firstLine="709"/>
        <w:jc w:val="both"/>
        <w:rPr>
          <w:rFonts w:ascii="Arial" w:hAnsi="Arial" w:cs="Arial"/>
          <w:color w:val="000000" w:themeColor="text1"/>
          <w:sz w:val="18"/>
          <w:szCs w:val="18"/>
        </w:rPr>
      </w:pPr>
      <w:r w:rsidRPr="0029604B">
        <w:rPr>
          <w:rStyle w:val="Refdenotaalpie"/>
          <w:rFonts w:ascii="Arial" w:hAnsi="Arial" w:cs="Arial"/>
          <w:color w:val="000000" w:themeColor="text1"/>
          <w:sz w:val="18"/>
          <w:szCs w:val="18"/>
        </w:rPr>
        <w:footnoteRef/>
      </w:r>
      <w:r w:rsidRPr="0029604B">
        <w:rPr>
          <w:rFonts w:ascii="Arial" w:hAnsi="Arial" w:cs="Arial"/>
          <w:color w:val="000000" w:themeColor="text1"/>
          <w:sz w:val="18"/>
          <w:szCs w:val="18"/>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rsidRPr="0029604B" w:rsidR="00B336EF" w:rsidRDefault="00B336EF" w14:paraId="7BD8AF87" w14:textId="77777777">
      <w:pPr>
        <w:pStyle w:val="Textonotapie"/>
        <w:ind w:firstLine="709"/>
        <w:jc w:val="both"/>
        <w:rPr>
          <w:rFonts w:ascii="Arial" w:hAnsi="Arial" w:cs="Arial"/>
          <w:color w:val="000000" w:themeColor="text1"/>
          <w:sz w:val="18"/>
          <w:szCs w:val="18"/>
        </w:rPr>
      </w:pPr>
      <w:r w:rsidRPr="0029604B">
        <w:rPr>
          <w:rFonts w:ascii="Arial" w:hAnsi="Arial" w:cs="Arial"/>
          <w:color w:val="000000" w:themeColor="text1"/>
          <w:sz w:val="18"/>
          <w:szCs w:val="18"/>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rsidRPr="0029604B" w:rsidR="00B336EF" w:rsidRDefault="00B336EF" w14:paraId="42D2D058" w14:textId="77777777">
      <w:pPr>
        <w:pStyle w:val="Textonotapie"/>
        <w:ind w:firstLine="709"/>
        <w:jc w:val="both"/>
        <w:rPr>
          <w:rFonts w:ascii="Arial" w:hAnsi="Arial" w:cs="Arial"/>
          <w:color w:val="000000" w:themeColor="text1"/>
          <w:sz w:val="18"/>
          <w:szCs w:val="18"/>
          <w:lang w:val="es-CO"/>
        </w:rPr>
      </w:pPr>
      <w:r w:rsidRPr="0029604B">
        <w:rPr>
          <w:rFonts w:ascii="Arial" w:hAnsi="Arial" w:cs="Arial"/>
          <w:color w:val="000000" w:themeColor="text1"/>
          <w:sz w:val="18"/>
          <w:szCs w:val="18"/>
        </w:rPr>
        <w:t>»Parágrafo. Cuando la Entidad Estatal utilice SECOP II, o el sistema que haga sus veces, debe adaptar el contenido de los Documentos Tipo a esta plataforma».</w:t>
      </w:r>
    </w:p>
  </w:footnote>
  <w:footnote w:id="8">
    <w:p w:rsidRPr="0029604B" w:rsidR="00B336EF" w:rsidP="005B6698" w:rsidRDefault="00B336EF" w14:paraId="0AA531A9" w14:textId="77777777">
      <w:pPr>
        <w:pStyle w:val="Textonotapie"/>
        <w:ind w:firstLine="708"/>
        <w:jc w:val="both"/>
        <w:rPr>
          <w:rFonts w:ascii="Arial" w:hAnsi="Arial" w:cs="Arial"/>
          <w:sz w:val="18"/>
          <w:szCs w:val="18"/>
        </w:rPr>
      </w:pPr>
      <w:r w:rsidRPr="0029604B">
        <w:rPr>
          <w:rStyle w:val="Refdenotaalpie"/>
        </w:rPr>
        <w:footnoteRef/>
      </w:r>
      <w:r w:rsidRPr="0029604B">
        <w:t xml:space="preserve"> Decreto 1082 de 2015 «</w:t>
      </w:r>
      <w:r w:rsidRPr="004C24DB">
        <w:rPr>
          <w:rFonts w:ascii="Arial" w:hAnsi="Arial" w:cs="Arial"/>
          <w:sz w:val="18"/>
          <w:szCs w:val="18"/>
        </w:rPr>
        <w:t>2.2.1.2.6.2.3. Criterios para selección abreviada de menor cuantía. La Agencia Nacional de Contratación Pública -Colombia Compra Eficiente- en coordinación con el De</w:t>
      </w:r>
      <w:r w:rsidRPr="009977B1">
        <w:rPr>
          <w:rFonts w:ascii="Arial" w:hAnsi="Arial" w:cs="Arial"/>
          <w:sz w:val="18"/>
          <w:szCs w:val="18"/>
        </w:rPr>
        <w:t>partamento Nacional de Planeación (DNP) y el Ministerio de Transporte, deberán tener en cuenta los parámetros definidos en el artículo 2.2.1.2.6.1.3. del presente decreto para el desarrollo e implementación de Documentos Tipo en la modalidad de selección a</w:t>
      </w:r>
      <w:r w:rsidRPr="0029604B">
        <w:rPr>
          <w:rFonts w:ascii="Arial" w:hAnsi="Arial" w:cs="Arial"/>
          <w:sz w:val="18"/>
          <w:szCs w:val="18"/>
        </w:rPr>
        <w:t xml:space="preserve">breviada de menor cuantía de obra pública de infraestructura de transporte, salvo lo referente al puntaje adicional para proponentes con trabajadores con discapacidad de que tratan los artículos 2.2.1.2.4.2.6, 2.2.1.2.4.2.7, y 2.2.1.2.4.2.8 del presente decreto. </w:t>
      </w:r>
    </w:p>
    <w:p w:rsidRPr="0029604B" w:rsidR="00B336EF" w:rsidP="005B6698" w:rsidRDefault="00B336EF" w14:paraId="7E6EC662" w14:textId="77777777">
      <w:pPr>
        <w:pStyle w:val="Textonotapie"/>
        <w:ind w:firstLine="708"/>
        <w:jc w:val="both"/>
        <w:rPr>
          <w:lang w:val="es-CO"/>
        </w:rPr>
      </w:pPr>
      <w:r w:rsidRPr="0029604B">
        <w:rPr>
          <w:rFonts w:ascii="Arial" w:hAnsi="Arial" w:cs="Arial"/>
          <w:sz w:val="18"/>
          <w:szCs w:val="18"/>
        </w:rPr>
        <w:t>»Los artículos 2.2.1.2.6.1.4. y 2.2.1.2.6.1.5. del presente decreto aplican para la modalidad de selección abreviada de menor cuantía para la contratación obra pública de infraestructura de transporte».</w:t>
      </w:r>
      <w:r w:rsidRPr="0029604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336EF" w:rsidRDefault="00B336EF" w14:paraId="278DE647" w14:textId="77777777">
    <w:pPr>
      <w:pStyle w:val="Encabezado"/>
    </w:pPr>
    <w:r>
      <w:rPr>
        <w:noProof/>
        <w:lang w:val="en-US"/>
      </w:rPr>
      <w:drawing>
        <wp:anchor distT="0" distB="0" distL="114300" distR="114300" simplePos="0" relativeHeight="251658240" behindDoc="1" locked="0" layoutInCell="1" allowOverlap="1" wp14:anchorId="67A74164" wp14:editId="1684999C">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F345C4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6B2C5C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D001C1"/>
    <w:multiLevelType w:val="multilevel"/>
    <w:tmpl w:val="E3E08B78"/>
    <w:lvl w:ilvl="0">
      <w:start w:val="2"/>
      <w:numFmt w:val="decimal"/>
      <w:lvlText w:val="%1."/>
      <w:lvlJc w:val="left"/>
      <w:pPr>
        <w:ind w:left="360" w:hanging="360"/>
      </w:pPr>
      <w:rPr>
        <w:rFonts w:hint="default"/>
      </w:rPr>
    </w:lvl>
    <w:lvl w:ilvl="1">
      <w:start w:val="1"/>
      <w:numFmt w:val="decimal"/>
      <w:lvlText w:val="%1.%2."/>
      <w:lvlJc w:val="left"/>
      <w:pPr>
        <w:ind w:left="6961"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7F"/>
    <w:rsid w:val="00014614"/>
    <w:rsid w:val="00043A1B"/>
    <w:rsid w:val="000673C9"/>
    <w:rsid w:val="000704A7"/>
    <w:rsid w:val="000760B4"/>
    <w:rsid w:val="00082659"/>
    <w:rsid w:val="00083BEA"/>
    <w:rsid w:val="000C22B1"/>
    <w:rsid w:val="000E2370"/>
    <w:rsid w:val="00105512"/>
    <w:rsid w:val="00110EA1"/>
    <w:rsid w:val="001138B2"/>
    <w:rsid w:val="00121DAD"/>
    <w:rsid w:val="00122F3B"/>
    <w:rsid w:val="0013016A"/>
    <w:rsid w:val="001341A1"/>
    <w:rsid w:val="00140BDF"/>
    <w:rsid w:val="00151942"/>
    <w:rsid w:val="001529A4"/>
    <w:rsid w:val="00154B0F"/>
    <w:rsid w:val="00163B5D"/>
    <w:rsid w:val="00170082"/>
    <w:rsid w:val="00175042"/>
    <w:rsid w:val="001774B0"/>
    <w:rsid w:val="00177E0C"/>
    <w:rsid w:val="00181A7B"/>
    <w:rsid w:val="00181DDF"/>
    <w:rsid w:val="001969B5"/>
    <w:rsid w:val="001A273D"/>
    <w:rsid w:val="001B38E2"/>
    <w:rsid w:val="001B43DA"/>
    <w:rsid w:val="001C0D5B"/>
    <w:rsid w:val="001C1A75"/>
    <w:rsid w:val="001F6C29"/>
    <w:rsid w:val="001F6D14"/>
    <w:rsid w:val="0020326F"/>
    <w:rsid w:val="002052A7"/>
    <w:rsid w:val="00214B54"/>
    <w:rsid w:val="00216561"/>
    <w:rsid w:val="0022244F"/>
    <w:rsid w:val="00223142"/>
    <w:rsid w:val="00236625"/>
    <w:rsid w:val="00247386"/>
    <w:rsid w:val="00247EC8"/>
    <w:rsid w:val="00253C1C"/>
    <w:rsid w:val="0026570C"/>
    <w:rsid w:val="00282A14"/>
    <w:rsid w:val="00286DA7"/>
    <w:rsid w:val="00294403"/>
    <w:rsid w:val="002944D3"/>
    <w:rsid w:val="0029604B"/>
    <w:rsid w:val="002B558D"/>
    <w:rsid w:val="002B6345"/>
    <w:rsid w:val="002B69B2"/>
    <w:rsid w:val="002C5B4C"/>
    <w:rsid w:val="002C6320"/>
    <w:rsid w:val="002C7ACF"/>
    <w:rsid w:val="002D320E"/>
    <w:rsid w:val="002D5F30"/>
    <w:rsid w:val="002E1B8B"/>
    <w:rsid w:val="002F5FEF"/>
    <w:rsid w:val="00311003"/>
    <w:rsid w:val="00312191"/>
    <w:rsid w:val="00315E0C"/>
    <w:rsid w:val="0032182D"/>
    <w:rsid w:val="0032237E"/>
    <w:rsid w:val="003254CE"/>
    <w:rsid w:val="00327BF3"/>
    <w:rsid w:val="00331D88"/>
    <w:rsid w:val="00337F75"/>
    <w:rsid w:val="0034266D"/>
    <w:rsid w:val="003573DB"/>
    <w:rsid w:val="003579F9"/>
    <w:rsid w:val="00362F87"/>
    <w:rsid w:val="0036611D"/>
    <w:rsid w:val="00370F3B"/>
    <w:rsid w:val="00372796"/>
    <w:rsid w:val="003739CB"/>
    <w:rsid w:val="003828BA"/>
    <w:rsid w:val="00382CF8"/>
    <w:rsid w:val="00392B89"/>
    <w:rsid w:val="00394244"/>
    <w:rsid w:val="00395EBB"/>
    <w:rsid w:val="003A2F53"/>
    <w:rsid w:val="003A4C95"/>
    <w:rsid w:val="003A7E80"/>
    <w:rsid w:val="003B627F"/>
    <w:rsid w:val="003B7AB4"/>
    <w:rsid w:val="003C06A9"/>
    <w:rsid w:val="003C2682"/>
    <w:rsid w:val="003C34CF"/>
    <w:rsid w:val="003C5D30"/>
    <w:rsid w:val="003C6A76"/>
    <w:rsid w:val="003D3D65"/>
    <w:rsid w:val="003D6F96"/>
    <w:rsid w:val="003F06B4"/>
    <w:rsid w:val="003F11C8"/>
    <w:rsid w:val="004007FF"/>
    <w:rsid w:val="00411C28"/>
    <w:rsid w:val="00413CE8"/>
    <w:rsid w:val="00414BD5"/>
    <w:rsid w:val="00420639"/>
    <w:rsid w:val="00422857"/>
    <w:rsid w:val="00437E0C"/>
    <w:rsid w:val="0044179A"/>
    <w:rsid w:val="0044426F"/>
    <w:rsid w:val="004451F9"/>
    <w:rsid w:val="00446BC1"/>
    <w:rsid w:val="004525F0"/>
    <w:rsid w:val="00455CA8"/>
    <w:rsid w:val="0045684C"/>
    <w:rsid w:val="00476E32"/>
    <w:rsid w:val="00481410"/>
    <w:rsid w:val="00485546"/>
    <w:rsid w:val="00485CFD"/>
    <w:rsid w:val="00494039"/>
    <w:rsid w:val="004977C7"/>
    <w:rsid w:val="004A350D"/>
    <w:rsid w:val="004B2423"/>
    <w:rsid w:val="004C1288"/>
    <w:rsid w:val="004C24DB"/>
    <w:rsid w:val="004E53F5"/>
    <w:rsid w:val="004E6D2E"/>
    <w:rsid w:val="004F2F4E"/>
    <w:rsid w:val="004F3ACC"/>
    <w:rsid w:val="004F5CD0"/>
    <w:rsid w:val="005010AE"/>
    <w:rsid w:val="00501CA5"/>
    <w:rsid w:val="005023F5"/>
    <w:rsid w:val="00507154"/>
    <w:rsid w:val="0051401D"/>
    <w:rsid w:val="005326B5"/>
    <w:rsid w:val="005412FB"/>
    <w:rsid w:val="00543FA5"/>
    <w:rsid w:val="005455E6"/>
    <w:rsid w:val="0054749E"/>
    <w:rsid w:val="00557563"/>
    <w:rsid w:val="00562912"/>
    <w:rsid w:val="005638AB"/>
    <w:rsid w:val="005831A6"/>
    <w:rsid w:val="00590E6C"/>
    <w:rsid w:val="005B0DCB"/>
    <w:rsid w:val="005B606F"/>
    <w:rsid w:val="005B6698"/>
    <w:rsid w:val="005C510B"/>
    <w:rsid w:val="005D3812"/>
    <w:rsid w:val="005D3835"/>
    <w:rsid w:val="005E0166"/>
    <w:rsid w:val="005E1225"/>
    <w:rsid w:val="005E2D60"/>
    <w:rsid w:val="005F48D7"/>
    <w:rsid w:val="00631B28"/>
    <w:rsid w:val="00632B30"/>
    <w:rsid w:val="0063506E"/>
    <w:rsid w:val="00636D03"/>
    <w:rsid w:val="006433EE"/>
    <w:rsid w:val="006455F5"/>
    <w:rsid w:val="00651C27"/>
    <w:rsid w:val="00651E8C"/>
    <w:rsid w:val="00652D14"/>
    <w:rsid w:val="00672C05"/>
    <w:rsid w:val="006746D9"/>
    <w:rsid w:val="00676227"/>
    <w:rsid w:val="00684328"/>
    <w:rsid w:val="00684DDE"/>
    <w:rsid w:val="00690BD5"/>
    <w:rsid w:val="00693E96"/>
    <w:rsid w:val="006966C0"/>
    <w:rsid w:val="006A3104"/>
    <w:rsid w:val="006A38D3"/>
    <w:rsid w:val="006A5B11"/>
    <w:rsid w:val="006A7DAB"/>
    <w:rsid w:val="006B2B82"/>
    <w:rsid w:val="006B4C5E"/>
    <w:rsid w:val="006C2979"/>
    <w:rsid w:val="006C38F5"/>
    <w:rsid w:val="006C7284"/>
    <w:rsid w:val="006C78A2"/>
    <w:rsid w:val="006E1BC3"/>
    <w:rsid w:val="006E1E60"/>
    <w:rsid w:val="006E58CB"/>
    <w:rsid w:val="006F0163"/>
    <w:rsid w:val="006F0F0E"/>
    <w:rsid w:val="006F10B6"/>
    <w:rsid w:val="006F1C18"/>
    <w:rsid w:val="007022B8"/>
    <w:rsid w:val="00702FA3"/>
    <w:rsid w:val="00712F41"/>
    <w:rsid w:val="00734F5D"/>
    <w:rsid w:val="00734FE4"/>
    <w:rsid w:val="0073685E"/>
    <w:rsid w:val="007403BB"/>
    <w:rsid w:val="007427D2"/>
    <w:rsid w:val="00742C9C"/>
    <w:rsid w:val="0076345C"/>
    <w:rsid w:val="00764D5F"/>
    <w:rsid w:val="00765C27"/>
    <w:rsid w:val="0077445A"/>
    <w:rsid w:val="007748D5"/>
    <w:rsid w:val="00776653"/>
    <w:rsid w:val="007773B6"/>
    <w:rsid w:val="007877CD"/>
    <w:rsid w:val="00792A65"/>
    <w:rsid w:val="007965A5"/>
    <w:rsid w:val="007B7485"/>
    <w:rsid w:val="007C0366"/>
    <w:rsid w:val="007C48BE"/>
    <w:rsid w:val="007E01B4"/>
    <w:rsid w:val="007E5472"/>
    <w:rsid w:val="007F34CA"/>
    <w:rsid w:val="007F56EB"/>
    <w:rsid w:val="007F622A"/>
    <w:rsid w:val="00811586"/>
    <w:rsid w:val="00817E9D"/>
    <w:rsid w:val="00821363"/>
    <w:rsid w:val="008213F0"/>
    <w:rsid w:val="00827C5C"/>
    <w:rsid w:val="008363A2"/>
    <w:rsid w:val="00837183"/>
    <w:rsid w:val="00852506"/>
    <w:rsid w:val="008614AC"/>
    <w:rsid w:val="00881A39"/>
    <w:rsid w:val="00893A9F"/>
    <w:rsid w:val="0089500A"/>
    <w:rsid w:val="00897C67"/>
    <w:rsid w:val="00897DCC"/>
    <w:rsid w:val="008A145C"/>
    <w:rsid w:val="008A5686"/>
    <w:rsid w:val="008C022A"/>
    <w:rsid w:val="008C67C7"/>
    <w:rsid w:val="008D2E86"/>
    <w:rsid w:val="008D6A9C"/>
    <w:rsid w:val="008E2FB0"/>
    <w:rsid w:val="008E4DE9"/>
    <w:rsid w:val="0092237F"/>
    <w:rsid w:val="00922BA1"/>
    <w:rsid w:val="009236F8"/>
    <w:rsid w:val="00927644"/>
    <w:rsid w:val="009321B5"/>
    <w:rsid w:val="0093715A"/>
    <w:rsid w:val="00937826"/>
    <w:rsid w:val="00940F73"/>
    <w:rsid w:val="00943EA6"/>
    <w:rsid w:val="0094409F"/>
    <w:rsid w:val="0097711B"/>
    <w:rsid w:val="00983BF0"/>
    <w:rsid w:val="00986E1D"/>
    <w:rsid w:val="009927A8"/>
    <w:rsid w:val="0099655F"/>
    <w:rsid w:val="00997380"/>
    <w:rsid w:val="009977B1"/>
    <w:rsid w:val="009A459E"/>
    <w:rsid w:val="009A4F07"/>
    <w:rsid w:val="009A7D4C"/>
    <w:rsid w:val="009B121B"/>
    <w:rsid w:val="009B25FF"/>
    <w:rsid w:val="009B29BD"/>
    <w:rsid w:val="009C0147"/>
    <w:rsid w:val="009E7CC4"/>
    <w:rsid w:val="009F3174"/>
    <w:rsid w:val="009F433E"/>
    <w:rsid w:val="009F502F"/>
    <w:rsid w:val="00A078E5"/>
    <w:rsid w:val="00A25F60"/>
    <w:rsid w:val="00A30DE0"/>
    <w:rsid w:val="00A30E6C"/>
    <w:rsid w:val="00A34891"/>
    <w:rsid w:val="00A42E60"/>
    <w:rsid w:val="00A46D7F"/>
    <w:rsid w:val="00A53952"/>
    <w:rsid w:val="00A60133"/>
    <w:rsid w:val="00A6375D"/>
    <w:rsid w:val="00A657DA"/>
    <w:rsid w:val="00A71797"/>
    <w:rsid w:val="00A74ABB"/>
    <w:rsid w:val="00A77546"/>
    <w:rsid w:val="00A82C4B"/>
    <w:rsid w:val="00A8481E"/>
    <w:rsid w:val="00A9520F"/>
    <w:rsid w:val="00AA097F"/>
    <w:rsid w:val="00AB1451"/>
    <w:rsid w:val="00AB7466"/>
    <w:rsid w:val="00AB7F03"/>
    <w:rsid w:val="00AC33F2"/>
    <w:rsid w:val="00AF33AA"/>
    <w:rsid w:val="00B04950"/>
    <w:rsid w:val="00B17F49"/>
    <w:rsid w:val="00B22F5C"/>
    <w:rsid w:val="00B23340"/>
    <w:rsid w:val="00B32F38"/>
    <w:rsid w:val="00B336EF"/>
    <w:rsid w:val="00B3483C"/>
    <w:rsid w:val="00B35BB3"/>
    <w:rsid w:val="00B43A5B"/>
    <w:rsid w:val="00B5112C"/>
    <w:rsid w:val="00B61214"/>
    <w:rsid w:val="00B8018E"/>
    <w:rsid w:val="00B86DE2"/>
    <w:rsid w:val="00B96957"/>
    <w:rsid w:val="00BA246F"/>
    <w:rsid w:val="00BA29DC"/>
    <w:rsid w:val="00BB30A4"/>
    <w:rsid w:val="00BC2761"/>
    <w:rsid w:val="00BD2DB0"/>
    <w:rsid w:val="00BD4897"/>
    <w:rsid w:val="00BE66EA"/>
    <w:rsid w:val="00BF4FB7"/>
    <w:rsid w:val="00C01A33"/>
    <w:rsid w:val="00C131EB"/>
    <w:rsid w:val="00C15144"/>
    <w:rsid w:val="00C15B50"/>
    <w:rsid w:val="00C211F4"/>
    <w:rsid w:val="00C22C28"/>
    <w:rsid w:val="00C27FED"/>
    <w:rsid w:val="00C30A4C"/>
    <w:rsid w:val="00C30E2B"/>
    <w:rsid w:val="00C31F45"/>
    <w:rsid w:val="00C340CE"/>
    <w:rsid w:val="00C37DA4"/>
    <w:rsid w:val="00C427F3"/>
    <w:rsid w:val="00C428AC"/>
    <w:rsid w:val="00C44995"/>
    <w:rsid w:val="00C44DB7"/>
    <w:rsid w:val="00C507FA"/>
    <w:rsid w:val="00C66126"/>
    <w:rsid w:val="00C73AB2"/>
    <w:rsid w:val="00C73ECA"/>
    <w:rsid w:val="00C7649C"/>
    <w:rsid w:val="00C77373"/>
    <w:rsid w:val="00C823BA"/>
    <w:rsid w:val="00C90708"/>
    <w:rsid w:val="00C97787"/>
    <w:rsid w:val="00CA2E26"/>
    <w:rsid w:val="00CB19FD"/>
    <w:rsid w:val="00CB7B74"/>
    <w:rsid w:val="00CC09C7"/>
    <w:rsid w:val="00CC7EAC"/>
    <w:rsid w:val="00CE1723"/>
    <w:rsid w:val="00CF1380"/>
    <w:rsid w:val="00D071DF"/>
    <w:rsid w:val="00D10B24"/>
    <w:rsid w:val="00D1746E"/>
    <w:rsid w:val="00D249D2"/>
    <w:rsid w:val="00D24BB3"/>
    <w:rsid w:val="00D27FC3"/>
    <w:rsid w:val="00D624F6"/>
    <w:rsid w:val="00D63204"/>
    <w:rsid w:val="00D76AE1"/>
    <w:rsid w:val="00D84666"/>
    <w:rsid w:val="00D90295"/>
    <w:rsid w:val="00D9166A"/>
    <w:rsid w:val="00DB3F86"/>
    <w:rsid w:val="00DC0576"/>
    <w:rsid w:val="00DC6477"/>
    <w:rsid w:val="00DD26CA"/>
    <w:rsid w:val="00DD77F2"/>
    <w:rsid w:val="00DF62DE"/>
    <w:rsid w:val="00E07026"/>
    <w:rsid w:val="00E07227"/>
    <w:rsid w:val="00E07A35"/>
    <w:rsid w:val="00E455C9"/>
    <w:rsid w:val="00E46A91"/>
    <w:rsid w:val="00E47A4D"/>
    <w:rsid w:val="00E533FE"/>
    <w:rsid w:val="00E550E8"/>
    <w:rsid w:val="00E62F63"/>
    <w:rsid w:val="00E7450C"/>
    <w:rsid w:val="00E77D81"/>
    <w:rsid w:val="00E828D0"/>
    <w:rsid w:val="00E82983"/>
    <w:rsid w:val="00E84E43"/>
    <w:rsid w:val="00E9159C"/>
    <w:rsid w:val="00E918EB"/>
    <w:rsid w:val="00EA321B"/>
    <w:rsid w:val="00EA4F2A"/>
    <w:rsid w:val="00EB31E5"/>
    <w:rsid w:val="00EB7F67"/>
    <w:rsid w:val="00EC125B"/>
    <w:rsid w:val="00ED1399"/>
    <w:rsid w:val="00ED7F7C"/>
    <w:rsid w:val="00EE1488"/>
    <w:rsid w:val="00EE312C"/>
    <w:rsid w:val="00EE7C75"/>
    <w:rsid w:val="00EF1446"/>
    <w:rsid w:val="00F16CC2"/>
    <w:rsid w:val="00F23F8A"/>
    <w:rsid w:val="00F30022"/>
    <w:rsid w:val="00F36304"/>
    <w:rsid w:val="00F549D0"/>
    <w:rsid w:val="00F60ADF"/>
    <w:rsid w:val="00F67E39"/>
    <w:rsid w:val="00F80791"/>
    <w:rsid w:val="00F80A93"/>
    <w:rsid w:val="00F87E84"/>
    <w:rsid w:val="00F9008E"/>
    <w:rsid w:val="00F97513"/>
    <w:rsid w:val="00FA36FD"/>
    <w:rsid w:val="00FB3241"/>
    <w:rsid w:val="00FC3159"/>
    <w:rsid w:val="00FC6462"/>
    <w:rsid w:val="00FD0A58"/>
    <w:rsid w:val="00FD59D6"/>
    <w:rsid w:val="00FE41F3"/>
    <w:rsid w:val="00FE447F"/>
    <w:rsid w:val="00FF355E"/>
    <w:rsid w:val="00FF41FB"/>
    <w:rsid w:val="25323328"/>
    <w:rsid w:val="4292D596"/>
    <w:rsid w:val="432A6C2B"/>
    <w:rsid w:val="5B449FA3"/>
    <w:rsid w:val="6734CDBA"/>
    <w:rsid w:val="69713E74"/>
    <w:rsid w:val="744DE927"/>
    <w:rsid w:val="7575E7F0"/>
    <w:rsid w:val="7B6FC328"/>
    <w:rsid w:val="7F345C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46CC"/>
  <w15:chartTrackingRefBased/>
  <w15:docId w15:val="{AF8F7C13-9633-4686-B190-82D22261E3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237F"/>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92237F"/>
    <w:pPr>
      <w:tabs>
        <w:tab w:val="center" w:pos="4419"/>
        <w:tab w:val="right" w:pos="8838"/>
      </w:tabs>
    </w:pPr>
  </w:style>
  <w:style w:type="character" w:styleId="PiedepginaCar" w:customStyle="1">
    <w:name w:val="Pie de página Car"/>
    <w:basedOn w:val="Fuentedeprrafopredeter"/>
    <w:link w:val="Piedepgina"/>
    <w:uiPriority w:val="99"/>
    <w:rsid w:val="0092237F"/>
    <w:rPr>
      <w:sz w:val="24"/>
      <w:lang w:val="es-MX"/>
    </w:rPr>
  </w:style>
  <w:style w:type="paragraph" w:styleId="Encabezado">
    <w:name w:val="header"/>
    <w:basedOn w:val="Normal"/>
    <w:link w:val="EncabezadoCar"/>
    <w:uiPriority w:val="99"/>
    <w:unhideWhenUsed/>
    <w:rsid w:val="0092237F"/>
    <w:pPr>
      <w:tabs>
        <w:tab w:val="center" w:pos="4252"/>
        <w:tab w:val="right" w:pos="8504"/>
      </w:tabs>
    </w:pPr>
  </w:style>
  <w:style w:type="character" w:styleId="EncabezadoCar" w:customStyle="1">
    <w:name w:val="Encabezado Car"/>
    <w:basedOn w:val="Fuentedeprrafopredeter"/>
    <w:link w:val="Encabezado"/>
    <w:uiPriority w:val="99"/>
    <w:rsid w:val="0092237F"/>
    <w:rPr>
      <w:sz w:val="24"/>
      <w:lang w:val="es-MX"/>
    </w:rPr>
  </w:style>
  <w:style w:type="table" w:styleId="Tablaconcuadrcula">
    <w:name w:val="Table Grid"/>
    <w:basedOn w:val="Tablanormal"/>
    <w:uiPriority w:val="59"/>
    <w:rsid w:val="009223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2237F"/>
    <w:pPr>
      <w:ind w:left="720"/>
      <w:contextualSpacing/>
    </w:pPr>
  </w:style>
  <w:style w:type="paragraph" w:styleId="Sinespaciado">
    <w:name w:val="No Spacing"/>
    <w:uiPriority w:val="1"/>
    <w:qFormat/>
    <w:rsid w:val="0092237F"/>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2237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2237F"/>
    <w:rPr>
      <w:sz w:val="20"/>
      <w:szCs w:val="20"/>
    </w:rPr>
  </w:style>
  <w:style w:type="character" w:styleId="TextonotapieCar1" w:customStyle="1">
    <w:name w:val="Texto nota pie Car1"/>
    <w:basedOn w:val="Fuentedeprrafopredeter"/>
    <w:uiPriority w:val="99"/>
    <w:semiHidden/>
    <w:rsid w:val="0092237F"/>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2237F"/>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symbol,Footnote,Ref. de nota al pie2"/>
    <w:basedOn w:val="Fuentedeprrafopredeter"/>
    <w:uiPriority w:val="99"/>
    <w:semiHidden/>
    <w:unhideWhenUsed/>
    <w:qFormat/>
    <w:rsid w:val="0092237F"/>
    <w:rPr>
      <w:vertAlign w:val="superscript"/>
    </w:rPr>
  </w:style>
  <w:style w:type="paragraph" w:styleId="InviasNormal" w:customStyle="1">
    <w:name w:val="Invias Normal"/>
    <w:basedOn w:val="Normal"/>
    <w:link w:val="InviasNormalCar"/>
    <w:qFormat/>
    <w:rsid w:val="0092237F"/>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92237F"/>
    <w:rPr>
      <w:rFonts w:ascii="Arial Narrow" w:hAnsi="Arial Narrow" w:eastAsia="Times New Roman" w:cs="Times New Roman"/>
      <w:color w:val="3B3838" w:themeColor="background2" w:themeShade="40"/>
      <w:sz w:val="24"/>
      <w:szCs w:val="24"/>
      <w:lang w:val="x-none" w:eastAsia="es-ES"/>
    </w:rPr>
  </w:style>
  <w:style w:type="paragraph" w:styleId="Default" w:customStyle="1">
    <w:name w:val="Default"/>
    <w:rsid w:val="00FA36F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37DA4"/>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37DA4"/>
    <w:rPr>
      <w:rFonts w:ascii="Segoe UI" w:hAnsi="Segoe UI" w:cs="Segoe UI"/>
      <w:sz w:val="18"/>
      <w:szCs w:val="18"/>
      <w:lang w:val="es-MX"/>
    </w:rPr>
  </w:style>
  <w:style w:type="paragraph" w:styleId="NormalWeb">
    <w:name w:val="Normal (Web)"/>
    <w:basedOn w:val="Normal"/>
    <w:uiPriority w:val="99"/>
    <w:semiHidden/>
    <w:unhideWhenUsed/>
    <w:rsid w:val="00BD4897"/>
    <w:pPr>
      <w:spacing w:before="100" w:beforeAutospacing="1" w:after="100" w:afterAutospacing="1"/>
    </w:pPr>
    <w:rPr>
      <w:rFonts w:ascii="Times New Roman" w:hAnsi="Times New Roman" w:eastAsia="Times New Roman" w:cs="Times New Roman"/>
      <w:szCs w:val="24"/>
      <w:lang w:val="es-CO" w:eastAsia="es-CO"/>
    </w:rPr>
  </w:style>
  <w:style w:type="character" w:styleId="Textoennegrita">
    <w:name w:val="Strong"/>
    <w:basedOn w:val="Fuentedeprrafopredeter"/>
    <w:uiPriority w:val="22"/>
    <w:qFormat/>
    <w:rsid w:val="00BD4897"/>
    <w:rPr>
      <w:b/>
      <w:bCs/>
    </w:rPr>
  </w:style>
  <w:style w:type="character" w:styleId="nfasis">
    <w:name w:val="Emphasis"/>
    <w:basedOn w:val="Fuentedeprrafopredeter"/>
    <w:uiPriority w:val="20"/>
    <w:qFormat/>
    <w:rsid w:val="00BD4897"/>
    <w:rPr>
      <w:i/>
      <w:iCs/>
    </w:rPr>
  </w:style>
  <w:style w:type="character" w:styleId="Refdecomentario">
    <w:name w:val="annotation reference"/>
    <w:basedOn w:val="Fuentedeprrafopredeter"/>
    <w:uiPriority w:val="99"/>
    <w:semiHidden/>
    <w:unhideWhenUsed/>
    <w:rsid w:val="00631B28"/>
    <w:rPr>
      <w:sz w:val="16"/>
      <w:szCs w:val="16"/>
    </w:rPr>
  </w:style>
  <w:style w:type="paragraph" w:styleId="Textocomentario">
    <w:name w:val="annotation text"/>
    <w:basedOn w:val="Normal"/>
    <w:link w:val="TextocomentarioCar"/>
    <w:uiPriority w:val="99"/>
    <w:semiHidden/>
    <w:unhideWhenUsed/>
    <w:rsid w:val="00631B28"/>
    <w:rPr>
      <w:sz w:val="20"/>
      <w:szCs w:val="20"/>
    </w:rPr>
  </w:style>
  <w:style w:type="character" w:styleId="TextocomentarioCar" w:customStyle="1">
    <w:name w:val="Texto comentario Car"/>
    <w:basedOn w:val="Fuentedeprrafopredeter"/>
    <w:link w:val="Textocomentario"/>
    <w:uiPriority w:val="99"/>
    <w:semiHidden/>
    <w:rsid w:val="00631B2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31B28"/>
    <w:rPr>
      <w:b/>
      <w:bCs/>
    </w:rPr>
  </w:style>
  <w:style w:type="character" w:styleId="AsuntodelcomentarioCar" w:customStyle="1">
    <w:name w:val="Asunto del comentario Car"/>
    <w:basedOn w:val="TextocomentarioCar"/>
    <w:link w:val="Asuntodelcomentario"/>
    <w:uiPriority w:val="99"/>
    <w:semiHidden/>
    <w:rsid w:val="00631B28"/>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70204">
      <w:bodyDiv w:val="1"/>
      <w:marLeft w:val="0"/>
      <w:marRight w:val="0"/>
      <w:marTop w:val="0"/>
      <w:marBottom w:val="0"/>
      <w:divBdr>
        <w:top w:val="none" w:sz="0" w:space="0" w:color="auto"/>
        <w:left w:val="none" w:sz="0" w:space="0" w:color="auto"/>
        <w:bottom w:val="none" w:sz="0" w:space="0" w:color="auto"/>
        <w:right w:val="none" w:sz="0" w:space="0" w:color="auto"/>
      </w:divBdr>
    </w:div>
    <w:div w:id="387609494">
      <w:bodyDiv w:val="1"/>
      <w:marLeft w:val="0"/>
      <w:marRight w:val="0"/>
      <w:marTop w:val="0"/>
      <w:marBottom w:val="0"/>
      <w:divBdr>
        <w:top w:val="none" w:sz="0" w:space="0" w:color="auto"/>
        <w:left w:val="none" w:sz="0" w:space="0" w:color="auto"/>
        <w:bottom w:val="none" w:sz="0" w:space="0" w:color="auto"/>
        <w:right w:val="none" w:sz="0" w:space="0" w:color="auto"/>
      </w:divBdr>
    </w:div>
    <w:div w:id="502748524">
      <w:bodyDiv w:val="1"/>
      <w:marLeft w:val="0"/>
      <w:marRight w:val="0"/>
      <w:marTop w:val="0"/>
      <w:marBottom w:val="0"/>
      <w:divBdr>
        <w:top w:val="none" w:sz="0" w:space="0" w:color="auto"/>
        <w:left w:val="none" w:sz="0" w:space="0" w:color="auto"/>
        <w:bottom w:val="none" w:sz="0" w:space="0" w:color="auto"/>
        <w:right w:val="none" w:sz="0" w:space="0" w:color="auto"/>
      </w:divBdr>
    </w:div>
    <w:div w:id="881861800">
      <w:bodyDiv w:val="1"/>
      <w:marLeft w:val="0"/>
      <w:marRight w:val="0"/>
      <w:marTop w:val="0"/>
      <w:marBottom w:val="0"/>
      <w:divBdr>
        <w:top w:val="none" w:sz="0" w:space="0" w:color="auto"/>
        <w:left w:val="none" w:sz="0" w:space="0" w:color="auto"/>
        <w:bottom w:val="none" w:sz="0" w:space="0" w:color="auto"/>
        <w:right w:val="none" w:sz="0" w:space="0" w:color="auto"/>
      </w:divBdr>
    </w:div>
    <w:div w:id="1039428167">
      <w:bodyDiv w:val="1"/>
      <w:marLeft w:val="0"/>
      <w:marRight w:val="0"/>
      <w:marTop w:val="0"/>
      <w:marBottom w:val="0"/>
      <w:divBdr>
        <w:top w:val="none" w:sz="0" w:space="0" w:color="auto"/>
        <w:left w:val="none" w:sz="0" w:space="0" w:color="auto"/>
        <w:bottom w:val="none" w:sz="0" w:space="0" w:color="auto"/>
        <w:right w:val="none" w:sz="0" w:space="0" w:color="auto"/>
      </w:divBdr>
    </w:div>
    <w:div w:id="1187450105">
      <w:bodyDiv w:val="1"/>
      <w:marLeft w:val="0"/>
      <w:marRight w:val="0"/>
      <w:marTop w:val="0"/>
      <w:marBottom w:val="0"/>
      <w:divBdr>
        <w:top w:val="none" w:sz="0" w:space="0" w:color="auto"/>
        <w:left w:val="none" w:sz="0" w:space="0" w:color="auto"/>
        <w:bottom w:val="none" w:sz="0" w:space="0" w:color="auto"/>
        <w:right w:val="none" w:sz="0" w:space="0" w:color="auto"/>
      </w:divBdr>
    </w:div>
    <w:div w:id="1196046472">
      <w:bodyDiv w:val="1"/>
      <w:marLeft w:val="0"/>
      <w:marRight w:val="0"/>
      <w:marTop w:val="0"/>
      <w:marBottom w:val="0"/>
      <w:divBdr>
        <w:top w:val="none" w:sz="0" w:space="0" w:color="auto"/>
        <w:left w:val="none" w:sz="0" w:space="0" w:color="auto"/>
        <w:bottom w:val="none" w:sz="0" w:space="0" w:color="auto"/>
        <w:right w:val="none" w:sz="0" w:space="0" w:color="auto"/>
      </w:divBdr>
    </w:div>
    <w:div w:id="1207568907">
      <w:bodyDiv w:val="1"/>
      <w:marLeft w:val="0"/>
      <w:marRight w:val="0"/>
      <w:marTop w:val="0"/>
      <w:marBottom w:val="0"/>
      <w:divBdr>
        <w:top w:val="none" w:sz="0" w:space="0" w:color="auto"/>
        <w:left w:val="none" w:sz="0" w:space="0" w:color="auto"/>
        <w:bottom w:val="none" w:sz="0" w:space="0" w:color="auto"/>
        <w:right w:val="none" w:sz="0" w:space="0" w:color="auto"/>
      </w:divBdr>
    </w:div>
    <w:div w:id="1324700503">
      <w:bodyDiv w:val="1"/>
      <w:marLeft w:val="0"/>
      <w:marRight w:val="0"/>
      <w:marTop w:val="0"/>
      <w:marBottom w:val="0"/>
      <w:divBdr>
        <w:top w:val="none" w:sz="0" w:space="0" w:color="auto"/>
        <w:left w:val="none" w:sz="0" w:space="0" w:color="auto"/>
        <w:bottom w:val="none" w:sz="0" w:space="0" w:color="auto"/>
        <w:right w:val="none" w:sz="0" w:space="0" w:color="auto"/>
      </w:divBdr>
    </w:div>
    <w:div w:id="1369911198">
      <w:bodyDiv w:val="1"/>
      <w:marLeft w:val="0"/>
      <w:marRight w:val="0"/>
      <w:marTop w:val="0"/>
      <w:marBottom w:val="0"/>
      <w:divBdr>
        <w:top w:val="none" w:sz="0" w:space="0" w:color="auto"/>
        <w:left w:val="none" w:sz="0" w:space="0" w:color="auto"/>
        <w:bottom w:val="none" w:sz="0" w:space="0" w:color="auto"/>
        <w:right w:val="none" w:sz="0" w:space="0" w:color="auto"/>
      </w:divBdr>
    </w:div>
    <w:div w:id="1458714390">
      <w:bodyDiv w:val="1"/>
      <w:marLeft w:val="0"/>
      <w:marRight w:val="0"/>
      <w:marTop w:val="0"/>
      <w:marBottom w:val="0"/>
      <w:divBdr>
        <w:top w:val="none" w:sz="0" w:space="0" w:color="auto"/>
        <w:left w:val="none" w:sz="0" w:space="0" w:color="auto"/>
        <w:bottom w:val="none" w:sz="0" w:space="0" w:color="auto"/>
        <w:right w:val="none" w:sz="0" w:space="0" w:color="auto"/>
      </w:divBdr>
    </w:div>
    <w:div w:id="1575237806">
      <w:bodyDiv w:val="1"/>
      <w:marLeft w:val="0"/>
      <w:marRight w:val="0"/>
      <w:marTop w:val="0"/>
      <w:marBottom w:val="0"/>
      <w:divBdr>
        <w:top w:val="none" w:sz="0" w:space="0" w:color="auto"/>
        <w:left w:val="none" w:sz="0" w:space="0" w:color="auto"/>
        <w:bottom w:val="none" w:sz="0" w:space="0" w:color="auto"/>
        <w:right w:val="none" w:sz="0" w:space="0" w:color="auto"/>
      </w:divBdr>
      <w:divsChild>
        <w:div w:id="4330323">
          <w:marLeft w:val="0"/>
          <w:marRight w:val="0"/>
          <w:marTop w:val="0"/>
          <w:marBottom w:val="0"/>
          <w:divBdr>
            <w:top w:val="none" w:sz="0" w:space="0" w:color="auto"/>
            <w:left w:val="none" w:sz="0" w:space="0" w:color="auto"/>
            <w:bottom w:val="none" w:sz="0" w:space="0" w:color="auto"/>
            <w:right w:val="none" w:sz="0" w:space="0" w:color="auto"/>
          </w:divBdr>
        </w:div>
        <w:div w:id="139730759">
          <w:marLeft w:val="0"/>
          <w:marRight w:val="0"/>
          <w:marTop w:val="0"/>
          <w:marBottom w:val="0"/>
          <w:divBdr>
            <w:top w:val="none" w:sz="0" w:space="0" w:color="auto"/>
            <w:left w:val="none" w:sz="0" w:space="0" w:color="auto"/>
            <w:bottom w:val="none" w:sz="0" w:space="0" w:color="auto"/>
            <w:right w:val="none" w:sz="0" w:space="0" w:color="auto"/>
          </w:divBdr>
        </w:div>
        <w:div w:id="149567028">
          <w:marLeft w:val="0"/>
          <w:marRight w:val="0"/>
          <w:marTop w:val="0"/>
          <w:marBottom w:val="0"/>
          <w:divBdr>
            <w:top w:val="none" w:sz="0" w:space="0" w:color="auto"/>
            <w:left w:val="none" w:sz="0" w:space="0" w:color="auto"/>
            <w:bottom w:val="none" w:sz="0" w:space="0" w:color="auto"/>
            <w:right w:val="none" w:sz="0" w:space="0" w:color="auto"/>
          </w:divBdr>
        </w:div>
        <w:div w:id="285742778">
          <w:marLeft w:val="0"/>
          <w:marRight w:val="0"/>
          <w:marTop w:val="0"/>
          <w:marBottom w:val="0"/>
          <w:divBdr>
            <w:top w:val="none" w:sz="0" w:space="0" w:color="auto"/>
            <w:left w:val="none" w:sz="0" w:space="0" w:color="auto"/>
            <w:bottom w:val="none" w:sz="0" w:space="0" w:color="auto"/>
            <w:right w:val="none" w:sz="0" w:space="0" w:color="auto"/>
          </w:divBdr>
        </w:div>
        <w:div w:id="573273782">
          <w:marLeft w:val="0"/>
          <w:marRight w:val="0"/>
          <w:marTop w:val="0"/>
          <w:marBottom w:val="0"/>
          <w:divBdr>
            <w:top w:val="none" w:sz="0" w:space="0" w:color="auto"/>
            <w:left w:val="none" w:sz="0" w:space="0" w:color="auto"/>
            <w:bottom w:val="none" w:sz="0" w:space="0" w:color="auto"/>
            <w:right w:val="none" w:sz="0" w:space="0" w:color="auto"/>
          </w:divBdr>
          <w:divsChild>
            <w:div w:id="765080101">
              <w:marLeft w:val="0"/>
              <w:marRight w:val="0"/>
              <w:marTop w:val="0"/>
              <w:marBottom w:val="0"/>
              <w:divBdr>
                <w:top w:val="none" w:sz="0" w:space="0" w:color="auto"/>
                <w:left w:val="none" w:sz="0" w:space="0" w:color="auto"/>
                <w:bottom w:val="none" w:sz="0" w:space="0" w:color="auto"/>
                <w:right w:val="none" w:sz="0" w:space="0" w:color="auto"/>
              </w:divBdr>
            </w:div>
            <w:div w:id="1602253035">
              <w:marLeft w:val="0"/>
              <w:marRight w:val="0"/>
              <w:marTop w:val="0"/>
              <w:marBottom w:val="0"/>
              <w:divBdr>
                <w:top w:val="none" w:sz="0" w:space="0" w:color="auto"/>
                <w:left w:val="none" w:sz="0" w:space="0" w:color="auto"/>
                <w:bottom w:val="none" w:sz="0" w:space="0" w:color="auto"/>
                <w:right w:val="none" w:sz="0" w:space="0" w:color="auto"/>
              </w:divBdr>
            </w:div>
          </w:divsChild>
        </w:div>
        <w:div w:id="1332872025">
          <w:marLeft w:val="0"/>
          <w:marRight w:val="0"/>
          <w:marTop w:val="0"/>
          <w:marBottom w:val="0"/>
          <w:divBdr>
            <w:top w:val="none" w:sz="0" w:space="0" w:color="auto"/>
            <w:left w:val="none" w:sz="0" w:space="0" w:color="auto"/>
            <w:bottom w:val="none" w:sz="0" w:space="0" w:color="auto"/>
            <w:right w:val="none" w:sz="0" w:space="0" w:color="auto"/>
          </w:divBdr>
        </w:div>
        <w:div w:id="1447315595">
          <w:marLeft w:val="0"/>
          <w:marRight w:val="0"/>
          <w:marTop w:val="0"/>
          <w:marBottom w:val="0"/>
          <w:divBdr>
            <w:top w:val="none" w:sz="0" w:space="0" w:color="auto"/>
            <w:left w:val="none" w:sz="0" w:space="0" w:color="auto"/>
            <w:bottom w:val="none" w:sz="0" w:space="0" w:color="auto"/>
            <w:right w:val="none" w:sz="0" w:space="0" w:color="auto"/>
          </w:divBdr>
        </w:div>
        <w:div w:id="1484009144">
          <w:marLeft w:val="0"/>
          <w:marRight w:val="0"/>
          <w:marTop w:val="0"/>
          <w:marBottom w:val="0"/>
          <w:divBdr>
            <w:top w:val="none" w:sz="0" w:space="0" w:color="auto"/>
            <w:left w:val="none" w:sz="0" w:space="0" w:color="auto"/>
            <w:bottom w:val="none" w:sz="0" w:space="0" w:color="auto"/>
            <w:right w:val="none" w:sz="0" w:space="0" w:color="auto"/>
          </w:divBdr>
        </w:div>
      </w:divsChild>
    </w:div>
    <w:div w:id="1620332918">
      <w:bodyDiv w:val="1"/>
      <w:marLeft w:val="0"/>
      <w:marRight w:val="0"/>
      <w:marTop w:val="0"/>
      <w:marBottom w:val="0"/>
      <w:divBdr>
        <w:top w:val="none" w:sz="0" w:space="0" w:color="auto"/>
        <w:left w:val="none" w:sz="0" w:space="0" w:color="auto"/>
        <w:bottom w:val="none" w:sz="0" w:space="0" w:color="auto"/>
        <w:right w:val="none" w:sz="0" w:space="0" w:color="auto"/>
      </w:divBdr>
    </w:div>
    <w:div w:id="1892842585">
      <w:bodyDiv w:val="1"/>
      <w:marLeft w:val="0"/>
      <w:marRight w:val="0"/>
      <w:marTop w:val="0"/>
      <w:marBottom w:val="0"/>
      <w:divBdr>
        <w:top w:val="none" w:sz="0" w:space="0" w:color="auto"/>
        <w:left w:val="none" w:sz="0" w:space="0" w:color="auto"/>
        <w:bottom w:val="none" w:sz="0" w:space="0" w:color="auto"/>
        <w:right w:val="none" w:sz="0" w:space="0" w:color="auto"/>
      </w:divBdr>
    </w:div>
    <w:div w:id="1957830105">
      <w:bodyDiv w:val="1"/>
      <w:marLeft w:val="0"/>
      <w:marRight w:val="0"/>
      <w:marTop w:val="0"/>
      <w:marBottom w:val="0"/>
      <w:divBdr>
        <w:top w:val="none" w:sz="0" w:space="0" w:color="auto"/>
        <w:left w:val="none" w:sz="0" w:space="0" w:color="auto"/>
        <w:bottom w:val="none" w:sz="0" w:space="0" w:color="auto"/>
        <w:right w:val="none" w:sz="0" w:space="0" w:color="auto"/>
      </w:divBdr>
    </w:div>
    <w:div w:id="19902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add88a4b00564120" /></Relationships>
</file>

<file path=word/_rels/footer1.xml.rels>&#65279;<?xml version="1.0" encoding="utf-8"?><Relationships xmlns="http://schemas.openxmlformats.org/package/2006/relationships"><Relationship Type="http://schemas.openxmlformats.org/officeDocument/2006/relationships/image" Target="/media/image5.png" Id="Rb5db076677ce44d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A0C83-5E9B-4F14-A6BF-98772CF505AF}">
  <ds:schemaRefs>
    <ds:schemaRef ds:uri="http://schemas.microsoft.com/office/infopath/2007/PartnerControls"/>
    <ds:schemaRef ds:uri="9d85dbaf-23eb-4e57-a637-93dcacc8b1a1"/>
    <ds:schemaRef ds:uri="http://purl.org/dc/elements/1.1/"/>
    <ds:schemaRef ds:uri="http://purl.org/dc/terms/"/>
    <ds:schemaRef ds:uri="http://schemas.microsoft.com/office/2006/documentManagement/types"/>
    <ds:schemaRef ds:uri="http://schemas.microsoft.com/office/2006/metadata/properties"/>
    <ds:schemaRef ds:uri="a6cb9e4b-f1d1-4245-83ec-6cad768d538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FFAF53-08FF-4E6B-B0FC-FCD803E6253F}">
  <ds:schemaRefs>
    <ds:schemaRef ds:uri="http://schemas.microsoft.com/sharepoint/v3/contenttype/forms"/>
  </ds:schemaRefs>
</ds:datastoreItem>
</file>

<file path=customXml/itemProps3.xml><?xml version="1.0" encoding="utf-8"?>
<ds:datastoreItem xmlns:ds="http://schemas.openxmlformats.org/officeDocument/2006/customXml" ds:itemID="{2E60A16F-E08F-4D11-B7C1-B6F8C705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1301C-973E-46DE-A6F3-07F6EAA200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8</revision>
  <lastPrinted>2020-03-18T22:21:00.0000000Z</lastPrinted>
  <dcterms:created xsi:type="dcterms:W3CDTF">2020-06-05T01:47:00.0000000Z</dcterms:created>
  <dcterms:modified xsi:type="dcterms:W3CDTF">2020-07-28T17:24:07.2473734Z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