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AA5F83" w:rsidR="005A79FE" w:rsidP="005A79FE" w:rsidRDefault="005A79FE" w14:paraId="21F87225" w14:textId="3066CD13">
      <w:pPr>
        <w:spacing w:line="276" w:lineRule="auto"/>
        <w:jc w:val="right"/>
        <w:rPr>
          <w:rFonts w:ascii="Arial" w:hAnsi="Arial" w:eastAsia="Calibri" w:cs="Arial"/>
          <w:b/>
          <w:sz w:val="22"/>
        </w:rPr>
      </w:pPr>
      <w:r w:rsidRPr="00AA5F83">
        <w:rPr>
          <w:rFonts w:ascii="Arial" w:hAnsi="Arial" w:eastAsia="Times New Roman" w:cs="Arial"/>
          <w:sz w:val="16"/>
          <w:szCs w:val="16"/>
          <w:lang w:eastAsia="es-ES"/>
        </w:rPr>
        <w:t>CCE-DES-FM-17</w:t>
      </w:r>
    </w:p>
    <w:p w:rsidRPr="00AA5F83" w:rsidR="00444243" w:rsidP="007C1938" w:rsidRDefault="00444243" w14:paraId="155D2BC7" w14:textId="77777777">
      <w:pPr>
        <w:jc w:val="both"/>
        <w:rPr>
          <w:rFonts w:ascii="Arial" w:hAnsi="Arial" w:eastAsia="Calibri" w:cs="Arial"/>
          <w:b/>
          <w:bCs/>
          <w:sz w:val="22"/>
        </w:rPr>
      </w:pPr>
    </w:p>
    <w:p w:rsidRPr="00AA5F83" w:rsidR="00B3470B" w:rsidP="007C1938" w:rsidRDefault="00B3470B" w14:paraId="39880B10" w14:textId="3E1060C5">
      <w:pPr>
        <w:jc w:val="both"/>
        <w:rPr>
          <w:rFonts w:ascii="Arial" w:hAnsi="Arial" w:eastAsia="Calibri" w:cs="Arial"/>
          <w:b/>
          <w:bCs/>
          <w:sz w:val="22"/>
        </w:rPr>
      </w:pPr>
      <w:r w:rsidRPr="00AA5F83">
        <w:rPr>
          <w:rFonts w:ascii="Arial" w:hAnsi="Arial" w:eastAsia="Calibri" w:cs="Arial"/>
          <w:b/>
          <w:bCs/>
          <w:sz w:val="22"/>
        </w:rPr>
        <w:t xml:space="preserve">DOCUMENTOS TIPO – Versión 2 – Factor de </w:t>
      </w:r>
      <w:r w:rsidRPr="00AA5F83" w:rsidR="00BD370E">
        <w:rPr>
          <w:rFonts w:ascii="Arial" w:hAnsi="Arial" w:eastAsia="Calibri" w:cs="Arial"/>
          <w:b/>
          <w:bCs/>
          <w:sz w:val="22"/>
        </w:rPr>
        <w:t>c</w:t>
      </w:r>
      <w:r w:rsidRPr="00AA5F83">
        <w:rPr>
          <w:rFonts w:ascii="Arial" w:hAnsi="Arial" w:eastAsia="Calibri" w:cs="Arial"/>
          <w:b/>
          <w:bCs/>
          <w:sz w:val="22"/>
        </w:rPr>
        <w:t xml:space="preserve">alidad – </w:t>
      </w:r>
      <w:r w:rsidRPr="00AA5F83" w:rsidR="00BD370E">
        <w:rPr>
          <w:rFonts w:ascii="Arial" w:hAnsi="Arial" w:eastAsia="Calibri" w:cs="Arial"/>
          <w:b/>
          <w:bCs/>
          <w:sz w:val="22"/>
        </w:rPr>
        <w:t>Inexistencia de topes</w:t>
      </w:r>
    </w:p>
    <w:p w:rsidRPr="00AA5F83" w:rsidR="00B3470B" w:rsidP="007C1938" w:rsidRDefault="00B3470B" w14:paraId="011F3F31" w14:textId="77777777">
      <w:pPr>
        <w:jc w:val="both"/>
        <w:rPr>
          <w:rFonts w:ascii="Arial" w:hAnsi="Arial" w:eastAsia="Calibri" w:cs="Arial"/>
          <w:b/>
          <w:bCs/>
          <w:sz w:val="20"/>
          <w:szCs w:val="20"/>
        </w:rPr>
      </w:pPr>
    </w:p>
    <w:p w:rsidRPr="003A6625" w:rsidR="003A6625" w:rsidP="003A6625" w:rsidRDefault="003A6625" w14:paraId="0E9D2DC8" w14:textId="4DFBB962">
      <w:pPr>
        <w:jc w:val="both"/>
        <w:rPr>
          <w:rFonts w:ascii="Arial" w:hAnsi="Arial" w:cs="Arial"/>
          <w:sz w:val="20"/>
          <w:szCs w:val="20"/>
        </w:rPr>
      </w:pPr>
      <w:r w:rsidRPr="00AA5F83">
        <w:rPr>
          <w:rFonts w:ascii="Arial" w:hAnsi="Arial" w:cs="Arial"/>
          <w:sz w:val="20"/>
          <w:szCs w:val="20"/>
        </w:rPr>
        <w:t xml:space="preserve">[…] </w:t>
      </w:r>
      <w:r w:rsidRPr="00F6018B" w:rsidR="00F6018B">
        <w:rPr>
          <w:rFonts w:ascii="Arial" w:hAnsi="Arial" w:cs="Arial"/>
          <w:sz w:val="20"/>
          <w:szCs w:val="20"/>
        </w:rPr>
        <w:t>la entidad no puede fijar discrecionalmente un número de meses que den lugar a otorgar todo el puntaje o defina cuántas cuadrillas de trabajo adicional se necesitan, o los perfiles de los integrantes de la cuadrilla, sino que depende del proponente definir el tiempo y número de cuadrillas de trabajo adicional que está en capacidad de ofertar, lo cual reduce el riesgo de direccionamiento, fomenta la competencia e incrementa las condiciones de calidad para la entidad.</w:t>
      </w:r>
    </w:p>
    <w:p w:rsidRPr="00AA5F83" w:rsidR="00B3470B" w:rsidRDefault="003A6625" w14:paraId="3EF170B3" w14:textId="4AF898F2">
      <w:pPr>
        <w:jc w:val="both"/>
        <w:rPr>
          <w:rFonts w:ascii="Arial" w:hAnsi="Arial" w:cs="Arial"/>
          <w:sz w:val="20"/>
          <w:szCs w:val="20"/>
        </w:rPr>
      </w:pPr>
      <w:r w:rsidRPr="003A6625">
        <w:rPr>
          <w:rFonts w:ascii="Arial" w:hAnsi="Arial" w:cs="Arial"/>
          <w:sz w:val="20"/>
          <w:szCs w:val="20"/>
        </w:rPr>
        <w:tab/>
      </w:r>
    </w:p>
    <w:p w:rsidRPr="00AA5F83" w:rsidR="00B3470B" w:rsidP="007C1938" w:rsidRDefault="00B3470B" w14:paraId="2A9467E7" w14:textId="497945B5">
      <w:pPr>
        <w:jc w:val="both"/>
        <w:rPr>
          <w:rFonts w:ascii="Arial" w:hAnsi="Arial" w:eastAsia="Calibri" w:cs="Arial"/>
          <w:b/>
          <w:bCs/>
          <w:sz w:val="22"/>
        </w:rPr>
      </w:pPr>
      <w:r w:rsidRPr="00AA5F83">
        <w:rPr>
          <w:rFonts w:ascii="Arial" w:hAnsi="Arial" w:eastAsia="Calibri" w:cs="Arial"/>
          <w:b/>
          <w:bCs/>
          <w:sz w:val="22"/>
        </w:rPr>
        <w:t xml:space="preserve">DOCUMENTOS TIPO – Versión 2 – </w:t>
      </w:r>
      <w:r w:rsidRPr="00AA5F83" w:rsidR="00BD370E">
        <w:rPr>
          <w:rFonts w:ascii="Arial" w:hAnsi="Arial" w:eastAsia="Calibri" w:cs="Arial"/>
          <w:b/>
          <w:bCs/>
          <w:sz w:val="22"/>
        </w:rPr>
        <w:t xml:space="preserve">Factor de calidad – </w:t>
      </w:r>
      <w:r w:rsidRPr="00AA5F83" w:rsidR="003A6625">
        <w:rPr>
          <w:rFonts w:ascii="Arial" w:hAnsi="Arial" w:eastAsia="Calibri" w:cs="Arial"/>
          <w:b/>
          <w:bCs/>
          <w:sz w:val="22"/>
        </w:rPr>
        <w:t xml:space="preserve">Puntaje – </w:t>
      </w:r>
      <w:r w:rsidRPr="003A6625" w:rsidR="003A6625">
        <w:rPr>
          <w:rFonts w:ascii="Arial" w:hAnsi="Arial" w:eastAsia="Calibri" w:cs="Arial"/>
          <w:b/>
          <w:bCs/>
          <w:sz w:val="22"/>
        </w:rPr>
        <w:t>Formato 7E – Cuadrillas de trabajo adicional</w:t>
      </w:r>
      <w:r w:rsidRPr="00AA5F83" w:rsidR="003A6625">
        <w:rPr>
          <w:rFonts w:ascii="Arial" w:hAnsi="Arial" w:eastAsia="Calibri" w:cs="Arial"/>
          <w:b/>
          <w:bCs/>
          <w:sz w:val="22"/>
        </w:rPr>
        <w:t xml:space="preserve"> – </w:t>
      </w:r>
      <w:r w:rsidRPr="003A6625" w:rsidR="003A6625">
        <w:rPr>
          <w:rFonts w:ascii="Arial" w:hAnsi="Arial" w:eastAsia="Calibri" w:cs="Arial"/>
          <w:b/>
          <w:bCs/>
          <w:sz w:val="22"/>
        </w:rPr>
        <w:t>Formato 7F – Mantenimiento adicional</w:t>
      </w:r>
    </w:p>
    <w:p w:rsidRPr="00AA5F83" w:rsidR="005A79FE" w:rsidP="007C1938" w:rsidRDefault="005A79FE" w14:paraId="150FB183" w14:textId="26819170">
      <w:pPr>
        <w:pStyle w:val="Prrafodelista"/>
        <w:ind w:left="0"/>
        <w:jc w:val="both"/>
        <w:rPr>
          <w:rFonts w:ascii="Arial" w:hAnsi="Arial" w:eastAsia="Calibri" w:cs="Arial"/>
          <w:sz w:val="20"/>
          <w:szCs w:val="20"/>
        </w:rPr>
      </w:pPr>
    </w:p>
    <w:p w:rsidRPr="00F6018B" w:rsidR="00F6018B" w:rsidP="00F6018B" w:rsidRDefault="00F6018B" w14:paraId="04EB1D6A" w14:textId="77777777">
      <w:pPr>
        <w:spacing w:after="120"/>
        <w:jc w:val="both"/>
        <w:rPr>
          <w:rFonts w:ascii="Arial" w:hAnsi="Arial" w:cs="Arial"/>
          <w:sz w:val="20"/>
          <w:szCs w:val="20"/>
        </w:rPr>
      </w:pPr>
      <w:r w:rsidRPr="00F6018B">
        <w:rPr>
          <w:rFonts w:ascii="Arial" w:hAnsi="Arial" w:cs="Arial"/>
          <w:sz w:val="20"/>
          <w:szCs w:val="20"/>
        </w:rPr>
        <w:t>Es importante mencionar que para otorgar el puntaje basta con diligenciar el «Formato 7E – Cuadrillas de trabajo adicional» o el «Formato 7F – Mantenimiento adicional», dependiendo de los criterios de evaluación seleccionados por la entidad. En efecto, al diligenciarlos el proponente indica bajo la gravedad de juramento cuál es el compromiso que asume, ya sea el tiempo de garantía adicional, el número de cuadrillas de trabajo adicional o el tiempo que realizará el mantenimiento rutinario.</w:t>
      </w:r>
    </w:p>
    <w:p w:rsidRPr="00F6018B" w:rsidR="00F6018B" w:rsidP="00F6018B" w:rsidRDefault="00F6018B" w14:paraId="4AD41432" w14:textId="199634F0">
      <w:pPr>
        <w:spacing w:after="120"/>
        <w:jc w:val="both"/>
        <w:rPr>
          <w:rFonts w:ascii="Arial" w:hAnsi="Arial" w:cs="Arial"/>
          <w:sz w:val="20"/>
          <w:szCs w:val="20"/>
        </w:rPr>
      </w:pPr>
      <w:r w:rsidRPr="00F6018B">
        <w:rPr>
          <w:rFonts w:ascii="Arial" w:hAnsi="Arial" w:cs="Arial"/>
          <w:sz w:val="20"/>
          <w:szCs w:val="20"/>
        </w:rPr>
        <w:t>Los ofrecimientos que se hagan mediante la presentación de estos formatos dependen únicamente de las capacidades propias de cada oferente; ya que se realizará dependiendo de su infraestructura y capacidad financiera y la labor de análisis de las condiciones bajo las cuales presentará su propuesta, además que cumplir estos ofrecimientos constituye una obligación contractual, con todas las consecuencias que ello apareja, de manera que los proponentes ofertarán lo que puedan cumplir.</w:t>
      </w:r>
    </w:p>
    <w:p w:rsidRPr="00AA5F83" w:rsidR="00B3470B" w:rsidP="007C1938" w:rsidRDefault="00B3470B" w14:paraId="53B54975" w14:textId="77777777">
      <w:pPr>
        <w:pStyle w:val="Prrafodelista"/>
        <w:ind w:left="0"/>
        <w:jc w:val="both"/>
        <w:rPr>
          <w:rFonts w:ascii="Arial" w:hAnsi="Arial" w:eastAsia="Calibri" w:cs="Arial"/>
          <w:sz w:val="20"/>
          <w:szCs w:val="20"/>
        </w:rPr>
      </w:pPr>
    </w:p>
    <w:p w:rsidRPr="00AA5F83" w:rsidR="005A79FE" w:rsidP="627B3677" w:rsidRDefault="00444243" w14:paraId="7D182EA0" w14:textId="46655908">
      <w:pPr>
        <w:pStyle w:val="Normal"/>
        <w:jc w:val="both"/>
        <w:rPr>
          <w:rFonts w:ascii="Arial" w:hAnsi="Arial" w:eastAsia="Calibri" w:cs="Arial"/>
          <w:b w:val="1"/>
          <w:bCs w:val="1"/>
          <w:sz w:val="22"/>
          <w:szCs w:val="22"/>
        </w:rPr>
      </w:pPr>
      <w:r w:rsidRPr="627B3677" w:rsidR="00444243">
        <w:rPr>
          <w:rFonts w:ascii="Arial" w:hAnsi="Arial" w:eastAsia="Calibri" w:cs="Arial"/>
          <w:b w:val="1"/>
          <w:bCs w:val="1"/>
          <w:sz w:val="22"/>
          <w:szCs w:val="22"/>
        </w:rPr>
        <w:t>ACTA DE CIERRE</w:t>
      </w:r>
      <w:r w:rsidRPr="627B3677" w:rsidR="00B3470B">
        <w:rPr>
          <w:rFonts w:ascii="Arial" w:hAnsi="Arial" w:eastAsia="Calibri" w:cs="Arial"/>
          <w:b w:val="1"/>
          <w:bCs w:val="1"/>
          <w:sz w:val="22"/>
          <w:szCs w:val="22"/>
        </w:rPr>
        <w:t xml:space="preserve"> –</w:t>
      </w:r>
      <w:r w:rsidRPr="627B3677" w:rsidR="00444243">
        <w:rPr>
          <w:rFonts w:ascii="Arial" w:hAnsi="Arial" w:eastAsia="Calibri" w:cs="Arial"/>
          <w:b w:val="1"/>
          <w:bCs w:val="1"/>
          <w:sz w:val="22"/>
          <w:szCs w:val="22"/>
        </w:rPr>
        <w:t xml:space="preserve"> Normativa –</w:t>
      </w:r>
      <w:r w:rsidRPr="627B3677" w:rsidR="00B3470B">
        <w:rPr>
          <w:rFonts w:ascii="Arial" w:hAnsi="Arial" w:eastAsia="Calibri" w:cs="Arial"/>
          <w:b w:val="1"/>
          <w:bCs w:val="1"/>
          <w:sz w:val="22"/>
          <w:szCs w:val="22"/>
        </w:rPr>
        <w:t xml:space="preserve"> </w:t>
      </w:r>
      <w:r w:rsidRPr="627B3677" w:rsidR="00444243">
        <w:rPr>
          <w:rFonts w:ascii="Arial" w:hAnsi="Arial" w:eastAsia="Calibri" w:cs="Arial"/>
          <w:b w:val="1"/>
          <w:bCs w:val="1"/>
          <w:sz w:val="22"/>
          <w:szCs w:val="22"/>
        </w:rPr>
        <w:t>Contenido</w:t>
      </w:r>
      <w:r w:rsidRPr="627B3677" w:rsidR="00B3470B">
        <w:rPr>
          <w:rFonts w:ascii="Arial" w:hAnsi="Arial" w:eastAsia="Calibri" w:cs="Arial"/>
          <w:b w:val="1"/>
          <w:bCs w:val="1"/>
          <w:sz w:val="22"/>
          <w:szCs w:val="22"/>
        </w:rPr>
        <w:t xml:space="preserve"> – Información </w:t>
      </w:r>
      <w:r w:rsidRPr="627B3677" w:rsidR="6D90B557">
        <w:rPr>
          <w:rFonts w:ascii="Arial" w:hAnsi="Arial" w:eastAsia="Calibri" w:cs="Arial"/>
          <w:b w:val="1"/>
          <w:bCs w:val="1"/>
          <w:sz w:val="22"/>
          <w:szCs w:val="22"/>
        </w:rPr>
        <w:t>–</w:t>
      </w:r>
      <w:r w:rsidRPr="627B3677" w:rsidR="00B3470B">
        <w:rPr>
          <w:rFonts w:ascii="Arial" w:hAnsi="Arial" w:eastAsia="Calibri" w:cs="Arial"/>
          <w:b w:val="1"/>
          <w:bCs w:val="1"/>
          <w:sz w:val="22"/>
          <w:szCs w:val="22"/>
        </w:rPr>
        <w:t xml:space="preserve"> </w:t>
      </w:r>
      <w:r w:rsidRPr="627B3677" w:rsidR="59AB8E50">
        <w:rPr>
          <w:rFonts w:ascii="Arial" w:hAnsi="Arial" w:eastAsia="Calibri" w:cs="Arial"/>
          <w:b w:val="1"/>
          <w:bCs w:val="1"/>
          <w:sz w:val="22"/>
          <w:szCs w:val="22"/>
        </w:rPr>
        <w:t>O</w:t>
      </w:r>
      <w:r w:rsidRPr="627B3677" w:rsidR="00B3470B">
        <w:rPr>
          <w:rFonts w:ascii="Arial" w:hAnsi="Arial" w:eastAsia="Calibri" w:cs="Arial"/>
          <w:b w:val="1"/>
          <w:bCs w:val="1"/>
          <w:sz w:val="22"/>
          <w:szCs w:val="22"/>
        </w:rPr>
        <w:t>frecimientos ofertados</w:t>
      </w:r>
    </w:p>
    <w:p w:rsidRPr="00AA5F83" w:rsidR="005A79FE" w:rsidP="00183FAB" w:rsidRDefault="005A79FE" w14:paraId="0F0E69D5" w14:textId="2B1CE874">
      <w:pPr>
        <w:rPr>
          <w:rFonts w:ascii="Arial" w:hAnsi="Arial" w:cs="Arial"/>
          <w:sz w:val="22"/>
        </w:rPr>
      </w:pPr>
    </w:p>
    <w:p w:rsidRPr="00AA5F83" w:rsidR="007F3A6D" w:rsidP="005A79FE" w:rsidRDefault="00F6018B" w14:paraId="1670A059" w14:textId="227CCBEE">
      <w:pPr>
        <w:jc w:val="both"/>
        <w:rPr>
          <w:rFonts w:ascii="Arial" w:hAnsi="Arial" w:cs="Arial"/>
          <w:sz w:val="22"/>
        </w:rPr>
      </w:pPr>
      <w:r w:rsidRPr="00F6018B">
        <w:rPr>
          <w:rFonts w:ascii="Arial" w:hAnsi="Arial" w:cs="Arial"/>
          <w:bCs/>
          <w:sz w:val="20"/>
          <w:szCs w:val="20"/>
        </w:rPr>
        <w:t xml:space="preserve">Si bien el Estatuto General de Contratación de la Administración Pública, ni el Decreto 1082 de 2015 regulan el contenido del acta de cierre, en los Documentos Tipo de infraestructura de transporte sí se obliga a las entidades a registrar el cierre del proceso y, además, elaborar un documento que contenga los datos más relevantes de las ofertas, entre estos, se pueden incluir los ofrecimientos que realicen los proponentes en materia de «factor de calidad», si así lo considera procedente la entidad. Vale recordar que los Documentos Tipo de infraestructura de transporte son de obligatorio cumplimiento. </w:t>
      </w:r>
    </w:p>
    <w:p w:rsidR="00BE039B" w:rsidP="00BE039B" w:rsidRDefault="00BE039B" w14:paraId="1690D322" w14:textId="687F5C39">
      <w:pPr>
        <w:autoSpaceDE w:val="0"/>
        <w:autoSpaceDN w:val="0"/>
        <w:adjustRightInd w:val="0"/>
        <w:rPr>
          <w:rFonts w:ascii="Arial" w:hAnsi="Arial" w:cs="Arial"/>
          <w:color w:val="000000"/>
          <w:szCs w:val="24"/>
          <w:lang w:val="es-CO"/>
        </w:rPr>
      </w:pPr>
      <w:bookmarkStart w:name="_Hlk41387837" w:id="0"/>
    </w:p>
    <w:p w:rsidRPr="00BE039B" w:rsidR="001C1A3E" w:rsidP="00BE039B" w:rsidRDefault="001C1A3E" w14:paraId="7901E35A" w14:textId="77777777">
      <w:pPr>
        <w:autoSpaceDE w:val="0"/>
        <w:autoSpaceDN w:val="0"/>
        <w:adjustRightInd w:val="0"/>
        <w:rPr>
          <w:rFonts w:ascii="Arial" w:hAnsi="Arial" w:cs="Arial"/>
          <w:color w:val="000000"/>
          <w:szCs w:val="24"/>
          <w:lang w:val="es-CO"/>
        </w:rPr>
      </w:pPr>
    </w:p>
    <w:p w:rsidRPr="00BE039B" w:rsidR="00BE039B" w:rsidP="00BE039B" w:rsidRDefault="00BE039B" w14:paraId="4D008137" w14:textId="53D45BEF">
      <w:pPr>
        <w:autoSpaceDE w:val="0"/>
        <w:autoSpaceDN w:val="0"/>
        <w:adjustRightInd w:val="0"/>
        <w:rPr>
          <w:rFonts w:ascii="Arial" w:hAnsi="Arial" w:cs="Arial"/>
          <w:color w:val="000000"/>
          <w:sz w:val="22"/>
          <w:lang w:val="es-CO"/>
        </w:rPr>
      </w:pPr>
      <w:r w:rsidRPr="00BE039B">
        <w:rPr>
          <w:rFonts w:ascii="Arial" w:hAnsi="Arial" w:cs="Arial"/>
          <w:color w:val="000000"/>
          <w:sz w:val="22"/>
          <w:lang w:val="es-CO"/>
        </w:rPr>
        <w:t xml:space="preserve">Bogotá D.C., </w:t>
      </w:r>
      <w:r w:rsidRPr="00BE039B">
        <w:rPr>
          <w:rFonts w:ascii="Arial" w:hAnsi="Arial" w:cs="Arial"/>
          <w:b/>
          <w:bCs/>
          <w:color w:val="000000"/>
          <w:sz w:val="22"/>
          <w:lang w:val="es-CO"/>
        </w:rPr>
        <w:t xml:space="preserve">23/06/2020 Hora 11:53:49s </w:t>
      </w:r>
    </w:p>
    <w:p w:rsidRPr="00AA5F83" w:rsidR="005A79FE" w:rsidP="00BE039B" w:rsidRDefault="00BE039B" w14:paraId="59F5087C" w14:textId="2769E7DC">
      <w:pPr>
        <w:jc w:val="right"/>
        <w:rPr>
          <w:rFonts w:ascii="Arial" w:hAnsi="Arial" w:cs="Arial"/>
          <w:b/>
          <w:bCs/>
          <w:sz w:val="22"/>
        </w:rPr>
      </w:pPr>
      <w:r w:rsidRPr="00BE039B">
        <w:rPr>
          <w:rFonts w:ascii="Arial" w:hAnsi="Arial" w:cs="Arial"/>
          <w:b/>
          <w:bCs/>
          <w:color w:val="000000"/>
          <w:sz w:val="22"/>
          <w:lang w:val="es-CO"/>
        </w:rPr>
        <w:t>N° Radicado: 2202013000005269</w:t>
      </w:r>
    </w:p>
    <w:p w:rsidRPr="00AA5F83" w:rsidR="005A79FE" w:rsidP="005A79FE" w:rsidRDefault="005A79FE" w14:paraId="2853595C" w14:textId="77777777">
      <w:pPr>
        <w:tabs>
          <w:tab w:val="left" w:pos="3374"/>
        </w:tabs>
        <w:rPr>
          <w:rFonts w:ascii="Arial" w:hAnsi="Arial" w:eastAsia="Calibri" w:cs="Arial"/>
          <w:sz w:val="22"/>
        </w:rPr>
      </w:pPr>
      <w:r w:rsidRPr="00AA5F83">
        <w:rPr>
          <w:rFonts w:ascii="Arial" w:hAnsi="Arial" w:eastAsia="Calibri" w:cs="Arial"/>
          <w:sz w:val="22"/>
        </w:rPr>
        <w:tab/>
      </w:r>
    </w:p>
    <w:p w:rsidRPr="00AA5F83" w:rsidR="005A79FE" w:rsidP="005A79FE" w:rsidRDefault="005A79FE" w14:paraId="2097EFDF" w14:textId="0F4C0045">
      <w:pPr>
        <w:rPr>
          <w:rFonts w:ascii="Arial" w:hAnsi="Arial" w:eastAsia="Calibri" w:cs="Arial"/>
          <w:sz w:val="22"/>
        </w:rPr>
      </w:pPr>
      <w:r w:rsidRPr="00AA5F83">
        <w:rPr>
          <w:rFonts w:ascii="Arial" w:hAnsi="Arial" w:eastAsia="Calibri" w:cs="Arial"/>
          <w:sz w:val="22"/>
        </w:rPr>
        <w:t>Señor</w:t>
      </w:r>
    </w:p>
    <w:p w:rsidRPr="00AA5F83" w:rsidR="00E95FAF" w:rsidP="005A79FE" w:rsidRDefault="00E95FAF" w14:paraId="65343C56" w14:textId="20C02D54">
      <w:pPr>
        <w:rPr>
          <w:rFonts w:ascii="Arial" w:hAnsi="Arial" w:eastAsia="Calibri" w:cs="Arial"/>
          <w:b/>
          <w:sz w:val="22"/>
        </w:rPr>
      </w:pPr>
      <w:r w:rsidRPr="00AA5F83">
        <w:rPr>
          <w:rFonts w:ascii="Arial" w:hAnsi="Arial" w:eastAsia="Calibri" w:cs="Arial"/>
          <w:b/>
          <w:sz w:val="22"/>
        </w:rPr>
        <w:t>Hernán Barrios Castillo</w:t>
      </w:r>
    </w:p>
    <w:p w:rsidRPr="00AA5F83" w:rsidR="005A79FE" w:rsidP="005A79FE" w:rsidRDefault="00E95FAF" w14:paraId="699E9CB9" w14:textId="68584952">
      <w:pPr>
        <w:rPr>
          <w:rFonts w:ascii="Arial" w:hAnsi="Arial" w:eastAsia="Calibri" w:cs="Arial"/>
          <w:sz w:val="22"/>
        </w:rPr>
      </w:pPr>
      <w:r w:rsidRPr="00AA5F83">
        <w:rPr>
          <w:rFonts w:ascii="Arial" w:hAnsi="Arial" w:eastAsia="Calibri" w:cs="Arial"/>
          <w:sz w:val="22"/>
        </w:rPr>
        <w:t>Valledupar, Cesar</w:t>
      </w:r>
    </w:p>
    <w:p w:rsidRPr="00AA5F83" w:rsidR="00070C0F" w:rsidP="005A79FE" w:rsidRDefault="00070C0F" w14:paraId="53114DF5" w14:textId="77777777">
      <w:pPr>
        <w:jc w:val="center"/>
        <w:rPr>
          <w:rFonts w:ascii="Arial" w:hAnsi="Arial" w:eastAsia="Calibri" w:cs="Arial"/>
          <w:b/>
          <w:sz w:val="22"/>
        </w:rPr>
      </w:pPr>
    </w:p>
    <w:p w:rsidRPr="00AA5F83" w:rsidR="005A79FE" w:rsidP="005A79FE" w:rsidRDefault="005A79FE" w14:paraId="04EF5647" w14:textId="3D204AF9">
      <w:pPr>
        <w:jc w:val="center"/>
        <w:rPr>
          <w:rFonts w:ascii="Arial" w:hAnsi="Arial" w:eastAsia="Calibri" w:cs="Arial"/>
          <w:b/>
          <w:sz w:val="22"/>
        </w:rPr>
      </w:pPr>
      <w:r w:rsidRPr="00AA5F83">
        <w:rPr>
          <w:rFonts w:ascii="Arial" w:hAnsi="Arial" w:eastAsia="Calibri" w:cs="Arial"/>
          <w:b/>
          <w:sz w:val="22"/>
        </w:rPr>
        <w:t xml:space="preserve">Concepto C ─ </w:t>
      </w:r>
      <w:r w:rsidRPr="00AA5F83" w:rsidR="00E95FAF">
        <w:rPr>
          <w:rFonts w:ascii="Arial" w:hAnsi="Arial" w:eastAsia="Calibri" w:cs="Arial"/>
          <w:b/>
          <w:sz w:val="22"/>
        </w:rPr>
        <w:t>340</w:t>
      </w:r>
      <w:r w:rsidRPr="00AA5F83">
        <w:rPr>
          <w:rFonts w:ascii="Arial" w:hAnsi="Arial" w:eastAsia="Calibri" w:cs="Arial"/>
          <w:b/>
          <w:sz w:val="22"/>
        </w:rPr>
        <w:t xml:space="preserve"> de 2020</w:t>
      </w:r>
    </w:p>
    <w:p w:rsidRPr="00AA5F83" w:rsidR="005A79FE" w:rsidP="005A79FE" w:rsidRDefault="005A79FE" w14:paraId="6CCD98F0" w14:textId="01088209">
      <w:pPr>
        <w:rPr>
          <w:rFonts w:ascii="Arial" w:hAnsi="Arial" w:eastAsia="Calibri" w:cs="Arial"/>
          <w:sz w:val="22"/>
        </w:rPr>
      </w:pPr>
    </w:p>
    <w:p w:rsidRPr="00AA5F83" w:rsidR="00444243" w:rsidP="005A79FE" w:rsidRDefault="00444243" w14:paraId="3E713E0E"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AA5F83" w:rsidR="00D02F87" w:rsidTr="00B2659E" w14:paraId="21699201" w14:textId="77777777">
        <w:tc>
          <w:tcPr>
            <w:tcW w:w="2689" w:type="dxa"/>
            <w:hideMark/>
          </w:tcPr>
          <w:p w:rsidRPr="00AA5F83" w:rsidR="005A79FE" w:rsidP="00B2659E" w:rsidRDefault="005A79FE" w14:paraId="26712367" w14:textId="77777777">
            <w:pPr>
              <w:rPr>
                <w:rFonts w:ascii="Arial" w:hAnsi="Arial" w:eastAsia="Calibri" w:cs="Arial"/>
                <w:sz w:val="22"/>
              </w:rPr>
            </w:pPr>
            <w:r w:rsidRPr="00AA5F83">
              <w:rPr>
                <w:rFonts w:ascii="Arial" w:hAnsi="Arial" w:eastAsia="Calibri" w:cs="Arial"/>
                <w:b/>
                <w:sz w:val="22"/>
              </w:rPr>
              <w:lastRenderedPageBreak/>
              <w:t>Temas:</w:t>
            </w:r>
            <w:r w:rsidRPr="00AA5F83">
              <w:rPr>
                <w:rFonts w:ascii="Arial" w:hAnsi="Arial" w:eastAsia="Calibri" w:cs="Arial"/>
                <w:sz w:val="22"/>
              </w:rPr>
              <w:t xml:space="preserve">           </w:t>
            </w:r>
          </w:p>
          <w:p w:rsidRPr="00AA5F83" w:rsidR="00C71150" w:rsidP="00B2659E" w:rsidRDefault="00C71150" w14:paraId="41BDCDEE" w14:textId="77777777">
            <w:pPr>
              <w:rPr>
                <w:rFonts w:ascii="Arial" w:hAnsi="Arial" w:eastAsia="Calibri" w:cs="Arial"/>
                <w:sz w:val="22"/>
              </w:rPr>
            </w:pPr>
          </w:p>
          <w:p w:rsidRPr="00AA5F83" w:rsidR="005A79FE" w:rsidP="00B2659E" w:rsidRDefault="005A79FE" w14:paraId="5D67F5C4" w14:textId="0220DCA8">
            <w:pPr>
              <w:rPr>
                <w:rFonts w:ascii="Arial" w:hAnsi="Arial" w:eastAsia="Calibri" w:cs="Arial"/>
                <w:sz w:val="22"/>
              </w:rPr>
            </w:pPr>
            <w:r w:rsidRPr="00AA5F83">
              <w:rPr>
                <w:rFonts w:ascii="Arial" w:hAnsi="Arial" w:eastAsia="Calibri" w:cs="Arial"/>
                <w:sz w:val="22"/>
              </w:rPr>
              <w:t xml:space="preserve">                           </w:t>
            </w:r>
          </w:p>
        </w:tc>
        <w:tc>
          <w:tcPr>
            <w:tcW w:w="6237" w:type="dxa"/>
            <w:hideMark/>
          </w:tcPr>
          <w:p w:rsidRPr="00444243" w:rsidR="00444243" w:rsidP="00444243" w:rsidRDefault="00444243" w14:paraId="390016C5" w14:textId="19666E10">
            <w:pPr>
              <w:jc w:val="both"/>
              <w:rPr>
                <w:rFonts w:ascii="Arial" w:hAnsi="Arial" w:eastAsia="Calibri" w:cs="Arial"/>
                <w:b/>
                <w:bCs/>
                <w:sz w:val="22"/>
              </w:rPr>
            </w:pPr>
            <w:r w:rsidRPr="00444243">
              <w:rPr>
                <w:rFonts w:ascii="Arial" w:hAnsi="Arial" w:eastAsia="Calibri" w:cs="Arial"/>
                <w:sz w:val="22"/>
              </w:rPr>
              <w:t>DOCUMENTOS TIPO – Versión 2 – Factor de calidad – Inexistencia de topes</w:t>
            </w:r>
            <w:r w:rsidRPr="00AA5F83">
              <w:rPr>
                <w:rFonts w:ascii="Arial" w:hAnsi="Arial" w:eastAsia="Calibri" w:cs="Arial"/>
                <w:sz w:val="22"/>
              </w:rPr>
              <w:t xml:space="preserve"> / DOCUMENTOS TIPO – Versión 2 – Factor de calidad – Puntaje – </w:t>
            </w:r>
            <w:r w:rsidRPr="003A6625" w:rsidR="003A6625">
              <w:rPr>
                <w:rFonts w:ascii="Arial" w:hAnsi="Arial" w:eastAsia="Calibri" w:cs="Arial"/>
                <w:sz w:val="22"/>
              </w:rPr>
              <w:t>Formato 7E – Cuadrillas de trabajo adicional</w:t>
            </w:r>
            <w:r w:rsidRPr="00AA5F83">
              <w:rPr>
                <w:rFonts w:ascii="Arial" w:hAnsi="Arial" w:eastAsia="Calibri" w:cs="Arial"/>
                <w:sz w:val="22"/>
              </w:rPr>
              <w:t xml:space="preserve"> – </w:t>
            </w:r>
            <w:r w:rsidRPr="003A6625" w:rsidR="003A6625">
              <w:rPr>
                <w:rFonts w:ascii="Arial" w:hAnsi="Arial" w:eastAsia="Calibri" w:cs="Arial"/>
                <w:sz w:val="22"/>
              </w:rPr>
              <w:t>Formato 7F – Mantenimiento adicional</w:t>
            </w:r>
            <w:r w:rsidRPr="00AA5F83">
              <w:rPr>
                <w:rFonts w:ascii="Arial" w:hAnsi="Arial" w:eastAsia="Calibri" w:cs="Arial"/>
                <w:sz w:val="22"/>
              </w:rPr>
              <w:t xml:space="preserve"> / ACTA DE CIERRE – Normativa – Contenido – Información de ofrecimientos ofertados</w:t>
            </w:r>
          </w:p>
          <w:p w:rsidRPr="00AA5F83" w:rsidR="005A79FE" w:rsidP="00B2659E" w:rsidRDefault="005A79FE" w14:paraId="784C47C0" w14:textId="2CD66C28">
            <w:pPr>
              <w:jc w:val="both"/>
              <w:rPr>
                <w:rFonts w:ascii="Arial" w:hAnsi="Arial" w:eastAsia="Calibri" w:cs="Arial"/>
                <w:sz w:val="22"/>
              </w:rPr>
            </w:pPr>
          </w:p>
        </w:tc>
      </w:tr>
      <w:tr w:rsidRPr="00AA5F83" w:rsidR="00D02F87" w:rsidTr="00B2659E" w14:paraId="7C0A7D18" w14:textId="77777777">
        <w:tc>
          <w:tcPr>
            <w:tcW w:w="2689" w:type="dxa"/>
          </w:tcPr>
          <w:p w:rsidRPr="00AA5F83" w:rsidR="005A79FE" w:rsidP="00B2659E" w:rsidRDefault="005A79FE" w14:paraId="6A12F093" w14:textId="77777777">
            <w:pPr>
              <w:rPr>
                <w:rFonts w:ascii="Arial" w:hAnsi="Arial" w:eastAsia="Calibri" w:cs="Arial"/>
                <w:b/>
                <w:sz w:val="22"/>
              </w:rPr>
            </w:pPr>
            <w:r w:rsidRPr="00AA5F83">
              <w:rPr>
                <w:rFonts w:ascii="Arial" w:hAnsi="Arial" w:eastAsia="Calibri" w:cs="Arial"/>
                <w:b/>
                <w:sz w:val="22"/>
              </w:rPr>
              <w:t>Radicación:</w:t>
            </w:r>
            <w:r w:rsidRPr="00AA5F83">
              <w:rPr>
                <w:rFonts w:ascii="Arial" w:hAnsi="Arial" w:eastAsia="Calibri" w:cs="Arial"/>
                <w:sz w:val="22"/>
              </w:rPr>
              <w:t xml:space="preserve">                              </w:t>
            </w:r>
          </w:p>
        </w:tc>
        <w:tc>
          <w:tcPr>
            <w:tcW w:w="6237" w:type="dxa"/>
          </w:tcPr>
          <w:p w:rsidRPr="00AA5F83" w:rsidR="005A79FE" w:rsidP="00B2659E" w:rsidRDefault="005A79FE" w14:paraId="73A42ACA" w14:textId="14113587">
            <w:pPr>
              <w:jc w:val="both"/>
              <w:rPr>
                <w:rFonts w:ascii="Arial" w:hAnsi="Arial" w:eastAsia="Calibri" w:cs="Arial"/>
                <w:sz w:val="22"/>
              </w:rPr>
            </w:pPr>
            <w:r w:rsidRPr="00AA5F83">
              <w:rPr>
                <w:rFonts w:ascii="Arial" w:hAnsi="Arial" w:eastAsia="Calibri" w:cs="Arial"/>
                <w:sz w:val="22"/>
              </w:rPr>
              <w:t>Respuesta a consulta # 4202</w:t>
            </w:r>
            <w:r w:rsidRPr="00AA5F83" w:rsidR="005568D6">
              <w:rPr>
                <w:rFonts w:ascii="Arial" w:hAnsi="Arial" w:eastAsia="Calibri" w:cs="Arial"/>
                <w:sz w:val="22"/>
              </w:rPr>
              <w:t>01300000</w:t>
            </w:r>
            <w:r w:rsidRPr="00AA5F83" w:rsidR="00E95FAF">
              <w:rPr>
                <w:rFonts w:ascii="Arial" w:hAnsi="Arial" w:eastAsia="Calibri" w:cs="Arial"/>
                <w:sz w:val="22"/>
              </w:rPr>
              <w:t>4099</w:t>
            </w:r>
          </w:p>
        </w:tc>
      </w:tr>
    </w:tbl>
    <w:p w:rsidRPr="00AA5F83" w:rsidR="005A79FE" w:rsidP="005A79FE" w:rsidRDefault="005A79FE" w14:paraId="489DB6E6" w14:textId="09992BFD">
      <w:pPr>
        <w:rPr>
          <w:rFonts w:ascii="Arial" w:hAnsi="Arial" w:eastAsia="Calibri" w:cs="Arial"/>
          <w:sz w:val="22"/>
        </w:rPr>
      </w:pPr>
    </w:p>
    <w:p w:rsidRPr="00AA5F83" w:rsidR="00444243" w:rsidP="005A79FE" w:rsidRDefault="00444243" w14:paraId="54394A06" w14:textId="77777777">
      <w:pPr>
        <w:rPr>
          <w:rFonts w:ascii="Arial" w:hAnsi="Arial" w:eastAsia="Calibri" w:cs="Arial"/>
          <w:sz w:val="22"/>
        </w:rPr>
      </w:pPr>
    </w:p>
    <w:p w:rsidRPr="00AA5F83" w:rsidR="00564E86" w:rsidP="005A79FE" w:rsidRDefault="00564E86" w14:paraId="6BC22FAA" w14:textId="77777777">
      <w:pPr>
        <w:rPr>
          <w:rFonts w:ascii="Arial" w:hAnsi="Arial" w:eastAsia="Calibri" w:cs="Arial"/>
          <w:sz w:val="22"/>
        </w:rPr>
      </w:pPr>
    </w:p>
    <w:p w:rsidRPr="00AA5F83" w:rsidR="005A79FE" w:rsidP="005A79FE" w:rsidRDefault="005A79FE" w14:paraId="657E7EE7" w14:textId="35899512">
      <w:pPr>
        <w:rPr>
          <w:rFonts w:ascii="Arial" w:hAnsi="Arial" w:eastAsia="Calibri" w:cs="Arial"/>
          <w:sz w:val="22"/>
        </w:rPr>
      </w:pPr>
      <w:r w:rsidRPr="00AA5F83">
        <w:rPr>
          <w:rFonts w:ascii="Arial" w:hAnsi="Arial" w:eastAsia="Calibri" w:cs="Arial"/>
          <w:sz w:val="22"/>
        </w:rPr>
        <w:t>Estimado señor</w:t>
      </w:r>
      <w:r w:rsidRPr="00AA5F83" w:rsidR="005568D6">
        <w:rPr>
          <w:rFonts w:ascii="Arial" w:hAnsi="Arial" w:eastAsia="Calibri" w:cs="Arial"/>
          <w:sz w:val="22"/>
        </w:rPr>
        <w:t xml:space="preserve"> </w:t>
      </w:r>
      <w:r w:rsidRPr="00AA5F83" w:rsidR="00E95FAF">
        <w:rPr>
          <w:rFonts w:ascii="Arial" w:hAnsi="Arial" w:eastAsia="Calibri" w:cs="Arial"/>
          <w:sz w:val="22"/>
        </w:rPr>
        <w:t>Barrios</w:t>
      </w:r>
      <w:r w:rsidRPr="00AA5F83">
        <w:rPr>
          <w:rFonts w:ascii="Arial" w:hAnsi="Arial" w:eastAsia="Calibri" w:cs="Arial"/>
          <w:sz w:val="22"/>
        </w:rPr>
        <w:t>,</w:t>
      </w:r>
    </w:p>
    <w:p w:rsidRPr="00AA5F83" w:rsidR="005A79FE" w:rsidP="005A79FE" w:rsidRDefault="005A79FE" w14:paraId="40D74C98" w14:textId="34D99C1A">
      <w:pPr>
        <w:rPr>
          <w:rFonts w:ascii="Arial" w:hAnsi="Arial" w:eastAsia="Calibri" w:cs="Arial"/>
          <w:sz w:val="22"/>
        </w:rPr>
      </w:pPr>
    </w:p>
    <w:p w:rsidRPr="00AA5F83" w:rsidR="00444243" w:rsidP="005A79FE" w:rsidRDefault="00444243" w14:paraId="1B4655B5" w14:textId="77777777">
      <w:pPr>
        <w:rPr>
          <w:rFonts w:ascii="Arial" w:hAnsi="Arial" w:eastAsia="Calibri" w:cs="Arial"/>
          <w:sz w:val="22"/>
        </w:rPr>
      </w:pPr>
    </w:p>
    <w:p w:rsidRPr="00AA5F83" w:rsidR="005A79FE" w:rsidP="007F6530" w:rsidRDefault="005A79FE" w14:paraId="4FA02A8B" w14:textId="05D90CE1">
      <w:pPr>
        <w:spacing w:before="120" w:after="120" w:line="276" w:lineRule="auto"/>
        <w:ind w:right="49"/>
        <w:jc w:val="both"/>
        <w:rPr>
          <w:rFonts w:ascii="Arial" w:hAnsi="Arial" w:eastAsia="Calibri" w:cs="Arial"/>
          <w:sz w:val="22"/>
        </w:rPr>
      </w:pPr>
      <w:r w:rsidRPr="00AA5F83">
        <w:rPr>
          <w:rFonts w:ascii="Arial" w:hAnsi="Arial" w:eastAsia="Calibri" w:cs="Arial"/>
          <w:sz w:val="22"/>
        </w:rPr>
        <w:t xml:space="preserve">La Agencia Nacional de Contratación Pública </w:t>
      </w:r>
      <w:r w:rsidRPr="00AA5F83" w:rsidR="00183FAB">
        <w:rPr>
          <w:rFonts w:ascii="Arial" w:hAnsi="Arial" w:eastAsia="Calibri" w:cs="Arial"/>
          <w:sz w:val="22"/>
        </w:rPr>
        <w:t xml:space="preserve">– </w:t>
      </w:r>
      <w:r w:rsidRPr="00AA5F83">
        <w:rPr>
          <w:rFonts w:ascii="Arial" w:hAnsi="Arial" w:eastAsia="Calibri" w:cs="Arial"/>
          <w:sz w:val="22"/>
        </w:rPr>
        <w:t>Colombia Compra Eficiente responde su consulta del</w:t>
      </w:r>
      <w:r w:rsidRPr="00AA5F83" w:rsidR="005568D6">
        <w:rPr>
          <w:rFonts w:ascii="Arial" w:hAnsi="Arial" w:eastAsia="Calibri" w:cs="Arial"/>
          <w:sz w:val="22"/>
        </w:rPr>
        <w:t xml:space="preserve"> </w:t>
      </w:r>
      <w:r w:rsidRPr="00AA5F83" w:rsidR="00E95FAF">
        <w:rPr>
          <w:rFonts w:ascii="Arial" w:hAnsi="Arial" w:eastAsia="Calibri" w:cs="Arial"/>
          <w:sz w:val="22"/>
        </w:rPr>
        <w:t>23</w:t>
      </w:r>
      <w:r w:rsidRPr="00AA5F83">
        <w:rPr>
          <w:rFonts w:ascii="Arial" w:hAnsi="Arial" w:eastAsia="Calibri" w:cs="Arial"/>
          <w:sz w:val="22"/>
        </w:rPr>
        <w:t xml:space="preserve"> de </w:t>
      </w:r>
      <w:r w:rsidRPr="00AA5F83" w:rsidR="00E95FAF">
        <w:rPr>
          <w:rFonts w:ascii="Arial" w:hAnsi="Arial" w:eastAsia="Calibri" w:cs="Arial"/>
          <w:sz w:val="22"/>
        </w:rPr>
        <w:t>mayo</w:t>
      </w:r>
      <w:r w:rsidRPr="00AA5F83">
        <w:rPr>
          <w:rFonts w:ascii="Arial" w:hAnsi="Arial" w:eastAsia="Calibri" w:cs="Arial"/>
          <w:sz w:val="22"/>
        </w:rPr>
        <w:t xml:space="preserve"> de 20</w:t>
      </w:r>
      <w:r w:rsidRPr="00AA5F83" w:rsidR="005568D6">
        <w:rPr>
          <w:rFonts w:ascii="Arial" w:hAnsi="Arial" w:eastAsia="Calibri" w:cs="Arial"/>
          <w:sz w:val="22"/>
        </w:rPr>
        <w:t>20</w:t>
      </w:r>
      <w:r w:rsidRPr="00AA5F83">
        <w:rPr>
          <w:rFonts w:ascii="Arial" w:hAnsi="Arial" w:eastAsia="Calibri" w:cs="Arial"/>
          <w:sz w:val="22"/>
        </w:rPr>
        <w:t xml:space="preserve">, en ejercicio de la competencia otorgada por el numeral 8 del artículo 11 y el numeral 5 del artículo 3 del Decreto Ley 4170 de 2011. </w:t>
      </w:r>
    </w:p>
    <w:p w:rsidRPr="00AA5F83" w:rsidR="00564E86" w:rsidP="007C1938" w:rsidRDefault="00564E86" w14:paraId="3420EF96" w14:textId="77777777">
      <w:pPr>
        <w:ind w:right="49"/>
        <w:jc w:val="both"/>
        <w:rPr>
          <w:rFonts w:ascii="Arial" w:hAnsi="Arial" w:eastAsia="Calibri" w:cs="Arial"/>
          <w:sz w:val="22"/>
        </w:rPr>
      </w:pPr>
    </w:p>
    <w:p w:rsidRPr="00AA5F83" w:rsidR="005A79FE" w:rsidP="007C1938" w:rsidRDefault="005A79FE" w14:paraId="138D5B25" w14:textId="6E9412B9">
      <w:pPr>
        <w:pStyle w:val="Prrafodelista"/>
        <w:numPr>
          <w:ilvl w:val="0"/>
          <w:numId w:val="6"/>
        </w:numPr>
        <w:tabs>
          <w:tab w:val="left" w:pos="284"/>
        </w:tabs>
        <w:ind w:left="0" w:firstLine="0"/>
        <w:jc w:val="both"/>
        <w:rPr>
          <w:rFonts w:ascii="Arial" w:hAnsi="Arial" w:eastAsia="Calibri" w:cs="Arial"/>
          <w:b/>
          <w:sz w:val="22"/>
        </w:rPr>
      </w:pPr>
      <w:r w:rsidRPr="00AA5F83">
        <w:rPr>
          <w:rFonts w:ascii="Arial" w:hAnsi="Arial" w:eastAsia="Calibri" w:cs="Arial"/>
          <w:b/>
          <w:sz w:val="22"/>
        </w:rPr>
        <w:t xml:space="preserve">Problemas planteados </w:t>
      </w:r>
    </w:p>
    <w:p w:rsidRPr="00AA5F83" w:rsidR="00564E86" w:rsidP="007C1938" w:rsidRDefault="00564E86" w14:paraId="419F3D1E" w14:textId="77777777">
      <w:pPr>
        <w:pStyle w:val="Prrafodelista"/>
        <w:tabs>
          <w:tab w:val="left" w:pos="284"/>
        </w:tabs>
        <w:ind w:left="0"/>
        <w:jc w:val="both"/>
        <w:rPr>
          <w:rFonts w:ascii="Arial" w:hAnsi="Arial" w:eastAsia="Calibri" w:cs="Arial"/>
          <w:b/>
          <w:sz w:val="22"/>
        </w:rPr>
      </w:pPr>
    </w:p>
    <w:p w:rsidRPr="00AA5F83" w:rsidR="000F4099" w:rsidP="007F6530" w:rsidRDefault="005A79FE" w14:paraId="6291DEC8" w14:textId="72B1AB98">
      <w:pPr>
        <w:tabs>
          <w:tab w:val="left" w:pos="426"/>
        </w:tabs>
        <w:spacing w:before="120" w:after="120" w:line="276" w:lineRule="auto"/>
        <w:jc w:val="both"/>
        <w:rPr>
          <w:rFonts w:ascii="Arial" w:hAnsi="Arial" w:eastAsia="Calibri" w:cs="Arial"/>
          <w:sz w:val="22"/>
        </w:rPr>
      </w:pPr>
      <w:r w:rsidRPr="00AA5F83">
        <w:rPr>
          <w:rFonts w:ascii="Arial" w:hAnsi="Arial" w:eastAsia="Calibri" w:cs="Arial"/>
          <w:sz w:val="22"/>
        </w:rPr>
        <w:t>Usted realiza la siguiente pregunt</w:t>
      </w:r>
      <w:r w:rsidRPr="00AA5F83" w:rsidR="00E95FAF">
        <w:rPr>
          <w:rFonts w:ascii="Arial" w:hAnsi="Arial" w:eastAsia="Calibri" w:cs="Arial"/>
          <w:sz w:val="22"/>
        </w:rPr>
        <w:t>a</w:t>
      </w:r>
      <w:r w:rsidRPr="00AA5F83" w:rsidR="005568D6">
        <w:rPr>
          <w:rFonts w:ascii="Arial" w:hAnsi="Arial" w:eastAsia="Calibri" w:cs="Arial"/>
          <w:sz w:val="22"/>
        </w:rPr>
        <w:t xml:space="preserve"> relacionada con </w:t>
      </w:r>
      <w:r w:rsidRPr="00AA5F83" w:rsidR="004575B7">
        <w:rPr>
          <w:rFonts w:ascii="Arial" w:hAnsi="Arial" w:eastAsia="Calibri" w:cs="Arial"/>
          <w:sz w:val="22"/>
        </w:rPr>
        <w:t>«</w:t>
      </w:r>
      <w:r w:rsidRPr="00AA5F83" w:rsidR="005568D6">
        <w:rPr>
          <w:rFonts w:ascii="Arial" w:hAnsi="Arial" w:eastAsia="Calibri" w:cs="Arial"/>
          <w:sz w:val="22"/>
        </w:rPr>
        <w:t>el</w:t>
      </w:r>
      <w:r w:rsidRPr="00AA5F83" w:rsidR="004575B7">
        <w:rPr>
          <w:rFonts w:ascii="Arial" w:hAnsi="Arial" w:eastAsia="Calibri" w:cs="Arial"/>
          <w:sz w:val="22"/>
        </w:rPr>
        <w:t xml:space="preserve"> factor de calidad» de los  </w:t>
      </w:r>
      <w:r w:rsidRPr="00AA5F83" w:rsidR="005568D6">
        <w:rPr>
          <w:rFonts w:ascii="Arial" w:hAnsi="Arial" w:eastAsia="Calibri" w:cs="Arial"/>
          <w:sz w:val="22"/>
        </w:rPr>
        <w:t xml:space="preserve"> Documento Tipo de </w:t>
      </w:r>
      <w:r w:rsidR="00475E3C">
        <w:rPr>
          <w:rFonts w:ascii="Arial" w:hAnsi="Arial" w:eastAsia="Calibri" w:cs="Arial"/>
          <w:sz w:val="22"/>
        </w:rPr>
        <w:t>l</w:t>
      </w:r>
      <w:r w:rsidRPr="00AA5F83" w:rsidR="005568D6">
        <w:rPr>
          <w:rFonts w:ascii="Arial" w:hAnsi="Arial" w:eastAsia="Calibri" w:cs="Arial"/>
          <w:sz w:val="22"/>
        </w:rPr>
        <w:t xml:space="preserve">icitación </w:t>
      </w:r>
      <w:r w:rsidR="00475E3C">
        <w:rPr>
          <w:rFonts w:ascii="Arial" w:hAnsi="Arial" w:eastAsia="Calibri" w:cs="Arial"/>
          <w:sz w:val="22"/>
        </w:rPr>
        <w:t>p</w:t>
      </w:r>
      <w:r w:rsidRPr="00AA5F83" w:rsidR="005568D6">
        <w:rPr>
          <w:rFonts w:ascii="Arial" w:hAnsi="Arial" w:eastAsia="Calibri" w:cs="Arial"/>
          <w:sz w:val="22"/>
        </w:rPr>
        <w:t xml:space="preserve">ública de </w:t>
      </w:r>
      <w:r w:rsidR="00475E3C">
        <w:rPr>
          <w:rFonts w:ascii="Arial" w:hAnsi="Arial" w:eastAsia="Calibri" w:cs="Arial"/>
          <w:sz w:val="22"/>
        </w:rPr>
        <w:t>i</w:t>
      </w:r>
      <w:r w:rsidRPr="00AA5F83" w:rsidR="005568D6">
        <w:rPr>
          <w:rFonts w:ascii="Arial" w:hAnsi="Arial" w:eastAsia="Calibri" w:cs="Arial"/>
          <w:sz w:val="22"/>
        </w:rPr>
        <w:t xml:space="preserve">nfraestructura de </w:t>
      </w:r>
      <w:r w:rsidR="00475E3C">
        <w:rPr>
          <w:rFonts w:ascii="Arial" w:hAnsi="Arial" w:eastAsia="Calibri" w:cs="Arial"/>
          <w:sz w:val="22"/>
        </w:rPr>
        <w:t>t</w:t>
      </w:r>
      <w:r w:rsidRPr="00AA5F83" w:rsidR="005568D6">
        <w:rPr>
          <w:rFonts w:ascii="Arial" w:hAnsi="Arial" w:eastAsia="Calibri" w:cs="Arial"/>
          <w:sz w:val="22"/>
        </w:rPr>
        <w:t xml:space="preserve">ransporte – </w:t>
      </w:r>
      <w:r w:rsidR="00475E3C">
        <w:rPr>
          <w:rFonts w:ascii="Arial" w:hAnsi="Arial" w:eastAsia="Calibri" w:cs="Arial"/>
          <w:sz w:val="22"/>
        </w:rPr>
        <w:t>v</w:t>
      </w:r>
      <w:r w:rsidRPr="00AA5F83" w:rsidR="005568D6">
        <w:rPr>
          <w:rFonts w:ascii="Arial" w:hAnsi="Arial" w:eastAsia="Calibri" w:cs="Arial"/>
          <w:sz w:val="22"/>
        </w:rPr>
        <w:t>ersión 2</w:t>
      </w:r>
      <w:r w:rsidRPr="00AA5F83">
        <w:rPr>
          <w:rFonts w:ascii="Arial" w:hAnsi="Arial" w:eastAsia="Calibri" w:cs="Arial"/>
          <w:sz w:val="22"/>
        </w:rPr>
        <w:t xml:space="preserve">: </w:t>
      </w:r>
      <w:r w:rsidRPr="00AA5F83" w:rsidR="004575B7">
        <w:rPr>
          <w:rFonts w:ascii="Arial" w:hAnsi="Arial" w:eastAsia="Calibri" w:cs="Arial"/>
          <w:sz w:val="22"/>
        </w:rPr>
        <w:t xml:space="preserve"> «</w:t>
      </w:r>
      <w:r w:rsidRPr="00AA5F83" w:rsidR="00E95FAF">
        <w:rPr>
          <w:rFonts w:ascii="Arial" w:hAnsi="Arial" w:eastAsia="Calibri" w:cs="Arial"/>
          <w:sz w:val="22"/>
        </w:rPr>
        <w:t>Cuando en un proceso de selección de licitación de obra pública de infraestructura de transporte (versión 2) la entidad dentro del factor de calidad solicite para la obtención de puntaje por este criterio CUADRILLAS A TRABAJO Y COSTO ADICIONAL DEL CONTRATISTA y MANTENIMIENTO ADICIONAL, teniendo en cuenta que son aspectos relevantes es necesario que en el  CIERRE DEL PROCESO Y APERTURA DE OFERTAS quede consignado en el acta de cierre el número de cuadrillas de trabajo adicional que el proponente se comprometa a ofertar y vincular a la obra a costo y riesgo propio y el número de meses durante los cuales se compromete a realizar por su propia cuenta y riesgo las labores de mantenimiento rutinario de la obra construida</w:t>
      </w:r>
      <w:r w:rsidRPr="00AA5F83" w:rsidR="004575B7">
        <w:rPr>
          <w:rFonts w:ascii="Arial" w:hAnsi="Arial" w:eastAsia="Calibri" w:cs="Arial"/>
          <w:sz w:val="22"/>
        </w:rPr>
        <w:t>»</w:t>
      </w:r>
      <w:r w:rsidRPr="00AA5F83" w:rsidR="00E95FAF">
        <w:rPr>
          <w:rFonts w:ascii="Arial" w:hAnsi="Arial" w:eastAsia="Calibri" w:cs="Arial"/>
          <w:sz w:val="22"/>
        </w:rPr>
        <w:t>.</w:t>
      </w:r>
    </w:p>
    <w:p w:rsidRPr="00AA5F83" w:rsidR="00564E86" w:rsidP="007C1938" w:rsidRDefault="00564E86" w14:paraId="124A236F" w14:textId="77777777">
      <w:pPr>
        <w:tabs>
          <w:tab w:val="left" w:pos="426"/>
        </w:tabs>
        <w:jc w:val="both"/>
        <w:rPr>
          <w:rFonts w:ascii="Arial" w:hAnsi="Arial" w:eastAsia="Calibri" w:cs="Arial"/>
          <w:sz w:val="22"/>
        </w:rPr>
      </w:pPr>
    </w:p>
    <w:p w:rsidRPr="00AA5F83" w:rsidR="000F4099" w:rsidP="007C1938" w:rsidRDefault="000F4099" w14:paraId="0B80A1A4" w14:textId="413E1EA2">
      <w:pPr>
        <w:pStyle w:val="Prrafodelista"/>
        <w:numPr>
          <w:ilvl w:val="0"/>
          <w:numId w:val="6"/>
        </w:numPr>
        <w:tabs>
          <w:tab w:val="left" w:pos="426"/>
        </w:tabs>
        <w:ind w:left="0" w:firstLine="0"/>
        <w:jc w:val="both"/>
        <w:rPr>
          <w:rFonts w:ascii="Arial" w:hAnsi="Arial" w:eastAsia="Calibri" w:cs="Arial"/>
          <w:b/>
          <w:sz w:val="22"/>
        </w:rPr>
      </w:pPr>
      <w:r w:rsidRPr="00AA5F83">
        <w:rPr>
          <w:rFonts w:ascii="Arial" w:hAnsi="Arial" w:eastAsia="Calibri" w:cs="Arial"/>
          <w:b/>
          <w:sz w:val="22"/>
        </w:rPr>
        <w:t>C</w:t>
      </w:r>
      <w:r w:rsidRPr="00AA5F83" w:rsidR="005A79FE">
        <w:rPr>
          <w:rFonts w:ascii="Arial" w:hAnsi="Arial" w:eastAsia="Calibri" w:cs="Arial"/>
          <w:b/>
          <w:sz w:val="22"/>
        </w:rPr>
        <w:t>onsideraciones</w:t>
      </w:r>
    </w:p>
    <w:p w:rsidRPr="00AA5F83" w:rsidR="00564E86" w:rsidP="007C1938" w:rsidRDefault="00564E86" w14:paraId="072A075E" w14:textId="77777777">
      <w:pPr>
        <w:pStyle w:val="Prrafodelista"/>
        <w:tabs>
          <w:tab w:val="left" w:pos="426"/>
        </w:tabs>
        <w:ind w:left="0"/>
        <w:jc w:val="both"/>
        <w:rPr>
          <w:rFonts w:ascii="Arial" w:hAnsi="Arial" w:eastAsia="Calibri" w:cs="Arial"/>
          <w:b/>
          <w:sz w:val="22"/>
        </w:rPr>
      </w:pPr>
    </w:p>
    <w:p w:rsidRPr="00AA5F83" w:rsidR="008216A2" w:rsidP="006A1667" w:rsidRDefault="000F4099" w14:paraId="5A88CA0D" w14:textId="10EFEC10">
      <w:pPr>
        <w:tabs>
          <w:tab w:val="left" w:pos="426"/>
        </w:tabs>
        <w:spacing w:before="120" w:line="276" w:lineRule="auto"/>
        <w:jc w:val="both"/>
        <w:rPr>
          <w:rFonts w:ascii="Arial" w:hAnsi="Arial" w:cs="Arial"/>
          <w:sz w:val="22"/>
        </w:rPr>
      </w:pPr>
      <w:r w:rsidRPr="00AA5F83">
        <w:rPr>
          <w:rFonts w:ascii="Arial" w:hAnsi="Arial" w:eastAsia="Calibri" w:cs="Arial"/>
          <w:bCs/>
          <w:sz w:val="22"/>
        </w:rPr>
        <w:t>Para desarrollar los problemas planteados se estudiará</w:t>
      </w:r>
      <w:r w:rsidRPr="00AA5F83" w:rsidR="00183FAB">
        <w:rPr>
          <w:rFonts w:ascii="Arial" w:hAnsi="Arial" w:eastAsia="Calibri" w:cs="Arial"/>
          <w:bCs/>
          <w:sz w:val="22"/>
        </w:rPr>
        <w:t>,</w:t>
      </w:r>
      <w:r w:rsidRPr="00AA5F83">
        <w:rPr>
          <w:rFonts w:ascii="Arial" w:hAnsi="Arial" w:eastAsia="Calibri" w:cs="Arial"/>
          <w:bCs/>
          <w:sz w:val="22"/>
        </w:rPr>
        <w:t xml:space="preserve"> en primer lugar, las características principales de los factores de calidad que fueron incluidos en los Documentos Tipo de </w:t>
      </w:r>
      <w:r w:rsidRPr="00AA5F83" w:rsidR="00BD370E">
        <w:rPr>
          <w:rFonts w:ascii="Arial" w:hAnsi="Arial" w:eastAsia="Calibri" w:cs="Arial"/>
          <w:bCs/>
          <w:sz w:val="22"/>
        </w:rPr>
        <w:t>l</w:t>
      </w:r>
      <w:r w:rsidRPr="00AA5F83">
        <w:rPr>
          <w:rFonts w:ascii="Arial" w:hAnsi="Arial" w:eastAsia="Calibri" w:cs="Arial"/>
          <w:bCs/>
          <w:sz w:val="22"/>
        </w:rPr>
        <w:t xml:space="preserve">icitación </w:t>
      </w:r>
      <w:r w:rsidRPr="00AA5F83" w:rsidR="00BD370E">
        <w:rPr>
          <w:rFonts w:ascii="Arial" w:hAnsi="Arial" w:eastAsia="Calibri" w:cs="Arial"/>
          <w:bCs/>
          <w:sz w:val="22"/>
        </w:rPr>
        <w:t>p</w:t>
      </w:r>
      <w:r w:rsidRPr="00AA5F83">
        <w:rPr>
          <w:rFonts w:ascii="Arial" w:hAnsi="Arial" w:eastAsia="Calibri" w:cs="Arial"/>
          <w:bCs/>
          <w:sz w:val="22"/>
        </w:rPr>
        <w:t>ública de</w:t>
      </w:r>
      <w:r w:rsidRPr="00AA5F83" w:rsidR="00183FAB">
        <w:rPr>
          <w:rFonts w:ascii="Arial" w:hAnsi="Arial" w:eastAsia="Calibri" w:cs="Arial"/>
          <w:bCs/>
          <w:sz w:val="22"/>
        </w:rPr>
        <w:t xml:space="preserve"> obra de</w:t>
      </w:r>
      <w:r w:rsidRPr="00AA5F83">
        <w:rPr>
          <w:rFonts w:ascii="Arial" w:hAnsi="Arial" w:eastAsia="Calibri" w:cs="Arial"/>
          <w:bCs/>
          <w:sz w:val="22"/>
        </w:rPr>
        <w:t xml:space="preserve"> </w:t>
      </w:r>
      <w:r w:rsidRPr="00AA5F83" w:rsidR="00183FAB">
        <w:rPr>
          <w:rFonts w:ascii="Arial" w:hAnsi="Arial" w:eastAsia="Calibri" w:cs="Arial"/>
          <w:bCs/>
          <w:sz w:val="22"/>
        </w:rPr>
        <w:t>i</w:t>
      </w:r>
      <w:r w:rsidRPr="00AA5F83">
        <w:rPr>
          <w:rFonts w:ascii="Arial" w:hAnsi="Arial" w:eastAsia="Calibri" w:cs="Arial"/>
          <w:bCs/>
          <w:sz w:val="22"/>
        </w:rPr>
        <w:t xml:space="preserve">nfraestructura </w:t>
      </w:r>
      <w:r w:rsidRPr="00AA5F83" w:rsidR="00183FAB">
        <w:rPr>
          <w:rFonts w:ascii="Arial" w:hAnsi="Arial" w:eastAsia="Calibri" w:cs="Arial"/>
          <w:bCs/>
          <w:sz w:val="22"/>
        </w:rPr>
        <w:t xml:space="preserve">de transporte </w:t>
      </w:r>
      <w:r w:rsidRPr="00AA5F83" w:rsidR="00183FAB">
        <w:rPr>
          <w:rFonts w:ascii="Arial" w:hAnsi="Arial" w:cs="Arial"/>
          <w:sz w:val="22"/>
        </w:rPr>
        <w:t>–</w:t>
      </w:r>
      <w:r w:rsidRPr="00AA5F83">
        <w:rPr>
          <w:rFonts w:ascii="Arial" w:hAnsi="Arial" w:cs="Arial"/>
          <w:sz w:val="22"/>
        </w:rPr>
        <w:t xml:space="preserve"> </w:t>
      </w:r>
      <w:r w:rsidR="00475E3C">
        <w:rPr>
          <w:rFonts w:ascii="Arial" w:hAnsi="Arial" w:cs="Arial"/>
          <w:sz w:val="22"/>
        </w:rPr>
        <w:t>v</w:t>
      </w:r>
      <w:r w:rsidRPr="00AA5F83">
        <w:rPr>
          <w:rFonts w:ascii="Arial" w:hAnsi="Arial" w:cs="Arial"/>
          <w:sz w:val="22"/>
        </w:rPr>
        <w:t>ersión 2; en segundo lugar, se explicará cómo se debe entender el mantenimiento rutinario</w:t>
      </w:r>
      <w:r w:rsidRPr="00AA5F83" w:rsidR="00183FAB">
        <w:rPr>
          <w:rFonts w:ascii="Arial" w:hAnsi="Arial" w:cs="Arial"/>
          <w:sz w:val="22"/>
        </w:rPr>
        <w:t>;</w:t>
      </w:r>
      <w:r w:rsidRPr="00AA5F83">
        <w:rPr>
          <w:rFonts w:ascii="Arial" w:hAnsi="Arial" w:cs="Arial"/>
          <w:sz w:val="22"/>
        </w:rPr>
        <w:t xml:space="preserve"> y</w:t>
      </w:r>
      <w:r w:rsidRPr="00AA5F83" w:rsidR="00183FAB">
        <w:rPr>
          <w:rFonts w:ascii="Arial" w:hAnsi="Arial" w:cs="Arial"/>
          <w:sz w:val="22"/>
        </w:rPr>
        <w:t>,</w:t>
      </w:r>
      <w:r w:rsidRPr="00AA5F83">
        <w:rPr>
          <w:rFonts w:ascii="Arial" w:hAnsi="Arial" w:cs="Arial"/>
          <w:sz w:val="22"/>
        </w:rPr>
        <w:t xml:space="preserve"> finalmente, se explicará </w:t>
      </w:r>
      <w:r w:rsidRPr="00AA5F83" w:rsidR="008216A2">
        <w:rPr>
          <w:rFonts w:ascii="Arial" w:hAnsi="Arial" w:cs="Arial"/>
          <w:sz w:val="22"/>
        </w:rPr>
        <w:t xml:space="preserve">qué información debe contener el acta de cierre de un </w:t>
      </w:r>
      <w:r w:rsidRPr="00AA5F83" w:rsidR="00BD370E">
        <w:rPr>
          <w:rFonts w:ascii="Arial" w:hAnsi="Arial" w:cs="Arial"/>
          <w:sz w:val="22"/>
        </w:rPr>
        <w:t>p</w:t>
      </w:r>
      <w:r w:rsidRPr="00AA5F83" w:rsidR="008216A2">
        <w:rPr>
          <w:rFonts w:ascii="Arial" w:hAnsi="Arial" w:cs="Arial"/>
          <w:sz w:val="22"/>
        </w:rPr>
        <w:t xml:space="preserve">roceso de </w:t>
      </w:r>
      <w:r w:rsidR="00475E3C">
        <w:rPr>
          <w:rFonts w:ascii="Arial" w:hAnsi="Arial" w:cs="Arial"/>
          <w:sz w:val="22"/>
        </w:rPr>
        <w:t>selección</w:t>
      </w:r>
      <w:r w:rsidRPr="00AA5F83" w:rsidR="008216A2">
        <w:rPr>
          <w:rFonts w:ascii="Arial" w:hAnsi="Arial" w:cs="Arial"/>
          <w:sz w:val="22"/>
        </w:rPr>
        <w:t xml:space="preserve">. </w:t>
      </w:r>
    </w:p>
    <w:p w:rsidR="00564E86" w:rsidP="007C1938" w:rsidRDefault="00564E86" w14:paraId="64A5E153" w14:textId="7814EDA9">
      <w:pPr>
        <w:tabs>
          <w:tab w:val="left" w:pos="426"/>
        </w:tabs>
        <w:spacing w:line="276" w:lineRule="auto"/>
        <w:jc w:val="both"/>
        <w:rPr>
          <w:rFonts w:ascii="Arial" w:hAnsi="Arial" w:cs="Arial"/>
          <w:sz w:val="22"/>
        </w:rPr>
      </w:pPr>
    </w:p>
    <w:p w:rsidRPr="00AA5F83" w:rsidR="00AA5F83" w:rsidP="007C1938" w:rsidRDefault="00AA5F83" w14:paraId="55EE748A" w14:textId="77777777">
      <w:pPr>
        <w:tabs>
          <w:tab w:val="left" w:pos="426"/>
        </w:tabs>
        <w:spacing w:line="276" w:lineRule="auto"/>
        <w:jc w:val="both"/>
        <w:rPr>
          <w:rFonts w:ascii="Arial" w:hAnsi="Arial" w:cs="Arial"/>
          <w:sz w:val="22"/>
        </w:rPr>
      </w:pPr>
    </w:p>
    <w:p w:rsidRPr="00AA5F83" w:rsidR="008216A2" w:rsidP="007C1938" w:rsidRDefault="008216A2" w14:paraId="48982F6F" w14:textId="35A06C70">
      <w:pPr>
        <w:tabs>
          <w:tab w:val="left" w:pos="426"/>
        </w:tabs>
        <w:spacing w:line="276" w:lineRule="auto"/>
        <w:jc w:val="both"/>
        <w:rPr>
          <w:rFonts w:ascii="Arial" w:hAnsi="Arial" w:cs="Arial"/>
          <w:b/>
          <w:bCs/>
          <w:sz w:val="22"/>
        </w:rPr>
      </w:pPr>
      <w:r w:rsidRPr="00AA5F83">
        <w:rPr>
          <w:rFonts w:ascii="Arial" w:hAnsi="Arial" w:cs="Arial"/>
          <w:b/>
          <w:bCs/>
          <w:sz w:val="22"/>
        </w:rPr>
        <w:lastRenderedPageBreak/>
        <w:t>2.1 Factor de calidad</w:t>
      </w:r>
      <w:r w:rsidRPr="00AA5F83" w:rsidR="00183FAB">
        <w:rPr>
          <w:rFonts w:ascii="Arial" w:hAnsi="Arial" w:cs="Arial"/>
          <w:b/>
          <w:bCs/>
          <w:sz w:val="22"/>
        </w:rPr>
        <w:t xml:space="preserve"> en los</w:t>
      </w:r>
      <w:r w:rsidRPr="00AA5F83" w:rsidR="00222586">
        <w:rPr>
          <w:rFonts w:ascii="Arial" w:hAnsi="Arial" w:cs="Arial"/>
          <w:b/>
          <w:bCs/>
          <w:sz w:val="22"/>
        </w:rPr>
        <w:t xml:space="preserve"> Docu</w:t>
      </w:r>
      <w:r w:rsidRPr="00AA5F83" w:rsidR="00D23F2E">
        <w:rPr>
          <w:rFonts w:ascii="Arial" w:hAnsi="Arial" w:cs="Arial"/>
          <w:b/>
          <w:bCs/>
          <w:sz w:val="22"/>
        </w:rPr>
        <w:t xml:space="preserve">mentos Tipo </w:t>
      </w:r>
      <w:r w:rsidRPr="00AA5F83" w:rsidR="00183FAB">
        <w:rPr>
          <w:rFonts w:ascii="Arial" w:hAnsi="Arial" w:eastAsia="Calibri" w:cs="Arial"/>
          <w:b/>
          <w:bCs/>
          <w:sz w:val="22"/>
        </w:rPr>
        <w:t xml:space="preserve">de </w:t>
      </w:r>
      <w:r w:rsidRPr="00AA5F83" w:rsidR="00BD370E">
        <w:rPr>
          <w:rFonts w:ascii="Arial" w:hAnsi="Arial" w:eastAsia="Calibri" w:cs="Arial"/>
          <w:b/>
          <w:bCs/>
          <w:sz w:val="22"/>
        </w:rPr>
        <w:t>l</w:t>
      </w:r>
      <w:r w:rsidRPr="00AA5F83" w:rsidR="00183FAB">
        <w:rPr>
          <w:rFonts w:ascii="Arial" w:hAnsi="Arial" w:eastAsia="Calibri" w:cs="Arial"/>
          <w:b/>
          <w:bCs/>
          <w:sz w:val="22"/>
        </w:rPr>
        <w:t xml:space="preserve">icitación </w:t>
      </w:r>
      <w:r w:rsidRPr="00AA5F83" w:rsidR="00BD370E">
        <w:rPr>
          <w:rFonts w:ascii="Arial" w:hAnsi="Arial" w:eastAsia="Calibri" w:cs="Arial"/>
          <w:b/>
          <w:bCs/>
          <w:sz w:val="22"/>
        </w:rPr>
        <w:t>p</w:t>
      </w:r>
      <w:r w:rsidRPr="00AA5F83" w:rsidR="00183FAB">
        <w:rPr>
          <w:rFonts w:ascii="Arial" w:hAnsi="Arial" w:eastAsia="Calibri" w:cs="Arial"/>
          <w:b/>
          <w:bCs/>
          <w:sz w:val="22"/>
        </w:rPr>
        <w:t xml:space="preserve">ública de </w:t>
      </w:r>
      <w:r w:rsidRPr="00AA5F83" w:rsidR="00BD370E">
        <w:rPr>
          <w:rFonts w:ascii="Arial" w:hAnsi="Arial" w:eastAsia="Calibri" w:cs="Arial"/>
          <w:b/>
          <w:bCs/>
          <w:sz w:val="22"/>
        </w:rPr>
        <w:t>i</w:t>
      </w:r>
      <w:r w:rsidRPr="00AA5F83" w:rsidR="00183FAB">
        <w:rPr>
          <w:rFonts w:ascii="Arial" w:hAnsi="Arial" w:eastAsia="Calibri" w:cs="Arial"/>
          <w:b/>
          <w:bCs/>
          <w:sz w:val="22"/>
        </w:rPr>
        <w:t xml:space="preserve">nfraestructura de </w:t>
      </w:r>
      <w:r w:rsidRPr="00AA5F83" w:rsidR="00BD370E">
        <w:rPr>
          <w:rFonts w:ascii="Arial" w:hAnsi="Arial" w:eastAsia="Calibri" w:cs="Arial"/>
          <w:b/>
          <w:bCs/>
          <w:sz w:val="22"/>
        </w:rPr>
        <w:t>t</w:t>
      </w:r>
      <w:r w:rsidRPr="00AA5F83" w:rsidR="00183FAB">
        <w:rPr>
          <w:rFonts w:ascii="Arial" w:hAnsi="Arial" w:eastAsia="Calibri" w:cs="Arial"/>
          <w:b/>
          <w:bCs/>
          <w:sz w:val="22"/>
        </w:rPr>
        <w:t>ransporte</w:t>
      </w:r>
      <w:r w:rsidRPr="00AA5F83" w:rsidR="00183FAB">
        <w:rPr>
          <w:rFonts w:ascii="Arial" w:hAnsi="Arial" w:cs="Arial"/>
          <w:b/>
          <w:bCs/>
          <w:sz w:val="22"/>
        </w:rPr>
        <w:t xml:space="preserve"> – </w:t>
      </w:r>
      <w:r w:rsidRPr="00AA5F83" w:rsidR="00D23F2E">
        <w:rPr>
          <w:rFonts w:ascii="Arial" w:hAnsi="Arial" w:cs="Arial"/>
          <w:b/>
          <w:bCs/>
          <w:sz w:val="22"/>
        </w:rPr>
        <w:t>Versión 2</w:t>
      </w:r>
    </w:p>
    <w:p w:rsidRPr="00AA5F83" w:rsidR="00564E86" w:rsidP="007C1938" w:rsidRDefault="00564E86" w14:paraId="7E9C23F4" w14:textId="77777777">
      <w:pPr>
        <w:tabs>
          <w:tab w:val="left" w:pos="426"/>
        </w:tabs>
        <w:spacing w:line="276" w:lineRule="auto"/>
        <w:jc w:val="both"/>
        <w:rPr>
          <w:rFonts w:ascii="Arial" w:hAnsi="Arial" w:cs="Arial"/>
          <w:sz w:val="22"/>
        </w:rPr>
      </w:pPr>
    </w:p>
    <w:p w:rsidRPr="00AA5F83" w:rsidR="0020296A" w:rsidP="006A1667" w:rsidRDefault="0020296A" w14:paraId="15299AF5" w14:textId="3FE8977D">
      <w:pPr>
        <w:tabs>
          <w:tab w:val="left" w:pos="426"/>
        </w:tabs>
        <w:spacing w:before="120" w:line="276" w:lineRule="auto"/>
        <w:jc w:val="both"/>
        <w:rPr>
          <w:rFonts w:ascii="Arial" w:hAnsi="Arial" w:cs="Arial"/>
          <w:sz w:val="22"/>
        </w:rPr>
      </w:pPr>
      <w:r w:rsidRPr="00AA5F83">
        <w:rPr>
          <w:rFonts w:ascii="Arial" w:hAnsi="Arial" w:cs="Arial"/>
          <w:sz w:val="22"/>
        </w:rPr>
        <w:t xml:space="preserve">En relación con el «factor de calidad», es preciso aclarar que los Documentos Tipo conservan los tres factores existentes en la Versión 1 de licitación pública, e incluyen como nuevas opciones que podrá </w:t>
      </w:r>
      <w:r w:rsidRPr="00AA5F83" w:rsidR="00BD370E">
        <w:rPr>
          <w:rFonts w:ascii="Arial" w:hAnsi="Arial" w:cs="Arial"/>
          <w:sz w:val="22"/>
        </w:rPr>
        <w:t xml:space="preserve">elegir </w:t>
      </w:r>
      <w:r w:rsidRPr="00AA5F83">
        <w:rPr>
          <w:rFonts w:ascii="Arial" w:hAnsi="Arial" w:cs="Arial"/>
          <w:sz w:val="22"/>
        </w:rPr>
        <w:t xml:space="preserve">la </w:t>
      </w:r>
      <w:r w:rsidRPr="00AA5F83" w:rsidR="00BD370E">
        <w:rPr>
          <w:rFonts w:ascii="Arial" w:hAnsi="Arial" w:cs="Arial"/>
          <w:sz w:val="22"/>
        </w:rPr>
        <w:t>e</w:t>
      </w:r>
      <w:r w:rsidRPr="00AA5F83">
        <w:rPr>
          <w:rFonts w:ascii="Arial" w:hAnsi="Arial" w:cs="Arial"/>
          <w:sz w:val="22"/>
        </w:rPr>
        <w:t>ntidad: i) la presentación de una garantía adicional o suplementaria, ii) cuadrillas de trabajo adicional a costo y riesgo del contratista y iii) el mantenimiento rutinario adicional por cuenta del contratista.</w:t>
      </w:r>
    </w:p>
    <w:p w:rsidRPr="00AA5F83" w:rsidR="0020296A" w:rsidP="0020296A" w:rsidRDefault="0020296A" w14:paraId="5A583769" w14:textId="02511217">
      <w:pPr>
        <w:spacing w:before="120" w:line="276" w:lineRule="auto"/>
        <w:ind w:firstLine="709"/>
        <w:jc w:val="both"/>
        <w:rPr>
          <w:rFonts w:ascii="Arial" w:hAnsi="Arial" w:cs="Arial"/>
          <w:sz w:val="22"/>
        </w:rPr>
      </w:pPr>
      <w:r w:rsidRPr="00AA5F83">
        <w:rPr>
          <w:rFonts w:ascii="Arial" w:hAnsi="Arial" w:cs="Arial"/>
          <w:sz w:val="22"/>
        </w:rPr>
        <w:t>Frente a los nuevos factores es importante resaltar que los Documentos señalan que «</w:t>
      </w:r>
      <w:r w:rsidRPr="00AA5F83" w:rsidR="00CE38F7">
        <w:rPr>
          <w:rFonts w:ascii="Arial" w:hAnsi="Arial" w:cs="Arial"/>
          <w:sz w:val="22"/>
        </w:rPr>
        <w:t>d</w:t>
      </w:r>
      <w:r w:rsidRPr="00AA5F83">
        <w:rPr>
          <w:rFonts w:ascii="Arial" w:hAnsi="Arial" w:cs="Arial"/>
          <w:sz w:val="22"/>
        </w:rPr>
        <w:t>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este factor resulta pertinente para asegurar mejor calidad en la obra pública contratada</w:t>
      </w:r>
      <w:r w:rsidRPr="00AA5F83" w:rsidR="00CE38F7">
        <w:rPr>
          <w:rFonts w:ascii="Arial" w:hAnsi="Arial" w:cs="Arial"/>
          <w:sz w:val="22"/>
        </w:rPr>
        <w:t>, atendiendo a las particularidades de cada proyecto</w:t>
      </w:r>
      <w:r w:rsidRPr="00AA5F83">
        <w:rPr>
          <w:rFonts w:ascii="Arial" w:hAnsi="Arial" w:cs="Arial"/>
          <w:sz w:val="22"/>
        </w:rPr>
        <w:t xml:space="preserve"> y, en todo caso, únicamente podrá exigir la acreditación de máximo tres de ellos, lo cual conserva el tope establecido en la </w:t>
      </w:r>
      <w:r w:rsidRPr="00AA5F83" w:rsidR="00CE38F7">
        <w:rPr>
          <w:rFonts w:ascii="Arial" w:hAnsi="Arial" w:cs="Arial"/>
          <w:sz w:val="22"/>
        </w:rPr>
        <w:t>V</w:t>
      </w:r>
      <w:r w:rsidRPr="00AA5F83">
        <w:rPr>
          <w:rFonts w:ascii="Arial" w:hAnsi="Arial" w:cs="Arial"/>
          <w:sz w:val="22"/>
        </w:rPr>
        <w:t>ersión 1 de los Documentos.</w:t>
      </w:r>
    </w:p>
    <w:p w:rsidRPr="00AA5F83" w:rsidR="0020296A" w:rsidP="0020296A" w:rsidRDefault="0020296A" w14:paraId="570A7BE7" w14:textId="7B2FA244">
      <w:pPr>
        <w:spacing w:before="120" w:line="276" w:lineRule="auto"/>
        <w:ind w:firstLine="709"/>
        <w:jc w:val="both"/>
        <w:rPr>
          <w:rFonts w:ascii="Arial" w:hAnsi="Arial" w:cs="Arial"/>
          <w:sz w:val="22"/>
        </w:rPr>
      </w:pPr>
      <w:r w:rsidRPr="00AA5F83">
        <w:rPr>
          <w:rFonts w:ascii="Arial" w:hAnsi="Arial" w:cs="Arial"/>
          <w:sz w:val="22"/>
        </w:rPr>
        <w:t>Adicionalmente, esta versión de los Documentos Tipo conserva el puntaje establecido para el factor de calidad en la Versión 1, de modo que no se alteró el total de</w:t>
      </w:r>
      <w:r w:rsidRPr="00AA5F83" w:rsidR="00BB1D63">
        <w:rPr>
          <w:rFonts w:ascii="Arial" w:hAnsi="Arial" w:cs="Arial"/>
          <w:sz w:val="22"/>
        </w:rPr>
        <w:t xml:space="preserve"> los</w:t>
      </w:r>
      <w:r w:rsidRPr="00AA5F83">
        <w:rPr>
          <w:rFonts w:ascii="Arial" w:hAnsi="Arial" w:cs="Arial"/>
          <w:sz w:val="22"/>
        </w:rPr>
        <w:t xml:space="preserve"> 19 puntos que puede otorgar la entidad por </w:t>
      </w:r>
      <w:r w:rsidRPr="00AA5F83" w:rsidR="00BB1D63">
        <w:rPr>
          <w:rFonts w:ascii="Arial" w:hAnsi="Arial" w:cs="Arial"/>
          <w:sz w:val="22"/>
        </w:rPr>
        <w:t>este criterio de evaluación</w:t>
      </w:r>
      <w:r w:rsidRPr="00AA5F83">
        <w:rPr>
          <w:rFonts w:ascii="Arial" w:hAnsi="Arial" w:eastAsia="Calibri" w:cs="Arial"/>
          <w:lang w:val="es-ES"/>
        </w:rPr>
        <w:t>.</w:t>
      </w:r>
      <w:r w:rsidRPr="00AA5F83" w:rsidR="00B2659E">
        <w:rPr>
          <w:rFonts w:ascii="Arial" w:hAnsi="Arial" w:eastAsia="Calibri" w:cs="Arial"/>
          <w:lang w:val="es-ES"/>
        </w:rPr>
        <w:t xml:space="preserve"> </w:t>
      </w:r>
      <w:r w:rsidRPr="00AA5F83" w:rsidR="00B2659E">
        <w:rPr>
          <w:rFonts w:ascii="Arial" w:hAnsi="Arial" w:cs="Arial"/>
          <w:sz w:val="22"/>
        </w:rPr>
        <w:t xml:space="preserve">A continuación, se explicará cada uno de estos factores. </w:t>
      </w:r>
    </w:p>
    <w:p w:rsidRPr="00AA5F83" w:rsidR="00B2659E" w:rsidP="00B2659E" w:rsidRDefault="00B2659E" w14:paraId="3A2B97E5" w14:textId="5F3FE1E0">
      <w:pPr>
        <w:spacing w:before="120" w:line="276" w:lineRule="auto"/>
        <w:ind w:firstLine="709"/>
        <w:jc w:val="both"/>
        <w:rPr>
          <w:rFonts w:ascii="Arial" w:hAnsi="Arial" w:cs="Arial"/>
          <w:sz w:val="22"/>
        </w:rPr>
      </w:pPr>
      <w:r w:rsidRPr="00AA5F83">
        <w:rPr>
          <w:rFonts w:ascii="Arial" w:hAnsi="Arial" w:cs="Arial"/>
          <w:sz w:val="22"/>
        </w:rPr>
        <w:t xml:space="preserve"> </w:t>
      </w:r>
      <w:r w:rsidRPr="00AA5F83" w:rsidR="00C627DB">
        <w:rPr>
          <w:rFonts w:ascii="Arial" w:hAnsi="Arial" w:cs="Arial"/>
          <w:sz w:val="22"/>
        </w:rPr>
        <w:t>E</w:t>
      </w:r>
      <w:r w:rsidRPr="00AA5F83">
        <w:rPr>
          <w:rFonts w:ascii="Arial" w:hAnsi="Arial" w:cs="Arial"/>
          <w:sz w:val="22"/>
        </w:rPr>
        <w:t xml:space="preserve">l </w:t>
      </w:r>
      <w:r w:rsidRPr="00AA5F83">
        <w:rPr>
          <w:rFonts w:ascii="Arial" w:hAnsi="Arial" w:cs="Arial"/>
          <w:sz w:val="20"/>
          <w:szCs w:val="20"/>
        </w:rPr>
        <w:t>«</w:t>
      </w:r>
      <w:r w:rsidRPr="00AA5F83">
        <w:rPr>
          <w:rFonts w:ascii="Arial" w:hAnsi="Arial" w:cs="Arial"/>
          <w:sz w:val="22"/>
        </w:rPr>
        <w:t xml:space="preserve">Factor de Calidad ― Cuadrilla de trabajo adicional» tiene por objeto otorgar puntaje al </w:t>
      </w:r>
      <w:r w:rsidRPr="00AA5F83" w:rsidR="00F5503E">
        <w:rPr>
          <w:rFonts w:ascii="Arial" w:hAnsi="Arial" w:cs="Arial"/>
          <w:sz w:val="22"/>
        </w:rPr>
        <w:t>p</w:t>
      </w:r>
      <w:r w:rsidRPr="00AA5F83">
        <w:rPr>
          <w:rFonts w:ascii="Arial" w:hAnsi="Arial" w:cs="Arial"/>
          <w:sz w:val="22"/>
        </w:rPr>
        <w:t>roponente que se comprometa a ofertar y vincular a la obra cuadrillas de trabajo adicional a costo y riesgo propio. Por cuadrilla se entiende el</w:t>
      </w:r>
      <w:r w:rsidRPr="00AA5F83" w:rsidR="00F126A0">
        <w:rPr>
          <w:rFonts w:ascii="Arial" w:hAnsi="Arial" w:cs="Arial"/>
          <w:sz w:val="22"/>
        </w:rPr>
        <w:t xml:space="preserve"> </w:t>
      </w:r>
      <w:r w:rsidRPr="00AA5F83" w:rsidR="006A1667">
        <w:rPr>
          <w:rFonts w:ascii="Arial" w:hAnsi="Arial" w:cs="Arial"/>
          <w:sz w:val="22"/>
        </w:rPr>
        <w:t>personal obrero adicional para un frente o unidad de trabajo</w:t>
      </w:r>
      <w:r w:rsidRPr="00AA5F83" w:rsidR="00F126A0">
        <w:rPr>
          <w:rFonts w:ascii="Arial" w:hAnsi="Arial" w:cs="Arial"/>
          <w:sz w:val="22"/>
        </w:rPr>
        <w:t xml:space="preserve"> que requiera el proyecto de infraestructura de </w:t>
      </w:r>
      <w:r w:rsidR="00475E3C">
        <w:rPr>
          <w:rFonts w:ascii="Arial" w:hAnsi="Arial" w:cs="Arial"/>
          <w:sz w:val="22"/>
        </w:rPr>
        <w:t>transporte</w:t>
      </w:r>
      <w:r w:rsidRPr="00AA5F83" w:rsidR="006A1667">
        <w:rPr>
          <w:rFonts w:ascii="Arial" w:hAnsi="Arial" w:cs="Arial"/>
          <w:sz w:val="22"/>
        </w:rPr>
        <w:t>, la cual deberá ser de 5 obreros.</w:t>
      </w:r>
      <w:r w:rsidRPr="00AA5F83" w:rsidR="00F126A0">
        <w:rPr>
          <w:rFonts w:ascii="Arial" w:hAnsi="Arial" w:cs="Arial"/>
          <w:sz w:val="22"/>
        </w:rPr>
        <w:t xml:space="preserve"> Asimismo, este ofrecimiento será a costo y riesgo del contratista durante la ejecución del contrato y no podrá ser objeto de cobro </w:t>
      </w:r>
      <w:r w:rsidRPr="00AA5F83" w:rsidR="009060F2">
        <w:rPr>
          <w:rFonts w:ascii="Arial" w:hAnsi="Arial" w:cs="Arial"/>
          <w:sz w:val="22"/>
        </w:rPr>
        <w:t xml:space="preserve">adicional </w:t>
      </w:r>
      <w:r w:rsidRPr="00AA5F83" w:rsidR="00F126A0">
        <w:rPr>
          <w:rFonts w:ascii="Arial" w:hAnsi="Arial" w:cs="Arial"/>
          <w:sz w:val="22"/>
        </w:rPr>
        <w:t xml:space="preserve">alguno </w:t>
      </w:r>
      <w:r w:rsidRPr="00AA5F83" w:rsidR="00696655">
        <w:rPr>
          <w:rFonts w:ascii="Arial" w:hAnsi="Arial" w:cs="Arial"/>
          <w:sz w:val="22"/>
        </w:rPr>
        <w:t xml:space="preserve">a </w:t>
      </w:r>
      <w:r w:rsidRPr="00AA5F83" w:rsidR="00F126A0">
        <w:rPr>
          <w:rFonts w:ascii="Arial" w:hAnsi="Arial" w:cs="Arial"/>
          <w:sz w:val="22"/>
        </w:rPr>
        <w:t xml:space="preserve">la </w:t>
      </w:r>
      <w:r w:rsidRPr="00AA5F83" w:rsidR="009060F2">
        <w:rPr>
          <w:rFonts w:ascii="Arial" w:hAnsi="Arial" w:cs="Arial"/>
          <w:sz w:val="22"/>
        </w:rPr>
        <w:t>e</w:t>
      </w:r>
      <w:r w:rsidRPr="00AA5F83" w:rsidR="00F126A0">
        <w:rPr>
          <w:rFonts w:ascii="Arial" w:hAnsi="Arial" w:cs="Arial"/>
          <w:sz w:val="22"/>
        </w:rPr>
        <w:t xml:space="preserve">ntidad. </w:t>
      </w:r>
    </w:p>
    <w:p w:rsidRPr="00AA5F83" w:rsidR="00B2659E" w:rsidP="00824AEF" w:rsidRDefault="00F126A0" w14:paraId="6756D63C" w14:textId="5C46A47F">
      <w:pPr>
        <w:spacing w:before="120" w:line="276" w:lineRule="auto"/>
        <w:ind w:firstLine="709"/>
        <w:jc w:val="both"/>
        <w:rPr>
          <w:rFonts w:ascii="Arial" w:hAnsi="Arial" w:cs="Arial"/>
          <w:sz w:val="22"/>
        </w:rPr>
      </w:pPr>
      <w:r w:rsidRPr="00AA5F83">
        <w:rPr>
          <w:rFonts w:ascii="Arial" w:hAnsi="Arial" w:cs="Arial"/>
          <w:sz w:val="22"/>
        </w:rPr>
        <w:t xml:space="preserve">De igual manera, es importante señalar que la </w:t>
      </w:r>
      <w:r w:rsidRPr="00AA5F83" w:rsidR="009060F2">
        <w:rPr>
          <w:rFonts w:ascii="Arial" w:hAnsi="Arial" w:cs="Arial"/>
          <w:sz w:val="22"/>
        </w:rPr>
        <w:t>e</w:t>
      </w:r>
      <w:r w:rsidRPr="00AA5F83">
        <w:rPr>
          <w:rFonts w:ascii="Arial" w:hAnsi="Arial" w:cs="Arial"/>
          <w:sz w:val="22"/>
        </w:rPr>
        <w:t xml:space="preserve">ntidad definirá en el Documento Base las actividades y el tiempo que se necesitará </w:t>
      </w:r>
      <w:r w:rsidRPr="00AA5F83" w:rsidR="00824AEF">
        <w:rPr>
          <w:rFonts w:ascii="Arial" w:hAnsi="Arial" w:cs="Arial"/>
          <w:sz w:val="22"/>
        </w:rPr>
        <w:t xml:space="preserve">para las cuadrillas de trabajo adicional. Con el fin de reducir la discrecionalidad de la entidad y fortalecer las ventajas que este factor supone para la calidad de la obra, la entidad otorgará el puntaje fijado para este criterio de acuerdo con el número de cuadrillas que el proponente se comprometa a incorporar durante la ejecución, según su capacidad. </w:t>
      </w:r>
      <w:r w:rsidRPr="00AA5F83" w:rsidR="009060F2">
        <w:rPr>
          <w:rFonts w:ascii="Arial" w:hAnsi="Arial" w:cs="Arial"/>
          <w:sz w:val="22"/>
        </w:rPr>
        <w:t>Este factor de calidad</w:t>
      </w:r>
      <w:r w:rsidRPr="00AA5F83" w:rsidR="00824AEF">
        <w:rPr>
          <w:rFonts w:ascii="Arial" w:hAnsi="Arial" w:cs="Arial"/>
          <w:sz w:val="22"/>
        </w:rPr>
        <w:t xml:space="preserve"> trae beneficios</w:t>
      </w:r>
      <w:r w:rsidRPr="00AA5F83" w:rsidR="009060F2">
        <w:rPr>
          <w:rFonts w:ascii="Arial" w:hAnsi="Arial" w:cs="Arial"/>
          <w:sz w:val="22"/>
        </w:rPr>
        <w:t xml:space="preserve"> para el adecuado cumplimiento del contrato, incidiendo</w:t>
      </w:r>
      <w:r w:rsidRPr="00AA5F83" w:rsidR="00824AEF">
        <w:rPr>
          <w:rFonts w:ascii="Arial" w:hAnsi="Arial" w:cs="Arial"/>
          <w:sz w:val="22"/>
        </w:rPr>
        <w:t xml:space="preserve"> en la reducción de</w:t>
      </w:r>
      <w:r w:rsidRPr="00AA5F83" w:rsidR="009060F2">
        <w:rPr>
          <w:rFonts w:ascii="Arial" w:hAnsi="Arial" w:cs="Arial"/>
          <w:sz w:val="22"/>
        </w:rPr>
        <w:t>l</w:t>
      </w:r>
      <w:r w:rsidRPr="00AA5F83" w:rsidR="00824AEF">
        <w:rPr>
          <w:rFonts w:ascii="Arial" w:hAnsi="Arial" w:cs="Arial"/>
          <w:sz w:val="22"/>
        </w:rPr>
        <w:t xml:space="preserve"> tiempo </w:t>
      </w:r>
      <w:r w:rsidRPr="00AA5F83" w:rsidR="009060F2">
        <w:rPr>
          <w:rFonts w:ascii="Arial" w:hAnsi="Arial" w:cs="Arial"/>
          <w:sz w:val="22"/>
        </w:rPr>
        <w:t>de ejecución y previniendo atrasos</w:t>
      </w:r>
      <w:r w:rsidRPr="00AA5F83" w:rsidR="00824AEF">
        <w:rPr>
          <w:rFonts w:ascii="Arial" w:hAnsi="Arial" w:cs="Arial"/>
          <w:sz w:val="22"/>
        </w:rPr>
        <w:t>,</w:t>
      </w:r>
      <w:r w:rsidRPr="00AA5F83" w:rsidR="009060F2">
        <w:rPr>
          <w:rFonts w:ascii="Arial" w:hAnsi="Arial" w:cs="Arial"/>
          <w:sz w:val="22"/>
        </w:rPr>
        <w:t xml:space="preserve"> de manera que favorece la calidad de la ejecución, en tanto incide, entre otras cosas</w:t>
      </w:r>
      <w:r w:rsidRPr="00AA5F83" w:rsidR="00824AEF">
        <w:rPr>
          <w:rFonts w:ascii="Arial" w:hAnsi="Arial" w:cs="Arial"/>
          <w:sz w:val="22"/>
        </w:rPr>
        <w:t>, en una disminución de los plazos y en la atención oportuna de</w:t>
      </w:r>
      <w:r w:rsidRPr="00AA5F83" w:rsidR="009060F2">
        <w:rPr>
          <w:rFonts w:ascii="Arial" w:hAnsi="Arial" w:cs="Arial"/>
          <w:sz w:val="22"/>
        </w:rPr>
        <w:t xml:space="preserve"> las</w:t>
      </w:r>
      <w:r w:rsidRPr="00AA5F83" w:rsidR="00824AEF">
        <w:rPr>
          <w:rFonts w:ascii="Arial" w:hAnsi="Arial" w:cs="Arial"/>
          <w:sz w:val="22"/>
        </w:rPr>
        <w:t xml:space="preserve"> contingencias </w:t>
      </w:r>
      <w:r w:rsidRPr="00AA5F83" w:rsidR="00E32E42">
        <w:rPr>
          <w:rFonts w:ascii="Arial" w:hAnsi="Arial" w:cs="Arial"/>
          <w:sz w:val="22"/>
        </w:rPr>
        <w:t xml:space="preserve">que surjan </w:t>
      </w:r>
      <w:r w:rsidRPr="00AA5F83" w:rsidR="00824AEF">
        <w:rPr>
          <w:rFonts w:ascii="Arial" w:hAnsi="Arial" w:cs="Arial"/>
          <w:sz w:val="22"/>
        </w:rPr>
        <w:t>durante la ejecución del contrato</w:t>
      </w:r>
      <w:r w:rsidRPr="00AA5F83" w:rsidR="009060F2">
        <w:rPr>
          <w:rFonts w:ascii="Arial" w:hAnsi="Arial" w:cs="Arial"/>
          <w:sz w:val="22"/>
        </w:rPr>
        <w:t>.</w:t>
      </w:r>
    </w:p>
    <w:p w:rsidRPr="00AA5F83" w:rsidR="00824AEF" w:rsidP="00824AEF" w:rsidRDefault="00C627DB" w14:paraId="31D17BD1" w14:textId="097CB043">
      <w:pPr>
        <w:spacing w:before="120" w:line="276" w:lineRule="auto"/>
        <w:ind w:firstLine="709"/>
        <w:jc w:val="both"/>
        <w:rPr>
          <w:rFonts w:ascii="Arial" w:hAnsi="Arial" w:cs="Arial"/>
          <w:sz w:val="22"/>
        </w:rPr>
      </w:pPr>
      <w:r w:rsidRPr="00AA5F83">
        <w:rPr>
          <w:rFonts w:ascii="Arial" w:hAnsi="Arial" w:cs="Arial"/>
          <w:sz w:val="22"/>
        </w:rPr>
        <w:lastRenderedPageBreak/>
        <w:t>Por su parte,</w:t>
      </w:r>
      <w:r w:rsidRPr="00AA5F83" w:rsidR="00824AEF">
        <w:rPr>
          <w:rFonts w:ascii="Arial" w:hAnsi="Arial" w:cs="Arial"/>
          <w:sz w:val="22"/>
        </w:rPr>
        <w:t xml:space="preserve"> el «Factor de Calidad ― Mantenimiento adicional» tiene como objeto mejorar la calidad de la obra, ya que se garantiza un mantenimiento rutinario, situación que otorga beneficios a las </w:t>
      </w:r>
      <w:r w:rsidRPr="00AA5F83" w:rsidR="00E32E42">
        <w:rPr>
          <w:rFonts w:ascii="Arial" w:hAnsi="Arial" w:cs="Arial"/>
          <w:sz w:val="22"/>
        </w:rPr>
        <w:t>e</w:t>
      </w:r>
      <w:r w:rsidRPr="00AA5F83" w:rsidR="00824AEF">
        <w:rPr>
          <w:rFonts w:ascii="Arial" w:hAnsi="Arial" w:cs="Arial"/>
          <w:sz w:val="22"/>
        </w:rPr>
        <w:t xml:space="preserve">ntidades y a la ciudadanía en cuanto a la durabilidad de las condiciones de la infraestructura de transporte. Ahora, el </w:t>
      </w:r>
      <w:r w:rsidRPr="00AA5F83" w:rsidR="00E32E42">
        <w:rPr>
          <w:rFonts w:ascii="Arial" w:hAnsi="Arial" w:cs="Arial"/>
          <w:sz w:val="22"/>
        </w:rPr>
        <w:t>p</w:t>
      </w:r>
      <w:r w:rsidRPr="00AA5F83" w:rsidR="00824AEF">
        <w:rPr>
          <w:rFonts w:ascii="Arial" w:hAnsi="Arial" w:cs="Arial"/>
          <w:sz w:val="22"/>
        </w:rPr>
        <w:t xml:space="preserve">roponente ofertará el número de meses durante los cuales se compromete a realizar por su propia cuenta y riesgo las labores de mantenimiento rutinario de la obra construida. El término ofertado será contado a partir de la terminación de las obras objeto del </w:t>
      </w:r>
      <w:r w:rsidRPr="00AA5F83" w:rsidR="00E32E42">
        <w:rPr>
          <w:rFonts w:ascii="Arial" w:hAnsi="Arial" w:cs="Arial"/>
          <w:sz w:val="22"/>
        </w:rPr>
        <w:t>p</w:t>
      </w:r>
      <w:r w:rsidRPr="00AA5F83" w:rsidR="00824AEF">
        <w:rPr>
          <w:rFonts w:ascii="Arial" w:hAnsi="Arial" w:cs="Arial"/>
          <w:sz w:val="22"/>
        </w:rPr>
        <w:t xml:space="preserve">roceso de </w:t>
      </w:r>
      <w:r w:rsidRPr="00AA5F83" w:rsidR="00E32E42">
        <w:rPr>
          <w:rFonts w:ascii="Arial" w:hAnsi="Arial" w:cs="Arial"/>
          <w:sz w:val="22"/>
        </w:rPr>
        <w:t>c</w:t>
      </w:r>
      <w:r w:rsidRPr="00AA5F83" w:rsidR="00824AEF">
        <w:rPr>
          <w:rFonts w:ascii="Arial" w:hAnsi="Arial" w:cs="Arial"/>
          <w:sz w:val="22"/>
        </w:rPr>
        <w:t xml:space="preserve">ontratación. </w:t>
      </w:r>
    </w:p>
    <w:p w:rsidRPr="00AA5F83" w:rsidR="00824AEF" w:rsidP="00824AEF" w:rsidRDefault="00824AEF" w14:paraId="75816FB2" w14:textId="484B38EA">
      <w:pPr>
        <w:spacing w:before="120" w:line="276" w:lineRule="auto"/>
        <w:ind w:firstLine="709"/>
        <w:jc w:val="both"/>
        <w:rPr>
          <w:rFonts w:ascii="Arial" w:hAnsi="Arial" w:cs="Arial"/>
          <w:sz w:val="22"/>
        </w:rPr>
      </w:pPr>
      <w:r w:rsidRPr="00AA5F83">
        <w:rPr>
          <w:rFonts w:ascii="Arial" w:hAnsi="Arial" w:cs="Arial"/>
          <w:sz w:val="22"/>
        </w:rPr>
        <w:t>Asimismo, es importante señalar que las labores ofrecidas correspond</w:t>
      </w:r>
      <w:r w:rsidRPr="00AA5F83" w:rsidR="00B55352">
        <w:rPr>
          <w:rFonts w:ascii="Arial" w:hAnsi="Arial" w:cs="Arial"/>
          <w:sz w:val="22"/>
        </w:rPr>
        <w:t>en</w:t>
      </w:r>
      <w:r w:rsidRPr="00AA5F83">
        <w:rPr>
          <w:rFonts w:ascii="Arial" w:hAnsi="Arial" w:cs="Arial"/>
          <w:sz w:val="22"/>
        </w:rPr>
        <w:t xml:space="preserve"> a mantenimientos rutinarios que no estén relacionados con la estabilidad</w:t>
      </w:r>
      <w:r w:rsidRPr="00AA5F83" w:rsidR="00696655">
        <w:rPr>
          <w:rFonts w:ascii="Arial" w:hAnsi="Arial" w:cs="Arial"/>
          <w:sz w:val="22"/>
        </w:rPr>
        <w:t xml:space="preserve"> y calidad</w:t>
      </w:r>
      <w:r w:rsidRPr="00AA5F83">
        <w:rPr>
          <w:rFonts w:ascii="Arial" w:hAnsi="Arial" w:cs="Arial"/>
          <w:sz w:val="22"/>
        </w:rPr>
        <w:t xml:space="preserve"> de las obras, y la </w:t>
      </w:r>
      <w:r w:rsidRPr="00AA5F83" w:rsidR="00E32E42">
        <w:rPr>
          <w:rFonts w:ascii="Arial" w:hAnsi="Arial" w:cs="Arial"/>
          <w:sz w:val="22"/>
        </w:rPr>
        <w:t>e</w:t>
      </w:r>
      <w:r w:rsidRPr="00AA5F83">
        <w:rPr>
          <w:rFonts w:ascii="Arial" w:hAnsi="Arial" w:cs="Arial"/>
          <w:sz w:val="22"/>
        </w:rPr>
        <w:t xml:space="preserve">ntidad determinará la forma para llevar a cabo el seguimiento de las labores ofertadas durante la ejecución del contrato. </w:t>
      </w:r>
    </w:p>
    <w:p w:rsidRPr="00AA5F83" w:rsidR="007A56B8" w:rsidP="00222586" w:rsidRDefault="00824AEF" w14:paraId="22A12E0A" w14:textId="7F20D81B">
      <w:pPr>
        <w:spacing w:before="120" w:line="276" w:lineRule="auto"/>
        <w:ind w:firstLine="709"/>
        <w:jc w:val="both"/>
        <w:rPr>
          <w:rFonts w:ascii="Arial" w:hAnsi="Arial" w:cs="Arial"/>
          <w:sz w:val="22"/>
        </w:rPr>
      </w:pPr>
      <w:r w:rsidRPr="00AA5F83">
        <w:rPr>
          <w:rFonts w:ascii="Arial" w:hAnsi="Arial" w:cs="Arial"/>
          <w:sz w:val="22"/>
        </w:rPr>
        <w:t xml:space="preserve">Conforme a lo anterior, </w:t>
      </w:r>
      <w:r w:rsidRPr="00AA5F83" w:rsidR="006A1667">
        <w:rPr>
          <w:rFonts w:ascii="Arial" w:hAnsi="Arial" w:cs="Arial"/>
          <w:sz w:val="22"/>
        </w:rPr>
        <w:t xml:space="preserve">el puntaje </w:t>
      </w:r>
      <w:r w:rsidRPr="00AA5F83" w:rsidR="00E32E42">
        <w:rPr>
          <w:rFonts w:ascii="Arial" w:hAnsi="Arial" w:cs="Arial"/>
          <w:sz w:val="22"/>
        </w:rPr>
        <w:t xml:space="preserve">otorgado por </w:t>
      </w:r>
      <w:r w:rsidRPr="00AA5F83" w:rsidR="006A1667">
        <w:rPr>
          <w:rFonts w:ascii="Arial" w:hAnsi="Arial" w:cs="Arial"/>
          <w:sz w:val="22"/>
        </w:rPr>
        <w:t xml:space="preserve">estos </w:t>
      </w:r>
      <w:r w:rsidRPr="00AA5F83" w:rsidR="00C627DB">
        <w:rPr>
          <w:rFonts w:ascii="Arial" w:hAnsi="Arial" w:cs="Arial"/>
          <w:sz w:val="22"/>
        </w:rPr>
        <w:t>dos</w:t>
      </w:r>
      <w:r w:rsidRPr="00AA5F83" w:rsidR="006A1667">
        <w:rPr>
          <w:rFonts w:ascii="Arial" w:hAnsi="Arial" w:cs="Arial"/>
          <w:sz w:val="22"/>
        </w:rPr>
        <w:t xml:space="preserve"> factores de calidad depende del ofrecimiento que realice cada proponente en sus ofertas</w:t>
      </w:r>
      <w:r w:rsidRPr="00AA5F83" w:rsidR="00E32E42">
        <w:rPr>
          <w:rFonts w:ascii="Arial" w:hAnsi="Arial" w:cs="Arial"/>
          <w:sz w:val="22"/>
        </w:rPr>
        <w:t>,</w:t>
      </w:r>
      <w:r w:rsidRPr="00AA5F83" w:rsidR="006A1667">
        <w:rPr>
          <w:rFonts w:ascii="Arial" w:hAnsi="Arial" w:cs="Arial"/>
          <w:sz w:val="22"/>
        </w:rPr>
        <w:t xml:space="preserve"> de acuerdo con sus capacidades</w:t>
      </w:r>
      <w:r w:rsidRPr="00AA5F83" w:rsidR="00E32E42">
        <w:rPr>
          <w:rFonts w:ascii="Arial" w:hAnsi="Arial" w:cs="Arial"/>
          <w:sz w:val="22"/>
        </w:rPr>
        <w:t xml:space="preserve"> y competitividad</w:t>
      </w:r>
      <w:r w:rsidRPr="00AA5F83" w:rsidR="007F6530">
        <w:rPr>
          <w:rFonts w:ascii="Arial" w:hAnsi="Arial" w:cs="Arial"/>
          <w:sz w:val="22"/>
        </w:rPr>
        <w:t xml:space="preserve">. </w:t>
      </w:r>
      <w:r w:rsidRPr="00AA5F83" w:rsidR="006A1667">
        <w:rPr>
          <w:rFonts w:ascii="Arial" w:hAnsi="Arial" w:cs="Arial"/>
          <w:sz w:val="22"/>
        </w:rPr>
        <w:t xml:space="preserve">En este sentido, el mayor puntaje lo recibirá aquel oferente que ofrezca mayor tiempo de garantía adicional, el que ofrezca mayor </w:t>
      </w:r>
      <w:r w:rsidRPr="00AA5F83" w:rsidR="007F6530">
        <w:rPr>
          <w:rFonts w:ascii="Arial" w:hAnsi="Arial" w:cs="Arial"/>
          <w:sz w:val="22"/>
        </w:rPr>
        <w:t>número de cuadrillas de trabajo adicional y, finalmente, el que se comprometa a realizar durante un plazo mayor labores de mantenimiento rutinario después de termina</w:t>
      </w:r>
      <w:r w:rsidR="00475E3C">
        <w:rPr>
          <w:rFonts w:ascii="Arial" w:hAnsi="Arial" w:cs="Arial"/>
          <w:sz w:val="22"/>
        </w:rPr>
        <w:t>r</w:t>
      </w:r>
      <w:r w:rsidRPr="00AA5F83" w:rsidR="007F6530">
        <w:rPr>
          <w:rFonts w:ascii="Arial" w:hAnsi="Arial" w:cs="Arial"/>
          <w:sz w:val="22"/>
        </w:rPr>
        <w:t xml:space="preserve"> las obras objeto del </w:t>
      </w:r>
      <w:r w:rsidRPr="00AA5F83" w:rsidR="00E32E42">
        <w:rPr>
          <w:rFonts w:ascii="Arial" w:hAnsi="Arial" w:cs="Arial"/>
          <w:sz w:val="22"/>
        </w:rPr>
        <w:t>p</w:t>
      </w:r>
      <w:r w:rsidRPr="00AA5F83" w:rsidR="007F6530">
        <w:rPr>
          <w:rFonts w:ascii="Arial" w:hAnsi="Arial" w:cs="Arial"/>
          <w:sz w:val="22"/>
        </w:rPr>
        <w:t xml:space="preserve">roceso de </w:t>
      </w:r>
      <w:r w:rsidRPr="00AA5F83" w:rsidR="00E32E42">
        <w:rPr>
          <w:rFonts w:ascii="Arial" w:hAnsi="Arial" w:cs="Arial"/>
          <w:sz w:val="22"/>
        </w:rPr>
        <w:t>c</w:t>
      </w:r>
      <w:r w:rsidRPr="00AA5F83" w:rsidR="007F6530">
        <w:rPr>
          <w:rFonts w:ascii="Arial" w:hAnsi="Arial" w:cs="Arial"/>
          <w:sz w:val="22"/>
        </w:rPr>
        <w:t xml:space="preserve">ontratación. </w:t>
      </w:r>
    </w:p>
    <w:p w:rsidRPr="00AA5F83" w:rsidR="0020296A" w:rsidP="00222586" w:rsidRDefault="0020296A" w14:paraId="2C8E6423" w14:textId="3B7902FC">
      <w:pPr>
        <w:spacing w:before="120" w:line="276" w:lineRule="auto"/>
        <w:jc w:val="both"/>
        <w:rPr>
          <w:rFonts w:ascii="Arial" w:hAnsi="Arial" w:cs="Arial"/>
          <w:sz w:val="22"/>
        </w:rPr>
      </w:pPr>
      <w:r w:rsidRPr="00AA5F83">
        <w:rPr>
          <w:rFonts w:ascii="Arial" w:hAnsi="Arial" w:cs="Arial"/>
          <w:sz w:val="22"/>
        </w:rPr>
        <w:tab/>
      </w:r>
      <w:r w:rsidRPr="00AA5F83">
        <w:rPr>
          <w:rFonts w:ascii="Arial" w:hAnsi="Arial" w:cs="Arial"/>
          <w:sz w:val="22"/>
        </w:rPr>
        <w:t>En otras palabras, la entidad no puede fijar discrecionalmente un número de meses que den lugar a otorgar todo el puntaje</w:t>
      </w:r>
      <w:r w:rsidRPr="00AA5F83" w:rsidR="00B2659E">
        <w:rPr>
          <w:rFonts w:ascii="Arial" w:hAnsi="Arial" w:cs="Arial"/>
          <w:sz w:val="22"/>
        </w:rPr>
        <w:t xml:space="preserve"> o defin</w:t>
      </w:r>
      <w:r w:rsidRPr="00AA5F83" w:rsidR="00C63838">
        <w:rPr>
          <w:rFonts w:ascii="Arial" w:hAnsi="Arial" w:cs="Arial"/>
          <w:sz w:val="22"/>
        </w:rPr>
        <w:t>a</w:t>
      </w:r>
      <w:r w:rsidRPr="00AA5F83" w:rsidR="00B2659E">
        <w:rPr>
          <w:rFonts w:ascii="Arial" w:hAnsi="Arial" w:cs="Arial"/>
          <w:sz w:val="22"/>
        </w:rPr>
        <w:t xml:space="preserve"> cuá</w:t>
      </w:r>
      <w:r w:rsidRPr="00AA5F83" w:rsidR="00E32E42">
        <w:rPr>
          <w:rFonts w:ascii="Arial" w:hAnsi="Arial" w:cs="Arial"/>
          <w:sz w:val="22"/>
        </w:rPr>
        <w:t>ntas</w:t>
      </w:r>
      <w:r w:rsidRPr="00AA5F83" w:rsidR="00B2659E">
        <w:rPr>
          <w:rFonts w:ascii="Arial" w:hAnsi="Arial" w:cs="Arial"/>
          <w:sz w:val="22"/>
        </w:rPr>
        <w:t xml:space="preserve"> </w:t>
      </w:r>
      <w:r w:rsidRPr="00AA5F83" w:rsidR="00E32E42">
        <w:rPr>
          <w:rFonts w:ascii="Arial" w:hAnsi="Arial" w:cs="Arial"/>
          <w:sz w:val="22"/>
        </w:rPr>
        <w:t>c</w:t>
      </w:r>
      <w:r w:rsidRPr="00AA5F83" w:rsidR="00B2659E">
        <w:rPr>
          <w:rFonts w:ascii="Arial" w:hAnsi="Arial" w:cs="Arial"/>
          <w:sz w:val="22"/>
        </w:rPr>
        <w:t>uadrilla</w:t>
      </w:r>
      <w:r w:rsidRPr="00AA5F83" w:rsidR="00E32E42">
        <w:rPr>
          <w:rFonts w:ascii="Arial" w:hAnsi="Arial" w:cs="Arial"/>
          <w:sz w:val="22"/>
        </w:rPr>
        <w:t>s</w:t>
      </w:r>
      <w:r w:rsidRPr="00AA5F83" w:rsidR="00B2659E">
        <w:rPr>
          <w:rFonts w:ascii="Arial" w:hAnsi="Arial" w:cs="Arial"/>
          <w:sz w:val="22"/>
        </w:rPr>
        <w:t xml:space="preserve"> de trabajo adicional se necesitan</w:t>
      </w:r>
      <w:r w:rsidRPr="00AA5F83" w:rsidR="00C61661">
        <w:rPr>
          <w:rFonts w:ascii="Arial" w:hAnsi="Arial" w:cs="Arial"/>
          <w:sz w:val="22"/>
        </w:rPr>
        <w:t>, o los perfiles de los integrantes de la cuadrilla</w:t>
      </w:r>
      <w:r w:rsidRPr="00AA5F83">
        <w:rPr>
          <w:rFonts w:ascii="Arial" w:hAnsi="Arial" w:cs="Arial"/>
          <w:sz w:val="22"/>
        </w:rPr>
        <w:t xml:space="preserve">, sino que depende del proponente definir el tiempo </w:t>
      </w:r>
      <w:r w:rsidRPr="00AA5F83" w:rsidR="00E32E42">
        <w:rPr>
          <w:rFonts w:ascii="Arial" w:hAnsi="Arial" w:cs="Arial"/>
          <w:sz w:val="22"/>
        </w:rPr>
        <w:t>y</w:t>
      </w:r>
      <w:r w:rsidRPr="00AA5F83" w:rsidR="00C63838">
        <w:rPr>
          <w:rFonts w:ascii="Arial" w:hAnsi="Arial" w:cs="Arial"/>
          <w:sz w:val="22"/>
        </w:rPr>
        <w:t xml:space="preserve"> número de cuadrillas de trabajo adicional </w:t>
      </w:r>
      <w:r w:rsidRPr="00AA5F83">
        <w:rPr>
          <w:rFonts w:ascii="Arial" w:hAnsi="Arial" w:cs="Arial"/>
          <w:sz w:val="22"/>
        </w:rPr>
        <w:t>que está en capacidad de ofertar, lo cual reduce el riesgo de direccionamiento</w:t>
      </w:r>
      <w:r w:rsidRPr="00AA5F83" w:rsidR="00E32E42">
        <w:rPr>
          <w:rFonts w:ascii="Arial" w:hAnsi="Arial" w:cs="Arial"/>
          <w:sz w:val="22"/>
        </w:rPr>
        <w:t>, fomenta la competencia</w:t>
      </w:r>
      <w:r w:rsidRPr="00AA5F83">
        <w:rPr>
          <w:rFonts w:ascii="Arial" w:hAnsi="Arial" w:cs="Arial"/>
          <w:sz w:val="22"/>
        </w:rPr>
        <w:t xml:space="preserve"> e incrementa las condiciones de calidad para la entidad. </w:t>
      </w:r>
    </w:p>
    <w:p w:rsidRPr="00AA5F83" w:rsidR="007A56B8" w:rsidP="00222586" w:rsidRDefault="007F6530" w14:paraId="723A3E41" w14:textId="2A0F8C1B">
      <w:pPr>
        <w:tabs>
          <w:tab w:val="left" w:pos="709"/>
        </w:tabs>
        <w:spacing w:before="120" w:line="276" w:lineRule="auto"/>
        <w:jc w:val="both"/>
        <w:rPr>
          <w:rFonts w:ascii="Arial" w:hAnsi="Arial" w:cs="Arial"/>
          <w:sz w:val="22"/>
        </w:rPr>
      </w:pPr>
      <w:r w:rsidRPr="00AA5F83">
        <w:rPr>
          <w:rFonts w:ascii="Arial" w:hAnsi="Arial" w:cs="Arial"/>
          <w:sz w:val="22"/>
        </w:rPr>
        <w:tab/>
      </w:r>
      <w:r w:rsidRPr="00AA5F83" w:rsidR="00E32E42">
        <w:rPr>
          <w:rFonts w:ascii="Arial" w:hAnsi="Arial" w:cs="Arial"/>
          <w:sz w:val="22"/>
        </w:rPr>
        <w:t>E</w:t>
      </w:r>
      <w:r w:rsidRPr="00AA5F83" w:rsidR="00C63838">
        <w:rPr>
          <w:rFonts w:ascii="Arial" w:hAnsi="Arial" w:cs="Arial"/>
          <w:sz w:val="22"/>
        </w:rPr>
        <w:t xml:space="preserve">s importante mencionar que </w:t>
      </w:r>
      <w:r w:rsidRPr="00AA5F83">
        <w:rPr>
          <w:rFonts w:ascii="Arial" w:hAnsi="Arial" w:cs="Arial"/>
          <w:sz w:val="22"/>
        </w:rPr>
        <w:t xml:space="preserve">para </w:t>
      </w:r>
      <w:r w:rsidRPr="00AA5F83" w:rsidR="00E32E42">
        <w:rPr>
          <w:rFonts w:ascii="Arial" w:hAnsi="Arial" w:cs="Arial"/>
          <w:sz w:val="22"/>
        </w:rPr>
        <w:t xml:space="preserve">otorgar el </w:t>
      </w:r>
      <w:r w:rsidRPr="00AA5F83">
        <w:rPr>
          <w:rFonts w:ascii="Arial" w:hAnsi="Arial" w:cs="Arial"/>
          <w:sz w:val="22"/>
        </w:rPr>
        <w:t xml:space="preserve">puntaje basta </w:t>
      </w:r>
      <w:r w:rsidRPr="00AA5F83" w:rsidR="00E32E42">
        <w:rPr>
          <w:rFonts w:ascii="Arial" w:hAnsi="Arial" w:cs="Arial"/>
          <w:sz w:val="22"/>
        </w:rPr>
        <w:t>con</w:t>
      </w:r>
      <w:r w:rsidRPr="00AA5F83">
        <w:rPr>
          <w:rFonts w:ascii="Arial" w:hAnsi="Arial" w:cs="Arial"/>
          <w:sz w:val="22"/>
        </w:rPr>
        <w:t xml:space="preserve"> diligencia</w:t>
      </w:r>
      <w:r w:rsidRPr="00AA5F83" w:rsidR="00E32E42">
        <w:rPr>
          <w:rFonts w:ascii="Arial" w:hAnsi="Arial" w:cs="Arial"/>
          <w:sz w:val="22"/>
        </w:rPr>
        <w:t>r</w:t>
      </w:r>
      <w:r w:rsidRPr="00AA5F83">
        <w:rPr>
          <w:rFonts w:ascii="Arial" w:hAnsi="Arial" w:cs="Arial"/>
          <w:sz w:val="22"/>
        </w:rPr>
        <w:t xml:space="preserve"> el «Formato 7E – Cuadrillas de trabajo adicional</w:t>
      </w:r>
      <w:r w:rsidRPr="00AA5F83" w:rsidR="007A56B8">
        <w:rPr>
          <w:rFonts w:ascii="Arial" w:hAnsi="Arial" w:cs="Arial"/>
          <w:sz w:val="22"/>
        </w:rPr>
        <w:t>» o el «Formato 7F – Mantenimiento adicional»</w:t>
      </w:r>
      <w:r w:rsidRPr="00AA5F83" w:rsidR="00E32E42">
        <w:rPr>
          <w:rFonts w:ascii="Arial" w:hAnsi="Arial" w:cs="Arial"/>
          <w:sz w:val="22"/>
        </w:rPr>
        <w:t>, dependiendo de los criterios de evaluación seleccionados por la entidad. En efecto, al diligenciarlos el</w:t>
      </w:r>
      <w:r w:rsidRPr="00AA5F83" w:rsidR="00673ECA">
        <w:rPr>
          <w:rFonts w:ascii="Arial" w:hAnsi="Arial" w:cs="Arial"/>
          <w:sz w:val="22"/>
        </w:rPr>
        <w:t xml:space="preserve"> proponente </w:t>
      </w:r>
      <w:r w:rsidRPr="00AA5F83" w:rsidR="00E32E42">
        <w:rPr>
          <w:rFonts w:ascii="Arial" w:hAnsi="Arial" w:cs="Arial"/>
          <w:sz w:val="22"/>
        </w:rPr>
        <w:t xml:space="preserve">indica </w:t>
      </w:r>
      <w:r w:rsidRPr="00AA5F83" w:rsidR="007A56B8">
        <w:rPr>
          <w:rFonts w:ascii="Arial" w:hAnsi="Arial" w:cs="Arial"/>
          <w:sz w:val="22"/>
        </w:rPr>
        <w:t>bajo la gravedad de juramento cuál es el compromiso que asume, ya sea el tiempo de garantía adicional</w:t>
      </w:r>
      <w:r w:rsidRPr="00AA5F83" w:rsidR="00673ECA">
        <w:rPr>
          <w:rFonts w:ascii="Arial" w:hAnsi="Arial" w:cs="Arial"/>
          <w:sz w:val="22"/>
        </w:rPr>
        <w:t>,</w:t>
      </w:r>
      <w:r w:rsidRPr="00AA5F83" w:rsidR="007A56B8">
        <w:rPr>
          <w:rFonts w:ascii="Arial" w:hAnsi="Arial" w:cs="Arial"/>
          <w:sz w:val="22"/>
        </w:rPr>
        <w:t xml:space="preserve"> el número de </w:t>
      </w:r>
      <w:r w:rsidRPr="00AA5F83" w:rsidR="00E32E42">
        <w:rPr>
          <w:rFonts w:ascii="Arial" w:hAnsi="Arial" w:cs="Arial"/>
          <w:sz w:val="22"/>
        </w:rPr>
        <w:t>c</w:t>
      </w:r>
      <w:r w:rsidRPr="00AA5F83" w:rsidR="007A56B8">
        <w:rPr>
          <w:rFonts w:ascii="Arial" w:hAnsi="Arial" w:cs="Arial"/>
          <w:sz w:val="22"/>
        </w:rPr>
        <w:t xml:space="preserve">uadrillas de </w:t>
      </w:r>
      <w:r w:rsidRPr="00AA5F83" w:rsidR="00E32E42">
        <w:rPr>
          <w:rFonts w:ascii="Arial" w:hAnsi="Arial" w:cs="Arial"/>
          <w:sz w:val="22"/>
        </w:rPr>
        <w:t>t</w:t>
      </w:r>
      <w:r w:rsidRPr="00AA5F83" w:rsidR="007A56B8">
        <w:rPr>
          <w:rFonts w:ascii="Arial" w:hAnsi="Arial" w:cs="Arial"/>
          <w:sz w:val="22"/>
        </w:rPr>
        <w:t xml:space="preserve">rabajo </w:t>
      </w:r>
      <w:r w:rsidRPr="00AA5F83" w:rsidR="00E32E42">
        <w:rPr>
          <w:rFonts w:ascii="Arial" w:hAnsi="Arial" w:cs="Arial"/>
          <w:sz w:val="22"/>
        </w:rPr>
        <w:t>a</w:t>
      </w:r>
      <w:r w:rsidRPr="00AA5F83" w:rsidR="007A56B8">
        <w:rPr>
          <w:rFonts w:ascii="Arial" w:hAnsi="Arial" w:cs="Arial"/>
          <w:sz w:val="22"/>
        </w:rPr>
        <w:t>dicional</w:t>
      </w:r>
      <w:r w:rsidRPr="00AA5F83" w:rsidR="00673ECA">
        <w:rPr>
          <w:rFonts w:ascii="Arial" w:hAnsi="Arial" w:cs="Arial"/>
          <w:sz w:val="22"/>
        </w:rPr>
        <w:t xml:space="preserve"> o el tiempo que realizará el mantenimiento rutinario.</w:t>
      </w:r>
    </w:p>
    <w:p w:rsidRPr="00AA5F83" w:rsidR="00392EEE" w:rsidP="00222586" w:rsidRDefault="007A56B8" w14:paraId="2C2F1346" w14:textId="3929751E">
      <w:pPr>
        <w:tabs>
          <w:tab w:val="left" w:pos="709"/>
        </w:tabs>
        <w:spacing w:before="120" w:line="276" w:lineRule="auto"/>
        <w:jc w:val="both"/>
        <w:rPr>
          <w:rFonts w:ascii="Arial" w:hAnsi="Arial" w:eastAsia="Calibri" w:cs="Arial"/>
          <w:sz w:val="22"/>
        </w:rPr>
      </w:pPr>
      <w:r w:rsidRPr="00AA5F83">
        <w:rPr>
          <w:rFonts w:ascii="Arial" w:hAnsi="Arial" w:cs="Arial"/>
          <w:sz w:val="22"/>
        </w:rPr>
        <w:tab/>
      </w:r>
      <w:r w:rsidRPr="00AA5F83" w:rsidR="00C627DB">
        <w:rPr>
          <w:rFonts w:ascii="Arial" w:hAnsi="Arial" w:eastAsia="Calibri" w:cs="Arial"/>
          <w:sz w:val="22"/>
        </w:rPr>
        <w:t>Los</w:t>
      </w:r>
      <w:r w:rsidRPr="00AA5F83" w:rsidR="002C0B5C">
        <w:rPr>
          <w:rFonts w:ascii="Arial" w:hAnsi="Arial" w:eastAsia="Calibri" w:cs="Arial"/>
          <w:sz w:val="22"/>
        </w:rPr>
        <w:t xml:space="preserve"> ofrecimientos</w:t>
      </w:r>
      <w:r w:rsidRPr="00AA5F83" w:rsidR="00C627DB">
        <w:rPr>
          <w:rFonts w:ascii="Arial" w:hAnsi="Arial" w:eastAsia="Calibri" w:cs="Arial"/>
          <w:sz w:val="22"/>
        </w:rPr>
        <w:t xml:space="preserve"> que se hagan mediante la presentación de estos formatos</w:t>
      </w:r>
      <w:r w:rsidRPr="00AA5F83" w:rsidR="002C0B5C">
        <w:rPr>
          <w:rFonts w:ascii="Arial" w:hAnsi="Arial" w:eastAsia="Calibri" w:cs="Arial"/>
          <w:sz w:val="22"/>
        </w:rPr>
        <w:t xml:space="preserve"> dependen únicamente de las capacidades propias de cada oferente; ya </w:t>
      </w:r>
      <w:r w:rsidRPr="00AA5F83" w:rsidR="00B0017B">
        <w:rPr>
          <w:rFonts w:ascii="Arial" w:hAnsi="Arial" w:eastAsia="Calibri" w:cs="Arial"/>
          <w:sz w:val="22"/>
        </w:rPr>
        <w:t>que se realizará</w:t>
      </w:r>
      <w:r w:rsidRPr="00AA5F83" w:rsidR="002C0B5C">
        <w:rPr>
          <w:rFonts w:ascii="Arial" w:hAnsi="Arial" w:eastAsia="Calibri" w:cs="Arial"/>
          <w:sz w:val="22"/>
        </w:rPr>
        <w:t xml:space="preserve"> dependiendo de su infraestructura</w:t>
      </w:r>
      <w:r w:rsidRPr="00AA5F83" w:rsidR="00B0017B">
        <w:rPr>
          <w:rFonts w:ascii="Arial" w:hAnsi="Arial" w:eastAsia="Calibri" w:cs="Arial"/>
          <w:sz w:val="22"/>
        </w:rPr>
        <w:t xml:space="preserve"> y capacidad financiera</w:t>
      </w:r>
      <w:r w:rsidRPr="00AA5F83" w:rsidR="00C61661">
        <w:rPr>
          <w:rFonts w:ascii="Arial" w:hAnsi="Arial" w:eastAsia="Calibri" w:cs="Arial"/>
          <w:sz w:val="22"/>
        </w:rPr>
        <w:t xml:space="preserve"> y la labor de análisis de las condiciones bajo las cuales presentará su propuesta</w:t>
      </w:r>
      <w:r w:rsidRPr="00AA5F83" w:rsidR="00E32E42">
        <w:rPr>
          <w:rFonts w:ascii="Arial" w:hAnsi="Arial" w:eastAsia="Calibri" w:cs="Arial"/>
          <w:sz w:val="22"/>
        </w:rPr>
        <w:t>, además que cumplir estos ofrecimientos constituye una obligación contractual, con todas las consecuencias que ello apareja, de manera que los proponentes ofertarán lo que puedan cumplir.</w:t>
      </w:r>
    </w:p>
    <w:p w:rsidRPr="00AA5F83" w:rsidR="00564E86" w:rsidP="00735F76" w:rsidRDefault="00564E86" w14:paraId="3A50813D" w14:textId="317EAADF">
      <w:pPr>
        <w:tabs>
          <w:tab w:val="left" w:pos="709"/>
          <w:tab w:val="left" w:pos="7938"/>
        </w:tabs>
        <w:spacing w:before="120" w:line="276" w:lineRule="auto"/>
        <w:jc w:val="both"/>
        <w:rPr>
          <w:rFonts w:ascii="Arial" w:hAnsi="Arial" w:eastAsia="Calibri" w:cs="Arial"/>
          <w:sz w:val="22"/>
        </w:rPr>
      </w:pPr>
    </w:p>
    <w:p w:rsidRPr="00AA5F83" w:rsidR="00D02F87" w:rsidP="00735F76" w:rsidRDefault="00D02F87" w14:paraId="0DD9DD8D" w14:textId="77777777">
      <w:pPr>
        <w:tabs>
          <w:tab w:val="left" w:pos="709"/>
          <w:tab w:val="left" w:pos="7938"/>
        </w:tabs>
        <w:spacing w:before="120" w:line="276" w:lineRule="auto"/>
        <w:jc w:val="both"/>
        <w:rPr>
          <w:rFonts w:ascii="Arial" w:hAnsi="Arial" w:eastAsia="Calibri" w:cs="Arial"/>
          <w:sz w:val="22"/>
        </w:rPr>
      </w:pPr>
    </w:p>
    <w:p w:rsidRPr="00AA5F83" w:rsidR="007F1B86" w:rsidP="007C1938" w:rsidRDefault="00C21B1C" w14:paraId="0991BD4D" w14:textId="0B4BF2CA">
      <w:pPr>
        <w:pStyle w:val="Prrafodelista"/>
        <w:numPr>
          <w:ilvl w:val="1"/>
          <w:numId w:val="6"/>
        </w:numPr>
        <w:tabs>
          <w:tab w:val="left" w:pos="426"/>
        </w:tabs>
        <w:ind w:left="0" w:firstLine="0"/>
        <w:jc w:val="both"/>
        <w:rPr>
          <w:rFonts w:ascii="Arial" w:hAnsi="Arial" w:eastAsia="Calibri" w:cs="Arial"/>
          <w:b/>
          <w:bCs/>
          <w:sz w:val="22"/>
        </w:rPr>
      </w:pPr>
      <w:r w:rsidRPr="00AA5F83">
        <w:rPr>
          <w:rFonts w:ascii="Arial" w:hAnsi="Arial" w:eastAsia="Calibri" w:cs="Arial"/>
          <w:b/>
          <w:bCs/>
          <w:sz w:val="22"/>
        </w:rPr>
        <w:lastRenderedPageBreak/>
        <w:t xml:space="preserve"> </w:t>
      </w:r>
      <w:r w:rsidRPr="00AA5F83" w:rsidR="00422A6C">
        <w:rPr>
          <w:rFonts w:ascii="Arial" w:hAnsi="Arial" w:eastAsia="Calibri" w:cs="Arial"/>
          <w:b/>
          <w:bCs/>
          <w:sz w:val="22"/>
        </w:rPr>
        <w:t>Contenido del</w:t>
      </w:r>
      <w:r w:rsidRPr="00AA5F83">
        <w:rPr>
          <w:rFonts w:ascii="Arial" w:hAnsi="Arial" w:eastAsia="Calibri" w:cs="Arial"/>
          <w:b/>
          <w:bCs/>
          <w:sz w:val="22"/>
        </w:rPr>
        <w:t xml:space="preserve"> acta de cierre</w:t>
      </w:r>
    </w:p>
    <w:p w:rsidRPr="00AA5F83" w:rsidR="00564E86" w:rsidP="007C1938" w:rsidRDefault="00564E86" w14:paraId="2A45024C" w14:textId="77777777">
      <w:pPr>
        <w:tabs>
          <w:tab w:val="left" w:pos="426"/>
        </w:tabs>
        <w:jc w:val="both"/>
        <w:rPr>
          <w:rFonts w:ascii="Arial" w:hAnsi="Arial" w:eastAsia="Calibri" w:cs="Arial"/>
          <w:sz w:val="22"/>
        </w:rPr>
      </w:pPr>
    </w:p>
    <w:p w:rsidRPr="00AA5F83" w:rsidR="00D23F2E" w:rsidP="00664715" w:rsidRDefault="00222586" w14:paraId="0C6654A0" w14:textId="4E237633">
      <w:pPr>
        <w:tabs>
          <w:tab w:val="left" w:pos="426"/>
        </w:tabs>
        <w:spacing w:before="120" w:line="276" w:lineRule="auto"/>
        <w:jc w:val="both"/>
        <w:rPr>
          <w:rFonts w:ascii="Arial" w:hAnsi="Arial" w:eastAsia="Calibri" w:cs="Arial"/>
          <w:sz w:val="22"/>
        </w:rPr>
      </w:pPr>
      <w:r w:rsidRPr="00AA5F83">
        <w:rPr>
          <w:rFonts w:ascii="Arial" w:hAnsi="Arial" w:eastAsia="Calibri" w:cs="Arial"/>
          <w:sz w:val="22"/>
        </w:rPr>
        <w:t>Finalmente, usted pregunta:</w:t>
      </w:r>
      <w:r w:rsidRPr="00AA5F83" w:rsidR="00D23F2E">
        <w:rPr>
          <w:rFonts w:ascii="Arial" w:hAnsi="Arial" w:eastAsia="Calibri" w:cs="Arial"/>
          <w:sz w:val="22"/>
        </w:rPr>
        <w:t xml:space="preserve"> ¿qué garantías o qu</w:t>
      </w:r>
      <w:r w:rsidR="00A31188">
        <w:rPr>
          <w:rFonts w:ascii="Arial" w:hAnsi="Arial" w:eastAsia="Calibri" w:cs="Arial"/>
          <w:sz w:val="22"/>
        </w:rPr>
        <w:t>é</w:t>
      </w:r>
      <w:r w:rsidRPr="00AA5F83" w:rsidR="00D23F2E">
        <w:rPr>
          <w:rFonts w:ascii="Arial" w:hAnsi="Arial" w:eastAsia="Calibri" w:cs="Arial"/>
          <w:sz w:val="22"/>
        </w:rPr>
        <w:t xml:space="preserve"> normas existen que obliguen a las entidades al momento del cierre </w:t>
      </w:r>
      <w:r w:rsidR="00A31188">
        <w:rPr>
          <w:rFonts w:ascii="Arial" w:hAnsi="Arial" w:eastAsia="Calibri" w:cs="Arial"/>
          <w:sz w:val="22"/>
        </w:rPr>
        <w:t xml:space="preserve">a </w:t>
      </w:r>
      <w:r w:rsidRPr="00AA5F83" w:rsidR="00D23F2E">
        <w:rPr>
          <w:rFonts w:ascii="Arial" w:hAnsi="Arial" w:eastAsia="Calibri" w:cs="Arial"/>
          <w:sz w:val="22"/>
        </w:rPr>
        <w:t xml:space="preserve">plasmar en el acta </w:t>
      </w:r>
      <w:r w:rsidRPr="00AA5F83" w:rsidR="00664715">
        <w:rPr>
          <w:rFonts w:ascii="Arial" w:hAnsi="Arial" w:eastAsia="Calibri" w:cs="Arial"/>
          <w:sz w:val="22"/>
        </w:rPr>
        <w:t xml:space="preserve">de cierre </w:t>
      </w:r>
      <w:r w:rsidRPr="00AA5F83" w:rsidR="00D23F2E">
        <w:rPr>
          <w:rFonts w:ascii="Arial" w:hAnsi="Arial" w:eastAsia="Calibri" w:cs="Arial"/>
          <w:sz w:val="22"/>
        </w:rPr>
        <w:t xml:space="preserve">los ofrecimientos realizados en relación con los </w:t>
      </w:r>
      <w:r w:rsidRPr="00AA5F83" w:rsidR="00664715">
        <w:rPr>
          <w:rFonts w:ascii="Arial" w:hAnsi="Arial" w:eastAsia="Calibri" w:cs="Arial"/>
          <w:sz w:val="22"/>
        </w:rPr>
        <w:t>«</w:t>
      </w:r>
      <w:r w:rsidRPr="00AA5F83" w:rsidR="00D23F2E">
        <w:rPr>
          <w:rFonts w:ascii="Arial" w:hAnsi="Arial" w:eastAsia="Calibri" w:cs="Arial"/>
          <w:sz w:val="22"/>
        </w:rPr>
        <w:t>Factores de Calidad</w:t>
      </w:r>
      <w:r w:rsidRPr="00AA5F83" w:rsidR="00664715">
        <w:rPr>
          <w:rFonts w:ascii="Arial" w:hAnsi="Arial" w:eastAsia="Calibri" w:cs="Arial"/>
          <w:sz w:val="22"/>
        </w:rPr>
        <w:t>»</w:t>
      </w:r>
      <w:r w:rsidRPr="00AA5F83" w:rsidR="00D23F2E">
        <w:rPr>
          <w:rFonts w:ascii="Arial" w:hAnsi="Arial" w:eastAsia="Calibri" w:cs="Arial"/>
          <w:sz w:val="22"/>
        </w:rPr>
        <w:t xml:space="preserve">? Para desarrollar el problema planteado, en primer lugar, se explicará </w:t>
      </w:r>
      <w:r w:rsidRPr="00AA5F83" w:rsidR="00EC4425">
        <w:rPr>
          <w:rFonts w:ascii="Arial" w:hAnsi="Arial" w:eastAsia="Calibri" w:cs="Arial"/>
          <w:sz w:val="22"/>
        </w:rPr>
        <w:t xml:space="preserve">la normativa del </w:t>
      </w:r>
      <w:r w:rsidRPr="00AA5F83" w:rsidR="00830484">
        <w:rPr>
          <w:rFonts w:ascii="Arial" w:hAnsi="Arial" w:eastAsia="Calibri" w:cs="Arial"/>
          <w:sz w:val="22"/>
        </w:rPr>
        <w:t>s</w:t>
      </w:r>
      <w:r w:rsidRPr="00AA5F83" w:rsidR="00EC4425">
        <w:rPr>
          <w:rFonts w:ascii="Arial" w:hAnsi="Arial" w:eastAsia="Calibri" w:cs="Arial"/>
          <w:sz w:val="22"/>
        </w:rPr>
        <w:t xml:space="preserve">istema de </w:t>
      </w:r>
      <w:r w:rsidRPr="00AA5F83" w:rsidR="00830484">
        <w:rPr>
          <w:rFonts w:ascii="Arial" w:hAnsi="Arial" w:eastAsia="Calibri" w:cs="Arial"/>
          <w:sz w:val="22"/>
        </w:rPr>
        <w:t>c</w:t>
      </w:r>
      <w:r w:rsidRPr="00AA5F83" w:rsidR="00EC4425">
        <w:rPr>
          <w:rFonts w:ascii="Arial" w:hAnsi="Arial" w:eastAsia="Calibri" w:cs="Arial"/>
          <w:sz w:val="22"/>
        </w:rPr>
        <w:t xml:space="preserve">ompra </w:t>
      </w:r>
      <w:r w:rsidRPr="00AA5F83" w:rsidR="00830484">
        <w:rPr>
          <w:rFonts w:ascii="Arial" w:hAnsi="Arial" w:eastAsia="Calibri" w:cs="Arial"/>
          <w:sz w:val="22"/>
        </w:rPr>
        <w:t>p</w:t>
      </w:r>
      <w:r w:rsidRPr="00AA5F83" w:rsidR="00EC4425">
        <w:rPr>
          <w:rFonts w:ascii="Arial" w:hAnsi="Arial" w:eastAsia="Calibri" w:cs="Arial"/>
          <w:sz w:val="22"/>
        </w:rPr>
        <w:t>ública que regula el alcance y la información mínima que debe contener este documento;</w:t>
      </w:r>
      <w:r w:rsidRPr="00AA5F83" w:rsidR="00D23F2E">
        <w:rPr>
          <w:rFonts w:ascii="Arial" w:hAnsi="Arial" w:eastAsia="Calibri" w:cs="Arial"/>
          <w:sz w:val="22"/>
        </w:rPr>
        <w:t xml:space="preserve"> y</w:t>
      </w:r>
      <w:r w:rsidRPr="00AA5F83" w:rsidR="00830484">
        <w:rPr>
          <w:rFonts w:ascii="Arial" w:hAnsi="Arial" w:eastAsia="Calibri" w:cs="Arial"/>
          <w:sz w:val="22"/>
        </w:rPr>
        <w:t>,</w:t>
      </w:r>
      <w:r w:rsidRPr="00AA5F83" w:rsidR="00D23F2E">
        <w:rPr>
          <w:rFonts w:ascii="Arial" w:hAnsi="Arial" w:eastAsia="Calibri" w:cs="Arial"/>
          <w:sz w:val="22"/>
        </w:rPr>
        <w:t xml:space="preserve"> en segundo lugar, </w:t>
      </w:r>
      <w:r w:rsidRPr="00AA5F83" w:rsidR="000D7355">
        <w:rPr>
          <w:rFonts w:ascii="Arial" w:hAnsi="Arial" w:eastAsia="Calibri" w:cs="Arial"/>
          <w:sz w:val="22"/>
        </w:rPr>
        <w:t xml:space="preserve">se </w:t>
      </w:r>
      <w:r w:rsidRPr="00AA5F83" w:rsidR="00D23F2E">
        <w:rPr>
          <w:rFonts w:ascii="Arial" w:hAnsi="Arial" w:eastAsia="Calibri" w:cs="Arial"/>
          <w:sz w:val="22"/>
        </w:rPr>
        <w:t>explicar</w:t>
      </w:r>
      <w:r w:rsidRPr="00AA5F83" w:rsidR="000D7355">
        <w:rPr>
          <w:rFonts w:ascii="Arial" w:hAnsi="Arial" w:eastAsia="Calibri" w:cs="Arial"/>
          <w:sz w:val="22"/>
        </w:rPr>
        <w:t xml:space="preserve">á la forma </w:t>
      </w:r>
      <w:r w:rsidRPr="00AA5F83" w:rsidR="00D23F2E">
        <w:rPr>
          <w:rFonts w:ascii="Arial" w:hAnsi="Arial" w:eastAsia="Calibri" w:cs="Arial"/>
          <w:sz w:val="22"/>
        </w:rPr>
        <w:t>c</w:t>
      </w:r>
      <w:r w:rsidRPr="00AA5F83" w:rsidR="00830484">
        <w:rPr>
          <w:rFonts w:ascii="Arial" w:hAnsi="Arial" w:eastAsia="Calibri" w:cs="Arial"/>
          <w:sz w:val="22"/>
        </w:rPr>
        <w:t>o</w:t>
      </w:r>
      <w:r w:rsidRPr="00AA5F83" w:rsidR="00D23F2E">
        <w:rPr>
          <w:rFonts w:ascii="Arial" w:hAnsi="Arial" w:eastAsia="Calibri" w:cs="Arial"/>
          <w:sz w:val="22"/>
        </w:rPr>
        <w:t xml:space="preserve">mo </w:t>
      </w:r>
      <w:r w:rsidR="00A31188">
        <w:rPr>
          <w:rFonts w:ascii="Arial" w:hAnsi="Arial" w:eastAsia="Calibri" w:cs="Arial"/>
          <w:sz w:val="22"/>
        </w:rPr>
        <w:t xml:space="preserve">se </w:t>
      </w:r>
      <w:r w:rsidRPr="00AA5F83" w:rsidR="002A0619">
        <w:rPr>
          <w:rFonts w:ascii="Arial" w:hAnsi="Arial" w:eastAsia="Calibri" w:cs="Arial"/>
          <w:sz w:val="22"/>
        </w:rPr>
        <w:t>regula este tema</w:t>
      </w:r>
      <w:r w:rsidRPr="00AA5F83" w:rsidR="00830484">
        <w:rPr>
          <w:rFonts w:ascii="Arial" w:hAnsi="Arial" w:eastAsia="Calibri" w:cs="Arial"/>
          <w:sz w:val="22"/>
        </w:rPr>
        <w:t xml:space="preserve"> en</w:t>
      </w:r>
      <w:r w:rsidRPr="00AA5F83" w:rsidR="002A0619">
        <w:rPr>
          <w:rFonts w:ascii="Arial" w:hAnsi="Arial" w:eastAsia="Calibri" w:cs="Arial"/>
          <w:sz w:val="22"/>
        </w:rPr>
        <w:t xml:space="preserve"> </w:t>
      </w:r>
      <w:r w:rsidRPr="00AA5F83" w:rsidR="00D23F2E">
        <w:rPr>
          <w:rFonts w:ascii="Arial" w:hAnsi="Arial" w:eastAsia="Calibri" w:cs="Arial"/>
          <w:sz w:val="22"/>
        </w:rPr>
        <w:t xml:space="preserve">los Documentos Tipo </w:t>
      </w:r>
      <w:r w:rsidRPr="00AA5F83" w:rsidR="002A0619">
        <w:rPr>
          <w:rFonts w:ascii="Arial" w:hAnsi="Arial" w:eastAsia="Calibri" w:cs="Arial"/>
          <w:sz w:val="22"/>
        </w:rPr>
        <w:t xml:space="preserve">de infraestructura de </w:t>
      </w:r>
      <w:r w:rsidRPr="00AA5F83" w:rsidR="00830484">
        <w:rPr>
          <w:rFonts w:ascii="Arial" w:hAnsi="Arial" w:eastAsia="Calibri" w:cs="Arial"/>
          <w:sz w:val="22"/>
        </w:rPr>
        <w:t>t</w:t>
      </w:r>
      <w:r w:rsidRPr="00AA5F83" w:rsidR="002A0619">
        <w:rPr>
          <w:rFonts w:ascii="Arial" w:hAnsi="Arial" w:eastAsia="Calibri" w:cs="Arial"/>
          <w:sz w:val="22"/>
        </w:rPr>
        <w:t>ransporte</w:t>
      </w:r>
      <w:r w:rsidRPr="00AA5F83" w:rsidR="00D23F2E">
        <w:rPr>
          <w:rFonts w:ascii="Arial" w:hAnsi="Arial" w:eastAsia="Calibri" w:cs="Arial"/>
          <w:sz w:val="22"/>
        </w:rPr>
        <w:t>.</w:t>
      </w:r>
    </w:p>
    <w:p w:rsidRPr="00AA5F83" w:rsidR="00D955BB" w:rsidP="00664715" w:rsidRDefault="00664715" w14:paraId="24937658" w14:textId="586B16AA">
      <w:pPr>
        <w:tabs>
          <w:tab w:val="left" w:pos="709"/>
        </w:tabs>
        <w:spacing w:before="120" w:line="276" w:lineRule="auto"/>
        <w:jc w:val="both"/>
        <w:rPr>
          <w:rFonts w:ascii="Arial" w:hAnsi="Arial" w:eastAsia="Calibri" w:cs="Arial"/>
          <w:sz w:val="22"/>
        </w:rPr>
      </w:pPr>
      <w:r w:rsidRPr="00AA5F83">
        <w:rPr>
          <w:rFonts w:ascii="Arial" w:hAnsi="Arial" w:eastAsia="Calibri" w:cs="Arial"/>
          <w:sz w:val="22"/>
        </w:rPr>
        <w:tab/>
      </w:r>
      <w:r w:rsidRPr="00AA5F83" w:rsidR="00222586">
        <w:rPr>
          <w:rFonts w:ascii="Arial" w:hAnsi="Arial" w:eastAsia="Calibri" w:cs="Arial"/>
          <w:sz w:val="22"/>
        </w:rPr>
        <w:t xml:space="preserve"> </w:t>
      </w:r>
      <w:r w:rsidRPr="00AA5F83" w:rsidR="00C21B1C">
        <w:rPr>
          <w:rFonts w:ascii="Arial" w:hAnsi="Arial" w:eastAsia="Calibri" w:cs="Arial"/>
          <w:sz w:val="22"/>
        </w:rPr>
        <w:t xml:space="preserve">El </w:t>
      </w:r>
      <w:r w:rsidRPr="00AA5F83" w:rsidR="00830484">
        <w:rPr>
          <w:rFonts w:ascii="Arial" w:hAnsi="Arial" w:eastAsia="Calibri" w:cs="Arial"/>
          <w:sz w:val="22"/>
        </w:rPr>
        <w:t>«</w:t>
      </w:r>
      <w:r w:rsidRPr="00AA5F83" w:rsidR="00C21B1C">
        <w:rPr>
          <w:rFonts w:ascii="Arial" w:hAnsi="Arial" w:eastAsia="Calibri" w:cs="Arial"/>
          <w:sz w:val="22"/>
        </w:rPr>
        <w:t>acta de cierre</w:t>
      </w:r>
      <w:r w:rsidRPr="00AA5F83" w:rsidR="00830484">
        <w:rPr>
          <w:rFonts w:ascii="Arial" w:hAnsi="Arial" w:eastAsia="Calibri" w:cs="Arial"/>
          <w:sz w:val="22"/>
        </w:rPr>
        <w:t>»</w:t>
      </w:r>
      <w:r w:rsidRPr="00AA5F83" w:rsidR="00C21B1C">
        <w:rPr>
          <w:rFonts w:ascii="Arial" w:hAnsi="Arial" w:eastAsia="Calibri" w:cs="Arial"/>
          <w:sz w:val="22"/>
        </w:rPr>
        <w:t xml:space="preserve"> no está regulada en la normativa del </w:t>
      </w:r>
      <w:r w:rsidRPr="00AA5F83" w:rsidR="00830484">
        <w:rPr>
          <w:rFonts w:ascii="Arial" w:hAnsi="Arial" w:eastAsia="Calibri" w:cs="Arial"/>
          <w:sz w:val="22"/>
        </w:rPr>
        <w:t>s</w:t>
      </w:r>
      <w:r w:rsidRPr="00AA5F83" w:rsidR="00C21B1C">
        <w:rPr>
          <w:rFonts w:ascii="Arial" w:hAnsi="Arial" w:eastAsia="Calibri" w:cs="Arial"/>
          <w:sz w:val="22"/>
        </w:rPr>
        <w:t xml:space="preserve">istema de </w:t>
      </w:r>
      <w:r w:rsidRPr="00AA5F83" w:rsidR="00830484">
        <w:rPr>
          <w:rFonts w:ascii="Arial" w:hAnsi="Arial" w:eastAsia="Calibri" w:cs="Arial"/>
          <w:sz w:val="22"/>
        </w:rPr>
        <w:t>c</w:t>
      </w:r>
      <w:r w:rsidRPr="00AA5F83" w:rsidR="00C21B1C">
        <w:rPr>
          <w:rFonts w:ascii="Arial" w:hAnsi="Arial" w:eastAsia="Calibri" w:cs="Arial"/>
          <w:sz w:val="22"/>
        </w:rPr>
        <w:t xml:space="preserve">ompra </w:t>
      </w:r>
      <w:r w:rsidRPr="00AA5F83" w:rsidR="00830484">
        <w:rPr>
          <w:rFonts w:ascii="Arial" w:hAnsi="Arial" w:eastAsia="Calibri" w:cs="Arial"/>
          <w:sz w:val="22"/>
        </w:rPr>
        <w:t>p</w:t>
      </w:r>
      <w:r w:rsidRPr="00AA5F83" w:rsidR="00C21B1C">
        <w:rPr>
          <w:rFonts w:ascii="Arial" w:hAnsi="Arial" w:eastAsia="Calibri" w:cs="Arial"/>
          <w:sz w:val="22"/>
        </w:rPr>
        <w:t>ública</w:t>
      </w:r>
      <w:r w:rsidRPr="00AA5F83" w:rsidR="00830484">
        <w:rPr>
          <w:rFonts w:ascii="Arial" w:hAnsi="Arial" w:eastAsia="Calibri" w:cs="Arial"/>
          <w:sz w:val="22"/>
        </w:rPr>
        <w:t>,</w:t>
      </w:r>
      <w:r w:rsidRPr="00AA5F83">
        <w:rPr>
          <w:rFonts w:ascii="Arial" w:hAnsi="Arial" w:eastAsia="Calibri" w:cs="Arial"/>
          <w:sz w:val="22"/>
        </w:rPr>
        <w:t xml:space="preserve"> </w:t>
      </w:r>
      <w:r w:rsidRPr="00AA5F83" w:rsidR="00C21B1C">
        <w:rPr>
          <w:rFonts w:ascii="Arial" w:hAnsi="Arial" w:eastAsia="Calibri" w:cs="Arial"/>
          <w:sz w:val="22"/>
        </w:rPr>
        <w:t>en consecuencia</w:t>
      </w:r>
      <w:r w:rsidRPr="00AA5F83">
        <w:rPr>
          <w:rFonts w:ascii="Arial" w:hAnsi="Arial" w:eastAsia="Calibri" w:cs="Arial"/>
          <w:sz w:val="22"/>
        </w:rPr>
        <w:t>,</w:t>
      </w:r>
      <w:r w:rsidRPr="00AA5F83" w:rsidR="00D955BB">
        <w:rPr>
          <w:rFonts w:ascii="Arial" w:hAnsi="Arial" w:eastAsia="Calibri" w:cs="Arial"/>
          <w:sz w:val="22"/>
        </w:rPr>
        <w:t xml:space="preserve"> no existe </w:t>
      </w:r>
      <w:r w:rsidRPr="00AA5F83" w:rsidR="00830484">
        <w:rPr>
          <w:rFonts w:ascii="Arial" w:hAnsi="Arial" w:eastAsia="Calibri" w:cs="Arial"/>
          <w:sz w:val="22"/>
        </w:rPr>
        <w:t>l</w:t>
      </w:r>
      <w:r w:rsidRPr="00AA5F83" w:rsidR="00D955BB">
        <w:rPr>
          <w:rFonts w:ascii="Arial" w:hAnsi="Arial" w:eastAsia="Calibri" w:cs="Arial"/>
          <w:sz w:val="22"/>
        </w:rPr>
        <w:t xml:space="preserve">ey o </w:t>
      </w:r>
      <w:r w:rsidRPr="00AA5F83" w:rsidR="00830484">
        <w:rPr>
          <w:rFonts w:ascii="Arial" w:hAnsi="Arial" w:eastAsia="Calibri" w:cs="Arial"/>
          <w:sz w:val="22"/>
        </w:rPr>
        <w:t>d</w:t>
      </w:r>
      <w:r w:rsidRPr="00AA5F83" w:rsidR="00D955BB">
        <w:rPr>
          <w:rFonts w:ascii="Arial" w:hAnsi="Arial" w:eastAsia="Calibri" w:cs="Arial"/>
          <w:sz w:val="22"/>
        </w:rPr>
        <w:t xml:space="preserve">ecreto que </w:t>
      </w:r>
      <w:r w:rsidRPr="00AA5F83" w:rsidR="00C21B1C">
        <w:rPr>
          <w:rFonts w:ascii="Arial" w:hAnsi="Arial" w:eastAsia="Calibri" w:cs="Arial"/>
          <w:sz w:val="22"/>
        </w:rPr>
        <w:t>defin</w:t>
      </w:r>
      <w:r w:rsidRPr="00AA5F83" w:rsidR="00D955BB">
        <w:rPr>
          <w:rFonts w:ascii="Arial" w:hAnsi="Arial" w:eastAsia="Calibri" w:cs="Arial"/>
          <w:sz w:val="22"/>
        </w:rPr>
        <w:t>a o señale</w:t>
      </w:r>
      <w:r w:rsidRPr="00AA5F83" w:rsidR="00C21B1C">
        <w:rPr>
          <w:rFonts w:ascii="Arial" w:hAnsi="Arial" w:eastAsia="Calibri" w:cs="Arial"/>
          <w:sz w:val="22"/>
        </w:rPr>
        <w:t xml:space="preserve"> la información que debe contener este documento</w:t>
      </w:r>
      <w:r w:rsidRPr="00AA5F83" w:rsidR="00DB3B91">
        <w:rPr>
          <w:rFonts w:ascii="Arial" w:hAnsi="Arial" w:eastAsia="Calibri" w:cs="Arial"/>
          <w:sz w:val="22"/>
        </w:rPr>
        <w:t>; sin embargo, pese a la indefinición clara de su contenido, es un documento conocido en la práctica de la contratación estatal</w:t>
      </w:r>
      <w:r w:rsidRPr="00AA5F83" w:rsidR="00C21B1C">
        <w:rPr>
          <w:rFonts w:ascii="Arial" w:hAnsi="Arial" w:eastAsia="Calibri" w:cs="Arial"/>
          <w:sz w:val="22"/>
        </w:rPr>
        <w:t xml:space="preserve">. </w:t>
      </w:r>
      <w:r w:rsidRPr="00AA5F83" w:rsidR="005103AB">
        <w:rPr>
          <w:rFonts w:ascii="Arial" w:hAnsi="Arial" w:eastAsia="Calibri" w:cs="Arial"/>
          <w:sz w:val="22"/>
        </w:rPr>
        <w:t>Al respecto</w:t>
      </w:r>
      <w:r w:rsidRPr="00AA5F83" w:rsidR="00D955BB">
        <w:rPr>
          <w:rFonts w:ascii="Arial" w:hAnsi="Arial" w:eastAsia="Calibri" w:cs="Arial"/>
          <w:sz w:val="22"/>
        </w:rPr>
        <w:t>,</w:t>
      </w:r>
      <w:r w:rsidRPr="00AA5F83" w:rsidR="005103AB">
        <w:rPr>
          <w:rFonts w:ascii="Arial" w:hAnsi="Arial" w:eastAsia="Calibri" w:cs="Arial"/>
          <w:sz w:val="22"/>
        </w:rPr>
        <w:t xml:space="preserve"> el </w:t>
      </w:r>
      <w:r w:rsidRPr="00AA5F83">
        <w:rPr>
          <w:rFonts w:ascii="Arial" w:hAnsi="Arial" w:eastAsia="Calibri" w:cs="Arial"/>
          <w:sz w:val="22"/>
        </w:rPr>
        <w:t>Consejo de Estado</w:t>
      </w:r>
      <w:r w:rsidRPr="00AA5F83" w:rsidR="00D955BB">
        <w:rPr>
          <w:rFonts w:ascii="Arial" w:hAnsi="Arial" w:eastAsia="Calibri" w:cs="Arial"/>
          <w:sz w:val="22"/>
        </w:rPr>
        <w:t xml:space="preserve"> señala que este es un documento que no tiene</w:t>
      </w:r>
      <w:r w:rsidRPr="00AA5F83">
        <w:rPr>
          <w:rFonts w:ascii="Arial" w:hAnsi="Arial" w:eastAsia="Calibri" w:cs="Arial"/>
          <w:sz w:val="22"/>
        </w:rPr>
        <w:t xml:space="preserve"> </w:t>
      </w:r>
      <w:r w:rsidRPr="00AA5F83" w:rsidR="00D955BB">
        <w:rPr>
          <w:rFonts w:ascii="Arial" w:hAnsi="Arial" w:eastAsia="Calibri" w:cs="Arial"/>
          <w:sz w:val="22"/>
        </w:rPr>
        <w:t xml:space="preserve">la naturaleza jurídica de acto administrativo y tiene por objeto registrar un hecho, en este caso, el relativo al cierre de un proceso licitatorio. Así se indicó en los siguientes términos: </w:t>
      </w:r>
    </w:p>
    <w:p w:rsidRPr="00AA5F83" w:rsidR="007F1B86" w:rsidP="007F1B86" w:rsidRDefault="007F1B86" w14:paraId="6A0CB63C" w14:textId="1BFFD5E3">
      <w:pPr>
        <w:pStyle w:val="Prrafodelista"/>
        <w:tabs>
          <w:tab w:val="left" w:pos="284"/>
        </w:tabs>
        <w:spacing w:line="276" w:lineRule="auto"/>
        <w:ind w:left="0"/>
        <w:jc w:val="both"/>
        <w:rPr>
          <w:rFonts w:ascii="Arial" w:hAnsi="Arial" w:eastAsia="Calibri" w:cs="Arial"/>
          <w:bCs/>
          <w:sz w:val="22"/>
        </w:rPr>
      </w:pPr>
    </w:p>
    <w:p w:rsidRPr="00AA5F83" w:rsidR="00D955BB" w:rsidP="002222BF" w:rsidRDefault="00D955BB" w14:paraId="40BD1964" w14:textId="683D66F4">
      <w:pPr>
        <w:pStyle w:val="Prrafodelista"/>
        <w:tabs>
          <w:tab w:val="left" w:pos="284"/>
          <w:tab w:val="left" w:pos="8080"/>
        </w:tabs>
        <w:ind w:left="708" w:right="709"/>
        <w:jc w:val="both"/>
        <w:rPr>
          <w:rFonts w:ascii="Arial" w:hAnsi="Arial" w:eastAsia="Calibri" w:cs="Arial"/>
          <w:bCs/>
          <w:sz w:val="21"/>
          <w:szCs w:val="21"/>
        </w:rPr>
      </w:pPr>
      <w:r w:rsidRPr="00AA5F83">
        <w:rPr>
          <w:rFonts w:ascii="Arial" w:hAnsi="Arial" w:eastAsia="Calibri" w:cs="Arial"/>
          <w:bCs/>
          <w:sz w:val="21"/>
          <w:szCs w:val="21"/>
        </w:rPr>
        <w:t xml:space="preserve">[…] </w:t>
      </w:r>
      <w:r w:rsidRPr="00AA5F83">
        <w:rPr>
          <w:rFonts w:ascii="Arial" w:hAnsi="Arial" w:cs="Arial"/>
          <w:sz w:val="21"/>
          <w:szCs w:val="21"/>
        </w:rPr>
        <w:t>acto que no comporta la naturaleza jurídica de acto administrativo y, por ende, no susceptible de control jurisdiccional, por cuanto no contiene una decisión de la entidad demandada emitida en ejercicio de función administrativa, cuyo contenido y alcance sea la de crear, modificar o extinguir una determinada situación jurídica, sino que tan solo, es un documento limitado a registrar un hecho, en este caso, el relativo al cierre de un proceso licitatorio, determinación ésta preestablecida por la entidad estatal en el respectivo acto de convocatoria del proceso licitatorio y en el pliego de condiciones con base en el cual debió desarrollarse el mismo</w:t>
      </w:r>
      <w:r w:rsidRPr="00AA5F83">
        <w:rPr>
          <w:rStyle w:val="Refdenotaalpie"/>
          <w:rFonts w:ascii="Arial" w:hAnsi="Arial" w:cs="Arial"/>
          <w:sz w:val="21"/>
          <w:szCs w:val="21"/>
        </w:rPr>
        <w:footnoteReference w:id="2"/>
      </w:r>
      <w:r w:rsidRPr="00AA5F83">
        <w:rPr>
          <w:rFonts w:ascii="Arial" w:hAnsi="Arial" w:cs="Arial"/>
          <w:sz w:val="21"/>
          <w:szCs w:val="21"/>
        </w:rPr>
        <w:t>.</w:t>
      </w:r>
    </w:p>
    <w:p w:rsidRPr="00AA5F83" w:rsidR="00222586" w:rsidP="007F1B86" w:rsidRDefault="00222586" w14:paraId="49A44956" w14:textId="77777777">
      <w:pPr>
        <w:pStyle w:val="Prrafodelista"/>
        <w:tabs>
          <w:tab w:val="left" w:pos="284"/>
        </w:tabs>
        <w:spacing w:line="276" w:lineRule="auto"/>
        <w:ind w:left="0"/>
        <w:jc w:val="both"/>
        <w:rPr>
          <w:rFonts w:ascii="Arial" w:hAnsi="Arial" w:eastAsia="Calibri" w:cs="Arial"/>
          <w:bCs/>
          <w:sz w:val="22"/>
        </w:rPr>
      </w:pPr>
    </w:p>
    <w:p w:rsidRPr="00AA5F83" w:rsidR="00735F76" w:rsidP="00F6018B" w:rsidRDefault="00222586" w14:paraId="6EC34DA8" w14:textId="781856D7">
      <w:pPr>
        <w:pStyle w:val="Prrafodelista"/>
        <w:tabs>
          <w:tab w:val="left" w:pos="284"/>
        </w:tabs>
        <w:spacing w:after="120" w:line="276" w:lineRule="auto"/>
        <w:ind w:left="0"/>
        <w:contextualSpacing w:val="0"/>
        <w:jc w:val="both"/>
        <w:rPr>
          <w:rFonts w:ascii="Arial" w:hAnsi="Arial" w:eastAsia="Calibri" w:cs="Arial"/>
          <w:bCs/>
          <w:sz w:val="22"/>
        </w:rPr>
      </w:pPr>
      <w:r w:rsidRPr="00AA5F83">
        <w:rPr>
          <w:rFonts w:ascii="Arial" w:hAnsi="Arial" w:eastAsia="Calibri" w:cs="Arial"/>
          <w:bCs/>
          <w:sz w:val="22"/>
        </w:rPr>
        <w:tab/>
      </w:r>
      <w:r w:rsidRPr="00AA5F83" w:rsidR="00011080">
        <w:rPr>
          <w:rFonts w:ascii="Arial" w:hAnsi="Arial" w:eastAsia="Calibri" w:cs="Arial"/>
          <w:bCs/>
          <w:sz w:val="22"/>
        </w:rPr>
        <w:tab/>
      </w:r>
      <w:r w:rsidRPr="00AA5F83" w:rsidR="00524F93">
        <w:rPr>
          <w:rFonts w:ascii="Arial" w:hAnsi="Arial" w:eastAsia="Calibri" w:cs="Arial"/>
          <w:bCs/>
          <w:sz w:val="22"/>
        </w:rPr>
        <w:t>Así pues</w:t>
      </w:r>
      <w:r w:rsidRPr="00AA5F83" w:rsidR="00011080">
        <w:rPr>
          <w:rFonts w:ascii="Arial" w:hAnsi="Arial" w:eastAsia="Calibri" w:cs="Arial"/>
          <w:bCs/>
          <w:sz w:val="22"/>
        </w:rPr>
        <w:t>, el acta de cierre a pesar de no est</w:t>
      </w:r>
      <w:r w:rsidRPr="00AA5F83" w:rsidR="002222BF">
        <w:rPr>
          <w:rFonts w:ascii="Arial" w:hAnsi="Arial" w:eastAsia="Calibri" w:cs="Arial"/>
          <w:bCs/>
          <w:sz w:val="22"/>
        </w:rPr>
        <w:t>ar</w:t>
      </w:r>
      <w:r w:rsidRPr="00AA5F83" w:rsidR="00011080">
        <w:rPr>
          <w:rFonts w:ascii="Arial" w:hAnsi="Arial" w:eastAsia="Calibri" w:cs="Arial"/>
          <w:bCs/>
          <w:sz w:val="22"/>
        </w:rPr>
        <w:t xml:space="preserve"> regulad</w:t>
      </w:r>
      <w:r w:rsidRPr="00AA5F83" w:rsidR="00DB3B91">
        <w:rPr>
          <w:rFonts w:ascii="Arial" w:hAnsi="Arial" w:eastAsia="Calibri" w:cs="Arial"/>
          <w:bCs/>
          <w:sz w:val="22"/>
        </w:rPr>
        <w:t>a</w:t>
      </w:r>
      <w:r w:rsidRPr="00AA5F83" w:rsidR="00011080">
        <w:rPr>
          <w:rFonts w:ascii="Arial" w:hAnsi="Arial" w:eastAsia="Calibri" w:cs="Arial"/>
          <w:bCs/>
          <w:sz w:val="22"/>
        </w:rPr>
        <w:t xml:space="preserve"> en las normas que regulan la </w:t>
      </w:r>
      <w:r w:rsidRPr="00AA5F83" w:rsidR="00DB3B91">
        <w:rPr>
          <w:rFonts w:ascii="Arial" w:hAnsi="Arial" w:eastAsia="Calibri" w:cs="Arial"/>
          <w:bCs/>
          <w:sz w:val="22"/>
        </w:rPr>
        <w:t>c</w:t>
      </w:r>
      <w:r w:rsidRPr="00AA5F83" w:rsidR="00011080">
        <w:rPr>
          <w:rFonts w:ascii="Arial" w:hAnsi="Arial" w:eastAsia="Calibri" w:cs="Arial"/>
          <w:bCs/>
          <w:sz w:val="22"/>
        </w:rPr>
        <w:t xml:space="preserve">ontratación </w:t>
      </w:r>
      <w:r w:rsidRPr="00AA5F83" w:rsidR="00DB3B91">
        <w:rPr>
          <w:rFonts w:ascii="Arial" w:hAnsi="Arial" w:eastAsia="Calibri" w:cs="Arial"/>
          <w:bCs/>
          <w:sz w:val="22"/>
        </w:rPr>
        <w:t>p</w:t>
      </w:r>
      <w:r w:rsidRPr="00AA5F83" w:rsidR="00011080">
        <w:rPr>
          <w:rFonts w:ascii="Arial" w:hAnsi="Arial" w:eastAsia="Calibri" w:cs="Arial"/>
          <w:bCs/>
          <w:sz w:val="22"/>
        </w:rPr>
        <w:t>ública</w:t>
      </w:r>
      <w:r w:rsidRPr="00AA5F83" w:rsidR="00DB3B91">
        <w:rPr>
          <w:rFonts w:ascii="Arial" w:hAnsi="Arial" w:eastAsia="Calibri" w:cs="Arial"/>
          <w:bCs/>
          <w:sz w:val="22"/>
        </w:rPr>
        <w:t>,</w:t>
      </w:r>
      <w:r w:rsidRPr="00AA5F83" w:rsidR="00011080">
        <w:rPr>
          <w:rFonts w:ascii="Arial" w:hAnsi="Arial" w:eastAsia="Calibri" w:cs="Arial"/>
          <w:bCs/>
          <w:sz w:val="22"/>
        </w:rPr>
        <w:t xml:space="preserve"> la jurisprudencia l</w:t>
      </w:r>
      <w:r w:rsidRPr="00AA5F83" w:rsidR="00DB3B91">
        <w:rPr>
          <w:rFonts w:ascii="Arial" w:hAnsi="Arial" w:eastAsia="Calibri" w:cs="Arial"/>
          <w:bCs/>
          <w:sz w:val="22"/>
        </w:rPr>
        <w:t>a</w:t>
      </w:r>
      <w:r w:rsidRPr="00AA5F83" w:rsidR="00011080">
        <w:rPr>
          <w:rFonts w:ascii="Arial" w:hAnsi="Arial" w:eastAsia="Calibri" w:cs="Arial"/>
          <w:bCs/>
          <w:sz w:val="22"/>
        </w:rPr>
        <w:t xml:space="preserve"> define como un documento que registra el cierre del proceso de contratación. </w:t>
      </w:r>
    </w:p>
    <w:p w:rsidRPr="00AA5F83" w:rsidR="00D00B16" w:rsidP="00F6018B" w:rsidRDefault="00735F76" w14:paraId="43A8DE60" w14:textId="64EE7436">
      <w:pPr>
        <w:pStyle w:val="Prrafodelista"/>
        <w:tabs>
          <w:tab w:val="left" w:pos="284"/>
        </w:tabs>
        <w:spacing w:after="120" w:line="276" w:lineRule="auto"/>
        <w:ind w:left="0"/>
        <w:contextualSpacing w:val="0"/>
        <w:jc w:val="both"/>
        <w:rPr>
          <w:rFonts w:ascii="Arial" w:hAnsi="Arial" w:eastAsia="Calibri" w:cs="Arial"/>
          <w:bCs/>
          <w:sz w:val="22"/>
        </w:rPr>
      </w:pPr>
      <w:r w:rsidRPr="00AA5F83">
        <w:rPr>
          <w:rFonts w:ascii="Arial" w:hAnsi="Arial" w:eastAsia="Calibri" w:cs="Arial"/>
          <w:bCs/>
          <w:sz w:val="22"/>
        </w:rPr>
        <w:tab/>
      </w:r>
      <w:r w:rsidRPr="00AA5F83">
        <w:rPr>
          <w:rFonts w:ascii="Arial" w:hAnsi="Arial" w:eastAsia="Calibri" w:cs="Arial"/>
          <w:bCs/>
          <w:sz w:val="22"/>
        </w:rPr>
        <w:tab/>
      </w:r>
      <w:r w:rsidRPr="00AA5F83">
        <w:rPr>
          <w:rFonts w:ascii="Arial" w:hAnsi="Arial" w:eastAsia="Calibri" w:cs="Arial"/>
          <w:bCs/>
          <w:sz w:val="22"/>
        </w:rPr>
        <w:t>De otra parte, tratándose de procesos licitatorios para la selección de contratistas de obra pública, el</w:t>
      </w:r>
      <w:r w:rsidRPr="00AA5F83" w:rsidR="00524F93">
        <w:rPr>
          <w:rFonts w:ascii="Arial" w:hAnsi="Arial" w:eastAsia="Calibri" w:cs="Arial"/>
          <w:bCs/>
          <w:sz w:val="22"/>
        </w:rPr>
        <w:t xml:space="preserve"> parágrafo 2 del</w:t>
      </w:r>
      <w:r w:rsidRPr="00AA5F83">
        <w:rPr>
          <w:rFonts w:ascii="Arial" w:hAnsi="Arial" w:eastAsia="Calibri" w:cs="Arial"/>
          <w:bCs/>
          <w:sz w:val="22"/>
        </w:rPr>
        <w:t xml:space="preserve"> artículo 30 de la Ley 80 de 1993, modificado por el artículo 1 de la Ley 1882 de 2018, dispone que la</w:t>
      </w:r>
      <w:r w:rsidR="00A31188">
        <w:rPr>
          <w:rFonts w:ascii="Arial" w:hAnsi="Arial" w:eastAsia="Calibri" w:cs="Arial"/>
          <w:bCs/>
          <w:sz w:val="22"/>
        </w:rPr>
        <w:t>s</w:t>
      </w:r>
      <w:r w:rsidRPr="00AA5F83">
        <w:rPr>
          <w:rFonts w:ascii="Arial" w:hAnsi="Arial" w:eastAsia="Calibri" w:cs="Arial"/>
          <w:bCs/>
          <w:sz w:val="22"/>
        </w:rPr>
        <w:t xml:space="preserve"> ofertas debe</w:t>
      </w:r>
      <w:r w:rsidR="00A31188">
        <w:rPr>
          <w:rFonts w:ascii="Arial" w:hAnsi="Arial" w:eastAsia="Calibri" w:cs="Arial"/>
          <w:bCs/>
          <w:sz w:val="22"/>
        </w:rPr>
        <w:t>n</w:t>
      </w:r>
      <w:r w:rsidRPr="00AA5F83">
        <w:rPr>
          <w:rFonts w:ascii="Arial" w:hAnsi="Arial" w:eastAsia="Calibri" w:cs="Arial"/>
          <w:bCs/>
          <w:sz w:val="22"/>
        </w:rPr>
        <w:t xml:space="preserve"> </w:t>
      </w:r>
      <w:r w:rsidR="00A31188">
        <w:rPr>
          <w:rFonts w:ascii="Arial" w:hAnsi="Arial" w:eastAsia="Calibri" w:cs="Arial"/>
          <w:bCs/>
          <w:sz w:val="22"/>
        </w:rPr>
        <w:t>presentarse</w:t>
      </w:r>
      <w:r w:rsidRPr="00AA5F83">
        <w:rPr>
          <w:rFonts w:ascii="Arial" w:hAnsi="Arial" w:eastAsia="Calibri" w:cs="Arial"/>
          <w:bCs/>
          <w:sz w:val="22"/>
        </w:rPr>
        <w:t xml:space="preserve"> en dos sobres: i) un primer sobre en el que se inclu</w:t>
      </w:r>
      <w:r w:rsidR="00A31188">
        <w:rPr>
          <w:rFonts w:ascii="Arial" w:hAnsi="Arial" w:eastAsia="Calibri" w:cs="Arial"/>
          <w:bCs/>
          <w:sz w:val="22"/>
        </w:rPr>
        <w:t>yen</w:t>
      </w:r>
      <w:r w:rsidRPr="00AA5F83">
        <w:rPr>
          <w:rFonts w:ascii="Arial" w:hAnsi="Arial" w:eastAsia="Calibri" w:cs="Arial"/>
          <w:bCs/>
          <w:sz w:val="22"/>
        </w:rPr>
        <w:t xml:space="preserve"> </w:t>
      </w:r>
      <w:r w:rsidRPr="00AA5F83" w:rsidR="00524F93">
        <w:rPr>
          <w:rFonts w:ascii="Arial" w:hAnsi="Arial" w:eastAsia="Calibri" w:cs="Arial"/>
          <w:bCs/>
          <w:sz w:val="22"/>
        </w:rPr>
        <w:t>los documentos relacionados con el cumplimiento de los requisitos habilitantes, así como los requisitos y documentos a los que se les asigne puntaje diferentes a la oferta económica</w:t>
      </w:r>
      <w:r w:rsidR="00A31188">
        <w:rPr>
          <w:rFonts w:ascii="Arial" w:hAnsi="Arial" w:eastAsia="Calibri" w:cs="Arial"/>
          <w:bCs/>
          <w:sz w:val="22"/>
        </w:rPr>
        <w:t xml:space="preserve"> y</w:t>
      </w:r>
      <w:r w:rsidRPr="00AA5F83" w:rsidR="00524F93">
        <w:rPr>
          <w:rFonts w:ascii="Arial" w:hAnsi="Arial" w:eastAsia="Calibri" w:cs="Arial"/>
          <w:bCs/>
          <w:sz w:val="22"/>
        </w:rPr>
        <w:t xml:space="preserve"> ii) un segundo sobre en el que se deposita exclusivamente la oferta económica. </w:t>
      </w:r>
      <w:r w:rsidRPr="00AA5F83" w:rsidR="00D00B16">
        <w:rPr>
          <w:rFonts w:ascii="Arial" w:hAnsi="Arial" w:eastAsia="Calibri" w:cs="Arial"/>
          <w:bCs/>
          <w:sz w:val="22"/>
        </w:rPr>
        <w:t xml:space="preserve">Los ofrecimientos que se realicen con ocasión del «factor de calidad» mediante el «Formato 7E – Cuadrillas de trabajo adicional» </w:t>
      </w:r>
      <w:r w:rsidRPr="00AA5F83" w:rsidR="00D00B16">
        <w:rPr>
          <w:rFonts w:ascii="Arial" w:hAnsi="Arial" w:eastAsia="Calibri" w:cs="Arial"/>
          <w:bCs/>
          <w:sz w:val="22"/>
        </w:rPr>
        <w:lastRenderedPageBreak/>
        <w:t xml:space="preserve">o el «Formato 7F – Mantenimiento adicional», constituyen requisitos que asignan </w:t>
      </w:r>
      <w:proofErr w:type="gramStart"/>
      <w:r w:rsidRPr="00AA5F83" w:rsidR="00D00B16">
        <w:rPr>
          <w:rFonts w:ascii="Arial" w:hAnsi="Arial" w:eastAsia="Calibri" w:cs="Arial"/>
          <w:bCs/>
          <w:sz w:val="22"/>
        </w:rPr>
        <w:t>puntaje distintos</w:t>
      </w:r>
      <w:proofErr w:type="gramEnd"/>
      <w:r w:rsidRPr="00AA5F83" w:rsidR="00D00B16">
        <w:rPr>
          <w:rFonts w:ascii="Arial" w:hAnsi="Arial" w:eastAsia="Calibri" w:cs="Arial"/>
          <w:bCs/>
          <w:sz w:val="22"/>
        </w:rPr>
        <w:t xml:space="preserve"> de la oferta económica, por lo que deben deposita</w:t>
      </w:r>
      <w:r w:rsidR="00A31188">
        <w:rPr>
          <w:rFonts w:ascii="Arial" w:hAnsi="Arial" w:eastAsia="Calibri" w:cs="Arial"/>
          <w:bCs/>
          <w:sz w:val="22"/>
        </w:rPr>
        <w:t>rse</w:t>
      </w:r>
      <w:r w:rsidRPr="00AA5F83" w:rsidR="00D00B16">
        <w:rPr>
          <w:rFonts w:ascii="Arial" w:hAnsi="Arial" w:eastAsia="Calibri" w:cs="Arial"/>
          <w:bCs/>
          <w:sz w:val="22"/>
        </w:rPr>
        <w:t xml:space="preserve"> dentro del primer sobre.</w:t>
      </w:r>
    </w:p>
    <w:p w:rsidRPr="00AA5F83" w:rsidR="00011080" w:rsidP="007F1B86" w:rsidRDefault="00D00B16" w14:paraId="16A529FB" w14:textId="2AED15AF">
      <w:pPr>
        <w:pStyle w:val="Prrafodelista"/>
        <w:tabs>
          <w:tab w:val="left" w:pos="284"/>
        </w:tabs>
        <w:spacing w:line="276" w:lineRule="auto"/>
        <w:ind w:left="0"/>
        <w:jc w:val="both"/>
        <w:rPr>
          <w:rFonts w:ascii="Arial" w:hAnsi="Arial" w:eastAsia="Calibri" w:cs="Arial"/>
          <w:bCs/>
          <w:sz w:val="22"/>
        </w:rPr>
      </w:pPr>
      <w:r w:rsidRPr="00AA5F83">
        <w:rPr>
          <w:rFonts w:ascii="Arial" w:hAnsi="Arial" w:eastAsia="Calibri" w:cs="Arial"/>
          <w:bCs/>
          <w:sz w:val="22"/>
        </w:rPr>
        <w:tab/>
      </w:r>
      <w:r w:rsidRPr="00AA5F83">
        <w:rPr>
          <w:rFonts w:ascii="Arial" w:hAnsi="Arial" w:eastAsia="Calibri" w:cs="Arial"/>
          <w:bCs/>
          <w:sz w:val="22"/>
        </w:rPr>
        <w:tab/>
      </w:r>
      <w:r w:rsidRPr="00AA5F83" w:rsidR="00524F93">
        <w:rPr>
          <w:rFonts w:ascii="Arial" w:hAnsi="Arial" w:eastAsia="Calibri" w:cs="Arial"/>
          <w:bCs/>
          <w:sz w:val="22"/>
        </w:rPr>
        <w:t xml:space="preserve">En desarrollo de esta norma, «el numeral 2.4» de </w:t>
      </w:r>
      <w:r w:rsidRPr="00AA5F83" w:rsidR="00011080">
        <w:rPr>
          <w:rFonts w:ascii="Arial" w:hAnsi="Arial" w:eastAsia="Calibri" w:cs="Arial"/>
          <w:bCs/>
          <w:sz w:val="22"/>
        </w:rPr>
        <w:t>los Documentos Tipo</w:t>
      </w:r>
      <w:r w:rsidRPr="00AA5F83" w:rsidR="00716EEC">
        <w:rPr>
          <w:rFonts w:ascii="Arial" w:hAnsi="Arial" w:eastAsia="Calibri" w:cs="Arial"/>
          <w:bCs/>
          <w:sz w:val="22"/>
        </w:rPr>
        <w:t xml:space="preserve"> </w:t>
      </w:r>
      <w:r w:rsidRPr="00AA5F83" w:rsidR="00222586">
        <w:rPr>
          <w:rFonts w:ascii="Arial" w:hAnsi="Arial" w:eastAsia="Calibri" w:cs="Arial"/>
          <w:bCs/>
          <w:sz w:val="22"/>
        </w:rPr>
        <w:t xml:space="preserve">de infraestructura de </w:t>
      </w:r>
      <w:r w:rsidRPr="00AA5F83" w:rsidR="00DB3B91">
        <w:rPr>
          <w:rFonts w:ascii="Arial" w:hAnsi="Arial" w:eastAsia="Calibri" w:cs="Arial"/>
          <w:bCs/>
          <w:sz w:val="22"/>
        </w:rPr>
        <w:t>t</w:t>
      </w:r>
      <w:r w:rsidRPr="00AA5F83" w:rsidR="00222586">
        <w:rPr>
          <w:rFonts w:ascii="Arial" w:hAnsi="Arial" w:eastAsia="Calibri" w:cs="Arial"/>
          <w:bCs/>
          <w:sz w:val="22"/>
        </w:rPr>
        <w:t>ransporte</w:t>
      </w:r>
      <w:r w:rsidRPr="00AA5F83" w:rsidR="002222BF">
        <w:rPr>
          <w:rStyle w:val="Refdenotaalpie"/>
          <w:rFonts w:ascii="Arial" w:hAnsi="Arial" w:eastAsia="Calibri" w:cs="Arial"/>
          <w:bCs/>
          <w:sz w:val="22"/>
        </w:rPr>
        <w:footnoteReference w:id="3"/>
      </w:r>
      <w:r w:rsidRPr="00AA5F83" w:rsidR="00524F93">
        <w:rPr>
          <w:rFonts w:ascii="Arial" w:hAnsi="Arial" w:eastAsia="Calibri" w:cs="Arial"/>
          <w:bCs/>
          <w:sz w:val="22"/>
        </w:rPr>
        <w:t xml:space="preserve"> regula la apertura de estos sobres,</w:t>
      </w:r>
      <w:r w:rsidRPr="00AA5F83" w:rsidR="00716EEC">
        <w:rPr>
          <w:rFonts w:ascii="Arial" w:hAnsi="Arial" w:eastAsia="Calibri" w:cs="Arial"/>
          <w:bCs/>
          <w:sz w:val="22"/>
        </w:rPr>
        <w:t xml:space="preserve"> señala</w:t>
      </w:r>
      <w:r w:rsidRPr="00AA5F83" w:rsidR="00DB3B91">
        <w:rPr>
          <w:rFonts w:ascii="Arial" w:hAnsi="Arial" w:eastAsia="Calibri" w:cs="Arial"/>
          <w:bCs/>
          <w:sz w:val="22"/>
        </w:rPr>
        <w:t>n</w:t>
      </w:r>
      <w:r w:rsidRPr="00AA5F83" w:rsidR="00524F93">
        <w:rPr>
          <w:rFonts w:ascii="Arial" w:hAnsi="Arial" w:eastAsia="Calibri" w:cs="Arial"/>
          <w:bCs/>
          <w:sz w:val="22"/>
        </w:rPr>
        <w:t>do</w:t>
      </w:r>
      <w:r w:rsidRPr="00AA5F83" w:rsidR="00716EEC">
        <w:rPr>
          <w:rFonts w:ascii="Arial" w:hAnsi="Arial" w:eastAsia="Calibri" w:cs="Arial"/>
          <w:bCs/>
          <w:sz w:val="22"/>
        </w:rPr>
        <w:t xml:space="preserve"> que</w:t>
      </w:r>
      <w:r w:rsidRPr="00AA5F83" w:rsidR="003F2435">
        <w:rPr>
          <w:rFonts w:ascii="Arial" w:hAnsi="Arial" w:eastAsia="Calibri" w:cs="Arial"/>
          <w:bCs/>
          <w:sz w:val="22"/>
        </w:rPr>
        <w:t xml:space="preserve"> en los procesos adelantados en el SECOP I, </w:t>
      </w:r>
      <w:r w:rsidRPr="00AA5F83" w:rsidR="00716EEC">
        <w:rPr>
          <w:rFonts w:ascii="Arial" w:hAnsi="Arial" w:eastAsia="Calibri" w:cs="Arial"/>
          <w:bCs/>
          <w:sz w:val="22"/>
        </w:rPr>
        <w:t>es necesario que</w:t>
      </w:r>
      <w:r w:rsidRPr="00AA5F83" w:rsidR="00222586">
        <w:rPr>
          <w:rFonts w:ascii="Arial" w:hAnsi="Arial" w:eastAsia="Calibri" w:cs="Arial"/>
          <w:bCs/>
          <w:sz w:val="22"/>
        </w:rPr>
        <w:t xml:space="preserve"> las </w:t>
      </w:r>
      <w:r w:rsidRPr="00AA5F83" w:rsidR="00DB3B91">
        <w:rPr>
          <w:rFonts w:ascii="Arial" w:hAnsi="Arial" w:eastAsia="Calibri" w:cs="Arial"/>
          <w:bCs/>
          <w:sz w:val="22"/>
        </w:rPr>
        <w:t>e</w:t>
      </w:r>
      <w:r w:rsidRPr="00AA5F83" w:rsidR="00222586">
        <w:rPr>
          <w:rFonts w:ascii="Arial" w:hAnsi="Arial" w:eastAsia="Calibri" w:cs="Arial"/>
          <w:bCs/>
          <w:sz w:val="22"/>
        </w:rPr>
        <w:t>ntidades elabor</w:t>
      </w:r>
      <w:r w:rsidRPr="00AA5F83" w:rsidR="00716EEC">
        <w:rPr>
          <w:rFonts w:ascii="Arial" w:hAnsi="Arial" w:eastAsia="Calibri" w:cs="Arial"/>
          <w:bCs/>
          <w:sz w:val="22"/>
        </w:rPr>
        <w:t>en</w:t>
      </w:r>
      <w:r w:rsidRPr="00AA5F83" w:rsidR="00222586">
        <w:rPr>
          <w:rFonts w:ascii="Arial" w:hAnsi="Arial" w:eastAsia="Calibri" w:cs="Arial"/>
          <w:bCs/>
          <w:sz w:val="22"/>
        </w:rPr>
        <w:t xml:space="preserve"> un </w:t>
      </w:r>
      <w:r w:rsidRPr="00AA5F83" w:rsidR="00DB3B91">
        <w:rPr>
          <w:rFonts w:ascii="Arial" w:hAnsi="Arial" w:eastAsia="Calibri" w:cs="Arial"/>
          <w:bCs/>
          <w:sz w:val="22"/>
        </w:rPr>
        <w:t>«</w:t>
      </w:r>
      <w:r w:rsidRPr="00AA5F83" w:rsidR="00222586">
        <w:rPr>
          <w:rFonts w:ascii="Arial" w:hAnsi="Arial" w:eastAsia="Calibri" w:cs="Arial"/>
          <w:bCs/>
          <w:sz w:val="22"/>
        </w:rPr>
        <w:t>acta de cierre</w:t>
      </w:r>
      <w:r w:rsidRPr="00AA5F83" w:rsidR="00DB3B91">
        <w:rPr>
          <w:rFonts w:ascii="Arial" w:hAnsi="Arial" w:eastAsia="Calibri" w:cs="Arial"/>
          <w:bCs/>
          <w:sz w:val="22"/>
        </w:rPr>
        <w:t>»</w:t>
      </w:r>
      <w:r w:rsidRPr="00AA5F83" w:rsidR="00222586">
        <w:rPr>
          <w:rFonts w:ascii="Arial" w:hAnsi="Arial" w:eastAsia="Calibri" w:cs="Arial"/>
          <w:bCs/>
          <w:sz w:val="22"/>
        </w:rPr>
        <w:t xml:space="preserve"> al momento de la apertura de las ofertas. </w:t>
      </w:r>
      <w:r w:rsidRPr="00AA5F83" w:rsidR="00011080">
        <w:rPr>
          <w:rFonts w:ascii="Arial" w:hAnsi="Arial" w:eastAsia="Calibri" w:cs="Arial"/>
          <w:bCs/>
          <w:sz w:val="22"/>
        </w:rPr>
        <w:t xml:space="preserve">Así se </w:t>
      </w:r>
      <w:r w:rsidRPr="00AA5F83" w:rsidR="003F2435">
        <w:rPr>
          <w:rFonts w:ascii="Arial" w:hAnsi="Arial" w:eastAsia="Calibri" w:cs="Arial"/>
          <w:bCs/>
          <w:sz w:val="22"/>
        </w:rPr>
        <w:t>indicó</w:t>
      </w:r>
      <w:r w:rsidRPr="00AA5F83" w:rsidR="00011080">
        <w:rPr>
          <w:rFonts w:ascii="Arial" w:hAnsi="Arial" w:eastAsia="Calibri" w:cs="Arial"/>
          <w:bCs/>
          <w:sz w:val="22"/>
        </w:rPr>
        <w:t xml:space="preserve">: </w:t>
      </w:r>
    </w:p>
    <w:p w:rsidRPr="00AA5F83" w:rsidR="00EC4425" w:rsidP="00EC4425" w:rsidRDefault="00EC4425" w14:paraId="61CEDB35" w14:textId="57BC71C5">
      <w:pPr>
        <w:pStyle w:val="Prrafodelista"/>
        <w:tabs>
          <w:tab w:val="left" w:pos="284"/>
        </w:tabs>
        <w:ind w:left="0"/>
        <w:jc w:val="both"/>
        <w:rPr>
          <w:rFonts w:ascii="Arial" w:hAnsi="Arial" w:eastAsia="Calibri" w:cs="Arial"/>
          <w:bCs/>
          <w:sz w:val="22"/>
        </w:rPr>
      </w:pPr>
    </w:p>
    <w:p w:rsidRPr="00AA5F83" w:rsidR="00250764" w:rsidP="00716EEC" w:rsidRDefault="00EC4425" w14:paraId="01386DF5" w14:textId="0DA7FEF9">
      <w:pPr>
        <w:pStyle w:val="Prrafodelista"/>
        <w:tabs>
          <w:tab w:val="left" w:pos="284"/>
        </w:tabs>
        <w:ind w:left="708" w:right="567"/>
        <w:jc w:val="both"/>
        <w:rPr>
          <w:rFonts w:ascii="Arial" w:hAnsi="Arial" w:eastAsia="Calibri" w:cs="Arial"/>
          <w:bCs/>
          <w:sz w:val="21"/>
          <w:szCs w:val="21"/>
        </w:rPr>
      </w:pPr>
      <w:r w:rsidRPr="00AA5F83">
        <w:rPr>
          <w:rFonts w:ascii="Arial" w:hAnsi="Arial" w:eastAsia="Calibri" w:cs="Arial"/>
          <w:bCs/>
          <w:sz w:val="21"/>
          <w:szCs w:val="21"/>
        </w:rPr>
        <w:t>Una vez vencido el término para presentar ofertas, la Entidad Estatal debe realizar la apertura del Sobre No. 1 en presencia de los Proponentes o veedores que deseen asistir y elaborar un acta de cierre en la cual conste la fecha y hora de recibo de las ofertas, indicando el nombre o razón social de los oferentes y sus representantes legales, conforme lo dispuesto en el artículo 2.2.1.1.2.2.5 del Decreto 1082 de 2015.</w:t>
      </w:r>
    </w:p>
    <w:p w:rsidRPr="00AA5F83" w:rsidR="00D00B16" w:rsidP="00716EEC" w:rsidRDefault="00D00B16" w14:paraId="00ED5780" w14:textId="2C427017">
      <w:pPr>
        <w:pStyle w:val="Prrafodelista"/>
        <w:tabs>
          <w:tab w:val="left" w:pos="284"/>
        </w:tabs>
        <w:ind w:left="708" w:right="567"/>
        <w:jc w:val="both"/>
        <w:rPr>
          <w:rFonts w:ascii="Arial" w:hAnsi="Arial" w:eastAsia="Calibri" w:cs="Arial"/>
          <w:bCs/>
          <w:sz w:val="21"/>
          <w:szCs w:val="21"/>
        </w:rPr>
      </w:pPr>
    </w:p>
    <w:p w:rsidRPr="00AA5F83" w:rsidR="00D00B16" w:rsidP="00716EEC" w:rsidRDefault="00D00B16" w14:paraId="0BD2EABE" w14:textId="26845CD9">
      <w:pPr>
        <w:pStyle w:val="Prrafodelista"/>
        <w:tabs>
          <w:tab w:val="left" w:pos="284"/>
        </w:tabs>
        <w:ind w:left="708" w:right="567"/>
        <w:jc w:val="both"/>
        <w:rPr>
          <w:rFonts w:ascii="Arial" w:hAnsi="Arial" w:eastAsia="Calibri" w:cs="Arial"/>
          <w:bCs/>
          <w:sz w:val="21"/>
          <w:szCs w:val="21"/>
        </w:rPr>
      </w:pPr>
      <w:r w:rsidRPr="00AA5F83">
        <w:rPr>
          <w:rFonts w:ascii="Arial" w:hAnsi="Arial" w:eastAsia="Calibri" w:cs="Arial"/>
          <w:bCs/>
          <w:sz w:val="21"/>
          <w:szCs w:val="21"/>
        </w:rPr>
        <w:t>En el lugar y fecha señalada, en un acto público se realizará la apertura del Sobre No. 1 de todas las ofertas y tendrá la responsabilidad de hacerlo la [Dependencia de la Entidad encargada de abrir el sobre]. Una vez realizada la apertura, las propuestas son públicas y cualquier persona podrá consultarlas en el sitio o pedir copias, de conformidad con lo establecido en la Ley 1437 de 2011 y respetando la reserva de que gocen legalmente las patentes, procedimientos y privilegios.</w:t>
      </w:r>
      <w:r w:rsidR="00A31188">
        <w:rPr>
          <w:rFonts w:ascii="Arial" w:hAnsi="Arial" w:eastAsia="Calibri" w:cs="Arial"/>
          <w:bCs/>
          <w:sz w:val="21"/>
          <w:szCs w:val="21"/>
        </w:rPr>
        <w:t xml:space="preserve"> (Aparte en corchetes propio del original).</w:t>
      </w:r>
    </w:p>
    <w:p w:rsidRPr="00AA5F83" w:rsidR="00DB3B91" w:rsidP="00716EEC" w:rsidRDefault="00DB3B91" w14:paraId="65225F63" w14:textId="77777777">
      <w:pPr>
        <w:pStyle w:val="Prrafodelista"/>
        <w:tabs>
          <w:tab w:val="left" w:pos="284"/>
        </w:tabs>
        <w:ind w:left="708" w:right="567"/>
        <w:jc w:val="both"/>
        <w:rPr>
          <w:rFonts w:ascii="Arial" w:hAnsi="Arial" w:eastAsia="Calibri" w:cs="Arial"/>
          <w:bCs/>
          <w:sz w:val="21"/>
          <w:szCs w:val="21"/>
        </w:rPr>
      </w:pPr>
    </w:p>
    <w:p w:rsidRPr="00AA5F83" w:rsidR="00D00B16" w:rsidP="00716EEC" w:rsidRDefault="003F2435" w14:paraId="2C30C7E8" w14:textId="149A7FA7">
      <w:pPr>
        <w:tabs>
          <w:tab w:val="left" w:pos="709"/>
        </w:tabs>
        <w:spacing w:before="120" w:line="276" w:lineRule="auto"/>
        <w:jc w:val="both"/>
        <w:rPr>
          <w:rFonts w:ascii="Arial" w:hAnsi="Arial" w:eastAsia="Calibri" w:cs="Arial"/>
          <w:bCs/>
          <w:sz w:val="22"/>
        </w:rPr>
      </w:pPr>
      <w:r w:rsidRPr="00AA5F83">
        <w:rPr>
          <w:rFonts w:ascii="Arial" w:hAnsi="Arial" w:eastAsia="Calibri" w:cs="Arial"/>
          <w:bCs/>
          <w:sz w:val="22"/>
        </w:rPr>
        <w:tab/>
      </w:r>
      <w:r w:rsidRPr="00AA5F83" w:rsidR="00B5709C">
        <w:rPr>
          <w:rFonts w:ascii="Arial" w:hAnsi="Arial" w:eastAsia="Calibri" w:cs="Arial"/>
          <w:bCs/>
          <w:sz w:val="22"/>
        </w:rPr>
        <w:t>Igualmente</w:t>
      </w:r>
      <w:r w:rsidRPr="00AA5F83">
        <w:rPr>
          <w:rFonts w:ascii="Arial" w:hAnsi="Arial" w:eastAsia="Calibri" w:cs="Arial"/>
          <w:bCs/>
          <w:sz w:val="22"/>
        </w:rPr>
        <w:t xml:space="preserve"> se señala </w:t>
      </w:r>
      <w:r w:rsidRPr="00AA5F83" w:rsidR="00716EEC">
        <w:rPr>
          <w:rFonts w:ascii="Arial" w:hAnsi="Arial" w:eastAsia="Calibri" w:cs="Arial"/>
          <w:bCs/>
          <w:sz w:val="22"/>
        </w:rPr>
        <w:t xml:space="preserve">que los funcionarios o contratistas de la </w:t>
      </w:r>
      <w:r w:rsidRPr="00AA5F83" w:rsidR="00DB3B91">
        <w:rPr>
          <w:rFonts w:ascii="Arial" w:hAnsi="Arial" w:eastAsia="Calibri" w:cs="Arial"/>
          <w:bCs/>
          <w:sz w:val="22"/>
        </w:rPr>
        <w:t>e</w:t>
      </w:r>
      <w:r w:rsidRPr="00AA5F83" w:rsidR="00716EEC">
        <w:rPr>
          <w:rFonts w:ascii="Arial" w:hAnsi="Arial" w:eastAsia="Calibri" w:cs="Arial"/>
          <w:bCs/>
          <w:sz w:val="22"/>
        </w:rPr>
        <w:t xml:space="preserve">ntidad que intervengan en </w:t>
      </w:r>
      <w:r w:rsidRPr="00AA5F83" w:rsidR="00DF332E">
        <w:rPr>
          <w:rFonts w:ascii="Arial" w:hAnsi="Arial" w:eastAsia="Calibri" w:cs="Arial"/>
          <w:bCs/>
          <w:sz w:val="22"/>
        </w:rPr>
        <w:t xml:space="preserve">la apertura de las ofertas </w:t>
      </w:r>
      <w:r w:rsidRPr="00AA5F83" w:rsidR="00716EEC">
        <w:rPr>
          <w:rFonts w:ascii="Arial" w:hAnsi="Arial" w:eastAsia="Calibri" w:cs="Arial"/>
          <w:bCs/>
          <w:sz w:val="22"/>
        </w:rPr>
        <w:t>deben suscribir</w:t>
      </w:r>
      <w:r w:rsidRPr="00AA5F83" w:rsidR="00DF332E">
        <w:rPr>
          <w:rFonts w:ascii="Arial" w:hAnsi="Arial" w:eastAsia="Calibri" w:cs="Arial"/>
          <w:bCs/>
          <w:sz w:val="22"/>
        </w:rPr>
        <w:t xml:space="preserve"> el acta</w:t>
      </w:r>
      <w:r w:rsidRPr="00AA5F83" w:rsidR="00716EEC">
        <w:rPr>
          <w:rFonts w:ascii="Arial" w:hAnsi="Arial" w:eastAsia="Calibri" w:cs="Arial"/>
          <w:bCs/>
          <w:sz w:val="22"/>
        </w:rPr>
        <w:t xml:space="preserve"> y</w:t>
      </w:r>
      <w:r w:rsidRPr="00AA5F83" w:rsidR="00DB3B91">
        <w:rPr>
          <w:rFonts w:ascii="Arial" w:hAnsi="Arial" w:eastAsia="Calibri" w:cs="Arial"/>
          <w:bCs/>
          <w:sz w:val="22"/>
        </w:rPr>
        <w:t>,</w:t>
      </w:r>
      <w:r w:rsidRPr="00AA5F83" w:rsidR="00716EEC">
        <w:rPr>
          <w:rFonts w:ascii="Arial" w:hAnsi="Arial" w:eastAsia="Calibri" w:cs="Arial"/>
          <w:bCs/>
          <w:sz w:val="22"/>
        </w:rPr>
        <w:t xml:space="preserve"> ademá</w:t>
      </w:r>
      <w:r w:rsidRPr="00AA5F83" w:rsidR="005E7BC9">
        <w:rPr>
          <w:rFonts w:ascii="Arial" w:hAnsi="Arial" w:eastAsia="Calibri" w:cs="Arial"/>
          <w:bCs/>
          <w:sz w:val="22"/>
        </w:rPr>
        <w:t>s</w:t>
      </w:r>
      <w:r w:rsidRPr="00AA5F83" w:rsidR="00DB3B91">
        <w:rPr>
          <w:rFonts w:ascii="Arial" w:hAnsi="Arial" w:eastAsia="Calibri" w:cs="Arial"/>
          <w:bCs/>
          <w:sz w:val="22"/>
        </w:rPr>
        <w:t>,</w:t>
      </w:r>
      <w:r w:rsidRPr="00AA5F83" w:rsidR="00E90CC8">
        <w:rPr>
          <w:rFonts w:ascii="Arial" w:hAnsi="Arial" w:eastAsia="Calibri" w:cs="Arial"/>
          <w:bCs/>
          <w:sz w:val="22"/>
        </w:rPr>
        <w:t xml:space="preserve"> diligenciar como información mínima</w:t>
      </w:r>
      <w:r w:rsidRPr="00AA5F83" w:rsidR="00DB3B91">
        <w:rPr>
          <w:rFonts w:ascii="Arial" w:hAnsi="Arial" w:eastAsia="Calibri" w:cs="Arial"/>
          <w:bCs/>
          <w:sz w:val="22"/>
        </w:rPr>
        <w:t>:</w:t>
      </w:r>
      <w:r w:rsidRPr="00AA5F83" w:rsidR="00716EEC">
        <w:rPr>
          <w:rFonts w:ascii="Arial" w:hAnsi="Arial" w:eastAsia="Calibri" w:cs="Arial"/>
          <w:bCs/>
          <w:sz w:val="22"/>
        </w:rPr>
        <w:t xml:space="preserve"> </w:t>
      </w:r>
      <w:r w:rsidRPr="00AA5F83">
        <w:rPr>
          <w:rFonts w:ascii="Arial" w:hAnsi="Arial" w:eastAsia="Calibri" w:cs="Arial"/>
          <w:bCs/>
          <w:sz w:val="22"/>
        </w:rPr>
        <w:t>el nombre de los proponentes</w:t>
      </w:r>
      <w:r w:rsidRPr="00AA5F83" w:rsidR="00DB3B91">
        <w:rPr>
          <w:rFonts w:ascii="Arial" w:hAnsi="Arial" w:eastAsia="Calibri" w:cs="Arial"/>
          <w:bCs/>
          <w:sz w:val="22"/>
        </w:rPr>
        <w:t>;</w:t>
      </w:r>
      <w:r w:rsidRPr="00AA5F83">
        <w:rPr>
          <w:rFonts w:ascii="Arial" w:hAnsi="Arial" w:eastAsia="Calibri" w:cs="Arial"/>
          <w:bCs/>
          <w:sz w:val="22"/>
        </w:rPr>
        <w:t xml:space="preserve"> si la carta de presentación fue incluida y está firmada</w:t>
      </w:r>
      <w:r w:rsidRPr="00AA5F83" w:rsidR="00DB3B91">
        <w:rPr>
          <w:rFonts w:ascii="Arial" w:hAnsi="Arial" w:eastAsia="Calibri" w:cs="Arial"/>
          <w:bCs/>
          <w:sz w:val="22"/>
        </w:rPr>
        <w:t>;</w:t>
      </w:r>
      <w:r w:rsidRPr="00AA5F83">
        <w:rPr>
          <w:rFonts w:ascii="Arial" w:hAnsi="Arial" w:eastAsia="Calibri" w:cs="Arial"/>
          <w:bCs/>
          <w:sz w:val="22"/>
        </w:rPr>
        <w:t xml:space="preserve"> el número de la garantía de seriedad de la oferta que la acompaña; el número de folios</w:t>
      </w:r>
      <w:r w:rsidRPr="00AA5F83" w:rsidR="00DB3B91">
        <w:rPr>
          <w:rFonts w:ascii="Arial" w:hAnsi="Arial" w:eastAsia="Calibri" w:cs="Arial"/>
          <w:bCs/>
          <w:sz w:val="22"/>
        </w:rPr>
        <w:t>;</w:t>
      </w:r>
      <w:r w:rsidRPr="00AA5F83">
        <w:rPr>
          <w:rFonts w:ascii="Arial" w:hAnsi="Arial" w:eastAsia="Calibri" w:cs="Arial"/>
          <w:bCs/>
          <w:sz w:val="22"/>
        </w:rPr>
        <w:t xml:space="preserve"> las observaciones correspondientes</w:t>
      </w:r>
      <w:r w:rsidRPr="00AA5F83" w:rsidR="00DB3B91">
        <w:rPr>
          <w:rFonts w:ascii="Arial" w:hAnsi="Arial" w:eastAsia="Calibri" w:cs="Arial"/>
          <w:bCs/>
          <w:sz w:val="22"/>
        </w:rPr>
        <w:t>;</w:t>
      </w:r>
      <w:r w:rsidRPr="00AA5F83">
        <w:rPr>
          <w:rFonts w:ascii="Arial" w:hAnsi="Arial" w:eastAsia="Calibri" w:cs="Arial"/>
          <w:bCs/>
          <w:sz w:val="22"/>
        </w:rPr>
        <w:t xml:space="preserve"> así como los demás aspectos relevantes que considere la </w:t>
      </w:r>
      <w:r w:rsidRPr="00AA5F83" w:rsidR="00DB3B91">
        <w:rPr>
          <w:rFonts w:ascii="Arial" w:hAnsi="Arial" w:eastAsia="Calibri" w:cs="Arial"/>
          <w:bCs/>
          <w:sz w:val="22"/>
        </w:rPr>
        <w:t>e</w:t>
      </w:r>
      <w:r w:rsidRPr="00AA5F83">
        <w:rPr>
          <w:rFonts w:ascii="Arial" w:hAnsi="Arial" w:eastAsia="Calibri" w:cs="Arial"/>
          <w:bCs/>
          <w:sz w:val="22"/>
        </w:rPr>
        <w:t xml:space="preserve">ntidad. De esta forma, la </w:t>
      </w:r>
      <w:r w:rsidRPr="00AA5F83" w:rsidR="00DB3B91">
        <w:rPr>
          <w:rFonts w:ascii="Arial" w:hAnsi="Arial" w:eastAsia="Calibri" w:cs="Arial"/>
          <w:bCs/>
          <w:sz w:val="22"/>
        </w:rPr>
        <w:t>e</w:t>
      </w:r>
      <w:r w:rsidRPr="00AA5F83">
        <w:rPr>
          <w:rFonts w:ascii="Arial" w:hAnsi="Arial" w:eastAsia="Calibri" w:cs="Arial"/>
          <w:bCs/>
          <w:sz w:val="22"/>
        </w:rPr>
        <w:t xml:space="preserve">ntidad </w:t>
      </w:r>
      <w:r w:rsidRPr="00AA5F83" w:rsidR="00716EEC">
        <w:rPr>
          <w:rFonts w:ascii="Arial" w:hAnsi="Arial" w:eastAsia="Calibri" w:cs="Arial"/>
          <w:bCs/>
          <w:sz w:val="22"/>
        </w:rPr>
        <w:t xml:space="preserve">tiene la </w:t>
      </w:r>
      <w:r w:rsidRPr="00AA5F83" w:rsidR="00DB3B91">
        <w:rPr>
          <w:rFonts w:ascii="Arial" w:hAnsi="Arial" w:eastAsia="Calibri" w:cs="Arial"/>
          <w:bCs/>
          <w:sz w:val="22"/>
        </w:rPr>
        <w:t xml:space="preserve">discrecionalidad </w:t>
      </w:r>
      <w:r w:rsidRPr="00AA5F83" w:rsidR="00716EEC">
        <w:rPr>
          <w:rFonts w:ascii="Arial" w:hAnsi="Arial" w:eastAsia="Calibri" w:cs="Arial"/>
          <w:bCs/>
          <w:sz w:val="22"/>
        </w:rPr>
        <w:t xml:space="preserve">de </w:t>
      </w:r>
      <w:r w:rsidRPr="00AA5F83">
        <w:rPr>
          <w:rFonts w:ascii="Arial" w:hAnsi="Arial" w:eastAsia="Calibri" w:cs="Arial"/>
          <w:bCs/>
          <w:sz w:val="22"/>
        </w:rPr>
        <w:t xml:space="preserve">incluir </w:t>
      </w:r>
      <w:r w:rsidRPr="00AA5F83" w:rsidR="00DB3B91">
        <w:rPr>
          <w:rFonts w:ascii="Arial" w:hAnsi="Arial" w:eastAsia="Calibri" w:cs="Arial"/>
          <w:bCs/>
          <w:sz w:val="22"/>
        </w:rPr>
        <w:t xml:space="preserve">otros </w:t>
      </w:r>
      <w:r w:rsidRPr="00AA5F83" w:rsidR="00716EEC">
        <w:rPr>
          <w:rFonts w:ascii="Arial" w:hAnsi="Arial" w:eastAsia="Calibri" w:cs="Arial"/>
          <w:bCs/>
          <w:sz w:val="22"/>
        </w:rPr>
        <w:t>aspectos relevantes de la oferta, como es el caso del ofrecimiento realizado por los proponentes en los «Factores de calidad»</w:t>
      </w:r>
      <w:r w:rsidRPr="00AA5F83" w:rsidR="00716EEC">
        <w:rPr>
          <w:rStyle w:val="Refdenotaalpie"/>
          <w:rFonts w:ascii="Arial" w:hAnsi="Arial" w:eastAsia="Calibri" w:cs="Arial"/>
          <w:bCs/>
          <w:sz w:val="22"/>
        </w:rPr>
        <w:footnoteReference w:id="4"/>
      </w:r>
      <w:r w:rsidRPr="00AA5F83" w:rsidR="00D00B16">
        <w:rPr>
          <w:rFonts w:ascii="Arial" w:hAnsi="Arial" w:eastAsia="Calibri" w:cs="Arial"/>
          <w:bCs/>
          <w:sz w:val="22"/>
        </w:rPr>
        <w:t xml:space="preserve">. </w:t>
      </w:r>
    </w:p>
    <w:p w:rsidRPr="00AA5F83" w:rsidR="00D00B16" w:rsidP="00716EEC" w:rsidRDefault="00D00B16" w14:paraId="061FEF0E" w14:textId="28F00469">
      <w:pPr>
        <w:tabs>
          <w:tab w:val="left" w:pos="709"/>
        </w:tabs>
        <w:spacing w:before="120" w:line="276" w:lineRule="auto"/>
        <w:jc w:val="both"/>
        <w:rPr>
          <w:rFonts w:ascii="Arial" w:hAnsi="Arial" w:eastAsia="Calibri" w:cs="Arial"/>
          <w:bCs/>
          <w:sz w:val="22"/>
        </w:rPr>
      </w:pPr>
      <w:r w:rsidRPr="00AA5F83">
        <w:rPr>
          <w:rFonts w:ascii="Arial" w:hAnsi="Arial" w:eastAsia="Calibri" w:cs="Arial"/>
          <w:bCs/>
          <w:sz w:val="22"/>
        </w:rPr>
        <w:tab/>
      </w:r>
      <w:r w:rsidRPr="00AA5F83">
        <w:rPr>
          <w:rFonts w:ascii="Arial" w:hAnsi="Arial" w:eastAsia="Calibri" w:cs="Arial"/>
          <w:bCs/>
          <w:sz w:val="22"/>
        </w:rPr>
        <w:t xml:space="preserve">No obstante, </w:t>
      </w:r>
      <w:r w:rsidRPr="00AA5F83" w:rsidR="007B6B84">
        <w:rPr>
          <w:rFonts w:ascii="Arial" w:hAnsi="Arial" w:eastAsia="Calibri" w:cs="Arial"/>
          <w:bCs/>
          <w:sz w:val="22"/>
        </w:rPr>
        <w:t>tal como se colige del apartado transcrito,</w:t>
      </w:r>
      <w:r w:rsidRPr="00AA5F83">
        <w:rPr>
          <w:rFonts w:ascii="Arial" w:hAnsi="Arial" w:eastAsia="Calibri" w:cs="Arial"/>
          <w:bCs/>
          <w:sz w:val="22"/>
        </w:rPr>
        <w:t xml:space="preserve"> </w:t>
      </w:r>
      <w:r w:rsidRPr="00AA5F83" w:rsidR="007B6B84">
        <w:rPr>
          <w:rFonts w:ascii="Arial" w:hAnsi="Arial" w:eastAsia="Calibri" w:cs="Arial"/>
          <w:bCs/>
          <w:sz w:val="22"/>
        </w:rPr>
        <w:t xml:space="preserve">el Sobre No. 1 debe ser abierto por la entidad al momento de elaborar el acta de cierre, momento a partir del cual </w:t>
      </w:r>
      <w:r w:rsidRPr="00AA5F83" w:rsidR="007B6B84">
        <w:rPr>
          <w:rFonts w:ascii="Arial" w:hAnsi="Arial" w:eastAsia="Calibri" w:cs="Arial"/>
          <w:bCs/>
          <w:sz w:val="22"/>
        </w:rPr>
        <w:lastRenderedPageBreak/>
        <w:t xml:space="preserve">el contenido de la oferta pasa a ser público, estando habilitado cualquier interesado para consultarlo en el sitio de la apertura o solicitar copias, por lo que cualquier persona que así lo desee podrá conocer los ofrecimientos realizados en cuanto </w:t>
      </w:r>
      <w:r w:rsidR="00A31188">
        <w:rPr>
          <w:rFonts w:ascii="Arial" w:hAnsi="Arial" w:eastAsia="Calibri" w:cs="Arial"/>
          <w:bCs/>
          <w:sz w:val="22"/>
        </w:rPr>
        <w:t xml:space="preserve">al </w:t>
      </w:r>
      <w:r w:rsidRPr="00AA5F83" w:rsidR="007B6B84">
        <w:rPr>
          <w:rFonts w:ascii="Arial" w:hAnsi="Arial" w:eastAsia="Calibri" w:cs="Arial"/>
          <w:bCs/>
          <w:sz w:val="22"/>
        </w:rPr>
        <w:t xml:space="preserve">«Factor de Calidad», sin que una eventual decisión de la entidad, en el sentido de no incluirlos en el «acta de cierre», </w:t>
      </w:r>
      <w:r w:rsidR="003C5573">
        <w:rPr>
          <w:rFonts w:ascii="Arial" w:hAnsi="Arial" w:eastAsia="Calibri" w:cs="Arial"/>
          <w:bCs/>
          <w:sz w:val="22"/>
        </w:rPr>
        <w:t>obstaculice</w:t>
      </w:r>
      <w:r w:rsidRPr="00AA5F83" w:rsidR="007B6B84">
        <w:rPr>
          <w:rFonts w:ascii="Arial" w:hAnsi="Arial" w:eastAsia="Calibri" w:cs="Arial"/>
          <w:bCs/>
          <w:sz w:val="22"/>
        </w:rPr>
        <w:t xml:space="preserve"> el derecho a acceder a esta información. </w:t>
      </w:r>
    </w:p>
    <w:p w:rsidRPr="00AA5F83" w:rsidR="00B5709C" w:rsidP="00B5709C" w:rsidRDefault="000D7355" w14:paraId="0C00D064" w14:textId="671D1E41">
      <w:pPr>
        <w:tabs>
          <w:tab w:val="left" w:pos="709"/>
        </w:tabs>
        <w:spacing w:before="120" w:line="276" w:lineRule="auto"/>
        <w:jc w:val="both"/>
        <w:rPr>
          <w:rFonts w:ascii="Arial" w:hAnsi="Arial" w:eastAsia="Calibri" w:cs="Arial"/>
          <w:bCs/>
          <w:sz w:val="22"/>
        </w:rPr>
      </w:pPr>
      <w:r w:rsidRPr="00AA5F83">
        <w:rPr>
          <w:rFonts w:ascii="Arial" w:hAnsi="Arial" w:eastAsia="Calibri" w:cs="Arial"/>
          <w:bCs/>
          <w:sz w:val="22"/>
        </w:rPr>
        <w:t xml:space="preserve"> </w:t>
      </w:r>
      <w:r w:rsidRPr="00AA5F83" w:rsidR="00716EEC">
        <w:rPr>
          <w:rFonts w:ascii="Arial" w:hAnsi="Arial" w:eastAsia="Calibri" w:cs="Arial"/>
          <w:bCs/>
          <w:sz w:val="22"/>
        </w:rPr>
        <w:tab/>
      </w:r>
      <w:r w:rsidRPr="00AA5F83" w:rsidR="00716EEC">
        <w:rPr>
          <w:rFonts w:ascii="Arial" w:hAnsi="Arial" w:eastAsia="Calibri" w:cs="Arial"/>
          <w:bCs/>
          <w:sz w:val="22"/>
        </w:rPr>
        <w:t xml:space="preserve">En este sentido, </w:t>
      </w:r>
      <w:r w:rsidRPr="00AA5F83" w:rsidR="00DB3B91">
        <w:rPr>
          <w:rFonts w:ascii="Arial" w:hAnsi="Arial" w:eastAsia="Calibri" w:cs="Arial"/>
          <w:bCs/>
          <w:sz w:val="22"/>
        </w:rPr>
        <w:t>si bien el Estatuto General de Contratación de la Administración Pública, ni el Decreto reglamentario 1082 de 2015 regulan el contenido del acta de cierre,</w:t>
      </w:r>
      <w:r w:rsidRPr="00AA5F83" w:rsidR="00B5709C">
        <w:rPr>
          <w:rFonts w:ascii="Arial" w:hAnsi="Arial" w:eastAsia="Calibri" w:cs="Arial"/>
          <w:bCs/>
          <w:sz w:val="22"/>
        </w:rPr>
        <w:t xml:space="preserve"> en los Documentos Tipo</w:t>
      </w:r>
      <w:r w:rsidRPr="00AA5F83" w:rsidR="000A06AE">
        <w:rPr>
          <w:rFonts w:ascii="Arial" w:hAnsi="Arial" w:eastAsia="Calibri" w:cs="Arial"/>
          <w:bCs/>
          <w:sz w:val="22"/>
        </w:rPr>
        <w:t xml:space="preserve"> de infraestructura de transporte</w:t>
      </w:r>
      <w:r w:rsidRPr="00AA5F83" w:rsidR="00B5709C">
        <w:rPr>
          <w:rFonts w:ascii="Arial" w:hAnsi="Arial" w:eastAsia="Calibri" w:cs="Arial"/>
          <w:bCs/>
          <w:sz w:val="22"/>
        </w:rPr>
        <w:t xml:space="preserve"> sí</w:t>
      </w:r>
      <w:r w:rsidRPr="00AA5F83" w:rsidR="00DB3B91">
        <w:rPr>
          <w:rFonts w:ascii="Arial" w:hAnsi="Arial" w:eastAsia="Calibri" w:cs="Arial"/>
          <w:bCs/>
          <w:sz w:val="22"/>
        </w:rPr>
        <w:t xml:space="preserve"> se</w:t>
      </w:r>
      <w:r w:rsidRPr="00AA5F83" w:rsidR="00B5709C">
        <w:rPr>
          <w:rFonts w:ascii="Arial" w:hAnsi="Arial" w:eastAsia="Calibri" w:cs="Arial"/>
          <w:bCs/>
          <w:sz w:val="22"/>
        </w:rPr>
        <w:t xml:space="preserve"> obliga a las </w:t>
      </w:r>
      <w:r w:rsidRPr="00AA5F83" w:rsidR="00DB3B91">
        <w:rPr>
          <w:rFonts w:ascii="Arial" w:hAnsi="Arial" w:eastAsia="Calibri" w:cs="Arial"/>
          <w:bCs/>
          <w:sz w:val="22"/>
        </w:rPr>
        <w:t>e</w:t>
      </w:r>
      <w:r w:rsidRPr="00AA5F83" w:rsidR="00B5709C">
        <w:rPr>
          <w:rFonts w:ascii="Arial" w:hAnsi="Arial" w:eastAsia="Calibri" w:cs="Arial"/>
          <w:bCs/>
          <w:sz w:val="22"/>
        </w:rPr>
        <w:t>ntidades</w:t>
      </w:r>
      <w:r w:rsidRPr="00AA5F83" w:rsidR="00DB3B91">
        <w:rPr>
          <w:rFonts w:ascii="Arial" w:hAnsi="Arial" w:eastAsia="Calibri" w:cs="Arial"/>
          <w:bCs/>
          <w:sz w:val="22"/>
        </w:rPr>
        <w:t xml:space="preserve"> a</w:t>
      </w:r>
      <w:r w:rsidRPr="00AA5F83" w:rsidR="00E42167">
        <w:rPr>
          <w:rFonts w:ascii="Arial" w:hAnsi="Arial" w:eastAsia="Calibri" w:cs="Arial"/>
          <w:bCs/>
          <w:sz w:val="22"/>
        </w:rPr>
        <w:t xml:space="preserve"> registrar el cierre del proceso y</w:t>
      </w:r>
      <w:r w:rsidRPr="00AA5F83" w:rsidR="00FF4B5B">
        <w:rPr>
          <w:rFonts w:ascii="Arial" w:hAnsi="Arial" w:eastAsia="Calibri" w:cs="Arial"/>
          <w:bCs/>
          <w:sz w:val="22"/>
        </w:rPr>
        <w:t>, además,</w:t>
      </w:r>
      <w:r w:rsidRPr="00AA5F83" w:rsidR="00E42167">
        <w:rPr>
          <w:rFonts w:ascii="Arial" w:hAnsi="Arial" w:eastAsia="Calibri" w:cs="Arial"/>
          <w:bCs/>
          <w:sz w:val="22"/>
        </w:rPr>
        <w:t xml:space="preserve"> elaborar un documento que </w:t>
      </w:r>
      <w:r w:rsidRPr="00AA5F83" w:rsidR="00B5709C">
        <w:rPr>
          <w:rFonts w:ascii="Arial" w:hAnsi="Arial" w:eastAsia="Calibri" w:cs="Arial"/>
          <w:bCs/>
          <w:sz w:val="22"/>
        </w:rPr>
        <w:t xml:space="preserve">contenga </w:t>
      </w:r>
      <w:r w:rsidRPr="00AA5F83" w:rsidR="00CF0A98">
        <w:rPr>
          <w:rFonts w:ascii="Arial" w:hAnsi="Arial" w:eastAsia="Calibri" w:cs="Arial"/>
          <w:bCs/>
          <w:sz w:val="22"/>
        </w:rPr>
        <w:t>los datos más relevantes de las ofertas</w:t>
      </w:r>
      <w:r w:rsidRPr="00AA5F83" w:rsidR="00E42167">
        <w:rPr>
          <w:rFonts w:ascii="Arial" w:hAnsi="Arial" w:eastAsia="Calibri" w:cs="Arial"/>
          <w:bCs/>
          <w:sz w:val="22"/>
        </w:rPr>
        <w:t>, entre est</w:t>
      </w:r>
      <w:r w:rsidRPr="00AA5F83" w:rsidR="00CF0A98">
        <w:rPr>
          <w:rFonts w:ascii="Arial" w:hAnsi="Arial" w:eastAsia="Calibri" w:cs="Arial"/>
          <w:bCs/>
          <w:sz w:val="22"/>
        </w:rPr>
        <w:t>o</w:t>
      </w:r>
      <w:r w:rsidRPr="00AA5F83" w:rsidR="00E42167">
        <w:rPr>
          <w:rFonts w:ascii="Arial" w:hAnsi="Arial" w:eastAsia="Calibri" w:cs="Arial"/>
          <w:bCs/>
          <w:sz w:val="22"/>
        </w:rPr>
        <w:t>s</w:t>
      </w:r>
      <w:r w:rsidRPr="00AA5F83" w:rsidR="00CF0A98">
        <w:rPr>
          <w:rFonts w:ascii="Arial" w:hAnsi="Arial" w:eastAsia="Calibri" w:cs="Arial"/>
          <w:bCs/>
          <w:sz w:val="22"/>
        </w:rPr>
        <w:t>,</w:t>
      </w:r>
      <w:r w:rsidRPr="00AA5F83" w:rsidR="00E42167">
        <w:rPr>
          <w:rFonts w:ascii="Arial" w:hAnsi="Arial" w:eastAsia="Calibri" w:cs="Arial"/>
          <w:bCs/>
          <w:sz w:val="22"/>
        </w:rPr>
        <w:t xml:space="preserve"> </w:t>
      </w:r>
      <w:r w:rsidRPr="00AA5F83" w:rsidR="00B600FC">
        <w:rPr>
          <w:rFonts w:ascii="Arial" w:hAnsi="Arial" w:eastAsia="Calibri" w:cs="Arial"/>
          <w:bCs/>
          <w:sz w:val="22"/>
        </w:rPr>
        <w:t xml:space="preserve">se pueden incluir </w:t>
      </w:r>
      <w:r w:rsidRPr="00AA5F83" w:rsidR="00CF0A98">
        <w:rPr>
          <w:rFonts w:ascii="Arial" w:hAnsi="Arial" w:eastAsia="Calibri" w:cs="Arial"/>
          <w:bCs/>
          <w:sz w:val="22"/>
        </w:rPr>
        <w:t>los</w:t>
      </w:r>
      <w:r w:rsidRPr="00AA5F83" w:rsidR="00E42167">
        <w:rPr>
          <w:rFonts w:ascii="Arial" w:hAnsi="Arial" w:eastAsia="Calibri" w:cs="Arial"/>
          <w:bCs/>
          <w:sz w:val="22"/>
        </w:rPr>
        <w:t xml:space="preserve"> ofrecimiento</w:t>
      </w:r>
      <w:r w:rsidRPr="00AA5F83" w:rsidR="00CF0A98">
        <w:rPr>
          <w:rFonts w:ascii="Arial" w:hAnsi="Arial" w:eastAsia="Calibri" w:cs="Arial"/>
          <w:bCs/>
          <w:sz w:val="22"/>
        </w:rPr>
        <w:t>s</w:t>
      </w:r>
      <w:r w:rsidRPr="00AA5F83" w:rsidR="00E42167">
        <w:rPr>
          <w:rFonts w:ascii="Arial" w:hAnsi="Arial" w:eastAsia="Calibri" w:cs="Arial"/>
          <w:bCs/>
          <w:sz w:val="22"/>
        </w:rPr>
        <w:t xml:space="preserve"> que realicen los proponentes</w:t>
      </w:r>
      <w:r w:rsidRPr="00AA5F83" w:rsidR="00D00B16">
        <w:rPr>
          <w:rFonts w:ascii="Arial" w:hAnsi="Arial" w:eastAsia="Calibri" w:cs="Arial"/>
          <w:bCs/>
          <w:sz w:val="22"/>
        </w:rPr>
        <w:t xml:space="preserve"> en materia de «factor de calidad»</w:t>
      </w:r>
      <w:r w:rsidRPr="00AA5F83" w:rsidR="00211183">
        <w:rPr>
          <w:rFonts w:ascii="Arial" w:hAnsi="Arial" w:eastAsia="Calibri" w:cs="Arial"/>
          <w:bCs/>
          <w:sz w:val="22"/>
        </w:rPr>
        <w:t>,</w:t>
      </w:r>
      <w:r w:rsidRPr="00AA5F83" w:rsidR="00E42167">
        <w:rPr>
          <w:rFonts w:ascii="Arial" w:hAnsi="Arial" w:eastAsia="Calibri" w:cs="Arial"/>
          <w:bCs/>
          <w:sz w:val="22"/>
        </w:rPr>
        <w:t xml:space="preserve"> </w:t>
      </w:r>
      <w:r w:rsidRPr="00AA5F83" w:rsidR="00211183">
        <w:rPr>
          <w:rFonts w:ascii="Arial" w:hAnsi="Arial" w:eastAsia="Calibri" w:cs="Arial"/>
          <w:bCs/>
          <w:sz w:val="22"/>
        </w:rPr>
        <w:t xml:space="preserve">si así lo considera </w:t>
      </w:r>
      <w:r w:rsidRPr="00AA5F83" w:rsidR="00DB3B91">
        <w:rPr>
          <w:rFonts w:ascii="Arial" w:hAnsi="Arial" w:eastAsia="Calibri" w:cs="Arial"/>
          <w:bCs/>
          <w:sz w:val="22"/>
        </w:rPr>
        <w:t xml:space="preserve">procedente </w:t>
      </w:r>
      <w:r w:rsidRPr="00AA5F83" w:rsidR="00211183">
        <w:rPr>
          <w:rFonts w:ascii="Arial" w:hAnsi="Arial" w:eastAsia="Calibri" w:cs="Arial"/>
          <w:bCs/>
          <w:sz w:val="22"/>
        </w:rPr>
        <w:t xml:space="preserve">la </w:t>
      </w:r>
      <w:r w:rsidRPr="00AA5F83" w:rsidR="00DB3B91">
        <w:rPr>
          <w:rFonts w:ascii="Arial" w:hAnsi="Arial" w:eastAsia="Calibri" w:cs="Arial"/>
          <w:bCs/>
          <w:sz w:val="22"/>
        </w:rPr>
        <w:t>e</w:t>
      </w:r>
      <w:r w:rsidRPr="00AA5F83" w:rsidR="00211183">
        <w:rPr>
          <w:rFonts w:ascii="Arial" w:hAnsi="Arial" w:eastAsia="Calibri" w:cs="Arial"/>
          <w:bCs/>
          <w:sz w:val="22"/>
        </w:rPr>
        <w:t xml:space="preserve">ntidad. </w:t>
      </w:r>
      <w:r w:rsidRPr="00AA5F83" w:rsidR="000A06AE">
        <w:rPr>
          <w:rFonts w:ascii="Arial" w:hAnsi="Arial" w:eastAsia="Calibri" w:cs="Arial"/>
          <w:bCs/>
          <w:sz w:val="22"/>
        </w:rPr>
        <w:t>Vale recordar que</w:t>
      </w:r>
      <w:r w:rsidRPr="00AA5F83" w:rsidR="00FF4B5B">
        <w:rPr>
          <w:rFonts w:ascii="Arial" w:hAnsi="Arial" w:eastAsia="Calibri" w:cs="Arial"/>
          <w:bCs/>
          <w:sz w:val="22"/>
        </w:rPr>
        <w:t xml:space="preserve"> los Documentos Tipo de </w:t>
      </w:r>
      <w:r w:rsidRPr="00AA5F83" w:rsidR="009F457A">
        <w:rPr>
          <w:rFonts w:ascii="Arial" w:hAnsi="Arial" w:eastAsia="Calibri" w:cs="Arial"/>
          <w:bCs/>
          <w:sz w:val="22"/>
        </w:rPr>
        <w:t>i</w:t>
      </w:r>
      <w:r w:rsidRPr="00AA5F83" w:rsidR="00FF4B5B">
        <w:rPr>
          <w:rFonts w:ascii="Arial" w:hAnsi="Arial" w:eastAsia="Calibri" w:cs="Arial"/>
          <w:bCs/>
          <w:sz w:val="22"/>
        </w:rPr>
        <w:t xml:space="preserve">nfraestructura de </w:t>
      </w:r>
      <w:r w:rsidRPr="00AA5F83" w:rsidR="009F457A">
        <w:rPr>
          <w:rFonts w:ascii="Arial" w:hAnsi="Arial" w:eastAsia="Calibri" w:cs="Arial"/>
          <w:bCs/>
          <w:sz w:val="22"/>
        </w:rPr>
        <w:t>t</w:t>
      </w:r>
      <w:r w:rsidRPr="00AA5F83" w:rsidR="00FF4B5B">
        <w:rPr>
          <w:rFonts w:ascii="Arial" w:hAnsi="Arial" w:eastAsia="Calibri" w:cs="Arial"/>
          <w:bCs/>
          <w:sz w:val="22"/>
        </w:rPr>
        <w:t xml:space="preserve">ransporte </w:t>
      </w:r>
      <w:r w:rsidRPr="00AA5F83" w:rsidR="00211183">
        <w:rPr>
          <w:rFonts w:ascii="Arial" w:hAnsi="Arial" w:eastAsia="Calibri" w:cs="Arial"/>
          <w:bCs/>
          <w:sz w:val="22"/>
        </w:rPr>
        <w:t>son de obligatorio cumplimiento</w:t>
      </w:r>
      <w:r w:rsidRPr="00AA5F83" w:rsidR="009F457A">
        <w:rPr>
          <w:rFonts w:ascii="Arial" w:hAnsi="Arial" w:eastAsia="Calibri" w:cs="Arial"/>
          <w:bCs/>
          <w:sz w:val="22"/>
        </w:rPr>
        <w:t>.</w:t>
      </w:r>
      <w:r w:rsidRPr="00AA5F83" w:rsidR="00211183">
        <w:rPr>
          <w:rFonts w:ascii="Arial" w:hAnsi="Arial" w:eastAsia="Calibri" w:cs="Arial"/>
          <w:bCs/>
          <w:sz w:val="22"/>
        </w:rPr>
        <w:t xml:space="preserve"> </w:t>
      </w:r>
    </w:p>
    <w:p w:rsidRPr="00AA5F83" w:rsidR="00DE5F20" w:rsidP="00B5709C" w:rsidRDefault="00D00B16" w14:paraId="1C2BCFA4" w14:textId="04876C54">
      <w:pPr>
        <w:tabs>
          <w:tab w:val="left" w:pos="709"/>
        </w:tabs>
        <w:spacing w:before="120" w:line="276" w:lineRule="auto"/>
        <w:jc w:val="both"/>
        <w:rPr>
          <w:rFonts w:ascii="Arial" w:hAnsi="Arial" w:eastAsia="Calibri" w:cs="Arial"/>
          <w:bCs/>
          <w:sz w:val="22"/>
        </w:rPr>
      </w:pPr>
      <w:r w:rsidRPr="00AA5F83">
        <w:rPr>
          <w:rFonts w:ascii="Arial" w:hAnsi="Arial" w:eastAsia="Calibri" w:cs="Arial"/>
          <w:bCs/>
          <w:sz w:val="22"/>
        </w:rPr>
        <w:tab/>
      </w:r>
      <w:r w:rsidRPr="00AA5F83" w:rsidR="00DE5F20">
        <w:rPr>
          <w:rFonts w:ascii="Arial" w:hAnsi="Arial" w:eastAsia="Calibri" w:cs="Arial"/>
          <w:bCs/>
          <w:sz w:val="22"/>
        </w:rPr>
        <w:t>Sin perjuicio de lo anterior, la Agencia Nacional de Contratación Pública – Colombia Compra Eficiente considera que la elaboración de un acta de cierre en la que se consigne la información más relevante de las ofertas presentadas constituye una buena pr</w:t>
      </w:r>
      <w:r w:rsidR="00A31188">
        <w:rPr>
          <w:rFonts w:ascii="Arial" w:hAnsi="Arial" w:eastAsia="Calibri" w:cs="Arial"/>
          <w:bCs/>
          <w:sz w:val="22"/>
        </w:rPr>
        <w:t>á</w:t>
      </w:r>
      <w:r w:rsidRPr="00AA5F83" w:rsidR="00DE5F20">
        <w:rPr>
          <w:rFonts w:ascii="Arial" w:hAnsi="Arial" w:eastAsia="Calibri" w:cs="Arial"/>
          <w:bCs/>
          <w:sz w:val="22"/>
        </w:rPr>
        <w:t>ctica tanto para procesos de licitación pública como para procesos de selección abreviada de menor cuantía y mínima cuantía, en la medida que permite dar transparencia al proceso de contratación a</w:t>
      </w:r>
      <w:r w:rsidRPr="00AA5F83" w:rsidR="00422A6C">
        <w:rPr>
          <w:rFonts w:ascii="Arial" w:hAnsi="Arial" w:eastAsia="Calibri" w:cs="Arial"/>
          <w:bCs/>
          <w:sz w:val="22"/>
        </w:rPr>
        <w:t>l registrar con detalle y dar publicidad</w:t>
      </w:r>
      <w:r w:rsidRPr="00AA5F83" w:rsidR="00DE5F20">
        <w:rPr>
          <w:rFonts w:ascii="Arial" w:hAnsi="Arial" w:eastAsia="Calibri" w:cs="Arial"/>
          <w:bCs/>
          <w:sz w:val="22"/>
        </w:rPr>
        <w:t xml:space="preserve"> </w:t>
      </w:r>
      <w:r w:rsidRPr="00AA5F83" w:rsidR="00422A6C">
        <w:rPr>
          <w:rFonts w:ascii="Arial" w:hAnsi="Arial" w:eastAsia="Calibri" w:cs="Arial"/>
          <w:bCs/>
          <w:sz w:val="22"/>
        </w:rPr>
        <w:t xml:space="preserve">a </w:t>
      </w:r>
      <w:r w:rsidRPr="00AA5F83" w:rsidR="00DE5F20">
        <w:rPr>
          <w:rFonts w:ascii="Arial" w:hAnsi="Arial" w:eastAsia="Calibri" w:cs="Arial"/>
          <w:bCs/>
          <w:sz w:val="22"/>
        </w:rPr>
        <w:t xml:space="preserve">información importante para </w:t>
      </w:r>
      <w:r w:rsidR="00A31188">
        <w:rPr>
          <w:rFonts w:ascii="Arial" w:hAnsi="Arial" w:eastAsia="Calibri" w:cs="Arial"/>
          <w:bCs/>
          <w:sz w:val="22"/>
        </w:rPr>
        <w:t>la evaluación</w:t>
      </w:r>
      <w:r w:rsidRPr="00AA5F83" w:rsidR="00DE5F20">
        <w:rPr>
          <w:rFonts w:ascii="Arial" w:hAnsi="Arial" w:eastAsia="Calibri" w:cs="Arial"/>
          <w:bCs/>
          <w:sz w:val="22"/>
        </w:rPr>
        <w:t xml:space="preserve"> del proceso</w:t>
      </w:r>
      <w:r w:rsidRPr="00AA5F83" w:rsidR="00422A6C">
        <w:rPr>
          <w:rFonts w:ascii="Arial" w:hAnsi="Arial" w:eastAsia="Calibri" w:cs="Arial"/>
          <w:bCs/>
          <w:sz w:val="22"/>
        </w:rPr>
        <w:t xml:space="preserve">.  </w:t>
      </w:r>
    </w:p>
    <w:p w:rsidRPr="00AA5F83" w:rsidR="000D7355" w:rsidP="007F1B86" w:rsidRDefault="000D7355" w14:paraId="56314A93" w14:textId="2D763F1C">
      <w:pPr>
        <w:pStyle w:val="Prrafodelista"/>
        <w:tabs>
          <w:tab w:val="left" w:pos="284"/>
        </w:tabs>
        <w:spacing w:line="276" w:lineRule="auto"/>
        <w:ind w:left="0"/>
        <w:jc w:val="both"/>
        <w:rPr>
          <w:rFonts w:ascii="Arial" w:hAnsi="Arial" w:eastAsia="Calibri" w:cs="Arial"/>
          <w:bCs/>
          <w:sz w:val="22"/>
        </w:rPr>
      </w:pPr>
    </w:p>
    <w:p w:rsidRPr="00AA5F83" w:rsidR="005A79FE" w:rsidP="007F1B86" w:rsidRDefault="005A79FE" w14:paraId="5D99A3C6" w14:textId="33148ECA">
      <w:pPr>
        <w:pStyle w:val="Prrafodelista"/>
        <w:numPr>
          <w:ilvl w:val="0"/>
          <w:numId w:val="6"/>
        </w:numPr>
        <w:tabs>
          <w:tab w:val="left" w:pos="284"/>
        </w:tabs>
        <w:spacing w:line="276" w:lineRule="auto"/>
        <w:ind w:left="284"/>
        <w:jc w:val="both"/>
        <w:rPr>
          <w:rFonts w:ascii="Arial" w:hAnsi="Arial" w:eastAsia="Calibri" w:cs="Arial"/>
          <w:sz w:val="22"/>
        </w:rPr>
      </w:pPr>
      <w:r w:rsidRPr="00AA5F83">
        <w:rPr>
          <w:rFonts w:ascii="Arial" w:hAnsi="Arial" w:eastAsia="Calibri" w:cs="Arial"/>
          <w:b/>
          <w:sz w:val="22"/>
        </w:rPr>
        <w:t>Respuestas</w:t>
      </w:r>
    </w:p>
    <w:p w:rsidRPr="00AA5F83" w:rsidR="005A79FE" w:rsidP="005A79FE" w:rsidRDefault="005A79FE" w14:paraId="6A2CCB9A" w14:textId="2D87A20A">
      <w:pPr>
        <w:spacing w:line="276" w:lineRule="auto"/>
        <w:ind w:left="709" w:right="709"/>
        <w:jc w:val="both"/>
        <w:rPr>
          <w:rFonts w:ascii="Arial" w:hAnsi="Arial" w:eastAsia="Calibri" w:cs="Arial"/>
          <w:i/>
          <w:sz w:val="22"/>
        </w:rPr>
      </w:pPr>
    </w:p>
    <w:p w:rsidRPr="00AA5F83" w:rsidR="00211183" w:rsidP="00422A6C" w:rsidRDefault="00422A6C" w14:paraId="19B4DF37" w14:textId="17CA8D81">
      <w:pPr>
        <w:pStyle w:val="Prrafodelista"/>
        <w:ind w:left="709" w:right="709"/>
        <w:jc w:val="both"/>
        <w:rPr>
          <w:rFonts w:ascii="Arial" w:hAnsi="Arial" w:eastAsia="Calibri" w:cs="Arial"/>
          <w:sz w:val="21"/>
          <w:szCs w:val="21"/>
        </w:rPr>
      </w:pPr>
      <w:r w:rsidRPr="00AA5F83">
        <w:rPr>
          <w:rFonts w:ascii="Arial" w:hAnsi="Arial" w:eastAsia="Calibri" w:cs="Arial"/>
          <w:sz w:val="21"/>
          <w:szCs w:val="21"/>
        </w:rPr>
        <w:t>«Cuando en un proceso de selección de licitación de obra pública de infraestructura de transporte (versión 2) la entidad dentro del factor de calidad solicite para la obtención de puntaje por este criterio CUADRILLAS A TRABAJO Y COSTO ADICIONAL DEL CONTRATISTA y MANTENIMIENTO ADICIONAL, teniendo en cuenta que son aspectos relevantes es necesario que en el  CIERRE DEL PROCESO Y APERTURA DE OFERTAS quede consignado en el acta de cierre  el número de cuadrillas de trabajo adicional que el proponente se comprometa a ofertar y vincular a la obra a costo y riesgo propio y el número de meses durante los cuales se compromete a realizar por su propia cuenta y riesgo las labores de mantenimiento rutinario de la obra construida»</w:t>
      </w:r>
    </w:p>
    <w:p w:rsidRPr="00AA5F83" w:rsidR="00422A6C" w:rsidP="00211183" w:rsidRDefault="00422A6C" w14:paraId="50A34B4E" w14:textId="77777777">
      <w:pPr>
        <w:pStyle w:val="Prrafodelista"/>
        <w:spacing w:line="276" w:lineRule="auto"/>
        <w:ind w:left="1429" w:right="709"/>
        <w:jc w:val="both"/>
        <w:rPr>
          <w:rFonts w:ascii="Arial" w:hAnsi="Arial" w:eastAsia="Calibri" w:cs="Arial"/>
          <w:sz w:val="22"/>
        </w:rPr>
      </w:pPr>
    </w:p>
    <w:p w:rsidR="00B3470B" w:rsidP="003A6625" w:rsidRDefault="00CF0A98" w14:paraId="6E3A3DA0" w14:textId="5A53870A">
      <w:pPr>
        <w:spacing w:before="120" w:line="276" w:lineRule="auto"/>
        <w:jc w:val="both"/>
        <w:rPr>
          <w:rFonts w:ascii="Arial" w:hAnsi="Arial" w:eastAsia="Calibri" w:cs="Arial"/>
          <w:bCs/>
          <w:sz w:val="22"/>
        </w:rPr>
      </w:pPr>
      <w:r w:rsidRPr="00AA5F83">
        <w:rPr>
          <w:rFonts w:ascii="Arial" w:hAnsi="Arial" w:eastAsia="Calibri" w:cs="Arial"/>
          <w:bCs/>
          <w:sz w:val="22"/>
        </w:rPr>
        <w:t xml:space="preserve">Si bien el Estatuto General de Contratación de la Administración Pública, ni el Decreto 1082 de 2015 regulan el contenido del acta de cierre, en los Documentos Tipo de infraestructura de transporte sí se obliga a las entidades a registrar el cierre del proceso y, además, elaborar un documento que contenga los datos más relevantes de las ofertas, entre estos, </w:t>
      </w:r>
      <w:r w:rsidRPr="00AA5F83" w:rsidR="00B600FC">
        <w:rPr>
          <w:rFonts w:ascii="Arial" w:hAnsi="Arial" w:eastAsia="Calibri" w:cs="Arial"/>
          <w:bCs/>
          <w:sz w:val="22"/>
        </w:rPr>
        <w:t xml:space="preserve">se pueden incluir </w:t>
      </w:r>
      <w:r w:rsidRPr="00AA5F83">
        <w:rPr>
          <w:rFonts w:ascii="Arial" w:hAnsi="Arial" w:eastAsia="Calibri" w:cs="Arial"/>
          <w:bCs/>
          <w:sz w:val="22"/>
        </w:rPr>
        <w:t>los ofrecimientos que realicen los proponentes</w:t>
      </w:r>
      <w:r w:rsidRPr="00AA5F83" w:rsidR="00422A6C">
        <w:rPr>
          <w:rFonts w:ascii="Arial" w:hAnsi="Arial" w:eastAsia="Calibri" w:cs="Arial"/>
          <w:bCs/>
          <w:sz w:val="22"/>
        </w:rPr>
        <w:t xml:space="preserve"> en materia de «factor de calidad»</w:t>
      </w:r>
      <w:r w:rsidRPr="00AA5F83">
        <w:rPr>
          <w:rFonts w:ascii="Arial" w:hAnsi="Arial" w:eastAsia="Calibri" w:cs="Arial"/>
          <w:bCs/>
          <w:sz w:val="22"/>
        </w:rPr>
        <w:t>, si así lo considera procedente la entidad. Vale recordar que los Documentos Tipo de infraestructura de transporte son de obligatorio cumplimiento</w:t>
      </w:r>
      <w:r w:rsidRPr="00AA5F83" w:rsidR="00B55352">
        <w:rPr>
          <w:rFonts w:ascii="Arial" w:hAnsi="Arial" w:eastAsia="Calibri" w:cs="Arial"/>
          <w:bCs/>
          <w:sz w:val="22"/>
        </w:rPr>
        <w:t>.</w:t>
      </w:r>
      <w:r w:rsidRPr="00AA5F83" w:rsidR="00B3470B">
        <w:rPr>
          <w:rFonts w:ascii="Arial" w:hAnsi="Arial" w:eastAsia="Calibri" w:cs="Arial"/>
          <w:bCs/>
          <w:sz w:val="22"/>
        </w:rPr>
        <w:t xml:space="preserve"> </w:t>
      </w:r>
    </w:p>
    <w:p w:rsidRPr="00AA5F83" w:rsidR="008F077B" w:rsidP="003A6625" w:rsidRDefault="008F077B" w14:paraId="0F68DB46" w14:textId="61202FB0">
      <w:pPr>
        <w:spacing w:before="120" w:line="276" w:lineRule="auto"/>
        <w:jc w:val="both"/>
        <w:rPr>
          <w:rFonts w:ascii="Arial" w:hAnsi="Arial" w:eastAsia="Calibri" w:cs="Arial"/>
          <w:bCs/>
          <w:sz w:val="22"/>
        </w:rPr>
      </w:pPr>
      <w:r>
        <w:rPr>
          <w:rFonts w:ascii="Arial" w:hAnsi="Arial" w:eastAsia="Calibri" w:cs="Arial"/>
          <w:bCs/>
          <w:sz w:val="22"/>
        </w:rPr>
        <w:lastRenderedPageBreak/>
        <w:tab/>
      </w:r>
      <w:r>
        <w:rPr>
          <w:rFonts w:ascii="Arial" w:hAnsi="Arial" w:eastAsia="Calibri" w:cs="Arial"/>
          <w:bCs/>
          <w:sz w:val="22"/>
        </w:rPr>
        <w:t xml:space="preserve">De otro lado, como se indicó, </w:t>
      </w:r>
      <w:r w:rsidRPr="00AA5F83">
        <w:rPr>
          <w:rFonts w:ascii="Arial" w:hAnsi="Arial" w:eastAsia="Calibri" w:cs="Arial"/>
          <w:bCs/>
          <w:sz w:val="22"/>
        </w:rPr>
        <w:t xml:space="preserve">la entidad </w:t>
      </w:r>
      <w:r>
        <w:rPr>
          <w:rFonts w:ascii="Arial" w:hAnsi="Arial" w:eastAsia="Calibri" w:cs="Arial"/>
          <w:bCs/>
          <w:sz w:val="22"/>
        </w:rPr>
        <w:t>debe abrir los</w:t>
      </w:r>
      <w:r w:rsidRPr="00AA5F83">
        <w:rPr>
          <w:rFonts w:ascii="Arial" w:hAnsi="Arial" w:eastAsia="Calibri" w:cs="Arial"/>
          <w:bCs/>
          <w:sz w:val="22"/>
        </w:rPr>
        <w:t xml:space="preserve"> Sobre</w:t>
      </w:r>
      <w:r>
        <w:rPr>
          <w:rFonts w:ascii="Arial" w:hAnsi="Arial" w:eastAsia="Calibri" w:cs="Arial"/>
          <w:bCs/>
          <w:sz w:val="22"/>
        </w:rPr>
        <w:t>s</w:t>
      </w:r>
      <w:r w:rsidRPr="00AA5F83">
        <w:rPr>
          <w:rFonts w:ascii="Arial" w:hAnsi="Arial" w:eastAsia="Calibri" w:cs="Arial"/>
          <w:bCs/>
          <w:sz w:val="22"/>
        </w:rPr>
        <w:t xml:space="preserve"> No. 1 al momento de elaborar el acta de cierre, momento a partir del cual el contenido de la oferta pasa a ser público, estando habilitado cualquier interesado para consultarlo en el sitio de la apertura o solicitar copias, por lo que cualquier persona que así lo desee podrá conocer los ofrecimientos realizados en cuanto </w:t>
      </w:r>
      <w:r>
        <w:rPr>
          <w:rFonts w:ascii="Arial" w:hAnsi="Arial" w:eastAsia="Calibri" w:cs="Arial"/>
          <w:bCs/>
          <w:sz w:val="22"/>
        </w:rPr>
        <w:t xml:space="preserve">al </w:t>
      </w:r>
      <w:r w:rsidRPr="00AA5F83">
        <w:rPr>
          <w:rFonts w:ascii="Arial" w:hAnsi="Arial" w:eastAsia="Calibri" w:cs="Arial"/>
          <w:bCs/>
          <w:sz w:val="22"/>
        </w:rPr>
        <w:t>«Factor de Calidad», sin que una eventual decisión de la entidad, en el sentido de no incluirlos en el «acta de cierre», obstaculi</w:t>
      </w:r>
      <w:r>
        <w:rPr>
          <w:rFonts w:ascii="Arial" w:hAnsi="Arial" w:eastAsia="Calibri" w:cs="Arial"/>
          <w:bCs/>
          <w:sz w:val="22"/>
        </w:rPr>
        <w:t>ce</w:t>
      </w:r>
      <w:r w:rsidRPr="00AA5F83">
        <w:rPr>
          <w:rFonts w:ascii="Arial" w:hAnsi="Arial" w:eastAsia="Calibri" w:cs="Arial"/>
          <w:bCs/>
          <w:sz w:val="22"/>
        </w:rPr>
        <w:t xml:space="preserve"> el derecho a acceder a esta información.</w:t>
      </w:r>
    </w:p>
    <w:p w:rsidRPr="00AA5F83" w:rsidR="003A6625" w:rsidP="003A6625" w:rsidRDefault="003A6625" w14:paraId="4D1DE4BB" w14:textId="77777777">
      <w:pPr>
        <w:spacing w:line="276" w:lineRule="auto"/>
        <w:jc w:val="both"/>
        <w:rPr>
          <w:rFonts w:ascii="Arial" w:hAnsi="Arial" w:eastAsia="Calibri" w:cs="Arial"/>
          <w:sz w:val="22"/>
        </w:rPr>
      </w:pPr>
    </w:p>
    <w:p w:rsidRPr="00AA5F83" w:rsidR="005A79FE" w:rsidP="00422A6C" w:rsidRDefault="005A79FE" w14:paraId="5F429EFF" w14:textId="532BA9CC">
      <w:pPr>
        <w:spacing w:before="120" w:after="120" w:line="276" w:lineRule="auto"/>
        <w:jc w:val="both"/>
        <w:rPr>
          <w:rFonts w:ascii="Arial" w:hAnsi="Arial" w:eastAsia="Calibri" w:cs="Arial"/>
          <w:sz w:val="22"/>
        </w:rPr>
      </w:pPr>
      <w:r w:rsidRPr="00AA5F83">
        <w:rPr>
          <w:rFonts w:ascii="Arial" w:hAnsi="Arial" w:eastAsia="Calibri" w:cs="Arial"/>
          <w:sz w:val="22"/>
        </w:rPr>
        <w:t>Este concepto tiene el alcance previsto en el artículo 28 del Código de Procedimiento Administrativo y de lo Contencioso Administrativo.</w:t>
      </w:r>
    </w:p>
    <w:p w:rsidRPr="00AA5F83" w:rsidR="005A79FE" w:rsidP="005A79FE" w:rsidRDefault="005A79FE" w14:paraId="19DA8DDB" w14:textId="77777777">
      <w:pPr>
        <w:spacing w:line="276" w:lineRule="auto"/>
        <w:jc w:val="both"/>
        <w:rPr>
          <w:rFonts w:ascii="Arial" w:hAnsi="Arial" w:eastAsia="Calibri" w:cs="Arial"/>
          <w:sz w:val="22"/>
        </w:rPr>
      </w:pPr>
    </w:p>
    <w:p w:rsidRPr="00AA5F83" w:rsidR="005A79FE" w:rsidP="005A79FE" w:rsidRDefault="005A79FE" w14:paraId="7080CFA4" w14:textId="63BE71A4">
      <w:pPr>
        <w:jc w:val="both"/>
        <w:rPr>
          <w:rFonts w:ascii="Arial" w:hAnsi="Arial" w:eastAsia="Calibri" w:cs="Arial"/>
          <w:sz w:val="22"/>
        </w:rPr>
      </w:pPr>
      <w:r w:rsidRPr="00AA5F83">
        <w:rPr>
          <w:rFonts w:ascii="Arial" w:hAnsi="Arial" w:cs="Arial"/>
          <w:noProof/>
          <w:lang w:val="en-US"/>
        </w:rPr>
        <mc:AlternateContent>
          <mc:Choice Requires="wps">
            <w:drawing>
              <wp:anchor distT="0" distB="0" distL="114300" distR="114300" simplePos="0" relativeHeight="251658240" behindDoc="0" locked="0" layoutInCell="1" allowOverlap="1" wp14:anchorId="194C2921" wp14:editId="19D2879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4EB6FC3D">
              <v:line id="Conector recto 2"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DFBF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rsidRPr="00AA5F83" w:rsidR="005A79FE" w:rsidP="005A79FE" w:rsidRDefault="005A79FE" w14:paraId="18AAB28D" w14:textId="77777777">
      <w:pPr>
        <w:rPr>
          <w:rFonts w:ascii="Arial" w:hAnsi="Arial" w:eastAsia="Times New Roman" w:cs="Arial"/>
          <w:sz w:val="22"/>
          <w:lang w:eastAsia="es-CO"/>
        </w:rPr>
      </w:pPr>
      <w:r w:rsidRPr="00AA5F83">
        <w:rPr>
          <w:rFonts w:ascii="Arial" w:hAnsi="Arial" w:eastAsia="Times New Roman" w:cs="Arial"/>
          <w:sz w:val="22"/>
          <w:lang w:eastAsia="es-CO"/>
        </w:rPr>
        <w:t>Atentamente,</w:t>
      </w:r>
    </w:p>
    <w:p w:rsidRPr="00AA5F83" w:rsidR="005A79FE" w:rsidP="005A79FE" w:rsidRDefault="00137091" w14:paraId="11F7B1FA" w14:textId="1223D48B">
      <w:pPr>
        <w:jc w:val="center"/>
        <w:rPr>
          <w:rFonts w:ascii="Arial" w:hAnsi="Arial" w:eastAsia="Times New Roman" w:cs="Arial"/>
          <w:sz w:val="18"/>
          <w:szCs w:val="20"/>
          <w:lang w:eastAsia="es-CO"/>
        </w:rPr>
      </w:pPr>
      <w:r w:rsidR="00137091">
        <w:drawing>
          <wp:inline wp14:editId="264E6FDF" wp14:anchorId="797D2D82">
            <wp:extent cx="2773144" cy="988695"/>
            <wp:effectExtent l="0" t="0" r="0" b="0"/>
            <wp:docPr id="42088395" name="Imagen 20" title=""/>
            <wp:cNvGraphicFramePr>
              <a:graphicFrameLocks noChangeAspect="1"/>
            </wp:cNvGraphicFramePr>
            <a:graphic>
              <a:graphicData uri="http://schemas.openxmlformats.org/drawingml/2006/picture">
                <pic:pic>
                  <pic:nvPicPr>
                    <pic:cNvPr id="0" name="Imagen 20"/>
                    <pic:cNvPicPr/>
                  </pic:nvPicPr>
                  <pic:blipFill>
                    <a:blip r:embed="Rb762f503297a432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4"/>
        <w:gridCol w:w="4413"/>
      </w:tblGrid>
      <w:tr w:rsidRPr="00AA5F83" w:rsidR="00D02F87" w:rsidTr="00422A6C" w14:paraId="047B79DC" w14:textId="77777777">
        <w:trPr>
          <w:trHeight w:val="315"/>
        </w:trPr>
        <w:tc>
          <w:tcPr>
            <w:tcW w:w="1044" w:type="dxa"/>
            <w:vAlign w:val="center"/>
            <w:hideMark/>
          </w:tcPr>
          <w:p w:rsidRPr="00AA5F83" w:rsidR="005A79FE" w:rsidP="00B2659E" w:rsidRDefault="005A79FE" w14:paraId="66736F0D" w14:textId="2C792F3C">
            <w:pPr>
              <w:rPr>
                <w:rFonts w:ascii="Arial" w:hAnsi="Arial" w:eastAsia="Times New Roman" w:cs="Arial"/>
                <w:sz w:val="16"/>
                <w:szCs w:val="16"/>
                <w:lang w:eastAsia="es-ES"/>
              </w:rPr>
            </w:pPr>
            <w:r w:rsidRPr="00AA5F83">
              <w:rPr>
                <w:rFonts w:ascii="Arial" w:hAnsi="Arial" w:eastAsia="Times New Roman" w:cs="Arial"/>
                <w:sz w:val="16"/>
                <w:szCs w:val="16"/>
                <w:lang w:eastAsia="es-ES"/>
              </w:rPr>
              <w:t>Elabor</w:t>
            </w:r>
            <w:r w:rsidRPr="00AA5F83" w:rsidR="00011080">
              <w:rPr>
                <w:rFonts w:ascii="Arial" w:hAnsi="Arial" w:eastAsia="Times New Roman" w:cs="Arial"/>
                <w:sz w:val="16"/>
                <w:szCs w:val="16"/>
                <w:lang w:eastAsia="es-ES"/>
              </w:rPr>
              <w:t>aron</w:t>
            </w:r>
            <w:r w:rsidRPr="00AA5F83">
              <w:rPr>
                <w:rFonts w:ascii="Arial" w:hAnsi="Arial" w:eastAsia="Times New Roman" w:cs="Arial"/>
                <w:sz w:val="16"/>
                <w:szCs w:val="16"/>
                <w:lang w:eastAsia="es-ES"/>
              </w:rPr>
              <w:t>:</w:t>
            </w:r>
          </w:p>
        </w:tc>
        <w:tc>
          <w:tcPr>
            <w:tcW w:w="4413" w:type="dxa"/>
            <w:tcBorders>
              <w:top w:val="nil"/>
              <w:left w:val="nil"/>
              <w:bottom w:val="dotted" w:color="7F7F7F" w:themeColor="text1" w:themeTint="80" w:sz="4" w:space="0"/>
              <w:right w:val="nil"/>
            </w:tcBorders>
            <w:vAlign w:val="center"/>
            <w:hideMark/>
          </w:tcPr>
          <w:p w:rsidRPr="00AA5F83" w:rsidR="00422A6C" w:rsidP="00B2659E" w:rsidRDefault="00422A6C" w14:paraId="0F69FB92" w14:textId="654A8060">
            <w:pPr>
              <w:rPr>
                <w:rFonts w:ascii="Arial" w:hAnsi="Arial" w:eastAsia="Times New Roman" w:cs="Arial"/>
                <w:sz w:val="16"/>
                <w:szCs w:val="16"/>
                <w:lang w:eastAsia="es-ES"/>
              </w:rPr>
            </w:pPr>
            <w:r w:rsidRPr="00AA5F83">
              <w:rPr>
                <w:rFonts w:ascii="Arial" w:hAnsi="Arial" w:eastAsia="Times New Roman" w:cs="Arial"/>
                <w:sz w:val="16"/>
                <w:szCs w:val="16"/>
                <w:lang w:eastAsia="es-ES"/>
              </w:rPr>
              <w:t>Alejandro Sarmiento Cantillo</w:t>
            </w:r>
          </w:p>
          <w:p w:rsidRPr="00AA5F83" w:rsidR="00011080" w:rsidP="00B2659E" w:rsidRDefault="00D02F87" w14:paraId="2102D393" w14:textId="1FECFB70">
            <w:pPr>
              <w:rPr>
                <w:rFonts w:ascii="Arial" w:hAnsi="Arial" w:eastAsia="Times New Roman" w:cs="Arial"/>
                <w:sz w:val="16"/>
                <w:szCs w:val="16"/>
                <w:lang w:eastAsia="es-ES"/>
              </w:rPr>
            </w:pPr>
            <w:r w:rsidRPr="00AA5F83">
              <w:rPr>
                <w:rFonts w:ascii="Arial" w:hAnsi="Arial" w:eastAsia="Times New Roman" w:cs="Arial"/>
                <w:sz w:val="16"/>
                <w:szCs w:val="16"/>
                <w:lang w:eastAsia="es-ES"/>
              </w:rPr>
              <w:t>Contratista – Subdirección de Gestión Contractual</w:t>
            </w:r>
          </w:p>
        </w:tc>
      </w:tr>
      <w:tr w:rsidRPr="00AA5F83" w:rsidR="00D02F87" w:rsidTr="00422A6C" w14:paraId="7B1DF477" w14:textId="77777777">
        <w:trPr>
          <w:trHeight w:val="330"/>
        </w:trPr>
        <w:tc>
          <w:tcPr>
            <w:tcW w:w="1044" w:type="dxa"/>
            <w:vAlign w:val="center"/>
            <w:hideMark/>
          </w:tcPr>
          <w:p w:rsidRPr="00AA5F83" w:rsidR="005A79FE" w:rsidP="00B2659E" w:rsidRDefault="005A79FE" w14:paraId="0FFE9D07" w14:textId="77777777">
            <w:pPr>
              <w:rPr>
                <w:rFonts w:ascii="Arial" w:hAnsi="Arial" w:eastAsia="Times New Roman" w:cs="Arial"/>
                <w:sz w:val="16"/>
                <w:szCs w:val="16"/>
                <w:lang w:eastAsia="es-ES"/>
              </w:rPr>
            </w:pPr>
            <w:r w:rsidRPr="00AA5F83">
              <w:rPr>
                <w:rFonts w:ascii="Arial" w:hAnsi="Arial" w:eastAsia="Times New Roman"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AA5F83" w:rsidR="005A79FE" w:rsidP="00B2659E" w:rsidRDefault="00AA2434" w14:paraId="35DAE08C" w14:textId="51707122">
            <w:pPr>
              <w:rPr>
                <w:rFonts w:ascii="Arial" w:hAnsi="Arial" w:eastAsia="Times New Roman" w:cs="Arial"/>
                <w:sz w:val="16"/>
                <w:szCs w:val="16"/>
                <w:lang w:eastAsia="es-ES"/>
              </w:rPr>
            </w:pPr>
            <w:r>
              <w:rPr>
                <w:rFonts w:ascii="Arial" w:hAnsi="Arial" w:eastAsia="Times New Roman" w:cs="Arial"/>
                <w:sz w:val="16"/>
                <w:szCs w:val="16"/>
                <w:lang w:eastAsia="es-ES"/>
              </w:rPr>
              <w:t>Sebastián Ramírez Grisales</w:t>
            </w:r>
          </w:p>
          <w:p w:rsidRPr="00AA5F83" w:rsidR="005A79FE" w:rsidP="00B2659E" w:rsidRDefault="001D2BB9" w14:paraId="28E52DE2" w14:textId="4B341B00">
            <w:pPr>
              <w:rPr>
                <w:rFonts w:ascii="Arial" w:hAnsi="Arial" w:eastAsia="Times New Roman" w:cs="Arial"/>
                <w:sz w:val="16"/>
                <w:szCs w:val="16"/>
                <w:lang w:eastAsia="es-ES"/>
              </w:rPr>
            </w:pPr>
            <w:r w:rsidRPr="00AA5F83">
              <w:rPr>
                <w:rFonts w:ascii="Arial" w:hAnsi="Arial" w:eastAsia="Times New Roman" w:cs="Arial"/>
                <w:sz w:val="16"/>
                <w:szCs w:val="16"/>
                <w:lang w:eastAsia="es-ES"/>
              </w:rPr>
              <w:t>Contratista – Subdirección de Gestión Contractual</w:t>
            </w:r>
          </w:p>
        </w:tc>
      </w:tr>
      <w:tr w:rsidRPr="00AA5F83" w:rsidR="00D02F87" w:rsidTr="00422A6C" w14:paraId="711E3E03" w14:textId="77777777">
        <w:trPr>
          <w:trHeight w:val="300"/>
        </w:trPr>
        <w:tc>
          <w:tcPr>
            <w:tcW w:w="1044" w:type="dxa"/>
            <w:vAlign w:val="center"/>
            <w:hideMark/>
          </w:tcPr>
          <w:p w:rsidRPr="00AA5F83" w:rsidR="005A79FE" w:rsidP="00B2659E" w:rsidRDefault="005A79FE" w14:paraId="4738705E" w14:textId="77777777">
            <w:pPr>
              <w:rPr>
                <w:rFonts w:ascii="Arial" w:hAnsi="Arial" w:eastAsia="Times New Roman" w:cs="Arial"/>
                <w:sz w:val="16"/>
                <w:szCs w:val="16"/>
                <w:lang w:eastAsia="es-ES"/>
              </w:rPr>
            </w:pPr>
            <w:r w:rsidRPr="00AA5F83">
              <w:rPr>
                <w:rFonts w:ascii="Arial" w:hAnsi="Arial" w:eastAsia="Times New Roman"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AA5F83" w:rsidR="005A79FE" w:rsidP="00B2659E" w:rsidRDefault="005A79FE" w14:paraId="5B3B98CB" w14:textId="77777777">
            <w:pPr>
              <w:rPr>
                <w:rFonts w:ascii="Arial" w:hAnsi="Arial" w:eastAsia="Times New Roman" w:cs="Arial"/>
                <w:sz w:val="16"/>
                <w:szCs w:val="16"/>
                <w:lang w:eastAsia="es-ES"/>
              </w:rPr>
            </w:pPr>
            <w:r w:rsidRPr="00AA5F83">
              <w:rPr>
                <w:rFonts w:ascii="Arial" w:hAnsi="Arial" w:eastAsia="Times New Roman" w:cs="Arial"/>
                <w:sz w:val="16"/>
                <w:szCs w:val="16"/>
                <w:lang w:eastAsia="es-ES"/>
              </w:rPr>
              <w:t>Fabián Gonzalo Marín Cortés</w:t>
            </w:r>
          </w:p>
          <w:p w:rsidRPr="00AA5F83" w:rsidR="005A79FE" w:rsidP="00B2659E" w:rsidRDefault="005A79FE" w14:paraId="18618B00" w14:textId="77777777">
            <w:pPr>
              <w:rPr>
                <w:rFonts w:ascii="Arial" w:hAnsi="Arial" w:eastAsia="Times New Roman" w:cs="Arial"/>
                <w:sz w:val="16"/>
                <w:szCs w:val="16"/>
                <w:lang w:eastAsia="es-ES"/>
              </w:rPr>
            </w:pPr>
            <w:r w:rsidRPr="00AA5F83">
              <w:rPr>
                <w:rFonts w:ascii="Arial" w:hAnsi="Arial" w:eastAsia="Times New Roman" w:cs="Arial"/>
                <w:sz w:val="16"/>
                <w:szCs w:val="16"/>
                <w:lang w:eastAsia="es-ES"/>
              </w:rPr>
              <w:t>Subdirector de Gestión Contractual</w:t>
            </w:r>
          </w:p>
        </w:tc>
      </w:tr>
      <w:bookmarkEnd w:id="0"/>
    </w:tbl>
    <w:p w:rsidRPr="00AA5F83" w:rsidR="007B0854" w:rsidP="00CA287E" w:rsidRDefault="007B0854" w14:paraId="7EBF297E" w14:textId="77777777">
      <w:pPr>
        <w:jc w:val="both"/>
        <w:rPr>
          <w:rFonts w:ascii="Arial" w:hAnsi="Arial" w:eastAsia="Calibri" w:cs="Arial"/>
          <w:sz w:val="22"/>
        </w:rPr>
      </w:pPr>
    </w:p>
    <w:sectPr w:rsidRPr="00AA5F83" w:rsidR="007B0854" w:rsidSect="005A79FE">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4F62" w:rsidRDefault="00EB4F62" w14:paraId="7F416A00" w14:textId="77777777">
      <w:r>
        <w:separator/>
      </w:r>
    </w:p>
  </w:endnote>
  <w:endnote w:type="continuationSeparator" w:id="0">
    <w:p w:rsidR="00EB4F62" w:rsidRDefault="00EB4F62" w14:paraId="26D968BF" w14:textId="77777777">
      <w:r>
        <w:continuationSeparator/>
      </w:r>
    </w:p>
  </w:endnote>
  <w:endnote w:type="continuationNotice" w:id="1">
    <w:p w:rsidR="00EB4F62" w:rsidRDefault="00EB4F62" w14:paraId="370AF41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B3B91" w:rsidP="007B0854" w:rsidRDefault="00DB3B91" w14:paraId="6E90F2C9" w14:textId="77777777">
    <w:pPr>
      <w:pStyle w:val="Sinespaciado"/>
      <w:jc w:val="center"/>
      <w:rPr>
        <w:rFonts w:ascii="Arial" w:hAnsi="Arial" w:cs="Arial"/>
        <w:sz w:val="18"/>
        <w:szCs w:val="18"/>
      </w:rPr>
    </w:pPr>
  </w:p>
  <w:p w:rsidRPr="005A79FE" w:rsidR="00DB3B91" w:rsidP="005A79FE" w:rsidRDefault="00DB3B91" w14:paraId="312C4A14" w14:textId="33E70A99">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37091">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37091">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rsidR="00DB3B91" w:rsidP="007B0854" w:rsidRDefault="00DB3B91" w14:paraId="48FC6A04" w14:textId="0E0B8C38">
    <w:pPr>
      <w:pStyle w:val="Piedepgina"/>
      <w:jc w:val="center"/>
      <w:rPr>
        <w:lang w:val="es-ES"/>
      </w:rPr>
    </w:pPr>
    <w:r w:rsidR="627B3677">
      <w:drawing>
        <wp:inline wp14:editId="0A983C9E" wp14:anchorId="608B196D">
          <wp:extent cx="4241994" cy="595165"/>
          <wp:effectExtent l="0" t="0" r="6350" b="0"/>
          <wp:docPr id="799624857" name="Imagen 12" title=""/>
          <wp:cNvGraphicFramePr>
            <a:graphicFrameLocks noChangeAspect="1"/>
          </wp:cNvGraphicFramePr>
          <a:graphic>
            <a:graphicData uri="http://schemas.openxmlformats.org/drawingml/2006/picture">
              <pic:pic>
                <pic:nvPicPr>
                  <pic:cNvPr id="0" name="Imagen 12"/>
                  <pic:cNvPicPr/>
                </pic:nvPicPr>
                <pic:blipFill>
                  <a:blip r:embed="R7ecac5dd739c4ea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DB3B91" w:rsidP="007B0854" w:rsidRDefault="00DB3B91"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4F62" w:rsidRDefault="00EB4F62" w14:paraId="249FBB25" w14:textId="77777777">
      <w:r>
        <w:separator/>
      </w:r>
    </w:p>
  </w:footnote>
  <w:footnote w:type="continuationSeparator" w:id="0">
    <w:p w:rsidR="00EB4F62" w:rsidRDefault="00EB4F62" w14:paraId="5EF5430F" w14:textId="77777777">
      <w:r>
        <w:continuationSeparator/>
      </w:r>
    </w:p>
  </w:footnote>
  <w:footnote w:type="continuationNotice" w:id="1">
    <w:p w:rsidR="00EB4F62" w:rsidRDefault="00EB4F62" w14:paraId="4F324BF0" w14:textId="77777777"/>
  </w:footnote>
  <w:footnote w:id="2">
    <w:p w:rsidRPr="00A31188" w:rsidR="00DB3B91" w:rsidP="00011080" w:rsidRDefault="00DB3B91" w14:paraId="16A38705" w14:textId="6609F37C">
      <w:pPr>
        <w:pStyle w:val="Textonotapie"/>
        <w:ind w:firstLine="708"/>
        <w:jc w:val="both"/>
        <w:rPr>
          <w:rFonts w:ascii="Arial" w:hAnsi="Arial" w:cs="Arial"/>
          <w:color w:val="000000" w:themeColor="text1"/>
          <w:sz w:val="19"/>
          <w:szCs w:val="19"/>
        </w:rPr>
      </w:pPr>
      <w:r w:rsidRPr="00F6018B">
        <w:rPr>
          <w:rStyle w:val="Refdenotaalpie"/>
          <w:rFonts w:ascii="Arial" w:hAnsi="Arial" w:cs="Arial"/>
          <w:color w:val="000000" w:themeColor="text1"/>
          <w:sz w:val="19"/>
          <w:szCs w:val="19"/>
        </w:rPr>
        <w:footnoteRef/>
      </w:r>
      <w:r w:rsidRPr="00F6018B">
        <w:rPr>
          <w:rFonts w:ascii="Arial" w:hAnsi="Arial" w:cs="Arial"/>
          <w:color w:val="000000" w:themeColor="text1"/>
          <w:sz w:val="19"/>
          <w:szCs w:val="19"/>
        </w:rPr>
        <w:t xml:space="preserve"> </w:t>
      </w:r>
      <w:r w:rsidRPr="00A31188">
        <w:rPr>
          <w:rFonts w:ascii="Arial" w:hAnsi="Arial" w:cs="Arial"/>
          <w:color w:val="000000" w:themeColor="text1"/>
          <w:sz w:val="19"/>
          <w:szCs w:val="19"/>
        </w:rPr>
        <w:t xml:space="preserve">Consejo de Estado. Sección Tercera. Fecha: 13 de julio de 2000. </w:t>
      </w:r>
      <w:proofErr w:type="spellStart"/>
      <w:r w:rsidRPr="00A31188">
        <w:rPr>
          <w:rFonts w:ascii="Arial" w:hAnsi="Arial" w:cs="Arial"/>
          <w:color w:val="000000" w:themeColor="text1"/>
          <w:sz w:val="19"/>
          <w:szCs w:val="19"/>
        </w:rPr>
        <w:t>Exp</w:t>
      </w:r>
      <w:proofErr w:type="spellEnd"/>
      <w:r w:rsidRPr="00A31188">
        <w:rPr>
          <w:rFonts w:ascii="Arial" w:hAnsi="Arial" w:cs="Arial"/>
          <w:color w:val="000000" w:themeColor="text1"/>
          <w:sz w:val="19"/>
          <w:szCs w:val="19"/>
        </w:rPr>
        <w:t>. 1.753. C.P German Rodríguez Villamizar</w:t>
      </w:r>
    </w:p>
    <w:p w:rsidRPr="00F6018B" w:rsidR="00DB3B91" w:rsidP="00011080" w:rsidRDefault="00DB3B91" w14:paraId="26CED01D" w14:textId="77777777">
      <w:pPr>
        <w:pStyle w:val="Textonotapie"/>
        <w:ind w:firstLine="708"/>
        <w:jc w:val="both"/>
        <w:rPr>
          <w:rFonts w:ascii="Arial" w:hAnsi="Arial" w:cs="Arial"/>
          <w:color w:val="000000" w:themeColor="text1"/>
          <w:sz w:val="19"/>
          <w:szCs w:val="19"/>
          <w:lang w:val="es-CO"/>
        </w:rPr>
      </w:pPr>
    </w:p>
  </w:footnote>
  <w:footnote w:id="3">
    <w:p w:rsidRPr="00A31188" w:rsidR="00DB3B91" w:rsidP="003F2435" w:rsidRDefault="00DB3B91" w14:paraId="3A60E3C2" w14:textId="73DE5AE7">
      <w:pPr>
        <w:pStyle w:val="Textonotapie"/>
        <w:ind w:firstLine="708"/>
        <w:jc w:val="both"/>
        <w:rPr>
          <w:rFonts w:ascii="Arial" w:hAnsi="Arial" w:cs="Arial"/>
          <w:color w:val="000000" w:themeColor="text1"/>
          <w:sz w:val="19"/>
          <w:szCs w:val="19"/>
        </w:rPr>
      </w:pPr>
      <w:r w:rsidRPr="00F6018B">
        <w:rPr>
          <w:rStyle w:val="Refdenotaalpie"/>
          <w:rFonts w:ascii="Arial" w:hAnsi="Arial" w:cs="Arial"/>
          <w:color w:val="000000" w:themeColor="text1"/>
          <w:sz w:val="19"/>
          <w:szCs w:val="19"/>
        </w:rPr>
        <w:footnoteRef/>
      </w:r>
      <w:r w:rsidRPr="00F6018B">
        <w:rPr>
          <w:rFonts w:ascii="Arial" w:hAnsi="Arial" w:cs="Arial"/>
          <w:color w:val="000000" w:themeColor="text1"/>
          <w:sz w:val="19"/>
          <w:szCs w:val="19"/>
        </w:rPr>
        <w:t xml:space="preserve"> </w:t>
      </w:r>
      <w:r w:rsidRPr="00A31188">
        <w:rPr>
          <w:rFonts w:ascii="Arial" w:hAnsi="Arial" w:cs="Arial"/>
          <w:color w:val="000000" w:themeColor="text1"/>
          <w:sz w:val="19"/>
          <w:szCs w:val="19"/>
        </w:rPr>
        <w:t xml:space="preserve">Documentos Tipo de Licitación Pública de Infraestructura de Transporte – Versión 2 adoptados por </w:t>
      </w:r>
      <w:proofErr w:type="spellStart"/>
      <w:r w:rsidRPr="00A31188">
        <w:rPr>
          <w:rFonts w:ascii="Arial" w:hAnsi="Arial" w:cs="Arial"/>
          <w:color w:val="000000" w:themeColor="text1"/>
          <w:sz w:val="19"/>
          <w:szCs w:val="19"/>
        </w:rPr>
        <w:t>al</w:t>
      </w:r>
      <w:proofErr w:type="spellEnd"/>
      <w:r w:rsidRPr="00A31188">
        <w:rPr>
          <w:rFonts w:ascii="Arial" w:hAnsi="Arial" w:cs="Arial"/>
          <w:color w:val="000000" w:themeColor="text1"/>
          <w:sz w:val="19"/>
          <w:szCs w:val="19"/>
        </w:rPr>
        <w:t xml:space="preserve"> Resolución 045 de 2020 y los Documentos Tipo de Selección Abreviada de Infraestructura de Transporte adoptados por la Resolución 044 de 2020.</w:t>
      </w:r>
    </w:p>
    <w:p w:rsidRPr="00F6018B" w:rsidR="00DB3B91" w:rsidP="003F2435" w:rsidRDefault="00DB3B91" w14:paraId="34524DB9" w14:textId="77777777">
      <w:pPr>
        <w:pStyle w:val="Textonotapie"/>
        <w:ind w:firstLine="708"/>
        <w:jc w:val="both"/>
        <w:rPr>
          <w:rFonts w:ascii="Arial" w:hAnsi="Arial" w:cs="Arial"/>
          <w:color w:val="000000" w:themeColor="text1"/>
          <w:sz w:val="19"/>
          <w:szCs w:val="19"/>
          <w:lang w:val="es-CO"/>
        </w:rPr>
      </w:pPr>
    </w:p>
  </w:footnote>
  <w:footnote w:id="4">
    <w:p w:rsidRPr="00A31188" w:rsidR="00DB3B91" w:rsidP="00716EEC" w:rsidRDefault="00DB3B91" w14:paraId="03C2B137" w14:textId="33A650BD">
      <w:pPr>
        <w:pStyle w:val="Textonotapie"/>
        <w:ind w:firstLine="708"/>
        <w:jc w:val="both"/>
        <w:rPr>
          <w:rFonts w:ascii="Arial" w:hAnsi="Arial" w:cs="Arial"/>
          <w:color w:val="000000" w:themeColor="text1"/>
          <w:sz w:val="19"/>
          <w:szCs w:val="19"/>
        </w:rPr>
      </w:pPr>
      <w:r w:rsidRPr="00F6018B">
        <w:rPr>
          <w:rStyle w:val="Refdenotaalpie"/>
          <w:rFonts w:ascii="Arial" w:hAnsi="Arial" w:cs="Arial"/>
          <w:color w:val="000000" w:themeColor="text1"/>
          <w:sz w:val="19"/>
          <w:szCs w:val="19"/>
        </w:rPr>
        <w:footnoteRef/>
      </w:r>
      <w:r w:rsidRPr="00F6018B">
        <w:rPr>
          <w:rFonts w:ascii="Arial" w:hAnsi="Arial" w:cs="Arial"/>
          <w:color w:val="000000" w:themeColor="text1"/>
          <w:sz w:val="19"/>
          <w:szCs w:val="19"/>
        </w:rPr>
        <w:t xml:space="preserve"> Do</w:t>
      </w:r>
      <w:r w:rsidRPr="00A31188">
        <w:rPr>
          <w:rFonts w:ascii="Arial" w:hAnsi="Arial" w:cs="Arial"/>
          <w:color w:val="000000" w:themeColor="text1"/>
          <w:sz w:val="19"/>
          <w:szCs w:val="19"/>
        </w:rPr>
        <w:t>cumentos Tipo de Licitación Pública de Infraestructura de Transporte – Versión 2,</w:t>
      </w:r>
      <w:r w:rsidRPr="00A31188">
        <w:rPr>
          <w:rFonts w:ascii="Arial" w:hAnsi="Arial" w:cs="Arial"/>
          <w:b/>
          <w:bCs/>
          <w:color w:val="000000" w:themeColor="text1"/>
          <w:sz w:val="19"/>
          <w:szCs w:val="19"/>
        </w:rPr>
        <w:t xml:space="preserve"> </w:t>
      </w:r>
      <w:r w:rsidRPr="00A31188">
        <w:rPr>
          <w:rFonts w:ascii="Arial" w:hAnsi="Arial" w:cs="Arial"/>
          <w:color w:val="000000" w:themeColor="text1"/>
          <w:sz w:val="19"/>
          <w:szCs w:val="19"/>
        </w:rPr>
        <w:t>numeral  Cierre del proceso y apertura de ofertas:</w:t>
      </w:r>
      <w:r w:rsidRPr="00A31188">
        <w:rPr>
          <w:rFonts w:ascii="Arial" w:hAnsi="Arial" w:cs="Arial"/>
          <w:b/>
          <w:bCs/>
          <w:color w:val="000000" w:themeColor="text1"/>
          <w:sz w:val="19"/>
          <w:szCs w:val="19"/>
        </w:rPr>
        <w:t xml:space="preserve"> </w:t>
      </w:r>
      <w:r w:rsidRPr="00A31188">
        <w:rPr>
          <w:rFonts w:ascii="Arial" w:hAnsi="Arial" w:cs="Arial"/>
          <w:color w:val="000000" w:themeColor="text1"/>
          <w:sz w:val="19"/>
          <w:szCs w:val="19"/>
        </w:rPr>
        <w:t xml:space="preserve">«De lo anterior, se levantará un acta que solo será suscrita por los funcionarios o contratistas de la Entidad que intervengan en la diligencia de cierre, en la cual se relacionará como información del Sobre 1 de cada oferta, el nombre de los Proponentes, si la carta de presentación fue incluida y está firmada; el número de la garantía de seriedad de la oferta que la acompaña; el número de folios y las observaciones correspondientes, así como los demás aspectos relevantes que considere la Entidad». </w:t>
      </w:r>
    </w:p>
    <w:p w:rsidRPr="00F6018B" w:rsidR="00DB3B91" w:rsidP="00716EEC" w:rsidRDefault="00DB3B91" w14:paraId="402B62E8" w14:textId="5F153098">
      <w:pPr>
        <w:pStyle w:val="Textonotapie"/>
        <w:ind w:firstLine="708"/>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B3B91" w:rsidRDefault="00DB3B91" w14:paraId="4CEB5923" w14:textId="72BD7C0A">
    <w:pPr>
      <w:pStyle w:val="Encabezado"/>
    </w:pPr>
  </w:p>
  <w:p w:rsidR="00DB3B91" w:rsidRDefault="00DB3B91" w14:paraId="6A4C7F2C" w14:textId="7D093DBB">
    <w:pPr>
      <w:pStyle w:val="Encabezado"/>
    </w:pPr>
  </w:p>
  <w:p w:rsidR="00DB3B91" w:rsidRDefault="00DB3B91" w14:paraId="055F2E1F" w14:textId="0B935ADD">
    <w:pPr>
      <w:pStyle w:val="Encabezado"/>
    </w:pPr>
    <w:r>
      <w:rPr>
        <w:noProof/>
        <w:lang w:val="en-US"/>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627B3677">
      <w:rPr/>
      <w:t/>
    </w:r>
  </w:p>
  <w:p w:rsidR="00DB3B91" w:rsidRDefault="00DB3B91" w14:paraId="51400574" w14:textId="61BAF652">
    <w:pPr>
      <w:pStyle w:val="Encabezado"/>
    </w:pPr>
  </w:p>
  <w:p w:rsidR="00DB3B91" w:rsidRDefault="00DB3B91" w14:paraId="3D323BDB" w14:textId="04AF0DE6">
    <w:pPr>
      <w:pStyle w:val="Encabezado"/>
    </w:pPr>
  </w:p>
  <w:p w:rsidR="00DB3B91" w:rsidRDefault="00DB3B91"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3B3AAD92"/>
    <w:lvl w:ilvl="0">
      <w:start w:val="1"/>
      <w:numFmt w:val="decimal"/>
      <w:lvlText w:val="%1."/>
      <w:lvlJc w:val="left"/>
      <w:pPr>
        <w:ind w:left="6601" w:hanging="360"/>
      </w:pPr>
      <w:rPr>
        <w:b/>
        <w:color w:val="auto"/>
      </w:rPr>
    </w:lvl>
    <w:lvl w:ilvl="1">
      <w:start w:val="2"/>
      <w:numFmt w:val="decimal"/>
      <w:lvlText w:val="%1.%2"/>
      <w:lvlJc w:val="left"/>
      <w:pPr>
        <w:ind w:left="6241" w:hanging="360"/>
      </w:pPr>
      <w:rPr>
        <w:b/>
        <w:bCs/>
      </w:r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EC369E"/>
    <w:multiLevelType w:val="multilevel"/>
    <w:tmpl w:val="53B252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88664B7"/>
    <w:multiLevelType w:val="hybridMultilevel"/>
    <w:tmpl w:val="0958C3F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cs="Wingdings"/>
      </w:rPr>
    </w:lvl>
    <w:lvl w:ilvl="3" w:tplc="240A0001" w:tentative="1">
      <w:start w:val="1"/>
      <w:numFmt w:val="bullet"/>
      <w:lvlText w:val=""/>
      <w:lvlJc w:val="left"/>
      <w:pPr>
        <w:ind w:left="2880" w:hanging="360"/>
      </w:pPr>
      <w:rPr>
        <w:rFonts w:hint="default" w:ascii="Symbol" w:hAnsi="Symbol" w:cs="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cs="Wingdings"/>
      </w:rPr>
    </w:lvl>
    <w:lvl w:ilvl="6" w:tplc="240A0001" w:tentative="1">
      <w:start w:val="1"/>
      <w:numFmt w:val="bullet"/>
      <w:lvlText w:val=""/>
      <w:lvlJc w:val="left"/>
      <w:pPr>
        <w:ind w:left="5040" w:hanging="360"/>
      </w:pPr>
      <w:rPr>
        <w:rFonts w:hint="default" w:ascii="Symbol" w:hAnsi="Symbol" w:cs="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2A8C7666"/>
    <w:multiLevelType w:val="hybridMultilevel"/>
    <w:tmpl w:val="7D26A72C"/>
    <w:lvl w:ilvl="0" w:tplc="A60CCE8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6B0C0C8C"/>
    <w:multiLevelType w:val="hybridMultilevel"/>
    <w:tmpl w:val="F36E4702"/>
    <w:lvl w:ilvl="0" w:tplc="240A0001">
      <w:start w:val="1"/>
      <w:numFmt w:val="bullet"/>
      <w:lvlText w:val=""/>
      <w:lvlJc w:val="left"/>
      <w:pPr>
        <w:ind w:left="720" w:hanging="360"/>
      </w:pPr>
      <w:rPr>
        <w:rFonts w:hint="default" w:ascii="Symbol" w:hAnsi="Symbol" w:cs="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cs="Wingdings"/>
      </w:rPr>
    </w:lvl>
    <w:lvl w:ilvl="3" w:tplc="240A0001" w:tentative="1">
      <w:start w:val="1"/>
      <w:numFmt w:val="bullet"/>
      <w:lvlText w:val=""/>
      <w:lvlJc w:val="left"/>
      <w:pPr>
        <w:ind w:left="2880" w:hanging="360"/>
      </w:pPr>
      <w:rPr>
        <w:rFonts w:hint="default" w:ascii="Symbol" w:hAnsi="Symbol" w:cs="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cs="Wingdings"/>
      </w:rPr>
    </w:lvl>
    <w:lvl w:ilvl="6" w:tplc="240A0001" w:tentative="1">
      <w:start w:val="1"/>
      <w:numFmt w:val="bullet"/>
      <w:lvlText w:val=""/>
      <w:lvlJc w:val="left"/>
      <w:pPr>
        <w:ind w:left="5040" w:hanging="360"/>
      </w:pPr>
      <w:rPr>
        <w:rFonts w:hint="default" w:ascii="Symbol" w:hAnsi="Symbol" w:cs="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cs="Wingdings"/>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7"/>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2"/>
  </w:num>
  <w:num w:numId="1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11080"/>
    <w:rsid w:val="00020F52"/>
    <w:rsid w:val="00030BAB"/>
    <w:rsid w:val="00060F90"/>
    <w:rsid w:val="00070C0F"/>
    <w:rsid w:val="000942EB"/>
    <w:rsid w:val="000A06AE"/>
    <w:rsid w:val="000B103F"/>
    <w:rsid w:val="000D6AD7"/>
    <w:rsid w:val="000D7355"/>
    <w:rsid w:val="000F0368"/>
    <w:rsid w:val="000F14E8"/>
    <w:rsid w:val="000F4099"/>
    <w:rsid w:val="00103915"/>
    <w:rsid w:val="00122B23"/>
    <w:rsid w:val="00137091"/>
    <w:rsid w:val="00137FFA"/>
    <w:rsid w:val="00153458"/>
    <w:rsid w:val="0017350D"/>
    <w:rsid w:val="00183FAB"/>
    <w:rsid w:val="001C1A3E"/>
    <w:rsid w:val="001C45C1"/>
    <w:rsid w:val="001C658E"/>
    <w:rsid w:val="001D2BB9"/>
    <w:rsid w:val="0020296A"/>
    <w:rsid w:val="002054F4"/>
    <w:rsid w:val="00211183"/>
    <w:rsid w:val="002222BF"/>
    <w:rsid w:val="00222586"/>
    <w:rsid w:val="00234B84"/>
    <w:rsid w:val="00246B69"/>
    <w:rsid w:val="00250764"/>
    <w:rsid w:val="00261209"/>
    <w:rsid w:val="00280B32"/>
    <w:rsid w:val="00282BBE"/>
    <w:rsid w:val="002946F1"/>
    <w:rsid w:val="002A0619"/>
    <w:rsid w:val="002A28A2"/>
    <w:rsid w:val="002B15E9"/>
    <w:rsid w:val="002C0B5C"/>
    <w:rsid w:val="003026A3"/>
    <w:rsid w:val="003033BA"/>
    <w:rsid w:val="00305256"/>
    <w:rsid w:val="0034680A"/>
    <w:rsid w:val="003532D4"/>
    <w:rsid w:val="00371515"/>
    <w:rsid w:val="00386456"/>
    <w:rsid w:val="00392EEE"/>
    <w:rsid w:val="003A3454"/>
    <w:rsid w:val="003A581E"/>
    <w:rsid w:val="003A6625"/>
    <w:rsid w:val="003B7A97"/>
    <w:rsid w:val="003C5573"/>
    <w:rsid w:val="003C6761"/>
    <w:rsid w:val="003E76AF"/>
    <w:rsid w:val="003F2435"/>
    <w:rsid w:val="0041546A"/>
    <w:rsid w:val="00417C0A"/>
    <w:rsid w:val="00422A6C"/>
    <w:rsid w:val="004401FA"/>
    <w:rsid w:val="004422D6"/>
    <w:rsid w:val="00443145"/>
    <w:rsid w:val="00444243"/>
    <w:rsid w:val="004575B7"/>
    <w:rsid w:val="00474B23"/>
    <w:rsid w:val="00475E3C"/>
    <w:rsid w:val="00482772"/>
    <w:rsid w:val="004A34D2"/>
    <w:rsid w:val="004C7C9E"/>
    <w:rsid w:val="004D1655"/>
    <w:rsid w:val="004F16C6"/>
    <w:rsid w:val="0050089C"/>
    <w:rsid w:val="005103AB"/>
    <w:rsid w:val="0051074C"/>
    <w:rsid w:val="00513AF2"/>
    <w:rsid w:val="00524F93"/>
    <w:rsid w:val="0054413A"/>
    <w:rsid w:val="005564CA"/>
    <w:rsid w:val="005568D6"/>
    <w:rsid w:val="00564E86"/>
    <w:rsid w:val="005A79FE"/>
    <w:rsid w:val="005E7BC9"/>
    <w:rsid w:val="0060235F"/>
    <w:rsid w:val="00655371"/>
    <w:rsid w:val="00664715"/>
    <w:rsid w:val="00673ECA"/>
    <w:rsid w:val="00696655"/>
    <w:rsid w:val="00697665"/>
    <w:rsid w:val="00697B70"/>
    <w:rsid w:val="006A1667"/>
    <w:rsid w:val="006A1B4B"/>
    <w:rsid w:val="006A7FD0"/>
    <w:rsid w:val="006B4F67"/>
    <w:rsid w:val="006C1C90"/>
    <w:rsid w:val="006C6825"/>
    <w:rsid w:val="006D00F2"/>
    <w:rsid w:val="006D7687"/>
    <w:rsid w:val="006E0572"/>
    <w:rsid w:val="007037F5"/>
    <w:rsid w:val="00705631"/>
    <w:rsid w:val="00716EEC"/>
    <w:rsid w:val="007209DB"/>
    <w:rsid w:val="00724384"/>
    <w:rsid w:val="00735F76"/>
    <w:rsid w:val="00742DD2"/>
    <w:rsid w:val="0075647A"/>
    <w:rsid w:val="007634AD"/>
    <w:rsid w:val="0078122E"/>
    <w:rsid w:val="007873D0"/>
    <w:rsid w:val="007938C4"/>
    <w:rsid w:val="007A56B8"/>
    <w:rsid w:val="007B0854"/>
    <w:rsid w:val="007B0FAB"/>
    <w:rsid w:val="007B6B84"/>
    <w:rsid w:val="007C1938"/>
    <w:rsid w:val="007F1B86"/>
    <w:rsid w:val="007F3A6D"/>
    <w:rsid w:val="007F6530"/>
    <w:rsid w:val="007F72CB"/>
    <w:rsid w:val="008114C6"/>
    <w:rsid w:val="0081590E"/>
    <w:rsid w:val="008216A2"/>
    <w:rsid w:val="00824AEF"/>
    <w:rsid w:val="00830484"/>
    <w:rsid w:val="0083119B"/>
    <w:rsid w:val="00836EAB"/>
    <w:rsid w:val="0085092D"/>
    <w:rsid w:val="00863E9B"/>
    <w:rsid w:val="00864828"/>
    <w:rsid w:val="008D4312"/>
    <w:rsid w:val="008E1C15"/>
    <w:rsid w:val="008F077B"/>
    <w:rsid w:val="009047C5"/>
    <w:rsid w:val="009060F2"/>
    <w:rsid w:val="00937832"/>
    <w:rsid w:val="009453FB"/>
    <w:rsid w:val="0095385A"/>
    <w:rsid w:val="00956646"/>
    <w:rsid w:val="00992EA6"/>
    <w:rsid w:val="009F457A"/>
    <w:rsid w:val="00A24560"/>
    <w:rsid w:val="00A31188"/>
    <w:rsid w:val="00A34538"/>
    <w:rsid w:val="00A673A9"/>
    <w:rsid w:val="00AA10E3"/>
    <w:rsid w:val="00AA2434"/>
    <w:rsid w:val="00AA442B"/>
    <w:rsid w:val="00AA5F83"/>
    <w:rsid w:val="00AC74DB"/>
    <w:rsid w:val="00AD3274"/>
    <w:rsid w:val="00B0017B"/>
    <w:rsid w:val="00B10378"/>
    <w:rsid w:val="00B11DC6"/>
    <w:rsid w:val="00B22E22"/>
    <w:rsid w:val="00B2659E"/>
    <w:rsid w:val="00B3470B"/>
    <w:rsid w:val="00B35E64"/>
    <w:rsid w:val="00B47C8D"/>
    <w:rsid w:val="00B525CB"/>
    <w:rsid w:val="00B55352"/>
    <w:rsid w:val="00B5709C"/>
    <w:rsid w:val="00B57C6F"/>
    <w:rsid w:val="00B600FC"/>
    <w:rsid w:val="00B63CB2"/>
    <w:rsid w:val="00BB1D63"/>
    <w:rsid w:val="00BD370E"/>
    <w:rsid w:val="00BD78FE"/>
    <w:rsid w:val="00BE039B"/>
    <w:rsid w:val="00BE1000"/>
    <w:rsid w:val="00BF0695"/>
    <w:rsid w:val="00C16593"/>
    <w:rsid w:val="00C21B1C"/>
    <w:rsid w:val="00C23860"/>
    <w:rsid w:val="00C61661"/>
    <w:rsid w:val="00C627DB"/>
    <w:rsid w:val="00C63838"/>
    <w:rsid w:val="00C64DC8"/>
    <w:rsid w:val="00C71150"/>
    <w:rsid w:val="00CA287E"/>
    <w:rsid w:val="00CB31B2"/>
    <w:rsid w:val="00CC00CD"/>
    <w:rsid w:val="00CC0237"/>
    <w:rsid w:val="00CE0930"/>
    <w:rsid w:val="00CE38F7"/>
    <w:rsid w:val="00CF0A98"/>
    <w:rsid w:val="00CF3A0F"/>
    <w:rsid w:val="00D00B16"/>
    <w:rsid w:val="00D020BC"/>
    <w:rsid w:val="00D02F87"/>
    <w:rsid w:val="00D16E39"/>
    <w:rsid w:val="00D23F2E"/>
    <w:rsid w:val="00D46192"/>
    <w:rsid w:val="00D72E9D"/>
    <w:rsid w:val="00D82CE5"/>
    <w:rsid w:val="00D955BB"/>
    <w:rsid w:val="00DA5AB1"/>
    <w:rsid w:val="00DB0888"/>
    <w:rsid w:val="00DB3B91"/>
    <w:rsid w:val="00DC62E5"/>
    <w:rsid w:val="00DD6F53"/>
    <w:rsid w:val="00DD735D"/>
    <w:rsid w:val="00DD7829"/>
    <w:rsid w:val="00DE3119"/>
    <w:rsid w:val="00DE5F20"/>
    <w:rsid w:val="00DE75BA"/>
    <w:rsid w:val="00DF236B"/>
    <w:rsid w:val="00DF332E"/>
    <w:rsid w:val="00E11B19"/>
    <w:rsid w:val="00E13AB8"/>
    <w:rsid w:val="00E31BD2"/>
    <w:rsid w:val="00E32E42"/>
    <w:rsid w:val="00E33B62"/>
    <w:rsid w:val="00E36F2A"/>
    <w:rsid w:val="00E42167"/>
    <w:rsid w:val="00E808D5"/>
    <w:rsid w:val="00E90CA3"/>
    <w:rsid w:val="00E90CC8"/>
    <w:rsid w:val="00E9347D"/>
    <w:rsid w:val="00E95FAF"/>
    <w:rsid w:val="00EB16C9"/>
    <w:rsid w:val="00EB4F62"/>
    <w:rsid w:val="00EC4425"/>
    <w:rsid w:val="00ED384B"/>
    <w:rsid w:val="00EF4694"/>
    <w:rsid w:val="00EF6E02"/>
    <w:rsid w:val="00F0620C"/>
    <w:rsid w:val="00F126A0"/>
    <w:rsid w:val="00F209B5"/>
    <w:rsid w:val="00F256C7"/>
    <w:rsid w:val="00F5503E"/>
    <w:rsid w:val="00F6018B"/>
    <w:rsid w:val="00F84899"/>
    <w:rsid w:val="00F859F0"/>
    <w:rsid w:val="00FB6377"/>
    <w:rsid w:val="00FE141E"/>
    <w:rsid w:val="00FF4B5B"/>
    <w:rsid w:val="2C0B2D3C"/>
    <w:rsid w:val="59AB8E50"/>
    <w:rsid w:val="627B3677"/>
    <w:rsid w:val="6D90B55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TITULO 2_CR,Viñeta 6"/>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paragraph" w:styleId="Default" w:customStyle="1">
    <w:name w:val="Default"/>
    <w:rsid w:val="0086482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7618626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41075053">
      <w:bodyDiv w:val="1"/>
      <w:marLeft w:val="0"/>
      <w:marRight w:val="0"/>
      <w:marTop w:val="0"/>
      <w:marBottom w:val="0"/>
      <w:divBdr>
        <w:top w:val="none" w:sz="0" w:space="0" w:color="auto"/>
        <w:left w:val="none" w:sz="0" w:space="0" w:color="auto"/>
        <w:bottom w:val="none" w:sz="0" w:space="0" w:color="auto"/>
        <w:right w:val="none" w:sz="0" w:space="0" w:color="auto"/>
      </w:divBdr>
    </w:div>
    <w:div w:id="1025327185">
      <w:bodyDiv w:val="1"/>
      <w:marLeft w:val="0"/>
      <w:marRight w:val="0"/>
      <w:marTop w:val="0"/>
      <w:marBottom w:val="0"/>
      <w:divBdr>
        <w:top w:val="none" w:sz="0" w:space="0" w:color="auto"/>
        <w:left w:val="none" w:sz="0" w:space="0" w:color="auto"/>
        <w:bottom w:val="none" w:sz="0" w:space="0" w:color="auto"/>
        <w:right w:val="none" w:sz="0" w:space="0" w:color="auto"/>
      </w:divBdr>
    </w:div>
    <w:div w:id="1225406364">
      <w:bodyDiv w:val="1"/>
      <w:marLeft w:val="0"/>
      <w:marRight w:val="0"/>
      <w:marTop w:val="0"/>
      <w:marBottom w:val="0"/>
      <w:divBdr>
        <w:top w:val="none" w:sz="0" w:space="0" w:color="auto"/>
        <w:left w:val="none" w:sz="0" w:space="0" w:color="auto"/>
        <w:bottom w:val="none" w:sz="0" w:space="0" w:color="auto"/>
        <w:right w:val="none" w:sz="0" w:space="0" w:color="auto"/>
      </w:divBdr>
    </w:div>
    <w:div w:id="1424105373">
      <w:bodyDiv w:val="1"/>
      <w:marLeft w:val="0"/>
      <w:marRight w:val="0"/>
      <w:marTop w:val="0"/>
      <w:marBottom w:val="0"/>
      <w:divBdr>
        <w:top w:val="none" w:sz="0" w:space="0" w:color="auto"/>
        <w:left w:val="none" w:sz="0" w:space="0" w:color="auto"/>
        <w:bottom w:val="none" w:sz="0" w:space="0" w:color="auto"/>
        <w:right w:val="none" w:sz="0" w:space="0" w:color="auto"/>
      </w:divBdr>
    </w:div>
    <w:div w:id="16013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b762f503297a4328" /></Relationships>
</file>

<file path=word/_rels/footer1.xml.rels>&#65279;<?xml version="1.0" encoding="utf-8"?><Relationships xmlns="http://schemas.openxmlformats.org/package/2006/relationships"><Relationship Type="http://schemas.openxmlformats.org/officeDocument/2006/relationships/image" Target="/media/image5.png" Id="R7ecac5dd739c4ea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FE878C6E-93E5-4033-B760-B8A84F6B2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41609-42B4-4902-9119-E89E8A05505A}">
  <ds:schemaRefs>
    <ds:schemaRef ds:uri="http://schemas.openxmlformats.org/officeDocument/2006/bibliography"/>
  </ds:schemaRefs>
</ds:datastoreItem>
</file>

<file path=customXml/itemProps4.xml><?xml version="1.0" encoding="utf-8"?>
<ds:datastoreItem xmlns:ds="http://schemas.openxmlformats.org/officeDocument/2006/customXml" ds:itemID="{D10164BF-7D3C-4793-8198-4EA3FC23C6B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revision>
  <dcterms:created xsi:type="dcterms:W3CDTF">2020-06-23T17:00:00.0000000Z</dcterms:created>
  <dcterms:modified xsi:type="dcterms:W3CDTF">2020-07-28T17:29:09.7978066Z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