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A1118B" w:rsidP="00A1118B" w:rsidRDefault="00A1118B" w14:paraId="6209750A" w14:textId="31349248">
      <w:pPr>
        <w:spacing w:line="276" w:lineRule="auto"/>
        <w:jc w:val="right"/>
        <w:rPr>
          <w:rFonts w:ascii="Arial" w:hAnsi="Arial" w:cs="Arial"/>
          <w:b/>
          <w:bCs/>
          <w:sz w:val="16"/>
          <w:szCs w:val="16"/>
          <w:lang w:eastAsia="es-ES"/>
        </w:rPr>
      </w:pPr>
      <w:r w:rsidRPr="006A4BF8">
        <w:rPr>
          <w:rFonts w:ascii="Arial" w:hAnsi="Arial" w:cs="Arial"/>
          <w:b/>
          <w:bCs/>
          <w:sz w:val="16"/>
          <w:szCs w:val="16"/>
          <w:lang w:eastAsia="es-ES"/>
        </w:rPr>
        <w:t>CCE-DES-FM-17</w:t>
      </w:r>
    </w:p>
    <w:p w:rsidRPr="006A4BF8" w:rsidR="00C04FF1" w:rsidP="00A1118B" w:rsidRDefault="00C04FF1" w14:paraId="48DCB44A" w14:textId="77777777">
      <w:pPr>
        <w:spacing w:line="276" w:lineRule="auto"/>
        <w:jc w:val="right"/>
        <w:rPr>
          <w:rFonts w:ascii="Arial" w:hAnsi="Arial" w:eastAsia="Calibri" w:cs="Arial"/>
          <w:b/>
          <w:bCs/>
          <w:sz w:val="16"/>
          <w:szCs w:val="16"/>
        </w:rPr>
      </w:pPr>
    </w:p>
    <w:p w:rsidRPr="0037664B" w:rsidR="0030156A" w:rsidP="0030156A" w:rsidRDefault="0030156A" w14:paraId="6E86CAAF" w14:textId="44009C1F">
      <w:pPr>
        <w:pStyle w:val="paragraph"/>
        <w:spacing w:before="0" w:beforeAutospacing="0" w:after="0" w:afterAutospacing="0"/>
        <w:ind w:right="300"/>
        <w:jc w:val="both"/>
        <w:textAlignment w:val="baseline"/>
        <w:rPr>
          <w:rFonts w:ascii="Arial" w:hAnsi="Arial" w:cs="Arial"/>
          <w:sz w:val="18"/>
          <w:szCs w:val="18"/>
        </w:rPr>
      </w:pPr>
      <w:r w:rsidRPr="0037664B">
        <w:rPr>
          <w:rStyle w:val="normaltextrun"/>
          <w:rFonts w:ascii="Arial" w:hAnsi="Arial" w:cs="Arial"/>
          <w:b/>
          <w:bCs/>
          <w:sz w:val="22"/>
          <w:szCs w:val="22"/>
        </w:rPr>
        <w:t xml:space="preserve">CONSORCIOS Y UNIONES TEMPORALES </w:t>
      </w:r>
      <w:r w:rsidRPr="0037664B">
        <w:rPr>
          <w:rFonts w:ascii="Arial" w:hAnsi="Arial" w:eastAsia="Calibri" w:cs="Arial"/>
          <w:b/>
          <w:sz w:val="22"/>
        </w:rPr>
        <w:t xml:space="preserve">– </w:t>
      </w:r>
      <w:r w:rsidRPr="0037664B">
        <w:rPr>
          <w:rStyle w:val="normaltextrun"/>
          <w:rFonts w:ascii="Arial" w:hAnsi="Arial" w:cs="Arial"/>
          <w:b/>
          <w:bCs/>
          <w:sz w:val="22"/>
          <w:szCs w:val="22"/>
        </w:rPr>
        <w:t>Naturaleza</w:t>
      </w:r>
    </w:p>
    <w:p w:rsidRPr="0037664B" w:rsidR="0030156A" w:rsidP="0030156A" w:rsidRDefault="0030156A" w14:paraId="441A9183" w14:textId="77777777">
      <w:pPr>
        <w:pStyle w:val="paragraph"/>
        <w:spacing w:before="0" w:beforeAutospacing="0" w:after="0" w:afterAutospacing="0"/>
        <w:ind w:right="300"/>
        <w:jc w:val="both"/>
        <w:textAlignment w:val="baseline"/>
        <w:rPr>
          <w:rFonts w:ascii="Arial" w:hAnsi="Arial" w:cs="Arial"/>
          <w:sz w:val="18"/>
          <w:szCs w:val="18"/>
        </w:rPr>
      </w:pPr>
      <w:r w:rsidRPr="0037664B">
        <w:rPr>
          <w:rStyle w:val="eop"/>
          <w:rFonts w:ascii="Arial" w:hAnsi="Arial" w:cs="Arial"/>
          <w:sz w:val="21"/>
          <w:szCs w:val="21"/>
        </w:rPr>
        <w:t> </w:t>
      </w:r>
    </w:p>
    <w:p w:rsidR="0030156A" w:rsidP="00874EAD" w:rsidRDefault="0030156A" w14:paraId="4A4D24D5" w14:textId="5E7F2EDA">
      <w:pPr>
        <w:pStyle w:val="paragraph"/>
        <w:spacing w:before="0" w:beforeAutospacing="0" w:after="0" w:afterAutospacing="0"/>
        <w:jc w:val="both"/>
        <w:textAlignment w:val="baseline"/>
        <w:rPr>
          <w:rStyle w:val="eop"/>
          <w:rFonts w:ascii="Arial" w:hAnsi="Arial" w:cs="Arial"/>
          <w:sz w:val="20"/>
          <w:szCs w:val="20"/>
        </w:rPr>
      </w:pPr>
      <w:r w:rsidRPr="0037664B">
        <w:rPr>
          <w:rStyle w:val="normaltextrun"/>
          <w:rFonts w:ascii="Arial" w:hAnsi="Arial" w:cs="Arial"/>
          <w:sz w:val="20"/>
          <w:szCs w:val="20"/>
        </w:rPr>
        <w:t>Los consorcios y las uniones temporales son formas asociativas en la que sus integrantes se unen para presentar de manera conjunta una propuesta, celebrar y ejecutar un contrato con una entidad estatal, es decir, es el negocio jurídico donde dos o varios proponentes se asocian para cumplir los requisitos exigidos en un proceso de contratación. Ninguna de estas figuras tiene personería jurídica, pero la Ley 80 de 1993 les reconoció capacidad contractual para celebrar contratos con el Estado.</w:t>
      </w:r>
      <w:r w:rsidRPr="0037664B">
        <w:rPr>
          <w:rStyle w:val="eop"/>
          <w:rFonts w:ascii="Arial" w:hAnsi="Arial" w:cs="Arial"/>
          <w:sz w:val="20"/>
          <w:szCs w:val="20"/>
        </w:rPr>
        <w:t> </w:t>
      </w:r>
    </w:p>
    <w:p w:rsidR="00874EAD" w:rsidP="0030156A" w:rsidRDefault="00874EAD" w14:paraId="50355A94" w14:textId="29E0C37F">
      <w:pPr>
        <w:pStyle w:val="paragraph"/>
        <w:spacing w:before="0" w:beforeAutospacing="0" w:after="0" w:afterAutospacing="0"/>
        <w:ind w:right="300"/>
        <w:jc w:val="both"/>
        <w:textAlignment w:val="baseline"/>
        <w:rPr>
          <w:rStyle w:val="eop"/>
          <w:rFonts w:ascii="Arial" w:hAnsi="Arial" w:cs="Arial"/>
          <w:sz w:val="20"/>
          <w:szCs w:val="20"/>
        </w:rPr>
      </w:pPr>
    </w:p>
    <w:p w:rsidR="00874EAD" w:rsidP="5B34077B" w:rsidRDefault="00874EAD" w14:paraId="5F10FACA" w14:textId="041E9449">
      <w:pPr>
        <w:pStyle w:val="Normal"/>
        <w:bidi w:val="0"/>
        <w:spacing w:before="0" w:beforeAutospacing="off" w:after="0" w:afterAutospacing="off" w:line="240" w:lineRule="auto"/>
        <w:ind w:left="0" w:right="0"/>
        <w:jc w:val="both"/>
        <w:rPr>
          <w:rStyle w:val="eop"/>
          <w:rFonts w:ascii="Arial" w:hAnsi="Arial" w:cs="Arial"/>
          <w:b w:val="1"/>
          <w:bCs w:val="1"/>
          <w:sz w:val="22"/>
          <w:szCs w:val="22"/>
        </w:rPr>
      </w:pPr>
      <w:r w:rsidRPr="5B34077B" w:rsidR="00874EAD">
        <w:rPr>
          <w:rStyle w:val="eop"/>
          <w:rFonts w:ascii="Arial" w:hAnsi="Arial" w:cs="Arial"/>
          <w:b w:val="1"/>
          <w:bCs w:val="1"/>
          <w:sz w:val="22"/>
          <w:szCs w:val="22"/>
        </w:rPr>
        <w:t>R</w:t>
      </w:r>
      <w:r w:rsidRPr="5B34077B" w:rsidR="000A7122">
        <w:rPr>
          <w:rStyle w:val="eop"/>
          <w:rFonts w:ascii="Arial" w:hAnsi="Arial" w:cs="Arial"/>
          <w:b w:val="1"/>
          <w:bCs w:val="1"/>
          <w:sz w:val="22"/>
          <w:szCs w:val="22"/>
        </w:rPr>
        <w:t xml:space="preserve">EGISTRO ÚNICO DE </w:t>
      </w:r>
      <w:r w:rsidRPr="5B34077B" w:rsidR="00874EAD">
        <w:rPr>
          <w:rStyle w:val="eop"/>
          <w:rFonts w:ascii="Arial" w:hAnsi="Arial" w:cs="Arial"/>
          <w:b w:val="1"/>
          <w:bCs w:val="1"/>
          <w:sz w:val="22"/>
          <w:szCs w:val="22"/>
        </w:rPr>
        <w:t>P</w:t>
      </w:r>
      <w:r w:rsidRPr="5B34077B" w:rsidR="000A7122">
        <w:rPr>
          <w:rStyle w:val="eop"/>
          <w:rFonts w:ascii="Arial" w:hAnsi="Arial" w:cs="Arial"/>
          <w:b w:val="1"/>
          <w:bCs w:val="1"/>
          <w:sz w:val="22"/>
          <w:szCs w:val="22"/>
        </w:rPr>
        <w:t>ROPONENTES</w:t>
      </w:r>
      <w:r w:rsidRPr="5B34077B" w:rsidR="00874EAD">
        <w:rPr>
          <w:rStyle w:val="eop"/>
          <w:rFonts w:ascii="Arial" w:hAnsi="Arial" w:cs="Arial"/>
          <w:b w:val="1"/>
          <w:bCs w:val="1"/>
          <w:sz w:val="22"/>
          <w:szCs w:val="22"/>
        </w:rPr>
        <w:t xml:space="preserve"> – I</w:t>
      </w:r>
      <w:r w:rsidRPr="5B34077B" w:rsidR="00A27837">
        <w:rPr>
          <w:rStyle w:val="eop"/>
          <w:rFonts w:ascii="Arial" w:hAnsi="Arial" w:cs="Arial"/>
          <w:b w:val="1"/>
          <w:bCs w:val="1"/>
          <w:sz w:val="22"/>
          <w:szCs w:val="22"/>
        </w:rPr>
        <w:t>nscripción – O</w:t>
      </w:r>
      <w:r w:rsidRPr="5B34077B" w:rsidR="00A27837">
        <w:rPr>
          <w:rStyle w:val="eop"/>
          <w:rFonts w:ascii="Arial" w:hAnsi="Arial" w:cs="Arial"/>
          <w:b w:val="1"/>
          <w:bCs w:val="1"/>
          <w:sz w:val="22"/>
          <w:szCs w:val="22"/>
        </w:rPr>
        <w:t xml:space="preserve">bligatoriedad </w:t>
      </w:r>
      <w:r w:rsidRPr="5B34077B" w:rsidR="00874EAD">
        <w:rPr>
          <w:rStyle w:val="eop"/>
          <w:rFonts w:ascii="Arial" w:hAnsi="Arial" w:cs="Arial"/>
          <w:b w:val="1"/>
          <w:bCs w:val="1"/>
          <w:sz w:val="22"/>
          <w:szCs w:val="22"/>
        </w:rPr>
        <w:t xml:space="preserve">– </w:t>
      </w:r>
      <w:r w:rsidRPr="5B34077B" w:rsidR="5F4A4FB2">
        <w:rPr>
          <w:rStyle w:val="eop"/>
          <w:rFonts w:ascii="Arial" w:hAnsi="Arial" w:cs="Arial"/>
          <w:b w:val="1"/>
          <w:bCs w:val="1"/>
          <w:sz w:val="22"/>
          <w:szCs w:val="22"/>
        </w:rPr>
        <w:t>Proponentes plurales –</w:t>
      </w:r>
      <w:r w:rsidRPr="5B34077B" w:rsidR="5F4A4FB2">
        <w:rPr>
          <w:rFonts w:ascii="Arial" w:hAnsi="Arial" w:eastAsia="Calibri" w:cs="Arial"/>
          <w:b w:val="1"/>
          <w:bCs w:val="1"/>
          <w:color w:val="000000" w:themeColor="text1" w:themeTint="FF" w:themeShade="FF"/>
          <w:sz w:val="22"/>
          <w:szCs w:val="22"/>
        </w:rPr>
        <w:t xml:space="preserve"> Miembros </w:t>
      </w:r>
      <w:r w:rsidRPr="5B34077B" w:rsidR="5F4A4FB2">
        <w:rPr>
          <w:rStyle w:val="eop"/>
          <w:rFonts w:ascii="Arial" w:hAnsi="Arial" w:cs="Arial"/>
          <w:b w:val="1"/>
          <w:bCs w:val="1"/>
          <w:sz w:val="22"/>
          <w:szCs w:val="22"/>
        </w:rPr>
        <w:t>– Obligatoriedad – No exento</w:t>
      </w:r>
      <w:r w:rsidRPr="5B34077B" w:rsidR="486300FD">
        <w:rPr>
          <w:rStyle w:val="eop"/>
          <w:rFonts w:ascii="Arial" w:hAnsi="Arial" w:cs="Arial"/>
          <w:b w:val="1"/>
          <w:bCs w:val="1"/>
          <w:sz w:val="22"/>
          <w:szCs w:val="22"/>
        </w:rPr>
        <w:t xml:space="preserve">s </w:t>
      </w:r>
    </w:p>
    <w:p w:rsidR="5B34077B" w:rsidP="5B34077B" w:rsidRDefault="5B34077B" w14:paraId="12B7C613" w14:textId="13AFD25B">
      <w:pPr>
        <w:pStyle w:val="Normal"/>
        <w:bidi w:val="0"/>
        <w:spacing w:before="0" w:beforeAutospacing="off" w:after="0" w:afterAutospacing="off" w:line="240" w:lineRule="auto"/>
        <w:ind w:left="0" w:right="0"/>
        <w:jc w:val="both"/>
        <w:rPr>
          <w:rStyle w:val="eop"/>
          <w:rFonts w:ascii="Arial" w:hAnsi="Arial" w:cs="Arial"/>
          <w:b w:val="1"/>
          <w:bCs w:val="1"/>
          <w:sz w:val="22"/>
          <w:szCs w:val="22"/>
        </w:rPr>
      </w:pPr>
    </w:p>
    <w:p w:rsidRPr="0037664B" w:rsidR="0030156A" w:rsidP="0030156A" w:rsidRDefault="0030156A" w14:paraId="2361458D" w14:textId="5E4E2D71">
      <w:pPr>
        <w:jc w:val="both"/>
        <w:rPr>
          <w:rFonts w:ascii="Arial" w:hAnsi="Arial" w:cs="Arial"/>
          <w:color w:val="000000" w:themeColor="text1"/>
          <w:sz w:val="20"/>
          <w:szCs w:val="20"/>
        </w:rPr>
      </w:pPr>
      <w:r w:rsidRPr="0037664B">
        <w:rPr>
          <w:rFonts w:ascii="Arial" w:hAnsi="Arial" w:cs="Arial"/>
          <w:color w:val="000000" w:themeColor="text1"/>
          <w:sz w:val="20"/>
          <w:szCs w:val="20"/>
        </w:rPr>
        <w:t xml:space="preserve">La obligatoriedad de inscripción en el RUP se extiende a toda persona natural y jurídica que quiera participar en un proceso de contratación. La norma no establece excepción alguna por fuera de los eventos señalados precedentemente ni releva de esta obligación a las personas jurídicas integrantes de proponentes plurales.  De modo que, para acreditar experiencia de un proponente plural en un proceso no exceptuado de inscripción en el RUP, será necesario que cada una de las personas jurídicas que conforman el consorcio u unión temporal estén inscritas en ese registro, pues el inciso 2 del numeral 6.1. del artículo 6 de la Ley 1150 de 2007 estableció una regla de tarifa legal para acreditar la experiencia, esto es, solo el RUP es la prueba de la experiencia, salvo en </w:t>
      </w:r>
      <w:r w:rsidRPr="0037664B" w:rsidR="008020C2">
        <w:rPr>
          <w:rFonts w:ascii="Arial" w:hAnsi="Arial" w:cs="Arial"/>
          <w:color w:val="000000" w:themeColor="text1"/>
          <w:sz w:val="20"/>
          <w:szCs w:val="20"/>
        </w:rPr>
        <w:t>los</w:t>
      </w:r>
      <w:r w:rsidRPr="0037664B">
        <w:rPr>
          <w:rFonts w:ascii="Arial" w:hAnsi="Arial" w:cs="Arial"/>
          <w:color w:val="000000" w:themeColor="text1"/>
          <w:sz w:val="20"/>
          <w:szCs w:val="20"/>
        </w:rPr>
        <w:t xml:space="preserve"> casos en que, por las características del objeto a contratar se requiera la verificación de requisitos del proponente adicionales a los contenidos en el Registro, circunstancias que serán acreditadas como lo indique la entidad. y no existe una excepción a esta regla cuando se trate de proponentes pluripersonales.</w:t>
      </w:r>
    </w:p>
    <w:p w:rsidRPr="0037664B" w:rsidR="0030156A" w:rsidP="00A1118B" w:rsidRDefault="0030156A" w14:paraId="2532BEF1" w14:textId="77777777">
      <w:pPr>
        <w:jc w:val="both"/>
        <w:rPr>
          <w:rFonts w:ascii="Arial" w:hAnsi="Arial" w:eastAsia="Calibri" w:cs="Arial"/>
          <w:b/>
          <w:sz w:val="22"/>
        </w:rPr>
      </w:pPr>
    </w:p>
    <w:p w:rsidRPr="0037664B" w:rsidR="00A1118B" w:rsidP="5B34077B" w:rsidRDefault="00A27837" w14:paraId="1FDBE3B1" w14:textId="4521C710">
      <w:pPr>
        <w:jc w:val="both"/>
        <w:rPr>
          <w:rFonts w:ascii="Arial" w:hAnsi="Arial" w:eastAsia="Calibri" w:cs="Arial"/>
          <w:b w:val="1"/>
          <w:bCs w:val="1"/>
          <w:sz w:val="22"/>
          <w:szCs w:val="22"/>
        </w:rPr>
      </w:pPr>
      <w:r w:rsidRPr="5B34077B" w:rsidR="00A27837">
        <w:rPr>
          <w:rStyle w:val="eop"/>
          <w:rFonts w:ascii="Arial" w:hAnsi="Arial" w:cs="Arial"/>
          <w:b w:val="1"/>
          <w:bCs w:val="1"/>
          <w:sz w:val="22"/>
          <w:szCs w:val="22"/>
        </w:rPr>
        <w:t>R</w:t>
      </w:r>
      <w:r w:rsidRPr="5B34077B" w:rsidR="00A27837">
        <w:rPr>
          <w:rStyle w:val="eop"/>
          <w:rFonts w:ascii="Arial" w:hAnsi="Arial" w:cs="Arial"/>
          <w:b w:val="1"/>
          <w:bCs w:val="1"/>
          <w:sz w:val="22"/>
          <w:szCs w:val="22"/>
        </w:rPr>
        <w:t xml:space="preserve">EGISTRO ÚNICO DE </w:t>
      </w:r>
      <w:r w:rsidRPr="5B34077B" w:rsidR="00A27837">
        <w:rPr>
          <w:rStyle w:val="eop"/>
          <w:rFonts w:ascii="Arial" w:hAnsi="Arial" w:cs="Arial"/>
          <w:b w:val="1"/>
          <w:bCs w:val="1"/>
          <w:sz w:val="22"/>
          <w:szCs w:val="22"/>
        </w:rPr>
        <w:t>P</w:t>
      </w:r>
      <w:r w:rsidRPr="5B34077B" w:rsidR="00A27837">
        <w:rPr>
          <w:rStyle w:val="eop"/>
          <w:rFonts w:ascii="Arial" w:hAnsi="Arial" w:cs="Arial"/>
          <w:b w:val="1"/>
          <w:bCs w:val="1"/>
          <w:sz w:val="22"/>
          <w:szCs w:val="22"/>
        </w:rPr>
        <w:t>ROPONENTES</w:t>
      </w:r>
      <w:r w:rsidRPr="5B34077B" w:rsidR="00A27837">
        <w:rPr>
          <w:rStyle w:val="eop"/>
          <w:rFonts w:ascii="Arial" w:hAnsi="Arial" w:cs="Arial"/>
          <w:b w:val="1"/>
          <w:bCs w:val="1"/>
          <w:sz w:val="22"/>
          <w:szCs w:val="22"/>
        </w:rPr>
        <w:t xml:space="preserve"> </w:t>
      </w:r>
      <w:r w:rsidRPr="5B34077B" w:rsidR="00A1118B">
        <w:rPr>
          <w:rFonts w:ascii="Arial" w:hAnsi="Arial" w:eastAsia="Calibri" w:cs="Arial"/>
          <w:b w:val="1"/>
          <w:bCs w:val="1"/>
          <w:sz w:val="22"/>
          <w:szCs w:val="22"/>
        </w:rPr>
        <w:t xml:space="preserve">– </w:t>
      </w:r>
      <w:r w:rsidRPr="5B34077B" w:rsidR="00A27837">
        <w:rPr>
          <w:rFonts w:ascii="Arial" w:hAnsi="Arial" w:eastAsia="Calibri" w:cs="Arial"/>
          <w:b w:val="1"/>
          <w:bCs w:val="1"/>
          <w:sz w:val="22"/>
          <w:szCs w:val="22"/>
        </w:rPr>
        <w:t>F</w:t>
      </w:r>
      <w:r w:rsidRPr="5B34077B" w:rsidR="00A1118B">
        <w:rPr>
          <w:rFonts w:ascii="Arial" w:hAnsi="Arial" w:eastAsia="Calibri" w:cs="Arial"/>
          <w:b w:val="1"/>
          <w:bCs w:val="1"/>
          <w:sz w:val="22"/>
          <w:szCs w:val="22"/>
        </w:rPr>
        <w:t xml:space="preserve">irmeza – </w:t>
      </w:r>
      <w:r w:rsidRPr="5B34077B" w:rsidR="19B13281">
        <w:rPr>
          <w:rFonts w:ascii="Arial" w:hAnsi="Arial" w:eastAsia="Calibri" w:cs="Arial"/>
          <w:b w:val="1"/>
          <w:bCs w:val="1"/>
          <w:sz w:val="22"/>
          <w:szCs w:val="22"/>
        </w:rPr>
        <w:t>A</w:t>
      </w:r>
      <w:r w:rsidRPr="5B34077B" w:rsidR="00A1118B">
        <w:rPr>
          <w:rFonts w:ascii="Arial" w:hAnsi="Arial" w:eastAsia="Calibri" w:cs="Arial"/>
          <w:b w:val="1"/>
          <w:bCs w:val="1"/>
          <w:sz w:val="22"/>
          <w:szCs w:val="22"/>
        </w:rPr>
        <w:t>cto administrativo</w:t>
      </w:r>
    </w:p>
    <w:p w:rsidRPr="0037664B" w:rsidR="00A1118B" w:rsidP="00A1118B" w:rsidRDefault="00A1118B" w14:paraId="51BAB5B9" w14:textId="77777777">
      <w:pPr>
        <w:jc w:val="both"/>
        <w:rPr>
          <w:rFonts w:ascii="Arial" w:hAnsi="Arial" w:cs="Arial"/>
          <w:sz w:val="20"/>
          <w:szCs w:val="20"/>
        </w:rPr>
      </w:pPr>
    </w:p>
    <w:p w:rsidRPr="0037664B" w:rsidR="00A1118B" w:rsidP="00A1118B" w:rsidRDefault="00A1118B" w14:paraId="02DA4B6F" w14:textId="77777777">
      <w:pPr>
        <w:jc w:val="both"/>
        <w:rPr>
          <w:rFonts w:ascii="Arial" w:hAnsi="Arial" w:cs="Arial"/>
          <w:sz w:val="20"/>
          <w:szCs w:val="20"/>
        </w:rPr>
      </w:pPr>
      <w:r w:rsidRPr="0037664B">
        <w:rPr>
          <w:rFonts w:ascii="Arial" w:hAnsi="Arial" w:cs="Arial"/>
          <w:sz w:val="20"/>
          <w:szCs w:val="20"/>
        </w:rPr>
        <w:t>La persona natural o jurídica podrá presentarse a los procedimientos de selección cuando el acto administrativo que realiza la inscripción del RUP se encuentra en firme, porque es un requisito para las personas naturales y jurídicas, nacionales o extranjeras con domicilio en Colombia, que aspiran celebrar contratos con las entidades estatales, estar inscritas en él, salvo las excepciones establecidas en la ley. Así pues, la firmeza del RUP es una condición de ejecutoriedad, para consolidar los efectos del acto administrativo de inscripción.</w:t>
      </w:r>
    </w:p>
    <w:p w:rsidRPr="0037664B" w:rsidR="00A1118B" w:rsidP="00A1118B" w:rsidRDefault="00A1118B" w14:paraId="0B8C90E8" w14:textId="77777777">
      <w:pPr>
        <w:pStyle w:val="Prrafodelista"/>
        <w:ind w:left="0"/>
        <w:jc w:val="both"/>
        <w:rPr>
          <w:rFonts w:ascii="Arial" w:hAnsi="Arial" w:eastAsia="Calibri" w:cs="Arial"/>
          <w:sz w:val="20"/>
          <w:szCs w:val="20"/>
          <w:lang w:val="es-CO"/>
        </w:rPr>
      </w:pPr>
    </w:p>
    <w:p w:rsidRPr="0037664B" w:rsidR="00A1118B" w:rsidP="00A1118B" w:rsidRDefault="00A27837" w14:paraId="2A9FD4E0" w14:textId="419D1671">
      <w:pPr>
        <w:jc w:val="both"/>
        <w:rPr>
          <w:rFonts w:ascii="Arial" w:hAnsi="Arial" w:eastAsia="Calibri" w:cs="Arial"/>
          <w:b/>
          <w:sz w:val="22"/>
        </w:rPr>
      </w:pPr>
      <w:r w:rsidRPr="00874EAD">
        <w:rPr>
          <w:rStyle w:val="eop"/>
          <w:rFonts w:ascii="Arial" w:hAnsi="Arial" w:cs="Arial"/>
          <w:b/>
          <w:bCs/>
          <w:sz w:val="22"/>
          <w:szCs w:val="22"/>
        </w:rPr>
        <w:t>R</w:t>
      </w:r>
      <w:r>
        <w:rPr>
          <w:rStyle w:val="eop"/>
          <w:rFonts w:ascii="Arial" w:hAnsi="Arial" w:cs="Arial"/>
          <w:b/>
          <w:bCs/>
          <w:sz w:val="22"/>
          <w:szCs w:val="22"/>
        </w:rPr>
        <w:t xml:space="preserve">EGISTRO ÚNICO DE </w:t>
      </w:r>
      <w:r w:rsidRPr="00874EAD">
        <w:rPr>
          <w:rStyle w:val="eop"/>
          <w:rFonts w:ascii="Arial" w:hAnsi="Arial" w:cs="Arial"/>
          <w:b/>
          <w:bCs/>
          <w:sz w:val="22"/>
          <w:szCs w:val="22"/>
        </w:rPr>
        <w:t>P</w:t>
      </w:r>
      <w:r>
        <w:rPr>
          <w:rStyle w:val="eop"/>
          <w:rFonts w:ascii="Arial" w:hAnsi="Arial" w:cs="Arial"/>
          <w:b/>
          <w:bCs/>
          <w:sz w:val="22"/>
          <w:szCs w:val="22"/>
        </w:rPr>
        <w:t>ROPONENTES</w:t>
      </w:r>
      <w:r w:rsidRPr="00874EAD">
        <w:rPr>
          <w:rStyle w:val="eop"/>
          <w:rFonts w:ascii="Arial" w:hAnsi="Arial" w:cs="Arial"/>
          <w:b/>
          <w:bCs/>
          <w:sz w:val="22"/>
          <w:szCs w:val="22"/>
        </w:rPr>
        <w:t xml:space="preserve"> </w:t>
      </w:r>
      <w:r w:rsidRPr="0037664B" w:rsidR="00A1118B">
        <w:rPr>
          <w:rFonts w:ascii="Arial" w:hAnsi="Arial" w:eastAsia="Calibri" w:cs="Arial"/>
          <w:b/>
          <w:sz w:val="22"/>
        </w:rPr>
        <w:t xml:space="preserve">– </w:t>
      </w:r>
      <w:r>
        <w:rPr>
          <w:rFonts w:ascii="Arial" w:hAnsi="Arial" w:eastAsia="Calibri" w:cs="Arial"/>
          <w:b/>
          <w:sz w:val="22"/>
        </w:rPr>
        <w:t>R</w:t>
      </w:r>
      <w:r w:rsidRPr="002029C7" w:rsidR="00A1118B">
        <w:rPr>
          <w:rFonts w:ascii="Arial" w:hAnsi="Arial" w:eastAsia="Calibri" w:cs="Arial"/>
          <w:b/>
          <w:sz w:val="22"/>
        </w:rPr>
        <w:t>enovación</w:t>
      </w:r>
      <w:r w:rsidRPr="0037664B" w:rsidR="00A1118B">
        <w:rPr>
          <w:rFonts w:ascii="Arial" w:hAnsi="Arial" w:eastAsia="Calibri" w:cs="Arial"/>
          <w:b/>
          <w:sz w:val="22"/>
        </w:rPr>
        <w:t xml:space="preserve"> – firmeza</w:t>
      </w:r>
    </w:p>
    <w:p w:rsidRPr="0037664B" w:rsidR="00A1118B" w:rsidP="00A1118B" w:rsidRDefault="00A1118B" w14:paraId="50B64F82" w14:textId="77777777">
      <w:pPr>
        <w:jc w:val="both"/>
        <w:rPr>
          <w:rFonts w:ascii="Arial" w:hAnsi="Arial" w:cs="Arial"/>
          <w:sz w:val="20"/>
          <w:szCs w:val="20"/>
        </w:rPr>
      </w:pPr>
    </w:p>
    <w:p w:rsidRPr="0037664B" w:rsidR="00A1118B" w:rsidP="00A1118B" w:rsidRDefault="00A1118B" w14:paraId="2E151105" w14:textId="20B2B48A">
      <w:pPr>
        <w:jc w:val="both"/>
        <w:rPr>
          <w:rFonts w:ascii="Arial" w:hAnsi="Arial" w:cs="Arial"/>
          <w:sz w:val="20"/>
          <w:szCs w:val="20"/>
        </w:rPr>
      </w:pPr>
      <w:r w:rsidRPr="0037664B">
        <w:rPr>
          <w:rFonts w:ascii="Arial" w:hAnsi="Arial" w:cs="Arial"/>
          <w:sz w:val="20"/>
          <w:szCs w:val="20"/>
        </w:rPr>
        <w:t>Tratándose del trámite de renovación, la persona que haya presentado la información para renovar su registro dentro de los primeros cinco días hábiles del mes de abril, cumpliendo con el requisito establecido en el artículo 2.2.1.1.1.5.1., puede participar en los procedimientos de selección, debiéndose tener en cuenta la información «antigua»; de manera que en el período comprendido entre el momento de la solicitud de renovación y el momento de la firmeza de la nueva información, se permite que emplee la información del RUP que está en firme antes de iniciar el trámite de renovación, cuyos efectos no han cesado y se encuentra vigente.</w:t>
      </w:r>
    </w:p>
    <w:p w:rsidR="00815863" w:rsidP="00A1118B" w:rsidRDefault="00815863" w14:paraId="02C4D127" w14:textId="55FD5672">
      <w:pPr>
        <w:jc w:val="both"/>
        <w:rPr>
          <w:rFonts w:ascii="Arial" w:hAnsi="Arial" w:cs="Arial"/>
          <w:sz w:val="22"/>
          <w:szCs w:val="22"/>
        </w:rPr>
      </w:pPr>
    </w:p>
    <w:p w:rsidR="00C04FF1" w:rsidP="00A1118B" w:rsidRDefault="00C04FF1" w14:paraId="72EA2BE7" w14:textId="1CA32A9E">
      <w:pPr>
        <w:jc w:val="both"/>
        <w:rPr>
          <w:rFonts w:ascii="Arial" w:hAnsi="Arial" w:cs="Arial"/>
          <w:sz w:val="22"/>
          <w:szCs w:val="22"/>
        </w:rPr>
      </w:pPr>
    </w:p>
    <w:p w:rsidR="00C04FF1" w:rsidP="00A1118B" w:rsidRDefault="00C04FF1" w14:paraId="3AA69FE1" w14:textId="25504239">
      <w:pPr>
        <w:jc w:val="both"/>
        <w:rPr>
          <w:rFonts w:ascii="Arial" w:hAnsi="Arial" w:cs="Arial"/>
          <w:sz w:val="22"/>
          <w:szCs w:val="22"/>
        </w:rPr>
      </w:pPr>
    </w:p>
    <w:p w:rsidRPr="002029C7" w:rsidR="00C04FF1" w:rsidP="00A1118B" w:rsidRDefault="00C04FF1" w14:paraId="13094320" w14:textId="77777777">
      <w:pPr>
        <w:jc w:val="both"/>
        <w:rPr>
          <w:rFonts w:ascii="Arial" w:hAnsi="Arial" w:cs="Arial"/>
          <w:sz w:val="22"/>
          <w:szCs w:val="22"/>
        </w:rPr>
      </w:pPr>
    </w:p>
    <w:p w:rsidRPr="00A140AB" w:rsidR="00A1118B" w:rsidP="00A1118B" w:rsidRDefault="00A1118B" w14:paraId="4B803CA8" w14:textId="77777777">
      <w:pPr>
        <w:rPr>
          <w:rFonts w:ascii="Arial" w:hAnsi="Arial" w:cs="Arial"/>
          <w:sz w:val="22"/>
          <w:szCs w:val="22"/>
        </w:rPr>
      </w:pPr>
    </w:p>
    <w:p w:rsidRPr="0037664B" w:rsidR="00A1118B" w:rsidP="00A1118B" w:rsidRDefault="00A1118B" w14:paraId="11A3CD8E" w14:textId="77EC41F6">
      <w:pPr>
        <w:jc w:val="both"/>
        <w:rPr>
          <w:rFonts w:ascii="Arial" w:hAnsi="Arial" w:eastAsia="Calibri" w:cs="Arial"/>
          <w:sz w:val="20"/>
        </w:rPr>
      </w:pPr>
      <w:r w:rsidRPr="0037664B">
        <w:rPr>
          <w:rFonts w:ascii="Arial" w:hAnsi="Arial" w:cs="Arial"/>
          <w:sz w:val="22"/>
        </w:rPr>
        <w:lastRenderedPageBreak/>
        <w:t xml:space="preserve">Bogotá D.C., </w:t>
      </w:r>
      <w:r w:rsidR="005B2F7D">
        <w:rPr>
          <w:rFonts w:ascii="Arial" w:hAnsi="Arial" w:cs="Arial"/>
          <w:b/>
          <w:sz w:val="22"/>
        </w:rPr>
        <w:t>17/06/2020 Hora 18:36:50s</w:t>
      </w:r>
    </w:p>
    <w:p w:rsidRPr="0037664B" w:rsidR="00A1118B" w:rsidP="00A1118B" w:rsidRDefault="00A1118B" w14:paraId="54116FDD" w14:textId="36EC36E6">
      <w:pPr>
        <w:jc w:val="right"/>
        <w:rPr>
          <w:rFonts w:ascii="Arial" w:hAnsi="Arial" w:cs="Arial"/>
          <w:b/>
          <w:sz w:val="22"/>
        </w:rPr>
      </w:pPr>
      <w:proofErr w:type="spellStart"/>
      <w:r w:rsidRPr="0037664B">
        <w:rPr>
          <w:rFonts w:ascii="Arial" w:hAnsi="Arial" w:cs="Arial"/>
          <w:b/>
          <w:sz w:val="22"/>
        </w:rPr>
        <w:t>N°</w:t>
      </w:r>
      <w:proofErr w:type="spellEnd"/>
      <w:r w:rsidRPr="0037664B">
        <w:rPr>
          <w:rFonts w:ascii="Arial" w:hAnsi="Arial" w:cs="Arial"/>
          <w:b/>
          <w:sz w:val="22"/>
        </w:rPr>
        <w:t xml:space="preserve"> Radicado: </w:t>
      </w:r>
      <w:r w:rsidR="005B2F7D">
        <w:rPr>
          <w:rFonts w:ascii="Arial" w:hAnsi="Arial" w:cs="Arial"/>
          <w:b/>
          <w:sz w:val="22"/>
        </w:rPr>
        <w:t>2202013000005128</w:t>
      </w:r>
    </w:p>
    <w:p w:rsidRPr="0037664B" w:rsidR="00A1118B" w:rsidP="00A1118B" w:rsidRDefault="00A1118B" w14:paraId="4DAF748F" w14:textId="748D7D80">
      <w:pPr>
        <w:rPr>
          <w:rFonts w:ascii="Arial" w:hAnsi="Arial" w:eastAsia="Calibri" w:cs="Arial"/>
          <w:sz w:val="22"/>
        </w:rPr>
      </w:pPr>
      <w:bookmarkStart w:name="_Hlk29890381" w:id="0"/>
      <w:r w:rsidRPr="0037664B">
        <w:rPr>
          <w:rFonts w:ascii="Arial" w:hAnsi="Arial" w:eastAsia="Calibri" w:cs="Arial"/>
          <w:sz w:val="22"/>
        </w:rPr>
        <w:t>Señor</w:t>
      </w:r>
      <w:r w:rsidRPr="0037664B" w:rsidR="00565729">
        <w:rPr>
          <w:rFonts w:ascii="Arial" w:hAnsi="Arial" w:eastAsia="Calibri" w:cs="Arial"/>
          <w:sz w:val="22"/>
        </w:rPr>
        <w:t>a</w:t>
      </w:r>
    </w:p>
    <w:p w:rsidRPr="0037664B" w:rsidR="00A1118B" w:rsidP="00A1118B" w:rsidRDefault="00565729" w14:paraId="5F176319" w14:textId="6720E177">
      <w:pPr>
        <w:rPr>
          <w:rFonts w:ascii="Arial" w:hAnsi="Arial" w:eastAsia="Calibri" w:cs="Arial"/>
          <w:b/>
          <w:sz w:val="22"/>
        </w:rPr>
      </w:pPr>
      <w:r w:rsidRPr="0037664B">
        <w:rPr>
          <w:rFonts w:ascii="Arial" w:hAnsi="Arial" w:eastAsia="Calibri" w:cs="Arial"/>
          <w:b/>
          <w:sz w:val="22"/>
        </w:rPr>
        <w:t xml:space="preserve">María Teresa Bedoya </w:t>
      </w:r>
    </w:p>
    <w:p w:rsidRPr="0037664B" w:rsidR="00A1118B" w:rsidP="00A1118B" w:rsidRDefault="00565729" w14:paraId="1F419C10" w14:textId="137B600B">
      <w:pPr>
        <w:rPr>
          <w:rFonts w:ascii="Arial" w:hAnsi="Arial" w:eastAsia="Calibri" w:cs="Arial"/>
          <w:sz w:val="22"/>
        </w:rPr>
      </w:pPr>
      <w:r w:rsidRPr="0037664B">
        <w:rPr>
          <w:rFonts w:ascii="Arial" w:hAnsi="Arial" w:eastAsia="Calibri" w:cs="Arial"/>
          <w:sz w:val="22"/>
        </w:rPr>
        <w:t>Cali, Valle del Cauca</w:t>
      </w:r>
    </w:p>
    <w:p w:rsidR="00007A6B" w:rsidP="00007A6B" w:rsidRDefault="00007A6B" w14:paraId="1CC2AA46" w14:textId="77777777">
      <w:pPr>
        <w:rPr>
          <w:rFonts w:ascii="Arial" w:hAnsi="Arial" w:eastAsia="Calibri" w:cs="Arial"/>
          <w:b/>
          <w:sz w:val="22"/>
        </w:rPr>
      </w:pPr>
      <w:r>
        <w:rPr>
          <w:rFonts w:ascii="Arial" w:hAnsi="Arial" w:eastAsia="Calibri" w:cs="Arial"/>
          <w:b/>
          <w:sz w:val="22"/>
        </w:rPr>
        <w:t xml:space="preserve">                                            </w:t>
      </w:r>
    </w:p>
    <w:p w:rsidR="00007A6B" w:rsidP="00007A6B" w:rsidRDefault="00007A6B" w14:paraId="0668DC35" w14:textId="77777777">
      <w:pPr>
        <w:rPr>
          <w:rFonts w:ascii="Arial" w:hAnsi="Arial" w:eastAsia="Calibri" w:cs="Arial"/>
          <w:b/>
          <w:sz w:val="22"/>
        </w:rPr>
      </w:pPr>
    </w:p>
    <w:p w:rsidRPr="0037664B" w:rsidR="00A1118B" w:rsidP="002029C7" w:rsidRDefault="00007A6B" w14:paraId="330CCD75" w14:textId="4F6BBFDE">
      <w:pPr>
        <w:rPr>
          <w:rFonts w:ascii="Arial" w:hAnsi="Arial" w:eastAsia="Calibri" w:cs="Arial"/>
          <w:b/>
          <w:sz w:val="22"/>
        </w:rPr>
      </w:pPr>
      <w:r>
        <w:rPr>
          <w:rFonts w:ascii="Arial" w:hAnsi="Arial" w:eastAsia="Calibri" w:cs="Arial"/>
          <w:b/>
          <w:sz w:val="22"/>
        </w:rPr>
        <w:t xml:space="preserve">                                            </w:t>
      </w:r>
      <w:r w:rsidRPr="0037664B" w:rsidR="00A1118B">
        <w:rPr>
          <w:rFonts w:ascii="Arial" w:hAnsi="Arial" w:eastAsia="Calibri" w:cs="Arial"/>
          <w:b/>
          <w:sz w:val="22"/>
        </w:rPr>
        <w:t>Concepto C</w:t>
      </w:r>
      <w:r w:rsidRPr="0037664B" w:rsidR="00F15B00">
        <w:rPr>
          <w:rFonts w:ascii="Arial" w:hAnsi="Arial" w:eastAsia="Calibri" w:cs="Arial"/>
          <w:b/>
          <w:sz w:val="22"/>
        </w:rPr>
        <w:t xml:space="preserve"> –</w:t>
      </w:r>
      <w:r w:rsidRPr="0037664B" w:rsidR="00A1118B">
        <w:rPr>
          <w:rFonts w:ascii="Arial" w:hAnsi="Arial" w:eastAsia="Calibri" w:cs="Arial"/>
          <w:b/>
          <w:sz w:val="22"/>
        </w:rPr>
        <w:t xml:space="preserve"> </w:t>
      </w:r>
      <w:r w:rsidRPr="0037664B" w:rsidR="00565729">
        <w:rPr>
          <w:rFonts w:ascii="Arial" w:hAnsi="Arial" w:eastAsia="Calibri" w:cs="Arial"/>
          <w:b/>
          <w:sz w:val="22"/>
        </w:rPr>
        <w:t xml:space="preserve">343 </w:t>
      </w:r>
      <w:r w:rsidRPr="0037664B" w:rsidR="00A1118B">
        <w:rPr>
          <w:rFonts w:ascii="Arial" w:hAnsi="Arial" w:eastAsia="Calibri" w:cs="Arial"/>
          <w:b/>
          <w:sz w:val="22"/>
        </w:rPr>
        <w:t>de 2020</w:t>
      </w:r>
    </w:p>
    <w:p w:rsidRPr="0037664B" w:rsidR="00A1118B" w:rsidP="00A1118B" w:rsidRDefault="00A1118B" w14:paraId="0D32CB76" w14:textId="77777777">
      <w:pPr>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37664B" w:rsidR="00B2212D" w:rsidTr="00A1118B" w14:paraId="36EA4F30" w14:textId="77777777">
        <w:tc>
          <w:tcPr>
            <w:tcW w:w="2689" w:type="dxa"/>
            <w:hideMark/>
          </w:tcPr>
          <w:p w:rsidRPr="0037664B" w:rsidR="00A1118B" w:rsidRDefault="00A1118B" w14:paraId="70B42C0E" w14:textId="77777777">
            <w:pPr>
              <w:rPr>
                <w:rFonts w:ascii="Arial" w:hAnsi="Arial" w:eastAsia="Calibri" w:cs="Arial"/>
                <w:bCs/>
                <w:sz w:val="22"/>
              </w:rPr>
            </w:pPr>
            <w:r w:rsidRPr="0037664B">
              <w:rPr>
                <w:rFonts w:ascii="Arial" w:hAnsi="Arial" w:eastAsia="Calibri" w:cs="Arial"/>
                <w:bCs/>
                <w:sz w:val="22"/>
              </w:rPr>
              <w:t xml:space="preserve">Temas:           </w:t>
            </w:r>
          </w:p>
          <w:p w:rsidRPr="0037664B" w:rsidR="00A1118B" w:rsidRDefault="00A1118B" w14:paraId="4B0B0C26" w14:textId="77777777">
            <w:pPr>
              <w:rPr>
                <w:rFonts w:ascii="Arial" w:hAnsi="Arial" w:eastAsia="Calibri" w:cs="Arial"/>
                <w:bCs/>
                <w:sz w:val="22"/>
              </w:rPr>
            </w:pPr>
            <w:r w:rsidRPr="0037664B">
              <w:rPr>
                <w:rFonts w:ascii="Arial" w:hAnsi="Arial" w:eastAsia="Calibri" w:cs="Arial"/>
                <w:bCs/>
                <w:sz w:val="22"/>
              </w:rPr>
              <w:t xml:space="preserve">                           </w:t>
            </w:r>
          </w:p>
        </w:tc>
        <w:tc>
          <w:tcPr>
            <w:tcW w:w="6237" w:type="dxa"/>
            <w:hideMark/>
          </w:tcPr>
          <w:p w:rsidRPr="0037664B" w:rsidR="00A1118B" w:rsidP="002029C7" w:rsidRDefault="0030156A" w14:paraId="01DDD969" w14:textId="1EDD3DC8">
            <w:pPr>
              <w:spacing w:after="120"/>
              <w:jc w:val="both"/>
              <w:rPr>
                <w:rFonts w:ascii="Arial" w:hAnsi="Arial" w:eastAsia="Calibri" w:cs="Arial"/>
                <w:bCs/>
                <w:sz w:val="22"/>
              </w:rPr>
            </w:pPr>
            <w:r w:rsidRPr="0037664B">
              <w:rPr>
                <w:rStyle w:val="normaltextrun"/>
                <w:rFonts w:ascii="Arial" w:hAnsi="Arial" w:cs="Arial"/>
                <w:bCs/>
                <w:sz w:val="22"/>
                <w:szCs w:val="22"/>
              </w:rPr>
              <w:t xml:space="preserve">CONSORCIOS Y UNIONES TEMPORALES </w:t>
            </w:r>
            <w:r w:rsidRPr="0037664B">
              <w:rPr>
                <w:rFonts w:ascii="Arial" w:hAnsi="Arial" w:eastAsia="Calibri" w:cs="Arial"/>
                <w:bCs/>
                <w:sz w:val="22"/>
              </w:rPr>
              <w:t xml:space="preserve">– </w:t>
            </w:r>
            <w:r w:rsidRPr="0037664B">
              <w:rPr>
                <w:rStyle w:val="normaltextrun"/>
                <w:rFonts w:ascii="Arial" w:hAnsi="Arial" w:cs="Arial"/>
                <w:bCs/>
                <w:sz w:val="22"/>
                <w:szCs w:val="22"/>
              </w:rPr>
              <w:t xml:space="preserve">Naturaleza / </w:t>
            </w:r>
            <w:r w:rsidRPr="0037664B">
              <w:rPr>
                <w:rFonts w:ascii="Arial" w:hAnsi="Arial" w:cs="Arial"/>
                <w:bCs/>
                <w:color w:val="000000" w:themeColor="text1"/>
                <w:sz w:val="22"/>
              </w:rPr>
              <w:t xml:space="preserve">OBLIGATORIEDAD INSCRIPCIÓN EN EL RUP </w:t>
            </w:r>
            <w:r w:rsidRPr="0037664B">
              <w:rPr>
                <w:rFonts w:ascii="Arial" w:hAnsi="Arial" w:eastAsia="Calibri" w:cs="Arial"/>
                <w:bCs/>
                <w:color w:val="000000" w:themeColor="text1"/>
                <w:sz w:val="22"/>
              </w:rPr>
              <w:t xml:space="preserve">– No exceptúa a miembros de proponentes plurales / </w:t>
            </w:r>
            <w:r w:rsidRPr="0037664B">
              <w:rPr>
                <w:rFonts w:ascii="Arial" w:hAnsi="Arial" w:eastAsia="Calibri" w:cs="Arial"/>
                <w:bCs/>
                <w:sz w:val="22"/>
              </w:rPr>
              <w:t xml:space="preserve">RUP – firmeza – acto administrativo / RUP – </w:t>
            </w:r>
            <w:r w:rsidRPr="002029C7">
              <w:rPr>
                <w:rFonts w:ascii="Arial" w:hAnsi="Arial" w:eastAsia="Calibri" w:cs="Arial"/>
                <w:bCs/>
                <w:sz w:val="22"/>
              </w:rPr>
              <w:t>renovación</w:t>
            </w:r>
            <w:r w:rsidRPr="0037664B">
              <w:rPr>
                <w:rFonts w:ascii="Arial" w:hAnsi="Arial" w:eastAsia="Calibri" w:cs="Arial"/>
                <w:bCs/>
                <w:sz w:val="22"/>
              </w:rPr>
              <w:t xml:space="preserve"> – firmeza</w:t>
            </w:r>
          </w:p>
        </w:tc>
      </w:tr>
      <w:tr w:rsidRPr="0037664B" w:rsidR="00A1118B" w:rsidTr="00A1118B" w14:paraId="45E46F98" w14:textId="77777777">
        <w:tc>
          <w:tcPr>
            <w:tcW w:w="2689" w:type="dxa"/>
            <w:hideMark/>
          </w:tcPr>
          <w:p w:rsidRPr="0037664B" w:rsidR="00A1118B" w:rsidRDefault="00A1118B" w14:paraId="55ECA733" w14:textId="77777777">
            <w:pPr>
              <w:rPr>
                <w:rFonts w:ascii="Arial" w:hAnsi="Arial" w:eastAsia="Calibri" w:cs="Arial"/>
                <w:b/>
                <w:sz w:val="22"/>
              </w:rPr>
            </w:pPr>
            <w:r w:rsidRPr="0037664B">
              <w:rPr>
                <w:rFonts w:ascii="Arial" w:hAnsi="Arial" w:eastAsia="Calibri" w:cs="Arial"/>
                <w:b/>
                <w:sz w:val="22"/>
              </w:rPr>
              <w:t>Radicación:</w:t>
            </w:r>
            <w:r w:rsidRPr="0037664B">
              <w:rPr>
                <w:rFonts w:ascii="Arial" w:hAnsi="Arial" w:eastAsia="Calibri" w:cs="Arial"/>
                <w:sz w:val="22"/>
              </w:rPr>
              <w:t xml:space="preserve">                              </w:t>
            </w:r>
          </w:p>
        </w:tc>
        <w:tc>
          <w:tcPr>
            <w:tcW w:w="6237" w:type="dxa"/>
            <w:hideMark/>
          </w:tcPr>
          <w:p w:rsidRPr="0037664B" w:rsidR="00A1118B" w:rsidRDefault="00A1118B" w14:paraId="72D73A4C" w14:textId="0D7A0D39">
            <w:pPr>
              <w:jc w:val="both"/>
              <w:rPr>
                <w:rFonts w:ascii="Arial" w:hAnsi="Arial" w:eastAsia="Calibri" w:cs="Arial"/>
                <w:sz w:val="22"/>
              </w:rPr>
            </w:pPr>
            <w:r w:rsidRPr="0037664B">
              <w:rPr>
                <w:rFonts w:ascii="Arial" w:hAnsi="Arial" w:eastAsia="Calibri" w:cs="Arial"/>
                <w:sz w:val="22"/>
              </w:rPr>
              <w:t xml:space="preserve">Respuesta a consulta </w:t>
            </w:r>
            <w:r w:rsidRPr="0037664B" w:rsidR="00565729">
              <w:rPr>
                <w:rFonts w:ascii="Arial" w:hAnsi="Arial" w:eastAsia="Calibri" w:cs="Arial"/>
                <w:sz w:val="22"/>
              </w:rPr>
              <w:t>4202013000003504</w:t>
            </w:r>
          </w:p>
        </w:tc>
      </w:tr>
    </w:tbl>
    <w:p w:rsidRPr="0037664B" w:rsidR="00A1118B" w:rsidP="00A1118B" w:rsidRDefault="00A1118B" w14:paraId="6799E8F7" w14:textId="77777777">
      <w:pPr>
        <w:jc w:val="both"/>
        <w:rPr>
          <w:rFonts w:ascii="Arial" w:hAnsi="Arial" w:eastAsia="Calibri" w:cs="Arial"/>
          <w:sz w:val="22"/>
        </w:rPr>
      </w:pPr>
    </w:p>
    <w:p w:rsidRPr="0037664B" w:rsidR="00A1118B" w:rsidP="00A1118B" w:rsidRDefault="00A1118B" w14:paraId="168B4844" w14:textId="77777777">
      <w:pPr>
        <w:jc w:val="both"/>
        <w:rPr>
          <w:rFonts w:ascii="Arial" w:hAnsi="Arial" w:eastAsia="Calibri" w:cs="Arial"/>
          <w:sz w:val="22"/>
        </w:rPr>
      </w:pPr>
    </w:p>
    <w:p w:rsidRPr="0037664B" w:rsidR="00A1118B" w:rsidP="00A1118B" w:rsidRDefault="00A1118B" w14:paraId="786007D4" w14:textId="05C8C99F">
      <w:pPr>
        <w:rPr>
          <w:rFonts w:ascii="Arial" w:hAnsi="Arial" w:eastAsia="Calibri" w:cs="Arial"/>
          <w:sz w:val="22"/>
        </w:rPr>
      </w:pPr>
      <w:r w:rsidRPr="0037664B">
        <w:rPr>
          <w:rFonts w:ascii="Arial" w:hAnsi="Arial" w:eastAsia="Calibri" w:cs="Arial"/>
          <w:sz w:val="22"/>
        </w:rPr>
        <w:t>Estimada señor</w:t>
      </w:r>
      <w:r w:rsidRPr="0037664B" w:rsidR="00565729">
        <w:rPr>
          <w:rFonts w:ascii="Arial" w:hAnsi="Arial" w:eastAsia="Calibri" w:cs="Arial"/>
          <w:sz w:val="22"/>
        </w:rPr>
        <w:t>a</w:t>
      </w:r>
      <w:r w:rsidRPr="0037664B" w:rsidR="00F15B00">
        <w:rPr>
          <w:rFonts w:ascii="Arial" w:hAnsi="Arial" w:eastAsia="Calibri" w:cs="Arial"/>
          <w:sz w:val="22"/>
        </w:rPr>
        <w:t xml:space="preserve"> </w:t>
      </w:r>
      <w:r w:rsidRPr="0037664B" w:rsidR="00565729">
        <w:rPr>
          <w:rFonts w:ascii="Arial" w:hAnsi="Arial" w:eastAsia="Calibri" w:cs="Arial"/>
          <w:sz w:val="22"/>
        </w:rPr>
        <w:t>Bedoya</w:t>
      </w:r>
      <w:r w:rsidRPr="0037664B">
        <w:rPr>
          <w:rFonts w:ascii="Arial" w:hAnsi="Arial" w:eastAsia="Calibri" w:cs="Arial"/>
          <w:sz w:val="22"/>
        </w:rPr>
        <w:t>,</w:t>
      </w:r>
    </w:p>
    <w:p w:rsidRPr="0037664B" w:rsidR="00A1118B" w:rsidP="00A1118B" w:rsidRDefault="00A1118B" w14:paraId="171959E3" w14:textId="77777777">
      <w:pPr>
        <w:spacing w:line="276" w:lineRule="auto"/>
        <w:ind w:right="49"/>
        <w:jc w:val="both"/>
        <w:rPr>
          <w:rFonts w:ascii="Arial" w:hAnsi="Arial" w:eastAsia="Calibri" w:cs="Arial"/>
          <w:sz w:val="22"/>
        </w:rPr>
      </w:pPr>
    </w:p>
    <w:p w:rsidR="00815863" w:rsidP="00E63CB9" w:rsidRDefault="00A1118B" w14:paraId="576535D7" w14:textId="052BE5A1">
      <w:pPr>
        <w:spacing w:line="276" w:lineRule="auto"/>
        <w:jc w:val="both"/>
        <w:rPr>
          <w:rFonts w:ascii="Arial" w:hAnsi="Arial" w:cs="Arial"/>
          <w:sz w:val="22"/>
        </w:rPr>
      </w:pPr>
      <w:r w:rsidRPr="0037664B">
        <w:rPr>
          <w:rFonts w:ascii="Arial" w:hAnsi="Arial" w:eastAsia="Calibri" w:cs="Arial"/>
          <w:sz w:val="22"/>
        </w:rPr>
        <w:t xml:space="preserve">La Agencia Nacional de Contratación Pública - Colombia Compra Eficiente responde su consulta del </w:t>
      </w:r>
      <w:r w:rsidRPr="0037664B" w:rsidR="00565729">
        <w:rPr>
          <w:rFonts w:ascii="Arial" w:hAnsi="Arial" w:eastAsia="Calibri" w:cs="Arial"/>
          <w:sz w:val="22"/>
        </w:rPr>
        <w:t>08 de mayo</w:t>
      </w:r>
      <w:r w:rsidRPr="0037664B" w:rsidR="00826E68">
        <w:rPr>
          <w:rFonts w:ascii="Arial" w:hAnsi="Arial" w:cs="Arial"/>
          <w:sz w:val="22"/>
        </w:rPr>
        <w:t xml:space="preserve"> de</w:t>
      </w:r>
      <w:r w:rsidRPr="0037664B">
        <w:rPr>
          <w:rFonts w:ascii="Arial" w:hAnsi="Arial" w:cs="Arial"/>
          <w:sz w:val="22"/>
        </w:rPr>
        <w:t xml:space="preserve"> 2020</w:t>
      </w:r>
      <w:r w:rsidRPr="0037664B">
        <w:rPr>
          <w:rFonts w:ascii="Arial" w:hAnsi="Arial" w:eastAsia="Calibri" w:cs="Arial"/>
          <w:sz w:val="22"/>
        </w:rPr>
        <w:t xml:space="preserve">, en ejercicio de la competencia otorgada por el numeral </w:t>
      </w:r>
      <w:r w:rsidRPr="0037664B">
        <w:rPr>
          <w:rFonts w:ascii="Arial" w:hAnsi="Arial" w:cs="Arial"/>
          <w:sz w:val="22"/>
        </w:rPr>
        <w:t xml:space="preserve">8 del artículo 11 y el numeral 5 del artículo 3 del Decreto Ley 4170 de 2011. </w:t>
      </w:r>
    </w:p>
    <w:p w:rsidRPr="0037664B" w:rsidR="00E63CB9" w:rsidP="002029C7" w:rsidRDefault="00E63CB9" w14:paraId="00150678" w14:textId="77777777">
      <w:pPr>
        <w:spacing w:line="276" w:lineRule="auto"/>
        <w:jc w:val="both"/>
        <w:rPr>
          <w:rFonts w:ascii="Arial" w:hAnsi="Arial" w:cs="Arial"/>
          <w:sz w:val="22"/>
        </w:rPr>
      </w:pPr>
    </w:p>
    <w:p w:rsidRPr="0037664B" w:rsidR="00A1118B" w:rsidP="00A1118B" w:rsidRDefault="00A1118B" w14:paraId="77F3F6D9" w14:textId="77777777">
      <w:pPr>
        <w:pStyle w:val="Prrafodelista"/>
        <w:tabs>
          <w:tab w:val="left" w:pos="284"/>
        </w:tabs>
        <w:spacing w:line="276" w:lineRule="auto"/>
        <w:ind w:left="0"/>
        <w:jc w:val="both"/>
        <w:rPr>
          <w:rFonts w:ascii="Arial" w:hAnsi="Arial" w:eastAsia="Calibri" w:cs="Arial"/>
          <w:b/>
          <w:sz w:val="22"/>
          <w:lang w:val="es-CO"/>
        </w:rPr>
      </w:pPr>
      <w:r w:rsidRPr="0037664B">
        <w:rPr>
          <w:rFonts w:ascii="Arial" w:hAnsi="Arial" w:eastAsia="Calibri" w:cs="Arial"/>
          <w:b/>
          <w:sz w:val="22"/>
          <w:lang w:val="es-CO"/>
        </w:rPr>
        <w:t xml:space="preserve">1. Problema planteado </w:t>
      </w:r>
    </w:p>
    <w:p w:rsidRPr="0037664B" w:rsidR="00A1118B" w:rsidP="00A1118B" w:rsidRDefault="00A1118B" w14:paraId="6551DB04" w14:textId="77777777">
      <w:pPr>
        <w:tabs>
          <w:tab w:val="left" w:pos="426"/>
        </w:tabs>
        <w:spacing w:line="276" w:lineRule="auto"/>
        <w:jc w:val="both"/>
        <w:rPr>
          <w:rFonts w:ascii="Arial" w:hAnsi="Arial" w:eastAsia="Calibri" w:cs="Arial"/>
          <w:b/>
          <w:sz w:val="22"/>
        </w:rPr>
      </w:pPr>
    </w:p>
    <w:p w:rsidRPr="0037664B" w:rsidR="001F179E" w:rsidP="00A1118B" w:rsidRDefault="00A1118B" w14:paraId="311DF45E" w14:textId="3C1B6A95">
      <w:pPr>
        <w:spacing w:line="276" w:lineRule="auto"/>
        <w:jc w:val="both"/>
        <w:rPr>
          <w:rFonts w:ascii="Arial" w:hAnsi="Arial" w:eastAsia="Calibri" w:cs="Arial"/>
          <w:sz w:val="22"/>
        </w:rPr>
      </w:pPr>
      <w:r w:rsidRPr="0037664B">
        <w:rPr>
          <w:rFonts w:ascii="Arial" w:hAnsi="Arial" w:eastAsia="Calibri" w:cs="Arial"/>
          <w:sz w:val="22"/>
        </w:rPr>
        <w:t xml:space="preserve">Usted realiza </w:t>
      </w:r>
      <w:r w:rsidRPr="0037664B" w:rsidR="00565729">
        <w:rPr>
          <w:rFonts w:ascii="Arial" w:hAnsi="Arial" w:eastAsia="Calibri" w:cs="Arial"/>
          <w:sz w:val="22"/>
        </w:rPr>
        <w:t>las siguientes preguntas</w:t>
      </w:r>
      <w:r w:rsidRPr="0037664B">
        <w:rPr>
          <w:rFonts w:ascii="Arial" w:hAnsi="Arial" w:eastAsia="Calibri" w:cs="Arial"/>
          <w:sz w:val="22"/>
        </w:rPr>
        <w:t xml:space="preserve">: </w:t>
      </w:r>
      <w:r w:rsidRPr="0037664B" w:rsidR="00565729">
        <w:rPr>
          <w:rFonts w:ascii="Arial" w:hAnsi="Arial" w:eastAsia="Calibri" w:cs="Arial"/>
          <w:sz w:val="22"/>
        </w:rPr>
        <w:t>i) ¿</w:t>
      </w:r>
      <w:r w:rsidR="004F4EC7">
        <w:rPr>
          <w:rFonts w:ascii="Arial" w:hAnsi="Arial" w:eastAsia="Calibri" w:cs="Arial"/>
          <w:sz w:val="22"/>
        </w:rPr>
        <w:t>e</w:t>
      </w:r>
      <w:r w:rsidRPr="0037664B" w:rsidR="00565729">
        <w:rPr>
          <w:rFonts w:ascii="Arial" w:hAnsi="Arial" w:eastAsia="Calibri" w:cs="Arial"/>
          <w:sz w:val="22"/>
        </w:rPr>
        <w:t xml:space="preserve">n caso de que el proponente en un proceso de contratación sea un </w:t>
      </w:r>
      <w:r w:rsidRPr="0037664B" w:rsidR="004F4EC7">
        <w:rPr>
          <w:rFonts w:ascii="Arial" w:hAnsi="Arial" w:eastAsia="Calibri" w:cs="Arial"/>
          <w:sz w:val="22"/>
        </w:rPr>
        <w:t>consorcio o unión temporal</w:t>
      </w:r>
      <w:r w:rsidRPr="0037664B" w:rsidR="00565729">
        <w:rPr>
          <w:rFonts w:ascii="Arial" w:hAnsi="Arial" w:eastAsia="Calibri" w:cs="Arial"/>
          <w:sz w:val="22"/>
        </w:rPr>
        <w:t xml:space="preserve">, todos los integrantes deben tener el RUP en firme? y </w:t>
      </w:r>
      <w:proofErr w:type="spellStart"/>
      <w:r w:rsidRPr="0037664B" w:rsidR="00565729">
        <w:rPr>
          <w:rFonts w:ascii="Arial" w:hAnsi="Arial" w:eastAsia="Calibri" w:cs="Arial"/>
          <w:sz w:val="22"/>
        </w:rPr>
        <w:t>ii</w:t>
      </w:r>
      <w:proofErr w:type="spellEnd"/>
      <w:r w:rsidRPr="0037664B" w:rsidR="00565729">
        <w:rPr>
          <w:rFonts w:ascii="Arial" w:hAnsi="Arial" w:eastAsia="Calibri" w:cs="Arial"/>
          <w:sz w:val="22"/>
        </w:rPr>
        <w:t>) ¿</w:t>
      </w:r>
      <w:r w:rsidR="004F4EC7">
        <w:rPr>
          <w:rFonts w:ascii="Arial" w:hAnsi="Arial" w:eastAsia="Calibri" w:cs="Arial"/>
          <w:sz w:val="22"/>
        </w:rPr>
        <w:t>e</w:t>
      </w:r>
      <w:r w:rsidRPr="0037664B" w:rsidR="00565729">
        <w:rPr>
          <w:rFonts w:ascii="Arial" w:hAnsi="Arial" w:eastAsia="Calibri" w:cs="Arial"/>
          <w:sz w:val="22"/>
        </w:rPr>
        <w:t xml:space="preserve">s posible que solo uno de los integrantes tenga RUP? </w:t>
      </w:r>
    </w:p>
    <w:p w:rsidRPr="0037664B" w:rsidR="00565729" w:rsidP="00A1118B" w:rsidRDefault="00565729" w14:paraId="1D6D903C" w14:textId="77777777">
      <w:pPr>
        <w:spacing w:line="276" w:lineRule="auto"/>
        <w:jc w:val="both"/>
        <w:rPr>
          <w:rFonts w:ascii="Arial" w:hAnsi="Arial" w:eastAsia="Calibri" w:cs="Arial"/>
          <w:sz w:val="22"/>
        </w:rPr>
      </w:pPr>
    </w:p>
    <w:p w:rsidRPr="0037664B" w:rsidR="00A1118B" w:rsidP="00A1118B" w:rsidRDefault="00A1118B" w14:paraId="75AB2D14" w14:textId="77777777">
      <w:pPr>
        <w:tabs>
          <w:tab w:val="left" w:pos="426"/>
        </w:tabs>
        <w:spacing w:line="276" w:lineRule="auto"/>
        <w:jc w:val="both"/>
        <w:rPr>
          <w:rFonts w:ascii="Arial" w:hAnsi="Arial" w:eastAsia="Calibri" w:cs="Arial"/>
          <w:b/>
          <w:sz w:val="22"/>
        </w:rPr>
      </w:pPr>
      <w:r w:rsidRPr="0037664B">
        <w:rPr>
          <w:rFonts w:ascii="Arial" w:hAnsi="Arial" w:eastAsia="Calibri" w:cs="Arial"/>
          <w:b/>
          <w:sz w:val="22"/>
        </w:rPr>
        <w:t>2. Consideraciones</w:t>
      </w:r>
    </w:p>
    <w:p w:rsidRPr="0037664B" w:rsidR="00A1118B" w:rsidP="00A1118B" w:rsidRDefault="00A1118B" w14:paraId="42ED4390" w14:textId="77777777">
      <w:pPr>
        <w:pStyle w:val="Prrafodelista"/>
        <w:tabs>
          <w:tab w:val="left" w:pos="284"/>
        </w:tabs>
        <w:spacing w:line="276" w:lineRule="auto"/>
        <w:ind w:left="0"/>
        <w:jc w:val="both"/>
        <w:rPr>
          <w:rFonts w:ascii="Arial" w:hAnsi="Arial" w:eastAsia="Calibri" w:cs="Arial"/>
          <w:b/>
          <w:sz w:val="22"/>
          <w:lang w:val="es-CO"/>
        </w:rPr>
      </w:pPr>
    </w:p>
    <w:p w:rsidRPr="0037664B" w:rsidR="00587B43" w:rsidP="002029C7" w:rsidRDefault="00587B43" w14:paraId="021ED3C5" w14:textId="636FE205">
      <w:pPr>
        <w:spacing w:after="120" w:line="276" w:lineRule="auto"/>
        <w:jc w:val="both"/>
        <w:rPr>
          <w:rFonts w:ascii="Arial" w:hAnsi="Arial" w:eastAsia="Calibri" w:cs="Arial"/>
          <w:sz w:val="22"/>
        </w:rPr>
      </w:pPr>
      <w:r w:rsidRPr="0037664B">
        <w:rPr>
          <w:rFonts w:ascii="Arial" w:hAnsi="Arial" w:eastAsia="Calibri" w:cs="Arial"/>
          <w:sz w:val="22"/>
        </w:rPr>
        <w:t xml:space="preserve">Para desarrollar el problema planteado, en primer </w:t>
      </w:r>
      <w:proofErr w:type="gramStart"/>
      <w:r w:rsidRPr="0037664B">
        <w:rPr>
          <w:rFonts w:ascii="Arial" w:hAnsi="Arial" w:eastAsia="Calibri" w:cs="Arial"/>
          <w:sz w:val="22"/>
        </w:rPr>
        <w:t>lugar</w:t>
      </w:r>
      <w:proofErr w:type="gramEnd"/>
      <w:r w:rsidRPr="0037664B">
        <w:rPr>
          <w:rFonts w:ascii="Arial" w:hAnsi="Arial" w:eastAsia="Calibri" w:cs="Arial"/>
          <w:sz w:val="22"/>
        </w:rPr>
        <w:t xml:space="preserve"> se analizará la naturaleza de los consorcios y uniones temporales. En segundo lugar, se explicará, de manera general, la obligatoriedad para las personas naturales o jurídicas que aspiren a celebrar contratos con las entidades estatales de contar con el Registro Único de Proponentes - RUP y su contenido. Para finalizar, se analizará la inscripción, renovación y actualización del registro; para, finalmente, desarrollar la firmeza de la información contenida en el Registro Único de Proponentes - RUP.</w:t>
      </w:r>
    </w:p>
    <w:p w:rsidR="00D01C0B" w:rsidP="00587B43" w:rsidRDefault="00AC429C" w14:paraId="1ABEE282" w14:textId="51A604A3">
      <w:pPr>
        <w:spacing w:line="276" w:lineRule="auto"/>
        <w:ind w:firstLine="708"/>
        <w:jc w:val="both"/>
        <w:rPr>
          <w:rFonts w:ascii="Arial" w:hAnsi="Arial" w:eastAsia="Calibri" w:cs="Arial"/>
          <w:sz w:val="22"/>
        </w:rPr>
      </w:pPr>
      <w:r w:rsidRPr="0037664B">
        <w:rPr>
          <w:rFonts w:ascii="Arial" w:hAnsi="Arial" w:eastAsia="Calibri" w:cs="Arial"/>
          <w:sz w:val="22"/>
        </w:rPr>
        <w:t xml:space="preserve">Mediante concepto 4201913000007343 del 26 de diciembre de 2019 </w:t>
      </w:r>
      <w:r w:rsidR="009F014B">
        <w:rPr>
          <w:rFonts w:ascii="Arial" w:hAnsi="Arial" w:eastAsia="Calibri" w:cs="Arial"/>
          <w:sz w:val="22"/>
        </w:rPr>
        <w:t xml:space="preserve">se analizó </w:t>
      </w:r>
      <w:r w:rsidRPr="0037664B">
        <w:rPr>
          <w:rFonts w:ascii="Arial" w:hAnsi="Arial" w:eastAsia="Calibri" w:cs="Arial"/>
          <w:sz w:val="22"/>
        </w:rPr>
        <w:t xml:space="preserve">la naturaleza de los </w:t>
      </w:r>
      <w:r w:rsidRPr="0037664B" w:rsidR="009F014B">
        <w:rPr>
          <w:rFonts w:ascii="Arial" w:hAnsi="Arial" w:eastAsia="Calibri" w:cs="Arial"/>
          <w:sz w:val="22"/>
        </w:rPr>
        <w:t>consorcios y uniones temporales</w:t>
      </w:r>
      <w:r w:rsidRPr="0037664B">
        <w:rPr>
          <w:rFonts w:ascii="Arial" w:hAnsi="Arial" w:eastAsia="Calibri" w:cs="Arial"/>
          <w:sz w:val="22"/>
        </w:rPr>
        <w:t>. Por otro lado,  l</w:t>
      </w:r>
      <w:r w:rsidRPr="0037664B" w:rsidR="00A1118B">
        <w:rPr>
          <w:rFonts w:ascii="Arial" w:hAnsi="Arial" w:eastAsia="Calibri" w:cs="Arial"/>
          <w:sz w:val="22"/>
        </w:rPr>
        <w:t>as problemáticas asociadas al RUP, relacionadas con la firmeza de la inscripción, renovación y actualización</w:t>
      </w:r>
      <w:r w:rsidR="009F014B">
        <w:rPr>
          <w:rFonts w:ascii="Arial" w:hAnsi="Arial" w:eastAsia="Calibri" w:cs="Arial"/>
          <w:sz w:val="22"/>
        </w:rPr>
        <w:t>,</w:t>
      </w:r>
      <w:r w:rsidRPr="0037664B" w:rsidR="00A1118B">
        <w:rPr>
          <w:rFonts w:ascii="Arial" w:hAnsi="Arial" w:eastAsia="Calibri" w:cs="Arial"/>
          <w:sz w:val="22"/>
        </w:rPr>
        <w:t xml:space="preserve"> fueron tratadas por </w:t>
      </w:r>
      <w:r w:rsidRPr="0037664B">
        <w:rPr>
          <w:rFonts w:ascii="Arial" w:hAnsi="Arial" w:eastAsia="Calibri" w:cs="Arial"/>
          <w:sz w:val="22"/>
        </w:rPr>
        <w:t xml:space="preserve">Colombia Compra Eficiente </w:t>
      </w:r>
      <w:r w:rsidRPr="0037664B" w:rsidR="00A1118B">
        <w:rPr>
          <w:rFonts w:ascii="Arial" w:hAnsi="Arial" w:eastAsia="Calibri" w:cs="Arial"/>
          <w:sz w:val="22"/>
        </w:rPr>
        <w:t xml:space="preserve"> en los siguientes conceptos: 4201713000001182 del 24 de marzo de 2017; 4201814000002165 del 23 de abril de 2017; </w:t>
      </w:r>
      <w:r w:rsidRPr="0037664B" w:rsidR="00A1118B">
        <w:rPr>
          <w:rFonts w:ascii="Arial" w:hAnsi="Arial" w:eastAsia="Calibri" w:cs="Arial"/>
          <w:sz w:val="22"/>
        </w:rPr>
        <w:lastRenderedPageBreak/>
        <w:t xml:space="preserve">4201713000001647 del 27 de abril de 2017; 4201711000001879 del 11 de mayo de 2017; 4201814000002917 del 11 de mayo de 2018; 4201714000002097 del 24 de mayo de 2017; 4201814000002927 del 11 de abril de 2018; 4201813000003018 del 11 de mayo de 2018; ; 4201814000004174 del 18 de mayo de 2018; 4201814000004014 del 20 de junio de 2018; 4201813000004073 del 21 de junio de 2018; 4201912000003350 del 4 de julio de 2019; 4201912000007418 del 11 de diciembre de 2019; y </w:t>
      </w:r>
      <w:r w:rsidR="002029C7">
        <w:rPr>
          <w:rFonts w:ascii="Arial" w:hAnsi="Arial" w:eastAsia="Calibri" w:cs="Arial"/>
          <w:sz w:val="22"/>
        </w:rPr>
        <w:t>C – 00</w:t>
      </w:r>
      <w:r w:rsidR="009104B9">
        <w:rPr>
          <w:rFonts w:ascii="Arial" w:hAnsi="Arial" w:eastAsia="Calibri" w:cs="Arial"/>
          <w:sz w:val="22"/>
        </w:rPr>
        <w:t xml:space="preserve">5 </w:t>
      </w:r>
      <w:r w:rsidRPr="0037664B" w:rsidR="002029C7">
        <w:rPr>
          <w:rFonts w:ascii="Arial" w:hAnsi="Arial" w:eastAsia="Calibri" w:cs="Arial"/>
          <w:sz w:val="22"/>
        </w:rPr>
        <w:t xml:space="preserve"> </w:t>
      </w:r>
      <w:r w:rsidRPr="0037664B" w:rsidR="00A1118B">
        <w:rPr>
          <w:rFonts w:ascii="Arial" w:hAnsi="Arial" w:eastAsia="Calibri" w:cs="Arial"/>
          <w:sz w:val="22"/>
        </w:rPr>
        <w:t>del 14 de febrero de 2020.</w:t>
      </w:r>
      <w:r w:rsidRPr="0037664B">
        <w:rPr>
          <w:rFonts w:ascii="Arial" w:hAnsi="Arial" w:eastAsia="Calibri" w:cs="Arial"/>
          <w:sz w:val="22"/>
        </w:rPr>
        <w:t xml:space="preserve"> Tesis que se </w:t>
      </w:r>
      <w:r w:rsidRPr="0037664B" w:rsidR="008020C2">
        <w:rPr>
          <w:rFonts w:ascii="Arial" w:hAnsi="Arial" w:eastAsia="Calibri" w:cs="Arial"/>
          <w:sz w:val="22"/>
        </w:rPr>
        <w:t>desarrollarán</w:t>
      </w:r>
      <w:r w:rsidRPr="0037664B">
        <w:rPr>
          <w:rFonts w:ascii="Arial" w:hAnsi="Arial" w:eastAsia="Calibri" w:cs="Arial"/>
          <w:sz w:val="22"/>
        </w:rPr>
        <w:t xml:space="preserve"> en el presente concepto. </w:t>
      </w:r>
    </w:p>
    <w:p w:rsidRPr="0037664B" w:rsidR="00587B43" w:rsidP="002029C7" w:rsidRDefault="00587B43" w14:paraId="023F46C4" w14:textId="77777777">
      <w:pPr>
        <w:spacing w:line="276" w:lineRule="auto"/>
        <w:ind w:firstLine="708"/>
        <w:jc w:val="both"/>
        <w:rPr>
          <w:rFonts w:ascii="Arial" w:hAnsi="Arial" w:eastAsia="Calibri" w:cs="Arial"/>
          <w:sz w:val="22"/>
        </w:rPr>
      </w:pPr>
    </w:p>
    <w:p w:rsidRPr="0037664B" w:rsidR="00AC429C" w:rsidP="00D141BF" w:rsidRDefault="00AC429C" w14:paraId="01E417FB" w14:textId="75DF24C6">
      <w:pPr>
        <w:pStyle w:val="Prrafodelista"/>
        <w:tabs>
          <w:tab w:val="left" w:pos="284"/>
        </w:tabs>
        <w:spacing w:line="276" w:lineRule="auto"/>
        <w:ind w:left="0"/>
        <w:jc w:val="both"/>
        <w:rPr>
          <w:rFonts w:ascii="Arial" w:hAnsi="Arial" w:cs="Arial"/>
          <w:b/>
          <w:bCs/>
          <w:sz w:val="22"/>
          <w:lang w:val="es-CO"/>
        </w:rPr>
      </w:pPr>
      <w:r w:rsidRPr="0037664B">
        <w:rPr>
          <w:rFonts w:ascii="Arial" w:hAnsi="Arial" w:cs="Arial"/>
          <w:b/>
          <w:bCs/>
          <w:sz w:val="22"/>
          <w:lang w:val="es-CO"/>
        </w:rPr>
        <w:t>2.1 Naturaleza de los consorcios y uniones temporales</w:t>
      </w:r>
    </w:p>
    <w:p w:rsidRPr="0037664B" w:rsidR="00D141BF" w:rsidP="00D141BF" w:rsidRDefault="00D141BF" w14:paraId="0C92A7DC" w14:textId="77777777">
      <w:pPr>
        <w:pStyle w:val="Prrafodelista"/>
        <w:tabs>
          <w:tab w:val="left" w:pos="284"/>
        </w:tabs>
        <w:spacing w:line="276" w:lineRule="auto"/>
        <w:ind w:left="0"/>
        <w:jc w:val="both"/>
        <w:rPr>
          <w:rFonts w:ascii="Arial" w:hAnsi="Arial" w:cs="Arial"/>
          <w:b/>
          <w:bCs/>
          <w:sz w:val="22"/>
          <w:lang w:val="es-CO"/>
        </w:rPr>
      </w:pPr>
    </w:p>
    <w:p w:rsidRPr="0037664B" w:rsidR="00D01C0B" w:rsidP="00D141BF" w:rsidRDefault="00587B43" w14:paraId="7314BFCF" w14:textId="55268EBE">
      <w:pPr>
        <w:spacing w:after="120" w:line="276" w:lineRule="auto"/>
        <w:jc w:val="both"/>
        <w:rPr>
          <w:rFonts w:ascii="Arial" w:hAnsi="Arial" w:eastAsia="Calibri" w:cs="Arial"/>
          <w:sz w:val="22"/>
          <w:szCs w:val="22"/>
        </w:rPr>
      </w:pPr>
      <w:r>
        <w:rPr>
          <w:rFonts w:ascii="Arial" w:hAnsi="Arial" w:cs="Arial"/>
          <w:sz w:val="22"/>
          <w:szCs w:val="22"/>
        </w:rPr>
        <w:t>La capacidad jurídica es uno de los presupuestos del contrato estatal. Esta es</w:t>
      </w:r>
      <w:r w:rsidRPr="0037664B" w:rsidR="00D01C0B">
        <w:rPr>
          <w:rFonts w:ascii="Arial" w:hAnsi="Arial" w:cs="Arial"/>
          <w:sz w:val="22"/>
          <w:szCs w:val="22"/>
        </w:rPr>
        <w:t xml:space="preserve"> entendida como la aptitud de un sujeto para ser titular de derecho y obligaciones, de ejercer o exigir los primeros y contraer las segundas en forma personal y de comparecer en juicio. La capacidad jurídica permite crear, modificar o extinguir relaciones jurídicas de forma voluntaria </w:t>
      </w:r>
      <w:r w:rsidRPr="0037664B" w:rsidR="00D01C0B">
        <w:rPr>
          <w:rFonts w:ascii="Arial" w:hAnsi="Arial" w:eastAsia="Calibri" w:cs="Arial"/>
          <w:sz w:val="22"/>
          <w:szCs w:val="22"/>
        </w:rPr>
        <w:t>y autónoma.</w:t>
      </w:r>
    </w:p>
    <w:p w:rsidRPr="0037664B" w:rsidR="0094266C" w:rsidP="009104B9" w:rsidRDefault="005D7A7C" w14:paraId="25872CCC" w14:textId="4D3E3B30">
      <w:pPr>
        <w:spacing w:after="120" w:line="276" w:lineRule="auto"/>
        <w:ind w:firstLine="709"/>
        <w:jc w:val="both"/>
      </w:pPr>
      <w:r>
        <w:rPr>
          <w:rFonts w:ascii="Arial" w:hAnsi="Arial" w:eastAsia="Calibri" w:cs="Arial"/>
          <w:sz w:val="22"/>
          <w:szCs w:val="22"/>
        </w:rPr>
        <w:t>D</w:t>
      </w:r>
      <w:r w:rsidRPr="0037664B" w:rsidR="00D01C0B">
        <w:rPr>
          <w:rFonts w:ascii="Arial" w:hAnsi="Arial" w:cs="Arial"/>
          <w:sz w:val="22"/>
          <w:szCs w:val="22"/>
        </w:rPr>
        <w:t xml:space="preserve">e acuerdo </w:t>
      </w:r>
      <w:r w:rsidRPr="0037664B" w:rsidR="008020C2">
        <w:rPr>
          <w:rFonts w:ascii="Arial" w:hAnsi="Arial" w:cs="Arial"/>
          <w:sz w:val="22"/>
          <w:szCs w:val="22"/>
        </w:rPr>
        <w:t>con</w:t>
      </w:r>
      <w:r w:rsidRPr="0037664B" w:rsidR="00D01C0B">
        <w:rPr>
          <w:rFonts w:ascii="Arial" w:hAnsi="Arial" w:cs="Arial"/>
          <w:sz w:val="22"/>
          <w:szCs w:val="22"/>
        </w:rPr>
        <w:t xml:space="preserve"> lo establecido en el Código Civil</w:t>
      </w:r>
      <w:r w:rsidRPr="0037664B" w:rsidR="008020C2">
        <w:rPr>
          <w:rFonts w:ascii="Arial" w:hAnsi="Arial" w:cs="Arial"/>
          <w:sz w:val="22"/>
          <w:szCs w:val="22"/>
        </w:rPr>
        <w:t xml:space="preserve"> Colombiano</w:t>
      </w:r>
      <w:r w:rsidRPr="0037664B" w:rsidR="00D01C0B">
        <w:rPr>
          <w:rFonts w:ascii="Arial" w:hAnsi="Arial" w:cs="Arial"/>
          <w:sz w:val="22"/>
          <w:szCs w:val="22"/>
        </w:rPr>
        <w:t xml:space="preserve">, </w:t>
      </w:r>
      <w:r>
        <w:rPr>
          <w:rFonts w:ascii="Arial" w:hAnsi="Arial" w:cs="Arial"/>
          <w:sz w:val="22"/>
          <w:szCs w:val="22"/>
        </w:rPr>
        <w:t xml:space="preserve">la capacidad </w:t>
      </w:r>
      <w:r w:rsidRPr="0037664B" w:rsidR="00D01C0B">
        <w:rPr>
          <w:rFonts w:ascii="Arial" w:hAnsi="Arial" w:cs="Arial"/>
          <w:sz w:val="22"/>
          <w:szCs w:val="22"/>
        </w:rPr>
        <w:t>se refiere a la facultad que la ley le confiere a la persona para ejercer derechos y contraer obligaciones, partiendo del supuesto de que todas las personas naturales mayores de edad son capaces, con excepción de aquellas que la ley expresamente excluye de tal presunción -artículos 1502, 1503 y 1504-</w:t>
      </w:r>
      <w:r w:rsidRPr="0037664B" w:rsidR="00587B43">
        <w:rPr>
          <w:rStyle w:val="Refdenotaalpie"/>
          <w:rFonts w:ascii="Arial" w:hAnsi="Arial" w:cs="Arial"/>
          <w:sz w:val="22"/>
          <w:szCs w:val="22"/>
        </w:rPr>
        <w:footnoteReference w:id="1"/>
      </w:r>
      <w:r w:rsidRPr="0037664B" w:rsidR="00D01C0B">
        <w:rPr>
          <w:rFonts w:ascii="Arial" w:hAnsi="Arial" w:cs="Arial"/>
          <w:sz w:val="22"/>
          <w:szCs w:val="22"/>
        </w:rPr>
        <w:t xml:space="preserve">, y de que la capacidad de las personas jurídicas se circunscribe </w:t>
      </w:r>
      <w:r>
        <w:rPr>
          <w:rFonts w:ascii="Arial" w:hAnsi="Arial" w:cs="Arial"/>
          <w:sz w:val="22"/>
          <w:szCs w:val="22"/>
        </w:rPr>
        <w:t>a</w:t>
      </w:r>
      <w:r w:rsidRPr="0037664B" w:rsidR="00D01C0B">
        <w:rPr>
          <w:rFonts w:ascii="Arial" w:hAnsi="Arial" w:cs="Arial"/>
          <w:sz w:val="22"/>
          <w:szCs w:val="22"/>
        </w:rPr>
        <w:t xml:space="preserve"> su objeto social</w:t>
      </w:r>
      <w:r w:rsidRPr="0037664B" w:rsidR="00D01C0B">
        <w:rPr>
          <w:rStyle w:val="Refdenotaalpie"/>
          <w:rFonts w:ascii="Arial" w:hAnsi="Arial" w:cs="Arial"/>
          <w:sz w:val="22"/>
          <w:szCs w:val="22"/>
        </w:rPr>
        <w:footnoteReference w:id="2"/>
      </w:r>
      <w:r w:rsidRPr="0037664B" w:rsidR="00D01C0B">
        <w:rPr>
          <w:rFonts w:ascii="Arial" w:hAnsi="Arial" w:cs="Arial"/>
          <w:sz w:val="22"/>
          <w:szCs w:val="22"/>
        </w:rPr>
        <w:t>.</w:t>
      </w:r>
      <w:r w:rsidR="00362212">
        <w:t xml:space="preserve"> </w:t>
      </w:r>
      <w:r w:rsidR="00362212">
        <w:rPr>
          <w:rFonts w:ascii="Arial" w:hAnsi="Arial" w:cs="Arial"/>
          <w:sz w:val="22"/>
          <w:szCs w:val="22"/>
        </w:rPr>
        <w:t>Al respecto, e</w:t>
      </w:r>
      <w:r w:rsidRPr="00312B97" w:rsidR="00362212">
        <w:rPr>
          <w:rFonts w:ascii="Arial" w:hAnsi="Arial" w:cs="Arial"/>
          <w:sz w:val="22"/>
          <w:szCs w:val="22"/>
        </w:rPr>
        <w:t xml:space="preserve">l </w:t>
      </w:r>
      <w:r w:rsidRPr="00312B97" w:rsidR="00D01C0B">
        <w:rPr>
          <w:rFonts w:ascii="Arial" w:hAnsi="Arial" w:cs="Arial"/>
          <w:sz w:val="22"/>
          <w:szCs w:val="22"/>
        </w:rPr>
        <w:t>artículo 6 Ley 80 de 1993</w:t>
      </w:r>
      <w:r w:rsidRPr="00312B97" w:rsidR="00362212">
        <w:rPr>
          <w:rFonts w:ascii="Arial" w:hAnsi="Arial" w:cs="Arial"/>
          <w:sz w:val="22"/>
          <w:szCs w:val="22"/>
        </w:rPr>
        <w:t xml:space="preserve"> dispone que</w:t>
      </w:r>
      <w:r w:rsidRPr="00312B97" w:rsidR="00D01C0B">
        <w:rPr>
          <w:rFonts w:ascii="Arial" w:hAnsi="Arial" w:cs="Arial"/>
          <w:sz w:val="22"/>
          <w:szCs w:val="22"/>
        </w:rPr>
        <w:t>:</w:t>
      </w:r>
      <w:r w:rsidR="00CC2990">
        <w:rPr>
          <w:rFonts w:ascii="Arial" w:hAnsi="Arial" w:cs="Arial"/>
          <w:sz w:val="22"/>
          <w:szCs w:val="22"/>
        </w:rPr>
        <w:t xml:space="preserve"> </w:t>
      </w:r>
      <w:r w:rsidRPr="00312B97" w:rsidR="00CC2990">
        <w:rPr>
          <w:rFonts w:ascii="Arial" w:hAnsi="Arial" w:cs="Arial"/>
          <w:sz w:val="22"/>
          <w:szCs w:val="22"/>
        </w:rPr>
        <w:t>«</w:t>
      </w:r>
      <w:r w:rsidRPr="00312B97" w:rsidR="00D01C0B">
        <w:rPr>
          <w:rFonts w:ascii="Arial" w:hAnsi="Arial" w:cs="Arial"/>
          <w:sz w:val="22"/>
          <w:szCs w:val="22"/>
        </w:rPr>
        <w:t>Pueden celebrar contratos con las entidades estatales las personas consideradas legalmente capaces en las disposiciones vigentes. También podrán celebrar contratos con las entidades estatales, los consorcios y uniones temporales</w:t>
      </w:r>
      <w:r w:rsidRPr="00312B97" w:rsidR="00CC2990">
        <w:rPr>
          <w:rFonts w:ascii="Arial" w:hAnsi="Arial" w:cs="Arial"/>
          <w:sz w:val="22"/>
          <w:szCs w:val="22"/>
        </w:rPr>
        <w:t>»</w:t>
      </w:r>
      <w:r w:rsidRPr="00312B97" w:rsidR="00D01C0B">
        <w:rPr>
          <w:rFonts w:ascii="Arial" w:hAnsi="Arial" w:cs="Arial"/>
          <w:sz w:val="22"/>
          <w:szCs w:val="22"/>
        </w:rPr>
        <w:t>.</w:t>
      </w:r>
    </w:p>
    <w:p w:rsidRPr="0037664B" w:rsidR="00D01C0B" w:rsidP="009104B9" w:rsidRDefault="00D01C0B" w14:paraId="04721D07" w14:textId="03F35096">
      <w:pPr>
        <w:spacing w:line="276" w:lineRule="auto"/>
        <w:ind w:firstLine="709"/>
        <w:jc w:val="both"/>
        <w:rPr>
          <w:rFonts w:ascii="Arial" w:hAnsi="Arial" w:cs="Arial"/>
          <w:sz w:val="22"/>
          <w:szCs w:val="22"/>
        </w:rPr>
      </w:pPr>
      <w:r w:rsidRPr="0037664B">
        <w:rPr>
          <w:rFonts w:ascii="Arial" w:hAnsi="Arial" w:cs="Arial"/>
          <w:sz w:val="22"/>
          <w:szCs w:val="22"/>
        </w:rPr>
        <w:t>En consecuencia, pueden celebrar contratos estatales las personas naturales mayores de edad, las personas jurídicas que tengan dentro de su objeto</w:t>
      </w:r>
      <w:r w:rsidRPr="0037664B">
        <w:rPr>
          <w:rFonts w:ascii="Arial" w:hAnsi="Arial" w:cs="Arial"/>
          <w:spacing w:val="43"/>
          <w:sz w:val="22"/>
          <w:szCs w:val="22"/>
        </w:rPr>
        <w:t xml:space="preserve"> </w:t>
      </w:r>
      <w:r w:rsidRPr="0037664B">
        <w:rPr>
          <w:rFonts w:ascii="Arial" w:hAnsi="Arial" w:cs="Arial"/>
          <w:sz w:val="22"/>
          <w:szCs w:val="22"/>
        </w:rPr>
        <w:t>social</w:t>
      </w:r>
      <w:r w:rsidRPr="0037664B">
        <w:rPr>
          <w:rFonts w:ascii="Arial" w:hAnsi="Arial" w:cs="Arial"/>
          <w:spacing w:val="44"/>
          <w:sz w:val="22"/>
          <w:szCs w:val="22"/>
        </w:rPr>
        <w:t xml:space="preserve"> </w:t>
      </w:r>
      <w:r w:rsidRPr="0037664B">
        <w:rPr>
          <w:rFonts w:ascii="Arial" w:hAnsi="Arial" w:cs="Arial"/>
          <w:sz w:val="22"/>
          <w:szCs w:val="22"/>
        </w:rPr>
        <w:t>actividades</w:t>
      </w:r>
      <w:r w:rsidRPr="0037664B">
        <w:rPr>
          <w:rFonts w:ascii="Arial" w:hAnsi="Arial" w:cs="Arial"/>
          <w:spacing w:val="44"/>
          <w:sz w:val="22"/>
          <w:szCs w:val="22"/>
        </w:rPr>
        <w:t xml:space="preserve"> </w:t>
      </w:r>
      <w:r w:rsidRPr="0037664B">
        <w:rPr>
          <w:rFonts w:ascii="Arial" w:hAnsi="Arial" w:cs="Arial"/>
          <w:sz w:val="22"/>
          <w:szCs w:val="22"/>
        </w:rPr>
        <w:t>relacionadas</w:t>
      </w:r>
      <w:r w:rsidRPr="0037664B">
        <w:rPr>
          <w:rFonts w:ascii="Arial" w:hAnsi="Arial" w:cs="Arial"/>
          <w:spacing w:val="44"/>
          <w:sz w:val="22"/>
          <w:szCs w:val="22"/>
        </w:rPr>
        <w:t xml:space="preserve"> </w:t>
      </w:r>
      <w:r w:rsidRPr="0037664B">
        <w:rPr>
          <w:rFonts w:ascii="Arial" w:hAnsi="Arial" w:cs="Arial"/>
          <w:sz w:val="22"/>
          <w:szCs w:val="22"/>
        </w:rPr>
        <w:t>con</w:t>
      </w:r>
      <w:r w:rsidRPr="0037664B">
        <w:rPr>
          <w:rFonts w:ascii="Arial" w:hAnsi="Arial" w:cs="Arial"/>
          <w:spacing w:val="43"/>
          <w:sz w:val="22"/>
          <w:szCs w:val="22"/>
        </w:rPr>
        <w:t xml:space="preserve"> </w:t>
      </w:r>
      <w:r w:rsidRPr="0037664B">
        <w:rPr>
          <w:rFonts w:ascii="Arial" w:hAnsi="Arial" w:cs="Arial"/>
          <w:sz w:val="22"/>
          <w:szCs w:val="22"/>
        </w:rPr>
        <w:t>el</w:t>
      </w:r>
      <w:r w:rsidRPr="0037664B">
        <w:rPr>
          <w:rFonts w:ascii="Arial" w:hAnsi="Arial" w:cs="Arial"/>
          <w:spacing w:val="45"/>
          <w:sz w:val="22"/>
          <w:szCs w:val="22"/>
        </w:rPr>
        <w:t xml:space="preserve"> </w:t>
      </w:r>
      <w:r w:rsidRPr="0037664B">
        <w:rPr>
          <w:rFonts w:ascii="Arial" w:hAnsi="Arial" w:cs="Arial"/>
          <w:sz w:val="22"/>
          <w:szCs w:val="22"/>
        </w:rPr>
        <w:t>objeto</w:t>
      </w:r>
      <w:r w:rsidRPr="0037664B">
        <w:rPr>
          <w:rFonts w:ascii="Arial" w:hAnsi="Arial" w:cs="Arial"/>
          <w:spacing w:val="43"/>
          <w:sz w:val="22"/>
          <w:szCs w:val="22"/>
        </w:rPr>
        <w:t xml:space="preserve"> </w:t>
      </w:r>
      <w:r w:rsidRPr="0037664B">
        <w:rPr>
          <w:rFonts w:ascii="Arial" w:hAnsi="Arial" w:cs="Arial"/>
          <w:sz w:val="22"/>
          <w:szCs w:val="22"/>
        </w:rPr>
        <w:t>a</w:t>
      </w:r>
      <w:r w:rsidRPr="0037664B">
        <w:rPr>
          <w:rFonts w:ascii="Arial" w:hAnsi="Arial" w:cs="Arial"/>
          <w:spacing w:val="44"/>
          <w:sz w:val="22"/>
          <w:szCs w:val="22"/>
        </w:rPr>
        <w:t xml:space="preserve"> </w:t>
      </w:r>
      <w:r w:rsidRPr="0037664B">
        <w:rPr>
          <w:rFonts w:ascii="Arial" w:hAnsi="Arial" w:cs="Arial"/>
          <w:sz w:val="22"/>
          <w:szCs w:val="22"/>
        </w:rPr>
        <w:t>contratar</w:t>
      </w:r>
      <w:r w:rsidRPr="0037664B">
        <w:rPr>
          <w:rFonts w:ascii="Arial" w:hAnsi="Arial" w:cs="Arial"/>
          <w:spacing w:val="47"/>
          <w:sz w:val="22"/>
          <w:szCs w:val="22"/>
        </w:rPr>
        <w:t xml:space="preserve"> </w:t>
      </w:r>
      <w:r w:rsidRPr="0037664B">
        <w:rPr>
          <w:rFonts w:ascii="Arial" w:hAnsi="Arial" w:cs="Arial"/>
          <w:sz w:val="22"/>
          <w:szCs w:val="22"/>
        </w:rPr>
        <w:t>y,</w:t>
      </w:r>
      <w:r w:rsidRPr="0037664B">
        <w:rPr>
          <w:rFonts w:ascii="Arial" w:hAnsi="Arial" w:cs="Arial"/>
          <w:spacing w:val="44"/>
          <w:sz w:val="22"/>
          <w:szCs w:val="22"/>
        </w:rPr>
        <w:t xml:space="preserve"> </w:t>
      </w:r>
      <w:r w:rsidR="00CC2990">
        <w:rPr>
          <w:rFonts w:ascii="Arial" w:hAnsi="Arial" w:cs="Arial"/>
          <w:sz w:val="22"/>
          <w:szCs w:val="22"/>
        </w:rPr>
        <w:t>en</w:t>
      </w:r>
      <w:r w:rsidRPr="0037664B">
        <w:rPr>
          <w:rFonts w:ascii="Arial" w:hAnsi="Arial" w:cs="Arial"/>
          <w:spacing w:val="46"/>
          <w:sz w:val="22"/>
          <w:szCs w:val="22"/>
        </w:rPr>
        <w:t xml:space="preserve"> </w:t>
      </w:r>
      <w:r w:rsidRPr="0037664B">
        <w:rPr>
          <w:rFonts w:ascii="Arial" w:hAnsi="Arial" w:cs="Arial"/>
          <w:sz w:val="22"/>
          <w:szCs w:val="22"/>
        </w:rPr>
        <w:t>virtud</w:t>
      </w:r>
      <w:r w:rsidRPr="0037664B">
        <w:rPr>
          <w:rFonts w:ascii="Arial" w:hAnsi="Arial" w:cs="Arial"/>
          <w:spacing w:val="43"/>
          <w:sz w:val="22"/>
          <w:szCs w:val="22"/>
        </w:rPr>
        <w:t xml:space="preserve"> </w:t>
      </w:r>
      <w:r w:rsidRPr="0037664B">
        <w:rPr>
          <w:rFonts w:ascii="Arial" w:hAnsi="Arial" w:cs="Arial"/>
          <w:sz w:val="22"/>
          <w:szCs w:val="22"/>
        </w:rPr>
        <w:t>de</w:t>
      </w:r>
      <w:r w:rsidRPr="0037664B">
        <w:rPr>
          <w:rFonts w:ascii="Arial" w:hAnsi="Arial" w:cs="Arial"/>
          <w:spacing w:val="44"/>
          <w:sz w:val="22"/>
          <w:szCs w:val="22"/>
        </w:rPr>
        <w:t xml:space="preserve"> </w:t>
      </w:r>
      <w:r w:rsidRPr="0037664B">
        <w:rPr>
          <w:rFonts w:ascii="Arial" w:hAnsi="Arial" w:cs="Arial"/>
          <w:sz w:val="22"/>
          <w:szCs w:val="22"/>
        </w:rPr>
        <w:t>la</w:t>
      </w:r>
      <w:r w:rsidRPr="0037664B">
        <w:rPr>
          <w:rFonts w:ascii="Arial" w:hAnsi="Arial" w:cs="Arial"/>
          <w:spacing w:val="43"/>
          <w:sz w:val="22"/>
          <w:szCs w:val="22"/>
        </w:rPr>
        <w:t xml:space="preserve"> </w:t>
      </w:r>
      <w:r w:rsidRPr="0037664B">
        <w:rPr>
          <w:rFonts w:ascii="Arial" w:hAnsi="Arial" w:cs="Arial"/>
          <w:sz w:val="22"/>
          <w:szCs w:val="22"/>
        </w:rPr>
        <w:t>ley, también pueden hacer</w:t>
      </w:r>
      <w:r w:rsidR="00CC2990">
        <w:rPr>
          <w:rFonts w:ascii="Arial" w:hAnsi="Arial" w:cs="Arial"/>
          <w:sz w:val="22"/>
          <w:szCs w:val="22"/>
        </w:rPr>
        <w:t>lo</w:t>
      </w:r>
      <w:r w:rsidRPr="0037664B">
        <w:rPr>
          <w:rFonts w:ascii="Arial" w:hAnsi="Arial" w:cs="Arial"/>
          <w:sz w:val="22"/>
          <w:szCs w:val="22"/>
        </w:rPr>
        <w:t xml:space="preserve"> los consorcios y </w:t>
      </w:r>
      <w:r w:rsidR="00CC2990">
        <w:rPr>
          <w:rFonts w:ascii="Arial" w:hAnsi="Arial" w:cs="Arial"/>
          <w:sz w:val="22"/>
          <w:szCs w:val="22"/>
        </w:rPr>
        <w:t xml:space="preserve">las </w:t>
      </w:r>
      <w:r w:rsidRPr="0037664B">
        <w:rPr>
          <w:rFonts w:ascii="Arial" w:hAnsi="Arial" w:cs="Arial"/>
          <w:sz w:val="22"/>
          <w:szCs w:val="22"/>
        </w:rPr>
        <w:t>uniones temporales.</w:t>
      </w:r>
      <w:r w:rsidR="00CC2990">
        <w:rPr>
          <w:rFonts w:ascii="Arial" w:hAnsi="Arial" w:cs="Arial"/>
          <w:sz w:val="22"/>
          <w:szCs w:val="22"/>
        </w:rPr>
        <w:t xml:space="preserve"> Si bien </w:t>
      </w:r>
      <w:r w:rsidRPr="0037664B">
        <w:rPr>
          <w:rFonts w:ascii="Arial" w:hAnsi="Arial" w:cs="Arial"/>
          <w:sz w:val="22"/>
          <w:szCs w:val="22"/>
        </w:rPr>
        <w:t>no son personas jurídicas</w:t>
      </w:r>
      <w:r w:rsidR="00CC2990">
        <w:rPr>
          <w:rFonts w:ascii="Arial" w:hAnsi="Arial" w:cs="Arial"/>
          <w:sz w:val="22"/>
          <w:szCs w:val="22"/>
        </w:rPr>
        <w:t>, e</w:t>
      </w:r>
      <w:r w:rsidRPr="0037664B">
        <w:rPr>
          <w:rFonts w:ascii="Arial" w:hAnsi="Arial" w:cs="Arial"/>
          <w:sz w:val="22"/>
          <w:szCs w:val="22"/>
        </w:rPr>
        <w:t>l artículo 7 de la Ley 80 de 1993 define estos sujetos para la presentación de oferta</w:t>
      </w:r>
      <w:r w:rsidR="00CC2990">
        <w:rPr>
          <w:rFonts w:ascii="Arial" w:hAnsi="Arial" w:cs="Arial"/>
          <w:sz w:val="22"/>
          <w:szCs w:val="22"/>
        </w:rPr>
        <w:t>s</w:t>
      </w:r>
      <w:r w:rsidRPr="0037664B">
        <w:rPr>
          <w:rFonts w:ascii="Arial" w:hAnsi="Arial" w:cs="Arial"/>
          <w:sz w:val="22"/>
          <w:szCs w:val="22"/>
        </w:rPr>
        <w:t xml:space="preserve"> por un número plural de interesados</w:t>
      </w:r>
      <w:r w:rsidR="00CC2990">
        <w:rPr>
          <w:rFonts w:ascii="Arial" w:hAnsi="Arial" w:cs="Arial"/>
          <w:sz w:val="22"/>
          <w:szCs w:val="22"/>
        </w:rPr>
        <w:t>. La norma dispone que</w:t>
      </w:r>
      <w:r w:rsidRPr="0037664B">
        <w:rPr>
          <w:rFonts w:ascii="Arial" w:hAnsi="Arial" w:cs="Arial"/>
          <w:sz w:val="22"/>
          <w:szCs w:val="22"/>
        </w:rPr>
        <w:t>:</w:t>
      </w:r>
    </w:p>
    <w:p w:rsidRPr="0037664B" w:rsidR="00D01C0B" w:rsidP="009104B9" w:rsidRDefault="00D01C0B" w14:paraId="28D04B6B" w14:textId="77777777">
      <w:pPr>
        <w:pStyle w:val="Textoindependiente"/>
        <w:rPr>
          <w:sz w:val="25"/>
          <w:lang w:val="es-CO"/>
        </w:rPr>
      </w:pPr>
    </w:p>
    <w:p w:rsidRPr="0037664B" w:rsidR="00D01C0B" w:rsidP="009104B9" w:rsidRDefault="00D01C0B" w14:paraId="59EA1259" w14:textId="13EDB7BC">
      <w:pPr>
        <w:pStyle w:val="Textoindependiente"/>
        <w:spacing w:after="120"/>
        <w:ind w:left="709" w:right="709"/>
        <w:jc w:val="both"/>
        <w:rPr>
          <w:sz w:val="21"/>
          <w:szCs w:val="21"/>
          <w:lang w:val="es-CO"/>
        </w:rPr>
      </w:pPr>
      <w:r w:rsidRPr="0037664B">
        <w:rPr>
          <w:sz w:val="21"/>
          <w:szCs w:val="21"/>
          <w:lang w:val="es-CO"/>
        </w:rPr>
        <w:lastRenderedPageBreak/>
        <w:t>Para los efectos de esta ley se entiende por:</w:t>
      </w:r>
    </w:p>
    <w:p w:rsidRPr="0037664B" w:rsidR="00D01C0B" w:rsidP="009104B9" w:rsidRDefault="00D01C0B" w14:paraId="2FF39730" w14:textId="77777777">
      <w:pPr>
        <w:pStyle w:val="Textoindependiente"/>
        <w:spacing w:after="120"/>
        <w:ind w:left="709" w:right="709"/>
        <w:jc w:val="both"/>
        <w:rPr>
          <w:sz w:val="21"/>
          <w:szCs w:val="21"/>
          <w:lang w:val="es-CO"/>
        </w:rPr>
      </w:pPr>
      <w:r w:rsidRPr="0037664B">
        <w:rPr>
          <w:sz w:val="21"/>
          <w:szCs w:val="21"/>
          <w:lang w:val="es-CO"/>
        </w:rPr>
        <w:t>1o. Consorcio:</w:t>
      </w:r>
    </w:p>
    <w:p w:rsidRPr="0037664B" w:rsidR="00D01C0B" w:rsidP="009104B9" w:rsidRDefault="00D01C0B" w14:paraId="0EFD97A5" w14:textId="77777777">
      <w:pPr>
        <w:pStyle w:val="Textoindependiente"/>
        <w:spacing w:after="120"/>
        <w:ind w:left="709" w:right="709"/>
        <w:jc w:val="both"/>
        <w:rPr>
          <w:sz w:val="21"/>
          <w:szCs w:val="21"/>
          <w:lang w:val="es-CO"/>
        </w:rPr>
      </w:pPr>
      <w:r w:rsidRPr="0037664B">
        <w:rPr>
          <w:sz w:val="21"/>
          <w:szCs w:val="21"/>
          <w:lang w:val="es-CO"/>
        </w:rPr>
        <w:t>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w:t>
      </w:r>
      <w:r w:rsidRPr="0037664B">
        <w:rPr>
          <w:spacing w:val="-13"/>
          <w:sz w:val="21"/>
          <w:szCs w:val="21"/>
          <w:lang w:val="es-CO"/>
        </w:rPr>
        <w:t xml:space="preserve"> </w:t>
      </w:r>
      <w:r w:rsidRPr="0037664B">
        <w:rPr>
          <w:sz w:val="21"/>
          <w:szCs w:val="21"/>
          <w:lang w:val="es-CO"/>
        </w:rPr>
        <w:t>conforman.</w:t>
      </w:r>
    </w:p>
    <w:p w:rsidRPr="0037664B" w:rsidR="00D01C0B" w:rsidP="009104B9" w:rsidRDefault="00D01C0B" w14:paraId="2B04535B" w14:textId="77777777">
      <w:pPr>
        <w:pStyle w:val="Textoindependiente"/>
        <w:spacing w:after="120"/>
        <w:ind w:left="709" w:right="709"/>
        <w:jc w:val="both"/>
        <w:rPr>
          <w:sz w:val="21"/>
          <w:szCs w:val="21"/>
          <w:lang w:val="es-CO"/>
        </w:rPr>
      </w:pPr>
      <w:r w:rsidRPr="0037664B">
        <w:rPr>
          <w:sz w:val="21"/>
          <w:szCs w:val="21"/>
          <w:lang w:val="es-CO"/>
        </w:rPr>
        <w:t>2o. Unión Temporal:</w:t>
      </w:r>
    </w:p>
    <w:p w:rsidRPr="0037664B" w:rsidR="00D01C0B" w:rsidP="009104B9" w:rsidRDefault="00D01C0B" w14:paraId="469D8355" w14:textId="77777777">
      <w:pPr>
        <w:pStyle w:val="Textoindependiente"/>
        <w:spacing w:after="120"/>
        <w:ind w:left="709" w:right="709"/>
        <w:jc w:val="both"/>
        <w:rPr>
          <w:sz w:val="21"/>
          <w:szCs w:val="21"/>
          <w:lang w:val="es-CO"/>
        </w:rPr>
      </w:pPr>
      <w:r w:rsidRPr="0037664B">
        <w:rPr>
          <w:sz w:val="21"/>
          <w:szCs w:val="21"/>
          <w:lang w:val="es-CO"/>
        </w:rPr>
        <w:t>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p>
    <w:p w:rsidRPr="0037664B" w:rsidR="00D01C0B" w:rsidP="009104B9" w:rsidRDefault="00D01C0B" w14:paraId="359C9A3A" w14:textId="77777777">
      <w:pPr>
        <w:pStyle w:val="Textoindependiente"/>
        <w:spacing w:before="1" w:after="120"/>
        <w:ind w:left="709" w:right="709"/>
        <w:jc w:val="both"/>
        <w:rPr>
          <w:sz w:val="21"/>
          <w:szCs w:val="21"/>
          <w:lang w:val="es-CO"/>
        </w:rPr>
      </w:pPr>
      <w:r w:rsidRPr="0037664B">
        <w:rPr>
          <w:sz w:val="21"/>
          <w:szCs w:val="21"/>
          <w:lang w:val="es-CO"/>
        </w:rPr>
        <w:t>PARÁGRAFO 1o.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w:t>
      </w:r>
    </w:p>
    <w:p w:rsidR="00CC2990" w:rsidP="009104B9" w:rsidRDefault="00D01C0B" w14:paraId="35DCB57A" w14:textId="6AFC5EA0">
      <w:pPr>
        <w:pStyle w:val="Textoindependiente"/>
        <w:ind w:left="709" w:right="709"/>
        <w:jc w:val="both"/>
        <w:rPr>
          <w:sz w:val="21"/>
          <w:szCs w:val="21"/>
          <w:shd w:val="clear" w:color="auto" w:fill="FFFFFF"/>
          <w:lang w:val="es-CO"/>
        </w:rPr>
      </w:pPr>
      <w:r w:rsidRPr="0037664B">
        <w:rPr>
          <w:sz w:val="21"/>
          <w:szCs w:val="21"/>
          <w:lang w:val="es-CO"/>
        </w:rPr>
        <w:t>Los miembros del consorcio y de la unión temporal deberán designar la persona que, para todos los efectos, representará al consorcio o unión temporal y señalarán las reglas básicas que regulen las relaciones entre ellos y su</w:t>
      </w:r>
      <w:r w:rsidRPr="0037664B">
        <w:rPr>
          <w:spacing w:val="-2"/>
          <w:sz w:val="21"/>
          <w:szCs w:val="21"/>
          <w:lang w:val="es-CO"/>
        </w:rPr>
        <w:t xml:space="preserve"> </w:t>
      </w:r>
      <w:r w:rsidRPr="0037664B">
        <w:rPr>
          <w:sz w:val="21"/>
          <w:szCs w:val="21"/>
          <w:lang w:val="es-CO"/>
        </w:rPr>
        <w:t>responsabilidad</w:t>
      </w:r>
      <w:r w:rsidRPr="0037664B" w:rsidR="00D141BF">
        <w:rPr>
          <w:sz w:val="21"/>
          <w:szCs w:val="21"/>
          <w:shd w:val="clear" w:color="auto" w:fill="FFFFFF"/>
          <w:lang w:val="es-CO"/>
        </w:rPr>
        <w:t>.</w:t>
      </w:r>
    </w:p>
    <w:p w:rsidRPr="0037664B" w:rsidR="00D01C0B" w:rsidP="00D141BF" w:rsidRDefault="00D141BF" w14:paraId="5567E600" w14:textId="4E6C8FFD">
      <w:pPr>
        <w:pStyle w:val="Textoindependiente"/>
        <w:spacing w:line="276" w:lineRule="auto"/>
        <w:ind w:left="709" w:right="736"/>
        <w:jc w:val="both"/>
        <w:rPr>
          <w:sz w:val="21"/>
          <w:szCs w:val="21"/>
          <w:lang w:val="es-CO"/>
        </w:rPr>
      </w:pPr>
      <w:r w:rsidRPr="0037664B">
        <w:rPr>
          <w:sz w:val="21"/>
          <w:szCs w:val="21"/>
          <w:shd w:val="clear" w:color="auto" w:fill="FFFFFF"/>
          <w:lang w:val="es-CO"/>
        </w:rPr>
        <w:t xml:space="preserve"> </w:t>
      </w:r>
    </w:p>
    <w:p w:rsidRPr="0037664B" w:rsidR="00D01C0B" w:rsidP="00874EAD" w:rsidRDefault="00D01C0B" w14:paraId="5520AD1E" w14:textId="2448ADB0">
      <w:pPr>
        <w:pStyle w:val="Textoindependiente"/>
        <w:spacing w:line="276" w:lineRule="auto"/>
        <w:ind w:right="305" w:firstLine="709"/>
        <w:jc w:val="both"/>
        <w:rPr>
          <w:sz w:val="21"/>
          <w:szCs w:val="21"/>
          <w:lang w:val="es-CO"/>
        </w:rPr>
      </w:pPr>
      <w:r w:rsidRPr="0037664B">
        <w:rPr>
          <w:lang w:val="es-CO"/>
        </w:rPr>
        <w:t>Los consorcios</w:t>
      </w:r>
      <w:r w:rsidR="008A6B7B">
        <w:rPr>
          <w:lang w:val="es-CO"/>
        </w:rPr>
        <w:t xml:space="preserve"> </w:t>
      </w:r>
      <w:r w:rsidRPr="0037664B">
        <w:rPr>
          <w:lang w:val="es-CO"/>
        </w:rPr>
        <w:t xml:space="preserve">o uniones temporales son convenios de asociación provenientes de la colaboración empresarial, mediante los cuales sus integrantes se unen y </w:t>
      </w:r>
      <w:r w:rsidR="00CC2990">
        <w:rPr>
          <w:lang w:val="es-CO"/>
        </w:rPr>
        <w:t xml:space="preserve">se </w:t>
      </w:r>
      <w:r w:rsidRPr="0037664B">
        <w:rPr>
          <w:lang w:val="es-CO"/>
        </w:rPr>
        <w:t>organizan mancomunadamente para lograr con mayor eficacia un fin común de contenido patrimonial y lucrativo, como lo es la obtención del derecho a ser adjudicatarios de un contrato estatal, compartiendo recursos, de toda índole, para su ejecución, así como las utilidades y los riesgos</w:t>
      </w:r>
      <w:r w:rsidRPr="0037664B" w:rsidR="00CC2990">
        <w:rPr>
          <w:rStyle w:val="Refdenotaalpie"/>
          <w:lang w:val="es-CO"/>
        </w:rPr>
        <w:footnoteReference w:id="3"/>
      </w:r>
      <w:r w:rsidRPr="0037664B">
        <w:rPr>
          <w:lang w:val="es-CO"/>
        </w:rPr>
        <w:t xml:space="preserve">. La diferencia radica en la responsabilidad frente a las eventuales sanciones por el incumplimiento de las obligaciones, toda vez que tratándose de una unión temporal, </w:t>
      </w:r>
      <w:r w:rsidR="00575693">
        <w:rPr>
          <w:lang w:val="es-CO"/>
        </w:rPr>
        <w:t>e</w:t>
      </w:r>
      <w:r w:rsidRPr="0037664B">
        <w:rPr>
          <w:lang w:val="es-CO"/>
        </w:rPr>
        <w:t xml:space="preserve">stas se individualizan según </w:t>
      </w:r>
      <w:r w:rsidR="00BB5ECD">
        <w:rPr>
          <w:lang w:val="es-CO"/>
        </w:rPr>
        <w:t>la</w:t>
      </w:r>
      <w:r w:rsidRPr="0037664B">
        <w:rPr>
          <w:lang w:val="es-CO"/>
        </w:rPr>
        <w:t xml:space="preserve"> participación de sus miembros, mientras que en el consorcio </w:t>
      </w:r>
      <w:r w:rsidR="00E90B53">
        <w:rPr>
          <w:lang w:val="es-CO"/>
        </w:rPr>
        <w:t>los</w:t>
      </w:r>
      <w:r w:rsidRPr="0037664B">
        <w:rPr>
          <w:lang w:val="es-CO"/>
        </w:rPr>
        <w:t xml:space="preserve"> miembros responden </w:t>
      </w:r>
      <w:r w:rsidR="00E90B53">
        <w:rPr>
          <w:lang w:val="es-CO"/>
        </w:rPr>
        <w:t xml:space="preserve">solidariamente, </w:t>
      </w:r>
      <w:r w:rsidR="009A23FE">
        <w:rPr>
          <w:lang w:val="es-CO"/>
        </w:rPr>
        <w:t>con independencia de este aspecto</w:t>
      </w:r>
      <w:r w:rsidR="00312B97">
        <w:rPr>
          <w:rStyle w:val="Refdenotaalpie"/>
          <w:lang w:val="es-CO"/>
        </w:rPr>
        <w:footnoteReference w:id="4"/>
      </w:r>
      <w:r w:rsidRPr="0037664B">
        <w:rPr>
          <w:lang w:val="es-CO"/>
        </w:rPr>
        <w:t xml:space="preserve">. </w:t>
      </w:r>
    </w:p>
    <w:p w:rsidRPr="0037664B" w:rsidR="00D01C0B" w:rsidP="00D01C0B" w:rsidRDefault="00D01C0B" w14:paraId="619E327C" w14:textId="77777777">
      <w:pPr>
        <w:pStyle w:val="Textoindependiente"/>
        <w:spacing w:before="6"/>
        <w:rPr>
          <w:sz w:val="21"/>
          <w:szCs w:val="21"/>
          <w:lang w:val="es-CO"/>
        </w:rPr>
      </w:pPr>
    </w:p>
    <w:p w:rsidRPr="0037664B" w:rsidR="00D01C0B" w:rsidP="0094266C" w:rsidRDefault="009A23FE" w14:paraId="48440437" w14:textId="11CBD394">
      <w:pPr>
        <w:spacing w:after="120" w:line="276" w:lineRule="auto"/>
        <w:ind w:firstLine="709"/>
        <w:jc w:val="both"/>
        <w:rPr>
          <w:rFonts w:ascii="Arial" w:hAnsi="Arial" w:cs="Arial"/>
          <w:sz w:val="22"/>
          <w:szCs w:val="22"/>
        </w:rPr>
      </w:pPr>
      <w:r>
        <w:rPr>
          <w:rFonts w:ascii="Arial" w:hAnsi="Arial" w:cs="Arial"/>
          <w:sz w:val="22"/>
          <w:szCs w:val="22"/>
        </w:rPr>
        <w:t>En la medida que los conso</w:t>
      </w:r>
      <w:r w:rsidR="005F232E">
        <w:rPr>
          <w:rFonts w:ascii="Arial" w:hAnsi="Arial" w:cs="Arial"/>
          <w:sz w:val="22"/>
          <w:szCs w:val="22"/>
        </w:rPr>
        <w:t>r</w:t>
      </w:r>
      <w:r>
        <w:rPr>
          <w:rFonts w:ascii="Arial" w:hAnsi="Arial" w:cs="Arial"/>
          <w:sz w:val="22"/>
          <w:szCs w:val="22"/>
        </w:rPr>
        <w:t>cios y las uniones temporales no son personas jurídicas</w:t>
      </w:r>
      <w:r w:rsidRPr="0037664B" w:rsidR="00D01C0B">
        <w:rPr>
          <w:rFonts w:ascii="Arial" w:hAnsi="Arial" w:cs="Arial"/>
          <w:sz w:val="22"/>
          <w:szCs w:val="22"/>
        </w:rPr>
        <w:t xml:space="preserve">, su creación </w:t>
      </w:r>
      <w:r>
        <w:rPr>
          <w:rFonts w:ascii="Arial" w:hAnsi="Arial" w:cs="Arial"/>
          <w:sz w:val="22"/>
          <w:szCs w:val="22"/>
        </w:rPr>
        <w:t>depende de</w:t>
      </w:r>
      <w:r w:rsidRPr="0037664B" w:rsidR="00D01C0B">
        <w:rPr>
          <w:rFonts w:ascii="Arial" w:hAnsi="Arial" w:cs="Arial"/>
          <w:sz w:val="22"/>
          <w:szCs w:val="22"/>
        </w:rPr>
        <w:t xml:space="preserve"> un acuerdo privado en el que concurre la voluntad de sus integrantes para regular su objeto, la participación de los miembros, las obligaciones frente al proyecto, la responsabilidad de los miembros</w:t>
      </w:r>
      <w:r>
        <w:rPr>
          <w:rFonts w:ascii="Arial" w:hAnsi="Arial" w:cs="Arial"/>
          <w:sz w:val="22"/>
          <w:szCs w:val="22"/>
        </w:rPr>
        <w:t>,</w:t>
      </w:r>
      <w:r w:rsidRPr="0037664B" w:rsidR="00D01C0B">
        <w:rPr>
          <w:rFonts w:ascii="Arial" w:hAnsi="Arial" w:cs="Arial"/>
          <w:sz w:val="22"/>
          <w:szCs w:val="22"/>
        </w:rPr>
        <w:t xml:space="preserve"> la forma en que regirán sus relaciones internas y el relacionamiento con la entidad contratante, mediante la designación de un representante</w:t>
      </w:r>
      <w:r>
        <w:rPr>
          <w:rFonts w:ascii="Arial" w:hAnsi="Arial" w:cs="Arial"/>
          <w:sz w:val="22"/>
          <w:szCs w:val="22"/>
        </w:rPr>
        <w:t>, conforme</w:t>
      </w:r>
      <w:r w:rsidRPr="0037664B" w:rsidR="00D01C0B">
        <w:rPr>
          <w:rFonts w:ascii="Arial" w:hAnsi="Arial" w:cs="Arial"/>
          <w:sz w:val="22"/>
          <w:szCs w:val="22"/>
        </w:rPr>
        <w:t xml:space="preserve"> el parágrafo </w:t>
      </w:r>
      <w:r w:rsidR="00831FF1">
        <w:rPr>
          <w:rFonts w:ascii="Arial" w:hAnsi="Arial" w:cs="Arial"/>
          <w:sz w:val="22"/>
          <w:szCs w:val="22"/>
        </w:rPr>
        <w:t xml:space="preserve">1 </w:t>
      </w:r>
      <w:r w:rsidRPr="0037664B" w:rsidR="00D01C0B">
        <w:rPr>
          <w:rFonts w:ascii="Arial" w:hAnsi="Arial" w:cs="Arial"/>
          <w:sz w:val="22"/>
          <w:szCs w:val="22"/>
        </w:rPr>
        <w:t xml:space="preserve">del artículo 7 de la Ley 80 de 1993. Por lo anterior, </w:t>
      </w:r>
      <w:r w:rsidR="00831FF1">
        <w:rPr>
          <w:rFonts w:ascii="Arial" w:hAnsi="Arial" w:cs="Arial"/>
          <w:sz w:val="22"/>
          <w:szCs w:val="22"/>
        </w:rPr>
        <w:t>la</w:t>
      </w:r>
      <w:r w:rsidRPr="0037664B" w:rsidR="00D01C0B">
        <w:rPr>
          <w:rFonts w:ascii="Arial" w:hAnsi="Arial" w:cs="Arial"/>
          <w:sz w:val="22"/>
          <w:szCs w:val="22"/>
        </w:rPr>
        <w:t xml:space="preserve"> constitución del consorcio o unión temporal </w:t>
      </w:r>
      <w:r w:rsidR="00831FF1">
        <w:rPr>
          <w:rFonts w:ascii="Arial" w:hAnsi="Arial" w:cs="Arial"/>
          <w:sz w:val="22"/>
          <w:szCs w:val="22"/>
        </w:rPr>
        <w:t>supone</w:t>
      </w:r>
      <w:r w:rsidRPr="0037664B" w:rsidR="00D01C0B">
        <w:rPr>
          <w:rFonts w:ascii="Arial" w:hAnsi="Arial" w:cs="Arial"/>
          <w:sz w:val="22"/>
          <w:szCs w:val="22"/>
        </w:rPr>
        <w:t xml:space="preserve"> </w:t>
      </w:r>
      <w:r w:rsidR="00831FF1">
        <w:rPr>
          <w:rFonts w:ascii="Arial" w:hAnsi="Arial" w:cs="Arial"/>
          <w:sz w:val="22"/>
          <w:szCs w:val="22"/>
        </w:rPr>
        <w:t>la asignación de</w:t>
      </w:r>
      <w:r w:rsidRPr="0037664B" w:rsidR="00D01C0B">
        <w:rPr>
          <w:rFonts w:ascii="Arial" w:hAnsi="Arial" w:cs="Arial"/>
          <w:sz w:val="22"/>
          <w:szCs w:val="22"/>
        </w:rPr>
        <w:t xml:space="preserve"> facultades </w:t>
      </w:r>
      <w:r w:rsidR="00831FF1">
        <w:rPr>
          <w:rFonts w:ascii="Arial" w:hAnsi="Arial" w:cs="Arial"/>
          <w:sz w:val="22"/>
          <w:szCs w:val="22"/>
        </w:rPr>
        <w:t>a</w:t>
      </w:r>
      <w:r w:rsidRPr="0037664B" w:rsidR="00D01C0B">
        <w:rPr>
          <w:rFonts w:ascii="Arial" w:hAnsi="Arial" w:cs="Arial"/>
          <w:sz w:val="22"/>
          <w:szCs w:val="22"/>
        </w:rPr>
        <w:t xml:space="preserve">l </w:t>
      </w:r>
      <w:r w:rsidRPr="0037664B" w:rsidR="0094266C">
        <w:rPr>
          <w:rFonts w:ascii="Arial" w:hAnsi="Arial" w:cs="Arial"/>
          <w:sz w:val="22"/>
          <w:szCs w:val="22"/>
          <w:shd w:val="clear" w:color="auto" w:fill="FFFFFF"/>
        </w:rPr>
        <w:t>«</w:t>
      </w:r>
      <w:r w:rsidRPr="0037664B" w:rsidR="00D01C0B">
        <w:rPr>
          <w:rFonts w:ascii="Arial" w:hAnsi="Arial" w:cs="Arial"/>
          <w:sz w:val="22"/>
          <w:szCs w:val="22"/>
        </w:rPr>
        <w:t>representante</w:t>
      </w:r>
      <w:r w:rsidRPr="0037664B" w:rsidR="0094266C">
        <w:rPr>
          <w:rFonts w:ascii="Arial" w:hAnsi="Arial" w:cs="Arial"/>
          <w:sz w:val="22"/>
          <w:szCs w:val="22"/>
          <w:shd w:val="clear" w:color="auto" w:fill="FFFFFF"/>
        </w:rPr>
        <w:t>»</w:t>
      </w:r>
      <w:r w:rsidRPr="0037664B" w:rsidR="00D01C0B">
        <w:rPr>
          <w:rFonts w:ascii="Arial" w:hAnsi="Arial" w:cs="Arial"/>
          <w:sz w:val="22"/>
          <w:szCs w:val="22"/>
        </w:rPr>
        <w:t xml:space="preserve"> del </w:t>
      </w:r>
      <w:r w:rsidR="00831FF1">
        <w:rPr>
          <w:rFonts w:ascii="Arial" w:hAnsi="Arial" w:cs="Arial"/>
          <w:sz w:val="22"/>
          <w:szCs w:val="22"/>
        </w:rPr>
        <w:t>proponente plural</w:t>
      </w:r>
      <w:r w:rsidR="00EB0CAD">
        <w:rPr>
          <w:rFonts w:ascii="Arial" w:hAnsi="Arial" w:cs="Arial"/>
          <w:sz w:val="22"/>
          <w:szCs w:val="22"/>
        </w:rPr>
        <w:t>, pues –para efectos d</w:t>
      </w:r>
      <w:r w:rsidRPr="0037664B" w:rsidR="00D01C0B">
        <w:rPr>
          <w:rFonts w:ascii="Arial" w:hAnsi="Arial" w:cs="Arial"/>
          <w:sz w:val="22"/>
          <w:szCs w:val="22"/>
        </w:rPr>
        <w:t>el artículo 1505 del Código Civil</w:t>
      </w:r>
      <w:proofErr w:type="gramStart"/>
      <w:r w:rsidR="00EB0CAD">
        <w:rPr>
          <w:rFonts w:ascii="Arial" w:hAnsi="Arial" w:cs="Arial"/>
          <w:sz w:val="22"/>
          <w:szCs w:val="22"/>
        </w:rPr>
        <w:t>–</w:t>
      </w:r>
      <w:r w:rsidRPr="0037664B" w:rsidR="00D01C0B">
        <w:rPr>
          <w:rFonts w:ascii="Arial" w:hAnsi="Arial" w:cs="Arial"/>
          <w:sz w:val="22"/>
          <w:szCs w:val="22"/>
        </w:rPr>
        <w:t xml:space="preserve">  </w:t>
      </w:r>
      <w:r w:rsidRPr="0037664B" w:rsidR="0094266C">
        <w:rPr>
          <w:rFonts w:ascii="Arial" w:hAnsi="Arial" w:cs="Arial"/>
          <w:sz w:val="22"/>
          <w:szCs w:val="22"/>
          <w:shd w:val="clear" w:color="auto" w:fill="FFFFFF"/>
        </w:rPr>
        <w:t>«</w:t>
      </w:r>
      <w:proofErr w:type="gramEnd"/>
      <w:r w:rsidRPr="0037664B" w:rsidR="00D01C0B">
        <w:rPr>
          <w:rFonts w:ascii="Arial" w:hAnsi="Arial" w:cs="Arial"/>
          <w:sz w:val="22"/>
          <w:szCs w:val="22"/>
        </w:rPr>
        <w:t>Lo que una persona ejecuta a nombre de otra, estando facultada por ella o por la ley para representarla, produce respecto del representado iguales efectos que si hubiese contratado él</w:t>
      </w:r>
      <w:r w:rsidRPr="0037664B" w:rsidR="00D01C0B">
        <w:rPr>
          <w:rFonts w:ascii="Arial" w:hAnsi="Arial" w:cs="Arial"/>
          <w:spacing w:val="-3"/>
          <w:sz w:val="22"/>
          <w:szCs w:val="22"/>
        </w:rPr>
        <w:t xml:space="preserve"> </w:t>
      </w:r>
      <w:r w:rsidRPr="0037664B" w:rsidR="00D01C0B">
        <w:rPr>
          <w:rFonts w:ascii="Arial" w:hAnsi="Arial" w:cs="Arial"/>
          <w:sz w:val="22"/>
          <w:szCs w:val="22"/>
        </w:rPr>
        <w:t>mismo</w:t>
      </w:r>
      <w:r w:rsidRPr="0037664B" w:rsidR="0094266C">
        <w:rPr>
          <w:rFonts w:ascii="Arial" w:hAnsi="Arial" w:cs="Arial"/>
          <w:sz w:val="22"/>
          <w:szCs w:val="22"/>
        </w:rPr>
        <w:t>»</w:t>
      </w:r>
      <w:r w:rsidR="00077E5B">
        <w:rPr>
          <w:rFonts w:ascii="Arial" w:hAnsi="Arial" w:cs="Arial"/>
          <w:sz w:val="22"/>
          <w:szCs w:val="22"/>
        </w:rPr>
        <w:t>.</w:t>
      </w:r>
    </w:p>
    <w:p w:rsidRPr="0037664B" w:rsidR="0094266C" w:rsidP="00312B97" w:rsidRDefault="00D01C0B" w14:paraId="78B7DFEB" w14:textId="15668A07">
      <w:pPr>
        <w:spacing w:after="120" w:line="276" w:lineRule="auto"/>
        <w:ind w:firstLine="709"/>
        <w:jc w:val="both"/>
        <w:rPr>
          <w:rFonts w:ascii="Arial" w:hAnsi="Arial" w:cs="Arial"/>
          <w:sz w:val="21"/>
          <w:szCs w:val="21"/>
        </w:rPr>
      </w:pPr>
      <w:r w:rsidRPr="0037664B">
        <w:rPr>
          <w:rFonts w:ascii="Arial" w:hAnsi="Arial" w:cs="Arial"/>
          <w:sz w:val="22"/>
          <w:szCs w:val="22"/>
        </w:rPr>
        <w:t>E</w:t>
      </w:r>
      <w:r w:rsidR="00EB0CAD">
        <w:rPr>
          <w:rFonts w:ascii="Arial" w:hAnsi="Arial" w:cs="Arial"/>
          <w:sz w:val="22"/>
          <w:szCs w:val="22"/>
        </w:rPr>
        <w:t>n el derecho privado, e</w:t>
      </w:r>
      <w:r w:rsidRPr="0037664B">
        <w:rPr>
          <w:rFonts w:ascii="Arial" w:hAnsi="Arial" w:cs="Arial"/>
          <w:sz w:val="22"/>
          <w:szCs w:val="22"/>
        </w:rPr>
        <w:t>l acuerdo de voluntades que constituye el consorcio o unión temporal se reconoce doctrinalmente como contrato consorcial, que se reconoce como un contrato principal, oneroso, conmutativo, bilateral o plurilateral</w:t>
      </w:r>
      <w:r w:rsidRPr="0037664B">
        <w:rPr>
          <w:rStyle w:val="Refdenotaalpie"/>
          <w:rFonts w:ascii="Arial" w:hAnsi="Arial" w:cs="Arial"/>
          <w:sz w:val="22"/>
          <w:szCs w:val="22"/>
        </w:rPr>
        <w:footnoteReference w:id="5"/>
      </w:r>
      <w:r w:rsidRPr="0037664B">
        <w:rPr>
          <w:rFonts w:ascii="Arial" w:hAnsi="Arial" w:cs="Arial"/>
          <w:sz w:val="22"/>
          <w:szCs w:val="22"/>
        </w:rPr>
        <w:t xml:space="preserve">. El ente debidamente constituido, entonces, será un sujeto contractual con capacidad para contratar, para ejecutar las obligaciones y recibir los derechos que </w:t>
      </w:r>
      <w:r w:rsidR="00F63121">
        <w:rPr>
          <w:rFonts w:ascii="Arial" w:hAnsi="Arial" w:cs="Arial"/>
          <w:sz w:val="22"/>
          <w:szCs w:val="22"/>
        </w:rPr>
        <w:t>derivan</w:t>
      </w:r>
      <w:r w:rsidRPr="0037664B" w:rsidR="00F63121">
        <w:rPr>
          <w:rFonts w:ascii="Arial" w:hAnsi="Arial" w:cs="Arial"/>
          <w:sz w:val="22"/>
          <w:szCs w:val="22"/>
        </w:rPr>
        <w:t xml:space="preserve"> </w:t>
      </w:r>
      <w:r w:rsidRPr="0037664B">
        <w:rPr>
          <w:rFonts w:ascii="Arial" w:hAnsi="Arial" w:cs="Arial"/>
          <w:sz w:val="22"/>
          <w:szCs w:val="22"/>
        </w:rPr>
        <w:t xml:space="preserve">del contrato y para interrelacionarse con la entidad estatal contratante en todo lo relacionado con el objeto del </w:t>
      </w:r>
      <w:r w:rsidRPr="0037664B">
        <w:rPr>
          <w:rFonts w:ascii="Arial" w:hAnsi="Arial" w:cs="Arial"/>
          <w:sz w:val="22"/>
          <w:szCs w:val="22"/>
        </w:rPr>
        <w:lastRenderedPageBreak/>
        <w:t xml:space="preserve">contrato y su desarrollo. Inclusive, los consorcios y uniones temporales, </w:t>
      </w:r>
      <w:r w:rsidR="00EB0CAD">
        <w:rPr>
          <w:rFonts w:ascii="Arial" w:hAnsi="Arial" w:cs="Arial"/>
          <w:sz w:val="22"/>
          <w:szCs w:val="22"/>
        </w:rPr>
        <w:t>a través</w:t>
      </w:r>
      <w:r w:rsidRPr="0037664B">
        <w:rPr>
          <w:rFonts w:ascii="Arial" w:hAnsi="Arial" w:cs="Arial"/>
          <w:sz w:val="22"/>
          <w:szCs w:val="22"/>
        </w:rPr>
        <w:t xml:space="preserve"> de su representante, tienen capacidad y están legitimados para comparecer al proceso, en orden a hacer valer sus derechos o a responder por el incumplimiento de sus</w:t>
      </w:r>
      <w:r w:rsidRPr="0037664B">
        <w:rPr>
          <w:rFonts w:ascii="Arial" w:hAnsi="Arial" w:cs="Arial"/>
          <w:spacing w:val="-5"/>
          <w:sz w:val="22"/>
          <w:szCs w:val="22"/>
        </w:rPr>
        <w:t xml:space="preserve"> </w:t>
      </w:r>
      <w:r w:rsidRPr="0037664B">
        <w:rPr>
          <w:rFonts w:ascii="Arial" w:hAnsi="Arial" w:cs="Arial"/>
          <w:sz w:val="22"/>
          <w:szCs w:val="22"/>
        </w:rPr>
        <w:t>obligaciones</w:t>
      </w:r>
      <w:r w:rsidR="00312B97">
        <w:rPr>
          <w:rStyle w:val="Refdenotaalpie"/>
          <w:rFonts w:ascii="Arial" w:hAnsi="Arial" w:cs="Arial"/>
          <w:sz w:val="22"/>
          <w:szCs w:val="22"/>
        </w:rPr>
        <w:footnoteReference w:id="6"/>
      </w:r>
      <w:r w:rsidRPr="0037664B">
        <w:rPr>
          <w:rFonts w:ascii="Arial" w:hAnsi="Arial" w:cs="Arial"/>
          <w:sz w:val="22"/>
          <w:szCs w:val="22"/>
        </w:rPr>
        <w:t>.</w:t>
      </w:r>
      <w:r w:rsidR="0005144D">
        <w:rPr>
          <w:rFonts w:ascii="Arial" w:hAnsi="Arial" w:cs="Arial"/>
          <w:sz w:val="22"/>
          <w:szCs w:val="22"/>
        </w:rPr>
        <w:t xml:space="preserve"> </w:t>
      </w:r>
    </w:p>
    <w:p w:rsidRPr="0037664B" w:rsidR="00D01C0B" w:rsidP="0094266C" w:rsidRDefault="00D01C0B" w14:paraId="45BB3052" w14:textId="6CBC18C0">
      <w:pPr>
        <w:pStyle w:val="Textoindependiente"/>
        <w:spacing w:line="276" w:lineRule="auto"/>
        <w:ind w:firstLine="709"/>
        <w:jc w:val="both"/>
        <w:rPr>
          <w:lang w:val="es-CO"/>
        </w:rPr>
      </w:pPr>
      <w:r w:rsidRPr="0037664B">
        <w:rPr>
          <w:lang w:val="es-CO"/>
        </w:rPr>
        <w:t xml:space="preserve">En conclusión, los consorcios y uniones temporales no son personas jurídicas, pero son entes creados por el acuerdo de voluntades de sus miembros que están facultados, en virtud de la ley y del contrato consorcial, para celebrar y ejecutar contratos con entidades estatales y para ser parte en procesos administrativos y judiciales derivados de </w:t>
      </w:r>
      <w:r w:rsidR="0087282B">
        <w:rPr>
          <w:lang w:val="es-CO"/>
        </w:rPr>
        <w:t>su</w:t>
      </w:r>
      <w:r w:rsidRPr="0037664B">
        <w:rPr>
          <w:lang w:val="es-CO"/>
        </w:rPr>
        <w:t xml:space="preserve"> celebración y ejecución.</w:t>
      </w:r>
    </w:p>
    <w:p w:rsidRPr="0037664B" w:rsidR="00A1118B" w:rsidP="00A1118B" w:rsidRDefault="00A1118B" w14:paraId="04AA4D60" w14:textId="77777777">
      <w:pPr>
        <w:pStyle w:val="Prrafodelista"/>
        <w:spacing w:line="276" w:lineRule="auto"/>
        <w:ind w:left="0"/>
        <w:jc w:val="both"/>
        <w:rPr>
          <w:rFonts w:ascii="Arial" w:hAnsi="Arial" w:eastAsia="Calibri" w:cs="Arial"/>
          <w:b/>
          <w:bCs/>
          <w:sz w:val="22"/>
          <w:lang w:val="es-CO"/>
        </w:rPr>
      </w:pPr>
    </w:p>
    <w:p w:rsidRPr="0037664B" w:rsidR="00A1118B" w:rsidP="00A1118B" w:rsidRDefault="00A1118B" w14:paraId="146718B8" w14:textId="3CA28BEB">
      <w:pPr>
        <w:pStyle w:val="Prrafodelista"/>
        <w:ind w:left="0"/>
        <w:jc w:val="both"/>
        <w:rPr>
          <w:rFonts w:ascii="Arial" w:hAnsi="Arial" w:eastAsia="Calibri" w:cs="Arial"/>
          <w:b/>
          <w:bCs/>
          <w:sz w:val="22"/>
          <w:lang w:val="es-CO"/>
        </w:rPr>
      </w:pPr>
      <w:r w:rsidRPr="0037664B">
        <w:rPr>
          <w:rFonts w:ascii="Arial" w:hAnsi="Arial" w:eastAsia="Calibri" w:cs="Arial"/>
          <w:b/>
          <w:bCs/>
          <w:sz w:val="22"/>
          <w:lang w:val="es-CO"/>
        </w:rPr>
        <w:t>2.</w:t>
      </w:r>
      <w:r w:rsidR="0005144D">
        <w:rPr>
          <w:rFonts w:ascii="Arial" w:hAnsi="Arial" w:eastAsia="Calibri" w:cs="Arial"/>
          <w:b/>
          <w:bCs/>
          <w:sz w:val="22"/>
          <w:lang w:val="es-CO"/>
        </w:rPr>
        <w:t>2</w:t>
      </w:r>
      <w:r w:rsidRPr="0037664B">
        <w:rPr>
          <w:rFonts w:ascii="Arial" w:hAnsi="Arial" w:eastAsia="Calibri" w:cs="Arial"/>
          <w:b/>
          <w:bCs/>
          <w:sz w:val="22"/>
          <w:lang w:val="es-CO"/>
        </w:rPr>
        <w:t xml:space="preserve">. Obligatoriedad del </w:t>
      </w:r>
      <w:r w:rsidRPr="0037664B" w:rsidR="00BF16E8">
        <w:rPr>
          <w:rFonts w:ascii="Arial" w:hAnsi="Arial" w:eastAsia="Calibri" w:cs="Arial"/>
          <w:b/>
          <w:bCs/>
          <w:sz w:val="22"/>
          <w:lang w:val="es-CO"/>
        </w:rPr>
        <w:t xml:space="preserve">registro único de proponentes </w:t>
      </w:r>
      <w:r w:rsidR="008F0CB4">
        <w:rPr>
          <w:rFonts w:ascii="Arial" w:hAnsi="Arial" w:eastAsia="Calibri" w:cs="Arial"/>
          <w:b/>
          <w:bCs/>
          <w:sz w:val="22"/>
          <w:lang w:val="es-CO"/>
        </w:rPr>
        <w:t>–</w:t>
      </w:r>
      <w:r w:rsidRPr="0037664B">
        <w:rPr>
          <w:rFonts w:ascii="Arial" w:hAnsi="Arial" w:eastAsia="Calibri" w:cs="Arial"/>
          <w:b/>
          <w:bCs/>
          <w:sz w:val="22"/>
          <w:lang w:val="es-CO"/>
        </w:rPr>
        <w:t>RUP</w:t>
      </w:r>
      <w:r w:rsidR="008F0CB4">
        <w:rPr>
          <w:rFonts w:ascii="Arial" w:hAnsi="Arial" w:eastAsia="Calibri" w:cs="Arial"/>
          <w:b/>
          <w:bCs/>
          <w:sz w:val="22"/>
          <w:lang w:val="es-CO"/>
        </w:rPr>
        <w:t>–</w:t>
      </w:r>
      <w:r w:rsidRPr="0037664B">
        <w:rPr>
          <w:rFonts w:ascii="Arial" w:hAnsi="Arial" w:eastAsia="Calibri" w:cs="Arial"/>
          <w:b/>
          <w:bCs/>
          <w:sz w:val="22"/>
          <w:lang w:val="es-CO"/>
        </w:rPr>
        <w:t xml:space="preserve"> para las personas naturales o jurídicas que aspiren a celebrar contratos </w:t>
      </w:r>
    </w:p>
    <w:p w:rsidRPr="0037664B" w:rsidR="00A1118B" w:rsidP="00A1118B" w:rsidRDefault="00A1118B" w14:paraId="522C1133" w14:textId="77777777">
      <w:pPr>
        <w:pStyle w:val="Prrafodelista"/>
        <w:spacing w:line="276" w:lineRule="auto"/>
        <w:ind w:left="0"/>
        <w:jc w:val="both"/>
        <w:rPr>
          <w:rFonts w:ascii="Arial" w:hAnsi="Arial" w:eastAsia="Calibri" w:cs="Arial"/>
          <w:b/>
          <w:bCs/>
          <w:sz w:val="22"/>
          <w:lang w:val="es-CO"/>
        </w:rPr>
      </w:pPr>
    </w:p>
    <w:p w:rsidRPr="0037664B" w:rsidR="00A1118B" w:rsidP="00A1118B" w:rsidRDefault="00A1118B" w14:paraId="7F9CC0DE" w14:textId="6ADA090B">
      <w:pPr>
        <w:spacing w:after="120" w:line="276" w:lineRule="auto"/>
        <w:jc w:val="both"/>
        <w:rPr>
          <w:rFonts w:ascii="Arial" w:hAnsi="Arial" w:cs="Arial"/>
          <w:sz w:val="21"/>
          <w:szCs w:val="21"/>
        </w:rPr>
      </w:pPr>
      <w:r w:rsidRPr="0037664B">
        <w:rPr>
          <w:rFonts w:ascii="Arial" w:hAnsi="Arial" w:cs="Arial"/>
          <w:sz w:val="22"/>
        </w:rPr>
        <w:t xml:space="preserve">El </w:t>
      </w:r>
      <w:r w:rsidRPr="0037664B" w:rsidR="00BF16E8">
        <w:rPr>
          <w:rFonts w:ascii="Arial" w:hAnsi="Arial" w:cs="Arial"/>
          <w:sz w:val="22"/>
        </w:rPr>
        <w:t xml:space="preserve">registro único de proponentes </w:t>
      </w:r>
      <w:r w:rsidRPr="0037664B">
        <w:rPr>
          <w:rFonts w:ascii="Arial" w:hAnsi="Arial" w:cs="Arial"/>
          <w:sz w:val="22"/>
        </w:rPr>
        <w:t xml:space="preserve">es el documento donde consta la información relacionada con las personas naturales y jurídicas, que tiene por objeto consolidar la información relacionada con la capacidad jurídica, técnica, financiera y organizacional de los posibles proponentes, con el fin que participen en los procedimientos de selección realizados por las entidades estatales, facilitando la revisión de los datos contenidos en el registro. </w:t>
      </w:r>
    </w:p>
    <w:p w:rsidRPr="0037664B" w:rsidR="00A1118B" w:rsidP="00A1118B" w:rsidRDefault="00A1118B" w14:paraId="3BA001B4" w14:textId="77777777">
      <w:pPr>
        <w:spacing w:after="120" w:line="276" w:lineRule="auto"/>
        <w:ind w:firstLine="708"/>
        <w:jc w:val="both"/>
        <w:rPr>
          <w:rFonts w:ascii="Arial" w:hAnsi="Arial" w:cs="Arial"/>
          <w:sz w:val="22"/>
        </w:rPr>
      </w:pPr>
      <w:r w:rsidRPr="0037664B">
        <w:rPr>
          <w:rFonts w:ascii="Arial" w:hAnsi="Arial" w:cs="Arial"/>
          <w:sz w:val="22"/>
        </w:rPr>
        <w:t>La Ley 1150 de 2007 –numeral 6.1 del artículo 6–, al determinar las características aplicables al RUP, cualifica la información plasmada en él, al establecer que constituye plena prueba de lo que contiene</w:t>
      </w:r>
      <w:r w:rsidRPr="0037664B">
        <w:rPr>
          <w:rStyle w:val="Refdenotaalpie"/>
          <w:rFonts w:ascii="Arial" w:hAnsi="Arial" w:cs="Arial"/>
          <w:sz w:val="22"/>
        </w:rPr>
        <w:footnoteReference w:id="7"/>
      </w:r>
      <w:r w:rsidRPr="0037664B">
        <w:rPr>
          <w:rFonts w:ascii="Arial" w:hAnsi="Arial" w:cs="Arial"/>
          <w:sz w:val="22"/>
        </w:rPr>
        <w:t xml:space="preserve">. A su vez, el numeral 1 del artículo 5 de la misma ley, al establecer los criterios que deben tenerse en cuenta por las entidades estatales para garantizar la selección objetiva, determina que las Cámaras de Comercio realizarán la </w:t>
      </w:r>
      <w:r w:rsidRPr="0037664B">
        <w:rPr>
          <w:rFonts w:ascii="Arial" w:hAnsi="Arial" w:cs="Arial"/>
          <w:sz w:val="22"/>
        </w:rPr>
        <w:lastRenderedPageBreak/>
        <w:t>verificación de la información suministrada por las personas naturales o jurídicas para su inscripción en el Registro Único de Proponentes, ya que esta será tenida en cuenta por las entidades en los procedimientos de selección en los que es exigible el RUP</w:t>
      </w:r>
      <w:r w:rsidRPr="0037664B">
        <w:rPr>
          <w:rStyle w:val="Refdenotaalpie"/>
          <w:rFonts w:ascii="Arial" w:hAnsi="Arial" w:cs="Arial"/>
          <w:sz w:val="22"/>
        </w:rPr>
        <w:footnoteReference w:id="8"/>
      </w:r>
      <w:r w:rsidRPr="0037664B">
        <w:rPr>
          <w:rFonts w:ascii="Arial" w:hAnsi="Arial" w:cs="Arial"/>
          <w:sz w:val="22"/>
        </w:rPr>
        <w:t>.</w:t>
      </w:r>
    </w:p>
    <w:p w:rsidRPr="0037664B" w:rsidR="00A1118B" w:rsidP="00A1118B" w:rsidRDefault="00A1118B" w14:paraId="046E3661" w14:textId="77777777">
      <w:pPr>
        <w:spacing w:after="120" w:line="276" w:lineRule="auto"/>
        <w:ind w:firstLine="708"/>
        <w:jc w:val="both"/>
        <w:rPr>
          <w:rFonts w:ascii="Arial" w:hAnsi="Arial" w:cs="Arial"/>
          <w:sz w:val="22"/>
        </w:rPr>
      </w:pPr>
      <w:r w:rsidRPr="0037664B">
        <w:rPr>
          <w:rFonts w:ascii="Arial" w:hAnsi="Arial" w:cs="Arial"/>
          <w:sz w:val="22"/>
        </w:rPr>
        <w:t xml:space="preserve">En este sentido, la capacidad jurídica, las condiciones de experiencia, la capacidad financiera y de organización de los proponentes deberán verificarse exclusivamente con el Registro Único de Proponentes, pues, de acuerdo con lo expuesto, este instrumento es plena prueba de la información que contiene. </w:t>
      </w:r>
    </w:p>
    <w:p w:rsidRPr="0037664B" w:rsidR="00A1118B" w:rsidP="00A1118B" w:rsidRDefault="00A1118B" w14:paraId="1328CE81" w14:textId="77777777">
      <w:pPr>
        <w:spacing w:after="120" w:line="276" w:lineRule="auto"/>
        <w:ind w:firstLine="708"/>
        <w:jc w:val="both"/>
        <w:rPr>
          <w:rFonts w:ascii="Arial" w:hAnsi="Arial" w:cs="Arial"/>
          <w:sz w:val="22"/>
        </w:rPr>
      </w:pPr>
      <w:r w:rsidRPr="0037664B">
        <w:rPr>
          <w:rFonts w:ascii="Arial" w:hAnsi="Arial" w:cs="Arial"/>
          <w:sz w:val="22"/>
        </w:rPr>
        <w:t>No obstante lo anterior, el RUP no es exigible en algunos procedimientos de selección,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en estos casos las entidades estatales deben verificar directamente el cumplimiento de los requisitos habilitantes</w:t>
      </w:r>
      <w:r w:rsidRPr="0037664B">
        <w:rPr>
          <w:rStyle w:val="Refdenotaalpie"/>
          <w:rFonts w:ascii="Arial" w:hAnsi="Arial" w:cs="Arial"/>
          <w:sz w:val="22"/>
        </w:rPr>
        <w:footnoteReference w:id="9"/>
      </w:r>
      <w:r w:rsidRPr="0037664B">
        <w:rPr>
          <w:rFonts w:ascii="Arial" w:hAnsi="Arial" w:cs="Arial"/>
          <w:sz w:val="22"/>
        </w:rPr>
        <w:t>.</w:t>
      </w:r>
    </w:p>
    <w:p w:rsidRPr="0037664B" w:rsidR="00A1118B" w:rsidP="00A1118B" w:rsidRDefault="00A1118B" w14:paraId="1F86E53C" w14:textId="77777777">
      <w:pPr>
        <w:spacing w:after="120" w:line="276" w:lineRule="auto"/>
        <w:ind w:firstLine="708"/>
        <w:jc w:val="both"/>
        <w:rPr>
          <w:rFonts w:ascii="Arial" w:hAnsi="Arial" w:cs="Arial"/>
          <w:sz w:val="22"/>
        </w:rPr>
      </w:pPr>
      <w:r w:rsidRPr="0037664B">
        <w:rPr>
          <w:rFonts w:ascii="Arial" w:hAnsi="Arial" w:cs="Arial"/>
          <w:sz w:val="22"/>
        </w:rPr>
        <w:t>Lo anterior fue reafirmado por el Consejo de Estado, quien enlistó las excepciones en las cuales no es necesario estar inscrito en el RUP para participar en procedimientos de selección adelantados por las entidades estatales, incluyendo el supuesto en que se puede verificar información adicional a la contenida en él</w:t>
      </w:r>
      <w:r w:rsidRPr="0037664B">
        <w:rPr>
          <w:rStyle w:val="Refdenotaalpie"/>
          <w:rFonts w:ascii="Arial" w:hAnsi="Arial" w:cs="Arial"/>
          <w:sz w:val="22"/>
        </w:rPr>
        <w:footnoteReference w:id="10"/>
      </w:r>
      <w:r w:rsidRPr="0037664B">
        <w:rPr>
          <w:rFonts w:ascii="Arial" w:hAnsi="Arial" w:cs="Arial"/>
          <w:sz w:val="22"/>
        </w:rPr>
        <w:t>:</w:t>
      </w:r>
    </w:p>
    <w:p w:rsidRPr="0037664B" w:rsidR="00A1118B" w:rsidP="00A1118B" w:rsidRDefault="00A1118B" w14:paraId="1514F562" w14:textId="77777777">
      <w:pPr>
        <w:spacing w:after="120" w:line="276" w:lineRule="auto"/>
        <w:ind w:firstLine="708"/>
        <w:jc w:val="both"/>
        <w:rPr>
          <w:rFonts w:ascii="Arial" w:hAnsi="Arial" w:cs="Arial"/>
          <w:sz w:val="22"/>
        </w:rPr>
      </w:pPr>
      <w:r w:rsidRPr="0037664B">
        <w:rPr>
          <w:rFonts w:ascii="Arial" w:hAnsi="Arial" w:cs="Arial"/>
          <w:sz w:val="22"/>
        </w:rPr>
        <w:t>i) No se requiere el RUP respecto de los proponentes que pretenden celebrar los contratos enunciados en el inciso segundo del artículo 6 de la Ley 1150 de 2007, así como en los eventos de contratación directa.</w:t>
      </w:r>
    </w:p>
    <w:p w:rsidRPr="0037664B" w:rsidR="00A1118B" w:rsidP="00A1118B" w:rsidRDefault="00A1118B" w14:paraId="6016681F" w14:textId="77777777">
      <w:pPr>
        <w:spacing w:after="120" w:line="276" w:lineRule="auto"/>
        <w:ind w:firstLine="708"/>
        <w:jc w:val="both"/>
        <w:rPr>
          <w:rFonts w:ascii="Arial" w:hAnsi="Arial" w:cs="Arial"/>
          <w:sz w:val="22"/>
        </w:rPr>
      </w:pPr>
      <w:proofErr w:type="spellStart"/>
      <w:r w:rsidRPr="0037664B">
        <w:rPr>
          <w:rFonts w:ascii="Arial" w:hAnsi="Arial" w:cs="Arial"/>
          <w:sz w:val="22"/>
        </w:rPr>
        <w:lastRenderedPageBreak/>
        <w:t>ii</w:t>
      </w:r>
      <w:proofErr w:type="spellEnd"/>
      <w:r w:rsidRPr="0037664B">
        <w:rPr>
          <w:rFonts w:ascii="Arial" w:hAnsi="Arial" w:cs="Arial"/>
          <w:sz w:val="22"/>
        </w:rPr>
        <w:t>) Tratándose de personas naturales extranjeras sin domicilio en el país o de personas jurídicas extranjeras que no tengan sucursal en Colombia, o en aquellos casos en que el procedimiento de selección haya utilizado sistemas de precalificación.</w:t>
      </w:r>
    </w:p>
    <w:p w:rsidRPr="0037664B" w:rsidR="00A1118B" w:rsidP="00A1118B" w:rsidRDefault="00A1118B" w14:paraId="56A55DF4" w14:textId="77777777">
      <w:pPr>
        <w:spacing w:after="120" w:line="276" w:lineRule="auto"/>
        <w:ind w:firstLine="708"/>
        <w:jc w:val="both"/>
        <w:rPr>
          <w:rFonts w:ascii="Arial" w:hAnsi="Arial" w:cs="Arial"/>
          <w:sz w:val="22"/>
        </w:rPr>
      </w:pPr>
      <w:proofErr w:type="spellStart"/>
      <w:r w:rsidRPr="0037664B">
        <w:rPr>
          <w:rFonts w:ascii="Arial" w:hAnsi="Arial" w:cs="Arial"/>
          <w:sz w:val="22"/>
        </w:rPr>
        <w:t>iii</w:t>
      </w:r>
      <w:proofErr w:type="spellEnd"/>
      <w:r w:rsidRPr="0037664B">
        <w:rPr>
          <w:rFonts w:ascii="Arial" w:hAnsi="Arial" w:cs="Arial"/>
          <w:sz w:val="22"/>
        </w:rPr>
        <w:t>) Cuando por las características del objeto a contratar se requiera verificar requisitos del proponente adicionales a los contenidos en el RUP, caso donde puede exigirse el registro; solo que habrá información adicional que podrá verificar la entidad directamente.</w:t>
      </w:r>
    </w:p>
    <w:p w:rsidRPr="0037664B" w:rsidR="00A1118B" w:rsidP="00A1118B" w:rsidRDefault="00A1118B" w14:paraId="21123AAD" w14:textId="25834C6E">
      <w:pPr>
        <w:spacing w:after="120" w:line="276" w:lineRule="auto"/>
        <w:ind w:firstLine="708"/>
        <w:jc w:val="both"/>
        <w:rPr>
          <w:rFonts w:ascii="Arial" w:hAnsi="Arial" w:cs="Arial"/>
          <w:sz w:val="22"/>
        </w:rPr>
      </w:pPr>
      <w:r w:rsidRPr="0037664B">
        <w:rPr>
          <w:rFonts w:ascii="Arial" w:hAnsi="Arial" w:cs="Arial"/>
          <w:sz w:val="22"/>
        </w:rPr>
        <w:t>Por su parte, el artículo 2.2.1.1.1.1.5.2. del Decreto 1082 de 2015 relaciona los documentos que debe aportar tanto la persona natural como jurídica para inscribirse en  el RUP, entre ellos: los certificados de experiencia; la identificación de los bienes y servicios que ofrecerá a las entidades estatales, identificados con el Clasificador de Bienes y Servicios en el tercer nivel; si la persona debe llevar contabilidad, copia de la información contable del último año exigida por las normas tributarias; entre otros, que se detallan en el artículo citado.</w:t>
      </w:r>
    </w:p>
    <w:p w:rsidRPr="0037664B" w:rsidR="00A14C29" w:rsidP="00E041CF" w:rsidRDefault="00812C73" w14:paraId="3ACEAA51" w14:textId="1A6C7557">
      <w:pPr>
        <w:spacing w:after="120" w:line="276" w:lineRule="auto"/>
        <w:ind w:firstLine="708"/>
        <w:jc w:val="both"/>
        <w:rPr>
          <w:rFonts w:ascii="Arial" w:hAnsi="Arial" w:cs="Arial"/>
          <w:sz w:val="19"/>
          <w:szCs w:val="19"/>
        </w:rPr>
      </w:pPr>
      <w:r w:rsidRPr="0037664B">
        <w:rPr>
          <w:rFonts w:ascii="Arial" w:hAnsi="Arial" w:cs="Arial"/>
          <w:sz w:val="22"/>
        </w:rPr>
        <w:t xml:space="preserve">Ahora bien, </w:t>
      </w:r>
      <w:r w:rsidRPr="0037664B" w:rsidR="00E041CF">
        <w:rPr>
          <w:rFonts w:ascii="Arial" w:hAnsi="Arial" w:cs="Arial"/>
          <w:sz w:val="22"/>
        </w:rPr>
        <w:t>en materia de contratación estatal</w:t>
      </w:r>
      <w:r w:rsidRPr="0037664B">
        <w:rPr>
          <w:rFonts w:ascii="Arial" w:hAnsi="Arial" w:cs="Arial"/>
          <w:sz w:val="22"/>
        </w:rPr>
        <w:t>, la normatividad vigente aplicable no se ha referido</w:t>
      </w:r>
      <w:r w:rsidRPr="0037664B" w:rsidR="00E041CF">
        <w:rPr>
          <w:rFonts w:ascii="Arial" w:hAnsi="Arial" w:cs="Arial"/>
          <w:sz w:val="22"/>
        </w:rPr>
        <w:t xml:space="preserve"> a la obligación de</w:t>
      </w:r>
      <w:r w:rsidR="00D262D4">
        <w:rPr>
          <w:rFonts w:ascii="Arial" w:hAnsi="Arial" w:cs="Arial"/>
          <w:sz w:val="22"/>
        </w:rPr>
        <w:t xml:space="preserve"> todos</w:t>
      </w:r>
      <w:r w:rsidRPr="0037664B" w:rsidR="00E041CF">
        <w:rPr>
          <w:rFonts w:ascii="Arial" w:hAnsi="Arial" w:cs="Arial"/>
          <w:sz w:val="22"/>
        </w:rPr>
        <w:t xml:space="preserve"> los integrantes de un </w:t>
      </w:r>
      <w:r w:rsidRPr="0037664B" w:rsidR="00BD13CE">
        <w:rPr>
          <w:rFonts w:ascii="Arial" w:hAnsi="Arial" w:cs="Arial"/>
          <w:sz w:val="22"/>
        </w:rPr>
        <w:t>consorcio o unión tempora</w:t>
      </w:r>
      <w:r w:rsidRPr="0037664B" w:rsidR="00E041CF">
        <w:rPr>
          <w:rFonts w:ascii="Arial" w:hAnsi="Arial" w:cs="Arial"/>
          <w:sz w:val="22"/>
        </w:rPr>
        <w:t>l de encontrarse inscritos</w:t>
      </w:r>
      <w:r w:rsidR="00D262D4">
        <w:rPr>
          <w:rFonts w:ascii="Arial" w:hAnsi="Arial" w:cs="Arial"/>
          <w:sz w:val="22"/>
        </w:rPr>
        <w:t xml:space="preserve"> </w:t>
      </w:r>
      <w:r w:rsidRPr="0037664B" w:rsidR="00E041CF">
        <w:rPr>
          <w:rFonts w:ascii="Arial" w:hAnsi="Arial" w:cs="Arial"/>
          <w:sz w:val="22"/>
        </w:rPr>
        <w:t xml:space="preserve">en el RUP. </w:t>
      </w:r>
      <w:r w:rsidRPr="0037664B" w:rsidR="00E041CF">
        <w:rPr>
          <w:rFonts w:ascii="Arial" w:hAnsi="Arial" w:cs="Arial"/>
          <w:sz w:val="22"/>
          <w:szCs w:val="22"/>
        </w:rPr>
        <w:t xml:space="preserve">Sin embargo, </w:t>
      </w:r>
      <w:r w:rsidR="00D262D4">
        <w:rPr>
          <w:rFonts w:ascii="Arial" w:hAnsi="Arial" w:cs="Arial"/>
          <w:sz w:val="22"/>
          <w:szCs w:val="22"/>
        </w:rPr>
        <w:t>el derogado</w:t>
      </w:r>
      <w:r w:rsidRPr="0037664B" w:rsidR="00E041CF">
        <w:rPr>
          <w:rFonts w:ascii="Arial" w:hAnsi="Arial" w:cs="Arial"/>
          <w:sz w:val="22"/>
          <w:szCs w:val="22"/>
        </w:rPr>
        <w:t xml:space="preserve"> Decreto 856 de 1994, en </w:t>
      </w:r>
      <w:r w:rsidR="00BD13CE">
        <w:rPr>
          <w:rFonts w:ascii="Arial" w:hAnsi="Arial" w:cs="Arial"/>
          <w:sz w:val="22"/>
          <w:szCs w:val="22"/>
        </w:rPr>
        <w:t>el</w:t>
      </w:r>
      <w:r w:rsidRPr="0037664B" w:rsidR="00E041CF">
        <w:rPr>
          <w:rFonts w:ascii="Arial" w:hAnsi="Arial" w:cs="Arial"/>
          <w:sz w:val="22"/>
          <w:szCs w:val="22"/>
        </w:rPr>
        <w:t xml:space="preserve"> artículo 4</w:t>
      </w:r>
      <w:r w:rsidR="002D4CA6">
        <w:rPr>
          <w:rFonts w:ascii="Arial" w:hAnsi="Arial" w:cs="Arial"/>
          <w:sz w:val="22"/>
          <w:szCs w:val="22"/>
        </w:rPr>
        <w:t>,</w:t>
      </w:r>
      <w:r w:rsidRPr="0037664B" w:rsidR="00E041CF">
        <w:rPr>
          <w:rFonts w:ascii="Arial" w:hAnsi="Arial" w:cs="Arial"/>
          <w:sz w:val="22"/>
          <w:szCs w:val="22"/>
        </w:rPr>
        <w:t xml:space="preserve"> </w:t>
      </w:r>
      <w:r w:rsidR="002D4CA6">
        <w:rPr>
          <w:rFonts w:ascii="Arial" w:hAnsi="Arial" w:cs="Arial"/>
          <w:sz w:val="22"/>
          <w:szCs w:val="22"/>
        </w:rPr>
        <w:t>disponía</w:t>
      </w:r>
      <w:r w:rsidRPr="0037664B" w:rsidR="00E041CF">
        <w:rPr>
          <w:rFonts w:ascii="Arial" w:hAnsi="Arial" w:cs="Arial"/>
          <w:sz w:val="22"/>
          <w:szCs w:val="22"/>
        </w:rPr>
        <w:t xml:space="preserve"> que «</w:t>
      </w:r>
      <w:r w:rsidR="002D4CA6">
        <w:rPr>
          <w:rFonts w:ascii="Arial" w:hAnsi="Arial" w:cs="Arial"/>
          <w:sz w:val="22"/>
          <w:szCs w:val="22"/>
        </w:rPr>
        <w:t>C</w:t>
      </w:r>
      <w:r w:rsidRPr="0037664B" w:rsidR="00E041CF">
        <w:rPr>
          <w:rFonts w:ascii="Arial" w:hAnsi="Arial" w:cs="Arial"/>
          <w:sz w:val="22"/>
          <w:szCs w:val="22"/>
        </w:rPr>
        <w:t>uando los contratos puedan celebrarse con consorcios o uniones temporales, cada uno de los miembros o participes de ellos deberán estar inscritos, clasificados y calificados en el registro de proponentes»</w:t>
      </w:r>
      <w:r w:rsidR="002D4CA6">
        <w:rPr>
          <w:rFonts w:ascii="Arial" w:hAnsi="Arial" w:cs="Arial"/>
          <w:sz w:val="22"/>
          <w:szCs w:val="22"/>
        </w:rPr>
        <w:t>. Esta prescripción es</w:t>
      </w:r>
      <w:r w:rsidRPr="0037664B" w:rsidR="00153D61">
        <w:rPr>
          <w:rFonts w:ascii="Arial" w:hAnsi="Arial" w:cs="Arial"/>
          <w:sz w:val="22"/>
          <w:szCs w:val="22"/>
        </w:rPr>
        <w:t xml:space="preserve"> </w:t>
      </w:r>
      <w:r w:rsidRPr="0037664B" w:rsidR="00BF16E8">
        <w:rPr>
          <w:rFonts w:ascii="Arial" w:hAnsi="Arial" w:cs="Arial"/>
          <w:sz w:val="22"/>
          <w:szCs w:val="22"/>
        </w:rPr>
        <w:t>lógica,</w:t>
      </w:r>
      <w:r w:rsidRPr="0037664B" w:rsidR="00B2212D">
        <w:rPr>
          <w:rFonts w:ascii="Arial" w:hAnsi="Arial" w:cs="Arial"/>
          <w:sz w:val="22"/>
          <w:szCs w:val="22"/>
        </w:rPr>
        <w:t xml:space="preserve"> </w:t>
      </w:r>
      <w:r w:rsidR="00BF16E8">
        <w:rPr>
          <w:rFonts w:ascii="Arial" w:hAnsi="Arial" w:cs="Arial"/>
          <w:sz w:val="22"/>
          <w:szCs w:val="22"/>
        </w:rPr>
        <w:t>en el sentido</w:t>
      </w:r>
      <w:r w:rsidR="00857715">
        <w:rPr>
          <w:rFonts w:ascii="Arial" w:hAnsi="Arial" w:cs="Arial"/>
          <w:sz w:val="22"/>
          <w:szCs w:val="22"/>
        </w:rPr>
        <w:t xml:space="preserve"> de</w:t>
      </w:r>
      <w:r w:rsidR="00BF16E8">
        <w:rPr>
          <w:rFonts w:ascii="Arial" w:hAnsi="Arial" w:cs="Arial"/>
          <w:sz w:val="22"/>
          <w:szCs w:val="22"/>
        </w:rPr>
        <w:t xml:space="preserve"> que</w:t>
      </w:r>
      <w:r w:rsidRPr="0037664B" w:rsidR="00BF16E8">
        <w:rPr>
          <w:rFonts w:ascii="Arial" w:hAnsi="Arial" w:cs="Arial"/>
          <w:sz w:val="22"/>
          <w:szCs w:val="22"/>
        </w:rPr>
        <w:t xml:space="preserve"> </w:t>
      </w:r>
      <w:r w:rsidRPr="0037664B" w:rsidR="00B2212D">
        <w:rPr>
          <w:rFonts w:ascii="Arial" w:hAnsi="Arial" w:cs="Arial"/>
          <w:sz w:val="22"/>
          <w:szCs w:val="22"/>
        </w:rPr>
        <w:t xml:space="preserve">la conformación de un consorcio o unión temporal se hace a través de personas naturales o jurídicas, las cuales </w:t>
      </w:r>
      <w:r w:rsidR="004E0E8D">
        <w:rPr>
          <w:rFonts w:ascii="Arial" w:hAnsi="Arial" w:cs="Arial"/>
          <w:sz w:val="22"/>
          <w:szCs w:val="22"/>
        </w:rPr>
        <w:t>deben</w:t>
      </w:r>
      <w:r w:rsidRPr="0037664B" w:rsidR="00B2212D">
        <w:rPr>
          <w:rFonts w:ascii="Arial" w:hAnsi="Arial" w:cs="Arial"/>
          <w:sz w:val="22"/>
          <w:szCs w:val="22"/>
        </w:rPr>
        <w:t xml:space="preserve"> inscri</w:t>
      </w:r>
      <w:r w:rsidR="004E0E8D">
        <w:rPr>
          <w:rFonts w:ascii="Arial" w:hAnsi="Arial" w:cs="Arial"/>
          <w:sz w:val="22"/>
          <w:szCs w:val="22"/>
        </w:rPr>
        <w:t>birse</w:t>
      </w:r>
      <w:r w:rsidRPr="0037664B" w:rsidR="00B2212D">
        <w:rPr>
          <w:rFonts w:ascii="Arial" w:hAnsi="Arial" w:cs="Arial"/>
          <w:sz w:val="22"/>
          <w:szCs w:val="22"/>
        </w:rPr>
        <w:t xml:space="preserve"> en el RUP, salvo las excepciones contempladas en la ley.</w:t>
      </w:r>
      <w:r w:rsidRPr="0037664B" w:rsidR="00B2212D">
        <w:rPr>
          <w:rFonts w:ascii="Arial" w:hAnsi="Arial" w:cs="Arial"/>
          <w:sz w:val="19"/>
          <w:szCs w:val="19"/>
        </w:rPr>
        <w:t xml:space="preserve"> </w:t>
      </w:r>
    </w:p>
    <w:p w:rsidRPr="0037664B" w:rsidR="00B2212D" w:rsidP="00B2212D" w:rsidRDefault="00B2212D" w14:paraId="5E174F6C" w14:textId="61FC34CB">
      <w:pPr>
        <w:spacing w:after="120" w:line="276" w:lineRule="auto"/>
        <w:ind w:firstLine="708"/>
        <w:jc w:val="both"/>
        <w:rPr>
          <w:rFonts w:ascii="Arial" w:hAnsi="Arial" w:cs="Arial"/>
          <w:sz w:val="22"/>
        </w:rPr>
      </w:pPr>
      <w:r w:rsidRPr="0037664B">
        <w:rPr>
          <w:rFonts w:ascii="Arial" w:hAnsi="Arial" w:cs="Arial"/>
          <w:sz w:val="22"/>
        </w:rPr>
        <w:t>Esta Subdirección</w:t>
      </w:r>
      <w:r w:rsidR="00824DE9">
        <w:rPr>
          <w:rFonts w:ascii="Arial" w:hAnsi="Arial" w:cs="Arial"/>
          <w:sz w:val="22"/>
        </w:rPr>
        <w:t>,</w:t>
      </w:r>
      <w:r w:rsidRPr="0037664B">
        <w:rPr>
          <w:rFonts w:ascii="Arial" w:hAnsi="Arial" w:cs="Arial"/>
          <w:sz w:val="22"/>
        </w:rPr>
        <w:t xml:space="preserve"> mediante </w:t>
      </w:r>
      <w:r w:rsidR="002D4CA6">
        <w:rPr>
          <w:rFonts w:ascii="Arial" w:hAnsi="Arial" w:cs="Arial"/>
          <w:sz w:val="22"/>
        </w:rPr>
        <w:t>el C</w:t>
      </w:r>
      <w:r w:rsidRPr="0037664B">
        <w:rPr>
          <w:rFonts w:ascii="Arial" w:hAnsi="Arial" w:cs="Arial"/>
          <w:sz w:val="22"/>
        </w:rPr>
        <w:t>oncepto C-098 de 2020 del 16 de marzo de 2020, en respuesta al radicado 4202013000000826</w:t>
      </w:r>
      <w:r w:rsidR="002D4CA6">
        <w:rPr>
          <w:rFonts w:ascii="Arial" w:hAnsi="Arial" w:cs="Arial"/>
          <w:sz w:val="22"/>
        </w:rPr>
        <w:t>,</w:t>
      </w:r>
      <w:r w:rsidRPr="0037664B">
        <w:rPr>
          <w:rFonts w:ascii="Arial" w:hAnsi="Arial" w:cs="Arial"/>
          <w:sz w:val="22"/>
        </w:rPr>
        <w:t xml:space="preserve"> </w:t>
      </w:r>
      <w:r w:rsidR="00BF16E8">
        <w:rPr>
          <w:rFonts w:ascii="Arial" w:hAnsi="Arial" w:cs="Arial"/>
          <w:sz w:val="22"/>
        </w:rPr>
        <w:t>explicó</w:t>
      </w:r>
      <w:r w:rsidRPr="0037664B" w:rsidR="00815863">
        <w:rPr>
          <w:rFonts w:ascii="Arial" w:hAnsi="Arial" w:cs="Arial"/>
          <w:sz w:val="22"/>
        </w:rPr>
        <w:t xml:space="preserve"> la inscripción en el RUP por parte de</w:t>
      </w:r>
      <w:r w:rsidR="00C24646">
        <w:rPr>
          <w:rFonts w:ascii="Arial" w:hAnsi="Arial" w:cs="Arial"/>
          <w:sz w:val="22"/>
        </w:rPr>
        <w:t xml:space="preserve"> todos</w:t>
      </w:r>
      <w:r w:rsidRPr="0037664B" w:rsidR="00815863">
        <w:rPr>
          <w:rFonts w:ascii="Arial" w:hAnsi="Arial" w:cs="Arial"/>
          <w:sz w:val="22"/>
        </w:rPr>
        <w:t xml:space="preserve"> los integrantes de los </w:t>
      </w:r>
      <w:r w:rsidRPr="0037664B" w:rsidR="00857715">
        <w:rPr>
          <w:rFonts w:ascii="Arial" w:hAnsi="Arial" w:cs="Arial"/>
          <w:sz w:val="22"/>
        </w:rPr>
        <w:t>consorcios y uniones temporales</w:t>
      </w:r>
      <w:r w:rsidRPr="0037664B" w:rsidR="00815863">
        <w:rPr>
          <w:rFonts w:ascii="Arial" w:hAnsi="Arial" w:cs="Arial"/>
          <w:sz w:val="22"/>
        </w:rPr>
        <w:t xml:space="preserve">, teniendo en cuenta </w:t>
      </w:r>
      <w:r w:rsidRPr="0037664B">
        <w:rPr>
          <w:rFonts w:ascii="Arial" w:hAnsi="Arial" w:cs="Arial"/>
          <w:sz w:val="22"/>
        </w:rPr>
        <w:t xml:space="preserve">que las personas naturales o jurídicas </w:t>
      </w:r>
      <w:r w:rsidR="00C24646">
        <w:rPr>
          <w:rFonts w:ascii="Arial" w:hAnsi="Arial" w:cs="Arial"/>
          <w:sz w:val="22"/>
        </w:rPr>
        <w:t>–</w:t>
      </w:r>
      <w:r w:rsidRPr="0037664B">
        <w:rPr>
          <w:rFonts w:ascii="Arial" w:hAnsi="Arial" w:cs="Arial"/>
          <w:sz w:val="22"/>
        </w:rPr>
        <w:t>sin consideración a que se unan para constituir proponentes plurales interesadas en celebrar contratos estatales</w:t>
      </w:r>
      <w:r w:rsidR="00C24646">
        <w:rPr>
          <w:rFonts w:ascii="Arial" w:hAnsi="Arial" w:cs="Arial"/>
          <w:sz w:val="22"/>
        </w:rPr>
        <w:t>–</w:t>
      </w:r>
      <w:r w:rsidRPr="0037664B">
        <w:rPr>
          <w:rFonts w:ascii="Arial" w:hAnsi="Arial" w:cs="Arial"/>
          <w:sz w:val="22"/>
        </w:rPr>
        <w:t xml:space="preserve"> deberán estar inscritas en el</w:t>
      </w:r>
      <w:r w:rsidR="00BF16E8">
        <w:rPr>
          <w:rFonts w:ascii="Arial" w:hAnsi="Arial" w:cs="Arial"/>
          <w:sz w:val="22"/>
        </w:rPr>
        <w:t xml:space="preserve"> registro</w:t>
      </w:r>
      <w:r w:rsidRPr="0037664B">
        <w:rPr>
          <w:rFonts w:ascii="Arial" w:hAnsi="Arial" w:cs="Arial"/>
          <w:sz w:val="22"/>
        </w:rPr>
        <w:t xml:space="preserve">.  De otro lado,  la regla general que consagra la obligación de inscribirse en el RUP </w:t>
      </w:r>
      <w:r w:rsidR="00BF16E8">
        <w:rPr>
          <w:rFonts w:ascii="Arial" w:hAnsi="Arial" w:cs="Arial"/>
          <w:sz w:val="22"/>
        </w:rPr>
        <w:t>aplica</w:t>
      </w:r>
      <w:r w:rsidRPr="0037664B">
        <w:rPr>
          <w:rFonts w:ascii="Arial" w:hAnsi="Arial" w:cs="Arial"/>
          <w:sz w:val="22"/>
        </w:rPr>
        <w:t xml:space="preserve"> a toda persona natural o jurídica que participe como  proponente en un proceso de contratación, salvo en los siguientes eventos: procesos de contratación directa</w:t>
      </w:r>
      <w:r w:rsidR="00C24646">
        <w:rPr>
          <w:rFonts w:ascii="Arial" w:hAnsi="Arial" w:cs="Arial"/>
          <w:sz w:val="22"/>
        </w:rPr>
        <w:t>,</w:t>
      </w:r>
      <w:r w:rsidRPr="0037664B">
        <w:rPr>
          <w:rFonts w:ascii="Arial" w:hAnsi="Arial" w:cs="Arial"/>
          <w:sz w:val="22"/>
        </w:rPr>
        <w:t xml:space="preserve"> contratos para la prestación de servicios de salud</w:t>
      </w:r>
      <w:r w:rsidR="00C24646">
        <w:rPr>
          <w:rFonts w:ascii="Arial" w:hAnsi="Arial" w:cs="Arial"/>
          <w:sz w:val="22"/>
        </w:rPr>
        <w:t>,</w:t>
      </w:r>
      <w:r w:rsidRPr="0037664B">
        <w:rPr>
          <w:rFonts w:ascii="Arial" w:hAnsi="Arial" w:cs="Arial"/>
          <w:sz w:val="22"/>
        </w:rPr>
        <w:t xml:space="preserve"> contratos de mínima cuantía; enajenación de bienes del Estado</w:t>
      </w:r>
      <w:r w:rsidR="00C24646">
        <w:rPr>
          <w:rFonts w:ascii="Arial" w:hAnsi="Arial" w:cs="Arial"/>
          <w:sz w:val="22"/>
        </w:rPr>
        <w:t>,</w:t>
      </w:r>
      <w:r w:rsidRPr="0037664B">
        <w:rPr>
          <w:rFonts w:ascii="Arial" w:hAnsi="Arial" w:cs="Arial"/>
          <w:sz w:val="22"/>
        </w:rPr>
        <w:t xml:space="preserve"> contratos que tengan por objeto la adquisición de productos de origen o destinación agropecuaria que se ofrezcan en bolsas de productos legalmente constituidas</w:t>
      </w:r>
      <w:r w:rsidR="00C24646">
        <w:rPr>
          <w:rFonts w:ascii="Arial" w:hAnsi="Arial" w:cs="Arial"/>
          <w:sz w:val="22"/>
        </w:rPr>
        <w:t>,</w:t>
      </w:r>
      <w:r w:rsidRPr="0037664B">
        <w:rPr>
          <w:rFonts w:ascii="Arial" w:hAnsi="Arial" w:cs="Arial"/>
          <w:sz w:val="22"/>
        </w:rPr>
        <w:t xml:space="preserve"> los actos y contratos que tengan por objeto directo las actividades comerciales e industriales propias de las empresas industriales y comerciales del Estado y las sociedades de economía mixta y los contratos de concesión de cualquier índole. </w:t>
      </w:r>
    </w:p>
    <w:p w:rsidRPr="0037664B" w:rsidR="00A1118B" w:rsidP="00815863" w:rsidRDefault="00A1118B" w14:paraId="202FDEED" w14:textId="77777777">
      <w:pPr>
        <w:spacing w:line="276" w:lineRule="auto"/>
        <w:jc w:val="both"/>
        <w:rPr>
          <w:rFonts w:ascii="Arial" w:hAnsi="Arial" w:cs="Arial"/>
          <w:sz w:val="22"/>
        </w:rPr>
      </w:pPr>
    </w:p>
    <w:p w:rsidRPr="0037664B" w:rsidR="00A1118B" w:rsidP="00815863" w:rsidRDefault="00A1118B" w14:paraId="6742A8E9" w14:textId="4DCE15E3">
      <w:pPr>
        <w:pStyle w:val="Prrafodelista"/>
        <w:tabs>
          <w:tab w:val="left" w:pos="284"/>
        </w:tabs>
        <w:spacing w:line="276" w:lineRule="auto"/>
        <w:ind w:left="0"/>
        <w:jc w:val="both"/>
        <w:rPr>
          <w:rFonts w:ascii="Arial" w:hAnsi="Arial" w:eastAsia="Calibri" w:cs="Arial"/>
          <w:b/>
          <w:sz w:val="22"/>
          <w:lang w:val="es-CO"/>
        </w:rPr>
      </w:pPr>
      <w:r w:rsidRPr="0037664B">
        <w:rPr>
          <w:rFonts w:ascii="Arial" w:hAnsi="Arial" w:eastAsia="Calibri" w:cs="Arial"/>
          <w:b/>
          <w:sz w:val="22"/>
          <w:lang w:val="es-CO"/>
        </w:rPr>
        <w:lastRenderedPageBreak/>
        <w:t>3. Respuesta</w:t>
      </w:r>
    </w:p>
    <w:p w:rsidRPr="0037664B" w:rsidR="00815863" w:rsidP="00815863" w:rsidRDefault="00815863" w14:paraId="762A8512" w14:textId="77777777">
      <w:pPr>
        <w:pStyle w:val="Prrafodelista"/>
        <w:tabs>
          <w:tab w:val="left" w:pos="284"/>
        </w:tabs>
        <w:spacing w:line="276" w:lineRule="auto"/>
        <w:ind w:left="0"/>
        <w:jc w:val="both"/>
        <w:rPr>
          <w:rFonts w:ascii="Arial" w:hAnsi="Arial" w:eastAsia="Calibri" w:cs="Arial"/>
          <w:sz w:val="22"/>
          <w:lang w:val="es-CO"/>
        </w:rPr>
      </w:pPr>
    </w:p>
    <w:p w:rsidRPr="009104B9" w:rsidR="00F56D55" w:rsidP="009104B9" w:rsidRDefault="00117754" w14:paraId="1B4C68F9" w14:textId="055D70BF">
      <w:pPr>
        <w:spacing w:line="276" w:lineRule="auto"/>
        <w:ind w:left="851" w:right="709"/>
        <w:jc w:val="both"/>
        <w:rPr>
          <w:rFonts w:ascii="Arial" w:hAnsi="Arial" w:cs="Arial"/>
          <w:sz w:val="21"/>
          <w:szCs w:val="21"/>
        </w:rPr>
      </w:pPr>
      <w:r w:rsidRPr="009104B9">
        <w:rPr>
          <w:rFonts w:ascii="Arial" w:hAnsi="Arial" w:eastAsia="Calibri" w:cs="Arial"/>
          <w:sz w:val="21"/>
          <w:szCs w:val="21"/>
        </w:rPr>
        <w:t xml:space="preserve">¿En caso de que el proponente en un proceso de contratación sea un </w:t>
      </w:r>
      <w:r w:rsidRPr="004B2816" w:rsidR="00824DE9">
        <w:rPr>
          <w:rFonts w:ascii="Arial" w:hAnsi="Arial" w:eastAsia="Calibri" w:cs="Arial"/>
          <w:sz w:val="21"/>
          <w:szCs w:val="21"/>
        </w:rPr>
        <w:t>consorcio o unión temporal</w:t>
      </w:r>
      <w:r w:rsidRPr="009104B9">
        <w:rPr>
          <w:rFonts w:ascii="Arial" w:hAnsi="Arial" w:eastAsia="Calibri" w:cs="Arial"/>
          <w:sz w:val="21"/>
          <w:szCs w:val="21"/>
        </w:rPr>
        <w:t>, todos los integrantes deben tener el RUP en firme?</w:t>
      </w:r>
      <w:r w:rsidRPr="009104B9" w:rsidR="009B2637">
        <w:rPr>
          <w:rFonts w:ascii="Arial" w:hAnsi="Arial" w:cs="Arial"/>
          <w:sz w:val="21"/>
          <w:szCs w:val="21"/>
        </w:rPr>
        <w:t xml:space="preserve"> </w:t>
      </w:r>
    </w:p>
    <w:p w:rsidR="004B2816" w:rsidP="009104B9" w:rsidRDefault="004B2816" w14:paraId="59902042" w14:textId="77777777">
      <w:pPr>
        <w:spacing w:line="276" w:lineRule="auto"/>
        <w:jc w:val="both"/>
        <w:rPr>
          <w:rFonts w:ascii="Arial" w:hAnsi="Arial" w:eastAsia="Calibri" w:cs="Arial"/>
          <w:sz w:val="22"/>
        </w:rPr>
      </w:pPr>
    </w:p>
    <w:p w:rsidR="00E937E3" w:rsidRDefault="00117754" w14:paraId="179C08B1" w14:textId="72E98F81">
      <w:pPr>
        <w:spacing w:line="276" w:lineRule="auto"/>
        <w:jc w:val="both"/>
        <w:rPr>
          <w:rFonts w:ascii="Arial" w:hAnsi="Arial" w:eastAsia="Calibri" w:cs="Arial"/>
          <w:sz w:val="22"/>
        </w:rPr>
      </w:pPr>
      <w:r w:rsidRPr="0037664B">
        <w:rPr>
          <w:rFonts w:ascii="Arial" w:hAnsi="Arial" w:eastAsia="Calibri" w:cs="Arial"/>
          <w:sz w:val="22"/>
        </w:rPr>
        <w:t>S</w:t>
      </w:r>
      <w:r w:rsidRPr="0037664B" w:rsidR="00812C73">
        <w:rPr>
          <w:rFonts w:ascii="Arial" w:hAnsi="Arial" w:eastAsia="Calibri" w:cs="Arial"/>
          <w:sz w:val="22"/>
        </w:rPr>
        <w:t>í</w:t>
      </w:r>
      <w:r w:rsidRPr="0037664B">
        <w:rPr>
          <w:rFonts w:ascii="Arial" w:hAnsi="Arial" w:eastAsia="Calibri" w:cs="Arial"/>
          <w:sz w:val="22"/>
        </w:rPr>
        <w:t xml:space="preserve">, cada uno de los integrantes del </w:t>
      </w:r>
      <w:r w:rsidRPr="0037664B" w:rsidR="007C4AA3">
        <w:rPr>
          <w:rFonts w:ascii="Arial" w:hAnsi="Arial" w:eastAsia="Calibri" w:cs="Arial"/>
          <w:sz w:val="22"/>
        </w:rPr>
        <w:t xml:space="preserve">consorcio o unión temporal </w:t>
      </w:r>
      <w:r w:rsidRPr="0037664B">
        <w:rPr>
          <w:rFonts w:ascii="Arial" w:hAnsi="Arial" w:eastAsia="Calibri" w:cs="Arial"/>
          <w:sz w:val="22"/>
        </w:rPr>
        <w:t>que se presenten a un proceso de contratación deberán contar con el RUP en firme</w:t>
      </w:r>
      <w:r w:rsidRPr="0037664B" w:rsidR="0030156A">
        <w:rPr>
          <w:rFonts w:ascii="Arial" w:hAnsi="Arial" w:eastAsia="Calibri" w:cs="Arial"/>
          <w:sz w:val="22"/>
        </w:rPr>
        <w:t>.</w:t>
      </w:r>
      <w:r w:rsidR="00E937E3">
        <w:rPr>
          <w:rFonts w:ascii="Arial" w:hAnsi="Arial" w:eastAsia="Calibri" w:cs="Arial"/>
          <w:sz w:val="22"/>
        </w:rPr>
        <w:t xml:space="preserve"> Lo anterior, en la medida que </w:t>
      </w:r>
      <w:r w:rsidRPr="0037664B" w:rsidR="00E937E3">
        <w:rPr>
          <w:rFonts w:ascii="Arial" w:hAnsi="Arial" w:cs="Arial"/>
          <w:sz w:val="22"/>
        </w:rPr>
        <w:t xml:space="preserve">la regla general que consagra la obligación de inscribirse en el </w:t>
      </w:r>
      <w:r w:rsidR="00E937E3">
        <w:rPr>
          <w:rFonts w:ascii="Arial" w:hAnsi="Arial" w:cs="Arial"/>
          <w:sz w:val="22"/>
        </w:rPr>
        <w:t>registro</w:t>
      </w:r>
      <w:r w:rsidRPr="0037664B" w:rsidR="00E937E3">
        <w:rPr>
          <w:rFonts w:ascii="Arial" w:hAnsi="Arial" w:cs="Arial"/>
          <w:sz w:val="22"/>
        </w:rPr>
        <w:t xml:space="preserve"> </w:t>
      </w:r>
      <w:r w:rsidR="00E937E3">
        <w:rPr>
          <w:rFonts w:ascii="Arial" w:hAnsi="Arial" w:cs="Arial"/>
          <w:sz w:val="22"/>
        </w:rPr>
        <w:t>aplica</w:t>
      </w:r>
      <w:r w:rsidRPr="0037664B" w:rsidR="00E937E3">
        <w:rPr>
          <w:rFonts w:ascii="Arial" w:hAnsi="Arial" w:cs="Arial"/>
          <w:sz w:val="22"/>
        </w:rPr>
        <w:t xml:space="preserve"> a toda persona natural o jurídica que participe como  proponente en un proceso de contratación, salvo en los siguientes eventos: procesos de contratación directa</w:t>
      </w:r>
      <w:r w:rsidR="00E937E3">
        <w:rPr>
          <w:rFonts w:ascii="Arial" w:hAnsi="Arial" w:cs="Arial"/>
          <w:sz w:val="22"/>
        </w:rPr>
        <w:t>,</w:t>
      </w:r>
      <w:r w:rsidRPr="0037664B" w:rsidR="00E937E3">
        <w:rPr>
          <w:rFonts w:ascii="Arial" w:hAnsi="Arial" w:cs="Arial"/>
          <w:sz w:val="22"/>
        </w:rPr>
        <w:t xml:space="preserve"> contratos para la prestación de servicios de salud</w:t>
      </w:r>
      <w:r w:rsidR="00E937E3">
        <w:rPr>
          <w:rFonts w:ascii="Arial" w:hAnsi="Arial" w:cs="Arial"/>
          <w:sz w:val="22"/>
        </w:rPr>
        <w:t>,</w:t>
      </w:r>
      <w:r w:rsidRPr="0037664B" w:rsidR="00E937E3">
        <w:rPr>
          <w:rFonts w:ascii="Arial" w:hAnsi="Arial" w:cs="Arial"/>
          <w:sz w:val="22"/>
        </w:rPr>
        <w:t xml:space="preserve"> contratos de mínima cuantía; enajenación de bienes del Estado</w:t>
      </w:r>
      <w:r w:rsidR="00E937E3">
        <w:rPr>
          <w:rFonts w:ascii="Arial" w:hAnsi="Arial" w:cs="Arial"/>
          <w:sz w:val="22"/>
        </w:rPr>
        <w:t>,</w:t>
      </w:r>
      <w:r w:rsidRPr="0037664B" w:rsidR="00E937E3">
        <w:rPr>
          <w:rFonts w:ascii="Arial" w:hAnsi="Arial" w:cs="Arial"/>
          <w:sz w:val="22"/>
        </w:rPr>
        <w:t xml:space="preserve"> contratos que tengan por objeto la adquisición de productos de origen o destinación agropecuaria que se ofrezcan en bolsas de productos legalmente constituidas</w:t>
      </w:r>
      <w:r w:rsidR="00E937E3">
        <w:rPr>
          <w:rFonts w:ascii="Arial" w:hAnsi="Arial" w:cs="Arial"/>
          <w:sz w:val="22"/>
        </w:rPr>
        <w:t>,</w:t>
      </w:r>
      <w:r w:rsidRPr="0037664B" w:rsidR="00E937E3">
        <w:rPr>
          <w:rFonts w:ascii="Arial" w:hAnsi="Arial" w:cs="Arial"/>
          <w:sz w:val="22"/>
        </w:rPr>
        <w:t xml:space="preserve"> los actos y contratos que tengan por objeto directo las actividades comerciales e industriales propias de las empresas industriales y comerciales del Estado y las sociedades de economía mixta y los contratos de concesión de cualquier índole. </w:t>
      </w:r>
      <w:r w:rsidR="00E937E3">
        <w:rPr>
          <w:rFonts w:ascii="Arial" w:hAnsi="Arial" w:cs="Arial"/>
          <w:sz w:val="22"/>
        </w:rPr>
        <w:t>En esta medida, todos los miembros del proponente plural deberán tener el RUP en firme, salvo las excepciones previstas en la ley.</w:t>
      </w:r>
      <w:r w:rsidR="00E937E3">
        <w:rPr>
          <w:rFonts w:ascii="Arial" w:hAnsi="Arial" w:eastAsia="Calibri" w:cs="Arial"/>
          <w:sz w:val="22"/>
        </w:rPr>
        <w:t xml:space="preserve"> </w:t>
      </w:r>
    </w:p>
    <w:p w:rsidRPr="0037664B" w:rsidR="0030156A" w:rsidP="009104B9" w:rsidRDefault="0030156A" w14:paraId="3061C87F" w14:textId="77777777">
      <w:pPr>
        <w:spacing w:line="276" w:lineRule="auto"/>
        <w:jc w:val="both"/>
        <w:rPr>
          <w:rFonts w:ascii="Arial" w:hAnsi="Arial" w:eastAsia="Calibri" w:cs="Arial"/>
          <w:sz w:val="22"/>
        </w:rPr>
      </w:pPr>
    </w:p>
    <w:p w:rsidRPr="009104B9" w:rsidR="00117754" w:rsidP="00117754" w:rsidRDefault="00117754" w14:paraId="31274834" w14:textId="77777777">
      <w:pPr>
        <w:spacing w:line="276" w:lineRule="auto"/>
        <w:ind w:left="709" w:right="709"/>
        <w:jc w:val="both"/>
        <w:rPr>
          <w:rFonts w:ascii="Arial" w:hAnsi="Arial" w:eastAsia="Calibri" w:cs="Arial"/>
          <w:sz w:val="21"/>
          <w:szCs w:val="21"/>
        </w:rPr>
      </w:pPr>
      <w:r w:rsidRPr="009104B9">
        <w:rPr>
          <w:rFonts w:ascii="Arial" w:hAnsi="Arial" w:eastAsia="Calibri" w:cs="Arial"/>
          <w:sz w:val="21"/>
          <w:szCs w:val="21"/>
        </w:rPr>
        <w:t xml:space="preserve">¿Es posible que solo uno de los integrantes tenga RUP? </w:t>
      </w:r>
    </w:p>
    <w:p w:rsidRPr="0037664B" w:rsidR="00F56D55" w:rsidP="00F56D55" w:rsidRDefault="00F56D55" w14:paraId="6BA37816" w14:textId="77777777">
      <w:pPr>
        <w:spacing w:line="276" w:lineRule="auto"/>
        <w:ind w:left="709"/>
        <w:jc w:val="both"/>
        <w:rPr>
          <w:rFonts w:ascii="Arial" w:hAnsi="Arial" w:eastAsia="Calibri" w:cs="Arial"/>
          <w:sz w:val="22"/>
        </w:rPr>
      </w:pPr>
    </w:p>
    <w:p w:rsidRPr="0037664B" w:rsidR="00117754" w:rsidP="00117754" w:rsidRDefault="00117754" w14:paraId="3FB18DC9" w14:textId="3F64D927">
      <w:pPr>
        <w:spacing w:line="276" w:lineRule="auto"/>
        <w:jc w:val="both"/>
        <w:rPr>
          <w:rFonts w:ascii="Arial" w:hAnsi="Arial" w:eastAsia="Calibri" w:cs="Arial"/>
          <w:sz w:val="22"/>
        </w:rPr>
      </w:pPr>
      <w:r w:rsidRPr="0037664B">
        <w:rPr>
          <w:rFonts w:ascii="Arial" w:hAnsi="Arial" w:eastAsia="Calibri" w:cs="Arial"/>
          <w:sz w:val="22"/>
        </w:rPr>
        <w:t>No es posible</w:t>
      </w:r>
      <w:r w:rsidR="003B1925">
        <w:rPr>
          <w:rFonts w:ascii="Arial" w:hAnsi="Arial" w:eastAsia="Calibri" w:cs="Arial"/>
          <w:sz w:val="22"/>
        </w:rPr>
        <w:t xml:space="preserve"> que solo uno de los proponentes tenga RUP vigente</w:t>
      </w:r>
      <w:r w:rsidRPr="0037664B">
        <w:rPr>
          <w:rFonts w:ascii="Arial" w:hAnsi="Arial" w:eastAsia="Calibri" w:cs="Arial"/>
          <w:sz w:val="22"/>
        </w:rPr>
        <w:t xml:space="preserve">, </w:t>
      </w:r>
      <w:r w:rsidR="003B1925">
        <w:rPr>
          <w:rFonts w:ascii="Arial" w:hAnsi="Arial" w:eastAsia="Calibri" w:cs="Arial"/>
          <w:sz w:val="22"/>
        </w:rPr>
        <w:t>ya que</w:t>
      </w:r>
      <w:r w:rsidRPr="0037664B">
        <w:rPr>
          <w:rFonts w:ascii="Arial" w:hAnsi="Arial" w:eastAsia="Calibri" w:cs="Arial"/>
          <w:sz w:val="22"/>
        </w:rPr>
        <w:t xml:space="preserve"> las personas naturales y jurídicas, nacionales o extranjeras, con domicilio en Colombia, que pretendan participar en un proceso de selección de una entidad estatal, deberá</w:t>
      </w:r>
      <w:r w:rsidRPr="0037664B" w:rsidR="0030156A">
        <w:rPr>
          <w:rFonts w:ascii="Arial" w:hAnsi="Arial" w:eastAsia="Calibri" w:cs="Arial"/>
          <w:sz w:val="22"/>
        </w:rPr>
        <w:t>n</w:t>
      </w:r>
      <w:r w:rsidRPr="0037664B">
        <w:rPr>
          <w:rFonts w:ascii="Arial" w:hAnsi="Arial" w:eastAsia="Calibri" w:cs="Arial"/>
          <w:sz w:val="22"/>
        </w:rPr>
        <w:t xml:space="preserve"> estar inscrit</w:t>
      </w:r>
      <w:r w:rsidRPr="0037664B" w:rsidR="0030156A">
        <w:rPr>
          <w:rFonts w:ascii="Arial" w:hAnsi="Arial" w:eastAsia="Calibri" w:cs="Arial"/>
          <w:sz w:val="22"/>
        </w:rPr>
        <w:t>as</w:t>
      </w:r>
      <w:r w:rsidRPr="0037664B">
        <w:rPr>
          <w:rFonts w:ascii="Arial" w:hAnsi="Arial" w:eastAsia="Calibri" w:cs="Arial"/>
          <w:sz w:val="22"/>
        </w:rPr>
        <w:t xml:space="preserve"> en el RUP, salvo las excepciones consagradas en el artículo 6 de la Ley 1150 de 2007. </w:t>
      </w:r>
    </w:p>
    <w:p w:rsidRPr="0037664B" w:rsidR="00F56D55" w:rsidP="009104B9" w:rsidRDefault="00F56D55" w14:paraId="11A6650A" w14:textId="19991D68">
      <w:pPr>
        <w:spacing w:after="120" w:line="276" w:lineRule="auto"/>
        <w:jc w:val="both"/>
        <w:rPr>
          <w:rFonts w:ascii="Arial" w:hAnsi="Arial" w:eastAsia="Calibri" w:cs="Arial"/>
          <w:sz w:val="22"/>
        </w:rPr>
      </w:pPr>
    </w:p>
    <w:p w:rsidRPr="0037664B" w:rsidR="00A1118B" w:rsidP="00A1118B" w:rsidRDefault="00A1118B" w14:paraId="12F0E8AB" w14:textId="77777777">
      <w:pPr>
        <w:spacing w:line="276" w:lineRule="auto"/>
        <w:jc w:val="both"/>
        <w:rPr>
          <w:rFonts w:ascii="Arial" w:hAnsi="Arial" w:eastAsia="Calibri" w:cs="Arial"/>
          <w:sz w:val="22"/>
        </w:rPr>
      </w:pPr>
      <w:r w:rsidRPr="0037664B">
        <w:rPr>
          <w:rFonts w:ascii="Arial" w:hAnsi="Arial" w:eastAsia="Calibri" w:cs="Arial"/>
          <w:sz w:val="22"/>
        </w:rPr>
        <w:t>Este concepto tiene el alcance previsto en el artículo 28 del Código de Procedimiento Administrativo y de lo Contencioso Administrativo.</w:t>
      </w:r>
    </w:p>
    <w:p w:rsidRPr="0037664B" w:rsidR="00A1118B" w:rsidP="00A1118B" w:rsidRDefault="00A1118B" w14:paraId="3F1A9754" w14:textId="77777777">
      <w:pPr>
        <w:spacing w:line="276" w:lineRule="auto"/>
        <w:ind w:firstLine="708"/>
        <w:jc w:val="both"/>
        <w:rPr>
          <w:rFonts w:ascii="Arial" w:hAnsi="Arial" w:eastAsia="Calibri" w:cs="Arial"/>
          <w:sz w:val="22"/>
        </w:rPr>
      </w:pPr>
    </w:p>
    <w:p w:rsidRPr="0037664B" w:rsidR="00A1118B" w:rsidP="00A1118B" w:rsidRDefault="00A1118B" w14:paraId="7A2C359F" w14:textId="60699FBA">
      <w:pPr>
        <w:spacing w:line="276" w:lineRule="auto"/>
        <w:jc w:val="both"/>
        <w:rPr>
          <w:rFonts w:ascii="Arial" w:hAnsi="Arial" w:eastAsia="Calibri" w:cs="Arial"/>
          <w:sz w:val="22"/>
        </w:rPr>
      </w:pPr>
      <w:r w:rsidRPr="0037664B">
        <w:rPr>
          <w:rFonts w:ascii="Arial" w:hAnsi="Arial" w:cs="Arial"/>
          <w:noProof/>
          <w:lang w:val="en-US" w:eastAsia="en-US"/>
        </w:rPr>
        <mc:AlternateContent>
          <mc:Choice Requires="wps">
            <w:drawing>
              <wp:anchor distT="0" distB="0" distL="114300" distR="114300" simplePos="0" relativeHeight="251658240" behindDoc="0" locked="0" layoutInCell="1" allowOverlap="1" wp14:anchorId="02056D76" wp14:editId="5D675661">
                <wp:simplePos x="0" y="0"/>
                <wp:positionH relativeFrom="page">
                  <wp:posOffset>1514475</wp:posOffset>
                </wp:positionH>
                <wp:positionV relativeFrom="paragraph">
                  <wp:posOffset>10160</wp:posOffset>
                </wp:positionV>
                <wp:extent cx="46863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Conector recto 4"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234108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">
                <w10:wrap anchorx="page"/>
              </v:line>
            </w:pict>
          </mc:Fallback>
        </mc:AlternateContent>
      </w:r>
    </w:p>
    <w:p w:rsidRPr="0037664B" w:rsidR="00A1118B" w:rsidP="00A1118B" w:rsidRDefault="00A1118B" w14:paraId="0D12193D" w14:textId="77777777">
      <w:pPr>
        <w:spacing w:line="276" w:lineRule="auto"/>
        <w:rPr>
          <w:rFonts w:ascii="Arial" w:hAnsi="Arial" w:cs="Arial"/>
          <w:sz w:val="22"/>
          <w:lang w:eastAsia="es-CO"/>
        </w:rPr>
      </w:pPr>
      <w:r w:rsidRPr="0037664B">
        <w:rPr>
          <w:rFonts w:ascii="Arial" w:hAnsi="Arial" w:cs="Arial"/>
          <w:sz w:val="22"/>
          <w:lang w:eastAsia="es-CO"/>
        </w:rPr>
        <w:t>Atentamente,</w:t>
      </w:r>
    </w:p>
    <w:p w:rsidR="00A1118B" w:rsidP="00A1118B" w:rsidRDefault="009D0CB2" w14:paraId="0A5EF209" w14:textId="5EDF7F8A">
      <w:pPr>
        <w:spacing w:line="276" w:lineRule="auto"/>
        <w:jc w:val="center"/>
        <w:rPr>
          <w:rFonts w:ascii="Arial" w:hAnsi="Arial" w:cs="Arial"/>
          <w:sz w:val="18"/>
          <w:szCs w:val="20"/>
          <w:lang w:eastAsia="es-CO"/>
        </w:rPr>
      </w:pPr>
      <w:r w:rsidR="009D0CB2">
        <w:drawing>
          <wp:inline wp14:editId="3810F627" wp14:anchorId="2227259F">
            <wp:extent cx="2773144" cy="988695"/>
            <wp:effectExtent l="0" t="0" r="0" b="0"/>
            <wp:docPr id="1551134723" name="Imagen 20" title=""/>
            <wp:cNvGraphicFramePr>
              <a:graphicFrameLocks noChangeAspect="1"/>
            </wp:cNvGraphicFramePr>
            <a:graphic>
              <a:graphicData uri="http://schemas.openxmlformats.org/drawingml/2006/picture">
                <pic:pic>
                  <pic:nvPicPr>
                    <pic:cNvPr id="0" name="Imagen 20"/>
                    <pic:cNvPicPr/>
                  </pic:nvPicPr>
                  <pic:blipFill>
                    <a:blip r:embed="Rf73e897e3e76497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37664B" w:rsidR="00C04FF1" w:rsidP="00A1118B" w:rsidRDefault="00C04FF1" w14:paraId="3F2CB550" w14:textId="77777777">
      <w:pPr>
        <w:spacing w:line="276" w:lineRule="auto"/>
        <w:jc w:val="center"/>
        <w:rPr>
          <w:rFonts w:ascii="Arial" w:hAnsi="Arial" w:cs="Arial"/>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37664B" w:rsidR="00B2212D" w:rsidTr="009104B9" w14:paraId="54288736" w14:textId="77777777">
        <w:trPr>
          <w:trHeight w:val="315"/>
        </w:trPr>
        <w:tc>
          <w:tcPr>
            <w:tcW w:w="812" w:type="dxa"/>
            <w:vAlign w:val="center"/>
            <w:hideMark/>
          </w:tcPr>
          <w:p w:rsidRPr="0037664B" w:rsidR="00A1118B" w:rsidRDefault="00A1118B" w14:paraId="7777F192" w14:textId="77777777">
            <w:pPr>
              <w:rPr>
                <w:rFonts w:ascii="Arial" w:hAnsi="Arial" w:cs="Arial"/>
                <w:sz w:val="16"/>
                <w:szCs w:val="16"/>
                <w:lang w:eastAsia="es-ES"/>
              </w:rPr>
            </w:pPr>
            <w:r w:rsidRPr="0037664B">
              <w:rPr>
                <w:rFonts w:ascii="Arial" w:hAnsi="Arial" w:cs="Arial"/>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00A1118B" w:rsidRDefault="00AB3F0B" w14:paraId="2F61DE70" w14:textId="77777777">
            <w:pPr>
              <w:rPr>
                <w:rFonts w:ascii="Arial" w:hAnsi="Arial" w:cs="Arial"/>
                <w:sz w:val="16"/>
                <w:szCs w:val="16"/>
                <w:lang w:eastAsia="es-ES"/>
              </w:rPr>
            </w:pPr>
            <w:r w:rsidRPr="0037664B">
              <w:rPr>
                <w:rFonts w:ascii="Arial" w:hAnsi="Arial" w:cs="Arial"/>
                <w:sz w:val="16"/>
                <w:szCs w:val="16"/>
                <w:lang w:eastAsia="es-ES"/>
              </w:rPr>
              <w:t>Omar Germán Mejía Olmos</w:t>
            </w:r>
          </w:p>
          <w:p w:rsidRPr="0037664B" w:rsidR="009902AA" w:rsidRDefault="009902AA" w14:paraId="4EB6C175" w14:textId="589F4681">
            <w:pPr>
              <w:rPr>
                <w:rFonts w:ascii="Arial" w:hAnsi="Arial" w:cs="Arial"/>
                <w:sz w:val="16"/>
                <w:szCs w:val="16"/>
                <w:lang w:eastAsia="es-ES"/>
              </w:rPr>
            </w:pPr>
            <w:r w:rsidRPr="0037664B">
              <w:rPr>
                <w:rFonts w:ascii="Arial" w:hAnsi="Arial" w:cs="Arial"/>
                <w:sz w:val="16"/>
                <w:szCs w:val="16"/>
                <w:lang w:eastAsia="es-ES"/>
              </w:rPr>
              <w:t>Contratista</w:t>
            </w:r>
            <w:r>
              <w:rPr>
                <w:rFonts w:ascii="Arial" w:hAnsi="Arial" w:cs="Arial"/>
                <w:sz w:val="16"/>
                <w:szCs w:val="16"/>
                <w:lang w:eastAsia="es-ES"/>
              </w:rPr>
              <w:t xml:space="preserve"> de la </w:t>
            </w:r>
            <w:r w:rsidRPr="0037664B">
              <w:rPr>
                <w:rFonts w:ascii="Arial" w:hAnsi="Arial" w:cs="Arial"/>
                <w:sz w:val="16"/>
                <w:szCs w:val="16"/>
                <w:lang w:eastAsia="es-ES"/>
              </w:rPr>
              <w:t>Subdirección de Gestión Contractual</w:t>
            </w:r>
          </w:p>
        </w:tc>
      </w:tr>
      <w:tr w:rsidRPr="0037664B" w:rsidR="00B2212D" w:rsidTr="009104B9" w14:paraId="2F99034A" w14:textId="77777777">
        <w:trPr>
          <w:trHeight w:val="330"/>
        </w:trPr>
        <w:tc>
          <w:tcPr>
            <w:tcW w:w="812" w:type="dxa"/>
            <w:vAlign w:val="center"/>
            <w:hideMark/>
          </w:tcPr>
          <w:p w:rsidRPr="0037664B" w:rsidR="00A1118B" w:rsidRDefault="00A1118B" w14:paraId="31D7F710" w14:textId="77777777">
            <w:pPr>
              <w:rPr>
                <w:rFonts w:ascii="Arial" w:hAnsi="Arial" w:cs="Arial"/>
                <w:sz w:val="16"/>
                <w:szCs w:val="16"/>
                <w:lang w:eastAsia="es-ES"/>
              </w:rPr>
            </w:pPr>
            <w:r w:rsidRPr="0037664B">
              <w:rPr>
                <w:rFonts w:ascii="Arial" w:hAnsi="Arial" w:cs="Arial"/>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37664B" w:rsidR="00596747" w:rsidP="00596747" w:rsidRDefault="009902AA" w14:paraId="07431B84" w14:textId="41D3DAB5">
            <w:pPr>
              <w:rPr>
                <w:rFonts w:ascii="Arial" w:hAnsi="Arial" w:cs="Arial"/>
                <w:sz w:val="16"/>
                <w:szCs w:val="16"/>
                <w:lang w:eastAsia="es-ES"/>
              </w:rPr>
            </w:pPr>
            <w:r>
              <w:rPr>
                <w:rFonts w:ascii="Arial" w:hAnsi="Arial" w:cs="Arial"/>
                <w:sz w:val="16"/>
                <w:szCs w:val="16"/>
                <w:lang w:eastAsia="es-ES"/>
              </w:rPr>
              <w:t xml:space="preserve">Juan David Montoya Penagos </w:t>
            </w:r>
          </w:p>
          <w:p w:rsidRPr="0037664B" w:rsidR="00A1118B" w:rsidRDefault="00A1118B" w14:paraId="0E495D9D" w14:textId="65DA143C">
            <w:pPr>
              <w:rPr>
                <w:rFonts w:ascii="Arial" w:hAnsi="Arial" w:cs="Arial"/>
                <w:sz w:val="16"/>
                <w:szCs w:val="16"/>
                <w:lang w:eastAsia="es-ES"/>
              </w:rPr>
            </w:pPr>
            <w:r w:rsidRPr="0037664B">
              <w:rPr>
                <w:rFonts w:ascii="Arial" w:hAnsi="Arial" w:cs="Arial"/>
                <w:sz w:val="16"/>
                <w:szCs w:val="16"/>
                <w:lang w:eastAsia="es-ES"/>
              </w:rPr>
              <w:t>Contratista</w:t>
            </w:r>
            <w:r w:rsidR="009902AA">
              <w:rPr>
                <w:rFonts w:ascii="Arial" w:hAnsi="Arial" w:cs="Arial"/>
                <w:sz w:val="16"/>
                <w:szCs w:val="16"/>
                <w:lang w:eastAsia="es-ES"/>
              </w:rPr>
              <w:t xml:space="preserve"> de la </w:t>
            </w:r>
            <w:r w:rsidRPr="0037664B">
              <w:rPr>
                <w:rFonts w:ascii="Arial" w:hAnsi="Arial" w:cs="Arial"/>
                <w:sz w:val="16"/>
                <w:szCs w:val="16"/>
                <w:lang w:eastAsia="es-ES"/>
              </w:rPr>
              <w:t>Subdirección de Gestión Contractual</w:t>
            </w:r>
          </w:p>
        </w:tc>
      </w:tr>
      <w:tr w:rsidRPr="0037664B" w:rsidR="00B2212D" w:rsidTr="009104B9" w14:paraId="72A75B8A" w14:textId="77777777">
        <w:trPr>
          <w:trHeight w:val="300"/>
        </w:trPr>
        <w:tc>
          <w:tcPr>
            <w:tcW w:w="812" w:type="dxa"/>
            <w:vAlign w:val="center"/>
            <w:hideMark/>
          </w:tcPr>
          <w:p w:rsidRPr="0037664B" w:rsidR="00A1118B" w:rsidRDefault="00A1118B" w14:paraId="1C1FEAA7" w14:textId="77777777">
            <w:pPr>
              <w:rPr>
                <w:rFonts w:ascii="Arial" w:hAnsi="Arial" w:cs="Arial"/>
                <w:sz w:val="16"/>
                <w:szCs w:val="16"/>
                <w:lang w:eastAsia="es-ES"/>
              </w:rPr>
            </w:pPr>
            <w:r w:rsidRPr="0037664B">
              <w:rPr>
                <w:rFonts w:ascii="Arial" w:hAnsi="Arial" w:cs="Arial"/>
                <w:sz w:val="16"/>
                <w:szCs w:val="16"/>
                <w:lang w:eastAsia="es-ES"/>
              </w:rPr>
              <w:lastRenderedPageBreak/>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37664B" w:rsidR="00A1118B" w:rsidRDefault="00A1118B" w14:paraId="0F79C810" w14:textId="77777777">
            <w:pPr>
              <w:rPr>
                <w:rFonts w:ascii="Arial" w:hAnsi="Arial" w:cs="Arial"/>
                <w:sz w:val="16"/>
                <w:szCs w:val="16"/>
                <w:lang w:eastAsia="es-ES"/>
              </w:rPr>
            </w:pPr>
            <w:r w:rsidRPr="0037664B">
              <w:rPr>
                <w:rFonts w:ascii="Arial" w:hAnsi="Arial" w:cs="Arial"/>
                <w:sz w:val="16"/>
                <w:szCs w:val="16"/>
                <w:lang w:eastAsia="es-ES"/>
              </w:rPr>
              <w:t>Fabián Gonzalo Marín Cortés</w:t>
            </w:r>
          </w:p>
          <w:p w:rsidRPr="0037664B" w:rsidR="00A1118B" w:rsidRDefault="00A1118B" w14:paraId="4DFCB48D" w14:textId="77777777">
            <w:pPr>
              <w:rPr>
                <w:rFonts w:ascii="Arial" w:hAnsi="Arial" w:cs="Arial"/>
                <w:sz w:val="16"/>
                <w:szCs w:val="16"/>
                <w:lang w:eastAsia="es-ES"/>
              </w:rPr>
            </w:pPr>
            <w:r w:rsidRPr="0037664B">
              <w:rPr>
                <w:rFonts w:ascii="Arial" w:hAnsi="Arial" w:cs="Arial"/>
                <w:sz w:val="16"/>
                <w:szCs w:val="16"/>
                <w:lang w:eastAsia="es-ES"/>
              </w:rPr>
              <w:t>Subdirector de Gestión Contractual</w:t>
            </w:r>
          </w:p>
        </w:tc>
      </w:tr>
      <w:bookmarkEnd w:id="0"/>
    </w:tbl>
    <w:p w:rsidRPr="0037664B" w:rsidR="007B0854" w:rsidP="00A1118B" w:rsidRDefault="007B0854" w14:paraId="7EBF297E" w14:textId="77777777">
      <w:pPr>
        <w:rPr>
          <w:rFonts w:ascii="Arial" w:hAnsi="Arial" w:cs="Arial"/>
        </w:rPr>
      </w:pPr>
    </w:p>
    <w:p w:rsidRPr="0037664B" w:rsidR="00D01C0B" w:rsidRDefault="00D01C0B" w14:paraId="2D77A13E" w14:textId="77777777">
      <w:pPr>
        <w:rPr>
          <w:rFonts w:ascii="Arial" w:hAnsi="Arial" w:cs="Arial"/>
        </w:rPr>
      </w:pPr>
    </w:p>
    <w:p w:rsidRPr="0037664B" w:rsidR="0037664B" w:rsidRDefault="0037664B" w14:paraId="52F44C62" w14:textId="77777777">
      <w:pPr>
        <w:rPr>
          <w:rFonts w:ascii="Arial" w:hAnsi="Arial" w:cs="Arial"/>
        </w:rPr>
      </w:pPr>
    </w:p>
    <w:sectPr w:rsidRPr="0037664B" w:rsidR="0037664B" w:rsidSect="005A79FE">
      <w:headerReference w:type="default" r:id="rId12"/>
      <w:footerReference w:type="default" r:id="rId13"/>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D11C7" w:rsidRDefault="005D11C7" w14:paraId="1E985DB3" w14:textId="77777777">
      <w:r>
        <w:separator/>
      </w:r>
    </w:p>
  </w:endnote>
  <w:endnote w:type="continuationSeparator" w:id="0">
    <w:p w:rsidR="005D11C7" w:rsidRDefault="005D11C7" w14:paraId="3E8F782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4A34D2" w:rsidP="007B0854" w:rsidRDefault="004A34D2" w14:paraId="6E90F2C9" w14:textId="77777777">
    <w:pPr>
      <w:pStyle w:val="Sinespaciado"/>
      <w:jc w:val="center"/>
      <w:rPr>
        <w:rFonts w:ascii="Arial" w:hAnsi="Arial" w:cs="Arial"/>
        <w:sz w:val="18"/>
        <w:szCs w:val="18"/>
      </w:rPr>
    </w:pPr>
  </w:p>
  <w:p w:rsidRPr="005A79FE" w:rsidR="007B0854" w:rsidP="005A79FE" w:rsidRDefault="005A79FE" w14:paraId="312C4A14" w14:textId="370A9D6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D0CB2">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D0CB2">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rsidR="009047C5" w:rsidP="007B0854" w:rsidRDefault="007B0854" w14:paraId="48FC6A04" w14:textId="0E0B8C38">
    <w:pPr>
      <w:pStyle w:val="Piedepgina"/>
      <w:jc w:val="center"/>
      <w:rPr>
        <w:lang w:val="es-ES"/>
      </w:rPr>
    </w:pPr>
    <w:r w:rsidR="5B34077B">
      <w:drawing>
        <wp:inline wp14:editId="2FAB1EA3" wp14:anchorId="608B196D">
          <wp:extent cx="4241994" cy="595165"/>
          <wp:effectExtent l="0" t="0" r="6350" b="0"/>
          <wp:docPr id="1943165935" name="Imagen 12" title=""/>
          <wp:cNvGraphicFramePr>
            <a:graphicFrameLocks noChangeAspect="1"/>
          </wp:cNvGraphicFramePr>
          <a:graphic>
            <a:graphicData uri="http://schemas.openxmlformats.org/drawingml/2006/picture">
              <pic:pic>
                <pic:nvPicPr>
                  <pic:cNvPr id="0" name="Imagen 12"/>
                  <pic:cNvPicPr/>
                </pic:nvPicPr>
                <pic:blipFill>
                  <a:blip r:embed="R600507edde45473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41994" cy="595165"/>
                  </a:xfrm>
                  <a:prstGeom prst="rect">
                    <a:avLst/>
                  </a:prstGeom>
                </pic:spPr>
              </pic:pic>
            </a:graphicData>
          </a:graphic>
        </wp:inline>
      </w:drawing>
    </w:r>
  </w:p>
  <w:p w:rsidRPr="007B0854" w:rsidR="004A34D2" w:rsidP="007B0854" w:rsidRDefault="004A34D2"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D11C7" w:rsidRDefault="005D11C7" w14:paraId="35A26AE6" w14:textId="77777777">
      <w:r>
        <w:separator/>
      </w:r>
    </w:p>
  </w:footnote>
  <w:footnote w:type="continuationSeparator" w:id="0">
    <w:p w:rsidR="005D11C7" w:rsidRDefault="005D11C7" w14:paraId="1C9AF58C" w14:textId="77777777">
      <w:r>
        <w:continuationSeparator/>
      </w:r>
    </w:p>
  </w:footnote>
  <w:footnote w:id="1">
    <w:p w:rsidRPr="00D141BF" w:rsidR="00587B43" w:rsidP="00587B43" w:rsidRDefault="00587B43" w14:paraId="2569A552" w14:textId="10152BF6">
      <w:pPr>
        <w:ind w:firstLine="709"/>
        <w:jc w:val="both"/>
        <w:rPr>
          <w:rFonts w:ascii="Arial" w:hAnsi="Arial" w:cs="Arial"/>
          <w:sz w:val="19"/>
          <w:szCs w:val="19"/>
        </w:rPr>
      </w:pPr>
      <w:r w:rsidRPr="00FE0450">
        <w:rPr>
          <w:rStyle w:val="Refdenotaalpie"/>
          <w:sz w:val="19"/>
          <w:szCs w:val="19"/>
        </w:rPr>
        <w:footnoteRef/>
      </w:r>
      <w:r w:rsidRPr="00FE0450">
        <w:rPr>
          <w:sz w:val="19"/>
          <w:szCs w:val="19"/>
        </w:rPr>
        <w:t xml:space="preserve"> </w:t>
      </w:r>
      <w:r w:rsidRPr="00D141BF">
        <w:rPr>
          <w:rFonts w:ascii="Arial" w:hAnsi="Arial" w:cs="Arial"/>
          <w:sz w:val="21"/>
          <w:szCs w:val="21"/>
          <w:shd w:val="clear" w:color="auto" w:fill="FFFFFF"/>
        </w:rPr>
        <w:t>«</w:t>
      </w:r>
      <w:r w:rsidRPr="00D141BF">
        <w:rPr>
          <w:rFonts w:ascii="Arial" w:hAnsi="Arial" w:cs="Arial"/>
          <w:sz w:val="19"/>
          <w:szCs w:val="19"/>
        </w:rPr>
        <w:t xml:space="preserve">En nuestro régimen legal, la capacidad es la aptitud que se tiene para ser sujeto de relaciones jurídicas, es decir, para realizar sin el ministerio de otra persona, actos con efectos válidos en la esfera del derecho, y si bien esa habilitación se vincula con la noción de persona, </w:t>
      </w:r>
      <w:proofErr w:type="gramStart"/>
      <w:r w:rsidRPr="00D141BF">
        <w:rPr>
          <w:rFonts w:ascii="Arial" w:hAnsi="Arial" w:cs="Arial"/>
          <w:sz w:val="19"/>
          <w:szCs w:val="19"/>
        </w:rPr>
        <w:t>hasta el punto que</w:t>
      </w:r>
      <w:proofErr w:type="gramEnd"/>
      <w:r w:rsidRPr="00D141BF">
        <w:rPr>
          <w:rFonts w:ascii="Arial" w:hAnsi="Arial" w:cs="Arial"/>
          <w:sz w:val="19"/>
          <w:szCs w:val="19"/>
        </w:rPr>
        <w:t xml:space="preserve"> toda persona, en principio, es capaz, salvo lo que en contrario disponga la ley, no es requisito necesario ser persona para disponer de capacidad jurídica</w:t>
      </w:r>
      <w:r w:rsidRPr="00AC429C">
        <w:rPr>
          <w:rFonts w:ascii="Arial" w:hAnsi="Arial" w:cs="Arial"/>
          <w:color w:val="000000" w:themeColor="text1"/>
          <w:sz w:val="21"/>
          <w:szCs w:val="21"/>
          <w:shd w:val="clear" w:color="auto" w:fill="FFFFFF"/>
        </w:rPr>
        <w:t>»</w:t>
      </w:r>
      <w:r w:rsidR="00CC2990">
        <w:rPr>
          <w:rFonts w:ascii="Arial" w:hAnsi="Arial" w:cs="Arial"/>
          <w:color w:val="000000" w:themeColor="text1"/>
          <w:sz w:val="21"/>
          <w:szCs w:val="21"/>
          <w:shd w:val="clear" w:color="auto" w:fill="FFFFFF"/>
        </w:rPr>
        <w:t xml:space="preserve"> (</w:t>
      </w:r>
      <w:r w:rsidRPr="00D141BF">
        <w:rPr>
          <w:rFonts w:ascii="Arial" w:hAnsi="Arial" w:cs="Arial"/>
          <w:sz w:val="19"/>
          <w:szCs w:val="19"/>
        </w:rPr>
        <w:t>Corte Constitucional</w:t>
      </w:r>
      <w:r w:rsidR="00CC2990">
        <w:rPr>
          <w:rFonts w:ascii="Arial" w:hAnsi="Arial" w:cs="Arial"/>
          <w:sz w:val="19"/>
          <w:szCs w:val="19"/>
        </w:rPr>
        <w:t>.</w:t>
      </w:r>
      <w:r w:rsidRPr="00D141BF">
        <w:rPr>
          <w:rFonts w:ascii="Arial" w:hAnsi="Arial" w:cs="Arial"/>
          <w:sz w:val="19"/>
          <w:szCs w:val="19"/>
        </w:rPr>
        <w:t xml:space="preserve"> </w:t>
      </w:r>
      <w:r w:rsidR="00CC2990">
        <w:rPr>
          <w:rFonts w:ascii="Arial" w:hAnsi="Arial" w:cs="Arial"/>
          <w:sz w:val="19"/>
          <w:szCs w:val="19"/>
        </w:rPr>
        <w:t>S</w:t>
      </w:r>
      <w:r w:rsidRPr="00D141BF">
        <w:rPr>
          <w:rFonts w:ascii="Arial" w:hAnsi="Arial" w:cs="Arial"/>
          <w:sz w:val="19"/>
          <w:szCs w:val="19"/>
        </w:rPr>
        <w:t>entencia C-414 de 1994</w:t>
      </w:r>
      <w:r w:rsidR="00CC2990">
        <w:rPr>
          <w:rFonts w:ascii="Arial" w:hAnsi="Arial" w:cs="Arial"/>
          <w:sz w:val="19"/>
          <w:szCs w:val="19"/>
        </w:rPr>
        <w:t>.</w:t>
      </w:r>
      <w:r w:rsidRPr="00D141BF">
        <w:rPr>
          <w:rFonts w:ascii="Arial" w:hAnsi="Arial" w:cs="Arial"/>
          <w:sz w:val="19"/>
          <w:szCs w:val="19"/>
        </w:rPr>
        <w:t xml:space="preserve"> M.P. Antonio Barrera</w:t>
      </w:r>
      <w:r w:rsidRPr="00D141BF">
        <w:rPr>
          <w:rFonts w:ascii="Arial" w:hAnsi="Arial" w:cs="Arial"/>
          <w:spacing w:val="-20"/>
          <w:sz w:val="19"/>
          <w:szCs w:val="19"/>
        </w:rPr>
        <w:t xml:space="preserve"> </w:t>
      </w:r>
      <w:r w:rsidRPr="00D141BF">
        <w:rPr>
          <w:rFonts w:ascii="Arial" w:hAnsi="Arial" w:cs="Arial"/>
          <w:sz w:val="19"/>
          <w:szCs w:val="19"/>
        </w:rPr>
        <w:t>Carbonell</w:t>
      </w:r>
      <w:r w:rsidR="00CC2990">
        <w:rPr>
          <w:rFonts w:ascii="Arial" w:hAnsi="Arial" w:cs="Arial"/>
          <w:sz w:val="19"/>
          <w:szCs w:val="19"/>
        </w:rPr>
        <w:t>).</w:t>
      </w:r>
    </w:p>
    <w:p w:rsidRPr="00D141BF" w:rsidR="00587B43" w:rsidP="00587B43" w:rsidRDefault="00587B43" w14:paraId="60F800EC" w14:textId="77777777">
      <w:pPr>
        <w:pStyle w:val="Textonotapie"/>
        <w:jc w:val="both"/>
        <w:rPr>
          <w:rFonts w:ascii="Arial" w:hAnsi="Arial" w:cs="Arial"/>
          <w:sz w:val="19"/>
          <w:szCs w:val="19"/>
          <w:lang w:val="es-CO"/>
        </w:rPr>
      </w:pPr>
    </w:p>
  </w:footnote>
  <w:footnote w:id="2">
    <w:p w:rsidRPr="00FE0450" w:rsidR="00D01C0B" w:rsidP="00D141BF" w:rsidRDefault="00D01C0B" w14:paraId="2CDF7EB7" w14:textId="77777777">
      <w:pPr>
        <w:ind w:firstLine="709"/>
        <w:jc w:val="both"/>
        <w:rPr>
          <w:sz w:val="19"/>
          <w:szCs w:val="19"/>
        </w:rPr>
      </w:pPr>
      <w:r w:rsidRPr="00D141BF">
        <w:rPr>
          <w:rStyle w:val="Refdenotaalpie"/>
          <w:rFonts w:ascii="Arial" w:hAnsi="Arial" w:cs="Arial"/>
          <w:sz w:val="19"/>
          <w:szCs w:val="19"/>
        </w:rPr>
        <w:footnoteRef/>
      </w:r>
      <w:r w:rsidRPr="00D141BF">
        <w:rPr>
          <w:rFonts w:ascii="Arial" w:hAnsi="Arial" w:cs="Arial"/>
          <w:sz w:val="19"/>
          <w:szCs w:val="19"/>
        </w:rPr>
        <w:t xml:space="preserve"> EXPOSITO VÉLEZ, Juan Carlos. Forma y contenido del contrato estatal. Universidad Externado de Colombia, Bogotá, 2013, 1ra Ed., p.112.</w:t>
      </w:r>
    </w:p>
  </w:footnote>
  <w:footnote w:id="3">
    <w:p w:rsidR="00CC2990" w:rsidP="00CC2990" w:rsidRDefault="00CC2990" w14:paraId="2598AB0E" w14:textId="63FFC9A9">
      <w:pPr>
        <w:pStyle w:val="Textonotapie"/>
        <w:ind w:firstLine="709"/>
        <w:jc w:val="both"/>
        <w:rPr>
          <w:rFonts w:ascii="Arial" w:hAnsi="Arial" w:cs="Arial"/>
          <w:sz w:val="19"/>
          <w:szCs w:val="19"/>
        </w:rPr>
      </w:pPr>
      <w:r w:rsidRPr="00D141BF">
        <w:rPr>
          <w:rStyle w:val="Refdenotaalpie"/>
          <w:rFonts w:ascii="Arial" w:hAnsi="Arial" w:cs="Arial"/>
          <w:sz w:val="19"/>
          <w:szCs w:val="19"/>
        </w:rPr>
        <w:footnoteRef/>
      </w:r>
      <w:r w:rsidRPr="00D141BF">
        <w:rPr>
          <w:rFonts w:ascii="Arial" w:hAnsi="Arial" w:cs="Arial"/>
          <w:sz w:val="19"/>
          <w:szCs w:val="19"/>
        </w:rPr>
        <w:t xml:space="preserve"> </w:t>
      </w:r>
      <w:r w:rsidRPr="00D141BF">
        <w:rPr>
          <w:rFonts w:ascii="Arial" w:hAnsi="Arial" w:cs="Arial"/>
          <w:sz w:val="21"/>
          <w:szCs w:val="21"/>
          <w:shd w:val="clear" w:color="auto" w:fill="FFFFFF"/>
        </w:rPr>
        <w:t>«</w:t>
      </w:r>
      <w:r w:rsidRPr="00D141BF">
        <w:rPr>
          <w:rFonts w:ascii="Arial" w:hAnsi="Arial" w:cs="Arial"/>
          <w:sz w:val="19"/>
          <w:szCs w:val="19"/>
        </w:rPr>
        <w:t>El consorcio es una figura propia del derecho privado, utilizado ordinariamente como un instrumento de cooperación entre empresas, cuando requieren asumir una tarea económica particularmente importante, que les permita distribuirse de algún modo los riesgos que pueda implicar la actividad que se acomete, aunar recursos financieros y tecnológicos, y mejorar la disponibilidad de equipos, según el caso, pero conservando los consorciados su independencia jurídica</w:t>
      </w:r>
      <w:r w:rsidRPr="00AC429C">
        <w:rPr>
          <w:rFonts w:ascii="Arial" w:hAnsi="Arial" w:cs="Arial"/>
          <w:color w:val="000000" w:themeColor="text1"/>
          <w:sz w:val="21"/>
          <w:szCs w:val="21"/>
          <w:shd w:val="clear" w:color="auto" w:fill="FFFFFF"/>
        </w:rPr>
        <w:t>»</w:t>
      </w:r>
      <w:r w:rsidRPr="00D141BF">
        <w:rPr>
          <w:rFonts w:ascii="Arial" w:hAnsi="Arial" w:cs="Arial"/>
          <w:sz w:val="19"/>
          <w:szCs w:val="19"/>
        </w:rPr>
        <w:t xml:space="preserve"> </w:t>
      </w:r>
      <w:r>
        <w:rPr>
          <w:rFonts w:ascii="Arial" w:hAnsi="Arial" w:cs="Arial"/>
          <w:sz w:val="19"/>
          <w:szCs w:val="19"/>
        </w:rPr>
        <w:t>(</w:t>
      </w:r>
      <w:r w:rsidRPr="00D141BF">
        <w:rPr>
          <w:rFonts w:ascii="Arial" w:hAnsi="Arial" w:cs="Arial"/>
          <w:sz w:val="19"/>
          <w:szCs w:val="19"/>
        </w:rPr>
        <w:t>Corte Constitucional</w:t>
      </w:r>
      <w:r>
        <w:rPr>
          <w:rFonts w:ascii="Arial" w:hAnsi="Arial" w:cs="Arial"/>
          <w:sz w:val="19"/>
          <w:szCs w:val="19"/>
        </w:rPr>
        <w:t>.</w:t>
      </w:r>
      <w:r w:rsidRPr="00D141BF">
        <w:rPr>
          <w:rFonts w:ascii="Arial" w:hAnsi="Arial" w:cs="Arial"/>
          <w:sz w:val="19"/>
          <w:szCs w:val="19"/>
        </w:rPr>
        <w:t xml:space="preserve"> </w:t>
      </w:r>
      <w:r>
        <w:rPr>
          <w:rFonts w:ascii="Arial" w:hAnsi="Arial" w:cs="Arial"/>
          <w:sz w:val="19"/>
          <w:szCs w:val="19"/>
        </w:rPr>
        <w:t>S</w:t>
      </w:r>
      <w:r w:rsidRPr="00D141BF">
        <w:rPr>
          <w:rFonts w:ascii="Arial" w:hAnsi="Arial" w:cs="Arial"/>
          <w:sz w:val="19"/>
          <w:szCs w:val="19"/>
        </w:rPr>
        <w:t>entencia C-414 de 1994</w:t>
      </w:r>
      <w:r w:rsidR="009A23FE">
        <w:rPr>
          <w:rFonts w:ascii="Arial" w:hAnsi="Arial" w:cs="Arial"/>
          <w:sz w:val="19"/>
          <w:szCs w:val="19"/>
        </w:rPr>
        <w:t>.</w:t>
      </w:r>
      <w:r w:rsidRPr="00D141BF">
        <w:rPr>
          <w:rFonts w:ascii="Arial" w:hAnsi="Arial" w:cs="Arial"/>
          <w:sz w:val="19"/>
          <w:szCs w:val="19"/>
        </w:rPr>
        <w:t xml:space="preserve"> M.P. Antonio Barrera</w:t>
      </w:r>
      <w:r w:rsidRPr="00D141BF">
        <w:rPr>
          <w:rFonts w:ascii="Arial" w:hAnsi="Arial" w:cs="Arial"/>
          <w:spacing w:val="-2"/>
          <w:sz w:val="19"/>
          <w:szCs w:val="19"/>
        </w:rPr>
        <w:t xml:space="preserve"> </w:t>
      </w:r>
      <w:r w:rsidRPr="00D141BF">
        <w:rPr>
          <w:rFonts w:ascii="Arial" w:hAnsi="Arial" w:cs="Arial"/>
          <w:sz w:val="19"/>
          <w:szCs w:val="19"/>
        </w:rPr>
        <w:t>Carbonell</w:t>
      </w:r>
      <w:r>
        <w:rPr>
          <w:rFonts w:ascii="Arial" w:hAnsi="Arial" w:cs="Arial"/>
          <w:sz w:val="19"/>
          <w:szCs w:val="19"/>
        </w:rPr>
        <w:t>)</w:t>
      </w:r>
      <w:r w:rsidRPr="00D141BF">
        <w:rPr>
          <w:rFonts w:ascii="Arial" w:hAnsi="Arial" w:cs="Arial"/>
          <w:sz w:val="19"/>
          <w:szCs w:val="19"/>
        </w:rPr>
        <w:t>.</w:t>
      </w:r>
    </w:p>
    <w:p w:rsidRPr="00D141BF" w:rsidR="00CC2990" w:rsidP="00CC2990" w:rsidRDefault="00CC2990" w14:paraId="6CE70A0E" w14:textId="77777777">
      <w:pPr>
        <w:pStyle w:val="Textonotapie"/>
        <w:ind w:firstLine="709"/>
        <w:jc w:val="both"/>
        <w:rPr>
          <w:rFonts w:ascii="Arial" w:hAnsi="Arial" w:cs="Arial"/>
          <w:sz w:val="19"/>
          <w:szCs w:val="19"/>
          <w:lang w:val="es-CO"/>
        </w:rPr>
      </w:pPr>
    </w:p>
  </w:footnote>
  <w:footnote w:id="4">
    <w:p w:rsidRPr="00874EAD" w:rsidR="00312B97" w:rsidP="00312B97" w:rsidRDefault="00312B97" w14:paraId="01DE5268" w14:textId="77777777">
      <w:pPr>
        <w:pStyle w:val="Textoindependiente"/>
        <w:ind w:firstLine="709"/>
        <w:jc w:val="both"/>
        <w:rPr>
          <w:sz w:val="19"/>
          <w:szCs w:val="19"/>
          <w:lang w:val="es-CO"/>
        </w:rPr>
      </w:pPr>
      <w:r>
        <w:rPr>
          <w:rStyle w:val="Refdenotaalpie"/>
        </w:rPr>
        <w:footnoteRef/>
      </w:r>
      <w:r>
        <w:t xml:space="preserve"> </w:t>
      </w:r>
      <w:r w:rsidRPr="00874EAD">
        <w:rPr>
          <w:sz w:val="19"/>
          <w:szCs w:val="19"/>
          <w:shd w:val="clear" w:color="auto" w:fill="FFFFFF"/>
          <w:lang w:val="es-CO"/>
        </w:rPr>
        <w:t>«</w:t>
      </w:r>
      <w:r w:rsidRPr="00874EAD">
        <w:rPr>
          <w:sz w:val="19"/>
          <w:szCs w:val="19"/>
          <w:lang w:val="es-CO"/>
        </w:rPr>
        <w:t>En torno a la capacidad contractual de los consorcios y uniones temporales la jurisprudencia constitucional ha expresado que el Estatuto de contratación les reconoce este atributo sin exigirles como condición de su ejercicio la de ser personas morales. También ha dicho que el consorcio es un convenio de asociación, o mejor, un sistema de mediación que permite a sus miembros organizarse mancomunadamente para la celebración y ejecución de un contrato con el Estado, sin que por ello pierdan su individualidad jurídica, pero asumiendo un grado de responsabilidad solidaria en el cumplimiento de las obligaciones</w:t>
      </w:r>
      <w:r w:rsidRPr="00874EAD">
        <w:rPr>
          <w:spacing w:val="-2"/>
          <w:sz w:val="19"/>
          <w:szCs w:val="19"/>
          <w:lang w:val="es-CO"/>
        </w:rPr>
        <w:t xml:space="preserve"> </w:t>
      </w:r>
      <w:r w:rsidRPr="00874EAD">
        <w:rPr>
          <w:sz w:val="19"/>
          <w:szCs w:val="19"/>
          <w:lang w:val="es-CO"/>
        </w:rPr>
        <w:t>contractuales.</w:t>
      </w:r>
    </w:p>
    <w:p w:rsidRPr="00874EAD" w:rsidR="00312B97" w:rsidP="00312B97" w:rsidRDefault="00312B97" w14:paraId="490C0EE9" w14:textId="77777777">
      <w:pPr>
        <w:pStyle w:val="Textoindependiente"/>
        <w:spacing w:before="3"/>
        <w:ind w:left="709" w:right="709"/>
        <w:rPr>
          <w:sz w:val="19"/>
          <w:szCs w:val="19"/>
          <w:lang w:val="es-CO"/>
        </w:rPr>
      </w:pPr>
      <w:r w:rsidRPr="00874EAD">
        <w:rPr>
          <w:sz w:val="19"/>
          <w:szCs w:val="19"/>
          <w:lang w:val="es-CO"/>
        </w:rPr>
        <w:t>[…]</w:t>
      </w:r>
    </w:p>
    <w:p w:rsidRPr="00874EAD" w:rsidR="00312B97" w:rsidP="00312B97" w:rsidRDefault="00312B97" w14:paraId="6EA4E426" w14:textId="77777777">
      <w:pPr>
        <w:pStyle w:val="Textoindependiente"/>
        <w:spacing w:before="4"/>
        <w:ind w:left="709" w:right="709"/>
        <w:rPr>
          <w:sz w:val="19"/>
          <w:szCs w:val="19"/>
          <w:lang w:val="es-CO"/>
        </w:rPr>
      </w:pPr>
    </w:p>
    <w:p w:rsidRPr="00874EAD" w:rsidR="00312B97" w:rsidP="00874EAD" w:rsidRDefault="00874EAD" w14:paraId="46D17F0A" w14:textId="538D1C10">
      <w:pPr>
        <w:pStyle w:val="Textoindependiente"/>
        <w:ind w:firstLine="709"/>
        <w:jc w:val="both"/>
        <w:rPr>
          <w:sz w:val="19"/>
          <w:szCs w:val="19"/>
          <w:lang w:val="es-CO"/>
        </w:rPr>
      </w:pPr>
      <w:r w:rsidRPr="00874EAD">
        <w:rPr>
          <w:sz w:val="19"/>
          <w:szCs w:val="19"/>
          <w:shd w:val="clear" w:color="auto" w:fill="FFFFFF"/>
          <w:lang w:val="es-CO"/>
        </w:rPr>
        <w:t>»</w:t>
      </w:r>
      <w:r w:rsidRPr="00874EAD" w:rsidR="00312B97">
        <w:rPr>
          <w:sz w:val="19"/>
          <w:szCs w:val="19"/>
          <w:lang w:val="es-CO"/>
        </w:rPr>
        <w:t>Cabe apreciar que la única diferencia entre las dos figuras radica en que en la unión temporal la imposición de sanciones por incumplimiento de las obligaciones derivadas de la propuesta o del contrato, se individualiza en cabeza de los integrantes de aquélla, según el grado de participación de cada uno de ellos en la ejecución de tales obligaciones, mientras que en el consorcio no se da dicha individualización y responderán por tanto solidariamente todos los miembros del consorcio frente a las correspondientes sanciones.</w:t>
      </w:r>
    </w:p>
    <w:p w:rsidRPr="00874EAD" w:rsidR="00312B97" w:rsidP="00312B97" w:rsidRDefault="00312B97" w14:paraId="6E037893" w14:textId="77777777">
      <w:pPr>
        <w:pStyle w:val="Textoindependiente"/>
        <w:spacing w:before="2"/>
        <w:ind w:left="709" w:right="709"/>
        <w:rPr>
          <w:sz w:val="19"/>
          <w:szCs w:val="19"/>
          <w:lang w:val="es-CO"/>
        </w:rPr>
      </w:pPr>
      <w:r w:rsidRPr="00874EAD">
        <w:rPr>
          <w:sz w:val="19"/>
          <w:szCs w:val="19"/>
          <w:lang w:val="es-CO"/>
        </w:rPr>
        <w:t>[…]</w:t>
      </w:r>
    </w:p>
    <w:p w:rsidR="00874EAD" w:rsidP="00874EAD" w:rsidRDefault="00874EAD" w14:paraId="41AA28A1" w14:textId="5F12E4B0">
      <w:pPr>
        <w:pStyle w:val="Textonotapie"/>
        <w:ind w:firstLine="709"/>
        <w:jc w:val="both"/>
        <w:rPr>
          <w:rFonts w:ascii="Arial" w:hAnsi="Arial" w:cs="Arial"/>
          <w:sz w:val="19"/>
          <w:szCs w:val="19"/>
        </w:rPr>
      </w:pPr>
      <w:r w:rsidRPr="00874EAD">
        <w:rPr>
          <w:rFonts w:ascii="Arial" w:hAnsi="Arial" w:cs="Arial"/>
          <w:sz w:val="19"/>
          <w:szCs w:val="19"/>
          <w:shd w:val="clear" w:color="auto" w:fill="FFFFFF"/>
          <w:lang w:val="es-CO"/>
        </w:rPr>
        <w:t>»</w:t>
      </w:r>
      <w:r w:rsidRPr="00874EAD" w:rsidR="00312B97">
        <w:rPr>
          <w:rFonts w:ascii="Arial" w:hAnsi="Arial" w:cs="Arial"/>
          <w:sz w:val="19"/>
          <w:szCs w:val="19"/>
          <w:lang w:val="es-CO"/>
        </w:rPr>
        <w:t xml:space="preserve">La Ley 80 de 1993, al crear las figuras de los consorcios y uniones temporales y constituirlas como sujetos de la contratación administrativa, reconoce una realidad del mundo negocial que son los denominados </w:t>
      </w:r>
      <w:r w:rsidRPr="00874EAD" w:rsidR="00312B97">
        <w:rPr>
          <w:rFonts w:ascii="Arial" w:hAnsi="Arial" w:cs="Arial"/>
          <w:sz w:val="19"/>
          <w:szCs w:val="19"/>
          <w:shd w:val="clear" w:color="auto" w:fill="FFFFFF"/>
          <w:lang w:val="es-CO"/>
        </w:rPr>
        <w:t>«</w:t>
      </w:r>
      <w:r w:rsidRPr="00874EAD" w:rsidR="00312B97">
        <w:rPr>
          <w:rFonts w:ascii="Arial" w:hAnsi="Arial" w:cs="Arial"/>
          <w:sz w:val="19"/>
          <w:szCs w:val="19"/>
          <w:lang w:val="es-CO"/>
        </w:rPr>
        <w:t>contratos de colaboración económica</w:t>
      </w:r>
      <w:r w:rsidRPr="00874EAD" w:rsidR="00312B97">
        <w:rPr>
          <w:rFonts w:ascii="Arial" w:hAnsi="Arial" w:cs="Arial"/>
          <w:sz w:val="19"/>
          <w:szCs w:val="19"/>
          <w:shd w:val="clear" w:color="auto" w:fill="FFFFFF"/>
          <w:lang w:val="es-CO"/>
        </w:rPr>
        <w:t>»</w:t>
      </w:r>
      <w:r w:rsidRPr="00874EAD" w:rsidR="00312B97">
        <w:rPr>
          <w:rFonts w:ascii="Arial" w:hAnsi="Arial" w:cs="Arial"/>
          <w:sz w:val="19"/>
          <w:szCs w:val="19"/>
          <w:lang w:val="es-CO"/>
        </w:rPr>
        <w:t>, que en la hora actual se celebran para la efectiva realización de proyectos de contratación pública altamente especializados e intensivos en capital y así mismo indispensables para que el Estado Social de Derecho, cumpla los cometidos para los cuales fue instituido [Preámbulo y artículos 1o. y 2o.</w:t>
      </w:r>
      <w:r w:rsidRPr="00874EAD" w:rsidR="00312B97">
        <w:rPr>
          <w:rFonts w:ascii="Arial" w:hAnsi="Arial" w:cs="Arial"/>
          <w:spacing w:val="-7"/>
          <w:sz w:val="19"/>
          <w:szCs w:val="19"/>
          <w:lang w:val="es-CO"/>
        </w:rPr>
        <w:t xml:space="preserve"> </w:t>
      </w:r>
      <w:r w:rsidRPr="00874EAD" w:rsidR="00312B97">
        <w:rPr>
          <w:rFonts w:ascii="Arial" w:hAnsi="Arial" w:cs="Arial"/>
          <w:sz w:val="19"/>
          <w:szCs w:val="19"/>
          <w:lang w:val="es-CO"/>
        </w:rPr>
        <w:t>Superiores].</w:t>
      </w:r>
      <w:r w:rsidRPr="00874EAD" w:rsidR="00312B97">
        <w:rPr>
          <w:rFonts w:ascii="Arial" w:hAnsi="Arial" w:cs="Arial"/>
          <w:sz w:val="19"/>
          <w:szCs w:val="19"/>
          <w:shd w:val="clear" w:color="auto" w:fill="FFFFFF"/>
          <w:lang w:val="es-CO"/>
        </w:rPr>
        <w:t>».</w:t>
      </w:r>
      <w:r w:rsidRPr="00874EAD">
        <w:rPr>
          <w:rFonts w:ascii="Arial" w:hAnsi="Arial" w:cs="Arial"/>
          <w:sz w:val="19"/>
          <w:szCs w:val="19"/>
        </w:rPr>
        <w:t xml:space="preserve"> </w:t>
      </w:r>
      <w:r>
        <w:rPr>
          <w:rFonts w:ascii="Arial" w:hAnsi="Arial" w:cs="Arial"/>
          <w:sz w:val="19"/>
          <w:szCs w:val="19"/>
        </w:rPr>
        <w:t>(</w:t>
      </w:r>
      <w:r w:rsidRPr="00D141BF">
        <w:rPr>
          <w:rFonts w:ascii="Arial" w:hAnsi="Arial" w:cs="Arial"/>
          <w:sz w:val="19"/>
          <w:szCs w:val="19"/>
        </w:rPr>
        <w:t>Corte Constitucional</w:t>
      </w:r>
      <w:r>
        <w:rPr>
          <w:rFonts w:ascii="Arial" w:hAnsi="Arial" w:cs="Arial"/>
          <w:sz w:val="19"/>
          <w:szCs w:val="19"/>
        </w:rPr>
        <w:t>.</w:t>
      </w:r>
      <w:r w:rsidRPr="00D141BF">
        <w:rPr>
          <w:rFonts w:ascii="Arial" w:hAnsi="Arial" w:cs="Arial"/>
          <w:sz w:val="19"/>
          <w:szCs w:val="19"/>
        </w:rPr>
        <w:t xml:space="preserve"> </w:t>
      </w:r>
      <w:r>
        <w:rPr>
          <w:rFonts w:ascii="Arial" w:hAnsi="Arial" w:cs="Arial"/>
          <w:sz w:val="19"/>
          <w:szCs w:val="19"/>
        </w:rPr>
        <w:t>S</w:t>
      </w:r>
      <w:r w:rsidRPr="00D141BF">
        <w:rPr>
          <w:rFonts w:ascii="Arial" w:hAnsi="Arial" w:cs="Arial"/>
          <w:sz w:val="19"/>
          <w:szCs w:val="19"/>
        </w:rPr>
        <w:t>entencia C-</w:t>
      </w:r>
      <w:r>
        <w:rPr>
          <w:rFonts w:ascii="Arial" w:hAnsi="Arial" w:cs="Arial"/>
          <w:sz w:val="19"/>
          <w:szCs w:val="19"/>
        </w:rPr>
        <w:t>949</w:t>
      </w:r>
      <w:r w:rsidRPr="00D141BF">
        <w:rPr>
          <w:rFonts w:ascii="Arial" w:hAnsi="Arial" w:cs="Arial"/>
          <w:sz w:val="19"/>
          <w:szCs w:val="19"/>
        </w:rPr>
        <w:t xml:space="preserve"> de </w:t>
      </w:r>
      <w:r>
        <w:rPr>
          <w:rFonts w:ascii="Arial" w:hAnsi="Arial" w:cs="Arial"/>
          <w:sz w:val="19"/>
          <w:szCs w:val="19"/>
        </w:rPr>
        <w:t>2001.</w:t>
      </w:r>
      <w:r w:rsidRPr="00D141BF">
        <w:rPr>
          <w:rFonts w:ascii="Arial" w:hAnsi="Arial" w:cs="Arial"/>
          <w:sz w:val="19"/>
          <w:szCs w:val="19"/>
        </w:rPr>
        <w:t xml:space="preserve"> M.P. </w:t>
      </w:r>
      <w:r>
        <w:rPr>
          <w:rFonts w:ascii="Arial" w:hAnsi="Arial" w:cs="Arial"/>
          <w:sz w:val="19"/>
          <w:szCs w:val="19"/>
        </w:rPr>
        <w:t xml:space="preserve">Clara </w:t>
      </w:r>
      <w:proofErr w:type="spellStart"/>
      <w:r>
        <w:rPr>
          <w:rFonts w:ascii="Arial" w:hAnsi="Arial" w:cs="Arial"/>
          <w:sz w:val="19"/>
          <w:szCs w:val="19"/>
        </w:rPr>
        <w:t>Ines</w:t>
      </w:r>
      <w:proofErr w:type="spellEnd"/>
      <w:r>
        <w:rPr>
          <w:rFonts w:ascii="Arial" w:hAnsi="Arial" w:cs="Arial"/>
          <w:sz w:val="19"/>
          <w:szCs w:val="19"/>
        </w:rPr>
        <w:t xml:space="preserve"> Vargas </w:t>
      </w:r>
      <w:proofErr w:type="spellStart"/>
      <w:r>
        <w:rPr>
          <w:rFonts w:ascii="Arial" w:hAnsi="Arial" w:cs="Arial"/>
          <w:sz w:val="19"/>
          <w:szCs w:val="19"/>
        </w:rPr>
        <w:t>Hernandez</w:t>
      </w:r>
      <w:r w:rsidRPr="00D141BF">
        <w:rPr>
          <w:rFonts w:ascii="Arial" w:hAnsi="Arial" w:cs="Arial"/>
          <w:sz w:val="19"/>
          <w:szCs w:val="19"/>
        </w:rPr>
        <w:t>l</w:t>
      </w:r>
      <w:proofErr w:type="spellEnd"/>
      <w:r>
        <w:rPr>
          <w:rFonts w:ascii="Arial" w:hAnsi="Arial" w:cs="Arial"/>
          <w:sz w:val="19"/>
          <w:szCs w:val="19"/>
        </w:rPr>
        <w:t>)</w:t>
      </w:r>
      <w:r w:rsidRPr="00D141BF">
        <w:rPr>
          <w:rFonts w:ascii="Arial" w:hAnsi="Arial" w:cs="Arial"/>
          <w:sz w:val="19"/>
          <w:szCs w:val="19"/>
        </w:rPr>
        <w:t>.</w:t>
      </w:r>
    </w:p>
    <w:p w:rsidRPr="00874EAD" w:rsidR="00312B97" w:rsidP="00874EAD" w:rsidRDefault="00312B97" w14:paraId="1635865B" w14:textId="37E56FBF">
      <w:pPr>
        <w:pStyle w:val="Textoindependiente"/>
        <w:spacing w:before="93"/>
        <w:ind w:firstLine="709"/>
        <w:jc w:val="both"/>
        <w:rPr>
          <w:sz w:val="19"/>
          <w:szCs w:val="19"/>
          <w:lang w:val="es-CO"/>
        </w:rPr>
      </w:pPr>
    </w:p>
    <w:p w:rsidRPr="00874EAD" w:rsidR="00312B97" w:rsidP="00312B97" w:rsidRDefault="00312B97" w14:paraId="1E701AB7" w14:textId="77777777">
      <w:pPr>
        <w:pStyle w:val="Textoindependiente"/>
        <w:spacing w:before="6"/>
        <w:rPr>
          <w:sz w:val="19"/>
          <w:szCs w:val="19"/>
          <w:lang w:val="es-CO"/>
        </w:rPr>
      </w:pPr>
    </w:p>
    <w:p w:rsidRPr="00874EAD" w:rsidR="00312B97" w:rsidRDefault="00312B97" w14:paraId="67EFF3EE" w14:textId="4DBDA729">
      <w:pPr>
        <w:pStyle w:val="Textonotapie"/>
        <w:rPr>
          <w:rFonts w:ascii="Arial" w:hAnsi="Arial" w:cs="Arial"/>
          <w:sz w:val="19"/>
          <w:szCs w:val="19"/>
          <w:lang w:val="es-ES"/>
        </w:rPr>
      </w:pPr>
    </w:p>
  </w:footnote>
  <w:footnote w:id="5">
    <w:p w:rsidRPr="0094266C" w:rsidR="00D01C0B" w:rsidP="0094266C" w:rsidRDefault="00D01C0B" w14:paraId="717DEB04" w14:textId="77777777">
      <w:pPr>
        <w:ind w:firstLine="709"/>
        <w:jc w:val="both"/>
        <w:rPr>
          <w:rFonts w:ascii="Arial" w:hAnsi="Arial" w:cs="Arial"/>
          <w:sz w:val="19"/>
          <w:szCs w:val="19"/>
        </w:rPr>
      </w:pPr>
      <w:r w:rsidRPr="0094266C">
        <w:rPr>
          <w:rStyle w:val="Refdenotaalpie"/>
          <w:rFonts w:ascii="Arial" w:hAnsi="Arial" w:cs="Arial"/>
          <w:sz w:val="19"/>
          <w:szCs w:val="19"/>
        </w:rPr>
        <w:footnoteRef/>
      </w:r>
      <w:r w:rsidRPr="0094266C">
        <w:rPr>
          <w:rFonts w:ascii="Arial" w:hAnsi="Arial" w:cs="Arial"/>
          <w:sz w:val="19"/>
          <w:szCs w:val="19"/>
        </w:rPr>
        <w:t xml:space="preserve"> LAFONT PIANETTA, Pedro. Manual de contratos, Tomo I, Ediciones Librería del Profesional, 1 Ed, 2001, p.508.</w:t>
      </w:r>
    </w:p>
    <w:p w:rsidRPr="0094266C" w:rsidR="00D01C0B" w:rsidP="0094266C" w:rsidRDefault="00D01C0B" w14:paraId="06ADFFB4" w14:textId="77777777">
      <w:pPr>
        <w:jc w:val="both"/>
        <w:rPr>
          <w:rFonts w:ascii="Arial" w:hAnsi="Arial" w:cs="Arial"/>
          <w:sz w:val="19"/>
          <w:szCs w:val="19"/>
        </w:rPr>
      </w:pPr>
    </w:p>
  </w:footnote>
  <w:footnote w:id="6">
    <w:p w:rsidRPr="00312B97" w:rsidR="00312B97" w:rsidP="00874EAD" w:rsidRDefault="00312B97" w14:paraId="608260C4" w14:textId="3D46C1A2">
      <w:pPr>
        <w:spacing w:after="120" w:line="276" w:lineRule="auto"/>
        <w:ind w:firstLine="709"/>
        <w:jc w:val="both"/>
        <w:rPr>
          <w:sz w:val="19"/>
          <w:szCs w:val="19"/>
        </w:rPr>
      </w:pPr>
      <w:r>
        <w:rPr>
          <w:rStyle w:val="Refdenotaalpie"/>
        </w:rPr>
        <w:footnoteRef/>
      </w:r>
      <w:r>
        <w:t xml:space="preserve"> </w:t>
      </w:r>
      <w:r w:rsidRPr="00312B97">
        <w:rPr>
          <w:rFonts w:ascii="Arial" w:hAnsi="Arial" w:cs="Arial"/>
          <w:sz w:val="19"/>
          <w:szCs w:val="19"/>
          <w:shd w:val="clear" w:color="auto" w:fill="FFFFFF"/>
        </w:rPr>
        <w:t>«</w:t>
      </w:r>
      <w:r w:rsidRPr="00312B97">
        <w:rPr>
          <w:rFonts w:ascii="Arial" w:hAnsi="Arial" w:cs="Arial"/>
          <w:sz w:val="19"/>
          <w:szCs w:val="19"/>
        </w:rPr>
        <w:t>A juicio de la Sala, en esta ocasión debe retomarse el asunto para efectos de modificar la tesis jurisprudencial que se ha venido siguiendo y, por tanto, debe puntualizarse que si bien las uniones temporales y los consorcios no constituyen personas jurídicas distintas de quienes integran la respectiva figura plural de oferentes o de contratistas, lo cierto es que además de contar con la aptitud para ser parte en el correspondiente procedimiento administrativo de selección de contratistas –comoquiera que por ley cuentan con capacidad suficiente para ser titulares de los derechos y obligaciones derivadas tanto de los procedimientos administrativos de selección contractual como de los propios contratos estatales─, también se encuentran facultados para concurrir a los procesos judiciales que pudieren tener origen en controversias surgidas del mencionado procedimiento administrativo de selección de contratistas o de la celebración y ejecución del contrato estatal respectivo –</w:t>
      </w:r>
      <w:proofErr w:type="spellStart"/>
      <w:r w:rsidRPr="00312B97">
        <w:rPr>
          <w:rFonts w:ascii="Arial" w:hAnsi="Arial" w:cs="Arial"/>
          <w:i/>
          <w:sz w:val="19"/>
          <w:szCs w:val="19"/>
        </w:rPr>
        <w:t>legitimatio</w:t>
      </w:r>
      <w:proofErr w:type="spellEnd"/>
      <w:r w:rsidRPr="00312B97">
        <w:rPr>
          <w:rFonts w:ascii="Arial" w:hAnsi="Arial" w:cs="Arial"/>
          <w:i/>
          <w:sz w:val="19"/>
          <w:szCs w:val="19"/>
        </w:rPr>
        <w:t xml:space="preserve"> ad </w:t>
      </w:r>
      <w:proofErr w:type="spellStart"/>
      <w:r w:rsidRPr="00312B97">
        <w:rPr>
          <w:rFonts w:ascii="Arial" w:hAnsi="Arial" w:cs="Arial"/>
          <w:i/>
          <w:sz w:val="19"/>
          <w:szCs w:val="19"/>
        </w:rPr>
        <w:t>processum</w:t>
      </w:r>
      <w:proofErr w:type="spellEnd"/>
      <w:r w:rsidRPr="00312B97">
        <w:rPr>
          <w:rFonts w:ascii="Arial" w:hAnsi="Arial" w:cs="Arial"/>
          <w:sz w:val="19"/>
          <w:szCs w:val="19"/>
        </w:rPr>
        <w:t>-, por intermedio de su</w:t>
      </w:r>
      <w:r w:rsidRPr="00312B97">
        <w:rPr>
          <w:rFonts w:ascii="Arial" w:hAnsi="Arial" w:cs="Arial"/>
          <w:spacing w:val="-8"/>
          <w:sz w:val="19"/>
          <w:szCs w:val="19"/>
        </w:rPr>
        <w:t xml:space="preserve"> </w:t>
      </w:r>
      <w:r w:rsidRPr="00312B97">
        <w:rPr>
          <w:rFonts w:ascii="Arial" w:hAnsi="Arial" w:cs="Arial"/>
          <w:sz w:val="19"/>
          <w:szCs w:val="19"/>
        </w:rPr>
        <w:t>representante»</w:t>
      </w:r>
      <w:r w:rsidR="00874EAD">
        <w:rPr>
          <w:rFonts w:ascii="Arial" w:hAnsi="Arial" w:cs="Arial"/>
          <w:sz w:val="19"/>
          <w:szCs w:val="19"/>
        </w:rPr>
        <w:t xml:space="preserve"> (</w:t>
      </w:r>
      <w:r w:rsidRPr="00312B97" w:rsidR="00874EAD">
        <w:rPr>
          <w:rFonts w:ascii="Arial" w:hAnsi="Arial" w:cs="Arial"/>
          <w:sz w:val="19"/>
          <w:szCs w:val="19"/>
        </w:rPr>
        <w:t>Consejo de Estado. Sección Tercera. Sala Plena. Sentencia de Unificación de 25 de septiembre de 2013. M.P. Mauricio Fajardo Gómez, rad. 19.933</w:t>
      </w:r>
      <w:r w:rsidR="00874EAD">
        <w:rPr>
          <w:rFonts w:ascii="Arial" w:hAnsi="Arial" w:cs="Arial"/>
          <w:sz w:val="19"/>
          <w:szCs w:val="19"/>
        </w:rPr>
        <w:t xml:space="preserve">). </w:t>
      </w:r>
    </w:p>
    <w:p w:rsidRPr="00312B97" w:rsidR="00312B97" w:rsidRDefault="00312B97" w14:paraId="19C9DD27" w14:textId="04C73AB1">
      <w:pPr>
        <w:pStyle w:val="Textonotapie"/>
        <w:rPr>
          <w:lang w:val="es-ES"/>
        </w:rPr>
      </w:pPr>
    </w:p>
  </w:footnote>
  <w:footnote w:id="7">
    <w:p w:rsidR="00A1118B" w:rsidP="00A1118B" w:rsidRDefault="00A1118B" w14:paraId="5184BE6B" w14:textId="77777777">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rsidR="00A1118B" w:rsidP="00A1118B" w:rsidRDefault="00A1118B" w14:paraId="6C89E0EA" w14:textId="77777777">
      <w:pPr>
        <w:pStyle w:val="Textonotapie"/>
        <w:ind w:firstLine="708"/>
        <w:jc w:val="both"/>
        <w:rPr>
          <w:rFonts w:ascii="Arial" w:hAnsi="Arial" w:cs="Arial"/>
          <w:sz w:val="19"/>
          <w:szCs w:val="19"/>
          <w:lang w:val="es-CO"/>
        </w:rPr>
      </w:pPr>
    </w:p>
  </w:footnote>
  <w:footnote w:id="8">
    <w:p w:rsidR="00A1118B" w:rsidP="00A1118B" w:rsidRDefault="00A1118B" w14:paraId="00866D3E" w14:textId="77777777">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rsidR="00A1118B" w:rsidP="00A1118B" w:rsidRDefault="00A1118B" w14:paraId="40199D4B" w14:textId="77777777">
      <w:pPr>
        <w:pStyle w:val="Textonotapie"/>
        <w:ind w:firstLine="708"/>
        <w:jc w:val="both"/>
        <w:rPr>
          <w:rFonts w:ascii="Arial" w:hAnsi="Arial" w:cs="Arial"/>
          <w:sz w:val="19"/>
          <w:szCs w:val="19"/>
          <w:lang w:val="es-CO"/>
        </w:rPr>
      </w:pPr>
    </w:p>
  </w:footnote>
  <w:footnote w:id="9">
    <w:p w:rsidR="00A1118B" w:rsidP="00A1118B" w:rsidRDefault="00A1118B" w14:paraId="31B421D0" w14:textId="77777777">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Ley 1150 de 2007, artículo 6: «No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p w:rsidR="00A1118B" w:rsidP="00A1118B" w:rsidRDefault="00A1118B" w14:paraId="6681E627" w14:textId="77777777">
      <w:pPr>
        <w:pStyle w:val="Textonotapie"/>
        <w:ind w:firstLine="708"/>
        <w:jc w:val="both"/>
        <w:rPr>
          <w:rFonts w:ascii="Arial" w:hAnsi="Arial" w:cs="Arial"/>
          <w:sz w:val="19"/>
          <w:szCs w:val="19"/>
          <w:lang w:val="es-CO"/>
        </w:rPr>
      </w:pPr>
    </w:p>
  </w:footnote>
  <w:footnote w:id="10">
    <w:p w:rsidR="00A1118B" w:rsidRDefault="00A1118B" w14:paraId="35D589F7" w14:textId="6571189B">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Consejo de Estado. Sala de Consulta y Servicio Civil. Concepto del 20 de mayo de 2010. Exp.1992. C.P. Enrique José Arboleda Perdomo.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5A79FE" w:rsidRDefault="005A79FE" w14:paraId="4CEB5923" w14:textId="72BD7C0A">
    <w:pPr>
      <w:pStyle w:val="Encabezado"/>
    </w:pPr>
  </w:p>
  <w:p w:rsidR="005A79FE" w:rsidRDefault="005A79FE" w14:paraId="6A4C7F2C" w14:textId="7D093DBB">
    <w:pPr>
      <w:pStyle w:val="Encabezado"/>
    </w:pPr>
  </w:p>
  <w:p w:rsidR="005A79FE" w:rsidRDefault="005A79FE" w14:paraId="055F2E1F" w14:textId="0B935ADD">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B34077B">
      <w:rPr/>
      <w:t/>
    </w:r>
  </w:p>
  <w:p w:rsidR="005A79FE" w:rsidRDefault="005A79FE" w14:paraId="51400574" w14:textId="61BAF652">
    <w:pPr>
      <w:pStyle w:val="Encabezado"/>
    </w:pPr>
  </w:p>
  <w:p w:rsidR="005A79FE" w:rsidRDefault="005A79FE" w14:paraId="3D323BDB" w14:textId="04AF0DE6">
    <w:pPr>
      <w:pStyle w:val="Encabezado"/>
    </w:pPr>
  </w:p>
  <w:p w:rsidR="007B0854" w:rsidRDefault="007B0854" w14:paraId="6520770B" w14:textId="18EB07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7A6B"/>
    <w:rsid w:val="000345BC"/>
    <w:rsid w:val="00044372"/>
    <w:rsid w:val="0005144D"/>
    <w:rsid w:val="00077E5B"/>
    <w:rsid w:val="0008367B"/>
    <w:rsid w:val="0009126B"/>
    <w:rsid w:val="000942EB"/>
    <w:rsid w:val="000A3F30"/>
    <w:rsid w:val="000A7122"/>
    <w:rsid w:val="000B103F"/>
    <w:rsid w:val="000D15B1"/>
    <w:rsid w:val="000F14E8"/>
    <w:rsid w:val="00103915"/>
    <w:rsid w:val="001059A1"/>
    <w:rsid w:val="00117754"/>
    <w:rsid w:val="00122B23"/>
    <w:rsid w:val="00130469"/>
    <w:rsid w:val="00137B39"/>
    <w:rsid w:val="00137FFA"/>
    <w:rsid w:val="00152993"/>
    <w:rsid w:val="00153D61"/>
    <w:rsid w:val="001572CD"/>
    <w:rsid w:val="00185851"/>
    <w:rsid w:val="001C0ABA"/>
    <w:rsid w:val="001D0743"/>
    <w:rsid w:val="001F179E"/>
    <w:rsid w:val="002029C7"/>
    <w:rsid w:val="0020502E"/>
    <w:rsid w:val="00206542"/>
    <w:rsid w:val="00234B84"/>
    <w:rsid w:val="00246B65"/>
    <w:rsid w:val="00262EE4"/>
    <w:rsid w:val="0029200B"/>
    <w:rsid w:val="00292336"/>
    <w:rsid w:val="002B1C31"/>
    <w:rsid w:val="002D4CA6"/>
    <w:rsid w:val="002E0915"/>
    <w:rsid w:val="002E2027"/>
    <w:rsid w:val="002F76FB"/>
    <w:rsid w:val="0030156A"/>
    <w:rsid w:val="003033BA"/>
    <w:rsid w:val="00312B97"/>
    <w:rsid w:val="00327526"/>
    <w:rsid w:val="00327783"/>
    <w:rsid w:val="0034680A"/>
    <w:rsid w:val="00352B43"/>
    <w:rsid w:val="00362212"/>
    <w:rsid w:val="00364BDA"/>
    <w:rsid w:val="0037664B"/>
    <w:rsid w:val="00386456"/>
    <w:rsid w:val="003A581E"/>
    <w:rsid w:val="003B0CB8"/>
    <w:rsid w:val="003B1925"/>
    <w:rsid w:val="003B62C1"/>
    <w:rsid w:val="00414275"/>
    <w:rsid w:val="00431D81"/>
    <w:rsid w:val="004422D6"/>
    <w:rsid w:val="00443F61"/>
    <w:rsid w:val="00447A31"/>
    <w:rsid w:val="00451254"/>
    <w:rsid w:val="004640D9"/>
    <w:rsid w:val="004A34D2"/>
    <w:rsid w:val="004B2816"/>
    <w:rsid w:val="004C6C73"/>
    <w:rsid w:val="004D6B38"/>
    <w:rsid w:val="004E0E8D"/>
    <w:rsid w:val="004E643E"/>
    <w:rsid w:val="004F2E52"/>
    <w:rsid w:val="004F4EC7"/>
    <w:rsid w:val="0050166B"/>
    <w:rsid w:val="0051074C"/>
    <w:rsid w:val="0051336C"/>
    <w:rsid w:val="00513AF2"/>
    <w:rsid w:val="00525ECB"/>
    <w:rsid w:val="005311A1"/>
    <w:rsid w:val="0054413A"/>
    <w:rsid w:val="005564CA"/>
    <w:rsid w:val="00565729"/>
    <w:rsid w:val="00571765"/>
    <w:rsid w:val="00575693"/>
    <w:rsid w:val="00587B43"/>
    <w:rsid w:val="00596747"/>
    <w:rsid w:val="005A79FE"/>
    <w:rsid w:val="005B2F7D"/>
    <w:rsid w:val="005B568E"/>
    <w:rsid w:val="005C1863"/>
    <w:rsid w:val="005D11C7"/>
    <w:rsid w:val="005D7A7C"/>
    <w:rsid w:val="005F232E"/>
    <w:rsid w:val="00611678"/>
    <w:rsid w:val="00655371"/>
    <w:rsid w:val="00656E72"/>
    <w:rsid w:val="00676032"/>
    <w:rsid w:val="00691378"/>
    <w:rsid w:val="00696CDD"/>
    <w:rsid w:val="00697665"/>
    <w:rsid w:val="006A4BF8"/>
    <w:rsid w:val="006A7FD0"/>
    <w:rsid w:val="006D7687"/>
    <w:rsid w:val="006E0572"/>
    <w:rsid w:val="006F321D"/>
    <w:rsid w:val="00705631"/>
    <w:rsid w:val="00712B89"/>
    <w:rsid w:val="00742DD2"/>
    <w:rsid w:val="0075385B"/>
    <w:rsid w:val="0075647A"/>
    <w:rsid w:val="007634AD"/>
    <w:rsid w:val="0078122E"/>
    <w:rsid w:val="007A2738"/>
    <w:rsid w:val="007B0854"/>
    <w:rsid w:val="007B2708"/>
    <w:rsid w:val="007C4AA3"/>
    <w:rsid w:val="007D31F8"/>
    <w:rsid w:val="007E312B"/>
    <w:rsid w:val="007F72CB"/>
    <w:rsid w:val="008020C2"/>
    <w:rsid w:val="00810936"/>
    <w:rsid w:val="00812C73"/>
    <w:rsid w:val="00813130"/>
    <w:rsid w:val="00815863"/>
    <w:rsid w:val="00824DE9"/>
    <w:rsid w:val="00826E68"/>
    <w:rsid w:val="0083119B"/>
    <w:rsid w:val="00831FF1"/>
    <w:rsid w:val="008366C4"/>
    <w:rsid w:val="00836EAB"/>
    <w:rsid w:val="00846BF0"/>
    <w:rsid w:val="0085092D"/>
    <w:rsid w:val="00857715"/>
    <w:rsid w:val="00871FAE"/>
    <w:rsid w:val="0087282B"/>
    <w:rsid w:val="00874EAD"/>
    <w:rsid w:val="00883B97"/>
    <w:rsid w:val="008A6B7B"/>
    <w:rsid w:val="008C4490"/>
    <w:rsid w:val="008E1C15"/>
    <w:rsid w:val="008F0CB4"/>
    <w:rsid w:val="009047C5"/>
    <w:rsid w:val="009104B9"/>
    <w:rsid w:val="00917224"/>
    <w:rsid w:val="0093110F"/>
    <w:rsid w:val="0094266C"/>
    <w:rsid w:val="00943498"/>
    <w:rsid w:val="009464A2"/>
    <w:rsid w:val="009501C7"/>
    <w:rsid w:val="0095385A"/>
    <w:rsid w:val="00967E6D"/>
    <w:rsid w:val="0098455D"/>
    <w:rsid w:val="009902AA"/>
    <w:rsid w:val="009A23FE"/>
    <w:rsid w:val="009A4297"/>
    <w:rsid w:val="009B2279"/>
    <w:rsid w:val="009B2637"/>
    <w:rsid w:val="009C2897"/>
    <w:rsid w:val="009D0CB2"/>
    <w:rsid w:val="009F014B"/>
    <w:rsid w:val="00A00C13"/>
    <w:rsid w:val="00A1118B"/>
    <w:rsid w:val="00A140AB"/>
    <w:rsid w:val="00A14C29"/>
    <w:rsid w:val="00A24560"/>
    <w:rsid w:val="00A2510D"/>
    <w:rsid w:val="00A27837"/>
    <w:rsid w:val="00A34538"/>
    <w:rsid w:val="00A875A5"/>
    <w:rsid w:val="00AA0537"/>
    <w:rsid w:val="00AA352C"/>
    <w:rsid w:val="00AA442B"/>
    <w:rsid w:val="00AB3F0B"/>
    <w:rsid w:val="00AC429C"/>
    <w:rsid w:val="00B111F7"/>
    <w:rsid w:val="00B2212D"/>
    <w:rsid w:val="00B22E22"/>
    <w:rsid w:val="00B2577F"/>
    <w:rsid w:val="00B5013B"/>
    <w:rsid w:val="00B525CB"/>
    <w:rsid w:val="00B63CB2"/>
    <w:rsid w:val="00B90639"/>
    <w:rsid w:val="00BB5ECD"/>
    <w:rsid w:val="00BC6378"/>
    <w:rsid w:val="00BD13CE"/>
    <w:rsid w:val="00BD78FE"/>
    <w:rsid w:val="00BE45E7"/>
    <w:rsid w:val="00BE5500"/>
    <w:rsid w:val="00BF16E8"/>
    <w:rsid w:val="00C04FF1"/>
    <w:rsid w:val="00C11F22"/>
    <w:rsid w:val="00C120F5"/>
    <w:rsid w:val="00C24646"/>
    <w:rsid w:val="00C26506"/>
    <w:rsid w:val="00CA287E"/>
    <w:rsid w:val="00CA41B2"/>
    <w:rsid w:val="00CA4390"/>
    <w:rsid w:val="00CA5C34"/>
    <w:rsid w:val="00CB0031"/>
    <w:rsid w:val="00CC00CD"/>
    <w:rsid w:val="00CC2990"/>
    <w:rsid w:val="00CD194E"/>
    <w:rsid w:val="00D01C0B"/>
    <w:rsid w:val="00D06FB2"/>
    <w:rsid w:val="00D107BD"/>
    <w:rsid w:val="00D141BF"/>
    <w:rsid w:val="00D16E39"/>
    <w:rsid w:val="00D262D4"/>
    <w:rsid w:val="00D43247"/>
    <w:rsid w:val="00D51F97"/>
    <w:rsid w:val="00D579B0"/>
    <w:rsid w:val="00D704E9"/>
    <w:rsid w:val="00D72E9D"/>
    <w:rsid w:val="00D76C11"/>
    <w:rsid w:val="00D80E8F"/>
    <w:rsid w:val="00D82CE5"/>
    <w:rsid w:val="00DA5AB1"/>
    <w:rsid w:val="00DB2967"/>
    <w:rsid w:val="00DB783C"/>
    <w:rsid w:val="00DC108A"/>
    <w:rsid w:val="00DC62E5"/>
    <w:rsid w:val="00DD1A24"/>
    <w:rsid w:val="00DD735D"/>
    <w:rsid w:val="00DE3119"/>
    <w:rsid w:val="00DE340B"/>
    <w:rsid w:val="00DE43FE"/>
    <w:rsid w:val="00DE7005"/>
    <w:rsid w:val="00DF236B"/>
    <w:rsid w:val="00DF3AD1"/>
    <w:rsid w:val="00DF6729"/>
    <w:rsid w:val="00E01A22"/>
    <w:rsid w:val="00E041CF"/>
    <w:rsid w:val="00E13AB8"/>
    <w:rsid w:val="00E14F19"/>
    <w:rsid w:val="00E21051"/>
    <w:rsid w:val="00E30532"/>
    <w:rsid w:val="00E33B62"/>
    <w:rsid w:val="00E5063D"/>
    <w:rsid w:val="00E605C9"/>
    <w:rsid w:val="00E63CB9"/>
    <w:rsid w:val="00E64B2E"/>
    <w:rsid w:val="00E64E6F"/>
    <w:rsid w:val="00E66FFB"/>
    <w:rsid w:val="00E90B53"/>
    <w:rsid w:val="00E937E3"/>
    <w:rsid w:val="00EB0CAD"/>
    <w:rsid w:val="00ED391C"/>
    <w:rsid w:val="00EE1714"/>
    <w:rsid w:val="00F014F0"/>
    <w:rsid w:val="00F15B00"/>
    <w:rsid w:val="00F34373"/>
    <w:rsid w:val="00F47851"/>
    <w:rsid w:val="00F56D55"/>
    <w:rsid w:val="00F63121"/>
    <w:rsid w:val="00F64CCE"/>
    <w:rsid w:val="00F84899"/>
    <w:rsid w:val="00F859F0"/>
    <w:rsid w:val="00F85DD3"/>
    <w:rsid w:val="00F96C02"/>
    <w:rsid w:val="00FA2370"/>
    <w:rsid w:val="00FB360D"/>
    <w:rsid w:val="00FC17D7"/>
    <w:rsid w:val="00FC4073"/>
    <w:rsid w:val="00FD3ACD"/>
    <w:rsid w:val="00FE141E"/>
    <w:rsid w:val="00FF4494"/>
    <w:rsid w:val="08D70B99"/>
    <w:rsid w:val="19B13281"/>
    <w:rsid w:val="486300FD"/>
    <w:rsid w:val="5B34077B"/>
    <w:rsid w:val="5F4A4FB2"/>
    <w:rsid w:val="6DA43B95"/>
    <w:rsid w:val="745A764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7754"/>
    <w:pPr>
      <w:spacing w:after="0" w:line="240" w:lineRule="auto"/>
    </w:pPr>
    <w:rPr>
      <w:rFonts w:ascii="Times New Roman" w:hAnsi="Times New Roman" w:eastAsia="Times New Roman" w:cs="Times New Roman"/>
      <w:sz w:val="24"/>
      <w:szCs w:val="24"/>
      <w:lang w:val="es-ES" w:eastAsia="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hAnsiTheme="minorHAnsi" w:eastAsia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paragraph" w:styleId="Textoindependiente">
    <w:name w:val="Body Text"/>
    <w:basedOn w:val="Normal"/>
    <w:link w:val="TextoindependienteCar"/>
    <w:uiPriority w:val="1"/>
    <w:qFormat/>
    <w:rsid w:val="00D01C0B"/>
    <w:pPr>
      <w:widowControl w:val="0"/>
      <w:autoSpaceDE w:val="0"/>
      <w:autoSpaceDN w:val="0"/>
    </w:pPr>
    <w:rPr>
      <w:rFonts w:ascii="Arial" w:hAnsi="Arial" w:eastAsia="Arial" w:cs="Arial"/>
      <w:sz w:val="22"/>
      <w:szCs w:val="22"/>
      <w:lang w:eastAsia="en-US"/>
    </w:rPr>
  </w:style>
  <w:style w:type="character" w:styleId="TextoindependienteCar" w:customStyle="1">
    <w:name w:val="Texto independiente Car"/>
    <w:basedOn w:val="Fuentedeprrafopredeter"/>
    <w:link w:val="Textoindependiente"/>
    <w:uiPriority w:val="1"/>
    <w:rsid w:val="00D01C0B"/>
    <w:rPr>
      <w:rFonts w:ascii="Arial" w:hAnsi="Arial" w:eastAsia="Arial" w:cs="Arial"/>
      <w:lang w:val="es-ES"/>
    </w:rPr>
  </w:style>
  <w:style w:type="paragraph" w:styleId="paragraph" w:customStyle="1">
    <w:name w:val="paragraph"/>
    <w:basedOn w:val="Normal"/>
    <w:rsid w:val="0030156A"/>
    <w:pPr>
      <w:spacing w:before="100" w:beforeAutospacing="1" w:after="100" w:afterAutospacing="1"/>
    </w:pPr>
  </w:style>
  <w:style w:type="character" w:styleId="normaltextrun" w:customStyle="1">
    <w:name w:val="normaltextrun"/>
    <w:basedOn w:val="Fuentedeprrafopredeter"/>
    <w:rsid w:val="0030156A"/>
  </w:style>
  <w:style w:type="character" w:styleId="eop" w:customStyle="1">
    <w:name w:val="eop"/>
    <w:basedOn w:val="Fuentedeprrafopredeter"/>
    <w:rsid w:val="0030156A"/>
  </w:style>
  <w:style w:type="paragraph" w:styleId="Revisin">
    <w:name w:val="Revision"/>
    <w:hidden/>
    <w:uiPriority w:val="99"/>
    <w:semiHidden/>
    <w:rsid w:val="00A140AB"/>
    <w:pPr>
      <w:spacing w:after="0" w:line="240" w:lineRule="auto"/>
    </w:pPr>
    <w:rPr>
      <w:rFonts w:ascii="Times New Roman" w:hAnsi="Times New Roman" w:eastAsia="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4783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5691756">
      <w:bodyDiv w:val="1"/>
      <w:marLeft w:val="0"/>
      <w:marRight w:val="0"/>
      <w:marTop w:val="0"/>
      <w:marBottom w:val="0"/>
      <w:divBdr>
        <w:top w:val="none" w:sz="0" w:space="0" w:color="auto"/>
        <w:left w:val="none" w:sz="0" w:space="0" w:color="auto"/>
        <w:bottom w:val="none" w:sz="0" w:space="0" w:color="auto"/>
        <w:right w:val="none" w:sz="0" w:space="0" w:color="auto"/>
      </w:divBdr>
    </w:div>
    <w:div w:id="361247512">
      <w:bodyDiv w:val="1"/>
      <w:marLeft w:val="0"/>
      <w:marRight w:val="0"/>
      <w:marTop w:val="0"/>
      <w:marBottom w:val="0"/>
      <w:divBdr>
        <w:top w:val="none" w:sz="0" w:space="0" w:color="auto"/>
        <w:left w:val="none" w:sz="0" w:space="0" w:color="auto"/>
        <w:bottom w:val="none" w:sz="0" w:space="0" w:color="auto"/>
        <w:right w:val="none" w:sz="0" w:space="0" w:color="auto"/>
      </w:divBdr>
    </w:div>
    <w:div w:id="463734701">
      <w:bodyDiv w:val="1"/>
      <w:marLeft w:val="0"/>
      <w:marRight w:val="0"/>
      <w:marTop w:val="0"/>
      <w:marBottom w:val="0"/>
      <w:divBdr>
        <w:top w:val="none" w:sz="0" w:space="0" w:color="auto"/>
        <w:left w:val="none" w:sz="0" w:space="0" w:color="auto"/>
        <w:bottom w:val="none" w:sz="0" w:space="0" w:color="auto"/>
        <w:right w:val="none" w:sz="0" w:space="0" w:color="auto"/>
      </w:divBdr>
    </w:div>
    <w:div w:id="546183791">
      <w:bodyDiv w:val="1"/>
      <w:marLeft w:val="0"/>
      <w:marRight w:val="0"/>
      <w:marTop w:val="0"/>
      <w:marBottom w:val="0"/>
      <w:divBdr>
        <w:top w:val="none" w:sz="0" w:space="0" w:color="auto"/>
        <w:left w:val="none" w:sz="0" w:space="0" w:color="auto"/>
        <w:bottom w:val="none" w:sz="0" w:space="0" w:color="auto"/>
        <w:right w:val="none" w:sz="0" w:space="0" w:color="auto"/>
      </w:divBdr>
    </w:div>
    <w:div w:id="666054411">
      <w:bodyDiv w:val="1"/>
      <w:marLeft w:val="0"/>
      <w:marRight w:val="0"/>
      <w:marTop w:val="0"/>
      <w:marBottom w:val="0"/>
      <w:divBdr>
        <w:top w:val="none" w:sz="0" w:space="0" w:color="auto"/>
        <w:left w:val="none" w:sz="0" w:space="0" w:color="auto"/>
        <w:bottom w:val="none" w:sz="0" w:space="0" w:color="auto"/>
        <w:right w:val="none" w:sz="0" w:space="0" w:color="auto"/>
      </w:divBdr>
    </w:div>
    <w:div w:id="906379918">
      <w:bodyDiv w:val="1"/>
      <w:marLeft w:val="0"/>
      <w:marRight w:val="0"/>
      <w:marTop w:val="0"/>
      <w:marBottom w:val="0"/>
      <w:divBdr>
        <w:top w:val="none" w:sz="0" w:space="0" w:color="auto"/>
        <w:left w:val="none" w:sz="0" w:space="0" w:color="auto"/>
        <w:bottom w:val="none" w:sz="0" w:space="0" w:color="auto"/>
        <w:right w:val="none" w:sz="0" w:space="0" w:color="auto"/>
      </w:divBdr>
    </w:div>
    <w:div w:id="963774954">
      <w:bodyDiv w:val="1"/>
      <w:marLeft w:val="0"/>
      <w:marRight w:val="0"/>
      <w:marTop w:val="0"/>
      <w:marBottom w:val="0"/>
      <w:divBdr>
        <w:top w:val="none" w:sz="0" w:space="0" w:color="auto"/>
        <w:left w:val="none" w:sz="0" w:space="0" w:color="auto"/>
        <w:bottom w:val="none" w:sz="0" w:space="0" w:color="auto"/>
        <w:right w:val="none" w:sz="0" w:space="0" w:color="auto"/>
      </w:divBdr>
    </w:div>
    <w:div w:id="989790944">
      <w:bodyDiv w:val="1"/>
      <w:marLeft w:val="0"/>
      <w:marRight w:val="0"/>
      <w:marTop w:val="0"/>
      <w:marBottom w:val="0"/>
      <w:divBdr>
        <w:top w:val="none" w:sz="0" w:space="0" w:color="auto"/>
        <w:left w:val="none" w:sz="0" w:space="0" w:color="auto"/>
        <w:bottom w:val="none" w:sz="0" w:space="0" w:color="auto"/>
        <w:right w:val="none" w:sz="0" w:space="0" w:color="auto"/>
      </w:divBdr>
    </w:div>
    <w:div w:id="1069498131">
      <w:bodyDiv w:val="1"/>
      <w:marLeft w:val="0"/>
      <w:marRight w:val="0"/>
      <w:marTop w:val="0"/>
      <w:marBottom w:val="0"/>
      <w:divBdr>
        <w:top w:val="none" w:sz="0" w:space="0" w:color="auto"/>
        <w:left w:val="none" w:sz="0" w:space="0" w:color="auto"/>
        <w:bottom w:val="none" w:sz="0" w:space="0" w:color="auto"/>
        <w:right w:val="none" w:sz="0" w:space="0" w:color="auto"/>
      </w:divBdr>
    </w:div>
    <w:div w:id="1129932967">
      <w:bodyDiv w:val="1"/>
      <w:marLeft w:val="0"/>
      <w:marRight w:val="0"/>
      <w:marTop w:val="0"/>
      <w:marBottom w:val="0"/>
      <w:divBdr>
        <w:top w:val="none" w:sz="0" w:space="0" w:color="auto"/>
        <w:left w:val="none" w:sz="0" w:space="0" w:color="auto"/>
        <w:bottom w:val="none" w:sz="0" w:space="0" w:color="auto"/>
        <w:right w:val="none" w:sz="0" w:space="0" w:color="auto"/>
      </w:divBdr>
    </w:div>
    <w:div w:id="1156603970">
      <w:bodyDiv w:val="1"/>
      <w:marLeft w:val="0"/>
      <w:marRight w:val="0"/>
      <w:marTop w:val="0"/>
      <w:marBottom w:val="0"/>
      <w:divBdr>
        <w:top w:val="none" w:sz="0" w:space="0" w:color="auto"/>
        <w:left w:val="none" w:sz="0" w:space="0" w:color="auto"/>
        <w:bottom w:val="none" w:sz="0" w:space="0" w:color="auto"/>
        <w:right w:val="none" w:sz="0" w:space="0" w:color="auto"/>
      </w:divBdr>
    </w:div>
    <w:div w:id="1220284864">
      <w:bodyDiv w:val="1"/>
      <w:marLeft w:val="0"/>
      <w:marRight w:val="0"/>
      <w:marTop w:val="0"/>
      <w:marBottom w:val="0"/>
      <w:divBdr>
        <w:top w:val="none" w:sz="0" w:space="0" w:color="auto"/>
        <w:left w:val="none" w:sz="0" w:space="0" w:color="auto"/>
        <w:bottom w:val="none" w:sz="0" w:space="0" w:color="auto"/>
        <w:right w:val="none" w:sz="0" w:space="0" w:color="auto"/>
      </w:divBdr>
    </w:div>
    <w:div w:id="1438595572">
      <w:bodyDiv w:val="1"/>
      <w:marLeft w:val="0"/>
      <w:marRight w:val="0"/>
      <w:marTop w:val="0"/>
      <w:marBottom w:val="0"/>
      <w:divBdr>
        <w:top w:val="none" w:sz="0" w:space="0" w:color="auto"/>
        <w:left w:val="none" w:sz="0" w:space="0" w:color="auto"/>
        <w:bottom w:val="none" w:sz="0" w:space="0" w:color="auto"/>
        <w:right w:val="none" w:sz="0" w:space="0" w:color="auto"/>
      </w:divBdr>
      <w:divsChild>
        <w:div w:id="1386444987">
          <w:marLeft w:val="0"/>
          <w:marRight w:val="0"/>
          <w:marTop w:val="0"/>
          <w:marBottom w:val="0"/>
          <w:divBdr>
            <w:top w:val="none" w:sz="0" w:space="0" w:color="auto"/>
            <w:left w:val="none" w:sz="0" w:space="0" w:color="auto"/>
            <w:bottom w:val="none" w:sz="0" w:space="0" w:color="auto"/>
            <w:right w:val="none" w:sz="0" w:space="0" w:color="auto"/>
          </w:divBdr>
        </w:div>
        <w:div w:id="1145124620">
          <w:marLeft w:val="0"/>
          <w:marRight w:val="0"/>
          <w:marTop w:val="0"/>
          <w:marBottom w:val="0"/>
          <w:divBdr>
            <w:top w:val="none" w:sz="0" w:space="0" w:color="auto"/>
            <w:left w:val="none" w:sz="0" w:space="0" w:color="auto"/>
            <w:bottom w:val="none" w:sz="0" w:space="0" w:color="auto"/>
            <w:right w:val="none" w:sz="0" w:space="0" w:color="auto"/>
          </w:divBdr>
        </w:div>
        <w:div w:id="1786003576">
          <w:marLeft w:val="0"/>
          <w:marRight w:val="0"/>
          <w:marTop w:val="0"/>
          <w:marBottom w:val="0"/>
          <w:divBdr>
            <w:top w:val="none" w:sz="0" w:space="0" w:color="auto"/>
            <w:left w:val="none" w:sz="0" w:space="0" w:color="auto"/>
            <w:bottom w:val="none" w:sz="0" w:space="0" w:color="auto"/>
            <w:right w:val="none" w:sz="0" w:space="0" w:color="auto"/>
          </w:divBdr>
        </w:div>
      </w:divsChild>
    </w:div>
    <w:div w:id="175374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f73e897e3e764975" /></Relationships>
</file>

<file path=word/_rels/footer1.xml.rels>&#65279;<?xml version="1.0" encoding="utf-8"?><Relationships xmlns="http://schemas.openxmlformats.org/package/2006/relationships"><Relationship Type="http://schemas.openxmlformats.org/officeDocument/2006/relationships/image" Target="/media/image5.png" Id="R600507edde45473c"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C7844-CCB9-4CA8-8F0D-BAD27EE67DD6}">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333DAE3E-DB52-421B-A172-696C0082E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C0E774CE-1329-4418-B0D8-9BAAEB57E3A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Omar Mejía Olmos</dc:creator>
  <lastModifiedBy>Nina María Padrón</lastModifiedBy>
  <revision>15</revision>
  <dcterms:created xsi:type="dcterms:W3CDTF">2020-06-17T17:30:00.0000000Z</dcterms:created>
  <dcterms:modified xsi:type="dcterms:W3CDTF">2020-07-28T17:47:10.0641094Z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