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C15D5" w:rsidR="00BE1E33" w:rsidP="00BE1E33" w:rsidRDefault="00BE1E33" w14:paraId="2D47BA26" w14:textId="77777777">
      <w:pPr>
        <w:jc w:val="right"/>
        <w:rPr>
          <w:rFonts w:ascii="Arial" w:hAnsi="Arial" w:cs="Arial"/>
          <w:bCs/>
          <w:color w:val="000000" w:themeColor="text1"/>
          <w:sz w:val="16"/>
          <w:szCs w:val="16"/>
          <w:lang w:eastAsia="es-ES"/>
        </w:rPr>
      </w:pPr>
      <w:bookmarkStart w:name="_Hlk28946138" w:id="0"/>
      <w:bookmarkStart w:name="_Hlk29548183" w:id="1"/>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rsidRPr="006C15D5" w:rsidR="00BE1E33" w:rsidP="00BE1E33" w:rsidRDefault="00BE1E33" w14:paraId="25784C1D" w14:textId="77777777">
      <w:pPr>
        <w:jc w:val="both"/>
        <w:rPr>
          <w:rFonts w:ascii="Arial" w:hAnsi="Arial" w:eastAsia="Calibri" w:cs="Arial"/>
          <w:b/>
          <w:color w:val="000000" w:themeColor="text1"/>
          <w:sz w:val="20"/>
          <w:szCs w:val="20"/>
        </w:rPr>
      </w:pPr>
    </w:p>
    <w:p w:rsidRPr="004E20DA" w:rsidR="0009384D" w:rsidP="0009384D" w:rsidRDefault="000344BF" w14:paraId="49AD593A" w14:textId="7F4DBAE2">
      <w:pPr>
        <w:jc w:val="both"/>
        <w:rPr>
          <w:rFonts w:ascii="Arial" w:hAnsi="Arial" w:eastAsia="Calibri" w:cs="Arial"/>
          <w:b/>
          <w:color w:val="000000" w:themeColor="text1"/>
          <w:sz w:val="22"/>
        </w:rPr>
      </w:pPr>
      <w:r>
        <w:rPr>
          <w:rFonts w:ascii="Arial" w:hAnsi="Arial" w:eastAsia="Calibri" w:cs="Arial"/>
          <w:b/>
          <w:color w:val="000000" w:themeColor="text1"/>
          <w:sz w:val="22"/>
        </w:rPr>
        <w:t>SOCIEDADES NUEVAS ‒</w:t>
      </w:r>
      <w:r w:rsidR="00044F55">
        <w:rPr>
          <w:rFonts w:ascii="Arial" w:hAnsi="Arial" w:eastAsia="Calibri" w:cs="Arial"/>
          <w:b/>
          <w:color w:val="000000" w:themeColor="text1"/>
          <w:sz w:val="22"/>
        </w:rPr>
        <w:t xml:space="preserve"> Experiencia ‒</w:t>
      </w:r>
      <w:r>
        <w:rPr>
          <w:rFonts w:ascii="Arial" w:hAnsi="Arial" w:eastAsia="Calibri" w:cs="Arial"/>
          <w:b/>
          <w:color w:val="000000" w:themeColor="text1"/>
          <w:sz w:val="22"/>
        </w:rPr>
        <w:t xml:space="preserve"> Constitución</w:t>
      </w:r>
      <w:r w:rsidR="0036205E">
        <w:rPr>
          <w:rFonts w:ascii="Arial" w:hAnsi="Arial" w:eastAsia="Calibri" w:cs="Arial"/>
          <w:b/>
          <w:color w:val="000000" w:themeColor="text1"/>
          <w:sz w:val="22"/>
        </w:rPr>
        <w:t xml:space="preserve"> ‒ Acto de creación ‒ Inferior</w:t>
      </w:r>
      <w:r>
        <w:rPr>
          <w:rFonts w:ascii="Arial" w:hAnsi="Arial" w:eastAsia="Calibri" w:cs="Arial"/>
          <w:b/>
          <w:color w:val="000000" w:themeColor="text1"/>
          <w:sz w:val="22"/>
        </w:rPr>
        <w:t xml:space="preserve"> a tres años</w:t>
      </w:r>
      <w:r w:rsidR="00044F55">
        <w:rPr>
          <w:rFonts w:ascii="Arial" w:hAnsi="Arial" w:eastAsia="Calibri" w:cs="Arial"/>
          <w:b/>
          <w:color w:val="000000" w:themeColor="text1"/>
          <w:sz w:val="22"/>
        </w:rPr>
        <w:t xml:space="preserve"> </w:t>
      </w:r>
      <w:r w:rsidRPr="006C15D5" w:rsidR="0009384D">
        <w:rPr>
          <w:rFonts w:ascii="Arial" w:hAnsi="Arial" w:eastAsia="Calibri" w:cs="Arial"/>
          <w:b/>
          <w:color w:val="000000" w:themeColor="text1"/>
          <w:sz w:val="22"/>
        </w:rPr>
        <w:t>–</w:t>
      </w:r>
      <w:r w:rsidRPr="004E20DA" w:rsidR="0009384D">
        <w:rPr>
          <w:rFonts w:ascii="Arial" w:hAnsi="Arial" w:eastAsia="Calibri" w:cs="Arial"/>
          <w:b/>
          <w:color w:val="000000" w:themeColor="text1"/>
          <w:sz w:val="22"/>
        </w:rPr>
        <w:t xml:space="preserve"> Procesos exceptuados del RUP</w:t>
      </w:r>
    </w:p>
    <w:p w:rsidR="0009384D" w:rsidP="0009384D" w:rsidRDefault="0009384D" w14:paraId="1A44EEA3" w14:textId="77777777">
      <w:pPr>
        <w:jc w:val="both"/>
        <w:rPr>
          <w:rFonts w:ascii="Arial" w:hAnsi="Arial" w:eastAsia="Calibri" w:cs="Arial"/>
          <w:color w:val="000000" w:themeColor="text1"/>
          <w:sz w:val="20"/>
          <w:szCs w:val="20"/>
        </w:rPr>
      </w:pPr>
    </w:p>
    <w:p w:rsidR="0009384D" w:rsidP="004E7CE5" w:rsidRDefault="0009384D" w14:paraId="618395DD" w14:textId="77777777">
      <w:pPr>
        <w:spacing w:after="120"/>
        <w:jc w:val="both"/>
        <w:rPr>
          <w:rFonts w:ascii="Arial" w:hAnsi="Arial" w:cs="Arial"/>
          <w:color w:val="000000" w:themeColor="text1"/>
          <w:sz w:val="20"/>
          <w:szCs w:val="20"/>
        </w:rPr>
      </w:pPr>
      <w:r>
        <w:rPr>
          <w:rFonts w:ascii="Arial" w:hAnsi="Arial" w:eastAsia="Calibri" w:cs="Arial"/>
          <w:color w:val="000000" w:themeColor="text1"/>
          <w:sz w:val="20"/>
          <w:szCs w:val="20"/>
        </w:rPr>
        <w:t xml:space="preserve">[…] </w:t>
      </w:r>
      <w:r w:rsidRPr="0003383F">
        <w:rPr>
          <w:rFonts w:ascii="Arial" w:hAnsi="Arial" w:cs="Arial"/>
          <w:color w:val="000000" w:themeColor="text1"/>
          <w:sz w:val="20"/>
          <w:szCs w:val="20"/>
        </w:rPr>
        <w:t xml:space="preserve">Frente a la acreditación de la experiencia de los socios, accionistas o constituyentes de una persona jurídica con menos de 3 años de constitución, para participar en los eventos exceptuados al deber de inscripción en el RUP, como en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rsidRPr="0003383F" w:rsidR="0009384D" w:rsidP="004E7CE5" w:rsidRDefault="0009384D" w14:paraId="10193766" w14:textId="77777777">
      <w:pPr>
        <w:jc w:val="both"/>
        <w:rPr>
          <w:rFonts w:ascii="Arial" w:hAnsi="Arial" w:cs="Arial"/>
          <w:color w:val="000000" w:themeColor="text1"/>
          <w:sz w:val="20"/>
          <w:szCs w:val="20"/>
        </w:rPr>
      </w:pPr>
      <w:r w:rsidRPr="0003383F">
        <w:rPr>
          <w:rFonts w:ascii="Arial" w:hAnsi="Arial" w:cs="Arial"/>
          <w:color w:val="000000" w:themeColor="text1"/>
          <w:sz w:val="20"/>
          <w:szCs w:val="20"/>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rsidRPr="0003383F" w:rsidR="0009384D" w:rsidP="0009384D" w:rsidRDefault="0009384D" w14:paraId="326EFE0D" w14:textId="77777777">
      <w:pPr>
        <w:jc w:val="both"/>
        <w:rPr>
          <w:rFonts w:ascii="Arial" w:hAnsi="Arial" w:cs="Arial"/>
          <w:color w:val="000000" w:themeColor="text1"/>
          <w:sz w:val="20"/>
          <w:szCs w:val="20"/>
        </w:rPr>
      </w:pPr>
    </w:p>
    <w:p w:rsidRPr="004E20DA" w:rsidR="0009384D" w:rsidP="2CD3976C" w:rsidRDefault="0009384D" w14:paraId="671502D3" w14:textId="0CD1F492">
      <w:pPr>
        <w:jc w:val="both"/>
        <w:rPr>
          <w:rFonts w:ascii="Arial" w:hAnsi="Arial" w:eastAsia="Calibri" w:cs="Arial"/>
          <w:b w:val="1"/>
          <w:bCs w:val="1"/>
          <w:color w:val="000000" w:themeColor="text1"/>
          <w:sz w:val="22"/>
          <w:szCs w:val="22"/>
        </w:rPr>
      </w:pPr>
      <w:r w:rsidRPr="2CD3976C" w:rsidR="0009384D">
        <w:rPr>
          <w:rFonts w:ascii="Arial" w:hAnsi="Arial" w:cs="Arial"/>
          <w:b w:val="1"/>
          <w:bCs w:val="1"/>
          <w:color w:val="000000" w:themeColor="text1" w:themeTint="FF" w:themeShade="FF"/>
          <w:sz w:val="22"/>
          <w:szCs w:val="22"/>
        </w:rPr>
        <w:t>EXPERIENCIA REQUERIDA</w:t>
      </w:r>
      <w:r w:rsidRPr="2CD3976C" w:rsidR="0009384D">
        <w:rPr>
          <w:rFonts w:ascii="Arial" w:hAnsi="Arial" w:cs="Arial"/>
          <w:b w:val="1"/>
          <w:bCs w:val="1"/>
          <w:color w:val="000000" w:themeColor="text1" w:themeTint="FF" w:themeShade="FF"/>
          <w:sz w:val="22"/>
          <w:szCs w:val="22"/>
        </w:rPr>
        <w:t xml:space="preserve"> </w:t>
      </w:r>
      <w:r w:rsidRPr="2CD3976C" w:rsidR="0009384D">
        <w:rPr>
          <w:rFonts w:ascii="Arial" w:hAnsi="Arial" w:eastAsia="Calibri" w:cs="Arial"/>
          <w:b w:val="1"/>
          <w:bCs w:val="1"/>
          <w:color w:val="000000" w:themeColor="text1" w:themeTint="FF" w:themeShade="FF"/>
          <w:sz w:val="22"/>
          <w:szCs w:val="22"/>
        </w:rPr>
        <w:t>–</w:t>
      </w:r>
      <w:r w:rsidRPr="2CD3976C" w:rsidR="0009384D">
        <w:rPr>
          <w:rFonts w:ascii="Arial" w:hAnsi="Arial" w:eastAsia="Calibri" w:cs="Arial"/>
          <w:color w:val="000000" w:themeColor="text1" w:themeTint="FF" w:themeShade="FF"/>
          <w:sz w:val="22"/>
          <w:szCs w:val="22"/>
        </w:rPr>
        <w:t xml:space="preserve"> </w:t>
      </w:r>
      <w:r w:rsidRPr="2CD3976C" w:rsidR="0009384D">
        <w:rPr>
          <w:rFonts w:ascii="Arial" w:hAnsi="Arial" w:eastAsia="Calibri" w:cs="Arial"/>
          <w:b w:val="1"/>
          <w:bCs w:val="1"/>
          <w:color w:val="000000" w:themeColor="text1" w:themeTint="FF" w:themeShade="FF"/>
          <w:sz w:val="22"/>
          <w:szCs w:val="22"/>
        </w:rPr>
        <w:t>Competencia</w:t>
      </w:r>
      <w:r w:rsidRPr="2CD3976C" w:rsidR="5BFC61BC">
        <w:rPr>
          <w:rFonts w:ascii="Arial" w:hAnsi="Arial" w:eastAsia="Calibri" w:cs="Arial"/>
          <w:b w:val="1"/>
          <w:bCs w:val="1"/>
          <w:color w:val="000000" w:themeColor="text1" w:themeTint="FF" w:themeShade="FF"/>
          <w:sz w:val="22"/>
          <w:szCs w:val="22"/>
        </w:rPr>
        <w:t xml:space="preserve"> fijación</w:t>
      </w:r>
    </w:p>
    <w:p w:rsidRPr="0003383F" w:rsidR="0009384D" w:rsidP="0009384D" w:rsidRDefault="0009384D" w14:paraId="2C1A4B25" w14:textId="77777777">
      <w:pPr>
        <w:jc w:val="both"/>
        <w:rPr>
          <w:rFonts w:ascii="Arial" w:hAnsi="Arial" w:cs="Arial"/>
          <w:b/>
          <w:bCs/>
          <w:color w:val="000000" w:themeColor="text1"/>
          <w:sz w:val="20"/>
          <w:szCs w:val="20"/>
        </w:rPr>
      </w:pPr>
    </w:p>
    <w:p w:rsidRPr="0003383F" w:rsidR="0009384D" w:rsidP="0009384D" w:rsidRDefault="0009384D" w14:paraId="07C192E7" w14:textId="77777777">
      <w:pPr>
        <w:jc w:val="both"/>
        <w:rPr>
          <w:rFonts w:ascii="Arial" w:hAnsi="Arial" w:eastAsia="Calibri" w:cs="Arial"/>
          <w:color w:val="000000" w:themeColor="text1"/>
          <w:sz w:val="20"/>
          <w:szCs w:val="20"/>
        </w:rPr>
      </w:pPr>
      <w:r>
        <w:rPr>
          <w:rFonts w:ascii="Arial" w:hAnsi="Arial" w:eastAsia="Calibri" w:cs="Arial"/>
          <w:color w:val="000000" w:themeColor="text1"/>
          <w:sz w:val="20"/>
          <w:szCs w:val="20"/>
        </w:rPr>
        <w:t xml:space="preserve">[…] </w:t>
      </w:r>
      <w:r w:rsidRPr="0003383F">
        <w:rPr>
          <w:rFonts w:ascii="Arial" w:hAnsi="Arial" w:eastAsia="Calibri" w:cs="Arial"/>
          <w:color w:val="000000" w:themeColor="text1"/>
          <w:sz w:val="20"/>
          <w:szCs w:val="20"/>
        </w:rPr>
        <w:t xml:space="preserve">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 </w:t>
      </w:r>
    </w:p>
    <w:p w:rsidRPr="0003383F" w:rsidR="0009384D" w:rsidP="0009384D" w:rsidRDefault="0009384D" w14:paraId="282D4DD5" w14:textId="77777777">
      <w:pPr>
        <w:jc w:val="both"/>
        <w:rPr>
          <w:rFonts w:ascii="Arial" w:hAnsi="Arial" w:eastAsia="Calibri" w:cs="Arial"/>
          <w:b/>
          <w:bCs/>
          <w:color w:val="000000" w:themeColor="text1"/>
          <w:sz w:val="20"/>
          <w:szCs w:val="20"/>
        </w:rPr>
      </w:pPr>
    </w:p>
    <w:p w:rsidRPr="004E20DA" w:rsidR="0009384D" w:rsidP="2CD3976C" w:rsidRDefault="0009384D" w14:paraId="6D0FBAC5" w14:textId="3469A0A5">
      <w:pPr>
        <w:jc w:val="both"/>
        <w:rPr>
          <w:rFonts w:ascii="Arial" w:hAnsi="Arial" w:eastAsia="Calibri" w:cs="Arial"/>
          <w:b w:val="1"/>
          <w:bCs w:val="1"/>
          <w:color w:val="000000" w:themeColor="text1"/>
          <w:sz w:val="22"/>
          <w:szCs w:val="22"/>
        </w:rPr>
      </w:pPr>
      <w:r w:rsidRPr="2CD3976C" w:rsidR="0009384D">
        <w:rPr>
          <w:rFonts w:ascii="Arial" w:hAnsi="Arial" w:eastAsia="Calibri" w:cs="Arial"/>
          <w:b w:val="1"/>
          <w:bCs w:val="1"/>
          <w:color w:val="000000" w:themeColor="text1" w:themeTint="FF" w:themeShade="FF"/>
          <w:sz w:val="22"/>
          <w:szCs w:val="22"/>
        </w:rPr>
        <w:t>R</w:t>
      </w:r>
      <w:r w:rsidRPr="2CD3976C" w:rsidR="57F8862B">
        <w:rPr>
          <w:rFonts w:ascii="Arial" w:hAnsi="Arial" w:eastAsia="Calibri" w:cs="Arial"/>
          <w:b w:val="1"/>
          <w:bCs w:val="1"/>
          <w:color w:val="000000" w:themeColor="text1" w:themeTint="FF" w:themeShade="FF"/>
          <w:sz w:val="22"/>
          <w:szCs w:val="22"/>
        </w:rPr>
        <w:t xml:space="preserve">EGISTRO ÚNICO DE PROPONENTES </w:t>
      </w:r>
      <w:r w:rsidRPr="2CD3976C" w:rsidR="0009384D">
        <w:rPr>
          <w:rFonts w:ascii="Arial" w:hAnsi="Arial" w:eastAsia="Calibri" w:cs="Arial"/>
          <w:b w:val="1"/>
          <w:bCs w:val="1"/>
          <w:color w:val="000000" w:themeColor="text1" w:themeTint="FF" w:themeShade="FF"/>
          <w:sz w:val="22"/>
          <w:szCs w:val="22"/>
        </w:rPr>
        <w:t>–</w:t>
      </w:r>
      <w:r w:rsidRPr="2CD3976C" w:rsidR="0009384D">
        <w:rPr>
          <w:rFonts w:ascii="Arial" w:hAnsi="Arial" w:eastAsia="Calibri" w:cs="Arial"/>
          <w:b w:val="1"/>
          <w:bCs w:val="1"/>
          <w:color w:val="000000" w:themeColor="text1" w:themeTint="FF" w:themeShade="FF"/>
          <w:sz w:val="22"/>
          <w:szCs w:val="22"/>
        </w:rPr>
        <w:t xml:space="preserve"> Plena prueba</w:t>
      </w:r>
      <w:r w:rsidRPr="2CD3976C" w:rsidR="00044F55">
        <w:rPr>
          <w:rFonts w:ascii="Arial" w:hAnsi="Arial" w:eastAsia="Calibri" w:cs="Arial"/>
          <w:b w:val="1"/>
          <w:bCs w:val="1"/>
          <w:color w:val="000000" w:themeColor="text1" w:themeTint="FF" w:themeShade="FF"/>
          <w:sz w:val="22"/>
          <w:szCs w:val="22"/>
        </w:rPr>
        <w:t xml:space="preserve"> ‒ Requisitos habilitantes</w:t>
      </w:r>
      <w:r w:rsidRPr="2CD3976C" w:rsidR="0009384D">
        <w:rPr>
          <w:rFonts w:ascii="Arial" w:hAnsi="Arial" w:eastAsia="Calibri" w:cs="Arial"/>
          <w:b w:val="1"/>
          <w:bCs w:val="1"/>
          <w:color w:val="000000" w:themeColor="text1" w:themeTint="FF" w:themeShade="FF"/>
          <w:sz w:val="22"/>
          <w:szCs w:val="22"/>
        </w:rPr>
        <w:t xml:space="preserve">  </w:t>
      </w:r>
    </w:p>
    <w:p w:rsidRPr="0003383F" w:rsidR="0009384D" w:rsidP="0009384D" w:rsidRDefault="0009384D" w14:paraId="0F7D01F8" w14:textId="77777777">
      <w:pPr>
        <w:jc w:val="both"/>
        <w:rPr>
          <w:rFonts w:ascii="Arial" w:hAnsi="Arial" w:eastAsia="Calibri" w:cs="Arial"/>
          <w:b/>
          <w:bCs/>
          <w:color w:val="000000" w:themeColor="text1"/>
          <w:sz w:val="20"/>
          <w:szCs w:val="20"/>
        </w:rPr>
      </w:pPr>
    </w:p>
    <w:p w:rsidRPr="0003383F" w:rsidR="0009384D" w:rsidP="0009384D" w:rsidRDefault="0009384D" w14:paraId="49C137DF" w14:textId="06BE444C">
      <w:pPr>
        <w:jc w:val="both"/>
        <w:rPr>
          <w:rFonts w:ascii="Arial" w:hAnsi="Arial" w:eastAsia="Calibri" w:cs="Arial"/>
          <w:b/>
          <w:bCs/>
          <w:color w:val="000000" w:themeColor="text1"/>
          <w:sz w:val="20"/>
          <w:szCs w:val="20"/>
        </w:rPr>
      </w:pPr>
      <w:r w:rsidRPr="0003383F">
        <w:rPr>
          <w:rFonts w:ascii="Arial" w:hAnsi="Arial" w:eastAsia="Calibri" w:cs="Arial"/>
          <w:color w:val="000000" w:themeColor="text1"/>
          <w:sz w:val="20"/>
          <w:szCs w:val="20"/>
        </w:rPr>
        <w:t>La experiencia que se deriva de los contratos que el proponente ha celebrado y ejecutado con diferentes contratantes, sin importar la naturaleza de estos, se verifica con el Registro Único de Proponentes (RUP), cuando este certificado sea exigible de acuerdo con la ley, en el cual constan los requisitos habilitantes que se evalúan exclusivamente con este documento, que es su plena prueba, sin que le sea posible a la entidad o al proponente solicitar o aportar otra documentación</w:t>
      </w:r>
    </w:p>
    <w:p w:rsidRPr="0003383F" w:rsidR="0009384D" w:rsidP="0009384D" w:rsidRDefault="0009384D" w14:paraId="1489495F" w14:textId="77777777">
      <w:pPr>
        <w:jc w:val="both"/>
        <w:rPr>
          <w:rFonts w:ascii="Arial" w:hAnsi="Arial" w:cs="Arial"/>
          <w:b/>
          <w:bCs/>
          <w:color w:val="000000" w:themeColor="text1"/>
          <w:sz w:val="20"/>
          <w:szCs w:val="20"/>
        </w:rPr>
      </w:pPr>
    </w:p>
    <w:p w:rsidRPr="004E20DA" w:rsidR="0009384D" w:rsidP="2CD3976C" w:rsidRDefault="00044F55" w14:paraId="71D06F71" w14:textId="742AFE52">
      <w:pPr>
        <w:pStyle w:val="Normal"/>
        <w:jc w:val="both"/>
        <w:rPr>
          <w:rFonts w:ascii="Arial" w:hAnsi="Arial" w:cs="Arial"/>
          <w:b w:val="1"/>
          <w:bCs w:val="1"/>
          <w:color w:val="000000" w:themeColor="text1"/>
          <w:sz w:val="22"/>
          <w:szCs w:val="22"/>
        </w:rPr>
      </w:pPr>
      <w:r w:rsidRPr="2CD3976C" w:rsidR="7D6CEC0C">
        <w:rPr>
          <w:rFonts w:ascii="Arial" w:hAnsi="Arial" w:eastAsia="Calibri" w:cs="Arial"/>
          <w:b w:val="1"/>
          <w:bCs w:val="1"/>
          <w:color w:val="000000" w:themeColor="text1" w:themeTint="FF" w:themeShade="FF"/>
          <w:sz w:val="22"/>
          <w:szCs w:val="22"/>
        </w:rPr>
        <w:t>REGISTRO ÚNICO DE PROPONENTES</w:t>
      </w:r>
      <w:r w:rsidRPr="2CD3976C" w:rsidR="00044F55">
        <w:rPr>
          <w:rFonts w:ascii="Arial" w:hAnsi="Arial" w:cs="Arial"/>
          <w:b w:val="1"/>
          <w:bCs w:val="1"/>
          <w:color w:val="000000" w:themeColor="text1" w:themeTint="FF" w:themeShade="FF"/>
          <w:sz w:val="22"/>
          <w:szCs w:val="22"/>
        </w:rPr>
        <w:t xml:space="preserve"> ‒ Deber de inscripción </w:t>
      </w:r>
      <w:r w:rsidRPr="2CD3976C" w:rsidR="0009384D">
        <w:rPr>
          <w:rFonts w:ascii="Arial" w:hAnsi="Arial" w:eastAsia="Calibri" w:cs="Arial"/>
          <w:b w:val="1"/>
          <w:bCs w:val="1"/>
          <w:color w:val="000000" w:themeColor="text1" w:themeTint="FF" w:themeShade="FF"/>
          <w:sz w:val="22"/>
          <w:szCs w:val="22"/>
        </w:rPr>
        <w:t>–</w:t>
      </w:r>
      <w:r w:rsidRPr="2CD3976C" w:rsidR="0009384D">
        <w:rPr>
          <w:rFonts w:ascii="Arial" w:hAnsi="Arial" w:eastAsia="Calibri" w:cs="Arial"/>
          <w:color w:val="000000" w:themeColor="text1" w:themeTint="FF" w:themeShade="FF"/>
          <w:sz w:val="22"/>
          <w:szCs w:val="22"/>
        </w:rPr>
        <w:t xml:space="preserve"> </w:t>
      </w:r>
      <w:r w:rsidRPr="2CD3976C" w:rsidR="0009384D">
        <w:rPr>
          <w:rFonts w:ascii="Arial" w:hAnsi="Arial" w:eastAsia="Calibri" w:cs="Arial"/>
          <w:b w:val="1"/>
          <w:bCs w:val="1"/>
          <w:color w:val="000000" w:themeColor="text1" w:themeTint="FF" w:themeShade="FF"/>
          <w:sz w:val="22"/>
          <w:szCs w:val="22"/>
        </w:rPr>
        <w:t>Excepciones</w:t>
      </w:r>
    </w:p>
    <w:p w:rsidRPr="0003383F" w:rsidR="0009384D" w:rsidP="0009384D" w:rsidRDefault="0009384D" w14:paraId="64502926" w14:textId="77777777">
      <w:pPr>
        <w:jc w:val="both"/>
        <w:rPr>
          <w:rFonts w:ascii="Arial" w:hAnsi="Arial" w:cs="Arial"/>
          <w:color w:val="000000" w:themeColor="text1"/>
          <w:sz w:val="20"/>
          <w:szCs w:val="20"/>
        </w:rPr>
      </w:pPr>
    </w:p>
    <w:p w:rsidRPr="000D1B5D" w:rsidR="0009384D" w:rsidP="0009384D" w:rsidRDefault="0009384D" w14:paraId="7247949B" w14:textId="77777777">
      <w:pPr>
        <w:jc w:val="both"/>
        <w:rPr>
          <w:rFonts w:ascii="Arial" w:hAnsi="Arial" w:cs="Arial"/>
          <w:b/>
          <w:color w:val="000000" w:themeColor="text1"/>
          <w:sz w:val="20"/>
          <w:szCs w:val="20"/>
        </w:rPr>
      </w:pPr>
      <w:r>
        <w:rPr>
          <w:rFonts w:ascii="Arial" w:hAnsi="Arial" w:cs="Arial"/>
          <w:color w:val="000000" w:themeColor="text1"/>
          <w:sz w:val="20"/>
          <w:szCs w:val="20"/>
        </w:rPr>
        <w:t xml:space="preserve">[…] </w:t>
      </w:r>
      <w:r w:rsidRPr="000D1B5D">
        <w:rPr>
          <w:rFonts w:ascii="Arial" w:hAnsi="Arial" w:cs="Arial"/>
          <w:color w:val="000000" w:themeColor="text1"/>
          <w:sz w:val="20"/>
          <w:szCs w:val="20"/>
        </w:rPr>
        <w:t>La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rsidRPr="0003383F" w:rsidR="0009384D" w:rsidP="0009384D" w:rsidRDefault="0009384D" w14:paraId="3F1CFD8A" w14:textId="77777777">
      <w:pPr>
        <w:jc w:val="both"/>
        <w:rPr>
          <w:rFonts w:ascii="Arial" w:hAnsi="Arial" w:cs="Arial"/>
          <w:b/>
          <w:color w:val="000000" w:themeColor="text1"/>
          <w:sz w:val="20"/>
          <w:szCs w:val="20"/>
        </w:rPr>
      </w:pPr>
    </w:p>
    <w:p w:rsidRPr="004E20DA" w:rsidR="0009384D" w:rsidP="0009384D" w:rsidRDefault="0009384D" w14:paraId="56375B17" w14:textId="77777777">
      <w:pPr>
        <w:jc w:val="both"/>
        <w:rPr>
          <w:rFonts w:ascii="Arial" w:hAnsi="Arial" w:cs="Arial"/>
          <w:color w:val="000000" w:themeColor="text1"/>
          <w:sz w:val="22"/>
        </w:rPr>
      </w:pPr>
      <w:r w:rsidRPr="004E20DA">
        <w:rPr>
          <w:rFonts w:ascii="Arial" w:hAnsi="Arial" w:cs="Arial"/>
          <w:b/>
          <w:color w:val="000000" w:themeColor="text1"/>
          <w:sz w:val="22"/>
        </w:rPr>
        <w:t xml:space="preserve">EXPERIENCIA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w:t>
      </w:r>
      <w:r w:rsidRPr="004E20DA">
        <w:rPr>
          <w:rFonts w:ascii="Arial" w:hAnsi="Arial" w:cs="Arial"/>
          <w:b/>
          <w:color w:val="000000" w:themeColor="text1"/>
          <w:sz w:val="22"/>
        </w:rPr>
        <w:t xml:space="preserve">Noción </w:t>
      </w:r>
    </w:p>
    <w:p w:rsidRPr="0003383F" w:rsidR="0009384D" w:rsidP="0009384D" w:rsidRDefault="0009384D" w14:paraId="24AE77E5" w14:textId="77777777">
      <w:pPr>
        <w:jc w:val="both"/>
        <w:rPr>
          <w:rFonts w:ascii="Arial" w:hAnsi="Arial" w:cs="Arial"/>
          <w:color w:val="000000" w:themeColor="text1"/>
          <w:sz w:val="20"/>
          <w:szCs w:val="20"/>
        </w:rPr>
      </w:pPr>
    </w:p>
    <w:p w:rsidR="0009384D" w:rsidP="0009384D" w:rsidRDefault="0009384D" w14:paraId="543A4D4E" w14:textId="77777777">
      <w:pPr>
        <w:spacing w:after="120"/>
        <w:jc w:val="both"/>
        <w:rPr>
          <w:rFonts w:ascii="Arial" w:hAnsi="Arial" w:eastAsia="Calibri" w:cs="Arial"/>
          <w:color w:val="000000" w:themeColor="text1"/>
          <w:sz w:val="20"/>
          <w:szCs w:val="20"/>
        </w:rPr>
      </w:pPr>
      <w:r w:rsidRPr="0003383F">
        <w:rPr>
          <w:rFonts w:ascii="Arial" w:hAnsi="Arial" w:eastAsia="Calibri" w:cs="Arial"/>
          <w:color w:val="000000" w:themeColor="text1"/>
          <w:sz w:val="20"/>
          <w:szCs w:val="20"/>
        </w:rPr>
        <w:lastRenderedPageBreak/>
        <w:t>i) La experiencia es personal, esto es, se adquiere participando, directa o indirectamente, sin que sea posible no participar y tener una experiencia que no es propia.</w:t>
      </w:r>
    </w:p>
    <w:p w:rsidR="0009384D" w:rsidP="0009384D" w:rsidRDefault="0009384D" w14:paraId="5BB47D41" w14:textId="77777777">
      <w:pPr>
        <w:spacing w:after="120"/>
        <w:jc w:val="both"/>
        <w:rPr>
          <w:rFonts w:ascii="Arial" w:hAnsi="Arial" w:eastAsia="Calibri" w:cs="Arial"/>
          <w:color w:val="000000" w:themeColor="text1"/>
          <w:sz w:val="20"/>
          <w:szCs w:val="20"/>
        </w:rPr>
      </w:pPr>
      <w:r>
        <w:rPr>
          <w:rFonts w:ascii="Arial" w:hAnsi="Arial" w:eastAsia="Calibri" w:cs="Arial"/>
          <w:color w:val="000000" w:themeColor="text1"/>
          <w:sz w:val="20"/>
          <w:szCs w:val="20"/>
        </w:rPr>
        <w:t>i</w:t>
      </w:r>
      <w:r w:rsidRPr="0003383F">
        <w:rPr>
          <w:rFonts w:ascii="Arial" w:hAnsi="Arial" w:eastAsia="Calibri" w:cs="Arial"/>
          <w:color w:val="000000" w:themeColor="text1"/>
          <w:sz w:val="20"/>
          <w:szCs w:val="20"/>
        </w:rPr>
        <w:t xml:space="preserve">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 </w:t>
      </w:r>
    </w:p>
    <w:p w:rsidR="0009384D" w:rsidP="0009384D" w:rsidRDefault="0009384D" w14:paraId="3636113D" w14:textId="77777777">
      <w:pPr>
        <w:spacing w:after="120"/>
        <w:jc w:val="both"/>
        <w:rPr>
          <w:rFonts w:ascii="Arial" w:hAnsi="Arial" w:eastAsia="Calibri" w:cs="Arial"/>
          <w:color w:val="000000" w:themeColor="text1"/>
          <w:sz w:val="20"/>
          <w:szCs w:val="20"/>
        </w:rPr>
      </w:pPr>
      <w:r w:rsidRPr="0003383F">
        <w:rPr>
          <w:rFonts w:ascii="Arial" w:hAnsi="Arial" w:eastAsia="Calibri" w:cs="Arial"/>
          <w:color w:val="000000" w:themeColor="text1"/>
          <w:sz w:val="20"/>
          <w:szCs w:val="20"/>
        </w:rPr>
        <w:t>iii)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rsidRPr="0003383F" w:rsidR="0009384D" w:rsidP="0009384D" w:rsidRDefault="0009384D" w14:paraId="534016D8" w14:textId="77777777">
      <w:pPr>
        <w:jc w:val="both"/>
        <w:rPr>
          <w:rFonts w:ascii="Arial" w:hAnsi="Arial" w:eastAsia="Calibri" w:cs="Arial"/>
          <w:color w:val="000000" w:themeColor="text1"/>
          <w:sz w:val="20"/>
          <w:szCs w:val="20"/>
        </w:rPr>
      </w:pPr>
      <w:r w:rsidRPr="0003383F">
        <w:rPr>
          <w:rFonts w:ascii="Arial" w:hAnsi="Arial" w:eastAsia="Calibri" w:cs="Arial"/>
          <w:color w:val="000000" w:themeColor="text1"/>
          <w:sz w:val="20"/>
          <w:szCs w:val="20"/>
        </w:rPr>
        <w:t>iv) Cuando la persona que adquirió la experiencia desaparece o se liquida, no es posible que comparta o transfiera su experiencia, porque al ser personal sigue la suerte de quien la adquirió.</w:t>
      </w:r>
    </w:p>
    <w:p w:rsidRPr="004E20DA" w:rsidR="0009384D" w:rsidP="0009384D" w:rsidRDefault="0009384D" w14:paraId="5CB93376" w14:textId="77777777">
      <w:pPr>
        <w:tabs>
          <w:tab w:val="left" w:pos="5295"/>
        </w:tabs>
        <w:jc w:val="both"/>
        <w:rPr>
          <w:rFonts w:ascii="Arial" w:hAnsi="Arial" w:cs="Arial"/>
          <w:color w:val="000000" w:themeColor="text1"/>
          <w:sz w:val="22"/>
        </w:rPr>
      </w:pPr>
    </w:p>
    <w:p w:rsidRPr="004E20DA" w:rsidR="0009384D" w:rsidP="0009384D" w:rsidRDefault="0009384D" w14:paraId="47F80B49" w14:textId="7D5B8F25">
      <w:pPr>
        <w:tabs>
          <w:tab w:val="left" w:pos="5295"/>
        </w:tabs>
        <w:jc w:val="both"/>
        <w:rPr>
          <w:rFonts w:ascii="Arial" w:hAnsi="Arial" w:cs="Arial"/>
          <w:b/>
          <w:bCs/>
          <w:color w:val="000000" w:themeColor="text1"/>
          <w:sz w:val="22"/>
        </w:rPr>
      </w:pPr>
      <w:r w:rsidRPr="004E20DA">
        <w:rPr>
          <w:rFonts w:ascii="Arial" w:hAnsi="Arial" w:cs="Arial"/>
          <w:b/>
          <w:bCs/>
          <w:color w:val="000000" w:themeColor="text1"/>
          <w:sz w:val="22"/>
        </w:rPr>
        <w:t>SOCIEDADES</w:t>
      </w:r>
      <w:r w:rsidR="00970B9F">
        <w:rPr>
          <w:rFonts w:ascii="Arial" w:hAnsi="Arial" w:cs="Arial"/>
          <w:b/>
          <w:bCs/>
          <w:color w:val="000000" w:themeColor="text1"/>
          <w:sz w:val="22"/>
        </w:rPr>
        <w:t xml:space="preserve"> NUEVAS ‒ Constituci</w:t>
      </w:r>
      <w:r w:rsidR="0036205E">
        <w:rPr>
          <w:rFonts w:ascii="Arial" w:hAnsi="Arial" w:cs="Arial"/>
          <w:b/>
          <w:bCs/>
          <w:color w:val="000000" w:themeColor="text1"/>
          <w:sz w:val="22"/>
        </w:rPr>
        <w:t xml:space="preserve">ón ‒ Acto de creación ‒ inferior a tres años </w:t>
      </w:r>
      <w:r w:rsidRPr="006C15D5">
        <w:rPr>
          <w:rFonts w:ascii="Arial" w:hAnsi="Arial" w:eastAsia="Calibri" w:cs="Arial"/>
          <w:b/>
          <w:color w:val="000000" w:themeColor="text1"/>
          <w:sz w:val="22"/>
        </w:rPr>
        <w:t>–</w:t>
      </w:r>
      <w:r w:rsidRPr="004E20DA">
        <w:rPr>
          <w:rFonts w:ascii="Arial" w:hAnsi="Arial" w:eastAsia="Calibri" w:cs="Arial"/>
          <w:color w:val="000000" w:themeColor="text1"/>
          <w:sz w:val="22"/>
        </w:rPr>
        <w:t xml:space="preserve"> </w:t>
      </w:r>
      <w:r w:rsidRPr="004E20DA">
        <w:rPr>
          <w:rFonts w:ascii="Arial" w:hAnsi="Arial" w:eastAsia="Calibri" w:cs="Arial"/>
          <w:b/>
          <w:bCs/>
          <w:color w:val="000000" w:themeColor="text1"/>
          <w:sz w:val="22"/>
        </w:rPr>
        <w:t xml:space="preserve">procesos exceptuados de RUP </w:t>
      </w:r>
      <w:r w:rsidRPr="006C15D5">
        <w:rPr>
          <w:rFonts w:ascii="Arial" w:hAnsi="Arial" w:eastAsia="Calibri" w:cs="Arial"/>
          <w:b/>
          <w:color w:val="000000" w:themeColor="text1"/>
          <w:sz w:val="22"/>
        </w:rPr>
        <w:t>–</w:t>
      </w:r>
      <w:r w:rsidRPr="004E20DA">
        <w:rPr>
          <w:rFonts w:ascii="Arial" w:hAnsi="Arial" w:eastAsia="Calibri" w:cs="Arial"/>
          <w:b/>
          <w:bCs/>
          <w:color w:val="000000" w:themeColor="text1"/>
          <w:sz w:val="22"/>
        </w:rPr>
        <w:t xml:space="preserve"> Acreditación</w:t>
      </w:r>
    </w:p>
    <w:p w:rsidRPr="004E20DA" w:rsidR="0009384D" w:rsidP="0009384D" w:rsidRDefault="0009384D" w14:paraId="11D5CC0F" w14:textId="77777777">
      <w:pPr>
        <w:tabs>
          <w:tab w:val="left" w:pos="5295"/>
        </w:tabs>
        <w:jc w:val="both"/>
        <w:rPr>
          <w:rFonts w:ascii="Arial" w:hAnsi="Arial" w:cs="Arial"/>
          <w:color w:val="000000" w:themeColor="text1"/>
          <w:sz w:val="22"/>
        </w:rPr>
      </w:pPr>
    </w:p>
    <w:p w:rsidRPr="0003383F" w:rsidR="0009384D" w:rsidP="0009384D" w:rsidRDefault="0009384D" w14:paraId="52021B70" w14:textId="77777777">
      <w:pPr>
        <w:tabs>
          <w:tab w:val="left" w:pos="5295"/>
        </w:tabs>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03383F">
        <w:rPr>
          <w:rFonts w:ascii="Arial" w:hAnsi="Arial" w:cs="Arial"/>
          <w:color w:val="000000" w:themeColor="text1"/>
          <w:sz w:val="20"/>
          <w:szCs w:val="20"/>
        </w:rPr>
        <w:t>Las entidades contratantes tienen del deber de verificar las condiciones de capacidad jurídica, técnica, financiera y organizacional de los oferentes, que podrá acreditarse con las certificaciones que aporten los proponentes al proceso de contratación y la entidad estatal podrá solicitar información adicional ―por ejemplo, longitudes de obra, especificaciones técnicas, etc― con el fin de verificar condiciones de experiencia del proponente.</w:t>
      </w:r>
    </w:p>
    <w:p w:rsidRPr="006C15D5" w:rsidR="00BE1E33" w:rsidP="00BE1E33" w:rsidRDefault="00BE1E33" w14:paraId="04112049" w14:textId="77777777">
      <w:pPr>
        <w:jc w:val="both"/>
        <w:rPr>
          <w:rFonts w:ascii="Arial" w:hAnsi="Arial" w:eastAsia="Calibri" w:cs="Arial"/>
          <w:color w:val="000000" w:themeColor="text1"/>
          <w:sz w:val="20"/>
          <w:szCs w:val="20"/>
        </w:rPr>
      </w:pPr>
    </w:p>
    <w:p w:rsidRPr="006C15D5" w:rsidR="00BE1E33" w:rsidP="00BE1E33" w:rsidRDefault="00BE1E33" w14:paraId="2010468C" w14:textId="77777777">
      <w:pPr>
        <w:jc w:val="both"/>
        <w:rPr>
          <w:rFonts w:ascii="Arial" w:hAnsi="Arial" w:eastAsia="Calibri" w:cs="Arial"/>
          <w:bCs/>
          <w:color w:val="000000" w:themeColor="text1"/>
          <w:sz w:val="20"/>
          <w:szCs w:val="20"/>
        </w:rPr>
      </w:pPr>
    </w:p>
    <w:p w:rsidRPr="006C15D5" w:rsidR="00BE1E33" w:rsidP="002E371A" w:rsidRDefault="00BE1E33" w14:paraId="6068435F" w14:textId="0B20E133">
      <w:pPr>
        <w:pStyle w:val="Default"/>
        <w:rPr>
          <w:b/>
          <w:color w:val="000000" w:themeColor="text1"/>
          <w:sz w:val="22"/>
        </w:rPr>
      </w:pPr>
      <w:r w:rsidRPr="006C15D5">
        <w:rPr>
          <w:color w:val="000000" w:themeColor="text1"/>
          <w:sz w:val="22"/>
        </w:rPr>
        <w:t xml:space="preserve">Bogotá D.C., </w:t>
      </w:r>
      <w:r w:rsidRPr="002E371A" w:rsidR="002E371A">
        <w:rPr>
          <w:b/>
          <w:bCs/>
          <w:sz w:val="22"/>
          <w:lang w:val="es-CO"/>
        </w:rPr>
        <w:t>01/06/2020 Hora 17:16:53s</w:t>
      </w:r>
    </w:p>
    <w:p w:rsidR="00662792" w:rsidP="00BE1E33" w:rsidRDefault="00662792" w14:paraId="352037A2" w14:textId="77777777">
      <w:pPr>
        <w:jc w:val="right"/>
        <w:rPr>
          <w:rFonts w:ascii="Arial" w:hAnsi="Arial" w:cs="Arial"/>
          <w:b/>
          <w:color w:val="000000" w:themeColor="text1"/>
          <w:sz w:val="22"/>
        </w:rPr>
      </w:pPr>
    </w:p>
    <w:p w:rsidRPr="006C15D5" w:rsidR="00BE1E33" w:rsidP="00BE1E33" w:rsidRDefault="00BE1E33" w14:paraId="1AED6E7A" w14:textId="4B459267">
      <w:pPr>
        <w:jc w:val="right"/>
        <w:rPr>
          <w:rFonts w:ascii="Arial" w:hAnsi="Arial" w:cs="Arial"/>
          <w:b/>
          <w:color w:val="000000" w:themeColor="text1"/>
          <w:sz w:val="22"/>
        </w:rPr>
      </w:pPr>
      <w:r w:rsidRPr="006C15D5">
        <w:rPr>
          <w:rFonts w:ascii="Arial" w:hAnsi="Arial" w:cs="Arial"/>
          <w:b/>
          <w:color w:val="000000" w:themeColor="text1"/>
          <w:sz w:val="22"/>
        </w:rPr>
        <w:t xml:space="preserve">N° Radicado: </w:t>
      </w:r>
      <w:r w:rsidRPr="00AC6D5F" w:rsidR="00AC6D5F">
        <w:rPr>
          <w:rFonts w:ascii="Arial" w:hAnsi="Arial" w:cs="Arial"/>
          <w:b/>
          <w:color w:val="000000" w:themeColor="text1"/>
          <w:sz w:val="22"/>
        </w:rPr>
        <w:t>2202013000004442</w:t>
      </w:r>
    </w:p>
    <w:p w:rsidRPr="006C15D5" w:rsidR="00BE1E33" w:rsidP="00BE1E33" w:rsidRDefault="00BE1E33" w14:paraId="4ED669B5" w14:textId="77777777">
      <w:pPr>
        <w:rPr>
          <w:rFonts w:ascii="Arial" w:hAnsi="Arial" w:eastAsia="Calibri" w:cs="Arial"/>
          <w:color w:val="000000" w:themeColor="text1"/>
          <w:sz w:val="22"/>
        </w:rPr>
      </w:pPr>
    </w:p>
    <w:p w:rsidR="00BE1E33" w:rsidP="00BE1E33" w:rsidRDefault="00BE1E33" w14:paraId="12A234ED" w14:textId="4756C0AB">
      <w:pPr>
        <w:rPr>
          <w:rFonts w:ascii="Arial" w:hAnsi="Arial" w:eastAsia="Calibri" w:cs="Arial"/>
          <w:color w:val="000000" w:themeColor="text1"/>
          <w:sz w:val="22"/>
        </w:rPr>
      </w:pPr>
    </w:p>
    <w:p w:rsidRPr="006C15D5" w:rsidR="00821E36" w:rsidP="00BE1E33" w:rsidRDefault="00821E36" w14:paraId="662A390F" w14:textId="77777777">
      <w:pPr>
        <w:rPr>
          <w:rFonts w:ascii="Arial" w:hAnsi="Arial" w:eastAsia="Calibri" w:cs="Arial"/>
          <w:color w:val="000000" w:themeColor="text1"/>
          <w:sz w:val="22"/>
        </w:rPr>
      </w:pPr>
    </w:p>
    <w:p w:rsidRPr="006C15D5" w:rsidR="00BE1E33" w:rsidP="00BE1E33" w:rsidRDefault="00BE1E33" w14:paraId="73D51859" w14:textId="50339C59">
      <w:pPr>
        <w:rPr>
          <w:rFonts w:ascii="Arial" w:hAnsi="Arial" w:eastAsia="Calibri" w:cs="Arial"/>
          <w:color w:val="000000" w:themeColor="text1"/>
          <w:sz w:val="22"/>
        </w:rPr>
      </w:pPr>
      <w:r w:rsidRPr="006C15D5">
        <w:rPr>
          <w:rFonts w:ascii="Arial" w:hAnsi="Arial" w:eastAsia="Calibri" w:cs="Arial"/>
          <w:color w:val="000000" w:themeColor="text1"/>
          <w:sz w:val="22"/>
        </w:rPr>
        <w:t>Señor</w:t>
      </w:r>
    </w:p>
    <w:p w:rsidRPr="006C15D5" w:rsidR="00BE1E33" w:rsidP="00BE1E33" w:rsidRDefault="00B34961" w14:paraId="51140DA2" w14:textId="3BE6DE24">
      <w:pPr>
        <w:rPr>
          <w:rFonts w:ascii="Arial" w:hAnsi="Arial" w:eastAsia="Calibri" w:cs="Arial"/>
          <w:b/>
          <w:color w:val="000000" w:themeColor="text1"/>
          <w:sz w:val="22"/>
        </w:rPr>
      </w:pPr>
      <w:r>
        <w:rPr>
          <w:rFonts w:ascii="Arial" w:hAnsi="Arial" w:eastAsia="Calibri" w:cs="Arial"/>
          <w:b/>
          <w:color w:val="000000" w:themeColor="text1"/>
          <w:sz w:val="22"/>
        </w:rPr>
        <w:t>Andrés Salcedo</w:t>
      </w:r>
    </w:p>
    <w:p w:rsidRPr="006C15D5" w:rsidR="00BE1E33" w:rsidP="00BE1E33" w:rsidRDefault="00CF10C5" w14:paraId="04EF8353" w14:textId="169B59F8">
      <w:pPr>
        <w:rPr>
          <w:rFonts w:ascii="Arial" w:hAnsi="Arial" w:eastAsia="Calibri" w:cs="Arial"/>
          <w:color w:val="000000" w:themeColor="text1"/>
          <w:sz w:val="22"/>
        </w:rPr>
      </w:pPr>
      <w:r>
        <w:rPr>
          <w:rFonts w:ascii="Arial" w:hAnsi="Arial" w:eastAsia="Calibri" w:cs="Arial"/>
          <w:color w:val="000000" w:themeColor="text1"/>
          <w:sz w:val="22"/>
        </w:rPr>
        <w:t>Bogotá D.C.</w:t>
      </w:r>
    </w:p>
    <w:p w:rsidRPr="006C15D5" w:rsidR="00BE1E33" w:rsidP="00BE1E33" w:rsidRDefault="00BE1E33" w14:paraId="738DBA53" w14:textId="77777777">
      <w:pPr>
        <w:rPr>
          <w:rFonts w:ascii="Arial" w:hAnsi="Arial" w:eastAsia="Calibri" w:cs="Arial"/>
          <w:color w:val="000000" w:themeColor="text1"/>
          <w:sz w:val="22"/>
        </w:rPr>
      </w:pPr>
    </w:p>
    <w:p w:rsidRPr="006C15D5" w:rsidR="00BE1E33" w:rsidP="00BE1E33" w:rsidRDefault="00BE1E33" w14:paraId="5CEA4ADF" w14:textId="0FDB8D86">
      <w:pPr>
        <w:ind w:firstLine="2694"/>
        <w:rPr>
          <w:rFonts w:ascii="Arial" w:hAnsi="Arial" w:eastAsia="Calibri" w:cs="Arial"/>
          <w:b/>
          <w:color w:val="000000" w:themeColor="text1"/>
          <w:sz w:val="22"/>
        </w:rPr>
      </w:pPr>
      <w:r w:rsidRPr="006C15D5">
        <w:rPr>
          <w:rFonts w:ascii="Arial" w:hAnsi="Arial" w:eastAsia="Calibri" w:cs="Arial"/>
          <w:b/>
          <w:color w:val="000000" w:themeColor="text1"/>
          <w:sz w:val="22"/>
        </w:rPr>
        <w:t xml:space="preserve">Concepto C </w:t>
      </w:r>
      <w:r w:rsidR="00490DBF">
        <w:rPr>
          <w:rFonts w:ascii="Arial" w:hAnsi="Arial" w:eastAsia="Calibri" w:cs="Arial"/>
          <w:b/>
          <w:color w:val="000000" w:themeColor="text1"/>
          <w:sz w:val="22"/>
        </w:rPr>
        <w:t>–</w:t>
      </w:r>
      <w:r w:rsidRPr="006C15D5">
        <w:rPr>
          <w:rFonts w:ascii="Arial" w:hAnsi="Arial" w:eastAsia="Calibri" w:cs="Arial"/>
          <w:b/>
          <w:color w:val="000000" w:themeColor="text1"/>
          <w:sz w:val="22"/>
        </w:rPr>
        <w:t xml:space="preserve"> </w:t>
      </w:r>
      <w:r w:rsidR="00A723D0">
        <w:rPr>
          <w:rFonts w:ascii="Arial" w:hAnsi="Arial" w:eastAsia="Calibri" w:cs="Arial"/>
          <w:b/>
          <w:color w:val="000000" w:themeColor="text1"/>
          <w:sz w:val="22"/>
        </w:rPr>
        <w:t>350</w:t>
      </w:r>
      <w:r w:rsidRPr="006C15D5">
        <w:rPr>
          <w:rFonts w:ascii="Arial" w:hAnsi="Arial" w:eastAsia="Calibri" w:cs="Arial"/>
          <w:b/>
          <w:color w:val="000000" w:themeColor="text1"/>
          <w:sz w:val="22"/>
        </w:rPr>
        <w:t xml:space="preserve"> de 2020</w:t>
      </w:r>
    </w:p>
    <w:p w:rsidRPr="006C15D5" w:rsidR="00BE1E33" w:rsidP="00BE1E33" w:rsidRDefault="00BE1E33" w14:paraId="234727AD"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F6D32" w:rsidR="003F6D32" w:rsidTr="004101BC" w14:paraId="2553E4F3" w14:textId="77777777">
        <w:tc>
          <w:tcPr>
            <w:tcW w:w="2689" w:type="dxa"/>
            <w:hideMark/>
          </w:tcPr>
          <w:p w:rsidRPr="006C15D5" w:rsidR="00BE1E33" w:rsidP="004101BC" w:rsidRDefault="00BE1E33" w14:paraId="7BC9E971" w14:textId="77777777">
            <w:pPr>
              <w:rPr>
                <w:rFonts w:ascii="Arial" w:hAnsi="Arial" w:eastAsia="Calibri" w:cs="Arial"/>
                <w:color w:val="000000" w:themeColor="text1"/>
                <w:sz w:val="22"/>
              </w:rPr>
            </w:pPr>
            <w:r w:rsidRPr="006C15D5">
              <w:rPr>
                <w:rFonts w:ascii="Arial" w:hAnsi="Arial" w:eastAsia="Calibri" w:cs="Arial"/>
                <w:b/>
                <w:color w:val="000000" w:themeColor="text1"/>
                <w:sz w:val="22"/>
              </w:rPr>
              <w:t>Temas:</w:t>
            </w:r>
            <w:r w:rsidRPr="006C15D5">
              <w:rPr>
                <w:rFonts w:ascii="Arial" w:hAnsi="Arial" w:eastAsia="Calibri" w:cs="Arial"/>
                <w:color w:val="000000" w:themeColor="text1"/>
                <w:sz w:val="22"/>
              </w:rPr>
              <w:t xml:space="preserve">           </w:t>
            </w:r>
          </w:p>
          <w:p w:rsidRPr="006C15D5" w:rsidR="00BE1E33" w:rsidP="004101BC" w:rsidRDefault="00BE1E33" w14:paraId="0C0D8CD7" w14:textId="77777777">
            <w:pPr>
              <w:rPr>
                <w:rFonts w:ascii="Arial" w:hAnsi="Arial" w:eastAsia="Calibri" w:cs="Arial"/>
                <w:color w:val="000000" w:themeColor="text1"/>
                <w:sz w:val="22"/>
              </w:rPr>
            </w:pPr>
            <w:r w:rsidRPr="006C15D5">
              <w:rPr>
                <w:rFonts w:ascii="Arial" w:hAnsi="Arial" w:eastAsia="Calibri" w:cs="Arial"/>
                <w:color w:val="000000" w:themeColor="text1"/>
                <w:sz w:val="22"/>
              </w:rPr>
              <w:t xml:space="preserve">                           </w:t>
            </w:r>
          </w:p>
        </w:tc>
        <w:tc>
          <w:tcPr>
            <w:tcW w:w="6237" w:type="dxa"/>
            <w:hideMark/>
          </w:tcPr>
          <w:p w:rsidRPr="000E6F21" w:rsidR="00BE1E33" w:rsidP="000E6F21" w:rsidRDefault="000E6F21" w14:paraId="0F35FDBD" w14:textId="78548D14">
            <w:pPr>
              <w:tabs>
                <w:tab w:val="left" w:pos="5295"/>
              </w:tabs>
              <w:jc w:val="both"/>
              <w:rPr>
                <w:rFonts w:ascii="Arial" w:hAnsi="Arial" w:eastAsia="Calibri" w:cs="Arial"/>
                <w:bCs/>
                <w:color w:val="000000" w:themeColor="text1"/>
                <w:sz w:val="22"/>
              </w:rPr>
            </w:pPr>
            <w:r w:rsidRPr="000E6F21">
              <w:rPr>
                <w:rFonts w:ascii="Arial" w:hAnsi="Arial" w:eastAsia="Calibri" w:cs="Arial"/>
                <w:bCs/>
                <w:color w:val="000000" w:themeColor="text1"/>
                <w:sz w:val="22"/>
              </w:rPr>
              <w:t xml:space="preserve">SOCIEDADES NUEVAS ‒ Experiencia ‒ Constitución ‒ Acto de creación ‒ Inferior a tres años – Procesos exceptuados del RUP / </w:t>
            </w:r>
            <w:r w:rsidRPr="000E6F21">
              <w:rPr>
                <w:rFonts w:ascii="Arial" w:hAnsi="Arial" w:cs="Arial"/>
                <w:bCs/>
                <w:color w:val="000000" w:themeColor="text1"/>
                <w:sz w:val="22"/>
              </w:rPr>
              <w:t xml:space="preserve">EXPERIENCIA REQUERIDA </w:t>
            </w:r>
            <w:r w:rsidRPr="000E6F21">
              <w:rPr>
                <w:rFonts w:ascii="Arial" w:hAnsi="Arial" w:eastAsia="Calibri" w:cs="Arial"/>
                <w:bCs/>
                <w:color w:val="000000" w:themeColor="text1"/>
                <w:sz w:val="22"/>
              </w:rPr>
              <w:t xml:space="preserve">– Competencia para fijarla / RUP – Plena prueba ‒ Requisitos habilitantes / </w:t>
            </w:r>
            <w:r w:rsidRPr="000E6F21">
              <w:rPr>
                <w:rFonts w:ascii="Arial" w:hAnsi="Arial" w:cs="Arial"/>
                <w:bCs/>
                <w:color w:val="000000" w:themeColor="text1"/>
                <w:sz w:val="22"/>
              </w:rPr>
              <w:t xml:space="preserve">RUP ‒ Deber de inscripción </w:t>
            </w:r>
            <w:r w:rsidRPr="000E6F21">
              <w:rPr>
                <w:rFonts w:ascii="Arial" w:hAnsi="Arial" w:eastAsia="Calibri" w:cs="Arial"/>
                <w:bCs/>
                <w:color w:val="000000" w:themeColor="text1"/>
                <w:sz w:val="22"/>
              </w:rPr>
              <w:t xml:space="preserve">– Excepciones / </w:t>
            </w:r>
            <w:r w:rsidRPr="000E6F21">
              <w:rPr>
                <w:rFonts w:ascii="Arial" w:hAnsi="Arial" w:cs="Arial"/>
                <w:bCs/>
                <w:color w:val="000000" w:themeColor="text1"/>
                <w:sz w:val="22"/>
              </w:rPr>
              <w:t xml:space="preserve">EXPERIENCIA </w:t>
            </w:r>
            <w:r w:rsidRPr="000E6F21">
              <w:rPr>
                <w:rFonts w:ascii="Arial" w:hAnsi="Arial" w:eastAsia="Calibri" w:cs="Arial"/>
                <w:bCs/>
                <w:color w:val="000000" w:themeColor="text1"/>
                <w:sz w:val="22"/>
              </w:rPr>
              <w:t xml:space="preserve">– </w:t>
            </w:r>
            <w:r w:rsidRPr="000E6F21">
              <w:rPr>
                <w:rFonts w:ascii="Arial" w:hAnsi="Arial" w:cs="Arial"/>
                <w:bCs/>
                <w:color w:val="000000" w:themeColor="text1"/>
                <w:sz w:val="22"/>
              </w:rPr>
              <w:t xml:space="preserve">Noción / SOCIEDADES NUEVAS ‒ Constitución ‒ Acto de creación ‒ inferior a tres años </w:t>
            </w:r>
            <w:r w:rsidRPr="000E6F21">
              <w:rPr>
                <w:rFonts w:ascii="Arial" w:hAnsi="Arial" w:eastAsia="Calibri" w:cs="Arial"/>
                <w:bCs/>
                <w:color w:val="000000" w:themeColor="text1"/>
                <w:sz w:val="22"/>
              </w:rPr>
              <w:t>– procesos exceptuados de RUP – Acreditación</w:t>
            </w:r>
          </w:p>
        </w:tc>
      </w:tr>
      <w:tr w:rsidRPr="003F6D32" w:rsidR="003F6D32" w:rsidTr="004101BC" w14:paraId="20F2A3B6" w14:textId="77777777">
        <w:tc>
          <w:tcPr>
            <w:tcW w:w="2689" w:type="dxa"/>
          </w:tcPr>
          <w:p w:rsidRPr="006C15D5" w:rsidR="00BE1E33" w:rsidP="004101BC" w:rsidRDefault="00BE1E33" w14:paraId="1E82F4FA" w14:textId="77777777">
            <w:pPr>
              <w:spacing w:before="120"/>
              <w:rPr>
                <w:rFonts w:ascii="Arial" w:hAnsi="Arial" w:eastAsia="Calibri" w:cs="Arial"/>
                <w:b/>
                <w:color w:val="000000" w:themeColor="text1"/>
                <w:sz w:val="22"/>
              </w:rPr>
            </w:pPr>
            <w:r w:rsidRPr="006C15D5">
              <w:rPr>
                <w:rFonts w:ascii="Arial" w:hAnsi="Arial" w:eastAsia="Calibri" w:cs="Arial"/>
                <w:b/>
                <w:color w:val="000000" w:themeColor="text1"/>
                <w:sz w:val="22"/>
              </w:rPr>
              <w:t>Radicación:</w:t>
            </w:r>
            <w:r w:rsidRPr="006C15D5">
              <w:rPr>
                <w:rFonts w:ascii="Arial" w:hAnsi="Arial" w:eastAsia="Calibri" w:cs="Arial"/>
                <w:color w:val="000000" w:themeColor="text1"/>
                <w:sz w:val="22"/>
              </w:rPr>
              <w:t xml:space="preserve">                              </w:t>
            </w:r>
          </w:p>
        </w:tc>
        <w:tc>
          <w:tcPr>
            <w:tcW w:w="6237" w:type="dxa"/>
          </w:tcPr>
          <w:p w:rsidRPr="006C15D5" w:rsidR="00BE1E33" w:rsidP="004101BC" w:rsidRDefault="00BE1E33" w14:paraId="20FCE53A" w14:textId="2C489A46">
            <w:pPr>
              <w:spacing w:before="120"/>
              <w:jc w:val="both"/>
              <w:rPr>
                <w:rFonts w:ascii="Arial" w:hAnsi="Arial" w:eastAsia="Calibri" w:cs="Arial"/>
                <w:color w:val="000000" w:themeColor="text1"/>
                <w:sz w:val="22"/>
              </w:rPr>
            </w:pPr>
            <w:r w:rsidRPr="006C15D5">
              <w:rPr>
                <w:rFonts w:ascii="Arial" w:hAnsi="Arial" w:eastAsia="Calibri" w:cs="Arial"/>
                <w:color w:val="000000" w:themeColor="text1"/>
                <w:sz w:val="22"/>
              </w:rPr>
              <w:t>Respuesta a consulta 420201300000</w:t>
            </w:r>
            <w:r w:rsidR="000E3FB3">
              <w:rPr>
                <w:rFonts w:ascii="Arial" w:hAnsi="Arial" w:eastAsia="Calibri" w:cs="Arial"/>
                <w:color w:val="000000" w:themeColor="text1"/>
                <w:sz w:val="22"/>
              </w:rPr>
              <w:t>3625</w:t>
            </w:r>
          </w:p>
        </w:tc>
      </w:tr>
      <w:tr w:rsidRPr="003F6D32" w:rsidR="00770D7D" w:rsidTr="004101BC" w14:paraId="27C2F130" w14:textId="77777777">
        <w:tc>
          <w:tcPr>
            <w:tcW w:w="2689" w:type="dxa"/>
          </w:tcPr>
          <w:p w:rsidRPr="006C15D5" w:rsidR="00770D7D" w:rsidP="004101BC" w:rsidRDefault="00770D7D" w14:paraId="2CAB0965" w14:textId="77777777">
            <w:pPr>
              <w:spacing w:before="120"/>
              <w:rPr>
                <w:rFonts w:ascii="Arial" w:hAnsi="Arial" w:eastAsia="Calibri" w:cs="Arial"/>
                <w:b/>
                <w:color w:val="000000" w:themeColor="text1"/>
                <w:sz w:val="22"/>
              </w:rPr>
            </w:pPr>
          </w:p>
        </w:tc>
        <w:tc>
          <w:tcPr>
            <w:tcW w:w="6237" w:type="dxa"/>
          </w:tcPr>
          <w:p w:rsidRPr="006C15D5" w:rsidR="00770D7D" w:rsidP="004101BC" w:rsidRDefault="00770D7D" w14:paraId="38942E59" w14:textId="77777777">
            <w:pPr>
              <w:spacing w:before="120"/>
              <w:jc w:val="both"/>
              <w:rPr>
                <w:rFonts w:ascii="Arial" w:hAnsi="Arial" w:eastAsia="Calibri" w:cs="Arial"/>
                <w:color w:val="000000" w:themeColor="text1"/>
                <w:sz w:val="22"/>
              </w:rPr>
            </w:pPr>
          </w:p>
        </w:tc>
      </w:tr>
    </w:tbl>
    <w:p w:rsidRPr="006C15D5" w:rsidR="00BE1E33" w:rsidP="00BE1E33" w:rsidRDefault="00BE1E33" w14:paraId="06248123" w14:textId="77777777">
      <w:pPr>
        <w:jc w:val="both"/>
        <w:rPr>
          <w:rFonts w:ascii="Arial" w:hAnsi="Arial" w:eastAsia="Calibri" w:cs="Arial"/>
          <w:color w:val="000000" w:themeColor="text1"/>
          <w:sz w:val="22"/>
        </w:rPr>
      </w:pPr>
    </w:p>
    <w:p w:rsidRPr="006C15D5" w:rsidR="00BE1E33" w:rsidP="00BE1E33" w:rsidRDefault="00BE1E33" w14:paraId="417ABDA8" w14:textId="74FEFBDE">
      <w:pPr>
        <w:rPr>
          <w:rFonts w:ascii="Arial" w:hAnsi="Arial" w:eastAsia="Calibri" w:cs="Arial"/>
          <w:color w:val="000000" w:themeColor="text1"/>
          <w:sz w:val="22"/>
        </w:rPr>
      </w:pPr>
      <w:r w:rsidRPr="006C15D5">
        <w:rPr>
          <w:rFonts w:ascii="Arial" w:hAnsi="Arial" w:eastAsia="Calibri" w:cs="Arial"/>
          <w:color w:val="000000" w:themeColor="text1"/>
          <w:sz w:val="22"/>
        </w:rPr>
        <w:t>Estimad</w:t>
      </w:r>
      <w:r w:rsidR="000E3FB3">
        <w:rPr>
          <w:rFonts w:ascii="Arial" w:hAnsi="Arial" w:eastAsia="Calibri" w:cs="Arial"/>
          <w:color w:val="000000" w:themeColor="text1"/>
          <w:sz w:val="22"/>
        </w:rPr>
        <w:t>o señor Salcedo:</w:t>
      </w:r>
    </w:p>
    <w:p w:rsidRPr="006C15D5" w:rsidR="00BE1E33" w:rsidP="00BE1E33" w:rsidRDefault="00BE1E33" w14:paraId="1CCABABD" w14:textId="77777777">
      <w:pPr>
        <w:rPr>
          <w:rFonts w:ascii="Arial" w:hAnsi="Arial" w:eastAsia="Calibri" w:cs="Arial"/>
          <w:color w:val="000000" w:themeColor="text1"/>
          <w:sz w:val="22"/>
        </w:rPr>
      </w:pPr>
    </w:p>
    <w:p w:rsidRPr="006C15D5" w:rsidR="00BE1E33" w:rsidP="00BE1E33" w:rsidRDefault="00BE1E33" w14:paraId="286A9CEF" w14:textId="618E7B43">
      <w:pPr>
        <w:spacing w:line="276" w:lineRule="auto"/>
        <w:jc w:val="both"/>
        <w:rPr>
          <w:rFonts w:ascii="Arial" w:hAnsi="Arial" w:eastAsia="Calibri" w:cs="Arial"/>
          <w:color w:val="000000" w:themeColor="text1"/>
          <w:sz w:val="22"/>
        </w:rPr>
      </w:pPr>
      <w:r w:rsidRPr="006C15D5">
        <w:rPr>
          <w:rFonts w:ascii="Arial" w:hAnsi="Arial" w:eastAsia="Calibri"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Pr="006C15D5" w:rsidR="009E4A43">
        <w:rPr>
          <w:rFonts w:ascii="Arial" w:hAnsi="Arial" w:eastAsia="Calibri" w:cs="Arial"/>
          <w:color w:val="000000" w:themeColor="text1"/>
          <w:sz w:val="22"/>
        </w:rPr>
        <w:t>24</w:t>
      </w:r>
      <w:r w:rsidRPr="006C15D5">
        <w:rPr>
          <w:rFonts w:ascii="Arial" w:hAnsi="Arial" w:eastAsia="Calibri" w:cs="Arial"/>
          <w:color w:val="000000" w:themeColor="text1"/>
          <w:sz w:val="22"/>
        </w:rPr>
        <w:t xml:space="preserve"> de marzo de 2020. </w:t>
      </w:r>
    </w:p>
    <w:p w:rsidRPr="006C15D5" w:rsidR="00BE1E33" w:rsidP="00BE1E33" w:rsidRDefault="00BE1E33" w14:paraId="1D13401D" w14:textId="77777777">
      <w:pPr>
        <w:spacing w:line="276" w:lineRule="auto"/>
        <w:jc w:val="both"/>
        <w:rPr>
          <w:rFonts w:ascii="Arial" w:hAnsi="Arial" w:eastAsia="Calibri" w:cs="Arial"/>
          <w:color w:val="000000" w:themeColor="text1"/>
          <w:sz w:val="22"/>
        </w:rPr>
      </w:pPr>
    </w:p>
    <w:p w:rsidRPr="006C15D5" w:rsidR="00BE1E33" w:rsidP="00BE1E33" w:rsidRDefault="00BE1E33" w14:paraId="068F505C"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rPr>
      </w:pPr>
      <w:r w:rsidRPr="006C15D5">
        <w:rPr>
          <w:rFonts w:ascii="Arial" w:hAnsi="Arial" w:eastAsia="Calibri" w:cs="Arial"/>
          <w:b/>
          <w:color w:val="000000" w:themeColor="text1"/>
          <w:sz w:val="22"/>
        </w:rPr>
        <w:t xml:space="preserve">Problemas planteados </w:t>
      </w:r>
    </w:p>
    <w:p w:rsidRPr="006C15D5" w:rsidR="00BE1E33" w:rsidP="00BE1E33" w:rsidRDefault="00BE1E33" w14:paraId="430A9943" w14:textId="77777777">
      <w:pPr>
        <w:tabs>
          <w:tab w:val="left" w:pos="426"/>
        </w:tabs>
        <w:spacing w:line="276" w:lineRule="auto"/>
        <w:jc w:val="both"/>
        <w:rPr>
          <w:rFonts w:ascii="Arial" w:hAnsi="Arial" w:eastAsia="Calibri" w:cs="Arial"/>
          <w:b/>
          <w:color w:val="000000" w:themeColor="text1"/>
          <w:sz w:val="22"/>
        </w:rPr>
      </w:pPr>
    </w:p>
    <w:p w:rsidRPr="006C15D5" w:rsidR="00BE1E33" w:rsidP="009E4A43" w:rsidRDefault="00BE1E33" w14:paraId="741F3B6B" w14:textId="54391F19">
      <w:pPr>
        <w:tabs>
          <w:tab w:val="left" w:pos="426"/>
        </w:tabs>
        <w:spacing w:line="276" w:lineRule="auto"/>
        <w:jc w:val="both"/>
        <w:rPr>
          <w:rFonts w:ascii="Arial" w:hAnsi="Arial" w:eastAsia="Calibri" w:cs="Arial"/>
          <w:color w:val="000000" w:themeColor="text1"/>
          <w:sz w:val="22"/>
        </w:rPr>
      </w:pPr>
      <w:r w:rsidRPr="006C15D5">
        <w:rPr>
          <w:rFonts w:ascii="Arial" w:hAnsi="Arial" w:eastAsia="Calibri" w:cs="Arial"/>
          <w:color w:val="000000" w:themeColor="text1"/>
          <w:sz w:val="22"/>
        </w:rPr>
        <w:t>Usted realiza la siguiente</w:t>
      </w:r>
      <w:r w:rsidRPr="006C15D5" w:rsidR="009E4A43">
        <w:rPr>
          <w:rFonts w:ascii="Arial" w:hAnsi="Arial" w:eastAsia="Calibri" w:cs="Arial"/>
          <w:color w:val="000000" w:themeColor="text1"/>
          <w:sz w:val="22"/>
        </w:rPr>
        <w:t xml:space="preserve"> </w:t>
      </w:r>
      <w:r w:rsidR="00DE2C0B">
        <w:rPr>
          <w:rFonts w:ascii="Arial" w:hAnsi="Arial" w:eastAsia="Calibri" w:cs="Arial"/>
          <w:color w:val="000000" w:themeColor="text1"/>
          <w:sz w:val="22"/>
        </w:rPr>
        <w:t>consulta</w:t>
      </w:r>
      <w:r w:rsidRPr="006C15D5">
        <w:rPr>
          <w:rFonts w:ascii="Arial" w:hAnsi="Arial" w:eastAsia="Calibri" w:cs="Arial"/>
          <w:color w:val="000000" w:themeColor="text1"/>
          <w:sz w:val="22"/>
        </w:rPr>
        <w:t>: «</w:t>
      </w:r>
      <w:r w:rsidRPr="000B19FE" w:rsidR="000B19FE">
        <w:rPr>
          <w:rFonts w:ascii="Arial" w:hAnsi="Arial" w:eastAsia="Calibri" w:cs="Arial"/>
          <w:color w:val="000000" w:themeColor="text1"/>
          <w:sz w:val="22"/>
        </w:rPr>
        <w:t>La consulta se presenta, con el objeto de</w:t>
      </w:r>
      <w:r w:rsidR="00764CF3">
        <w:rPr>
          <w:rFonts w:ascii="Arial" w:hAnsi="Arial" w:eastAsia="Calibri" w:cs="Arial"/>
          <w:color w:val="000000" w:themeColor="text1"/>
          <w:sz w:val="22"/>
        </w:rPr>
        <w:t xml:space="preserve"> </w:t>
      </w:r>
      <w:r w:rsidRPr="00764CF3" w:rsidR="00764CF3">
        <w:rPr>
          <w:rFonts w:ascii="Arial" w:hAnsi="Arial" w:eastAsia="Calibri" w:cs="Arial"/>
          <w:color w:val="000000" w:themeColor="text1"/>
          <w:sz w:val="22"/>
        </w:rPr>
        <w:t xml:space="preserve">aclarar si en los procesos en los que NO se requiera que el oferente allegue el Registro Único de Proponentes </w:t>
      </w:r>
      <w:r w:rsidR="007F42B3">
        <w:rPr>
          <w:rFonts w:ascii="Arial" w:hAnsi="Arial" w:eastAsia="Calibri" w:cs="Arial"/>
          <w:color w:val="000000" w:themeColor="text1"/>
          <w:sz w:val="22"/>
        </w:rPr>
        <w:t>‒</w:t>
      </w:r>
      <w:r w:rsidRPr="00764CF3" w:rsidR="00764CF3">
        <w:rPr>
          <w:rFonts w:ascii="Arial" w:hAnsi="Arial" w:eastAsia="Calibri" w:cs="Arial"/>
          <w:color w:val="000000" w:themeColor="text1"/>
          <w:sz w:val="22"/>
        </w:rPr>
        <w:t xml:space="preserve"> RUP, como es el caso de los de Mínima Cuantía, </w:t>
      </w:r>
      <w:r w:rsidRPr="000D4392" w:rsidR="000D4392">
        <w:rPr>
          <w:rFonts w:ascii="Arial" w:hAnsi="Arial" w:eastAsia="Calibri" w:cs="Arial"/>
          <w:color w:val="000000" w:themeColor="text1"/>
          <w:sz w:val="22"/>
        </w:rPr>
        <w:t>se esclarezca si el oferente puede acreditar la experiencia de los accionistas, socios o constituyentes de la empresa, siempre y cuando esta no tenga una fecha se constitución superior a 3 años, esta consulta se realiza toda vez que en la mayoría de procesos de Mínima Cuantía esta disposición no es estipulada y por lo tanto solicitamos respetuosamente un concepto al respecto por parte de Colombia Compra Eficiente</w:t>
      </w:r>
      <w:r w:rsidRPr="006C15D5">
        <w:rPr>
          <w:rFonts w:ascii="Arial" w:hAnsi="Arial" w:eastAsia="Calibri" w:cs="Arial"/>
          <w:color w:val="000000" w:themeColor="text1"/>
          <w:sz w:val="22"/>
        </w:rPr>
        <w:t xml:space="preserve">». </w:t>
      </w:r>
    </w:p>
    <w:p w:rsidRPr="006C15D5" w:rsidR="00BE1E33" w:rsidP="0032587C" w:rsidRDefault="00BE1E33" w14:paraId="6D375D8C" w14:textId="77777777">
      <w:pPr>
        <w:tabs>
          <w:tab w:val="left" w:pos="709"/>
        </w:tabs>
        <w:spacing w:line="276" w:lineRule="auto"/>
        <w:jc w:val="both"/>
        <w:rPr>
          <w:rFonts w:ascii="Arial" w:hAnsi="Arial" w:eastAsia="Calibri" w:cs="Arial"/>
          <w:color w:val="000000" w:themeColor="text1"/>
          <w:sz w:val="22"/>
        </w:rPr>
      </w:pPr>
    </w:p>
    <w:p w:rsidRPr="006C15D5" w:rsidR="00BE1E33" w:rsidP="00BE1E33" w:rsidRDefault="00BE1E33" w14:paraId="000CB06F" w14:textId="77777777">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rPr>
      </w:pPr>
      <w:r w:rsidRPr="006C15D5">
        <w:rPr>
          <w:rFonts w:ascii="Arial" w:hAnsi="Arial" w:eastAsia="Calibri" w:cs="Arial"/>
          <w:b/>
          <w:color w:val="000000" w:themeColor="text1"/>
          <w:sz w:val="22"/>
        </w:rPr>
        <w:t>Consideraciones</w:t>
      </w:r>
    </w:p>
    <w:p w:rsidRPr="006C15D5" w:rsidR="00BE1E33" w:rsidP="00BE1E33" w:rsidRDefault="00BE1E33" w14:paraId="01D94D72" w14:textId="77777777">
      <w:pPr>
        <w:spacing w:line="276" w:lineRule="auto"/>
        <w:jc w:val="both"/>
        <w:rPr>
          <w:rFonts w:ascii="Arial" w:hAnsi="Arial" w:eastAsia="Calibri" w:cs="Arial"/>
          <w:color w:val="000000" w:themeColor="text1"/>
          <w:sz w:val="22"/>
        </w:rPr>
      </w:pPr>
    </w:p>
    <w:p w:rsidRPr="006C15D5" w:rsidR="00BE1E33" w:rsidP="008E1CC3" w:rsidRDefault="00BE1E33" w14:paraId="087CCDF5" w14:textId="31283F9E">
      <w:pPr>
        <w:spacing w:after="120" w:line="276" w:lineRule="auto"/>
        <w:jc w:val="both"/>
        <w:rPr>
          <w:rFonts w:ascii="Arial" w:hAnsi="Arial" w:eastAsia="Calibri" w:cs="Arial"/>
          <w:color w:val="000000" w:themeColor="text1"/>
          <w:sz w:val="22"/>
        </w:rPr>
      </w:pPr>
      <w:r w:rsidRPr="006C15D5">
        <w:rPr>
          <w:rFonts w:ascii="Arial" w:hAnsi="Arial" w:eastAsia="Calibri" w:cs="Arial"/>
          <w:color w:val="000000" w:themeColor="text1"/>
          <w:sz w:val="22"/>
        </w:rPr>
        <w:t xml:space="preserve">La Agencia Nacional de Contratación Pública </w:t>
      </w:r>
      <w:r w:rsidR="0032587C">
        <w:rPr>
          <w:rFonts w:ascii="Arial" w:hAnsi="Arial" w:eastAsia="Calibri" w:cs="Arial"/>
          <w:color w:val="000000" w:themeColor="text1"/>
          <w:sz w:val="22"/>
        </w:rPr>
        <w:t>‒</w:t>
      </w:r>
      <w:r w:rsidRPr="006C15D5">
        <w:rPr>
          <w:rFonts w:ascii="Arial" w:hAnsi="Arial" w:eastAsia="Calibri" w:cs="Arial"/>
          <w:color w:val="000000" w:themeColor="text1"/>
          <w:sz w:val="22"/>
        </w:rPr>
        <w:t xml:space="preserve"> Colombia Compra Eficiente se ha pronunciado</w:t>
      </w:r>
      <w:r w:rsidR="00B64255">
        <w:rPr>
          <w:rFonts w:ascii="Arial" w:hAnsi="Arial" w:eastAsia="Calibri" w:cs="Arial"/>
          <w:color w:val="000000" w:themeColor="text1"/>
          <w:sz w:val="22"/>
        </w:rPr>
        <w:t xml:space="preserve"> </w:t>
      </w:r>
      <w:r w:rsidRPr="006C15D5">
        <w:rPr>
          <w:rFonts w:ascii="Arial" w:hAnsi="Arial" w:eastAsia="Calibri" w:cs="Arial"/>
          <w:color w:val="000000" w:themeColor="text1"/>
          <w:sz w:val="22"/>
        </w:rPr>
        <w:t>en diferentes conceptos sobre</w:t>
      </w:r>
      <w:r w:rsidR="00B64255">
        <w:rPr>
          <w:rFonts w:ascii="Arial" w:hAnsi="Arial" w:eastAsia="Calibri" w:cs="Arial"/>
          <w:color w:val="000000" w:themeColor="text1"/>
          <w:sz w:val="22"/>
        </w:rPr>
        <w:t xml:space="preserve"> </w:t>
      </w:r>
      <w:r w:rsidRPr="004E20DA" w:rsidR="00B64255">
        <w:rPr>
          <w:rFonts w:ascii="Arial" w:hAnsi="Arial" w:cs="Arial"/>
          <w:color w:val="000000" w:themeColor="text1"/>
          <w:sz w:val="22"/>
        </w:rPr>
        <w:t>el alcance del numeral 2.5. del artículo 2.2.1.1.1.5.2 del Decreto 1082 de 2015</w:t>
      </w:r>
      <w:r w:rsidRPr="006C15D5">
        <w:rPr>
          <w:rFonts w:ascii="Arial" w:hAnsi="Arial" w:eastAsia="Calibri" w:cs="Arial"/>
          <w:color w:val="000000" w:themeColor="text1"/>
          <w:sz w:val="22"/>
        </w:rPr>
        <w:t>, en los conceptos del</w:t>
      </w:r>
      <w:r w:rsidR="008D5D0F">
        <w:rPr>
          <w:rFonts w:ascii="Arial" w:hAnsi="Arial" w:eastAsia="Calibri" w:cs="Arial"/>
          <w:color w:val="000000" w:themeColor="text1"/>
          <w:sz w:val="22"/>
        </w:rPr>
        <w:t xml:space="preserve"> 20 y 28 de agosto,</w:t>
      </w:r>
      <w:r w:rsidR="00D45180">
        <w:rPr>
          <w:rFonts w:ascii="Arial" w:hAnsi="Arial" w:eastAsia="Calibri" w:cs="Arial"/>
          <w:color w:val="000000" w:themeColor="text1"/>
          <w:sz w:val="22"/>
        </w:rPr>
        <w:t xml:space="preserve"> del</w:t>
      </w:r>
      <w:r w:rsidR="002C21A7">
        <w:rPr>
          <w:rFonts w:ascii="Arial" w:hAnsi="Arial" w:eastAsia="Calibri" w:cs="Arial"/>
          <w:color w:val="000000" w:themeColor="text1"/>
          <w:sz w:val="22"/>
        </w:rPr>
        <w:t xml:space="preserve"> 3</w:t>
      </w:r>
      <w:r w:rsidR="00D45180">
        <w:rPr>
          <w:rFonts w:ascii="Arial" w:hAnsi="Arial" w:eastAsia="Calibri" w:cs="Arial"/>
          <w:color w:val="000000" w:themeColor="text1"/>
          <w:sz w:val="22"/>
        </w:rPr>
        <w:t>, 17 y 18</w:t>
      </w:r>
      <w:r w:rsidR="002C21A7">
        <w:rPr>
          <w:rFonts w:ascii="Arial" w:hAnsi="Arial" w:eastAsia="Calibri" w:cs="Arial"/>
          <w:color w:val="000000" w:themeColor="text1"/>
          <w:sz w:val="22"/>
        </w:rPr>
        <w:t xml:space="preserve"> de octubre</w:t>
      </w:r>
      <w:r w:rsidR="00182139">
        <w:rPr>
          <w:rFonts w:ascii="Arial" w:hAnsi="Arial" w:eastAsia="Calibri" w:cs="Arial"/>
          <w:color w:val="000000" w:themeColor="text1"/>
          <w:sz w:val="22"/>
        </w:rPr>
        <w:t>,</w:t>
      </w:r>
      <w:r w:rsidR="00FD43F4">
        <w:rPr>
          <w:rFonts w:ascii="Arial" w:hAnsi="Arial" w:eastAsia="Calibri" w:cs="Arial"/>
          <w:color w:val="000000" w:themeColor="text1"/>
          <w:sz w:val="22"/>
        </w:rPr>
        <w:t xml:space="preserve"> del 3</w:t>
      </w:r>
      <w:r w:rsidR="00182139">
        <w:rPr>
          <w:rFonts w:ascii="Arial" w:hAnsi="Arial" w:eastAsia="Calibri" w:cs="Arial"/>
          <w:color w:val="000000" w:themeColor="text1"/>
          <w:sz w:val="22"/>
        </w:rPr>
        <w:t xml:space="preserve"> y del 19</w:t>
      </w:r>
      <w:r w:rsidR="00FD43F4">
        <w:rPr>
          <w:rFonts w:ascii="Arial" w:hAnsi="Arial" w:eastAsia="Calibri" w:cs="Arial"/>
          <w:color w:val="000000" w:themeColor="text1"/>
          <w:sz w:val="22"/>
        </w:rPr>
        <w:t xml:space="preserve"> de noviembre de 201</w:t>
      </w:r>
      <w:r w:rsidR="00182139">
        <w:rPr>
          <w:rFonts w:ascii="Arial" w:hAnsi="Arial" w:eastAsia="Calibri" w:cs="Arial"/>
          <w:color w:val="000000" w:themeColor="text1"/>
          <w:sz w:val="22"/>
        </w:rPr>
        <w:t>9</w:t>
      </w:r>
      <w:r w:rsidR="00FD43F4">
        <w:rPr>
          <w:rFonts w:ascii="Arial" w:hAnsi="Arial" w:eastAsia="Calibri" w:cs="Arial"/>
          <w:color w:val="000000" w:themeColor="text1"/>
          <w:sz w:val="22"/>
        </w:rPr>
        <w:t xml:space="preserve"> ‒radicados Nos.</w:t>
      </w:r>
      <w:r w:rsidR="008D5D0F">
        <w:rPr>
          <w:rFonts w:ascii="Arial" w:hAnsi="Arial" w:eastAsia="Calibri" w:cs="Arial"/>
          <w:color w:val="000000" w:themeColor="text1"/>
          <w:sz w:val="22"/>
        </w:rPr>
        <w:t xml:space="preserve"> </w:t>
      </w:r>
      <w:r w:rsidRPr="008D5D0F" w:rsidR="008D5D0F">
        <w:rPr>
          <w:rFonts w:ascii="Arial" w:hAnsi="Arial" w:eastAsia="Calibri" w:cs="Arial"/>
          <w:color w:val="000000" w:themeColor="text1"/>
          <w:sz w:val="22"/>
        </w:rPr>
        <w:t>4201912000003636</w:t>
      </w:r>
      <w:r w:rsidR="008D5D0F">
        <w:rPr>
          <w:rFonts w:ascii="Arial" w:hAnsi="Arial" w:eastAsia="Calibri" w:cs="Arial"/>
          <w:color w:val="000000" w:themeColor="text1"/>
          <w:sz w:val="22"/>
        </w:rPr>
        <w:t xml:space="preserve">, </w:t>
      </w:r>
      <w:r w:rsidRPr="004E20DA" w:rsidR="008D5D0F">
        <w:rPr>
          <w:rFonts w:ascii="Arial" w:hAnsi="Arial" w:cs="Arial"/>
          <w:color w:val="000000" w:themeColor="text1"/>
          <w:sz w:val="22"/>
        </w:rPr>
        <w:t>4201912000004743</w:t>
      </w:r>
      <w:r w:rsidR="008D5D0F">
        <w:rPr>
          <w:rFonts w:ascii="Arial" w:hAnsi="Arial" w:cs="Arial"/>
          <w:color w:val="000000" w:themeColor="text1"/>
          <w:sz w:val="22"/>
        </w:rPr>
        <w:t>,</w:t>
      </w:r>
      <w:r w:rsidR="00D45180">
        <w:rPr>
          <w:rFonts w:ascii="Arial" w:hAnsi="Arial" w:cs="Arial"/>
          <w:color w:val="000000" w:themeColor="text1"/>
          <w:sz w:val="22"/>
        </w:rPr>
        <w:t xml:space="preserve"> </w:t>
      </w:r>
      <w:r w:rsidRPr="004E20DA" w:rsidR="00D45180">
        <w:rPr>
          <w:rFonts w:ascii="Arial" w:hAnsi="Arial" w:cs="Arial"/>
          <w:color w:val="000000" w:themeColor="text1"/>
          <w:sz w:val="22"/>
        </w:rPr>
        <w:t>4201913000006173, 4201913000007132</w:t>
      </w:r>
      <w:r w:rsidR="00D45180">
        <w:rPr>
          <w:rFonts w:ascii="Arial" w:hAnsi="Arial" w:cs="Arial"/>
          <w:color w:val="000000" w:themeColor="text1"/>
          <w:sz w:val="22"/>
        </w:rPr>
        <w:t xml:space="preserve">, </w:t>
      </w:r>
      <w:r w:rsidRPr="004E20DA" w:rsidR="00D45180">
        <w:rPr>
          <w:rFonts w:ascii="Arial" w:hAnsi="Arial" w:cs="Arial"/>
          <w:color w:val="000000" w:themeColor="text1"/>
          <w:sz w:val="22"/>
        </w:rPr>
        <w:t>4201912000007182</w:t>
      </w:r>
      <w:r w:rsidR="00D45180">
        <w:rPr>
          <w:rFonts w:ascii="Arial" w:hAnsi="Arial" w:cs="Arial"/>
          <w:color w:val="000000" w:themeColor="text1"/>
          <w:sz w:val="22"/>
        </w:rPr>
        <w:t>,</w:t>
      </w:r>
      <w:r w:rsidR="000A5D77">
        <w:rPr>
          <w:rFonts w:ascii="Arial" w:hAnsi="Arial" w:eastAsia="Calibri" w:cs="Arial"/>
          <w:color w:val="000000" w:themeColor="text1"/>
          <w:sz w:val="22"/>
        </w:rPr>
        <w:t xml:space="preserve"> </w:t>
      </w:r>
      <w:r w:rsidRPr="000A5D77" w:rsidR="000A5D77">
        <w:rPr>
          <w:rFonts w:ascii="Arial" w:hAnsi="Arial" w:eastAsia="Calibri" w:cs="Arial"/>
          <w:color w:val="000000" w:themeColor="text1"/>
          <w:sz w:val="22"/>
        </w:rPr>
        <w:t>4201913000006797</w:t>
      </w:r>
      <w:r w:rsidR="00182139">
        <w:rPr>
          <w:rFonts w:ascii="Arial" w:hAnsi="Arial" w:eastAsia="Calibri" w:cs="Arial"/>
          <w:color w:val="000000" w:themeColor="text1"/>
          <w:sz w:val="22"/>
        </w:rPr>
        <w:t>,</w:t>
      </w:r>
      <w:r w:rsidR="000A5D77">
        <w:rPr>
          <w:rFonts w:ascii="Arial" w:hAnsi="Arial" w:eastAsia="Calibri" w:cs="Arial"/>
          <w:color w:val="000000" w:themeColor="text1"/>
          <w:sz w:val="22"/>
        </w:rPr>
        <w:t xml:space="preserve"> </w:t>
      </w:r>
      <w:r w:rsidRPr="004E20DA" w:rsidR="003C7833">
        <w:rPr>
          <w:rFonts w:ascii="Arial" w:hAnsi="Arial" w:cs="Arial"/>
          <w:color w:val="000000" w:themeColor="text1"/>
          <w:sz w:val="22"/>
        </w:rPr>
        <w:t>4201912000007152</w:t>
      </w:r>
      <w:r w:rsidR="00182139">
        <w:rPr>
          <w:rFonts w:ascii="Arial" w:hAnsi="Arial" w:cs="Arial"/>
          <w:color w:val="000000" w:themeColor="text1"/>
          <w:sz w:val="22"/>
        </w:rPr>
        <w:t xml:space="preserve"> y </w:t>
      </w:r>
      <w:r w:rsidRPr="004E20DA" w:rsidR="00182139">
        <w:rPr>
          <w:rFonts w:ascii="Arial" w:hAnsi="Arial" w:cs="Arial"/>
          <w:color w:val="000000" w:themeColor="text1"/>
          <w:sz w:val="22"/>
        </w:rPr>
        <w:t>4201913000006797</w:t>
      </w:r>
      <w:r w:rsidR="003C7833">
        <w:rPr>
          <w:rFonts w:ascii="Arial" w:hAnsi="Arial" w:cs="Arial"/>
          <w:color w:val="000000" w:themeColor="text1"/>
          <w:sz w:val="22"/>
        </w:rPr>
        <w:t>‒</w:t>
      </w:r>
      <w:r w:rsidR="00182139">
        <w:rPr>
          <w:rFonts w:ascii="Arial" w:hAnsi="Arial" w:cs="Arial"/>
          <w:color w:val="000000" w:themeColor="text1"/>
          <w:sz w:val="22"/>
        </w:rPr>
        <w:t>,</w:t>
      </w:r>
      <w:r w:rsidR="003C7833">
        <w:rPr>
          <w:rFonts w:ascii="Arial" w:hAnsi="Arial" w:cs="Arial"/>
          <w:color w:val="000000" w:themeColor="text1"/>
          <w:sz w:val="22"/>
        </w:rPr>
        <w:t xml:space="preserve"> </w:t>
      </w:r>
      <w:r w:rsidR="00AA6E92">
        <w:rPr>
          <w:rFonts w:ascii="Arial" w:hAnsi="Arial" w:cs="Arial"/>
          <w:color w:val="000000" w:themeColor="text1"/>
          <w:sz w:val="22"/>
        </w:rPr>
        <w:t>as</w:t>
      </w:r>
      <w:r w:rsidR="003C7833">
        <w:rPr>
          <w:rFonts w:ascii="Arial" w:hAnsi="Arial" w:cs="Arial"/>
          <w:color w:val="000000" w:themeColor="text1"/>
          <w:sz w:val="22"/>
        </w:rPr>
        <w:t xml:space="preserve">í como en los conceptos </w:t>
      </w:r>
      <w:r w:rsidR="00024ACB">
        <w:rPr>
          <w:rFonts w:ascii="Arial" w:hAnsi="Arial" w:cs="Arial"/>
          <w:color w:val="000000" w:themeColor="text1"/>
          <w:sz w:val="22"/>
        </w:rPr>
        <w:t>C‒</w:t>
      </w:r>
      <w:r w:rsidR="00AE7447">
        <w:rPr>
          <w:rFonts w:ascii="Arial" w:hAnsi="Arial" w:cs="Arial"/>
          <w:color w:val="000000" w:themeColor="text1"/>
          <w:sz w:val="22"/>
        </w:rPr>
        <w:t>051 de 2020</w:t>
      </w:r>
      <w:r w:rsidR="00CA0E1B">
        <w:rPr>
          <w:rFonts w:ascii="Arial" w:hAnsi="Arial" w:cs="Arial"/>
          <w:color w:val="000000" w:themeColor="text1"/>
          <w:sz w:val="22"/>
        </w:rPr>
        <w:t xml:space="preserve"> y C‒165 de 2020</w:t>
      </w:r>
      <w:r w:rsidR="009D46A9">
        <w:rPr>
          <w:rFonts w:ascii="Arial" w:hAnsi="Arial" w:cs="Arial"/>
          <w:color w:val="000000" w:themeColor="text1"/>
          <w:sz w:val="22"/>
        </w:rPr>
        <w:t xml:space="preserve"> </w:t>
      </w:r>
      <w:r w:rsidR="009360AA">
        <w:rPr>
          <w:rFonts w:ascii="Arial" w:hAnsi="Arial" w:cs="Arial"/>
          <w:color w:val="000000" w:themeColor="text1"/>
          <w:sz w:val="22"/>
        </w:rPr>
        <w:t xml:space="preserve">donde se explicó </w:t>
      </w:r>
      <w:r w:rsidRPr="004E20DA" w:rsidR="009360AA">
        <w:rPr>
          <w:rFonts w:ascii="Arial" w:hAnsi="Arial" w:cs="Arial"/>
          <w:color w:val="000000" w:themeColor="text1"/>
          <w:sz w:val="22"/>
        </w:rPr>
        <w:t>que se pued</w:t>
      </w:r>
      <w:r w:rsidR="00C369AE">
        <w:rPr>
          <w:rFonts w:ascii="Arial" w:hAnsi="Arial" w:cs="Arial"/>
          <w:color w:val="000000" w:themeColor="text1"/>
          <w:sz w:val="22"/>
        </w:rPr>
        <w:t>e</w:t>
      </w:r>
      <w:r w:rsidRPr="004E20DA" w:rsidR="009360AA">
        <w:rPr>
          <w:rFonts w:ascii="Arial" w:hAnsi="Arial" w:cs="Arial"/>
          <w:color w:val="000000" w:themeColor="text1"/>
          <w:sz w:val="22"/>
        </w:rPr>
        <w:t xml:space="preserve"> hacer una aplicación extensiva o analógica</w:t>
      </w:r>
      <w:r w:rsidR="00C369AE">
        <w:rPr>
          <w:rFonts w:ascii="Arial" w:hAnsi="Arial" w:cs="Arial"/>
          <w:color w:val="000000" w:themeColor="text1"/>
          <w:sz w:val="22"/>
        </w:rPr>
        <w:t xml:space="preserve"> de la disposición mencionada,</w:t>
      </w:r>
      <w:r w:rsidRPr="004E20DA" w:rsidR="009360AA">
        <w:rPr>
          <w:rFonts w:ascii="Arial" w:hAnsi="Arial" w:cs="Arial"/>
          <w:color w:val="000000" w:themeColor="text1"/>
          <w:sz w:val="22"/>
        </w:rPr>
        <w:t xml:space="preserve"> para los eventos en los que no sea necesaria la inscripción en el RUP</w:t>
      </w:r>
      <w:r w:rsidR="00AD5C13">
        <w:rPr>
          <w:rFonts w:ascii="Arial" w:hAnsi="Arial" w:cs="Arial"/>
          <w:color w:val="000000" w:themeColor="text1"/>
          <w:sz w:val="22"/>
        </w:rPr>
        <w:t>, como es el caso de los procesos de contratación adelantados en la modalidad de selección de mínima cuantía</w:t>
      </w:r>
      <w:r w:rsidRPr="006C15D5">
        <w:rPr>
          <w:rFonts w:ascii="Arial" w:hAnsi="Arial" w:eastAsia="Calibri" w:cs="Arial"/>
          <w:color w:val="000000" w:themeColor="text1"/>
          <w:sz w:val="22"/>
        </w:rPr>
        <w:t>. Las tesis propuestas se exponen</w:t>
      </w:r>
      <w:r w:rsidR="00422851">
        <w:rPr>
          <w:rFonts w:ascii="Arial" w:hAnsi="Arial" w:eastAsia="Calibri" w:cs="Arial"/>
          <w:color w:val="000000" w:themeColor="text1"/>
          <w:sz w:val="22"/>
        </w:rPr>
        <w:t xml:space="preserve"> y reiteran a continuación</w:t>
      </w:r>
      <w:r w:rsidRPr="006C15D5">
        <w:rPr>
          <w:rFonts w:ascii="Arial" w:hAnsi="Arial" w:eastAsia="Calibri" w:cs="Arial"/>
          <w:color w:val="000000" w:themeColor="text1"/>
          <w:sz w:val="22"/>
        </w:rPr>
        <w:t>.</w:t>
      </w:r>
    </w:p>
    <w:p w:rsidRPr="004E20DA" w:rsidR="008443C9" w:rsidP="008E1CC3" w:rsidRDefault="008443C9" w14:paraId="3B78E707" w14:textId="77777777">
      <w:pPr>
        <w:spacing w:before="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Para desarrollar el problema planteado se estudiará, en primer lugar, la acreditación de experiencia de sociedades nuevas; en segundo lugar, se expondrán algunas consideraciones de Colombia Compra Eficiente respecto de la experiencia; y finalmente se resolverá el supuesto planteado por el peticionario.</w:t>
      </w:r>
    </w:p>
    <w:p w:rsidRPr="004E20DA" w:rsidR="008443C9" w:rsidP="008443C9" w:rsidRDefault="008443C9" w14:paraId="2843C3D2" w14:textId="77777777">
      <w:pPr>
        <w:spacing w:line="276" w:lineRule="auto"/>
        <w:jc w:val="both"/>
        <w:rPr>
          <w:rFonts w:ascii="Arial" w:hAnsi="Arial" w:cs="Arial"/>
          <w:color w:val="000000" w:themeColor="text1"/>
          <w:sz w:val="22"/>
        </w:rPr>
      </w:pPr>
    </w:p>
    <w:p w:rsidRPr="004E20DA" w:rsidR="008443C9" w:rsidP="008443C9" w:rsidRDefault="008443C9" w14:paraId="4ABC25AE" w14:textId="77777777">
      <w:pPr>
        <w:spacing w:line="276" w:lineRule="auto"/>
        <w:jc w:val="both"/>
        <w:rPr>
          <w:rFonts w:ascii="Arial" w:hAnsi="Arial" w:eastAsia="Calibri" w:cs="Arial"/>
          <w:b/>
          <w:color w:val="000000" w:themeColor="text1"/>
          <w:sz w:val="22"/>
        </w:rPr>
      </w:pPr>
      <w:r w:rsidRPr="004E20DA">
        <w:rPr>
          <w:rFonts w:ascii="Arial" w:hAnsi="Arial" w:eastAsia="Calibri" w:cs="Arial"/>
          <w:b/>
          <w:color w:val="000000" w:themeColor="text1"/>
          <w:sz w:val="22"/>
        </w:rPr>
        <w:t>2.1 Introducción</w:t>
      </w:r>
    </w:p>
    <w:p w:rsidRPr="004E20DA" w:rsidR="008443C9" w:rsidP="008443C9" w:rsidRDefault="008443C9" w14:paraId="2EFE6E9C" w14:textId="77777777">
      <w:pPr>
        <w:spacing w:line="276" w:lineRule="auto"/>
        <w:jc w:val="both"/>
        <w:rPr>
          <w:rFonts w:ascii="Arial" w:hAnsi="Arial" w:eastAsia="Calibri" w:cs="Arial"/>
          <w:b/>
          <w:color w:val="000000" w:themeColor="text1"/>
          <w:sz w:val="22"/>
        </w:rPr>
      </w:pPr>
    </w:p>
    <w:p w:rsidRPr="004E20DA" w:rsidR="008443C9" w:rsidP="008443C9" w:rsidRDefault="008443C9" w14:paraId="71E62DD0" w14:textId="77777777">
      <w:pPr>
        <w:spacing w:line="276" w:lineRule="auto"/>
        <w:jc w:val="both"/>
        <w:rPr>
          <w:rFonts w:ascii="Arial" w:hAnsi="Arial" w:eastAsia="Calibri" w:cs="Arial"/>
          <w:color w:val="000000" w:themeColor="text1"/>
          <w:sz w:val="22"/>
        </w:rPr>
      </w:pPr>
      <w:r w:rsidRPr="004E20DA">
        <w:rPr>
          <w:rFonts w:ascii="Arial" w:hAnsi="Arial" w:eastAsia="Calibri" w:cs="Arial"/>
          <w:color w:val="000000" w:themeColor="text1"/>
          <w:sz w:val="22"/>
        </w:rPr>
        <w:lastRenderedPageBreak/>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rsidRPr="004E20DA" w:rsidR="008443C9" w:rsidP="008443C9" w:rsidRDefault="008443C9" w14:paraId="267867EB" w14:textId="77777777">
      <w:pPr>
        <w:spacing w:before="120" w:after="120" w:line="276" w:lineRule="auto"/>
        <w:ind w:firstLine="709"/>
        <w:jc w:val="both"/>
        <w:rPr>
          <w:rFonts w:ascii="Arial" w:hAnsi="Arial" w:eastAsia="Calibri" w:cs="Arial"/>
          <w:color w:val="000000" w:themeColor="text1"/>
          <w:sz w:val="22"/>
        </w:rPr>
      </w:pPr>
      <w:r w:rsidRPr="004E20DA">
        <w:rPr>
          <w:rFonts w:ascii="Arial" w:hAnsi="Arial" w:eastAsia="Calibri" w:cs="Arial"/>
          <w:color w:val="000000" w:themeColor="text1"/>
          <w:sz w:val="22"/>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 como documento del proceso</w:t>
      </w:r>
      <w:r w:rsidRPr="004E20DA">
        <w:rPr>
          <w:rFonts w:ascii="Arial" w:hAnsi="Arial" w:eastAsia="Calibri" w:cs="Arial"/>
          <w:color w:val="000000" w:themeColor="text1"/>
          <w:sz w:val="22"/>
          <w:vertAlign w:val="superscript"/>
        </w:rPr>
        <w:footnoteReference w:id="1"/>
      </w:r>
      <w:r w:rsidRPr="004E20DA">
        <w:rPr>
          <w:rFonts w:ascii="Arial" w:hAnsi="Arial" w:eastAsia="Calibri" w:cs="Arial"/>
          <w:color w:val="000000" w:themeColor="text1"/>
          <w:sz w:val="22"/>
        </w:rPr>
        <w:t xml:space="preserve">. </w:t>
      </w:r>
    </w:p>
    <w:p w:rsidRPr="004E20DA" w:rsidR="008443C9" w:rsidP="008443C9" w:rsidRDefault="008443C9" w14:paraId="743776D0" w14:textId="77777777">
      <w:pPr>
        <w:spacing w:before="120" w:after="120" w:line="276" w:lineRule="auto"/>
        <w:ind w:firstLine="709"/>
        <w:jc w:val="both"/>
        <w:rPr>
          <w:rFonts w:ascii="Arial" w:hAnsi="Arial" w:eastAsia="Calibri" w:cs="Arial"/>
          <w:color w:val="000000" w:themeColor="text1"/>
          <w:sz w:val="22"/>
        </w:rPr>
      </w:pPr>
      <w:r w:rsidRPr="004E20DA">
        <w:rPr>
          <w:rFonts w:ascii="Arial" w:hAnsi="Arial" w:eastAsia="Calibri" w:cs="Arial"/>
          <w:color w:val="000000" w:themeColor="text1"/>
          <w:sz w:val="22"/>
        </w:rPr>
        <w:t>En ese sentido, se debe tener en cuenta que, de acuerdo con la Ley 80 de 1993, quienes pueden ser proveedores del Estado son las personas consideradas legalmente capaces, como las personas jurídicas</w:t>
      </w:r>
      <w:r w:rsidRPr="004E20DA">
        <w:rPr>
          <w:rFonts w:ascii="Arial" w:hAnsi="Arial" w:eastAsia="Calibri" w:cs="Arial"/>
          <w:color w:val="000000" w:themeColor="text1"/>
          <w:sz w:val="22"/>
          <w:vertAlign w:val="superscript"/>
        </w:rPr>
        <w:footnoteReference w:id="2"/>
      </w:r>
      <w:r w:rsidRPr="004E20DA">
        <w:rPr>
          <w:rFonts w:ascii="Arial" w:hAnsi="Arial" w:eastAsia="Calibri" w:cs="Arial"/>
          <w:color w:val="000000" w:themeColor="text1"/>
          <w:sz w:val="22"/>
        </w:rPr>
        <w:t>, que de acuerdo con el Código Civil tienen capacidad para ejercer derechos y contraer obligaciones, por ende tienen capacidad jurídica. Un tipo de persona jurídica son las sociedades comerciales</w:t>
      </w:r>
      <w:r w:rsidRPr="004E20DA">
        <w:rPr>
          <w:rFonts w:ascii="Arial" w:hAnsi="Arial" w:eastAsia="Calibri" w:cs="Arial"/>
          <w:color w:val="000000" w:themeColor="text1"/>
          <w:sz w:val="22"/>
          <w:vertAlign w:val="superscript"/>
        </w:rPr>
        <w:footnoteReference w:id="3"/>
      </w:r>
      <w:r w:rsidRPr="004E20DA">
        <w:rPr>
          <w:rFonts w:ascii="Arial" w:hAnsi="Arial" w:eastAsia="Calibri" w:cs="Arial"/>
          <w:color w:val="000000" w:themeColor="text1"/>
          <w:sz w:val="22"/>
        </w:rPr>
        <w:t xml:space="preserve"> reguladas, principalmente, en el </w:t>
      </w:r>
      <w:r w:rsidRPr="004E20DA">
        <w:rPr>
          <w:rFonts w:ascii="Arial" w:hAnsi="Arial" w:eastAsia="Calibri" w:cs="Arial"/>
          <w:color w:val="000000" w:themeColor="text1"/>
          <w:sz w:val="22"/>
        </w:rPr>
        <w:lastRenderedPageBreak/>
        <w:t>Código de Comercio</w:t>
      </w:r>
      <w:r w:rsidRPr="004E20DA">
        <w:rPr>
          <w:rFonts w:ascii="Arial" w:hAnsi="Arial" w:eastAsia="Calibri" w:cs="Arial"/>
          <w:color w:val="000000" w:themeColor="text1"/>
          <w:sz w:val="22"/>
          <w:vertAlign w:val="superscript"/>
        </w:rPr>
        <w:footnoteReference w:id="4"/>
      </w:r>
      <w:r w:rsidRPr="004E20DA">
        <w:rPr>
          <w:rFonts w:ascii="Arial" w:hAnsi="Arial" w:eastAsia="Calibri" w:cs="Arial"/>
          <w:color w:val="000000" w:themeColor="text1"/>
          <w:sz w:val="22"/>
        </w:rPr>
        <w:t>, donde se establecen las figuras y reformas estatutarias aplicables a estas como: la transformación, la escisión y la fusión.</w:t>
      </w:r>
    </w:p>
    <w:p w:rsidRPr="004E20DA" w:rsidR="008443C9" w:rsidP="00F975C1" w:rsidRDefault="008443C9" w14:paraId="0ED5FE9B" w14:textId="070124EE">
      <w:pPr>
        <w:spacing w:before="120" w:line="276" w:lineRule="auto"/>
        <w:ind w:firstLine="709"/>
        <w:jc w:val="both"/>
        <w:rPr>
          <w:rFonts w:ascii="Arial" w:hAnsi="Arial" w:eastAsia="Calibri" w:cs="Arial"/>
          <w:color w:val="000000" w:themeColor="text1"/>
          <w:sz w:val="22"/>
        </w:rPr>
      </w:pPr>
      <w:r w:rsidRPr="004E20DA">
        <w:rPr>
          <w:rFonts w:ascii="Arial" w:hAnsi="Arial" w:eastAsia="Calibri" w:cs="Arial"/>
          <w:color w:val="000000" w:themeColor="text1"/>
          <w:sz w:val="22"/>
        </w:rPr>
        <w:t>Por tanto, para resolver su consulta relacionada con la transferencia de experiencia a las personas jurídicas: i) en primer lugar se citará la regulación sobre experiencia; ii) después se explicará la forma en que se acredita la experiencia en sociedades nuevas y iii) se indicará c</w:t>
      </w:r>
      <w:r w:rsidR="00DB7E51">
        <w:rPr>
          <w:rFonts w:ascii="Arial" w:hAnsi="Arial" w:eastAsia="Calibri" w:cs="Arial"/>
          <w:color w:val="000000" w:themeColor="text1"/>
          <w:sz w:val="22"/>
        </w:rPr>
        <w:t>ó</w:t>
      </w:r>
      <w:r w:rsidRPr="004E20DA">
        <w:rPr>
          <w:rFonts w:ascii="Arial" w:hAnsi="Arial" w:eastAsia="Calibri" w:cs="Arial"/>
          <w:color w:val="000000" w:themeColor="text1"/>
          <w:sz w:val="22"/>
        </w:rPr>
        <w:t>mo se acredita la experiencia en procesos exceptuados del deber de inscripción en el RUP:</w:t>
      </w:r>
    </w:p>
    <w:p w:rsidRPr="004E20DA" w:rsidR="008443C9" w:rsidP="008443C9" w:rsidRDefault="008443C9" w14:paraId="4295294B" w14:textId="77777777">
      <w:pPr>
        <w:spacing w:line="276" w:lineRule="auto"/>
        <w:ind w:firstLine="708"/>
        <w:jc w:val="both"/>
        <w:rPr>
          <w:rFonts w:ascii="Arial" w:hAnsi="Arial" w:eastAsia="Calibri" w:cs="Arial"/>
          <w:color w:val="000000" w:themeColor="text1"/>
          <w:sz w:val="22"/>
        </w:rPr>
      </w:pPr>
    </w:p>
    <w:p w:rsidRPr="004E20DA" w:rsidR="008443C9" w:rsidP="008443C9" w:rsidRDefault="008443C9" w14:paraId="6F5E09CB" w14:textId="77777777">
      <w:pPr>
        <w:spacing w:line="276" w:lineRule="auto"/>
        <w:jc w:val="both"/>
        <w:rPr>
          <w:rFonts w:ascii="Arial" w:hAnsi="Arial" w:eastAsia="Calibri" w:cs="Arial"/>
          <w:b/>
          <w:color w:val="000000" w:themeColor="text1"/>
          <w:sz w:val="22"/>
        </w:rPr>
      </w:pPr>
      <w:r w:rsidRPr="004E20DA">
        <w:rPr>
          <w:rFonts w:ascii="Arial" w:hAnsi="Arial" w:eastAsia="Calibri" w:cs="Arial"/>
          <w:b/>
          <w:color w:val="000000" w:themeColor="text1"/>
          <w:sz w:val="22"/>
        </w:rPr>
        <w:t>2.2 Experiencia en la contratación pública: aproximación general al concepto y consideraciones del ente rector de la contratación pública</w:t>
      </w:r>
    </w:p>
    <w:p w:rsidRPr="004E20DA" w:rsidR="008443C9" w:rsidP="008443C9" w:rsidRDefault="008443C9" w14:paraId="05AAB200" w14:textId="77777777">
      <w:pPr>
        <w:spacing w:line="276" w:lineRule="auto"/>
        <w:jc w:val="both"/>
        <w:rPr>
          <w:rFonts w:ascii="Arial" w:hAnsi="Arial" w:eastAsia="Calibri" w:cs="Arial"/>
          <w:b/>
          <w:color w:val="000000" w:themeColor="text1"/>
          <w:sz w:val="22"/>
        </w:rPr>
      </w:pPr>
    </w:p>
    <w:p w:rsidRPr="004E20DA" w:rsidR="008443C9" w:rsidP="008443C9" w:rsidRDefault="008443C9" w14:paraId="007B6A38" w14:textId="77777777">
      <w:pPr>
        <w:spacing w:line="276" w:lineRule="auto"/>
        <w:jc w:val="both"/>
        <w:rPr>
          <w:rFonts w:ascii="Arial" w:hAnsi="Arial" w:eastAsia="Calibri" w:cs="Arial"/>
          <w:b/>
          <w:color w:val="000000" w:themeColor="text1"/>
          <w:sz w:val="22"/>
        </w:rPr>
      </w:pPr>
      <w:r w:rsidRPr="004E20DA">
        <w:rPr>
          <w:rFonts w:ascii="Arial" w:hAnsi="Arial" w:eastAsia="Calibri" w:cs="Arial"/>
          <w:b/>
          <w:color w:val="000000" w:themeColor="text1"/>
          <w:sz w:val="22"/>
        </w:rPr>
        <w:t>a) Norma general</w:t>
      </w:r>
    </w:p>
    <w:p w:rsidRPr="004E20DA" w:rsidR="008443C9" w:rsidP="008443C9" w:rsidRDefault="008443C9" w14:paraId="19A68D02" w14:textId="77777777">
      <w:pPr>
        <w:spacing w:line="276" w:lineRule="auto"/>
        <w:jc w:val="both"/>
        <w:rPr>
          <w:rFonts w:ascii="Arial" w:hAnsi="Arial" w:eastAsia="Calibri" w:cs="Arial"/>
          <w:b/>
          <w:color w:val="000000" w:themeColor="text1"/>
          <w:sz w:val="22"/>
        </w:rPr>
      </w:pPr>
    </w:p>
    <w:p w:rsidRPr="004E20DA" w:rsidR="008443C9" w:rsidP="00F975C1" w:rsidRDefault="008443C9" w14:paraId="257C5514" w14:textId="77777777">
      <w:pPr>
        <w:spacing w:after="120" w:line="276" w:lineRule="auto"/>
        <w:jc w:val="both"/>
        <w:rPr>
          <w:rFonts w:ascii="Arial" w:hAnsi="Arial" w:eastAsia="Calibri" w:cs="Arial"/>
          <w:color w:val="000000" w:themeColor="text1"/>
          <w:sz w:val="22"/>
          <w:highlight w:val="yellow"/>
        </w:rPr>
      </w:pPr>
      <w:r w:rsidRPr="004E20DA">
        <w:rPr>
          <w:rFonts w:ascii="Arial" w:hAnsi="Arial" w:eastAsia="Calibri" w:cs="Arial"/>
          <w:color w:val="000000" w:themeColor="text1"/>
          <w:sz w:val="22"/>
        </w:rPr>
        <w:t>La Ley 1150 de 2007, en el artículo 5</w:t>
      </w:r>
      <w:r w:rsidRPr="004E20DA">
        <w:rPr>
          <w:rStyle w:val="Refdenotaalpie"/>
          <w:rFonts w:ascii="Arial" w:hAnsi="Arial" w:eastAsia="Calibri" w:cs="Arial"/>
          <w:color w:val="000000" w:themeColor="text1"/>
          <w:sz w:val="22"/>
        </w:rPr>
        <w:footnoteReference w:id="5"/>
      </w:r>
      <w:r w:rsidRPr="004E20DA">
        <w:rPr>
          <w:rFonts w:ascii="Arial" w:hAnsi="Arial" w:eastAsia="Calibri" w:cs="Arial"/>
          <w:color w:val="000000" w:themeColor="text1"/>
          <w:sz w:val="22"/>
        </w:rPr>
        <w:t>,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4E20DA">
        <w:rPr>
          <w:rFonts w:ascii="Arial" w:hAnsi="Arial" w:eastAsia="Calibri" w:cs="Arial"/>
          <w:color w:val="000000" w:themeColor="text1"/>
          <w:sz w:val="22"/>
          <w:vertAlign w:val="superscript"/>
        </w:rPr>
        <w:footnoteReference w:id="6"/>
      </w:r>
      <w:r w:rsidRPr="004E20DA">
        <w:rPr>
          <w:rFonts w:ascii="Arial" w:hAnsi="Arial" w:eastAsia="Calibri" w:cs="Arial"/>
          <w:color w:val="000000" w:themeColor="text1"/>
          <w:sz w:val="22"/>
        </w:rPr>
        <w:t xml:space="preserve">. En ese </w:t>
      </w:r>
      <w:r w:rsidRPr="004E20DA">
        <w:rPr>
          <w:rFonts w:ascii="Arial" w:hAnsi="Arial" w:eastAsia="Calibri" w:cs="Arial"/>
          <w:color w:val="000000" w:themeColor="text1"/>
          <w:sz w:val="22"/>
        </w:rPr>
        <w:lastRenderedPageBreak/>
        <w:t>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4E20DA">
        <w:rPr>
          <w:rFonts w:ascii="Arial" w:hAnsi="Arial" w:eastAsia="Calibri" w:cs="Arial"/>
          <w:color w:val="000000" w:themeColor="text1"/>
          <w:sz w:val="22"/>
          <w:vertAlign w:val="superscript"/>
        </w:rPr>
        <w:footnoteReference w:id="7"/>
      </w:r>
      <w:r w:rsidRPr="004E20DA">
        <w:rPr>
          <w:rFonts w:ascii="Arial" w:hAnsi="Arial" w:eastAsia="Calibri" w:cs="Arial"/>
          <w:color w:val="000000" w:themeColor="text1"/>
          <w:sz w:val="22"/>
        </w:rPr>
        <w:t>.</w:t>
      </w:r>
    </w:p>
    <w:p w:rsidRPr="004E20DA" w:rsidR="008443C9" w:rsidP="008443C9" w:rsidRDefault="008443C9" w14:paraId="2DD8ACF5" w14:textId="77777777">
      <w:pPr>
        <w:spacing w:before="120" w:after="120" w:line="276" w:lineRule="auto"/>
        <w:ind w:firstLine="708"/>
        <w:jc w:val="both"/>
        <w:rPr>
          <w:rFonts w:ascii="Arial" w:hAnsi="Arial" w:eastAsia="Calibri" w:cs="Arial"/>
          <w:color w:val="000000" w:themeColor="text1"/>
          <w:sz w:val="22"/>
        </w:rPr>
      </w:pPr>
      <w:r w:rsidRPr="004E20DA">
        <w:rPr>
          <w:rFonts w:ascii="Arial" w:hAnsi="Arial" w:eastAsia="Calibri" w:cs="Arial"/>
          <w:color w:val="000000" w:themeColor="text1"/>
          <w:sz w:val="22"/>
        </w:rPr>
        <w:t>La experiencia que se deriva de los contratos que el proponente ha celebrado y ejecutado con diferentes contratantes, sin importar la naturaleza de estos, se verifica con el Registro Único de Proponentes (RUP)</w:t>
      </w:r>
      <w:r w:rsidRPr="004E20DA">
        <w:rPr>
          <w:rFonts w:ascii="Arial" w:hAnsi="Arial" w:eastAsia="Calibri" w:cs="Arial"/>
          <w:color w:val="000000" w:themeColor="text1"/>
          <w:sz w:val="22"/>
          <w:vertAlign w:val="superscript"/>
        </w:rPr>
        <w:footnoteReference w:id="8"/>
      </w:r>
      <w:r w:rsidRPr="004E20DA">
        <w:rPr>
          <w:rFonts w:ascii="Arial" w:hAnsi="Arial" w:eastAsia="Calibri" w:cs="Arial"/>
          <w:color w:val="000000" w:themeColor="text1"/>
          <w:sz w:val="22"/>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4E20DA">
        <w:rPr>
          <w:rFonts w:ascii="Arial" w:hAnsi="Arial" w:eastAsia="Calibri" w:cs="Arial"/>
          <w:color w:val="000000" w:themeColor="text1"/>
          <w:sz w:val="22"/>
          <w:vertAlign w:val="superscript"/>
        </w:rPr>
        <w:footnoteReference w:id="9"/>
      </w:r>
      <w:r w:rsidRPr="004E20DA">
        <w:rPr>
          <w:rFonts w:ascii="Arial" w:hAnsi="Arial" w:eastAsia="Calibri" w:cs="Arial"/>
          <w:color w:val="000000" w:themeColor="text1"/>
          <w:sz w:val="22"/>
        </w:rPr>
        <w:t>.</w:t>
      </w:r>
    </w:p>
    <w:p w:rsidRPr="004E20DA" w:rsidR="008443C9" w:rsidP="008443C9" w:rsidRDefault="008443C9" w14:paraId="6C6FF62D" w14:textId="77777777">
      <w:pPr>
        <w:spacing w:line="276" w:lineRule="auto"/>
        <w:ind w:firstLine="708"/>
        <w:jc w:val="both"/>
        <w:rPr>
          <w:rFonts w:ascii="Arial" w:hAnsi="Arial" w:eastAsia="Calibri" w:cs="Arial"/>
          <w:color w:val="000000" w:themeColor="text1"/>
          <w:sz w:val="22"/>
        </w:rPr>
      </w:pPr>
      <w:r w:rsidRPr="004E20DA">
        <w:rPr>
          <w:rFonts w:ascii="Arial" w:hAnsi="Arial" w:eastAsia="Calibri" w:cs="Arial"/>
          <w:color w:val="000000" w:themeColor="text1"/>
          <w:sz w:val="22"/>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4E20DA">
        <w:rPr>
          <w:rFonts w:ascii="Arial" w:hAnsi="Arial" w:eastAsia="Calibri" w:cs="Arial"/>
          <w:color w:val="000000" w:themeColor="text1"/>
          <w:sz w:val="22"/>
          <w:vertAlign w:val="superscript"/>
        </w:rPr>
        <w:footnoteReference w:id="10"/>
      </w:r>
      <w:r w:rsidRPr="004E20DA">
        <w:rPr>
          <w:rFonts w:ascii="Arial" w:hAnsi="Arial" w:eastAsia="Calibri" w:cs="Arial"/>
          <w:color w:val="000000" w:themeColor="text1"/>
          <w:sz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rsidRPr="004E20DA" w:rsidR="008443C9" w:rsidP="00F975C1" w:rsidRDefault="008443C9" w14:paraId="1E440344" w14:textId="77777777">
      <w:pPr>
        <w:spacing w:line="276" w:lineRule="auto"/>
        <w:ind w:firstLine="709"/>
        <w:jc w:val="both"/>
        <w:rPr>
          <w:rFonts w:ascii="Arial" w:hAnsi="Arial" w:eastAsia="Calibri" w:cs="Arial"/>
          <w:color w:val="000000" w:themeColor="text1"/>
          <w:sz w:val="22"/>
        </w:rPr>
      </w:pPr>
    </w:p>
    <w:p w:rsidRPr="004E20DA" w:rsidR="008443C9" w:rsidP="008443C9" w:rsidRDefault="008443C9" w14:paraId="323DFA95" w14:textId="77777777">
      <w:pPr>
        <w:spacing w:line="276" w:lineRule="auto"/>
        <w:jc w:val="both"/>
        <w:rPr>
          <w:rFonts w:ascii="Arial" w:hAnsi="Arial" w:eastAsia="Calibri" w:cs="Arial"/>
          <w:b/>
          <w:bCs/>
          <w:color w:val="000000" w:themeColor="text1"/>
          <w:sz w:val="22"/>
        </w:rPr>
      </w:pPr>
      <w:r w:rsidRPr="004E20DA">
        <w:rPr>
          <w:rFonts w:ascii="Arial" w:hAnsi="Arial" w:eastAsia="Calibri" w:cs="Arial"/>
          <w:b/>
          <w:bCs/>
          <w:color w:val="000000" w:themeColor="text1"/>
          <w:sz w:val="22"/>
        </w:rPr>
        <w:t>b)</w:t>
      </w:r>
      <w:r w:rsidRPr="004E20DA">
        <w:rPr>
          <w:rFonts w:ascii="Arial" w:hAnsi="Arial" w:cs="Arial"/>
          <w:b/>
          <w:color w:val="000000" w:themeColor="text1"/>
          <w:sz w:val="22"/>
        </w:rPr>
        <w:t xml:space="preserve"> </w:t>
      </w:r>
      <w:r w:rsidRPr="004E20DA">
        <w:rPr>
          <w:rFonts w:ascii="Arial" w:hAnsi="Arial" w:eastAsia="Calibri" w:cs="Arial"/>
          <w:b/>
          <w:bCs/>
          <w:color w:val="000000" w:themeColor="text1"/>
          <w:sz w:val="22"/>
        </w:rPr>
        <w:t>Consideraciones de Colombia Compra Eficiente respecto de la experiencia</w:t>
      </w:r>
    </w:p>
    <w:p w:rsidRPr="004E20DA" w:rsidR="008443C9" w:rsidP="008443C9" w:rsidRDefault="008443C9" w14:paraId="0EC2E66C" w14:textId="77777777">
      <w:pPr>
        <w:spacing w:line="276" w:lineRule="auto"/>
        <w:jc w:val="both"/>
        <w:rPr>
          <w:rFonts w:ascii="Arial" w:hAnsi="Arial" w:cs="Arial"/>
          <w:b/>
          <w:color w:val="000000" w:themeColor="text1"/>
          <w:sz w:val="22"/>
        </w:rPr>
      </w:pPr>
    </w:p>
    <w:p w:rsidRPr="004E20DA" w:rsidR="008443C9" w:rsidP="008443C9" w:rsidRDefault="008443C9" w14:paraId="660E6ADD" w14:textId="77777777">
      <w:pPr>
        <w:spacing w:line="276" w:lineRule="auto"/>
        <w:jc w:val="both"/>
        <w:rPr>
          <w:rFonts w:ascii="Arial" w:hAnsi="Arial" w:eastAsia="Calibri" w:cs="Arial"/>
          <w:color w:val="000000" w:themeColor="text1"/>
          <w:sz w:val="22"/>
        </w:rPr>
      </w:pPr>
      <w:r w:rsidRPr="004E20DA">
        <w:rPr>
          <w:rFonts w:ascii="Arial" w:hAnsi="Arial" w:eastAsia="Calibri" w:cs="Arial"/>
          <w:color w:val="000000" w:themeColor="text1"/>
          <w:sz w:val="22"/>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es en razón a su participación, con anterioridad, en actividades que le permitieron conocer cómo ejecutar el objeto contractual, que la entidad pretende satisfacer ahora</w:t>
      </w:r>
      <w:r w:rsidRPr="004E20DA">
        <w:rPr>
          <w:rFonts w:ascii="Arial" w:hAnsi="Arial" w:eastAsia="Calibri" w:cs="Arial"/>
          <w:color w:val="000000" w:themeColor="text1"/>
          <w:sz w:val="22"/>
          <w:vertAlign w:val="superscript"/>
        </w:rPr>
        <w:footnoteReference w:id="11"/>
      </w:r>
      <w:r w:rsidRPr="004E20DA">
        <w:rPr>
          <w:rFonts w:ascii="Arial" w:hAnsi="Arial" w:eastAsia="Calibri" w:cs="Arial"/>
          <w:color w:val="000000" w:themeColor="text1"/>
          <w:sz w:val="22"/>
        </w:rPr>
        <w:t>.</w:t>
      </w:r>
    </w:p>
    <w:p w:rsidRPr="004E20DA" w:rsidR="008443C9" w:rsidP="008443C9" w:rsidRDefault="008443C9" w14:paraId="522691E0" w14:textId="77777777">
      <w:pPr>
        <w:spacing w:before="120" w:after="120" w:line="276" w:lineRule="auto"/>
        <w:ind w:firstLine="709"/>
        <w:jc w:val="both"/>
        <w:rPr>
          <w:rFonts w:ascii="Arial" w:hAnsi="Arial" w:eastAsia="Calibri" w:cs="Arial"/>
          <w:color w:val="000000" w:themeColor="text1"/>
          <w:sz w:val="22"/>
        </w:rPr>
      </w:pPr>
      <w:r w:rsidRPr="004E20DA">
        <w:rPr>
          <w:rFonts w:ascii="Arial" w:hAnsi="Arial" w:eastAsia="Calibri" w:cs="Arial"/>
          <w:color w:val="000000" w:themeColor="text1"/>
          <w:sz w:val="22"/>
        </w:rPr>
        <w:lastRenderedPageBreak/>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conclusiones relevantes en relación con los rasgos característicos de la experiencia: </w:t>
      </w:r>
    </w:p>
    <w:p w:rsidRPr="004E20DA" w:rsidR="008443C9" w:rsidP="008443C9" w:rsidRDefault="008443C9" w14:paraId="2CB7264D" w14:textId="77777777">
      <w:pPr>
        <w:spacing w:before="120" w:after="120" w:line="276" w:lineRule="auto"/>
        <w:ind w:firstLine="709"/>
        <w:jc w:val="both"/>
        <w:rPr>
          <w:rFonts w:ascii="Arial" w:hAnsi="Arial" w:eastAsia="Calibri" w:cs="Arial"/>
          <w:color w:val="000000" w:themeColor="text1"/>
          <w:sz w:val="22"/>
        </w:rPr>
      </w:pPr>
      <w:r w:rsidRPr="004E20DA">
        <w:rPr>
          <w:rFonts w:ascii="Arial" w:hAnsi="Arial" w:eastAsia="Calibri" w:cs="Arial"/>
          <w:color w:val="000000" w:themeColor="text1"/>
          <w:sz w:val="22"/>
        </w:rPr>
        <w:t>i) La experiencia es personal, esto es, se adquiere participando, directa o indirectamente, sin que sea posible no participar y tener una experiencia que no es propia.</w:t>
      </w:r>
    </w:p>
    <w:p w:rsidRPr="004E20DA" w:rsidR="008443C9" w:rsidP="008443C9" w:rsidRDefault="008443C9" w14:paraId="09452F58" w14:textId="77777777">
      <w:pPr>
        <w:spacing w:before="120" w:after="120" w:line="276" w:lineRule="auto"/>
        <w:ind w:firstLine="709"/>
        <w:jc w:val="both"/>
        <w:rPr>
          <w:rFonts w:ascii="Arial" w:hAnsi="Arial" w:eastAsia="Calibri" w:cs="Arial"/>
          <w:color w:val="000000" w:themeColor="text1"/>
          <w:sz w:val="22"/>
        </w:rPr>
      </w:pPr>
      <w:r w:rsidRPr="004E20DA">
        <w:rPr>
          <w:rFonts w:ascii="Arial" w:hAnsi="Arial" w:eastAsia="Calibri" w:cs="Arial"/>
          <w:color w:val="000000" w:themeColor="text1"/>
          <w:sz w:val="22"/>
        </w:rPr>
        <w:t>ii)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 o de las figuras asociativas  ̶ consorcios y uniones temporales ̶  que se verificará en el documento privado de constitución.</w:t>
      </w:r>
    </w:p>
    <w:p w:rsidRPr="004E20DA" w:rsidR="008443C9" w:rsidP="008443C9" w:rsidRDefault="008443C9" w14:paraId="3E35EE81" w14:textId="77777777">
      <w:pPr>
        <w:spacing w:before="120" w:after="120" w:line="276" w:lineRule="auto"/>
        <w:ind w:firstLine="709"/>
        <w:jc w:val="both"/>
        <w:rPr>
          <w:rFonts w:ascii="Arial" w:hAnsi="Arial" w:eastAsia="Calibri" w:cs="Arial"/>
          <w:color w:val="000000" w:themeColor="text1"/>
          <w:sz w:val="22"/>
        </w:rPr>
      </w:pPr>
      <w:r w:rsidRPr="004E20DA">
        <w:rPr>
          <w:rFonts w:ascii="Arial" w:hAnsi="Arial" w:eastAsia="Calibri" w:cs="Arial"/>
          <w:color w:val="000000" w:themeColor="text1"/>
          <w:sz w:val="22"/>
        </w:rPr>
        <w:t xml:space="preserve">iii) La experiencia se puede transferir, y es diferente a compartir, puesto que implica que la experiencia de una persona se traslada a otra, y esta última acredita esa experiencia como propia, lo cual es el caso de algunas figuras y reformas estatutarias. </w:t>
      </w:r>
    </w:p>
    <w:p w:rsidRPr="004E20DA" w:rsidR="008443C9" w:rsidP="008443C9" w:rsidRDefault="008443C9" w14:paraId="360B92CC" w14:textId="77777777">
      <w:pPr>
        <w:spacing w:before="120" w:after="120" w:line="276" w:lineRule="auto"/>
        <w:ind w:firstLine="709"/>
        <w:jc w:val="both"/>
        <w:rPr>
          <w:rFonts w:ascii="Arial" w:hAnsi="Arial" w:eastAsia="Calibri" w:cs="Arial"/>
          <w:color w:val="000000" w:themeColor="text1"/>
          <w:sz w:val="22"/>
        </w:rPr>
      </w:pPr>
      <w:r w:rsidRPr="004E20DA">
        <w:rPr>
          <w:rFonts w:ascii="Arial" w:hAnsi="Arial" w:eastAsia="Calibri" w:cs="Arial"/>
          <w:color w:val="000000" w:themeColor="text1"/>
          <w:sz w:val="22"/>
        </w:rPr>
        <w:lastRenderedPageBreak/>
        <w:t>iv) Cuando la persona que adquirió la experiencia desaparece o se liquida, no es posible que comparta o transfiera su experiencia, porque al ser personal sigue la suerte de quien la adquirió.</w:t>
      </w:r>
    </w:p>
    <w:p w:rsidRPr="004E20DA" w:rsidR="008443C9" w:rsidP="008443C9" w:rsidRDefault="008443C9" w14:paraId="750B5DF8" w14:textId="77777777">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Ahora, el Registro Único de Proponentes </w:t>
      </w:r>
      <w:r w:rsidRPr="004E20DA">
        <w:rPr>
          <w:rFonts w:ascii="Arial" w:hAnsi="Arial" w:eastAsia="Calibri" w:cs="Arial"/>
          <w:color w:val="000000" w:themeColor="text1"/>
          <w:sz w:val="22"/>
        </w:rPr>
        <w:t xml:space="preserve">― </w:t>
      </w:r>
      <w:r w:rsidRPr="004E20DA">
        <w:rPr>
          <w:rFonts w:ascii="Arial" w:hAnsi="Arial" w:cs="Arial"/>
          <w:color w:val="000000" w:themeColor="text1"/>
          <w:sz w:val="22"/>
        </w:rPr>
        <w:t>RUP fue creado por el artículo 6 de la Ley 1150 de 2007, y se constituye como el medio idóneo para verificar las condiciones de los proponentes en procesos de contratación pública. Este registro, conforme a lo señalado por la Corte Constitucional</w:t>
      </w:r>
      <w:r w:rsidRPr="004E20DA">
        <w:rPr>
          <w:rFonts w:ascii="Arial" w:hAnsi="Arial" w:cs="Arial"/>
          <w:color w:val="000000" w:themeColor="text1"/>
          <w:sz w:val="22"/>
          <w:vertAlign w:val="superscript"/>
        </w:rPr>
        <w:footnoteReference w:id="12"/>
      </w:r>
      <w:r w:rsidRPr="004E20DA">
        <w:rPr>
          <w:rFonts w:ascii="Arial" w:hAnsi="Arial" w:cs="Arial"/>
          <w:color w:val="000000" w:themeColor="text1"/>
          <w:sz w:val="22"/>
        </w:rPr>
        <w:t xml:space="preserve">, por atribución legal es administrado por las Cámaras de Comercio y la actividad relacionada en el mismo está «sometid[a] a los principios de la función administrativa y de contratación estatal». </w:t>
      </w:r>
    </w:p>
    <w:p w:rsidRPr="004E20DA" w:rsidR="008443C9" w:rsidP="008443C9" w:rsidRDefault="008443C9" w14:paraId="5020E655" w14:textId="77777777">
      <w:pPr>
        <w:spacing w:before="120" w:after="120" w:line="276" w:lineRule="auto"/>
        <w:ind w:firstLine="705"/>
        <w:jc w:val="both"/>
        <w:rPr>
          <w:rFonts w:ascii="Arial" w:hAnsi="Arial" w:cs="Arial"/>
          <w:color w:val="000000" w:themeColor="text1"/>
          <w:sz w:val="22"/>
        </w:rPr>
      </w:pPr>
      <w:r w:rsidRPr="004E20DA">
        <w:rPr>
          <w:rFonts w:ascii="Arial" w:hAnsi="Arial" w:cs="Arial"/>
          <w:color w:val="000000" w:themeColor="text1"/>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rsidRPr="004E20DA" w:rsidR="008443C9" w:rsidP="00D76A24" w:rsidRDefault="008443C9" w14:paraId="193132CF" w14:textId="77777777">
      <w:pPr>
        <w:spacing w:before="120" w:after="120" w:line="276" w:lineRule="auto"/>
        <w:ind w:left="181" w:firstLine="527"/>
        <w:jc w:val="both"/>
        <w:rPr>
          <w:rFonts w:ascii="Arial" w:hAnsi="Arial" w:cs="Arial"/>
          <w:color w:val="000000" w:themeColor="text1"/>
          <w:sz w:val="22"/>
        </w:rPr>
      </w:pPr>
      <w:r w:rsidRPr="004E20DA">
        <w:rPr>
          <w:rFonts w:ascii="Arial" w:hAnsi="Arial" w:cs="Arial"/>
          <w:color w:val="000000" w:themeColor="text1"/>
          <w:sz w:val="22"/>
        </w:rPr>
        <w:t xml:space="preserve">Como se dijo, la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rsidRPr="004E20DA" w:rsidR="008443C9" w:rsidP="008443C9" w:rsidRDefault="008443C9" w14:paraId="0F76E035" w14:textId="77777777">
      <w:pPr>
        <w:spacing w:before="120" w:after="120" w:line="276" w:lineRule="auto"/>
        <w:jc w:val="both"/>
        <w:rPr>
          <w:rFonts w:ascii="Arial" w:hAnsi="Arial" w:cs="Arial"/>
          <w:color w:val="000000" w:themeColor="text1"/>
          <w:sz w:val="22"/>
        </w:rPr>
      </w:pPr>
      <w:r w:rsidRPr="004E20DA">
        <w:rPr>
          <w:rFonts w:ascii="Arial" w:hAnsi="Arial" w:cs="Arial"/>
          <w:color w:val="000000" w:themeColor="text1"/>
          <w:sz w:val="22"/>
        </w:rPr>
        <w:tab/>
      </w:r>
      <w:r w:rsidRPr="004E20DA">
        <w:rPr>
          <w:rFonts w:ascii="Arial" w:hAnsi="Arial" w:cs="Arial"/>
          <w:color w:val="000000" w:themeColor="text1"/>
          <w:sz w:val="22"/>
        </w:rPr>
        <w:t xml:space="preserve">Asimismo, correlativo a este deber de los proponentes, la norma impuso a las cámaras de comercio la obligación de verificar los requisitos habilitantes de quienes se registren en dicha base de datos. El inciso 2 del numeral 6.1. le otorga carácter de plena prueba a la información contenida en el registro que haya sido verificada por las cámaras de comercio y, además, consagró una especie de tarifa legal respecto de la acreditación de los requisitos habilitantes, pues señala que la verificación de las condiciones de que trata el numeral 1 el artículo 5 de la Ley 1150 de 2007 se demostrará «exclusivamente con el respectivo certificado del RUP en donde deberán constar dichas condiciones». </w:t>
      </w:r>
    </w:p>
    <w:p w:rsidRPr="004E20DA" w:rsidR="008443C9" w:rsidP="008443C9" w:rsidRDefault="008443C9" w14:paraId="5E83FCC9"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Como consecuencia de lo anterior,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misma norma señala que solo en este último evento la entidad podrá hacer la verificación en forma directa, es </w:t>
      </w:r>
      <w:r w:rsidRPr="004E20DA">
        <w:rPr>
          <w:rFonts w:ascii="Arial" w:hAnsi="Arial" w:cs="Arial"/>
          <w:color w:val="000000" w:themeColor="text1"/>
          <w:sz w:val="22"/>
        </w:rPr>
        <w:lastRenderedPageBreak/>
        <w:t xml:space="preserve">decir, cuando por el objeto del contrato se requieran verificar requisitos adicionales a los contenidos en el registro.  </w:t>
      </w:r>
    </w:p>
    <w:p w:rsidRPr="004E20DA" w:rsidR="008443C9" w:rsidP="008443C9" w:rsidRDefault="008443C9" w14:paraId="08859951" w14:textId="77777777">
      <w:pPr>
        <w:spacing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señalados en el Registro Único de Proponentes. </w:t>
      </w:r>
    </w:p>
    <w:p w:rsidRPr="004E20DA" w:rsidR="008443C9" w:rsidP="008443C9" w:rsidRDefault="008443C9" w14:paraId="08577A4B" w14:textId="77777777">
      <w:pPr>
        <w:spacing w:line="276" w:lineRule="auto"/>
        <w:jc w:val="both"/>
        <w:rPr>
          <w:rFonts w:ascii="Arial" w:hAnsi="Arial" w:cs="Arial"/>
          <w:color w:val="000000" w:themeColor="text1"/>
          <w:sz w:val="22"/>
        </w:rPr>
      </w:pPr>
    </w:p>
    <w:p w:rsidRPr="004E20DA" w:rsidR="008443C9" w:rsidP="008443C9" w:rsidRDefault="008443C9" w14:paraId="1EFB35C3" w14:textId="77777777">
      <w:pPr>
        <w:spacing w:line="276" w:lineRule="auto"/>
        <w:jc w:val="both"/>
        <w:rPr>
          <w:rFonts w:ascii="Arial" w:hAnsi="Arial" w:cs="Arial"/>
          <w:b/>
          <w:color w:val="000000" w:themeColor="text1"/>
          <w:sz w:val="22"/>
        </w:rPr>
      </w:pPr>
      <w:r w:rsidRPr="004E20DA">
        <w:rPr>
          <w:rFonts w:ascii="Arial" w:hAnsi="Arial" w:cs="Arial"/>
          <w:b/>
          <w:color w:val="000000" w:themeColor="text1"/>
          <w:sz w:val="22"/>
        </w:rPr>
        <w:t>2.3.</w:t>
      </w:r>
      <w:r w:rsidRPr="004E20DA">
        <w:rPr>
          <w:rFonts w:ascii="Arial" w:hAnsi="Arial" w:cs="Arial"/>
          <w:b/>
          <w:color w:val="000000" w:themeColor="text1"/>
          <w:sz w:val="22"/>
        </w:rPr>
        <w:tab/>
      </w:r>
      <w:r w:rsidRPr="004E20DA">
        <w:rPr>
          <w:rFonts w:ascii="Arial" w:hAnsi="Arial" w:cs="Arial"/>
          <w:b/>
          <w:color w:val="000000" w:themeColor="text1"/>
          <w:sz w:val="22"/>
        </w:rPr>
        <w:t xml:space="preserve">Acreditación de experiencia de sociedades nuevas </w:t>
      </w:r>
    </w:p>
    <w:p w:rsidR="004F7FB1" w:rsidP="00EB6042" w:rsidRDefault="004F7FB1" w14:paraId="67CBD9EC" w14:textId="77777777">
      <w:pPr>
        <w:spacing w:line="276" w:lineRule="auto"/>
        <w:jc w:val="both"/>
        <w:rPr>
          <w:rFonts w:ascii="Arial" w:hAnsi="Arial" w:cs="Arial"/>
          <w:color w:val="000000" w:themeColor="text1"/>
          <w:sz w:val="22"/>
        </w:rPr>
      </w:pPr>
    </w:p>
    <w:p w:rsidRPr="004E20DA" w:rsidR="008443C9" w:rsidP="00EB6042" w:rsidRDefault="008443C9" w14:paraId="143CABE6" w14:textId="66F533A9">
      <w:pPr>
        <w:spacing w:after="120" w:line="276" w:lineRule="auto"/>
        <w:jc w:val="both"/>
        <w:rPr>
          <w:rFonts w:ascii="Arial" w:hAnsi="Arial" w:cs="Arial"/>
          <w:color w:val="000000" w:themeColor="text1"/>
          <w:sz w:val="22"/>
        </w:rPr>
      </w:pPr>
      <w:r w:rsidRPr="004E20DA">
        <w:rPr>
          <w:rFonts w:ascii="Arial" w:hAnsi="Arial" w:cs="Arial"/>
          <w:color w:val="000000" w:themeColor="text1"/>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 </w:t>
      </w:r>
    </w:p>
    <w:p w:rsidRPr="004E20DA" w:rsidR="008443C9" w:rsidP="008443C9" w:rsidRDefault="008443C9" w14:paraId="769B5F75"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Por su parte, recuérdese que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rsidRPr="004E20DA" w:rsidR="008443C9" w:rsidP="008443C9" w:rsidRDefault="008443C9" w14:paraId="41AA0197"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4E20DA">
        <w:rPr>
          <w:rFonts w:ascii="Arial" w:hAnsi="Arial" w:cs="Arial"/>
          <w:color w:val="000000" w:themeColor="text1"/>
          <w:sz w:val="22"/>
          <w:vertAlign w:val="superscript"/>
        </w:rPr>
        <w:footnoteReference w:id="13"/>
      </w:r>
      <w:r w:rsidRPr="004E20DA">
        <w:rPr>
          <w:rFonts w:ascii="Arial" w:hAnsi="Arial" w:cs="Arial"/>
          <w:color w:val="000000" w:themeColor="text1"/>
          <w:sz w:val="22"/>
        </w:rPr>
        <w:t xml:space="preserve">.  </w:t>
      </w:r>
    </w:p>
    <w:p w:rsidRPr="004E20DA" w:rsidR="008443C9" w:rsidP="008443C9" w:rsidRDefault="008443C9" w14:paraId="320BE1E3"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numeral 2.5</w:t>
      </w:r>
      <w:r w:rsidRPr="004E20DA">
        <w:rPr>
          <w:rFonts w:ascii="Arial" w:hAnsi="Arial" w:cs="Arial"/>
          <w:color w:val="000000" w:themeColor="text1"/>
          <w:sz w:val="22"/>
          <w:vertAlign w:val="superscript"/>
        </w:rPr>
        <w:footnoteReference w:id="14"/>
      </w:r>
      <w:r w:rsidRPr="004E20DA">
        <w:rPr>
          <w:rFonts w:ascii="Arial" w:hAnsi="Arial" w:cs="Arial"/>
          <w:color w:val="000000" w:themeColor="text1"/>
          <w:sz w:val="22"/>
        </w:rPr>
        <w:t xml:space="preserve"> del mismo artículo señala que la persona jurídica se registrará aportando los certificados de la experiencia en la provisión de los bienes, obras y servicios </w:t>
      </w:r>
      <w:r w:rsidRPr="004E20DA">
        <w:rPr>
          <w:rFonts w:ascii="Arial" w:hAnsi="Arial" w:cs="Arial"/>
          <w:color w:val="000000" w:themeColor="text1"/>
          <w:sz w:val="22"/>
        </w:rPr>
        <w:lastRenderedPageBreak/>
        <w:t xml:space="preserve">que ofrecerá a las Entidades Estatales, los cuales deben ser expedidos por terceros que hayan recibido tales bienes, obras o servicios y deben corresponder a contratos ejecutados o copias de los contratos cuando el interesado no puede obtener tal certificado. </w:t>
      </w:r>
    </w:p>
    <w:p w:rsidRPr="004E20DA" w:rsidR="008443C9" w:rsidP="008443C9" w:rsidRDefault="008443C9" w14:paraId="0CE587C0"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rsidRPr="004E20DA" w:rsidR="008443C9" w:rsidP="008443C9" w:rsidRDefault="008443C9" w14:paraId="5C9592C3" w14:textId="51F27EF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w:t>
      </w:r>
      <w:r w:rsidR="003504D4">
        <w:rPr>
          <w:rFonts w:ascii="Arial" w:hAnsi="Arial" w:cs="Arial"/>
          <w:color w:val="000000" w:themeColor="text1"/>
          <w:sz w:val="22"/>
        </w:rPr>
        <w:t>los</w:t>
      </w:r>
      <w:r w:rsidRPr="004E20DA" w:rsidR="003504D4">
        <w:rPr>
          <w:rFonts w:ascii="Arial" w:hAnsi="Arial" w:cs="Arial"/>
          <w:color w:val="000000" w:themeColor="text1"/>
          <w:sz w:val="22"/>
        </w:rPr>
        <w:t xml:space="preserve"> </w:t>
      </w:r>
      <w:r w:rsidRPr="004E20DA">
        <w:rPr>
          <w:rFonts w:ascii="Arial" w:hAnsi="Arial" w:cs="Arial"/>
          <w:color w:val="000000" w:themeColor="text1"/>
          <w:sz w:val="22"/>
        </w:rPr>
        <w:t xml:space="preserve">oferentes en la contratación estatal, permite que las sociedades relativamente nuevas </w:t>
      </w:r>
      <w:r w:rsidRPr="004E20DA">
        <w:rPr>
          <w:rFonts w:ascii="Arial" w:hAnsi="Arial" w:eastAsia="Calibri" w:cs="Arial"/>
          <w:color w:val="000000" w:themeColor="text1"/>
          <w:sz w:val="22"/>
        </w:rPr>
        <w:t>─</w:t>
      </w:r>
      <w:r w:rsidRPr="004E20DA">
        <w:rPr>
          <w:rFonts w:ascii="Arial" w:hAnsi="Arial" w:cs="Arial"/>
          <w:color w:val="000000" w:themeColor="text1"/>
          <w:sz w:val="22"/>
        </w:rPr>
        <w:t>con menos de 3 años de constitución</w:t>
      </w:r>
      <w:r w:rsidRPr="004E20DA">
        <w:rPr>
          <w:rFonts w:ascii="Arial" w:hAnsi="Arial" w:eastAsia="Calibri" w:cs="Arial"/>
          <w:color w:val="000000" w:themeColor="text1"/>
          <w:sz w:val="22"/>
        </w:rPr>
        <w:t>─</w:t>
      </w:r>
      <w:r w:rsidRPr="004E20DA">
        <w:rPr>
          <w:rFonts w:ascii="Arial" w:hAnsi="Arial" w:cs="Arial"/>
          <w:color w:val="000000" w:themeColor="text1"/>
          <w:sz w:val="22"/>
        </w:rPr>
        <w:t xml:space="preserve"> puedan acreditar como experiencia en el RUP la de sus accionistas, socios o constituyentes. </w:t>
      </w:r>
    </w:p>
    <w:p w:rsidRPr="004E20DA" w:rsidR="008443C9" w:rsidP="008443C9" w:rsidRDefault="008443C9" w14:paraId="712C1DA6"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rsidRPr="004E20DA" w:rsidR="008443C9" w:rsidP="008443C9" w:rsidRDefault="008443C9" w14:paraId="447A6F34"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rsidRPr="004E20DA" w:rsidR="008443C9" w:rsidP="008443C9" w:rsidRDefault="008443C9" w14:paraId="2808E825"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Este aspecto ofrece meridiana claridad en cuanto a su aplicación, pero el interrogante que ha generado la norma es ¿qué pasa después de que la sociedad a la que </w:t>
      </w:r>
      <w:r w:rsidRPr="004E20DA">
        <w:rPr>
          <w:rFonts w:ascii="Arial" w:hAnsi="Arial" w:cs="Arial"/>
          <w:color w:val="000000" w:themeColor="text1"/>
          <w:sz w:val="22"/>
        </w:rPr>
        <w:lastRenderedPageBreak/>
        <w:t xml:space="preserve">le ha sido permitido certificar la experiencia de sus socios, accionistas o constituyentes cumple 3 años de su constitución? ¿puede seguir siendo beneficiaria de la prerrogativa del numeral 2.5 del artículo 2.2.1.1.1.5.2 del Decreto 1082 de 2015? </w:t>
      </w:r>
    </w:p>
    <w:p w:rsidRPr="004E20DA" w:rsidR="008443C9" w:rsidP="008443C9" w:rsidRDefault="008443C9" w14:paraId="78BEAD81"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rsidRPr="004E20DA" w:rsidR="008443C9" w:rsidP="008443C9" w:rsidRDefault="008443C9" w14:paraId="46131471"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Teniendo en cuenta lo anterior, aunque la persona jurídica tenga más de tres años de constituida y haya registrado inicialmente la experiencia de sus socios en el RUP </w:t>
      </w:r>
      <w:r w:rsidRPr="004E20DA">
        <w:rPr>
          <w:rFonts w:ascii="Arial" w:hAnsi="Arial" w:eastAsia="Calibri" w:cs="Arial"/>
          <w:color w:val="000000" w:themeColor="text1"/>
          <w:sz w:val="22"/>
        </w:rPr>
        <w:t>―</w:t>
      </w:r>
      <w:r w:rsidRPr="004E20DA">
        <w:rPr>
          <w:rFonts w:ascii="Arial" w:hAnsi="Arial" w:cs="Arial"/>
          <w:color w:val="000000" w:themeColor="text1"/>
          <w:sz w:val="22"/>
        </w:rPr>
        <w:t>pues su constitución era inferior a tres años</w:t>
      </w:r>
      <w:r w:rsidRPr="004E20DA">
        <w:rPr>
          <w:rFonts w:ascii="Arial" w:hAnsi="Arial" w:eastAsia="Calibri" w:cs="Arial"/>
          <w:color w:val="000000" w:themeColor="text1"/>
          <w:sz w:val="22"/>
        </w:rPr>
        <w:t>―</w:t>
      </w:r>
      <w:r w:rsidRPr="004E20DA">
        <w:rPr>
          <w:rFonts w:ascii="Arial" w:hAnsi="Arial" w:cs="Arial"/>
          <w:color w:val="000000" w:themeColor="text1"/>
          <w:sz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rsidRPr="004E20DA" w:rsidR="008443C9" w:rsidP="008443C9" w:rsidRDefault="008443C9" w14:paraId="65040026" w14:textId="1CA332DF">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Posición contraria se adoptó en un concepto identificado con radicado No. 4201814000001418 del 15 de febrero de 2018, donde</w:t>
      </w:r>
      <w:r w:rsidR="00D675E0">
        <w:rPr>
          <w:rFonts w:ascii="Arial" w:hAnsi="Arial" w:cs="Arial"/>
          <w:color w:val="000000" w:themeColor="text1"/>
          <w:sz w:val="22"/>
        </w:rPr>
        <w:t>,</w:t>
      </w:r>
      <w:r w:rsidRPr="004E20DA">
        <w:rPr>
          <w:rFonts w:ascii="Arial" w:hAnsi="Arial" w:cs="Arial"/>
          <w:color w:val="000000" w:themeColor="text1"/>
          <w:sz w:val="22"/>
        </w:rPr>
        <w:t xml:space="preserve"> frente a la misma pregunta</w:t>
      </w:r>
      <w:r w:rsidR="00D675E0">
        <w:rPr>
          <w:rFonts w:ascii="Arial" w:hAnsi="Arial" w:cs="Arial"/>
          <w:color w:val="000000" w:themeColor="text1"/>
          <w:sz w:val="22"/>
        </w:rPr>
        <w:t>,</w:t>
      </w:r>
      <w:r w:rsidRPr="004E20DA">
        <w:rPr>
          <w:rFonts w:ascii="Arial" w:hAnsi="Arial" w:cs="Arial"/>
          <w:color w:val="000000" w:themeColor="text1"/>
          <w:sz w:val="22"/>
        </w:rPr>
        <w:t xml:space="preserve">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rsidRPr="004E20DA" w:rsidR="008443C9" w:rsidP="008443C9" w:rsidRDefault="008443C9" w14:paraId="6586AE7C"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rsidRPr="004E20DA" w:rsidR="008443C9" w:rsidP="008443C9" w:rsidRDefault="008443C9" w14:paraId="7AE0AE79"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ii) El Decreto 1082 de 2015 establece que para la inscripción en el RUP de una persona jurídica, si su constitución es menor a 3 años, puede acreditar la experiencia de sus accionistas, socios o constituyentes. </w:t>
      </w:r>
    </w:p>
    <w:p w:rsidRPr="004E20DA" w:rsidR="008443C9" w:rsidP="008443C9" w:rsidRDefault="008443C9" w14:paraId="18925996"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rsidRPr="004E20DA" w:rsidR="008443C9" w:rsidP="008443C9" w:rsidRDefault="008443C9" w14:paraId="41838C42"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rsidRPr="004E20DA" w:rsidR="008443C9" w:rsidP="008443C9" w:rsidRDefault="008443C9" w14:paraId="6EA8A5BA"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lastRenderedPageBreak/>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4E20DA">
        <w:rPr>
          <w:rFonts w:ascii="Arial" w:hAnsi="Arial" w:eastAsia="Calibri" w:cs="Arial"/>
          <w:color w:val="000000" w:themeColor="text1"/>
          <w:sz w:val="22"/>
        </w:rPr>
        <w:t>―</w:t>
      </w:r>
      <w:r w:rsidRPr="004E20DA">
        <w:rPr>
          <w:rFonts w:ascii="Arial" w:hAnsi="Arial" w:cs="Arial"/>
          <w:color w:val="000000" w:themeColor="text1"/>
          <w:sz w:val="22"/>
        </w:rPr>
        <w:t>únicamente para la capacidad jurídica y experiencia</w:t>
      </w:r>
      <w:r w:rsidRPr="004E20DA">
        <w:rPr>
          <w:rFonts w:ascii="Arial" w:hAnsi="Arial" w:eastAsia="Calibri" w:cs="Arial"/>
          <w:color w:val="000000" w:themeColor="text1"/>
          <w:sz w:val="22"/>
        </w:rPr>
        <w:t>―</w:t>
      </w:r>
      <w:r w:rsidRPr="004E20DA">
        <w:rPr>
          <w:rFonts w:ascii="Arial" w:hAnsi="Arial" w:cs="Arial"/>
          <w:color w:val="000000" w:themeColor="text1"/>
          <w:sz w:val="22"/>
        </w:rPr>
        <w:t xml:space="preserve"> y debe ser verificada junto con sus soportes por la Cámara de Comercio correspondiente. </w:t>
      </w:r>
    </w:p>
    <w:p w:rsidRPr="004E20DA" w:rsidR="008443C9" w:rsidP="008443C9" w:rsidRDefault="008443C9" w14:paraId="56EAC409"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o no de que las sociedades nuevas puedan seguir acreditando la experiencia de sus socios, accionistas o constituyentes, incluso después de cumplidos 3 años de constitución de la persona jurídica. </w:t>
      </w:r>
    </w:p>
    <w:p w:rsidRPr="004E20DA" w:rsidR="008443C9" w:rsidP="008443C9" w:rsidRDefault="008443C9" w14:paraId="076F63AA"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más recientes</w:t>
      </w:r>
      <w:r w:rsidRPr="004E20DA">
        <w:rPr>
          <w:rFonts w:ascii="Arial" w:hAnsi="Arial" w:cs="Arial"/>
          <w:color w:val="000000" w:themeColor="text1"/>
          <w:sz w:val="22"/>
          <w:vertAlign w:val="superscript"/>
        </w:rPr>
        <w:footnoteReference w:id="15"/>
      </w:r>
      <w:r w:rsidRPr="004E20DA">
        <w:rPr>
          <w:rFonts w:ascii="Arial" w:hAnsi="Arial" w:cs="Arial"/>
          <w:color w:val="000000" w:themeColor="text1"/>
          <w:sz w:val="22"/>
        </w:rPr>
        <w:t xml:space="preserve">, esto es, posteriores a la acogida en el Concepto del 3 de abril de 2018 antes citado. </w:t>
      </w:r>
    </w:p>
    <w:p w:rsidRPr="004E20DA" w:rsidR="008443C9" w:rsidP="008443C9" w:rsidRDefault="008443C9" w14:paraId="574F34CB"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Cámaras de Comercio sólo pueden eliminar la experiencia registrada en el RUP a solicitud del proponente, por tanto, le corresponde a las personas jurídicas mantener su RUP actualizado y a las entidades estatales verificar, para efectos de tener en cuenta la experiencia. </w:t>
      </w:r>
    </w:p>
    <w:p w:rsidRPr="004E20DA" w:rsidR="008443C9" w:rsidP="008443C9" w:rsidRDefault="008443C9" w14:paraId="14A926E4"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rsidRPr="004E20DA" w:rsidR="008443C9" w:rsidP="008443C9" w:rsidRDefault="008443C9" w14:paraId="3845B5D2" w14:textId="77777777">
      <w:pPr>
        <w:spacing w:line="276" w:lineRule="auto"/>
        <w:ind w:firstLine="708"/>
        <w:jc w:val="both"/>
        <w:rPr>
          <w:rFonts w:ascii="Arial" w:hAnsi="Arial" w:cs="Arial"/>
          <w:color w:val="000000" w:themeColor="text1"/>
          <w:sz w:val="22"/>
        </w:rPr>
      </w:pPr>
      <w:r w:rsidRPr="004E20DA">
        <w:rPr>
          <w:rFonts w:ascii="Arial" w:hAnsi="Arial" w:cs="Arial"/>
          <w:color w:val="000000" w:themeColor="text1"/>
          <w:sz w:val="22"/>
        </w:rPr>
        <w:lastRenderedPageBreak/>
        <w:t xml:space="preserve">Lo anterior, tiene fundamento en la Circular Única de la Superintendencia de Industria y Comercio, en el numeral 4.2, sobre el procedimiento para llevar el registro único de proponentes, que establece:  </w:t>
      </w:r>
    </w:p>
    <w:p w:rsidRPr="004E20DA" w:rsidR="008443C9" w:rsidP="008443C9" w:rsidRDefault="008443C9" w14:paraId="655D0D95" w14:textId="77777777">
      <w:pPr>
        <w:spacing w:line="276" w:lineRule="auto"/>
        <w:ind w:firstLine="708"/>
        <w:jc w:val="both"/>
        <w:rPr>
          <w:rFonts w:ascii="Arial" w:hAnsi="Arial" w:cs="Arial"/>
          <w:color w:val="000000" w:themeColor="text1"/>
          <w:sz w:val="22"/>
        </w:rPr>
      </w:pPr>
    </w:p>
    <w:p w:rsidRPr="004E20DA" w:rsidR="008443C9" w:rsidP="008443C9" w:rsidRDefault="008443C9" w14:paraId="3DDEF43B" w14:textId="77777777">
      <w:pPr>
        <w:ind w:left="709" w:right="709"/>
        <w:jc w:val="both"/>
        <w:rPr>
          <w:rFonts w:ascii="Arial" w:hAnsi="Arial" w:cs="Arial"/>
          <w:color w:val="000000" w:themeColor="text1"/>
          <w:sz w:val="21"/>
          <w:szCs w:val="21"/>
        </w:rPr>
      </w:pPr>
      <w:r w:rsidRPr="004E20DA">
        <w:rPr>
          <w:rFonts w:ascii="Arial" w:hAnsi="Arial" w:cs="Arial"/>
          <w:color w:val="000000" w:themeColor="text1"/>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rsidRPr="004E20DA" w:rsidR="008443C9" w:rsidP="008443C9" w:rsidRDefault="008443C9" w14:paraId="2D4C52E0" w14:textId="77777777">
      <w:pPr>
        <w:ind w:left="709" w:right="709"/>
        <w:jc w:val="both"/>
        <w:rPr>
          <w:rFonts w:ascii="Arial" w:hAnsi="Arial" w:cs="Arial"/>
          <w:color w:val="000000" w:themeColor="text1"/>
          <w:sz w:val="21"/>
          <w:szCs w:val="21"/>
        </w:rPr>
      </w:pPr>
    </w:p>
    <w:p w:rsidRPr="004E20DA" w:rsidR="008443C9" w:rsidP="008443C9" w:rsidRDefault="008443C9" w14:paraId="6414343D" w14:textId="5EFDFF5B">
      <w:pPr>
        <w:spacing w:line="276" w:lineRule="auto"/>
        <w:ind w:firstLine="708"/>
        <w:jc w:val="both"/>
        <w:rPr>
          <w:rFonts w:ascii="Arial" w:hAnsi="Arial" w:cs="Arial"/>
          <w:color w:val="000000" w:themeColor="text1"/>
          <w:sz w:val="22"/>
        </w:rPr>
      </w:pPr>
      <w:r w:rsidRPr="004E20DA">
        <w:rPr>
          <w:rFonts w:ascii="Arial" w:hAnsi="Arial" w:cs="Arial"/>
          <w:color w:val="000000" w:themeColor="text1"/>
          <w:sz w:val="22"/>
        </w:rPr>
        <w:t>Así las cosas, con el fin de incentivar la participación contin</w:t>
      </w:r>
      <w:r w:rsidR="00CE3582">
        <w:rPr>
          <w:rFonts w:ascii="Arial" w:hAnsi="Arial" w:cs="Arial"/>
          <w:color w:val="000000" w:themeColor="text1"/>
          <w:sz w:val="22"/>
        </w:rPr>
        <w:t>u</w:t>
      </w:r>
      <w:r w:rsidRPr="004E20DA">
        <w:rPr>
          <w:rFonts w:ascii="Arial" w:hAnsi="Arial" w:cs="Arial"/>
          <w:color w:val="000000" w:themeColor="text1"/>
          <w:sz w:val="22"/>
        </w:rPr>
        <w:t xml:space="preserve">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rsidRPr="004E20DA" w:rsidR="008443C9" w:rsidP="008443C9" w:rsidRDefault="008443C9" w14:paraId="7624F255"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deberá tener en cuenta; de esta forma se garantiza la pluralidad de oferentes en los procesos de contratación. </w:t>
      </w:r>
    </w:p>
    <w:p w:rsidRPr="004E20DA" w:rsidR="008443C9" w:rsidP="008443C9" w:rsidRDefault="008443C9" w14:paraId="02718F7C"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el porcentaje de experiencia que los socios pueden transferir a las personas jurídicas con menos de 3 años de constitución. </w:t>
      </w:r>
    </w:p>
    <w:p w:rsidRPr="004E20DA" w:rsidR="008443C9" w:rsidP="00105A4B" w:rsidRDefault="008443C9" w14:paraId="599A2B0A" w14:textId="513A2B49">
      <w:pPr>
        <w:spacing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 Por tanto, en atención al principio general de interpretación según el cual donde el legislador no distingue no le es dado hacerlo al int</w:t>
      </w:r>
      <w:r w:rsidR="00E13AF4">
        <w:rPr>
          <w:rFonts w:ascii="Arial" w:hAnsi="Arial" w:cs="Arial"/>
          <w:color w:val="000000" w:themeColor="text1"/>
          <w:sz w:val="22"/>
        </w:rPr>
        <w:t>é</w:t>
      </w:r>
      <w:r w:rsidRPr="004E20DA">
        <w:rPr>
          <w:rFonts w:ascii="Arial" w:hAnsi="Arial" w:cs="Arial"/>
          <w:color w:val="000000" w:themeColor="text1"/>
          <w:sz w:val="22"/>
        </w:rPr>
        <w:t>rprete, la experiencia de los socios, accionistas o constituyentes, se trasfiere en su totalidad a las personas jurídicas con menos de 3 años de constitución, sin consideración a los porcentajes de participación de cada integrante.</w:t>
      </w:r>
    </w:p>
    <w:p w:rsidRPr="004E20DA" w:rsidR="008443C9" w:rsidP="00105A4B" w:rsidRDefault="008443C9" w14:paraId="0A71F1CF" w14:textId="77777777">
      <w:pPr>
        <w:spacing w:line="276" w:lineRule="auto"/>
        <w:jc w:val="both"/>
        <w:rPr>
          <w:rFonts w:ascii="Arial" w:hAnsi="Arial" w:cs="Arial"/>
          <w:color w:val="000000" w:themeColor="text1"/>
          <w:sz w:val="22"/>
        </w:rPr>
      </w:pPr>
    </w:p>
    <w:p w:rsidRPr="004E20DA" w:rsidR="008443C9" w:rsidP="008443C9" w:rsidRDefault="008443C9" w14:paraId="50564E24" w14:textId="77777777">
      <w:pPr>
        <w:spacing w:line="276" w:lineRule="auto"/>
        <w:jc w:val="both"/>
        <w:rPr>
          <w:rFonts w:ascii="Arial" w:hAnsi="Arial" w:cs="Arial"/>
          <w:b/>
          <w:color w:val="000000" w:themeColor="text1"/>
          <w:sz w:val="22"/>
        </w:rPr>
      </w:pPr>
      <w:r w:rsidRPr="004E20DA">
        <w:rPr>
          <w:rFonts w:ascii="Arial" w:hAnsi="Arial" w:cs="Arial"/>
          <w:b/>
          <w:color w:val="000000" w:themeColor="text1"/>
          <w:sz w:val="22"/>
        </w:rPr>
        <w:t xml:space="preserve">2.4. Acreditación de experiencia en las excepciones al RUP </w:t>
      </w:r>
    </w:p>
    <w:p w:rsidRPr="004E20DA" w:rsidR="008443C9" w:rsidP="00105A4B" w:rsidRDefault="008443C9" w14:paraId="1A00A0E9" w14:textId="77777777">
      <w:pPr>
        <w:spacing w:line="276" w:lineRule="auto"/>
        <w:jc w:val="both"/>
        <w:rPr>
          <w:rFonts w:ascii="Arial" w:hAnsi="Arial" w:cs="Arial"/>
          <w:color w:val="000000" w:themeColor="text1"/>
          <w:sz w:val="22"/>
        </w:rPr>
      </w:pPr>
    </w:p>
    <w:p w:rsidRPr="004E20DA" w:rsidR="008443C9" w:rsidP="00105A4B" w:rsidRDefault="008443C9" w14:paraId="4C9226E4" w14:textId="77777777">
      <w:pPr>
        <w:spacing w:after="120" w:line="276" w:lineRule="auto"/>
        <w:jc w:val="both"/>
        <w:rPr>
          <w:rFonts w:ascii="Arial" w:hAnsi="Arial" w:cs="Arial"/>
          <w:color w:val="000000" w:themeColor="text1"/>
          <w:sz w:val="22"/>
        </w:rPr>
      </w:pPr>
      <w:r w:rsidRPr="004E20DA">
        <w:rPr>
          <w:rFonts w:ascii="Arial" w:hAnsi="Arial" w:cs="Arial"/>
          <w:color w:val="000000" w:themeColor="text1"/>
          <w:sz w:val="22"/>
        </w:rPr>
        <w:t>El Registro Único de Proponentes no es exigible en todos los procesos de selección. El inciso segundo del artículo 6 de la Ley 1150 de 2007 señala los casos en los que no se requerirá el Registro Único de Proponentes: «[…] casos de contratación directa; contratos para la prestación de servicios de salud</w:t>
      </w:r>
      <w:r w:rsidRPr="00F93835">
        <w:rPr>
          <w:rFonts w:ascii="Arial" w:hAnsi="Arial" w:cs="Arial"/>
          <w:color w:val="000000" w:themeColor="text1"/>
          <w:sz w:val="22"/>
        </w:rPr>
        <w:t>; contratos de mínima cuantía;</w:t>
      </w:r>
      <w:r w:rsidRPr="004E20DA">
        <w:rPr>
          <w:rFonts w:ascii="Arial" w:hAnsi="Arial" w:cs="Arial"/>
          <w:color w:val="000000" w:themeColor="text1"/>
          <w:sz w:val="22"/>
        </w:rPr>
        <w:t xml:space="preserve"> enajenación de bienes del Estado; contratos que tengan por objeto la adquisición de productos de origen o destinación agropecuaria que se ofrezcan en bolsas de productos legalmente constituidas; </w:t>
      </w:r>
      <w:r w:rsidRPr="004E20DA">
        <w:rPr>
          <w:rFonts w:ascii="Arial" w:hAnsi="Arial" w:cs="Arial"/>
          <w:color w:val="000000" w:themeColor="text1"/>
          <w:sz w:val="22"/>
        </w:rPr>
        <w:lastRenderedPageBreak/>
        <w:t xml:space="preserve">los actos y contratos que tengan por objeto directo las actividades comerciales e industriales propias de las empresas industriales y comerciales del Estado y las sociedades de economía mixta y los contratos de concesión de cualquier índole». </w:t>
      </w:r>
    </w:p>
    <w:p w:rsidRPr="004E20DA" w:rsidR="008443C9" w:rsidP="008443C9" w:rsidRDefault="008443C9" w14:paraId="1DEADCA3"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La norma señala que, en estos eventos, las entidades contratantes tienen del deber de verificar las condiciones de capacidad jurídica, técnica, financiera y organizacional de los oferentes. Adicionalmente, en los casos que sea necesaria la verificación de requisitos o información que no repose en el RUP, la entidad estatal podrá solicitar información adicional </w:t>
      </w:r>
      <w:r w:rsidRPr="004E20DA">
        <w:rPr>
          <w:rFonts w:ascii="Arial" w:hAnsi="Arial" w:eastAsia="Calibri" w:cs="Arial"/>
          <w:color w:val="000000" w:themeColor="text1"/>
          <w:sz w:val="22"/>
        </w:rPr>
        <w:t>―</w:t>
      </w:r>
      <w:r w:rsidRPr="004E20DA">
        <w:rPr>
          <w:rFonts w:ascii="Arial" w:hAnsi="Arial" w:cs="Arial"/>
          <w:color w:val="000000" w:themeColor="text1"/>
          <w:sz w:val="22"/>
        </w:rPr>
        <w:t>por ejemplo, longitudes de obra, especificaciones técnicas, etc</w:t>
      </w:r>
      <w:r w:rsidRPr="004E20DA">
        <w:rPr>
          <w:rFonts w:ascii="Arial" w:hAnsi="Arial" w:eastAsia="Calibri" w:cs="Arial"/>
          <w:color w:val="000000" w:themeColor="text1"/>
          <w:sz w:val="22"/>
        </w:rPr>
        <w:t xml:space="preserve">― </w:t>
      </w:r>
      <w:r w:rsidRPr="004E20DA">
        <w:rPr>
          <w:rFonts w:ascii="Arial" w:hAnsi="Arial" w:cs="Arial"/>
          <w:color w:val="000000" w:themeColor="text1"/>
          <w:sz w:val="22"/>
        </w:rPr>
        <w:t xml:space="preserve">sólo para complementar la información contenida allí, y con el fin de verificar condiciones adicionales de experiencia del proponente. </w:t>
      </w:r>
    </w:p>
    <w:p w:rsidRPr="004E20DA" w:rsidR="008443C9" w:rsidP="008443C9" w:rsidRDefault="008443C9" w14:paraId="561F0A97"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De esta forma, solo en aquellos casos en los que por las características del objeto a contratar se requiera la verificación de requisitos del proponente adicionales a los contenidos en el Registro, la entidad podrá hacer tal verificación en forma directa y solicitar documentos diferentes al mismo. </w:t>
      </w:r>
    </w:p>
    <w:p w:rsidRPr="004E20DA" w:rsidR="008443C9" w:rsidP="008443C9" w:rsidRDefault="008443C9" w14:paraId="7FE63797" w14:textId="3F9B7892">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Ahora bien ¿qué ocurre con la medida contenida en el inciso final del numeral 2.5 del artículo 2.2.1.1.1.5.2 del Decreto 1082 de 2015 en aquellos casos en que la persona 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proponente no se inscriba en el RUP?</w:t>
      </w:r>
    </w:p>
    <w:p w:rsidRPr="004E20DA" w:rsidR="008443C9" w:rsidP="008443C9" w:rsidRDefault="008443C9" w14:paraId="3DEF9BE9"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Teniendo en cuenta que la posibilidad de acreditar la experiencia de los socios para las personas jurídicas con menos de 3 años de constitución se encuentra contenida en una norma que regula el RUP, en principio, solo aplicaría para los casos en los que la persona jurídica está inscrita en dicho registro. Para los demás eventos, como ya se anotó, la entidad contratante tiene la carga de verificar, entre otros, el requisito de experiencia de los oferentes y ello lo hará de conformidad con la regla que al efecto haya establecido en los pliegos de condiciones. </w:t>
      </w:r>
    </w:p>
    <w:p w:rsidRPr="004E20DA" w:rsidR="008443C9" w:rsidP="008443C9" w:rsidRDefault="008443C9" w14:paraId="2C3CFD75"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La entidad, en virtud de su autonomía, puede determinar en los pliegos de condiciones que en la evaluación del requisito de experiencia tendrá en cuenta la experiencia de los socios, accionistas o constituyentes de aquellas personas jurídicas con menos de 3 años de constitución. </w:t>
      </w:r>
    </w:p>
    <w:p w:rsidRPr="004E20DA" w:rsidR="008443C9" w:rsidP="008443C9" w:rsidRDefault="008443C9" w14:paraId="3AD433BE" w14:textId="77777777">
      <w:pPr>
        <w:spacing w:before="120" w:after="120" w:line="276" w:lineRule="auto"/>
        <w:ind w:firstLine="708"/>
        <w:jc w:val="both"/>
        <w:rPr>
          <w:rFonts w:ascii="Arial" w:hAnsi="Arial" w:cs="Arial"/>
          <w:color w:val="000000" w:themeColor="text1"/>
          <w:sz w:val="22"/>
        </w:rPr>
      </w:pPr>
      <w:r w:rsidRPr="00F54518">
        <w:rPr>
          <w:rFonts w:ascii="Arial" w:hAnsi="Arial" w:cs="Arial"/>
          <w:color w:val="000000" w:themeColor="text1"/>
          <w:sz w:val="22"/>
        </w:rPr>
        <w:t>No obstante, la Subdirección de Gestión Contractual considera,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w:t>
      </w:r>
      <w:r w:rsidRPr="004E20DA">
        <w:rPr>
          <w:rFonts w:ascii="Arial" w:hAnsi="Arial" w:cs="Arial"/>
          <w:color w:val="000000" w:themeColor="text1"/>
          <w:sz w:val="22"/>
        </w:rPr>
        <w:t xml:space="preserve"> </w:t>
      </w:r>
    </w:p>
    <w:p w:rsidRPr="004E20DA" w:rsidR="008443C9" w:rsidP="008443C9" w:rsidRDefault="008443C9" w14:paraId="79D1C960"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lastRenderedPageBreak/>
        <w:t xml:space="preserve">La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 </w:t>
      </w:r>
    </w:p>
    <w:p w:rsidRPr="004E20DA" w:rsidR="008443C9" w:rsidP="008443C9" w:rsidRDefault="008443C9" w14:paraId="0027616A"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rsidRPr="004E20DA" w:rsidR="008443C9" w:rsidP="008443C9" w:rsidRDefault="008443C9" w14:paraId="01D0C49A" w14:textId="5D1D29E9">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el ámbito de la contratación pública, la igualdad se materializa </w:t>
      </w:r>
      <w:r w:rsidR="00336BCE">
        <w:rPr>
          <w:rFonts w:ascii="Arial" w:hAnsi="Arial" w:cs="Arial"/>
          <w:color w:val="000000" w:themeColor="text1"/>
          <w:sz w:val="22"/>
        </w:rPr>
        <w:t>en la similar consideración</w:t>
      </w:r>
      <w:r w:rsidRPr="004E20DA">
        <w:rPr>
          <w:rFonts w:ascii="Arial" w:hAnsi="Arial" w:cs="Arial"/>
          <w:color w:val="000000" w:themeColor="text1"/>
          <w:sz w:val="22"/>
        </w:rPr>
        <w:t xml:space="preserve">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r w:rsidR="005E6056">
        <w:rPr>
          <w:rFonts w:ascii="Arial" w:hAnsi="Arial" w:cs="Arial"/>
          <w:color w:val="000000" w:themeColor="text1"/>
          <w:sz w:val="22"/>
        </w:rPr>
        <w:t>Ello sin perjuicio de la aplicación de algunos criterios legales que establecen ciertos incentivos especiales.</w:t>
      </w:r>
    </w:p>
    <w:p w:rsidRPr="004E20DA" w:rsidR="008443C9" w:rsidP="008443C9" w:rsidRDefault="008443C9" w14:paraId="4112F80D" w14:textId="119CE598">
      <w:pPr>
        <w:spacing w:line="276" w:lineRule="auto"/>
        <w:ind w:firstLine="708"/>
        <w:jc w:val="both"/>
        <w:rPr>
          <w:rFonts w:ascii="Arial" w:hAnsi="Arial" w:cs="Arial"/>
          <w:color w:val="000000" w:themeColor="text1"/>
          <w:sz w:val="22"/>
        </w:rPr>
      </w:pPr>
      <w:r w:rsidRPr="004E20DA">
        <w:rPr>
          <w:rFonts w:ascii="Arial" w:hAnsi="Arial" w:cs="Arial"/>
          <w:color w:val="000000" w:themeColor="text1"/>
          <w:sz w:val="22"/>
        </w:rPr>
        <w:t>Es por ello que el Consejo de Estado ha determinado que la aplicación del principio de igualdad en la contratación pública materializa otros principios de similar importancia, como la selección objetiva y la transparencia</w:t>
      </w:r>
      <w:r w:rsidR="00C14216">
        <w:rPr>
          <w:rFonts w:ascii="Arial" w:hAnsi="Arial" w:cs="Arial"/>
          <w:color w:val="000000" w:themeColor="text1"/>
          <w:sz w:val="22"/>
        </w:rPr>
        <w:t>. Al respecto, ha dicho</w:t>
      </w:r>
      <w:r w:rsidRPr="004E20DA">
        <w:rPr>
          <w:rFonts w:ascii="Arial" w:hAnsi="Arial" w:cs="Arial"/>
          <w:color w:val="000000" w:themeColor="text1"/>
          <w:sz w:val="22"/>
        </w:rPr>
        <w:t xml:space="preserve">: </w:t>
      </w:r>
    </w:p>
    <w:p w:rsidRPr="004E20DA" w:rsidR="008443C9" w:rsidP="008443C9" w:rsidRDefault="008443C9" w14:paraId="0FC2E41B" w14:textId="77777777">
      <w:pPr>
        <w:spacing w:line="276" w:lineRule="auto"/>
        <w:ind w:firstLine="708"/>
        <w:jc w:val="both"/>
        <w:rPr>
          <w:rFonts w:ascii="Arial" w:hAnsi="Arial" w:cs="Arial"/>
          <w:color w:val="000000" w:themeColor="text1"/>
          <w:sz w:val="22"/>
        </w:rPr>
      </w:pPr>
    </w:p>
    <w:p w:rsidRPr="004E20DA" w:rsidR="008443C9" w:rsidP="008443C9" w:rsidRDefault="008443C9" w14:paraId="42B587BF" w14:textId="77777777">
      <w:pPr>
        <w:ind w:left="709" w:right="709"/>
        <w:jc w:val="both"/>
        <w:rPr>
          <w:rFonts w:ascii="Arial" w:hAnsi="Arial" w:cs="Arial"/>
          <w:color w:val="000000" w:themeColor="text1"/>
          <w:sz w:val="22"/>
        </w:rPr>
      </w:pPr>
      <w:r w:rsidRPr="004E20DA">
        <w:rPr>
          <w:rFonts w:ascii="Arial" w:hAnsi="Arial" w:cs="Arial"/>
          <w:color w:val="000000" w:themeColor="text1"/>
          <w:sz w:val="22"/>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4E20DA">
        <w:rPr>
          <w:rStyle w:val="Refdenotaalpie"/>
          <w:rFonts w:ascii="Arial" w:hAnsi="Arial" w:cs="Arial"/>
          <w:color w:val="000000" w:themeColor="text1"/>
          <w:sz w:val="22"/>
        </w:rPr>
        <w:footnoteReference w:id="16"/>
      </w:r>
      <w:r w:rsidRPr="004E20DA">
        <w:rPr>
          <w:rFonts w:ascii="Arial" w:hAnsi="Arial" w:cs="Arial"/>
          <w:color w:val="000000" w:themeColor="text1"/>
          <w:sz w:val="22"/>
        </w:rPr>
        <w:t>.</w:t>
      </w:r>
    </w:p>
    <w:p w:rsidRPr="004E20DA" w:rsidR="008443C9" w:rsidP="008443C9" w:rsidRDefault="008443C9" w14:paraId="49257D1B" w14:textId="77777777">
      <w:pPr>
        <w:ind w:left="709" w:right="709"/>
        <w:jc w:val="both"/>
        <w:rPr>
          <w:rFonts w:ascii="Arial" w:hAnsi="Arial" w:cs="Arial"/>
          <w:color w:val="000000" w:themeColor="text1"/>
          <w:sz w:val="22"/>
        </w:rPr>
      </w:pPr>
    </w:p>
    <w:p w:rsidRPr="004E20DA" w:rsidR="008443C9" w:rsidP="008443C9" w:rsidRDefault="00C14216" w14:paraId="3E3D6307" w14:textId="433B1D2F">
      <w:pPr>
        <w:spacing w:line="276" w:lineRule="auto"/>
        <w:ind w:firstLine="709"/>
        <w:jc w:val="both"/>
        <w:rPr>
          <w:rFonts w:ascii="Arial" w:hAnsi="Arial" w:cs="Arial"/>
          <w:color w:val="000000" w:themeColor="text1"/>
          <w:sz w:val="22"/>
        </w:rPr>
      </w:pPr>
      <w:r>
        <w:rPr>
          <w:rFonts w:ascii="Arial" w:hAnsi="Arial" w:cs="Arial"/>
          <w:color w:val="000000" w:themeColor="text1"/>
          <w:sz w:val="22"/>
        </w:rPr>
        <w:t>Por lo tanto</w:t>
      </w:r>
      <w:r w:rsidRPr="004E20DA" w:rsidR="008443C9">
        <w:rPr>
          <w:rFonts w:ascii="Arial" w:hAnsi="Arial" w:cs="Arial"/>
          <w:color w:val="000000" w:themeColor="text1"/>
          <w:sz w:val="22"/>
        </w:rPr>
        <w:t xml:space="preserve">, 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w:t>
      </w:r>
      <w:r w:rsidRPr="004E20DA" w:rsidR="008443C9">
        <w:rPr>
          <w:rFonts w:ascii="Arial" w:hAnsi="Arial" w:cs="Arial"/>
          <w:color w:val="000000" w:themeColor="text1"/>
          <w:sz w:val="22"/>
        </w:rPr>
        <w:lastRenderedPageBreak/>
        <w:t xml:space="preserve">en el RUP. Es más, se insiste en que esta aplicación analógica se fundamenta en el principio de igualdad de trato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 registro. </w:t>
      </w:r>
    </w:p>
    <w:p w:rsidRPr="004E20DA" w:rsidR="008443C9" w:rsidP="008443C9" w:rsidRDefault="003C4578" w14:paraId="540CE4CD" w14:textId="7ACE8B41">
      <w:pPr>
        <w:spacing w:before="120" w:after="120" w:line="276" w:lineRule="auto"/>
        <w:ind w:firstLine="708"/>
        <w:jc w:val="both"/>
        <w:rPr>
          <w:rFonts w:ascii="Arial" w:hAnsi="Arial" w:cs="Arial"/>
          <w:color w:val="000000" w:themeColor="text1"/>
          <w:sz w:val="22"/>
        </w:rPr>
      </w:pPr>
      <w:r>
        <w:rPr>
          <w:rFonts w:ascii="Arial" w:hAnsi="Arial" w:cs="Arial"/>
          <w:color w:val="000000" w:themeColor="text1"/>
          <w:sz w:val="22"/>
        </w:rPr>
        <w:t>L</w:t>
      </w:r>
      <w:r w:rsidRPr="004E20DA" w:rsidR="008443C9">
        <w:rPr>
          <w:rFonts w:ascii="Arial" w:hAnsi="Arial" w:cs="Arial"/>
          <w:color w:val="000000" w:themeColor="text1"/>
          <w:sz w:val="22"/>
        </w:rPr>
        <w:t xml:space="preserve">a exposición de motivos del Proyecto de Ley que modificó la Ley 80 de 1993  expresa la necesidad de establecer excepciones a la regla general de la exigencia del Registro Único de Proponentes </w:t>
      </w:r>
      <w:r w:rsidR="00516A0F">
        <w:rPr>
          <w:rFonts w:ascii="Arial" w:hAnsi="Arial" w:cs="Arial"/>
          <w:color w:val="000000" w:themeColor="text1"/>
          <w:sz w:val="22"/>
        </w:rPr>
        <w:t>para</w:t>
      </w:r>
      <w:r w:rsidRPr="004E20DA" w:rsidR="008443C9">
        <w:rPr>
          <w:rFonts w:ascii="Arial" w:hAnsi="Arial" w:cs="Arial"/>
          <w:color w:val="000000" w:themeColor="text1"/>
          <w:sz w:val="22"/>
        </w:rPr>
        <w:t xml:space="preserve"> las personas naturales o jurídicas que deseen participar en los procedimientos de contratación de las entidades estatales. Establece que la Cámara de Comercio fungirá como verificadora de la información habilitante, sin perjuicio de que las entidades estatales verifiquen la información contenida en el RUP en relación con los requisitos solicitados en el pliego de condiciones</w:t>
      </w:r>
      <w:r w:rsidRPr="004E20DA" w:rsidR="008443C9">
        <w:rPr>
          <w:rStyle w:val="Refdenotaalpie"/>
          <w:rFonts w:ascii="Arial" w:hAnsi="Arial" w:cs="Arial"/>
          <w:color w:val="000000" w:themeColor="text1"/>
          <w:sz w:val="22"/>
        </w:rPr>
        <w:footnoteReference w:id="17"/>
      </w:r>
      <w:r w:rsidRPr="004E20DA" w:rsidR="008443C9">
        <w:rPr>
          <w:rFonts w:ascii="Arial" w:hAnsi="Arial" w:cs="Arial"/>
          <w:color w:val="000000" w:themeColor="text1"/>
          <w:sz w:val="22"/>
        </w:rPr>
        <w:t>.</w:t>
      </w:r>
    </w:p>
    <w:p w:rsidRPr="004E20DA" w:rsidR="008443C9" w:rsidP="008443C9" w:rsidRDefault="008443C9" w14:paraId="0DB25D79" w14:textId="77777777">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En los casos mencionados, como las entidades no pueden solicitar el RUP, y por ende no podrían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reafirmado por el Consejo de Estado</w:t>
      </w:r>
      <w:r w:rsidRPr="004E20DA">
        <w:rPr>
          <w:rStyle w:val="Refdenotaalpie"/>
          <w:rFonts w:ascii="Arial" w:hAnsi="Arial" w:cs="Arial"/>
          <w:color w:val="000000" w:themeColor="text1"/>
          <w:sz w:val="22"/>
        </w:rPr>
        <w:footnoteReference w:id="18"/>
      </w:r>
      <w:r w:rsidRPr="004E20DA">
        <w:rPr>
          <w:rFonts w:ascii="Arial" w:hAnsi="Arial" w:cs="Arial"/>
          <w:color w:val="000000" w:themeColor="text1"/>
          <w:sz w:val="22"/>
        </w:rPr>
        <w:t xml:space="preserve">, quien 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w:t>
      </w:r>
      <w:r w:rsidRPr="004E20DA">
        <w:rPr>
          <w:rFonts w:ascii="Arial" w:hAnsi="Arial" w:cs="Arial"/>
          <w:color w:val="000000" w:themeColor="text1"/>
          <w:sz w:val="22"/>
        </w:rPr>
        <w:lastRenderedPageBreak/>
        <w:t xml:space="preserve">artículo 6 de la ley 1150, así como en los eventos de contratación directa, ii) a las personas naturales extranjeras sin domicilio en el país o de personas jurídicas extranjeras que no tengan establecida sucursal en Colombia, o en aquellos casos en que el proceso de selección haya utilizado sistemas de precalificación y iii) cuando por las características del objeto a contratar se requiera la verificación de requisitos del proponente adicionales a los contenidos en el RUP. </w:t>
      </w:r>
    </w:p>
    <w:p w:rsidRPr="004E20DA" w:rsidR="008443C9" w:rsidP="008443C9" w:rsidRDefault="008443C9" w14:paraId="0EB8AC00" w14:textId="77777777">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En efecto, si se realiza una comparación entre los dos grupos de sujetos a los que se hace referencia, se tendría que concluir que son esencialmente iguales: i) ambos son personas jurídicas recién creadas, esto es, con menos de 3 años de constitución; ii) ambos se encuentran dentro del ámbito de protección o finalidad de la norma, es decir, con la aplicación extensiva de la norma también se promueve el desarrollo de la empresa y la pluralidad de oferentes en la contratación pública y iii) no existe ningún criterio material o sustantivo que justifique el trato diferenciado. </w:t>
      </w:r>
    </w:p>
    <w:p w:rsidRPr="004E20DA" w:rsidR="008443C9" w:rsidP="008443C9" w:rsidRDefault="008443C9" w14:paraId="5DAB2296" w14:textId="77777777">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La única diferencia entre los dos grupos de sujetos es la inscripción en el RUP, el cual es obligatorio, por regla general; pero esa obligatoriedad tiene excepciones. En estas excepciones la persona jurídica no está obligada a registrarse para participar en los procesos de selección que la norma excluye del deber de inscribirse en el registro. La inscripción en el RUP no se considera un criterio de diferenciación que pueda justificar un trato diferenciado entre dos grupos de personas que son esencialmente iguales, máxime cuando la falta de inscripción en el RUP, en los casos exceptuados, es una situación permitida por la propia ley </w:t>
      </w:r>
      <w:r w:rsidRPr="004E20DA">
        <w:rPr>
          <w:rFonts w:ascii="Arial" w:hAnsi="Arial" w:eastAsia="Calibri" w:cs="Arial"/>
          <w:color w:val="000000" w:themeColor="text1"/>
          <w:sz w:val="22"/>
        </w:rPr>
        <w:t>―</w:t>
      </w:r>
      <w:r w:rsidRPr="004E20DA">
        <w:rPr>
          <w:rFonts w:ascii="Arial" w:hAnsi="Arial" w:cs="Arial"/>
          <w:color w:val="000000" w:themeColor="text1"/>
          <w:sz w:val="22"/>
        </w:rPr>
        <w:t>inciso segundo del artículo 6 de la Ley 1150 de 2007</w:t>
      </w:r>
      <w:r w:rsidRPr="004E20DA">
        <w:rPr>
          <w:rFonts w:ascii="Arial" w:hAnsi="Arial" w:eastAsia="Calibri" w:cs="Arial"/>
          <w:color w:val="000000" w:themeColor="text1"/>
          <w:sz w:val="22"/>
        </w:rPr>
        <w:t>―</w:t>
      </w:r>
      <w:r w:rsidRPr="004E20DA">
        <w:rPr>
          <w:rFonts w:ascii="Arial" w:hAnsi="Arial" w:cs="Arial"/>
          <w:color w:val="000000" w:themeColor="text1"/>
          <w:sz w:val="22"/>
        </w:rPr>
        <w:t xml:space="preserve">. </w:t>
      </w:r>
    </w:p>
    <w:p w:rsidRPr="004E20DA" w:rsidR="008443C9" w:rsidP="008443C9" w:rsidRDefault="008443C9" w14:paraId="095AC33D" w14:textId="77777777">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Así las cosas, frente a la acreditación de la experiencia de los socios, accionistas o constituyentes de una persona jurídica con menos de 3 años de constitución, para participar en los eventos exceptuados al deber de inscripción en el RUP, como en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rsidRPr="004E20DA" w:rsidR="008443C9" w:rsidP="008443C9" w:rsidRDefault="008443C9" w14:paraId="7A00C077" w14:textId="77777777">
      <w:pPr>
        <w:spacing w:before="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rsidRPr="006C15D5" w:rsidR="00BE1E33" w:rsidP="00BE1E33" w:rsidRDefault="00BE1E33" w14:paraId="562B1415" w14:textId="77777777">
      <w:pPr>
        <w:spacing w:line="276" w:lineRule="auto"/>
        <w:ind w:right="709"/>
        <w:jc w:val="both"/>
        <w:rPr>
          <w:rFonts w:ascii="Arial" w:hAnsi="Arial" w:cs="Arial"/>
          <w:color w:val="000000" w:themeColor="text1"/>
          <w:sz w:val="21"/>
          <w:szCs w:val="21"/>
          <w:lang w:val="es-CO"/>
        </w:rPr>
      </w:pPr>
    </w:p>
    <w:p w:rsidRPr="006C15D5" w:rsidR="00BE1E33" w:rsidP="00BE1E33" w:rsidRDefault="00BE1E33" w14:paraId="4DAE4437" w14:textId="77777777">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lastRenderedPageBreak/>
        <w:t xml:space="preserve">Respuesta </w:t>
      </w:r>
    </w:p>
    <w:p w:rsidRPr="006C15D5" w:rsidR="00BE1E33" w:rsidP="00BE1E33" w:rsidRDefault="00BE1E33" w14:paraId="317BE2F9" w14:textId="77777777">
      <w:pPr>
        <w:spacing w:line="276" w:lineRule="auto"/>
        <w:ind w:right="709"/>
        <w:jc w:val="both"/>
        <w:rPr>
          <w:rFonts w:ascii="Arial" w:hAnsi="Arial" w:cs="Arial"/>
          <w:color w:val="000000" w:themeColor="text1"/>
          <w:sz w:val="21"/>
          <w:szCs w:val="21"/>
          <w:lang w:val="es-CO"/>
        </w:rPr>
      </w:pPr>
    </w:p>
    <w:p w:rsidRPr="001B0F4D" w:rsidR="001B0F4D" w:rsidP="00E15F4B" w:rsidRDefault="0021639C" w14:paraId="59CB807D" w14:textId="191B7D8A">
      <w:pPr>
        <w:ind w:left="709" w:right="709"/>
        <w:jc w:val="both"/>
        <w:rPr>
          <w:rFonts w:ascii="Arial" w:hAnsi="Arial" w:cs="Arial"/>
          <w:color w:val="000000" w:themeColor="text1"/>
          <w:sz w:val="21"/>
          <w:szCs w:val="21"/>
        </w:rPr>
      </w:pPr>
      <w:r>
        <w:rPr>
          <w:rFonts w:ascii="Arial" w:hAnsi="Arial" w:eastAsia="Calibri" w:cs="Arial"/>
          <w:color w:val="000000" w:themeColor="text1"/>
          <w:sz w:val="21"/>
          <w:szCs w:val="21"/>
        </w:rPr>
        <w:t>¿</w:t>
      </w:r>
      <w:r w:rsidRPr="001B0F4D" w:rsidR="001B0F4D">
        <w:rPr>
          <w:rFonts w:ascii="Arial" w:hAnsi="Arial" w:eastAsia="Calibri" w:cs="Arial"/>
          <w:color w:val="000000" w:themeColor="text1"/>
          <w:sz w:val="21"/>
          <w:szCs w:val="21"/>
        </w:rPr>
        <w:t>La consulta se presenta, con el objeto de aclarar si en los procesos en los que NO se requiera que el oferente allegue el Registro Único de Proponentes ‒ RUP, como es el caso de los de Mínima Cuantía, se esclarezca si el oferente puede acreditar la experiencia de los accionistas, socios o constituyentes de la empresa, siempre y cuando esta no tenga una fecha se constitución superior a 3 años, esta consulta se realiza toda vez que en la mayoría de procesos de Mínima Cuantía esta disposición no es estipulada y por lo tanto solicitamos respetuosamente un concepto al respecto por parte de Colombia Compra Eficiente</w:t>
      </w:r>
      <w:r w:rsidR="00E15F4B">
        <w:rPr>
          <w:rFonts w:ascii="Arial" w:hAnsi="Arial" w:eastAsia="Calibri" w:cs="Arial"/>
          <w:color w:val="000000" w:themeColor="text1"/>
          <w:sz w:val="21"/>
          <w:szCs w:val="21"/>
        </w:rPr>
        <w:t>?</w:t>
      </w:r>
    </w:p>
    <w:p w:rsidR="001B0F4D" w:rsidP="001B0F4D" w:rsidRDefault="001B0F4D" w14:paraId="62D12516" w14:textId="77777777">
      <w:pPr>
        <w:spacing w:line="276" w:lineRule="auto"/>
        <w:jc w:val="both"/>
        <w:rPr>
          <w:rFonts w:ascii="Arial" w:hAnsi="Arial" w:cs="Arial"/>
          <w:color w:val="000000" w:themeColor="text1"/>
          <w:sz w:val="22"/>
        </w:rPr>
      </w:pPr>
    </w:p>
    <w:p w:rsidRPr="004E20DA" w:rsidR="00F203C7" w:rsidP="00270676" w:rsidRDefault="00270676" w14:paraId="37843FD7" w14:textId="17AA8BBF">
      <w:pPr>
        <w:spacing w:before="120" w:line="276" w:lineRule="auto"/>
        <w:jc w:val="both"/>
        <w:rPr>
          <w:rFonts w:ascii="Arial" w:hAnsi="Arial" w:cs="Arial"/>
          <w:color w:val="000000" w:themeColor="text1"/>
          <w:sz w:val="22"/>
        </w:rPr>
      </w:pPr>
      <w:r>
        <w:rPr>
          <w:rFonts w:ascii="Arial" w:hAnsi="Arial" w:cs="Arial"/>
          <w:color w:val="000000" w:themeColor="text1"/>
          <w:sz w:val="22"/>
        </w:rPr>
        <w:t>L</w:t>
      </w:r>
      <w:r w:rsidRPr="004E20DA" w:rsidR="00A901C9">
        <w:rPr>
          <w:rFonts w:ascii="Arial" w:hAnsi="Arial" w:cs="Arial"/>
          <w:color w:val="000000" w:themeColor="text1"/>
          <w:sz w:val="22"/>
        </w:rPr>
        <w:t>a Subdirección de Gestión Contractual considera, a pesar de la discrecionalidad y autonomía que les asiste a las entidades contratantes</w:t>
      </w:r>
      <w:r w:rsidR="00E15F4B">
        <w:rPr>
          <w:rFonts w:ascii="Arial" w:hAnsi="Arial" w:cs="Arial"/>
          <w:color w:val="000000" w:themeColor="text1"/>
          <w:sz w:val="22"/>
        </w:rPr>
        <w:t xml:space="preserve"> para estructurar y adelantar sus procesos de contratación</w:t>
      </w:r>
      <w:r w:rsidRPr="004E20DA" w:rsidR="00A901C9">
        <w:rPr>
          <w:rFonts w:ascii="Arial" w:hAnsi="Arial" w:cs="Arial"/>
          <w:color w:val="000000" w:themeColor="text1"/>
          <w:sz w:val="22"/>
        </w:rPr>
        <w:t>,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w:t>
      </w:r>
      <w:r w:rsidR="003E4199">
        <w:rPr>
          <w:rFonts w:ascii="Arial" w:hAnsi="Arial" w:cs="Arial"/>
          <w:color w:val="000000" w:themeColor="text1"/>
          <w:sz w:val="22"/>
        </w:rPr>
        <w:t>, entre ellos, la modalidad de selección de mínima cuantía</w:t>
      </w:r>
      <w:r w:rsidRPr="004E20DA" w:rsidR="00A901C9">
        <w:rPr>
          <w:rFonts w:ascii="Arial" w:hAnsi="Arial" w:cs="Arial"/>
          <w:color w:val="000000" w:themeColor="text1"/>
          <w:sz w:val="22"/>
        </w:rPr>
        <w:t>.</w:t>
      </w:r>
      <w:r w:rsidRPr="004E20DA" w:rsidR="00F203C7">
        <w:rPr>
          <w:rFonts w:ascii="Arial" w:hAnsi="Arial" w:cs="Arial"/>
          <w:color w:val="000000" w:themeColor="text1"/>
          <w:sz w:val="22"/>
        </w:rPr>
        <w:t xml:space="preserve"> Es más, se insiste en que esta aplicación analógica se fundamenta en virtud del principio de igualdad de trato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 registro.</w:t>
      </w:r>
    </w:p>
    <w:p w:rsidR="00BE1E33" w:rsidP="00BE1E33" w:rsidRDefault="00BE1E33" w14:paraId="315D744B" w14:textId="61B47B95">
      <w:pPr>
        <w:spacing w:line="276" w:lineRule="auto"/>
        <w:jc w:val="both"/>
        <w:rPr>
          <w:rFonts w:ascii="Arial" w:hAnsi="Arial" w:cs="Arial"/>
          <w:color w:val="000000" w:themeColor="text1"/>
          <w:sz w:val="22"/>
          <w:lang w:val="es-CO"/>
        </w:rPr>
      </w:pPr>
    </w:p>
    <w:p w:rsidRPr="006C15D5" w:rsidR="00F203C7" w:rsidP="00BE1E33" w:rsidRDefault="00F203C7" w14:paraId="63F5EA9A" w14:textId="77777777">
      <w:pPr>
        <w:spacing w:line="276" w:lineRule="auto"/>
        <w:jc w:val="both"/>
        <w:rPr>
          <w:rFonts w:ascii="Arial" w:hAnsi="Arial" w:cs="Arial"/>
          <w:color w:val="000000" w:themeColor="text1"/>
          <w:sz w:val="22"/>
          <w:lang w:val="es-CO"/>
        </w:rPr>
      </w:pPr>
    </w:p>
    <w:p w:rsidRPr="006C15D5" w:rsidR="00BE1E33" w:rsidP="00F203C7" w:rsidRDefault="00BE1E33" w14:paraId="66CE4DD8" w14:textId="77777777">
      <w:pPr>
        <w:spacing w:line="276" w:lineRule="auto"/>
        <w:jc w:val="both"/>
        <w:rPr>
          <w:rFonts w:ascii="Arial" w:hAnsi="Arial" w:eastAsia="Calibri" w:cs="Arial"/>
          <w:color w:val="000000" w:themeColor="text1"/>
          <w:sz w:val="22"/>
        </w:rPr>
      </w:pPr>
      <w:r w:rsidRPr="006C15D5">
        <w:rPr>
          <w:rFonts w:ascii="Arial" w:hAnsi="Arial" w:eastAsia="Calibri" w:cs="Arial"/>
          <w:color w:val="000000" w:themeColor="text1"/>
          <w:sz w:val="22"/>
        </w:rPr>
        <w:t>Este concepto tiene el alcance previsto en el artículo 28 del Código de Procedimiento Administrativo y de lo Contencioso Administrativo.</w:t>
      </w:r>
    </w:p>
    <w:p w:rsidRPr="006C15D5" w:rsidR="00BE1E33" w:rsidP="00BE1E33" w:rsidRDefault="00BE1E33" w14:paraId="138D33A2" w14:textId="77777777">
      <w:pPr>
        <w:ind w:firstLine="709"/>
        <w:jc w:val="both"/>
        <w:rPr>
          <w:rFonts w:ascii="Arial" w:hAnsi="Arial" w:eastAsia="Calibri" w:cs="Arial"/>
          <w:color w:val="000000" w:themeColor="text1"/>
          <w:sz w:val="22"/>
        </w:rPr>
      </w:pPr>
    </w:p>
    <w:p w:rsidRPr="006C15D5" w:rsidR="00BE1E33" w:rsidP="00BE1E33" w:rsidRDefault="00BE1E33" w14:paraId="2B02915D" w14:textId="77777777">
      <w:pPr>
        <w:jc w:val="both"/>
        <w:rPr>
          <w:rFonts w:ascii="Arial" w:hAnsi="Arial" w:eastAsia="Times New Roman" w:cs="Arial"/>
          <w:color w:val="000000" w:themeColor="text1"/>
          <w:sz w:val="22"/>
          <w:lang w:eastAsia="es-CO"/>
        </w:rPr>
      </w:pPr>
      <w:r w:rsidRPr="006C15D5">
        <w:rPr>
          <w:rFonts w:ascii="Arial" w:hAnsi="Arial" w:eastAsia="Times New Roman" w:cs="Arial"/>
          <w:color w:val="000000" w:themeColor="text1"/>
          <w:sz w:val="22"/>
          <w:lang w:eastAsia="es-CO"/>
        </w:rPr>
        <w:t>Atentamente,</w:t>
      </w:r>
    </w:p>
    <w:bookmarkEnd w:id="0"/>
    <w:bookmarkEnd w:id="1"/>
    <w:p w:rsidR="00BE1E33" w:rsidP="00BE1E33" w:rsidRDefault="002C6A33" w14:paraId="1C8F6984" w14:textId="32F04639">
      <w:pPr>
        <w:jc w:val="center"/>
        <w:rPr>
          <w:rFonts w:ascii="Arial" w:hAnsi="Arial" w:eastAsia="Times New Roman" w:cs="Arial"/>
          <w:color w:val="000000" w:themeColor="text1"/>
          <w:sz w:val="18"/>
          <w:szCs w:val="20"/>
          <w:lang w:eastAsia="es-CO"/>
        </w:rPr>
      </w:pPr>
      <w:r w:rsidR="002C6A33">
        <w:drawing>
          <wp:inline wp14:editId="2CD3976C" wp14:anchorId="46C2D398">
            <wp:extent cx="2773045" cy="988695"/>
            <wp:effectExtent l="0" t="0" r="0" b="0"/>
            <wp:docPr id="1543266748" name="Imagen 6" title=""/>
            <wp:cNvGraphicFramePr>
              <a:graphicFrameLocks/>
            </wp:cNvGraphicFramePr>
            <a:graphic>
              <a:graphicData uri="http://schemas.openxmlformats.org/drawingml/2006/picture">
                <pic:pic>
                  <pic:nvPicPr>
                    <pic:cNvPr id="0" name="Imagen 6"/>
                    <pic:cNvPicPr/>
                  </pic:nvPicPr>
                  <pic:blipFill>
                    <a:blip r:embed="R49862490836a49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bookmarkStart w:name="_GoBack" w:id="2"/>
      <w:bookmarkEnd w:id="2"/>
    </w:p>
    <w:p w:rsidRPr="006C15D5" w:rsidR="00730CDB" w:rsidP="00BE1E33" w:rsidRDefault="00730CDB" w14:paraId="724B0300"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3F6D32" w:rsidR="003F6D32" w:rsidTr="004101BC" w14:paraId="7E5CB93D" w14:textId="77777777">
        <w:trPr>
          <w:trHeight w:val="315"/>
        </w:trPr>
        <w:tc>
          <w:tcPr>
            <w:tcW w:w="812" w:type="dxa"/>
            <w:vAlign w:val="center"/>
            <w:hideMark/>
          </w:tcPr>
          <w:p w:rsidRPr="006C15D5" w:rsidR="00BE1E33" w:rsidP="004101BC" w:rsidRDefault="00BE1E33" w14:paraId="44CFA06E"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6C15D5" w:rsidR="00BE1E33" w:rsidP="004101BC" w:rsidRDefault="002C0759" w14:paraId="56D7561C" w14:textId="64336682">
            <w:pPr>
              <w:rPr>
                <w:rFonts w:ascii="Arial" w:hAnsi="Arial" w:eastAsia="Times New Roman" w:cs="Arial"/>
                <w:color w:val="000000" w:themeColor="text1"/>
                <w:sz w:val="16"/>
                <w:szCs w:val="16"/>
                <w:lang w:eastAsia="es-ES"/>
              </w:rPr>
            </w:pPr>
            <w:r>
              <w:rPr>
                <w:rFonts w:ascii="Arial" w:hAnsi="Arial" w:eastAsia="Times New Roman" w:cs="Arial"/>
                <w:color w:val="000000" w:themeColor="text1"/>
                <w:sz w:val="16"/>
                <w:szCs w:val="16"/>
                <w:lang w:eastAsia="es-ES"/>
              </w:rPr>
              <w:t>Juan Manuel Castillo López</w:t>
            </w:r>
          </w:p>
          <w:p w:rsidRPr="006C15D5" w:rsidR="00982E99" w:rsidP="004101BC" w:rsidRDefault="00982E99" w14:paraId="6C4A6DA1" w14:textId="5897BB3C">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Contratista de la Subdirección de Gestión Contractual</w:t>
            </w:r>
          </w:p>
        </w:tc>
      </w:tr>
      <w:tr w:rsidRPr="003F6D32" w:rsidR="003F6D32" w:rsidTr="004101BC" w14:paraId="092BCD16" w14:textId="77777777">
        <w:trPr>
          <w:trHeight w:val="330"/>
        </w:trPr>
        <w:tc>
          <w:tcPr>
            <w:tcW w:w="812" w:type="dxa"/>
            <w:vAlign w:val="center"/>
            <w:hideMark/>
          </w:tcPr>
          <w:p w:rsidRPr="006C15D5" w:rsidR="00BE1E33" w:rsidP="004101BC" w:rsidRDefault="00BE1E33" w14:paraId="463B4DD3"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C15D5" w:rsidR="00730CDB" w:rsidP="00730CDB" w:rsidRDefault="00170177" w14:paraId="1C4CDD15" w14:textId="52DD0E74">
            <w:pPr>
              <w:rPr>
                <w:rFonts w:ascii="Arial" w:hAnsi="Arial" w:eastAsia="Times New Roman" w:cs="Arial"/>
                <w:color w:val="000000" w:themeColor="text1"/>
                <w:sz w:val="16"/>
                <w:szCs w:val="16"/>
                <w:lang w:eastAsia="es-ES"/>
              </w:rPr>
            </w:pPr>
            <w:r>
              <w:rPr>
                <w:rFonts w:ascii="Arial" w:hAnsi="Arial" w:eastAsia="Times New Roman" w:cs="Arial"/>
                <w:color w:val="000000" w:themeColor="text1"/>
                <w:sz w:val="16"/>
                <w:szCs w:val="16"/>
                <w:lang w:eastAsia="es-ES"/>
              </w:rPr>
              <w:t>Cristian Andrés Díaz Díez</w:t>
            </w:r>
          </w:p>
          <w:p w:rsidRPr="006C15D5" w:rsidR="00BE1E33" w:rsidP="00730CDB" w:rsidRDefault="00170177" w14:paraId="72718C99" w14:textId="05804938">
            <w:pPr>
              <w:rPr>
                <w:rFonts w:ascii="Arial" w:hAnsi="Arial" w:eastAsia="Times New Roman" w:cs="Arial"/>
                <w:color w:val="000000" w:themeColor="text1"/>
                <w:sz w:val="16"/>
                <w:szCs w:val="16"/>
                <w:lang w:eastAsia="es-ES"/>
              </w:rPr>
            </w:pPr>
            <w:r>
              <w:rPr>
                <w:rFonts w:ascii="Arial" w:hAnsi="Arial" w:eastAsia="Times New Roman" w:cs="Arial"/>
                <w:color w:val="000000" w:themeColor="text1"/>
                <w:sz w:val="16"/>
                <w:szCs w:val="16"/>
                <w:lang w:eastAsia="es-ES"/>
              </w:rPr>
              <w:t xml:space="preserve">Contratista, </w:t>
            </w:r>
            <w:r w:rsidRPr="006C15D5">
              <w:rPr>
                <w:rFonts w:ascii="Arial" w:hAnsi="Arial" w:eastAsia="Times New Roman" w:cs="Arial"/>
                <w:color w:val="000000" w:themeColor="text1"/>
                <w:sz w:val="16"/>
                <w:szCs w:val="16"/>
                <w:lang w:eastAsia="es-ES"/>
              </w:rPr>
              <w:t>Subdirec</w:t>
            </w:r>
            <w:r>
              <w:rPr>
                <w:rFonts w:ascii="Arial" w:hAnsi="Arial" w:eastAsia="Times New Roman" w:cs="Arial"/>
                <w:color w:val="000000" w:themeColor="text1"/>
                <w:sz w:val="16"/>
                <w:szCs w:val="16"/>
                <w:lang w:eastAsia="es-ES"/>
              </w:rPr>
              <w:t>ción</w:t>
            </w:r>
            <w:r w:rsidRPr="006C15D5">
              <w:rPr>
                <w:rFonts w:ascii="Arial" w:hAnsi="Arial" w:eastAsia="Times New Roman" w:cs="Arial"/>
                <w:color w:val="000000" w:themeColor="text1"/>
                <w:sz w:val="16"/>
                <w:szCs w:val="16"/>
                <w:lang w:eastAsia="es-ES"/>
              </w:rPr>
              <w:t xml:space="preserve"> </w:t>
            </w:r>
            <w:r w:rsidRPr="006C15D5" w:rsidR="00730CDB">
              <w:rPr>
                <w:rFonts w:ascii="Arial" w:hAnsi="Arial" w:eastAsia="Times New Roman" w:cs="Arial"/>
                <w:color w:val="000000" w:themeColor="text1"/>
                <w:sz w:val="16"/>
                <w:szCs w:val="16"/>
                <w:lang w:eastAsia="es-ES"/>
              </w:rPr>
              <w:t>de Gestión Contractual</w:t>
            </w:r>
          </w:p>
        </w:tc>
      </w:tr>
      <w:tr w:rsidRPr="003F6D32" w:rsidR="00982E99" w:rsidTr="004101BC" w14:paraId="57DAFEF9" w14:textId="77777777">
        <w:trPr>
          <w:trHeight w:val="300"/>
        </w:trPr>
        <w:tc>
          <w:tcPr>
            <w:tcW w:w="812" w:type="dxa"/>
            <w:vAlign w:val="center"/>
            <w:hideMark/>
          </w:tcPr>
          <w:p w:rsidRPr="006C15D5" w:rsidR="00BE1E33" w:rsidP="004101BC" w:rsidRDefault="00BE1E33" w14:paraId="70677013"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C15D5" w:rsidR="00BE1E33" w:rsidP="004101BC" w:rsidRDefault="00BE1E33" w14:paraId="4B4373C0"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Fabián Gonzalo Marín Cortés</w:t>
            </w:r>
          </w:p>
          <w:p w:rsidRPr="006C15D5" w:rsidR="00BE1E33" w:rsidP="004101BC" w:rsidRDefault="00BE1E33" w14:paraId="75BC677C" w14:textId="77777777">
            <w:pPr>
              <w:rPr>
                <w:rFonts w:ascii="Arial" w:hAnsi="Arial" w:eastAsia="Times New Roman" w:cs="Arial"/>
                <w:color w:val="000000" w:themeColor="text1"/>
                <w:sz w:val="16"/>
                <w:szCs w:val="16"/>
                <w:lang w:eastAsia="es-ES"/>
              </w:rPr>
            </w:pPr>
            <w:r w:rsidRPr="006C15D5">
              <w:rPr>
                <w:rFonts w:ascii="Arial" w:hAnsi="Arial" w:eastAsia="Times New Roman" w:cs="Arial"/>
                <w:color w:val="000000" w:themeColor="text1"/>
                <w:sz w:val="16"/>
                <w:szCs w:val="16"/>
                <w:lang w:eastAsia="es-ES"/>
              </w:rPr>
              <w:t>Subdirector de Gestión Contractual</w:t>
            </w:r>
          </w:p>
        </w:tc>
      </w:tr>
    </w:tbl>
    <w:p w:rsidRPr="006C15D5" w:rsidR="00BE1E33" w:rsidP="00BE1E33" w:rsidRDefault="00BE1E33" w14:paraId="07748B46" w14:textId="77777777">
      <w:pPr>
        <w:rPr>
          <w:rFonts w:ascii="Arial" w:hAnsi="Arial" w:cs="Arial"/>
          <w:color w:val="000000" w:themeColor="text1"/>
        </w:rPr>
      </w:pPr>
    </w:p>
    <w:p w:rsidRPr="006C15D5" w:rsidR="006C5955" w:rsidP="00BE1E33" w:rsidRDefault="006C5955" w14:paraId="085A31AB" w14:textId="77777777">
      <w:pPr>
        <w:rPr>
          <w:color w:val="000000" w:themeColor="text1"/>
        </w:rPr>
      </w:pPr>
    </w:p>
    <w:sectPr w:rsidRPr="006C15D5" w:rsidR="006C5955"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3AB9E" w16cex:dateUtc="2020-05-23T19:03:00Z"/>
  <w16cex:commentExtensible w16cex:durableId="2273ACC2" w16cex:dateUtc="2020-05-23T1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F20" w:rsidP="008C487C" w:rsidRDefault="00B22F20" w14:paraId="79AB1863" w14:textId="77777777">
      <w:r>
        <w:separator/>
      </w:r>
    </w:p>
  </w:endnote>
  <w:endnote w:type="continuationSeparator" w:id="0">
    <w:p w:rsidR="00B22F20" w:rsidP="008C487C" w:rsidRDefault="00B22F20" w14:paraId="523EE4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217B7" w:rsidP="00322937" w:rsidRDefault="002C6A33" w14:paraId="5D37B59A" w14:textId="3A65DB1A">
    <w:pPr>
      <w:pStyle w:val="Sinespaciado"/>
      <w:jc w:val="right"/>
      <w:rPr>
        <w:rFonts w:ascii="Arial" w:hAnsi="Arial" w:cs="Arial"/>
        <w:sz w:val="18"/>
        <w:szCs w:val="18"/>
      </w:rPr>
    </w:pPr>
  </w:p>
  <w:p w:rsidR="00F501D2" w:rsidP="00322937" w:rsidRDefault="00F501D2" w14:paraId="709352A1" w14:textId="77777777">
    <w:pPr>
      <w:pStyle w:val="Sinespaciado"/>
      <w:jc w:val="right"/>
      <w:rPr>
        <w:rFonts w:ascii="Arial" w:hAnsi="Arial" w:cs="Arial"/>
        <w:sz w:val="18"/>
        <w:szCs w:val="18"/>
      </w:rPr>
    </w:pPr>
  </w:p>
  <w:p w:rsidRPr="008217B7" w:rsidR="00FE42ED" w:rsidP="00FE42ED" w:rsidRDefault="008C487C" w14:paraId="3D3EB34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9047C5" w:rsidP="00322937" w:rsidRDefault="008C487C" w14:paraId="29709EEF" w14:textId="77777777">
    <w:pPr>
      <w:pStyle w:val="Piedepgina"/>
      <w:jc w:val="center"/>
      <w:rPr>
        <w:lang w:val="es-ES"/>
      </w:rPr>
    </w:pPr>
    <w:r w:rsidR="2CD3976C">
      <w:drawing>
        <wp:inline wp14:editId="6D63FAB7" wp14:anchorId="0323F87D">
          <wp:extent cx="3700130" cy="519139"/>
          <wp:effectExtent l="0" t="0" r="0" b="0"/>
          <wp:docPr id="1744507003" name="Imagen 3" title=""/>
          <wp:cNvGraphicFramePr>
            <a:graphicFrameLocks noChangeAspect="1"/>
          </wp:cNvGraphicFramePr>
          <a:graphic>
            <a:graphicData uri="http://schemas.openxmlformats.org/drawingml/2006/picture">
              <pic:pic>
                <pic:nvPicPr>
                  <pic:cNvPr id="0" name="Imagen 3"/>
                  <pic:cNvPicPr/>
                </pic:nvPicPr>
                <pic:blipFill>
                  <a:blip r:embed="Ra4f170a0073c4c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322937" w:rsidP="007B0854" w:rsidRDefault="002C6A33" w14:paraId="608DFF21" w14:textId="77777777">
    <w:pPr>
      <w:pStyle w:val="Piedepgina"/>
      <w:jc w:val="center"/>
      <w:rPr>
        <w:sz w:val="18"/>
        <w:szCs w:val="18"/>
        <w:lang w:val="es-ES"/>
      </w:rPr>
    </w:pPr>
  </w:p>
  <w:p w:rsidRPr="00E756AC" w:rsidR="004A34D2" w:rsidP="007B0854" w:rsidRDefault="002C6A33" w14:paraId="428179B1"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F20" w:rsidP="008C487C" w:rsidRDefault="00B22F20" w14:paraId="0A34A318" w14:textId="77777777">
      <w:r>
        <w:separator/>
      </w:r>
    </w:p>
  </w:footnote>
  <w:footnote w:type="continuationSeparator" w:id="0">
    <w:p w:rsidR="00B22F20" w:rsidP="008C487C" w:rsidRDefault="00B22F20" w14:paraId="5A6E2A41" w14:textId="77777777">
      <w:r>
        <w:continuationSeparator/>
      </w:r>
    </w:p>
  </w:footnote>
  <w:footnote w:id="1">
    <w:p w:rsidRPr="0003383F" w:rsidR="008443C9" w:rsidP="008443C9" w:rsidRDefault="008443C9" w14:paraId="09E4961C"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03383F" w:rsidR="008443C9" w:rsidP="008443C9" w:rsidRDefault="008443C9" w14:paraId="215F73D6"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rsidRPr="0003383F" w:rsidR="008443C9" w:rsidP="008443C9" w:rsidRDefault="008443C9" w14:paraId="65EB8D0A" w14:textId="77777777">
      <w:pPr>
        <w:pStyle w:val="Textonotapie"/>
        <w:ind w:firstLine="708"/>
        <w:jc w:val="both"/>
        <w:rPr>
          <w:rFonts w:ascii="Arial" w:hAnsi="Arial" w:cs="Arial"/>
          <w:color w:val="000000" w:themeColor="text1"/>
          <w:sz w:val="19"/>
          <w:szCs w:val="19"/>
        </w:rPr>
      </w:pPr>
    </w:p>
  </w:footnote>
  <w:footnote w:id="2">
    <w:p w:rsidRPr="0003383F" w:rsidR="008443C9" w:rsidP="008443C9" w:rsidRDefault="008443C9" w14:paraId="188EB099"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rsidRPr="0003383F" w:rsidR="008443C9" w:rsidP="008443C9" w:rsidRDefault="008443C9" w14:paraId="351989A4"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»Las personas jurídicas nacionales y extranjeras deberán acreditar que su duración no será inferior a la del plazo del contrato y un año más».</w:t>
      </w:r>
    </w:p>
    <w:p w:rsidRPr="0003383F" w:rsidR="008443C9" w:rsidP="008443C9" w:rsidRDefault="008443C9" w14:paraId="2FC22AED" w14:textId="77777777">
      <w:pPr>
        <w:pStyle w:val="Textonotapie"/>
        <w:jc w:val="both"/>
        <w:rPr>
          <w:rFonts w:ascii="Arial" w:hAnsi="Arial" w:cs="Arial"/>
          <w:color w:val="000000" w:themeColor="text1"/>
          <w:sz w:val="19"/>
          <w:szCs w:val="19"/>
          <w:lang w:val="es-CO"/>
        </w:rPr>
      </w:pPr>
      <w:r w:rsidRPr="0003383F">
        <w:rPr>
          <w:rFonts w:ascii="Arial" w:hAnsi="Arial" w:cs="Arial"/>
          <w:color w:val="000000" w:themeColor="text1"/>
          <w:sz w:val="19"/>
          <w:szCs w:val="19"/>
        </w:rPr>
        <w:t xml:space="preserve"> </w:t>
      </w:r>
    </w:p>
  </w:footnote>
  <w:footnote w:id="3">
    <w:p w:rsidRPr="0003383F" w:rsidR="008443C9" w:rsidP="008443C9" w:rsidRDefault="008443C9" w14:paraId="46F5917A"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rsidRPr="0003383F" w:rsidR="008443C9" w:rsidP="008443C9" w:rsidRDefault="008443C9" w14:paraId="55DAC4D1"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»Las personas jurídicas son de dos especies: corporaciones y fundaciones de beneficencia pública.</w:t>
      </w:r>
    </w:p>
    <w:p w:rsidRPr="0003383F" w:rsidR="008443C9" w:rsidP="008443C9" w:rsidRDefault="008443C9" w14:paraId="44BD7B6A" w14:textId="77777777">
      <w:pPr>
        <w:pStyle w:val="Textonotapie"/>
        <w:ind w:firstLine="708"/>
        <w:jc w:val="both"/>
        <w:rPr>
          <w:rFonts w:ascii="Arial" w:hAnsi="Arial" w:cs="Arial"/>
          <w:color w:val="000000" w:themeColor="text1"/>
          <w:sz w:val="19"/>
          <w:szCs w:val="19"/>
          <w:lang w:val="es-CO"/>
        </w:rPr>
      </w:pPr>
      <w:r w:rsidRPr="0003383F">
        <w:rPr>
          <w:rFonts w:ascii="Arial" w:hAnsi="Arial" w:cs="Arial"/>
          <w:color w:val="000000" w:themeColor="text1"/>
          <w:sz w:val="19"/>
          <w:szCs w:val="19"/>
        </w:rPr>
        <w:t>»Hay personas jurídicas que participan de uno y otro carácter».</w:t>
      </w:r>
    </w:p>
  </w:footnote>
  <w:footnote w:id="4">
    <w:p w:rsidRPr="0003383F" w:rsidR="008443C9" w:rsidP="008443C9" w:rsidRDefault="008443C9" w14:paraId="34346428" w14:textId="77777777">
      <w:pPr>
        <w:pStyle w:val="Textonotapie"/>
        <w:ind w:firstLine="708"/>
        <w:jc w:val="both"/>
        <w:rPr>
          <w:rFonts w:ascii="Arial" w:hAnsi="Arial" w:cs="Arial"/>
          <w:color w:val="000000" w:themeColor="text1"/>
          <w:sz w:val="19"/>
          <w:szCs w:val="19"/>
        </w:rPr>
      </w:pPr>
    </w:p>
    <w:p w:rsidRPr="0003383F" w:rsidR="008443C9" w:rsidP="008443C9" w:rsidRDefault="008443C9" w14:paraId="58F3136B"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Código de Comercio: «Artículo 1. Aplicabilidad de la ley comercial. Los comerciantes y los asuntos mercantiles se regirán por las disposiciones de la ley comercial, y los casos no regulados expresamente en ella serán decididos por analogía de sus normas</w:t>
      </w:r>
    </w:p>
    <w:p w:rsidRPr="0003383F" w:rsidR="008443C9" w:rsidP="008443C9" w:rsidRDefault="008443C9" w14:paraId="003CD541"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»Artículo 2. Aplicación de la legislación civil. En las cuestiones comerciales que no pudieren regularse conforme a la regla anterior, se aplicarán las disposiciones de la legislación civil».</w:t>
      </w:r>
    </w:p>
    <w:p w:rsidRPr="0003383F" w:rsidR="008443C9" w:rsidP="008443C9" w:rsidRDefault="008443C9" w14:paraId="38CDC8E0" w14:textId="77777777">
      <w:pPr>
        <w:pStyle w:val="Textonotapie"/>
        <w:jc w:val="both"/>
        <w:rPr>
          <w:rFonts w:ascii="Arial" w:hAnsi="Arial" w:cs="Arial"/>
          <w:color w:val="000000" w:themeColor="text1"/>
          <w:sz w:val="19"/>
          <w:szCs w:val="19"/>
          <w:lang w:val="es-CO"/>
        </w:rPr>
      </w:pPr>
    </w:p>
  </w:footnote>
  <w:footnote w:id="5">
    <w:p w:rsidRPr="0003383F" w:rsidR="008443C9" w:rsidP="008443C9" w:rsidRDefault="008443C9" w14:paraId="499FFDF0" w14:textId="77777777">
      <w:pPr>
        <w:pStyle w:val="Textonotapie"/>
        <w:ind w:firstLine="709"/>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03383F" w:rsidR="008443C9" w:rsidP="008443C9" w:rsidRDefault="008443C9" w14:paraId="19DDA9C5" w14:textId="77777777">
      <w:pPr>
        <w:pStyle w:val="Textonotapie"/>
        <w:ind w:firstLine="709"/>
        <w:jc w:val="both"/>
        <w:rPr>
          <w:rFonts w:ascii="Arial" w:hAnsi="Arial" w:cs="Arial"/>
          <w:color w:val="000000" w:themeColor="text1"/>
          <w:sz w:val="19"/>
          <w:szCs w:val="19"/>
        </w:rPr>
      </w:pPr>
      <w:r w:rsidRPr="0003383F">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6">
    <w:p w:rsidRPr="0003383F" w:rsidR="008443C9" w:rsidP="008443C9" w:rsidRDefault="008443C9" w14:paraId="67C6AC47"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Pr="0003383F" w:rsidR="008443C9" w:rsidP="008443C9" w:rsidRDefault="008443C9" w14:paraId="4BCC0518"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03383F" w:rsidR="008443C9" w:rsidP="008443C9" w:rsidRDefault="008443C9" w14:paraId="6CEC59BC" w14:textId="77777777">
      <w:pPr>
        <w:pStyle w:val="Textonotapie"/>
        <w:jc w:val="both"/>
        <w:rPr>
          <w:rFonts w:ascii="Arial" w:hAnsi="Arial" w:cs="Arial"/>
          <w:color w:val="000000" w:themeColor="text1"/>
          <w:sz w:val="19"/>
          <w:szCs w:val="19"/>
          <w:lang w:val="es-ES"/>
        </w:rPr>
      </w:pPr>
    </w:p>
  </w:footnote>
  <w:footnote w:id="7">
    <w:p w:rsidRPr="0003383F" w:rsidR="008443C9" w:rsidP="008443C9" w:rsidRDefault="008443C9" w14:paraId="423B7057"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rsidRPr="0003383F" w:rsidR="008443C9" w:rsidP="008443C9" w:rsidRDefault="008443C9" w14:paraId="7D519AEF" w14:textId="77777777">
      <w:pPr>
        <w:pStyle w:val="Textonotapie"/>
        <w:ind w:firstLine="708"/>
        <w:jc w:val="both"/>
        <w:rPr>
          <w:rFonts w:ascii="Arial" w:hAnsi="Arial" w:cs="Arial"/>
          <w:color w:val="000000" w:themeColor="text1"/>
          <w:sz w:val="19"/>
          <w:szCs w:val="19"/>
          <w:lang w:val="es-ES"/>
        </w:rPr>
      </w:pPr>
    </w:p>
  </w:footnote>
  <w:footnote w:id="8">
    <w:p w:rsidRPr="0003383F" w:rsidR="008443C9" w:rsidP="008443C9" w:rsidRDefault="008443C9" w14:paraId="3EB1C127"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rsidRPr="0003383F" w:rsidR="008443C9" w:rsidP="008443C9" w:rsidRDefault="008443C9" w14:paraId="444BD899"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rsidRPr="0003383F" w:rsidR="008443C9" w:rsidP="008443C9" w:rsidRDefault="008443C9" w14:paraId="2CC140D9" w14:textId="77777777">
      <w:pPr>
        <w:pStyle w:val="Textonotapie"/>
        <w:ind w:firstLine="708"/>
        <w:jc w:val="both"/>
        <w:rPr>
          <w:rFonts w:ascii="Arial" w:hAnsi="Arial" w:cs="Arial"/>
          <w:color w:val="000000" w:themeColor="text1"/>
          <w:sz w:val="19"/>
          <w:szCs w:val="19"/>
          <w:lang w:val="es-ES"/>
        </w:rPr>
      </w:pPr>
    </w:p>
  </w:footnote>
  <w:footnote w:id="9">
    <w:p w:rsidRPr="0003383F" w:rsidR="008443C9" w:rsidP="008443C9" w:rsidRDefault="008443C9" w14:paraId="0CE18174"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03383F" w:rsidR="008443C9" w:rsidP="008443C9" w:rsidRDefault="008443C9" w14:paraId="422FF098"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 xml:space="preserve">»[…]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 </w:t>
      </w:r>
    </w:p>
    <w:p w:rsidRPr="0003383F" w:rsidR="008443C9" w:rsidP="008443C9" w:rsidRDefault="008443C9" w14:paraId="442DCC90"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rsidRPr="0003383F" w:rsidR="008443C9" w:rsidP="008443C9" w:rsidRDefault="008443C9" w14:paraId="2C0D85E2" w14:textId="77777777">
      <w:pPr>
        <w:pStyle w:val="Textonotapie"/>
        <w:jc w:val="both"/>
        <w:rPr>
          <w:rFonts w:ascii="Arial" w:hAnsi="Arial" w:cs="Arial"/>
          <w:color w:val="000000" w:themeColor="text1"/>
          <w:sz w:val="19"/>
          <w:szCs w:val="19"/>
          <w:lang w:val="es-ES"/>
        </w:rPr>
      </w:pPr>
    </w:p>
  </w:footnote>
  <w:footnote w:id="10">
    <w:p w:rsidRPr="0003383F" w:rsidR="008443C9" w:rsidP="008443C9" w:rsidRDefault="008443C9" w14:paraId="1DD5F337"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03383F" w:rsidR="008443C9" w:rsidP="008443C9" w:rsidRDefault="008443C9" w14:paraId="33E03CBA"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»1.    Si es una persona natural:</w:t>
      </w:r>
    </w:p>
    <w:p w:rsidRPr="0003383F" w:rsidR="008443C9" w:rsidP="008443C9" w:rsidRDefault="008443C9" w14:paraId="3C868ACE"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»1.1. Bienes, obras y servicios que ofrecerá a las Entidades Estatales, identificados con el Clasificador de Bienes y Servicios en el tercer nivel.</w:t>
      </w:r>
    </w:p>
    <w:p w:rsidRPr="0003383F" w:rsidR="008443C9" w:rsidP="008443C9" w:rsidRDefault="008443C9" w14:paraId="1087D582"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rsidRPr="0003383F" w:rsidR="008443C9" w:rsidP="008443C9" w:rsidRDefault="008443C9" w14:paraId="46169971" w14:textId="77777777">
      <w:pPr>
        <w:pStyle w:val="Textonotapie"/>
        <w:ind w:firstLine="708"/>
        <w:jc w:val="both"/>
        <w:rPr>
          <w:rFonts w:ascii="Arial" w:hAnsi="Arial" w:cs="Arial"/>
          <w:color w:val="000000" w:themeColor="text1"/>
          <w:sz w:val="19"/>
          <w:szCs w:val="19"/>
          <w:lang w:val="es-ES"/>
        </w:rPr>
      </w:pPr>
    </w:p>
  </w:footnote>
  <w:footnote w:id="11">
    <w:p w:rsidRPr="0003383F" w:rsidR="008443C9" w:rsidP="008443C9" w:rsidRDefault="008443C9" w14:paraId="6C096D3F"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rsidRPr="0003383F" w:rsidR="008443C9" w:rsidP="008443C9" w:rsidRDefault="008443C9" w14:paraId="40B10AFD"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rsidRPr="0003383F" w:rsidR="008443C9" w:rsidP="008443C9" w:rsidRDefault="008443C9" w14:paraId="62FF648C" w14:textId="77777777">
      <w:pPr>
        <w:pStyle w:val="Textonotapie"/>
        <w:jc w:val="both"/>
        <w:rPr>
          <w:rFonts w:ascii="Arial" w:hAnsi="Arial" w:cs="Arial"/>
          <w:color w:val="000000" w:themeColor="text1"/>
          <w:sz w:val="19"/>
          <w:szCs w:val="19"/>
        </w:rPr>
      </w:pPr>
      <w:r w:rsidRPr="0003383F">
        <w:rPr>
          <w:rFonts w:ascii="Arial" w:hAnsi="Arial" w:cs="Arial"/>
          <w:color w:val="000000" w:themeColor="text1"/>
          <w:sz w:val="19"/>
          <w:szCs w:val="19"/>
        </w:rPr>
        <w:t>la participación en proponentes plurales. Esta experiencia se obtiene con contratantes públicos, privados, nacionales o extranjeros. No hay límite frente al número de contratos o a la fecha en la cual estos fueron celebrados.</w:t>
      </w:r>
    </w:p>
    <w:p w:rsidRPr="0003383F" w:rsidR="008443C9" w:rsidP="008443C9" w:rsidRDefault="008443C9" w14:paraId="7AC14A7D"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p>
    <w:p w:rsidRPr="0003383F" w:rsidR="008443C9" w:rsidP="008443C9" w:rsidRDefault="008443C9" w14:paraId="6453925F"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rsidRPr="0003383F" w:rsidR="008443C9" w:rsidP="008443C9" w:rsidRDefault="008443C9" w14:paraId="7523352E"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rsidRPr="0003383F" w:rsidR="008443C9" w:rsidP="008443C9" w:rsidRDefault="008443C9" w14:paraId="62BC0A6A" w14:textId="77777777">
      <w:pPr>
        <w:pStyle w:val="Textonotapie"/>
        <w:jc w:val="both"/>
        <w:rPr>
          <w:rFonts w:ascii="Arial" w:hAnsi="Arial" w:cs="Arial"/>
          <w:color w:val="000000" w:themeColor="text1"/>
          <w:sz w:val="19"/>
          <w:szCs w:val="19"/>
          <w:lang w:val="es-ES"/>
        </w:rPr>
      </w:pPr>
    </w:p>
  </w:footnote>
  <w:footnote w:id="12">
    <w:p w:rsidRPr="0003383F" w:rsidR="008443C9" w:rsidP="008443C9" w:rsidRDefault="008443C9" w14:paraId="62E86324" w14:textId="77777777">
      <w:pPr>
        <w:pStyle w:val="Textonotapie"/>
        <w:ind w:firstLine="708"/>
        <w:jc w:val="both"/>
        <w:rPr>
          <w:rFonts w:ascii="Arial" w:hAnsi="Arial" w:cs="Arial"/>
          <w:color w:val="000000" w:themeColor="text1"/>
          <w:sz w:val="19"/>
          <w:szCs w:val="19"/>
          <w:lang w:val="es-CO"/>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Corte Constitucional. </w:t>
      </w:r>
      <w:r w:rsidRPr="0003383F">
        <w:rPr>
          <w:rFonts w:ascii="Arial" w:hAnsi="Arial" w:cs="Arial"/>
          <w:color w:val="000000" w:themeColor="text1"/>
          <w:sz w:val="19"/>
          <w:szCs w:val="19"/>
          <w:lang w:val="es-CO"/>
        </w:rPr>
        <w:t xml:space="preserve">Sentencia C </w:t>
      </w:r>
      <w:r w:rsidRPr="0003383F">
        <w:rPr>
          <w:rFonts w:ascii="Arial" w:hAnsi="Arial" w:eastAsia="Calibri" w:cs="Arial"/>
          <w:color w:val="000000" w:themeColor="text1"/>
          <w:sz w:val="19"/>
          <w:szCs w:val="19"/>
        </w:rPr>
        <w:t xml:space="preserve">― </w:t>
      </w:r>
      <w:r w:rsidRPr="0003383F">
        <w:rPr>
          <w:rFonts w:ascii="Arial" w:hAnsi="Arial" w:cs="Arial"/>
          <w:color w:val="000000" w:themeColor="text1"/>
          <w:sz w:val="19"/>
          <w:szCs w:val="19"/>
          <w:lang w:val="es-CO"/>
        </w:rPr>
        <w:t xml:space="preserve">259 del 11 de marzo 2008. M.P. Jaime Córdoba Triviño. </w:t>
      </w:r>
    </w:p>
  </w:footnote>
  <w:footnote w:id="13">
    <w:p w:rsidRPr="0003383F" w:rsidR="008443C9" w:rsidP="008443C9" w:rsidRDefault="008443C9" w14:paraId="083045BB"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03383F" w:rsidR="008443C9" w:rsidP="008443C9" w:rsidRDefault="008443C9" w14:paraId="3EEFCEC1"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p>
    <w:p w:rsidRPr="0003383F" w:rsidR="008443C9" w:rsidP="008443C9" w:rsidRDefault="008443C9" w14:paraId="10DBA852"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shd w:val="clear" w:color="auto" w:fill="FFFFFF"/>
        </w:rPr>
        <w:t>»2.1.   Bienes, obras y servicios que ofrecerá a las Entidades Estatales, identificados con el Clasificador de Bienes y Servicios en el tercer nivel</w:t>
      </w:r>
      <w:r w:rsidRPr="0003383F">
        <w:rPr>
          <w:rFonts w:ascii="Arial" w:hAnsi="Arial" w:cs="Arial"/>
          <w:color w:val="000000" w:themeColor="text1"/>
          <w:sz w:val="19"/>
          <w:szCs w:val="19"/>
        </w:rPr>
        <w:t>»</w:t>
      </w:r>
      <w:r w:rsidRPr="0003383F">
        <w:rPr>
          <w:rFonts w:ascii="Arial" w:hAnsi="Arial" w:cs="Arial"/>
          <w:color w:val="000000" w:themeColor="text1"/>
          <w:sz w:val="19"/>
          <w:szCs w:val="19"/>
          <w:shd w:val="clear" w:color="auto" w:fill="FFFFFF"/>
        </w:rPr>
        <w:t>.</w:t>
      </w:r>
    </w:p>
    <w:p w:rsidRPr="0003383F" w:rsidR="008443C9" w:rsidP="008443C9" w:rsidRDefault="008443C9" w14:paraId="55D4FBF9" w14:textId="77777777">
      <w:pPr>
        <w:pStyle w:val="Textonotapie"/>
        <w:ind w:firstLine="708"/>
        <w:jc w:val="both"/>
        <w:rPr>
          <w:rFonts w:ascii="Arial" w:hAnsi="Arial" w:cs="Arial"/>
          <w:color w:val="000000" w:themeColor="text1"/>
          <w:sz w:val="19"/>
          <w:szCs w:val="19"/>
          <w:lang w:val="es-CO"/>
        </w:rPr>
      </w:pPr>
    </w:p>
  </w:footnote>
  <w:footnote w:id="14">
    <w:p w:rsidRPr="0003383F" w:rsidR="008443C9" w:rsidP="008443C9" w:rsidRDefault="008443C9" w14:paraId="66D36369" w14:textId="77777777">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03383F" w:rsidR="008443C9" w:rsidP="008443C9" w:rsidRDefault="008443C9" w14:paraId="569998D2" w14:textId="77777777">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p>
    <w:p w:rsidRPr="0003383F" w:rsidR="008443C9" w:rsidP="008443C9" w:rsidRDefault="008443C9" w14:paraId="5D889CC9" w14:textId="77777777">
      <w:pPr>
        <w:pStyle w:val="Textonotapie"/>
        <w:ind w:firstLine="708"/>
        <w:jc w:val="both"/>
        <w:rPr>
          <w:rFonts w:ascii="Arial" w:hAnsi="Arial" w:cs="Arial"/>
          <w:color w:val="000000" w:themeColor="text1"/>
          <w:sz w:val="19"/>
          <w:szCs w:val="19"/>
          <w:shd w:val="clear" w:color="auto" w:fill="FFFFFF"/>
        </w:rPr>
      </w:pPr>
      <w:r w:rsidRPr="0003383F">
        <w:rPr>
          <w:rFonts w:ascii="Arial" w:hAnsi="Arial" w:cs="Arial"/>
          <w:color w:val="000000" w:themeColor="text1"/>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03383F">
        <w:rPr>
          <w:rFonts w:ascii="Arial" w:hAnsi="Arial" w:cs="Arial"/>
          <w:color w:val="000000" w:themeColor="text1"/>
          <w:sz w:val="19"/>
          <w:szCs w:val="19"/>
          <w:shd w:val="clear" w:color="auto" w:fill="FFFFFF"/>
        </w:rPr>
        <w:softHyphen/>
        <w:t>ficador de Bienes y Servicios en el tercer nivel. Si la constitución del interesado es menor a 3 años, puede acreditar la experiencia de sus accionistas, socios o constituyentes</w:t>
      </w:r>
      <w:r w:rsidRPr="0003383F">
        <w:rPr>
          <w:rFonts w:ascii="Arial" w:hAnsi="Arial" w:cs="Arial"/>
          <w:color w:val="000000" w:themeColor="text1"/>
          <w:sz w:val="19"/>
          <w:szCs w:val="19"/>
        </w:rPr>
        <w:t>».</w:t>
      </w:r>
    </w:p>
    <w:p w:rsidRPr="0003383F" w:rsidR="008443C9" w:rsidP="008443C9" w:rsidRDefault="008443C9" w14:paraId="5CF3A575" w14:textId="77777777">
      <w:pPr>
        <w:pStyle w:val="Textonotapie"/>
        <w:ind w:firstLine="708"/>
        <w:jc w:val="both"/>
        <w:rPr>
          <w:rFonts w:ascii="Arial" w:hAnsi="Arial" w:cs="Arial"/>
          <w:color w:val="000000" w:themeColor="text1"/>
          <w:sz w:val="19"/>
          <w:szCs w:val="19"/>
          <w:lang w:val="es-CO"/>
        </w:rPr>
      </w:pPr>
    </w:p>
  </w:footnote>
  <w:footnote w:id="15">
    <w:p w:rsidRPr="0003383F" w:rsidR="008443C9" w:rsidP="008443C9" w:rsidRDefault="008443C9" w14:paraId="0A1F5C90" w14:textId="77777777">
      <w:pPr>
        <w:pStyle w:val="Textonotapie"/>
        <w:ind w:firstLine="708"/>
        <w:jc w:val="both"/>
        <w:rPr>
          <w:rFonts w:ascii="Arial" w:hAnsi="Arial" w:cs="Arial"/>
          <w:color w:val="000000" w:themeColor="text1"/>
          <w:sz w:val="19"/>
          <w:szCs w:val="19"/>
          <w:lang w:val="es-CO"/>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Al respecto, consultar, entre otros: los conceptos identificados con radicado No. 4201913000006797 del 3 de octubre de 2019, 4201913000007182 del 18 de octubre de 2019  y 4201912000007512 del 3 de noviembre de 2019. </w:t>
      </w:r>
    </w:p>
  </w:footnote>
  <w:footnote w:id="16">
    <w:p w:rsidRPr="0003383F" w:rsidR="008443C9" w:rsidP="008443C9" w:rsidRDefault="008443C9" w14:paraId="702EB8BB" w14:textId="77777777">
      <w:pPr>
        <w:pStyle w:val="Textonotapie"/>
        <w:ind w:firstLine="708"/>
        <w:jc w:val="both"/>
        <w:rPr>
          <w:rFonts w:ascii="Arial" w:hAnsi="Arial" w:eastAsia="Times New Roman" w:cs="Arial"/>
          <w:color w:val="000000" w:themeColor="text1"/>
          <w:sz w:val="19"/>
          <w:szCs w:val="19"/>
          <w:lang w:val="es-CO" w:eastAsia="es-ES_tradnl"/>
        </w:rPr>
      </w:pPr>
      <w:r w:rsidRPr="0003383F">
        <w:rPr>
          <w:rStyle w:val="Refdenotaalpie"/>
          <w:rFonts w:ascii="Arial" w:hAnsi="Arial" w:cs="Arial"/>
          <w:color w:val="000000" w:themeColor="text1"/>
          <w:sz w:val="19"/>
          <w:szCs w:val="19"/>
        </w:rPr>
        <w:footnoteRef/>
      </w:r>
      <w:r w:rsidRPr="0003383F">
        <w:rPr>
          <w:rFonts w:ascii="Arial" w:hAnsi="Arial" w:eastAsia="Times New Roman" w:cs="Arial"/>
          <w:color w:val="000000" w:themeColor="text1"/>
          <w:sz w:val="19"/>
          <w:szCs w:val="19"/>
          <w:lang w:val="es-CO" w:eastAsia="es-ES_tradnl"/>
        </w:rPr>
        <w:t xml:space="preserve"> Consejo de Estado. Sección Tercera.</w:t>
      </w:r>
      <w:r w:rsidRPr="0003383F">
        <w:rPr>
          <w:rFonts w:ascii="Arial" w:hAnsi="Arial" w:cs="Arial"/>
          <w:color w:val="000000" w:themeColor="text1"/>
          <w:sz w:val="19"/>
          <w:szCs w:val="19"/>
        </w:rPr>
        <w:t xml:space="preserve"> Sentencia del 19 de julio de 2001.</w:t>
      </w:r>
      <w:r w:rsidRPr="0003383F">
        <w:rPr>
          <w:rFonts w:ascii="Arial" w:hAnsi="Arial" w:eastAsia="Times New Roman" w:cs="Arial"/>
          <w:color w:val="000000" w:themeColor="text1"/>
          <w:sz w:val="19"/>
          <w:szCs w:val="19"/>
          <w:lang w:val="es-CO" w:eastAsia="es-ES_tradnl"/>
        </w:rPr>
        <w:t xml:space="preserve"> Exp. 12.037. C.P. Alier Eduardo Hernández Enríquez.</w:t>
      </w:r>
    </w:p>
    <w:p w:rsidRPr="0003383F" w:rsidR="008443C9" w:rsidP="008443C9" w:rsidRDefault="008443C9" w14:paraId="4B71D585" w14:textId="77777777">
      <w:pPr>
        <w:pStyle w:val="Textonotapie"/>
        <w:ind w:firstLine="708"/>
        <w:jc w:val="both"/>
        <w:rPr>
          <w:rFonts w:ascii="Arial" w:hAnsi="Arial" w:cs="Arial"/>
          <w:color w:val="000000" w:themeColor="text1"/>
          <w:sz w:val="19"/>
          <w:szCs w:val="19"/>
        </w:rPr>
      </w:pPr>
    </w:p>
  </w:footnote>
  <w:footnote w:id="17">
    <w:p w:rsidRPr="0003383F" w:rsidR="008443C9" w:rsidP="008443C9" w:rsidRDefault="008443C9" w14:paraId="69192542" w14:textId="77777777">
      <w:pPr>
        <w:pStyle w:val="Textonotapie"/>
        <w:ind w:firstLine="709"/>
        <w:jc w:val="both"/>
        <w:rPr>
          <w:rFonts w:ascii="Arial" w:hAnsi="Arial" w:cs="Arial"/>
          <w:color w:val="000000" w:themeColor="text1"/>
          <w:sz w:val="19"/>
          <w:szCs w:val="19"/>
          <w:lang w:eastAsia="es-CO"/>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w:t>
      </w:r>
      <w:r w:rsidRPr="0003383F">
        <w:rPr>
          <w:rFonts w:ascii="Arial" w:hAnsi="Arial" w:cs="Arial"/>
          <w:color w:val="000000" w:themeColor="text1"/>
          <w:sz w:val="19"/>
          <w:szCs w:val="19"/>
          <w:lang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rsidRPr="0003383F" w:rsidR="008443C9" w:rsidP="008443C9" w:rsidRDefault="008443C9" w14:paraId="04B73BEF" w14:textId="25858AFD">
      <w:pPr>
        <w:pStyle w:val="Textonotapie"/>
        <w:ind w:firstLine="709"/>
        <w:jc w:val="both"/>
        <w:rPr>
          <w:rFonts w:ascii="Arial" w:hAnsi="Arial" w:cs="Arial"/>
          <w:color w:val="000000" w:themeColor="text1"/>
          <w:sz w:val="19"/>
          <w:szCs w:val="19"/>
          <w:lang w:eastAsia="es-CO"/>
        </w:rPr>
      </w:pPr>
      <w:r w:rsidRPr="0003383F">
        <w:rPr>
          <w:rFonts w:ascii="Arial" w:hAnsi="Arial" w:cs="Arial"/>
          <w:color w:val="000000" w:themeColor="text1"/>
          <w:sz w:val="19"/>
          <w:szCs w:val="19"/>
        </w:rPr>
        <w:t>»</w:t>
      </w:r>
      <w:r w:rsidRPr="0003383F">
        <w:rPr>
          <w:rFonts w:ascii="Arial" w:hAnsi="Arial" w:cs="Arial"/>
          <w:color w:val="000000" w:themeColor="text1"/>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r w:rsidR="00B72D39">
        <w:rPr>
          <w:rFonts w:ascii="Arial" w:hAnsi="Arial" w:cs="Arial"/>
          <w:color w:val="000000" w:themeColor="text1"/>
          <w:sz w:val="19"/>
          <w:szCs w:val="19"/>
          <w:lang w:eastAsia="es-CO"/>
        </w:rPr>
        <w:t>.</w:t>
      </w:r>
      <w:r w:rsidR="00BA1F04">
        <w:rPr>
          <w:rFonts w:ascii="Arial" w:hAnsi="Arial" w:cs="Arial"/>
          <w:color w:val="000000" w:themeColor="text1"/>
          <w:sz w:val="19"/>
          <w:szCs w:val="19"/>
          <w:lang w:eastAsia="es-CO"/>
        </w:rPr>
        <w:t xml:space="preserve"> </w:t>
      </w:r>
      <w:r w:rsidRPr="00B72D39" w:rsidR="00B72D39">
        <w:rPr>
          <w:rFonts w:ascii="Arial" w:hAnsi="Arial" w:cs="Arial"/>
          <w:color w:val="000000" w:themeColor="text1"/>
          <w:sz w:val="19"/>
          <w:szCs w:val="19"/>
          <w:lang w:eastAsia="es-CO"/>
        </w:rPr>
        <w:t xml:space="preserve">Gaceta del Congreso No. 458 del 1 de agosto de </w:t>
      </w:r>
      <w:r w:rsidRPr="00EB6042" w:rsidR="00B72D39">
        <w:rPr>
          <w:rFonts w:ascii="Arial" w:hAnsi="Arial" w:cs="Arial"/>
          <w:color w:val="000000" w:themeColor="text1"/>
          <w:sz w:val="19"/>
          <w:szCs w:val="19"/>
          <w:lang w:eastAsia="es-CO"/>
        </w:rPr>
        <w:t>2005.</w:t>
      </w:r>
      <w:r w:rsidRPr="00EB6042">
        <w:rPr>
          <w:rFonts w:ascii="Arial" w:hAnsi="Arial" w:cs="Arial"/>
          <w:color w:val="000000" w:themeColor="text1"/>
          <w:sz w:val="19"/>
          <w:szCs w:val="19"/>
          <w:lang w:eastAsia="es-CO"/>
        </w:rPr>
        <w:t>.</w:t>
      </w:r>
    </w:p>
  </w:footnote>
  <w:footnote w:id="18">
    <w:p w:rsidRPr="0003383F" w:rsidR="008443C9" w:rsidP="008443C9" w:rsidRDefault="008443C9" w14:paraId="0482E2F8" w14:textId="77777777">
      <w:pPr>
        <w:pStyle w:val="Textonotapie"/>
        <w:ind w:firstLine="709"/>
        <w:jc w:val="both"/>
        <w:rPr>
          <w:rFonts w:ascii="Arial" w:hAnsi="Arial" w:cs="Arial"/>
          <w:color w:val="000000" w:themeColor="text1"/>
          <w:sz w:val="19"/>
          <w:szCs w:val="19"/>
        </w:rPr>
      </w:pPr>
    </w:p>
    <w:p w:rsidRPr="0003383F" w:rsidR="008443C9" w:rsidP="008443C9" w:rsidRDefault="008443C9" w14:paraId="2C49FED7" w14:textId="77777777">
      <w:pPr>
        <w:pStyle w:val="Textonotapie"/>
        <w:ind w:firstLine="709"/>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w:t>
      </w:r>
      <w:r w:rsidRPr="0003383F">
        <w:rPr>
          <w:rFonts w:ascii="Arial" w:hAnsi="Arial" w:cs="Arial"/>
          <w:color w:val="000000" w:themeColor="text1"/>
          <w:sz w:val="19"/>
          <w:szCs w:val="19"/>
          <w:lang w:eastAsia="es-CO"/>
        </w:rPr>
        <w:t>Consejo de Estado. Sala de Consulta y Servicio Civil. Consulta del 20 de mayo de 2010. Exp. 11001-03-06-000-2010-00034-00(1992) . C.P. Enrique José Arboleda Perdomo.</w:t>
      </w:r>
    </w:p>
    <w:p w:rsidRPr="0003383F" w:rsidR="008443C9" w:rsidP="008443C9" w:rsidRDefault="008443C9" w14:paraId="2DC2412B" w14:textId="77777777">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B0854" w:rsidRDefault="008C487C" w14:paraId="1BE98637" w14:textId="77777777">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CD3976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BCF48D4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10D30"/>
    <w:rsid w:val="00024ACB"/>
    <w:rsid w:val="0003091B"/>
    <w:rsid w:val="000333A2"/>
    <w:rsid w:val="000344BF"/>
    <w:rsid w:val="00040C88"/>
    <w:rsid w:val="00040D6E"/>
    <w:rsid w:val="00042C0C"/>
    <w:rsid w:val="00044F55"/>
    <w:rsid w:val="00044FF2"/>
    <w:rsid w:val="00061EE4"/>
    <w:rsid w:val="00062B0D"/>
    <w:rsid w:val="0006519B"/>
    <w:rsid w:val="00086A16"/>
    <w:rsid w:val="0009384D"/>
    <w:rsid w:val="000977B3"/>
    <w:rsid w:val="00097CD6"/>
    <w:rsid w:val="000A1DBA"/>
    <w:rsid w:val="000A5D77"/>
    <w:rsid w:val="000A6338"/>
    <w:rsid w:val="000B19FE"/>
    <w:rsid w:val="000C0E39"/>
    <w:rsid w:val="000C5760"/>
    <w:rsid w:val="000D088F"/>
    <w:rsid w:val="000D4392"/>
    <w:rsid w:val="000E3FB3"/>
    <w:rsid w:val="000E4A3C"/>
    <w:rsid w:val="000E6867"/>
    <w:rsid w:val="000E6F21"/>
    <w:rsid w:val="001056C0"/>
    <w:rsid w:val="00105A4B"/>
    <w:rsid w:val="00107607"/>
    <w:rsid w:val="00112597"/>
    <w:rsid w:val="0012407F"/>
    <w:rsid w:val="001321AB"/>
    <w:rsid w:val="00140E57"/>
    <w:rsid w:val="00141C64"/>
    <w:rsid w:val="0014462B"/>
    <w:rsid w:val="00164E79"/>
    <w:rsid w:val="00170177"/>
    <w:rsid w:val="0017603D"/>
    <w:rsid w:val="00181A3E"/>
    <w:rsid w:val="00182139"/>
    <w:rsid w:val="001828E1"/>
    <w:rsid w:val="00194C50"/>
    <w:rsid w:val="001B0F4D"/>
    <w:rsid w:val="001B2E5D"/>
    <w:rsid w:val="001D6157"/>
    <w:rsid w:val="001E4E75"/>
    <w:rsid w:val="001E5DBB"/>
    <w:rsid w:val="001F1051"/>
    <w:rsid w:val="001F34A8"/>
    <w:rsid w:val="002034AD"/>
    <w:rsid w:val="0021639C"/>
    <w:rsid w:val="002239B4"/>
    <w:rsid w:val="0023180C"/>
    <w:rsid w:val="00234C6C"/>
    <w:rsid w:val="00265031"/>
    <w:rsid w:val="00266277"/>
    <w:rsid w:val="00270676"/>
    <w:rsid w:val="00284C12"/>
    <w:rsid w:val="00286834"/>
    <w:rsid w:val="002B282F"/>
    <w:rsid w:val="002B3963"/>
    <w:rsid w:val="002B4B30"/>
    <w:rsid w:val="002C0759"/>
    <w:rsid w:val="002C21A7"/>
    <w:rsid w:val="002C6A33"/>
    <w:rsid w:val="002E371A"/>
    <w:rsid w:val="002E7BC2"/>
    <w:rsid w:val="002F63BB"/>
    <w:rsid w:val="002F701E"/>
    <w:rsid w:val="00302F9F"/>
    <w:rsid w:val="00303167"/>
    <w:rsid w:val="00304386"/>
    <w:rsid w:val="0032587C"/>
    <w:rsid w:val="0033359B"/>
    <w:rsid w:val="00336BCE"/>
    <w:rsid w:val="003401FE"/>
    <w:rsid w:val="00340A7A"/>
    <w:rsid w:val="003504D4"/>
    <w:rsid w:val="0036205E"/>
    <w:rsid w:val="0036374B"/>
    <w:rsid w:val="00380748"/>
    <w:rsid w:val="003856ED"/>
    <w:rsid w:val="00390DCF"/>
    <w:rsid w:val="003A2944"/>
    <w:rsid w:val="003B0DEF"/>
    <w:rsid w:val="003C2074"/>
    <w:rsid w:val="003C3ADB"/>
    <w:rsid w:val="003C4578"/>
    <w:rsid w:val="003C7833"/>
    <w:rsid w:val="003D11B5"/>
    <w:rsid w:val="003D134C"/>
    <w:rsid w:val="003D69A5"/>
    <w:rsid w:val="003E14F9"/>
    <w:rsid w:val="003E4199"/>
    <w:rsid w:val="003F3119"/>
    <w:rsid w:val="003F6D32"/>
    <w:rsid w:val="00422851"/>
    <w:rsid w:val="00430B5A"/>
    <w:rsid w:val="0044207D"/>
    <w:rsid w:val="00447FE5"/>
    <w:rsid w:val="004610AE"/>
    <w:rsid w:val="004617B8"/>
    <w:rsid w:val="0046504E"/>
    <w:rsid w:val="004758FE"/>
    <w:rsid w:val="004830C8"/>
    <w:rsid w:val="004837AB"/>
    <w:rsid w:val="00483A2F"/>
    <w:rsid w:val="00490DBF"/>
    <w:rsid w:val="004A6EE1"/>
    <w:rsid w:val="004B1BEE"/>
    <w:rsid w:val="004B2AB8"/>
    <w:rsid w:val="004B5BAA"/>
    <w:rsid w:val="004D770C"/>
    <w:rsid w:val="004E370E"/>
    <w:rsid w:val="004E7CE5"/>
    <w:rsid w:val="004F4387"/>
    <w:rsid w:val="004F7FB1"/>
    <w:rsid w:val="00510BF5"/>
    <w:rsid w:val="00516A0F"/>
    <w:rsid w:val="00521BA7"/>
    <w:rsid w:val="005252E2"/>
    <w:rsid w:val="00536BDB"/>
    <w:rsid w:val="005511D5"/>
    <w:rsid w:val="00556730"/>
    <w:rsid w:val="00575DC6"/>
    <w:rsid w:val="00585FB5"/>
    <w:rsid w:val="00591586"/>
    <w:rsid w:val="005B4070"/>
    <w:rsid w:val="005E6056"/>
    <w:rsid w:val="005F4810"/>
    <w:rsid w:val="005F5D19"/>
    <w:rsid w:val="005F6CBF"/>
    <w:rsid w:val="006135E6"/>
    <w:rsid w:val="00632EA5"/>
    <w:rsid w:val="0065701C"/>
    <w:rsid w:val="00662792"/>
    <w:rsid w:val="00673074"/>
    <w:rsid w:val="006818B6"/>
    <w:rsid w:val="006824B8"/>
    <w:rsid w:val="006A7743"/>
    <w:rsid w:val="006B6C6A"/>
    <w:rsid w:val="006C15D5"/>
    <w:rsid w:val="006C234F"/>
    <w:rsid w:val="006C3D0C"/>
    <w:rsid w:val="006C5955"/>
    <w:rsid w:val="006D519D"/>
    <w:rsid w:val="006E10EA"/>
    <w:rsid w:val="006F39D0"/>
    <w:rsid w:val="006F7746"/>
    <w:rsid w:val="00711157"/>
    <w:rsid w:val="00715B7E"/>
    <w:rsid w:val="00730CDB"/>
    <w:rsid w:val="00736C89"/>
    <w:rsid w:val="00745744"/>
    <w:rsid w:val="007475BE"/>
    <w:rsid w:val="0075032A"/>
    <w:rsid w:val="00760972"/>
    <w:rsid w:val="00764CF3"/>
    <w:rsid w:val="00770D7D"/>
    <w:rsid w:val="00772497"/>
    <w:rsid w:val="00791377"/>
    <w:rsid w:val="007D62C7"/>
    <w:rsid w:val="007F42B3"/>
    <w:rsid w:val="007F7AC6"/>
    <w:rsid w:val="00803061"/>
    <w:rsid w:val="00807EEE"/>
    <w:rsid w:val="008135F4"/>
    <w:rsid w:val="00813893"/>
    <w:rsid w:val="00821E36"/>
    <w:rsid w:val="0082266E"/>
    <w:rsid w:val="008234E2"/>
    <w:rsid w:val="00824361"/>
    <w:rsid w:val="008327EE"/>
    <w:rsid w:val="00842E74"/>
    <w:rsid w:val="00843BE5"/>
    <w:rsid w:val="008443C9"/>
    <w:rsid w:val="00856B64"/>
    <w:rsid w:val="00857B3E"/>
    <w:rsid w:val="00863DD9"/>
    <w:rsid w:val="00866446"/>
    <w:rsid w:val="0086741B"/>
    <w:rsid w:val="00886F29"/>
    <w:rsid w:val="00897DAB"/>
    <w:rsid w:val="008A0633"/>
    <w:rsid w:val="008A3386"/>
    <w:rsid w:val="008A53F2"/>
    <w:rsid w:val="008B09B1"/>
    <w:rsid w:val="008C24B6"/>
    <w:rsid w:val="008C487C"/>
    <w:rsid w:val="008C4C28"/>
    <w:rsid w:val="008C65EC"/>
    <w:rsid w:val="008D5D0F"/>
    <w:rsid w:val="008E0FCC"/>
    <w:rsid w:val="008E1CC3"/>
    <w:rsid w:val="008E2FE3"/>
    <w:rsid w:val="008E5F34"/>
    <w:rsid w:val="008F2267"/>
    <w:rsid w:val="008F3EE2"/>
    <w:rsid w:val="009231E0"/>
    <w:rsid w:val="009279B9"/>
    <w:rsid w:val="00933B03"/>
    <w:rsid w:val="009360AA"/>
    <w:rsid w:val="0094508D"/>
    <w:rsid w:val="009506A7"/>
    <w:rsid w:val="00967230"/>
    <w:rsid w:val="00970B9F"/>
    <w:rsid w:val="00972C13"/>
    <w:rsid w:val="009812D7"/>
    <w:rsid w:val="00982E99"/>
    <w:rsid w:val="009A5714"/>
    <w:rsid w:val="009A5DA7"/>
    <w:rsid w:val="009B1AEC"/>
    <w:rsid w:val="009C38AA"/>
    <w:rsid w:val="009C43BC"/>
    <w:rsid w:val="009D1D57"/>
    <w:rsid w:val="009D46A9"/>
    <w:rsid w:val="009E2544"/>
    <w:rsid w:val="009E2770"/>
    <w:rsid w:val="009E4A43"/>
    <w:rsid w:val="009F2261"/>
    <w:rsid w:val="009F3537"/>
    <w:rsid w:val="00A25657"/>
    <w:rsid w:val="00A329B6"/>
    <w:rsid w:val="00A367A1"/>
    <w:rsid w:val="00A415D2"/>
    <w:rsid w:val="00A460BA"/>
    <w:rsid w:val="00A510F6"/>
    <w:rsid w:val="00A651C9"/>
    <w:rsid w:val="00A723D0"/>
    <w:rsid w:val="00A80739"/>
    <w:rsid w:val="00A83829"/>
    <w:rsid w:val="00A901C9"/>
    <w:rsid w:val="00A95100"/>
    <w:rsid w:val="00AA2A39"/>
    <w:rsid w:val="00AA615B"/>
    <w:rsid w:val="00AA6E92"/>
    <w:rsid w:val="00AB0DED"/>
    <w:rsid w:val="00AC0C81"/>
    <w:rsid w:val="00AC6D5F"/>
    <w:rsid w:val="00AD5C13"/>
    <w:rsid w:val="00AD7725"/>
    <w:rsid w:val="00AE668A"/>
    <w:rsid w:val="00AE6858"/>
    <w:rsid w:val="00AE7447"/>
    <w:rsid w:val="00AF5C62"/>
    <w:rsid w:val="00AF7270"/>
    <w:rsid w:val="00B17BC5"/>
    <w:rsid w:val="00B2158C"/>
    <w:rsid w:val="00B22F20"/>
    <w:rsid w:val="00B24E57"/>
    <w:rsid w:val="00B30D96"/>
    <w:rsid w:val="00B34961"/>
    <w:rsid w:val="00B5123E"/>
    <w:rsid w:val="00B522C4"/>
    <w:rsid w:val="00B52B0E"/>
    <w:rsid w:val="00B5337D"/>
    <w:rsid w:val="00B64255"/>
    <w:rsid w:val="00B65290"/>
    <w:rsid w:val="00B70E26"/>
    <w:rsid w:val="00B72D39"/>
    <w:rsid w:val="00B97D95"/>
    <w:rsid w:val="00BA1F04"/>
    <w:rsid w:val="00BA7E78"/>
    <w:rsid w:val="00BB0EA7"/>
    <w:rsid w:val="00BB59F9"/>
    <w:rsid w:val="00BC15B8"/>
    <w:rsid w:val="00BC5279"/>
    <w:rsid w:val="00BC6C4E"/>
    <w:rsid w:val="00BD58A7"/>
    <w:rsid w:val="00BE1E33"/>
    <w:rsid w:val="00BE2AD3"/>
    <w:rsid w:val="00BE36F7"/>
    <w:rsid w:val="00BF2443"/>
    <w:rsid w:val="00C12201"/>
    <w:rsid w:val="00C1405A"/>
    <w:rsid w:val="00C14216"/>
    <w:rsid w:val="00C333FD"/>
    <w:rsid w:val="00C369AE"/>
    <w:rsid w:val="00C4526C"/>
    <w:rsid w:val="00C50B1B"/>
    <w:rsid w:val="00C52801"/>
    <w:rsid w:val="00C6210F"/>
    <w:rsid w:val="00C745C6"/>
    <w:rsid w:val="00C765B8"/>
    <w:rsid w:val="00C964DE"/>
    <w:rsid w:val="00CA0E1B"/>
    <w:rsid w:val="00CA5790"/>
    <w:rsid w:val="00CA634C"/>
    <w:rsid w:val="00CE3582"/>
    <w:rsid w:val="00CF10C5"/>
    <w:rsid w:val="00CF326B"/>
    <w:rsid w:val="00D0763E"/>
    <w:rsid w:val="00D12644"/>
    <w:rsid w:val="00D16BE1"/>
    <w:rsid w:val="00D2157F"/>
    <w:rsid w:val="00D242FB"/>
    <w:rsid w:val="00D24682"/>
    <w:rsid w:val="00D24F06"/>
    <w:rsid w:val="00D254BB"/>
    <w:rsid w:val="00D25AEF"/>
    <w:rsid w:val="00D349EE"/>
    <w:rsid w:val="00D45180"/>
    <w:rsid w:val="00D56D47"/>
    <w:rsid w:val="00D675E0"/>
    <w:rsid w:val="00D70FB4"/>
    <w:rsid w:val="00D74A1C"/>
    <w:rsid w:val="00D76A24"/>
    <w:rsid w:val="00D815C1"/>
    <w:rsid w:val="00D85C85"/>
    <w:rsid w:val="00D92F6C"/>
    <w:rsid w:val="00D95879"/>
    <w:rsid w:val="00D97A6B"/>
    <w:rsid w:val="00DA2FA3"/>
    <w:rsid w:val="00DB751D"/>
    <w:rsid w:val="00DB7E51"/>
    <w:rsid w:val="00DC679E"/>
    <w:rsid w:val="00DD0E98"/>
    <w:rsid w:val="00DE2C0B"/>
    <w:rsid w:val="00DE64DE"/>
    <w:rsid w:val="00DE7AB4"/>
    <w:rsid w:val="00DF4D86"/>
    <w:rsid w:val="00E01D84"/>
    <w:rsid w:val="00E137BB"/>
    <w:rsid w:val="00E13AF4"/>
    <w:rsid w:val="00E15F4B"/>
    <w:rsid w:val="00E3199C"/>
    <w:rsid w:val="00E64988"/>
    <w:rsid w:val="00E64A38"/>
    <w:rsid w:val="00E756AC"/>
    <w:rsid w:val="00E8381A"/>
    <w:rsid w:val="00E87596"/>
    <w:rsid w:val="00E87794"/>
    <w:rsid w:val="00E96422"/>
    <w:rsid w:val="00EA5A59"/>
    <w:rsid w:val="00EB3D8F"/>
    <w:rsid w:val="00EB6042"/>
    <w:rsid w:val="00ED0FE3"/>
    <w:rsid w:val="00EE72DB"/>
    <w:rsid w:val="00EF2CA6"/>
    <w:rsid w:val="00F117B1"/>
    <w:rsid w:val="00F134F9"/>
    <w:rsid w:val="00F203C7"/>
    <w:rsid w:val="00F24C62"/>
    <w:rsid w:val="00F34138"/>
    <w:rsid w:val="00F47FCE"/>
    <w:rsid w:val="00F501D2"/>
    <w:rsid w:val="00F5266F"/>
    <w:rsid w:val="00F54518"/>
    <w:rsid w:val="00F56447"/>
    <w:rsid w:val="00F64055"/>
    <w:rsid w:val="00F710C6"/>
    <w:rsid w:val="00F93835"/>
    <w:rsid w:val="00F9481A"/>
    <w:rsid w:val="00F975C1"/>
    <w:rsid w:val="00FC755D"/>
    <w:rsid w:val="00FD43F4"/>
    <w:rsid w:val="2CD3976C"/>
    <w:rsid w:val="57F8862B"/>
    <w:rsid w:val="5BFC61BC"/>
    <w:rsid w:val="74CA40E2"/>
    <w:rsid w:val="7D6CE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BE1E33"/>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BE1E33"/>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BE1E33"/>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styleId="TextocomentarioCar" w:customStyle="1">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styleId="AsuntodelcomentarioCar" w:customStyle="1">
    <w:name w:val="Asunto del comentario Car"/>
    <w:basedOn w:val="TextocomentarioCar"/>
    <w:link w:val="Asuntodelcomentario"/>
    <w:uiPriority w:val="99"/>
    <w:semiHidden/>
    <w:rsid w:val="006C15D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49862490836a49d9" /></Relationships>
</file>

<file path=word/_rels/footer1.xml.rels>&#65279;<?xml version="1.0" encoding="utf-8"?><Relationships xmlns="http://schemas.openxmlformats.org/package/2006/relationships"><Relationship Type="http://schemas.openxmlformats.org/officeDocument/2006/relationships/image" Target="/media/image5.png" Id="Ra4f170a0073c4cf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C0CF-CE0E-49B6-8150-618BCD7FA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purl.org/dc/dcmitype/"/>
    <ds:schemaRef ds:uri="9d85dbaf-23eb-4e57-a637-93dcacc8b1a1"/>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6cb9e4b-f1d1-4245-83ec-6cad768d538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4C7FBB-00BD-4D4D-B643-FB59BA187B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4</revision>
  <lastPrinted>2020-03-17T17:42:00.0000000Z</lastPrinted>
  <dcterms:created xsi:type="dcterms:W3CDTF">2020-07-16T19:45:00.0000000Z</dcterms:created>
  <dcterms:modified xsi:type="dcterms:W3CDTF">2020-07-29T23:16:28.2023462Z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